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7FA23" w14:textId="1B5EB26C" w:rsidR="00C00894" w:rsidRPr="00395593" w:rsidRDefault="00C50B0C" w:rsidP="00112608">
      <w:pPr>
        <w:jc w:val="both"/>
        <w:rPr>
          <w:rFonts w:ascii="Garamond" w:hAnsi="Garamond"/>
        </w:rPr>
      </w:pPr>
      <w:r>
        <w:rPr>
          <w:rFonts w:ascii="Garamond" w:hAnsi="Garamond"/>
          <w:noProof/>
          <w:lang w:eastAsia="pt-BR"/>
        </w:rPr>
        <w:drawing>
          <wp:anchor distT="0" distB="0" distL="114300" distR="114300" simplePos="0" relativeHeight="251658296" behindDoc="0" locked="0" layoutInCell="1" allowOverlap="1" wp14:anchorId="1C9D375F" wp14:editId="757D4F0C">
            <wp:simplePos x="0" y="0"/>
            <wp:positionH relativeFrom="page">
              <wp:align>right</wp:align>
            </wp:positionH>
            <wp:positionV relativeFrom="paragraph">
              <wp:posOffset>-581025</wp:posOffset>
            </wp:positionV>
            <wp:extent cx="7791450" cy="10304145"/>
            <wp:effectExtent l="0" t="0" r="0" b="1905"/>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A.png"/>
                    <pic:cNvPicPr/>
                  </pic:nvPicPr>
                  <pic:blipFill>
                    <a:blip r:embed="rId11">
                      <a:extLst>
                        <a:ext uri="{28A0092B-C50C-407E-A947-70E740481C1C}">
                          <a14:useLocalDpi xmlns:a14="http://schemas.microsoft.com/office/drawing/2010/main" val="0"/>
                        </a:ext>
                      </a:extLst>
                    </a:blip>
                    <a:stretch>
                      <a:fillRect/>
                    </a:stretch>
                  </pic:blipFill>
                  <pic:spPr>
                    <a:xfrm>
                      <a:off x="0" y="0"/>
                      <a:ext cx="7791450" cy="10304145"/>
                    </a:xfrm>
                    <a:prstGeom prst="rect">
                      <a:avLst/>
                    </a:prstGeom>
                  </pic:spPr>
                </pic:pic>
              </a:graphicData>
            </a:graphic>
            <wp14:sizeRelH relativeFrom="margin">
              <wp14:pctWidth>0</wp14:pctWidth>
            </wp14:sizeRelH>
            <wp14:sizeRelV relativeFrom="margin">
              <wp14:pctHeight>0</wp14:pctHeight>
            </wp14:sizeRelV>
          </wp:anchor>
        </w:drawing>
      </w:r>
    </w:p>
    <w:p w14:paraId="7DBEE311" w14:textId="7D6F80BE" w:rsidR="003A02EF" w:rsidRPr="002F093A" w:rsidRDefault="003A02EF" w:rsidP="00AB21F8">
      <w:pPr>
        <w:shd w:val="clear" w:color="auto" w:fill="FDDD67"/>
        <w:tabs>
          <w:tab w:val="center" w:pos="4249"/>
          <w:tab w:val="right" w:pos="8498"/>
        </w:tabs>
        <w:spacing w:before="120" w:after="120"/>
        <w:jc w:val="center"/>
        <w:rPr>
          <w:rFonts w:ascii="Garamond" w:hAnsi="Garamond" w:cstheme="majorHAnsi"/>
          <w:b/>
          <w:bCs/>
          <w:sz w:val="24"/>
          <w:szCs w:val="24"/>
        </w:rPr>
      </w:pPr>
      <w:r w:rsidRPr="002F093A">
        <w:rPr>
          <w:rFonts w:ascii="Garamond" w:hAnsi="Garamond"/>
          <w:b/>
          <w:bCs/>
          <w:sz w:val="24"/>
          <w:szCs w:val="24"/>
        </w:rPr>
        <w:t xml:space="preserve">Ficha Técnica – </w:t>
      </w:r>
      <w:r w:rsidR="00E248EA" w:rsidRPr="002F093A">
        <w:rPr>
          <w:rFonts w:ascii="Garamond" w:hAnsi="Garamond"/>
          <w:b/>
          <w:bCs/>
          <w:sz w:val="24"/>
          <w:szCs w:val="24"/>
        </w:rPr>
        <w:t>Fev</w:t>
      </w:r>
      <w:r w:rsidRPr="002F093A">
        <w:rPr>
          <w:rFonts w:ascii="Garamond" w:hAnsi="Garamond"/>
          <w:b/>
          <w:bCs/>
          <w:sz w:val="24"/>
          <w:szCs w:val="24"/>
        </w:rPr>
        <w:t>. 2022</w:t>
      </w:r>
    </w:p>
    <w:p w14:paraId="1F19FC30" w14:textId="77777777" w:rsidR="003A02EF" w:rsidRPr="002F093A" w:rsidRDefault="003A02EF" w:rsidP="00AB21F8">
      <w:pPr>
        <w:jc w:val="center"/>
        <w:rPr>
          <w:rFonts w:ascii="Garamond" w:hAnsi="Garamond"/>
          <w:b/>
          <w:bCs/>
          <w:color w:val="4472C4" w:themeColor="accent1"/>
          <w:sz w:val="24"/>
          <w:szCs w:val="24"/>
        </w:rPr>
      </w:pPr>
    </w:p>
    <w:p w14:paraId="42EC7E67" w14:textId="77777777" w:rsidR="003A02EF" w:rsidRPr="002F093A" w:rsidRDefault="003A02EF" w:rsidP="00AB21F8">
      <w:pPr>
        <w:jc w:val="center"/>
        <w:rPr>
          <w:rFonts w:ascii="Garamond" w:hAnsi="Garamond"/>
          <w:b/>
          <w:bCs/>
          <w:color w:val="4472C4" w:themeColor="accent1"/>
          <w:sz w:val="24"/>
          <w:szCs w:val="24"/>
        </w:rPr>
      </w:pPr>
      <w:r w:rsidRPr="002F093A">
        <w:rPr>
          <w:rFonts w:ascii="Garamond" w:hAnsi="Garamond"/>
          <w:b/>
          <w:bCs/>
          <w:color w:val="4472C4" w:themeColor="accent1"/>
          <w:sz w:val="24"/>
          <w:szCs w:val="24"/>
        </w:rPr>
        <w:t>Autoridades</w:t>
      </w:r>
    </w:p>
    <w:p w14:paraId="05B9FB68" w14:textId="77777777" w:rsidR="003A02EF" w:rsidRPr="002F093A" w:rsidRDefault="003A02EF" w:rsidP="00E17A27">
      <w:pPr>
        <w:spacing w:after="0" w:line="240" w:lineRule="auto"/>
        <w:jc w:val="center"/>
        <w:rPr>
          <w:rFonts w:ascii="Garamond" w:hAnsi="Garamond"/>
          <w:sz w:val="24"/>
          <w:szCs w:val="24"/>
        </w:rPr>
      </w:pPr>
      <w:r w:rsidRPr="002F093A">
        <w:rPr>
          <w:rFonts w:ascii="Garamond" w:hAnsi="Garamond"/>
          <w:sz w:val="24"/>
          <w:szCs w:val="24"/>
        </w:rPr>
        <w:t>Roberto Fendt</w:t>
      </w:r>
    </w:p>
    <w:p w14:paraId="4AEE6AEB" w14:textId="3DDE7CE3" w:rsidR="003A02EF" w:rsidRDefault="003A02EF" w:rsidP="00E17A27">
      <w:pPr>
        <w:spacing w:after="0" w:line="240" w:lineRule="auto"/>
        <w:jc w:val="center"/>
        <w:rPr>
          <w:rFonts w:ascii="Garamond" w:hAnsi="Garamond"/>
          <w:sz w:val="24"/>
          <w:szCs w:val="24"/>
        </w:rPr>
      </w:pPr>
      <w:r w:rsidRPr="002F093A">
        <w:rPr>
          <w:rFonts w:ascii="Garamond" w:hAnsi="Garamond"/>
          <w:sz w:val="24"/>
          <w:szCs w:val="24"/>
        </w:rPr>
        <w:t>(Secretário Especial de Comércio Exterior e Assuntos Internacionais – SECINT)</w:t>
      </w:r>
    </w:p>
    <w:p w14:paraId="1B69D88C" w14:textId="77777777" w:rsidR="00E17A27" w:rsidRPr="002F093A" w:rsidRDefault="00E17A27" w:rsidP="00E17A27">
      <w:pPr>
        <w:spacing w:after="0" w:line="240" w:lineRule="auto"/>
        <w:jc w:val="center"/>
        <w:rPr>
          <w:rFonts w:ascii="Garamond" w:hAnsi="Garamond"/>
          <w:sz w:val="24"/>
          <w:szCs w:val="24"/>
        </w:rPr>
      </w:pPr>
    </w:p>
    <w:p w14:paraId="3788A4AB" w14:textId="242BDB58" w:rsidR="003A02EF" w:rsidRPr="002F093A" w:rsidRDefault="003A02EF" w:rsidP="00E17A27">
      <w:pPr>
        <w:spacing w:after="0" w:line="240" w:lineRule="auto"/>
        <w:jc w:val="center"/>
        <w:rPr>
          <w:rFonts w:ascii="Garamond" w:hAnsi="Garamond"/>
          <w:sz w:val="24"/>
          <w:szCs w:val="24"/>
        </w:rPr>
      </w:pPr>
      <w:r w:rsidRPr="002F093A">
        <w:rPr>
          <w:rFonts w:ascii="Garamond" w:hAnsi="Garamond"/>
          <w:sz w:val="24"/>
          <w:szCs w:val="24"/>
        </w:rPr>
        <w:t>João Luís Rossi</w:t>
      </w:r>
    </w:p>
    <w:p w14:paraId="10221229" w14:textId="4F3D8220" w:rsidR="003A02EF" w:rsidRDefault="003A02EF" w:rsidP="00E17A27">
      <w:pPr>
        <w:spacing w:after="0" w:line="240" w:lineRule="auto"/>
        <w:jc w:val="center"/>
        <w:rPr>
          <w:rFonts w:ascii="Garamond" w:hAnsi="Garamond"/>
          <w:sz w:val="24"/>
          <w:szCs w:val="24"/>
        </w:rPr>
      </w:pPr>
      <w:r w:rsidRPr="002F093A">
        <w:rPr>
          <w:rFonts w:ascii="Garamond" w:hAnsi="Garamond"/>
          <w:sz w:val="24"/>
          <w:szCs w:val="24"/>
        </w:rPr>
        <w:t>(Secretário Especial de Comércio Exterior e Assuntos Internacionais Adjunto – SECINT)</w:t>
      </w:r>
    </w:p>
    <w:p w14:paraId="05B5F57F" w14:textId="77777777" w:rsidR="00E17A27" w:rsidRPr="002F093A" w:rsidRDefault="00E17A27" w:rsidP="00E17A27">
      <w:pPr>
        <w:spacing w:after="0" w:line="240" w:lineRule="auto"/>
        <w:jc w:val="center"/>
        <w:rPr>
          <w:rFonts w:ascii="Garamond" w:hAnsi="Garamond"/>
          <w:sz w:val="24"/>
          <w:szCs w:val="24"/>
        </w:rPr>
      </w:pPr>
    </w:p>
    <w:p w14:paraId="061F60CD" w14:textId="77777777" w:rsidR="003A02EF" w:rsidRPr="002F093A" w:rsidRDefault="003A02EF" w:rsidP="00E17A27">
      <w:pPr>
        <w:spacing w:after="0" w:line="240" w:lineRule="auto"/>
        <w:jc w:val="center"/>
        <w:rPr>
          <w:rFonts w:ascii="Garamond" w:hAnsi="Garamond"/>
          <w:sz w:val="24"/>
          <w:szCs w:val="24"/>
        </w:rPr>
      </w:pPr>
      <w:r w:rsidRPr="002F093A">
        <w:rPr>
          <w:rFonts w:ascii="Garamond" w:hAnsi="Garamond"/>
          <w:sz w:val="24"/>
          <w:szCs w:val="24"/>
        </w:rPr>
        <w:t>Lucas Pedreira Ferraz</w:t>
      </w:r>
    </w:p>
    <w:p w14:paraId="7CD14AE5" w14:textId="77777777" w:rsidR="003A02EF" w:rsidRPr="002F093A" w:rsidRDefault="003A02EF" w:rsidP="00E17A27">
      <w:pPr>
        <w:spacing w:after="0" w:line="240" w:lineRule="auto"/>
        <w:jc w:val="center"/>
        <w:rPr>
          <w:rFonts w:ascii="Garamond" w:hAnsi="Garamond"/>
          <w:sz w:val="24"/>
          <w:szCs w:val="24"/>
        </w:rPr>
      </w:pPr>
      <w:r w:rsidRPr="002F093A">
        <w:rPr>
          <w:rFonts w:ascii="Garamond" w:hAnsi="Garamond"/>
          <w:sz w:val="24"/>
          <w:szCs w:val="24"/>
        </w:rPr>
        <w:t>(Secretário de Comércio Exterior – SECEX)</w:t>
      </w:r>
    </w:p>
    <w:p w14:paraId="04333CC4" w14:textId="77777777" w:rsidR="003A02EF" w:rsidRPr="002F093A" w:rsidRDefault="003A02EF" w:rsidP="00AB21F8">
      <w:pPr>
        <w:jc w:val="center"/>
        <w:rPr>
          <w:rFonts w:ascii="Garamond" w:hAnsi="Garamond"/>
          <w:sz w:val="24"/>
          <w:szCs w:val="24"/>
        </w:rPr>
      </w:pPr>
    </w:p>
    <w:p w14:paraId="3CAECB33" w14:textId="77777777" w:rsidR="003A02EF" w:rsidRPr="002F093A" w:rsidRDefault="003A02EF" w:rsidP="00AB21F8">
      <w:pPr>
        <w:jc w:val="center"/>
        <w:rPr>
          <w:rFonts w:ascii="Garamond" w:hAnsi="Garamond"/>
          <w:b/>
          <w:bCs/>
          <w:color w:val="4472C4" w:themeColor="accent1"/>
          <w:sz w:val="24"/>
          <w:szCs w:val="24"/>
        </w:rPr>
      </w:pPr>
      <w:r w:rsidRPr="002F093A">
        <w:rPr>
          <w:rFonts w:ascii="Garamond" w:hAnsi="Garamond"/>
          <w:b/>
          <w:bCs/>
          <w:color w:val="4472C4" w:themeColor="accent1"/>
          <w:sz w:val="24"/>
          <w:szCs w:val="24"/>
        </w:rPr>
        <w:t>Coordenação Geral</w:t>
      </w:r>
    </w:p>
    <w:p w14:paraId="18B62C83" w14:textId="77777777" w:rsidR="003A02EF" w:rsidRPr="002F093A" w:rsidRDefault="003A02EF" w:rsidP="006357B3">
      <w:pPr>
        <w:spacing w:after="0" w:line="240" w:lineRule="auto"/>
        <w:jc w:val="center"/>
        <w:rPr>
          <w:rFonts w:ascii="Garamond" w:hAnsi="Garamond"/>
          <w:sz w:val="24"/>
          <w:szCs w:val="24"/>
        </w:rPr>
      </w:pPr>
      <w:r w:rsidRPr="002F093A">
        <w:rPr>
          <w:rFonts w:ascii="Garamond" w:hAnsi="Garamond"/>
          <w:sz w:val="24"/>
          <w:szCs w:val="24"/>
        </w:rPr>
        <w:t>Amanda Athayde Linhares Martins Rivera</w:t>
      </w:r>
    </w:p>
    <w:p w14:paraId="1FD64DEC" w14:textId="77777777" w:rsidR="003A02EF" w:rsidRPr="002F093A" w:rsidRDefault="003A02EF" w:rsidP="006357B3">
      <w:pPr>
        <w:spacing w:after="0" w:line="240" w:lineRule="auto"/>
        <w:jc w:val="center"/>
        <w:rPr>
          <w:rFonts w:ascii="Garamond" w:hAnsi="Garamond"/>
          <w:sz w:val="24"/>
          <w:szCs w:val="24"/>
        </w:rPr>
      </w:pPr>
      <w:r w:rsidRPr="002F093A">
        <w:rPr>
          <w:rFonts w:ascii="Garamond" w:hAnsi="Garamond"/>
          <w:sz w:val="24"/>
          <w:szCs w:val="24"/>
        </w:rPr>
        <w:t>(Subsecretária de Defesa Comercial e Interesse Público – SDCOM)</w:t>
      </w:r>
    </w:p>
    <w:p w14:paraId="7B781047" w14:textId="77777777" w:rsidR="003A02EF" w:rsidRPr="002F093A" w:rsidRDefault="003A02EF" w:rsidP="00AB21F8">
      <w:pPr>
        <w:jc w:val="center"/>
        <w:rPr>
          <w:rFonts w:ascii="Garamond" w:hAnsi="Garamond"/>
          <w:sz w:val="24"/>
          <w:szCs w:val="24"/>
        </w:rPr>
      </w:pPr>
    </w:p>
    <w:p w14:paraId="481560D0" w14:textId="77777777" w:rsidR="003A02EF" w:rsidRPr="002F093A" w:rsidRDefault="003A02EF" w:rsidP="00AB21F8">
      <w:pPr>
        <w:jc w:val="center"/>
        <w:rPr>
          <w:rFonts w:ascii="Garamond" w:hAnsi="Garamond"/>
          <w:b/>
          <w:bCs/>
          <w:color w:val="4472C4" w:themeColor="accent1"/>
          <w:sz w:val="24"/>
          <w:szCs w:val="24"/>
        </w:rPr>
      </w:pPr>
      <w:r w:rsidRPr="002F093A">
        <w:rPr>
          <w:rFonts w:ascii="Garamond" w:hAnsi="Garamond"/>
          <w:b/>
          <w:bCs/>
          <w:color w:val="4472C4" w:themeColor="accent1"/>
          <w:sz w:val="24"/>
          <w:szCs w:val="24"/>
        </w:rPr>
        <w:t>Organizadores</w:t>
      </w:r>
    </w:p>
    <w:p w14:paraId="772FF07D" w14:textId="77777777" w:rsidR="003A02EF" w:rsidRPr="002F093A" w:rsidRDefault="003A02EF" w:rsidP="00AB21F8">
      <w:pPr>
        <w:jc w:val="center"/>
        <w:rPr>
          <w:rFonts w:ascii="Garamond" w:hAnsi="Garamond"/>
          <w:sz w:val="24"/>
          <w:szCs w:val="24"/>
        </w:rPr>
      </w:pPr>
      <w:r w:rsidRPr="002F093A">
        <w:rPr>
          <w:rFonts w:ascii="Garamond" w:hAnsi="Garamond"/>
          <w:sz w:val="24"/>
          <w:szCs w:val="24"/>
        </w:rPr>
        <w:t>Frank Henrique Pedrosa Carvalho</w:t>
      </w:r>
    </w:p>
    <w:p w14:paraId="763E76AD" w14:textId="1373E28D" w:rsidR="003A02EF" w:rsidRPr="002F093A" w:rsidRDefault="003A02EF" w:rsidP="00AB21F8">
      <w:pPr>
        <w:jc w:val="center"/>
        <w:rPr>
          <w:rFonts w:ascii="Garamond" w:hAnsi="Garamond"/>
          <w:sz w:val="24"/>
          <w:szCs w:val="24"/>
        </w:rPr>
      </w:pPr>
      <w:r w:rsidRPr="002F093A">
        <w:rPr>
          <w:rFonts w:ascii="Garamond" w:hAnsi="Garamond"/>
          <w:sz w:val="24"/>
          <w:szCs w:val="24"/>
        </w:rPr>
        <w:t>Vanessa de Freitas Teixeira</w:t>
      </w:r>
    </w:p>
    <w:p w14:paraId="6DA45F2E" w14:textId="77777777" w:rsidR="003A02EF" w:rsidRDefault="003A02EF" w:rsidP="003775F1">
      <w:pPr>
        <w:jc w:val="both"/>
        <w:rPr>
          <w:rFonts w:ascii="Garamond" w:hAnsi="Garamond"/>
        </w:rPr>
      </w:pPr>
      <w:r>
        <w:rPr>
          <w:rFonts w:ascii="Garamond" w:hAnsi="Garamond"/>
        </w:rPr>
        <w:br w:type="page"/>
      </w:r>
    </w:p>
    <w:p w14:paraId="49B46E61" w14:textId="77777777" w:rsidR="00E9100F" w:rsidRPr="004F5838" w:rsidRDefault="00E9100F" w:rsidP="003775F1">
      <w:pPr>
        <w:shd w:val="clear" w:color="auto" w:fill="FDDD67"/>
        <w:tabs>
          <w:tab w:val="center" w:pos="4249"/>
          <w:tab w:val="right" w:pos="8498"/>
        </w:tabs>
        <w:spacing w:before="120" w:after="120"/>
        <w:jc w:val="both"/>
        <w:rPr>
          <w:rFonts w:ascii="Garamond" w:hAnsi="Garamond" w:cstheme="majorHAnsi"/>
          <w:b/>
          <w:bCs/>
        </w:rPr>
      </w:pPr>
      <w:r>
        <w:rPr>
          <w:rFonts w:ascii="Garamond" w:hAnsi="Garamond"/>
          <w:b/>
          <w:bCs/>
        </w:rPr>
        <w:lastRenderedPageBreak/>
        <w:t>Apresentação</w:t>
      </w:r>
    </w:p>
    <w:p w14:paraId="214272BB" w14:textId="77777777" w:rsidR="00B3070A" w:rsidRDefault="00B3070A" w:rsidP="003775F1">
      <w:pPr>
        <w:jc w:val="both"/>
        <w:rPr>
          <w:rFonts w:ascii="Garamond" w:hAnsi="Garamond" w:cstheme="majorHAnsi"/>
        </w:rPr>
      </w:pPr>
    </w:p>
    <w:p w14:paraId="2B5B7D04" w14:textId="33F03588" w:rsidR="00E9100F" w:rsidRPr="00E248EA" w:rsidRDefault="00E9100F" w:rsidP="003775F1">
      <w:pPr>
        <w:jc w:val="both"/>
        <w:rPr>
          <w:rFonts w:ascii="Garamond" w:hAnsi="Garamond" w:cstheme="majorHAnsi"/>
          <w:sz w:val="24"/>
          <w:szCs w:val="24"/>
        </w:rPr>
      </w:pPr>
      <w:r w:rsidRPr="00E248EA">
        <w:rPr>
          <w:rFonts w:ascii="Garamond" w:hAnsi="Garamond" w:cstheme="majorHAnsi"/>
          <w:sz w:val="24"/>
          <w:szCs w:val="24"/>
        </w:rPr>
        <w:t>A Subsecretaria de Defesa Comercial e Interesse Público (SDCOM) da Secretaria de Comércio Exterior (SECEX) da Secretaria Especial de Comércio Exterior e Assuntos Internacionais (SECINT) do Ministério da Economia é a autoridade pública competente para conduzir investigações de defesa comercial no Brasil, nos termos do art. 96 do Decreto nº 9.745, de 8 de abril de 2019, alterado pelo Decreto nº 10.072, de 18 de outubro de 2019. Dentre as medidas de defesa comercial estão as medidas antidumping, as medidas compensatórias e as salvaguardas.</w:t>
      </w:r>
    </w:p>
    <w:p w14:paraId="41D5153A" w14:textId="77777777" w:rsidR="00B3070A" w:rsidRPr="00E248EA" w:rsidRDefault="00B3070A" w:rsidP="003775F1">
      <w:pPr>
        <w:jc w:val="both"/>
        <w:rPr>
          <w:rFonts w:ascii="Garamond" w:hAnsi="Garamond" w:cstheme="majorHAnsi"/>
          <w:sz w:val="24"/>
          <w:szCs w:val="24"/>
        </w:rPr>
      </w:pPr>
    </w:p>
    <w:p w14:paraId="0461A962" w14:textId="79AD87F7" w:rsidR="00780A58" w:rsidRPr="00E248EA" w:rsidRDefault="00E9100F" w:rsidP="003775F1">
      <w:pPr>
        <w:jc w:val="both"/>
        <w:rPr>
          <w:rFonts w:ascii="Garamond" w:hAnsi="Garamond" w:cstheme="majorHAnsi"/>
          <w:sz w:val="24"/>
          <w:szCs w:val="24"/>
        </w:rPr>
      </w:pPr>
      <w:r w:rsidRPr="00E248EA">
        <w:rPr>
          <w:rFonts w:ascii="Garamond" w:hAnsi="Garamond" w:cstheme="majorHAnsi"/>
          <w:sz w:val="24"/>
          <w:szCs w:val="24"/>
        </w:rPr>
        <w:t xml:space="preserve">Este documento, intitulado </w:t>
      </w:r>
      <w:r w:rsidR="00E248EA" w:rsidRPr="00E248EA">
        <w:rPr>
          <w:rFonts w:ascii="Garamond" w:hAnsi="Garamond" w:cstheme="majorHAnsi"/>
          <w:sz w:val="24"/>
          <w:szCs w:val="24"/>
        </w:rPr>
        <w:t>“</w:t>
      </w:r>
      <w:r w:rsidRPr="00E248EA">
        <w:rPr>
          <w:rFonts w:ascii="Garamond" w:hAnsi="Garamond" w:cstheme="majorHAnsi"/>
          <w:sz w:val="24"/>
          <w:szCs w:val="24"/>
        </w:rPr>
        <w:t>SDCOM Mecum</w:t>
      </w:r>
      <w:r w:rsidR="00E248EA" w:rsidRPr="00E248EA">
        <w:rPr>
          <w:rFonts w:ascii="Garamond" w:hAnsi="Garamond" w:cstheme="majorHAnsi"/>
          <w:sz w:val="24"/>
          <w:szCs w:val="24"/>
        </w:rPr>
        <w:t>”</w:t>
      </w:r>
      <w:r w:rsidRPr="00E248EA">
        <w:rPr>
          <w:rFonts w:ascii="Garamond" w:hAnsi="Garamond" w:cstheme="majorHAnsi"/>
          <w:sz w:val="24"/>
          <w:szCs w:val="24"/>
        </w:rPr>
        <w:t xml:space="preserve">, visa a consolidar, como em um “Vade Mecum”, todas as normas </w:t>
      </w:r>
      <w:r w:rsidR="00573693">
        <w:rPr>
          <w:rFonts w:ascii="Garamond" w:hAnsi="Garamond" w:cstheme="majorHAnsi"/>
          <w:sz w:val="24"/>
          <w:szCs w:val="24"/>
        </w:rPr>
        <w:t>referentes</w:t>
      </w:r>
      <w:r w:rsidRPr="00E248EA">
        <w:rPr>
          <w:rFonts w:ascii="Garamond" w:hAnsi="Garamond" w:cstheme="majorHAnsi"/>
          <w:sz w:val="24"/>
          <w:szCs w:val="24"/>
        </w:rPr>
        <w:t xml:space="preserve"> a defesa comercial e interesse público no Brasil. </w:t>
      </w:r>
    </w:p>
    <w:p w14:paraId="4D2E3F45" w14:textId="77777777" w:rsidR="00B3070A" w:rsidRPr="00E248EA" w:rsidRDefault="00B3070A" w:rsidP="003775F1">
      <w:pPr>
        <w:jc w:val="both"/>
        <w:rPr>
          <w:rFonts w:ascii="Garamond" w:hAnsi="Garamond" w:cstheme="majorHAnsi"/>
          <w:sz w:val="24"/>
          <w:szCs w:val="24"/>
        </w:rPr>
      </w:pPr>
    </w:p>
    <w:p w14:paraId="3DC53BF8" w14:textId="31EDF59B" w:rsidR="00E9100F" w:rsidRPr="00E248EA" w:rsidRDefault="00E9100F" w:rsidP="003775F1">
      <w:pPr>
        <w:jc w:val="both"/>
        <w:rPr>
          <w:rFonts w:ascii="Garamond" w:hAnsi="Garamond" w:cstheme="majorHAnsi"/>
          <w:sz w:val="24"/>
          <w:szCs w:val="24"/>
        </w:rPr>
      </w:pPr>
      <w:r w:rsidRPr="00E248EA">
        <w:rPr>
          <w:rFonts w:ascii="Garamond" w:hAnsi="Garamond" w:cstheme="majorHAnsi"/>
          <w:sz w:val="24"/>
          <w:szCs w:val="24"/>
        </w:rPr>
        <w:t>Assim, o documento está organizado da seguinte maneira</w:t>
      </w:r>
      <w:r w:rsidR="0014217F">
        <w:rPr>
          <w:rFonts w:ascii="Garamond" w:hAnsi="Garamond" w:cstheme="majorHAnsi"/>
          <w:sz w:val="24"/>
          <w:szCs w:val="24"/>
        </w:rPr>
        <w:t>, consolidando 18 normativos que compõem a legislação brasileira sobre defesa comercial e interesse público</w:t>
      </w:r>
      <w:r w:rsidRPr="00E248EA">
        <w:rPr>
          <w:rFonts w:ascii="Garamond" w:hAnsi="Garamond" w:cstheme="majorHAnsi"/>
          <w:sz w:val="24"/>
          <w:szCs w:val="24"/>
        </w:rPr>
        <w:t>:</w:t>
      </w:r>
    </w:p>
    <w:p w14:paraId="391E9C58" w14:textId="344CE688" w:rsidR="00E9100F" w:rsidRPr="00E248EA" w:rsidRDefault="00E9100F" w:rsidP="003775F1">
      <w:pPr>
        <w:pStyle w:val="PargrafodaLista"/>
        <w:numPr>
          <w:ilvl w:val="0"/>
          <w:numId w:val="1"/>
        </w:numPr>
        <w:jc w:val="both"/>
        <w:rPr>
          <w:rFonts w:ascii="Garamond" w:hAnsi="Garamond" w:cstheme="majorHAnsi"/>
          <w:sz w:val="24"/>
          <w:szCs w:val="24"/>
        </w:rPr>
      </w:pPr>
      <w:r w:rsidRPr="00E248EA">
        <w:rPr>
          <w:rFonts w:ascii="Garamond" w:hAnsi="Garamond" w:cstheme="majorHAnsi"/>
          <w:sz w:val="24"/>
          <w:szCs w:val="24"/>
        </w:rPr>
        <w:t xml:space="preserve">Parte A – Normas gerais </w:t>
      </w:r>
      <w:r w:rsidR="00B3148B">
        <w:rPr>
          <w:rFonts w:ascii="Garamond" w:hAnsi="Garamond" w:cstheme="majorHAnsi"/>
          <w:sz w:val="24"/>
          <w:szCs w:val="24"/>
        </w:rPr>
        <w:t>sobre</w:t>
      </w:r>
      <w:r w:rsidRPr="00E248EA">
        <w:rPr>
          <w:rFonts w:ascii="Garamond" w:hAnsi="Garamond" w:cstheme="majorHAnsi"/>
          <w:sz w:val="24"/>
          <w:szCs w:val="24"/>
        </w:rPr>
        <w:t xml:space="preserve"> Defesa Comercial</w:t>
      </w:r>
    </w:p>
    <w:p w14:paraId="6E4F634A" w14:textId="1C74FFB8" w:rsidR="00E9100F" w:rsidRPr="00E248EA" w:rsidRDefault="00E9100F" w:rsidP="003775F1">
      <w:pPr>
        <w:pStyle w:val="PargrafodaLista"/>
        <w:numPr>
          <w:ilvl w:val="0"/>
          <w:numId w:val="1"/>
        </w:numPr>
        <w:jc w:val="both"/>
        <w:rPr>
          <w:rFonts w:ascii="Garamond" w:hAnsi="Garamond" w:cstheme="majorHAnsi"/>
          <w:sz w:val="24"/>
          <w:szCs w:val="24"/>
        </w:rPr>
      </w:pPr>
      <w:r w:rsidRPr="00E248EA">
        <w:rPr>
          <w:rFonts w:ascii="Garamond" w:hAnsi="Garamond" w:cstheme="majorHAnsi"/>
          <w:sz w:val="24"/>
          <w:szCs w:val="24"/>
        </w:rPr>
        <w:t xml:space="preserve">Parte B – Normas específicas </w:t>
      </w:r>
      <w:r w:rsidR="00B3148B">
        <w:rPr>
          <w:rFonts w:ascii="Garamond" w:hAnsi="Garamond" w:cstheme="majorHAnsi"/>
          <w:sz w:val="24"/>
          <w:szCs w:val="24"/>
        </w:rPr>
        <w:t>sobre</w:t>
      </w:r>
      <w:r w:rsidR="00B3148B" w:rsidRPr="00E248EA">
        <w:rPr>
          <w:rFonts w:ascii="Garamond" w:hAnsi="Garamond" w:cstheme="majorHAnsi"/>
          <w:sz w:val="24"/>
          <w:szCs w:val="24"/>
        </w:rPr>
        <w:t xml:space="preserve"> </w:t>
      </w:r>
      <w:r w:rsidR="007C6ADC" w:rsidRPr="00E248EA">
        <w:rPr>
          <w:rFonts w:ascii="Garamond" w:hAnsi="Garamond" w:cstheme="majorHAnsi"/>
          <w:sz w:val="24"/>
          <w:szCs w:val="24"/>
        </w:rPr>
        <w:t>Antidumping</w:t>
      </w:r>
    </w:p>
    <w:p w14:paraId="7AE6F244" w14:textId="6BD924FC" w:rsidR="00836E57" w:rsidRPr="00E248EA" w:rsidRDefault="00836E57" w:rsidP="003775F1">
      <w:pPr>
        <w:pStyle w:val="PargrafodaLista"/>
        <w:numPr>
          <w:ilvl w:val="0"/>
          <w:numId w:val="1"/>
        </w:numPr>
        <w:jc w:val="both"/>
        <w:rPr>
          <w:rFonts w:ascii="Garamond" w:hAnsi="Garamond" w:cstheme="majorHAnsi"/>
          <w:sz w:val="24"/>
          <w:szCs w:val="24"/>
        </w:rPr>
      </w:pPr>
      <w:r w:rsidRPr="00E248EA">
        <w:rPr>
          <w:rFonts w:ascii="Garamond" w:hAnsi="Garamond" w:cstheme="majorHAnsi"/>
          <w:sz w:val="24"/>
          <w:szCs w:val="24"/>
        </w:rPr>
        <w:t xml:space="preserve">Parte C – Normas específicas </w:t>
      </w:r>
      <w:r w:rsidR="00B3148B">
        <w:rPr>
          <w:rFonts w:ascii="Garamond" w:hAnsi="Garamond" w:cstheme="majorHAnsi"/>
          <w:sz w:val="24"/>
          <w:szCs w:val="24"/>
        </w:rPr>
        <w:t>sobre</w:t>
      </w:r>
      <w:r w:rsidR="00B3148B" w:rsidRPr="00E248EA">
        <w:rPr>
          <w:rFonts w:ascii="Garamond" w:hAnsi="Garamond" w:cstheme="majorHAnsi"/>
          <w:sz w:val="24"/>
          <w:szCs w:val="24"/>
        </w:rPr>
        <w:t xml:space="preserve"> </w:t>
      </w:r>
      <w:r w:rsidRPr="00E248EA">
        <w:rPr>
          <w:rFonts w:ascii="Garamond" w:hAnsi="Garamond" w:cstheme="majorHAnsi"/>
          <w:sz w:val="24"/>
          <w:szCs w:val="24"/>
        </w:rPr>
        <w:t>Subsídios e Medidas Compensatórias</w:t>
      </w:r>
    </w:p>
    <w:p w14:paraId="5AB308D8" w14:textId="5D2AE341" w:rsidR="00836E57" w:rsidRPr="00E248EA" w:rsidRDefault="00836E57" w:rsidP="003775F1">
      <w:pPr>
        <w:pStyle w:val="PargrafodaLista"/>
        <w:numPr>
          <w:ilvl w:val="0"/>
          <w:numId w:val="1"/>
        </w:numPr>
        <w:jc w:val="both"/>
        <w:rPr>
          <w:rFonts w:ascii="Garamond" w:hAnsi="Garamond" w:cstheme="majorHAnsi"/>
          <w:sz w:val="24"/>
          <w:szCs w:val="24"/>
        </w:rPr>
      </w:pPr>
      <w:r w:rsidRPr="00E248EA">
        <w:rPr>
          <w:rFonts w:ascii="Garamond" w:hAnsi="Garamond" w:cstheme="majorHAnsi"/>
          <w:sz w:val="24"/>
          <w:szCs w:val="24"/>
        </w:rPr>
        <w:t xml:space="preserve">Parte D – Normas específicas </w:t>
      </w:r>
      <w:r w:rsidR="00B3148B">
        <w:rPr>
          <w:rFonts w:ascii="Garamond" w:hAnsi="Garamond" w:cstheme="majorHAnsi"/>
          <w:sz w:val="24"/>
          <w:szCs w:val="24"/>
        </w:rPr>
        <w:t>sobre</w:t>
      </w:r>
      <w:r w:rsidR="00B3148B" w:rsidRPr="00E248EA">
        <w:rPr>
          <w:rFonts w:ascii="Garamond" w:hAnsi="Garamond" w:cstheme="majorHAnsi"/>
          <w:sz w:val="24"/>
          <w:szCs w:val="24"/>
        </w:rPr>
        <w:t xml:space="preserve"> </w:t>
      </w:r>
      <w:r w:rsidRPr="00E248EA">
        <w:rPr>
          <w:rFonts w:ascii="Garamond" w:hAnsi="Garamond" w:cstheme="majorHAnsi"/>
          <w:sz w:val="24"/>
          <w:szCs w:val="24"/>
        </w:rPr>
        <w:t>Salvaguardas</w:t>
      </w:r>
    </w:p>
    <w:p w14:paraId="132E3482" w14:textId="2E34F03B" w:rsidR="00836E57" w:rsidRPr="00E248EA" w:rsidRDefault="00836E57" w:rsidP="003775F1">
      <w:pPr>
        <w:pStyle w:val="PargrafodaLista"/>
        <w:numPr>
          <w:ilvl w:val="0"/>
          <w:numId w:val="1"/>
        </w:numPr>
        <w:jc w:val="both"/>
        <w:rPr>
          <w:rFonts w:ascii="Garamond" w:hAnsi="Garamond" w:cstheme="majorHAnsi"/>
          <w:sz w:val="24"/>
          <w:szCs w:val="24"/>
        </w:rPr>
      </w:pPr>
      <w:r w:rsidRPr="00E248EA">
        <w:rPr>
          <w:rFonts w:ascii="Garamond" w:hAnsi="Garamond" w:cstheme="majorHAnsi"/>
          <w:sz w:val="24"/>
          <w:szCs w:val="24"/>
        </w:rPr>
        <w:t xml:space="preserve">Parte E – Normas gerais </w:t>
      </w:r>
      <w:r w:rsidR="00B3148B">
        <w:rPr>
          <w:rFonts w:ascii="Garamond" w:hAnsi="Garamond" w:cstheme="majorHAnsi"/>
          <w:sz w:val="24"/>
          <w:szCs w:val="24"/>
        </w:rPr>
        <w:t>sobre</w:t>
      </w:r>
      <w:r w:rsidR="00B3148B" w:rsidRPr="00E248EA">
        <w:rPr>
          <w:rFonts w:ascii="Garamond" w:hAnsi="Garamond" w:cstheme="majorHAnsi"/>
          <w:sz w:val="24"/>
          <w:szCs w:val="24"/>
        </w:rPr>
        <w:t xml:space="preserve"> </w:t>
      </w:r>
      <w:r w:rsidRPr="00E248EA">
        <w:rPr>
          <w:rFonts w:ascii="Garamond" w:hAnsi="Garamond" w:cstheme="majorHAnsi"/>
          <w:sz w:val="24"/>
          <w:szCs w:val="24"/>
        </w:rPr>
        <w:t>Interesse Público</w:t>
      </w:r>
      <w:r w:rsidR="00B3148B">
        <w:rPr>
          <w:rFonts w:ascii="Garamond" w:hAnsi="Garamond" w:cstheme="majorHAnsi"/>
          <w:sz w:val="24"/>
          <w:szCs w:val="24"/>
        </w:rPr>
        <w:t xml:space="preserve"> em Defesa Comercial</w:t>
      </w:r>
    </w:p>
    <w:p w14:paraId="6C544414" w14:textId="77777777" w:rsidR="00CA092B" w:rsidRDefault="00CA092B" w:rsidP="003775F1">
      <w:pPr>
        <w:jc w:val="both"/>
        <w:rPr>
          <w:rFonts w:ascii="Garamond" w:hAnsi="Garamond" w:cstheme="majorHAnsi"/>
          <w:sz w:val="24"/>
          <w:szCs w:val="24"/>
        </w:rPr>
      </w:pPr>
    </w:p>
    <w:p w14:paraId="23485995" w14:textId="29A1696B" w:rsidR="0014217F" w:rsidRPr="00E248EA" w:rsidRDefault="0014217F" w:rsidP="003775F1">
      <w:pPr>
        <w:jc w:val="both"/>
        <w:rPr>
          <w:rFonts w:ascii="Garamond" w:hAnsi="Garamond" w:cstheme="majorHAnsi"/>
          <w:sz w:val="24"/>
          <w:szCs w:val="24"/>
        </w:rPr>
      </w:pPr>
      <w:r w:rsidRPr="005C5CBD">
        <w:rPr>
          <w:rFonts w:ascii="Garamond" w:hAnsi="Garamond"/>
          <w:noProof/>
          <w:lang w:eastAsia="pt-BR"/>
        </w:rPr>
        <w:lastRenderedPageBreak/>
        <w:drawing>
          <wp:inline distT="0" distB="0" distL="0" distR="0" wp14:anchorId="305601DE" wp14:editId="1C465BC7">
            <wp:extent cx="5400040" cy="9372600"/>
            <wp:effectExtent l="38100" t="0" r="10160" b="0"/>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85C9C98" w14:textId="77777777" w:rsidR="00B3070A" w:rsidRPr="00E248EA" w:rsidRDefault="00CA092B" w:rsidP="003775F1">
      <w:pPr>
        <w:jc w:val="both"/>
        <w:rPr>
          <w:rFonts w:ascii="Garamond" w:hAnsi="Garamond" w:cstheme="majorHAnsi"/>
          <w:sz w:val="24"/>
          <w:szCs w:val="24"/>
        </w:rPr>
      </w:pPr>
      <w:r w:rsidRPr="00E248EA">
        <w:rPr>
          <w:rFonts w:ascii="Garamond" w:hAnsi="Garamond" w:cstheme="majorHAnsi"/>
          <w:sz w:val="24"/>
          <w:szCs w:val="24"/>
        </w:rPr>
        <w:lastRenderedPageBreak/>
        <w:t xml:space="preserve">Esclarece-se, ainda, que </w:t>
      </w:r>
      <w:r w:rsidR="00B3070A" w:rsidRPr="00E248EA">
        <w:rPr>
          <w:rFonts w:ascii="Garamond" w:hAnsi="Garamond" w:cstheme="majorHAnsi"/>
          <w:sz w:val="24"/>
          <w:szCs w:val="24"/>
        </w:rPr>
        <w:t xml:space="preserve">textos específicos referentes a salvaguardas preferenciais, assim como roteiros para a elaboração de petição em defesa comercial e modelos de questionários estão disponíveis na página da SDCOM/SECEX/SECINT/ME: </w:t>
      </w:r>
      <w:hyperlink r:id="rId17" w:history="1">
        <w:r w:rsidR="00B3070A" w:rsidRPr="00E248EA">
          <w:rPr>
            <w:rStyle w:val="Hyperlink"/>
            <w:rFonts w:ascii="Garamond" w:hAnsi="Garamond" w:cstheme="majorHAnsi"/>
            <w:sz w:val="24"/>
            <w:szCs w:val="24"/>
          </w:rPr>
          <w:t>https://www.gov.br/produtividade-e-comercio-exterior/pt-br/assuntos/comercio-exterior/defesa-comercial-e-interesse-publico/legislacao-roteiros-e-questionarios</w:t>
        </w:r>
      </w:hyperlink>
      <w:r w:rsidR="00B3070A" w:rsidRPr="00E248EA">
        <w:rPr>
          <w:rFonts w:ascii="Garamond" w:hAnsi="Garamond" w:cstheme="majorHAnsi"/>
          <w:sz w:val="24"/>
          <w:szCs w:val="24"/>
        </w:rPr>
        <w:t>.</w:t>
      </w:r>
    </w:p>
    <w:p w14:paraId="10F93D9A" w14:textId="77777777" w:rsidR="00E74A36" w:rsidRDefault="00E74A36" w:rsidP="003775F1">
      <w:pPr>
        <w:jc w:val="both"/>
        <w:rPr>
          <w:rFonts w:ascii="Garamond" w:hAnsi="Garamond" w:cstheme="majorHAnsi"/>
        </w:rPr>
      </w:pPr>
    </w:p>
    <w:p w14:paraId="0BCCEB76" w14:textId="1278B9D0" w:rsidR="008317CE" w:rsidRDefault="00E74A36" w:rsidP="003775F1">
      <w:pPr>
        <w:jc w:val="both"/>
        <w:rPr>
          <w:rFonts w:ascii="Garamond" w:hAnsi="Garamond" w:cstheme="majorHAnsi"/>
        </w:rPr>
      </w:pPr>
      <w:commentRangeStart w:id="0"/>
      <w:r>
        <w:rPr>
          <w:rFonts w:ascii="Garamond" w:hAnsi="Garamond" w:cstheme="majorHAnsi"/>
        </w:rPr>
        <w:t>XXX</w:t>
      </w:r>
      <w:commentRangeEnd w:id="0"/>
      <w:r>
        <w:rPr>
          <w:rStyle w:val="Refdecomentrio"/>
        </w:rPr>
        <w:commentReference w:id="0"/>
      </w:r>
      <w:r w:rsidR="00B3070A">
        <w:rPr>
          <w:rFonts w:ascii="Garamond" w:hAnsi="Garamond" w:cstheme="majorHAnsi"/>
        </w:rPr>
        <w:t xml:space="preserve"> </w:t>
      </w:r>
    </w:p>
    <w:p w14:paraId="5330060A" w14:textId="77777777" w:rsidR="008317CE" w:rsidRDefault="008317CE">
      <w:pPr>
        <w:rPr>
          <w:rFonts w:ascii="Garamond" w:hAnsi="Garamond" w:cstheme="majorHAnsi"/>
        </w:rPr>
      </w:pPr>
      <w:r>
        <w:rPr>
          <w:rFonts w:ascii="Garamond" w:hAnsi="Garamond" w:cstheme="majorHAnsi"/>
        </w:rPr>
        <w:br w:type="page"/>
      </w:r>
    </w:p>
    <w:p w14:paraId="74648F43" w14:textId="5A0E221A" w:rsidR="008317CE" w:rsidRPr="008317CE" w:rsidRDefault="008317CE" w:rsidP="008317CE">
      <w:pPr>
        <w:pStyle w:val="Ttulo"/>
      </w:pPr>
      <w:commentRangeStart w:id="1"/>
      <w:r>
        <w:lastRenderedPageBreak/>
        <w:t>Sumário</w:t>
      </w:r>
      <w:commentRangeEnd w:id="1"/>
      <w:r w:rsidR="00464D0F" w:rsidRPr="005C5CBD">
        <w:rPr>
          <w:rStyle w:val="Refdecomentrio"/>
          <w:b w:val="0"/>
          <w:bCs w:val="0"/>
        </w:rPr>
        <w:commentReference w:id="1"/>
      </w:r>
    </w:p>
    <w:sdt>
      <w:sdtPr>
        <w:rPr>
          <w:rFonts w:ascii="Garamond" w:eastAsiaTheme="minorHAnsi" w:hAnsi="Garamond" w:cstheme="minorBidi"/>
          <w:color w:val="auto"/>
          <w:sz w:val="22"/>
          <w:szCs w:val="22"/>
          <w:lang w:eastAsia="en-US"/>
        </w:rPr>
        <w:id w:val="1568768301"/>
        <w:docPartObj>
          <w:docPartGallery w:val="Table of Contents"/>
          <w:docPartUnique/>
        </w:docPartObj>
      </w:sdtPr>
      <w:sdtEndPr>
        <w:rPr>
          <w:b/>
          <w:bCs/>
        </w:rPr>
      </w:sdtEndPr>
      <w:sdtContent>
        <w:p w14:paraId="0005CF42" w14:textId="48A0EDD1" w:rsidR="001212FB" w:rsidRPr="005C5CBD" w:rsidRDefault="00D90BB1" w:rsidP="00310959">
          <w:pPr>
            <w:pStyle w:val="CabealhodoSumrio"/>
            <w:tabs>
              <w:tab w:val="left" w:pos="1305"/>
              <w:tab w:val="left" w:pos="1530"/>
              <w:tab w:val="left" w:pos="2085"/>
            </w:tabs>
            <w:rPr>
              <w:rFonts w:ascii="Garamond" w:hAnsi="Garamond"/>
              <w:sz w:val="16"/>
              <w:szCs w:val="16"/>
            </w:rPr>
          </w:pPr>
          <w:r w:rsidRPr="005C5CBD">
            <w:rPr>
              <w:rFonts w:ascii="Garamond" w:eastAsiaTheme="minorHAnsi" w:hAnsi="Garamond" w:cstheme="minorBidi"/>
              <w:color w:val="auto"/>
              <w:sz w:val="22"/>
              <w:szCs w:val="22"/>
              <w:lang w:eastAsia="en-US"/>
            </w:rPr>
            <w:tab/>
          </w:r>
          <w:r w:rsidR="00310959">
            <w:rPr>
              <w:rFonts w:ascii="Garamond" w:eastAsiaTheme="minorHAnsi" w:hAnsi="Garamond" w:cstheme="minorBidi"/>
              <w:color w:val="auto"/>
              <w:sz w:val="22"/>
              <w:szCs w:val="22"/>
              <w:lang w:eastAsia="en-US"/>
            </w:rPr>
            <w:tab/>
          </w:r>
        </w:p>
        <w:p w14:paraId="665CA086" w14:textId="7D0E4ACF" w:rsidR="00CC23EA" w:rsidRDefault="001212FB">
          <w:pPr>
            <w:pStyle w:val="Sumrio1"/>
            <w:tabs>
              <w:tab w:val="right" w:leader="dot" w:pos="9230"/>
            </w:tabs>
            <w:rPr>
              <w:rFonts w:eastAsiaTheme="minorEastAsia"/>
              <w:noProof/>
              <w:lang w:eastAsia="pt-BR"/>
            </w:rPr>
          </w:pPr>
          <w:r w:rsidRPr="005C5CBD">
            <w:rPr>
              <w:rFonts w:ascii="Garamond" w:hAnsi="Garamond"/>
            </w:rPr>
            <w:fldChar w:fldCharType="begin"/>
          </w:r>
          <w:r w:rsidRPr="005C5CBD">
            <w:rPr>
              <w:rFonts w:ascii="Garamond" w:hAnsi="Garamond"/>
            </w:rPr>
            <w:instrText xml:space="preserve"> TOC \o "1-3" \h \z \u </w:instrText>
          </w:r>
          <w:r w:rsidRPr="005C5CBD">
            <w:rPr>
              <w:rFonts w:ascii="Garamond" w:hAnsi="Garamond"/>
            </w:rPr>
            <w:fldChar w:fldCharType="separate"/>
          </w:r>
          <w:hyperlink w:anchor="_Toc96003801" w:history="1">
            <w:r w:rsidR="00CC23EA" w:rsidRPr="00A8169A">
              <w:rPr>
                <w:rStyle w:val="Hyperlink"/>
                <w:rFonts w:ascii="Garamond" w:hAnsi="Garamond" w:cstheme="majorHAnsi"/>
                <w:b/>
                <w:smallCaps/>
                <w:noProof/>
              </w:rPr>
              <w:t>Parte A – Normas gerais sobre Defesa Comercial</w:t>
            </w:r>
            <w:r w:rsidR="00CC23EA">
              <w:rPr>
                <w:noProof/>
                <w:webHidden/>
              </w:rPr>
              <w:tab/>
            </w:r>
            <w:r w:rsidR="00CC23EA">
              <w:rPr>
                <w:noProof/>
                <w:webHidden/>
              </w:rPr>
              <w:fldChar w:fldCharType="begin"/>
            </w:r>
            <w:r w:rsidR="00CC23EA">
              <w:rPr>
                <w:noProof/>
                <w:webHidden/>
              </w:rPr>
              <w:instrText xml:space="preserve"> PAGEREF _Toc96003801 \h </w:instrText>
            </w:r>
            <w:r w:rsidR="00CC23EA">
              <w:rPr>
                <w:noProof/>
                <w:webHidden/>
              </w:rPr>
            </w:r>
            <w:r w:rsidR="00CC23EA">
              <w:rPr>
                <w:noProof/>
                <w:webHidden/>
              </w:rPr>
              <w:fldChar w:fldCharType="separate"/>
            </w:r>
            <w:r w:rsidR="00CC23EA">
              <w:rPr>
                <w:noProof/>
                <w:webHidden/>
              </w:rPr>
              <w:t>8</w:t>
            </w:r>
            <w:r w:rsidR="00CC23EA">
              <w:rPr>
                <w:noProof/>
                <w:webHidden/>
              </w:rPr>
              <w:fldChar w:fldCharType="end"/>
            </w:r>
          </w:hyperlink>
        </w:p>
        <w:p w14:paraId="0A87278C" w14:textId="6DEB4BFE" w:rsidR="00CC23EA" w:rsidRDefault="00C43D68">
          <w:pPr>
            <w:pStyle w:val="Sumrio2"/>
            <w:tabs>
              <w:tab w:val="right" w:leader="dot" w:pos="9230"/>
            </w:tabs>
            <w:rPr>
              <w:rFonts w:eastAsiaTheme="minorEastAsia"/>
              <w:noProof/>
              <w:lang w:eastAsia="pt-BR"/>
            </w:rPr>
          </w:pPr>
          <w:hyperlink w:anchor="_Toc96003802" w:history="1">
            <w:r w:rsidR="00CC23EA" w:rsidRPr="00A8169A">
              <w:rPr>
                <w:rStyle w:val="Hyperlink"/>
                <w:noProof/>
              </w:rPr>
              <w:t>Decreto legislativo n</w:t>
            </w:r>
            <w:r w:rsidR="00CC23EA" w:rsidRPr="00A8169A">
              <w:rPr>
                <w:rStyle w:val="Hyperlink"/>
                <w:rFonts w:eastAsia="Times New Roman" w:cs="Arial"/>
                <w:noProof/>
                <w:lang w:eastAsia="pt-BR"/>
              </w:rPr>
              <w:t>º</w:t>
            </w:r>
            <w:r w:rsidR="00CC23EA" w:rsidRPr="00A8169A">
              <w:rPr>
                <w:rStyle w:val="Hyperlink"/>
                <w:noProof/>
              </w:rPr>
              <w:t xml:space="preserve"> 30, de 15 de dezembro de 1994</w:t>
            </w:r>
            <w:r w:rsidR="00CC23EA">
              <w:rPr>
                <w:noProof/>
                <w:webHidden/>
              </w:rPr>
              <w:tab/>
            </w:r>
            <w:r w:rsidR="00CC23EA">
              <w:rPr>
                <w:noProof/>
                <w:webHidden/>
              </w:rPr>
              <w:fldChar w:fldCharType="begin"/>
            </w:r>
            <w:r w:rsidR="00CC23EA">
              <w:rPr>
                <w:noProof/>
                <w:webHidden/>
              </w:rPr>
              <w:instrText xml:space="preserve"> PAGEREF _Toc96003802 \h </w:instrText>
            </w:r>
            <w:r w:rsidR="00CC23EA">
              <w:rPr>
                <w:noProof/>
                <w:webHidden/>
              </w:rPr>
            </w:r>
            <w:r w:rsidR="00CC23EA">
              <w:rPr>
                <w:noProof/>
                <w:webHidden/>
              </w:rPr>
              <w:fldChar w:fldCharType="separate"/>
            </w:r>
            <w:r w:rsidR="00CC23EA">
              <w:rPr>
                <w:noProof/>
                <w:webHidden/>
              </w:rPr>
              <w:t>8</w:t>
            </w:r>
            <w:r w:rsidR="00CC23EA">
              <w:rPr>
                <w:noProof/>
                <w:webHidden/>
              </w:rPr>
              <w:fldChar w:fldCharType="end"/>
            </w:r>
          </w:hyperlink>
        </w:p>
        <w:p w14:paraId="7E04EACA" w14:textId="3B814932" w:rsidR="00CC23EA" w:rsidRDefault="00C43D68">
          <w:pPr>
            <w:pStyle w:val="Sumrio2"/>
            <w:tabs>
              <w:tab w:val="right" w:leader="dot" w:pos="9230"/>
            </w:tabs>
            <w:rPr>
              <w:rFonts w:eastAsiaTheme="minorEastAsia"/>
              <w:noProof/>
              <w:lang w:eastAsia="pt-BR"/>
            </w:rPr>
          </w:pPr>
          <w:hyperlink w:anchor="_Toc96003803" w:history="1">
            <w:r w:rsidR="00CC23EA" w:rsidRPr="00A8169A">
              <w:rPr>
                <w:rStyle w:val="Hyperlink"/>
                <w:rFonts w:cstheme="majorHAnsi"/>
                <w:noProof/>
              </w:rPr>
              <w:t>Lei n</w:t>
            </w:r>
            <w:r w:rsidR="00CC23EA" w:rsidRPr="00A8169A">
              <w:rPr>
                <w:rStyle w:val="Hyperlink"/>
                <w:noProof/>
                <w:lang w:eastAsia="pt-BR"/>
              </w:rPr>
              <w:t>º 9.019, de 30 de março de 1995</w:t>
            </w:r>
            <w:r w:rsidR="00CC23EA">
              <w:rPr>
                <w:noProof/>
                <w:webHidden/>
              </w:rPr>
              <w:tab/>
            </w:r>
            <w:r w:rsidR="00CC23EA">
              <w:rPr>
                <w:noProof/>
                <w:webHidden/>
              </w:rPr>
              <w:fldChar w:fldCharType="begin"/>
            </w:r>
            <w:r w:rsidR="00CC23EA">
              <w:rPr>
                <w:noProof/>
                <w:webHidden/>
              </w:rPr>
              <w:instrText xml:space="preserve"> PAGEREF _Toc96003803 \h </w:instrText>
            </w:r>
            <w:r w:rsidR="00CC23EA">
              <w:rPr>
                <w:noProof/>
                <w:webHidden/>
              </w:rPr>
            </w:r>
            <w:r w:rsidR="00CC23EA">
              <w:rPr>
                <w:noProof/>
                <w:webHidden/>
              </w:rPr>
              <w:fldChar w:fldCharType="separate"/>
            </w:r>
            <w:r w:rsidR="00CC23EA">
              <w:rPr>
                <w:noProof/>
                <w:webHidden/>
              </w:rPr>
              <w:t>9</w:t>
            </w:r>
            <w:r w:rsidR="00CC23EA">
              <w:rPr>
                <w:noProof/>
                <w:webHidden/>
              </w:rPr>
              <w:fldChar w:fldCharType="end"/>
            </w:r>
          </w:hyperlink>
        </w:p>
        <w:p w14:paraId="1DB04BC9" w14:textId="740FFB60" w:rsidR="00CC23EA" w:rsidRDefault="00C43D68">
          <w:pPr>
            <w:pStyle w:val="Sumrio2"/>
            <w:tabs>
              <w:tab w:val="right" w:leader="dot" w:pos="9230"/>
            </w:tabs>
            <w:rPr>
              <w:rFonts w:eastAsiaTheme="minorEastAsia"/>
              <w:noProof/>
              <w:lang w:eastAsia="pt-BR"/>
            </w:rPr>
          </w:pPr>
          <w:hyperlink w:anchor="_Toc96003804" w:history="1">
            <w:r w:rsidR="00CC23EA" w:rsidRPr="00A8169A">
              <w:rPr>
                <w:rStyle w:val="Hyperlink"/>
                <w:rFonts w:cstheme="majorHAnsi"/>
                <w:noProof/>
              </w:rPr>
              <w:t xml:space="preserve">Lei </w:t>
            </w:r>
            <w:r w:rsidR="00CC23EA" w:rsidRPr="00A8169A">
              <w:rPr>
                <w:rStyle w:val="Hyperlink"/>
                <w:noProof/>
                <w:lang w:eastAsia="pt-BR"/>
              </w:rPr>
              <w:t>nº 12.995, de 18 de junho de 2014</w:t>
            </w:r>
            <w:r w:rsidR="00CC23EA">
              <w:rPr>
                <w:noProof/>
                <w:webHidden/>
              </w:rPr>
              <w:tab/>
            </w:r>
            <w:r w:rsidR="00CC23EA">
              <w:rPr>
                <w:noProof/>
                <w:webHidden/>
              </w:rPr>
              <w:fldChar w:fldCharType="begin"/>
            </w:r>
            <w:r w:rsidR="00CC23EA">
              <w:rPr>
                <w:noProof/>
                <w:webHidden/>
              </w:rPr>
              <w:instrText xml:space="preserve"> PAGEREF _Toc96003804 \h </w:instrText>
            </w:r>
            <w:r w:rsidR="00CC23EA">
              <w:rPr>
                <w:noProof/>
                <w:webHidden/>
              </w:rPr>
            </w:r>
            <w:r w:rsidR="00CC23EA">
              <w:rPr>
                <w:noProof/>
                <w:webHidden/>
              </w:rPr>
              <w:fldChar w:fldCharType="separate"/>
            </w:r>
            <w:r w:rsidR="00CC23EA">
              <w:rPr>
                <w:noProof/>
                <w:webHidden/>
              </w:rPr>
              <w:t>15</w:t>
            </w:r>
            <w:r w:rsidR="00CC23EA">
              <w:rPr>
                <w:noProof/>
                <w:webHidden/>
              </w:rPr>
              <w:fldChar w:fldCharType="end"/>
            </w:r>
          </w:hyperlink>
        </w:p>
        <w:p w14:paraId="0F581000" w14:textId="42C196BE" w:rsidR="00CC23EA" w:rsidRDefault="00C43D68">
          <w:pPr>
            <w:pStyle w:val="Sumrio2"/>
            <w:tabs>
              <w:tab w:val="right" w:leader="dot" w:pos="9230"/>
            </w:tabs>
            <w:rPr>
              <w:rFonts w:eastAsiaTheme="minorEastAsia"/>
              <w:noProof/>
              <w:lang w:eastAsia="pt-BR"/>
            </w:rPr>
          </w:pPr>
          <w:hyperlink w:anchor="_Toc96003805" w:history="1">
            <w:r w:rsidR="00CC23EA" w:rsidRPr="00A8169A">
              <w:rPr>
                <w:rStyle w:val="Hyperlink"/>
                <w:rFonts w:cstheme="majorHAnsi"/>
                <w:noProof/>
              </w:rPr>
              <w:t xml:space="preserve">Decreto </w:t>
            </w:r>
            <w:r w:rsidR="00CC23EA" w:rsidRPr="00A8169A">
              <w:rPr>
                <w:rStyle w:val="Hyperlink"/>
                <w:noProof/>
                <w:lang w:eastAsia="pt-BR"/>
              </w:rPr>
              <w:t>nº 9.107, de 26 de julho de 2017</w:t>
            </w:r>
            <w:r w:rsidR="00CC23EA">
              <w:rPr>
                <w:noProof/>
                <w:webHidden/>
              </w:rPr>
              <w:tab/>
            </w:r>
            <w:r w:rsidR="00CC23EA">
              <w:rPr>
                <w:noProof/>
                <w:webHidden/>
              </w:rPr>
              <w:fldChar w:fldCharType="begin"/>
            </w:r>
            <w:r w:rsidR="00CC23EA">
              <w:rPr>
                <w:noProof/>
                <w:webHidden/>
              </w:rPr>
              <w:instrText xml:space="preserve"> PAGEREF _Toc96003805 \h </w:instrText>
            </w:r>
            <w:r w:rsidR="00CC23EA">
              <w:rPr>
                <w:noProof/>
                <w:webHidden/>
              </w:rPr>
            </w:r>
            <w:r w:rsidR="00CC23EA">
              <w:rPr>
                <w:noProof/>
                <w:webHidden/>
              </w:rPr>
              <w:fldChar w:fldCharType="separate"/>
            </w:r>
            <w:r w:rsidR="00CC23EA">
              <w:rPr>
                <w:noProof/>
                <w:webHidden/>
              </w:rPr>
              <w:t>27</w:t>
            </w:r>
            <w:r w:rsidR="00CC23EA">
              <w:rPr>
                <w:noProof/>
                <w:webHidden/>
              </w:rPr>
              <w:fldChar w:fldCharType="end"/>
            </w:r>
          </w:hyperlink>
        </w:p>
        <w:p w14:paraId="406A8965" w14:textId="69EC9A77" w:rsidR="00CC23EA" w:rsidRDefault="00C43D68">
          <w:pPr>
            <w:pStyle w:val="Sumrio2"/>
            <w:tabs>
              <w:tab w:val="right" w:leader="dot" w:pos="9230"/>
            </w:tabs>
            <w:rPr>
              <w:rFonts w:eastAsiaTheme="minorEastAsia"/>
              <w:noProof/>
              <w:lang w:eastAsia="pt-BR"/>
            </w:rPr>
          </w:pPr>
          <w:hyperlink w:anchor="_Toc96003806" w:history="1">
            <w:r w:rsidR="00CC23EA" w:rsidRPr="00A8169A">
              <w:rPr>
                <w:rStyle w:val="Hyperlink"/>
                <w:noProof/>
                <w:lang w:eastAsia="pt-BR"/>
              </w:rPr>
              <w:t>Portaria SECEX nº 162, de 6 de janeiro de 2022</w:t>
            </w:r>
            <w:r w:rsidR="00CC23EA">
              <w:rPr>
                <w:noProof/>
                <w:webHidden/>
              </w:rPr>
              <w:tab/>
            </w:r>
            <w:r w:rsidR="00CC23EA">
              <w:rPr>
                <w:noProof/>
                <w:webHidden/>
              </w:rPr>
              <w:fldChar w:fldCharType="begin"/>
            </w:r>
            <w:r w:rsidR="00CC23EA">
              <w:rPr>
                <w:noProof/>
                <w:webHidden/>
              </w:rPr>
              <w:instrText xml:space="preserve"> PAGEREF _Toc96003806 \h </w:instrText>
            </w:r>
            <w:r w:rsidR="00CC23EA">
              <w:rPr>
                <w:noProof/>
                <w:webHidden/>
              </w:rPr>
            </w:r>
            <w:r w:rsidR="00CC23EA">
              <w:rPr>
                <w:noProof/>
                <w:webHidden/>
              </w:rPr>
              <w:fldChar w:fldCharType="separate"/>
            </w:r>
            <w:r w:rsidR="00CC23EA">
              <w:rPr>
                <w:noProof/>
                <w:webHidden/>
              </w:rPr>
              <w:t>28</w:t>
            </w:r>
            <w:r w:rsidR="00CC23EA">
              <w:rPr>
                <w:noProof/>
                <w:webHidden/>
              </w:rPr>
              <w:fldChar w:fldCharType="end"/>
            </w:r>
          </w:hyperlink>
        </w:p>
        <w:p w14:paraId="5225C6C6" w14:textId="65104733" w:rsidR="00CC23EA" w:rsidRDefault="00C43D68">
          <w:pPr>
            <w:pStyle w:val="Sumrio1"/>
            <w:tabs>
              <w:tab w:val="right" w:leader="dot" w:pos="9230"/>
            </w:tabs>
            <w:rPr>
              <w:rFonts w:eastAsiaTheme="minorEastAsia"/>
              <w:noProof/>
              <w:lang w:eastAsia="pt-BR"/>
            </w:rPr>
          </w:pPr>
          <w:hyperlink w:anchor="_Toc96003807" w:history="1">
            <w:r w:rsidR="00CC23EA" w:rsidRPr="00A8169A">
              <w:rPr>
                <w:rStyle w:val="Hyperlink"/>
                <w:rFonts w:ascii="Garamond" w:hAnsi="Garamond" w:cstheme="majorHAnsi"/>
                <w:b/>
                <w:smallCaps/>
                <w:noProof/>
              </w:rPr>
              <w:t>Parte b – Normas Específicas de Antidumping</w:t>
            </w:r>
            <w:r w:rsidR="00CC23EA">
              <w:rPr>
                <w:noProof/>
                <w:webHidden/>
              </w:rPr>
              <w:tab/>
            </w:r>
            <w:r w:rsidR="00CC23EA">
              <w:rPr>
                <w:noProof/>
                <w:webHidden/>
              </w:rPr>
              <w:fldChar w:fldCharType="begin"/>
            </w:r>
            <w:r w:rsidR="00CC23EA">
              <w:rPr>
                <w:noProof/>
                <w:webHidden/>
              </w:rPr>
              <w:instrText xml:space="preserve"> PAGEREF _Toc96003807 \h </w:instrText>
            </w:r>
            <w:r w:rsidR="00CC23EA">
              <w:rPr>
                <w:noProof/>
                <w:webHidden/>
              </w:rPr>
            </w:r>
            <w:r w:rsidR="00CC23EA">
              <w:rPr>
                <w:noProof/>
                <w:webHidden/>
              </w:rPr>
              <w:fldChar w:fldCharType="separate"/>
            </w:r>
            <w:r w:rsidR="00CC23EA">
              <w:rPr>
                <w:noProof/>
                <w:webHidden/>
              </w:rPr>
              <w:t>45</w:t>
            </w:r>
            <w:r w:rsidR="00CC23EA">
              <w:rPr>
                <w:noProof/>
                <w:webHidden/>
              </w:rPr>
              <w:fldChar w:fldCharType="end"/>
            </w:r>
          </w:hyperlink>
        </w:p>
        <w:p w14:paraId="0E478707" w14:textId="14410B7E" w:rsidR="00CC23EA" w:rsidRDefault="00C43D68">
          <w:pPr>
            <w:pStyle w:val="Sumrio2"/>
            <w:tabs>
              <w:tab w:val="right" w:leader="dot" w:pos="9230"/>
            </w:tabs>
            <w:rPr>
              <w:rFonts w:eastAsiaTheme="minorEastAsia"/>
              <w:noProof/>
              <w:lang w:eastAsia="pt-BR"/>
            </w:rPr>
          </w:pPr>
          <w:hyperlink w:anchor="_Toc96003808" w:history="1">
            <w:r w:rsidR="00CC23EA" w:rsidRPr="00A8169A">
              <w:rPr>
                <w:rStyle w:val="Hyperlink"/>
                <w:noProof/>
              </w:rPr>
              <w:t>Acordo sobre a implementação do artigo VI do acordo geral sobre tarifas e comércio 1994 – Acordo Antidumping</w:t>
            </w:r>
            <w:r w:rsidR="00CC23EA">
              <w:rPr>
                <w:noProof/>
                <w:webHidden/>
              </w:rPr>
              <w:tab/>
            </w:r>
            <w:r w:rsidR="00CC23EA">
              <w:rPr>
                <w:noProof/>
                <w:webHidden/>
              </w:rPr>
              <w:fldChar w:fldCharType="begin"/>
            </w:r>
            <w:r w:rsidR="00CC23EA">
              <w:rPr>
                <w:noProof/>
                <w:webHidden/>
              </w:rPr>
              <w:instrText xml:space="preserve"> PAGEREF _Toc96003808 \h </w:instrText>
            </w:r>
            <w:r w:rsidR="00CC23EA">
              <w:rPr>
                <w:noProof/>
                <w:webHidden/>
              </w:rPr>
            </w:r>
            <w:r w:rsidR="00CC23EA">
              <w:rPr>
                <w:noProof/>
                <w:webHidden/>
              </w:rPr>
              <w:fldChar w:fldCharType="separate"/>
            </w:r>
            <w:r w:rsidR="00CC23EA">
              <w:rPr>
                <w:noProof/>
                <w:webHidden/>
              </w:rPr>
              <w:t>45</w:t>
            </w:r>
            <w:r w:rsidR="00CC23EA">
              <w:rPr>
                <w:noProof/>
                <w:webHidden/>
              </w:rPr>
              <w:fldChar w:fldCharType="end"/>
            </w:r>
          </w:hyperlink>
        </w:p>
        <w:p w14:paraId="6913DD00" w14:textId="2F375554" w:rsidR="00CC23EA" w:rsidRDefault="00C43D68">
          <w:pPr>
            <w:pStyle w:val="Sumrio2"/>
            <w:tabs>
              <w:tab w:val="right" w:leader="dot" w:pos="9230"/>
            </w:tabs>
            <w:rPr>
              <w:rFonts w:eastAsiaTheme="minorEastAsia"/>
              <w:noProof/>
              <w:lang w:eastAsia="pt-BR"/>
            </w:rPr>
          </w:pPr>
          <w:hyperlink w:anchor="_Toc96003809" w:history="1">
            <w:r w:rsidR="00CC23EA" w:rsidRPr="00A8169A">
              <w:rPr>
                <w:rStyle w:val="Hyperlink"/>
                <w:noProof/>
              </w:rPr>
              <w:t>Decreto n° 8.058, de 26 de julho de 2013</w:t>
            </w:r>
            <w:r w:rsidR="00CC23EA">
              <w:rPr>
                <w:noProof/>
                <w:webHidden/>
              </w:rPr>
              <w:tab/>
            </w:r>
            <w:r w:rsidR="00CC23EA">
              <w:rPr>
                <w:noProof/>
                <w:webHidden/>
              </w:rPr>
              <w:fldChar w:fldCharType="begin"/>
            </w:r>
            <w:r w:rsidR="00CC23EA">
              <w:rPr>
                <w:noProof/>
                <w:webHidden/>
              </w:rPr>
              <w:instrText xml:space="preserve"> PAGEREF _Toc96003809 \h </w:instrText>
            </w:r>
            <w:r w:rsidR="00CC23EA">
              <w:rPr>
                <w:noProof/>
                <w:webHidden/>
              </w:rPr>
            </w:r>
            <w:r w:rsidR="00CC23EA">
              <w:rPr>
                <w:noProof/>
                <w:webHidden/>
              </w:rPr>
              <w:fldChar w:fldCharType="separate"/>
            </w:r>
            <w:r w:rsidR="00CC23EA">
              <w:rPr>
                <w:noProof/>
                <w:webHidden/>
              </w:rPr>
              <w:t>74</w:t>
            </w:r>
            <w:r w:rsidR="00CC23EA">
              <w:rPr>
                <w:noProof/>
                <w:webHidden/>
              </w:rPr>
              <w:fldChar w:fldCharType="end"/>
            </w:r>
          </w:hyperlink>
        </w:p>
        <w:p w14:paraId="3A123173" w14:textId="64E9F4BD" w:rsidR="00CC23EA" w:rsidRDefault="00C43D68">
          <w:pPr>
            <w:pStyle w:val="Sumrio2"/>
            <w:tabs>
              <w:tab w:val="right" w:leader="dot" w:pos="9230"/>
            </w:tabs>
            <w:rPr>
              <w:rFonts w:eastAsiaTheme="minorEastAsia"/>
              <w:noProof/>
              <w:lang w:eastAsia="pt-BR"/>
            </w:rPr>
          </w:pPr>
          <w:hyperlink w:anchor="_Toc96003810" w:history="1">
            <w:r w:rsidR="00CC23EA" w:rsidRPr="00A8169A">
              <w:rPr>
                <w:rStyle w:val="Hyperlink"/>
                <w:noProof/>
              </w:rPr>
              <w:t>Lei n° 12.546, de 14 de dezembro de 2011</w:t>
            </w:r>
            <w:r w:rsidR="00CC23EA">
              <w:rPr>
                <w:noProof/>
                <w:webHidden/>
              </w:rPr>
              <w:tab/>
            </w:r>
            <w:r w:rsidR="00CC23EA">
              <w:rPr>
                <w:noProof/>
                <w:webHidden/>
              </w:rPr>
              <w:fldChar w:fldCharType="begin"/>
            </w:r>
            <w:r w:rsidR="00CC23EA">
              <w:rPr>
                <w:noProof/>
                <w:webHidden/>
              </w:rPr>
              <w:instrText xml:space="preserve"> PAGEREF _Toc96003810 \h </w:instrText>
            </w:r>
            <w:r w:rsidR="00CC23EA">
              <w:rPr>
                <w:noProof/>
                <w:webHidden/>
              </w:rPr>
            </w:r>
            <w:r w:rsidR="00CC23EA">
              <w:rPr>
                <w:noProof/>
                <w:webHidden/>
              </w:rPr>
              <w:fldChar w:fldCharType="separate"/>
            </w:r>
            <w:r w:rsidR="00CC23EA">
              <w:rPr>
                <w:noProof/>
                <w:webHidden/>
              </w:rPr>
              <w:t>133</w:t>
            </w:r>
            <w:r w:rsidR="00CC23EA">
              <w:rPr>
                <w:noProof/>
                <w:webHidden/>
              </w:rPr>
              <w:fldChar w:fldCharType="end"/>
            </w:r>
          </w:hyperlink>
        </w:p>
        <w:p w14:paraId="66FFEA8F" w14:textId="5B0DE3A5" w:rsidR="00CC23EA" w:rsidRDefault="00C43D68">
          <w:pPr>
            <w:pStyle w:val="Sumrio2"/>
            <w:tabs>
              <w:tab w:val="right" w:leader="dot" w:pos="9230"/>
            </w:tabs>
            <w:rPr>
              <w:rFonts w:eastAsiaTheme="minorEastAsia"/>
              <w:noProof/>
              <w:lang w:eastAsia="pt-BR"/>
            </w:rPr>
          </w:pPr>
          <w:hyperlink w:anchor="_Toc96003811" w:history="1">
            <w:r w:rsidR="00CC23EA" w:rsidRPr="00A8169A">
              <w:rPr>
                <w:rStyle w:val="Hyperlink"/>
                <w:noProof/>
              </w:rPr>
              <w:t>Portaria SECEX n° 171, de 9 de fevereiro de 2022</w:t>
            </w:r>
            <w:r w:rsidR="00CC23EA">
              <w:rPr>
                <w:noProof/>
                <w:webHidden/>
              </w:rPr>
              <w:tab/>
            </w:r>
            <w:r w:rsidR="00CC23EA">
              <w:rPr>
                <w:noProof/>
                <w:webHidden/>
              </w:rPr>
              <w:fldChar w:fldCharType="begin"/>
            </w:r>
            <w:r w:rsidR="00CC23EA">
              <w:rPr>
                <w:noProof/>
                <w:webHidden/>
              </w:rPr>
              <w:instrText xml:space="preserve"> PAGEREF _Toc96003811 \h </w:instrText>
            </w:r>
            <w:r w:rsidR="00CC23EA">
              <w:rPr>
                <w:noProof/>
                <w:webHidden/>
              </w:rPr>
            </w:r>
            <w:r w:rsidR="00CC23EA">
              <w:rPr>
                <w:noProof/>
                <w:webHidden/>
              </w:rPr>
              <w:fldChar w:fldCharType="separate"/>
            </w:r>
            <w:r w:rsidR="00CC23EA">
              <w:rPr>
                <w:noProof/>
                <w:webHidden/>
              </w:rPr>
              <w:t>134</w:t>
            </w:r>
            <w:r w:rsidR="00CC23EA">
              <w:rPr>
                <w:noProof/>
                <w:webHidden/>
              </w:rPr>
              <w:fldChar w:fldCharType="end"/>
            </w:r>
          </w:hyperlink>
        </w:p>
        <w:p w14:paraId="02D64B5E" w14:textId="6CCDEE73" w:rsidR="00CC23EA" w:rsidRDefault="00C43D68">
          <w:pPr>
            <w:pStyle w:val="Sumrio1"/>
            <w:tabs>
              <w:tab w:val="right" w:leader="dot" w:pos="9230"/>
            </w:tabs>
            <w:rPr>
              <w:rFonts w:eastAsiaTheme="minorEastAsia"/>
              <w:noProof/>
              <w:lang w:eastAsia="pt-BR"/>
            </w:rPr>
          </w:pPr>
          <w:hyperlink w:anchor="_Toc96003812" w:history="1">
            <w:r w:rsidR="00CC23EA" w:rsidRPr="00A8169A">
              <w:rPr>
                <w:rStyle w:val="Hyperlink"/>
                <w:rFonts w:ascii="Garamond" w:hAnsi="Garamond" w:cstheme="majorHAnsi"/>
                <w:b/>
                <w:smallCaps/>
                <w:noProof/>
              </w:rPr>
              <w:t>Parte C – Normas Específicas de Subsídios e Medidas Compensatórias</w:t>
            </w:r>
            <w:r w:rsidR="00CC23EA">
              <w:rPr>
                <w:noProof/>
                <w:webHidden/>
              </w:rPr>
              <w:tab/>
            </w:r>
            <w:r w:rsidR="00CC23EA">
              <w:rPr>
                <w:noProof/>
                <w:webHidden/>
              </w:rPr>
              <w:fldChar w:fldCharType="begin"/>
            </w:r>
            <w:r w:rsidR="00CC23EA">
              <w:rPr>
                <w:noProof/>
                <w:webHidden/>
              </w:rPr>
              <w:instrText xml:space="preserve"> PAGEREF _Toc96003812 \h </w:instrText>
            </w:r>
            <w:r w:rsidR="00CC23EA">
              <w:rPr>
                <w:noProof/>
                <w:webHidden/>
              </w:rPr>
            </w:r>
            <w:r w:rsidR="00CC23EA">
              <w:rPr>
                <w:noProof/>
                <w:webHidden/>
              </w:rPr>
              <w:fldChar w:fldCharType="separate"/>
            </w:r>
            <w:r w:rsidR="00CC23EA">
              <w:rPr>
                <w:noProof/>
                <w:webHidden/>
              </w:rPr>
              <w:t>227</w:t>
            </w:r>
            <w:r w:rsidR="00CC23EA">
              <w:rPr>
                <w:noProof/>
                <w:webHidden/>
              </w:rPr>
              <w:fldChar w:fldCharType="end"/>
            </w:r>
          </w:hyperlink>
        </w:p>
        <w:p w14:paraId="7215F956" w14:textId="4E624F46" w:rsidR="00CC23EA" w:rsidRDefault="00C43D68">
          <w:pPr>
            <w:pStyle w:val="Sumrio2"/>
            <w:tabs>
              <w:tab w:val="right" w:leader="dot" w:pos="9230"/>
            </w:tabs>
            <w:rPr>
              <w:rFonts w:eastAsiaTheme="minorEastAsia"/>
              <w:noProof/>
              <w:lang w:eastAsia="pt-BR"/>
            </w:rPr>
          </w:pPr>
          <w:hyperlink w:anchor="_Toc96003813" w:history="1">
            <w:r w:rsidR="00CC23EA" w:rsidRPr="00A8169A">
              <w:rPr>
                <w:rStyle w:val="Hyperlink"/>
                <w:noProof/>
              </w:rPr>
              <w:t>Acordo de Subsídios e Medidas Compensatórias</w:t>
            </w:r>
            <w:r w:rsidR="00CC23EA">
              <w:rPr>
                <w:noProof/>
                <w:webHidden/>
              </w:rPr>
              <w:tab/>
            </w:r>
            <w:r w:rsidR="00CC23EA">
              <w:rPr>
                <w:noProof/>
                <w:webHidden/>
              </w:rPr>
              <w:fldChar w:fldCharType="begin"/>
            </w:r>
            <w:r w:rsidR="00CC23EA">
              <w:rPr>
                <w:noProof/>
                <w:webHidden/>
              </w:rPr>
              <w:instrText xml:space="preserve"> PAGEREF _Toc96003813 \h </w:instrText>
            </w:r>
            <w:r w:rsidR="00CC23EA">
              <w:rPr>
                <w:noProof/>
                <w:webHidden/>
              </w:rPr>
            </w:r>
            <w:r w:rsidR="00CC23EA">
              <w:rPr>
                <w:noProof/>
                <w:webHidden/>
              </w:rPr>
              <w:fldChar w:fldCharType="separate"/>
            </w:r>
            <w:r w:rsidR="00CC23EA">
              <w:rPr>
                <w:noProof/>
                <w:webHidden/>
              </w:rPr>
              <w:t>227</w:t>
            </w:r>
            <w:r w:rsidR="00CC23EA">
              <w:rPr>
                <w:noProof/>
                <w:webHidden/>
              </w:rPr>
              <w:fldChar w:fldCharType="end"/>
            </w:r>
          </w:hyperlink>
        </w:p>
        <w:p w14:paraId="500B4E2E" w14:textId="1116E1BE" w:rsidR="00CC23EA" w:rsidRDefault="00C43D68">
          <w:pPr>
            <w:pStyle w:val="Sumrio2"/>
            <w:tabs>
              <w:tab w:val="right" w:leader="dot" w:pos="9230"/>
            </w:tabs>
            <w:rPr>
              <w:rFonts w:eastAsiaTheme="minorEastAsia"/>
              <w:noProof/>
              <w:lang w:eastAsia="pt-BR"/>
            </w:rPr>
          </w:pPr>
          <w:hyperlink w:anchor="_Toc96003814" w:history="1">
            <w:r w:rsidR="00CC23EA" w:rsidRPr="00A8169A">
              <w:rPr>
                <w:rStyle w:val="Hyperlink"/>
                <w:noProof/>
              </w:rPr>
              <w:t>Portaria SECEX n° 172, de 14 de fevereiro de 2022</w:t>
            </w:r>
            <w:r w:rsidR="00CC23EA">
              <w:rPr>
                <w:noProof/>
                <w:webHidden/>
              </w:rPr>
              <w:tab/>
            </w:r>
            <w:r w:rsidR="00CC23EA">
              <w:rPr>
                <w:noProof/>
                <w:webHidden/>
              </w:rPr>
              <w:fldChar w:fldCharType="begin"/>
            </w:r>
            <w:r w:rsidR="00CC23EA">
              <w:rPr>
                <w:noProof/>
                <w:webHidden/>
              </w:rPr>
              <w:instrText xml:space="preserve"> PAGEREF _Toc96003814 \h </w:instrText>
            </w:r>
            <w:r w:rsidR="00CC23EA">
              <w:rPr>
                <w:noProof/>
                <w:webHidden/>
              </w:rPr>
            </w:r>
            <w:r w:rsidR="00CC23EA">
              <w:rPr>
                <w:noProof/>
                <w:webHidden/>
              </w:rPr>
              <w:fldChar w:fldCharType="separate"/>
            </w:r>
            <w:r w:rsidR="00CC23EA">
              <w:rPr>
                <w:noProof/>
                <w:webHidden/>
              </w:rPr>
              <w:t>322</w:t>
            </w:r>
            <w:r w:rsidR="00CC23EA">
              <w:rPr>
                <w:noProof/>
                <w:webHidden/>
              </w:rPr>
              <w:fldChar w:fldCharType="end"/>
            </w:r>
          </w:hyperlink>
        </w:p>
        <w:p w14:paraId="5CC327E1" w14:textId="028D78AC" w:rsidR="00CC23EA" w:rsidRDefault="00C43D68">
          <w:pPr>
            <w:pStyle w:val="Sumrio1"/>
            <w:tabs>
              <w:tab w:val="right" w:leader="dot" w:pos="9230"/>
            </w:tabs>
            <w:rPr>
              <w:rFonts w:eastAsiaTheme="minorEastAsia"/>
              <w:noProof/>
              <w:lang w:eastAsia="pt-BR"/>
            </w:rPr>
          </w:pPr>
          <w:hyperlink w:anchor="_Toc96003815" w:history="1">
            <w:r w:rsidR="00CC23EA" w:rsidRPr="00A8169A">
              <w:rPr>
                <w:rStyle w:val="Hyperlink"/>
                <w:rFonts w:ascii="Garamond" w:hAnsi="Garamond" w:cstheme="majorHAnsi"/>
                <w:b/>
                <w:smallCaps/>
                <w:noProof/>
              </w:rPr>
              <w:t>Parte D – Normas Específicas de Salvaguarda</w:t>
            </w:r>
            <w:r w:rsidR="00CC23EA">
              <w:rPr>
                <w:noProof/>
                <w:webHidden/>
              </w:rPr>
              <w:tab/>
            </w:r>
            <w:r w:rsidR="00CC23EA">
              <w:rPr>
                <w:noProof/>
                <w:webHidden/>
              </w:rPr>
              <w:fldChar w:fldCharType="begin"/>
            </w:r>
            <w:r w:rsidR="00CC23EA">
              <w:rPr>
                <w:noProof/>
                <w:webHidden/>
              </w:rPr>
              <w:instrText xml:space="preserve"> PAGEREF _Toc96003815 \h </w:instrText>
            </w:r>
            <w:r w:rsidR="00CC23EA">
              <w:rPr>
                <w:noProof/>
                <w:webHidden/>
              </w:rPr>
            </w:r>
            <w:r w:rsidR="00CC23EA">
              <w:rPr>
                <w:noProof/>
                <w:webHidden/>
              </w:rPr>
              <w:fldChar w:fldCharType="separate"/>
            </w:r>
            <w:r w:rsidR="00CC23EA">
              <w:rPr>
                <w:noProof/>
                <w:webHidden/>
              </w:rPr>
              <w:t>472</w:t>
            </w:r>
            <w:r w:rsidR="00CC23EA">
              <w:rPr>
                <w:noProof/>
                <w:webHidden/>
              </w:rPr>
              <w:fldChar w:fldCharType="end"/>
            </w:r>
          </w:hyperlink>
        </w:p>
        <w:p w14:paraId="45DDD587" w14:textId="03512D32" w:rsidR="00CC23EA" w:rsidRDefault="00C43D68">
          <w:pPr>
            <w:pStyle w:val="Sumrio2"/>
            <w:tabs>
              <w:tab w:val="right" w:leader="dot" w:pos="9230"/>
            </w:tabs>
            <w:rPr>
              <w:rFonts w:eastAsiaTheme="minorEastAsia"/>
              <w:noProof/>
              <w:lang w:eastAsia="pt-BR"/>
            </w:rPr>
          </w:pPr>
          <w:hyperlink w:anchor="_Toc96003816" w:history="1">
            <w:r w:rsidR="00CC23EA" w:rsidRPr="00A8169A">
              <w:rPr>
                <w:rStyle w:val="Hyperlink"/>
                <w:noProof/>
              </w:rPr>
              <w:t>Acordo sobre Salvaguardas</w:t>
            </w:r>
            <w:r w:rsidR="00CC23EA">
              <w:rPr>
                <w:noProof/>
                <w:webHidden/>
              </w:rPr>
              <w:tab/>
            </w:r>
            <w:r w:rsidR="00CC23EA">
              <w:rPr>
                <w:noProof/>
                <w:webHidden/>
              </w:rPr>
              <w:fldChar w:fldCharType="begin"/>
            </w:r>
            <w:r w:rsidR="00CC23EA">
              <w:rPr>
                <w:noProof/>
                <w:webHidden/>
              </w:rPr>
              <w:instrText xml:space="preserve"> PAGEREF _Toc96003816 \h </w:instrText>
            </w:r>
            <w:r w:rsidR="00CC23EA">
              <w:rPr>
                <w:noProof/>
                <w:webHidden/>
              </w:rPr>
            </w:r>
            <w:r w:rsidR="00CC23EA">
              <w:rPr>
                <w:noProof/>
                <w:webHidden/>
              </w:rPr>
              <w:fldChar w:fldCharType="separate"/>
            </w:r>
            <w:r w:rsidR="00CC23EA">
              <w:rPr>
                <w:noProof/>
                <w:webHidden/>
              </w:rPr>
              <w:t>472</w:t>
            </w:r>
            <w:r w:rsidR="00CC23EA">
              <w:rPr>
                <w:noProof/>
                <w:webHidden/>
              </w:rPr>
              <w:fldChar w:fldCharType="end"/>
            </w:r>
          </w:hyperlink>
        </w:p>
        <w:p w14:paraId="6A55805F" w14:textId="35DE2283" w:rsidR="00CC23EA" w:rsidRDefault="00C43D68">
          <w:pPr>
            <w:pStyle w:val="Sumrio2"/>
            <w:tabs>
              <w:tab w:val="right" w:leader="dot" w:pos="9230"/>
            </w:tabs>
            <w:rPr>
              <w:rFonts w:eastAsiaTheme="minorEastAsia"/>
              <w:noProof/>
              <w:lang w:eastAsia="pt-BR"/>
            </w:rPr>
          </w:pPr>
          <w:hyperlink w:anchor="_Toc96003817" w:history="1">
            <w:r w:rsidR="00CC23EA" w:rsidRPr="00A8169A">
              <w:rPr>
                <w:rStyle w:val="Hyperlink"/>
                <w:noProof/>
              </w:rPr>
              <w:t>Decreto nº 1.488, de 11 de maio de 1995</w:t>
            </w:r>
            <w:r w:rsidR="00CC23EA">
              <w:rPr>
                <w:noProof/>
                <w:webHidden/>
              </w:rPr>
              <w:tab/>
            </w:r>
            <w:r w:rsidR="00CC23EA">
              <w:rPr>
                <w:noProof/>
                <w:webHidden/>
              </w:rPr>
              <w:fldChar w:fldCharType="begin"/>
            </w:r>
            <w:r w:rsidR="00CC23EA">
              <w:rPr>
                <w:noProof/>
                <w:webHidden/>
              </w:rPr>
              <w:instrText xml:space="preserve"> PAGEREF _Toc96003817 \h </w:instrText>
            </w:r>
            <w:r w:rsidR="00CC23EA">
              <w:rPr>
                <w:noProof/>
                <w:webHidden/>
              </w:rPr>
            </w:r>
            <w:r w:rsidR="00CC23EA">
              <w:rPr>
                <w:noProof/>
                <w:webHidden/>
              </w:rPr>
              <w:fldChar w:fldCharType="separate"/>
            </w:r>
            <w:r w:rsidR="00CC23EA">
              <w:rPr>
                <w:noProof/>
                <w:webHidden/>
              </w:rPr>
              <w:t>482</w:t>
            </w:r>
            <w:r w:rsidR="00CC23EA">
              <w:rPr>
                <w:noProof/>
                <w:webHidden/>
              </w:rPr>
              <w:fldChar w:fldCharType="end"/>
            </w:r>
          </w:hyperlink>
        </w:p>
        <w:p w14:paraId="6D2A9EAA" w14:textId="559F61DB" w:rsidR="00CC23EA" w:rsidRDefault="00C43D68">
          <w:pPr>
            <w:pStyle w:val="Sumrio2"/>
            <w:tabs>
              <w:tab w:val="right" w:leader="dot" w:pos="9230"/>
            </w:tabs>
            <w:rPr>
              <w:rFonts w:eastAsiaTheme="minorEastAsia"/>
              <w:noProof/>
              <w:lang w:eastAsia="pt-BR"/>
            </w:rPr>
          </w:pPr>
          <w:hyperlink w:anchor="_Toc96003818" w:history="1">
            <w:r w:rsidR="00CC23EA" w:rsidRPr="00A8169A">
              <w:rPr>
                <w:rStyle w:val="Hyperlink"/>
                <w:noProof/>
              </w:rPr>
              <w:t>Decreto nº 1.936, de 20 de junho de 1996</w:t>
            </w:r>
            <w:r w:rsidR="00CC23EA">
              <w:rPr>
                <w:noProof/>
                <w:webHidden/>
              </w:rPr>
              <w:tab/>
            </w:r>
            <w:r w:rsidR="00CC23EA">
              <w:rPr>
                <w:noProof/>
                <w:webHidden/>
              </w:rPr>
              <w:fldChar w:fldCharType="begin"/>
            </w:r>
            <w:r w:rsidR="00CC23EA">
              <w:rPr>
                <w:noProof/>
                <w:webHidden/>
              </w:rPr>
              <w:instrText xml:space="preserve"> PAGEREF _Toc96003818 \h </w:instrText>
            </w:r>
            <w:r w:rsidR="00CC23EA">
              <w:rPr>
                <w:noProof/>
                <w:webHidden/>
              </w:rPr>
            </w:r>
            <w:r w:rsidR="00CC23EA">
              <w:rPr>
                <w:noProof/>
                <w:webHidden/>
              </w:rPr>
              <w:fldChar w:fldCharType="separate"/>
            </w:r>
            <w:r w:rsidR="00CC23EA">
              <w:rPr>
                <w:noProof/>
                <w:webHidden/>
              </w:rPr>
              <w:t>493</w:t>
            </w:r>
            <w:r w:rsidR="00CC23EA">
              <w:rPr>
                <w:noProof/>
                <w:webHidden/>
              </w:rPr>
              <w:fldChar w:fldCharType="end"/>
            </w:r>
          </w:hyperlink>
        </w:p>
        <w:p w14:paraId="1715DE04" w14:textId="7026FBCA" w:rsidR="00CC23EA" w:rsidRDefault="00C43D68">
          <w:pPr>
            <w:pStyle w:val="Sumrio2"/>
            <w:tabs>
              <w:tab w:val="right" w:leader="dot" w:pos="9230"/>
            </w:tabs>
            <w:rPr>
              <w:rFonts w:eastAsiaTheme="minorEastAsia"/>
              <w:noProof/>
              <w:lang w:eastAsia="pt-BR"/>
            </w:rPr>
          </w:pPr>
          <w:hyperlink w:anchor="_Toc96003819" w:history="1">
            <w:r w:rsidR="00CC23EA" w:rsidRPr="00A8169A">
              <w:rPr>
                <w:rStyle w:val="Hyperlink"/>
                <w:noProof/>
              </w:rPr>
              <w:t>Decreto nº 2.667, de 10 de julho de 1998</w:t>
            </w:r>
            <w:r w:rsidR="00CC23EA">
              <w:rPr>
                <w:noProof/>
                <w:webHidden/>
              </w:rPr>
              <w:tab/>
            </w:r>
            <w:r w:rsidR="00CC23EA">
              <w:rPr>
                <w:noProof/>
                <w:webHidden/>
              </w:rPr>
              <w:fldChar w:fldCharType="begin"/>
            </w:r>
            <w:r w:rsidR="00CC23EA">
              <w:rPr>
                <w:noProof/>
                <w:webHidden/>
              </w:rPr>
              <w:instrText xml:space="preserve"> PAGEREF _Toc96003819 \h </w:instrText>
            </w:r>
            <w:r w:rsidR="00CC23EA">
              <w:rPr>
                <w:noProof/>
                <w:webHidden/>
              </w:rPr>
            </w:r>
            <w:r w:rsidR="00CC23EA">
              <w:rPr>
                <w:noProof/>
                <w:webHidden/>
              </w:rPr>
              <w:fldChar w:fldCharType="separate"/>
            </w:r>
            <w:r w:rsidR="00CC23EA">
              <w:rPr>
                <w:noProof/>
                <w:webHidden/>
              </w:rPr>
              <w:t>495</w:t>
            </w:r>
            <w:r w:rsidR="00CC23EA">
              <w:rPr>
                <w:noProof/>
                <w:webHidden/>
              </w:rPr>
              <w:fldChar w:fldCharType="end"/>
            </w:r>
          </w:hyperlink>
        </w:p>
        <w:p w14:paraId="3CF2F57A" w14:textId="58996AEE" w:rsidR="00CC23EA" w:rsidRDefault="00C43D68">
          <w:pPr>
            <w:pStyle w:val="Sumrio2"/>
            <w:tabs>
              <w:tab w:val="right" w:leader="dot" w:pos="9230"/>
            </w:tabs>
            <w:rPr>
              <w:rFonts w:eastAsiaTheme="minorEastAsia"/>
              <w:noProof/>
              <w:lang w:eastAsia="pt-BR"/>
            </w:rPr>
          </w:pPr>
          <w:hyperlink w:anchor="_Toc96003820" w:history="1">
            <w:r w:rsidR="00CC23EA" w:rsidRPr="00A8169A">
              <w:rPr>
                <w:rStyle w:val="Hyperlink"/>
                <w:noProof/>
              </w:rPr>
              <w:t>Portaria SECEX nº 169, de 25 de janeiro de 2022</w:t>
            </w:r>
            <w:r w:rsidR="00CC23EA">
              <w:rPr>
                <w:noProof/>
                <w:webHidden/>
              </w:rPr>
              <w:tab/>
            </w:r>
            <w:r w:rsidR="00CC23EA">
              <w:rPr>
                <w:noProof/>
                <w:webHidden/>
              </w:rPr>
              <w:fldChar w:fldCharType="begin"/>
            </w:r>
            <w:r w:rsidR="00CC23EA">
              <w:rPr>
                <w:noProof/>
                <w:webHidden/>
              </w:rPr>
              <w:instrText xml:space="preserve"> PAGEREF _Toc96003820 \h </w:instrText>
            </w:r>
            <w:r w:rsidR="00CC23EA">
              <w:rPr>
                <w:noProof/>
                <w:webHidden/>
              </w:rPr>
            </w:r>
            <w:r w:rsidR="00CC23EA">
              <w:rPr>
                <w:noProof/>
                <w:webHidden/>
              </w:rPr>
              <w:fldChar w:fldCharType="separate"/>
            </w:r>
            <w:r w:rsidR="00CC23EA">
              <w:rPr>
                <w:noProof/>
                <w:webHidden/>
              </w:rPr>
              <w:t>520</w:t>
            </w:r>
            <w:r w:rsidR="00CC23EA">
              <w:rPr>
                <w:noProof/>
                <w:webHidden/>
              </w:rPr>
              <w:fldChar w:fldCharType="end"/>
            </w:r>
          </w:hyperlink>
        </w:p>
        <w:p w14:paraId="4FC021BC" w14:textId="46B2E835" w:rsidR="00CC23EA" w:rsidRDefault="00C43D68">
          <w:pPr>
            <w:pStyle w:val="Sumrio1"/>
            <w:tabs>
              <w:tab w:val="right" w:leader="dot" w:pos="9230"/>
            </w:tabs>
            <w:rPr>
              <w:rFonts w:eastAsiaTheme="minorEastAsia"/>
              <w:noProof/>
              <w:lang w:eastAsia="pt-BR"/>
            </w:rPr>
          </w:pPr>
          <w:hyperlink w:anchor="_Toc96003821" w:history="1">
            <w:r w:rsidR="00CC23EA" w:rsidRPr="00A8169A">
              <w:rPr>
                <w:rStyle w:val="Hyperlink"/>
                <w:rFonts w:ascii="Garamond" w:hAnsi="Garamond" w:cstheme="majorHAnsi"/>
                <w:b/>
                <w:smallCaps/>
                <w:noProof/>
              </w:rPr>
              <w:t>Parte E – Normas gerais de Interesse Público</w:t>
            </w:r>
            <w:r w:rsidR="00CC23EA">
              <w:rPr>
                <w:noProof/>
                <w:webHidden/>
              </w:rPr>
              <w:tab/>
            </w:r>
            <w:r w:rsidR="00CC23EA">
              <w:rPr>
                <w:noProof/>
                <w:webHidden/>
              </w:rPr>
              <w:fldChar w:fldCharType="begin"/>
            </w:r>
            <w:r w:rsidR="00CC23EA">
              <w:rPr>
                <w:noProof/>
                <w:webHidden/>
              </w:rPr>
              <w:instrText xml:space="preserve"> PAGEREF _Toc96003821 \h </w:instrText>
            </w:r>
            <w:r w:rsidR="00CC23EA">
              <w:rPr>
                <w:noProof/>
                <w:webHidden/>
              </w:rPr>
            </w:r>
            <w:r w:rsidR="00CC23EA">
              <w:rPr>
                <w:noProof/>
                <w:webHidden/>
              </w:rPr>
              <w:fldChar w:fldCharType="separate"/>
            </w:r>
            <w:r w:rsidR="00CC23EA">
              <w:rPr>
                <w:noProof/>
                <w:webHidden/>
              </w:rPr>
              <w:t>532</w:t>
            </w:r>
            <w:r w:rsidR="00CC23EA">
              <w:rPr>
                <w:noProof/>
                <w:webHidden/>
              </w:rPr>
              <w:fldChar w:fldCharType="end"/>
            </w:r>
          </w:hyperlink>
        </w:p>
        <w:p w14:paraId="18DB1007" w14:textId="794B68E5" w:rsidR="00CC23EA" w:rsidRDefault="00C43D68">
          <w:pPr>
            <w:pStyle w:val="Sumrio2"/>
            <w:tabs>
              <w:tab w:val="right" w:leader="dot" w:pos="9230"/>
            </w:tabs>
            <w:rPr>
              <w:rFonts w:eastAsiaTheme="minorEastAsia"/>
              <w:noProof/>
              <w:lang w:eastAsia="pt-BR"/>
            </w:rPr>
          </w:pPr>
          <w:hyperlink w:anchor="_Toc96003822" w:history="1">
            <w:r w:rsidR="00CC23EA" w:rsidRPr="00A8169A">
              <w:rPr>
                <w:rStyle w:val="Hyperlink"/>
                <w:noProof/>
              </w:rPr>
              <w:t>Acordo sobre a implementação do artigo VI do acordo geral sobre tarifas e comércio 1994 – Acordo Antidumping</w:t>
            </w:r>
            <w:r w:rsidR="00CC23EA">
              <w:rPr>
                <w:noProof/>
                <w:webHidden/>
              </w:rPr>
              <w:tab/>
            </w:r>
            <w:r w:rsidR="00CC23EA">
              <w:rPr>
                <w:noProof/>
                <w:webHidden/>
              </w:rPr>
              <w:fldChar w:fldCharType="begin"/>
            </w:r>
            <w:r w:rsidR="00CC23EA">
              <w:rPr>
                <w:noProof/>
                <w:webHidden/>
              </w:rPr>
              <w:instrText xml:space="preserve"> PAGEREF _Toc96003822 \h </w:instrText>
            </w:r>
            <w:r w:rsidR="00CC23EA">
              <w:rPr>
                <w:noProof/>
                <w:webHidden/>
              </w:rPr>
            </w:r>
            <w:r w:rsidR="00CC23EA">
              <w:rPr>
                <w:noProof/>
                <w:webHidden/>
              </w:rPr>
              <w:fldChar w:fldCharType="separate"/>
            </w:r>
            <w:r w:rsidR="00CC23EA">
              <w:rPr>
                <w:noProof/>
                <w:webHidden/>
              </w:rPr>
              <w:t>532</w:t>
            </w:r>
            <w:r w:rsidR="00CC23EA">
              <w:rPr>
                <w:noProof/>
                <w:webHidden/>
              </w:rPr>
              <w:fldChar w:fldCharType="end"/>
            </w:r>
          </w:hyperlink>
        </w:p>
        <w:p w14:paraId="27029125" w14:textId="0671E8BC" w:rsidR="00CC23EA" w:rsidRDefault="00C43D68">
          <w:pPr>
            <w:pStyle w:val="Sumrio2"/>
            <w:tabs>
              <w:tab w:val="right" w:leader="dot" w:pos="9230"/>
            </w:tabs>
            <w:rPr>
              <w:rFonts w:eastAsiaTheme="minorEastAsia"/>
              <w:noProof/>
              <w:lang w:eastAsia="pt-BR"/>
            </w:rPr>
          </w:pPr>
          <w:hyperlink w:anchor="_Toc96003823" w:history="1">
            <w:r w:rsidR="00CC23EA" w:rsidRPr="00A8169A">
              <w:rPr>
                <w:rStyle w:val="Hyperlink"/>
                <w:noProof/>
              </w:rPr>
              <w:t>Decreto n° 8.058, de 26 de julho de 2013</w:t>
            </w:r>
            <w:r w:rsidR="00CC23EA">
              <w:rPr>
                <w:noProof/>
                <w:webHidden/>
              </w:rPr>
              <w:tab/>
            </w:r>
            <w:r w:rsidR="00CC23EA">
              <w:rPr>
                <w:noProof/>
                <w:webHidden/>
              </w:rPr>
              <w:fldChar w:fldCharType="begin"/>
            </w:r>
            <w:r w:rsidR="00CC23EA">
              <w:rPr>
                <w:noProof/>
                <w:webHidden/>
              </w:rPr>
              <w:instrText xml:space="preserve"> PAGEREF _Toc96003823 \h </w:instrText>
            </w:r>
            <w:r w:rsidR="00CC23EA">
              <w:rPr>
                <w:noProof/>
                <w:webHidden/>
              </w:rPr>
            </w:r>
            <w:r w:rsidR="00CC23EA">
              <w:rPr>
                <w:noProof/>
                <w:webHidden/>
              </w:rPr>
              <w:fldChar w:fldCharType="separate"/>
            </w:r>
            <w:r w:rsidR="00CC23EA">
              <w:rPr>
                <w:noProof/>
                <w:webHidden/>
              </w:rPr>
              <w:t>533</w:t>
            </w:r>
            <w:r w:rsidR="00CC23EA">
              <w:rPr>
                <w:noProof/>
                <w:webHidden/>
              </w:rPr>
              <w:fldChar w:fldCharType="end"/>
            </w:r>
          </w:hyperlink>
        </w:p>
        <w:p w14:paraId="2886FF8D" w14:textId="2A888687" w:rsidR="00CC23EA" w:rsidRDefault="00C43D68">
          <w:pPr>
            <w:pStyle w:val="Sumrio2"/>
            <w:tabs>
              <w:tab w:val="right" w:leader="dot" w:pos="9230"/>
            </w:tabs>
            <w:rPr>
              <w:rFonts w:eastAsiaTheme="minorEastAsia"/>
              <w:noProof/>
              <w:lang w:eastAsia="pt-BR"/>
            </w:rPr>
          </w:pPr>
          <w:hyperlink w:anchor="_Toc96003824" w:history="1">
            <w:r w:rsidR="00CC23EA" w:rsidRPr="00A8169A">
              <w:rPr>
                <w:rStyle w:val="Hyperlink"/>
                <w:noProof/>
              </w:rPr>
              <w:t>Acordo sobre Subsídios e Medidas Compensatórias</w:t>
            </w:r>
            <w:r w:rsidR="00CC23EA">
              <w:rPr>
                <w:noProof/>
                <w:webHidden/>
              </w:rPr>
              <w:tab/>
            </w:r>
            <w:r w:rsidR="00CC23EA">
              <w:rPr>
                <w:noProof/>
                <w:webHidden/>
              </w:rPr>
              <w:fldChar w:fldCharType="begin"/>
            </w:r>
            <w:r w:rsidR="00CC23EA">
              <w:rPr>
                <w:noProof/>
                <w:webHidden/>
              </w:rPr>
              <w:instrText xml:space="preserve"> PAGEREF _Toc96003824 \h </w:instrText>
            </w:r>
            <w:r w:rsidR="00CC23EA">
              <w:rPr>
                <w:noProof/>
                <w:webHidden/>
              </w:rPr>
            </w:r>
            <w:r w:rsidR="00CC23EA">
              <w:rPr>
                <w:noProof/>
                <w:webHidden/>
              </w:rPr>
              <w:fldChar w:fldCharType="separate"/>
            </w:r>
            <w:r w:rsidR="00CC23EA">
              <w:rPr>
                <w:noProof/>
                <w:webHidden/>
              </w:rPr>
              <w:t>534</w:t>
            </w:r>
            <w:r w:rsidR="00CC23EA">
              <w:rPr>
                <w:noProof/>
                <w:webHidden/>
              </w:rPr>
              <w:fldChar w:fldCharType="end"/>
            </w:r>
          </w:hyperlink>
        </w:p>
        <w:p w14:paraId="5E068628" w14:textId="1967E051" w:rsidR="00CC23EA" w:rsidRDefault="00C43D68">
          <w:pPr>
            <w:pStyle w:val="Sumrio2"/>
            <w:tabs>
              <w:tab w:val="right" w:leader="dot" w:pos="9230"/>
            </w:tabs>
            <w:rPr>
              <w:rFonts w:eastAsiaTheme="minorEastAsia"/>
              <w:noProof/>
              <w:lang w:eastAsia="pt-BR"/>
            </w:rPr>
          </w:pPr>
          <w:hyperlink w:anchor="_Toc96003825" w:history="1">
            <w:r w:rsidR="00CC23EA" w:rsidRPr="00A8169A">
              <w:rPr>
                <w:rStyle w:val="Hyperlink"/>
                <w:noProof/>
              </w:rPr>
              <w:t>Decreto n° 10.839, de 18 de outubro de 2021</w:t>
            </w:r>
            <w:r w:rsidR="00CC23EA">
              <w:rPr>
                <w:noProof/>
                <w:webHidden/>
              </w:rPr>
              <w:tab/>
            </w:r>
            <w:r w:rsidR="00CC23EA">
              <w:rPr>
                <w:noProof/>
                <w:webHidden/>
              </w:rPr>
              <w:fldChar w:fldCharType="begin"/>
            </w:r>
            <w:r w:rsidR="00CC23EA">
              <w:rPr>
                <w:noProof/>
                <w:webHidden/>
              </w:rPr>
              <w:instrText xml:space="preserve"> PAGEREF _Toc96003825 \h </w:instrText>
            </w:r>
            <w:r w:rsidR="00CC23EA">
              <w:rPr>
                <w:noProof/>
                <w:webHidden/>
              </w:rPr>
            </w:r>
            <w:r w:rsidR="00CC23EA">
              <w:rPr>
                <w:noProof/>
                <w:webHidden/>
              </w:rPr>
              <w:fldChar w:fldCharType="separate"/>
            </w:r>
            <w:r w:rsidR="00CC23EA">
              <w:rPr>
                <w:noProof/>
                <w:webHidden/>
              </w:rPr>
              <w:t>535</w:t>
            </w:r>
            <w:r w:rsidR="00CC23EA">
              <w:rPr>
                <w:noProof/>
                <w:webHidden/>
              </w:rPr>
              <w:fldChar w:fldCharType="end"/>
            </w:r>
          </w:hyperlink>
        </w:p>
        <w:p w14:paraId="3B55A6BD" w14:textId="089974FD" w:rsidR="00CC23EA" w:rsidRDefault="00C43D68">
          <w:pPr>
            <w:pStyle w:val="Sumrio2"/>
            <w:tabs>
              <w:tab w:val="right" w:leader="dot" w:pos="9230"/>
            </w:tabs>
            <w:rPr>
              <w:rFonts w:eastAsiaTheme="minorEastAsia"/>
              <w:noProof/>
              <w:lang w:eastAsia="pt-BR"/>
            </w:rPr>
          </w:pPr>
          <w:hyperlink w:anchor="_Toc96003826" w:history="1">
            <w:r w:rsidR="00CC23EA" w:rsidRPr="00A8169A">
              <w:rPr>
                <w:rStyle w:val="Hyperlink"/>
                <w:noProof/>
              </w:rPr>
              <w:t>Acordo de Salvaguarda</w:t>
            </w:r>
            <w:r w:rsidR="00CC23EA">
              <w:rPr>
                <w:noProof/>
                <w:webHidden/>
              </w:rPr>
              <w:tab/>
            </w:r>
            <w:r w:rsidR="00CC23EA">
              <w:rPr>
                <w:noProof/>
                <w:webHidden/>
              </w:rPr>
              <w:fldChar w:fldCharType="begin"/>
            </w:r>
            <w:r w:rsidR="00CC23EA">
              <w:rPr>
                <w:noProof/>
                <w:webHidden/>
              </w:rPr>
              <w:instrText xml:space="preserve"> PAGEREF _Toc96003826 \h </w:instrText>
            </w:r>
            <w:r w:rsidR="00CC23EA">
              <w:rPr>
                <w:noProof/>
                <w:webHidden/>
              </w:rPr>
            </w:r>
            <w:r w:rsidR="00CC23EA">
              <w:rPr>
                <w:noProof/>
                <w:webHidden/>
              </w:rPr>
              <w:fldChar w:fldCharType="separate"/>
            </w:r>
            <w:r w:rsidR="00CC23EA">
              <w:rPr>
                <w:noProof/>
                <w:webHidden/>
              </w:rPr>
              <w:t>536</w:t>
            </w:r>
            <w:r w:rsidR="00CC23EA">
              <w:rPr>
                <w:noProof/>
                <w:webHidden/>
              </w:rPr>
              <w:fldChar w:fldCharType="end"/>
            </w:r>
          </w:hyperlink>
        </w:p>
        <w:p w14:paraId="5FEA8450" w14:textId="0F466264" w:rsidR="00CC23EA" w:rsidRDefault="00C43D68">
          <w:pPr>
            <w:pStyle w:val="Sumrio2"/>
            <w:tabs>
              <w:tab w:val="right" w:leader="dot" w:pos="9230"/>
            </w:tabs>
            <w:rPr>
              <w:rFonts w:eastAsiaTheme="minorEastAsia"/>
              <w:noProof/>
              <w:lang w:eastAsia="pt-BR"/>
            </w:rPr>
          </w:pPr>
          <w:hyperlink w:anchor="_Toc96003827" w:history="1">
            <w:r w:rsidR="00CC23EA" w:rsidRPr="00A8169A">
              <w:rPr>
                <w:rStyle w:val="Hyperlink"/>
                <w:noProof/>
              </w:rPr>
              <w:t>Decreto n° 1.488, de 11 de maio de 1995</w:t>
            </w:r>
            <w:r w:rsidR="00CC23EA">
              <w:rPr>
                <w:noProof/>
                <w:webHidden/>
              </w:rPr>
              <w:tab/>
            </w:r>
            <w:r w:rsidR="00CC23EA">
              <w:rPr>
                <w:noProof/>
                <w:webHidden/>
              </w:rPr>
              <w:fldChar w:fldCharType="begin"/>
            </w:r>
            <w:r w:rsidR="00CC23EA">
              <w:rPr>
                <w:noProof/>
                <w:webHidden/>
              </w:rPr>
              <w:instrText xml:space="preserve"> PAGEREF _Toc96003827 \h </w:instrText>
            </w:r>
            <w:r w:rsidR="00CC23EA">
              <w:rPr>
                <w:noProof/>
                <w:webHidden/>
              </w:rPr>
            </w:r>
            <w:r w:rsidR="00CC23EA">
              <w:rPr>
                <w:noProof/>
                <w:webHidden/>
              </w:rPr>
              <w:fldChar w:fldCharType="separate"/>
            </w:r>
            <w:r w:rsidR="00CC23EA">
              <w:rPr>
                <w:noProof/>
                <w:webHidden/>
              </w:rPr>
              <w:t>538</w:t>
            </w:r>
            <w:r w:rsidR="00CC23EA">
              <w:rPr>
                <w:noProof/>
                <w:webHidden/>
              </w:rPr>
              <w:fldChar w:fldCharType="end"/>
            </w:r>
          </w:hyperlink>
        </w:p>
        <w:p w14:paraId="42E2E13B" w14:textId="4D17D891" w:rsidR="00CC23EA" w:rsidRDefault="00C43D68">
          <w:pPr>
            <w:pStyle w:val="Sumrio2"/>
            <w:tabs>
              <w:tab w:val="right" w:leader="dot" w:pos="9230"/>
            </w:tabs>
            <w:rPr>
              <w:rFonts w:eastAsiaTheme="minorEastAsia"/>
              <w:noProof/>
              <w:lang w:eastAsia="pt-BR"/>
            </w:rPr>
          </w:pPr>
          <w:hyperlink w:anchor="_Toc96003828" w:history="1">
            <w:r w:rsidR="00CC23EA" w:rsidRPr="00A8169A">
              <w:rPr>
                <w:rStyle w:val="Hyperlink"/>
                <w:noProof/>
              </w:rPr>
              <w:t>Portaria SECEX nº 13, de 29 de janeiro de 2020</w:t>
            </w:r>
            <w:r w:rsidR="00CC23EA">
              <w:rPr>
                <w:noProof/>
                <w:webHidden/>
              </w:rPr>
              <w:tab/>
            </w:r>
            <w:r w:rsidR="00CC23EA">
              <w:rPr>
                <w:noProof/>
                <w:webHidden/>
              </w:rPr>
              <w:fldChar w:fldCharType="begin"/>
            </w:r>
            <w:r w:rsidR="00CC23EA">
              <w:rPr>
                <w:noProof/>
                <w:webHidden/>
              </w:rPr>
              <w:instrText xml:space="preserve"> PAGEREF _Toc96003828 \h </w:instrText>
            </w:r>
            <w:r w:rsidR="00CC23EA">
              <w:rPr>
                <w:noProof/>
                <w:webHidden/>
              </w:rPr>
            </w:r>
            <w:r w:rsidR="00CC23EA">
              <w:rPr>
                <w:noProof/>
                <w:webHidden/>
              </w:rPr>
              <w:fldChar w:fldCharType="separate"/>
            </w:r>
            <w:r w:rsidR="00CC23EA">
              <w:rPr>
                <w:noProof/>
                <w:webHidden/>
              </w:rPr>
              <w:t>539</w:t>
            </w:r>
            <w:r w:rsidR="00CC23EA">
              <w:rPr>
                <w:noProof/>
                <w:webHidden/>
              </w:rPr>
              <w:fldChar w:fldCharType="end"/>
            </w:r>
          </w:hyperlink>
        </w:p>
        <w:p w14:paraId="79ECB731" w14:textId="28412607" w:rsidR="001212FB" w:rsidRPr="005C5CBD" w:rsidRDefault="001212FB" w:rsidP="0097041B">
          <w:pPr>
            <w:rPr>
              <w:rFonts w:ascii="Garamond" w:hAnsi="Garamond"/>
            </w:rPr>
          </w:pPr>
          <w:r w:rsidRPr="005C5CBD">
            <w:rPr>
              <w:rFonts w:ascii="Garamond" w:hAnsi="Garamond"/>
              <w:b/>
              <w:bCs/>
            </w:rPr>
            <w:fldChar w:fldCharType="end"/>
          </w:r>
        </w:p>
      </w:sdtContent>
    </w:sdt>
    <w:p w14:paraId="7D6762A4" w14:textId="47A96EBD" w:rsidR="00C00894" w:rsidRPr="00395593" w:rsidRDefault="00C00894" w:rsidP="003775F1">
      <w:pPr>
        <w:jc w:val="both"/>
        <w:rPr>
          <w:rFonts w:ascii="Garamond" w:hAnsi="Garamond"/>
        </w:rPr>
      </w:pPr>
    </w:p>
    <w:p w14:paraId="47C03DF3" w14:textId="77777777" w:rsidR="006671EA" w:rsidRDefault="006671EA" w:rsidP="0097041B">
      <w:pPr>
        <w:jc w:val="both"/>
        <w:rPr>
          <w:rFonts w:ascii="Garamond" w:hAnsi="Garamond"/>
          <w:noProof/>
          <w:color w:val="2B579A"/>
          <w:shd w:val="clear" w:color="auto" w:fill="E6E6E6"/>
          <w:lang w:eastAsia="pt-BR"/>
        </w:rPr>
        <w:sectPr w:rsidR="006671EA" w:rsidSect="00745A73">
          <w:footerReference w:type="default" r:id="rId22"/>
          <w:pgSz w:w="12240" w:h="15840" w:code="121"/>
          <w:pgMar w:top="720" w:right="720" w:bottom="720" w:left="720" w:header="720" w:footer="720" w:gutter="0"/>
          <w:cols w:space="720"/>
          <w:docGrid w:linePitch="299"/>
        </w:sectPr>
      </w:pPr>
    </w:p>
    <w:p w14:paraId="7E88822C" w14:textId="680D6B8F" w:rsidR="006671EA" w:rsidRDefault="00112608" w:rsidP="0097041B">
      <w:pPr>
        <w:jc w:val="both"/>
        <w:rPr>
          <w:rFonts w:ascii="Garamond" w:hAnsi="Garamond"/>
          <w:noProof/>
          <w:color w:val="2B579A"/>
          <w:shd w:val="clear" w:color="auto" w:fill="E6E6E6"/>
          <w:lang w:eastAsia="pt-BR"/>
        </w:rPr>
      </w:pPr>
      <w:r>
        <w:rPr>
          <w:rFonts w:ascii="Garamond" w:hAnsi="Garamond"/>
          <w:noProof/>
          <w:color w:val="2B579A"/>
          <w:shd w:val="clear" w:color="auto" w:fill="E6E6E6"/>
          <w:lang w:eastAsia="pt-BR"/>
        </w:rPr>
        <w:lastRenderedPageBreak/>
        <w:drawing>
          <wp:inline distT="0" distB="0" distL="0" distR="0" wp14:anchorId="65E43D1D" wp14:editId="5E4CE563">
            <wp:extent cx="5760720" cy="8148320"/>
            <wp:effectExtent l="0" t="0" r="0" b="508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RTE 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5B646D5B" w14:textId="77777777" w:rsidR="006671EA" w:rsidRDefault="006671EA" w:rsidP="0097041B">
      <w:pPr>
        <w:jc w:val="both"/>
        <w:rPr>
          <w:rFonts w:ascii="Garamond" w:hAnsi="Garamond"/>
          <w:noProof/>
          <w:color w:val="2B579A"/>
          <w:shd w:val="clear" w:color="auto" w:fill="E6E6E6"/>
          <w:lang w:eastAsia="pt-BR"/>
        </w:rPr>
      </w:pPr>
    </w:p>
    <w:p w14:paraId="0AEEC48C" w14:textId="5B9E13FB" w:rsidR="001212FB" w:rsidRPr="001212FB" w:rsidRDefault="001212FB" w:rsidP="003B5DDA">
      <w:pPr>
        <w:tabs>
          <w:tab w:val="left" w:pos="1605"/>
          <w:tab w:val="left" w:pos="1680"/>
          <w:tab w:val="center" w:pos="4530"/>
        </w:tabs>
        <w:outlineLvl w:val="0"/>
        <w:rPr>
          <w:rFonts w:ascii="Garamond" w:hAnsi="Garamond" w:cstheme="majorHAnsi"/>
          <w:b/>
          <w:smallCaps/>
          <w:sz w:val="28"/>
          <w:szCs w:val="28"/>
        </w:rPr>
      </w:pPr>
      <w:r w:rsidRPr="005C5CBD">
        <w:rPr>
          <w:rFonts w:ascii="Garamond" w:hAnsi="Garamond"/>
          <w:b/>
          <w:smallCaps/>
        </w:rPr>
        <w:lastRenderedPageBreak/>
        <w:tab/>
      </w:r>
      <w:r w:rsidR="003B5DDA" w:rsidRPr="005C5CBD">
        <w:rPr>
          <w:rFonts w:ascii="Garamond" w:hAnsi="Garamond"/>
          <w:b/>
          <w:smallCaps/>
        </w:rPr>
        <w:tab/>
      </w:r>
      <w:r w:rsidRPr="005C5CBD">
        <w:rPr>
          <w:rFonts w:ascii="Garamond" w:hAnsi="Garamond"/>
          <w:b/>
          <w:smallCaps/>
        </w:rPr>
        <w:tab/>
      </w:r>
      <w:bookmarkStart w:id="2" w:name="_Toc96003801"/>
      <w:r w:rsidRPr="001212FB">
        <w:rPr>
          <w:rFonts w:ascii="Garamond" w:hAnsi="Garamond" w:cstheme="majorHAnsi"/>
          <w:b/>
          <w:smallCaps/>
          <w:sz w:val="28"/>
          <w:szCs w:val="28"/>
        </w:rPr>
        <w:t>Parte A – Normas gerais sobre Defesa Comercial</w:t>
      </w:r>
      <w:bookmarkEnd w:id="2"/>
    </w:p>
    <w:p w14:paraId="71DFC4D6" w14:textId="3FF4B0E5" w:rsidR="00CE69B0" w:rsidRPr="00182C72" w:rsidRDefault="00D22343" w:rsidP="005811F0">
      <w:pPr>
        <w:pStyle w:val="Ttulo"/>
        <w:outlineLvl w:val="1"/>
      </w:pPr>
      <w:bookmarkStart w:id="3" w:name="_Toc96003802"/>
      <w:r w:rsidRPr="00395593">
        <w:t>Decreto legislativo n</w:t>
      </w:r>
      <w:r w:rsidR="00182C72" w:rsidRPr="00395593">
        <w:rPr>
          <w:rFonts w:eastAsia="Times New Roman" w:cs="Arial"/>
          <w:color w:val="162937"/>
          <w:lang w:eastAsia="pt-BR"/>
        </w:rPr>
        <w:t>º</w:t>
      </w:r>
      <w:r w:rsidRPr="00395593">
        <w:t xml:space="preserve"> 30, de 15 de</w:t>
      </w:r>
      <w:r w:rsidR="00182C72" w:rsidRPr="00395593">
        <w:t xml:space="preserve"> </w:t>
      </w:r>
      <w:r w:rsidRPr="00395593">
        <w:t>dezembro</w:t>
      </w:r>
      <w:r w:rsidR="00182C72" w:rsidRPr="00395593">
        <w:t xml:space="preserve"> </w:t>
      </w:r>
      <w:r w:rsidRPr="00395593">
        <w:t>de</w:t>
      </w:r>
      <w:r w:rsidR="00182C72" w:rsidRPr="00395593">
        <w:t xml:space="preserve"> 1994</w:t>
      </w:r>
      <w:bookmarkEnd w:id="3"/>
    </w:p>
    <w:p w14:paraId="34B9E728" w14:textId="77777777" w:rsidR="00182C72" w:rsidRPr="00395593" w:rsidRDefault="00182C72" w:rsidP="00B64C8A">
      <w:pPr>
        <w:shd w:val="clear" w:color="auto" w:fill="FFFFFF"/>
        <w:spacing w:before="100" w:beforeAutospacing="1" w:after="100" w:afterAutospacing="1" w:line="240" w:lineRule="auto"/>
        <w:ind w:left="4536"/>
        <w:jc w:val="both"/>
        <w:rPr>
          <w:rFonts w:ascii="Garamond" w:eastAsia="Times New Roman" w:hAnsi="Garamond" w:cs="Segoe UI"/>
          <w:color w:val="212529"/>
          <w:sz w:val="24"/>
          <w:szCs w:val="24"/>
          <w:lang w:eastAsia="pt-BR"/>
        </w:rPr>
      </w:pPr>
      <w:r w:rsidRPr="00395593">
        <w:rPr>
          <w:rFonts w:ascii="Garamond" w:eastAsia="Times New Roman" w:hAnsi="Garamond" w:cs="Segoe UI"/>
          <w:color w:val="212529"/>
          <w:sz w:val="24"/>
          <w:szCs w:val="24"/>
          <w:lang w:eastAsia="pt-BR"/>
        </w:rPr>
        <w:t>Aprova a Ata Final da Rodada Uruguai de Negociações Comerciais Multilaterais do GATT, as listas de concessões do Brasil na área tarifária (Lista III) e no setor de serviços e o texto do Acordo Plurilateral sobre Carne Bovina.</w:t>
      </w:r>
    </w:p>
    <w:p w14:paraId="5AE5B030" w14:textId="77777777" w:rsidR="00182C72" w:rsidRPr="005C5CBD" w:rsidRDefault="00182C72" w:rsidP="00182C72">
      <w:pPr>
        <w:shd w:val="clear" w:color="auto" w:fill="FFFFFF"/>
        <w:spacing w:before="100" w:beforeAutospacing="1" w:after="100" w:afterAutospacing="1" w:line="240" w:lineRule="auto"/>
        <w:rPr>
          <w:rFonts w:ascii="Garamond" w:eastAsia="Times New Roman" w:hAnsi="Garamond" w:cs="Segoe UI"/>
          <w:b/>
          <w:bCs/>
          <w:color w:val="212529"/>
          <w:sz w:val="24"/>
          <w:szCs w:val="24"/>
          <w:lang w:eastAsia="pt-BR"/>
        </w:rPr>
      </w:pPr>
      <w:r w:rsidRPr="00395593">
        <w:rPr>
          <w:rFonts w:ascii="Garamond" w:eastAsia="Times New Roman" w:hAnsi="Garamond" w:cs="Segoe UI"/>
          <w:color w:val="212529"/>
          <w:sz w:val="24"/>
          <w:szCs w:val="24"/>
          <w:lang w:eastAsia="pt-BR"/>
        </w:rPr>
        <w:t>    O CONGRESSO NACIONAL decreta:</w:t>
      </w:r>
      <w:r w:rsidRPr="00395593">
        <w:rPr>
          <w:rFonts w:ascii="Garamond" w:eastAsia="Times New Roman" w:hAnsi="Garamond" w:cs="Segoe UI"/>
          <w:color w:val="212529"/>
          <w:sz w:val="24"/>
          <w:szCs w:val="24"/>
          <w:lang w:eastAsia="pt-BR"/>
        </w:rPr>
        <w:br/>
      </w:r>
    </w:p>
    <w:p w14:paraId="38A5064B" w14:textId="77777777" w:rsidR="00182C72" w:rsidRPr="00395593" w:rsidRDefault="00182C72" w:rsidP="00B64C8A">
      <w:pPr>
        <w:shd w:val="clear" w:color="auto" w:fill="FFFFFF"/>
        <w:spacing w:before="100" w:beforeAutospacing="1" w:after="100" w:afterAutospacing="1" w:line="240" w:lineRule="auto"/>
        <w:jc w:val="both"/>
        <w:rPr>
          <w:rFonts w:ascii="Garamond" w:eastAsia="Times New Roman" w:hAnsi="Garamond" w:cs="Segoe UI"/>
          <w:color w:val="212529"/>
          <w:sz w:val="24"/>
          <w:szCs w:val="24"/>
          <w:lang w:eastAsia="pt-BR"/>
        </w:rPr>
      </w:pPr>
      <w:r w:rsidRPr="005C5CBD">
        <w:rPr>
          <w:rFonts w:ascii="Garamond" w:eastAsia="Times New Roman" w:hAnsi="Garamond" w:cs="Segoe UI"/>
          <w:b/>
          <w:bCs/>
          <w:color w:val="212529"/>
          <w:sz w:val="24"/>
          <w:szCs w:val="24"/>
          <w:lang w:eastAsia="pt-BR"/>
        </w:rPr>
        <w:t>     Art. 1º.</w:t>
      </w:r>
      <w:r w:rsidRPr="00395593">
        <w:rPr>
          <w:rFonts w:ascii="Garamond" w:eastAsia="Times New Roman" w:hAnsi="Garamond" w:cs="Segoe UI"/>
          <w:color w:val="212529"/>
          <w:sz w:val="24"/>
          <w:szCs w:val="24"/>
          <w:lang w:eastAsia="pt-BR"/>
        </w:rPr>
        <w:t> São aprovadas a Ata Final da Rodada Uruguai de Negociações Comerciais Multilaterais do Acordo Geral de Tarifas e Comércio - GATT, as listas de concessões do Brasil na área tarifária (Lista III) e no setor de serviços e o texto do Acordo Plurilateral sobre Carne Bovina.</w:t>
      </w:r>
      <w:r w:rsidRPr="00395593">
        <w:rPr>
          <w:rFonts w:ascii="Garamond" w:eastAsia="Times New Roman" w:hAnsi="Garamond" w:cs="Segoe UI"/>
          <w:color w:val="212529"/>
          <w:sz w:val="24"/>
          <w:szCs w:val="24"/>
          <w:lang w:eastAsia="pt-BR"/>
        </w:rPr>
        <w:br/>
      </w:r>
      <w:r w:rsidRPr="00395593">
        <w:rPr>
          <w:rFonts w:ascii="Garamond" w:eastAsia="Times New Roman" w:hAnsi="Garamond" w:cs="Segoe UI"/>
          <w:color w:val="212529"/>
          <w:sz w:val="24"/>
          <w:szCs w:val="24"/>
          <w:lang w:eastAsia="pt-BR"/>
        </w:rPr>
        <w:br/>
        <w:t>      </w:t>
      </w:r>
      <w:r w:rsidRPr="005C5CBD">
        <w:rPr>
          <w:rFonts w:ascii="Garamond" w:eastAsia="Times New Roman" w:hAnsi="Garamond" w:cs="Segoe UI"/>
          <w:i/>
          <w:iCs/>
          <w:color w:val="212529"/>
          <w:sz w:val="24"/>
          <w:szCs w:val="24"/>
          <w:lang w:eastAsia="pt-BR"/>
        </w:rPr>
        <w:t>Parágrafo único. </w:t>
      </w:r>
      <w:r w:rsidRPr="00395593">
        <w:rPr>
          <w:rFonts w:ascii="Garamond" w:eastAsia="Times New Roman" w:hAnsi="Garamond" w:cs="Segoe UI"/>
          <w:color w:val="212529"/>
          <w:sz w:val="24"/>
          <w:szCs w:val="24"/>
          <w:lang w:eastAsia="pt-BR"/>
        </w:rPr>
        <w:t>São sujeitos à apreciação do Congresso Nacional quaisquer atos que resultem em revisão dos acordos mencionados no </w:t>
      </w:r>
      <w:r w:rsidRPr="005C5CBD">
        <w:rPr>
          <w:rFonts w:ascii="Garamond" w:eastAsia="Times New Roman" w:hAnsi="Garamond" w:cs="Segoe UI"/>
          <w:i/>
          <w:iCs/>
          <w:color w:val="212529"/>
          <w:sz w:val="24"/>
          <w:szCs w:val="24"/>
          <w:lang w:eastAsia="pt-BR"/>
        </w:rPr>
        <w:t>caput</w:t>
      </w:r>
      <w:r w:rsidRPr="00395593">
        <w:rPr>
          <w:rFonts w:ascii="Garamond" w:eastAsia="Times New Roman" w:hAnsi="Garamond" w:cs="Segoe UI"/>
          <w:color w:val="212529"/>
          <w:sz w:val="24"/>
          <w:szCs w:val="24"/>
          <w:lang w:eastAsia="pt-BR"/>
        </w:rPr>
        <w:t> deste artigo, ou que acarretem encargos ou compromissos gravosos ao patrimônio nacional, nos termos do art. 49, I, da Constituição Federal.</w:t>
      </w:r>
      <w:r w:rsidRPr="00395593">
        <w:rPr>
          <w:rFonts w:ascii="Garamond" w:eastAsia="Times New Roman" w:hAnsi="Garamond" w:cs="Segoe UI"/>
          <w:color w:val="212529"/>
          <w:sz w:val="24"/>
          <w:szCs w:val="24"/>
          <w:lang w:eastAsia="pt-BR"/>
        </w:rPr>
        <w:br/>
      </w:r>
      <w:r w:rsidRPr="00395593">
        <w:rPr>
          <w:rFonts w:ascii="Garamond" w:eastAsia="Times New Roman" w:hAnsi="Garamond" w:cs="Segoe UI"/>
          <w:color w:val="212529"/>
          <w:sz w:val="24"/>
          <w:szCs w:val="24"/>
          <w:lang w:eastAsia="pt-BR"/>
        </w:rPr>
        <w:br/>
      </w:r>
      <w:r w:rsidRPr="005C5CBD">
        <w:rPr>
          <w:rFonts w:ascii="Garamond" w:eastAsia="Times New Roman" w:hAnsi="Garamond" w:cs="Segoe UI"/>
          <w:b/>
          <w:bCs/>
          <w:color w:val="212529"/>
          <w:sz w:val="24"/>
          <w:szCs w:val="24"/>
          <w:lang w:eastAsia="pt-BR"/>
        </w:rPr>
        <w:t>     Art. 2º.</w:t>
      </w:r>
      <w:r w:rsidRPr="00395593">
        <w:rPr>
          <w:rFonts w:ascii="Garamond" w:eastAsia="Times New Roman" w:hAnsi="Garamond" w:cs="Segoe UI"/>
          <w:color w:val="212529"/>
          <w:sz w:val="24"/>
          <w:szCs w:val="24"/>
          <w:lang w:eastAsia="pt-BR"/>
        </w:rPr>
        <w:t> Caberá às Comissões Técnicas Permanentes da Câmara dos Deputados e do Senado Federal o acompanhamento e fiscalização da execução dos acordos previstos neste decreto legislativo para, oportunamente, apresentar sugestões e propostas ao Congresso Nacional.</w:t>
      </w:r>
      <w:r w:rsidRPr="00395593">
        <w:rPr>
          <w:rFonts w:ascii="Garamond" w:eastAsia="Times New Roman" w:hAnsi="Garamond" w:cs="Segoe UI"/>
          <w:color w:val="212529"/>
          <w:sz w:val="24"/>
          <w:szCs w:val="24"/>
          <w:lang w:eastAsia="pt-BR"/>
        </w:rPr>
        <w:br/>
      </w:r>
      <w:r w:rsidRPr="00395593">
        <w:rPr>
          <w:rFonts w:ascii="Garamond" w:eastAsia="Times New Roman" w:hAnsi="Garamond" w:cs="Segoe UI"/>
          <w:color w:val="212529"/>
          <w:sz w:val="24"/>
          <w:szCs w:val="24"/>
          <w:lang w:eastAsia="pt-BR"/>
        </w:rPr>
        <w:br/>
      </w:r>
      <w:r w:rsidRPr="005C5CBD">
        <w:rPr>
          <w:rFonts w:ascii="Garamond" w:eastAsia="Times New Roman" w:hAnsi="Garamond" w:cs="Segoe UI"/>
          <w:b/>
          <w:bCs/>
          <w:color w:val="212529"/>
          <w:sz w:val="24"/>
          <w:szCs w:val="24"/>
          <w:lang w:eastAsia="pt-BR"/>
        </w:rPr>
        <w:t>     Art. 3º.</w:t>
      </w:r>
      <w:r w:rsidRPr="00395593">
        <w:rPr>
          <w:rFonts w:ascii="Garamond" w:eastAsia="Times New Roman" w:hAnsi="Garamond" w:cs="Segoe UI"/>
          <w:color w:val="212529"/>
          <w:sz w:val="24"/>
          <w:szCs w:val="24"/>
          <w:lang w:eastAsia="pt-BR"/>
        </w:rPr>
        <w:t> Este Decreto Legislativo entra em vigor na data de sua publicação.</w:t>
      </w:r>
    </w:p>
    <w:p w14:paraId="2DEF3175" w14:textId="77777777" w:rsidR="00182C72" w:rsidRPr="00395593" w:rsidRDefault="00182C72" w:rsidP="00182C72">
      <w:pPr>
        <w:shd w:val="clear" w:color="auto" w:fill="FFFFFF"/>
        <w:spacing w:before="100" w:beforeAutospacing="1" w:after="100" w:afterAutospacing="1" w:line="240" w:lineRule="auto"/>
        <w:jc w:val="both"/>
        <w:rPr>
          <w:rFonts w:ascii="Garamond" w:eastAsia="Times New Roman" w:hAnsi="Garamond" w:cs="Segoe UI"/>
          <w:color w:val="212529"/>
          <w:sz w:val="24"/>
          <w:szCs w:val="24"/>
          <w:lang w:eastAsia="pt-BR"/>
        </w:rPr>
      </w:pPr>
      <w:r w:rsidRPr="00395593">
        <w:rPr>
          <w:rFonts w:ascii="Garamond" w:eastAsia="Times New Roman" w:hAnsi="Garamond" w:cs="Segoe UI"/>
          <w:color w:val="212529"/>
          <w:sz w:val="24"/>
          <w:szCs w:val="24"/>
          <w:lang w:eastAsia="pt-BR"/>
        </w:rPr>
        <w:t>     Senado Federal, 15 de dezembro de 1994.</w:t>
      </w:r>
    </w:p>
    <w:p w14:paraId="4C49108C" w14:textId="77777777" w:rsidR="00182C72" w:rsidRPr="00395593" w:rsidRDefault="00182C72" w:rsidP="00182C72">
      <w:pPr>
        <w:shd w:val="clear" w:color="auto" w:fill="FFFFFF"/>
        <w:spacing w:before="100" w:beforeAutospacing="1" w:after="100" w:afterAutospacing="1" w:line="240" w:lineRule="auto"/>
        <w:jc w:val="center"/>
        <w:rPr>
          <w:rFonts w:ascii="Garamond" w:eastAsia="Times New Roman" w:hAnsi="Garamond" w:cs="Segoe UI"/>
          <w:color w:val="212529"/>
          <w:sz w:val="24"/>
          <w:szCs w:val="24"/>
          <w:lang w:eastAsia="pt-BR"/>
        </w:rPr>
      </w:pPr>
      <w:r w:rsidRPr="00395593">
        <w:rPr>
          <w:rFonts w:ascii="Garamond" w:eastAsia="Times New Roman" w:hAnsi="Garamond" w:cs="Segoe UI"/>
          <w:color w:val="212529"/>
          <w:sz w:val="24"/>
          <w:szCs w:val="24"/>
          <w:lang w:eastAsia="pt-BR"/>
        </w:rPr>
        <w:t>SENADOR HUMBERTO LUCENA</w:t>
      </w:r>
      <w:r w:rsidRPr="00395593">
        <w:rPr>
          <w:rFonts w:ascii="Garamond" w:eastAsia="Times New Roman" w:hAnsi="Garamond" w:cs="Segoe UI"/>
          <w:color w:val="212529"/>
          <w:sz w:val="24"/>
          <w:szCs w:val="24"/>
          <w:lang w:eastAsia="pt-BR"/>
        </w:rPr>
        <w:br/>
        <w:t>Presidente</w:t>
      </w:r>
    </w:p>
    <w:p w14:paraId="308F2C9F" w14:textId="080159D9" w:rsidR="00AB0C72" w:rsidRDefault="00AB0C72">
      <w:pPr>
        <w:rPr>
          <w:rFonts w:ascii="Garamond" w:hAnsi="Garamond" w:cstheme="majorHAnsi"/>
        </w:rPr>
      </w:pPr>
      <w:r>
        <w:rPr>
          <w:rFonts w:ascii="Garamond" w:hAnsi="Garamond" w:cstheme="majorHAnsi"/>
        </w:rPr>
        <w:br w:type="page"/>
      </w:r>
    </w:p>
    <w:p w14:paraId="0EAA18F4" w14:textId="351EBB9D" w:rsidR="00CE69B0" w:rsidRPr="007F2CCB" w:rsidRDefault="00983075" w:rsidP="007348F7">
      <w:pPr>
        <w:pStyle w:val="Ttulo"/>
        <w:outlineLvl w:val="1"/>
        <w:rPr>
          <w:rFonts w:cstheme="majorHAnsi"/>
        </w:rPr>
      </w:pPr>
      <w:bookmarkStart w:id="4" w:name="_Toc96003803"/>
      <w:r w:rsidRPr="00395593">
        <w:rPr>
          <w:rFonts w:cstheme="majorHAnsi"/>
        </w:rPr>
        <w:lastRenderedPageBreak/>
        <w:t>Lei</w:t>
      </w:r>
      <w:r w:rsidR="007F2CCB" w:rsidRPr="00395593">
        <w:rPr>
          <w:rFonts w:cstheme="majorHAnsi"/>
        </w:rPr>
        <w:t xml:space="preserve"> </w:t>
      </w:r>
      <w:r w:rsidRPr="00395593">
        <w:rPr>
          <w:rFonts w:cstheme="majorHAnsi"/>
        </w:rPr>
        <w:t>n</w:t>
      </w:r>
      <w:r w:rsidR="007F2CCB" w:rsidRPr="00395593">
        <w:rPr>
          <w:lang w:eastAsia="pt-BR"/>
        </w:rPr>
        <w:t>º</w:t>
      </w:r>
      <w:r w:rsidR="007F2CCB" w:rsidRPr="007F2CCB">
        <w:rPr>
          <w:lang w:eastAsia="pt-BR"/>
        </w:rPr>
        <w:t xml:space="preserve"> 9.019, </w:t>
      </w:r>
      <w:r w:rsidRPr="00395593">
        <w:rPr>
          <w:lang w:eastAsia="pt-BR"/>
        </w:rPr>
        <w:t>de</w:t>
      </w:r>
      <w:r w:rsidR="007F2CCB" w:rsidRPr="007F2CCB">
        <w:rPr>
          <w:lang w:eastAsia="pt-BR"/>
        </w:rPr>
        <w:t xml:space="preserve"> 30 </w:t>
      </w:r>
      <w:r w:rsidRPr="00395593">
        <w:rPr>
          <w:lang w:eastAsia="pt-BR"/>
        </w:rPr>
        <w:t>de março de</w:t>
      </w:r>
      <w:r w:rsidR="007F2CCB" w:rsidRPr="007F2CCB">
        <w:rPr>
          <w:lang w:eastAsia="pt-BR"/>
        </w:rPr>
        <w:t xml:space="preserve"> 1995</w:t>
      </w:r>
      <w:bookmarkEnd w:id="4"/>
    </w:p>
    <w:tbl>
      <w:tblPr>
        <w:tblW w:w="5000" w:type="pct"/>
        <w:tblCellSpacing w:w="0" w:type="dxa"/>
        <w:tblCellMar>
          <w:left w:w="0" w:type="dxa"/>
          <w:right w:w="0" w:type="dxa"/>
        </w:tblCellMar>
        <w:tblLook w:val="04A0" w:firstRow="1" w:lastRow="0" w:firstColumn="1" w:lastColumn="0" w:noHBand="0" w:noVBand="1"/>
      </w:tblPr>
      <w:tblGrid>
        <w:gridCol w:w="4717"/>
        <w:gridCol w:w="4355"/>
      </w:tblGrid>
      <w:tr w:rsidR="007F2CCB" w:rsidRPr="003E099C" w14:paraId="29D967AE" w14:textId="77777777" w:rsidTr="008C38CF">
        <w:trPr>
          <w:tblCellSpacing w:w="0" w:type="dxa"/>
        </w:trPr>
        <w:tc>
          <w:tcPr>
            <w:tcW w:w="2600" w:type="pct"/>
            <w:vAlign w:val="center"/>
            <w:hideMark/>
          </w:tcPr>
          <w:p w14:paraId="4551D72F" w14:textId="77777777" w:rsidR="007F2CCB" w:rsidRPr="00395593" w:rsidRDefault="007F2CCB" w:rsidP="008C38CF">
            <w:pPr>
              <w:spacing w:after="0" w:line="240" w:lineRule="auto"/>
              <w:jc w:val="both"/>
              <w:rPr>
                <w:rFonts w:ascii="Garamond" w:eastAsia="Times New Roman" w:hAnsi="Garamond" w:cs="Times New Roman"/>
                <w:sz w:val="24"/>
                <w:szCs w:val="24"/>
                <w:lang w:eastAsia="pt-BR"/>
              </w:rPr>
            </w:pPr>
          </w:p>
        </w:tc>
        <w:tc>
          <w:tcPr>
            <w:tcW w:w="2400" w:type="pct"/>
            <w:vAlign w:val="center"/>
            <w:hideMark/>
          </w:tcPr>
          <w:p w14:paraId="6FB9114B" w14:textId="77777777" w:rsidR="007F2CCB" w:rsidRPr="00395593" w:rsidRDefault="007F2CCB" w:rsidP="008C38CF">
            <w:pPr>
              <w:spacing w:before="100" w:beforeAutospacing="1" w:after="100" w:afterAutospacing="1" w:line="240" w:lineRule="auto"/>
              <w:jc w:val="both"/>
              <w:rPr>
                <w:rFonts w:ascii="Garamond" w:eastAsia="Times New Roman" w:hAnsi="Garamond" w:cs="Times New Roman"/>
                <w:sz w:val="24"/>
                <w:szCs w:val="24"/>
                <w:lang w:eastAsia="pt-BR"/>
              </w:rPr>
            </w:pPr>
            <w:r w:rsidRPr="00395593">
              <w:rPr>
                <w:rFonts w:ascii="Garamond" w:eastAsia="Times New Roman" w:hAnsi="Garamond" w:cs="Arial"/>
                <w:color w:val="000000" w:themeColor="text1"/>
                <w:sz w:val="24"/>
                <w:szCs w:val="24"/>
                <w:lang w:eastAsia="pt-BR"/>
              </w:rPr>
              <w:t>Dispõe sobre a aplicação dos direitos previstos no Acordo Antidumping e no Acordo de Subsídios e Direitos Compensatórios, e dá outras providências.</w:t>
            </w:r>
          </w:p>
        </w:tc>
      </w:tr>
    </w:tbl>
    <w:p w14:paraId="146B3463"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Faço saber que o </w:t>
      </w:r>
      <w:r w:rsidRPr="005C5CBD">
        <w:rPr>
          <w:rFonts w:ascii="Garamond" w:eastAsia="Times New Roman" w:hAnsi="Garamond" w:cs="Arial"/>
          <w:b/>
          <w:bCs/>
          <w:color w:val="000000"/>
          <w:sz w:val="24"/>
          <w:szCs w:val="24"/>
          <w:lang w:eastAsia="pt-BR"/>
        </w:rPr>
        <w:t>PRESIDENTE DA REPÚBLICA</w:t>
      </w:r>
      <w:r w:rsidRPr="00395593">
        <w:rPr>
          <w:rFonts w:ascii="Garamond" w:eastAsia="Times New Roman" w:hAnsi="Garamond" w:cs="Arial"/>
          <w:color w:val="000000"/>
          <w:sz w:val="24"/>
          <w:szCs w:val="24"/>
          <w:lang w:eastAsia="pt-BR"/>
        </w:rPr>
        <w:t> adotou a Medida Provisória nº 926, de 1995, que o Congresso Nacional aprovou, e eu, JOSÉ SARNEY, Presidente, para os efeitos do disposto no parágrafo único do art. 62 da Constituição Federal, promulgo a seguinte lei:</w:t>
      </w:r>
    </w:p>
    <w:p w14:paraId="6FC579F3"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Art. 1º Os direitos antidumping e os direitos compensatórios, provisórios ou definitivos, de que tratam o Acordo Antidumping e o Acordo de Subsídios e Direitos Compensatórios, aprovados, respectivamente, pelos Decretos Legislativos nºs 20 e 22, de 5 de dezembro de 1986, e promulgados pelos </w:t>
      </w:r>
      <w:hyperlink r:id="rId24" w:history="1">
        <w:r w:rsidRPr="00395593">
          <w:rPr>
            <w:rFonts w:ascii="Garamond" w:eastAsia="Times New Roman" w:hAnsi="Garamond" w:cs="Arial"/>
            <w:color w:val="0000FF"/>
            <w:sz w:val="24"/>
            <w:szCs w:val="24"/>
            <w:u w:val="single"/>
            <w:lang w:eastAsia="pt-BR"/>
          </w:rPr>
          <w:t>Decretos nºs 93.941, de 16 de janeiro de 1987</w:t>
        </w:r>
      </w:hyperlink>
      <w:r w:rsidRPr="00395593">
        <w:rPr>
          <w:rFonts w:ascii="Garamond" w:eastAsia="Times New Roman" w:hAnsi="Garamond" w:cs="Arial"/>
          <w:color w:val="000000"/>
          <w:sz w:val="24"/>
          <w:szCs w:val="24"/>
          <w:lang w:eastAsia="pt-BR"/>
        </w:rPr>
        <w:t>, e </w:t>
      </w:r>
      <w:hyperlink r:id="rId25" w:history="1">
        <w:r w:rsidRPr="00395593">
          <w:rPr>
            <w:rFonts w:ascii="Garamond" w:eastAsia="Times New Roman" w:hAnsi="Garamond" w:cs="Arial"/>
            <w:color w:val="0000FF"/>
            <w:sz w:val="24"/>
            <w:szCs w:val="24"/>
            <w:u w:val="single"/>
            <w:lang w:eastAsia="pt-BR"/>
          </w:rPr>
          <w:t>93.962, de 22 de janeiro de 1987</w:t>
        </w:r>
      </w:hyperlink>
      <w:r w:rsidRPr="00395593">
        <w:rPr>
          <w:rFonts w:ascii="Garamond" w:eastAsia="Times New Roman" w:hAnsi="Garamond" w:cs="Arial"/>
          <w:color w:val="000000"/>
          <w:sz w:val="24"/>
          <w:szCs w:val="24"/>
          <w:lang w:eastAsia="pt-BR"/>
        </w:rPr>
        <w:t>, decorrentes do Acordo Geral sobre Tarifas Aduaneiras e Comércio (Gatt), adotado pela </w:t>
      </w:r>
      <w:hyperlink r:id="rId26" w:history="1">
        <w:r w:rsidRPr="00395593">
          <w:rPr>
            <w:rFonts w:ascii="Garamond" w:eastAsia="Times New Roman" w:hAnsi="Garamond" w:cs="Arial"/>
            <w:color w:val="0000FF"/>
            <w:sz w:val="24"/>
            <w:szCs w:val="24"/>
            <w:u w:val="single"/>
            <w:lang w:eastAsia="pt-BR"/>
          </w:rPr>
          <w:t>Lei nº 313, de 30 de julho de 1948</w:t>
        </w:r>
      </w:hyperlink>
      <w:r w:rsidRPr="00395593">
        <w:rPr>
          <w:rFonts w:ascii="Garamond" w:eastAsia="Times New Roman" w:hAnsi="Garamond" w:cs="Arial"/>
          <w:color w:val="000000"/>
          <w:sz w:val="24"/>
          <w:szCs w:val="24"/>
          <w:lang w:eastAsia="pt-BR"/>
        </w:rPr>
        <w:t>, e ainda o Acordo sobre Implementação do Artigo VI do Acordo Geral sobre Tarifas e Comércio 1994 e o Acordo sobre Subsídios e Medidas Compensatórias, anexados ao Acordo Constitutivo da Organização Mundial de Comércio (OMC), parte integrante da Ata Final que Incorpora os Resultados da Rodada Uruguai de Negociações Comerciais Multilaterais do Gatt, assinada em Marraqueche, em 12 de abril de 1994, aprovada pelo Decreto Legislativo nº 30, de 15 de dezembro de 1994, promulgada pelo </w:t>
      </w:r>
      <w:hyperlink r:id="rId27" w:history="1">
        <w:r w:rsidRPr="00395593">
          <w:rPr>
            <w:rFonts w:ascii="Garamond" w:eastAsia="Times New Roman" w:hAnsi="Garamond" w:cs="Arial"/>
            <w:color w:val="0000FF"/>
            <w:sz w:val="24"/>
            <w:szCs w:val="24"/>
            <w:u w:val="single"/>
            <w:lang w:eastAsia="pt-BR"/>
          </w:rPr>
          <w:t>Decreto nº 1.355, de 30 de dezembro de 1994</w:t>
        </w:r>
      </w:hyperlink>
      <w:r w:rsidRPr="00395593">
        <w:rPr>
          <w:rFonts w:ascii="Garamond" w:eastAsia="Times New Roman" w:hAnsi="Garamond" w:cs="Arial"/>
          <w:color w:val="000000"/>
          <w:sz w:val="24"/>
          <w:szCs w:val="24"/>
          <w:lang w:eastAsia="pt-BR"/>
        </w:rPr>
        <w:t>, serão aplicados mediante a cobrança de importância, em moeda corrente do País, que corresponderá a percentual da margem de dumping ou do montante de subsídios, apurados em processo administrativo, nos termos dos mencionados Acordos, das decisões PC/13, PC/14, PC/15 e PC/16 do Comitê Preparatório e das partes contratantes do Gatt, datadas de 13 de dezembro de 1994, e desta lei, suficientes para sanar dano ou ameaça de dano à indústria doméstica.</w:t>
      </w:r>
    </w:p>
    <w:p w14:paraId="05E46421"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5" w:name="art1p"/>
      <w:bookmarkEnd w:id="5"/>
      <w:r w:rsidRPr="00395593">
        <w:rPr>
          <w:rFonts w:ascii="Garamond" w:eastAsia="Times New Roman" w:hAnsi="Garamond" w:cs="Arial"/>
          <w:color w:val="000000"/>
          <w:sz w:val="24"/>
          <w:szCs w:val="24"/>
          <w:lang w:eastAsia="pt-BR"/>
        </w:rPr>
        <w:t>Parágrafo único. Os direitos antidumping e os direitos compensatórios serão cobrados independentemente de quaisquer obrigações de natureza tributária relativas à importação dos produtos afetados.</w:t>
      </w:r>
    </w:p>
    <w:p w14:paraId="25E1FB6A"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6" w:name="art2"/>
      <w:bookmarkEnd w:id="6"/>
      <w:r w:rsidRPr="00395593">
        <w:rPr>
          <w:rFonts w:ascii="Garamond" w:eastAsia="Times New Roman" w:hAnsi="Garamond" w:cs="Arial"/>
          <w:color w:val="000000"/>
          <w:sz w:val="24"/>
          <w:szCs w:val="24"/>
          <w:lang w:eastAsia="pt-BR"/>
        </w:rPr>
        <w:t>Art. 2º Poderão ser aplicados direitos provisórios durante a investigação, quando da análise preliminar verificar-se a existência de indícios da prática de dumping ou de concessão de subsídios, e que tais práticas causam dano, ou ameaça de dano, à indústria doméstica, e se julgue necessário impedi-las no curso da investigação.</w:t>
      </w:r>
    </w:p>
    <w:p w14:paraId="6976D88A"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strike/>
          <w:color w:val="000000"/>
          <w:sz w:val="24"/>
          <w:szCs w:val="24"/>
          <w:lang w:eastAsia="pt-BR"/>
        </w:rPr>
        <w:t>P</w:t>
      </w:r>
      <w:bookmarkStart w:id="7" w:name="art2P."/>
      <w:bookmarkEnd w:id="7"/>
      <w:r w:rsidRPr="00395593">
        <w:rPr>
          <w:rFonts w:ascii="Garamond" w:eastAsia="Times New Roman" w:hAnsi="Garamond" w:cs="Arial"/>
          <w:strike/>
          <w:color w:val="000000"/>
          <w:sz w:val="24"/>
          <w:szCs w:val="24"/>
          <w:lang w:eastAsia="pt-BR"/>
        </w:rPr>
        <w:t>arágrafo único. O termo "indústria doméstica" deverá ser entendido conforme o disposto nos Acordos Antidumping e nos Acordos de Subsídios e Direitos Compensatórios, mencionados no art. 1º, abrangendo as empresas produtoras de bens agrícolas, minerais ou industriais.</w:t>
      </w:r>
    </w:p>
    <w:p w14:paraId="0F5E0778"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8" w:name="art2p"/>
      <w:bookmarkEnd w:id="8"/>
      <w:r w:rsidRPr="00395593">
        <w:rPr>
          <w:rFonts w:ascii="Garamond" w:eastAsia="Times New Roman" w:hAnsi="Garamond" w:cs="Arial"/>
          <w:color w:val="000000"/>
          <w:sz w:val="24"/>
          <w:szCs w:val="24"/>
          <w:lang w:eastAsia="pt-BR"/>
        </w:rPr>
        <w:t>Parágrafo único.  Os termos "dano" e "indústria doméstica" deverão ser entendidos conforme o disposto nos Acordos </w:t>
      </w:r>
      <w:r w:rsidRPr="005C5CBD">
        <w:rPr>
          <w:rFonts w:ascii="Garamond" w:eastAsia="Times New Roman" w:hAnsi="Garamond" w:cs="Arial"/>
          <w:i/>
          <w:iCs/>
          <w:color w:val="000000"/>
          <w:sz w:val="24"/>
          <w:szCs w:val="24"/>
          <w:lang w:eastAsia="pt-BR"/>
        </w:rPr>
        <w:t>Antidumping</w:t>
      </w:r>
      <w:r w:rsidRPr="00395593">
        <w:rPr>
          <w:rFonts w:ascii="Garamond" w:eastAsia="Times New Roman" w:hAnsi="Garamond" w:cs="Arial"/>
          <w:color w:val="000000"/>
          <w:sz w:val="24"/>
          <w:szCs w:val="24"/>
          <w:lang w:eastAsia="pt-BR"/>
        </w:rPr>
        <w:t> e nos Acordos de Subsídios e Direitos Compensatórios, mencionados no art. 1</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abrangendo as empresas produtoras de bens agrícolas, minerais ou industriais.        </w:t>
      </w:r>
      <w:hyperlink r:id="rId28" w:anchor="art53" w:history="1">
        <w:r w:rsidRPr="00395593">
          <w:rPr>
            <w:rFonts w:ascii="Garamond" w:eastAsia="Times New Roman" w:hAnsi="Garamond" w:cs="Arial"/>
            <w:color w:val="0000FF"/>
            <w:sz w:val="24"/>
            <w:szCs w:val="24"/>
            <w:u w:val="single"/>
            <w:lang w:eastAsia="pt-BR"/>
          </w:rPr>
          <w:t>(Redação dada pela Medida Provisória nº 2.158-35, de 2001)</w:t>
        </w:r>
      </w:hyperlink>
    </w:p>
    <w:p w14:paraId="25513833"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w:t>
      </w:r>
      <w:bookmarkStart w:id="9" w:name="art3."/>
      <w:bookmarkEnd w:id="9"/>
      <w:r w:rsidRPr="00395593">
        <w:rPr>
          <w:rFonts w:ascii="Garamond" w:eastAsia="Times New Roman" w:hAnsi="Garamond" w:cs="Arial"/>
          <w:strike/>
          <w:color w:val="000000"/>
          <w:sz w:val="24"/>
          <w:szCs w:val="24"/>
          <w:lang w:eastAsia="pt-BR"/>
        </w:rPr>
        <w:t>Art. 3º A exigibilidade dos direitos provisórios poderá ficar suspensa, até decisão final do processo, a critério das autoridades referidas no art. 6º desta lei, desde que o importador ofereça garantia equivalente ao valor integral da obrigação e demais encargos legais, que consistirá em:</w:t>
      </w:r>
    </w:p>
    <w:p w14:paraId="37E5B972"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lastRenderedPageBreak/>
        <w:t>        </w:t>
      </w:r>
      <w:bookmarkStart w:id="10" w:name="art3"/>
      <w:bookmarkEnd w:id="10"/>
      <w:r w:rsidRPr="00395593">
        <w:rPr>
          <w:rFonts w:ascii="Garamond" w:eastAsia="Times New Roman" w:hAnsi="Garamond" w:cs="Arial"/>
          <w:color w:val="000000"/>
          <w:sz w:val="24"/>
          <w:szCs w:val="24"/>
          <w:lang w:eastAsia="pt-BR"/>
        </w:rPr>
        <w:t>Art. 3</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A exigibilidade dos direitos provisórios poderá ficar suspensa, até decisão final do processo, a critério da CAMEX, desde que o importador ofereça garantia equivalente ao valor integral da obrigação e dos demais encargos legais, que consistirá em:         </w:t>
      </w:r>
      <w:hyperlink r:id="rId29" w:anchor="art53" w:history="1">
        <w:r w:rsidRPr="00395593">
          <w:rPr>
            <w:rFonts w:ascii="Garamond" w:eastAsia="Times New Roman" w:hAnsi="Garamond" w:cs="Arial"/>
            <w:color w:val="0000FF"/>
            <w:sz w:val="24"/>
            <w:szCs w:val="24"/>
            <w:u w:val="single"/>
            <w:lang w:eastAsia="pt-BR"/>
          </w:rPr>
          <w:t>(Redação dada pela Medida Provisória nº 2.158-35, de 2001)</w:t>
        </w:r>
      </w:hyperlink>
    </w:p>
    <w:p w14:paraId="030817BE"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11" w:name="art3i"/>
      <w:bookmarkEnd w:id="11"/>
      <w:r w:rsidRPr="00395593">
        <w:rPr>
          <w:rFonts w:ascii="Garamond" w:eastAsia="Times New Roman" w:hAnsi="Garamond" w:cs="Arial"/>
          <w:color w:val="000000"/>
          <w:sz w:val="24"/>
          <w:szCs w:val="24"/>
          <w:lang w:eastAsia="pt-BR"/>
        </w:rPr>
        <w:t>I - depósito em dinheiro; ou</w:t>
      </w:r>
    </w:p>
    <w:p w14:paraId="688398E1"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12" w:name="art3ii"/>
      <w:bookmarkEnd w:id="12"/>
      <w:r w:rsidRPr="00395593">
        <w:rPr>
          <w:rFonts w:ascii="Garamond" w:eastAsia="Times New Roman" w:hAnsi="Garamond" w:cs="Arial"/>
          <w:color w:val="000000"/>
          <w:sz w:val="24"/>
          <w:szCs w:val="24"/>
          <w:lang w:eastAsia="pt-BR"/>
        </w:rPr>
        <w:t>II - fiança bancária.</w:t>
      </w:r>
    </w:p>
    <w:p w14:paraId="1B8CED2C"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13" w:name="art3§1"/>
      <w:bookmarkEnd w:id="13"/>
      <w:r w:rsidRPr="00395593">
        <w:rPr>
          <w:rFonts w:ascii="Garamond" w:eastAsia="Times New Roman" w:hAnsi="Garamond" w:cs="Arial"/>
          <w:color w:val="000000"/>
          <w:sz w:val="24"/>
          <w:szCs w:val="24"/>
          <w:lang w:eastAsia="pt-BR"/>
        </w:rPr>
        <w:t>§ 1º A garantia deverá assegurar, em todos os casos, a aplicação das mesmas normas que disciplinam a hipótese de atraso no pagamento de tributos federais, inclusive juros, desde a data de vigência dos direitos provisórios.</w:t>
      </w:r>
    </w:p>
    <w:p w14:paraId="08737E04"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14" w:name="art3§2"/>
      <w:bookmarkEnd w:id="14"/>
      <w:r w:rsidRPr="00395593">
        <w:rPr>
          <w:rFonts w:ascii="Garamond" w:eastAsia="Times New Roman" w:hAnsi="Garamond" w:cs="Arial"/>
          <w:color w:val="000000"/>
          <w:sz w:val="24"/>
          <w:szCs w:val="24"/>
          <w:lang w:eastAsia="pt-BR"/>
        </w:rPr>
        <w:t>§ 2º A Secretaria da Receita Federal (SRF), do Ministério da Fazenda, disporá sobre a forma de prestação e liberação da     garantia referida neste artigo.</w:t>
      </w:r>
    </w:p>
    <w:p w14:paraId="51B60870"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15" w:name="art3§3"/>
      <w:bookmarkEnd w:id="15"/>
      <w:r w:rsidRPr="00395593">
        <w:rPr>
          <w:rFonts w:ascii="Garamond" w:eastAsia="Times New Roman" w:hAnsi="Garamond" w:cs="Arial"/>
          <w:color w:val="000000"/>
          <w:sz w:val="24"/>
          <w:szCs w:val="24"/>
          <w:lang w:eastAsia="pt-BR"/>
        </w:rPr>
        <w:t>§ 3º O desembaraço aduaneiro dos bens objeto da aplicação dos direitos provisórios dependerá da prestação da garantia a que se refere este artigo.</w:t>
      </w:r>
    </w:p>
    <w:p w14:paraId="4F6E983D"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Art. 4º Poderá ser celebrado com o exportador ou o governo do país exportador compromisso que elimine os efeitos prejudiciais decorrentes da prática de dumping ou de subsídios.</w:t>
      </w:r>
    </w:p>
    <w:p w14:paraId="60D3370C"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w:t>
      </w:r>
      <w:bookmarkStart w:id="16" w:name="art4§1."/>
      <w:bookmarkEnd w:id="16"/>
      <w:r w:rsidRPr="00395593">
        <w:rPr>
          <w:rFonts w:ascii="Garamond" w:eastAsia="Times New Roman" w:hAnsi="Garamond" w:cs="Arial"/>
          <w:strike/>
          <w:color w:val="000000"/>
          <w:sz w:val="24"/>
          <w:szCs w:val="24"/>
          <w:lang w:eastAsia="pt-BR"/>
        </w:rPr>
        <w:t>§ 1º O compromisso a que se refere este artigo será celebrado perante a Secretaria de Comércio Exterior (Secex), do Ministério da Indústria, do Comércio e do Turismo, submetido à homologação conjunta das autoridades a que se refere o art. 6º desta lei.</w:t>
      </w:r>
    </w:p>
    <w:p w14:paraId="21F3ADDD"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17" w:name="art4§1"/>
      <w:bookmarkEnd w:id="17"/>
      <w:r w:rsidRPr="00395593">
        <w:rPr>
          <w:rFonts w:ascii="Garamond" w:eastAsia="Times New Roman" w:hAnsi="Garamond" w:cs="Arial"/>
          <w:color w:val="000000"/>
          <w:sz w:val="24"/>
          <w:szCs w:val="24"/>
          <w:lang w:eastAsia="pt-BR"/>
        </w:rPr>
        <w:t>§ 1</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O compromisso a que se refere este artigo será celebrado perante a Secretaria de Comércio Exterior - SECEX, do Ministério do Desenvolvimento, Indústria e Comércio Exterior, submetido a homologação da CAMEX.         </w:t>
      </w:r>
      <w:hyperlink r:id="rId30" w:anchor="art53" w:history="1">
        <w:r w:rsidRPr="00395593">
          <w:rPr>
            <w:rFonts w:ascii="Garamond" w:eastAsia="Times New Roman" w:hAnsi="Garamond" w:cs="Arial"/>
            <w:color w:val="0000FF"/>
            <w:sz w:val="24"/>
            <w:szCs w:val="24"/>
            <w:u w:val="single"/>
            <w:lang w:eastAsia="pt-BR"/>
          </w:rPr>
          <w:t>(Redação dada pela Medida Provisória nº 2.158-35, de 2001)</w:t>
        </w:r>
      </w:hyperlink>
    </w:p>
    <w:p w14:paraId="1C61BD58"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18" w:name="art4§2"/>
      <w:bookmarkEnd w:id="18"/>
      <w:r w:rsidRPr="00395593">
        <w:rPr>
          <w:rFonts w:ascii="Garamond" w:eastAsia="Times New Roman" w:hAnsi="Garamond" w:cs="Arial"/>
          <w:color w:val="000000"/>
          <w:sz w:val="24"/>
          <w:szCs w:val="24"/>
          <w:lang w:eastAsia="pt-BR"/>
        </w:rPr>
        <w:t>§ 2º Na hipótese de homologação de compromisso, a investigação será suspensa, sem a imposição de direitos provisórios ou definitivos, ressalvado o disposto nos Acordos Antidumping e nos Acordos de Subsídios e Direitos Compensatórios, mencionados no art. 1º.</w:t>
      </w:r>
    </w:p>
    <w:p w14:paraId="6CA9AC70" w14:textId="77777777" w:rsidR="007F2CCB" w:rsidRPr="00395593" w:rsidRDefault="007F2CCB" w:rsidP="007F2CCB">
      <w:pPr>
        <w:spacing w:before="300" w:after="300"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w:t>
      </w:r>
      <w:bookmarkStart w:id="19" w:name="art5."/>
      <w:bookmarkEnd w:id="19"/>
      <w:r w:rsidRPr="00395593">
        <w:rPr>
          <w:rFonts w:ascii="Garamond" w:eastAsia="Times New Roman" w:hAnsi="Garamond" w:cs="Arial"/>
          <w:strike/>
          <w:color w:val="000000"/>
          <w:sz w:val="24"/>
          <w:szCs w:val="24"/>
          <w:lang w:eastAsia="pt-BR"/>
        </w:rPr>
        <w:t>Art. 5º Compete à Secretaria de Comércio Exterior (Secex), do Ministério da Indústria, do Comércio e do Turismo, mediante processo administrativo, apurar a margem de dumping ou montante de subsídio, a existência de dano ou ameaça de dano, e a relação causal entre esses.</w:t>
      </w:r>
    </w:p>
    <w:p w14:paraId="44492BDD" w14:textId="77777777" w:rsidR="007F2CCB" w:rsidRPr="00395593" w:rsidRDefault="007F2CCB" w:rsidP="007F2CCB">
      <w:pPr>
        <w:spacing w:before="300" w:after="300"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Art. 5</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Compete à SECEX, mediante processo administrativo, apurar a margem de </w:t>
      </w:r>
      <w:r w:rsidRPr="005C5CBD">
        <w:rPr>
          <w:rFonts w:ascii="Garamond" w:eastAsia="Times New Roman" w:hAnsi="Garamond" w:cs="Arial"/>
          <w:i/>
          <w:iCs/>
          <w:color w:val="000000"/>
          <w:sz w:val="24"/>
          <w:szCs w:val="24"/>
          <w:lang w:eastAsia="pt-BR"/>
        </w:rPr>
        <w:t>dumping</w:t>
      </w:r>
      <w:r w:rsidRPr="00395593">
        <w:rPr>
          <w:rFonts w:ascii="Garamond" w:eastAsia="Times New Roman" w:hAnsi="Garamond" w:cs="Arial"/>
          <w:color w:val="000000"/>
          <w:sz w:val="24"/>
          <w:szCs w:val="24"/>
          <w:lang w:eastAsia="pt-BR"/>
        </w:rPr>
        <w:t> ou o montante de subsídio, a existência de dano e a relação causal entre esses.        </w:t>
      </w:r>
      <w:hyperlink r:id="rId31" w:anchor="art53" w:history="1">
        <w:r w:rsidRPr="00395593">
          <w:rPr>
            <w:rFonts w:ascii="Garamond" w:eastAsia="Times New Roman" w:hAnsi="Garamond" w:cs="Arial"/>
            <w:color w:val="0000FF"/>
            <w:sz w:val="24"/>
            <w:szCs w:val="24"/>
            <w:u w:val="single"/>
            <w:lang w:eastAsia="pt-BR"/>
          </w:rPr>
          <w:t>(Redação dada pela Medida Provisória nº 2.158-35, de 2001)</w:t>
        </w:r>
      </w:hyperlink>
    </w:p>
    <w:p w14:paraId="46249BC5" w14:textId="77777777" w:rsidR="007F2CCB" w:rsidRPr="00395593" w:rsidRDefault="007F2CCB" w:rsidP="007F2CCB">
      <w:pPr>
        <w:spacing w:before="300" w:after="300"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w:t>
      </w:r>
      <w:bookmarkStart w:id="20" w:name="art6."/>
      <w:bookmarkEnd w:id="20"/>
      <w:r w:rsidRPr="00395593">
        <w:rPr>
          <w:rFonts w:ascii="Garamond" w:eastAsia="Times New Roman" w:hAnsi="Garamond" w:cs="Arial"/>
          <w:strike/>
          <w:color w:val="000000"/>
          <w:sz w:val="24"/>
          <w:szCs w:val="24"/>
          <w:lang w:eastAsia="pt-BR"/>
        </w:rPr>
        <w:t>Art. 6º Compete aos Ministros da Fazenda e da Indústria, do Comércio e do Turismo, mediante portaria conjunta, fixar os direitos provisórios ou definitivos, bem como decidir sobre a suspensão da exigibilidade dos direitos provisórios, a que se refere o art. 3º desta lei.</w:t>
      </w:r>
      <w:r w:rsidRPr="00395593">
        <w:rPr>
          <w:rFonts w:ascii="Garamond" w:eastAsia="Times New Roman" w:hAnsi="Garamond" w:cs="Arial"/>
          <w:strike/>
          <w:color w:val="000000"/>
          <w:sz w:val="24"/>
          <w:szCs w:val="24"/>
          <w:lang w:eastAsia="pt-BR"/>
        </w:rPr>
        <w:br/>
      </w:r>
      <w:r w:rsidRPr="00395593">
        <w:rPr>
          <w:rFonts w:ascii="Garamond" w:eastAsia="Times New Roman" w:hAnsi="Garamond" w:cs="Arial"/>
          <w:color w:val="000000"/>
          <w:sz w:val="24"/>
          <w:szCs w:val="24"/>
          <w:lang w:eastAsia="pt-BR"/>
        </w:rPr>
        <w:t>        </w:t>
      </w:r>
      <w:bookmarkStart w:id="21" w:name="art6p."/>
      <w:bookmarkEnd w:id="21"/>
      <w:r w:rsidRPr="00395593">
        <w:rPr>
          <w:rFonts w:ascii="Garamond" w:eastAsia="Times New Roman" w:hAnsi="Garamond" w:cs="Arial"/>
          <w:strike/>
          <w:color w:val="000000"/>
          <w:sz w:val="24"/>
          <w:szCs w:val="24"/>
          <w:lang w:eastAsia="pt-BR"/>
        </w:rPr>
        <w:t>Parágrafo único. O ato de imposição de direitos antidumping ou compensatórios, provisórios ou definitivos, deverá indicar o prazo de vigência, o produto atingido, o valor da obrigação, o país de origem ou de exportação, o nome do exportador e as razões pelas quais a decisão foi tomada.</w:t>
      </w:r>
    </w:p>
    <w:p w14:paraId="0578B048"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lastRenderedPageBreak/>
        <w:t>        </w:t>
      </w:r>
      <w:bookmarkStart w:id="22" w:name="art6"/>
      <w:bookmarkEnd w:id="22"/>
      <w:r w:rsidRPr="00395593">
        <w:rPr>
          <w:rFonts w:ascii="Garamond" w:eastAsia="Times New Roman" w:hAnsi="Garamond" w:cs="Arial"/>
          <w:color w:val="000000"/>
          <w:sz w:val="24"/>
          <w:szCs w:val="24"/>
          <w:lang w:eastAsia="pt-BR"/>
        </w:rPr>
        <w:t>Art. 6</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Compete à CAMEX fixar os direitos provisórios ou definitivos, bem como decidir sobre a suspensão da exigibilidade dos direitos provisórios, a que se refere o art. 3</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desta Lei.         </w:t>
      </w:r>
      <w:hyperlink r:id="rId32" w:anchor="art53" w:history="1">
        <w:r w:rsidRPr="00395593">
          <w:rPr>
            <w:rFonts w:ascii="Garamond" w:eastAsia="Times New Roman" w:hAnsi="Garamond" w:cs="Arial"/>
            <w:color w:val="0000FF"/>
            <w:sz w:val="24"/>
            <w:szCs w:val="24"/>
            <w:u w:val="single"/>
            <w:lang w:eastAsia="pt-BR"/>
          </w:rPr>
          <w:t>(Redação dada pela Medida Provisória nº 2.158-35, de 2001)</w:t>
        </w:r>
      </w:hyperlink>
    </w:p>
    <w:p w14:paraId="020F7A39"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23" w:name="art6p"/>
      <w:bookmarkEnd w:id="23"/>
      <w:r w:rsidRPr="00395593">
        <w:rPr>
          <w:rFonts w:ascii="Garamond" w:eastAsia="Times New Roman" w:hAnsi="Garamond" w:cs="Arial"/>
          <w:color w:val="000000"/>
          <w:sz w:val="24"/>
          <w:szCs w:val="24"/>
          <w:lang w:eastAsia="pt-BR"/>
        </w:rPr>
        <w:t>Parágrafo único.  O ato de imposição de direitos </w:t>
      </w:r>
      <w:r w:rsidRPr="005C5CBD">
        <w:rPr>
          <w:rFonts w:ascii="Garamond" w:eastAsia="Times New Roman" w:hAnsi="Garamond" w:cs="Arial"/>
          <w:i/>
          <w:iCs/>
          <w:color w:val="000000"/>
          <w:sz w:val="24"/>
          <w:szCs w:val="24"/>
          <w:lang w:eastAsia="pt-BR"/>
        </w:rPr>
        <w:t>antidumping</w:t>
      </w:r>
      <w:r w:rsidRPr="00395593">
        <w:rPr>
          <w:rFonts w:ascii="Garamond" w:eastAsia="Times New Roman" w:hAnsi="Garamond" w:cs="Arial"/>
          <w:color w:val="000000"/>
          <w:sz w:val="24"/>
          <w:szCs w:val="24"/>
          <w:lang w:eastAsia="pt-BR"/>
        </w:rPr>
        <w:t> ou Compensatórios, provisórios ou definitivos, deverá indicar o prazo de vigência, o produto atingido, o valor da obrigação, o país de origem ou de exportação, as razões pelas quais a decisão foi tomada, e, quando couber, o nome dos exportadores.        </w:t>
      </w:r>
      <w:hyperlink r:id="rId33" w:anchor="art53" w:history="1">
        <w:r w:rsidRPr="00395593">
          <w:rPr>
            <w:rFonts w:ascii="Garamond" w:eastAsia="Times New Roman" w:hAnsi="Garamond" w:cs="Arial"/>
            <w:color w:val="0000FF"/>
            <w:sz w:val="24"/>
            <w:szCs w:val="24"/>
            <w:u w:val="single"/>
            <w:lang w:eastAsia="pt-BR"/>
          </w:rPr>
          <w:t>(Redação dada pela Medida Provisória nº 2.158-35, de 2001)</w:t>
        </w:r>
      </w:hyperlink>
    </w:p>
    <w:p w14:paraId="26D09BCC"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24" w:name="art7"/>
      <w:bookmarkEnd w:id="24"/>
      <w:r w:rsidRPr="00395593">
        <w:rPr>
          <w:rFonts w:ascii="Garamond" w:eastAsia="Times New Roman" w:hAnsi="Garamond" w:cs="Arial"/>
          <w:color w:val="000000"/>
          <w:sz w:val="24"/>
          <w:szCs w:val="24"/>
          <w:lang w:eastAsia="pt-BR"/>
        </w:rPr>
        <w:t>Art. 7º O cumprimento das obrigações resultantes da aplicação dos direitos antidumping e dos direitos compensatórios, sejam definitivos ou provisórios, será condição para a introdução no comércio do País de produtos objeto de dumping ou subsídio.</w:t>
      </w:r>
    </w:p>
    <w:p w14:paraId="2BF5B8B4"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25" w:name="art7§1"/>
      <w:bookmarkEnd w:id="25"/>
      <w:r w:rsidRPr="00395593">
        <w:rPr>
          <w:rFonts w:ascii="Garamond" w:eastAsia="Times New Roman" w:hAnsi="Garamond" w:cs="Arial"/>
          <w:color w:val="000000"/>
          <w:sz w:val="24"/>
          <w:szCs w:val="24"/>
          <w:lang w:eastAsia="pt-BR"/>
        </w:rPr>
        <w:t>§ 1º Será competente para a cobrança dos direitos antidumping e compensatórios, provisórios ou definitivos, quando se tratar de valor em dinheiro, bem como, se for o caso, para sua restituição, a SRF do Ministério da Fazenda.</w:t>
      </w:r>
    </w:p>
    <w:p w14:paraId="0CBBA8D6"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w:t>
      </w:r>
      <w:bookmarkStart w:id="26" w:name="art7§2."/>
      <w:bookmarkEnd w:id="26"/>
      <w:r w:rsidRPr="00395593">
        <w:rPr>
          <w:rFonts w:ascii="Garamond" w:eastAsia="Times New Roman" w:hAnsi="Garamond" w:cs="Arial"/>
          <w:strike/>
          <w:color w:val="000000"/>
          <w:sz w:val="24"/>
          <w:szCs w:val="24"/>
          <w:lang w:eastAsia="pt-BR"/>
        </w:rPr>
        <w:t>§ 2º Verificado inadimplemento da obrigação, a SRF encaminhará a documentação pertinente à Procuradoria-Geral da Fazenda Nacional para inscrição do débito em Dívida Ativa da União e respectiva cobrança.</w:t>
      </w:r>
    </w:p>
    <w:p w14:paraId="1648CC3F"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w:t>
      </w:r>
      <w:bookmarkStart w:id="27" w:name="art7§2"/>
      <w:bookmarkEnd w:id="27"/>
      <w:r w:rsidRPr="00395593">
        <w:rPr>
          <w:rFonts w:ascii="Garamond" w:eastAsia="Times New Roman" w:hAnsi="Garamond" w:cs="Arial"/>
          <w:color w:val="000000"/>
          <w:sz w:val="24"/>
          <w:szCs w:val="24"/>
          <w:lang w:eastAsia="pt-BR"/>
        </w:rPr>
        <w:t>§ 2</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Os direitos </w:t>
      </w:r>
      <w:r w:rsidRPr="005C5CBD">
        <w:rPr>
          <w:rFonts w:ascii="Garamond" w:eastAsia="Times New Roman" w:hAnsi="Garamond" w:cs="Arial"/>
          <w:b/>
          <w:bCs/>
          <w:color w:val="000000"/>
          <w:sz w:val="24"/>
          <w:szCs w:val="24"/>
          <w:lang w:eastAsia="pt-BR"/>
        </w:rPr>
        <w:t>antidumping</w:t>
      </w:r>
      <w:r w:rsidRPr="00395593">
        <w:rPr>
          <w:rFonts w:ascii="Garamond" w:eastAsia="Times New Roman" w:hAnsi="Garamond" w:cs="Arial"/>
          <w:color w:val="000000"/>
          <w:sz w:val="24"/>
          <w:szCs w:val="24"/>
          <w:lang w:eastAsia="pt-BR"/>
        </w:rPr>
        <w:t> e os direitos compensatórios são devidos na data do registro da declaração de importação.         </w:t>
      </w:r>
      <w:hyperlink r:id="rId34" w:anchor="art79" w:history="1">
        <w:r w:rsidRPr="00395593">
          <w:rPr>
            <w:rFonts w:ascii="Garamond" w:eastAsia="Times New Roman" w:hAnsi="Garamond" w:cs="Arial"/>
            <w:color w:val="0000FF"/>
            <w:sz w:val="24"/>
            <w:szCs w:val="24"/>
            <w:u w:val="single"/>
            <w:lang w:eastAsia="pt-BR"/>
          </w:rPr>
          <w:t>(Redação dada pela Lei nº 10.833, de 29.12.2003)</w:t>
        </w:r>
      </w:hyperlink>
    </w:p>
    <w:p w14:paraId="01D050B3"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bookmarkStart w:id="28" w:name="art7§3"/>
      <w:bookmarkEnd w:id="28"/>
      <w:r w:rsidRPr="00395593">
        <w:rPr>
          <w:rFonts w:ascii="Garamond" w:eastAsia="Times New Roman" w:hAnsi="Garamond" w:cs="Arial"/>
          <w:color w:val="000000"/>
          <w:sz w:val="24"/>
          <w:szCs w:val="24"/>
          <w:lang w:eastAsia="pt-BR"/>
        </w:rPr>
        <w:t>§ 3</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A falta de recolhimento de direitos </w:t>
      </w:r>
      <w:r w:rsidRPr="005C5CBD">
        <w:rPr>
          <w:rFonts w:ascii="Garamond" w:eastAsia="Times New Roman" w:hAnsi="Garamond" w:cs="Arial"/>
          <w:b/>
          <w:bCs/>
          <w:color w:val="000000"/>
          <w:sz w:val="24"/>
          <w:szCs w:val="24"/>
          <w:lang w:eastAsia="pt-BR"/>
        </w:rPr>
        <w:t>antidumping</w:t>
      </w:r>
      <w:r w:rsidRPr="00395593">
        <w:rPr>
          <w:rFonts w:ascii="Garamond" w:eastAsia="Times New Roman" w:hAnsi="Garamond" w:cs="Arial"/>
          <w:color w:val="000000"/>
          <w:sz w:val="24"/>
          <w:szCs w:val="24"/>
          <w:lang w:eastAsia="pt-BR"/>
        </w:rPr>
        <w:t> ou de direitos compensatórios na data prevista no § 2</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acarretará, sobre o valor não recolhido:         </w:t>
      </w:r>
      <w:hyperlink r:id="rId35" w:anchor="art79" w:history="1">
        <w:r w:rsidRPr="00395593">
          <w:rPr>
            <w:rFonts w:ascii="Garamond" w:eastAsia="Times New Roman" w:hAnsi="Garamond" w:cs="Arial"/>
            <w:color w:val="0000FF"/>
            <w:sz w:val="24"/>
            <w:szCs w:val="24"/>
            <w:u w:val="single"/>
            <w:lang w:eastAsia="pt-BR"/>
          </w:rPr>
          <w:t>(Incluído pela Lei nº 10.833, de 29.12.2003)</w:t>
        </w:r>
      </w:hyperlink>
    </w:p>
    <w:p w14:paraId="2FB4A544"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29" w:name="art7§3i"/>
      <w:bookmarkEnd w:id="29"/>
      <w:r w:rsidRPr="00395593">
        <w:rPr>
          <w:rFonts w:ascii="Garamond" w:eastAsia="Times New Roman" w:hAnsi="Garamond" w:cs="Arial"/>
          <w:color w:val="000000"/>
          <w:sz w:val="24"/>
          <w:szCs w:val="24"/>
          <w:lang w:eastAsia="pt-BR"/>
        </w:rPr>
        <w:t>I - no caso de pagamento espontâneo, após o desembaraço aduaneiro:         </w:t>
      </w:r>
      <w:hyperlink r:id="rId36" w:anchor="art79" w:history="1">
        <w:r w:rsidRPr="00395593">
          <w:rPr>
            <w:rFonts w:ascii="Garamond" w:eastAsia="Times New Roman" w:hAnsi="Garamond" w:cs="Arial"/>
            <w:color w:val="0000FF"/>
            <w:sz w:val="24"/>
            <w:szCs w:val="24"/>
            <w:u w:val="single"/>
            <w:lang w:eastAsia="pt-BR"/>
          </w:rPr>
          <w:t>(Incluído pela Lei nº 10.833, de 29.12.2003)</w:t>
        </w:r>
      </w:hyperlink>
    </w:p>
    <w:p w14:paraId="4034EB10"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30" w:name="art7§3ia"/>
      <w:bookmarkEnd w:id="30"/>
      <w:r w:rsidRPr="00395593">
        <w:rPr>
          <w:rFonts w:ascii="Garamond" w:eastAsia="Times New Roman" w:hAnsi="Garamond" w:cs="Arial"/>
          <w:color w:val="000000"/>
          <w:sz w:val="24"/>
          <w:szCs w:val="24"/>
          <w:lang w:eastAsia="pt-BR"/>
        </w:rPr>
        <w:t>a) a incidência de multa de mora, calculada à taxa de 0,33% (trinta e três centésimos por cento), por dia de atraso, a partir do 1</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(primeiro) dia subseqüente ao do registro da declaração de importação até o dia em que ocorrer o seu pagamento, limitada a 20% (vinte por cento); e         </w:t>
      </w:r>
      <w:hyperlink r:id="rId37" w:anchor="art79" w:history="1">
        <w:r w:rsidRPr="00395593">
          <w:rPr>
            <w:rFonts w:ascii="Garamond" w:eastAsia="Times New Roman" w:hAnsi="Garamond" w:cs="Arial"/>
            <w:color w:val="0000FF"/>
            <w:sz w:val="24"/>
            <w:szCs w:val="24"/>
            <w:u w:val="single"/>
            <w:lang w:eastAsia="pt-BR"/>
          </w:rPr>
          <w:t>(Incluído pela Lei nº 10.833, de 29.12.2003)</w:t>
        </w:r>
      </w:hyperlink>
    </w:p>
    <w:p w14:paraId="492A889F"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31" w:name="art7§3ib"/>
      <w:bookmarkEnd w:id="31"/>
      <w:r w:rsidRPr="00395593">
        <w:rPr>
          <w:rFonts w:ascii="Garamond" w:eastAsia="Times New Roman" w:hAnsi="Garamond" w:cs="Arial"/>
          <w:color w:val="000000"/>
          <w:sz w:val="24"/>
          <w:szCs w:val="24"/>
          <w:lang w:eastAsia="pt-BR"/>
        </w:rPr>
        <w:t>b) a incidência de juros de mora calculados à taxa referencial do Sistema Especial de Liquidação e Custódia - SELIC, para títulos federais, acumulada mensalmente, a partir do 1</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(primeiro) dia do mês subseqüente ao do registro da declaração de importação até o último dia do mês anterior ao do pagamento e de 1% (um por cento) no mês do pagamento; e         </w:t>
      </w:r>
      <w:hyperlink r:id="rId38" w:anchor="art79" w:history="1">
        <w:r w:rsidRPr="00395593">
          <w:rPr>
            <w:rFonts w:ascii="Garamond" w:eastAsia="Times New Roman" w:hAnsi="Garamond" w:cs="Arial"/>
            <w:color w:val="0000FF"/>
            <w:sz w:val="24"/>
            <w:szCs w:val="24"/>
            <w:u w:val="single"/>
            <w:lang w:eastAsia="pt-BR"/>
          </w:rPr>
          <w:t>(Incluído pela Lei nº 10.833, de 29.12.2003)</w:t>
        </w:r>
      </w:hyperlink>
    </w:p>
    <w:p w14:paraId="7FC8245C"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32" w:name="art7§3ii"/>
      <w:bookmarkEnd w:id="32"/>
      <w:r w:rsidRPr="00395593">
        <w:rPr>
          <w:rFonts w:ascii="Garamond" w:eastAsia="Times New Roman" w:hAnsi="Garamond" w:cs="Arial"/>
          <w:color w:val="000000"/>
          <w:sz w:val="24"/>
          <w:szCs w:val="24"/>
          <w:lang w:eastAsia="pt-BR"/>
        </w:rPr>
        <w:t>II - no caso de exigência de ofício, de multa de 75% (setenta e cinco por cento) e dos juros de mora previstos na alínea </w:t>
      </w:r>
      <w:r w:rsidRPr="005C5CBD">
        <w:rPr>
          <w:rFonts w:ascii="Garamond" w:eastAsia="Times New Roman" w:hAnsi="Garamond" w:cs="Arial"/>
          <w:i/>
          <w:iCs/>
          <w:color w:val="000000"/>
          <w:sz w:val="24"/>
          <w:szCs w:val="24"/>
          <w:lang w:eastAsia="pt-BR"/>
        </w:rPr>
        <w:t>b</w:t>
      </w:r>
      <w:r w:rsidRPr="00395593">
        <w:rPr>
          <w:rFonts w:ascii="Garamond" w:eastAsia="Times New Roman" w:hAnsi="Garamond" w:cs="Arial"/>
          <w:color w:val="000000"/>
          <w:sz w:val="24"/>
          <w:szCs w:val="24"/>
          <w:lang w:eastAsia="pt-BR"/>
        </w:rPr>
        <w:t> do inciso I deste parágrafo.         </w:t>
      </w:r>
      <w:hyperlink r:id="rId39" w:anchor="art79" w:history="1">
        <w:r w:rsidRPr="00395593">
          <w:rPr>
            <w:rFonts w:ascii="Garamond" w:eastAsia="Times New Roman" w:hAnsi="Garamond" w:cs="Arial"/>
            <w:color w:val="0000FF"/>
            <w:sz w:val="24"/>
            <w:szCs w:val="24"/>
            <w:u w:val="single"/>
            <w:lang w:eastAsia="pt-BR"/>
          </w:rPr>
          <w:t>(Incluído pela Lei nº 10.833, de 29.12.2003)</w:t>
        </w:r>
      </w:hyperlink>
    </w:p>
    <w:p w14:paraId="3C27CD24"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33" w:name="art7§4"/>
      <w:bookmarkEnd w:id="33"/>
      <w:r w:rsidRPr="00395593">
        <w:rPr>
          <w:rFonts w:ascii="Garamond" w:eastAsia="Times New Roman" w:hAnsi="Garamond" w:cs="Arial"/>
          <w:color w:val="000000"/>
          <w:sz w:val="24"/>
          <w:szCs w:val="24"/>
          <w:lang w:eastAsia="pt-BR"/>
        </w:rPr>
        <w:t>§ 4</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A multa de que trata o inciso II do § 3</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será exigida isoladamente quando os direitos </w:t>
      </w:r>
      <w:r w:rsidRPr="005C5CBD">
        <w:rPr>
          <w:rFonts w:ascii="Garamond" w:eastAsia="Times New Roman" w:hAnsi="Garamond" w:cs="Arial"/>
          <w:b/>
          <w:bCs/>
          <w:color w:val="000000"/>
          <w:sz w:val="24"/>
          <w:szCs w:val="24"/>
          <w:lang w:eastAsia="pt-BR"/>
        </w:rPr>
        <w:t>antidumping</w:t>
      </w:r>
      <w:r w:rsidRPr="00395593">
        <w:rPr>
          <w:rFonts w:ascii="Garamond" w:eastAsia="Times New Roman" w:hAnsi="Garamond" w:cs="Arial"/>
          <w:color w:val="000000"/>
          <w:sz w:val="24"/>
          <w:szCs w:val="24"/>
          <w:lang w:eastAsia="pt-BR"/>
        </w:rPr>
        <w:t> ou os direitos compensatórios houverem sido pagos após o registro da declaração de importação, mas sem os acréscimos moratórios. </w:t>
      </w:r>
      <w:hyperlink r:id="rId40" w:anchor="art79" w:history="1">
        <w:r w:rsidRPr="00395593">
          <w:rPr>
            <w:rFonts w:ascii="Garamond" w:eastAsia="Times New Roman" w:hAnsi="Garamond" w:cs="Arial"/>
            <w:color w:val="0000FF"/>
            <w:sz w:val="24"/>
            <w:szCs w:val="24"/>
            <w:u w:val="single"/>
            <w:lang w:eastAsia="pt-BR"/>
          </w:rPr>
          <w:t>(Incluído pela Lei nº 10.833, de 29.12.2003)</w:t>
        </w:r>
      </w:hyperlink>
    </w:p>
    <w:p w14:paraId="5DF5B152"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34" w:name="art7§5"/>
      <w:bookmarkEnd w:id="34"/>
      <w:r w:rsidRPr="00395593">
        <w:rPr>
          <w:rFonts w:ascii="Garamond" w:eastAsia="Times New Roman" w:hAnsi="Garamond" w:cs="Arial"/>
          <w:color w:val="000000"/>
          <w:sz w:val="24"/>
          <w:szCs w:val="24"/>
          <w:lang w:eastAsia="pt-BR"/>
        </w:rPr>
        <w:t>§ 5</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A exigência de ofício de direitos </w:t>
      </w:r>
      <w:r w:rsidRPr="005C5CBD">
        <w:rPr>
          <w:rFonts w:ascii="Garamond" w:eastAsia="Times New Roman" w:hAnsi="Garamond" w:cs="Arial"/>
          <w:b/>
          <w:bCs/>
          <w:color w:val="000000"/>
          <w:sz w:val="24"/>
          <w:szCs w:val="24"/>
          <w:lang w:eastAsia="pt-BR"/>
        </w:rPr>
        <w:t>antidumping</w:t>
      </w:r>
      <w:r w:rsidRPr="00395593">
        <w:rPr>
          <w:rFonts w:ascii="Garamond" w:eastAsia="Times New Roman" w:hAnsi="Garamond" w:cs="Arial"/>
          <w:color w:val="000000"/>
          <w:sz w:val="24"/>
          <w:szCs w:val="24"/>
          <w:lang w:eastAsia="pt-BR"/>
        </w:rPr>
        <w:t> ou de direitos compensatórios e decorrentes acréscimos moratórios e penalidades será formalizada em auto de infração lavrado por Auditor-Fiscal da Receita Federal, observado o disposto no Decreto n</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70.235, de 6 de março de 1972, e o prazo de 5 (cinco) anos contados da data de registro da declaração de importação.         </w:t>
      </w:r>
      <w:hyperlink r:id="rId41" w:anchor="art79" w:history="1">
        <w:r w:rsidRPr="00395593">
          <w:rPr>
            <w:rFonts w:ascii="Garamond" w:eastAsia="Times New Roman" w:hAnsi="Garamond" w:cs="Arial"/>
            <w:color w:val="0000FF"/>
            <w:sz w:val="24"/>
            <w:szCs w:val="24"/>
            <w:u w:val="single"/>
            <w:lang w:eastAsia="pt-BR"/>
          </w:rPr>
          <w:t>(Incluído pela Lei nº 10.833, de 29.12.2003)</w:t>
        </w:r>
      </w:hyperlink>
    </w:p>
    <w:p w14:paraId="35A08F6D"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35" w:name="art7§6"/>
      <w:bookmarkEnd w:id="35"/>
      <w:r w:rsidRPr="00395593">
        <w:rPr>
          <w:rFonts w:ascii="Garamond" w:eastAsia="Times New Roman" w:hAnsi="Garamond" w:cs="Arial"/>
          <w:color w:val="000000"/>
          <w:sz w:val="24"/>
          <w:szCs w:val="24"/>
          <w:lang w:eastAsia="pt-BR"/>
        </w:rPr>
        <w:t>§ 6</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Verificado o inadimplemento da obrigação, a Secretaria da Receita Federal encaminhará o débito à Procuradoria-Geral da Fazenda Nacional, para inscrição em Dívida Ativa da União e respectiva cobrança, observado o prazo de prescrição de 5 (cinco) anos.         </w:t>
      </w:r>
      <w:hyperlink r:id="rId42" w:anchor="art79" w:history="1">
        <w:r w:rsidRPr="00395593">
          <w:rPr>
            <w:rFonts w:ascii="Garamond" w:eastAsia="Times New Roman" w:hAnsi="Garamond" w:cs="Arial"/>
            <w:color w:val="0000FF"/>
            <w:sz w:val="24"/>
            <w:szCs w:val="24"/>
            <w:u w:val="single"/>
            <w:lang w:eastAsia="pt-BR"/>
          </w:rPr>
          <w:t>(Incluído pela Lei nº 10.833, de 29.12.2003)</w:t>
        </w:r>
      </w:hyperlink>
    </w:p>
    <w:p w14:paraId="6BAB0D01"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36" w:name="art7§7"/>
      <w:bookmarkEnd w:id="36"/>
      <w:r w:rsidRPr="00395593">
        <w:rPr>
          <w:rFonts w:ascii="Garamond" w:eastAsia="Times New Roman" w:hAnsi="Garamond" w:cs="Arial"/>
          <w:color w:val="000000"/>
          <w:sz w:val="24"/>
          <w:szCs w:val="24"/>
          <w:lang w:eastAsia="pt-BR"/>
        </w:rPr>
        <w:t>§ 7</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A restituição de valores pagos a título de direitos </w:t>
      </w:r>
      <w:r w:rsidRPr="005C5CBD">
        <w:rPr>
          <w:rFonts w:ascii="Garamond" w:eastAsia="Times New Roman" w:hAnsi="Garamond" w:cs="Arial"/>
          <w:b/>
          <w:bCs/>
          <w:color w:val="000000"/>
          <w:sz w:val="24"/>
          <w:szCs w:val="24"/>
          <w:lang w:eastAsia="pt-BR"/>
        </w:rPr>
        <w:t>antidumping</w:t>
      </w:r>
      <w:r w:rsidRPr="00395593">
        <w:rPr>
          <w:rFonts w:ascii="Garamond" w:eastAsia="Times New Roman" w:hAnsi="Garamond" w:cs="Arial"/>
          <w:color w:val="000000"/>
          <w:sz w:val="24"/>
          <w:szCs w:val="24"/>
          <w:lang w:eastAsia="pt-BR"/>
        </w:rPr>
        <w:t> e de direitos compensatórios, provisórios ou definitivos, enseja a restituição dos acréscimos legais correspondentes e das penalidades pecuniárias, de caráter material, prejudicados pela causa da restituição.         </w:t>
      </w:r>
      <w:hyperlink r:id="rId43" w:anchor="art79" w:history="1">
        <w:r w:rsidRPr="00395593">
          <w:rPr>
            <w:rFonts w:ascii="Garamond" w:eastAsia="Times New Roman" w:hAnsi="Garamond" w:cs="Arial"/>
            <w:color w:val="0000FF"/>
            <w:sz w:val="24"/>
            <w:szCs w:val="24"/>
            <w:u w:val="single"/>
            <w:lang w:eastAsia="pt-BR"/>
          </w:rPr>
          <w:t>(Incluído pela Lei nº 10.833, de 29.12.2003)</w:t>
        </w:r>
      </w:hyperlink>
    </w:p>
    <w:p w14:paraId="1C1ED959" w14:textId="77777777" w:rsidR="007F2CCB" w:rsidRPr="00395593" w:rsidRDefault="007F2CCB" w:rsidP="007F2CCB">
      <w:pPr>
        <w:spacing w:after="0"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37" w:name="art7§8"/>
      <w:bookmarkEnd w:id="37"/>
      <w:r w:rsidRPr="00395593">
        <w:rPr>
          <w:rFonts w:ascii="Garamond" w:eastAsia="Times New Roman" w:hAnsi="Garamond" w:cs="Arial"/>
          <w:strike/>
          <w:color w:val="000000"/>
          <w:sz w:val="24"/>
          <w:szCs w:val="24"/>
          <w:lang w:eastAsia="pt-BR"/>
        </w:rPr>
        <w:t>§ 8</w:t>
      </w:r>
      <w:r w:rsidRPr="00395593">
        <w:rPr>
          <w:rFonts w:ascii="Garamond" w:eastAsia="Times New Roman" w:hAnsi="Garamond" w:cs="Arial"/>
          <w:strike/>
          <w:color w:val="000000"/>
          <w:sz w:val="24"/>
          <w:szCs w:val="24"/>
          <w:u w:val="single"/>
          <w:vertAlign w:val="superscript"/>
          <w:lang w:eastAsia="pt-BR"/>
        </w:rPr>
        <w:t>o</w:t>
      </w:r>
      <w:r w:rsidRPr="00395593">
        <w:rPr>
          <w:rFonts w:ascii="Garamond" w:eastAsia="Times New Roman" w:hAnsi="Garamond" w:cs="Arial"/>
          <w:strike/>
          <w:color w:val="000000"/>
          <w:sz w:val="24"/>
          <w:szCs w:val="24"/>
          <w:lang w:eastAsia="pt-BR"/>
        </w:rPr>
        <w:t>  O julgamento dos processos relativos à exigência de que trata o § 5</w:t>
      </w:r>
      <w:r w:rsidRPr="00395593">
        <w:rPr>
          <w:rFonts w:ascii="Garamond" w:eastAsia="Times New Roman" w:hAnsi="Garamond" w:cs="Arial"/>
          <w:strike/>
          <w:color w:val="000000"/>
          <w:sz w:val="24"/>
          <w:szCs w:val="24"/>
          <w:u w:val="single"/>
          <w:vertAlign w:val="superscript"/>
          <w:lang w:eastAsia="pt-BR"/>
        </w:rPr>
        <w:t>o</w:t>
      </w:r>
      <w:r w:rsidRPr="00395593">
        <w:rPr>
          <w:rFonts w:ascii="Garamond" w:eastAsia="Times New Roman" w:hAnsi="Garamond" w:cs="Arial"/>
          <w:strike/>
          <w:color w:val="000000"/>
          <w:sz w:val="24"/>
          <w:szCs w:val="24"/>
          <w:lang w:eastAsia="pt-BR"/>
        </w:rPr>
        <w:t>, observado o disposto no Decreto n</w:t>
      </w:r>
      <w:r w:rsidRPr="00395593">
        <w:rPr>
          <w:rFonts w:ascii="Garamond" w:eastAsia="Times New Roman" w:hAnsi="Garamond" w:cs="Arial"/>
          <w:strike/>
          <w:color w:val="000000"/>
          <w:sz w:val="24"/>
          <w:szCs w:val="24"/>
          <w:u w:val="single"/>
          <w:vertAlign w:val="superscript"/>
          <w:lang w:eastAsia="pt-BR"/>
        </w:rPr>
        <w:t>o</w:t>
      </w:r>
      <w:r w:rsidRPr="00395593">
        <w:rPr>
          <w:rFonts w:ascii="Garamond" w:eastAsia="Times New Roman" w:hAnsi="Garamond" w:cs="Arial"/>
          <w:strike/>
          <w:color w:val="000000"/>
          <w:sz w:val="24"/>
          <w:szCs w:val="24"/>
          <w:lang w:eastAsia="pt-BR"/>
        </w:rPr>
        <w:t> 70.235, de 6 de março de 1972, compete:         </w:t>
      </w:r>
      <w:hyperlink r:id="rId44" w:anchor="art33" w:history="1">
        <w:r w:rsidRPr="00395593">
          <w:rPr>
            <w:rFonts w:ascii="Garamond" w:eastAsia="Times New Roman" w:hAnsi="Garamond" w:cs="Arial"/>
            <w:strike/>
            <w:color w:val="0000FF"/>
            <w:sz w:val="24"/>
            <w:szCs w:val="24"/>
            <w:u w:val="single"/>
            <w:lang w:eastAsia="pt-BR"/>
          </w:rPr>
          <w:t>(Incluído pela Medida Provisória nº 320, 2006)</w:t>
        </w:r>
      </w:hyperlink>
      <w:r w:rsidRPr="00395593">
        <w:rPr>
          <w:rFonts w:ascii="Garamond" w:eastAsia="Times New Roman" w:hAnsi="Garamond" w:cs="Arial"/>
          <w:color w:val="000000"/>
          <w:sz w:val="24"/>
          <w:szCs w:val="24"/>
          <w:lang w:eastAsia="pt-BR"/>
        </w:rPr>
        <w:t> </w:t>
      </w:r>
      <w:hyperlink r:id="rId45" w:history="1">
        <w:r w:rsidRPr="00395593">
          <w:rPr>
            <w:rFonts w:ascii="Garamond" w:eastAsia="Times New Roman" w:hAnsi="Garamond" w:cs="Arial"/>
            <w:color w:val="0000FF"/>
            <w:sz w:val="24"/>
            <w:szCs w:val="24"/>
            <w:u w:val="single"/>
            <w:lang w:eastAsia="pt-BR"/>
          </w:rPr>
          <w:t>Sem eficácia</w:t>
        </w:r>
      </w:hyperlink>
    </w:p>
    <w:p w14:paraId="6684FA14" w14:textId="77777777" w:rsidR="007F2CCB" w:rsidRPr="00395593" w:rsidRDefault="007F2CCB" w:rsidP="007F2CCB">
      <w:pPr>
        <w:spacing w:after="0"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w:t>
      </w:r>
      <w:bookmarkStart w:id="38" w:name="art7§8i"/>
      <w:bookmarkEnd w:id="38"/>
      <w:r w:rsidRPr="00395593">
        <w:rPr>
          <w:rFonts w:ascii="Garamond" w:eastAsia="Times New Roman" w:hAnsi="Garamond" w:cs="Arial"/>
          <w:strike/>
          <w:color w:val="000000"/>
          <w:sz w:val="24"/>
          <w:szCs w:val="24"/>
          <w:lang w:eastAsia="pt-BR"/>
        </w:rPr>
        <w:t>I - em primeira instância, às Delegacias da Receita Federal de Julgamento, na forma estabelecida pelo Secretário da Secretaria da Receita Federal; e         </w:t>
      </w:r>
      <w:hyperlink r:id="rId46" w:anchor="art33" w:history="1">
        <w:r w:rsidRPr="00395593">
          <w:rPr>
            <w:rFonts w:ascii="Garamond" w:eastAsia="Times New Roman" w:hAnsi="Garamond" w:cs="Arial"/>
            <w:strike/>
            <w:color w:val="0000FF"/>
            <w:sz w:val="24"/>
            <w:szCs w:val="24"/>
            <w:u w:val="single"/>
            <w:lang w:eastAsia="pt-BR"/>
          </w:rPr>
          <w:t>(Incluído pela Medida Provisória nº 320, 2006)</w:t>
        </w:r>
      </w:hyperlink>
      <w:r w:rsidRPr="00395593">
        <w:rPr>
          <w:rFonts w:ascii="Garamond" w:eastAsia="Times New Roman" w:hAnsi="Garamond" w:cs="Arial"/>
          <w:color w:val="000000"/>
          <w:sz w:val="24"/>
          <w:szCs w:val="24"/>
          <w:lang w:eastAsia="pt-BR"/>
        </w:rPr>
        <w:t> </w:t>
      </w:r>
      <w:hyperlink r:id="rId47" w:history="1">
        <w:r w:rsidRPr="00395593">
          <w:rPr>
            <w:rFonts w:ascii="Garamond" w:eastAsia="Times New Roman" w:hAnsi="Garamond" w:cs="Arial"/>
            <w:color w:val="0000FF"/>
            <w:sz w:val="24"/>
            <w:szCs w:val="24"/>
            <w:u w:val="single"/>
            <w:lang w:eastAsia="pt-BR"/>
          </w:rPr>
          <w:t>Sem eficácia</w:t>
        </w:r>
      </w:hyperlink>
    </w:p>
    <w:p w14:paraId="167ACDCD" w14:textId="77777777" w:rsidR="007F2CCB" w:rsidRPr="00395593" w:rsidRDefault="007F2CCB" w:rsidP="007F2CCB">
      <w:pPr>
        <w:spacing w:after="0"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39" w:name="art7§8ii"/>
      <w:bookmarkEnd w:id="39"/>
      <w:r w:rsidRPr="00395593">
        <w:rPr>
          <w:rFonts w:ascii="Garamond" w:eastAsia="Times New Roman" w:hAnsi="Garamond" w:cs="Arial"/>
          <w:strike/>
          <w:color w:val="000000"/>
          <w:sz w:val="24"/>
          <w:szCs w:val="24"/>
          <w:lang w:eastAsia="pt-BR"/>
        </w:rPr>
        <w:t>II - em segunda instância, ao Terceiro Conselho de Contribuintes do Ministério da Fazenda.         </w:t>
      </w:r>
      <w:hyperlink r:id="rId48" w:anchor="art33" w:history="1">
        <w:r w:rsidRPr="00395593">
          <w:rPr>
            <w:rFonts w:ascii="Garamond" w:eastAsia="Times New Roman" w:hAnsi="Garamond" w:cs="Arial"/>
            <w:strike/>
            <w:color w:val="0000FF"/>
            <w:sz w:val="24"/>
            <w:szCs w:val="24"/>
            <w:u w:val="single"/>
            <w:lang w:eastAsia="pt-BR"/>
          </w:rPr>
          <w:t>(Incluído pela Medida Provisória nº 320, 2006)</w:t>
        </w:r>
      </w:hyperlink>
      <w:r w:rsidRPr="00395593">
        <w:rPr>
          <w:rFonts w:ascii="Garamond" w:eastAsia="Times New Roman" w:hAnsi="Garamond" w:cs="Arial"/>
          <w:color w:val="000000"/>
          <w:sz w:val="24"/>
          <w:szCs w:val="24"/>
          <w:lang w:eastAsia="pt-BR"/>
        </w:rPr>
        <w:t> </w:t>
      </w:r>
      <w:hyperlink r:id="rId49" w:history="1">
        <w:r w:rsidRPr="00395593">
          <w:rPr>
            <w:rFonts w:ascii="Garamond" w:eastAsia="Times New Roman" w:hAnsi="Garamond" w:cs="Arial"/>
            <w:color w:val="0000FF"/>
            <w:sz w:val="24"/>
            <w:szCs w:val="24"/>
            <w:u w:val="single"/>
            <w:lang w:eastAsia="pt-BR"/>
          </w:rPr>
          <w:t>Sem eficácia</w:t>
        </w:r>
      </w:hyperlink>
    </w:p>
    <w:p w14:paraId="0035E09B"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Art. 8º Os direitos antidumping ou compensatórios, provisórios ou definitivos, somente serão aplicados sobre bens despachados para consumo a partir da data da publicação do ato que os estabelecer, excetuando-se os casos de retroatividade previstos nos Acordos Antidumping e nos Acordos de Subsídios e Direitos Compensatórios, mencionados no art. 1º.</w:t>
      </w:r>
    </w:p>
    <w:p w14:paraId="2DF65774"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40" w:name="art8§1"/>
      <w:bookmarkEnd w:id="40"/>
      <w:r w:rsidRPr="00395593">
        <w:rPr>
          <w:rFonts w:ascii="Garamond" w:eastAsia="Times New Roman" w:hAnsi="Garamond" w:cs="Arial"/>
          <w:color w:val="000000"/>
          <w:sz w:val="24"/>
          <w:szCs w:val="24"/>
          <w:lang w:eastAsia="pt-BR"/>
        </w:rPr>
        <w:t>§ 1</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Nos casos de retroatividade, a Secretaria da Receita Federal intimará o contribuinte ou responsável para pagar os direitos </w:t>
      </w:r>
      <w:r w:rsidRPr="005C5CBD">
        <w:rPr>
          <w:rFonts w:ascii="Garamond" w:eastAsia="Times New Roman" w:hAnsi="Garamond" w:cs="Arial"/>
          <w:b/>
          <w:bCs/>
          <w:color w:val="000000"/>
          <w:sz w:val="24"/>
          <w:szCs w:val="24"/>
          <w:lang w:eastAsia="pt-BR"/>
        </w:rPr>
        <w:t>antidumping</w:t>
      </w:r>
      <w:r w:rsidRPr="00395593">
        <w:rPr>
          <w:rFonts w:ascii="Garamond" w:eastAsia="Times New Roman" w:hAnsi="Garamond" w:cs="Arial"/>
          <w:color w:val="000000"/>
          <w:sz w:val="24"/>
          <w:szCs w:val="24"/>
          <w:lang w:eastAsia="pt-BR"/>
        </w:rPr>
        <w:t> ou compensatórios, provisórios ou definitivos, no prazo de 30 (trinta) dias, sem a incidência de quaisquer acréscimos moratórios.         </w:t>
      </w:r>
      <w:hyperlink r:id="rId50" w:anchor="art79" w:history="1">
        <w:r w:rsidRPr="00395593">
          <w:rPr>
            <w:rFonts w:ascii="Garamond" w:eastAsia="Times New Roman" w:hAnsi="Garamond" w:cs="Arial"/>
            <w:color w:val="0000FF"/>
            <w:sz w:val="24"/>
            <w:szCs w:val="24"/>
            <w:u w:val="single"/>
            <w:lang w:eastAsia="pt-BR"/>
          </w:rPr>
          <w:t>(Incluído pela Lei nº 10.833, de 29.12.2003)</w:t>
        </w:r>
      </w:hyperlink>
    </w:p>
    <w:p w14:paraId="5E85B902"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41" w:name="art8§2"/>
      <w:bookmarkEnd w:id="41"/>
      <w:r w:rsidRPr="00395593">
        <w:rPr>
          <w:rFonts w:ascii="Garamond" w:eastAsia="Times New Roman" w:hAnsi="Garamond" w:cs="Arial"/>
          <w:color w:val="000000"/>
          <w:sz w:val="24"/>
          <w:szCs w:val="24"/>
          <w:lang w:eastAsia="pt-BR"/>
        </w:rPr>
        <w:t>§ 2</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Vencido o prazo previsto no § 1</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sem que tenha havido o pagamento dos direitos, a Secretaria da Receita Federal deverá exigi-los de ofício, mediante a lavratura de auto de infração, aplicando-se a multa e os juros de mora previstos no inciso II do § 3</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do art. 7</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a partir do término do prazo de 30 (trinta) dias previsto no § 1</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deste artigo.           </w:t>
      </w:r>
      <w:hyperlink r:id="rId51" w:anchor="art79" w:history="1">
        <w:r w:rsidRPr="00395593">
          <w:rPr>
            <w:rFonts w:ascii="Garamond" w:eastAsia="Times New Roman" w:hAnsi="Garamond" w:cs="Arial"/>
            <w:color w:val="0000FF"/>
            <w:sz w:val="24"/>
            <w:szCs w:val="24"/>
            <w:u w:val="single"/>
            <w:lang w:eastAsia="pt-BR"/>
          </w:rPr>
          <w:t>(Incluído pela Lei nº 10.833, de 29.12.2003)</w:t>
        </w:r>
      </w:hyperlink>
    </w:p>
    <w:p w14:paraId="4B176EF9"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42" w:name="art9"/>
      <w:bookmarkEnd w:id="42"/>
      <w:r w:rsidRPr="00395593">
        <w:rPr>
          <w:rFonts w:ascii="Garamond" w:eastAsia="Times New Roman" w:hAnsi="Garamond" w:cs="Arial"/>
          <w:color w:val="000000"/>
          <w:sz w:val="24"/>
          <w:szCs w:val="24"/>
          <w:lang w:eastAsia="pt-BR"/>
        </w:rPr>
        <w:t>Art. 9º Os direitos terão vigência temporária, a ser definida no ato de seu estabelecimento, observado que:</w:t>
      </w:r>
    </w:p>
    <w:p w14:paraId="5D0919DA"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w:t>
      </w:r>
      <w:bookmarkStart w:id="43" w:name="art9i."/>
      <w:bookmarkEnd w:id="43"/>
      <w:r w:rsidRPr="00395593">
        <w:rPr>
          <w:rFonts w:ascii="Garamond" w:eastAsia="Times New Roman" w:hAnsi="Garamond" w:cs="Arial"/>
          <w:strike/>
          <w:color w:val="000000"/>
          <w:sz w:val="24"/>
          <w:szCs w:val="24"/>
          <w:lang w:eastAsia="pt-BR"/>
        </w:rPr>
        <w:t>I - os provisórios terão vigência não superior a 120 dias, salvo no caso de direitos antidumping, quando, por decisão dos Ministros da Fazenda e da Indústria, do Comércio e do Turismo, poderão vigorar por um período de até 180 dias, observado o disposto nos Acordos Antidumping, mencionados no art. 1º;</w:t>
      </w:r>
    </w:p>
    <w:p w14:paraId="4131A067"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44" w:name="art9i"/>
      <w:bookmarkEnd w:id="44"/>
      <w:r w:rsidRPr="00395593">
        <w:rPr>
          <w:rFonts w:ascii="Garamond" w:eastAsia="Times New Roman" w:hAnsi="Garamond" w:cs="Arial"/>
          <w:color w:val="000000"/>
          <w:sz w:val="24"/>
          <w:szCs w:val="24"/>
          <w:lang w:eastAsia="pt-BR"/>
        </w:rPr>
        <w:t>I - os provisórios terão vigência não superior a cento e vinte dias, salvo no caso de direitos </w:t>
      </w:r>
      <w:r w:rsidRPr="005C5CBD">
        <w:rPr>
          <w:rFonts w:ascii="Garamond" w:eastAsia="Times New Roman" w:hAnsi="Garamond" w:cs="Arial"/>
          <w:i/>
          <w:iCs/>
          <w:color w:val="000000"/>
          <w:sz w:val="24"/>
          <w:szCs w:val="24"/>
          <w:lang w:eastAsia="pt-BR"/>
        </w:rPr>
        <w:t>antidumping</w:t>
      </w:r>
      <w:r w:rsidRPr="00395593">
        <w:rPr>
          <w:rFonts w:ascii="Garamond" w:eastAsia="Times New Roman" w:hAnsi="Garamond" w:cs="Arial"/>
          <w:color w:val="000000"/>
          <w:sz w:val="24"/>
          <w:szCs w:val="24"/>
          <w:lang w:eastAsia="pt-BR"/>
        </w:rPr>
        <w:t>, quando, por decisão da CAMEX, poderão vigorar por um período de até duzentos e setenta dias, observado o disposto nos Acordos </w:t>
      </w:r>
      <w:r w:rsidRPr="005C5CBD">
        <w:rPr>
          <w:rFonts w:ascii="Garamond" w:eastAsia="Times New Roman" w:hAnsi="Garamond" w:cs="Arial"/>
          <w:i/>
          <w:iCs/>
          <w:color w:val="000000"/>
          <w:sz w:val="24"/>
          <w:szCs w:val="24"/>
          <w:lang w:eastAsia="pt-BR"/>
        </w:rPr>
        <w:t>Antidumping</w:t>
      </w:r>
      <w:r w:rsidRPr="00395593">
        <w:rPr>
          <w:rFonts w:ascii="Garamond" w:eastAsia="Times New Roman" w:hAnsi="Garamond" w:cs="Arial"/>
          <w:color w:val="000000"/>
          <w:sz w:val="24"/>
          <w:szCs w:val="24"/>
          <w:lang w:eastAsia="pt-BR"/>
        </w:rPr>
        <w:t>, mencionados no art. 1</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w:t>
      </w:r>
      <w:hyperlink r:id="rId52" w:anchor="art53" w:history="1">
        <w:r w:rsidRPr="00395593">
          <w:rPr>
            <w:rFonts w:ascii="Garamond" w:eastAsia="Times New Roman" w:hAnsi="Garamond" w:cs="Arial"/>
            <w:color w:val="0000FF"/>
            <w:sz w:val="24"/>
            <w:szCs w:val="24"/>
            <w:u w:val="single"/>
            <w:lang w:eastAsia="pt-BR"/>
          </w:rPr>
          <w:t>(Redação dada pela Medida Provisória nº 2.158-35, de 2001)</w:t>
        </w:r>
      </w:hyperlink>
    </w:p>
    <w:p w14:paraId="27E371F3"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45" w:name="art9ii."/>
      <w:bookmarkEnd w:id="45"/>
      <w:r w:rsidRPr="00395593">
        <w:rPr>
          <w:rFonts w:ascii="Garamond" w:eastAsia="Times New Roman" w:hAnsi="Garamond" w:cs="Arial"/>
          <w:strike/>
          <w:color w:val="000000"/>
          <w:sz w:val="24"/>
          <w:szCs w:val="24"/>
          <w:lang w:eastAsia="pt-BR"/>
        </w:rPr>
        <w:t>II - os definitivos ou compromisso homologado só permanecerão em vigor durante o tempo e na medida necessária para eliminar ou neutralizar as práticas de dumping e a concessão de subsídios que estejam causando dano. Em nenhuma hipótese, vigorarão por mais de cinco anos, exceto quando, no caso de revisão, se mostre necessário manter a medida para impedir a continuação ou repetição do dano causado pelas importações objeto de dumping ou subsídio.</w:t>
      </w:r>
    </w:p>
    <w:p w14:paraId="5B974BA5"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46" w:name="art9ii"/>
      <w:bookmarkEnd w:id="46"/>
      <w:r w:rsidRPr="00395593">
        <w:rPr>
          <w:rFonts w:ascii="Garamond" w:eastAsia="Times New Roman" w:hAnsi="Garamond" w:cs="Arial"/>
          <w:color w:val="000000"/>
          <w:sz w:val="24"/>
          <w:szCs w:val="24"/>
          <w:lang w:eastAsia="pt-BR"/>
        </w:rPr>
        <w:t>II - os definitivos ou compromisso homologado só permanecerão em vigor durante o tempo e na medida necessária para eliminar ou neutralizar as práticas de </w:t>
      </w:r>
      <w:r w:rsidRPr="005C5CBD">
        <w:rPr>
          <w:rFonts w:ascii="Garamond" w:eastAsia="Times New Roman" w:hAnsi="Garamond" w:cs="Arial"/>
          <w:i/>
          <w:iCs/>
          <w:color w:val="000000"/>
          <w:sz w:val="24"/>
          <w:szCs w:val="24"/>
          <w:lang w:eastAsia="pt-BR"/>
        </w:rPr>
        <w:t>dumping</w:t>
      </w:r>
      <w:r w:rsidRPr="00395593">
        <w:rPr>
          <w:rFonts w:ascii="Garamond" w:eastAsia="Times New Roman" w:hAnsi="Garamond" w:cs="Arial"/>
          <w:color w:val="000000"/>
          <w:sz w:val="24"/>
          <w:szCs w:val="24"/>
          <w:lang w:eastAsia="pt-BR"/>
        </w:rPr>
        <w:t> e a concessão de subsídios que estejam causando dano. Em nenhuma hipótese, vigorarão por mais de cinco anos, exceto quando, no caso de revisão, se mostre necessário manter a medida para impedir a continuação ou a retomada do </w:t>
      </w:r>
      <w:r w:rsidRPr="005C5CBD">
        <w:rPr>
          <w:rFonts w:ascii="Garamond" w:eastAsia="Times New Roman" w:hAnsi="Garamond" w:cs="Arial"/>
          <w:i/>
          <w:iCs/>
          <w:color w:val="000000"/>
          <w:sz w:val="24"/>
          <w:szCs w:val="24"/>
          <w:lang w:eastAsia="pt-BR"/>
        </w:rPr>
        <w:t>dumping</w:t>
      </w:r>
      <w:r w:rsidRPr="00395593">
        <w:rPr>
          <w:rFonts w:ascii="Garamond" w:eastAsia="Times New Roman" w:hAnsi="Garamond" w:cs="Arial"/>
          <w:color w:val="000000"/>
          <w:sz w:val="24"/>
          <w:szCs w:val="24"/>
          <w:lang w:eastAsia="pt-BR"/>
        </w:rPr>
        <w:t> e do dano causado pelas importações objeto de </w:t>
      </w:r>
      <w:r w:rsidRPr="005C5CBD">
        <w:rPr>
          <w:rFonts w:ascii="Garamond" w:eastAsia="Times New Roman" w:hAnsi="Garamond" w:cs="Arial"/>
          <w:i/>
          <w:iCs/>
          <w:color w:val="000000"/>
          <w:sz w:val="24"/>
          <w:szCs w:val="24"/>
          <w:lang w:eastAsia="pt-BR"/>
        </w:rPr>
        <w:t>dumping</w:t>
      </w:r>
      <w:r w:rsidRPr="00395593">
        <w:rPr>
          <w:rFonts w:ascii="Garamond" w:eastAsia="Times New Roman" w:hAnsi="Garamond" w:cs="Arial"/>
          <w:color w:val="000000"/>
          <w:sz w:val="24"/>
          <w:szCs w:val="24"/>
          <w:lang w:eastAsia="pt-BR"/>
        </w:rPr>
        <w:t> ou subsídio.         </w:t>
      </w:r>
      <w:hyperlink r:id="rId53" w:anchor="art53" w:history="1">
        <w:r w:rsidRPr="00395593">
          <w:rPr>
            <w:rFonts w:ascii="Garamond" w:eastAsia="Times New Roman" w:hAnsi="Garamond" w:cs="Arial"/>
            <w:color w:val="0000FF"/>
            <w:sz w:val="24"/>
            <w:szCs w:val="24"/>
            <w:u w:val="single"/>
            <w:lang w:eastAsia="pt-BR"/>
          </w:rPr>
          <w:t>(Redação dada pela Medida Provisória nº 2.158-35, de 2001)</w:t>
        </w:r>
      </w:hyperlink>
    </w:p>
    <w:p w14:paraId="563DE703"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47" w:name="art9p"/>
      <w:bookmarkEnd w:id="47"/>
      <w:r w:rsidRPr="00395593">
        <w:rPr>
          <w:rFonts w:ascii="Garamond" w:eastAsia="Times New Roman" w:hAnsi="Garamond" w:cs="Arial"/>
          <w:color w:val="000000"/>
          <w:sz w:val="24"/>
          <w:szCs w:val="24"/>
          <w:lang w:eastAsia="pt-BR"/>
        </w:rPr>
        <w:t>Parágrafo único. Os exportadores envolvidos no processo de investigação que desejarem a extensão para até seis meses do prazo de vigência de direitos antidumping provisórios, nos termos do inciso I deste artigo, deverão apresentar à Secex solicitação formal nesse sentido, no prazo máximo de trinta dias antes do término do período de vigência do direito.</w:t>
      </w:r>
    </w:p>
    <w:p w14:paraId="1FD4316A"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w:t>
      </w:r>
      <w:bookmarkStart w:id="48" w:name="art10"/>
      <w:bookmarkEnd w:id="48"/>
      <w:r w:rsidRPr="00395593">
        <w:rPr>
          <w:rFonts w:ascii="Garamond" w:eastAsia="Times New Roman" w:hAnsi="Garamond" w:cs="Arial"/>
          <w:color w:val="000000"/>
          <w:sz w:val="24"/>
          <w:szCs w:val="24"/>
          <w:lang w:eastAsia="pt-BR"/>
        </w:rPr>
        <w:t>Art. 10. Para efeito de execução orçamentária, as receitas oriundas da cobrança dos direitos antidumping e dos direitos compensatórios, classificadas como receitas originárias, serão enquadradas na categoria de entradas compensatórias previstas no parágrafo único do </w:t>
      </w:r>
      <w:hyperlink r:id="rId54" w:anchor="art3" w:history="1">
        <w:r w:rsidRPr="00395593">
          <w:rPr>
            <w:rFonts w:ascii="Garamond" w:eastAsia="Times New Roman" w:hAnsi="Garamond" w:cs="Arial"/>
            <w:color w:val="0000FF"/>
            <w:sz w:val="24"/>
            <w:szCs w:val="24"/>
            <w:u w:val="single"/>
            <w:lang w:eastAsia="pt-BR"/>
          </w:rPr>
          <w:t>art. 3º da Lei nº 4.320, de 17 de março de 1964.</w:t>
        </w:r>
      </w:hyperlink>
    </w:p>
    <w:p w14:paraId="2A786263"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49" w:name="art10p"/>
      <w:bookmarkEnd w:id="49"/>
      <w:r w:rsidRPr="00395593">
        <w:rPr>
          <w:rFonts w:ascii="Garamond" w:eastAsia="Times New Roman" w:hAnsi="Garamond" w:cs="Arial"/>
          <w:color w:val="000000"/>
          <w:sz w:val="24"/>
          <w:szCs w:val="24"/>
          <w:lang w:eastAsia="pt-BR"/>
        </w:rPr>
        <w:t>Parágrafo único.  As receitas oriundas da cobrança dos direitos </w:t>
      </w:r>
      <w:r w:rsidRPr="005C5CBD">
        <w:rPr>
          <w:rFonts w:ascii="Garamond" w:eastAsia="Times New Roman" w:hAnsi="Garamond" w:cs="Arial"/>
          <w:i/>
          <w:iCs/>
          <w:color w:val="000000"/>
          <w:sz w:val="24"/>
          <w:szCs w:val="24"/>
          <w:lang w:eastAsia="pt-BR"/>
        </w:rPr>
        <w:t>antidumping</w:t>
      </w:r>
      <w:r w:rsidRPr="00395593">
        <w:rPr>
          <w:rFonts w:ascii="Garamond" w:eastAsia="Times New Roman" w:hAnsi="Garamond" w:cs="Arial"/>
          <w:color w:val="000000"/>
          <w:sz w:val="24"/>
          <w:szCs w:val="24"/>
          <w:lang w:eastAsia="pt-BR"/>
        </w:rPr>
        <w:t> e dos Direitos Compensatórios de que trata este artigo, serão destinadas ao Ministério do Desenvolvimento, Indústria e Comércio Exterior, para aplicação na área de comércio exterior, conforme diretrizes estabelecidas pela CAMEX.         </w:t>
      </w:r>
      <w:hyperlink r:id="rId55" w:anchor="art53" w:history="1">
        <w:r w:rsidRPr="00395593">
          <w:rPr>
            <w:rFonts w:ascii="Garamond" w:eastAsia="Times New Roman" w:hAnsi="Garamond" w:cs="Arial"/>
            <w:color w:val="0000FF"/>
            <w:sz w:val="24"/>
            <w:szCs w:val="24"/>
            <w:u w:val="single"/>
            <w:lang w:eastAsia="pt-BR"/>
          </w:rPr>
          <w:t>(Incluído pela Medida Provisória nº 2.158-35, de 2001)</w:t>
        </w:r>
      </w:hyperlink>
    </w:p>
    <w:p w14:paraId="67633040"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50" w:name="art10a"/>
      <w:bookmarkEnd w:id="50"/>
      <w:r w:rsidRPr="00395593">
        <w:rPr>
          <w:rFonts w:ascii="Garamond" w:eastAsia="Times New Roman" w:hAnsi="Garamond" w:cs="Arial"/>
          <w:strike/>
          <w:color w:val="000000"/>
          <w:sz w:val="24"/>
          <w:szCs w:val="24"/>
          <w:lang w:eastAsia="pt-BR"/>
        </w:rPr>
        <w:t>Art. 10-A.  As medidas </w:t>
      </w:r>
      <w:r w:rsidRPr="005C5CBD">
        <w:rPr>
          <w:rFonts w:ascii="Garamond" w:eastAsia="Times New Roman" w:hAnsi="Garamond" w:cs="Arial"/>
          <w:i/>
          <w:iCs/>
          <w:strike/>
          <w:color w:val="000000"/>
          <w:sz w:val="24"/>
          <w:szCs w:val="24"/>
          <w:lang w:eastAsia="pt-BR"/>
        </w:rPr>
        <w:t>antidumping</w:t>
      </w:r>
      <w:r w:rsidRPr="00395593">
        <w:rPr>
          <w:rFonts w:ascii="Garamond" w:eastAsia="Times New Roman" w:hAnsi="Garamond" w:cs="Arial"/>
          <w:strike/>
          <w:color w:val="000000"/>
          <w:sz w:val="24"/>
          <w:szCs w:val="24"/>
          <w:lang w:eastAsia="pt-BR"/>
        </w:rPr>
        <w:t> e compensatórias poderão ser estendidas a terceiros países, bem como a partes, peças e componentes dos produtos objeto de medidas vigentes, caso seja constatada a existência de práticas elisivas que frustrem a sua aplicação.         </w:t>
      </w:r>
      <w:hyperlink r:id="rId56" w:anchor="art14" w:history="1">
        <w:r w:rsidRPr="00395593">
          <w:rPr>
            <w:rFonts w:ascii="Garamond" w:eastAsia="Times New Roman" w:hAnsi="Garamond" w:cs="Arial"/>
            <w:strike/>
            <w:color w:val="0000FF"/>
            <w:sz w:val="24"/>
            <w:szCs w:val="24"/>
            <w:u w:val="single"/>
            <w:lang w:eastAsia="pt-BR"/>
          </w:rPr>
          <w:t>(Incluído pela Medida Provisória nº 429, de 2008)</w:t>
        </w:r>
      </w:hyperlink>
    </w:p>
    <w:p w14:paraId="633F019B"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51" w:name="art10a."/>
      <w:bookmarkEnd w:id="51"/>
      <w:r w:rsidRPr="00395593">
        <w:rPr>
          <w:rFonts w:ascii="Garamond" w:eastAsia="Times New Roman" w:hAnsi="Garamond" w:cs="Arial"/>
          <w:color w:val="000000"/>
          <w:sz w:val="24"/>
          <w:szCs w:val="24"/>
          <w:lang w:eastAsia="pt-BR"/>
        </w:rPr>
        <w:t>Art. 10-A.  As medidas antidumping</w:t>
      </w:r>
      <w:r w:rsidRPr="005C5CBD">
        <w:rPr>
          <w:rFonts w:ascii="Garamond" w:eastAsia="Times New Roman" w:hAnsi="Garamond" w:cs="Arial"/>
          <w:i/>
          <w:iCs/>
          <w:color w:val="000000"/>
          <w:sz w:val="24"/>
          <w:szCs w:val="24"/>
          <w:lang w:eastAsia="pt-BR"/>
        </w:rPr>
        <w:t> </w:t>
      </w:r>
      <w:r w:rsidRPr="00395593">
        <w:rPr>
          <w:rFonts w:ascii="Garamond" w:eastAsia="Times New Roman" w:hAnsi="Garamond" w:cs="Arial"/>
          <w:color w:val="000000"/>
          <w:sz w:val="24"/>
          <w:szCs w:val="24"/>
          <w:lang w:eastAsia="pt-BR"/>
        </w:rPr>
        <w:t>e compensatórias poderão ser estendidas a terceiros países, bem como a partes, peças e componentes dos produtos objeto de medidas vigentes, caso seja constatada a existência de práticas elisivas que frustrem a sua aplicação.         </w:t>
      </w:r>
      <w:hyperlink r:id="rId57" w:anchor="art14" w:history="1">
        <w:r w:rsidRPr="00395593">
          <w:rPr>
            <w:rFonts w:ascii="Garamond" w:eastAsia="Times New Roman" w:hAnsi="Garamond" w:cs="Arial"/>
            <w:color w:val="0000FF"/>
            <w:sz w:val="24"/>
            <w:szCs w:val="24"/>
            <w:u w:val="single"/>
            <w:lang w:eastAsia="pt-BR"/>
          </w:rPr>
          <w:t>(Incluído pela Lei nº 11.786, de 2008)</w:t>
        </w:r>
      </w:hyperlink>
    </w:p>
    <w:p w14:paraId="032D88E7"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w:t>
      </w:r>
      <w:bookmarkStart w:id="52" w:name="art11."/>
      <w:bookmarkEnd w:id="52"/>
      <w:r w:rsidRPr="00395593">
        <w:rPr>
          <w:rFonts w:ascii="Garamond" w:eastAsia="Times New Roman" w:hAnsi="Garamond" w:cs="Arial"/>
          <w:strike/>
          <w:color w:val="000000"/>
          <w:sz w:val="24"/>
          <w:szCs w:val="24"/>
          <w:lang w:eastAsia="pt-BR"/>
        </w:rPr>
        <w:t>Art. 11. Os Ministros da Fazenda e da Indústria, do Comércio e do Turismo poderão editar, em conjunto, normas complementares a esta lei.</w:t>
      </w:r>
    </w:p>
    <w:p w14:paraId="04E9C77C"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53" w:name="art11"/>
      <w:bookmarkEnd w:id="53"/>
      <w:r w:rsidRPr="00395593">
        <w:rPr>
          <w:rFonts w:ascii="Garamond" w:eastAsia="Times New Roman" w:hAnsi="Garamond" w:cs="Arial"/>
          <w:color w:val="000000"/>
          <w:sz w:val="24"/>
          <w:szCs w:val="24"/>
          <w:lang w:eastAsia="pt-BR"/>
        </w:rPr>
        <w:t>Art. 11.  Compete à CAMEX editar normas complementares a esta Lei, exceto às relativas à oferta de garantia prevista no art. 3</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e ao cumprimento do disposto no art. 7</w:t>
      </w:r>
      <w:r w:rsidRPr="00395593">
        <w:rPr>
          <w:rFonts w:ascii="Garamond" w:eastAsia="Times New Roman" w:hAnsi="Garamond" w:cs="Arial"/>
          <w:color w:val="000000"/>
          <w:sz w:val="24"/>
          <w:szCs w:val="24"/>
          <w:u w:val="single"/>
          <w:vertAlign w:val="superscript"/>
          <w:lang w:eastAsia="pt-BR"/>
        </w:rPr>
        <w:t>o</w:t>
      </w:r>
      <w:r w:rsidRPr="00395593">
        <w:rPr>
          <w:rFonts w:ascii="Garamond" w:eastAsia="Times New Roman" w:hAnsi="Garamond" w:cs="Arial"/>
          <w:color w:val="000000"/>
          <w:sz w:val="24"/>
          <w:szCs w:val="24"/>
          <w:lang w:eastAsia="pt-BR"/>
        </w:rPr>
        <w:t>, que competem ao Ministério da Fazenda.         </w:t>
      </w:r>
      <w:hyperlink r:id="rId58" w:anchor="art53" w:history="1">
        <w:r w:rsidRPr="00395593">
          <w:rPr>
            <w:rFonts w:ascii="Garamond" w:eastAsia="Times New Roman" w:hAnsi="Garamond" w:cs="Arial"/>
            <w:color w:val="0000FF"/>
            <w:sz w:val="24"/>
            <w:szCs w:val="24"/>
            <w:u w:val="single"/>
            <w:lang w:eastAsia="pt-BR"/>
          </w:rPr>
          <w:t>(Redação dada pela Medida Provisória nº 2.158-35, de 2001)</w:t>
        </w:r>
      </w:hyperlink>
    </w:p>
    <w:p w14:paraId="1796910E"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54" w:name="art12"/>
      <w:bookmarkEnd w:id="54"/>
      <w:r w:rsidRPr="00395593">
        <w:rPr>
          <w:rFonts w:ascii="Garamond" w:eastAsia="Times New Roman" w:hAnsi="Garamond" w:cs="Arial"/>
          <w:color w:val="000000"/>
          <w:sz w:val="24"/>
          <w:szCs w:val="24"/>
          <w:lang w:eastAsia="pt-BR"/>
        </w:rPr>
        <w:t>Art. 12. O processo administrativo a que se referem os arts. 1º e 5º atenderá, no que couber, ao disposto na Resolução nº 1.227, de 14 de maio de 1987, com as alterações da Resolução nº 1.582, de 17 de fevereiro de 1989, ambas da extinta Comissão de Política Aduaneira (CPA).</w:t>
      </w:r>
    </w:p>
    <w:p w14:paraId="0647889E"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55" w:name="art13"/>
      <w:bookmarkEnd w:id="55"/>
      <w:r w:rsidRPr="00395593">
        <w:rPr>
          <w:rFonts w:ascii="Garamond" w:eastAsia="Times New Roman" w:hAnsi="Garamond" w:cs="Arial"/>
          <w:color w:val="000000"/>
          <w:sz w:val="24"/>
          <w:szCs w:val="24"/>
          <w:lang w:eastAsia="pt-BR"/>
        </w:rPr>
        <w:t>Art. 13. Ficam convalidados os atos praticados com base na </w:t>
      </w:r>
      <w:hyperlink r:id="rId59" w:history="1">
        <w:r w:rsidRPr="00395593">
          <w:rPr>
            <w:rFonts w:ascii="Garamond" w:eastAsia="Times New Roman" w:hAnsi="Garamond" w:cs="Arial"/>
            <w:color w:val="0000FF"/>
            <w:sz w:val="24"/>
            <w:szCs w:val="24"/>
            <w:u w:val="single"/>
            <w:lang w:eastAsia="pt-BR"/>
          </w:rPr>
          <w:t>Medida Provisória nº 879, de 30 de janeiro de 1995.</w:t>
        </w:r>
      </w:hyperlink>
    </w:p>
    <w:p w14:paraId="0150C505"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56" w:name="art14"/>
      <w:bookmarkEnd w:id="56"/>
      <w:r w:rsidRPr="00395593">
        <w:rPr>
          <w:rFonts w:ascii="Garamond" w:eastAsia="Times New Roman" w:hAnsi="Garamond" w:cs="Arial"/>
          <w:color w:val="000000"/>
          <w:sz w:val="24"/>
          <w:szCs w:val="24"/>
          <w:lang w:eastAsia="pt-BR"/>
        </w:rPr>
        <w:t>Art. 14. Esta Lei entra em vigor na data de sua publicação.</w:t>
      </w:r>
    </w:p>
    <w:p w14:paraId="12A301B6"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57" w:name="art15"/>
      <w:bookmarkEnd w:id="57"/>
      <w:r w:rsidRPr="00395593">
        <w:rPr>
          <w:rFonts w:ascii="Garamond" w:eastAsia="Times New Roman" w:hAnsi="Garamond" w:cs="Arial"/>
          <w:color w:val="000000"/>
          <w:sz w:val="24"/>
          <w:szCs w:val="24"/>
          <w:lang w:eastAsia="pt-BR"/>
        </w:rPr>
        <w:t>Art. 15. Revoga-se o </w:t>
      </w:r>
      <w:hyperlink r:id="rId60" w:anchor="%C2%A72" w:history="1">
        <w:r w:rsidRPr="00395593">
          <w:rPr>
            <w:rFonts w:ascii="Garamond" w:eastAsia="Times New Roman" w:hAnsi="Garamond" w:cs="Arial"/>
            <w:color w:val="0000FF"/>
            <w:sz w:val="24"/>
            <w:szCs w:val="24"/>
            <w:u w:val="single"/>
            <w:lang w:eastAsia="pt-BR"/>
          </w:rPr>
          <w:t>§ 2º do art. 1º do Decreto-lei nº 1.578, de 11 de outubro de 1977.</w:t>
        </w:r>
      </w:hyperlink>
    </w:p>
    <w:p w14:paraId="12855762" w14:textId="77777777" w:rsidR="007F2CCB" w:rsidRPr="00395593" w:rsidRDefault="007F2CCB" w:rsidP="007F2CCB">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Senado Federal, em 30 de março de 1995; 174º da Independência e 107º da República</w:t>
      </w:r>
    </w:p>
    <w:p w14:paraId="20761109" w14:textId="77777777" w:rsidR="007F2CCB" w:rsidRPr="00395593" w:rsidRDefault="007F2CCB" w:rsidP="007F2CCB">
      <w:pPr>
        <w:spacing w:before="100" w:beforeAutospacing="1" w:after="100" w:afterAutospacing="1" w:line="240" w:lineRule="auto"/>
        <w:jc w:val="center"/>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SENADOR JOSÉ SARNEY</w:t>
      </w:r>
      <w:r w:rsidRPr="00395593">
        <w:rPr>
          <w:rFonts w:ascii="Garamond" w:eastAsia="Times New Roman" w:hAnsi="Garamond" w:cs="Arial"/>
          <w:color w:val="000000"/>
          <w:sz w:val="24"/>
          <w:szCs w:val="24"/>
          <w:lang w:eastAsia="pt-BR"/>
        </w:rPr>
        <w:br/>
        <w:t>Presidente</w:t>
      </w:r>
    </w:p>
    <w:p w14:paraId="2E8BF97F" w14:textId="5DFBF3FE" w:rsidR="00AB0C72" w:rsidRDefault="00AB0C72">
      <w:pPr>
        <w:rPr>
          <w:rFonts w:ascii="Garamond" w:hAnsi="Garamond" w:cstheme="majorHAnsi"/>
        </w:rPr>
      </w:pPr>
      <w:r>
        <w:rPr>
          <w:rFonts w:ascii="Garamond" w:hAnsi="Garamond" w:cstheme="majorHAnsi"/>
        </w:rPr>
        <w:br w:type="page"/>
      </w:r>
    </w:p>
    <w:p w14:paraId="57A12C41" w14:textId="321A361C" w:rsidR="00CE69B0" w:rsidRPr="001C76F0" w:rsidRDefault="00EF5528" w:rsidP="007348F7">
      <w:pPr>
        <w:pStyle w:val="Ttulo"/>
        <w:outlineLvl w:val="1"/>
        <w:rPr>
          <w:rFonts w:cstheme="majorHAnsi"/>
        </w:rPr>
      </w:pPr>
      <w:bookmarkStart w:id="58" w:name="_Toc96003804"/>
      <w:r w:rsidRPr="00395593">
        <w:rPr>
          <w:rFonts w:cstheme="majorHAnsi"/>
        </w:rPr>
        <w:t>Lei</w:t>
      </w:r>
      <w:r w:rsidR="001C76F0" w:rsidRPr="00395593">
        <w:rPr>
          <w:rFonts w:cstheme="majorHAnsi"/>
        </w:rPr>
        <w:t xml:space="preserve"> </w:t>
      </w:r>
      <w:r w:rsidR="00983075" w:rsidRPr="00395593">
        <w:rPr>
          <w:lang w:eastAsia="pt-BR"/>
        </w:rPr>
        <w:t>n</w:t>
      </w:r>
      <w:r w:rsidRPr="00395593">
        <w:rPr>
          <w:lang w:eastAsia="pt-BR"/>
        </w:rPr>
        <w:t>º</w:t>
      </w:r>
      <w:r w:rsidR="001C76F0" w:rsidRPr="001C76F0">
        <w:rPr>
          <w:lang w:eastAsia="pt-BR"/>
        </w:rPr>
        <w:t xml:space="preserve"> 12.995, </w:t>
      </w:r>
      <w:r w:rsidRPr="00395593">
        <w:rPr>
          <w:lang w:eastAsia="pt-BR"/>
        </w:rPr>
        <w:t>de</w:t>
      </w:r>
      <w:r w:rsidR="001C76F0" w:rsidRPr="001C76F0">
        <w:rPr>
          <w:lang w:eastAsia="pt-BR"/>
        </w:rPr>
        <w:t xml:space="preserve"> 18 </w:t>
      </w:r>
      <w:r w:rsidRPr="00395593">
        <w:rPr>
          <w:lang w:eastAsia="pt-BR"/>
        </w:rPr>
        <w:t>de</w:t>
      </w:r>
      <w:r w:rsidR="001C76F0" w:rsidRPr="00395593">
        <w:rPr>
          <w:lang w:eastAsia="pt-BR"/>
        </w:rPr>
        <w:t xml:space="preserve"> </w:t>
      </w:r>
      <w:r w:rsidRPr="00395593">
        <w:rPr>
          <w:lang w:eastAsia="pt-BR"/>
        </w:rPr>
        <w:t>junho de</w:t>
      </w:r>
      <w:r w:rsidR="001C76F0" w:rsidRPr="001C76F0">
        <w:rPr>
          <w:lang w:eastAsia="pt-BR"/>
        </w:rPr>
        <w:t xml:space="preserve"> 2014</w:t>
      </w:r>
      <w:bookmarkEnd w:id="58"/>
    </w:p>
    <w:tbl>
      <w:tblPr>
        <w:tblW w:w="5000" w:type="pct"/>
        <w:tblCellSpacing w:w="0" w:type="dxa"/>
        <w:tblCellMar>
          <w:left w:w="0" w:type="dxa"/>
          <w:right w:w="0" w:type="dxa"/>
        </w:tblCellMar>
        <w:tblLook w:val="04A0" w:firstRow="1" w:lastRow="0" w:firstColumn="1" w:lastColumn="0" w:noHBand="0" w:noVBand="1"/>
      </w:tblPr>
      <w:tblGrid>
        <w:gridCol w:w="4627"/>
        <w:gridCol w:w="4445"/>
      </w:tblGrid>
      <w:tr w:rsidR="001C76F0" w:rsidRPr="001C76F0" w14:paraId="3D37C7A2" w14:textId="77777777" w:rsidTr="008C38CF">
        <w:trPr>
          <w:tblCellSpacing w:w="0" w:type="dxa"/>
        </w:trPr>
        <w:tc>
          <w:tcPr>
            <w:tcW w:w="2550" w:type="pct"/>
            <w:vAlign w:val="center"/>
            <w:hideMark/>
          </w:tcPr>
          <w:p w14:paraId="728CEF5D" w14:textId="77777777" w:rsidR="001C76F0" w:rsidRPr="00395593" w:rsidRDefault="001C76F0" w:rsidP="008C38CF">
            <w:pPr>
              <w:spacing w:before="100" w:beforeAutospacing="1" w:after="100" w:afterAutospacing="1" w:line="240" w:lineRule="auto"/>
              <w:jc w:val="both"/>
              <w:rPr>
                <w:rFonts w:ascii="Garamond" w:eastAsia="Times New Roman" w:hAnsi="Garamond" w:cs="Times New Roman"/>
                <w:sz w:val="24"/>
                <w:szCs w:val="24"/>
                <w:lang w:eastAsia="pt-BR"/>
              </w:rPr>
            </w:pPr>
          </w:p>
        </w:tc>
        <w:tc>
          <w:tcPr>
            <w:tcW w:w="2450" w:type="pct"/>
            <w:vAlign w:val="center"/>
            <w:hideMark/>
          </w:tcPr>
          <w:p w14:paraId="23C7A5FE" w14:textId="77777777" w:rsidR="001C76F0" w:rsidRPr="00395593" w:rsidRDefault="001C76F0" w:rsidP="008C38CF">
            <w:pPr>
              <w:spacing w:before="100" w:beforeAutospacing="1" w:after="100" w:afterAutospacing="1" w:line="240" w:lineRule="auto"/>
              <w:jc w:val="both"/>
              <w:rPr>
                <w:rFonts w:ascii="Garamond" w:eastAsia="Times New Roman" w:hAnsi="Garamond" w:cs="Times New Roman"/>
                <w:sz w:val="24"/>
                <w:szCs w:val="24"/>
                <w:lang w:eastAsia="pt-BR"/>
              </w:rPr>
            </w:pPr>
            <w:r w:rsidRPr="00395593">
              <w:rPr>
                <w:rFonts w:ascii="Garamond" w:eastAsia="Times New Roman" w:hAnsi="Garamond" w:cs="Arial"/>
                <w:color w:val="000000" w:themeColor="text1"/>
                <w:sz w:val="24"/>
                <w:szCs w:val="24"/>
                <w:lang w:eastAsia="pt-BR"/>
              </w:rPr>
              <w:t>Prorroga o prazo para a destinação de recursos aos Fundos Fiscais de Investimentos, altera a legislação tributária federal; altera as Leis nºs 8.167, de 16 de janeiro de 1991, 10.865, de 30 de abril de 2004, 12.350, de 20 de dezembro de 2010, 12.546, de 14 de dezembro de 2011, 12.859, de 10 de setembro de 2013, 9.818, de 23 de agosto de 1999, 11.281, de 20 de fevereiro de 2006, 12.649, de 17 de maio de 2012, 12.402, de 2 de maio de 2011, 11.442, de 5 de janeiro de 2007, 9.718, de 27 de novembro de 1998, 12.865, de 9 de outubro de 2013, 12.599, de 23 de março de 2012, 11.941, de 27 de maio de 2009, e 12.249, de 11 de junho de 2010; altera as Medidas Provisórias nºs 2.158-35, de 24 de agosto de 2001, e 2.199-14, de 24 de agosto de 2001; revoga dispositivos do Decreto-Lei nº 1.437, de 17 de dezembro de 1975, e das Leis nºs 11.196, de 21 de novembro de 2005, 4.502, de 30 de novembro de 1964, 11.488, de 15 de junho de 2007, e 10.833, de 29 de dezembro de 2003; e dá outras providências.</w:t>
            </w:r>
          </w:p>
        </w:tc>
      </w:tr>
    </w:tbl>
    <w:p w14:paraId="1FF25AD6"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5C5CBD">
        <w:rPr>
          <w:rFonts w:ascii="Garamond" w:eastAsia="Times New Roman" w:hAnsi="Garamond" w:cs="Arial"/>
          <w:b/>
          <w:bCs/>
          <w:color w:val="000000"/>
          <w:sz w:val="24"/>
          <w:szCs w:val="24"/>
          <w:lang w:eastAsia="pt-BR"/>
        </w:rPr>
        <w:t>A PRESIDENTA DA REPÚBLICA </w:t>
      </w:r>
      <w:r w:rsidRPr="00395593">
        <w:rPr>
          <w:rFonts w:ascii="Garamond" w:eastAsia="Times New Roman" w:hAnsi="Garamond" w:cs="Arial"/>
          <w:color w:val="000000"/>
          <w:sz w:val="24"/>
          <w:szCs w:val="24"/>
          <w:lang w:eastAsia="pt-BR"/>
        </w:rPr>
        <w:t>Faço saber que o Congresso Nacional decreta e eu sanciono a seguinte Lei:</w:t>
      </w:r>
    </w:p>
    <w:p w14:paraId="2F937413"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1º O art. 2º da </w:t>
      </w:r>
      <w:hyperlink r:id="rId61" w:history="1">
        <w:r w:rsidRPr="00395593">
          <w:rPr>
            <w:rFonts w:ascii="Garamond" w:eastAsia="Times New Roman" w:hAnsi="Garamond" w:cs="Arial"/>
            <w:color w:val="0000FF"/>
            <w:sz w:val="24"/>
            <w:szCs w:val="24"/>
            <w:u w:val="single"/>
            <w:lang w:eastAsia="pt-BR"/>
          </w:rPr>
          <w:t>Lei nº 8.167, de 16 de janeiro de 1991, </w:t>
        </w:r>
      </w:hyperlink>
      <w:r w:rsidRPr="00395593">
        <w:rPr>
          <w:rFonts w:ascii="Garamond" w:eastAsia="Times New Roman" w:hAnsi="Garamond" w:cs="Arial"/>
          <w:color w:val="000000"/>
          <w:sz w:val="24"/>
          <w:szCs w:val="24"/>
          <w:lang w:eastAsia="pt-BR"/>
        </w:rPr>
        <w:t>passa a vigorar com a seguinte redação:</w:t>
      </w:r>
    </w:p>
    <w:p w14:paraId="46D8B672" w14:textId="77777777" w:rsidR="001C76F0" w:rsidRPr="00395593" w:rsidRDefault="001C76F0" w:rsidP="001C76F0">
      <w:pPr>
        <w:spacing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w:t>
      </w:r>
      <w:hyperlink r:id="rId62" w:anchor="art2..." w:history="1">
        <w:r w:rsidRPr="00395593">
          <w:rPr>
            <w:rFonts w:ascii="Garamond" w:eastAsia="Times New Roman" w:hAnsi="Garamond" w:cs="Arial"/>
            <w:color w:val="0000FF"/>
            <w:sz w:val="24"/>
            <w:szCs w:val="24"/>
            <w:u w:val="single"/>
            <w:lang w:eastAsia="pt-BR"/>
          </w:rPr>
          <w:t>Art. 2º </w:t>
        </w:r>
      </w:hyperlink>
      <w:r w:rsidRPr="00395593">
        <w:rPr>
          <w:rFonts w:ascii="Garamond" w:eastAsia="Times New Roman" w:hAnsi="Garamond" w:cs="Arial"/>
          <w:color w:val="000000"/>
          <w:sz w:val="24"/>
          <w:szCs w:val="24"/>
          <w:lang w:eastAsia="pt-BR"/>
        </w:rPr>
        <w:t>São mantidos até dezembro de 2017 os prazos e os percentuais para destinação dos recursos de que tratam o art. 5º do Decreto-Lei nº 1.106, de 16 de junho de 1970, e o art. 6º do Decreto-Lei nº 1.179, de 6 de julho de 1971, para aplicação em projetos relevantes para o desenvolvimento da Amazônia e do Nordeste, sob a responsabilidade do Ministério da Integração Nacional.</w:t>
      </w:r>
    </w:p>
    <w:p w14:paraId="02DC2070"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(NR)</w:t>
      </w:r>
    </w:p>
    <w:p w14:paraId="51D5272D"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2º Fica mantida até dezembro de 2017, para as pessoas jurídicas tributadas com base no lucro real, a opção pela aplicação do imposto de renda no Fundo de Investimentos do Nordeste - FINOR e no Fundo de Investimentos da Amazônia - FINAM, em favor dos projetos aprovados e em processo de implantação até 2 de maio de 2001, de que tratam o </w:t>
      </w:r>
      <w:hyperlink r:id="rId63" w:anchor="art9" w:history="1">
        <w:r w:rsidRPr="00395593">
          <w:rPr>
            <w:rFonts w:ascii="Garamond" w:eastAsia="Times New Roman" w:hAnsi="Garamond" w:cs="Arial"/>
            <w:color w:val="0000FF"/>
            <w:sz w:val="24"/>
            <w:szCs w:val="24"/>
            <w:u w:val="single"/>
            <w:lang w:eastAsia="pt-BR"/>
          </w:rPr>
          <w:t>art. 9º da Lei nº 8.167, de 16 de janeiro de 1991, </w:t>
        </w:r>
      </w:hyperlink>
      <w:r w:rsidRPr="00395593">
        <w:rPr>
          <w:rFonts w:ascii="Garamond" w:eastAsia="Times New Roman" w:hAnsi="Garamond" w:cs="Arial"/>
          <w:color w:val="000000"/>
          <w:sz w:val="24"/>
          <w:szCs w:val="24"/>
          <w:lang w:eastAsia="pt-BR"/>
        </w:rPr>
        <w:t>e seus parágrafos.</w:t>
      </w:r>
    </w:p>
    <w:p w14:paraId="794CD5EB"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3º O art. 8º da </w:t>
      </w:r>
      <w:hyperlink r:id="rId64" w:history="1">
        <w:r w:rsidRPr="00395593">
          <w:rPr>
            <w:rFonts w:ascii="Garamond" w:eastAsia="Times New Roman" w:hAnsi="Garamond" w:cs="Arial"/>
            <w:color w:val="0000FF"/>
            <w:sz w:val="24"/>
            <w:szCs w:val="24"/>
            <w:u w:val="single"/>
            <w:lang w:eastAsia="pt-BR"/>
          </w:rPr>
          <w:t>Lei nº 10.865, de 30 de abril de 2004, </w:t>
        </w:r>
      </w:hyperlink>
      <w:r w:rsidRPr="00395593">
        <w:rPr>
          <w:rFonts w:ascii="Garamond" w:eastAsia="Times New Roman" w:hAnsi="Garamond" w:cs="Arial"/>
          <w:color w:val="000000"/>
          <w:sz w:val="24"/>
          <w:szCs w:val="24"/>
          <w:lang w:eastAsia="pt-BR"/>
        </w:rPr>
        <w:t>passa a vigorar com a seguinte redação:</w:t>
      </w:r>
    </w:p>
    <w:p w14:paraId="13B790C9" w14:textId="77777777" w:rsidR="001C76F0" w:rsidRPr="00395593" w:rsidRDefault="001C76F0" w:rsidP="001C76F0">
      <w:pPr>
        <w:spacing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8º ..........................................................................</w:t>
      </w:r>
    </w:p>
    <w:p w14:paraId="043A1E9A"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w:t>
      </w:r>
    </w:p>
    <w:p w14:paraId="44B4BA89"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12. ..............................................................................</w:t>
      </w:r>
    </w:p>
    <w:p w14:paraId="6464E346"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w:t>
      </w:r>
    </w:p>
    <w:p w14:paraId="0D6FD58A"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65" w:anchor="art8%C2%A712xxxviii.." w:history="1">
        <w:r w:rsidR="001C76F0" w:rsidRPr="00395593">
          <w:rPr>
            <w:rFonts w:ascii="Garamond" w:eastAsia="Times New Roman" w:hAnsi="Garamond" w:cs="Arial"/>
            <w:color w:val="0000FF"/>
            <w:sz w:val="24"/>
            <w:szCs w:val="24"/>
            <w:u w:val="single"/>
            <w:lang w:eastAsia="pt-BR"/>
          </w:rPr>
          <w:t>XXXVIII - </w:t>
        </w:r>
      </w:hyperlink>
      <w:r w:rsidR="001C76F0" w:rsidRPr="00395593">
        <w:rPr>
          <w:rFonts w:ascii="Garamond" w:eastAsia="Times New Roman" w:hAnsi="Garamond" w:cs="Arial"/>
          <w:color w:val="000000"/>
          <w:sz w:val="24"/>
          <w:szCs w:val="24"/>
          <w:lang w:eastAsia="pt-BR"/>
        </w:rPr>
        <w:t>neuroestimuladores para tremor essencial/Parkinson, classificados no código 9021.90.19, e seus acessórios, classificados nos códigos 9018.90.99, 9021.90.91 e 9021.90.99, todos da Tipi; e</w:t>
      </w:r>
    </w:p>
    <w:p w14:paraId="165FD232"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66" w:anchor="art8%C2%A712xxxix." w:history="1">
        <w:r w:rsidR="001C76F0" w:rsidRPr="00395593">
          <w:rPr>
            <w:rFonts w:ascii="Garamond" w:eastAsia="Times New Roman" w:hAnsi="Garamond" w:cs="Arial"/>
            <w:color w:val="0000FF"/>
            <w:sz w:val="24"/>
            <w:szCs w:val="24"/>
            <w:u w:val="single"/>
            <w:lang w:eastAsia="pt-BR"/>
          </w:rPr>
          <w:t>XXXIX - </w:t>
        </w:r>
      </w:hyperlink>
      <w:r w:rsidR="001C76F0" w:rsidRPr="00395593">
        <w:rPr>
          <w:rFonts w:ascii="Garamond" w:eastAsia="Times New Roman" w:hAnsi="Garamond" w:cs="Arial"/>
          <w:color w:val="000000"/>
          <w:sz w:val="24"/>
          <w:szCs w:val="24"/>
          <w:lang w:eastAsia="pt-BR"/>
        </w:rPr>
        <w:t>álcool, inclusive para fins carburantes, durante o prazo de que trata o </w:t>
      </w:r>
      <w:hyperlink r:id="rId67" w:anchor="art1%C2%A71" w:history="1">
        <w:r w:rsidR="001C76F0" w:rsidRPr="00395593">
          <w:rPr>
            <w:rFonts w:ascii="Garamond" w:eastAsia="Times New Roman" w:hAnsi="Garamond" w:cs="Arial"/>
            <w:color w:val="0000FF"/>
            <w:sz w:val="24"/>
            <w:szCs w:val="24"/>
            <w:u w:val="single"/>
            <w:lang w:eastAsia="pt-BR"/>
          </w:rPr>
          <w:t>§ 1º do art. 1º da Lei nº 12.859, de 10 de setembro de 2013.</w:t>
        </w:r>
      </w:hyperlink>
    </w:p>
    <w:p w14:paraId="750F9171"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w:t>
      </w:r>
    </w:p>
    <w:p w14:paraId="714B8E9D"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68" w:anchor="art8%C2%A719..." w:history="1">
        <w:r w:rsidR="001C76F0" w:rsidRPr="00395593">
          <w:rPr>
            <w:rFonts w:ascii="Garamond" w:eastAsia="Times New Roman" w:hAnsi="Garamond" w:cs="Arial"/>
            <w:color w:val="0000FF"/>
            <w:sz w:val="24"/>
            <w:szCs w:val="24"/>
            <w:u w:val="single"/>
            <w:lang w:eastAsia="pt-BR"/>
          </w:rPr>
          <w:t>§ 19. </w:t>
        </w:r>
      </w:hyperlink>
      <w:r w:rsidR="001C76F0" w:rsidRPr="00395593">
        <w:rPr>
          <w:rFonts w:ascii="Garamond" w:eastAsia="Times New Roman" w:hAnsi="Garamond" w:cs="Arial"/>
          <w:color w:val="000000"/>
          <w:sz w:val="24"/>
          <w:szCs w:val="24"/>
          <w:lang w:eastAsia="pt-BR"/>
        </w:rPr>
        <w:t>Decorrido o prazo de que trata o inciso XXXIX do § 12, a importação de álcool, inclusive para fins carburantes, é sujeita à incidência da Contribuição para o PIS/Pasep-Importação e da Cofins-Importação, fixadas por unidade de volume do produto, às alíquotas de que trata o </w:t>
      </w:r>
      <w:hyperlink r:id="rId69" w:anchor="art5%C2%A74" w:history="1">
        <w:r w:rsidR="001C76F0" w:rsidRPr="00395593">
          <w:rPr>
            <w:rFonts w:ascii="Garamond" w:eastAsia="Times New Roman" w:hAnsi="Garamond" w:cs="Arial"/>
            <w:color w:val="0000FF"/>
            <w:sz w:val="24"/>
            <w:szCs w:val="24"/>
            <w:u w:val="single"/>
            <w:lang w:eastAsia="pt-BR"/>
          </w:rPr>
          <w:t>§ 4º do art. 5º da Lei nº 9.718, de 27 de novembro de 1998, </w:t>
        </w:r>
      </w:hyperlink>
      <w:r w:rsidR="001C76F0" w:rsidRPr="00395593">
        <w:rPr>
          <w:rFonts w:ascii="Garamond" w:eastAsia="Times New Roman" w:hAnsi="Garamond" w:cs="Arial"/>
          <w:color w:val="000000"/>
          <w:sz w:val="24"/>
          <w:szCs w:val="24"/>
          <w:lang w:eastAsia="pt-BR"/>
        </w:rPr>
        <w:t>independentemente de o importador haver optado pelo regime especial de apuração e pagamento ali referido.</w:t>
      </w:r>
    </w:p>
    <w:p w14:paraId="7AAB12E5"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(NR)</w:t>
      </w:r>
    </w:p>
    <w:p w14:paraId="1000D0C2"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4º O art. 36 da </w:t>
      </w:r>
      <w:hyperlink r:id="rId70" w:history="1">
        <w:r w:rsidRPr="00395593">
          <w:rPr>
            <w:rFonts w:ascii="Garamond" w:eastAsia="Times New Roman" w:hAnsi="Garamond" w:cs="Arial"/>
            <w:color w:val="0000FF"/>
            <w:sz w:val="24"/>
            <w:szCs w:val="24"/>
            <w:u w:val="single"/>
            <w:lang w:eastAsia="pt-BR"/>
          </w:rPr>
          <w:t>Lei nº 12.350, de 20 de dezembro de 2010, </w:t>
        </w:r>
      </w:hyperlink>
      <w:r w:rsidRPr="00395593">
        <w:rPr>
          <w:rFonts w:ascii="Garamond" w:eastAsia="Times New Roman" w:hAnsi="Garamond" w:cs="Arial"/>
          <w:color w:val="000000"/>
          <w:sz w:val="24"/>
          <w:szCs w:val="24"/>
          <w:lang w:eastAsia="pt-BR"/>
        </w:rPr>
        <w:t>passa a vigorar com a seguinte redação:</w:t>
      </w:r>
    </w:p>
    <w:p w14:paraId="0A5555CE" w14:textId="77777777" w:rsidR="001C76F0" w:rsidRPr="00395593" w:rsidRDefault="001C76F0" w:rsidP="001C76F0">
      <w:pPr>
        <w:spacing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36. ...........................................................</w:t>
      </w:r>
    </w:p>
    <w:p w14:paraId="06C98393"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71" w:anchor="art36%C2%A71.." w:history="1">
        <w:r w:rsidR="001C76F0" w:rsidRPr="00395593">
          <w:rPr>
            <w:rFonts w:ascii="Garamond" w:eastAsia="Times New Roman" w:hAnsi="Garamond" w:cs="Arial"/>
            <w:color w:val="0000FF"/>
            <w:sz w:val="24"/>
            <w:szCs w:val="24"/>
            <w:u w:val="single"/>
            <w:lang w:eastAsia="pt-BR"/>
          </w:rPr>
          <w:t>§ 1º </w:t>
        </w:r>
      </w:hyperlink>
      <w:r w:rsidR="001C76F0" w:rsidRPr="00395593">
        <w:rPr>
          <w:rFonts w:ascii="Garamond" w:eastAsia="Times New Roman" w:hAnsi="Garamond" w:cs="Arial"/>
          <w:color w:val="000000"/>
          <w:sz w:val="24"/>
          <w:szCs w:val="24"/>
          <w:lang w:eastAsia="pt-BR"/>
        </w:rPr>
        <w:t>Ato da Secretaria da Receita Federal do Brasil fixará os prazos para o cumprimento dos requisitos técnicos e operacionais para alfandegamento previstos no art. 34, assegurado, quanto aos requisitos previstos nos incisos IV e VI do § 1º daquele artigo, o prazo de até 2 (dois) anos a partir da publicação do ato da Secretaria.</w:t>
      </w:r>
    </w:p>
    <w:p w14:paraId="7BC959AB"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2º No caso do requisito previsto no inciso IV do § 1º do art. 34, o prazo de cumprimento é 31 de dezembro de 2014 para:</w:t>
      </w:r>
    </w:p>
    <w:p w14:paraId="7681E8F5"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I - os portos alfandegados que apresentem movimentação diária média, no período de 1 (um) ano, inferior a 100 (cem) unidades de carga por dia, conforme fórmula de cálculo estabelecida em ato da Secretaria da Receita Federal do Brasil; ou</w:t>
      </w:r>
    </w:p>
    <w:p w14:paraId="70D2F84F"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II - os recintos alfandegados que comprovarem haver contratado a aquisição dos equipamentos de inspeção não invasiva, mas que, por dificuldades da empresa fornecedora, nos casos devidamente justificados, não tenham recebido tais equipamentos.</w:t>
      </w:r>
    </w:p>
    <w:p w14:paraId="688CF1E6"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3º O descumprimento do requisito previsto no inciso IV do § 1º do art. 34 não enseja a aplicação das penalidades previstas nos arts. 37 e 38 para os recintos alfandegados que, na data de publicação da </w:t>
      </w:r>
      <w:hyperlink r:id="rId72" w:history="1">
        <w:r w:rsidRPr="00395593">
          <w:rPr>
            <w:rFonts w:ascii="Garamond" w:eastAsia="Times New Roman" w:hAnsi="Garamond" w:cs="Arial"/>
            <w:color w:val="0000FF"/>
            <w:sz w:val="24"/>
            <w:szCs w:val="24"/>
            <w:u w:val="single"/>
            <w:lang w:eastAsia="pt-BR"/>
          </w:rPr>
          <w:t>Medida Provisória nº 634, de 26 de dezembro de 2013, </w:t>
        </w:r>
      </w:hyperlink>
      <w:r w:rsidRPr="00395593">
        <w:rPr>
          <w:rFonts w:ascii="Garamond" w:eastAsia="Times New Roman" w:hAnsi="Garamond" w:cs="Arial"/>
          <w:color w:val="000000"/>
          <w:sz w:val="24"/>
          <w:szCs w:val="24"/>
          <w:lang w:eastAsia="pt-BR"/>
        </w:rPr>
        <w:t>já tenham recebido os equipamentos de inspeção não invasiva, ainda que a entrega tenha ocorrido depois de esgotado o prazo de que trata o § 1º .” (NR)</w:t>
      </w:r>
    </w:p>
    <w:p w14:paraId="0228E07F"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5º A </w:t>
      </w:r>
      <w:hyperlink r:id="rId73" w:history="1">
        <w:r w:rsidRPr="00395593">
          <w:rPr>
            <w:rFonts w:ascii="Garamond" w:eastAsia="Times New Roman" w:hAnsi="Garamond" w:cs="Arial"/>
            <w:color w:val="0000FF"/>
            <w:sz w:val="24"/>
            <w:szCs w:val="24"/>
            <w:u w:val="single"/>
            <w:lang w:eastAsia="pt-BR"/>
          </w:rPr>
          <w:t>Lei nº 12.546, de 14 de dezembro de 2011, </w:t>
        </w:r>
      </w:hyperlink>
      <w:r w:rsidRPr="00395593">
        <w:rPr>
          <w:rFonts w:ascii="Garamond" w:eastAsia="Times New Roman" w:hAnsi="Garamond" w:cs="Arial"/>
          <w:color w:val="000000"/>
          <w:sz w:val="24"/>
          <w:szCs w:val="24"/>
          <w:lang w:eastAsia="pt-BR"/>
        </w:rPr>
        <w:t>passa a vigorar com as seguintes alterações:</w:t>
      </w:r>
    </w:p>
    <w:p w14:paraId="753916BD" w14:textId="77777777" w:rsidR="001C76F0" w:rsidRPr="00395593" w:rsidRDefault="001C76F0" w:rsidP="001C76F0">
      <w:pPr>
        <w:spacing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7º ..........................................................................</w:t>
      </w:r>
    </w:p>
    <w:p w14:paraId="2A2A501E"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w:t>
      </w:r>
    </w:p>
    <w:p w14:paraId="34505841"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74" w:anchor="art7%C2%A76." w:history="1">
        <w:r w:rsidR="001C76F0" w:rsidRPr="00395593">
          <w:rPr>
            <w:rFonts w:ascii="Garamond" w:eastAsia="Times New Roman" w:hAnsi="Garamond" w:cs="Arial"/>
            <w:color w:val="0000FF"/>
            <w:sz w:val="24"/>
            <w:szCs w:val="24"/>
            <w:u w:val="single"/>
            <w:lang w:eastAsia="pt-BR"/>
          </w:rPr>
          <w:t>§ 6º </w:t>
        </w:r>
      </w:hyperlink>
      <w:r w:rsidR="001C76F0" w:rsidRPr="00395593">
        <w:rPr>
          <w:rFonts w:ascii="Garamond" w:eastAsia="Times New Roman" w:hAnsi="Garamond" w:cs="Arial"/>
          <w:color w:val="000000"/>
          <w:sz w:val="24"/>
          <w:szCs w:val="24"/>
          <w:lang w:eastAsia="pt-BR"/>
        </w:rPr>
        <w:t>No caso de contratação de empresas para a execução dos serviços referidos no caput , mediante cessão de mão de obra, na forma definida pelo </w:t>
      </w:r>
      <w:hyperlink r:id="rId75" w:anchor="art31" w:history="1">
        <w:r w:rsidR="001C76F0" w:rsidRPr="00395593">
          <w:rPr>
            <w:rFonts w:ascii="Garamond" w:eastAsia="Times New Roman" w:hAnsi="Garamond" w:cs="Arial"/>
            <w:color w:val="0000FF"/>
            <w:sz w:val="24"/>
            <w:szCs w:val="24"/>
            <w:u w:val="single"/>
            <w:lang w:eastAsia="pt-BR"/>
          </w:rPr>
          <w:t>art. 31 da Lei nº 8.212, de 24 de julho de 1991, </w:t>
        </w:r>
      </w:hyperlink>
      <w:r w:rsidR="001C76F0" w:rsidRPr="00395593">
        <w:rPr>
          <w:rFonts w:ascii="Garamond" w:eastAsia="Times New Roman" w:hAnsi="Garamond" w:cs="Arial"/>
          <w:color w:val="000000"/>
          <w:sz w:val="24"/>
          <w:szCs w:val="24"/>
          <w:lang w:eastAsia="pt-BR"/>
        </w:rPr>
        <w:t>e para fins de elisão da responsabilidade solidária prevista no </w:t>
      </w:r>
      <w:hyperlink r:id="rId76" w:anchor="art30vi" w:history="1">
        <w:r w:rsidR="001C76F0" w:rsidRPr="00395593">
          <w:rPr>
            <w:rFonts w:ascii="Garamond" w:eastAsia="Times New Roman" w:hAnsi="Garamond" w:cs="Arial"/>
            <w:color w:val="0000FF"/>
            <w:sz w:val="24"/>
            <w:szCs w:val="24"/>
            <w:u w:val="single"/>
            <w:lang w:eastAsia="pt-BR"/>
          </w:rPr>
          <w:t>inciso VI do art. 30 da Lei nº 8.212, de 24 de julho de 1991, </w:t>
        </w:r>
      </w:hyperlink>
      <w:r w:rsidR="001C76F0" w:rsidRPr="00395593">
        <w:rPr>
          <w:rFonts w:ascii="Garamond" w:eastAsia="Times New Roman" w:hAnsi="Garamond" w:cs="Arial"/>
          <w:color w:val="000000"/>
          <w:sz w:val="24"/>
          <w:szCs w:val="24"/>
          <w:lang w:eastAsia="pt-BR"/>
        </w:rPr>
        <w:t>a empresa contratante deverá reter 3,5% (três inteiros e cinco décimos por cento) do valor bruto da nota fiscal ou da fatura de prestação de serviços.</w:t>
      </w:r>
    </w:p>
    <w:p w14:paraId="095688CA"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(NR)</w:t>
      </w:r>
    </w:p>
    <w:p w14:paraId="57CA5252"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9º .........................................................................</w:t>
      </w:r>
    </w:p>
    <w:p w14:paraId="07C502B0"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w:t>
      </w:r>
    </w:p>
    <w:p w14:paraId="2C04C6D2"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77" w:anchor="art9viii." w:history="1">
        <w:r w:rsidR="001C76F0" w:rsidRPr="00395593">
          <w:rPr>
            <w:rFonts w:ascii="Garamond" w:eastAsia="Times New Roman" w:hAnsi="Garamond" w:cs="Arial"/>
            <w:color w:val="0000FF"/>
            <w:sz w:val="24"/>
            <w:szCs w:val="24"/>
            <w:u w:val="single"/>
            <w:lang w:eastAsia="pt-BR"/>
          </w:rPr>
          <w:t>VIII - </w:t>
        </w:r>
      </w:hyperlink>
      <w:r w:rsidR="001C76F0" w:rsidRPr="00395593">
        <w:rPr>
          <w:rFonts w:ascii="Garamond" w:eastAsia="Times New Roman" w:hAnsi="Garamond" w:cs="Arial"/>
          <w:color w:val="000000"/>
          <w:sz w:val="24"/>
          <w:szCs w:val="24"/>
          <w:lang w:eastAsia="pt-BR"/>
        </w:rPr>
        <w:t>para as sociedades cooperativas, a metodologia adotada para a contribuição sobre a receita bruta, em substituição às contribuições previstas nos </w:t>
      </w:r>
      <w:hyperlink r:id="rId78" w:anchor="art22i" w:history="1">
        <w:r w:rsidR="001C76F0" w:rsidRPr="00395593">
          <w:rPr>
            <w:rFonts w:ascii="Garamond" w:eastAsia="Times New Roman" w:hAnsi="Garamond" w:cs="Arial"/>
            <w:color w:val="0000FF"/>
            <w:sz w:val="24"/>
            <w:szCs w:val="24"/>
            <w:u w:val="single"/>
            <w:lang w:eastAsia="pt-BR"/>
          </w:rPr>
          <w:t>incisos I e III do caput do art. 22 da Lei nº 8.212, de 24 de julho de 1991 </w:t>
        </w:r>
      </w:hyperlink>
      <w:r w:rsidR="001C76F0" w:rsidRPr="00395593">
        <w:rPr>
          <w:rFonts w:ascii="Garamond" w:eastAsia="Times New Roman" w:hAnsi="Garamond" w:cs="Arial"/>
          <w:color w:val="000000"/>
          <w:sz w:val="24"/>
          <w:szCs w:val="24"/>
          <w:lang w:eastAsia="pt-BR"/>
        </w:rPr>
        <w:t>, limita-se ao art. 8º e somente às atividades abrangidas pelos códigos referidos no Anexo I; e</w:t>
      </w:r>
    </w:p>
    <w:p w14:paraId="4E4C388F"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IX - equipara-se a empresa o consórcio constituído nos termos dos </w:t>
      </w:r>
      <w:hyperlink r:id="rId79" w:anchor="art278" w:history="1">
        <w:r w:rsidRPr="00395593">
          <w:rPr>
            <w:rFonts w:ascii="Garamond" w:eastAsia="Times New Roman" w:hAnsi="Garamond" w:cs="Arial"/>
            <w:color w:val="0000FF"/>
            <w:sz w:val="24"/>
            <w:szCs w:val="24"/>
            <w:u w:val="single"/>
            <w:lang w:eastAsia="pt-BR"/>
          </w:rPr>
          <w:t>arts. 278 e 279 da Lei nº 6.404, de 15 de dezembro de 1976, </w:t>
        </w:r>
      </w:hyperlink>
      <w:r w:rsidRPr="00395593">
        <w:rPr>
          <w:rFonts w:ascii="Garamond" w:eastAsia="Times New Roman" w:hAnsi="Garamond" w:cs="Arial"/>
          <w:color w:val="000000"/>
          <w:sz w:val="24"/>
          <w:szCs w:val="24"/>
          <w:lang w:eastAsia="pt-BR"/>
        </w:rPr>
        <w:t>que realizar a contratação e o pagamento, mediante a utilização de CNPJ próprio do consórcio, de pessoas físicas ou jurídicas, com ou sem vínculo empregatício, ficando as empresas consorciadas solidariamente responsáveis pelos tributos relacionados às operações praticadas pelo consórcio.</w:t>
      </w:r>
    </w:p>
    <w:p w14:paraId="5D22B0B8"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w:t>
      </w:r>
    </w:p>
    <w:p w14:paraId="16E27CD4"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80" w:anchor="art9%C2%A711." w:history="1">
        <w:r w:rsidR="001C76F0" w:rsidRPr="00395593">
          <w:rPr>
            <w:rFonts w:ascii="Garamond" w:eastAsia="Times New Roman" w:hAnsi="Garamond" w:cs="Arial"/>
            <w:color w:val="0000FF"/>
            <w:sz w:val="24"/>
            <w:szCs w:val="24"/>
            <w:u w:val="single"/>
            <w:lang w:eastAsia="pt-BR"/>
          </w:rPr>
          <w:t>§ 11. </w:t>
        </w:r>
      </w:hyperlink>
      <w:r w:rsidR="001C76F0" w:rsidRPr="00395593">
        <w:rPr>
          <w:rFonts w:ascii="Garamond" w:eastAsia="Times New Roman" w:hAnsi="Garamond" w:cs="Arial"/>
          <w:color w:val="000000"/>
          <w:sz w:val="24"/>
          <w:szCs w:val="24"/>
          <w:lang w:eastAsia="pt-BR"/>
        </w:rPr>
        <w:t>Na hipótese do inciso IX do caput , no cálculo da contribuição incidente sobre a receita, a consorciada deve deduzir de sua base de cálculo, observado o disposto neste artigo, a parcela da receita auferida pelo consórcio proporcional a sua participação no empreendimento.</w:t>
      </w:r>
    </w:p>
    <w:p w14:paraId="09DB9FC5"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12. As contribuições referidas no caput do art. 7º e no caput do art. 8º podem ser apuradas utilizando-se os mesmos critérios adotados na legislação da Contribuição para o PIS/Pasep e da Cofins para o reconhecimento no tempo de receitas e para o diferimento do pagamento dessas contribuições.” (NR)</w:t>
      </w:r>
    </w:p>
    <w:p w14:paraId="498CF85F"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6º O art. 1º da </w:t>
      </w:r>
      <w:hyperlink r:id="rId81" w:history="1">
        <w:r w:rsidRPr="00395593">
          <w:rPr>
            <w:rFonts w:ascii="Garamond" w:eastAsia="Times New Roman" w:hAnsi="Garamond" w:cs="Arial"/>
            <w:color w:val="0000FF"/>
            <w:sz w:val="24"/>
            <w:szCs w:val="24"/>
            <w:u w:val="single"/>
            <w:lang w:eastAsia="pt-BR"/>
          </w:rPr>
          <w:t>Lei nº 12.859, de 10 de setembro de 2013, </w:t>
        </w:r>
      </w:hyperlink>
      <w:r w:rsidRPr="00395593">
        <w:rPr>
          <w:rFonts w:ascii="Garamond" w:eastAsia="Times New Roman" w:hAnsi="Garamond" w:cs="Arial"/>
          <w:color w:val="000000"/>
          <w:sz w:val="24"/>
          <w:szCs w:val="24"/>
          <w:lang w:eastAsia="pt-BR"/>
        </w:rPr>
        <w:t>passa a vigorar com a seguinte redação:</w:t>
      </w:r>
    </w:p>
    <w:p w14:paraId="40212A01" w14:textId="77777777" w:rsidR="001C76F0" w:rsidRPr="00395593" w:rsidRDefault="001C76F0" w:rsidP="001C76F0">
      <w:pPr>
        <w:spacing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1º ..........................................................................</w:t>
      </w:r>
    </w:p>
    <w:p w14:paraId="53554BDE"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w:t>
      </w:r>
    </w:p>
    <w:p w14:paraId="0A4C65E2"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82" w:anchor="art1%C2%A74." w:history="1">
        <w:r w:rsidR="001C76F0" w:rsidRPr="00395593">
          <w:rPr>
            <w:rFonts w:ascii="Garamond" w:eastAsia="Times New Roman" w:hAnsi="Garamond" w:cs="Arial"/>
            <w:color w:val="0000FF"/>
            <w:sz w:val="24"/>
            <w:szCs w:val="24"/>
            <w:u w:val="single"/>
            <w:lang w:eastAsia="pt-BR"/>
          </w:rPr>
          <w:t>§ 4º </w:t>
        </w:r>
      </w:hyperlink>
      <w:r w:rsidR="001C76F0" w:rsidRPr="00395593">
        <w:rPr>
          <w:rFonts w:ascii="Garamond" w:eastAsia="Times New Roman" w:hAnsi="Garamond" w:cs="Arial"/>
          <w:color w:val="000000"/>
          <w:sz w:val="24"/>
          <w:szCs w:val="24"/>
          <w:lang w:eastAsia="pt-BR"/>
        </w:rPr>
        <w:t>O disposto neste artigo não se aplica a operações que consistam em mera revenda de álcool adquirido no mercado interno.</w:t>
      </w:r>
    </w:p>
    <w:p w14:paraId="2FED4799"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w:t>
      </w:r>
    </w:p>
    <w:p w14:paraId="3CE090C6"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83" w:anchor="art1%C2%A77." w:history="1">
        <w:r w:rsidR="001C76F0" w:rsidRPr="00395593">
          <w:rPr>
            <w:rFonts w:ascii="Garamond" w:eastAsia="Times New Roman" w:hAnsi="Garamond" w:cs="Arial"/>
            <w:color w:val="0000FF"/>
            <w:sz w:val="24"/>
            <w:szCs w:val="24"/>
            <w:u w:val="single"/>
            <w:lang w:eastAsia="pt-BR"/>
          </w:rPr>
          <w:t>§ 7º </w:t>
        </w:r>
      </w:hyperlink>
      <w:r w:rsidR="001C76F0" w:rsidRPr="00395593">
        <w:rPr>
          <w:rFonts w:ascii="Garamond" w:eastAsia="Times New Roman" w:hAnsi="Garamond" w:cs="Arial"/>
          <w:color w:val="000000"/>
          <w:sz w:val="24"/>
          <w:szCs w:val="24"/>
          <w:lang w:eastAsia="pt-BR"/>
        </w:rPr>
        <w:t>Durante o prazo de que trata o § 1º , o saldo credor da Contribuição para o PIS/Pasep e da Cofins apurado pelas pessoas jurídicas de que trata o caput , na forma do </w:t>
      </w:r>
      <w:hyperlink r:id="rId84" w:anchor="art3" w:history="1">
        <w:r w:rsidR="001C76F0" w:rsidRPr="00395593">
          <w:rPr>
            <w:rFonts w:ascii="Garamond" w:eastAsia="Times New Roman" w:hAnsi="Garamond" w:cs="Arial"/>
            <w:color w:val="0000FF"/>
            <w:sz w:val="24"/>
            <w:szCs w:val="24"/>
            <w:u w:val="single"/>
            <w:lang w:eastAsia="pt-BR"/>
          </w:rPr>
          <w:t>art. 3º da Lei nº 10.637, de 30 de dezembro de 2002, </w:t>
        </w:r>
      </w:hyperlink>
      <w:r w:rsidR="001C76F0" w:rsidRPr="00395593">
        <w:rPr>
          <w:rFonts w:ascii="Garamond" w:eastAsia="Times New Roman" w:hAnsi="Garamond" w:cs="Arial"/>
          <w:color w:val="000000"/>
          <w:sz w:val="24"/>
          <w:szCs w:val="24"/>
          <w:lang w:eastAsia="pt-BR"/>
        </w:rPr>
        <w:t>do </w:t>
      </w:r>
      <w:hyperlink r:id="rId85" w:anchor="art3" w:history="1">
        <w:r w:rsidR="001C76F0" w:rsidRPr="00395593">
          <w:rPr>
            <w:rFonts w:ascii="Garamond" w:eastAsia="Times New Roman" w:hAnsi="Garamond" w:cs="Arial"/>
            <w:color w:val="0000FF"/>
            <w:sz w:val="24"/>
            <w:szCs w:val="24"/>
            <w:u w:val="single"/>
            <w:lang w:eastAsia="pt-BR"/>
          </w:rPr>
          <w:t>art. 3º da Lei nº 10.833, de 29 de dezembro de 2003, </w:t>
        </w:r>
      </w:hyperlink>
      <w:r w:rsidR="001C76F0" w:rsidRPr="00395593">
        <w:rPr>
          <w:rFonts w:ascii="Garamond" w:eastAsia="Times New Roman" w:hAnsi="Garamond" w:cs="Arial"/>
          <w:color w:val="000000"/>
          <w:sz w:val="24"/>
          <w:szCs w:val="24"/>
          <w:lang w:eastAsia="pt-BR"/>
        </w:rPr>
        <w:t>e do </w:t>
      </w:r>
      <w:hyperlink r:id="rId86" w:anchor="art15" w:history="1">
        <w:r w:rsidR="001C76F0" w:rsidRPr="00395593">
          <w:rPr>
            <w:rFonts w:ascii="Garamond" w:eastAsia="Times New Roman" w:hAnsi="Garamond" w:cs="Arial"/>
            <w:color w:val="0000FF"/>
            <w:sz w:val="24"/>
            <w:szCs w:val="24"/>
            <w:u w:val="single"/>
            <w:lang w:eastAsia="pt-BR"/>
          </w:rPr>
          <w:t>art. 15 da Lei nº 10.865, de 30 de abril de 2004, </w:t>
        </w:r>
      </w:hyperlink>
      <w:r w:rsidR="001C76F0" w:rsidRPr="00395593">
        <w:rPr>
          <w:rFonts w:ascii="Garamond" w:eastAsia="Times New Roman" w:hAnsi="Garamond" w:cs="Arial"/>
          <w:color w:val="000000"/>
          <w:sz w:val="24"/>
          <w:szCs w:val="24"/>
          <w:lang w:eastAsia="pt-BR"/>
        </w:rPr>
        <w:t>em relação a custos, despesas e encargos vinculados à produção e à comercialização de álcool, inclusive para fins carburantes, acumulado ao final de cada trimestre do ano-calendário, poderá ser objeto de:</w:t>
      </w:r>
    </w:p>
    <w:p w14:paraId="0E1ECDC1"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(NR)</w:t>
      </w:r>
    </w:p>
    <w:p w14:paraId="4EC82613"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7º A </w:t>
      </w:r>
      <w:hyperlink r:id="rId87" w:history="1">
        <w:r w:rsidRPr="00395593">
          <w:rPr>
            <w:rFonts w:ascii="Garamond" w:eastAsia="Times New Roman" w:hAnsi="Garamond" w:cs="Arial"/>
            <w:color w:val="0000FF"/>
            <w:sz w:val="24"/>
            <w:szCs w:val="24"/>
            <w:u w:val="single"/>
            <w:lang w:eastAsia="pt-BR"/>
          </w:rPr>
          <w:t>Lei nº 12.546, de 14 de dezembro de 2011, </w:t>
        </w:r>
      </w:hyperlink>
      <w:r w:rsidRPr="00395593">
        <w:rPr>
          <w:rFonts w:ascii="Garamond" w:eastAsia="Times New Roman" w:hAnsi="Garamond" w:cs="Arial"/>
          <w:color w:val="000000"/>
          <w:sz w:val="24"/>
          <w:szCs w:val="24"/>
          <w:lang w:eastAsia="pt-BR"/>
        </w:rPr>
        <w:t>passa a vigorar acrescida do seguinte art. 47-B:</w:t>
      </w:r>
    </w:p>
    <w:p w14:paraId="6F69933F" w14:textId="77777777" w:rsidR="001C76F0" w:rsidRPr="00395593" w:rsidRDefault="00C43D68" w:rsidP="001C76F0">
      <w:pPr>
        <w:spacing w:beforeAutospacing="1" w:after="100" w:afterAutospacing="1" w:line="240" w:lineRule="auto"/>
        <w:ind w:firstLine="432"/>
        <w:jc w:val="both"/>
        <w:rPr>
          <w:rFonts w:ascii="Garamond" w:eastAsia="Times New Roman" w:hAnsi="Garamond" w:cs="Arial"/>
          <w:color w:val="000000"/>
          <w:sz w:val="24"/>
          <w:szCs w:val="24"/>
          <w:lang w:eastAsia="pt-BR"/>
        </w:rPr>
      </w:pPr>
      <w:hyperlink r:id="rId88" w:anchor="art47b" w:history="1">
        <w:r w:rsidR="001C76F0" w:rsidRPr="00395593">
          <w:rPr>
            <w:rFonts w:ascii="Garamond" w:eastAsia="Times New Roman" w:hAnsi="Garamond" w:cs="Arial"/>
            <w:color w:val="0000FF"/>
            <w:sz w:val="24"/>
            <w:szCs w:val="24"/>
            <w:u w:val="single"/>
            <w:lang w:eastAsia="pt-BR"/>
          </w:rPr>
          <w:t>“Art. 47-B. </w:t>
        </w:r>
      </w:hyperlink>
      <w:r w:rsidR="001C76F0" w:rsidRPr="00395593">
        <w:rPr>
          <w:rFonts w:ascii="Garamond" w:eastAsia="Times New Roman" w:hAnsi="Garamond" w:cs="Arial"/>
          <w:color w:val="000000"/>
          <w:sz w:val="24"/>
          <w:szCs w:val="24"/>
          <w:lang w:eastAsia="pt-BR"/>
        </w:rPr>
        <w:t>É autorizada a apuração do crédito presumido instituído pelo art. 47 em relação a operações ocorridas durante o período de sua vigência.</w:t>
      </w:r>
    </w:p>
    <w:p w14:paraId="4042CAC1"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1º É vedada a apuração do crédito presumido de que trata o caput e do crédito presumido instituído pelo </w:t>
      </w:r>
      <w:hyperlink r:id="rId89" w:anchor="art8" w:history="1">
        <w:r w:rsidRPr="00395593">
          <w:rPr>
            <w:rFonts w:ascii="Garamond" w:eastAsia="Times New Roman" w:hAnsi="Garamond" w:cs="Arial"/>
            <w:color w:val="0000FF"/>
            <w:sz w:val="24"/>
            <w:szCs w:val="24"/>
            <w:u w:val="single"/>
            <w:lang w:eastAsia="pt-BR"/>
          </w:rPr>
          <w:t>art. 8º da Lei nº 10.925, de 23 de julho de 2004, </w:t>
        </w:r>
      </w:hyperlink>
      <w:r w:rsidRPr="00395593">
        <w:rPr>
          <w:rFonts w:ascii="Garamond" w:eastAsia="Times New Roman" w:hAnsi="Garamond" w:cs="Arial"/>
          <w:color w:val="000000"/>
          <w:sz w:val="24"/>
          <w:szCs w:val="24"/>
          <w:lang w:eastAsia="pt-BR"/>
        </w:rPr>
        <w:t>em relação à mesma operação.</w:t>
      </w:r>
    </w:p>
    <w:p w14:paraId="5D69131F"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2º São convalidados os créditos presumidos de que trata o </w:t>
      </w:r>
      <w:hyperlink r:id="rId90" w:anchor="art8" w:history="1">
        <w:r w:rsidRPr="00395593">
          <w:rPr>
            <w:rFonts w:ascii="Garamond" w:eastAsia="Times New Roman" w:hAnsi="Garamond" w:cs="Arial"/>
            <w:color w:val="0000FF"/>
            <w:sz w:val="24"/>
            <w:szCs w:val="24"/>
            <w:u w:val="single"/>
            <w:lang w:eastAsia="pt-BR"/>
          </w:rPr>
          <w:t>art. 8º da Lei nº 10.925, de 23 de julho de 2004, </w:t>
        </w:r>
      </w:hyperlink>
      <w:r w:rsidRPr="00395593">
        <w:rPr>
          <w:rFonts w:ascii="Garamond" w:eastAsia="Times New Roman" w:hAnsi="Garamond" w:cs="Arial"/>
          <w:color w:val="000000"/>
          <w:sz w:val="24"/>
          <w:szCs w:val="24"/>
          <w:lang w:eastAsia="pt-BR"/>
        </w:rPr>
        <w:t>regularmente apurados em relação à aquisição ou ao recebimento de soja in natura por pessoa jurídica produtora de biodiesel.</w:t>
      </w:r>
    </w:p>
    <w:p w14:paraId="230F7144"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3º A Secretaria da Receita Federal do Brasil disciplinará o disposto neste artigo.”</w:t>
      </w:r>
    </w:p>
    <w:p w14:paraId="227911DA"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8º A </w:t>
      </w:r>
      <w:hyperlink r:id="rId91" w:history="1">
        <w:r w:rsidRPr="00395593">
          <w:rPr>
            <w:rFonts w:ascii="Garamond" w:eastAsia="Times New Roman" w:hAnsi="Garamond" w:cs="Arial"/>
            <w:color w:val="0000FF"/>
            <w:sz w:val="24"/>
            <w:szCs w:val="24"/>
            <w:u w:val="single"/>
            <w:lang w:eastAsia="pt-BR"/>
          </w:rPr>
          <w:t>Medida Provisória nº 2.158-35, de 24 de agosto de 2001, </w:t>
        </w:r>
      </w:hyperlink>
      <w:r w:rsidRPr="00395593">
        <w:rPr>
          <w:rFonts w:ascii="Garamond" w:eastAsia="Times New Roman" w:hAnsi="Garamond" w:cs="Arial"/>
          <w:color w:val="000000"/>
          <w:sz w:val="24"/>
          <w:szCs w:val="24"/>
          <w:lang w:eastAsia="pt-BR"/>
        </w:rPr>
        <w:t>passa a vigorar com as seguintes alterações:</w:t>
      </w:r>
    </w:p>
    <w:p w14:paraId="19AE8B00" w14:textId="77777777" w:rsidR="001C76F0" w:rsidRPr="00395593" w:rsidRDefault="001C76F0" w:rsidP="001C76F0">
      <w:pPr>
        <w:spacing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80. ........................................................................</w:t>
      </w:r>
    </w:p>
    <w:p w14:paraId="58173852"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92" w:anchor="art80i" w:history="1">
        <w:r w:rsidR="001C76F0" w:rsidRPr="00395593">
          <w:rPr>
            <w:rFonts w:ascii="Garamond" w:eastAsia="Times New Roman" w:hAnsi="Garamond" w:cs="Arial"/>
            <w:color w:val="0000FF"/>
            <w:sz w:val="24"/>
            <w:szCs w:val="24"/>
            <w:u w:val="single"/>
            <w:lang w:eastAsia="pt-BR"/>
          </w:rPr>
          <w:t>I - </w:t>
        </w:r>
      </w:hyperlink>
      <w:r w:rsidR="001C76F0" w:rsidRPr="00395593">
        <w:rPr>
          <w:rFonts w:ascii="Garamond" w:eastAsia="Times New Roman" w:hAnsi="Garamond" w:cs="Arial"/>
          <w:color w:val="000000"/>
          <w:sz w:val="24"/>
          <w:szCs w:val="24"/>
          <w:lang w:eastAsia="pt-BR"/>
        </w:rPr>
        <w:t>estabelecer requisitos e condições para a atuação de pessoa jurídica importadora ou exportadora por conta e ordem de terceiro; e</w:t>
      </w:r>
    </w:p>
    <w:p w14:paraId="0DD879E8"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(NR)</w:t>
      </w:r>
    </w:p>
    <w:p w14:paraId="44C98422"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93" w:anchor="art81a" w:history="1">
        <w:r w:rsidR="001C76F0" w:rsidRPr="00395593">
          <w:rPr>
            <w:rFonts w:ascii="Garamond" w:eastAsia="Times New Roman" w:hAnsi="Garamond" w:cs="Arial"/>
            <w:color w:val="0000FF"/>
            <w:sz w:val="24"/>
            <w:szCs w:val="24"/>
            <w:u w:val="single"/>
            <w:lang w:eastAsia="pt-BR"/>
          </w:rPr>
          <w:t>“Art. 81-A. </w:t>
        </w:r>
      </w:hyperlink>
      <w:r w:rsidR="001C76F0" w:rsidRPr="00395593">
        <w:rPr>
          <w:rFonts w:ascii="Garamond" w:eastAsia="Times New Roman" w:hAnsi="Garamond" w:cs="Arial"/>
          <w:color w:val="000000"/>
          <w:sz w:val="24"/>
          <w:szCs w:val="24"/>
          <w:lang w:eastAsia="pt-BR"/>
        </w:rPr>
        <w:t>No caso de exportação por conta e ordem, considera-se, para efeitos fiscais, que a mercadoria foi exportada pelo produtor ou revendedor contratante da exportação por conta e ordem.</w:t>
      </w:r>
    </w:p>
    <w:p w14:paraId="01DEF7CE"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1º A exportação da mercadoria deverá ocorrer no prazo de 30 (trinta) dias, contado da contratação da pessoa jurídica exportadora por conta e ordem.</w:t>
      </w:r>
    </w:p>
    <w:p w14:paraId="61D53914"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2º Considera-se data de exportação a data de apresentação da declaração de exportação pela pessoa jurídica exportadora por conta e ordem.</w:t>
      </w:r>
    </w:p>
    <w:p w14:paraId="4BFBAAA7"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3º A pessoa jurídica exportadora e o produtor ou revendedor contratante da exportação por conta e ordem são solidariamente responsáveis pelos tributos devidos e pelas penalidades aplicáveis caso não seja observado o prazo estabelecido no § 1º .</w:t>
      </w:r>
    </w:p>
    <w:p w14:paraId="10CEB937"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4º Não se considera exportação por conta e ordem de terceiro a operação de venda de mercadorias para pessoa jurídica exportadora.”</w:t>
      </w:r>
    </w:p>
    <w:p w14:paraId="65A41FB6"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9º O caput do art. 5º da </w:t>
      </w:r>
      <w:hyperlink r:id="rId94" w:history="1">
        <w:r w:rsidRPr="00395593">
          <w:rPr>
            <w:rFonts w:ascii="Garamond" w:eastAsia="Times New Roman" w:hAnsi="Garamond" w:cs="Arial"/>
            <w:color w:val="0000FF"/>
            <w:sz w:val="24"/>
            <w:szCs w:val="24"/>
            <w:u w:val="single"/>
            <w:lang w:eastAsia="pt-BR"/>
          </w:rPr>
          <w:t>Lei nº 9.818, de 23 de agosto de 1999, </w:t>
        </w:r>
      </w:hyperlink>
      <w:r w:rsidRPr="00395593">
        <w:rPr>
          <w:rFonts w:ascii="Garamond" w:eastAsia="Times New Roman" w:hAnsi="Garamond" w:cs="Arial"/>
          <w:color w:val="000000"/>
          <w:sz w:val="24"/>
          <w:szCs w:val="24"/>
          <w:lang w:eastAsia="pt-BR"/>
        </w:rPr>
        <w:t>passa a vigorar com a seguinte redação:</w:t>
      </w:r>
    </w:p>
    <w:p w14:paraId="646173D0" w14:textId="77777777" w:rsidR="001C76F0" w:rsidRPr="00395593" w:rsidRDefault="00C43D68" w:rsidP="001C76F0">
      <w:pPr>
        <w:spacing w:beforeAutospacing="1" w:after="100" w:afterAutospacing="1" w:line="240" w:lineRule="auto"/>
        <w:ind w:firstLine="432"/>
        <w:jc w:val="both"/>
        <w:rPr>
          <w:rFonts w:ascii="Garamond" w:eastAsia="Times New Roman" w:hAnsi="Garamond" w:cs="Arial"/>
          <w:color w:val="000000"/>
          <w:sz w:val="24"/>
          <w:szCs w:val="24"/>
          <w:lang w:eastAsia="pt-BR"/>
        </w:rPr>
      </w:pPr>
      <w:hyperlink r:id="rId95" w:anchor="art5..." w:history="1">
        <w:r w:rsidR="001C76F0" w:rsidRPr="00395593">
          <w:rPr>
            <w:rFonts w:ascii="Garamond" w:eastAsia="Times New Roman" w:hAnsi="Garamond" w:cs="Arial"/>
            <w:color w:val="0000FF"/>
            <w:sz w:val="24"/>
            <w:szCs w:val="24"/>
            <w:u w:val="single"/>
            <w:lang w:eastAsia="pt-BR"/>
          </w:rPr>
          <w:t>“Art. 5º </w:t>
        </w:r>
      </w:hyperlink>
      <w:r w:rsidR="001C76F0" w:rsidRPr="00395593">
        <w:rPr>
          <w:rFonts w:ascii="Garamond" w:eastAsia="Times New Roman" w:hAnsi="Garamond" w:cs="Arial"/>
          <w:color w:val="000000"/>
          <w:sz w:val="24"/>
          <w:szCs w:val="24"/>
          <w:lang w:eastAsia="pt-BR"/>
        </w:rPr>
        <w:t>Os recursos do FGE poderão ainda ser utilizados, com Seguro de Crédito à Exportação, para a cobertura de garantias de cumprimento de obrigações contratuais prestadas por instituição financeira, sob a forma de garantia de execução, garantia de reembolso de adiantamento de recursos e garantia de termos e condições de oferta, em operações de exportação de bens e serviços das indústrias do setor de defesa.</w:t>
      </w:r>
    </w:p>
    <w:p w14:paraId="09A4E595"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(NR)</w:t>
      </w:r>
    </w:p>
    <w:p w14:paraId="160831A4"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10. O § 3º do art. 1º da </w:t>
      </w:r>
      <w:hyperlink r:id="rId96" w:history="1">
        <w:r w:rsidRPr="00395593">
          <w:rPr>
            <w:rFonts w:ascii="Garamond" w:eastAsia="Times New Roman" w:hAnsi="Garamond" w:cs="Arial"/>
            <w:color w:val="0000FF"/>
            <w:sz w:val="24"/>
            <w:szCs w:val="24"/>
            <w:u w:val="single"/>
            <w:lang w:eastAsia="pt-BR"/>
          </w:rPr>
          <w:t>Medida Provisória nº 2.199-14, de 24 de agosto de 2001, </w:t>
        </w:r>
      </w:hyperlink>
      <w:r w:rsidRPr="00395593">
        <w:rPr>
          <w:rFonts w:ascii="Garamond" w:eastAsia="Times New Roman" w:hAnsi="Garamond" w:cs="Arial"/>
          <w:color w:val="000000"/>
          <w:sz w:val="24"/>
          <w:szCs w:val="24"/>
          <w:lang w:eastAsia="pt-BR"/>
        </w:rPr>
        <w:t>passa a vigorar com a seguinte redação:</w:t>
      </w:r>
    </w:p>
    <w:p w14:paraId="53651002" w14:textId="77777777" w:rsidR="001C76F0" w:rsidRPr="00395593" w:rsidRDefault="001C76F0" w:rsidP="001C76F0">
      <w:pPr>
        <w:spacing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1º .....................................................................</w:t>
      </w:r>
    </w:p>
    <w:p w14:paraId="6723F5BD"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w:t>
      </w:r>
    </w:p>
    <w:p w14:paraId="69974BC5"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97" w:anchor="art1%C2%A73.." w:history="1">
        <w:r w:rsidR="001C76F0" w:rsidRPr="00395593">
          <w:rPr>
            <w:rFonts w:ascii="Garamond" w:eastAsia="Times New Roman" w:hAnsi="Garamond" w:cs="Arial"/>
            <w:color w:val="0000FF"/>
            <w:sz w:val="24"/>
            <w:szCs w:val="24"/>
            <w:u w:val="single"/>
            <w:lang w:eastAsia="pt-BR"/>
          </w:rPr>
          <w:t>§ 3º </w:t>
        </w:r>
      </w:hyperlink>
      <w:r w:rsidR="001C76F0" w:rsidRPr="00395593">
        <w:rPr>
          <w:rFonts w:ascii="Garamond" w:eastAsia="Times New Roman" w:hAnsi="Garamond" w:cs="Arial"/>
          <w:color w:val="000000"/>
          <w:sz w:val="24"/>
          <w:szCs w:val="24"/>
          <w:lang w:eastAsia="pt-BR"/>
        </w:rPr>
        <w:t>O prazo de fruição do benefício fiscal será de 10 (dez) anos, contado a partir do ano-calendário de início de sua fruição.</w:t>
      </w:r>
    </w:p>
    <w:p w14:paraId="6C42A4EC"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(NR)</w:t>
      </w:r>
    </w:p>
    <w:p w14:paraId="53BDE233"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11. O art. 2º da </w:t>
      </w:r>
      <w:hyperlink r:id="rId98" w:history="1">
        <w:r w:rsidRPr="00395593">
          <w:rPr>
            <w:rFonts w:ascii="Garamond" w:eastAsia="Times New Roman" w:hAnsi="Garamond" w:cs="Arial"/>
            <w:color w:val="0000FF"/>
            <w:sz w:val="24"/>
            <w:szCs w:val="24"/>
            <w:u w:val="single"/>
            <w:lang w:eastAsia="pt-BR"/>
          </w:rPr>
          <w:t>Lei nº 11.281, de 20 de fevereiro de 2006, </w:t>
        </w:r>
      </w:hyperlink>
      <w:r w:rsidRPr="00395593">
        <w:rPr>
          <w:rFonts w:ascii="Garamond" w:eastAsia="Times New Roman" w:hAnsi="Garamond" w:cs="Arial"/>
          <w:color w:val="000000"/>
          <w:sz w:val="24"/>
          <w:szCs w:val="24"/>
          <w:lang w:eastAsia="pt-BR"/>
        </w:rPr>
        <w:t>passa a vigorar acrescido dos seguintes §§ 3º e 4º :</w:t>
      </w:r>
    </w:p>
    <w:p w14:paraId="369BB118" w14:textId="77777777" w:rsidR="001C76F0" w:rsidRPr="00395593" w:rsidRDefault="001C76F0" w:rsidP="001C76F0">
      <w:pPr>
        <w:spacing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2º ...........................................................................</w:t>
      </w:r>
    </w:p>
    <w:p w14:paraId="0DE5B525"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w:t>
      </w:r>
    </w:p>
    <w:p w14:paraId="40631499"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99" w:anchor="art2%C2%A73" w:history="1">
        <w:r w:rsidR="001C76F0" w:rsidRPr="00395593">
          <w:rPr>
            <w:rFonts w:ascii="Garamond" w:eastAsia="Times New Roman" w:hAnsi="Garamond" w:cs="Arial"/>
            <w:color w:val="0000FF"/>
            <w:sz w:val="24"/>
            <w:szCs w:val="24"/>
            <w:u w:val="single"/>
            <w:lang w:eastAsia="pt-BR"/>
          </w:rPr>
          <w:t>§ 3º </w:t>
        </w:r>
      </w:hyperlink>
      <w:r w:rsidR="001C76F0" w:rsidRPr="00395593">
        <w:rPr>
          <w:rFonts w:ascii="Garamond" w:eastAsia="Times New Roman" w:hAnsi="Garamond" w:cs="Arial"/>
          <w:color w:val="000000"/>
          <w:sz w:val="24"/>
          <w:szCs w:val="24"/>
          <w:lang w:eastAsia="pt-BR"/>
        </w:rPr>
        <w:t>Os mandatários poderão promover a contratação direta de serviços de assessoramento jurídico, no exterior, a fim de realizar a cobrança judicial e extrajudicial dos créditos referidos no caput , dispensada licitação, quando o prestador dos serviços já tiver sido engajado na recuperação do crédito por meio de contrato firmado com instituição controlada pela União.</w:t>
      </w:r>
    </w:p>
    <w:p w14:paraId="341A085A"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4º A permissão dada à União no § 3º também é concedida à Agência Brasileira Gestora de Fundos Garantidores e Garantias S.A., na qualidade de agente contratado pela União para realizar todos os serviços relacionados ao SCE, na condição de administradora de fundos garantidores que contem com recursos da União ou ainda na condição de garantidora do crédito em recuperação.” (NR)</w:t>
      </w:r>
    </w:p>
    <w:p w14:paraId="65BF2535"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12. Os arts. 5º e 6º da </w:t>
      </w:r>
      <w:hyperlink r:id="rId100" w:history="1">
        <w:r w:rsidRPr="00395593">
          <w:rPr>
            <w:rFonts w:ascii="Garamond" w:eastAsia="Times New Roman" w:hAnsi="Garamond" w:cs="Arial"/>
            <w:color w:val="0000FF"/>
            <w:sz w:val="24"/>
            <w:szCs w:val="24"/>
            <w:u w:val="single"/>
            <w:lang w:eastAsia="pt-BR"/>
          </w:rPr>
          <w:t>Lei nº 12.649, de 17 de maio de 2012, </w:t>
        </w:r>
      </w:hyperlink>
      <w:r w:rsidRPr="00395593">
        <w:rPr>
          <w:rFonts w:ascii="Garamond" w:eastAsia="Times New Roman" w:hAnsi="Garamond" w:cs="Arial"/>
          <w:color w:val="000000"/>
          <w:sz w:val="24"/>
          <w:szCs w:val="24"/>
          <w:lang w:eastAsia="pt-BR"/>
        </w:rPr>
        <w:t>passam a vigorar com a seguinte redação:</w:t>
      </w:r>
    </w:p>
    <w:p w14:paraId="71034B27" w14:textId="77777777" w:rsidR="001C76F0" w:rsidRPr="00395593" w:rsidRDefault="00C43D68" w:rsidP="001C76F0">
      <w:pPr>
        <w:spacing w:beforeAutospacing="1" w:after="100" w:afterAutospacing="1" w:line="240" w:lineRule="auto"/>
        <w:ind w:firstLine="432"/>
        <w:jc w:val="both"/>
        <w:rPr>
          <w:rFonts w:ascii="Garamond" w:eastAsia="Times New Roman" w:hAnsi="Garamond" w:cs="Arial"/>
          <w:color w:val="000000"/>
          <w:sz w:val="24"/>
          <w:szCs w:val="24"/>
          <w:lang w:eastAsia="pt-BR"/>
        </w:rPr>
      </w:pPr>
      <w:hyperlink r:id="rId101" w:anchor="art5" w:history="1">
        <w:r w:rsidR="001C76F0" w:rsidRPr="00395593">
          <w:rPr>
            <w:rFonts w:ascii="Garamond" w:eastAsia="Times New Roman" w:hAnsi="Garamond" w:cs="Arial"/>
            <w:color w:val="0000FF"/>
            <w:sz w:val="24"/>
            <w:szCs w:val="24"/>
            <w:u w:val="single"/>
            <w:lang w:eastAsia="pt-BR"/>
          </w:rPr>
          <w:t>“Art. 5º </w:t>
        </w:r>
      </w:hyperlink>
      <w:r w:rsidR="001C76F0" w:rsidRPr="00395593">
        <w:rPr>
          <w:rFonts w:ascii="Garamond" w:eastAsia="Times New Roman" w:hAnsi="Garamond" w:cs="Arial"/>
          <w:color w:val="000000"/>
          <w:sz w:val="24"/>
          <w:szCs w:val="24"/>
          <w:lang w:eastAsia="pt-BR"/>
        </w:rPr>
        <w:t>Fica o Poder Executivo autorizado a contribuir para a manutenção dos foros, grupos e iniciativas internacionais abaixo discriminados, nos montantes que venham a ser atribuídos ao Brasil nos orçamentos desses respectivos foros, grupos e iniciativas internacionais, nos limites dos recursos destinados, conforme o caso, ao Conselho de Controle de Atividades Financeiras - COAF, à Secretaria da Receita Federal do Brasil - RFB ou à Secretaria de Assuntos Internacionais do Ministério da Fazenda, consoante a Lei Orçamentária Anual - LOA:</w:t>
      </w:r>
    </w:p>
    <w:p w14:paraId="2666FC66"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I - Grupo de Ação Financeira contra a Lavagem de Dinheiro e o Financiamento do Terrorismo (GAFI/FATF);</w:t>
      </w:r>
    </w:p>
    <w:p w14:paraId="57ED97D1"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II - Grupo de Ação Financeira da América do Sul contra a Lavagem de Dinheiro e o Financiamento do Terrorismo - GAFISUD;</w:t>
      </w:r>
    </w:p>
    <w:p w14:paraId="50E600B2"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III - Grupo de Egmont;</w:t>
      </w:r>
    </w:p>
    <w:p w14:paraId="22B5895A"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IV - Fórum Global sobre Transparência e Intercâmbio de Informações para Fins Tributários ( Global Forum on Transparency and Exchange of Information for Tax Purposes );</w:t>
      </w:r>
    </w:p>
    <w:p w14:paraId="29630F9F"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V - Comitê de Assuntos Fiscais ( Committee on Fiscal Affairs ) da Organização para Cooperação e Desenvolvimento Econômico - OCDE;</w:t>
      </w:r>
    </w:p>
    <w:p w14:paraId="585B1D01"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VI - Fórum sobre Administração Tributária vinculado à OCDE ( Forum on Tax Administration );</w:t>
      </w:r>
    </w:p>
    <w:p w14:paraId="3A748BD3"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VII - Grupo de Coordenação e Administração da Convenção sobre Assistência Mútua Administrativa em Assuntos Tributários ( Convention on Mutual Administrative Assistance in Tax Matters );</w:t>
      </w:r>
    </w:p>
    <w:p w14:paraId="2424FD0A"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VIII - Projeto sobre Erosão de Base de Cálculo e Deslocamento de Lucros - BEPS ( Project on Base Erosion and Profit Shifting ); e</w:t>
      </w:r>
    </w:p>
    <w:p w14:paraId="3A0C24E0"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IX - Entendimento Setorial Aeronáutico no âmbito da OCDE ( ASU - Aircraft Sector Understanding ).</w:t>
      </w:r>
    </w:p>
    <w:p w14:paraId="7EEF80B6"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Parágrafo único. (Revogado).” (NR)</w:t>
      </w:r>
    </w:p>
    <w:p w14:paraId="4529B011"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102" w:anchor="art6" w:history="1">
        <w:r w:rsidR="001C76F0" w:rsidRPr="00395593">
          <w:rPr>
            <w:rFonts w:ascii="Garamond" w:eastAsia="Times New Roman" w:hAnsi="Garamond" w:cs="Arial"/>
            <w:color w:val="0000FF"/>
            <w:sz w:val="24"/>
            <w:szCs w:val="24"/>
            <w:u w:val="single"/>
            <w:lang w:eastAsia="pt-BR"/>
          </w:rPr>
          <w:t>“Art. 6º </w:t>
        </w:r>
      </w:hyperlink>
      <w:r w:rsidR="001C76F0" w:rsidRPr="00395593">
        <w:rPr>
          <w:rFonts w:ascii="Garamond" w:eastAsia="Times New Roman" w:hAnsi="Garamond" w:cs="Arial"/>
          <w:color w:val="000000"/>
          <w:sz w:val="24"/>
          <w:szCs w:val="24"/>
          <w:lang w:eastAsia="pt-BR"/>
        </w:rPr>
        <w:t>O Poder Executivo é igualmente autorizado a realizar os pagamentos referentes às contribuições do Brasil aos foros, grupos e iniciativas internacionais citados no art. 5º que se encontrem em atraso até a data de publicação desta Lei.” (NR)</w:t>
      </w:r>
    </w:p>
    <w:p w14:paraId="6B545005"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13. Fica instituída taxa pela utilização:         </w:t>
      </w:r>
      <w:hyperlink r:id="rId103" w:anchor="art26p" w:history="1">
        <w:r w:rsidRPr="00395593">
          <w:rPr>
            <w:rFonts w:ascii="Garamond" w:eastAsia="Times New Roman" w:hAnsi="Garamond" w:cs="Arial"/>
            <w:color w:val="0000FF"/>
            <w:sz w:val="24"/>
            <w:szCs w:val="24"/>
            <w:u w:val="single"/>
            <w:lang w:eastAsia="pt-BR"/>
          </w:rPr>
          <w:t>(Produção de efeito)</w:t>
        </w:r>
      </w:hyperlink>
      <w:r w:rsidRPr="00395593">
        <w:rPr>
          <w:rFonts w:ascii="Garamond" w:eastAsia="Times New Roman" w:hAnsi="Garamond" w:cs="Arial"/>
          <w:color w:val="000000"/>
          <w:sz w:val="24"/>
          <w:szCs w:val="24"/>
          <w:lang w:eastAsia="pt-BR"/>
        </w:rPr>
        <w:t>             </w:t>
      </w:r>
      <w:hyperlink r:id="rId104" w:anchor="art7" w:history="1">
        <w:r w:rsidRPr="00395593">
          <w:rPr>
            <w:rFonts w:ascii="Garamond" w:eastAsia="Times New Roman" w:hAnsi="Garamond" w:cs="Arial"/>
            <w:color w:val="0000FF"/>
            <w:sz w:val="24"/>
            <w:szCs w:val="24"/>
            <w:u w:val="single"/>
            <w:lang w:eastAsia="pt-BR"/>
          </w:rPr>
          <w:t>(</w:t>
        </w:r>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05"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color w:val="000000"/>
          <w:sz w:val="24"/>
          <w:szCs w:val="24"/>
          <w:lang w:eastAsia="pt-BR"/>
        </w:rPr>
        <w:t>          </w:t>
      </w:r>
      <w:hyperlink r:id="rId106" w:history="1">
        <w:r w:rsidRPr="00395593">
          <w:rPr>
            <w:rFonts w:ascii="Garamond" w:eastAsia="Times New Roman" w:hAnsi="Garamond" w:cs="Arial"/>
            <w:color w:val="0000FF"/>
            <w:sz w:val="24"/>
            <w:szCs w:val="24"/>
            <w:u w:val="single"/>
            <w:lang w:eastAsia="pt-BR"/>
          </w:rPr>
          <w:t>(Vigência encerrada)</w:t>
        </w:r>
      </w:hyperlink>
    </w:p>
    <w:p w14:paraId="1C8EB379"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I - do selo de controle de que trata o </w:t>
      </w:r>
      <w:hyperlink r:id="rId107" w:anchor="art46" w:history="1">
        <w:r w:rsidRPr="00395593">
          <w:rPr>
            <w:rFonts w:ascii="Garamond" w:eastAsia="Times New Roman" w:hAnsi="Garamond" w:cs="Arial"/>
            <w:color w:val="0000FF"/>
            <w:sz w:val="24"/>
            <w:szCs w:val="24"/>
            <w:u w:val="single"/>
            <w:lang w:eastAsia="pt-BR"/>
          </w:rPr>
          <w:t>art. 46 da Lei nº 4.502, de 30 de novembro de 1964 ; </w:t>
        </w:r>
      </w:hyperlink>
      <w:r w:rsidRPr="00395593">
        <w:rPr>
          <w:rFonts w:ascii="Garamond" w:eastAsia="Times New Roman" w:hAnsi="Garamond" w:cs="Arial"/>
          <w:color w:val="000000"/>
          <w:sz w:val="24"/>
          <w:szCs w:val="24"/>
          <w:lang w:eastAsia="pt-BR"/>
        </w:rPr>
        <w:t>             </w:t>
      </w:r>
      <w:hyperlink r:id="rId108"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09"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strike/>
          <w:color w:val="000000"/>
          <w:sz w:val="24"/>
          <w:szCs w:val="24"/>
          <w:lang w:eastAsia="pt-BR"/>
        </w:rPr>
        <w:t> </w:t>
      </w:r>
      <w:r w:rsidRPr="00395593">
        <w:rPr>
          <w:rFonts w:ascii="Garamond" w:eastAsia="Times New Roman" w:hAnsi="Garamond" w:cs="Arial"/>
          <w:color w:val="000000"/>
          <w:sz w:val="24"/>
          <w:szCs w:val="24"/>
          <w:lang w:eastAsia="pt-BR"/>
        </w:rPr>
        <w:t>       </w:t>
      </w:r>
      <w:hyperlink r:id="rId110" w:history="1">
        <w:r w:rsidRPr="00395593">
          <w:rPr>
            <w:rFonts w:ascii="Garamond" w:eastAsia="Times New Roman" w:hAnsi="Garamond" w:cs="Arial"/>
            <w:color w:val="0000FF"/>
            <w:sz w:val="24"/>
            <w:szCs w:val="24"/>
            <w:u w:val="single"/>
            <w:lang w:eastAsia="pt-BR"/>
          </w:rPr>
          <w:t>(Vigência encerrada)</w:t>
        </w:r>
      </w:hyperlink>
    </w:p>
    <w:p w14:paraId="2987F2EA"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59" w:name="art13ii"/>
      <w:bookmarkEnd w:id="59"/>
      <w:r w:rsidRPr="00395593">
        <w:rPr>
          <w:rFonts w:ascii="Garamond" w:eastAsia="Times New Roman" w:hAnsi="Garamond" w:cs="Arial"/>
          <w:strike/>
          <w:color w:val="000000"/>
          <w:sz w:val="24"/>
          <w:szCs w:val="24"/>
          <w:lang w:eastAsia="pt-BR"/>
        </w:rPr>
        <w:t>II - dos equipamentos contadores de produção de que tratam os </w:t>
      </w:r>
      <w:hyperlink r:id="rId111" w:anchor="art27" w:history="1">
        <w:r w:rsidRPr="00395593">
          <w:rPr>
            <w:rFonts w:ascii="Garamond" w:eastAsia="Times New Roman" w:hAnsi="Garamond" w:cs="Arial"/>
            <w:strike/>
            <w:color w:val="0000FF"/>
            <w:sz w:val="24"/>
            <w:szCs w:val="24"/>
            <w:u w:val="single"/>
            <w:lang w:eastAsia="pt-BR"/>
          </w:rPr>
          <w:t>arts. 27 a 30 da Lei nº 11.488, de 15 de junho de 2007, </w:t>
        </w:r>
      </w:hyperlink>
      <w:r w:rsidRPr="00395593">
        <w:rPr>
          <w:rFonts w:ascii="Garamond" w:eastAsia="Times New Roman" w:hAnsi="Garamond" w:cs="Arial"/>
          <w:strike/>
          <w:color w:val="000000"/>
          <w:sz w:val="24"/>
          <w:szCs w:val="24"/>
          <w:lang w:eastAsia="pt-BR"/>
        </w:rPr>
        <w:t>e o </w:t>
      </w:r>
      <w:hyperlink r:id="rId112" w:anchor="art58t" w:history="1">
        <w:r w:rsidRPr="00395593">
          <w:rPr>
            <w:rFonts w:ascii="Garamond" w:eastAsia="Times New Roman" w:hAnsi="Garamond" w:cs="Arial"/>
            <w:strike/>
            <w:color w:val="0000FF"/>
            <w:sz w:val="24"/>
            <w:szCs w:val="24"/>
            <w:u w:val="single"/>
            <w:lang w:eastAsia="pt-BR"/>
          </w:rPr>
          <w:t>art. 58-T da Lei nº 10.833, de 29 de dezembro de 2003.</w:t>
        </w:r>
      </w:hyperlink>
    </w:p>
    <w:p w14:paraId="5F7EB932"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60" w:name="art13ii."/>
      <w:bookmarkEnd w:id="60"/>
      <w:r w:rsidRPr="00395593">
        <w:rPr>
          <w:rFonts w:ascii="Garamond" w:eastAsia="Times New Roman" w:hAnsi="Garamond" w:cs="Arial"/>
          <w:color w:val="000000"/>
          <w:sz w:val="24"/>
          <w:szCs w:val="24"/>
          <w:lang w:eastAsia="pt-BR"/>
        </w:rPr>
        <w:t>II - dos equipamentos contadores de produção de que tratam os </w:t>
      </w:r>
      <w:hyperlink r:id="rId113" w:anchor="art27" w:history="1">
        <w:r w:rsidRPr="00395593">
          <w:rPr>
            <w:rFonts w:ascii="Garamond" w:eastAsia="Times New Roman" w:hAnsi="Garamond" w:cs="Arial"/>
            <w:color w:val="0000FF"/>
            <w:sz w:val="24"/>
            <w:szCs w:val="24"/>
            <w:u w:val="single"/>
            <w:lang w:eastAsia="pt-BR"/>
          </w:rPr>
          <w:t>arts. 27 a 30 da Lei nº 11.488, de 15 de junho de 2007, </w:t>
        </w:r>
      </w:hyperlink>
      <w:r w:rsidRPr="00395593">
        <w:rPr>
          <w:rFonts w:ascii="Garamond" w:eastAsia="Times New Roman" w:hAnsi="Garamond" w:cs="Arial"/>
          <w:color w:val="000000"/>
          <w:sz w:val="24"/>
          <w:szCs w:val="24"/>
          <w:lang w:eastAsia="pt-BR"/>
        </w:rPr>
        <w:t>e o </w:t>
      </w:r>
      <w:hyperlink r:id="rId114" w:anchor="art35" w:history="1">
        <w:r w:rsidRPr="00395593">
          <w:rPr>
            <w:rFonts w:ascii="Garamond" w:eastAsia="Times New Roman" w:hAnsi="Garamond" w:cs="Arial"/>
            <w:color w:val="0000FF"/>
            <w:sz w:val="24"/>
            <w:szCs w:val="24"/>
            <w:u w:val="single"/>
            <w:lang w:eastAsia="pt-BR"/>
          </w:rPr>
          <w:t>art. 35 da Lei nº 13.097, de 19 de janeiro de 2015. </w:t>
        </w:r>
      </w:hyperlink>
      <w:r w:rsidRPr="00395593">
        <w:rPr>
          <w:rFonts w:ascii="Garamond" w:eastAsia="Times New Roman" w:hAnsi="Garamond" w:cs="Arial"/>
          <w:color w:val="000000"/>
          <w:sz w:val="24"/>
          <w:szCs w:val="24"/>
          <w:lang w:eastAsia="pt-BR"/>
        </w:rPr>
        <w:t>            </w:t>
      </w:r>
      <w:hyperlink r:id="rId115" w:anchor="art19" w:history="1">
        <w:r w:rsidRPr="00395593">
          <w:rPr>
            <w:rFonts w:ascii="Garamond" w:eastAsia="Times New Roman" w:hAnsi="Garamond" w:cs="Arial"/>
            <w:color w:val="0000FF"/>
            <w:sz w:val="24"/>
            <w:szCs w:val="24"/>
            <w:u w:val="single"/>
            <w:lang w:eastAsia="pt-BR"/>
          </w:rPr>
          <w:t>(Redação dada pela Lei nº 13.137, de 2015) </w:t>
        </w:r>
      </w:hyperlink>
      <w:r w:rsidRPr="00395593">
        <w:rPr>
          <w:rFonts w:ascii="Garamond" w:eastAsia="Times New Roman" w:hAnsi="Garamond" w:cs="Arial"/>
          <w:color w:val="000000"/>
          <w:sz w:val="24"/>
          <w:szCs w:val="24"/>
          <w:lang w:eastAsia="pt-BR"/>
        </w:rPr>
        <w:t>    </w:t>
      </w:r>
      <w:hyperlink r:id="rId116" w:anchor="art26v" w:history="1">
        <w:r w:rsidRPr="00395593">
          <w:rPr>
            <w:rFonts w:ascii="Garamond" w:eastAsia="Times New Roman" w:hAnsi="Garamond" w:cs="Arial"/>
            <w:color w:val="0000FF"/>
            <w:sz w:val="24"/>
            <w:szCs w:val="24"/>
            <w:u w:val="single"/>
            <w:lang w:eastAsia="pt-BR"/>
          </w:rPr>
          <w:t>(Vigência)     (Produção de efeitos) </w:t>
        </w:r>
      </w:hyperlink>
      <w:r w:rsidRPr="00395593">
        <w:rPr>
          <w:rFonts w:ascii="Garamond" w:eastAsia="Times New Roman" w:hAnsi="Garamond" w:cs="Arial"/>
          <w:color w:val="000000"/>
          <w:sz w:val="24"/>
          <w:szCs w:val="24"/>
          <w:lang w:eastAsia="pt-BR"/>
        </w:rPr>
        <w:t>             </w:t>
      </w:r>
      <w:hyperlink r:id="rId117"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18"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strike/>
          <w:color w:val="000000"/>
          <w:sz w:val="24"/>
          <w:szCs w:val="24"/>
          <w:lang w:eastAsia="pt-BR"/>
        </w:rPr>
        <w:t> </w:t>
      </w:r>
      <w:r w:rsidRPr="00395593">
        <w:rPr>
          <w:rFonts w:ascii="Garamond" w:eastAsia="Times New Roman" w:hAnsi="Garamond" w:cs="Arial"/>
          <w:color w:val="000000"/>
          <w:sz w:val="24"/>
          <w:szCs w:val="24"/>
          <w:lang w:eastAsia="pt-BR"/>
        </w:rPr>
        <w:t>        </w:t>
      </w:r>
      <w:hyperlink r:id="rId119" w:history="1">
        <w:r w:rsidRPr="00395593">
          <w:rPr>
            <w:rFonts w:ascii="Garamond" w:eastAsia="Times New Roman" w:hAnsi="Garamond" w:cs="Arial"/>
            <w:color w:val="0000FF"/>
            <w:sz w:val="24"/>
            <w:szCs w:val="24"/>
            <w:u w:val="single"/>
            <w:lang w:eastAsia="pt-BR"/>
          </w:rPr>
          <w:t>(Vigência encerrada)</w:t>
        </w:r>
      </w:hyperlink>
    </w:p>
    <w:p w14:paraId="1B93AA3A"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61" w:name="art13§1"/>
      <w:bookmarkEnd w:id="61"/>
      <w:r w:rsidRPr="00395593">
        <w:rPr>
          <w:rFonts w:ascii="Garamond" w:eastAsia="Times New Roman" w:hAnsi="Garamond" w:cs="Arial"/>
          <w:color w:val="000000"/>
          <w:sz w:val="24"/>
          <w:szCs w:val="24"/>
          <w:lang w:eastAsia="pt-BR"/>
        </w:rPr>
        <w:t>§ 1º São contribuintes da taxa as pessoas jurídicas obrigadas pela Secretaria da Receita Federal do Brasil à utilização dos instrumentos de controle fiscal relacionados nos incisos I e II do caput , nos termos da legislação em vigor.              </w:t>
      </w:r>
      <w:hyperlink r:id="rId120"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21"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color w:val="000000"/>
          <w:sz w:val="24"/>
          <w:szCs w:val="24"/>
          <w:lang w:eastAsia="pt-BR"/>
        </w:rPr>
        <w:t>          </w:t>
      </w:r>
      <w:hyperlink r:id="rId122" w:history="1">
        <w:r w:rsidRPr="00395593">
          <w:rPr>
            <w:rFonts w:ascii="Garamond" w:eastAsia="Times New Roman" w:hAnsi="Garamond" w:cs="Arial"/>
            <w:color w:val="0000FF"/>
            <w:sz w:val="24"/>
            <w:szCs w:val="24"/>
            <w:u w:val="single"/>
            <w:lang w:eastAsia="pt-BR"/>
          </w:rPr>
          <w:t>(Vigência encerrada)</w:t>
        </w:r>
      </w:hyperlink>
    </w:p>
    <w:p w14:paraId="0AF63E9A"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62" w:name="art13§2"/>
      <w:bookmarkEnd w:id="62"/>
      <w:r w:rsidRPr="00395593">
        <w:rPr>
          <w:rFonts w:ascii="Garamond" w:eastAsia="Times New Roman" w:hAnsi="Garamond" w:cs="Arial"/>
          <w:color w:val="000000"/>
          <w:sz w:val="24"/>
          <w:szCs w:val="24"/>
          <w:lang w:eastAsia="pt-BR"/>
        </w:rPr>
        <w:t>§ 2º Os valores devidos pela cobrança da taxa são estabelecidos em:              </w:t>
      </w:r>
      <w:hyperlink r:id="rId123"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24"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strike/>
          <w:color w:val="000000"/>
          <w:sz w:val="24"/>
          <w:szCs w:val="24"/>
          <w:lang w:eastAsia="pt-BR"/>
        </w:rPr>
        <w:t>  </w:t>
      </w:r>
      <w:r w:rsidRPr="00395593">
        <w:rPr>
          <w:rFonts w:ascii="Garamond" w:eastAsia="Times New Roman" w:hAnsi="Garamond" w:cs="Arial"/>
          <w:color w:val="000000"/>
          <w:sz w:val="24"/>
          <w:szCs w:val="24"/>
          <w:lang w:eastAsia="pt-BR"/>
        </w:rPr>
        <w:t>      </w:t>
      </w:r>
      <w:hyperlink r:id="rId125" w:history="1">
        <w:r w:rsidRPr="00395593">
          <w:rPr>
            <w:rFonts w:ascii="Garamond" w:eastAsia="Times New Roman" w:hAnsi="Garamond" w:cs="Arial"/>
            <w:color w:val="0000FF"/>
            <w:sz w:val="24"/>
            <w:szCs w:val="24"/>
            <w:u w:val="single"/>
            <w:lang w:eastAsia="pt-BR"/>
          </w:rPr>
          <w:t>(Vigência encerrada)</w:t>
        </w:r>
      </w:hyperlink>
    </w:p>
    <w:p w14:paraId="23CC5105"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I - R$ 0,01 (um centavo de real) por selo de controle fornecido para utilização nas carteiras de cigarros;              </w:t>
      </w:r>
      <w:hyperlink r:id="rId126"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27"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strike/>
          <w:color w:val="000000"/>
          <w:sz w:val="24"/>
          <w:szCs w:val="24"/>
          <w:lang w:eastAsia="pt-BR"/>
        </w:rPr>
        <w:t> </w:t>
      </w:r>
      <w:r w:rsidRPr="00395593">
        <w:rPr>
          <w:rFonts w:ascii="Garamond" w:eastAsia="Times New Roman" w:hAnsi="Garamond" w:cs="Arial"/>
          <w:color w:val="000000"/>
          <w:sz w:val="24"/>
          <w:szCs w:val="24"/>
          <w:lang w:eastAsia="pt-BR"/>
        </w:rPr>
        <w:t>        </w:t>
      </w:r>
      <w:hyperlink r:id="rId128" w:history="1">
        <w:r w:rsidRPr="00395593">
          <w:rPr>
            <w:rFonts w:ascii="Garamond" w:eastAsia="Times New Roman" w:hAnsi="Garamond" w:cs="Arial"/>
            <w:color w:val="0000FF"/>
            <w:sz w:val="24"/>
            <w:szCs w:val="24"/>
            <w:u w:val="single"/>
            <w:lang w:eastAsia="pt-BR"/>
          </w:rPr>
          <w:t>(Vigência encerrada)</w:t>
        </w:r>
      </w:hyperlink>
    </w:p>
    <w:p w14:paraId="704CF3B2"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II - R$ 0,03 (três centavos de real) por selo de controle fornecido para utilização nas embalagens de bebidas e demais produtos;              </w:t>
      </w:r>
      <w:hyperlink r:id="rId129"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30"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color w:val="000000"/>
          <w:sz w:val="24"/>
          <w:szCs w:val="24"/>
          <w:lang w:eastAsia="pt-BR"/>
        </w:rPr>
        <w:t>           </w:t>
      </w:r>
      <w:hyperlink r:id="rId131" w:history="1">
        <w:r w:rsidRPr="00395593">
          <w:rPr>
            <w:rFonts w:ascii="Garamond" w:eastAsia="Times New Roman" w:hAnsi="Garamond" w:cs="Arial"/>
            <w:color w:val="0000FF"/>
            <w:sz w:val="24"/>
            <w:szCs w:val="24"/>
            <w:u w:val="single"/>
            <w:lang w:eastAsia="pt-BR"/>
          </w:rPr>
          <w:t>(Vigência encerrada)</w:t>
        </w:r>
      </w:hyperlink>
    </w:p>
    <w:p w14:paraId="532DED6C"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III - R$ 0,05 (cinco centavos de real) por carteira de cigarros controlada pelos equipamentos contadores de produção de que tratam os </w:t>
      </w:r>
      <w:hyperlink r:id="rId132" w:anchor="art27" w:history="1">
        <w:r w:rsidRPr="00395593">
          <w:rPr>
            <w:rFonts w:ascii="Garamond" w:eastAsia="Times New Roman" w:hAnsi="Garamond" w:cs="Arial"/>
            <w:color w:val="0000FF"/>
            <w:sz w:val="24"/>
            <w:szCs w:val="24"/>
            <w:u w:val="single"/>
            <w:lang w:eastAsia="pt-BR"/>
          </w:rPr>
          <w:t>arts. 27 a 30 da Lei nº 11.488, de 15 de junho de 2007 ; </w:t>
        </w:r>
      </w:hyperlink>
      <w:r w:rsidRPr="00395593">
        <w:rPr>
          <w:rFonts w:ascii="Garamond" w:eastAsia="Times New Roman" w:hAnsi="Garamond" w:cs="Arial"/>
          <w:color w:val="000000"/>
          <w:sz w:val="24"/>
          <w:szCs w:val="24"/>
          <w:lang w:eastAsia="pt-BR"/>
        </w:rPr>
        <w:t>                </w:t>
      </w:r>
      <w:hyperlink r:id="rId133"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34"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strike/>
          <w:color w:val="000000"/>
          <w:sz w:val="24"/>
          <w:szCs w:val="24"/>
          <w:lang w:eastAsia="pt-BR"/>
        </w:rPr>
        <w:t> </w:t>
      </w:r>
      <w:r w:rsidRPr="00395593">
        <w:rPr>
          <w:rFonts w:ascii="Garamond" w:eastAsia="Times New Roman" w:hAnsi="Garamond" w:cs="Arial"/>
          <w:color w:val="000000"/>
          <w:sz w:val="24"/>
          <w:szCs w:val="24"/>
          <w:lang w:eastAsia="pt-BR"/>
        </w:rPr>
        <w:t>         </w:t>
      </w:r>
      <w:hyperlink r:id="rId135" w:history="1">
        <w:r w:rsidRPr="00395593">
          <w:rPr>
            <w:rFonts w:ascii="Garamond" w:eastAsia="Times New Roman" w:hAnsi="Garamond" w:cs="Arial"/>
            <w:color w:val="0000FF"/>
            <w:sz w:val="24"/>
            <w:szCs w:val="24"/>
            <w:u w:val="single"/>
            <w:lang w:eastAsia="pt-BR"/>
          </w:rPr>
          <w:t>(Vigência encerrada)</w:t>
        </w:r>
      </w:hyperlink>
    </w:p>
    <w:p w14:paraId="23FA2885"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63" w:name="art13§2iv"/>
      <w:bookmarkEnd w:id="63"/>
      <w:r w:rsidRPr="00395593">
        <w:rPr>
          <w:rFonts w:ascii="Garamond" w:eastAsia="Times New Roman" w:hAnsi="Garamond" w:cs="Arial"/>
          <w:strike/>
          <w:color w:val="000000"/>
          <w:sz w:val="24"/>
          <w:szCs w:val="24"/>
          <w:lang w:eastAsia="pt-BR"/>
        </w:rPr>
        <w:t>IV - R$ 0,03 (três centavos de real) por unidade de embalagem de bebidas controladas pelos equipamentos contadores de produção de que trata o </w:t>
      </w:r>
      <w:hyperlink r:id="rId136" w:anchor="art58t" w:history="1">
        <w:r w:rsidRPr="00395593">
          <w:rPr>
            <w:rFonts w:ascii="Garamond" w:eastAsia="Times New Roman" w:hAnsi="Garamond" w:cs="Arial"/>
            <w:strike/>
            <w:color w:val="0000FF"/>
            <w:sz w:val="24"/>
            <w:szCs w:val="24"/>
            <w:u w:val="single"/>
            <w:lang w:eastAsia="pt-BR"/>
          </w:rPr>
          <w:t>art. 58-T da Lei nº 10.833, de 29 de dezembro de 2003.</w:t>
        </w:r>
      </w:hyperlink>
    </w:p>
    <w:p w14:paraId="4EF13974"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64" w:name="art13§2iv."/>
      <w:bookmarkEnd w:id="64"/>
      <w:r w:rsidRPr="00395593">
        <w:rPr>
          <w:rFonts w:ascii="Garamond" w:eastAsia="Times New Roman" w:hAnsi="Garamond" w:cs="Arial"/>
          <w:color w:val="000000"/>
          <w:sz w:val="24"/>
          <w:szCs w:val="24"/>
          <w:lang w:eastAsia="pt-BR"/>
        </w:rPr>
        <w:t>IV - R$ 0,03 (três centavos de real) por unidade de embalagem de bebidas controladas pelos equipamentos contadores de produção de que trata o </w:t>
      </w:r>
      <w:hyperlink r:id="rId137" w:anchor="art35" w:history="1">
        <w:r w:rsidRPr="00395593">
          <w:rPr>
            <w:rFonts w:ascii="Garamond" w:eastAsia="Times New Roman" w:hAnsi="Garamond" w:cs="Arial"/>
            <w:color w:val="0000FF"/>
            <w:sz w:val="24"/>
            <w:szCs w:val="24"/>
            <w:u w:val="single"/>
            <w:lang w:eastAsia="pt-BR"/>
          </w:rPr>
          <w:t>art. 35 da Lei nº 13.097, de 19 de janeiro de 2015. </w:t>
        </w:r>
      </w:hyperlink>
      <w:r w:rsidRPr="00395593">
        <w:rPr>
          <w:rFonts w:ascii="Garamond" w:eastAsia="Times New Roman" w:hAnsi="Garamond" w:cs="Arial"/>
          <w:color w:val="000000"/>
          <w:sz w:val="24"/>
          <w:szCs w:val="24"/>
          <w:lang w:eastAsia="pt-BR"/>
        </w:rPr>
        <w:t>            </w:t>
      </w:r>
      <w:hyperlink r:id="rId138" w:anchor="art19" w:history="1">
        <w:r w:rsidRPr="00395593">
          <w:rPr>
            <w:rFonts w:ascii="Garamond" w:eastAsia="Times New Roman" w:hAnsi="Garamond" w:cs="Arial"/>
            <w:color w:val="0000FF"/>
            <w:sz w:val="24"/>
            <w:szCs w:val="24"/>
            <w:u w:val="single"/>
            <w:lang w:eastAsia="pt-BR"/>
          </w:rPr>
          <w:t>(Redação dada pela Lei nº 13.137, de 2015) </w:t>
        </w:r>
      </w:hyperlink>
      <w:hyperlink r:id="rId139" w:anchor="art26v" w:history="1">
        <w:r w:rsidRPr="00395593">
          <w:rPr>
            <w:rFonts w:ascii="Garamond" w:eastAsia="Times New Roman" w:hAnsi="Garamond" w:cs="Arial"/>
            <w:color w:val="0000FF"/>
            <w:sz w:val="24"/>
            <w:szCs w:val="24"/>
            <w:u w:val="single"/>
            <w:lang w:eastAsia="pt-BR"/>
          </w:rPr>
          <w:t>(Vigência) (Produção de efeitos) </w:t>
        </w:r>
      </w:hyperlink>
      <w:r w:rsidRPr="00395593">
        <w:rPr>
          <w:rFonts w:ascii="Garamond" w:eastAsia="Times New Roman" w:hAnsi="Garamond" w:cs="Arial"/>
          <w:color w:val="000000"/>
          <w:sz w:val="24"/>
          <w:szCs w:val="24"/>
          <w:lang w:eastAsia="pt-BR"/>
        </w:rPr>
        <w:t>             </w:t>
      </w:r>
      <w:hyperlink r:id="rId140"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41"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strike/>
          <w:color w:val="000000"/>
          <w:sz w:val="24"/>
          <w:szCs w:val="24"/>
          <w:lang w:eastAsia="pt-BR"/>
        </w:rPr>
        <w:t> </w:t>
      </w:r>
      <w:r w:rsidRPr="00395593">
        <w:rPr>
          <w:rFonts w:ascii="Garamond" w:eastAsia="Times New Roman" w:hAnsi="Garamond" w:cs="Arial"/>
          <w:color w:val="000000"/>
          <w:sz w:val="24"/>
          <w:szCs w:val="24"/>
          <w:lang w:eastAsia="pt-BR"/>
        </w:rPr>
        <w:t>         </w:t>
      </w:r>
      <w:hyperlink r:id="rId142" w:history="1">
        <w:r w:rsidRPr="00395593">
          <w:rPr>
            <w:rFonts w:ascii="Garamond" w:eastAsia="Times New Roman" w:hAnsi="Garamond" w:cs="Arial"/>
            <w:color w:val="0000FF"/>
            <w:sz w:val="24"/>
            <w:szCs w:val="24"/>
            <w:u w:val="single"/>
            <w:lang w:eastAsia="pt-BR"/>
          </w:rPr>
          <w:t>(Vigência encerrada)</w:t>
        </w:r>
      </w:hyperlink>
    </w:p>
    <w:p w14:paraId="1735E764"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65" w:name="art13§3"/>
      <w:bookmarkEnd w:id="65"/>
      <w:r w:rsidRPr="00395593">
        <w:rPr>
          <w:rFonts w:ascii="Garamond" w:eastAsia="Times New Roman" w:hAnsi="Garamond" w:cs="Arial"/>
          <w:color w:val="000000"/>
          <w:sz w:val="24"/>
          <w:szCs w:val="24"/>
          <w:lang w:eastAsia="pt-BR"/>
        </w:rPr>
        <w:t>§ 3º As pessoas jurídicas referidas no § 1º poderão deduzir da Contribuição para o PIS/Pasep ou da Cofins, devidas em cada período de apuração, crédito presumido correspondente à taxa efetivamente paga no mesmo período.              </w:t>
      </w:r>
      <w:hyperlink r:id="rId143"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44"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strike/>
          <w:color w:val="000000"/>
          <w:sz w:val="24"/>
          <w:szCs w:val="24"/>
          <w:lang w:eastAsia="pt-BR"/>
        </w:rPr>
        <w:t> </w:t>
      </w:r>
      <w:r w:rsidRPr="00395593">
        <w:rPr>
          <w:rFonts w:ascii="Garamond" w:eastAsia="Times New Roman" w:hAnsi="Garamond" w:cs="Arial"/>
          <w:color w:val="000000"/>
          <w:sz w:val="24"/>
          <w:szCs w:val="24"/>
          <w:lang w:eastAsia="pt-BR"/>
        </w:rPr>
        <w:t>        </w:t>
      </w:r>
      <w:hyperlink r:id="rId145" w:history="1">
        <w:r w:rsidRPr="00395593">
          <w:rPr>
            <w:rFonts w:ascii="Garamond" w:eastAsia="Times New Roman" w:hAnsi="Garamond" w:cs="Arial"/>
            <w:color w:val="0000FF"/>
            <w:sz w:val="24"/>
            <w:szCs w:val="24"/>
            <w:u w:val="single"/>
            <w:lang w:eastAsia="pt-BR"/>
          </w:rPr>
          <w:t>(Vigência encerrada)</w:t>
        </w:r>
      </w:hyperlink>
    </w:p>
    <w:p w14:paraId="09FAAF6A"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66" w:name="art13§4"/>
      <w:bookmarkEnd w:id="66"/>
      <w:r w:rsidRPr="00395593">
        <w:rPr>
          <w:rFonts w:ascii="Garamond" w:eastAsia="Times New Roman" w:hAnsi="Garamond" w:cs="Arial"/>
          <w:strike/>
          <w:color w:val="000000"/>
          <w:sz w:val="24"/>
          <w:szCs w:val="24"/>
          <w:lang w:eastAsia="pt-BR"/>
        </w:rPr>
        <w:t>§ 4º A taxa deverá ser recolhida mensalmente pelos contribuintes a ela obrigados, mediante Documento de Arrecadação de Receitas Federais - DARF em estabelecimento bancário integrante da rede arrecadadora de receitas federais, até o 25º (vigésimo quinto) dia do mês subsequente em relação aos selos de controle fornecidos ou aos produtos controlados pelos equipamentos contadores de produção no mês anterior.</w:t>
      </w:r>
    </w:p>
    <w:p w14:paraId="71281EF1"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67" w:name="art13§4."/>
      <w:bookmarkEnd w:id="67"/>
      <w:r w:rsidRPr="00395593">
        <w:rPr>
          <w:rFonts w:ascii="Garamond" w:eastAsia="Times New Roman" w:hAnsi="Garamond" w:cs="Arial"/>
          <w:color w:val="000000"/>
          <w:sz w:val="24"/>
          <w:szCs w:val="24"/>
          <w:lang w:eastAsia="pt-BR"/>
        </w:rPr>
        <w:t>§ 4º A taxa deverá ser recolhida pelos contribuintes a ela obrigados, mediante Documento de Arrecadação de Receitas Federais - DARF em estabelecimento bancário integrante da rede arrecadadora de receitas federais:             </w:t>
      </w:r>
      <w:hyperlink r:id="rId146" w:anchor="art19" w:history="1">
        <w:r w:rsidRPr="00395593">
          <w:rPr>
            <w:rFonts w:ascii="Garamond" w:eastAsia="Times New Roman" w:hAnsi="Garamond" w:cs="Arial"/>
            <w:color w:val="0000FF"/>
            <w:sz w:val="24"/>
            <w:szCs w:val="24"/>
            <w:u w:val="single"/>
            <w:lang w:eastAsia="pt-BR"/>
          </w:rPr>
          <w:t>(Redação dada pela Lei nº 13.137, de 2015) </w:t>
        </w:r>
      </w:hyperlink>
      <w:hyperlink r:id="rId147" w:anchor="art26v" w:history="1">
        <w:r w:rsidRPr="00395593">
          <w:rPr>
            <w:rFonts w:ascii="Garamond" w:eastAsia="Times New Roman" w:hAnsi="Garamond" w:cs="Arial"/>
            <w:color w:val="0000FF"/>
            <w:sz w:val="24"/>
            <w:szCs w:val="24"/>
            <w:u w:val="single"/>
            <w:lang w:eastAsia="pt-BR"/>
          </w:rPr>
          <w:t>(Vigência)     (Produção de efeitos) </w:t>
        </w:r>
      </w:hyperlink>
      <w:r w:rsidRPr="00395593">
        <w:rPr>
          <w:rFonts w:ascii="Garamond" w:eastAsia="Times New Roman" w:hAnsi="Garamond" w:cs="Arial"/>
          <w:color w:val="000000"/>
          <w:sz w:val="24"/>
          <w:szCs w:val="24"/>
          <w:lang w:eastAsia="pt-BR"/>
        </w:rPr>
        <w:t>            </w:t>
      </w:r>
      <w:r w:rsidRPr="00395593">
        <w:rPr>
          <w:rFonts w:ascii="Garamond" w:eastAsia="Times New Roman" w:hAnsi="Garamond" w:cs="Arial"/>
          <w:strike/>
          <w:color w:val="000000"/>
          <w:sz w:val="24"/>
          <w:szCs w:val="24"/>
          <w:lang w:eastAsia="pt-BR"/>
        </w:rPr>
        <w:t> </w:t>
      </w:r>
      <w:hyperlink r:id="rId148"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49"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color w:val="000000"/>
          <w:sz w:val="24"/>
          <w:szCs w:val="24"/>
          <w:lang w:eastAsia="pt-BR"/>
        </w:rPr>
        <w:t>        </w:t>
      </w:r>
      <w:hyperlink r:id="rId150" w:history="1">
        <w:r w:rsidRPr="00395593">
          <w:rPr>
            <w:rFonts w:ascii="Garamond" w:eastAsia="Times New Roman" w:hAnsi="Garamond" w:cs="Arial"/>
            <w:color w:val="0000FF"/>
            <w:sz w:val="24"/>
            <w:szCs w:val="24"/>
            <w:u w:val="single"/>
            <w:lang w:eastAsia="pt-BR"/>
          </w:rPr>
          <w:t>(Vigência encerrada)</w:t>
        </w:r>
      </w:hyperlink>
    </w:p>
    <w:p w14:paraId="2B37EE8D"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68" w:name="art13§4i"/>
      <w:bookmarkEnd w:id="68"/>
      <w:r w:rsidRPr="00395593">
        <w:rPr>
          <w:rFonts w:ascii="Garamond" w:eastAsia="Times New Roman" w:hAnsi="Garamond" w:cs="Arial"/>
          <w:color w:val="000000"/>
          <w:sz w:val="24"/>
          <w:szCs w:val="24"/>
          <w:lang w:eastAsia="pt-BR"/>
        </w:rPr>
        <w:t>I - previamente ao recebimento dos selos de controle pela pessoa jurídica obrigada à sua utilização; ou             </w:t>
      </w:r>
      <w:hyperlink r:id="rId151" w:anchor="art19" w:history="1">
        <w:r w:rsidRPr="00395593">
          <w:rPr>
            <w:rFonts w:ascii="Garamond" w:eastAsia="Times New Roman" w:hAnsi="Garamond" w:cs="Arial"/>
            <w:color w:val="0000FF"/>
            <w:sz w:val="24"/>
            <w:szCs w:val="24"/>
            <w:u w:val="single"/>
            <w:lang w:eastAsia="pt-BR"/>
          </w:rPr>
          <w:t>(Incluído pela Lei nº 13.137, de 2015)     </w:t>
        </w:r>
      </w:hyperlink>
      <w:hyperlink r:id="rId152" w:anchor="art26v" w:history="1">
        <w:r w:rsidRPr="00395593">
          <w:rPr>
            <w:rFonts w:ascii="Garamond" w:eastAsia="Times New Roman" w:hAnsi="Garamond" w:cs="Arial"/>
            <w:color w:val="0000FF"/>
            <w:sz w:val="24"/>
            <w:szCs w:val="24"/>
            <w:u w:val="single"/>
            <w:lang w:eastAsia="pt-BR"/>
          </w:rPr>
          <w:t>(Vigência)     (Produção de efeitos) </w:t>
        </w:r>
      </w:hyperlink>
      <w:r w:rsidRPr="00395593">
        <w:rPr>
          <w:rFonts w:ascii="Garamond" w:eastAsia="Times New Roman" w:hAnsi="Garamond" w:cs="Arial"/>
          <w:color w:val="000000"/>
          <w:sz w:val="24"/>
          <w:szCs w:val="24"/>
          <w:lang w:eastAsia="pt-BR"/>
        </w:rPr>
        <w:t>             </w:t>
      </w:r>
      <w:hyperlink r:id="rId153"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54"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strike/>
          <w:color w:val="000000"/>
          <w:sz w:val="24"/>
          <w:szCs w:val="24"/>
          <w:lang w:eastAsia="pt-BR"/>
        </w:rPr>
        <w:t> </w:t>
      </w:r>
      <w:r w:rsidRPr="00395593">
        <w:rPr>
          <w:rFonts w:ascii="Garamond" w:eastAsia="Times New Roman" w:hAnsi="Garamond" w:cs="Arial"/>
          <w:color w:val="000000"/>
          <w:sz w:val="24"/>
          <w:szCs w:val="24"/>
          <w:lang w:eastAsia="pt-BR"/>
        </w:rPr>
        <w:t>       </w:t>
      </w:r>
      <w:hyperlink r:id="rId155" w:history="1">
        <w:r w:rsidRPr="00395593">
          <w:rPr>
            <w:rFonts w:ascii="Garamond" w:eastAsia="Times New Roman" w:hAnsi="Garamond" w:cs="Arial"/>
            <w:color w:val="0000FF"/>
            <w:sz w:val="24"/>
            <w:szCs w:val="24"/>
            <w:u w:val="single"/>
            <w:lang w:eastAsia="pt-BR"/>
          </w:rPr>
          <w:t>(Vigência encerrada)</w:t>
        </w:r>
      </w:hyperlink>
    </w:p>
    <w:p w14:paraId="1BC75963"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69" w:name="art13§4ii"/>
      <w:bookmarkEnd w:id="69"/>
      <w:r w:rsidRPr="00395593">
        <w:rPr>
          <w:rFonts w:ascii="Garamond" w:eastAsia="Times New Roman" w:hAnsi="Garamond" w:cs="Arial"/>
          <w:color w:val="000000"/>
          <w:sz w:val="24"/>
          <w:szCs w:val="24"/>
          <w:lang w:eastAsia="pt-BR"/>
        </w:rPr>
        <w:t>II - mensalmente, até o vigésimo quinto dia do mês, em relação aos produtos controlados pelos equipamentos contadores de produção no mês anterior.             </w:t>
      </w:r>
      <w:hyperlink r:id="rId156" w:anchor="art19" w:history="1">
        <w:r w:rsidRPr="00395593">
          <w:rPr>
            <w:rFonts w:ascii="Garamond" w:eastAsia="Times New Roman" w:hAnsi="Garamond" w:cs="Arial"/>
            <w:color w:val="0000FF"/>
            <w:sz w:val="24"/>
            <w:szCs w:val="24"/>
            <w:u w:val="single"/>
            <w:lang w:eastAsia="pt-BR"/>
          </w:rPr>
          <w:t>(Incluído pela Lei nº 13.137, de 2015)     </w:t>
        </w:r>
      </w:hyperlink>
      <w:hyperlink r:id="rId157" w:anchor="art26v" w:history="1">
        <w:r w:rsidRPr="00395593">
          <w:rPr>
            <w:rFonts w:ascii="Garamond" w:eastAsia="Times New Roman" w:hAnsi="Garamond" w:cs="Arial"/>
            <w:color w:val="0000FF"/>
            <w:sz w:val="24"/>
            <w:szCs w:val="24"/>
            <w:u w:val="single"/>
            <w:lang w:eastAsia="pt-BR"/>
          </w:rPr>
          <w:t>(Vigência)     (Produção de efeitos) </w:t>
        </w:r>
      </w:hyperlink>
      <w:r w:rsidRPr="00395593">
        <w:rPr>
          <w:rFonts w:ascii="Garamond" w:eastAsia="Times New Roman" w:hAnsi="Garamond" w:cs="Arial"/>
          <w:color w:val="000000"/>
          <w:sz w:val="24"/>
          <w:szCs w:val="24"/>
          <w:lang w:eastAsia="pt-BR"/>
        </w:rPr>
        <w:t>            </w:t>
      </w:r>
      <w:r w:rsidRPr="00395593">
        <w:rPr>
          <w:rFonts w:ascii="Garamond" w:eastAsia="Times New Roman" w:hAnsi="Garamond" w:cs="Arial"/>
          <w:strike/>
          <w:color w:val="000000"/>
          <w:sz w:val="24"/>
          <w:szCs w:val="24"/>
          <w:lang w:eastAsia="pt-BR"/>
        </w:rPr>
        <w:t> </w:t>
      </w:r>
      <w:hyperlink r:id="rId158"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59"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strike/>
          <w:color w:val="000000"/>
          <w:sz w:val="24"/>
          <w:szCs w:val="24"/>
          <w:lang w:eastAsia="pt-BR"/>
        </w:rPr>
        <w:t> </w:t>
      </w:r>
      <w:r w:rsidRPr="00395593">
        <w:rPr>
          <w:rFonts w:ascii="Garamond" w:eastAsia="Times New Roman" w:hAnsi="Garamond" w:cs="Arial"/>
          <w:color w:val="000000"/>
          <w:sz w:val="24"/>
          <w:szCs w:val="24"/>
          <w:lang w:eastAsia="pt-BR"/>
        </w:rPr>
        <w:t>         </w:t>
      </w:r>
      <w:hyperlink r:id="rId160" w:history="1">
        <w:r w:rsidRPr="00395593">
          <w:rPr>
            <w:rFonts w:ascii="Garamond" w:eastAsia="Times New Roman" w:hAnsi="Garamond" w:cs="Arial"/>
            <w:color w:val="0000FF"/>
            <w:sz w:val="24"/>
            <w:szCs w:val="24"/>
            <w:u w:val="single"/>
            <w:lang w:eastAsia="pt-BR"/>
          </w:rPr>
          <w:t>(Vigência encerrada)</w:t>
        </w:r>
      </w:hyperlink>
    </w:p>
    <w:p w14:paraId="49BCED5A"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70" w:name="art13§5"/>
      <w:bookmarkEnd w:id="70"/>
      <w:r w:rsidRPr="00395593">
        <w:rPr>
          <w:rFonts w:ascii="Garamond" w:eastAsia="Times New Roman" w:hAnsi="Garamond" w:cs="Arial"/>
          <w:color w:val="000000"/>
          <w:sz w:val="24"/>
          <w:szCs w:val="24"/>
          <w:lang w:eastAsia="pt-BR"/>
        </w:rPr>
        <w:t>§ 5º O produto da arrecadação da taxa será destinado à Casa da Moeda do Brasil, considerando a competência atribuída pelo </w:t>
      </w:r>
      <w:hyperlink r:id="rId161" w:anchor="art2" w:history="1">
        <w:r w:rsidRPr="00395593">
          <w:rPr>
            <w:rFonts w:ascii="Garamond" w:eastAsia="Times New Roman" w:hAnsi="Garamond" w:cs="Arial"/>
            <w:color w:val="0000FF"/>
            <w:sz w:val="24"/>
            <w:szCs w:val="24"/>
            <w:u w:val="single"/>
            <w:lang w:eastAsia="pt-BR"/>
          </w:rPr>
          <w:t>art. 2º da Lei nº 5.895, de 19 de junho de 1973, </w:t>
        </w:r>
      </w:hyperlink>
      <w:r w:rsidRPr="00395593">
        <w:rPr>
          <w:rFonts w:ascii="Garamond" w:eastAsia="Times New Roman" w:hAnsi="Garamond" w:cs="Arial"/>
          <w:color w:val="000000"/>
          <w:sz w:val="24"/>
          <w:szCs w:val="24"/>
          <w:lang w:eastAsia="pt-BR"/>
        </w:rPr>
        <w:t>e pelo </w:t>
      </w:r>
      <w:hyperlink r:id="rId162" w:anchor="art28%C2%A72" w:history="1">
        <w:r w:rsidRPr="00395593">
          <w:rPr>
            <w:rFonts w:ascii="Garamond" w:eastAsia="Times New Roman" w:hAnsi="Garamond" w:cs="Arial"/>
            <w:color w:val="0000FF"/>
            <w:sz w:val="24"/>
            <w:szCs w:val="24"/>
            <w:u w:val="single"/>
            <w:lang w:eastAsia="pt-BR"/>
          </w:rPr>
          <w:t>§ 2º do art. 28 da Lei nº 11.488, de 15 de junho de 2007. </w:t>
        </w:r>
      </w:hyperlink>
      <w:r w:rsidRPr="00395593">
        <w:rPr>
          <w:rFonts w:ascii="Garamond" w:eastAsia="Times New Roman" w:hAnsi="Garamond" w:cs="Arial"/>
          <w:color w:val="000000"/>
          <w:sz w:val="24"/>
          <w:szCs w:val="24"/>
          <w:lang w:eastAsia="pt-BR"/>
        </w:rPr>
        <w:t>            </w:t>
      </w:r>
      <w:r w:rsidRPr="00395593">
        <w:rPr>
          <w:rFonts w:ascii="Garamond" w:eastAsia="Times New Roman" w:hAnsi="Garamond" w:cs="Arial"/>
          <w:strike/>
          <w:color w:val="000000"/>
          <w:sz w:val="24"/>
          <w:szCs w:val="24"/>
          <w:lang w:eastAsia="pt-BR"/>
        </w:rPr>
        <w:t> </w:t>
      </w:r>
      <w:hyperlink r:id="rId163"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64"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strike/>
          <w:color w:val="000000"/>
          <w:sz w:val="24"/>
          <w:szCs w:val="24"/>
          <w:lang w:eastAsia="pt-BR"/>
        </w:rPr>
        <w:t> </w:t>
      </w:r>
      <w:r w:rsidRPr="00395593">
        <w:rPr>
          <w:rFonts w:ascii="Garamond" w:eastAsia="Times New Roman" w:hAnsi="Garamond" w:cs="Arial"/>
          <w:color w:val="000000"/>
          <w:sz w:val="24"/>
          <w:szCs w:val="24"/>
          <w:lang w:eastAsia="pt-BR"/>
        </w:rPr>
        <w:t>          </w:t>
      </w:r>
      <w:hyperlink r:id="rId165" w:history="1">
        <w:r w:rsidRPr="00395593">
          <w:rPr>
            <w:rFonts w:ascii="Garamond" w:eastAsia="Times New Roman" w:hAnsi="Garamond" w:cs="Arial"/>
            <w:color w:val="0000FF"/>
            <w:sz w:val="24"/>
            <w:szCs w:val="24"/>
            <w:u w:val="single"/>
            <w:lang w:eastAsia="pt-BR"/>
          </w:rPr>
          <w:t>(Vigência encerrada)</w:t>
        </w:r>
      </w:hyperlink>
    </w:p>
    <w:p w14:paraId="6FEA6CFC" w14:textId="77777777" w:rsidR="001C76F0" w:rsidRPr="00395593" w:rsidRDefault="001C76F0" w:rsidP="001C76F0">
      <w:pPr>
        <w:spacing w:after="0" w:line="240" w:lineRule="auto"/>
        <w:ind w:firstLine="525"/>
        <w:jc w:val="both"/>
        <w:rPr>
          <w:rFonts w:ascii="Garamond" w:eastAsia="Times New Roman" w:hAnsi="Garamond" w:cs="Arial"/>
          <w:color w:val="000000"/>
          <w:sz w:val="24"/>
          <w:szCs w:val="24"/>
          <w:lang w:eastAsia="pt-BR"/>
        </w:rPr>
      </w:pPr>
      <w:bookmarkStart w:id="71" w:name="art13§6"/>
      <w:bookmarkEnd w:id="71"/>
      <w:r w:rsidRPr="00395593">
        <w:rPr>
          <w:rFonts w:ascii="Garamond" w:eastAsia="Times New Roman" w:hAnsi="Garamond" w:cs="Arial"/>
          <w:strike/>
          <w:color w:val="000000"/>
          <w:sz w:val="24"/>
          <w:szCs w:val="24"/>
          <w:lang w:eastAsia="pt-BR"/>
        </w:rPr>
        <w:t>§ 6º O não recolhimento dos valores devidos da taxa por 3 (três) meses ou mais, consecutivos ou alternados, no período de 12 (doze) meses, implica:</w:t>
      </w:r>
    </w:p>
    <w:p w14:paraId="0F63F0D7" w14:textId="77777777" w:rsidR="001C76F0" w:rsidRPr="00395593" w:rsidRDefault="001C76F0" w:rsidP="001C76F0">
      <w:pPr>
        <w:spacing w:after="0" w:line="240" w:lineRule="auto"/>
        <w:ind w:firstLine="525"/>
        <w:jc w:val="both"/>
        <w:rPr>
          <w:rFonts w:ascii="Garamond" w:eastAsia="Times New Roman" w:hAnsi="Garamond" w:cs="Arial"/>
          <w:color w:val="000000"/>
          <w:sz w:val="24"/>
          <w:szCs w:val="24"/>
          <w:lang w:eastAsia="pt-BR"/>
        </w:rPr>
      </w:pPr>
      <w:bookmarkStart w:id="72" w:name="art13§6i"/>
      <w:bookmarkEnd w:id="72"/>
      <w:r w:rsidRPr="00395593">
        <w:rPr>
          <w:rFonts w:ascii="Garamond" w:eastAsia="Times New Roman" w:hAnsi="Garamond" w:cs="Arial"/>
          <w:strike/>
          <w:color w:val="000000"/>
          <w:sz w:val="24"/>
          <w:szCs w:val="24"/>
          <w:lang w:eastAsia="pt-BR"/>
        </w:rPr>
        <w:t>I - suspensão do fornecimento dos selos de controle ao contribuinte devedor;</w:t>
      </w:r>
    </w:p>
    <w:p w14:paraId="081B3429" w14:textId="77777777" w:rsidR="001C76F0" w:rsidRPr="00395593" w:rsidRDefault="001C76F0" w:rsidP="001C76F0">
      <w:pPr>
        <w:spacing w:after="0" w:line="240" w:lineRule="auto"/>
        <w:ind w:firstLine="525"/>
        <w:jc w:val="both"/>
        <w:rPr>
          <w:rFonts w:ascii="Garamond" w:eastAsia="Times New Roman" w:hAnsi="Garamond" w:cs="Arial"/>
          <w:color w:val="000000"/>
          <w:sz w:val="24"/>
          <w:szCs w:val="24"/>
          <w:lang w:eastAsia="pt-BR"/>
        </w:rPr>
      </w:pPr>
      <w:bookmarkStart w:id="73" w:name="art13§6ii"/>
      <w:bookmarkEnd w:id="73"/>
      <w:r w:rsidRPr="00395593">
        <w:rPr>
          <w:rFonts w:ascii="Garamond" w:eastAsia="Times New Roman" w:hAnsi="Garamond" w:cs="Arial"/>
          <w:strike/>
          <w:color w:val="000000"/>
          <w:sz w:val="24"/>
          <w:szCs w:val="24"/>
          <w:lang w:eastAsia="pt-BR"/>
        </w:rPr>
        <w:t>II - interrupção pela Casa da Moeda do Brasil da manutenção preventiva e corretiva dos equipamentos contadores de produção, caracterizando prática prejudicial ao seu normal funcionamento, sem prejuízo da aplicação da penalidade de que trata o </w:t>
      </w:r>
      <w:hyperlink r:id="rId166" w:anchor="art30" w:history="1">
        <w:r w:rsidRPr="00395593">
          <w:rPr>
            <w:rFonts w:ascii="Garamond" w:eastAsia="Times New Roman" w:hAnsi="Garamond" w:cs="Arial"/>
            <w:strike/>
            <w:color w:val="0000FF"/>
            <w:sz w:val="24"/>
            <w:szCs w:val="24"/>
            <w:u w:val="single"/>
            <w:lang w:eastAsia="pt-BR"/>
          </w:rPr>
          <w:t>art. 30 da Lei no 11.488, de 15 de junho de 2007.</w:t>
        </w:r>
      </w:hyperlink>
    </w:p>
    <w:p w14:paraId="16ACCA62"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74" w:name="art13§6."/>
      <w:bookmarkEnd w:id="74"/>
      <w:r w:rsidRPr="00395593">
        <w:rPr>
          <w:rFonts w:ascii="Garamond" w:eastAsia="Times New Roman" w:hAnsi="Garamond" w:cs="Arial"/>
          <w:color w:val="000000"/>
          <w:sz w:val="24"/>
          <w:szCs w:val="24"/>
          <w:lang w:eastAsia="pt-BR"/>
        </w:rPr>
        <w:t>§ 6º O fornecimento do selo de controle à pessoa jurídica obrigada à sua utilização fica condicionado à comprovação do recolhimento de que trata o inciso I do § 4º , sem prejuízo de outras exigências estabelecidas na legislação vigente.         </w:t>
      </w:r>
      <w:hyperlink r:id="rId167" w:anchor="art19" w:history="1">
        <w:r w:rsidRPr="00395593">
          <w:rPr>
            <w:rFonts w:ascii="Garamond" w:eastAsia="Times New Roman" w:hAnsi="Garamond" w:cs="Arial"/>
            <w:color w:val="0000FF"/>
            <w:sz w:val="24"/>
            <w:szCs w:val="24"/>
            <w:u w:val="single"/>
            <w:lang w:eastAsia="pt-BR"/>
          </w:rPr>
          <w:t>(Redação dada pela Lei nº 13.137, de 2015) </w:t>
        </w:r>
      </w:hyperlink>
      <w:r w:rsidRPr="00395593">
        <w:rPr>
          <w:rFonts w:ascii="Garamond" w:eastAsia="Times New Roman" w:hAnsi="Garamond" w:cs="Arial"/>
          <w:color w:val="000000"/>
          <w:sz w:val="24"/>
          <w:szCs w:val="24"/>
          <w:lang w:eastAsia="pt-BR"/>
        </w:rPr>
        <w:t>    </w:t>
      </w:r>
      <w:hyperlink r:id="rId168" w:anchor="art26v" w:history="1">
        <w:r w:rsidRPr="00395593">
          <w:rPr>
            <w:rFonts w:ascii="Garamond" w:eastAsia="Times New Roman" w:hAnsi="Garamond" w:cs="Arial"/>
            <w:color w:val="0000FF"/>
            <w:sz w:val="24"/>
            <w:szCs w:val="24"/>
            <w:u w:val="single"/>
            <w:lang w:eastAsia="pt-BR"/>
          </w:rPr>
          <w:t>(Vigência)     (Produção de efeitos) </w:t>
        </w:r>
      </w:hyperlink>
      <w:r w:rsidRPr="00395593">
        <w:rPr>
          <w:rFonts w:ascii="Garamond" w:eastAsia="Times New Roman" w:hAnsi="Garamond" w:cs="Arial"/>
          <w:color w:val="000000"/>
          <w:sz w:val="24"/>
          <w:szCs w:val="24"/>
          <w:lang w:eastAsia="pt-BR"/>
        </w:rPr>
        <w:t>                </w:t>
      </w:r>
      <w:r w:rsidRPr="00395593">
        <w:rPr>
          <w:rFonts w:ascii="Garamond" w:eastAsia="Times New Roman" w:hAnsi="Garamond" w:cs="Arial"/>
          <w:strike/>
          <w:color w:val="000000"/>
          <w:sz w:val="24"/>
          <w:szCs w:val="24"/>
          <w:lang w:eastAsia="pt-BR"/>
        </w:rPr>
        <w:t> </w:t>
      </w:r>
      <w:hyperlink r:id="rId169"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70"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color w:val="000000"/>
          <w:sz w:val="24"/>
          <w:szCs w:val="24"/>
          <w:lang w:eastAsia="pt-BR"/>
        </w:rPr>
        <w:t> </w:t>
      </w:r>
      <w:hyperlink r:id="rId171" w:history="1">
        <w:r w:rsidRPr="00395593">
          <w:rPr>
            <w:rFonts w:ascii="Garamond" w:eastAsia="Times New Roman" w:hAnsi="Garamond" w:cs="Arial"/>
            <w:color w:val="0000FF"/>
            <w:sz w:val="24"/>
            <w:szCs w:val="24"/>
            <w:u w:val="single"/>
            <w:lang w:eastAsia="pt-BR"/>
          </w:rPr>
          <w:t>(Vigência encerrada)</w:t>
        </w:r>
      </w:hyperlink>
    </w:p>
    <w:p w14:paraId="7DDCE1FF"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75" w:name="art13§6i."/>
      <w:bookmarkEnd w:id="75"/>
      <w:r w:rsidRPr="00395593">
        <w:rPr>
          <w:rFonts w:ascii="Garamond" w:eastAsia="Times New Roman" w:hAnsi="Garamond" w:cs="Arial"/>
          <w:color w:val="000000"/>
          <w:sz w:val="24"/>
          <w:szCs w:val="24"/>
          <w:lang w:eastAsia="pt-BR"/>
        </w:rPr>
        <w:t>I - (Revogado);      </w:t>
      </w:r>
      <w:hyperlink r:id="rId172" w:anchor="art19" w:history="1">
        <w:r w:rsidRPr="00395593">
          <w:rPr>
            <w:rFonts w:ascii="Garamond" w:eastAsia="Times New Roman" w:hAnsi="Garamond" w:cs="Arial"/>
            <w:color w:val="0000FF"/>
            <w:sz w:val="24"/>
            <w:szCs w:val="24"/>
            <w:u w:val="single"/>
            <w:lang w:eastAsia="pt-BR"/>
          </w:rPr>
          <w:t>(Redação dada pela Lei nº 13.137, de 2015)     </w:t>
        </w:r>
      </w:hyperlink>
      <w:hyperlink r:id="rId173" w:anchor="art26v" w:history="1">
        <w:r w:rsidRPr="00395593">
          <w:rPr>
            <w:rFonts w:ascii="Garamond" w:eastAsia="Times New Roman" w:hAnsi="Garamond" w:cs="Arial"/>
            <w:color w:val="0000FF"/>
            <w:sz w:val="24"/>
            <w:szCs w:val="24"/>
            <w:u w:val="single"/>
            <w:lang w:eastAsia="pt-BR"/>
          </w:rPr>
          <w:t>(Vigência)     (Produção de efeitos) </w:t>
        </w:r>
      </w:hyperlink>
      <w:r w:rsidRPr="00395593">
        <w:rPr>
          <w:rFonts w:ascii="Garamond" w:eastAsia="Times New Roman" w:hAnsi="Garamond" w:cs="Arial"/>
          <w:color w:val="000000"/>
          <w:sz w:val="24"/>
          <w:szCs w:val="24"/>
          <w:lang w:eastAsia="pt-BR"/>
        </w:rPr>
        <w:t>       </w:t>
      </w:r>
      <w:hyperlink r:id="rId174"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75"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color w:val="000000"/>
          <w:sz w:val="24"/>
          <w:szCs w:val="24"/>
          <w:lang w:eastAsia="pt-BR"/>
        </w:rPr>
        <w:t>        </w:t>
      </w:r>
      <w:hyperlink r:id="rId176" w:history="1">
        <w:r w:rsidRPr="00395593">
          <w:rPr>
            <w:rFonts w:ascii="Garamond" w:eastAsia="Times New Roman" w:hAnsi="Garamond" w:cs="Arial"/>
            <w:color w:val="0000FF"/>
            <w:sz w:val="24"/>
            <w:szCs w:val="24"/>
            <w:u w:val="single"/>
            <w:lang w:eastAsia="pt-BR"/>
          </w:rPr>
          <w:t>(Vigência encerrada)</w:t>
        </w:r>
      </w:hyperlink>
    </w:p>
    <w:p w14:paraId="1DD6F005"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76" w:name="art13§6ii."/>
      <w:bookmarkEnd w:id="76"/>
      <w:r w:rsidRPr="00395593">
        <w:rPr>
          <w:rFonts w:ascii="Garamond" w:eastAsia="Times New Roman" w:hAnsi="Garamond" w:cs="Arial"/>
          <w:color w:val="000000"/>
          <w:sz w:val="24"/>
          <w:szCs w:val="24"/>
          <w:lang w:eastAsia="pt-BR"/>
        </w:rPr>
        <w:t>II - (Revogado).      </w:t>
      </w:r>
      <w:hyperlink r:id="rId177" w:anchor="art19" w:history="1">
        <w:r w:rsidRPr="00395593">
          <w:rPr>
            <w:rFonts w:ascii="Garamond" w:eastAsia="Times New Roman" w:hAnsi="Garamond" w:cs="Arial"/>
            <w:color w:val="0000FF"/>
            <w:sz w:val="24"/>
            <w:szCs w:val="24"/>
            <w:u w:val="single"/>
            <w:lang w:eastAsia="pt-BR"/>
          </w:rPr>
          <w:t>(Redação dada pela Lei nº 13.137, de 2015) </w:t>
        </w:r>
      </w:hyperlink>
      <w:r w:rsidRPr="00395593">
        <w:rPr>
          <w:rFonts w:ascii="Garamond" w:eastAsia="Times New Roman" w:hAnsi="Garamond" w:cs="Arial"/>
          <w:color w:val="000000"/>
          <w:sz w:val="24"/>
          <w:szCs w:val="24"/>
          <w:lang w:eastAsia="pt-BR"/>
        </w:rPr>
        <w:t>    </w:t>
      </w:r>
      <w:hyperlink r:id="rId178" w:anchor="art26v" w:history="1">
        <w:r w:rsidRPr="00395593">
          <w:rPr>
            <w:rFonts w:ascii="Garamond" w:eastAsia="Times New Roman" w:hAnsi="Garamond" w:cs="Arial"/>
            <w:color w:val="0000FF"/>
            <w:sz w:val="24"/>
            <w:szCs w:val="24"/>
            <w:u w:val="single"/>
            <w:lang w:eastAsia="pt-BR"/>
          </w:rPr>
          <w:t>(Vigência)     (Produção de efeitos) </w:t>
        </w:r>
      </w:hyperlink>
      <w:r w:rsidRPr="00395593">
        <w:rPr>
          <w:rFonts w:ascii="Garamond" w:eastAsia="Times New Roman" w:hAnsi="Garamond" w:cs="Arial"/>
          <w:color w:val="000000"/>
          <w:sz w:val="24"/>
          <w:szCs w:val="24"/>
          <w:lang w:eastAsia="pt-BR"/>
        </w:rPr>
        <w:t>         </w:t>
      </w:r>
      <w:hyperlink r:id="rId179"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80"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color w:val="000000"/>
          <w:sz w:val="24"/>
          <w:szCs w:val="24"/>
          <w:lang w:eastAsia="pt-BR"/>
        </w:rPr>
        <w:t>        </w:t>
      </w:r>
      <w:hyperlink r:id="rId181" w:history="1">
        <w:r w:rsidRPr="00395593">
          <w:rPr>
            <w:rFonts w:ascii="Garamond" w:eastAsia="Times New Roman" w:hAnsi="Garamond" w:cs="Arial"/>
            <w:color w:val="0000FF"/>
            <w:sz w:val="24"/>
            <w:szCs w:val="24"/>
            <w:u w:val="single"/>
            <w:lang w:eastAsia="pt-BR"/>
          </w:rPr>
          <w:t>(Vigência encerrada)</w:t>
        </w:r>
      </w:hyperlink>
    </w:p>
    <w:p w14:paraId="59C2B75F"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77" w:name="art13§7"/>
      <w:bookmarkEnd w:id="77"/>
      <w:r w:rsidRPr="00395593">
        <w:rPr>
          <w:rFonts w:ascii="Garamond" w:eastAsia="Times New Roman" w:hAnsi="Garamond" w:cs="Arial"/>
          <w:strike/>
          <w:color w:val="000000"/>
          <w:sz w:val="24"/>
          <w:szCs w:val="24"/>
          <w:lang w:eastAsia="pt-BR"/>
        </w:rPr>
        <w:t>§ 7º A Secretaria da Receita Federal do Brasil poderá expedir normas complementares para a aplicação do disposto neste artigo.</w:t>
      </w:r>
    </w:p>
    <w:p w14:paraId="1E01A343"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78" w:name="art13§7."/>
      <w:bookmarkEnd w:id="78"/>
      <w:r w:rsidRPr="00395593">
        <w:rPr>
          <w:rFonts w:ascii="Garamond" w:eastAsia="Times New Roman" w:hAnsi="Garamond" w:cs="Arial"/>
          <w:color w:val="000000"/>
          <w:sz w:val="24"/>
          <w:szCs w:val="24"/>
          <w:lang w:eastAsia="pt-BR"/>
        </w:rPr>
        <w:t>§ 7º A não realização do recolhimento de que trata o inciso II do § 4º por três meses ou mais, consecutivos ou alternados, no período de doze meses, implica interrupção pela Casa da Moeda do Brasil da manutenção preventiva e corretiva dos equipamentos contadores de produção, caracterizando prática prejudicial ao seu normal funcionamento, sem prejuízo da aplicação da penalidade de que trata o </w:t>
      </w:r>
      <w:hyperlink r:id="rId182" w:anchor="art30" w:history="1">
        <w:r w:rsidRPr="00395593">
          <w:rPr>
            <w:rFonts w:ascii="Garamond" w:eastAsia="Times New Roman" w:hAnsi="Garamond" w:cs="Arial"/>
            <w:color w:val="0000FF"/>
            <w:sz w:val="24"/>
            <w:szCs w:val="24"/>
            <w:u w:val="single"/>
            <w:lang w:eastAsia="pt-BR"/>
          </w:rPr>
          <w:t>art. 30 da Lei nº 11.488, de 15 de junho de 2007</w:t>
        </w:r>
      </w:hyperlink>
      <w:r w:rsidRPr="00395593">
        <w:rPr>
          <w:rFonts w:ascii="Garamond" w:eastAsia="Times New Roman" w:hAnsi="Garamond" w:cs="Arial"/>
          <w:color w:val="000000"/>
          <w:sz w:val="24"/>
          <w:szCs w:val="24"/>
          <w:lang w:eastAsia="pt-BR"/>
        </w:rPr>
        <w:t>.             </w:t>
      </w:r>
      <w:hyperlink r:id="rId183" w:anchor="art19" w:history="1">
        <w:r w:rsidRPr="00395593">
          <w:rPr>
            <w:rFonts w:ascii="Garamond" w:eastAsia="Times New Roman" w:hAnsi="Garamond" w:cs="Arial"/>
            <w:color w:val="0000FF"/>
            <w:sz w:val="24"/>
            <w:szCs w:val="24"/>
            <w:u w:val="single"/>
            <w:lang w:eastAsia="pt-BR"/>
          </w:rPr>
          <w:t>(Redação dada pela Lei nº 13.137, de 2015) </w:t>
        </w:r>
      </w:hyperlink>
      <w:hyperlink r:id="rId184" w:anchor="art26v" w:history="1">
        <w:r w:rsidRPr="00395593">
          <w:rPr>
            <w:rFonts w:ascii="Garamond" w:eastAsia="Times New Roman" w:hAnsi="Garamond" w:cs="Arial"/>
            <w:color w:val="0000FF"/>
            <w:sz w:val="24"/>
            <w:szCs w:val="24"/>
            <w:u w:val="single"/>
            <w:lang w:eastAsia="pt-BR"/>
          </w:rPr>
          <w:t>(Vigência) (Produção de efeitos) </w:t>
        </w:r>
      </w:hyperlink>
      <w:r w:rsidRPr="00395593">
        <w:rPr>
          <w:rFonts w:ascii="Garamond" w:eastAsia="Times New Roman" w:hAnsi="Garamond" w:cs="Arial"/>
          <w:color w:val="000000"/>
          <w:sz w:val="24"/>
          <w:szCs w:val="24"/>
          <w:lang w:eastAsia="pt-BR"/>
        </w:rPr>
        <w:t>           </w:t>
      </w:r>
      <w:hyperlink r:id="rId185"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86"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color w:val="000000"/>
          <w:sz w:val="24"/>
          <w:szCs w:val="24"/>
          <w:lang w:eastAsia="pt-BR"/>
        </w:rPr>
        <w:t>  </w:t>
      </w:r>
      <w:hyperlink r:id="rId187" w:history="1">
        <w:r w:rsidRPr="00395593">
          <w:rPr>
            <w:rFonts w:ascii="Garamond" w:eastAsia="Times New Roman" w:hAnsi="Garamond" w:cs="Arial"/>
            <w:color w:val="0000FF"/>
            <w:sz w:val="24"/>
            <w:szCs w:val="24"/>
            <w:u w:val="single"/>
            <w:lang w:eastAsia="pt-BR"/>
          </w:rPr>
          <w:t>(Vigência encerrada)</w:t>
        </w:r>
      </w:hyperlink>
    </w:p>
    <w:p w14:paraId="3FE0FC75"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79" w:name="art13§8"/>
      <w:bookmarkEnd w:id="79"/>
      <w:r w:rsidRPr="00395593">
        <w:rPr>
          <w:rFonts w:ascii="Garamond" w:eastAsia="Times New Roman" w:hAnsi="Garamond" w:cs="Arial"/>
          <w:color w:val="000000"/>
          <w:sz w:val="24"/>
          <w:szCs w:val="24"/>
          <w:lang w:eastAsia="pt-BR"/>
        </w:rPr>
        <w:t>§ 8º A Secretaria da Receita Federal do Brasil poderá expedir normas complementares para a aplicação do disposto neste artigo.             </w:t>
      </w:r>
      <w:hyperlink r:id="rId188" w:anchor="art19" w:history="1">
        <w:r w:rsidRPr="00395593">
          <w:rPr>
            <w:rFonts w:ascii="Garamond" w:eastAsia="Times New Roman" w:hAnsi="Garamond" w:cs="Arial"/>
            <w:color w:val="0000FF"/>
            <w:sz w:val="24"/>
            <w:szCs w:val="24"/>
            <w:u w:val="single"/>
            <w:lang w:eastAsia="pt-BR"/>
          </w:rPr>
          <w:t>(Incluído pela Lei nº 13.137, de 2015) </w:t>
        </w:r>
      </w:hyperlink>
      <w:r w:rsidRPr="00395593">
        <w:rPr>
          <w:rFonts w:ascii="Garamond" w:eastAsia="Times New Roman" w:hAnsi="Garamond" w:cs="Arial"/>
          <w:color w:val="000000"/>
          <w:sz w:val="24"/>
          <w:szCs w:val="24"/>
          <w:lang w:eastAsia="pt-BR"/>
        </w:rPr>
        <w:t>        </w:t>
      </w:r>
      <w:hyperlink r:id="rId189" w:anchor="art26v" w:history="1">
        <w:r w:rsidRPr="00395593">
          <w:rPr>
            <w:rFonts w:ascii="Garamond" w:eastAsia="Times New Roman" w:hAnsi="Garamond" w:cs="Arial"/>
            <w:color w:val="0000FF"/>
            <w:sz w:val="24"/>
            <w:szCs w:val="24"/>
            <w:u w:val="single"/>
            <w:lang w:eastAsia="pt-BR"/>
          </w:rPr>
          <w:t>(Vigência)         (Produção de efeitos) </w:t>
        </w:r>
      </w:hyperlink>
      <w:r w:rsidRPr="00395593">
        <w:rPr>
          <w:rFonts w:ascii="Garamond" w:eastAsia="Times New Roman" w:hAnsi="Garamond" w:cs="Arial"/>
          <w:color w:val="000000"/>
          <w:sz w:val="24"/>
          <w:szCs w:val="24"/>
          <w:lang w:eastAsia="pt-BR"/>
        </w:rPr>
        <w:t>                 </w:t>
      </w:r>
      <w:hyperlink r:id="rId190" w:anchor="art7" w:history="1">
        <w:r w:rsidRPr="00395593">
          <w:rPr>
            <w:rFonts w:ascii="Garamond" w:eastAsia="Times New Roman" w:hAnsi="Garamond" w:cs="Arial"/>
            <w:strike/>
            <w:color w:val="0000FF"/>
            <w:sz w:val="24"/>
            <w:szCs w:val="24"/>
            <w:u w:val="single"/>
            <w:lang w:eastAsia="pt-BR"/>
          </w:rPr>
          <w:t>(Revogado pela Medida Provisória nº 902, de 2019)</w:t>
        </w:r>
      </w:hyperlink>
      <w:r w:rsidRPr="00395593">
        <w:rPr>
          <w:rFonts w:ascii="Garamond" w:eastAsia="Times New Roman" w:hAnsi="Garamond" w:cs="Arial"/>
          <w:strike/>
          <w:color w:val="000000"/>
          <w:sz w:val="24"/>
          <w:szCs w:val="24"/>
          <w:lang w:eastAsia="pt-BR"/>
        </w:rPr>
        <w:t>      </w:t>
      </w:r>
      <w:hyperlink r:id="rId191" w:anchor="art8" w:history="1">
        <w:r w:rsidRPr="00395593">
          <w:rPr>
            <w:rFonts w:ascii="Garamond" w:eastAsia="Times New Roman" w:hAnsi="Garamond" w:cs="Arial"/>
            <w:strike/>
            <w:color w:val="0000FF"/>
            <w:sz w:val="24"/>
            <w:szCs w:val="24"/>
            <w:u w:val="single"/>
            <w:lang w:eastAsia="pt-BR"/>
          </w:rPr>
          <w:t>(Produção de efeitos)</w:t>
        </w:r>
      </w:hyperlink>
      <w:r w:rsidRPr="00395593">
        <w:rPr>
          <w:rFonts w:ascii="Garamond" w:eastAsia="Times New Roman" w:hAnsi="Garamond" w:cs="Arial"/>
          <w:strike/>
          <w:color w:val="000000"/>
          <w:sz w:val="24"/>
          <w:szCs w:val="24"/>
          <w:lang w:eastAsia="pt-BR"/>
        </w:rPr>
        <w:t> </w:t>
      </w:r>
      <w:r w:rsidRPr="00395593">
        <w:rPr>
          <w:rFonts w:ascii="Garamond" w:eastAsia="Times New Roman" w:hAnsi="Garamond" w:cs="Arial"/>
          <w:color w:val="000000"/>
          <w:sz w:val="24"/>
          <w:szCs w:val="24"/>
          <w:lang w:eastAsia="pt-BR"/>
        </w:rPr>
        <w:t>         </w:t>
      </w:r>
      <w:hyperlink r:id="rId192" w:history="1">
        <w:r w:rsidRPr="00395593">
          <w:rPr>
            <w:rFonts w:ascii="Garamond" w:eastAsia="Times New Roman" w:hAnsi="Garamond" w:cs="Arial"/>
            <w:color w:val="0000FF"/>
            <w:sz w:val="24"/>
            <w:szCs w:val="24"/>
            <w:u w:val="single"/>
            <w:lang w:eastAsia="pt-BR"/>
          </w:rPr>
          <w:t>(Vigência encerrada)</w:t>
        </w:r>
      </w:hyperlink>
    </w:p>
    <w:p w14:paraId="3541FA68"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14. O inciso XIII do art. 28 da </w:t>
      </w:r>
      <w:hyperlink r:id="rId193" w:history="1">
        <w:r w:rsidRPr="00395593">
          <w:rPr>
            <w:rFonts w:ascii="Garamond" w:eastAsia="Times New Roman" w:hAnsi="Garamond" w:cs="Arial"/>
            <w:color w:val="0000FF"/>
            <w:sz w:val="24"/>
            <w:szCs w:val="24"/>
            <w:u w:val="single"/>
            <w:lang w:eastAsia="pt-BR"/>
          </w:rPr>
          <w:t>Lei nº 10.865, de 30 de abril de 2004, </w:t>
        </w:r>
      </w:hyperlink>
      <w:r w:rsidRPr="00395593">
        <w:rPr>
          <w:rFonts w:ascii="Garamond" w:eastAsia="Times New Roman" w:hAnsi="Garamond" w:cs="Arial"/>
          <w:color w:val="000000"/>
          <w:sz w:val="24"/>
          <w:szCs w:val="24"/>
          <w:lang w:eastAsia="pt-BR"/>
        </w:rPr>
        <w:t>passa a vigorar com a seguinte redação:</w:t>
      </w:r>
    </w:p>
    <w:p w14:paraId="3F3042D2" w14:textId="77777777" w:rsidR="001C76F0" w:rsidRPr="00395593" w:rsidRDefault="001C76F0" w:rsidP="001C76F0">
      <w:pPr>
        <w:spacing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28. ........................................................................</w:t>
      </w:r>
    </w:p>
    <w:p w14:paraId="3980405D"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w:t>
      </w:r>
    </w:p>
    <w:p w14:paraId="083213F8"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194" w:anchor="art28xiii." w:history="1">
        <w:r w:rsidR="001C76F0" w:rsidRPr="00395593">
          <w:rPr>
            <w:rFonts w:ascii="Garamond" w:eastAsia="Times New Roman" w:hAnsi="Garamond" w:cs="Arial"/>
            <w:color w:val="0000FF"/>
            <w:sz w:val="24"/>
            <w:szCs w:val="24"/>
            <w:u w:val="single"/>
            <w:lang w:eastAsia="pt-BR"/>
          </w:rPr>
          <w:t>XIII - </w:t>
        </w:r>
      </w:hyperlink>
      <w:r w:rsidR="001C76F0" w:rsidRPr="00395593">
        <w:rPr>
          <w:rFonts w:ascii="Garamond" w:eastAsia="Times New Roman" w:hAnsi="Garamond" w:cs="Arial"/>
          <w:color w:val="000000"/>
          <w:sz w:val="24"/>
          <w:szCs w:val="24"/>
          <w:lang w:eastAsia="pt-BR"/>
        </w:rPr>
        <w:t>serviços ou equipamentos de controle de produção, inclusive medidores de vazão, condutivímetros, aparelhos para controle, registro, gravação e transmissão dos quantitativos medidos, quando adquiridos por pessoas jurídicas legalmente responsáveis pela sua instalação e manutenção ou obrigadas à sua utilização, nos termos e condições fixados pela Secretaria da Receita Federal do Brasil;</w:t>
      </w:r>
    </w:p>
    <w:p w14:paraId="0434BEF4"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(NR)</w:t>
      </w:r>
    </w:p>
    <w:p w14:paraId="768E5068"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15. O § 3º do art. 1º da </w:t>
      </w:r>
      <w:hyperlink r:id="rId195" w:history="1">
        <w:r w:rsidRPr="00395593">
          <w:rPr>
            <w:rFonts w:ascii="Garamond" w:eastAsia="Times New Roman" w:hAnsi="Garamond" w:cs="Arial"/>
            <w:color w:val="0000FF"/>
            <w:sz w:val="24"/>
            <w:szCs w:val="24"/>
            <w:u w:val="single"/>
            <w:lang w:eastAsia="pt-BR"/>
          </w:rPr>
          <w:t>Lei nº 12.402, de 2 de maio de 2011, </w:t>
        </w:r>
      </w:hyperlink>
      <w:r w:rsidRPr="00395593">
        <w:rPr>
          <w:rFonts w:ascii="Garamond" w:eastAsia="Times New Roman" w:hAnsi="Garamond" w:cs="Arial"/>
          <w:color w:val="000000"/>
          <w:sz w:val="24"/>
          <w:szCs w:val="24"/>
          <w:lang w:eastAsia="pt-BR"/>
        </w:rPr>
        <w:t>passa a vigorar com a seguinte redação:</w:t>
      </w:r>
    </w:p>
    <w:p w14:paraId="4CAFA7B5" w14:textId="77777777" w:rsidR="001C76F0" w:rsidRPr="00395593" w:rsidRDefault="001C76F0" w:rsidP="001C76F0">
      <w:pPr>
        <w:spacing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1º ..........................................................................</w:t>
      </w:r>
    </w:p>
    <w:p w14:paraId="09C1A366"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w:t>
      </w:r>
    </w:p>
    <w:p w14:paraId="64A62EF5"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196" w:anchor="art1%C2%A73" w:history="1">
        <w:r w:rsidR="001C76F0" w:rsidRPr="00395593">
          <w:rPr>
            <w:rFonts w:ascii="Garamond" w:eastAsia="Times New Roman" w:hAnsi="Garamond" w:cs="Arial"/>
            <w:color w:val="0000FF"/>
            <w:sz w:val="24"/>
            <w:szCs w:val="24"/>
            <w:u w:val="single"/>
            <w:lang w:eastAsia="pt-BR"/>
          </w:rPr>
          <w:t>§ 3º </w:t>
        </w:r>
      </w:hyperlink>
      <w:r w:rsidR="001C76F0" w:rsidRPr="00395593">
        <w:rPr>
          <w:rFonts w:ascii="Garamond" w:eastAsia="Times New Roman" w:hAnsi="Garamond" w:cs="Arial"/>
          <w:color w:val="000000"/>
          <w:sz w:val="24"/>
          <w:szCs w:val="24"/>
          <w:lang w:eastAsia="pt-BR"/>
        </w:rPr>
        <w:t>O disposto nos §§ 1º e 2º abrange o recolhimento das contribuições previdenciárias patronais, da contribuição prevista no </w:t>
      </w:r>
      <w:hyperlink r:id="rId197" w:anchor="art7" w:history="1">
        <w:r w:rsidR="001C76F0" w:rsidRPr="00395593">
          <w:rPr>
            <w:rFonts w:ascii="Garamond" w:eastAsia="Times New Roman" w:hAnsi="Garamond" w:cs="Arial"/>
            <w:color w:val="0000FF"/>
            <w:sz w:val="24"/>
            <w:szCs w:val="24"/>
            <w:u w:val="single"/>
            <w:lang w:eastAsia="pt-BR"/>
          </w:rPr>
          <w:t>art. 7º da Lei nº 12.546, de 14 de dezembro de 2011, </w:t>
        </w:r>
      </w:hyperlink>
      <w:r w:rsidR="001C76F0" w:rsidRPr="00395593">
        <w:rPr>
          <w:rFonts w:ascii="Garamond" w:eastAsia="Times New Roman" w:hAnsi="Garamond" w:cs="Arial"/>
          <w:color w:val="000000"/>
          <w:sz w:val="24"/>
          <w:szCs w:val="24"/>
          <w:lang w:eastAsia="pt-BR"/>
        </w:rPr>
        <w:t>inclusive a incidente sobre a remuneração dos trabalhadores avulsos, e das contribuições destinadas a outras entidades e fundos, além da multa por atraso no cumprimento das obrigações acessórias.</w:t>
      </w:r>
    </w:p>
    <w:p w14:paraId="566461F7"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(NR)</w:t>
      </w:r>
    </w:p>
    <w:p w14:paraId="640F2F53"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80" w:name="art16"/>
      <w:bookmarkEnd w:id="80"/>
      <w:r w:rsidRPr="00395593">
        <w:rPr>
          <w:rFonts w:ascii="Garamond" w:eastAsia="Times New Roman" w:hAnsi="Garamond" w:cs="Arial"/>
          <w:color w:val="000000"/>
          <w:sz w:val="24"/>
          <w:szCs w:val="24"/>
          <w:lang w:eastAsia="pt-BR"/>
        </w:rPr>
        <w:t>Art. 16. Os prazos de suspensões de pagamentos de tributos concedidas mediante atos concessórios de regime especial de drawback que, nos termos do </w:t>
      </w:r>
      <w:hyperlink r:id="rId198" w:anchor="art4" w:history="1">
        <w:r w:rsidRPr="00395593">
          <w:rPr>
            <w:rFonts w:ascii="Garamond" w:eastAsia="Times New Roman" w:hAnsi="Garamond" w:cs="Arial"/>
            <w:color w:val="0000FF"/>
            <w:sz w:val="24"/>
            <w:szCs w:val="24"/>
            <w:u w:val="single"/>
            <w:lang w:eastAsia="pt-BR"/>
          </w:rPr>
          <w:t>art. 4º do Decreto-Lei nº 1.722, de 3 de dezembro de 1979, </w:t>
        </w:r>
      </w:hyperlink>
      <w:r w:rsidRPr="00395593">
        <w:rPr>
          <w:rFonts w:ascii="Garamond" w:eastAsia="Times New Roman" w:hAnsi="Garamond" w:cs="Arial"/>
          <w:color w:val="000000"/>
          <w:sz w:val="24"/>
          <w:szCs w:val="24"/>
          <w:lang w:eastAsia="pt-BR"/>
        </w:rPr>
        <w:t>tenham termo no ano de 2014 poderão ser prorrogados, em caráter excepcional, por 1 (um) ano contado a partir da respectiva data de termo.</w:t>
      </w:r>
    </w:p>
    <w:p w14:paraId="359760E3"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1º A prorrogação excepcional prevista no caput somente será considerada para produtos de longo ciclo de produção.</w:t>
      </w:r>
    </w:p>
    <w:p w14:paraId="0B6CC739"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2º O disposto neste artigo não se aplica a atos concessórios de drawback cujos prazos de pagamento de tributos já tenham sido objeto das prorrogações excepcionais previstas no </w:t>
      </w:r>
      <w:hyperlink r:id="rId199" w:anchor="art13" w:history="1">
        <w:r w:rsidRPr="00395593">
          <w:rPr>
            <w:rFonts w:ascii="Garamond" w:eastAsia="Times New Roman" w:hAnsi="Garamond" w:cs="Arial"/>
            <w:color w:val="0000FF"/>
            <w:sz w:val="24"/>
            <w:szCs w:val="24"/>
            <w:u w:val="single"/>
            <w:lang w:eastAsia="pt-BR"/>
          </w:rPr>
          <w:t>art. 13 da Lei nº 11.945, de 4 de junho de 2009, </w:t>
        </w:r>
      </w:hyperlink>
      <w:r w:rsidRPr="00395593">
        <w:rPr>
          <w:rFonts w:ascii="Garamond" w:eastAsia="Times New Roman" w:hAnsi="Garamond" w:cs="Arial"/>
          <w:color w:val="000000"/>
          <w:sz w:val="24"/>
          <w:szCs w:val="24"/>
          <w:lang w:eastAsia="pt-BR"/>
        </w:rPr>
        <w:t>no </w:t>
      </w:r>
      <w:hyperlink r:id="rId200" w:anchor="art61" w:history="1">
        <w:r w:rsidRPr="00395593">
          <w:rPr>
            <w:rFonts w:ascii="Garamond" w:eastAsia="Times New Roman" w:hAnsi="Garamond" w:cs="Arial"/>
            <w:color w:val="0000FF"/>
            <w:sz w:val="24"/>
            <w:szCs w:val="24"/>
            <w:u w:val="single"/>
            <w:lang w:eastAsia="pt-BR"/>
          </w:rPr>
          <w:t>art. 61 da Lei nº 12.249, de 11 de junho de 2010, </w:t>
        </w:r>
      </w:hyperlink>
      <w:r w:rsidRPr="00395593">
        <w:rPr>
          <w:rFonts w:ascii="Garamond" w:eastAsia="Times New Roman" w:hAnsi="Garamond" w:cs="Arial"/>
          <w:color w:val="000000"/>
          <w:sz w:val="24"/>
          <w:szCs w:val="24"/>
          <w:lang w:eastAsia="pt-BR"/>
        </w:rPr>
        <w:t>ou no </w:t>
      </w:r>
      <w:hyperlink r:id="rId201" w:anchor="art8" w:history="1">
        <w:r w:rsidRPr="00395593">
          <w:rPr>
            <w:rFonts w:ascii="Garamond" w:eastAsia="Times New Roman" w:hAnsi="Garamond" w:cs="Arial"/>
            <w:color w:val="0000FF"/>
            <w:sz w:val="24"/>
            <w:szCs w:val="24"/>
            <w:u w:val="single"/>
            <w:lang w:eastAsia="pt-BR"/>
          </w:rPr>
          <w:t>art. 8º da Lei nº 12.453, de 21 de julho de 2011.</w:t>
        </w:r>
      </w:hyperlink>
    </w:p>
    <w:p w14:paraId="6723989E"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81" w:name="art17"/>
      <w:bookmarkEnd w:id="81"/>
      <w:r w:rsidRPr="00395593">
        <w:rPr>
          <w:rFonts w:ascii="Garamond" w:eastAsia="Times New Roman" w:hAnsi="Garamond" w:cs="Arial"/>
          <w:color w:val="000000"/>
          <w:sz w:val="24"/>
          <w:szCs w:val="24"/>
          <w:lang w:eastAsia="pt-BR"/>
        </w:rPr>
        <w:t>Art. 17. O uso de meio eletrônico será admitido nos procedimentos relativos às investigações de defesa comercial, conforme estabelecido em regulamentação da Secretaria de Comércio Exterior - SECEX do Ministério do Desenvolvimento, Indústria e Comércio Exterior - MDIC, devendo todos os atos processuais ser assinados digitalmente com o emprego de certificação digital emitida no âmbito da Infraestrutura de Chaves Públicas Brasileira - ICP-Brasil.</w:t>
      </w:r>
    </w:p>
    <w:p w14:paraId="5BA2C71B"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Parágrafo único. Para fins de participação por meio eletrônico nos procedimentos a que se refere o caput , as partes interessadas nacionais e estrangeiras deverão seguir os requisitos para aquisição do supramencionado certificado digital estabelecidos nos atos normativos emitidos pelo Instituto Nacional de Tecnologia da Informação.</w:t>
      </w:r>
    </w:p>
    <w:p w14:paraId="0EBD2B42"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82" w:name="art18"/>
      <w:bookmarkEnd w:id="82"/>
      <w:r w:rsidRPr="00395593">
        <w:rPr>
          <w:rFonts w:ascii="Garamond" w:eastAsia="Times New Roman" w:hAnsi="Garamond" w:cs="Arial"/>
          <w:color w:val="000000"/>
          <w:sz w:val="24"/>
          <w:szCs w:val="24"/>
          <w:lang w:eastAsia="pt-BR"/>
        </w:rPr>
        <w:t>Art. 18. Para fins das investigações realizadas ao amparo dos Acordos que regulamentam as provisões dos artigos VI, XVI e XIX do GATT, aprovados pelo </w:t>
      </w:r>
      <w:hyperlink r:id="rId202" w:history="1">
        <w:r w:rsidRPr="00395593">
          <w:rPr>
            <w:rFonts w:ascii="Garamond" w:eastAsia="Times New Roman" w:hAnsi="Garamond" w:cs="Arial"/>
            <w:color w:val="0000FF"/>
            <w:sz w:val="24"/>
            <w:szCs w:val="24"/>
            <w:u w:val="single"/>
            <w:lang w:eastAsia="pt-BR"/>
          </w:rPr>
          <w:t>Decreto nº 1.355, de 30 de dezembro de 1994, </w:t>
        </w:r>
      </w:hyperlink>
      <w:r w:rsidRPr="00395593">
        <w:rPr>
          <w:rFonts w:ascii="Garamond" w:eastAsia="Times New Roman" w:hAnsi="Garamond" w:cs="Arial"/>
          <w:color w:val="000000"/>
          <w:sz w:val="24"/>
          <w:szCs w:val="24"/>
          <w:lang w:eastAsia="pt-BR"/>
        </w:rPr>
        <w:t>poderão ser incorporados aos autos documentos elaborados nos idiomas oficiais da Organização Mundial do Comércio - OMC, e, no caso de documentos elaborados em idiomas estrangeiros para os quais não haja tradutor público no Brasil, serão aceitas traduções para o idioma português efetuadas pela representação oficial da origem exportadora no Brasil, desde que acompanhadas de comunicação oficial atestando a autoria da tradução.</w:t>
      </w:r>
    </w:p>
    <w:p w14:paraId="0A312B4B"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83" w:name="art19"/>
      <w:bookmarkEnd w:id="83"/>
      <w:r w:rsidRPr="00395593">
        <w:rPr>
          <w:rFonts w:ascii="Garamond" w:eastAsia="Times New Roman" w:hAnsi="Garamond" w:cs="Arial"/>
          <w:color w:val="000000"/>
          <w:sz w:val="24"/>
          <w:szCs w:val="24"/>
          <w:lang w:eastAsia="pt-BR"/>
        </w:rPr>
        <w:t>Art. 19. Para fins das investigações realizadas ao amparo dos Acordos que regulamentam as provisões dos artigos VI, XVI e XIX do GATT, aprovados pelo </w:t>
      </w:r>
      <w:hyperlink r:id="rId203" w:history="1">
        <w:r w:rsidRPr="00395593">
          <w:rPr>
            <w:rFonts w:ascii="Garamond" w:eastAsia="Times New Roman" w:hAnsi="Garamond" w:cs="Arial"/>
            <w:color w:val="0000FF"/>
            <w:sz w:val="24"/>
            <w:szCs w:val="24"/>
            <w:u w:val="single"/>
            <w:lang w:eastAsia="pt-BR"/>
          </w:rPr>
          <w:t>Decreto nº 1.355, de 30 de dezembro de 1994, </w:t>
        </w:r>
      </w:hyperlink>
      <w:r w:rsidRPr="00395593">
        <w:rPr>
          <w:rFonts w:ascii="Garamond" w:eastAsia="Times New Roman" w:hAnsi="Garamond" w:cs="Arial"/>
          <w:color w:val="000000"/>
          <w:sz w:val="24"/>
          <w:szCs w:val="24"/>
          <w:lang w:eastAsia="pt-BR"/>
        </w:rPr>
        <w:t>presume-se que as partes interessadas terão ciência de documentos impressos enviados pelo Decom 5 (cinco) dias após a data de seu envio ou transmissão, no caso de partes interessadas nacionais, e 10 (dez) dias, caso sejam estrangeiras, e, no caso de processos administrativos eletrônicos, presume-se a ciência de documentos transmitidos eletronicamente 3 (três) dias após a data de transmissão.</w:t>
      </w:r>
    </w:p>
    <w:p w14:paraId="1B568516"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84" w:name="art20"/>
      <w:bookmarkEnd w:id="84"/>
      <w:r w:rsidRPr="00395593">
        <w:rPr>
          <w:rFonts w:ascii="Garamond" w:eastAsia="Times New Roman" w:hAnsi="Garamond" w:cs="Arial"/>
          <w:color w:val="000000"/>
          <w:sz w:val="24"/>
          <w:szCs w:val="24"/>
          <w:lang w:eastAsia="pt-BR"/>
        </w:rPr>
        <w:t>Art. 20. (VETADO).</w:t>
      </w:r>
    </w:p>
    <w:p w14:paraId="613C503E"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85" w:name="art21"/>
      <w:bookmarkEnd w:id="85"/>
      <w:r w:rsidRPr="00395593">
        <w:rPr>
          <w:rFonts w:ascii="Garamond" w:eastAsia="Times New Roman" w:hAnsi="Garamond" w:cs="Arial"/>
          <w:color w:val="000000"/>
          <w:sz w:val="24"/>
          <w:szCs w:val="24"/>
          <w:lang w:eastAsia="pt-BR"/>
        </w:rPr>
        <w:t>Art. 21. O art. 3º da </w:t>
      </w:r>
      <w:hyperlink r:id="rId204" w:history="1">
        <w:r w:rsidRPr="00395593">
          <w:rPr>
            <w:rFonts w:ascii="Garamond" w:eastAsia="Times New Roman" w:hAnsi="Garamond" w:cs="Arial"/>
            <w:color w:val="0000FF"/>
            <w:sz w:val="24"/>
            <w:szCs w:val="24"/>
            <w:u w:val="single"/>
            <w:lang w:eastAsia="pt-BR"/>
          </w:rPr>
          <w:t>Lei nº 9.718, de 27 de novembro de 1998, </w:t>
        </w:r>
      </w:hyperlink>
      <w:r w:rsidRPr="00395593">
        <w:rPr>
          <w:rFonts w:ascii="Garamond" w:eastAsia="Times New Roman" w:hAnsi="Garamond" w:cs="Arial"/>
          <w:color w:val="000000"/>
          <w:sz w:val="24"/>
          <w:szCs w:val="24"/>
          <w:lang w:eastAsia="pt-BR"/>
        </w:rPr>
        <w:t>passa a vigorar acrescido do seguinte § 9º-B:</w:t>
      </w:r>
    </w:p>
    <w:p w14:paraId="61DF3DA7" w14:textId="77777777" w:rsidR="001C76F0" w:rsidRPr="00395593" w:rsidRDefault="001C76F0" w:rsidP="001C76F0">
      <w:pPr>
        <w:spacing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3º ..........................................................................</w:t>
      </w:r>
    </w:p>
    <w:p w14:paraId="4C4D156C"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w:t>
      </w:r>
    </w:p>
    <w:p w14:paraId="443B9D56"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205" w:anchor="art3%C2%A79b" w:history="1">
        <w:r w:rsidR="001C76F0" w:rsidRPr="00395593">
          <w:rPr>
            <w:rFonts w:ascii="Garamond" w:eastAsia="Times New Roman" w:hAnsi="Garamond" w:cs="Arial"/>
            <w:color w:val="0000FF"/>
            <w:sz w:val="24"/>
            <w:szCs w:val="24"/>
            <w:u w:val="single"/>
            <w:lang w:eastAsia="pt-BR"/>
          </w:rPr>
          <w:t>§ 9º-B. </w:t>
        </w:r>
      </w:hyperlink>
      <w:r w:rsidR="001C76F0" w:rsidRPr="00395593">
        <w:rPr>
          <w:rFonts w:ascii="Garamond" w:eastAsia="Times New Roman" w:hAnsi="Garamond" w:cs="Arial"/>
          <w:color w:val="000000"/>
          <w:sz w:val="24"/>
          <w:szCs w:val="24"/>
          <w:lang w:eastAsia="pt-BR"/>
        </w:rPr>
        <w:t>Para efeitos de interpretação do caput , não são considerados receita bruta das administradoras de benefícios os valores devidos a outras operadoras de planos de assistência à saúde.</w:t>
      </w:r>
    </w:p>
    <w:p w14:paraId="3E0FC28F"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(NR)</w:t>
      </w:r>
    </w:p>
    <w:p w14:paraId="7DA7CB60"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86" w:name="art22"/>
      <w:bookmarkEnd w:id="86"/>
      <w:r w:rsidRPr="00395593">
        <w:rPr>
          <w:rFonts w:ascii="Garamond" w:eastAsia="Times New Roman" w:hAnsi="Garamond" w:cs="Arial"/>
          <w:color w:val="000000"/>
          <w:sz w:val="24"/>
          <w:szCs w:val="24"/>
          <w:lang w:eastAsia="pt-BR"/>
        </w:rPr>
        <w:t>Art. 22. O § 7º do art. 40 da </w:t>
      </w:r>
      <w:hyperlink r:id="rId206" w:history="1">
        <w:r w:rsidRPr="00395593">
          <w:rPr>
            <w:rFonts w:ascii="Garamond" w:eastAsia="Times New Roman" w:hAnsi="Garamond" w:cs="Arial"/>
            <w:color w:val="0000FF"/>
            <w:sz w:val="24"/>
            <w:szCs w:val="24"/>
            <w:u w:val="single"/>
            <w:lang w:eastAsia="pt-BR"/>
          </w:rPr>
          <w:t>Lei nº 12.865, de 9 de outubro de 2013, </w:t>
        </w:r>
      </w:hyperlink>
      <w:r w:rsidRPr="00395593">
        <w:rPr>
          <w:rFonts w:ascii="Garamond" w:eastAsia="Times New Roman" w:hAnsi="Garamond" w:cs="Arial"/>
          <w:color w:val="000000"/>
          <w:sz w:val="24"/>
          <w:szCs w:val="24"/>
          <w:lang w:eastAsia="pt-BR"/>
        </w:rPr>
        <w:t>passa a vigorar com a seguinte redação:</w:t>
      </w:r>
    </w:p>
    <w:p w14:paraId="29322381" w14:textId="77777777" w:rsidR="001C76F0" w:rsidRPr="00395593" w:rsidRDefault="001C76F0" w:rsidP="001C76F0">
      <w:pPr>
        <w:spacing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40. ........................................................................</w:t>
      </w:r>
    </w:p>
    <w:p w14:paraId="0388C8A2"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w:t>
      </w:r>
    </w:p>
    <w:p w14:paraId="3185AE3E" w14:textId="77777777" w:rsidR="001C76F0" w:rsidRPr="00395593" w:rsidRDefault="00C43D68"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hyperlink r:id="rId207" w:anchor="art40%C2%A77..." w:history="1">
        <w:r w:rsidR="001C76F0" w:rsidRPr="00395593">
          <w:rPr>
            <w:rFonts w:ascii="Garamond" w:eastAsia="Times New Roman" w:hAnsi="Garamond" w:cs="Arial"/>
            <w:color w:val="0000FF"/>
            <w:sz w:val="24"/>
            <w:szCs w:val="24"/>
            <w:u w:val="single"/>
            <w:lang w:eastAsia="pt-BR"/>
          </w:rPr>
          <w:t>§ 7º </w:t>
        </w:r>
      </w:hyperlink>
      <w:r w:rsidR="001C76F0" w:rsidRPr="00395593">
        <w:rPr>
          <w:rFonts w:ascii="Garamond" w:eastAsia="Times New Roman" w:hAnsi="Garamond" w:cs="Arial"/>
          <w:color w:val="000000"/>
          <w:sz w:val="24"/>
          <w:szCs w:val="24"/>
          <w:lang w:eastAsia="pt-BR"/>
        </w:rPr>
        <w:t>Os valores correspondentes a multas, de mora ou de ofício ou isoladas, a juros moratórios e até 30% (trinta por cento) do valor principal do tributo, inclusive relativos a débitos inscritos em dívida ativa e do restante a ser pago em parcelas mensais a que se refere o inciso II do caput , poderão ser liquidados com a utilização de créditos de prejuízo fiscal e de base de cálculo negativa da Contribuição Social sobre o Lucro Líquido próprios e de sociedades controladas ou coligadas, além das demais mencionadas no inciso II do § 8º deste artigo, em 31 de dezembro de 2011, domiciliadas no Brasil, desde que se mantenham nesta condição até a data da opção pelo parcelamento.</w:t>
      </w:r>
    </w:p>
    <w:p w14:paraId="707A4D9F"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(NR)</w:t>
      </w:r>
    </w:p>
    <w:p w14:paraId="1F00C972"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87" w:name="art23"/>
      <w:bookmarkEnd w:id="87"/>
      <w:r w:rsidRPr="00395593">
        <w:rPr>
          <w:rFonts w:ascii="Garamond" w:eastAsia="Times New Roman" w:hAnsi="Garamond" w:cs="Arial"/>
          <w:color w:val="000000"/>
          <w:sz w:val="24"/>
          <w:szCs w:val="24"/>
          <w:lang w:eastAsia="pt-BR"/>
        </w:rPr>
        <w:t>Art. 23. A </w:t>
      </w:r>
      <w:hyperlink r:id="rId208" w:history="1">
        <w:r w:rsidRPr="00395593">
          <w:rPr>
            <w:rFonts w:ascii="Garamond" w:eastAsia="Times New Roman" w:hAnsi="Garamond" w:cs="Arial"/>
            <w:color w:val="0000FF"/>
            <w:sz w:val="24"/>
            <w:szCs w:val="24"/>
            <w:u w:val="single"/>
            <w:lang w:eastAsia="pt-BR"/>
          </w:rPr>
          <w:t>Lei nº 12.599, de 23 de março de 2012, </w:t>
        </w:r>
      </w:hyperlink>
      <w:r w:rsidRPr="00395593">
        <w:rPr>
          <w:rFonts w:ascii="Garamond" w:eastAsia="Times New Roman" w:hAnsi="Garamond" w:cs="Arial"/>
          <w:color w:val="000000"/>
          <w:sz w:val="24"/>
          <w:szCs w:val="24"/>
          <w:lang w:eastAsia="pt-BR"/>
        </w:rPr>
        <w:t>passa a vigorar acrescida do seguinte art. 7º-A:</w:t>
      </w:r>
    </w:p>
    <w:p w14:paraId="7C3CD77A" w14:textId="77777777" w:rsidR="001C76F0" w:rsidRPr="00395593" w:rsidRDefault="00C43D68" w:rsidP="001C76F0">
      <w:pPr>
        <w:spacing w:beforeAutospacing="1" w:after="100" w:afterAutospacing="1" w:line="240" w:lineRule="auto"/>
        <w:ind w:firstLine="432"/>
        <w:jc w:val="both"/>
        <w:rPr>
          <w:rFonts w:ascii="Garamond" w:eastAsia="Times New Roman" w:hAnsi="Garamond" w:cs="Arial"/>
          <w:color w:val="000000"/>
          <w:sz w:val="24"/>
          <w:szCs w:val="24"/>
          <w:lang w:eastAsia="pt-BR"/>
        </w:rPr>
      </w:pPr>
      <w:hyperlink r:id="rId209" w:anchor="art7a" w:history="1">
        <w:r w:rsidR="001C76F0" w:rsidRPr="00395593">
          <w:rPr>
            <w:rFonts w:ascii="Garamond" w:eastAsia="Times New Roman" w:hAnsi="Garamond" w:cs="Arial"/>
            <w:color w:val="0000FF"/>
            <w:sz w:val="24"/>
            <w:szCs w:val="24"/>
            <w:u w:val="single"/>
            <w:lang w:eastAsia="pt-BR"/>
          </w:rPr>
          <w:t>“Art. 7º-A. </w:t>
        </w:r>
      </w:hyperlink>
      <w:r w:rsidR="001C76F0" w:rsidRPr="00395593">
        <w:rPr>
          <w:rFonts w:ascii="Garamond" w:eastAsia="Times New Roman" w:hAnsi="Garamond" w:cs="Arial"/>
          <w:color w:val="000000"/>
          <w:sz w:val="24"/>
          <w:szCs w:val="24"/>
          <w:lang w:eastAsia="pt-BR"/>
        </w:rPr>
        <w:t>O saldo do crédito presumido de que trata o </w:t>
      </w:r>
      <w:hyperlink r:id="rId210" w:anchor="art8" w:history="1">
        <w:r w:rsidR="001C76F0" w:rsidRPr="00395593">
          <w:rPr>
            <w:rFonts w:ascii="Garamond" w:eastAsia="Times New Roman" w:hAnsi="Garamond" w:cs="Arial"/>
            <w:color w:val="0000FF"/>
            <w:sz w:val="24"/>
            <w:szCs w:val="24"/>
            <w:u w:val="single"/>
            <w:lang w:eastAsia="pt-BR"/>
          </w:rPr>
          <w:t>art. 8º da Lei nº 10.925, de 23 de julho de 2004, </w:t>
        </w:r>
      </w:hyperlink>
      <w:r w:rsidR="001C76F0" w:rsidRPr="00395593">
        <w:rPr>
          <w:rFonts w:ascii="Garamond" w:eastAsia="Times New Roman" w:hAnsi="Garamond" w:cs="Arial"/>
          <w:color w:val="000000"/>
          <w:sz w:val="24"/>
          <w:szCs w:val="24"/>
          <w:lang w:eastAsia="pt-BR"/>
        </w:rPr>
        <w:t>apurado até 1º de janeiro de 2012 em relação à aquisição de café in natura poderá ser utilizado pela pessoa jurídica para:</w:t>
      </w:r>
    </w:p>
    <w:p w14:paraId="452364F2"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I - compensação com débitos próprios, vencidos ou vincendos, relativos a tributos e contribuições administrados pela Secretaria da Receita Federal do Brasil, observada a legislação específica aplicável à matéria, inclusive quanto a prazos extintivos; ou</w:t>
      </w:r>
    </w:p>
    <w:p w14:paraId="79E47B0A" w14:textId="77777777" w:rsidR="001C76F0" w:rsidRPr="00395593" w:rsidRDefault="001C76F0" w:rsidP="001C76F0">
      <w:pPr>
        <w:spacing w:before="100" w:beforeAutospacing="1" w:after="100" w:afterAutospacing="1" w:line="240" w:lineRule="auto"/>
        <w:ind w:firstLine="432"/>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II - pedido de ressarcimento em dinheiro, observada a legislação específica aplicável à matéria, inclusive quanto a prazos extintivos.”</w:t>
      </w:r>
    </w:p>
    <w:p w14:paraId="4D513AC0"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val="en-US" w:eastAsia="pt-BR"/>
        </w:rPr>
      </w:pPr>
      <w:bookmarkStart w:id="88" w:name="art24"/>
      <w:bookmarkEnd w:id="88"/>
      <w:r w:rsidRPr="00395593">
        <w:rPr>
          <w:rFonts w:ascii="Garamond" w:eastAsia="Times New Roman" w:hAnsi="Garamond" w:cs="Arial"/>
          <w:color w:val="000000"/>
          <w:sz w:val="24"/>
          <w:szCs w:val="24"/>
          <w:lang w:val="en-US" w:eastAsia="pt-BR"/>
        </w:rPr>
        <w:t>Art. 24. (VETADO).</w:t>
      </w:r>
    </w:p>
    <w:p w14:paraId="4047A500"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val="en-US" w:eastAsia="pt-BR"/>
        </w:rPr>
      </w:pPr>
      <w:bookmarkStart w:id="89" w:name="art25"/>
      <w:bookmarkEnd w:id="89"/>
      <w:r w:rsidRPr="00395593">
        <w:rPr>
          <w:rFonts w:ascii="Garamond" w:eastAsia="Times New Roman" w:hAnsi="Garamond" w:cs="Arial"/>
          <w:color w:val="000000"/>
          <w:sz w:val="24"/>
          <w:szCs w:val="24"/>
          <w:lang w:val="en-US" w:eastAsia="pt-BR"/>
        </w:rPr>
        <w:t>Art. 25. (VETADO).</w:t>
      </w:r>
    </w:p>
    <w:p w14:paraId="1791D542"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90" w:name="art26"/>
      <w:bookmarkEnd w:id="90"/>
      <w:r w:rsidRPr="00395593">
        <w:rPr>
          <w:rFonts w:ascii="Garamond" w:eastAsia="Times New Roman" w:hAnsi="Garamond" w:cs="Arial"/>
          <w:color w:val="000000"/>
          <w:sz w:val="24"/>
          <w:szCs w:val="24"/>
          <w:lang w:val="en-US" w:eastAsia="pt-BR"/>
        </w:rPr>
        <w:t>Art. 26. </w:t>
      </w:r>
      <w:r w:rsidRPr="00395593">
        <w:rPr>
          <w:rFonts w:ascii="Garamond" w:eastAsia="Times New Roman" w:hAnsi="Garamond" w:cs="Arial"/>
          <w:color w:val="000000"/>
          <w:sz w:val="24"/>
          <w:szCs w:val="24"/>
          <w:lang w:eastAsia="pt-BR"/>
        </w:rPr>
        <w:t>Esta Lei entra em vigor na data de sua publicação.</w:t>
      </w:r>
    </w:p>
    <w:p w14:paraId="50AEF9CD"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91" w:name="art26p"/>
      <w:bookmarkEnd w:id="91"/>
      <w:r w:rsidRPr="00395593">
        <w:rPr>
          <w:rFonts w:ascii="Garamond" w:eastAsia="Times New Roman" w:hAnsi="Garamond" w:cs="Arial"/>
          <w:color w:val="000000"/>
          <w:sz w:val="24"/>
          <w:szCs w:val="24"/>
          <w:lang w:eastAsia="pt-BR"/>
        </w:rPr>
        <w:t>Parágrafo único. O </w:t>
      </w:r>
      <w:hyperlink r:id="rId211" w:anchor="art13" w:history="1">
        <w:r w:rsidRPr="00395593">
          <w:rPr>
            <w:rFonts w:ascii="Garamond" w:eastAsia="Times New Roman" w:hAnsi="Garamond" w:cs="Arial"/>
            <w:color w:val="0000FF"/>
            <w:sz w:val="24"/>
            <w:szCs w:val="24"/>
            <w:u w:val="single"/>
            <w:lang w:eastAsia="pt-BR"/>
          </w:rPr>
          <w:t>art. 13 </w:t>
        </w:r>
      </w:hyperlink>
      <w:r w:rsidRPr="00395593">
        <w:rPr>
          <w:rFonts w:ascii="Garamond" w:eastAsia="Times New Roman" w:hAnsi="Garamond" w:cs="Arial"/>
          <w:color w:val="000000"/>
          <w:sz w:val="24"/>
          <w:szCs w:val="24"/>
          <w:lang w:eastAsia="pt-BR"/>
        </w:rPr>
        <w:t>produzirá efeitos no primeiro dia do ano subsequente ao da publicação desta Lei.</w:t>
      </w:r>
    </w:p>
    <w:p w14:paraId="63B2097C"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92" w:name="art27"/>
      <w:bookmarkEnd w:id="92"/>
      <w:r w:rsidRPr="00395593">
        <w:rPr>
          <w:rFonts w:ascii="Garamond" w:eastAsia="Times New Roman" w:hAnsi="Garamond" w:cs="Arial"/>
          <w:color w:val="000000"/>
          <w:sz w:val="24"/>
          <w:szCs w:val="24"/>
          <w:lang w:eastAsia="pt-BR"/>
        </w:rPr>
        <w:t>Art. 27. Revogam-se os seguintes dispositivos legais:</w:t>
      </w:r>
    </w:p>
    <w:p w14:paraId="4022B5FC"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93" w:name="art27i"/>
      <w:bookmarkEnd w:id="93"/>
      <w:r w:rsidRPr="00395593">
        <w:rPr>
          <w:rFonts w:ascii="Garamond" w:eastAsia="Times New Roman" w:hAnsi="Garamond" w:cs="Arial"/>
          <w:color w:val="000000"/>
          <w:sz w:val="24"/>
          <w:szCs w:val="24"/>
          <w:lang w:eastAsia="pt-BR"/>
        </w:rPr>
        <w:t>I - a partir da entrada em vigor do </w:t>
      </w:r>
      <w:hyperlink r:id="rId212" w:anchor="art26p" w:history="1">
        <w:r w:rsidRPr="00395593">
          <w:rPr>
            <w:rFonts w:ascii="Garamond" w:eastAsia="Times New Roman" w:hAnsi="Garamond" w:cs="Arial"/>
            <w:color w:val="0000FF"/>
            <w:sz w:val="24"/>
            <w:szCs w:val="24"/>
            <w:u w:val="single"/>
            <w:lang w:eastAsia="pt-BR"/>
          </w:rPr>
          <w:t>art. 13 :</w:t>
        </w:r>
      </w:hyperlink>
    </w:p>
    <w:p w14:paraId="0EAC5985"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 os </w:t>
      </w:r>
      <w:hyperlink r:id="rId213" w:anchor="art3" w:history="1">
        <w:r w:rsidRPr="00395593">
          <w:rPr>
            <w:rFonts w:ascii="Garamond" w:eastAsia="Times New Roman" w:hAnsi="Garamond" w:cs="Arial"/>
            <w:color w:val="0000FF"/>
            <w:sz w:val="24"/>
            <w:szCs w:val="24"/>
            <w:u w:val="single"/>
            <w:lang w:eastAsia="pt-BR"/>
          </w:rPr>
          <w:t>arts. 3º </w:t>
        </w:r>
      </w:hyperlink>
      <w:r w:rsidRPr="00395593">
        <w:rPr>
          <w:rFonts w:ascii="Garamond" w:eastAsia="Times New Roman" w:hAnsi="Garamond" w:cs="Arial"/>
          <w:color w:val="000000"/>
          <w:sz w:val="24"/>
          <w:szCs w:val="24"/>
          <w:lang w:eastAsia="pt-BR"/>
        </w:rPr>
        <w:t>e </w:t>
      </w:r>
      <w:hyperlink r:id="rId214" w:anchor="art7" w:history="1">
        <w:r w:rsidRPr="00395593">
          <w:rPr>
            <w:rFonts w:ascii="Garamond" w:eastAsia="Times New Roman" w:hAnsi="Garamond" w:cs="Arial"/>
            <w:color w:val="0000FF"/>
            <w:sz w:val="24"/>
            <w:szCs w:val="24"/>
            <w:u w:val="single"/>
            <w:lang w:eastAsia="pt-BR"/>
          </w:rPr>
          <w:t>7º do Decreto-Lei nº 1.437, de 17 de dezembro de 1975 ;</w:t>
        </w:r>
      </w:hyperlink>
    </w:p>
    <w:p w14:paraId="04F2F60C"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b) o </w:t>
      </w:r>
      <w:hyperlink r:id="rId215" w:anchor="art60" w:history="1">
        <w:r w:rsidRPr="00395593">
          <w:rPr>
            <w:rFonts w:ascii="Garamond" w:eastAsia="Times New Roman" w:hAnsi="Garamond" w:cs="Arial"/>
            <w:color w:val="0000FF"/>
            <w:sz w:val="24"/>
            <w:szCs w:val="24"/>
            <w:u w:val="single"/>
            <w:lang w:eastAsia="pt-BR"/>
          </w:rPr>
          <w:t>art. 60 da Lei nº 11.196, de 21 de novembro de 2005 ;</w:t>
        </w:r>
      </w:hyperlink>
    </w:p>
    <w:p w14:paraId="77D5DCB5"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c) o </w:t>
      </w:r>
      <w:hyperlink r:id="rId216" w:anchor="art46%C2%A71" w:history="1">
        <w:r w:rsidRPr="00395593">
          <w:rPr>
            <w:rFonts w:ascii="Garamond" w:eastAsia="Times New Roman" w:hAnsi="Garamond" w:cs="Arial"/>
            <w:color w:val="0000FF"/>
            <w:sz w:val="24"/>
            <w:szCs w:val="24"/>
            <w:u w:val="single"/>
            <w:lang w:eastAsia="pt-BR"/>
          </w:rPr>
          <w:t>§ 1º do art. 46 da Lei nº 4.502, de 30 de novembro de 1964 ;</w:t>
        </w:r>
      </w:hyperlink>
    </w:p>
    <w:p w14:paraId="62810E5A"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d) os </w:t>
      </w:r>
      <w:hyperlink r:id="rId217" w:anchor="art28%C2%A73" w:history="1">
        <w:r w:rsidRPr="00395593">
          <w:rPr>
            <w:rFonts w:ascii="Garamond" w:eastAsia="Times New Roman" w:hAnsi="Garamond" w:cs="Arial"/>
            <w:color w:val="0000FF"/>
            <w:sz w:val="24"/>
            <w:szCs w:val="24"/>
            <w:u w:val="single"/>
            <w:lang w:eastAsia="pt-BR"/>
          </w:rPr>
          <w:t>§§ 3º a 5º do art. 28 da Lei nº 11.488, de 15 de junho de 2007 ;</w:t>
        </w:r>
      </w:hyperlink>
    </w:p>
    <w:p w14:paraId="0C10839E"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e) o </w:t>
      </w:r>
      <w:hyperlink r:id="rId218" w:anchor="art58t%C2%A72" w:history="1">
        <w:r w:rsidRPr="00395593">
          <w:rPr>
            <w:rFonts w:ascii="Garamond" w:eastAsia="Times New Roman" w:hAnsi="Garamond" w:cs="Arial"/>
            <w:color w:val="0000FF"/>
            <w:sz w:val="24"/>
            <w:szCs w:val="24"/>
            <w:u w:val="single"/>
            <w:lang w:eastAsia="pt-BR"/>
          </w:rPr>
          <w:t>§ 2º do art. 58-T da Lei nº 10.833, de 29 de dezembro de 2003 ;</w:t>
        </w:r>
      </w:hyperlink>
    </w:p>
    <w:p w14:paraId="7095ED9B"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bookmarkStart w:id="94" w:name="art27ii"/>
      <w:bookmarkEnd w:id="94"/>
      <w:r w:rsidRPr="00395593">
        <w:rPr>
          <w:rFonts w:ascii="Garamond" w:eastAsia="Times New Roman" w:hAnsi="Garamond" w:cs="Arial"/>
          <w:color w:val="000000"/>
          <w:sz w:val="24"/>
          <w:szCs w:val="24"/>
          <w:lang w:eastAsia="pt-BR"/>
        </w:rPr>
        <w:t>II - a partir da data de publicação desta Lei, os </w:t>
      </w:r>
      <w:hyperlink r:id="rId219" w:anchor="art5%C2%A71." w:history="1">
        <w:r w:rsidRPr="00395593">
          <w:rPr>
            <w:rFonts w:ascii="Garamond" w:eastAsia="Times New Roman" w:hAnsi="Garamond" w:cs="Arial"/>
            <w:color w:val="0000FF"/>
            <w:sz w:val="24"/>
            <w:szCs w:val="24"/>
            <w:u w:val="single"/>
            <w:lang w:eastAsia="pt-BR"/>
          </w:rPr>
          <w:t>§§ 1º e 2º do art. 5º da Lei nº 9.818, de 23 de agosto de 1999.</w:t>
        </w:r>
      </w:hyperlink>
    </w:p>
    <w:p w14:paraId="42C94FC4" w14:textId="77777777" w:rsidR="001C76F0" w:rsidRPr="00395593" w:rsidRDefault="001C76F0" w:rsidP="001C76F0">
      <w:pPr>
        <w:spacing w:before="100" w:beforeAutospacing="1" w:after="100" w:afterAutospacing="1" w:line="240" w:lineRule="auto"/>
        <w:ind w:firstLine="525"/>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Brasília, 18 de junho de 2014; 193º da Independência e 126º da República.</w:t>
      </w:r>
    </w:p>
    <w:p w14:paraId="4005E0CE" w14:textId="77777777" w:rsidR="001C76F0" w:rsidRPr="003D7342" w:rsidRDefault="001C76F0" w:rsidP="001C76F0">
      <w:pPr>
        <w:spacing w:before="100" w:beforeAutospacing="1" w:after="100" w:afterAutospacing="1" w:line="240" w:lineRule="auto"/>
        <w:jc w:val="center"/>
        <w:rPr>
          <w:rFonts w:ascii="Garamond" w:eastAsia="Times New Roman" w:hAnsi="Garamond" w:cs="Arial"/>
          <w:i/>
          <w:color w:val="000000"/>
          <w:sz w:val="24"/>
          <w:szCs w:val="24"/>
          <w:lang w:eastAsia="pt-BR"/>
        </w:rPr>
      </w:pPr>
      <w:r w:rsidRPr="00395593">
        <w:rPr>
          <w:rFonts w:ascii="Garamond" w:eastAsia="Times New Roman" w:hAnsi="Garamond" w:cs="Arial"/>
          <w:color w:val="000000"/>
          <w:sz w:val="24"/>
          <w:szCs w:val="24"/>
          <w:lang w:eastAsia="pt-BR"/>
        </w:rPr>
        <w:t>DILMA ROUSSEFF</w:t>
      </w:r>
      <w:r w:rsidRPr="00395593">
        <w:rPr>
          <w:rFonts w:ascii="Garamond" w:eastAsia="Times New Roman" w:hAnsi="Garamond" w:cs="Arial"/>
          <w:color w:val="000000"/>
          <w:sz w:val="24"/>
          <w:szCs w:val="24"/>
          <w:lang w:eastAsia="pt-BR"/>
        </w:rPr>
        <w:br/>
      </w:r>
      <w:r w:rsidRPr="003D7342">
        <w:rPr>
          <w:rFonts w:ascii="Garamond" w:eastAsia="Times New Roman" w:hAnsi="Garamond" w:cs="Arial"/>
          <w:i/>
          <w:iCs/>
          <w:color w:val="000000"/>
          <w:sz w:val="24"/>
          <w:szCs w:val="24"/>
          <w:lang w:eastAsia="pt-BR"/>
        </w:rPr>
        <w:t>José Eduardo Cardozo</w:t>
      </w:r>
      <w:r w:rsidRPr="003D7342">
        <w:rPr>
          <w:rFonts w:ascii="Garamond" w:eastAsia="Times New Roman" w:hAnsi="Garamond" w:cs="Arial"/>
          <w:i/>
          <w:iCs/>
          <w:color w:val="000000"/>
          <w:sz w:val="24"/>
          <w:szCs w:val="24"/>
          <w:lang w:eastAsia="pt-BR"/>
        </w:rPr>
        <w:br/>
        <w:t>Guido Mantega</w:t>
      </w:r>
      <w:r w:rsidRPr="003D7342">
        <w:rPr>
          <w:rFonts w:ascii="Garamond" w:eastAsia="Times New Roman" w:hAnsi="Garamond" w:cs="Arial"/>
          <w:i/>
          <w:iCs/>
          <w:color w:val="000000"/>
          <w:sz w:val="24"/>
          <w:szCs w:val="24"/>
          <w:lang w:eastAsia="pt-BR"/>
        </w:rPr>
        <w:br/>
        <w:t>César Borges</w:t>
      </w:r>
      <w:r w:rsidRPr="003D7342">
        <w:rPr>
          <w:rFonts w:ascii="Garamond" w:eastAsia="Times New Roman" w:hAnsi="Garamond" w:cs="Arial"/>
          <w:i/>
          <w:iCs/>
          <w:color w:val="000000"/>
          <w:sz w:val="24"/>
          <w:szCs w:val="24"/>
          <w:lang w:eastAsia="pt-BR"/>
        </w:rPr>
        <w:br/>
        <w:t>Luís Inácio Lucena Adams</w:t>
      </w:r>
    </w:p>
    <w:p w14:paraId="5D2BA116" w14:textId="58562C2F" w:rsidR="006D3E4D" w:rsidRDefault="006D3E4D">
      <w:pPr>
        <w:rPr>
          <w:rFonts w:ascii="Garamond" w:hAnsi="Garamond" w:cstheme="majorHAnsi"/>
        </w:rPr>
      </w:pPr>
      <w:r>
        <w:rPr>
          <w:rFonts w:ascii="Garamond" w:hAnsi="Garamond" w:cstheme="majorHAnsi"/>
        </w:rPr>
        <w:br w:type="page"/>
      </w:r>
    </w:p>
    <w:p w14:paraId="56833F0D" w14:textId="2CC258F8" w:rsidR="00CE69B0" w:rsidRPr="006666B4" w:rsidRDefault="00EF5528" w:rsidP="00E422B9">
      <w:pPr>
        <w:pStyle w:val="Ttulo"/>
        <w:tabs>
          <w:tab w:val="clear" w:pos="4249"/>
          <w:tab w:val="clear" w:pos="8498"/>
          <w:tab w:val="left" w:pos="5040"/>
        </w:tabs>
        <w:outlineLvl w:val="1"/>
        <w:rPr>
          <w:rFonts w:cstheme="majorHAnsi"/>
        </w:rPr>
      </w:pPr>
      <w:bookmarkStart w:id="95" w:name="_Toc96003805"/>
      <w:r w:rsidRPr="00395593">
        <w:rPr>
          <w:rFonts w:cstheme="majorHAnsi"/>
        </w:rPr>
        <w:t>Decreto</w:t>
      </w:r>
      <w:r w:rsidR="006666B4" w:rsidRPr="00395593">
        <w:rPr>
          <w:rFonts w:cstheme="majorHAnsi"/>
        </w:rPr>
        <w:t xml:space="preserve"> </w:t>
      </w:r>
      <w:r w:rsidR="00983075" w:rsidRPr="00395593">
        <w:rPr>
          <w:lang w:eastAsia="pt-BR"/>
        </w:rPr>
        <w:t>n</w:t>
      </w:r>
      <w:r w:rsidRPr="00395593">
        <w:rPr>
          <w:lang w:eastAsia="pt-BR"/>
        </w:rPr>
        <w:t>º</w:t>
      </w:r>
      <w:r w:rsidR="006666B4" w:rsidRPr="006666B4">
        <w:rPr>
          <w:lang w:eastAsia="pt-BR"/>
        </w:rPr>
        <w:t xml:space="preserve"> 9.107, </w:t>
      </w:r>
      <w:r w:rsidRPr="00395593">
        <w:rPr>
          <w:lang w:eastAsia="pt-BR"/>
        </w:rPr>
        <w:t>de</w:t>
      </w:r>
      <w:r w:rsidR="006666B4" w:rsidRPr="006666B4">
        <w:rPr>
          <w:lang w:eastAsia="pt-BR"/>
        </w:rPr>
        <w:t xml:space="preserve"> 26 </w:t>
      </w:r>
      <w:r w:rsidRPr="00395593">
        <w:rPr>
          <w:lang w:eastAsia="pt-BR"/>
        </w:rPr>
        <w:t>de</w:t>
      </w:r>
      <w:r w:rsidR="006666B4" w:rsidRPr="00395593">
        <w:rPr>
          <w:lang w:eastAsia="pt-BR"/>
        </w:rPr>
        <w:t xml:space="preserve"> </w:t>
      </w:r>
      <w:r w:rsidRPr="00395593">
        <w:rPr>
          <w:lang w:eastAsia="pt-BR"/>
        </w:rPr>
        <w:t>julho de</w:t>
      </w:r>
      <w:r w:rsidR="006666B4" w:rsidRPr="006666B4">
        <w:rPr>
          <w:lang w:eastAsia="pt-BR"/>
        </w:rPr>
        <w:t xml:space="preserve"> 2017</w:t>
      </w:r>
      <w:bookmarkEnd w:id="95"/>
      <w:r w:rsidR="001212FB">
        <w:rPr>
          <w:lang w:eastAsia="pt-BR"/>
        </w:rPr>
        <w:tab/>
      </w:r>
    </w:p>
    <w:p w14:paraId="040D7EE2" w14:textId="77777777" w:rsidR="006666B4" w:rsidRPr="00395593" w:rsidRDefault="006666B4" w:rsidP="00F26A10">
      <w:pPr>
        <w:pStyle w:val="Corpodetexto"/>
        <w:spacing w:line="252" w:lineRule="auto"/>
        <w:ind w:left="4536" w:right="38"/>
        <w:jc w:val="both"/>
        <w:rPr>
          <w:rFonts w:ascii="Garamond" w:hAnsi="Garamond"/>
        </w:rPr>
      </w:pPr>
      <w:r w:rsidRPr="00395593">
        <w:rPr>
          <w:rFonts w:ascii="Garamond" w:hAnsi="Garamond"/>
        </w:rPr>
        <w:t>Dispõe sobre os prazos e os requisitos apli-</w:t>
      </w:r>
      <w:r w:rsidRPr="00395593">
        <w:rPr>
          <w:rFonts w:ascii="Garamond" w:hAnsi="Garamond"/>
          <w:spacing w:val="1"/>
        </w:rPr>
        <w:t xml:space="preserve"> </w:t>
      </w:r>
      <w:r w:rsidRPr="00395593">
        <w:rPr>
          <w:rFonts w:ascii="Garamond" w:hAnsi="Garamond"/>
        </w:rPr>
        <w:t>cáveis às indústrias fragmentadas no âmbito</w:t>
      </w:r>
      <w:r w:rsidRPr="00395593">
        <w:rPr>
          <w:rFonts w:ascii="Garamond" w:hAnsi="Garamond"/>
          <w:spacing w:val="-37"/>
        </w:rPr>
        <w:t xml:space="preserve"> </w:t>
      </w:r>
      <w:r w:rsidRPr="00395593">
        <w:rPr>
          <w:rFonts w:ascii="Garamond" w:hAnsi="Garamond"/>
        </w:rPr>
        <w:t>de</w:t>
      </w:r>
      <w:r w:rsidRPr="00395593">
        <w:rPr>
          <w:rFonts w:ascii="Garamond" w:hAnsi="Garamond"/>
          <w:spacing w:val="20"/>
        </w:rPr>
        <w:t xml:space="preserve"> </w:t>
      </w:r>
      <w:r w:rsidRPr="00395593">
        <w:rPr>
          <w:rFonts w:ascii="Garamond" w:hAnsi="Garamond"/>
        </w:rPr>
        <w:t>investigações</w:t>
      </w:r>
      <w:r w:rsidRPr="00395593">
        <w:rPr>
          <w:rFonts w:ascii="Garamond" w:hAnsi="Garamond"/>
          <w:spacing w:val="20"/>
        </w:rPr>
        <w:t xml:space="preserve"> </w:t>
      </w:r>
      <w:r w:rsidRPr="00395593">
        <w:rPr>
          <w:rFonts w:ascii="Garamond" w:hAnsi="Garamond"/>
        </w:rPr>
        <w:t>de</w:t>
      </w:r>
      <w:r w:rsidRPr="00395593">
        <w:rPr>
          <w:rFonts w:ascii="Garamond" w:hAnsi="Garamond"/>
          <w:spacing w:val="20"/>
        </w:rPr>
        <w:t xml:space="preserve"> </w:t>
      </w:r>
      <w:r w:rsidRPr="00395593">
        <w:rPr>
          <w:rFonts w:ascii="Garamond" w:hAnsi="Garamond"/>
        </w:rPr>
        <w:t>defesa</w:t>
      </w:r>
      <w:r w:rsidRPr="00395593">
        <w:rPr>
          <w:rFonts w:ascii="Garamond" w:hAnsi="Garamond"/>
          <w:spacing w:val="20"/>
        </w:rPr>
        <w:t xml:space="preserve"> </w:t>
      </w:r>
      <w:r w:rsidRPr="00395593">
        <w:rPr>
          <w:rFonts w:ascii="Garamond" w:hAnsi="Garamond"/>
        </w:rPr>
        <w:t>comercial.</w:t>
      </w:r>
    </w:p>
    <w:p w14:paraId="14C955B5" w14:textId="0A887A49" w:rsidR="006666B4" w:rsidRPr="00395593" w:rsidRDefault="006666B4" w:rsidP="006666B4">
      <w:pPr>
        <w:pStyle w:val="Corpodetexto"/>
        <w:spacing w:before="161" w:line="252" w:lineRule="auto"/>
        <w:ind w:left="112" w:right="38" w:firstLine="564"/>
        <w:jc w:val="both"/>
        <w:rPr>
          <w:rFonts w:ascii="Garamond" w:hAnsi="Garamond"/>
        </w:rPr>
      </w:pPr>
      <w:r w:rsidRPr="00395593">
        <w:rPr>
          <w:rFonts w:ascii="Garamond" w:hAnsi="Garamond"/>
          <w:b/>
        </w:rPr>
        <w:t>O PRESIDENTE DA REPÚBLICA</w:t>
      </w:r>
      <w:r w:rsidRPr="00395593">
        <w:rPr>
          <w:rFonts w:ascii="Garamond" w:hAnsi="Garamond"/>
        </w:rPr>
        <w:t>, no uso das atribuições</w:t>
      </w:r>
      <w:r w:rsidRPr="00395593">
        <w:rPr>
          <w:rFonts w:ascii="Garamond" w:hAnsi="Garamond"/>
          <w:spacing w:val="-37"/>
        </w:rPr>
        <w:t xml:space="preserve"> </w:t>
      </w:r>
      <w:r w:rsidRPr="00395593">
        <w:rPr>
          <w:rFonts w:ascii="Garamond" w:hAnsi="Garamond"/>
        </w:rPr>
        <w:t xml:space="preserve">que lhe confere o art. 84, </w:t>
      </w:r>
      <w:r w:rsidRPr="00395593">
        <w:rPr>
          <w:rFonts w:ascii="Garamond" w:hAnsi="Garamond"/>
          <w:b/>
        </w:rPr>
        <w:t>caput</w:t>
      </w:r>
      <w:r w:rsidRPr="00395593">
        <w:rPr>
          <w:rFonts w:ascii="Garamond" w:hAnsi="Garamond"/>
        </w:rPr>
        <w:t>, incisos IV e VI, da Constituição,</w:t>
      </w:r>
      <w:r w:rsidRPr="00395593">
        <w:rPr>
          <w:rFonts w:ascii="Garamond" w:hAnsi="Garamond"/>
          <w:spacing w:val="1"/>
        </w:rPr>
        <w:t xml:space="preserve"> </w:t>
      </w:r>
      <w:r w:rsidRPr="00395593">
        <w:rPr>
          <w:rFonts w:ascii="Garamond" w:hAnsi="Garamond"/>
        </w:rPr>
        <w:t>tendo</w:t>
      </w:r>
      <w:r w:rsidRPr="00395593">
        <w:rPr>
          <w:rFonts w:ascii="Garamond" w:hAnsi="Garamond"/>
          <w:spacing w:val="10"/>
        </w:rPr>
        <w:t xml:space="preserve"> </w:t>
      </w:r>
      <w:r w:rsidRPr="00395593">
        <w:rPr>
          <w:rFonts w:ascii="Garamond" w:hAnsi="Garamond"/>
        </w:rPr>
        <w:t>em</w:t>
      </w:r>
      <w:r w:rsidRPr="00395593">
        <w:rPr>
          <w:rFonts w:ascii="Garamond" w:hAnsi="Garamond"/>
          <w:spacing w:val="11"/>
        </w:rPr>
        <w:t xml:space="preserve"> </w:t>
      </w:r>
      <w:r w:rsidRPr="00395593">
        <w:rPr>
          <w:rFonts w:ascii="Garamond" w:hAnsi="Garamond"/>
        </w:rPr>
        <w:t>vista</w:t>
      </w:r>
      <w:r w:rsidRPr="00395593">
        <w:rPr>
          <w:rFonts w:ascii="Garamond" w:hAnsi="Garamond"/>
          <w:spacing w:val="11"/>
        </w:rPr>
        <w:t xml:space="preserve"> </w:t>
      </w:r>
      <w:r w:rsidRPr="00395593">
        <w:rPr>
          <w:rFonts w:ascii="Garamond" w:hAnsi="Garamond"/>
        </w:rPr>
        <w:t>o</w:t>
      </w:r>
      <w:r w:rsidRPr="00395593">
        <w:rPr>
          <w:rFonts w:ascii="Garamond" w:hAnsi="Garamond"/>
          <w:spacing w:val="11"/>
        </w:rPr>
        <w:t xml:space="preserve"> </w:t>
      </w:r>
      <w:r w:rsidRPr="00395593">
        <w:rPr>
          <w:rFonts w:ascii="Garamond" w:hAnsi="Garamond"/>
        </w:rPr>
        <w:t>disposto</w:t>
      </w:r>
      <w:r w:rsidRPr="00395593">
        <w:rPr>
          <w:rFonts w:ascii="Garamond" w:hAnsi="Garamond"/>
          <w:spacing w:val="11"/>
        </w:rPr>
        <w:t xml:space="preserve"> </w:t>
      </w:r>
      <w:r w:rsidRPr="00395593">
        <w:rPr>
          <w:rFonts w:ascii="Garamond" w:hAnsi="Garamond"/>
        </w:rPr>
        <w:t>no</w:t>
      </w:r>
      <w:r w:rsidRPr="00395593">
        <w:rPr>
          <w:rFonts w:ascii="Garamond" w:hAnsi="Garamond"/>
          <w:spacing w:val="11"/>
        </w:rPr>
        <w:t xml:space="preserve"> </w:t>
      </w:r>
      <w:r w:rsidRPr="00395593">
        <w:rPr>
          <w:rFonts w:ascii="Garamond" w:hAnsi="Garamond"/>
        </w:rPr>
        <w:t>art.</w:t>
      </w:r>
      <w:r w:rsidRPr="00395593">
        <w:rPr>
          <w:rFonts w:ascii="Garamond" w:hAnsi="Garamond"/>
          <w:spacing w:val="11"/>
        </w:rPr>
        <w:t xml:space="preserve"> </w:t>
      </w:r>
      <w:r w:rsidRPr="00395593">
        <w:rPr>
          <w:rFonts w:ascii="Garamond" w:hAnsi="Garamond"/>
        </w:rPr>
        <w:t>170,</w:t>
      </w:r>
      <w:r w:rsidRPr="00395593">
        <w:rPr>
          <w:rFonts w:ascii="Garamond" w:hAnsi="Garamond"/>
          <w:spacing w:val="12"/>
        </w:rPr>
        <w:t xml:space="preserve"> </w:t>
      </w:r>
      <w:r w:rsidRPr="00395593">
        <w:rPr>
          <w:rFonts w:ascii="Garamond" w:hAnsi="Garamond"/>
          <w:b/>
        </w:rPr>
        <w:t>caput</w:t>
      </w:r>
      <w:r w:rsidRPr="00395593">
        <w:rPr>
          <w:rFonts w:ascii="Garamond" w:hAnsi="Garamond"/>
        </w:rPr>
        <w:t>,</w:t>
      </w:r>
      <w:r w:rsidRPr="00395593">
        <w:rPr>
          <w:rFonts w:ascii="Garamond" w:hAnsi="Garamond"/>
          <w:spacing w:val="11"/>
        </w:rPr>
        <w:t xml:space="preserve"> </w:t>
      </w:r>
      <w:r w:rsidRPr="00395593">
        <w:rPr>
          <w:rFonts w:ascii="Garamond" w:hAnsi="Garamond"/>
        </w:rPr>
        <w:t>inciso</w:t>
      </w:r>
      <w:r w:rsidRPr="00395593">
        <w:rPr>
          <w:rFonts w:ascii="Garamond" w:hAnsi="Garamond"/>
          <w:spacing w:val="11"/>
        </w:rPr>
        <w:t xml:space="preserve"> </w:t>
      </w:r>
      <w:r w:rsidRPr="00395593">
        <w:rPr>
          <w:rFonts w:ascii="Garamond" w:hAnsi="Garamond"/>
        </w:rPr>
        <w:t>IX,</w:t>
      </w:r>
      <w:r w:rsidRPr="00395593">
        <w:rPr>
          <w:rFonts w:ascii="Garamond" w:hAnsi="Garamond"/>
          <w:spacing w:val="11"/>
        </w:rPr>
        <w:t xml:space="preserve"> </w:t>
      </w:r>
      <w:r w:rsidRPr="00395593">
        <w:rPr>
          <w:rFonts w:ascii="Garamond" w:hAnsi="Garamond"/>
        </w:rPr>
        <w:t>e</w:t>
      </w:r>
      <w:r w:rsidRPr="00395593">
        <w:rPr>
          <w:rFonts w:ascii="Garamond" w:hAnsi="Garamond"/>
          <w:spacing w:val="11"/>
        </w:rPr>
        <w:t xml:space="preserve"> </w:t>
      </w:r>
      <w:r w:rsidRPr="00395593">
        <w:rPr>
          <w:rFonts w:ascii="Garamond" w:hAnsi="Garamond"/>
        </w:rPr>
        <w:t>no</w:t>
      </w:r>
      <w:r w:rsidRPr="00395593">
        <w:rPr>
          <w:rFonts w:ascii="Garamond" w:hAnsi="Garamond"/>
          <w:spacing w:val="11"/>
        </w:rPr>
        <w:t xml:space="preserve"> </w:t>
      </w:r>
      <w:r w:rsidRPr="00395593">
        <w:rPr>
          <w:rFonts w:ascii="Garamond" w:hAnsi="Garamond"/>
        </w:rPr>
        <w:t>art.</w:t>
      </w:r>
      <w:r w:rsidRPr="00395593">
        <w:rPr>
          <w:rFonts w:ascii="Garamond" w:hAnsi="Garamond"/>
          <w:spacing w:val="11"/>
        </w:rPr>
        <w:t xml:space="preserve"> </w:t>
      </w:r>
      <w:r w:rsidRPr="00395593">
        <w:rPr>
          <w:rFonts w:ascii="Garamond" w:hAnsi="Garamond"/>
        </w:rPr>
        <w:t>179</w:t>
      </w:r>
      <w:r w:rsidRPr="00395593">
        <w:rPr>
          <w:rFonts w:ascii="Garamond" w:hAnsi="Garamond"/>
          <w:spacing w:val="-38"/>
        </w:rPr>
        <w:t xml:space="preserve"> </w:t>
      </w:r>
      <w:r w:rsidRPr="00395593">
        <w:rPr>
          <w:rFonts w:ascii="Garamond" w:hAnsi="Garamond"/>
        </w:rPr>
        <w:t>da</w:t>
      </w:r>
      <w:r w:rsidRPr="00395593">
        <w:rPr>
          <w:rFonts w:ascii="Garamond" w:hAnsi="Garamond"/>
          <w:spacing w:val="20"/>
        </w:rPr>
        <w:t xml:space="preserve"> </w:t>
      </w:r>
      <w:r w:rsidRPr="00395593">
        <w:rPr>
          <w:rFonts w:ascii="Garamond" w:hAnsi="Garamond"/>
        </w:rPr>
        <w:t>Constituição,</w:t>
      </w:r>
      <w:r w:rsidRPr="00395593">
        <w:rPr>
          <w:rFonts w:ascii="Garamond" w:hAnsi="Garamond"/>
          <w:spacing w:val="21"/>
        </w:rPr>
        <w:t xml:space="preserve"> </w:t>
      </w:r>
      <w:r w:rsidRPr="00395593">
        <w:rPr>
          <w:rFonts w:ascii="Garamond" w:hAnsi="Garamond"/>
        </w:rPr>
        <w:t>e</w:t>
      </w:r>
    </w:p>
    <w:p w14:paraId="0AE9BDAD" w14:textId="77777777" w:rsidR="006666B4" w:rsidRPr="00395593" w:rsidRDefault="006666B4" w:rsidP="006666B4">
      <w:pPr>
        <w:pStyle w:val="Corpodetexto"/>
        <w:spacing w:before="1"/>
        <w:jc w:val="both"/>
        <w:rPr>
          <w:rFonts w:ascii="Garamond" w:hAnsi="Garamond"/>
        </w:rPr>
      </w:pPr>
    </w:p>
    <w:p w14:paraId="441E3CCF" w14:textId="1D151B86" w:rsidR="006666B4" w:rsidRPr="00395593" w:rsidRDefault="006666B4" w:rsidP="006666B4">
      <w:pPr>
        <w:pStyle w:val="Corpodetexto"/>
        <w:spacing w:line="252" w:lineRule="auto"/>
        <w:ind w:left="112" w:right="38" w:firstLine="564"/>
        <w:jc w:val="both"/>
        <w:rPr>
          <w:rFonts w:ascii="Garamond" w:hAnsi="Garamond"/>
        </w:rPr>
      </w:pPr>
      <w:r w:rsidRPr="00395593">
        <w:rPr>
          <w:rFonts w:ascii="Garamond" w:hAnsi="Garamond"/>
        </w:rPr>
        <w:t>Considerando o disposto no Acordo Relativo à Implementação</w:t>
      </w:r>
      <w:r w:rsidRPr="00395593">
        <w:rPr>
          <w:rFonts w:ascii="Garamond" w:hAnsi="Garamond"/>
          <w:spacing w:val="1"/>
        </w:rPr>
        <w:t xml:space="preserve"> </w:t>
      </w:r>
      <w:r w:rsidRPr="00395593">
        <w:rPr>
          <w:rFonts w:ascii="Garamond" w:hAnsi="Garamond"/>
        </w:rPr>
        <w:t>do</w:t>
      </w:r>
      <w:r w:rsidRPr="00395593">
        <w:rPr>
          <w:rFonts w:ascii="Garamond" w:hAnsi="Garamond"/>
          <w:spacing w:val="1"/>
        </w:rPr>
        <w:t xml:space="preserve"> </w:t>
      </w:r>
      <w:r w:rsidRPr="00395593">
        <w:rPr>
          <w:rFonts w:ascii="Garamond" w:hAnsi="Garamond"/>
        </w:rPr>
        <w:t>Artigo</w:t>
      </w:r>
      <w:r w:rsidRPr="00395593">
        <w:rPr>
          <w:rFonts w:ascii="Garamond" w:hAnsi="Garamond"/>
          <w:spacing w:val="1"/>
        </w:rPr>
        <w:t xml:space="preserve"> </w:t>
      </w:r>
      <w:r w:rsidRPr="00395593">
        <w:rPr>
          <w:rFonts w:ascii="Garamond" w:hAnsi="Garamond"/>
        </w:rPr>
        <w:t>VI</w:t>
      </w:r>
      <w:r w:rsidRPr="00395593">
        <w:rPr>
          <w:rFonts w:ascii="Garamond" w:hAnsi="Garamond"/>
          <w:spacing w:val="1"/>
        </w:rPr>
        <w:t xml:space="preserve"> </w:t>
      </w:r>
      <w:r w:rsidRPr="00395593">
        <w:rPr>
          <w:rFonts w:ascii="Garamond" w:hAnsi="Garamond"/>
        </w:rPr>
        <w:t>do</w:t>
      </w:r>
      <w:r w:rsidRPr="00395593">
        <w:rPr>
          <w:rFonts w:ascii="Garamond" w:hAnsi="Garamond"/>
          <w:spacing w:val="1"/>
        </w:rPr>
        <w:t xml:space="preserve"> </w:t>
      </w:r>
      <w:r w:rsidRPr="00395593">
        <w:rPr>
          <w:rFonts w:ascii="Garamond" w:hAnsi="Garamond"/>
        </w:rPr>
        <w:t>Acordo</w:t>
      </w:r>
      <w:r w:rsidRPr="00395593">
        <w:rPr>
          <w:rFonts w:ascii="Garamond" w:hAnsi="Garamond"/>
          <w:spacing w:val="1"/>
        </w:rPr>
        <w:t xml:space="preserve"> </w:t>
      </w:r>
      <w:r w:rsidRPr="00395593">
        <w:rPr>
          <w:rFonts w:ascii="Garamond" w:hAnsi="Garamond"/>
        </w:rPr>
        <w:t>Geral</w:t>
      </w:r>
      <w:r w:rsidRPr="00395593">
        <w:rPr>
          <w:rFonts w:ascii="Garamond" w:hAnsi="Garamond"/>
          <w:spacing w:val="1"/>
        </w:rPr>
        <w:t xml:space="preserve"> </w:t>
      </w:r>
      <w:r w:rsidRPr="00395593">
        <w:rPr>
          <w:rFonts w:ascii="Garamond" w:hAnsi="Garamond"/>
        </w:rPr>
        <w:t>sobre</w:t>
      </w:r>
      <w:r w:rsidRPr="00395593">
        <w:rPr>
          <w:rFonts w:ascii="Garamond" w:hAnsi="Garamond"/>
          <w:spacing w:val="1"/>
        </w:rPr>
        <w:t xml:space="preserve"> </w:t>
      </w:r>
      <w:r w:rsidRPr="00395593">
        <w:rPr>
          <w:rFonts w:ascii="Garamond" w:hAnsi="Garamond"/>
        </w:rPr>
        <w:t>Tarifas</w:t>
      </w:r>
      <w:r w:rsidRPr="00395593">
        <w:rPr>
          <w:rFonts w:ascii="Garamond" w:hAnsi="Garamond"/>
          <w:spacing w:val="1"/>
        </w:rPr>
        <w:t xml:space="preserve"> </w:t>
      </w:r>
      <w:r w:rsidRPr="00395593">
        <w:rPr>
          <w:rFonts w:ascii="Garamond" w:hAnsi="Garamond"/>
        </w:rPr>
        <w:t>Aduaneiras</w:t>
      </w:r>
      <w:r w:rsidRPr="00395593">
        <w:rPr>
          <w:rFonts w:ascii="Garamond" w:hAnsi="Garamond"/>
          <w:spacing w:val="1"/>
        </w:rPr>
        <w:t xml:space="preserve"> </w:t>
      </w:r>
      <w:r w:rsidRPr="00395593">
        <w:rPr>
          <w:rFonts w:ascii="Garamond" w:hAnsi="Garamond"/>
        </w:rPr>
        <w:t>e</w:t>
      </w:r>
      <w:r w:rsidRPr="00395593">
        <w:rPr>
          <w:rFonts w:ascii="Garamond" w:hAnsi="Garamond"/>
          <w:spacing w:val="1"/>
        </w:rPr>
        <w:t xml:space="preserve"> </w:t>
      </w:r>
      <w:r w:rsidRPr="00395593">
        <w:rPr>
          <w:rFonts w:ascii="Garamond" w:hAnsi="Garamond"/>
        </w:rPr>
        <w:t>Comércio - GATT/1994, no Acordo sobre Subsídios e Medidas Compensatórias e no Acordo sobre Salvaguarda, promulgados pelo Decreto nº 1.355, de 30 de dezembro de 1994, e regulamentados pelo</w:t>
      </w:r>
      <w:r w:rsidRPr="00395593">
        <w:rPr>
          <w:rFonts w:ascii="Garamond" w:hAnsi="Garamond"/>
          <w:spacing w:val="1"/>
        </w:rPr>
        <w:t xml:space="preserve"> </w:t>
      </w:r>
      <w:r w:rsidRPr="00395593">
        <w:rPr>
          <w:rFonts w:ascii="Garamond" w:hAnsi="Garamond"/>
        </w:rPr>
        <w:t>Decreto</w:t>
      </w:r>
      <w:r w:rsidRPr="00395593">
        <w:rPr>
          <w:rFonts w:ascii="Garamond" w:hAnsi="Garamond"/>
          <w:spacing w:val="34"/>
        </w:rPr>
        <w:t xml:space="preserve"> </w:t>
      </w:r>
      <w:r w:rsidRPr="00395593">
        <w:rPr>
          <w:rFonts w:ascii="Garamond" w:hAnsi="Garamond"/>
        </w:rPr>
        <w:t>nº</w:t>
      </w:r>
      <w:r w:rsidRPr="00395593">
        <w:rPr>
          <w:rFonts w:ascii="Garamond" w:hAnsi="Garamond"/>
          <w:spacing w:val="35"/>
        </w:rPr>
        <w:t xml:space="preserve"> </w:t>
      </w:r>
      <w:r w:rsidRPr="00395593">
        <w:rPr>
          <w:rFonts w:ascii="Garamond" w:hAnsi="Garamond"/>
        </w:rPr>
        <w:t>1.751,</w:t>
      </w:r>
      <w:r w:rsidRPr="00395593">
        <w:rPr>
          <w:rFonts w:ascii="Garamond" w:hAnsi="Garamond"/>
          <w:spacing w:val="35"/>
        </w:rPr>
        <w:t xml:space="preserve"> </w:t>
      </w:r>
      <w:r w:rsidRPr="00395593">
        <w:rPr>
          <w:rFonts w:ascii="Garamond" w:hAnsi="Garamond"/>
        </w:rPr>
        <w:t>de</w:t>
      </w:r>
      <w:r w:rsidRPr="00395593">
        <w:rPr>
          <w:rFonts w:ascii="Garamond" w:hAnsi="Garamond"/>
          <w:spacing w:val="34"/>
        </w:rPr>
        <w:t xml:space="preserve"> </w:t>
      </w:r>
      <w:r w:rsidRPr="00395593">
        <w:rPr>
          <w:rFonts w:ascii="Garamond" w:hAnsi="Garamond"/>
        </w:rPr>
        <w:t>19</w:t>
      </w:r>
      <w:r w:rsidRPr="00395593">
        <w:rPr>
          <w:rFonts w:ascii="Garamond" w:hAnsi="Garamond"/>
          <w:spacing w:val="35"/>
        </w:rPr>
        <w:t xml:space="preserve"> </w:t>
      </w:r>
      <w:r w:rsidRPr="00395593">
        <w:rPr>
          <w:rFonts w:ascii="Garamond" w:hAnsi="Garamond"/>
        </w:rPr>
        <w:t>de</w:t>
      </w:r>
      <w:r w:rsidRPr="00395593">
        <w:rPr>
          <w:rFonts w:ascii="Garamond" w:hAnsi="Garamond"/>
          <w:spacing w:val="35"/>
        </w:rPr>
        <w:t xml:space="preserve"> </w:t>
      </w:r>
      <w:r w:rsidRPr="00395593">
        <w:rPr>
          <w:rFonts w:ascii="Garamond" w:hAnsi="Garamond"/>
        </w:rPr>
        <w:t>dezembro</w:t>
      </w:r>
      <w:r w:rsidRPr="00395593">
        <w:rPr>
          <w:rFonts w:ascii="Garamond" w:hAnsi="Garamond"/>
          <w:spacing w:val="34"/>
        </w:rPr>
        <w:t xml:space="preserve"> </w:t>
      </w:r>
      <w:r w:rsidRPr="00395593">
        <w:rPr>
          <w:rFonts w:ascii="Garamond" w:hAnsi="Garamond"/>
        </w:rPr>
        <w:t>de</w:t>
      </w:r>
      <w:r w:rsidRPr="00395593">
        <w:rPr>
          <w:rFonts w:ascii="Garamond" w:hAnsi="Garamond"/>
          <w:spacing w:val="35"/>
        </w:rPr>
        <w:t xml:space="preserve"> </w:t>
      </w:r>
      <w:r w:rsidRPr="00395593">
        <w:rPr>
          <w:rFonts w:ascii="Garamond" w:hAnsi="Garamond"/>
        </w:rPr>
        <w:t>1995,</w:t>
      </w:r>
      <w:r w:rsidRPr="00395593">
        <w:rPr>
          <w:rFonts w:ascii="Garamond" w:hAnsi="Garamond"/>
          <w:spacing w:val="35"/>
        </w:rPr>
        <w:t xml:space="preserve"> </w:t>
      </w:r>
      <w:r w:rsidRPr="00395593">
        <w:rPr>
          <w:rFonts w:ascii="Garamond" w:hAnsi="Garamond"/>
        </w:rPr>
        <w:t>e</w:t>
      </w:r>
      <w:r w:rsidRPr="00395593">
        <w:rPr>
          <w:rFonts w:ascii="Garamond" w:hAnsi="Garamond"/>
          <w:spacing w:val="34"/>
        </w:rPr>
        <w:t xml:space="preserve"> </w:t>
      </w:r>
      <w:r w:rsidRPr="00395593">
        <w:rPr>
          <w:rFonts w:ascii="Garamond" w:hAnsi="Garamond"/>
        </w:rPr>
        <w:t>pelo</w:t>
      </w:r>
      <w:r w:rsidRPr="00395593">
        <w:rPr>
          <w:rFonts w:ascii="Garamond" w:hAnsi="Garamond"/>
          <w:spacing w:val="35"/>
        </w:rPr>
        <w:t xml:space="preserve"> </w:t>
      </w:r>
      <w:r w:rsidRPr="00395593">
        <w:rPr>
          <w:rFonts w:ascii="Garamond" w:hAnsi="Garamond"/>
        </w:rPr>
        <w:t>Decreto</w:t>
      </w:r>
      <w:r w:rsidRPr="00395593">
        <w:rPr>
          <w:rFonts w:ascii="Garamond" w:hAnsi="Garamond"/>
          <w:spacing w:val="35"/>
        </w:rPr>
        <w:t xml:space="preserve"> </w:t>
      </w:r>
      <w:r w:rsidRPr="00395593">
        <w:rPr>
          <w:rFonts w:ascii="Garamond" w:hAnsi="Garamond"/>
        </w:rPr>
        <w:t>nº</w:t>
      </w:r>
      <w:r w:rsidRPr="00395593">
        <w:rPr>
          <w:rFonts w:ascii="Garamond" w:hAnsi="Garamond"/>
          <w:spacing w:val="-38"/>
        </w:rPr>
        <w:t xml:space="preserve"> </w:t>
      </w:r>
      <w:r w:rsidRPr="00395593">
        <w:rPr>
          <w:rFonts w:ascii="Garamond" w:hAnsi="Garamond"/>
        </w:rPr>
        <w:t>8.058,</w:t>
      </w:r>
      <w:r w:rsidRPr="00395593">
        <w:rPr>
          <w:rFonts w:ascii="Garamond" w:hAnsi="Garamond"/>
          <w:spacing w:val="20"/>
        </w:rPr>
        <w:t xml:space="preserve"> </w:t>
      </w:r>
      <w:r w:rsidRPr="00395593">
        <w:rPr>
          <w:rFonts w:ascii="Garamond" w:hAnsi="Garamond"/>
        </w:rPr>
        <w:t>de</w:t>
      </w:r>
      <w:r w:rsidRPr="00395593">
        <w:rPr>
          <w:rFonts w:ascii="Garamond" w:hAnsi="Garamond"/>
          <w:spacing w:val="21"/>
        </w:rPr>
        <w:t xml:space="preserve"> </w:t>
      </w:r>
      <w:r w:rsidRPr="00395593">
        <w:rPr>
          <w:rFonts w:ascii="Garamond" w:hAnsi="Garamond"/>
        </w:rPr>
        <w:t>26</w:t>
      </w:r>
      <w:r w:rsidRPr="00395593">
        <w:rPr>
          <w:rFonts w:ascii="Garamond" w:hAnsi="Garamond"/>
          <w:spacing w:val="21"/>
        </w:rPr>
        <w:t xml:space="preserve"> </w:t>
      </w:r>
      <w:r w:rsidRPr="00395593">
        <w:rPr>
          <w:rFonts w:ascii="Garamond" w:hAnsi="Garamond"/>
        </w:rPr>
        <w:t>de</w:t>
      </w:r>
      <w:r w:rsidRPr="00395593">
        <w:rPr>
          <w:rFonts w:ascii="Garamond" w:hAnsi="Garamond"/>
          <w:spacing w:val="21"/>
        </w:rPr>
        <w:t xml:space="preserve"> </w:t>
      </w:r>
      <w:r w:rsidRPr="00395593">
        <w:rPr>
          <w:rFonts w:ascii="Garamond" w:hAnsi="Garamond"/>
        </w:rPr>
        <w:t>julho</w:t>
      </w:r>
      <w:r w:rsidRPr="00395593">
        <w:rPr>
          <w:rFonts w:ascii="Garamond" w:hAnsi="Garamond"/>
          <w:spacing w:val="21"/>
        </w:rPr>
        <w:t xml:space="preserve"> </w:t>
      </w:r>
      <w:r w:rsidRPr="00395593">
        <w:rPr>
          <w:rFonts w:ascii="Garamond" w:hAnsi="Garamond"/>
        </w:rPr>
        <w:t>de</w:t>
      </w:r>
      <w:r w:rsidRPr="00395593">
        <w:rPr>
          <w:rFonts w:ascii="Garamond" w:hAnsi="Garamond"/>
          <w:spacing w:val="21"/>
        </w:rPr>
        <w:t xml:space="preserve"> </w:t>
      </w:r>
      <w:r w:rsidRPr="00395593">
        <w:rPr>
          <w:rFonts w:ascii="Garamond" w:hAnsi="Garamond"/>
        </w:rPr>
        <w:t>2013,</w:t>
      </w:r>
    </w:p>
    <w:p w14:paraId="35F77E5F" w14:textId="77777777" w:rsidR="006666B4" w:rsidRPr="005C5CBD" w:rsidRDefault="006666B4" w:rsidP="00BE78D4">
      <w:pPr>
        <w:pStyle w:val="Corpodetexto"/>
        <w:rPr>
          <w:rStyle w:val="CorpodetextoChar"/>
          <w:rFonts w:ascii="Garamond" w:hAnsi="Garamond"/>
        </w:rPr>
      </w:pPr>
    </w:p>
    <w:p w14:paraId="11BC524E" w14:textId="7FE4D6DB" w:rsidR="006666B4" w:rsidRPr="005C5CBD" w:rsidRDefault="006666B4" w:rsidP="00BE78D4">
      <w:pPr>
        <w:pStyle w:val="Corpodetexto"/>
        <w:rPr>
          <w:rFonts w:ascii="Garamond" w:hAnsi="Garamond"/>
        </w:rPr>
      </w:pPr>
      <w:r w:rsidRPr="005C5CBD">
        <w:rPr>
          <w:rStyle w:val="CorpodetextoChar"/>
          <w:rFonts w:ascii="Garamond" w:hAnsi="Garamond"/>
        </w:rPr>
        <w:t>D</w:t>
      </w:r>
      <w:r w:rsidRPr="005C5CBD">
        <w:rPr>
          <w:rFonts w:ascii="Garamond" w:hAnsi="Garamond"/>
          <w:spacing w:val="-1"/>
        </w:rPr>
        <w:t xml:space="preserve"> </w:t>
      </w:r>
      <w:r w:rsidRPr="005C5CBD">
        <w:rPr>
          <w:rFonts w:ascii="Garamond" w:hAnsi="Garamond"/>
          <w:spacing w:val="21"/>
        </w:rPr>
        <w:t>E</w:t>
      </w:r>
      <w:r w:rsidRPr="005C5CBD">
        <w:rPr>
          <w:rFonts w:ascii="Garamond" w:hAnsi="Garamond"/>
        </w:rPr>
        <w:t xml:space="preserve"> </w:t>
      </w:r>
      <w:r w:rsidRPr="005C5CBD">
        <w:rPr>
          <w:rFonts w:ascii="Garamond" w:hAnsi="Garamond"/>
          <w:spacing w:val="21"/>
        </w:rPr>
        <w:t>C</w:t>
      </w:r>
      <w:r w:rsidRPr="005C5CBD">
        <w:rPr>
          <w:rFonts w:ascii="Garamond" w:hAnsi="Garamond"/>
          <w:spacing w:val="-1"/>
        </w:rPr>
        <w:t xml:space="preserve"> </w:t>
      </w:r>
      <w:r w:rsidRPr="005C5CBD">
        <w:rPr>
          <w:rFonts w:ascii="Garamond" w:hAnsi="Garamond"/>
          <w:spacing w:val="21"/>
        </w:rPr>
        <w:t>R</w:t>
      </w:r>
      <w:r w:rsidRPr="005C5CBD">
        <w:rPr>
          <w:rFonts w:ascii="Garamond" w:hAnsi="Garamond"/>
        </w:rPr>
        <w:t xml:space="preserve"> </w:t>
      </w:r>
      <w:r w:rsidRPr="005C5CBD">
        <w:rPr>
          <w:rFonts w:ascii="Garamond" w:hAnsi="Garamond"/>
          <w:spacing w:val="21"/>
        </w:rPr>
        <w:t>E</w:t>
      </w:r>
      <w:r w:rsidRPr="005C5CBD">
        <w:rPr>
          <w:rFonts w:ascii="Garamond" w:hAnsi="Garamond"/>
        </w:rPr>
        <w:t xml:space="preserve"> </w:t>
      </w:r>
      <w:r w:rsidRPr="005C5CBD">
        <w:rPr>
          <w:rFonts w:ascii="Garamond" w:hAnsi="Garamond"/>
          <w:spacing w:val="21"/>
        </w:rPr>
        <w:t>T</w:t>
      </w:r>
      <w:r w:rsidRPr="005C5CBD">
        <w:rPr>
          <w:rFonts w:ascii="Garamond" w:hAnsi="Garamond"/>
          <w:spacing w:val="-1"/>
        </w:rPr>
        <w:t xml:space="preserve"> </w:t>
      </w:r>
      <w:r w:rsidRPr="005C5CBD">
        <w:rPr>
          <w:rFonts w:ascii="Garamond" w:hAnsi="Garamond"/>
          <w:spacing w:val="21"/>
        </w:rPr>
        <w:t>A</w:t>
      </w:r>
      <w:r w:rsidRPr="005C5CBD">
        <w:rPr>
          <w:rFonts w:ascii="Garamond" w:hAnsi="Garamond"/>
        </w:rPr>
        <w:t xml:space="preserve"> : </w:t>
      </w:r>
      <w:r w:rsidRPr="005C5CBD">
        <w:rPr>
          <w:rFonts w:ascii="Garamond" w:hAnsi="Garamond"/>
          <w:spacing w:val="-19"/>
        </w:rPr>
        <w:t xml:space="preserve"> </w:t>
      </w:r>
    </w:p>
    <w:p w14:paraId="09139562" w14:textId="77777777" w:rsidR="006666B4" w:rsidRPr="005C5CBD" w:rsidRDefault="006666B4" w:rsidP="00BE78D4">
      <w:pPr>
        <w:pStyle w:val="Corpodetexto"/>
        <w:rPr>
          <w:rFonts w:ascii="Garamond" w:hAnsi="Garamond"/>
        </w:rPr>
      </w:pPr>
    </w:p>
    <w:p w14:paraId="358211D7" w14:textId="77777777" w:rsidR="006666B4" w:rsidRPr="00395593" w:rsidRDefault="006666B4" w:rsidP="006666B4">
      <w:pPr>
        <w:pStyle w:val="Corpodetexto"/>
        <w:spacing w:before="1" w:line="252" w:lineRule="auto"/>
        <w:ind w:left="112" w:right="38" w:firstLine="564"/>
        <w:jc w:val="both"/>
        <w:rPr>
          <w:rFonts w:ascii="Garamond" w:hAnsi="Garamond"/>
        </w:rPr>
      </w:pPr>
      <w:r w:rsidRPr="00395593">
        <w:rPr>
          <w:rFonts w:ascii="Garamond" w:hAnsi="Garamond"/>
        </w:rPr>
        <w:t>Art. 1º Nas investigações de defesa comercial que envolvam</w:t>
      </w:r>
      <w:r w:rsidRPr="00395593">
        <w:rPr>
          <w:rFonts w:ascii="Garamond" w:hAnsi="Garamond"/>
          <w:spacing w:val="1"/>
        </w:rPr>
        <w:t xml:space="preserve"> </w:t>
      </w:r>
      <w:r w:rsidRPr="00395593">
        <w:rPr>
          <w:rFonts w:ascii="Garamond" w:hAnsi="Garamond"/>
        </w:rPr>
        <w:t>indústrias fragmentadas, os prazos para protocolo de petições e de</w:t>
      </w:r>
      <w:r w:rsidRPr="00395593">
        <w:rPr>
          <w:rFonts w:ascii="Garamond" w:hAnsi="Garamond"/>
          <w:spacing w:val="1"/>
        </w:rPr>
        <w:t xml:space="preserve"> </w:t>
      </w:r>
      <w:r w:rsidRPr="00395593">
        <w:rPr>
          <w:rFonts w:ascii="Garamond" w:hAnsi="Garamond"/>
        </w:rPr>
        <w:t>informações</w:t>
      </w:r>
      <w:r w:rsidRPr="00395593">
        <w:rPr>
          <w:rFonts w:ascii="Garamond" w:hAnsi="Garamond"/>
          <w:spacing w:val="1"/>
        </w:rPr>
        <w:t xml:space="preserve"> </w:t>
      </w:r>
      <w:r w:rsidRPr="00395593">
        <w:rPr>
          <w:rFonts w:ascii="Garamond" w:hAnsi="Garamond"/>
        </w:rPr>
        <w:t>complementares</w:t>
      </w:r>
      <w:r w:rsidRPr="00395593">
        <w:rPr>
          <w:rFonts w:ascii="Garamond" w:hAnsi="Garamond"/>
          <w:spacing w:val="1"/>
        </w:rPr>
        <w:t xml:space="preserve"> </w:t>
      </w:r>
      <w:r w:rsidRPr="00395593">
        <w:rPr>
          <w:rFonts w:ascii="Garamond" w:hAnsi="Garamond"/>
        </w:rPr>
        <w:t>a</w:t>
      </w:r>
      <w:r w:rsidRPr="00395593">
        <w:rPr>
          <w:rFonts w:ascii="Garamond" w:hAnsi="Garamond"/>
          <w:spacing w:val="1"/>
        </w:rPr>
        <w:t xml:space="preserve"> </w:t>
      </w:r>
      <w:r w:rsidRPr="00395593">
        <w:rPr>
          <w:rFonts w:ascii="Garamond" w:hAnsi="Garamond"/>
        </w:rPr>
        <w:t>petições</w:t>
      </w:r>
      <w:r w:rsidRPr="00395593">
        <w:rPr>
          <w:rFonts w:ascii="Garamond" w:hAnsi="Garamond"/>
          <w:spacing w:val="1"/>
        </w:rPr>
        <w:t xml:space="preserve"> </w:t>
      </w:r>
      <w:r w:rsidRPr="00395593">
        <w:rPr>
          <w:rFonts w:ascii="Garamond" w:hAnsi="Garamond"/>
        </w:rPr>
        <w:t>e</w:t>
      </w:r>
      <w:r w:rsidRPr="00395593">
        <w:rPr>
          <w:rFonts w:ascii="Garamond" w:hAnsi="Garamond"/>
          <w:spacing w:val="1"/>
        </w:rPr>
        <w:t xml:space="preserve"> </w:t>
      </w:r>
      <w:r w:rsidRPr="00395593">
        <w:rPr>
          <w:rFonts w:ascii="Garamond" w:hAnsi="Garamond"/>
        </w:rPr>
        <w:t>para</w:t>
      </w:r>
      <w:r w:rsidRPr="00395593">
        <w:rPr>
          <w:rFonts w:ascii="Garamond" w:hAnsi="Garamond"/>
          <w:spacing w:val="1"/>
        </w:rPr>
        <w:t xml:space="preserve"> </w:t>
      </w:r>
      <w:r w:rsidRPr="00395593">
        <w:rPr>
          <w:rFonts w:ascii="Garamond" w:hAnsi="Garamond"/>
        </w:rPr>
        <w:t>a</w:t>
      </w:r>
      <w:r w:rsidRPr="00395593">
        <w:rPr>
          <w:rFonts w:ascii="Garamond" w:hAnsi="Garamond"/>
          <w:spacing w:val="1"/>
        </w:rPr>
        <w:t xml:space="preserve"> </w:t>
      </w:r>
      <w:r w:rsidRPr="00395593">
        <w:rPr>
          <w:rFonts w:ascii="Garamond" w:hAnsi="Garamond"/>
        </w:rPr>
        <w:t>análise</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infor-</w:t>
      </w:r>
      <w:r w:rsidRPr="00395593">
        <w:rPr>
          <w:rFonts w:ascii="Garamond" w:hAnsi="Garamond"/>
          <w:spacing w:val="-37"/>
        </w:rPr>
        <w:t xml:space="preserve"> </w:t>
      </w:r>
      <w:r w:rsidRPr="00395593">
        <w:rPr>
          <w:rFonts w:ascii="Garamond" w:hAnsi="Garamond"/>
        </w:rPr>
        <w:t>mações</w:t>
      </w:r>
      <w:r w:rsidRPr="00395593">
        <w:rPr>
          <w:rFonts w:ascii="Garamond" w:hAnsi="Garamond"/>
          <w:spacing w:val="1"/>
        </w:rPr>
        <w:t xml:space="preserve"> </w:t>
      </w:r>
      <w:r w:rsidRPr="00395593">
        <w:rPr>
          <w:rFonts w:ascii="Garamond" w:hAnsi="Garamond"/>
        </w:rPr>
        <w:t>submetidas</w:t>
      </w:r>
      <w:r w:rsidRPr="00395593">
        <w:rPr>
          <w:rFonts w:ascii="Garamond" w:hAnsi="Garamond"/>
          <w:spacing w:val="1"/>
        </w:rPr>
        <w:t xml:space="preserve"> </w:t>
      </w:r>
      <w:r w:rsidRPr="00395593">
        <w:rPr>
          <w:rFonts w:ascii="Garamond" w:hAnsi="Garamond"/>
        </w:rPr>
        <w:t>pelas</w:t>
      </w:r>
      <w:r w:rsidRPr="00395593">
        <w:rPr>
          <w:rFonts w:ascii="Garamond" w:hAnsi="Garamond"/>
          <w:spacing w:val="1"/>
        </w:rPr>
        <w:t xml:space="preserve"> </w:t>
      </w:r>
      <w:r w:rsidRPr="00395593">
        <w:rPr>
          <w:rFonts w:ascii="Garamond" w:hAnsi="Garamond"/>
        </w:rPr>
        <w:t>indústrias</w:t>
      </w:r>
      <w:r w:rsidRPr="00395593">
        <w:rPr>
          <w:rFonts w:ascii="Garamond" w:hAnsi="Garamond"/>
          <w:spacing w:val="1"/>
        </w:rPr>
        <w:t xml:space="preserve"> </w:t>
      </w:r>
      <w:r w:rsidRPr="00395593">
        <w:rPr>
          <w:rFonts w:ascii="Garamond" w:hAnsi="Garamond"/>
        </w:rPr>
        <w:t>serão</w:t>
      </w:r>
      <w:r w:rsidRPr="00395593">
        <w:rPr>
          <w:rFonts w:ascii="Garamond" w:hAnsi="Garamond"/>
          <w:spacing w:val="1"/>
        </w:rPr>
        <w:t xml:space="preserve"> </w:t>
      </w:r>
      <w:r w:rsidRPr="00395593">
        <w:rPr>
          <w:rFonts w:ascii="Garamond" w:hAnsi="Garamond"/>
        </w:rPr>
        <w:t>determinados</w:t>
      </w:r>
      <w:r w:rsidRPr="00395593">
        <w:rPr>
          <w:rFonts w:ascii="Garamond" w:hAnsi="Garamond"/>
          <w:spacing w:val="1"/>
        </w:rPr>
        <w:t xml:space="preserve"> </w:t>
      </w:r>
      <w:r w:rsidRPr="00395593">
        <w:rPr>
          <w:rFonts w:ascii="Garamond" w:hAnsi="Garamond"/>
        </w:rPr>
        <w:t>pela</w:t>
      </w:r>
      <w:r w:rsidRPr="00395593">
        <w:rPr>
          <w:rFonts w:ascii="Garamond" w:hAnsi="Garamond"/>
          <w:spacing w:val="1"/>
        </w:rPr>
        <w:t xml:space="preserve"> </w:t>
      </w:r>
      <w:r w:rsidRPr="00395593">
        <w:rPr>
          <w:rFonts w:ascii="Garamond" w:hAnsi="Garamond"/>
        </w:rPr>
        <w:t>auto-</w:t>
      </w:r>
      <w:r w:rsidRPr="00395593">
        <w:rPr>
          <w:rFonts w:ascii="Garamond" w:hAnsi="Garamond"/>
          <w:spacing w:val="-37"/>
        </w:rPr>
        <w:t xml:space="preserve"> </w:t>
      </w:r>
      <w:r w:rsidRPr="00395593">
        <w:rPr>
          <w:rFonts w:ascii="Garamond" w:hAnsi="Garamond"/>
        </w:rPr>
        <w:t>ridade investigadora competente, no âmbito de cada processo, con-</w:t>
      </w:r>
      <w:r w:rsidRPr="00395593">
        <w:rPr>
          <w:rFonts w:ascii="Garamond" w:hAnsi="Garamond"/>
          <w:spacing w:val="1"/>
        </w:rPr>
        <w:t xml:space="preserve"> </w:t>
      </w:r>
      <w:r w:rsidRPr="00395593">
        <w:rPr>
          <w:rFonts w:ascii="Garamond" w:hAnsi="Garamond"/>
        </w:rPr>
        <w:t>sideradas as especificidades de cada setor fragmentado da indústria</w:t>
      </w:r>
      <w:r w:rsidRPr="00395593">
        <w:rPr>
          <w:rFonts w:ascii="Garamond" w:hAnsi="Garamond"/>
          <w:spacing w:val="1"/>
        </w:rPr>
        <w:t xml:space="preserve"> </w:t>
      </w:r>
      <w:r w:rsidRPr="00395593">
        <w:rPr>
          <w:rFonts w:ascii="Garamond" w:hAnsi="Garamond"/>
        </w:rPr>
        <w:t>nacional</w:t>
      </w:r>
      <w:r w:rsidRPr="00395593">
        <w:rPr>
          <w:rFonts w:ascii="Garamond" w:hAnsi="Garamond"/>
          <w:spacing w:val="19"/>
        </w:rPr>
        <w:t xml:space="preserve"> </w:t>
      </w:r>
      <w:r w:rsidRPr="00395593">
        <w:rPr>
          <w:rFonts w:ascii="Garamond" w:hAnsi="Garamond"/>
        </w:rPr>
        <w:t>e</w:t>
      </w:r>
      <w:r w:rsidRPr="00395593">
        <w:rPr>
          <w:rFonts w:ascii="Garamond" w:hAnsi="Garamond"/>
          <w:spacing w:val="20"/>
        </w:rPr>
        <w:t xml:space="preserve"> </w:t>
      </w:r>
      <w:r w:rsidRPr="00395593">
        <w:rPr>
          <w:rFonts w:ascii="Garamond" w:hAnsi="Garamond"/>
        </w:rPr>
        <w:t>os</w:t>
      </w:r>
      <w:r w:rsidRPr="00395593">
        <w:rPr>
          <w:rFonts w:ascii="Garamond" w:hAnsi="Garamond"/>
          <w:spacing w:val="20"/>
        </w:rPr>
        <w:t xml:space="preserve"> </w:t>
      </w:r>
      <w:r w:rsidRPr="00395593">
        <w:rPr>
          <w:rFonts w:ascii="Garamond" w:hAnsi="Garamond"/>
        </w:rPr>
        <w:t>princípios</w:t>
      </w:r>
      <w:r w:rsidRPr="00395593">
        <w:rPr>
          <w:rFonts w:ascii="Garamond" w:hAnsi="Garamond"/>
          <w:spacing w:val="20"/>
        </w:rPr>
        <w:t xml:space="preserve"> </w:t>
      </w:r>
      <w:r w:rsidRPr="00395593">
        <w:rPr>
          <w:rFonts w:ascii="Garamond" w:hAnsi="Garamond"/>
        </w:rPr>
        <w:t>da</w:t>
      </w:r>
      <w:r w:rsidRPr="00395593">
        <w:rPr>
          <w:rFonts w:ascii="Garamond" w:hAnsi="Garamond"/>
          <w:spacing w:val="19"/>
        </w:rPr>
        <w:t xml:space="preserve"> </w:t>
      </w:r>
      <w:r w:rsidRPr="00395593">
        <w:rPr>
          <w:rFonts w:ascii="Garamond" w:hAnsi="Garamond"/>
        </w:rPr>
        <w:t>proporcionalidade</w:t>
      </w:r>
      <w:r w:rsidRPr="00395593">
        <w:rPr>
          <w:rFonts w:ascii="Garamond" w:hAnsi="Garamond"/>
          <w:spacing w:val="20"/>
        </w:rPr>
        <w:t xml:space="preserve"> </w:t>
      </w:r>
      <w:r w:rsidRPr="00395593">
        <w:rPr>
          <w:rFonts w:ascii="Garamond" w:hAnsi="Garamond"/>
        </w:rPr>
        <w:t>e</w:t>
      </w:r>
      <w:r w:rsidRPr="00395593">
        <w:rPr>
          <w:rFonts w:ascii="Garamond" w:hAnsi="Garamond"/>
          <w:spacing w:val="20"/>
        </w:rPr>
        <w:t xml:space="preserve"> </w:t>
      </w:r>
      <w:r w:rsidRPr="00395593">
        <w:rPr>
          <w:rFonts w:ascii="Garamond" w:hAnsi="Garamond"/>
        </w:rPr>
        <w:t>da</w:t>
      </w:r>
      <w:r w:rsidRPr="00395593">
        <w:rPr>
          <w:rFonts w:ascii="Garamond" w:hAnsi="Garamond"/>
          <w:spacing w:val="20"/>
        </w:rPr>
        <w:t xml:space="preserve"> </w:t>
      </w:r>
      <w:r w:rsidRPr="00395593">
        <w:rPr>
          <w:rFonts w:ascii="Garamond" w:hAnsi="Garamond"/>
        </w:rPr>
        <w:t>razoabilidade.</w:t>
      </w:r>
    </w:p>
    <w:p w14:paraId="59F32578" w14:textId="77777777" w:rsidR="006666B4" w:rsidRPr="00395593" w:rsidRDefault="006666B4" w:rsidP="006666B4">
      <w:pPr>
        <w:pStyle w:val="Corpodetexto"/>
        <w:spacing w:before="2"/>
        <w:jc w:val="both"/>
        <w:rPr>
          <w:rFonts w:ascii="Garamond" w:hAnsi="Garamond"/>
        </w:rPr>
      </w:pPr>
    </w:p>
    <w:p w14:paraId="5FF15305" w14:textId="77777777" w:rsidR="006666B4" w:rsidRPr="00395593" w:rsidRDefault="006666B4" w:rsidP="006666B4">
      <w:pPr>
        <w:pStyle w:val="Corpodetexto"/>
        <w:spacing w:line="252" w:lineRule="auto"/>
        <w:ind w:left="112" w:right="38" w:firstLine="564"/>
        <w:jc w:val="both"/>
        <w:rPr>
          <w:rFonts w:ascii="Garamond" w:hAnsi="Garamond"/>
        </w:rPr>
      </w:pPr>
      <w:r w:rsidRPr="00395593">
        <w:rPr>
          <w:rFonts w:ascii="Garamond" w:hAnsi="Garamond"/>
        </w:rPr>
        <w:t>§ 1º Considera-se indústria fragmentada aquela que envolve</w:t>
      </w:r>
      <w:r w:rsidRPr="00395593">
        <w:rPr>
          <w:rFonts w:ascii="Garamond" w:hAnsi="Garamond"/>
          <w:spacing w:val="1"/>
        </w:rPr>
        <w:t xml:space="preserve"> </w:t>
      </w:r>
      <w:r w:rsidRPr="00395593">
        <w:rPr>
          <w:rFonts w:ascii="Garamond" w:hAnsi="Garamond"/>
        </w:rPr>
        <w:t>número</w:t>
      </w:r>
      <w:r w:rsidRPr="00395593">
        <w:rPr>
          <w:rFonts w:ascii="Garamond" w:hAnsi="Garamond"/>
          <w:spacing w:val="20"/>
        </w:rPr>
        <w:t xml:space="preserve"> </w:t>
      </w:r>
      <w:r w:rsidRPr="00395593">
        <w:rPr>
          <w:rFonts w:ascii="Garamond" w:hAnsi="Garamond"/>
        </w:rPr>
        <w:t>elevado</w:t>
      </w:r>
      <w:r w:rsidRPr="00395593">
        <w:rPr>
          <w:rFonts w:ascii="Garamond" w:hAnsi="Garamond"/>
          <w:spacing w:val="21"/>
        </w:rPr>
        <w:t xml:space="preserve"> </w:t>
      </w:r>
      <w:r w:rsidRPr="00395593">
        <w:rPr>
          <w:rFonts w:ascii="Garamond" w:hAnsi="Garamond"/>
        </w:rPr>
        <w:t>de</w:t>
      </w:r>
      <w:r w:rsidRPr="00395593">
        <w:rPr>
          <w:rFonts w:ascii="Garamond" w:hAnsi="Garamond"/>
          <w:spacing w:val="21"/>
        </w:rPr>
        <w:t xml:space="preserve"> </w:t>
      </w:r>
      <w:r w:rsidRPr="00395593">
        <w:rPr>
          <w:rFonts w:ascii="Garamond" w:hAnsi="Garamond"/>
        </w:rPr>
        <w:t>produtores</w:t>
      </w:r>
      <w:r w:rsidRPr="00395593">
        <w:rPr>
          <w:rFonts w:ascii="Garamond" w:hAnsi="Garamond"/>
          <w:spacing w:val="20"/>
        </w:rPr>
        <w:t xml:space="preserve"> </w:t>
      </w:r>
      <w:r w:rsidRPr="00395593">
        <w:rPr>
          <w:rFonts w:ascii="Garamond" w:hAnsi="Garamond"/>
        </w:rPr>
        <w:t>domésticos.</w:t>
      </w:r>
    </w:p>
    <w:p w14:paraId="480ACC45" w14:textId="77777777" w:rsidR="006666B4" w:rsidRPr="00395593" w:rsidRDefault="006666B4" w:rsidP="006666B4">
      <w:pPr>
        <w:pStyle w:val="Corpodetexto"/>
        <w:spacing w:before="161" w:line="252" w:lineRule="auto"/>
        <w:ind w:left="112" w:right="38" w:firstLine="564"/>
        <w:jc w:val="both"/>
        <w:rPr>
          <w:rFonts w:ascii="Garamond" w:hAnsi="Garamond"/>
        </w:rPr>
      </w:pPr>
      <w:r w:rsidRPr="00395593">
        <w:rPr>
          <w:rFonts w:ascii="Garamond" w:hAnsi="Garamond"/>
        </w:rPr>
        <w:t>§ 2º Caberá à autoridade investigadora determinar se a pro-</w:t>
      </w:r>
      <w:r w:rsidRPr="00395593">
        <w:rPr>
          <w:rFonts w:ascii="Garamond" w:hAnsi="Garamond"/>
          <w:spacing w:val="1"/>
        </w:rPr>
        <w:t xml:space="preserve"> </w:t>
      </w:r>
      <w:r w:rsidRPr="00395593">
        <w:rPr>
          <w:rFonts w:ascii="Garamond" w:hAnsi="Garamond"/>
        </w:rPr>
        <w:t>dução nacional do produto em questão se enquadra como indústria</w:t>
      </w:r>
      <w:r w:rsidRPr="00395593">
        <w:rPr>
          <w:rFonts w:ascii="Garamond" w:hAnsi="Garamond"/>
          <w:spacing w:val="1"/>
        </w:rPr>
        <w:t xml:space="preserve"> </w:t>
      </w:r>
      <w:r w:rsidRPr="00395593">
        <w:rPr>
          <w:rFonts w:ascii="Garamond" w:hAnsi="Garamond"/>
        </w:rPr>
        <w:t>fragmentada.</w:t>
      </w:r>
    </w:p>
    <w:p w14:paraId="614B4AA8" w14:textId="77777777" w:rsidR="006666B4" w:rsidRPr="00395593" w:rsidRDefault="006666B4" w:rsidP="006666B4">
      <w:pPr>
        <w:pStyle w:val="Corpodetexto"/>
        <w:spacing w:before="161" w:line="252" w:lineRule="auto"/>
        <w:ind w:left="112" w:right="38" w:firstLine="564"/>
        <w:jc w:val="both"/>
        <w:rPr>
          <w:rFonts w:ascii="Garamond" w:hAnsi="Garamond"/>
        </w:rPr>
      </w:pPr>
      <w:r w:rsidRPr="00395593">
        <w:rPr>
          <w:rFonts w:ascii="Garamond" w:hAnsi="Garamond"/>
        </w:rPr>
        <w:t>§</w:t>
      </w:r>
      <w:r w:rsidRPr="00395593">
        <w:rPr>
          <w:rFonts w:ascii="Garamond" w:hAnsi="Garamond"/>
          <w:spacing w:val="33"/>
        </w:rPr>
        <w:t xml:space="preserve"> </w:t>
      </w:r>
      <w:r w:rsidRPr="00395593">
        <w:rPr>
          <w:rFonts w:ascii="Garamond" w:hAnsi="Garamond"/>
        </w:rPr>
        <w:t>3º</w:t>
      </w:r>
      <w:r w:rsidRPr="00395593">
        <w:rPr>
          <w:rFonts w:ascii="Garamond" w:hAnsi="Garamond"/>
          <w:spacing w:val="34"/>
        </w:rPr>
        <w:t xml:space="preserve"> </w:t>
      </w:r>
      <w:r w:rsidRPr="00395593">
        <w:rPr>
          <w:rFonts w:ascii="Garamond" w:hAnsi="Garamond"/>
        </w:rPr>
        <w:t>A</w:t>
      </w:r>
      <w:r w:rsidRPr="00395593">
        <w:rPr>
          <w:rFonts w:ascii="Garamond" w:hAnsi="Garamond"/>
          <w:spacing w:val="34"/>
        </w:rPr>
        <w:t xml:space="preserve"> </w:t>
      </w:r>
      <w:r w:rsidRPr="00395593">
        <w:rPr>
          <w:rFonts w:ascii="Garamond" w:hAnsi="Garamond"/>
        </w:rPr>
        <w:t>determinação</w:t>
      </w:r>
      <w:r w:rsidRPr="00395593">
        <w:rPr>
          <w:rFonts w:ascii="Garamond" w:hAnsi="Garamond"/>
          <w:spacing w:val="34"/>
        </w:rPr>
        <w:t xml:space="preserve"> </w:t>
      </w:r>
      <w:r w:rsidRPr="00395593">
        <w:rPr>
          <w:rFonts w:ascii="Garamond" w:hAnsi="Garamond"/>
        </w:rPr>
        <w:t>de</w:t>
      </w:r>
      <w:r w:rsidRPr="00395593">
        <w:rPr>
          <w:rFonts w:ascii="Garamond" w:hAnsi="Garamond"/>
          <w:spacing w:val="34"/>
        </w:rPr>
        <w:t xml:space="preserve"> </w:t>
      </w:r>
      <w:r w:rsidRPr="00395593">
        <w:rPr>
          <w:rFonts w:ascii="Garamond" w:hAnsi="Garamond"/>
        </w:rPr>
        <w:t>que</w:t>
      </w:r>
      <w:r w:rsidRPr="00395593">
        <w:rPr>
          <w:rFonts w:ascii="Garamond" w:hAnsi="Garamond"/>
          <w:spacing w:val="34"/>
        </w:rPr>
        <w:t xml:space="preserve"> </w:t>
      </w:r>
      <w:r w:rsidRPr="00395593">
        <w:rPr>
          <w:rFonts w:ascii="Garamond" w:hAnsi="Garamond"/>
        </w:rPr>
        <w:t>trata</w:t>
      </w:r>
      <w:r w:rsidRPr="00395593">
        <w:rPr>
          <w:rFonts w:ascii="Garamond" w:hAnsi="Garamond"/>
          <w:spacing w:val="34"/>
        </w:rPr>
        <w:t xml:space="preserve"> </w:t>
      </w:r>
      <w:r w:rsidRPr="00395593">
        <w:rPr>
          <w:rFonts w:ascii="Garamond" w:hAnsi="Garamond"/>
        </w:rPr>
        <w:t>o</w:t>
      </w:r>
      <w:r w:rsidRPr="00395593">
        <w:rPr>
          <w:rFonts w:ascii="Garamond" w:hAnsi="Garamond"/>
          <w:spacing w:val="34"/>
        </w:rPr>
        <w:t xml:space="preserve"> </w:t>
      </w:r>
      <w:r w:rsidRPr="00395593">
        <w:rPr>
          <w:rFonts w:ascii="Garamond" w:hAnsi="Garamond"/>
        </w:rPr>
        <w:t>§</w:t>
      </w:r>
      <w:r w:rsidRPr="00395593">
        <w:rPr>
          <w:rFonts w:ascii="Garamond" w:hAnsi="Garamond"/>
          <w:spacing w:val="34"/>
        </w:rPr>
        <w:t xml:space="preserve"> </w:t>
      </w:r>
      <w:r w:rsidRPr="00395593">
        <w:rPr>
          <w:rFonts w:ascii="Garamond" w:hAnsi="Garamond"/>
        </w:rPr>
        <w:t>2º</w:t>
      </w:r>
      <w:r w:rsidRPr="00395593">
        <w:rPr>
          <w:rFonts w:ascii="Garamond" w:hAnsi="Garamond"/>
          <w:spacing w:val="34"/>
        </w:rPr>
        <w:t xml:space="preserve"> </w:t>
      </w:r>
      <w:r w:rsidRPr="00395593">
        <w:rPr>
          <w:rFonts w:ascii="Garamond" w:hAnsi="Garamond"/>
        </w:rPr>
        <w:t>será</w:t>
      </w:r>
      <w:r w:rsidRPr="00395593">
        <w:rPr>
          <w:rFonts w:ascii="Garamond" w:hAnsi="Garamond"/>
          <w:spacing w:val="34"/>
        </w:rPr>
        <w:t xml:space="preserve"> </w:t>
      </w:r>
      <w:r w:rsidRPr="00395593">
        <w:rPr>
          <w:rFonts w:ascii="Garamond" w:hAnsi="Garamond"/>
        </w:rPr>
        <w:t>motivada</w:t>
      </w:r>
      <w:r w:rsidRPr="00395593">
        <w:rPr>
          <w:rFonts w:ascii="Garamond" w:hAnsi="Garamond"/>
          <w:spacing w:val="34"/>
        </w:rPr>
        <w:t xml:space="preserve"> </w:t>
      </w:r>
      <w:r w:rsidRPr="00395593">
        <w:rPr>
          <w:rFonts w:ascii="Garamond" w:hAnsi="Garamond"/>
        </w:rPr>
        <w:t>e</w:t>
      </w:r>
      <w:r w:rsidRPr="00395593">
        <w:rPr>
          <w:rFonts w:ascii="Garamond" w:hAnsi="Garamond"/>
          <w:spacing w:val="-38"/>
        </w:rPr>
        <w:t xml:space="preserve"> </w:t>
      </w:r>
      <w:r w:rsidRPr="00395593">
        <w:rPr>
          <w:rFonts w:ascii="Garamond" w:hAnsi="Garamond"/>
        </w:rPr>
        <w:t>levará</w:t>
      </w:r>
      <w:r w:rsidRPr="00395593">
        <w:rPr>
          <w:rFonts w:ascii="Garamond" w:hAnsi="Garamond"/>
          <w:spacing w:val="1"/>
        </w:rPr>
        <w:t xml:space="preserve"> </w:t>
      </w:r>
      <w:r w:rsidRPr="00395593">
        <w:rPr>
          <w:rFonts w:ascii="Garamond" w:hAnsi="Garamond"/>
        </w:rPr>
        <w:t>em</w:t>
      </w:r>
      <w:r w:rsidRPr="00395593">
        <w:rPr>
          <w:rFonts w:ascii="Garamond" w:hAnsi="Garamond"/>
          <w:spacing w:val="1"/>
        </w:rPr>
        <w:t xml:space="preserve"> </w:t>
      </w:r>
      <w:r w:rsidRPr="00395593">
        <w:rPr>
          <w:rFonts w:ascii="Garamond" w:hAnsi="Garamond"/>
        </w:rPr>
        <w:t>conta,</w:t>
      </w:r>
      <w:r w:rsidRPr="00395593">
        <w:rPr>
          <w:rFonts w:ascii="Garamond" w:hAnsi="Garamond"/>
          <w:spacing w:val="1"/>
        </w:rPr>
        <w:t xml:space="preserve"> </w:t>
      </w:r>
      <w:r w:rsidRPr="00395593">
        <w:rPr>
          <w:rFonts w:ascii="Garamond" w:hAnsi="Garamond"/>
        </w:rPr>
        <w:t>entre</w:t>
      </w:r>
      <w:r w:rsidRPr="00395593">
        <w:rPr>
          <w:rFonts w:ascii="Garamond" w:hAnsi="Garamond"/>
          <w:spacing w:val="1"/>
        </w:rPr>
        <w:t xml:space="preserve"> </w:t>
      </w:r>
      <w:r w:rsidRPr="00395593">
        <w:rPr>
          <w:rFonts w:ascii="Garamond" w:hAnsi="Garamond"/>
        </w:rPr>
        <w:t>outros</w:t>
      </w:r>
      <w:r w:rsidRPr="00395593">
        <w:rPr>
          <w:rFonts w:ascii="Garamond" w:hAnsi="Garamond"/>
          <w:spacing w:val="1"/>
        </w:rPr>
        <w:t xml:space="preserve"> </w:t>
      </w:r>
      <w:r w:rsidRPr="00395593">
        <w:rPr>
          <w:rFonts w:ascii="Garamond" w:hAnsi="Garamond"/>
        </w:rPr>
        <w:t>fatores,</w:t>
      </w:r>
      <w:r w:rsidRPr="00395593">
        <w:rPr>
          <w:rFonts w:ascii="Garamond" w:hAnsi="Garamond"/>
          <w:spacing w:val="1"/>
        </w:rPr>
        <w:t xml:space="preserve"> </w:t>
      </w:r>
      <w:r w:rsidRPr="00395593">
        <w:rPr>
          <w:rFonts w:ascii="Garamond" w:hAnsi="Garamond"/>
        </w:rPr>
        <w:t>o</w:t>
      </w:r>
      <w:r w:rsidRPr="00395593">
        <w:rPr>
          <w:rFonts w:ascii="Garamond" w:hAnsi="Garamond"/>
          <w:spacing w:val="1"/>
        </w:rPr>
        <w:t xml:space="preserve"> </w:t>
      </w:r>
      <w:r w:rsidRPr="00395593">
        <w:rPr>
          <w:rFonts w:ascii="Garamond" w:hAnsi="Garamond"/>
        </w:rPr>
        <w:t>grau</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pulverização</w:t>
      </w:r>
      <w:r w:rsidRPr="00395593">
        <w:rPr>
          <w:rFonts w:ascii="Garamond" w:hAnsi="Garamond"/>
          <w:spacing w:val="1"/>
        </w:rPr>
        <w:t xml:space="preserve"> </w:t>
      </w:r>
      <w:r w:rsidRPr="00395593">
        <w:rPr>
          <w:rFonts w:ascii="Garamond" w:hAnsi="Garamond"/>
        </w:rPr>
        <w:t>da</w:t>
      </w:r>
      <w:r w:rsidRPr="00395593">
        <w:rPr>
          <w:rFonts w:ascii="Garamond" w:hAnsi="Garamond"/>
          <w:spacing w:val="1"/>
        </w:rPr>
        <w:t xml:space="preserve"> </w:t>
      </w:r>
      <w:r w:rsidRPr="00395593">
        <w:rPr>
          <w:rFonts w:ascii="Garamond" w:hAnsi="Garamond"/>
        </w:rPr>
        <w:t>produção</w:t>
      </w:r>
      <w:r w:rsidRPr="00395593">
        <w:rPr>
          <w:rFonts w:ascii="Garamond" w:hAnsi="Garamond"/>
          <w:spacing w:val="31"/>
        </w:rPr>
        <w:t xml:space="preserve"> </w:t>
      </w:r>
      <w:r w:rsidRPr="00395593">
        <w:rPr>
          <w:rFonts w:ascii="Garamond" w:hAnsi="Garamond"/>
        </w:rPr>
        <w:t>nacional</w:t>
      </w:r>
      <w:r w:rsidRPr="00395593">
        <w:rPr>
          <w:rFonts w:ascii="Garamond" w:hAnsi="Garamond"/>
          <w:spacing w:val="32"/>
        </w:rPr>
        <w:t xml:space="preserve"> </w:t>
      </w:r>
      <w:r w:rsidRPr="00395593">
        <w:rPr>
          <w:rFonts w:ascii="Garamond" w:hAnsi="Garamond"/>
        </w:rPr>
        <w:t>do</w:t>
      </w:r>
      <w:r w:rsidRPr="00395593">
        <w:rPr>
          <w:rFonts w:ascii="Garamond" w:hAnsi="Garamond"/>
          <w:spacing w:val="31"/>
        </w:rPr>
        <w:t xml:space="preserve"> </w:t>
      </w:r>
      <w:r w:rsidRPr="00395593">
        <w:rPr>
          <w:rFonts w:ascii="Garamond" w:hAnsi="Garamond"/>
        </w:rPr>
        <w:t>produto</w:t>
      </w:r>
      <w:r w:rsidRPr="00395593">
        <w:rPr>
          <w:rFonts w:ascii="Garamond" w:hAnsi="Garamond"/>
          <w:spacing w:val="32"/>
        </w:rPr>
        <w:t xml:space="preserve"> </w:t>
      </w:r>
      <w:r w:rsidRPr="00395593">
        <w:rPr>
          <w:rFonts w:ascii="Garamond" w:hAnsi="Garamond"/>
        </w:rPr>
        <w:t>em</w:t>
      </w:r>
      <w:r w:rsidRPr="00395593">
        <w:rPr>
          <w:rFonts w:ascii="Garamond" w:hAnsi="Garamond"/>
          <w:spacing w:val="31"/>
        </w:rPr>
        <w:t xml:space="preserve"> </w:t>
      </w:r>
      <w:r w:rsidRPr="00395593">
        <w:rPr>
          <w:rFonts w:ascii="Garamond" w:hAnsi="Garamond"/>
        </w:rPr>
        <w:t>questão</w:t>
      </w:r>
      <w:r w:rsidRPr="00395593">
        <w:rPr>
          <w:rFonts w:ascii="Garamond" w:hAnsi="Garamond"/>
          <w:spacing w:val="32"/>
        </w:rPr>
        <w:t xml:space="preserve"> </w:t>
      </w:r>
      <w:r w:rsidRPr="00395593">
        <w:rPr>
          <w:rFonts w:ascii="Garamond" w:hAnsi="Garamond"/>
        </w:rPr>
        <w:t>e</w:t>
      </w:r>
      <w:r w:rsidRPr="00395593">
        <w:rPr>
          <w:rFonts w:ascii="Garamond" w:hAnsi="Garamond"/>
          <w:spacing w:val="31"/>
        </w:rPr>
        <w:t xml:space="preserve"> </w:t>
      </w:r>
      <w:r w:rsidRPr="00395593">
        <w:rPr>
          <w:rFonts w:ascii="Garamond" w:hAnsi="Garamond"/>
        </w:rPr>
        <w:t>a</w:t>
      </w:r>
      <w:r w:rsidRPr="00395593">
        <w:rPr>
          <w:rFonts w:ascii="Garamond" w:hAnsi="Garamond"/>
          <w:spacing w:val="32"/>
        </w:rPr>
        <w:t xml:space="preserve"> </w:t>
      </w:r>
      <w:r w:rsidRPr="00395593">
        <w:rPr>
          <w:rFonts w:ascii="Garamond" w:hAnsi="Garamond"/>
        </w:rPr>
        <w:t>sua</w:t>
      </w:r>
      <w:r w:rsidRPr="00395593">
        <w:rPr>
          <w:rFonts w:ascii="Garamond" w:hAnsi="Garamond"/>
          <w:spacing w:val="31"/>
        </w:rPr>
        <w:t xml:space="preserve"> </w:t>
      </w:r>
      <w:r w:rsidRPr="00395593">
        <w:rPr>
          <w:rFonts w:ascii="Garamond" w:hAnsi="Garamond"/>
        </w:rPr>
        <w:t>distribuição</w:t>
      </w:r>
      <w:r w:rsidRPr="00395593">
        <w:rPr>
          <w:rFonts w:ascii="Garamond" w:hAnsi="Garamond"/>
          <w:spacing w:val="32"/>
        </w:rPr>
        <w:t xml:space="preserve"> </w:t>
      </w:r>
      <w:r w:rsidRPr="00395593">
        <w:rPr>
          <w:rFonts w:ascii="Garamond" w:hAnsi="Garamond"/>
        </w:rPr>
        <w:t>por</w:t>
      </w:r>
      <w:r w:rsidRPr="00395593">
        <w:rPr>
          <w:rFonts w:ascii="Garamond" w:hAnsi="Garamond"/>
          <w:spacing w:val="-38"/>
        </w:rPr>
        <w:t xml:space="preserve"> </w:t>
      </w:r>
      <w:r w:rsidRPr="00395593">
        <w:rPr>
          <w:rFonts w:ascii="Garamond" w:hAnsi="Garamond"/>
        </w:rPr>
        <w:t>porte</w:t>
      </w:r>
      <w:r w:rsidRPr="00395593">
        <w:rPr>
          <w:rFonts w:ascii="Garamond" w:hAnsi="Garamond"/>
          <w:spacing w:val="20"/>
        </w:rPr>
        <w:t xml:space="preserve"> </w:t>
      </w:r>
      <w:r w:rsidRPr="00395593">
        <w:rPr>
          <w:rFonts w:ascii="Garamond" w:hAnsi="Garamond"/>
        </w:rPr>
        <w:t>dos</w:t>
      </w:r>
      <w:r w:rsidRPr="00395593">
        <w:rPr>
          <w:rFonts w:ascii="Garamond" w:hAnsi="Garamond"/>
          <w:spacing w:val="21"/>
        </w:rPr>
        <w:t xml:space="preserve"> </w:t>
      </w:r>
      <w:r w:rsidRPr="00395593">
        <w:rPr>
          <w:rFonts w:ascii="Garamond" w:hAnsi="Garamond"/>
        </w:rPr>
        <w:t>produtores</w:t>
      </w:r>
      <w:r w:rsidRPr="00395593">
        <w:rPr>
          <w:rFonts w:ascii="Garamond" w:hAnsi="Garamond"/>
          <w:spacing w:val="21"/>
        </w:rPr>
        <w:t xml:space="preserve"> </w:t>
      </w:r>
      <w:r w:rsidRPr="00395593">
        <w:rPr>
          <w:rFonts w:ascii="Garamond" w:hAnsi="Garamond"/>
        </w:rPr>
        <w:t>nacionais.</w:t>
      </w:r>
    </w:p>
    <w:p w14:paraId="207BF5D6" w14:textId="77777777" w:rsidR="006666B4" w:rsidRPr="00395593" w:rsidRDefault="006666B4" w:rsidP="006666B4">
      <w:pPr>
        <w:pStyle w:val="Corpodetexto"/>
        <w:spacing w:before="161" w:line="252" w:lineRule="auto"/>
        <w:ind w:left="112" w:right="38" w:firstLine="564"/>
        <w:jc w:val="both"/>
        <w:rPr>
          <w:rFonts w:ascii="Garamond" w:hAnsi="Garamond"/>
        </w:rPr>
      </w:pPr>
      <w:r w:rsidRPr="00395593">
        <w:rPr>
          <w:rFonts w:ascii="Garamond" w:hAnsi="Garamond"/>
        </w:rPr>
        <w:t>§ 4º O ato que iniciar a investigação de defesa comercial</w:t>
      </w:r>
      <w:r w:rsidRPr="00395593">
        <w:rPr>
          <w:rFonts w:ascii="Garamond" w:hAnsi="Garamond"/>
          <w:spacing w:val="1"/>
        </w:rPr>
        <w:t xml:space="preserve"> </w:t>
      </w:r>
      <w:r w:rsidRPr="00395593">
        <w:rPr>
          <w:rFonts w:ascii="Garamond" w:hAnsi="Garamond"/>
        </w:rPr>
        <w:t>deverá conter a determinação da autoridade investigadora, nos termos</w:t>
      </w:r>
      <w:r w:rsidRPr="00395593">
        <w:rPr>
          <w:rFonts w:ascii="Garamond" w:hAnsi="Garamond"/>
          <w:spacing w:val="1"/>
        </w:rPr>
        <w:t xml:space="preserve"> </w:t>
      </w:r>
      <w:r w:rsidRPr="00395593">
        <w:rPr>
          <w:rFonts w:ascii="Garamond" w:hAnsi="Garamond"/>
        </w:rPr>
        <w:t>dos</w:t>
      </w:r>
      <w:r w:rsidRPr="00395593">
        <w:rPr>
          <w:rFonts w:ascii="Garamond" w:hAnsi="Garamond"/>
          <w:spacing w:val="20"/>
        </w:rPr>
        <w:t xml:space="preserve"> </w:t>
      </w:r>
      <w:r w:rsidRPr="00395593">
        <w:rPr>
          <w:rFonts w:ascii="Garamond" w:hAnsi="Garamond"/>
        </w:rPr>
        <w:t>§</w:t>
      </w:r>
      <w:r w:rsidRPr="00395593">
        <w:rPr>
          <w:rFonts w:ascii="Garamond" w:hAnsi="Garamond"/>
          <w:spacing w:val="21"/>
        </w:rPr>
        <w:t xml:space="preserve"> </w:t>
      </w:r>
      <w:r w:rsidRPr="00395593">
        <w:rPr>
          <w:rFonts w:ascii="Garamond" w:hAnsi="Garamond"/>
        </w:rPr>
        <w:t>2º</w:t>
      </w:r>
      <w:r w:rsidRPr="00395593">
        <w:rPr>
          <w:rFonts w:ascii="Garamond" w:hAnsi="Garamond"/>
          <w:spacing w:val="21"/>
        </w:rPr>
        <w:t xml:space="preserve"> </w:t>
      </w:r>
      <w:r w:rsidRPr="00395593">
        <w:rPr>
          <w:rFonts w:ascii="Garamond" w:hAnsi="Garamond"/>
        </w:rPr>
        <w:t>e</w:t>
      </w:r>
      <w:r w:rsidRPr="00395593">
        <w:rPr>
          <w:rFonts w:ascii="Garamond" w:hAnsi="Garamond"/>
          <w:spacing w:val="21"/>
        </w:rPr>
        <w:t xml:space="preserve"> </w:t>
      </w:r>
      <w:r w:rsidRPr="00395593">
        <w:rPr>
          <w:rFonts w:ascii="Garamond" w:hAnsi="Garamond"/>
        </w:rPr>
        <w:t>§</w:t>
      </w:r>
      <w:r w:rsidRPr="00395593">
        <w:rPr>
          <w:rFonts w:ascii="Garamond" w:hAnsi="Garamond"/>
          <w:spacing w:val="21"/>
        </w:rPr>
        <w:t xml:space="preserve"> </w:t>
      </w:r>
      <w:r w:rsidRPr="00395593">
        <w:rPr>
          <w:rFonts w:ascii="Garamond" w:hAnsi="Garamond"/>
        </w:rPr>
        <w:t>3º.</w:t>
      </w:r>
    </w:p>
    <w:p w14:paraId="4E92CE4F" w14:textId="77777777" w:rsidR="006666B4" w:rsidRPr="00395593" w:rsidRDefault="006666B4" w:rsidP="006666B4">
      <w:pPr>
        <w:pStyle w:val="Corpodetexto"/>
        <w:spacing w:before="162" w:line="252" w:lineRule="auto"/>
        <w:ind w:left="112" w:right="38" w:firstLine="564"/>
        <w:jc w:val="both"/>
        <w:rPr>
          <w:rFonts w:ascii="Garamond" w:hAnsi="Garamond"/>
        </w:rPr>
      </w:pPr>
      <w:r w:rsidRPr="00395593">
        <w:rPr>
          <w:rFonts w:ascii="Garamond" w:hAnsi="Garamond"/>
        </w:rPr>
        <w:t>Art. 2º Ato do Secretário de Comércio Exterior do Ministério</w:t>
      </w:r>
      <w:r w:rsidRPr="00395593">
        <w:rPr>
          <w:rFonts w:ascii="Garamond" w:hAnsi="Garamond"/>
          <w:spacing w:val="1"/>
        </w:rPr>
        <w:t xml:space="preserve"> </w:t>
      </w:r>
      <w:r w:rsidRPr="00395593">
        <w:rPr>
          <w:rFonts w:ascii="Garamond" w:hAnsi="Garamond"/>
        </w:rPr>
        <w:t>da</w:t>
      </w:r>
      <w:r w:rsidRPr="00395593">
        <w:rPr>
          <w:rFonts w:ascii="Garamond" w:hAnsi="Garamond"/>
          <w:spacing w:val="1"/>
        </w:rPr>
        <w:t xml:space="preserve"> </w:t>
      </w:r>
      <w:r w:rsidRPr="00395593">
        <w:rPr>
          <w:rFonts w:ascii="Garamond" w:hAnsi="Garamond"/>
        </w:rPr>
        <w:t>Indústria,</w:t>
      </w:r>
      <w:r w:rsidRPr="00395593">
        <w:rPr>
          <w:rFonts w:ascii="Garamond" w:hAnsi="Garamond"/>
          <w:spacing w:val="1"/>
        </w:rPr>
        <w:t xml:space="preserve"> </w:t>
      </w:r>
      <w:r w:rsidRPr="00395593">
        <w:rPr>
          <w:rFonts w:ascii="Garamond" w:hAnsi="Garamond"/>
        </w:rPr>
        <w:t>Comércio</w:t>
      </w:r>
      <w:r w:rsidRPr="00395593">
        <w:rPr>
          <w:rFonts w:ascii="Garamond" w:hAnsi="Garamond"/>
          <w:spacing w:val="1"/>
        </w:rPr>
        <w:t xml:space="preserve"> </w:t>
      </w:r>
      <w:r w:rsidRPr="00395593">
        <w:rPr>
          <w:rFonts w:ascii="Garamond" w:hAnsi="Garamond"/>
        </w:rPr>
        <w:t>Exterior</w:t>
      </w:r>
      <w:r w:rsidRPr="00395593">
        <w:rPr>
          <w:rFonts w:ascii="Garamond" w:hAnsi="Garamond"/>
          <w:spacing w:val="1"/>
        </w:rPr>
        <w:t xml:space="preserve"> </w:t>
      </w:r>
      <w:r w:rsidRPr="00395593">
        <w:rPr>
          <w:rFonts w:ascii="Garamond" w:hAnsi="Garamond"/>
        </w:rPr>
        <w:t>e</w:t>
      </w:r>
      <w:r w:rsidRPr="00395593">
        <w:rPr>
          <w:rFonts w:ascii="Garamond" w:hAnsi="Garamond"/>
          <w:spacing w:val="1"/>
        </w:rPr>
        <w:t xml:space="preserve"> </w:t>
      </w:r>
      <w:r w:rsidRPr="00395593">
        <w:rPr>
          <w:rFonts w:ascii="Garamond" w:hAnsi="Garamond"/>
        </w:rPr>
        <w:t>Serviços</w:t>
      </w:r>
      <w:r w:rsidRPr="00395593">
        <w:rPr>
          <w:rFonts w:ascii="Garamond" w:hAnsi="Garamond"/>
          <w:spacing w:val="1"/>
        </w:rPr>
        <w:t xml:space="preserve"> </w:t>
      </w:r>
      <w:r w:rsidRPr="00395593">
        <w:rPr>
          <w:rFonts w:ascii="Garamond" w:hAnsi="Garamond"/>
        </w:rPr>
        <w:t>estabelecerá</w:t>
      </w:r>
      <w:r w:rsidRPr="00395593">
        <w:rPr>
          <w:rFonts w:ascii="Garamond" w:hAnsi="Garamond"/>
          <w:spacing w:val="1"/>
        </w:rPr>
        <w:t xml:space="preserve"> </w:t>
      </w:r>
      <w:r w:rsidRPr="00395593">
        <w:rPr>
          <w:rFonts w:ascii="Garamond" w:hAnsi="Garamond"/>
        </w:rPr>
        <w:t>as</w:t>
      </w:r>
      <w:r w:rsidRPr="00395593">
        <w:rPr>
          <w:rFonts w:ascii="Garamond" w:hAnsi="Garamond"/>
          <w:spacing w:val="1"/>
        </w:rPr>
        <w:t xml:space="preserve"> </w:t>
      </w:r>
      <w:r w:rsidRPr="00395593">
        <w:rPr>
          <w:rFonts w:ascii="Garamond" w:hAnsi="Garamond"/>
        </w:rPr>
        <w:t>infor-</w:t>
      </w:r>
      <w:r w:rsidRPr="00395593">
        <w:rPr>
          <w:rFonts w:ascii="Garamond" w:hAnsi="Garamond"/>
          <w:spacing w:val="1"/>
        </w:rPr>
        <w:t xml:space="preserve"> </w:t>
      </w:r>
      <w:r w:rsidRPr="00395593">
        <w:rPr>
          <w:rFonts w:ascii="Garamond" w:hAnsi="Garamond"/>
        </w:rPr>
        <w:t>mações que deverão constar das petições a serem apresentadas pela</w:t>
      </w:r>
      <w:r w:rsidRPr="00395593">
        <w:rPr>
          <w:rFonts w:ascii="Garamond" w:hAnsi="Garamond"/>
          <w:spacing w:val="1"/>
        </w:rPr>
        <w:t xml:space="preserve"> </w:t>
      </w:r>
      <w:r w:rsidRPr="00395593">
        <w:rPr>
          <w:rFonts w:ascii="Garamond" w:hAnsi="Garamond"/>
        </w:rPr>
        <w:t>indústria</w:t>
      </w:r>
      <w:r w:rsidRPr="00395593">
        <w:rPr>
          <w:rFonts w:ascii="Garamond" w:hAnsi="Garamond"/>
          <w:spacing w:val="1"/>
        </w:rPr>
        <w:t xml:space="preserve"> </w:t>
      </w:r>
      <w:r w:rsidRPr="00395593">
        <w:rPr>
          <w:rFonts w:ascii="Garamond" w:hAnsi="Garamond"/>
        </w:rPr>
        <w:t>fragmentada</w:t>
      </w:r>
      <w:r w:rsidRPr="00395593">
        <w:rPr>
          <w:rFonts w:ascii="Garamond" w:hAnsi="Garamond"/>
          <w:spacing w:val="1"/>
        </w:rPr>
        <w:t xml:space="preserve"> </w:t>
      </w:r>
      <w:r w:rsidRPr="00395593">
        <w:rPr>
          <w:rFonts w:ascii="Garamond" w:hAnsi="Garamond"/>
        </w:rPr>
        <w:t>investigada,</w:t>
      </w:r>
      <w:r w:rsidRPr="00395593">
        <w:rPr>
          <w:rFonts w:ascii="Garamond" w:hAnsi="Garamond"/>
          <w:spacing w:val="1"/>
        </w:rPr>
        <w:t xml:space="preserve"> </w:t>
      </w:r>
      <w:r w:rsidRPr="00395593">
        <w:rPr>
          <w:rFonts w:ascii="Garamond" w:hAnsi="Garamond"/>
        </w:rPr>
        <w:t>ou</w:t>
      </w:r>
      <w:r w:rsidRPr="00395593">
        <w:rPr>
          <w:rFonts w:ascii="Garamond" w:hAnsi="Garamond"/>
          <w:spacing w:val="1"/>
        </w:rPr>
        <w:t xml:space="preserve"> </w:t>
      </w:r>
      <w:r w:rsidRPr="00395593">
        <w:rPr>
          <w:rFonts w:ascii="Garamond" w:hAnsi="Garamond"/>
        </w:rPr>
        <w:t>em</w:t>
      </w:r>
      <w:r w:rsidRPr="00395593">
        <w:rPr>
          <w:rFonts w:ascii="Garamond" w:hAnsi="Garamond"/>
          <w:spacing w:val="1"/>
        </w:rPr>
        <w:t xml:space="preserve"> </w:t>
      </w:r>
      <w:r w:rsidRPr="00395593">
        <w:rPr>
          <w:rFonts w:ascii="Garamond" w:hAnsi="Garamond"/>
        </w:rPr>
        <w:t>seu</w:t>
      </w:r>
      <w:r w:rsidRPr="00395593">
        <w:rPr>
          <w:rFonts w:ascii="Garamond" w:hAnsi="Garamond"/>
          <w:spacing w:val="1"/>
        </w:rPr>
        <w:t xml:space="preserve"> </w:t>
      </w:r>
      <w:r w:rsidRPr="00395593">
        <w:rPr>
          <w:rFonts w:ascii="Garamond" w:hAnsi="Garamond"/>
        </w:rPr>
        <w:t>nome,</w:t>
      </w:r>
      <w:r w:rsidRPr="00395593">
        <w:rPr>
          <w:rFonts w:ascii="Garamond" w:hAnsi="Garamond"/>
          <w:spacing w:val="1"/>
        </w:rPr>
        <w:t xml:space="preserve"> </w:t>
      </w:r>
      <w:r w:rsidRPr="00395593">
        <w:rPr>
          <w:rFonts w:ascii="Garamond" w:hAnsi="Garamond"/>
        </w:rPr>
        <w:t>em</w:t>
      </w:r>
      <w:r w:rsidRPr="00395593">
        <w:rPr>
          <w:rFonts w:ascii="Garamond" w:hAnsi="Garamond"/>
          <w:spacing w:val="1"/>
        </w:rPr>
        <w:t xml:space="preserve"> </w:t>
      </w:r>
      <w:r w:rsidRPr="00395593">
        <w:rPr>
          <w:rFonts w:ascii="Garamond" w:hAnsi="Garamond"/>
        </w:rPr>
        <w:t>cada</w:t>
      </w:r>
      <w:r w:rsidRPr="00395593">
        <w:rPr>
          <w:rFonts w:ascii="Garamond" w:hAnsi="Garamond"/>
          <w:spacing w:val="1"/>
        </w:rPr>
        <w:t xml:space="preserve"> </w:t>
      </w:r>
      <w:r w:rsidRPr="00395593">
        <w:rPr>
          <w:rFonts w:ascii="Garamond" w:hAnsi="Garamond"/>
        </w:rPr>
        <w:t>in-</w:t>
      </w:r>
      <w:r w:rsidRPr="00395593">
        <w:rPr>
          <w:rFonts w:ascii="Garamond" w:hAnsi="Garamond"/>
          <w:spacing w:val="1"/>
        </w:rPr>
        <w:t xml:space="preserve"> </w:t>
      </w:r>
      <w:r w:rsidRPr="00395593">
        <w:rPr>
          <w:rFonts w:ascii="Garamond" w:hAnsi="Garamond"/>
        </w:rPr>
        <w:t>vestigação de defesa comercial, e a forma de sua apresentação, ob-</w:t>
      </w:r>
      <w:r w:rsidRPr="00395593">
        <w:rPr>
          <w:rFonts w:ascii="Garamond" w:hAnsi="Garamond"/>
          <w:spacing w:val="1"/>
        </w:rPr>
        <w:t xml:space="preserve"> </w:t>
      </w:r>
      <w:r w:rsidRPr="00395593">
        <w:rPr>
          <w:rFonts w:ascii="Garamond" w:hAnsi="Garamond"/>
        </w:rPr>
        <w:t>servados</w:t>
      </w:r>
      <w:r w:rsidRPr="00395593">
        <w:rPr>
          <w:rFonts w:ascii="Garamond" w:hAnsi="Garamond"/>
          <w:spacing w:val="1"/>
        </w:rPr>
        <w:t xml:space="preserve"> </w:t>
      </w:r>
      <w:r w:rsidRPr="00395593">
        <w:rPr>
          <w:rFonts w:ascii="Garamond" w:hAnsi="Garamond"/>
        </w:rPr>
        <w:t>os</w:t>
      </w:r>
      <w:r w:rsidRPr="00395593">
        <w:rPr>
          <w:rFonts w:ascii="Garamond" w:hAnsi="Garamond"/>
          <w:spacing w:val="1"/>
        </w:rPr>
        <w:t xml:space="preserve"> </w:t>
      </w:r>
      <w:r w:rsidRPr="00395593">
        <w:rPr>
          <w:rFonts w:ascii="Garamond" w:hAnsi="Garamond"/>
        </w:rPr>
        <w:t>requisitos</w:t>
      </w:r>
      <w:r w:rsidRPr="00395593">
        <w:rPr>
          <w:rFonts w:ascii="Garamond" w:hAnsi="Garamond"/>
          <w:spacing w:val="1"/>
        </w:rPr>
        <w:t xml:space="preserve"> </w:t>
      </w:r>
      <w:r w:rsidRPr="00395593">
        <w:rPr>
          <w:rFonts w:ascii="Garamond" w:hAnsi="Garamond"/>
        </w:rPr>
        <w:t>previstos</w:t>
      </w:r>
      <w:r w:rsidRPr="00395593">
        <w:rPr>
          <w:rFonts w:ascii="Garamond" w:hAnsi="Garamond"/>
          <w:spacing w:val="1"/>
        </w:rPr>
        <w:t xml:space="preserve"> </w:t>
      </w:r>
      <w:r w:rsidRPr="00395593">
        <w:rPr>
          <w:rFonts w:ascii="Garamond" w:hAnsi="Garamond"/>
        </w:rPr>
        <w:t>nos</w:t>
      </w:r>
      <w:r w:rsidRPr="00395593">
        <w:rPr>
          <w:rFonts w:ascii="Garamond" w:hAnsi="Garamond"/>
          <w:spacing w:val="1"/>
        </w:rPr>
        <w:t xml:space="preserve"> </w:t>
      </w:r>
      <w:r w:rsidRPr="00395593">
        <w:rPr>
          <w:rFonts w:ascii="Garamond" w:hAnsi="Garamond"/>
        </w:rPr>
        <w:t>regulamentos</w:t>
      </w:r>
      <w:r w:rsidRPr="00395593">
        <w:rPr>
          <w:rFonts w:ascii="Garamond" w:hAnsi="Garamond"/>
          <w:spacing w:val="1"/>
        </w:rPr>
        <w:t xml:space="preserve"> </w:t>
      </w:r>
      <w:r w:rsidRPr="00395593">
        <w:rPr>
          <w:rFonts w:ascii="Garamond" w:hAnsi="Garamond"/>
        </w:rPr>
        <w:t>brasileiros</w:t>
      </w:r>
      <w:r w:rsidRPr="00395593">
        <w:rPr>
          <w:rFonts w:ascii="Garamond" w:hAnsi="Garamond"/>
          <w:spacing w:val="1"/>
        </w:rPr>
        <w:t xml:space="preserve"> </w:t>
      </w:r>
      <w:r w:rsidRPr="00395593">
        <w:rPr>
          <w:rFonts w:ascii="Garamond" w:hAnsi="Garamond"/>
        </w:rPr>
        <w:t>per-</w:t>
      </w:r>
      <w:r w:rsidRPr="00395593">
        <w:rPr>
          <w:rFonts w:ascii="Garamond" w:hAnsi="Garamond"/>
          <w:spacing w:val="1"/>
        </w:rPr>
        <w:t xml:space="preserve"> </w:t>
      </w:r>
      <w:r w:rsidRPr="00395593">
        <w:rPr>
          <w:rFonts w:ascii="Garamond" w:hAnsi="Garamond"/>
        </w:rPr>
        <w:t>tinentes.</w:t>
      </w:r>
    </w:p>
    <w:p w14:paraId="7101960C" w14:textId="77777777" w:rsidR="006666B4" w:rsidRPr="00395593" w:rsidRDefault="006666B4" w:rsidP="006666B4">
      <w:pPr>
        <w:pStyle w:val="Corpodetexto"/>
        <w:spacing w:before="2"/>
        <w:jc w:val="both"/>
        <w:rPr>
          <w:rFonts w:ascii="Garamond" w:hAnsi="Garamond"/>
        </w:rPr>
      </w:pPr>
    </w:p>
    <w:p w14:paraId="64E63308" w14:textId="77777777" w:rsidR="006666B4" w:rsidRPr="00395593" w:rsidRDefault="006666B4" w:rsidP="006666B4">
      <w:pPr>
        <w:pStyle w:val="Corpodetexto"/>
        <w:ind w:left="677"/>
        <w:jc w:val="both"/>
        <w:rPr>
          <w:rFonts w:ascii="Garamond" w:hAnsi="Garamond"/>
        </w:rPr>
      </w:pPr>
      <w:r w:rsidRPr="00395593">
        <w:rPr>
          <w:rFonts w:ascii="Garamond" w:hAnsi="Garamond"/>
        </w:rPr>
        <w:t>Art.</w:t>
      </w:r>
      <w:r w:rsidRPr="00395593">
        <w:rPr>
          <w:rFonts w:ascii="Garamond" w:hAnsi="Garamond"/>
          <w:spacing w:val="-4"/>
        </w:rPr>
        <w:t xml:space="preserve"> </w:t>
      </w:r>
      <w:r w:rsidRPr="00395593">
        <w:rPr>
          <w:rFonts w:ascii="Garamond" w:hAnsi="Garamond"/>
        </w:rPr>
        <w:t>3º</w:t>
      </w:r>
      <w:r w:rsidRPr="00395593">
        <w:rPr>
          <w:rFonts w:ascii="Garamond" w:hAnsi="Garamond"/>
          <w:spacing w:val="-4"/>
        </w:rPr>
        <w:t xml:space="preserve"> </w:t>
      </w:r>
      <w:r w:rsidRPr="00395593">
        <w:rPr>
          <w:rFonts w:ascii="Garamond" w:hAnsi="Garamond"/>
        </w:rPr>
        <w:t>Este</w:t>
      </w:r>
      <w:r w:rsidRPr="00395593">
        <w:rPr>
          <w:rFonts w:ascii="Garamond" w:hAnsi="Garamond"/>
          <w:spacing w:val="-3"/>
        </w:rPr>
        <w:t xml:space="preserve"> </w:t>
      </w:r>
      <w:r w:rsidRPr="00395593">
        <w:rPr>
          <w:rFonts w:ascii="Garamond" w:hAnsi="Garamond"/>
        </w:rPr>
        <w:t>Decreto</w:t>
      </w:r>
      <w:r w:rsidRPr="00395593">
        <w:rPr>
          <w:rFonts w:ascii="Garamond" w:hAnsi="Garamond"/>
          <w:spacing w:val="-4"/>
        </w:rPr>
        <w:t xml:space="preserve"> </w:t>
      </w:r>
      <w:r w:rsidRPr="00395593">
        <w:rPr>
          <w:rFonts w:ascii="Garamond" w:hAnsi="Garamond"/>
        </w:rPr>
        <w:t>entra</w:t>
      </w:r>
      <w:r w:rsidRPr="00395593">
        <w:rPr>
          <w:rFonts w:ascii="Garamond" w:hAnsi="Garamond"/>
          <w:spacing w:val="-4"/>
        </w:rPr>
        <w:t xml:space="preserve"> </w:t>
      </w:r>
      <w:r w:rsidRPr="00395593">
        <w:rPr>
          <w:rFonts w:ascii="Garamond" w:hAnsi="Garamond"/>
        </w:rPr>
        <w:t>em</w:t>
      </w:r>
      <w:r w:rsidRPr="00395593">
        <w:rPr>
          <w:rFonts w:ascii="Garamond" w:hAnsi="Garamond"/>
          <w:spacing w:val="-3"/>
        </w:rPr>
        <w:t xml:space="preserve"> </w:t>
      </w:r>
      <w:r w:rsidRPr="00395593">
        <w:rPr>
          <w:rFonts w:ascii="Garamond" w:hAnsi="Garamond"/>
        </w:rPr>
        <w:t>vigor</w:t>
      </w:r>
      <w:r w:rsidRPr="00395593">
        <w:rPr>
          <w:rFonts w:ascii="Garamond" w:hAnsi="Garamond"/>
          <w:spacing w:val="-4"/>
        </w:rPr>
        <w:t xml:space="preserve"> </w:t>
      </w:r>
      <w:r w:rsidRPr="00395593">
        <w:rPr>
          <w:rFonts w:ascii="Garamond" w:hAnsi="Garamond"/>
        </w:rPr>
        <w:t>na</w:t>
      </w:r>
      <w:r w:rsidRPr="00395593">
        <w:rPr>
          <w:rFonts w:ascii="Garamond" w:hAnsi="Garamond"/>
          <w:spacing w:val="-4"/>
        </w:rPr>
        <w:t xml:space="preserve"> </w:t>
      </w:r>
      <w:r w:rsidRPr="00395593">
        <w:rPr>
          <w:rFonts w:ascii="Garamond" w:hAnsi="Garamond"/>
        </w:rPr>
        <w:t>data</w:t>
      </w:r>
      <w:r w:rsidRPr="00395593">
        <w:rPr>
          <w:rFonts w:ascii="Garamond" w:hAnsi="Garamond"/>
          <w:spacing w:val="-3"/>
        </w:rPr>
        <w:t xml:space="preserve"> </w:t>
      </w:r>
      <w:r w:rsidRPr="00395593">
        <w:rPr>
          <w:rFonts w:ascii="Garamond" w:hAnsi="Garamond"/>
        </w:rPr>
        <w:t>de</w:t>
      </w:r>
      <w:r w:rsidRPr="00395593">
        <w:rPr>
          <w:rFonts w:ascii="Garamond" w:hAnsi="Garamond"/>
          <w:spacing w:val="-4"/>
        </w:rPr>
        <w:t xml:space="preserve"> </w:t>
      </w:r>
      <w:r w:rsidRPr="00395593">
        <w:rPr>
          <w:rFonts w:ascii="Garamond" w:hAnsi="Garamond"/>
        </w:rPr>
        <w:t>sua</w:t>
      </w:r>
      <w:r w:rsidRPr="00395593">
        <w:rPr>
          <w:rFonts w:ascii="Garamond" w:hAnsi="Garamond"/>
          <w:spacing w:val="-3"/>
        </w:rPr>
        <w:t xml:space="preserve"> </w:t>
      </w:r>
      <w:r w:rsidRPr="00395593">
        <w:rPr>
          <w:rFonts w:ascii="Garamond" w:hAnsi="Garamond"/>
        </w:rPr>
        <w:t>publicação.</w:t>
      </w:r>
    </w:p>
    <w:p w14:paraId="6E40B0AA" w14:textId="77777777" w:rsidR="006666B4" w:rsidRPr="00395593" w:rsidRDefault="006666B4" w:rsidP="006666B4">
      <w:pPr>
        <w:pStyle w:val="Corpodetexto"/>
        <w:spacing w:before="8"/>
        <w:jc w:val="both"/>
        <w:rPr>
          <w:rFonts w:ascii="Garamond" w:hAnsi="Garamond"/>
        </w:rPr>
      </w:pPr>
    </w:p>
    <w:p w14:paraId="42C66624" w14:textId="77777777" w:rsidR="006666B4" w:rsidRPr="00395593" w:rsidRDefault="006666B4" w:rsidP="006666B4">
      <w:pPr>
        <w:pStyle w:val="Corpodetexto"/>
        <w:spacing w:line="252" w:lineRule="auto"/>
        <w:ind w:left="112" w:right="38" w:firstLine="564"/>
        <w:jc w:val="both"/>
        <w:rPr>
          <w:rFonts w:ascii="Garamond" w:hAnsi="Garamond"/>
        </w:rPr>
      </w:pPr>
      <w:r w:rsidRPr="00395593">
        <w:rPr>
          <w:rFonts w:ascii="Garamond" w:hAnsi="Garamond"/>
        </w:rPr>
        <w:t>Brasília, 26 de julho de 2017; 196º da Independência e 129º</w:t>
      </w:r>
      <w:r w:rsidRPr="00395593">
        <w:rPr>
          <w:rFonts w:ascii="Garamond" w:hAnsi="Garamond"/>
          <w:spacing w:val="1"/>
        </w:rPr>
        <w:t xml:space="preserve"> </w:t>
      </w:r>
      <w:r w:rsidRPr="00395593">
        <w:rPr>
          <w:rFonts w:ascii="Garamond" w:hAnsi="Garamond"/>
        </w:rPr>
        <w:t>da</w:t>
      </w:r>
      <w:r w:rsidRPr="00395593">
        <w:rPr>
          <w:rFonts w:ascii="Garamond" w:hAnsi="Garamond"/>
          <w:spacing w:val="20"/>
        </w:rPr>
        <w:t xml:space="preserve"> </w:t>
      </w:r>
      <w:r w:rsidRPr="00395593">
        <w:rPr>
          <w:rFonts w:ascii="Garamond" w:hAnsi="Garamond"/>
        </w:rPr>
        <w:t>República.</w:t>
      </w:r>
    </w:p>
    <w:p w14:paraId="50493AA2" w14:textId="77777777" w:rsidR="006666B4" w:rsidRPr="00395593" w:rsidRDefault="006666B4" w:rsidP="006666B4">
      <w:pPr>
        <w:ind w:firstLine="112"/>
        <w:jc w:val="both"/>
        <w:rPr>
          <w:rFonts w:ascii="Garamond" w:hAnsi="Garamond" w:cs="Times New Roman"/>
          <w:sz w:val="24"/>
          <w:szCs w:val="24"/>
        </w:rPr>
      </w:pPr>
    </w:p>
    <w:p w14:paraId="245B449A" w14:textId="77777777" w:rsidR="006666B4" w:rsidRPr="00395593" w:rsidRDefault="006666B4" w:rsidP="006666B4">
      <w:pPr>
        <w:spacing w:after="0" w:line="240" w:lineRule="auto"/>
        <w:ind w:firstLine="113"/>
        <w:jc w:val="center"/>
        <w:rPr>
          <w:rFonts w:ascii="Garamond" w:hAnsi="Garamond" w:cs="Times New Roman"/>
          <w:sz w:val="24"/>
          <w:szCs w:val="24"/>
        </w:rPr>
      </w:pPr>
      <w:r w:rsidRPr="00395593">
        <w:rPr>
          <w:rFonts w:ascii="Garamond" w:hAnsi="Garamond" w:cs="Times New Roman"/>
          <w:sz w:val="24"/>
          <w:szCs w:val="24"/>
        </w:rPr>
        <w:t>MICHEL TEMER</w:t>
      </w:r>
    </w:p>
    <w:p w14:paraId="5C638310" w14:textId="5B67964A" w:rsidR="006666B4" w:rsidRPr="005C5CBD" w:rsidRDefault="006666B4" w:rsidP="006666B4">
      <w:pPr>
        <w:spacing w:after="0" w:line="240" w:lineRule="auto"/>
        <w:ind w:firstLine="113"/>
        <w:jc w:val="center"/>
        <w:rPr>
          <w:rFonts w:ascii="Garamond" w:hAnsi="Garamond" w:cs="Times New Roman"/>
          <w:i/>
          <w:iCs/>
          <w:color w:val="343334"/>
          <w:sz w:val="24"/>
          <w:szCs w:val="24"/>
        </w:rPr>
      </w:pPr>
      <w:r w:rsidRPr="005C5CBD">
        <w:rPr>
          <w:rFonts w:ascii="Garamond" w:hAnsi="Garamond" w:cs="Times New Roman"/>
          <w:i/>
          <w:iCs/>
          <w:color w:val="343334"/>
          <w:sz w:val="24"/>
          <w:szCs w:val="24"/>
        </w:rPr>
        <w:t>Marcos Jorge Lima</w:t>
      </w:r>
    </w:p>
    <w:p w14:paraId="2FFD7E75" w14:textId="77777777" w:rsidR="001212FB" w:rsidRDefault="001212FB" w:rsidP="0097041B">
      <w:pPr>
        <w:rPr>
          <w:rFonts w:ascii="Garamond" w:hAnsi="Garamond" w:cs="Times New Roman"/>
          <w:i/>
          <w:iCs/>
          <w:color w:val="343334"/>
          <w:sz w:val="24"/>
          <w:szCs w:val="24"/>
        </w:rPr>
      </w:pPr>
      <w:r>
        <w:rPr>
          <w:rFonts w:ascii="Garamond" w:hAnsi="Garamond" w:cs="Times New Roman"/>
          <w:i/>
          <w:iCs/>
          <w:color w:val="343334"/>
          <w:sz w:val="24"/>
          <w:szCs w:val="24"/>
        </w:rPr>
        <w:br w:type="page"/>
      </w:r>
    </w:p>
    <w:p w14:paraId="02ABCC02" w14:textId="68D662BE" w:rsidR="00B73003" w:rsidRPr="004F5838" w:rsidRDefault="00B73003" w:rsidP="00E422B9">
      <w:pPr>
        <w:pStyle w:val="Ttulo"/>
        <w:outlineLvl w:val="1"/>
        <w:rPr>
          <w:rFonts w:cstheme="majorHAnsi"/>
        </w:rPr>
      </w:pPr>
      <w:bookmarkStart w:id="96" w:name="_Toc96003806"/>
      <w:r w:rsidRPr="00395593">
        <w:rPr>
          <w:lang w:eastAsia="pt-BR"/>
        </w:rPr>
        <w:t>P</w:t>
      </w:r>
      <w:r w:rsidR="00EF5528" w:rsidRPr="00395593">
        <w:rPr>
          <w:lang w:eastAsia="pt-BR"/>
        </w:rPr>
        <w:t>ortaria</w:t>
      </w:r>
      <w:r w:rsidRPr="00D061CE">
        <w:rPr>
          <w:lang w:eastAsia="pt-BR"/>
        </w:rPr>
        <w:t xml:space="preserve"> SECEX </w:t>
      </w:r>
      <w:r w:rsidR="00983075" w:rsidRPr="00395593">
        <w:rPr>
          <w:lang w:eastAsia="pt-BR"/>
        </w:rPr>
        <w:t>n</w:t>
      </w:r>
      <w:r w:rsidRPr="00395593">
        <w:rPr>
          <w:lang w:eastAsia="pt-BR"/>
        </w:rPr>
        <w:t>º</w:t>
      </w:r>
      <w:r w:rsidRPr="00D061CE">
        <w:rPr>
          <w:lang w:eastAsia="pt-BR"/>
        </w:rPr>
        <w:t xml:space="preserve"> 162, </w:t>
      </w:r>
      <w:r w:rsidR="00EF5528" w:rsidRPr="00395593">
        <w:rPr>
          <w:lang w:eastAsia="pt-BR"/>
        </w:rPr>
        <w:t>de</w:t>
      </w:r>
      <w:r w:rsidRPr="00D061CE">
        <w:rPr>
          <w:lang w:eastAsia="pt-BR"/>
        </w:rPr>
        <w:t xml:space="preserve"> 6 </w:t>
      </w:r>
      <w:r w:rsidR="00EF5528" w:rsidRPr="00395593">
        <w:rPr>
          <w:lang w:eastAsia="pt-BR"/>
        </w:rPr>
        <w:t>de</w:t>
      </w:r>
      <w:r w:rsidRPr="00395593">
        <w:rPr>
          <w:lang w:eastAsia="pt-BR"/>
        </w:rPr>
        <w:t xml:space="preserve"> </w:t>
      </w:r>
      <w:r w:rsidR="00EF5528" w:rsidRPr="00395593">
        <w:rPr>
          <w:lang w:eastAsia="pt-BR"/>
        </w:rPr>
        <w:t>janeiro</w:t>
      </w:r>
      <w:r w:rsidRPr="00395593">
        <w:rPr>
          <w:lang w:eastAsia="pt-BR"/>
        </w:rPr>
        <w:t xml:space="preserve"> </w:t>
      </w:r>
      <w:r w:rsidR="00EF5528" w:rsidRPr="00395593">
        <w:rPr>
          <w:lang w:eastAsia="pt-BR"/>
        </w:rPr>
        <w:t>de</w:t>
      </w:r>
      <w:r w:rsidRPr="00D061CE">
        <w:rPr>
          <w:lang w:eastAsia="pt-BR"/>
        </w:rPr>
        <w:t xml:space="preserve"> 2022</w:t>
      </w:r>
      <w:bookmarkEnd w:id="96"/>
    </w:p>
    <w:p w14:paraId="50E7DF79" w14:textId="45D009DF" w:rsidR="00D061CE" w:rsidRPr="00395593" w:rsidRDefault="00D061CE" w:rsidP="00D815D9">
      <w:pPr>
        <w:shd w:val="clear" w:color="auto" w:fill="FFFFFF"/>
        <w:spacing w:before="240" w:after="240"/>
        <w:ind w:left="4536"/>
        <w:jc w:val="both"/>
        <w:rPr>
          <w:rFonts w:ascii="Garamond" w:hAnsi="Garamond"/>
          <w:sz w:val="24"/>
          <w:szCs w:val="24"/>
        </w:rPr>
      </w:pPr>
      <w:r w:rsidRPr="00395593">
        <w:rPr>
          <w:rFonts w:ascii="Garamond" w:hAnsi="Garamond"/>
          <w:sz w:val="24"/>
          <w:szCs w:val="24"/>
        </w:rPr>
        <w:t>Dispõe sobre as normas gerais utilizadas nos processos de defesa comercial previstos nos Decretos nº 1.488, de 11 de maio de 1995, nº 8.058, de 26 de julho de 2013, nº 9.107, de 26 de julho de 2017 e nº 10.839, de 18 de outubro de 2021, e nos acordos comerciais em vigor no Brasil, até então amparados na Portaria SECEX nº 41, de 27 de julho de 2018, na Portaria SECEX nº 21, de 30 de março de 2020, na Portaria SECEX, nº 103, de 27 de julho de 2021, na Instrução Normativa SECEX nº 3 de, de 22 de outubro de 2021 e na Portaria SECEX nº 150, de 26 de novembro de 2021, para fins de cumprimento do Decreto nº 10.139, de 28 de novembro de 2019.</w:t>
      </w:r>
    </w:p>
    <w:p w14:paraId="6A75120D" w14:textId="77777777" w:rsidR="00D061CE" w:rsidRPr="00395593" w:rsidRDefault="00D061CE" w:rsidP="003775F1">
      <w:pPr>
        <w:spacing w:before="240" w:after="240"/>
        <w:jc w:val="both"/>
        <w:rPr>
          <w:rFonts w:ascii="Garamond" w:hAnsi="Garamond"/>
          <w:sz w:val="24"/>
          <w:szCs w:val="24"/>
        </w:rPr>
      </w:pPr>
      <w:r w:rsidRPr="00395593">
        <w:rPr>
          <w:rFonts w:ascii="Garamond" w:hAnsi="Garamond"/>
          <w:sz w:val="24"/>
          <w:szCs w:val="24"/>
        </w:rPr>
        <w:t>O SECRETÁRIO DE COMÉRCIO EXTERIOR, DO MINISTÉRIO DA ECONOMIA, no uso das atribuições que lhe confere o inciso VIII do art. 91 do Anexo I do Decreto nº 9.745, de 8 de abril de 2019, considerando as competências da Subsecretaria de Defesa Comercial e Interesse Público estabelecidas no art. 96 do Anexo I do Decreto nº 9.745, de 2019, para fins de cumprimento do Decreto no 10.139, de 28 de novembro de 2019, resolve:</w:t>
      </w:r>
    </w:p>
    <w:p w14:paraId="2842688C" w14:textId="77777777" w:rsidR="00D061CE" w:rsidRPr="00F26A10" w:rsidRDefault="00D061CE" w:rsidP="00F26A10">
      <w:pPr>
        <w:pStyle w:val="Corpodetexto"/>
        <w:jc w:val="center"/>
        <w:rPr>
          <w:rFonts w:ascii="Garamond" w:hAnsi="Garamond"/>
          <w:b/>
        </w:rPr>
      </w:pPr>
      <w:bookmarkStart w:id="97" w:name="_jic38b48sov7" w:colFirst="0" w:colLast="0"/>
      <w:bookmarkEnd w:id="97"/>
      <w:r w:rsidRPr="00F26A10">
        <w:rPr>
          <w:rFonts w:ascii="Garamond" w:hAnsi="Garamond"/>
          <w:b/>
        </w:rPr>
        <w:t>CAPÍTULO I</w:t>
      </w:r>
    </w:p>
    <w:p w14:paraId="16B184F3" w14:textId="77777777" w:rsidR="00D061CE" w:rsidRPr="00F26A10" w:rsidRDefault="00D061CE" w:rsidP="00F26A10">
      <w:pPr>
        <w:pStyle w:val="Corpodetexto"/>
        <w:jc w:val="center"/>
        <w:rPr>
          <w:rFonts w:ascii="Garamond" w:hAnsi="Garamond"/>
          <w:b/>
        </w:rPr>
      </w:pPr>
      <w:bookmarkStart w:id="98" w:name="_b8hotfres0lb" w:colFirst="0" w:colLast="0"/>
      <w:bookmarkEnd w:id="98"/>
      <w:r w:rsidRPr="00F26A10">
        <w:rPr>
          <w:rFonts w:ascii="Garamond" w:hAnsi="Garamond"/>
          <w:b/>
        </w:rPr>
        <w:t>DAS DISPOSIÇÕES GERAIS</w:t>
      </w:r>
    </w:p>
    <w:p w14:paraId="334619B2"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Art. 1º A regulamentação das normas gerais utilizadas nos processos de defesa comercial sobre o processo administrativo eletrônico no Sistema Eletrônico de Informação – SEI/ME, sobre o procedimento da fase facultativa do pré-pleito, sobre as notificações e comunicações às partes interessadas no âmbito de processos de defesa comercial, sobre a habilitação da produção nacional de determinado produto como indústria fragmentada e sobre as adaptações necessárias aos procedimentos das investigações de defesa comercial  de que estão sob gestão da Subsecretaria de Defesa Comercial e Interesse Público – SDCOM, obedecerá ao disposto nesta Portaria.</w:t>
      </w:r>
    </w:p>
    <w:p w14:paraId="201691DD" w14:textId="1501DF5E" w:rsidR="00D061CE" w:rsidRPr="00F26A10" w:rsidRDefault="00D061CE" w:rsidP="00F26A10">
      <w:pPr>
        <w:pStyle w:val="Corpodetexto"/>
        <w:jc w:val="center"/>
        <w:rPr>
          <w:rFonts w:ascii="Garamond" w:hAnsi="Garamond"/>
          <w:b/>
        </w:rPr>
      </w:pPr>
      <w:bookmarkStart w:id="99" w:name="_6x1ymd2jmu1f" w:colFirst="0" w:colLast="0"/>
      <w:bookmarkStart w:id="100" w:name="_rifglg89pztm" w:colFirst="0" w:colLast="0"/>
      <w:bookmarkEnd w:id="99"/>
      <w:bookmarkEnd w:id="100"/>
      <w:r w:rsidRPr="00F26A10">
        <w:rPr>
          <w:rFonts w:ascii="Garamond" w:hAnsi="Garamond"/>
          <w:b/>
        </w:rPr>
        <w:t>CAPÍTULO II</w:t>
      </w:r>
    </w:p>
    <w:p w14:paraId="1CE6A162" w14:textId="1ED000F2" w:rsidR="00D061CE" w:rsidRDefault="00D061CE" w:rsidP="00F26A10">
      <w:pPr>
        <w:pStyle w:val="Corpodetexto"/>
        <w:jc w:val="center"/>
        <w:rPr>
          <w:rFonts w:ascii="Garamond" w:hAnsi="Garamond"/>
          <w:b/>
        </w:rPr>
      </w:pPr>
      <w:bookmarkStart w:id="101" w:name="_uoskxtky6ltw" w:colFirst="0" w:colLast="0"/>
      <w:bookmarkEnd w:id="101"/>
      <w:r w:rsidRPr="00F26A10">
        <w:rPr>
          <w:rFonts w:ascii="Garamond" w:hAnsi="Garamond"/>
          <w:b/>
        </w:rPr>
        <w:t>DA UTILIZAÇÃO DO SISTEMA ELETRÔNICO DE INFORMAÇÃO – SEI</w:t>
      </w:r>
    </w:p>
    <w:p w14:paraId="2CC10C12" w14:textId="77777777" w:rsidR="00374B9E" w:rsidRPr="00F26A10" w:rsidRDefault="00374B9E" w:rsidP="00F26A10">
      <w:pPr>
        <w:pStyle w:val="Corpodetexto"/>
        <w:jc w:val="center"/>
        <w:rPr>
          <w:rFonts w:ascii="Garamond" w:hAnsi="Garamond"/>
          <w:b/>
        </w:rPr>
      </w:pPr>
    </w:p>
    <w:p w14:paraId="56C9E326"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b/>
          <w:color w:val="000000" w:themeColor="text1"/>
        </w:rPr>
      </w:pPr>
      <w:r w:rsidRPr="00395593">
        <w:rPr>
          <w:rFonts w:ascii="Garamond" w:hAnsi="Garamond"/>
        </w:rPr>
        <w:t xml:space="preserve"> </w:t>
      </w:r>
      <w:r w:rsidRPr="00395593">
        <w:rPr>
          <w:rFonts w:ascii="Garamond" w:hAnsi="Garamond"/>
          <w:color w:val="000000" w:themeColor="text1"/>
        </w:rPr>
        <w:t xml:space="preserve">Art. 2º Este capítulo regulamenta o processo administrativo eletrônico relativo às investigações e aos procedimentos de defesa comercial amparados pelos Decretos no 1.488, de 11 de maio de 1995, no 1.751, de 19 de dezembro de 1995, nº 8.058, de 26 de julho de 2013, e nº 9.107, de 26 de julho de 2017, e pelos acordos comerciais em vigor no Brasil, e às avaliações de interesse público amparadas pela Portaria SECEX nº 13, de 29 de janeiro de 2020. </w:t>
      </w:r>
    </w:p>
    <w:p w14:paraId="1A1C0BA3" w14:textId="5B9E63D8" w:rsidR="00D061CE" w:rsidRPr="00F26A10" w:rsidRDefault="00CE211F" w:rsidP="00F26A10">
      <w:pPr>
        <w:spacing w:after="0" w:line="240" w:lineRule="auto"/>
        <w:jc w:val="center"/>
        <w:rPr>
          <w:rFonts w:ascii="Garamond" w:hAnsi="Garamond"/>
          <w:b/>
          <w:sz w:val="24"/>
          <w:szCs w:val="24"/>
        </w:rPr>
      </w:pPr>
      <w:r w:rsidRPr="005C5CBD">
        <w:rPr>
          <w:rFonts w:ascii="Garamond" w:hAnsi="Garamond"/>
        </w:rPr>
        <w:br w:type="page"/>
      </w:r>
      <w:r w:rsidR="00D061CE" w:rsidRPr="00F26A10">
        <w:rPr>
          <w:rFonts w:ascii="Garamond" w:hAnsi="Garamond"/>
          <w:b/>
          <w:sz w:val="24"/>
          <w:szCs w:val="24"/>
        </w:rPr>
        <w:t>Seção I</w:t>
      </w:r>
    </w:p>
    <w:p w14:paraId="40F73618" w14:textId="41DE414B" w:rsidR="00D061CE" w:rsidRDefault="00D061CE" w:rsidP="00F26A10">
      <w:pPr>
        <w:pStyle w:val="Corpodetexto"/>
        <w:jc w:val="center"/>
        <w:rPr>
          <w:rFonts w:ascii="Garamond" w:hAnsi="Garamond"/>
          <w:b/>
        </w:rPr>
      </w:pPr>
      <w:bookmarkStart w:id="102" w:name="_ha06qf1ho1w6" w:colFirst="0" w:colLast="0"/>
      <w:bookmarkEnd w:id="102"/>
      <w:r w:rsidRPr="00F26A10">
        <w:rPr>
          <w:rFonts w:ascii="Garamond" w:hAnsi="Garamond"/>
          <w:b/>
        </w:rPr>
        <w:t>Das instruções gerais</w:t>
      </w:r>
    </w:p>
    <w:p w14:paraId="067BC446" w14:textId="77777777" w:rsidR="00374B9E" w:rsidRPr="00F26A10" w:rsidRDefault="00374B9E" w:rsidP="00F26A10">
      <w:pPr>
        <w:pStyle w:val="Corpodetexto"/>
        <w:jc w:val="center"/>
        <w:rPr>
          <w:rFonts w:ascii="Garamond" w:hAnsi="Garamond"/>
          <w:b/>
        </w:rPr>
      </w:pPr>
    </w:p>
    <w:p w14:paraId="66E3144D" w14:textId="77777777" w:rsidR="00D061CE" w:rsidRPr="00395593" w:rsidRDefault="00D061CE" w:rsidP="003249A0">
      <w:pPr>
        <w:pStyle w:val="textojustificadorecuoprimeiralinha"/>
        <w:spacing w:before="0" w:beforeAutospacing="0" w:after="120" w:afterAutospacing="0"/>
        <w:ind w:firstLineChars="100" w:firstLine="240"/>
        <w:jc w:val="both"/>
        <w:rPr>
          <w:rFonts w:ascii="Garamond" w:hAnsi="Garamond"/>
        </w:rPr>
      </w:pPr>
      <w:r w:rsidRPr="00395593">
        <w:rPr>
          <w:rFonts w:ascii="Garamond" w:hAnsi="Garamond"/>
        </w:rPr>
        <w:t>Art. 3º A SDCOM, utilizará o Sistema Eletrônico de Informações do Ministério da Economia - SEI/ME para produzir, editar, assinar, tramitar, receber e concluir os processos eletrônicos referentes às investigações e procedimentos de defesa comercial.</w:t>
      </w:r>
    </w:p>
    <w:p w14:paraId="308EC928" w14:textId="77777777" w:rsidR="00D061CE" w:rsidRPr="00395593" w:rsidRDefault="00D061CE" w:rsidP="003249A0">
      <w:pPr>
        <w:pStyle w:val="textojustificadorecuoprimeiralinha"/>
        <w:spacing w:before="0" w:beforeAutospacing="0" w:after="120" w:afterAutospacing="0"/>
        <w:ind w:firstLineChars="100" w:firstLine="240"/>
        <w:jc w:val="both"/>
        <w:rPr>
          <w:rFonts w:ascii="Garamond" w:hAnsi="Garamond"/>
          <w:b/>
          <w:color w:val="FF0000"/>
        </w:rPr>
      </w:pPr>
      <w:r w:rsidRPr="00395593">
        <w:rPr>
          <w:rFonts w:ascii="Garamond" w:hAnsi="Garamond"/>
        </w:rPr>
        <w:t xml:space="preserve">§ 1º A Portaria ME nº 294, de 2020, terá aplicação subsidiária às disposições específicas previstas nesta Portaria. </w:t>
      </w:r>
    </w:p>
    <w:p w14:paraId="70C7CEAF" w14:textId="77777777" w:rsidR="00D061CE" w:rsidRPr="00395593" w:rsidRDefault="00D061CE" w:rsidP="003249A0">
      <w:pPr>
        <w:pStyle w:val="textojustificadorecuoprimeiralinha"/>
        <w:spacing w:before="0" w:beforeAutospacing="0" w:after="120" w:afterAutospacing="0"/>
        <w:ind w:firstLineChars="100" w:firstLine="240"/>
        <w:jc w:val="both"/>
        <w:rPr>
          <w:rFonts w:ascii="Garamond" w:hAnsi="Garamond"/>
          <w:color w:val="FF0000"/>
        </w:rPr>
      </w:pPr>
      <w:r w:rsidRPr="00395593">
        <w:rPr>
          <w:rFonts w:ascii="Garamond" w:hAnsi="Garamond"/>
        </w:rPr>
        <w:t xml:space="preserve">§ 2º. Os arts. </w:t>
      </w:r>
      <w:r w:rsidRPr="00395593">
        <w:rPr>
          <w:rFonts w:ascii="Garamond" w:hAnsi="Garamond"/>
          <w:color w:val="162937"/>
        </w:rPr>
        <w:t>4º e 5º desta Portaria não se aplicam às avaliações de interesse público disciplinadas pela Portar</w:t>
      </w:r>
      <w:r w:rsidRPr="00395593">
        <w:rPr>
          <w:rFonts w:ascii="Garamond" w:hAnsi="Garamond"/>
        </w:rPr>
        <w:t>ia SECEX nº 13, de 29 de janeiro de 2020.</w:t>
      </w:r>
    </w:p>
    <w:p w14:paraId="3C50F088" w14:textId="77777777" w:rsidR="00D061CE" w:rsidRPr="00395593" w:rsidRDefault="00D061CE" w:rsidP="003249A0">
      <w:pPr>
        <w:pStyle w:val="textojustificadorecuoprimeiralinha"/>
        <w:spacing w:before="0" w:beforeAutospacing="0" w:after="120" w:afterAutospacing="0"/>
        <w:ind w:firstLineChars="100" w:firstLine="240"/>
        <w:jc w:val="both"/>
        <w:rPr>
          <w:rFonts w:ascii="Garamond" w:hAnsi="Garamond"/>
        </w:rPr>
      </w:pPr>
      <w:r w:rsidRPr="00395593">
        <w:rPr>
          <w:rFonts w:ascii="Garamond" w:hAnsi="Garamond"/>
        </w:rPr>
        <w:t>Art. 4º O acesso aos processos e o envio de documentos pelas partes interessadas serão feitos por meio de representante legal habilitado junto à SDCOM.</w:t>
      </w:r>
    </w:p>
    <w:p w14:paraId="08286D0C" w14:textId="77777777" w:rsidR="00D061CE" w:rsidRPr="00395593" w:rsidRDefault="00D061CE" w:rsidP="003249A0">
      <w:pPr>
        <w:pStyle w:val="textojustificadorecuoprimeiralinha"/>
        <w:spacing w:before="0" w:beforeAutospacing="0" w:after="120" w:afterAutospacing="0"/>
        <w:ind w:firstLineChars="100" w:firstLine="240"/>
        <w:jc w:val="both"/>
        <w:rPr>
          <w:rFonts w:ascii="Garamond" w:hAnsi="Garamond"/>
        </w:rPr>
      </w:pPr>
      <w:r w:rsidRPr="00395593">
        <w:rPr>
          <w:rFonts w:ascii="Garamond" w:hAnsi="Garamond"/>
        </w:rPr>
        <w:t>§ 1º A intervenção nos processos de representantes legais que não estejam habilitados junto à SDCOM somente será permitida na execução dos seguintes atos:</w:t>
      </w:r>
    </w:p>
    <w:p w14:paraId="11EC1E75" w14:textId="77777777" w:rsidR="00D061CE" w:rsidRPr="00395593" w:rsidRDefault="00D061CE" w:rsidP="003249A0">
      <w:pPr>
        <w:shd w:val="clear" w:color="auto" w:fill="FFFFFF"/>
        <w:spacing w:before="240" w:after="240"/>
        <w:ind w:firstLineChars="100" w:firstLine="240"/>
        <w:jc w:val="both"/>
        <w:rPr>
          <w:rFonts w:ascii="Garamond" w:hAnsi="Garamond"/>
          <w:sz w:val="24"/>
          <w:szCs w:val="24"/>
        </w:rPr>
      </w:pPr>
      <w:r w:rsidRPr="00395593">
        <w:rPr>
          <w:rFonts w:ascii="Garamond" w:hAnsi="Garamond"/>
          <w:sz w:val="24"/>
          <w:szCs w:val="24"/>
        </w:rPr>
        <w:t>I - submissão de documentação pertinente para habilitação como representante legal de parte interessada;</w:t>
      </w:r>
    </w:p>
    <w:p w14:paraId="2A5931B7" w14:textId="77777777" w:rsidR="00D061CE" w:rsidRPr="00395593" w:rsidRDefault="00D061CE" w:rsidP="003249A0">
      <w:pPr>
        <w:shd w:val="clear" w:color="auto" w:fill="FFFFFF"/>
        <w:spacing w:before="240" w:after="240"/>
        <w:ind w:firstLineChars="100" w:firstLine="240"/>
        <w:jc w:val="both"/>
        <w:rPr>
          <w:rFonts w:ascii="Garamond" w:hAnsi="Garamond"/>
          <w:sz w:val="24"/>
          <w:szCs w:val="24"/>
        </w:rPr>
      </w:pPr>
      <w:r w:rsidRPr="00395593">
        <w:rPr>
          <w:rFonts w:ascii="Garamond" w:hAnsi="Garamond"/>
          <w:sz w:val="24"/>
          <w:szCs w:val="24"/>
        </w:rPr>
        <w:t>II - solicitação de prorrogação de prazo para apresentação de respostas aos questionários;</w:t>
      </w:r>
    </w:p>
    <w:p w14:paraId="3AD510B3" w14:textId="77777777" w:rsidR="00D061CE" w:rsidRPr="00395593" w:rsidRDefault="00D061CE" w:rsidP="003249A0">
      <w:pPr>
        <w:shd w:val="clear" w:color="auto" w:fill="FFFFFF"/>
        <w:spacing w:before="240" w:after="240"/>
        <w:ind w:firstLineChars="100" w:firstLine="240"/>
        <w:jc w:val="both"/>
        <w:rPr>
          <w:rFonts w:ascii="Garamond" w:hAnsi="Garamond"/>
          <w:sz w:val="24"/>
          <w:szCs w:val="24"/>
        </w:rPr>
      </w:pPr>
      <w:r w:rsidRPr="00395593">
        <w:rPr>
          <w:rFonts w:ascii="Garamond" w:hAnsi="Garamond"/>
          <w:sz w:val="24"/>
          <w:szCs w:val="24"/>
        </w:rPr>
        <w:t>III - apresentação de respostas aos questionários e manifestações sobre modelos de produto;</w:t>
      </w:r>
    </w:p>
    <w:p w14:paraId="1AEE66FD" w14:textId="77777777" w:rsidR="00D061CE" w:rsidRPr="00395593" w:rsidRDefault="00D061CE" w:rsidP="003249A0">
      <w:pPr>
        <w:shd w:val="clear" w:color="auto" w:fill="FFFFFF"/>
        <w:spacing w:before="240" w:after="240"/>
        <w:ind w:firstLineChars="100" w:firstLine="240"/>
        <w:jc w:val="both"/>
        <w:rPr>
          <w:rFonts w:ascii="Garamond" w:hAnsi="Garamond"/>
          <w:sz w:val="24"/>
          <w:szCs w:val="24"/>
        </w:rPr>
      </w:pPr>
      <w:r w:rsidRPr="00395593">
        <w:rPr>
          <w:rFonts w:ascii="Garamond" w:hAnsi="Garamond"/>
          <w:sz w:val="24"/>
          <w:szCs w:val="24"/>
        </w:rPr>
        <w:t>IV - solicitação de habilitação de outras partes que se considerem interessadas;</w:t>
      </w:r>
    </w:p>
    <w:p w14:paraId="46F1C815" w14:textId="77777777" w:rsidR="00D061CE" w:rsidRPr="00395593" w:rsidRDefault="00D061CE" w:rsidP="003249A0">
      <w:pPr>
        <w:shd w:val="clear" w:color="auto" w:fill="FFFFFF"/>
        <w:spacing w:before="240" w:after="240"/>
        <w:ind w:firstLineChars="100" w:firstLine="240"/>
        <w:jc w:val="both"/>
        <w:rPr>
          <w:rFonts w:ascii="Garamond" w:hAnsi="Garamond"/>
          <w:sz w:val="24"/>
          <w:szCs w:val="24"/>
        </w:rPr>
      </w:pPr>
      <w:r w:rsidRPr="00395593">
        <w:rPr>
          <w:rFonts w:ascii="Garamond" w:hAnsi="Garamond"/>
          <w:sz w:val="24"/>
          <w:szCs w:val="24"/>
        </w:rPr>
        <w:t>V - submissão de proposta de terceiro país de economia de mercado alternativo;</w:t>
      </w:r>
    </w:p>
    <w:p w14:paraId="4495B51B" w14:textId="77777777" w:rsidR="00D061CE" w:rsidRPr="00395593" w:rsidRDefault="00D061CE" w:rsidP="003249A0">
      <w:pPr>
        <w:shd w:val="clear" w:color="auto" w:fill="FFFFFF"/>
        <w:spacing w:before="240" w:after="240"/>
        <w:ind w:firstLineChars="100" w:firstLine="240"/>
        <w:jc w:val="both"/>
        <w:rPr>
          <w:rFonts w:ascii="Garamond" w:hAnsi="Garamond"/>
          <w:sz w:val="24"/>
          <w:szCs w:val="24"/>
        </w:rPr>
      </w:pPr>
      <w:r w:rsidRPr="00395593">
        <w:rPr>
          <w:rFonts w:ascii="Garamond" w:hAnsi="Garamond"/>
          <w:sz w:val="24"/>
          <w:szCs w:val="24"/>
        </w:rPr>
        <w:t>VI - manifestações sobre a seleção de produtores ou exportadores, importadores ou tipos de produto; e</w:t>
      </w:r>
    </w:p>
    <w:p w14:paraId="3E51A0BB" w14:textId="77777777" w:rsidR="00D061CE" w:rsidRPr="00395593" w:rsidRDefault="00D061CE" w:rsidP="003249A0">
      <w:pPr>
        <w:spacing w:before="240" w:after="240"/>
        <w:ind w:firstLineChars="100" w:firstLine="240"/>
        <w:jc w:val="both"/>
        <w:rPr>
          <w:rFonts w:ascii="Garamond" w:hAnsi="Garamond"/>
          <w:sz w:val="24"/>
          <w:szCs w:val="24"/>
        </w:rPr>
      </w:pPr>
      <w:r w:rsidRPr="00395593">
        <w:rPr>
          <w:rFonts w:ascii="Garamond" w:hAnsi="Garamond"/>
          <w:sz w:val="24"/>
          <w:szCs w:val="24"/>
        </w:rPr>
        <w:t>VII - manifestações sobre a decisão da Subsecretaria de Defesa Comercial e Interesse Público de habilitar a produção nacional de determinado produto como indústria fragmentada, nos termos do</w:t>
      </w:r>
      <w:r w:rsidRPr="00395593">
        <w:rPr>
          <w:rFonts w:ascii="Garamond" w:hAnsi="Garamond"/>
          <w:color w:val="FF0000"/>
          <w:sz w:val="24"/>
          <w:szCs w:val="24"/>
        </w:rPr>
        <w:t xml:space="preserve"> </w:t>
      </w:r>
      <w:r w:rsidRPr="00395593">
        <w:rPr>
          <w:rFonts w:ascii="Garamond" w:hAnsi="Garamond"/>
          <w:sz w:val="24"/>
          <w:szCs w:val="24"/>
        </w:rPr>
        <w:t>art. 49 desta Portaria.</w:t>
      </w:r>
    </w:p>
    <w:p w14:paraId="5C8FEA31" w14:textId="77777777" w:rsidR="00D061CE" w:rsidRPr="00395593" w:rsidRDefault="00D061CE" w:rsidP="003249A0">
      <w:pPr>
        <w:pStyle w:val="textojustificadorecuoprimeiralinha"/>
        <w:spacing w:before="0" w:beforeAutospacing="0" w:after="120" w:afterAutospacing="0"/>
        <w:ind w:firstLineChars="100" w:firstLine="240"/>
        <w:jc w:val="both"/>
        <w:rPr>
          <w:rFonts w:ascii="Garamond" w:hAnsi="Garamond"/>
        </w:rPr>
      </w:pPr>
      <w:r w:rsidRPr="00395593">
        <w:rPr>
          <w:rFonts w:ascii="Garamond" w:hAnsi="Garamond"/>
        </w:rPr>
        <w:t>§ 2º A regularização da habilitação dos representantes que realizarem os atos descritos nos incisos II a VII do parágrafo anterior deverá ser feita no prazo previsto no ato da Secretaria de Comércio Exterior - SECEX que der início à investigação correspondente, sem possibilidade de prorrogação.</w:t>
      </w:r>
    </w:p>
    <w:p w14:paraId="181845DA" w14:textId="77777777" w:rsidR="00D061CE" w:rsidRPr="00395593" w:rsidRDefault="00D061CE" w:rsidP="003249A0">
      <w:pPr>
        <w:pStyle w:val="textojustificadorecuoprimeiralinha"/>
        <w:spacing w:before="0" w:beforeAutospacing="0" w:after="120" w:afterAutospacing="0"/>
        <w:ind w:firstLineChars="100" w:firstLine="240"/>
        <w:jc w:val="both"/>
        <w:rPr>
          <w:rFonts w:ascii="Garamond" w:hAnsi="Garamond"/>
          <w:b/>
          <w:color w:val="000000" w:themeColor="text1"/>
        </w:rPr>
      </w:pPr>
      <w:r w:rsidRPr="00395593">
        <w:rPr>
          <w:rFonts w:ascii="Garamond" w:hAnsi="Garamond"/>
          <w:color w:val="000000" w:themeColor="text1"/>
        </w:rPr>
        <w:t xml:space="preserve">§ 3º A ausência de regularização da representação nos prazos e condições previstos no parágrafo anterior fará com que os atos sejam havidos por nulos. </w:t>
      </w:r>
    </w:p>
    <w:p w14:paraId="763C6CD2" w14:textId="77777777" w:rsidR="00D061CE" w:rsidRPr="00395593" w:rsidRDefault="00D061CE" w:rsidP="003249A0">
      <w:pPr>
        <w:pStyle w:val="textojustificadorecuoprimeiralinha"/>
        <w:spacing w:before="0" w:beforeAutospacing="0" w:after="120" w:afterAutospacing="0"/>
        <w:ind w:firstLineChars="100" w:firstLine="240"/>
        <w:jc w:val="both"/>
        <w:rPr>
          <w:rFonts w:ascii="Garamond" w:hAnsi="Garamond"/>
        </w:rPr>
      </w:pPr>
      <w:r w:rsidRPr="00395593">
        <w:rPr>
          <w:rFonts w:ascii="Garamond" w:hAnsi="Garamond"/>
        </w:rPr>
        <w:t xml:space="preserve">Art. 5º Nos termos do art. 17 da Lei nº </w:t>
      </w:r>
      <w:r w:rsidRPr="00395593">
        <w:rPr>
          <w:rFonts w:ascii="Garamond" w:hAnsi="Garamond"/>
          <w:color w:val="162937"/>
        </w:rPr>
        <w:t>12.995, de 18 de junho 20</w:t>
      </w:r>
      <w:r w:rsidRPr="00395593">
        <w:rPr>
          <w:rFonts w:ascii="Garamond" w:hAnsi="Garamond"/>
        </w:rPr>
        <w:t>14, todos os atos processuais das investigações e procedimentos a que se refere o art. 3º deverão ser assinados digitalmente com o emprego de certificado digital emitido no âmbito da Infraestrutura de Chaves Públicas Brasileiras - ICP-Brasil, de forma a manter a integridade, a autenticidade, a interoperabilidade e, quando necessário, a confidencialidade dos documentos.</w:t>
      </w:r>
    </w:p>
    <w:p w14:paraId="0727B013" w14:textId="77777777" w:rsidR="00D061CE" w:rsidRPr="00395593" w:rsidRDefault="00D061CE" w:rsidP="003249A0">
      <w:pPr>
        <w:pStyle w:val="textojustificadorecuoprimeiralinha"/>
        <w:spacing w:before="0" w:beforeAutospacing="0" w:after="120" w:afterAutospacing="0"/>
        <w:ind w:firstLineChars="100" w:firstLine="240"/>
        <w:jc w:val="both"/>
        <w:rPr>
          <w:rFonts w:ascii="Garamond" w:hAnsi="Garamond"/>
        </w:rPr>
      </w:pPr>
      <w:r w:rsidRPr="00395593">
        <w:rPr>
          <w:rFonts w:ascii="Garamond" w:hAnsi="Garamond"/>
        </w:rPr>
        <w:t xml:space="preserve">§ 1º Para fins de atendimento ao disposto no </w:t>
      </w:r>
      <w:r w:rsidRPr="00395593">
        <w:rPr>
          <w:rFonts w:ascii="Garamond" w:hAnsi="Garamond"/>
          <w:b/>
        </w:rPr>
        <w:t>caput</w:t>
      </w:r>
      <w:r w:rsidRPr="00395593">
        <w:rPr>
          <w:rFonts w:ascii="Garamond" w:hAnsi="Garamond"/>
        </w:rPr>
        <w:t>, é suficiente que apenas a petição de juntada, desde que contenha lista de todos os documentos protocolados e anexados, seja assinada digitalmente por representante legal habilitado da parte interessada correspondente com o emprego de certificado digital emitido no âmbito da ICP-Brasil antes do seu envio no SEI/ME.</w:t>
      </w:r>
    </w:p>
    <w:p w14:paraId="189A7F14"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b/>
          <w:color w:val="000000" w:themeColor="text1"/>
          <w:u w:val="single"/>
        </w:rPr>
      </w:pPr>
      <w:r w:rsidRPr="00395593">
        <w:rPr>
          <w:rFonts w:ascii="Garamond" w:hAnsi="Garamond"/>
          <w:color w:val="000000" w:themeColor="text1"/>
        </w:rPr>
        <w:t>§ 2º A SDCOM presumirá que a submissão dos documentos foi realizada em conformidade com o disposto no caput, cabendo às demais partes interessadas arguir eventual irregularidade formal.</w:t>
      </w:r>
    </w:p>
    <w:p w14:paraId="7A09E240"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u w:val="single"/>
        </w:rPr>
      </w:pPr>
      <w:r w:rsidRPr="00395593">
        <w:rPr>
          <w:rFonts w:ascii="Garamond" w:hAnsi="Garamond"/>
          <w:color w:val="000000" w:themeColor="text1"/>
        </w:rPr>
        <w:t>§ 3º Caso os documentos submetidos não estejam em conformidade com o disposto no caput, a SDCOM requisitará a reapresentação do mesmo documento, o qual deverá ser entregue no prazo de dois dias, contado da data de ciência.</w:t>
      </w:r>
    </w:p>
    <w:p w14:paraId="6839B619"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u w:val="single"/>
        </w:rPr>
      </w:pPr>
      <w:r w:rsidRPr="00395593">
        <w:rPr>
          <w:rFonts w:ascii="Garamond" w:hAnsi="Garamond"/>
          <w:color w:val="000000" w:themeColor="text1"/>
        </w:rPr>
        <w:t xml:space="preserve">§ 4º Caso o responsável pelos documentos indicados no parágrafo anterior não atenda à requisição da SDCOM no prazo especificado no parágrafo anterior, tais documentos serão desconsiderados. </w:t>
      </w:r>
    </w:p>
    <w:p w14:paraId="090BB8DF"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 5º Nos casos em que for solicitada a reapresentação dos documentos será considerada a data do primeiro protocolo para fins de cumprimento de prazos processuais.</w:t>
      </w:r>
    </w:p>
    <w:p w14:paraId="21C00A0C"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6º Os autos das investigações de defesa comercial (confidenciais e restritos) a que faz referência o art. 3º serão mantidos em processos eletrônicos distintos no SEI/ME.</w:t>
      </w:r>
    </w:p>
    <w:p w14:paraId="5F4E2954"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 1º Os processos eletrônicos contendo os autos confidenciais de defesa comercial serão acessíveis apenas à SDCOM e terão nível de acesso "restrito", nos termos do inciso XVII do art. 3º da Portaria nº 294, de 2020.</w:t>
      </w:r>
    </w:p>
    <w:p w14:paraId="5494537B"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 2º Os processos eletrônicos contendo os autos restritos de defesa comercial serão acessíveis à SDCOM e aos representantes legais habilitados das partes interessadas da investigação ou procedimento correspondente e terão nível de acesso "restrito", nos termos do inciso XVII do art. 3º da Portaria nº 294, de 2020.</w:t>
      </w:r>
    </w:p>
    <w:p w14:paraId="595378F6"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b/>
          <w:color w:val="FF0000"/>
          <w:u w:val="single"/>
        </w:rPr>
      </w:pPr>
      <w:r w:rsidRPr="00395593">
        <w:rPr>
          <w:rFonts w:ascii="Garamond" w:hAnsi="Garamond"/>
        </w:rPr>
        <w:t>§ 3º O usuário externo deverá submeter com nível de acesso "restrito" no SEI-ME os documentos confidenciais e restritos no âmbito dos processos eletrônicos confidenciais e restritos referentes às investigações e procedimentos a que fazem referência os parágrafos 1º e 2º do caput.</w:t>
      </w:r>
    </w:p>
    <w:p w14:paraId="7254690E"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§4º O acesso dos representantes legais habilitados aos processos eletrônicos contendo os autos restritos será concedido pela SDCOM, mediante solicitação e apresentação da documentação pertinente.</w:t>
      </w:r>
    </w:p>
    <w:p w14:paraId="2B4F294F"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Art. 7º Adicionalmente às responsabilidades previstas na Portaria nº 294, de 2020, é de responsabilidade do usuário externo o correto protocolo dos documentos nos processos eletrônicos referentes às investigações e procedimentos a que faz referência o art. 3º, devendo necessariamente ser utilizado o peticionamento intercorrente em processos em curso.</w:t>
      </w:r>
    </w:p>
    <w:p w14:paraId="16F092D8"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§1º No caso de inconsistência entre o teor do documento enviado e o de natureza confidencial, restrita ou pública dos autos no qual o documento foi protocolado no SEI/ME, prevalecerá a natureza dos autos no qual o documento foi protocolado pelo usuário externo.</w:t>
      </w:r>
    </w:p>
    <w:p w14:paraId="263E2576"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§2º A divulgação de informação confidencial por erro na protocolização ou na classificação do documento no SEI/ME é de responsabilidade exclusiva do usuário externo que o submeteu.</w:t>
      </w:r>
    </w:p>
    <w:p w14:paraId="392FF42A"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Art. 8º A SDCOM, sempre que julgar necessário, poderá requisitar o documento original que tenha sido apresentado digitalizado, o qual deverá ser entregue no prazo especificado na comunicação de solicitação.</w:t>
      </w:r>
    </w:p>
    <w:p w14:paraId="7FB6AFFE"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 1º Caso o detentor do documento indicado no parágrafo anterior não atenda à requisição da SDCOM no prazo especificado, o documento digitalizado poderá ser desconsiderado.</w:t>
      </w:r>
    </w:p>
    <w:p w14:paraId="1E8AA115"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 2º Os originais dos documentos digitalizados que forem submetidos à SDCOM deverão ser preservados pelo seu detentor até que ocorram os prazos prescricionais e decadenciais estabelecidos nas leis próprias.</w:t>
      </w:r>
    </w:p>
    <w:p w14:paraId="47525535"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Art. 9º Para viabilizar a apresentação de amostras de produtos à SDCOM, o representante legal habilitado da parte interessada deverá descrever pormenorizadamente a amostra e submeter a descrição por meio do SEI/ME.</w:t>
      </w:r>
    </w:p>
    <w:p w14:paraId="3C9B9D08"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 1º Após o envio da descrição indicada no caput, o produto deverá ser apresentado no Protocolo Central do Ministério da Economia no prazo de 5 (cinco) dias úteis.</w:t>
      </w:r>
    </w:p>
    <w:p w14:paraId="38E42063"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 2º Caso a amostra apresentada não corresponda à descrição submetida, a SDCOM desconsiderará o documento submetido eletronicamente e descartará a amostra apresentada.</w:t>
      </w:r>
    </w:p>
    <w:p w14:paraId="22BB3FB2"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 3º As partes interessadas terão acesso às amostras entregues à SDCOM mediante solicitação prévia a ser protocolada nos autos do processo correspondente e em data, hora e local a ser estabelecido pela Subsecretaria.</w:t>
      </w:r>
    </w:p>
    <w:p w14:paraId="04875F51"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 4º Amostras entregues à SDCOM no curso de um processo de defesa comercial serão restituídas à parte interessada que as apresentou, mediante solicitação realizada no prazo de cinco dias úteis após o encerramento da investigação.</w:t>
      </w:r>
    </w:p>
    <w:p w14:paraId="58605D1F"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 5º Caso a parte interessada não efetue o pedido de restituição no prazo especificado no parágrafo anterior, as amostras serão descartadas.</w:t>
      </w:r>
    </w:p>
    <w:p w14:paraId="03E15F08"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Art. 10. Os prazos que vencerem no dia da ocorrência de impossibilidade técnica do SEI/ME serão automaticamente prorrogados para o primeiro dia útil seguinte ao do restabelecimento do sistema, nos termos do § 2º do art. 24 da Portaria nº 294, de 2020.</w:t>
      </w:r>
    </w:p>
    <w:p w14:paraId="7807778A"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Parágrafo único. A prorrogação de que trata o caput será registrada nos autos das investigações e procedimentos em curso.</w:t>
      </w:r>
    </w:p>
    <w:p w14:paraId="5181EDD4"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Art. 11. Os processos eletrônicos referentes às investigações e procedimentos de defesa comercial a que faz referência o art. 3º deverão ser protocolados diretamente no SEI/ME e tramitarão unicamente nesse sistema.</w:t>
      </w:r>
    </w:p>
    <w:p w14:paraId="008DD23C"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Parágrafo único. O Sistema Decom Digital - SDD permanecerá ativo apenas para fins de consulta pelas partes interessadas e habilitadas.</w:t>
      </w:r>
    </w:p>
    <w:p w14:paraId="5BC6F0B5"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95593">
        <w:rPr>
          <w:rFonts w:ascii="Garamond" w:hAnsi="Garamond"/>
        </w:rPr>
        <w:t xml:space="preserve">Art. 12. Dúvidas e solicitações de esclarecimentos devem ser encaminhadas à SDCOM por meio do endereço eletrônico sdcom@economia.gov.br, e podem ser objeto de análise no Guia do Processo Eletrônico (SEI) em Defesa Comercial, disponível no site do Ministério da Economia. </w:t>
      </w:r>
    </w:p>
    <w:p w14:paraId="7A0D3056" w14:textId="6E932B98" w:rsidR="00D061CE" w:rsidRPr="00F26A10" w:rsidRDefault="00D061CE" w:rsidP="00F26A10">
      <w:pPr>
        <w:pStyle w:val="Corpodetexto"/>
        <w:jc w:val="center"/>
        <w:rPr>
          <w:rFonts w:ascii="Garamond" w:hAnsi="Garamond"/>
          <w:b/>
          <w:color w:val="000000" w:themeColor="text1"/>
          <w:u w:val="single"/>
        </w:rPr>
      </w:pPr>
      <w:r w:rsidRPr="00F26A10">
        <w:rPr>
          <w:rFonts w:ascii="Garamond" w:hAnsi="Garamond"/>
          <w:b/>
        </w:rPr>
        <w:t>CAPÍTULO III</w:t>
      </w:r>
    </w:p>
    <w:p w14:paraId="67043DB7" w14:textId="204CF386" w:rsidR="00D061CE" w:rsidRDefault="00D061CE" w:rsidP="00F26A10">
      <w:pPr>
        <w:pStyle w:val="Corpodetexto"/>
        <w:jc w:val="center"/>
        <w:rPr>
          <w:rFonts w:ascii="Garamond" w:hAnsi="Garamond"/>
          <w:b/>
        </w:rPr>
      </w:pPr>
      <w:bookmarkStart w:id="103" w:name="_70km79z1l5qb" w:colFirst="0" w:colLast="0"/>
      <w:bookmarkEnd w:id="103"/>
      <w:r w:rsidRPr="00F26A10">
        <w:rPr>
          <w:rFonts w:ascii="Garamond" w:hAnsi="Garamond"/>
          <w:b/>
        </w:rPr>
        <w:t>DO PRÉ-PLEITO</w:t>
      </w:r>
    </w:p>
    <w:p w14:paraId="43271719" w14:textId="77777777" w:rsidR="00374B9E" w:rsidRPr="00F26A10" w:rsidRDefault="00374B9E" w:rsidP="00F26A10">
      <w:pPr>
        <w:pStyle w:val="Corpodetexto"/>
        <w:jc w:val="center"/>
        <w:rPr>
          <w:rFonts w:ascii="Garamond" w:hAnsi="Garamond"/>
          <w:b/>
        </w:rPr>
      </w:pPr>
    </w:p>
    <w:p w14:paraId="28C073AB"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b/>
          <w:color w:val="000000" w:themeColor="text1"/>
        </w:rPr>
      </w:pPr>
      <w:r w:rsidRPr="00395593">
        <w:rPr>
          <w:rFonts w:ascii="Garamond" w:hAnsi="Garamond"/>
        </w:rPr>
        <w:t xml:space="preserve"> </w:t>
      </w:r>
      <w:r w:rsidRPr="00395593">
        <w:rPr>
          <w:rFonts w:ascii="Garamond" w:hAnsi="Garamond"/>
          <w:color w:val="000000" w:themeColor="text1"/>
        </w:rPr>
        <w:t>Art. 13. Este capítulo regulamenta a fase facultativa de pré-pleito no âmbito de investigações originais, revisões e demais procedimentos de defesa comercial previstos nos Decretos nº 8.058, de 2013, nº 1.751, de 19 de dezembro de 1995, e nº 1.488, de 1995, na Portaria SECEX nº 41, de 27 de julho de 2018, e nos acordos comerciais em vigor no Brasil.</w:t>
      </w:r>
    </w:p>
    <w:p w14:paraId="7A2226F5" w14:textId="77777777" w:rsidR="00D061CE" w:rsidRPr="00F26A10" w:rsidRDefault="00D061CE" w:rsidP="00F26A10">
      <w:pPr>
        <w:pStyle w:val="Corpodetexto"/>
        <w:jc w:val="center"/>
        <w:rPr>
          <w:rFonts w:ascii="Garamond" w:hAnsi="Garamond"/>
          <w:b/>
        </w:rPr>
      </w:pPr>
      <w:bookmarkStart w:id="104" w:name="_pjfbrrc1y8pm" w:colFirst="0" w:colLast="0"/>
      <w:bookmarkEnd w:id="104"/>
      <w:r w:rsidRPr="00F26A10">
        <w:rPr>
          <w:rFonts w:ascii="Garamond" w:hAnsi="Garamond"/>
          <w:b/>
        </w:rPr>
        <w:t>Seção I</w:t>
      </w:r>
    </w:p>
    <w:p w14:paraId="0B3D7BEB" w14:textId="46C66619" w:rsidR="00D061CE" w:rsidRPr="005C5CBD" w:rsidRDefault="00D061CE" w:rsidP="00F26A10">
      <w:pPr>
        <w:pStyle w:val="Corpodetexto"/>
        <w:tabs>
          <w:tab w:val="left" w:pos="2490"/>
        </w:tabs>
        <w:jc w:val="center"/>
        <w:rPr>
          <w:rFonts w:ascii="Garamond" w:hAnsi="Garamond"/>
          <w:b/>
        </w:rPr>
      </w:pPr>
      <w:bookmarkStart w:id="105" w:name="_ri3955bfs85m" w:colFirst="0" w:colLast="0"/>
      <w:bookmarkEnd w:id="105"/>
      <w:r w:rsidRPr="00F26A10">
        <w:rPr>
          <w:rFonts w:ascii="Garamond" w:hAnsi="Garamond"/>
          <w:b/>
        </w:rPr>
        <w:t>Das instruções gerais</w:t>
      </w:r>
      <w:r w:rsidR="00F26A10" w:rsidRPr="00F26A10">
        <w:rPr>
          <w:rFonts w:ascii="Garamond" w:hAnsi="Garamond"/>
          <w:b/>
        </w:rPr>
        <w:tab/>
      </w:r>
    </w:p>
    <w:p w14:paraId="50C7A409"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14. Para os fins desta portaria, considera-se como pré-pleito a fase facultativa, de natureza consultiva e não vinculante, anterior à submissão de solicitação ou petição de início de investigações originais, revisões e demais procedimentos de defesa comercial previstos nos Decretos nº 8.058, de 2013, n</w:t>
      </w:r>
      <w:r w:rsidRPr="00374B9E">
        <w:rPr>
          <w:rFonts w:ascii="Garamond" w:hAnsi="Garamond"/>
          <w:color w:val="000000" w:themeColor="text1"/>
        </w:rPr>
        <w:t>o</w:t>
      </w:r>
      <w:r w:rsidRPr="00395593">
        <w:rPr>
          <w:rFonts w:ascii="Garamond" w:hAnsi="Garamond"/>
          <w:color w:val="000000" w:themeColor="text1"/>
        </w:rPr>
        <w:t xml:space="preserve"> 10.839, de 18 de outubro de 2021, e nº 1.488, de 1995, nesta Portaria, e nos acordos comerciais em vigor no Brasil.</w:t>
      </w:r>
    </w:p>
    <w:p w14:paraId="15ECD9EB"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Parágrafo único. O pré-pleito não consiste em solicitação ou petição de início, não enseja o início formal do processo administrativo relativo a investigações originais, revisões ou demais procedimentos previstos nos decretos, na portaria e nos acordos comerciais supramencionados, e não integrará os autos de eventual processo administrativo posteriormente iniciado.</w:t>
      </w:r>
    </w:p>
    <w:p w14:paraId="3A70CE62"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15. O pré-pleito deverá ser protocolado junto à SDCOM, via Sistema Eletrônico de Informações do Ministério da Economia – SEI/ME.</w:t>
      </w:r>
    </w:p>
    <w:p w14:paraId="14AA606B" w14:textId="77777777" w:rsidR="00D061CE" w:rsidRPr="00374B9E"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16. O protocolo de que trata o art. 15 deverá ser realizado com antecedência mínima de um mês da data máxima para submissão da solicitação ou petição de início referente à investigação original, revisão ou outro procedimento.</w:t>
      </w:r>
    </w:p>
    <w:p w14:paraId="6741A20A"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17. O pré-pleito deverá ser protocolado em caráter confidencial, nos termos do art. 47 do Decreto nº 8.058, de 2013, do art. 42 do Decreto n</w:t>
      </w:r>
      <w:r w:rsidRPr="00374B9E">
        <w:rPr>
          <w:rFonts w:ascii="Garamond" w:hAnsi="Garamond"/>
          <w:color w:val="000000" w:themeColor="text1"/>
        </w:rPr>
        <w:t>o</w:t>
      </w:r>
      <w:r w:rsidRPr="00395593">
        <w:rPr>
          <w:rFonts w:ascii="Garamond" w:hAnsi="Garamond"/>
          <w:color w:val="000000" w:themeColor="text1"/>
        </w:rPr>
        <w:t xml:space="preserve"> 10.839, de 2021, do §6º do art. 3º do Decreto nº 1.488, de 1995 e do art. 41 desta Portaria.</w:t>
      </w:r>
    </w:p>
    <w:p w14:paraId="5BF24A2C"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18. Adicionalmente às responsabilidades previstas na Portaria nº 294, de 2020, é de responsabilidade do usuário externo o correto protocolo dos documentos nos processos eletrônicos referentes às investigações e procedimentos a que faz referência o art. 12, devendo necessariamente ser utilizado o peticionamento intercorrente em processos em curso.</w:t>
      </w:r>
    </w:p>
    <w:p w14:paraId="79147371"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19. O pré-pleiteante poderá requerer reuniões com a SDCOM sobre o pré-pleito.</w:t>
      </w:r>
    </w:p>
    <w:p w14:paraId="209DA0C0"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20.  As informações apresentadas no pré-pleito não vincularão o pré-pleiteante em fases processuais posteriores das investigações originais, das revisões e dos demais procedimentos de defesa comercial.</w:t>
      </w:r>
    </w:p>
    <w:p w14:paraId="5A2CB266"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21.  A não apresentação do pré-pleito não será utilizada em prejuízo do peticionário quando da análise da petição de início de investigações originais, de revisões e dos demais procedimentos de defesa comercial.</w:t>
      </w:r>
    </w:p>
    <w:p w14:paraId="7FC4EC49"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22.  A submissão dos pré-pleitos de que trata esta Portaria não obriga a realização da análise pela SDCOM.</w:t>
      </w:r>
    </w:p>
    <w:p w14:paraId="40A9A8AD"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23.  A análise dos pré-pleitos protocolados em conformidade com o disposto no art. 13º dependerá da disponibilidade da SDCOM, que poderá responder informando, entre outras razões, a inexistência de capacidade operacional.</w:t>
      </w:r>
    </w:p>
    <w:p w14:paraId="47B8CDF0" w14:textId="77777777" w:rsidR="00D061CE" w:rsidRPr="00374B9E"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24.  Caso não haja manifestação da SDCOM no prazo de 10 (dez) dias a contar da data do protocolo, presumir-se-á que não será analisado o pré-pleito, como rejeição tácita da análise pela SDCOM.</w:t>
      </w:r>
    </w:p>
    <w:p w14:paraId="17C148E8"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25.  A SDCOM priorizará a análise de pré-pleitos apresentados por indústrias fragmentadas relacionados a investigações originais, revisões ou outros procedimentos de defesa comercial, nos termos do §1º do art. 1º do Decreto nº 9.107, de 2018, bem como de pré-pleitos relacionados a solicitações de habilitação da produção nacional de determinado produto como indústria fragmentada para fins de defesa comercial, nos termos desta portaria SECEX.</w:t>
      </w:r>
    </w:p>
    <w:p w14:paraId="6D16A227" w14:textId="77777777" w:rsidR="00D061CE" w:rsidRPr="00374B9E"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74B9E">
        <w:rPr>
          <w:rFonts w:ascii="Garamond" w:hAnsi="Garamond"/>
          <w:color w:val="000000" w:themeColor="text1"/>
        </w:rPr>
        <w:t>Art. 26.  A SDCOM encaminhará impressões e dúvidas acerca das informações contidas no pré-pleito, para a parte que o protocolou, via SEI/ME, em caráter confidencial.</w:t>
      </w:r>
    </w:p>
    <w:p w14:paraId="1857A303" w14:textId="77777777" w:rsidR="00D061CE" w:rsidRPr="00374B9E" w:rsidRDefault="00D061CE" w:rsidP="003249A0">
      <w:pPr>
        <w:pStyle w:val="textojustificadorecuoprimeiralinha"/>
        <w:spacing w:before="0" w:beforeAutospacing="0" w:after="120" w:afterAutospacing="0"/>
        <w:ind w:firstLine="567"/>
        <w:jc w:val="both"/>
        <w:rPr>
          <w:rFonts w:ascii="Garamond" w:hAnsi="Garamond"/>
          <w:color w:val="000000" w:themeColor="text1"/>
        </w:rPr>
      </w:pPr>
      <w:r w:rsidRPr="00374B9E">
        <w:rPr>
          <w:rFonts w:ascii="Garamond" w:hAnsi="Garamond"/>
          <w:color w:val="000000" w:themeColor="text1"/>
        </w:rPr>
        <w:t>Art. 27. Impressões e dúvidas proferidas pela SDCOM não a vincularão, em qualquer hipótese, na investigação original, revisão ou outro procedimento correspondente ao pré-pleito em questão.</w:t>
      </w:r>
    </w:p>
    <w:p w14:paraId="751572D8" w14:textId="77777777" w:rsidR="00D061CE" w:rsidRPr="00395593" w:rsidRDefault="00D061CE" w:rsidP="003249A0">
      <w:pPr>
        <w:pStyle w:val="textojustificadorecuoprimeiralinha"/>
        <w:spacing w:before="0" w:beforeAutospacing="0" w:after="120" w:afterAutospacing="0"/>
        <w:ind w:firstLine="567"/>
        <w:jc w:val="both"/>
        <w:rPr>
          <w:rFonts w:ascii="Garamond" w:hAnsi="Garamond"/>
        </w:rPr>
      </w:pPr>
      <w:r w:rsidRPr="00374B9E">
        <w:rPr>
          <w:rFonts w:ascii="Garamond" w:hAnsi="Garamond"/>
          <w:color w:val="000000" w:themeColor="text1"/>
        </w:rPr>
        <w:t>Art. 28. A SDCOM não antecipará a análise de mérito e não emitirá juízo sobre as chances de a petição ser aceita</w:t>
      </w:r>
      <w:r w:rsidRPr="00395593">
        <w:rPr>
          <w:rFonts w:ascii="Garamond" w:hAnsi="Garamond"/>
        </w:rPr>
        <w:t>.</w:t>
      </w:r>
    </w:p>
    <w:p w14:paraId="52E3B09E" w14:textId="77777777" w:rsidR="00D061CE" w:rsidRPr="00F26A10" w:rsidRDefault="00D061CE" w:rsidP="00F26A10">
      <w:pPr>
        <w:pStyle w:val="Corpodetexto"/>
        <w:jc w:val="center"/>
        <w:rPr>
          <w:rFonts w:ascii="Garamond" w:hAnsi="Garamond"/>
          <w:b/>
          <w:color w:val="000000" w:themeColor="text1"/>
        </w:rPr>
      </w:pPr>
      <w:bookmarkStart w:id="106" w:name="_2hxm07rl2w3s" w:colFirst="0" w:colLast="0"/>
      <w:bookmarkEnd w:id="106"/>
      <w:r w:rsidRPr="00F26A10">
        <w:rPr>
          <w:rFonts w:ascii="Garamond" w:hAnsi="Garamond"/>
          <w:b/>
        </w:rPr>
        <w:t>CAPÍTULO IV</w:t>
      </w:r>
    </w:p>
    <w:p w14:paraId="03FB89D3" w14:textId="77777777" w:rsidR="00D061CE" w:rsidRPr="00F26A10" w:rsidRDefault="00D061CE" w:rsidP="00F26A10">
      <w:pPr>
        <w:pStyle w:val="Corpodetexto"/>
        <w:jc w:val="center"/>
        <w:rPr>
          <w:rFonts w:ascii="Garamond" w:hAnsi="Garamond"/>
          <w:b/>
        </w:rPr>
      </w:pPr>
      <w:bookmarkStart w:id="107" w:name="_vqcro12r47nj" w:colFirst="0" w:colLast="0"/>
      <w:bookmarkEnd w:id="107"/>
      <w:r w:rsidRPr="00F26A10">
        <w:rPr>
          <w:rFonts w:ascii="Garamond" w:hAnsi="Garamond"/>
          <w:b/>
        </w:rPr>
        <w:t>DAS NOTIFICAÇÕES E COMUNICAÇÕES ÀS PARTES INTERESSADAS NO ÂMBITO DE PROCESSOS DE DEFESA COMERCIAL</w:t>
      </w:r>
    </w:p>
    <w:p w14:paraId="1906C9A8" w14:textId="67B4F771" w:rsidR="00D061CE" w:rsidRPr="00395593" w:rsidRDefault="00D061CE" w:rsidP="00D253E2">
      <w:pPr>
        <w:shd w:val="clear" w:color="auto" w:fill="FFFFFF"/>
        <w:spacing w:before="240"/>
        <w:ind w:firstLine="567"/>
        <w:jc w:val="both"/>
        <w:rPr>
          <w:rFonts w:ascii="Garamond" w:hAnsi="Garamond"/>
          <w:color w:val="000000" w:themeColor="text1"/>
          <w:sz w:val="24"/>
          <w:szCs w:val="24"/>
        </w:rPr>
      </w:pPr>
      <w:r w:rsidRPr="00395593">
        <w:rPr>
          <w:rFonts w:ascii="Garamond" w:hAnsi="Garamond"/>
          <w:sz w:val="24"/>
          <w:szCs w:val="24"/>
        </w:rPr>
        <w:t xml:space="preserve"> </w:t>
      </w:r>
      <w:r w:rsidRPr="00395593">
        <w:rPr>
          <w:rFonts w:ascii="Garamond" w:hAnsi="Garamond"/>
          <w:color w:val="000000" w:themeColor="text1"/>
          <w:sz w:val="24"/>
          <w:szCs w:val="24"/>
        </w:rPr>
        <w:t>Art. 29. Este capítulo dispõe sobre as notificações e comunicações às partes interessadas no âmbito de processos de defesa comercial previstos nos Decretos nº 8.058, de 2013, nº 1.751, de 19 de dezembro de 1995, e nº 1.488, de 1995, e nos acordos comerciais em vigor no Brasil.</w:t>
      </w:r>
    </w:p>
    <w:p w14:paraId="6440F546" w14:textId="5808A1F2" w:rsidR="00D061CE" w:rsidRPr="00F26A10" w:rsidRDefault="00D061CE" w:rsidP="00F26A10">
      <w:pPr>
        <w:pStyle w:val="Corpodetexto"/>
        <w:jc w:val="center"/>
        <w:rPr>
          <w:rFonts w:ascii="Garamond" w:hAnsi="Garamond"/>
          <w:b/>
        </w:rPr>
      </w:pPr>
      <w:bookmarkStart w:id="108" w:name="_gwxrcfhjuq3f" w:colFirst="0" w:colLast="0"/>
      <w:bookmarkEnd w:id="108"/>
      <w:r w:rsidRPr="00F26A10">
        <w:rPr>
          <w:rFonts w:ascii="Garamond" w:hAnsi="Garamond"/>
          <w:b/>
        </w:rPr>
        <w:t>Seção I</w:t>
      </w:r>
    </w:p>
    <w:p w14:paraId="2B0E6382" w14:textId="6479F48C" w:rsidR="00D061CE" w:rsidRDefault="00D061CE" w:rsidP="00F26A10">
      <w:pPr>
        <w:pStyle w:val="Corpodetexto"/>
        <w:jc w:val="center"/>
        <w:rPr>
          <w:rFonts w:ascii="Garamond" w:hAnsi="Garamond"/>
          <w:b/>
        </w:rPr>
      </w:pPr>
      <w:bookmarkStart w:id="109" w:name="_palhu82ltrmu" w:colFirst="0" w:colLast="0"/>
      <w:bookmarkEnd w:id="109"/>
      <w:r w:rsidRPr="00F26A10">
        <w:rPr>
          <w:rFonts w:ascii="Garamond" w:hAnsi="Garamond"/>
          <w:b/>
        </w:rPr>
        <w:t>Das notificações de petição instruída</w:t>
      </w:r>
    </w:p>
    <w:p w14:paraId="35A77866" w14:textId="77777777" w:rsidR="00374B9E" w:rsidRPr="00F26A10" w:rsidRDefault="00374B9E" w:rsidP="00F26A10">
      <w:pPr>
        <w:pStyle w:val="Corpodetexto"/>
        <w:jc w:val="center"/>
        <w:rPr>
          <w:rFonts w:ascii="Garamond" w:hAnsi="Garamond"/>
          <w:b/>
        </w:rPr>
      </w:pPr>
    </w:p>
    <w:p w14:paraId="620C4D56" w14:textId="77777777" w:rsidR="00D061CE" w:rsidRPr="00395593" w:rsidRDefault="00D061CE" w:rsidP="00D253E2">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30. Nos processos de defesa comercial previstos nos Decretos nº 8.058, de 2013,</w:t>
      </w:r>
      <w:r w:rsidRPr="00395593">
        <w:rPr>
          <w:rFonts w:ascii="Garamond" w:hAnsi="Garamond"/>
          <w:b/>
          <w:color w:val="000000" w:themeColor="text1"/>
        </w:rPr>
        <w:t xml:space="preserve"> </w:t>
      </w:r>
      <w:r w:rsidRPr="00395593">
        <w:rPr>
          <w:rFonts w:ascii="Garamond" w:hAnsi="Garamond"/>
          <w:color w:val="000000" w:themeColor="text1"/>
        </w:rPr>
        <w:t>nº 10.839, de 2021 e nº 1.488, de 1995, e nos acordos comerciais em vigor no Brasil, em que for necessário o envio de notificação da existência de petição devidamente instruída ao governo do país exportador, a SDCOM transmitirá essa notificação, via correio eletrônico, à representação oficial desse país no Brasil, antes da publicação do ato que dará início à referido processo.</w:t>
      </w:r>
    </w:p>
    <w:p w14:paraId="0CFFD7A7" w14:textId="77777777" w:rsidR="00D061CE" w:rsidRPr="00395593" w:rsidRDefault="00D061CE" w:rsidP="00D253E2">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Parágrafo único. Na hipótese de não haver representação oficial no Brasil, as comunicações oficiais com partes interessadas estrangeiras serão transmitidas com auxílio do Ministério das Relações Exteriores.</w:t>
      </w:r>
    </w:p>
    <w:p w14:paraId="4E00DB5D" w14:textId="0020479D" w:rsidR="00D061CE" w:rsidRPr="00F26A10" w:rsidRDefault="00D061CE" w:rsidP="00F26A10">
      <w:pPr>
        <w:pStyle w:val="Corpodetexto"/>
        <w:jc w:val="center"/>
        <w:rPr>
          <w:rFonts w:ascii="Garamond" w:hAnsi="Garamond"/>
          <w:b/>
        </w:rPr>
      </w:pPr>
      <w:bookmarkStart w:id="110" w:name="_yogxx3v1lmsl" w:colFirst="0" w:colLast="0"/>
      <w:bookmarkEnd w:id="110"/>
      <w:r w:rsidRPr="00F26A10">
        <w:rPr>
          <w:rFonts w:ascii="Garamond" w:hAnsi="Garamond"/>
          <w:b/>
        </w:rPr>
        <w:t>Seção II</w:t>
      </w:r>
    </w:p>
    <w:p w14:paraId="11EC5362" w14:textId="1F58A9CE" w:rsidR="00D061CE" w:rsidRDefault="00D061CE" w:rsidP="00F26A10">
      <w:pPr>
        <w:pStyle w:val="Corpodetexto"/>
        <w:jc w:val="center"/>
        <w:rPr>
          <w:rFonts w:ascii="Garamond" w:hAnsi="Garamond"/>
          <w:b/>
        </w:rPr>
      </w:pPr>
      <w:bookmarkStart w:id="111" w:name="_fyhnjoai6bna" w:colFirst="0" w:colLast="0"/>
      <w:bookmarkEnd w:id="111"/>
      <w:r w:rsidRPr="00F26A10">
        <w:rPr>
          <w:rFonts w:ascii="Garamond" w:hAnsi="Garamond"/>
          <w:b/>
        </w:rPr>
        <w:t>Das notificações de início</w:t>
      </w:r>
    </w:p>
    <w:p w14:paraId="2777137D" w14:textId="77777777" w:rsidR="00374B9E" w:rsidRPr="00F26A10" w:rsidRDefault="00374B9E" w:rsidP="00F26A10">
      <w:pPr>
        <w:pStyle w:val="Corpodetexto"/>
        <w:jc w:val="center"/>
        <w:rPr>
          <w:rFonts w:ascii="Garamond" w:hAnsi="Garamond"/>
          <w:b/>
        </w:rPr>
      </w:pPr>
    </w:p>
    <w:p w14:paraId="32478CDA" w14:textId="77777777" w:rsidR="00D061CE" w:rsidRPr="00395593" w:rsidRDefault="00D061CE" w:rsidP="00D253E2">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 xml:space="preserve"> Art. 31. As partes interessadas serão notificadas do início de processos de defesa comercial previstos nos Decretos nº 8.058, de 2013, nº 10.839, de 2021, e nº 1.488, de 1995, e nos acordos comerciais em vigor no Brasil por meio de correio eletrônico.</w:t>
      </w:r>
    </w:p>
    <w:p w14:paraId="7DF34E26" w14:textId="77777777" w:rsidR="00D061CE" w:rsidRPr="00395593" w:rsidRDefault="00D061CE" w:rsidP="00D253E2">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 1º Para fins das notificações previstas no caput, a SDCOM identificará os endereços eletrônicos das partes interessadas com base, preferencialmente, nos dados cadastrais mantidos pela Secretaria Especial da Receita Federal do Brasil do Ministério da Economia.</w:t>
      </w:r>
    </w:p>
    <w:p w14:paraId="7A0A0887" w14:textId="77777777" w:rsidR="00D061CE" w:rsidRPr="00395593" w:rsidRDefault="00D061CE" w:rsidP="00D253E2">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 2º As notificações previstas no caput destinadas a governos de países exportadores do produto objeto do processo de defesa comercial serão transmitidas, via correio eletrônico, à representação oficial desses países no Brasil, observado o disposto no parágrafo único do art. 30, e conterão lista dos produtores ou exportadores estrangeiros identificados pela SDCOM como partes interessadas.</w:t>
      </w:r>
    </w:p>
    <w:p w14:paraId="6DF625A4" w14:textId="77777777" w:rsidR="00D061CE" w:rsidRPr="00395593" w:rsidRDefault="00D061CE" w:rsidP="00D253E2">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 3º A SDCOM registrará nos autos do processo de defesa comercial correspondente o nome e, quando cabível, o número do Cadastro Nacional de Pessoa Jurídica das partes interessadas que não puderam ser notificadas conforme previsto no caput, devido à ausência de informação acerca de seus endereços eletrônicos ou à incorreção dos endereços eletrônicos disponíveis e identificados por esta Subsecretaria.</w:t>
      </w:r>
    </w:p>
    <w:p w14:paraId="170EF57F" w14:textId="0091E03F" w:rsidR="00D061CE" w:rsidRPr="00395593" w:rsidRDefault="00D061CE" w:rsidP="00D253E2">
      <w:pPr>
        <w:pStyle w:val="textojustificadorecuoprimeiralinha"/>
        <w:spacing w:before="0" w:beforeAutospacing="0" w:after="120" w:afterAutospacing="0"/>
        <w:ind w:firstLine="567"/>
        <w:jc w:val="both"/>
        <w:rPr>
          <w:rFonts w:ascii="Garamond" w:hAnsi="Garamond"/>
        </w:rPr>
      </w:pPr>
      <w:r w:rsidRPr="00395593">
        <w:rPr>
          <w:rFonts w:ascii="Garamond" w:hAnsi="Garamond"/>
          <w:color w:val="000000" w:themeColor="text1"/>
        </w:rPr>
        <w:t>Art. 32. Os dados e as informações necessários à instrução dos processos de defesa comercial, bem como a forma e o prazo de sua apresentação constarão do ato da SECEX que iniciar o processo de defesa comercial correspondente.</w:t>
      </w:r>
    </w:p>
    <w:p w14:paraId="20457415" w14:textId="77777777" w:rsidR="00D061CE" w:rsidRPr="00F26A10" w:rsidRDefault="00D061CE" w:rsidP="00F26A10">
      <w:pPr>
        <w:pStyle w:val="Corpodetexto"/>
        <w:jc w:val="center"/>
        <w:rPr>
          <w:rFonts w:ascii="Garamond" w:hAnsi="Garamond"/>
          <w:b/>
        </w:rPr>
      </w:pPr>
      <w:bookmarkStart w:id="112" w:name="_t1or0oxe8ird" w:colFirst="0" w:colLast="0"/>
      <w:bookmarkEnd w:id="112"/>
      <w:r w:rsidRPr="00F26A10">
        <w:rPr>
          <w:rFonts w:ascii="Garamond" w:hAnsi="Garamond"/>
          <w:b/>
        </w:rPr>
        <w:t>Seção III</w:t>
      </w:r>
    </w:p>
    <w:p w14:paraId="23831409" w14:textId="41A1D710" w:rsidR="00D061CE" w:rsidRDefault="00D061CE" w:rsidP="00F26A10">
      <w:pPr>
        <w:pStyle w:val="Corpodetexto"/>
        <w:jc w:val="center"/>
        <w:rPr>
          <w:rFonts w:ascii="Garamond" w:hAnsi="Garamond"/>
          <w:b/>
        </w:rPr>
      </w:pPr>
      <w:bookmarkStart w:id="113" w:name="_vm9cdfm854ww" w:colFirst="0" w:colLast="0"/>
      <w:bookmarkEnd w:id="113"/>
      <w:r w:rsidRPr="00F26A10">
        <w:rPr>
          <w:rFonts w:ascii="Garamond" w:hAnsi="Garamond"/>
          <w:b/>
        </w:rPr>
        <w:t>Das demais notificações e comunicações</w:t>
      </w:r>
    </w:p>
    <w:p w14:paraId="78C45960" w14:textId="77777777" w:rsidR="00374B9E" w:rsidRPr="00F26A10" w:rsidRDefault="00374B9E" w:rsidP="00F26A10">
      <w:pPr>
        <w:pStyle w:val="Corpodetexto"/>
        <w:jc w:val="center"/>
        <w:rPr>
          <w:rFonts w:ascii="Garamond" w:hAnsi="Garamond"/>
          <w:b/>
        </w:rPr>
      </w:pPr>
    </w:p>
    <w:p w14:paraId="76A45EE7"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33. Uma vez iniciado o processo de defesa comercial, a SDCOM transmitirá eletronicamente às partes interessadas as notificações e comunicações referentes às demais ações realizadas no âmbito desse processo, por meio:</w:t>
      </w:r>
    </w:p>
    <w:p w14:paraId="1AD9C89E" w14:textId="77777777" w:rsidR="00D061CE" w:rsidRPr="00395593" w:rsidRDefault="00D061CE" w:rsidP="003E08FA">
      <w:pPr>
        <w:shd w:val="clear" w:color="auto" w:fill="FFFFFF"/>
        <w:spacing w:before="240"/>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I - do Sistema Eletrônico de Informação – SEI/ME; e</w:t>
      </w:r>
    </w:p>
    <w:p w14:paraId="2FF22340" w14:textId="77777777" w:rsidR="00D061CE" w:rsidRPr="00395593" w:rsidRDefault="00D061CE" w:rsidP="003E08FA">
      <w:pPr>
        <w:shd w:val="clear" w:color="auto" w:fill="FFFFFF"/>
        <w:spacing w:before="240"/>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II - de correio eletrônico, observado o disposto no parágrafo único do art. 31 e no § 1º do art. 32.</w:t>
      </w:r>
    </w:p>
    <w:p w14:paraId="773F1D85"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Parágrafo único. O disposto no caput não se aplica às partes interessadas a que faz referência o § 3º do art. 32, exceto nos casos em que essas partes interessadas habilitarem representantes legais no âmbito do processo de defesa comercial em questão ou indicarem endereço eletrônico por meio do qual desejam receber as notificações previstas no caput.</w:t>
      </w:r>
    </w:p>
    <w:p w14:paraId="4B5C7E43" w14:textId="77548FE6"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u w:val="single"/>
        </w:rPr>
      </w:pPr>
      <w:r w:rsidRPr="00395593">
        <w:rPr>
          <w:rFonts w:ascii="Garamond" w:hAnsi="Garamond"/>
          <w:color w:val="000000" w:themeColor="text1"/>
        </w:rPr>
        <w:t>Art. 34. A SDCOM presumirá que as partes interessadas terão ciência dos documentos transmitidos eletronicamente nos termos desta portaria 3 (três) dias após a data de sua transmissão, conforme disposto no art. 19 da Lei nº 12.995, de 2014.</w:t>
      </w:r>
    </w:p>
    <w:p w14:paraId="4FAAAF54" w14:textId="4E7CABD6" w:rsidR="00D061CE" w:rsidRPr="00F26A10" w:rsidRDefault="00D061CE" w:rsidP="00F26A10">
      <w:pPr>
        <w:pStyle w:val="Corpodetexto"/>
        <w:jc w:val="center"/>
        <w:rPr>
          <w:rFonts w:ascii="Garamond" w:hAnsi="Garamond"/>
          <w:b/>
          <w:color w:val="000000" w:themeColor="text1"/>
        </w:rPr>
      </w:pPr>
      <w:r w:rsidRPr="00F26A10">
        <w:rPr>
          <w:rFonts w:ascii="Garamond" w:hAnsi="Garamond"/>
          <w:b/>
        </w:rPr>
        <w:t>CAPÍTULO V</w:t>
      </w:r>
    </w:p>
    <w:p w14:paraId="62151556" w14:textId="77777777" w:rsidR="00D061CE" w:rsidRPr="00F26A10" w:rsidRDefault="00D061CE" w:rsidP="00F26A10">
      <w:pPr>
        <w:pStyle w:val="Corpodetexto"/>
        <w:jc w:val="center"/>
        <w:rPr>
          <w:rFonts w:ascii="Garamond" w:hAnsi="Garamond"/>
          <w:b/>
          <w:color w:val="000000" w:themeColor="text1"/>
        </w:rPr>
      </w:pPr>
      <w:bookmarkStart w:id="114" w:name="_gvljx7u8z9n8" w:colFirst="0" w:colLast="0"/>
      <w:bookmarkEnd w:id="114"/>
      <w:r w:rsidRPr="00F26A10">
        <w:rPr>
          <w:rFonts w:ascii="Garamond" w:hAnsi="Garamond"/>
          <w:b/>
        </w:rPr>
        <w:t>DA HABILITAÇÃO DA PRODUÇÃO NACIONAL DE DETERMINADO PRODUTO COMO INDÚSTRIA FRAGMENTADA PARA</w:t>
      </w:r>
      <w:r w:rsidRPr="00F26A10">
        <w:rPr>
          <w:rFonts w:ascii="Garamond" w:hAnsi="Garamond"/>
          <w:b/>
          <w:color w:val="000000" w:themeColor="text1"/>
        </w:rPr>
        <w:t xml:space="preserve"> FINS DE DEFESA COMERCIAL</w:t>
      </w:r>
    </w:p>
    <w:p w14:paraId="5DE06CB1" w14:textId="77777777" w:rsidR="00D061CE" w:rsidRPr="00395593" w:rsidRDefault="00D061CE" w:rsidP="003775F1">
      <w:pPr>
        <w:shd w:val="clear" w:color="auto" w:fill="FFFFFF"/>
        <w:ind w:firstLine="1200"/>
        <w:jc w:val="both"/>
        <w:rPr>
          <w:rFonts w:ascii="Garamond" w:hAnsi="Garamond"/>
        </w:rPr>
      </w:pPr>
      <w:r w:rsidRPr="00395593">
        <w:rPr>
          <w:rFonts w:ascii="Garamond" w:hAnsi="Garamond"/>
        </w:rPr>
        <w:t xml:space="preserve"> </w:t>
      </w:r>
    </w:p>
    <w:p w14:paraId="05B6A416"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 xml:space="preserve">Art. 35. Este capítulo dispõe sobre as informações necessárias para a habilitação da produção nacional de determinado produto como indústria fragmentada para fins de defesa comercial, conforme o Decreto nº 9.107, de 2017. </w:t>
      </w:r>
    </w:p>
    <w:p w14:paraId="4AC1950B" w14:textId="77777777" w:rsidR="00D061CE" w:rsidRPr="00F26A10" w:rsidRDefault="00D061CE" w:rsidP="00F26A10">
      <w:pPr>
        <w:pStyle w:val="Corpodetexto"/>
        <w:jc w:val="center"/>
        <w:rPr>
          <w:rFonts w:ascii="Garamond" w:hAnsi="Garamond"/>
          <w:b/>
        </w:rPr>
      </w:pPr>
      <w:bookmarkStart w:id="115" w:name="_ztif9ovq7sm" w:colFirst="0" w:colLast="0"/>
      <w:bookmarkEnd w:id="115"/>
      <w:r w:rsidRPr="00F26A10">
        <w:rPr>
          <w:rFonts w:ascii="Garamond" w:hAnsi="Garamond"/>
          <w:b/>
        </w:rPr>
        <w:t>Seção I</w:t>
      </w:r>
    </w:p>
    <w:p w14:paraId="7F7F918C" w14:textId="19CD7D4A" w:rsidR="00D061CE" w:rsidRDefault="00D061CE" w:rsidP="00F26A10">
      <w:pPr>
        <w:pStyle w:val="Corpodetexto"/>
        <w:jc w:val="center"/>
        <w:rPr>
          <w:rFonts w:ascii="Garamond" w:hAnsi="Garamond"/>
          <w:b/>
        </w:rPr>
      </w:pPr>
      <w:bookmarkStart w:id="116" w:name="_51rlwxngav1i" w:colFirst="0" w:colLast="0"/>
      <w:bookmarkEnd w:id="116"/>
      <w:r w:rsidRPr="00F26A10">
        <w:rPr>
          <w:rFonts w:ascii="Garamond" w:hAnsi="Garamond"/>
          <w:b/>
        </w:rPr>
        <w:t>Das instruções gerais</w:t>
      </w:r>
    </w:p>
    <w:p w14:paraId="7B4C3920" w14:textId="77777777" w:rsidR="00374B9E" w:rsidRPr="00F26A10" w:rsidRDefault="00374B9E" w:rsidP="00F26A10">
      <w:pPr>
        <w:pStyle w:val="Corpodetexto"/>
        <w:jc w:val="center"/>
        <w:rPr>
          <w:rFonts w:ascii="Garamond" w:hAnsi="Garamond"/>
          <w:b/>
        </w:rPr>
      </w:pPr>
    </w:p>
    <w:p w14:paraId="5BFF9DCC" w14:textId="673E11FD" w:rsidR="00D061CE" w:rsidRPr="00374B9E"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74B9E">
        <w:rPr>
          <w:rFonts w:ascii="Garamond" w:hAnsi="Garamond"/>
          <w:color w:val="000000" w:themeColor="text1"/>
        </w:rPr>
        <w:t>Art. 36. Nas investigações de defesa comercial que envolvam indústrias fragmentadas, os prazos para protocolo de petições e de informações complementares a petições e para a análise de informações submetidas pelas indústrias serão determinados pela autoridade investigadora competente, no âmbito de cada processo, consideradas as especificidades de cada setor fragmentado da indústria nacional e os princípios da proporcionalidade e da razoabilidade.</w:t>
      </w:r>
    </w:p>
    <w:p w14:paraId="78557159" w14:textId="77777777" w:rsidR="00D061CE" w:rsidRPr="00374B9E"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74B9E">
        <w:rPr>
          <w:rFonts w:ascii="Garamond" w:hAnsi="Garamond"/>
          <w:color w:val="000000" w:themeColor="text1"/>
        </w:rPr>
        <w:t xml:space="preserve">§ 1º Considera-se indústria fragmentada aquela que envolve número elevado de produtores domésticos. </w:t>
      </w:r>
    </w:p>
    <w:p w14:paraId="00EA6629"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 2º Caberá à autoridade investigadora determinar se a produção nacional do produto em questão se enquadra como indústria fragmentada.</w:t>
      </w:r>
    </w:p>
    <w:p w14:paraId="3B5DEC11"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 3º A determinação de que trata o § 2º será motivada e levará em conta, entre outros fatores, o grau de pulverização da produção nacional do produto em questão e a sua distribuição por porte dos produtores nacionais.</w:t>
      </w:r>
    </w:p>
    <w:p w14:paraId="1D36125C"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 4º O ato que iniciar a investigação de defesa comercial deverá conter a determinação da autoridade investigadora, nos termos dos §§ 2º e 3º.</w:t>
      </w:r>
    </w:p>
    <w:p w14:paraId="3E6B0B9E"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37. Ato do Secretário de Comércio Exterior estabelecerá as informações que deverão constar das petições a serem apresentadas pela indústria fragmentada investigada, ou em seu nome, em cada investigação de defesa comercial, e a forma de sua apresentação, observados os requisitos previstos nos regulamentos brasileiros pertinentes.</w:t>
      </w:r>
    </w:p>
    <w:p w14:paraId="2BA98F15"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38. A habilitação da produção nacional de determinado produto como indústria fragmentada caberá à SDCOM, observado o disposto neste capítulo.</w:t>
      </w:r>
    </w:p>
    <w:p w14:paraId="22E2D493"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39. O procedimento de habilitação a que se refere o art. 38 deverá ser concluído antes da apresentação da petição de investigação de defesa comercial.</w:t>
      </w:r>
    </w:p>
    <w:p w14:paraId="7301CADD"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1º A habilitação como indústria fragmentada deverá ser solicitada por:</w:t>
      </w:r>
    </w:p>
    <w:p w14:paraId="26D07AB8"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I - produtores domésticos do produto similar ou entidade de classe que os represente, nos casos de investigações de dumping ou de subsídios acionáveis; ou</w:t>
      </w:r>
    </w:p>
    <w:p w14:paraId="2700B731"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II - produtores domésticos do produto similar ou diretamente concorrente ou entidade de classe que os represente, nos casos de investigação com vistas à aplicação de medida de salvaguarda.</w:t>
      </w:r>
    </w:p>
    <w:p w14:paraId="61809E2D"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2º A solicitação a que se refere este artigo deverá ser elaborada em conformidade com o disposto no Capítulo III.</w:t>
      </w:r>
    </w:p>
    <w:p w14:paraId="1E411A36"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40. Poderão ser indeferidas solicitações de habilitação que não cumpram os requisitos previstos nesta portaria ou demandem correções, ajustes ou informações complementares significativas que não possam ser apresentadas nos termos do art. 48, §2º desta Portaria.</w:t>
      </w:r>
    </w:p>
    <w:p w14:paraId="429758BE"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41. Todas as informações apresentadas deverão vir acompanhadas dos elementos de prova pertinentes, de justificativa e das fontes e metodologias utilizadas.</w:t>
      </w:r>
    </w:p>
    <w:p w14:paraId="433443AB"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1º A SDCOM poderá utilizar-se de informações constantes de registros ou bancos de dados de entidades governamentais ou de caráter público para firmar sua decisão final.</w:t>
      </w:r>
    </w:p>
    <w:p w14:paraId="4714DE5F"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2º A SDCOM poderá realizar verificação in loco a fim de confirmar as informações apresentadas para justificar o pedido de habilitação da produção nacional de determinado produto como indústria fragmentada.</w:t>
      </w:r>
    </w:p>
    <w:p w14:paraId="06A3C7E5"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42. Deverão ser protocoladas simultaneamente uma versão confidencial e uma versão não confidencial da solicitação.</w:t>
      </w:r>
    </w:p>
    <w:p w14:paraId="54384673"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43. Documentos protocolados sem indicação "confidencial" ou "restrito" presumem-se</w:t>
      </w:r>
      <w:r w:rsidRPr="00374B9E">
        <w:rPr>
          <w:rFonts w:ascii="Garamond" w:hAnsi="Garamond"/>
          <w:color w:val="000000" w:themeColor="text1"/>
        </w:rPr>
        <w:t xml:space="preserve"> </w:t>
      </w:r>
      <w:r w:rsidRPr="00395593">
        <w:rPr>
          <w:rFonts w:ascii="Garamond" w:hAnsi="Garamond"/>
          <w:color w:val="000000" w:themeColor="text1"/>
        </w:rPr>
        <w:t>públicos.</w:t>
      </w:r>
    </w:p>
    <w:p w14:paraId="0DF394B4"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44. A habilitação da produção nacional de determinado produto como indústria fragmentada permanecerá válida até decisão em contrário da SDCOM.</w:t>
      </w:r>
    </w:p>
    <w:p w14:paraId="549C7895"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45. A solicitação de habilitação como indústria fragmentada deverá ser protocolada junto ao Sistema Eletrônico de Informação - SEI/ME.</w:t>
      </w:r>
    </w:p>
    <w:p w14:paraId="11CAD901" w14:textId="77777777" w:rsidR="00D061CE"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xml:space="preserve">Art. 46. Dúvidas e solicitações de esclarecimentos devem ser encaminhadas à SDCOM por meio do endereço eletrônico </w:t>
      </w:r>
      <w:hyperlink r:id="rId220" w:history="1">
        <w:r w:rsidRPr="00395593">
          <w:rPr>
            <w:rStyle w:val="Hyperlink"/>
            <w:rFonts w:ascii="Garamond" w:hAnsi="Garamond"/>
            <w:color w:val="000000" w:themeColor="text1"/>
          </w:rPr>
          <w:t>sdcom@economia.gov.br</w:t>
        </w:r>
      </w:hyperlink>
      <w:r w:rsidRPr="00395593">
        <w:rPr>
          <w:rFonts w:ascii="Garamond" w:hAnsi="Garamond"/>
          <w:color w:val="000000" w:themeColor="text1"/>
        </w:rPr>
        <w:t>.</w:t>
      </w:r>
      <w:bookmarkStart w:id="117" w:name="_adbc9y271du4" w:colFirst="0" w:colLast="0"/>
      <w:bookmarkEnd w:id="117"/>
    </w:p>
    <w:p w14:paraId="413BB5DC" w14:textId="77777777" w:rsidR="00374B9E" w:rsidRPr="00395593" w:rsidRDefault="00374B9E" w:rsidP="00374B9E">
      <w:pPr>
        <w:pStyle w:val="textojustificadorecuoprimeiralinha"/>
        <w:spacing w:before="0" w:beforeAutospacing="0" w:after="120" w:afterAutospacing="0"/>
        <w:ind w:firstLine="1418"/>
        <w:jc w:val="both"/>
        <w:rPr>
          <w:rFonts w:ascii="Garamond" w:hAnsi="Garamond"/>
          <w:color w:val="000000" w:themeColor="text1"/>
        </w:rPr>
      </w:pPr>
    </w:p>
    <w:p w14:paraId="781724D1" w14:textId="77777777" w:rsidR="00D061CE" w:rsidRPr="00374B9E" w:rsidRDefault="00D061CE" w:rsidP="00374B9E">
      <w:pPr>
        <w:pStyle w:val="Corpodetexto"/>
        <w:jc w:val="center"/>
        <w:rPr>
          <w:rFonts w:ascii="Garamond" w:hAnsi="Garamond"/>
          <w:b/>
        </w:rPr>
      </w:pPr>
      <w:bookmarkStart w:id="118" w:name="_26kbjfmc1u68" w:colFirst="0" w:colLast="0"/>
      <w:bookmarkEnd w:id="118"/>
      <w:r w:rsidRPr="00374B9E">
        <w:rPr>
          <w:rFonts w:ascii="Garamond" w:hAnsi="Garamond"/>
          <w:b/>
        </w:rPr>
        <w:t>Seção II</w:t>
      </w:r>
    </w:p>
    <w:p w14:paraId="2AEC6CF3" w14:textId="77777777" w:rsidR="00D061CE" w:rsidRPr="005C5CBD" w:rsidRDefault="00D061CE" w:rsidP="00374B9E">
      <w:pPr>
        <w:pStyle w:val="Corpodetexto"/>
        <w:jc w:val="center"/>
        <w:rPr>
          <w:rFonts w:ascii="Garamond" w:hAnsi="Garamond"/>
          <w:b/>
        </w:rPr>
      </w:pPr>
      <w:bookmarkStart w:id="119" w:name="_x1oajkrnl6p4" w:colFirst="0" w:colLast="0"/>
      <w:bookmarkEnd w:id="119"/>
      <w:r w:rsidRPr="00374B9E">
        <w:rPr>
          <w:rFonts w:ascii="Garamond" w:hAnsi="Garamond"/>
          <w:b/>
        </w:rPr>
        <w:t>Do procedimento de habilitação</w:t>
      </w:r>
    </w:p>
    <w:p w14:paraId="4B1C660A" w14:textId="77777777" w:rsidR="00D061CE" w:rsidRPr="00395593" w:rsidRDefault="00D061CE" w:rsidP="003775F1">
      <w:pPr>
        <w:shd w:val="clear" w:color="auto" w:fill="FFFFFF"/>
        <w:jc w:val="both"/>
        <w:rPr>
          <w:rFonts w:ascii="Garamond" w:hAnsi="Garamond"/>
        </w:rPr>
      </w:pPr>
      <w:r w:rsidRPr="00395593">
        <w:rPr>
          <w:rFonts w:ascii="Garamond" w:hAnsi="Garamond"/>
        </w:rPr>
        <w:t xml:space="preserve"> </w:t>
      </w:r>
    </w:p>
    <w:p w14:paraId="1B837D94"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47. A data do início do procedimento de habilitação como indústria fragmentada será a data de protocolo de sua solicitação.</w:t>
      </w:r>
    </w:p>
    <w:p w14:paraId="1E75587B"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48. A solicitação de habilitação como indústria fragmentada será analisada no prazo de 15 (quinze) dias, contado da data do seu protocolo.</w:t>
      </w:r>
    </w:p>
    <w:p w14:paraId="16D025A0"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1º No caso de a solicitação estar devidamente instruída e de não serem necessárias informações complementares, a solicitante será notificada, ao final do prazo de análise indicado no caput, a respeito da decisão da SDCOM e de sua fundamentação.</w:t>
      </w:r>
    </w:p>
    <w:p w14:paraId="4A4034C7"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2º Caso haja necessidade, será enviado pedido de informações complementares à solicitante, que deverá apresentá-las no prazo de 5 (cinco) dias contado da data de ciência do pedido, prorrogável, a pedido e desde que devidamente justificado, por igual período.</w:t>
      </w:r>
    </w:p>
    <w:p w14:paraId="1C35A557"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3º As informações complementares apresentadas pela solicitante serão analisadas no prazo de 10 (dez) dias, contado da data de seu recebimento.</w:t>
      </w:r>
    </w:p>
    <w:p w14:paraId="5114B56C"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4º Ao final do prazo previsto no §3º, a solicitante será notificada a respeito da decisão da SDCOM e de sua fundamentação, em até dois dias úteis.</w:t>
      </w:r>
    </w:p>
    <w:p w14:paraId="2280E0A1"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5º Deferida a habilitação, a petição da respectiva investigação de defesa comercial deverá ser apresentada de acordo com o prazo definido pela SDCOM na notificação a que se referem os §§ 1º e 4º deste artigo, o qual nunca será superior a dez meses do encerramento do período de investigação a que faz referência o art. 54 desta portaria.</w:t>
      </w:r>
    </w:p>
    <w:p w14:paraId="453645A6"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6º Caso a petição da respectiva investigação de defesa comercial não seja apresentada no prazo definido pela SDCOM, conforme disposto no § 5º deste artigo, deverá ser solicitada nova habilitação como indústria fragmentada para a produção nacional do produto em questão.</w:t>
      </w:r>
    </w:p>
    <w:p w14:paraId="4E1ABDE2"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7º Indeferida a habilitação, a petição da respectiva investigação de defesa comercial deverá ser elaborada utilizando-se exclusivamente do formato presente nos atos da SECEX que regulamentam os procedimentos de defesa comercial para as indústrias não fragmentadas.</w:t>
      </w:r>
    </w:p>
    <w:p w14:paraId="72F35300"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49. Iniciada a investigação de defesa comercial, as partes interessadas do referido procedimento poderão apresentar recurso sobre a decisão da SDCOM de habilitar a produção nacional do produto em questão como indústria fragmentada em até trinta dias contados da publicação da Circular SECEX de início da respectiva investigação.</w:t>
      </w:r>
    </w:p>
    <w:p w14:paraId="7BC42746"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1º As informações apresentadas em sede de recurso deverão vir acompanhadas dos elementos de prova pertinentes, de justificativa e das fontes e metodologias utilizadas.</w:t>
      </w:r>
    </w:p>
    <w:p w14:paraId="2F23A76F"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2º A indústria doméstica, cuja produção do produto objeto da investigação de defesa comercial tenha sido habilitada como indústria fragmentada, poderá apresentar suas contra-razões em até quinze dias, contados do fim do prazo referido no caput.</w:t>
      </w:r>
    </w:p>
    <w:p w14:paraId="05DB22AC"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3º A reconsideração ou não da decisão da SDCOM a respeito da habilitação como indústria fragmentada, considerando todos os elementos de prova trazidos pelas partes interessadas, será informada no prazo de até sessenta dias contado do fim do prazo referido no §2º.</w:t>
      </w:r>
    </w:p>
    <w:p w14:paraId="42CDCFB0"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4º Caso a decisão a que se refere o caput seja reconsiderada, a investigação de defesa comercial será imediatamente encerrada, sem análise do mérito.</w:t>
      </w:r>
    </w:p>
    <w:p w14:paraId="6CA57D68"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Art. 50. Em consonância com o disposto no art. 44 desta portaria, a habilitação da produção nacional de determinado produto como indústria fragmentada poderá ser utilizada para o peticionamento de outros procedimentos de defesa comercial em momento posterior ao prazo previsto no §5º do art. 48 desta portaria, mediante prévia consulta à SDCOM.</w:t>
      </w:r>
    </w:p>
    <w:p w14:paraId="23C90342"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 1º A consulta a que se refere o caput será feita por meio de documento destinado à SDCOM e deverá conter a decisão a que faz referência o caput do art. 49 e as informações mencionadas no art. 52, no inciso XII do art. 53 e nos arts. 54 e 55 desta portaria.</w:t>
      </w:r>
    </w:p>
    <w:p w14:paraId="718EB3D8"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 2º A SDCOM decidirá a respeito do aproveitamento da habilitação anterior no prazo de quinze dias contado do protocolo da consulta referida no caput.</w:t>
      </w:r>
    </w:p>
    <w:p w14:paraId="0A966081"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 3º Ao final do prazo indicado no §2º, a solicitante será notificada a respeito da decisão da SDCOM e do prazo para protocolo de sua petição.</w:t>
      </w:r>
    </w:p>
    <w:p w14:paraId="2CFCDE9D" w14:textId="66372B31" w:rsidR="00CE211F"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51. A SDCOM, de ofício ou a pedido de qualquer parte interessada de investigação de defesa comercial iniciada nos termos desta portaria que submeta petição escrita com indícios de que as circunstâncias que justificaram a habilitação da produção nacional de determinado produto como indústria fragmentada se alteraram, poderá iniciar procedimento de revisão com objetivo de decidir sobre o caráter fragmentário concedido.</w:t>
      </w:r>
      <w:bookmarkStart w:id="120" w:name="_v2t6g8ect4y" w:colFirst="0" w:colLast="0"/>
      <w:bookmarkEnd w:id="120"/>
    </w:p>
    <w:p w14:paraId="2D599235" w14:textId="77777777" w:rsidR="00D061CE" w:rsidRPr="00F26A10" w:rsidRDefault="00D061CE" w:rsidP="00F26A10">
      <w:pPr>
        <w:pStyle w:val="Corpodetexto"/>
        <w:jc w:val="center"/>
        <w:rPr>
          <w:rFonts w:ascii="Garamond" w:hAnsi="Garamond"/>
          <w:b/>
        </w:rPr>
      </w:pPr>
      <w:r w:rsidRPr="00F26A10">
        <w:rPr>
          <w:rFonts w:ascii="Garamond" w:hAnsi="Garamond"/>
          <w:b/>
        </w:rPr>
        <w:t>Seção III</w:t>
      </w:r>
    </w:p>
    <w:p w14:paraId="604ACDC0" w14:textId="4BEF3A19" w:rsidR="00D061CE" w:rsidRPr="00F26A10" w:rsidRDefault="00D061CE" w:rsidP="00F26A10">
      <w:pPr>
        <w:pStyle w:val="Corpodetexto"/>
        <w:jc w:val="center"/>
        <w:rPr>
          <w:rFonts w:ascii="Garamond" w:hAnsi="Garamond"/>
          <w:b/>
        </w:rPr>
      </w:pPr>
      <w:bookmarkStart w:id="121" w:name="_yt6gjd4gmvsv" w:colFirst="0" w:colLast="0"/>
      <w:bookmarkEnd w:id="121"/>
      <w:r w:rsidRPr="00F26A10">
        <w:rPr>
          <w:rFonts w:ascii="Garamond" w:hAnsi="Garamond"/>
          <w:b/>
        </w:rPr>
        <w:t>Do conteúdo da solicitação de habilitação</w:t>
      </w:r>
    </w:p>
    <w:p w14:paraId="30C41811" w14:textId="77777777" w:rsidR="00D061CE" w:rsidRPr="00395593" w:rsidRDefault="00D061CE" w:rsidP="003775F1">
      <w:pPr>
        <w:shd w:val="clear" w:color="auto" w:fill="FFFFFF"/>
        <w:jc w:val="both"/>
        <w:rPr>
          <w:rFonts w:ascii="Garamond" w:hAnsi="Garamond"/>
        </w:rPr>
      </w:pPr>
      <w:r w:rsidRPr="00395593">
        <w:rPr>
          <w:rFonts w:ascii="Garamond" w:hAnsi="Garamond"/>
        </w:rPr>
        <w:t xml:space="preserve"> </w:t>
      </w:r>
    </w:p>
    <w:p w14:paraId="6DDC0B6E"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52. A solicitação de habilitação como indústria fragmentada indicará:</w:t>
      </w:r>
    </w:p>
    <w:p w14:paraId="2DAF7133"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I - informações referentes à razão social, endereço completo, telefone e endereço eletrônico da solicitante;</w:t>
      </w:r>
    </w:p>
    <w:p w14:paraId="3E967D48"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II - nome, função, endereço completo, telefone e endereço eletrônico do representante legal habilitado junto à SDCOM;</w:t>
      </w:r>
    </w:p>
    <w:p w14:paraId="2E50FF23"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53. A solicitação de habilitação como indústria fragmentada deverá conter com relação ao produto similar doméstico ou, nos casos de investigação com vistas à aplicação de medida de salvaguarda, ao produto similar ou ao produto diretamente concorrente, as seguintes informações referentes ao ano civil anterior ao da apresentação da solicitação, podendo estas, excepcionalmente e desde que devidamente justificado, serem anteriores a este período:</w:t>
      </w:r>
    </w:p>
    <w:p w14:paraId="74589C3B"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I - descrição pormenorizada, especificando, conforme se aplique: matéria(s)-prima(s), composição química, características físicas, normas e especificações técnicas, processo produtivo, usos e aplicações, grau de substitutibilidade e canais de distribuição;</w:t>
      </w:r>
    </w:p>
    <w:p w14:paraId="066E7E52"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II - outras características consideradas relevantes com vistas à identificação do produto produzido pela solicitante;</w:t>
      </w:r>
    </w:p>
    <w:p w14:paraId="57F0BF11"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III - indicação do(s) item(ns) da Nomenclatura Comum do MERCOSUL (NCM) em que o produto é normalmente classificado;</w:t>
      </w:r>
    </w:p>
    <w:p w14:paraId="49DEE09E"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IV - número de produtores nacionais ou sua estimativa;</w:t>
      </w:r>
    </w:p>
    <w:p w14:paraId="065BE764"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V - volume da produção nacional ou sua estimativa;</w:t>
      </w:r>
    </w:p>
    <w:p w14:paraId="0EC8A094"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VI - volume de vendas no mercado brasileiro ou sua estimativa;</w:t>
      </w:r>
    </w:p>
    <w:p w14:paraId="41C4F88D"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VII - distribuição dos produtores nacionais por porte ou sua estimativa, com base no faturamento ou no número de empregados, ou com base em critério comumente adotado no setor produtor;</w:t>
      </w:r>
    </w:p>
    <w:p w14:paraId="3C800833"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VIII - distribuição geográfica dos produtores nacionais ou sua estimativa;</w:t>
      </w:r>
    </w:p>
    <w:p w14:paraId="16C7513D"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IX - existência de associação ou de entidade de classe dos produtores nacionais e número de empresas a ela associadas;</w:t>
      </w:r>
    </w:p>
    <w:p w14:paraId="77845A49"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X - listagem dos produtores nacionais conhecidos;</w:t>
      </w:r>
    </w:p>
    <w:p w14:paraId="2B88AD83"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XI - produção individualizada dos produtores nacionais conhecidos referidos no inciso X do caput ou, caso isso não seja possível, a produção individualizada dos maiores produtores nacionais conhecidos;</w:t>
      </w:r>
    </w:p>
    <w:p w14:paraId="35755255"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XII - indicação do prazo considerado necessário para protocolo da petição a que faz referência o §5º do art. 48 desta portaria.</w:t>
      </w:r>
    </w:p>
    <w:p w14:paraId="70E45540"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1º As informações elencadas no caput não constituem lista exaustiva e nenhuma delas, isoladamente ou em conjunto, será necessariamente capaz de fornecer indicação decisiva.</w:t>
      </w:r>
    </w:p>
    <w:p w14:paraId="02A7784E"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2º As informações elencadas no caput deverão ser apresentadas juntamente com os respectivos elementos de prova.</w:t>
      </w:r>
    </w:p>
    <w:p w14:paraId="6DBF0C25"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3º No caso de as informações elencadas no caput serem apresentadas com base em estimativas, a solicitante deverá observar as disposições do art. 53 do Decreto no 8.058, de 2013 e do art. 49 do Decreto 10.839, de 2021.</w:t>
      </w:r>
    </w:p>
    <w:p w14:paraId="5541D00B"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4º Não sendo possível a identificação individualizada da produção do produto, os dados poderão ser apresentados com base na produção do grupo ou gama de produtos que, definido da forma mais restrita possível, inclua o produto similar doméstico ou, nos casos de investigação com vistas à aplicação de medida de salvaguarda, o produto similar ou o produto diretamente concorrente, e para o qual os dados necessários possam ser apresentados.</w:t>
      </w:r>
    </w:p>
    <w:p w14:paraId="58D7166D"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54. A solicitação de habilitação como indústria fragmentada deverá indicar o período com o qual será instruída a petição a que se refere o caput do art.</w:t>
      </w:r>
      <w:r w:rsidRPr="00395593">
        <w:rPr>
          <w:rFonts w:ascii="Garamond" w:hAnsi="Garamond"/>
          <w:b/>
          <w:color w:val="000000" w:themeColor="text1"/>
        </w:rPr>
        <w:t xml:space="preserve"> </w:t>
      </w:r>
      <w:r w:rsidRPr="00395593">
        <w:rPr>
          <w:rFonts w:ascii="Garamond" w:hAnsi="Garamond"/>
          <w:color w:val="000000" w:themeColor="text1"/>
        </w:rPr>
        <w:t>39 da presente Portaria, relativo:</w:t>
      </w:r>
    </w:p>
    <w:p w14:paraId="4E844B08"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I - à investigação de dano ou de ameaça de dano, nos casos de investigações de dumping ou de subsídios acionáveis; ou</w:t>
      </w:r>
    </w:p>
    <w:p w14:paraId="443F6047"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II - à investigação de prejuízo grave ou de ameaça de prejuízo grave, nos casos de investigação com vistas à aplicação de medida de salvaguarda.</w:t>
      </w:r>
    </w:p>
    <w:p w14:paraId="4E5D4C9F"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55. Com base nas informações indicadas no art. 53 e em outras que porventura repute relevantes para fins da análise da SDCOM, a solicitante deverá explicar de que maneira o caráter fragmentário da indústria dificultaria a apresentação de petição de investigação de defesa comercial nos prazos previstos nos regulamentos brasileiros de defesa comercial e nos termos dos atos da SECEX que regulamentam os procedimentos de defesa comercial para as indústrias não fragmentadas.</w:t>
      </w:r>
    </w:p>
    <w:p w14:paraId="6C515EE1"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1º A SDCOM observará a explicação apresentada pela solicitante nos termos do caput, ao apreciar a petição de investigação de defesa comercial protocolada nos termos dos §§ 1º e 4º do art. 48 ou do art. 50 desta portaria.</w:t>
      </w:r>
    </w:p>
    <w:p w14:paraId="08B1C5E4"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2º Na hipótese de os fatores que motivaram a habilitação de determinada produção nacional como indústria fragmentada não serem verificados pela SDCOM na apreciação a que se refere o §1º, poderá ser indeferida a petição de investigação de defesa comercial, bem como cancelada a habilitação da produção nacional como indústria fragmentada nos termos do art. 44 desta portaria.</w:t>
      </w:r>
    </w:p>
    <w:p w14:paraId="270181E3" w14:textId="74818888" w:rsidR="00D061CE" w:rsidRPr="00F26A10" w:rsidRDefault="00D061CE" w:rsidP="00F26A10">
      <w:pPr>
        <w:pStyle w:val="Corpodetexto"/>
        <w:jc w:val="center"/>
        <w:rPr>
          <w:rFonts w:ascii="Garamond" w:hAnsi="Garamond"/>
          <w:b/>
          <w:color w:val="000000" w:themeColor="text1"/>
        </w:rPr>
      </w:pPr>
      <w:bookmarkStart w:id="122" w:name="_mk9bvdxsh2v5" w:colFirst="0" w:colLast="0"/>
      <w:bookmarkEnd w:id="122"/>
      <w:r w:rsidRPr="00F26A10">
        <w:rPr>
          <w:rFonts w:ascii="Garamond" w:hAnsi="Garamond"/>
          <w:b/>
        </w:rPr>
        <w:t>CAPÍTULO VI</w:t>
      </w:r>
    </w:p>
    <w:p w14:paraId="7FE0B4EE" w14:textId="77777777" w:rsidR="00D061CE" w:rsidRPr="00F26A10" w:rsidRDefault="00D061CE" w:rsidP="00F26A10">
      <w:pPr>
        <w:pStyle w:val="Corpodetexto"/>
        <w:jc w:val="center"/>
        <w:rPr>
          <w:rFonts w:ascii="Garamond" w:hAnsi="Garamond"/>
          <w:b/>
        </w:rPr>
      </w:pPr>
      <w:bookmarkStart w:id="123" w:name="_c8wht4rwj5qq" w:colFirst="0" w:colLast="0"/>
      <w:bookmarkEnd w:id="123"/>
      <w:r w:rsidRPr="00F26A10">
        <w:rPr>
          <w:rFonts w:ascii="Garamond" w:hAnsi="Garamond"/>
          <w:b/>
        </w:rPr>
        <w:t>DAS ADAPTAÇÕES NECESSÁRIAS AOS PROCEDIMENTOS DAS INVESTIGAÇÕES DE DEFESA COMERCIAL</w:t>
      </w:r>
    </w:p>
    <w:p w14:paraId="288A37B1" w14:textId="77777777" w:rsidR="00FD5CD7" w:rsidRPr="005C5CBD" w:rsidRDefault="00D061CE" w:rsidP="00FD5CD7">
      <w:pPr>
        <w:pStyle w:val="Corpodetexto"/>
        <w:rPr>
          <w:rFonts w:ascii="Garamond" w:hAnsi="Garamond"/>
          <w:b/>
        </w:rPr>
      </w:pPr>
      <w:bookmarkStart w:id="124" w:name="_tw6lift29da7" w:colFirst="0" w:colLast="0"/>
      <w:bookmarkEnd w:id="124"/>
      <w:r w:rsidRPr="005C5CBD">
        <w:rPr>
          <w:rFonts w:ascii="Garamond" w:hAnsi="Garamond"/>
          <w:b/>
        </w:rPr>
        <w:t xml:space="preserve"> </w:t>
      </w:r>
    </w:p>
    <w:p w14:paraId="6A8A1C00" w14:textId="0194122F" w:rsidR="00D061CE" w:rsidRPr="005C5CBD"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5C5CBD">
        <w:rPr>
          <w:rFonts w:ascii="Garamond" w:hAnsi="Garamond"/>
        </w:rPr>
        <w:t>Art. 56. Este capítulo dispõe sobre as adaptações necessárias aos procedimentos das investigações de defesa comercial e das avaliações de interesse público conduzidas pela Subsecretaria de Defesa Comercial</w:t>
      </w:r>
      <w:r w:rsidRPr="005C5CBD">
        <w:rPr>
          <w:rFonts w:ascii="Garamond" w:hAnsi="Garamond"/>
          <w:color w:val="000000" w:themeColor="text1"/>
        </w:rPr>
        <w:t xml:space="preserve"> e Interesse Público, em decorrência da pandemia do novo coronavírus (COVID-19). </w:t>
      </w:r>
      <w:bookmarkStart w:id="125" w:name="_d3k0opdkty73" w:colFirst="0" w:colLast="0"/>
      <w:bookmarkEnd w:id="125"/>
    </w:p>
    <w:p w14:paraId="743A79E2" w14:textId="77777777" w:rsidR="00FD5CD7" w:rsidRPr="005C5CBD" w:rsidRDefault="00FD5CD7" w:rsidP="005F7A3B">
      <w:pPr>
        <w:pStyle w:val="Corpodetexto"/>
        <w:rPr>
          <w:rFonts w:ascii="Garamond" w:hAnsi="Garamond"/>
        </w:rPr>
      </w:pPr>
    </w:p>
    <w:p w14:paraId="4F610A7C" w14:textId="016E0174" w:rsidR="00D061CE" w:rsidRPr="00F26A10" w:rsidRDefault="00D061CE" w:rsidP="00F26A10">
      <w:pPr>
        <w:pStyle w:val="Corpodetexto"/>
        <w:jc w:val="center"/>
        <w:rPr>
          <w:rFonts w:ascii="Garamond" w:hAnsi="Garamond"/>
          <w:b/>
          <w:color w:val="000000" w:themeColor="text1"/>
        </w:rPr>
      </w:pPr>
      <w:r w:rsidRPr="00F26A10">
        <w:rPr>
          <w:rFonts w:ascii="Garamond" w:hAnsi="Garamond"/>
          <w:b/>
        </w:rPr>
        <w:t>Seção I</w:t>
      </w:r>
    </w:p>
    <w:p w14:paraId="58DC12C2" w14:textId="77777777" w:rsidR="00D061CE" w:rsidRPr="00F26A10" w:rsidRDefault="00D061CE" w:rsidP="00F26A10">
      <w:pPr>
        <w:pStyle w:val="Corpodetexto"/>
        <w:jc w:val="center"/>
        <w:rPr>
          <w:rFonts w:ascii="Garamond" w:hAnsi="Garamond"/>
          <w:b/>
          <w:color w:val="000000" w:themeColor="text1"/>
        </w:rPr>
      </w:pPr>
      <w:bookmarkStart w:id="126" w:name="_x02zcw0tbg0" w:colFirst="0" w:colLast="0"/>
      <w:bookmarkEnd w:id="126"/>
      <w:r w:rsidRPr="00F26A10">
        <w:rPr>
          <w:rFonts w:ascii="Garamond" w:hAnsi="Garamond"/>
          <w:b/>
        </w:rPr>
        <w:t>Da realização de verificações in loco</w:t>
      </w:r>
    </w:p>
    <w:p w14:paraId="0DC882E8" w14:textId="77777777" w:rsidR="00D061CE" w:rsidRPr="00395593" w:rsidRDefault="00D061CE" w:rsidP="003E08FA">
      <w:pPr>
        <w:pStyle w:val="textojustificadorecuoprimeiralinha"/>
        <w:spacing w:before="0" w:beforeAutospacing="0" w:after="120" w:afterAutospacing="0"/>
        <w:ind w:firstLine="100"/>
        <w:jc w:val="both"/>
        <w:rPr>
          <w:rFonts w:ascii="Garamond" w:hAnsi="Garamond"/>
          <w:color w:val="000000" w:themeColor="text1"/>
        </w:rPr>
      </w:pPr>
      <w:r w:rsidRPr="00395593">
        <w:rPr>
          <w:rFonts w:ascii="Garamond" w:hAnsi="Garamond"/>
          <w:color w:val="000000" w:themeColor="text1"/>
        </w:rPr>
        <w:t xml:space="preserve">Art. 57. Considerando a evolução da pandemia do COVID-19, dar-se-á preferência a procedimentos de verificação </w:t>
      </w:r>
      <w:r w:rsidRPr="00395593">
        <w:rPr>
          <w:rFonts w:ascii="Garamond" w:hAnsi="Garamond"/>
          <w:b/>
          <w:color w:val="000000" w:themeColor="text1"/>
        </w:rPr>
        <w:t>in loco</w:t>
      </w:r>
      <w:r w:rsidRPr="00395593">
        <w:rPr>
          <w:rFonts w:ascii="Garamond" w:hAnsi="Garamond"/>
          <w:color w:val="000000" w:themeColor="text1"/>
        </w:rPr>
        <w:t xml:space="preserve"> previstos nos artigos 175 a 178 do Decreto nº 8.058, de 2013, desde que preenchidas as condições do art. 58 desta portaria, sendo que, em sua impossibilidade, a SDCOM realizará verificação de elementos de prova, nos termos dos arts. 59 a 67 desta portaria.                                </w:t>
      </w:r>
      <w:r w:rsidRPr="00395593">
        <w:rPr>
          <w:rFonts w:ascii="Garamond" w:hAnsi="Garamond"/>
          <w:color w:val="000000" w:themeColor="text1"/>
        </w:rPr>
        <w:tab/>
      </w:r>
    </w:p>
    <w:p w14:paraId="6052BD5F" w14:textId="77777777" w:rsidR="00D061CE" w:rsidRPr="00395593" w:rsidRDefault="00D061CE" w:rsidP="003E08FA">
      <w:pPr>
        <w:pStyle w:val="textojustificadorecuoprimeiralinha"/>
        <w:spacing w:before="0" w:beforeAutospacing="0" w:after="120" w:afterAutospacing="0"/>
        <w:ind w:firstLine="100"/>
        <w:jc w:val="both"/>
        <w:rPr>
          <w:rFonts w:ascii="Garamond" w:hAnsi="Garamond"/>
          <w:color w:val="000000" w:themeColor="text1"/>
        </w:rPr>
      </w:pPr>
      <w:r w:rsidRPr="00395593">
        <w:rPr>
          <w:rFonts w:ascii="Garamond" w:hAnsi="Garamond"/>
          <w:color w:val="000000" w:themeColor="text1"/>
        </w:rPr>
        <w:t xml:space="preserve">Art. 58. A realização dos procedimentos de verificação </w:t>
      </w:r>
      <w:r w:rsidRPr="00395593">
        <w:rPr>
          <w:rFonts w:ascii="Garamond" w:hAnsi="Garamond"/>
          <w:b/>
          <w:color w:val="000000" w:themeColor="text1"/>
        </w:rPr>
        <w:t>in loco</w:t>
      </w:r>
      <w:r w:rsidRPr="00395593">
        <w:rPr>
          <w:rFonts w:ascii="Garamond" w:hAnsi="Garamond"/>
          <w:color w:val="000000" w:themeColor="text1"/>
        </w:rPr>
        <w:t xml:space="preserve"> previstos nos arts. 175 a 178 do Decreto nº 8.058, de 2013, dependerá do preenchimento das seguintes condições:</w:t>
      </w:r>
    </w:p>
    <w:p w14:paraId="6137BD1A" w14:textId="77777777" w:rsidR="00D061CE" w:rsidRPr="00395593" w:rsidRDefault="00D061CE" w:rsidP="003E08FA">
      <w:pPr>
        <w:shd w:val="clear" w:color="auto" w:fill="FFFFFF"/>
        <w:spacing w:before="240"/>
        <w:ind w:firstLine="100"/>
        <w:jc w:val="both"/>
        <w:rPr>
          <w:rFonts w:ascii="Garamond" w:hAnsi="Garamond"/>
          <w:color w:val="000000" w:themeColor="text1"/>
          <w:sz w:val="24"/>
          <w:szCs w:val="24"/>
        </w:rPr>
      </w:pPr>
      <w:r w:rsidRPr="00395593">
        <w:rPr>
          <w:rFonts w:ascii="Garamond" w:hAnsi="Garamond"/>
          <w:color w:val="000000" w:themeColor="text1"/>
          <w:sz w:val="24"/>
          <w:szCs w:val="24"/>
        </w:rPr>
        <w:t>I – adequação às regras vigentes do Ministério da Economia sobre a realização de viagens por seus servidores;</w:t>
      </w:r>
    </w:p>
    <w:p w14:paraId="325E7540" w14:textId="77777777" w:rsidR="00D061CE" w:rsidRPr="00395593" w:rsidRDefault="00D061CE" w:rsidP="003E08FA">
      <w:pPr>
        <w:shd w:val="clear" w:color="auto" w:fill="FFFFFF"/>
        <w:spacing w:before="240"/>
        <w:ind w:firstLine="100"/>
        <w:jc w:val="both"/>
        <w:rPr>
          <w:rFonts w:ascii="Garamond" w:hAnsi="Garamond"/>
          <w:color w:val="000000" w:themeColor="text1"/>
          <w:sz w:val="24"/>
          <w:szCs w:val="24"/>
        </w:rPr>
      </w:pPr>
      <w:r w:rsidRPr="00395593">
        <w:rPr>
          <w:rFonts w:ascii="Garamond" w:hAnsi="Garamond"/>
          <w:color w:val="000000" w:themeColor="text1"/>
          <w:sz w:val="24"/>
          <w:szCs w:val="24"/>
        </w:rPr>
        <w:t xml:space="preserve">II – disponibilidade de servidores para a realização dos procedimentos do </w:t>
      </w:r>
      <w:r w:rsidRPr="00395593">
        <w:rPr>
          <w:rFonts w:ascii="Garamond" w:hAnsi="Garamond"/>
          <w:b/>
          <w:color w:val="000000" w:themeColor="text1"/>
          <w:sz w:val="24"/>
          <w:szCs w:val="24"/>
        </w:rPr>
        <w:t>caput</w:t>
      </w:r>
      <w:r w:rsidRPr="00395593">
        <w:rPr>
          <w:rFonts w:ascii="Garamond" w:hAnsi="Garamond"/>
          <w:color w:val="000000" w:themeColor="text1"/>
          <w:sz w:val="24"/>
          <w:szCs w:val="24"/>
        </w:rPr>
        <w:t>;</w:t>
      </w:r>
    </w:p>
    <w:p w14:paraId="6CC4D3D1" w14:textId="77777777" w:rsidR="00D061CE" w:rsidRPr="00395593" w:rsidRDefault="00D061CE" w:rsidP="003E08FA">
      <w:pPr>
        <w:shd w:val="clear" w:color="auto" w:fill="FFFFFF"/>
        <w:spacing w:before="240"/>
        <w:ind w:firstLine="100"/>
        <w:jc w:val="both"/>
        <w:rPr>
          <w:rFonts w:ascii="Garamond" w:hAnsi="Garamond"/>
          <w:b/>
          <w:color w:val="000000" w:themeColor="text1"/>
          <w:sz w:val="24"/>
          <w:szCs w:val="24"/>
        </w:rPr>
      </w:pPr>
      <w:r w:rsidRPr="00395593">
        <w:rPr>
          <w:rFonts w:ascii="Garamond" w:hAnsi="Garamond"/>
          <w:color w:val="000000" w:themeColor="text1"/>
          <w:sz w:val="24"/>
          <w:szCs w:val="24"/>
        </w:rPr>
        <w:t xml:space="preserve">III – disponibilidade de funcionários das partes verificadas, no Brasil ou no exterior, para o recebimento das visitas de verificação </w:t>
      </w:r>
      <w:r w:rsidRPr="00395593">
        <w:rPr>
          <w:rFonts w:ascii="Garamond" w:hAnsi="Garamond"/>
          <w:b/>
          <w:color w:val="000000" w:themeColor="text1"/>
          <w:sz w:val="24"/>
          <w:szCs w:val="24"/>
        </w:rPr>
        <w:t>in loco;</w:t>
      </w:r>
    </w:p>
    <w:p w14:paraId="55FEE246" w14:textId="77777777" w:rsidR="00D061CE" w:rsidRPr="00395593" w:rsidRDefault="00D061CE" w:rsidP="003E08FA">
      <w:pPr>
        <w:shd w:val="clear" w:color="auto" w:fill="FFFFFF"/>
        <w:spacing w:before="240"/>
        <w:ind w:firstLine="100"/>
        <w:jc w:val="both"/>
        <w:rPr>
          <w:rFonts w:ascii="Garamond" w:hAnsi="Garamond"/>
          <w:color w:val="000000" w:themeColor="text1"/>
          <w:sz w:val="24"/>
          <w:szCs w:val="24"/>
        </w:rPr>
      </w:pPr>
      <w:r w:rsidRPr="00395593">
        <w:rPr>
          <w:rFonts w:ascii="Garamond" w:hAnsi="Garamond"/>
          <w:color w:val="000000" w:themeColor="text1"/>
          <w:sz w:val="24"/>
          <w:szCs w:val="24"/>
        </w:rPr>
        <w:t>IV – aceitação formal das partes interessadas a serem verificadas para a realização das visitas;</w:t>
      </w:r>
    </w:p>
    <w:p w14:paraId="2E3B8041" w14:textId="77777777" w:rsidR="00D061CE" w:rsidRPr="00395593" w:rsidRDefault="00D061CE" w:rsidP="003E08FA">
      <w:pPr>
        <w:shd w:val="clear" w:color="auto" w:fill="FFFFFF"/>
        <w:spacing w:before="240"/>
        <w:ind w:firstLine="100"/>
        <w:jc w:val="both"/>
        <w:rPr>
          <w:rFonts w:ascii="Garamond" w:hAnsi="Garamond"/>
          <w:color w:val="000000" w:themeColor="text1"/>
          <w:sz w:val="24"/>
          <w:szCs w:val="24"/>
        </w:rPr>
      </w:pPr>
      <w:r w:rsidRPr="00395593">
        <w:rPr>
          <w:rFonts w:ascii="Garamond" w:hAnsi="Garamond"/>
          <w:color w:val="000000" w:themeColor="text1"/>
          <w:sz w:val="24"/>
          <w:szCs w:val="24"/>
        </w:rPr>
        <w:t>V – análise da evolução do quadro pandêmico nos locais de realização das visitas;</w:t>
      </w:r>
    </w:p>
    <w:p w14:paraId="3BB41BE0" w14:textId="77777777" w:rsidR="00D061CE" w:rsidRPr="00395593" w:rsidRDefault="00D061CE" w:rsidP="003E08FA">
      <w:pPr>
        <w:shd w:val="clear" w:color="auto" w:fill="FFFFFF"/>
        <w:spacing w:before="240"/>
        <w:ind w:firstLine="100"/>
        <w:jc w:val="both"/>
        <w:rPr>
          <w:rFonts w:ascii="Garamond" w:hAnsi="Garamond"/>
          <w:color w:val="000000" w:themeColor="text1"/>
          <w:sz w:val="24"/>
          <w:szCs w:val="24"/>
        </w:rPr>
      </w:pPr>
      <w:r w:rsidRPr="00395593">
        <w:rPr>
          <w:rFonts w:ascii="Garamond" w:hAnsi="Garamond"/>
          <w:color w:val="000000" w:themeColor="text1"/>
          <w:sz w:val="24"/>
          <w:szCs w:val="24"/>
        </w:rPr>
        <w:t>VI - regras para a permissão de entrada de viajantes brasileiros; e</w:t>
      </w:r>
    </w:p>
    <w:p w14:paraId="079E2730" w14:textId="77777777" w:rsidR="00D061CE" w:rsidRPr="00395593" w:rsidRDefault="00D061CE" w:rsidP="003E08FA">
      <w:pPr>
        <w:shd w:val="clear" w:color="auto" w:fill="FFFFFF"/>
        <w:spacing w:before="240"/>
        <w:ind w:firstLine="100"/>
        <w:jc w:val="both"/>
        <w:rPr>
          <w:rFonts w:ascii="Garamond" w:hAnsi="Garamond"/>
          <w:color w:val="000000" w:themeColor="text1"/>
          <w:sz w:val="24"/>
          <w:szCs w:val="24"/>
        </w:rPr>
      </w:pPr>
      <w:r w:rsidRPr="00395593">
        <w:rPr>
          <w:rFonts w:ascii="Garamond" w:hAnsi="Garamond"/>
          <w:color w:val="000000" w:themeColor="text1"/>
          <w:sz w:val="24"/>
          <w:szCs w:val="24"/>
        </w:rPr>
        <w:t xml:space="preserve">VII – outros fatores que possam vir a impedir ou prejudicar a realização dos procedimentos do </w:t>
      </w:r>
      <w:r w:rsidRPr="00395593">
        <w:rPr>
          <w:rFonts w:ascii="Garamond" w:hAnsi="Garamond"/>
          <w:b/>
          <w:color w:val="000000" w:themeColor="text1"/>
          <w:sz w:val="24"/>
          <w:szCs w:val="24"/>
        </w:rPr>
        <w:t>caput</w:t>
      </w:r>
      <w:r w:rsidRPr="00395593">
        <w:rPr>
          <w:rFonts w:ascii="Garamond" w:hAnsi="Garamond"/>
          <w:color w:val="000000" w:themeColor="text1"/>
          <w:sz w:val="24"/>
          <w:szCs w:val="24"/>
        </w:rPr>
        <w:t>.</w:t>
      </w:r>
    </w:p>
    <w:p w14:paraId="59520280" w14:textId="77777777" w:rsidR="00D061CE" w:rsidRPr="00395593" w:rsidRDefault="00D061CE" w:rsidP="003E08FA">
      <w:pPr>
        <w:pStyle w:val="textojustificadorecuoprimeiralinha"/>
        <w:spacing w:before="0" w:beforeAutospacing="0" w:after="120" w:afterAutospacing="0"/>
        <w:ind w:firstLine="100"/>
        <w:jc w:val="both"/>
        <w:rPr>
          <w:rFonts w:ascii="Garamond" w:hAnsi="Garamond"/>
          <w:color w:val="000000" w:themeColor="text1"/>
        </w:rPr>
      </w:pPr>
      <w:r w:rsidRPr="00395593">
        <w:rPr>
          <w:rFonts w:ascii="Garamond" w:hAnsi="Garamond"/>
          <w:color w:val="000000" w:themeColor="text1"/>
        </w:rPr>
        <w:t xml:space="preserve">§1º Eventual indicação pela parte interessada de impossibilidade de atendimento às condições mencionadas no </w:t>
      </w:r>
      <w:r w:rsidRPr="00395593">
        <w:rPr>
          <w:rFonts w:ascii="Garamond" w:hAnsi="Garamond"/>
          <w:b/>
          <w:color w:val="000000" w:themeColor="text1"/>
        </w:rPr>
        <w:t>caput</w:t>
      </w:r>
      <w:r w:rsidRPr="00395593">
        <w:rPr>
          <w:rFonts w:ascii="Garamond" w:hAnsi="Garamond"/>
          <w:color w:val="000000" w:themeColor="text1"/>
        </w:rPr>
        <w:t xml:space="preserve"> para a realização de visita de verificação </w:t>
      </w:r>
      <w:r w:rsidRPr="00395593">
        <w:rPr>
          <w:rFonts w:ascii="Garamond" w:hAnsi="Garamond"/>
          <w:b/>
          <w:color w:val="000000" w:themeColor="text1"/>
        </w:rPr>
        <w:t>in loco</w:t>
      </w:r>
      <w:r w:rsidRPr="00395593">
        <w:rPr>
          <w:rFonts w:ascii="Garamond" w:hAnsi="Garamond"/>
          <w:color w:val="000000" w:themeColor="text1"/>
        </w:rPr>
        <w:t xml:space="preserve"> </w:t>
      </w:r>
      <w:r w:rsidRPr="00395593">
        <w:rPr>
          <w:rFonts w:ascii="Garamond" w:hAnsi="Garamond"/>
        </w:rPr>
        <w:t xml:space="preserve">deverá </w:t>
      </w:r>
      <w:r w:rsidRPr="00395593">
        <w:rPr>
          <w:rFonts w:ascii="Garamond" w:hAnsi="Garamond"/>
          <w:color w:val="000000" w:themeColor="text1"/>
        </w:rPr>
        <w:t>estar necessariamente acompanhada de argumentos e de elementos de prova, quando cabíveis.</w:t>
      </w:r>
    </w:p>
    <w:p w14:paraId="3A36CCD4" w14:textId="77777777" w:rsidR="00D061CE" w:rsidRPr="00395593" w:rsidRDefault="00D061CE" w:rsidP="003E08FA">
      <w:pPr>
        <w:pStyle w:val="textojustificadorecuoprimeiralinha"/>
        <w:spacing w:before="0" w:beforeAutospacing="0" w:after="120" w:afterAutospacing="0"/>
        <w:ind w:firstLine="100"/>
        <w:jc w:val="both"/>
        <w:rPr>
          <w:rFonts w:ascii="Garamond" w:hAnsi="Garamond"/>
          <w:color w:val="000000" w:themeColor="text1"/>
        </w:rPr>
      </w:pPr>
      <w:r w:rsidRPr="007B6E57">
        <w:rPr>
          <w:rFonts w:ascii="Garamond" w:hAnsi="Garamond"/>
          <w:color w:val="000000" w:themeColor="text1"/>
        </w:rPr>
        <w:t>§2º Na hipótese de os argumentos e elementos de prova mencionados no §1º serem considerados</w:t>
      </w:r>
      <w:r w:rsidRPr="00395593">
        <w:rPr>
          <w:rFonts w:ascii="Garamond" w:hAnsi="Garamond"/>
          <w:color w:val="000000" w:themeColor="text1"/>
        </w:rPr>
        <w:t xml:space="preserve"> pela SDCOM como impeditivos do procedimento, a verificação dos elementos de prova será realizada conforme o art. 59.</w:t>
      </w:r>
    </w:p>
    <w:p w14:paraId="635CC32B" w14:textId="77777777" w:rsidR="00D061CE" w:rsidRPr="00395593" w:rsidRDefault="00D061CE" w:rsidP="003E08FA">
      <w:pPr>
        <w:pStyle w:val="textojustificadorecuoprimeiralinha"/>
        <w:spacing w:before="0" w:beforeAutospacing="0" w:after="120" w:afterAutospacing="0"/>
        <w:ind w:firstLine="100"/>
        <w:jc w:val="both"/>
        <w:rPr>
          <w:rFonts w:ascii="Garamond" w:hAnsi="Garamond"/>
          <w:color w:val="000000" w:themeColor="text1"/>
        </w:rPr>
      </w:pPr>
      <w:r w:rsidRPr="00395593">
        <w:rPr>
          <w:rFonts w:ascii="Garamond" w:hAnsi="Garamond"/>
          <w:color w:val="000000" w:themeColor="text1"/>
        </w:rPr>
        <w:t>§3º Na hipótese de os argumentos e elementos de prova mencionados no §1º serem considerados pela SDCOM como não impeditivos do procedimento, a parte arcará com eventuais consequências decorrentes de sua decisão.</w:t>
      </w:r>
    </w:p>
    <w:p w14:paraId="78B846DF" w14:textId="3369347F" w:rsidR="00D061CE" w:rsidRPr="00F26A10" w:rsidRDefault="00D061CE" w:rsidP="00F26A10">
      <w:pPr>
        <w:pStyle w:val="Corpodetexto"/>
        <w:jc w:val="center"/>
        <w:rPr>
          <w:rFonts w:ascii="Garamond" w:hAnsi="Garamond"/>
          <w:b/>
        </w:rPr>
      </w:pPr>
      <w:bookmarkStart w:id="127" w:name="_6zjcwn94u0l" w:colFirst="0" w:colLast="0"/>
      <w:bookmarkEnd w:id="127"/>
      <w:r w:rsidRPr="00F26A10">
        <w:rPr>
          <w:rFonts w:ascii="Garamond" w:hAnsi="Garamond"/>
          <w:b/>
        </w:rPr>
        <w:t>Seção II</w:t>
      </w:r>
    </w:p>
    <w:p w14:paraId="5083DBB0" w14:textId="1D148BFC" w:rsidR="00D061CE" w:rsidRDefault="00D061CE" w:rsidP="00F26A10">
      <w:pPr>
        <w:pStyle w:val="Corpodetexto"/>
        <w:tabs>
          <w:tab w:val="left" w:pos="5220"/>
        </w:tabs>
        <w:jc w:val="center"/>
        <w:rPr>
          <w:rFonts w:ascii="Garamond" w:hAnsi="Garamond"/>
          <w:b/>
        </w:rPr>
      </w:pPr>
      <w:bookmarkStart w:id="128" w:name="_m66l94z44ga" w:colFirst="0" w:colLast="0"/>
      <w:bookmarkEnd w:id="128"/>
      <w:r w:rsidRPr="00F26A10">
        <w:rPr>
          <w:rFonts w:ascii="Garamond" w:hAnsi="Garamond"/>
          <w:b/>
        </w:rPr>
        <w:t>Da realização de verificação de elementos de prova</w:t>
      </w:r>
      <w:r w:rsidR="00F26A10" w:rsidRPr="00F26A10">
        <w:rPr>
          <w:rFonts w:ascii="Garamond" w:hAnsi="Garamond"/>
          <w:b/>
        </w:rPr>
        <w:tab/>
      </w:r>
    </w:p>
    <w:p w14:paraId="0EB44D98" w14:textId="77777777" w:rsidR="003E08FA" w:rsidRPr="005C5CBD" w:rsidRDefault="003E08FA" w:rsidP="00F26A10">
      <w:pPr>
        <w:pStyle w:val="Corpodetexto"/>
        <w:tabs>
          <w:tab w:val="left" w:pos="5220"/>
        </w:tabs>
        <w:jc w:val="center"/>
        <w:rPr>
          <w:rFonts w:ascii="Garamond" w:hAnsi="Garamond"/>
          <w:b/>
        </w:rPr>
      </w:pPr>
    </w:p>
    <w:p w14:paraId="6D8FC062"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 xml:space="preserve">Art. 59. Constatada a impossibilidade de realização dos procedimentos de verificação </w:t>
      </w:r>
      <w:r w:rsidRPr="00395593">
        <w:rPr>
          <w:rFonts w:ascii="Garamond" w:hAnsi="Garamond"/>
          <w:b/>
          <w:color w:val="000000" w:themeColor="text1"/>
        </w:rPr>
        <w:t>in loco</w:t>
      </w:r>
      <w:r w:rsidRPr="00395593">
        <w:rPr>
          <w:rFonts w:ascii="Garamond" w:hAnsi="Garamond"/>
          <w:color w:val="000000" w:themeColor="text1"/>
        </w:rPr>
        <w:t>, a SDCOM prosseguirá, excepcionalmente, com a análise detalhada de todas as informações submetidas pelas partes interessadas no âmbito das investigações de defesa comercial , buscando verificar sua correção com base na análise cruzada das informações protocoladas por cada parte interessada com aquelas submetidas pelas demais partes, bem como com informações constantes de outras fontes disponíveis à Subsecretaria, se possível e quando aplicável.</w:t>
      </w:r>
    </w:p>
    <w:p w14:paraId="3ED45A73"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60. A fim de validar as informações apresentadas, a SDCOM poderá enviar ofício de solicitação de elementos de prova às partes interessadas.</w:t>
      </w:r>
    </w:p>
    <w:p w14:paraId="739EC883"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xml:space="preserve">§1º Por meio do ofício a que se refere o </w:t>
      </w:r>
      <w:r w:rsidRPr="00395593">
        <w:rPr>
          <w:rFonts w:ascii="Garamond" w:hAnsi="Garamond"/>
          <w:b/>
          <w:color w:val="000000" w:themeColor="text1"/>
        </w:rPr>
        <w:t>caput</w:t>
      </w:r>
      <w:r w:rsidRPr="00395593">
        <w:rPr>
          <w:rFonts w:ascii="Garamond" w:hAnsi="Garamond"/>
          <w:color w:val="000000" w:themeColor="text1"/>
        </w:rPr>
        <w:t>, a SDCOM poderá solicitar informações complementares adicionais às previstas no §2º do art. 41 e no §2º do art. 50 do Decreto nº 8.058, de 2013, e elementos de prova, nos termos do art. 179 do citado decreto, tais como amostras de notas fiscais, documentos contábeis, comprovantes de pagamentos, detalhamentos de despesas específicas, etc.</w:t>
      </w:r>
    </w:p>
    <w:p w14:paraId="2D7F4885"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xml:space="preserve">§2º Após o envio do ofício a que faz referência o </w:t>
      </w:r>
      <w:r w:rsidRPr="00395593">
        <w:rPr>
          <w:rFonts w:ascii="Garamond" w:hAnsi="Garamond"/>
          <w:b/>
          <w:color w:val="000000" w:themeColor="text1"/>
        </w:rPr>
        <w:t>caput</w:t>
      </w:r>
      <w:r w:rsidRPr="00395593">
        <w:rPr>
          <w:rFonts w:ascii="Garamond" w:hAnsi="Garamond"/>
          <w:color w:val="000000" w:themeColor="text1"/>
        </w:rPr>
        <w:t>, não serão admitidas alterações dos dados a serem verificados, à exceção de esclarecimentos com relação às informações previamente apresentadas pelas partes, conforme disposto nos §§ 5º e 7º do art. 175 do Decreto nº 8.058, de 2013.</w:t>
      </w:r>
    </w:p>
    <w:p w14:paraId="070DE4C5"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§3º. A apresentação dos elementos de prova deverá estar separada em:</w:t>
      </w:r>
    </w:p>
    <w:p w14:paraId="3B0E13DC" w14:textId="77777777" w:rsidR="00D061CE" w:rsidRPr="00395593" w:rsidRDefault="00D061CE" w:rsidP="003E08FA">
      <w:pPr>
        <w:shd w:val="clear" w:color="auto" w:fill="FFFFFF"/>
        <w:spacing w:before="240"/>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I - esclarecimentos que importem ajustes pontuais, nos termos do §7º do art. 175 do Decreto nº 8.058, de 2013, nos dados previamente já reportados pela parte, que deverão ser apresentados acompanhados da retificação de dados, de explicação pormenorizada e de justificativa pela qual se consistem em ajustes pontuais; e</w:t>
      </w:r>
    </w:p>
    <w:p w14:paraId="261CC4E7" w14:textId="77777777" w:rsidR="00D061CE" w:rsidRPr="00395593" w:rsidRDefault="00D061CE" w:rsidP="003E08FA">
      <w:pPr>
        <w:shd w:val="clear" w:color="auto" w:fill="FFFFFF"/>
        <w:spacing w:before="240"/>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 xml:space="preserve">II - elementos de prova e demais esclarecimentos com relação a informações previamente apresentadas pelas partes, conforme solicitadas na comunicação objeto do </w:t>
      </w:r>
      <w:r w:rsidRPr="00395593">
        <w:rPr>
          <w:rFonts w:ascii="Garamond" w:hAnsi="Garamond"/>
          <w:b/>
          <w:color w:val="000000" w:themeColor="text1"/>
          <w:sz w:val="24"/>
          <w:szCs w:val="24"/>
        </w:rPr>
        <w:t>caput</w:t>
      </w:r>
      <w:r w:rsidRPr="00395593">
        <w:rPr>
          <w:rFonts w:ascii="Garamond" w:hAnsi="Garamond"/>
          <w:color w:val="000000" w:themeColor="text1"/>
          <w:sz w:val="24"/>
          <w:szCs w:val="24"/>
        </w:rPr>
        <w:t xml:space="preserve">. </w:t>
      </w:r>
    </w:p>
    <w:p w14:paraId="38BA8D90"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§4º A SDCOM realizará análise sobre a explicação pormenorizada e a justificativa mencionadas no inciso I do §3º de maneira a constatar se consistem em ajustes pontuais.</w:t>
      </w:r>
    </w:p>
    <w:p w14:paraId="67D59744"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§5º O prazo para o protocolo de resposta ao ofício de solicitação de elementos de prova será de 10 (dez) dias contados da data da ciência da solicitação, prorrogável uma vez por até 10 (dez) dias a depender dos prazos do processo e mediante solicitação devidamente fundamentada.</w:t>
      </w:r>
    </w:p>
    <w:p w14:paraId="0818F043"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61. As partes interessadas poderão solicitar reunião para esclarecer dúvidas quanto ao teor do ofício de solicitação de elementos de prova.</w:t>
      </w:r>
    </w:p>
    <w:p w14:paraId="3FC5E4AD"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 xml:space="preserve">§1º A realização da reunião a que faz referência o </w:t>
      </w:r>
      <w:r w:rsidRPr="00395593">
        <w:rPr>
          <w:rFonts w:ascii="Garamond" w:hAnsi="Garamond"/>
          <w:b/>
          <w:color w:val="000000" w:themeColor="text1"/>
        </w:rPr>
        <w:t xml:space="preserve">caput </w:t>
      </w:r>
      <w:r w:rsidRPr="00395593">
        <w:rPr>
          <w:rFonts w:ascii="Garamond" w:hAnsi="Garamond"/>
          <w:color w:val="000000" w:themeColor="text1"/>
        </w:rPr>
        <w:t>dependerá da disponibilidade dos técnicos da SDCOM.</w:t>
      </w:r>
    </w:p>
    <w:p w14:paraId="25E28C61"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§2º A parte interessada deverá indicar na solicitação os itens do ofício em relação aos quais há necessidade de esclarecimento.</w:t>
      </w:r>
    </w:p>
    <w:p w14:paraId="7F301C4F" w14:textId="77777777" w:rsidR="00D061CE" w:rsidRPr="00395593" w:rsidRDefault="00D061CE" w:rsidP="003E08FA">
      <w:pPr>
        <w:shd w:val="clear" w:color="auto" w:fill="FFFFFF"/>
        <w:ind w:firstLineChars="100" w:firstLine="240"/>
        <w:jc w:val="both"/>
        <w:rPr>
          <w:rFonts w:ascii="Garamond" w:hAnsi="Garamond"/>
          <w:color w:val="000000" w:themeColor="text1"/>
          <w:sz w:val="24"/>
          <w:szCs w:val="24"/>
        </w:rPr>
      </w:pPr>
      <w:r w:rsidRPr="00395593">
        <w:rPr>
          <w:rFonts w:ascii="Garamond" w:hAnsi="Garamond"/>
          <w:color w:val="000000" w:themeColor="text1"/>
          <w:sz w:val="24"/>
          <w:szCs w:val="24"/>
        </w:rPr>
        <w:t xml:space="preserve">§3º A realização da reunião a que se refere o </w:t>
      </w:r>
      <w:r w:rsidRPr="00395593">
        <w:rPr>
          <w:rFonts w:ascii="Garamond" w:hAnsi="Garamond"/>
          <w:b/>
          <w:color w:val="000000" w:themeColor="text1"/>
          <w:sz w:val="24"/>
          <w:szCs w:val="24"/>
        </w:rPr>
        <w:t>caput</w:t>
      </w:r>
      <w:r w:rsidRPr="00395593">
        <w:rPr>
          <w:rFonts w:ascii="Garamond" w:hAnsi="Garamond"/>
          <w:color w:val="000000" w:themeColor="text1"/>
          <w:sz w:val="24"/>
          <w:szCs w:val="24"/>
        </w:rPr>
        <w:t xml:space="preserve"> não justificará a prorrogação do prazo previsto no §5º do art. 60.</w:t>
      </w:r>
    </w:p>
    <w:p w14:paraId="73BAEFF1"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Art. 62. É imprescindível que as partes interessadas submetam suas informações da forma mais completa, clara e precisa possível, atendendo a todos os requisitos e solicitações de dados constantes dos questionários e de outras comunicações enviados pela SDCOM.</w:t>
      </w:r>
    </w:p>
    <w:p w14:paraId="6593EA75" w14:textId="77777777" w:rsidR="00D061CE" w:rsidRPr="00395593" w:rsidRDefault="00D061CE" w:rsidP="003E08FA">
      <w:pPr>
        <w:pStyle w:val="textojustificadorecuoprimeiralinha"/>
        <w:spacing w:before="0" w:beforeAutospacing="0" w:after="120" w:afterAutospacing="0"/>
        <w:ind w:firstLineChars="100" w:firstLine="240"/>
        <w:jc w:val="both"/>
        <w:rPr>
          <w:rFonts w:ascii="Garamond" w:hAnsi="Garamond"/>
          <w:color w:val="000000" w:themeColor="text1"/>
        </w:rPr>
      </w:pPr>
      <w:r w:rsidRPr="00395593">
        <w:rPr>
          <w:rFonts w:ascii="Garamond" w:hAnsi="Garamond"/>
          <w:color w:val="000000" w:themeColor="text1"/>
        </w:rPr>
        <w:t>Parágrafo único. As informações apresentadas pelas partes interessadas devem estar acompanhadas de suas respectivas comprovações, justificativas, fontes, memórias de cálculo e metodologias utilizadas, bem como das planilhas e documentos auxiliares que eventualmente tenham sido utilizadas na elaboração dessas informações.</w:t>
      </w:r>
    </w:p>
    <w:p w14:paraId="769678B8"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63. Caso não haja necessidade de esclarecimentos adicionais à resposta de parte interessada ao ofício de solicitação de elementos de prova protocolada no prazo previsto no §5º do art. 60, a SDCOM registrará no processo o encerramento do procedimento de verificação.</w:t>
      </w:r>
    </w:p>
    <w:p w14:paraId="05A23278"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64. Caso sejam necessários esclarecimentos adicionais após o recebimento de resposta ao ofício de solicitação de elementos de prova, a SDCOM enviará ofício solicitando reunião de esclarecimentos com a parte interessada, o qual conterá indicação dos assuntos a serem tratados na reunião.</w:t>
      </w:r>
    </w:p>
    <w:p w14:paraId="3A76D061"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 xml:space="preserve">§1º O objetivo da reunião prevista no </w:t>
      </w:r>
      <w:r w:rsidRPr="00395593">
        <w:rPr>
          <w:rFonts w:ascii="Garamond" w:hAnsi="Garamond"/>
          <w:b/>
          <w:color w:val="000000" w:themeColor="text1"/>
        </w:rPr>
        <w:t>caput</w:t>
      </w:r>
      <w:r w:rsidRPr="00395593">
        <w:rPr>
          <w:rFonts w:ascii="Garamond" w:hAnsi="Garamond"/>
          <w:color w:val="000000" w:themeColor="text1"/>
        </w:rPr>
        <w:t xml:space="preserve"> limita-se à apresentação pela parte interessada de esclarecimentos adicionais às informações submetidas em resposta ao ofício de solicitação de elementos de prova, não sendo permitida a apresentação de novas informações nem a alteração das informações previamente protocoladas pela parte em questão.</w:t>
      </w:r>
    </w:p>
    <w:p w14:paraId="7B24E836"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§2º Os esclarecimentos adicionais apresentados pela parte interessada durante a reunião somente serão considerados pela SDCOM caso sejam reproduzidos por escrito e protocolados nos autos do processo no prazo de 2 (dois) dias úteis após a realização da reunião e deverão limitar-se aos esclarecimentos apresentados na referida reunião.</w:t>
      </w:r>
    </w:p>
    <w:p w14:paraId="51ED4AB0"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§3º Os esclarecimentos adicionais protocolados pela parte interessada serão analisados pela SDCOM na forma prevista no §2º deste artigo.</w:t>
      </w:r>
    </w:p>
    <w:p w14:paraId="17573182"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§4º Caso tais esclarecimentos sejam considerados satisfatórios, a SDCOM incluirá registro de encerramento do procedimento de verificação nos autos do processo.</w:t>
      </w:r>
    </w:p>
    <w:p w14:paraId="07130D77"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65. Caso a SDCOM observe que as informações apresentadas por peticionárias demandem informações complementares, correções ou ajustes significativos, as respectivas petições poderão ser indeferidas, nos termos do § 2º do art. 42 do Decreto nº 8.058, de 2013.</w:t>
      </w:r>
    </w:p>
    <w:p w14:paraId="00F83B6B"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b/>
          <w:color w:val="000000" w:themeColor="text1"/>
        </w:rPr>
      </w:pPr>
      <w:r w:rsidRPr="00395593">
        <w:rPr>
          <w:rFonts w:ascii="Garamond" w:hAnsi="Garamond"/>
          <w:color w:val="000000" w:themeColor="text1"/>
        </w:rPr>
        <w:t xml:space="preserve">Art. 66. Caso a SDCOM constate que os dados e informações apresentados pela peticionária não permitam a comprovação da existência de dano à indústria doméstica causado por prática desleal de comércio, o correspondente processo administrativo poderá ser encerrado, nos termos do inciso I do art. 74 do citado decreto. </w:t>
      </w:r>
    </w:p>
    <w:p w14:paraId="4E0C194A"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67. Caso a SDCOM verifique que as demais partes interessadas negaram acesso a informação necessária, não a forneceram tempestivamente, criaram obstáculos à investigação ou não apresentaram os dados e as informações solicitados pela Subsecretaria, devidamente acompanhados dos respectivos elementos de prova, será enviado ofício à parte interessada informando que as determinações poderão ser total ou parcialmente elaboradas com base na melhor informação disponível, nos termos dos arts. 179 a 184 do Decreto nº 8.058, de 2013.</w:t>
      </w:r>
    </w:p>
    <w:p w14:paraId="4133062C"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68. A eventual realização de verificações in loco para determinadas partes interessadas e de verificações de elementos de prova com base no art. 59 para outras partes interessadas de uma mesma investigação ou revisão não será considerada como tratamento favorável ou desfavorável para uma, em detrimento da outra.</w:t>
      </w:r>
    </w:p>
    <w:p w14:paraId="5D80A691" w14:textId="77777777" w:rsidR="00D061CE" w:rsidRPr="00395593" w:rsidRDefault="00D061CE" w:rsidP="003E08FA">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69. As adaptações temporárias de procedimentos apresentadas neste capítulo aplicar-se-ão, no que couber, a investigações ou revisões de existência de subsídios e de salvaguardas globais ou bilaterais conduzidas pelo Brasil.</w:t>
      </w:r>
    </w:p>
    <w:p w14:paraId="2B82E7B0" w14:textId="77777777" w:rsidR="00D061CE" w:rsidRPr="00395593" w:rsidRDefault="00D061CE" w:rsidP="003775F1">
      <w:pPr>
        <w:shd w:val="clear" w:color="auto" w:fill="FFFFFF"/>
        <w:ind w:firstLine="1200"/>
        <w:jc w:val="both"/>
        <w:rPr>
          <w:rFonts w:ascii="Garamond" w:hAnsi="Garamond"/>
        </w:rPr>
      </w:pPr>
      <w:r w:rsidRPr="00395593">
        <w:rPr>
          <w:rFonts w:ascii="Garamond" w:hAnsi="Garamond"/>
        </w:rPr>
        <w:t xml:space="preserve"> </w:t>
      </w:r>
    </w:p>
    <w:p w14:paraId="57FF0AB3" w14:textId="10676946" w:rsidR="00D061CE" w:rsidRPr="00F26A10" w:rsidRDefault="00D061CE" w:rsidP="00F26A10">
      <w:pPr>
        <w:pStyle w:val="Corpodetexto"/>
        <w:jc w:val="center"/>
        <w:rPr>
          <w:rFonts w:ascii="Garamond" w:hAnsi="Garamond"/>
          <w:b/>
          <w:color w:val="000000" w:themeColor="text1"/>
        </w:rPr>
      </w:pPr>
      <w:bookmarkStart w:id="129" w:name="_khpdt62sjqym" w:colFirst="0" w:colLast="0"/>
      <w:bookmarkEnd w:id="129"/>
      <w:r w:rsidRPr="00F26A10">
        <w:rPr>
          <w:rFonts w:ascii="Garamond" w:hAnsi="Garamond"/>
          <w:b/>
        </w:rPr>
        <w:t>CAPÍTULO VII</w:t>
      </w:r>
    </w:p>
    <w:p w14:paraId="6E4A64F8" w14:textId="77777777" w:rsidR="00D061CE" w:rsidRDefault="00D061CE" w:rsidP="00F26A10">
      <w:pPr>
        <w:pStyle w:val="Corpodetexto"/>
        <w:jc w:val="center"/>
        <w:rPr>
          <w:rFonts w:ascii="Garamond" w:hAnsi="Garamond"/>
          <w:b/>
          <w:color w:val="000000" w:themeColor="text1"/>
        </w:rPr>
      </w:pPr>
      <w:bookmarkStart w:id="130" w:name="_z2ect6hhgwfc" w:colFirst="0" w:colLast="0"/>
      <w:bookmarkEnd w:id="130"/>
      <w:r w:rsidRPr="00F26A10">
        <w:rPr>
          <w:rFonts w:ascii="Garamond" w:hAnsi="Garamond"/>
          <w:b/>
        </w:rPr>
        <w:t>DISPOSIÇÕES</w:t>
      </w:r>
      <w:r w:rsidRPr="00F26A10">
        <w:rPr>
          <w:rFonts w:ascii="Garamond" w:hAnsi="Garamond"/>
          <w:b/>
          <w:color w:val="000000" w:themeColor="text1"/>
        </w:rPr>
        <w:t xml:space="preserve"> FINAIS</w:t>
      </w:r>
    </w:p>
    <w:p w14:paraId="0A2AE890" w14:textId="77777777" w:rsidR="007B6E57" w:rsidRPr="00F26A10" w:rsidRDefault="007B6E57" w:rsidP="00F26A10">
      <w:pPr>
        <w:pStyle w:val="Corpodetexto"/>
        <w:jc w:val="center"/>
        <w:rPr>
          <w:rFonts w:ascii="Garamond" w:hAnsi="Garamond"/>
          <w:b/>
          <w:color w:val="000000" w:themeColor="text1"/>
        </w:rPr>
      </w:pPr>
    </w:p>
    <w:p w14:paraId="0B2C6501" w14:textId="54E32DFE" w:rsidR="00D061CE" w:rsidRDefault="00D061CE" w:rsidP="00356AC0">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70. Ficam revogadas:</w:t>
      </w:r>
    </w:p>
    <w:p w14:paraId="2465BAA7" w14:textId="1B0F2412" w:rsidR="00CE211F" w:rsidRPr="00395593" w:rsidRDefault="00107C9A" w:rsidP="005B7FCD">
      <w:pPr>
        <w:tabs>
          <w:tab w:val="left" w:pos="1035"/>
        </w:tabs>
        <w:spacing w:after="0" w:line="240" w:lineRule="auto"/>
        <w:ind w:firstLine="567"/>
        <w:jc w:val="both"/>
        <w:rPr>
          <w:rFonts w:ascii="Garamond" w:hAnsi="Garamond"/>
          <w:color w:val="000000" w:themeColor="text1"/>
          <w:sz w:val="24"/>
          <w:szCs w:val="24"/>
        </w:rPr>
      </w:pPr>
      <w:r w:rsidRPr="00395593">
        <w:rPr>
          <w:rFonts w:ascii="Garamond" w:hAnsi="Garamond"/>
        </w:rPr>
        <w:t xml:space="preserve">I </w:t>
      </w:r>
      <w:r w:rsidR="00CE211F" w:rsidRPr="00395593">
        <w:rPr>
          <w:rFonts w:ascii="Garamond" w:hAnsi="Garamond"/>
          <w:color w:val="000000" w:themeColor="text1"/>
          <w:sz w:val="24"/>
          <w:szCs w:val="24"/>
        </w:rPr>
        <w:t>- a Portaria SECEX nº 41, de 27 de julho de 2018, publicada no Diário O</w:t>
      </w:r>
      <w:r w:rsidR="00CE211F" w:rsidRPr="00395593">
        <w:rPr>
          <w:rFonts w:ascii="Garamond" w:hAnsi="Garamond"/>
          <w:color w:val="000000" w:themeColor="text1"/>
          <w:sz w:val="24"/>
          <w:szCs w:val="24"/>
          <w:lang w:val="en-US"/>
        </w:rPr>
        <w:t>ﬁ</w:t>
      </w:r>
      <w:r w:rsidR="00CE211F" w:rsidRPr="00395593">
        <w:rPr>
          <w:rFonts w:ascii="Garamond" w:hAnsi="Garamond"/>
          <w:color w:val="000000" w:themeColor="text1"/>
          <w:sz w:val="24"/>
          <w:szCs w:val="24"/>
        </w:rPr>
        <w:t>cial da União de 31 de julho de 2018;</w:t>
      </w:r>
    </w:p>
    <w:p w14:paraId="6DB664F1" w14:textId="6C1D531B" w:rsidR="00CE211F" w:rsidRPr="00395593" w:rsidRDefault="00107C9A" w:rsidP="005B7FCD">
      <w:pPr>
        <w:tabs>
          <w:tab w:val="left" w:pos="1035"/>
        </w:tabs>
        <w:spacing w:after="0" w:line="240" w:lineRule="auto"/>
        <w:ind w:firstLine="567"/>
        <w:jc w:val="both"/>
        <w:rPr>
          <w:rFonts w:ascii="Garamond" w:hAnsi="Garamond"/>
          <w:color w:val="000000" w:themeColor="text1"/>
          <w:sz w:val="24"/>
          <w:szCs w:val="24"/>
        </w:rPr>
      </w:pPr>
      <w:r w:rsidRPr="00395593">
        <w:rPr>
          <w:rFonts w:ascii="Garamond" w:hAnsi="Garamond"/>
          <w:color w:val="000000" w:themeColor="text1"/>
          <w:sz w:val="24"/>
          <w:szCs w:val="24"/>
        </w:rPr>
        <w:t xml:space="preserve">II </w:t>
      </w:r>
      <w:r w:rsidR="00CE211F" w:rsidRPr="00395593">
        <w:rPr>
          <w:rFonts w:ascii="Garamond" w:hAnsi="Garamond"/>
          <w:color w:val="000000" w:themeColor="text1"/>
          <w:sz w:val="24"/>
          <w:szCs w:val="24"/>
        </w:rPr>
        <w:t>- a Portaria SECEX nº 21, de 30 de março de 2020, publicada no Diário O</w:t>
      </w:r>
      <w:r w:rsidR="00CE211F" w:rsidRPr="00395593">
        <w:rPr>
          <w:rFonts w:ascii="Garamond" w:hAnsi="Garamond"/>
          <w:color w:val="000000" w:themeColor="text1"/>
          <w:sz w:val="24"/>
          <w:szCs w:val="24"/>
          <w:lang w:val="en-US"/>
        </w:rPr>
        <w:t>ﬁ</w:t>
      </w:r>
      <w:r w:rsidR="00CE211F" w:rsidRPr="00395593">
        <w:rPr>
          <w:rFonts w:ascii="Garamond" w:hAnsi="Garamond"/>
          <w:color w:val="000000" w:themeColor="text1"/>
          <w:sz w:val="24"/>
          <w:szCs w:val="24"/>
        </w:rPr>
        <w:t>cial da União de 31 de março de 2020;</w:t>
      </w:r>
    </w:p>
    <w:p w14:paraId="094B6E4F" w14:textId="5A8763EC" w:rsidR="00CE211F" w:rsidRPr="00395593" w:rsidRDefault="00107C9A" w:rsidP="005B7FCD">
      <w:pPr>
        <w:tabs>
          <w:tab w:val="left" w:pos="1035"/>
        </w:tabs>
        <w:spacing w:after="0" w:line="240" w:lineRule="auto"/>
        <w:ind w:firstLine="567"/>
        <w:jc w:val="both"/>
        <w:rPr>
          <w:rFonts w:ascii="Garamond" w:hAnsi="Garamond"/>
          <w:color w:val="000000" w:themeColor="text1"/>
          <w:sz w:val="24"/>
          <w:szCs w:val="24"/>
        </w:rPr>
      </w:pPr>
      <w:r w:rsidRPr="00395593">
        <w:rPr>
          <w:rFonts w:ascii="Garamond" w:hAnsi="Garamond"/>
          <w:color w:val="000000" w:themeColor="text1"/>
          <w:sz w:val="24"/>
          <w:szCs w:val="24"/>
        </w:rPr>
        <w:t xml:space="preserve">III </w:t>
      </w:r>
      <w:r w:rsidR="00CE211F" w:rsidRPr="00395593">
        <w:rPr>
          <w:rFonts w:ascii="Garamond" w:hAnsi="Garamond"/>
          <w:color w:val="000000" w:themeColor="text1"/>
          <w:sz w:val="24"/>
          <w:szCs w:val="24"/>
        </w:rPr>
        <w:t>- a Portaria SECEX, nº 103, de 27 de julho de 2021, publicada no Diário O</w:t>
      </w:r>
      <w:r w:rsidR="00CE211F" w:rsidRPr="00395593">
        <w:rPr>
          <w:rFonts w:ascii="Garamond" w:hAnsi="Garamond"/>
          <w:color w:val="000000" w:themeColor="text1"/>
          <w:sz w:val="24"/>
          <w:szCs w:val="24"/>
          <w:lang w:val="en-US"/>
        </w:rPr>
        <w:t>ﬁ</w:t>
      </w:r>
      <w:r w:rsidR="00CE211F" w:rsidRPr="00395593">
        <w:rPr>
          <w:rFonts w:ascii="Garamond" w:hAnsi="Garamond"/>
          <w:color w:val="000000" w:themeColor="text1"/>
          <w:sz w:val="24"/>
          <w:szCs w:val="24"/>
        </w:rPr>
        <w:t>cial da União de 28 de julho de 2021;</w:t>
      </w:r>
    </w:p>
    <w:p w14:paraId="2DD390CF" w14:textId="00B985CB" w:rsidR="00CE211F" w:rsidRPr="00395593" w:rsidRDefault="00107C9A" w:rsidP="005B7FCD">
      <w:pPr>
        <w:tabs>
          <w:tab w:val="left" w:pos="1035"/>
        </w:tabs>
        <w:spacing w:after="0" w:line="240" w:lineRule="auto"/>
        <w:ind w:firstLine="567"/>
        <w:jc w:val="both"/>
        <w:rPr>
          <w:rFonts w:ascii="Garamond" w:hAnsi="Garamond"/>
          <w:color w:val="000000" w:themeColor="text1"/>
          <w:sz w:val="24"/>
          <w:szCs w:val="24"/>
        </w:rPr>
      </w:pPr>
      <w:r w:rsidRPr="00395593">
        <w:rPr>
          <w:rFonts w:ascii="Garamond" w:hAnsi="Garamond"/>
          <w:color w:val="000000" w:themeColor="text1"/>
          <w:sz w:val="24"/>
          <w:szCs w:val="24"/>
        </w:rPr>
        <w:t xml:space="preserve">IV </w:t>
      </w:r>
      <w:r w:rsidR="00CE211F" w:rsidRPr="00395593">
        <w:rPr>
          <w:rFonts w:ascii="Garamond" w:hAnsi="Garamond"/>
          <w:color w:val="000000" w:themeColor="text1"/>
          <w:sz w:val="24"/>
          <w:szCs w:val="24"/>
        </w:rPr>
        <w:t>- a Instrução Normativa SECEX nº 3 de, de 22 de outubro de 2021, republicada no Diário O</w:t>
      </w:r>
      <w:r w:rsidR="00CE211F" w:rsidRPr="00395593">
        <w:rPr>
          <w:rFonts w:ascii="Garamond" w:hAnsi="Garamond"/>
          <w:color w:val="000000" w:themeColor="text1"/>
          <w:sz w:val="24"/>
          <w:szCs w:val="24"/>
          <w:lang w:val="en-US"/>
        </w:rPr>
        <w:t>ﬁ</w:t>
      </w:r>
      <w:r w:rsidR="00CE211F" w:rsidRPr="00395593">
        <w:rPr>
          <w:rFonts w:ascii="Garamond" w:hAnsi="Garamond"/>
          <w:color w:val="000000" w:themeColor="text1"/>
          <w:sz w:val="24"/>
          <w:szCs w:val="24"/>
        </w:rPr>
        <w:t>cial da União de 3 de novembro de 2021; e</w:t>
      </w:r>
    </w:p>
    <w:p w14:paraId="28673350" w14:textId="24790947" w:rsidR="00CE211F" w:rsidRDefault="00107C9A" w:rsidP="005B7FCD">
      <w:pPr>
        <w:tabs>
          <w:tab w:val="left" w:pos="1035"/>
        </w:tabs>
        <w:spacing w:after="0" w:line="240" w:lineRule="auto"/>
        <w:ind w:firstLine="567"/>
        <w:jc w:val="both"/>
        <w:rPr>
          <w:rFonts w:ascii="Garamond" w:hAnsi="Garamond"/>
          <w:color w:val="000000" w:themeColor="text1"/>
          <w:sz w:val="24"/>
          <w:szCs w:val="24"/>
        </w:rPr>
      </w:pPr>
      <w:r w:rsidRPr="00395593">
        <w:rPr>
          <w:rFonts w:ascii="Garamond" w:hAnsi="Garamond"/>
          <w:color w:val="000000" w:themeColor="text1"/>
          <w:sz w:val="24"/>
          <w:szCs w:val="24"/>
        </w:rPr>
        <w:t xml:space="preserve">V </w:t>
      </w:r>
      <w:r w:rsidR="00CE211F" w:rsidRPr="00395593">
        <w:rPr>
          <w:rFonts w:ascii="Garamond" w:hAnsi="Garamond"/>
          <w:color w:val="000000" w:themeColor="text1"/>
          <w:sz w:val="24"/>
          <w:szCs w:val="24"/>
        </w:rPr>
        <w:t>- a Portaria SECEX nº 150, de 26 de novembro de 2021, publicada no Diário O</w:t>
      </w:r>
      <w:r w:rsidR="00CE211F" w:rsidRPr="00395593">
        <w:rPr>
          <w:rFonts w:ascii="Garamond" w:hAnsi="Garamond"/>
          <w:color w:val="000000" w:themeColor="text1"/>
          <w:sz w:val="24"/>
          <w:szCs w:val="24"/>
          <w:lang w:val="en-US"/>
        </w:rPr>
        <w:t>ﬁ</w:t>
      </w:r>
      <w:r w:rsidR="00CE211F" w:rsidRPr="00395593">
        <w:rPr>
          <w:rFonts w:ascii="Garamond" w:hAnsi="Garamond"/>
          <w:color w:val="000000" w:themeColor="text1"/>
          <w:sz w:val="24"/>
          <w:szCs w:val="24"/>
        </w:rPr>
        <w:t>cial da União de 29 de novembro de 2021.</w:t>
      </w:r>
    </w:p>
    <w:p w14:paraId="0CA308AE" w14:textId="77777777" w:rsidR="007B6E57" w:rsidRDefault="007B6E57" w:rsidP="005B7FCD">
      <w:pPr>
        <w:tabs>
          <w:tab w:val="left" w:pos="1035"/>
        </w:tabs>
        <w:spacing w:after="0" w:line="240" w:lineRule="auto"/>
        <w:ind w:firstLine="567"/>
        <w:jc w:val="both"/>
        <w:rPr>
          <w:rFonts w:ascii="Garamond" w:hAnsi="Garamond"/>
          <w:color w:val="000000" w:themeColor="text1"/>
          <w:sz w:val="24"/>
          <w:szCs w:val="24"/>
        </w:rPr>
      </w:pPr>
    </w:p>
    <w:p w14:paraId="2C6B11AC" w14:textId="77777777" w:rsidR="00CE211F" w:rsidRPr="00395593" w:rsidRDefault="00CE211F" w:rsidP="005B7FCD">
      <w:pPr>
        <w:pStyle w:val="textojustificadorecuoprimeiralinha"/>
        <w:spacing w:before="0" w:beforeAutospacing="0" w:after="120" w:afterAutospacing="0"/>
        <w:ind w:firstLine="567"/>
        <w:jc w:val="both"/>
        <w:rPr>
          <w:rFonts w:ascii="Garamond" w:hAnsi="Garamond"/>
          <w:color w:val="000000" w:themeColor="text1"/>
        </w:rPr>
      </w:pPr>
      <w:r w:rsidRPr="00395593">
        <w:rPr>
          <w:rFonts w:ascii="Garamond" w:hAnsi="Garamond"/>
          <w:color w:val="000000" w:themeColor="text1"/>
        </w:rPr>
        <w:t>Art. 71. Esta Portaria entra em vigor em 01 de fevereiro de 2022.</w:t>
      </w:r>
    </w:p>
    <w:p w14:paraId="50198E32" w14:textId="2291B1D4" w:rsidR="00CE211F" w:rsidRPr="00395593" w:rsidRDefault="00CE211F" w:rsidP="00CE211F">
      <w:pPr>
        <w:spacing w:after="120"/>
        <w:jc w:val="center"/>
        <w:rPr>
          <w:rFonts w:ascii="Garamond" w:hAnsi="Garamond"/>
          <w:color w:val="000000" w:themeColor="text1"/>
          <w:sz w:val="24"/>
          <w:szCs w:val="24"/>
        </w:rPr>
      </w:pPr>
      <w:r w:rsidRPr="005C5CBD">
        <w:rPr>
          <w:rFonts w:ascii="Garamond" w:hAnsi="Garamond" w:cs="Rawline-Bold"/>
          <w:bCs/>
          <w:color w:val="162937"/>
          <w:sz w:val="24"/>
          <w:szCs w:val="24"/>
        </w:rPr>
        <w:t>GLENDA LUSTOSA</w:t>
      </w:r>
    </w:p>
    <w:p w14:paraId="5CD180AC" w14:textId="77777777" w:rsidR="004C74AB" w:rsidRPr="00395593" w:rsidRDefault="004C74AB">
      <w:pPr>
        <w:rPr>
          <w:rFonts w:ascii="Garamond" w:hAnsi="Garamond"/>
          <w:color w:val="000000" w:themeColor="text1"/>
          <w:sz w:val="24"/>
          <w:szCs w:val="24"/>
        </w:rPr>
      </w:pPr>
      <w:r w:rsidRPr="00395593">
        <w:rPr>
          <w:rFonts w:ascii="Garamond" w:hAnsi="Garamond"/>
          <w:color w:val="000000" w:themeColor="text1"/>
          <w:sz w:val="24"/>
          <w:szCs w:val="24"/>
        </w:rPr>
        <w:br w:type="page"/>
      </w:r>
    </w:p>
    <w:p w14:paraId="58A41C6D" w14:textId="77777777" w:rsidR="00D061CE" w:rsidRPr="00395593" w:rsidRDefault="00D061CE" w:rsidP="003775F1">
      <w:pPr>
        <w:spacing w:after="120"/>
        <w:jc w:val="both"/>
        <w:rPr>
          <w:rFonts w:ascii="Garamond" w:hAnsi="Garamond"/>
          <w:color w:val="000000" w:themeColor="text1"/>
          <w:sz w:val="24"/>
          <w:szCs w:val="24"/>
        </w:rPr>
      </w:pPr>
    </w:p>
    <w:p w14:paraId="3136027E" w14:textId="14AF9FDB" w:rsidR="00AF5004" w:rsidRPr="00395593" w:rsidRDefault="00112608" w:rsidP="003775F1">
      <w:pPr>
        <w:jc w:val="both"/>
        <w:rPr>
          <w:rFonts w:ascii="Garamond" w:hAnsi="Garamond"/>
        </w:rPr>
      </w:pPr>
      <w:r>
        <w:rPr>
          <w:rFonts w:ascii="Garamond" w:hAnsi="Garamond"/>
          <w:noProof/>
          <w:lang w:eastAsia="pt-BR"/>
        </w:rPr>
        <w:drawing>
          <wp:inline distT="0" distB="0" distL="0" distR="0" wp14:anchorId="309452C0" wp14:editId="51CCB4CA">
            <wp:extent cx="5760720" cy="8148320"/>
            <wp:effectExtent l="0" t="0" r="0" b="508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RTE B.pn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268FDBE3" w14:textId="62B0B334" w:rsidR="00847E4D" w:rsidRPr="00B1330F" w:rsidRDefault="00847E4D" w:rsidP="00B1330F">
      <w:pPr>
        <w:jc w:val="center"/>
        <w:outlineLvl w:val="0"/>
        <w:rPr>
          <w:rFonts w:ascii="Garamond" w:hAnsi="Garamond"/>
        </w:rPr>
      </w:pPr>
      <w:bookmarkStart w:id="131" w:name="_Toc96003807"/>
      <w:r w:rsidRPr="001212FB">
        <w:rPr>
          <w:rFonts w:ascii="Garamond" w:hAnsi="Garamond" w:cstheme="majorHAnsi"/>
          <w:b/>
          <w:smallCaps/>
          <w:sz w:val="28"/>
          <w:szCs w:val="28"/>
        </w:rPr>
        <w:t xml:space="preserve">Parte </w:t>
      </w:r>
      <w:r w:rsidR="00B1330F">
        <w:rPr>
          <w:rFonts w:ascii="Garamond" w:hAnsi="Garamond" w:cstheme="majorHAnsi"/>
          <w:b/>
          <w:smallCaps/>
          <w:sz w:val="28"/>
          <w:szCs w:val="28"/>
        </w:rPr>
        <w:t>b</w:t>
      </w:r>
      <w:r w:rsidRPr="001212FB">
        <w:rPr>
          <w:rFonts w:ascii="Garamond" w:hAnsi="Garamond" w:cstheme="majorHAnsi"/>
          <w:b/>
          <w:smallCaps/>
          <w:sz w:val="28"/>
          <w:szCs w:val="28"/>
        </w:rPr>
        <w:t xml:space="preserve"> – Normas </w:t>
      </w:r>
      <w:r w:rsidR="00B1330F">
        <w:rPr>
          <w:rFonts w:ascii="Garamond" w:hAnsi="Garamond" w:cstheme="majorHAnsi"/>
          <w:b/>
          <w:smallCaps/>
          <w:sz w:val="28"/>
          <w:szCs w:val="28"/>
        </w:rPr>
        <w:t>Específicas de Antidumping</w:t>
      </w:r>
      <w:bookmarkEnd w:id="131"/>
    </w:p>
    <w:p w14:paraId="7448ED3C" w14:textId="0EEFD493" w:rsidR="00B73003" w:rsidRPr="0013285C" w:rsidRDefault="00983075" w:rsidP="00B1330F">
      <w:pPr>
        <w:pStyle w:val="Ttulo"/>
        <w:outlineLvl w:val="1"/>
      </w:pPr>
      <w:bookmarkStart w:id="132" w:name="_Toc96003808"/>
      <w:r w:rsidRPr="00395593">
        <w:t>Acordo</w:t>
      </w:r>
      <w:r w:rsidR="0013285C" w:rsidRPr="00395593">
        <w:t xml:space="preserve"> </w:t>
      </w:r>
      <w:r w:rsidRPr="00395593">
        <w:t>sobre a</w:t>
      </w:r>
      <w:r w:rsidR="0013285C" w:rsidRPr="00395593">
        <w:t xml:space="preserve"> </w:t>
      </w:r>
      <w:r w:rsidRPr="00395593">
        <w:t>implementação do artigo VI</w:t>
      </w:r>
      <w:r w:rsidR="0013285C" w:rsidRPr="00395593">
        <w:t xml:space="preserve"> </w:t>
      </w:r>
      <w:r w:rsidRPr="00395593">
        <w:t>do</w:t>
      </w:r>
      <w:r w:rsidR="0013285C" w:rsidRPr="00395593">
        <w:t xml:space="preserve"> </w:t>
      </w:r>
      <w:r w:rsidRPr="00395593">
        <w:t>acordo geral sobre tarifas e comércio 1994</w:t>
      </w:r>
      <w:r w:rsidR="0085691D" w:rsidRPr="00395593">
        <w:t xml:space="preserve"> – Acordo Antidumping</w:t>
      </w:r>
      <w:bookmarkEnd w:id="132"/>
    </w:p>
    <w:p w14:paraId="116107BB" w14:textId="67C5CAFB" w:rsidR="0013285C" w:rsidRPr="00395593" w:rsidRDefault="0013285C" w:rsidP="0013285C">
      <w:pPr>
        <w:pStyle w:val="Corpodetexto"/>
        <w:spacing w:before="7"/>
        <w:rPr>
          <w:rFonts w:ascii="Garamond" w:hAnsi="Garamond"/>
          <w:b/>
          <w:sz w:val="23"/>
        </w:rPr>
      </w:pPr>
    </w:p>
    <w:p w14:paraId="52725B7D" w14:textId="77777777" w:rsidR="0013285C" w:rsidRPr="00395593" w:rsidRDefault="0013285C" w:rsidP="0013285C">
      <w:pPr>
        <w:pStyle w:val="Corpodetexto"/>
        <w:spacing w:before="1"/>
        <w:ind w:left="102"/>
        <w:rPr>
          <w:rFonts w:ascii="Garamond" w:hAnsi="Garamond"/>
        </w:rPr>
      </w:pPr>
      <w:r w:rsidRPr="00395593">
        <w:rPr>
          <w:rFonts w:ascii="Garamond" w:hAnsi="Garamond"/>
        </w:rPr>
        <w:t>Os</w:t>
      </w:r>
      <w:r w:rsidRPr="00395593">
        <w:rPr>
          <w:rFonts w:ascii="Garamond" w:hAnsi="Garamond"/>
          <w:spacing w:val="-1"/>
        </w:rPr>
        <w:t xml:space="preserve"> </w:t>
      </w:r>
      <w:r w:rsidRPr="00395593">
        <w:rPr>
          <w:rFonts w:ascii="Garamond" w:hAnsi="Garamond"/>
        </w:rPr>
        <w:t>Membros,</w:t>
      </w:r>
      <w:r w:rsidRPr="00395593">
        <w:rPr>
          <w:rFonts w:ascii="Garamond" w:hAnsi="Garamond"/>
          <w:spacing w:val="-1"/>
        </w:rPr>
        <w:t xml:space="preserve"> </w:t>
      </w:r>
      <w:r w:rsidRPr="00395593">
        <w:rPr>
          <w:rFonts w:ascii="Garamond" w:hAnsi="Garamond"/>
        </w:rPr>
        <w:t>por</w:t>
      </w:r>
      <w:r w:rsidRPr="00395593">
        <w:rPr>
          <w:rFonts w:ascii="Garamond" w:hAnsi="Garamond"/>
          <w:spacing w:val="-1"/>
        </w:rPr>
        <w:t xml:space="preserve"> </w:t>
      </w:r>
      <w:r w:rsidRPr="00395593">
        <w:rPr>
          <w:rFonts w:ascii="Garamond" w:hAnsi="Garamond"/>
        </w:rPr>
        <w:t>este</w:t>
      </w:r>
      <w:r w:rsidRPr="00395593">
        <w:rPr>
          <w:rFonts w:ascii="Garamond" w:hAnsi="Garamond"/>
          <w:spacing w:val="-1"/>
        </w:rPr>
        <w:t xml:space="preserve"> </w:t>
      </w:r>
      <w:r w:rsidRPr="00395593">
        <w:rPr>
          <w:rFonts w:ascii="Garamond" w:hAnsi="Garamond"/>
        </w:rPr>
        <w:t>instrumento,</w:t>
      </w:r>
      <w:r w:rsidRPr="00395593">
        <w:rPr>
          <w:rFonts w:ascii="Garamond" w:hAnsi="Garamond"/>
          <w:spacing w:val="-1"/>
        </w:rPr>
        <w:t xml:space="preserve"> </w:t>
      </w:r>
      <w:r w:rsidRPr="00395593">
        <w:rPr>
          <w:rFonts w:ascii="Garamond" w:hAnsi="Garamond"/>
        </w:rPr>
        <w:t>acordam o</w:t>
      </w:r>
      <w:r w:rsidRPr="00395593">
        <w:rPr>
          <w:rFonts w:ascii="Garamond" w:hAnsi="Garamond"/>
          <w:spacing w:val="-1"/>
        </w:rPr>
        <w:t xml:space="preserve"> </w:t>
      </w:r>
      <w:r w:rsidRPr="00395593">
        <w:rPr>
          <w:rFonts w:ascii="Garamond" w:hAnsi="Garamond"/>
        </w:rPr>
        <w:t>seguinte:</w:t>
      </w:r>
    </w:p>
    <w:p w14:paraId="082C99FD" w14:textId="77777777" w:rsidR="0013285C" w:rsidRPr="00395593" w:rsidRDefault="0013285C" w:rsidP="0013285C">
      <w:pPr>
        <w:pStyle w:val="Corpodetexto"/>
        <w:rPr>
          <w:rFonts w:ascii="Garamond" w:hAnsi="Garamond"/>
          <w:sz w:val="26"/>
        </w:rPr>
      </w:pPr>
    </w:p>
    <w:p w14:paraId="321C2EA4" w14:textId="77777777" w:rsidR="0013285C" w:rsidRPr="00395593" w:rsidRDefault="0013285C" w:rsidP="0013285C">
      <w:pPr>
        <w:pStyle w:val="Corpodetexto"/>
        <w:spacing w:before="11"/>
        <w:rPr>
          <w:rFonts w:ascii="Garamond" w:hAnsi="Garamond"/>
          <w:sz w:val="21"/>
        </w:rPr>
      </w:pPr>
    </w:p>
    <w:p w14:paraId="7E361819" w14:textId="77777777" w:rsidR="0013285C" w:rsidRPr="005C5CBD" w:rsidRDefault="0013285C" w:rsidP="005F7A3B">
      <w:pPr>
        <w:pStyle w:val="Corpodetexto"/>
        <w:spacing w:line="360" w:lineRule="auto"/>
        <w:jc w:val="center"/>
        <w:rPr>
          <w:rFonts w:ascii="Garamond" w:hAnsi="Garamond"/>
          <w:b/>
        </w:rPr>
      </w:pPr>
      <w:r w:rsidRPr="005C5CBD">
        <w:rPr>
          <w:rFonts w:ascii="Garamond" w:hAnsi="Garamond"/>
          <w:b/>
        </w:rPr>
        <w:t>PARTE I</w:t>
      </w:r>
    </w:p>
    <w:p w14:paraId="42E58A5B" w14:textId="77777777" w:rsidR="00FE4A64" w:rsidRDefault="0013285C" w:rsidP="005F7A3B">
      <w:pPr>
        <w:pStyle w:val="Corpodetexto"/>
        <w:tabs>
          <w:tab w:val="left" w:pos="2505"/>
        </w:tabs>
        <w:spacing w:line="360" w:lineRule="auto"/>
        <w:jc w:val="center"/>
        <w:rPr>
          <w:rFonts w:ascii="Garamond" w:hAnsi="Garamond"/>
          <w:b/>
        </w:rPr>
      </w:pPr>
      <w:r w:rsidRPr="005C5CBD">
        <w:rPr>
          <w:rFonts w:ascii="Garamond" w:hAnsi="Garamond"/>
          <w:b/>
        </w:rPr>
        <w:t xml:space="preserve">Artigo 1 </w:t>
      </w:r>
    </w:p>
    <w:p w14:paraId="5EC8E578" w14:textId="72DDD29B" w:rsidR="0013285C" w:rsidRPr="005C5CBD" w:rsidRDefault="0013285C" w:rsidP="005F7A3B">
      <w:pPr>
        <w:pStyle w:val="Corpodetexto"/>
        <w:tabs>
          <w:tab w:val="left" w:pos="2505"/>
        </w:tabs>
        <w:spacing w:line="360" w:lineRule="auto"/>
        <w:jc w:val="center"/>
        <w:rPr>
          <w:rFonts w:ascii="Garamond" w:hAnsi="Garamond"/>
        </w:rPr>
      </w:pPr>
      <w:r w:rsidRPr="005C5CBD">
        <w:rPr>
          <w:rFonts w:ascii="Garamond" w:hAnsi="Garamond"/>
          <w:b/>
        </w:rPr>
        <w:t>Princípios</w:t>
      </w:r>
    </w:p>
    <w:p w14:paraId="7C543B6F" w14:textId="77777777" w:rsidR="005F7A3B" w:rsidRPr="005C5CBD" w:rsidRDefault="005F7A3B" w:rsidP="005F7A3B">
      <w:pPr>
        <w:pStyle w:val="Corpodetexto"/>
        <w:tabs>
          <w:tab w:val="left" w:pos="2505"/>
        </w:tabs>
        <w:rPr>
          <w:rFonts w:ascii="Garamond" w:hAnsi="Garamond"/>
        </w:rPr>
      </w:pPr>
    </w:p>
    <w:p w14:paraId="5C181604" w14:textId="7A6790CB" w:rsidR="0013285C" w:rsidRPr="00395593" w:rsidRDefault="0013285C" w:rsidP="0013285C">
      <w:pPr>
        <w:pStyle w:val="Corpodetexto"/>
        <w:ind w:left="102" w:right="116" w:firstLine="707"/>
        <w:jc w:val="both"/>
        <w:rPr>
          <w:rFonts w:ascii="Garamond" w:hAnsi="Garamond"/>
          <w:i/>
        </w:rPr>
      </w:pPr>
      <w:r w:rsidRPr="00395593">
        <w:rPr>
          <w:rFonts w:ascii="Garamond" w:hAnsi="Garamond"/>
        </w:rPr>
        <w:t>Medidas</w:t>
      </w:r>
      <w:r w:rsidRPr="00395593">
        <w:rPr>
          <w:rFonts w:ascii="Garamond" w:hAnsi="Garamond"/>
          <w:spacing w:val="1"/>
        </w:rPr>
        <w:t xml:space="preserve"> </w:t>
      </w:r>
      <w:r w:rsidRPr="00395593">
        <w:rPr>
          <w:rFonts w:ascii="Garamond" w:hAnsi="Garamond"/>
          <w:i/>
        </w:rPr>
        <w:t>anti-dumping</w:t>
      </w:r>
      <w:r w:rsidRPr="00395593">
        <w:rPr>
          <w:rFonts w:ascii="Garamond" w:hAnsi="Garamond"/>
          <w:i/>
          <w:spacing w:val="1"/>
        </w:rPr>
        <w:t xml:space="preserve"> </w:t>
      </w:r>
      <w:r w:rsidRPr="00395593">
        <w:rPr>
          <w:rFonts w:ascii="Garamond" w:hAnsi="Garamond"/>
        </w:rPr>
        <w:t>só</w:t>
      </w:r>
      <w:r w:rsidRPr="00395593">
        <w:rPr>
          <w:rFonts w:ascii="Garamond" w:hAnsi="Garamond"/>
          <w:spacing w:val="1"/>
        </w:rPr>
        <w:t xml:space="preserve"> </w:t>
      </w:r>
      <w:r w:rsidRPr="00395593">
        <w:rPr>
          <w:rFonts w:ascii="Garamond" w:hAnsi="Garamond"/>
        </w:rPr>
        <w:t>poderão</w:t>
      </w:r>
      <w:r w:rsidRPr="00395593">
        <w:rPr>
          <w:rFonts w:ascii="Garamond" w:hAnsi="Garamond"/>
          <w:spacing w:val="1"/>
        </w:rPr>
        <w:t xml:space="preserve"> </w:t>
      </w:r>
      <w:r w:rsidRPr="00395593">
        <w:rPr>
          <w:rFonts w:ascii="Garamond" w:hAnsi="Garamond"/>
        </w:rPr>
        <w:t>ser</w:t>
      </w:r>
      <w:r w:rsidRPr="00395593">
        <w:rPr>
          <w:rFonts w:ascii="Garamond" w:hAnsi="Garamond"/>
          <w:spacing w:val="1"/>
        </w:rPr>
        <w:t xml:space="preserve"> </w:t>
      </w:r>
      <w:r w:rsidRPr="00395593">
        <w:rPr>
          <w:rFonts w:ascii="Garamond" w:hAnsi="Garamond"/>
        </w:rPr>
        <w:t>aplicadas</w:t>
      </w:r>
      <w:r w:rsidRPr="00395593">
        <w:rPr>
          <w:rFonts w:ascii="Garamond" w:hAnsi="Garamond"/>
          <w:spacing w:val="1"/>
        </w:rPr>
        <w:t xml:space="preserve"> </w:t>
      </w:r>
      <w:r w:rsidRPr="00395593">
        <w:rPr>
          <w:rFonts w:ascii="Garamond" w:hAnsi="Garamond"/>
        </w:rPr>
        <w:t>nas</w:t>
      </w:r>
      <w:r w:rsidRPr="00395593">
        <w:rPr>
          <w:rFonts w:ascii="Garamond" w:hAnsi="Garamond"/>
          <w:spacing w:val="1"/>
        </w:rPr>
        <w:t xml:space="preserve"> </w:t>
      </w:r>
      <w:r w:rsidRPr="00395593">
        <w:rPr>
          <w:rFonts w:ascii="Garamond" w:hAnsi="Garamond"/>
        </w:rPr>
        <w:t>circunstâncias</w:t>
      </w:r>
      <w:r w:rsidRPr="00395593">
        <w:rPr>
          <w:rFonts w:ascii="Garamond" w:hAnsi="Garamond"/>
          <w:spacing w:val="1"/>
        </w:rPr>
        <w:t xml:space="preserve"> </w:t>
      </w:r>
      <w:r w:rsidRPr="00395593">
        <w:rPr>
          <w:rFonts w:ascii="Garamond" w:hAnsi="Garamond"/>
        </w:rPr>
        <w:t>previstas</w:t>
      </w:r>
      <w:r w:rsidRPr="00395593">
        <w:rPr>
          <w:rFonts w:ascii="Garamond" w:hAnsi="Garamond"/>
          <w:spacing w:val="1"/>
        </w:rPr>
        <w:t xml:space="preserve"> </w:t>
      </w:r>
      <w:r w:rsidRPr="00395593">
        <w:rPr>
          <w:rFonts w:ascii="Garamond" w:hAnsi="Garamond"/>
        </w:rPr>
        <w:t>no</w:t>
      </w:r>
      <w:r w:rsidRPr="00395593">
        <w:rPr>
          <w:rFonts w:ascii="Garamond" w:hAnsi="Garamond"/>
          <w:spacing w:val="-57"/>
        </w:rPr>
        <w:t xml:space="preserve"> </w:t>
      </w:r>
      <w:r w:rsidRPr="00395593">
        <w:rPr>
          <w:rFonts w:ascii="Garamond" w:hAnsi="Garamond"/>
        </w:rPr>
        <w:t>Artigo</w:t>
      </w:r>
      <w:r w:rsidRPr="00395593">
        <w:rPr>
          <w:rFonts w:ascii="Garamond" w:hAnsi="Garamond"/>
          <w:spacing w:val="10"/>
        </w:rPr>
        <w:t xml:space="preserve"> </w:t>
      </w:r>
      <w:r w:rsidRPr="00395593">
        <w:rPr>
          <w:rFonts w:ascii="Garamond" w:hAnsi="Garamond"/>
        </w:rPr>
        <w:t>VI</w:t>
      </w:r>
      <w:r w:rsidRPr="00395593">
        <w:rPr>
          <w:rFonts w:ascii="Garamond" w:hAnsi="Garamond"/>
          <w:spacing w:val="6"/>
        </w:rPr>
        <w:t xml:space="preserve"> </w:t>
      </w:r>
      <w:r w:rsidRPr="00395593">
        <w:rPr>
          <w:rFonts w:ascii="Garamond" w:hAnsi="Garamond"/>
        </w:rPr>
        <w:t>do</w:t>
      </w:r>
      <w:r w:rsidRPr="00395593">
        <w:rPr>
          <w:rFonts w:ascii="Garamond" w:hAnsi="Garamond"/>
          <w:spacing w:val="10"/>
        </w:rPr>
        <w:t xml:space="preserve"> </w:t>
      </w:r>
      <w:r w:rsidRPr="00395593">
        <w:rPr>
          <w:rFonts w:ascii="Garamond" w:hAnsi="Garamond"/>
        </w:rPr>
        <w:t>GATT</w:t>
      </w:r>
      <w:r w:rsidRPr="00395593">
        <w:rPr>
          <w:rFonts w:ascii="Garamond" w:hAnsi="Garamond"/>
          <w:spacing w:val="11"/>
        </w:rPr>
        <w:t xml:space="preserve"> </w:t>
      </w:r>
      <w:r w:rsidRPr="00395593">
        <w:rPr>
          <w:rFonts w:ascii="Garamond" w:hAnsi="Garamond"/>
        </w:rPr>
        <w:t>1994</w:t>
      </w:r>
      <w:r w:rsidRPr="00395593">
        <w:rPr>
          <w:rFonts w:ascii="Garamond" w:hAnsi="Garamond"/>
          <w:spacing w:val="9"/>
        </w:rPr>
        <w:t xml:space="preserve"> </w:t>
      </w:r>
      <w:r w:rsidRPr="00395593">
        <w:rPr>
          <w:rFonts w:ascii="Garamond" w:hAnsi="Garamond"/>
        </w:rPr>
        <w:t>e</w:t>
      </w:r>
      <w:r w:rsidRPr="00395593">
        <w:rPr>
          <w:rFonts w:ascii="Garamond" w:hAnsi="Garamond"/>
          <w:spacing w:val="7"/>
        </w:rPr>
        <w:t xml:space="preserve"> </w:t>
      </w:r>
      <w:r w:rsidRPr="00395593">
        <w:rPr>
          <w:rFonts w:ascii="Garamond" w:hAnsi="Garamond"/>
        </w:rPr>
        <w:t>de</w:t>
      </w:r>
      <w:r w:rsidRPr="00395593">
        <w:rPr>
          <w:rFonts w:ascii="Garamond" w:hAnsi="Garamond"/>
          <w:spacing w:val="8"/>
        </w:rPr>
        <w:t xml:space="preserve"> </w:t>
      </w:r>
      <w:r w:rsidRPr="00395593">
        <w:rPr>
          <w:rFonts w:ascii="Garamond" w:hAnsi="Garamond"/>
        </w:rPr>
        <w:t>acordo</w:t>
      </w:r>
      <w:r w:rsidRPr="00395593">
        <w:rPr>
          <w:rFonts w:ascii="Garamond" w:hAnsi="Garamond"/>
          <w:spacing w:val="10"/>
        </w:rPr>
        <w:t xml:space="preserve"> </w:t>
      </w:r>
      <w:r w:rsidRPr="00395593">
        <w:rPr>
          <w:rFonts w:ascii="Garamond" w:hAnsi="Garamond"/>
        </w:rPr>
        <w:t>com</w:t>
      </w:r>
      <w:r w:rsidRPr="00395593">
        <w:rPr>
          <w:rFonts w:ascii="Garamond" w:hAnsi="Garamond"/>
          <w:spacing w:val="9"/>
        </w:rPr>
        <w:t xml:space="preserve"> </w:t>
      </w:r>
      <w:r w:rsidRPr="00395593">
        <w:rPr>
          <w:rFonts w:ascii="Garamond" w:hAnsi="Garamond"/>
        </w:rPr>
        <w:t>investigações</w:t>
      </w:r>
      <w:r w:rsidRPr="00395593">
        <w:rPr>
          <w:rFonts w:ascii="Garamond" w:hAnsi="Garamond"/>
          <w:spacing w:val="9"/>
        </w:rPr>
        <w:t xml:space="preserve"> </w:t>
      </w:r>
      <w:r w:rsidRPr="00395593">
        <w:rPr>
          <w:rFonts w:ascii="Garamond" w:hAnsi="Garamond"/>
        </w:rPr>
        <w:t>iniciadas</w:t>
      </w:r>
      <w:r w:rsidR="00C63061" w:rsidRPr="005C5CBD">
        <w:rPr>
          <w:rStyle w:val="Refdenotaderodap"/>
          <w:rFonts w:ascii="Garamond" w:hAnsi="Garamond"/>
        </w:rPr>
        <w:footnoteReference w:id="2"/>
      </w:r>
      <w:r w:rsidRPr="005C5CBD">
        <w:rPr>
          <w:rFonts w:ascii="Garamond" w:hAnsi="Garamond"/>
          <w:spacing w:val="15"/>
        </w:rPr>
        <w:t xml:space="preserve"> </w:t>
      </w:r>
      <w:r w:rsidRPr="00395593">
        <w:rPr>
          <w:rFonts w:ascii="Garamond" w:hAnsi="Garamond"/>
        </w:rPr>
        <w:t>e</w:t>
      </w:r>
      <w:r w:rsidRPr="00395593">
        <w:rPr>
          <w:rFonts w:ascii="Garamond" w:hAnsi="Garamond"/>
          <w:spacing w:val="10"/>
        </w:rPr>
        <w:t xml:space="preserve"> </w:t>
      </w:r>
      <w:r w:rsidRPr="00395593">
        <w:rPr>
          <w:rFonts w:ascii="Garamond" w:hAnsi="Garamond"/>
        </w:rPr>
        <w:t>conduzidas</w:t>
      </w:r>
      <w:r w:rsidRPr="00395593">
        <w:rPr>
          <w:rFonts w:ascii="Garamond" w:hAnsi="Garamond"/>
          <w:spacing w:val="8"/>
        </w:rPr>
        <w:t xml:space="preserve"> </w:t>
      </w:r>
      <w:r w:rsidRPr="00395593">
        <w:rPr>
          <w:rFonts w:ascii="Garamond" w:hAnsi="Garamond"/>
        </w:rPr>
        <w:t>segundo</w:t>
      </w:r>
      <w:r w:rsidRPr="00395593">
        <w:rPr>
          <w:rFonts w:ascii="Garamond" w:hAnsi="Garamond"/>
          <w:spacing w:val="-57"/>
        </w:rPr>
        <w:t xml:space="preserve"> </w:t>
      </w:r>
      <w:r w:rsidRPr="00395593">
        <w:rPr>
          <w:rFonts w:ascii="Garamond" w:hAnsi="Garamond"/>
        </w:rPr>
        <w:t>o disposto neste Acordo. As disposições a seguir regem a aplicação do Artigo VI do GATT</w:t>
      </w:r>
      <w:r w:rsidRPr="00395593">
        <w:rPr>
          <w:rFonts w:ascii="Garamond" w:hAnsi="Garamond"/>
          <w:spacing w:val="1"/>
        </w:rPr>
        <w:t xml:space="preserve"> </w:t>
      </w:r>
      <w:r w:rsidRPr="00395593">
        <w:rPr>
          <w:rFonts w:ascii="Garamond" w:hAnsi="Garamond"/>
        </w:rPr>
        <w:t>1994 no caso de vir a ser iniciada ação ao abrigo de legislação ou regulamentos</w:t>
      </w:r>
      <w:r w:rsidRPr="00395593">
        <w:rPr>
          <w:rFonts w:ascii="Garamond" w:hAnsi="Garamond"/>
          <w:spacing w:val="1"/>
        </w:rPr>
        <w:t xml:space="preserve"> </w:t>
      </w:r>
      <w:r w:rsidRPr="00395593">
        <w:rPr>
          <w:rFonts w:ascii="Garamond" w:hAnsi="Garamond"/>
          <w:i/>
        </w:rPr>
        <w:t>anti</w:t>
      </w:r>
      <w:r w:rsidRPr="00395593">
        <w:rPr>
          <w:rFonts w:ascii="Garamond" w:hAnsi="Garamond"/>
        </w:rPr>
        <w:t>-</w:t>
      </w:r>
      <w:r w:rsidRPr="00395593">
        <w:rPr>
          <w:rFonts w:ascii="Garamond" w:hAnsi="Garamond"/>
          <w:spacing w:val="1"/>
        </w:rPr>
        <w:t xml:space="preserve"> </w:t>
      </w:r>
      <w:r w:rsidRPr="00395593">
        <w:rPr>
          <w:rFonts w:ascii="Garamond" w:hAnsi="Garamond"/>
          <w:i/>
        </w:rPr>
        <w:t>dumping</w:t>
      </w:r>
    </w:p>
    <w:p w14:paraId="23118719" w14:textId="77777777" w:rsidR="0013285C" w:rsidRPr="00395593" w:rsidRDefault="0013285C" w:rsidP="0013285C">
      <w:pPr>
        <w:pStyle w:val="Corpodetexto"/>
        <w:spacing w:before="1"/>
        <w:rPr>
          <w:rFonts w:ascii="Garamond" w:hAnsi="Garamond"/>
          <w:i/>
        </w:rPr>
      </w:pPr>
    </w:p>
    <w:p w14:paraId="25435AC7" w14:textId="23FE5225" w:rsidR="00716B33" w:rsidRPr="005C5CBD" w:rsidRDefault="0013285C" w:rsidP="005F7A3B">
      <w:pPr>
        <w:pStyle w:val="Corpodetexto"/>
        <w:spacing w:line="360" w:lineRule="auto"/>
        <w:jc w:val="center"/>
        <w:rPr>
          <w:rFonts w:ascii="Garamond" w:hAnsi="Garamond"/>
          <w:b/>
          <w:spacing w:val="1"/>
        </w:rPr>
      </w:pPr>
      <w:r w:rsidRPr="005C5CBD">
        <w:rPr>
          <w:rFonts w:ascii="Garamond" w:hAnsi="Garamond"/>
          <w:b/>
        </w:rPr>
        <w:t>Artigo 2</w:t>
      </w:r>
    </w:p>
    <w:p w14:paraId="72789648" w14:textId="7E025694" w:rsidR="0013285C" w:rsidRPr="005C5CBD" w:rsidRDefault="0013285C" w:rsidP="005F7A3B">
      <w:pPr>
        <w:pStyle w:val="Corpodetexto"/>
        <w:spacing w:line="360" w:lineRule="auto"/>
        <w:jc w:val="center"/>
        <w:rPr>
          <w:rFonts w:ascii="Garamond" w:hAnsi="Garamond"/>
          <w:b/>
          <w:i/>
        </w:rPr>
      </w:pPr>
      <w:r w:rsidRPr="005C5CBD">
        <w:rPr>
          <w:rFonts w:ascii="Garamond" w:hAnsi="Garamond"/>
          <w:b/>
        </w:rPr>
        <w:t>Determinação</w:t>
      </w:r>
      <w:r w:rsidRPr="005C5CBD">
        <w:rPr>
          <w:rFonts w:ascii="Garamond" w:hAnsi="Garamond"/>
          <w:b/>
          <w:spacing w:val="-8"/>
        </w:rPr>
        <w:t xml:space="preserve"> </w:t>
      </w:r>
      <w:r w:rsidRPr="005C5CBD">
        <w:rPr>
          <w:rFonts w:ascii="Garamond" w:hAnsi="Garamond"/>
          <w:b/>
        </w:rPr>
        <w:t>de</w:t>
      </w:r>
      <w:r w:rsidRPr="005C5CBD">
        <w:rPr>
          <w:rFonts w:ascii="Garamond" w:hAnsi="Garamond"/>
          <w:b/>
          <w:spacing w:val="-9"/>
        </w:rPr>
        <w:t xml:space="preserve"> </w:t>
      </w:r>
      <w:r w:rsidRPr="005C5CBD">
        <w:rPr>
          <w:rFonts w:ascii="Garamond" w:hAnsi="Garamond"/>
          <w:b/>
          <w:i/>
        </w:rPr>
        <w:t>Dumping</w:t>
      </w:r>
    </w:p>
    <w:p w14:paraId="3AC0776F" w14:textId="77777777" w:rsidR="005F7A3B" w:rsidRPr="005C5CBD" w:rsidRDefault="005F7A3B" w:rsidP="005F7A3B">
      <w:pPr>
        <w:pStyle w:val="Corpodetexto"/>
        <w:rPr>
          <w:rFonts w:ascii="Garamond" w:hAnsi="Garamond"/>
          <w:b/>
          <w:i/>
        </w:rPr>
      </w:pPr>
    </w:p>
    <w:p w14:paraId="172A3DF2" w14:textId="77777777" w:rsidR="0013285C" w:rsidRPr="00395593" w:rsidRDefault="0013285C" w:rsidP="002C4340">
      <w:pPr>
        <w:pStyle w:val="PargrafodaLista"/>
        <w:widowControl w:val="0"/>
        <w:numPr>
          <w:ilvl w:val="0"/>
          <w:numId w:val="24"/>
        </w:numPr>
        <w:tabs>
          <w:tab w:val="left" w:pos="810"/>
        </w:tabs>
        <w:autoSpaceDE w:val="0"/>
        <w:autoSpaceDN w:val="0"/>
        <w:spacing w:after="0" w:line="240" w:lineRule="auto"/>
        <w:ind w:right="115" w:firstLine="0"/>
        <w:contextualSpacing w:val="0"/>
        <w:jc w:val="both"/>
        <w:rPr>
          <w:rFonts w:ascii="Garamond" w:hAnsi="Garamond"/>
          <w:sz w:val="24"/>
        </w:rPr>
      </w:pPr>
      <w:r w:rsidRPr="00395593">
        <w:rPr>
          <w:rFonts w:ascii="Garamond" w:hAnsi="Garamond"/>
          <w:sz w:val="24"/>
        </w:rPr>
        <w:t>Para</w:t>
      </w:r>
      <w:r w:rsidRPr="00395593">
        <w:rPr>
          <w:rFonts w:ascii="Garamond" w:hAnsi="Garamond"/>
          <w:spacing w:val="13"/>
          <w:sz w:val="24"/>
        </w:rPr>
        <w:t xml:space="preserve"> </w:t>
      </w:r>
      <w:r w:rsidRPr="00395593">
        <w:rPr>
          <w:rFonts w:ascii="Garamond" w:hAnsi="Garamond"/>
          <w:sz w:val="24"/>
        </w:rPr>
        <w:t>as</w:t>
      </w:r>
      <w:r w:rsidRPr="00395593">
        <w:rPr>
          <w:rFonts w:ascii="Garamond" w:hAnsi="Garamond"/>
          <w:spacing w:val="15"/>
          <w:sz w:val="24"/>
        </w:rPr>
        <w:t xml:space="preserve"> </w:t>
      </w:r>
      <w:r w:rsidRPr="00395593">
        <w:rPr>
          <w:rFonts w:ascii="Garamond" w:hAnsi="Garamond"/>
          <w:sz w:val="24"/>
        </w:rPr>
        <w:t>finalidades</w:t>
      </w:r>
      <w:r w:rsidRPr="00395593">
        <w:rPr>
          <w:rFonts w:ascii="Garamond" w:hAnsi="Garamond"/>
          <w:spacing w:val="15"/>
          <w:sz w:val="24"/>
        </w:rPr>
        <w:t xml:space="preserve"> </w:t>
      </w:r>
      <w:r w:rsidRPr="00395593">
        <w:rPr>
          <w:rFonts w:ascii="Garamond" w:hAnsi="Garamond"/>
          <w:sz w:val="24"/>
        </w:rPr>
        <w:t>do</w:t>
      </w:r>
      <w:r w:rsidRPr="00395593">
        <w:rPr>
          <w:rFonts w:ascii="Garamond" w:hAnsi="Garamond"/>
          <w:spacing w:val="15"/>
          <w:sz w:val="24"/>
        </w:rPr>
        <w:t xml:space="preserve"> </w:t>
      </w:r>
      <w:r w:rsidRPr="00395593">
        <w:rPr>
          <w:rFonts w:ascii="Garamond" w:hAnsi="Garamond"/>
          <w:sz w:val="24"/>
        </w:rPr>
        <w:t>presente</w:t>
      </w:r>
      <w:r w:rsidRPr="00395593">
        <w:rPr>
          <w:rFonts w:ascii="Garamond" w:hAnsi="Garamond"/>
          <w:spacing w:val="14"/>
          <w:sz w:val="24"/>
        </w:rPr>
        <w:t xml:space="preserve"> </w:t>
      </w:r>
      <w:r w:rsidRPr="00395593">
        <w:rPr>
          <w:rFonts w:ascii="Garamond" w:hAnsi="Garamond"/>
          <w:sz w:val="24"/>
        </w:rPr>
        <w:t>Acordo</w:t>
      </w:r>
      <w:r w:rsidRPr="00395593">
        <w:rPr>
          <w:rFonts w:ascii="Garamond" w:hAnsi="Garamond"/>
          <w:spacing w:val="14"/>
          <w:sz w:val="24"/>
        </w:rPr>
        <w:t xml:space="preserve"> </w:t>
      </w:r>
      <w:r w:rsidRPr="00395593">
        <w:rPr>
          <w:rFonts w:ascii="Garamond" w:hAnsi="Garamond"/>
          <w:sz w:val="24"/>
        </w:rPr>
        <w:t>considera-se</w:t>
      </w:r>
      <w:r w:rsidRPr="00395593">
        <w:rPr>
          <w:rFonts w:ascii="Garamond" w:hAnsi="Garamond"/>
          <w:spacing w:val="15"/>
          <w:sz w:val="24"/>
        </w:rPr>
        <w:t xml:space="preserve"> </w:t>
      </w:r>
      <w:r w:rsidRPr="00395593">
        <w:rPr>
          <w:rFonts w:ascii="Garamond" w:hAnsi="Garamond"/>
          <w:sz w:val="24"/>
        </w:rPr>
        <w:t>haver</w:t>
      </w:r>
      <w:r w:rsidRPr="00395593">
        <w:rPr>
          <w:rFonts w:ascii="Garamond" w:hAnsi="Garamond"/>
          <w:spacing w:val="14"/>
          <w:sz w:val="24"/>
        </w:rPr>
        <w:t xml:space="preserve"> </w:t>
      </w:r>
      <w:r w:rsidRPr="00395593">
        <w:rPr>
          <w:rFonts w:ascii="Garamond" w:hAnsi="Garamond"/>
          <w:sz w:val="24"/>
        </w:rPr>
        <w:t>prática</w:t>
      </w:r>
      <w:r w:rsidRPr="00395593">
        <w:rPr>
          <w:rFonts w:ascii="Garamond" w:hAnsi="Garamond"/>
          <w:spacing w:val="14"/>
          <w:sz w:val="24"/>
        </w:rPr>
        <w:t xml:space="preserve"> </w:t>
      </w:r>
      <w:r w:rsidRPr="00395593">
        <w:rPr>
          <w:rFonts w:ascii="Garamond" w:hAnsi="Garamond"/>
          <w:sz w:val="24"/>
        </w:rPr>
        <w:t>de</w:t>
      </w:r>
      <w:r w:rsidRPr="00395593">
        <w:rPr>
          <w:rFonts w:ascii="Garamond" w:hAnsi="Garamond"/>
          <w:spacing w:val="15"/>
          <w:sz w:val="24"/>
        </w:rPr>
        <w:t xml:space="preserve"> </w:t>
      </w:r>
      <w:r w:rsidRPr="00395593">
        <w:rPr>
          <w:rFonts w:ascii="Garamond" w:hAnsi="Garamond"/>
          <w:i/>
          <w:sz w:val="24"/>
        </w:rPr>
        <w:t>dumping</w:t>
      </w:r>
      <w:r w:rsidRPr="00395593">
        <w:rPr>
          <w:rFonts w:ascii="Garamond" w:hAnsi="Garamond"/>
          <w:sz w:val="24"/>
        </w:rPr>
        <w:t>,</w:t>
      </w:r>
      <w:r w:rsidRPr="00395593">
        <w:rPr>
          <w:rFonts w:ascii="Garamond" w:hAnsi="Garamond"/>
          <w:spacing w:val="15"/>
          <w:sz w:val="24"/>
        </w:rPr>
        <w:t xml:space="preserve"> </w:t>
      </w:r>
      <w:r w:rsidRPr="00395593">
        <w:rPr>
          <w:rFonts w:ascii="Garamond" w:hAnsi="Garamond"/>
          <w:sz w:val="24"/>
        </w:rPr>
        <w:t>isto</w:t>
      </w:r>
      <w:r w:rsidRPr="00395593">
        <w:rPr>
          <w:rFonts w:ascii="Garamond" w:hAnsi="Garamond"/>
          <w:spacing w:val="-57"/>
          <w:sz w:val="24"/>
        </w:rPr>
        <w:t xml:space="preserve"> </w:t>
      </w:r>
      <w:r w:rsidRPr="00395593">
        <w:rPr>
          <w:rFonts w:ascii="Garamond" w:hAnsi="Garamond"/>
          <w:sz w:val="24"/>
        </w:rPr>
        <w:t>é, oferta de um produto no comércio de outro país a preço inferior a seu valor normal, no</w:t>
      </w:r>
      <w:r w:rsidRPr="00395593">
        <w:rPr>
          <w:rFonts w:ascii="Garamond" w:hAnsi="Garamond"/>
          <w:spacing w:val="1"/>
          <w:sz w:val="24"/>
        </w:rPr>
        <w:t xml:space="preserve"> </w:t>
      </w:r>
      <w:r w:rsidRPr="00395593">
        <w:rPr>
          <w:rFonts w:ascii="Garamond" w:hAnsi="Garamond"/>
          <w:sz w:val="24"/>
        </w:rPr>
        <w:t>caso de o prego de exportação do produto ser inferior àquele praticado no curso normal das</w:t>
      </w:r>
      <w:r w:rsidRPr="00395593">
        <w:rPr>
          <w:rFonts w:ascii="Garamond" w:hAnsi="Garamond"/>
          <w:spacing w:val="1"/>
          <w:sz w:val="24"/>
        </w:rPr>
        <w:t xml:space="preserve"> </w:t>
      </w:r>
      <w:r w:rsidRPr="00395593">
        <w:rPr>
          <w:rFonts w:ascii="Garamond" w:hAnsi="Garamond"/>
          <w:sz w:val="24"/>
        </w:rPr>
        <w:t>atividades</w:t>
      </w:r>
      <w:r w:rsidRPr="00395593">
        <w:rPr>
          <w:rFonts w:ascii="Garamond" w:hAnsi="Garamond"/>
          <w:spacing w:val="1"/>
          <w:sz w:val="24"/>
        </w:rPr>
        <w:t xml:space="preserve"> </w:t>
      </w:r>
      <w:r w:rsidRPr="00395593">
        <w:rPr>
          <w:rFonts w:ascii="Garamond" w:hAnsi="Garamond"/>
          <w:sz w:val="24"/>
        </w:rPr>
        <w:t>comerciais</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mesmo</w:t>
      </w:r>
      <w:r w:rsidRPr="00395593">
        <w:rPr>
          <w:rFonts w:ascii="Garamond" w:hAnsi="Garamond"/>
          <w:spacing w:val="1"/>
          <w:sz w:val="24"/>
        </w:rPr>
        <w:t xml:space="preserve"> </w:t>
      </w:r>
      <w:r w:rsidRPr="00395593">
        <w:rPr>
          <w:rFonts w:ascii="Garamond" w:hAnsi="Garamond"/>
          <w:sz w:val="24"/>
        </w:rPr>
        <w:t>produto</w:t>
      </w:r>
      <w:r w:rsidRPr="00395593">
        <w:rPr>
          <w:rFonts w:ascii="Garamond" w:hAnsi="Garamond"/>
          <w:spacing w:val="1"/>
          <w:sz w:val="24"/>
        </w:rPr>
        <w:t xml:space="preserve"> </w:t>
      </w:r>
      <w:r w:rsidRPr="00395593">
        <w:rPr>
          <w:rFonts w:ascii="Garamond" w:hAnsi="Garamond"/>
          <w:sz w:val="24"/>
        </w:rPr>
        <w:t>quando</w:t>
      </w:r>
      <w:r w:rsidRPr="00395593">
        <w:rPr>
          <w:rFonts w:ascii="Garamond" w:hAnsi="Garamond"/>
          <w:spacing w:val="1"/>
          <w:sz w:val="24"/>
        </w:rPr>
        <w:t xml:space="preserve"> </w:t>
      </w:r>
      <w:r w:rsidRPr="00395593">
        <w:rPr>
          <w:rFonts w:ascii="Garamond" w:hAnsi="Garamond"/>
          <w:sz w:val="24"/>
        </w:rPr>
        <w:t>destinado</w:t>
      </w:r>
      <w:r w:rsidRPr="00395593">
        <w:rPr>
          <w:rFonts w:ascii="Garamond" w:hAnsi="Garamond"/>
          <w:spacing w:val="1"/>
          <w:sz w:val="24"/>
        </w:rPr>
        <w:t xml:space="preserve"> </w:t>
      </w:r>
      <w:r w:rsidRPr="00395593">
        <w:rPr>
          <w:rFonts w:ascii="Garamond" w:hAnsi="Garamond"/>
          <w:sz w:val="24"/>
        </w:rPr>
        <w:t>ao</w:t>
      </w:r>
      <w:r w:rsidRPr="00395593">
        <w:rPr>
          <w:rFonts w:ascii="Garamond" w:hAnsi="Garamond"/>
          <w:spacing w:val="1"/>
          <w:sz w:val="24"/>
        </w:rPr>
        <w:t xml:space="preserve"> </w:t>
      </w:r>
      <w:r w:rsidRPr="00395593">
        <w:rPr>
          <w:rFonts w:ascii="Garamond" w:hAnsi="Garamond"/>
          <w:sz w:val="24"/>
        </w:rPr>
        <w:t>consumo</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país</w:t>
      </w:r>
      <w:r w:rsidRPr="00395593">
        <w:rPr>
          <w:rFonts w:ascii="Garamond" w:hAnsi="Garamond"/>
          <w:spacing w:val="1"/>
          <w:sz w:val="24"/>
        </w:rPr>
        <w:t xml:space="preserve"> </w:t>
      </w:r>
      <w:r w:rsidRPr="00395593">
        <w:rPr>
          <w:rFonts w:ascii="Garamond" w:hAnsi="Garamond"/>
          <w:sz w:val="24"/>
        </w:rPr>
        <w:t>exportador.</w:t>
      </w:r>
    </w:p>
    <w:p w14:paraId="4A973512" w14:textId="77777777" w:rsidR="0013285C" w:rsidRPr="00395593" w:rsidRDefault="0013285C" w:rsidP="0013285C">
      <w:pPr>
        <w:pStyle w:val="Corpodetexto"/>
        <w:spacing w:before="1"/>
        <w:rPr>
          <w:rFonts w:ascii="Garamond" w:hAnsi="Garamond"/>
        </w:rPr>
      </w:pPr>
    </w:p>
    <w:p w14:paraId="25DBCA4F" w14:textId="4F14F050" w:rsidR="0013285C" w:rsidRPr="00395593" w:rsidRDefault="0013285C" w:rsidP="002C4340">
      <w:pPr>
        <w:pStyle w:val="PargrafodaLista"/>
        <w:widowControl w:val="0"/>
        <w:numPr>
          <w:ilvl w:val="0"/>
          <w:numId w:val="24"/>
        </w:numPr>
        <w:tabs>
          <w:tab w:val="left" w:pos="810"/>
        </w:tabs>
        <w:autoSpaceDE w:val="0"/>
        <w:autoSpaceDN w:val="0"/>
        <w:spacing w:after="0" w:line="240" w:lineRule="auto"/>
        <w:ind w:right="118" w:firstLine="0"/>
        <w:contextualSpacing w:val="0"/>
        <w:jc w:val="both"/>
        <w:rPr>
          <w:rFonts w:ascii="Garamond" w:hAnsi="Garamond"/>
          <w:sz w:val="24"/>
        </w:rPr>
      </w:pPr>
      <w:r w:rsidRPr="00395593">
        <w:rPr>
          <w:rFonts w:ascii="Garamond" w:hAnsi="Garamond"/>
          <w:sz w:val="24"/>
        </w:rPr>
        <w:t>Caso inexistam vendas do produto similar no curso normal das</w:t>
      </w:r>
      <w:r w:rsidRPr="00395593">
        <w:rPr>
          <w:rFonts w:ascii="Garamond" w:hAnsi="Garamond"/>
          <w:spacing w:val="60"/>
          <w:sz w:val="24"/>
        </w:rPr>
        <w:t xml:space="preserve"> </w:t>
      </w:r>
      <w:r w:rsidRPr="00395593">
        <w:rPr>
          <w:rFonts w:ascii="Garamond" w:hAnsi="Garamond"/>
          <w:sz w:val="24"/>
        </w:rPr>
        <w:t>ações de comércio</w:t>
      </w:r>
      <w:r w:rsidRPr="00395593">
        <w:rPr>
          <w:rFonts w:ascii="Garamond" w:hAnsi="Garamond"/>
          <w:spacing w:val="1"/>
          <w:sz w:val="24"/>
        </w:rPr>
        <w:t xml:space="preserve"> </w:t>
      </w:r>
      <w:r w:rsidRPr="00395593">
        <w:rPr>
          <w:rFonts w:ascii="Garamond" w:hAnsi="Garamond"/>
          <w:sz w:val="24"/>
        </w:rPr>
        <w:t>no mercado doméstico do país exportador ou quando, em razão de condições específicas de</w:t>
      </w:r>
      <w:r w:rsidRPr="00395593">
        <w:rPr>
          <w:rFonts w:ascii="Garamond" w:hAnsi="Garamond"/>
          <w:spacing w:val="-57"/>
          <w:sz w:val="24"/>
        </w:rPr>
        <w:t xml:space="preserve"> </w:t>
      </w:r>
      <w:r w:rsidRPr="00395593">
        <w:rPr>
          <w:rFonts w:ascii="Garamond" w:hAnsi="Garamond"/>
          <w:sz w:val="24"/>
        </w:rPr>
        <w:t>mercado ou por motivo do baixo nível de vendas no mercado doméstico do país exportador</w:t>
      </w:r>
      <w:r w:rsidR="00C63061" w:rsidRPr="005C5CBD">
        <w:rPr>
          <w:rStyle w:val="Refdenotaderodap"/>
          <w:rFonts w:ascii="Garamond" w:hAnsi="Garamond"/>
          <w:sz w:val="24"/>
        </w:rPr>
        <w:footnoteReference w:id="3"/>
      </w:r>
      <w:r w:rsidRPr="00395593">
        <w:rPr>
          <w:rFonts w:ascii="Garamond" w:hAnsi="Garamond"/>
          <w:sz w:val="24"/>
        </w:rPr>
        <w:t xml:space="preserve"> tais vendas não permitam comparação adequada, a margem de </w:t>
      </w:r>
      <w:r w:rsidRPr="00395593">
        <w:rPr>
          <w:rFonts w:ascii="Garamond" w:hAnsi="Garamond"/>
          <w:i/>
          <w:sz w:val="24"/>
        </w:rPr>
        <w:t xml:space="preserve">dumping </w:t>
      </w:r>
      <w:r w:rsidRPr="00395593">
        <w:rPr>
          <w:rFonts w:ascii="Garamond" w:hAnsi="Garamond"/>
          <w:sz w:val="24"/>
        </w:rPr>
        <w:t>será determinada</w:t>
      </w:r>
      <w:r w:rsidRPr="00395593">
        <w:rPr>
          <w:rFonts w:ascii="Garamond" w:hAnsi="Garamond"/>
          <w:spacing w:val="1"/>
          <w:sz w:val="24"/>
        </w:rPr>
        <w:t xml:space="preserve"> </w:t>
      </w:r>
      <w:r w:rsidRPr="00395593">
        <w:rPr>
          <w:rFonts w:ascii="Garamond" w:hAnsi="Garamond"/>
          <w:sz w:val="24"/>
        </w:rPr>
        <w:t>por meio de comparação com o preço do produto similar ao ser exportado para um terceiro</w:t>
      </w:r>
      <w:r w:rsidRPr="00395593">
        <w:rPr>
          <w:rFonts w:ascii="Garamond" w:hAnsi="Garamond"/>
          <w:spacing w:val="1"/>
          <w:sz w:val="24"/>
        </w:rPr>
        <w:t xml:space="preserve"> </w:t>
      </w:r>
      <w:r w:rsidRPr="00395593">
        <w:rPr>
          <w:rFonts w:ascii="Garamond" w:hAnsi="Garamond"/>
          <w:sz w:val="24"/>
        </w:rPr>
        <w:t>país adequado, desde que esse preço seja</w:t>
      </w:r>
      <w:r w:rsidRPr="00395593">
        <w:rPr>
          <w:rFonts w:ascii="Garamond" w:hAnsi="Garamond"/>
          <w:spacing w:val="60"/>
          <w:sz w:val="24"/>
        </w:rPr>
        <w:t xml:space="preserve"> </w:t>
      </w:r>
      <w:r w:rsidRPr="00395593">
        <w:rPr>
          <w:rFonts w:ascii="Garamond" w:hAnsi="Garamond"/>
          <w:sz w:val="24"/>
        </w:rPr>
        <w:t>representativo ou com o custo de produção no</w:t>
      </w:r>
      <w:r w:rsidRPr="00395593">
        <w:rPr>
          <w:rFonts w:ascii="Garamond" w:hAnsi="Garamond"/>
          <w:spacing w:val="1"/>
          <w:sz w:val="24"/>
        </w:rPr>
        <w:t xml:space="preserve"> </w:t>
      </w:r>
      <w:r w:rsidRPr="00395593">
        <w:rPr>
          <w:rFonts w:ascii="Garamond" w:hAnsi="Garamond"/>
          <w:sz w:val="24"/>
        </w:rPr>
        <w:t>país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origem</w:t>
      </w:r>
      <w:r w:rsidRPr="00395593">
        <w:rPr>
          <w:rFonts w:ascii="Garamond" w:hAnsi="Garamond"/>
          <w:spacing w:val="1"/>
          <w:sz w:val="24"/>
        </w:rPr>
        <w:t xml:space="preserve"> </w:t>
      </w:r>
      <w:r w:rsidRPr="00395593">
        <w:rPr>
          <w:rFonts w:ascii="Garamond" w:hAnsi="Garamond"/>
          <w:sz w:val="24"/>
        </w:rPr>
        <w:t>acrescido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razoável</w:t>
      </w:r>
      <w:r w:rsidRPr="00395593">
        <w:rPr>
          <w:rFonts w:ascii="Garamond" w:hAnsi="Garamond"/>
          <w:spacing w:val="1"/>
          <w:sz w:val="24"/>
        </w:rPr>
        <w:t xml:space="preserve"> </w:t>
      </w:r>
      <w:r w:rsidRPr="00395593">
        <w:rPr>
          <w:rFonts w:ascii="Garamond" w:hAnsi="Garamond"/>
          <w:sz w:val="24"/>
        </w:rPr>
        <w:t>montante</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conta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custos</w:t>
      </w:r>
      <w:r w:rsidRPr="00395593">
        <w:rPr>
          <w:rFonts w:ascii="Garamond" w:hAnsi="Garamond"/>
          <w:spacing w:val="1"/>
          <w:sz w:val="24"/>
        </w:rPr>
        <w:t xml:space="preserve"> </w:t>
      </w:r>
      <w:r w:rsidRPr="00395593">
        <w:rPr>
          <w:rFonts w:ascii="Garamond" w:hAnsi="Garamond"/>
          <w:sz w:val="24"/>
        </w:rPr>
        <w:t>administrativos,</w:t>
      </w:r>
      <w:r w:rsidRPr="00395593">
        <w:rPr>
          <w:rFonts w:ascii="Garamond" w:hAnsi="Garamond"/>
          <w:spacing w:val="1"/>
          <w:sz w:val="24"/>
        </w:rPr>
        <w:t xml:space="preserve"> </w:t>
      </w:r>
      <w:r w:rsidRPr="00395593">
        <w:rPr>
          <w:rFonts w:ascii="Garamond" w:hAnsi="Garamond"/>
          <w:sz w:val="24"/>
        </w:rPr>
        <w:t>comercialização</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outros</w:t>
      </w:r>
      <w:r w:rsidRPr="00395593">
        <w:rPr>
          <w:rFonts w:ascii="Garamond" w:hAnsi="Garamond"/>
          <w:spacing w:val="1"/>
          <w:sz w:val="24"/>
        </w:rPr>
        <w:t xml:space="preserve"> </w:t>
      </w:r>
      <w:r w:rsidRPr="00395593">
        <w:rPr>
          <w:rFonts w:ascii="Garamond" w:hAnsi="Garamond"/>
          <w:sz w:val="24"/>
        </w:rPr>
        <w:t>além do lucro.</w:t>
      </w:r>
    </w:p>
    <w:p w14:paraId="7BECF936" w14:textId="77777777" w:rsidR="0013285C" w:rsidRPr="00395593" w:rsidRDefault="0013285C" w:rsidP="0013285C">
      <w:pPr>
        <w:pStyle w:val="Corpodetexto"/>
        <w:rPr>
          <w:rFonts w:ascii="Garamond" w:hAnsi="Garamond"/>
        </w:rPr>
      </w:pPr>
    </w:p>
    <w:p w14:paraId="7D564383" w14:textId="7890205E" w:rsidR="0013285C" w:rsidRPr="00395593" w:rsidRDefault="0013285C" w:rsidP="00B11984">
      <w:pPr>
        <w:pStyle w:val="PargrafodaLista"/>
        <w:widowControl w:val="0"/>
        <w:numPr>
          <w:ilvl w:val="0"/>
          <w:numId w:val="24"/>
        </w:numPr>
        <w:tabs>
          <w:tab w:val="left" w:pos="810"/>
        </w:tabs>
        <w:autoSpaceDE w:val="0"/>
        <w:autoSpaceDN w:val="0"/>
        <w:spacing w:before="68" w:after="0" w:line="240" w:lineRule="auto"/>
        <w:ind w:right="116" w:firstLine="0"/>
        <w:contextualSpacing w:val="0"/>
        <w:jc w:val="both"/>
        <w:rPr>
          <w:rFonts w:ascii="Garamond" w:hAnsi="Garamond"/>
        </w:rPr>
      </w:pPr>
      <w:r w:rsidRPr="00395593">
        <w:rPr>
          <w:rFonts w:ascii="Garamond" w:hAnsi="Garamond"/>
          <w:sz w:val="24"/>
        </w:rPr>
        <w:t>(a)       Vendas do produto similar no mercado Interno do país exportador ou venda</w:t>
      </w:r>
      <w:r w:rsidRPr="005C5CBD">
        <w:rPr>
          <w:rFonts w:ascii="Garamond" w:hAnsi="Garamond"/>
          <w:spacing w:val="1"/>
          <w:sz w:val="24"/>
        </w:rPr>
        <w:t>s</w:t>
      </w:r>
      <w:r w:rsidRPr="00395593">
        <w:rPr>
          <w:rFonts w:ascii="Garamond" w:hAnsi="Garamond"/>
          <w:spacing w:val="1"/>
          <w:sz w:val="24"/>
        </w:rPr>
        <w:t xml:space="preserve"> </w:t>
      </w:r>
      <w:r w:rsidRPr="00395593">
        <w:rPr>
          <w:rFonts w:ascii="Garamond" w:hAnsi="Garamond"/>
          <w:sz w:val="24"/>
        </w:rPr>
        <w:t>a terceiro país a preços inferiores aos custos unitários de produção (fixos e variáveis) mai</w:t>
      </w:r>
      <w:r w:rsidRPr="005C5CBD">
        <w:rPr>
          <w:rFonts w:ascii="Garamond" w:hAnsi="Garamond"/>
          <w:spacing w:val="1"/>
          <w:sz w:val="24"/>
        </w:rPr>
        <w:t>s</w:t>
      </w:r>
      <w:r w:rsidRPr="00395593">
        <w:rPr>
          <w:rFonts w:ascii="Garamond" w:hAnsi="Garamond"/>
          <w:spacing w:val="1"/>
          <w:sz w:val="24"/>
        </w:rPr>
        <w:t xml:space="preserve"> </w:t>
      </w:r>
      <w:r w:rsidRPr="00395593">
        <w:rPr>
          <w:rFonts w:ascii="Garamond" w:hAnsi="Garamond"/>
          <w:sz w:val="24"/>
        </w:rPr>
        <w:t>o</w:t>
      </w:r>
      <w:r w:rsidRPr="005C5CBD">
        <w:rPr>
          <w:rFonts w:ascii="Garamond" w:hAnsi="Garamond"/>
          <w:spacing w:val="51"/>
          <w:sz w:val="24"/>
        </w:rPr>
        <w:t>s</w:t>
      </w:r>
      <w:r w:rsidRPr="00395593">
        <w:rPr>
          <w:rFonts w:ascii="Garamond" w:hAnsi="Garamond"/>
          <w:spacing w:val="51"/>
          <w:sz w:val="24"/>
        </w:rPr>
        <w:t xml:space="preserve"> </w:t>
      </w:r>
      <w:r w:rsidRPr="00395593">
        <w:rPr>
          <w:rFonts w:ascii="Garamond" w:hAnsi="Garamond"/>
          <w:sz w:val="24"/>
        </w:rPr>
        <w:t>gasto</w:t>
      </w:r>
      <w:r w:rsidRPr="005C5CBD">
        <w:rPr>
          <w:rFonts w:ascii="Garamond" w:hAnsi="Garamond"/>
          <w:spacing w:val="52"/>
          <w:sz w:val="24"/>
        </w:rPr>
        <w:t>s</w:t>
      </w:r>
      <w:r w:rsidRPr="00395593">
        <w:rPr>
          <w:rFonts w:ascii="Garamond" w:hAnsi="Garamond"/>
          <w:spacing w:val="52"/>
          <w:sz w:val="24"/>
        </w:rPr>
        <w:t xml:space="preserve"> </w:t>
      </w:r>
      <w:r w:rsidRPr="00395593">
        <w:rPr>
          <w:rFonts w:ascii="Garamond" w:hAnsi="Garamond"/>
          <w:sz w:val="24"/>
        </w:rPr>
        <w:t>d</w:t>
      </w:r>
      <w:r w:rsidRPr="005C5CBD">
        <w:rPr>
          <w:rFonts w:ascii="Garamond" w:hAnsi="Garamond"/>
          <w:spacing w:val="50"/>
          <w:sz w:val="24"/>
        </w:rPr>
        <w:t>e</w:t>
      </w:r>
      <w:r w:rsidRPr="00395593">
        <w:rPr>
          <w:rFonts w:ascii="Garamond" w:hAnsi="Garamond"/>
          <w:spacing w:val="50"/>
          <w:sz w:val="24"/>
        </w:rPr>
        <w:t xml:space="preserve"> </w:t>
      </w:r>
      <w:r w:rsidRPr="00395593">
        <w:rPr>
          <w:rFonts w:ascii="Garamond" w:hAnsi="Garamond"/>
          <w:sz w:val="24"/>
        </w:rPr>
        <w:t>vend</w:t>
      </w:r>
      <w:r w:rsidRPr="005C5CBD">
        <w:rPr>
          <w:rFonts w:ascii="Garamond" w:hAnsi="Garamond"/>
          <w:spacing w:val="53"/>
          <w:sz w:val="24"/>
        </w:rPr>
        <w:t>a</w:t>
      </w:r>
      <w:r w:rsidRPr="00395593">
        <w:rPr>
          <w:rFonts w:ascii="Garamond" w:hAnsi="Garamond"/>
          <w:spacing w:val="53"/>
          <w:sz w:val="24"/>
        </w:rPr>
        <w:t xml:space="preserve"> </w:t>
      </w:r>
      <w:r w:rsidRPr="00395593">
        <w:rPr>
          <w:rFonts w:ascii="Garamond" w:hAnsi="Garamond"/>
          <w:sz w:val="24"/>
        </w:rPr>
        <w:t>gerai</w:t>
      </w:r>
      <w:r w:rsidRPr="005C5CBD">
        <w:rPr>
          <w:rFonts w:ascii="Garamond" w:hAnsi="Garamond"/>
          <w:spacing w:val="52"/>
          <w:sz w:val="24"/>
        </w:rPr>
        <w:t>s</w:t>
      </w:r>
      <w:r w:rsidRPr="00395593">
        <w:rPr>
          <w:rFonts w:ascii="Garamond" w:hAnsi="Garamond"/>
          <w:spacing w:val="52"/>
          <w:sz w:val="24"/>
        </w:rPr>
        <w:t xml:space="preserve"> </w:t>
      </w:r>
      <w:r w:rsidRPr="005C5CBD">
        <w:rPr>
          <w:rFonts w:ascii="Garamond" w:hAnsi="Garamond"/>
          <w:spacing w:val="50"/>
          <w:sz w:val="24"/>
        </w:rPr>
        <w:t>e</w:t>
      </w:r>
      <w:r w:rsidRPr="00395593">
        <w:rPr>
          <w:rFonts w:ascii="Garamond" w:hAnsi="Garamond"/>
          <w:spacing w:val="50"/>
          <w:sz w:val="24"/>
        </w:rPr>
        <w:t xml:space="preserve"> </w:t>
      </w:r>
      <w:r w:rsidRPr="00395593">
        <w:rPr>
          <w:rFonts w:ascii="Garamond" w:hAnsi="Garamond"/>
          <w:sz w:val="24"/>
        </w:rPr>
        <w:t>administrativo</w:t>
      </w:r>
      <w:r w:rsidRPr="005C5CBD">
        <w:rPr>
          <w:rFonts w:ascii="Garamond" w:hAnsi="Garamond"/>
          <w:spacing w:val="51"/>
          <w:sz w:val="24"/>
        </w:rPr>
        <w:t>s</w:t>
      </w:r>
      <w:r w:rsidRPr="00395593">
        <w:rPr>
          <w:rFonts w:ascii="Garamond" w:hAnsi="Garamond"/>
          <w:spacing w:val="51"/>
          <w:sz w:val="24"/>
        </w:rPr>
        <w:t xml:space="preserve"> </w:t>
      </w:r>
      <w:r w:rsidRPr="00395593">
        <w:rPr>
          <w:rFonts w:ascii="Garamond" w:hAnsi="Garamond"/>
          <w:sz w:val="24"/>
        </w:rPr>
        <w:t>poderã</w:t>
      </w:r>
      <w:r w:rsidRPr="005C5CBD">
        <w:rPr>
          <w:rFonts w:ascii="Garamond" w:hAnsi="Garamond"/>
          <w:spacing w:val="51"/>
          <w:sz w:val="24"/>
        </w:rPr>
        <w:t>o</w:t>
      </w:r>
      <w:r w:rsidRPr="00395593">
        <w:rPr>
          <w:rFonts w:ascii="Garamond" w:hAnsi="Garamond"/>
          <w:spacing w:val="51"/>
          <w:sz w:val="24"/>
        </w:rPr>
        <w:t xml:space="preserve"> </w:t>
      </w:r>
      <w:r w:rsidRPr="00395593">
        <w:rPr>
          <w:rFonts w:ascii="Garamond" w:hAnsi="Garamond"/>
          <w:sz w:val="24"/>
        </w:rPr>
        <w:t>se</w:t>
      </w:r>
      <w:r w:rsidRPr="005C5CBD">
        <w:rPr>
          <w:rFonts w:ascii="Garamond" w:hAnsi="Garamond"/>
          <w:spacing w:val="50"/>
          <w:sz w:val="24"/>
        </w:rPr>
        <w:t>r</w:t>
      </w:r>
      <w:r w:rsidRPr="00395593">
        <w:rPr>
          <w:rFonts w:ascii="Garamond" w:hAnsi="Garamond"/>
          <w:spacing w:val="50"/>
          <w:sz w:val="24"/>
        </w:rPr>
        <w:t xml:space="preserve"> </w:t>
      </w:r>
      <w:r w:rsidRPr="00395593">
        <w:rPr>
          <w:rFonts w:ascii="Garamond" w:hAnsi="Garamond"/>
          <w:sz w:val="24"/>
        </w:rPr>
        <w:t>considerada</w:t>
      </w:r>
      <w:r w:rsidRPr="005C5CBD">
        <w:rPr>
          <w:rFonts w:ascii="Garamond" w:hAnsi="Garamond"/>
          <w:spacing w:val="51"/>
          <w:sz w:val="24"/>
        </w:rPr>
        <w:t>s</w:t>
      </w:r>
      <w:r w:rsidRPr="00395593">
        <w:rPr>
          <w:rFonts w:ascii="Garamond" w:hAnsi="Garamond"/>
          <w:spacing w:val="51"/>
          <w:sz w:val="24"/>
        </w:rPr>
        <w:t xml:space="preserve"> </w:t>
      </w:r>
      <w:r w:rsidRPr="00395593">
        <w:rPr>
          <w:rFonts w:ascii="Garamond" w:hAnsi="Garamond"/>
          <w:sz w:val="24"/>
        </w:rPr>
        <w:t>com</w:t>
      </w:r>
      <w:r w:rsidRPr="005C5CBD">
        <w:rPr>
          <w:rFonts w:ascii="Garamond" w:hAnsi="Garamond"/>
          <w:spacing w:val="52"/>
          <w:sz w:val="24"/>
        </w:rPr>
        <w:t>o</w:t>
      </w:r>
      <w:r w:rsidRPr="00395593">
        <w:rPr>
          <w:rFonts w:ascii="Garamond" w:hAnsi="Garamond"/>
          <w:spacing w:val="52"/>
          <w:sz w:val="24"/>
        </w:rPr>
        <w:t xml:space="preserve"> </w:t>
      </w:r>
      <w:r w:rsidRPr="00395593">
        <w:rPr>
          <w:rFonts w:ascii="Garamond" w:hAnsi="Garamond"/>
          <w:sz w:val="24"/>
        </w:rPr>
        <w:t>não</w:t>
      </w:r>
      <w:r w:rsidR="00DD0A73" w:rsidRPr="005C5CBD">
        <w:rPr>
          <w:rFonts w:ascii="Garamond" w:hAnsi="Garamond"/>
          <w:sz w:val="24"/>
        </w:rPr>
        <w:t xml:space="preserve"> </w:t>
      </w:r>
      <w:r w:rsidRPr="00395593">
        <w:rPr>
          <w:rFonts w:ascii="Garamond" w:hAnsi="Garamond"/>
        </w:rPr>
        <w:t>incorporadas nas relações normais de comércio por motivo de preço e desprezadas na</w:t>
      </w:r>
      <w:r w:rsidRPr="00395593">
        <w:rPr>
          <w:rFonts w:ascii="Garamond" w:hAnsi="Garamond"/>
          <w:spacing w:val="1"/>
        </w:rPr>
        <w:t xml:space="preserve"> </w:t>
      </w:r>
      <w:r w:rsidRPr="00395593">
        <w:rPr>
          <w:rFonts w:ascii="Garamond" w:hAnsi="Garamond"/>
        </w:rPr>
        <w:t xml:space="preserve">determinação do valor normal somente no caso de as autoridades </w:t>
      </w:r>
      <w:r w:rsidRPr="00395593">
        <w:rPr>
          <w:rFonts w:ascii="Garamond" w:hAnsi="Garamond"/>
          <w:vertAlign w:val="superscript"/>
        </w:rPr>
        <w:t>3</w:t>
      </w:r>
      <w:r w:rsidRPr="00395593">
        <w:rPr>
          <w:rFonts w:ascii="Garamond" w:hAnsi="Garamond"/>
        </w:rPr>
        <w:t xml:space="preserve"> determinarem que tais</w:t>
      </w:r>
      <w:r w:rsidRPr="00395593">
        <w:rPr>
          <w:rFonts w:ascii="Garamond" w:hAnsi="Garamond"/>
          <w:spacing w:val="1"/>
        </w:rPr>
        <w:t xml:space="preserve"> </w:t>
      </w:r>
      <w:r w:rsidRPr="00395593">
        <w:rPr>
          <w:rFonts w:ascii="Garamond" w:hAnsi="Garamond"/>
        </w:rPr>
        <w:t xml:space="preserve">vendas são realizadas dentro de um lapso de tempo dilatado </w:t>
      </w:r>
      <w:r w:rsidRPr="00395593">
        <w:rPr>
          <w:rFonts w:ascii="Garamond" w:hAnsi="Garamond"/>
          <w:vertAlign w:val="superscript"/>
        </w:rPr>
        <w:t>4</w:t>
      </w:r>
      <w:r w:rsidRPr="00395593">
        <w:rPr>
          <w:rFonts w:ascii="Garamond" w:hAnsi="Garamond"/>
        </w:rPr>
        <w:t xml:space="preserve"> em quantidades substanciais </w:t>
      </w:r>
      <w:r w:rsidRPr="00395593">
        <w:rPr>
          <w:rFonts w:ascii="Garamond" w:hAnsi="Garamond"/>
          <w:vertAlign w:val="superscript"/>
        </w:rPr>
        <w:t>5</w:t>
      </w:r>
      <w:r w:rsidRPr="00395593">
        <w:rPr>
          <w:rFonts w:ascii="Garamond" w:hAnsi="Garamond"/>
          <w:spacing w:val="-57"/>
        </w:rPr>
        <w:t xml:space="preserve"> </w:t>
      </w:r>
      <w:r w:rsidRPr="00395593">
        <w:rPr>
          <w:rFonts w:ascii="Garamond" w:hAnsi="Garamond"/>
        </w:rPr>
        <w:t>e a pregos que não permitem cobrir os custos dentro de lapso razoável de tempo. Preços</w:t>
      </w:r>
      <w:r w:rsidRPr="00395593">
        <w:rPr>
          <w:rFonts w:ascii="Garamond" w:hAnsi="Garamond"/>
          <w:spacing w:val="1"/>
        </w:rPr>
        <w:t xml:space="preserve"> </w:t>
      </w:r>
      <w:r w:rsidRPr="00395593">
        <w:rPr>
          <w:rFonts w:ascii="Garamond" w:hAnsi="Garamond"/>
        </w:rPr>
        <w:t>abaixo do custo no momento da venda mas acima do custo médio ponderado obtido no</w:t>
      </w:r>
      <w:r w:rsidRPr="00395593">
        <w:rPr>
          <w:rFonts w:ascii="Garamond" w:hAnsi="Garamond"/>
          <w:spacing w:val="1"/>
        </w:rPr>
        <w:t xml:space="preserve"> </w:t>
      </w:r>
      <w:r w:rsidRPr="00395593">
        <w:rPr>
          <w:rFonts w:ascii="Garamond" w:hAnsi="Garamond"/>
        </w:rPr>
        <w:t>período da investigação deverão ser considerados como destinados a permitir recuperação</w:t>
      </w:r>
      <w:r w:rsidRPr="00395593">
        <w:rPr>
          <w:rFonts w:ascii="Garamond" w:hAnsi="Garamond"/>
          <w:spacing w:val="1"/>
        </w:rPr>
        <w:t xml:space="preserve"> </w:t>
      </w:r>
      <w:r w:rsidRPr="00395593">
        <w:rPr>
          <w:rFonts w:ascii="Garamond" w:hAnsi="Garamond"/>
        </w:rPr>
        <w:t>de</w:t>
      </w:r>
      <w:r w:rsidRPr="00395593">
        <w:rPr>
          <w:rFonts w:ascii="Garamond" w:hAnsi="Garamond"/>
          <w:spacing w:val="-2"/>
        </w:rPr>
        <w:t xml:space="preserve"> </w:t>
      </w:r>
      <w:r w:rsidRPr="00395593">
        <w:rPr>
          <w:rFonts w:ascii="Garamond" w:hAnsi="Garamond"/>
        </w:rPr>
        <w:t>custos durante lapso de</w:t>
      </w:r>
      <w:r w:rsidRPr="00395593">
        <w:rPr>
          <w:rFonts w:ascii="Garamond" w:hAnsi="Garamond"/>
          <w:spacing w:val="-1"/>
        </w:rPr>
        <w:t xml:space="preserve"> </w:t>
      </w:r>
      <w:r w:rsidRPr="00395593">
        <w:rPr>
          <w:rFonts w:ascii="Garamond" w:hAnsi="Garamond"/>
        </w:rPr>
        <w:t>tempo razoável;</w:t>
      </w:r>
    </w:p>
    <w:p w14:paraId="7168F8B7" w14:textId="77777777" w:rsidR="0013285C" w:rsidRPr="00395593" w:rsidRDefault="0013285C" w:rsidP="0013285C">
      <w:pPr>
        <w:pStyle w:val="Corpodetexto"/>
        <w:rPr>
          <w:rFonts w:ascii="Garamond" w:hAnsi="Garamond"/>
        </w:rPr>
      </w:pPr>
    </w:p>
    <w:p w14:paraId="631A75B2" w14:textId="77777777" w:rsidR="0013285C" w:rsidRPr="00395593" w:rsidRDefault="0013285C" w:rsidP="002C4340">
      <w:pPr>
        <w:pStyle w:val="PargrafodaLista"/>
        <w:widowControl w:val="0"/>
        <w:numPr>
          <w:ilvl w:val="1"/>
          <w:numId w:val="24"/>
        </w:numPr>
        <w:tabs>
          <w:tab w:val="left" w:pos="1518"/>
        </w:tabs>
        <w:autoSpaceDE w:val="0"/>
        <w:autoSpaceDN w:val="0"/>
        <w:spacing w:after="0" w:line="240" w:lineRule="auto"/>
        <w:ind w:right="120" w:firstLine="707"/>
        <w:contextualSpacing w:val="0"/>
        <w:jc w:val="both"/>
        <w:rPr>
          <w:rFonts w:ascii="Garamond" w:hAnsi="Garamond"/>
          <w:sz w:val="24"/>
        </w:rPr>
      </w:pPr>
      <w:r w:rsidRPr="00395593">
        <w:rPr>
          <w:rFonts w:ascii="Garamond" w:hAnsi="Garamond"/>
          <w:sz w:val="24"/>
        </w:rPr>
        <w:t>Para os efeitos do parágrafo 2, os custos deverão ser normalmente calculados</w:t>
      </w:r>
      <w:r w:rsidRPr="00395593">
        <w:rPr>
          <w:rFonts w:ascii="Garamond" w:hAnsi="Garamond"/>
          <w:spacing w:val="-57"/>
          <w:sz w:val="24"/>
        </w:rPr>
        <w:t xml:space="preserve"> </w:t>
      </w:r>
      <w:r w:rsidRPr="00395593">
        <w:rPr>
          <w:rFonts w:ascii="Garamond" w:hAnsi="Garamond"/>
          <w:sz w:val="24"/>
        </w:rPr>
        <w:t>com base em registros mantidos pelo exportador ou pelo produtor objeto de investigação,</w:t>
      </w:r>
      <w:r w:rsidRPr="00395593">
        <w:rPr>
          <w:rFonts w:ascii="Garamond" w:hAnsi="Garamond"/>
          <w:spacing w:val="1"/>
          <w:sz w:val="24"/>
        </w:rPr>
        <w:t xml:space="preserve"> </w:t>
      </w:r>
      <w:r w:rsidRPr="00395593">
        <w:rPr>
          <w:rFonts w:ascii="Garamond" w:hAnsi="Garamond"/>
          <w:sz w:val="24"/>
        </w:rPr>
        <w:t>desde que tais registros estejam de acordo com os princípios contábeis geralmente aceitos</w:t>
      </w:r>
      <w:r w:rsidRPr="00395593">
        <w:rPr>
          <w:rFonts w:ascii="Garamond" w:hAnsi="Garamond"/>
          <w:spacing w:val="1"/>
          <w:sz w:val="24"/>
        </w:rPr>
        <w:t xml:space="preserve"> </w:t>
      </w:r>
      <w:r w:rsidRPr="00395593">
        <w:rPr>
          <w:rFonts w:ascii="Garamond" w:hAnsi="Garamond"/>
          <w:sz w:val="24"/>
        </w:rPr>
        <w:t>no país exportador e reflitam razoavelmente os custos relacionados com a produção e a</w:t>
      </w:r>
      <w:r w:rsidRPr="00395593">
        <w:rPr>
          <w:rFonts w:ascii="Garamond" w:hAnsi="Garamond"/>
          <w:spacing w:val="1"/>
          <w:sz w:val="24"/>
        </w:rPr>
        <w:t xml:space="preserve"> </w:t>
      </w:r>
      <w:r w:rsidRPr="00395593">
        <w:rPr>
          <w:rFonts w:ascii="Garamond" w:hAnsi="Garamond"/>
          <w:sz w:val="24"/>
        </w:rPr>
        <w:t>venda</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produto</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causa.</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deverão</w:t>
      </w:r>
      <w:r w:rsidRPr="00395593">
        <w:rPr>
          <w:rFonts w:ascii="Garamond" w:hAnsi="Garamond"/>
          <w:spacing w:val="1"/>
          <w:sz w:val="24"/>
        </w:rPr>
        <w:t xml:space="preserve"> </w:t>
      </w:r>
      <w:r w:rsidRPr="00395593">
        <w:rPr>
          <w:rFonts w:ascii="Garamond" w:hAnsi="Garamond"/>
          <w:sz w:val="24"/>
        </w:rPr>
        <w:t>levar</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consideração</w:t>
      </w:r>
      <w:r w:rsidRPr="00395593">
        <w:rPr>
          <w:rFonts w:ascii="Garamond" w:hAnsi="Garamond"/>
          <w:spacing w:val="1"/>
          <w:sz w:val="24"/>
        </w:rPr>
        <w:t xml:space="preserve"> </w:t>
      </w:r>
      <w:r w:rsidRPr="00395593">
        <w:rPr>
          <w:rFonts w:ascii="Garamond" w:hAnsi="Garamond"/>
          <w:sz w:val="24"/>
        </w:rPr>
        <w:t>todas</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informações disponíveis sobre a correta distribuição de custos, inclusive aquelas fornecidas</w:t>
      </w:r>
      <w:r w:rsidRPr="00395593">
        <w:rPr>
          <w:rFonts w:ascii="Garamond" w:hAnsi="Garamond"/>
          <w:spacing w:val="1"/>
          <w:sz w:val="24"/>
        </w:rPr>
        <w:t xml:space="preserve"> </w:t>
      </w:r>
      <w:r w:rsidRPr="00395593">
        <w:rPr>
          <w:rFonts w:ascii="Garamond" w:hAnsi="Garamond"/>
          <w:sz w:val="24"/>
        </w:rPr>
        <w:t>pelo</w:t>
      </w:r>
      <w:r w:rsidRPr="00395593">
        <w:rPr>
          <w:rFonts w:ascii="Garamond" w:hAnsi="Garamond"/>
          <w:spacing w:val="1"/>
          <w:sz w:val="24"/>
        </w:rPr>
        <w:t xml:space="preserve"> </w:t>
      </w:r>
      <w:r w:rsidRPr="00395593">
        <w:rPr>
          <w:rFonts w:ascii="Garamond" w:hAnsi="Garamond"/>
          <w:sz w:val="24"/>
        </w:rPr>
        <w:t>exportador</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produtor</w:t>
      </w:r>
      <w:r w:rsidRPr="00395593">
        <w:rPr>
          <w:rFonts w:ascii="Garamond" w:hAnsi="Garamond"/>
          <w:spacing w:val="1"/>
          <w:sz w:val="24"/>
        </w:rPr>
        <w:t xml:space="preserve"> </w:t>
      </w:r>
      <w:r w:rsidRPr="00395593">
        <w:rPr>
          <w:rFonts w:ascii="Garamond" w:hAnsi="Garamond"/>
          <w:sz w:val="24"/>
        </w:rPr>
        <w:t>durante</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procedimentos</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investigação,</w:t>
      </w:r>
      <w:r w:rsidRPr="00395593">
        <w:rPr>
          <w:rFonts w:ascii="Garamond" w:hAnsi="Garamond"/>
          <w:spacing w:val="1"/>
          <w:sz w:val="24"/>
        </w:rPr>
        <w:t xml:space="preserve"> </w:t>
      </w:r>
      <w:r w:rsidRPr="00395593">
        <w:rPr>
          <w:rFonts w:ascii="Garamond" w:hAnsi="Garamond"/>
          <w:sz w:val="24"/>
        </w:rPr>
        <w:t>desde</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tal</w:t>
      </w:r>
      <w:r w:rsidRPr="00395593">
        <w:rPr>
          <w:rFonts w:ascii="Garamond" w:hAnsi="Garamond"/>
          <w:spacing w:val="-57"/>
          <w:sz w:val="24"/>
        </w:rPr>
        <w:t xml:space="preserve"> </w:t>
      </w:r>
      <w:r w:rsidRPr="00395593">
        <w:rPr>
          <w:rFonts w:ascii="Garamond" w:hAnsi="Garamond"/>
          <w:sz w:val="24"/>
        </w:rPr>
        <w:t>distribuição tenha sido regularmente utilizada pelo exportador ou produtor, particularmente</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tange</w:t>
      </w:r>
      <w:r w:rsidRPr="00395593">
        <w:rPr>
          <w:rFonts w:ascii="Garamond" w:hAnsi="Garamond"/>
          <w:spacing w:val="1"/>
          <w:sz w:val="24"/>
        </w:rPr>
        <w:t xml:space="preserve"> </w:t>
      </w:r>
      <w:r w:rsidRPr="00395593">
        <w:rPr>
          <w:rFonts w:ascii="Garamond" w:hAnsi="Garamond"/>
          <w:sz w:val="24"/>
        </w:rPr>
        <w:t>à</w:t>
      </w:r>
      <w:r w:rsidRPr="00395593">
        <w:rPr>
          <w:rFonts w:ascii="Garamond" w:hAnsi="Garamond"/>
          <w:spacing w:val="1"/>
          <w:sz w:val="24"/>
        </w:rPr>
        <w:t xml:space="preserve"> </w:t>
      </w:r>
      <w:r w:rsidRPr="00395593">
        <w:rPr>
          <w:rFonts w:ascii="Garamond" w:hAnsi="Garamond"/>
          <w:sz w:val="24"/>
        </w:rPr>
        <w:t>determinação</w:t>
      </w:r>
      <w:r w:rsidRPr="00395593">
        <w:rPr>
          <w:rFonts w:ascii="Garamond" w:hAnsi="Garamond"/>
          <w:spacing w:val="1"/>
          <w:sz w:val="24"/>
        </w:rPr>
        <w:t xml:space="preserve"> </w:t>
      </w:r>
      <w:r w:rsidRPr="00395593">
        <w:rPr>
          <w:rFonts w:ascii="Garamond" w:hAnsi="Garamond"/>
          <w:sz w:val="24"/>
        </w:rPr>
        <w:t>dos</w:t>
      </w:r>
      <w:r w:rsidRPr="00395593">
        <w:rPr>
          <w:rFonts w:ascii="Garamond" w:hAnsi="Garamond"/>
          <w:spacing w:val="1"/>
          <w:sz w:val="24"/>
        </w:rPr>
        <w:t xml:space="preserve"> </w:t>
      </w:r>
      <w:r w:rsidRPr="00395593">
        <w:rPr>
          <w:rFonts w:ascii="Garamond" w:hAnsi="Garamond"/>
          <w:sz w:val="24"/>
        </w:rPr>
        <w:t>prazos</w:t>
      </w:r>
      <w:r w:rsidRPr="00395593">
        <w:rPr>
          <w:rFonts w:ascii="Garamond" w:hAnsi="Garamond"/>
          <w:spacing w:val="1"/>
          <w:sz w:val="24"/>
        </w:rPr>
        <w:t xml:space="preserve"> </w:t>
      </w:r>
      <w:r w:rsidRPr="00395593">
        <w:rPr>
          <w:rFonts w:ascii="Garamond" w:hAnsi="Garamond"/>
          <w:sz w:val="24"/>
        </w:rPr>
        <w:t>adequados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amortização</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depreciação</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deduções</w:t>
      </w:r>
      <w:r w:rsidRPr="00395593">
        <w:rPr>
          <w:rFonts w:ascii="Garamond" w:hAnsi="Garamond"/>
          <w:spacing w:val="26"/>
          <w:sz w:val="24"/>
        </w:rPr>
        <w:t xml:space="preserve"> </w:t>
      </w:r>
      <w:r w:rsidRPr="00395593">
        <w:rPr>
          <w:rFonts w:ascii="Garamond" w:hAnsi="Garamond"/>
          <w:sz w:val="24"/>
        </w:rPr>
        <w:t>por</w:t>
      </w:r>
      <w:r w:rsidRPr="00395593">
        <w:rPr>
          <w:rFonts w:ascii="Garamond" w:hAnsi="Garamond"/>
          <w:spacing w:val="26"/>
          <w:sz w:val="24"/>
        </w:rPr>
        <w:t xml:space="preserve"> </w:t>
      </w:r>
      <w:r w:rsidRPr="00395593">
        <w:rPr>
          <w:rFonts w:ascii="Garamond" w:hAnsi="Garamond"/>
          <w:sz w:val="24"/>
        </w:rPr>
        <w:t>conta</w:t>
      </w:r>
      <w:r w:rsidRPr="00395593">
        <w:rPr>
          <w:rFonts w:ascii="Garamond" w:hAnsi="Garamond"/>
          <w:spacing w:val="27"/>
          <w:sz w:val="24"/>
        </w:rPr>
        <w:t xml:space="preserve"> </w:t>
      </w:r>
      <w:r w:rsidRPr="00395593">
        <w:rPr>
          <w:rFonts w:ascii="Garamond" w:hAnsi="Garamond"/>
          <w:sz w:val="24"/>
        </w:rPr>
        <w:t>de</w:t>
      </w:r>
      <w:r w:rsidRPr="00395593">
        <w:rPr>
          <w:rFonts w:ascii="Garamond" w:hAnsi="Garamond"/>
          <w:spacing w:val="26"/>
          <w:sz w:val="24"/>
        </w:rPr>
        <w:t xml:space="preserve"> </w:t>
      </w:r>
      <w:r w:rsidRPr="00395593">
        <w:rPr>
          <w:rFonts w:ascii="Garamond" w:hAnsi="Garamond"/>
          <w:sz w:val="24"/>
        </w:rPr>
        <w:t>despesas</w:t>
      </w:r>
      <w:r w:rsidRPr="00395593">
        <w:rPr>
          <w:rFonts w:ascii="Garamond" w:hAnsi="Garamond"/>
          <w:spacing w:val="27"/>
          <w:sz w:val="24"/>
        </w:rPr>
        <w:t xml:space="preserve"> </w:t>
      </w:r>
      <w:r w:rsidRPr="00395593">
        <w:rPr>
          <w:rFonts w:ascii="Garamond" w:hAnsi="Garamond"/>
          <w:sz w:val="24"/>
        </w:rPr>
        <w:t>de</w:t>
      </w:r>
      <w:r w:rsidRPr="00395593">
        <w:rPr>
          <w:rFonts w:ascii="Garamond" w:hAnsi="Garamond"/>
          <w:spacing w:val="26"/>
          <w:sz w:val="24"/>
        </w:rPr>
        <w:t xml:space="preserve"> </w:t>
      </w:r>
      <w:r w:rsidRPr="00395593">
        <w:rPr>
          <w:rFonts w:ascii="Garamond" w:hAnsi="Garamond"/>
          <w:sz w:val="24"/>
        </w:rPr>
        <w:t>capital</w:t>
      </w:r>
      <w:r w:rsidRPr="00395593">
        <w:rPr>
          <w:rFonts w:ascii="Garamond" w:hAnsi="Garamond"/>
          <w:spacing w:val="27"/>
          <w:sz w:val="24"/>
        </w:rPr>
        <w:t xml:space="preserve"> </w:t>
      </w:r>
      <w:r w:rsidRPr="00395593">
        <w:rPr>
          <w:rFonts w:ascii="Garamond" w:hAnsi="Garamond"/>
          <w:sz w:val="24"/>
        </w:rPr>
        <w:t>e</w:t>
      </w:r>
      <w:r w:rsidRPr="00395593">
        <w:rPr>
          <w:rFonts w:ascii="Garamond" w:hAnsi="Garamond"/>
          <w:spacing w:val="26"/>
          <w:sz w:val="24"/>
        </w:rPr>
        <w:t xml:space="preserve"> </w:t>
      </w:r>
      <w:r w:rsidRPr="00395593">
        <w:rPr>
          <w:rFonts w:ascii="Garamond" w:hAnsi="Garamond"/>
          <w:sz w:val="24"/>
        </w:rPr>
        <w:t>outros</w:t>
      </w:r>
      <w:r w:rsidRPr="00395593">
        <w:rPr>
          <w:rFonts w:ascii="Garamond" w:hAnsi="Garamond"/>
          <w:spacing w:val="27"/>
          <w:sz w:val="24"/>
        </w:rPr>
        <w:t xml:space="preserve"> </w:t>
      </w:r>
      <w:r w:rsidRPr="00395593">
        <w:rPr>
          <w:rFonts w:ascii="Garamond" w:hAnsi="Garamond"/>
          <w:sz w:val="24"/>
        </w:rPr>
        <w:t>custos</w:t>
      </w:r>
      <w:r w:rsidRPr="00395593">
        <w:rPr>
          <w:rFonts w:ascii="Garamond" w:hAnsi="Garamond"/>
          <w:spacing w:val="28"/>
          <w:sz w:val="24"/>
        </w:rPr>
        <w:t xml:space="preserve"> </w:t>
      </w:r>
      <w:r w:rsidRPr="00395593">
        <w:rPr>
          <w:rFonts w:ascii="Garamond" w:hAnsi="Garamond"/>
          <w:sz w:val="24"/>
        </w:rPr>
        <w:t>de</w:t>
      </w:r>
      <w:r w:rsidRPr="00395593">
        <w:rPr>
          <w:rFonts w:ascii="Garamond" w:hAnsi="Garamond"/>
          <w:spacing w:val="26"/>
          <w:sz w:val="24"/>
        </w:rPr>
        <w:t xml:space="preserve"> </w:t>
      </w:r>
      <w:r w:rsidRPr="00395593">
        <w:rPr>
          <w:rFonts w:ascii="Garamond" w:hAnsi="Garamond"/>
          <w:sz w:val="24"/>
        </w:rPr>
        <w:t>desenvolvimento.</w:t>
      </w:r>
      <w:r w:rsidRPr="00395593">
        <w:rPr>
          <w:rFonts w:ascii="Garamond" w:hAnsi="Garamond"/>
          <w:spacing w:val="27"/>
          <w:sz w:val="24"/>
        </w:rPr>
        <w:t xml:space="preserve"> </w:t>
      </w:r>
      <w:r w:rsidRPr="00395593">
        <w:rPr>
          <w:rFonts w:ascii="Garamond" w:hAnsi="Garamond"/>
          <w:sz w:val="24"/>
        </w:rPr>
        <w:t>A</w:t>
      </w:r>
      <w:r w:rsidRPr="00395593">
        <w:rPr>
          <w:rFonts w:ascii="Garamond" w:hAnsi="Garamond"/>
          <w:spacing w:val="26"/>
          <w:sz w:val="24"/>
        </w:rPr>
        <w:t xml:space="preserve"> </w:t>
      </w:r>
      <w:r w:rsidRPr="00395593">
        <w:rPr>
          <w:rFonts w:ascii="Garamond" w:hAnsi="Garamond"/>
          <w:sz w:val="24"/>
        </w:rPr>
        <w:t>menos</w:t>
      </w:r>
      <w:r w:rsidRPr="00395593">
        <w:rPr>
          <w:rFonts w:ascii="Garamond" w:hAnsi="Garamond"/>
          <w:spacing w:val="-57"/>
          <w:sz w:val="24"/>
        </w:rPr>
        <w:t xml:space="preserve"> </w:t>
      </w:r>
      <w:r w:rsidRPr="00395593">
        <w:rPr>
          <w:rFonts w:ascii="Garamond" w:hAnsi="Garamond"/>
          <w:sz w:val="24"/>
        </w:rPr>
        <w:t>que já refletidos na distribuição de custos contemplada neste subparágrafo, os custos devem</w:t>
      </w:r>
      <w:r w:rsidRPr="00395593">
        <w:rPr>
          <w:rFonts w:ascii="Garamond" w:hAnsi="Garamond"/>
          <w:spacing w:val="-57"/>
          <w:sz w:val="24"/>
        </w:rPr>
        <w:t xml:space="preserve"> </w:t>
      </w:r>
      <w:r w:rsidRPr="00395593">
        <w:rPr>
          <w:rFonts w:ascii="Garamond" w:hAnsi="Garamond"/>
          <w:spacing w:val="-1"/>
          <w:sz w:val="24"/>
        </w:rPr>
        <w:t>ser</w:t>
      </w:r>
      <w:r w:rsidRPr="00395593">
        <w:rPr>
          <w:rFonts w:ascii="Garamond" w:hAnsi="Garamond"/>
          <w:sz w:val="24"/>
        </w:rPr>
        <w:t xml:space="preserve"> </w:t>
      </w:r>
      <w:r w:rsidRPr="00395593">
        <w:rPr>
          <w:rFonts w:ascii="Garamond" w:hAnsi="Garamond"/>
          <w:spacing w:val="-1"/>
          <w:sz w:val="24"/>
        </w:rPr>
        <w:t>ajustados</w:t>
      </w:r>
      <w:r w:rsidRPr="00395593">
        <w:rPr>
          <w:rFonts w:ascii="Garamond" w:hAnsi="Garamond"/>
          <w:spacing w:val="1"/>
          <w:sz w:val="24"/>
        </w:rPr>
        <w:t xml:space="preserve"> </w:t>
      </w:r>
      <w:r w:rsidRPr="00395593">
        <w:rPr>
          <w:rFonts w:ascii="Garamond" w:hAnsi="Garamond"/>
          <w:spacing w:val="-1"/>
          <w:sz w:val="24"/>
        </w:rPr>
        <w:t>adequadamente</w:t>
      </w:r>
      <w:r w:rsidRPr="00395593">
        <w:rPr>
          <w:rFonts w:ascii="Garamond" w:hAnsi="Garamond"/>
          <w:sz w:val="24"/>
        </w:rPr>
        <w:t xml:space="preserve"> e</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função daqueles</w:t>
      </w:r>
      <w:r w:rsidRPr="00395593">
        <w:rPr>
          <w:rFonts w:ascii="Garamond" w:hAnsi="Garamond"/>
          <w:spacing w:val="-18"/>
          <w:sz w:val="24"/>
        </w:rPr>
        <w:t xml:space="preserve"> </w:t>
      </w:r>
      <w:r w:rsidRPr="00395593">
        <w:rPr>
          <w:rFonts w:ascii="Garamond" w:hAnsi="Garamond"/>
          <w:sz w:val="24"/>
        </w:rPr>
        <w:t>itens</w:t>
      </w:r>
      <w:r w:rsidRPr="00395593">
        <w:rPr>
          <w:rFonts w:ascii="Garamond" w:hAnsi="Garamond"/>
          <w:spacing w:val="57"/>
          <w:sz w:val="24"/>
        </w:rPr>
        <w:t xml:space="preserve"> </w:t>
      </w:r>
      <w:r w:rsidRPr="00395593">
        <w:rPr>
          <w:rFonts w:ascii="Garamond" w:hAnsi="Garamond"/>
          <w:sz w:val="24"/>
        </w:rPr>
        <w:t>não-recorrentes</w:t>
      </w:r>
      <w:r w:rsidRPr="00395593">
        <w:rPr>
          <w:rFonts w:ascii="Garamond" w:hAnsi="Garamond"/>
          <w:spacing w:val="57"/>
          <w:sz w:val="24"/>
        </w:rPr>
        <w:t xml:space="preserve"> </w:t>
      </w:r>
      <w:r w:rsidRPr="00395593">
        <w:rPr>
          <w:rFonts w:ascii="Garamond" w:hAnsi="Garamond"/>
          <w:sz w:val="24"/>
        </w:rPr>
        <w:t>que</w:t>
      </w:r>
      <w:r w:rsidRPr="00395593">
        <w:rPr>
          <w:rFonts w:ascii="Garamond" w:hAnsi="Garamond"/>
          <w:spacing w:val="56"/>
          <w:sz w:val="24"/>
        </w:rPr>
        <w:t xml:space="preserve"> </w:t>
      </w:r>
      <w:r w:rsidRPr="00395593">
        <w:rPr>
          <w:rFonts w:ascii="Garamond" w:hAnsi="Garamond"/>
          <w:sz w:val="24"/>
        </w:rPr>
        <w:t>beneficiem</w:t>
      </w:r>
      <w:r w:rsidRPr="00395593">
        <w:rPr>
          <w:rFonts w:ascii="Garamond" w:hAnsi="Garamond"/>
          <w:spacing w:val="-58"/>
          <w:sz w:val="24"/>
        </w:rPr>
        <w:t xml:space="preserve"> </w:t>
      </w:r>
      <w:r w:rsidRPr="00395593">
        <w:rPr>
          <w:rFonts w:ascii="Garamond" w:hAnsi="Garamond"/>
          <w:sz w:val="24"/>
        </w:rPr>
        <w:t>produção futura e/ou corrente ou ainda em função de circunstâncias nas quais os custos</w:t>
      </w:r>
      <w:r w:rsidRPr="00395593">
        <w:rPr>
          <w:rFonts w:ascii="Garamond" w:hAnsi="Garamond"/>
          <w:spacing w:val="1"/>
          <w:sz w:val="24"/>
        </w:rPr>
        <w:t xml:space="preserve"> </w:t>
      </w:r>
      <w:r w:rsidRPr="00395593">
        <w:rPr>
          <w:rFonts w:ascii="Garamond" w:hAnsi="Garamond"/>
          <w:sz w:val="24"/>
        </w:rPr>
        <w:t>observados durante o período de investigação sejam afetados por operações de entrada em</w:t>
      </w:r>
      <w:r w:rsidRPr="00395593">
        <w:rPr>
          <w:rFonts w:ascii="Garamond" w:hAnsi="Garamond"/>
          <w:spacing w:val="1"/>
          <w:sz w:val="24"/>
        </w:rPr>
        <w:t xml:space="preserve"> </w:t>
      </w:r>
      <w:r w:rsidRPr="00395593">
        <w:rPr>
          <w:rFonts w:ascii="Garamond" w:hAnsi="Garamond"/>
          <w:sz w:val="24"/>
        </w:rPr>
        <w:t xml:space="preserve">funcionamento </w:t>
      </w:r>
      <w:r w:rsidRPr="00395593">
        <w:rPr>
          <w:rFonts w:ascii="Garamond" w:hAnsi="Garamond"/>
          <w:sz w:val="24"/>
          <w:vertAlign w:val="superscript"/>
        </w:rPr>
        <w:t>6</w:t>
      </w:r>
      <w:r w:rsidRPr="00395593">
        <w:rPr>
          <w:rFonts w:ascii="Garamond" w:hAnsi="Garamond"/>
          <w:sz w:val="24"/>
        </w:rPr>
        <w:t>.</w:t>
      </w:r>
    </w:p>
    <w:p w14:paraId="09221931" w14:textId="77777777" w:rsidR="0013285C" w:rsidRPr="00395593" w:rsidRDefault="0013285C" w:rsidP="0013285C">
      <w:pPr>
        <w:pStyle w:val="Corpodetexto"/>
        <w:spacing w:before="1"/>
        <w:rPr>
          <w:rFonts w:ascii="Garamond" w:hAnsi="Garamond"/>
        </w:rPr>
      </w:pPr>
    </w:p>
    <w:p w14:paraId="7C2D1303" w14:textId="77777777" w:rsidR="0013285C" w:rsidRPr="00395593" w:rsidRDefault="0013285C" w:rsidP="00DD0A73">
      <w:pPr>
        <w:pStyle w:val="PargrafodaLista"/>
        <w:widowControl w:val="0"/>
        <w:numPr>
          <w:ilvl w:val="1"/>
          <w:numId w:val="24"/>
        </w:numPr>
        <w:tabs>
          <w:tab w:val="left" w:pos="1518"/>
        </w:tabs>
        <w:autoSpaceDE w:val="0"/>
        <w:autoSpaceDN w:val="0"/>
        <w:spacing w:after="0" w:line="240" w:lineRule="auto"/>
        <w:ind w:right="120" w:firstLine="707"/>
        <w:contextualSpacing w:val="0"/>
        <w:jc w:val="both"/>
        <w:rPr>
          <w:rFonts w:ascii="Garamond" w:hAnsi="Garamond"/>
          <w:sz w:val="24"/>
        </w:rPr>
      </w:pPr>
      <w:r w:rsidRPr="00395593">
        <w:rPr>
          <w:rFonts w:ascii="Garamond" w:hAnsi="Garamond"/>
          <w:sz w:val="24"/>
        </w:rPr>
        <w:t>Para as finalidades do parágrafo 2, valores adotados para os custos administrativos de</w:t>
      </w:r>
      <w:r w:rsidRPr="00395593">
        <w:rPr>
          <w:rFonts w:ascii="Garamond" w:hAnsi="Garamond"/>
          <w:spacing w:val="1"/>
          <w:sz w:val="24"/>
        </w:rPr>
        <w:t xml:space="preserve"> </w:t>
      </w:r>
      <w:r w:rsidRPr="00395593">
        <w:rPr>
          <w:rFonts w:ascii="Garamond" w:hAnsi="Garamond"/>
          <w:sz w:val="24"/>
        </w:rPr>
        <w:t>comercialização</w:t>
      </w:r>
      <w:r w:rsidRPr="00395593">
        <w:rPr>
          <w:rFonts w:ascii="Garamond" w:hAnsi="Garamond"/>
          <w:spacing w:val="57"/>
          <w:sz w:val="24"/>
        </w:rPr>
        <w:t xml:space="preserve"> </w:t>
      </w:r>
      <w:r w:rsidRPr="00395593">
        <w:rPr>
          <w:rFonts w:ascii="Garamond" w:hAnsi="Garamond"/>
          <w:sz w:val="24"/>
        </w:rPr>
        <w:t>e</w:t>
      </w:r>
      <w:r w:rsidRPr="00395593">
        <w:rPr>
          <w:rFonts w:ascii="Garamond" w:hAnsi="Garamond"/>
          <w:spacing w:val="57"/>
          <w:sz w:val="24"/>
        </w:rPr>
        <w:t xml:space="preserve"> </w:t>
      </w:r>
      <w:r w:rsidRPr="00395593">
        <w:rPr>
          <w:rFonts w:ascii="Garamond" w:hAnsi="Garamond"/>
          <w:sz w:val="24"/>
        </w:rPr>
        <w:t>outros</w:t>
      </w:r>
      <w:r w:rsidRPr="00395593">
        <w:rPr>
          <w:rFonts w:ascii="Garamond" w:hAnsi="Garamond"/>
          <w:spacing w:val="58"/>
          <w:sz w:val="24"/>
        </w:rPr>
        <w:t xml:space="preserve"> </w:t>
      </w:r>
      <w:r w:rsidRPr="00395593">
        <w:rPr>
          <w:rFonts w:ascii="Garamond" w:hAnsi="Garamond"/>
          <w:sz w:val="24"/>
        </w:rPr>
        <w:t>e</w:t>
      </w:r>
      <w:r w:rsidRPr="00395593">
        <w:rPr>
          <w:rFonts w:ascii="Garamond" w:hAnsi="Garamond"/>
          <w:spacing w:val="57"/>
          <w:sz w:val="24"/>
        </w:rPr>
        <w:t xml:space="preserve"> </w:t>
      </w:r>
      <w:r w:rsidRPr="00395593">
        <w:rPr>
          <w:rFonts w:ascii="Garamond" w:hAnsi="Garamond"/>
          <w:sz w:val="24"/>
        </w:rPr>
        <w:t>para</w:t>
      </w:r>
      <w:r w:rsidRPr="00395593">
        <w:rPr>
          <w:rFonts w:ascii="Garamond" w:hAnsi="Garamond"/>
          <w:spacing w:val="57"/>
          <w:sz w:val="24"/>
        </w:rPr>
        <w:t xml:space="preserve"> </w:t>
      </w:r>
      <w:r w:rsidRPr="00395593">
        <w:rPr>
          <w:rFonts w:ascii="Garamond" w:hAnsi="Garamond"/>
          <w:sz w:val="24"/>
        </w:rPr>
        <w:t>o</w:t>
      </w:r>
      <w:r w:rsidRPr="00395593">
        <w:rPr>
          <w:rFonts w:ascii="Garamond" w:hAnsi="Garamond"/>
          <w:spacing w:val="58"/>
          <w:sz w:val="24"/>
        </w:rPr>
        <w:t xml:space="preserve"> </w:t>
      </w:r>
      <w:r w:rsidRPr="00395593">
        <w:rPr>
          <w:rFonts w:ascii="Garamond" w:hAnsi="Garamond"/>
          <w:sz w:val="24"/>
        </w:rPr>
        <w:t>lucro</w:t>
      </w:r>
      <w:r w:rsidRPr="00395593">
        <w:rPr>
          <w:rFonts w:ascii="Garamond" w:hAnsi="Garamond"/>
          <w:spacing w:val="57"/>
          <w:sz w:val="24"/>
        </w:rPr>
        <w:t xml:space="preserve"> </w:t>
      </w:r>
      <w:r w:rsidRPr="00395593">
        <w:rPr>
          <w:rFonts w:ascii="Garamond" w:hAnsi="Garamond"/>
          <w:sz w:val="24"/>
        </w:rPr>
        <w:t>deverão</w:t>
      </w:r>
      <w:r w:rsidRPr="00395593">
        <w:rPr>
          <w:rFonts w:ascii="Garamond" w:hAnsi="Garamond"/>
          <w:spacing w:val="58"/>
          <w:sz w:val="24"/>
        </w:rPr>
        <w:t xml:space="preserve"> </w:t>
      </w:r>
      <w:r w:rsidRPr="00395593">
        <w:rPr>
          <w:rFonts w:ascii="Garamond" w:hAnsi="Garamond"/>
          <w:sz w:val="24"/>
        </w:rPr>
        <w:t>basear-se</w:t>
      </w:r>
      <w:r w:rsidRPr="00395593">
        <w:rPr>
          <w:rFonts w:ascii="Garamond" w:hAnsi="Garamond"/>
          <w:spacing w:val="58"/>
          <w:sz w:val="24"/>
        </w:rPr>
        <w:t xml:space="preserve"> </w:t>
      </w:r>
      <w:r w:rsidRPr="00395593">
        <w:rPr>
          <w:rFonts w:ascii="Garamond" w:hAnsi="Garamond"/>
          <w:sz w:val="24"/>
        </w:rPr>
        <w:t>em</w:t>
      </w:r>
      <w:r w:rsidRPr="00395593">
        <w:rPr>
          <w:rFonts w:ascii="Garamond" w:hAnsi="Garamond"/>
          <w:spacing w:val="59"/>
          <w:sz w:val="24"/>
        </w:rPr>
        <w:t xml:space="preserve"> </w:t>
      </w:r>
      <w:r w:rsidRPr="00395593">
        <w:rPr>
          <w:rFonts w:ascii="Garamond" w:hAnsi="Garamond"/>
          <w:sz w:val="24"/>
        </w:rPr>
        <w:t>dados</w:t>
      </w:r>
      <w:r w:rsidRPr="00395593">
        <w:rPr>
          <w:rFonts w:ascii="Garamond" w:hAnsi="Garamond"/>
          <w:spacing w:val="59"/>
          <w:sz w:val="24"/>
        </w:rPr>
        <w:t xml:space="preserve"> </w:t>
      </w:r>
      <w:r w:rsidRPr="00395593">
        <w:rPr>
          <w:rFonts w:ascii="Garamond" w:hAnsi="Garamond"/>
          <w:sz w:val="24"/>
        </w:rPr>
        <w:t>reais</w:t>
      </w:r>
      <w:r w:rsidRPr="00395593">
        <w:rPr>
          <w:rFonts w:ascii="Garamond" w:hAnsi="Garamond"/>
          <w:spacing w:val="59"/>
          <w:sz w:val="24"/>
        </w:rPr>
        <w:t xml:space="preserve"> </w:t>
      </w:r>
      <w:r w:rsidRPr="00395593">
        <w:rPr>
          <w:rFonts w:ascii="Garamond" w:hAnsi="Garamond"/>
          <w:sz w:val="24"/>
        </w:rPr>
        <w:t>relativos</w:t>
      </w:r>
      <w:r w:rsidRPr="00395593">
        <w:rPr>
          <w:rFonts w:ascii="Garamond" w:hAnsi="Garamond"/>
          <w:spacing w:val="59"/>
          <w:sz w:val="24"/>
        </w:rPr>
        <w:t xml:space="preserve"> </w:t>
      </w:r>
      <w:r w:rsidRPr="00395593">
        <w:rPr>
          <w:rFonts w:ascii="Garamond" w:hAnsi="Garamond"/>
          <w:sz w:val="24"/>
        </w:rPr>
        <w:t>à</w:t>
      </w:r>
      <w:r w:rsidRPr="00395593">
        <w:rPr>
          <w:rFonts w:ascii="Garamond" w:hAnsi="Garamond"/>
          <w:spacing w:val="-58"/>
          <w:sz w:val="24"/>
        </w:rPr>
        <w:t xml:space="preserve"> </w:t>
      </w:r>
      <w:r w:rsidRPr="00395593">
        <w:rPr>
          <w:rFonts w:ascii="Garamond" w:hAnsi="Garamond"/>
          <w:sz w:val="24"/>
        </w:rPr>
        <w:t>produção e à venda no curso normal dos atos de comércio do produto similar praticados</w:t>
      </w:r>
      <w:r w:rsidRPr="00395593">
        <w:rPr>
          <w:rFonts w:ascii="Garamond" w:hAnsi="Garamond"/>
          <w:spacing w:val="1"/>
          <w:sz w:val="24"/>
        </w:rPr>
        <w:t xml:space="preserve"> </w:t>
      </w:r>
      <w:r w:rsidRPr="00395593">
        <w:rPr>
          <w:rFonts w:ascii="Garamond" w:hAnsi="Garamond"/>
          <w:sz w:val="24"/>
        </w:rPr>
        <w:t>pelo exportador ou pelo produtor sob investigação. Quando tais valores não puderem ser</w:t>
      </w:r>
      <w:r w:rsidRPr="00395593">
        <w:rPr>
          <w:rFonts w:ascii="Garamond" w:hAnsi="Garamond"/>
          <w:spacing w:val="1"/>
          <w:sz w:val="24"/>
        </w:rPr>
        <w:t xml:space="preserve"> </w:t>
      </w:r>
      <w:r w:rsidRPr="00395593">
        <w:rPr>
          <w:rFonts w:ascii="Garamond" w:hAnsi="Garamond"/>
          <w:sz w:val="24"/>
        </w:rPr>
        <w:t>determinados</w:t>
      </w:r>
      <w:r w:rsidRPr="00395593">
        <w:rPr>
          <w:rFonts w:ascii="Garamond" w:hAnsi="Garamond"/>
          <w:spacing w:val="-1"/>
          <w:sz w:val="24"/>
        </w:rPr>
        <w:t xml:space="preserve"> </w:t>
      </w:r>
      <w:r w:rsidRPr="00395593">
        <w:rPr>
          <w:rFonts w:ascii="Garamond" w:hAnsi="Garamond"/>
          <w:sz w:val="24"/>
        </w:rPr>
        <w:t>nessa base</w:t>
      </w:r>
      <w:r w:rsidRPr="00395593">
        <w:rPr>
          <w:rFonts w:ascii="Garamond" w:hAnsi="Garamond"/>
          <w:spacing w:val="1"/>
          <w:sz w:val="24"/>
        </w:rPr>
        <w:t xml:space="preserve"> </w:t>
      </w:r>
      <w:r w:rsidRPr="00395593">
        <w:rPr>
          <w:rFonts w:ascii="Garamond" w:hAnsi="Garamond"/>
          <w:sz w:val="24"/>
        </w:rPr>
        <w:t>eles poderão</w:t>
      </w:r>
      <w:r w:rsidRPr="00395593">
        <w:rPr>
          <w:rFonts w:ascii="Garamond" w:hAnsi="Garamond"/>
          <w:spacing w:val="-1"/>
          <w:sz w:val="24"/>
        </w:rPr>
        <w:t xml:space="preserve"> </w:t>
      </w:r>
      <w:r w:rsidRPr="00395593">
        <w:rPr>
          <w:rFonts w:ascii="Garamond" w:hAnsi="Garamond"/>
          <w:sz w:val="24"/>
        </w:rPr>
        <w:t>ser determinados por meio de:</w:t>
      </w:r>
    </w:p>
    <w:p w14:paraId="683F4C5A" w14:textId="77777777" w:rsidR="0013285C" w:rsidRPr="00395593" w:rsidRDefault="0013285C" w:rsidP="0013285C">
      <w:pPr>
        <w:pStyle w:val="Corpodetexto"/>
        <w:spacing w:before="1"/>
        <w:rPr>
          <w:rFonts w:ascii="Garamond" w:hAnsi="Garamond"/>
        </w:rPr>
      </w:pPr>
    </w:p>
    <w:p w14:paraId="5F61190C" w14:textId="77777777" w:rsidR="0013285C" w:rsidRPr="00395593" w:rsidRDefault="0013285C" w:rsidP="002C4340">
      <w:pPr>
        <w:pStyle w:val="PargrafodaLista"/>
        <w:widowControl w:val="0"/>
        <w:numPr>
          <w:ilvl w:val="2"/>
          <w:numId w:val="24"/>
        </w:numPr>
        <w:tabs>
          <w:tab w:val="left" w:pos="1115"/>
        </w:tabs>
        <w:autoSpaceDE w:val="0"/>
        <w:autoSpaceDN w:val="0"/>
        <w:spacing w:after="0" w:line="240" w:lineRule="auto"/>
        <w:ind w:left="821" w:right="115" w:firstLine="0"/>
        <w:contextualSpacing w:val="0"/>
        <w:jc w:val="both"/>
        <w:rPr>
          <w:rFonts w:ascii="Garamond" w:hAnsi="Garamond"/>
          <w:sz w:val="24"/>
        </w:rPr>
      </w:pPr>
      <w:r w:rsidRPr="00395593">
        <w:rPr>
          <w:rFonts w:ascii="Garamond" w:hAnsi="Garamond"/>
          <w:sz w:val="24"/>
        </w:rPr>
        <w:t>os valores reais despendidos e auferidos pelo exportador ou produtor em questão</w:t>
      </w:r>
      <w:r w:rsidRPr="00395593">
        <w:rPr>
          <w:rFonts w:ascii="Garamond" w:hAnsi="Garamond"/>
          <w:spacing w:val="1"/>
          <w:sz w:val="24"/>
        </w:rPr>
        <w:t xml:space="preserve"> </w:t>
      </w:r>
      <w:r w:rsidRPr="00395593">
        <w:rPr>
          <w:rFonts w:ascii="Garamond" w:hAnsi="Garamond"/>
          <w:sz w:val="24"/>
        </w:rPr>
        <w:t>relativos à produção e à venda da mesma categoria geral de produtos no mercado</w:t>
      </w:r>
      <w:r w:rsidRPr="00395593">
        <w:rPr>
          <w:rFonts w:ascii="Garamond" w:hAnsi="Garamond"/>
          <w:spacing w:val="1"/>
          <w:sz w:val="24"/>
        </w:rPr>
        <w:t xml:space="preserve"> </w:t>
      </w:r>
      <w:r w:rsidRPr="00395593">
        <w:rPr>
          <w:rFonts w:ascii="Garamond" w:hAnsi="Garamond"/>
          <w:sz w:val="24"/>
        </w:rPr>
        <w:t>interno</w:t>
      </w:r>
      <w:r w:rsidRPr="00395593">
        <w:rPr>
          <w:rFonts w:ascii="Garamond" w:hAnsi="Garamond"/>
          <w:spacing w:val="-1"/>
          <w:sz w:val="24"/>
        </w:rPr>
        <w:t xml:space="preserve"> </w:t>
      </w:r>
      <w:r w:rsidRPr="00395593">
        <w:rPr>
          <w:rFonts w:ascii="Garamond" w:hAnsi="Garamond"/>
          <w:sz w:val="24"/>
        </w:rPr>
        <w:t>do país de origem;</w:t>
      </w:r>
    </w:p>
    <w:p w14:paraId="2B0AC0F8" w14:textId="77777777" w:rsidR="0013285C" w:rsidRPr="00395593" w:rsidRDefault="0013285C" w:rsidP="0013285C">
      <w:pPr>
        <w:pStyle w:val="Corpodetexto"/>
        <w:rPr>
          <w:rFonts w:ascii="Garamond" w:hAnsi="Garamond"/>
          <w:sz w:val="20"/>
        </w:rPr>
      </w:pPr>
    </w:p>
    <w:p w14:paraId="379A4243" w14:textId="77777777" w:rsidR="00DD0A73" w:rsidRPr="005C5CBD" w:rsidRDefault="00DD0A73" w:rsidP="00DD0A73">
      <w:pPr>
        <w:pStyle w:val="PargrafodaLista"/>
        <w:widowControl w:val="0"/>
        <w:numPr>
          <w:ilvl w:val="2"/>
          <w:numId w:val="24"/>
        </w:numPr>
        <w:tabs>
          <w:tab w:val="left" w:pos="1257"/>
        </w:tabs>
        <w:autoSpaceDE w:val="0"/>
        <w:autoSpaceDN w:val="0"/>
        <w:spacing w:before="68" w:after="0" w:line="240" w:lineRule="auto"/>
        <w:ind w:left="821" w:right="119" w:firstLine="0"/>
        <w:contextualSpacing w:val="0"/>
        <w:jc w:val="both"/>
        <w:rPr>
          <w:rFonts w:ascii="Garamond" w:hAnsi="Garamond"/>
          <w:sz w:val="24"/>
        </w:rPr>
      </w:pPr>
      <w:r w:rsidRPr="005C5CBD">
        <w:rPr>
          <w:rFonts w:ascii="Garamond" w:hAnsi="Garamond"/>
          <w:sz w:val="24"/>
        </w:rPr>
        <w:t>a</w:t>
      </w:r>
      <w:r w:rsidRPr="005C5CBD">
        <w:rPr>
          <w:rFonts w:ascii="Garamond" w:hAnsi="Garamond"/>
          <w:spacing w:val="1"/>
          <w:sz w:val="24"/>
        </w:rPr>
        <w:t xml:space="preserve"> </w:t>
      </w:r>
      <w:r w:rsidRPr="005C5CBD">
        <w:rPr>
          <w:rFonts w:ascii="Garamond" w:hAnsi="Garamond"/>
          <w:sz w:val="24"/>
        </w:rPr>
        <w:t>média</w:t>
      </w:r>
      <w:r w:rsidRPr="005C5CBD">
        <w:rPr>
          <w:rFonts w:ascii="Garamond" w:hAnsi="Garamond"/>
          <w:spacing w:val="1"/>
          <w:sz w:val="24"/>
        </w:rPr>
        <w:t xml:space="preserve"> </w:t>
      </w:r>
      <w:r w:rsidRPr="005C5CBD">
        <w:rPr>
          <w:rFonts w:ascii="Garamond" w:hAnsi="Garamond"/>
          <w:sz w:val="24"/>
        </w:rPr>
        <w:t>ponderada</w:t>
      </w:r>
      <w:r w:rsidRPr="005C5CBD">
        <w:rPr>
          <w:rFonts w:ascii="Garamond" w:hAnsi="Garamond"/>
          <w:spacing w:val="1"/>
          <w:sz w:val="24"/>
        </w:rPr>
        <w:t xml:space="preserve"> </w:t>
      </w:r>
      <w:r w:rsidRPr="005C5CBD">
        <w:rPr>
          <w:rFonts w:ascii="Garamond" w:hAnsi="Garamond"/>
          <w:sz w:val="24"/>
        </w:rPr>
        <w:t>dos</w:t>
      </w:r>
      <w:r w:rsidRPr="005C5CBD">
        <w:rPr>
          <w:rFonts w:ascii="Garamond" w:hAnsi="Garamond"/>
          <w:spacing w:val="1"/>
          <w:sz w:val="24"/>
        </w:rPr>
        <w:t xml:space="preserve"> </w:t>
      </w:r>
      <w:r w:rsidRPr="005C5CBD">
        <w:rPr>
          <w:rFonts w:ascii="Garamond" w:hAnsi="Garamond"/>
          <w:sz w:val="24"/>
        </w:rPr>
        <w:t>valores</w:t>
      </w:r>
      <w:r w:rsidRPr="005C5CBD">
        <w:rPr>
          <w:rFonts w:ascii="Garamond" w:hAnsi="Garamond"/>
          <w:spacing w:val="1"/>
          <w:sz w:val="24"/>
        </w:rPr>
        <w:t xml:space="preserve"> </w:t>
      </w:r>
      <w:r w:rsidRPr="005C5CBD">
        <w:rPr>
          <w:rFonts w:ascii="Garamond" w:hAnsi="Garamond"/>
          <w:sz w:val="24"/>
        </w:rPr>
        <w:t>reais</w:t>
      </w:r>
      <w:r w:rsidRPr="005C5CBD">
        <w:rPr>
          <w:rFonts w:ascii="Garamond" w:hAnsi="Garamond"/>
          <w:spacing w:val="1"/>
          <w:sz w:val="24"/>
        </w:rPr>
        <w:t xml:space="preserve"> </w:t>
      </w:r>
      <w:r w:rsidRPr="005C5CBD">
        <w:rPr>
          <w:rFonts w:ascii="Garamond" w:hAnsi="Garamond"/>
          <w:sz w:val="24"/>
        </w:rPr>
        <w:t>despendidos</w:t>
      </w:r>
      <w:r w:rsidRPr="005C5CBD">
        <w:rPr>
          <w:rFonts w:ascii="Garamond" w:hAnsi="Garamond"/>
          <w:spacing w:val="1"/>
          <w:sz w:val="24"/>
        </w:rPr>
        <w:t xml:space="preserve"> </w:t>
      </w:r>
      <w:r w:rsidRPr="005C5CBD">
        <w:rPr>
          <w:rFonts w:ascii="Garamond" w:hAnsi="Garamond"/>
          <w:sz w:val="24"/>
        </w:rPr>
        <w:t>e</w:t>
      </w:r>
      <w:r w:rsidRPr="005C5CBD">
        <w:rPr>
          <w:rFonts w:ascii="Garamond" w:hAnsi="Garamond"/>
          <w:spacing w:val="1"/>
          <w:sz w:val="24"/>
        </w:rPr>
        <w:t xml:space="preserve"> </w:t>
      </w:r>
      <w:r w:rsidRPr="005C5CBD">
        <w:rPr>
          <w:rFonts w:ascii="Garamond" w:hAnsi="Garamond"/>
          <w:sz w:val="24"/>
        </w:rPr>
        <w:t>auferidos</w:t>
      </w:r>
      <w:r w:rsidRPr="005C5CBD">
        <w:rPr>
          <w:rFonts w:ascii="Garamond" w:hAnsi="Garamond"/>
          <w:spacing w:val="1"/>
          <w:sz w:val="24"/>
        </w:rPr>
        <w:t xml:space="preserve"> </w:t>
      </w:r>
      <w:r w:rsidRPr="005C5CBD">
        <w:rPr>
          <w:rFonts w:ascii="Garamond" w:hAnsi="Garamond"/>
          <w:sz w:val="24"/>
        </w:rPr>
        <w:t>por</w:t>
      </w:r>
      <w:r w:rsidRPr="005C5CBD">
        <w:rPr>
          <w:rFonts w:ascii="Garamond" w:hAnsi="Garamond"/>
          <w:spacing w:val="1"/>
          <w:sz w:val="24"/>
        </w:rPr>
        <w:t xml:space="preserve"> </w:t>
      </w:r>
      <w:r w:rsidRPr="005C5CBD">
        <w:rPr>
          <w:rFonts w:ascii="Garamond" w:hAnsi="Garamond"/>
          <w:sz w:val="24"/>
        </w:rPr>
        <w:t>outros</w:t>
      </w:r>
      <w:r w:rsidRPr="005C5CBD">
        <w:rPr>
          <w:rFonts w:ascii="Garamond" w:hAnsi="Garamond"/>
          <w:spacing w:val="1"/>
          <w:sz w:val="24"/>
        </w:rPr>
        <w:t xml:space="preserve"> </w:t>
      </w:r>
      <w:r w:rsidRPr="005C5CBD">
        <w:rPr>
          <w:rFonts w:ascii="Garamond" w:hAnsi="Garamond"/>
          <w:sz w:val="24"/>
        </w:rPr>
        <w:t>exportadores</w:t>
      </w:r>
      <w:r w:rsidRPr="005C5CBD">
        <w:rPr>
          <w:rFonts w:ascii="Garamond" w:hAnsi="Garamond"/>
          <w:spacing w:val="1"/>
          <w:sz w:val="24"/>
        </w:rPr>
        <w:t xml:space="preserve"> </w:t>
      </w:r>
      <w:r w:rsidRPr="005C5CBD">
        <w:rPr>
          <w:rFonts w:ascii="Garamond" w:hAnsi="Garamond"/>
          <w:sz w:val="24"/>
        </w:rPr>
        <w:t>e</w:t>
      </w:r>
      <w:r w:rsidRPr="005C5CBD">
        <w:rPr>
          <w:rFonts w:ascii="Garamond" w:hAnsi="Garamond"/>
          <w:spacing w:val="1"/>
          <w:sz w:val="24"/>
        </w:rPr>
        <w:t xml:space="preserve"> </w:t>
      </w:r>
      <w:r w:rsidRPr="005C5CBD">
        <w:rPr>
          <w:rFonts w:ascii="Garamond" w:hAnsi="Garamond"/>
          <w:sz w:val="24"/>
        </w:rPr>
        <w:t>produtores</w:t>
      </w:r>
      <w:r w:rsidRPr="005C5CBD">
        <w:rPr>
          <w:rFonts w:ascii="Garamond" w:hAnsi="Garamond"/>
          <w:spacing w:val="1"/>
          <w:sz w:val="24"/>
        </w:rPr>
        <w:t xml:space="preserve"> </w:t>
      </w:r>
      <w:r w:rsidRPr="005C5CBD">
        <w:rPr>
          <w:rFonts w:ascii="Garamond" w:hAnsi="Garamond"/>
          <w:sz w:val="24"/>
        </w:rPr>
        <w:t>sob</w:t>
      </w:r>
      <w:r w:rsidRPr="005C5CBD">
        <w:rPr>
          <w:rFonts w:ascii="Garamond" w:hAnsi="Garamond"/>
          <w:spacing w:val="1"/>
          <w:sz w:val="24"/>
        </w:rPr>
        <w:t xml:space="preserve"> </w:t>
      </w:r>
      <w:r w:rsidRPr="005C5CBD">
        <w:rPr>
          <w:rFonts w:ascii="Garamond" w:hAnsi="Garamond"/>
          <w:sz w:val="24"/>
        </w:rPr>
        <w:t>investigação</w:t>
      </w:r>
      <w:r w:rsidRPr="005C5CBD">
        <w:rPr>
          <w:rFonts w:ascii="Garamond" w:hAnsi="Garamond"/>
          <w:spacing w:val="1"/>
          <w:sz w:val="24"/>
        </w:rPr>
        <w:t xml:space="preserve"> </w:t>
      </w:r>
      <w:r w:rsidRPr="005C5CBD">
        <w:rPr>
          <w:rFonts w:ascii="Garamond" w:hAnsi="Garamond"/>
          <w:sz w:val="24"/>
        </w:rPr>
        <w:t>em</w:t>
      </w:r>
      <w:r w:rsidRPr="005C5CBD">
        <w:rPr>
          <w:rFonts w:ascii="Garamond" w:hAnsi="Garamond"/>
          <w:spacing w:val="1"/>
          <w:sz w:val="24"/>
        </w:rPr>
        <w:t xml:space="preserve"> </w:t>
      </w:r>
      <w:r w:rsidRPr="005C5CBD">
        <w:rPr>
          <w:rFonts w:ascii="Garamond" w:hAnsi="Garamond"/>
          <w:sz w:val="24"/>
        </w:rPr>
        <w:t>relação</w:t>
      </w:r>
      <w:r w:rsidRPr="005C5CBD">
        <w:rPr>
          <w:rFonts w:ascii="Garamond" w:hAnsi="Garamond"/>
          <w:spacing w:val="1"/>
          <w:sz w:val="24"/>
        </w:rPr>
        <w:t xml:space="preserve"> </w:t>
      </w:r>
      <w:r w:rsidRPr="005C5CBD">
        <w:rPr>
          <w:rFonts w:ascii="Garamond" w:hAnsi="Garamond"/>
          <w:sz w:val="24"/>
        </w:rPr>
        <w:t>à</w:t>
      </w:r>
      <w:r w:rsidRPr="005C5CBD">
        <w:rPr>
          <w:rFonts w:ascii="Garamond" w:hAnsi="Garamond"/>
          <w:spacing w:val="1"/>
          <w:sz w:val="24"/>
        </w:rPr>
        <w:t xml:space="preserve"> </w:t>
      </w:r>
      <w:r w:rsidRPr="005C5CBD">
        <w:rPr>
          <w:rFonts w:ascii="Garamond" w:hAnsi="Garamond"/>
          <w:sz w:val="24"/>
        </w:rPr>
        <w:t>produção</w:t>
      </w:r>
      <w:r w:rsidRPr="005C5CBD">
        <w:rPr>
          <w:rFonts w:ascii="Garamond" w:hAnsi="Garamond"/>
          <w:spacing w:val="1"/>
          <w:sz w:val="24"/>
        </w:rPr>
        <w:t xml:space="preserve"> </w:t>
      </w:r>
      <w:r w:rsidRPr="005C5CBD">
        <w:rPr>
          <w:rFonts w:ascii="Garamond" w:hAnsi="Garamond"/>
          <w:sz w:val="24"/>
        </w:rPr>
        <w:t>e</w:t>
      </w:r>
      <w:r w:rsidRPr="005C5CBD">
        <w:rPr>
          <w:rFonts w:ascii="Garamond" w:hAnsi="Garamond"/>
          <w:spacing w:val="1"/>
          <w:sz w:val="24"/>
        </w:rPr>
        <w:t xml:space="preserve"> </w:t>
      </w:r>
      <w:r w:rsidRPr="005C5CBD">
        <w:rPr>
          <w:rFonts w:ascii="Garamond" w:hAnsi="Garamond"/>
          <w:sz w:val="24"/>
        </w:rPr>
        <w:t>à</w:t>
      </w:r>
      <w:r w:rsidRPr="005C5CBD">
        <w:rPr>
          <w:rFonts w:ascii="Garamond" w:hAnsi="Garamond"/>
          <w:spacing w:val="1"/>
          <w:sz w:val="24"/>
        </w:rPr>
        <w:t xml:space="preserve"> </w:t>
      </w:r>
      <w:r w:rsidRPr="005C5CBD">
        <w:rPr>
          <w:rFonts w:ascii="Garamond" w:hAnsi="Garamond"/>
          <w:sz w:val="24"/>
        </w:rPr>
        <w:t>comercialização</w:t>
      </w:r>
      <w:r w:rsidRPr="005C5CBD">
        <w:rPr>
          <w:rFonts w:ascii="Garamond" w:hAnsi="Garamond"/>
          <w:spacing w:val="-1"/>
          <w:sz w:val="24"/>
        </w:rPr>
        <w:t xml:space="preserve"> </w:t>
      </w:r>
      <w:r w:rsidRPr="005C5CBD">
        <w:rPr>
          <w:rFonts w:ascii="Garamond" w:hAnsi="Garamond"/>
          <w:sz w:val="24"/>
        </w:rPr>
        <w:t>do produto</w:t>
      </w:r>
      <w:r w:rsidRPr="005C5CBD">
        <w:rPr>
          <w:rFonts w:ascii="Garamond" w:hAnsi="Garamond"/>
          <w:spacing w:val="-1"/>
          <w:sz w:val="24"/>
        </w:rPr>
        <w:t xml:space="preserve"> </w:t>
      </w:r>
      <w:r w:rsidRPr="005C5CBD">
        <w:rPr>
          <w:rFonts w:ascii="Garamond" w:hAnsi="Garamond"/>
          <w:sz w:val="24"/>
        </w:rPr>
        <w:t>similar</w:t>
      </w:r>
      <w:r w:rsidRPr="005C5CBD">
        <w:rPr>
          <w:rFonts w:ascii="Garamond" w:hAnsi="Garamond"/>
          <w:spacing w:val="-2"/>
          <w:sz w:val="24"/>
        </w:rPr>
        <w:t xml:space="preserve"> </w:t>
      </w:r>
      <w:r w:rsidRPr="005C5CBD">
        <w:rPr>
          <w:rFonts w:ascii="Garamond" w:hAnsi="Garamond"/>
          <w:sz w:val="24"/>
        </w:rPr>
        <w:t>no</w:t>
      </w:r>
      <w:r w:rsidRPr="005C5CBD">
        <w:rPr>
          <w:rFonts w:ascii="Garamond" w:hAnsi="Garamond"/>
          <w:spacing w:val="-1"/>
          <w:sz w:val="24"/>
        </w:rPr>
        <w:t xml:space="preserve"> </w:t>
      </w:r>
      <w:r w:rsidRPr="005C5CBD">
        <w:rPr>
          <w:rFonts w:ascii="Garamond" w:hAnsi="Garamond"/>
          <w:sz w:val="24"/>
        </w:rPr>
        <w:t>mercado interno do</w:t>
      </w:r>
      <w:r w:rsidRPr="005C5CBD">
        <w:rPr>
          <w:rFonts w:ascii="Garamond" w:hAnsi="Garamond"/>
          <w:spacing w:val="-1"/>
          <w:sz w:val="24"/>
        </w:rPr>
        <w:t xml:space="preserve"> </w:t>
      </w:r>
      <w:r w:rsidRPr="005C5CBD">
        <w:rPr>
          <w:rFonts w:ascii="Garamond" w:hAnsi="Garamond"/>
          <w:sz w:val="24"/>
        </w:rPr>
        <w:t>país de</w:t>
      </w:r>
      <w:r w:rsidRPr="005C5CBD">
        <w:rPr>
          <w:rFonts w:ascii="Garamond" w:hAnsi="Garamond"/>
          <w:spacing w:val="-1"/>
          <w:sz w:val="24"/>
        </w:rPr>
        <w:t xml:space="preserve"> </w:t>
      </w:r>
      <w:r w:rsidRPr="005C5CBD">
        <w:rPr>
          <w:rFonts w:ascii="Garamond" w:hAnsi="Garamond"/>
          <w:sz w:val="24"/>
        </w:rPr>
        <w:t>origem;</w:t>
      </w:r>
    </w:p>
    <w:p w14:paraId="33ECE3A6" w14:textId="77777777" w:rsidR="00DD0A73" w:rsidRPr="005C5CBD" w:rsidRDefault="00DD0A73" w:rsidP="00DD0A73">
      <w:pPr>
        <w:pStyle w:val="Corpodetexto"/>
        <w:rPr>
          <w:rFonts w:ascii="Garamond" w:hAnsi="Garamond"/>
        </w:rPr>
      </w:pPr>
    </w:p>
    <w:p w14:paraId="21E632F2" w14:textId="77777777" w:rsidR="00DD0A73" w:rsidRPr="005C5CBD" w:rsidRDefault="00DD0A73" w:rsidP="00DD0A73">
      <w:pPr>
        <w:pStyle w:val="PargrafodaLista"/>
        <w:widowControl w:val="0"/>
        <w:numPr>
          <w:ilvl w:val="2"/>
          <w:numId w:val="24"/>
        </w:numPr>
        <w:tabs>
          <w:tab w:val="left" w:pos="1257"/>
        </w:tabs>
        <w:autoSpaceDE w:val="0"/>
        <w:autoSpaceDN w:val="0"/>
        <w:spacing w:after="0" w:line="240" w:lineRule="auto"/>
        <w:ind w:left="821" w:right="121" w:firstLine="0"/>
        <w:contextualSpacing w:val="0"/>
        <w:jc w:val="both"/>
        <w:rPr>
          <w:rFonts w:ascii="Garamond" w:hAnsi="Garamond"/>
          <w:sz w:val="24"/>
        </w:rPr>
      </w:pPr>
      <w:r w:rsidRPr="005C5CBD">
        <w:rPr>
          <w:rFonts w:ascii="Garamond" w:hAnsi="Garamond"/>
          <w:sz w:val="24"/>
        </w:rPr>
        <w:t>qualquer outro método razoável, desde que o montante estipulado para o lucro</w:t>
      </w:r>
      <w:r w:rsidRPr="005C5CBD">
        <w:rPr>
          <w:rFonts w:ascii="Garamond" w:hAnsi="Garamond"/>
          <w:spacing w:val="1"/>
          <w:sz w:val="24"/>
        </w:rPr>
        <w:t xml:space="preserve"> </w:t>
      </w:r>
      <w:r w:rsidRPr="005C5CBD">
        <w:rPr>
          <w:rFonts w:ascii="Garamond" w:hAnsi="Garamond"/>
          <w:sz w:val="24"/>
        </w:rPr>
        <w:t>não exceda o lucro normalmente realizado por outros exportadores ou produtores</w:t>
      </w:r>
      <w:r w:rsidRPr="005C5CBD">
        <w:rPr>
          <w:rFonts w:ascii="Garamond" w:hAnsi="Garamond"/>
          <w:spacing w:val="1"/>
          <w:sz w:val="24"/>
        </w:rPr>
        <w:t xml:space="preserve"> </w:t>
      </w:r>
      <w:r w:rsidRPr="005C5CBD">
        <w:rPr>
          <w:rFonts w:ascii="Garamond" w:hAnsi="Garamond"/>
          <w:sz w:val="24"/>
        </w:rPr>
        <w:t>com as vendas de produtos da mesma categoria geral no mercado interno do pais de</w:t>
      </w:r>
      <w:r w:rsidRPr="005C5CBD">
        <w:rPr>
          <w:rFonts w:ascii="Garamond" w:hAnsi="Garamond"/>
          <w:spacing w:val="1"/>
          <w:sz w:val="24"/>
        </w:rPr>
        <w:t xml:space="preserve"> </w:t>
      </w:r>
      <w:r w:rsidRPr="005C5CBD">
        <w:rPr>
          <w:rFonts w:ascii="Garamond" w:hAnsi="Garamond"/>
          <w:sz w:val="24"/>
        </w:rPr>
        <w:t>origem.</w:t>
      </w:r>
    </w:p>
    <w:p w14:paraId="0BF86092" w14:textId="77777777" w:rsidR="0013285C" w:rsidRPr="005C5CBD" w:rsidRDefault="0013285C" w:rsidP="00E33E26">
      <w:pPr>
        <w:pStyle w:val="Corpodetexto"/>
        <w:spacing w:before="1"/>
        <w:rPr>
          <w:rFonts w:ascii="Garamond" w:hAnsi="Garamond"/>
          <w:sz w:val="27"/>
        </w:rPr>
      </w:pPr>
    </w:p>
    <w:p w14:paraId="5BA96FBF" w14:textId="7E24CC5A" w:rsidR="0013285C" w:rsidRPr="00395593" w:rsidRDefault="0013285C" w:rsidP="0013285C">
      <w:pPr>
        <w:pStyle w:val="Corpodetexto"/>
        <w:spacing w:before="1"/>
        <w:rPr>
          <w:rFonts w:ascii="Garamond" w:hAnsi="Garamond"/>
          <w:sz w:val="27"/>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40" behindDoc="1" locked="0" layoutInCell="1" allowOverlap="1" wp14:anchorId="451C94BA" wp14:editId="437F8734">
                <wp:simplePos x="0" y="0"/>
                <wp:positionH relativeFrom="page">
                  <wp:posOffset>1080770</wp:posOffset>
                </wp:positionH>
                <wp:positionV relativeFrom="paragraph">
                  <wp:posOffset>213360</wp:posOffset>
                </wp:positionV>
                <wp:extent cx="1828800" cy="7620"/>
                <wp:effectExtent l="4445" t="0" r="0" b="3175"/>
                <wp:wrapTopAndBottom/>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65200" id="Retângulo 21" o:spid="_x0000_s1026" style="position:absolute;margin-left:85.1pt;margin-top:16.8pt;width:2in;height:.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" fillcolor="black" stroked="f">
                <w10:wrap type="topAndBottom" anchorx="page"/>
              </v:rect>
            </w:pict>
          </mc:Fallback>
        </mc:AlternateContent>
      </w:r>
    </w:p>
    <w:p w14:paraId="0E30D705" w14:textId="77777777" w:rsidR="0013285C" w:rsidRPr="00395593" w:rsidRDefault="0013285C" w:rsidP="00F362DF">
      <w:pPr>
        <w:spacing w:after="0" w:line="240" w:lineRule="auto"/>
        <w:ind w:left="102"/>
        <w:rPr>
          <w:rFonts w:ascii="Garamond" w:hAnsi="Garamond"/>
          <w:sz w:val="20"/>
        </w:rPr>
      </w:pPr>
      <w:r w:rsidRPr="00395593">
        <w:rPr>
          <w:rFonts w:ascii="Garamond" w:hAnsi="Garamond"/>
          <w:sz w:val="20"/>
          <w:vertAlign w:val="superscript"/>
        </w:rPr>
        <w:t>3</w:t>
      </w:r>
      <w:r w:rsidRPr="00395593">
        <w:rPr>
          <w:rFonts w:ascii="Garamond" w:hAnsi="Garamond"/>
          <w:spacing w:val="15"/>
          <w:sz w:val="20"/>
        </w:rPr>
        <w:t xml:space="preserve"> </w:t>
      </w:r>
      <w:r w:rsidRPr="00395593">
        <w:rPr>
          <w:rFonts w:ascii="Garamond" w:hAnsi="Garamond"/>
          <w:sz w:val="20"/>
        </w:rPr>
        <w:t>Quando</w:t>
      </w:r>
      <w:r w:rsidRPr="00395593">
        <w:rPr>
          <w:rFonts w:ascii="Garamond" w:hAnsi="Garamond"/>
          <w:spacing w:val="15"/>
          <w:sz w:val="20"/>
        </w:rPr>
        <w:t xml:space="preserve"> </w:t>
      </w:r>
      <w:r w:rsidRPr="00395593">
        <w:rPr>
          <w:rFonts w:ascii="Garamond" w:hAnsi="Garamond"/>
          <w:sz w:val="20"/>
        </w:rPr>
        <w:t>usado</w:t>
      </w:r>
      <w:r w:rsidRPr="00395593">
        <w:rPr>
          <w:rFonts w:ascii="Garamond" w:hAnsi="Garamond"/>
          <w:spacing w:val="18"/>
          <w:sz w:val="20"/>
        </w:rPr>
        <w:t xml:space="preserve"> </w:t>
      </w:r>
      <w:r w:rsidRPr="00395593">
        <w:rPr>
          <w:rFonts w:ascii="Garamond" w:hAnsi="Garamond"/>
          <w:sz w:val="20"/>
        </w:rPr>
        <w:t>neste</w:t>
      </w:r>
      <w:r w:rsidRPr="00395593">
        <w:rPr>
          <w:rFonts w:ascii="Garamond" w:hAnsi="Garamond"/>
          <w:spacing w:val="17"/>
          <w:sz w:val="20"/>
        </w:rPr>
        <w:t xml:space="preserve"> </w:t>
      </w:r>
      <w:r w:rsidRPr="00395593">
        <w:rPr>
          <w:rFonts w:ascii="Garamond" w:hAnsi="Garamond"/>
          <w:sz w:val="20"/>
        </w:rPr>
        <w:t>Acordo,</w:t>
      </w:r>
      <w:r w:rsidRPr="00395593">
        <w:rPr>
          <w:rFonts w:ascii="Garamond" w:hAnsi="Garamond"/>
          <w:spacing w:val="15"/>
          <w:sz w:val="20"/>
        </w:rPr>
        <w:t xml:space="preserve"> </w:t>
      </w:r>
      <w:r w:rsidRPr="00395593">
        <w:rPr>
          <w:rFonts w:ascii="Garamond" w:hAnsi="Garamond"/>
          <w:sz w:val="20"/>
        </w:rPr>
        <w:t>o</w:t>
      </w:r>
      <w:r w:rsidRPr="00395593">
        <w:rPr>
          <w:rFonts w:ascii="Garamond" w:hAnsi="Garamond"/>
          <w:spacing w:val="15"/>
          <w:sz w:val="20"/>
        </w:rPr>
        <w:t xml:space="preserve"> </w:t>
      </w:r>
      <w:r w:rsidRPr="00395593">
        <w:rPr>
          <w:rFonts w:ascii="Garamond" w:hAnsi="Garamond"/>
          <w:sz w:val="20"/>
        </w:rPr>
        <w:t>termo</w:t>
      </w:r>
      <w:r w:rsidRPr="00395593">
        <w:rPr>
          <w:rFonts w:ascii="Garamond" w:hAnsi="Garamond"/>
          <w:spacing w:val="15"/>
          <w:sz w:val="20"/>
        </w:rPr>
        <w:t xml:space="preserve"> </w:t>
      </w:r>
      <w:r w:rsidRPr="00395593">
        <w:rPr>
          <w:rFonts w:ascii="Garamond" w:hAnsi="Garamond"/>
          <w:sz w:val="20"/>
        </w:rPr>
        <w:t>“autoridades”</w:t>
      </w:r>
      <w:r w:rsidRPr="00395593">
        <w:rPr>
          <w:rFonts w:ascii="Garamond" w:hAnsi="Garamond"/>
          <w:spacing w:val="15"/>
          <w:sz w:val="20"/>
        </w:rPr>
        <w:t xml:space="preserve"> </w:t>
      </w:r>
      <w:r w:rsidRPr="00395593">
        <w:rPr>
          <w:rFonts w:ascii="Garamond" w:hAnsi="Garamond"/>
          <w:sz w:val="20"/>
        </w:rPr>
        <w:t>deverá</w:t>
      </w:r>
      <w:r w:rsidRPr="00395593">
        <w:rPr>
          <w:rFonts w:ascii="Garamond" w:hAnsi="Garamond"/>
          <w:spacing w:val="15"/>
          <w:sz w:val="20"/>
        </w:rPr>
        <w:t xml:space="preserve"> </w:t>
      </w:r>
      <w:r w:rsidRPr="00395593">
        <w:rPr>
          <w:rFonts w:ascii="Garamond" w:hAnsi="Garamond"/>
          <w:sz w:val="20"/>
        </w:rPr>
        <w:t>ser</w:t>
      </w:r>
      <w:r w:rsidRPr="00395593">
        <w:rPr>
          <w:rFonts w:ascii="Garamond" w:hAnsi="Garamond"/>
          <w:spacing w:val="15"/>
          <w:sz w:val="20"/>
        </w:rPr>
        <w:t xml:space="preserve"> </w:t>
      </w:r>
      <w:r w:rsidRPr="00395593">
        <w:rPr>
          <w:rFonts w:ascii="Garamond" w:hAnsi="Garamond"/>
          <w:sz w:val="20"/>
        </w:rPr>
        <w:t>interpretado</w:t>
      </w:r>
      <w:r w:rsidRPr="00395593">
        <w:rPr>
          <w:rFonts w:ascii="Garamond" w:hAnsi="Garamond"/>
          <w:spacing w:val="16"/>
          <w:sz w:val="20"/>
        </w:rPr>
        <w:t xml:space="preserve"> </w:t>
      </w:r>
      <w:r w:rsidRPr="00395593">
        <w:rPr>
          <w:rFonts w:ascii="Garamond" w:hAnsi="Garamond"/>
          <w:sz w:val="20"/>
        </w:rPr>
        <w:t>como</w:t>
      </w:r>
      <w:r w:rsidRPr="00395593">
        <w:rPr>
          <w:rFonts w:ascii="Garamond" w:hAnsi="Garamond"/>
          <w:spacing w:val="15"/>
          <w:sz w:val="20"/>
        </w:rPr>
        <w:t xml:space="preserve"> </w:t>
      </w:r>
      <w:r w:rsidRPr="00395593">
        <w:rPr>
          <w:rFonts w:ascii="Garamond" w:hAnsi="Garamond"/>
          <w:sz w:val="20"/>
        </w:rPr>
        <w:t>autoridades</w:t>
      </w:r>
      <w:r w:rsidRPr="00395593">
        <w:rPr>
          <w:rFonts w:ascii="Garamond" w:hAnsi="Garamond"/>
          <w:spacing w:val="14"/>
          <w:sz w:val="20"/>
        </w:rPr>
        <w:t xml:space="preserve"> </w:t>
      </w:r>
      <w:r w:rsidRPr="00395593">
        <w:rPr>
          <w:rFonts w:ascii="Garamond" w:hAnsi="Garamond"/>
          <w:sz w:val="20"/>
        </w:rPr>
        <w:t>em</w:t>
      </w:r>
      <w:r w:rsidRPr="00395593">
        <w:rPr>
          <w:rFonts w:ascii="Garamond" w:hAnsi="Garamond"/>
          <w:spacing w:val="13"/>
          <w:sz w:val="20"/>
        </w:rPr>
        <w:t xml:space="preserve"> </w:t>
      </w:r>
      <w:r w:rsidRPr="00395593">
        <w:rPr>
          <w:rFonts w:ascii="Garamond" w:hAnsi="Garamond"/>
          <w:sz w:val="20"/>
        </w:rPr>
        <w:t>nível</w:t>
      </w:r>
      <w:r w:rsidRPr="00395593">
        <w:rPr>
          <w:rFonts w:ascii="Garamond" w:hAnsi="Garamond"/>
          <w:spacing w:val="15"/>
          <w:sz w:val="20"/>
        </w:rPr>
        <w:t xml:space="preserve"> </w:t>
      </w:r>
      <w:r w:rsidRPr="00395593">
        <w:rPr>
          <w:rFonts w:ascii="Garamond" w:hAnsi="Garamond"/>
          <w:sz w:val="20"/>
        </w:rPr>
        <w:t>de</w:t>
      </w:r>
      <w:r w:rsidRPr="00395593">
        <w:rPr>
          <w:rFonts w:ascii="Garamond" w:hAnsi="Garamond"/>
          <w:spacing w:val="-47"/>
          <w:sz w:val="20"/>
        </w:rPr>
        <w:t xml:space="preserve"> </w:t>
      </w:r>
      <w:r w:rsidRPr="00395593">
        <w:rPr>
          <w:rFonts w:ascii="Garamond" w:hAnsi="Garamond"/>
          <w:sz w:val="20"/>
        </w:rPr>
        <w:t>chefia</w:t>
      </w:r>
      <w:r w:rsidRPr="00395593">
        <w:rPr>
          <w:rFonts w:ascii="Garamond" w:hAnsi="Garamond"/>
          <w:spacing w:val="-1"/>
          <w:sz w:val="20"/>
        </w:rPr>
        <w:t xml:space="preserve"> </w:t>
      </w:r>
      <w:r w:rsidRPr="00395593">
        <w:rPr>
          <w:rFonts w:ascii="Garamond" w:hAnsi="Garamond"/>
          <w:sz w:val="20"/>
        </w:rPr>
        <w:t>adequada.</w:t>
      </w:r>
    </w:p>
    <w:p w14:paraId="6CAC1E2B" w14:textId="77777777" w:rsidR="00E766D3" w:rsidRDefault="0013285C" w:rsidP="00F362DF">
      <w:pPr>
        <w:spacing w:after="0" w:line="240" w:lineRule="auto"/>
        <w:ind w:left="102" w:right="128"/>
        <w:rPr>
          <w:rFonts w:ascii="Garamond" w:hAnsi="Garamond"/>
          <w:spacing w:val="1"/>
          <w:sz w:val="20"/>
        </w:rPr>
      </w:pPr>
      <w:r w:rsidRPr="00395593">
        <w:rPr>
          <w:rFonts w:ascii="Garamond" w:hAnsi="Garamond"/>
          <w:sz w:val="20"/>
          <w:vertAlign w:val="superscript"/>
        </w:rPr>
        <w:t>4</w:t>
      </w:r>
      <w:r w:rsidRPr="00395593">
        <w:rPr>
          <w:rFonts w:ascii="Garamond" w:hAnsi="Garamond"/>
          <w:sz w:val="20"/>
        </w:rPr>
        <w:t xml:space="preserve"> O lapso</w:t>
      </w:r>
      <w:r w:rsidRPr="00395593">
        <w:rPr>
          <w:rFonts w:ascii="Garamond" w:hAnsi="Garamond"/>
          <w:spacing w:val="1"/>
          <w:sz w:val="20"/>
        </w:rPr>
        <w:t xml:space="preserve"> </w:t>
      </w:r>
      <w:r w:rsidRPr="00395593">
        <w:rPr>
          <w:rFonts w:ascii="Garamond" w:hAnsi="Garamond"/>
          <w:sz w:val="20"/>
        </w:rPr>
        <w:t>de tempo</w:t>
      </w:r>
      <w:r w:rsidRPr="00395593">
        <w:rPr>
          <w:rFonts w:ascii="Garamond" w:hAnsi="Garamond"/>
          <w:spacing w:val="1"/>
          <w:sz w:val="20"/>
        </w:rPr>
        <w:t xml:space="preserve"> </w:t>
      </w:r>
      <w:r w:rsidRPr="00395593">
        <w:rPr>
          <w:rFonts w:ascii="Garamond" w:hAnsi="Garamond"/>
          <w:sz w:val="20"/>
        </w:rPr>
        <w:t>dilatado</w:t>
      </w:r>
      <w:r w:rsidRPr="00395593">
        <w:rPr>
          <w:rFonts w:ascii="Garamond" w:hAnsi="Garamond"/>
          <w:spacing w:val="1"/>
          <w:sz w:val="20"/>
        </w:rPr>
        <w:t xml:space="preserve"> </w:t>
      </w:r>
      <w:r w:rsidRPr="00395593">
        <w:rPr>
          <w:rFonts w:ascii="Garamond" w:hAnsi="Garamond"/>
          <w:sz w:val="20"/>
        </w:rPr>
        <w:t>deverá ser</w:t>
      </w:r>
      <w:r w:rsidRPr="00395593">
        <w:rPr>
          <w:rFonts w:ascii="Garamond" w:hAnsi="Garamond"/>
          <w:spacing w:val="1"/>
          <w:sz w:val="20"/>
        </w:rPr>
        <w:t xml:space="preserve"> </w:t>
      </w:r>
      <w:r w:rsidRPr="00395593">
        <w:rPr>
          <w:rFonts w:ascii="Garamond" w:hAnsi="Garamond"/>
          <w:sz w:val="20"/>
        </w:rPr>
        <w:t>normalmente</w:t>
      </w:r>
      <w:r w:rsidRPr="00395593">
        <w:rPr>
          <w:rFonts w:ascii="Garamond" w:hAnsi="Garamond"/>
          <w:spacing w:val="1"/>
          <w:sz w:val="20"/>
        </w:rPr>
        <w:t xml:space="preserve"> </w:t>
      </w:r>
      <w:r w:rsidRPr="00395593">
        <w:rPr>
          <w:rFonts w:ascii="Garamond" w:hAnsi="Garamond"/>
          <w:sz w:val="20"/>
        </w:rPr>
        <w:t>de um</w:t>
      </w:r>
      <w:r w:rsidRPr="00395593">
        <w:rPr>
          <w:rFonts w:ascii="Garamond" w:hAnsi="Garamond"/>
          <w:spacing w:val="-2"/>
          <w:sz w:val="20"/>
        </w:rPr>
        <w:t xml:space="preserve"> </w:t>
      </w:r>
      <w:r w:rsidRPr="00395593">
        <w:rPr>
          <w:rFonts w:ascii="Garamond" w:hAnsi="Garamond"/>
          <w:sz w:val="20"/>
        </w:rPr>
        <w:t>ano,</w:t>
      </w:r>
      <w:r w:rsidRPr="00395593">
        <w:rPr>
          <w:rFonts w:ascii="Garamond" w:hAnsi="Garamond"/>
          <w:spacing w:val="2"/>
          <w:sz w:val="20"/>
        </w:rPr>
        <w:t xml:space="preserve"> </w:t>
      </w:r>
      <w:r w:rsidRPr="00395593">
        <w:rPr>
          <w:rFonts w:ascii="Garamond" w:hAnsi="Garamond"/>
          <w:sz w:val="20"/>
        </w:rPr>
        <w:t>mas</w:t>
      </w:r>
      <w:r w:rsidRPr="00395593">
        <w:rPr>
          <w:rFonts w:ascii="Garamond" w:hAnsi="Garamond"/>
          <w:spacing w:val="2"/>
          <w:sz w:val="20"/>
        </w:rPr>
        <w:t xml:space="preserve"> </w:t>
      </w:r>
      <w:r w:rsidRPr="00395593">
        <w:rPr>
          <w:rFonts w:ascii="Garamond" w:hAnsi="Garamond"/>
          <w:sz w:val="20"/>
        </w:rPr>
        <w:t>não</w:t>
      </w:r>
      <w:r w:rsidRPr="00395593">
        <w:rPr>
          <w:rFonts w:ascii="Garamond" w:hAnsi="Garamond"/>
          <w:spacing w:val="1"/>
          <w:sz w:val="20"/>
        </w:rPr>
        <w:t xml:space="preserve"> </w:t>
      </w:r>
      <w:r w:rsidRPr="00395593">
        <w:rPr>
          <w:rFonts w:ascii="Garamond" w:hAnsi="Garamond"/>
          <w:sz w:val="20"/>
        </w:rPr>
        <w:t>deverá ser</w:t>
      </w:r>
      <w:r w:rsidRPr="00395593">
        <w:rPr>
          <w:rFonts w:ascii="Garamond" w:hAnsi="Garamond"/>
          <w:spacing w:val="1"/>
          <w:sz w:val="20"/>
        </w:rPr>
        <w:t xml:space="preserve"> </w:t>
      </w:r>
      <w:r w:rsidRPr="00395593">
        <w:rPr>
          <w:rFonts w:ascii="Garamond" w:hAnsi="Garamond"/>
          <w:sz w:val="20"/>
        </w:rPr>
        <w:t>nunca</w:t>
      </w:r>
      <w:r w:rsidRPr="00395593">
        <w:rPr>
          <w:rFonts w:ascii="Garamond" w:hAnsi="Garamond"/>
          <w:spacing w:val="3"/>
          <w:sz w:val="20"/>
        </w:rPr>
        <w:t xml:space="preserve"> </w:t>
      </w:r>
      <w:r w:rsidRPr="00395593">
        <w:rPr>
          <w:rFonts w:ascii="Garamond" w:hAnsi="Garamond"/>
          <w:sz w:val="20"/>
        </w:rPr>
        <w:t>inferior</w:t>
      </w:r>
      <w:r w:rsidRPr="00395593">
        <w:rPr>
          <w:rFonts w:ascii="Garamond" w:hAnsi="Garamond"/>
          <w:spacing w:val="1"/>
          <w:sz w:val="20"/>
        </w:rPr>
        <w:t xml:space="preserve"> </w:t>
      </w:r>
      <w:r w:rsidRPr="00395593">
        <w:rPr>
          <w:rFonts w:ascii="Garamond" w:hAnsi="Garamond"/>
          <w:sz w:val="20"/>
        </w:rPr>
        <w:t>a 6</w:t>
      </w:r>
      <w:r w:rsidRPr="00395593">
        <w:rPr>
          <w:rFonts w:ascii="Garamond" w:hAnsi="Garamond"/>
          <w:spacing w:val="1"/>
          <w:sz w:val="20"/>
        </w:rPr>
        <w:t xml:space="preserve"> </w:t>
      </w:r>
      <w:r w:rsidRPr="00395593">
        <w:rPr>
          <w:rFonts w:ascii="Garamond" w:hAnsi="Garamond"/>
          <w:sz w:val="20"/>
        </w:rPr>
        <w:t>meses.</w:t>
      </w:r>
      <w:r w:rsidRPr="00395593">
        <w:rPr>
          <w:rFonts w:ascii="Garamond" w:hAnsi="Garamond"/>
          <w:spacing w:val="1"/>
          <w:sz w:val="20"/>
        </w:rPr>
        <w:t xml:space="preserve"> </w:t>
      </w:r>
    </w:p>
    <w:p w14:paraId="02B58C20" w14:textId="25B00492" w:rsidR="0013285C" w:rsidRPr="00395593" w:rsidRDefault="0013285C" w:rsidP="00F362DF">
      <w:pPr>
        <w:spacing w:after="0" w:line="240" w:lineRule="auto"/>
        <w:ind w:left="102" w:right="128"/>
        <w:rPr>
          <w:rFonts w:ascii="Garamond" w:hAnsi="Garamond"/>
          <w:sz w:val="20"/>
        </w:rPr>
      </w:pPr>
      <w:r w:rsidRPr="00395593">
        <w:rPr>
          <w:rFonts w:ascii="Garamond" w:hAnsi="Garamond"/>
          <w:sz w:val="20"/>
          <w:vertAlign w:val="superscript"/>
        </w:rPr>
        <w:t>5</w:t>
      </w:r>
      <w:r w:rsidRPr="00395593">
        <w:rPr>
          <w:rFonts w:ascii="Garamond" w:hAnsi="Garamond"/>
          <w:spacing w:val="8"/>
          <w:sz w:val="20"/>
        </w:rPr>
        <w:t xml:space="preserve"> </w:t>
      </w:r>
      <w:r w:rsidRPr="00395593">
        <w:rPr>
          <w:rFonts w:ascii="Garamond" w:hAnsi="Garamond"/>
          <w:sz w:val="20"/>
        </w:rPr>
        <w:t>Venda</w:t>
      </w:r>
      <w:r w:rsidRPr="00395593">
        <w:rPr>
          <w:rFonts w:ascii="Garamond" w:hAnsi="Garamond"/>
          <w:spacing w:val="8"/>
          <w:sz w:val="20"/>
        </w:rPr>
        <w:t xml:space="preserve"> </w:t>
      </w:r>
      <w:r w:rsidRPr="00395593">
        <w:rPr>
          <w:rFonts w:ascii="Garamond" w:hAnsi="Garamond"/>
          <w:sz w:val="20"/>
        </w:rPr>
        <w:t>abaixo</w:t>
      </w:r>
      <w:r w:rsidRPr="00395593">
        <w:rPr>
          <w:rFonts w:ascii="Garamond" w:hAnsi="Garamond"/>
          <w:spacing w:val="9"/>
          <w:sz w:val="20"/>
        </w:rPr>
        <w:t xml:space="preserve"> </w:t>
      </w:r>
      <w:r w:rsidRPr="00395593">
        <w:rPr>
          <w:rFonts w:ascii="Garamond" w:hAnsi="Garamond"/>
          <w:sz w:val="20"/>
        </w:rPr>
        <w:t>do</w:t>
      </w:r>
      <w:r w:rsidRPr="00395593">
        <w:rPr>
          <w:rFonts w:ascii="Garamond" w:hAnsi="Garamond"/>
          <w:spacing w:val="8"/>
          <w:sz w:val="20"/>
        </w:rPr>
        <w:t xml:space="preserve"> </w:t>
      </w:r>
      <w:r w:rsidRPr="00395593">
        <w:rPr>
          <w:rFonts w:ascii="Garamond" w:hAnsi="Garamond"/>
          <w:sz w:val="20"/>
        </w:rPr>
        <w:t>custo</w:t>
      </w:r>
      <w:r w:rsidRPr="00395593">
        <w:rPr>
          <w:rFonts w:ascii="Garamond" w:hAnsi="Garamond"/>
          <w:spacing w:val="10"/>
          <w:sz w:val="20"/>
        </w:rPr>
        <w:t xml:space="preserve"> </w:t>
      </w:r>
      <w:r w:rsidRPr="00395593">
        <w:rPr>
          <w:rFonts w:ascii="Garamond" w:hAnsi="Garamond"/>
          <w:sz w:val="20"/>
        </w:rPr>
        <w:t>unitário</w:t>
      </w:r>
      <w:r w:rsidRPr="00395593">
        <w:rPr>
          <w:rFonts w:ascii="Garamond" w:hAnsi="Garamond"/>
          <w:spacing w:val="9"/>
          <w:sz w:val="20"/>
        </w:rPr>
        <w:t xml:space="preserve"> </w:t>
      </w:r>
      <w:r w:rsidRPr="00395593">
        <w:rPr>
          <w:rFonts w:ascii="Garamond" w:hAnsi="Garamond"/>
          <w:sz w:val="20"/>
        </w:rPr>
        <w:t>ocorre</w:t>
      </w:r>
      <w:r w:rsidRPr="00395593">
        <w:rPr>
          <w:rFonts w:ascii="Garamond" w:hAnsi="Garamond"/>
          <w:spacing w:val="8"/>
          <w:sz w:val="20"/>
        </w:rPr>
        <w:t xml:space="preserve"> </w:t>
      </w:r>
      <w:r w:rsidRPr="00395593">
        <w:rPr>
          <w:rFonts w:ascii="Garamond" w:hAnsi="Garamond"/>
          <w:sz w:val="20"/>
        </w:rPr>
        <w:t>em</w:t>
      </w:r>
      <w:r w:rsidRPr="00395593">
        <w:rPr>
          <w:rFonts w:ascii="Garamond" w:hAnsi="Garamond"/>
          <w:spacing w:val="5"/>
          <w:sz w:val="20"/>
        </w:rPr>
        <w:t xml:space="preserve"> </w:t>
      </w:r>
      <w:r w:rsidRPr="00395593">
        <w:rPr>
          <w:rFonts w:ascii="Garamond" w:hAnsi="Garamond"/>
          <w:sz w:val="20"/>
        </w:rPr>
        <w:t>quantidade</w:t>
      </w:r>
      <w:r w:rsidRPr="00395593">
        <w:rPr>
          <w:rFonts w:ascii="Garamond" w:hAnsi="Garamond"/>
          <w:spacing w:val="8"/>
          <w:sz w:val="20"/>
        </w:rPr>
        <w:t xml:space="preserve"> </w:t>
      </w:r>
      <w:r w:rsidRPr="00395593">
        <w:rPr>
          <w:rFonts w:ascii="Garamond" w:hAnsi="Garamond"/>
          <w:sz w:val="20"/>
        </w:rPr>
        <w:t>substancial</w:t>
      </w:r>
      <w:r w:rsidRPr="00395593">
        <w:rPr>
          <w:rFonts w:ascii="Garamond" w:hAnsi="Garamond"/>
          <w:spacing w:val="8"/>
          <w:sz w:val="20"/>
        </w:rPr>
        <w:t xml:space="preserve"> </w:t>
      </w:r>
      <w:r w:rsidRPr="00395593">
        <w:rPr>
          <w:rFonts w:ascii="Garamond" w:hAnsi="Garamond"/>
          <w:sz w:val="20"/>
        </w:rPr>
        <w:t>quando</w:t>
      </w:r>
      <w:r w:rsidRPr="00395593">
        <w:rPr>
          <w:rFonts w:ascii="Garamond" w:hAnsi="Garamond"/>
          <w:spacing w:val="9"/>
          <w:sz w:val="20"/>
        </w:rPr>
        <w:t xml:space="preserve"> </w:t>
      </w:r>
      <w:r w:rsidRPr="00395593">
        <w:rPr>
          <w:rFonts w:ascii="Garamond" w:hAnsi="Garamond"/>
          <w:sz w:val="20"/>
        </w:rPr>
        <w:t>as</w:t>
      </w:r>
      <w:r w:rsidRPr="00395593">
        <w:rPr>
          <w:rFonts w:ascii="Garamond" w:hAnsi="Garamond"/>
          <w:spacing w:val="9"/>
          <w:sz w:val="20"/>
        </w:rPr>
        <w:t xml:space="preserve"> </w:t>
      </w:r>
      <w:r w:rsidRPr="00395593">
        <w:rPr>
          <w:rFonts w:ascii="Garamond" w:hAnsi="Garamond"/>
          <w:sz w:val="20"/>
        </w:rPr>
        <w:t>autoridades</w:t>
      </w:r>
      <w:r w:rsidRPr="00395593">
        <w:rPr>
          <w:rFonts w:ascii="Garamond" w:hAnsi="Garamond"/>
          <w:spacing w:val="9"/>
          <w:sz w:val="20"/>
        </w:rPr>
        <w:t xml:space="preserve"> </w:t>
      </w:r>
      <w:r w:rsidRPr="00395593">
        <w:rPr>
          <w:rFonts w:ascii="Garamond" w:hAnsi="Garamond"/>
          <w:sz w:val="20"/>
        </w:rPr>
        <w:t>estabelecem</w:t>
      </w:r>
      <w:r w:rsidRPr="00395593">
        <w:rPr>
          <w:rFonts w:ascii="Garamond" w:hAnsi="Garamond"/>
          <w:spacing w:val="5"/>
          <w:sz w:val="20"/>
        </w:rPr>
        <w:t xml:space="preserve"> </w:t>
      </w:r>
      <w:r w:rsidRPr="00395593">
        <w:rPr>
          <w:rFonts w:ascii="Garamond" w:hAnsi="Garamond"/>
          <w:sz w:val="20"/>
        </w:rPr>
        <w:t>que</w:t>
      </w:r>
      <w:r w:rsidRPr="00395593">
        <w:rPr>
          <w:rFonts w:ascii="Garamond" w:hAnsi="Garamond"/>
          <w:spacing w:val="8"/>
          <w:sz w:val="20"/>
        </w:rPr>
        <w:t xml:space="preserve"> </w:t>
      </w:r>
      <w:r w:rsidRPr="00395593">
        <w:rPr>
          <w:rFonts w:ascii="Garamond" w:hAnsi="Garamond"/>
          <w:sz w:val="20"/>
        </w:rPr>
        <w:t>o</w:t>
      </w:r>
      <w:r w:rsidRPr="00395593">
        <w:rPr>
          <w:rFonts w:ascii="Garamond" w:hAnsi="Garamond"/>
          <w:spacing w:val="-47"/>
          <w:sz w:val="20"/>
        </w:rPr>
        <w:t xml:space="preserve"> </w:t>
      </w:r>
      <w:r w:rsidRPr="00395593">
        <w:rPr>
          <w:rFonts w:ascii="Garamond" w:hAnsi="Garamond"/>
          <w:sz w:val="20"/>
        </w:rPr>
        <w:t>preço médio ponderado de venda nas transações investigadas para a determinação do valor normal está abaixo</w:t>
      </w:r>
      <w:r w:rsidRPr="00395593">
        <w:rPr>
          <w:rFonts w:ascii="Garamond" w:hAnsi="Garamond"/>
          <w:spacing w:val="-47"/>
          <w:sz w:val="20"/>
        </w:rPr>
        <w:t xml:space="preserve"> </w:t>
      </w:r>
      <w:r w:rsidRPr="00395593">
        <w:rPr>
          <w:rFonts w:ascii="Garamond" w:hAnsi="Garamond"/>
          <w:sz w:val="20"/>
        </w:rPr>
        <w:t>do</w:t>
      </w:r>
      <w:r w:rsidRPr="00395593">
        <w:rPr>
          <w:rFonts w:ascii="Garamond" w:hAnsi="Garamond"/>
          <w:spacing w:val="6"/>
          <w:sz w:val="20"/>
        </w:rPr>
        <w:t xml:space="preserve"> </w:t>
      </w:r>
      <w:r w:rsidRPr="00395593">
        <w:rPr>
          <w:rFonts w:ascii="Garamond" w:hAnsi="Garamond"/>
          <w:sz w:val="20"/>
        </w:rPr>
        <w:t>custo</w:t>
      </w:r>
      <w:r w:rsidRPr="00395593">
        <w:rPr>
          <w:rFonts w:ascii="Garamond" w:hAnsi="Garamond"/>
          <w:spacing w:val="8"/>
          <w:sz w:val="20"/>
        </w:rPr>
        <w:t xml:space="preserve"> </w:t>
      </w:r>
      <w:r w:rsidRPr="00395593">
        <w:rPr>
          <w:rFonts w:ascii="Garamond" w:hAnsi="Garamond"/>
          <w:sz w:val="20"/>
        </w:rPr>
        <w:t>médio</w:t>
      </w:r>
      <w:r w:rsidRPr="00395593">
        <w:rPr>
          <w:rFonts w:ascii="Garamond" w:hAnsi="Garamond"/>
          <w:spacing w:val="6"/>
          <w:sz w:val="20"/>
        </w:rPr>
        <w:t xml:space="preserve"> </w:t>
      </w:r>
      <w:r w:rsidRPr="00395593">
        <w:rPr>
          <w:rFonts w:ascii="Garamond" w:hAnsi="Garamond"/>
          <w:sz w:val="20"/>
        </w:rPr>
        <w:t>ponderado</w:t>
      </w:r>
      <w:r w:rsidRPr="00395593">
        <w:rPr>
          <w:rFonts w:ascii="Garamond" w:hAnsi="Garamond"/>
          <w:spacing w:val="7"/>
          <w:sz w:val="20"/>
        </w:rPr>
        <w:t xml:space="preserve"> </w:t>
      </w:r>
      <w:r w:rsidRPr="00395593">
        <w:rPr>
          <w:rFonts w:ascii="Garamond" w:hAnsi="Garamond"/>
          <w:sz w:val="20"/>
        </w:rPr>
        <w:t>ou</w:t>
      </w:r>
      <w:r w:rsidRPr="00395593">
        <w:rPr>
          <w:rFonts w:ascii="Garamond" w:hAnsi="Garamond"/>
          <w:spacing w:val="4"/>
          <w:sz w:val="20"/>
        </w:rPr>
        <w:t xml:space="preserve"> </w:t>
      </w:r>
      <w:r w:rsidRPr="00395593">
        <w:rPr>
          <w:rFonts w:ascii="Garamond" w:hAnsi="Garamond"/>
          <w:sz w:val="20"/>
        </w:rPr>
        <w:t>que</w:t>
      </w:r>
      <w:r w:rsidRPr="00395593">
        <w:rPr>
          <w:rFonts w:ascii="Garamond" w:hAnsi="Garamond"/>
          <w:spacing w:val="6"/>
          <w:sz w:val="20"/>
        </w:rPr>
        <w:t xml:space="preserve"> </w:t>
      </w:r>
      <w:r w:rsidRPr="00395593">
        <w:rPr>
          <w:rFonts w:ascii="Garamond" w:hAnsi="Garamond"/>
          <w:sz w:val="20"/>
        </w:rPr>
        <w:t>o</w:t>
      </w:r>
      <w:r w:rsidRPr="00395593">
        <w:rPr>
          <w:rFonts w:ascii="Garamond" w:hAnsi="Garamond"/>
          <w:spacing w:val="6"/>
          <w:sz w:val="20"/>
        </w:rPr>
        <w:t xml:space="preserve"> </w:t>
      </w:r>
      <w:r w:rsidRPr="00395593">
        <w:rPr>
          <w:rFonts w:ascii="Garamond" w:hAnsi="Garamond"/>
          <w:sz w:val="20"/>
        </w:rPr>
        <w:t>volume</w:t>
      </w:r>
      <w:r w:rsidRPr="00395593">
        <w:rPr>
          <w:rFonts w:ascii="Garamond" w:hAnsi="Garamond"/>
          <w:spacing w:val="5"/>
          <w:sz w:val="20"/>
        </w:rPr>
        <w:t xml:space="preserve"> </w:t>
      </w:r>
      <w:r w:rsidRPr="00395593">
        <w:rPr>
          <w:rFonts w:ascii="Garamond" w:hAnsi="Garamond"/>
          <w:sz w:val="20"/>
        </w:rPr>
        <w:t>de</w:t>
      </w:r>
      <w:r w:rsidRPr="00395593">
        <w:rPr>
          <w:rFonts w:ascii="Garamond" w:hAnsi="Garamond"/>
          <w:spacing w:val="6"/>
          <w:sz w:val="20"/>
        </w:rPr>
        <w:t xml:space="preserve"> </w:t>
      </w:r>
      <w:r w:rsidRPr="00395593">
        <w:rPr>
          <w:rFonts w:ascii="Garamond" w:hAnsi="Garamond"/>
          <w:sz w:val="20"/>
        </w:rPr>
        <w:t>vendas</w:t>
      </w:r>
      <w:r w:rsidRPr="00395593">
        <w:rPr>
          <w:rFonts w:ascii="Garamond" w:hAnsi="Garamond"/>
          <w:spacing w:val="5"/>
          <w:sz w:val="20"/>
        </w:rPr>
        <w:t xml:space="preserve"> </w:t>
      </w:r>
      <w:r w:rsidRPr="00395593">
        <w:rPr>
          <w:rFonts w:ascii="Garamond" w:hAnsi="Garamond"/>
          <w:sz w:val="20"/>
        </w:rPr>
        <w:t>abaixo</w:t>
      </w:r>
      <w:r w:rsidRPr="00395593">
        <w:rPr>
          <w:rFonts w:ascii="Garamond" w:hAnsi="Garamond"/>
          <w:spacing w:val="6"/>
          <w:sz w:val="20"/>
        </w:rPr>
        <w:t xml:space="preserve"> </w:t>
      </w:r>
      <w:r w:rsidRPr="00395593">
        <w:rPr>
          <w:rFonts w:ascii="Garamond" w:hAnsi="Garamond"/>
          <w:sz w:val="20"/>
        </w:rPr>
        <w:t>do</w:t>
      </w:r>
      <w:r w:rsidRPr="00395593">
        <w:rPr>
          <w:rFonts w:ascii="Garamond" w:hAnsi="Garamond"/>
          <w:spacing w:val="7"/>
          <w:sz w:val="20"/>
        </w:rPr>
        <w:t xml:space="preserve"> </w:t>
      </w:r>
      <w:r w:rsidRPr="00395593">
        <w:rPr>
          <w:rFonts w:ascii="Garamond" w:hAnsi="Garamond"/>
          <w:sz w:val="20"/>
        </w:rPr>
        <w:t>custo</w:t>
      </w:r>
      <w:r w:rsidRPr="00395593">
        <w:rPr>
          <w:rFonts w:ascii="Garamond" w:hAnsi="Garamond"/>
          <w:spacing w:val="6"/>
          <w:sz w:val="20"/>
        </w:rPr>
        <w:t xml:space="preserve"> </w:t>
      </w:r>
      <w:r w:rsidRPr="00395593">
        <w:rPr>
          <w:rFonts w:ascii="Garamond" w:hAnsi="Garamond"/>
          <w:sz w:val="20"/>
        </w:rPr>
        <w:t>unitário</w:t>
      </w:r>
      <w:r w:rsidRPr="00395593">
        <w:rPr>
          <w:rFonts w:ascii="Garamond" w:hAnsi="Garamond"/>
          <w:spacing w:val="6"/>
          <w:sz w:val="20"/>
        </w:rPr>
        <w:t xml:space="preserve"> </w:t>
      </w:r>
      <w:r w:rsidRPr="00395593">
        <w:rPr>
          <w:rFonts w:ascii="Garamond" w:hAnsi="Garamond"/>
          <w:sz w:val="20"/>
        </w:rPr>
        <w:t>responde</w:t>
      </w:r>
      <w:r w:rsidRPr="00395593">
        <w:rPr>
          <w:rFonts w:ascii="Garamond" w:hAnsi="Garamond"/>
          <w:spacing w:val="6"/>
          <w:sz w:val="20"/>
        </w:rPr>
        <w:t xml:space="preserve"> </w:t>
      </w:r>
      <w:r w:rsidRPr="00395593">
        <w:rPr>
          <w:rFonts w:ascii="Garamond" w:hAnsi="Garamond"/>
          <w:sz w:val="20"/>
        </w:rPr>
        <w:t>por</w:t>
      </w:r>
      <w:r w:rsidRPr="00395593">
        <w:rPr>
          <w:rFonts w:ascii="Garamond" w:hAnsi="Garamond"/>
          <w:spacing w:val="5"/>
          <w:sz w:val="20"/>
        </w:rPr>
        <w:t xml:space="preserve"> </w:t>
      </w:r>
      <w:r w:rsidRPr="00395593">
        <w:rPr>
          <w:rFonts w:ascii="Garamond" w:hAnsi="Garamond"/>
          <w:sz w:val="20"/>
        </w:rPr>
        <w:t>20</w:t>
      </w:r>
      <w:r w:rsidRPr="00395593">
        <w:rPr>
          <w:rFonts w:ascii="Garamond" w:hAnsi="Garamond"/>
          <w:spacing w:val="3"/>
          <w:sz w:val="20"/>
        </w:rPr>
        <w:t xml:space="preserve"> </w:t>
      </w:r>
      <w:r w:rsidRPr="00395593">
        <w:rPr>
          <w:rFonts w:ascii="Garamond" w:hAnsi="Garamond"/>
          <w:sz w:val="20"/>
        </w:rPr>
        <w:t>por</w:t>
      </w:r>
      <w:r w:rsidRPr="00395593">
        <w:rPr>
          <w:rFonts w:ascii="Garamond" w:hAnsi="Garamond"/>
          <w:spacing w:val="6"/>
          <w:sz w:val="20"/>
        </w:rPr>
        <w:t xml:space="preserve"> </w:t>
      </w:r>
      <w:r w:rsidRPr="00395593">
        <w:rPr>
          <w:rFonts w:ascii="Garamond" w:hAnsi="Garamond"/>
          <w:sz w:val="20"/>
        </w:rPr>
        <w:t>cesto</w:t>
      </w:r>
      <w:r w:rsidRPr="00395593">
        <w:rPr>
          <w:rFonts w:ascii="Garamond" w:hAnsi="Garamond"/>
          <w:spacing w:val="6"/>
          <w:sz w:val="20"/>
        </w:rPr>
        <w:t xml:space="preserve"> </w:t>
      </w:r>
      <w:r w:rsidRPr="00395593">
        <w:rPr>
          <w:rFonts w:ascii="Garamond" w:hAnsi="Garamond"/>
          <w:sz w:val="20"/>
        </w:rPr>
        <w:t>ou</w:t>
      </w:r>
      <w:r w:rsidRPr="00395593">
        <w:rPr>
          <w:rFonts w:ascii="Garamond" w:hAnsi="Garamond"/>
          <w:spacing w:val="-47"/>
          <w:sz w:val="20"/>
        </w:rPr>
        <w:t xml:space="preserve"> </w:t>
      </w:r>
      <w:r w:rsidRPr="00395593">
        <w:rPr>
          <w:rFonts w:ascii="Garamond" w:hAnsi="Garamond"/>
          <w:sz w:val="20"/>
        </w:rPr>
        <w:t>mais</w:t>
      </w:r>
      <w:r w:rsidRPr="00395593">
        <w:rPr>
          <w:rFonts w:ascii="Garamond" w:hAnsi="Garamond"/>
          <w:spacing w:val="-2"/>
          <w:sz w:val="20"/>
        </w:rPr>
        <w:t xml:space="preserve"> </w:t>
      </w:r>
      <w:r w:rsidRPr="00395593">
        <w:rPr>
          <w:rFonts w:ascii="Garamond" w:hAnsi="Garamond"/>
          <w:sz w:val="20"/>
        </w:rPr>
        <w:t>de</w:t>
      </w:r>
      <w:r w:rsidRPr="00395593">
        <w:rPr>
          <w:rFonts w:ascii="Garamond" w:hAnsi="Garamond"/>
          <w:spacing w:val="-1"/>
          <w:sz w:val="20"/>
        </w:rPr>
        <w:t xml:space="preserve"> </w:t>
      </w:r>
      <w:r w:rsidRPr="00395593">
        <w:rPr>
          <w:rFonts w:ascii="Garamond" w:hAnsi="Garamond"/>
          <w:sz w:val="20"/>
        </w:rPr>
        <w:t>volume vendido nas</w:t>
      </w:r>
      <w:r w:rsidRPr="00395593">
        <w:rPr>
          <w:rFonts w:ascii="Garamond" w:hAnsi="Garamond"/>
          <w:spacing w:val="-2"/>
          <w:sz w:val="20"/>
        </w:rPr>
        <w:t xml:space="preserve"> </w:t>
      </w:r>
      <w:r w:rsidRPr="00395593">
        <w:rPr>
          <w:rFonts w:ascii="Garamond" w:hAnsi="Garamond"/>
          <w:sz w:val="20"/>
        </w:rPr>
        <w:t>transações</w:t>
      </w:r>
      <w:r w:rsidRPr="00395593">
        <w:rPr>
          <w:rFonts w:ascii="Garamond" w:hAnsi="Garamond"/>
          <w:spacing w:val="-1"/>
          <w:sz w:val="20"/>
        </w:rPr>
        <w:t xml:space="preserve"> </w:t>
      </w:r>
      <w:r w:rsidRPr="00395593">
        <w:rPr>
          <w:rFonts w:ascii="Garamond" w:hAnsi="Garamond"/>
          <w:sz w:val="20"/>
        </w:rPr>
        <w:t>examinadas</w:t>
      </w:r>
      <w:r w:rsidRPr="00395593">
        <w:rPr>
          <w:rFonts w:ascii="Garamond" w:hAnsi="Garamond"/>
          <w:spacing w:val="-2"/>
          <w:sz w:val="20"/>
        </w:rPr>
        <w:t xml:space="preserve"> </w:t>
      </w:r>
      <w:r w:rsidRPr="00395593">
        <w:rPr>
          <w:rFonts w:ascii="Garamond" w:hAnsi="Garamond"/>
          <w:sz w:val="20"/>
        </w:rPr>
        <w:t>para a</w:t>
      </w:r>
      <w:r w:rsidRPr="00395593">
        <w:rPr>
          <w:rFonts w:ascii="Garamond" w:hAnsi="Garamond"/>
          <w:spacing w:val="-1"/>
          <w:sz w:val="20"/>
        </w:rPr>
        <w:t xml:space="preserve"> </w:t>
      </w:r>
      <w:r w:rsidRPr="00395593">
        <w:rPr>
          <w:rFonts w:ascii="Garamond" w:hAnsi="Garamond"/>
          <w:sz w:val="20"/>
        </w:rPr>
        <w:t>determinação do</w:t>
      </w:r>
      <w:r w:rsidRPr="00395593">
        <w:rPr>
          <w:rFonts w:ascii="Garamond" w:hAnsi="Garamond"/>
          <w:spacing w:val="1"/>
          <w:sz w:val="20"/>
        </w:rPr>
        <w:t xml:space="preserve"> </w:t>
      </w:r>
      <w:r w:rsidRPr="00395593">
        <w:rPr>
          <w:rFonts w:ascii="Garamond" w:hAnsi="Garamond"/>
          <w:sz w:val="20"/>
        </w:rPr>
        <w:t>valor</w:t>
      </w:r>
      <w:r w:rsidRPr="00395593">
        <w:rPr>
          <w:rFonts w:ascii="Garamond" w:hAnsi="Garamond"/>
          <w:spacing w:val="-1"/>
          <w:sz w:val="20"/>
        </w:rPr>
        <w:t xml:space="preserve"> </w:t>
      </w:r>
      <w:r w:rsidRPr="00395593">
        <w:rPr>
          <w:rFonts w:ascii="Garamond" w:hAnsi="Garamond"/>
          <w:sz w:val="20"/>
        </w:rPr>
        <w:t>normal.</w:t>
      </w:r>
    </w:p>
    <w:p w14:paraId="09CD48AC" w14:textId="67717426" w:rsidR="00CE7789" w:rsidRDefault="0013285C" w:rsidP="00F362DF">
      <w:pPr>
        <w:spacing w:after="0" w:line="240" w:lineRule="auto"/>
        <w:ind w:left="102" w:right="116"/>
        <w:jc w:val="both"/>
        <w:rPr>
          <w:rFonts w:ascii="Garamond" w:hAnsi="Garamond"/>
          <w:sz w:val="20"/>
        </w:rPr>
      </w:pPr>
      <w:r w:rsidRPr="00395593">
        <w:rPr>
          <w:rFonts w:ascii="Garamond" w:hAnsi="Garamond"/>
          <w:sz w:val="20"/>
          <w:vertAlign w:val="superscript"/>
        </w:rPr>
        <w:t>6</w:t>
      </w:r>
      <w:r w:rsidRPr="00395593">
        <w:rPr>
          <w:rFonts w:ascii="Garamond" w:hAnsi="Garamond"/>
          <w:sz w:val="20"/>
        </w:rPr>
        <w:t xml:space="preserve"> As correções efetuadas em razão da entrada em funcionamento devem refletir os custos verificados ao final</w:t>
      </w:r>
      <w:r w:rsidRPr="00395593">
        <w:rPr>
          <w:rFonts w:ascii="Garamond" w:hAnsi="Garamond"/>
          <w:spacing w:val="1"/>
          <w:sz w:val="20"/>
        </w:rPr>
        <w:t xml:space="preserve"> </w:t>
      </w:r>
      <w:r w:rsidRPr="00395593">
        <w:rPr>
          <w:rFonts w:ascii="Garamond" w:hAnsi="Garamond"/>
          <w:sz w:val="20"/>
        </w:rPr>
        <w:t>do</w:t>
      </w:r>
      <w:r w:rsidRPr="00395593">
        <w:rPr>
          <w:rFonts w:ascii="Garamond" w:hAnsi="Garamond"/>
          <w:spacing w:val="1"/>
          <w:sz w:val="20"/>
        </w:rPr>
        <w:t xml:space="preserve"> </w:t>
      </w:r>
      <w:r w:rsidRPr="00395593">
        <w:rPr>
          <w:rFonts w:ascii="Garamond" w:hAnsi="Garamond"/>
          <w:sz w:val="20"/>
        </w:rPr>
        <w:t>período</w:t>
      </w:r>
      <w:r w:rsidRPr="00395593">
        <w:rPr>
          <w:rFonts w:ascii="Garamond" w:hAnsi="Garamond"/>
          <w:spacing w:val="1"/>
          <w:sz w:val="20"/>
        </w:rPr>
        <w:t xml:space="preserve"> </w:t>
      </w:r>
      <w:r w:rsidRPr="00395593">
        <w:rPr>
          <w:rFonts w:ascii="Garamond" w:hAnsi="Garamond"/>
          <w:sz w:val="20"/>
        </w:rPr>
        <w:t>de</w:t>
      </w:r>
      <w:r w:rsidRPr="00395593">
        <w:rPr>
          <w:rFonts w:ascii="Garamond" w:hAnsi="Garamond"/>
          <w:spacing w:val="1"/>
          <w:sz w:val="20"/>
        </w:rPr>
        <w:t xml:space="preserve"> </w:t>
      </w:r>
      <w:r w:rsidRPr="00395593">
        <w:rPr>
          <w:rFonts w:ascii="Garamond" w:hAnsi="Garamond"/>
          <w:sz w:val="20"/>
        </w:rPr>
        <w:t>entrada</w:t>
      </w:r>
      <w:r w:rsidRPr="00395593">
        <w:rPr>
          <w:rFonts w:ascii="Garamond" w:hAnsi="Garamond"/>
          <w:spacing w:val="1"/>
          <w:sz w:val="20"/>
        </w:rPr>
        <w:t xml:space="preserve"> </w:t>
      </w:r>
      <w:r w:rsidRPr="00395593">
        <w:rPr>
          <w:rFonts w:ascii="Garamond" w:hAnsi="Garamond"/>
          <w:sz w:val="20"/>
        </w:rPr>
        <w:t>em</w:t>
      </w:r>
      <w:r w:rsidRPr="00395593">
        <w:rPr>
          <w:rFonts w:ascii="Garamond" w:hAnsi="Garamond"/>
          <w:spacing w:val="1"/>
          <w:sz w:val="20"/>
        </w:rPr>
        <w:t xml:space="preserve"> </w:t>
      </w:r>
      <w:r w:rsidRPr="00395593">
        <w:rPr>
          <w:rFonts w:ascii="Garamond" w:hAnsi="Garamond"/>
          <w:sz w:val="20"/>
        </w:rPr>
        <w:t>funcionamento</w:t>
      </w:r>
      <w:r w:rsidRPr="00395593">
        <w:rPr>
          <w:rFonts w:ascii="Garamond" w:hAnsi="Garamond"/>
          <w:spacing w:val="1"/>
          <w:sz w:val="20"/>
        </w:rPr>
        <w:t xml:space="preserve"> </w:t>
      </w:r>
      <w:r w:rsidRPr="00395593">
        <w:rPr>
          <w:rFonts w:ascii="Garamond" w:hAnsi="Garamond"/>
          <w:sz w:val="20"/>
        </w:rPr>
        <w:t>ou,</w:t>
      </w:r>
      <w:r w:rsidRPr="00395593">
        <w:rPr>
          <w:rFonts w:ascii="Garamond" w:hAnsi="Garamond"/>
          <w:spacing w:val="1"/>
          <w:sz w:val="20"/>
        </w:rPr>
        <w:t xml:space="preserve"> </w:t>
      </w:r>
      <w:r w:rsidRPr="00395593">
        <w:rPr>
          <w:rFonts w:ascii="Garamond" w:hAnsi="Garamond"/>
          <w:sz w:val="20"/>
        </w:rPr>
        <w:t>caso</w:t>
      </w:r>
      <w:r w:rsidRPr="00395593">
        <w:rPr>
          <w:rFonts w:ascii="Garamond" w:hAnsi="Garamond"/>
          <w:spacing w:val="1"/>
          <w:sz w:val="20"/>
        </w:rPr>
        <w:t xml:space="preserve"> </w:t>
      </w:r>
      <w:r w:rsidRPr="00395593">
        <w:rPr>
          <w:rFonts w:ascii="Garamond" w:hAnsi="Garamond"/>
          <w:sz w:val="20"/>
        </w:rPr>
        <w:t>tal</w:t>
      </w:r>
      <w:r w:rsidRPr="00395593">
        <w:rPr>
          <w:rFonts w:ascii="Garamond" w:hAnsi="Garamond"/>
          <w:spacing w:val="1"/>
          <w:sz w:val="20"/>
        </w:rPr>
        <w:t xml:space="preserve"> </w:t>
      </w:r>
      <w:r w:rsidRPr="00395593">
        <w:rPr>
          <w:rFonts w:ascii="Garamond" w:hAnsi="Garamond"/>
          <w:sz w:val="20"/>
        </w:rPr>
        <w:t>período</w:t>
      </w:r>
      <w:r w:rsidRPr="00395593">
        <w:rPr>
          <w:rFonts w:ascii="Garamond" w:hAnsi="Garamond"/>
          <w:spacing w:val="1"/>
          <w:sz w:val="20"/>
        </w:rPr>
        <w:t xml:space="preserve"> </w:t>
      </w:r>
      <w:r w:rsidRPr="00395593">
        <w:rPr>
          <w:rFonts w:ascii="Garamond" w:hAnsi="Garamond"/>
          <w:sz w:val="20"/>
        </w:rPr>
        <w:t>se</w:t>
      </w:r>
      <w:r w:rsidRPr="00395593">
        <w:rPr>
          <w:rFonts w:ascii="Garamond" w:hAnsi="Garamond"/>
          <w:spacing w:val="1"/>
          <w:sz w:val="20"/>
        </w:rPr>
        <w:t xml:space="preserve"> </w:t>
      </w:r>
      <w:r w:rsidRPr="00395593">
        <w:rPr>
          <w:rFonts w:ascii="Garamond" w:hAnsi="Garamond"/>
          <w:sz w:val="20"/>
        </w:rPr>
        <w:t>estenda</w:t>
      </w:r>
      <w:r w:rsidRPr="00395593">
        <w:rPr>
          <w:rFonts w:ascii="Garamond" w:hAnsi="Garamond"/>
          <w:spacing w:val="1"/>
          <w:sz w:val="20"/>
        </w:rPr>
        <w:t xml:space="preserve"> </w:t>
      </w:r>
      <w:r w:rsidRPr="00395593">
        <w:rPr>
          <w:rFonts w:ascii="Garamond" w:hAnsi="Garamond"/>
          <w:sz w:val="20"/>
        </w:rPr>
        <w:t>além</w:t>
      </w:r>
      <w:r w:rsidRPr="00395593">
        <w:rPr>
          <w:rFonts w:ascii="Garamond" w:hAnsi="Garamond"/>
          <w:spacing w:val="1"/>
          <w:sz w:val="20"/>
        </w:rPr>
        <w:t xml:space="preserve"> </w:t>
      </w:r>
      <w:r w:rsidRPr="00395593">
        <w:rPr>
          <w:rFonts w:ascii="Garamond" w:hAnsi="Garamond"/>
          <w:sz w:val="20"/>
        </w:rPr>
        <w:t>daquele</w:t>
      </w:r>
      <w:r w:rsidRPr="00395593">
        <w:rPr>
          <w:rFonts w:ascii="Garamond" w:hAnsi="Garamond"/>
          <w:spacing w:val="1"/>
          <w:sz w:val="20"/>
        </w:rPr>
        <w:t xml:space="preserve"> </w:t>
      </w:r>
      <w:r w:rsidRPr="00395593">
        <w:rPr>
          <w:rFonts w:ascii="Garamond" w:hAnsi="Garamond"/>
          <w:sz w:val="20"/>
        </w:rPr>
        <w:t>coberto</w:t>
      </w:r>
      <w:r w:rsidRPr="00395593">
        <w:rPr>
          <w:rFonts w:ascii="Garamond" w:hAnsi="Garamond"/>
          <w:spacing w:val="1"/>
          <w:sz w:val="20"/>
        </w:rPr>
        <w:t xml:space="preserve"> </w:t>
      </w:r>
      <w:r w:rsidRPr="00395593">
        <w:rPr>
          <w:rFonts w:ascii="Garamond" w:hAnsi="Garamond"/>
          <w:sz w:val="20"/>
        </w:rPr>
        <w:t>pelas</w:t>
      </w:r>
      <w:r w:rsidRPr="00395593">
        <w:rPr>
          <w:rFonts w:ascii="Garamond" w:hAnsi="Garamond"/>
          <w:spacing w:val="1"/>
          <w:sz w:val="20"/>
        </w:rPr>
        <w:t xml:space="preserve"> </w:t>
      </w:r>
      <w:r w:rsidRPr="00395593">
        <w:rPr>
          <w:rFonts w:ascii="Garamond" w:hAnsi="Garamond"/>
          <w:sz w:val="20"/>
        </w:rPr>
        <w:t>investigações, os custos mais recentes que as autoridades possam razoavelmente tomar em conta durante a</w:t>
      </w:r>
      <w:r w:rsidRPr="00395593">
        <w:rPr>
          <w:rFonts w:ascii="Garamond" w:hAnsi="Garamond"/>
          <w:spacing w:val="1"/>
          <w:sz w:val="20"/>
        </w:rPr>
        <w:t xml:space="preserve"> </w:t>
      </w:r>
      <w:r w:rsidRPr="00395593">
        <w:rPr>
          <w:rFonts w:ascii="Garamond" w:hAnsi="Garamond"/>
          <w:sz w:val="20"/>
        </w:rPr>
        <w:t>investigação.</w:t>
      </w:r>
    </w:p>
    <w:p w14:paraId="0681C993" w14:textId="77777777" w:rsidR="00CE7789" w:rsidRDefault="00CE7789">
      <w:pPr>
        <w:rPr>
          <w:rFonts w:ascii="Garamond" w:hAnsi="Garamond"/>
          <w:sz w:val="20"/>
        </w:rPr>
      </w:pPr>
      <w:r>
        <w:rPr>
          <w:rFonts w:ascii="Garamond" w:hAnsi="Garamond"/>
          <w:sz w:val="20"/>
        </w:rPr>
        <w:br w:type="page"/>
      </w:r>
    </w:p>
    <w:p w14:paraId="270F9C2E" w14:textId="77777777" w:rsidR="0013285C" w:rsidRPr="00395593" w:rsidRDefault="0013285C" w:rsidP="002C4340">
      <w:pPr>
        <w:pStyle w:val="PargrafodaLista"/>
        <w:widowControl w:val="0"/>
        <w:numPr>
          <w:ilvl w:val="2"/>
          <w:numId w:val="24"/>
        </w:numPr>
        <w:tabs>
          <w:tab w:val="left" w:pos="1257"/>
        </w:tabs>
        <w:autoSpaceDE w:val="0"/>
        <w:autoSpaceDN w:val="0"/>
        <w:spacing w:before="68" w:after="0" w:line="240" w:lineRule="auto"/>
        <w:ind w:left="821" w:right="119" w:firstLine="0"/>
        <w:contextualSpacing w:val="0"/>
        <w:jc w:val="both"/>
        <w:rPr>
          <w:rFonts w:ascii="Garamond" w:hAnsi="Garamond"/>
          <w:sz w:val="24"/>
        </w:rPr>
      </w:pP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média</w:t>
      </w:r>
      <w:r w:rsidRPr="00395593">
        <w:rPr>
          <w:rFonts w:ascii="Garamond" w:hAnsi="Garamond"/>
          <w:spacing w:val="1"/>
          <w:sz w:val="24"/>
        </w:rPr>
        <w:t xml:space="preserve"> </w:t>
      </w:r>
      <w:r w:rsidRPr="00395593">
        <w:rPr>
          <w:rFonts w:ascii="Garamond" w:hAnsi="Garamond"/>
          <w:sz w:val="24"/>
        </w:rPr>
        <w:t>ponderada</w:t>
      </w:r>
      <w:r w:rsidRPr="00395593">
        <w:rPr>
          <w:rFonts w:ascii="Garamond" w:hAnsi="Garamond"/>
          <w:spacing w:val="1"/>
          <w:sz w:val="24"/>
        </w:rPr>
        <w:t xml:space="preserve"> </w:t>
      </w:r>
      <w:r w:rsidRPr="00395593">
        <w:rPr>
          <w:rFonts w:ascii="Garamond" w:hAnsi="Garamond"/>
          <w:sz w:val="24"/>
        </w:rPr>
        <w:t>dos</w:t>
      </w:r>
      <w:r w:rsidRPr="00395593">
        <w:rPr>
          <w:rFonts w:ascii="Garamond" w:hAnsi="Garamond"/>
          <w:spacing w:val="1"/>
          <w:sz w:val="24"/>
        </w:rPr>
        <w:t xml:space="preserve"> </w:t>
      </w:r>
      <w:r w:rsidRPr="00395593">
        <w:rPr>
          <w:rFonts w:ascii="Garamond" w:hAnsi="Garamond"/>
          <w:sz w:val="24"/>
        </w:rPr>
        <w:t>valores</w:t>
      </w:r>
      <w:r w:rsidRPr="00395593">
        <w:rPr>
          <w:rFonts w:ascii="Garamond" w:hAnsi="Garamond"/>
          <w:spacing w:val="1"/>
          <w:sz w:val="24"/>
        </w:rPr>
        <w:t xml:space="preserve"> </w:t>
      </w:r>
      <w:r w:rsidRPr="00395593">
        <w:rPr>
          <w:rFonts w:ascii="Garamond" w:hAnsi="Garamond"/>
          <w:sz w:val="24"/>
        </w:rPr>
        <w:t>reais</w:t>
      </w:r>
      <w:r w:rsidRPr="00395593">
        <w:rPr>
          <w:rFonts w:ascii="Garamond" w:hAnsi="Garamond"/>
          <w:spacing w:val="1"/>
          <w:sz w:val="24"/>
        </w:rPr>
        <w:t xml:space="preserve"> </w:t>
      </w:r>
      <w:r w:rsidRPr="00395593">
        <w:rPr>
          <w:rFonts w:ascii="Garamond" w:hAnsi="Garamond"/>
          <w:sz w:val="24"/>
        </w:rPr>
        <w:t>despendidos</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auferidos</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outros</w:t>
      </w:r>
      <w:r w:rsidRPr="00395593">
        <w:rPr>
          <w:rFonts w:ascii="Garamond" w:hAnsi="Garamond"/>
          <w:spacing w:val="1"/>
          <w:sz w:val="24"/>
        </w:rPr>
        <w:t xml:space="preserve"> </w:t>
      </w:r>
      <w:r w:rsidRPr="00395593">
        <w:rPr>
          <w:rFonts w:ascii="Garamond" w:hAnsi="Garamond"/>
          <w:sz w:val="24"/>
        </w:rPr>
        <w:t>exportadores</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produtores</w:t>
      </w:r>
      <w:r w:rsidRPr="00395593">
        <w:rPr>
          <w:rFonts w:ascii="Garamond" w:hAnsi="Garamond"/>
          <w:spacing w:val="1"/>
          <w:sz w:val="24"/>
        </w:rPr>
        <w:t xml:space="preserve"> </w:t>
      </w:r>
      <w:r w:rsidRPr="00395593">
        <w:rPr>
          <w:rFonts w:ascii="Garamond" w:hAnsi="Garamond"/>
          <w:sz w:val="24"/>
        </w:rPr>
        <w:t>sob</w:t>
      </w:r>
      <w:r w:rsidRPr="00395593">
        <w:rPr>
          <w:rFonts w:ascii="Garamond" w:hAnsi="Garamond"/>
          <w:spacing w:val="1"/>
          <w:sz w:val="24"/>
        </w:rPr>
        <w:t xml:space="preserve"> </w:t>
      </w:r>
      <w:r w:rsidRPr="00395593">
        <w:rPr>
          <w:rFonts w:ascii="Garamond" w:hAnsi="Garamond"/>
          <w:sz w:val="24"/>
        </w:rPr>
        <w:t>investigação</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relação</w:t>
      </w:r>
      <w:r w:rsidRPr="00395593">
        <w:rPr>
          <w:rFonts w:ascii="Garamond" w:hAnsi="Garamond"/>
          <w:spacing w:val="1"/>
          <w:sz w:val="24"/>
        </w:rPr>
        <w:t xml:space="preserve"> </w:t>
      </w:r>
      <w:r w:rsidRPr="00395593">
        <w:rPr>
          <w:rFonts w:ascii="Garamond" w:hAnsi="Garamond"/>
          <w:sz w:val="24"/>
        </w:rPr>
        <w:t>à</w:t>
      </w:r>
      <w:r w:rsidRPr="00395593">
        <w:rPr>
          <w:rFonts w:ascii="Garamond" w:hAnsi="Garamond"/>
          <w:spacing w:val="1"/>
          <w:sz w:val="24"/>
        </w:rPr>
        <w:t xml:space="preserve"> </w:t>
      </w:r>
      <w:r w:rsidRPr="00395593">
        <w:rPr>
          <w:rFonts w:ascii="Garamond" w:hAnsi="Garamond"/>
          <w:sz w:val="24"/>
        </w:rPr>
        <w:t>produção</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à</w:t>
      </w:r>
      <w:r w:rsidRPr="00395593">
        <w:rPr>
          <w:rFonts w:ascii="Garamond" w:hAnsi="Garamond"/>
          <w:spacing w:val="1"/>
          <w:sz w:val="24"/>
        </w:rPr>
        <w:t xml:space="preserve"> </w:t>
      </w:r>
      <w:r w:rsidRPr="00395593">
        <w:rPr>
          <w:rFonts w:ascii="Garamond" w:hAnsi="Garamond"/>
          <w:sz w:val="24"/>
        </w:rPr>
        <w:t>comercialização</w:t>
      </w:r>
      <w:r w:rsidRPr="00395593">
        <w:rPr>
          <w:rFonts w:ascii="Garamond" w:hAnsi="Garamond"/>
          <w:spacing w:val="-1"/>
          <w:sz w:val="24"/>
        </w:rPr>
        <w:t xml:space="preserve"> </w:t>
      </w:r>
      <w:r w:rsidRPr="00395593">
        <w:rPr>
          <w:rFonts w:ascii="Garamond" w:hAnsi="Garamond"/>
          <w:sz w:val="24"/>
        </w:rPr>
        <w:t>do produto</w:t>
      </w:r>
      <w:r w:rsidRPr="00395593">
        <w:rPr>
          <w:rFonts w:ascii="Garamond" w:hAnsi="Garamond"/>
          <w:spacing w:val="-1"/>
          <w:sz w:val="24"/>
        </w:rPr>
        <w:t xml:space="preserve"> </w:t>
      </w:r>
      <w:r w:rsidRPr="00395593">
        <w:rPr>
          <w:rFonts w:ascii="Garamond" w:hAnsi="Garamond"/>
          <w:sz w:val="24"/>
        </w:rPr>
        <w:t>similar</w:t>
      </w:r>
      <w:r w:rsidRPr="00395593">
        <w:rPr>
          <w:rFonts w:ascii="Garamond" w:hAnsi="Garamond"/>
          <w:spacing w:val="-2"/>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mercado interno do</w:t>
      </w:r>
      <w:r w:rsidRPr="00395593">
        <w:rPr>
          <w:rFonts w:ascii="Garamond" w:hAnsi="Garamond"/>
          <w:spacing w:val="-1"/>
          <w:sz w:val="24"/>
        </w:rPr>
        <w:t xml:space="preserve"> </w:t>
      </w:r>
      <w:r w:rsidRPr="00395593">
        <w:rPr>
          <w:rFonts w:ascii="Garamond" w:hAnsi="Garamond"/>
          <w:sz w:val="24"/>
        </w:rPr>
        <w:t>país de</w:t>
      </w:r>
      <w:r w:rsidRPr="00395593">
        <w:rPr>
          <w:rFonts w:ascii="Garamond" w:hAnsi="Garamond"/>
          <w:spacing w:val="-1"/>
          <w:sz w:val="24"/>
        </w:rPr>
        <w:t xml:space="preserve"> </w:t>
      </w:r>
      <w:r w:rsidRPr="00395593">
        <w:rPr>
          <w:rFonts w:ascii="Garamond" w:hAnsi="Garamond"/>
          <w:sz w:val="24"/>
        </w:rPr>
        <w:t>origem;</w:t>
      </w:r>
    </w:p>
    <w:p w14:paraId="1CE75D8D" w14:textId="77777777" w:rsidR="0013285C" w:rsidRPr="00395593" w:rsidRDefault="0013285C" w:rsidP="0013285C">
      <w:pPr>
        <w:pStyle w:val="Corpodetexto"/>
        <w:rPr>
          <w:rFonts w:ascii="Garamond" w:hAnsi="Garamond"/>
        </w:rPr>
      </w:pPr>
    </w:p>
    <w:p w14:paraId="72FCBB54" w14:textId="77777777" w:rsidR="0013285C" w:rsidRPr="00395593" w:rsidRDefault="0013285C" w:rsidP="002C4340">
      <w:pPr>
        <w:pStyle w:val="PargrafodaLista"/>
        <w:widowControl w:val="0"/>
        <w:numPr>
          <w:ilvl w:val="2"/>
          <w:numId w:val="24"/>
        </w:numPr>
        <w:tabs>
          <w:tab w:val="left" w:pos="1257"/>
        </w:tabs>
        <w:autoSpaceDE w:val="0"/>
        <w:autoSpaceDN w:val="0"/>
        <w:spacing w:after="0" w:line="240" w:lineRule="auto"/>
        <w:ind w:left="821" w:right="121" w:firstLine="0"/>
        <w:contextualSpacing w:val="0"/>
        <w:jc w:val="both"/>
        <w:rPr>
          <w:rFonts w:ascii="Garamond" w:hAnsi="Garamond"/>
          <w:sz w:val="24"/>
        </w:rPr>
      </w:pPr>
      <w:r w:rsidRPr="00395593">
        <w:rPr>
          <w:rFonts w:ascii="Garamond" w:hAnsi="Garamond"/>
          <w:sz w:val="24"/>
        </w:rPr>
        <w:t>qualquer outro método razoável, desde que o montante estipulado para o lucro</w:t>
      </w:r>
      <w:r w:rsidRPr="00395593">
        <w:rPr>
          <w:rFonts w:ascii="Garamond" w:hAnsi="Garamond"/>
          <w:spacing w:val="1"/>
          <w:sz w:val="24"/>
        </w:rPr>
        <w:t xml:space="preserve"> </w:t>
      </w:r>
      <w:r w:rsidRPr="00395593">
        <w:rPr>
          <w:rFonts w:ascii="Garamond" w:hAnsi="Garamond"/>
          <w:sz w:val="24"/>
        </w:rPr>
        <w:t>não exceda o lucro normalmente realizado por outros exportadores ou produtores</w:t>
      </w:r>
      <w:r w:rsidRPr="00395593">
        <w:rPr>
          <w:rFonts w:ascii="Garamond" w:hAnsi="Garamond"/>
          <w:spacing w:val="1"/>
          <w:sz w:val="24"/>
        </w:rPr>
        <w:t xml:space="preserve"> </w:t>
      </w:r>
      <w:r w:rsidRPr="00395593">
        <w:rPr>
          <w:rFonts w:ascii="Garamond" w:hAnsi="Garamond"/>
          <w:sz w:val="24"/>
        </w:rPr>
        <w:t>com as vendas de produtos da mesma categoria geral no mercado interno do pais de</w:t>
      </w:r>
      <w:r w:rsidRPr="00395593">
        <w:rPr>
          <w:rFonts w:ascii="Garamond" w:hAnsi="Garamond"/>
          <w:spacing w:val="1"/>
          <w:sz w:val="24"/>
        </w:rPr>
        <w:t xml:space="preserve"> </w:t>
      </w:r>
      <w:r w:rsidRPr="00395593">
        <w:rPr>
          <w:rFonts w:ascii="Garamond" w:hAnsi="Garamond"/>
          <w:sz w:val="24"/>
        </w:rPr>
        <w:t>origem.</w:t>
      </w:r>
    </w:p>
    <w:p w14:paraId="64AB8A8D" w14:textId="77777777" w:rsidR="0013285C" w:rsidRPr="00395593" w:rsidRDefault="0013285C" w:rsidP="0013285C">
      <w:pPr>
        <w:pStyle w:val="Corpodetexto"/>
        <w:rPr>
          <w:rFonts w:ascii="Garamond" w:hAnsi="Garamond"/>
        </w:rPr>
      </w:pPr>
    </w:p>
    <w:p w14:paraId="23EF1D37" w14:textId="77777777" w:rsidR="0013285C" w:rsidRPr="00395593" w:rsidRDefault="0013285C" w:rsidP="002C4340">
      <w:pPr>
        <w:pStyle w:val="PargrafodaLista"/>
        <w:widowControl w:val="0"/>
        <w:numPr>
          <w:ilvl w:val="0"/>
          <w:numId w:val="24"/>
        </w:numPr>
        <w:tabs>
          <w:tab w:val="left" w:pos="810"/>
        </w:tabs>
        <w:autoSpaceDE w:val="0"/>
        <w:autoSpaceDN w:val="0"/>
        <w:spacing w:after="0" w:line="240" w:lineRule="auto"/>
        <w:ind w:right="120" w:firstLine="0"/>
        <w:contextualSpacing w:val="0"/>
        <w:jc w:val="both"/>
        <w:rPr>
          <w:rFonts w:ascii="Garamond" w:hAnsi="Garamond"/>
          <w:sz w:val="24"/>
        </w:rPr>
      </w:pPr>
      <w:r w:rsidRPr="00395593">
        <w:rPr>
          <w:rFonts w:ascii="Garamond" w:hAnsi="Garamond"/>
          <w:sz w:val="24"/>
        </w:rPr>
        <w:t>Naqueles casos em que não exista preço de exportação ou em que ás autoridades</w:t>
      </w:r>
      <w:r w:rsidRPr="00395593">
        <w:rPr>
          <w:rFonts w:ascii="Garamond" w:hAnsi="Garamond"/>
          <w:spacing w:val="1"/>
          <w:sz w:val="24"/>
        </w:rPr>
        <w:t xml:space="preserve"> </w:t>
      </w:r>
      <w:r w:rsidRPr="00395593">
        <w:rPr>
          <w:rFonts w:ascii="Garamond" w:hAnsi="Garamond"/>
          <w:sz w:val="24"/>
        </w:rPr>
        <w:t>competentes</w:t>
      </w:r>
      <w:r w:rsidRPr="00395593">
        <w:rPr>
          <w:rFonts w:ascii="Garamond" w:hAnsi="Garamond"/>
          <w:spacing w:val="1"/>
          <w:sz w:val="24"/>
        </w:rPr>
        <w:t xml:space="preserve"> </w:t>
      </w:r>
      <w:r w:rsidRPr="00395593">
        <w:rPr>
          <w:rFonts w:ascii="Garamond" w:hAnsi="Garamond"/>
          <w:sz w:val="24"/>
        </w:rPr>
        <w:t>pareça</w:t>
      </w:r>
      <w:r w:rsidRPr="00395593">
        <w:rPr>
          <w:rFonts w:ascii="Garamond" w:hAnsi="Garamond"/>
          <w:spacing w:val="1"/>
          <w:sz w:val="24"/>
        </w:rPr>
        <w:t xml:space="preserve"> </w:t>
      </w:r>
      <w:r w:rsidRPr="00395593">
        <w:rPr>
          <w:rFonts w:ascii="Garamond" w:hAnsi="Garamond"/>
          <w:sz w:val="24"/>
        </w:rPr>
        <w:t>duvidoso</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preço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exportação</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motivo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combinação</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entendimento compensatório entre o importador e o exportador ou uma terceira parte, o</w:t>
      </w:r>
      <w:r w:rsidRPr="00395593">
        <w:rPr>
          <w:rFonts w:ascii="Garamond" w:hAnsi="Garamond"/>
          <w:spacing w:val="1"/>
          <w:sz w:val="24"/>
        </w:rPr>
        <w:t xml:space="preserve"> </w:t>
      </w:r>
      <w:r w:rsidRPr="00395593">
        <w:rPr>
          <w:rFonts w:ascii="Garamond" w:hAnsi="Garamond"/>
          <w:sz w:val="24"/>
        </w:rPr>
        <w:t>preço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exportação</w:t>
      </w:r>
      <w:r w:rsidRPr="00395593">
        <w:rPr>
          <w:rFonts w:ascii="Garamond" w:hAnsi="Garamond"/>
          <w:spacing w:val="1"/>
          <w:sz w:val="24"/>
        </w:rPr>
        <w:t xml:space="preserve"> </w:t>
      </w:r>
      <w:r w:rsidRPr="00395593">
        <w:rPr>
          <w:rFonts w:ascii="Garamond" w:hAnsi="Garamond"/>
          <w:sz w:val="24"/>
        </w:rPr>
        <w:t>poderá</w:t>
      </w:r>
      <w:r w:rsidRPr="00395593">
        <w:rPr>
          <w:rFonts w:ascii="Garamond" w:hAnsi="Garamond"/>
          <w:spacing w:val="1"/>
          <w:sz w:val="24"/>
        </w:rPr>
        <w:t xml:space="preserve"> </w:t>
      </w:r>
      <w:r w:rsidRPr="00395593">
        <w:rPr>
          <w:rFonts w:ascii="Garamond" w:hAnsi="Garamond"/>
          <w:sz w:val="24"/>
        </w:rPr>
        <w:t>ser</w:t>
      </w:r>
      <w:r w:rsidRPr="00395593">
        <w:rPr>
          <w:rFonts w:ascii="Garamond" w:hAnsi="Garamond"/>
          <w:spacing w:val="1"/>
          <w:sz w:val="24"/>
        </w:rPr>
        <w:t xml:space="preserve"> </w:t>
      </w:r>
      <w:r w:rsidRPr="00395593">
        <w:rPr>
          <w:rFonts w:ascii="Garamond" w:hAnsi="Garamond"/>
          <w:sz w:val="24"/>
        </w:rPr>
        <w:t>construído</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partir</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preço</w:t>
      </w:r>
      <w:r w:rsidRPr="00395593">
        <w:rPr>
          <w:rFonts w:ascii="Garamond" w:hAnsi="Garamond"/>
          <w:spacing w:val="1"/>
          <w:sz w:val="24"/>
        </w:rPr>
        <w:t xml:space="preserve"> </w:t>
      </w:r>
      <w:r w:rsidRPr="00395593">
        <w:rPr>
          <w:rFonts w:ascii="Garamond" w:hAnsi="Garamond"/>
          <w:sz w:val="24"/>
        </w:rPr>
        <w:t>pelo</w:t>
      </w:r>
      <w:r w:rsidRPr="00395593">
        <w:rPr>
          <w:rFonts w:ascii="Garamond" w:hAnsi="Garamond"/>
          <w:spacing w:val="1"/>
          <w:sz w:val="24"/>
        </w:rPr>
        <w:t xml:space="preserve"> </w:t>
      </w:r>
      <w:r w:rsidRPr="00395593">
        <w:rPr>
          <w:rFonts w:ascii="Garamond" w:hAnsi="Garamond"/>
          <w:sz w:val="24"/>
        </w:rPr>
        <w:t>qual</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produtos</w:t>
      </w:r>
      <w:r w:rsidRPr="00395593">
        <w:rPr>
          <w:rFonts w:ascii="Garamond" w:hAnsi="Garamond"/>
          <w:spacing w:val="1"/>
          <w:sz w:val="24"/>
        </w:rPr>
        <w:t xml:space="preserve"> </w:t>
      </w:r>
      <w:r w:rsidRPr="00395593">
        <w:rPr>
          <w:rFonts w:ascii="Garamond" w:hAnsi="Garamond"/>
          <w:sz w:val="24"/>
        </w:rPr>
        <w:t>importados</w:t>
      </w:r>
      <w:r w:rsidRPr="00395593">
        <w:rPr>
          <w:rFonts w:ascii="Garamond" w:hAnsi="Garamond"/>
          <w:spacing w:val="1"/>
          <w:sz w:val="24"/>
        </w:rPr>
        <w:t xml:space="preserve"> </w:t>
      </w:r>
      <w:r w:rsidRPr="00395593">
        <w:rPr>
          <w:rFonts w:ascii="Garamond" w:hAnsi="Garamond"/>
          <w:sz w:val="24"/>
        </w:rPr>
        <w:t>forem</w:t>
      </w:r>
      <w:r w:rsidRPr="00395593">
        <w:rPr>
          <w:rFonts w:ascii="Garamond" w:hAnsi="Garamond"/>
          <w:spacing w:val="1"/>
          <w:sz w:val="24"/>
        </w:rPr>
        <w:t xml:space="preserve"> </w:t>
      </w:r>
      <w:r w:rsidRPr="00395593">
        <w:rPr>
          <w:rFonts w:ascii="Garamond" w:hAnsi="Garamond"/>
          <w:sz w:val="24"/>
        </w:rPr>
        <w:t>revendidos</w:t>
      </w:r>
      <w:r w:rsidRPr="00395593">
        <w:rPr>
          <w:rFonts w:ascii="Garamond" w:hAnsi="Garamond"/>
          <w:spacing w:val="1"/>
          <w:sz w:val="24"/>
        </w:rPr>
        <w:t xml:space="preserve"> </w:t>
      </w:r>
      <w:r w:rsidRPr="00395593">
        <w:rPr>
          <w:rFonts w:ascii="Garamond" w:hAnsi="Garamond"/>
          <w:sz w:val="24"/>
        </w:rPr>
        <w:t>ao</w:t>
      </w:r>
      <w:r w:rsidRPr="00395593">
        <w:rPr>
          <w:rFonts w:ascii="Garamond" w:hAnsi="Garamond"/>
          <w:spacing w:val="1"/>
          <w:sz w:val="24"/>
        </w:rPr>
        <w:t xml:space="preserve"> </w:t>
      </w:r>
      <w:r w:rsidRPr="00395593">
        <w:rPr>
          <w:rFonts w:ascii="Garamond" w:hAnsi="Garamond"/>
          <w:sz w:val="24"/>
        </w:rPr>
        <w:t>primeiro</w:t>
      </w:r>
      <w:r w:rsidRPr="00395593">
        <w:rPr>
          <w:rFonts w:ascii="Garamond" w:hAnsi="Garamond"/>
          <w:spacing w:val="1"/>
          <w:sz w:val="24"/>
        </w:rPr>
        <w:t xml:space="preserve"> </w:t>
      </w:r>
      <w:r w:rsidRPr="00395593">
        <w:rPr>
          <w:rFonts w:ascii="Garamond" w:hAnsi="Garamond"/>
          <w:sz w:val="24"/>
        </w:rPr>
        <w:t>comprador independente, ou,</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caso</w:t>
      </w:r>
      <w:r w:rsidRPr="00395593">
        <w:rPr>
          <w:rFonts w:ascii="Garamond" w:hAnsi="Garamond"/>
          <w:spacing w:val="1"/>
          <w:sz w:val="24"/>
        </w:rPr>
        <w:t xml:space="preserve"> </w:t>
      </w:r>
      <w:r w:rsidRPr="00395593">
        <w:rPr>
          <w:rFonts w:ascii="Garamond" w:hAnsi="Garamond"/>
          <w:sz w:val="24"/>
        </w:rPr>
        <w:t>de os</w:t>
      </w:r>
      <w:r w:rsidRPr="00395593">
        <w:rPr>
          <w:rFonts w:ascii="Garamond" w:hAnsi="Garamond"/>
          <w:spacing w:val="1"/>
          <w:sz w:val="24"/>
        </w:rPr>
        <w:t xml:space="preserve"> </w:t>
      </w:r>
      <w:r w:rsidRPr="00395593">
        <w:rPr>
          <w:rFonts w:ascii="Garamond" w:hAnsi="Garamond"/>
          <w:sz w:val="24"/>
        </w:rPr>
        <w:t>produtos não serem revendidos a comprador independente, ou, ainda, no caso de não serem</w:t>
      </w:r>
      <w:r w:rsidRPr="00395593">
        <w:rPr>
          <w:rFonts w:ascii="Garamond" w:hAnsi="Garamond"/>
          <w:spacing w:val="1"/>
          <w:sz w:val="24"/>
        </w:rPr>
        <w:t xml:space="preserve"> </w:t>
      </w:r>
      <w:r w:rsidRPr="00395593">
        <w:rPr>
          <w:rFonts w:ascii="Garamond" w:hAnsi="Garamond"/>
          <w:sz w:val="24"/>
        </w:rPr>
        <w:t>revendidos</w:t>
      </w:r>
      <w:r w:rsidRPr="00395593">
        <w:rPr>
          <w:rFonts w:ascii="Garamond" w:hAnsi="Garamond"/>
          <w:spacing w:val="28"/>
          <w:sz w:val="24"/>
        </w:rPr>
        <w:t xml:space="preserve"> </w:t>
      </w:r>
      <w:r w:rsidRPr="00395593">
        <w:rPr>
          <w:rFonts w:ascii="Garamond" w:hAnsi="Garamond"/>
          <w:sz w:val="24"/>
        </w:rPr>
        <w:t>na</w:t>
      </w:r>
      <w:r w:rsidRPr="00395593">
        <w:rPr>
          <w:rFonts w:ascii="Garamond" w:hAnsi="Garamond"/>
          <w:spacing w:val="27"/>
          <w:sz w:val="24"/>
        </w:rPr>
        <w:t xml:space="preserve"> </w:t>
      </w:r>
      <w:r w:rsidRPr="00395593">
        <w:rPr>
          <w:rFonts w:ascii="Garamond" w:hAnsi="Garamond"/>
          <w:sz w:val="24"/>
        </w:rPr>
        <w:t>mesma</w:t>
      </w:r>
      <w:r w:rsidRPr="00395593">
        <w:rPr>
          <w:rFonts w:ascii="Garamond" w:hAnsi="Garamond"/>
          <w:spacing w:val="30"/>
          <w:sz w:val="24"/>
        </w:rPr>
        <w:t xml:space="preserve"> </w:t>
      </w:r>
      <w:r w:rsidRPr="00395593">
        <w:rPr>
          <w:rFonts w:ascii="Garamond" w:hAnsi="Garamond"/>
          <w:sz w:val="24"/>
        </w:rPr>
        <w:t>condição</w:t>
      </w:r>
      <w:r w:rsidRPr="00395593">
        <w:rPr>
          <w:rFonts w:ascii="Garamond" w:hAnsi="Garamond"/>
          <w:spacing w:val="27"/>
          <w:sz w:val="24"/>
        </w:rPr>
        <w:t xml:space="preserve"> </w:t>
      </w:r>
      <w:r w:rsidRPr="00395593">
        <w:rPr>
          <w:rFonts w:ascii="Garamond" w:hAnsi="Garamond"/>
          <w:sz w:val="24"/>
        </w:rPr>
        <w:t>em</w:t>
      </w:r>
      <w:r w:rsidRPr="00395593">
        <w:rPr>
          <w:rFonts w:ascii="Garamond" w:hAnsi="Garamond"/>
          <w:spacing w:val="29"/>
          <w:sz w:val="24"/>
        </w:rPr>
        <w:t xml:space="preserve"> </w:t>
      </w:r>
      <w:r w:rsidRPr="00395593">
        <w:rPr>
          <w:rFonts w:ascii="Garamond" w:hAnsi="Garamond"/>
          <w:sz w:val="24"/>
        </w:rPr>
        <w:t>que</w:t>
      </w:r>
      <w:r w:rsidRPr="00395593">
        <w:rPr>
          <w:rFonts w:ascii="Garamond" w:hAnsi="Garamond"/>
          <w:spacing w:val="27"/>
          <w:sz w:val="24"/>
        </w:rPr>
        <w:t xml:space="preserve"> </w:t>
      </w:r>
      <w:r w:rsidRPr="00395593">
        <w:rPr>
          <w:rFonts w:ascii="Garamond" w:hAnsi="Garamond"/>
          <w:sz w:val="24"/>
        </w:rPr>
        <w:t>foram</w:t>
      </w:r>
      <w:r w:rsidRPr="00395593">
        <w:rPr>
          <w:rFonts w:ascii="Garamond" w:hAnsi="Garamond"/>
          <w:spacing w:val="28"/>
          <w:sz w:val="24"/>
        </w:rPr>
        <w:t xml:space="preserve"> </w:t>
      </w:r>
      <w:r w:rsidRPr="00395593">
        <w:rPr>
          <w:rFonts w:ascii="Garamond" w:hAnsi="Garamond"/>
          <w:sz w:val="24"/>
        </w:rPr>
        <w:t>importados,</w:t>
      </w:r>
      <w:r w:rsidRPr="00395593">
        <w:rPr>
          <w:rFonts w:ascii="Garamond" w:hAnsi="Garamond"/>
          <w:spacing w:val="28"/>
          <w:sz w:val="24"/>
        </w:rPr>
        <w:t xml:space="preserve"> </w:t>
      </w:r>
      <w:r w:rsidRPr="00395593">
        <w:rPr>
          <w:rFonts w:ascii="Garamond" w:hAnsi="Garamond"/>
          <w:sz w:val="24"/>
        </w:rPr>
        <w:t>a</w:t>
      </w:r>
      <w:r w:rsidRPr="00395593">
        <w:rPr>
          <w:rFonts w:ascii="Garamond" w:hAnsi="Garamond"/>
          <w:spacing w:val="27"/>
          <w:sz w:val="24"/>
        </w:rPr>
        <w:t xml:space="preserve"> </w:t>
      </w:r>
      <w:r w:rsidRPr="00395593">
        <w:rPr>
          <w:rFonts w:ascii="Garamond" w:hAnsi="Garamond"/>
          <w:sz w:val="24"/>
        </w:rPr>
        <w:t>partir</w:t>
      </w:r>
      <w:r w:rsidRPr="00395593">
        <w:rPr>
          <w:rFonts w:ascii="Garamond" w:hAnsi="Garamond"/>
          <w:spacing w:val="27"/>
          <w:sz w:val="24"/>
        </w:rPr>
        <w:t xml:space="preserve"> </w:t>
      </w:r>
      <w:r w:rsidRPr="00395593">
        <w:rPr>
          <w:rFonts w:ascii="Garamond" w:hAnsi="Garamond"/>
          <w:sz w:val="24"/>
        </w:rPr>
        <w:t>de</w:t>
      </w:r>
      <w:r w:rsidRPr="00395593">
        <w:rPr>
          <w:rFonts w:ascii="Garamond" w:hAnsi="Garamond"/>
          <w:spacing w:val="27"/>
          <w:sz w:val="24"/>
        </w:rPr>
        <w:t xml:space="preserve"> </w:t>
      </w:r>
      <w:r w:rsidRPr="00395593">
        <w:rPr>
          <w:rFonts w:ascii="Garamond" w:hAnsi="Garamond"/>
          <w:sz w:val="24"/>
        </w:rPr>
        <w:t>uma</w:t>
      </w:r>
      <w:r w:rsidRPr="00395593">
        <w:rPr>
          <w:rFonts w:ascii="Garamond" w:hAnsi="Garamond"/>
          <w:spacing w:val="28"/>
          <w:sz w:val="24"/>
        </w:rPr>
        <w:t xml:space="preserve"> </w:t>
      </w:r>
      <w:r w:rsidRPr="00395593">
        <w:rPr>
          <w:rFonts w:ascii="Garamond" w:hAnsi="Garamond"/>
          <w:sz w:val="24"/>
        </w:rPr>
        <w:t>base</w:t>
      </w:r>
      <w:r w:rsidRPr="00395593">
        <w:rPr>
          <w:rFonts w:ascii="Garamond" w:hAnsi="Garamond"/>
          <w:spacing w:val="26"/>
          <w:sz w:val="24"/>
        </w:rPr>
        <w:t xml:space="preserve"> </w:t>
      </w:r>
      <w:r w:rsidRPr="00395593">
        <w:rPr>
          <w:rFonts w:ascii="Garamond" w:hAnsi="Garamond"/>
          <w:sz w:val="24"/>
        </w:rPr>
        <w:t>razoável</w:t>
      </w:r>
      <w:r w:rsidRPr="00395593">
        <w:rPr>
          <w:rFonts w:ascii="Garamond" w:hAnsi="Garamond"/>
          <w:spacing w:val="-57"/>
          <w:sz w:val="24"/>
        </w:rPr>
        <w:t xml:space="preserve"> </w:t>
      </w:r>
      <w:r w:rsidRPr="00395593">
        <w:rPr>
          <w:rFonts w:ascii="Garamond" w:hAnsi="Garamond"/>
          <w:sz w:val="24"/>
        </w:rPr>
        <w:t>que</w:t>
      </w:r>
      <w:r w:rsidRPr="00395593">
        <w:rPr>
          <w:rFonts w:ascii="Garamond" w:hAnsi="Garamond"/>
          <w:spacing w:val="-2"/>
          <w:sz w:val="24"/>
        </w:rPr>
        <w:t xml:space="preserve"> </w:t>
      </w:r>
      <w:r w:rsidRPr="00395593">
        <w:rPr>
          <w:rFonts w:ascii="Garamond" w:hAnsi="Garamond"/>
          <w:sz w:val="24"/>
        </w:rPr>
        <w:t>venha</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ser determinada</w:t>
      </w:r>
      <w:r w:rsidRPr="00395593">
        <w:rPr>
          <w:rFonts w:ascii="Garamond" w:hAnsi="Garamond"/>
          <w:spacing w:val="-1"/>
          <w:sz w:val="24"/>
        </w:rPr>
        <w:t xml:space="preserve"> </w:t>
      </w:r>
      <w:r w:rsidRPr="00395593">
        <w:rPr>
          <w:rFonts w:ascii="Garamond" w:hAnsi="Garamond"/>
          <w:sz w:val="24"/>
        </w:rPr>
        <w:t>pelas</w:t>
      </w:r>
      <w:r w:rsidRPr="00395593">
        <w:rPr>
          <w:rFonts w:ascii="Garamond" w:hAnsi="Garamond"/>
          <w:spacing w:val="1"/>
          <w:sz w:val="24"/>
        </w:rPr>
        <w:t xml:space="preserve"> </w:t>
      </w:r>
      <w:r w:rsidRPr="00395593">
        <w:rPr>
          <w:rFonts w:ascii="Garamond" w:hAnsi="Garamond"/>
          <w:sz w:val="24"/>
        </w:rPr>
        <w:t>autoridades.</w:t>
      </w:r>
    </w:p>
    <w:p w14:paraId="2740803A" w14:textId="77777777" w:rsidR="0013285C" w:rsidRPr="00395593" w:rsidRDefault="0013285C" w:rsidP="0013285C">
      <w:pPr>
        <w:pStyle w:val="Corpodetexto"/>
        <w:spacing w:before="1"/>
        <w:rPr>
          <w:rFonts w:ascii="Garamond" w:hAnsi="Garamond"/>
        </w:rPr>
      </w:pPr>
    </w:p>
    <w:p w14:paraId="70840237" w14:textId="77777777" w:rsidR="0013285C" w:rsidRPr="00395593" w:rsidRDefault="0013285C" w:rsidP="002C4340">
      <w:pPr>
        <w:pStyle w:val="PargrafodaLista"/>
        <w:widowControl w:val="0"/>
        <w:numPr>
          <w:ilvl w:val="0"/>
          <w:numId w:val="24"/>
        </w:numPr>
        <w:tabs>
          <w:tab w:val="left" w:pos="810"/>
        </w:tabs>
        <w:autoSpaceDE w:val="0"/>
        <w:autoSpaceDN w:val="0"/>
        <w:spacing w:after="0" w:line="240" w:lineRule="auto"/>
        <w:ind w:right="115" w:firstLine="0"/>
        <w:contextualSpacing w:val="0"/>
        <w:jc w:val="both"/>
        <w:rPr>
          <w:rFonts w:ascii="Garamond" w:hAnsi="Garamond"/>
          <w:sz w:val="24"/>
        </w:rPr>
      </w:pPr>
      <w:r w:rsidRPr="00395593">
        <w:rPr>
          <w:rFonts w:ascii="Garamond" w:hAnsi="Garamond"/>
          <w:sz w:val="24"/>
        </w:rPr>
        <w:t>Comparação justa será efetuada entre o preço de exportação e o valor normal. Essa</w:t>
      </w:r>
      <w:r w:rsidRPr="00395593">
        <w:rPr>
          <w:rFonts w:ascii="Garamond" w:hAnsi="Garamond"/>
          <w:spacing w:val="1"/>
          <w:sz w:val="24"/>
        </w:rPr>
        <w:t xml:space="preserve"> </w:t>
      </w:r>
      <w:r w:rsidRPr="00395593">
        <w:rPr>
          <w:rFonts w:ascii="Garamond" w:hAnsi="Garamond"/>
          <w:sz w:val="24"/>
        </w:rPr>
        <w:t>comparação deverá</w:t>
      </w:r>
      <w:r w:rsidRPr="00395593">
        <w:rPr>
          <w:rFonts w:ascii="Garamond" w:hAnsi="Garamond"/>
          <w:spacing w:val="1"/>
          <w:sz w:val="24"/>
        </w:rPr>
        <w:t xml:space="preserve"> </w:t>
      </w:r>
      <w:r w:rsidRPr="00395593">
        <w:rPr>
          <w:rFonts w:ascii="Garamond" w:hAnsi="Garamond"/>
          <w:sz w:val="24"/>
        </w:rPr>
        <w:t>efetuar-se no mesmo nível</w:t>
      </w:r>
      <w:r w:rsidRPr="00395593">
        <w:rPr>
          <w:rFonts w:ascii="Garamond" w:hAnsi="Garamond"/>
          <w:spacing w:val="1"/>
          <w:sz w:val="24"/>
        </w:rPr>
        <w:t xml:space="preserve"> </w:t>
      </w:r>
      <w:r w:rsidRPr="00395593">
        <w:rPr>
          <w:rFonts w:ascii="Garamond" w:hAnsi="Garamond"/>
          <w:sz w:val="24"/>
        </w:rPr>
        <w:t>de comércio, normalmente no nível ex</w:t>
      </w:r>
      <w:r w:rsidRPr="00395593">
        <w:rPr>
          <w:rFonts w:ascii="Garamond" w:hAnsi="Garamond"/>
          <w:spacing w:val="1"/>
          <w:sz w:val="24"/>
        </w:rPr>
        <w:t xml:space="preserve"> </w:t>
      </w:r>
      <w:r w:rsidRPr="00395593">
        <w:rPr>
          <w:rFonts w:ascii="Garamond" w:hAnsi="Garamond"/>
          <w:sz w:val="24"/>
        </w:rPr>
        <w:t>fábrica, e considerando vendas realizadas tão simultaneamente quanto possível. Razoável</w:t>
      </w:r>
      <w:r w:rsidRPr="00395593">
        <w:rPr>
          <w:rFonts w:ascii="Garamond" w:hAnsi="Garamond"/>
          <w:spacing w:val="1"/>
          <w:sz w:val="24"/>
        </w:rPr>
        <w:t xml:space="preserve"> </w:t>
      </w:r>
      <w:r w:rsidRPr="00395593">
        <w:rPr>
          <w:rFonts w:ascii="Garamond" w:hAnsi="Garamond"/>
          <w:sz w:val="24"/>
        </w:rPr>
        <w:t>tolerância será concedida caso a caso de acordo com sua especificidade, em razão de</w:t>
      </w:r>
      <w:r w:rsidRPr="00395593">
        <w:rPr>
          <w:rFonts w:ascii="Garamond" w:hAnsi="Garamond"/>
          <w:spacing w:val="1"/>
          <w:sz w:val="24"/>
        </w:rPr>
        <w:t xml:space="preserve"> </w:t>
      </w:r>
      <w:r w:rsidRPr="00395593">
        <w:rPr>
          <w:rFonts w:ascii="Garamond" w:hAnsi="Garamond"/>
          <w:sz w:val="24"/>
        </w:rPr>
        <w:t>diferenças que afetem comparação de preços, entre elas diferenças nas condições e nos</w:t>
      </w:r>
      <w:r w:rsidRPr="00395593">
        <w:rPr>
          <w:rFonts w:ascii="Garamond" w:hAnsi="Garamond"/>
          <w:spacing w:val="1"/>
          <w:sz w:val="24"/>
        </w:rPr>
        <w:t xml:space="preserve"> </w:t>
      </w:r>
      <w:r w:rsidRPr="00395593">
        <w:rPr>
          <w:rFonts w:ascii="Garamond" w:hAnsi="Garamond"/>
          <w:sz w:val="24"/>
        </w:rPr>
        <w:t>termos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venda,</w:t>
      </w:r>
      <w:r w:rsidRPr="00395593">
        <w:rPr>
          <w:rFonts w:ascii="Garamond" w:hAnsi="Garamond"/>
          <w:spacing w:val="1"/>
          <w:sz w:val="24"/>
        </w:rPr>
        <w:t xml:space="preserve"> </w:t>
      </w:r>
      <w:r w:rsidRPr="00395593">
        <w:rPr>
          <w:rFonts w:ascii="Garamond" w:hAnsi="Garamond"/>
          <w:sz w:val="24"/>
        </w:rPr>
        <w:t>tributação,</w:t>
      </w:r>
      <w:r w:rsidRPr="00395593">
        <w:rPr>
          <w:rFonts w:ascii="Garamond" w:hAnsi="Garamond"/>
          <w:spacing w:val="1"/>
          <w:sz w:val="24"/>
        </w:rPr>
        <w:t xml:space="preserve"> </w:t>
      </w:r>
      <w:r w:rsidRPr="00395593">
        <w:rPr>
          <w:rFonts w:ascii="Garamond" w:hAnsi="Garamond"/>
          <w:sz w:val="24"/>
        </w:rPr>
        <w:t>níveis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comércio,</w:t>
      </w:r>
      <w:r w:rsidRPr="00395593">
        <w:rPr>
          <w:rFonts w:ascii="Garamond" w:hAnsi="Garamond"/>
          <w:spacing w:val="1"/>
          <w:sz w:val="24"/>
        </w:rPr>
        <w:t xml:space="preserve"> </w:t>
      </w:r>
      <w:r w:rsidRPr="00395593">
        <w:rPr>
          <w:rFonts w:ascii="Garamond" w:hAnsi="Garamond"/>
          <w:sz w:val="24"/>
        </w:rPr>
        <w:t>quantidades,</w:t>
      </w:r>
      <w:r w:rsidRPr="00395593">
        <w:rPr>
          <w:rFonts w:ascii="Garamond" w:hAnsi="Garamond"/>
          <w:spacing w:val="1"/>
          <w:sz w:val="24"/>
        </w:rPr>
        <w:t xml:space="preserve"> </w:t>
      </w:r>
      <w:r w:rsidRPr="00395593">
        <w:rPr>
          <w:rFonts w:ascii="Garamond" w:hAnsi="Garamond"/>
          <w:sz w:val="24"/>
        </w:rPr>
        <w:t>características</w:t>
      </w:r>
      <w:r w:rsidRPr="00395593">
        <w:rPr>
          <w:rFonts w:ascii="Garamond" w:hAnsi="Garamond"/>
          <w:spacing w:val="1"/>
          <w:sz w:val="24"/>
        </w:rPr>
        <w:t xml:space="preserve"> </w:t>
      </w:r>
      <w:r w:rsidRPr="00395593">
        <w:rPr>
          <w:rFonts w:ascii="Garamond" w:hAnsi="Garamond"/>
          <w:sz w:val="24"/>
        </w:rPr>
        <w:t>físicas</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 xml:space="preserve">quaisquer outras diferenças que igualmente se demonstre afetam a comparação de preços </w:t>
      </w:r>
      <w:r w:rsidRPr="00395593">
        <w:rPr>
          <w:rFonts w:ascii="Garamond" w:hAnsi="Garamond"/>
          <w:sz w:val="24"/>
          <w:vertAlign w:val="superscript"/>
        </w:rPr>
        <w:t>7</w:t>
      </w:r>
      <w:r w:rsidRPr="00395593">
        <w:rPr>
          <w:rFonts w:ascii="Garamond" w:hAnsi="Garamond"/>
          <w:sz w:val="24"/>
        </w:rPr>
        <w:t>.</w:t>
      </w:r>
      <w:r w:rsidRPr="00395593">
        <w:rPr>
          <w:rFonts w:ascii="Garamond" w:hAnsi="Garamond"/>
          <w:spacing w:val="1"/>
          <w:sz w:val="24"/>
        </w:rPr>
        <w:t xml:space="preserve"> </w:t>
      </w:r>
      <w:r w:rsidRPr="00395593">
        <w:rPr>
          <w:rFonts w:ascii="Garamond" w:hAnsi="Garamond"/>
          <w:sz w:val="24"/>
        </w:rPr>
        <w:t>Nos casos tratados no parágrafo 4 deverão ser tolerados ajustes em função de custos, entre</w:t>
      </w:r>
      <w:r w:rsidRPr="00395593">
        <w:rPr>
          <w:rFonts w:ascii="Garamond" w:hAnsi="Garamond"/>
          <w:spacing w:val="1"/>
          <w:sz w:val="24"/>
        </w:rPr>
        <w:t xml:space="preserve"> </w:t>
      </w:r>
      <w:r w:rsidRPr="00395593">
        <w:rPr>
          <w:rFonts w:ascii="Garamond" w:hAnsi="Garamond"/>
          <w:sz w:val="24"/>
        </w:rPr>
        <w:t>eles tarifas e taxas que incidam entre a importação e a revenda e também em função dos</w:t>
      </w:r>
      <w:r w:rsidRPr="00395593">
        <w:rPr>
          <w:rFonts w:ascii="Garamond" w:hAnsi="Garamond"/>
          <w:spacing w:val="1"/>
          <w:sz w:val="24"/>
        </w:rPr>
        <w:t xml:space="preserve"> </w:t>
      </w:r>
      <w:r w:rsidRPr="00395593">
        <w:rPr>
          <w:rFonts w:ascii="Garamond" w:hAnsi="Garamond"/>
          <w:sz w:val="24"/>
        </w:rPr>
        <w:t>lucros auferidos. Se em tais casos a comparação de preços tiver sido afetada, as autoridades</w:t>
      </w:r>
      <w:r w:rsidRPr="00395593">
        <w:rPr>
          <w:rFonts w:ascii="Garamond" w:hAnsi="Garamond"/>
          <w:spacing w:val="-57"/>
          <w:sz w:val="24"/>
        </w:rPr>
        <w:t xml:space="preserve"> </w:t>
      </w:r>
      <w:r w:rsidRPr="00395593">
        <w:rPr>
          <w:rFonts w:ascii="Garamond" w:hAnsi="Garamond"/>
          <w:sz w:val="24"/>
        </w:rPr>
        <w:t>deverão estabelecer o valor normal em nível de comércio equivalente àquele do preço de</w:t>
      </w:r>
      <w:r w:rsidRPr="00395593">
        <w:rPr>
          <w:rFonts w:ascii="Garamond" w:hAnsi="Garamond"/>
          <w:spacing w:val="1"/>
          <w:sz w:val="24"/>
        </w:rPr>
        <w:t xml:space="preserve"> </w:t>
      </w:r>
      <w:r w:rsidRPr="00395593">
        <w:rPr>
          <w:rFonts w:ascii="Garamond" w:hAnsi="Garamond"/>
          <w:sz w:val="24"/>
        </w:rPr>
        <w:t>exportação apurado ou aplicar a tolerância prevista neste parágrafo. As autoridades devem</w:t>
      </w:r>
      <w:r w:rsidRPr="00395593">
        <w:rPr>
          <w:rFonts w:ascii="Garamond" w:hAnsi="Garamond"/>
          <w:spacing w:val="1"/>
          <w:sz w:val="24"/>
        </w:rPr>
        <w:t xml:space="preserve"> </w:t>
      </w:r>
      <w:r w:rsidRPr="00395593">
        <w:rPr>
          <w:rFonts w:ascii="Garamond" w:hAnsi="Garamond"/>
          <w:sz w:val="24"/>
        </w:rPr>
        <w:t>informar as partes envolvidas da necessidade de informação que assegure comparação justa</w:t>
      </w:r>
      <w:r w:rsidRPr="00395593">
        <w:rPr>
          <w:rFonts w:ascii="Garamond" w:hAnsi="Garamond"/>
          <w:spacing w:val="-57"/>
          <w:sz w:val="24"/>
        </w:rPr>
        <w:t xml:space="preserve"> </w:t>
      </w:r>
      <w:r w:rsidRPr="00395593">
        <w:rPr>
          <w:rFonts w:ascii="Garamond" w:hAnsi="Garamond"/>
          <w:sz w:val="24"/>
        </w:rPr>
        <w:t>e</w:t>
      </w:r>
      <w:r w:rsidRPr="00395593">
        <w:rPr>
          <w:rFonts w:ascii="Garamond" w:hAnsi="Garamond"/>
          <w:spacing w:val="-2"/>
          <w:sz w:val="24"/>
        </w:rPr>
        <w:t xml:space="preserve"> </w:t>
      </w:r>
      <w:r w:rsidRPr="00395593">
        <w:rPr>
          <w:rFonts w:ascii="Garamond" w:hAnsi="Garamond"/>
          <w:sz w:val="24"/>
        </w:rPr>
        <w:t>não deverão impor</w:t>
      </w:r>
      <w:r w:rsidRPr="00395593">
        <w:rPr>
          <w:rFonts w:ascii="Garamond" w:hAnsi="Garamond"/>
          <w:spacing w:val="1"/>
          <w:sz w:val="24"/>
        </w:rPr>
        <w:t xml:space="preserve"> </w:t>
      </w:r>
      <w:r w:rsidRPr="00395593">
        <w:rPr>
          <w:rFonts w:ascii="Garamond" w:hAnsi="Garamond"/>
          <w:sz w:val="24"/>
        </w:rPr>
        <w:t>às partes excessivo ônus de</w:t>
      </w:r>
      <w:r w:rsidRPr="00395593">
        <w:rPr>
          <w:rFonts w:ascii="Garamond" w:hAnsi="Garamond"/>
          <w:spacing w:val="-2"/>
          <w:sz w:val="24"/>
        </w:rPr>
        <w:t xml:space="preserve"> </w:t>
      </w:r>
      <w:r w:rsidRPr="00395593">
        <w:rPr>
          <w:rFonts w:ascii="Garamond" w:hAnsi="Garamond"/>
          <w:sz w:val="24"/>
        </w:rPr>
        <w:t>prova.</w:t>
      </w:r>
    </w:p>
    <w:p w14:paraId="1355ED52" w14:textId="77777777" w:rsidR="0013285C" w:rsidRPr="00395593" w:rsidRDefault="0013285C" w:rsidP="0013285C">
      <w:pPr>
        <w:pStyle w:val="Corpodetexto"/>
        <w:spacing w:before="1"/>
        <w:rPr>
          <w:rFonts w:ascii="Garamond" w:hAnsi="Garamond"/>
        </w:rPr>
      </w:pPr>
    </w:p>
    <w:p w14:paraId="7456FC6C" w14:textId="401C84F5" w:rsidR="008E3AF6" w:rsidRPr="005C5CBD" w:rsidRDefault="0013285C" w:rsidP="008E3AF6">
      <w:pPr>
        <w:pStyle w:val="PargrafodaLista"/>
        <w:widowControl w:val="0"/>
        <w:numPr>
          <w:ilvl w:val="0"/>
          <w:numId w:val="24"/>
        </w:numPr>
        <w:tabs>
          <w:tab w:val="left" w:pos="810"/>
        </w:tabs>
        <w:autoSpaceDE w:val="0"/>
        <w:autoSpaceDN w:val="0"/>
        <w:spacing w:after="0" w:line="240" w:lineRule="auto"/>
        <w:ind w:right="118" w:firstLine="0"/>
        <w:contextualSpacing w:val="0"/>
        <w:jc w:val="both"/>
        <w:rPr>
          <w:rFonts w:ascii="Garamond" w:hAnsi="Garamond"/>
          <w:sz w:val="20"/>
        </w:rPr>
      </w:pPr>
      <w:r w:rsidRPr="005C5CBD">
        <w:rPr>
          <w:rFonts w:ascii="Garamond" w:hAnsi="Garamond"/>
          <w:sz w:val="24"/>
        </w:rPr>
        <w:t>(a)</w:t>
      </w:r>
      <w:r w:rsidRPr="005C5CBD">
        <w:rPr>
          <w:rFonts w:ascii="Garamond" w:hAnsi="Garamond"/>
          <w:spacing w:val="1"/>
          <w:sz w:val="24"/>
        </w:rPr>
        <w:t xml:space="preserve"> </w:t>
      </w:r>
      <w:r w:rsidRPr="005C5CBD">
        <w:rPr>
          <w:rFonts w:ascii="Garamond" w:hAnsi="Garamond"/>
          <w:sz w:val="24"/>
        </w:rPr>
        <w:t>Se</w:t>
      </w:r>
      <w:r w:rsidRPr="005C5CBD">
        <w:rPr>
          <w:rFonts w:ascii="Garamond" w:hAnsi="Garamond"/>
          <w:spacing w:val="1"/>
          <w:sz w:val="24"/>
        </w:rPr>
        <w:t xml:space="preserve"> </w:t>
      </w:r>
      <w:r w:rsidRPr="005C5CBD">
        <w:rPr>
          <w:rFonts w:ascii="Garamond" w:hAnsi="Garamond"/>
          <w:sz w:val="24"/>
        </w:rPr>
        <w:t>a</w:t>
      </w:r>
      <w:r w:rsidRPr="005C5CBD">
        <w:rPr>
          <w:rFonts w:ascii="Garamond" w:hAnsi="Garamond"/>
          <w:spacing w:val="1"/>
          <w:sz w:val="24"/>
        </w:rPr>
        <w:t xml:space="preserve"> </w:t>
      </w:r>
      <w:r w:rsidRPr="005C5CBD">
        <w:rPr>
          <w:rFonts w:ascii="Garamond" w:hAnsi="Garamond"/>
          <w:sz w:val="24"/>
        </w:rPr>
        <w:t>comparação</w:t>
      </w:r>
      <w:r w:rsidRPr="005C5CBD">
        <w:rPr>
          <w:rFonts w:ascii="Garamond" w:hAnsi="Garamond"/>
          <w:spacing w:val="1"/>
          <w:sz w:val="24"/>
        </w:rPr>
        <w:t xml:space="preserve"> </w:t>
      </w:r>
      <w:r w:rsidRPr="005C5CBD">
        <w:rPr>
          <w:rFonts w:ascii="Garamond" w:hAnsi="Garamond"/>
          <w:sz w:val="24"/>
        </w:rPr>
        <w:t>prevista</w:t>
      </w:r>
      <w:r w:rsidRPr="005C5CBD">
        <w:rPr>
          <w:rFonts w:ascii="Garamond" w:hAnsi="Garamond"/>
          <w:spacing w:val="1"/>
          <w:sz w:val="24"/>
        </w:rPr>
        <w:t xml:space="preserve"> </w:t>
      </w:r>
      <w:r w:rsidRPr="005C5CBD">
        <w:rPr>
          <w:rFonts w:ascii="Garamond" w:hAnsi="Garamond"/>
          <w:sz w:val="24"/>
        </w:rPr>
        <w:t>no</w:t>
      </w:r>
      <w:r w:rsidRPr="005C5CBD">
        <w:rPr>
          <w:rFonts w:ascii="Garamond" w:hAnsi="Garamond"/>
          <w:spacing w:val="1"/>
          <w:sz w:val="24"/>
        </w:rPr>
        <w:t xml:space="preserve"> </w:t>
      </w:r>
      <w:r w:rsidRPr="005C5CBD">
        <w:rPr>
          <w:rFonts w:ascii="Garamond" w:hAnsi="Garamond"/>
          <w:sz w:val="24"/>
        </w:rPr>
        <w:t>parágrafo</w:t>
      </w:r>
      <w:r w:rsidRPr="005C5CBD">
        <w:rPr>
          <w:rFonts w:ascii="Garamond" w:hAnsi="Garamond"/>
          <w:spacing w:val="1"/>
          <w:sz w:val="24"/>
        </w:rPr>
        <w:t xml:space="preserve"> </w:t>
      </w:r>
      <w:r w:rsidRPr="005C5CBD">
        <w:rPr>
          <w:rFonts w:ascii="Garamond" w:hAnsi="Garamond"/>
          <w:sz w:val="24"/>
        </w:rPr>
        <w:t>5</w:t>
      </w:r>
      <w:r w:rsidRPr="005C5CBD">
        <w:rPr>
          <w:rFonts w:ascii="Garamond" w:hAnsi="Garamond"/>
          <w:spacing w:val="1"/>
          <w:sz w:val="24"/>
        </w:rPr>
        <w:t xml:space="preserve"> </w:t>
      </w:r>
      <w:r w:rsidRPr="005C5CBD">
        <w:rPr>
          <w:rFonts w:ascii="Garamond" w:hAnsi="Garamond"/>
          <w:sz w:val="24"/>
        </w:rPr>
        <w:t>exigir</w:t>
      </w:r>
      <w:r w:rsidRPr="005C5CBD">
        <w:rPr>
          <w:rFonts w:ascii="Garamond" w:hAnsi="Garamond"/>
          <w:spacing w:val="1"/>
          <w:sz w:val="24"/>
        </w:rPr>
        <w:t xml:space="preserve"> </w:t>
      </w:r>
      <w:r w:rsidRPr="005C5CBD">
        <w:rPr>
          <w:rFonts w:ascii="Garamond" w:hAnsi="Garamond"/>
          <w:sz w:val="24"/>
        </w:rPr>
        <w:t>conversão</w:t>
      </w:r>
      <w:r w:rsidRPr="005C5CBD">
        <w:rPr>
          <w:rFonts w:ascii="Garamond" w:hAnsi="Garamond"/>
          <w:spacing w:val="1"/>
          <w:sz w:val="24"/>
        </w:rPr>
        <w:t xml:space="preserve"> </w:t>
      </w:r>
      <w:r w:rsidRPr="005C5CBD">
        <w:rPr>
          <w:rFonts w:ascii="Garamond" w:hAnsi="Garamond"/>
          <w:sz w:val="24"/>
        </w:rPr>
        <w:t>cambial,</w:t>
      </w:r>
      <w:r w:rsidRPr="005C5CBD">
        <w:rPr>
          <w:rFonts w:ascii="Garamond" w:hAnsi="Garamond"/>
          <w:spacing w:val="1"/>
          <w:sz w:val="24"/>
        </w:rPr>
        <w:t xml:space="preserve"> </w:t>
      </w:r>
      <w:r w:rsidRPr="005C5CBD">
        <w:rPr>
          <w:rFonts w:ascii="Garamond" w:hAnsi="Garamond"/>
          <w:sz w:val="24"/>
        </w:rPr>
        <w:t>tal</w:t>
      </w:r>
      <w:r w:rsidRPr="005C5CBD">
        <w:rPr>
          <w:rFonts w:ascii="Garamond" w:hAnsi="Garamond"/>
          <w:spacing w:val="1"/>
          <w:sz w:val="24"/>
        </w:rPr>
        <w:t xml:space="preserve"> </w:t>
      </w:r>
      <w:r w:rsidRPr="005C5CBD">
        <w:rPr>
          <w:rFonts w:ascii="Garamond" w:hAnsi="Garamond"/>
          <w:sz w:val="24"/>
        </w:rPr>
        <w:t xml:space="preserve">procedimento deverá servir-se da taxa de câmbio em vigor no dia da venda </w:t>
      </w:r>
      <w:r w:rsidRPr="005C5CBD">
        <w:rPr>
          <w:rFonts w:ascii="Garamond" w:hAnsi="Garamond"/>
          <w:sz w:val="24"/>
          <w:vertAlign w:val="superscript"/>
        </w:rPr>
        <w:t>8</w:t>
      </w:r>
      <w:r w:rsidRPr="005C5CBD">
        <w:rPr>
          <w:rFonts w:ascii="Garamond" w:hAnsi="Garamond"/>
          <w:sz w:val="24"/>
        </w:rPr>
        <w:t>, desde que, na</w:t>
      </w:r>
      <w:r w:rsidRPr="005C5CBD">
        <w:rPr>
          <w:rFonts w:ascii="Garamond" w:hAnsi="Garamond"/>
          <w:spacing w:val="1"/>
          <w:sz w:val="24"/>
        </w:rPr>
        <w:t xml:space="preserve"> </w:t>
      </w:r>
      <w:r w:rsidRPr="005C5CBD">
        <w:rPr>
          <w:rFonts w:ascii="Garamond" w:hAnsi="Garamond"/>
          <w:sz w:val="24"/>
        </w:rPr>
        <w:t>ocorrência</w:t>
      </w:r>
      <w:r w:rsidRPr="005C5CBD">
        <w:rPr>
          <w:rFonts w:ascii="Garamond" w:hAnsi="Garamond"/>
          <w:spacing w:val="1"/>
          <w:sz w:val="24"/>
        </w:rPr>
        <w:t xml:space="preserve"> </w:t>
      </w:r>
      <w:r w:rsidRPr="005C5CBD">
        <w:rPr>
          <w:rFonts w:ascii="Garamond" w:hAnsi="Garamond"/>
          <w:sz w:val="24"/>
        </w:rPr>
        <w:t>de</w:t>
      </w:r>
      <w:r w:rsidRPr="005C5CBD">
        <w:rPr>
          <w:rFonts w:ascii="Garamond" w:hAnsi="Garamond"/>
          <w:spacing w:val="1"/>
          <w:sz w:val="24"/>
        </w:rPr>
        <w:t xml:space="preserve"> </w:t>
      </w:r>
      <w:r w:rsidRPr="005C5CBD">
        <w:rPr>
          <w:rFonts w:ascii="Garamond" w:hAnsi="Garamond"/>
          <w:sz w:val="24"/>
        </w:rPr>
        <w:t>venda</w:t>
      </w:r>
      <w:r w:rsidRPr="005C5CBD">
        <w:rPr>
          <w:rFonts w:ascii="Garamond" w:hAnsi="Garamond"/>
          <w:spacing w:val="1"/>
          <w:sz w:val="24"/>
        </w:rPr>
        <w:t xml:space="preserve"> </w:t>
      </w:r>
      <w:r w:rsidRPr="005C5CBD">
        <w:rPr>
          <w:rFonts w:ascii="Garamond" w:hAnsi="Garamond"/>
          <w:sz w:val="24"/>
        </w:rPr>
        <w:t>de</w:t>
      </w:r>
      <w:r w:rsidRPr="005C5CBD">
        <w:rPr>
          <w:rFonts w:ascii="Garamond" w:hAnsi="Garamond"/>
          <w:spacing w:val="1"/>
          <w:sz w:val="24"/>
        </w:rPr>
        <w:t xml:space="preserve"> </w:t>
      </w:r>
      <w:r w:rsidRPr="005C5CBD">
        <w:rPr>
          <w:rFonts w:ascii="Garamond" w:hAnsi="Garamond"/>
          <w:sz w:val="24"/>
        </w:rPr>
        <w:t>moeda</w:t>
      </w:r>
      <w:r w:rsidRPr="005C5CBD">
        <w:rPr>
          <w:rFonts w:ascii="Garamond" w:hAnsi="Garamond"/>
          <w:spacing w:val="1"/>
          <w:sz w:val="24"/>
        </w:rPr>
        <w:t xml:space="preserve"> </w:t>
      </w:r>
      <w:r w:rsidRPr="005C5CBD">
        <w:rPr>
          <w:rFonts w:ascii="Garamond" w:hAnsi="Garamond"/>
          <w:sz w:val="24"/>
        </w:rPr>
        <w:t>estrangeira</w:t>
      </w:r>
      <w:r w:rsidRPr="005C5CBD">
        <w:rPr>
          <w:rFonts w:ascii="Garamond" w:hAnsi="Garamond"/>
          <w:spacing w:val="1"/>
          <w:sz w:val="24"/>
        </w:rPr>
        <w:t xml:space="preserve"> </w:t>
      </w:r>
      <w:r w:rsidRPr="005C5CBD">
        <w:rPr>
          <w:rFonts w:ascii="Garamond" w:hAnsi="Garamond"/>
          <w:sz w:val="24"/>
        </w:rPr>
        <w:t>em</w:t>
      </w:r>
      <w:r w:rsidRPr="005C5CBD">
        <w:rPr>
          <w:rFonts w:ascii="Garamond" w:hAnsi="Garamond"/>
          <w:spacing w:val="1"/>
          <w:sz w:val="24"/>
        </w:rPr>
        <w:t xml:space="preserve"> </w:t>
      </w:r>
      <w:r w:rsidRPr="005C5CBD">
        <w:rPr>
          <w:rFonts w:ascii="Garamond" w:hAnsi="Garamond"/>
          <w:sz w:val="24"/>
        </w:rPr>
        <w:t>mercados</w:t>
      </w:r>
      <w:r w:rsidRPr="005C5CBD">
        <w:rPr>
          <w:rFonts w:ascii="Garamond" w:hAnsi="Garamond"/>
          <w:spacing w:val="1"/>
          <w:sz w:val="24"/>
        </w:rPr>
        <w:t xml:space="preserve"> </w:t>
      </w:r>
      <w:r w:rsidRPr="005C5CBD">
        <w:rPr>
          <w:rFonts w:ascii="Garamond" w:hAnsi="Garamond"/>
          <w:sz w:val="24"/>
        </w:rPr>
        <w:t>futuros</w:t>
      </w:r>
      <w:r w:rsidRPr="005C5CBD">
        <w:rPr>
          <w:rFonts w:ascii="Garamond" w:hAnsi="Garamond"/>
          <w:spacing w:val="1"/>
          <w:sz w:val="24"/>
        </w:rPr>
        <w:t xml:space="preserve"> </w:t>
      </w:r>
      <w:r w:rsidRPr="005C5CBD">
        <w:rPr>
          <w:rFonts w:ascii="Garamond" w:hAnsi="Garamond"/>
          <w:sz w:val="24"/>
        </w:rPr>
        <w:t>diretamente</w:t>
      </w:r>
      <w:r w:rsidRPr="005C5CBD">
        <w:rPr>
          <w:rFonts w:ascii="Garamond" w:hAnsi="Garamond"/>
          <w:spacing w:val="1"/>
          <w:sz w:val="24"/>
        </w:rPr>
        <w:t xml:space="preserve"> </w:t>
      </w:r>
      <w:r w:rsidRPr="005C5CBD">
        <w:rPr>
          <w:rFonts w:ascii="Garamond" w:hAnsi="Garamond"/>
          <w:sz w:val="24"/>
        </w:rPr>
        <w:t>ligada</w:t>
      </w:r>
      <w:r w:rsidRPr="005C5CBD">
        <w:rPr>
          <w:rFonts w:ascii="Garamond" w:hAnsi="Garamond"/>
          <w:spacing w:val="1"/>
          <w:sz w:val="24"/>
        </w:rPr>
        <w:t xml:space="preserve"> </w:t>
      </w:r>
      <w:r w:rsidRPr="005C5CBD">
        <w:rPr>
          <w:rFonts w:ascii="Garamond" w:hAnsi="Garamond"/>
          <w:sz w:val="24"/>
        </w:rPr>
        <w:t>à</w:t>
      </w:r>
      <w:r w:rsidRPr="005C5CBD">
        <w:rPr>
          <w:rFonts w:ascii="Garamond" w:hAnsi="Garamond"/>
          <w:spacing w:val="1"/>
          <w:sz w:val="24"/>
        </w:rPr>
        <w:t xml:space="preserve"> </w:t>
      </w:r>
      <w:r w:rsidRPr="005C5CBD">
        <w:rPr>
          <w:rFonts w:ascii="Garamond" w:hAnsi="Garamond"/>
          <w:sz w:val="24"/>
        </w:rPr>
        <w:t>exportação em causa, a taxa   de câmbio dessa venda futura seja utilizada. Flutuações na</w:t>
      </w:r>
      <w:r w:rsidRPr="005C5CBD">
        <w:rPr>
          <w:rFonts w:ascii="Garamond" w:hAnsi="Garamond"/>
          <w:spacing w:val="1"/>
          <w:sz w:val="24"/>
        </w:rPr>
        <w:t xml:space="preserve"> </w:t>
      </w:r>
      <w:r w:rsidRPr="005C5CBD">
        <w:rPr>
          <w:rFonts w:ascii="Garamond" w:hAnsi="Garamond"/>
          <w:sz w:val="24"/>
        </w:rPr>
        <w:t>taxa de câmbio deverão</w:t>
      </w:r>
      <w:r w:rsidRPr="005C5CBD">
        <w:rPr>
          <w:rFonts w:ascii="Garamond" w:hAnsi="Garamond"/>
          <w:spacing w:val="1"/>
          <w:sz w:val="24"/>
        </w:rPr>
        <w:t xml:space="preserve"> </w:t>
      </w:r>
      <w:r w:rsidRPr="005C5CBD">
        <w:rPr>
          <w:rFonts w:ascii="Garamond" w:hAnsi="Garamond"/>
          <w:sz w:val="24"/>
        </w:rPr>
        <w:t>ser ignoradas</w:t>
      </w:r>
      <w:r w:rsidRPr="005C5CBD">
        <w:rPr>
          <w:rFonts w:ascii="Garamond" w:hAnsi="Garamond"/>
          <w:spacing w:val="1"/>
          <w:sz w:val="24"/>
        </w:rPr>
        <w:t xml:space="preserve"> </w:t>
      </w:r>
      <w:r w:rsidRPr="005C5CBD">
        <w:rPr>
          <w:rFonts w:ascii="Garamond" w:hAnsi="Garamond"/>
          <w:sz w:val="24"/>
        </w:rPr>
        <w:t>e, no caso de uma investigação, as</w:t>
      </w:r>
      <w:r w:rsidRPr="005C5CBD">
        <w:rPr>
          <w:rFonts w:ascii="Garamond" w:hAnsi="Garamond"/>
          <w:spacing w:val="1"/>
          <w:sz w:val="24"/>
        </w:rPr>
        <w:t xml:space="preserve"> </w:t>
      </w:r>
      <w:r w:rsidRPr="005C5CBD">
        <w:rPr>
          <w:rFonts w:ascii="Garamond" w:hAnsi="Garamond"/>
          <w:sz w:val="24"/>
        </w:rPr>
        <w:t>autoridades</w:t>
      </w:r>
      <w:r w:rsidRPr="005C5CBD">
        <w:rPr>
          <w:rFonts w:ascii="Garamond" w:hAnsi="Garamond"/>
          <w:spacing w:val="1"/>
          <w:sz w:val="24"/>
        </w:rPr>
        <w:t xml:space="preserve"> </w:t>
      </w:r>
      <w:r w:rsidRPr="005C5CBD">
        <w:rPr>
          <w:rFonts w:ascii="Garamond" w:hAnsi="Garamond"/>
          <w:sz w:val="24"/>
        </w:rPr>
        <w:t>deverão</w:t>
      </w:r>
      <w:r w:rsidRPr="005C5CBD">
        <w:rPr>
          <w:rFonts w:ascii="Garamond" w:hAnsi="Garamond"/>
          <w:spacing w:val="28"/>
          <w:sz w:val="24"/>
        </w:rPr>
        <w:t xml:space="preserve"> </w:t>
      </w:r>
      <w:r w:rsidRPr="005C5CBD">
        <w:rPr>
          <w:rFonts w:ascii="Garamond" w:hAnsi="Garamond"/>
          <w:sz w:val="24"/>
        </w:rPr>
        <w:t>permitir</w:t>
      </w:r>
      <w:r w:rsidRPr="005C5CBD">
        <w:rPr>
          <w:rFonts w:ascii="Garamond" w:hAnsi="Garamond"/>
          <w:spacing w:val="25"/>
          <w:sz w:val="24"/>
        </w:rPr>
        <w:t xml:space="preserve"> </w:t>
      </w:r>
      <w:r w:rsidRPr="005C5CBD">
        <w:rPr>
          <w:rFonts w:ascii="Garamond" w:hAnsi="Garamond"/>
          <w:sz w:val="24"/>
        </w:rPr>
        <w:t>aos</w:t>
      </w:r>
      <w:r w:rsidRPr="005C5CBD">
        <w:rPr>
          <w:rFonts w:ascii="Garamond" w:hAnsi="Garamond"/>
          <w:spacing w:val="28"/>
          <w:sz w:val="24"/>
        </w:rPr>
        <w:t xml:space="preserve"> </w:t>
      </w:r>
      <w:r w:rsidRPr="005C5CBD">
        <w:rPr>
          <w:rFonts w:ascii="Garamond" w:hAnsi="Garamond"/>
          <w:sz w:val="24"/>
        </w:rPr>
        <w:t>exportadores</w:t>
      </w:r>
      <w:r w:rsidRPr="005C5CBD">
        <w:rPr>
          <w:rFonts w:ascii="Garamond" w:hAnsi="Garamond"/>
          <w:spacing w:val="26"/>
          <w:sz w:val="24"/>
        </w:rPr>
        <w:t xml:space="preserve"> </w:t>
      </w:r>
      <w:r w:rsidRPr="005C5CBD">
        <w:rPr>
          <w:rFonts w:ascii="Garamond" w:hAnsi="Garamond"/>
          <w:sz w:val="24"/>
        </w:rPr>
        <w:t>pelo</w:t>
      </w:r>
      <w:r w:rsidRPr="005C5CBD">
        <w:rPr>
          <w:rFonts w:ascii="Garamond" w:hAnsi="Garamond"/>
          <w:spacing w:val="26"/>
          <w:sz w:val="24"/>
        </w:rPr>
        <w:t xml:space="preserve"> </w:t>
      </w:r>
      <w:r w:rsidRPr="005C5CBD">
        <w:rPr>
          <w:rFonts w:ascii="Garamond" w:hAnsi="Garamond"/>
          <w:sz w:val="24"/>
        </w:rPr>
        <w:t>menos</w:t>
      </w:r>
      <w:r w:rsidRPr="005C5CBD">
        <w:rPr>
          <w:rFonts w:ascii="Garamond" w:hAnsi="Garamond"/>
          <w:spacing w:val="26"/>
          <w:sz w:val="24"/>
        </w:rPr>
        <w:t xml:space="preserve"> </w:t>
      </w:r>
      <w:r w:rsidRPr="005C5CBD">
        <w:rPr>
          <w:rFonts w:ascii="Garamond" w:hAnsi="Garamond"/>
          <w:sz w:val="24"/>
        </w:rPr>
        <w:t>60</w:t>
      </w:r>
      <w:r w:rsidRPr="005C5CBD">
        <w:rPr>
          <w:rFonts w:ascii="Garamond" w:hAnsi="Garamond"/>
          <w:spacing w:val="26"/>
          <w:sz w:val="24"/>
        </w:rPr>
        <w:t xml:space="preserve"> </w:t>
      </w:r>
      <w:r w:rsidRPr="005C5CBD">
        <w:rPr>
          <w:rFonts w:ascii="Garamond" w:hAnsi="Garamond"/>
          <w:sz w:val="24"/>
        </w:rPr>
        <w:t>dias</w:t>
      </w:r>
      <w:r w:rsidRPr="005C5CBD">
        <w:rPr>
          <w:rFonts w:ascii="Garamond" w:hAnsi="Garamond"/>
          <w:spacing w:val="25"/>
          <w:sz w:val="24"/>
        </w:rPr>
        <w:t xml:space="preserve"> </w:t>
      </w:r>
      <w:r w:rsidRPr="005C5CBD">
        <w:rPr>
          <w:rFonts w:ascii="Garamond" w:hAnsi="Garamond"/>
          <w:sz w:val="24"/>
        </w:rPr>
        <w:t>para</w:t>
      </w:r>
      <w:r w:rsidRPr="005C5CBD">
        <w:rPr>
          <w:rFonts w:ascii="Garamond" w:hAnsi="Garamond"/>
          <w:spacing w:val="25"/>
          <w:sz w:val="24"/>
        </w:rPr>
        <w:t xml:space="preserve"> </w:t>
      </w:r>
      <w:r w:rsidRPr="005C5CBD">
        <w:rPr>
          <w:rFonts w:ascii="Garamond" w:hAnsi="Garamond"/>
          <w:sz w:val="24"/>
        </w:rPr>
        <w:t>ajustar</w:t>
      </w:r>
      <w:r w:rsidRPr="005C5CBD">
        <w:rPr>
          <w:rFonts w:ascii="Garamond" w:hAnsi="Garamond"/>
          <w:spacing w:val="27"/>
          <w:sz w:val="24"/>
        </w:rPr>
        <w:t xml:space="preserve"> </w:t>
      </w:r>
      <w:r w:rsidRPr="005C5CBD">
        <w:rPr>
          <w:rFonts w:ascii="Garamond" w:hAnsi="Garamond"/>
          <w:sz w:val="24"/>
        </w:rPr>
        <w:t>seus</w:t>
      </w:r>
      <w:r w:rsidRPr="005C5CBD">
        <w:rPr>
          <w:rFonts w:ascii="Garamond" w:hAnsi="Garamond"/>
          <w:spacing w:val="26"/>
          <w:sz w:val="24"/>
        </w:rPr>
        <w:t xml:space="preserve"> </w:t>
      </w:r>
      <w:r w:rsidRPr="005C5CBD">
        <w:rPr>
          <w:rFonts w:ascii="Garamond" w:hAnsi="Garamond"/>
          <w:sz w:val="24"/>
        </w:rPr>
        <w:t>preços</w:t>
      </w:r>
      <w:r w:rsidRPr="005C5CBD">
        <w:rPr>
          <w:rFonts w:ascii="Garamond" w:hAnsi="Garamond"/>
          <w:spacing w:val="26"/>
          <w:sz w:val="24"/>
        </w:rPr>
        <w:t xml:space="preserve"> </w:t>
      </w:r>
      <w:r w:rsidRPr="005C5CBD">
        <w:rPr>
          <w:rFonts w:ascii="Garamond" w:hAnsi="Garamond"/>
          <w:sz w:val="24"/>
        </w:rPr>
        <w:t>de</w:t>
      </w:r>
      <w:r w:rsidR="00DD0A73" w:rsidRPr="005C5CBD">
        <w:rPr>
          <w:rFonts w:ascii="Garamond" w:hAnsi="Garamond"/>
          <w:sz w:val="24"/>
        </w:rPr>
        <w:t xml:space="preserve"> </w:t>
      </w:r>
      <w:r w:rsidR="008E3AF6" w:rsidRPr="005C5CBD">
        <w:rPr>
          <w:rFonts w:ascii="Garamond" w:hAnsi="Garamond"/>
        </w:rPr>
        <w:t>exportação</w:t>
      </w:r>
      <w:r w:rsidR="008E3AF6" w:rsidRPr="005C5CBD">
        <w:rPr>
          <w:rFonts w:ascii="Garamond" w:hAnsi="Garamond"/>
          <w:spacing w:val="42"/>
        </w:rPr>
        <w:t xml:space="preserve"> </w:t>
      </w:r>
      <w:r w:rsidR="008E3AF6" w:rsidRPr="005C5CBD">
        <w:rPr>
          <w:rFonts w:ascii="Garamond" w:hAnsi="Garamond"/>
        </w:rPr>
        <w:t>para</w:t>
      </w:r>
      <w:r w:rsidR="008E3AF6" w:rsidRPr="005C5CBD">
        <w:rPr>
          <w:rFonts w:ascii="Garamond" w:hAnsi="Garamond"/>
          <w:spacing w:val="43"/>
        </w:rPr>
        <w:t xml:space="preserve"> </w:t>
      </w:r>
      <w:r w:rsidR="008E3AF6" w:rsidRPr="005C5CBD">
        <w:rPr>
          <w:rFonts w:ascii="Garamond" w:hAnsi="Garamond"/>
        </w:rPr>
        <w:t>que</w:t>
      </w:r>
      <w:r w:rsidR="008E3AF6" w:rsidRPr="005C5CBD">
        <w:rPr>
          <w:rFonts w:ascii="Garamond" w:hAnsi="Garamond"/>
          <w:spacing w:val="44"/>
        </w:rPr>
        <w:t xml:space="preserve"> </w:t>
      </w:r>
      <w:r w:rsidR="008E3AF6" w:rsidRPr="005C5CBD">
        <w:rPr>
          <w:rFonts w:ascii="Garamond" w:hAnsi="Garamond"/>
        </w:rPr>
        <w:t>reflitam</w:t>
      </w:r>
      <w:r w:rsidR="008E3AF6" w:rsidRPr="005C5CBD">
        <w:rPr>
          <w:rFonts w:ascii="Garamond" w:hAnsi="Garamond"/>
          <w:spacing w:val="43"/>
        </w:rPr>
        <w:t xml:space="preserve"> </w:t>
      </w:r>
      <w:r w:rsidR="008E3AF6" w:rsidRPr="005C5CBD">
        <w:rPr>
          <w:rFonts w:ascii="Garamond" w:hAnsi="Garamond"/>
        </w:rPr>
        <w:t>alterações</w:t>
      </w:r>
      <w:r w:rsidR="008E3AF6" w:rsidRPr="005C5CBD">
        <w:rPr>
          <w:rFonts w:ascii="Garamond" w:hAnsi="Garamond"/>
          <w:spacing w:val="45"/>
        </w:rPr>
        <w:t xml:space="preserve"> </w:t>
      </w:r>
      <w:r w:rsidR="008E3AF6" w:rsidRPr="005C5CBD">
        <w:rPr>
          <w:rFonts w:ascii="Garamond" w:hAnsi="Garamond"/>
        </w:rPr>
        <w:t>relevantes</w:t>
      </w:r>
      <w:r w:rsidR="008E3AF6" w:rsidRPr="005C5CBD">
        <w:rPr>
          <w:rFonts w:ascii="Garamond" w:hAnsi="Garamond"/>
          <w:spacing w:val="42"/>
        </w:rPr>
        <w:t xml:space="preserve"> </w:t>
      </w:r>
      <w:r w:rsidR="008E3AF6" w:rsidRPr="005C5CBD">
        <w:rPr>
          <w:rFonts w:ascii="Garamond" w:hAnsi="Garamond"/>
        </w:rPr>
        <w:t>ocorridas</w:t>
      </w:r>
      <w:r w:rsidR="008E3AF6" w:rsidRPr="005C5CBD">
        <w:rPr>
          <w:rFonts w:ascii="Garamond" w:hAnsi="Garamond"/>
          <w:spacing w:val="42"/>
        </w:rPr>
        <w:t xml:space="preserve"> </w:t>
      </w:r>
      <w:r w:rsidR="008E3AF6" w:rsidRPr="005C5CBD">
        <w:rPr>
          <w:rFonts w:ascii="Garamond" w:hAnsi="Garamond"/>
        </w:rPr>
        <w:t>durante</w:t>
      </w:r>
      <w:r w:rsidR="008E3AF6" w:rsidRPr="005C5CBD">
        <w:rPr>
          <w:rFonts w:ascii="Garamond" w:hAnsi="Garamond"/>
          <w:spacing w:val="44"/>
        </w:rPr>
        <w:t xml:space="preserve"> </w:t>
      </w:r>
      <w:r w:rsidR="008E3AF6" w:rsidRPr="005C5CBD">
        <w:rPr>
          <w:rFonts w:ascii="Garamond" w:hAnsi="Garamond"/>
        </w:rPr>
        <w:t>o</w:t>
      </w:r>
      <w:r w:rsidR="008E3AF6" w:rsidRPr="005C5CBD">
        <w:rPr>
          <w:rFonts w:ascii="Garamond" w:hAnsi="Garamond"/>
          <w:spacing w:val="42"/>
        </w:rPr>
        <w:t xml:space="preserve"> </w:t>
      </w:r>
      <w:r w:rsidR="008E3AF6" w:rsidRPr="005C5CBD">
        <w:rPr>
          <w:rFonts w:ascii="Garamond" w:hAnsi="Garamond"/>
        </w:rPr>
        <w:t>período</w:t>
      </w:r>
      <w:r w:rsidR="008E3AF6" w:rsidRPr="005C5CBD">
        <w:rPr>
          <w:rFonts w:ascii="Garamond" w:hAnsi="Garamond"/>
          <w:spacing w:val="42"/>
        </w:rPr>
        <w:t xml:space="preserve"> </w:t>
      </w:r>
      <w:r w:rsidR="008E3AF6" w:rsidRPr="005C5CBD">
        <w:rPr>
          <w:rFonts w:ascii="Garamond" w:hAnsi="Garamond"/>
        </w:rPr>
        <w:t>da</w:t>
      </w:r>
      <w:r w:rsidR="008E3AF6" w:rsidRPr="005C5CBD">
        <w:rPr>
          <w:rFonts w:ascii="Garamond" w:hAnsi="Garamond"/>
          <w:spacing w:val="-57"/>
        </w:rPr>
        <w:t xml:space="preserve"> </w:t>
      </w:r>
      <w:r w:rsidR="008E3AF6" w:rsidRPr="005C5CBD">
        <w:rPr>
          <w:rFonts w:ascii="Garamond" w:hAnsi="Garamond"/>
        </w:rPr>
        <w:t>investigação.</w:t>
      </w:r>
    </w:p>
    <w:p w14:paraId="7E7C9195" w14:textId="591D94FC" w:rsidR="008E3AF6" w:rsidRPr="005C5CBD" w:rsidRDefault="008E3AF6" w:rsidP="008E3AF6">
      <w:pPr>
        <w:widowControl w:val="0"/>
        <w:tabs>
          <w:tab w:val="left" w:pos="810"/>
        </w:tabs>
        <w:autoSpaceDE w:val="0"/>
        <w:autoSpaceDN w:val="0"/>
        <w:spacing w:after="0" w:line="240" w:lineRule="auto"/>
        <w:ind w:right="118"/>
        <w:jc w:val="both"/>
        <w:rPr>
          <w:rFonts w:ascii="Garamond" w:hAnsi="Garamond"/>
          <w:sz w:val="20"/>
        </w:rPr>
      </w:pPr>
    </w:p>
    <w:p w14:paraId="5EE96A87" w14:textId="77777777" w:rsidR="0013285C" w:rsidRPr="00395593" w:rsidRDefault="0013285C" w:rsidP="008E3AF6">
      <w:pPr>
        <w:widowControl w:val="0"/>
        <w:tabs>
          <w:tab w:val="left" w:pos="810"/>
        </w:tabs>
        <w:autoSpaceDE w:val="0"/>
        <w:autoSpaceDN w:val="0"/>
        <w:spacing w:after="0" w:line="240" w:lineRule="auto"/>
        <w:ind w:right="118"/>
        <w:jc w:val="both"/>
        <w:rPr>
          <w:rFonts w:ascii="Garamond" w:hAnsi="Garamond"/>
          <w:sz w:val="20"/>
        </w:rPr>
      </w:pPr>
    </w:p>
    <w:p w14:paraId="4B3D79F8" w14:textId="5FBEE759" w:rsidR="0013285C" w:rsidRPr="00395593" w:rsidRDefault="0013285C" w:rsidP="0013285C">
      <w:pPr>
        <w:pStyle w:val="Corpodetexto"/>
        <w:rPr>
          <w:rFonts w:ascii="Garamond" w:hAnsi="Garamond"/>
          <w:sz w:val="19"/>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41" behindDoc="1" locked="0" layoutInCell="1" allowOverlap="1" wp14:anchorId="7482831A" wp14:editId="2CD76EB5">
                <wp:simplePos x="0" y="0"/>
                <wp:positionH relativeFrom="page">
                  <wp:posOffset>1080770</wp:posOffset>
                </wp:positionH>
                <wp:positionV relativeFrom="paragraph">
                  <wp:posOffset>154305</wp:posOffset>
                </wp:positionV>
                <wp:extent cx="1828800" cy="7620"/>
                <wp:effectExtent l="4445" t="3810" r="0" b="0"/>
                <wp:wrapTopAndBottom/>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146B0" id="Retângulo 20" o:spid="_x0000_s1026" style="position:absolute;margin-left:85.1pt;margin-top:12.15pt;width:2in;height:.6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" fillcolor="black" stroked="f">
                <w10:wrap type="topAndBottom" anchorx="page"/>
              </v:rect>
            </w:pict>
          </mc:Fallback>
        </mc:AlternateContent>
      </w:r>
    </w:p>
    <w:p w14:paraId="107D05D3" w14:textId="77777777" w:rsidR="0013285C" w:rsidRPr="00395593" w:rsidRDefault="0013285C" w:rsidP="00F362DF">
      <w:pPr>
        <w:spacing w:after="0" w:line="240" w:lineRule="auto"/>
        <w:ind w:left="102"/>
        <w:rPr>
          <w:rFonts w:ascii="Garamond" w:hAnsi="Garamond"/>
          <w:sz w:val="20"/>
        </w:rPr>
      </w:pPr>
      <w:r w:rsidRPr="00395593">
        <w:rPr>
          <w:rFonts w:ascii="Garamond" w:hAnsi="Garamond"/>
          <w:sz w:val="20"/>
          <w:vertAlign w:val="superscript"/>
        </w:rPr>
        <w:t>7</w:t>
      </w:r>
      <w:r w:rsidRPr="00395593">
        <w:rPr>
          <w:rFonts w:ascii="Garamond" w:hAnsi="Garamond"/>
          <w:spacing w:val="2"/>
          <w:sz w:val="20"/>
        </w:rPr>
        <w:t xml:space="preserve"> </w:t>
      </w:r>
      <w:r w:rsidRPr="00395593">
        <w:rPr>
          <w:rFonts w:ascii="Garamond" w:hAnsi="Garamond"/>
          <w:sz w:val="20"/>
        </w:rPr>
        <w:t>Entende-se</w:t>
      </w:r>
      <w:r w:rsidRPr="00395593">
        <w:rPr>
          <w:rFonts w:ascii="Garamond" w:hAnsi="Garamond"/>
          <w:spacing w:val="5"/>
          <w:sz w:val="20"/>
        </w:rPr>
        <w:t xml:space="preserve"> </w:t>
      </w:r>
      <w:r w:rsidRPr="00395593">
        <w:rPr>
          <w:rFonts w:ascii="Garamond" w:hAnsi="Garamond"/>
          <w:sz w:val="20"/>
        </w:rPr>
        <w:t>que</w:t>
      </w:r>
      <w:r w:rsidRPr="00395593">
        <w:rPr>
          <w:rFonts w:ascii="Garamond" w:hAnsi="Garamond"/>
          <w:spacing w:val="3"/>
          <w:sz w:val="20"/>
        </w:rPr>
        <w:t xml:space="preserve"> </w:t>
      </w:r>
      <w:r w:rsidRPr="00395593">
        <w:rPr>
          <w:rFonts w:ascii="Garamond" w:hAnsi="Garamond"/>
          <w:sz w:val="20"/>
        </w:rPr>
        <w:t>alguns</w:t>
      </w:r>
      <w:r w:rsidRPr="00395593">
        <w:rPr>
          <w:rFonts w:ascii="Garamond" w:hAnsi="Garamond"/>
          <w:spacing w:val="2"/>
          <w:sz w:val="20"/>
        </w:rPr>
        <w:t xml:space="preserve"> </w:t>
      </w:r>
      <w:r w:rsidRPr="00395593">
        <w:rPr>
          <w:rFonts w:ascii="Garamond" w:hAnsi="Garamond"/>
          <w:sz w:val="20"/>
        </w:rPr>
        <w:t>dos</w:t>
      </w:r>
      <w:r w:rsidRPr="00395593">
        <w:rPr>
          <w:rFonts w:ascii="Garamond" w:hAnsi="Garamond"/>
          <w:spacing w:val="2"/>
          <w:sz w:val="20"/>
        </w:rPr>
        <w:t xml:space="preserve"> </w:t>
      </w:r>
      <w:r w:rsidRPr="00395593">
        <w:rPr>
          <w:rFonts w:ascii="Garamond" w:hAnsi="Garamond"/>
          <w:sz w:val="20"/>
        </w:rPr>
        <w:t>fatores</w:t>
      </w:r>
      <w:r w:rsidRPr="00395593">
        <w:rPr>
          <w:rFonts w:ascii="Garamond" w:hAnsi="Garamond"/>
          <w:spacing w:val="2"/>
          <w:sz w:val="20"/>
        </w:rPr>
        <w:t xml:space="preserve"> </w:t>
      </w:r>
      <w:r w:rsidRPr="00395593">
        <w:rPr>
          <w:rFonts w:ascii="Garamond" w:hAnsi="Garamond"/>
          <w:sz w:val="20"/>
        </w:rPr>
        <w:t>acima</w:t>
      </w:r>
      <w:r w:rsidRPr="00395593">
        <w:rPr>
          <w:rFonts w:ascii="Garamond" w:hAnsi="Garamond"/>
          <w:spacing w:val="3"/>
          <w:sz w:val="20"/>
        </w:rPr>
        <w:t xml:space="preserve"> </w:t>
      </w:r>
      <w:r w:rsidRPr="00395593">
        <w:rPr>
          <w:rFonts w:ascii="Garamond" w:hAnsi="Garamond"/>
          <w:sz w:val="20"/>
        </w:rPr>
        <w:t>podei</w:t>
      </w:r>
      <w:r w:rsidRPr="00395593">
        <w:rPr>
          <w:rFonts w:ascii="Garamond" w:hAnsi="Garamond"/>
          <w:spacing w:val="3"/>
          <w:sz w:val="20"/>
        </w:rPr>
        <w:t xml:space="preserve"> </w:t>
      </w:r>
      <w:r w:rsidRPr="00395593">
        <w:rPr>
          <w:rFonts w:ascii="Garamond" w:hAnsi="Garamond"/>
          <w:sz w:val="20"/>
        </w:rPr>
        <w:t>incidir</w:t>
      </w:r>
      <w:r w:rsidRPr="00395593">
        <w:rPr>
          <w:rFonts w:ascii="Garamond" w:hAnsi="Garamond"/>
          <w:spacing w:val="3"/>
          <w:sz w:val="20"/>
        </w:rPr>
        <w:t xml:space="preserve"> </w:t>
      </w:r>
      <w:r w:rsidRPr="00395593">
        <w:rPr>
          <w:rFonts w:ascii="Garamond" w:hAnsi="Garamond"/>
          <w:sz w:val="20"/>
        </w:rPr>
        <w:t>cumulativamente</w:t>
      </w:r>
      <w:r w:rsidRPr="00395593">
        <w:rPr>
          <w:rFonts w:ascii="Garamond" w:hAnsi="Garamond"/>
          <w:spacing w:val="3"/>
          <w:sz w:val="20"/>
        </w:rPr>
        <w:t xml:space="preserve"> </w:t>
      </w:r>
      <w:r w:rsidRPr="00395593">
        <w:rPr>
          <w:rFonts w:ascii="Garamond" w:hAnsi="Garamond"/>
          <w:sz w:val="20"/>
        </w:rPr>
        <w:t>e,</w:t>
      </w:r>
      <w:r w:rsidRPr="00395593">
        <w:rPr>
          <w:rFonts w:ascii="Garamond" w:hAnsi="Garamond"/>
          <w:spacing w:val="6"/>
          <w:sz w:val="20"/>
        </w:rPr>
        <w:t xml:space="preserve"> </w:t>
      </w:r>
      <w:r w:rsidRPr="00395593">
        <w:rPr>
          <w:rFonts w:ascii="Garamond" w:hAnsi="Garamond"/>
          <w:sz w:val="20"/>
        </w:rPr>
        <w:t>nesse</w:t>
      </w:r>
      <w:r w:rsidRPr="00395593">
        <w:rPr>
          <w:rFonts w:ascii="Garamond" w:hAnsi="Garamond"/>
          <w:spacing w:val="3"/>
          <w:sz w:val="20"/>
        </w:rPr>
        <w:t xml:space="preserve"> </w:t>
      </w:r>
      <w:r w:rsidRPr="00395593">
        <w:rPr>
          <w:rFonts w:ascii="Garamond" w:hAnsi="Garamond"/>
          <w:sz w:val="20"/>
        </w:rPr>
        <w:t>caso,</w:t>
      </w:r>
      <w:r w:rsidRPr="00395593">
        <w:rPr>
          <w:rFonts w:ascii="Garamond" w:hAnsi="Garamond"/>
          <w:spacing w:val="5"/>
          <w:sz w:val="20"/>
        </w:rPr>
        <w:t xml:space="preserve"> </w:t>
      </w:r>
      <w:r w:rsidRPr="00395593">
        <w:rPr>
          <w:rFonts w:ascii="Garamond" w:hAnsi="Garamond"/>
          <w:sz w:val="20"/>
        </w:rPr>
        <w:t>as</w:t>
      </w:r>
      <w:r w:rsidRPr="00395593">
        <w:rPr>
          <w:rFonts w:ascii="Garamond" w:hAnsi="Garamond"/>
          <w:spacing w:val="2"/>
          <w:sz w:val="20"/>
        </w:rPr>
        <w:t xml:space="preserve"> </w:t>
      </w:r>
      <w:r w:rsidRPr="00395593">
        <w:rPr>
          <w:rFonts w:ascii="Garamond" w:hAnsi="Garamond"/>
          <w:sz w:val="20"/>
        </w:rPr>
        <w:t>autoridades</w:t>
      </w:r>
      <w:r w:rsidRPr="00395593">
        <w:rPr>
          <w:rFonts w:ascii="Garamond" w:hAnsi="Garamond"/>
          <w:spacing w:val="2"/>
          <w:sz w:val="20"/>
        </w:rPr>
        <w:t xml:space="preserve"> </w:t>
      </w:r>
      <w:r w:rsidRPr="00395593">
        <w:rPr>
          <w:rFonts w:ascii="Garamond" w:hAnsi="Garamond"/>
          <w:sz w:val="20"/>
        </w:rPr>
        <w:t>devem</w:t>
      </w:r>
      <w:r w:rsidRPr="00395593">
        <w:rPr>
          <w:rFonts w:ascii="Garamond" w:hAnsi="Garamond"/>
          <w:spacing w:val="-47"/>
          <w:sz w:val="20"/>
        </w:rPr>
        <w:t xml:space="preserve"> </w:t>
      </w:r>
      <w:r w:rsidRPr="00395593">
        <w:rPr>
          <w:rFonts w:ascii="Garamond" w:hAnsi="Garamond"/>
          <w:sz w:val="20"/>
        </w:rPr>
        <w:t>zelar</w:t>
      </w:r>
      <w:r w:rsidRPr="00395593">
        <w:rPr>
          <w:rFonts w:ascii="Garamond" w:hAnsi="Garamond"/>
          <w:spacing w:val="-1"/>
          <w:sz w:val="20"/>
        </w:rPr>
        <w:t xml:space="preserve"> </w:t>
      </w:r>
      <w:r w:rsidRPr="00395593">
        <w:rPr>
          <w:rFonts w:ascii="Garamond" w:hAnsi="Garamond"/>
          <w:sz w:val="20"/>
        </w:rPr>
        <w:t>para</w:t>
      </w:r>
      <w:r w:rsidRPr="00395593">
        <w:rPr>
          <w:rFonts w:ascii="Garamond" w:hAnsi="Garamond"/>
          <w:spacing w:val="-1"/>
          <w:sz w:val="20"/>
        </w:rPr>
        <w:t xml:space="preserve"> </w:t>
      </w:r>
      <w:r w:rsidRPr="00395593">
        <w:rPr>
          <w:rFonts w:ascii="Garamond" w:hAnsi="Garamond"/>
          <w:sz w:val="20"/>
        </w:rPr>
        <w:t>que</w:t>
      </w:r>
      <w:r w:rsidRPr="00395593">
        <w:rPr>
          <w:rFonts w:ascii="Garamond" w:hAnsi="Garamond"/>
          <w:spacing w:val="-1"/>
          <w:sz w:val="20"/>
        </w:rPr>
        <w:t xml:space="preserve"> </w:t>
      </w:r>
      <w:r w:rsidRPr="00395593">
        <w:rPr>
          <w:rFonts w:ascii="Garamond" w:hAnsi="Garamond"/>
          <w:sz w:val="20"/>
        </w:rPr>
        <w:t>não se</w:t>
      </w:r>
      <w:r w:rsidRPr="00395593">
        <w:rPr>
          <w:rFonts w:ascii="Garamond" w:hAnsi="Garamond"/>
          <w:spacing w:val="-1"/>
          <w:sz w:val="20"/>
        </w:rPr>
        <w:t xml:space="preserve"> </w:t>
      </w:r>
      <w:r w:rsidRPr="00395593">
        <w:rPr>
          <w:rFonts w:ascii="Garamond" w:hAnsi="Garamond"/>
          <w:sz w:val="20"/>
        </w:rPr>
        <w:t>dupliquem</w:t>
      </w:r>
      <w:r w:rsidRPr="00395593">
        <w:rPr>
          <w:rFonts w:ascii="Garamond" w:hAnsi="Garamond"/>
          <w:spacing w:val="-3"/>
          <w:sz w:val="20"/>
        </w:rPr>
        <w:t xml:space="preserve"> </w:t>
      </w:r>
      <w:r w:rsidRPr="00395593">
        <w:rPr>
          <w:rFonts w:ascii="Garamond" w:hAnsi="Garamond"/>
          <w:sz w:val="20"/>
        </w:rPr>
        <w:t>acomodações</w:t>
      </w:r>
      <w:r w:rsidRPr="00395593">
        <w:rPr>
          <w:rFonts w:ascii="Garamond" w:hAnsi="Garamond"/>
          <w:spacing w:val="-2"/>
          <w:sz w:val="20"/>
        </w:rPr>
        <w:t xml:space="preserve"> </w:t>
      </w:r>
      <w:r w:rsidRPr="00395593">
        <w:rPr>
          <w:rFonts w:ascii="Garamond" w:hAnsi="Garamond"/>
          <w:sz w:val="20"/>
        </w:rPr>
        <w:t>que</w:t>
      </w:r>
      <w:r w:rsidRPr="00395593">
        <w:rPr>
          <w:rFonts w:ascii="Garamond" w:hAnsi="Garamond"/>
          <w:spacing w:val="-1"/>
          <w:sz w:val="20"/>
        </w:rPr>
        <w:t xml:space="preserve"> </w:t>
      </w:r>
      <w:r w:rsidRPr="00395593">
        <w:rPr>
          <w:rFonts w:ascii="Garamond" w:hAnsi="Garamond"/>
          <w:sz w:val="20"/>
        </w:rPr>
        <w:t>já</w:t>
      </w:r>
      <w:r w:rsidRPr="00395593">
        <w:rPr>
          <w:rFonts w:ascii="Garamond" w:hAnsi="Garamond"/>
          <w:spacing w:val="-1"/>
          <w:sz w:val="20"/>
        </w:rPr>
        <w:t xml:space="preserve"> </w:t>
      </w:r>
      <w:r w:rsidRPr="00395593">
        <w:rPr>
          <w:rFonts w:ascii="Garamond" w:hAnsi="Garamond"/>
          <w:sz w:val="20"/>
        </w:rPr>
        <w:t>tenham sido</w:t>
      </w:r>
      <w:r w:rsidRPr="00395593">
        <w:rPr>
          <w:rFonts w:ascii="Garamond" w:hAnsi="Garamond"/>
          <w:spacing w:val="-1"/>
          <w:sz w:val="20"/>
        </w:rPr>
        <w:t xml:space="preserve"> </w:t>
      </w:r>
      <w:r w:rsidRPr="00395593">
        <w:rPr>
          <w:rFonts w:ascii="Garamond" w:hAnsi="Garamond"/>
          <w:sz w:val="20"/>
        </w:rPr>
        <w:t>efetuadas</w:t>
      </w:r>
      <w:r w:rsidRPr="00395593">
        <w:rPr>
          <w:rFonts w:ascii="Garamond" w:hAnsi="Garamond"/>
          <w:spacing w:val="-2"/>
          <w:sz w:val="20"/>
        </w:rPr>
        <w:t xml:space="preserve"> </w:t>
      </w:r>
      <w:r w:rsidRPr="00395593">
        <w:rPr>
          <w:rFonts w:ascii="Garamond" w:hAnsi="Garamond"/>
          <w:sz w:val="20"/>
        </w:rPr>
        <w:t>ao abrigo destas</w:t>
      </w:r>
      <w:r w:rsidRPr="00395593">
        <w:rPr>
          <w:rFonts w:ascii="Garamond" w:hAnsi="Garamond"/>
          <w:spacing w:val="-2"/>
          <w:sz w:val="20"/>
        </w:rPr>
        <w:t xml:space="preserve"> </w:t>
      </w:r>
      <w:r w:rsidRPr="00395593">
        <w:rPr>
          <w:rFonts w:ascii="Garamond" w:hAnsi="Garamond"/>
          <w:sz w:val="20"/>
        </w:rPr>
        <w:t>disposições.</w:t>
      </w:r>
    </w:p>
    <w:p w14:paraId="085C98B9" w14:textId="7F9A998D" w:rsidR="0013285C" w:rsidRPr="00395593" w:rsidRDefault="0013285C" w:rsidP="00F362DF">
      <w:pPr>
        <w:spacing w:after="0" w:line="240" w:lineRule="auto"/>
        <w:ind w:left="102"/>
        <w:rPr>
          <w:rFonts w:ascii="Garamond" w:hAnsi="Garamond"/>
          <w:sz w:val="20"/>
        </w:rPr>
      </w:pPr>
      <w:r w:rsidRPr="00395593">
        <w:rPr>
          <w:rFonts w:ascii="Garamond" w:hAnsi="Garamond"/>
          <w:position w:val="9"/>
          <w:sz w:val="16"/>
        </w:rPr>
        <w:t>8</w:t>
      </w:r>
      <w:r w:rsidRPr="00395593">
        <w:rPr>
          <w:rFonts w:ascii="Garamond" w:hAnsi="Garamond"/>
          <w:spacing w:val="24"/>
          <w:position w:val="9"/>
          <w:sz w:val="16"/>
        </w:rPr>
        <w:t xml:space="preserve"> </w:t>
      </w:r>
      <w:r w:rsidRPr="00395593">
        <w:rPr>
          <w:rFonts w:ascii="Garamond" w:hAnsi="Garamond"/>
          <w:sz w:val="20"/>
        </w:rPr>
        <w:t>Em</w:t>
      </w:r>
      <w:r w:rsidRPr="00395593">
        <w:rPr>
          <w:rFonts w:ascii="Garamond" w:hAnsi="Garamond"/>
          <w:spacing w:val="40"/>
          <w:sz w:val="20"/>
        </w:rPr>
        <w:t xml:space="preserve"> </w:t>
      </w:r>
      <w:r w:rsidRPr="00395593">
        <w:rPr>
          <w:rFonts w:ascii="Garamond" w:hAnsi="Garamond"/>
          <w:sz w:val="20"/>
        </w:rPr>
        <w:t>situações</w:t>
      </w:r>
      <w:r w:rsidRPr="00395593">
        <w:rPr>
          <w:rFonts w:ascii="Garamond" w:hAnsi="Garamond"/>
          <w:spacing w:val="44"/>
          <w:sz w:val="20"/>
        </w:rPr>
        <w:t xml:space="preserve"> </w:t>
      </w:r>
      <w:r w:rsidRPr="00395593">
        <w:rPr>
          <w:rFonts w:ascii="Garamond" w:hAnsi="Garamond"/>
          <w:sz w:val="20"/>
        </w:rPr>
        <w:t>normais,</w:t>
      </w:r>
      <w:r w:rsidRPr="00395593">
        <w:rPr>
          <w:rFonts w:ascii="Garamond" w:hAnsi="Garamond"/>
          <w:spacing w:val="41"/>
          <w:sz w:val="20"/>
        </w:rPr>
        <w:t xml:space="preserve"> </w:t>
      </w:r>
      <w:r w:rsidRPr="00395593">
        <w:rPr>
          <w:rFonts w:ascii="Garamond" w:hAnsi="Garamond"/>
          <w:sz w:val="20"/>
        </w:rPr>
        <w:t>o</w:t>
      </w:r>
      <w:r w:rsidRPr="00395593">
        <w:rPr>
          <w:rFonts w:ascii="Garamond" w:hAnsi="Garamond"/>
          <w:spacing w:val="43"/>
          <w:sz w:val="20"/>
        </w:rPr>
        <w:t xml:space="preserve"> </w:t>
      </w:r>
      <w:r w:rsidRPr="00395593">
        <w:rPr>
          <w:rFonts w:ascii="Garamond" w:hAnsi="Garamond"/>
          <w:sz w:val="20"/>
        </w:rPr>
        <w:t>dia</w:t>
      </w:r>
      <w:r w:rsidRPr="00395593">
        <w:rPr>
          <w:rFonts w:ascii="Garamond" w:hAnsi="Garamond"/>
          <w:spacing w:val="42"/>
          <w:sz w:val="20"/>
        </w:rPr>
        <w:t xml:space="preserve"> </w:t>
      </w:r>
      <w:r w:rsidRPr="00395593">
        <w:rPr>
          <w:rFonts w:ascii="Garamond" w:hAnsi="Garamond"/>
          <w:sz w:val="20"/>
        </w:rPr>
        <w:t>da</w:t>
      </w:r>
      <w:r w:rsidRPr="00395593">
        <w:rPr>
          <w:rFonts w:ascii="Garamond" w:hAnsi="Garamond"/>
          <w:spacing w:val="41"/>
          <w:sz w:val="20"/>
        </w:rPr>
        <w:t xml:space="preserve"> </w:t>
      </w:r>
      <w:r w:rsidRPr="00395593">
        <w:rPr>
          <w:rFonts w:ascii="Garamond" w:hAnsi="Garamond"/>
          <w:sz w:val="20"/>
        </w:rPr>
        <w:t>alienação</w:t>
      </w:r>
      <w:r w:rsidRPr="00395593">
        <w:rPr>
          <w:rFonts w:ascii="Garamond" w:hAnsi="Garamond"/>
          <w:spacing w:val="43"/>
          <w:sz w:val="20"/>
        </w:rPr>
        <w:t xml:space="preserve"> </w:t>
      </w:r>
      <w:r w:rsidRPr="00395593">
        <w:rPr>
          <w:rFonts w:ascii="Garamond" w:hAnsi="Garamond"/>
          <w:sz w:val="20"/>
        </w:rPr>
        <w:t>deverá</w:t>
      </w:r>
      <w:r w:rsidRPr="00395593">
        <w:rPr>
          <w:rFonts w:ascii="Garamond" w:hAnsi="Garamond"/>
          <w:spacing w:val="41"/>
          <w:sz w:val="20"/>
        </w:rPr>
        <w:t xml:space="preserve"> </w:t>
      </w:r>
      <w:r w:rsidRPr="00395593">
        <w:rPr>
          <w:rFonts w:ascii="Garamond" w:hAnsi="Garamond"/>
          <w:sz w:val="20"/>
        </w:rPr>
        <w:t>ser</w:t>
      </w:r>
      <w:r w:rsidRPr="00395593">
        <w:rPr>
          <w:rFonts w:ascii="Garamond" w:hAnsi="Garamond"/>
          <w:spacing w:val="45"/>
          <w:sz w:val="20"/>
        </w:rPr>
        <w:t xml:space="preserve"> </w:t>
      </w:r>
      <w:r w:rsidRPr="00395593">
        <w:rPr>
          <w:rFonts w:ascii="Garamond" w:hAnsi="Garamond"/>
          <w:sz w:val="20"/>
        </w:rPr>
        <w:t>o</w:t>
      </w:r>
      <w:r w:rsidRPr="00395593">
        <w:rPr>
          <w:rFonts w:ascii="Garamond" w:hAnsi="Garamond"/>
          <w:spacing w:val="42"/>
          <w:sz w:val="20"/>
        </w:rPr>
        <w:t xml:space="preserve"> </w:t>
      </w:r>
      <w:r w:rsidRPr="00395593">
        <w:rPr>
          <w:rFonts w:ascii="Garamond" w:hAnsi="Garamond"/>
          <w:sz w:val="20"/>
        </w:rPr>
        <w:t>da</w:t>
      </w:r>
      <w:r w:rsidRPr="00395593">
        <w:rPr>
          <w:rFonts w:ascii="Garamond" w:hAnsi="Garamond"/>
          <w:spacing w:val="42"/>
          <w:sz w:val="20"/>
        </w:rPr>
        <w:t xml:space="preserve"> </w:t>
      </w:r>
      <w:r w:rsidRPr="00395593">
        <w:rPr>
          <w:rFonts w:ascii="Garamond" w:hAnsi="Garamond"/>
          <w:sz w:val="20"/>
        </w:rPr>
        <w:t>data</w:t>
      </w:r>
      <w:r w:rsidRPr="00395593">
        <w:rPr>
          <w:rFonts w:ascii="Garamond" w:hAnsi="Garamond"/>
          <w:spacing w:val="43"/>
          <w:sz w:val="20"/>
        </w:rPr>
        <w:t xml:space="preserve"> </w:t>
      </w:r>
      <w:r w:rsidRPr="00395593">
        <w:rPr>
          <w:rFonts w:ascii="Garamond" w:hAnsi="Garamond"/>
          <w:sz w:val="20"/>
        </w:rPr>
        <w:t>do</w:t>
      </w:r>
      <w:r w:rsidRPr="00395593">
        <w:rPr>
          <w:rFonts w:ascii="Garamond" w:hAnsi="Garamond"/>
          <w:spacing w:val="42"/>
          <w:sz w:val="20"/>
        </w:rPr>
        <w:t xml:space="preserve"> </w:t>
      </w:r>
      <w:r w:rsidRPr="00395593">
        <w:rPr>
          <w:rFonts w:ascii="Garamond" w:hAnsi="Garamond"/>
          <w:sz w:val="20"/>
        </w:rPr>
        <w:t>contrato</w:t>
      </w:r>
      <w:r w:rsidRPr="00395593">
        <w:rPr>
          <w:rFonts w:ascii="Garamond" w:hAnsi="Garamond"/>
          <w:spacing w:val="43"/>
          <w:sz w:val="20"/>
        </w:rPr>
        <w:t xml:space="preserve"> </w:t>
      </w:r>
      <w:r w:rsidRPr="00395593">
        <w:rPr>
          <w:rFonts w:ascii="Garamond" w:hAnsi="Garamond"/>
          <w:sz w:val="20"/>
        </w:rPr>
        <w:t>da</w:t>
      </w:r>
      <w:r w:rsidRPr="00395593">
        <w:rPr>
          <w:rFonts w:ascii="Garamond" w:hAnsi="Garamond"/>
          <w:spacing w:val="41"/>
          <w:sz w:val="20"/>
        </w:rPr>
        <w:t xml:space="preserve"> </w:t>
      </w:r>
      <w:r w:rsidRPr="00395593">
        <w:rPr>
          <w:rFonts w:ascii="Garamond" w:hAnsi="Garamond"/>
          <w:sz w:val="20"/>
        </w:rPr>
        <w:t>ordem</w:t>
      </w:r>
      <w:r w:rsidRPr="00395593">
        <w:rPr>
          <w:rFonts w:ascii="Garamond" w:hAnsi="Garamond"/>
          <w:spacing w:val="41"/>
          <w:sz w:val="20"/>
        </w:rPr>
        <w:t xml:space="preserve"> </w:t>
      </w:r>
      <w:r w:rsidRPr="00395593">
        <w:rPr>
          <w:rFonts w:ascii="Garamond" w:hAnsi="Garamond"/>
          <w:sz w:val="20"/>
        </w:rPr>
        <w:t>de</w:t>
      </w:r>
      <w:r w:rsidRPr="00395593">
        <w:rPr>
          <w:rFonts w:ascii="Garamond" w:hAnsi="Garamond"/>
          <w:spacing w:val="42"/>
          <w:sz w:val="20"/>
        </w:rPr>
        <w:t xml:space="preserve"> </w:t>
      </w:r>
      <w:r w:rsidRPr="00395593">
        <w:rPr>
          <w:rFonts w:ascii="Garamond" w:hAnsi="Garamond"/>
          <w:sz w:val="20"/>
        </w:rPr>
        <w:t>compra,</w:t>
      </w:r>
      <w:r w:rsidRPr="00395593">
        <w:rPr>
          <w:rFonts w:ascii="Garamond" w:hAnsi="Garamond"/>
          <w:spacing w:val="42"/>
          <w:sz w:val="20"/>
        </w:rPr>
        <w:t xml:space="preserve"> </w:t>
      </w:r>
      <w:r w:rsidRPr="00395593">
        <w:rPr>
          <w:rFonts w:ascii="Garamond" w:hAnsi="Garamond"/>
          <w:sz w:val="20"/>
        </w:rPr>
        <w:t>da confirmação</w:t>
      </w:r>
      <w:r w:rsidRPr="00395593">
        <w:rPr>
          <w:rFonts w:ascii="Garamond" w:hAnsi="Garamond"/>
          <w:spacing w:val="29"/>
          <w:sz w:val="20"/>
        </w:rPr>
        <w:t xml:space="preserve"> </w:t>
      </w:r>
      <w:r w:rsidRPr="00395593">
        <w:rPr>
          <w:rFonts w:ascii="Garamond" w:hAnsi="Garamond"/>
          <w:sz w:val="20"/>
        </w:rPr>
        <w:t>de</w:t>
      </w:r>
      <w:r w:rsidRPr="00395593">
        <w:rPr>
          <w:rFonts w:ascii="Garamond" w:hAnsi="Garamond"/>
          <w:spacing w:val="28"/>
          <w:sz w:val="20"/>
        </w:rPr>
        <w:t xml:space="preserve"> </w:t>
      </w:r>
      <w:r w:rsidRPr="00395593">
        <w:rPr>
          <w:rFonts w:ascii="Garamond" w:hAnsi="Garamond"/>
          <w:sz w:val="20"/>
        </w:rPr>
        <w:t>encomenda</w:t>
      </w:r>
      <w:r w:rsidRPr="00395593">
        <w:rPr>
          <w:rFonts w:ascii="Garamond" w:hAnsi="Garamond"/>
          <w:spacing w:val="28"/>
          <w:sz w:val="20"/>
        </w:rPr>
        <w:t xml:space="preserve"> </w:t>
      </w:r>
      <w:r w:rsidRPr="00395593">
        <w:rPr>
          <w:rFonts w:ascii="Garamond" w:hAnsi="Garamond"/>
          <w:sz w:val="20"/>
        </w:rPr>
        <w:t>ou</w:t>
      </w:r>
      <w:r w:rsidRPr="00395593">
        <w:rPr>
          <w:rFonts w:ascii="Garamond" w:hAnsi="Garamond"/>
          <w:spacing w:val="26"/>
          <w:sz w:val="20"/>
        </w:rPr>
        <w:t xml:space="preserve"> </w:t>
      </w:r>
      <w:r w:rsidRPr="00395593">
        <w:rPr>
          <w:rFonts w:ascii="Garamond" w:hAnsi="Garamond"/>
          <w:sz w:val="20"/>
        </w:rPr>
        <w:t>da</w:t>
      </w:r>
      <w:r w:rsidRPr="00395593">
        <w:rPr>
          <w:rFonts w:ascii="Garamond" w:hAnsi="Garamond"/>
          <w:spacing w:val="30"/>
          <w:sz w:val="20"/>
        </w:rPr>
        <w:t xml:space="preserve"> </w:t>
      </w:r>
      <w:r w:rsidRPr="00395593">
        <w:rPr>
          <w:rFonts w:ascii="Garamond" w:hAnsi="Garamond"/>
          <w:sz w:val="20"/>
        </w:rPr>
        <w:t>fatura,</w:t>
      </w:r>
      <w:r w:rsidRPr="00395593">
        <w:rPr>
          <w:rFonts w:ascii="Garamond" w:hAnsi="Garamond"/>
          <w:spacing w:val="10"/>
          <w:sz w:val="20"/>
        </w:rPr>
        <w:t xml:space="preserve"> </w:t>
      </w:r>
      <w:r w:rsidRPr="00395593">
        <w:rPr>
          <w:rFonts w:ascii="Garamond" w:hAnsi="Garamond"/>
          <w:sz w:val="20"/>
        </w:rPr>
        <w:t>utilizando-se</w:t>
      </w:r>
      <w:r w:rsidRPr="00395593">
        <w:rPr>
          <w:rFonts w:ascii="Garamond" w:hAnsi="Garamond"/>
          <w:spacing w:val="28"/>
          <w:sz w:val="20"/>
        </w:rPr>
        <w:t xml:space="preserve"> </w:t>
      </w:r>
      <w:r w:rsidRPr="00395593">
        <w:rPr>
          <w:rFonts w:ascii="Garamond" w:hAnsi="Garamond"/>
          <w:sz w:val="20"/>
        </w:rPr>
        <w:t>dentre</w:t>
      </w:r>
      <w:r w:rsidRPr="00395593">
        <w:rPr>
          <w:rFonts w:ascii="Garamond" w:hAnsi="Garamond"/>
          <w:spacing w:val="28"/>
          <w:sz w:val="20"/>
        </w:rPr>
        <w:t xml:space="preserve"> </w:t>
      </w:r>
      <w:r w:rsidRPr="00395593">
        <w:rPr>
          <w:rFonts w:ascii="Garamond" w:hAnsi="Garamond"/>
          <w:sz w:val="20"/>
        </w:rPr>
        <w:t>esses</w:t>
      </w:r>
      <w:r w:rsidRPr="00395593">
        <w:rPr>
          <w:rFonts w:ascii="Garamond" w:hAnsi="Garamond"/>
          <w:spacing w:val="29"/>
          <w:sz w:val="20"/>
        </w:rPr>
        <w:t xml:space="preserve"> </w:t>
      </w:r>
      <w:r w:rsidRPr="00395593">
        <w:rPr>
          <w:rFonts w:ascii="Garamond" w:hAnsi="Garamond"/>
          <w:sz w:val="20"/>
        </w:rPr>
        <w:t>documentos</w:t>
      </w:r>
      <w:r w:rsidRPr="00395593">
        <w:rPr>
          <w:rFonts w:ascii="Garamond" w:hAnsi="Garamond"/>
          <w:spacing w:val="27"/>
          <w:sz w:val="20"/>
        </w:rPr>
        <w:t xml:space="preserve"> </w:t>
      </w:r>
      <w:r w:rsidRPr="00395593">
        <w:rPr>
          <w:rFonts w:ascii="Garamond" w:hAnsi="Garamond"/>
          <w:sz w:val="20"/>
        </w:rPr>
        <w:t>aquele</w:t>
      </w:r>
      <w:r w:rsidRPr="00395593">
        <w:rPr>
          <w:rFonts w:ascii="Garamond" w:hAnsi="Garamond"/>
          <w:spacing w:val="30"/>
          <w:sz w:val="20"/>
        </w:rPr>
        <w:t xml:space="preserve"> </w:t>
      </w:r>
      <w:r w:rsidRPr="00395593">
        <w:rPr>
          <w:rFonts w:ascii="Garamond" w:hAnsi="Garamond"/>
          <w:sz w:val="20"/>
        </w:rPr>
        <w:t>que</w:t>
      </w:r>
      <w:r w:rsidRPr="00395593">
        <w:rPr>
          <w:rFonts w:ascii="Garamond" w:hAnsi="Garamond"/>
          <w:spacing w:val="29"/>
          <w:sz w:val="20"/>
        </w:rPr>
        <w:t xml:space="preserve"> </w:t>
      </w:r>
      <w:r w:rsidRPr="00395593">
        <w:rPr>
          <w:rFonts w:ascii="Garamond" w:hAnsi="Garamond"/>
          <w:sz w:val="20"/>
        </w:rPr>
        <w:t>estabeleça</w:t>
      </w:r>
      <w:r w:rsidRPr="00395593">
        <w:rPr>
          <w:rFonts w:ascii="Garamond" w:hAnsi="Garamond"/>
          <w:spacing w:val="28"/>
          <w:sz w:val="20"/>
        </w:rPr>
        <w:t xml:space="preserve"> </w:t>
      </w:r>
      <w:r w:rsidRPr="00395593">
        <w:rPr>
          <w:rFonts w:ascii="Garamond" w:hAnsi="Garamond"/>
          <w:sz w:val="20"/>
        </w:rPr>
        <w:t>as</w:t>
      </w:r>
      <w:r w:rsidRPr="00395593">
        <w:rPr>
          <w:rFonts w:ascii="Garamond" w:hAnsi="Garamond"/>
          <w:spacing w:val="-47"/>
          <w:sz w:val="20"/>
        </w:rPr>
        <w:t xml:space="preserve"> </w:t>
      </w:r>
      <w:r w:rsidRPr="00395593">
        <w:rPr>
          <w:rFonts w:ascii="Garamond" w:hAnsi="Garamond"/>
          <w:sz w:val="20"/>
        </w:rPr>
        <w:t>condições</w:t>
      </w:r>
      <w:r w:rsidRPr="00395593">
        <w:rPr>
          <w:rFonts w:ascii="Garamond" w:hAnsi="Garamond"/>
          <w:spacing w:val="-2"/>
          <w:sz w:val="20"/>
        </w:rPr>
        <w:t xml:space="preserve"> </w:t>
      </w:r>
      <w:r w:rsidRPr="00395593">
        <w:rPr>
          <w:rFonts w:ascii="Garamond" w:hAnsi="Garamond"/>
          <w:sz w:val="20"/>
        </w:rPr>
        <w:t>de venda.</w:t>
      </w:r>
    </w:p>
    <w:p w14:paraId="4FF46649" w14:textId="7205A176" w:rsidR="0013285C" w:rsidRPr="00395593" w:rsidRDefault="00F362DF" w:rsidP="00D3137B">
      <w:pPr>
        <w:rPr>
          <w:rFonts w:ascii="Garamond" w:hAnsi="Garamond"/>
        </w:rPr>
      </w:pPr>
      <w:r w:rsidRPr="005C5CBD">
        <w:rPr>
          <w:rFonts w:ascii="Garamond" w:hAnsi="Garamond"/>
        </w:rPr>
        <w:br w:type="page"/>
      </w:r>
    </w:p>
    <w:p w14:paraId="4C65A227" w14:textId="77777777" w:rsidR="0013285C" w:rsidRPr="00395593" w:rsidRDefault="0013285C" w:rsidP="0013285C">
      <w:pPr>
        <w:pStyle w:val="Corpodetexto"/>
        <w:ind w:left="102" w:right="115" w:firstLine="707"/>
        <w:jc w:val="both"/>
        <w:rPr>
          <w:rFonts w:ascii="Garamond" w:hAnsi="Garamond"/>
        </w:rPr>
      </w:pPr>
      <w:r w:rsidRPr="00395593">
        <w:rPr>
          <w:rFonts w:ascii="Garamond" w:hAnsi="Garamond"/>
        </w:rPr>
        <w:t>(b)</w:t>
      </w:r>
      <w:r w:rsidRPr="00395593">
        <w:rPr>
          <w:rFonts w:ascii="Garamond" w:hAnsi="Garamond"/>
          <w:spacing w:val="1"/>
        </w:rPr>
        <w:t xml:space="preserve"> </w:t>
      </w:r>
      <w:r w:rsidRPr="00395593">
        <w:rPr>
          <w:rFonts w:ascii="Garamond" w:hAnsi="Garamond"/>
        </w:rPr>
        <w:t>De acordo com o disposto acerca de uma comparação justa no parágrafo 5, a</w:t>
      </w:r>
      <w:r w:rsidRPr="00395593">
        <w:rPr>
          <w:rFonts w:ascii="Garamond" w:hAnsi="Garamond"/>
          <w:spacing w:val="1"/>
        </w:rPr>
        <w:t xml:space="preserve"> </w:t>
      </w:r>
      <w:r w:rsidRPr="00395593">
        <w:rPr>
          <w:rFonts w:ascii="Garamond" w:hAnsi="Garamond"/>
        </w:rPr>
        <w:t>existência</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margens</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i/>
        </w:rPr>
        <w:t>dumping</w:t>
      </w:r>
      <w:r w:rsidRPr="00395593">
        <w:rPr>
          <w:rFonts w:ascii="Garamond" w:hAnsi="Garamond"/>
          <w:i/>
          <w:spacing w:val="1"/>
        </w:rPr>
        <w:t xml:space="preserve"> </w:t>
      </w:r>
      <w:r w:rsidRPr="00395593">
        <w:rPr>
          <w:rFonts w:ascii="Garamond" w:hAnsi="Garamond"/>
        </w:rPr>
        <w:t>durante</w:t>
      </w:r>
      <w:r w:rsidRPr="00395593">
        <w:rPr>
          <w:rFonts w:ascii="Garamond" w:hAnsi="Garamond"/>
          <w:spacing w:val="1"/>
        </w:rPr>
        <w:t xml:space="preserve"> </w:t>
      </w:r>
      <w:r w:rsidRPr="00395593">
        <w:rPr>
          <w:rFonts w:ascii="Garamond" w:hAnsi="Garamond"/>
        </w:rPr>
        <w:t>a</w:t>
      </w:r>
      <w:r w:rsidRPr="00395593">
        <w:rPr>
          <w:rFonts w:ascii="Garamond" w:hAnsi="Garamond"/>
          <w:spacing w:val="1"/>
        </w:rPr>
        <w:t xml:space="preserve"> </w:t>
      </w:r>
      <w:r w:rsidRPr="00395593">
        <w:rPr>
          <w:rFonts w:ascii="Garamond" w:hAnsi="Garamond"/>
        </w:rPr>
        <w:t>investigação</w:t>
      </w:r>
      <w:r w:rsidRPr="00395593">
        <w:rPr>
          <w:rFonts w:ascii="Garamond" w:hAnsi="Garamond"/>
          <w:spacing w:val="1"/>
        </w:rPr>
        <w:t xml:space="preserve"> </w:t>
      </w:r>
      <w:r w:rsidRPr="00395593">
        <w:rPr>
          <w:rFonts w:ascii="Garamond" w:hAnsi="Garamond"/>
        </w:rPr>
        <w:t>deverá</w:t>
      </w:r>
      <w:r w:rsidRPr="00395593">
        <w:rPr>
          <w:rFonts w:ascii="Garamond" w:hAnsi="Garamond"/>
          <w:spacing w:val="1"/>
        </w:rPr>
        <w:t xml:space="preserve"> </w:t>
      </w:r>
      <w:r w:rsidRPr="00395593">
        <w:rPr>
          <w:rFonts w:ascii="Garamond" w:hAnsi="Garamond"/>
        </w:rPr>
        <w:t>ser</w:t>
      </w:r>
      <w:r w:rsidRPr="00395593">
        <w:rPr>
          <w:rFonts w:ascii="Garamond" w:hAnsi="Garamond"/>
          <w:spacing w:val="1"/>
        </w:rPr>
        <w:t xml:space="preserve"> </w:t>
      </w:r>
      <w:r w:rsidRPr="00395593">
        <w:rPr>
          <w:rFonts w:ascii="Garamond" w:hAnsi="Garamond"/>
        </w:rPr>
        <w:t>normalmente</w:t>
      </w:r>
      <w:r w:rsidRPr="00395593">
        <w:rPr>
          <w:rFonts w:ascii="Garamond" w:hAnsi="Garamond"/>
          <w:spacing w:val="1"/>
        </w:rPr>
        <w:t xml:space="preserve"> </w:t>
      </w:r>
      <w:r w:rsidRPr="00395593">
        <w:rPr>
          <w:rFonts w:ascii="Garamond" w:hAnsi="Garamond"/>
        </w:rPr>
        <w:t>determinada com base em comparação entre o valor normal médio ponderado e o preço</w:t>
      </w:r>
      <w:r w:rsidRPr="00395593">
        <w:rPr>
          <w:rFonts w:ascii="Garamond" w:hAnsi="Garamond"/>
          <w:spacing w:val="1"/>
        </w:rPr>
        <w:t xml:space="preserve"> </w:t>
      </w:r>
      <w:r w:rsidRPr="00395593">
        <w:rPr>
          <w:rFonts w:ascii="Garamond" w:hAnsi="Garamond"/>
        </w:rPr>
        <w:t>médio ponderado de todas as exportações equivalentes ou com base em comparação entre o</w:t>
      </w:r>
      <w:r w:rsidRPr="00395593">
        <w:rPr>
          <w:rFonts w:ascii="Garamond" w:hAnsi="Garamond"/>
          <w:spacing w:val="-57"/>
        </w:rPr>
        <w:t xml:space="preserve"> </w:t>
      </w:r>
      <w:r w:rsidRPr="00395593">
        <w:rPr>
          <w:rFonts w:ascii="Garamond" w:hAnsi="Garamond"/>
        </w:rPr>
        <w:t>valor</w:t>
      </w:r>
      <w:r w:rsidRPr="00395593">
        <w:rPr>
          <w:rFonts w:ascii="Garamond" w:hAnsi="Garamond"/>
          <w:spacing w:val="1"/>
        </w:rPr>
        <w:t xml:space="preserve"> </w:t>
      </w:r>
      <w:r w:rsidRPr="00395593">
        <w:rPr>
          <w:rFonts w:ascii="Garamond" w:hAnsi="Garamond"/>
        </w:rPr>
        <w:t>normal</w:t>
      </w:r>
      <w:r w:rsidRPr="00395593">
        <w:rPr>
          <w:rFonts w:ascii="Garamond" w:hAnsi="Garamond"/>
          <w:spacing w:val="1"/>
        </w:rPr>
        <w:t xml:space="preserve"> </w:t>
      </w:r>
      <w:r w:rsidRPr="00395593">
        <w:rPr>
          <w:rFonts w:ascii="Garamond" w:hAnsi="Garamond"/>
        </w:rPr>
        <w:t>e os</w:t>
      </w:r>
      <w:r w:rsidRPr="00395593">
        <w:rPr>
          <w:rFonts w:ascii="Garamond" w:hAnsi="Garamond"/>
          <w:spacing w:val="1"/>
        </w:rPr>
        <w:t xml:space="preserve"> </w:t>
      </w:r>
      <w:r w:rsidRPr="00395593">
        <w:rPr>
          <w:rFonts w:ascii="Garamond" w:hAnsi="Garamond"/>
        </w:rPr>
        <w:t>preços</w:t>
      </w:r>
      <w:r w:rsidRPr="00395593">
        <w:rPr>
          <w:rFonts w:ascii="Garamond" w:hAnsi="Garamond"/>
          <w:spacing w:val="1"/>
        </w:rPr>
        <w:t xml:space="preserve"> </w:t>
      </w:r>
      <w:r w:rsidRPr="00395593">
        <w:rPr>
          <w:rFonts w:ascii="Garamond" w:hAnsi="Garamond"/>
        </w:rPr>
        <w:t>de exportação</w:t>
      </w:r>
      <w:r w:rsidRPr="00395593">
        <w:rPr>
          <w:rFonts w:ascii="Garamond" w:hAnsi="Garamond"/>
          <w:spacing w:val="1"/>
        </w:rPr>
        <w:t xml:space="preserve"> </w:t>
      </w:r>
      <w:r w:rsidRPr="00395593">
        <w:rPr>
          <w:rFonts w:ascii="Garamond" w:hAnsi="Garamond"/>
        </w:rPr>
        <w:t>apurados</w:t>
      </w:r>
      <w:r w:rsidRPr="00395593">
        <w:rPr>
          <w:rFonts w:ascii="Garamond" w:hAnsi="Garamond"/>
          <w:spacing w:val="1"/>
        </w:rPr>
        <w:t xml:space="preserve"> </w:t>
      </w:r>
      <w:r w:rsidRPr="00395593">
        <w:rPr>
          <w:rFonts w:ascii="Garamond" w:hAnsi="Garamond"/>
        </w:rPr>
        <w:t>em</w:t>
      </w:r>
      <w:r w:rsidRPr="00395593">
        <w:rPr>
          <w:rFonts w:ascii="Garamond" w:hAnsi="Garamond"/>
          <w:spacing w:val="1"/>
        </w:rPr>
        <w:t xml:space="preserve"> </w:t>
      </w:r>
      <w:r w:rsidRPr="00395593">
        <w:rPr>
          <w:rFonts w:ascii="Garamond" w:hAnsi="Garamond"/>
        </w:rPr>
        <w:t>cada transação.</w:t>
      </w:r>
      <w:r w:rsidRPr="00395593">
        <w:rPr>
          <w:rFonts w:ascii="Garamond" w:hAnsi="Garamond"/>
          <w:spacing w:val="1"/>
        </w:rPr>
        <w:t xml:space="preserve"> </w:t>
      </w:r>
      <w:r w:rsidRPr="00395593">
        <w:rPr>
          <w:rFonts w:ascii="Garamond" w:hAnsi="Garamond"/>
        </w:rPr>
        <w:t>O valor</w:t>
      </w:r>
      <w:r w:rsidRPr="00395593">
        <w:rPr>
          <w:rFonts w:ascii="Garamond" w:hAnsi="Garamond"/>
          <w:spacing w:val="1"/>
        </w:rPr>
        <w:t xml:space="preserve"> </w:t>
      </w:r>
      <w:r w:rsidRPr="00395593">
        <w:rPr>
          <w:rFonts w:ascii="Garamond" w:hAnsi="Garamond"/>
        </w:rPr>
        <w:t>normal</w:t>
      </w:r>
      <w:r w:rsidRPr="00395593">
        <w:rPr>
          <w:rFonts w:ascii="Garamond" w:hAnsi="Garamond"/>
          <w:spacing w:val="1"/>
        </w:rPr>
        <w:t xml:space="preserve"> </w:t>
      </w:r>
      <w:r w:rsidRPr="00395593">
        <w:rPr>
          <w:rFonts w:ascii="Garamond" w:hAnsi="Garamond"/>
        </w:rPr>
        <w:t>estabelecido por meio de média ponderada poderá ser comparado com o preço de uma</w:t>
      </w:r>
      <w:r w:rsidRPr="00395593">
        <w:rPr>
          <w:rFonts w:ascii="Garamond" w:hAnsi="Garamond"/>
          <w:spacing w:val="1"/>
        </w:rPr>
        <w:t xml:space="preserve"> </w:t>
      </w:r>
      <w:r w:rsidRPr="00395593">
        <w:rPr>
          <w:rFonts w:ascii="Garamond" w:hAnsi="Garamond"/>
        </w:rPr>
        <w:t>exportação</w:t>
      </w:r>
      <w:r w:rsidRPr="00395593">
        <w:rPr>
          <w:rFonts w:ascii="Garamond" w:hAnsi="Garamond"/>
          <w:spacing w:val="1"/>
        </w:rPr>
        <w:t xml:space="preserve"> </w:t>
      </w:r>
      <w:r w:rsidRPr="00395593">
        <w:rPr>
          <w:rFonts w:ascii="Garamond" w:hAnsi="Garamond"/>
        </w:rPr>
        <w:t>específica</w:t>
      </w:r>
      <w:r w:rsidRPr="00395593">
        <w:rPr>
          <w:rFonts w:ascii="Garamond" w:hAnsi="Garamond"/>
          <w:spacing w:val="1"/>
        </w:rPr>
        <w:t xml:space="preserve"> </w:t>
      </w:r>
      <w:r w:rsidRPr="00395593">
        <w:rPr>
          <w:rFonts w:ascii="Garamond" w:hAnsi="Garamond"/>
        </w:rPr>
        <w:t>no</w:t>
      </w:r>
      <w:r w:rsidRPr="00395593">
        <w:rPr>
          <w:rFonts w:ascii="Garamond" w:hAnsi="Garamond"/>
          <w:spacing w:val="1"/>
        </w:rPr>
        <w:t xml:space="preserve"> </w:t>
      </w:r>
      <w:r w:rsidRPr="00395593">
        <w:rPr>
          <w:rFonts w:ascii="Garamond" w:hAnsi="Garamond"/>
        </w:rPr>
        <w:t>caso</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as</w:t>
      </w:r>
      <w:r w:rsidRPr="00395593">
        <w:rPr>
          <w:rFonts w:ascii="Garamond" w:hAnsi="Garamond"/>
          <w:spacing w:val="1"/>
        </w:rPr>
        <w:t xml:space="preserve"> </w:t>
      </w:r>
      <w:r w:rsidRPr="00395593">
        <w:rPr>
          <w:rFonts w:ascii="Garamond" w:hAnsi="Garamond"/>
        </w:rPr>
        <w:t>autoridades</w:t>
      </w:r>
      <w:r w:rsidRPr="00395593">
        <w:rPr>
          <w:rFonts w:ascii="Garamond" w:hAnsi="Garamond"/>
          <w:spacing w:val="1"/>
        </w:rPr>
        <w:t xml:space="preserve"> </w:t>
      </w:r>
      <w:r w:rsidRPr="00395593">
        <w:rPr>
          <w:rFonts w:ascii="Garamond" w:hAnsi="Garamond"/>
        </w:rPr>
        <w:t>estabelecerem</w:t>
      </w:r>
      <w:r w:rsidRPr="00395593">
        <w:rPr>
          <w:rFonts w:ascii="Garamond" w:hAnsi="Garamond"/>
          <w:spacing w:val="1"/>
        </w:rPr>
        <w:t xml:space="preserve"> </w:t>
      </w:r>
      <w:r w:rsidRPr="00395593">
        <w:rPr>
          <w:rFonts w:ascii="Garamond" w:hAnsi="Garamond"/>
        </w:rPr>
        <w:t>padrão</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preços</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exportação que difira significativamente do universo de compradores, regiões ou momentos</w:t>
      </w:r>
      <w:r w:rsidRPr="00395593">
        <w:rPr>
          <w:rFonts w:ascii="Garamond" w:hAnsi="Garamond"/>
          <w:spacing w:val="-57"/>
        </w:rPr>
        <w:t xml:space="preserve"> </w:t>
      </w:r>
      <w:r w:rsidRPr="00395593">
        <w:rPr>
          <w:rFonts w:ascii="Garamond" w:hAnsi="Garamond"/>
        </w:rPr>
        <w:t>e</w:t>
      </w:r>
      <w:r w:rsidRPr="00395593">
        <w:rPr>
          <w:rFonts w:ascii="Garamond" w:hAnsi="Garamond"/>
          <w:spacing w:val="1"/>
        </w:rPr>
        <w:t xml:space="preserve"> </w:t>
      </w:r>
      <w:r w:rsidRPr="00395593">
        <w:rPr>
          <w:rFonts w:ascii="Garamond" w:hAnsi="Garamond"/>
        </w:rPr>
        <w:t>também</w:t>
      </w:r>
      <w:r w:rsidRPr="00395593">
        <w:rPr>
          <w:rFonts w:ascii="Garamond" w:hAnsi="Garamond"/>
          <w:spacing w:val="1"/>
        </w:rPr>
        <w:t xml:space="preserve"> </w:t>
      </w:r>
      <w:r w:rsidRPr="00395593">
        <w:rPr>
          <w:rFonts w:ascii="Garamond" w:hAnsi="Garamond"/>
        </w:rPr>
        <w:t>caso</w:t>
      </w:r>
      <w:r w:rsidRPr="00395593">
        <w:rPr>
          <w:rFonts w:ascii="Garamond" w:hAnsi="Garamond"/>
          <w:spacing w:val="1"/>
        </w:rPr>
        <w:t xml:space="preserve"> </w:t>
      </w:r>
      <w:r w:rsidRPr="00395593">
        <w:rPr>
          <w:rFonts w:ascii="Garamond" w:hAnsi="Garamond"/>
        </w:rPr>
        <w:t>seja</w:t>
      </w:r>
      <w:r w:rsidRPr="00395593">
        <w:rPr>
          <w:rFonts w:ascii="Garamond" w:hAnsi="Garamond"/>
          <w:spacing w:val="1"/>
        </w:rPr>
        <w:t xml:space="preserve"> </w:t>
      </w:r>
      <w:r w:rsidRPr="00395593">
        <w:rPr>
          <w:rFonts w:ascii="Garamond" w:hAnsi="Garamond"/>
        </w:rPr>
        <w:t>fornecida</w:t>
      </w:r>
      <w:r w:rsidRPr="00395593">
        <w:rPr>
          <w:rFonts w:ascii="Garamond" w:hAnsi="Garamond"/>
          <w:spacing w:val="1"/>
        </w:rPr>
        <w:t xml:space="preserve"> </w:t>
      </w:r>
      <w:r w:rsidRPr="00395593">
        <w:rPr>
          <w:rFonts w:ascii="Garamond" w:hAnsi="Garamond"/>
        </w:rPr>
        <w:t>explicação</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porque</w:t>
      </w:r>
      <w:r w:rsidRPr="00395593">
        <w:rPr>
          <w:rFonts w:ascii="Garamond" w:hAnsi="Garamond"/>
          <w:spacing w:val="1"/>
        </w:rPr>
        <w:t xml:space="preserve"> </w:t>
      </w:r>
      <w:r w:rsidRPr="00395593">
        <w:rPr>
          <w:rFonts w:ascii="Garamond" w:hAnsi="Garamond"/>
        </w:rPr>
        <w:t>tais</w:t>
      </w:r>
      <w:r w:rsidRPr="00395593">
        <w:rPr>
          <w:rFonts w:ascii="Garamond" w:hAnsi="Garamond"/>
          <w:spacing w:val="1"/>
        </w:rPr>
        <w:t xml:space="preserve"> </w:t>
      </w:r>
      <w:r w:rsidRPr="00395593">
        <w:rPr>
          <w:rFonts w:ascii="Garamond" w:hAnsi="Garamond"/>
        </w:rPr>
        <w:t>diferenças</w:t>
      </w:r>
      <w:r w:rsidRPr="00395593">
        <w:rPr>
          <w:rFonts w:ascii="Garamond" w:hAnsi="Garamond"/>
          <w:spacing w:val="1"/>
        </w:rPr>
        <w:t xml:space="preserve"> </w:t>
      </w:r>
      <w:r w:rsidRPr="00395593">
        <w:rPr>
          <w:rFonts w:ascii="Garamond" w:hAnsi="Garamond"/>
        </w:rPr>
        <w:t>não</w:t>
      </w:r>
      <w:r w:rsidRPr="00395593">
        <w:rPr>
          <w:rFonts w:ascii="Garamond" w:hAnsi="Garamond"/>
          <w:spacing w:val="1"/>
        </w:rPr>
        <w:t xml:space="preserve"> </w:t>
      </w:r>
      <w:r w:rsidRPr="00395593">
        <w:rPr>
          <w:rFonts w:ascii="Garamond" w:hAnsi="Garamond"/>
        </w:rPr>
        <w:t>podem</w:t>
      </w:r>
      <w:r w:rsidRPr="00395593">
        <w:rPr>
          <w:rFonts w:ascii="Garamond" w:hAnsi="Garamond"/>
          <w:spacing w:val="1"/>
        </w:rPr>
        <w:t xml:space="preserve"> </w:t>
      </w:r>
      <w:r w:rsidRPr="00395593">
        <w:rPr>
          <w:rFonts w:ascii="Garamond" w:hAnsi="Garamond"/>
        </w:rPr>
        <w:t>ser</w:t>
      </w:r>
      <w:r w:rsidRPr="00395593">
        <w:rPr>
          <w:rFonts w:ascii="Garamond" w:hAnsi="Garamond"/>
          <w:spacing w:val="1"/>
        </w:rPr>
        <w:t xml:space="preserve"> </w:t>
      </w:r>
      <w:r w:rsidRPr="00395593">
        <w:rPr>
          <w:rFonts w:ascii="Garamond" w:hAnsi="Garamond"/>
        </w:rPr>
        <w:t>consideradas adequadamente por meio de comparação entre médias ponderadas ou entre</w:t>
      </w:r>
      <w:r w:rsidRPr="00395593">
        <w:rPr>
          <w:rFonts w:ascii="Garamond" w:hAnsi="Garamond"/>
          <w:spacing w:val="1"/>
        </w:rPr>
        <w:t xml:space="preserve"> </w:t>
      </w:r>
      <w:r w:rsidRPr="00395593">
        <w:rPr>
          <w:rFonts w:ascii="Garamond" w:hAnsi="Garamond"/>
        </w:rPr>
        <w:t>transações.</w:t>
      </w:r>
    </w:p>
    <w:p w14:paraId="720A88DB" w14:textId="77777777" w:rsidR="0013285C" w:rsidRPr="00395593" w:rsidRDefault="0013285C" w:rsidP="0013285C">
      <w:pPr>
        <w:pStyle w:val="Corpodetexto"/>
        <w:spacing w:before="1"/>
        <w:rPr>
          <w:rFonts w:ascii="Garamond" w:hAnsi="Garamond"/>
        </w:rPr>
      </w:pPr>
    </w:p>
    <w:p w14:paraId="19313FD5" w14:textId="77777777" w:rsidR="0013285C" w:rsidRPr="00395593" w:rsidRDefault="0013285C" w:rsidP="002C4340">
      <w:pPr>
        <w:pStyle w:val="PargrafodaLista"/>
        <w:widowControl w:val="0"/>
        <w:numPr>
          <w:ilvl w:val="0"/>
          <w:numId w:val="24"/>
        </w:numPr>
        <w:tabs>
          <w:tab w:val="left" w:pos="810"/>
        </w:tabs>
        <w:autoSpaceDE w:val="0"/>
        <w:autoSpaceDN w:val="0"/>
        <w:spacing w:after="0" w:line="240" w:lineRule="auto"/>
        <w:ind w:right="114" w:firstLine="0"/>
        <w:contextualSpacing w:val="0"/>
        <w:jc w:val="both"/>
        <w:rPr>
          <w:rFonts w:ascii="Garamond" w:hAnsi="Garamond"/>
          <w:sz w:val="24"/>
        </w:rPr>
      </w:pPr>
      <w:r w:rsidRPr="00395593">
        <w:rPr>
          <w:rFonts w:ascii="Garamond" w:hAnsi="Garamond"/>
          <w:sz w:val="24"/>
        </w:rPr>
        <w:t>Na hipótese de um produto não ser importado diretamente de seu país de origem,</w:t>
      </w:r>
      <w:r w:rsidRPr="00395593">
        <w:rPr>
          <w:rFonts w:ascii="Garamond" w:hAnsi="Garamond"/>
          <w:spacing w:val="1"/>
          <w:sz w:val="24"/>
        </w:rPr>
        <w:t xml:space="preserve"> </w:t>
      </w:r>
      <w:r w:rsidRPr="00395593">
        <w:rPr>
          <w:rFonts w:ascii="Garamond" w:hAnsi="Garamond"/>
          <w:sz w:val="24"/>
        </w:rPr>
        <w:t>mas, ao contrário, ser exportado ao país importador a partir de terceiro pais intermediário, o</w:t>
      </w:r>
      <w:r w:rsidRPr="00395593">
        <w:rPr>
          <w:rFonts w:ascii="Garamond" w:hAnsi="Garamond"/>
          <w:spacing w:val="-57"/>
          <w:sz w:val="24"/>
        </w:rPr>
        <w:t xml:space="preserve"> </w:t>
      </w:r>
      <w:r w:rsidRPr="00395593">
        <w:rPr>
          <w:rFonts w:ascii="Garamond" w:hAnsi="Garamond"/>
          <w:sz w:val="24"/>
        </w:rPr>
        <w:t>preço pelo qual o produto é vendido a partir do país de exportação ao Membro importador</w:t>
      </w:r>
      <w:r w:rsidRPr="00395593">
        <w:rPr>
          <w:rFonts w:ascii="Garamond" w:hAnsi="Garamond"/>
          <w:spacing w:val="1"/>
          <w:sz w:val="24"/>
        </w:rPr>
        <w:t xml:space="preserve"> </w:t>
      </w:r>
      <w:r w:rsidRPr="00395593">
        <w:rPr>
          <w:rFonts w:ascii="Garamond" w:hAnsi="Garamond"/>
          <w:sz w:val="24"/>
        </w:rPr>
        <w:t>deverá</w:t>
      </w:r>
      <w:r w:rsidRPr="00395593">
        <w:rPr>
          <w:rFonts w:ascii="Garamond" w:hAnsi="Garamond"/>
          <w:spacing w:val="1"/>
          <w:sz w:val="24"/>
        </w:rPr>
        <w:t xml:space="preserve"> </w:t>
      </w:r>
      <w:r w:rsidRPr="00395593">
        <w:rPr>
          <w:rFonts w:ascii="Garamond" w:hAnsi="Garamond"/>
          <w:sz w:val="24"/>
        </w:rPr>
        <w:t>ser</w:t>
      </w:r>
      <w:r w:rsidRPr="00395593">
        <w:rPr>
          <w:rFonts w:ascii="Garamond" w:hAnsi="Garamond"/>
          <w:spacing w:val="1"/>
          <w:sz w:val="24"/>
        </w:rPr>
        <w:t xml:space="preserve"> </w:t>
      </w:r>
      <w:r w:rsidRPr="00395593">
        <w:rPr>
          <w:rFonts w:ascii="Garamond" w:hAnsi="Garamond"/>
          <w:sz w:val="24"/>
        </w:rPr>
        <w:t>normalmente</w:t>
      </w:r>
      <w:r w:rsidRPr="00395593">
        <w:rPr>
          <w:rFonts w:ascii="Garamond" w:hAnsi="Garamond"/>
          <w:spacing w:val="1"/>
          <w:sz w:val="24"/>
        </w:rPr>
        <w:t xml:space="preserve"> </w:t>
      </w:r>
      <w:r w:rsidRPr="00395593">
        <w:rPr>
          <w:rFonts w:ascii="Garamond" w:hAnsi="Garamond"/>
          <w:sz w:val="24"/>
        </w:rPr>
        <w:t>comparado</w:t>
      </w:r>
      <w:r w:rsidRPr="00395593">
        <w:rPr>
          <w:rFonts w:ascii="Garamond" w:hAnsi="Garamond"/>
          <w:spacing w:val="1"/>
          <w:sz w:val="24"/>
        </w:rPr>
        <w:t xml:space="preserve"> </w:t>
      </w:r>
      <w:r w:rsidRPr="00395593">
        <w:rPr>
          <w:rFonts w:ascii="Garamond" w:hAnsi="Garamond"/>
          <w:sz w:val="24"/>
        </w:rPr>
        <w:t>com</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preço</w:t>
      </w:r>
      <w:r w:rsidRPr="00395593">
        <w:rPr>
          <w:rFonts w:ascii="Garamond" w:hAnsi="Garamond"/>
          <w:spacing w:val="1"/>
          <w:sz w:val="24"/>
        </w:rPr>
        <w:t xml:space="preserve"> </w:t>
      </w:r>
      <w:r w:rsidRPr="00395593">
        <w:rPr>
          <w:rFonts w:ascii="Garamond" w:hAnsi="Garamond"/>
          <w:sz w:val="24"/>
        </w:rPr>
        <w:t>equivalente</w:t>
      </w:r>
      <w:r w:rsidRPr="00395593">
        <w:rPr>
          <w:rFonts w:ascii="Garamond" w:hAnsi="Garamond"/>
          <w:spacing w:val="1"/>
          <w:sz w:val="24"/>
        </w:rPr>
        <w:t xml:space="preserve"> </w:t>
      </w:r>
      <w:r w:rsidRPr="00395593">
        <w:rPr>
          <w:rFonts w:ascii="Garamond" w:hAnsi="Garamond"/>
          <w:sz w:val="24"/>
        </w:rPr>
        <w:t>praticado</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país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exportação. Poder-se-á, porém, efetuar a comparação com o preço praticado no país de</w:t>
      </w:r>
      <w:r w:rsidRPr="00395593">
        <w:rPr>
          <w:rFonts w:ascii="Garamond" w:hAnsi="Garamond"/>
          <w:spacing w:val="1"/>
          <w:sz w:val="24"/>
        </w:rPr>
        <w:t xml:space="preserve"> </w:t>
      </w:r>
      <w:r w:rsidRPr="00395593">
        <w:rPr>
          <w:rFonts w:ascii="Garamond" w:hAnsi="Garamond"/>
          <w:sz w:val="24"/>
        </w:rPr>
        <w:t>origem se, por exemplo, ocorre mero transbordo do produto no país de exportação ou se o</w:t>
      </w:r>
      <w:r w:rsidRPr="00395593">
        <w:rPr>
          <w:rFonts w:ascii="Garamond" w:hAnsi="Garamond"/>
          <w:spacing w:val="1"/>
          <w:sz w:val="24"/>
        </w:rPr>
        <w:t xml:space="preserve"> </w:t>
      </w:r>
      <w:r w:rsidRPr="00395593">
        <w:rPr>
          <w:rFonts w:ascii="Garamond" w:hAnsi="Garamond"/>
          <w:sz w:val="24"/>
        </w:rPr>
        <w:t>produto não é produzido no país de exportação ou ainda se não houver preço comparável</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3"/>
          <w:sz w:val="24"/>
        </w:rPr>
        <w:t xml:space="preserve"> </w:t>
      </w:r>
      <w:r w:rsidRPr="00395593">
        <w:rPr>
          <w:rFonts w:ascii="Garamond" w:hAnsi="Garamond"/>
          <w:sz w:val="24"/>
        </w:rPr>
        <w:t>o produto no país de</w:t>
      </w:r>
      <w:r w:rsidRPr="00395593">
        <w:rPr>
          <w:rFonts w:ascii="Garamond" w:hAnsi="Garamond"/>
          <w:spacing w:val="1"/>
          <w:sz w:val="24"/>
        </w:rPr>
        <w:t xml:space="preserve"> </w:t>
      </w:r>
      <w:r w:rsidRPr="00395593">
        <w:rPr>
          <w:rFonts w:ascii="Garamond" w:hAnsi="Garamond"/>
          <w:sz w:val="24"/>
        </w:rPr>
        <w:t>exportação.</w:t>
      </w:r>
    </w:p>
    <w:p w14:paraId="116A950A" w14:textId="77777777" w:rsidR="0013285C" w:rsidRPr="00395593" w:rsidRDefault="0013285C" w:rsidP="0013285C">
      <w:pPr>
        <w:pStyle w:val="Corpodetexto"/>
        <w:rPr>
          <w:rFonts w:ascii="Garamond" w:hAnsi="Garamond"/>
        </w:rPr>
      </w:pPr>
    </w:p>
    <w:p w14:paraId="40E45F20" w14:textId="77777777" w:rsidR="0013285C" w:rsidRPr="00395593" w:rsidRDefault="0013285C" w:rsidP="002C4340">
      <w:pPr>
        <w:pStyle w:val="PargrafodaLista"/>
        <w:widowControl w:val="0"/>
        <w:numPr>
          <w:ilvl w:val="0"/>
          <w:numId w:val="24"/>
        </w:numPr>
        <w:tabs>
          <w:tab w:val="left" w:pos="810"/>
        </w:tabs>
        <w:autoSpaceDE w:val="0"/>
        <w:autoSpaceDN w:val="0"/>
        <w:spacing w:after="0" w:line="240" w:lineRule="auto"/>
        <w:ind w:right="116" w:firstLine="0"/>
        <w:contextualSpacing w:val="0"/>
        <w:jc w:val="both"/>
        <w:rPr>
          <w:rFonts w:ascii="Garamond" w:hAnsi="Garamond"/>
          <w:sz w:val="24"/>
        </w:rPr>
      </w:pPr>
      <w:r w:rsidRPr="00395593">
        <w:rPr>
          <w:rFonts w:ascii="Garamond" w:hAnsi="Garamond"/>
          <w:sz w:val="24"/>
        </w:rPr>
        <w:t>Ao longo deste Acordo o termo produto similar (like product - produit similaire)</w:t>
      </w:r>
      <w:r w:rsidRPr="00395593">
        <w:rPr>
          <w:rFonts w:ascii="Garamond" w:hAnsi="Garamond"/>
          <w:spacing w:val="1"/>
          <w:sz w:val="24"/>
        </w:rPr>
        <w:t xml:space="preserve"> </w:t>
      </w:r>
      <w:r w:rsidRPr="00395593">
        <w:rPr>
          <w:rFonts w:ascii="Garamond" w:hAnsi="Garamond"/>
          <w:sz w:val="24"/>
        </w:rPr>
        <w:t>deverá</w:t>
      </w:r>
      <w:r w:rsidRPr="00395593">
        <w:rPr>
          <w:rFonts w:ascii="Garamond" w:hAnsi="Garamond"/>
          <w:spacing w:val="27"/>
          <w:sz w:val="24"/>
        </w:rPr>
        <w:t xml:space="preserve"> </w:t>
      </w:r>
      <w:r w:rsidRPr="00395593">
        <w:rPr>
          <w:rFonts w:ascii="Garamond" w:hAnsi="Garamond"/>
          <w:sz w:val="24"/>
        </w:rPr>
        <w:t>ser</w:t>
      </w:r>
      <w:r w:rsidRPr="00395593">
        <w:rPr>
          <w:rFonts w:ascii="Garamond" w:hAnsi="Garamond"/>
          <w:spacing w:val="29"/>
          <w:sz w:val="24"/>
        </w:rPr>
        <w:t xml:space="preserve"> </w:t>
      </w:r>
      <w:r w:rsidRPr="00395593">
        <w:rPr>
          <w:rFonts w:ascii="Garamond" w:hAnsi="Garamond"/>
          <w:sz w:val="24"/>
        </w:rPr>
        <w:t>entendido</w:t>
      </w:r>
      <w:r w:rsidRPr="00395593">
        <w:rPr>
          <w:rFonts w:ascii="Garamond" w:hAnsi="Garamond"/>
          <w:spacing w:val="29"/>
          <w:sz w:val="24"/>
        </w:rPr>
        <w:t xml:space="preserve"> </w:t>
      </w:r>
      <w:r w:rsidRPr="00395593">
        <w:rPr>
          <w:rFonts w:ascii="Garamond" w:hAnsi="Garamond"/>
          <w:sz w:val="24"/>
        </w:rPr>
        <w:t>como</w:t>
      </w:r>
      <w:r w:rsidRPr="00395593">
        <w:rPr>
          <w:rFonts w:ascii="Garamond" w:hAnsi="Garamond"/>
          <w:spacing w:val="30"/>
          <w:sz w:val="24"/>
        </w:rPr>
        <w:t xml:space="preserve"> </w:t>
      </w:r>
      <w:r w:rsidRPr="00395593">
        <w:rPr>
          <w:rFonts w:ascii="Garamond" w:hAnsi="Garamond"/>
          <w:sz w:val="24"/>
        </w:rPr>
        <w:t>produto</w:t>
      </w:r>
      <w:r w:rsidRPr="00395593">
        <w:rPr>
          <w:rFonts w:ascii="Garamond" w:hAnsi="Garamond"/>
          <w:spacing w:val="30"/>
          <w:sz w:val="24"/>
        </w:rPr>
        <w:t xml:space="preserve"> </w:t>
      </w:r>
      <w:r w:rsidRPr="00395593">
        <w:rPr>
          <w:rFonts w:ascii="Garamond" w:hAnsi="Garamond"/>
          <w:sz w:val="24"/>
        </w:rPr>
        <w:t>idêntico,</w:t>
      </w:r>
      <w:r w:rsidRPr="00395593">
        <w:rPr>
          <w:rFonts w:ascii="Garamond" w:hAnsi="Garamond"/>
          <w:spacing w:val="29"/>
          <w:sz w:val="24"/>
        </w:rPr>
        <w:t xml:space="preserve"> </w:t>
      </w:r>
      <w:r w:rsidRPr="00395593">
        <w:rPr>
          <w:rFonts w:ascii="Garamond" w:hAnsi="Garamond"/>
          <w:sz w:val="24"/>
        </w:rPr>
        <w:t>i.e.,</w:t>
      </w:r>
      <w:r w:rsidRPr="00395593">
        <w:rPr>
          <w:rFonts w:ascii="Garamond" w:hAnsi="Garamond"/>
          <w:spacing w:val="28"/>
          <w:sz w:val="24"/>
        </w:rPr>
        <w:t xml:space="preserve"> </w:t>
      </w:r>
      <w:r w:rsidRPr="00395593">
        <w:rPr>
          <w:rFonts w:ascii="Garamond" w:hAnsi="Garamond"/>
          <w:sz w:val="24"/>
        </w:rPr>
        <w:t>igual</w:t>
      </w:r>
      <w:r w:rsidRPr="00395593">
        <w:rPr>
          <w:rFonts w:ascii="Garamond" w:hAnsi="Garamond"/>
          <w:spacing w:val="30"/>
          <w:sz w:val="24"/>
        </w:rPr>
        <w:t xml:space="preserve"> </w:t>
      </w:r>
      <w:r w:rsidRPr="00395593">
        <w:rPr>
          <w:rFonts w:ascii="Garamond" w:hAnsi="Garamond"/>
          <w:sz w:val="24"/>
        </w:rPr>
        <w:t>sob</w:t>
      </w:r>
      <w:r w:rsidRPr="00395593">
        <w:rPr>
          <w:rFonts w:ascii="Garamond" w:hAnsi="Garamond"/>
          <w:spacing w:val="30"/>
          <w:sz w:val="24"/>
        </w:rPr>
        <w:t xml:space="preserve"> </w:t>
      </w:r>
      <w:r w:rsidRPr="00395593">
        <w:rPr>
          <w:rFonts w:ascii="Garamond" w:hAnsi="Garamond"/>
          <w:sz w:val="24"/>
        </w:rPr>
        <w:t>todos</w:t>
      </w:r>
      <w:r w:rsidRPr="00395593">
        <w:rPr>
          <w:rFonts w:ascii="Garamond" w:hAnsi="Garamond"/>
          <w:spacing w:val="30"/>
          <w:sz w:val="24"/>
        </w:rPr>
        <w:t xml:space="preserve"> </w:t>
      </w:r>
      <w:r w:rsidRPr="00395593">
        <w:rPr>
          <w:rFonts w:ascii="Garamond" w:hAnsi="Garamond"/>
          <w:sz w:val="24"/>
        </w:rPr>
        <w:t>os</w:t>
      </w:r>
      <w:r w:rsidRPr="00395593">
        <w:rPr>
          <w:rFonts w:ascii="Garamond" w:hAnsi="Garamond"/>
          <w:spacing w:val="30"/>
          <w:sz w:val="24"/>
        </w:rPr>
        <w:t xml:space="preserve"> </w:t>
      </w:r>
      <w:r w:rsidRPr="00395593">
        <w:rPr>
          <w:rFonts w:ascii="Garamond" w:hAnsi="Garamond"/>
          <w:sz w:val="24"/>
        </w:rPr>
        <w:t>aspectos</w:t>
      </w:r>
      <w:r w:rsidRPr="00395593">
        <w:rPr>
          <w:rFonts w:ascii="Garamond" w:hAnsi="Garamond"/>
          <w:spacing w:val="30"/>
          <w:sz w:val="24"/>
        </w:rPr>
        <w:t xml:space="preserve"> </w:t>
      </w:r>
      <w:r w:rsidRPr="00395593">
        <w:rPr>
          <w:rFonts w:ascii="Garamond" w:hAnsi="Garamond"/>
          <w:sz w:val="24"/>
        </w:rPr>
        <w:t>ao</w:t>
      </w:r>
      <w:r w:rsidRPr="00395593">
        <w:rPr>
          <w:rFonts w:ascii="Garamond" w:hAnsi="Garamond"/>
          <w:spacing w:val="28"/>
          <w:sz w:val="24"/>
        </w:rPr>
        <w:t xml:space="preserve"> </w:t>
      </w:r>
      <w:r w:rsidRPr="00395593">
        <w:rPr>
          <w:rFonts w:ascii="Garamond" w:hAnsi="Garamond"/>
          <w:sz w:val="24"/>
        </w:rPr>
        <w:t>produto</w:t>
      </w:r>
      <w:r w:rsidRPr="00395593">
        <w:rPr>
          <w:rFonts w:ascii="Garamond" w:hAnsi="Garamond"/>
          <w:spacing w:val="-57"/>
          <w:sz w:val="24"/>
        </w:rPr>
        <w:t xml:space="preserve"> </w:t>
      </w:r>
      <w:r w:rsidRPr="00395593">
        <w:rPr>
          <w:rFonts w:ascii="Garamond" w:hAnsi="Garamond"/>
          <w:sz w:val="24"/>
        </w:rPr>
        <w:t>que se está examinando ou, na ausência de tal produto, outro produto que embora não</w:t>
      </w:r>
      <w:r w:rsidRPr="00395593">
        <w:rPr>
          <w:rFonts w:ascii="Garamond" w:hAnsi="Garamond"/>
          <w:spacing w:val="1"/>
          <w:sz w:val="24"/>
        </w:rPr>
        <w:t xml:space="preserve"> </w:t>
      </w:r>
      <w:r w:rsidRPr="00395593">
        <w:rPr>
          <w:rFonts w:ascii="Garamond" w:hAnsi="Garamond"/>
          <w:sz w:val="24"/>
        </w:rPr>
        <w:t>exatamente igual sob todos os aspectos apresenta características muito próximas às do</w:t>
      </w:r>
      <w:r w:rsidRPr="00395593">
        <w:rPr>
          <w:rFonts w:ascii="Garamond" w:hAnsi="Garamond"/>
          <w:spacing w:val="1"/>
          <w:sz w:val="24"/>
        </w:rPr>
        <w:t xml:space="preserve"> </w:t>
      </w:r>
      <w:r w:rsidRPr="00395593">
        <w:rPr>
          <w:rFonts w:ascii="Garamond" w:hAnsi="Garamond"/>
          <w:sz w:val="24"/>
        </w:rPr>
        <w:t>produto</w:t>
      </w:r>
      <w:r w:rsidRPr="00395593">
        <w:rPr>
          <w:rFonts w:ascii="Garamond" w:hAnsi="Garamond"/>
          <w:spacing w:val="-1"/>
          <w:sz w:val="24"/>
        </w:rPr>
        <w:t xml:space="preserve"> </w:t>
      </w:r>
      <w:r w:rsidRPr="00395593">
        <w:rPr>
          <w:rFonts w:ascii="Garamond" w:hAnsi="Garamond"/>
          <w:sz w:val="24"/>
        </w:rPr>
        <w:t>que se</w:t>
      </w:r>
      <w:r w:rsidRPr="00395593">
        <w:rPr>
          <w:rFonts w:ascii="Garamond" w:hAnsi="Garamond"/>
          <w:spacing w:val="-2"/>
          <w:sz w:val="24"/>
        </w:rPr>
        <w:t xml:space="preserve"> </w:t>
      </w:r>
      <w:r w:rsidRPr="00395593">
        <w:rPr>
          <w:rFonts w:ascii="Garamond" w:hAnsi="Garamond"/>
          <w:sz w:val="24"/>
        </w:rPr>
        <w:t>está</w:t>
      </w:r>
      <w:r w:rsidRPr="00395593">
        <w:rPr>
          <w:rFonts w:ascii="Garamond" w:hAnsi="Garamond"/>
          <w:spacing w:val="1"/>
          <w:sz w:val="24"/>
        </w:rPr>
        <w:t xml:space="preserve"> </w:t>
      </w:r>
      <w:r w:rsidRPr="00395593">
        <w:rPr>
          <w:rFonts w:ascii="Garamond" w:hAnsi="Garamond"/>
          <w:sz w:val="24"/>
        </w:rPr>
        <w:t>considerando.</w:t>
      </w:r>
    </w:p>
    <w:p w14:paraId="142214D6" w14:textId="77777777" w:rsidR="0013285C" w:rsidRPr="00395593" w:rsidRDefault="0013285C" w:rsidP="0013285C">
      <w:pPr>
        <w:pStyle w:val="Corpodetexto"/>
        <w:spacing w:before="1"/>
        <w:rPr>
          <w:rFonts w:ascii="Garamond" w:hAnsi="Garamond"/>
        </w:rPr>
      </w:pPr>
    </w:p>
    <w:p w14:paraId="7A8610C8" w14:textId="77777777" w:rsidR="0013285C" w:rsidRPr="00395593" w:rsidRDefault="0013285C" w:rsidP="002C4340">
      <w:pPr>
        <w:pStyle w:val="PargrafodaLista"/>
        <w:widowControl w:val="0"/>
        <w:numPr>
          <w:ilvl w:val="0"/>
          <w:numId w:val="24"/>
        </w:numPr>
        <w:tabs>
          <w:tab w:val="left" w:pos="810"/>
        </w:tabs>
        <w:autoSpaceDE w:val="0"/>
        <w:autoSpaceDN w:val="0"/>
        <w:spacing w:after="0" w:line="240" w:lineRule="auto"/>
        <w:ind w:right="127" w:firstLine="0"/>
        <w:contextualSpacing w:val="0"/>
        <w:jc w:val="both"/>
        <w:rPr>
          <w:rFonts w:ascii="Garamond" w:hAnsi="Garamond"/>
          <w:sz w:val="24"/>
        </w:rPr>
      </w:pPr>
      <w:r w:rsidRPr="00395593">
        <w:rPr>
          <w:rFonts w:ascii="Garamond" w:hAnsi="Garamond"/>
          <w:sz w:val="24"/>
        </w:rPr>
        <w:t>O presente Artigo não prejudica o disposto na segunda Disposição Suplementar ao</w:t>
      </w:r>
      <w:r w:rsidRPr="00395593">
        <w:rPr>
          <w:rFonts w:ascii="Garamond" w:hAnsi="Garamond"/>
          <w:spacing w:val="1"/>
          <w:sz w:val="24"/>
        </w:rPr>
        <w:t xml:space="preserve"> </w:t>
      </w:r>
      <w:r w:rsidRPr="00395593">
        <w:rPr>
          <w:rFonts w:ascii="Garamond" w:hAnsi="Garamond"/>
          <w:sz w:val="24"/>
        </w:rPr>
        <w:t>parágrafo</w:t>
      </w:r>
      <w:r w:rsidRPr="00395593">
        <w:rPr>
          <w:rFonts w:ascii="Garamond" w:hAnsi="Garamond"/>
          <w:spacing w:val="-1"/>
          <w:sz w:val="24"/>
        </w:rPr>
        <w:t xml:space="preserve"> </w:t>
      </w:r>
      <w:r w:rsidRPr="00395593">
        <w:rPr>
          <w:rFonts w:ascii="Garamond" w:hAnsi="Garamond"/>
          <w:sz w:val="24"/>
        </w:rPr>
        <w:t>1 do Artigo VI do anexo</w:t>
      </w:r>
      <w:r w:rsidRPr="00395593">
        <w:rPr>
          <w:rFonts w:ascii="Garamond" w:hAnsi="Garamond"/>
          <w:spacing w:val="2"/>
          <w:sz w:val="24"/>
        </w:rPr>
        <w:t xml:space="preserve"> </w:t>
      </w:r>
      <w:r w:rsidRPr="00395593">
        <w:rPr>
          <w:rFonts w:ascii="Garamond" w:hAnsi="Garamond"/>
          <w:sz w:val="24"/>
        </w:rPr>
        <w:t>I</w:t>
      </w:r>
      <w:r w:rsidRPr="00395593">
        <w:rPr>
          <w:rFonts w:ascii="Garamond" w:hAnsi="Garamond"/>
          <w:spacing w:val="-6"/>
          <w:sz w:val="24"/>
        </w:rPr>
        <w:t xml:space="preserve"> </w:t>
      </w:r>
      <w:r w:rsidRPr="00395593">
        <w:rPr>
          <w:rFonts w:ascii="Garamond" w:hAnsi="Garamond"/>
          <w:sz w:val="24"/>
        </w:rPr>
        <w:t>ao</w:t>
      </w:r>
      <w:r w:rsidRPr="00395593">
        <w:rPr>
          <w:rFonts w:ascii="Garamond" w:hAnsi="Garamond"/>
          <w:spacing w:val="2"/>
          <w:sz w:val="24"/>
        </w:rPr>
        <w:t xml:space="preserve"> </w:t>
      </w:r>
      <w:r w:rsidRPr="00395593">
        <w:rPr>
          <w:rFonts w:ascii="Garamond" w:hAnsi="Garamond"/>
          <w:sz w:val="24"/>
        </w:rPr>
        <w:t>GATT 1994.</w:t>
      </w:r>
    </w:p>
    <w:p w14:paraId="043ECDF5" w14:textId="77777777" w:rsidR="0013285C" w:rsidRPr="00395593" w:rsidRDefault="0013285C" w:rsidP="0013285C">
      <w:pPr>
        <w:pStyle w:val="Corpodetexto"/>
        <w:rPr>
          <w:rFonts w:ascii="Garamond" w:hAnsi="Garamond"/>
        </w:rPr>
      </w:pPr>
    </w:p>
    <w:p w14:paraId="1AD72D8B" w14:textId="1701EBDA" w:rsidR="00D3137B" w:rsidRPr="005C5CBD" w:rsidRDefault="0013285C" w:rsidP="005F7A3B">
      <w:pPr>
        <w:pStyle w:val="Corpodetexto"/>
        <w:spacing w:line="360" w:lineRule="auto"/>
        <w:jc w:val="center"/>
        <w:rPr>
          <w:rFonts w:ascii="Garamond" w:hAnsi="Garamond"/>
          <w:b/>
        </w:rPr>
      </w:pPr>
      <w:r w:rsidRPr="005C5CBD">
        <w:rPr>
          <w:rFonts w:ascii="Garamond" w:hAnsi="Garamond"/>
          <w:b/>
        </w:rPr>
        <w:t>Artigo 3</w:t>
      </w:r>
    </w:p>
    <w:p w14:paraId="786FE8DF" w14:textId="2272C5F4" w:rsidR="0013285C" w:rsidRPr="005C5CBD" w:rsidRDefault="0013285C" w:rsidP="005F7A3B">
      <w:pPr>
        <w:pStyle w:val="Corpodetexto"/>
        <w:spacing w:line="360" w:lineRule="auto"/>
        <w:jc w:val="center"/>
        <w:rPr>
          <w:rFonts w:ascii="Garamond" w:hAnsi="Garamond"/>
          <w:b/>
        </w:rPr>
      </w:pPr>
      <w:r w:rsidRPr="005C5CBD">
        <w:rPr>
          <w:rFonts w:ascii="Garamond" w:hAnsi="Garamond"/>
          <w:b/>
        </w:rPr>
        <w:t>Determinação de Dano 9</w:t>
      </w:r>
    </w:p>
    <w:p w14:paraId="2820E0E2" w14:textId="77777777" w:rsidR="005F7A3B" w:rsidRPr="005C5CBD" w:rsidRDefault="005F7A3B" w:rsidP="005F7A3B">
      <w:pPr>
        <w:pStyle w:val="Corpodetexto"/>
        <w:rPr>
          <w:rFonts w:ascii="Garamond" w:hAnsi="Garamond"/>
          <w:b/>
        </w:rPr>
      </w:pPr>
    </w:p>
    <w:p w14:paraId="7845AE0A" w14:textId="77777777" w:rsidR="0013285C" w:rsidRPr="00395593" w:rsidRDefault="0013285C" w:rsidP="002C4340">
      <w:pPr>
        <w:pStyle w:val="PargrafodaLista"/>
        <w:widowControl w:val="0"/>
        <w:numPr>
          <w:ilvl w:val="0"/>
          <w:numId w:val="23"/>
        </w:numPr>
        <w:tabs>
          <w:tab w:val="left" w:pos="810"/>
        </w:tabs>
        <w:autoSpaceDE w:val="0"/>
        <w:autoSpaceDN w:val="0"/>
        <w:spacing w:after="0" w:line="240" w:lineRule="auto"/>
        <w:ind w:right="120" w:firstLine="0"/>
        <w:contextualSpacing w:val="0"/>
        <w:jc w:val="both"/>
        <w:rPr>
          <w:rFonts w:ascii="Garamond" w:hAnsi="Garamond"/>
          <w:sz w:val="24"/>
        </w:rPr>
      </w:pPr>
      <w:r w:rsidRPr="00395593">
        <w:rPr>
          <w:rFonts w:ascii="Garamond" w:hAnsi="Garamond"/>
          <w:sz w:val="24"/>
        </w:rPr>
        <w:t>A determinação de dano para as finalidades previstas no Artigo VI do GATT 1994</w:t>
      </w:r>
      <w:r w:rsidRPr="00395593">
        <w:rPr>
          <w:rFonts w:ascii="Garamond" w:hAnsi="Garamond"/>
          <w:spacing w:val="1"/>
          <w:sz w:val="24"/>
        </w:rPr>
        <w:t xml:space="preserve"> </w:t>
      </w:r>
      <w:r w:rsidRPr="00395593">
        <w:rPr>
          <w:rFonts w:ascii="Garamond" w:hAnsi="Garamond"/>
          <w:sz w:val="24"/>
        </w:rPr>
        <w:t>deverá</w:t>
      </w:r>
      <w:r w:rsidRPr="00395593">
        <w:rPr>
          <w:rFonts w:ascii="Garamond" w:hAnsi="Garamond"/>
          <w:spacing w:val="1"/>
          <w:sz w:val="24"/>
        </w:rPr>
        <w:t xml:space="preserve"> </w:t>
      </w:r>
      <w:r w:rsidRPr="00395593">
        <w:rPr>
          <w:rFonts w:ascii="Garamond" w:hAnsi="Garamond"/>
          <w:sz w:val="24"/>
        </w:rPr>
        <w:t>basear-se</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provas</w:t>
      </w:r>
      <w:r w:rsidRPr="00395593">
        <w:rPr>
          <w:rFonts w:ascii="Garamond" w:hAnsi="Garamond"/>
          <w:spacing w:val="1"/>
          <w:sz w:val="24"/>
        </w:rPr>
        <w:t xml:space="preserve"> </w:t>
      </w:r>
      <w:r w:rsidRPr="00395593">
        <w:rPr>
          <w:rFonts w:ascii="Garamond" w:hAnsi="Garamond"/>
          <w:sz w:val="24"/>
        </w:rPr>
        <w:t>materiais</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incluir</w:t>
      </w:r>
      <w:r w:rsidRPr="00395593">
        <w:rPr>
          <w:rFonts w:ascii="Garamond" w:hAnsi="Garamond"/>
          <w:spacing w:val="1"/>
          <w:sz w:val="24"/>
        </w:rPr>
        <w:t xml:space="preserve"> </w:t>
      </w:r>
      <w:r w:rsidRPr="00395593">
        <w:rPr>
          <w:rFonts w:ascii="Garamond" w:hAnsi="Garamond"/>
          <w:sz w:val="24"/>
        </w:rPr>
        <w:t>exame</w:t>
      </w:r>
      <w:r w:rsidRPr="00395593">
        <w:rPr>
          <w:rFonts w:ascii="Garamond" w:hAnsi="Garamond"/>
          <w:spacing w:val="1"/>
          <w:sz w:val="24"/>
        </w:rPr>
        <w:t xml:space="preserve"> </w:t>
      </w:r>
      <w:r w:rsidRPr="00395593">
        <w:rPr>
          <w:rFonts w:ascii="Garamond" w:hAnsi="Garamond"/>
          <w:sz w:val="24"/>
        </w:rPr>
        <w:t>objetivo:</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volume</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 xml:space="preserve">importações a preços de </w:t>
      </w:r>
      <w:r w:rsidRPr="00395593">
        <w:rPr>
          <w:rFonts w:ascii="Garamond" w:hAnsi="Garamond"/>
          <w:i/>
          <w:sz w:val="24"/>
        </w:rPr>
        <w:t xml:space="preserve">dumping </w:t>
      </w:r>
      <w:r w:rsidRPr="00395593">
        <w:rPr>
          <w:rFonts w:ascii="Garamond" w:hAnsi="Garamond"/>
          <w:sz w:val="24"/>
        </w:rPr>
        <w:t>e do seu efeito sobre os preços de produtos similares no</w:t>
      </w:r>
      <w:r w:rsidRPr="00395593">
        <w:rPr>
          <w:rFonts w:ascii="Garamond" w:hAnsi="Garamond"/>
          <w:spacing w:val="1"/>
          <w:sz w:val="24"/>
        </w:rPr>
        <w:t xml:space="preserve"> </w:t>
      </w:r>
      <w:r w:rsidRPr="00395593">
        <w:rPr>
          <w:rFonts w:ascii="Garamond" w:hAnsi="Garamond"/>
          <w:sz w:val="24"/>
        </w:rPr>
        <w:t>mercado interno e (b) do</w:t>
      </w:r>
      <w:r w:rsidRPr="00395593">
        <w:rPr>
          <w:rFonts w:ascii="Garamond" w:hAnsi="Garamond"/>
          <w:spacing w:val="1"/>
          <w:sz w:val="24"/>
        </w:rPr>
        <w:t xml:space="preserve"> </w:t>
      </w:r>
      <w:r w:rsidRPr="00395593">
        <w:rPr>
          <w:rFonts w:ascii="Garamond" w:hAnsi="Garamond"/>
          <w:sz w:val="24"/>
        </w:rPr>
        <w:t>conseqüente</w:t>
      </w:r>
      <w:r w:rsidRPr="00395593">
        <w:rPr>
          <w:rFonts w:ascii="Garamond" w:hAnsi="Garamond"/>
          <w:spacing w:val="1"/>
          <w:sz w:val="24"/>
        </w:rPr>
        <w:t xml:space="preserve"> </w:t>
      </w:r>
      <w:r w:rsidRPr="00395593">
        <w:rPr>
          <w:rFonts w:ascii="Garamond" w:hAnsi="Garamond"/>
          <w:sz w:val="24"/>
        </w:rPr>
        <w:t>impacto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tais</w:t>
      </w:r>
      <w:r w:rsidRPr="00395593">
        <w:rPr>
          <w:rFonts w:ascii="Garamond" w:hAnsi="Garamond"/>
          <w:spacing w:val="1"/>
          <w:sz w:val="24"/>
        </w:rPr>
        <w:t xml:space="preserve"> </w:t>
      </w:r>
      <w:r w:rsidRPr="00395593">
        <w:rPr>
          <w:rFonts w:ascii="Garamond" w:hAnsi="Garamond"/>
          <w:sz w:val="24"/>
        </w:rPr>
        <w:t>importações</w:t>
      </w:r>
      <w:r w:rsidRPr="00395593">
        <w:rPr>
          <w:rFonts w:ascii="Garamond" w:hAnsi="Garamond"/>
          <w:spacing w:val="1"/>
          <w:sz w:val="24"/>
        </w:rPr>
        <w:t xml:space="preserve"> </w:t>
      </w:r>
      <w:r w:rsidRPr="00395593">
        <w:rPr>
          <w:rFonts w:ascii="Garamond" w:hAnsi="Garamond"/>
          <w:sz w:val="24"/>
        </w:rPr>
        <w:t>sobre</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produtores</w:t>
      </w:r>
      <w:r w:rsidRPr="00395593">
        <w:rPr>
          <w:rFonts w:ascii="Garamond" w:hAnsi="Garamond"/>
          <w:spacing w:val="-57"/>
          <w:sz w:val="24"/>
        </w:rPr>
        <w:t xml:space="preserve"> </w:t>
      </w:r>
      <w:r w:rsidRPr="00395593">
        <w:rPr>
          <w:rFonts w:ascii="Garamond" w:hAnsi="Garamond"/>
          <w:sz w:val="24"/>
        </w:rPr>
        <w:t>nacionais</w:t>
      </w:r>
      <w:r w:rsidRPr="00395593">
        <w:rPr>
          <w:rFonts w:ascii="Garamond" w:hAnsi="Garamond"/>
          <w:spacing w:val="-1"/>
          <w:sz w:val="24"/>
        </w:rPr>
        <w:t xml:space="preserve"> </w:t>
      </w:r>
      <w:r w:rsidRPr="00395593">
        <w:rPr>
          <w:rFonts w:ascii="Garamond" w:hAnsi="Garamond"/>
          <w:sz w:val="24"/>
        </w:rPr>
        <w:t>desses produtos.</w:t>
      </w:r>
    </w:p>
    <w:p w14:paraId="2432BFBA" w14:textId="342B0788" w:rsidR="0013285C" w:rsidRDefault="0013285C" w:rsidP="0013285C">
      <w:pPr>
        <w:pStyle w:val="Corpodetexto"/>
        <w:rPr>
          <w:rFonts w:ascii="Garamond" w:hAnsi="Garamond"/>
          <w:sz w:val="20"/>
        </w:rPr>
      </w:pPr>
    </w:p>
    <w:p w14:paraId="71CCA918" w14:textId="75F2458D" w:rsidR="00FE4A64" w:rsidRDefault="00FE4A64" w:rsidP="0013285C">
      <w:pPr>
        <w:pStyle w:val="Corpodetexto"/>
        <w:rPr>
          <w:rFonts w:ascii="Garamond" w:hAnsi="Garamond"/>
          <w:sz w:val="20"/>
        </w:rPr>
      </w:pPr>
    </w:p>
    <w:p w14:paraId="6A632696" w14:textId="48AA8F1F" w:rsidR="00FE4A64" w:rsidRDefault="00FE4A64" w:rsidP="0013285C">
      <w:pPr>
        <w:pStyle w:val="Corpodetexto"/>
        <w:rPr>
          <w:rFonts w:ascii="Garamond" w:hAnsi="Garamond"/>
          <w:sz w:val="20"/>
        </w:rPr>
      </w:pPr>
    </w:p>
    <w:p w14:paraId="5241728D" w14:textId="578C9D4F" w:rsidR="00FE4A64" w:rsidRDefault="00FE4A64" w:rsidP="0013285C">
      <w:pPr>
        <w:pStyle w:val="Corpodetexto"/>
        <w:rPr>
          <w:rFonts w:ascii="Garamond" w:hAnsi="Garamond"/>
          <w:sz w:val="20"/>
        </w:rPr>
      </w:pPr>
    </w:p>
    <w:p w14:paraId="487BD257" w14:textId="77777777" w:rsidR="00FE4A64" w:rsidRPr="00395593" w:rsidRDefault="00FE4A64" w:rsidP="0013285C">
      <w:pPr>
        <w:pStyle w:val="Corpodetexto"/>
        <w:rPr>
          <w:rFonts w:ascii="Garamond" w:hAnsi="Garamond"/>
          <w:sz w:val="20"/>
        </w:rPr>
      </w:pPr>
    </w:p>
    <w:p w14:paraId="49F2136B" w14:textId="77777777" w:rsidR="0013285C" w:rsidRPr="00395593" w:rsidRDefault="0013285C" w:rsidP="0013285C">
      <w:pPr>
        <w:pStyle w:val="Corpodetexto"/>
        <w:rPr>
          <w:rFonts w:ascii="Garamond" w:hAnsi="Garamond"/>
          <w:sz w:val="20"/>
        </w:rPr>
      </w:pPr>
    </w:p>
    <w:p w14:paraId="66DFC955" w14:textId="0DE5BEC7" w:rsidR="0013285C" w:rsidRPr="00395593" w:rsidRDefault="0013285C" w:rsidP="0013285C">
      <w:pPr>
        <w:pStyle w:val="Corpodetexto"/>
        <w:rPr>
          <w:rFonts w:ascii="Garamond" w:hAnsi="Garamond"/>
          <w:sz w:val="11"/>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42" behindDoc="1" locked="0" layoutInCell="1" allowOverlap="1" wp14:anchorId="4DEC6CFD" wp14:editId="041DFFAA">
                <wp:simplePos x="0" y="0"/>
                <wp:positionH relativeFrom="page">
                  <wp:posOffset>1080770</wp:posOffset>
                </wp:positionH>
                <wp:positionV relativeFrom="paragraph">
                  <wp:posOffset>95885</wp:posOffset>
                </wp:positionV>
                <wp:extent cx="1828800" cy="7620"/>
                <wp:effectExtent l="4445" t="4445" r="0" b="0"/>
                <wp:wrapTopAndBottom/>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8FF20" id="Retângulo 19" o:spid="_x0000_s1026" style="position:absolute;margin-left:85.1pt;margin-top:7.55pt;width:2in;height:.6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aBfgIAAPw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" fillcolor="black" stroked="f">
                <w10:wrap type="topAndBottom" anchorx="page"/>
              </v:rect>
            </w:pict>
          </mc:Fallback>
        </mc:AlternateContent>
      </w:r>
    </w:p>
    <w:p w14:paraId="323BBD70" w14:textId="2747F8C1" w:rsidR="00F362DF" w:rsidRPr="00395593" w:rsidRDefault="0013285C" w:rsidP="0013285C">
      <w:pPr>
        <w:spacing w:before="103"/>
        <w:ind w:left="102"/>
        <w:rPr>
          <w:rFonts w:ascii="Garamond" w:hAnsi="Garamond"/>
          <w:sz w:val="20"/>
        </w:rPr>
      </w:pPr>
      <w:r w:rsidRPr="00395593">
        <w:rPr>
          <w:rFonts w:ascii="Garamond" w:hAnsi="Garamond"/>
          <w:sz w:val="20"/>
          <w:vertAlign w:val="superscript"/>
        </w:rPr>
        <w:t>9</w:t>
      </w:r>
      <w:r w:rsidRPr="00395593">
        <w:rPr>
          <w:rFonts w:ascii="Garamond" w:hAnsi="Garamond"/>
          <w:spacing w:val="-3"/>
          <w:sz w:val="20"/>
        </w:rPr>
        <w:t xml:space="preserve"> </w:t>
      </w:r>
      <w:r w:rsidRPr="00395593">
        <w:rPr>
          <w:rFonts w:ascii="Garamond" w:hAnsi="Garamond"/>
          <w:sz w:val="20"/>
        </w:rPr>
        <w:t>Para</w:t>
      </w:r>
      <w:r w:rsidRPr="00395593">
        <w:rPr>
          <w:rFonts w:ascii="Garamond" w:hAnsi="Garamond"/>
          <w:spacing w:val="-2"/>
          <w:sz w:val="20"/>
        </w:rPr>
        <w:t xml:space="preserve"> </w:t>
      </w:r>
      <w:r w:rsidRPr="00395593">
        <w:rPr>
          <w:rFonts w:ascii="Garamond" w:hAnsi="Garamond"/>
          <w:sz w:val="20"/>
        </w:rPr>
        <w:t>os</w:t>
      </w:r>
      <w:r w:rsidRPr="00395593">
        <w:rPr>
          <w:rFonts w:ascii="Garamond" w:hAnsi="Garamond"/>
          <w:spacing w:val="-3"/>
          <w:sz w:val="20"/>
        </w:rPr>
        <w:t xml:space="preserve"> </w:t>
      </w:r>
      <w:r w:rsidRPr="00395593">
        <w:rPr>
          <w:rFonts w:ascii="Garamond" w:hAnsi="Garamond"/>
          <w:sz w:val="20"/>
        </w:rPr>
        <w:t>efeitos</w:t>
      </w:r>
      <w:r w:rsidRPr="00395593">
        <w:rPr>
          <w:rFonts w:ascii="Garamond" w:hAnsi="Garamond"/>
          <w:spacing w:val="-3"/>
          <w:sz w:val="20"/>
        </w:rPr>
        <w:t xml:space="preserve"> </w:t>
      </w:r>
      <w:r w:rsidRPr="00395593">
        <w:rPr>
          <w:rFonts w:ascii="Garamond" w:hAnsi="Garamond"/>
          <w:sz w:val="20"/>
        </w:rPr>
        <w:t>deste</w:t>
      </w:r>
      <w:r w:rsidRPr="00395593">
        <w:rPr>
          <w:rFonts w:ascii="Garamond" w:hAnsi="Garamond"/>
          <w:spacing w:val="-3"/>
          <w:sz w:val="20"/>
        </w:rPr>
        <w:t xml:space="preserve"> </w:t>
      </w:r>
      <w:r w:rsidRPr="00395593">
        <w:rPr>
          <w:rFonts w:ascii="Garamond" w:hAnsi="Garamond"/>
          <w:sz w:val="20"/>
        </w:rPr>
        <w:t>acordo</w:t>
      </w:r>
      <w:r w:rsidRPr="00395593">
        <w:rPr>
          <w:rFonts w:ascii="Garamond" w:hAnsi="Garamond"/>
          <w:spacing w:val="-6"/>
          <w:sz w:val="20"/>
        </w:rPr>
        <w:t xml:space="preserve"> </w:t>
      </w:r>
      <w:r w:rsidRPr="00395593">
        <w:rPr>
          <w:rFonts w:ascii="Garamond" w:hAnsi="Garamond"/>
          <w:sz w:val="20"/>
        </w:rPr>
        <w:t>o</w:t>
      </w:r>
      <w:r w:rsidRPr="00395593">
        <w:rPr>
          <w:rFonts w:ascii="Garamond" w:hAnsi="Garamond"/>
          <w:spacing w:val="-1"/>
          <w:sz w:val="20"/>
        </w:rPr>
        <w:t xml:space="preserve"> </w:t>
      </w:r>
      <w:r w:rsidRPr="00395593">
        <w:rPr>
          <w:rFonts w:ascii="Garamond" w:hAnsi="Garamond"/>
          <w:sz w:val="20"/>
        </w:rPr>
        <w:t>termo</w:t>
      </w:r>
      <w:r w:rsidRPr="00395593">
        <w:rPr>
          <w:rFonts w:ascii="Garamond" w:hAnsi="Garamond"/>
          <w:spacing w:val="1"/>
          <w:sz w:val="20"/>
        </w:rPr>
        <w:t xml:space="preserve"> </w:t>
      </w:r>
      <w:r w:rsidRPr="00395593">
        <w:rPr>
          <w:rFonts w:ascii="Garamond" w:hAnsi="Garamond"/>
          <w:sz w:val="20"/>
        </w:rPr>
        <w:t>“dano”</w:t>
      </w:r>
      <w:r w:rsidRPr="00395593">
        <w:rPr>
          <w:rFonts w:ascii="Garamond" w:hAnsi="Garamond"/>
          <w:spacing w:val="46"/>
          <w:sz w:val="20"/>
        </w:rPr>
        <w:t xml:space="preserve"> </w:t>
      </w:r>
      <w:r w:rsidRPr="00395593">
        <w:rPr>
          <w:rFonts w:ascii="Garamond" w:hAnsi="Garamond"/>
          <w:sz w:val="20"/>
        </w:rPr>
        <w:t>deve</w:t>
      </w:r>
      <w:r w:rsidRPr="00395593">
        <w:rPr>
          <w:rFonts w:ascii="Garamond" w:hAnsi="Garamond"/>
          <w:spacing w:val="-2"/>
          <w:sz w:val="20"/>
        </w:rPr>
        <w:t xml:space="preserve"> </w:t>
      </w:r>
      <w:r w:rsidRPr="00395593">
        <w:rPr>
          <w:rFonts w:ascii="Garamond" w:hAnsi="Garamond"/>
          <w:sz w:val="20"/>
        </w:rPr>
        <w:t>ser</w:t>
      </w:r>
      <w:r w:rsidRPr="00395593">
        <w:rPr>
          <w:rFonts w:ascii="Garamond" w:hAnsi="Garamond"/>
          <w:spacing w:val="-1"/>
          <w:sz w:val="20"/>
        </w:rPr>
        <w:t xml:space="preserve"> </w:t>
      </w:r>
      <w:r w:rsidRPr="00395593">
        <w:rPr>
          <w:rFonts w:ascii="Garamond" w:hAnsi="Garamond"/>
          <w:sz w:val="20"/>
        </w:rPr>
        <w:t>entendido</w:t>
      </w:r>
      <w:r w:rsidRPr="00395593">
        <w:rPr>
          <w:rFonts w:ascii="Garamond" w:hAnsi="Garamond"/>
          <w:spacing w:val="-1"/>
          <w:sz w:val="20"/>
        </w:rPr>
        <w:t xml:space="preserve"> </w:t>
      </w:r>
      <w:r w:rsidRPr="00395593">
        <w:rPr>
          <w:rFonts w:ascii="Garamond" w:hAnsi="Garamond"/>
          <w:sz w:val="20"/>
        </w:rPr>
        <w:t>como</w:t>
      </w:r>
      <w:r w:rsidRPr="00395593">
        <w:rPr>
          <w:rFonts w:ascii="Garamond" w:hAnsi="Garamond"/>
          <w:spacing w:val="-2"/>
          <w:sz w:val="20"/>
        </w:rPr>
        <w:t xml:space="preserve"> </w:t>
      </w:r>
      <w:r w:rsidRPr="00395593">
        <w:rPr>
          <w:rFonts w:ascii="Garamond" w:hAnsi="Garamond"/>
          <w:sz w:val="20"/>
        </w:rPr>
        <w:t>dano</w:t>
      </w:r>
      <w:r w:rsidRPr="00395593">
        <w:rPr>
          <w:rFonts w:ascii="Garamond" w:hAnsi="Garamond"/>
          <w:spacing w:val="1"/>
          <w:sz w:val="20"/>
        </w:rPr>
        <w:t xml:space="preserve"> </w:t>
      </w:r>
      <w:r w:rsidRPr="00395593">
        <w:rPr>
          <w:rFonts w:ascii="Garamond" w:hAnsi="Garamond"/>
          <w:sz w:val="20"/>
        </w:rPr>
        <w:t>material</w:t>
      </w:r>
      <w:r w:rsidRPr="00395593">
        <w:rPr>
          <w:rFonts w:ascii="Garamond" w:hAnsi="Garamond"/>
          <w:spacing w:val="-3"/>
          <w:sz w:val="20"/>
        </w:rPr>
        <w:t xml:space="preserve"> </w:t>
      </w:r>
      <w:r w:rsidRPr="00395593">
        <w:rPr>
          <w:rFonts w:ascii="Garamond" w:hAnsi="Garamond"/>
          <w:sz w:val="20"/>
        </w:rPr>
        <w:t>causado</w:t>
      </w:r>
      <w:r w:rsidRPr="00395593">
        <w:rPr>
          <w:rFonts w:ascii="Garamond" w:hAnsi="Garamond"/>
          <w:spacing w:val="-1"/>
          <w:sz w:val="20"/>
        </w:rPr>
        <w:t xml:space="preserve"> </w:t>
      </w:r>
      <w:r w:rsidRPr="00395593">
        <w:rPr>
          <w:rFonts w:ascii="Garamond" w:hAnsi="Garamond"/>
          <w:sz w:val="20"/>
        </w:rPr>
        <w:t>a</w:t>
      </w:r>
      <w:r w:rsidRPr="00395593">
        <w:rPr>
          <w:rFonts w:ascii="Garamond" w:hAnsi="Garamond"/>
          <w:spacing w:val="-2"/>
          <w:sz w:val="20"/>
        </w:rPr>
        <w:t xml:space="preserve"> </w:t>
      </w:r>
      <w:r w:rsidRPr="00395593">
        <w:rPr>
          <w:rFonts w:ascii="Garamond" w:hAnsi="Garamond"/>
          <w:sz w:val="20"/>
        </w:rPr>
        <w:t>uma</w:t>
      </w:r>
      <w:r w:rsidRPr="00395593">
        <w:rPr>
          <w:rFonts w:ascii="Garamond" w:hAnsi="Garamond"/>
          <w:spacing w:val="-2"/>
          <w:sz w:val="20"/>
        </w:rPr>
        <w:t xml:space="preserve"> </w:t>
      </w:r>
      <w:r w:rsidRPr="00395593">
        <w:rPr>
          <w:rFonts w:ascii="Garamond" w:hAnsi="Garamond"/>
          <w:sz w:val="20"/>
        </w:rPr>
        <w:t>indústria</w:t>
      </w:r>
      <w:r w:rsidRPr="00395593">
        <w:rPr>
          <w:rFonts w:ascii="Garamond" w:hAnsi="Garamond"/>
          <w:spacing w:val="-47"/>
          <w:sz w:val="20"/>
        </w:rPr>
        <w:t xml:space="preserve"> </w:t>
      </w:r>
      <w:r w:rsidRPr="00395593">
        <w:rPr>
          <w:rFonts w:ascii="Garamond" w:hAnsi="Garamond"/>
          <w:sz w:val="20"/>
        </w:rPr>
        <w:t>nacional, ameaça de dano material a uma indústria nacional ou atraso real na implantação de tal indústria, e</w:t>
      </w:r>
      <w:r w:rsidRPr="00395593">
        <w:rPr>
          <w:rFonts w:ascii="Garamond" w:hAnsi="Garamond"/>
          <w:spacing w:val="1"/>
          <w:sz w:val="20"/>
        </w:rPr>
        <w:t xml:space="preserve"> </w:t>
      </w:r>
      <w:r w:rsidRPr="00395593">
        <w:rPr>
          <w:rFonts w:ascii="Garamond" w:hAnsi="Garamond"/>
          <w:sz w:val="20"/>
        </w:rPr>
        <w:t>deverá</w:t>
      </w:r>
      <w:r w:rsidRPr="00395593">
        <w:rPr>
          <w:rFonts w:ascii="Garamond" w:hAnsi="Garamond"/>
          <w:spacing w:val="-1"/>
          <w:sz w:val="20"/>
        </w:rPr>
        <w:t xml:space="preserve"> </w:t>
      </w:r>
      <w:r w:rsidRPr="00395593">
        <w:rPr>
          <w:rFonts w:ascii="Garamond" w:hAnsi="Garamond"/>
          <w:sz w:val="20"/>
        </w:rPr>
        <w:t>ser interpretado</w:t>
      </w:r>
      <w:r w:rsidRPr="00395593">
        <w:rPr>
          <w:rFonts w:ascii="Garamond" w:hAnsi="Garamond"/>
          <w:spacing w:val="1"/>
          <w:sz w:val="20"/>
        </w:rPr>
        <w:t xml:space="preserve"> </w:t>
      </w:r>
      <w:r w:rsidRPr="00395593">
        <w:rPr>
          <w:rFonts w:ascii="Garamond" w:hAnsi="Garamond"/>
          <w:sz w:val="20"/>
        </w:rPr>
        <w:t>de acordo com</w:t>
      </w:r>
      <w:r w:rsidRPr="00395593">
        <w:rPr>
          <w:rFonts w:ascii="Garamond" w:hAnsi="Garamond"/>
          <w:spacing w:val="-4"/>
          <w:sz w:val="20"/>
        </w:rPr>
        <w:t xml:space="preserve"> </w:t>
      </w:r>
      <w:r w:rsidRPr="00395593">
        <w:rPr>
          <w:rFonts w:ascii="Garamond" w:hAnsi="Garamond"/>
          <w:sz w:val="20"/>
        </w:rPr>
        <w:t>o</w:t>
      </w:r>
      <w:r w:rsidRPr="00395593">
        <w:rPr>
          <w:rFonts w:ascii="Garamond" w:hAnsi="Garamond"/>
          <w:spacing w:val="1"/>
          <w:sz w:val="20"/>
        </w:rPr>
        <w:t xml:space="preserve"> </w:t>
      </w:r>
      <w:r w:rsidRPr="00395593">
        <w:rPr>
          <w:rFonts w:ascii="Garamond" w:hAnsi="Garamond"/>
          <w:sz w:val="20"/>
        </w:rPr>
        <w:t>disposto</w:t>
      </w:r>
      <w:r w:rsidRPr="00395593">
        <w:rPr>
          <w:rFonts w:ascii="Garamond" w:hAnsi="Garamond"/>
          <w:spacing w:val="1"/>
          <w:sz w:val="20"/>
        </w:rPr>
        <w:t xml:space="preserve"> </w:t>
      </w:r>
      <w:r w:rsidRPr="00395593">
        <w:rPr>
          <w:rFonts w:ascii="Garamond" w:hAnsi="Garamond"/>
          <w:sz w:val="20"/>
        </w:rPr>
        <w:t>neste</w:t>
      </w:r>
      <w:r w:rsidRPr="00395593">
        <w:rPr>
          <w:rFonts w:ascii="Garamond" w:hAnsi="Garamond"/>
          <w:spacing w:val="1"/>
          <w:sz w:val="20"/>
        </w:rPr>
        <w:t xml:space="preserve"> </w:t>
      </w:r>
      <w:r w:rsidRPr="00395593">
        <w:rPr>
          <w:rFonts w:ascii="Garamond" w:hAnsi="Garamond"/>
          <w:sz w:val="20"/>
        </w:rPr>
        <w:t>Artigo.</w:t>
      </w:r>
    </w:p>
    <w:p w14:paraId="66A6CB24" w14:textId="06E44B6E" w:rsidR="0013285C" w:rsidRPr="00395593" w:rsidRDefault="00F362DF" w:rsidP="002C4340">
      <w:pPr>
        <w:pStyle w:val="PargrafodaLista"/>
        <w:widowControl w:val="0"/>
        <w:numPr>
          <w:ilvl w:val="0"/>
          <w:numId w:val="23"/>
        </w:numPr>
        <w:tabs>
          <w:tab w:val="left" w:pos="810"/>
        </w:tabs>
        <w:autoSpaceDE w:val="0"/>
        <w:autoSpaceDN w:val="0"/>
        <w:spacing w:after="0" w:line="240" w:lineRule="auto"/>
        <w:ind w:right="120" w:firstLine="0"/>
        <w:contextualSpacing w:val="0"/>
        <w:jc w:val="both"/>
        <w:rPr>
          <w:rFonts w:ascii="Garamond" w:hAnsi="Garamond"/>
          <w:sz w:val="24"/>
        </w:rPr>
      </w:pPr>
      <w:r w:rsidRPr="00395593">
        <w:rPr>
          <w:rFonts w:ascii="Garamond" w:hAnsi="Garamond"/>
          <w:sz w:val="20"/>
        </w:rPr>
        <w:br w:type="page"/>
      </w:r>
      <w:r w:rsidR="0013285C" w:rsidRPr="00395593">
        <w:rPr>
          <w:rFonts w:ascii="Garamond" w:hAnsi="Garamond"/>
          <w:sz w:val="24"/>
        </w:rPr>
        <w:t xml:space="preserve">No tocante ao volume das importações a preços de </w:t>
      </w:r>
      <w:r w:rsidR="0013285C" w:rsidRPr="00395593">
        <w:rPr>
          <w:rFonts w:ascii="Garamond" w:hAnsi="Garamond"/>
          <w:i/>
          <w:sz w:val="24"/>
        </w:rPr>
        <w:t>dumping</w:t>
      </w:r>
      <w:r w:rsidR="0013285C" w:rsidRPr="00395593">
        <w:rPr>
          <w:rFonts w:ascii="Garamond" w:hAnsi="Garamond"/>
          <w:sz w:val="24"/>
        </w:rPr>
        <w:t>, as autoridades deverão</w:t>
      </w:r>
      <w:r w:rsidR="0013285C" w:rsidRPr="00395593">
        <w:rPr>
          <w:rFonts w:ascii="Garamond" w:hAnsi="Garamond"/>
          <w:spacing w:val="1"/>
          <w:sz w:val="24"/>
        </w:rPr>
        <w:t xml:space="preserve"> </w:t>
      </w:r>
      <w:r w:rsidR="0013285C" w:rsidRPr="00395593">
        <w:rPr>
          <w:rFonts w:ascii="Garamond" w:hAnsi="Garamond"/>
          <w:sz w:val="24"/>
        </w:rPr>
        <w:t>ponderar</w:t>
      </w:r>
      <w:r w:rsidR="0013285C" w:rsidRPr="00395593">
        <w:rPr>
          <w:rFonts w:ascii="Garamond" w:hAnsi="Garamond"/>
          <w:spacing w:val="1"/>
          <w:sz w:val="24"/>
        </w:rPr>
        <w:t xml:space="preserve"> </w:t>
      </w:r>
      <w:r w:rsidR="0013285C" w:rsidRPr="00395593">
        <w:rPr>
          <w:rFonts w:ascii="Garamond" w:hAnsi="Garamond"/>
          <w:sz w:val="24"/>
        </w:rPr>
        <w:t>se</w:t>
      </w:r>
      <w:r w:rsidR="0013285C" w:rsidRPr="00395593">
        <w:rPr>
          <w:rFonts w:ascii="Garamond" w:hAnsi="Garamond"/>
          <w:spacing w:val="1"/>
          <w:sz w:val="24"/>
        </w:rPr>
        <w:t xml:space="preserve"> </w:t>
      </w:r>
      <w:r w:rsidR="0013285C" w:rsidRPr="00395593">
        <w:rPr>
          <w:rFonts w:ascii="Garamond" w:hAnsi="Garamond"/>
          <w:sz w:val="24"/>
        </w:rPr>
        <w:t>houve</w:t>
      </w:r>
      <w:r w:rsidR="0013285C" w:rsidRPr="00395593">
        <w:rPr>
          <w:rFonts w:ascii="Garamond" w:hAnsi="Garamond"/>
          <w:spacing w:val="1"/>
          <w:sz w:val="24"/>
        </w:rPr>
        <w:t xml:space="preserve"> </w:t>
      </w:r>
      <w:r w:rsidR="0013285C" w:rsidRPr="00395593">
        <w:rPr>
          <w:rFonts w:ascii="Garamond" w:hAnsi="Garamond"/>
          <w:sz w:val="24"/>
        </w:rPr>
        <w:t>aumento</w:t>
      </w:r>
      <w:r w:rsidR="0013285C" w:rsidRPr="00395593">
        <w:rPr>
          <w:rFonts w:ascii="Garamond" w:hAnsi="Garamond"/>
          <w:spacing w:val="1"/>
          <w:sz w:val="24"/>
        </w:rPr>
        <w:t xml:space="preserve"> </w:t>
      </w:r>
      <w:r w:rsidR="0013285C" w:rsidRPr="00395593">
        <w:rPr>
          <w:rFonts w:ascii="Garamond" w:hAnsi="Garamond"/>
          <w:sz w:val="24"/>
        </w:rPr>
        <w:t>significativo</w:t>
      </w:r>
      <w:r w:rsidR="0013285C" w:rsidRPr="00395593">
        <w:rPr>
          <w:rFonts w:ascii="Garamond" w:hAnsi="Garamond"/>
          <w:spacing w:val="1"/>
          <w:sz w:val="24"/>
        </w:rPr>
        <w:t xml:space="preserve"> </w:t>
      </w:r>
      <w:r w:rsidR="0013285C" w:rsidRPr="00395593">
        <w:rPr>
          <w:rFonts w:ascii="Garamond" w:hAnsi="Garamond"/>
          <w:sz w:val="24"/>
        </w:rPr>
        <w:t>das</w:t>
      </w:r>
      <w:r w:rsidR="0013285C" w:rsidRPr="00395593">
        <w:rPr>
          <w:rFonts w:ascii="Garamond" w:hAnsi="Garamond"/>
          <w:spacing w:val="1"/>
          <w:sz w:val="24"/>
        </w:rPr>
        <w:t xml:space="preserve"> </w:t>
      </w:r>
      <w:r w:rsidR="0013285C" w:rsidRPr="00395593">
        <w:rPr>
          <w:rFonts w:ascii="Garamond" w:hAnsi="Garamond"/>
          <w:sz w:val="24"/>
        </w:rPr>
        <w:t>importações</w:t>
      </w:r>
      <w:r w:rsidR="0013285C" w:rsidRPr="00395593">
        <w:rPr>
          <w:rFonts w:ascii="Garamond" w:hAnsi="Garamond"/>
          <w:spacing w:val="1"/>
          <w:sz w:val="24"/>
        </w:rPr>
        <w:t xml:space="preserve"> </w:t>
      </w:r>
      <w:r w:rsidR="0013285C" w:rsidRPr="00395593">
        <w:rPr>
          <w:rFonts w:ascii="Garamond" w:hAnsi="Garamond"/>
          <w:sz w:val="24"/>
        </w:rPr>
        <w:t>nessas</w:t>
      </w:r>
      <w:r w:rsidR="0013285C" w:rsidRPr="00395593">
        <w:rPr>
          <w:rFonts w:ascii="Garamond" w:hAnsi="Garamond"/>
          <w:spacing w:val="1"/>
          <w:sz w:val="24"/>
        </w:rPr>
        <w:t xml:space="preserve"> </w:t>
      </w:r>
      <w:r w:rsidR="0013285C" w:rsidRPr="00395593">
        <w:rPr>
          <w:rFonts w:ascii="Garamond" w:hAnsi="Garamond"/>
          <w:sz w:val="24"/>
        </w:rPr>
        <w:t>condições,</w:t>
      </w:r>
      <w:r w:rsidR="0013285C" w:rsidRPr="00395593">
        <w:rPr>
          <w:rFonts w:ascii="Garamond" w:hAnsi="Garamond"/>
          <w:spacing w:val="1"/>
          <w:sz w:val="24"/>
        </w:rPr>
        <w:t xml:space="preserve"> </w:t>
      </w:r>
      <w:r w:rsidR="0013285C" w:rsidRPr="00395593">
        <w:rPr>
          <w:rFonts w:ascii="Garamond" w:hAnsi="Garamond"/>
          <w:sz w:val="24"/>
        </w:rPr>
        <w:t>tanto</w:t>
      </w:r>
      <w:r w:rsidR="0013285C" w:rsidRPr="00395593">
        <w:rPr>
          <w:rFonts w:ascii="Garamond" w:hAnsi="Garamond"/>
          <w:spacing w:val="60"/>
          <w:sz w:val="24"/>
        </w:rPr>
        <w:t xml:space="preserve"> </w:t>
      </w:r>
      <w:r w:rsidR="0013285C" w:rsidRPr="00395593">
        <w:rPr>
          <w:rFonts w:ascii="Garamond" w:hAnsi="Garamond"/>
          <w:sz w:val="24"/>
        </w:rPr>
        <w:t>em</w:t>
      </w:r>
      <w:r w:rsidR="0013285C" w:rsidRPr="00395593">
        <w:rPr>
          <w:rFonts w:ascii="Garamond" w:hAnsi="Garamond"/>
          <w:spacing w:val="1"/>
          <w:sz w:val="24"/>
        </w:rPr>
        <w:t xml:space="preserve"> </w:t>
      </w:r>
      <w:r w:rsidR="0013285C" w:rsidRPr="00395593">
        <w:rPr>
          <w:rFonts w:ascii="Garamond" w:hAnsi="Garamond"/>
          <w:sz w:val="24"/>
        </w:rPr>
        <w:t>termos absolutos quanto em relação à produção ou ao consumo no Membro importador.</w:t>
      </w:r>
      <w:r w:rsidR="0013285C" w:rsidRPr="00395593">
        <w:rPr>
          <w:rFonts w:ascii="Garamond" w:hAnsi="Garamond"/>
          <w:spacing w:val="1"/>
          <w:sz w:val="24"/>
        </w:rPr>
        <w:t xml:space="preserve"> </w:t>
      </w:r>
      <w:r w:rsidR="0013285C" w:rsidRPr="00395593">
        <w:rPr>
          <w:rFonts w:ascii="Garamond" w:hAnsi="Garamond"/>
          <w:sz w:val="24"/>
        </w:rPr>
        <w:t xml:space="preserve">Com relação ao efeito das importações a preços de </w:t>
      </w:r>
      <w:r w:rsidR="0013285C" w:rsidRPr="00395593">
        <w:rPr>
          <w:rFonts w:ascii="Garamond" w:hAnsi="Garamond"/>
          <w:i/>
          <w:sz w:val="24"/>
        </w:rPr>
        <w:t xml:space="preserve">dumping </w:t>
      </w:r>
      <w:r w:rsidR="0013285C" w:rsidRPr="00395593">
        <w:rPr>
          <w:rFonts w:ascii="Garamond" w:hAnsi="Garamond"/>
          <w:sz w:val="24"/>
        </w:rPr>
        <w:t>sobre os preços, as autoridades</w:t>
      </w:r>
      <w:r w:rsidR="0013285C" w:rsidRPr="00395593">
        <w:rPr>
          <w:rFonts w:ascii="Garamond" w:hAnsi="Garamond"/>
          <w:spacing w:val="-57"/>
          <w:sz w:val="24"/>
        </w:rPr>
        <w:t xml:space="preserve"> </w:t>
      </w:r>
      <w:r w:rsidR="0013285C" w:rsidRPr="00395593">
        <w:rPr>
          <w:rFonts w:ascii="Garamond" w:hAnsi="Garamond"/>
          <w:sz w:val="24"/>
        </w:rPr>
        <w:t>encarregadas da investigação deverão levar em conta se os preços dos produtos importados</w:t>
      </w:r>
      <w:r w:rsidR="0013285C" w:rsidRPr="00395593">
        <w:rPr>
          <w:rFonts w:ascii="Garamond" w:hAnsi="Garamond"/>
          <w:spacing w:val="1"/>
          <w:sz w:val="24"/>
        </w:rPr>
        <w:t xml:space="preserve"> </w:t>
      </w:r>
      <w:r w:rsidR="0013285C" w:rsidRPr="00395593">
        <w:rPr>
          <w:rFonts w:ascii="Garamond" w:hAnsi="Garamond"/>
          <w:sz w:val="24"/>
        </w:rPr>
        <w:t>a</w:t>
      </w:r>
      <w:r w:rsidR="0013285C" w:rsidRPr="00395593">
        <w:rPr>
          <w:rFonts w:ascii="Garamond" w:hAnsi="Garamond"/>
          <w:spacing w:val="1"/>
          <w:sz w:val="24"/>
        </w:rPr>
        <w:t xml:space="preserve"> </w:t>
      </w:r>
      <w:r w:rsidR="0013285C" w:rsidRPr="00395593">
        <w:rPr>
          <w:rFonts w:ascii="Garamond" w:hAnsi="Garamond"/>
          <w:sz w:val="24"/>
        </w:rPr>
        <w:t>preços</w:t>
      </w:r>
      <w:r w:rsidR="0013285C" w:rsidRPr="00395593">
        <w:rPr>
          <w:rFonts w:ascii="Garamond" w:hAnsi="Garamond"/>
          <w:spacing w:val="1"/>
          <w:sz w:val="24"/>
        </w:rPr>
        <w:t xml:space="preserve"> </w:t>
      </w:r>
      <w:r w:rsidR="0013285C" w:rsidRPr="00395593">
        <w:rPr>
          <w:rFonts w:ascii="Garamond" w:hAnsi="Garamond"/>
          <w:sz w:val="24"/>
        </w:rPr>
        <w:t>de</w:t>
      </w:r>
      <w:r w:rsidR="0013285C" w:rsidRPr="00395593">
        <w:rPr>
          <w:rFonts w:ascii="Garamond" w:hAnsi="Garamond"/>
          <w:spacing w:val="1"/>
          <w:sz w:val="24"/>
        </w:rPr>
        <w:t xml:space="preserve"> </w:t>
      </w:r>
      <w:r w:rsidR="0013285C" w:rsidRPr="00395593">
        <w:rPr>
          <w:rFonts w:ascii="Garamond" w:hAnsi="Garamond"/>
          <w:i/>
          <w:sz w:val="24"/>
        </w:rPr>
        <w:t>dumping</w:t>
      </w:r>
      <w:r w:rsidR="0013285C" w:rsidRPr="00395593">
        <w:rPr>
          <w:rFonts w:ascii="Garamond" w:hAnsi="Garamond"/>
          <w:i/>
          <w:spacing w:val="1"/>
          <w:sz w:val="24"/>
        </w:rPr>
        <w:t xml:space="preserve"> </w:t>
      </w:r>
      <w:r w:rsidR="0013285C" w:rsidRPr="00395593">
        <w:rPr>
          <w:rFonts w:ascii="Garamond" w:hAnsi="Garamond"/>
          <w:sz w:val="24"/>
        </w:rPr>
        <w:t>são</w:t>
      </w:r>
      <w:r w:rsidR="0013285C" w:rsidRPr="00395593">
        <w:rPr>
          <w:rFonts w:ascii="Garamond" w:hAnsi="Garamond"/>
          <w:spacing w:val="1"/>
          <w:sz w:val="24"/>
        </w:rPr>
        <w:t xml:space="preserve"> </w:t>
      </w:r>
      <w:r w:rsidR="0013285C" w:rsidRPr="00395593">
        <w:rPr>
          <w:rFonts w:ascii="Garamond" w:hAnsi="Garamond"/>
          <w:sz w:val="24"/>
        </w:rPr>
        <w:t>significativamente</w:t>
      </w:r>
      <w:r w:rsidR="0013285C" w:rsidRPr="00395593">
        <w:rPr>
          <w:rFonts w:ascii="Garamond" w:hAnsi="Garamond"/>
          <w:spacing w:val="1"/>
          <w:sz w:val="24"/>
        </w:rPr>
        <w:t xml:space="preserve"> </w:t>
      </w:r>
      <w:r w:rsidR="0013285C" w:rsidRPr="00395593">
        <w:rPr>
          <w:rFonts w:ascii="Garamond" w:hAnsi="Garamond"/>
          <w:sz w:val="24"/>
        </w:rPr>
        <w:t>menores</w:t>
      </w:r>
      <w:r w:rsidR="0013285C" w:rsidRPr="00395593">
        <w:rPr>
          <w:rFonts w:ascii="Garamond" w:hAnsi="Garamond"/>
          <w:spacing w:val="1"/>
          <w:sz w:val="24"/>
        </w:rPr>
        <w:t xml:space="preserve"> </w:t>
      </w:r>
      <w:r w:rsidR="0013285C" w:rsidRPr="00395593">
        <w:rPr>
          <w:rFonts w:ascii="Garamond" w:hAnsi="Garamond"/>
          <w:sz w:val="24"/>
        </w:rPr>
        <w:t>do</w:t>
      </w:r>
      <w:r w:rsidR="0013285C" w:rsidRPr="00395593">
        <w:rPr>
          <w:rFonts w:ascii="Garamond" w:hAnsi="Garamond"/>
          <w:spacing w:val="1"/>
          <w:sz w:val="24"/>
        </w:rPr>
        <w:t xml:space="preserve"> </w:t>
      </w:r>
      <w:r w:rsidR="0013285C" w:rsidRPr="00395593">
        <w:rPr>
          <w:rFonts w:ascii="Garamond" w:hAnsi="Garamond"/>
          <w:sz w:val="24"/>
        </w:rPr>
        <w:t>que</w:t>
      </w:r>
      <w:r w:rsidR="0013285C" w:rsidRPr="00395593">
        <w:rPr>
          <w:rFonts w:ascii="Garamond" w:hAnsi="Garamond"/>
          <w:spacing w:val="1"/>
          <w:sz w:val="24"/>
        </w:rPr>
        <w:t xml:space="preserve"> </w:t>
      </w:r>
      <w:r w:rsidR="0013285C" w:rsidRPr="00395593">
        <w:rPr>
          <w:rFonts w:ascii="Garamond" w:hAnsi="Garamond"/>
          <w:sz w:val="24"/>
        </w:rPr>
        <w:t>os</w:t>
      </w:r>
      <w:r w:rsidR="0013285C" w:rsidRPr="00395593">
        <w:rPr>
          <w:rFonts w:ascii="Garamond" w:hAnsi="Garamond"/>
          <w:spacing w:val="1"/>
          <w:sz w:val="24"/>
        </w:rPr>
        <w:t xml:space="preserve"> </w:t>
      </w:r>
      <w:r w:rsidR="0013285C" w:rsidRPr="00395593">
        <w:rPr>
          <w:rFonts w:ascii="Garamond" w:hAnsi="Garamond"/>
          <w:sz w:val="24"/>
        </w:rPr>
        <w:t>preços</w:t>
      </w:r>
      <w:r w:rsidR="0013285C" w:rsidRPr="00395593">
        <w:rPr>
          <w:rFonts w:ascii="Garamond" w:hAnsi="Garamond"/>
          <w:spacing w:val="1"/>
          <w:sz w:val="24"/>
        </w:rPr>
        <w:t xml:space="preserve"> </w:t>
      </w:r>
      <w:r w:rsidR="0013285C" w:rsidRPr="00395593">
        <w:rPr>
          <w:rFonts w:ascii="Garamond" w:hAnsi="Garamond"/>
          <w:sz w:val="24"/>
        </w:rPr>
        <w:t>dos</w:t>
      </w:r>
      <w:r w:rsidR="0013285C" w:rsidRPr="00395593">
        <w:rPr>
          <w:rFonts w:ascii="Garamond" w:hAnsi="Garamond"/>
          <w:spacing w:val="1"/>
          <w:sz w:val="24"/>
        </w:rPr>
        <w:t xml:space="preserve"> </w:t>
      </w:r>
      <w:r w:rsidR="0013285C" w:rsidRPr="00395593">
        <w:rPr>
          <w:rFonts w:ascii="Garamond" w:hAnsi="Garamond"/>
          <w:sz w:val="24"/>
        </w:rPr>
        <w:t>produtos</w:t>
      </w:r>
      <w:r w:rsidR="0013285C" w:rsidRPr="00395593">
        <w:rPr>
          <w:rFonts w:ascii="Garamond" w:hAnsi="Garamond"/>
          <w:spacing w:val="1"/>
          <w:sz w:val="24"/>
        </w:rPr>
        <w:t xml:space="preserve"> </w:t>
      </w:r>
      <w:r w:rsidR="0013285C" w:rsidRPr="00395593">
        <w:rPr>
          <w:rFonts w:ascii="Garamond" w:hAnsi="Garamond"/>
          <w:sz w:val="24"/>
        </w:rPr>
        <w:t>similares no Membro importador ou ainda se tais importações tiveram por efeito deprimir</w:t>
      </w:r>
      <w:r w:rsidR="0013285C" w:rsidRPr="00395593">
        <w:rPr>
          <w:rFonts w:ascii="Garamond" w:hAnsi="Garamond"/>
          <w:spacing w:val="1"/>
          <w:sz w:val="24"/>
        </w:rPr>
        <w:t xml:space="preserve"> </w:t>
      </w:r>
      <w:r w:rsidR="0013285C" w:rsidRPr="00395593">
        <w:rPr>
          <w:rFonts w:ascii="Garamond" w:hAnsi="Garamond"/>
          <w:sz w:val="24"/>
        </w:rPr>
        <w:t>significativamente</w:t>
      </w:r>
      <w:r w:rsidR="0013285C" w:rsidRPr="00395593">
        <w:rPr>
          <w:rFonts w:ascii="Garamond" w:hAnsi="Garamond"/>
          <w:spacing w:val="1"/>
          <w:sz w:val="24"/>
        </w:rPr>
        <w:t xml:space="preserve"> </w:t>
      </w:r>
      <w:r w:rsidR="0013285C" w:rsidRPr="00395593">
        <w:rPr>
          <w:rFonts w:ascii="Garamond" w:hAnsi="Garamond"/>
          <w:sz w:val="24"/>
        </w:rPr>
        <w:t>os</w:t>
      </w:r>
      <w:r w:rsidR="0013285C" w:rsidRPr="00395593">
        <w:rPr>
          <w:rFonts w:ascii="Garamond" w:hAnsi="Garamond"/>
          <w:spacing w:val="1"/>
          <w:sz w:val="24"/>
        </w:rPr>
        <w:t xml:space="preserve"> </w:t>
      </w:r>
      <w:r w:rsidR="0013285C" w:rsidRPr="00395593">
        <w:rPr>
          <w:rFonts w:ascii="Garamond" w:hAnsi="Garamond"/>
          <w:sz w:val="24"/>
        </w:rPr>
        <w:t>preços</w:t>
      </w:r>
      <w:r w:rsidR="0013285C" w:rsidRPr="00395593">
        <w:rPr>
          <w:rFonts w:ascii="Garamond" w:hAnsi="Garamond"/>
          <w:spacing w:val="1"/>
          <w:sz w:val="24"/>
        </w:rPr>
        <w:t xml:space="preserve"> </w:t>
      </w:r>
      <w:r w:rsidR="0013285C" w:rsidRPr="00395593">
        <w:rPr>
          <w:rFonts w:ascii="Garamond" w:hAnsi="Garamond"/>
          <w:sz w:val="24"/>
        </w:rPr>
        <w:t>ou</w:t>
      </w:r>
      <w:r w:rsidR="0013285C" w:rsidRPr="00395593">
        <w:rPr>
          <w:rFonts w:ascii="Garamond" w:hAnsi="Garamond"/>
          <w:spacing w:val="1"/>
          <w:sz w:val="24"/>
        </w:rPr>
        <w:t xml:space="preserve"> </w:t>
      </w:r>
      <w:r w:rsidR="0013285C" w:rsidRPr="00395593">
        <w:rPr>
          <w:rFonts w:ascii="Garamond" w:hAnsi="Garamond"/>
          <w:sz w:val="24"/>
        </w:rPr>
        <w:t>impedir</w:t>
      </w:r>
      <w:r w:rsidR="0013285C" w:rsidRPr="00395593">
        <w:rPr>
          <w:rFonts w:ascii="Garamond" w:hAnsi="Garamond"/>
          <w:spacing w:val="1"/>
          <w:sz w:val="24"/>
        </w:rPr>
        <w:t xml:space="preserve"> </w:t>
      </w:r>
      <w:r w:rsidR="0013285C" w:rsidRPr="00395593">
        <w:rPr>
          <w:rFonts w:ascii="Garamond" w:hAnsi="Garamond"/>
          <w:sz w:val="24"/>
        </w:rPr>
        <w:t>aumentos</w:t>
      </w:r>
      <w:r w:rsidR="0013285C" w:rsidRPr="00395593">
        <w:rPr>
          <w:rFonts w:ascii="Garamond" w:hAnsi="Garamond"/>
          <w:spacing w:val="1"/>
          <w:sz w:val="24"/>
        </w:rPr>
        <w:t xml:space="preserve"> </w:t>
      </w:r>
      <w:r w:rsidR="0013285C" w:rsidRPr="00395593">
        <w:rPr>
          <w:rFonts w:ascii="Garamond" w:hAnsi="Garamond"/>
          <w:sz w:val="24"/>
        </w:rPr>
        <w:t>significativos</w:t>
      </w:r>
      <w:r w:rsidR="0013285C" w:rsidRPr="00395593">
        <w:rPr>
          <w:rFonts w:ascii="Garamond" w:hAnsi="Garamond"/>
          <w:spacing w:val="1"/>
          <w:sz w:val="24"/>
        </w:rPr>
        <w:t xml:space="preserve"> </w:t>
      </w:r>
      <w:r w:rsidR="0013285C" w:rsidRPr="00395593">
        <w:rPr>
          <w:rFonts w:ascii="Garamond" w:hAnsi="Garamond"/>
          <w:sz w:val="24"/>
        </w:rPr>
        <w:t>de</w:t>
      </w:r>
      <w:r w:rsidR="0013285C" w:rsidRPr="00395593">
        <w:rPr>
          <w:rFonts w:ascii="Garamond" w:hAnsi="Garamond"/>
          <w:spacing w:val="1"/>
          <w:sz w:val="24"/>
        </w:rPr>
        <w:t xml:space="preserve"> </w:t>
      </w:r>
      <w:r w:rsidR="0013285C" w:rsidRPr="00395593">
        <w:rPr>
          <w:rFonts w:ascii="Garamond" w:hAnsi="Garamond"/>
          <w:sz w:val="24"/>
        </w:rPr>
        <w:t>preços</w:t>
      </w:r>
      <w:r w:rsidR="0013285C" w:rsidRPr="00395593">
        <w:rPr>
          <w:rFonts w:ascii="Garamond" w:hAnsi="Garamond"/>
          <w:spacing w:val="1"/>
          <w:sz w:val="24"/>
        </w:rPr>
        <w:t xml:space="preserve"> </w:t>
      </w:r>
      <w:r w:rsidR="0013285C" w:rsidRPr="00395593">
        <w:rPr>
          <w:rFonts w:ascii="Garamond" w:hAnsi="Garamond"/>
          <w:sz w:val="24"/>
        </w:rPr>
        <w:t>que</w:t>
      </w:r>
      <w:r w:rsidR="0013285C" w:rsidRPr="00395593">
        <w:rPr>
          <w:rFonts w:ascii="Garamond" w:hAnsi="Garamond"/>
          <w:spacing w:val="1"/>
          <w:sz w:val="24"/>
        </w:rPr>
        <w:t xml:space="preserve"> </w:t>
      </w:r>
      <w:r w:rsidR="0013285C" w:rsidRPr="00395593">
        <w:rPr>
          <w:rFonts w:ascii="Garamond" w:hAnsi="Garamond"/>
          <w:sz w:val="24"/>
        </w:rPr>
        <w:t>teriam</w:t>
      </w:r>
      <w:r w:rsidR="0013285C" w:rsidRPr="00395593">
        <w:rPr>
          <w:rFonts w:ascii="Garamond" w:hAnsi="Garamond"/>
          <w:spacing w:val="-57"/>
          <w:sz w:val="24"/>
        </w:rPr>
        <w:t xml:space="preserve"> </w:t>
      </w:r>
      <w:r w:rsidR="0013285C" w:rsidRPr="00395593">
        <w:rPr>
          <w:rFonts w:ascii="Garamond" w:hAnsi="Garamond"/>
          <w:sz w:val="24"/>
        </w:rPr>
        <w:t>ocorrido na ausência de tais importações. Nem Isoladamente, nem em conjunto, porém,</w:t>
      </w:r>
      <w:r w:rsidR="0013285C" w:rsidRPr="00395593">
        <w:rPr>
          <w:rFonts w:ascii="Garamond" w:hAnsi="Garamond"/>
          <w:spacing w:val="1"/>
          <w:sz w:val="24"/>
        </w:rPr>
        <w:t xml:space="preserve"> </w:t>
      </w:r>
      <w:r w:rsidR="0013285C" w:rsidRPr="00395593">
        <w:rPr>
          <w:rFonts w:ascii="Garamond" w:hAnsi="Garamond"/>
          <w:sz w:val="24"/>
        </w:rPr>
        <w:t>deverão</w:t>
      </w:r>
      <w:r w:rsidR="0013285C" w:rsidRPr="00395593">
        <w:rPr>
          <w:rFonts w:ascii="Garamond" w:hAnsi="Garamond"/>
          <w:spacing w:val="-1"/>
          <w:sz w:val="24"/>
        </w:rPr>
        <w:t xml:space="preserve"> </w:t>
      </w:r>
      <w:r w:rsidR="0013285C" w:rsidRPr="00395593">
        <w:rPr>
          <w:rFonts w:ascii="Garamond" w:hAnsi="Garamond"/>
          <w:sz w:val="24"/>
        </w:rPr>
        <w:t>tais fatores</w:t>
      </w:r>
      <w:r w:rsidR="0013285C" w:rsidRPr="00395593">
        <w:rPr>
          <w:rFonts w:ascii="Garamond" w:hAnsi="Garamond"/>
          <w:spacing w:val="-1"/>
          <w:sz w:val="24"/>
        </w:rPr>
        <w:t xml:space="preserve"> </w:t>
      </w:r>
      <w:r w:rsidR="0013285C" w:rsidRPr="00395593">
        <w:rPr>
          <w:rFonts w:ascii="Garamond" w:hAnsi="Garamond"/>
          <w:sz w:val="24"/>
        </w:rPr>
        <w:t>ser</w:t>
      </w:r>
      <w:r w:rsidR="0013285C" w:rsidRPr="00395593">
        <w:rPr>
          <w:rFonts w:ascii="Garamond" w:hAnsi="Garamond"/>
          <w:spacing w:val="57"/>
          <w:sz w:val="24"/>
        </w:rPr>
        <w:t xml:space="preserve"> </w:t>
      </w:r>
      <w:r w:rsidR="0013285C" w:rsidRPr="00395593">
        <w:rPr>
          <w:rFonts w:ascii="Garamond" w:hAnsi="Garamond"/>
          <w:sz w:val="24"/>
        </w:rPr>
        <w:t>considerados necessariamente</w:t>
      </w:r>
      <w:r w:rsidR="0013285C" w:rsidRPr="00395593">
        <w:rPr>
          <w:rFonts w:ascii="Garamond" w:hAnsi="Garamond"/>
          <w:spacing w:val="-1"/>
          <w:sz w:val="24"/>
        </w:rPr>
        <w:t xml:space="preserve"> </w:t>
      </w:r>
      <w:r w:rsidR="0013285C" w:rsidRPr="00395593">
        <w:rPr>
          <w:rFonts w:ascii="Garamond" w:hAnsi="Garamond"/>
          <w:sz w:val="24"/>
        </w:rPr>
        <w:t>como</w:t>
      </w:r>
      <w:r w:rsidR="0013285C" w:rsidRPr="00395593">
        <w:rPr>
          <w:rFonts w:ascii="Garamond" w:hAnsi="Garamond"/>
          <w:spacing w:val="-1"/>
          <w:sz w:val="24"/>
        </w:rPr>
        <w:t xml:space="preserve"> </w:t>
      </w:r>
      <w:r w:rsidR="0013285C" w:rsidRPr="00395593">
        <w:rPr>
          <w:rFonts w:ascii="Garamond" w:hAnsi="Garamond"/>
          <w:sz w:val="24"/>
        </w:rPr>
        <w:t>indicação decisiva.</w:t>
      </w:r>
    </w:p>
    <w:p w14:paraId="27CC0171" w14:textId="77777777" w:rsidR="0013285C" w:rsidRPr="00395593" w:rsidRDefault="0013285C" w:rsidP="0013285C">
      <w:pPr>
        <w:pStyle w:val="Corpodetexto"/>
        <w:rPr>
          <w:rFonts w:ascii="Garamond" w:hAnsi="Garamond"/>
        </w:rPr>
      </w:pPr>
    </w:p>
    <w:p w14:paraId="58600BF7" w14:textId="77777777" w:rsidR="0013285C" w:rsidRPr="00395593" w:rsidRDefault="0013285C" w:rsidP="002C4340">
      <w:pPr>
        <w:pStyle w:val="PargrafodaLista"/>
        <w:widowControl w:val="0"/>
        <w:numPr>
          <w:ilvl w:val="0"/>
          <w:numId w:val="23"/>
        </w:numPr>
        <w:tabs>
          <w:tab w:val="left" w:pos="810"/>
        </w:tabs>
        <w:autoSpaceDE w:val="0"/>
        <w:autoSpaceDN w:val="0"/>
        <w:spacing w:after="0" w:line="240" w:lineRule="auto"/>
        <w:ind w:right="118" w:firstLine="0"/>
        <w:contextualSpacing w:val="0"/>
        <w:jc w:val="both"/>
        <w:rPr>
          <w:rFonts w:ascii="Garamond" w:hAnsi="Garamond"/>
          <w:sz w:val="24"/>
        </w:rPr>
      </w:pPr>
      <w:r w:rsidRPr="00395593">
        <w:rPr>
          <w:rFonts w:ascii="Garamond" w:hAnsi="Garamond"/>
          <w:sz w:val="24"/>
        </w:rPr>
        <w:t>Se as importações de um produto provenientes de mais de um país forem objeto de</w:t>
      </w:r>
      <w:r w:rsidRPr="00395593">
        <w:rPr>
          <w:rFonts w:ascii="Garamond" w:hAnsi="Garamond"/>
          <w:spacing w:val="1"/>
          <w:sz w:val="24"/>
        </w:rPr>
        <w:t xml:space="preserve"> </w:t>
      </w:r>
      <w:r w:rsidRPr="00395593">
        <w:rPr>
          <w:rFonts w:ascii="Garamond" w:hAnsi="Garamond"/>
          <w:sz w:val="24"/>
        </w:rPr>
        <w:t>investigações</w:t>
      </w:r>
      <w:r w:rsidRPr="00395593">
        <w:rPr>
          <w:rFonts w:ascii="Garamond" w:hAnsi="Garamond"/>
          <w:spacing w:val="1"/>
          <w:sz w:val="24"/>
        </w:rPr>
        <w:t xml:space="preserve"> </w:t>
      </w:r>
      <w:r w:rsidRPr="00395593">
        <w:rPr>
          <w:rFonts w:ascii="Garamond" w:hAnsi="Garamond"/>
          <w:sz w:val="24"/>
        </w:rPr>
        <w:t>anti-</w:t>
      </w:r>
      <w:r w:rsidRPr="00395593">
        <w:rPr>
          <w:rFonts w:ascii="Garamond" w:hAnsi="Garamond"/>
          <w:i/>
          <w:sz w:val="24"/>
        </w:rPr>
        <w:t>dumping</w:t>
      </w:r>
      <w:r w:rsidRPr="00395593">
        <w:rPr>
          <w:rFonts w:ascii="Garamond" w:hAnsi="Garamond"/>
          <w:i/>
          <w:spacing w:val="1"/>
          <w:sz w:val="24"/>
        </w:rPr>
        <w:t xml:space="preserve"> </w:t>
      </w:r>
      <w:r w:rsidRPr="00395593">
        <w:rPr>
          <w:rFonts w:ascii="Garamond" w:hAnsi="Garamond"/>
          <w:sz w:val="24"/>
        </w:rPr>
        <w:t>simultâneas,</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responsáveis</w:t>
      </w:r>
      <w:r w:rsidRPr="00395593">
        <w:rPr>
          <w:rFonts w:ascii="Garamond" w:hAnsi="Garamond"/>
          <w:spacing w:val="1"/>
          <w:sz w:val="24"/>
        </w:rPr>
        <w:t xml:space="preserve"> </w:t>
      </w:r>
      <w:r w:rsidRPr="00395593">
        <w:rPr>
          <w:rFonts w:ascii="Garamond" w:hAnsi="Garamond"/>
          <w:sz w:val="24"/>
        </w:rPr>
        <w:t>pela</w:t>
      </w:r>
      <w:r w:rsidRPr="00395593">
        <w:rPr>
          <w:rFonts w:ascii="Garamond" w:hAnsi="Garamond"/>
          <w:spacing w:val="1"/>
          <w:sz w:val="24"/>
        </w:rPr>
        <w:t xml:space="preserve"> </w:t>
      </w:r>
      <w:r w:rsidRPr="00395593">
        <w:rPr>
          <w:rFonts w:ascii="Garamond" w:hAnsi="Garamond"/>
          <w:sz w:val="24"/>
        </w:rPr>
        <w:t>investigação</w:t>
      </w:r>
      <w:r w:rsidRPr="00395593">
        <w:rPr>
          <w:rFonts w:ascii="Garamond" w:hAnsi="Garamond"/>
          <w:spacing w:val="1"/>
          <w:sz w:val="24"/>
        </w:rPr>
        <w:t xml:space="preserve"> </w:t>
      </w:r>
      <w:r w:rsidRPr="00395593">
        <w:rPr>
          <w:rFonts w:ascii="Garamond" w:hAnsi="Garamond"/>
          <w:sz w:val="24"/>
        </w:rPr>
        <w:t>semente poderão determinar cumulativamente os efeitos de tais importações se se verificar</w:t>
      </w:r>
      <w:r w:rsidRPr="00395593">
        <w:rPr>
          <w:rFonts w:ascii="Garamond" w:hAnsi="Garamond"/>
          <w:spacing w:val="1"/>
          <w:sz w:val="24"/>
        </w:rPr>
        <w:t xml:space="preserve"> </w:t>
      </w:r>
      <w:r w:rsidRPr="00395593">
        <w:rPr>
          <w:rFonts w:ascii="Garamond" w:hAnsi="Garamond"/>
          <w:sz w:val="24"/>
        </w:rPr>
        <w:t xml:space="preserve">que: (a) a margem de </w:t>
      </w:r>
      <w:r w:rsidRPr="00395593">
        <w:rPr>
          <w:rFonts w:ascii="Garamond" w:hAnsi="Garamond"/>
          <w:i/>
          <w:sz w:val="24"/>
        </w:rPr>
        <w:t xml:space="preserve">dumping </w:t>
      </w:r>
      <w:r w:rsidRPr="00395593">
        <w:rPr>
          <w:rFonts w:ascii="Garamond" w:hAnsi="Garamond"/>
          <w:sz w:val="24"/>
        </w:rPr>
        <w:t>determinada em relação às importações de cada um dos</w:t>
      </w:r>
      <w:r w:rsidRPr="00395593">
        <w:rPr>
          <w:rFonts w:ascii="Garamond" w:hAnsi="Garamond"/>
          <w:spacing w:val="1"/>
          <w:sz w:val="24"/>
        </w:rPr>
        <w:t xml:space="preserve"> </w:t>
      </w:r>
      <w:r w:rsidRPr="00395593">
        <w:rPr>
          <w:rFonts w:ascii="Garamond" w:hAnsi="Garamond"/>
          <w:sz w:val="24"/>
        </w:rPr>
        <w:t>países</w:t>
      </w:r>
      <w:r w:rsidRPr="00395593">
        <w:rPr>
          <w:rFonts w:ascii="Garamond" w:hAnsi="Garamond"/>
          <w:spacing w:val="1"/>
          <w:sz w:val="24"/>
        </w:rPr>
        <w:t xml:space="preserve"> </w:t>
      </w:r>
      <w:r w:rsidRPr="00395593">
        <w:rPr>
          <w:rFonts w:ascii="Garamond" w:hAnsi="Garamond"/>
          <w:sz w:val="24"/>
        </w:rPr>
        <w:t xml:space="preserve">é maior do que a margem </w:t>
      </w:r>
      <w:r w:rsidRPr="00395593">
        <w:rPr>
          <w:rFonts w:ascii="Garamond" w:hAnsi="Garamond"/>
          <w:i/>
          <w:sz w:val="24"/>
        </w:rPr>
        <w:t>de minimis</w:t>
      </w:r>
      <w:r w:rsidRPr="00395593">
        <w:rPr>
          <w:rFonts w:ascii="Garamond" w:hAnsi="Garamond"/>
          <w:sz w:val="24"/>
        </w:rPr>
        <w:t>, como definida no parágrafo 8 do Artigo 5, e</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volume</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importações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cada</w:t>
      </w:r>
      <w:r w:rsidRPr="00395593">
        <w:rPr>
          <w:rFonts w:ascii="Garamond" w:hAnsi="Garamond"/>
          <w:spacing w:val="1"/>
          <w:sz w:val="24"/>
        </w:rPr>
        <w:t xml:space="preserve"> </w:t>
      </w:r>
      <w:r w:rsidRPr="00395593">
        <w:rPr>
          <w:rFonts w:ascii="Garamond" w:hAnsi="Garamond"/>
          <w:sz w:val="24"/>
        </w:rPr>
        <w:t>país</w:t>
      </w:r>
      <w:r w:rsidRPr="00395593">
        <w:rPr>
          <w:rFonts w:ascii="Garamond" w:hAnsi="Garamond"/>
          <w:spacing w:val="1"/>
          <w:sz w:val="24"/>
        </w:rPr>
        <w:t xml:space="preserve"> </w:t>
      </w:r>
      <w:r w:rsidRPr="00395593">
        <w:rPr>
          <w:rFonts w:ascii="Garamond" w:hAnsi="Garamond"/>
          <w:sz w:val="24"/>
        </w:rPr>
        <w:t>não</w:t>
      </w:r>
      <w:r w:rsidRPr="00395593">
        <w:rPr>
          <w:rFonts w:ascii="Garamond" w:hAnsi="Garamond"/>
          <w:spacing w:val="1"/>
          <w:sz w:val="24"/>
        </w:rPr>
        <w:t xml:space="preserve"> </w:t>
      </w:r>
      <w:r w:rsidRPr="00395593">
        <w:rPr>
          <w:rFonts w:ascii="Garamond" w:hAnsi="Garamond"/>
          <w:sz w:val="24"/>
        </w:rPr>
        <w:t>é</w:t>
      </w:r>
      <w:r w:rsidRPr="00395593">
        <w:rPr>
          <w:rFonts w:ascii="Garamond" w:hAnsi="Garamond"/>
          <w:spacing w:val="1"/>
          <w:sz w:val="24"/>
        </w:rPr>
        <w:t xml:space="preserve"> </w:t>
      </w:r>
      <w:r w:rsidRPr="00395593">
        <w:rPr>
          <w:rFonts w:ascii="Garamond" w:hAnsi="Garamond"/>
          <w:sz w:val="24"/>
        </w:rPr>
        <w:t>negligenciável;</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(b)</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avaliação</w:t>
      </w:r>
      <w:r w:rsidRPr="00395593">
        <w:rPr>
          <w:rFonts w:ascii="Garamond" w:hAnsi="Garamond"/>
          <w:spacing w:val="1"/>
          <w:sz w:val="24"/>
        </w:rPr>
        <w:t xml:space="preserve"> </w:t>
      </w:r>
      <w:r w:rsidRPr="00395593">
        <w:rPr>
          <w:rFonts w:ascii="Garamond" w:hAnsi="Garamond"/>
          <w:sz w:val="24"/>
        </w:rPr>
        <w:t>cumulativa dos efeitos daquelas importações é conveniente em vista da concorrência entre</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diferentes</w:t>
      </w:r>
      <w:r w:rsidRPr="00395593">
        <w:rPr>
          <w:rFonts w:ascii="Garamond" w:hAnsi="Garamond"/>
          <w:spacing w:val="1"/>
          <w:sz w:val="24"/>
        </w:rPr>
        <w:t xml:space="preserve"> </w:t>
      </w:r>
      <w:r w:rsidRPr="00395593">
        <w:rPr>
          <w:rFonts w:ascii="Garamond" w:hAnsi="Garamond"/>
          <w:sz w:val="24"/>
        </w:rPr>
        <w:t>importações</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concorrência</w:t>
      </w:r>
      <w:r w:rsidRPr="00395593">
        <w:rPr>
          <w:rFonts w:ascii="Garamond" w:hAnsi="Garamond"/>
          <w:spacing w:val="1"/>
          <w:sz w:val="24"/>
        </w:rPr>
        <w:t xml:space="preserve"> </w:t>
      </w:r>
      <w:r w:rsidRPr="00395593">
        <w:rPr>
          <w:rFonts w:ascii="Garamond" w:hAnsi="Garamond"/>
          <w:sz w:val="24"/>
        </w:rPr>
        <w:t>entre</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produtos</w:t>
      </w:r>
      <w:r w:rsidRPr="00395593">
        <w:rPr>
          <w:rFonts w:ascii="Garamond" w:hAnsi="Garamond"/>
          <w:spacing w:val="1"/>
          <w:sz w:val="24"/>
        </w:rPr>
        <w:t xml:space="preserve"> </w:t>
      </w:r>
      <w:r w:rsidRPr="00395593">
        <w:rPr>
          <w:rFonts w:ascii="Garamond" w:hAnsi="Garamond"/>
          <w:sz w:val="24"/>
        </w:rPr>
        <w:t>importados</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similar</w:t>
      </w:r>
      <w:r w:rsidRPr="00395593">
        <w:rPr>
          <w:rFonts w:ascii="Garamond" w:hAnsi="Garamond"/>
          <w:spacing w:val="-58"/>
          <w:sz w:val="24"/>
        </w:rPr>
        <w:t xml:space="preserve"> </w:t>
      </w:r>
      <w:r w:rsidRPr="00395593">
        <w:rPr>
          <w:rFonts w:ascii="Garamond" w:hAnsi="Garamond"/>
          <w:sz w:val="24"/>
        </w:rPr>
        <w:t>nacional.</w:t>
      </w:r>
    </w:p>
    <w:p w14:paraId="77B7DA3E" w14:textId="77777777" w:rsidR="0013285C" w:rsidRPr="00395593" w:rsidRDefault="0013285C" w:rsidP="0013285C">
      <w:pPr>
        <w:pStyle w:val="Corpodetexto"/>
        <w:spacing w:before="1"/>
        <w:rPr>
          <w:rFonts w:ascii="Garamond" w:hAnsi="Garamond"/>
        </w:rPr>
      </w:pPr>
    </w:p>
    <w:p w14:paraId="633C82B8" w14:textId="77777777" w:rsidR="0013285C" w:rsidRPr="00395593" w:rsidRDefault="0013285C" w:rsidP="002C4340">
      <w:pPr>
        <w:pStyle w:val="PargrafodaLista"/>
        <w:widowControl w:val="0"/>
        <w:numPr>
          <w:ilvl w:val="0"/>
          <w:numId w:val="23"/>
        </w:numPr>
        <w:tabs>
          <w:tab w:val="left" w:pos="810"/>
        </w:tabs>
        <w:autoSpaceDE w:val="0"/>
        <w:autoSpaceDN w:val="0"/>
        <w:spacing w:after="0" w:line="240" w:lineRule="auto"/>
        <w:ind w:right="115" w:firstLine="0"/>
        <w:contextualSpacing w:val="0"/>
        <w:jc w:val="both"/>
        <w:rPr>
          <w:rFonts w:ascii="Garamond" w:hAnsi="Garamond"/>
          <w:sz w:val="24"/>
        </w:rPr>
      </w:pP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exame</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impacto</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importações</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preços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i/>
          <w:sz w:val="24"/>
        </w:rPr>
        <w:t>dumping</w:t>
      </w:r>
      <w:r w:rsidRPr="00395593">
        <w:rPr>
          <w:rFonts w:ascii="Garamond" w:hAnsi="Garamond"/>
          <w:i/>
          <w:spacing w:val="1"/>
          <w:sz w:val="24"/>
        </w:rPr>
        <w:t xml:space="preserve"> </w:t>
      </w:r>
      <w:r w:rsidRPr="00395593">
        <w:rPr>
          <w:rFonts w:ascii="Garamond" w:hAnsi="Garamond"/>
          <w:sz w:val="24"/>
        </w:rPr>
        <w:t>sobre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60"/>
          <w:sz w:val="24"/>
        </w:rPr>
        <w:t xml:space="preserve"> </w:t>
      </w:r>
      <w:r w:rsidRPr="00395593">
        <w:rPr>
          <w:rFonts w:ascii="Garamond" w:hAnsi="Garamond"/>
          <w:sz w:val="24"/>
        </w:rPr>
        <w:t>indústria</w:t>
      </w:r>
      <w:r w:rsidRPr="00395593">
        <w:rPr>
          <w:rFonts w:ascii="Garamond" w:hAnsi="Garamond"/>
          <w:spacing w:val="1"/>
          <w:sz w:val="24"/>
        </w:rPr>
        <w:t xml:space="preserve"> </w:t>
      </w:r>
      <w:r w:rsidRPr="00395593">
        <w:rPr>
          <w:rFonts w:ascii="Garamond" w:hAnsi="Garamond"/>
          <w:sz w:val="24"/>
        </w:rPr>
        <w:t>nacional correspondente deverá incluir avaliação de todos os fatores e índices econômicos</w:t>
      </w:r>
      <w:r w:rsidRPr="00395593">
        <w:rPr>
          <w:rFonts w:ascii="Garamond" w:hAnsi="Garamond"/>
          <w:spacing w:val="1"/>
          <w:sz w:val="24"/>
        </w:rPr>
        <w:t xml:space="preserve"> </w:t>
      </w:r>
      <w:r w:rsidRPr="00395593">
        <w:rPr>
          <w:rFonts w:ascii="Garamond" w:hAnsi="Garamond"/>
          <w:sz w:val="24"/>
        </w:rPr>
        <w:t>relevantes que tenham relação com a situação da referida indústria, inclusive queda real ou</w:t>
      </w:r>
      <w:r w:rsidRPr="00395593">
        <w:rPr>
          <w:rFonts w:ascii="Garamond" w:hAnsi="Garamond"/>
          <w:spacing w:val="1"/>
          <w:sz w:val="24"/>
        </w:rPr>
        <w:t xml:space="preserve"> </w:t>
      </w:r>
      <w:r w:rsidRPr="00395593">
        <w:rPr>
          <w:rFonts w:ascii="Garamond" w:hAnsi="Garamond"/>
          <w:sz w:val="24"/>
        </w:rPr>
        <w:t>potencial</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vendas,</w:t>
      </w:r>
      <w:r w:rsidRPr="00395593">
        <w:rPr>
          <w:rFonts w:ascii="Garamond" w:hAnsi="Garamond"/>
          <w:spacing w:val="1"/>
          <w:sz w:val="24"/>
        </w:rPr>
        <w:t xml:space="preserve"> </w:t>
      </w:r>
      <w:r w:rsidRPr="00395593">
        <w:rPr>
          <w:rFonts w:ascii="Garamond" w:hAnsi="Garamond"/>
          <w:sz w:val="24"/>
        </w:rPr>
        <w:t>dos</w:t>
      </w:r>
      <w:r w:rsidRPr="00395593">
        <w:rPr>
          <w:rFonts w:ascii="Garamond" w:hAnsi="Garamond"/>
          <w:spacing w:val="1"/>
          <w:sz w:val="24"/>
        </w:rPr>
        <w:t xml:space="preserve"> </w:t>
      </w:r>
      <w:r w:rsidRPr="00395593">
        <w:rPr>
          <w:rFonts w:ascii="Garamond" w:hAnsi="Garamond"/>
          <w:sz w:val="24"/>
        </w:rPr>
        <w:t>lucros,</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produção,</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participação</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mercado,</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57"/>
          <w:sz w:val="24"/>
        </w:rPr>
        <w:t xml:space="preserve"> </w:t>
      </w:r>
      <w:r w:rsidRPr="00395593">
        <w:rPr>
          <w:rFonts w:ascii="Garamond" w:hAnsi="Garamond"/>
          <w:sz w:val="24"/>
        </w:rPr>
        <w:t>produtividade,</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retorno</w:t>
      </w:r>
      <w:r w:rsidRPr="00395593">
        <w:rPr>
          <w:rFonts w:ascii="Garamond" w:hAnsi="Garamond"/>
          <w:spacing w:val="1"/>
          <w:sz w:val="24"/>
        </w:rPr>
        <w:t xml:space="preserve"> </w:t>
      </w:r>
      <w:r w:rsidRPr="00395593">
        <w:rPr>
          <w:rFonts w:ascii="Garamond" w:hAnsi="Garamond"/>
          <w:sz w:val="24"/>
        </w:rPr>
        <w:t>dos</w:t>
      </w:r>
      <w:r w:rsidRPr="00395593">
        <w:rPr>
          <w:rFonts w:ascii="Garamond" w:hAnsi="Garamond"/>
          <w:spacing w:val="1"/>
          <w:sz w:val="24"/>
        </w:rPr>
        <w:t xml:space="preserve"> </w:t>
      </w:r>
      <w:r w:rsidRPr="00395593">
        <w:rPr>
          <w:rFonts w:ascii="Garamond" w:hAnsi="Garamond"/>
          <w:sz w:val="24"/>
        </w:rPr>
        <w:t>investimentos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ocupação,</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capacidade</w:t>
      </w:r>
      <w:r w:rsidRPr="00395593">
        <w:rPr>
          <w:rFonts w:ascii="Garamond" w:hAnsi="Garamond"/>
          <w:spacing w:val="1"/>
          <w:sz w:val="24"/>
        </w:rPr>
        <w:t xml:space="preserve"> </w:t>
      </w:r>
      <w:r w:rsidRPr="00395593">
        <w:rPr>
          <w:rFonts w:ascii="Garamond" w:hAnsi="Garamond"/>
          <w:sz w:val="24"/>
        </w:rPr>
        <w:t>instalada,</w:t>
      </w:r>
      <w:r w:rsidRPr="00395593">
        <w:rPr>
          <w:rFonts w:ascii="Garamond" w:hAnsi="Garamond"/>
          <w:spacing w:val="-57"/>
          <w:sz w:val="24"/>
        </w:rPr>
        <w:t xml:space="preserve"> </w:t>
      </w:r>
      <w:r w:rsidRPr="00395593">
        <w:rPr>
          <w:rFonts w:ascii="Garamond" w:hAnsi="Garamond"/>
          <w:sz w:val="24"/>
        </w:rPr>
        <w:t>fatores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afetem</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preços</w:t>
      </w:r>
      <w:r w:rsidRPr="00395593">
        <w:rPr>
          <w:rFonts w:ascii="Garamond" w:hAnsi="Garamond"/>
          <w:spacing w:val="1"/>
          <w:sz w:val="24"/>
        </w:rPr>
        <w:t xml:space="preserve"> </w:t>
      </w:r>
      <w:r w:rsidRPr="00395593">
        <w:rPr>
          <w:rFonts w:ascii="Garamond" w:hAnsi="Garamond"/>
          <w:sz w:val="24"/>
        </w:rPr>
        <w:t>internos,</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amplitude</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margem</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i/>
          <w:sz w:val="24"/>
        </w:rPr>
        <w:t>dumping</w:t>
      </w:r>
      <w:r w:rsidRPr="00395593">
        <w:rPr>
          <w:rFonts w:ascii="Garamond" w:hAnsi="Garamond"/>
          <w:sz w:val="24"/>
        </w:rPr>
        <w:t>,</w:t>
      </w:r>
      <w:r w:rsidRPr="00395593">
        <w:rPr>
          <w:rFonts w:ascii="Garamond" w:hAnsi="Garamond"/>
          <w:spacing w:val="60"/>
          <w:sz w:val="24"/>
        </w:rPr>
        <w:t xml:space="preserve"> </w:t>
      </w:r>
      <w:r w:rsidRPr="00395593">
        <w:rPr>
          <w:rFonts w:ascii="Garamond" w:hAnsi="Garamond"/>
          <w:sz w:val="24"/>
        </w:rPr>
        <w:t>efeitos</w:t>
      </w:r>
      <w:r w:rsidRPr="00395593">
        <w:rPr>
          <w:rFonts w:ascii="Garamond" w:hAnsi="Garamond"/>
          <w:spacing w:val="1"/>
          <w:sz w:val="24"/>
        </w:rPr>
        <w:t xml:space="preserve"> </w:t>
      </w:r>
      <w:r w:rsidRPr="00395593">
        <w:rPr>
          <w:rFonts w:ascii="Garamond" w:hAnsi="Garamond"/>
          <w:sz w:val="24"/>
        </w:rPr>
        <w:t>negativos</w:t>
      </w:r>
      <w:r w:rsidRPr="00395593">
        <w:rPr>
          <w:rFonts w:ascii="Garamond" w:hAnsi="Garamond"/>
          <w:spacing w:val="1"/>
          <w:sz w:val="24"/>
        </w:rPr>
        <w:t xml:space="preserve"> </w:t>
      </w:r>
      <w:r w:rsidRPr="00395593">
        <w:rPr>
          <w:rFonts w:ascii="Garamond" w:hAnsi="Garamond"/>
          <w:sz w:val="24"/>
        </w:rPr>
        <w:t>reais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potenciais</w:t>
      </w:r>
      <w:r w:rsidRPr="00395593">
        <w:rPr>
          <w:rFonts w:ascii="Garamond" w:hAnsi="Garamond"/>
          <w:spacing w:val="1"/>
          <w:sz w:val="24"/>
        </w:rPr>
        <w:t xml:space="preserve"> </w:t>
      </w:r>
      <w:r w:rsidRPr="00395593">
        <w:rPr>
          <w:rFonts w:ascii="Garamond" w:hAnsi="Garamond"/>
          <w:sz w:val="24"/>
        </w:rPr>
        <w:t>sobre</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fluxo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caixa,</w:t>
      </w:r>
      <w:r w:rsidRPr="00395593">
        <w:rPr>
          <w:rFonts w:ascii="Garamond" w:hAnsi="Garamond"/>
          <w:spacing w:val="1"/>
          <w:sz w:val="24"/>
        </w:rPr>
        <w:t xml:space="preserve"> </w:t>
      </w:r>
      <w:r w:rsidRPr="00395593">
        <w:rPr>
          <w:rFonts w:ascii="Garamond" w:hAnsi="Garamond"/>
          <w:sz w:val="24"/>
        </w:rPr>
        <w:t>estoques,</w:t>
      </w:r>
      <w:r w:rsidRPr="00395593">
        <w:rPr>
          <w:rFonts w:ascii="Garamond" w:hAnsi="Garamond"/>
          <w:spacing w:val="1"/>
          <w:sz w:val="24"/>
        </w:rPr>
        <w:t xml:space="preserve"> </w:t>
      </w:r>
      <w:r w:rsidRPr="00395593">
        <w:rPr>
          <w:rFonts w:ascii="Garamond" w:hAnsi="Garamond"/>
          <w:sz w:val="24"/>
        </w:rPr>
        <w:t>emprego,</w:t>
      </w:r>
      <w:r w:rsidRPr="00395593">
        <w:rPr>
          <w:rFonts w:ascii="Garamond" w:hAnsi="Garamond"/>
          <w:spacing w:val="1"/>
          <w:sz w:val="24"/>
        </w:rPr>
        <w:t xml:space="preserve"> </w:t>
      </w:r>
      <w:r w:rsidRPr="00395593">
        <w:rPr>
          <w:rFonts w:ascii="Garamond" w:hAnsi="Garamond"/>
          <w:sz w:val="24"/>
        </w:rPr>
        <w:t>salários,</w:t>
      </w:r>
      <w:r w:rsidRPr="00395593">
        <w:rPr>
          <w:rFonts w:ascii="Garamond" w:hAnsi="Garamond"/>
          <w:spacing w:val="1"/>
          <w:sz w:val="24"/>
        </w:rPr>
        <w:t xml:space="preserve"> </w:t>
      </w:r>
      <w:r w:rsidRPr="00395593">
        <w:rPr>
          <w:rFonts w:ascii="Garamond" w:hAnsi="Garamond"/>
          <w:sz w:val="24"/>
        </w:rPr>
        <w:t>crescimento,</w:t>
      </w:r>
      <w:r w:rsidRPr="00395593">
        <w:rPr>
          <w:rFonts w:ascii="Garamond" w:hAnsi="Garamond"/>
          <w:spacing w:val="1"/>
          <w:sz w:val="24"/>
        </w:rPr>
        <w:t xml:space="preserve"> </w:t>
      </w:r>
      <w:r w:rsidRPr="00395593">
        <w:rPr>
          <w:rFonts w:ascii="Garamond" w:hAnsi="Garamond"/>
          <w:sz w:val="24"/>
        </w:rPr>
        <w:t>capacidade</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1"/>
          <w:sz w:val="24"/>
        </w:rPr>
        <w:t xml:space="preserve"> </w:t>
      </w:r>
      <w:r w:rsidRPr="00395593">
        <w:rPr>
          <w:rFonts w:ascii="Garamond" w:hAnsi="Garamond"/>
          <w:sz w:val="24"/>
        </w:rPr>
        <w:t>aumentar</w:t>
      </w:r>
      <w:r w:rsidRPr="00395593">
        <w:rPr>
          <w:rFonts w:ascii="Garamond" w:hAnsi="Garamond"/>
          <w:spacing w:val="1"/>
          <w:sz w:val="24"/>
        </w:rPr>
        <w:t xml:space="preserve"> </w:t>
      </w:r>
      <w:r w:rsidRPr="00395593">
        <w:rPr>
          <w:rFonts w:ascii="Garamond" w:hAnsi="Garamond"/>
          <w:sz w:val="24"/>
        </w:rPr>
        <w:t>capital</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obter</w:t>
      </w:r>
      <w:r w:rsidRPr="00395593">
        <w:rPr>
          <w:rFonts w:ascii="Garamond" w:hAnsi="Garamond"/>
          <w:spacing w:val="1"/>
          <w:sz w:val="24"/>
        </w:rPr>
        <w:t xml:space="preserve"> </w:t>
      </w:r>
      <w:r w:rsidRPr="00395593">
        <w:rPr>
          <w:rFonts w:ascii="Garamond" w:hAnsi="Garamond"/>
          <w:sz w:val="24"/>
        </w:rPr>
        <w:t>investimentos.</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60"/>
          <w:sz w:val="24"/>
        </w:rPr>
        <w:t xml:space="preserve"> </w:t>
      </w:r>
      <w:r w:rsidRPr="00395593">
        <w:rPr>
          <w:rFonts w:ascii="Garamond" w:hAnsi="Garamond"/>
          <w:sz w:val="24"/>
        </w:rPr>
        <w:t>enumeração</w:t>
      </w:r>
      <w:r w:rsidRPr="00395593">
        <w:rPr>
          <w:rFonts w:ascii="Garamond" w:hAnsi="Garamond"/>
          <w:spacing w:val="1"/>
          <w:sz w:val="24"/>
        </w:rPr>
        <w:t xml:space="preserve"> </w:t>
      </w:r>
      <w:r w:rsidRPr="00395593">
        <w:rPr>
          <w:rFonts w:ascii="Garamond" w:hAnsi="Garamond"/>
          <w:sz w:val="24"/>
        </w:rPr>
        <w:t>acima não é exaustiva, nem poderão tais fatores isoladamente ou em conjunto ser tomados</w:t>
      </w:r>
      <w:r w:rsidRPr="00395593">
        <w:rPr>
          <w:rFonts w:ascii="Garamond" w:hAnsi="Garamond"/>
          <w:spacing w:val="1"/>
          <w:sz w:val="24"/>
        </w:rPr>
        <w:t xml:space="preserve"> </w:t>
      </w:r>
      <w:r w:rsidRPr="00395593">
        <w:rPr>
          <w:rFonts w:ascii="Garamond" w:hAnsi="Garamond"/>
          <w:sz w:val="24"/>
        </w:rPr>
        <w:t>necessariamente como indicação decisiva.</w:t>
      </w:r>
    </w:p>
    <w:p w14:paraId="236FB2F9" w14:textId="77777777" w:rsidR="0013285C" w:rsidRPr="00395593" w:rsidRDefault="0013285C" w:rsidP="0013285C">
      <w:pPr>
        <w:pStyle w:val="Corpodetexto"/>
        <w:spacing w:before="1"/>
        <w:rPr>
          <w:rFonts w:ascii="Garamond" w:hAnsi="Garamond"/>
        </w:rPr>
      </w:pPr>
    </w:p>
    <w:p w14:paraId="0F31C40A" w14:textId="07A1290D" w:rsidR="0013285C" w:rsidRPr="00395593" w:rsidRDefault="0013285C" w:rsidP="002C4340">
      <w:pPr>
        <w:pStyle w:val="PargrafodaLista"/>
        <w:widowControl w:val="0"/>
        <w:numPr>
          <w:ilvl w:val="0"/>
          <w:numId w:val="23"/>
        </w:numPr>
        <w:tabs>
          <w:tab w:val="left" w:pos="810"/>
        </w:tabs>
        <w:autoSpaceDE w:val="0"/>
        <w:autoSpaceDN w:val="0"/>
        <w:spacing w:after="0" w:line="240" w:lineRule="auto"/>
        <w:ind w:right="116" w:firstLine="0"/>
        <w:contextualSpacing w:val="0"/>
        <w:jc w:val="both"/>
        <w:rPr>
          <w:rFonts w:ascii="Garamond" w:hAnsi="Garamond"/>
          <w:sz w:val="24"/>
        </w:rPr>
      </w:pPr>
      <w:r w:rsidRPr="00395593">
        <w:rPr>
          <w:rFonts w:ascii="Garamond" w:hAnsi="Garamond"/>
          <w:sz w:val="24"/>
        </w:rPr>
        <w:t xml:space="preserve">É necessário demonstrar que as importações a preços de </w:t>
      </w:r>
      <w:r w:rsidRPr="00395593">
        <w:rPr>
          <w:rFonts w:ascii="Garamond" w:hAnsi="Garamond"/>
          <w:i/>
          <w:sz w:val="24"/>
        </w:rPr>
        <w:t>dumping</w:t>
      </w:r>
      <w:r w:rsidRPr="00395593">
        <w:rPr>
          <w:rFonts w:ascii="Garamond" w:hAnsi="Garamond"/>
          <w:sz w:val="24"/>
        </w:rPr>
        <w:t>, por meio dos</w:t>
      </w:r>
      <w:r w:rsidRPr="00395593">
        <w:rPr>
          <w:rFonts w:ascii="Garamond" w:hAnsi="Garamond"/>
          <w:spacing w:val="1"/>
          <w:sz w:val="24"/>
        </w:rPr>
        <w:t xml:space="preserve"> </w:t>
      </w:r>
      <w:r w:rsidRPr="00395593">
        <w:rPr>
          <w:rFonts w:ascii="Garamond" w:hAnsi="Garamond"/>
          <w:sz w:val="24"/>
        </w:rPr>
        <w:t>efeitos produzidos por essa prática, conforme estabelecido nos parágrafos 2 e 4, estão</w:t>
      </w:r>
      <w:r w:rsidRPr="00395593">
        <w:rPr>
          <w:rFonts w:ascii="Garamond" w:hAnsi="Garamond"/>
          <w:spacing w:val="1"/>
          <w:sz w:val="24"/>
        </w:rPr>
        <w:t xml:space="preserve"> </w:t>
      </w:r>
      <w:r w:rsidRPr="00395593">
        <w:rPr>
          <w:rFonts w:ascii="Garamond" w:hAnsi="Garamond"/>
          <w:sz w:val="24"/>
        </w:rPr>
        <w:t>provocando</w:t>
      </w:r>
      <w:r w:rsidRPr="00395593">
        <w:rPr>
          <w:rFonts w:ascii="Garamond" w:hAnsi="Garamond"/>
          <w:spacing w:val="1"/>
          <w:sz w:val="24"/>
        </w:rPr>
        <w:t xml:space="preserve"> </w:t>
      </w:r>
      <w:r w:rsidRPr="00395593">
        <w:rPr>
          <w:rFonts w:ascii="Garamond" w:hAnsi="Garamond"/>
          <w:sz w:val="24"/>
        </w:rPr>
        <w:t>dano</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sentido</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este</w:t>
      </w:r>
      <w:r w:rsidRPr="00395593">
        <w:rPr>
          <w:rFonts w:ascii="Garamond" w:hAnsi="Garamond"/>
          <w:spacing w:val="1"/>
          <w:sz w:val="24"/>
        </w:rPr>
        <w:t xml:space="preserve"> </w:t>
      </w:r>
      <w:r w:rsidRPr="00395593">
        <w:rPr>
          <w:rFonts w:ascii="Garamond" w:hAnsi="Garamond"/>
          <w:sz w:val="24"/>
        </w:rPr>
        <w:t>último</w:t>
      </w:r>
      <w:r w:rsidRPr="00395593">
        <w:rPr>
          <w:rFonts w:ascii="Garamond" w:hAnsi="Garamond"/>
          <w:spacing w:val="1"/>
          <w:sz w:val="24"/>
        </w:rPr>
        <w:t xml:space="preserve"> </w:t>
      </w:r>
      <w:r w:rsidRPr="00395593">
        <w:rPr>
          <w:rFonts w:ascii="Garamond" w:hAnsi="Garamond"/>
          <w:sz w:val="24"/>
        </w:rPr>
        <w:t>termo</w:t>
      </w:r>
      <w:r w:rsidRPr="00395593">
        <w:rPr>
          <w:rFonts w:ascii="Garamond" w:hAnsi="Garamond"/>
          <w:spacing w:val="1"/>
          <w:sz w:val="24"/>
        </w:rPr>
        <w:t xml:space="preserve"> </w:t>
      </w:r>
      <w:r w:rsidRPr="00395593">
        <w:rPr>
          <w:rFonts w:ascii="Garamond" w:hAnsi="Garamond"/>
          <w:sz w:val="24"/>
        </w:rPr>
        <w:t>é</w:t>
      </w:r>
      <w:r w:rsidRPr="00395593">
        <w:rPr>
          <w:rFonts w:ascii="Garamond" w:hAnsi="Garamond"/>
          <w:spacing w:val="1"/>
          <w:sz w:val="24"/>
        </w:rPr>
        <w:t xml:space="preserve"> </w:t>
      </w:r>
      <w:r w:rsidRPr="00395593">
        <w:rPr>
          <w:rFonts w:ascii="Garamond" w:hAnsi="Garamond"/>
          <w:sz w:val="24"/>
        </w:rPr>
        <w:t>adotado</w:t>
      </w:r>
      <w:r w:rsidRPr="00395593">
        <w:rPr>
          <w:rFonts w:ascii="Garamond" w:hAnsi="Garamond"/>
          <w:spacing w:val="1"/>
          <w:sz w:val="24"/>
        </w:rPr>
        <w:t xml:space="preserve"> </w:t>
      </w:r>
      <w:r w:rsidRPr="00395593">
        <w:rPr>
          <w:rFonts w:ascii="Garamond" w:hAnsi="Garamond"/>
          <w:sz w:val="24"/>
        </w:rPr>
        <w:t>neste</w:t>
      </w:r>
      <w:r w:rsidRPr="00395593">
        <w:rPr>
          <w:rFonts w:ascii="Garamond" w:hAnsi="Garamond"/>
          <w:spacing w:val="1"/>
          <w:sz w:val="24"/>
        </w:rPr>
        <w:t xml:space="preserve"> </w:t>
      </w:r>
      <w:r w:rsidRPr="00395593">
        <w:rPr>
          <w:rFonts w:ascii="Garamond" w:hAnsi="Garamond"/>
          <w:sz w:val="24"/>
        </w:rPr>
        <w:t>Acordo.</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 xml:space="preserve">demonstração de nexo causal entre as importações a preços de </w:t>
      </w:r>
      <w:r w:rsidRPr="00395593">
        <w:rPr>
          <w:rFonts w:ascii="Garamond" w:hAnsi="Garamond"/>
          <w:i/>
          <w:sz w:val="24"/>
        </w:rPr>
        <w:t xml:space="preserve">dumping </w:t>
      </w:r>
      <w:r w:rsidRPr="00395593">
        <w:rPr>
          <w:rFonts w:ascii="Garamond" w:hAnsi="Garamond"/>
          <w:sz w:val="24"/>
        </w:rPr>
        <w:t>e o dano à indústria</w:t>
      </w:r>
      <w:r w:rsidRPr="00395593">
        <w:rPr>
          <w:rFonts w:ascii="Garamond" w:hAnsi="Garamond"/>
          <w:spacing w:val="-57"/>
          <w:sz w:val="24"/>
        </w:rPr>
        <w:t xml:space="preserve"> </w:t>
      </w:r>
      <w:r w:rsidRPr="00395593">
        <w:rPr>
          <w:rFonts w:ascii="Garamond" w:hAnsi="Garamond"/>
          <w:sz w:val="24"/>
        </w:rPr>
        <w:t>nacional deverá basear-se no exame de todos os elementos de prova relevantes à disposição</w:t>
      </w:r>
      <w:r w:rsidRPr="00395593">
        <w:rPr>
          <w:rFonts w:ascii="Garamond" w:hAnsi="Garamond"/>
          <w:spacing w:val="-57"/>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Estas</w:t>
      </w:r>
      <w:r w:rsidRPr="00395593">
        <w:rPr>
          <w:rFonts w:ascii="Garamond" w:hAnsi="Garamond"/>
          <w:spacing w:val="1"/>
          <w:sz w:val="24"/>
        </w:rPr>
        <w:t xml:space="preserve"> </w:t>
      </w:r>
      <w:r w:rsidRPr="00395593">
        <w:rPr>
          <w:rFonts w:ascii="Garamond" w:hAnsi="Garamond"/>
          <w:sz w:val="24"/>
        </w:rPr>
        <w:t>deverão,</w:t>
      </w:r>
      <w:r w:rsidRPr="00395593">
        <w:rPr>
          <w:rFonts w:ascii="Garamond" w:hAnsi="Garamond"/>
          <w:spacing w:val="1"/>
          <w:sz w:val="24"/>
        </w:rPr>
        <w:t xml:space="preserve"> </w:t>
      </w:r>
      <w:r w:rsidRPr="00395593">
        <w:rPr>
          <w:rFonts w:ascii="Garamond" w:hAnsi="Garamond"/>
          <w:sz w:val="24"/>
        </w:rPr>
        <w:t>igualmente,</w:t>
      </w:r>
      <w:r w:rsidRPr="00395593">
        <w:rPr>
          <w:rFonts w:ascii="Garamond" w:hAnsi="Garamond"/>
          <w:spacing w:val="1"/>
          <w:sz w:val="24"/>
        </w:rPr>
        <w:t xml:space="preserve"> </w:t>
      </w:r>
      <w:r w:rsidRPr="00395593">
        <w:rPr>
          <w:rFonts w:ascii="Garamond" w:hAnsi="Garamond"/>
          <w:sz w:val="24"/>
        </w:rPr>
        <w:t>examinar</w:t>
      </w:r>
      <w:r w:rsidRPr="00395593">
        <w:rPr>
          <w:rFonts w:ascii="Garamond" w:hAnsi="Garamond"/>
          <w:spacing w:val="1"/>
          <w:sz w:val="24"/>
        </w:rPr>
        <w:t xml:space="preserve"> </w:t>
      </w:r>
      <w:r w:rsidRPr="00395593">
        <w:rPr>
          <w:rFonts w:ascii="Garamond" w:hAnsi="Garamond"/>
          <w:sz w:val="24"/>
        </w:rPr>
        <w:t>todo</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qualquer</w:t>
      </w:r>
      <w:r w:rsidRPr="00395593">
        <w:rPr>
          <w:rFonts w:ascii="Garamond" w:hAnsi="Garamond"/>
          <w:spacing w:val="1"/>
          <w:sz w:val="24"/>
        </w:rPr>
        <w:t xml:space="preserve"> </w:t>
      </w:r>
      <w:r w:rsidRPr="00395593">
        <w:rPr>
          <w:rFonts w:ascii="Garamond" w:hAnsi="Garamond"/>
          <w:sz w:val="24"/>
        </w:rPr>
        <w:t>outro</w:t>
      </w:r>
      <w:r w:rsidRPr="00395593">
        <w:rPr>
          <w:rFonts w:ascii="Garamond" w:hAnsi="Garamond"/>
          <w:spacing w:val="60"/>
          <w:sz w:val="24"/>
        </w:rPr>
        <w:t xml:space="preserve"> </w:t>
      </w:r>
      <w:r w:rsidRPr="00395593">
        <w:rPr>
          <w:rFonts w:ascii="Garamond" w:hAnsi="Garamond"/>
          <w:sz w:val="24"/>
        </w:rPr>
        <w:t>fator</w:t>
      </w:r>
      <w:r w:rsidRPr="00395593">
        <w:rPr>
          <w:rFonts w:ascii="Garamond" w:hAnsi="Garamond"/>
          <w:spacing w:val="1"/>
          <w:sz w:val="24"/>
        </w:rPr>
        <w:t xml:space="preserve"> </w:t>
      </w:r>
      <w:r w:rsidRPr="00395593">
        <w:rPr>
          <w:rFonts w:ascii="Garamond" w:hAnsi="Garamond"/>
          <w:sz w:val="24"/>
        </w:rPr>
        <w:t xml:space="preserve">conhecido, além das importações a preços de </w:t>
      </w:r>
      <w:r w:rsidRPr="00395593">
        <w:rPr>
          <w:rFonts w:ascii="Garamond" w:hAnsi="Garamond"/>
          <w:i/>
          <w:sz w:val="24"/>
        </w:rPr>
        <w:t xml:space="preserve">dumping </w:t>
      </w:r>
      <w:r w:rsidRPr="00395593">
        <w:rPr>
          <w:rFonts w:ascii="Garamond" w:hAnsi="Garamond"/>
          <w:sz w:val="24"/>
        </w:rPr>
        <w:t>que possam estar causando dano à</w:t>
      </w:r>
      <w:r w:rsidRPr="00395593">
        <w:rPr>
          <w:rFonts w:ascii="Garamond" w:hAnsi="Garamond"/>
          <w:spacing w:val="1"/>
          <w:sz w:val="24"/>
        </w:rPr>
        <w:t xml:space="preserve"> </w:t>
      </w:r>
      <w:r w:rsidRPr="00395593">
        <w:rPr>
          <w:rFonts w:ascii="Garamond" w:hAnsi="Garamond"/>
          <w:sz w:val="24"/>
        </w:rPr>
        <w:t>indústria</w:t>
      </w:r>
      <w:r w:rsidRPr="00395593">
        <w:rPr>
          <w:rFonts w:ascii="Garamond" w:hAnsi="Garamond"/>
          <w:spacing w:val="55"/>
          <w:sz w:val="24"/>
        </w:rPr>
        <w:t xml:space="preserve"> </w:t>
      </w:r>
      <w:r w:rsidRPr="00395593">
        <w:rPr>
          <w:rFonts w:ascii="Garamond" w:hAnsi="Garamond"/>
          <w:sz w:val="24"/>
        </w:rPr>
        <w:t>nacional</w:t>
      </w:r>
      <w:r w:rsidRPr="00395593">
        <w:rPr>
          <w:rFonts w:ascii="Garamond" w:hAnsi="Garamond"/>
          <w:spacing w:val="57"/>
          <w:sz w:val="24"/>
        </w:rPr>
        <w:t xml:space="preserve"> </w:t>
      </w:r>
      <w:r w:rsidRPr="00395593">
        <w:rPr>
          <w:rFonts w:ascii="Garamond" w:hAnsi="Garamond"/>
          <w:sz w:val="24"/>
        </w:rPr>
        <w:t>na</w:t>
      </w:r>
      <w:r w:rsidRPr="00395593">
        <w:rPr>
          <w:rFonts w:ascii="Garamond" w:hAnsi="Garamond"/>
          <w:spacing w:val="56"/>
          <w:sz w:val="24"/>
        </w:rPr>
        <w:t xml:space="preserve"> </w:t>
      </w:r>
      <w:r w:rsidRPr="00395593">
        <w:rPr>
          <w:rFonts w:ascii="Garamond" w:hAnsi="Garamond"/>
          <w:sz w:val="24"/>
        </w:rPr>
        <w:t>mesma</w:t>
      </w:r>
      <w:r w:rsidRPr="00395593">
        <w:rPr>
          <w:rFonts w:ascii="Garamond" w:hAnsi="Garamond"/>
          <w:spacing w:val="57"/>
          <w:sz w:val="24"/>
        </w:rPr>
        <w:t xml:space="preserve"> </w:t>
      </w:r>
      <w:r w:rsidRPr="00395593">
        <w:rPr>
          <w:rFonts w:ascii="Garamond" w:hAnsi="Garamond"/>
          <w:sz w:val="24"/>
        </w:rPr>
        <w:t>ocasião</w:t>
      </w:r>
      <w:r w:rsidRPr="00395593">
        <w:rPr>
          <w:rFonts w:ascii="Garamond" w:hAnsi="Garamond"/>
          <w:spacing w:val="57"/>
          <w:sz w:val="24"/>
        </w:rPr>
        <w:t xml:space="preserve"> </w:t>
      </w:r>
      <w:r w:rsidRPr="00395593">
        <w:rPr>
          <w:rFonts w:ascii="Garamond" w:hAnsi="Garamond"/>
          <w:sz w:val="24"/>
        </w:rPr>
        <w:t>e</w:t>
      </w:r>
      <w:r w:rsidRPr="00395593">
        <w:rPr>
          <w:rFonts w:ascii="Garamond" w:hAnsi="Garamond"/>
          <w:spacing w:val="58"/>
          <w:sz w:val="24"/>
        </w:rPr>
        <w:t xml:space="preserve"> </w:t>
      </w:r>
      <w:r w:rsidRPr="00395593">
        <w:rPr>
          <w:rFonts w:ascii="Garamond" w:hAnsi="Garamond"/>
          <w:sz w:val="24"/>
        </w:rPr>
        <w:t>tais</w:t>
      </w:r>
      <w:r w:rsidRPr="00395593">
        <w:rPr>
          <w:rFonts w:ascii="Garamond" w:hAnsi="Garamond"/>
          <w:spacing w:val="57"/>
          <w:sz w:val="24"/>
        </w:rPr>
        <w:t xml:space="preserve"> </w:t>
      </w:r>
      <w:r w:rsidRPr="00395593">
        <w:rPr>
          <w:rFonts w:ascii="Garamond" w:hAnsi="Garamond"/>
          <w:sz w:val="24"/>
        </w:rPr>
        <w:t>danos,</w:t>
      </w:r>
      <w:r w:rsidRPr="00395593">
        <w:rPr>
          <w:rFonts w:ascii="Garamond" w:hAnsi="Garamond"/>
          <w:spacing w:val="57"/>
          <w:sz w:val="24"/>
        </w:rPr>
        <w:t xml:space="preserve"> </w:t>
      </w:r>
      <w:r w:rsidRPr="00395593">
        <w:rPr>
          <w:rFonts w:ascii="Garamond" w:hAnsi="Garamond"/>
          <w:sz w:val="24"/>
        </w:rPr>
        <w:t>provocados</w:t>
      </w:r>
      <w:r w:rsidRPr="00395593">
        <w:rPr>
          <w:rFonts w:ascii="Garamond" w:hAnsi="Garamond"/>
          <w:spacing w:val="59"/>
          <w:sz w:val="24"/>
        </w:rPr>
        <w:t xml:space="preserve"> </w:t>
      </w:r>
      <w:r w:rsidRPr="00395593">
        <w:rPr>
          <w:rFonts w:ascii="Garamond" w:hAnsi="Garamond"/>
          <w:sz w:val="24"/>
        </w:rPr>
        <w:t>por</w:t>
      </w:r>
      <w:r w:rsidRPr="00395593">
        <w:rPr>
          <w:rFonts w:ascii="Garamond" w:hAnsi="Garamond"/>
          <w:spacing w:val="56"/>
          <w:sz w:val="24"/>
        </w:rPr>
        <w:t xml:space="preserve"> </w:t>
      </w:r>
      <w:r w:rsidRPr="00395593">
        <w:rPr>
          <w:rFonts w:ascii="Garamond" w:hAnsi="Garamond"/>
          <w:sz w:val="24"/>
        </w:rPr>
        <w:t>motivos</w:t>
      </w:r>
      <w:r w:rsidRPr="00395593">
        <w:rPr>
          <w:rFonts w:ascii="Garamond" w:hAnsi="Garamond"/>
          <w:spacing w:val="56"/>
          <w:sz w:val="24"/>
        </w:rPr>
        <w:t xml:space="preserve"> </w:t>
      </w:r>
      <w:r w:rsidRPr="00395593">
        <w:rPr>
          <w:rFonts w:ascii="Garamond" w:hAnsi="Garamond"/>
          <w:sz w:val="24"/>
        </w:rPr>
        <w:t>alheios</w:t>
      </w:r>
      <w:r w:rsidRPr="00395593">
        <w:rPr>
          <w:rFonts w:ascii="Garamond" w:hAnsi="Garamond"/>
          <w:spacing w:val="57"/>
          <w:sz w:val="24"/>
        </w:rPr>
        <w:t xml:space="preserve"> </w:t>
      </w:r>
      <w:r w:rsidRPr="00395593">
        <w:rPr>
          <w:rFonts w:ascii="Garamond" w:hAnsi="Garamond"/>
          <w:sz w:val="24"/>
        </w:rPr>
        <w:t>às</w:t>
      </w:r>
      <w:r w:rsidRPr="00395593">
        <w:rPr>
          <w:rFonts w:ascii="Garamond" w:hAnsi="Garamond"/>
          <w:spacing w:val="-57"/>
          <w:sz w:val="24"/>
        </w:rPr>
        <w:t xml:space="preserve"> </w:t>
      </w:r>
      <w:r w:rsidRPr="00395593">
        <w:rPr>
          <w:rFonts w:ascii="Garamond" w:hAnsi="Garamond"/>
          <w:sz w:val="24"/>
        </w:rPr>
        <w:t xml:space="preserve">importações a preços de </w:t>
      </w:r>
      <w:r w:rsidRPr="00395593">
        <w:rPr>
          <w:rFonts w:ascii="Garamond" w:hAnsi="Garamond"/>
          <w:i/>
          <w:sz w:val="24"/>
        </w:rPr>
        <w:t>dumping</w:t>
      </w:r>
      <w:r w:rsidRPr="00395593">
        <w:rPr>
          <w:rFonts w:ascii="Garamond" w:hAnsi="Garamond"/>
          <w:sz w:val="24"/>
        </w:rPr>
        <w:t>, não devem ser imputados àquelas importações. Fatores</w:t>
      </w:r>
      <w:r w:rsidRPr="00395593">
        <w:rPr>
          <w:rFonts w:ascii="Garamond" w:hAnsi="Garamond"/>
          <w:spacing w:val="1"/>
          <w:sz w:val="24"/>
        </w:rPr>
        <w:t xml:space="preserve"> </w:t>
      </w:r>
      <w:r w:rsidRPr="00395593">
        <w:rPr>
          <w:rFonts w:ascii="Garamond" w:hAnsi="Garamond"/>
          <w:sz w:val="24"/>
        </w:rPr>
        <w:t>relevantes</w:t>
      </w:r>
      <w:r w:rsidRPr="00395593">
        <w:rPr>
          <w:rFonts w:ascii="Garamond" w:hAnsi="Garamond"/>
          <w:spacing w:val="1"/>
          <w:sz w:val="24"/>
        </w:rPr>
        <w:t xml:space="preserve"> </w:t>
      </w:r>
      <w:r w:rsidRPr="00395593">
        <w:rPr>
          <w:rFonts w:ascii="Garamond" w:hAnsi="Garamond"/>
          <w:sz w:val="24"/>
        </w:rPr>
        <w:t>nessas</w:t>
      </w:r>
      <w:r w:rsidRPr="00395593">
        <w:rPr>
          <w:rFonts w:ascii="Garamond" w:hAnsi="Garamond"/>
          <w:spacing w:val="1"/>
          <w:sz w:val="24"/>
        </w:rPr>
        <w:t xml:space="preserve"> </w:t>
      </w:r>
      <w:r w:rsidRPr="00395593">
        <w:rPr>
          <w:rFonts w:ascii="Garamond" w:hAnsi="Garamond"/>
          <w:sz w:val="24"/>
        </w:rPr>
        <w:t>condições</w:t>
      </w:r>
      <w:r w:rsidRPr="00395593">
        <w:rPr>
          <w:rFonts w:ascii="Garamond" w:hAnsi="Garamond"/>
          <w:spacing w:val="1"/>
          <w:sz w:val="24"/>
        </w:rPr>
        <w:t xml:space="preserve"> </w:t>
      </w:r>
      <w:r w:rsidRPr="00395593">
        <w:rPr>
          <w:rFonts w:ascii="Garamond" w:hAnsi="Garamond"/>
          <w:sz w:val="24"/>
        </w:rPr>
        <w:t>incluem,</w:t>
      </w:r>
      <w:r w:rsidRPr="00395593">
        <w:rPr>
          <w:rFonts w:ascii="Garamond" w:hAnsi="Garamond"/>
          <w:spacing w:val="1"/>
          <w:sz w:val="24"/>
        </w:rPr>
        <w:t xml:space="preserve"> </w:t>
      </w:r>
      <w:r w:rsidRPr="00395593">
        <w:rPr>
          <w:rFonts w:ascii="Garamond" w:hAnsi="Garamond"/>
          <w:i/>
          <w:sz w:val="24"/>
        </w:rPr>
        <w:t>inter</w:t>
      </w:r>
      <w:r w:rsidRPr="00395593">
        <w:rPr>
          <w:rFonts w:ascii="Garamond" w:hAnsi="Garamond"/>
          <w:i/>
          <w:spacing w:val="1"/>
          <w:sz w:val="24"/>
        </w:rPr>
        <w:t xml:space="preserve"> </w:t>
      </w:r>
      <w:r w:rsidRPr="00395593">
        <w:rPr>
          <w:rFonts w:ascii="Garamond" w:hAnsi="Garamond"/>
          <w:i/>
          <w:sz w:val="24"/>
        </w:rPr>
        <w:t>alia</w:t>
      </w:r>
      <w:r w:rsidRPr="00395593">
        <w:rPr>
          <w:rFonts w:ascii="Garamond" w:hAnsi="Garamond"/>
          <w:sz w:val="24"/>
        </w:rPr>
        <w:t>,</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volumes</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preços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outras</w:t>
      </w:r>
      <w:r w:rsidRPr="00395593">
        <w:rPr>
          <w:rFonts w:ascii="Garamond" w:hAnsi="Garamond"/>
          <w:spacing w:val="1"/>
          <w:sz w:val="24"/>
        </w:rPr>
        <w:t xml:space="preserve"> </w:t>
      </w:r>
      <w:r w:rsidRPr="00395593">
        <w:rPr>
          <w:rFonts w:ascii="Garamond" w:hAnsi="Garamond"/>
          <w:sz w:val="24"/>
        </w:rPr>
        <w:t xml:space="preserve">importações que não se vendam a preços de </w:t>
      </w:r>
      <w:r w:rsidRPr="00395593">
        <w:rPr>
          <w:rFonts w:ascii="Garamond" w:hAnsi="Garamond"/>
          <w:i/>
          <w:sz w:val="24"/>
        </w:rPr>
        <w:t>dumping</w:t>
      </w:r>
      <w:r w:rsidRPr="00395593">
        <w:rPr>
          <w:rFonts w:ascii="Garamond" w:hAnsi="Garamond"/>
          <w:sz w:val="24"/>
        </w:rPr>
        <w:t>, contração na demanda ou mudanças</w:t>
      </w:r>
      <w:r w:rsidRPr="00395593">
        <w:rPr>
          <w:rFonts w:ascii="Garamond" w:hAnsi="Garamond"/>
          <w:spacing w:val="1"/>
          <w:sz w:val="24"/>
        </w:rPr>
        <w:t xml:space="preserve"> </w:t>
      </w:r>
      <w:r w:rsidRPr="00395593">
        <w:rPr>
          <w:rFonts w:ascii="Garamond" w:hAnsi="Garamond"/>
          <w:sz w:val="24"/>
        </w:rPr>
        <w:t>nos padrões de consumo, práticas restritivas ao comércio e concorrência entre produtores</w:t>
      </w:r>
      <w:r w:rsidRPr="00395593">
        <w:rPr>
          <w:rFonts w:ascii="Garamond" w:hAnsi="Garamond"/>
          <w:spacing w:val="1"/>
          <w:sz w:val="24"/>
        </w:rPr>
        <w:t xml:space="preserve"> </w:t>
      </w:r>
      <w:r w:rsidRPr="00395593">
        <w:rPr>
          <w:rFonts w:ascii="Garamond" w:hAnsi="Garamond"/>
          <w:sz w:val="24"/>
        </w:rPr>
        <w:t>nacionais e estrangeiros, progresso tecnológico, desempenho exportador e produtividade da</w:t>
      </w:r>
      <w:r w:rsidR="00D3137B" w:rsidRPr="00395593">
        <w:rPr>
          <w:rFonts w:ascii="Garamond" w:hAnsi="Garamond"/>
          <w:sz w:val="24"/>
        </w:rPr>
        <w:t xml:space="preserve"> </w:t>
      </w:r>
      <w:r w:rsidRPr="00395593">
        <w:rPr>
          <w:rFonts w:ascii="Garamond" w:hAnsi="Garamond"/>
          <w:spacing w:val="-57"/>
          <w:sz w:val="24"/>
        </w:rPr>
        <w:t xml:space="preserve"> </w:t>
      </w:r>
      <w:r w:rsidRPr="00395593">
        <w:rPr>
          <w:rFonts w:ascii="Garamond" w:hAnsi="Garamond"/>
          <w:sz w:val="24"/>
        </w:rPr>
        <w:t>indústria</w:t>
      </w:r>
      <w:r w:rsidRPr="00395593">
        <w:rPr>
          <w:rFonts w:ascii="Garamond" w:hAnsi="Garamond"/>
          <w:spacing w:val="-2"/>
          <w:sz w:val="24"/>
        </w:rPr>
        <w:t xml:space="preserve"> </w:t>
      </w:r>
      <w:r w:rsidRPr="00395593">
        <w:rPr>
          <w:rFonts w:ascii="Garamond" w:hAnsi="Garamond"/>
          <w:sz w:val="24"/>
        </w:rPr>
        <w:t>nacional.</w:t>
      </w:r>
    </w:p>
    <w:p w14:paraId="1A074C82" w14:textId="77777777" w:rsidR="0013285C" w:rsidRPr="00395593" w:rsidRDefault="0013285C" w:rsidP="0013285C">
      <w:pPr>
        <w:pStyle w:val="PargrafodaLista"/>
        <w:widowControl w:val="0"/>
        <w:tabs>
          <w:tab w:val="left" w:pos="810"/>
        </w:tabs>
        <w:autoSpaceDE w:val="0"/>
        <w:autoSpaceDN w:val="0"/>
        <w:spacing w:after="0" w:line="240" w:lineRule="auto"/>
        <w:ind w:left="102" w:right="116"/>
        <w:contextualSpacing w:val="0"/>
        <w:jc w:val="both"/>
        <w:rPr>
          <w:rFonts w:ascii="Garamond" w:hAnsi="Garamond"/>
          <w:sz w:val="24"/>
        </w:rPr>
      </w:pPr>
    </w:p>
    <w:p w14:paraId="74B49645" w14:textId="77777777" w:rsidR="0013285C" w:rsidRPr="00395593" w:rsidRDefault="0013285C" w:rsidP="002C4340">
      <w:pPr>
        <w:pStyle w:val="PargrafodaLista"/>
        <w:widowControl w:val="0"/>
        <w:numPr>
          <w:ilvl w:val="0"/>
          <w:numId w:val="23"/>
        </w:numPr>
        <w:tabs>
          <w:tab w:val="left" w:pos="810"/>
        </w:tabs>
        <w:autoSpaceDE w:val="0"/>
        <w:autoSpaceDN w:val="0"/>
        <w:spacing w:before="68" w:after="0" w:line="240" w:lineRule="auto"/>
        <w:ind w:right="117" w:firstLine="0"/>
        <w:contextualSpacing w:val="0"/>
        <w:jc w:val="both"/>
        <w:rPr>
          <w:rFonts w:ascii="Garamond" w:hAnsi="Garamond"/>
          <w:sz w:val="24"/>
        </w:rPr>
      </w:pP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efeito</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importações</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preços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i/>
          <w:sz w:val="24"/>
        </w:rPr>
        <w:t>dumping</w:t>
      </w:r>
      <w:r w:rsidRPr="00395593">
        <w:rPr>
          <w:rFonts w:ascii="Garamond" w:hAnsi="Garamond"/>
          <w:i/>
          <w:spacing w:val="1"/>
          <w:sz w:val="24"/>
        </w:rPr>
        <w:t xml:space="preserve"> </w:t>
      </w:r>
      <w:r w:rsidRPr="00395593">
        <w:rPr>
          <w:rFonts w:ascii="Garamond" w:hAnsi="Garamond"/>
          <w:sz w:val="24"/>
        </w:rPr>
        <w:t>serão</w:t>
      </w:r>
      <w:r w:rsidRPr="00395593">
        <w:rPr>
          <w:rFonts w:ascii="Garamond" w:hAnsi="Garamond"/>
          <w:spacing w:val="1"/>
          <w:sz w:val="24"/>
        </w:rPr>
        <w:t xml:space="preserve"> </w:t>
      </w:r>
      <w:r w:rsidRPr="00395593">
        <w:rPr>
          <w:rFonts w:ascii="Garamond" w:hAnsi="Garamond"/>
          <w:sz w:val="24"/>
        </w:rPr>
        <w:t>avaliados</w:t>
      </w:r>
      <w:r w:rsidRPr="00395593">
        <w:rPr>
          <w:rFonts w:ascii="Garamond" w:hAnsi="Garamond"/>
          <w:spacing w:val="1"/>
          <w:sz w:val="24"/>
        </w:rPr>
        <w:t xml:space="preserve"> </w:t>
      </w:r>
      <w:r w:rsidRPr="00395593">
        <w:rPr>
          <w:rFonts w:ascii="Garamond" w:hAnsi="Garamond"/>
          <w:sz w:val="24"/>
        </w:rPr>
        <w:t>com</w:t>
      </w:r>
      <w:r w:rsidRPr="00395593">
        <w:rPr>
          <w:rFonts w:ascii="Garamond" w:hAnsi="Garamond"/>
          <w:spacing w:val="1"/>
          <w:sz w:val="24"/>
        </w:rPr>
        <w:t xml:space="preserve"> </w:t>
      </w:r>
      <w:r w:rsidRPr="00395593">
        <w:rPr>
          <w:rFonts w:ascii="Garamond" w:hAnsi="Garamond"/>
          <w:sz w:val="24"/>
        </w:rPr>
        <w:t>relação</w:t>
      </w:r>
      <w:r w:rsidRPr="00395593">
        <w:rPr>
          <w:rFonts w:ascii="Garamond" w:hAnsi="Garamond"/>
          <w:spacing w:val="1"/>
          <w:sz w:val="24"/>
        </w:rPr>
        <w:t xml:space="preserve"> </w:t>
      </w:r>
      <w:r w:rsidRPr="00395593">
        <w:rPr>
          <w:rFonts w:ascii="Garamond" w:hAnsi="Garamond"/>
          <w:sz w:val="24"/>
        </w:rPr>
        <w:t>à</w:t>
      </w:r>
      <w:r w:rsidRPr="00395593">
        <w:rPr>
          <w:rFonts w:ascii="Garamond" w:hAnsi="Garamond"/>
          <w:spacing w:val="-57"/>
          <w:sz w:val="24"/>
        </w:rPr>
        <w:t xml:space="preserve"> </w:t>
      </w:r>
      <w:r w:rsidRPr="00395593">
        <w:rPr>
          <w:rFonts w:ascii="Garamond" w:hAnsi="Garamond"/>
          <w:sz w:val="24"/>
        </w:rPr>
        <w:t>produção</w:t>
      </w:r>
      <w:r w:rsidRPr="00395593">
        <w:rPr>
          <w:rFonts w:ascii="Garamond" w:hAnsi="Garamond"/>
          <w:spacing w:val="1"/>
          <w:sz w:val="24"/>
        </w:rPr>
        <w:t xml:space="preserve"> </w:t>
      </w:r>
      <w:r w:rsidRPr="00395593">
        <w:rPr>
          <w:rFonts w:ascii="Garamond" w:hAnsi="Garamond"/>
          <w:sz w:val="24"/>
        </w:rPr>
        <w:t>interna</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produto</w:t>
      </w:r>
      <w:r w:rsidRPr="00395593">
        <w:rPr>
          <w:rFonts w:ascii="Garamond" w:hAnsi="Garamond"/>
          <w:spacing w:val="1"/>
          <w:sz w:val="24"/>
        </w:rPr>
        <w:t xml:space="preserve"> </w:t>
      </w:r>
      <w:r w:rsidRPr="00395593">
        <w:rPr>
          <w:rFonts w:ascii="Garamond" w:hAnsi="Garamond"/>
          <w:sz w:val="24"/>
        </w:rPr>
        <w:t>similar</w:t>
      </w:r>
      <w:r w:rsidRPr="00395593">
        <w:rPr>
          <w:rFonts w:ascii="Garamond" w:hAnsi="Garamond"/>
          <w:spacing w:val="1"/>
          <w:sz w:val="24"/>
        </w:rPr>
        <w:t xml:space="preserve"> </w:t>
      </w:r>
      <w:r w:rsidRPr="00395593">
        <w:rPr>
          <w:rFonts w:ascii="Garamond" w:hAnsi="Garamond"/>
          <w:sz w:val="24"/>
        </w:rPr>
        <w:t>quando</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dados</w:t>
      </w:r>
      <w:r w:rsidRPr="00395593">
        <w:rPr>
          <w:rFonts w:ascii="Garamond" w:hAnsi="Garamond"/>
          <w:spacing w:val="1"/>
          <w:sz w:val="24"/>
        </w:rPr>
        <w:t xml:space="preserve"> </w:t>
      </w:r>
      <w:r w:rsidRPr="00395593">
        <w:rPr>
          <w:rFonts w:ascii="Garamond" w:hAnsi="Garamond"/>
          <w:sz w:val="24"/>
        </w:rPr>
        <w:t>disponíveis</w:t>
      </w:r>
      <w:r w:rsidRPr="00395593">
        <w:rPr>
          <w:rFonts w:ascii="Garamond" w:hAnsi="Garamond"/>
          <w:spacing w:val="1"/>
          <w:sz w:val="24"/>
        </w:rPr>
        <w:t xml:space="preserve"> </w:t>
      </w:r>
      <w:r w:rsidRPr="00395593">
        <w:rPr>
          <w:rFonts w:ascii="Garamond" w:hAnsi="Garamond"/>
          <w:sz w:val="24"/>
        </w:rPr>
        <w:t>permitirem</w:t>
      </w:r>
      <w:r w:rsidRPr="00395593">
        <w:rPr>
          <w:rFonts w:ascii="Garamond" w:hAnsi="Garamond"/>
          <w:spacing w:val="6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identificação individualizada daquela produção a partir de critérios tais como o processo</w:t>
      </w:r>
      <w:r w:rsidRPr="00395593">
        <w:rPr>
          <w:rFonts w:ascii="Garamond" w:hAnsi="Garamond"/>
          <w:spacing w:val="1"/>
          <w:sz w:val="24"/>
        </w:rPr>
        <w:t xml:space="preserve"> </w:t>
      </w:r>
      <w:r w:rsidRPr="00395593">
        <w:rPr>
          <w:rFonts w:ascii="Garamond" w:hAnsi="Garamond"/>
          <w:sz w:val="24"/>
        </w:rPr>
        <w:t>produtivo,</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vendas</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produtor</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lucros.</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tal</w:t>
      </w:r>
      <w:r w:rsidRPr="00395593">
        <w:rPr>
          <w:rFonts w:ascii="Garamond" w:hAnsi="Garamond"/>
          <w:spacing w:val="1"/>
          <w:sz w:val="24"/>
        </w:rPr>
        <w:t xml:space="preserve"> </w:t>
      </w:r>
      <w:r w:rsidRPr="00395593">
        <w:rPr>
          <w:rFonts w:ascii="Garamond" w:hAnsi="Garamond"/>
          <w:sz w:val="24"/>
        </w:rPr>
        <w:t>identificação</w:t>
      </w:r>
      <w:r w:rsidRPr="00395593">
        <w:rPr>
          <w:rFonts w:ascii="Garamond" w:hAnsi="Garamond"/>
          <w:spacing w:val="1"/>
          <w:sz w:val="24"/>
        </w:rPr>
        <w:t xml:space="preserve"> </w:t>
      </w:r>
      <w:r w:rsidRPr="00395593">
        <w:rPr>
          <w:rFonts w:ascii="Garamond" w:hAnsi="Garamond"/>
          <w:sz w:val="24"/>
        </w:rPr>
        <w:t>individualizada</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produção</w:t>
      </w:r>
      <w:r w:rsidRPr="00395593">
        <w:rPr>
          <w:rFonts w:ascii="Garamond" w:hAnsi="Garamond"/>
          <w:spacing w:val="1"/>
          <w:sz w:val="24"/>
        </w:rPr>
        <w:t xml:space="preserve"> </w:t>
      </w:r>
      <w:r w:rsidRPr="00395593">
        <w:rPr>
          <w:rFonts w:ascii="Garamond" w:hAnsi="Garamond"/>
          <w:sz w:val="24"/>
        </w:rPr>
        <w:t>não</w:t>
      </w:r>
      <w:r w:rsidRPr="00395593">
        <w:rPr>
          <w:rFonts w:ascii="Garamond" w:hAnsi="Garamond"/>
          <w:spacing w:val="1"/>
          <w:sz w:val="24"/>
        </w:rPr>
        <w:t xml:space="preserve"> </w:t>
      </w:r>
      <w:r w:rsidRPr="00395593">
        <w:rPr>
          <w:rFonts w:ascii="Garamond" w:hAnsi="Garamond"/>
          <w:sz w:val="24"/>
        </w:rPr>
        <w:t>for</w:t>
      </w:r>
      <w:r w:rsidRPr="00395593">
        <w:rPr>
          <w:rFonts w:ascii="Garamond" w:hAnsi="Garamond"/>
          <w:spacing w:val="1"/>
          <w:sz w:val="24"/>
        </w:rPr>
        <w:t xml:space="preserve"> </w:t>
      </w:r>
      <w:r w:rsidRPr="00395593">
        <w:rPr>
          <w:rFonts w:ascii="Garamond" w:hAnsi="Garamond"/>
          <w:sz w:val="24"/>
        </w:rPr>
        <w:t>possível,</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efeitos</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importações</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preços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i/>
          <w:sz w:val="24"/>
        </w:rPr>
        <w:t>dumping</w:t>
      </w:r>
      <w:r w:rsidRPr="00395593">
        <w:rPr>
          <w:rFonts w:ascii="Garamond" w:hAnsi="Garamond"/>
          <w:i/>
          <w:spacing w:val="1"/>
          <w:sz w:val="24"/>
        </w:rPr>
        <w:t xml:space="preserve"> </w:t>
      </w:r>
      <w:r w:rsidRPr="00395593">
        <w:rPr>
          <w:rFonts w:ascii="Garamond" w:hAnsi="Garamond"/>
          <w:sz w:val="24"/>
        </w:rPr>
        <w:t>serão</w:t>
      </w:r>
      <w:r w:rsidRPr="00395593">
        <w:rPr>
          <w:rFonts w:ascii="Garamond" w:hAnsi="Garamond"/>
          <w:spacing w:val="1"/>
          <w:sz w:val="24"/>
        </w:rPr>
        <w:t xml:space="preserve"> </w:t>
      </w:r>
      <w:r w:rsidRPr="00395593">
        <w:rPr>
          <w:rFonts w:ascii="Garamond" w:hAnsi="Garamond"/>
          <w:sz w:val="24"/>
        </w:rPr>
        <w:t>determinados pelo exame da produção daquele grupo ou linha de produtos mais semelhante</w:t>
      </w:r>
      <w:r w:rsidRPr="00395593">
        <w:rPr>
          <w:rFonts w:ascii="Garamond" w:hAnsi="Garamond"/>
          <w:spacing w:val="-57"/>
          <w:sz w:val="24"/>
        </w:rPr>
        <w:t xml:space="preserve"> </w:t>
      </w:r>
      <w:r w:rsidRPr="00395593">
        <w:rPr>
          <w:rFonts w:ascii="Garamond" w:hAnsi="Garamond"/>
          <w:sz w:val="24"/>
        </w:rPr>
        <w:t>possível</w:t>
      </w:r>
      <w:r w:rsidRPr="00395593">
        <w:rPr>
          <w:rFonts w:ascii="Garamond" w:hAnsi="Garamond"/>
          <w:spacing w:val="-1"/>
          <w:sz w:val="24"/>
        </w:rPr>
        <w:t xml:space="preserve"> </w:t>
      </w:r>
      <w:r w:rsidRPr="00395593">
        <w:rPr>
          <w:rFonts w:ascii="Garamond" w:hAnsi="Garamond"/>
          <w:sz w:val="24"/>
        </w:rPr>
        <w:t>que inclua</w:t>
      </w:r>
      <w:r w:rsidRPr="00395593">
        <w:rPr>
          <w:rFonts w:ascii="Garamond" w:hAnsi="Garamond"/>
          <w:spacing w:val="-1"/>
          <w:sz w:val="24"/>
        </w:rPr>
        <w:t xml:space="preserve"> </w:t>
      </w:r>
      <w:r w:rsidRPr="00395593">
        <w:rPr>
          <w:rFonts w:ascii="Garamond" w:hAnsi="Garamond"/>
          <w:sz w:val="24"/>
        </w:rPr>
        <w:t>o produto similar</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2"/>
          <w:sz w:val="24"/>
        </w:rPr>
        <w:t xml:space="preserve"> </w:t>
      </w:r>
      <w:r w:rsidRPr="00395593">
        <w:rPr>
          <w:rFonts w:ascii="Garamond" w:hAnsi="Garamond"/>
          <w:sz w:val="24"/>
        </w:rPr>
        <w:t>o qual</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possam obter</w:t>
      </w:r>
      <w:r w:rsidRPr="00395593">
        <w:rPr>
          <w:rFonts w:ascii="Garamond" w:hAnsi="Garamond"/>
          <w:spacing w:val="-3"/>
          <w:sz w:val="24"/>
        </w:rPr>
        <w:t xml:space="preserve"> </w:t>
      </w:r>
      <w:r w:rsidRPr="00395593">
        <w:rPr>
          <w:rFonts w:ascii="Garamond" w:hAnsi="Garamond"/>
          <w:sz w:val="24"/>
        </w:rPr>
        <w:t>os dados</w:t>
      </w:r>
      <w:r w:rsidRPr="00395593">
        <w:rPr>
          <w:rFonts w:ascii="Garamond" w:hAnsi="Garamond"/>
          <w:spacing w:val="2"/>
          <w:sz w:val="24"/>
        </w:rPr>
        <w:t xml:space="preserve"> </w:t>
      </w:r>
      <w:r w:rsidRPr="00395593">
        <w:rPr>
          <w:rFonts w:ascii="Garamond" w:hAnsi="Garamond"/>
          <w:sz w:val="24"/>
        </w:rPr>
        <w:t>necessários.</w:t>
      </w:r>
    </w:p>
    <w:p w14:paraId="4EF5C516" w14:textId="77777777" w:rsidR="0013285C" w:rsidRPr="00395593" w:rsidRDefault="0013285C" w:rsidP="0013285C">
      <w:pPr>
        <w:pStyle w:val="Corpodetexto"/>
        <w:rPr>
          <w:rFonts w:ascii="Garamond" w:hAnsi="Garamond"/>
        </w:rPr>
      </w:pPr>
    </w:p>
    <w:p w14:paraId="4596BCAD" w14:textId="77777777" w:rsidR="0013285C" w:rsidRPr="00395593" w:rsidRDefault="0013285C" w:rsidP="002C4340">
      <w:pPr>
        <w:pStyle w:val="PargrafodaLista"/>
        <w:widowControl w:val="0"/>
        <w:numPr>
          <w:ilvl w:val="0"/>
          <w:numId w:val="23"/>
        </w:numPr>
        <w:tabs>
          <w:tab w:val="left" w:pos="810"/>
        </w:tabs>
        <w:autoSpaceDE w:val="0"/>
        <w:autoSpaceDN w:val="0"/>
        <w:spacing w:after="0" w:line="240" w:lineRule="auto"/>
        <w:ind w:right="119" w:firstLine="0"/>
        <w:contextualSpacing w:val="0"/>
        <w:jc w:val="both"/>
        <w:rPr>
          <w:rFonts w:ascii="Garamond" w:hAnsi="Garamond"/>
          <w:sz w:val="24"/>
        </w:rPr>
      </w:pP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determinação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ameaça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dano</w:t>
      </w:r>
      <w:r w:rsidRPr="00395593">
        <w:rPr>
          <w:rFonts w:ascii="Garamond" w:hAnsi="Garamond"/>
          <w:spacing w:val="1"/>
          <w:sz w:val="24"/>
        </w:rPr>
        <w:t xml:space="preserve"> </w:t>
      </w:r>
      <w:r w:rsidRPr="00395593">
        <w:rPr>
          <w:rFonts w:ascii="Garamond" w:hAnsi="Garamond"/>
          <w:sz w:val="24"/>
        </w:rPr>
        <w:t>material</w:t>
      </w:r>
      <w:r w:rsidRPr="00395593">
        <w:rPr>
          <w:rFonts w:ascii="Garamond" w:hAnsi="Garamond"/>
          <w:spacing w:val="1"/>
          <w:sz w:val="24"/>
        </w:rPr>
        <w:t xml:space="preserve"> </w:t>
      </w:r>
      <w:r w:rsidRPr="00395593">
        <w:rPr>
          <w:rFonts w:ascii="Garamond" w:hAnsi="Garamond"/>
          <w:sz w:val="24"/>
        </w:rPr>
        <w:t>deverá</w:t>
      </w:r>
      <w:r w:rsidRPr="00395593">
        <w:rPr>
          <w:rFonts w:ascii="Garamond" w:hAnsi="Garamond"/>
          <w:spacing w:val="1"/>
          <w:sz w:val="24"/>
        </w:rPr>
        <w:t xml:space="preserve"> </w:t>
      </w:r>
      <w:r w:rsidRPr="00395593">
        <w:rPr>
          <w:rFonts w:ascii="Garamond" w:hAnsi="Garamond"/>
          <w:sz w:val="24"/>
        </w:rPr>
        <w:t>basear-se</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fatos</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não</w:t>
      </w:r>
      <w:r w:rsidRPr="00395593">
        <w:rPr>
          <w:rFonts w:ascii="Garamond" w:hAnsi="Garamond"/>
          <w:spacing w:val="-57"/>
          <w:sz w:val="24"/>
        </w:rPr>
        <w:t xml:space="preserve"> </w:t>
      </w:r>
      <w:r w:rsidRPr="00395593">
        <w:rPr>
          <w:rFonts w:ascii="Garamond" w:hAnsi="Garamond"/>
          <w:sz w:val="24"/>
        </w:rPr>
        <w:t>meramente em alegações, conjecturas ou possibilidades remotas. Mudanças circunstanciais</w:t>
      </w:r>
      <w:r w:rsidRPr="00395593">
        <w:rPr>
          <w:rFonts w:ascii="Garamond" w:hAnsi="Garamond"/>
          <w:spacing w:val="1"/>
          <w:sz w:val="24"/>
        </w:rPr>
        <w:t xml:space="preserve"> </w:t>
      </w:r>
      <w:r w:rsidRPr="00395593">
        <w:rPr>
          <w:rFonts w:ascii="Garamond" w:hAnsi="Garamond"/>
          <w:sz w:val="24"/>
        </w:rPr>
        <w:t>capazes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gerar</w:t>
      </w:r>
      <w:r w:rsidRPr="00395593">
        <w:rPr>
          <w:rFonts w:ascii="Garamond" w:hAnsi="Garamond"/>
          <w:spacing w:val="1"/>
          <w:sz w:val="24"/>
        </w:rPr>
        <w:t xml:space="preserve"> </w:t>
      </w:r>
      <w:r w:rsidRPr="00395593">
        <w:rPr>
          <w:rFonts w:ascii="Garamond" w:hAnsi="Garamond"/>
          <w:sz w:val="24"/>
        </w:rPr>
        <w:t>situação</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i/>
          <w:sz w:val="24"/>
        </w:rPr>
        <w:t>dumping</w:t>
      </w:r>
      <w:r w:rsidRPr="00395593">
        <w:rPr>
          <w:rFonts w:ascii="Garamond" w:hAnsi="Garamond"/>
          <w:i/>
          <w:spacing w:val="1"/>
          <w:sz w:val="24"/>
        </w:rPr>
        <w:t xml:space="preserve"> </w:t>
      </w:r>
      <w:r w:rsidRPr="00395593">
        <w:rPr>
          <w:rFonts w:ascii="Garamond" w:hAnsi="Garamond"/>
          <w:sz w:val="24"/>
        </w:rPr>
        <w:t>causaria</w:t>
      </w:r>
      <w:r w:rsidRPr="00395593">
        <w:rPr>
          <w:rFonts w:ascii="Garamond" w:hAnsi="Garamond"/>
          <w:spacing w:val="1"/>
          <w:sz w:val="24"/>
        </w:rPr>
        <w:t xml:space="preserve"> </w:t>
      </w:r>
      <w:r w:rsidRPr="00395593">
        <w:rPr>
          <w:rFonts w:ascii="Garamond" w:hAnsi="Garamond"/>
          <w:sz w:val="24"/>
        </w:rPr>
        <w:t>dano</w:t>
      </w:r>
      <w:r w:rsidRPr="00395593">
        <w:rPr>
          <w:rFonts w:ascii="Garamond" w:hAnsi="Garamond"/>
          <w:spacing w:val="1"/>
          <w:sz w:val="24"/>
        </w:rPr>
        <w:t xml:space="preserve"> </w:t>
      </w:r>
      <w:r w:rsidRPr="00395593">
        <w:rPr>
          <w:rFonts w:ascii="Garamond" w:hAnsi="Garamond"/>
          <w:sz w:val="24"/>
        </w:rPr>
        <w:t>devem</w:t>
      </w:r>
      <w:r w:rsidRPr="00395593">
        <w:rPr>
          <w:rFonts w:ascii="Garamond" w:hAnsi="Garamond"/>
          <w:spacing w:val="1"/>
          <w:sz w:val="24"/>
        </w:rPr>
        <w:t xml:space="preserve"> </w:t>
      </w:r>
      <w:r w:rsidRPr="00395593">
        <w:rPr>
          <w:rFonts w:ascii="Garamond" w:hAnsi="Garamond"/>
          <w:sz w:val="24"/>
        </w:rPr>
        <w:t>ser</w:t>
      </w:r>
      <w:r w:rsidRPr="00395593">
        <w:rPr>
          <w:rFonts w:ascii="Garamond" w:hAnsi="Garamond"/>
          <w:spacing w:val="60"/>
          <w:sz w:val="24"/>
        </w:rPr>
        <w:t xml:space="preserve"> </w:t>
      </w:r>
      <w:r w:rsidRPr="00395593">
        <w:rPr>
          <w:rFonts w:ascii="Garamond" w:hAnsi="Garamond"/>
          <w:sz w:val="24"/>
        </w:rPr>
        <w:t>claramente</w:t>
      </w:r>
      <w:r w:rsidRPr="00395593">
        <w:rPr>
          <w:rFonts w:ascii="Garamond" w:hAnsi="Garamond"/>
          <w:spacing w:val="1"/>
          <w:sz w:val="24"/>
        </w:rPr>
        <w:t xml:space="preserve"> </w:t>
      </w:r>
      <w:r w:rsidRPr="00395593">
        <w:rPr>
          <w:rFonts w:ascii="Garamond" w:hAnsi="Garamond"/>
          <w:sz w:val="24"/>
        </w:rPr>
        <w:t xml:space="preserve">previsíveis e iminentes </w:t>
      </w:r>
      <w:r w:rsidRPr="00395593">
        <w:rPr>
          <w:rFonts w:ascii="Garamond" w:hAnsi="Garamond"/>
          <w:sz w:val="24"/>
          <w:vertAlign w:val="superscript"/>
        </w:rPr>
        <w:t>10</w:t>
      </w:r>
      <w:r w:rsidRPr="00395593">
        <w:rPr>
          <w:rFonts w:ascii="Garamond" w:hAnsi="Garamond"/>
          <w:sz w:val="24"/>
        </w:rPr>
        <w:t>. Na determinação de existência de ameaça de dano material, 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deverão</w:t>
      </w:r>
      <w:r w:rsidRPr="00395593">
        <w:rPr>
          <w:rFonts w:ascii="Garamond" w:hAnsi="Garamond"/>
          <w:spacing w:val="2"/>
          <w:sz w:val="24"/>
        </w:rPr>
        <w:t xml:space="preserve"> </w:t>
      </w:r>
      <w:r w:rsidRPr="00395593">
        <w:rPr>
          <w:rFonts w:ascii="Garamond" w:hAnsi="Garamond"/>
          <w:sz w:val="24"/>
        </w:rPr>
        <w:t xml:space="preserve">considerar, </w:t>
      </w:r>
      <w:r w:rsidRPr="00395593">
        <w:rPr>
          <w:rFonts w:ascii="Garamond" w:hAnsi="Garamond"/>
          <w:i/>
          <w:sz w:val="24"/>
        </w:rPr>
        <w:t>inter alia</w:t>
      </w:r>
      <w:r w:rsidRPr="00395593">
        <w:rPr>
          <w:rFonts w:ascii="Garamond" w:hAnsi="Garamond"/>
          <w:sz w:val="24"/>
        </w:rPr>
        <w:t>,</w:t>
      </w:r>
      <w:r w:rsidRPr="00395593">
        <w:rPr>
          <w:rFonts w:ascii="Garamond" w:hAnsi="Garamond"/>
          <w:spacing w:val="-1"/>
          <w:sz w:val="24"/>
        </w:rPr>
        <w:t xml:space="preserve"> </w:t>
      </w:r>
      <w:r w:rsidRPr="00395593">
        <w:rPr>
          <w:rFonts w:ascii="Garamond" w:hAnsi="Garamond"/>
          <w:sz w:val="24"/>
        </w:rPr>
        <w:t>os seguintes fatores:</w:t>
      </w:r>
    </w:p>
    <w:p w14:paraId="42D110F7" w14:textId="77777777" w:rsidR="0013285C" w:rsidRPr="00395593" w:rsidRDefault="0013285C" w:rsidP="0013285C">
      <w:pPr>
        <w:pStyle w:val="Corpodetexto"/>
        <w:spacing w:before="1"/>
        <w:rPr>
          <w:rFonts w:ascii="Garamond" w:hAnsi="Garamond"/>
        </w:rPr>
      </w:pPr>
    </w:p>
    <w:p w14:paraId="69849E95" w14:textId="77777777" w:rsidR="0013285C" w:rsidRPr="00395593" w:rsidRDefault="0013285C" w:rsidP="002C4340">
      <w:pPr>
        <w:pStyle w:val="PargrafodaLista"/>
        <w:widowControl w:val="0"/>
        <w:numPr>
          <w:ilvl w:val="1"/>
          <w:numId w:val="23"/>
        </w:numPr>
        <w:tabs>
          <w:tab w:val="left" w:pos="1206"/>
        </w:tabs>
        <w:autoSpaceDE w:val="0"/>
        <w:autoSpaceDN w:val="0"/>
        <w:spacing w:after="0" w:line="240" w:lineRule="auto"/>
        <w:ind w:left="821" w:right="121" w:firstLine="0"/>
        <w:contextualSpacing w:val="0"/>
        <w:jc w:val="both"/>
        <w:rPr>
          <w:rFonts w:ascii="Garamond" w:hAnsi="Garamond"/>
          <w:sz w:val="24"/>
        </w:rPr>
      </w:pPr>
      <w:r w:rsidRPr="00395593">
        <w:rPr>
          <w:rFonts w:ascii="Garamond" w:hAnsi="Garamond"/>
          <w:sz w:val="24"/>
        </w:rPr>
        <w:t>significativa</w:t>
      </w:r>
      <w:r w:rsidRPr="00395593">
        <w:rPr>
          <w:rFonts w:ascii="Garamond" w:hAnsi="Garamond"/>
          <w:spacing w:val="1"/>
          <w:sz w:val="24"/>
        </w:rPr>
        <w:t xml:space="preserve"> </w:t>
      </w:r>
      <w:r w:rsidRPr="00395593">
        <w:rPr>
          <w:rFonts w:ascii="Garamond" w:hAnsi="Garamond"/>
          <w:sz w:val="24"/>
        </w:rPr>
        <w:t>taxa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crescimento</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disponibilidade</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mercado</w:t>
      </w:r>
      <w:r w:rsidRPr="00395593">
        <w:rPr>
          <w:rFonts w:ascii="Garamond" w:hAnsi="Garamond"/>
          <w:spacing w:val="1"/>
          <w:sz w:val="24"/>
        </w:rPr>
        <w:t xml:space="preserve"> </w:t>
      </w:r>
      <w:r w:rsidRPr="00395593">
        <w:rPr>
          <w:rFonts w:ascii="Garamond" w:hAnsi="Garamond"/>
          <w:sz w:val="24"/>
        </w:rPr>
        <w:t>interno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57"/>
          <w:sz w:val="24"/>
        </w:rPr>
        <w:t xml:space="preserve"> </w:t>
      </w:r>
      <w:r w:rsidRPr="00395593">
        <w:rPr>
          <w:rFonts w:ascii="Garamond" w:hAnsi="Garamond"/>
          <w:sz w:val="24"/>
        </w:rPr>
        <w:t>produtos</w:t>
      </w:r>
      <w:r w:rsidRPr="00395593">
        <w:rPr>
          <w:rFonts w:ascii="Garamond" w:hAnsi="Garamond"/>
          <w:spacing w:val="1"/>
          <w:sz w:val="24"/>
        </w:rPr>
        <w:t xml:space="preserve"> </w:t>
      </w:r>
      <w:r w:rsidRPr="00395593">
        <w:rPr>
          <w:rFonts w:ascii="Garamond" w:hAnsi="Garamond"/>
          <w:sz w:val="24"/>
        </w:rPr>
        <w:t>importados</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preços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i/>
          <w:sz w:val="24"/>
        </w:rPr>
        <w:t>dumping</w:t>
      </w:r>
      <w:r w:rsidRPr="00395593">
        <w:rPr>
          <w:rFonts w:ascii="Garamond" w:hAnsi="Garamond"/>
          <w:sz w:val="24"/>
        </w:rPr>
        <w:t>,</w:t>
      </w:r>
      <w:r w:rsidRPr="00395593">
        <w:rPr>
          <w:rFonts w:ascii="Garamond" w:hAnsi="Garamond"/>
          <w:spacing w:val="1"/>
          <w:sz w:val="24"/>
        </w:rPr>
        <w:t xml:space="preserve"> </w:t>
      </w:r>
      <w:r w:rsidRPr="00395593">
        <w:rPr>
          <w:rFonts w:ascii="Garamond" w:hAnsi="Garamond"/>
          <w:sz w:val="24"/>
        </w:rPr>
        <w:t>indicativa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provável</w:t>
      </w:r>
      <w:r w:rsidRPr="00395593">
        <w:rPr>
          <w:rFonts w:ascii="Garamond" w:hAnsi="Garamond"/>
          <w:spacing w:val="1"/>
          <w:sz w:val="24"/>
        </w:rPr>
        <w:t xml:space="preserve"> </w:t>
      </w:r>
      <w:r w:rsidRPr="00395593">
        <w:rPr>
          <w:rFonts w:ascii="Garamond" w:hAnsi="Garamond"/>
          <w:sz w:val="24"/>
        </w:rPr>
        <w:t>aumento</w:t>
      </w:r>
      <w:r w:rsidRPr="00395593">
        <w:rPr>
          <w:rFonts w:ascii="Garamond" w:hAnsi="Garamond"/>
          <w:spacing w:val="1"/>
          <w:sz w:val="24"/>
        </w:rPr>
        <w:t xml:space="preserve"> </w:t>
      </w:r>
      <w:r w:rsidRPr="00395593">
        <w:rPr>
          <w:rFonts w:ascii="Garamond" w:hAnsi="Garamond"/>
          <w:sz w:val="24"/>
        </w:rPr>
        <w:t>substancial</w:t>
      </w:r>
      <w:r w:rsidRPr="00395593">
        <w:rPr>
          <w:rFonts w:ascii="Garamond" w:hAnsi="Garamond"/>
          <w:spacing w:val="-1"/>
          <w:sz w:val="24"/>
        </w:rPr>
        <w:t xml:space="preserve"> </w:t>
      </w:r>
      <w:r w:rsidRPr="00395593">
        <w:rPr>
          <w:rFonts w:ascii="Garamond" w:hAnsi="Garamond"/>
          <w:sz w:val="24"/>
        </w:rPr>
        <w:t>nas importações;</w:t>
      </w:r>
    </w:p>
    <w:p w14:paraId="1FC4A594" w14:textId="77777777" w:rsidR="0013285C" w:rsidRPr="00395593" w:rsidRDefault="0013285C" w:rsidP="0013285C">
      <w:pPr>
        <w:pStyle w:val="Corpodetexto"/>
        <w:rPr>
          <w:rFonts w:ascii="Garamond" w:hAnsi="Garamond"/>
        </w:rPr>
      </w:pPr>
    </w:p>
    <w:p w14:paraId="5610E45F" w14:textId="77777777" w:rsidR="0013285C" w:rsidRPr="00395593" w:rsidRDefault="0013285C" w:rsidP="002C4340">
      <w:pPr>
        <w:pStyle w:val="PargrafodaLista"/>
        <w:widowControl w:val="0"/>
        <w:numPr>
          <w:ilvl w:val="1"/>
          <w:numId w:val="23"/>
        </w:numPr>
        <w:tabs>
          <w:tab w:val="left" w:pos="1273"/>
        </w:tabs>
        <w:autoSpaceDE w:val="0"/>
        <w:autoSpaceDN w:val="0"/>
        <w:spacing w:after="0" w:line="240" w:lineRule="auto"/>
        <w:ind w:left="821" w:right="117" w:firstLine="0"/>
        <w:contextualSpacing w:val="0"/>
        <w:jc w:val="both"/>
        <w:rPr>
          <w:rFonts w:ascii="Garamond" w:hAnsi="Garamond"/>
          <w:sz w:val="24"/>
        </w:rPr>
      </w:pPr>
      <w:r w:rsidRPr="00395593">
        <w:rPr>
          <w:rFonts w:ascii="Garamond" w:hAnsi="Garamond"/>
          <w:sz w:val="24"/>
        </w:rPr>
        <w:t>suficientes</w:t>
      </w:r>
      <w:r w:rsidRPr="00395593">
        <w:rPr>
          <w:rFonts w:ascii="Garamond" w:hAnsi="Garamond"/>
          <w:spacing w:val="1"/>
          <w:sz w:val="24"/>
        </w:rPr>
        <w:t xml:space="preserve"> </w:t>
      </w:r>
      <w:r w:rsidRPr="00395593">
        <w:rPr>
          <w:rFonts w:ascii="Garamond" w:hAnsi="Garamond"/>
          <w:sz w:val="24"/>
        </w:rPr>
        <w:t>quantidades</w:t>
      </w:r>
      <w:r w:rsidRPr="00395593">
        <w:rPr>
          <w:rFonts w:ascii="Garamond" w:hAnsi="Garamond"/>
          <w:spacing w:val="1"/>
          <w:sz w:val="24"/>
        </w:rPr>
        <w:t xml:space="preserve"> </w:t>
      </w:r>
      <w:r w:rsidRPr="00395593">
        <w:rPr>
          <w:rFonts w:ascii="Garamond" w:hAnsi="Garamond"/>
          <w:sz w:val="24"/>
        </w:rPr>
        <w:t>disponíveis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iminente</w:t>
      </w:r>
      <w:r w:rsidRPr="00395593">
        <w:rPr>
          <w:rFonts w:ascii="Garamond" w:hAnsi="Garamond"/>
          <w:spacing w:val="1"/>
          <w:sz w:val="24"/>
        </w:rPr>
        <w:t xml:space="preserve"> </w:t>
      </w:r>
      <w:r w:rsidRPr="00395593">
        <w:rPr>
          <w:rFonts w:ascii="Garamond" w:hAnsi="Garamond"/>
          <w:sz w:val="24"/>
        </w:rPr>
        <w:t>aumento</w:t>
      </w:r>
      <w:r w:rsidRPr="00395593">
        <w:rPr>
          <w:rFonts w:ascii="Garamond" w:hAnsi="Garamond"/>
          <w:spacing w:val="1"/>
          <w:sz w:val="24"/>
        </w:rPr>
        <w:t xml:space="preserve"> </w:t>
      </w:r>
      <w:r w:rsidRPr="00395593">
        <w:rPr>
          <w:rFonts w:ascii="Garamond" w:hAnsi="Garamond"/>
          <w:sz w:val="24"/>
        </w:rPr>
        <w:t>substancial</w:t>
      </w:r>
      <w:r w:rsidRPr="00395593">
        <w:rPr>
          <w:rFonts w:ascii="Garamond" w:hAnsi="Garamond"/>
          <w:spacing w:val="1"/>
          <w:sz w:val="24"/>
        </w:rPr>
        <w:t xml:space="preserve"> </w:t>
      </w:r>
      <w:r w:rsidRPr="00395593">
        <w:rPr>
          <w:rFonts w:ascii="Garamond" w:hAnsi="Garamond"/>
          <w:sz w:val="24"/>
        </w:rPr>
        <w:t>na</w:t>
      </w:r>
      <w:r w:rsidRPr="00395593">
        <w:rPr>
          <w:rFonts w:ascii="Garamond" w:hAnsi="Garamond"/>
          <w:spacing w:val="1"/>
          <w:sz w:val="24"/>
        </w:rPr>
        <w:t xml:space="preserve"> </w:t>
      </w:r>
      <w:r w:rsidRPr="00395593">
        <w:rPr>
          <w:rFonts w:ascii="Garamond" w:hAnsi="Garamond"/>
          <w:sz w:val="24"/>
        </w:rPr>
        <w:t>capacidade do exportador que indiquem a probabilidade de significativo aumento</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exportações</w:t>
      </w:r>
      <w:r w:rsidRPr="00395593">
        <w:rPr>
          <w:rFonts w:ascii="Garamond" w:hAnsi="Garamond"/>
          <w:spacing w:val="1"/>
          <w:sz w:val="24"/>
        </w:rPr>
        <w:t xml:space="preserve"> </w:t>
      </w:r>
      <w:r w:rsidRPr="00395593">
        <w:rPr>
          <w:rFonts w:ascii="Garamond" w:hAnsi="Garamond"/>
          <w:sz w:val="24"/>
        </w:rPr>
        <w:t>a preços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i/>
          <w:sz w:val="24"/>
        </w:rPr>
        <w:t>dumping</w:t>
      </w:r>
      <w:r w:rsidRPr="00395593">
        <w:rPr>
          <w:rFonts w:ascii="Garamond" w:hAnsi="Garamond"/>
          <w:i/>
          <w:spacing w:val="1"/>
          <w:sz w:val="24"/>
        </w:rPr>
        <w:t xml:space="preserve"> </w:t>
      </w:r>
      <w:r w:rsidRPr="00395593">
        <w:rPr>
          <w:rFonts w:ascii="Garamond" w:hAnsi="Garamond"/>
          <w:sz w:val="24"/>
        </w:rPr>
        <w:t>para o</w:t>
      </w:r>
      <w:r w:rsidRPr="00395593">
        <w:rPr>
          <w:rFonts w:ascii="Garamond" w:hAnsi="Garamond"/>
          <w:spacing w:val="1"/>
          <w:sz w:val="24"/>
        </w:rPr>
        <w:t xml:space="preserve"> </w:t>
      </w:r>
      <w:r w:rsidRPr="00395593">
        <w:rPr>
          <w:rFonts w:ascii="Garamond" w:hAnsi="Garamond"/>
          <w:sz w:val="24"/>
        </w:rPr>
        <w:t>mercado</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Membro importador,</w:t>
      </w:r>
      <w:r w:rsidRPr="00395593">
        <w:rPr>
          <w:rFonts w:ascii="Garamond" w:hAnsi="Garamond"/>
          <w:spacing w:val="1"/>
          <w:sz w:val="24"/>
        </w:rPr>
        <w:t xml:space="preserve"> </w:t>
      </w:r>
      <w:r w:rsidRPr="00395593">
        <w:rPr>
          <w:rFonts w:ascii="Garamond" w:hAnsi="Garamond"/>
          <w:sz w:val="24"/>
        </w:rPr>
        <w:t>considerando-se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existência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outros</w:t>
      </w:r>
      <w:r w:rsidRPr="00395593">
        <w:rPr>
          <w:rFonts w:ascii="Garamond" w:hAnsi="Garamond"/>
          <w:spacing w:val="1"/>
          <w:sz w:val="24"/>
        </w:rPr>
        <w:t xml:space="preserve"> </w:t>
      </w:r>
      <w:r w:rsidRPr="00395593">
        <w:rPr>
          <w:rFonts w:ascii="Garamond" w:hAnsi="Garamond"/>
          <w:sz w:val="24"/>
        </w:rPr>
        <w:t>mercados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exportação</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60"/>
          <w:sz w:val="24"/>
        </w:rPr>
        <w:t xml:space="preserve"> </w:t>
      </w:r>
      <w:r w:rsidRPr="00395593">
        <w:rPr>
          <w:rFonts w:ascii="Garamond" w:hAnsi="Garamond"/>
          <w:sz w:val="24"/>
        </w:rPr>
        <w:t>possam</w:t>
      </w:r>
      <w:r w:rsidRPr="00395593">
        <w:rPr>
          <w:rFonts w:ascii="Garamond" w:hAnsi="Garamond"/>
          <w:spacing w:val="1"/>
          <w:sz w:val="24"/>
        </w:rPr>
        <w:t xml:space="preserve"> </w:t>
      </w:r>
      <w:r w:rsidRPr="00395593">
        <w:rPr>
          <w:rFonts w:ascii="Garamond" w:hAnsi="Garamond"/>
          <w:sz w:val="24"/>
        </w:rPr>
        <w:t>absorver</w:t>
      </w:r>
      <w:r w:rsidRPr="00395593">
        <w:rPr>
          <w:rFonts w:ascii="Garamond" w:hAnsi="Garamond"/>
          <w:spacing w:val="-1"/>
          <w:sz w:val="24"/>
        </w:rPr>
        <w:t xml:space="preserve"> </w:t>
      </w:r>
      <w:r w:rsidRPr="00395593">
        <w:rPr>
          <w:rFonts w:ascii="Garamond" w:hAnsi="Garamond"/>
          <w:sz w:val="24"/>
        </w:rPr>
        <w:t>o possível</w:t>
      </w:r>
      <w:r w:rsidRPr="00395593">
        <w:rPr>
          <w:rFonts w:ascii="Garamond" w:hAnsi="Garamond"/>
          <w:spacing w:val="2"/>
          <w:sz w:val="24"/>
        </w:rPr>
        <w:t xml:space="preserve"> </w:t>
      </w:r>
      <w:r w:rsidRPr="00395593">
        <w:rPr>
          <w:rFonts w:ascii="Garamond" w:hAnsi="Garamond"/>
          <w:sz w:val="24"/>
        </w:rPr>
        <w:t>aumento das exportações;</w:t>
      </w:r>
    </w:p>
    <w:p w14:paraId="611606E6" w14:textId="77777777" w:rsidR="0013285C" w:rsidRPr="00395593" w:rsidRDefault="0013285C" w:rsidP="0013285C">
      <w:pPr>
        <w:pStyle w:val="Corpodetexto"/>
        <w:rPr>
          <w:rFonts w:ascii="Garamond" w:hAnsi="Garamond"/>
        </w:rPr>
      </w:pPr>
    </w:p>
    <w:p w14:paraId="25137F19" w14:textId="77777777" w:rsidR="0013285C" w:rsidRPr="00395593" w:rsidRDefault="0013285C" w:rsidP="002C4340">
      <w:pPr>
        <w:pStyle w:val="PargrafodaLista"/>
        <w:widowControl w:val="0"/>
        <w:numPr>
          <w:ilvl w:val="1"/>
          <w:numId w:val="23"/>
        </w:numPr>
        <w:tabs>
          <w:tab w:val="left" w:pos="1204"/>
        </w:tabs>
        <w:autoSpaceDE w:val="0"/>
        <w:autoSpaceDN w:val="0"/>
        <w:spacing w:after="0" w:line="240" w:lineRule="auto"/>
        <w:ind w:left="821" w:right="119" w:firstLine="0"/>
        <w:contextualSpacing w:val="0"/>
        <w:jc w:val="both"/>
        <w:rPr>
          <w:rFonts w:ascii="Garamond" w:hAnsi="Garamond"/>
          <w:sz w:val="24"/>
        </w:rPr>
      </w:pPr>
      <w:r w:rsidRPr="00395593">
        <w:rPr>
          <w:rFonts w:ascii="Garamond" w:hAnsi="Garamond"/>
          <w:sz w:val="24"/>
        </w:rPr>
        <w:t>se as importações são realizadas a preços que terão significativo efeito em</w:t>
      </w:r>
      <w:r w:rsidRPr="00395593">
        <w:rPr>
          <w:rFonts w:ascii="Garamond" w:hAnsi="Garamond"/>
          <w:spacing w:val="1"/>
          <w:sz w:val="24"/>
        </w:rPr>
        <w:t xml:space="preserve"> </w:t>
      </w:r>
      <w:r w:rsidRPr="00395593">
        <w:rPr>
          <w:rFonts w:ascii="Garamond" w:hAnsi="Garamond"/>
          <w:sz w:val="24"/>
        </w:rPr>
        <w:t>deprimir ou suprimir preços internos e que provavelmente aumentarão a demanda</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novas importações;</w:t>
      </w:r>
    </w:p>
    <w:p w14:paraId="77FF97E1" w14:textId="77777777" w:rsidR="0013285C" w:rsidRPr="00395593" w:rsidRDefault="0013285C" w:rsidP="0013285C">
      <w:pPr>
        <w:pStyle w:val="Corpodetexto"/>
        <w:spacing w:before="1"/>
        <w:rPr>
          <w:rFonts w:ascii="Garamond" w:hAnsi="Garamond"/>
        </w:rPr>
      </w:pPr>
    </w:p>
    <w:p w14:paraId="23727C9D" w14:textId="77777777" w:rsidR="0013285C" w:rsidRPr="00395593" w:rsidRDefault="0013285C" w:rsidP="002C4340">
      <w:pPr>
        <w:pStyle w:val="PargrafodaLista"/>
        <w:widowControl w:val="0"/>
        <w:numPr>
          <w:ilvl w:val="1"/>
          <w:numId w:val="23"/>
        </w:numPr>
        <w:tabs>
          <w:tab w:val="left" w:pos="1149"/>
        </w:tabs>
        <w:autoSpaceDE w:val="0"/>
        <w:autoSpaceDN w:val="0"/>
        <w:spacing w:after="0" w:line="240" w:lineRule="auto"/>
        <w:ind w:left="1148" w:hanging="339"/>
        <w:contextualSpacing w:val="0"/>
        <w:jc w:val="both"/>
        <w:rPr>
          <w:rFonts w:ascii="Garamond" w:hAnsi="Garamond"/>
          <w:sz w:val="24"/>
        </w:rPr>
      </w:pPr>
      <w:r w:rsidRPr="00395593">
        <w:rPr>
          <w:rFonts w:ascii="Garamond" w:hAnsi="Garamond"/>
          <w:sz w:val="24"/>
        </w:rPr>
        <w:t>estoques</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produto</w:t>
      </w:r>
      <w:r w:rsidRPr="00395593">
        <w:rPr>
          <w:rFonts w:ascii="Garamond" w:hAnsi="Garamond"/>
          <w:spacing w:val="-1"/>
          <w:sz w:val="24"/>
        </w:rPr>
        <w:t xml:space="preserve"> </w:t>
      </w:r>
      <w:r w:rsidRPr="00395593">
        <w:rPr>
          <w:rFonts w:ascii="Garamond" w:hAnsi="Garamond"/>
          <w:sz w:val="24"/>
        </w:rPr>
        <w:t>sob</w:t>
      </w:r>
      <w:r w:rsidRPr="00395593">
        <w:rPr>
          <w:rFonts w:ascii="Garamond" w:hAnsi="Garamond"/>
          <w:spacing w:val="-1"/>
          <w:sz w:val="24"/>
        </w:rPr>
        <w:t xml:space="preserve"> </w:t>
      </w:r>
      <w:r w:rsidRPr="00395593">
        <w:rPr>
          <w:rFonts w:ascii="Garamond" w:hAnsi="Garamond"/>
          <w:sz w:val="24"/>
        </w:rPr>
        <w:t>investigação.</w:t>
      </w:r>
    </w:p>
    <w:p w14:paraId="7A235FD5" w14:textId="77777777" w:rsidR="0013285C" w:rsidRPr="00395593" w:rsidRDefault="0013285C" w:rsidP="0013285C">
      <w:pPr>
        <w:pStyle w:val="Corpodetexto"/>
        <w:rPr>
          <w:rFonts w:ascii="Garamond" w:hAnsi="Garamond"/>
        </w:rPr>
      </w:pPr>
    </w:p>
    <w:p w14:paraId="3A20758D" w14:textId="77777777" w:rsidR="0013285C" w:rsidRPr="00395593" w:rsidRDefault="0013285C" w:rsidP="0013285C">
      <w:pPr>
        <w:pStyle w:val="Corpodetexto"/>
        <w:ind w:left="102" w:right="119"/>
        <w:jc w:val="both"/>
        <w:rPr>
          <w:rFonts w:ascii="Garamond" w:hAnsi="Garamond"/>
        </w:rPr>
      </w:pPr>
      <w:r w:rsidRPr="00395593">
        <w:rPr>
          <w:rFonts w:ascii="Garamond" w:hAnsi="Garamond"/>
        </w:rPr>
        <w:t>Nenhum desses fatores tomados isoladamente poderá fornecer orientação decisiva, mas a</w:t>
      </w:r>
      <w:r w:rsidRPr="00395593">
        <w:rPr>
          <w:rFonts w:ascii="Garamond" w:hAnsi="Garamond"/>
          <w:spacing w:val="1"/>
        </w:rPr>
        <w:t xml:space="preserve"> </w:t>
      </w:r>
      <w:r w:rsidRPr="00395593">
        <w:rPr>
          <w:rFonts w:ascii="Garamond" w:hAnsi="Garamond"/>
        </w:rPr>
        <w:t>totalidade dos fatores considerados deverá necessariamente levar à conclusão de que mais</w:t>
      </w:r>
      <w:r w:rsidRPr="00395593">
        <w:rPr>
          <w:rFonts w:ascii="Garamond" w:hAnsi="Garamond"/>
          <w:spacing w:val="1"/>
        </w:rPr>
        <w:t xml:space="preserve"> </w:t>
      </w:r>
      <w:r w:rsidRPr="00395593">
        <w:rPr>
          <w:rFonts w:ascii="Garamond" w:hAnsi="Garamond"/>
        </w:rPr>
        <w:t xml:space="preserve">importações a preços de </w:t>
      </w:r>
      <w:r w:rsidRPr="00395593">
        <w:rPr>
          <w:rFonts w:ascii="Garamond" w:hAnsi="Garamond"/>
          <w:i/>
        </w:rPr>
        <w:t xml:space="preserve">dumping </w:t>
      </w:r>
      <w:r w:rsidRPr="00395593">
        <w:rPr>
          <w:rFonts w:ascii="Garamond" w:hAnsi="Garamond"/>
        </w:rPr>
        <w:t>são iminentes e que, a menos que se tomem medidas de</w:t>
      </w:r>
      <w:r w:rsidRPr="00395593">
        <w:rPr>
          <w:rFonts w:ascii="Garamond" w:hAnsi="Garamond"/>
          <w:spacing w:val="1"/>
        </w:rPr>
        <w:t xml:space="preserve"> </w:t>
      </w:r>
      <w:r w:rsidRPr="00395593">
        <w:rPr>
          <w:rFonts w:ascii="Garamond" w:hAnsi="Garamond"/>
        </w:rPr>
        <w:t>proteção,</w:t>
      </w:r>
      <w:r w:rsidRPr="00395593">
        <w:rPr>
          <w:rFonts w:ascii="Garamond" w:hAnsi="Garamond"/>
          <w:spacing w:val="-1"/>
        </w:rPr>
        <w:t xml:space="preserve"> </w:t>
      </w:r>
      <w:r w:rsidRPr="00395593">
        <w:rPr>
          <w:rFonts w:ascii="Garamond" w:hAnsi="Garamond"/>
        </w:rPr>
        <w:t>ocorrerá</w:t>
      </w:r>
      <w:r w:rsidRPr="00395593">
        <w:rPr>
          <w:rFonts w:ascii="Garamond" w:hAnsi="Garamond"/>
          <w:spacing w:val="-2"/>
        </w:rPr>
        <w:t xml:space="preserve"> </w:t>
      </w:r>
      <w:r w:rsidRPr="00395593">
        <w:rPr>
          <w:rFonts w:ascii="Garamond" w:hAnsi="Garamond"/>
        </w:rPr>
        <w:t>dano</w:t>
      </w:r>
      <w:r w:rsidRPr="00395593">
        <w:rPr>
          <w:rFonts w:ascii="Garamond" w:hAnsi="Garamond"/>
          <w:spacing w:val="2"/>
        </w:rPr>
        <w:t xml:space="preserve"> </w:t>
      </w:r>
      <w:r w:rsidRPr="00395593">
        <w:rPr>
          <w:rFonts w:ascii="Garamond" w:hAnsi="Garamond"/>
        </w:rPr>
        <w:t>material.</w:t>
      </w:r>
    </w:p>
    <w:p w14:paraId="0A4A6FC7" w14:textId="77777777" w:rsidR="0013285C" w:rsidRPr="00395593" w:rsidRDefault="0013285C" w:rsidP="0013285C">
      <w:pPr>
        <w:pStyle w:val="Corpodetexto"/>
        <w:rPr>
          <w:rFonts w:ascii="Garamond" w:hAnsi="Garamond"/>
        </w:rPr>
      </w:pPr>
    </w:p>
    <w:p w14:paraId="64AED8B1" w14:textId="77777777" w:rsidR="0013285C" w:rsidRPr="00395593" w:rsidRDefault="0013285C" w:rsidP="002C4340">
      <w:pPr>
        <w:pStyle w:val="PargrafodaLista"/>
        <w:widowControl w:val="0"/>
        <w:numPr>
          <w:ilvl w:val="0"/>
          <w:numId w:val="23"/>
        </w:numPr>
        <w:tabs>
          <w:tab w:val="left" w:pos="810"/>
        </w:tabs>
        <w:autoSpaceDE w:val="0"/>
        <w:autoSpaceDN w:val="0"/>
        <w:spacing w:after="0" w:line="240" w:lineRule="auto"/>
        <w:ind w:right="122" w:firstLine="0"/>
        <w:contextualSpacing w:val="0"/>
        <w:jc w:val="both"/>
        <w:rPr>
          <w:rFonts w:ascii="Garamond" w:hAnsi="Garamond"/>
          <w:sz w:val="24"/>
        </w:rPr>
      </w:pPr>
      <w:r w:rsidRPr="00395593">
        <w:rPr>
          <w:rFonts w:ascii="Garamond" w:hAnsi="Garamond"/>
          <w:sz w:val="24"/>
        </w:rPr>
        <w:t>Nos casos em que existe ameaça de dano por motivo de importações a preços de</w:t>
      </w:r>
      <w:r w:rsidRPr="00395593">
        <w:rPr>
          <w:rFonts w:ascii="Garamond" w:hAnsi="Garamond"/>
          <w:spacing w:val="1"/>
          <w:sz w:val="24"/>
        </w:rPr>
        <w:t xml:space="preserve"> </w:t>
      </w:r>
      <w:r w:rsidRPr="00395593">
        <w:rPr>
          <w:rFonts w:ascii="Garamond" w:hAnsi="Garamond"/>
          <w:i/>
          <w:sz w:val="24"/>
        </w:rPr>
        <w:t>dumping</w:t>
      </w:r>
      <w:r w:rsidRPr="00395593">
        <w:rPr>
          <w:rFonts w:ascii="Garamond" w:hAnsi="Garamond"/>
          <w:sz w:val="24"/>
        </w:rPr>
        <w:t xml:space="preserve">, a aplicação de medidas </w:t>
      </w:r>
      <w:r w:rsidRPr="00395593">
        <w:rPr>
          <w:rFonts w:ascii="Garamond" w:hAnsi="Garamond"/>
          <w:i/>
          <w:sz w:val="24"/>
        </w:rPr>
        <w:t>anti</w:t>
      </w:r>
      <w:r w:rsidRPr="00395593">
        <w:rPr>
          <w:rFonts w:ascii="Garamond" w:hAnsi="Garamond"/>
          <w:sz w:val="24"/>
        </w:rPr>
        <w:t>-</w:t>
      </w:r>
      <w:r w:rsidRPr="00395593">
        <w:rPr>
          <w:rFonts w:ascii="Garamond" w:hAnsi="Garamond"/>
          <w:i/>
          <w:sz w:val="24"/>
        </w:rPr>
        <w:t xml:space="preserve">dumping </w:t>
      </w:r>
      <w:r w:rsidRPr="00395593">
        <w:rPr>
          <w:rFonts w:ascii="Garamond" w:hAnsi="Garamond"/>
          <w:sz w:val="24"/>
        </w:rPr>
        <w:t>deverá ser avaliada e decidida com especial</w:t>
      </w:r>
      <w:r w:rsidRPr="00395593">
        <w:rPr>
          <w:rFonts w:ascii="Garamond" w:hAnsi="Garamond"/>
          <w:spacing w:val="-57"/>
          <w:sz w:val="24"/>
        </w:rPr>
        <w:t xml:space="preserve"> </w:t>
      </w:r>
      <w:r w:rsidRPr="00395593">
        <w:rPr>
          <w:rFonts w:ascii="Garamond" w:hAnsi="Garamond"/>
          <w:sz w:val="24"/>
        </w:rPr>
        <w:t>cuidado.</w:t>
      </w:r>
    </w:p>
    <w:p w14:paraId="22BBEF5F" w14:textId="77777777" w:rsidR="0013285C" w:rsidRPr="00395593" w:rsidRDefault="0013285C" w:rsidP="0013285C">
      <w:pPr>
        <w:pStyle w:val="Corpodetexto"/>
        <w:rPr>
          <w:rFonts w:ascii="Garamond" w:hAnsi="Garamond"/>
        </w:rPr>
      </w:pPr>
    </w:p>
    <w:p w14:paraId="1EDAC6A9" w14:textId="77777777" w:rsidR="0013285C" w:rsidRPr="00395593" w:rsidRDefault="0013285C" w:rsidP="005F7A3B">
      <w:pPr>
        <w:pStyle w:val="Corpodetexto"/>
        <w:spacing w:before="1" w:line="360" w:lineRule="auto"/>
        <w:ind w:left="176" w:right="194"/>
        <w:jc w:val="center"/>
        <w:rPr>
          <w:rFonts w:ascii="Garamond" w:hAnsi="Garamond"/>
          <w:b/>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4</w:t>
      </w:r>
    </w:p>
    <w:p w14:paraId="18C9B32A" w14:textId="77777777" w:rsidR="0013285C" w:rsidRPr="00395593" w:rsidRDefault="0013285C" w:rsidP="005F7A3B">
      <w:pPr>
        <w:pStyle w:val="Corpodetexto"/>
        <w:spacing w:line="360" w:lineRule="auto"/>
        <w:ind w:left="176" w:right="192"/>
        <w:jc w:val="center"/>
        <w:rPr>
          <w:rFonts w:ascii="Garamond" w:hAnsi="Garamond"/>
        </w:rPr>
      </w:pPr>
      <w:r w:rsidRPr="00395593">
        <w:rPr>
          <w:rFonts w:ascii="Garamond" w:hAnsi="Garamond"/>
          <w:b/>
        </w:rPr>
        <w:t>Definição</w:t>
      </w:r>
      <w:r w:rsidRPr="00395593">
        <w:rPr>
          <w:rFonts w:ascii="Garamond" w:hAnsi="Garamond"/>
          <w:b/>
          <w:spacing w:val="-2"/>
        </w:rPr>
        <w:t xml:space="preserve"> </w:t>
      </w:r>
      <w:r w:rsidRPr="00395593">
        <w:rPr>
          <w:rFonts w:ascii="Garamond" w:hAnsi="Garamond"/>
          <w:b/>
        </w:rPr>
        <w:t>de Indústria</w:t>
      </w:r>
      <w:r w:rsidRPr="00395593">
        <w:rPr>
          <w:rFonts w:ascii="Garamond" w:hAnsi="Garamond"/>
          <w:b/>
          <w:spacing w:val="-4"/>
        </w:rPr>
        <w:t xml:space="preserve"> </w:t>
      </w:r>
      <w:r w:rsidRPr="00395593">
        <w:rPr>
          <w:rFonts w:ascii="Garamond" w:hAnsi="Garamond"/>
          <w:b/>
        </w:rPr>
        <w:t>Doméstica</w:t>
      </w:r>
    </w:p>
    <w:p w14:paraId="0CEB0C7B" w14:textId="77777777" w:rsidR="0013285C" w:rsidRPr="00395593" w:rsidRDefault="0013285C" w:rsidP="0013285C">
      <w:pPr>
        <w:pStyle w:val="Corpodetexto"/>
        <w:rPr>
          <w:rFonts w:ascii="Garamond" w:hAnsi="Garamond"/>
          <w:sz w:val="20"/>
        </w:rPr>
      </w:pPr>
    </w:p>
    <w:p w14:paraId="304A8355" w14:textId="2CE06471" w:rsidR="0013285C" w:rsidRDefault="0013285C" w:rsidP="0013285C">
      <w:pPr>
        <w:pStyle w:val="Corpodetexto"/>
        <w:rPr>
          <w:rFonts w:ascii="Garamond" w:hAnsi="Garamond"/>
          <w:sz w:val="20"/>
        </w:rPr>
      </w:pPr>
    </w:p>
    <w:p w14:paraId="377A1087" w14:textId="77777777" w:rsidR="00B273F2" w:rsidRPr="00395593" w:rsidRDefault="00B273F2" w:rsidP="0013285C">
      <w:pPr>
        <w:pStyle w:val="Corpodetexto"/>
        <w:rPr>
          <w:rFonts w:ascii="Garamond" w:hAnsi="Garamond"/>
          <w:sz w:val="20"/>
        </w:rPr>
      </w:pPr>
    </w:p>
    <w:p w14:paraId="359D13A5" w14:textId="77777777" w:rsidR="0013285C" w:rsidRPr="00395593" w:rsidRDefault="0013285C" w:rsidP="0013285C">
      <w:pPr>
        <w:pStyle w:val="Corpodetexto"/>
        <w:rPr>
          <w:rFonts w:ascii="Garamond" w:hAnsi="Garamond"/>
          <w:sz w:val="20"/>
        </w:rPr>
      </w:pPr>
    </w:p>
    <w:p w14:paraId="66076A85" w14:textId="78387489" w:rsidR="0013285C" w:rsidRPr="00395593" w:rsidRDefault="0013285C" w:rsidP="0013285C">
      <w:pPr>
        <w:pStyle w:val="Corpodetexto"/>
        <w:rPr>
          <w:rFonts w:ascii="Garamond" w:hAnsi="Garamond"/>
          <w:sz w:val="11"/>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43" behindDoc="1" locked="0" layoutInCell="1" allowOverlap="1" wp14:anchorId="021DF929" wp14:editId="647BB0BF">
                <wp:simplePos x="0" y="0"/>
                <wp:positionH relativeFrom="page">
                  <wp:posOffset>1080770</wp:posOffset>
                </wp:positionH>
                <wp:positionV relativeFrom="paragraph">
                  <wp:posOffset>95885</wp:posOffset>
                </wp:positionV>
                <wp:extent cx="1828800" cy="7620"/>
                <wp:effectExtent l="4445" t="0" r="0" b="3810"/>
                <wp:wrapTopAndBottom/>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F6FE6" id="Retângulo 18" o:spid="_x0000_s1026" style="position:absolute;margin-left:85.1pt;margin-top:7.55pt;width:2in;height:.6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5CtfgIAAPw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" fillcolor="black" stroked="f">
                <w10:wrap type="topAndBottom" anchorx="page"/>
              </v:rect>
            </w:pict>
          </mc:Fallback>
        </mc:AlternateContent>
      </w:r>
    </w:p>
    <w:p w14:paraId="458E5864" w14:textId="19449E4D" w:rsidR="0013285C" w:rsidRPr="00395593" w:rsidRDefault="0013285C" w:rsidP="0013285C">
      <w:pPr>
        <w:spacing w:before="103"/>
        <w:ind w:left="102"/>
        <w:rPr>
          <w:rFonts w:ascii="Garamond" w:hAnsi="Garamond"/>
          <w:sz w:val="20"/>
        </w:rPr>
      </w:pPr>
      <w:r w:rsidRPr="00395593">
        <w:rPr>
          <w:rFonts w:ascii="Garamond" w:hAnsi="Garamond"/>
          <w:sz w:val="20"/>
          <w:vertAlign w:val="superscript"/>
        </w:rPr>
        <w:t>10</w:t>
      </w:r>
      <w:r w:rsidRPr="00395593">
        <w:rPr>
          <w:rFonts w:ascii="Garamond" w:hAnsi="Garamond"/>
          <w:spacing w:val="10"/>
          <w:sz w:val="20"/>
        </w:rPr>
        <w:t xml:space="preserve"> </w:t>
      </w:r>
      <w:r w:rsidRPr="00395593">
        <w:rPr>
          <w:rFonts w:ascii="Garamond" w:hAnsi="Garamond"/>
          <w:sz w:val="20"/>
        </w:rPr>
        <w:t>Um</w:t>
      </w:r>
      <w:r w:rsidRPr="00395593">
        <w:rPr>
          <w:rFonts w:ascii="Garamond" w:hAnsi="Garamond"/>
          <w:spacing w:val="6"/>
          <w:sz w:val="20"/>
        </w:rPr>
        <w:t xml:space="preserve"> </w:t>
      </w:r>
      <w:r w:rsidRPr="00395593">
        <w:rPr>
          <w:rFonts w:ascii="Garamond" w:hAnsi="Garamond"/>
          <w:sz w:val="20"/>
        </w:rPr>
        <w:t>exemplo</w:t>
      </w:r>
      <w:r w:rsidRPr="00395593">
        <w:rPr>
          <w:rFonts w:ascii="Garamond" w:hAnsi="Garamond"/>
          <w:spacing w:val="10"/>
          <w:sz w:val="20"/>
        </w:rPr>
        <w:t xml:space="preserve"> </w:t>
      </w:r>
      <w:r w:rsidRPr="00395593">
        <w:rPr>
          <w:rFonts w:ascii="Garamond" w:hAnsi="Garamond"/>
          <w:sz w:val="20"/>
        </w:rPr>
        <w:t>dessa</w:t>
      </w:r>
      <w:r w:rsidRPr="00395593">
        <w:rPr>
          <w:rFonts w:ascii="Garamond" w:hAnsi="Garamond"/>
          <w:spacing w:val="12"/>
          <w:sz w:val="20"/>
        </w:rPr>
        <w:t xml:space="preserve"> </w:t>
      </w:r>
      <w:r w:rsidRPr="00395593">
        <w:rPr>
          <w:rFonts w:ascii="Garamond" w:hAnsi="Garamond"/>
          <w:sz w:val="20"/>
        </w:rPr>
        <w:t>situação,</w:t>
      </w:r>
      <w:r w:rsidRPr="00395593">
        <w:rPr>
          <w:rFonts w:ascii="Garamond" w:hAnsi="Garamond"/>
          <w:spacing w:val="11"/>
          <w:sz w:val="20"/>
        </w:rPr>
        <w:t xml:space="preserve"> </w:t>
      </w:r>
      <w:r w:rsidRPr="00395593">
        <w:rPr>
          <w:rFonts w:ascii="Garamond" w:hAnsi="Garamond"/>
          <w:sz w:val="20"/>
        </w:rPr>
        <w:t>embora</w:t>
      </w:r>
      <w:r w:rsidRPr="00395593">
        <w:rPr>
          <w:rFonts w:ascii="Garamond" w:hAnsi="Garamond"/>
          <w:spacing w:val="10"/>
          <w:sz w:val="20"/>
        </w:rPr>
        <w:t xml:space="preserve"> </w:t>
      </w:r>
      <w:r w:rsidRPr="00395593">
        <w:rPr>
          <w:rFonts w:ascii="Garamond" w:hAnsi="Garamond"/>
          <w:sz w:val="20"/>
        </w:rPr>
        <w:t>não</w:t>
      </w:r>
      <w:r w:rsidRPr="00395593">
        <w:rPr>
          <w:rFonts w:ascii="Garamond" w:hAnsi="Garamond"/>
          <w:spacing w:val="11"/>
          <w:sz w:val="20"/>
        </w:rPr>
        <w:t xml:space="preserve"> </w:t>
      </w:r>
      <w:r w:rsidRPr="00395593">
        <w:rPr>
          <w:rFonts w:ascii="Garamond" w:hAnsi="Garamond"/>
          <w:sz w:val="20"/>
        </w:rPr>
        <w:t>o</w:t>
      </w:r>
      <w:r w:rsidRPr="00395593">
        <w:rPr>
          <w:rFonts w:ascii="Garamond" w:hAnsi="Garamond"/>
          <w:spacing w:val="13"/>
          <w:sz w:val="20"/>
        </w:rPr>
        <w:t xml:space="preserve"> </w:t>
      </w:r>
      <w:r w:rsidRPr="00395593">
        <w:rPr>
          <w:rFonts w:ascii="Garamond" w:hAnsi="Garamond"/>
          <w:sz w:val="20"/>
        </w:rPr>
        <w:t>único,</w:t>
      </w:r>
      <w:r w:rsidRPr="00395593">
        <w:rPr>
          <w:rFonts w:ascii="Garamond" w:hAnsi="Garamond"/>
          <w:spacing w:val="10"/>
          <w:sz w:val="20"/>
        </w:rPr>
        <w:t xml:space="preserve"> </w:t>
      </w:r>
      <w:r w:rsidRPr="00395593">
        <w:rPr>
          <w:rFonts w:ascii="Garamond" w:hAnsi="Garamond"/>
          <w:sz w:val="20"/>
        </w:rPr>
        <w:t>é</w:t>
      </w:r>
      <w:r w:rsidRPr="00395593">
        <w:rPr>
          <w:rFonts w:ascii="Garamond" w:hAnsi="Garamond"/>
          <w:spacing w:val="11"/>
          <w:sz w:val="20"/>
        </w:rPr>
        <w:t xml:space="preserve"> </w:t>
      </w:r>
      <w:r w:rsidRPr="00395593">
        <w:rPr>
          <w:rFonts w:ascii="Garamond" w:hAnsi="Garamond"/>
          <w:sz w:val="20"/>
        </w:rPr>
        <w:t>a</w:t>
      </w:r>
      <w:r w:rsidRPr="00395593">
        <w:rPr>
          <w:rFonts w:ascii="Garamond" w:hAnsi="Garamond"/>
          <w:spacing w:val="10"/>
          <w:sz w:val="20"/>
        </w:rPr>
        <w:t xml:space="preserve"> </w:t>
      </w:r>
      <w:r w:rsidRPr="00395593">
        <w:rPr>
          <w:rFonts w:ascii="Garamond" w:hAnsi="Garamond"/>
          <w:sz w:val="20"/>
        </w:rPr>
        <w:t>existência</w:t>
      </w:r>
      <w:r w:rsidRPr="00395593">
        <w:rPr>
          <w:rFonts w:ascii="Garamond" w:hAnsi="Garamond"/>
          <w:spacing w:val="10"/>
          <w:sz w:val="20"/>
        </w:rPr>
        <w:t xml:space="preserve"> </w:t>
      </w:r>
      <w:r w:rsidRPr="00395593">
        <w:rPr>
          <w:rFonts w:ascii="Garamond" w:hAnsi="Garamond"/>
          <w:sz w:val="20"/>
        </w:rPr>
        <w:t>de</w:t>
      </w:r>
      <w:r w:rsidRPr="00395593">
        <w:rPr>
          <w:rFonts w:ascii="Garamond" w:hAnsi="Garamond"/>
          <w:spacing w:val="12"/>
          <w:sz w:val="20"/>
        </w:rPr>
        <w:t xml:space="preserve"> </w:t>
      </w:r>
      <w:r w:rsidRPr="00395593">
        <w:rPr>
          <w:rFonts w:ascii="Garamond" w:hAnsi="Garamond"/>
          <w:sz w:val="20"/>
        </w:rPr>
        <w:t>motivo</w:t>
      </w:r>
      <w:r w:rsidRPr="00395593">
        <w:rPr>
          <w:rFonts w:ascii="Garamond" w:hAnsi="Garamond"/>
          <w:spacing w:val="11"/>
          <w:sz w:val="20"/>
        </w:rPr>
        <w:t xml:space="preserve"> </w:t>
      </w:r>
      <w:r w:rsidRPr="00395593">
        <w:rPr>
          <w:rFonts w:ascii="Garamond" w:hAnsi="Garamond"/>
          <w:sz w:val="20"/>
        </w:rPr>
        <w:t>convincente</w:t>
      </w:r>
      <w:r w:rsidRPr="00395593">
        <w:rPr>
          <w:rFonts w:ascii="Garamond" w:hAnsi="Garamond"/>
          <w:spacing w:val="10"/>
          <w:sz w:val="20"/>
        </w:rPr>
        <w:t xml:space="preserve"> </w:t>
      </w:r>
      <w:r w:rsidRPr="00395593">
        <w:rPr>
          <w:rFonts w:ascii="Garamond" w:hAnsi="Garamond"/>
          <w:sz w:val="20"/>
        </w:rPr>
        <w:t>para</w:t>
      </w:r>
      <w:r w:rsidRPr="00395593">
        <w:rPr>
          <w:rFonts w:ascii="Garamond" w:hAnsi="Garamond"/>
          <w:spacing w:val="11"/>
          <w:sz w:val="20"/>
        </w:rPr>
        <w:t xml:space="preserve"> </w:t>
      </w:r>
      <w:r w:rsidRPr="00395593">
        <w:rPr>
          <w:rFonts w:ascii="Garamond" w:hAnsi="Garamond"/>
          <w:sz w:val="20"/>
        </w:rPr>
        <w:t>acreditar</w:t>
      </w:r>
      <w:r w:rsidRPr="00395593">
        <w:rPr>
          <w:rFonts w:ascii="Garamond" w:hAnsi="Garamond"/>
          <w:spacing w:val="10"/>
          <w:sz w:val="20"/>
        </w:rPr>
        <w:t xml:space="preserve"> </w:t>
      </w:r>
      <w:r w:rsidRPr="00395593">
        <w:rPr>
          <w:rFonts w:ascii="Garamond" w:hAnsi="Garamond"/>
          <w:sz w:val="20"/>
        </w:rPr>
        <w:t>que</w:t>
      </w:r>
      <w:r w:rsidRPr="00395593">
        <w:rPr>
          <w:rFonts w:ascii="Garamond" w:hAnsi="Garamond"/>
          <w:spacing w:val="-47"/>
          <w:sz w:val="20"/>
        </w:rPr>
        <w:t xml:space="preserve"> </w:t>
      </w:r>
      <w:r w:rsidRPr="00395593">
        <w:rPr>
          <w:rFonts w:ascii="Garamond" w:hAnsi="Garamond"/>
          <w:sz w:val="20"/>
        </w:rPr>
        <w:t>haverá, em</w:t>
      </w:r>
      <w:r w:rsidRPr="00395593">
        <w:rPr>
          <w:rFonts w:ascii="Garamond" w:hAnsi="Garamond"/>
          <w:spacing w:val="-3"/>
          <w:sz w:val="20"/>
        </w:rPr>
        <w:t xml:space="preserve"> </w:t>
      </w:r>
      <w:r w:rsidRPr="00395593">
        <w:rPr>
          <w:rFonts w:ascii="Garamond" w:hAnsi="Garamond"/>
          <w:sz w:val="20"/>
        </w:rPr>
        <w:t>futuro próximo,</w:t>
      </w:r>
      <w:r w:rsidRPr="00395593">
        <w:rPr>
          <w:rFonts w:ascii="Garamond" w:hAnsi="Garamond"/>
          <w:spacing w:val="-1"/>
          <w:sz w:val="20"/>
        </w:rPr>
        <w:t xml:space="preserve"> </w:t>
      </w:r>
      <w:r w:rsidRPr="00395593">
        <w:rPr>
          <w:rFonts w:ascii="Garamond" w:hAnsi="Garamond"/>
          <w:sz w:val="20"/>
        </w:rPr>
        <w:t>aumento substancial</w:t>
      </w:r>
      <w:r w:rsidRPr="00395593">
        <w:rPr>
          <w:rFonts w:ascii="Garamond" w:hAnsi="Garamond"/>
          <w:spacing w:val="2"/>
          <w:sz w:val="20"/>
        </w:rPr>
        <w:t xml:space="preserve"> </w:t>
      </w:r>
      <w:r w:rsidRPr="00395593">
        <w:rPr>
          <w:rFonts w:ascii="Garamond" w:hAnsi="Garamond"/>
          <w:sz w:val="20"/>
        </w:rPr>
        <w:t>na</w:t>
      </w:r>
      <w:r w:rsidRPr="00395593">
        <w:rPr>
          <w:rFonts w:ascii="Garamond" w:hAnsi="Garamond"/>
          <w:spacing w:val="-1"/>
          <w:sz w:val="20"/>
        </w:rPr>
        <w:t xml:space="preserve"> </w:t>
      </w:r>
      <w:r w:rsidRPr="00395593">
        <w:rPr>
          <w:rFonts w:ascii="Garamond" w:hAnsi="Garamond"/>
          <w:sz w:val="20"/>
        </w:rPr>
        <w:t>importação de</w:t>
      </w:r>
      <w:r w:rsidRPr="00395593">
        <w:rPr>
          <w:rFonts w:ascii="Garamond" w:hAnsi="Garamond"/>
          <w:spacing w:val="-1"/>
          <w:sz w:val="20"/>
        </w:rPr>
        <w:t xml:space="preserve"> </w:t>
      </w:r>
      <w:r w:rsidRPr="00395593">
        <w:rPr>
          <w:rFonts w:ascii="Garamond" w:hAnsi="Garamond"/>
          <w:sz w:val="20"/>
        </w:rPr>
        <w:t>produtos</w:t>
      </w:r>
      <w:r w:rsidRPr="00395593">
        <w:rPr>
          <w:rFonts w:ascii="Garamond" w:hAnsi="Garamond"/>
          <w:spacing w:val="-2"/>
          <w:sz w:val="20"/>
        </w:rPr>
        <w:t xml:space="preserve"> </w:t>
      </w:r>
      <w:r w:rsidRPr="00395593">
        <w:rPr>
          <w:rFonts w:ascii="Garamond" w:hAnsi="Garamond"/>
          <w:sz w:val="20"/>
        </w:rPr>
        <w:t>a</w:t>
      </w:r>
      <w:r w:rsidRPr="00395593">
        <w:rPr>
          <w:rFonts w:ascii="Garamond" w:hAnsi="Garamond"/>
          <w:spacing w:val="-1"/>
          <w:sz w:val="20"/>
        </w:rPr>
        <w:t xml:space="preserve"> </w:t>
      </w:r>
      <w:r w:rsidRPr="00395593">
        <w:rPr>
          <w:rFonts w:ascii="Garamond" w:hAnsi="Garamond"/>
          <w:sz w:val="20"/>
        </w:rPr>
        <w:t>preços</w:t>
      </w:r>
      <w:r w:rsidRPr="00395593">
        <w:rPr>
          <w:rFonts w:ascii="Garamond" w:hAnsi="Garamond"/>
          <w:spacing w:val="-2"/>
          <w:sz w:val="20"/>
        </w:rPr>
        <w:t xml:space="preserve"> </w:t>
      </w:r>
      <w:r w:rsidRPr="00395593">
        <w:rPr>
          <w:rFonts w:ascii="Garamond" w:hAnsi="Garamond"/>
          <w:sz w:val="20"/>
        </w:rPr>
        <w:t>de</w:t>
      </w:r>
      <w:r w:rsidRPr="00395593">
        <w:rPr>
          <w:rFonts w:ascii="Garamond" w:hAnsi="Garamond"/>
          <w:spacing w:val="9"/>
          <w:sz w:val="20"/>
        </w:rPr>
        <w:t xml:space="preserve"> </w:t>
      </w:r>
      <w:r w:rsidRPr="00395593">
        <w:rPr>
          <w:rFonts w:ascii="Garamond" w:hAnsi="Garamond"/>
          <w:i/>
          <w:sz w:val="20"/>
        </w:rPr>
        <w:t>dumping</w:t>
      </w:r>
      <w:r w:rsidRPr="00395593">
        <w:rPr>
          <w:rFonts w:ascii="Garamond" w:hAnsi="Garamond"/>
          <w:sz w:val="20"/>
        </w:rPr>
        <w:t>.</w:t>
      </w:r>
    </w:p>
    <w:p w14:paraId="78799E46" w14:textId="77777777" w:rsidR="008E3AF6" w:rsidRPr="005C5CBD" w:rsidRDefault="008E3AF6">
      <w:pPr>
        <w:rPr>
          <w:rFonts w:ascii="Garamond" w:hAnsi="Garamond"/>
          <w:sz w:val="20"/>
        </w:rPr>
      </w:pPr>
      <w:r w:rsidRPr="005C5CBD">
        <w:rPr>
          <w:rFonts w:ascii="Garamond" w:hAnsi="Garamond"/>
          <w:sz w:val="20"/>
        </w:rPr>
        <w:br w:type="page"/>
      </w:r>
    </w:p>
    <w:p w14:paraId="085AAA51" w14:textId="77777777" w:rsidR="0013285C" w:rsidRPr="005C5CBD" w:rsidRDefault="0013285C" w:rsidP="00E33E26">
      <w:pPr>
        <w:spacing w:before="103"/>
        <w:ind w:left="102"/>
        <w:rPr>
          <w:rFonts w:ascii="Garamond" w:hAnsi="Garamond"/>
          <w:sz w:val="20"/>
        </w:rPr>
      </w:pPr>
    </w:p>
    <w:p w14:paraId="7366E581" w14:textId="77777777" w:rsidR="0013285C" w:rsidRPr="00395593" w:rsidRDefault="0013285C" w:rsidP="002C4340">
      <w:pPr>
        <w:pStyle w:val="PargrafodaLista"/>
        <w:widowControl w:val="0"/>
        <w:numPr>
          <w:ilvl w:val="0"/>
          <w:numId w:val="22"/>
        </w:numPr>
        <w:tabs>
          <w:tab w:val="left" w:pos="810"/>
        </w:tabs>
        <w:autoSpaceDE w:val="0"/>
        <w:autoSpaceDN w:val="0"/>
        <w:spacing w:before="68" w:after="0" w:line="240" w:lineRule="auto"/>
        <w:ind w:right="120" w:firstLine="0"/>
        <w:contextualSpacing w:val="0"/>
        <w:jc w:val="both"/>
        <w:rPr>
          <w:rFonts w:ascii="Garamond" w:hAnsi="Garamond"/>
          <w:sz w:val="24"/>
        </w:rPr>
      </w:pPr>
      <w:r w:rsidRPr="00395593">
        <w:rPr>
          <w:rFonts w:ascii="Garamond" w:hAnsi="Garamond"/>
          <w:sz w:val="24"/>
        </w:rPr>
        <w:t>Para os propósitos deste Acordo o termo "indústria doméstica" deve ser interpretado</w:t>
      </w:r>
      <w:r w:rsidRPr="00395593">
        <w:rPr>
          <w:rFonts w:ascii="Garamond" w:hAnsi="Garamond"/>
          <w:spacing w:val="-57"/>
          <w:sz w:val="24"/>
        </w:rPr>
        <w:t xml:space="preserve"> </w:t>
      </w:r>
      <w:r w:rsidRPr="00395593">
        <w:rPr>
          <w:rFonts w:ascii="Garamond" w:hAnsi="Garamond"/>
          <w:sz w:val="24"/>
        </w:rPr>
        <w:t>como a totalidade dos produtores nacionais do produto similar ou como aqueles dentre eles</w:t>
      </w:r>
      <w:r w:rsidRPr="00395593">
        <w:rPr>
          <w:rFonts w:ascii="Garamond" w:hAnsi="Garamond"/>
          <w:spacing w:val="1"/>
          <w:sz w:val="24"/>
        </w:rPr>
        <w:t xml:space="preserve"> </w:t>
      </w:r>
      <w:r w:rsidRPr="00395593">
        <w:rPr>
          <w:rFonts w:ascii="Garamond" w:hAnsi="Garamond"/>
          <w:sz w:val="24"/>
        </w:rPr>
        <w:t>cuja</w:t>
      </w:r>
      <w:r w:rsidRPr="00395593">
        <w:rPr>
          <w:rFonts w:ascii="Garamond" w:hAnsi="Garamond"/>
          <w:spacing w:val="1"/>
          <w:sz w:val="24"/>
        </w:rPr>
        <w:t xml:space="preserve"> </w:t>
      </w:r>
      <w:r w:rsidRPr="00395593">
        <w:rPr>
          <w:rFonts w:ascii="Garamond" w:hAnsi="Garamond"/>
          <w:sz w:val="24"/>
        </w:rPr>
        <w:t>produção</w:t>
      </w:r>
      <w:r w:rsidRPr="00395593">
        <w:rPr>
          <w:rFonts w:ascii="Garamond" w:hAnsi="Garamond"/>
          <w:spacing w:val="1"/>
          <w:sz w:val="24"/>
        </w:rPr>
        <w:t xml:space="preserve"> </w:t>
      </w:r>
      <w:r w:rsidRPr="00395593">
        <w:rPr>
          <w:rFonts w:ascii="Garamond" w:hAnsi="Garamond"/>
          <w:sz w:val="24"/>
        </w:rPr>
        <w:t>conjunta</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mencionado</w:t>
      </w:r>
      <w:r w:rsidRPr="00395593">
        <w:rPr>
          <w:rFonts w:ascii="Garamond" w:hAnsi="Garamond"/>
          <w:spacing w:val="1"/>
          <w:sz w:val="24"/>
        </w:rPr>
        <w:t xml:space="preserve"> </w:t>
      </w:r>
      <w:r w:rsidRPr="00395593">
        <w:rPr>
          <w:rFonts w:ascii="Garamond" w:hAnsi="Garamond"/>
          <w:sz w:val="24"/>
        </w:rPr>
        <w:t>produto</w:t>
      </w:r>
      <w:r w:rsidRPr="00395593">
        <w:rPr>
          <w:rFonts w:ascii="Garamond" w:hAnsi="Garamond"/>
          <w:spacing w:val="1"/>
          <w:sz w:val="24"/>
        </w:rPr>
        <w:t xml:space="preserve"> </w:t>
      </w:r>
      <w:r w:rsidRPr="00395593">
        <w:rPr>
          <w:rFonts w:ascii="Garamond" w:hAnsi="Garamond"/>
          <w:sz w:val="24"/>
        </w:rPr>
        <w:t>constitua</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maior</w:t>
      </w:r>
      <w:r w:rsidRPr="00395593">
        <w:rPr>
          <w:rFonts w:ascii="Garamond" w:hAnsi="Garamond"/>
          <w:spacing w:val="1"/>
          <w:sz w:val="24"/>
        </w:rPr>
        <w:t xml:space="preserve"> </w:t>
      </w:r>
      <w:r w:rsidRPr="00395593">
        <w:rPr>
          <w:rFonts w:ascii="Garamond" w:hAnsi="Garamond"/>
          <w:sz w:val="24"/>
        </w:rPr>
        <w:t>parte</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produção</w:t>
      </w:r>
      <w:r w:rsidRPr="00395593">
        <w:rPr>
          <w:rFonts w:ascii="Garamond" w:hAnsi="Garamond"/>
          <w:spacing w:val="1"/>
          <w:sz w:val="24"/>
        </w:rPr>
        <w:t xml:space="preserve"> </w:t>
      </w:r>
      <w:r w:rsidRPr="00395593">
        <w:rPr>
          <w:rFonts w:ascii="Garamond" w:hAnsi="Garamond"/>
          <w:sz w:val="24"/>
        </w:rPr>
        <w:t>nacional</w:t>
      </w:r>
      <w:r w:rsidRPr="00395593">
        <w:rPr>
          <w:rFonts w:ascii="Garamond" w:hAnsi="Garamond"/>
          <w:spacing w:val="-1"/>
          <w:sz w:val="24"/>
        </w:rPr>
        <w:t xml:space="preserve"> </w:t>
      </w:r>
      <w:r w:rsidRPr="00395593">
        <w:rPr>
          <w:rFonts w:ascii="Garamond" w:hAnsi="Garamond"/>
          <w:sz w:val="24"/>
        </w:rPr>
        <w:t>total do produto</w:t>
      </w:r>
      <w:r w:rsidRPr="00395593">
        <w:rPr>
          <w:rFonts w:ascii="Garamond" w:hAnsi="Garamond"/>
          <w:spacing w:val="2"/>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menos que:</w:t>
      </w:r>
    </w:p>
    <w:p w14:paraId="4D7F74E8" w14:textId="77777777" w:rsidR="0013285C" w:rsidRPr="00395593" w:rsidRDefault="0013285C" w:rsidP="0013285C">
      <w:pPr>
        <w:pStyle w:val="Corpodetexto"/>
        <w:rPr>
          <w:rFonts w:ascii="Garamond" w:hAnsi="Garamond"/>
          <w:sz w:val="26"/>
        </w:rPr>
      </w:pPr>
    </w:p>
    <w:p w14:paraId="0D5C5059" w14:textId="77777777" w:rsidR="0013285C" w:rsidRPr="00395593" w:rsidRDefault="0013285C" w:rsidP="002C4340">
      <w:pPr>
        <w:pStyle w:val="PargrafodaLista"/>
        <w:widowControl w:val="0"/>
        <w:numPr>
          <w:ilvl w:val="1"/>
          <w:numId w:val="22"/>
        </w:numPr>
        <w:tabs>
          <w:tab w:val="left" w:pos="1206"/>
        </w:tabs>
        <w:autoSpaceDE w:val="0"/>
        <w:autoSpaceDN w:val="0"/>
        <w:spacing w:before="230" w:after="0" w:line="240" w:lineRule="auto"/>
        <w:ind w:left="821" w:right="122" w:firstLine="0"/>
        <w:contextualSpacing w:val="0"/>
        <w:jc w:val="both"/>
        <w:rPr>
          <w:rFonts w:ascii="Garamond" w:hAnsi="Garamond"/>
          <w:sz w:val="24"/>
        </w:rPr>
      </w:pP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produtores</w:t>
      </w:r>
      <w:r w:rsidRPr="00395593">
        <w:rPr>
          <w:rFonts w:ascii="Garamond" w:hAnsi="Garamond"/>
          <w:spacing w:val="1"/>
          <w:sz w:val="24"/>
        </w:rPr>
        <w:t xml:space="preserve"> </w:t>
      </w:r>
      <w:r w:rsidRPr="00395593">
        <w:rPr>
          <w:rFonts w:ascii="Garamond" w:hAnsi="Garamond"/>
          <w:sz w:val="24"/>
        </w:rPr>
        <w:t>estejam</w:t>
      </w:r>
      <w:r w:rsidRPr="00395593">
        <w:rPr>
          <w:rFonts w:ascii="Garamond" w:hAnsi="Garamond"/>
          <w:spacing w:val="1"/>
          <w:sz w:val="24"/>
        </w:rPr>
        <w:t xml:space="preserve"> </w:t>
      </w:r>
      <w:r w:rsidRPr="00395593">
        <w:rPr>
          <w:rFonts w:ascii="Garamond" w:hAnsi="Garamond"/>
          <w:sz w:val="24"/>
        </w:rPr>
        <w:t>relacionados</w:t>
      </w:r>
      <w:r w:rsidRPr="00395593">
        <w:rPr>
          <w:rFonts w:ascii="Garamond" w:hAnsi="Garamond"/>
          <w:spacing w:val="1"/>
          <w:sz w:val="24"/>
        </w:rPr>
        <w:t xml:space="preserve"> </w:t>
      </w:r>
      <w:r w:rsidRPr="00395593">
        <w:rPr>
          <w:rFonts w:ascii="Garamond" w:hAnsi="Garamond"/>
          <w:sz w:val="24"/>
          <w:vertAlign w:val="superscript"/>
        </w:rPr>
        <w:t>11</w:t>
      </w:r>
      <w:r w:rsidRPr="00395593">
        <w:rPr>
          <w:rFonts w:ascii="Garamond" w:hAnsi="Garamond"/>
          <w:spacing w:val="1"/>
          <w:sz w:val="24"/>
        </w:rPr>
        <w:t xml:space="preserve"> </w:t>
      </w:r>
      <w:r w:rsidRPr="00395593">
        <w:rPr>
          <w:rFonts w:ascii="Garamond" w:hAnsi="Garamond"/>
          <w:sz w:val="24"/>
        </w:rPr>
        <w:t>aos</w:t>
      </w:r>
      <w:r w:rsidRPr="00395593">
        <w:rPr>
          <w:rFonts w:ascii="Garamond" w:hAnsi="Garamond"/>
          <w:spacing w:val="1"/>
          <w:sz w:val="24"/>
        </w:rPr>
        <w:t xml:space="preserve"> </w:t>
      </w:r>
      <w:r w:rsidRPr="00395593">
        <w:rPr>
          <w:rFonts w:ascii="Garamond" w:hAnsi="Garamond"/>
          <w:sz w:val="24"/>
        </w:rPr>
        <w:t>exportadores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importadores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58"/>
          <w:sz w:val="24"/>
        </w:rPr>
        <w:t xml:space="preserve"> </w:t>
      </w:r>
      <w:r w:rsidRPr="00395593">
        <w:rPr>
          <w:rFonts w:ascii="Garamond" w:hAnsi="Garamond"/>
          <w:sz w:val="24"/>
        </w:rPr>
        <w:t>sejam eles próprios importadores do produto que alegadamente se importa a preços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i/>
          <w:sz w:val="24"/>
        </w:rPr>
        <w:t>dumping</w:t>
      </w:r>
      <w:r w:rsidRPr="00395593">
        <w:rPr>
          <w:rFonts w:ascii="Garamond" w:hAnsi="Garamond"/>
          <w:sz w:val="24"/>
        </w:rPr>
        <w:t>,</w:t>
      </w:r>
      <w:r w:rsidRPr="00395593">
        <w:rPr>
          <w:rFonts w:ascii="Garamond" w:hAnsi="Garamond"/>
          <w:spacing w:val="1"/>
          <w:sz w:val="24"/>
        </w:rPr>
        <w:t xml:space="preserve"> </w:t>
      </w:r>
      <w:r w:rsidRPr="00395593">
        <w:rPr>
          <w:rFonts w:ascii="Garamond" w:hAnsi="Garamond"/>
          <w:sz w:val="24"/>
        </w:rPr>
        <w:t>situação</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expressão</w:t>
      </w:r>
      <w:r w:rsidRPr="00395593">
        <w:rPr>
          <w:rFonts w:ascii="Garamond" w:hAnsi="Garamond"/>
          <w:spacing w:val="1"/>
          <w:sz w:val="24"/>
        </w:rPr>
        <w:t xml:space="preserve"> </w:t>
      </w:r>
      <w:r w:rsidRPr="00395593">
        <w:rPr>
          <w:rFonts w:ascii="Garamond" w:hAnsi="Garamond"/>
          <w:sz w:val="24"/>
        </w:rPr>
        <w:t>"indústria</w:t>
      </w:r>
      <w:r w:rsidRPr="00395593">
        <w:rPr>
          <w:rFonts w:ascii="Garamond" w:hAnsi="Garamond"/>
          <w:spacing w:val="1"/>
          <w:sz w:val="24"/>
        </w:rPr>
        <w:t xml:space="preserve"> </w:t>
      </w:r>
      <w:r w:rsidRPr="00395593">
        <w:rPr>
          <w:rFonts w:ascii="Garamond" w:hAnsi="Garamond"/>
          <w:sz w:val="24"/>
        </w:rPr>
        <w:t>doméstica"</w:t>
      </w:r>
      <w:r w:rsidRPr="00395593">
        <w:rPr>
          <w:rFonts w:ascii="Garamond" w:hAnsi="Garamond"/>
          <w:spacing w:val="1"/>
          <w:sz w:val="24"/>
        </w:rPr>
        <w:t xml:space="preserve"> </w:t>
      </w:r>
      <w:r w:rsidRPr="00395593">
        <w:rPr>
          <w:rFonts w:ascii="Garamond" w:hAnsi="Garamond"/>
          <w:sz w:val="24"/>
        </w:rPr>
        <w:t>poderá</w:t>
      </w:r>
      <w:r w:rsidRPr="00395593">
        <w:rPr>
          <w:rFonts w:ascii="Garamond" w:hAnsi="Garamond"/>
          <w:spacing w:val="1"/>
          <w:sz w:val="24"/>
        </w:rPr>
        <w:t xml:space="preserve"> </w:t>
      </w:r>
      <w:r w:rsidRPr="00395593">
        <w:rPr>
          <w:rFonts w:ascii="Garamond" w:hAnsi="Garamond"/>
          <w:sz w:val="24"/>
        </w:rPr>
        <w:t>ser</w:t>
      </w:r>
      <w:r w:rsidRPr="00395593">
        <w:rPr>
          <w:rFonts w:ascii="Garamond" w:hAnsi="Garamond"/>
          <w:spacing w:val="1"/>
          <w:sz w:val="24"/>
        </w:rPr>
        <w:t xml:space="preserve"> </w:t>
      </w:r>
      <w:r w:rsidRPr="00395593">
        <w:rPr>
          <w:rFonts w:ascii="Garamond" w:hAnsi="Garamond"/>
          <w:sz w:val="24"/>
        </w:rPr>
        <w:t>interpretada</w:t>
      </w:r>
      <w:r w:rsidRPr="00395593">
        <w:rPr>
          <w:rFonts w:ascii="Garamond" w:hAnsi="Garamond"/>
          <w:spacing w:val="-2"/>
          <w:sz w:val="24"/>
        </w:rPr>
        <w:t xml:space="preserve"> </w:t>
      </w:r>
      <w:r w:rsidRPr="00395593">
        <w:rPr>
          <w:rFonts w:ascii="Garamond" w:hAnsi="Garamond"/>
          <w:sz w:val="24"/>
        </w:rPr>
        <w:t>como alusiva</w:t>
      </w:r>
      <w:r w:rsidRPr="00395593">
        <w:rPr>
          <w:rFonts w:ascii="Garamond" w:hAnsi="Garamond"/>
          <w:spacing w:val="-1"/>
          <w:sz w:val="24"/>
        </w:rPr>
        <w:t xml:space="preserve"> </w:t>
      </w:r>
      <w:r w:rsidRPr="00395593">
        <w:rPr>
          <w:rFonts w:ascii="Garamond" w:hAnsi="Garamond"/>
          <w:sz w:val="24"/>
        </w:rPr>
        <w:t>ao restante dos produtores;</w:t>
      </w:r>
    </w:p>
    <w:p w14:paraId="298316AA" w14:textId="77777777" w:rsidR="0013285C" w:rsidRPr="00395593" w:rsidRDefault="0013285C" w:rsidP="0013285C">
      <w:pPr>
        <w:pStyle w:val="Corpodetexto"/>
        <w:rPr>
          <w:rFonts w:ascii="Garamond" w:hAnsi="Garamond"/>
        </w:rPr>
      </w:pPr>
    </w:p>
    <w:p w14:paraId="2509314E" w14:textId="77777777" w:rsidR="0013285C" w:rsidRPr="00395593" w:rsidRDefault="0013285C" w:rsidP="002C4340">
      <w:pPr>
        <w:pStyle w:val="PargrafodaLista"/>
        <w:widowControl w:val="0"/>
        <w:numPr>
          <w:ilvl w:val="1"/>
          <w:numId w:val="22"/>
        </w:numPr>
        <w:tabs>
          <w:tab w:val="left" w:pos="1177"/>
        </w:tabs>
        <w:autoSpaceDE w:val="0"/>
        <w:autoSpaceDN w:val="0"/>
        <w:spacing w:after="0" w:line="240" w:lineRule="auto"/>
        <w:ind w:left="821" w:right="118" w:firstLine="0"/>
        <w:contextualSpacing w:val="0"/>
        <w:jc w:val="both"/>
        <w:rPr>
          <w:rFonts w:ascii="Garamond" w:hAnsi="Garamond"/>
          <w:sz w:val="24"/>
        </w:rPr>
      </w:pPr>
      <w:r w:rsidRPr="00395593">
        <w:rPr>
          <w:rFonts w:ascii="Garamond" w:hAnsi="Garamond"/>
          <w:sz w:val="24"/>
        </w:rPr>
        <w:t>em circunstâncias excepcionais, o território de um Membro poderá, no caso do</w:t>
      </w:r>
      <w:r w:rsidRPr="00395593">
        <w:rPr>
          <w:rFonts w:ascii="Garamond" w:hAnsi="Garamond"/>
          <w:spacing w:val="1"/>
          <w:sz w:val="24"/>
        </w:rPr>
        <w:t xml:space="preserve"> </w:t>
      </w:r>
      <w:r w:rsidRPr="00395593">
        <w:rPr>
          <w:rFonts w:ascii="Garamond" w:hAnsi="Garamond"/>
          <w:sz w:val="24"/>
        </w:rPr>
        <w:t>referido produto, ser dividido em doi ou mais mercados competitivos; os produtores</w:t>
      </w:r>
      <w:r w:rsidRPr="00395593">
        <w:rPr>
          <w:rFonts w:ascii="Garamond" w:hAnsi="Garamond"/>
          <w:spacing w:val="-57"/>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cada</w:t>
      </w:r>
      <w:r w:rsidRPr="00395593">
        <w:rPr>
          <w:rFonts w:ascii="Garamond" w:hAnsi="Garamond"/>
          <w:spacing w:val="1"/>
          <w:sz w:val="24"/>
        </w:rPr>
        <w:t xml:space="preserve"> </w:t>
      </w:r>
      <w:r w:rsidRPr="00395593">
        <w:rPr>
          <w:rFonts w:ascii="Garamond" w:hAnsi="Garamond"/>
          <w:sz w:val="24"/>
        </w:rPr>
        <w:t>um</w:t>
      </w:r>
      <w:r w:rsidRPr="00395593">
        <w:rPr>
          <w:rFonts w:ascii="Garamond" w:hAnsi="Garamond"/>
          <w:spacing w:val="1"/>
          <w:sz w:val="24"/>
        </w:rPr>
        <w:t xml:space="preserve"> </w:t>
      </w:r>
      <w:r w:rsidRPr="00395593">
        <w:rPr>
          <w:rFonts w:ascii="Garamond" w:hAnsi="Garamond"/>
          <w:sz w:val="24"/>
        </w:rPr>
        <w:t>desses</w:t>
      </w:r>
      <w:r w:rsidRPr="00395593">
        <w:rPr>
          <w:rFonts w:ascii="Garamond" w:hAnsi="Garamond"/>
          <w:spacing w:val="1"/>
          <w:sz w:val="24"/>
        </w:rPr>
        <w:t xml:space="preserve"> </w:t>
      </w:r>
      <w:r w:rsidRPr="00395593">
        <w:rPr>
          <w:rFonts w:ascii="Garamond" w:hAnsi="Garamond"/>
          <w:sz w:val="24"/>
        </w:rPr>
        <w:t>mercados</w:t>
      </w:r>
      <w:r w:rsidRPr="00395593">
        <w:rPr>
          <w:rFonts w:ascii="Garamond" w:hAnsi="Garamond"/>
          <w:spacing w:val="1"/>
          <w:sz w:val="24"/>
        </w:rPr>
        <w:t xml:space="preserve"> </w:t>
      </w:r>
      <w:r w:rsidRPr="00395593">
        <w:rPr>
          <w:rFonts w:ascii="Garamond" w:hAnsi="Garamond"/>
          <w:sz w:val="24"/>
        </w:rPr>
        <w:t>poderão</w:t>
      </w:r>
      <w:r w:rsidRPr="00395593">
        <w:rPr>
          <w:rFonts w:ascii="Garamond" w:hAnsi="Garamond"/>
          <w:spacing w:val="1"/>
          <w:sz w:val="24"/>
        </w:rPr>
        <w:t xml:space="preserve"> </w:t>
      </w:r>
      <w:r w:rsidRPr="00395593">
        <w:rPr>
          <w:rFonts w:ascii="Garamond" w:hAnsi="Garamond"/>
          <w:sz w:val="24"/>
        </w:rPr>
        <w:t>ser</w:t>
      </w:r>
      <w:r w:rsidRPr="00395593">
        <w:rPr>
          <w:rFonts w:ascii="Garamond" w:hAnsi="Garamond"/>
          <w:spacing w:val="1"/>
          <w:sz w:val="24"/>
        </w:rPr>
        <w:t xml:space="preserve"> </w:t>
      </w:r>
      <w:r w:rsidRPr="00395593">
        <w:rPr>
          <w:rFonts w:ascii="Garamond" w:hAnsi="Garamond"/>
          <w:sz w:val="24"/>
        </w:rPr>
        <w:t>considerados</w:t>
      </w:r>
      <w:r w:rsidRPr="00395593">
        <w:rPr>
          <w:rFonts w:ascii="Garamond" w:hAnsi="Garamond"/>
          <w:spacing w:val="1"/>
          <w:sz w:val="24"/>
        </w:rPr>
        <w:t xml:space="preserve"> </w:t>
      </w:r>
      <w:r w:rsidRPr="00395593">
        <w:rPr>
          <w:rFonts w:ascii="Garamond" w:hAnsi="Garamond"/>
          <w:sz w:val="24"/>
        </w:rPr>
        <w:t>como</w:t>
      </w:r>
      <w:r w:rsidRPr="00395593">
        <w:rPr>
          <w:rFonts w:ascii="Garamond" w:hAnsi="Garamond"/>
          <w:spacing w:val="1"/>
          <w:sz w:val="24"/>
        </w:rPr>
        <w:t xml:space="preserve"> </w:t>
      </w:r>
      <w:r w:rsidRPr="00395593">
        <w:rPr>
          <w:rFonts w:ascii="Garamond" w:hAnsi="Garamond"/>
          <w:sz w:val="24"/>
        </w:rPr>
        <w:t>indústrias</w:t>
      </w:r>
      <w:r w:rsidRPr="00395593">
        <w:rPr>
          <w:rFonts w:ascii="Garamond" w:hAnsi="Garamond"/>
          <w:spacing w:val="1"/>
          <w:sz w:val="24"/>
        </w:rPr>
        <w:t xml:space="preserve"> </w:t>
      </w:r>
      <w:r w:rsidRPr="00395593">
        <w:rPr>
          <w:rFonts w:ascii="Garamond" w:hAnsi="Garamond"/>
          <w:sz w:val="24"/>
        </w:rPr>
        <w:t>independentes se: (a) os produtores em atividade em um desses mercados vendem</w:t>
      </w:r>
      <w:r w:rsidRPr="00395593">
        <w:rPr>
          <w:rFonts w:ascii="Garamond" w:hAnsi="Garamond"/>
          <w:spacing w:val="1"/>
          <w:sz w:val="24"/>
        </w:rPr>
        <w:t xml:space="preserve"> </w:t>
      </w:r>
      <w:r w:rsidRPr="00395593">
        <w:rPr>
          <w:rFonts w:ascii="Garamond" w:hAnsi="Garamond"/>
          <w:sz w:val="24"/>
        </w:rPr>
        <w:t>toda ou quase toda sua produção do bem em</w:t>
      </w:r>
      <w:r w:rsidRPr="00395593">
        <w:rPr>
          <w:rFonts w:ascii="Garamond" w:hAnsi="Garamond"/>
          <w:spacing w:val="1"/>
          <w:sz w:val="24"/>
        </w:rPr>
        <w:t xml:space="preserve"> </w:t>
      </w:r>
      <w:r w:rsidRPr="00395593">
        <w:rPr>
          <w:rFonts w:ascii="Garamond" w:hAnsi="Garamond"/>
          <w:sz w:val="24"/>
        </w:rPr>
        <w:t>questão no interior deste mesmo</w:t>
      </w:r>
      <w:r w:rsidRPr="00395593">
        <w:rPr>
          <w:rFonts w:ascii="Garamond" w:hAnsi="Garamond"/>
          <w:spacing w:val="1"/>
          <w:sz w:val="24"/>
        </w:rPr>
        <w:t xml:space="preserve"> </w:t>
      </w:r>
      <w:r w:rsidRPr="00395593">
        <w:rPr>
          <w:rFonts w:ascii="Garamond" w:hAnsi="Garamond"/>
          <w:sz w:val="24"/>
        </w:rPr>
        <w:t>mercado</w:t>
      </w:r>
      <w:r w:rsidRPr="00395593">
        <w:rPr>
          <w:rFonts w:ascii="Garamond" w:hAnsi="Garamond"/>
          <w:spacing w:val="60"/>
          <w:sz w:val="24"/>
        </w:rPr>
        <w:t xml:space="preserve"> </w:t>
      </w:r>
      <w:r w:rsidRPr="00395593">
        <w:rPr>
          <w:rFonts w:ascii="Garamond" w:hAnsi="Garamond"/>
          <w:sz w:val="24"/>
        </w:rPr>
        <w:t>e (b) a demanda nesse mercado não é suprida em proporção substancial</w:t>
      </w:r>
      <w:r w:rsidRPr="00395593">
        <w:rPr>
          <w:rFonts w:ascii="Garamond" w:hAnsi="Garamond"/>
          <w:spacing w:val="1"/>
          <w:sz w:val="24"/>
        </w:rPr>
        <w:t xml:space="preserve"> </w:t>
      </w:r>
      <w:r w:rsidRPr="00395593">
        <w:rPr>
          <w:rFonts w:ascii="Garamond" w:hAnsi="Garamond"/>
          <w:sz w:val="24"/>
        </w:rPr>
        <w:t>por produtores daquele mesmo bem estabelecidos em outro ponto do território. Em</w:t>
      </w:r>
      <w:r w:rsidRPr="00395593">
        <w:rPr>
          <w:rFonts w:ascii="Garamond" w:hAnsi="Garamond"/>
          <w:spacing w:val="1"/>
          <w:sz w:val="24"/>
        </w:rPr>
        <w:t xml:space="preserve"> </w:t>
      </w:r>
      <w:r w:rsidRPr="00395593">
        <w:rPr>
          <w:rFonts w:ascii="Garamond" w:hAnsi="Garamond"/>
          <w:sz w:val="24"/>
        </w:rPr>
        <w:t>tais circunstâncias, dano poderá ser encontrado mesmo quando a maior parte de</w:t>
      </w:r>
      <w:r w:rsidRPr="00395593">
        <w:rPr>
          <w:rFonts w:ascii="Garamond" w:hAnsi="Garamond"/>
          <w:spacing w:val="1"/>
          <w:sz w:val="24"/>
        </w:rPr>
        <w:t xml:space="preserve"> </w:t>
      </w:r>
      <w:r w:rsidRPr="00395593">
        <w:rPr>
          <w:rFonts w:ascii="Garamond" w:hAnsi="Garamond"/>
          <w:sz w:val="24"/>
        </w:rPr>
        <w:t>produção</w:t>
      </w:r>
      <w:r w:rsidRPr="00395593">
        <w:rPr>
          <w:rFonts w:ascii="Garamond" w:hAnsi="Garamond"/>
          <w:spacing w:val="1"/>
          <w:sz w:val="24"/>
        </w:rPr>
        <w:t xml:space="preserve"> </w:t>
      </w:r>
      <w:r w:rsidRPr="00395593">
        <w:rPr>
          <w:rFonts w:ascii="Garamond" w:hAnsi="Garamond"/>
          <w:sz w:val="24"/>
        </w:rPr>
        <w:t>nacional</w:t>
      </w:r>
      <w:r w:rsidRPr="00395593">
        <w:rPr>
          <w:rFonts w:ascii="Garamond" w:hAnsi="Garamond"/>
          <w:spacing w:val="1"/>
          <w:sz w:val="24"/>
        </w:rPr>
        <w:t xml:space="preserve"> </w:t>
      </w:r>
      <w:r w:rsidRPr="00395593">
        <w:rPr>
          <w:rFonts w:ascii="Garamond" w:hAnsi="Garamond"/>
          <w:sz w:val="24"/>
        </w:rPr>
        <w:t>não</w:t>
      </w:r>
      <w:r w:rsidRPr="00395593">
        <w:rPr>
          <w:rFonts w:ascii="Garamond" w:hAnsi="Garamond"/>
          <w:spacing w:val="1"/>
          <w:sz w:val="24"/>
        </w:rPr>
        <w:t xml:space="preserve"> </w:t>
      </w:r>
      <w:r w:rsidRPr="00395593">
        <w:rPr>
          <w:rFonts w:ascii="Garamond" w:hAnsi="Garamond"/>
          <w:sz w:val="24"/>
        </w:rPr>
        <w:t>esteja</w:t>
      </w:r>
      <w:r w:rsidRPr="00395593">
        <w:rPr>
          <w:rFonts w:ascii="Garamond" w:hAnsi="Garamond"/>
          <w:spacing w:val="1"/>
          <w:sz w:val="24"/>
        </w:rPr>
        <w:t xml:space="preserve"> </w:t>
      </w:r>
      <w:r w:rsidRPr="00395593">
        <w:rPr>
          <w:rFonts w:ascii="Garamond" w:hAnsi="Garamond"/>
          <w:sz w:val="24"/>
        </w:rPr>
        <w:t>sofrendo</w:t>
      </w:r>
      <w:r w:rsidRPr="00395593">
        <w:rPr>
          <w:rFonts w:ascii="Garamond" w:hAnsi="Garamond"/>
          <w:spacing w:val="1"/>
          <w:sz w:val="24"/>
        </w:rPr>
        <w:t xml:space="preserve"> </w:t>
      </w:r>
      <w:r w:rsidRPr="00395593">
        <w:rPr>
          <w:rFonts w:ascii="Garamond" w:hAnsi="Garamond"/>
          <w:sz w:val="24"/>
        </w:rPr>
        <w:t>dano,</w:t>
      </w:r>
      <w:r w:rsidRPr="00395593">
        <w:rPr>
          <w:rFonts w:ascii="Garamond" w:hAnsi="Garamond"/>
          <w:spacing w:val="1"/>
          <w:sz w:val="24"/>
        </w:rPr>
        <w:t xml:space="preserve"> </w:t>
      </w:r>
      <w:r w:rsidRPr="00395593">
        <w:rPr>
          <w:rFonts w:ascii="Garamond" w:hAnsi="Garamond"/>
          <w:sz w:val="24"/>
        </w:rPr>
        <w:t>desde</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haja</w:t>
      </w:r>
      <w:r w:rsidRPr="00395593">
        <w:rPr>
          <w:rFonts w:ascii="Garamond" w:hAnsi="Garamond"/>
          <w:spacing w:val="1"/>
          <w:sz w:val="24"/>
        </w:rPr>
        <w:t xml:space="preserve"> </w:t>
      </w:r>
      <w:r w:rsidRPr="00395593">
        <w:rPr>
          <w:rFonts w:ascii="Garamond" w:hAnsi="Garamond"/>
          <w:sz w:val="24"/>
        </w:rPr>
        <w:t>concentração</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 xml:space="preserve">importações a preços de </w:t>
      </w:r>
      <w:r w:rsidRPr="00395593">
        <w:rPr>
          <w:rFonts w:ascii="Garamond" w:hAnsi="Garamond"/>
          <w:i/>
          <w:sz w:val="24"/>
        </w:rPr>
        <w:t xml:space="preserve">dumping </w:t>
      </w:r>
      <w:r w:rsidRPr="00395593">
        <w:rPr>
          <w:rFonts w:ascii="Garamond" w:hAnsi="Garamond"/>
          <w:sz w:val="24"/>
        </w:rPr>
        <w:t>no interior daquele mercado específico e, mais</w:t>
      </w:r>
      <w:r w:rsidRPr="00395593">
        <w:rPr>
          <w:rFonts w:ascii="Garamond" w:hAnsi="Garamond"/>
          <w:spacing w:val="1"/>
          <w:sz w:val="24"/>
        </w:rPr>
        <w:t xml:space="preserve"> </w:t>
      </w:r>
      <w:r w:rsidRPr="00395593">
        <w:rPr>
          <w:rFonts w:ascii="Garamond" w:hAnsi="Garamond"/>
          <w:sz w:val="24"/>
        </w:rPr>
        <w:t xml:space="preserve">ainda, desde que as importações a preços de </w:t>
      </w:r>
      <w:r w:rsidRPr="00395593">
        <w:rPr>
          <w:rFonts w:ascii="Garamond" w:hAnsi="Garamond"/>
          <w:i/>
          <w:sz w:val="24"/>
        </w:rPr>
        <w:t xml:space="preserve">dumping </w:t>
      </w:r>
      <w:r w:rsidRPr="00395593">
        <w:rPr>
          <w:rFonts w:ascii="Garamond" w:hAnsi="Garamond"/>
          <w:sz w:val="24"/>
        </w:rPr>
        <w:t>estejam causando dano aos</w:t>
      </w:r>
      <w:r w:rsidRPr="00395593">
        <w:rPr>
          <w:rFonts w:ascii="Garamond" w:hAnsi="Garamond"/>
          <w:spacing w:val="1"/>
          <w:sz w:val="24"/>
        </w:rPr>
        <w:t xml:space="preserve"> </w:t>
      </w:r>
      <w:r w:rsidRPr="00395593">
        <w:rPr>
          <w:rFonts w:ascii="Garamond" w:hAnsi="Garamond"/>
          <w:sz w:val="24"/>
        </w:rPr>
        <w:t>produtores de toda</w:t>
      </w:r>
      <w:r w:rsidRPr="00395593">
        <w:rPr>
          <w:rFonts w:ascii="Garamond" w:hAnsi="Garamond"/>
          <w:spacing w:val="1"/>
          <w:sz w:val="24"/>
        </w:rPr>
        <w:t xml:space="preserve"> </w:t>
      </w:r>
      <w:r w:rsidRPr="00395593">
        <w:rPr>
          <w:rFonts w:ascii="Garamond" w:hAnsi="Garamond"/>
          <w:sz w:val="24"/>
        </w:rPr>
        <w:t>ouquase toda</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produção</w:t>
      </w:r>
      <w:r w:rsidRPr="00395593">
        <w:rPr>
          <w:rFonts w:ascii="Garamond" w:hAnsi="Garamond"/>
          <w:spacing w:val="3"/>
          <w:sz w:val="24"/>
        </w:rPr>
        <w:t xml:space="preserve"> </w:t>
      </w:r>
      <w:r w:rsidRPr="00395593">
        <w:rPr>
          <w:rFonts w:ascii="Garamond" w:hAnsi="Garamond"/>
          <w:sz w:val="24"/>
        </w:rPr>
        <w:t>efetuada</w:t>
      </w:r>
      <w:r w:rsidRPr="00395593">
        <w:rPr>
          <w:rFonts w:ascii="Garamond" w:hAnsi="Garamond"/>
          <w:spacing w:val="-1"/>
          <w:sz w:val="24"/>
        </w:rPr>
        <w:t xml:space="preserve"> </w:t>
      </w:r>
      <w:r w:rsidRPr="00395593">
        <w:rPr>
          <w:rFonts w:ascii="Garamond" w:hAnsi="Garamond"/>
          <w:sz w:val="24"/>
        </w:rPr>
        <w:t>dentro</w:t>
      </w:r>
      <w:r w:rsidRPr="00395593">
        <w:rPr>
          <w:rFonts w:ascii="Garamond" w:hAnsi="Garamond"/>
          <w:spacing w:val="1"/>
          <w:sz w:val="24"/>
        </w:rPr>
        <w:t xml:space="preserve"> </w:t>
      </w:r>
      <w:r w:rsidRPr="00395593">
        <w:rPr>
          <w:rFonts w:ascii="Garamond" w:hAnsi="Garamond"/>
          <w:sz w:val="24"/>
        </w:rPr>
        <w:t>daquele</w:t>
      </w:r>
      <w:r w:rsidRPr="00395593">
        <w:rPr>
          <w:rFonts w:ascii="Garamond" w:hAnsi="Garamond"/>
          <w:spacing w:val="1"/>
          <w:sz w:val="24"/>
        </w:rPr>
        <w:t xml:space="preserve"> </w:t>
      </w:r>
      <w:r w:rsidRPr="00395593">
        <w:rPr>
          <w:rFonts w:ascii="Garamond" w:hAnsi="Garamond"/>
          <w:sz w:val="24"/>
        </w:rPr>
        <w:t>mercado.</w:t>
      </w:r>
    </w:p>
    <w:p w14:paraId="6CB543FE" w14:textId="77777777" w:rsidR="0013285C" w:rsidRPr="00395593" w:rsidRDefault="0013285C" w:rsidP="0013285C">
      <w:pPr>
        <w:pStyle w:val="Corpodetexto"/>
        <w:spacing w:before="1"/>
        <w:rPr>
          <w:rFonts w:ascii="Garamond" w:hAnsi="Garamond"/>
        </w:rPr>
      </w:pPr>
    </w:p>
    <w:p w14:paraId="00FE4C22" w14:textId="77777777" w:rsidR="0013285C" w:rsidRPr="00395593" w:rsidRDefault="0013285C" w:rsidP="002C4340">
      <w:pPr>
        <w:pStyle w:val="PargrafodaLista"/>
        <w:widowControl w:val="0"/>
        <w:numPr>
          <w:ilvl w:val="0"/>
          <w:numId w:val="22"/>
        </w:numPr>
        <w:tabs>
          <w:tab w:val="left" w:pos="810"/>
        </w:tabs>
        <w:autoSpaceDE w:val="0"/>
        <w:autoSpaceDN w:val="0"/>
        <w:spacing w:after="0" w:line="240" w:lineRule="auto"/>
        <w:ind w:right="117" w:firstLine="0"/>
        <w:contextualSpacing w:val="0"/>
        <w:jc w:val="both"/>
        <w:rPr>
          <w:rFonts w:ascii="Garamond" w:hAnsi="Garamond"/>
          <w:sz w:val="24"/>
        </w:rPr>
      </w:pPr>
      <w:r w:rsidRPr="00395593">
        <w:rPr>
          <w:rFonts w:ascii="Garamond" w:hAnsi="Garamond"/>
          <w:sz w:val="24"/>
        </w:rPr>
        <w:t>No caso de o termo indústria doméstica ter sido interpretado como o conjunto de</w:t>
      </w:r>
      <w:r w:rsidRPr="00395593">
        <w:rPr>
          <w:rFonts w:ascii="Garamond" w:hAnsi="Garamond"/>
          <w:spacing w:val="1"/>
          <w:sz w:val="24"/>
        </w:rPr>
        <w:t xml:space="preserve"> </w:t>
      </w:r>
      <w:r w:rsidRPr="00395593">
        <w:rPr>
          <w:rFonts w:ascii="Garamond" w:hAnsi="Garamond"/>
          <w:sz w:val="24"/>
        </w:rPr>
        <w:t>produtores de uma certa área, i. e., um mercado tal como este é definido no parágrafo l(b),</w:t>
      </w:r>
      <w:r w:rsidRPr="00395593">
        <w:rPr>
          <w:rFonts w:ascii="Garamond" w:hAnsi="Garamond"/>
          <w:spacing w:val="1"/>
          <w:sz w:val="24"/>
        </w:rPr>
        <w:t xml:space="preserve"> </w:t>
      </w:r>
      <w:r w:rsidRPr="00395593">
        <w:rPr>
          <w:rFonts w:ascii="Garamond" w:hAnsi="Garamond"/>
          <w:sz w:val="24"/>
        </w:rPr>
        <w:t>direitos anti-</w:t>
      </w:r>
      <w:r w:rsidRPr="00395593">
        <w:rPr>
          <w:rFonts w:ascii="Garamond" w:hAnsi="Garamond"/>
          <w:i/>
          <w:sz w:val="24"/>
        </w:rPr>
        <w:t xml:space="preserve">dumping </w:t>
      </w:r>
      <w:r w:rsidRPr="00395593">
        <w:rPr>
          <w:rFonts w:ascii="Garamond" w:hAnsi="Garamond"/>
          <w:sz w:val="24"/>
        </w:rPr>
        <w:t xml:space="preserve">serão aplicados </w:t>
      </w:r>
      <w:r w:rsidRPr="00395593">
        <w:rPr>
          <w:rFonts w:ascii="Garamond" w:hAnsi="Garamond"/>
          <w:sz w:val="24"/>
          <w:vertAlign w:val="superscript"/>
        </w:rPr>
        <w:t>12</w:t>
      </w:r>
      <w:r w:rsidRPr="00395593">
        <w:rPr>
          <w:rFonts w:ascii="Garamond" w:hAnsi="Garamond"/>
          <w:sz w:val="24"/>
        </w:rPr>
        <w:t xml:space="preserve"> apenas sobre os produtos em causa destinados ao</w:t>
      </w:r>
      <w:r w:rsidRPr="00395593">
        <w:rPr>
          <w:rFonts w:ascii="Garamond" w:hAnsi="Garamond"/>
          <w:spacing w:val="1"/>
          <w:sz w:val="24"/>
        </w:rPr>
        <w:t xml:space="preserve"> </w:t>
      </w:r>
      <w:r w:rsidRPr="00395593">
        <w:rPr>
          <w:rFonts w:ascii="Garamond" w:hAnsi="Garamond"/>
          <w:sz w:val="24"/>
        </w:rPr>
        <w:t>consumo final naquela área. Quando o direito constitucional do Membro importador não</w:t>
      </w:r>
      <w:r w:rsidRPr="00395593">
        <w:rPr>
          <w:rFonts w:ascii="Garamond" w:hAnsi="Garamond"/>
          <w:spacing w:val="1"/>
          <w:sz w:val="24"/>
        </w:rPr>
        <w:t xml:space="preserve"> </w:t>
      </w:r>
      <w:r w:rsidRPr="00395593">
        <w:rPr>
          <w:rFonts w:ascii="Garamond" w:hAnsi="Garamond"/>
          <w:sz w:val="24"/>
        </w:rPr>
        <w:t>permitir a aplicação de direito anti-</w:t>
      </w:r>
      <w:r w:rsidRPr="00395593">
        <w:rPr>
          <w:rFonts w:ascii="Garamond" w:hAnsi="Garamond"/>
          <w:i/>
          <w:sz w:val="24"/>
        </w:rPr>
        <w:t xml:space="preserve">dumping </w:t>
      </w:r>
      <w:r w:rsidRPr="00395593">
        <w:rPr>
          <w:rFonts w:ascii="Garamond" w:hAnsi="Garamond"/>
          <w:sz w:val="24"/>
        </w:rPr>
        <w:t>nessas bases, o Membro importador poderá</w:t>
      </w:r>
      <w:r w:rsidRPr="00395593">
        <w:rPr>
          <w:rFonts w:ascii="Garamond" w:hAnsi="Garamond"/>
          <w:spacing w:val="1"/>
          <w:sz w:val="24"/>
        </w:rPr>
        <w:t xml:space="preserve"> </w:t>
      </w:r>
      <w:r w:rsidRPr="00395593">
        <w:rPr>
          <w:rFonts w:ascii="Garamond" w:hAnsi="Garamond"/>
          <w:sz w:val="24"/>
        </w:rPr>
        <w:t>aplicar direito anti-</w:t>
      </w:r>
      <w:r w:rsidRPr="00395593">
        <w:rPr>
          <w:rFonts w:ascii="Garamond" w:hAnsi="Garamond"/>
          <w:i/>
          <w:sz w:val="24"/>
        </w:rPr>
        <w:t xml:space="preserve">dumping </w:t>
      </w:r>
      <w:r w:rsidRPr="00395593">
        <w:rPr>
          <w:rFonts w:ascii="Garamond" w:hAnsi="Garamond"/>
          <w:sz w:val="24"/>
        </w:rPr>
        <w:t>de maneira ilimitada apenas se: (a) aos exportadores tiver sido</w:t>
      </w:r>
      <w:r w:rsidRPr="00395593">
        <w:rPr>
          <w:rFonts w:ascii="Garamond" w:hAnsi="Garamond"/>
          <w:spacing w:val="1"/>
          <w:sz w:val="24"/>
        </w:rPr>
        <w:t xml:space="preserve"> </w:t>
      </w:r>
      <w:r w:rsidRPr="00395593">
        <w:rPr>
          <w:rFonts w:ascii="Garamond" w:hAnsi="Garamond"/>
          <w:sz w:val="24"/>
        </w:rPr>
        <w:t xml:space="preserve">dada a oportunidade de cessar as exportações a preço de </w:t>
      </w:r>
      <w:r w:rsidRPr="00395593">
        <w:rPr>
          <w:rFonts w:ascii="Garamond" w:hAnsi="Garamond"/>
          <w:i/>
          <w:sz w:val="24"/>
        </w:rPr>
        <w:t xml:space="preserve">dumping </w:t>
      </w:r>
      <w:r w:rsidRPr="00395593">
        <w:rPr>
          <w:rFonts w:ascii="Garamond" w:hAnsi="Garamond"/>
          <w:sz w:val="24"/>
        </w:rPr>
        <w:t>destinadas à área em</w:t>
      </w:r>
      <w:r w:rsidRPr="00395593">
        <w:rPr>
          <w:rFonts w:ascii="Garamond" w:hAnsi="Garamond"/>
          <w:spacing w:val="1"/>
          <w:sz w:val="24"/>
        </w:rPr>
        <w:t xml:space="preserve"> </w:t>
      </w:r>
      <w:r w:rsidRPr="00395593">
        <w:rPr>
          <w:rFonts w:ascii="Garamond" w:hAnsi="Garamond"/>
          <w:sz w:val="24"/>
        </w:rPr>
        <w:t>causa ou, alternativamente, de oferecer garantias nesse sentido de acordo com o Artigo 8 e</w:t>
      </w:r>
      <w:r w:rsidRPr="00395593">
        <w:rPr>
          <w:rFonts w:ascii="Garamond" w:hAnsi="Garamond"/>
          <w:spacing w:val="1"/>
          <w:sz w:val="24"/>
        </w:rPr>
        <w:t xml:space="preserve"> </w:t>
      </w:r>
      <w:r w:rsidRPr="00395593">
        <w:rPr>
          <w:rFonts w:ascii="Garamond" w:hAnsi="Garamond"/>
          <w:sz w:val="24"/>
        </w:rPr>
        <w:t>que tais garantias adequadas não tiverem sido imediatamente oferecidas e (b) o direito não</w:t>
      </w:r>
      <w:r w:rsidRPr="00395593">
        <w:rPr>
          <w:rFonts w:ascii="Garamond" w:hAnsi="Garamond"/>
          <w:spacing w:val="1"/>
          <w:sz w:val="24"/>
        </w:rPr>
        <w:t xml:space="preserve"> </w:t>
      </w:r>
      <w:r w:rsidRPr="00395593">
        <w:rPr>
          <w:rFonts w:ascii="Garamond" w:hAnsi="Garamond"/>
          <w:sz w:val="24"/>
        </w:rPr>
        <w:t>puder ser aplicado apenas sobre produtos ou produtores específicos que abasteçam a área</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questão.</w:t>
      </w:r>
    </w:p>
    <w:p w14:paraId="36BB5459" w14:textId="77777777" w:rsidR="0013285C" w:rsidRPr="00395593" w:rsidRDefault="0013285C" w:rsidP="0013285C">
      <w:pPr>
        <w:pStyle w:val="Corpodetexto"/>
        <w:rPr>
          <w:rFonts w:ascii="Garamond" w:hAnsi="Garamond"/>
          <w:sz w:val="20"/>
        </w:rPr>
      </w:pPr>
    </w:p>
    <w:p w14:paraId="4B9FA350" w14:textId="77777777" w:rsidR="0013285C" w:rsidRPr="00395593" w:rsidRDefault="0013285C" w:rsidP="0013285C">
      <w:pPr>
        <w:pStyle w:val="Corpodetexto"/>
        <w:rPr>
          <w:rFonts w:ascii="Garamond" w:hAnsi="Garamond"/>
          <w:sz w:val="20"/>
        </w:rPr>
      </w:pPr>
    </w:p>
    <w:p w14:paraId="46491638" w14:textId="77777777" w:rsidR="0013285C" w:rsidRPr="00395593" w:rsidRDefault="0013285C" w:rsidP="0013285C">
      <w:pPr>
        <w:pStyle w:val="Corpodetexto"/>
        <w:rPr>
          <w:rFonts w:ascii="Garamond" w:hAnsi="Garamond"/>
          <w:sz w:val="20"/>
        </w:rPr>
      </w:pPr>
    </w:p>
    <w:p w14:paraId="7CE63A3B" w14:textId="1C5DBD95" w:rsidR="0013285C" w:rsidRPr="00395593" w:rsidRDefault="0013285C" w:rsidP="0013285C">
      <w:pPr>
        <w:pStyle w:val="Corpodetexto"/>
        <w:spacing w:before="2"/>
        <w:rPr>
          <w:rFonts w:ascii="Garamond" w:hAnsi="Garamond"/>
          <w:sz w:val="11"/>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44" behindDoc="1" locked="0" layoutInCell="1" allowOverlap="1" wp14:anchorId="52EC45CD" wp14:editId="043C6790">
                <wp:simplePos x="0" y="0"/>
                <wp:positionH relativeFrom="page">
                  <wp:posOffset>1080770</wp:posOffset>
                </wp:positionH>
                <wp:positionV relativeFrom="paragraph">
                  <wp:posOffset>97155</wp:posOffset>
                </wp:positionV>
                <wp:extent cx="1828800" cy="7620"/>
                <wp:effectExtent l="4445" t="4445" r="0" b="0"/>
                <wp:wrapTopAndBottom/>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C7E8D" id="Retângulo 17" o:spid="_x0000_s1026" style="position:absolute;margin-left:85.1pt;margin-top:7.65pt;width:2in;height:.6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DSfgIAAPw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" fillcolor="black" stroked="f">
                <w10:wrap type="topAndBottom" anchorx="page"/>
              </v:rect>
            </w:pict>
          </mc:Fallback>
        </mc:AlternateContent>
      </w:r>
    </w:p>
    <w:p w14:paraId="2754EC1C" w14:textId="77777777" w:rsidR="0013285C" w:rsidRPr="00395593" w:rsidRDefault="0013285C" w:rsidP="00F362DF">
      <w:pPr>
        <w:spacing w:after="0" w:line="240" w:lineRule="auto"/>
        <w:ind w:left="102" w:right="118"/>
        <w:jc w:val="both"/>
        <w:rPr>
          <w:rFonts w:ascii="Garamond" w:hAnsi="Garamond"/>
          <w:sz w:val="20"/>
        </w:rPr>
      </w:pPr>
      <w:r w:rsidRPr="00395593">
        <w:rPr>
          <w:rFonts w:ascii="Garamond" w:hAnsi="Garamond"/>
          <w:position w:val="9"/>
          <w:sz w:val="16"/>
        </w:rPr>
        <w:t>11</w:t>
      </w:r>
      <w:r w:rsidRPr="00395593">
        <w:rPr>
          <w:rFonts w:ascii="Garamond" w:hAnsi="Garamond"/>
          <w:spacing w:val="40"/>
          <w:position w:val="9"/>
          <w:sz w:val="16"/>
        </w:rPr>
        <w:t xml:space="preserve"> </w:t>
      </w:r>
      <w:r w:rsidRPr="00395593">
        <w:rPr>
          <w:rFonts w:ascii="Garamond" w:hAnsi="Garamond"/>
          <w:sz w:val="20"/>
        </w:rPr>
        <w:t>Para os efeitos deste parágrafo, produtores serão considerados relacionados com os   exportadores apenas</w:t>
      </w:r>
      <w:r w:rsidRPr="00395593">
        <w:rPr>
          <w:rFonts w:ascii="Garamond" w:hAnsi="Garamond"/>
          <w:spacing w:val="1"/>
          <w:sz w:val="20"/>
        </w:rPr>
        <w:t xml:space="preserve"> </w:t>
      </w:r>
      <w:r w:rsidRPr="00395593">
        <w:rPr>
          <w:rFonts w:ascii="Garamond" w:hAnsi="Garamond"/>
          <w:sz w:val="20"/>
        </w:rPr>
        <w:t>no caso de: a) um deles, direta ou indiretamente, controlar o outro ou b) ambos serem controlados, direta ou</w:t>
      </w:r>
      <w:r w:rsidRPr="00395593">
        <w:rPr>
          <w:rFonts w:ascii="Garamond" w:hAnsi="Garamond"/>
          <w:spacing w:val="1"/>
          <w:sz w:val="20"/>
        </w:rPr>
        <w:t xml:space="preserve"> </w:t>
      </w:r>
      <w:r w:rsidRPr="00395593">
        <w:rPr>
          <w:rFonts w:ascii="Garamond" w:hAnsi="Garamond"/>
          <w:sz w:val="20"/>
        </w:rPr>
        <w:t>indiretamente,</w:t>
      </w:r>
      <w:r w:rsidRPr="00395593">
        <w:rPr>
          <w:rFonts w:ascii="Garamond" w:hAnsi="Garamond"/>
          <w:spacing w:val="20"/>
          <w:sz w:val="20"/>
        </w:rPr>
        <w:t xml:space="preserve"> </w:t>
      </w:r>
      <w:r w:rsidRPr="00395593">
        <w:rPr>
          <w:rFonts w:ascii="Garamond" w:hAnsi="Garamond"/>
          <w:sz w:val="20"/>
        </w:rPr>
        <w:t>por</w:t>
      </w:r>
      <w:r w:rsidRPr="00395593">
        <w:rPr>
          <w:rFonts w:ascii="Garamond" w:hAnsi="Garamond"/>
          <w:spacing w:val="20"/>
          <w:sz w:val="20"/>
        </w:rPr>
        <w:t xml:space="preserve"> </w:t>
      </w:r>
      <w:r w:rsidRPr="00395593">
        <w:rPr>
          <w:rFonts w:ascii="Garamond" w:hAnsi="Garamond"/>
          <w:sz w:val="20"/>
        </w:rPr>
        <w:t>um</w:t>
      </w:r>
      <w:r w:rsidRPr="00395593">
        <w:rPr>
          <w:rFonts w:ascii="Garamond" w:hAnsi="Garamond"/>
          <w:spacing w:val="16"/>
          <w:sz w:val="20"/>
        </w:rPr>
        <w:t xml:space="preserve"> </w:t>
      </w:r>
      <w:r w:rsidRPr="00395593">
        <w:rPr>
          <w:rFonts w:ascii="Garamond" w:hAnsi="Garamond"/>
          <w:sz w:val="20"/>
        </w:rPr>
        <w:t>terceiro</w:t>
      </w:r>
      <w:r w:rsidRPr="00395593">
        <w:rPr>
          <w:rFonts w:ascii="Garamond" w:hAnsi="Garamond"/>
          <w:spacing w:val="20"/>
          <w:sz w:val="20"/>
        </w:rPr>
        <w:t xml:space="preserve"> </w:t>
      </w:r>
      <w:r w:rsidRPr="00395593">
        <w:rPr>
          <w:rFonts w:ascii="Garamond" w:hAnsi="Garamond"/>
          <w:sz w:val="20"/>
        </w:rPr>
        <w:t>ou</w:t>
      </w:r>
      <w:r w:rsidRPr="00395593">
        <w:rPr>
          <w:rFonts w:ascii="Garamond" w:hAnsi="Garamond"/>
          <w:spacing w:val="18"/>
          <w:sz w:val="20"/>
        </w:rPr>
        <w:t xml:space="preserve"> </w:t>
      </w:r>
      <w:r w:rsidRPr="00395593">
        <w:rPr>
          <w:rFonts w:ascii="Garamond" w:hAnsi="Garamond"/>
          <w:sz w:val="20"/>
        </w:rPr>
        <w:t>c)</w:t>
      </w:r>
      <w:r w:rsidRPr="00395593">
        <w:rPr>
          <w:rFonts w:ascii="Garamond" w:hAnsi="Garamond"/>
          <w:spacing w:val="19"/>
          <w:sz w:val="20"/>
        </w:rPr>
        <w:t xml:space="preserve"> </w:t>
      </w:r>
      <w:r w:rsidRPr="00395593">
        <w:rPr>
          <w:rFonts w:ascii="Garamond" w:hAnsi="Garamond"/>
          <w:sz w:val="20"/>
        </w:rPr>
        <w:t>juntos</w:t>
      </w:r>
      <w:r w:rsidRPr="00395593">
        <w:rPr>
          <w:rFonts w:ascii="Garamond" w:hAnsi="Garamond"/>
          <w:spacing w:val="19"/>
          <w:sz w:val="20"/>
        </w:rPr>
        <w:t xml:space="preserve"> </w:t>
      </w:r>
      <w:r w:rsidRPr="00395593">
        <w:rPr>
          <w:rFonts w:ascii="Garamond" w:hAnsi="Garamond"/>
          <w:sz w:val="20"/>
        </w:rPr>
        <w:t>ambos</w:t>
      </w:r>
      <w:r w:rsidRPr="00395593">
        <w:rPr>
          <w:rFonts w:ascii="Garamond" w:hAnsi="Garamond"/>
          <w:spacing w:val="20"/>
          <w:sz w:val="20"/>
        </w:rPr>
        <w:t xml:space="preserve"> </w:t>
      </w:r>
      <w:r w:rsidRPr="00395593">
        <w:rPr>
          <w:rFonts w:ascii="Garamond" w:hAnsi="Garamond"/>
          <w:sz w:val="20"/>
        </w:rPr>
        <w:t>controlarem,</w:t>
      </w:r>
      <w:r w:rsidRPr="00395593">
        <w:rPr>
          <w:rFonts w:ascii="Garamond" w:hAnsi="Garamond"/>
          <w:spacing w:val="20"/>
          <w:sz w:val="20"/>
        </w:rPr>
        <w:t xml:space="preserve"> </w:t>
      </w:r>
      <w:r w:rsidRPr="00395593">
        <w:rPr>
          <w:rFonts w:ascii="Garamond" w:hAnsi="Garamond"/>
          <w:sz w:val="20"/>
        </w:rPr>
        <w:t>direta</w:t>
      </w:r>
      <w:r w:rsidRPr="00395593">
        <w:rPr>
          <w:rFonts w:ascii="Garamond" w:hAnsi="Garamond"/>
          <w:spacing w:val="20"/>
          <w:sz w:val="20"/>
        </w:rPr>
        <w:t xml:space="preserve"> </w:t>
      </w:r>
      <w:r w:rsidRPr="00395593">
        <w:rPr>
          <w:rFonts w:ascii="Garamond" w:hAnsi="Garamond"/>
          <w:sz w:val="20"/>
        </w:rPr>
        <w:t>ou</w:t>
      </w:r>
      <w:r w:rsidRPr="00395593">
        <w:rPr>
          <w:rFonts w:ascii="Garamond" w:hAnsi="Garamond"/>
          <w:spacing w:val="19"/>
          <w:sz w:val="20"/>
        </w:rPr>
        <w:t xml:space="preserve"> </w:t>
      </w:r>
      <w:r w:rsidRPr="00395593">
        <w:rPr>
          <w:rFonts w:ascii="Garamond" w:hAnsi="Garamond"/>
          <w:sz w:val="20"/>
        </w:rPr>
        <w:t>indiretamente,</w:t>
      </w:r>
      <w:r w:rsidRPr="00395593">
        <w:rPr>
          <w:rFonts w:ascii="Garamond" w:hAnsi="Garamond"/>
          <w:spacing w:val="20"/>
          <w:sz w:val="20"/>
        </w:rPr>
        <w:t xml:space="preserve"> </w:t>
      </w:r>
      <w:r w:rsidRPr="00395593">
        <w:rPr>
          <w:rFonts w:ascii="Garamond" w:hAnsi="Garamond"/>
          <w:sz w:val="20"/>
        </w:rPr>
        <w:t>um</w:t>
      </w:r>
      <w:r w:rsidRPr="00395593">
        <w:rPr>
          <w:rFonts w:ascii="Garamond" w:hAnsi="Garamond"/>
          <w:spacing w:val="15"/>
          <w:sz w:val="20"/>
        </w:rPr>
        <w:t xml:space="preserve"> </w:t>
      </w:r>
      <w:r w:rsidRPr="00395593">
        <w:rPr>
          <w:rFonts w:ascii="Garamond" w:hAnsi="Garamond"/>
          <w:sz w:val="20"/>
        </w:rPr>
        <w:t>terceiro,</w:t>
      </w:r>
      <w:r w:rsidRPr="00395593">
        <w:rPr>
          <w:rFonts w:ascii="Garamond" w:hAnsi="Garamond"/>
          <w:spacing w:val="21"/>
          <w:sz w:val="20"/>
        </w:rPr>
        <w:t xml:space="preserve"> </w:t>
      </w:r>
      <w:r w:rsidRPr="00395593">
        <w:rPr>
          <w:rFonts w:ascii="Garamond" w:hAnsi="Garamond"/>
          <w:sz w:val="20"/>
        </w:rPr>
        <w:t>desde</w:t>
      </w:r>
      <w:r w:rsidRPr="00395593">
        <w:rPr>
          <w:rFonts w:ascii="Garamond" w:hAnsi="Garamond"/>
          <w:spacing w:val="-48"/>
          <w:sz w:val="20"/>
        </w:rPr>
        <w:t xml:space="preserve"> </w:t>
      </w:r>
      <w:r w:rsidRPr="00395593">
        <w:rPr>
          <w:rFonts w:ascii="Garamond" w:hAnsi="Garamond"/>
          <w:sz w:val="20"/>
        </w:rPr>
        <w:t>que haja motivos para acreditar-se, ou disto suspeitar-se, que tal relação pode levar o produtor em causa a</w:t>
      </w:r>
      <w:r w:rsidRPr="00395593">
        <w:rPr>
          <w:rFonts w:ascii="Garamond" w:hAnsi="Garamond"/>
          <w:spacing w:val="1"/>
          <w:sz w:val="20"/>
        </w:rPr>
        <w:t xml:space="preserve"> </w:t>
      </w:r>
      <w:r w:rsidRPr="00395593">
        <w:rPr>
          <w:rFonts w:ascii="Garamond" w:hAnsi="Garamond"/>
          <w:sz w:val="20"/>
        </w:rPr>
        <w:t>comportar-se diferentemente dos que não integram tal relação. Para os fins deste parágrafo, considera-se que</w:t>
      </w:r>
      <w:r w:rsidRPr="00395593">
        <w:rPr>
          <w:rFonts w:ascii="Garamond" w:hAnsi="Garamond"/>
          <w:spacing w:val="1"/>
          <w:sz w:val="20"/>
        </w:rPr>
        <w:t xml:space="preserve"> </w:t>
      </w:r>
      <w:r w:rsidRPr="00395593">
        <w:rPr>
          <w:rFonts w:ascii="Garamond" w:hAnsi="Garamond"/>
          <w:sz w:val="20"/>
        </w:rPr>
        <w:t>um controla o outro quando o primeiro está em condições legais ou operacionais de impedir ou induzir as</w:t>
      </w:r>
      <w:r w:rsidRPr="00395593">
        <w:rPr>
          <w:rFonts w:ascii="Garamond" w:hAnsi="Garamond"/>
          <w:spacing w:val="1"/>
          <w:sz w:val="20"/>
        </w:rPr>
        <w:t xml:space="preserve"> </w:t>
      </w:r>
      <w:r w:rsidRPr="00395593">
        <w:rPr>
          <w:rFonts w:ascii="Garamond" w:hAnsi="Garamond"/>
          <w:sz w:val="20"/>
        </w:rPr>
        <w:t>decisões</w:t>
      </w:r>
      <w:r w:rsidRPr="00395593">
        <w:rPr>
          <w:rFonts w:ascii="Garamond" w:hAnsi="Garamond"/>
          <w:spacing w:val="-2"/>
          <w:sz w:val="20"/>
        </w:rPr>
        <w:t xml:space="preserve"> </w:t>
      </w:r>
      <w:r w:rsidRPr="00395593">
        <w:rPr>
          <w:rFonts w:ascii="Garamond" w:hAnsi="Garamond"/>
          <w:sz w:val="20"/>
        </w:rPr>
        <w:t>do</w:t>
      </w:r>
      <w:r w:rsidRPr="00395593">
        <w:rPr>
          <w:rFonts w:ascii="Garamond" w:hAnsi="Garamond"/>
          <w:spacing w:val="1"/>
          <w:sz w:val="20"/>
        </w:rPr>
        <w:t xml:space="preserve"> </w:t>
      </w:r>
      <w:r w:rsidRPr="00395593">
        <w:rPr>
          <w:rFonts w:ascii="Garamond" w:hAnsi="Garamond"/>
          <w:sz w:val="20"/>
        </w:rPr>
        <w:t>segundo.</w:t>
      </w:r>
    </w:p>
    <w:p w14:paraId="7FF2BF9E" w14:textId="25803361" w:rsidR="00F362DF" w:rsidRPr="00395593" w:rsidRDefault="0013285C" w:rsidP="00F362DF">
      <w:pPr>
        <w:spacing w:after="0" w:line="240" w:lineRule="auto"/>
        <w:ind w:left="102" w:right="902"/>
        <w:jc w:val="both"/>
        <w:rPr>
          <w:rFonts w:ascii="Garamond" w:hAnsi="Garamond"/>
          <w:sz w:val="20"/>
        </w:rPr>
      </w:pPr>
      <w:r w:rsidRPr="00395593">
        <w:rPr>
          <w:rFonts w:ascii="Garamond" w:hAnsi="Garamond"/>
          <w:sz w:val="20"/>
          <w:vertAlign w:val="superscript"/>
        </w:rPr>
        <w:t>12</w:t>
      </w:r>
      <w:r w:rsidRPr="00395593">
        <w:rPr>
          <w:rFonts w:ascii="Garamond" w:hAnsi="Garamond"/>
          <w:spacing w:val="-3"/>
          <w:sz w:val="20"/>
        </w:rPr>
        <w:t xml:space="preserve"> </w:t>
      </w:r>
      <w:r w:rsidRPr="00395593">
        <w:rPr>
          <w:rFonts w:ascii="Garamond" w:hAnsi="Garamond"/>
          <w:sz w:val="20"/>
        </w:rPr>
        <w:t>No</w:t>
      </w:r>
      <w:r w:rsidRPr="00395593">
        <w:rPr>
          <w:rFonts w:ascii="Garamond" w:hAnsi="Garamond"/>
          <w:spacing w:val="-1"/>
          <w:sz w:val="20"/>
        </w:rPr>
        <w:t xml:space="preserve"> </w:t>
      </w:r>
      <w:r w:rsidRPr="00395593">
        <w:rPr>
          <w:rFonts w:ascii="Garamond" w:hAnsi="Garamond"/>
          <w:sz w:val="20"/>
        </w:rPr>
        <w:t>contexto</w:t>
      </w:r>
      <w:r w:rsidRPr="00395593">
        <w:rPr>
          <w:rFonts w:ascii="Garamond" w:hAnsi="Garamond"/>
          <w:spacing w:val="-1"/>
          <w:sz w:val="20"/>
        </w:rPr>
        <w:t xml:space="preserve"> </w:t>
      </w:r>
      <w:r w:rsidRPr="00395593">
        <w:rPr>
          <w:rFonts w:ascii="Garamond" w:hAnsi="Garamond"/>
          <w:sz w:val="20"/>
        </w:rPr>
        <w:t>deste</w:t>
      </w:r>
      <w:r w:rsidRPr="00395593">
        <w:rPr>
          <w:rFonts w:ascii="Garamond" w:hAnsi="Garamond"/>
          <w:spacing w:val="-1"/>
          <w:sz w:val="20"/>
        </w:rPr>
        <w:t xml:space="preserve"> </w:t>
      </w:r>
      <w:r w:rsidRPr="00395593">
        <w:rPr>
          <w:rFonts w:ascii="Garamond" w:hAnsi="Garamond"/>
          <w:sz w:val="20"/>
        </w:rPr>
        <w:t>Acordo,</w:t>
      </w:r>
      <w:r w:rsidRPr="00395593">
        <w:rPr>
          <w:rFonts w:ascii="Garamond" w:hAnsi="Garamond"/>
          <w:spacing w:val="-4"/>
          <w:sz w:val="20"/>
        </w:rPr>
        <w:t xml:space="preserve"> </w:t>
      </w:r>
      <w:r w:rsidRPr="00395593">
        <w:rPr>
          <w:rFonts w:ascii="Garamond" w:hAnsi="Garamond"/>
          <w:sz w:val="20"/>
        </w:rPr>
        <w:t>“aplicados”</w:t>
      </w:r>
      <w:r w:rsidRPr="00395593">
        <w:rPr>
          <w:rFonts w:ascii="Garamond" w:hAnsi="Garamond"/>
          <w:spacing w:val="-2"/>
          <w:sz w:val="20"/>
        </w:rPr>
        <w:t xml:space="preserve"> </w:t>
      </w:r>
      <w:r w:rsidRPr="00395593">
        <w:rPr>
          <w:rFonts w:ascii="Garamond" w:hAnsi="Garamond"/>
          <w:sz w:val="20"/>
        </w:rPr>
        <w:t>significa</w:t>
      </w:r>
      <w:r w:rsidRPr="00395593">
        <w:rPr>
          <w:rFonts w:ascii="Garamond" w:hAnsi="Garamond"/>
          <w:spacing w:val="-2"/>
          <w:sz w:val="20"/>
        </w:rPr>
        <w:t xml:space="preserve"> </w:t>
      </w:r>
      <w:r w:rsidRPr="00395593">
        <w:rPr>
          <w:rFonts w:ascii="Garamond" w:hAnsi="Garamond"/>
          <w:sz w:val="20"/>
        </w:rPr>
        <w:t>a</w:t>
      </w:r>
      <w:r w:rsidRPr="00395593">
        <w:rPr>
          <w:rFonts w:ascii="Garamond" w:hAnsi="Garamond"/>
          <w:spacing w:val="-3"/>
          <w:sz w:val="20"/>
        </w:rPr>
        <w:t xml:space="preserve"> </w:t>
      </w:r>
      <w:r w:rsidRPr="00395593">
        <w:rPr>
          <w:rFonts w:ascii="Garamond" w:hAnsi="Garamond"/>
          <w:sz w:val="20"/>
        </w:rPr>
        <w:t>determinação</w:t>
      </w:r>
      <w:r w:rsidRPr="00395593">
        <w:rPr>
          <w:rFonts w:ascii="Garamond" w:hAnsi="Garamond"/>
          <w:spacing w:val="-1"/>
          <w:sz w:val="20"/>
        </w:rPr>
        <w:t xml:space="preserve"> </w:t>
      </w:r>
      <w:r w:rsidRPr="00395593">
        <w:rPr>
          <w:rFonts w:ascii="Garamond" w:hAnsi="Garamond"/>
          <w:sz w:val="20"/>
        </w:rPr>
        <w:t>ou</w:t>
      </w:r>
      <w:r w:rsidRPr="00395593">
        <w:rPr>
          <w:rFonts w:ascii="Garamond" w:hAnsi="Garamond"/>
          <w:spacing w:val="-3"/>
          <w:sz w:val="20"/>
        </w:rPr>
        <w:t xml:space="preserve"> </w:t>
      </w:r>
      <w:r w:rsidRPr="00395593">
        <w:rPr>
          <w:rFonts w:ascii="Garamond" w:hAnsi="Garamond"/>
          <w:sz w:val="20"/>
        </w:rPr>
        <w:t>o</w:t>
      </w:r>
      <w:r w:rsidRPr="00395593">
        <w:rPr>
          <w:rFonts w:ascii="Garamond" w:hAnsi="Garamond"/>
          <w:spacing w:val="-1"/>
          <w:sz w:val="20"/>
        </w:rPr>
        <w:t xml:space="preserve"> </w:t>
      </w:r>
      <w:r w:rsidRPr="00395593">
        <w:rPr>
          <w:rFonts w:ascii="Garamond" w:hAnsi="Garamond"/>
          <w:sz w:val="20"/>
        </w:rPr>
        <w:t>recebimento</w:t>
      </w:r>
      <w:r w:rsidRPr="00395593">
        <w:rPr>
          <w:rFonts w:ascii="Garamond" w:hAnsi="Garamond"/>
          <w:spacing w:val="-2"/>
          <w:sz w:val="20"/>
        </w:rPr>
        <w:t xml:space="preserve"> </w:t>
      </w:r>
      <w:r w:rsidRPr="00395593">
        <w:rPr>
          <w:rFonts w:ascii="Garamond" w:hAnsi="Garamond"/>
          <w:sz w:val="20"/>
        </w:rPr>
        <w:t>legais,</w:t>
      </w:r>
      <w:r w:rsidRPr="00395593">
        <w:rPr>
          <w:rFonts w:ascii="Garamond" w:hAnsi="Garamond"/>
          <w:spacing w:val="-2"/>
          <w:sz w:val="20"/>
        </w:rPr>
        <w:t xml:space="preserve"> </w:t>
      </w:r>
      <w:r w:rsidRPr="00395593">
        <w:rPr>
          <w:rFonts w:ascii="Garamond" w:hAnsi="Garamond"/>
          <w:sz w:val="20"/>
        </w:rPr>
        <w:t>finais</w:t>
      </w:r>
      <w:r w:rsidRPr="00395593">
        <w:rPr>
          <w:rFonts w:ascii="Garamond" w:hAnsi="Garamond"/>
          <w:spacing w:val="-3"/>
          <w:sz w:val="20"/>
        </w:rPr>
        <w:t xml:space="preserve"> </w:t>
      </w:r>
      <w:r w:rsidRPr="00395593">
        <w:rPr>
          <w:rFonts w:ascii="Garamond" w:hAnsi="Garamond"/>
          <w:sz w:val="20"/>
        </w:rPr>
        <w:t>ou</w:t>
      </w:r>
      <w:r w:rsidRPr="00395593">
        <w:rPr>
          <w:rFonts w:ascii="Garamond" w:hAnsi="Garamond"/>
          <w:spacing w:val="-48"/>
          <w:sz w:val="20"/>
        </w:rPr>
        <w:t xml:space="preserve"> </w:t>
      </w:r>
      <w:r w:rsidRPr="00395593">
        <w:rPr>
          <w:rFonts w:ascii="Garamond" w:hAnsi="Garamond"/>
          <w:sz w:val="20"/>
        </w:rPr>
        <w:t>definitivos</w:t>
      </w:r>
      <w:r w:rsidRPr="00395593">
        <w:rPr>
          <w:rFonts w:ascii="Garamond" w:hAnsi="Garamond"/>
          <w:spacing w:val="-2"/>
          <w:sz w:val="20"/>
        </w:rPr>
        <w:t xml:space="preserve"> </w:t>
      </w:r>
      <w:r w:rsidRPr="00395593">
        <w:rPr>
          <w:rFonts w:ascii="Garamond" w:hAnsi="Garamond"/>
          <w:sz w:val="20"/>
        </w:rPr>
        <w:t>de imposto</w:t>
      </w:r>
      <w:r w:rsidRPr="00395593">
        <w:rPr>
          <w:rFonts w:ascii="Garamond" w:hAnsi="Garamond"/>
          <w:spacing w:val="1"/>
          <w:sz w:val="20"/>
        </w:rPr>
        <w:t xml:space="preserve"> </w:t>
      </w:r>
      <w:r w:rsidRPr="00395593">
        <w:rPr>
          <w:rFonts w:ascii="Garamond" w:hAnsi="Garamond"/>
          <w:sz w:val="20"/>
        </w:rPr>
        <w:t>ou</w:t>
      </w:r>
      <w:r w:rsidRPr="00395593">
        <w:rPr>
          <w:rFonts w:ascii="Garamond" w:hAnsi="Garamond"/>
          <w:spacing w:val="-1"/>
          <w:sz w:val="20"/>
        </w:rPr>
        <w:t xml:space="preserve"> </w:t>
      </w:r>
      <w:r w:rsidRPr="00395593">
        <w:rPr>
          <w:rFonts w:ascii="Garamond" w:hAnsi="Garamond"/>
          <w:sz w:val="20"/>
        </w:rPr>
        <w:t>taxa.</w:t>
      </w:r>
    </w:p>
    <w:p w14:paraId="423FE4C2" w14:textId="77777777" w:rsidR="00F362DF" w:rsidRPr="00395593" w:rsidRDefault="00F362DF">
      <w:pPr>
        <w:rPr>
          <w:rFonts w:ascii="Garamond" w:hAnsi="Garamond"/>
          <w:sz w:val="20"/>
        </w:rPr>
      </w:pPr>
      <w:r w:rsidRPr="00395593">
        <w:rPr>
          <w:rFonts w:ascii="Garamond" w:hAnsi="Garamond"/>
          <w:sz w:val="20"/>
        </w:rPr>
        <w:br w:type="page"/>
      </w:r>
    </w:p>
    <w:p w14:paraId="138C7AA1" w14:textId="4401B9F0" w:rsidR="0013285C" w:rsidRPr="00395593" w:rsidRDefault="0013285C" w:rsidP="002C4340">
      <w:pPr>
        <w:pStyle w:val="PargrafodaLista"/>
        <w:widowControl w:val="0"/>
        <w:numPr>
          <w:ilvl w:val="0"/>
          <w:numId w:val="22"/>
        </w:numPr>
        <w:tabs>
          <w:tab w:val="left" w:pos="810"/>
        </w:tabs>
        <w:autoSpaceDE w:val="0"/>
        <w:autoSpaceDN w:val="0"/>
        <w:spacing w:before="68" w:after="0" w:line="240" w:lineRule="auto"/>
        <w:ind w:right="122" w:firstLine="0"/>
        <w:contextualSpacing w:val="0"/>
        <w:jc w:val="both"/>
        <w:rPr>
          <w:rFonts w:ascii="Garamond" w:hAnsi="Garamond"/>
          <w:sz w:val="24"/>
        </w:rPr>
      </w:pPr>
      <w:r w:rsidRPr="00395593">
        <w:rPr>
          <w:rFonts w:ascii="Garamond" w:hAnsi="Garamond"/>
          <w:sz w:val="24"/>
        </w:rPr>
        <w:t>Quando dois ou mais países tiverem atingido tal nível de integração, de acordo com</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disposto</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parágrafo</w:t>
      </w:r>
      <w:r w:rsidRPr="00395593">
        <w:rPr>
          <w:rFonts w:ascii="Garamond" w:hAnsi="Garamond"/>
          <w:spacing w:val="1"/>
          <w:sz w:val="24"/>
        </w:rPr>
        <w:t xml:space="preserve"> </w:t>
      </w:r>
      <w:r w:rsidRPr="00395593">
        <w:rPr>
          <w:rFonts w:ascii="Garamond" w:hAnsi="Garamond"/>
          <w:sz w:val="24"/>
        </w:rPr>
        <w:t>8(a)</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Artigo</w:t>
      </w:r>
      <w:r w:rsidRPr="00395593">
        <w:rPr>
          <w:rFonts w:ascii="Garamond" w:hAnsi="Garamond"/>
          <w:spacing w:val="1"/>
          <w:sz w:val="24"/>
        </w:rPr>
        <w:t xml:space="preserve"> </w:t>
      </w:r>
      <w:r w:rsidRPr="00395593">
        <w:rPr>
          <w:rFonts w:ascii="Garamond" w:hAnsi="Garamond"/>
          <w:sz w:val="24"/>
        </w:rPr>
        <w:t>XXIV</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GATT</w:t>
      </w:r>
      <w:r w:rsidRPr="00395593">
        <w:rPr>
          <w:rFonts w:ascii="Garamond" w:hAnsi="Garamond"/>
          <w:spacing w:val="1"/>
          <w:sz w:val="24"/>
        </w:rPr>
        <w:t xml:space="preserve"> </w:t>
      </w:r>
      <w:r w:rsidRPr="00395593">
        <w:rPr>
          <w:rFonts w:ascii="Garamond" w:hAnsi="Garamond"/>
          <w:sz w:val="24"/>
        </w:rPr>
        <w:t>1994,</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suas</w:t>
      </w:r>
      <w:r w:rsidRPr="00395593">
        <w:rPr>
          <w:rFonts w:ascii="Garamond" w:hAnsi="Garamond"/>
          <w:spacing w:val="1"/>
          <w:sz w:val="24"/>
        </w:rPr>
        <w:t xml:space="preserve"> </w:t>
      </w:r>
      <w:r w:rsidRPr="00395593">
        <w:rPr>
          <w:rFonts w:ascii="Garamond" w:hAnsi="Garamond"/>
          <w:sz w:val="24"/>
        </w:rPr>
        <w:t>economias</w:t>
      </w:r>
      <w:r w:rsidRPr="00395593">
        <w:rPr>
          <w:rFonts w:ascii="Garamond" w:hAnsi="Garamond"/>
          <w:spacing w:val="1"/>
          <w:sz w:val="24"/>
        </w:rPr>
        <w:t xml:space="preserve"> </w:t>
      </w:r>
      <w:r w:rsidRPr="00395593">
        <w:rPr>
          <w:rFonts w:ascii="Garamond" w:hAnsi="Garamond"/>
          <w:sz w:val="24"/>
        </w:rPr>
        <w:t xml:space="preserve">apresentem as características de um único mercado, será a totalidade da área de </w:t>
      </w:r>
      <w:r w:rsidR="008E3AF6" w:rsidRPr="005C5CBD">
        <w:rPr>
          <w:rFonts w:ascii="Garamond" w:hAnsi="Garamond"/>
          <w:sz w:val="24"/>
        </w:rPr>
        <w:t>integração</w:t>
      </w:r>
      <w:r w:rsidRPr="00395593">
        <w:rPr>
          <w:rFonts w:ascii="Garamond" w:hAnsi="Garamond"/>
          <w:spacing w:val="1"/>
          <w:sz w:val="24"/>
        </w:rPr>
        <w:t xml:space="preserve"> </w:t>
      </w:r>
      <w:r w:rsidRPr="00395593">
        <w:rPr>
          <w:rFonts w:ascii="Garamond" w:hAnsi="Garamond"/>
          <w:sz w:val="24"/>
        </w:rPr>
        <w:t>considerada</w:t>
      </w:r>
      <w:r w:rsidRPr="00395593">
        <w:rPr>
          <w:rFonts w:ascii="Garamond" w:hAnsi="Garamond"/>
          <w:spacing w:val="-2"/>
          <w:sz w:val="24"/>
        </w:rPr>
        <w:t xml:space="preserve"> </w:t>
      </w:r>
      <w:r w:rsidRPr="00395593">
        <w:rPr>
          <w:rFonts w:ascii="Garamond" w:hAnsi="Garamond"/>
          <w:sz w:val="24"/>
        </w:rPr>
        <w:t>como indústria</w:t>
      </w:r>
      <w:r w:rsidRPr="00395593">
        <w:rPr>
          <w:rFonts w:ascii="Garamond" w:hAnsi="Garamond"/>
          <w:spacing w:val="-2"/>
          <w:sz w:val="24"/>
        </w:rPr>
        <w:t xml:space="preserve"> </w:t>
      </w:r>
      <w:r w:rsidRPr="00395593">
        <w:rPr>
          <w:rFonts w:ascii="Garamond" w:hAnsi="Garamond"/>
          <w:sz w:val="24"/>
        </w:rPr>
        <w:t>doméstica</w:t>
      </w:r>
      <w:r w:rsidRPr="00395593">
        <w:rPr>
          <w:rFonts w:ascii="Garamond" w:hAnsi="Garamond"/>
          <w:spacing w:val="-1"/>
          <w:sz w:val="24"/>
        </w:rPr>
        <w:t xml:space="preserve"> </w:t>
      </w:r>
      <w:r w:rsidRPr="00395593">
        <w:rPr>
          <w:rFonts w:ascii="Garamond" w:hAnsi="Garamond"/>
          <w:sz w:val="24"/>
        </w:rPr>
        <w:t>nos</w:t>
      </w:r>
      <w:r w:rsidRPr="00395593">
        <w:rPr>
          <w:rFonts w:ascii="Garamond" w:hAnsi="Garamond"/>
          <w:spacing w:val="-1"/>
          <w:sz w:val="24"/>
        </w:rPr>
        <w:t xml:space="preserve"> </w:t>
      </w:r>
      <w:r w:rsidRPr="00395593">
        <w:rPr>
          <w:rFonts w:ascii="Garamond" w:hAnsi="Garamond"/>
          <w:sz w:val="24"/>
        </w:rPr>
        <w:t>termos</w:t>
      </w:r>
      <w:r w:rsidRPr="00395593">
        <w:rPr>
          <w:rFonts w:ascii="Garamond" w:hAnsi="Garamond"/>
          <w:spacing w:val="2"/>
          <w:sz w:val="24"/>
        </w:rPr>
        <w:t xml:space="preserve"> </w:t>
      </w:r>
      <w:r w:rsidRPr="00395593">
        <w:rPr>
          <w:rFonts w:ascii="Garamond" w:hAnsi="Garamond"/>
          <w:sz w:val="24"/>
        </w:rPr>
        <w:t>do parágrafo 1 acima.</w:t>
      </w:r>
    </w:p>
    <w:p w14:paraId="0F4924B2" w14:textId="77777777" w:rsidR="0013285C" w:rsidRPr="00395593" w:rsidRDefault="0013285C" w:rsidP="0013285C">
      <w:pPr>
        <w:pStyle w:val="Corpodetexto"/>
        <w:rPr>
          <w:rFonts w:ascii="Garamond" w:hAnsi="Garamond"/>
          <w:sz w:val="26"/>
        </w:rPr>
      </w:pPr>
    </w:p>
    <w:p w14:paraId="2AE6AEAB" w14:textId="77777777" w:rsidR="0013285C" w:rsidRPr="00395593" w:rsidRDefault="0013285C" w:rsidP="002C4340">
      <w:pPr>
        <w:pStyle w:val="PargrafodaLista"/>
        <w:widowControl w:val="0"/>
        <w:numPr>
          <w:ilvl w:val="0"/>
          <w:numId w:val="22"/>
        </w:numPr>
        <w:tabs>
          <w:tab w:val="left" w:pos="810"/>
        </w:tabs>
        <w:autoSpaceDE w:val="0"/>
        <w:autoSpaceDN w:val="0"/>
        <w:spacing w:after="0" w:line="240" w:lineRule="auto"/>
        <w:ind w:left="810"/>
        <w:contextualSpacing w:val="0"/>
        <w:jc w:val="both"/>
        <w:rPr>
          <w:rFonts w:ascii="Garamond" w:hAnsi="Garamond"/>
          <w:sz w:val="24"/>
        </w:rPr>
      </w:pPr>
      <w:r w:rsidRPr="00395593">
        <w:rPr>
          <w:rFonts w:ascii="Garamond" w:hAnsi="Garamond"/>
          <w:sz w:val="24"/>
        </w:rPr>
        <w:t>O</w:t>
      </w:r>
      <w:r w:rsidRPr="00395593">
        <w:rPr>
          <w:rFonts w:ascii="Garamond" w:hAnsi="Garamond"/>
          <w:spacing w:val="-2"/>
          <w:sz w:val="24"/>
        </w:rPr>
        <w:t xml:space="preserve"> </w:t>
      </w:r>
      <w:r w:rsidRPr="00395593">
        <w:rPr>
          <w:rFonts w:ascii="Garamond" w:hAnsi="Garamond"/>
          <w:sz w:val="24"/>
        </w:rPr>
        <w:t>disposto</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parágrafo 6</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Artigo</w:t>
      </w:r>
      <w:r w:rsidRPr="00395593">
        <w:rPr>
          <w:rFonts w:ascii="Garamond" w:hAnsi="Garamond"/>
          <w:spacing w:val="-1"/>
          <w:sz w:val="24"/>
        </w:rPr>
        <w:t xml:space="preserve"> </w:t>
      </w:r>
      <w:r w:rsidRPr="00395593">
        <w:rPr>
          <w:rFonts w:ascii="Garamond" w:hAnsi="Garamond"/>
          <w:sz w:val="24"/>
        </w:rPr>
        <w:t>3</w:t>
      </w:r>
      <w:r w:rsidRPr="00395593">
        <w:rPr>
          <w:rFonts w:ascii="Garamond" w:hAnsi="Garamond"/>
          <w:spacing w:val="-1"/>
          <w:sz w:val="24"/>
        </w:rPr>
        <w:t xml:space="preserve"> </w:t>
      </w:r>
      <w:r w:rsidRPr="00395593">
        <w:rPr>
          <w:rFonts w:ascii="Garamond" w:hAnsi="Garamond"/>
          <w:sz w:val="24"/>
        </w:rPr>
        <w:t>será</w:t>
      </w:r>
      <w:r w:rsidRPr="00395593">
        <w:rPr>
          <w:rFonts w:ascii="Garamond" w:hAnsi="Garamond"/>
          <w:spacing w:val="-1"/>
          <w:sz w:val="24"/>
        </w:rPr>
        <w:t xml:space="preserve"> </w:t>
      </w:r>
      <w:r w:rsidRPr="00395593">
        <w:rPr>
          <w:rFonts w:ascii="Garamond" w:hAnsi="Garamond"/>
          <w:sz w:val="24"/>
        </w:rPr>
        <w:t>aplicável</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este</w:t>
      </w:r>
      <w:r w:rsidRPr="00395593">
        <w:rPr>
          <w:rFonts w:ascii="Garamond" w:hAnsi="Garamond"/>
          <w:spacing w:val="-1"/>
          <w:sz w:val="24"/>
        </w:rPr>
        <w:t xml:space="preserve"> </w:t>
      </w:r>
      <w:r w:rsidRPr="00395593">
        <w:rPr>
          <w:rFonts w:ascii="Garamond" w:hAnsi="Garamond"/>
          <w:sz w:val="24"/>
        </w:rPr>
        <w:t>Artigo.</w:t>
      </w:r>
    </w:p>
    <w:p w14:paraId="6EC79DFA" w14:textId="77777777" w:rsidR="0013285C" w:rsidRPr="00395593" w:rsidRDefault="0013285C" w:rsidP="0013285C">
      <w:pPr>
        <w:pStyle w:val="Corpodetexto"/>
        <w:rPr>
          <w:rFonts w:ascii="Garamond" w:hAnsi="Garamond"/>
          <w:sz w:val="26"/>
        </w:rPr>
      </w:pPr>
    </w:p>
    <w:p w14:paraId="79C86A8E" w14:textId="396A067A" w:rsidR="0013285C" w:rsidRPr="00395593" w:rsidRDefault="0013285C" w:rsidP="005F7A3B">
      <w:pPr>
        <w:pStyle w:val="Corpodetexto"/>
        <w:spacing w:line="360" w:lineRule="auto"/>
        <w:ind w:left="176" w:right="194"/>
        <w:jc w:val="center"/>
        <w:rPr>
          <w:rFonts w:ascii="Garamond" w:hAnsi="Garamond"/>
          <w:b/>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5</w:t>
      </w:r>
    </w:p>
    <w:p w14:paraId="18ACBBB4" w14:textId="77777777" w:rsidR="0013285C" w:rsidRPr="00395593" w:rsidRDefault="0013285C" w:rsidP="005F7A3B">
      <w:pPr>
        <w:pStyle w:val="Corpodetexto"/>
        <w:spacing w:line="360" w:lineRule="auto"/>
        <w:ind w:left="173" w:right="196"/>
        <w:jc w:val="center"/>
        <w:rPr>
          <w:rFonts w:ascii="Garamond" w:hAnsi="Garamond"/>
          <w:b/>
        </w:rPr>
      </w:pPr>
      <w:r w:rsidRPr="00395593">
        <w:rPr>
          <w:rFonts w:ascii="Garamond" w:hAnsi="Garamond"/>
          <w:b/>
        </w:rPr>
        <w:t>Início</w:t>
      </w:r>
      <w:r w:rsidRPr="00395593">
        <w:rPr>
          <w:rFonts w:ascii="Garamond" w:hAnsi="Garamond"/>
          <w:b/>
          <w:spacing w:val="-1"/>
        </w:rPr>
        <w:t xml:space="preserve"> </w:t>
      </w:r>
      <w:r w:rsidRPr="00395593">
        <w:rPr>
          <w:rFonts w:ascii="Garamond" w:hAnsi="Garamond"/>
          <w:b/>
        </w:rPr>
        <w:t>e</w:t>
      </w:r>
      <w:r w:rsidRPr="00395593">
        <w:rPr>
          <w:rFonts w:ascii="Garamond" w:hAnsi="Garamond"/>
          <w:b/>
          <w:spacing w:val="-3"/>
        </w:rPr>
        <w:t xml:space="preserve"> </w:t>
      </w:r>
      <w:r w:rsidRPr="00395593">
        <w:rPr>
          <w:rFonts w:ascii="Garamond" w:hAnsi="Garamond"/>
          <w:b/>
        </w:rPr>
        <w:t>Condução</w:t>
      </w:r>
      <w:r w:rsidRPr="00395593">
        <w:rPr>
          <w:rFonts w:ascii="Garamond" w:hAnsi="Garamond"/>
          <w:b/>
          <w:spacing w:val="-2"/>
        </w:rPr>
        <w:t xml:space="preserve"> </w:t>
      </w:r>
      <w:r w:rsidRPr="00395593">
        <w:rPr>
          <w:rFonts w:ascii="Garamond" w:hAnsi="Garamond"/>
          <w:b/>
        </w:rPr>
        <w:t>das</w:t>
      </w:r>
      <w:r w:rsidRPr="00395593">
        <w:rPr>
          <w:rFonts w:ascii="Garamond" w:hAnsi="Garamond"/>
          <w:b/>
          <w:spacing w:val="-1"/>
        </w:rPr>
        <w:t xml:space="preserve"> </w:t>
      </w:r>
      <w:r w:rsidRPr="00395593">
        <w:rPr>
          <w:rFonts w:ascii="Garamond" w:hAnsi="Garamond"/>
          <w:b/>
        </w:rPr>
        <w:t>Investigações</w:t>
      </w:r>
    </w:p>
    <w:p w14:paraId="35A9B472" w14:textId="77777777" w:rsidR="0013285C" w:rsidRPr="00395593" w:rsidRDefault="0013285C" w:rsidP="0013285C">
      <w:pPr>
        <w:pStyle w:val="Corpodetexto"/>
        <w:spacing w:before="1"/>
        <w:rPr>
          <w:rFonts w:ascii="Garamond" w:hAnsi="Garamond"/>
        </w:rPr>
      </w:pPr>
    </w:p>
    <w:p w14:paraId="4A7C3AE7" w14:textId="77777777" w:rsidR="0013285C" w:rsidRPr="00395593" w:rsidRDefault="0013285C" w:rsidP="002C4340">
      <w:pPr>
        <w:pStyle w:val="PargrafodaLista"/>
        <w:widowControl w:val="0"/>
        <w:numPr>
          <w:ilvl w:val="0"/>
          <w:numId w:val="21"/>
        </w:numPr>
        <w:tabs>
          <w:tab w:val="left" w:pos="810"/>
        </w:tabs>
        <w:autoSpaceDE w:val="0"/>
        <w:autoSpaceDN w:val="0"/>
        <w:spacing w:after="0" w:line="240" w:lineRule="auto"/>
        <w:ind w:right="122" w:firstLine="0"/>
        <w:contextualSpacing w:val="0"/>
        <w:jc w:val="both"/>
        <w:rPr>
          <w:rFonts w:ascii="Garamond" w:hAnsi="Garamond"/>
          <w:sz w:val="24"/>
        </w:rPr>
      </w:pPr>
      <w:r w:rsidRPr="00395593">
        <w:rPr>
          <w:rFonts w:ascii="Garamond" w:hAnsi="Garamond"/>
          <w:sz w:val="24"/>
        </w:rPr>
        <w:t>Com</w:t>
      </w:r>
      <w:r w:rsidRPr="00395593">
        <w:rPr>
          <w:rFonts w:ascii="Garamond" w:hAnsi="Garamond"/>
          <w:spacing w:val="1"/>
          <w:sz w:val="24"/>
        </w:rPr>
        <w:t xml:space="preserve"> </w:t>
      </w:r>
      <w:r w:rsidRPr="00395593">
        <w:rPr>
          <w:rFonts w:ascii="Garamond" w:hAnsi="Garamond"/>
          <w:sz w:val="24"/>
        </w:rPr>
        <w:t>exceção</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disposto</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parágrafo</w:t>
      </w:r>
      <w:r w:rsidRPr="00395593">
        <w:rPr>
          <w:rFonts w:ascii="Garamond" w:hAnsi="Garamond"/>
          <w:spacing w:val="1"/>
          <w:sz w:val="24"/>
        </w:rPr>
        <w:t xml:space="preserve"> </w:t>
      </w:r>
      <w:r w:rsidRPr="00395593">
        <w:rPr>
          <w:rFonts w:ascii="Garamond" w:hAnsi="Garamond"/>
          <w:sz w:val="24"/>
        </w:rPr>
        <w:t>6,</w:t>
      </w:r>
      <w:r w:rsidRPr="00395593">
        <w:rPr>
          <w:rFonts w:ascii="Garamond" w:hAnsi="Garamond"/>
          <w:spacing w:val="1"/>
          <w:sz w:val="24"/>
        </w:rPr>
        <w:t xml:space="preserve"> </w:t>
      </w:r>
      <w:r w:rsidRPr="00395593">
        <w:rPr>
          <w:rFonts w:ascii="Garamond" w:hAnsi="Garamond"/>
          <w:sz w:val="24"/>
        </w:rPr>
        <w:t>uma</w:t>
      </w:r>
      <w:r w:rsidRPr="00395593">
        <w:rPr>
          <w:rFonts w:ascii="Garamond" w:hAnsi="Garamond"/>
          <w:spacing w:val="1"/>
          <w:sz w:val="24"/>
        </w:rPr>
        <w:t xml:space="preserve"> </w:t>
      </w:r>
      <w:r w:rsidRPr="00395593">
        <w:rPr>
          <w:rFonts w:ascii="Garamond" w:hAnsi="Garamond"/>
          <w:sz w:val="24"/>
        </w:rPr>
        <w:t>investigação</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1"/>
          <w:sz w:val="24"/>
        </w:rPr>
        <w:t xml:space="preserve"> </w:t>
      </w:r>
      <w:r w:rsidRPr="00395593">
        <w:rPr>
          <w:rFonts w:ascii="Garamond" w:hAnsi="Garamond"/>
          <w:sz w:val="24"/>
        </w:rPr>
        <w:t>determinar</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57"/>
          <w:sz w:val="24"/>
        </w:rPr>
        <w:t xml:space="preserve"> </w:t>
      </w:r>
      <w:r w:rsidRPr="00395593">
        <w:rPr>
          <w:rFonts w:ascii="Garamond" w:hAnsi="Garamond"/>
          <w:sz w:val="24"/>
        </w:rPr>
        <w:t xml:space="preserve">existência, o grau e o efeito de qualquer </w:t>
      </w:r>
      <w:r w:rsidRPr="00395593">
        <w:rPr>
          <w:rFonts w:ascii="Garamond" w:hAnsi="Garamond"/>
          <w:i/>
          <w:sz w:val="24"/>
        </w:rPr>
        <w:t xml:space="preserve">dumping </w:t>
      </w:r>
      <w:r w:rsidRPr="00395593">
        <w:rPr>
          <w:rFonts w:ascii="Garamond" w:hAnsi="Garamond"/>
          <w:sz w:val="24"/>
        </w:rPr>
        <w:t>alegado será iniciada por melo de petição</w:t>
      </w:r>
      <w:r w:rsidRPr="00395593">
        <w:rPr>
          <w:rFonts w:ascii="Garamond" w:hAnsi="Garamond"/>
          <w:spacing w:val="1"/>
          <w:sz w:val="24"/>
        </w:rPr>
        <w:t xml:space="preserve"> </w:t>
      </w:r>
      <w:r w:rsidRPr="00395593">
        <w:rPr>
          <w:rFonts w:ascii="Garamond" w:hAnsi="Garamond"/>
          <w:sz w:val="24"/>
        </w:rPr>
        <w:t>formulada</w:t>
      </w:r>
      <w:r w:rsidRPr="00395593">
        <w:rPr>
          <w:rFonts w:ascii="Garamond" w:hAnsi="Garamond"/>
          <w:spacing w:val="-2"/>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escrito pela</w:t>
      </w:r>
      <w:r w:rsidRPr="00395593">
        <w:rPr>
          <w:rFonts w:ascii="Garamond" w:hAnsi="Garamond"/>
          <w:spacing w:val="-1"/>
          <w:sz w:val="24"/>
        </w:rPr>
        <w:t xml:space="preserve"> </w:t>
      </w:r>
      <w:r w:rsidRPr="00395593">
        <w:rPr>
          <w:rFonts w:ascii="Garamond" w:hAnsi="Garamond"/>
          <w:sz w:val="24"/>
        </w:rPr>
        <w:t>indústria</w:t>
      </w:r>
      <w:r w:rsidRPr="00395593">
        <w:rPr>
          <w:rFonts w:ascii="Garamond" w:hAnsi="Garamond"/>
          <w:spacing w:val="-1"/>
          <w:sz w:val="24"/>
        </w:rPr>
        <w:t xml:space="preserve"> </w:t>
      </w:r>
      <w:r w:rsidRPr="00395593">
        <w:rPr>
          <w:rFonts w:ascii="Garamond" w:hAnsi="Garamond"/>
          <w:sz w:val="24"/>
        </w:rPr>
        <w:t>doméstica</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2"/>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seu nome.</w:t>
      </w:r>
    </w:p>
    <w:p w14:paraId="1AEC8052" w14:textId="77777777" w:rsidR="0013285C" w:rsidRPr="00395593" w:rsidRDefault="0013285C" w:rsidP="0013285C">
      <w:pPr>
        <w:pStyle w:val="Corpodetexto"/>
        <w:rPr>
          <w:rFonts w:ascii="Garamond" w:hAnsi="Garamond"/>
        </w:rPr>
      </w:pPr>
    </w:p>
    <w:p w14:paraId="7E037971" w14:textId="77777777" w:rsidR="0013285C" w:rsidRPr="00395593" w:rsidRDefault="0013285C" w:rsidP="002C4340">
      <w:pPr>
        <w:pStyle w:val="PargrafodaLista"/>
        <w:widowControl w:val="0"/>
        <w:numPr>
          <w:ilvl w:val="0"/>
          <w:numId w:val="21"/>
        </w:numPr>
        <w:tabs>
          <w:tab w:val="left" w:pos="810"/>
        </w:tabs>
        <w:autoSpaceDE w:val="0"/>
        <w:autoSpaceDN w:val="0"/>
        <w:spacing w:after="0" w:line="240" w:lineRule="auto"/>
        <w:ind w:left="810"/>
        <w:contextualSpacing w:val="0"/>
        <w:jc w:val="both"/>
        <w:rPr>
          <w:rFonts w:ascii="Garamond" w:hAnsi="Garamond"/>
          <w:sz w:val="24"/>
        </w:rPr>
      </w:pPr>
      <w:r w:rsidRPr="00395593">
        <w:rPr>
          <w:rFonts w:ascii="Garamond" w:hAnsi="Garamond"/>
          <w:sz w:val="24"/>
        </w:rPr>
        <w:t>A</w:t>
      </w:r>
      <w:r w:rsidRPr="00395593">
        <w:rPr>
          <w:rFonts w:ascii="Garamond" w:hAnsi="Garamond"/>
          <w:spacing w:val="7"/>
          <w:sz w:val="24"/>
        </w:rPr>
        <w:t xml:space="preserve"> </w:t>
      </w:r>
      <w:r w:rsidRPr="00395593">
        <w:rPr>
          <w:rFonts w:ascii="Garamond" w:hAnsi="Garamond"/>
          <w:sz w:val="24"/>
        </w:rPr>
        <w:t>petição</w:t>
      </w:r>
      <w:r w:rsidRPr="00395593">
        <w:rPr>
          <w:rFonts w:ascii="Garamond" w:hAnsi="Garamond"/>
          <w:spacing w:val="8"/>
          <w:sz w:val="24"/>
        </w:rPr>
        <w:t xml:space="preserve"> </w:t>
      </w:r>
      <w:r w:rsidRPr="00395593">
        <w:rPr>
          <w:rFonts w:ascii="Garamond" w:hAnsi="Garamond"/>
          <w:sz w:val="24"/>
        </w:rPr>
        <w:t>mencionada</w:t>
      </w:r>
      <w:r w:rsidRPr="00395593">
        <w:rPr>
          <w:rFonts w:ascii="Garamond" w:hAnsi="Garamond"/>
          <w:spacing w:val="7"/>
          <w:sz w:val="24"/>
        </w:rPr>
        <w:t xml:space="preserve"> </w:t>
      </w:r>
      <w:r w:rsidRPr="00395593">
        <w:rPr>
          <w:rFonts w:ascii="Garamond" w:hAnsi="Garamond"/>
          <w:sz w:val="24"/>
        </w:rPr>
        <w:t>no</w:t>
      </w:r>
      <w:r w:rsidRPr="00395593">
        <w:rPr>
          <w:rFonts w:ascii="Garamond" w:hAnsi="Garamond"/>
          <w:spacing w:val="8"/>
          <w:sz w:val="24"/>
        </w:rPr>
        <w:t xml:space="preserve"> </w:t>
      </w:r>
      <w:r w:rsidRPr="00395593">
        <w:rPr>
          <w:rFonts w:ascii="Garamond" w:hAnsi="Garamond"/>
          <w:sz w:val="24"/>
        </w:rPr>
        <w:t>parágrafo</w:t>
      </w:r>
      <w:r w:rsidRPr="00395593">
        <w:rPr>
          <w:rFonts w:ascii="Garamond" w:hAnsi="Garamond"/>
          <w:spacing w:val="7"/>
          <w:sz w:val="24"/>
        </w:rPr>
        <w:t xml:space="preserve"> </w:t>
      </w:r>
      <w:r w:rsidRPr="00395593">
        <w:rPr>
          <w:rFonts w:ascii="Garamond" w:hAnsi="Garamond"/>
          <w:sz w:val="24"/>
        </w:rPr>
        <w:t>1</w:t>
      </w:r>
      <w:r w:rsidRPr="00395593">
        <w:rPr>
          <w:rFonts w:ascii="Garamond" w:hAnsi="Garamond"/>
          <w:spacing w:val="8"/>
          <w:sz w:val="24"/>
        </w:rPr>
        <w:t xml:space="preserve"> </w:t>
      </w:r>
      <w:r w:rsidRPr="00395593">
        <w:rPr>
          <w:rFonts w:ascii="Garamond" w:hAnsi="Garamond"/>
          <w:sz w:val="24"/>
        </w:rPr>
        <w:t>deverá</w:t>
      </w:r>
      <w:r w:rsidRPr="00395593">
        <w:rPr>
          <w:rFonts w:ascii="Garamond" w:hAnsi="Garamond"/>
          <w:spacing w:val="6"/>
          <w:sz w:val="24"/>
        </w:rPr>
        <w:t xml:space="preserve"> </w:t>
      </w:r>
      <w:r w:rsidRPr="00395593">
        <w:rPr>
          <w:rFonts w:ascii="Garamond" w:hAnsi="Garamond"/>
          <w:sz w:val="24"/>
        </w:rPr>
        <w:t>incluir</w:t>
      </w:r>
      <w:r w:rsidRPr="00395593">
        <w:rPr>
          <w:rFonts w:ascii="Garamond" w:hAnsi="Garamond"/>
          <w:spacing w:val="8"/>
          <w:sz w:val="24"/>
        </w:rPr>
        <w:t xml:space="preserve"> </w:t>
      </w:r>
      <w:r w:rsidRPr="00395593">
        <w:rPr>
          <w:rFonts w:ascii="Garamond" w:hAnsi="Garamond"/>
          <w:sz w:val="24"/>
        </w:rPr>
        <w:t>demonstração</w:t>
      </w:r>
      <w:r w:rsidRPr="00395593">
        <w:rPr>
          <w:rFonts w:ascii="Garamond" w:hAnsi="Garamond"/>
          <w:spacing w:val="8"/>
          <w:sz w:val="24"/>
        </w:rPr>
        <w:t xml:space="preserve"> </w:t>
      </w:r>
      <w:r w:rsidRPr="00395593">
        <w:rPr>
          <w:rFonts w:ascii="Garamond" w:hAnsi="Garamond"/>
          <w:sz w:val="24"/>
        </w:rPr>
        <w:t>de:</w:t>
      </w:r>
      <w:r w:rsidRPr="00395593">
        <w:rPr>
          <w:rFonts w:ascii="Garamond" w:hAnsi="Garamond"/>
          <w:spacing w:val="8"/>
          <w:sz w:val="24"/>
        </w:rPr>
        <w:t xml:space="preserve"> </w:t>
      </w:r>
      <w:r w:rsidRPr="00395593">
        <w:rPr>
          <w:rFonts w:ascii="Garamond" w:hAnsi="Garamond"/>
          <w:sz w:val="24"/>
        </w:rPr>
        <w:t>(a)</w:t>
      </w:r>
      <w:r w:rsidRPr="00395593">
        <w:rPr>
          <w:rFonts w:ascii="Garamond" w:hAnsi="Garamond"/>
          <w:spacing w:val="16"/>
          <w:sz w:val="24"/>
        </w:rPr>
        <w:t xml:space="preserve"> </w:t>
      </w:r>
      <w:r w:rsidRPr="00395593">
        <w:rPr>
          <w:rFonts w:ascii="Garamond" w:hAnsi="Garamond"/>
          <w:i/>
          <w:sz w:val="24"/>
        </w:rPr>
        <w:t>dumping</w:t>
      </w:r>
      <w:r w:rsidRPr="00395593">
        <w:rPr>
          <w:rFonts w:ascii="Garamond" w:hAnsi="Garamond"/>
          <w:sz w:val="24"/>
        </w:rPr>
        <w:t>;</w:t>
      </w:r>
    </w:p>
    <w:p w14:paraId="6656D1F8" w14:textId="77777777" w:rsidR="0013285C" w:rsidRPr="00395593" w:rsidRDefault="0013285C" w:rsidP="002C4340">
      <w:pPr>
        <w:pStyle w:val="PargrafodaLista"/>
        <w:widowControl w:val="0"/>
        <w:numPr>
          <w:ilvl w:val="0"/>
          <w:numId w:val="20"/>
        </w:numPr>
        <w:tabs>
          <w:tab w:val="left" w:pos="462"/>
        </w:tabs>
        <w:autoSpaceDE w:val="0"/>
        <w:autoSpaceDN w:val="0"/>
        <w:spacing w:after="0" w:line="240" w:lineRule="auto"/>
        <w:ind w:right="119" w:firstLine="0"/>
        <w:contextualSpacing w:val="0"/>
        <w:jc w:val="both"/>
        <w:rPr>
          <w:rFonts w:ascii="Garamond" w:hAnsi="Garamond"/>
          <w:sz w:val="24"/>
        </w:rPr>
      </w:pPr>
      <w:r w:rsidRPr="00395593">
        <w:rPr>
          <w:rFonts w:ascii="Garamond" w:hAnsi="Garamond"/>
          <w:sz w:val="24"/>
        </w:rPr>
        <w:t>dano no sentido do disposto no artigo VI do GATT 1994, tal como Interpretado neste</w:t>
      </w:r>
      <w:r w:rsidRPr="00395593">
        <w:rPr>
          <w:rFonts w:ascii="Garamond" w:hAnsi="Garamond"/>
          <w:spacing w:val="1"/>
          <w:sz w:val="24"/>
        </w:rPr>
        <w:t xml:space="preserve"> </w:t>
      </w:r>
      <w:r w:rsidRPr="00395593">
        <w:rPr>
          <w:rFonts w:ascii="Garamond" w:hAnsi="Garamond"/>
          <w:sz w:val="24"/>
        </w:rPr>
        <w:t xml:space="preserve">Acordo; e (c) nexo causal entre as importações a preços de </w:t>
      </w:r>
      <w:r w:rsidRPr="00395593">
        <w:rPr>
          <w:rFonts w:ascii="Garamond" w:hAnsi="Garamond"/>
          <w:i/>
          <w:sz w:val="24"/>
        </w:rPr>
        <w:t xml:space="preserve">dumping </w:t>
      </w:r>
      <w:r w:rsidRPr="00395593">
        <w:rPr>
          <w:rFonts w:ascii="Garamond" w:hAnsi="Garamond"/>
          <w:sz w:val="24"/>
        </w:rPr>
        <w:t>e o dano alegado;</w:t>
      </w:r>
      <w:r w:rsidRPr="00395593">
        <w:rPr>
          <w:rFonts w:ascii="Garamond" w:hAnsi="Garamond"/>
          <w:spacing w:val="1"/>
          <w:sz w:val="24"/>
        </w:rPr>
        <w:t xml:space="preserve"> </w:t>
      </w:r>
      <w:r w:rsidRPr="00395593">
        <w:rPr>
          <w:rFonts w:ascii="Garamond" w:hAnsi="Garamond"/>
          <w:sz w:val="24"/>
        </w:rPr>
        <w:t>simples declarações, desacompanhadas de demonstração bem fundamentada, não poderão</w:t>
      </w:r>
      <w:r w:rsidRPr="00395593">
        <w:rPr>
          <w:rFonts w:ascii="Garamond" w:hAnsi="Garamond"/>
          <w:spacing w:val="1"/>
          <w:sz w:val="24"/>
        </w:rPr>
        <w:t xml:space="preserve"> </w:t>
      </w:r>
      <w:r w:rsidRPr="00395593">
        <w:rPr>
          <w:rFonts w:ascii="Garamond" w:hAnsi="Garamond"/>
          <w:sz w:val="24"/>
        </w:rPr>
        <w:t>ser consideradas suficientes para satisfazer o requerido neste parágrafo. Dentro dos limites</w:t>
      </w:r>
      <w:r w:rsidRPr="00395593">
        <w:rPr>
          <w:rFonts w:ascii="Garamond" w:hAnsi="Garamond"/>
          <w:spacing w:val="1"/>
          <w:sz w:val="24"/>
        </w:rPr>
        <w:t xml:space="preserve"> </w:t>
      </w:r>
      <w:r w:rsidRPr="00395593">
        <w:rPr>
          <w:rFonts w:ascii="Garamond" w:hAnsi="Garamond"/>
          <w:sz w:val="24"/>
        </w:rPr>
        <w:t>que se possa razoavelmente separar estejam ao alcance do peticionário, a petição deverá</w:t>
      </w:r>
      <w:r w:rsidRPr="00395593">
        <w:rPr>
          <w:rFonts w:ascii="Garamond" w:hAnsi="Garamond"/>
          <w:spacing w:val="1"/>
          <w:sz w:val="24"/>
        </w:rPr>
        <w:t xml:space="preserve"> </w:t>
      </w:r>
      <w:r w:rsidRPr="00395593">
        <w:rPr>
          <w:rFonts w:ascii="Garamond" w:hAnsi="Garamond"/>
          <w:sz w:val="24"/>
        </w:rPr>
        <w:t>conter</w:t>
      </w:r>
      <w:r w:rsidRPr="00395593">
        <w:rPr>
          <w:rFonts w:ascii="Garamond" w:hAnsi="Garamond"/>
          <w:spacing w:val="-3"/>
          <w:sz w:val="24"/>
        </w:rPr>
        <w:t xml:space="preserve"> </w:t>
      </w:r>
      <w:r w:rsidRPr="00395593">
        <w:rPr>
          <w:rFonts w:ascii="Garamond" w:hAnsi="Garamond"/>
          <w:sz w:val="24"/>
        </w:rPr>
        <w:t>informações sobre</w:t>
      </w:r>
      <w:r w:rsidRPr="00395593">
        <w:rPr>
          <w:rFonts w:ascii="Garamond" w:hAnsi="Garamond"/>
          <w:spacing w:val="1"/>
          <w:sz w:val="24"/>
        </w:rPr>
        <w:t xml:space="preserve"> </w:t>
      </w:r>
      <w:r w:rsidRPr="00395593">
        <w:rPr>
          <w:rFonts w:ascii="Garamond" w:hAnsi="Garamond"/>
          <w:sz w:val="24"/>
        </w:rPr>
        <w:t>os seguintes pontos:</w:t>
      </w:r>
    </w:p>
    <w:p w14:paraId="2BC202EB" w14:textId="77777777" w:rsidR="0013285C" w:rsidRPr="00395593" w:rsidRDefault="0013285C" w:rsidP="0013285C">
      <w:pPr>
        <w:pStyle w:val="Corpodetexto"/>
        <w:rPr>
          <w:rFonts w:ascii="Garamond" w:hAnsi="Garamond"/>
        </w:rPr>
      </w:pPr>
    </w:p>
    <w:p w14:paraId="4CF6B375" w14:textId="77777777" w:rsidR="0013285C" w:rsidRPr="00395593" w:rsidRDefault="0013285C" w:rsidP="002C4340">
      <w:pPr>
        <w:pStyle w:val="PargrafodaLista"/>
        <w:widowControl w:val="0"/>
        <w:numPr>
          <w:ilvl w:val="1"/>
          <w:numId w:val="20"/>
        </w:numPr>
        <w:tabs>
          <w:tab w:val="left" w:pos="1216"/>
        </w:tabs>
        <w:autoSpaceDE w:val="0"/>
        <w:autoSpaceDN w:val="0"/>
        <w:spacing w:after="0" w:line="240" w:lineRule="auto"/>
        <w:ind w:left="821" w:right="120" w:firstLine="0"/>
        <w:contextualSpacing w:val="0"/>
        <w:jc w:val="both"/>
        <w:rPr>
          <w:rFonts w:ascii="Garamond" w:hAnsi="Garamond"/>
          <w:sz w:val="24"/>
        </w:rPr>
      </w:pPr>
      <w:r w:rsidRPr="00395593">
        <w:rPr>
          <w:rFonts w:ascii="Garamond" w:hAnsi="Garamond"/>
          <w:sz w:val="24"/>
        </w:rPr>
        <w:t>Identidade</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peticionário</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indicação</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volume</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valor</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produção</w:t>
      </w:r>
      <w:r w:rsidRPr="00395593">
        <w:rPr>
          <w:rFonts w:ascii="Garamond" w:hAnsi="Garamond"/>
          <w:spacing w:val="1"/>
          <w:sz w:val="24"/>
        </w:rPr>
        <w:t xml:space="preserve"> </w:t>
      </w:r>
      <w:r w:rsidRPr="00395593">
        <w:rPr>
          <w:rFonts w:ascii="Garamond" w:hAnsi="Garamond"/>
          <w:sz w:val="24"/>
        </w:rPr>
        <w:t>doméstica</w:t>
      </w:r>
      <w:r w:rsidRPr="00395593">
        <w:rPr>
          <w:rFonts w:ascii="Garamond" w:hAnsi="Garamond"/>
          <w:color w:val="FF0000"/>
          <w:sz w:val="24"/>
        </w:rPr>
        <w:t>, segundo o</w:t>
      </w:r>
      <w:r w:rsidRPr="00395593">
        <w:rPr>
          <w:rFonts w:ascii="Garamond" w:hAnsi="Garamond"/>
          <w:color w:val="FF0000"/>
          <w:spacing w:val="1"/>
          <w:sz w:val="24"/>
        </w:rPr>
        <w:t xml:space="preserve"> </w:t>
      </w:r>
      <w:r w:rsidRPr="00395593">
        <w:rPr>
          <w:rFonts w:ascii="Garamond" w:hAnsi="Garamond"/>
          <w:color w:val="FF0000"/>
          <w:sz w:val="24"/>
          <w:vertAlign w:val="superscript"/>
        </w:rPr>
        <w:t>*</w:t>
      </w:r>
      <w:r w:rsidRPr="00395593">
        <w:rPr>
          <w:rFonts w:ascii="Garamond" w:hAnsi="Garamond"/>
          <w:color w:val="FF0000"/>
          <w:spacing w:val="1"/>
          <w:sz w:val="24"/>
        </w:rPr>
        <w:t xml:space="preserve"> </w:t>
      </w:r>
      <w:r w:rsidRPr="00395593">
        <w:rPr>
          <w:rFonts w:ascii="Garamond" w:hAnsi="Garamond"/>
          <w:sz w:val="24"/>
        </w:rPr>
        <w:t>peticionário</w:t>
      </w:r>
      <w:r w:rsidRPr="00395593">
        <w:rPr>
          <w:rFonts w:ascii="Garamond" w:hAnsi="Garamond"/>
          <w:color w:val="FF0000"/>
          <w:sz w:val="24"/>
        </w:rPr>
        <w:t xml:space="preserve">, </w:t>
      </w:r>
      <w:r w:rsidRPr="00395593">
        <w:rPr>
          <w:rFonts w:ascii="Garamond" w:hAnsi="Garamond"/>
          <w:sz w:val="24"/>
        </w:rPr>
        <w:t>do similar nacional. No caso de</w:t>
      </w:r>
      <w:r w:rsidRPr="00395593">
        <w:rPr>
          <w:rFonts w:ascii="Garamond" w:hAnsi="Garamond"/>
          <w:spacing w:val="60"/>
          <w:sz w:val="24"/>
        </w:rPr>
        <w:t xml:space="preserve"> </w:t>
      </w:r>
      <w:r w:rsidRPr="00395593">
        <w:rPr>
          <w:rFonts w:ascii="Garamond" w:hAnsi="Garamond"/>
          <w:sz w:val="24"/>
        </w:rPr>
        <w:t>a petição</w:t>
      </w:r>
      <w:r w:rsidRPr="00395593">
        <w:rPr>
          <w:rFonts w:ascii="Garamond" w:hAnsi="Garamond"/>
          <w:spacing w:val="1"/>
          <w:sz w:val="24"/>
        </w:rPr>
        <w:t xml:space="preserve"> </w:t>
      </w:r>
      <w:r w:rsidRPr="00395593">
        <w:rPr>
          <w:rFonts w:ascii="Garamond" w:hAnsi="Garamond"/>
          <w:sz w:val="24"/>
        </w:rPr>
        <w:t>escrita ter sido feita em nome da indústria doméstica, o documento deverá indicar a</w:t>
      </w:r>
      <w:r w:rsidRPr="00395593">
        <w:rPr>
          <w:rFonts w:ascii="Garamond" w:hAnsi="Garamond"/>
          <w:spacing w:val="1"/>
          <w:sz w:val="24"/>
        </w:rPr>
        <w:t xml:space="preserve"> </w:t>
      </w:r>
      <w:r w:rsidRPr="00395593">
        <w:rPr>
          <w:rFonts w:ascii="Garamond" w:hAnsi="Garamond"/>
          <w:sz w:val="24"/>
        </w:rPr>
        <w:t>indústria em</w:t>
      </w:r>
      <w:r w:rsidRPr="00395593">
        <w:rPr>
          <w:rFonts w:ascii="Garamond" w:hAnsi="Garamond"/>
          <w:spacing w:val="1"/>
          <w:sz w:val="24"/>
        </w:rPr>
        <w:t xml:space="preserve"> </w:t>
      </w:r>
      <w:r w:rsidRPr="00395593">
        <w:rPr>
          <w:rFonts w:ascii="Garamond" w:hAnsi="Garamond"/>
          <w:sz w:val="24"/>
        </w:rPr>
        <w:t>nome da qual</w:t>
      </w:r>
      <w:r w:rsidRPr="00395593">
        <w:rPr>
          <w:rFonts w:ascii="Garamond" w:hAnsi="Garamond"/>
          <w:spacing w:val="1"/>
          <w:sz w:val="24"/>
        </w:rPr>
        <w:t xml:space="preserve"> </w:t>
      </w:r>
      <w:r w:rsidRPr="00395593">
        <w:rPr>
          <w:rFonts w:ascii="Garamond" w:hAnsi="Garamond"/>
          <w:sz w:val="24"/>
        </w:rPr>
        <w:t>foi</w:t>
      </w:r>
      <w:r w:rsidRPr="00395593">
        <w:rPr>
          <w:rFonts w:ascii="Garamond" w:hAnsi="Garamond"/>
          <w:spacing w:val="1"/>
          <w:sz w:val="24"/>
        </w:rPr>
        <w:t xml:space="preserve"> </w:t>
      </w:r>
      <w:r w:rsidRPr="00395593">
        <w:rPr>
          <w:rFonts w:ascii="Garamond" w:hAnsi="Garamond"/>
          <w:sz w:val="24"/>
        </w:rPr>
        <w:t>feita a petição</w:t>
      </w:r>
      <w:r w:rsidRPr="00395593">
        <w:rPr>
          <w:rFonts w:ascii="Garamond" w:hAnsi="Garamond"/>
          <w:spacing w:val="1"/>
          <w:sz w:val="24"/>
        </w:rPr>
        <w:t xml:space="preserve"> </w:t>
      </w:r>
      <w:r w:rsidRPr="00395593">
        <w:rPr>
          <w:rFonts w:ascii="Garamond" w:hAnsi="Garamond"/>
          <w:sz w:val="24"/>
        </w:rPr>
        <w:t>por melo</w:t>
      </w:r>
      <w:r w:rsidRPr="00395593">
        <w:rPr>
          <w:rFonts w:ascii="Garamond" w:hAnsi="Garamond"/>
          <w:spacing w:val="1"/>
          <w:sz w:val="24"/>
        </w:rPr>
        <w:t xml:space="preserve"> </w:t>
      </w:r>
      <w:r w:rsidRPr="00395593">
        <w:rPr>
          <w:rFonts w:ascii="Garamond" w:hAnsi="Garamond"/>
          <w:sz w:val="24"/>
        </w:rPr>
        <w:t>de lista com todos</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produtores</w:t>
      </w:r>
      <w:r w:rsidRPr="00395593">
        <w:rPr>
          <w:rFonts w:ascii="Garamond" w:hAnsi="Garamond"/>
          <w:spacing w:val="1"/>
          <w:sz w:val="24"/>
        </w:rPr>
        <w:t xml:space="preserve"> </w:t>
      </w:r>
      <w:r w:rsidRPr="00395593">
        <w:rPr>
          <w:rFonts w:ascii="Garamond" w:hAnsi="Garamond"/>
          <w:sz w:val="24"/>
        </w:rPr>
        <w:t>domésticos</w:t>
      </w:r>
      <w:r w:rsidRPr="00395593">
        <w:rPr>
          <w:rFonts w:ascii="Garamond" w:hAnsi="Garamond"/>
          <w:spacing w:val="1"/>
          <w:sz w:val="24"/>
        </w:rPr>
        <w:t xml:space="preserve"> </w:t>
      </w:r>
      <w:r w:rsidRPr="00395593">
        <w:rPr>
          <w:rFonts w:ascii="Garamond" w:hAnsi="Garamond"/>
          <w:sz w:val="24"/>
        </w:rPr>
        <w:t>conhecidos</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similar</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associações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produtores</w:t>
      </w:r>
      <w:r w:rsidRPr="00395593">
        <w:rPr>
          <w:rFonts w:ascii="Garamond" w:hAnsi="Garamond"/>
          <w:spacing w:val="1"/>
          <w:sz w:val="24"/>
        </w:rPr>
        <w:t xml:space="preserve"> </w:t>
      </w:r>
      <w:r w:rsidRPr="00395593">
        <w:rPr>
          <w:rFonts w:ascii="Garamond" w:hAnsi="Garamond"/>
          <w:sz w:val="24"/>
        </w:rPr>
        <w:t>nacionais do similar) e, na medida do possível, incluir indicação do volume e do</w:t>
      </w:r>
      <w:r w:rsidRPr="00395593">
        <w:rPr>
          <w:rFonts w:ascii="Garamond" w:hAnsi="Garamond"/>
          <w:spacing w:val="1"/>
          <w:sz w:val="24"/>
        </w:rPr>
        <w:t xml:space="preserve"> </w:t>
      </w:r>
      <w:r w:rsidRPr="00395593">
        <w:rPr>
          <w:rFonts w:ascii="Garamond" w:hAnsi="Garamond"/>
          <w:sz w:val="24"/>
        </w:rPr>
        <w:t>valor</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produção</w:t>
      </w:r>
      <w:r w:rsidRPr="00395593">
        <w:rPr>
          <w:rFonts w:ascii="Garamond" w:hAnsi="Garamond"/>
          <w:spacing w:val="1"/>
          <w:sz w:val="24"/>
        </w:rPr>
        <w:t xml:space="preserve"> </w:t>
      </w:r>
      <w:r w:rsidRPr="00395593">
        <w:rPr>
          <w:rFonts w:ascii="Garamond" w:hAnsi="Garamond"/>
          <w:sz w:val="24"/>
        </w:rPr>
        <w:t>doméstica</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similar</w:t>
      </w:r>
      <w:r w:rsidRPr="00395593">
        <w:rPr>
          <w:rFonts w:ascii="Garamond" w:hAnsi="Garamond"/>
          <w:spacing w:val="1"/>
          <w:sz w:val="24"/>
        </w:rPr>
        <w:t xml:space="preserve"> </w:t>
      </w:r>
      <w:r w:rsidRPr="00395593">
        <w:rPr>
          <w:rFonts w:ascii="Garamond" w:hAnsi="Garamond"/>
          <w:sz w:val="24"/>
        </w:rPr>
        <w:t>nacional</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respondem</w:t>
      </w:r>
      <w:r w:rsidRPr="00395593">
        <w:rPr>
          <w:rFonts w:ascii="Garamond" w:hAnsi="Garamond"/>
          <w:spacing w:val="1"/>
          <w:sz w:val="24"/>
        </w:rPr>
        <w:t xml:space="preserve"> </w:t>
      </w:r>
      <w:r w:rsidRPr="00395593">
        <w:rPr>
          <w:rFonts w:ascii="Garamond" w:hAnsi="Garamond"/>
          <w:sz w:val="24"/>
        </w:rPr>
        <w:t>aqueles</w:t>
      </w:r>
      <w:r w:rsidRPr="00395593">
        <w:rPr>
          <w:rFonts w:ascii="Garamond" w:hAnsi="Garamond"/>
          <w:spacing w:val="1"/>
          <w:sz w:val="24"/>
        </w:rPr>
        <w:t xml:space="preserve"> </w:t>
      </w:r>
      <w:r w:rsidRPr="00395593">
        <w:rPr>
          <w:rFonts w:ascii="Garamond" w:hAnsi="Garamond"/>
          <w:sz w:val="24"/>
        </w:rPr>
        <w:t>produtores;</w:t>
      </w:r>
    </w:p>
    <w:p w14:paraId="2F4F7149" w14:textId="77777777" w:rsidR="0013285C" w:rsidRPr="00395593" w:rsidRDefault="0013285C" w:rsidP="0013285C">
      <w:pPr>
        <w:pStyle w:val="Corpodetexto"/>
        <w:spacing w:before="1"/>
        <w:rPr>
          <w:rFonts w:ascii="Garamond" w:hAnsi="Garamond"/>
        </w:rPr>
      </w:pPr>
    </w:p>
    <w:p w14:paraId="36412398" w14:textId="77777777" w:rsidR="00D3137B" w:rsidRPr="00395593" w:rsidRDefault="0013285C" w:rsidP="002C4340">
      <w:pPr>
        <w:pStyle w:val="PargrafodaLista"/>
        <w:widowControl w:val="0"/>
        <w:numPr>
          <w:ilvl w:val="1"/>
          <w:numId w:val="20"/>
        </w:numPr>
        <w:tabs>
          <w:tab w:val="left" w:pos="1180"/>
        </w:tabs>
        <w:autoSpaceDE w:val="0"/>
        <w:autoSpaceDN w:val="0"/>
        <w:spacing w:after="0" w:line="240" w:lineRule="auto"/>
        <w:ind w:left="821" w:right="117" w:firstLine="0"/>
        <w:contextualSpacing w:val="0"/>
        <w:jc w:val="both"/>
        <w:rPr>
          <w:rFonts w:ascii="Garamond" w:hAnsi="Garamond"/>
        </w:rPr>
      </w:pPr>
      <w:r w:rsidRPr="00395593">
        <w:rPr>
          <w:rFonts w:ascii="Garamond" w:hAnsi="Garamond"/>
          <w:sz w:val="24"/>
        </w:rPr>
        <w:t xml:space="preserve">descrição completa do produto alegadamente introduzido a preços de </w:t>
      </w:r>
      <w:r w:rsidRPr="00395593">
        <w:rPr>
          <w:rFonts w:ascii="Garamond" w:hAnsi="Garamond"/>
          <w:i/>
          <w:sz w:val="24"/>
        </w:rPr>
        <w:t>dumping</w:t>
      </w:r>
      <w:r w:rsidRPr="00395593">
        <w:rPr>
          <w:rFonts w:ascii="Garamond" w:hAnsi="Garamond"/>
          <w:sz w:val="24"/>
        </w:rPr>
        <w:t>,</w:t>
      </w:r>
      <w:r w:rsidRPr="00395593">
        <w:rPr>
          <w:rFonts w:ascii="Garamond" w:hAnsi="Garamond"/>
          <w:spacing w:val="1"/>
          <w:sz w:val="24"/>
        </w:rPr>
        <w:t xml:space="preserve"> </w:t>
      </w:r>
      <w:r w:rsidRPr="00395593">
        <w:rPr>
          <w:rFonts w:ascii="Garamond" w:hAnsi="Garamond"/>
          <w:sz w:val="24"/>
        </w:rPr>
        <w:t>nomes</w:t>
      </w:r>
      <w:r w:rsidRPr="00395593">
        <w:rPr>
          <w:rFonts w:ascii="Garamond" w:hAnsi="Garamond"/>
          <w:spacing w:val="58"/>
          <w:sz w:val="24"/>
        </w:rPr>
        <w:t xml:space="preserve"> </w:t>
      </w:r>
      <w:r w:rsidRPr="00395593">
        <w:rPr>
          <w:rFonts w:ascii="Garamond" w:hAnsi="Garamond"/>
          <w:sz w:val="24"/>
        </w:rPr>
        <w:t>do</w:t>
      </w:r>
      <w:r w:rsidRPr="00395593">
        <w:rPr>
          <w:rFonts w:ascii="Garamond" w:hAnsi="Garamond"/>
          <w:spacing w:val="58"/>
          <w:sz w:val="24"/>
        </w:rPr>
        <w:t xml:space="preserve"> </w:t>
      </w:r>
      <w:r w:rsidRPr="00395593">
        <w:rPr>
          <w:rFonts w:ascii="Garamond" w:hAnsi="Garamond"/>
          <w:sz w:val="24"/>
        </w:rPr>
        <w:t>país</w:t>
      </w:r>
      <w:r w:rsidRPr="00395593">
        <w:rPr>
          <w:rFonts w:ascii="Garamond" w:hAnsi="Garamond"/>
          <w:spacing w:val="59"/>
          <w:sz w:val="24"/>
        </w:rPr>
        <w:t xml:space="preserve"> </w:t>
      </w:r>
      <w:r w:rsidRPr="00395593">
        <w:rPr>
          <w:rFonts w:ascii="Garamond" w:hAnsi="Garamond"/>
          <w:sz w:val="24"/>
        </w:rPr>
        <w:t>ou</w:t>
      </w:r>
      <w:r w:rsidRPr="00395593">
        <w:rPr>
          <w:rFonts w:ascii="Garamond" w:hAnsi="Garamond"/>
          <w:spacing w:val="59"/>
          <w:sz w:val="24"/>
        </w:rPr>
        <w:t xml:space="preserve"> </w:t>
      </w:r>
      <w:r w:rsidRPr="00395593">
        <w:rPr>
          <w:rFonts w:ascii="Garamond" w:hAnsi="Garamond"/>
          <w:sz w:val="24"/>
        </w:rPr>
        <w:t>dos</w:t>
      </w:r>
      <w:r w:rsidRPr="00395593">
        <w:rPr>
          <w:rFonts w:ascii="Garamond" w:hAnsi="Garamond"/>
          <w:spacing w:val="56"/>
          <w:sz w:val="24"/>
        </w:rPr>
        <w:t xml:space="preserve"> </w:t>
      </w:r>
      <w:r w:rsidRPr="00395593">
        <w:rPr>
          <w:rFonts w:ascii="Garamond" w:hAnsi="Garamond"/>
          <w:sz w:val="24"/>
        </w:rPr>
        <w:t>países</w:t>
      </w:r>
      <w:r w:rsidRPr="00395593">
        <w:rPr>
          <w:rFonts w:ascii="Garamond" w:hAnsi="Garamond"/>
          <w:spacing w:val="58"/>
          <w:sz w:val="24"/>
        </w:rPr>
        <w:t xml:space="preserve"> </w:t>
      </w:r>
      <w:r w:rsidRPr="00395593">
        <w:rPr>
          <w:rFonts w:ascii="Garamond" w:hAnsi="Garamond"/>
          <w:sz w:val="24"/>
        </w:rPr>
        <w:t>de</w:t>
      </w:r>
      <w:r w:rsidRPr="00395593">
        <w:rPr>
          <w:rFonts w:ascii="Garamond" w:hAnsi="Garamond"/>
          <w:spacing w:val="58"/>
          <w:sz w:val="24"/>
        </w:rPr>
        <w:t xml:space="preserve"> </w:t>
      </w:r>
      <w:r w:rsidRPr="00395593">
        <w:rPr>
          <w:rFonts w:ascii="Garamond" w:hAnsi="Garamond"/>
          <w:sz w:val="24"/>
        </w:rPr>
        <w:t>origem</w:t>
      </w:r>
      <w:r w:rsidRPr="00395593">
        <w:rPr>
          <w:rFonts w:ascii="Garamond" w:hAnsi="Garamond"/>
          <w:spacing w:val="59"/>
          <w:sz w:val="24"/>
        </w:rPr>
        <w:t xml:space="preserve"> </w:t>
      </w:r>
      <w:r w:rsidRPr="00395593">
        <w:rPr>
          <w:rFonts w:ascii="Garamond" w:hAnsi="Garamond"/>
          <w:sz w:val="24"/>
        </w:rPr>
        <w:t>ou</w:t>
      </w:r>
      <w:r w:rsidRPr="00395593">
        <w:rPr>
          <w:rFonts w:ascii="Garamond" w:hAnsi="Garamond"/>
          <w:spacing w:val="58"/>
          <w:sz w:val="24"/>
        </w:rPr>
        <w:t xml:space="preserve"> </w:t>
      </w:r>
      <w:r w:rsidRPr="00395593">
        <w:rPr>
          <w:rFonts w:ascii="Garamond" w:hAnsi="Garamond"/>
          <w:sz w:val="24"/>
        </w:rPr>
        <w:t>de  exportação,</w:t>
      </w:r>
      <w:r w:rsidRPr="00395593">
        <w:rPr>
          <w:rFonts w:ascii="Garamond" w:hAnsi="Garamond"/>
          <w:spacing w:val="58"/>
          <w:sz w:val="24"/>
        </w:rPr>
        <w:t xml:space="preserve"> </w:t>
      </w:r>
      <w:r w:rsidRPr="00395593">
        <w:rPr>
          <w:rFonts w:ascii="Garamond" w:hAnsi="Garamond"/>
          <w:sz w:val="24"/>
        </w:rPr>
        <w:t>identidade</w:t>
      </w:r>
      <w:r w:rsidRPr="00395593">
        <w:rPr>
          <w:rFonts w:ascii="Garamond" w:hAnsi="Garamond"/>
          <w:spacing w:val="59"/>
          <w:sz w:val="24"/>
        </w:rPr>
        <w:t xml:space="preserve"> </w:t>
      </w:r>
      <w:r w:rsidRPr="00395593">
        <w:rPr>
          <w:rFonts w:ascii="Garamond" w:hAnsi="Garamond"/>
          <w:sz w:val="24"/>
        </w:rPr>
        <w:t>de</w:t>
      </w:r>
      <w:r w:rsidRPr="00395593">
        <w:rPr>
          <w:rFonts w:ascii="Garamond" w:hAnsi="Garamond"/>
          <w:spacing w:val="57"/>
          <w:sz w:val="24"/>
        </w:rPr>
        <w:t xml:space="preserve"> </w:t>
      </w:r>
      <w:r w:rsidRPr="00395593">
        <w:rPr>
          <w:rFonts w:ascii="Garamond" w:hAnsi="Garamond"/>
          <w:sz w:val="24"/>
        </w:rPr>
        <w:t>cada</w:t>
      </w:r>
      <w:r w:rsidRPr="00395593">
        <w:rPr>
          <w:rFonts w:ascii="Garamond" w:hAnsi="Garamond"/>
          <w:spacing w:val="-57"/>
          <w:sz w:val="24"/>
        </w:rPr>
        <w:t xml:space="preserve"> </w:t>
      </w:r>
      <w:r w:rsidRPr="00395593">
        <w:rPr>
          <w:rFonts w:ascii="Garamond" w:hAnsi="Garamond"/>
          <w:sz w:val="24"/>
        </w:rPr>
        <w:t>exportador ou produtor estrangeiro conhecido e lista das pessoas conhecidas que</w:t>
      </w:r>
      <w:r w:rsidRPr="00395593">
        <w:rPr>
          <w:rFonts w:ascii="Garamond" w:hAnsi="Garamond"/>
          <w:spacing w:val="1"/>
          <w:sz w:val="24"/>
        </w:rPr>
        <w:t xml:space="preserve"> </w:t>
      </w:r>
      <w:r w:rsidRPr="00395593">
        <w:rPr>
          <w:rFonts w:ascii="Garamond" w:hAnsi="Garamond"/>
          <w:sz w:val="24"/>
        </w:rPr>
        <w:t>importam</w:t>
      </w:r>
      <w:r w:rsidRPr="00395593">
        <w:rPr>
          <w:rFonts w:ascii="Garamond" w:hAnsi="Garamond"/>
          <w:spacing w:val="-1"/>
          <w:sz w:val="24"/>
        </w:rPr>
        <w:t xml:space="preserve"> </w:t>
      </w:r>
      <w:r w:rsidRPr="00395593">
        <w:rPr>
          <w:rFonts w:ascii="Garamond" w:hAnsi="Garamond"/>
          <w:sz w:val="24"/>
        </w:rPr>
        <w:t>o produto em questão;</w:t>
      </w:r>
    </w:p>
    <w:p w14:paraId="7BFF616C" w14:textId="77777777" w:rsidR="00D3137B" w:rsidRPr="00395593" w:rsidRDefault="00D3137B" w:rsidP="00D3137B">
      <w:pPr>
        <w:pStyle w:val="PargrafodaLista"/>
        <w:rPr>
          <w:rFonts w:ascii="Garamond" w:hAnsi="Garamond"/>
          <w:sz w:val="24"/>
          <w:szCs w:val="24"/>
        </w:rPr>
      </w:pPr>
    </w:p>
    <w:p w14:paraId="72FBBA1C" w14:textId="36AD6D26" w:rsidR="004F0FFB" w:rsidRPr="00395593" w:rsidRDefault="00D3137B" w:rsidP="002C4340">
      <w:pPr>
        <w:pStyle w:val="PargrafodaLista"/>
        <w:widowControl w:val="0"/>
        <w:numPr>
          <w:ilvl w:val="1"/>
          <w:numId w:val="20"/>
        </w:numPr>
        <w:tabs>
          <w:tab w:val="left" w:pos="1180"/>
        </w:tabs>
        <w:autoSpaceDE w:val="0"/>
        <w:autoSpaceDN w:val="0"/>
        <w:spacing w:after="0" w:line="240" w:lineRule="auto"/>
        <w:ind w:left="821" w:right="117" w:firstLine="0"/>
        <w:contextualSpacing w:val="0"/>
        <w:jc w:val="both"/>
        <w:rPr>
          <w:rFonts w:ascii="Garamond" w:hAnsi="Garamond"/>
        </w:rPr>
      </w:pPr>
      <w:r w:rsidRPr="00395593">
        <w:rPr>
          <w:rFonts w:ascii="Garamond" w:hAnsi="Garamond"/>
          <w:sz w:val="24"/>
          <w:szCs w:val="24"/>
        </w:rPr>
        <w:t>Informação</w:t>
      </w:r>
      <w:r w:rsidRPr="00395593">
        <w:rPr>
          <w:rFonts w:ascii="Garamond" w:hAnsi="Garamond"/>
          <w:sz w:val="24"/>
        </w:rPr>
        <w:t xml:space="preserve"> sobre os preços pelos quais o produto em questão é vendido quando</w:t>
      </w:r>
      <w:r w:rsidRPr="00395593">
        <w:rPr>
          <w:rFonts w:ascii="Garamond" w:hAnsi="Garamond"/>
          <w:spacing w:val="1"/>
          <w:sz w:val="24"/>
        </w:rPr>
        <w:t xml:space="preserve"> </w:t>
      </w:r>
      <w:r w:rsidRPr="00395593">
        <w:rPr>
          <w:rFonts w:ascii="Garamond" w:hAnsi="Garamond"/>
          <w:sz w:val="24"/>
          <w:szCs w:val="24"/>
        </w:rPr>
        <w:t>quais</w:t>
      </w:r>
      <w:r w:rsidRPr="00395593">
        <w:rPr>
          <w:rFonts w:ascii="Garamond" w:hAnsi="Garamond"/>
          <w:spacing w:val="18"/>
          <w:sz w:val="24"/>
          <w:szCs w:val="24"/>
        </w:rPr>
        <w:t xml:space="preserve"> </w:t>
      </w:r>
      <w:r w:rsidRPr="00395593">
        <w:rPr>
          <w:rFonts w:ascii="Garamond" w:hAnsi="Garamond"/>
          <w:sz w:val="24"/>
          <w:szCs w:val="24"/>
        </w:rPr>
        <w:t>o</w:t>
      </w:r>
      <w:r w:rsidRPr="00395593">
        <w:rPr>
          <w:rFonts w:ascii="Garamond" w:hAnsi="Garamond"/>
          <w:spacing w:val="17"/>
          <w:sz w:val="24"/>
          <w:szCs w:val="24"/>
        </w:rPr>
        <w:t xml:space="preserve"> </w:t>
      </w:r>
      <w:r w:rsidRPr="00395593">
        <w:rPr>
          <w:rFonts w:ascii="Garamond" w:hAnsi="Garamond"/>
          <w:sz w:val="24"/>
          <w:szCs w:val="24"/>
        </w:rPr>
        <w:t>produto</w:t>
      </w:r>
      <w:r w:rsidRPr="00395593">
        <w:rPr>
          <w:rFonts w:ascii="Garamond" w:hAnsi="Garamond"/>
          <w:spacing w:val="18"/>
          <w:sz w:val="24"/>
          <w:szCs w:val="24"/>
        </w:rPr>
        <w:t xml:space="preserve"> </w:t>
      </w:r>
      <w:r w:rsidRPr="00395593">
        <w:rPr>
          <w:rFonts w:ascii="Garamond" w:hAnsi="Garamond"/>
          <w:sz w:val="24"/>
          <w:szCs w:val="24"/>
        </w:rPr>
        <w:t>é</w:t>
      </w:r>
      <w:r w:rsidRPr="00395593">
        <w:rPr>
          <w:rFonts w:ascii="Garamond" w:hAnsi="Garamond"/>
          <w:spacing w:val="17"/>
          <w:sz w:val="24"/>
          <w:szCs w:val="24"/>
        </w:rPr>
        <w:t xml:space="preserve"> </w:t>
      </w:r>
      <w:r w:rsidRPr="00395593">
        <w:rPr>
          <w:rFonts w:ascii="Garamond" w:hAnsi="Garamond"/>
          <w:sz w:val="24"/>
          <w:szCs w:val="24"/>
        </w:rPr>
        <w:t>vendido</w:t>
      </w:r>
      <w:r w:rsidRPr="00395593">
        <w:rPr>
          <w:rFonts w:ascii="Garamond" w:hAnsi="Garamond"/>
          <w:spacing w:val="17"/>
          <w:sz w:val="24"/>
          <w:szCs w:val="24"/>
        </w:rPr>
        <w:t xml:space="preserve"> </w:t>
      </w:r>
      <w:r w:rsidRPr="00395593">
        <w:rPr>
          <w:rFonts w:ascii="Garamond" w:hAnsi="Garamond"/>
          <w:sz w:val="24"/>
          <w:szCs w:val="24"/>
        </w:rPr>
        <w:t>ao</w:t>
      </w:r>
      <w:r w:rsidRPr="00395593">
        <w:rPr>
          <w:rFonts w:ascii="Garamond" w:hAnsi="Garamond"/>
          <w:spacing w:val="17"/>
          <w:sz w:val="24"/>
          <w:szCs w:val="24"/>
        </w:rPr>
        <w:t xml:space="preserve"> </w:t>
      </w:r>
      <w:r w:rsidRPr="00395593">
        <w:rPr>
          <w:rFonts w:ascii="Garamond" w:hAnsi="Garamond"/>
          <w:sz w:val="24"/>
          <w:szCs w:val="24"/>
        </w:rPr>
        <w:t>primeiro</w:t>
      </w:r>
      <w:r w:rsidRPr="00395593">
        <w:rPr>
          <w:rFonts w:ascii="Garamond" w:hAnsi="Garamond"/>
          <w:spacing w:val="-57"/>
          <w:sz w:val="24"/>
          <w:szCs w:val="24"/>
        </w:rPr>
        <w:t xml:space="preserve"> </w:t>
      </w:r>
      <w:r w:rsidRPr="00395593">
        <w:rPr>
          <w:rFonts w:ascii="Garamond" w:hAnsi="Garamond"/>
          <w:sz w:val="24"/>
          <w:szCs w:val="24"/>
        </w:rPr>
        <w:t>comprador</w:t>
      </w:r>
      <w:r w:rsidRPr="00395593">
        <w:rPr>
          <w:rFonts w:ascii="Garamond" w:hAnsi="Garamond"/>
          <w:spacing w:val="-1"/>
          <w:sz w:val="24"/>
          <w:szCs w:val="24"/>
        </w:rPr>
        <w:t xml:space="preserve"> </w:t>
      </w:r>
      <w:r w:rsidRPr="00395593">
        <w:rPr>
          <w:rFonts w:ascii="Garamond" w:hAnsi="Garamond"/>
          <w:sz w:val="24"/>
          <w:szCs w:val="24"/>
        </w:rPr>
        <w:t>independente</w:t>
      </w:r>
      <w:r w:rsidRPr="00395593">
        <w:rPr>
          <w:rFonts w:ascii="Garamond" w:hAnsi="Garamond"/>
          <w:spacing w:val="1"/>
          <w:sz w:val="24"/>
          <w:szCs w:val="24"/>
        </w:rPr>
        <w:t xml:space="preserve"> </w:t>
      </w:r>
      <w:r w:rsidRPr="00395593">
        <w:rPr>
          <w:rFonts w:ascii="Garamond" w:hAnsi="Garamond"/>
          <w:sz w:val="24"/>
          <w:szCs w:val="24"/>
        </w:rPr>
        <w:t>situado</w:t>
      </w:r>
      <w:r w:rsidRPr="00395593">
        <w:rPr>
          <w:rFonts w:ascii="Garamond" w:hAnsi="Garamond"/>
          <w:spacing w:val="-1"/>
          <w:sz w:val="24"/>
          <w:szCs w:val="24"/>
        </w:rPr>
        <w:t xml:space="preserve"> </w:t>
      </w:r>
      <w:r w:rsidRPr="00395593">
        <w:rPr>
          <w:rFonts w:ascii="Garamond" w:hAnsi="Garamond"/>
          <w:sz w:val="24"/>
          <w:szCs w:val="24"/>
        </w:rPr>
        <w:t xml:space="preserve">no território </w:t>
      </w:r>
      <w:r w:rsidRPr="00395593">
        <w:rPr>
          <w:rFonts w:ascii="Garamond" w:hAnsi="Garamond"/>
          <w:sz w:val="24"/>
        </w:rPr>
        <w:t>destinado ao consumo no mercado doméstico do país ou países de origem ou de</w:t>
      </w:r>
      <w:r w:rsidRPr="00395593">
        <w:rPr>
          <w:rFonts w:ascii="Garamond" w:hAnsi="Garamond"/>
          <w:spacing w:val="1"/>
          <w:sz w:val="24"/>
        </w:rPr>
        <w:t xml:space="preserve"> </w:t>
      </w:r>
      <w:r w:rsidRPr="00395593">
        <w:rPr>
          <w:rFonts w:ascii="Garamond" w:hAnsi="Garamond"/>
          <w:sz w:val="24"/>
        </w:rPr>
        <w:t>exportação (ou quando for o caso informação sobre o preço pelo qual o produto é</w:t>
      </w:r>
      <w:r w:rsidRPr="00395593">
        <w:rPr>
          <w:rFonts w:ascii="Garamond" w:hAnsi="Garamond"/>
          <w:spacing w:val="1"/>
          <w:sz w:val="24"/>
        </w:rPr>
        <w:t xml:space="preserve"> </w:t>
      </w:r>
      <w:r w:rsidRPr="00395593">
        <w:rPr>
          <w:rFonts w:ascii="Garamond" w:hAnsi="Garamond"/>
          <w:sz w:val="24"/>
        </w:rPr>
        <w:t>vendido pelo país ou paises de origem ou de exportação a um terceiro país ou países</w:t>
      </w:r>
      <w:r w:rsidRPr="00395593">
        <w:rPr>
          <w:rFonts w:ascii="Garamond" w:hAnsi="Garamond"/>
          <w:spacing w:val="-57"/>
          <w:sz w:val="24"/>
        </w:rPr>
        <w:t xml:space="preserve"> </w:t>
      </w:r>
      <w:r w:rsidRPr="00395593">
        <w:rPr>
          <w:rFonts w:ascii="Garamond" w:hAnsi="Garamond"/>
          <w:sz w:val="24"/>
        </w:rPr>
        <w:t>ou</w:t>
      </w:r>
      <w:r w:rsidRPr="00395593">
        <w:rPr>
          <w:rFonts w:ascii="Garamond" w:hAnsi="Garamond"/>
          <w:spacing w:val="13"/>
          <w:sz w:val="24"/>
        </w:rPr>
        <w:t xml:space="preserve"> </w:t>
      </w:r>
      <w:r w:rsidRPr="00395593">
        <w:rPr>
          <w:rFonts w:ascii="Garamond" w:hAnsi="Garamond"/>
          <w:sz w:val="24"/>
        </w:rPr>
        <w:t>sobre</w:t>
      </w:r>
      <w:r w:rsidRPr="00395593">
        <w:rPr>
          <w:rFonts w:ascii="Garamond" w:hAnsi="Garamond"/>
          <w:spacing w:val="12"/>
          <w:sz w:val="24"/>
        </w:rPr>
        <w:t xml:space="preserve"> </w:t>
      </w:r>
      <w:r w:rsidRPr="00395593">
        <w:rPr>
          <w:rFonts w:ascii="Garamond" w:hAnsi="Garamond"/>
          <w:sz w:val="24"/>
        </w:rPr>
        <w:t>o</w:t>
      </w:r>
      <w:r w:rsidRPr="00395593">
        <w:rPr>
          <w:rFonts w:ascii="Garamond" w:hAnsi="Garamond"/>
          <w:spacing w:val="14"/>
          <w:sz w:val="24"/>
        </w:rPr>
        <w:t xml:space="preserve"> </w:t>
      </w:r>
      <w:r w:rsidRPr="00395593">
        <w:rPr>
          <w:rFonts w:ascii="Garamond" w:hAnsi="Garamond"/>
          <w:sz w:val="24"/>
        </w:rPr>
        <w:t>preço</w:t>
      </w:r>
      <w:r w:rsidRPr="00395593">
        <w:rPr>
          <w:rFonts w:ascii="Garamond" w:hAnsi="Garamond"/>
          <w:spacing w:val="16"/>
          <w:sz w:val="24"/>
        </w:rPr>
        <w:t xml:space="preserve"> </w:t>
      </w:r>
      <w:r w:rsidRPr="00395593">
        <w:rPr>
          <w:rFonts w:ascii="Garamond" w:hAnsi="Garamond"/>
          <w:sz w:val="24"/>
        </w:rPr>
        <w:t>construído</w:t>
      </w:r>
      <w:r w:rsidRPr="00395593">
        <w:rPr>
          <w:rFonts w:ascii="Garamond" w:hAnsi="Garamond"/>
          <w:spacing w:val="13"/>
          <w:sz w:val="24"/>
        </w:rPr>
        <w:t xml:space="preserve"> </w:t>
      </w:r>
      <w:r w:rsidRPr="00395593">
        <w:rPr>
          <w:rFonts w:ascii="Garamond" w:hAnsi="Garamond"/>
          <w:sz w:val="24"/>
        </w:rPr>
        <w:t>do</w:t>
      </w:r>
      <w:r w:rsidRPr="00395593">
        <w:rPr>
          <w:rFonts w:ascii="Garamond" w:hAnsi="Garamond"/>
          <w:spacing w:val="14"/>
          <w:sz w:val="24"/>
        </w:rPr>
        <w:t xml:space="preserve"> </w:t>
      </w:r>
      <w:r w:rsidRPr="00395593">
        <w:rPr>
          <w:rFonts w:ascii="Garamond" w:hAnsi="Garamond"/>
          <w:sz w:val="24"/>
        </w:rPr>
        <w:t>produto)</w:t>
      </w:r>
      <w:r w:rsidRPr="00395593">
        <w:rPr>
          <w:rFonts w:ascii="Garamond" w:hAnsi="Garamond"/>
          <w:spacing w:val="13"/>
          <w:sz w:val="24"/>
        </w:rPr>
        <w:t xml:space="preserve"> </w:t>
      </w:r>
      <w:r w:rsidRPr="00395593">
        <w:rPr>
          <w:rFonts w:ascii="Garamond" w:hAnsi="Garamond"/>
          <w:sz w:val="24"/>
        </w:rPr>
        <w:t>e</w:t>
      </w:r>
      <w:r w:rsidRPr="00395593">
        <w:rPr>
          <w:rFonts w:ascii="Garamond" w:hAnsi="Garamond"/>
          <w:spacing w:val="13"/>
          <w:sz w:val="24"/>
        </w:rPr>
        <w:t xml:space="preserve"> </w:t>
      </w:r>
      <w:r w:rsidRPr="00395593">
        <w:rPr>
          <w:rFonts w:ascii="Garamond" w:hAnsi="Garamond"/>
          <w:sz w:val="24"/>
        </w:rPr>
        <w:t>informação</w:t>
      </w:r>
      <w:r w:rsidRPr="00395593">
        <w:rPr>
          <w:rFonts w:ascii="Garamond" w:hAnsi="Garamond"/>
          <w:spacing w:val="13"/>
          <w:sz w:val="24"/>
        </w:rPr>
        <w:t xml:space="preserve"> </w:t>
      </w:r>
      <w:r w:rsidRPr="00395593">
        <w:rPr>
          <w:rFonts w:ascii="Garamond" w:hAnsi="Garamond"/>
          <w:sz w:val="24"/>
        </w:rPr>
        <w:t>sobre</w:t>
      </w:r>
      <w:r w:rsidRPr="00395593">
        <w:rPr>
          <w:rFonts w:ascii="Garamond" w:hAnsi="Garamond"/>
          <w:spacing w:val="12"/>
          <w:sz w:val="24"/>
        </w:rPr>
        <w:t xml:space="preserve"> </w:t>
      </w:r>
      <w:r w:rsidRPr="00395593">
        <w:rPr>
          <w:rFonts w:ascii="Garamond" w:hAnsi="Garamond"/>
          <w:sz w:val="24"/>
        </w:rPr>
        <w:t>o</w:t>
      </w:r>
      <w:r w:rsidRPr="00395593">
        <w:rPr>
          <w:rFonts w:ascii="Garamond" w:hAnsi="Garamond"/>
          <w:spacing w:val="14"/>
          <w:sz w:val="24"/>
        </w:rPr>
        <w:t xml:space="preserve"> </w:t>
      </w:r>
      <w:r w:rsidRPr="00395593">
        <w:rPr>
          <w:rFonts w:ascii="Garamond" w:hAnsi="Garamond"/>
          <w:sz w:val="24"/>
        </w:rPr>
        <w:t>preço</w:t>
      </w:r>
      <w:r w:rsidRPr="00395593">
        <w:rPr>
          <w:rFonts w:ascii="Garamond" w:hAnsi="Garamond"/>
          <w:spacing w:val="14"/>
          <w:sz w:val="24"/>
        </w:rPr>
        <w:t xml:space="preserve"> </w:t>
      </w:r>
      <w:r w:rsidRPr="00395593">
        <w:rPr>
          <w:rFonts w:ascii="Garamond" w:hAnsi="Garamond"/>
          <w:sz w:val="24"/>
        </w:rPr>
        <w:t>de</w:t>
      </w:r>
      <w:r w:rsidRPr="00395593">
        <w:rPr>
          <w:rFonts w:ascii="Garamond" w:hAnsi="Garamond"/>
          <w:spacing w:val="15"/>
          <w:sz w:val="24"/>
        </w:rPr>
        <w:t xml:space="preserve"> </w:t>
      </w:r>
      <w:r w:rsidRPr="00395593">
        <w:rPr>
          <w:rFonts w:ascii="Garamond" w:hAnsi="Garamond"/>
          <w:sz w:val="24"/>
        </w:rPr>
        <w:t>exportação</w:t>
      </w:r>
    </w:p>
    <w:p w14:paraId="6659C94F" w14:textId="77777777" w:rsidR="00FE4A64" w:rsidRDefault="00FE4A64" w:rsidP="0013285C">
      <w:pPr>
        <w:pStyle w:val="Corpodetexto"/>
        <w:rPr>
          <w:rFonts w:ascii="Garamond" w:hAnsi="Garamond"/>
        </w:rPr>
      </w:pPr>
    </w:p>
    <w:p w14:paraId="70A8779A" w14:textId="77777777" w:rsidR="00FE4A64" w:rsidRDefault="00FE4A64" w:rsidP="0013285C">
      <w:pPr>
        <w:pStyle w:val="Corpodetexto"/>
        <w:rPr>
          <w:rFonts w:ascii="Garamond" w:hAnsi="Garamond"/>
        </w:rPr>
      </w:pPr>
    </w:p>
    <w:p w14:paraId="22A8FF06" w14:textId="7A643093" w:rsidR="004F0FFB" w:rsidRPr="00395593" w:rsidRDefault="004F0FFB" w:rsidP="0013285C">
      <w:pPr>
        <w:pStyle w:val="Corpodetexto"/>
        <w:rPr>
          <w:rFonts w:ascii="Garamond" w:hAnsi="Garamond"/>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51" behindDoc="1" locked="0" layoutInCell="1" allowOverlap="1" wp14:anchorId="32C507EA" wp14:editId="3CAFA07B">
                <wp:simplePos x="0" y="0"/>
                <wp:positionH relativeFrom="page">
                  <wp:posOffset>1063625</wp:posOffset>
                </wp:positionH>
                <wp:positionV relativeFrom="paragraph">
                  <wp:posOffset>219075</wp:posOffset>
                </wp:positionV>
                <wp:extent cx="1828800" cy="7620"/>
                <wp:effectExtent l="4445" t="0" r="0" b="3175"/>
                <wp:wrapTopAndBottom/>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3E037" id="Retângulo 23" o:spid="_x0000_s1026" style="position:absolute;margin-left:83.75pt;margin-top:17.25pt;width:2in;height:.6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" fillcolor="black" stroked="f">
                <w10:wrap type="topAndBottom" anchorx="page"/>
              </v:rect>
            </w:pict>
          </mc:Fallback>
        </mc:AlternateContent>
      </w:r>
    </w:p>
    <w:p w14:paraId="79E3FAE3" w14:textId="039DFEFB" w:rsidR="004F0FFB" w:rsidRPr="007815AA" w:rsidRDefault="004F0FFB" w:rsidP="004F0FFB">
      <w:pPr>
        <w:pStyle w:val="Corpodetexto"/>
        <w:rPr>
          <w:rFonts w:ascii="Garamond" w:hAnsi="Garamond"/>
          <w:color w:val="FF0000"/>
          <w:sz w:val="20"/>
        </w:rPr>
      </w:pPr>
      <w:r w:rsidRPr="007815AA">
        <w:rPr>
          <w:rFonts w:ascii="Garamond" w:hAnsi="Garamond"/>
          <w:color w:val="FF0000"/>
          <w:sz w:val="20"/>
          <w:vertAlign w:val="superscript"/>
        </w:rPr>
        <w:t>*</w:t>
      </w:r>
      <w:r w:rsidRPr="007815AA">
        <w:rPr>
          <w:rFonts w:ascii="Garamond" w:hAnsi="Garamond"/>
          <w:color w:val="FF0000"/>
          <w:sz w:val="20"/>
        </w:rPr>
        <w:t xml:space="preserve"> Os termos em vermelho não constam do Dec. 1.355 de 30/12/1994. O Ajuste na redação foi realizado com</w:t>
      </w:r>
      <w:r w:rsidRPr="007815AA">
        <w:rPr>
          <w:rFonts w:ascii="Garamond" w:hAnsi="Garamond"/>
          <w:color w:val="FF0000"/>
          <w:spacing w:val="-47"/>
          <w:sz w:val="20"/>
        </w:rPr>
        <w:t xml:space="preserve"> </w:t>
      </w:r>
      <w:r w:rsidRPr="007815AA">
        <w:rPr>
          <w:rFonts w:ascii="Garamond" w:hAnsi="Garamond"/>
          <w:color w:val="FF0000"/>
          <w:sz w:val="20"/>
        </w:rPr>
        <w:t>base</w:t>
      </w:r>
      <w:r w:rsidRPr="007815AA">
        <w:rPr>
          <w:rFonts w:ascii="Garamond" w:hAnsi="Garamond"/>
          <w:color w:val="FF0000"/>
          <w:spacing w:val="-1"/>
          <w:sz w:val="20"/>
        </w:rPr>
        <w:t xml:space="preserve"> </w:t>
      </w:r>
      <w:r w:rsidRPr="007815AA">
        <w:rPr>
          <w:rFonts w:ascii="Garamond" w:hAnsi="Garamond"/>
          <w:color w:val="FF0000"/>
          <w:sz w:val="20"/>
        </w:rPr>
        <w:t>em</w:t>
      </w:r>
      <w:r w:rsidRPr="007815AA">
        <w:rPr>
          <w:rFonts w:ascii="Garamond" w:hAnsi="Garamond"/>
          <w:color w:val="FF0000"/>
          <w:spacing w:val="-4"/>
          <w:sz w:val="20"/>
        </w:rPr>
        <w:t xml:space="preserve"> </w:t>
      </w:r>
      <w:r w:rsidRPr="007815AA">
        <w:rPr>
          <w:rFonts w:ascii="Garamond" w:hAnsi="Garamond"/>
          <w:color w:val="FF0000"/>
          <w:sz w:val="20"/>
        </w:rPr>
        <w:t>tradução</w:t>
      </w:r>
      <w:r w:rsidRPr="007815AA">
        <w:rPr>
          <w:rFonts w:ascii="Garamond" w:hAnsi="Garamond"/>
          <w:color w:val="FF0000"/>
          <w:spacing w:val="1"/>
          <w:sz w:val="20"/>
        </w:rPr>
        <w:t xml:space="preserve"> </w:t>
      </w:r>
      <w:r w:rsidRPr="007815AA">
        <w:rPr>
          <w:rFonts w:ascii="Garamond" w:hAnsi="Garamond"/>
          <w:color w:val="FF0000"/>
          <w:sz w:val="20"/>
        </w:rPr>
        <w:t>livre a partir das</w:t>
      </w:r>
      <w:r w:rsidRPr="007815AA">
        <w:rPr>
          <w:rFonts w:ascii="Garamond" w:hAnsi="Garamond"/>
          <w:color w:val="FF0000"/>
          <w:spacing w:val="-1"/>
          <w:sz w:val="20"/>
        </w:rPr>
        <w:t xml:space="preserve"> </w:t>
      </w:r>
      <w:r w:rsidRPr="007815AA">
        <w:rPr>
          <w:rFonts w:ascii="Garamond" w:hAnsi="Garamond"/>
          <w:color w:val="FF0000"/>
          <w:sz w:val="20"/>
        </w:rPr>
        <w:t>versões</w:t>
      </w:r>
      <w:r w:rsidRPr="007815AA">
        <w:rPr>
          <w:rFonts w:ascii="Garamond" w:hAnsi="Garamond"/>
          <w:color w:val="FF0000"/>
          <w:spacing w:val="-1"/>
          <w:sz w:val="20"/>
        </w:rPr>
        <w:t xml:space="preserve"> </w:t>
      </w:r>
      <w:r w:rsidRPr="007815AA">
        <w:rPr>
          <w:rFonts w:ascii="Garamond" w:hAnsi="Garamond"/>
          <w:color w:val="FF0000"/>
          <w:sz w:val="20"/>
        </w:rPr>
        <w:t>nos</w:t>
      </w:r>
      <w:r w:rsidRPr="007815AA">
        <w:rPr>
          <w:rFonts w:ascii="Garamond" w:hAnsi="Garamond"/>
          <w:color w:val="FF0000"/>
          <w:spacing w:val="-1"/>
          <w:sz w:val="20"/>
        </w:rPr>
        <w:t xml:space="preserve"> </w:t>
      </w:r>
      <w:r w:rsidRPr="007815AA">
        <w:rPr>
          <w:rFonts w:ascii="Garamond" w:hAnsi="Garamond"/>
          <w:color w:val="FF0000"/>
          <w:sz w:val="20"/>
        </w:rPr>
        <w:t>idiomas</w:t>
      </w:r>
      <w:r w:rsidRPr="007815AA">
        <w:rPr>
          <w:rFonts w:ascii="Garamond" w:hAnsi="Garamond"/>
          <w:color w:val="FF0000"/>
          <w:spacing w:val="-1"/>
          <w:sz w:val="20"/>
        </w:rPr>
        <w:t xml:space="preserve"> </w:t>
      </w:r>
      <w:r w:rsidRPr="007815AA">
        <w:rPr>
          <w:rFonts w:ascii="Garamond" w:hAnsi="Garamond"/>
          <w:color w:val="FF0000"/>
          <w:sz w:val="20"/>
        </w:rPr>
        <w:t xml:space="preserve">oficiais. </w:t>
      </w:r>
    </w:p>
    <w:p w14:paraId="427794A5" w14:textId="77777777" w:rsidR="00FE4A64" w:rsidRDefault="00FE4A64">
      <w:pPr>
        <w:rPr>
          <w:rFonts w:ascii="Garamond" w:eastAsia="Times New Roman" w:hAnsi="Garamond" w:cs="Times New Roman"/>
          <w:sz w:val="24"/>
          <w:szCs w:val="24"/>
        </w:rPr>
      </w:pPr>
      <w:r>
        <w:rPr>
          <w:rFonts w:ascii="Garamond" w:hAnsi="Garamond"/>
        </w:rPr>
        <w:br w:type="page"/>
      </w:r>
    </w:p>
    <w:p w14:paraId="4E5CC059" w14:textId="59CDAD20" w:rsidR="00D3137B" w:rsidRPr="00395593" w:rsidRDefault="00D3137B" w:rsidP="00D3137B">
      <w:pPr>
        <w:pStyle w:val="Corpodetexto"/>
        <w:spacing w:before="68"/>
        <w:ind w:left="821" w:right="115"/>
        <w:rPr>
          <w:rFonts w:ascii="Garamond" w:hAnsi="Garamond"/>
        </w:rPr>
      </w:pPr>
      <w:r w:rsidRPr="00395593">
        <w:rPr>
          <w:rFonts w:ascii="Garamond" w:hAnsi="Garamond"/>
        </w:rPr>
        <w:t>ou</w:t>
      </w:r>
      <w:r w:rsidRPr="00395593">
        <w:rPr>
          <w:rFonts w:ascii="Garamond" w:hAnsi="Garamond"/>
          <w:spacing w:val="17"/>
        </w:rPr>
        <w:t xml:space="preserve"> </w:t>
      </w:r>
      <w:r w:rsidRPr="00395593">
        <w:rPr>
          <w:rFonts w:ascii="Garamond" w:hAnsi="Garamond"/>
        </w:rPr>
        <w:t>quando</w:t>
      </w:r>
      <w:r w:rsidRPr="00395593">
        <w:rPr>
          <w:rFonts w:ascii="Garamond" w:hAnsi="Garamond"/>
          <w:spacing w:val="17"/>
        </w:rPr>
        <w:t xml:space="preserve"> </w:t>
      </w:r>
      <w:r w:rsidRPr="00395593">
        <w:rPr>
          <w:rFonts w:ascii="Garamond" w:hAnsi="Garamond"/>
        </w:rPr>
        <w:t>for</w:t>
      </w:r>
      <w:r w:rsidRPr="00395593">
        <w:rPr>
          <w:rFonts w:ascii="Garamond" w:hAnsi="Garamond"/>
          <w:spacing w:val="16"/>
        </w:rPr>
        <w:t xml:space="preserve"> </w:t>
      </w:r>
      <w:r w:rsidRPr="00395593">
        <w:rPr>
          <w:rFonts w:ascii="Garamond" w:hAnsi="Garamond"/>
        </w:rPr>
        <w:t>o</w:t>
      </w:r>
      <w:r w:rsidRPr="00395593">
        <w:rPr>
          <w:rFonts w:ascii="Garamond" w:hAnsi="Garamond"/>
          <w:spacing w:val="17"/>
        </w:rPr>
        <w:t xml:space="preserve"> </w:t>
      </w:r>
      <w:r w:rsidRPr="00395593">
        <w:rPr>
          <w:rFonts w:ascii="Garamond" w:hAnsi="Garamond"/>
        </w:rPr>
        <w:t>caso</w:t>
      </w:r>
      <w:r w:rsidRPr="00395593">
        <w:rPr>
          <w:rFonts w:ascii="Garamond" w:hAnsi="Garamond"/>
          <w:spacing w:val="18"/>
        </w:rPr>
        <w:t xml:space="preserve"> </w:t>
      </w:r>
      <w:r w:rsidRPr="00395593">
        <w:rPr>
          <w:rFonts w:ascii="Garamond" w:hAnsi="Garamond"/>
        </w:rPr>
        <w:t>sobre</w:t>
      </w:r>
      <w:r w:rsidRPr="00395593">
        <w:rPr>
          <w:rFonts w:ascii="Garamond" w:hAnsi="Garamond"/>
          <w:spacing w:val="16"/>
        </w:rPr>
        <w:t xml:space="preserve"> </w:t>
      </w:r>
      <w:r w:rsidRPr="00395593">
        <w:rPr>
          <w:rFonts w:ascii="Garamond" w:hAnsi="Garamond"/>
        </w:rPr>
        <w:t>os</w:t>
      </w:r>
      <w:r w:rsidRPr="00395593">
        <w:rPr>
          <w:rFonts w:ascii="Garamond" w:hAnsi="Garamond"/>
          <w:spacing w:val="18"/>
        </w:rPr>
        <w:t xml:space="preserve"> </w:t>
      </w:r>
      <w:r w:rsidRPr="00395593">
        <w:rPr>
          <w:rFonts w:ascii="Garamond" w:hAnsi="Garamond"/>
        </w:rPr>
        <w:t>preços</w:t>
      </w:r>
      <w:r w:rsidRPr="00395593">
        <w:rPr>
          <w:rFonts w:ascii="Garamond" w:hAnsi="Garamond"/>
          <w:spacing w:val="18"/>
        </w:rPr>
        <w:t xml:space="preserve"> </w:t>
      </w:r>
      <w:r w:rsidRPr="00395593">
        <w:rPr>
          <w:rFonts w:ascii="Garamond" w:hAnsi="Garamond"/>
        </w:rPr>
        <w:t>pelos</w:t>
      </w:r>
      <w:r w:rsidRPr="00395593">
        <w:rPr>
          <w:rFonts w:ascii="Garamond" w:hAnsi="Garamond"/>
          <w:spacing w:val="18"/>
        </w:rPr>
        <w:t xml:space="preserve"> </w:t>
      </w:r>
      <w:r w:rsidRPr="00395593">
        <w:rPr>
          <w:rFonts w:ascii="Garamond" w:hAnsi="Garamond"/>
        </w:rPr>
        <w:t>quais</w:t>
      </w:r>
      <w:r w:rsidRPr="00395593">
        <w:rPr>
          <w:rFonts w:ascii="Garamond" w:hAnsi="Garamond"/>
          <w:spacing w:val="18"/>
        </w:rPr>
        <w:t xml:space="preserve"> </w:t>
      </w:r>
      <w:r w:rsidRPr="00395593">
        <w:rPr>
          <w:rFonts w:ascii="Garamond" w:hAnsi="Garamond"/>
        </w:rPr>
        <w:t>o</w:t>
      </w:r>
      <w:r w:rsidRPr="00395593">
        <w:rPr>
          <w:rFonts w:ascii="Garamond" w:hAnsi="Garamond"/>
          <w:spacing w:val="17"/>
        </w:rPr>
        <w:t xml:space="preserve"> </w:t>
      </w:r>
      <w:r w:rsidRPr="00395593">
        <w:rPr>
          <w:rFonts w:ascii="Garamond" w:hAnsi="Garamond"/>
        </w:rPr>
        <w:t>produto</w:t>
      </w:r>
      <w:r w:rsidRPr="00395593">
        <w:rPr>
          <w:rFonts w:ascii="Garamond" w:hAnsi="Garamond"/>
          <w:spacing w:val="18"/>
        </w:rPr>
        <w:t xml:space="preserve"> </w:t>
      </w:r>
      <w:r w:rsidRPr="00395593">
        <w:rPr>
          <w:rFonts w:ascii="Garamond" w:hAnsi="Garamond"/>
        </w:rPr>
        <w:t>é</w:t>
      </w:r>
      <w:r w:rsidRPr="00395593">
        <w:rPr>
          <w:rFonts w:ascii="Garamond" w:hAnsi="Garamond"/>
          <w:spacing w:val="17"/>
        </w:rPr>
        <w:t xml:space="preserve"> </w:t>
      </w:r>
      <w:r w:rsidRPr="00395593">
        <w:rPr>
          <w:rFonts w:ascii="Garamond" w:hAnsi="Garamond"/>
        </w:rPr>
        <w:t>vendido</w:t>
      </w:r>
      <w:r w:rsidRPr="00395593">
        <w:rPr>
          <w:rFonts w:ascii="Garamond" w:hAnsi="Garamond"/>
          <w:spacing w:val="17"/>
        </w:rPr>
        <w:t xml:space="preserve"> </w:t>
      </w:r>
      <w:r w:rsidRPr="00395593">
        <w:rPr>
          <w:rFonts w:ascii="Garamond" w:hAnsi="Garamond"/>
        </w:rPr>
        <w:t>ao</w:t>
      </w:r>
      <w:r w:rsidRPr="00395593">
        <w:rPr>
          <w:rFonts w:ascii="Garamond" w:hAnsi="Garamond"/>
          <w:spacing w:val="17"/>
        </w:rPr>
        <w:t xml:space="preserve"> </w:t>
      </w:r>
      <w:r w:rsidRPr="00395593">
        <w:rPr>
          <w:rFonts w:ascii="Garamond" w:hAnsi="Garamond"/>
        </w:rPr>
        <w:t>primeiro</w:t>
      </w:r>
      <w:r w:rsidRPr="00395593">
        <w:rPr>
          <w:rFonts w:ascii="Garamond" w:hAnsi="Garamond"/>
          <w:spacing w:val="-57"/>
        </w:rPr>
        <w:t xml:space="preserve"> </w:t>
      </w:r>
      <w:r w:rsidRPr="00395593">
        <w:rPr>
          <w:rFonts w:ascii="Garamond" w:hAnsi="Garamond"/>
        </w:rPr>
        <w:t>comprador</w:t>
      </w:r>
      <w:r w:rsidRPr="00395593">
        <w:rPr>
          <w:rFonts w:ascii="Garamond" w:hAnsi="Garamond"/>
          <w:spacing w:val="-1"/>
        </w:rPr>
        <w:t xml:space="preserve"> </w:t>
      </w:r>
      <w:r w:rsidRPr="00395593">
        <w:rPr>
          <w:rFonts w:ascii="Garamond" w:hAnsi="Garamond"/>
        </w:rPr>
        <w:t>independente</w:t>
      </w:r>
      <w:r w:rsidRPr="00395593">
        <w:rPr>
          <w:rFonts w:ascii="Garamond" w:hAnsi="Garamond"/>
          <w:spacing w:val="1"/>
        </w:rPr>
        <w:t xml:space="preserve"> </w:t>
      </w:r>
      <w:r w:rsidRPr="00395593">
        <w:rPr>
          <w:rFonts w:ascii="Garamond" w:hAnsi="Garamond"/>
        </w:rPr>
        <w:t>situado</w:t>
      </w:r>
      <w:r w:rsidRPr="00395593">
        <w:rPr>
          <w:rFonts w:ascii="Garamond" w:hAnsi="Garamond"/>
          <w:spacing w:val="-1"/>
        </w:rPr>
        <w:t xml:space="preserve"> </w:t>
      </w:r>
      <w:r w:rsidRPr="00395593">
        <w:rPr>
          <w:rFonts w:ascii="Garamond" w:hAnsi="Garamond"/>
        </w:rPr>
        <w:t>no território do</w:t>
      </w:r>
      <w:r w:rsidRPr="00395593">
        <w:rPr>
          <w:rFonts w:ascii="Garamond" w:hAnsi="Garamond"/>
          <w:spacing w:val="-1"/>
        </w:rPr>
        <w:t xml:space="preserve"> </w:t>
      </w:r>
      <w:r w:rsidRPr="00395593">
        <w:rPr>
          <w:rFonts w:ascii="Garamond" w:hAnsi="Garamond"/>
        </w:rPr>
        <w:t>Membro</w:t>
      </w:r>
      <w:r w:rsidRPr="00395593">
        <w:rPr>
          <w:rFonts w:ascii="Garamond" w:hAnsi="Garamond"/>
          <w:spacing w:val="1"/>
        </w:rPr>
        <w:t xml:space="preserve"> </w:t>
      </w:r>
      <w:r w:rsidRPr="00395593">
        <w:rPr>
          <w:rFonts w:ascii="Garamond" w:hAnsi="Garamond"/>
        </w:rPr>
        <w:t>Importador;</w:t>
      </w:r>
    </w:p>
    <w:p w14:paraId="0DED6B57" w14:textId="77777777" w:rsidR="0013285C" w:rsidRPr="00395593" w:rsidRDefault="0013285C" w:rsidP="0013285C">
      <w:pPr>
        <w:pStyle w:val="Corpodetexto"/>
        <w:rPr>
          <w:rFonts w:ascii="Garamond" w:hAnsi="Garamond"/>
        </w:rPr>
      </w:pPr>
    </w:p>
    <w:p w14:paraId="683BAF09" w14:textId="594B6D30" w:rsidR="0013285C" w:rsidRPr="00395593" w:rsidRDefault="0013285C" w:rsidP="002C4340">
      <w:pPr>
        <w:pStyle w:val="PargrafodaLista"/>
        <w:widowControl w:val="0"/>
        <w:numPr>
          <w:ilvl w:val="1"/>
          <w:numId w:val="20"/>
        </w:numPr>
        <w:tabs>
          <w:tab w:val="left" w:pos="1194"/>
        </w:tabs>
        <w:autoSpaceDE w:val="0"/>
        <w:autoSpaceDN w:val="0"/>
        <w:spacing w:after="0" w:line="240" w:lineRule="auto"/>
        <w:ind w:left="821" w:right="117" w:firstLine="0"/>
        <w:contextualSpacing w:val="0"/>
        <w:jc w:val="both"/>
        <w:rPr>
          <w:rFonts w:ascii="Garamond" w:hAnsi="Garamond"/>
          <w:sz w:val="24"/>
          <w:szCs w:val="24"/>
        </w:rPr>
      </w:pPr>
      <w:r w:rsidRPr="00395593">
        <w:rPr>
          <w:rFonts w:ascii="Garamond" w:hAnsi="Garamond"/>
          <w:sz w:val="24"/>
          <w:szCs w:val="24"/>
        </w:rPr>
        <w:t>informação sobre a evolução do volume alegadamente importado a preços de</w:t>
      </w:r>
      <w:r w:rsidRPr="00395593">
        <w:rPr>
          <w:rFonts w:ascii="Garamond" w:hAnsi="Garamond"/>
          <w:spacing w:val="1"/>
          <w:sz w:val="24"/>
          <w:szCs w:val="24"/>
        </w:rPr>
        <w:t xml:space="preserve"> </w:t>
      </w:r>
      <w:r w:rsidRPr="00395593">
        <w:rPr>
          <w:rFonts w:ascii="Garamond" w:hAnsi="Garamond"/>
          <w:i/>
          <w:sz w:val="24"/>
          <w:szCs w:val="24"/>
        </w:rPr>
        <w:t>dumping</w:t>
      </w:r>
      <w:r w:rsidRPr="00395593">
        <w:rPr>
          <w:rFonts w:ascii="Garamond" w:hAnsi="Garamond"/>
          <w:sz w:val="24"/>
          <w:szCs w:val="24"/>
        </w:rPr>
        <w:t>, os efeitos de tais importações sobre os preços do similar no mercado</w:t>
      </w:r>
      <w:r w:rsidRPr="00395593">
        <w:rPr>
          <w:rFonts w:ascii="Garamond" w:hAnsi="Garamond"/>
          <w:spacing w:val="1"/>
          <w:sz w:val="24"/>
          <w:szCs w:val="24"/>
        </w:rPr>
        <w:t xml:space="preserve"> </w:t>
      </w:r>
      <w:r w:rsidRPr="00395593">
        <w:rPr>
          <w:rFonts w:ascii="Garamond" w:hAnsi="Garamond"/>
          <w:sz w:val="24"/>
          <w:szCs w:val="24"/>
        </w:rPr>
        <w:t>doméstico e o conseqüente impacto das importações sobre a indústria doméstica, tal</w:t>
      </w:r>
      <w:r w:rsidRPr="00395593">
        <w:rPr>
          <w:rFonts w:ascii="Garamond" w:hAnsi="Garamond"/>
          <w:spacing w:val="-57"/>
          <w:sz w:val="24"/>
          <w:szCs w:val="24"/>
        </w:rPr>
        <w:t xml:space="preserve"> </w:t>
      </w:r>
      <w:r w:rsidRPr="00395593">
        <w:rPr>
          <w:rFonts w:ascii="Garamond" w:hAnsi="Garamond"/>
          <w:sz w:val="24"/>
          <w:szCs w:val="24"/>
        </w:rPr>
        <w:t>como demonstrado por fatores e índices significativos que tenham relação com o</w:t>
      </w:r>
      <w:r w:rsidRPr="00395593">
        <w:rPr>
          <w:rFonts w:ascii="Garamond" w:hAnsi="Garamond"/>
          <w:spacing w:val="1"/>
          <w:sz w:val="24"/>
          <w:szCs w:val="24"/>
        </w:rPr>
        <w:t xml:space="preserve"> </w:t>
      </w:r>
      <w:r w:rsidRPr="00395593">
        <w:rPr>
          <w:rFonts w:ascii="Garamond" w:hAnsi="Garamond"/>
          <w:sz w:val="24"/>
          <w:szCs w:val="24"/>
        </w:rPr>
        <w:t>estado da indústria doméstica, a exemplo daqueles arrolados nos parágrafos 2 e 4 do</w:t>
      </w:r>
      <w:r w:rsidR="004F0FFB" w:rsidRPr="00395593">
        <w:rPr>
          <w:rFonts w:ascii="Garamond" w:hAnsi="Garamond"/>
          <w:sz w:val="24"/>
          <w:szCs w:val="24"/>
        </w:rPr>
        <w:t xml:space="preserve"> </w:t>
      </w:r>
      <w:r w:rsidRPr="00395593">
        <w:rPr>
          <w:rFonts w:ascii="Garamond" w:hAnsi="Garamond"/>
          <w:spacing w:val="-57"/>
          <w:sz w:val="24"/>
          <w:szCs w:val="24"/>
        </w:rPr>
        <w:t xml:space="preserve"> </w:t>
      </w:r>
      <w:r w:rsidRPr="00395593">
        <w:rPr>
          <w:rFonts w:ascii="Garamond" w:hAnsi="Garamond"/>
          <w:sz w:val="24"/>
          <w:szCs w:val="24"/>
        </w:rPr>
        <w:t>Artigo</w:t>
      </w:r>
      <w:r w:rsidRPr="00395593">
        <w:rPr>
          <w:rFonts w:ascii="Garamond" w:hAnsi="Garamond"/>
          <w:spacing w:val="-1"/>
          <w:sz w:val="24"/>
          <w:szCs w:val="24"/>
        </w:rPr>
        <w:t xml:space="preserve"> </w:t>
      </w:r>
      <w:r w:rsidRPr="00395593">
        <w:rPr>
          <w:rFonts w:ascii="Garamond" w:hAnsi="Garamond"/>
          <w:sz w:val="24"/>
          <w:szCs w:val="24"/>
        </w:rPr>
        <w:t>3.</w:t>
      </w:r>
    </w:p>
    <w:p w14:paraId="54B6E295" w14:textId="77777777" w:rsidR="0013285C" w:rsidRPr="00395593" w:rsidRDefault="0013285C" w:rsidP="0013285C">
      <w:pPr>
        <w:pStyle w:val="Corpodetexto"/>
        <w:rPr>
          <w:rFonts w:ascii="Garamond" w:hAnsi="Garamond"/>
        </w:rPr>
      </w:pPr>
    </w:p>
    <w:p w14:paraId="071F40B4" w14:textId="77777777" w:rsidR="0013285C" w:rsidRPr="00395593" w:rsidRDefault="0013285C" w:rsidP="002C4340">
      <w:pPr>
        <w:pStyle w:val="PargrafodaLista"/>
        <w:widowControl w:val="0"/>
        <w:numPr>
          <w:ilvl w:val="0"/>
          <w:numId w:val="21"/>
        </w:numPr>
        <w:tabs>
          <w:tab w:val="left" w:pos="810"/>
        </w:tabs>
        <w:autoSpaceDE w:val="0"/>
        <w:autoSpaceDN w:val="0"/>
        <w:spacing w:after="0" w:line="240" w:lineRule="auto"/>
        <w:ind w:right="117" w:firstLine="0"/>
        <w:contextualSpacing w:val="0"/>
        <w:jc w:val="both"/>
        <w:rPr>
          <w:rFonts w:ascii="Garamond" w:hAnsi="Garamond"/>
          <w:sz w:val="24"/>
          <w:szCs w:val="24"/>
        </w:rPr>
      </w:pPr>
      <w:r w:rsidRPr="00395593">
        <w:rPr>
          <w:rFonts w:ascii="Garamond" w:hAnsi="Garamond"/>
          <w:sz w:val="24"/>
          <w:szCs w:val="24"/>
        </w:rPr>
        <w:t>As autoridades examinarão a correção e a adequação das comprovações oferecidas</w:t>
      </w:r>
      <w:r w:rsidRPr="00395593">
        <w:rPr>
          <w:rFonts w:ascii="Garamond" w:hAnsi="Garamond"/>
          <w:spacing w:val="1"/>
          <w:sz w:val="24"/>
          <w:szCs w:val="24"/>
        </w:rPr>
        <w:t xml:space="preserve"> </w:t>
      </w:r>
      <w:r w:rsidRPr="00395593">
        <w:rPr>
          <w:rFonts w:ascii="Garamond" w:hAnsi="Garamond"/>
          <w:sz w:val="24"/>
          <w:szCs w:val="24"/>
        </w:rPr>
        <w:t>na petição com vistas a determinar a existência de suficientes motivos que justifiquem o</w:t>
      </w:r>
      <w:r w:rsidRPr="00395593">
        <w:rPr>
          <w:rFonts w:ascii="Garamond" w:hAnsi="Garamond"/>
          <w:spacing w:val="1"/>
          <w:sz w:val="24"/>
          <w:szCs w:val="24"/>
        </w:rPr>
        <w:t xml:space="preserve"> </w:t>
      </w:r>
      <w:r w:rsidRPr="00395593">
        <w:rPr>
          <w:rFonts w:ascii="Garamond" w:hAnsi="Garamond"/>
          <w:sz w:val="24"/>
          <w:szCs w:val="24"/>
        </w:rPr>
        <w:t>início</w:t>
      </w:r>
      <w:r w:rsidRPr="00395593">
        <w:rPr>
          <w:rFonts w:ascii="Garamond" w:hAnsi="Garamond"/>
          <w:spacing w:val="-1"/>
          <w:sz w:val="24"/>
          <w:szCs w:val="24"/>
        </w:rPr>
        <w:t xml:space="preserve"> </w:t>
      </w:r>
      <w:r w:rsidRPr="00395593">
        <w:rPr>
          <w:rFonts w:ascii="Garamond" w:hAnsi="Garamond"/>
          <w:sz w:val="24"/>
          <w:szCs w:val="24"/>
        </w:rPr>
        <w:t>de uma</w:t>
      </w:r>
      <w:r w:rsidRPr="00395593">
        <w:rPr>
          <w:rFonts w:ascii="Garamond" w:hAnsi="Garamond"/>
          <w:spacing w:val="-1"/>
          <w:sz w:val="24"/>
          <w:szCs w:val="24"/>
        </w:rPr>
        <w:t xml:space="preserve"> </w:t>
      </w:r>
      <w:r w:rsidRPr="00395593">
        <w:rPr>
          <w:rFonts w:ascii="Garamond" w:hAnsi="Garamond"/>
          <w:sz w:val="24"/>
          <w:szCs w:val="24"/>
        </w:rPr>
        <w:t>investigação.</w:t>
      </w:r>
    </w:p>
    <w:p w14:paraId="5501F34F" w14:textId="77777777" w:rsidR="0013285C" w:rsidRPr="00395593" w:rsidRDefault="0013285C" w:rsidP="0013285C">
      <w:pPr>
        <w:pStyle w:val="Corpodetexto"/>
        <w:spacing w:before="1"/>
        <w:rPr>
          <w:rFonts w:ascii="Garamond" w:hAnsi="Garamond"/>
        </w:rPr>
      </w:pPr>
    </w:p>
    <w:p w14:paraId="46E00733" w14:textId="77777777" w:rsidR="0013285C" w:rsidRPr="00395593" w:rsidRDefault="0013285C" w:rsidP="002C4340">
      <w:pPr>
        <w:pStyle w:val="PargrafodaLista"/>
        <w:widowControl w:val="0"/>
        <w:numPr>
          <w:ilvl w:val="0"/>
          <w:numId w:val="21"/>
        </w:numPr>
        <w:tabs>
          <w:tab w:val="left" w:pos="810"/>
        </w:tabs>
        <w:autoSpaceDE w:val="0"/>
        <w:autoSpaceDN w:val="0"/>
        <w:spacing w:after="0" w:line="240" w:lineRule="auto"/>
        <w:ind w:right="121" w:firstLine="0"/>
        <w:contextualSpacing w:val="0"/>
        <w:jc w:val="both"/>
        <w:rPr>
          <w:rFonts w:ascii="Garamond" w:hAnsi="Garamond"/>
          <w:sz w:val="24"/>
          <w:szCs w:val="24"/>
        </w:rPr>
      </w:pPr>
      <w:r w:rsidRPr="00395593">
        <w:rPr>
          <w:rFonts w:ascii="Garamond" w:hAnsi="Garamond"/>
          <w:sz w:val="24"/>
          <w:szCs w:val="24"/>
        </w:rPr>
        <w:t>Não</w:t>
      </w:r>
      <w:r w:rsidRPr="00395593">
        <w:rPr>
          <w:rFonts w:ascii="Garamond" w:hAnsi="Garamond"/>
          <w:spacing w:val="1"/>
          <w:sz w:val="24"/>
          <w:szCs w:val="24"/>
        </w:rPr>
        <w:t xml:space="preserve"> </w:t>
      </w:r>
      <w:r w:rsidRPr="00395593">
        <w:rPr>
          <w:rFonts w:ascii="Garamond" w:hAnsi="Garamond"/>
          <w:sz w:val="24"/>
          <w:szCs w:val="24"/>
        </w:rPr>
        <w:t>se deverá iniciar investigação</w:t>
      </w:r>
      <w:r w:rsidRPr="00395593">
        <w:rPr>
          <w:rFonts w:ascii="Garamond" w:hAnsi="Garamond"/>
          <w:spacing w:val="1"/>
          <w:sz w:val="24"/>
          <w:szCs w:val="24"/>
        </w:rPr>
        <w:t xml:space="preserve"> </w:t>
      </w:r>
      <w:r w:rsidRPr="00395593">
        <w:rPr>
          <w:rFonts w:ascii="Garamond" w:hAnsi="Garamond"/>
          <w:sz w:val="24"/>
          <w:szCs w:val="24"/>
        </w:rPr>
        <w:t>nos</w:t>
      </w:r>
      <w:r w:rsidRPr="00395593">
        <w:rPr>
          <w:rFonts w:ascii="Garamond" w:hAnsi="Garamond"/>
          <w:spacing w:val="1"/>
          <w:sz w:val="24"/>
          <w:szCs w:val="24"/>
        </w:rPr>
        <w:t xml:space="preserve"> </w:t>
      </w:r>
      <w:r w:rsidRPr="00395593">
        <w:rPr>
          <w:rFonts w:ascii="Garamond" w:hAnsi="Garamond"/>
          <w:sz w:val="24"/>
          <w:szCs w:val="24"/>
        </w:rPr>
        <w:t>termos</w:t>
      </w:r>
      <w:r w:rsidRPr="00395593">
        <w:rPr>
          <w:rFonts w:ascii="Garamond" w:hAnsi="Garamond"/>
          <w:spacing w:val="1"/>
          <w:sz w:val="24"/>
          <w:szCs w:val="24"/>
        </w:rPr>
        <w:t xml:space="preserve"> </w:t>
      </w:r>
      <w:r w:rsidRPr="00395593">
        <w:rPr>
          <w:rFonts w:ascii="Garamond" w:hAnsi="Garamond"/>
          <w:sz w:val="24"/>
          <w:szCs w:val="24"/>
        </w:rPr>
        <w:t>do</w:t>
      </w:r>
      <w:r w:rsidRPr="00395593">
        <w:rPr>
          <w:rFonts w:ascii="Garamond" w:hAnsi="Garamond"/>
          <w:spacing w:val="1"/>
          <w:sz w:val="24"/>
          <w:szCs w:val="24"/>
        </w:rPr>
        <w:t xml:space="preserve"> </w:t>
      </w:r>
      <w:r w:rsidRPr="00395593">
        <w:rPr>
          <w:rFonts w:ascii="Garamond" w:hAnsi="Garamond"/>
          <w:sz w:val="24"/>
          <w:szCs w:val="24"/>
        </w:rPr>
        <w:t>parágrafo 1</w:t>
      </w:r>
      <w:r w:rsidRPr="00395593">
        <w:rPr>
          <w:rFonts w:ascii="Garamond" w:hAnsi="Garamond"/>
          <w:spacing w:val="1"/>
          <w:sz w:val="24"/>
          <w:szCs w:val="24"/>
        </w:rPr>
        <w:t xml:space="preserve"> </w:t>
      </w:r>
      <w:r w:rsidRPr="00395593">
        <w:rPr>
          <w:rFonts w:ascii="Garamond" w:hAnsi="Garamond"/>
          <w:sz w:val="24"/>
          <w:szCs w:val="24"/>
        </w:rPr>
        <w:t>a menos</w:t>
      </w:r>
      <w:r w:rsidRPr="00395593">
        <w:rPr>
          <w:rFonts w:ascii="Garamond" w:hAnsi="Garamond"/>
          <w:spacing w:val="1"/>
          <w:sz w:val="24"/>
          <w:szCs w:val="24"/>
        </w:rPr>
        <w:t xml:space="preserve"> </w:t>
      </w:r>
      <w:r w:rsidRPr="00395593">
        <w:rPr>
          <w:rFonts w:ascii="Garamond" w:hAnsi="Garamond"/>
          <w:sz w:val="24"/>
          <w:szCs w:val="24"/>
        </w:rPr>
        <w:t>que as</w:t>
      </w:r>
      <w:r w:rsidRPr="00395593">
        <w:rPr>
          <w:rFonts w:ascii="Garamond" w:hAnsi="Garamond"/>
          <w:spacing w:val="1"/>
          <w:sz w:val="24"/>
          <w:szCs w:val="24"/>
        </w:rPr>
        <w:t xml:space="preserve"> </w:t>
      </w:r>
      <w:r w:rsidRPr="00395593">
        <w:rPr>
          <w:rFonts w:ascii="Garamond" w:hAnsi="Garamond"/>
          <w:sz w:val="24"/>
          <w:szCs w:val="24"/>
        </w:rPr>
        <w:t>autoridades tenham confirmado com base em exame do grau de apoio ou de rejeição à</w:t>
      </w:r>
      <w:r w:rsidRPr="00395593">
        <w:rPr>
          <w:rFonts w:ascii="Garamond" w:hAnsi="Garamond"/>
          <w:spacing w:val="1"/>
          <w:sz w:val="24"/>
          <w:szCs w:val="24"/>
        </w:rPr>
        <w:t xml:space="preserve"> </w:t>
      </w:r>
      <w:r w:rsidRPr="00395593">
        <w:rPr>
          <w:rFonts w:ascii="Garamond" w:hAnsi="Garamond"/>
          <w:sz w:val="24"/>
          <w:szCs w:val="24"/>
        </w:rPr>
        <w:t xml:space="preserve">petição, expresso </w:t>
      </w:r>
      <w:r w:rsidRPr="00395593">
        <w:rPr>
          <w:rFonts w:ascii="Garamond" w:hAnsi="Garamond"/>
          <w:sz w:val="24"/>
          <w:szCs w:val="24"/>
          <w:vertAlign w:val="superscript"/>
        </w:rPr>
        <w:t>13</w:t>
      </w:r>
      <w:r w:rsidRPr="00395593">
        <w:rPr>
          <w:rFonts w:ascii="Garamond" w:hAnsi="Garamond"/>
          <w:sz w:val="24"/>
          <w:szCs w:val="24"/>
        </w:rPr>
        <w:t xml:space="preserve"> pelos produtores domésticos do similar, que a petição foi efetivamente</w:t>
      </w:r>
      <w:r w:rsidRPr="00395593">
        <w:rPr>
          <w:rFonts w:ascii="Garamond" w:hAnsi="Garamond"/>
          <w:spacing w:val="1"/>
          <w:sz w:val="24"/>
          <w:szCs w:val="24"/>
        </w:rPr>
        <w:t xml:space="preserve"> </w:t>
      </w:r>
      <w:r w:rsidRPr="00395593">
        <w:rPr>
          <w:rFonts w:ascii="Garamond" w:hAnsi="Garamond"/>
          <w:sz w:val="24"/>
          <w:szCs w:val="24"/>
        </w:rPr>
        <w:t>feita</w:t>
      </w:r>
      <w:r w:rsidRPr="00395593">
        <w:rPr>
          <w:rFonts w:ascii="Garamond" w:hAnsi="Garamond"/>
          <w:spacing w:val="1"/>
          <w:sz w:val="24"/>
          <w:szCs w:val="24"/>
        </w:rPr>
        <w:t xml:space="preserve"> </w:t>
      </w:r>
      <w:r w:rsidRPr="00395593">
        <w:rPr>
          <w:rFonts w:ascii="Garamond" w:hAnsi="Garamond"/>
          <w:sz w:val="24"/>
          <w:szCs w:val="24"/>
        </w:rPr>
        <w:t>pela</w:t>
      </w:r>
      <w:r w:rsidRPr="00395593">
        <w:rPr>
          <w:rFonts w:ascii="Garamond" w:hAnsi="Garamond"/>
          <w:spacing w:val="1"/>
          <w:sz w:val="24"/>
          <w:szCs w:val="24"/>
        </w:rPr>
        <w:t xml:space="preserve"> </w:t>
      </w:r>
      <w:r w:rsidRPr="00395593">
        <w:rPr>
          <w:rFonts w:ascii="Garamond" w:hAnsi="Garamond"/>
          <w:sz w:val="24"/>
          <w:szCs w:val="24"/>
        </w:rPr>
        <w:t>indústria</w:t>
      </w:r>
      <w:r w:rsidRPr="00395593">
        <w:rPr>
          <w:rFonts w:ascii="Garamond" w:hAnsi="Garamond"/>
          <w:spacing w:val="1"/>
          <w:sz w:val="24"/>
          <w:szCs w:val="24"/>
        </w:rPr>
        <w:t xml:space="preserve"> </w:t>
      </w:r>
      <w:r w:rsidRPr="00395593">
        <w:rPr>
          <w:rFonts w:ascii="Garamond" w:hAnsi="Garamond"/>
          <w:sz w:val="24"/>
          <w:szCs w:val="24"/>
        </w:rPr>
        <w:t>doméstica</w:t>
      </w:r>
      <w:r w:rsidRPr="00395593">
        <w:rPr>
          <w:rFonts w:ascii="Garamond" w:hAnsi="Garamond"/>
          <w:spacing w:val="1"/>
          <w:sz w:val="24"/>
          <w:szCs w:val="24"/>
        </w:rPr>
        <w:t xml:space="preserve"> </w:t>
      </w:r>
      <w:r w:rsidRPr="00395593">
        <w:rPr>
          <w:rFonts w:ascii="Garamond" w:hAnsi="Garamond"/>
          <w:sz w:val="24"/>
          <w:szCs w:val="24"/>
        </w:rPr>
        <w:t>ou</w:t>
      </w:r>
      <w:r w:rsidRPr="00395593">
        <w:rPr>
          <w:rFonts w:ascii="Garamond" w:hAnsi="Garamond"/>
          <w:spacing w:val="1"/>
          <w:sz w:val="24"/>
          <w:szCs w:val="24"/>
        </w:rPr>
        <w:t xml:space="preserve"> </w:t>
      </w:r>
      <w:r w:rsidRPr="00395593">
        <w:rPr>
          <w:rFonts w:ascii="Garamond" w:hAnsi="Garamond"/>
          <w:sz w:val="24"/>
          <w:szCs w:val="24"/>
        </w:rPr>
        <w:t>em</w:t>
      </w:r>
      <w:r w:rsidRPr="00395593">
        <w:rPr>
          <w:rFonts w:ascii="Garamond" w:hAnsi="Garamond"/>
          <w:spacing w:val="1"/>
          <w:sz w:val="24"/>
          <w:szCs w:val="24"/>
        </w:rPr>
        <w:t xml:space="preserve"> </w:t>
      </w:r>
      <w:r w:rsidRPr="00395593">
        <w:rPr>
          <w:rFonts w:ascii="Garamond" w:hAnsi="Garamond"/>
          <w:sz w:val="24"/>
          <w:szCs w:val="24"/>
        </w:rPr>
        <w:t>seu</w:t>
      </w:r>
      <w:r w:rsidRPr="00395593">
        <w:rPr>
          <w:rFonts w:ascii="Garamond" w:hAnsi="Garamond"/>
          <w:spacing w:val="1"/>
          <w:sz w:val="24"/>
          <w:szCs w:val="24"/>
        </w:rPr>
        <w:t xml:space="preserve"> </w:t>
      </w:r>
      <w:r w:rsidRPr="00395593">
        <w:rPr>
          <w:rFonts w:ascii="Garamond" w:hAnsi="Garamond"/>
          <w:sz w:val="24"/>
          <w:szCs w:val="24"/>
        </w:rPr>
        <w:t>nome</w:t>
      </w:r>
      <w:r w:rsidRPr="00395593">
        <w:rPr>
          <w:rFonts w:ascii="Garamond" w:hAnsi="Garamond"/>
          <w:spacing w:val="1"/>
          <w:sz w:val="24"/>
          <w:szCs w:val="24"/>
        </w:rPr>
        <w:t xml:space="preserve"> </w:t>
      </w:r>
      <w:r w:rsidRPr="00395593">
        <w:rPr>
          <w:rFonts w:ascii="Garamond" w:hAnsi="Garamond"/>
          <w:sz w:val="24"/>
          <w:szCs w:val="24"/>
          <w:vertAlign w:val="superscript"/>
        </w:rPr>
        <w:t>14</w:t>
      </w:r>
      <w:r w:rsidRPr="00395593">
        <w:rPr>
          <w:rFonts w:ascii="Garamond" w:hAnsi="Garamond"/>
          <w:sz w:val="24"/>
          <w:szCs w:val="24"/>
        </w:rPr>
        <w:t>.</w:t>
      </w:r>
      <w:r w:rsidRPr="00395593">
        <w:rPr>
          <w:rFonts w:ascii="Garamond" w:hAnsi="Garamond"/>
          <w:spacing w:val="1"/>
          <w:sz w:val="24"/>
          <w:szCs w:val="24"/>
        </w:rPr>
        <w:t xml:space="preserve"> </w:t>
      </w:r>
      <w:r w:rsidRPr="00395593">
        <w:rPr>
          <w:rFonts w:ascii="Garamond" w:hAnsi="Garamond"/>
          <w:sz w:val="24"/>
          <w:szCs w:val="24"/>
        </w:rPr>
        <w:t>Considerar-se-á</w:t>
      </w:r>
      <w:r w:rsidRPr="00395593">
        <w:rPr>
          <w:rFonts w:ascii="Garamond" w:hAnsi="Garamond"/>
          <w:spacing w:val="1"/>
          <w:sz w:val="24"/>
          <w:szCs w:val="24"/>
        </w:rPr>
        <w:t xml:space="preserve"> </w:t>
      </w:r>
      <w:r w:rsidRPr="00395593">
        <w:rPr>
          <w:rFonts w:ascii="Garamond" w:hAnsi="Garamond"/>
          <w:sz w:val="24"/>
          <w:szCs w:val="24"/>
        </w:rPr>
        <w:t>como</w:t>
      </w:r>
      <w:r w:rsidRPr="00395593">
        <w:rPr>
          <w:rFonts w:ascii="Garamond" w:hAnsi="Garamond"/>
          <w:spacing w:val="1"/>
          <w:sz w:val="24"/>
          <w:szCs w:val="24"/>
        </w:rPr>
        <w:t xml:space="preserve"> </w:t>
      </w:r>
      <w:r w:rsidRPr="00395593">
        <w:rPr>
          <w:rFonts w:ascii="Garamond" w:hAnsi="Garamond"/>
          <w:sz w:val="24"/>
          <w:szCs w:val="24"/>
        </w:rPr>
        <w:t>"feita</w:t>
      </w:r>
      <w:r w:rsidRPr="00395593">
        <w:rPr>
          <w:rFonts w:ascii="Garamond" w:hAnsi="Garamond"/>
          <w:spacing w:val="60"/>
          <w:sz w:val="24"/>
          <w:szCs w:val="24"/>
        </w:rPr>
        <w:t xml:space="preserve"> </w:t>
      </w:r>
      <w:r w:rsidRPr="00395593">
        <w:rPr>
          <w:rFonts w:ascii="Garamond" w:hAnsi="Garamond"/>
          <w:sz w:val="24"/>
          <w:szCs w:val="24"/>
        </w:rPr>
        <w:t>pela</w:t>
      </w:r>
      <w:r w:rsidRPr="00395593">
        <w:rPr>
          <w:rFonts w:ascii="Garamond" w:hAnsi="Garamond"/>
          <w:spacing w:val="1"/>
          <w:sz w:val="24"/>
          <w:szCs w:val="24"/>
        </w:rPr>
        <w:t xml:space="preserve"> </w:t>
      </w:r>
      <w:r w:rsidRPr="00395593">
        <w:rPr>
          <w:rFonts w:ascii="Garamond" w:hAnsi="Garamond"/>
          <w:sz w:val="24"/>
          <w:szCs w:val="24"/>
        </w:rPr>
        <w:t>indústria doméstica ou em seu nome" a petição que for apoiada por aqueles produtores cujo</w:t>
      </w:r>
      <w:r w:rsidRPr="00395593">
        <w:rPr>
          <w:rFonts w:ascii="Garamond" w:hAnsi="Garamond"/>
          <w:spacing w:val="-57"/>
          <w:sz w:val="24"/>
          <w:szCs w:val="24"/>
        </w:rPr>
        <w:t xml:space="preserve"> </w:t>
      </w:r>
      <w:r w:rsidRPr="00395593">
        <w:rPr>
          <w:rFonts w:ascii="Garamond" w:hAnsi="Garamond"/>
          <w:sz w:val="24"/>
          <w:szCs w:val="24"/>
        </w:rPr>
        <w:t>produção agregada constitua 50 por cento da produção total do similar, produzida por</w:t>
      </w:r>
      <w:r w:rsidRPr="00395593">
        <w:rPr>
          <w:rFonts w:ascii="Garamond" w:hAnsi="Garamond"/>
          <w:spacing w:val="1"/>
          <w:sz w:val="24"/>
          <w:szCs w:val="24"/>
        </w:rPr>
        <w:t xml:space="preserve"> </w:t>
      </w:r>
      <w:r w:rsidRPr="00395593">
        <w:rPr>
          <w:rFonts w:ascii="Garamond" w:hAnsi="Garamond"/>
          <w:sz w:val="24"/>
          <w:szCs w:val="24"/>
        </w:rPr>
        <w:t>aquela porção da indústria doméstica que tenha expressado seu apelo ou sua rejeição à</w:t>
      </w:r>
      <w:r w:rsidRPr="00395593">
        <w:rPr>
          <w:rFonts w:ascii="Garamond" w:hAnsi="Garamond"/>
          <w:spacing w:val="1"/>
          <w:sz w:val="24"/>
          <w:szCs w:val="24"/>
        </w:rPr>
        <w:t xml:space="preserve"> </w:t>
      </w:r>
      <w:r w:rsidRPr="00395593">
        <w:rPr>
          <w:rFonts w:ascii="Garamond" w:hAnsi="Garamond"/>
          <w:sz w:val="24"/>
          <w:szCs w:val="24"/>
        </w:rPr>
        <w:t>petição,</w:t>
      </w:r>
      <w:r w:rsidRPr="00395593">
        <w:rPr>
          <w:rFonts w:ascii="Garamond" w:hAnsi="Garamond"/>
          <w:spacing w:val="1"/>
          <w:sz w:val="24"/>
          <w:szCs w:val="24"/>
        </w:rPr>
        <w:t xml:space="preserve"> </w:t>
      </w:r>
      <w:r w:rsidRPr="00395593">
        <w:rPr>
          <w:rFonts w:ascii="Garamond" w:hAnsi="Garamond"/>
          <w:sz w:val="24"/>
          <w:szCs w:val="24"/>
        </w:rPr>
        <w:t>No</w:t>
      </w:r>
      <w:r w:rsidRPr="00395593">
        <w:rPr>
          <w:rFonts w:ascii="Garamond" w:hAnsi="Garamond"/>
          <w:spacing w:val="1"/>
          <w:sz w:val="24"/>
          <w:szCs w:val="24"/>
        </w:rPr>
        <w:t xml:space="preserve"> </w:t>
      </w:r>
      <w:r w:rsidRPr="00395593">
        <w:rPr>
          <w:rFonts w:ascii="Garamond" w:hAnsi="Garamond"/>
          <w:sz w:val="24"/>
          <w:szCs w:val="24"/>
        </w:rPr>
        <w:t>sentido</w:t>
      </w:r>
      <w:r w:rsidRPr="00395593">
        <w:rPr>
          <w:rFonts w:ascii="Garamond" w:hAnsi="Garamond"/>
          <w:spacing w:val="1"/>
          <w:sz w:val="24"/>
          <w:szCs w:val="24"/>
        </w:rPr>
        <w:t xml:space="preserve"> </w:t>
      </w:r>
      <w:r w:rsidRPr="00395593">
        <w:rPr>
          <w:rFonts w:ascii="Garamond" w:hAnsi="Garamond"/>
          <w:sz w:val="24"/>
          <w:szCs w:val="24"/>
        </w:rPr>
        <w:t>oposto,</w:t>
      </w:r>
      <w:r w:rsidRPr="00395593">
        <w:rPr>
          <w:rFonts w:ascii="Garamond" w:hAnsi="Garamond"/>
          <w:spacing w:val="1"/>
          <w:sz w:val="24"/>
          <w:szCs w:val="24"/>
        </w:rPr>
        <w:t xml:space="preserve"> </w:t>
      </w:r>
      <w:r w:rsidRPr="00395593">
        <w:rPr>
          <w:rFonts w:ascii="Garamond" w:hAnsi="Garamond"/>
          <w:sz w:val="24"/>
          <w:szCs w:val="24"/>
        </w:rPr>
        <w:t>nenhuma</w:t>
      </w:r>
      <w:r w:rsidRPr="00395593">
        <w:rPr>
          <w:rFonts w:ascii="Garamond" w:hAnsi="Garamond"/>
          <w:spacing w:val="1"/>
          <w:sz w:val="24"/>
          <w:szCs w:val="24"/>
        </w:rPr>
        <w:t xml:space="preserve"> </w:t>
      </w:r>
      <w:r w:rsidRPr="00395593">
        <w:rPr>
          <w:rFonts w:ascii="Garamond" w:hAnsi="Garamond"/>
          <w:sz w:val="24"/>
          <w:szCs w:val="24"/>
        </w:rPr>
        <w:t>investigação</w:t>
      </w:r>
      <w:r w:rsidRPr="00395593">
        <w:rPr>
          <w:rFonts w:ascii="Garamond" w:hAnsi="Garamond"/>
          <w:spacing w:val="1"/>
          <w:sz w:val="24"/>
          <w:szCs w:val="24"/>
        </w:rPr>
        <w:t xml:space="preserve"> </w:t>
      </w:r>
      <w:r w:rsidRPr="00395593">
        <w:rPr>
          <w:rFonts w:ascii="Garamond" w:hAnsi="Garamond"/>
          <w:sz w:val="24"/>
          <w:szCs w:val="24"/>
        </w:rPr>
        <w:t>será</w:t>
      </w:r>
      <w:r w:rsidRPr="00395593">
        <w:rPr>
          <w:rFonts w:ascii="Garamond" w:hAnsi="Garamond"/>
          <w:spacing w:val="1"/>
          <w:sz w:val="24"/>
          <w:szCs w:val="24"/>
        </w:rPr>
        <w:t xml:space="preserve"> </w:t>
      </w:r>
      <w:r w:rsidRPr="00395593">
        <w:rPr>
          <w:rFonts w:ascii="Garamond" w:hAnsi="Garamond"/>
          <w:sz w:val="24"/>
          <w:szCs w:val="24"/>
        </w:rPr>
        <w:t>iniciada</w:t>
      </w:r>
      <w:r w:rsidRPr="00395593">
        <w:rPr>
          <w:rFonts w:ascii="Garamond" w:hAnsi="Garamond"/>
          <w:spacing w:val="1"/>
          <w:sz w:val="24"/>
          <w:szCs w:val="24"/>
        </w:rPr>
        <w:t xml:space="preserve"> </w:t>
      </w:r>
      <w:r w:rsidRPr="00395593">
        <w:rPr>
          <w:rFonts w:ascii="Garamond" w:hAnsi="Garamond"/>
          <w:sz w:val="24"/>
          <w:szCs w:val="24"/>
        </w:rPr>
        <w:t>quando</w:t>
      </w:r>
      <w:r w:rsidRPr="00395593">
        <w:rPr>
          <w:rFonts w:ascii="Garamond" w:hAnsi="Garamond"/>
          <w:spacing w:val="1"/>
          <w:sz w:val="24"/>
          <w:szCs w:val="24"/>
        </w:rPr>
        <w:t xml:space="preserve"> </w:t>
      </w:r>
      <w:r w:rsidRPr="00395593">
        <w:rPr>
          <w:rFonts w:ascii="Garamond" w:hAnsi="Garamond"/>
          <w:sz w:val="24"/>
          <w:szCs w:val="24"/>
        </w:rPr>
        <w:t>os</w:t>
      </w:r>
      <w:r w:rsidRPr="00395593">
        <w:rPr>
          <w:rFonts w:ascii="Garamond" w:hAnsi="Garamond"/>
          <w:spacing w:val="1"/>
          <w:sz w:val="24"/>
          <w:szCs w:val="24"/>
        </w:rPr>
        <w:t xml:space="preserve"> </w:t>
      </w:r>
      <w:r w:rsidRPr="00395593">
        <w:rPr>
          <w:rFonts w:ascii="Garamond" w:hAnsi="Garamond"/>
          <w:sz w:val="24"/>
          <w:szCs w:val="24"/>
        </w:rPr>
        <w:t>produtores</w:t>
      </w:r>
      <w:r w:rsidRPr="00395593">
        <w:rPr>
          <w:rFonts w:ascii="Garamond" w:hAnsi="Garamond"/>
          <w:spacing w:val="-57"/>
          <w:sz w:val="24"/>
          <w:szCs w:val="24"/>
        </w:rPr>
        <w:t xml:space="preserve"> </w:t>
      </w:r>
      <w:r w:rsidRPr="00395593">
        <w:rPr>
          <w:rFonts w:ascii="Garamond" w:hAnsi="Garamond"/>
          <w:sz w:val="24"/>
          <w:szCs w:val="24"/>
        </w:rPr>
        <w:t>nacionais,</w:t>
      </w:r>
      <w:r w:rsidRPr="00395593">
        <w:rPr>
          <w:rFonts w:ascii="Garamond" w:hAnsi="Garamond"/>
          <w:spacing w:val="1"/>
          <w:sz w:val="24"/>
          <w:szCs w:val="24"/>
        </w:rPr>
        <w:t xml:space="preserve"> </w:t>
      </w:r>
      <w:r w:rsidRPr="00395593">
        <w:rPr>
          <w:rFonts w:ascii="Garamond" w:hAnsi="Garamond"/>
          <w:sz w:val="24"/>
          <w:szCs w:val="24"/>
        </w:rPr>
        <w:t>que</w:t>
      </w:r>
      <w:r w:rsidRPr="00395593">
        <w:rPr>
          <w:rFonts w:ascii="Garamond" w:hAnsi="Garamond"/>
          <w:spacing w:val="1"/>
          <w:sz w:val="24"/>
          <w:szCs w:val="24"/>
        </w:rPr>
        <w:t xml:space="preserve"> </w:t>
      </w:r>
      <w:r w:rsidRPr="00395593">
        <w:rPr>
          <w:rFonts w:ascii="Garamond" w:hAnsi="Garamond"/>
          <w:sz w:val="24"/>
          <w:szCs w:val="24"/>
        </w:rPr>
        <w:t>expressamente</w:t>
      </w:r>
      <w:r w:rsidRPr="00395593">
        <w:rPr>
          <w:rFonts w:ascii="Garamond" w:hAnsi="Garamond"/>
          <w:spacing w:val="1"/>
          <w:sz w:val="24"/>
          <w:szCs w:val="24"/>
        </w:rPr>
        <w:t xml:space="preserve"> </w:t>
      </w:r>
      <w:r w:rsidRPr="00395593">
        <w:rPr>
          <w:rFonts w:ascii="Garamond" w:hAnsi="Garamond"/>
          <w:sz w:val="24"/>
          <w:szCs w:val="24"/>
        </w:rPr>
        <w:t>apóiam</w:t>
      </w:r>
      <w:r w:rsidRPr="00395593">
        <w:rPr>
          <w:rFonts w:ascii="Garamond" w:hAnsi="Garamond"/>
          <w:spacing w:val="1"/>
          <w:sz w:val="24"/>
          <w:szCs w:val="24"/>
        </w:rPr>
        <w:t xml:space="preserve"> </w:t>
      </w:r>
      <w:r w:rsidRPr="00395593">
        <w:rPr>
          <w:rFonts w:ascii="Garamond" w:hAnsi="Garamond"/>
          <w:sz w:val="24"/>
          <w:szCs w:val="24"/>
        </w:rPr>
        <w:t>a</w:t>
      </w:r>
      <w:r w:rsidRPr="00395593">
        <w:rPr>
          <w:rFonts w:ascii="Garamond" w:hAnsi="Garamond"/>
          <w:spacing w:val="1"/>
          <w:sz w:val="24"/>
          <w:szCs w:val="24"/>
        </w:rPr>
        <w:t xml:space="preserve"> </w:t>
      </w:r>
      <w:r w:rsidRPr="00395593">
        <w:rPr>
          <w:rFonts w:ascii="Garamond" w:hAnsi="Garamond"/>
          <w:sz w:val="24"/>
          <w:szCs w:val="24"/>
        </w:rPr>
        <w:t>petição,</w:t>
      </w:r>
      <w:r w:rsidRPr="00395593">
        <w:rPr>
          <w:rFonts w:ascii="Garamond" w:hAnsi="Garamond"/>
          <w:spacing w:val="1"/>
          <w:sz w:val="24"/>
          <w:szCs w:val="24"/>
        </w:rPr>
        <w:t xml:space="preserve"> </w:t>
      </w:r>
      <w:r w:rsidRPr="00395593">
        <w:rPr>
          <w:rFonts w:ascii="Garamond" w:hAnsi="Garamond"/>
          <w:sz w:val="24"/>
          <w:szCs w:val="24"/>
        </w:rPr>
        <w:t>reúnam</w:t>
      </w:r>
      <w:r w:rsidRPr="00395593">
        <w:rPr>
          <w:rFonts w:ascii="Garamond" w:hAnsi="Garamond"/>
          <w:spacing w:val="1"/>
          <w:sz w:val="24"/>
          <w:szCs w:val="24"/>
        </w:rPr>
        <w:t xml:space="preserve"> </w:t>
      </w:r>
      <w:r w:rsidRPr="00395593">
        <w:rPr>
          <w:rFonts w:ascii="Garamond" w:hAnsi="Garamond"/>
          <w:sz w:val="24"/>
          <w:szCs w:val="24"/>
        </w:rPr>
        <w:t>menos</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sz w:val="24"/>
          <w:szCs w:val="24"/>
        </w:rPr>
        <w:t>25</w:t>
      </w:r>
      <w:r w:rsidRPr="00395593">
        <w:rPr>
          <w:rFonts w:ascii="Garamond" w:hAnsi="Garamond"/>
          <w:spacing w:val="1"/>
          <w:sz w:val="24"/>
          <w:szCs w:val="24"/>
        </w:rPr>
        <w:t xml:space="preserve"> </w:t>
      </w:r>
      <w:r w:rsidRPr="00395593">
        <w:rPr>
          <w:rFonts w:ascii="Garamond" w:hAnsi="Garamond"/>
          <w:sz w:val="24"/>
          <w:szCs w:val="24"/>
        </w:rPr>
        <w:t>por</w:t>
      </w:r>
      <w:r w:rsidRPr="00395593">
        <w:rPr>
          <w:rFonts w:ascii="Garamond" w:hAnsi="Garamond"/>
          <w:spacing w:val="1"/>
          <w:sz w:val="24"/>
          <w:szCs w:val="24"/>
        </w:rPr>
        <w:t xml:space="preserve"> </w:t>
      </w:r>
      <w:r w:rsidRPr="00395593">
        <w:rPr>
          <w:rFonts w:ascii="Garamond" w:hAnsi="Garamond"/>
          <w:sz w:val="24"/>
          <w:szCs w:val="24"/>
        </w:rPr>
        <w:t>cento</w:t>
      </w:r>
      <w:r w:rsidRPr="00395593">
        <w:rPr>
          <w:rFonts w:ascii="Garamond" w:hAnsi="Garamond"/>
          <w:spacing w:val="60"/>
          <w:sz w:val="24"/>
          <w:szCs w:val="24"/>
        </w:rPr>
        <w:t xml:space="preserve"> </w:t>
      </w:r>
      <w:r w:rsidRPr="00395593">
        <w:rPr>
          <w:rFonts w:ascii="Garamond" w:hAnsi="Garamond"/>
          <w:sz w:val="24"/>
          <w:szCs w:val="24"/>
        </w:rPr>
        <w:t>da</w:t>
      </w:r>
      <w:r w:rsidRPr="00395593">
        <w:rPr>
          <w:rFonts w:ascii="Garamond" w:hAnsi="Garamond"/>
          <w:spacing w:val="1"/>
          <w:sz w:val="24"/>
          <w:szCs w:val="24"/>
        </w:rPr>
        <w:t xml:space="preserve"> </w:t>
      </w:r>
      <w:r w:rsidRPr="00395593">
        <w:rPr>
          <w:rFonts w:ascii="Garamond" w:hAnsi="Garamond"/>
          <w:sz w:val="24"/>
          <w:szCs w:val="24"/>
        </w:rPr>
        <w:t>produção</w:t>
      </w:r>
      <w:r w:rsidRPr="00395593">
        <w:rPr>
          <w:rFonts w:ascii="Garamond" w:hAnsi="Garamond"/>
          <w:spacing w:val="-1"/>
          <w:sz w:val="24"/>
          <w:szCs w:val="24"/>
        </w:rPr>
        <w:t xml:space="preserve"> </w:t>
      </w:r>
      <w:r w:rsidRPr="00395593">
        <w:rPr>
          <w:rFonts w:ascii="Garamond" w:hAnsi="Garamond"/>
          <w:sz w:val="24"/>
          <w:szCs w:val="24"/>
        </w:rPr>
        <w:t>total do similar</w:t>
      </w:r>
      <w:r w:rsidRPr="00395593">
        <w:rPr>
          <w:rFonts w:ascii="Garamond" w:hAnsi="Garamond"/>
          <w:spacing w:val="1"/>
          <w:sz w:val="24"/>
          <w:szCs w:val="24"/>
        </w:rPr>
        <w:t xml:space="preserve"> </w:t>
      </w:r>
      <w:r w:rsidRPr="00395593">
        <w:rPr>
          <w:rFonts w:ascii="Garamond" w:hAnsi="Garamond"/>
          <w:sz w:val="24"/>
          <w:szCs w:val="24"/>
        </w:rPr>
        <w:t>realizada</w:t>
      </w:r>
      <w:r w:rsidRPr="00395593">
        <w:rPr>
          <w:rFonts w:ascii="Garamond" w:hAnsi="Garamond"/>
          <w:spacing w:val="-1"/>
          <w:sz w:val="24"/>
          <w:szCs w:val="24"/>
        </w:rPr>
        <w:t xml:space="preserve"> </w:t>
      </w:r>
      <w:r w:rsidRPr="00395593">
        <w:rPr>
          <w:rFonts w:ascii="Garamond" w:hAnsi="Garamond"/>
          <w:sz w:val="24"/>
          <w:szCs w:val="24"/>
        </w:rPr>
        <w:t>pela</w:t>
      </w:r>
      <w:r w:rsidRPr="00395593">
        <w:rPr>
          <w:rFonts w:ascii="Garamond" w:hAnsi="Garamond"/>
          <w:spacing w:val="-1"/>
          <w:sz w:val="24"/>
          <w:szCs w:val="24"/>
        </w:rPr>
        <w:t xml:space="preserve"> </w:t>
      </w:r>
      <w:r w:rsidRPr="00395593">
        <w:rPr>
          <w:rFonts w:ascii="Garamond" w:hAnsi="Garamond"/>
          <w:sz w:val="24"/>
          <w:szCs w:val="24"/>
        </w:rPr>
        <w:t>indústria nacional.</w:t>
      </w:r>
    </w:p>
    <w:p w14:paraId="1B80FFC7" w14:textId="77777777" w:rsidR="0013285C" w:rsidRPr="00395593" w:rsidRDefault="0013285C" w:rsidP="0013285C">
      <w:pPr>
        <w:pStyle w:val="Corpodetexto"/>
        <w:rPr>
          <w:rFonts w:ascii="Garamond" w:hAnsi="Garamond"/>
        </w:rPr>
      </w:pPr>
    </w:p>
    <w:p w14:paraId="3EE13D60" w14:textId="178EF6BA" w:rsidR="0013285C" w:rsidRPr="00395593" w:rsidRDefault="0013285C" w:rsidP="002C4340">
      <w:pPr>
        <w:pStyle w:val="PargrafodaLista"/>
        <w:widowControl w:val="0"/>
        <w:numPr>
          <w:ilvl w:val="0"/>
          <w:numId w:val="21"/>
        </w:numPr>
        <w:tabs>
          <w:tab w:val="left" w:pos="810"/>
        </w:tabs>
        <w:autoSpaceDE w:val="0"/>
        <w:autoSpaceDN w:val="0"/>
        <w:spacing w:after="0" w:line="240" w:lineRule="auto"/>
        <w:ind w:right="117" w:firstLine="0"/>
        <w:contextualSpacing w:val="0"/>
        <w:jc w:val="both"/>
        <w:rPr>
          <w:rFonts w:ascii="Garamond" w:hAnsi="Garamond"/>
          <w:sz w:val="24"/>
          <w:szCs w:val="24"/>
        </w:rPr>
      </w:pPr>
      <w:r w:rsidRPr="00395593">
        <w:rPr>
          <w:rFonts w:ascii="Garamond" w:hAnsi="Garamond"/>
          <w:sz w:val="24"/>
          <w:szCs w:val="24"/>
        </w:rPr>
        <w:t>A menos que se tenha tomado a decisão de iniciar a investigação, as autoridades</w:t>
      </w:r>
      <w:r w:rsidRPr="00395593">
        <w:rPr>
          <w:rFonts w:ascii="Garamond" w:hAnsi="Garamond"/>
          <w:spacing w:val="1"/>
          <w:sz w:val="24"/>
          <w:szCs w:val="24"/>
        </w:rPr>
        <w:t xml:space="preserve"> </w:t>
      </w:r>
      <w:r w:rsidRPr="00395593">
        <w:rPr>
          <w:rFonts w:ascii="Garamond" w:hAnsi="Garamond"/>
          <w:sz w:val="24"/>
          <w:szCs w:val="24"/>
        </w:rPr>
        <w:t>evitarão</w:t>
      </w:r>
      <w:r w:rsidRPr="00395593">
        <w:rPr>
          <w:rFonts w:ascii="Garamond" w:hAnsi="Garamond"/>
          <w:spacing w:val="1"/>
          <w:sz w:val="24"/>
          <w:szCs w:val="24"/>
        </w:rPr>
        <w:t xml:space="preserve"> </w:t>
      </w:r>
      <w:r w:rsidRPr="00395593">
        <w:rPr>
          <w:rFonts w:ascii="Garamond" w:hAnsi="Garamond"/>
          <w:sz w:val="24"/>
          <w:szCs w:val="24"/>
        </w:rPr>
        <w:t>divulgar</w:t>
      </w:r>
      <w:r w:rsidRPr="00395593">
        <w:rPr>
          <w:rFonts w:ascii="Garamond" w:hAnsi="Garamond"/>
          <w:spacing w:val="1"/>
          <w:sz w:val="24"/>
          <w:szCs w:val="24"/>
        </w:rPr>
        <w:t xml:space="preserve"> </w:t>
      </w:r>
      <w:r w:rsidRPr="00395593">
        <w:rPr>
          <w:rFonts w:ascii="Garamond" w:hAnsi="Garamond"/>
          <w:sz w:val="24"/>
          <w:szCs w:val="24"/>
        </w:rPr>
        <w:t>a</w:t>
      </w:r>
      <w:r w:rsidRPr="00395593">
        <w:rPr>
          <w:rFonts w:ascii="Garamond" w:hAnsi="Garamond"/>
          <w:spacing w:val="1"/>
          <w:sz w:val="24"/>
          <w:szCs w:val="24"/>
        </w:rPr>
        <w:t xml:space="preserve"> </w:t>
      </w:r>
      <w:r w:rsidRPr="00395593">
        <w:rPr>
          <w:rFonts w:ascii="Garamond" w:hAnsi="Garamond"/>
          <w:sz w:val="24"/>
          <w:szCs w:val="24"/>
        </w:rPr>
        <w:t>petição</w:t>
      </w:r>
      <w:r w:rsidRPr="00395593">
        <w:rPr>
          <w:rFonts w:ascii="Garamond" w:hAnsi="Garamond"/>
          <w:spacing w:val="1"/>
          <w:sz w:val="24"/>
          <w:szCs w:val="24"/>
        </w:rPr>
        <w:t xml:space="preserve"> </w:t>
      </w:r>
      <w:r w:rsidRPr="00395593">
        <w:rPr>
          <w:rFonts w:ascii="Garamond" w:hAnsi="Garamond"/>
          <w:sz w:val="24"/>
          <w:szCs w:val="24"/>
        </w:rPr>
        <w:t>que</w:t>
      </w:r>
      <w:r w:rsidRPr="00395593">
        <w:rPr>
          <w:rFonts w:ascii="Garamond" w:hAnsi="Garamond"/>
          <w:spacing w:val="1"/>
          <w:sz w:val="24"/>
          <w:szCs w:val="24"/>
        </w:rPr>
        <w:t xml:space="preserve"> </w:t>
      </w:r>
      <w:r w:rsidRPr="00395593">
        <w:rPr>
          <w:rFonts w:ascii="Garamond" w:hAnsi="Garamond"/>
          <w:sz w:val="24"/>
          <w:szCs w:val="24"/>
        </w:rPr>
        <w:t>solicita</w:t>
      </w:r>
      <w:r w:rsidRPr="00395593">
        <w:rPr>
          <w:rFonts w:ascii="Garamond" w:hAnsi="Garamond"/>
          <w:spacing w:val="1"/>
          <w:sz w:val="24"/>
          <w:szCs w:val="24"/>
        </w:rPr>
        <w:t xml:space="preserve"> </w:t>
      </w:r>
      <w:r w:rsidRPr="00395593">
        <w:rPr>
          <w:rFonts w:ascii="Garamond" w:hAnsi="Garamond"/>
          <w:sz w:val="24"/>
          <w:szCs w:val="24"/>
        </w:rPr>
        <w:t>início</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sz w:val="24"/>
          <w:szCs w:val="24"/>
        </w:rPr>
        <w:t>investigação.</w:t>
      </w:r>
      <w:r w:rsidRPr="00395593">
        <w:rPr>
          <w:rFonts w:ascii="Garamond" w:hAnsi="Garamond"/>
          <w:spacing w:val="1"/>
          <w:sz w:val="24"/>
          <w:szCs w:val="24"/>
        </w:rPr>
        <w:t xml:space="preserve"> </w:t>
      </w:r>
      <w:r w:rsidRPr="00395593">
        <w:rPr>
          <w:rFonts w:ascii="Garamond" w:hAnsi="Garamond"/>
          <w:sz w:val="24"/>
          <w:szCs w:val="24"/>
        </w:rPr>
        <w:t>Após</w:t>
      </w:r>
      <w:r w:rsidRPr="00395593">
        <w:rPr>
          <w:rFonts w:ascii="Garamond" w:hAnsi="Garamond"/>
          <w:spacing w:val="1"/>
          <w:sz w:val="24"/>
          <w:szCs w:val="24"/>
        </w:rPr>
        <w:t xml:space="preserve"> </w:t>
      </w:r>
      <w:r w:rsidRPr="00395593">
        <w:rPr>
          <w:rFonts w:ascii="Garamond" w:hAnsi="Garamond"/>
          <w:sz w:val="24"/>
          <w:szCs w:val="24"/>
        </w:rPr>
        <w:t>receber</w:t>
      </w:r>
      <w:r w:rsidRPr="00395593">
        <w:rPr>
          <w:rFonts w:ascii="Garamond" w:hAnsi="Garamond"/>
          <w:spacing w:val="1"/>
          <w:sz w:val="24"/>
          <w:szCs w:val="24"/>
        </w:rPr>
        <w:t xml:space="preserve"> </w:t>
      </w:r>
      <w:r w:rsidRPr="00395593">
        <w:rPr>
          <w:rFonts w:ascii="Garamond" w:hAnsi="Garamond"/>
          <w:sz w:val="24"/>
          <w:szCs w:val="24"/>
        </w:rPr>
        <w:t>petição</w:t>
      </w:r>
      <w:r w:rsidRPr="00395593">
        <w:rPr>
          <w:rFonts w:ascii="Garamond" w:hAnsi="Garamond"/>
          <w:spacing w:val="1"/>
          <w:sz w:val="24"/>
          <w:szCs w:val="24"/>
        </w:rPr>
        <w:t xml:space="preserve"> </w:t>
      </w:r>
      <w:r w:rsidRPr="00395593">
        <w:rPr>
          <w:rFonts w:ascii="Garamond" w:hAnsi="Garamond"/>
          <w:sz w:val="24"/>
          <w:szCs w:val="24"/>
        </w:rPr>
        <w:t>devidamente</w:t>
      </w:r>
      <w:r w:rsidRPr="00395593">
        <w:rPr>
          <w:rFonts w:ascii="Garamond" w:hAnsi="Garamond"/>
          <w:spacing w:val="1"/>
          <w:sz w:val="24"/>
          <w:szCs w:val="24"/>
        </w:rPr>
        <w:t xml:space="preserve"> </w:t>
      </w:r>
      <w:r w:rsidRPr="00395593">
        <w:rPr>
          <w:rFonts w:ascii="Garamond" w:hAnsi="Garamond"/>
          <w:sz w:val="24"/>
          <w:szCs w:val="24"/>
        </w:rPr>
        <w:t>documentada,</w:t>
      </w:r>
      <w:r w:rsidRPr="00395593">
        <w:rPr>
          <w:rFonts w:ascii="Garamond" w:hAnsi="Garamond"/>
          <w:spacing w:val="1"/>
          <w:sz w:val="24"/>
          <w:szCs w:val="24"/>
        </w:rPr>
        <w:t xml:space="preserve"> </w:t>
      </w:r>
      <w:r w:rsidRPr="00395593">
        <w:rPr>
          <w:rFonts w:ascii="Garamond" w:hAnsi="Garamond"/>
          <w:sz w:val="24"/>
          <w:szCs w:val="24"/>
        </w:rPr>
        <w:t>porém,</w:t>
      </w:r>
      <w:r w:rsidRPr="00395593">
        <w:rPr>
          <w:rFonts w:ascii="Garamond" w:hAnsi="Garamond"/>
          <w:spacing w:val="1"/>
          <w:sz w:val="24"/>
          <w:szCs w:val="24"/>
        </w:rPr>
        <w:t xml:space="preserve"> </w:t>
      </w:r>
      <w:r w:rsidRPr="00395593">
        <w:rPr>
          <w:rFonts w:ascii="Garamond" w:hAnsi="Garamond"/>
          <w:sz w:val="24"/>
          <w:szCs w:val="24"/>
        </w:rPr>
        <w:t>e</w:t>
      </w:r>
      <w:r w:rsidRPr="00395593">
        <w:rPr>
          <w:rFonts w:ascii="Garamond" w:hAnsi="Garamond"/>
          <w:spacing w:val="1"/>
          <w:sz w:val="24"/>
          <w:szCs w:val="24"/>
        </w:rPr>
        <w:t xml:space="preserve"> </w:t>
      </w:r>
      <w:r w:rsidRPr="00395593">
        <w:rPr>
          <w:rFonts w:ascii="Garamond" w:hAnsi="Garamond"/>
          <w:sz w:val="24"/>
          <w:szCs w:val="24"/>
        </w:rPr>
        <w:t>antes</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sz w:val="24"/>
          <w:szCs w:val="24"/>
        </w:rPr>
        <w:t>proceder</w:t>
      </w:r>
      <w:r w:rsidRPr="00395593">
        <w:rPr>
          <w:rFonts w:ascii="Garamond" w:hAnsi="Garamond"/>
          <w:spacing w:val="1"/>
          <w:sz w:val="24"/>
          <w:szCs w:val="24"/>
        </w:rPr>
        <w:t xml:space="preserve"> </w:t>
      </w:r>
      <w:r w:rsidRPr="00395593">
        <w:rPr>
          <w:rFonts w:ascii="Garamond" w:hAnsi="Garamond"/>
          <w:sz w:val="24"/>
          <w:szCs w:val="24"/>
        </w:rPr>
        <w:t>ao</w:t>
      </w:r>
      <w:r w:rsidRPr="00395593">
        <w:rPr>
          <w:rFonts w:ascii="Garamond" w:hAnsi="Garamond"/>
          <w:spacing w:val="1"/>
          <w:sz w:val="24"/>
          <w:szCs w:val="24"/>
        </w:rPr>
        <w:t xml:space="preserve"> </w:t>
      </w:r>
      <w:r w:rsidR="00F362DF" w:rsidRPr="00395593">
        <w:rPr>
          <w:rFonts w:ascii="Garamond" w:hAnsi="Garamond"/>
          <w:sz w:val="24"/>
          <w:szCs w:val="24"/>
        </w:rPr>
        <w:t>início</w:t>
      </w:r>
      <w:r w:rsidRPr="00395593">
        <w:rPr>
          <w:rFonts w:ascii="Garamond" w:hAnsi="Garamond"/>
          <w:spacing w:val="1"/>
          <w:sz w:val="24"/>
          <w:szCs w:val="24"/>
        </w:rPr>
        <w:t xml:space="preserve"> </w:t>
      </w:r>
      <w:r w:rsidRPr="00395593">
        <w:rPr>
          <w:rFonts w:ascii="Garamond" w:hAnsi="Garamond"/>
          <w:sz w:val="24"/>
          <w:szCs w:val="24"/>
        </w:rPr>
        <w:t>da</w:t>
      </w:r>
      <w:r w:rsidRPr="00395593">
        <w:rPr>
          <w:rFonts w:ascii="Garamond" w:hAnsi="Garamond"/>
          <w:spacing w:val="1"/>
          <w:sz w:val="24"/>
          <w:szCs w:val="24"/>
        </w:rPr>
        <w:t xml:space="preserve"> </w:t>
      </w:r>
      <w:r w:rsidRPr="00395593">
        <w:rPr>
          <w:rFonts w:ascii="Garamond" w:hAnsi="Garamond"/>
          <w:sz w:val="24"/>
          <w:szCs w:val="24"/>
        </w:rPr>
        <w:t>investigação,</w:t>
      </w:r>
      <w:r w:rsidRPr="00395593">
        <w:rPr>
          <w:rFonts w:ascii="Garamond" w:hAnsi="Garamond"/>
          <w:spacing w:val="1"/>
          <w:sz w:val="24"/>
          <w:szCs w:val="24"/>
        </w:rPr>
        <w:t xml:space="preserve"> </w:t>
      </w:r>
      <w:r w:rsidRPr="00395593">
        <w:rPr>
          <w:rFonts w:ascii="Garamond" w:hAnsi="Garamond"/>
          <w:sz w:val="24"/>
          <w:szCs w:val="24"/>
        </w:rPr>
        <w:t>as</w:t>
      </w:r>
      <w:r w:rsidRPr="00395593">
        <w:rPr>
          <w:rFonts w:ascii="Garamond" w:hAnsi="Garamond"/>
          <w:spacing w:val="1"/>
          <w:sz w:val="24"/>
          <w:szCs w:val="24"/>
        </w:rPr>
        <w:t xml:space="preserve"> </w:t>
      </w:r>
      <w:r w:rsidRPr="00395593">
        <w:rPr>
          <w:rFonts w:ascii="Garamond" w:hAnsi="Garamond"/>
          <w:sz w:val="24"/>
          <w:szCs w:val="24"/>
        </w:rPr>
        <w:t>autoridades</w:t>
      </w:r>
      <w:r w:rsidRPr="00395593">
        <w:rPr>
          <w:rFonts w:ascii="Garamond" w:hAnsi="Garamond"/>
          <w:spacing w:val="-1"/>
          <w:sz w:val="24"/>
          <w:szCs w:val="24"/>
        </w:rPr>
        <w:t xml:space="preserve"> </w:t>
      </w:r>
      <w:r w:rsidRPr="00395593">
        <w:rPr>
          <w:rFonts w:ascii="Garamond" w:hAnsi="Garamond"/>
          <w:sz w:val="24"/>
          <w:szCs w:val="24"/>
        </w:rPr>
        <w:t>deverão notificar</w:t>
      </w:r>
      <w:r w:rsidRPr="00395593">
        <w:rPr>
          <w:rFonts w:ascii="Garamond" w:hAnsi="Garamond"/>
          <w:spacing w:val="-1"/>
          <w:sz w:val="24"/>
          <w:szCs w:val="24"/>
        </w:rPr>
        <w:t xml:space="preserve"> </w:t>
      </w:r>
      <w:r w:rsidRPr="00395593">
        <w:rPr>
          <w:rFonts w:ascii="Garamond" w:hAnsi="Garamond"/>
          <w:sz w:val="24"/>
          <w:szCs w:val="24"/>
        </w:rPr>
        <w:t>o Governo do</w:t>
      </w:r>
      <w:r w:rsidRPr="00395593">
        <w:rPr>
          <w:rFonts w:ascii="Garamond" w:hAnsi="Garamond"/>
          <w:spacing w:val="-1"/>
          <w:sz w:val="24"/>
          <w:szCs w:val="24"/>
        </w:rPr>
        <w:t xml:space="preserve"> </w:t>
      </w:r>
      <w:r w:rsidRPr="00395593">
        <w:rPr>
          <w:rFonts w:ascii="Garamond" w:hAnsi="Garamond"/>
          <w:sz w:val="24"/>
          <w:szCs w:val="24"/>
        </w:rPr>
        <w:t>Membro exportador respectivo.</w:t>
      </w:r>
    </w:p>
    <w:p w14:paraId="61FC5BAC" w14:textId="77777777" w:rsidR="0013285C" w:rsidRPr="00395593" w:rsidRDefault="0013285C" w:rsidP="0013285C">
      <w:pPr>
        <w:pStyle w:val="Corpodetexto"/>
        <w:spacing w:before="1"/>
        <w:rPr>
          <w:rFonts w:ascii="Garamond" w:hAnsi="Garamond"/>
        </w:rPr>
      </w:pPr>
    </w:p>
    <w:p w14:paraId="2955C07C" w14:textId="2FE0A82E" w:rsidR="004F0FFB" w:rsidRPr="00395593" w:rsidRDefault="0013285C" w:rsidP="002C4340">
      <w:pPr>
        <w:pStyle w:val="PargrafodaLista"/>
        <w:widowControl w:val="0"/>
        <w:numPr>
          <w:ilvl w:val="0"/>
          <w:numId w:val="21"/>
        </w:numPr>
        <w:tabs>
          <w:tab w:val="left" w:pos="810"/>
        </w:tabs>
        <w:autoSpaceDE w:val="0"/>
        <w:autoSpaceDN w:val="0"/>
        <w:spacing w:after="0" w:line="240" w:lineRule="auto"/>
        <w:ind w:right="114" w:firstLine="0"/>
        <w:contextualSpacing w:val="0"/>
        <w:jc w:val="both"/>
        <w:rPr>
          <w:rFonts w:ascii="Garamond" w:hAnsi="Garamond"/>
          <w:sz w:val="24"/>
          <w:szCs w:val="24"/>
        </w:rPr>
      </w:pPr>
      <w:r w:rsidRPr="00395593">
        <w:rPr>
          <w:rFonts w:ascii="Garamond" w:hAnsi="Garamond"/>
          <w:sz w:val="24"/>
          <w:szCs w:val="24"/>
        </w:rPr>
        <w:t>Se, em situação especial, as autoridades responsáveis decidem iniciar investigação</w:t>
      </w:r>
      <w:r w:rsidRPr="00395593">
        <w:rPr>
          <w:rFonts w:ascii="Garamond" w:hAnsi="Garamond"/>
          <w:spacing w:val="1"/>
          <w:sz w:val="24"/>
          <w:szCs w:val="24"/>
        </w:rPr>
        <w:t xml:space="preserve"> </w:t>
      </w:r>
      <w:r w:rsidRPr="00395593">
        <w:rPr>
          <w:rFonts w:ascii="Garamond" w:hAnsi="Garamond"/>
          <w:sz w:val="24"/>
          <w:szCs w:val="24"/>
        </w:rPr>
        <w:t>sem ter recebido petição por escrito apresentada pela Indústria doméstica ou em seu nome</w:t>
      </w:r>
      <w:r w:rsidRPr="00395593">
        <w:rPr>
          <w:rFonts w:ascii="Garamond" w:hAnsi="Garamond"/>
          <w:spacing w:val="1"/>
          <w:sz w:val="24"/>
          <w:szCs w:val="24"/>
        </w:rPr>
        <w:t xml:space="preserve"> </w:t>
      </w:r>
      <w:r w:rsidRPr="00395593">
        <w:rPr>
          <w:rFonts w:ascii="Garamond" w:hAnsi="Garamond"/>
          <w:sz w:val="24"/>
          <w:szCs w:val="24"/>
        </w:rPr>
        <w:t xml:space="preserve">em que se solicite o início de tal </w:t>
      </w:r>
      <w:r w:rsidR="00F362DF" w:rsidRPr="00395593">
        <w:rPr>
          <w:rFonts w:ascii="Garamond" w:hAnsi="Garamond"/>
          <w:sz w:val="24"/>
          <w:szCs w:val="24"/>
        </w:rPr>
        <w:t>investigação</w:t>
      </w:r>
      <w:r w:rsidRPr="00395593">
        <w:rPr>
          <w:rFonts w:ascii="Garamond" w:hAnsi="Garamond"/>
          <w:sz w:val="24"/>
          <w:szCs w:val="24"/>
        </w:rPr>
        <w:t>, aquelas autoridades somente poderão agir se</w:t>
      </w:r>
      <w:r w:rsidRPr="00395593">
        <w:rPr>
          <w:rFonts w:ascii="Garamond" w:hAnsi="Garamond"/>
          <w:spacing w:val="-57"/>
          <w:sz w:val="24"/>
          <w:szCs w:val="24"/>
        </w:rPr>
        <w:t xml:space="preserve"> </w:t>
      </w:r>
      <w:r w:rsidRPr="00395593">
        <w:rPr>
          <w:rFonts w:ascii="Garamond" w:hAnsi="Garamond"/>
          <w:sz w:val="24"/>
          <w:szCs w:val="24"/>
        </w:rPr>
        <w:t xml:space="preserve">tiverem suficiente comprovação de </w:t>
      </w:r>
      <w:r w:rsidRPr="00395593">
        <w:rPr>
          <w:rFonts w:ascii="Garamond" w:hAnsi="Garamond"/>
          <w:i/>
          <w:sz w:val="24"/>
          <w:szCs w:val="24"/>
        </w:rPr>
        <w:t>dumping</w:t>
      </w:r>
      <w:r w:rsidRPr="00395593">
        <w:rPr>
          <w:rFonts w:ascii="Garamond" w:hAnsi="Garamond"/>
          <w:sz w:val="24"/>
          <w:szCs w:val="24"/>
        </w:rPr>
        <w:t>, dano e nexo causal, conforme descritos no</w:t>
      </w:r>
      <w:r w:rsidRPr="00395593">
        <w:rPr>
          <w:rFonts w:ascii="Garamond" w:hAnsi="Garamond"/>
          <w:spacing w:val="1"/>
          <w:sz w:val="24"/>
          <w:szCs w:val="24"/>
        </w:rPr>
        <w:t xml:space="preserve"> </w:t>
      </w:r>
      <w:r w:rsidRPr="00395593">
        <w:rPr>
          <w:rFonts w:ascii="Garamond" w:hAnsi="Garamond"/>
          <w:sz w:val="24"/>
          <w:szCs w:val="24"/>
        </w:rPr>
        <w:t>parágrafo</w:t>
      </w:r>
      <w:r w:rsidRPr="00395593">
        <w:rPr>
          <w:rFonts w:ascii="Garamond" w:hAnsi="Garamond"/>
          <w:spacing w:val="-1"/>
          <w:sz w:val="24"/>
          <w:szCs w:val="24"/>
        </w:rPr>
        <w:t xml:space="preserve"> </w:t>
      </w:r>
      <w:r w:rsidRPr="00395593">
        <w:rPr>
          <w:rFonts w:ascii="Garamond" w:hAnsi="Garamond"/>
          <w:sz w:val="24"/>
          <w:szCs w:val="24"/>
        </w:rPr>
        <w:t>2,</w:t>
      </w:r>
      <w:r w:rsidRPr="00395593">
        <w:rPr>
          <w:rFonts w:ascii="Garamond" w:hAnsi="Garamond"/>
          <w:spacing w:val="-1"/>
          <w:sz w:val="24"/>
          <w:szCs w:val="24"/>
        </w:rPr>
        <w:t xml:space="preserve"> </w:t>
      </w:r>
      <w:r w:rsidRPr="00395593">
        <w:rPr>
          <w:rFonts w:ascii="Garamond" w:hAnsi="Garamond"/>
          <w:sz w:val="24"/>
          <w:szCs w:val="24"/>
        </w:rPr>
        <w:t>que</w:t>
      </w:r>
      <w:r w:rsidRPr="00395593">
        <w:rPr>
          <w:rFonts w:ascii="Garamond" w:hAnsi="Garamond"/>
          <w:spacing w:val="-1"/>
          <w:sz w:val="24"/>
          <w:szCs w:val="24"/>
        </w:rPr>
        <w:t xml:space="preserve"> </w:t>
      </w:r>
      <w:r w:rsidRPr="00395593">
        <w:rPr>
          <w:rFonts w:ascii="Garamond" w:hAnsi="Garamond"/>
          <w:sz w:val="24"/>
          <w:szCs w:val="24"/>
        </w:rPr>
        <w:t>justifiquem início de</w:t>
      </w:r>
      <w:r w:rsidRPr="00395593">
        <w:rPr>
          <w:rFonts w:ascii="Garamond" w:hAnsi="Garamond"/>
          <w:spacing w:val="-1"/>
          <w:sz w:val="24"/>
          <w:szCs w:val="24"/>
        </w:rPr>
        <w:t xml:space="preserve"> </w:t>
      </w:r>
      <w:r w:rsidRPr="00395593">
        <w:rPr>
          <w:rFonts w:ascii="Garamond" w:hAnsi="Garamond"/>
          <w:sz w:val="24"/>
          <w:szCs w:val="24"/>
        </w:rPr>
        <w:t>investigação.</w:t>
      </w:r>
    </w:p>
    <w:p w14:paraId="2B2A3E2E" w14:textId="77777777" w:rsidR="0065062F" w:rsidRPr="00395593" w:rsidRDefault="0065062F" w:rsidP="0065062F">
      <w:pPr>
        <w:pStyle w:val="PargrafodaLista"/>
        <w:rPr>
          <w:rFonts w:ascii="Garamond" w:hAnsi="Garamond"/>
          <w:sz w:val="24"/>
          <w:szCs w:val="24"/>
        </w:rPr>
      </w:pPr>
    </w:p>
    <w:p w14:paraId="402F295C" w14:textId="77777777" w:rsidR="0065062F" w:rsidRPr="00395593" w:rsidRDefault="0065062F" w:rsidP="002C4340">
      <w:pPr>
        <w:pStyle w:val="PargrafodaLista"/>
        <w:widowControl w:val="0"/>
        <w:numPr>
          <w:ilvl w:val="0"/>
          <w:numId w:val="21"/>
        </w:numPr>
        <w:tabs>
          <w:tab w:val="left" w:pos="810"/>
        </w:tabs>
        <w:autoSpaceDE w:val="0"/>
        <w:autoSpaceDN w:val="0"/>
        <w:spacing w:after="0" w:line="240" w:lineRule="auto"/>
        <w:ind w:right="114" w:firstLine="0"/>
        <w:contextualSpacing w:val="0"/>
        <w:jc w:val="both"/>
        <w:rPr>
          <w:rFonts w:ascii="Garamond" w:hAnsi="Garamond"/>
          <w:sz w:val="24"/>
          <w:szCs w:val="24"/>
        </w:rPr>
      </w:pPr>
      <w:r w:rsidRPr="00395593">
        <w:rPr>
          <w:rFonts w:ascii="Garamond" w:hAnsi="Garamond"/>
          <w:sz w:val="24"/>
          <w:szCs w:val="24"/>
        </w:rPr>
        <w:t>As comprovações de dumping e de dano serão consideradas simultaneamente: (a) na tomada de decisão sobre se se deve ou não iniciar investigação; e (b) posteriormente, durante os procedimentos de investigação, em data não posterior àquela em que, de acordo com o disposto neste Acordo, direitos provisórios venham a ser aplicados.</w:t>
      </w:r>
    </w:p>
    <w:p w14:paraId="58A0C81F" w14:textId="137EF957" w:rsidR="0065062F" w:rsidRDefault="0065062F" w:rsidP="0065062F">
      <w:pPr>
        <w:pStyle w:val="PargrafodaLista"/>
        <w:widowControl w:val="0"/>
        <w:tabs>
          <w:tab w:val="left" w:pos="810"/>
        </w:tabs>
        <w:autoSpaceDE w:val="0"/>
        <w:autoSpaceDN w:val="0"/>
        <w:spacing w:after="0" w:line="240" w:lineRule="auto"/>
        <w:ind w:left="102" w:right="114"/>
        <w:contextualSpacing w:val="0"/>
        <w:jc w:val="both"/>
        <w:rPr>
          <w:rFonts w:ascii="Garamond" w:hAnsi="Garamond"/>
          <w:sz w:val="24"/>
          <w:szCs w:val="24"/>
        </w:rPr>
      </w:pPr>
    </w:p>
    <w:p w14:paraId="093033BC" w14:textId="77777777" w:rsidR="007815AA" w:rsidRPr="00395593" w:rsidRDefault="007815AA" w:rsidP="0065062F">
      <w:pPr>
        <w:pStyle w:val="PargrafodaLista"/>
        <w:widowControl w:val="0"/>
        <w:tabs>
          <w:tab w:val="left" w:pos="810"/>
        </w:tabs>
        <w:autoSpaceDE w:val="0"/>
        <w:autoSpaceDN w:val="0"/>
        <w:spacing w:after="0" w:line="240" w:lineRule="auto"/>
        <w:ind w:left="102" w:right="114"/>
        <w:contextualSpacing w:val="0"/>
        <w:jc w:val="both"/>
        <w:rPr>
          <w:rFonts w:ascii="Garamond" w:hAnsi="Garamond"/>
          <w:sz w:val="24"/>
          <w:szCs w:val="24"/>
        </w:rPr>
      </w:pPr>
    </w:p>
    <w:p w14:paraId="2E77E291" w14:textId="77777777" w:rsidR="000B0704" w:rsidRPr="00395593" w:rsidRDefault="000B0704" w:rsidP="000B0704">
      <w:pPr>
        <w:pStyle w:val="Corpodetexto"/>
        <w:ind w:left="102"/>
        <w:rPr>
          <w:rFonts w:ascii="Garamond" w:hAnsi="Garamond"/>
          <w:sz w:val="15"/>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52" behindDoc="1" locked="0" layoutInCell="1" allowOverlap="1" wp14:anchorId="20810692" wp14:editId="10E5D793">
                <wp:simplePos x="0" y="0"/>
                <wp:positionH relativeFrom="page">
                  <wp:posOffset>1080770</wp:posOffset>
                </wp:positionH>
                <wp:positionV relativeFrom="paragraph">
                  <wp:posOffset>125095</wp:posOffset>
                </wp:positionV>
                <wp:extent cx="1828800" cy="7620"/>
                <wp:effectExtent l="4445" t="0" r="0" b="4445"/>
                <wp:wrapTopAndBottom/>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C5F74" id="Retângulo 24" o:spid="_x0000_s1026" style="position:absolute;margin-left:85.1pt;margin-top:9.85pt;width:2in;height:.6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BCfwIAAPw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" fillcolor="black" stroked="f">
                <w10:wrap type="topAndBottom" anchorx="page"/>
              </v:rect>
            </w:pict>
          </mc:Fallback>
        </mc:AlternateContent>
      </w:r>
    </w:p>
    <w:p w14:paraId="483B9E08" w14:textId="77777777" w:rsidR="000B0704" w:rsidRPr="00395593" w:rsidRDefault="000B0704" w:rsidP="000B0704">
      <w:pPr>
        <w:spacing w:after="0" w:line="240" w:lineRule="auto"/>
        <w:ind w:left="102"/>
        <w:rPr>
          <w:rFonts w:ascii="Garamond" w:hAnsi="Garamond"/>
          <w:sz w:val="20"/>
        </w:rPr>
      </w:pPr>
      <w:r w:rsidRPr="00395593">
        <w:rPr>
          <w:rFonts w:ascii="Garamond" w:hAnsi="Garamond"/>
          <w:position w:val="9"/>
          <w:sz w:val="16"/>
        </w:rPr>
        <w:t>13</w:t>
      </w:r>
      <w:r w:rsidRPr="00395593">
        <w:rPr>
          <w:rFonts w:ascii="Garamond" w:hAnsi="Garamond"/>
          <w:spacing w:val="1"/>
          <w:position w:val="9"/>
          <w:sz w:val="16"/>
        </w:rPr>
        <w:t xml:space="preserve"> </w:t>
      </w:r>
      <w:r w:rsidRPr="00395593">
        <w:rPr>
          <w:rFonts w:ascii="Garamond" w:hAnsi="Garamond"/>
          <w:sz w:val="20"/>
        </w:rPr>
        <w:t>No caso de indústrias fragmentárias, que compreendem número excepcionalmente grande de produtores, as</w:t>
      </w:r>
      <w:r w:rsidRPr="00395593">
        <w:rPr>
          <w:rFonts w:ascii="Garamond" w:hAnsi="Garamond"/>
          <w:spacing w:val="-48"/>
          <w:sz w:val="20"/>
        </w:rPr>
        <w:t xml:space="preserve"> </w:t>
      </w:r>
      <w:r w:rsidRPr="00395593">
        <w:rPr>
          <w:rFonts w:ascii="Garamond" w:hAnsi="Garamond"/>
          <w:sz w:val="20"/>
        </w:rPr>
        <w:t>autoridades</w:t>
      </w:r>
      <w:r w:rsidRPr="00395593">
        <w:rPr>
          <w:rFonts w:ascii="Garamond" w:hAnsi="Garamond"/>
          <w:spacing w:val="-3"/>
          <w:sz w:val="20"/>
        </w:rPr>
        <w:t xml:space="preserve"> </w:t>
      </w:r>
      <w:r w:rsidRPr="00395593">
        <w:rPr>
          <w:rFonts w:ascii="Garamond" w:hAnsi="Garamond"/>
          <w:sz w:val="20"/>
        </w:rPr>
        <w:t>poderão</w:t>
      </w:r>
      <w:r w:rsidRPr="00395593">
        <w:rPr>
          <w:rFonts w:ascii="Garamond" w:hAnsi="Garamond"/>
          <w:spacing w:val="-1"/>
          <w:sz w:val="20"/>
        </w:rPr>
        <w:t xml:space="preserve"> </w:t>
      </w:r>
      <w:r w:rsidRPr="00395593">
        <w:rPr>
          <w:rFonts w:ascii="Garamond" w:hAnsi="Garamond"/>
          <w:sz w:val="20"/>
        </w:rPr>
        <w:t>confirmar</w:t>
      </w:r>
      <w:r w:rsidRPr="00395593">
        <w:rPr>
          <w:rFonts w:ascii="Garamond" w:hAnsi="Garamond"/>
          <w:spacing w:val="2"/>
          <w:sz w:val="20"/>
        </w:rPr>
        <w:t xml:space="preserve"> </w:t>
      </w:r>
      <w:r w:rsidRPr="00395593">
        <w:rPr>
          <w:rFonts w:ascii="Garamond" w:hAnsi="Garamond"/>
          <w:sz w:val="20"/>
        </w:rPr>
        <w:t>apoio</w:t>
      </w:r>
      <w:r w:rsidRPr="00395593">
        <w:rPr>
          <w:rFonts w:ascii="Garamond" w:hAnsi="Garamond"/>
          <w:spacing w:val="-4"/>
          <w:sz w:val="20"/>
        </w:rPr>
        <w:t xml:space="preserve"> </w:t>
      </w:r>
      <w:r w:rsidRPr="00395593">
        <w:rPr>
          <w:rFonts w:ascii="Garamond" w:hAnsi="Garamond"/>
          <w:sz w:val="20"/>
        </w:rPr>
        <w:t>ou</w:t>
      </w:r>
      <w:r w:rsidRPr="00395593">
        <w:rPr>
          <w:rFonts w:ascii="Garamond" w:hAnsi="Garamond"/>
          <w:spacing w:val="-2"/>
          <w:sz w:val="20"/>
        </w:rPr>
        <w:t xml:space="preserve"> </w:t>
      </w:r>
      <w:r w:rsidRPr="00395593">
        <w:rPr>
          <w:rFonts w:ascii="Garamond" w:hAnsi="Garamond"/>
          <w:sz w:val="20"/>
        </w:rPr>
        <w:t>rejeição</w:t>
      </w:r>
      <w:r w:rsidRPr="00395593">
        <w:rPr>
          <w:rFonts w:ascii="Garamond" w:hAnsi="Garamond"/>
          <w:spacing w:val="-3"/>
          <w:sz w:val="20"/>
        </w:rPr>
        <w:t xml:space="preserve"> </w:t>
      </w:r>
      <w:r w:rsidRPr="00395593">
        <w:rPr>
          <w:rFonts w:ascii="Garamond" w:hAnsi="Garamond"/>
          <w:sz w:val="20"/>
        </w:rPr>
        <w:t>por</w:t>
      </w:r>
      <w:r w:rsidRPr="00395593">
        <w:rPr>
          <w:rFonts w:ascii="Garamond" w:hAnsi="Garamond"/>
          <w:spacing w:val="-3"/>
          <w:sz w:val="20"/>
        </w:rPr>
        <w:t xml:space="preserve"> </w:t>
      </w:r>
      <w:r w:rsidRPr="00395593">
        <w:rPr>
          <w:rFonts w:ascii="Garamond" w:hAnsi="Garamond"/>
          <w:sz w:val="20"/>
        </w:rPr>
        <w:t>meio</w:t>
      </w:r>
      <w:r w:rsidRPr="00395593">
        <w:rPr>
          <w:rFonts w:ascii="Garamond" w:hAnsi="Garamond"/>
          <w:spacing w:val="-1"/>
          <w:sz w:val="20"/>
        </w:rPr>
        <w:t xml:space="preserve"> </w:t>
      </w:r>
      <w:r w:rsidRPr="00395593">
        <w:rPr>
          <w:rFonts w:ascii="Garamond" w:hAnsi="Garamond"/>
          <w:sz w:val="20"/>
        </w:rPr>
        <w:t>de</w:t>
      </w:r>
      <w:r w:rsidRPr="00395593">
        <w:rPr>
          <w:rFonts w:ascii="Garamond" w:hAnsi="Garamond"/>
          <w:spacing w:val="1"/>
          <w:sz w:val="20"/>
        </w:rPr>
        <w:t xml:space="preserve"> </w:t>
      </w:r>
      <w:r w:rsidRPr="00395593">
        <w:rPr>
          <w:rFonts w:ascii="Garamond" w:hAnsi="Garamond"/>
          <w:sz w:val="20"/>
        </w:rPr>
        <w:t>técnicas</w:t>
      </w:r>
      <w:r w:rsidRPr="00395593">
        <w:rPr>
          <w:rFonts w:ascii="Garamond" w:hAnsi="Garamond"/>
          <w:spacing w:val="-3"/>
          <w:sz w:val="20"/>
        </w:rPr>
        <w:t xml:space="preserve"> </w:t>
      </w:r>
      <w:r w:rsidRPr="00395593">
        <w:rPr>
          <w:rFonts w:ascii="Garamond" w:hAnsi="Garamond"/>
          <w:sz w:val="20"/>
        </w:rPr>
        <w:t>de</w:t>
      </w:r>
      <w:r w:rsidRPr="00395593">
        <w:rPr>
          <w:rFonts w:ascii="Garamond" w:hAnsi="Garamond"/>
          <w:spacing w:val="-1"/>
          <w:sz w:val="20"/>
        </w:rPr>
        <w:t xml:space="preserve"> </w:t>
      </w:r>
      <w:r w:rsidRPr="00395593">
        <w:rPr>
          <w:rFonts w:ascii="Garamond" w:hAnsi="Garamond"/>
          <w:sz w:val="20"/>
        </w:rPr>
        <w:t>amostragem</w:t>
      </w:r>
      <w:r w:rsidRPr="00395593">
        <w:rPr>
          <w:rFonts w:ascii="Garamond" w:hAnsi="Garamond"/>
          <w:spacing w:val="-4"/>
          <w:sz w:val="20"/>
        </w:rPr>
        <w:t xml:space="preserve"> </w:t>
      </w:r>
      <w:r w:rsidRPr="00395593">
        <w:rPr>
          <w:rFonts w:ascii="Garamond" w:hAnsi="Garamond"/>
          <w:sz w:val="20"/>
        </w:rPr>
        <w:t>estatísticas</w:t>
      </w:r>
      <w:r w:rsidRPr="00395593">
        <w:rPr>
          <w:rFonts w:ascii="Garamond" w:hAnsi="Garamond"/>
          <w:spacing w:val="-2"/>
          <w:sz w:val="20"/>
        </w:rPr>
        <w:t xml:space="preserve"> </w:t>
      </w:r>
      <w:r w:rsidRPr="00395593">
        <w:rPr>
          <w:rFonts w:ascii="Garamond" w:hAnsi="Garamond"/>
          <w:sz w:val="20"/>
        </w:rPr>
        <w:t>aceitáveis.</w:t>
      </w:r>
    </w:p>
    <w:p w14:paraId="322A6C14" w14:textId="77777777" w:rsidR="000B0704" w:rsidRPr="00395593" w:rsidRDefault="000B0704" w:rsidP="000B0704">
      <w:pPr>
        <w:spacing w:after="0" w:line="240" w:lineRule="auto"/>
        <w:ind w:left="102"/>
        <w:rPr>
          <w:rFonts w:ascii="Garamond" w:hAnsi="Garamond"/>
          <w:sz w:val="20"/>
        </w:rPr>
      </w:pPr>
      <w:r w:rsidRPr="00395593">
        <w:rPr>
          <w:rFonts w:ascii="Garamond" w:hAnsi="Garamond"/>
          <w:sz w:val="20"/>
          <w:vertAlign w:val="superscript"/>
        </w:rPr>
        <w:t>14</w:t>
      </w:r>
      <w:r w:rsidRPr="00395593">
        <w:rPr>
          <w:rFonts w:ascii="Garamond" w:hAnsi="Garamond"/>
          <w:spacing w:val="1"/>
          <w:sz w:val="20"/>
        </w:rPr>
        <w:t xml:space="preserve"> </w:t>
      </w:r>
      <w:r w:rsidRPr="00395593">
        <w:rPr>
          <w:rFonts w:ascii="Garamond" w:hAnsi="Garamond"/>
          <w:sz w:val="20"/>
        </w:rPr>
        <w:t>Os</w:t>
      </w:r>
      <w:r w:rsidRPr="00395593">
        <w:rPr>
          <w:rFonts w:ascii="Garamond" w:hAnsi="Garamond"/>
          <w:spacing w:val="1"/>
          <w:sz w:val="20"/>
        </w:rPr>
        <w:t xml:space="preserve"> </w:t>
      </w:r>
      <w:r w:rsidRPr="00395593">
        <w:rPr>
          <w:rFonts w:ascii="Garamond" w:hAnsi="Garamond"/>
          <w:sz w:val="20"/>
        </w:rPr>
        <w:t>Membros</w:t>
      </w:r>
      <w:r w:rsidRPr="00395593">
        <w:rPr>
          <w:rFonts w:ascii="Garamond" w:hAnsi="Garamond"/>
          <w:spacing w:val="1"/>
          <w:sz w:val="20"/>
        </w:rPr>
        <w:t xml:space="preserve"> </w:t>
      </w:r>
      <w:r w:rsidRPr="00395593">
        <w:rPr>
          <w:rFonts w:ascii="Garamond" w:hAnsi="Garamond"/>
          <w:sz w:val="20"/>
        </w:rPr>
        <w:t>estão</w:t>
      </w:r>
      <w:r w:rsidRPr="00395593">
        <w:rPr>
          <w:rFonts w:ascii="Garamond" w:hAnsi="Garamond"/>
          <w:spacing w:val="2"/>
          <w:sz w:val="20"/>
        </w:rPr>
        <w:t xml:space="preserve"> </w:t>
      </w:r>
      <w:r w:rsidRPr="00395593">
        <w:rPr>
          <w:rFonts w:ascii="Garamond" w:hAnsi="Garamond"/>
          <w:sz w:val="20"/>
        </w:rPr>
        <w:t>conscientes</w:t>
      </w:r>
      <w:r w:rsidRPr="00395593">
        <w:rPr>
          <w:rFonts w:ascii="Garamond" w:hAnsi="Garamond"/>
          <w:spacing w:val="1"/>
          <w:sz w:val="20"/>
        </w:rPr>
        <w:t xml:space="preserve"> </w:t>
      </w:r>
      <w:r w:rsidRPr="00395593">
        <w:rPr>
          <w:rFonts w:ascii="Garamond" w:hAnsi="Garamond"/>
          <w:sz w:val="20"/>
        </w:rPr>
        <w:t>de</w:t>
      </w:r>
      <w:r w:rsidRPr="00395593">
        <w:rPr>
          <w:rFonts w:ascii="Garamond" w:hAnsi="Garamond"/>
          <w:spacing w:val="2"/>
          <w:sz w:val="20"/>
        </w:rPr>
        <w:t xml:space="preserve"> </w:t>
      </w:r>
      <w:r w:rsidRPr="00395593">
        <w:rPr>
          <w:rFonts w:ascii="Garamond" w:hAnsi="Garamond"/>
          <w:sz w:val="20"/>
        </w:rPr>
        <w:t>que</w:t>
      </w:r>
      <w:r w:rsidRPr="00395593">
        <w:rPr>
          <w:rFonts w:ascii="Garamond" w:hAnsi="Garamond"/>
          <w:spacing w:val="4"/>
          <w:sz w:val="20"/>
        </w:rPr>
        <w:t xml:space="preserve"> </w:t>
      </w:r>
      <w:r w:rsidRPr="00395593">
        <w:rPr>
          <w:rFonts w:ascii="Garamond" w:hAnsi="Garamond"/>
          <w:sz w:val="20"/>
        </w:rPr>
        <w:t>no</w:t>
      </w:r>
      <w:r w:rsidRPr="00395593">
        <w:rPr>
          <w:rFonts w:ascii="Garamond" w:hAnsi="Garamond"/>
          <w:spacing w:val="2"/>
          <w:sz w:val="20"/>
        </w:rPr>
        <w:t xml:space="preserve"> </w:t>
      </w:r>
      <w:r w:rsidRPr="00395593">
        <w:rPr>
          <w:rFonts w:ascii="Garamond" w:hAnsi="Garamond"/>
          <w:sz w:val="20"/>
        </w:rPr>
        <w:t>território</w:t>
      </w:r>
      <w:r w:rsidRPr="00395593">
        <w:rPr>
          <w:rFonts w:ascii="Garamond" w:hAnsi="Garamond"/>
          <w:spacing w:val="2"/>
          <w:sz w:val="20"/>
        </w:rPr>
        <w:t xml:space="preserve"> </w:t>
      </w:r>
      <w:r w:rsidRPr="00395593">
        <w:rPr>
          <w:rFonts w:ascii="Garamond" w:hAnsi="Garamond"/>
          <w:sz w:val="20"/>
        </w:rPr>
        <w:t>de</w:t>
      </w:r>
      <w:r w:rsidRPr="00395593">
        <w:rPr>
          <w:rFonts w:ascii="Garamond" w:hAnsi="Garamond"/>
          <w:spacing w:val="2"/>
          <w:sz w:val="20"/>
        </w:rPr>
        <w:t xml:space="preserve"> </w:t>
      </w:r>
      <w:r w:rsidRPr="00395593">
        <w:rPr>
          <w:rFonts w:ascii="Garamond" w:hAnsi="Garamond"/>
          <w:sz w:val="20"/>
        </w:rPr>
        <w:t>certos</w:t>
      </w:r>
      <w:r w:rsidRPr="00395593">
        <w:rPr>
          <w:rFonts w:ascii="Garamond" w:hAnsi="Garamond"/>
          <w:spacing w:val="2"/>
          <w:sz w:val="20"/>
        </w:rPr>
        <w:t xml:space="preserve"> </w:t>
      </w:r>
      <w:r w:rsidRPr="00395593">
        <w:rPr>
          <w:rFonts w:ascii="Garamond" w:hAnsi="Garamond"/>
          <w:sz w:val="20"/>
        </w:rPr>
        <w:t>Membros</w:t>
      </w:r>
      <w:r w:rsidRPr="00395593">
        <w:rPr>
          <w:rFonts w:ascii="Garamond" w:hAnsi="Garamond"/>
          <w:spacing w:val="1"/>
          <w:sz w:val="20"/>
        </w:rPr>
        <w:t xml:space="preserve"> </w:t>
      </w:r>
      <w:r w:rsidRPr="00395593">
        <w:rPr>
          <w:rFonts w:ascii="Garamond" w:hAnsi="Garamond"/>
          <w:sz w:val="20"/>
        </w:rPr>
        <w:t>os</w:t>
      </w:r>
      <w:r w:rsidRPr="00395593">
        <w:rPr>
          <w:rFonts w:ascii="Garamond" w:hAnsi="Garamond"/>
          <w:spacing w:val="1"/>
          <w:sz w:val="20"/>
        </w:rPr>
        <w:t xml:space="preserve"> </w:t>
      </w:r>
      <w:r w:rsidRPr="00395593">
        <w:rPr>
          <w:rFonts w:ascii="Garamond" w:hAnsi="Garamond"/>
          <w:sz w:val="20"/>
        </w:rPr>
        <w:t>empregados</w:t>
      </w:r>
      <w:r w:rsidRPr="00395593">
        <w:rPr>
          <w:rFonts w:ascii="Garamond" w:hAnsi="Garamond"/>
          <w:spacing w:val="1"/>
          <w:sz w:val="20"/>
        </w:rPr>
        <w:t xml:space="preserve"> </w:t>
      </w:r>
      <w:r w:rsidRPr="00395593">
        <w:rPr>
          <w:rFonts w:ascii="Garamond" w:hAnsi="Garamond"/>
          <w:sz w:val="20"/>
        </w:rPr>
        <w:t>da</w:t>
      </w:r>
      <w:r w:rsidRPr="00395593">
        <w:rPr>
          <w:rFonts w:ascii="Garamond" w:hAnsi="Garamond"/>
          <w:spacing w:val="2"/>
          <w:sz w:val="20"/>
        </w:rPr>
        <w:t xml:space="preserve"> </w:t>
      </w:r>
      <w:r w:rsidRPr="00395593">
        <w:rPr>
          <w:rFonts w:ascii="Garamond" w:hAnsi="Garamond"/>
          <w:sz w:val="20"/>
        </w:rPr>
        <w:t>indústria</w:t>
      </w:r>
      <w:r w:rsidRPr="00395593">
        <w:rPr>
          <w:rFonts w:ascii="Garamond" w:hAnsi="Garamond"/>
          <w:spacing w:val="4"/>
          <w:sz w:val="20"/>
        </w:rPr>
        <w:t xml:space="preserve"> </w:t>
      </w:r>
      <w:r w:rsidRPr="00395593">
        <w:rPr>
          <w:rFonts w:ascii="Garamond" w:hAnsi="Garamond"/>
          <w:sz w:val="20"/>
        </w:rPr>
        <w:t>nacional do</w:t>
      </w:r>
      <w:r w:rsidRPr="00395593">
        <w:rPr>
          <w:rFonts w:ascii="Garamond" w:hAnsi="Garamond"/>
          <w:spacing w:val="-2"/>
          <w:sz w:val="20"/>
        </w:rPr>
        <w:t xml:space="preserve"> </w:t>
      </w:r>
      <w:r w:rsidRPr="00395593">
        <w:rPr>
          <w:rFonts w:ascii="Garamond" w:hAnsi="Garamond"/>
          <w:sz w:val="20"/>
        </w:rPr>
        <w:t>similar</w:t>
      </w:r>
      <w:r w:rsidRPr="00395593">
        <w:rPr>
          <w:rFonts w:ascii="Garamond" w:hAnsi="Garamond"/>
          <w:spacing w:val="-2"/>
          <w:sz w:val="20"/>
        </w:rPr>
        <w:t xml:space="preserve"> </w:t>
      </w:r>
      <w:r w:rsidRPr="00395593">
        <w:rPr>
          <w:rFonts w:ascii="Garamond" w:hAnsi="Garamond"/>
          <w:sz w:val="20"/>
        </w:rPr>
        <w:t>em</w:t>
      </w:r>
      <w:r w:rsidRPr="00395593">
        <w:rPr>
          <w:rFonts w:ascii="Garamond" w:hAnsi="Garamond"/>
          <w:spacing w:val="-5"/>
          <w:sz w:val="20"/>
        </w:rPr>
        <w:t xml:space="preserve"> </w:t>
      </w:r>
      <w:r w:rsidRPr="00395593">
        <w:rPr>
          <w:rFonts w:ascii="Garamond" w:hAnsi="Garamond"/>
          <w:sz w:val="20"/>
        </w:rPr>
        <w:t>causa,</w:t>
      </w:r>
      <w:r w:rsidRPr="00395593">
        <w:rPr>
          <w:rFonts w:ascii="Garamond" w:hAnsi="Garamond"/>
          <w:spacing w:val="-1"/>
          <w:sz w:val="20"/>
        </w:rPr>
        <w:t xml:space="preserve"> </w:t>
      </w:r>
      <w:r w:rsidRPr="00395593">
        <w:rPr>
          <w:rFonts w:ascii="Garamond" w:hAnsi="Garamond"/>
          <w:sz w:val="20"/>
        </w:rPr>
        <w:t>ou</w:t>
      </w:r>
      <w:r w:rsidRPr="00395593">
        <w:rPr>
          <w:rFonts w:ascii="Garamond" w:hAnsi="Garamond"/>
          <w:spacing w:val="-1"/>
          <w:sz w:val="20"/>
        </w:rPr>
        <w:t xml:space="preserve"> </w:t>
      </w:r>
      <w:r w:rsidRPr="00395593">
        <w:rPr>
          <w:rFonts w:ascii="Garamond" w:hAnsi="Garamond"/>
          <w:sz w:val="20"/>
        </w:rPr>
        <w:t>seus</w:t>
      </w:r>
      <w:r w:rsidRPr="00395593">
        <w:rPr>
          <w:rFonts w:ascii="Garamond" w:hAnsi="Garamond"/>
          <w:spacing w:val="-3"/>
          <w:sz w:val="20"/>
        </w:rPr>
        <w:t xml:space="preserve"> </w:t>
      </w:r>
      <w:r w:rsidRPr="00395593">
        <w:rPr>
          <w:rFonts w:ascii="Garamond" w:hAnsi="Garamond"/>
          <w:sz w:val="20"/>
        </w:rPr>
        <w:t>representantes,</w:t>
      </w:r>
      <w:r w:rsidRPr="00395593">
        <w:rPr>
          <w:rFonts w:ascii="Garamond" w:hAnsi="Garamond"/>
          <w:spacing w:val="-2"/>
          <w:sz w:val="20"/>
        </w:rPr>
        <w:t xml:space="preserve"> </w:t>
      </w:r>
      <w:r w:rsidRPr="00395593">
        <w:rPr>
          <w:rFonts w:ascii="Garamond" w:hAnsi="Garamond"/>
          <w:sz w:val="20"/>
        </w:rPr>
        <w:t>poderão</w:t>
      </w:r>
      <w:r w:rsidRPr="00395593">
        <w:rPr>
          <w:rFonts w:ascii="Garamond" w:hAnsi="Garamond"/>
          <w:spacing w:val="-1"/>
          <w:sz w:val="20"/>
        </w:rPr>
        <w:t xml:space="preserve"> </w:t>
      </w:r>
      <w:r w:rsidRPr="00395593">
        <w:rPr>
          <w:rFonts w:ascii="Garamond" w:hAnsi="Garamond"/>
          <w:sz w:val="20"/>
        </w:rPr>
        <w:t>fazer</w:t>
      </w:r>
      <w:r w:rsidRPr="00395593">
        <w:rPr>
          <w:rFonts w:ascii="Garamond" w:hAnsi="Garamond"/>
          <w:spacing w:val="-1"/>
          <w:sz w:val="20"/>
        </w:rPr>
        <w:t xml:space="preserve"> </w:t>
      </w:r>
      <w:r w:rsidRPr="00395593">
        <w:rPr>
          <w:rFonts w:ascii="Garamond" w:hAnsi="Garamond"/>
          <w:sz w:val="20"/>
        </w:rPr>
        <w:t>ou</w:t>
      </w:r>
      <w:r w:rsidRPr="00395593">
        <w:rPr>
          <w:rFonts w:ascii="Garamond" w:hAnsi="Garamond"/>
          <w:spacing w:val="-3"/>
          <w:sz w:val="20"/>
        </w:rPr>
        <w:t xml:space="preserve"> </w:t>
      </w:r>
      <w:r w:rsidRPr="00395593">
        <w:rPr>
          <w:rFonts w:ascii="Garamond" w:hAnsi="Garamond"/>
          <w:sz w:val="20"/>
        </w:rPr>
        <w:t>apoiar</w:t>
      </w:r>
      <w:r w:rsidRPr="00395593">
        <w:rPr>
          <w:rFonts w:ascii="Garamond" w:hAnsi="Garamond"/>
          <w:spacing w:val="-1"/>
          <w:sz w:val="20"/>
        </w:rPr>
        <w:t xml:space="preserve"> </w:t>
      </w:r>
      <w:r w:rsidRPr="00395593">
        <w:rPr>
          <w:rFonts w:ascii="Garamond" w:hAnsi="Garamond"/>
          <w:sz w:val="20"/>
        </w:rPr>
        <w:t>uma</w:t>
      </w:r>
      <w:r w:rsidRPr="00395593">
        <w:rPr>
          <w:rFonts w:ascii="Garamond" w:hAnsi="Garamond"/>
          <w:spacing w:val="-2"/>
          <w:sz w:val="20"/>
        </w:rPr>
        <w:t xml:space="preserve"> </w:t>
      </w:r>
      <w:r w:rsidRPr="00395593">
        <w:rPr>
          <w:rFonts w:ascii="Garamond" w:hAnsi="Garamond"/>
          <w:sz w:val="20"/>
        </w:rPr>
        <w:t>petição</w:t>
      </w:r>
      <w:r w:rsidRPr="00395593">
        <w:rPr>
          <w:rFonts w:ascii="Garamond" w:hAnsi="Garamond"/>
          <w:spacing w:val="-2"/>
          <w:sz w:val="20"/>
        </w:rPr>
        <w:t xml:space="preserve"> </w:t>
      </w:r>
      <w:r w:rsidRPr="00395593">
        <w:rPr>
          <w:rFonts w:ascii="Garamond" w:hAnsi="Garamond"/>
          <w:sz w:val="20"/>
        </w:rPr>
        <w:t>de</w:t>
      </w:r>
      <w:r w:rsidRPr="00395593">
        <w:rPr>
          <w:rFonts w:ascii="Garamond" w:hAnsi="Garamond"/>
          <w:spacing w:val="-2"/>
          <w:sz w:val="20"/>
        </w:rPr>
        <w:t xml:space="preserve"> </w:t>
      </w:r>
      <w:r w:rsidRPr="00395593">
        <w:rPr>
          <w:rFonts w:ascii="Garamond" w:hAnsi="Garamond"/>
          <w:sz w:val="20"/>
        </w:rPr>
        <w:t>investigação</w:t>
      </w:r>
      <w:r w:rsidRPr="00395593">
        <w:rPr>
          <w:rFonts w:ascii="Garamond" w:hAnsi="Garamond"/>
          <w:spacing w:val="-1"/>
          <w:sz w:val="20"/>
        </w:rPr>
        <w:t xml:space="preserve"> </w:t>
      </w:r>
      <w:r w:rsidRPr="00395593">
        <w:rPr>
          <w:rFonts w:ascii="Garamond" w:hAnsi="Garamond"/>
          <w:sz w:val="20"/>
        </w:rPr>
        <w:t>ao</w:t>
      </w:r>
      <w:r w:rsidRPr="00395593">
        <w:rPr>
          <w:rFonts w:ascii="Garamond" w:hAnsi="Garamond"/>
          <w:spacing w:val="-1"/>
          <w:sz w:val="20"/>
        </w:rPr>
        <w:t xml:space="preserve"> </w:t>
      </w:r>
      <w:r w:rsidRPr="00395593">
        <w:rPr>
          <w:rFonts w:ascii="Garamond" w:hAnsi="Garamond"/>
          <w:sz w:val="20"/>
        </w:rPr>
        <w:t>abrigo</w:t>
      </w:r>
      <w:r w:rsidRPr="00395593">
        <w:rPr>
          <w:rFonts w:ascii="Garamond" w:hAnsi="Garamond"/>
          <w:spacing w:val="-1"/>
          <w:sz w:val="20"/>
        </w:rPr>
        <w:t xml:space="preserve"> </w:t>
      </w:r>
      <w:r w:rsidRPr="00395593">
        <w:rPr>
          <w:rFonts w:ascii="Garamond" w:hAnsi="Garamond"/>
          <w:sz w:val="20"/>
        </w:rPr>
        <w:t>do</w:t>
      </w:r>
      <w:r w:rsidRPr="00395593">
        <w:rPr>
          <w:rFonts w:ascii="Garamond" w:hAnsi="Garamond"/>
          <w:spacing w:val="-47"/>
          <w:sz w:val="20"/>
        </w:rPr>
        <w:t xml:space="preserve"> </w:t>
      </w:r>
      <w:r w:rsidRPr="00395593">
        <w:rPr>
          <w:rFonts w:ascii="Garamond" w:hAnsi="Garamond"/>
          <w:sz w:val="20"/>
        </w:rPr>
        <w:t>parágrafo 1.</w:t>
      </w:r>
    </w:p>
    <w:p w14:paraId="6E7F3EA7" w14:textId="47B35463" w:rsidR="007815AA" w:rsidRDefault="007815AA">
      <w:pPr>
        <w:rPr>
          <w:rFonts w:ascii="Garamond" w:eastAsia="Times New Roman" w:hAnsi="Garamond" w:cs="Times New Roman"/>
          <w:sz w:val="20"/>
          <w:szCs w:val="24"/>
        </w:rPr>
      </w:pPr>
      <w:r>
        <w:rPr>
          <w:rFonts w:ascii="Garamond" w:hAnsi="Garamond"/>
          <w:sz w:val="20"/>
        </w:rPr>
        <w:br w:type="page"/>
      </w:r>
    </w:p>
    <w:p w14:paraId="256A9B4A" w14:textId="77777777" w:rsidR="0013285C" w:rsidRPr="00395593" w:rsidRDefault="0013285C" w:rsidP="002C4340">
      <w:pPr>
        <w:pStyle w:val="PargrafodaLista"/>
        <w:widowControl w:val="0"/>
        <w:numPr>
          <w:ilvl w:val="0"/>
          <w:numId w:val="21"/>
        </w:numPr>
        <w:tabs>
          <w:tab w:val="left" w:pos="810"/>
        </w:tabs>
        <w:autoSpaceDE w:val="0"/>
        <w:autoSpaceDN w:val="0"/>
        <w:spacing w:before="68" w:after="0" w:line="240" w:lineRule="auto"/>
        <w:ind w:right="114" w:firstLine="0"/>
        <w:contextualSpacing w:val="0"/>
        <w:jc w:val="both"/>
        <w:rPr>
          <w:rFonts w:ascii="Garamond" w:hAnsi="Garamond"/>
          <w:sz w:val="24"/>
        </w:rPr>
      </w:pPr>
      <w:r w:rsidRPr="00395593">
        <w:rPr>
          <w:rFonts w:ascii="Garamond" w:hAnsi="Garamond"/>
          <w:sz w:val="24"/>
        </w:rPr>
        <w:t>Deverá ser rejeitada a petição que se faça sob a égide do parágrafo 1 e deverá ser</w:t>
      </w:r>
      <w:r w:rsidRPr="00395593">
        <w:rPr>
          <w:rFonts w:ascii="Garamond" w:hAnsi="Garamond"/>
          <w:spacing w:val="1"/>
          <w:sz w:val="24"/>
        </w:rPr>
        <w:t xml:space="preserve"> </w:t>
      </w:r>
      <w:r w:rsidRPr="00395593">
        <w:rPr>
          <w:rFonts w:ascii="Garamond" w:hAnsi="Garamond"/>
          <w:sz w:val="24"/>
        </w:rPr>
        <w:t>imediatamente encerrada a investigação, sempre que as autoridades responsáveis estejam</w:t>
      </w:r>
      <w:r w:rsidRPr="00395593">
        <w:rPr>
          <w:rFonts w:ascii="Garamond" w:hAnsi="Garamond"/>
          <w:spacing w:val="1"/>
          <w:sz w:val="24"/>
        </w:rPr>
        <w:t xml:space="preserve"> </w:t>
      </w:r>
      <w:r w:rsidRPr="00395593">
        <w:rPr>
          <w:rFonts w:ascii="Garamond" w:hAnsi="Garamond"/>
          <w:sz w:val="24"/>
        </w:rPr>
        <w:t xml:space="preserve">convencidas de que não há suficiente comprovação quer de </w:t>
      </w:r>
      <w:r w:rsidRPr="00395593">
        <w:rPr>
          <w:rFonts w:ascii="Garamond" w:hAnsi="Garamond"/>
          <w:i/>
          <w:sz w:val="24"/>
        </w:rPr>
        <w:t xml:space="preserve">dumping </w:t>
      </w:r>
      <w:r w:rsidRPr="00395593">
        <w:rPr>
          <w:rFonts w:ascii="Garamond" w:hAnsi="Garamond"/>
          <w:sz w:val="24"/>
        </w:rPr>
        <w:t>quer de dano que</w:t>
      </w:r>
      <w:r w:rsidRPr="00395593">
        <w:rPr>
          <w:rFonts w:ascii="Garamond" w:hAnsi="Garamond"/>
          <w:spacing w:val="1"/>
          <w:sz w:val="24"/>
        </w:rPr>
        <w:t xml:space="preserve"> </w:t>
      </w:r>
      <w:r w:rsidRPr="00395593">
        <w:rPr>
          <w:rFonts w:ascii="Garamond" w:hAnsi="Garamond"/>
          <w:sz w:val="24"/>
        </w:rPr>
        <w:t>justifique prosseguimento do caso. Deverá ocorrer imediato encerramento da investigação</w:t>
      </w:r>
      <w:r w:rsidRPr="00395593">
        <w:rPr>
          <w:rFonts w:ascii="Garamond" w:hAnsi="Garamond"/>
          <w:spacing w:val="1"/>
          <w:sz w:val="24"/>
        </w:rPr>
        <w:t xml:space="preserve"> </w:t>
      </w:r>
      <w:r w:rsidRPr="00395593">
        <w:rPr>
          <w:rFonts w:ascii="Garamond" w:hAnsi="Garamond"/>
          <w:sz w:val="24"/>
        </w:rPr>
        <w:t xml:space="preserve">naqueles casos em que as autoridades determinem que a em de </w:t>
      </w:r>
      <w:r w:rsidRPr="00395593">
        <w:rPr>
          <w:rFonts w:ascii="Garamond" w:hAnsi="Garamond"/>
          <w:i/>
          <w:sz w:val="24"/>
        </w:rPr>
        <w:t xml:space="preserve">dumping </w:t>
      </w:r>
      <w:r w:rsidRPr="00395593">
        <w:rPr>
          <w:rFonts w:ascii="Garamond" w:hAnsi="Garamond"/>
          <w:sz w:val="24"/>
        </w:rPr>
        <w:t xml:space="preserve">é </w:t>
      </w:r>
      <w:r w:rsidRPr="00395593">
        <w:rPr>
          <w:rFonts w:ascii="Garamond" w:hAnsi="Garamond"/>
          <w:i/>
          <w:sz w:val="24"/>
        </w:rPr>
        <w:t>de minimis</w:t>
      </w:r>
      <w:r w:rsidRPr="00395593">
        <w:rPr>
          <w:rFonts w:ascii="Garamond" w:hAnsi="Garamond"/>
          <w:sz w:val="24"/>
        </w:rPr>
        <w:t>, ou</w:t>
      </w:r>
      <w:r w:rsidRPr="00395593">
        <w:rPr>
          <w:rFonts w:ascii="Garamond" w:hAnsi="Garamond"/>
          <w:spacing w:val="1"/>
          <w:sz w:val="24"/>
        </w:rPr>
        <w:t xml:space="preserve"> </w:t>
      </w:r>
      <w:r w:rsidRPr="00395593">
        <w:rPr>
          <w:rFonts w:ascii="Garamond" w:hAnsi="Garamond"/>
          <w:sz w:val="24"/>
        </w:rPr>
        <w:t xml:space="preserve">que o volume de importações a preços de </w:t>
      </w:r>
      <w:r w:rsidRPr="00395593">
        <w:rPr>
          <w:rFonts w:ascii="Garamond" w:hAnsi="Garamond"/>
          <w:i/>
          <w:sz w:val="24"/>
        </w:rPr>
        <w:t xml:space="preserve">dumping </w:t>
      </w:r>
      <w:r w:rsidRPr="00395593">
        <w:rPr>
          <w:rFonts w:ascii="Garamond" w:hAnsi="Garamond"/>
          <w:sz w:val="24"/>
        </w:rPr>
        <w:t>real ou potencial, ou o dano causado, é</w:t>
      </w:r>
      <w:r w:rsidRPr="00395593">
        <w:rPr>
          <w:rFonts w:ascii="Garamond" w:hAnsi="Garamond"/>
          <w:spacing w:val="1"/>
          <w:sz w:val="24"/>
        </w:rPr>
        <w:t xml:space="preserve"> </w:t>
      </w:r>
      <w:r w:rsidRPr="00395593">
        <w:rPr>
          <w:rFonts w:ascii="Garamond" w:hAnsi="Garamond"/>
          <w:sz w:val="24"/>
        </w:rPr>
        <w:t xml:space="preserve">desprezível. A margem de </w:t>
      </w:r>
      <w:r w:rsidRPr="00395593">
        <w:rPr>
          <w:rFonts w:ascii="Garamond" w:hAnsi="Garamond"/>
          <w:i/>
          <w:sz w:val="24"/>
        </w:rPr>
        <w:t xml:space="preserve">dumping </w:t>
      </w:r>
      <w:r w:rsidRPr="00395593">
        <w:rPr>
          <w:rFonts w:ascii="Garamond" w:hAnsi="Garamond"/>
          <w:sz w:val="24"/>
        </w:rPr>
        <w:t xml:space="preserve">deverá ser considerada como </w:t>
      </w:r>
      <w:r w:rsidRPr="00395593">
        <w:rPr>
          <w:rFonts w:ascii="Garamond" w:hAnsi="Garamond"/>
          <w:i/>
          <w:sz w:val="24"/>
        </w:rPr>
        <w:t xml:space="preserve">de minimis </w:t>
      </w:r>
      <w:r w:rsidRPr="00395593">
        <w:rPr>
          <w:rFonts w:ascii="Garamond" w:hAnsi="Garamond"/>
          <w:sz w:val="24"/>
        </w:rPr>
        <w:t>quando for</w:t>
      </w:r>
      <w:r w:rsidRPr="00395593">
        <w:rPr>
          <w:rFonts w:ascii="Garamond" w:hAnsi="Garamond"/>
          <w:spacing w:val="1"/>
          <w:sz w:val="24"/>
        </w:rPr>
        <w:t xml:space="preserve"> </w:t>
      </w:r>
      <w:r w:rsidRPr="00395593">
        <w:rPr>
          <w:rFonts w:ascii="Garamond" w:hAnsi="Garamond"/>
          <w:sz w:val="24"/>
        </w:rPr>
        <w:t>inferior a 2 por cento, calculados sobre o preço de exportação. O volume de importações a</w:t>
      </w:r>
      <w:r w:rsidRPr="00395593">
        <w:rPr>
          <w:rFonts w:ascii="Garamond" w:hAnsi="Garamond"/>
          <w:spacing w:val="1"/>
          <w:sz w:val="24"/>
        </w:rPr>
        <w:t xml:space="preserve"> </w:t>
      </w:r>
      <w:r w:rsidRPr="00395593">
        <w:rPr>
          <w:rFonts w:ascii="Garamond" w:hAnsi="Garamond"/>
          <w:sz w:val="24"/>
        </w:rPr>
        <w:t>preços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i/>
          <w:sz w:val="24"/>
        </w:rPr>
        <w:t>dumping</w:t>
      </w:r>
      <w:r w:rsidRPr="00395593">
        <w:rPr>
          <w:rFonts w:ascii="Garamond" w:hAnsi="Garamond"/>
          <w:i/>
          <w:spacing w:val="1"/>
          <w:sz w:val="24"/>
        </w:rPr>
        <w:t xml:space="preserve"> </w:t>
      </w:r>
      <w:r w:rsidRPr="00395593">
        <w:rPr>
          <w:rFonts w:ascii="Garamond" w:hAnsi="Garamond"/>
          <w:sz w:val="24"/>
        </w:rPr>
        <w:t>deverá</w:t>
      </w:r>
      <w:r w:rsidRPr="00395593">
        <w:rPr>
          <w:rFonts w:ascii="Garamond" w:hAnsi="Garamond"/>
          <w:spacing w:val="1"/>
          <w:sz w:val="24"/>
        </w:rPr>
        <w:t xml:space="preserve"> </w:t>
      </w:r>
      <w:r w:rsidRPr="00395593">
        <w:rPr>
          <w:rFonts w:ascii="Garamond" w:hAnsi="Garamond"/>
          <w:sz w:val="24"/>
        </w:rPr>
        <w:t>ser</w:t>
      </w:r>
      <w:r w:rsidRPr="00395593">
        <w:rPr>
          <w:rFonts w:ascii="Garamond" w:hAnsi="Garamond"/>
          <w:spacing w:val="1"/>
          <w:sz w:val="24"/>
        </w:rPr>
        <w:t xml:space="preserve"> </w:t>
      </w:r>
      <w:r w:rsidRPr="00395593">
        <w:rPr>
          <w:rFonts w:ascii="Garamond" w:hAnsi="Garamond"/>
          <w:sz w:val="24"/>
        </w:rPr>
        <w:t>habitualmente</w:t>
      </w:r>
      <w:r w:rsidRPr="00395593">
        <w:rPr>
          <w:rFonts w:ascii="Garamond" w:hAnsi="Garamond"/>
          <w:spacing w:val="1"/>
          <w:sz w:val="24"/>
        </w:rPr>
        <w:t xml:space="preserve"> </w:t>
      </w:r>
      <w:r w:rsidRPr="00395593">
        <w:rPr>
          <w:rFonts w:ascii="Garamond" w:hAnsi="Garamond"/>
          <w:sz w:val="24"/>
        </w:rPr>
        <w:t>considerado</w:t>
      </w:r>
      <w:r w:rsidRPr="00395593">
        <w:rPr>
          <w:rFonts w:ascii="Garamond" w:hAnsi="Garamond"/>
          <w:spacing w:val="1"/>
          <w:sz w:val="24"/>
        </w:rPr>
        <w:t xml:space="preserve"> </w:t>
      </w:r>
      <w:r w:rsidRPr="00395593">
        <w:rPr>
          <w:rFonts w:ascii="Garamond" w:hAnsi="Garamond"/>
          <w:sz w:val="24"/>
        </w:rPr>
        <w:t>como</w:t>
      </w:r>
      <w:r w:rsidRPr="00395593">
        <w:rPr>
          <w:rFonts w:ascii="Garamond" w:hAnsi="Garamond"/>
          <w:spacing w:val="1"/>
          <w:sz w:val="24"/>
        </w:rPr>
        <w:t xml:space="preserve"> </w:t>
      </w:r>
      <w:r w:rsidRPr="00395593">
        <w:rPr>
          <w:rFonts w:ascii="Garamond" w:hAnsi="Garamond"/>
          <w:sz w:val="24"/>
        </w:rPr>
        <w:t>desprezível</w:t>
      </w:r>
      <w:r w:rsidRPr="00395593">
        <w:rPr>
          <w:rFonts w:ascii="Garamond" w:hAnsi="Garamond"/>
          <w:spacing w:val="1"/>
          <w:sz w:val="24"/>
        </w:rPr>
        <w:t xml:space="preserve"> </w:t>
      </w:r>
      <w:r w:rsidRPr="00395593">
        <w:rPr>
          <w:rFonts w:ascii="Garamond" w:hAnsi="Garamond"/>
          <w:sz w:val="24"/>
        </w:rPr>
        <w:t>caso</w:t>
      </w:r>
      <w:r w:rsidRPr="00395593">
        <w:rPr>
          <w:rFonts w:ascii="Garamond" w:hAnsi="Garamond"/>
          <w:spacing w:val="60"/>
          <w:sz w:val="24"/>
        </w:rPr>
        <w:t xml:space="preserve"> </w:t>
      </w:r>
      <w:r w:rsidRPr="00395593">
        <w:rPr>
          <w:rFonts w:ascii="Garamond" w:hAnsi="Garamond"/>
          <w:sz w:val="24"/>
        </w:rPr>
        <w:t>tal</w:t>
      </w:r>
      <w:r w:rsidRPr="00395593">
        <w:rPr>
          <w:rFonts w:ascii="Garamond" w:hAnsi="Garamond"/>
          <w:spacing w:val="1"/>
          <w:sz w:val="24"/>
        </w:rPr>
        <w:t xml:space="preserve"> </w:t>
      </w:r>
      <w:r w:rsidRPr="00395593">
        <w:rPr>
          <w:rFonts w:ascii="Garamond" w:hAnsi="Garamond"/>
          <w:sz w:val="24"/>
        </w:rPr>
        <w:t>volume, proveniente de um determinado país seja considerado como responsável por menos</w:t>
      </w:r>
      <w:r w:rsidRPr="00395593">
        <w:rPr>
          <w:rFonts w:ascii="Garamond" w:hAnsi="Garamond"/>
          <w:spacing w:val="-57"/>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3</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cento</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importações</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similar</w:t>
      </w:r>
      <w:r w:rsidRPr="00395593">
        <w:rPr>
          <w:rFonts w:ascii="Garamond" w:hAnsi="Garamond"/>
          <w:spacing w:val="1"/>
          <w:sz w:val="24"/>
        </w:rPr>
        <w:t xml:space="preserve"> </w:t>
      </w:r>
      <w:r w:rsidRPr="00395593">
        <w:rPr>
          <w:rFonts w:ascii="Garamond" w:hAnsi="Garamond"/>
          <w:sz w:val="24"/>
        </w:rPr>
        <w:t>pelo</w:t>
      </w:r>
      <w:r w:rsidRPr="00395593">
        <w:rPr>
          <w:rFonts w:ascii="Garamond" w:hAnsi="Garamond"/>
          <w:spacing w:val="1"/>
          <w:sz w:val="24"/>
        </w:rPr>
        <w:t xml:space="preserve"> </w:t>
      </w:r>
      <w:r w:rsidRPr="00395593">
        <w:rPr>
          <w:rFonts w:ascii="Garamond" w:hAnsi="Garamond"/>
          <w:sz w:val="24"/>
        </w:rPr>
        <w:t>Membro</w:t>
      </w:r>
      <w:r w:rsidRPr="00395593">
        <w:rPr>
          <w:rFonts w:ascii="Garamond" w:hAnsi="Garamond"/>
          <w:spacing w:val="1"/>
          <w:sz w:val="24"/>
        </w:rPr>
        <w:t xml:space="preserve"> </w:t>
      </w:r>
      <w:r w:rsidRPr="00395593">
        <w:rPr>
          <w:rFonts w:ascii="Garamond" w:hAnsi="Garamond"/>
          <w:sz w:val="24"/>
        </w:rPr>
        <w:t>importador,</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menos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60"/>
          <w:sz w:val="24"/>
        </w:rPr>
        <w:t xml:space="preserve"> </w:t>
      </w:r>
      <w:r w:rsidRPr="00395593">
        <w:rPr>
          <w:rFonts w:ascii="Garamond" w:hAnsi="Garamond"/>
          <w:sz w:val="24"/>
        </w:rPr>
        <w:t>o</w:t>
      </w:r>
      <w:r w:rsidRPr="00395593">
        <w:rPr>
          <w:rFonts w:ascii="Garamond" w:hAnsi="Garamond"/>
          <w:spacing w:val="-57"/>
          <w:sz w:val="24"/>
        </w:rPr>
        <w:t xml:space="preserve"> </w:t>
      </w:r>
      <w:r w:rsidRPr="00395593">
        <w:rPr>
          <w:rFonts w:ascii="Garamond" w:hAnsi="Garamond"/>
          <w:sz w:val="24"/>
        </w:rPr>
        <w:t>conjunto de países que, tomados individualmente, representem cada um menos de 3 por</w:t>
      </w:r>
      <w:r w:rsidRPr="00395593">
        <w:rPr>
          <w:rFonts w:ascii="Garamond" w:hAnsi="Garamond"/>
          <w:spacing w:val="1"/>
          <w:sz w:val="24"/>
        </w:rPr>
        <w:t xml:space="preserve"> </w:t>
      </w:r>
      <w:r w:rsidRPr="00395593">
        <w:rPr>
          <w:rFonts w:ascii="Garamond" w:hAnsi="Garamond"/>
          <w:sz w:val="24"/>
        </w:rPr>
        <w:t>cento</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importações</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similar</w:t>
      </w:r>
      <w:r w:rsidRPr="00395593">
        <w:rPr>
          <w:rFonts w:ascii="Garamond" w:hAnsi="Garamond"/>
          <w:spacing w:val="1"/>
          <w:sz w:val="24"/>
        </w:rPr>
        <w:t xml:space="preserve"> </w:t>
      </w:r>
      <w:r w:rsidRPr="00395593">
        <w:rPr>
          <w:rFonts w:ascii="Garamond" w:hAnsi="Garamond"/>
          <w:sz w:val="24"/>
        </w:rPr>
        <w:t>pelo</w:t>
      </w:r>
      <w:r w:rsidRPr="00395593">
        <w:rPr>
          <w:rFonts w:ascii="Garamond" w:hAnsi="Garamond"/>
          <w:spacing w:val="1"/>
          <w:sz w:val="24"/>
        </w:rPr>
        <w:t xml:space="preserve"> </w:t>
      </w:r>
      <w:r w:rsidRPr="00395593">
        <w:rPr>
          <w:rFonts w:ascii="Garamond" w:hAnsi="Garamond"/>
          <w:sz w:val="24"/>
        </w:rPr>
        <w:t>Membro</w:t>
      </w:r>
      <w:r w:rsidRPr="00395593">
        <w:rPr>
          <w:rFonts w:ascii="Garamond" w:hAnsi="Garamond"/>
          <w:spacing w:val="1"/>
          <w:sz w:val="24"/>
        </w:rPr>
        <w:t xml:space="preserve"> </w:t>
      </w:r>
      <w:r w:rsidRPr="00395593">
        <w:rPr>
          <w:rFonts w:ascii="Garamond" w:hAnsi="Garamond"/>
          <w:sz w:val="24"/>
        </w:rPr>
        <w:t>importador,</w:t>
      </w:r>
      <w:r w:rsidRPr="00395593">
        <w:rPr>
          <w:rFonts w:ascii="Garamond" w:hAnsi="Garamond"/>
          <w:spacing w:val="1"/>
          <w:sz w:val="24"/>
        </w:rPr>
        <w:t xml:space="preserve"> </w:t>
      </w:r>
      <w:r w:rsidRPr="00395593">
        <w:rPr>
          <w:rFonts w:ascii="Garamond" w:hAnsi="Garamond"/>
          <w:sz w:val="24"/>
        </w:rPr>
        <w:t>atinja,</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tomado</w:t>
      </w:r>
      <w:r w:rsidRPr="00395593">
        <w:rPr>
          <w:rFonts w:ascii="Garamond" w:hAnsi="Garamond"/>
          <w:spacing w:val="1"/>
          <w:sz w:val="24"/>
        </w:rPr>
        <w:t xml:space="preserve"> </w:t>
      </w:r>
      <w:r w:rsidRPr="00395593">
        <w:rPr>
          <w:rFonts w:ascii="Garamond" w:hAnsi="Garamond"/>
          <w:sz w:val="24"/>
        </w:rPr>
        <w:t>agregadamente,</w:t>
      </w:r>
      <w:r w:rsidRPr="00395593">
        <w:rPr>
          <w:rFonts w:ascii="Garamond" w:hAnsi="Garamond"/>
          <w:spacing w:val="-1"/>
          <w:sz w:val="24"/>
        </w:rPr>
        <w:t xml:space="preserve"> </w:t>
      </w:r>
      <w:r w:rsidRPr="00395593">
        <w:rPr>
          <w:rFonts w:ascii="Garamond" w:hAnsi="Garamond"/>
          <w:sz w:val="24"/>
        </w:rPr>
        <w:t>mais de 7 por</w:t>
      </w:r>
      <w:r w:rsidRPr="00395593">
        <w:rPr>
          <w:rFonts w:ascii="Garamond" w:hAnsi="Garamond"/>
          <w:spacing w:val="-2"/>
          <w:sz w:val="24"/>
        </w:rPr>
        <w:t xml:space="preserve"> </w:t>
      </w:r>
      <w:r w:rsidRPr="00395593">
        <w:rPr>
          <w:rFonts w:ascii="Garamond" w:hAnsi="Garamond"/>
          <w:sz w:val="24"/>
        </w:rPr>
        <w:t>cento das</w:t>
      </w:r>
      <w:r w:rsidRPr="00395593">
        <w:rPr>
          <w:rFonts w:ascii="Garamond" w:hAnsi="Garamond"/>
          <w:spacing w:val="-1"/>
          <w:sz w:val="24"/>
        </w:rPr>
        <w:t xml:space="preserve"> </w:t>
      </w:r>
      <w:r w:rsidRPr="00395593">
        <w:rPr>
          <w:rFonts w:ascii="Garamond" w:hAnsi="Garamond"/>
          <w:sz w:val="24"/>
        </w:rPr>
        <w:t>importações do</w:t>
      </w:r>
      <w:r w:rsidRPr="00395593">
        <w:rPr>
          <w:rFonts w:ascii="Garamond" w:hAnsi="Garamond"/>
          <w:spacing w:val="-1"/>
          <w:sz w:val="24"/>
        </w:rPr>
        <w:t xml:space="preserve"> </w:t>
      </w:r>
      <w:r w:rsidRPr="00395593">
        <w:rPr>
          <w:rFonts w:ascii="Garamond" w:hAnsi="Garamond"/>
          <w:sz w:val="24"/>
        </w:rPr>
        <w:t>similar</w:t>
      </w:r>
      <w:r w:rsidRPr="00395593">
        <w:rPr>
          <w:rFonts w:ascii="Garamond" w:hAnsi="Garamond"/>
          <w:spacing w:val="-2"/>
          <w:sz w:val="24"/>
        </w:rPr>
        <w:t xml:space="preserve"> </w:t>
      </w:r>
      <w:r w:rsidRPr="00395593">
        <w:rPr>
          <w:rFonts w:ascii="Garamond" w:hAnsi="Garamond"/>
          <w:sz w:val="24"/>
        </w:rPr>
        <w:t>pelo</w:t>
      </w:r>
      <w:r w:rsidRPr="00395593">
        <w:rPr>
          <w:rFonts w:ascii="Garamond" w:hAnsi="Garamond"/>
          <w:spacing w:val="-1"/>
          <w:sz w:val="24"/>
        </w:rPr>
        <w:t xml:space="preserve"> </w:t>
      </w:r>
      <w:r w:rsidRPr="00395593">
        <w:rPr>
          <w:rFonts w:ascii="Garamond" w:hAnsi="Garamond"/>
          <w:sz w:val="24"/>
        </w:rPr>
        <w:t>Membro importador.</w:t>
      </w:r>
    </w:p>
    <w:p w14:paraId="05D42101" w14:textId="77777777" w:rsidR="0013285C" w:rsidRPr="00395593" w:rsidRDefault="0013285C" w:rsidP="0013285C">
      <w:pPr>
        <w:pStyle w:val="Corpodetexto"/>
        <w:spacing w:before="1"/>
        <w:rPr>
          <w:rFonts w:ascii="Garamond" w:hAnsi="Garamond"/>
        </w:rPr>
      </w:pPr>
    </w:p>
    <w:p w14:paraId="3602E2E7" w14:textId="77777777" w:rsidR="0013285C" w:rsidRPr="00395593" w:rsidRDefault="0013285C" w:rsidP="002C4340">
      <w:pPr>
        <w:pStyle w:val="PargrafodaLista"/>
        <w:widowControl w:val="0"/>
        <w:numPr>
          <w:ilvl w:val="0"/>
          <w:numId w:val="21"/>
        </w:numPr>
        <w:tabs>
          <w:tab w:val="left" w:pos="810"/>
        </w:tabs>
        <w:autoSpaceDE w:val="0"/>
        <w:autoSpaceDN w:val="0"/>
        <w:spacing w:after="0" w:line="240" w:lineRule="auto"/>
        <w:ind w:right="118" w:firstLine="0"/>
        <w:contextualSpacing w:val="0"/>
        <w:jc w:val="both"/>
        <w:rPr>
          <w:rFonts w:ascii="Garamond" w:hAnsi="Garamond"/>
          <w:sz w:val="24"/>
        </w:rPr>
      </w:pPr>
      <w:r w:rsidRPr="00395593">
        <w:rPr>
          <w:rFonts w:ascii="Garamond" w:hAnsi="Garamond"/>
          <w:sz w:val="24"/>
        </w:rPr>
        <w:t>Investigações anti-</w:t>
      </w:r>
      <w:r w:rsidRPr="00395593">
        <w:rPr>
          <w:rFonts w:ascii="Garamond" w:hAnsi="Garamond"/>
          <w:i/>
          <w:sz w:val="24"/>
        </w:rPr>
        <w:t xml:space="preserve">dumping </w:t>
      </w:r>
      <w:r w:rsidRPr="00395593">
        <w:rPr>
          <w:rFonts w:ascii="Garamond" w:hAnsi="Garamond"/>
          <w:sz w:val="24"/>
        </w:rPr>
        <w:t>não deverão constituir entrave aos procedimentos de</w:t>
      </w:r>
      <w:r w:rsidRPr="00395593">
        <w:rPr>
          <w:rFonts w:ascii="Garamond" w:hAnsi="Garamond"/>
          <w:spacing w:val="1"/>
          <w:sz w:val="24"/>
        </w:rPr>
        <w:t xml:space="preserve"> </w:t>
      </w:r>
      <w:r w:rsidRPr="00395593">
        <w:rPr>
          <w:rFonts w:ascii="Garamond" w:hAnsi="Garamond"/>
          <w:sz w:val="24"/>
        </w:rPr>
        <w:t>liberação</w:t>
      </w:r>
      <w:r w:rsidRPr="00395593">
        <w:rPr>
          <w:rFonts w:ascii="Garamond" w:hAnsi="Garamond"/>
          <w:spacing w:val="1"/>
          <w:sz w:val="24"/>
        </w:rPr>
        <w:t xml:space="preserve"> </w:t>
      </w:r>
      <w:r w:rsidRPr="00395593">
        <w:rPr>
          <w:rFonts w:ascii="Garamond" w:hAnsi="Garamond"/>
          <w:sz w:val="24"/>
        </w:rPr>
        <w:t>alfandegária.</w:t>
      </w:r>
    </w:p>
    <w:p w14:paraId="27C792F5" w14:textId="77777777" w:rsidR="0013285C" w:rsidRPr="00395593" w:rsidRDefault="0013285C" w:rsidP="0013285C">
      <w:pPr>
        <w:pStyle w:val="Corpodetexto"/>
        <w:rPr>
          <w:rFonts w:ascii="Garamond" w:hAnsi="Garamond"/>
        </w:rPr>
      </w:pPr>
    </w:p>
    <w:p w14:paraId="2E5D8F15" w14:textId="77777777" w:rsidR="0013285C" w:rsidRPr="00395593" w:rsidRDefault="0013285C" w:rsidP="002C4340">
      <w:pPr>
        <w:pStyle w:val="PargrafodaLista"/>
        <w:widowControl w:val="0"/>
        <w:numPr>
          <w:ilvl w:val="0"/>
          <w:numId w:val="21"/>
        </w:numPr>
        <w:tabs>
          <w:tab w:val="left" w:pos="810"/>
        </w:tabs>
        <w:autoSpaceDE w:val="0"/>
        <w:autoSpaceDN w:val="0"/>
        <w:spacing w:after="0" w:line="240" w:lineRule="auto"/>
        <w:ind w:right="122" w:firstLine="0"/>
        <w:contextualSpacing w:val="0"/>
        <w:jc w:val="both"/>
        <w:rPr>
          <w:rFonts w:ascii="Garamond" w:hAnsi="Garamond"/>
          <w:sz w:val="24"/>
        </w:rPr>
      </w:pPr>
      <w:r w:rsidRPr="00395593">
        <w:rPr>
          <w:rFonts w:ascii="Garamond" w:hAnsi="Garamond"/>
          <w:sz w:val="24"/>
        </w:rPr>
        <w:t>As investigações, exceto em circunstâncias especiais, deverão ser concluídas no</w:t>
      </w:r>
      <w:r w:rsidRPr="00395593">
        <w:rPr>
          <w:rFonts w:ascii="Garamond" w:hAnsi="Garamond"/>
          <w:spacing w:val="1"/>
          <w:sz w:val="24"/>
        </w:rPr>
        <w:t xml:space="preserve"> </w:t>
      </w:r>
      <w:r w:rsidRPr="00395593">
        <w:rPr>
          <w:rFonts w:ascii="Garamond" w:hAnsi="Garamond"/>
          <w:sz w:val="24"/>
        </w:rPr>
        <w:t>prazo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um ano após seu inicio,</w:t>
      </w:r>
      <w:r w:rsidRPr="00395593">
        <w:rPr>
          <w:rFonts w:ascii="Garamond" w:hAnsi="Garamond"/>
          <w:spacing w:val="-1"/>
          <w:sz w:val="24"/>
        </w:rPr>
        <w:t xml:space="preserve"> </w:t>
      </w:r>
      <w:r w:rsidRPr="00395593">
        <w:rPr>
          <w:rFonts w:ascii="Garamond" w:hAnsi="Garamond"/>
          <w:sz w:val="24"/>
        </w:rPr>
        <w:t>e nunca</w:t>
      </w:r>
      <w:r w:rsidRPr="00395593">
        <w:rPr>
          <w:rFonts w:ascii="Garamond" w:hAnsi="Garamond"/>
          <w:spacing w:val="-1"/>
          <w:sz w:val="24"/>
        </w:rPr>
        <w:t xml:space="preserve"> </w:t>
      </w:r>
      <w:r w:rsidRPr="00395593">
        <w:rPr>
          <w:rFonts w:ascii="Garamond" w:hAnsi="Garamond"/>
          <w:sz w:val="24"/>
        </w:rPr>
        <w:t>em mais</w:t>
      </w:r>
      <w:r w:rsidRPr="00395593">
        <w:rPr>
          <w:rFonts w:ascii="Garamond" w:hAnsi="Garamond"/>
          <w:spacing w:val="2"/>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18</w:t>
      </w:r>
      <w:r w:rsidRPr="00395593">
        <w:rPr>
          <w:rFonts w:ascii="Garamond" w:hAnsi="Garamond"/>
          <w:spacing w:val="-1"/>
          <w:sz w:val="24"/>
        </w:rPr>
        <w:t xml:space="preserve"> </w:t>
      </w:r>
      <w:r w:rsidRPr="00395593">
        <w:rPr>
          <w:rFonts w:ascii="Garamond" w:hAnsi="Garamond"/>
          <w:sz w:val="24"/>
        </w:rPr>
        <w:t>meses.</w:t>
      </w:r>
    </w:p>
    <w:p w14:paraId="5646D672" w14:textId="77777777" w:rsidR="0013285C" w:rsidRPr="00395593" w:rsidRDefault="0013285C" w:rsidP="0013285C">
      <w:pPr>
        <w:pStyle w:val="Corpodetexto"/>
        <w:rPr>
          <w:rFonts w:ascii="Garamond" w:hAnsi="Garamond"/>
          <w:sz w:val="26"/>
        </w:rPr>
      </w:pPr>
    </w:p>
    <w:p w14:paraId="41EC5924" w14:textId="232483F6" w:rsidR="000B0704" w:rsidRPr="00395593" w:rsidRDefault="0013285C" w:rsidP="005F7A3B">
      <w:pPr>
        <w:pStyle w:val="Corpodetexto"/>
        <w:spacing w:line="360" w:lineRule="auto"/>
        <w:ind w:left="176" w:right="193"/>
        <w:jc w:val="center"/>
        <w:rPr>
          <w:rFonts w:ascii="Garamond" w:hAnsi="Garamond"/>
          <w:b/>
        </w:rPr>
      </w:pPr>
      <w:r w:rsidRPr="00395593">
        <w:rPr>
          <w:rFonts w:ascii="Garamond" w:hAnsi="Garamond"/>
          <w:b/>
        </w:rPr>
        <w:t xml:space="preserve">Artigo </w:t>
      </w:r>
      <w:r w:rsidR="004F0FFB" w:rsidRPr="00395593">
        <w:rPr>
          <w:rFonts w:ascii="Garamond" w:hAnsi="Garamond"/>
          <w:b/>
        </w:rPr>
        <w:t>6</w:t>
      </w:r>
    </w:p>
    <w:p w14:paraId="1934D1FD" w14:textId="312DC382" w:rsidR="0013285C" w:rsidRPr="00395593" w:rsidRDefault="0013285C" w:rsidP="005F7A3B">
      <w:pPr>
        <w:pStyle w:val="Corpodetexto"/>
        <w:spacing w:line="360" w:lineRule="auto"/>
        <w:ind w:left="176" w:right="193"/>
        <w:jc w:val="center"/>
        <w:rPr>
          <w:rFonts w:ascii="Garamond" w:hAnsi="Garamond"/>
          <w:b/>
        </w:rPr>
      </w:pPr>
      <w:r w:rsidRPr="00395593">
        <w:rPr>
          <w:rFonts w:ascii="Garamond" w:hAnsi="Garamond"/>
          <w:b/>
        </w:rPr>
        <w:t>Provas</w:t>
      </w:r>
    </w:p>
    <w:p w14:paraId="1A688C30" w14:textId="77777777" w:rsidR="0013285C" w:rsidRPr="00395593" w:rsidRDefault="0013285C" w:rsidP="002C4340">
      <w:pPr>
        <w:pStyle w:val="PargrafodaLista"/>
        <w:widowControl w:val="0"/>
        <w:numPr>
          <w:ilvl w:val="0"/>
          <w:numId w:val="19"/>
        </w:numPr>
        <w:tabs>
          <w:tab w:val="left" w:pos="810"/>
        </w:tabs>
        <w:autoSpaceDE w:val="0"/>
        <w:autoSpaceDN w:val="0"/>
        <w:spacing w:before="1" w:after="0" w:line="240" w:lineRule="auto"/>
        <w:ind w:right="119" w:firstLine="0"/>
        <w:contextualSpacing w:val="0"/>
        <w:jc w:val="both"/>
        <w:rPr>
          <w:rFonts w:ascii="Garamond" w:hAnsi="Garamond"/>
          <w:sz w:val="24"/>
        </w:rPr>
      </w:pPr>
      <w:r w:rsidRPr="00395593">
        <w:rPr>
          <w:rFonts w:ascii="Garamond" w:hAnsi="Garamond"/>
          <w:sz w:val="24"/>
        </w:rPr>
        <w:t xml:space="preserve">Todas as partes interessadas em uma investigação </w:t>
      </w:r>
      <w:r w:rsidRPr="00395593">
        <w:rPr>
          <w:rFonts w:ascii="Garamond" w:hAnsi="Garamond"/>
          <w:i/>
          <w:sz w:val="24"/>
        </w:rPr>
        <w:t>anti</w:t>
      </w:r>
      <w:r w:rsidRPr="00395593">
        <w:rPr>
          <w:rFonts w:ascii="Garamond" w:hAnsi="Garamond"/>
          <w:sz w:val="24"/>
        </w:rPr>
        <w:t>-</w:t>
      </w:r>
      <w:r w:rsidRPr="00395593">
        <w:rPr>
          <w:rFonts w:ascii="Garamond" w:hAnsi="Garamond"/>
          <w:i/>
          <w:sz w:val="24"/>
        </w:rPr>
        <w:t xml:space="preserve">dumping </w:t>
      </w:r>
      <w:r w:rsidRPr="00395593">
        <w:rPr>
          <w:rFonts w:ascii="Garamond" w:hAnsi="Garamond"/>
          <w:sz w:val="24"/>
        </w:rPr>
        <w:t>deverão ser postas</w:t>
      </w:r>
      <w:r w:rsidRPr="00395593">
        <w:rPr>
          <w:rFonts w:ascii="Garamond" w:hAnsi="Garamond"/>
          <w:spacing w:val="1"/>
          <w:sz w:val="24"/>
        </w:rPr>
        <w:t xml:space="preserve"> </w:t>
      </w:r>
      <w:r w:rsidRPr="00395593">
        <w:rPr>
          <w:rFonts w:ascii="Garamond" w:hAnsi="Garamond"/>
          <w:sz w:val="24"/>
        </w:rPr>
        <w:t>ao</w:t>
      </w:r>
      <w:r w:rsidRPr="00395593">
        <w:rPr>
          <w:rFonts w:ascii="Garamond" w:hAnsi="Garamond"/>
          <w:spacing w:val="1"/>
          <w:sz w:val="24"/>
        </w:rPr>
        <w:t xml:space="preserve"> </w:t>
      </w:r>
      <w:r w:rsidRPr="00395593">
        <w:rPr>
          <w:rFonts w:ascii="Garamond" w:hAnsi="Garamond"/>
          <w:sz w:val="24"/>
        </w:rPr>
        <w:t>corrente das</w:t>
      </w:r>
      <w:r w:rsidRPr="00395593">
        <w:rPr>
          <w:rFonts w:ascii="Garamond" w:hAnsi="Garamond"/>
          <w:spacing w:val="1"/>
          <w:sz w:val="24"/>
        </w:rPr>
        <w:t xml:space="preserve"> </w:t>
      </w:r>
      <w:r w:rsidRPr="00395593">
        <w:rPr>
          <w:rFonts w:ascii="Garamond" w:hAnsi="Garamond"/>
          <w:sz w:val="24"/>
        </w:rPr>
        <w:t>informações</w:t>
      </w:r>
      <w:r w:rsidRPr="00395593">
        <w:rPr>
          <w:rFonts w:ascii="Garamond" w:hAnsi="Garamond"/>
          <w:spacing w:val="1"/>
          <w:sz w:val="24"/>
        </w:rPr>
        <w:t xml:space="preserve"> </w:t>
      </w:r>
      <w:r w:rsidRPr="00395593">
        <w:rPr>
          <w:rFonts w:ascii="Garamond" w:hAnsi="Garamond"/>
          <w:sz w:val="24"/>
        </w:rPr>
        <w:t>requeridas</w:t>
      </w:r>
      <w:r w:rsidRPr="00395593">
        <w:rPr>
          <w:rFonts w:ascii="Garamond" w:hAnsi="Garamond"/>
          <w:spacing w:val="1"/>
          <w:sz w:val="24"/>
        </w:rPr>
        <w:t xml:space="preserve"> </w:t>
      </w:r>
      <w:r w:rsidRPr="00395593">
        <w:rPr>
          <w:rFonts w:ascii="Garamond" w:hAnsi="Garamond"/>
          <w:sz w:val="24"/>
        </w:rPr>
        <w:t>pelas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e ter ampla oportunidade de</w:t>
      </w:r>
      <w:r w:rsidRPr="00395593">
        <w:rPr>
          <w:rFonts w:ascii="Garamond" w:hAnsi="Garamond"/>
          <w:spacing w:val="1"/>
          <w:sz w:val="24"/>
        </w:rPr>
        <w:t xml:space="preserve"> </w:t>
      </w:r>
      <w:r w:rsidRPr="00395593">
        <w:rPr>
          <w:rFonts w:ascii="Garamond" w:hAnsi="Garamond"/>
          <w:sz w:val="24"/>
        </w:rPr>
        <w:t>apresentar,</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escrito,</w:t>
      </w:r>
      <w:r w:rsidRPr="00395593">
        <w:rPr>
          <w:rFonts w:ascii="Garamond" w:hAnsi="Garamond"/>
          <w:spacing w:val="1"/>
          <w:sz w:val="24"/>
        </w:rPr>
        <w:t xml:space="preserve"> </w:t>
      </w:r>
      <w:r w:rsidRPr="00395593">
        <w:rPr>
          <w:rFonts w:ascii="Garamond" w:hAnsi="Garamond"/>
          <w:sz w:val="24"/>
        </w:rPr>
        <w:t>todas</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provas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considerem</w:t>
      </w:r>
      <w:r w:rsidRPr="00395593">
        <w:rPr>
          <w:rFonts w:ascii="Garamond" w:hAnsi="Garamond"/>
          <w:spacing w:val="1"/>
          <w:sz w:val="24"/>
        </w:rPr>
        <w:t xml:space="preserve"> </w:t>
      </w:r>
      <w:r w:rsidRPr="00395593">
        <w:rPr>
          <w:rFonts w:ascii="Garamond" w:hAnsi="Garamond"/>
          <w:sz w:val="24"/>
        </w:rPr>
        <w:t>relevantes</w:t>
      </w:r>
      <w:r w:rsidRPr="00395593">
        <w:rPr>
          <w:rFonts w:ascii="Garamond" w:hAnsi="Garamond"/>
          <w:spacing w:val="1"/>
          <w:sz w:val="24"/>
        </w:rPr>
        <w:t xml:space="preserve"> </w:t>
      </w:r>
      <w:r w:rsidRPr="00395593">
        <w:rPr>
          <w:rFonts w:ascii="Garamond" w:hAnsi="Garamond"/>
          <w:sz w:val="24"/>
        </w:rPr>
        <w:t>com</w:t>
      </w:r>
      <w:r w:rsidRPr="00395593">
        <w:rPr>
          <w:rFonts w:ascii="Garamond" w:hAnsi="Garamond"/>
          <w:spacing w:val="1"/>
          <w:sz w:val="24"/>
        </w:rPr>
        <w:t xml:space="preserve"> </w:t>
      </w:r>
      <w:r w:rsidRPr="00395593">
        <w:rPr>
          <w:rFonts w:ascii="Garamond" w:hAnsi="Garamond"/>
          <w:sz w:val="24"/>
        </w:rPr>
        <w:t>respeito</w:t>
      </w:r>
      <w:r w:rsidRPr="00395593">
        <w:rPr>
          <w:rFonts w:ascii="Garamond" w:hAnsi="Garamond"/>
          <w:spacing w:val="1"/>
          <w:sz w:val="24"/>
        </w:rPr>
        <w:t xml:space="preserve"> </w:t>
      </w:r>
      <w:r w:rsidRPr="00395593">
        <w:rPr>
          <w:rFonts w:ascii="Garamond" w:hAnsi="Garamond"/>
          <w:sz w:val="24"/>
        </w:rPr>
        <w:t>à</w:t>
      </w:r>
      <w:r w:rsidRPr="00395593">
        <w:rPr>
          <w:rFonts w:ascii="Garamond" w:hAnsi="Garamond"/>
          <w:spacing w:val="1"/>
          <w:sz w:val="24"/>
        </w:rPr>
        <w:t xml:space="preserve"> </w:t>
      </w:r>
      <w:r w:rsidRPr="00395593">
        <w:rPr>
          <w:rFonts w:ascii="Garamond" w:hAnsi="Garamond"/>
          <w:sz w:val="24"/>
        </w:rPr>
        <w:t>investigação</w:t>
      </w:r>
      <w:r w:rsidRPr="00395593">
        <w:rPr>
          <w:rFonts w:ascii="Garamond" w:hAnsi="Garamond"/>
          <w:spacing w:val="-1"/>
          <w:sz w:val="24"/>
        </w:rPr>
        <w:t xml:space="preserve"> </w:t>
      </w:r>
      <w:r w:rsidRPr="00395593">
        <w:rPr>
          <w:rFonts w:ascii="Garamond" w:hAnsi="Garamond"/>
          <w:sz w:val="24"/>
        </w:rPr>
        <w:t>em apreço.</w:t>
      </w:r>
    </w:p>
    <w:p w14:paraId="240D188E" w14:textId="40BCB6C3" w:rsidR="000B0704" w:rsidRPr="00395593" w:rsidRDefault="000B0704">
      <w:pPr>
        <w:rPr>
          <w:rFonts w:ascii="Garamond" w:hAnsi="Garamond"/>
        </w:rPr>
      </w:pPr>
    </w:p>
    <w:p w14:paraId="27512425" w14:textId="77777777" w:rsidR="0065062F" w:rsidRPr="00395593" w:rsidRDefault="0065062F" w:rsidP="002C4340">
      <w:pPr>
        <w:pStyle w:val="PargrafodaLista"/>
        <w:widowControl w:val="0"/>
        <w:numPr>
          <w:ilvl w:val="0"/>
          <w:numId w:val="19"/>
        </w:numPr>
        <w:tabs>
          <w:tab w:val="left" w:pos="822"/>
        </w:tabs>
        <w:autoSpaceDE w:val="0"/>
        <w:autoSpaceDN w:val="0"/>
        <w:spacing w:after="0" w:line="240" w:lineRule="auto"/>
        <w:ind w:left="821" w:right="120" w:hanging="720"/>
        <w:contextualSpacing w:val="0"/>
        <w:jc w:val="both"/>
        <w:rPr>
          <w:rFonts w:ascii="Garamond" w:hAnsi="Garamond"/>
          <w:sz w:val="24"/>
        </w:rPr>
      </w:pPr>
      <w:r w:rsidRPr="00395593">
        <w:rPr>
          <w:rFonts w:ascii="Garamond" w:hAnsi="Garamond"/>
          <w:sz w:val="24"/>
        </w:rPr>
        <w:t>(a) Exportadores ou produtores estrangeiros que recebem questionários destinados a</w:t>
      </w:r>
      <w:r w:rsidRPr="00395593">
        <w:rPr>
          <w:rFonts w:ascii="Garamond" w:hAnsi="Garamond"/>
          <w:spacing w:val="-57"/>
          <w:sz w:val="24"/>
        </w:rPr>
        <w:t xml:space="preserve"> </w:t>
      </w:r>
      <w:r w:rsidRPr="00395593">
        <w:rPr>
          <w:rFonts w:ascii="Garamond" w:hAnsi="Garamond"/>
          <w:sz w:val="24"/>
        </w:rPr>
        <w:t>uma</w:t>
      </w:r>
      <w:r w:rsidRPr="00395593">
        <w:rPr>
          <w:rFonts w:ascii="Garamond" w:hAnsi="Garamond"/>
          <w:spacing w:val="1"/>
          <w:sz w:val="24"/>
        </w:rPr>
        <w:t xml:space="preserve"> </w:t>
      </w:r>
      <w:r w:rsidRPr="00395593">
        <w:rPr>
          <w:rFonts w:ascii="Garamond" w:hAnsi="Garamond"/>
          <w:sz w:val="24"/>
        </w:rPr>
        <w:t>investigação</w:t>
      </w:r>
      <w:r w:rsidRPr="00395593">
        <w:rPr>
          <w:rFonts w:ascii="Garamond" w:hAnsi="Garamond"/>
          <w:spacing w:val="1"/>
          <w:sz w:val="24"/>
        </w:rPr>
        <w:t xml:space="preserve"> </w:t>
      </w:r>
      <w:r w:rsidRPr="00395593">
        <w:rPr>
          <w:rFonts w:ascii="Garamond" w:hAnsi="Garamond"/>
          <w:i/>
          <w:sz w:val="24"/>
        </w:rPr>
        <w:t>anti</w:t>
      </w:r>
      <w:r w:rsidRPr="00395593">
        <w:rPr>
          <w:rFonts w:ascii="Garamond" w:hAnsi="Garamond"/>
          <w:sz w:val="24"/>
        </w:rPr>
        <w:t>-</w:t>
      </w:r>
      <w:r w:rsidRPr="00395593">
        <w:rPr>
          <w:rFonts w:ascii="Garamond" w:hAnsi="Garamond"/>
          <w:i/>
          <w:sz w:val="24"/>
        </w:rPr>
        <w:t>dumping</w:t>
      </w:r>
      <w:r w:rsidRPr="00395593">
        <w:rPr>
          <w:rFonts w:ascii="Garamond" w:hAnsi="Garamond"/>
          <w:i/>
          <w:spacing w:val="1"/>
          <w:sz w:val="24"/>
        </w:rPr>
        <w:t xml:space="preserve"> </w:t>
      </w:r>
      <w:r w:rsidRPr="00395593">
        <w:rPr>
          <w:rFonts w:ascii="Garamond" w:hAnsi="Garamond"/>
          <w:sz w:val="24"/>
        </w:rPr>
        <w:t>deverão</w:t>
      </w:r>
      <w:r w:rsidRPr="00395593">
        <w:rPr>
          <w:rFonts w:ascii="Garamond" w:hAnsi="Garamond"/>
          <w:spacing w:val="1"/>
          <w:sz w:val="24"/>
        </w:rPr>
        <w:t xml:space="preserve"> </w:t>
      </w:r>
      <w:r w:rsidRPr="00395593">
        <w:rPr>
          <w:rFonts w:ascii="Garamond" w:hAnsi="Garamond"/>
          <w:sz w:val="24"/>
        </w:rPr>
        <w:t>dispor</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pelo</w:t>
      </w:r>
      <w:r w:rsidRPr="00395593">
        <w:rPr>
          <w:rFonts w:ascii="Garamond" w:hAnsi="Garamond"/>
          <w:spacing w:val="1"/>
          <w:sz w:val="24"/>
        </w:rPr>
        <w:t xml:space="preserve"> </w:t>
      </w:r>
      <w:r w:rsidRPr="00395593">
        <w:rPr>
          <w:rFonts w:ascii="Garamond" w:hAnsi="Garamond"/>
          <w:sz w:val="24"/>
        </w:rPr>
        <w:t>menos</w:t>
      </w:r>
      <w:r w:rsidRPr="00395593">
        <w:rPr>
          <w:rFonts w:ascii="Garamond" w:hAnsi="Garamond"/>
          <w:spacing w:val="1"/>
          <w:sz w:val="24"/>
        </w:rPr>
        <w:t xml:space="preserve"> </w:t>
      </w:r>
      <w:r w:rsidRPr="00395593">
        <w:rPr>
          <w:rFonts w:ascii="Garamond" w:hAnsi="Garamond"/>
          <w:sz w:val="24"/>
        </w:rPr>
        <w:t>30</w:t>
      </w:r>
      <w:r w:rsidRPr="00395593">
        <w:rPr>
          <w:rFonts w:ascii="Garamond" w:hAnsi="Garamond"/>
          <w:spacing w:val="1"/>
          <w:sz w:val="24"/>
        </w:rPr>
        <w:t xml:space="preserve"> </w:t>
      </w:r>
      <w:r w:rsidRPr="00395593">
        <w:rPr>
          <w:rFonts w:ascii="Garamond" w:hAnsi="Garamond"/>
          <w:sz w:val="24"/>
        </w:rPr>
        <w:t>dias</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1"/>
          <w:sz w:val="24"/>
        </w:rPr>
        <w:t xml:space="preserve"> </w:t>
      </w:r>
      <w:r w:rsidRPr="00395593">
        <w:rPr>
          <w:rFonts w:ascii="Garamond" w:hAnsi="Garamond"/>
          <w:sz w:val="24"/>
        </w:rPr>
        <w:t xml:space="preserve">respondê-los </w:t>
      </w:r>
      <w:r w:rsidRPr="00395593">
        <w:rPr>
          <w:rFonts w:ascii="Garamond" w:hAnsi="Garamond"/>
          <w:sz w:val="24"/>
          <w:vertAlign w:val="superscript"/>
        </w:rPr>
        <w:t>15</w:t>
      </w:r>
      <w:r w:rsidRPr="00395593">
        <w:rPr>
          <w:rFonts w:ascii="Garamond" w:hAnsi="Garamond"/>
          <w:sz w:val="24"/>
        </w:rPr>
        <w:t>. Deverão ser devidamente considerados pedidos de prorrogação do</w:t>
      </w:r>
      <w:r w:rsidRPr="00395593">
        <w:rPr>
          <w:rFonts w:ascii="Garamond" w:hAnsi="Garamond"/>
          <w:spacing w:val="1"/>
          <w:sz w:val="24"/>
        </w:rPr>
        <w:t xml:space="preserve"> </w:t>
      </w:r>
      <w:r w:rsidRPr="00395593">
        <w:rPr>
          <w:rFonts w:ascii="Garamond" w:hAnsi="Garamond"/>
          <w:sz w:val="24"/>
        </w:rPr>
        <w:t>prazo inicial de 30 dias e, caso demonstrada sua necessidade, tal prorrogação deverá</w:t>
      </w:r>
      <w:r w:rsidRPr="00395593">
        <w:rPr>
          <w:rFonts w:ascii="Garamond" w:hAnsi="Garamond"/>
          <w:spacing w:val="-57"/>
          <w:sz w:val="24"/>
        </w:rPr>
        <w:t xml:space="preserve"> </w:t>
      </w:r>
      <w:r w:rsidRPr="00395593">
        <w:rPr>
          <w:rFonts w:ascii="Garamond" w:hAnsi="Garamond"/>
          <w:sz w:val="24"/>
        </w:rPr>
        <w:t>ser autorizada</w:t>
      </w:r>
      <w:r w:rsidRPr="00395593">
        <w:rPr>
          <w:rFonts w:ascii="Garamond" w:hAnsi="Garamond"/>
          <w:spacing w:val="-1"/>
          <w:sz w:val="24"/>
        </w:rPr>
        <w:t xml:space="preserve"> </w:t>
      </w:r>
      <w:r w:rsidRPr="00395593">
        <w:rPr>
          <w:rFonts w:ascii="Garamond" w:hAnsi="Garamond"/>
          <w:sz w:val="24"/>
        </w:rPr>
        <w:t>sempre</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exeqüível.</w:t>
      </w:r>
    </w:p>
    <w:p w14:paraId="6EE46C64" w14:textId="77777777" w:rsidR="0065062F" w:rsidRPr="00395593" w:rsidRDefault="0065062F" w:rsidP="0065062F">
      <w:pPr>
        <w:pStyle w:val="Corpodetexto"/>
        <w:rPr>
          <w:rFonts w:ascii="Garamond" w:hAnsi="Garamond"/>
        </w:rPr>
      </w:pPr>
    </w:p>
    <w:p w14:paraId="4C1F2712" w14:textId="77777777" w:rsidR="0065062F" w:rsidRPr="00395593" w:rsidRDefault="0065062F" w:rsidP="002C4340">
      <w:pPr>
        <w:pStyle w:val="PargrafodaLista"/>
        <w:widowControl w:val="0"/>
        <w:numPr>
          <w:ilvl w:val="0"/>
          <w:numId w:val="18"/>
        </w:numPr>
        <w:tabs>
          <w:tab w:val="left" w:pos="1185"/>
        </w:tabs>
        <w:autoSpaceDE w:val="0"/>
        <w:autoSpaceDN w:val="0"/>
        <w:spacing w:after="0" w:line="240" w:lineRule="auto"/>
        <w:ind w:left="821" w:right="123" w:firstLine="0"/>
        <w:contextualSpacing w:val="0"/>
        <w:jc w:val="both"/>
        <w:rPr>
          <w:rFonts w:ascii="Garamond" w:hAnsi="Garamond"/>
          <w:sz w:val="24"/>
        </w:rPr>
      </w:pPr>
      <w:r w:rsidRPr="00395593">
        <w:rPr>
          <w:rFonts w:ascii="Garamond" w:hAnsi="Garamond"/>
          <w:sz w:val="24"/>
        </w:rPr>
        <w:t>Reservado o direito de requerimento de confidencialidade para as informações</w:t>
      </w:r>
      <w:r w:rsidRPr="00395593">
        <w:rPr>
          <w:rFonts w:ascii="Garamond" w:hAnsi="Garamond"/>
          <w:spacing w:val="1"/>
          <w:sz w:val="24"/>
        </w:rPr>
        <w:t xml:space="preserve"> </w:t>
      </w:r>
      <w:r w:rsidRPr="00395593">
        <w:rPr>
          <w:rFonts w:ascii="Garamond" w:hAnsi="Garamond"/>
          <w:sz w:val="24"/>
        </w:rPr>
        <w:t>prestadas,</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provas</w:t>
      </w:r>
      <w:r w:rsidRPr="00395593">
        <w:rPr>
          <w:rFonts w:ascii="Garamond" w:hAnsi="Garamond"/>
          <w:spacing w:val="1"/>
          <w:sz w:val="24"/>
        </w:rPr>
        <w:t xml:space="preserve"> </w:t>
      </w:r>
      <w:r w:rsidRPr="00395593">
        <w:rPr>
          <w:rFonts w:ascii="Garamond" w:hAnsi="Garamond"/>
          <w:sz w:val="24"/>
        </w:rPr>
        <w:t>apresentadas</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escrito</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uma</w:t>
      </w:r>
      <w:r w:rsidRPr="00395593">
        <w:rPr>
          <w:rFonts w:ascii="Garamond" w:hAnsi="Garamond"/>
          <w:spacing w:val="1"/>
          <w:sz w:val="24"/>
        </w:rPr>
        <w:t xml:space="preserve"> </w:t>
      </w:r>
      <w:r w:rsidRPr="00395593">
        <w:rPr>
          <w:rFonts w:ascii="Garamond" w:hAnsi="Garamond"/>
          <w:sz w:val="24"/>
        </w:rPr>
        <w:t>parte</w:t>
      </w:r>
      <w:r w:rsidRPr="00395593">
        <w:rPr>
          <w:rFonts w:ascii="Garamond" w:hAnsi="Garamond"/>
          <w:spacing w:val="1"/>
          <w:sz w:val="24"/>
        </w:rPr>
        <w:t xml:space="preserve"> </w:t>
      </w:r>
      <w:r w:rsidRPr="00395593">
        <w:rPr>
          <w:rFonts w:ascii="Garamond" w:hAnsi="Garamond"/>
          <w:sz w:val="24"/>
        </w:rPr>
        <w:t>interessada</w:t>
      </w:r>
      <w:r w:rsidRPr="00395593">
        <w:rPr>
          <w:rFonts w:ascii="Garamond" w:hAnsi="Garamond"/>
          <w:spacing w:val="1"/>
          <w:sz w:val="24"/>
        </w:rPr>
        <w:t xml:space="preserve"> </w:t>
      </w:r>
      <w:r w:rsidRPr="00395593">
        <w:rPr>
          <w:rFonts w:ascii="Garamond" w:hAnsi="Garamond"/>
          <w:sz w:val="24"/>
        </w:rPr>
        <w:t>serão</w:t>
      </w:r>
      <w:r w:rsidRPr="00395593">
        <w:rPr>
          <w:rFonts w:ascii="Garamond" w:hAnsi="Garamond"/>
          <w:spacing w:val="1"/>
          <w:sz w:val="24"/>
        </w:rPr>
        <w:t xml:space="preserve"> </w:t>
      </w:r>
      <w:r w:rsidRPr="00395593">
        <w:rPr>
          <w:rFonts w:ascii="Garamond" w:hAnsi="Garamond"/>
          <w:sz w:val="24"/>
        </w:rPr>
        <w:t>prontamente</w:t>
      </w:r>
      <w:r w:rsidRPr="00395593">
        <w:rPr>
          <w:rFonts w:ascii="Garamond" w:hAnsi="Garamond"/>
          <w:spacing w:val="1"/>
          <w:sz w:val="24"/>
        </w:rPr>
        <w:t xml:space="preserve"> </w:t>
      </w:r>
      <w:r w:rsidRPr="00395593">
        <w:rPr>
          <w:rFonts w:ascii="Garamond" w:hAnsi="Garamond"/>
          <w:sz w:val="24"/>
        </w:rPr>
        <w:t>colocadas</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disposição</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outras</w:t>
      </w:r>
      <w:r w:rsidRPr="00395593">
        <w:rPr>
          <w:rFonts w:ascii="Garamond" w:hAnsi="Garamond"/>
          <w:spacing w:val="1"/>
          <w:sz w:val="24"/>
        </w:rPr>
        <w:t xml:space="preserve"> </w:t>
      </w:r>
      <w:r w:rsidRPr="00395593">
        <w:rPr>
          <w:rFonts w:ascii="Garamond" w:hAnsi="Garamond"/>
          <w:sz w:val="24"/>
        </w:rPr>
        <w:t>partes</w:t>
      </w:r>
      <w:r w:rsidRPr="00395593">
        <w:rPr>
          <w:rFonts w:ascii="Garamond" w:hAnsi="Garamond"/>
          <w:spacing w:val="1"/>
          <w:sz w:val="24"/>
        </w:rPr>
        <w:t xml:space="preserve"> </w:t>
      </w:r>
      <w:r w:rsidRPr="00395593">
        <w:rPr>
          <w:rFonts w:ascii="Garamond" w:hAnsi="Garamond"/>
          <w:sz w:val="24"/>
        </w:rPr>
        <w:t>interessadas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estejam</w:t>
      </w:r>
      <w:r w:rsidRPr="00395593">
        <w:rPr>
          <w:rFonts w:ascii="Garamond" w:hAnsi="Garamond"/>
          <w:spacing w:val="-57"/>
          <w:sz w:val="24"/>
        </w:rPr>
        <w:t xml:space="preserve"> </w:t>
      </w:r>
      <w:r w:rsidRPr="00395593">
        <w:rPr>
          <w:rFonts w:ascii="Garamond" w:hAnsi="Garamond"/>
          <w:sz w:val="24"/>
        </w:rPr>
        <w:t>participando</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2"/>
          <w:sz w:val="24"/>
        </w:rPr>
        <w:t xml:space="preserve"> </w:t>
      </w:r>
      <w:r w:rsidRPr="00395593">
        <w:rPr>
          <w:rFonts w:ascii="Garamond" w:hAnsi="Garamond"/>
          <w:sz w:val="24"/>
        </w:rPr>
        <w:t>investigação.</w:t>
      </w:r>
    </w:p>
    <w:p w14:paraId="2573CE43" w14:textId="2F9BE54F" w:rsidR="000B0704" w:rsidRPr="00395593" w:rsidRDefault="000B0704" w:rsidP="000B0704">
      <w:pPr>
        <w:pStyle w:val="Corpodetexto"/>
        <w:rPr>
          <w:rFonts w:ascii="Garamond" w:hAnsi="Garamond"/>
          <w:sz w:val="20"/>
        </w:rPr>
      </w:pPr>
    </w:p>
    <w:p w14:paraId="0AB8E43D" w14:textId="6BC920B9" w:rsidR="00C63061" w:rsidRPr="005C5CBD" w:rsidRDefault="00C63061" w:rsidP="00E33E26">
      <w:pPr>
        <w:pStyle w:val="Corpodetexto"/>
        <w:rPr>
          <w:rFonts w:ascii="Garamond" w:hAnsi="Garamond"/>
          <w:sz w:val="20"/>
        </w:rPr>
      </w:pPr>
    </w:p>
    <w:p w14:paraId="1DF952AB" w14:textId="47828D38" w:rsidR="00C63061" w:rsidRPr="005C5CBD" w:rsidRDefault="00C63061" w:rsidP="00E33E26">
      <w:pPr>
        <w:pStyle w:val="Corpodetexto"/>
        <w:rPr>
          <w:rFonts w:ascii="Garamond" w:hAnsi="Garamond"/>
          <w:sz w:val="20"/>
        </w:rPr>
      </w:pPr>
    </w:p>
    <w:p w14:paraId="7670765B" w14:textId="12502D5A" w:rsidR="00C63061" w:rsidRPr="005C5CBD" w:rsidRDefault="00C63061" w:rsidP="00E33E26">
      <w:pPr>
        <w:pStyle w:val="Corpodetexto"/>
        <w:rPr>
          <w:rFonts w:ascii="Garamond" w:hAnsi="Garamond"/>
          <w:sz w:val="20"/>
        </w:rPr>
      </w:pPr>
    </w:p>
    <w:p w14:paraId="28E89696" w14:textId="4BA77A2B" w:rsidR="00C63061" w:rsidRPr="005C5CBD" w:rsidRDefault="00C63061" w:rsidP="00E33E26">
      <w:pPr>
        <w:pStyle w:val="Corpodetexto"/>
        <w:rPr>
          <w:rFonts w:ascii="Garamond" w:hAnsi="Garamond"/>
          <w:sz w:val="20"/>
        </w:rPr>
      </w:pPr>
    </w:p>
    <w:p w14:paraId="66BCAF89" w14:textId="77777777" w:rsidR="000B0704" w:rsidRPr="00395593" w:rsidRDefault="000B0704" w:rsidP="000B0704">
      <w:pPr>
        <w:pStyle w:val="Corpodetexto"/>
        <w:rPr>
          <w:rFonts w:ascii="Garamond" w:hAnsi="Garamond"/>
          <w:sz w:val="11"/>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53" behindDoc="1" locked="0" layoutInCell="1" allowOverlap="1" wp14:anchorId="78B9F484" wp14:editId="10E651C9">
                <wp:simplePos x="0" y="0"/>
                <wp:positionH relativeFrom="page">
                  <wp:posOffset>1080770</wp:posOffset>
                </wp:positionH>
                <wp:positionV relativeFrom="paragraph">
                  <wp:posOffset>95885</wp:posOffset>
                </wp:positionV>
                <wp:extent cx="1828800" cy="7620"/>
                <wp:effectExtent l="4445" t="0" r="0" b="4445"/>
                <wp:wrapTopAndBottom/>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1E4A5" id="Retângulo 25" o:spid="_x0000_s1026" style="position:absolute;margin-left:85.1pt;margin-top:7.55pt;width:2in;height:.6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" fillcolor="black" stroked="f">
                <w10:wrap type="topAndBottom" anchorx="page"/>
              </v:rect>
            </w:pict>
          </mc:Fallback>
        </mc:AlternateContent>
      </w:r>
    </w:p>
    <w:p w14:paraId="6FA71ABF" w14:textId="77777777" w:rsidR="000B0704" w:rsidRPr="00395593" w:rsidRDefault="000B0704" w:rsidP="000B0704">
      <w:pPr>
        <w:spacing w:before="87" w:line="242" w:lineRule="auto"/>
        <w:ind w:left="102" w:right="121"/>
        <w:jc w:val="both"/>
        <w:rPr>
          <w:rFonts w:ascii="Garamond" w:hAnsi="Garamond"/>
          <w:sz w:val="20"/>
        </w:rPr>
      </w:pPr>
      <w:r w:rsidRPr="00395593">
        <w:rPr>
          <w:rFonts w:ascii="Garamond" w:hAnsi="Garamond"/>
          <w:position w:val="9"/>
          <w:sz w:val="16"/>
        </w:rPr>
        <w:t xml:space="preserve">15 </w:t>
      </w:r>
      <w:r w:rsidRPr="00395593">
        <w:rPr>
          <w:rFonts w:ascii="Garamond" w:hAnsi="Garamond"/>
          <w:sz w:val="20"/>
        </w:rPr>
        <w:t>Como princípio geral, a data-limite para os exportadores deverá ser contada a partir da data de recebimento</w:t>
      </w:r>
      <w:r w:rsidRPr="00395593">
        <w:rPr>
          <w:rFonts w:ascii="Garamond" w:hAnsi="Garamond"/>
          <w:spacing w:val="1"/>
          <w:sz w:val="20"/>
        </w:rPr>
        <w:t xml:space="preserve"> </w:t>
      </w:r>
      <w:r w:rsidRPr="00395593">
        <w:rPr>
          <w:rFonts w:ascii="Garamond" w:hAnsi="Garamond"/>
          <w:sz w:val="20"/>
        </w:rPr>
        <w:t>do questionário, que, para essa finalidade deverá ser considerado como recebido uma semana após a data na</w:t>
      </w:r>
      <w:r w:rsidRPr="00395593">
        <w:rPr>
          <w:rFonts w:ascii="Garamond" w:hAnsi="Garamond"/>
          <w:spacing w:val="1"/>
          <w:sz w:val="20"/>
        </w:rPr>
        <w:t xml:space="preserve"> </w:t>
      </w:r>
      <w:r w:rsidRPr="00395593">
        <w:rPr>
          <w:rFonts w:ascii="Garamond" w:hAnsi="Garamond"/>
          <w:sz w:val="20"/>
        </w:rPr>
        <w:t>qual a correspondência foi enviada ao implicado ou transmitida ao representante diplomático competente do</w:t>
      </w:r>
      <w:r w:rsidRPr="00395593">
        <w:rPr>
          <w:rFonts w:ascii="Garamond" w:hAnsi="Garamond"/>
          <w:spacing w:val="1"/>
          <w:sz w:val="20"/>
        </w:rPr>
        <w:t xml:space="preserve"> </w:t>
      </w:r>
      <w:r w:rsidRPr="00395593">
        <w:rPr>
          <w:rFonts w:ascii="Garamond" w:hAnsi="Garamond"/>
          <w:sz w:val="20"/>
        </w:rPr>
        <w:t>Membro</w:t>
      </w:r>
      <w:r w:rsidRPr="00395593">
        <w:rPr>
          <w:rFonts w:ascii="Garamond" w:hAnsi="Garamond"/>
          <w:spacing w:val="1"/>
          <w:sz w:val="20"/>
        </w:rPr>
        <w:t xml:space="preserve"> </w:t>
      </w:r>
      <w:r w:rsidRPr="00395593">
        <w:rPr>
          <w:rFonts w:ascii="Garamond" w:hAnsi="Garamond"/>
          <w:sz w:val="20"/>
        </w:rPr>
        <w:t>exportador,</w:t>
      </w:r>
      <w:r w:rsidRPr="00395593">
        <w:rPr>
          <w:rFonts w:ascii="Garamond" w:hAnsi="Garamond"/>
          <w:spacing w:val="1"/>
          <w:sz w:val="20"/>
        </w:rPr>
        <w:t xml:space="preserve"> </w:t>
      </w:r>
      <w:r w:rsidRPr="00395593">
        <w:rPr>
          <w:rFonts w:ascii="Garamond" w:hAnsi="Garamond"/>
          <w:sz w:val="20"/>
        </w:rPr>
        <w:t>ou,</w:t>
      </w:r>
      <w:r w:rsidRPr="00395593">
        <w:rPr>
          <w:rFonts w:ascii="Garamond" w:hAnsi="Garamond"/>
          <w:spacing w:val="1"/>
          <w:sz w:val="20"/>
        </w:rPr>
        <w:t xml:space="preserve"> </w:t>
      </w:r>
      <w:r w:rsidRPr="00395593">
        <w:rPr>
          <w:rFonts w:ascii="Garamond" w:hAnsi="Garamond"/>
          <w:sz w:val="20"/>
        </w:rPr>
        <w:t>no</w:t>
      </w:r>
      <w:r w:rsidRPr="00395593">
        <w:rPr>
          <w:rFonts w:ascii="Garamond" w:hAnsi="Garamond"/>
          <w:spacing w:val="1"/>
          <w:sz w:val="20"/>
        </w:rPr>
        <w:t xml:space="preserve"> </w:t>
      </w:r>
      <w:r w:rsidRPr="00395593">
        <w:rPr>
          <w:rFonts w:ascii="Garamond" w:hAnsi="Garamond"/>
          <w:sz w:val="20"/>
        </w:rPr>
        <w:t>caso</w:t>
      </w:r>
      <w:r w:rsidRPr="00395593">
        <w:rPr>
          <w:rFonts w:ascii="Garamond" w:hAnsi="Garamond"/>
          <w:spacing w:val="1"/>
          <w:sz w:val="20"/>
        </w:rPr>
        <w:t xml:space="preserve"> </w:t>
      </w:r>
      <w:r w:rsidRPr="00395593">
        <w:rPr>
          <w:rFonts w:ascii="Garamond" w:hAnsi="Garamond"/>
          <w:sz w:val="20"/>
        </w:rPr>
        <w:t>de</w:t>
      </w:r>
      <w:r w:rsidRPr="00395593">
        <w:rPr>
          <w:rFonts w:ascii="Garamond" w:hAnsi="Garamond"/>
          <w:spacing w:val="1"/>
          <w:sz w:val="20"/>
        </w:rPr>
        <w:t xml:space="preserve"> </w:t>
      </w:r>
      <w:r w:rsidRPr="00395593">
        <w:rPr>
          <w:rFonts w:ascii="Garamond" w:hAnsi="Garamond"/>
          <w:sz w:val="20"/>
        </w:rPr>
        <w:t>território-Membro</w:t>
      </w:r>
      <w:r w:rsidRPr="00395593">
        <w:rPr>
          <w:rFonts w:ascii="Garamond" w:hAnsi="Garamond"/>
          <w:spacing w:val="1"/>
          <w:sz w:val="20"/>
        </w:rPr>
        <w:t xml:space="preserve"> </w:t>
      </w:r>
      <w:r w:rsidRPr="00395593">
        <w:rPr>
          <w:rFonts w:ascii="Garamond" w:hAnsi="Garamond"/>
          <w:sz w:val="20"/>
        </w:rPr>
        <w:t>da</w:t>
      </w:r>
      <w:r w:rsidRPr="00395593">
        <w:rPr>
          <w:rFonts w:ascii="Garamond" w:hAnsi="Garamond"/>
          <w:spacing w:val="1"/>
          <w:sz w:val="20"/>
        </w:rPr>
        <w:t xml:space="preserve"> </w:t>
      </w:r>
      <w:r w:rsidRPr="00395593">
        <w:rPr>
          <w:rFonts w:ascii="Garamond" w:hAnsi="Garamond"/>
          <w:sz w:val="20"/>
        </w:rPr>
        <w:t>OMCcom</w:t>
      </w:r>
      <w:r w:rsidRPr="00395593">
        <w:rPr>
          <w:rFonts w:ascii="Garamond" w:hAnsi="Garamond"/>
          <w:spacing w:val="1"/>
          <w:sz w:val="20"/>
        </w:rPr>
        <w:t xml:space="preserve"> </w:t>
      </w:r>
      <w:r w:rsidRPr="00395593">
        <w:rPr>
          <w:rFonts w:ascii="Garamond" w:hAnsi="Garamond"/>
          <w:sz w:val="20"/>
        </w:rPr>
        <w:t>poder</w:t>
      </w:r>
      <w:r w:rsidRPr="00395593">
        <w:rPr>
          <w:rFonts w:ascii="Garamond" w:hAnsi="Garamond"/>
          <w:spacing w:val="1"/>
          <w:sz w:val="20"/>
        </w:rPr>
        <w:t xml:space="preserve"> </w:t>
      </w:r>
      <w:r w:rsidRPr="00395593">
        <w:rPr>
          <w:rFonts w:ascii="Garamond" w:hAnsi="Garamond"/>
          <w:sz w:val="20"/>
        </w:rPr>
        <w:t>alfandegário</w:t>
      </w:r>
      <w:r w:rsidRPr="00395593">
        <w:rPr>
          <w:rFonts w:ascii="Garamond" w:hAnsi="Garamond"/>
          <w:spacing w:val="1"/>
          <w:sz w:val="20"/>
        </w:rPr>
        <w:t xml:space="preserve"> </w:t>
      </w:r>
      <w:r w:rsidRPr="00395593">
        <w:rPr>
          <w:rFonts w:ascii="Garamond" w:hAnsi="Garamond"/>
          <w:sz w:val="20"/>
        </w:rPr>
        <w:t>próprio,</w:t>
      </w:r>
      <w:r w:rsidRPr="00395593">
        <w:rPr>
          <w:rFonts w:ascii="Garamond" w:hAnsi="Garamond"/>
          <w:spacing w:val="1"/>
          <w:sz w:val="20"/>
        </w:rPr>
        <w:t xml:space="preserve"> </w:t>
      </w:r>
      <w:r w:rsidRPr="00395593">
        <w:rPr>
          <w:rFonts w:ascii="Garamond" w:hAnsi="Garamond"/>
          <w:sz w:val="20"/>
        </w:rPr>
        <w:t>ao</w:t>
      </w:r>
      <w:r w:rsidRPr="00395593">
        <w:rPr>
          <w:rFonts w:ascii="Garamond" w:hAnsi="Garamond"/>
          <w:spacing w:val="1"/>
          <w:sz w:val="20"/>
        </w:rPr>
        <w:t xml:space="preserve"> </w:t>
      </w:r>
      <w:r w:rsidRPr="00395593">
        <w:rPr>
          <w:rFonts w:ascii="Garamond" w:hAnsi="Garamond"/>
          <w:sz w:val="20"/>
        </w:rPr>
        <w:t>representante</w:t>
      </w:r>
      <w:r w:rsidRPr="00395593">
        <w:rPr>
          <w:rFonts w:ascii="Garamond" w:hAnsi="Garamond"/>
          <w:spacing w:val="-1"/>
          <w:sz w:val="20"/>
        </w:rPr>
        <w:t xml:space="preserve"> </w:t>
      </w:r>
      <w:r w:rsidRPr="00395593">
        <w:rPr>
          <w:rFonts w:ascii="Garamond" w:hAnsi="Garamond"/>
          <w:sz w:val="20"/>
        </w:rPr>
        <w:t>oficial do</w:t>
      </w:r>
      <w:r w:rsidRPr="00395593">
        <w:rPr>
          <w:rFonts w:ascii="Garamond" w:hAnsi="Garamond"/>
          <w:spacing w:val="1"/>
          <w:sz w:val="20"/>
        </w:rPr>
        <w:t xml:space="preserve"> </w:t>
      </w:r>
      <w:r w:rsidRPr="00395593">
        <w:rPr>
          <w:rFonts w:ascii="Garamond" w:hAnsi="Garamond"/>
          <w:sz w:val="20"/>
        </w:rPr>
        <w:t>território</w:t>
      </w:r>
      <w:r w:rsidRPr="00395593">
        <w:rPr>
          <w:rFonts w:ascii="Garamond" w:hAnsi="Garamond"/>
          <w:spacing w:val="1"/>
          <w:sz w:val="20"/>
        </w:rPr>
        <w:t xml:space="preserve"> </w:t>
      </w:r>
      <w:r w:rsidRPr="00395593">
        <w:rPr>
          <w:rFonts w:ascii="Garamond" w:hAnsi="Garamond"/>
          <w:sz w:val="20"/>
        </w:rPr>
        <w:t>exportador.</w:t>
      </w:r>
    </w:p>
    <w:p w14:paraId="4970DA6D" w14:textId="77777777" w:rsidR="0013285C" w:rsidRPr="00395593" w:rsidRDefault="0013285C" w:rsidP="002C4340">
      <w:pPr>
        <w:pStyle w:val="PargrafodaLista"/>
        <w:widowControl w:val="0"/>
        <w:numPr>
          <w:ilvl w:val="0"/>
          <w:numId w:val="18"/>
        </w:numPr>
        <w:tabs>
          <w:tab w:val="left" w:pos="1192"/>
        </w:tabs>
        <w:autoSpaceDE w:val="0"/>
        <w:autoSpaceDN w:val="0"/>
        <w:spacing w:before="184" w:after="0" w:line="240" w:lineRule="auto"/>
        <w:ind w:left="821" w:right="115" w:firstLine="0"/>
        <w:contextualSpacing w:val="0"/>
        <w:jc w:val="both"/>
        <w:rPr>
          <w:rFonts w:ascii="Garamond" w:hAnsi="Garamond"/>
          <w:sz w:val="24"/>
        </w:rPr>
      </w:pPr>
      <w:r w:rsidRPr="00395593">
        <w:rPr>
          <w:rFonts w:ascii="Garamond" w:hAnsi="Garamond"/>
          <w:sz w:val="24"/>
        </w:rPr>
        <w:t>Tão logo iniciada uma investigação, as autoridades deverão fornecer o texto</w:t>
      </w:r>
      <w:r w:rsidRPr="00395593">
        <w:rPr>
          <w:rFonts w:ascii="Garamond" w:hAnsi="Garamond"/>
          <w:spacing w:val="1"/>
          <w:sz w:val="24"/>
        </w:rPr>
        <w:t xml:space="preserve"> </w:t>
      </w:r>
      <w:r w:rsidRPr="00395593">
        <w:rPr>
          <w:rFonts w:ascii="Garamond" w:hAnsi="Garamond"/>
          <w:sz w:val="24"/>
        </w:rPr>
        <w:t>completo</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petição</w:t>
      </w:r>
      <w:r w:rsidRPr="00395593">
        <w:rPr>
          <w:rFonts w:ascii="Garamond" w:hAnsi="Garamond"/>
          <w:spacing w:val="1"/>
          <w:sz w:val="24"/>
        </w:rPr>
        <w:t xml:space="preserve"> </w:t>
      </w:r>
      <w:r w:rsidRPr="00395593">
        <w:rPr>
          <w:rFonts w:ascii="Garamond" w:hAnsi="Garamond"/>
          <w:sz w:val="24"/>
        </w:rPr>
        <w:t>escrita</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lhes</w:t>
      </w:r>
      <w:r w:rsidRPr="00395593">
        <w:rPr>
          <w:rFonts w:ascii="Garamond" w:hAnsi="Garamond"/>
          <w:spacing w:val="1"/>
          <w:sz w:val="24"/>
        </w:rPr>
        <w:t xml:space="preserve"> </w:t>
      </w:r>
      <w:r w:rsidRPr="00395593">
        <w:rPr>
          <w:rFonts w:ascii="Garamond" w:hAnsi="Garamond"/>
          <w:sz w:val="24"/>
        </w:rPr>
        <w:t>tenha</w:t>
      </w:r>
      <w:r w:rsidRPr="00395593">
        <w:rPr>
          <w:rFonts w:ascii="Garamond" w:hAnsi="Garamond"/>
          <w:spacing w:val="1"/>
          <w:sz w:val="24"/>
        </w:rPr>
        <w:t xml:space="preserve"> </w:t>
      </w:r>
      <w:r w:rsidRPr="00395593">
        <w:rPr>
          <w:rFonts w:ascii="Garamond" w:hAnsi="Garamond"/>
          <w:sz w:val="24"/>
        </w:rPr>
        <w:t>sido</w:t>
      </w:r>
      <w:r w:rsidRPr="00395593">
        <w:rPr>
          <w:rFonts w:ascii="Garamond" w:hAnsi="Garamond"/>
          <w:spacing w:val="1"/>
          <w:sz w:val="24"/>
        </w:rPr>
        <w:t xml:space="preserve"> </w:t>
      </w:r>
      <w:r w:rsidRPr="00395593">
        <w:rPr>
          <w:rFonts w:ascii="Garamond" w:hAnsi="Garamond"/>
          <w:sz w:val="24"/>
        </w:rPr>
        <w:t>dirigida</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determinação</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 xml:space="preserve">parágrafo 1 do Artigo 5 aos exportadores conhecidos </w:t>
      </w:r>
      <w:r w:rsidRPr="00395593">
        <w:rPr>
          <w:rFonts w:ascii="Garamond" w:hAnsi="Garamond"/>
          <w:sz w:val="24"/>
          <w:vertAlign w:val="superscript"/>
        </w:rPr>
        <w:t>16</w:t>
      </w:r>
      <w:r w:rsidRPr="00395593">
        <w:rPr>
          <w:rFonts w:ascii="Garamond" w:hAnsi="Garamond"/>
          <w:sz w:val="24"/>
        </w:rPr>
        <w:t xml:space="preserve"> e às autoridades do Membro</w:t>
      </w:r>
      <w:r w:rsidRPr="00395593">
        <w:rPr>
          <w:rFonts w:ascii="Garamond" w:hAnsi="Garamond"/>
          <w:spacing w:val="-57"/>
          <w:sz w:val="24"/>
        </w:rPr>
        <w:t xml:space="preserve"> </w:t>
      </w:r>
      <w:r w:rsidRPr="00395593">
        <w:rPr>
          <w:rFonts w:ascii="Garamond" w:hAnsi="Garamond"/>
          <w:sz w:val="24"/>
        </w:rPr>
        <w:t>exportador e deverão,</w:t>
      </w:r>
      <w:r w:rsidRPr="00395593">
        <w:rPr>
          <w:rFonts w:ascii="Garamond" w:hAnsi="Garamond"/>
          <w:spacing w:val="1"/>
          <w:sz w:val="24"/>
        </w:rPr>
        <w:t xml:space="preserve"> </w:t>
      </w:r>
      <w:r w:rsidRPr="00395593">
        <w:rPr>
          <w:rFonts w:ascii="Garamond" w:hAnsi="Garamond"/>
          <w:sz w:val="24"/>
        </w:rPr>
        <w:t>caso</w:t>
      </w:r>
      <w:r w:rsidRPr="00395593">
        <w:rPr>
          <w:rFonts w:ascii="Garamond" w:hAnsi="Garamond"/>
          <w:spacing w:val="1"/>
          <w:sz w:val="24"/>
        </w:rPr>
        <w:t xml:space="preserve"> </w:t>
      </w:r>
      <w:r w:rsidRPr="00395593">
        <w:rPr>
          <w:rFonts w:ascii="Garamond" w:hAnsi="Garamond"/>
          <w:sz w:val="24"/>
        </w:rPr>
        <w:t>requeridas,</w:t>
      </w:r>
      <w:r w:rsidRPr="00395593">
        <w:rPr>
          <w:rFonts w:ascii="Garamond" w:hAnsi="Garamond"/>
          <w:spacing w:val="1"/>
          <w:sz w:val="24"/>
        </w:rPr>
        <w:t xml:space="preserve"> </w:t>
      </w:r>
      <w:r w:rsidRPr="00395593">
        <w:rPr>
          <w:rFonts w:ascii="Garamond" w:hAnsi="Garamond"/>
          <w:sz w:val="24"/>
        </w:rPr>
        <w:t>colocá-lo</w:t>
      </w:r>
      <w:r w:rsidRPr="00395593">
        <w:rPr>
          <w:rFonts w:ascii="Garamond" w:hAnsi="Garamond"/>
          <w:spacing w:val="1"/>
          <w:sz w:val="24"/>
        </w:rPr>
        <w:t xml:space="preserve"> </w:t>
      </w:r>
      <w:r w:rsidRPr="00395593">
        <w:rPr>
          <w:rFonts w:ascii="Garamond" w:hAnsi="Garamond"/>
          <w:sz w:val="24"/>
        </w:rPr>
        <w:t>à disposição</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outras</w:t>
      </w:r>
      <w:r w:rsidRPr="00395593">
        <w:rPr>
          <w:rFonts w:ascii="Garamond" w:hAnsi="Garamond"/>
          <w:spacing w:val="1"/>
          <w:sz w:val="24"/>
        </w:rPr>
        <w:t xml:space="preserve"> </w:t>
      </w:r>
      <w:r w:rsidRPr="00395593">
        <w:rPr>
          <w:rFonts w:ascii="Garamond" w:hAnsi="Garamond"/>
          <w:sz w:val="24"/>
        </w:rPr>
        <w:t>partes</w:t>
      </w:r>
      <w:r w:rsidRPr="00395593">
        <w:rPr>
          <w:rFonts w:ascii="Garamond" w:hAnsi="Garamond"/>
          <w:spacing w:val="1"/>
          <w:sz w:val="24"/>
        </w:rPr>
        <w:t xml:space="preserve"> </w:t>
      </w:r>
      <w:r w:rsidRPr="00395593">
        <w:rPr>
          <w:rFonts w:ascii="Garamond" w:hAnsi="Garamond"/>
          <w:sz w:val="24"/>
        </w:rPr>
        <w:t>interessadas</w:t>
      </w:r>
      <w:r w:rsidRPr="00395593">
        <w:rPr>
          <w:rFonts w:ascii="Garamond" w:hAnsi="Garamond"/>
          <w:spacing w:val="1"/>
          <w:sz w:val="24"/>
        </w:rPr>
        <w:t xml:space="preserve"> </w:t>
      </w:r>
      <w:r w:rsidRPr="00395593">
        <w:rPr>
          <w:rFonts w:ascii="Garamond" w:hAnsi="Garamond"/>
          <w:sz w:val="24"/>
        </w:rPr>
        <w:t>envolvidas</w:t>
      </w:r>
      <w:r w:rsidRPr="00395593">
        <w:rPr>
          <w:rFonts w:ascii="Garamond" w:hAnsi="Garamond"/>
          <w:spacing w:val="1"/>
          <w:sz w:val="24"/>
        </w:rPr>
        <w:t xml:space="preserve"> </w:t>
      </w:r>
      <w:r w:rsidRPr="00395593">
        <w:rPr>
          <w:rFonts w:ascii="Garamond" w:hAnsi="Garamond"/>
          <w:sz w:val="24"/>
        </w:rPr>
        <w:t>na</w:t>
      </w:r>
      <w:r w:rsidRPr="00395593">
        <w:rPr>
          <w:rFonts w:ascii="Garamond" w:hAnsi="Garamond"/>
          <w:spacing w:val="1"/>
          <w:sz w:val="24"/>
        </w:rPr>
        <w:t xml:space="preserve"> </w:t>
      </w:r>
      <w:r w:rsidRPr="00395593">
        <w:rPr>
          <w:rFonts w:ascii="Garamond" w:hAnsi="Garamond"/>
          <w:sz w:val="24"/>
        </w:rPr>
        <w:t>investigação.</w:t>
      </w:r>
      <w:r w:rsidRPr="00395593">
        <w:rPr>
          <w:rFonts w:ascii="Garamond" w:hAnsi="Garamond"/>
          <w:spacing w:val="1"/>
          <w:sz w:val="24"/>
        </w:rPr>
        <w:t xml:space="preserve"> </w:t>
      </w:r>
      <w:r w:rsidRPr="00395593">
        <w:rPr>
          <w:rFonts w:ascii="Garamond" w:hAnsi="Garamond"/>
          <w:sz w:val="24"/>
        </w:rPr>
        <w:t>Será</w:t>
      </w:r>
      <w:r w:rsidRPr="00395593">
        <w:rPr>
          <w:rFonts w:ascii="Garamond" w:hAnsi="Garamond"/>
          <w:spacing w:val="1"/>
          <w:sz w:val="24"/>
        </w:rPr>
        <w:t xml:space="preserve"> </w:t>
      </w:r>
      <w:r w:rsidRPr="00395593">
        <w:rPr>
          <w:rFonts w:ascii="Garamond" w:hAnsi="Garamond"/>
          <w:sz w:val="24"/>
        </w:rPr>
        <w:t>levado</w:t>
      </w:r>
      <w:r w:rsidRPr="00395593">
        <w:rPr>
          <w:rFonts w:ascii="Garamond" w:hAnsi="Garamond"/>
          <w:spacing w:val="1"/>
          <w:sz w:val="24"/>
        </w:rPr>
        <w:t xml:space="preserve"> </w:t>
      </w:r>
      <w:r w:rsidRPr="00395593">
        <w:rPr>
          <w:rFonts w:ascii="Garamond" w:hAnsi="Garamond"/>
          <w:sz w:val="24"/>
        </w:rPr>
        <w:t>na</w:t>
      </w:r>
      <w:r w:rsidRPr="00395593">
        <w:rPr>
          <w:rFonts w:ascii="Garamond" w:hAnsi="Garamond"/>
          <w:spacing w:val="1"/>
          <w:sz w:val="24"/>
        </w:rPr>
        <w:t xml:space="preserve"> </w:t>
      </w:r>
      <w:r w:rsidRPr="00395593">
        <w:rPr>
          <w:rFonts w:ascii="Garamond" w:hAnsi="Garamond"/>
          <w:sz w:val="24"/>
        </w:rPr>
        <w:t>devida</w:t>
      </w:r>
      <w:r w:rsidRPr="00395593">
        <w:rPr>
          <w:rFonts w:ascii="Garamond" w:hAnsi="Garamond"/>
          <w:spacing w:val="1"/>
          <w:sz w:val="24"/>
        </w:rPr>
        <w:t xml:space="preserve"> </w:t>
      </w:r>
      <w:r w:rsidRPr="00395593">
        <w:rPr>
          <w:rFonts w:ascii="Garamond" w:hAnsi="Garamond"/>
          <w:sz w:val="24"/>
        </w:rPr>
        <w:t>conta</w:t>
      </w:r>
      <w:r w:rsidRPr="00395593">
        <w:rPr>
          <w:rFonts w:ascii="Garamond" w:hAnsi="Garamond"/>
          <w:spacing w:val="6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requerimento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proteção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confidencialidade,</w:t>
      </w:r>
      <w:r w:rsidRPr="00395593">
        <w:rPr>
          <w:rFonts w:ascii="Garamond" w:hAnsi="Garamond"/>
          <w:spacing w:val="1"/>
          <w:sz w:val="24"/>
        </w:rPr>
        <w:t xml:space="preserve"> </w:t>
      </w:r>
      <w:r w:rsidRPr="00395593">
        <w:rPr>
          <w:rFonts w:ascii="Garamond" w:hAnsi="Garamond"/>
          <w:sz w:val="24"/>
        </w:rPr>
        <w:t>como</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encontra</w:t>
      </w:r>
      <w:r w:rsidRPr="00395593">
        <w:rPr>
          <w:rFonts w:ascii="Garamond" w:hAnsi="Garamond"/>
          <w:spacing w:val="1"/>
          <w:sz w:val="24"/>
        </w:rPr>
        <w:t xml:space="preserve"> </w:t>
      </w:r>
      <w:r w:rsidRPr="00395593">
        <w:rPr>
          <w:rFonts w:ascii="Garamond" w:hAnsi="Garamond"/>
          <w:sz w:val="24"/>
        </w:rPr>
        <w:t>disposto</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parágrafo</w:t>
      </w:r>
      <w:r w:rsidRPr="00395593">
        <w:rPr>
          <w:rFonts w:ascii="Garamond" w:hAnsi="Garamond"/>
          <w:spacing w:val="-1"/>
          <w:sz w:val="24"/>
        </w:rPr>
        <w:t xml:space="preserve"> </w:t>
      </w:r>
      <w:r w:rsidRPr="00395593">
        <w:rPr>
          <w:rFonts w:ascii="Garamond" w:hAnsi="Garamond"/>
          <w:sz w:val="24"/>
        </w:rPr>
        <w:t>6.</w:t>
      </w:r>
    </w:p>
    <w:p w14:paraId="09785E98" w14:textId="77777777" w:rsidR="0013285C" w:rsidRPr="00395593" w:rsidRDefault="0013285C" w:rsidP="0013285C">
      <w:pPr>
        <w:pStyle w:val="Corpodetexto"/>
        <w:rPr>
          <w:rFonts w:ascii="Garamond" w:hAnsi="Garamond"/>
        </w:rPr>
      </w:pPr>
    </w:p>
    <w:p w14:paraId="69D19C46" w14:textId="77777777" w:rsidR="0013285C" w:rsidRPr="00395593" w:rsidRDefault="0013285C" w:rsidP="002C4340">
      <w:pPr>
        <w:pStyle w:val="PargrafodaLista"/>
        <w:widowControl w:val="0"/>
        <w:numPr>
          <w:ilvl w:val="0"/>
          <w:numId w:val="19"/>
        </w:numPr>
        <w:tabs>
          <w:tab w:val="left" w:pos="810"/>
        </w:tabs>
        <w:autoSpaceDE w:val="0"/>
        <w:autoSpaceDN w:val="0"/>
        <w:spacing w:after="0" w:line="240" w:lineRule="auto"/>
        <w:ind w:right="117" w:firstLine="0"/>
        <w:contextualSpacing w:val="0"/>
        <w:jc w:val="both"/>
        <w:rPr>
          <w:rFonts w:ascii="Garamond" w:hAnsi="Garamond"/>
          <w:sz w:val="24"/>
        </w:rPr>
      </w:pPr>
      <w:r w:rsidRPr="00395593">
        <w:rPr>
          <w:rFonts w:ascii="Garamond" w:hAnsi="Garamond"/>
          <w:sz w:val="24"/>
        </w:rPr>
        <w:t>Ao longo das investigações anti-</w:t>
      </w:r>
      <w:r w:rsidRPr="00395593">
        <w:rPr>
          <w:rFonts w:ascii="Garamond" w:hAnsi="Garamond"/>
          <w:i/>
          <w:sz w:val="24"/>
        </w:rPr>
        <w:t>dumping</w:t>
      </w:r>
      <w:r w:rsidRPr="00395593">
        <w:rPr>
          <w:rFonts w:ascii="Garamond" w:hAnsi="Garamond"/>
          <w:sz w:val="24"/>
        </w:rPr>
        <w:t>, todas as partes interessadas devem dispor</w:t>
      </w:r>
      <w:r w:rsidRPr="00395593">
        <w:rPr>
          <w:rFonts w:ascii="Garamond" w:hAnsi="Garamond"/>
          <w:spacing w:val="1"/>
          <w:sz w:val="24"/>
        </w:rPr>
        <w:t xml:space="preserve"> </w:t>
      </w:r>
      <w:r w:rsidRPr="00395593">
        <w:rPr>
          <w:rFonts w:ascii="Garamond" w:hAnsi="Garamond"/>
          <w:sz w:val="24"/>
        </w:rPr>
        <w:t>de completa possibilidade de defesa de seus interesses. Para essa finalidade, as autoridades</w:t>
      </w:r>
      <w:r w:rsidRPr="00395593">
        <w:rPr>
          <w:rFonts w:ascii="Garamond" w:hAnsi="Garamond"/>
          <w:spacing w:val="1"/>
          <w:sz w:val="24"/>
        </w:rPr>
        <w:t xml:space="preserve"> </w:t>
      </w:r>
      <w:r w:rsidRPr="00395593">
        <w:rPr>
          <w:rFonts w:ascii="Garamond" w:hAnsi="Garamond"/>
          <w:sz w:val="24"/>
        </w:rPr>
        <w:t>deverão, caso assim requeridas, propiciar oportunidade para que todas a partes interessadas</w:t>
      </w:r>
      <w:r w:rsidRPr="00395593">
        <w:rPr>
          <w:rFonts w:ascii="Garamond" w:hAnsi="Garamond"/>
          <w:spacing w:val="1"/>
          <w:sz w:val="24"/>
        </w:rPr>
        <w:t xml:space="preserve"> </w:t>
      </w:r>
      <w:r w:rsidRPr="00395593">
        <w:rPr>
          <w:rFonts w:ascii="Garamond" w:hAnsi="Garamond"/>
          <w:sz w:val="24"/>
        </w:rPr>
        <w:t>possam encontrar-se com aquelas partes que tenham interesses antagônicos, de forma a que</w:t>
      </w:r>
      <w:r w:rsidRPr="00395593">
        <w:rPr>
          <w:rFonts w:ascii="Garamond" w:hAnsi="Garamond"/>
          <w:spacing w:val="1"/>
          <w:sz w:val="24"/>
        </w:rPr>
        <w:t xml:space="preserve"> </w:t>
      </w:r>
      <w:r w:rsidRPr="00395593">
        <w:rPr>
          <w:rFonts w:ascii="Garamond" w:hAnsi="Garamond"/>
          <w:sz w:val="24"/>
        </w:rPr>
        <w:t>interpretações opostas e argumentação contrárias possam ser expressas. O propiciamento de</w:t>
      </w:r>
      <w:r w:rsidRPr="00395593">
        <w:rPr>
          <w:rFonts w:ascii="Garamond" w:hAnsi="Garamond"/>
          <w:spacing w:val="-57"/>
          <w:sz w:val="24"/>
        </w:rPr>
        <w:t xml:space="preserve"> </w:t>
      </w:r>
      <w:r w:rsidRPr="00395593">
        <w:rPr>
          <w:rFonts w:ascii="Garamond" w:hAnsi="Garamond"/>
          <w:sz w:val="24"/>
        </w:rPr>
        <w:t>tais</w:t>
      </w:r>
      <w:r w:rsidRPr="00395593">
        <w:rPr>
          <w:rFonts w:ascii="Garamond" w:hAnsi="Garamond"/>
          <w:spacing w:val="1"/>
          <w:sz w:val="24"/>
        </w:rPr>
        <w:t xml:space="preserve"> </w:t>
      </w:r>
      <w:r w:rsidRPr="00395593">
        <w:rPr>
          <w:rFonts w:ascii="Garamond" w:hAnsi="Garamond"/>
          <w:sz w:val="24"/>
        </w:rPr>
        <w:t>oportunidades</w:t>
      </w:r>
      <w:r w:rsidRPr="00395593">
        <w:rPr>
          <w:rFonts w:ascii="Garamond" w:hAnsi="Garamond"/>
          <w:spacing w:val="1"/>
          <w:sz w:val="24"/>
        </w:rPr>
        <w:t xml:space="preserve"> </w:t>
      </w:r>
      <w:r w:rsidRPr="00395593">
        <w:rPr>
          <w:rFonts w:ascii="Garamond" w:hAnsi="Garamond"/>
          <w:sz w:val="24"/>
        </w:rPr>
        <w:t>deverá</w:t>
      </w:r>
      <w:r w:rsidRPr="00395593">
        <w:rPr>
          <w:rFonts w:ascii="Garamond" w:hAnsi="Garamond"/>
          <w:spacing w:val="1"/>
          <w:sz w:val="24"/>
        </w:rPr>
        <w:t xml:space="preserve"> </w:t>
      </w:r>
      <w:r w:rsidRPr="00395593">
        <w:rPr>
          <w:rFonts w:ascii="Garamond" w:hAnsi="Garamond"/>
          <w:sz w:val="24"/>
        </w:rPr>
        <w:t>levar</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consideração</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necessidade</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ser</w:t>
      </w:r>
      <w:r w:rsidRPr="00395593">
        <w:rPr>
          <w:rFonts w:ascii="Garamond" w:hAnsi="Garamond"/>
          <w:spacing w:val="1"/>
          <w:sz w:val="24"/>
        </w:rPr>
        <w:t xml:space="preserve"> </w:t>
      </w:r>
      <w:r w:rsidRPr="00395593">
        <w:rPr>
          <w:rFonts w:ascii="Garamond" w:hAnsi="Garamond"/>
          <w:sz w:val="24"/>
        </w:rPr>
        <w:t>preservada</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confidencialidade e a conveniência das partes. Não deverá existir qualquer obrigatoriedade</w:t>
      </w:r>
      <w:r w:rsidRPr="00395593">
        <w:rPr>
          <w:rFonts w:ascii="Garamond" w:hAnsi="Garamond"/>
          <w:spacing w:val="1"/>
          <w:sz w:val="24"/>
        </w:rPr>
        <w:t xml:space="preserve"> </w:t>
      </w:r>
      <w:r w:rsidRPr="00395593">
        <w:rPr>
          <w:rFonts w:ascii="Garamond" w:hAnsi="Garamond"/>
          <w:sz w:val="24"/>
        </w:rPr>
        <w:t>de comparecimento a tais encontros e a ausência de qualquer parte não poderá ser usada em</w:t>
      </w:r>
      <w:r w:rsidRPr="00395593">
        <w:rPr>
          <w:rFonts w:ascii="Garamond" w:hAnsi="Garamond"/>
          <w:spacing w:val="-57"/>
          <w:sz w:val="24"/>
        </w:rPr>
        <w:t xml:space="preserve"> </w:t>
      </w:r>
      <w:r w:rsidRPr="00395593">
        <w:rPr>
          <w:rFonts w:ascii="Garamond" w:hAnsi="Garamond"/>
          <w:sz w:val="24"/>
        </w:rPr>
        <w:t>prejuízo de seus interesses. As partes interessadas deverão ter o direito, se devidamente</w:t>
      </w:r>
      <w:r w:rsidRPr="00395593">
        <w:rPr>
          <w:rFonts w:ascii="Garamond" w:hAnsi="Garamond"/>
          <w:spacing w:val="1"/>
          <w:sz w:val="24"/>
        </w:rPr>
        <w:t xml:space="preserve"> </w:t>
      </w:r>
      <w:r w:rsidRPr="00395593">
        <w:rPr>
          <w:rFonts w:ascii="Garamond" w:hAnsi="Garamond"/>
          <w:sz w:val="24"/>
        </w:rPr>
        <w:t>justificado,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apresentar informações</w:t>
      </w:r>
      <w:r w:rsidRPr="00395593">
        <w:rPr>
          <w:rFonts w:ascii="Garamond" w:hAnsi="Garamond"/>
          <w:spacing w:val="2"/>
          <w:sz w:val="24"/>
        </w:rPr>
        <w:t xml:space="preserve"> </w:t>
      </w:r>
      <w:r w:rsidRPr="00395593">
        <w:rPr>
          <w:rFonts w:ascii="Garamond" w:hAnsi="Garamond"/>
          <w:sz w:val="24"/>
        </w:rPr>
        <w:t>adicionais</w:t>
      </w:r>
      <w:r w:rsidRPr="00395593">
        <w:rPr>
          <w:rFonts w:ascii="Garamond" w:hAnsi="Garamond"/>
          <w:spacing w:val="1"/>
          <w:sz w:val="24"/>
        </w:rPr>
        <w:t xml:space="preserve"> </w:t>
      </w:r>
      <w:r w:rsidRPr="00395593">
        <w:rPr>
          <w:rFonts w:ascii="Garamond" w:hAnsi="Garamond"/>
          <w:sz w:val="24"/>
        </w:rPr>
        <w:t>oralmente.</w:t>
      </w:r>
    </w:p>
    <w:p w14:paraId="296505F8" w14:textId="77777777" w:rsidR="0013285C" w:rsidRPr="00395593" w:rsidRDefault="0013285C" w:rsidP="0013285C">
      <w:pPr>
        <w:pStyle w:val="Corpodetexto"/>
        <w:spacing w:before="1"/>
        <w:rPr>
          <w:rFonts w:ascii="Garamond" w:hAnsi="Garamond"/>
        </w:rPr>
      </w:pPr>
    </w:p>
    <w:p w14:paraId="23A2BB16" w14:textId="77777777" w:rsidR="0013285C" w:rsidRPr="00395593" w:rsidRDefault="0013285C" w:rsidP="002C4340">
      <w:pPr>
        <w:pStyle w:val="PargrafodaLista"/>
        <w:widowControl w:val="0"/>
        <w:numPr>
          <w:ilvl w:val="0"/>
          <w:numId w:val="19"/>
        </w:numPr>
        <w:tabs>
          <w:tab w:val="left" w:pos="810"/>
        </w:tabs>
        <w:autoSpaceDE w:val="0"/>
        <w:autoSpaceDN w:val="0"/>
        <w:spacing w:after="0" w:line="240" w:lineRule="auto"/>
        <w:ind w:right="123" w:firstLine="0"/>
        <w:contextualSpacing w:val="0"/>
        <w:jc w:val="both"/>
        <w:rPr>
          <w:rFonts w:ascii="Garamond" w:hAnsi="Garamond"/>
          <w:sz w:val="24"/>
        </w:rPr>
      </w:pP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deverão</w:t>
      </w:r>
      <w:r w:rsidRPr="00395593">
        <w:rPr>
          <w:rFonts w:ascii="Garamond" w:hAnsi="Garamond"/>
          <w:spacing w:val="1"/>
          <w:sz w:val="24"/>
        </w:rPr>
        <w:t xml:space="preserve"> </w:t>
      </w:r>
      <w:r w:rsidRPr="00395593">
        <w:rPr>
          <w:rFonts w:ascii="Garamond" w:hAnsi="Garamond"/>
          <w:sz w:val="24"/>
        </w:rPr>
        <w:t>considerar</w:t>
      </w:r>
      <w:r w:rsidRPr="00395593">
        <w:rPr>
          <w:rFonts w:ascii="Garamond" w:hAnsi="Garamond"/>
          <w:spacing w:val="1"/>
          <w:sz w:val="24"/>
        </w:rPr>
        <w:t xml:space="preserve"> </w:t>
      </w:r>
      <w:r w:rsidRPr="00395593">
        <w:rPr>
          <w:rFonts w:ascii="Garamond" w:hAnsi="Garamond"/>
          <w:sz w:val="24"/>
        </w:rPr>
        <w:t>informações</w:t>
      </w:r>
      <w:r w:rsidRPr="00395593">
        <w:rPr>
          <w:rFonts w:ascii="Garamond" w:hAnsi="Garamond"/>
          <w:spacing w:val="1"/>
          <w:sz w:val="24"/>
        </w:rPr>
        <w:t xml:space="preserve"> </w:t>
      </w:r>
      <w:r w:rsidRPr="00395593">
        <w:rPr>
          <w:rFonts w:ascii="Garamond" w:hAnsi="Garamond"/>
          <w:sz w:val="24"/>
        </w:rPr>
        <w:t>fornecidas</w:t>
      </w:r>
      <w:r w:rsidRPr="00395593">
        <w:rPr>
          <w:rFonts w:ascii="Garamond" w:hAnsi="Garamond"/>
          <w:spacing w:val="1"/>
          <w:sz w:val="24"/>
        </w:rPr>
        <w:t xml:space="preserve"> </w:t>
      </w:r>
      <w:r w:rsidRPr="00395593">
        <w:rPr>
          <w:rFonts w:ascii="Garamond" w:hAnsi="Garamond"/>
          <w:sz w:val="24"/>
        </w:rPr>
        <w:t>oralmente,</w:t>
      </w:r>
      <w:r w:rsidRPr="00395593">
        <w:rPr>
          <w:rFonts w:ascii="Garamond" w:hAnsi="Garamond"/>
          <w:spacing w:val="1"/>
          <w:sz w:val="24"/>
        </w:rPr>
        <w:t xml:space="preserve"> </w:t>
      </w:r>
      <w:r w:rsidRPr="00395593">
        <w:rPr>
          <w:rFonts w:ascii="Garamond" w:hAnsi="Garamond"/>
          <w:sz w:val="24"/>
        </w:rPr>
        <w:t>conforme</w:t>
      </w:r>
      <w:r w:rsidRPr="00395593">
        <w:rPr>
          <w:rFonts w:ascii="Garamond" w:hAnsi="Garamond"/>
          <w:spacing w:val="-57"/>
          <w:sz w:val="24"/>
        </w:rPr>
        <w:t xml:space="preserve"> </w:t>
      </w:r>
      <w:r w:rsidRPr="00395593">
        <w:rPr>
          <w:rFonts w:ascii="Garamond" w:hAnsi="Garamond"/>
          <w:sz w:val="24"/>
        </w:rPr>
        <w:t>previsto</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parágrafo</w:t>
      </w:r>
      <w:r w:rsidRPr="00395593">
        <w:rPr>
          <w:rFonts w:ascii="Garamond" w:hAnsi="Garamond"/>
          <w:spacing w:val="1"/>
          <w:sz w:val="24"/>
        </w:rPr>
        <w:t xml:space="preserve"> </w:t>
      </w:r>
      <w:r w:rsidRPr="00395593">
        <w:rPr>
          <w:rFonts w:ascii="Garamond" w:hAnsi="Garamond"/>
          <w:sz w:val="24"/>
        </w:rPr>
        <w:t>2,</w:t>
      </w:r>
      <w:r w:rsidRPr="00395593">
        <w:rPr>
          <w:rFonts w:ascii="Garamond" w:hAnsi="Garamond"/>
          <w:spacing w:val="1"/>
          <w:sz w:val="24"/>
        </w:rPr>
        <w:t xml:space="preserve"> </w:t>
      </w:r>
      <w:r w:rsidRPr="00395593">
        <w:rPr>
          <w:rFonts w:ascii="Garamond" w:hAnsi="Garamond"/>
          <w:sz w:val="24"/>
        </w:rPr>
        <w:t>somente</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caso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mesmas</w:t>
      </w:r>
      <w:r w:rsidRPr="00395593">
        <w:rPr>
          <w:rFonts w:ascii="Garamond" w:hAnsi="Garamond"/>
          <w:spacing w:val="1"/>
          <w:sz w:val="24"/>
        </w:rPr>
        <w:t xml:space="preserve"> </w:t>
      </w:r>
      <w:r w:rsidRPr="00395593">
        <w:rPr>
          <w:rFonts w:ascii="Garamond" w:hAnsi="Garamond"/>
          <w:sz w:val="24"/>
        </w:rPr>
        <w:t>serem</w:t>
      </w:r>
      <w:r w:rsidRPr="00395593">
        <w:rPr>
          <w:rFonts w:ascii="Garamond" w:hAnsi="Garamond"/>
          <w:spacing w:val="1"/>
          <w:sz w:val="24"/>
        </w:rPr>
        <w:t xml:space="preserve"> </w:t>
      </w:r>
      <w:r w:rsidRPr="00395593">
        <w:rPr>
          <w:rFonts w:ascii="Garamond" w:hAnsi="Garamond"/>
          <w:sz w:val="24"/>
        </w:rPr>
        <w:t>reproduzidas</w:t>
      </w:r>
      <w:r w:rsidRPr="00395593">
        <w:rPr>
          <w:rFonts w:ascii="Garamond" w:hAnsi="Garamond"/>
          <w:spacing w:val="1"/>
          <w:sz w:val="24"/>
        </w:rPr>
        <w:t xml:space="preserve"> </w:t>
      </w:r>
      <w:r w:rsidRPr="00395593">
        <w:rPr>
          <w:rFonts w:ascii="Garamond" w:hAnsi="Garamond"/>
          <w:sz w:val="24"/>
        </w:rPr>
        <w:t>subseqüentemente</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escrito</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colocadas</w:t>
      </w:r>
      <w:r w:rsidRPr="00395593">
        <w:rPr>
          <w:rFonts w:ascii="Garamond" w:hAnsi="Garamond"/>
          <w:spacing w:val="1"/>
          <w:sz w:val="24"/>
        </w:rPr>
        <w:t xml:space="preserve"> </w:t>
      </w:r>
      <w:r w:rsidRPr="00395593">
        <w:rPr>
          <w:rFonts w:ascii="Garamond" w:hAnsi="Garamond"/>
          <w:sz w:val="24"/>
        </w:rPr>
        <w:t>à</w:t>
      </w:r>
      <w:r w:rsidRPr="00395593">
        <w:rPr>
          <w:rFonts w:ascii="Garamond" w:hAnsi="Garamond"/>
          <w:spacing w:val="1"/>
          <w:sz w:val="24"/>
        </w:rPr>
        <w:t xml:space="preserve"> </w:t>
      </w:r>
      <w:r w:rsidRPr="00395593">
        <w:rPr>
          <w:rFonts w:ascii="Garamond" w:hAnsi="Garamond"/>
          <w:sz w:val="24"/>
        </w:rPr>
        <w:t>disposição</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outras</w:t>
      </w:r>
      <w:r w:rsidRPr="00395593">
        <w:rPr>
          <w:rFonts w:ascii="Garamond" w:hAnsi="Garamond"/>
          <w:spacing w:val="1"/>
          <w:sz w:val="24"/>
        </w:rPr>
        <w:t xml:space="preserve"> </w:t>
      </w:r>
      <w:r w:rsidRPr="00395593">
        <w:rPr>
          <w:rFonts w:ascii="Garamond" w:hAnsi="Garamond"/>
          <w:sz w:val="24"/>
        </w:rPr>
        <w:t>partes</w:t>
      </w:r>
      <w:r w:rsidRPr="00395593">
        <w:rPr>
          <w:rFonts w:ascii="Garamond" w:hAnsi="Garamond"/>
          <w:spacing w:val="1"/>
          <w:sz w:val="24"/>
        </w:rPr>
        <w:t xml:space="preserve"> </w:t>
      </w:r>
      <w:r w:rsidRPr="00395593">
        <w:rPr>
          <w:rFonts w:ascii="Garamond" w:hAnsi="Garamond"/>
          <w:sz w:val="24"/>
        </w:rPr>
        <w:t>interessadas,</w:t>
      </w:r>
      <w:r w:rsidRPr="00395593">
        <w:rPr>
          <w:rFonts w:ascii="Garamond" w:hAnsi="Garamond"/>
          <w:spacing w:val="-57"/>
          <w:sz w:val="24"/>
        </w:rPr>
        <w:t xml:space="preserve"> </w:t>
      </w:r>
      <w:r w:rsidRPr="00395593">
        <w:rPr>
          <w:rFonts w:ascii="Garamond" w:hAnsi="Garamond"/>
          <w:sz w:val="24"/>
        </w:rPr>
        <w:t>conforme</w:t>
      </w:r>
      <w:r w:rsidRPr="00395593">
        <w:rPr>
          <w:rFonts w:ascii="Garamond" w:hAnsi="Garamond"/>
          <w:spacing w:val="-1"/>
          <w:sz w:val="24"/>
        </w:rPr>
        <w:t xml:space="preserve"> </w:t>
      </w:r>
      <w:r w:rsidRPr="00395593">
        <w:rPr>
          <w:rFonts w:ascii="Garamond" w:hAnsi="Garamond"/>
          <w:sz w:val="24"/>
        </w:rPr>
        <w:t>o disposto no subparágrafo 2 (b).</w:t>
      </w:r>
    </w:p>
    <w:p w14:paraId="34EFF31D" w14:textId="77777777" w:rsidR="0013285C" w:rsidRPr="00395593" w:rsidRDefault="0013285C" w:rsidP="0013285C">
      <w:pPr>
        <w:pStyle w:val="Corpodetexto"/>
        <w:rPr>
          <w:rFonts w:ascii="Garamond" w:hAnsi="Garamond"/>
        </w:rPr>
      </w:pPr>
    </w:p>
    <w:p w14:paraId="744E7B3F" w14:textId="2FD9A27E" w:rsidR="0013285C" w:rsidRPr="00395593" w:rsidRDefault="0013285C" w:rsidP="002C4340">
      <w:pPr>
        <w:pStyle w:val="PargrafodaLista"/>
        <w:widowControl w:val="0"/>
        <w:numPr>
          <w:ilvl w:val="0"/>
          <w:numId w:val="19"/>
        </w:numPr>
        <w:tabs>
          <w:tab w:val="left" w:pos="810"/>
        </w:tabs>
        <w:autoSpaceDE w:val="0"/>
        <w:autoSpaceDN w:val="0"/>
        <w:spacing w:after="0" w:line="240" w:lineRule="auto"/>
        <w:ind w:right="117" w:firstLine="0"/>
        <w:contextualSpacing w:val="0"/>
        <w:jc w:val="both"/>
        <w:rPr>
          <w:rFonts w:ascii="Garamond" w:hAnsi="Garamond"/>
          <w:sz w:val="24"/>
        </w:rPr>
      </w:pPr>
      <w:r w:rsidRPr="00395593">
        <w:rPr>
          <w:rFonts w:ascii="Garamond" w:hAnsi="Garamond"/>
          <w:sz w:val="24"/>
        </w:rPr>
        <w:t>As autoridades deverão, sempre que possível atempadamente oferecer oportunidade</w:t>
      </w:r>
      <w:r w:rsidRPr="00395593">
        <w:rPr>
          <w:rFonts w:ascii="Garamond" w:hAnsi="Garamond"/>
          <w:spacing w:val="1"/>
          <w:sz w:val="24"/>
        </w:rPr>
        <w:t xml:space="preserve"> </w:t>
      </w:r>
      <w:r w:rsidRPr="00395593">
        <w:rPr>
          <w:rFonts w:ascii="Garamond" w:hAnsi="Garamond"/>
          <w:sz w:val="24"/>
        </w:rPr>
        <w:t>a todas as partes interessadas para que examinem toda e qualquer informação relevante para</w:t>
      </w:r>
      <w:r w:rsidRPr="00395593">
        <w:rPr>
          <w:rFonts w:ascii="Garamond" w:hAnsi="Garamond"/>
          <w:spacing w:val="-57"/>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apresentação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seus</w:t>
      </w:r>
      <w:r w:rsidRPr="00395593">
        <w:rPr>
          <w:rFonts w:ascii="Garamond" w:hAnsi="Garamond"/>
          <w:spacing w:val="1"/>
          <w:sz w:val="24"/>
        </w:rPr>
        <w:t xml:space="preserve"> </w:t>
      </w:r>
      <w:r w:rsidRPr="00395593">
        <w:rPr>
          <w:rFonts w:ascii="Garamond" w:hAnsi="Garamond"/>
          <w:sz w:val="24"/>
        </w:rPr>
        <w:t>casos,</w:t>
      </w:r>
      <w:r w:rsidRPr="00395593">
        <w:rPr>
          <w:rFonts w:ascii="Garamond" w:hAnsi="Garamond"/>
          <w:spacing w:val="1"/>
          <w:sz w:val="24"/>
        </w:rPr>
        <w:t xml:space="preserve"> </w:t>
      </w:r>
      <w:r w:rsidRPr="00395593">
        <w:rPr>
          <w:rFonts w:ascii="Garamond" w:hAnsi="Garamond"/>
          <w:sz w:val="24"/>
        </w:rPr>
        <w:t>desde</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não</w:t>
      </w:r>
      <w:r w:rsidRPr="00395593">
        <w:rPr>
          <w:rFonts w:ascii="Garamond" w:hAnsi="Garamond"/>
          <w:spacing w:val="1"/>
          <w:sz w:val="24"/>
        </w:rPr>
        <w:t xml:space="preserve"> </w:t>
      </w:r>
      <w:r w:rsidRPr="00395593">
        <w:rPr>
          <w:rFonts w:ascii="Garamond" w:hAnsi="Garamond"/>
          <w:sz w:val="24"/>
        </w:rPr>
        <w:t>seja</w:t>
      </w:r>
      <w:r w:rsidRPr="00395593">
        <w:rPr>
          <w:rFonts w:ascii="Garamond" w:hAnsi="Garamond"/>
          <w:spacing w:val="1"/>
          <w:sz w:val="24"/>
        </w:rPr>
        <w:t xml:space="preserve"> </w:t>
      </w:r>
      <w:r w:rsidRPr="00395593">
        <w:rPr>
          <w:rFonts w:ascii="Garamond" w:hAnsi="Garamond"/>
          <w:sz w:val="24"/>
        </w:rPr>
        <w:t>confidencial,</w:t>
      </w:r>
      <w:r w:rsidRPr="00395593">
        <w:rPr>
          <w:rFonts w:ascii="Garamond" w:hAnsi="Garamond"/>
          <w:spacing w:val="1"/>
          <w:sz w:val="24"/>
        </w:rPr>
        <w:t xml:space="preserve"> </w:t>
      </w:r>
      <w:r w:rsidRPr="00395593">
        <w:rPr>
          <w:rFonts w:ascii="Garamond" w:hAnsi="Garamond"/>
          <w:sz w:val="24"/>
        </w:rPr>
        <w:t>conforme</w:t>
      </w:r>
      <w:r w:rsidRPr="00395593">
        <w:rPr>
          <w:rFonts w:ascii="Garamond" w:hAnsi="Garamond"/>
          <w:spacing w:val="1"/>
          <w:sz w:val="24"/>
        </w:rPr>
        <w:t xml:space="preserve"> </w:t>
      </w:r>
      <w:r w:rsidRPr="00395593">
        <w:rPr>
          <w:rFonts w:ascii="Garamond" w:hAnsi="Garamond"/>
          <w:sz w:val="24"/>
        </w:rPr>
        <w:t>definido</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57"/>
          <w:sz w:val="24"/>
        </w:rPr>
        <w:t xml:space="preserve"> </w:t>
      </w:r>
      <w:r w:rsidRPr="00395593">
        <w:rPr>
          <w:rFonts w:ascii="Garamond" w:hAnsi="Garamond"/>
          <w:sz w:val="24"/>
        </w:rPr>
        <w:t>parágrafo 6 e que seja utilizada pelas autoridades em Investigação anti-</w:t>
      </w:r>
      <w:r w:rsidRPr="00395593">
        <w:rPr>
          <w:rFonts w:ascii="Garamond" w:hAnsi="Garamond"/>
          <w:i/>
          <w:sz w:val="24"/>
        </w:rPr>
        <w:t>dumping</w:t>
      </w:r>
      <w:r w:rsidRPr="00395593">
        <w:rPr>
          <w:rFonts w:ascii="Garamond" w:hAnsi="Garamond"/>
          <w:sz w:val="24"/>
        </w:rPr>
        <w:t>. Da mesma</w:t>
      </w:r>
      <w:r w:rsidRPr="00395593">
        <w:rPr>
          <w:rFonts w:ascii="Garamond" w:hAnsi="Garamond"/>
          <w:spacing w:val="-57"/>
          <w:sz w:val="24"/>
        </w:rPr>
        <w:t xml:space="preserve"> </w:t>
      </w:r>
      <w:r w:rsidRPr="00395593">
        <w:rPr>
          <w:rFonts w:ascii="Garamond" w:hAnsi="Garamond"/>
          <w:sz w:val="24"/>
        </w:rPr>
        <w:t>forma,</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deverão</w:t>
      </w:r>
      <w:r w:rsidRPr="00395593">
        <w:rPr>
          <w:rFonts w:ascii="Garamond" w:hAnsi="Garamond"/>
          <w:spacing w:val="1"/>
          <w:sz w:val="24"/>
        </w:rPr>
        <w:t xml:space="preserve"> </w:t>
      </w:r>
      <w:r w:rsidRPr="00395593">
        <w:rPr>
          <w:rFonts w:ascii="Garamond" w:hAnsi="Garamond"/>
          <w:sz w:val="24"/>
        </w:rPr>
        <w:t>oferecer</w:t>
      </w:r>
      <w:r w:rsidRPr="00395593">
        <w:rPr>
          <w:rFonts w:ascii="Garamond" w:hAnsi="Garamond"/>
          <w:spacing w:val="1"/>
          <w:sz w:val="24"/>
        </w:rPr>
        <w:t xml:space="preserve"> </w:t>
      </w:r>
      <w:r w:rsidRPr="00395593">
        <w:rPr>
          <w:rFonts w:ascii="Garamond" w:hAnsi="Garamond"/>
          <w:sz w:val="24"/>
        </w:rPr>
        <w:t>oportunidade</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partes</w:t>
      </w:r>
      <w:r w:rsidRPr="00395593">
        <w:rPr>
          <w:rFonts w:ascii="Garamond" w:hAnsi="Garamond"/>
          <w:spacing w:val="1"/>
          <w:sz w:val="24"/>
        </w:rPr>
        <w:t xml:space="preserve"> </w:t>
      </w:r>
      <w:r w:rsidRPr="00395593">
        <w:rPr>
          <w:rFonts w:ascii="Garamond" w:hAnsi="Garamond"/>
          <w:sz w:val="24"/>
        </w:rPr>
        <w:t>interessadas</w:t>
      </w:r>
      <w:r w:rsidRPr="00395593">
        <w:rPr>
          <w:rFonts w:ascii="Garamond" w:hAnsi="Garamond"/>
          <w:spacing w:val="1"/>
          <w:sz w:val="24"/>
        </w:rPr>
        <w:t xml:space="preserve"> </w:t>
      </w:r>
      <w:r w:rsidRPr="00395593">
        <w:rPr>
          <w:rFonts w:ascii="Garamond" w:hAnsi="Garamond"/>
          <w:sz w:val="24"/>
        </w:rPr>
        <w:t>preparem</w:t>
      </w:r>
      <w:r w:rsidRPr="00395593">
        <w:rPr>
          <w:rFonts w:ascii="Garamond" w:hAnsi="Garamond"/>
          <w:spacing w:val="-1"/>
          <w:sz w:val="24"/>
        </w:rPr>
        <w:t xml:space="preserve"> </w:t>
      </w:r>
      <w:r w:rsidRPr="00395593">
        <w:rPr>
          <w:rFonts w:ascii="Garamond" w:hAnsi="Garamond"/>
          <w:sz w:val="24"/>
        </w:rPr>
        <w:t>apresentações</w:t>
      </w:r>
      <w:r w:rsidRPr="00395593">
        <w:rPr>
          <w:rFonts w:ascii="Garamond" w:hAnsi="Garamond"/>
          <w:spacing w:val="2"/>
          <w:sz w:val="24"/>
        </w:rPr>
        <w:t xml:space="preserve"> </w:t>
      </w:r>
      <w:r w:rsidRPr="00395593">
        <w:rPr>
          <w:rFonts w:ascii="Garamond" w:hAnsi="Garamond"/>
          <w:sz w:val="24"/>
        </w:rPr>
        <w:t>com base</w:t>
      </w:r>
      <w:r w:rsidRPr="00395593">
        <w:rPr>
          <w:rFonts w:ascii="Garamond" w:hAnsi="Garamond"/>
          <w:spacing w:val="-2"/>
          <w:sz w:val="24"/>
        </w:rPr>
        <w:t xml:space="preserve"> </w:t>
      </w:r>
      <w:r w:rsidRPr="00395593">
        <w:rPr>
          <w:rFonts w:ascii="Garamond" w:hAnsi="Garamond"/>
          <w:sz w:val="24"/>
        </w:rPr>
        <w:t>em tais</w:t>
      </w:r>
      <w:r w:rsidRPr="00395593">
        <w:rPr>
          <w:rFonts w:ascii="Garamond" w:hAnsi="Garamond"/>
          <w:spacing w:val="-1"/>
          <w:sz w:val="24"/>
        </w:rPr>
        <w:t xml:space="preserve"> </w:t>
      </w:r>
      <w:r w:rsidRPr="00395593">
        <w:rPr>
          <w:rFonts w:ascii="Garamond" w:hAnsi="Garamond"/>
          <w:sz w:val="24"/>
        </w:rPr>
        <w:t>informações.</w:t>
      </w:r>
    </w:p>
    <w:p w14:paraId="45245985" w14:textId="77777777" w:rsidR="00C414FD" w:rsidRPr="00395593" w:rsidRDefault="00C414FD" w:rsidP="00C414FD">
      <w:pPr>
        <w:pStyle w:val="PargrafodaLista"/>
        <w:rPr>
          <w:rFonts w:ascii="Garamond" w:hAnsi="Garamond"/>
          <w:sz w:val="24"/>
        </w:rPr>
      </w:pPr>
    </w:p>
    <w:p w14:paraId="3B6EBB34" w14:textId="77777777" w:rsidR="00C414FD" w:rsidRPr="00395593" w:rsidRDefault="00C414FD" w:rsidP="002C4340">
      <w:pPr>
        <w:pStyle w:val="PargrafodaLista"/>
        <w:widowControl w:val="0"/>
        <w:numPr>
          <w:ilvl w:val="0"/>
          <w:numId w:val="19"/>
        </w:numPr>
        <w:tabs>
          <w:tab w:val="left" w:pos="810"/>
        </w:tabs>
        <w:autoSpaceDE w:val="0"/>
        <w:autoSpaceDN w:val="0"/>
        <w:spacing w:after="0" w:line="240" w:lineRule="auto"/>
        <w:ind w:right="120" w:firstLine="0"/>
        <w:contextualSpacing w:val="0"/>
        <w:jc w:val="both"/>
        <w:rPr>
          <w:rFonts w:ascii="Garamond" w:hAnsi="Garamond"/>
          <w:sz w:val="24"/>
        </w:rPr>
      </w:pPr>
      <w:r w:rsidRPr="00395593">
        <w:rPr>
          <w:rFonts w:ascii="Garamond" w:hAnsi="Garamond"/>
          <w:sz w:val="24"/>
        </w:rPr>
        <w:t>Qualquer informação que seja confidencial por sua própria natureza (por exemplo,</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caso</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informação</w:t>
      </w:r>
      <w:r w:rsidRPr="00395593">
        <w:rPr>
          <w:rFonts w:ascii="Garamond" w:hAnsi="Garamond"/>
          <w:spacing w:val="1"/>
          <w:sz w:val="24"/>
        </w:rPr>
        <w:t xml:space="preserve"> </w:t>
      </w:r>
      <w:r w:rsidRPr="00395593">
        <w:rPr>
          <w:rFonts w:ascii="Garamond" w:hAnsi="Garamond"/>
          <w:sz w:val="24"/>
        </w:rPr>
        <w:t>cuja</w:t>
      </w:r>
      <w:r w:rsidRPr="00395593">
        <w:rPr>
          <w:rFonts w:ascii="Garamond" w:hAnsi="Garamond"/>
          <w:spacing w:val="1"/>
          <w:sz w:val="24"/>
        </w:rPr>
        <w:t xml:space="preserve"> </w:t>
      </w:r>
      <w:r w:rsidRPr="00395593">
        <w:rPr>
          <w:rFonts w:ascii="Garamond" w:hAnsi="Garamond"/>
          <w:sz w:val="24"/>
        </w:rPr>
        <w:t>revelação</w:t>
      </w:r>
      <w:r w:rsidRPr="00395593">
        <w:rPr>
          <w:rFonts w:ascii="Garamond" w:hAnsi="Garamond"/>
          <w:spacing w:val="1"/>
          <w:sz w:val="24"/>
        </w:rPr>
        <w:t xml:space="preserve"> </w:t>
      </w:r>
      <w:r w:rsidRPr="00395593">
        <w:rPr>
          <w:rFonts w:ascii="Garamond" w:hAnsi="Garamond"/>
          <w:sz w:val="24"/>
        </w:rPr>
        <w:t>daria</w:t>
      </w:r>
      <w:r w:rsidRPr="00395593">
        <w:rPr>
          <w:rFonts w:ascii="Garamond" w:hAnsi="Garamond"/>
          <w:spacing w:val="1"/>
          <w:sz w:val="24"/>
        </w:rPr>
        <w:t xml:space="preserve"> </w:t>
      </w:r>
      <w:r w:rsidRPr="00395593">
        <w:rPr>
          <w:rFonts w:ascii="Garamond" w:hAnsi="Garamond"/>
          <w:sz w:val="24"/>
        </w:rPr>
        <w:t>substancial</w:t>
      </w:r>
      <w:r w:rsidRPr="00395593">
        <w:rPr>
          <w:rFonts w:ascii="Garamond" w:hAnsi="Garamond"/>
          <w:spacing w:val="1"/>
          <w:sz w:val="24"/>
        </w:rPr>
        <w:t xml:space="preserve"> </w:t>
      </w:r>
      <w:r w:rsidRPr="00395593">
        <w:rPr>
          <w:rFonts w:ascii="Garamond" w:hAnsi="Garamond"/>
          <w:sz w:val="24"/>
        </w:rPr>
        <w:t>vantagem</w:t>
      </w:r>
      <w:r w:rsidRPr="00395593">
        <w:rPr>
          <w:rFonts w:ascii="Garamond" w:hAnsi="Garamond"/>
          <w:spacing w:val="1"/>
          <w:sz w:val="24"/>
        </w:rPr>
        <w:t xml:space="preserve"> </w:t>
      </w:r>
      <w:r w:rsidRPr="00395593">
        <w:rPr>
          <w:rFonts w:ascii="Garamond" w:hAnsi="Garamond"/>
          <w:sz w:val="24"/>
        </w:rPr>
        <w:t>competitiva</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um</w:t>
      </w:r>
      <w:r w:rsidRPr="00395593">
        <w:rPr>
          <w:rFonts w:ascii="Garamond" w:hAnsi="Garamond"/>
          <w:spacing w:val="1"/>
          <w:sz w:val="24"/>
        </w:rPr>
        <w:t xml:space="preserve"> </w:t>
      </w:r>
      <w:r w:rsidRPr="00395593">
        <w:rPr>
          <w:rFonts w:ascii="Garamond" w:hAnsi="Garamond"/>
          <w:sz w:val="24"/>
        </w:rPr>
        <w:t>competidor ou daquela que teria efeito substancialmente negativo sobre a pessoa que a está</w:t>
      </w:r>
      <w:r w:rsidRPr="00395593">
        <w:rPr>
          <w:rFonts w:ascii="Garamond" w:hAnsi="Garamond"/>
          <w:spacing w:val="1"/>
          <w:sz w:val="24"/>
        </w:rPr>
        <w:t xml:space="preserve"> </w:t>
      </w:r>
      <w:r w:rsidRPr="00395593">
        <w:rPr>
          <w:rFonts w:ascii="Garamond" w:hAnsi="Garamond"/>
          <w:sz w:val="24"/>
        </w:rPr>
        <w:t>prestando ou sobre a pessoa que forneceu a informação àquela que a está prestando) ou que</w:t>
      </w:r>
      <w:r w:rsidRPr="00395593">
        <w:rPr>
          <w:rFonts w:ascii="Garamond" w:hAnsi="Garamond"/>
          <w:spacing w:val="1"/>
          <w:sz w:val="24"/>
        </w:rPr>
        <w:t xml:space="preserve"> </w:t>
      </w:r>
      <w:r w:rsidRPr="00395593">
        <w:rPr>
          <w:rFonts w:ascii="Garamond" w:hAnsi="Garamond"/>
          <w:sz w:val="24"/>
        </w:rPr>
        <w:t>seja fornecida</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base</w:t>
      </w:r>
      <w:r w:rsidRPr="00395593">
        <w:rPr>
          <w:rFonts w:ascii="Garamond" w:hAnsi="Garamond"/>
          <w:spacing w:val="1"/>
          <w:sz w:val="24"/>
        </w:rPr>
        <w:t xml:space="preserve"> </w:t>
      </w:r>
      <w:r w:rsidRPr="00395593">
        <w:rPr>
          <w:rFonts w:ascii="Garamond" w:hAnsi="Garamond"/>
          <w:sz w:val="24"/>
        </w:rPr>
        <w:t>confidencial pelas partes</w:t>
      </w:r>
      <w:r w:rsidRPr="00395593">
        <w:rPr>
          <w:rFonts w:ascii="Garamond" w:hAnsi="Garamond"/>
          <w:spacing w:val="60"/>
          <w:sz w:val="24"/>
        </w:rPr>
        <w:t xml:space="preserve"> </w:t>
      </w:r>
      <w:r w:rsidRPr="00395593">
        <w:rPr>
          <w:rFonts w:ascii="Garamond" w:hAnsi="Garamond"/>
          <w:sz w:val="24"/>
        </w:rPr>
        <w:t>de uma investigação deverá, desde que</w:t>
      </w:r>
      <w:r w:rsidRPr="00395593">
        <w:rPr>
          <w:rFonts w:ascii="Garamond" w:hAnsi="Garamond"/>
          <w:spacing w:val="1"/>
          <w:sz w:val="24"/>
        </w:rPr>
        <w:t xml:space="preserve"> </w:t>
      </w:r>
      <w:r w:rsidRPr="00395593">
        <w:rPr>
          <w:rFonts w:ascii="Garamond" w:hAnsi="Garamond"/>
          <w:sz w:val="24"/>
        </w:rPr>
        <w:t>bem fundamentada, ser tratada como tal pelas autoridades. Tal informação não deverá ser</w:t>
      </w:r>
      <w:r w:rsidRPr="00395593">
        <w:rPr>
          <w:rFonts w:ascii="Garamond" w:hAnsi="Garamond"/>
          <w:spacing w:val="1"/>
          <w:sz w:val="24"/>
        </w:rPr>
        <w:t xml:space="preserve"> </w:t>
      </w:r>
      <w:r w:rsidRPr="00395593">
        <w:rPr>
          <w:rFonts w:ascii="Garamond" w:hAnsi="Garamond"/>
          <w:sz w:val="24"/>
        </w:rPr>
        <w:t>revelada</w:t>
      </w:r>
      <w:r w:rsidRPr="00395593">
        <w:rPr>
          <w:rFonts w:ascii="Garamond" w:hAnsi="Garamond"/>
          <w:spacing w:val="-2"/>
          <w:sz w:val="24"/>
        </w:rPr>
        <w:t xml:space="preserve"> </w:t>
      </w:r>
      <w:r w:rsidRPr="00395593">
        <w:rPr>
          <w:rFonts w:ascii="Garamond" w:hAnsi="Garamond"/>
          <w:sz w:val="24"/>
        </w:rPr>
        <w:t>sem autorização</w:t>
      </w:r>
      <w:r w:rsidRPr="00395593">
        <w:rPr>
          <w:rFonts w:ascii="Garamond" w:hAnsi="Garamond"/>
          <w:spacing w:val="2"/>
          <w:sz w:val="24"/>
        </w:rPr>
        <w:t xml:space="preserve"> </w:t>
      </w:r>
      <w:r w:rsidRPr="00395593">
        <w:rPr>
          <w:rFonts w:ascii="Garamond" w:hAnsi="Garamond"/>
          <w:sz w:val="24"/>
        </w:rPr>
        <w:t>específica</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parte</w:t>
      </w:r>
      <w:r w:rsidRPr="00395593">
        <w:rPr>
          <w:rFonts w:ascii="Garamond" w:hAnsi="Garamond"/>
          <w:spacing w:val="-2"/>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forneceu</w:t>
      </w:r>
      <w:r w:rsidRPr="00395593">
        <w:rPr>
          <w:rFonts w:ascii="Garamond" w:hAnsi="Garamond"/>
          <w:spacing w:val="3"/>
          <w:sz w:val="24"/>
        </w:rPr>
        <w:t xml:space="preserve"> </w:t>
      </w:r>
      <w:r w:rsidRPr="00395593">
        <w:rPr>
          <w:rFonts w:ascii="Garamond" w:hAnsi="Garamond"/>
          <w:sz w:val="24"/>
          <w:vertAlign w:val="superscript"/>
        </w:rPr>
        <w:t>17</w:t>
      </w:r>
      <w:r w:rsidRPr="00395593">
        <w:rPr>
          <w:rFonts w:ascii="Garamond" w:hAnsi="Garamond"/>
          <w:sz w:val="24"/>
        </w:rPr>
        <w:t>.</w:t>
      </w:r>
    </w:p>
    <w:p w14:paraId="091E09DE" w14:textId="5A2E5510" w:rsidR="00D3137B" w:rsidRDefault="00D3137B" w:rsidP="00D3137B">
      <w:pPr>
        <w:pStyle w:val="Corpodetexto"/>
        <w:ind w:left="102"/>
        <w:rPr>
          <w:rFonts w:ascii="Garamond" w:hAnsi="Garamond"/>
          <w:sz w:val="23"/>
        </w:rPr>
      </w:pPr>
    </w:p>
    <w:p w14:paraId="3E8234A8" w14:textId="5C769CC9" w:rsidR="00B273F2" w:rsidRDefault="00B273F2" w:rsidP="00D3137B">
      <w:pPr>
        <w:pStyle w:val="Corpodetexto"/>
        <w:ind w:left="102"/>
        <w:rPr>
          <w:rFonts w:ascii="Garamond" w:hAnsi="Garamond"/>
          <w:sz w:val="23"/>
        </w:rPr>
      </w:pPr>
    </w:p>
    <w:p w14:paraId="4D69B15F" w14:textId="77777777" w:rsidR="00B273F2" w:rsidRPr="00395593" w:rsidRDefault="00B273F2" w:rsidP="00D3137B">
      <w:pPr>
        <w:pStyle w:val="Corpodetexto"/>
        <w:ind w:left="102"/>
        <w:rPr>
          <w:rFonts w:ascii="Garamond" w:hAnsi="Garamond"/>
          <w:sz w:val="23"/>
        </w:rPr>
      </w:pPr>
    </w:p>
    <w:p w14:paraId="01DB0651" w14:textId="5F546DC3" w:rsidR="000B0704" w:rsidRPr="00395593" w:rsidRDefault="00C414FD" w:rsidP="00C414FD">
      <w:pPr>
        <w:pStyle w:val="PargrafodaLista"/>
        <w:spacing w:after="0" w:line="240" w:lineRule="auto"/>
        <w:ind w:left="102"/>
        <w:rPr>
          <w:rFonts w:ascii="Garamond" w:hAnsi="Garamond"/>
          <w:sz w:val="20"/>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54" behindDoc="1" locked="0" layoutInCell="1" allowOverlap="1" wp14:anchorId="4DE1CC0B" wp14:editId="4503B425">
                <wp:simplePos x="0" y="0"/>
                <wp:positionH relativeFrom="margin">
                  <wp:align>left</wp:align>
                </wp:positionH>
                <wp:positionV relativeFrom="paragraph">
                  <wp:posOffset>84083</wp:posOffset>
                </wp:positionV>
                <wp:extent cx="1828800" cy="7620"/>
                <wp:effectExtent l="0" t="0" r="0" b="0"/>
                <wp:wrapTopAndBottom/>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1AB74" id="Retângulo 26" o:spid="_x0000_s1026" style="position:absolute;margin-left:0;margin-top:6.6pt;width:2in;height:.6pt;z-index:-25165822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VwafwIAAPw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" fillcolor="black" stroked="f">
                <w10:wrap type="topAndBottom" anchorx="margin"/>
              </v:rect>
            </w:pict>
          </mc:Fallback>
        </mc:AlternateContent>
      </w:r>
      <w:r w:rsidR="00D3137B" w:rsidRPr="00395593">
        <w:rPr>
          <w:rFonts w:ascii="Garamond" w:hAnsi="Garamond"/>
          <w:sz w:val="20"/>
          <w:vertAlign w:val="superscript"/>
        </w:rPr>
        <w:t>16</w:t>
      </w:r>
      <w:r w:rsidR="00D3137B" w:rsidRPr="00395593">
        <w:rPr>
          <w:rFonts w:ascii="Garamond" w:hAnsi="Garamond"/>
          <w:sz w:val="20"/>
        </w:rPr>
        <w:t xml:space="preserve"> Fica entendido, no caso de o número de exportadores envolvidos ser especialmente alto, que o texto</w:t>
      </w:r>
      <w:r w:rsidR="00D3137B" w:rsidRPr="00395593">
        <w:rPr>
          <w:rFonts w:ascii="Garamond" w:hAnsi="Garamond"/>
          <w:spacing w:val="1"/>
          <w:sz w:val="20"/>
        </w:rPr>
        <w:t xml:space="preserve"> </w:t>
      </w:r>
      <w:r w:rsidR="00D3137B" w:rsidRPr="00395593">
        <w:rPr>
          <w:rFonts w:ascii="Garamond" w:hAnsi="Garamond"/>
          <w:sz w:val="20"/>
        </w:rPr>
        <w:t>completo da petição escrita seja alternativamente fornecido apenas às autoridades do Membro exportador ou à</w:t>
      </w:r>
      <w:r w:rsidR="00D3137B" w:rsidRPr="00395593">
        <w:rPr>
          <w:rFonts w:ascii="Garamond" w:hAnsi="Garamond"/>
          <w:spacing w:val="-47"/>
          <w:sz w:val="20"/>
        </w:rPr>
        <w:t xml:space="preserve"> </w:t>
      </w:r>
      <w:r w:rsidR="00D3137B" w:rsidRPr="00395593">
        <w:rPr>
          <w:rFonts w:ascii="Garamond" w:hAnsi="Garamond"/>
          <w:sz w:val="20"/>
        </w:rPr>
        <w:t>associação comercial correspondente.</w:t>
      </w:r>
    </w:p>
    <w:p w14:paraId="47CB9142" w14:textId="77777777" w:rsidR="00C414FD" w:rsidRPr="00395593" w:rsidRDefault="00C414FD" w:rsidP="00C414FD">
      <w:pPr>
        <w:spacing w:after="0" w:line="240" w:lineRule="auto"/>
        <w:ind w:left="102" w:right="307"/>
        <w:jc w:val="both"/>
        <w:rPr>
          <w:rFonts w:ascii="Garamond" w:hAnsi="Garamond"/>
          <w:sz w:val="20"/>
        </w:rPr>
      </w:pPr>
      <w:r w:rsidRPr="00395593">
        <w:rPr>
          <w:rFonts w:ascii="Garamond" w:hAnsi="Garamond"/>
          <w:sz w:val="20"/>
          <w:vertAlign w:val="superscript"/>
        </w:rPr>
        <w:t>17</w:t>
      </w:r>
      <w:r w:rsidRPr="00395593">
        <w:rPr>
          <w:rFonts w:ascii="Garamond" w:hAnsi="Garamond"/>
          <w:spacing w:val="-3"/>
          <w:sz w:val="20"/>
        </w:rPr>
        <w:t xml:space="preserve"> </w:t>
      </w:r>
      <w:r w:rsidRPr="00395593">
        <w:rPr>
          <w:rFonts w:ascii="Garamond" w:hAnsi="Garamond"/>
          <w:sz w:val="20"/>
        </w:rPr>
        <w:t>Os</w:t>
      </w:r>
      <w:r w:rsidRPr="00395593">
        <w:rPr>
          <w:rFonts w:ascii="Garamond" w:hAnsi="Garamond"/>
          <w:spacing w:val="-3"/>
          <w:sz w:val="20"/>
        </w:rPr>
        <w:t xml:space="preserve"> </w:t>
      </w:r>
      <w:r w:rsidRPr="00395593">
        <w:rPr>
          <w:rFonts w:ascii="Garamond" w:hAnsi="Garamond"/>
          <w:sz w:val="20"/>
        </w:rPr>
        <w:t>Membros</w:t>
      </w:r>
      <w:r w:rsidRPr="00395593">
        <w:rPr>
          <w:rFonts w:ascii="Garamond" w:hAnsi="Garamond"/>
          <w:spacing w:val="-3"/>
          <w:sz w:val="20"/>
        </w:rPr>
        <w:t xml:space="preserve"> </w:t>
      </w:r>
      <w:r w:rsidRPr="00395593">
        <w:rPr>
          <w:rFonts w:ascii="Garamond" w:hAnsi="Garamond"/>
          <w:sz w:val="20"/>
        </w:rPr>
        <w:t>estão</w:t>
      </w:r>
      <w:r w:rsidRPr="00395593">
        <w:rPr>
          <w:rFonts w:ascii="Garamond" w:hAnsi="Garamond"/>
          <w:spacing w:val="-1"/>
          <w:sz w:val="20"/>
        </w:rPr>
        <w:t xml:space="preserve"> </w:t>
      </w:r>
      <w:r w:rsidRPr="00395593">
        <w:rPr>
          <w:rFonts w:ascii="Garamond" w:hAnsi="Garamond"/>
          <w:sz w:val="20"/>
        </w:rPr>
        <w:t>conscientes</w:t>
      </w:r>
      <w:r w:rsidRPr="00395593">
        <w:rPr>
          <w:rFonts w:ascii="Garamond" w:hAnsi="Garamond"/>
          <w:spacing w:val="-3"/>
          <w:sz w:val="20"/>
        </w:rPr>
        <w:t xml:space="preserve"> </w:t>
      </w:r>
      <w:r w:rsidRPr="00395593">
        <w:rPr>
          <w:rFonts w:ascii="Garamond" w:hAnsi="Garamond"/>
          <w:sz w:val="20"/>
        </w:rPr>
        <w:t>de</w:t>
      </w:r>
      <w:r w:rsidRPr="00395593">
        <w:rPr>
          <w:rFonts w:ascii="Garamond" w:hAnsi="Garamond"/>
          <w:spacing w:val="-2"/>
          <w:sz w:val="20"/>
        </w:rPr>
        <w:t xml:space="preserve"> </w:t>
      </w:r>
      <w:r w:rsidRPr="00395593">
        <w:rPr>
          <w:rFonts w:ascii="Garamond" w:hAnsi="Garamond"/>
          <w:sz w:val="20"/>
        </w:rPr>
        <w:t>que,</w:t>
      </w:r>
      <w:r w:rsidRPr="00395593">
        <w:rPr>
          <w:rFonts w:ascii="Garamond" w:hAnsi="Garamond"/>
          <w:spacing w:val="-1"/>
          <w:sz w:val="20"/>
        </w:rPr>
        <w:t xml:space="preserve"> </w:t>
      </w:r>
      <w:r w:rsidRPr="00395593">
        <w:rPr>
          <w:rFonts w:ascii="Garamond" w:hAnsi="Garamond"/>
          <w:sz w:val="20"/>
        </w:rPr>
        <w:t>no</w:t>
      </w:r>
      <w:r w:rsidRPr="00395593">
        <w:rPr>
          <w:rFonts w:ascii="Garamond" w:hAnsi="Garamond"/>
          <w:spacing w:val="-1"/>
          <w:sz w:val="20"/>
        </w:rPr>
        <w:t xml:space="preserve"> </w:t>
      </w:r>
      <w:r w:rsidRPr="00395593">
        <w:rPr>
          <w:rFonts w:ascii="Garamond" w:hAnsi="Garamond"/>
          <w:sz w:val="20"/>
        </w:rPr>
        <w:t>território</w:t>
      </w:r>
      <w:r w:rsidRPr="00395593">
        <w:rPr>
          <w:rFonts w:ascii="Garamond" w:hAnsi="Garamond"/>
          <w:spacing w:val="-1"/>
          <w:sz w:val="20"/>
        </w:rPr>
        <w:t xml:space="preserve"> </w:t>
      </w:r>
      <w:r w:rsidRPr="00395593">
        <w:rPr>
          <w:rFonts w:ascii="Garamond" w:hAnsi="Garamond"/>
          <w:sz w:val="20"/>
        </w:rPr>
        <w:t>de</w:t>
      </w:r>
      <w:r w:rsidRPr="00395593">
        <w:rPr>
          <w:rFonts w:ascii="Garamond" w:hAnsi="Garamond"/>
          <w:spacing w:val="-2"/>
          <w:sz w:val="20"/>
        </w:rPr>
        <w:t xml:space="preserve"> </w:t>
      </w:r>
      <w:r w:rsidRPr="00395593">
        <w:rPr>
          <w:rFonts w:ascii="Garamond" w:hAnsi="Garamond"/>
          <w:sz w:val="20"/>
        </w:rPr>
        <w:t>alguns</w:t>
      </w:r>
      <w:r w:rsidRPr="00395593">
        <w:rPr>
          <w:rFonts w:ascii="Garamond" w:hAnsi="Garamond"/>
          <w:spacing w:val="-3"/>
          <w:sz w:val="20"/>
        </w:rPr>
        <w:t xml:space="preserve"> </w:t>
      </w:r>
      <w:r w:rsidRPr="00395593">
        <w:rPr>
          <w:rFonts w:ascii="Garamond" w:hAnsi="Garamond"/>
          <w:sz w:val="20"/>
        </w:rPr>
        <w:t>dos</w:t>
      </w:r>
      <w:r w:rsidRPr="00395593">
        <w:rPr>
          <w:rFonts w:ascii="Garamond" w:hAnsi="Garamond"/>
          <w:spacing w:val="-3"/>
          <w:sz w:val="20"/>
        </w:rPr>
        <w:t xml:space="preserve"> </w:t>
      </w:r>
      <w:r w:rsidRPr="00395593">
        <w:rPr>
          <w:rFonts w:ascii="Garamond" w:hAnsi="Garamond"/>
          <w:sz w:val="20"/>
        </w:rPr>
        <w:t>Membros,</w:t>
      </w:r>
      <w:r w:rsidRPr="00395593">
        <w:rPr>
          <w:rFonts w:ascii="Garamond" w:hAnsi="Garamond"/>
          <w:spacing w:val="-2"/>
          <w:sz w:val="20"/>
        </w:rPr>
        <w:t xml:space="preserve"> </w:t>
      </w:r>
      <w:r w:rsidRPr="00395593">
        <w:rPr>
          <w:rFonts w:ascii="Garamond" w:hAnsi="Garamond"/>
          <w:sz w:val="20"/>
        </w:rPr>
        <w:t>poderá</w:t>
      </w:r>
      <w:r w:rsidRPr="00395593">
        <w:rPr>
          <w:rFonts w:ascii="Garamond" w:hAnsi="Garamond"/>
          <w:spacing w:val="-2"/>
          <w:sz w:val="20"/>
        </w:rPr>
        <w:t xml:space="preserve"> </w:t>
      </w:r>
      <w:r w:rsidRPr="00395593">
        <w:rPr>
          <w:rFonts w:ascii="Garamond" w:hAnsi="Garamond"/>
          <w:sz w:val="20"/>
        </w:rPr>
        <w:t>ser</w:t>
      </w:r>
      <w:r w:rsidRPr="00395593">
        <w:rPr>
          <w:rFonts w:ascii="Garamond" w:hAnsi="Garamond"/>
          <w:spacing w:val="-4"/>
          <w:sz w:val="20"/>
        </w:rPr>
        <w:t xml:space="preserve"> </w:t>
      </w:r>
      <w:r w:rsidRPr="00395593">
        <w:rPr>
          <w:rFonts w:ascii="Garamond" w:hAnsi="Garamond"/>
          <w:sz w:val="20"/>
        </w:rPr>
        <w:t>necessário</w:t>
      </w:r>
      <w:r w:rsidRPr="00395593">
        <w:rPr>
          <w:rFonts w:ascii="Garamond" w:hAnsi="Garamond"/>
          <w:spacing w:val="-1"/>
          <w:sz w:val="20"/>
        </w:rPr>
        <w:t xml:space="preserve"> </w:t>
      </w:r>
      <w:r w:rsidRPr="00395593">
        <w:rPr>
          <w:rFonts w:ascii="Garamond" w:hAnsi="Garamond"/>
          <w:sz w:val="20"/>
        </w:rPr>
        <w:t>revelar</w:t>
      </w:r>
      <w:r w:rsidRPr="00395593">
        <w:rPr>
          <w:rFonts w:ascii="Garamond" w:hAnsi="Garamond"/>
          <w:spacing w:val="-47"/>
          <w:sz w:val="20"/>
        </w:rPr>
        <w:t xml:space="preserve"> </w:t>
      </w:r>
      <w:r w:rsidRPr="00395593">
        <w:rPr>
          <w:rFonts w:ascii="Garamond" w:hAnsi="Garamond"/>
          <w:sz w:val="20"/>
        </w:rPr>
        <w:t>uma</w:t>
      </w:r>
      <w:r w:rsidRPr="00395593">
        <w:rPr>
          <w:rFonts w:ascii="Garamond" w:hAnsi="Garamond"/>
          <w:spacing w:val="-1"/>
          <w:sz w:val="20"/>
        </w:rPr>
        <w:t xml:space="preserve"> </w:t>
      </w:r>
      <w:r w:rsidRPr="00395593">
        <w:rPr>
          <w:rFonts w:ascii="Garamond" w:hAnsi="Garamond"/>
          <w:sz w:val="20"/>
        </w:rPr>
        <w:t>informação</w:t>
      </w:r>
      <w:r w:rsidRPr="00395593">
        <w:rPr>
          <w:rFonts w:ascii="Garamond" w:hAnsi="Garamond"/>
          <w:spacing w:val="1"/>
          <w:sz w:val="20"/>
        </w:rPr>
        <w:t xml:space="preserve"> </w:t>
      </w:r>
      <w:r w:rsidRPr="00395593">
        <w:rPr>
          <w:rFonts w:ascii="Garamond" w:hAnsi="Garamond"/>
          <w:sz w:val="20"/>
        </w:rPr>
        <w:t>em</w:t>
      </w:r>
      <w:r w:rsidRPr="00395593">
        <w:rPr>
          <w:rFonts w:ascii="Garamond" w:hAnsi="Garamond"/>
          <w:spacing w:val="-4"/>
          <w:sz w:val="20"/>
        </w:rPr>
        <w:t xml:space="preserve"> </w:t>
      </w:r>
      <w:r w:rsidRPr="00395593">
        <w:rPr>
          <w:rFonts w:ascii="Garamond" w:hAnsi="Garamond"/>
          <w:sz w:val="20"/>
        </w:rPr>
        <w:t>obediência</w:t>
      </w:r>
      <w:r w:rsidRPr="00395593">
        <w:rPr>
          <w:rFonts w:ascii="Garamond" w:hAnsi="Garamond"/>
          <w:spacing w:val="-1"/>
          <w:sz w:val="20"/>
        </w:rPr>
        <w:t xml:space="preserve"> </w:t>
      </w:r>
      <w:r w:rsidRPr="00395593">
        <w:rPr>
          <w:rFonts w:ascii="Garamond" w:hAnsi="Garamond"/>
          <w:sz w:val="20"/>
        </w:rPr>
        <w:t>a medida cautelar exarada em</w:t>
      </w:r>
      <w:r w:rsidRPr="00395593">
        <w:rPr>
          <w:rFonts w:ascii="Garamond" w:hAnsi="Garamond"/>
          <w:spacing w:val="-1"/>
          <w:sz w:val="20"/>
        </w:rPr>
        <w:t xml:space="preserve"> </w:t>
      </w:r>
      <w:r w:rsidRPr="00395593">
        <w:rPr>
          <w:rFonts w:ascii="Garamond" w:hAnsi="Garamond"/>
          <w:sz w:val="20"/>
        </w:rPr>
        <w:t>termos</w:t>
      </w:r>
      <w:r w:rsidRPr="00395593">
        <w:rPr>
          <w:rFonts w:ascii="Garamond" w:hAnsi="Garamond"/>
          <w:spacing w:val="1"/>
          <w:sz w:val="20"/>
        </w:rPr>
        <w:t xml:space="preserve"> </w:t>
      </w:r>
      <w:r w:rsidRPr="00395593">
        <w:rPr>
          <w:rFonts w:ascii="Garamond" w:hAnsi="Garamond"/>
          <w:sz w:val="20"/>
        </w:rPr>
        <w:t xml:space="preserve">muito precisos. </w:t>
      </w:r>
    </w:p>
    <w:p w14:paraId="5BE97C27" w14:textId="77777777" w:rsidR="00C414FD" w:rsidRPr="00395593" w:rsidRDefault="00C414FD" w:rsidP="00D3137B">
      <w:pPr>
        <w:pStyle w:val="PargrafodaLista"/>
        <w:ind w:left="102"/>
        <w:rPr>
          <w:rFonts w:ascii="Garamond" w:eastAsia="Times New Roman" w:hAnsi="Garamond" w:cs="Times New Roman"/>
          <w:sz w:val="24"/>
          <w:szCs w:val="24"/>
        </w:rPr>
      </w:pPr>
    </w:p>
    <w:p w14:paraId="11A246A4" w14:textId="67906E43" w:rsidR="00C414FD" w:rsidRPr="00395593" w:rsidRDefault="00C414FD">
      <w:pPr>
        <w:rPr>
          <w:rFonts w:ascii="Garamond" w:eastAsia="Times New Roman" w:hAnsi="Garamond" w:cs="Times New Roman"/>
          <w:sz w:val="24"/>
          <w:szCs w:val="24"/>
        </w:rPr>
      </w:pPr>
      <w:r w:rsidRPr="00395593">
        <w:rPr>
          <w:rFonts w:ascii="Garamond" w:hAnsi="Garamond"/>
        </w:rPr>
        <w:br w:type="page"/>
      </w:r>
    </w:p>
    <w:p w14:paraId="454C39A8" w14:textId="3A22D545" w:rsidR="0013285C" w:rsidRPr="00395593" w:rsidRDefault="00C414FD" w:rsidP="002C4340">
      <w:pPr>
        <w:pStyle w:val="PargrafodaLista"/>
        <w:widowControl w:val="0"/>
        <w:numPr>
          <w:ilvl w:val="0"/>
          <w:numId w:val="19"/>
        </w:numPr>
        <w:tabs>
          <w:tab w:val="left" w:pos="822"/>
        </w:tabs>
        <w:autoSpaceDE w:val="0"/>
        <w:autoSpaceDN w:val="0"/>
        <w:spacing w:before="68" w:after="0" w:line="240" w:lineRule="auto"/>
        <w:ind w:left="821" w:right="121" w:hanging="720"/>
        <w:contextualSpacing w:val="0"/>
        <w:jc w:val="both"/>
        <w:rPr>
          <w:rFonts w:ascii="Garamond" w:hAnsi="Garamond"/>
          <w:sz w:val="24"/>
        </w:rPr>
      </w:pPr>
      <w:r w:rsidRPr="00395593">
        <w:rPr>
          <w:rFonts w:ascii="Garamond" w:hAnsi="Garamond"/>
          <w:sz w:val="24"/>
        </w:rPr>
        <w:t xml:space="preserve"> </w:t>
      </w:r>
      <w:r w:rsidR="0013285C" w:rsidRPr="00395593">
        <w:rPr>
          <w:rFonts w:ascii="Garamond" w:hAnsi="Garamond"/>
          <w:sz w:val="24"/>
        </w:rPr>
        <w:t>(a)</w:t>
      </w:r>
      <w:r w:rsidR="0013285C" w:rsidRPr="00395593">
        <w:rPr>
          <w:rFonts w:ascii="Garamond" w:hAnsi="Garamond"/>
          <w:spacing w:val="1"/>
          <w:sz w:val="24"/>
        </w:rPr>
        <w:t xml:space="preserve"> </w:t>
      </w:r>
      <w:r w:rsidR="0013285C" w:rsidRPr="00395593">
        <w:rPr>
          <w:rFonts w:ascii="Garamond" w:hAnsi="Garamond"/>
          <w:sz w:val="24"/>
        </w:rPr>
        <w:t>As</w:t>
      </w:r>
      <w:r w:rsidR="0013285C" w:rsidRPr="00395593">
        <w:rPr>
          <w:rFonts w:ascii="Garamond" w:hAnsi="Garamond"/>
          <w:spacing w:val="1"/>
          <w:sz w:val="24"/>
        </w:rPr>
        <w:t xml:space="preserve"> </w:t>
      </w:r>
      <w:r w:rsidR="0013285C" w:rsidRPr="00395593">
        <w:rPr>
          <w:rFonts w:ascii="Garamond" w:hAnsi="Garamond"/>
          <w:sz w:val="24"/>
        </w:rPr>
        <w:t>autoridades</w:t>
      </w:r>
      <w:r w:rsidR="0013285C" w:rsidRPr="00395593">
        <w:rPr>
          <w:rFonts w:ascii="Garamond" w:hAnsi="Garamond"/>
          <w:spacing w:val="1"/>
          <w:sz w:val="24"/>
        </w:rPr>
        <w:t xml:space="preserve"> </w:t>
      </w:r>
      <w:r w:rsidR="0013285C" w:rsidRPr="00395593">
        <w:rPr>
          <w:rFonts w:ascii="Garamond" w:hAnsi="Garamond"/>
          <w:sz w:val="24"/>
        </w:rPr>
        <w:t>deverão</w:t>
      </w:r>
      <w:r w:rsidR="0013285C" w:rsidRPr="00395593">
        <w:rPr>
          <w:rFonts w:ascii="Garamond" w:hAnsi="Garamond"/>
          <w:spacing w:val="1"/>
          <w:sz w:val="24"/>
        </w:rPr>
        <w:t xml:space="preserve"> </w:t>
      </w:r>
      <w:r w:rsidR="0013285C" w:rsidRPr="00395593">
        <w:rPr>
          <w:rFonts w:ascii="Garamond" w:hAnsi="Garamond"/>
          <w:sz w:val="24"/>
        </w:rPr>
        <w:t>requerer</w:t>
      </w:r>
      <w:r w:rsidR="0013285C" w:rsidRPr="00395593">
        <w:rPr>
          <w:rFonts w:ascii="Garamond" w:hAnsi="Garamond"/>
          <w:spacing w:val="1"/>
          <w:sz w:val="24"/>
        </w:rPr>
        <w:t xml:space="preserve"> </w:t>
      </w:r>
      <w:r w:rsidR="0013285C" w:rsidRPr="00395593">
        <w:rPr>
          <w:rFonts w:ascii="Garamond" w:hAnsi="Garamond"/>
          <w:sz w:val="24"/>
        </w:rPr>
        <w:t>às</w:t>
      </w:r>
      <w:r w:rsidR="0013285C" w:rsidRPr="00395593">
        <w:rPr>
          <w:rFonts w:ascii="Garamond" w:hAnsi="Garamond"/>
          <w:spacing w:val="1"/>
          <w:sz w:val="24"/>
        </w:rPr>
        <w:t xml:space="preserve"> </w:t>
      </w:r>
      <w:r w:rsidR="0013285C" w:rsidRPr="00395593">
        <w:rPr>
          <w:rFonts w:ascii="Garamond" w:hAnsi="Garamond"/>
          <w:sz w:val="24"/>
        </w:rPr>
        <w:t>partes</w:t>
      </w:r>
      <w:r w:rsidR="0013285C" w:rsidRPr="00395593">
        <w:rPr>
          <w:rFonts w:ascii="Garamond" w:hAnsi="Garamond"/>
          <w:spacing w:val="1"/>
          <w:sz w:val="24"/>
        </w:rPr>
        <w:t xml:space="preserve"> </w:t>
      </w:r>
      <w:r w:rsidR="0013285C" w:rsidRPr="00395593">
        <w:rPr>
          <w:rFonts w:ascii="Garamond" w:hAnsi="Garamond"/>
          <w:sz w:val="24"/>
        </w:rPr>
        <w:t>interessadas</w:t>
      </w:r>
      <w:r w:rsidR="0013285C" w:rsidRPr="00395593">
        <w:rPr>
          <w:rFonts w:ascii="Garamond" w:hAnsi="Garamond"/>
          <w:spacing w:val="1"/>
          <w:sz w:val="24"/>
        </w:rPr>
        <w:t xml:space="preserve"> </w:t>
      </w:r>
      <w:r w:rsidR="0013285C" w:rsidRPr="00395593">
        <w:rPr>
          <w:rFonts w:ascii="Garamond" w:hAnsi="Garamond"/>
          <w:sz w:val="24"/>
        </w:rPr>
        <w:t>que</w:t>
      </w:r>
      <w:r w:rsidR="0013285C" w:rsidRPr="00395593">
        <w:rPr>
          <w:rFonts w:ascii="Garamond" w:hAnsi="Garamond"/>
          <w:spacing w:val="61"/>
          <w:sz w:val="24"/>
        </w:rPr>
        <w:t xml:space="preserve"> </w:t>
      </w:r>
      <w:r w:rsidR="0013285C" w:rsidRPr="00395593">
        <w:rPr>
          <w:rFonts w:ascii="Garamond" w:hAnsi="Garamond"/>
          <w:sz w:val="24"/>
        </w:rPr>
        <w:t>forneçam</w:t>
      </w:r>
      <w:r w:rsidR="0013285C" w:rsidRPr="00395593">
        <w:rPr>
          <w:rFonts w:ascii="Garamond" w:hAnsi="Garamond"/>
          <w:spacing w:val="1"/>
          <w:sz w:val="24"/>
        </w:rPr>
        <w:t xml:space="preserve"> </w:t>
      </w:r>
      <w:r w:rsidR="0013285C" w:rsidRPr="00395593">
        <w:rPr>
          <w:rFonts w:ascii="Garamond" w:hAnsi="Garamond"/>
          <w:sz w:val="24"/>
        </w:rPr>
        <w:t>informações</w:t>
      </w:r>
      <w:r w:rsidR="0013285C" w:rsidRPr="00395593">
        <w:rPr>
          <w:rFonts w:ascii="Garamond" w:hAnsi="Garamond"/>
          <w:spacing w:val="1"/>
          <w:sz w:val="24"/>
        </w:rPr>
        <w:t xml:space="preserve"> </w:t>
      </w:r>
      <w:r w:rsidR="0013285C" w:rsidRPr="00395593">
        <w:rPr>
          <w:rFonts w:ascii="Garamond" w:hAnsi="Garamond"/>
          <w:sz w:val="24"/>
        </w:rPr>
        <w:t>confidenciais</w:t>
      </w:r>
      <w:r w:rsidR="0013285C" w:rsidRPr="00395593">
        <w:rPr>
          <w:rFonts w:ascii="Garamond" w:hAnsi="Garamond"/>
          <w:spacing w:val="1"/>
          <w:sz w:val="24"/>
        </w:rPr>
        <w:t xml:space="preserve"> </w:t>
      </w:r>
      <w:r w:rsidR="0013285C" w:rsidRPr="00395593">
        <w:rPr>
          <w:rFonts w:ascii="Garamond" w:hAnsi="Garamond"/>
          <w:sz w:val="24"/>
        </w:rPr>
        <w:t>a</w:t>
      </w:r>
      <w:r w:rsidR="0013285C" w:rsidRPr="00395593">
        <w:rPr>
          <w:rFonts w:ascii="Garamond" w:hAnsi="Garamond"/>
          <w:spacing w:val="1"/>
          <w:sz w:val="24"/>
        </w:rPr>
        <w:t xml:space="preserve"> </w:t>
      </w:r>
      <w:r w:rsidR="0013285C" w:rsidRPr="00395593">
        <w:rPr>
          <w:rFonts w:ascii="Garamond" w:hAnsi="Garamond"/>
          <w:sz w:val="24"/>
        </w:rPr>
        <w:t>entrega</w:t>
      </w:r>
      <w:r w:rsidR="0013285C" w:rsidRPr="00395593">
        <w:rPr>
          <w:rFonts w:ascii="Garamond" w:hAnsi="Garamond"/>
          <w:spacing w:val="1"/>
          <w:sz w:val="24"/>
        </w:rPr>
        <w:t xml:space="preserve"> </w:t>
      </w:r>
      <w:r w:rsidR="0013285C" w:rsidRPr="00395593">
        <w:rPr>
          <w:rFonts w:ascii="Garamond" w:hAnsi="Garamond"/>
          <w:sz w:val="24"/>
        </w:rPr>
        <w:t>de</w:t>
      </w:r>
      <w:r w:rsidR="0013285C" w:rsidRPr="00395593">
        <w:rPr>
          <w:rFonts w:ascii="Garamond" w:hAnsi="Garamond"/>
          <w:spacing w:val="1"/>
          <w:sz w:val="24"/>
        </w:rPr>
        <w:t xml:space="preserve"> </w:t>
      </w:r>
      <w:r w:rsidR="0013285C" w:rsidRPr="00395593">
        <w:rPr>
          <w:rFonts w:ascii="Garamond" w:hAnsi="Garamond"/>
          <w:sz w:val="24"/>
        </w:rPr>
        <w:t>resumos</w:t>
      </w:r>
      <w:r w:rsidR="0013285C" w:rsidRPr="00395593">
        <w:rPr>
          <w:rFonts w:ascii="Garamond" w:hAnsi="Garamond"/>
          <w:spacing w:val="1"/>
          <w:sz w:val="24"/>
        </w:rPr>
        <w:t xml:space="preserve"> </w:t>
      </w:r>
      <w:r w:rsidR="0013285C" w:rsidRPr="00395593">
        <w:rPr>
          <w:rFonts w:ascii="Garamond" w:hAnsi="Garamond"/>
          <w:sz w:val="24"/>
        </w:rPr>
        <w:t>ostensivos</w:t>
      </w:r>
      <w:r w:rsidR="0013285C" w:rsidRPr="00395593">
        <w:rPr>
          <w:rFonts w:ascii="Garamond" w:hAnsi="Garamond"/>
          <w:spacing w:val="1"/>
          <w:sz w:val="24"/>
        </w:rPr>
        <w:t xml:space="preserve"> </w:t>
      </w:r>
      <w:r w:rsidR="0013285C" w:rsidRPr="00395593">
        <w:rPr>
          <w:rFonts w:ascii="Garamond" w:hAnsi="Garamond"/>
          <w:sz w:val="24"/>
        </w:rPr>
        <w:t>das</w:t>
      </w:r>
      <w:r w:rsidR="0013285C" w:rsidRPr="00395593">
        <w:rPr>
          <w:rFonts w:ascii="Garamond" w:hAnsi="Garamond"/>
          <w:spacing w:val="1"/>
          <w:sz w:val="24"/>
        </w:rPr>
        <w:t xml:space="preserve"> </w:t>
      </w:r>
      <w:r w:rsidR="0013285C" w:rsidRPr="00395593">
        <w:rPr>
          <w:rFonts w:ascii="Garamond" w:hAnsi="Garamond"/>
          <w:sz w:val="24"/>
        </w:rPr>
        <w:t>mesmas.</w:t>
      </w:r>
      <w:r w:rsidR="0013285C" w:rsidRPr="00395593">
        <w:rPr>
          <w:rFonts w:ascii="Garamond" w:hAnsi="Garamond"/>
          <w:spacing w:val="1"/>
          <w:sz w:val="24"/>
        </w:rPr>
        <w:t xml:space="preserve"> </w:t>
      </w:r>
      <w:r w:rsidR="0013285C" w:rsidRPr="00395593">
        <w:rPr>
          <w:rFonts w:ascii="Garamond" w:hAnsi="Garamond"/>
          <w:sz w:val="24"/>
        </w:rPr>
        <w:t>Tais</w:t>
      </w:r>
      <w:r w:rsidR="0013285C" w:rsidRPr="00395593">
        <w:rPr>
          <w:rFonts w:ascii="Garamond" w:hAnsi="Garamond"/>
          <w:spacing w:val="1"/>
          <w:sz w:val="24"/>
        </w:rPr>
        <w:t xml:space="preserve"> </w:t>
      </w:r>
      <w:r w:rsidR="0013285C" w:rsidRPr="00395593">
        <w:rPr>
          <w:rFonts w:ascii="Garamond" w:hAnsi="Garamond"/>
          <w:sz w:val="24"/>
        </w:rPr>
        <w:t>resumos</w:t>
      </w:r>
      <w:r w:rsidR="0013285C" w:rsidRPr="00395593">
        <w:rPr>
          <w:rFonts w:ascii="Garamond" w:hAnsi="Garamond"/>
          <w:spacing w:val="1"/>
          <w:sz w:val="24"/>
        </w:rPr>
        <w:t xml:space="preserve"> </w:t>
      </w:r>
      <w:r w:rsidR="0013285C" w:rsidRPr="00395593">
        <w:rPr>
          <w:rFonts w:ascii="Garamond" w:hAnsi="Garamond"/>
          <w:sz w:val="24"/>
        </w:rPr>
        <w:t>deverão</w:t>
      </w:r>
      <w:r w:rsidR="0013285C" w:rsidRPr="00395593">
        <w:rPr>
          <w:rFonts w:ascii="Garamond" w:hAnsi="Garamond"/>
          <w:spacing w:val="1"/>
          <w:sz w:val="24"/>
        </w:rPr>
        <w:t xml:space="preserve"> </w:t>
      </w:r>
      <w:r w:rsidR="0013285C" w:rsidRPr="00395593">
        <w:rPr>
          <w:rFonts w:ascii="Garamond" w:hAnsi="Garamond"/>
          <w:sz w:val="24"/>
        </w:rPr>
        <w:t>conter</w:t>
      </w:r>
      <w:r w:rsidR="0013285C" w:rsidRPr="00395593">
        <w:rPr>
          <w:rFonts w:ascii="Garamond" w:hAnsi="Garamond"/>
          <w:spacing w:val="1"/>
          <w:sz w:val="24"/>
        </w:rPr>
        <w:t xml:space="preserve"> </w:t>
      </w:r>
      <w:r w:rsidR="0013285C" w:rsidRPr="00395593">
        <w:rPr>
          <w:rFonts w:ascii="Garamond" w:hAnsi="Garamond"/>
          <w:sz w:val="24"/>
        </w:rPr>
        <w:t>pormenorização</w:t>
      </w:r>
      <w:r w:rsidR="0013285C" w:rsidRPr="00395593">
        <w:rPr>
          <w:rFonts w:ascii="Garamond" w:hAnsi="Garamond"/>
          <w:spacing w:val="1"/>
          <w:sz w:val="24"/>
        </w:rPr>
        <w:t xml:space="preserve"> </w:t>
      </w:r>
      <w:r w:rsidR="0013285C" w:rsidRPr="00395593">
        <w:rPr>
          <w:rFonts w:ascii="Garamond" w:hAnsi="Garamond"/>
          <w:sz w:val="24"/>
        </w:rPr>
        <w:t>suficiente</w:t>
      </w:r>
      <w:r w:rsidR="0013285C" w:rsidRPr="00395593">
        <w:rPr>
          <w:rFonts w:ascii="Garamond" w:hAnsi="Garamond"/>
          <w:spacing w:val="1"/>
          <w:sz w:val="24"/>
        </w:rPr>
        <w:t xml:space="preserve"> </w:t>
      </w:r>
      <w:r w:rsidR="0013285C" w:rsidRPr="00395593">
        <w:rPr>
          <w:rFonts w:ascii="Garamond" w:hAnsi="Garamond"/>
          <w:sz w:val="24"/>
        </w:rPr>
        <w:t>que</w:t>
      </w:r>
      <w:r w:rsidR="0013285C" w:rsidRPr="00395593">
        <w:rPr>
          <w:rFonts w:ascii="Garamond" w:hAnsi="Garamond"/>
          <w:spacing w:val="1"/>
          <w:sz w:val="24"/>
        </w:rPr>
        <w:t xml:space="preserve"> </w:t>
      </w:r>
      <w:r w:rsidR="0013285C" w:rsidRPr="00395593">
        <w:rPr>
          <w:rFonts w:ascii="Garamond" w:hAnsi="Garamond"/>
          <w:sz w:val="24"/>
        </w:rPr>
        <w:t>permita</w:t>
      </w:r>
      <w:r w:rsidR="0013285C" w:rsidRPr="00395593">
        <w:rPr>
          <w:rFonts w:ascii="Garamond" w:hAnsi="Garamond"/>
          <w:spacing w:val="1"/>
          <w:sz w:val="24"/>
        </w:rPr>
        <w:t xml:space="preserve"> </w:t>
      </w:r>
      <w:r w:rsidR="0013285C" w:rsidRPr="00395593">
        <w:rPr>
          <w:rFonts w:ascii="Garamond" w:hAnsi="Garamond"/>
          <w:sz w:val="24"/>
        </w:rPr>
        <w:t>compreensão</w:t>
      </w:r>
      <w:r w:rsidR="0013285C" w:rsidRPr="00395593">
        <w:rPr>
          <w:rFonts w:ascii="Garamond" w:hAnsi="Garamond"/>
          <w:spacing w:val="1"/>
          <w:sz w:val="24"/>
        </w:rPr>
        <w:t xml:space="preserve"> </w:t>
      </w:r>
      <w:r w:rsidR="0013285C" w:rsidRPr="00395593">
        <w:rPr>
          <w:rFonts w:ascii="Garamond" w:hAnsi="Garamond"/>
          <w:sz w:val="24"/>
        </w:rPr>
        <w:t>razoável</w:t>
      </w:r>
      <w:r w:rsidR="0013285C" w:rsidRPr="00395593">
        <w:rPr>
          <w:rFonts w:ascii="Garamond" w:hAnsi="Garamond"/>
          <w:spacing w:val="1"/>
          <w:sz w:val="24"/>
        </w:rPr>
        <w:t xml:space="preserve"> </w:t>
      </w:r>
      <w:r w:rsidR="0013285C" w:rsidRPr="00395593">
        <w:rPr>
          <w:rFonts w:ascii="Garamond" w:hAnsi="Garamond"/>
          <w:sz w:val="24"/>
        </w:rPr>
        <w:t>da</w:t>
      </w:r>
      <w:r w:rsidR="0013285C" w:rsidRPr="00395593">
        <w:rPr>
          <w:rFonts w:ascii="Garamond" w:hAnsi="Garamond"/>
          <w:spacing w:val="1"/>
          <w:sz w:val="24"/>
        </w:rPr>
        <w:t xml:space="preserve"> </w:t>
      </w:r>
      <w:r w:rsidR="0013285C" w:rsidRPr="00395593">
        <w:rPr>
          <w:rFonts w:ascii="Garamond" w:hAnsi="Garamond"/>
          <w:sz w:val="24"/>
        </w:rPr>
        <w:t>substância</w:t>
      </w:r>
      <w:r w:rsidR="0013285C" w:rsidRPr="00395593">
        <w:rPr>
          <w:rFonts w:ascii="Garamond" w:hAnsi="Garamond"/>
          <w:spacing w:val="1"/>
          <w:sz w:val="24"/>
        </w:rPr>
        <w:t xml:space="preserve"> </w:t>
      </w:r>
      <w:r w:rsidR="0013285C" w:rsidRPr="00395593">
        <w:rPr>
          <w:rFonts w:ascii="Garamond" w:hAnsi="Garamond"/>
          <w:sz w:val="24"/>
        </w:rPr>
        <w:t>da</w:t>
      </w:r>
      <w:r w:rsidR="0013285C" w:rsidRPr="00395593">
        <w:rPr>
          <w:rFonts w:ascii="Garamond" w:hAnsi="Garamond"/>
          <w:spacing w:val="1"/>
          <w:sz w:val="24"/>
        </w:rPr>
        <w:t xml:space="preserve"> </w:t>
      </w:r>
      <w:r w:rsidR="0013285C" w:rsidRPr="00395593">
        <w:rPr>
          <w:rFonts w:ascii="Garamond" w:hAnsi="Garamond"/>
          <w:sz w:val="24"/>
        </w:rPr>
        <w:t>informação</w:t>
      </w:r>
      <w:r w:rsidR="0013285C" w:rsidRPr="00395593">
        <w:rPr>
          <w:rFonts w:ascii="Garamond" w:hAnsi="Garamond"/>
          <w:spacing w:val="1"/>
          <w:sz w:val="24"/>
        </w:rPr>
        <w:t xml:space="preserve"> </w:t>
      </w:r>
      <w:r w:rsidR="0013285C" w:rsidRPr="00395593">
        <w:rPr>
          <w:rFonts w:ascii="Garamond" w:hAnsi="Garamond"/>
          <w:sz w:val="24"/>
        </w:rPr>
        <w:t>fornecida</w:t>
      </w:r>
      <w:r w:rsidR="0013285C" w:rsidRPr="00395593">
        <w:rPr>
          <w:rFonts w:ascii="Garamond" w:hAnsi="Garamond"/>
          <w:spacing w:val="1"/>
          <w:sz w:val="24"/>
        </w:rPr>
        <w:t xml:space="preserve"> </w:t>
      </w:r>
      <w:r w:rsidR="0013285C" w:rsidRPr="00395593">
        <w:rPr>
          <w:rFonts w:ascii="Garamond" w:hAnsi="Garamond"/>
          <w:sz w:val="24"/>
        </w:rPr>
        <w:t>sob</w:t>
      </w:r>
      <w:r w:rsidR="0013285C" w:rsidRPr="00395593">
        <w:rPr>
          <w:rFonts w:ascii="Garamond" w:hAnsi="Garamond"/>
          <w:spacing w:val="1"/>
          <w:sz w:val="24"/>
        </w:rPr>
        <w:t xml:space="preserve"> </w:t>
      </w:r>
      <w:r w:rsidR="0013285C" w:rsidRPr="00395593">
        <w:rPr>
          <w:rFonts w:ascii="Garamond" w:hAnsi="Garamond"/>
          <w:sz w:val="24"/>
        </w:rPr>
        <w:t>confidencialidade.</w:t>
      </w:r>
      <w:r w:rsidR="0013285C" w:rsidRPr="00395593">
        <w:rPr>
          <w:rFonts w:ascii="Garamond" w:hAnsi="Garamond"/>
          <w:spacing w:val="1"/>
          <w:sz w:val="24"/>
        </w:rPr>
        <w:t xml:space="preserve"> </w:t>
      </w:r>
      <w:r w:rsidR="0013285C" w:rsidRPr="00395593">
        <w:rPr>
          <w:rFonts w:ascii="Garamond" w:hAnsi="Garamond"/>
          <w:sz w:val="24"/>
        </w:rPr>
        <w:t>Em</w:t>
      </w:r>
      <w:r w:rsidR="0013285C" w:rsidRPr="00395593">
        <w:rPr>
          <w:rFonts w:ascii="Garamond" w:hAnsi="Garamond"/>
          <w:spacing w:val="1"/>
          <w:sz w:val="24"/>
        </w:rPr>
        <w:t xml:space="preserve"> </w:t>
      </w:r>
      <w:r w:rsidR="0013285C" w:rsidRPr="00395593">
        <w:rPr>
          <w:rFonts w:ascii="Garamond" w:hAnsi="Garamond"/>
          <w:sz w:val="24"/>
        </w:rPr>
        <w:t>circunstâncias, aquelas partes poderão indicar que tal informação não é suscetível de</w:t>
      </w:r>
      <w:r w:rsidR="0013285C" w:rsidRPr="00395593">
        <w:rPr>
          <w:rFonts w:ascii="Garamond" w:hAnsi="Garamond"/>
          <w:spacing w:val="-58"/>
          <w:sz w:val="24"/>
        </w:rPr>
        <w:t xml:space="preserve"> </w:t>
      </w:r>
      <w:r w:rsidR="0013285C" w:rsidRPr="00395593">
        <w:rPr>
          <w:rFonts w:ascii="Garamond" w:hAnsi="Garamond"/>
          <w:sz w:val="24"/>
        </w:rPr>
        <w:t>resumo.</w:t>
      </w:r>
      <w:r w:rsidR="0013285C" w:rsidRPr="00395593">
        <w:rPr>
          <w:rFonts w:ascii="Garamond" w:hAnsi="Garamond"/>
          <w:spacing w:val="20"/>
          <w:sz w:val="24"/>
        </w:rPr>
        <w:t xml:space="preserve"> </w:t>
      </w:r>
      <w:r w:rsidR="0013285C" w:rsidRPr="00395593">
        <w:rPr>
          <w:rFonts w:ascii="Garamond" w:hAnsi="Garamond"/>
          <w:sz w:val="24"/>
        </w:rPr>
        <w:t>Nessas</w:t>
      </w:r>
      <w:r w:rsidR="0013285C" w:rsidRPr="00395593">
        <w:rPr>
          <w:rFonts w:ascii="Garamond" w:hAnsi="Garamond"/>
          <w:spacing w:val="21"/>
          <w:sz w:val="24"/>
        </w:rPr>
        <w:t xml:space="preserve"> </w:t>
      </w:r>
      <w:r w:rsidR="0013285C" w:rsidRPr="00395593">
        <w:rPr>
          <w:rFonts w:ascii="Garamond" w:hAnsi="Garamond"/>
          <w:sz w:val="24"/>
        </w:rPr>
        <w:t>circunstâncias</w:t>
      </w:r>
      <w:r w:rsidR="0013285C" w:rsidRPr="00395593">
        <w:rPr>
          <w:rFonts w:ascii="Garamond" w:hAnsi="Garamond"/>
          <w:spacing w:val="20"/>
          <w:sz w:val="24"/>
        </w:rPr>
        <w:t xml:space="preserve"> </w:t>
      </w:r>
      <w:r w:rsidR="0013285C" w:rsidRPr="00395593">
        <w:rPr>
          <w:rFonts w:ascii="Garamond" w:hAnsi="Garamond"/>
          <w:sz w:val="24"/>
        </w:rPr>
        <w:t>excepcionais,</w:t>
      </w:r>
      <w:r w:rsidR="0013285C" w:rsidRPr="00395593">
        <w:rPr>
          <w:rFonts w:ascii="Garamond" w:hAnsi="Garamond"/>
          <w:spacing w:val="20"/>
          <w:sz w:val="24"/>
        </w:rPr>
        <w:t xml:space="preserve"> </w:t>
      </w:r>
      <w:r w:rsidR="0013285C" w:rsidRPr="00395593">
        <w:rPr>
          <w:rFonts w:ascii="Garamond" w:hAnsi="Garamond"/>
          <w:sz w:val="24"/>
        </w:rPr>
        <w:t>deverá</w:t>
      </w:r>
      <w:r w:rsidR="0013285C" w:rsidRPr="00395593">
        <w:rPr>
          <w:rFonts w:ascii="Garamond" w:hAnsi="Garamond"/>
          <w:spacing w:val="18"/>
          <w:sz w:val="24"/>
        </w:rPr>
        <w:t xml:space="preserve"> </w:t>
      </w:r>
      <w:r w:rsidR="0013285C" w:rsidRPr="00395593">
        <w:rPr>
          <w:rFonts w:ascii="Garamond" w:hAnsi="Garamond"/>
          <w:sz w:val="24"/>
        </w:rPr>
        <w:t>ser</w:t>
      </w:r>
      <w:r w:rsidR="0013285C" w:rsidRPr="00395593">
        <w:rPr>
          <w:rFonts w:ascii="Garamond" w:hAnsi="Garamond"/>
          <w:spacing w:val="19"/>
          <w:sz w:val="24"/>
        </w:rPr>
        <w:t xml:space="preserve"> </w:t>
      </w:r>
      <w:r w:rsidR="0013285C" w:rsidRPr="00395593">
        <w:rPr>
          <w:rFonts w:ascii="Garamond" w:hAnsi="Garamond"/>
          <w:sz w:val="24"/>
        </w:rPr>
        <w:t>fornecida</w:t>
      </w:r>
      <w:r w:rsidR="0013285C" w:rsidRPr="00395593">
        <w:rPr>
          <w:rFonts w:ascii="Garamond" w:hAnsi="Garamond"/>
          <w:spacing w:val="19"/>
          <w:sz w:val="24"/>
        </w:rPr>
        <w:t xml:space="preserve"> </w:t>
      </w:r>
      <w:r w:rsidR="0013285C" w:rsidRPr="00395593">
        <w:rPr>
          <w:rFonts w:ascii="Garamond" w:hAnsi="Garamond"/>
          <w:sz w:val="24"/>
        </w:rPr>
        <w:t>declaração</w:t>
      </w:r>
      <w:r w:rsidR="0013285C" w:rsidRPr="00395593">
        <w:rPr>
          <w:rFonts w:ascii="Garamond" w:hAnsi="Garamond"/>
          <w:spacing w:val="20"/>
          <w:sz w:val="24"/>
        </w:rPr>
        <w:t xml:space="preserve"> </w:t>
      </w:r>
      <w:r w:rsidR="0013285C" w:rsidRPr="00395593">
        <w:rPr>
          <w:rFonts w:ascii="Garamond" w:hAnsi="Garamond"/>
          <w:sz w:val="24"/>
        </w:rPr>
        <w:t>sobre</w:t>
      </w:r>
      <w:r w:rsidR="0013285C" w:rsidRPr="00395593">
        <w:rPr>
          <w:rFonts w:ascii="Garamond" w:hAnsi="Garamond"/>
          <w:spacing w:val="-57"/>
          <w:sz w:val="24"/>
        </w:rPr>
        <w:t xml:space="preserve"> </w:t>
      </w:r>
      <w:r w:rsidR="0013285C" w:rsidRPr="00395593">
        <w:rPr>
          <w:rFonts w:ascii="Garamond" w:hAnsi="Garamond"/>
          <w:sz w:val="24"/>
        </w:rPr>
        <w:t>o</w:t>
      </w:r>
      <w:r w:rsidR="0013285C" w:rsidRPr="00395593">
        <w:rPr>
          <w:rFonts w:ascii="Garamond" w:hAnsi="Garamond"/>
          <w:spacing w:val="-1"/>
          <w:sz w:val="24"/>
        </w:rPr>
        <w:t xml:space="preserve"> </w:t>
      </w:r>
      <w:r w:rsidR="0013285C" w:rsidRPr="00395593">
        <w:rPr>
          <w:rFonts w:ascii="Garamond" w:hAnsi="Garamond"/>
          <w:sz w:val="24"/>
        </w:rPr>
        <w:t>porquê</w:t>
      </w:r>
      <w:r w:rsidR="0013285C" w:rsidRPr="00395593">
        <w:rPr>
          <w:rFonts w:ascii="Garamond" w:hAnsi="Garamond"/>
          <w:spacing w:val="-1"/>
          <w:sz w:val="24"/>
        </w:rPr>
        <w:t xml:space="preserve"> </w:t>
      </w:r>
      <w:r w:rsidR="0013285C" w:rsidRPr="00395593">
        <w:rPr>
          <w:rFonts w:ascii="Garamond" w:hAnsi="Garamond"/>
          <w:sz w:val="24"/>
        </w:rPr>
        <w:t>de</w:t>
      </w:r>
      <w:r w:rsidR="0013285C" w:rsidRPr="00395593">
        <w:rPr>
          <w:rFonts w:ascii="Garamond" w:hAnsi="Garamond"/>
          <w:spacing w:val="-1"/>
          <w:sz w:val="24"/>
        </w:rPr>
        <w:t xml:space="preserve"> </w:t>
      </w:r>
      <w:r w:rsidR="0013285C" w:rsidRPr="00395593">
        <w:rPr>
          <w:rFonts w:ascii="Garamond" w:hAnsi="Garamond"/>
          <w:sz w:val="24"/>
        </w:rPr>
        <w:t>o resumo não ser possível.</w:t>
      </w:r>
    </w:p>
    <w:p w14:paraId="184CBAE6" w14:textId="77777777" w:rsidR="0013285C" w:rsidRPr="00395593" w:rsidRDefault="0013285C" w:rsidP="0013285C">
      <w:pPr>
        <w:pStyle w:val="Corpodetexto"/>
        <w:rPr>
          <w:rFonts w:ascii="Garamond" w:hAnsi="Garamond"/>
        </w:rPr>
      </w:pPr>
    </w:p>
    <w:p w14:paraId="52AACD5D" w14:textId="77777777" w:rsidR="0013285C" w:rsidRPr="00395593" w:rsidRDefault="0013285C" w:rsidP="0013285C">
      <w:pPr>
        <w:pStyle w:val="Corpodetexto"/>
        <w:ind w:left="821" w:right="120"/>
        <w:jc w:val="both"/>
        <w:rPr>
          <w:rFonts w:ascii="Garamond" w:hAnsi="Garamond"/>
        </w:rPr>
      </w:pPr>
      <w:r w:rsidRPr="00395593">
        <w:rPr>
          <w:rFonts w:ascii="Garamond" w:hAnsi="Garamond"/>
        </w:rPr>
        <w:t>(b)</w:t>
      </w:r>
      <w:r w:rsidRPr="00395593">
        <w:rPr>
          <w:rFonts w:ascii="Garamond" w:hAnsi="Garamond"/>
          <w:spacing w:val="1"/>
        </w:rPr>
        <w:t xml:space="preserve"> </w:t>
      </w:r>
      <w:r w:rsidRPr="00395593">
        <w:rPr>
          <w:rFonts w:ascii="Garamond" w:hAnsi="Garamond"/>
        </w:rPr>
        <w:t>Se</w:t>
      </w:r>
      <w:r w:rsidRPr="00395593">
        <w:rPr>
          <w:rFonts w:ascii="Garamond" w:hAnsi="Garamond"/>
          <w:spacing w:val="1"/>
        </w:rPr>
        <w:t xml:space="preserve"> </w:t>
      </w:r>
      <w:r w:rsidRPr="00395593">
        <w:rPr>
          <w:rFonts w:ascii="Garamond" w:hAnsi="Garamond"/>
        </w:rPr>
        <w:t>as</w:t>
      </w:r>
      <w:r w:rsidRPr="00395593">
        <w:rPr>
          <w:rFonts w:ascii="Garamond" w:hAnsi="Garamond"/>
          <w:spacing w:val="1"/>
        </w:rPr>
        <w:t xml:space="preserve"> </w:t>
      </w:r>
      <w:r w:rsidRPr="00395593">
        <w:rPr>
          <w:rFonts w:ascii="Garamond" w:hAnsi="Garamond"/>
        </w:rPr>
        <w:t>autoridades</w:t>
      </w:r>
      <w:r w:rsidRPr="00395593">
        <w:rPr>
          <w:rFonts w:ascii="Garamond" w:hAnsi="Garamond"/>
          <w:spacing w:val="1"/>
        </w:rPr>
        <w:t xml:space="preserve"> </w:t>
      </w:r>
      <w:r w:rsidRPr="00395593">
        <w:rPr>
          <w:rFonts w:ascii="Garamond" w:hAnsi="Garamond"/>
        </w:rPr>
        <w:t>considerarem</w:t>
      </w:r>
      <w:r w:rsidRPr="00395593">
        <w:rPr>
          <w:rFonts w:ascii="Garamond" w:hAnsi="Garamond"/>
          <w:spacing w:val="1"/>
        </w:rPr>
        <w:t xml:space="preserve"> </w:t>
      </w:r>
      <w:r w:rsidRPr="00395593">
        <w:rPr>
          <w:rFonts w:ascii="Garamond" w:hAnsi="Garamond"/>
        </w:rPr>
        <w:t>que</w:t>
      </w:r>
      <w:r w:rsidRPr="00395593">
        <w:rPr>
          <w:rFonts w:ascii="Garamond" w:hAnsi="Garamond"/>
          <w:spacing w:val="1"/>
        </w:rPr>
        <w:t xml:space="preserve"> </w:t>
      </w:r>
      <w:r w:rsidRPr="00395593">
        <w:rPr>
          <w:rFonts w:ascii="Garamond" w:hAnsi="Garamond"/>
        </w:rPr>
        <w:t>uma</w:t>
      </w:r>
      <w:r w:rsidRPr="00395593">
        <w:rPr>
          <w:rFonts w:ascii="Garamond" w:hAnsi="Garamond"/>
          <w:spacing w:val="1"/>
        </w:rPr>
        <w:t xml:space="preserve"> </w:t>
      </w:r>
      <w:r w:rsidRPr="00395593">
        <w:rPr>
          <w:rFonts w:ascii="Garamond" w:hAnsi="Garamond"/>
        </w:rPr>
        <w:t>informação</w:t>
      </w:r>
      <w:r w:rsidRPr="00395593">
        <w:rPr>
          <w:rFonts w:ascii="Garamond" w:hAnsi="Garamond"/>
          <w:spacing w:val="1"/>
        </w:rPr>
        <w:t xml:space="preserve"> </w:t>
      </w:r>
      <w:r w:rsidRPr="00395593">
        <w:rPr>
          <w:rFonts w:ascii="Garamond" w:hAnsi="Garamond"/>
        </w:rPr>
        <w:t>fornecida</w:t>
      </w:r>
      <w:r w:rsidRPr="00395593">
        <w:rPr>
          <w:rFonts w:ascii="Garamond" w:hAnsi="Garamond"/>
          <w:spacing w:val="1"/>
        </w:rPr>
        <w:t xml:space="preserve"> </w:t>
      </w:r>
      <w:r w:rsidRPr="00395593">
        <w:rPr>
          <w:rFonts w:ascii="Garamond" w:hAnsi="Garamond"/>
        </w:rPr>
        <w:t>sob</w:t>
      </w:r>
      <w:r w:rsidRPr="00395593">
        <w:rPr>
          <w:rFonts w:ascii="Garamond" w:hAnsi="Garamond"/>
          <w:spacing w:val="1"/>
        </w:rPr>
        <w:t xml:space="preserve"> </w:t>
      </w:r>
      <w:r w:rsidRPr="00395593">
        <w:rPr>
          <w:rFonts w:ascii="Garamond" w:hAnsi="Garamond"/>
        </w:rPr>
        <w:t>confidencialidade não traz plenamente justificado tal caráter, e se o fornecedor da</w:t>
      </w:r>
      <w:r w:rsidRPr="00395593">
        <w:rPr>
          <w:rFonts w:ascii="Garamond" w:hAnsi="Garamond"/>
          <w:spacing w:val="1"/>
        </w:rPr>
        <w:t xml:space="preserve"> </w:t>
      </w:r>
      <w:r w:rsidRPr="00395593">
        <w:rPr>
          <w:rFonts w:ascii="Garamond" w:hAnsi="Garamond"/>
        </w:rPr>
        <w:t>informação não estiver disposto a torná-la pública ou a autorizar sua revelação quer</w:t>
      </w:r>
      <w:r w:rsidRPr="00395593">
        <w:rPr>
          <w:rFonts w:ascii="Garamond" w:hAnsi="Garamond"/>
          <w:spacing w:val="1"/>
        </w:rPr>
        <w:t xml:space="preserve"> </w:t>
      </w:r>
      <w:r w:rsidRPr="00395593">
        <w:rPr>
          <w:rFonts w:ascii="Garamond" w:hAnsi="Garamond"/>
        </w:rPr>
        <w:t>na totalidade, quer sob forma resumida, as autoridades poderão desconsiderar tal</w:t>
      </w:r>
      <w:r w:rsidRPr="00395593">
        <w:rPr>
          <w:rFonts w:ascii="Garamond" w:hAnsi="Garamond"/>
          <w:spacing w:val="1"/>
        </w:rPr>
        <w:t xml:space="preserve"> </w:t>
      </w:r>
      <w:r w:rsidRPr="00395593">
        <w:rPr>
          <w:rFonts w:ascii="Garamond" w:hAnsi="Garamond"/>
        </w:rPr>
        <w:t>informação, a menos que lhes possa ser demonstrado de forma convincente e por</w:t>
      </w:r>
      <w:r w:rsidRPr="00395593">
        <w:rPr>
          <w:rFonts w:ascii="Garamond" w:hAnsi="Garamond"/>
          <w:spacing w:val="1"/>
        </w:rPr>
        <w:t xml:space="preserve"> </w:t>
      </w:r>
      <w:r w:rsidRPr="00395593">
        <w:rPr>
          <w:rFonts w:ascii="Garamond" w:hAnsi="Garamond"/>
        </w:rPr>
        <w:t>fonte</w:t>
      </w:r>
      <w:r w:rsidRPr="00395593">
        <w:rPr>
          <w:rFonts w:ascii="Garamond" w:hAnsi="Garamond"/>
          <w:spacing w:val="-2"/>
        </w:rPr>
        <w:t xml:space="preserve"> </w:t>
      </w:r>
      <w:r w:rsidRPr="00395593">
        <w:rPr>
          <w:rFonts w:ascii="Garamond" w:hAnsi="Garamond"/>
        </w:rPr>
        <w:t>apropriada</w:t>
      </w:r>
      <w:r w:rsidRPr="00395593">
        <w:rPr>
          <w:rFonts w:ascii="Garamond" w:hAnsi="Garamond"/>
          <w:spacing w:val="-2"/>
        </w:rPr>
        <w:t xml:space="preserve"> </w:t>
      </w:r>
      <w:r w:rsidRPr="00395593">
        <w:rPr>
          <w:rFonts w:ascii="Garamond" w:hAnsi="Garamond"/>
        </w:rPr>
        <w:t>que</w:t>
      </w:r>
      <w:r w:rsidRPr="00395593">
        <w:rPr>
          <w:rFonts w:ascii="Garamond" w:hAnsi="Garamond"/>
          <w:spacing w:val="-1"/>
        </w:rPr>
        <w:t xml:space="preserve"> </w:t>
      </w:r>
      <w:r w:rsidRPr="00395593">
        <w:rPr>
          <w:rFonts w:ascii="Garamond" w:hAnsi="Garamond"/>
        </w:rPr>
        <w:t>tal informação é</w:t>
      </w:r>
      <w:r w:rsidRPr="00395593">
        <w:rPr>
          <w:rFonts w:ascii="Garamond" w:hAnsi="Garamond"/>
          <w:spacing w:val="-1"/>
        </w:rPr>
        <w:t xml:space="preserve"> </w:t>
      </w:r>
      <w:r w:rsidRPr="00395593">
        <w:rPr>
          <w:rFonts w:ascii="Garamond" w:hAnsi="Garamond"/>
        </w:rPr>
        <w:t>correta</w:t>
      </w:r>
      <w:r w:rsidRPr="00395593">
        <w:rPr>
          <w:rFonts w:ascii="Garamond" w:hAnsi="Garamond"/>
          <w:spacing w:val="1"/>
        </w:rPr>
        <w:t xml:space="preserve"> </w:t>
      </w:r>
      <w:r w:rsidRPr="00395593">
        <w:rPr>
          <w:rFonts w:ascii="Garamond" w:hAnsi="Garamond"/>
          <w:vertAlign w:val="superscript"/>
        </w:rPr>
        <w:t>18</w:t>
      </w:r>
      <w:r w:rsidRPr="00395593">
        <w:rPr>
          <w:rFonts w:ascii="Garamond" w:hAnsi="Garamond"/>
        </w:rPr>
        <w:t>.</w:t>
      </w:r>
    </w:p>
    <w:p w14:paraId="7D955162" w14:textId="77777777" w:rsidR="0013285C" w:rsidRPr="00395593" w:rsidRDefault="0013285C" w:rsidP="0013285C">
      <w:pPr>
        <w:pStyle w:val="Corpodetexto"/>
        <w:spacing w:before="1"/>
        <w:rPr>
          <w:rFonts w:ascii="Garamond" w:hAnsi="Garamond"/>
        </w:rPr>
      </w:pPr>
    </w:p>
    <w:p w14:paraId="64600C51" w14:textId="77777777" w:rsidR="0013285C" w:rsidRPr="00395593" w:rsidRDefault="0013285C" w:rsidP="002C4340">
      <w:pPr>
        <w:pStyle w:val="PargrafodaLista"/>
        <w:widowControl w:val="0"/>
        <w:numPr>
          <w:ilvl w:val="0"/>
          <w:numId w:val="19"/>
        </w:numPr>
        <w:tabs>
          <w:tab w:val="left" w:pos="810"/>
        </w:tabs>
        <w:autoSpaceDE w:val="0"/>
        <w:autoSpaceDN w:val="0"/>
        <w:spacing w:after="0" w:line="240" w:lineRule="auto"/>
        <w:ind w:right="119" w:firstLine="0"/>
        <w:contextualSpacing w:val="0"/>
        <w:jc w:val="both"/>
        <w:rPr>
          <w:rFonts w:ascii="Garamond" w:hAnsi="Garamond"/>
          <w:sz w:val="24"/>
        </w:rPr>
      </w:pPr>
      <w:r w:rsidRPr="00395593">
        <w:rPr>
          <w:rFonts w:ascii="Garamond" w:hAnsi="Garamond"/>
          <w:sz w:val="24"/>
        </w:rPr>
        <w:t>Salvo nas circunstâncias previstas no parágrafo 10, as autoridades deverão, no curso</w:t>
      </w:r>
      <w:r w:rsidRPr="00395593">
        <w:rPr>
          <w:rFonts w:ascii="Garamond" w:hAnsi="Garamond"/>
          <w:spacing w:val="-57"/>
          <w:sz w:val="24"/>
        </w:rPr>
        <w:t xml:space="preserve"> </w:t>
      </w:r>
      <w:r w:rsidRPr="00395593">
        <w:rPr>
          <w:rFonts w:ascii="Garamond" w:hAnsi="Garamond"/>
          <w:sz w:val="24"/>
        </w:rPr>
        <w:t>das investigações, certificar-se de que são corretas as informações fornecidas pelas partes</w:t>
      </w:r>
      <w:r w:rsidRPr="00395593">
        <w:rPr>
          <w:rFonts w:ascii="Garamond" w:hAnsi="Garamond"/>
          <w:spacing w:val="1"/>
          <w:sz w:val="24"/>
        </w:rPr>
        <w:t xml:space="preserve"> </w:t>
      </w:r>
      <w:r w:rsidRPr="00395593">
        <w:rPr>
          <w:rFonts w:ascii="Garamond" w:hAnsi="Garamond"/>
          <w:sz w:val="24"/>
        </w:rPr>
        <w:t>sobre</w:t>
      </w:r>
      <w:r w:rsidRPr="00395593">
        <w:rPr>
          <w:rFonts w:ascii="Garamond" w:hAnsi="Garamond"/>
          <w:spacing w:val="-3"/>
          <w:sz w:val="24"/>
        </w:rPr>
        <w:t xml:space="preserve"> </w:t>
      </w:r>
      <w:r w:rsidRPr="00395593">
        <w:rPr>
          <w:rFonts w:ascii="Garamond" w:hAnsi="Garamond"/>
          <w:sz w:val="24"/>
        </w:rPr>
        <w:t>as quais aquelas autoridades basearão suas conclusões.</w:t>
      </w:r>
    </w:p>
    <w:p w14:paraId="53C57909" w14:textId="77777777" w:rsidR="0013285C" w:rsidRPr="00395593" w:rsidRDefault="0013285C" w:rsidP="0013285C">
      <w:pPr>
        <w:pStyle w:val="Corpodetexto"/>
        <w:rPr>
          <w:rFonts w:ascii="Garamond" w:hAnsi="Garamond"/>
        </w:rPr>
      </w:pPr>
    </w:p>
    <w:p w14:paraId="59C1208A" w14:textId="77777777" w:rsidR="0013285C" w:rsidRPr="00395593" w:rsidRDefault="0013285C" w:rsidP="002C4340">
      <w:pPr>
        <w:pStyle w:val="PargrafodaLista"/>
        <w:widowControl w:val="0"/>
        <w:numPr>
          <w:ilvl w:val="0"/>
          <w:numId w:val="19"/>
        </w:numPr>
        <w:tabs>
          <w:tab w:val="left" w:pos="810"/>
        </w:tabs>
        <w:autoSpaceDE w:val="0"/>
        <w:autoSpaceDN w:val="0"/>
        <w:spacing w:after="0" w:line="240" w:lineRule="auto"/>
        <w:ind w:right="117" w:firstLine="0"/>
        <w:contextualSpacing w:val="0"/>
        <w:jc w:val="both"/>
        <w:rPr>
          <w:rFonts w:ascii="Garamond" w:hAnsi="Garamond"/>
          <w:sz w:val="24"/>
        </w:rPr>
      </w:pPr>
      <w:r w:rsidRPr="00395593">
        <w:rPr>
          <w:rFonts w:ascii="Garamond" w:hAnsi="Garamond"/>
          <w:sz w:val="24"/>
        </w:rPr>
        <w:t>Com o propósito de verificar as informações fornecidas ou de obter pormenores</w:t>
      </w:r>
      <w:r w:rsidRPr="00395593">
        <w:rPr>
          <w:rFonts w:ascii="Garamond" w:hAnsi="Garamond"/>
          <w:spacing w:val="1"/>
          <w:sz w:val="24"/>
        </w:rPr>
        <w:t xml:space="preserve"> </w:t>
      </w:r>
      <w:r w:rsidRPr="00395593">
        <w:rPr>
          <w:rFonts w:ascii="Garamond" w:hAnsi="Garamond"/>
          <w:sz w:val="24"/>
        </w:rPr>
        <w:t>adicionais, as</w:t>
      </w:r>
      <w:r w:rsidRPr="00395593">
        <w:rPr>
          <w:rFonts w:ascii="Garamond" w:hAnsi="Garamond"/>
          <w:spacing w:val="1"/>
          <w:sz w:val="24"/>
        </w:rPr>
        <w:t xml:space="preserve"> </w:t>
      </w:r>
      <w:r w:rsidRPr="00395593">
        <w:rPr>
          <w:rFonts w:ascii="Garamond" w:hAnsi="Garamond"/>
          <w:sz w:val="24"/>
        </w:rPr>
        <w:t>autoridades poderão</w:t>
      </w:r>
      <w:r w:rsidRPr="00395593">
        <w:rPr>
          <w:rFonts w:ascii="Garamond" w:hAnsi="Garamond"/>
          <w:spacing w:val="1"/>
          <w:sz w:val="24"/>
        </w:rPr>
        <w:t xml:space="preserve"> </w:t>
      </w:r>
      <w:r w:rsidRPr="00395593">
        <w:rPr>
          <w:rFonts w:ascii="Garamond" w:hAnsi="Garamond"/>
          <w:sz w:val="24"/>
        </w:rPr>
        <w:t>realizar investigações no</w:t>
      </w:r>
      <w:r w:rsidRPr="00395593">
        <w:rPr>
          <w:rFonts w:ascii="Garamond" w:hAnsi="Garamond"/>
          <w:spacing w:val="60"/>
          <w:sz w:val="24"/>
        </w:rPr>
        <w:t xml:space="preserve"> </w:t>
      </w:r>
      <w:r w:rsidRPr="00395593">
        <w:rPr>
          <w:rFonts w:ascii="Garamond" w:hAnsi="Garamond"/>
          <w:sz w:val="24"/>
        </w:rPr>
        <w:t>território de outros Membros</w:t>
      </w:r>
      <w:r w:rsidRPr="00395593">
        <w:rPr>
          <w:rFonts w:ascii="Garamond" w:hAnsi="Garamond"/>
          <w:spacing w:val="1"/>
          <w:sz w:val="24"/>
        </w:rPr>
        <w:t xml:space="preserve"> </w:t>
      </w:r>
      <w:r w:rsidRPr="00395593">
        <w:rPr>
          <w:rFonts w:ascii="Garamond" w:hAnsi="Garamond"/>
          <w:sz w:val="24"/>
        </w:rPr>
        <w:t>na medida de suas necessidades, desde que, para tanto, obtenham autorização das empresas</w:t>
      </w:r>
      <w:r w:rsidRPr="00395593">
        <w:rPr>
          <w:rFonts w:ascii="Garamond" w:hAnsi="Garamond"/>
          <w:spacing w:val="1"/>
          <w:sz w:val="24"/>
        </w:rPr>
        <w:t xml:space="preserve"> </w:t>
      </w:r>
      <w:r w:rsidRPr="00395593">
        <w:rPr>
          <w:rFonts w:ascii="Garamond" w:hAnsi="Garamond"/>
          <w:sz w:val="24"/>
        </w:rPr>
        <w:t>envolvidas, notifiquem</w:t>
      </w:r>
      <w:r w:rsidRPr="00395593">
        <w:rPr>
          <w:rFonts w:ascii="Garamond" w:hAnsi="Garamond"/>
          <w:spacing w:val="1"/>
          <w:sz w:val="24"/>
        </w:rPr>
        <w:t xml:space="preserve"> </w:t>
      </w:r>
      <w:r w:rsidRPr="00395593">
        <w:rPr>
          <w:rFonts w:ascii="Garamond" w:hAnsi="Garamond"/>
          <w:sz w:val="24"/>
        </w:rPr>
        <w:t>os representantes do</w:t>
      </w:r>
      <w:r w:rsidRPr="00395593">
        <w:rPr>
          <w:rFonts w:ascii="Garamond" w:hAnsi="Garamond"/>
          <w:spacing w:val="60"/>
          <w:sz w:val="24"/>
        </w:rPr>
        <w:t xml:space="preserve"> </w:t>
      </w:r>
      <w:r w:rsidRPr="00395593">
        <w:rPr>
          <w:rFonts w:ascii="Garamond" w:hAnsi="Garamond"/>
          <w:sz w:val="24"/>
        </w:rPr>
        <w:t>Governo do Membro em questão e que este</w:t>
      </w:r>
      <w:r w:rsidRPr="00395593">
        <w:rPr>
          <w:rFonts w:ascii="Garamond" w:hAnsi="Garamond"/>
          <w:spacing w:val="1"/>
          <w:sz w:val="24"/>
        </w:rPr>
        <w:t xml:space="preserve"> </w:t>
      </w:r>
      <w:r w:rsidRPr="00395593">
        <w:rPr>
          <w:rFonts w:ascii="Garamond" w:hAnsi="Garamond"/>
          <w:sz w:val="24"/>
        </w:rPr>
        <w:t>não</w:t>
      </w:r>
      <w:r w:rsidRPr="00395593">
        <w:rPr>
          <w:rFonts w:ascii="Garamond" w:hAnsi="Garamond"/>
          <w:spacing w:val="1"/>
          <w:sz w:val="24"/>
        </w:rPr>
        <w:t xml:space="preserve"> </w:t>
      </w:r>
      <w:r w:rsidRPr="00395593">
        <w:rPr>
          <w:rFonts w:ascii="Garamond" w:hAnsi="Garamond"/>
          <w:sz w:val="24"/>
        </w:rPr>
        <w:t>apresente</w:t>
      </w:r>
      <w:r w:rsidRPr="00395593">
        <w:rPr>
          <w:rFonts w:ascii="Garamond" w:hAnsi="Garamond"/>
          <w:spacing w:val="1"/>
          <w:sz w:val="24"/>
        </w:rPr>
        <w:t xml:space="preserve"> </w:t>
      </w:r>
      <w:r w:rsidRPr="00395593">
        <w:rPr>
          <w:rFonts w:ascii="Garamond" w:hAnsi="Garamond"/>
          <w:sz w:val="24"/>
        </w:rPr>
        <w:t>objeção</w:t>
      </w:r>
      <w:r w:rsidRPr="00395593">
        <w:rPr>
          <w:rFonts w:ascii="Garamond" w:hAnsi="Garamond"/>
          <w:spacing w:val="1"/>
          <w:sz w:val="24"/>
        </w:rPr>
        <w:t xml:space="preserve"> </w:t>
      </w:r>
      <w:r w:rsidRPr="00395593">
        <w:rPr>
          <w:rFonts w:ascii="Garamond" w:hAnsi="Garamond"/>
          <w:sz w:val="24"/>
        </w:rPr>
        <w:t>à</w:t>
      </w:r>
      <w:r w:rsidRPr="00395593">
        <w:rPr>
          <w:rFonts w:ascii="Garamond" w:hAnsi="Garamond"/>
          <w:spacing w:val="1"/>
          <w:sz w:val="24"/>
        </w:rPr>
        <w:t xml:space="preserve"> </w:t>
      </w:r>
      <w:r w:rsidRPr="00395593">
        <w:rPr>
          <w:rFonts w:ascii="Garamond" w:hAnsi="Garamond"/>
          <w:sz w:val="24"/>
        </w:rPr>
        <w:t>investigação.</w:t>
      </w:r>
      <w:r w:rsidRPr="00395593">
        <w:rPr>
          <w:rFonts w:ascii="Garamond" w:hAnsi="Garamond"/>
          <w:spacing w:val="1"/>
          <w:sz w:val="24"/>
        </w:rPr>
        <w:t xml:space="preserve"> </w:t>
      </w:r>
      <w:r w:rsidRPr="00395593">
        <w:rPr>
          <w:rFonts w:ascii="Garamond" w:hAnsi="Garamond"/>
          <w:sz w:val="24"/>
        </w:rPr>
        <w:t>Serão</w:t>
      </w:r>
      <w:r w:rsidRPr="00395593">
        <w:rPr>
          <w:rFonts w:ascii="Garamond" w:hAnsi="Garamond"/>
          <w:spacing w:val="1"/>
          <w:sz w:val="24"/>
        </w:rPr>
        <w:t xml:space="preserve"> </w:t>
      </w:r>
      <w:r w:rsidRPr="00395593">
        <w:rPr>
          <w:rFonts w:ascii="Garamond" w:hAnsi="Garamond"/>
          <w:sz w:val="24"/>
        </w:rPr>
        <w:t>aplicados</w:t>
      </w:r>
      <w:r w:rsidRPr="00395593">
        <w:rPr>
          <w:rFonts w:ascii="Garamond" w:hAnsi="Garamond"/>
          <w:spacing w:val="1"/>
          <w:sz w:val="24"/>
        </w:rPr>
        <w:t xml:space="preserve"> </w:t>
      </w:r>
      <w:r w:rsidRPr="00395593">
        <w:rPr>
          <w:rFonts w:ascii="Garamond" w:hAnsi="Garamond"/>
          <w:sz w:val="24"/>
        </w:rPr>
        <w:t>às</w:t>
      </w:r>
      <w:r w:rsidRPr="00395593">
        <w:rPr>
          <w:rFonts w:ascii="Garamond" w:hAnsi="Garamond"/>
          <w:spacing w:val="1"/>
          <w:sz w:val="24"/>
        </w:rPr>
        <w:t xml:space="preserve"> </w:t>
      </w:r>
      <w:r w:rsidRPr="00395593">
        <w:rPr>
          <w:rFonts w:ascii="Garamond" w:hAnsi="Garamond"/>
          <w:sz w:val="24"/>
        </w:rPr>
        <w:t>investigações</w:t>
      </w:r>
      <w:r w:rsidRPr="00395593">
        <w:rPr>
          <w:rFonts w:ascii="Garamond" w:hAnsi="Garamond"/>
          <w:spacing w:val="1"/>
          <w:sz w:val="24"/>
        </w:rPr>
        <w:t xml:space="preserve"> </w:t>
      </w:r>
      <w:r w:rsidRPr="00395593">
        <w:rPr>
          <w:rFonts w:ascii="Garamond" w:hAnsi="Garamond"/>
          <w:sz w:val="24"/>
        </w:rPr>
        <w:t>realizadas</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território de outro Membro os procedimentos descritos no Anexo I. Reservado o direito de</w:t>
      </w:r>
      <w:r w:rsidRPr="00395593">
        <w:rPr>
          <w:rFonts w:ascii="Garamond" w:hAnsi="Garamond"/>
          <w:spacing w:val="1"/>
          <w:sz w:val="24"/>
        </w:rPr>
        <w:t xml:space="preserve"> </w:t>
      </w:r>
      <w:r w:rsidRPr="00395593">
        <w:rPr>
          <w:rFonts w:ascii="Garamond" w:hAnsi="Garamond"/>
          <w:sz w:val="24"/>
        </w:rPr>
        <w:t>requerimento de confidencialidade para as informações prestadas,</w:t>
      </w:r>
      <w:r w:rsidRPr="00395593">
        <w:rPr>
          <w:rFonts w:ascii="Garamond" w:hAnsi="Garamond"/>
          <w:spacing w:val="1"/>
          <w:sz w:val="24"/>
        </w:rPr>
        <w:t xml:space="preserve"> </w:t>
      </w:r>
      <w:r w:rsidRPr="00395593">
        <w:rPr>
          <w:rFonts w:ascii="Garamond" w:hAnsi="Garamond"/>
          <w:sz w:val="24"/>
        </w:rPr>
        <w:t>as autoridades deverão</w:t>
      </w:r>
      <w:r w:rsidRPr="00395593">
        <w:rPr>
          <w:rFonts w:ascii="Garamond" w:hAnsi="Garamond"/>
          <w:spacing w:val="1"/>
          <w:sz w:val="24"/>
        </w:rPr>
        <w:t xml:space="preserve"> </w:t>
      </w:r>
      <w:r w:rsidRPr="00395593">
        <w:rPr>
          <w:rFonts w:ascii="Garamond" w:hAnsi="Garamond"/>
          <w:sz w:val="24"/>
        </w:rPr>
        <w:t>tornar accessíveis os</w:t>
      </w:r>
      <w:r w:rsidRPr="00395593">
        <w:rPr>
          <w:rFonts w:ascii="Garamond" w:hAnsi="Garamond"/>
          <w:spacing w:val="1"/>
          <w:sz w:val="24"/>
        </w:rPr>
        <w:t xml:space="preserve"> </w:t>
      </w:r>
      <w:r w:rsidRPr="00395593">
        <w:rPr>
          <w:rFonts w:ascii="Garamond" w:hAnsi="Garamond"/>
          <w:sz w:val="24"/>
        </w:rPr>
        <w:t>resultados de quaisquer investigações dessa natureza, ou</w:t>
      </w:r>
      <w:r w:rsidRPr="00395593">
        <w:rPr>
          <w:rFonts w:ascii="Garamond" w:hAnsi="Garamond"/>
          <w:spacing w:val="1"/>
          <w:sz w:val="24"/>
        </w:rPr>
        <w:t xml:space="preserve"> </w:t>
      </w:r>
      <w:r w:rsidRPr="00395593">
        <w:rPr>
          <w:rFonts w:ascii="Garamond" w:hAnsi="Garamond"/>
          <w:sz w:val="24"/>
        </w:rPr>
        <w:t>permitir</w:t>
      </w:r>
      <w:r w:rsidRPr="00395593">
        <w:rPr>
          <w:rFonts w:ascii="Garamond" w:hAnsi="Garamond"/>
          <w:spacing w:val="1"/>
          <w:sz w:val="24"/>
        </w:rPr>
        <w:t xml:space="preserve"> </w:t>
      </w:r>
      <w:r w:rsidRPr="00395593">
        <w:rPr>
          <w:rFonts w:ascii="Garamond" w:hAnsi="Garamond"/>
          <w:sz w:val="24"/>
        </w:rPr>
        <w:t>sejam revelados esses resultados de acordo com o disposto no parágrafo 11, às empresas de</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3"/>
          <w:sz w:val="24"/>
        </w:rPr>
        <w:t xml:space="preserve"> </w:t>
      </w:r>
      <w:r w:rsidRPr="00395593">
        <w:rPr>
          <w:rFonts w:ascii="Garamond" w:hAnsi="Garamond"/>
          <w:sz w:val="24"/>
        </w:rPr>
        <w:t>se</w:t>
      </w:r>
      <w:r w:rsidRPr="00395593">
        <w:rPr>
          <w:rFonts w:ascii="Garamond" w:hAnsi="Garamond"/>
          <w:spacing w:val="-2"/>
          <w:sz w:val="24"/>
        </w:rPr>
        <w:t xml:space="preserve"> </w:t>
      </w:r>
      <w:r w:rsidRPr="00395593">
        <w:rPr>
          <w:rFonts w:ascii="Garamond" w:hAnsi="Garamond"/>
          <w:sz w:val="24"/>
        </w:rPr>
        <w:t>originaram</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2"/>
          <w:sz w:val="24"/>
        </w:rPr>
        <w:t xml:space="preserve"> </w:t>
      </w:r>
      <w:r w:rsidRPr="00395593">
        <w:rPr>
          <w:rFonts w:ascii="Garamond" w:hAnsi="Garamond"/>
          <w:sz w:val="24"/>
        </w:rPr>
        <w:t>poderão</w:t>
      </w:r>
      <w:r w:rsidRPr="00395593">
        <w:rPr>
          <w:rFonts w:ascii="Garamond" w:hAnsi="Garamond"/>
          <w:spacing w:val="-1"/>
          <w:sz w:val="24"/>
        </w:rPr>
        <w:t xml:space="preserve"> </w:t>
      </w:r>
      <w:r w:rsidRPr="00395593">
        <w:rPr>
          <w:rFonts w:ascii="Garamond" w:hAnsi="Garamond"/>
          <w:sz w:val="24"/>
        </w:rPr>
        <w:t>tornar</w:t>
      </w:r>
      <w:r w:rsidRPr="00395593">
        <w:rPr>
          <w:rFonts w:ascii="Garamond" w:hAnsi="Garamond"/>
          <w:spacing w:val="-1"/>
          <w:sz w:val="24"/>
        </w:rPr>
        <w:t xml:space="preserve"> </w:t>
      </w:r>
      <w:r w:rsidRPr="00395593">
        <w:rPr>
          <w:rFonts w:ascii="Garamond" w:hAnsi="Garamond"/>
          <w:sz w:val="24"/>
        </w:rPr>
        <w:t>tais</w:t>
      </w:r>
      <w:r w:rsidRPr="00395593">
        <w:rPr>
          <w:rFonts w:ascii="Garamond" w:hAnsi="Garamond"/>
          <w:spacing w:val="-1"/>
          <w:sz w:val="24"/>
        </w:rPr>
        <w:t xml:space="preserve"> </w:t>
      </w:r>
      <w:r w:rsidRPr="00395593">
        <w:rPr>
          <w:rFonts w:ascii="Garamond" w:hAnsi="Garamond"/>
          <w:sz w:val="24"/>
        </w:rPr>
        <w:t>resultados igualmente acessíveis</w:t>
      </w:r>
      <w:r w:rsidRPr="00395593">
        <w:rPr>
          <w:rFonts w:ascii="Garamond" w:hAnsi="Garamond"/>
          <w:spacing w:val="-1"/>
          <w:sz w:val="24"/>
        </w:rPr>
        <w:t xml:space="preserve"> </w:t>
      </w:r>
      <w:r w:rsidRPr="00395593">
        <w:rPr>
          <w:rFonts w:ascii="Garamond" w:hAnsi="Garamond"/>
          <w:sz w:val="24"/>
        </w:rPr>
        <w:t>aos</w:t>
      </w:r>
      <w:r w:rsidRPr="00395593">
        <w:rPr>
          <w:rFonts w:ascii="Garamond" w:hAnsi="Garamond"/>
          <w:spacing w:val="-2"/>
          <w:sz w:val="24"/>
        </w:rPr>
        <w:t xml:space="preserve"> </w:t>
      </w:r>
      <w:r w:rsidRPr="00395593">
        <w:rPr>
          <w:rFonts w:ascii="Garamond" w:hAnsi="Garamond"/>
          <w:sz w:val="24"/>
        </w:rPr>
        <w:t>peticionários.</w:t>
      </w:r>
    </w:p>
    <w:p w14:paraId="610A38E7" w14:textId="77777777" w:rsidR="0013285C" w:rsidRPr="00395593" w:rsidRDefault="0013285C" w:rsidP="0013285C">
      <w:pPr>
        <w:pStyle w:val="Corpodetexto"/>
        <w:spacing w:before="1"/>
        <w:rPr>
          <w:rFonts w:ascii="Garamond" w:hAnsi="Garamond"/>
        </w:rPr>
      </w:pPr>
    </w:p>
    <w:p w14:paraId="6035EFE6" w14:textId="77777777" w:rsidR="0013285C" w:rsidRPr="00395593" w:rsidRDefault="0013285C" w:rsidP="002C4340">
      <w:pPr>
        <w:pStyle w:val="PargrafodaLista"/>
        <w:widowControl w:val="0"/>
        <w:numPr>
          <w:ilvl w:val="0"/>
          <w:numId w:val="19"/>
        </w:numPr>
        <w:tabs>
          <w:tab w:val="left" w:pos="810"/>
        </w:tabs>
        <w:autoSpaceDE w:val="0"/>
        <w:autoSpaceDN w:val="0"/>
        <w:spacing w:after="0" w:line="240" w:lineRule="auto"/>
        <w:ind w:right="119" w:firstLine="0"/>
        <w:contextualSpacing w:val="0"/>
        <w:jc w:val="both"/>
        <w:rPr>
          <w:rFonts w:ascii="Garamond" w:hAnsi="Garamond"/>
          <w:sz w:val="24"/>
        </w:rPr>
      </w:pPr>
      <w:r w:rsidRPr="00395593">
        <w:rPr>
          <w:rFonts w:ascii="Garamond" w:hAnsi="Garamond"/>
          <w:sz w:val="24"/>
        </w:rPr>
        <w:t>Nos</w:t>
      </w:r>
      <w:r w:rsidRPr="00395593">
        <w:rPr>
          <w:rFonts w:ascii="Garamond" w:hAnsi="Garamond"/>
          <w:spacing w:val="1"/>
          <w:sz w:val="24"/>
        </w:rPr>
        <w:t xml:space="preserve"> </w:t>
      </w:r>
      <w:r w:rsidRPr="00395593">
        <w:rPr>
          <w:rFonts w:ascii="Garamond" w:hAnsi="Garamond"/>
          <w:sz w:val="24"/>
        </w:rPr>
        <w:t>casos</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que qualquer das</w:t>
      </w:r>
      <w:r w:rsidRPr="00395593">
        <w:rPr>
          <w:rFonts w:ascii="Garamond" w:hAnsi="Garamond"/>
          <w:spacing w:val="1"/>
          <w:sz w:val="24"/>
        </w:rPr>
        <w:t xml:space="preserve"> </w:t>
      </w:r>
      <w:r w:rsidRPr="00395593">
        <w:rPr>
          <w:rFonts w:ascii="Garamond" w:hAnsi="Garamond"/>
          <w:sz w:val="24"/>
        </w:rPr>
        <w:t>partes</w:t>
      </w:r>
      <w:r w:rsidRPr="00395593">
        <w:rPr>
          <w:rFonts w:ascii="Garamond" w:hAnsi="Garamond"/>
          <w:spacing w:val="1"/>
          <w:sz w:val="24"/>
        </w:rPr>
        <w:t xml:space="preserve"> </w:t>
      </w:r>
      <w:r w:rsidRPr="00395593">
        <w:rPr>
          <w:rFonts w:ascii="Garamond" w:hAnsi="Garamond"/>
          <w:sz w:val="24"/>
        </w:rPr>
        <w:t>interessadas</w:t>
      </w:r>
      <w:r w:rsidRPr="00395593">
        <w:rPr>
          <w:rFonts w:ascii="Garamond" w:hAnsi="Garamond"/>
          <w:spacing w:val="1"/>
          <w:sz w:val="24"/>
        </w:rPr>
        <w:t xml:space="preserve"> </w:t>
      </w:r>
      <w:r w:rsidRPr="00395593">
        <w:rPr>
          <w:rFonts w:ascii="Garamond" w:hAnsi="Garamond"/>
          <w:sz w:val="24"/>
        </w:rPr>
        <w:t>negue</w:t>
      </w:r>
      <w:r w:rsidRPr="00395593">
        <w:rPr>
          <w:rFonts w:ascii="Garamond" w:hAnsi="Garamond"/>
          <w:spacing w:val="1"/>
          <w:sz w:val="24"/>
        </w:rPr>
        <w:t xml:space="preserve"> </w:t>
      </w:r>
      <w:r w:rsidRPr="00395593">
        <w:rPr>
          <w:rFonts w:ascii="Garamond" w:hAnsi="Garamond"/>
          <w:sz w:val="24"/>
        </w:rPr>
        <w:t>acesso</w:t>
      </w:r>
      <w:r w:rsidRPr="00395593">
        <w:rPr>
          <w:rFonts w:ascii="Garamond" w:hAnsi="Garamond"/>
          <w:spacing w:val="1"/>
          <w:sz w:val="24"/>
        </w:rPr>
        <w:t xml:space="preserve"> </w:t>
      </w:r>
      <w:r w:rsidRPr="00395593">
        <w:rPr>
          <w:rFonts w:ascii="Garamond" w:hAnsi="Garamond"/>
          <w:sz w:val="24"/>
        </w:rPr>
        <w:t>à informação</w:t>
      </w:r>
      <w:r w:rsidRPr="00395593">
        <w:rPr>
          <w:rFonts w:ascii="Garamond" w:hAnsi="Garamond"/>
          <w:spacing w:val="1"/>
          <w:sz w:val="24"/>
        </w:rPr>
        <w:t xml:space="preserve"> </w:t>
      </w:r>
      <w:r w:rsidRPr="00395593">
        <w:rPr>
          <w:rFonts w:ascii="Garamond" w:hAnsi="Garamond"/>
          <w:sz w:val="24"/>
        </w:rPr>
        <w:t>necessária ou não a forneça dentro de período razoável, ou ainda interponha obstáculos de</w:t>
      </w:r>
      <w:r w:rsidRPr="00395593">
        <w:rPr>
          <w:rFonts w:ascii="Garamond" w:hAnsi="Garamond"/>
          <w:spacing w:val="1"/>
          <w:sz w:val="24"/>
        </w:rPr>
        <w:t xml:space="preserve"> </w:t>
      </w:r>
      <w:r w:rsidRPr="00395593">
        <w:rPr>
          <w:rFonts w:ascii="Garamond" w:hAnsi="Garamond"/>
          <w:sz w:val="24"/>
        </w:rPr>
        <w:t>monta à investigação, poderão ser formulados juízos preliminares e finais afirmativos ou</w:t>
      </w:r>
      <w:r w:rsidRPr="00395593">
        <w:rPr>
          <w:rFonts w:ascii="Garamond" w:hAnsi="Garamond"/>
          <w:spacing w:val="1"/>
          <w:sz w:val="24"/>
        </w:rPr>
        <w:t xml:space="preserve"> </w:t>
      </w:r>
      <w:r w:rsidRPr="00395593">
        <w:rPr>
          <w:rFonts w:ascii="Garamond" w:hAnsi="Garamond"/>
          <w:sz w:val="24"/>
        </w:rPr>
        <w:t>negativos com base nos fatos disponíveis. Será observado o disposto no Anexo II para a</w:t>
      </w:r>
      <w:r w:rsidRPr="00395593">
        <w:rPr>
          <w:rFonts w:ascii="Garamond" w:hAnsi="Garamond"/>
          <w:spacing w:val="1"/>
          <w:sz w:val="24"/>
        </w:rPr>
        <w:t xml:space="preserve"> </w:t>
      </w:r>
      <w:r w:rsidRPr="00395593">
        <w:rPr>
          <w:rFonts w:ascii="Garamond" w:hAnsi="Garamond"/>
          <w:sz w:val="24"/>
        </w:rPr>
        <w:t>aplicação</w:t>
      </w:r>
      <w:r w:rsidRPr="00395593">
        <w:rPr>
          <w:rFonts w:ascii="Garamond" w:hAnsi="Garamond"/>
          <w:spacing w:val="-1"/>
          <w:sz w:val="24"/>
        </w:rPr>
        <w:t xml:space="preserve"> </w:t>
      </w:r>
      <w:r w:rsidRPr="00395593">
        <w:rPr>
          <w:rFonts w:ascii="Garamond" w:hAnsi="Garamond"/>
          <w:sz w:val="24"/>
        </w:rPr>
        <w:t>deste parágrafo.</w:t>
      </w:r>
    </w:p>
    <w:p w14:paraId="10413FAC" w14:textId="77777777" w:rsidR="0013285C" w:rsidRPr="00395593" w:rsidRDefault="0013285C" w:rsidP="0013285C">
      <w:pPr>
        <w:pStyle w:val="Corpodetexto"/>
        <w:rPr>
          <w:rFonts w:ascii="Garamond" w:hAnsi="Garamond"/>
        </w:rPr>
      </w:pPr>
    </w:p>
    <w:p w14:paraId="3234594A" w14:textId="77777777" w:rsidR="0013285C" w:rsidRPr="00395593" w:rsidRDefault="0013285C" w:rsidP="002C4340">
      <w:pPr>
        <w:pStyle w:val="PargrafodaLista"/>
        <w:widowControl w:val="0"/>
        <w:numPr>
          <w:ilvl w:val="0"/>
          <w:numId w:val="19"/>
        </w:numPr>
        <w:tabs>
          <w:tab w:val="left" w:pos="810"/>
        </w:tabs>
        <w:autoSpaceDE w:val="0"/>
        <w:autoSpaceDN w:val="0"/>
        <w:spacing w:after="0" w:line="240" w:lineRule="auto"/>
        <w:ind w:right="121" w:firstLine="0"/>
        <w:contextualSpacing w:val="0"/>
        <w:jc w:val="both"/>
        <w:rPr>
          <w:rFonts w:ascii="Garamond" w:hAnsi="Garamond"/>
          <w:sz w:val="24"/>
        </w:rPr>
      </w:pPr>
      <w:r w:rsidRPr="00395593">
        <w:rPr>
          <w:rFonts w:ascii="Garamond" w:hAnsi="Garamond"/>
          <w:sz w:val="24"/>
        </w:rPr>
        <w:t>Antes de formular juízo definitivo, as autoridades deverão informar todas as partes</w:t>
      </w:r>
      <w:r w:rsidRPr="00395593">
        <w:rPr>
          <w:rFonts w:ascii="Garamond" w:hAnsi="Garamond"/>
          <w:spacing w:val="1"/>
          <w:sz w:val="24"/>
        </w:rPr>
        <w:t xml:space="preserve"> </w:t>
      </w:r>
      <w:r w:rsidRPr="00395593">
        <w:rPr>
          <w:rFonts w:ascii="Garamond" w:hAnsi="Garamond"/>
          <w:sz w:val="24"/>
        </w:rPr>
        <w:t>interessadas sobre os fatos essenciais sob julgamento que formam a base para a decisão de</w:t>
      </w:r>
      <w:r w:rsidRPr="00395593">
        <w:rPr>
          <w:rFonts w:ascii="Garamond" w:hAnsi="Garamond"/>
          <w:spacing w:val="1"/>
          <w:sz w:val="24"/>
        </w:rPr>
        <w:t xml:space="preserve"> </w:t>
      </w:r>
      <w:r w:rsidRPr="00395593">
        <w:rPr>
          <w:rFonts w:ascii="Garamond" w:hAnsi="Garamond"/>
          <w:sz w:val="24"/>
        </w:rPr>
        <w:t>aplicar</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não</w:t>
      </w:r>
      <w:r w:rsidRPr="00395593">
        <w:rPr>
          <w:rFonts w:ascii="Garamond" w:hAnsi="Garamond"/>
          <w:spacing w:val="1"/>
          <w:sz w:val="24"/>
        </w:rPr>
        <w:t xml:space="preserve"> </w:t>
      </w:r>
      <w:r w:rsidRPr="00395593">
        <w:rPr>
          <w:rFonts w:ascii="Garamond" w:hAnsi="Garamond"/>
          <w:sz w:val="24"/>
        </w:rPr>
        <w:t>medidas</w:t>
      </w:r>
      <w:r w:rsidRPr="00395593">
        <w:rPr>
          <w:rFonts w:ascii="Garamond" w:hAnsi="Garamond"/>
          <w:spacing w:val="1"/>
          <w:sz w:val="24"/>
        </w:rPr>
        <w:t xml:space="preserve"> </w:t>
      </w:r>
      <w:r w:rsidRPr="00395593">
        <w:rPr>
          <w:rFonts w:ascii="Garamond" w:hAnsi="Garamond"/>
          <w:sz w:val="24"/>
        </w:rPr>
        <w:t>definitivas.</w:t>
      </w:r>
      <w:r w:rsidRPr="00395593">
        <w:rPr>
          <w:rFonts w:ascii="Garamond" w:hAnsi="Garamond"/>
          <w:spacing w:val="1"/>
          <w:sz w:val="24"/>
        </w:rPr>
        <w:t xml:space="preserve"> </w:t>
      </w:r>
      <w:r w:rsidRPr="00395593">
        <w:rPr>
          <w:rFonts w:ascii="Garamond" w:hAnsi="Garamond"/>
          <w:sz w:val="24"/>
        </w:rPr>
        <w:t>Tal</w:t>
      </w:r>
      <w:r w:rsidRPr="00395593">
        <w:rPr>
          <w:rFonts w:ascii="Garamond" w:hAnsi="Garamond"/>
          <w:spacing w:val="1"/>
          <w:sz w:val="24"/>
        </w:rPr>
        <w:t xml:space="preserve"> </w:t>
      </w:r>
      <w:r w:rsidRPr="00395593">
        <w:rPr>
          <w:rFonts w:ascii="Garamond" w:hAnsi="Garamond"/>
          <w:sz w:val="24"/>
        </w:rPr>
        <w:t>informação</w:t>
      </w:r>
      <w:r w:rsidRPr="00395593">
        <w:rPr>
          <w:rFonts w:ascii="Garamond" w:hAnsi="Garamond"/>
          <w:spacing w:val="1"/>
          <w:sz w:val="24"/>
        </w:rPr>
        <w:t xml:space="preserve"> </w:t>
      </w:r>
      <w:r w:rsidRPr="00395593">
        <w:rPr>
          <w:rFonts w:ascii="Garamond" w:hAnsi="Garamond"/>
          <w:sz w:val="24"/>
        </w:rPr>
        <w:t>deverá</w:t>
      </w:r>
      <w:r w:rsidRPr="00395593">
        <w:rPr>
          <w:rFonts w:ascii="Garamond" w:hAnsi="Garamond"/>
          <w:spacing w:val="1"/>
          <w:sz w:val="24"/>
        </w:rPr>
        <w:t xml:space="preserve"> </w:t>
      </w:r>
      <w:r w:rsidRPr="00395593">
        <w:rPr>
          <w:rFonts w:ascii="Garamond" w:hAnsi="Garamond"/>
          <w:sz w:val="24"/>
        </w:rPr>
        <w:t>ocorrer</w:t>
      </w:r>
      <w:r w:rsidRPr="00395593">
        <w:rPr>
          <w:rFonts w:ascii="Garamond" w:hAnsi="Garamond"/>
          <w:spacing w:val="1"/>
          <w:sz w:val="24"/>
        </w:rPr>
        <w:t xml:space="preserve"> </w:t>
      </w:r>
      <w:r w:rsidRPr="00395593">
        <w:rPr>
          <w:rFonts w:ascii="Garamond" w:hAnsi="Garamond"/>
          <w:sz w:val="24"/>
        </w:rPr>
        <w:t>com</w:t>
      </w:r>
      <w:r w:rsidRPr="00395593">
        <w:rPr>
          <w:rFonts w:ascii="Garamond" w:hAnsi="Garamond"/>
          <w:spacing w:val="1"/>
          <w:sz w:val="24"/>
        </w:rPr>
        <w:t xml:space="preserve"> </w:t>
      </w:r>
      <w:r w:rsidRPr="00395593">
        <w:rPr>
          <w:rFonts w:ascii="Garamond" w:hAnsi="Garamond"/>
          <w:sz w:val="24"/>
        </w:rPr>
        <w:t>antecipação</w:t>
      </w:r>
      <w:r w:rsidRPr="00395593">
        <w:rPr>
          <w:rFonts w:ascii="Garamond" w:hAnsi="Garamond"/>
          <w:spacing w:val="1"/>
          <w:sz w:val="24"/>
        </w:rPr>
        <w:t xml:space="preserve"> </w:t>
      </w:r>
      <w:r w:rsidRPr="00395593">
        <w:rPr>
          <w:rFonts w:ascii="Garamond" w:hAnsi="Garamond"/>
          <w:sz w:val="24"/>
        </w:rPr>
        <w:t>suficiente</w:t>
      </w:r>
      <w:r w:rsidRPr="00395593">
        <w:rPr>
          <w:rFonts w:ascii="Garamond" w:hAnsi="Garamond"/>
          <w:spacing w:val="-2"/>
          <w:sz w:val="24"/>
        </w:rPr>
        <w:t xml:space="preserve"> </w:t>
      </w:r>
      <w:r w:rsidRPr="00395593">
        <w:rPr>
          <w:rFonts w:ascii="Garamond" w:hAnsi="Garamond"/>
          <w:sz w:val="24"/>
        </w:rPr>
        <w:t>para</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as partes possam</w:t>
      </w:r>
      <w:r w:rsidRPr="00395593">
        <w:rPr>
          <w:rFonts w:ascii="Garamond" w:hAnsi="Garamond"/>
          <w:spacing w:val="-1"/>
          <w:sz w:val="24"/>
        </w:rPr>
        <w:t xml:space="preserve"> </w:t>
      </w:r>
      <w:r w:rsidRPr="00395593">
        <w:rPr>
          <w:rFonts w:ascii="Garamond" w:hAnsi="Garamond"/>
          <w:sz w:val="24"/>
        </w:rPr>
        <w:t>defender seus</w:t>
      </w:r>
      <w:r w:rsidRPr="00395593">
        <w:rPr>
          <w:rFonts w:ascii="Garamond" w:hAnsi="Garamond"/>
          <w:spacing w:val="2"/>
          <w:sz w:val="24"/>
        </w:rPr>
        <w:t xml:space="preserve"> </w:t>
      </w:r>
      <w:r w:rsidRPr="00395593">
        <w:rPr>
          <w:rFonts w:ascii="Garamond" w:hAnsi="Garamond"/>
          <w:sz w:val="24"/>
        </w:rPr>
        <w:t>interesses.</w:t>
      </w:r>
    </w:p>
    <w:p w14:paraId="1D524161" w14:textId="77777777" w:rsidR="0013285C" w:rsidRPr="00395593" w:rsidRDefault="0013285C" w:rsidP="0013285C">
      <w:pPr>
        <w:pStyle w:val="Corpodetexto"/>
        <w:rPr>
          <w:rFonts w:ascii="Garamond" w:hAnsi="Garamond"/>
        </w:rPr>
      </w:pPr>
    </w:p>
    <w:p w14:paraId="77A2E360" w14:textId="77777777" w:rsidR="0013285C" w:rsidRPr="00395593" w:rsidRDefault="0013285C" w:rsidP="002C4340">
      <w:pPr>
        <w:pStyle w:val="PargrafodaLista"/>
        <w:widowControl w:val="0"/>
        <w:numPr>
          <w:ilvl w:val="0"/>
          <w:numId w:val="19"/>
        </w:numPr>
        <w:tabs>
          <w:tab w:val="left" w:pos="810"/>
        </w:tabs>
        <w:autoSpaceDE w:val="0"/>
        <w:autoSpaceDN w:val="0"/>
        <w:spacing w:before="1" w:after="0" w:line="240" w:lineRule="auto"/>
        <w:ind w:right="120" w:firstLine="0"/>
        <w:contextualSpacing w:val="0"/>
        <w:jc w:val="both"/>
        <w:rPr>
          <w:rFonts w:ascii="Garamond" w:hAnsi="Garamond"/>
          <w:sz w:val="24"/>
        </w:rPr>
      </w:pPr>
      <w:r w:rsidRPr="00395593">
        <w:rPr>
          <w:rFonts w:ascii="Garamond" w:hAnsi="Garamond"/>
          <w:sz w:val="24"/>
        </w:rPr>
        <w:t>Por</w:t>
      </w:r>
      <w:r w:rsidRPr="00395593">
        <w:rPr>
          <w:rFonts w:ascii="Garamond" w:hAnsi="Garamond"/>
          <w:spacing w:val="57"/>
          <w:sz w:val="24"/>
        </w:rPr>
        <w:t xml:space="preserve"> </w:t>
      </w:r>
      <w:r w:rsidRPr="00395593">
        <w:rPr>
          <w:rFonts w:ascii="Garamond" w:hAnsi="Garamond"/>
          <w:sz w:val="24"/>
        </w:rPr>
        <w:t>princípio</w:t>
      </w:r>
      <w:r w:rsidRPr="00395593">
        <w:rPr>
          <w:rFonts w:ascii="Garamond" w:hAnsi="Garamond"/>
          <w:spacing w:val="57"/>
          <w:sz w:val="24"/>
        </w:rPr>
        <w:t xml:space="preserve"> </w:t>
      </w:r>
      <w:r w:rsidRPr="00395593">
        <w:rPr>
          <w:rFonts w:ascii="Garamond" w:hAnsi="Garamond"/>
          <w:sz w:val="24"/>
        </w:rPr>
        <w:t>geral,</w:t>
      </w:r>
      <w:r w:rsidRPr="00395593">
        <w:rPr>
          <w:rFonts w:ascii="Garamond" w:hAnsi="Garamond"/>
          <w:spacing w:val="59"/>
          <w:sz w:val="24"/>
        </w:rPr>
        <w:t xml:space="preserve"> </w:t>
      </w:r>
      <w:r w:rsidRPr="00395593">
        <w:rPr>
          <w:rFonts w:ascii="Garamond" w:hAnsi="Garamond"/>
          <w:sz w:val="24"/>
        </w:rPr>
        <w:t>as</w:t>
      </w:r>
      <w:r w:rsidRPr="00395593">
        <w:rPr>
          <w:rFonts w:ascii="Garamond" w:hAnsi="Garamond"/>
          <w:spacing w:val="2"/>
          <w:sz w:val="24"/>
        </w:rPr>
        <w:t xml:space="preserve"> </w:t>
      </w:r>
      <w:r w:rsidRPr="00395593">
        <w:rPr>
          <w:rFonts w:ascii="Garamond" w:hAnsi="Garamond"/>
          <w:sz w:val="24"/>
        </w:rPr>
        <w:t>autoridades</w:t>
      </w:r>
      <w:r w:rsidRPr="00395593">
        <w:rPr>
          <w:rFonts w:ascii="Garamond" w:hAnsi="Garamond"/>
          <w:spacing w:val="58"/>
          <w:sz w:val="24"/>
        </w:rPr>
        <w:t xml:space="preserve"> </w:t>
      </w:r>
      <w:r w:rsidRPr="00395593">
        <w:rPr>
          <w:rFonts w:ascii="Garamond" w:hAnsi="Garamond"/>
          <w:sz w:val="24"/>
        </w:rPr>
        <w:t>deverão</w:t>
      </w:r>
      <w:r w:rsidRPr="00395593">
        <w:rPr>
          <w:rFonts w:ascii="Garamond" w:hAnsi="Garamond"/>
          <w:spacing w:val="58"/>
          <w:sz w:val="24"/>
        </w:rPr>
        <w:t xml:space="preserve"> </w:t>
      </w:r>
      <w:r w:rsidRPr="00395593">
        <w:rPr>
          <w:rFonts w:ascii="Garamond" w:hAnsi="Garamond"/>
          <w:sz w:val="24"/>
        </w:rPr>
        <w:t>determinar</w:t>
      </w:r>
      <w:r w:rsidRPr="00395593">
        <w:rPr>
          <w:rFonts w:ascii="Garamond" w:hAnsi="Garamond"/>
          <w:spacing w:val="57"/>
          <w:sz w:val="24"/>
        </w:rPr>
        <w:t xml:space="preserve"> </w:t>
      </w:r>
      <w:r w:rsidRPr="00395593">
        <w:rPr>
          <w:rFonts w:ascii="Garamond" w:hAnsi="Garamond"/>
          <w:sz w:val="24"/>
        </w:rPr>
        <w:t>a</w:t>
      </w:r>
      <w:r w:rsidRPr="00395593">
        <w:rPr>
          <w:rFonts w:ascii="Garamond" w:hAnsi="Garamond"/>
          <w:spacing w:val="56"/>
          <w:sz w:val="24"/>
        </w:rPr>
        <w:t xml:space="preserve"> </w:t>
      </w:r>
      <w:r w:rsidRPr="00395593">
        <w:rPr>
          <w:rFonts w:ascii="Garamond" w:hAnsi="Garamond"/>
          <w:sz w:val="24"/>
        </w:rPr>
        <w:t>margem</w:t>
      </w:r>
      <w:r w:rsidRPr="00395593">
        <w:rPr>
          <w:rFonts w:ascii="Garamond" w:hAnsi="Garamond"/>
          <w:spacing w:val="59"/>
          <w:sz w:val="24"/>
        </w:rPr>
        <w:t xml:space="preserve"> </w:t>
      </w:r>
      <w:r w:rsidRPr="00395593">
        <w:rPr>
          <w:rFonts w:ascii="Garamond" w:hAnsi="Garamond"/>
          <w:sz w:val="24"/>
        </w:rPr>
        <w:t>individual</w:t>
      </w:r>
      <w:r w:rsidRPr="00395593">
        <w:rPr>
          <w:rFonts w:ascii="Garamond" w:hAnsi="Garamond"/>
          <w:spacing w:val="57"/>
          <w:sz w:val="24"/>
        </w:rPr>
        <w:t xml:space="preserve"> </w:t>
      </w:r>
      <w:r w:rsidRPr="00395593">
        <w:rPr>
          <w:rFonts w:ascii="Garamond" w:hAnsi="Garamond"/>
          <w:sz w:val="24"/>
        </w:rPr>
        <w:t>de</w:t>
      </w:r>
      <w:r w:rsidRPr="00395593">
        <w:rPr>
          <w:rFonts w:ascii="Garamond" w:hAnsi="Garamond"/>
          <w:spacing w:val="-58"/>
          <w:sz w:val="24"/>
        </w:rPr>
        <w:t xml:space="preserve"> </w:t>
      </w:r>
      <w:r w:rsidRPr="00395593">
        <w:rPr>
          <w:rFonts w:ascii="Garamond" w:hAnsi="Garamond"/>
          <w:i/>
          <w:sz w:val="24"/>
        </w:rPr>
        <w:t xml:space="preserve">dumping </w:t>
      </w:r>
      <w:r w:rsidRPr="00395593">
        <w:rPr>
          <w:rFonts w:ascii="Garamond" w:hAnsi="Garamond"/>
          <w:sz w:val="24"/>
        </w:rPr>
        <w:t>para cada exportador ou produtor singular conhecido do produto sob investigação.</w:t>
      </w:r>
      <w:r w:rsidRPr="00395593">
        <w:rPr>
          <w:rFonts w:ascii="Garamond" w:hAnsi="Garamond"/>
          <w:spacing w:val="-57"/>
          <w:sz w:val="24"/>
        </w:rPr>
        <w:t xml:space="preserve"> </w:t>
      </w:r>
      <w:r w:rsidRPr="00395593">
        <w:rPr>
          <w:rFonts w:ascii="Garamond" w:hAnsi="Garamond"/>
          <w:sz w:val="24"/>
        </w:rPr>
        <w:t>No caso em que o número de exportadores, produtores, importadores ou tipos de produtos</w:t>
      </w:r>
      <w:r w:rsidRPr="00395593">
        <w:rPr>
          <w:rFonts w:ascii="Garamond" w:hAnsi="Garamond"/>
          <w:spacing w:val="1"/>
          <w:sz w:val="24"/>
        </w:rPr>
        <w:t xml:space="preserve"> </w:t>
      </w:r>
      <w:r w:rsidRPr="00395593">
        <w:rPr>
          <w:rFonts w:ascii="Garamond" w:hAnsi="Garamond"/>
          <w:sz w:val="24"/>
        </w:rPr>
        <w:t>sob</w:t>
      </w:r>
      <w:r w:rsidRPr="00395593">
        <w:rPr>
          <w:rFonts w:ascii="Garamond" w:hAnsi="Garamond"/>
          <w:spacing w:val="34"/>
          <w:sz w:val="24"/>
        </w:rPr>
        <w:t xml:space="preserve"> </w:t>
      </w:r>
      <w:r w:rsidRPr="00395593">
        <w:rPr>
          <w:rFonts w:ascii="Garamond" w:hAnsi="Garamond"/>
          <w:sz w:val="24"/>
        </w:rPr>
        <w:t>investigação</w:t>
      </w:r>
      <w:r w:rsidRPr="00395593">
        <w:rPr>
          <w:rFonts w:ascii="Garamond" w:hAnsi="Garamond"/>
          <w:spacing w:val="34"/>
          <w:sz w:val="24"/>
        </w:rPr>
        <w:t xml:space="preserve"> </w:t>
      </w:r>
      <w:r w:rsidRPr="00395593">
        <w:rPr>
          <w:rFonts w:ascii="Garamond" w:hAnsi="Garamond"/>
          <w:sz w:val="24"/>
        </w:rPr>
        <w:t>seja</w:t>
      </w:r>
      <w:r w:rsidRPr="00395593">
        <w:rPr>
          <w:rFonts w:ascii="Garamond" w:hAnsi="Garamond"/>
          <w:spacing w:val="32"/>
          <w:sz w:val="24"/>
        </w:rPr>
        <w:t xml:space="preserve"> </w:t>
      </w:r>
      <w:r w:rsidRPr="00395593">
        <w:rPr>
          <w:rFonts w:ascii="Garamond" w:hAnsi="Garamond"/>
          <w:sz w:val="24"/>
        </w:rPr>
        <w:t>tão</w:t>
      </w:r>
      <w:r w:rsidRPr="00395593">
        <w:rPr>
          <w:rFonts w:ascii="Garamond" w:hAnsi="Garamond"/>
          <w:spacing w:val="34"/>
          <w:sz w:val="24"/>
        </w:rPr>
        <w:t xml:space="preserve"> </w:t>
      </w:r>
      <w:r w:rsidRPr="00395593">
        <w:rPr>
          <w:rFonts w:ascii="Garamond" w:hAnsi="Garamond"/>
          <w:sz w:val="24"/>
        </w:rPr>
        <w:t>grande</w:t>
      </w:r>
      <w:r w:rsidRPr="00395593">
        <w:rPr>
          <w:rFonts w:ascii="Garamond" w:hAnsi="Garamond"/>
          <w:spacing w:val="32"/>
          <w:sz w:val="24"/>
        </w:rPr>
        <w:t xml:space="preserve"> </w:t>
      </w:r>
      <w:r w:rsidRPr="00395593">
        <w:rPr>
          <w:rFonts w:ascii="Garamond" w:hAnsi="Garamond"/>
          <w:sz w:val="24"/>
        </w:rPr>
        <w:t>que</w:t>
      </w:r>
      <w:r w:rsidRPr="00395593">
        <w:rPr>
          <w:rFonts w:ascii="Garamond" w:hAnsi="Garamond"/>
          <w:spacing w:val="33"/>
          <w:sz w:val="24"/>
        </w:rPr>
        <w:t xml:space="preserve"> </w:t>
      </w:r>
      <w:r w:rsidRPr="00395593">
        <w:rPr>
          <w:rFonts w:ascii="Garamond" w:hAnsi="Garamond"/>
          <w:sz w:val="24"/>
        </w:rPr>
        <w:t>torne</w:t>
      </w:r>
      <w:r w:rsidRPr="00395593">
        <w:rPr>
          <w:rFonts w:ascii="Garamond" w:hAnsi="Garamond"/>
          <w:spacing w:val="32"/>
          <w:sz w:val="24"/>
        </w:rPr>
        <w:t xml:space="preserve"> </w:t>
      </w:r>
      <w:r w:rsidRPr="00395593">
        <w:rPr>
          <w:rFonts w:ascii="Garamond" w:hAnsi="Garamond"/>
          <w:sz w:val="24"/>
        </w:rPr>
        <w:t>impraticável</w:t>
      </w:r>
      <w:r w:rsidRPr="00395593">
        <w:rPr>
          <w:rFonts w:ascii="Garamond" w:hAnsi="Garamond"/>
          <w:spacing w:val="35"/>
          <w:sz w:val="24"/>
        </w:rPr>
        <w:t xml:space="preserve"> </w:t>
      </w:r>
      <w:r w:rsidRPr="00395593">
        <w:rPr>
          <w:rFonts w:ascii="Garamond" w:hAnsi="Garamond"/>
          <w:sz w:val="24"/>
        </w:rPr>
        <w:t>tal</w:t>
      </w:r>
      <w:r w:rsidRPr="00395593">
        <w:rPr>
          <w:rFonts w:ascii="Garamond" w:hAnsi="Garamond"/>
          <w:spacing w:val="33"/>
          <w:sz w:val="24"/>
        </w:rPr>
        <w:t xml:space="preserve"> </w:t>
      </w:r>
      <w:r w:rsidRPr="00395593">
        <w:rPr>
          <w:rFonts w:ascii="Garamond" w:hAnsi="Garamond"/>
          <w:sz w:val="24"/>
        </w:rPr>
        <w:t>determinação,</w:t>
      </w:r>
      <w:r w:rsidRPr="00395593">
        <w:rPr>
          <w:rFonts w:ascii="Garamond" w:hAnsi="Garamond"/>
          <w:spacing w:val="34"/>
          <w:sz w:val="24"/>
        </w:rPr>
        <w:t xml:space="preserve"> </w:t>
      </w:r>
      <w:r w:rsidRPr="00395593">
        <w:rPr>
          <w:rFonts w:ascii="Garamond" w:hAnsi="Garamond"/>
          <w:sz w:val="24"/>
        </w:rPr>
        <w:t>as</w:t>
      </w:r>
      <w:r w:rsidRPr="00395593">
        <w:rPr>
          <w:rFonts w:ascii="Garamond" w:hAnsi="Garamond"/>
          <w:spacing w:val="34"/>
          <w:sz w:val="24"/>
        </w:rPr>
        <w:t xml:space="preserve"> </w:t>
      </w:r>
      <w:r w:rsidRPr="00395593">
        <w:rPr>
          <w:rFonts w:ascii="Garamond" w:hAnsi="Garamond"/>
          <w:sz w:val="24"/>
        </w:rPr>
        <w:t>autoridades</w:t>
      </w:r>
    </w:p>
    <w:p w14:paraId="3EF9E278" w14:textId="3968604D" w:rsidR="0013285C" w:rsidRPr="00395593" w:rsidRDefault="0013285C" w:rsidP="0013285C">
      <w:pPr>
        <w:pStyle w:val="Corpodetexto"/>
        <w:rPr>
          <w:rFonts w:ascii="Garamond" w:hAnsi="Garamond"/>
          <w:sz w:val="19"/>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45" behindDoc="1" locked="0" layoutInCell="1" allowOverlap="1" wp14:anchorId="44B4E265" wp14:editId="26878E3C">
                <wp:simplePos x="0" y="0"/>
                <wp:positionH relativeFrom="page">
                  <wp:posOffset>1080770</wp:posOffset>
                </wp:positionH>
                <wp:positionV relativeFrom="paragraph">
                  <wp:posOffset>154305</wp:posOffset>
                </wp:positionV>
                <wp:extent cx="1828800" cy="7620"/>
                <wp:effectExtent l="4445" t="1905" r="0" b="0"/>
                <wp:wrapTopAndBottom/>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3F5E3" id="Retângulo 12" o:spid="_x0000_s1026" style="position:absolute;margin-left:85.1pt;margin-top:12.15pt;width:2in;height:.6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n9OfgIAAPw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" fillcolor="black" stroked="f">
                <w10:wrap type="topAndBottom" anchorx="page"/>
              </v:rect>
            </w:pict>
          </mc:Fallback>
        </mc:AlternateContent>
      </w:r>
    </w:p>
    <w:p w14:paraId="1371F488" w14:textId="77777777" w:rsidR="0013285C" w:rsidRPr="00395593" w:rsidRDefault="0013285C" w:rsidP="0013285C">
      <w:pPr>
        <w:spacing w:before="103"/>
        <w:ind w:left="102"/>
        <w:rPr>
          <w:rFonts w:ascii="Garamond" w:hAnsi="Garamond"/>
          <w:sz w:val="20"/>
        </w:rPr>
      </w:pPr>
      <w:r w:rsidRPr="00395593">
        <w:rPr>
          <w:rFonts w:ascii="Garamond" w:hAnsi="Garamond"/>
          <w:sz w:val="20"/>
          <w:vertAlign w:val="superscript"/>
        </w:rPr>
        <w:t>18</w:t>
      </w:r>
      <w:r w:rsidRPr="00395593">
        <w:rPr>
          <w:rFonts w:ascii="Garamond" w:hAnsi="Garamond"/>
          <w:spacing w:val="-2"/>
          <w:sz w:val="20"/>
        </w:rPr>
        <w:t xml:space="preserve"> </w:t>
      </w:r>
      <w:r w:rsidRPr="00395593">
        <w:rPr>
          <w:rFonts w:ascii="Garamond" w:hAnsi="Garamond"/>
          <w:sz w:val="20"/>
        </w:rPr>
        <w:t>Os</w:t>
      </w:r>
      <w:r w:rsidRPr="00395593">
        <w:rPr>
          <w:rFonts w:ascii="Garamond" w:hAnsi="Garamond"/>
          <w:spacing w:val="-3"/>
          <w:sz w:val="20"/>
        </w:rPr>
        <w:t xml:space="preserve"> </w:t>
      </w:r>
      <w:r w:rsidRPr="00395593">
        <w:rPr>
          <w:rFonts w:ascii="Garamond" w:hAnsi="Garamond"/>
          <w:sz w:val="20"/>
        </w:rPr>
        <w:t>Membros</w:t>
      </w:r>
      <w:r w:rsidRPr="00395593">
        <w:rPr>
          <w:rFonts w:ascii="Garamond" w:hAnsi="Garamond"/>
          <w:spacing w:val="-3"/>
          <w:sz w:val="20"/>
        </w:rPr>
        <w:t xml:space="preserve"> </w:t>
      </w:r>
      <w:r w:rsidRPr="00395593">
        <w:rPr>
          <w:rFonts w:ascii="Garamond" w:hAnsi="Garamond"/>
          <w:sz w:val="20"/>
        </w:rPr>
        <w:t>acordam</w:t>
      </w:r>
      <w:r w:rsidRPr="00395593">
        <w:rPr>
          <w:rFonts w:ascii="Garamond" w:hAnsi="Garamond"/>
          <w:spacing w:val="-6"/>
          <w:sz w:val="20"/>
        </w:rPr>
        <w:t xml:space="preserve"> </w:t>
      </w:r>
      <w:r w:rsidRPr="00395593">
        <w:rPr>
          <w:rFonts w:ascii="Garamond" w:hAnsi="Garamond"/>
          <w:sz w:val="20"/>
        </w:rPr>
        <w:t>em</w:t>
      </w:r>
      <w:r w:rsidRPr="00395593">
        <w:rPr>
          <w:rFonts w:ascii="Garamond" w:hAnsi="Garamond"/>
          <w:spacing w:val="-6"/>
          <w:sz w:val="20"/>
        </w:rPr>
        <w:t xml:space="preserve"> </w:t>
      </w:r>
      <w:r w:rsidRPr="00395593">
        <w:rPr>
          <w:rFonts w:ascii="Garamond" w:hAnsi="Garamond"/>
          <w:sz w:val="20"/>
        </w:rPr>
        <w:t>que</w:t>
      </w:r>
      <w:r w:rsidRPr="00395593">
        <w:rPr>
          <w:rFonts w:ascii="Garamond" w:hAnsi="Garamond"/>
          <w:spacing w:val="-2"/>
          <w:sz w:val="20"/>
        </w:rPr>
        <w:t xml:space="preserve"> </w:t>
      </w:r>
      <w:r w:rsidRPr="00395593">
        <w:rPr>
          <w:rFonts w:ascii="Garamond" w:hAnsi="Garamond"/>
          <w:sz w:val="20"/>
        </w:rPr>
        <w:t>não</w:t>
      </w:r>
      <w:r w:rsidRPr="00395593">
        <w:rPr>
          <w:rFonts w:ascii="Garamond" w:hAnsi="Garamond"/>
          <w:spacing w:val="-1"/>
          <w:sz w:val="20"/>
        </w:rPr>
        <w:t xml:space="preserve"> </w:t>
      </w:r>
      <w:r w:rsidRPr="00395593">
        <w:rPr>
          <w:rFonts w:ascii="Garamond" w:hAnsi="Garamond"/>
          <w:sz w:val="20"/>
        </w:rPr>
        <w:t>ser</w:t>
      </w:r>
      <w:r w:rsidRPr="00395593">
        <w:rPr>
          <w:rFonts w:ascii="Garamond" w:hAnsi="Garamond"/>
          <w:spacing w:val="-1"/>
          <w:sz w:val="20"/>
        </w:rPr>
        <w:t xml:space="preserve"> </w:t>
      </w:r>
      <w:r w:rsidRPr="00395593">
        <w:rPr>
          <w:rFonts w:ascii="Garamond" w:hAnsi="Garamond"/>
          <w:sz w:val="20"/>
        </w:rPr>
        <w:t>deverão recusar</w:t>
      </w:r>
      <w:r w:rsidRPr="00395593">
        <w:rPr>
          <w:rFonts w:ascii="Garamond" w:hAnsi="Garamond"/>
          <w:spacing w:val="-1"/>
          <w:sz w:val="20"/>
        </w:rPr>
        <w:t xml:space="preserve"> </w:t>
      </w:r>
      <w:r w:rsidRPr="00395593">
        <w:rPr>
          <w:rFonts w:ascii="Garamond" w:hAnsi="Garamond"/>
          <w:sz w:val="20"/>
        </w:rPr>
        <w:t>arbitrariamente</w:t>
      </w:r>
      <w:r w:rsidRPr="00395593">
        <w:rPr>
          <w:rFonts w:ascii="Garamond" w:hAnsi="Garamond"/>
          <w:spacing w:val="-2"/>
          <w:sz w:val="20"/>
        </w:rPr>
        <w:t xml:space="preserve"> </w:t>
      </w:r>
      <w:r w:rsidRPr="00395593">
        <w:rPr>
          <w:rFonts w:ascii="Garamond" w:hAnsi="Garamond"/>
          <w:sz w:val="20"/>
        </w:rPr>
        <w:t>os</w:t>
      </w:r>
      <w:r w:rsidRPr="00395593">
        <w:rPr>
          <w:rFonts w:ascii="Garamond" w:hAnsi="Garamond"/>
          <w:spacing w:val="-3"/>
          <w:sz w:val="20"/>
        </w:rPr>
        <w:t xml:space="preserve"> </w:t>
      </w:r>
      <w:r w:rsidRPr="00395593">
        <w:rPr>
          <w:rFonts w:ascii="Garamond" w:hAnsi="Garamond"/>
          <w:sz w:val="20"/>
        </w:rPr>
        <w:t>pedidos</w:t>
      </w:r>
      <w:r w:rsidRPr="00395593">
        <w:rPr>
          <w:rFonts w:ascii="Garamond" w:hAnsi="Garamond"/>
          <w:spacing w:val="-3"/>
          <w:sz w:val="20"/>
        </w:rPr>
        <w:t xml:space="preserve"> </w:t>
      </w:r>
      <w:r w:rsidRPr="00395593">
        <w:rPr>
          <w:rFonts w:ascii="Garamond" w:hAnsi="Garamond"/>
          <w:sz w:val="20"/>
        </w:rPr>
        <w:t>de</w:t>
      </w:r>
      <w:r w:rsidRPr="00395593">
        <w:rPr>
          <w:rFonts w:ascii="Garamond" w:hAnsi="Garamond"/>
          <w:spacing w:val="-2"/>
          <w:sz w:val="20"/>
        </w:rPr>
        <w:t xml:space="preserve"> </w:t>
      </w:r>
      <w:r w:rsidRPr="00395593">
        <w:rPr>
          <w:rFonts w:ascii="Garamond" w:hAnsi="Garamond"/>
          <w:sz w:val="20"/>
        </w:rPr>
        <w:t>confidencialidade.</w:t>
      </w:r>
    </w:p>
    <w:p w14:paraId="1EA40543" w14:textId="77777777" w:rsidR="00B273F2" w:rsidRDefault="00B273F2">
      <w:pPr>
        <w:rPr>
          <w:rFonts w:ascii="Garamond" w:eastAsia="Times New Roman" w:hAnsi="Garamond" w:cs="Times New Roman"/>
          <w:sz w:val="24"/>
          <w:szCs w:val="24"/>
        </w:rPr>
      </w:pPr>
      <w:r>
        <w:rPr>
          <w:rFonts w:ascii="Garamond" w:hAnsi="Garamond"/>
        </w:rPr>
        <w:br w:type="page"/>
      </w:r>
    </w:p>
    <w:p w14:paraId="51939E97" w14:textId="2539349C" w:rsidR="0013285C" w:rsidRPr="00395593" w:rsidRDefault="0013285C" w:rsidP="0013285C">
      <w:pPr>
        <w:pStyle w:val="Corpodetexto"/>
        <w:spacing w:before="68"/>
        <w:ind w:left="102" w:right="121"/>
        <w:jc w:val="both"/>
        <w:rPr>
          <w:rFonts w:ascii="Garamond" w:hAnsi="Garamond"/>
        </w:rPr>
      </w:pPr>
      <w:r w:rsidRPr="00395593">
        <w:rPr>
          <w:rFonts w:ascii="Garamond" w:hAnsi="Garamond"/>
        </w:rPr>
        <w:t>poderão limitar-se a examinar quer um numero razoável de partes interessadas ou produtos,</w:t>
      </w:r>
      <w:r w:rsidRPr="00395593">
        <w:rPr>
          <w:rFonts w:ascii="Garamond" w:hAnsi="Garamond"/>
          <w:spacing w:val="-57"/>
        </w:rPr>
        <w:t xml:space="preserve"> </w:t>
      </w:r>
      <w:r w:rsidRPr="00395593">
        <w:rPr>
          <w:rFonts w:ascii="Garamond" w:hAnsi="Garamond"/>
        </w:rPr>
        <w:t>por meio de amostragem estatisticamente válida com base nas informações disponíveis às</w:t>
      </w:r>
      <w:r w:rsidRPr="00395593">
        <w:rPr>
          <w:rFonts w:ascii="Garamond" w:hAnsi="Garamond"/>
          <w:spacing w:val="1"/>
        </w:rPr>
        <w:t xml:space="preserve"> </w:t>
      </w:r>
      <w:r w:rsidRPr="00395593">
        <w:rPr>
          <w:rFonts w:ascii="Garamond" w:hAnsi="Garamond"/>
        </w:rPr>
        <w:t>autoridades no momento da seleção, quer o maior percentual razoavelmente investigável do</w:t>
      </w:r>
      <w:r w:rsidRPr="00395593">
        <w:rPr>
          <w:rFonts w:ascii="Garamond" w:hAnsi="Garamond"/>
          <w:spacing w:val="-57"/>
        </w:rPr>
        <w:t xml:space="preserve"> </w:t>
      </w:r>
      <w:r w:rsidRPr="00395593">
        <w:rPr>
          <w:rFonts w:ascii="Garamond" w:hAnsi="Garamond"/>
        </w:rPr>
        <w:t>volume</w:t>
      </w:r>
      <w:r w:rsidRPr="00395593">
        <w:rPr>
          <w:rFonts w:ascii="Garamond" w:hAnsi="Garamond"/>
          <w:spacing w:val="-2"/>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exportações do país em</w:t>
      </w:r>
      <w:r w:rsidRPr="00395593">
        <w:rPr>
          <w:rFonts w:ascii="Garamond" w:hAnsi="Garamond"/>
          <w:spacing w:val="1"/>
        </w:rPr>
        <w:t xml:space="preserve"> </w:t>
      </w:r>
      <w:r w:rsidRPr="00395593">
        <w:rPr>
          <w:rFonts w:ascii="Garamond" w:hAnsi="Garamond"/>
        </w:rPr>
        <w:t>questão.</w:t>
      </w:r>
    </w:p>
    <w:p w14:paraId="2737EE8F" w14:textId="77777777" w:rsidR="0013285C" w:rsidRPr="00395593" w:rsidRDefault="0013285C" w:rsidP="0013285C">
      <w:pPr>
        <w:pStyle w:val="Corpodetexto"/>
        <w:rPr>
          <w:rFonts w:ascii="Garamond" w:hAnsi="Garamond"/>
        </w:rPr>
      </w:pPr>
    </w:p>
    <w:p w14:paraId="27C7A66A" w14:textId="77777777" w:rsidR="0013285C" w:rsidRPr="00395593" w:rsidRDefault="0013285C" w:rsidP="002C4340">
      <w:pPr>
        <w:pStyle w:val="PargrafodaLista"/>
        <w:widowControl w:val="0"/>
        <w:numPr>
          <w:ilvl w:val="0"/>
          <w:numId w:val="19"/>
        </w:numPr>
        <w:tabs>
          <w:tab w:val="left" w:pos="822"/>
        </w:tabs>
        <w:autoSpaceDE w:val="0"/>
        <w:autoSpaceDN w:val="0"/>
        <w:spacing w:after="0" w:line="240" w:lineRule="auto"/>
        <w:ind w:left="821" w:right="119" w:hanging="720"/>
        <w:contextualSpacing w:val="0"/>
        <w:jc w:val="both"/>
        <w:rPr>
          <w:rFonts w:ascii="Garamond" w:hAnsi="Garamond"/>
          <w:sz w:val="24"/>
          <w:szCs w:val="24"/>
        </w:rPr>
      </w:pPr>
      <w:r w:rsidRPr="00395593">
        <w:rPr>
          <w:rFonts w:ascii="Garamond" w:hAnsi="Garamond"/>
          <w:sz w:val="24"/>
          <w:szCs w:val="24"/>
        </w:rPr>
        <w:t>(a) Qualquer seleção de exportadores, produtores, importadores ou tipos de produtos</w:t>
      </w:r>
      <w:r w:rsidRPr="00395593">
        <w:rPr>
          <w:rFonts w:ascii="Garamond" w:hAnsi="Garamond"/>
          <w:spacing w:val="-58"/>
          <w:sz w:val="24"/>
          <w:szCs w:val="24"/>
        </w:rPr>
        <w:t xml:space="preserve"> </w:t>
      </w:r>
      <w:r w:rsidRPr="00395593">
        <w:rPr>
          <w:rFonts w:ascii="Garamond" w:hAnsi="Garamond"/>
          <w:sz w:val="24"/>
          <w:szCs w:val="24"/>
        </w:rPr>
        <w:t>que se faça ao abrigo do parágrafo 12 será preferivelmente efetuada após consulta</w:t>
      </w:r>
      <w:r w:rsidRPr="00395593">
        <w:rPr>
          <w:rFonts w:ascii="Garamond" w:hAnsi="Garamond"/>
          <w:spacing w:val="1"/>
          <w:sz w:val="24"/>
          <w:szCs w:val="24"/>
        </w:rPr>
        <w:t xml:space="preserve"> </w:t>
      </w:r>
      <w:r w:rsidRPr="00395593">
        <w:rPr>
          <w:rFonts w:ascii="Garamond" w:hAnsi="Garamond"/>
          <w:sz w:val="24"/>
          <w:szCs w:val="24"/>
        </w:rPr>
        <w:t>aos</w:t>
      </w:r>
      <w:r w:rsidRPr="00395593">
        <w:rPr>
          <w:rFonts w:ascii="Garamond" w:hAnsi="Garamond"/>
          <w:spacing w:val="1"/>
          <w:sz w:val="24"/>
          <w:szCs w:val="24"/>
        </w:rPr>
        <w:t xml:space="preserve"> </w:t>
      </w:r>
      <w:r w:rsidRPr="00395593">
        <w:rPr>
          <w:rFonts w:ascii="Garamond" w:hAnsi="Garamond"/>
          <w:sz w:val="24"/>
          <w:szCs w:val="24"/>
        </w:rPr>
        <w:t>exportadores,</w:t>
      </w:r>
      <w:r w:rsidRPr="00395593">
        <w:rPr>
          <w:rFonts w:ascii="Garamond" w:hAnsi="Garamond"/>
          <w:spacing w:val="1"/>
          <w:sz w:val="24"/>
          <w:szCs w:val="24"/>
        </w:rPr>
        <w:t xml:space="preserve"> </w:t>
      </w:r>
      <w:r w:rsidRPr="00395593">
        <w:rPr>
          <w:rFonts w:ascii="Garamond" w:hAnsi="Garamond"/>
          <w:sz w:val="24"/>
          <w:szCs w:val="24"/>
        </w:rPr>
        <w:t>produtores</w:t>
      </w:r>
      <w:r w:rsidRPr="00395593">
        <w:rPr>
          <w:rFonts w:ascii="Garamond" w:hAnsi="Garamond"/>
          <w:spacing w:val="1"/>
          <w:sz w:val="24"/>
          <w:szCs w:val="24"/>
        </w:rPr>
        <w:t xml:space="preserve"> </w:t>
      </w:r>
      <w:r w:rsidRPr="00395593">
        <w:rPr>
          <w:rFonts w:ascii="Garamond" w:hAnsi="Garamond"/>
          <w:sz w:val="24"/>
          <w:szCs w:val="24"/>
        </w:rPr>
        <w:t>ou</w:t>
      </w:r>
      <w:r w:rsidRPr="00395593">
        <w:rPr>
          <w:rFonts w:ascii="Garamond" w:hAnsi="Garamond"/>
          <w:spacing w:val="1"/>
          <w:sz w:val="24"/>
          <w:szCs w:val="24"/>
        </w:rPr>
        <w:t xml:space="preserve"> </w:t>
      </w:r>
      <w:r w:rsidRPr="00395593">
        <w:rPr>
          <w:rFonts w:ascii="Garamond" w:hAnsi="Garamond"/>
          <w:sz w:val="24"/>
          <w:szCs w:val="24"/>
        </w:rPr>
        <w:t>importadores</w:t>
      </w:r>
      <w:r w:rsidRPr="00395593">
        <w:rPr>
          <w:rFonts w:ascii="Garamond" w:hAnsi="Garamond"/>
          <w:spacing w:val="1"/>
          <w:sz w:val="24"/>
          <w:szCs w:val="24"/>
        </w:rPr>
        <w:t xml:space="preserve"> </w:t>
      </w:r>
      <w:r w:rsidRPr="00395593">
        <w:rPr>
          <w:rFonts w:ascii="Garamond" w:hAnsi="Garamond"/>
          <w:sz w:val="24"/>
          <w:szCs w:val="24"/>
        </w:rPr>
        <w:t>envolvidos</w:t>
      </w:r>
      <w:r w:rsidRPr="00395593">
        <w:rPr>
          <w:rFonts w:ascii="Garamond" w:hAnsi="Garamond"/>
          <w:spacing w:val="1"/>
          <w:sz w:val="24"/>
          <w:szCs w:val="24"/>
        </w:rPr>
        <w:t xml:space="preserve"> </w:t>
      </w:r>
      <w:r w:rsidRPr="00395593">
        <w:rPr>
          <w:rFonts w:ascii="Garamond" w:hAnsi="Garamond"/>
          <w:sz w:val="24"/>
          <w:szCs w:val="24"/>
        </w:rPr>
        <w:t>e</w:t>
      </w:r>
      <w:r w:rsidRPr="00395593">
        <w:rPr>
          <w:rFonts w:ascii="Garamond" w:hAnsi="Garamond"/>
          <w:spacing w:val="1"/>
          <w:sz w:val="24"/>
          <w:szCs w:val="24"/>
        </w:rPr>
        <w:t xml:space="preserve"> </w:t>
      </w:r>
      <w:r w:rsidRPr="00395593">
        <w:rPr>
          <w:rFonts w:ascii="Garamond" w:hAnsi="Garamond"/>
          <w:sz w:val="24"/>
          <w:szCs w:val="24"/>
        </w:rPr>
        <w:t>obtenção</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sz w:val="24"/>
          <w:szCs w:val="24"/>
        </w:rPr>
        <w:t>sua</w:t>
      </w:r>
      <w:r w:rsidRPr="00395593">
        <w:rPr>
          <w:rFonts w:ascii="Garamond" w:hAnsi="Garamond"/>
          <w:spacing w:val="1"/>
          <w:sz w:val="24"/>
          <w:szCs w:val="24"/>
        </w:rPr>
        <w:t xml:space="preserve"> </w:t>
      </w:r>
      <w:r w:rsidRPr="00395593">
        <w:rPr>
          <w:rFonts w:ascii="Garamond" w:hAnsi="Garamond"/>
          <w:sz w:val="24"/>
          <w:szCs w:val="24"/>
        </w:rPr>
        <w:t>anuência;</w:t>
      </w:r>
    </w:p>
    <w:p w14:paraId="3147E868" w14:textId="77777777" w:rsidR="0013285C" w:rsidRPr="00395593" w:rsidRDefault="0013285C" w:rsidP="0013285C">
      <w:pPr>
        <w:pStyle w:val="Corpodetexto"/>
        <w:rPr>
          <w:rFonts w:ascii="Garamond" w:hAnsi="Garamond"/>
        </w:rPr>
      </w:pPr>
    </w:p>
    <w:p w14:paraId="2EABA497" w14:textId="77777777" w:rsidR="0013285C" w:rsidRPr="00395593" w:rsidRDefault="0013285C" w:rsidP="0013285C">
      <w:pPr>
        <w:pStyle w:val="Corpodetexto"/>
        <w:ind w:left="821" w:right="119"/>
        <w:jc w:val="both"/>
        <w:rPr>
          <w:rFonts w:ascii="Garamond" w:hAnsi="Garamond"/>
        </w:rPr>
      </w:pPr>
      <w:r w:rsidRPr="00395593">
        <w:rPr>
          <w:rFonts w:ascii="Garamond" w:hAnsi="Garamond"/>
        </w:rPr>
        <w:t>(b) No caso de as autoridades terem limitado seu exame segundo o disposto no</w:t>
      </w:r>
      <w:r w:rsidRPr="00395593">
        <w:rPr>
          <w:rFonts w:ascii="Garamond" w:hAnsi="Garamond"/>
          <w:spacing w:val="1"/>
        </w:rPr>
        <w:t xml:space="preserve"> </w:t>
      </w:r>
      <w:r w:rsidRPr="00395593">
        <w:rPr>
          <w:rFonts w:ascii="Garamond" w:hAnsi="Garamond"/>
        </w:rPr>
        <w:t>parágrafo</w:t>
      </w:r>
      <w:r w:rsidRPr="00395593">
        <w:rPr>
          <w:rFonts w:ascii="Garamond" w:hAnsi="Garamond"/>
          <w:spacing w:val="1"/>
        </w:rPr>
        <w:t xml:space="preserve"> </w:t>
      </w:r>
      <w:r w:rsidRPr="00395593">
        <w:rPr>
          <w:rFonts w:ascii="Garamond" w:hAnsi="Garamond"/>
        </w:rPr>
        <w:t>12,</w:t>
      </w:r>
      <w:r w:rsidRPr="00395593">
        <w:rPr>
          <w:rFonts w:ascii="Garamond" w:hAnsi="Garamond"/>
          <w:spacing w:val="1"/>
        </w:rPr>
        <w:t xml:space="preserve"> </w:t>
      </w:r>
      <w:r w:rsidRPr="00395593">
        <w:rPr>
          <w:rFonts w:ascii="Garamond" w:hAnsi="Garamond"/>
        </w:rPr>
        <w:t>elas</w:t>
      </w:r>
      <w:r w:rsidRPr="00395593">
        <w:rPr>
          <w:rFonts w:ascii="Garamond" w:hAnsi="Garamond"/>
          <w:spacing w:val="1"/>
        </w:rPr>
        <w:t xml:space="preserve"> </w:t>
      </w:r>
      <w:r w:rsidRPr="00395593">
        <w:rPr>
          <w:rFonts w:ascii="Garamond" w:hAnsi="Garamond"/>
        </w:rPr>
        <w:t>deverão,</w:t>
      </w:r>
      <w:r w:rsidRPr="00395593">
        <w:rPr>
          <w:rFonts w:ascii="Garamond" w:hAnsi="Garamond"/>
          <w:spacing w:val="1"/>
        </w:rPr>
        <w:t xml:space="preserve"> </w:t>
      </w:r>
      <w:r w:rsidRPr="00395593">
        <w:rPr>
          <w:rFonts w:ascii="Garamond" w:hAnsi="Garamond"/>
        </w:rPr>
        <w:t>não</w:t>
      </w:r>
      <w:r w:rsidRPr="00395593">
        <w:rPr>
          <w:rFonts w:ascii="Garamond" w:hAnsi="Garamond"/>
          <w:spacing w:val="1"/>
        </w:rPr>
        <w:t xml:space="preserve"> </w:t>
      </w:r>
      <w:r w:rsidRPr="00395593">
        <w:rPr>
          <w:rFonts w:ascii="Garamond" w:hAnsi="Garamond"/>
        </w:rPr>
        <w:t>obstante,</w:t>
      </w:r>
      <w:r w:rsidRPr="00395593">
        <w:rPr>
          <w:rFonts w:ascii="Garamond" w:hAnsi="Garamond"/>
          <w:spacing w:val="1"/>
        </w:rPr>
        <w:t xml:space="preserve"> </w:t>
      </w:r>
      <w:r w:rsidRPr="00395593">
        <w:rPr>
          <w:rFonts w:ascii="Garamond" w:hAnsi="Garamond"/>
        </w:rPr>
        <w:t>determinar</w:t>
      </w:r>
      <w:r w:rsidRPr="00395593">
        <w:rPr>
          <w:rFonts w:ascii="Garamond" w:hAnsi="Garamond"/>
          <w:spacing w:val="1"/>
        </w:rPr>
        <w:t xml:space="preserve"> </w:t>
      </w:r>
      <w:r w:rsidRPr="00395593">
        <w:rPr>
          <w:rFonts w:ascii="Garamond" w:hAnsi="Garamond"/>
        </w:rPr>
        <w:t>a</w:t>
      </w:r>
      <w:r w:rsidRPr="00395593">
        <w:rPr>
          <w:rFonts w:ascii="Garamond" w:hAnsi="Garamond"/>
          <w:spacing w:val="1"/>
        </w:rPr>
        <w:t xml:space="preserve"> </w:t>
      </w:r>
      <w:r w:rsidRPr="00395593">
        <w:rPr>
          <w:rFonts w:ascii="Garamond" w:hAnsi="Garamond"/>
        </w:rPr>
        <w:t>margem</w:t>
      </w:r>
      <w:r w:rsidRPr="00395593">
        <w:rPr>
          <w:rFonts w:ascii="Garamond" w:hAnsi="Garamond"/>
          <w:spacing w:val="1"/>
        </w:rPr>
        <w:t xml:space="preserve"> </w:t>
      </w:r>
      <w:r w:rsidRPr="00395593">
        <w:rPr>
          <w:rFonts w:ascii="Garamond" w:hAnsi="Garamond"/>
        </w:rPr>
        <w:t>individual</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i/>
        </w:rPr>
        <w:t>dumping</w:t>
      </w:r>
      <w:r w:rsidRPr="00395593">
        <w:rPr>
          <w:rFonts w:ascii="Garamond" w:hAnsi="Garamond"/>
          <w:i/>
          <w:spacing w:val="1"/>
        </w:rPr>
        <w:t xml:space="preserve"> </w:t>
      </w:r>
      <w:r w:rsidRPr="00395593">
        <w:rPr>
          <w:rFonts w:ascii="Garamond" w:hAnsi="Garamond"/>
        </w:rPr>
        <w:t>para</w:t>
      </w:r>
      <w:r w:rsidRPr="00395593">
        <w:rPr>
          <w:rFonts w:ascii="Garamond" w:hAnsi="Garamond"/>
          <w:spacing w:val="1"/>
        </w:rPr>
        <w:t xml:space="preserve"> </w:t>
      </w:r>
      <w:r w:rsidRPr="00395593">
        <w:rPr>
          <w:rFonts w:ascii="Garamond" w:hAnsi="Garamond"/>
        </w:rPr>
        <w:t>cada</w:t>
      </w:r>
      <w:r w:rsidRPr="00395593">
        <w:rPr>
          <w:rFonts w:ascii="Garamond" w:hAnsi="Garamond"/>
          <w:spacing w:val="1"/>
        </w:rPr>
        <w:t xml:space="preserve"> </w:t>
      </w:r>
      <w:r w:rsidRPr="00395593">
        <w:rPr>
          <w:rFonts w:ascii="Garamond" w:hAnsi="Garamond"/>
        </w:rPr>
        <w:t>exportador</w:t>
      </w:r>
      <w:r w:rsidRPr="00395593">
        <w:rPr>
          <w:rFonts w:ascii="Garamond" w:hAnsi="Garamond"/>
          <w:spacing w:val="1"/>
        </w:rPr>
        <w:t xml:space="preserve"> </w:t>
      </w:r>
      <w:r w:rsidRPr="00395593">
        <w:rPr>
          <w:rFonts w:ascii="Garamond" w:hAnsi="Garamond"/>
        </w:rPr>
        <w:t>ou</w:t>
      </w:r>
      <w:r w:rsidRPr="00395593">
        <w:rPr>
          <w:rFonts w:ascii="Garamond" w:hAnsi="Garamond"/>
          <w:spacing w:val="1"/>
        </w:rPr>
        <w:t xml:space="preserve"> </w:t>
      </w:r>
      <w:r w:rsidRPr="00395593">
        <w:rPr>
          <w:rFonts w:ascii="Garamond" w:hAnsi="Garamond"/>
        </w:rPr>
        <w:t>produtor</w:t>
      </w:r>
      <w:r w:rsidRPr="00395593">
        <w:rPr>
          <w:rFonts w:ascii="Garamond" w:hAnsi="Garamond"/>
          <w:spacing w:val="1"/>
        </w:rPr>
        <w:t xml:space="preserve"> </w:t>
      </w:r>
      <w:r w:rsidRPr="00395593">
        <w:rPr>
          <w:rFonts w:ascii="Garamond" w:hAnsi="Garamond"/>
        </w:rPr>
        <w:t>individual</w:t>
      </w:r>
      <w:r w:rsidRPr="00395593">
        <w:rPr>
          <w:rFonts w:ascii="Garamond" w:hAnsi="Garamond"/>
          <w:spacing w:val="1"/>
        </w:rPr>
        <w:t xml:space="preserve"> </w:t>
      </w:r>
      <w:r w:rsidRPr="00395593">
        <w:rPr>
          <w:rFonts w:ascii="Garamond" w:hAnsi="Garamond"/>
        </w:rPr>
        <w:t>que</w:t>
      </w:r>
      <w:r w:rsidRPr="00395593">
        <w:rPr>
          <w:rFonts w:ascii="Garamond" w:hAnsi="Garamond"/>
          <w:spacing w:val="1"/>
        </w:rPr>
        <w:t xml:space="preserve"> </w:t>
      </w:r>
      <w:r w:rsidRPr="00395593">
        <w:rPr>
          <w:rFonts w:ascii="Garamond" w:hAnsi="Garamond"/>
        </w:rPr>
        <w:t>não</w:t>
      </w:r>
      <w:r w:rsidRPr="00395593">
        <w:rPr>
          <w:rFonts w:ascii="Garamond" w:hAnsi="Garamond"/>
          <w:spacing w:val="1"/>
        </w:rPr>
        <w:t xml:space="preserve"> </w:t>
      </w:r>
      <w:r w:rsidRPr="00395593">
        <w:rPr>
          <w:rFonts w:ascii="Garamond" w:hAnsi="Garamond"/>
        </w:rPr>
        <w:t>tenha</w:t>
      </w:r>
      <w:r w:rsidRPr="00395593">
        <w:rPr>
          <w:rFonts w:ascii="Garamond" w:hAnsi="Garamond"/>
          <w:spacing w:val="1"/>
        </w:rPr>
        <w:t xml:space="preserve"> </w:t>
      </w:r>
      <w:r w:rsidRPr="00395593">
        <w:rPr>
          <w:rFonts w:ascii="Garamond" w:hAnsi="Garamond"/>
        </w:rPr>
        <w:t>sido</w:t>
      </w:r>
      <w:r w:rsidRPr="00395593">
        <w:rPr>
          <w:rFonts w:ascii="Garamond" w:hAnsi="Garamond"/>
          <w:spacing w:val="1"/>
        </w:rPr>
        <w:t xml:space="preserve"> </w:t>
      </w:r>
      <w:r w:rsidRPr="00395593">
        <w:rPr>
          <w:rFonts w:ascii="Garamond" w:hAnsi="Garamond"/>
        </w:rPr>
        <w:t>inicialmente</w:t>
      </w:r>
      <w:r w:rsidRPr="00395593">
        <w:rPr>
          <w:rFonts w:ascii="Garamond" w:hAnsi="Garamond"/>
          <w:spacing w:val="1"/>
        </w:rPr>
        <w:t xml:space="preserve"> </w:t>
      </w:r>
      <w:r w:rsidRPr="00395593">
        <w:rPr>
          <w:rFonts w:ascii="Garamond" w:hAnsi="Garamond"/>
        </w:rPr>
        <w:t>incluído</w:t>
      </w:r>
      <w:r w:rsidRPr="00395593">
        <w:rPr>
          <w:rFonts w:ascii="Garamond" w:hAnsi="Garamond"/>
          <w:spacing w:val="1"/>
        </w:rPr>
        <w:t xml:space="preserve"> </w:t>
      </w:r>
      <w:r w:rsidRPr="00395593">
        <w:rPr>
          <w:rFonts w:ascii="Garamond" w:hAnsi="Garamond"/>
        </w:rPr>
        <w:t>na</w:t>
      </w:r>
      <w:r w:rsidRPr="00395593">
        <w:rPr>
          <w:rFonts w:ascii="Garamond" w:hAnsi="Garamond"/>
          <w:spacing w:val="1"/>
        </w:rPr>
        <w:t xml:space="preserve"> </w:t>
      </w:r>
      <w:r w:rsidRPr="00395593">
        <w:rPr>
          <w:rFonts w:ascii="Garamond" w:hAnsi="Garamond"/>
        </w:rPr>
        <w:t>seleção</w:t>
      </w:r>
      <w:r w:rsidRPr="00395593">
        <w:rPr>
          <w:rFonts w:ascii="Garamond" w:hAnsi="Garamond"/>
          <w:spacing w:val="1"/>
        </w:rPr>
        <w:t xml:space="preserve"> </w:t>
      </w:r>
      <w:r w:rsidRPr="00395593">
        <w:rPr>
          <w:rFonts w:ascii="Garamond" w:hAnsi="Garamond"/>
        </w:rPr>
        <w:t>mas</w:t>
      </w:r>
      <w:r w:rsidRPr="00395593">
        <w:rPr>
          <w:rFonts w:ascii="Garamond" w:hAnsi="Garamond"/>
          <w:spacing w:val="1"/>
        </w:rPr>
        <w:t xml:space="preserve"> </w:t>
      </w:r>
      <w:r w:rsidRPr="00395593">
        <w:rPr>
          <w:rFonts w:ascii="Garamond" w:hAnsi="Garamond"/>
        </w:rPr>
        <w:t>que</w:t>
      </w:r>
      <w:r w:rsidRPr="00395593">
        <w:rPr>
          <w:rFonts w:ascii="Garamond" w:hAnsi="Garamond"/>
          <w:spacing w:val="1"/>
        </w:rPr>
        <w:t xml:space="preserve"> </w:t>
      </w:r>
      <w:r w:rsidRPr="00395593">
        <w:rPr>
          <w:rFonts w:ascii="Garamond" w:hAnsi="Garamond"/>
        </w:rPr>
        <w:t>venha</w:t>
      </w:r>
      <w:r w:rsidRPr="00395593">
        <w:rPr>
          <w:rFonts w:ascii="Garamond" w:hAnsi="Garamond"/>
          <w:spacing w:val="1"/>
        </w:rPr>
        <w:t xml:space="preserve"> </w:t>
      </w:r>
      <w:r w:rsidRPr="00395593">
        <w:rPr>
          <w:rFonts w:ascii="Garamond" w:hAnsi="Garamond"/>
        </w:rPr>
        <w:t>a</w:t>
      </w:r>
      <w:r w:rsidRPr="00395593">
        <w:rPr>
          <w:rFonts w:ascii="Garamond" w:hAnsi="Garamond"/>
          <w:spacing w:val="1"/>
        </w:rPr>
        <w:t xml:space="preserve"> </w:t>
      </w:r>
      <w:r w:rsidRPr="00395593">
        <w:rPr>
          <w:rFonts w:ascii="Garamond" w:hAnsi="Garamond"/>
        </w:rPr>
        <w:t>apresentar</w:t>
      </w:r>
      <w:r w:rsidRPr="00395593">
        <w:rPr>
          <w:rFonts w:ascii="Garamond" w:hAnsi="Garamond"/>
          <w:spacing w:val="1"/>
        </w:rPr>
        <w:t xml:space="preserve"> </w:t>
      </w:r>
      <w:r w:rsidRPr="00395593">
        <w:rPr>
          <w:rFonts w:ascii="Garamond" w:hAnsi="Garamond"/>
        </w:rPr>
        <w:t>a</w:t>
      </w:r>
      <w:r w:rsidRPr="00395593">
        <w:rPr>
          <w:rFonts w:ascii="Garamond" w:hAnsi="Garamond"/>
          <w:spacing w:val="60"/>
        </w:rPr>
        <w:t xml:space="preserve"> </w:t>
      </w:r>
      <w:r w:rsidRPr="00395593">
        <w:rPr>
          <w:rFonts w:ascii="Garamond" w:hAnsi="Garamond"/>
        </w:rPr>
        <w:t>necessária</w:t>
      </w:r>
      <w:r w:rsidRPr="00395593">
        <w:rPr>
          <w:rFonts w:ascii="Garamond" w:hAnsi="Garamond"/>
          <w:spacing w:val="1"/>
        </w:rPr>
        <w:t xml:space="preserve"> </w:t>
      </w:r>
      <w:r w:rsidRPr="00395593">
        <w:rPr>
          <w:rFonts w:ascii="Garamond" w:hAnsi="Garamond"/>
        </w:rPr>
        <w:t>informação</w:t>
      </w:r>
      <w:r w:rsidRPr="00395593">
        <w:rPr>
          <w:rFonts w:ascii="Garamond" w:hAnsi="Garamond"/>
          <w:spacing w:val="1"/>
        </w:rPr>
        <w:t xml:space="preserve"> </w:t>
      </w:r>
      <w:r w:rsidRPr="00395593">
        <w:rPr>
          <w:rFonts w:ascii="Garamond" w:hAnsi="Garamond"/>
        </w:rPr>
        <w:t>a</w:t>
      </w:r>
      <w:r w:rsidRPr="00395593">
        <w:rPr>
          <w:rFonts w:ascii="Garamond" w:hAnsi="Garamond"/>
          <w:spacing w:val="1"/>
        </w:rPr>
        <w:t xml:space="preserve"> </w:t>
      </w:r>
      <w:r w:rsidRPr="00395593">
        <w:rPr>
          <w:rFonts w:ascii="Garamond" w:hAnsi="Garamond"/>
        </w:rPr>
        <w:t>tempo</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que</w:t>
      </w:r>
      <w:r w:rsidRPr="00395593">
        <w:rPr>
          <w:rFonts w:ascii="Garamond" w:hAnsi="Garamond"/>
          <w:spacing w:val="1"/>
        </w:rPr>
        <w:t xml:space="preserve"> </w:t>
      </w:r>
      <w:r w:rsidRPr="00395593">
        <w:rPr>
          <w:rFonts w:ascii="Garamond" w:hAnsi="Garamond"/>
        </w:rPr>
        <w:t>esta</w:t>
      </w:r>
      <w:r w:rsidRPr="00395593">
        <w:rPr>
          <w:rFonts w:ascii="Garamond" w:hAnsi="Garamond"/>
          <w:spacing w:val="1"/>
        </w:rPr>
        <w:t xml:space="preserve"> </w:t>
      </w:r>
      <w:r w:rsidRPr="00395593">
        <w:rPr>
          <w:rFonts w:ascii="Garamond" w:hAnsi="Garamond"/>
        </w:rPr>
        <w:t>seja</w:t>
      </w:r>
      <w:r w:rsidRPr="00395593">
        <w:rPr>
          <w:rFonts w:ascii="Garamond" w:hAnsi="Garamond"/>
          <w:spacing w:val="1"/>
        </w:rPr>
        <w:t xml:space="preserve"> </w:t>
      </w:r>
      <w:r w:rsidRPr="00395593">
        <w:rPr>
          <w:rFonts w:ascii="Garamond" w:hAnsi="Garamond"/>
        </w:rPr>
        <w:t>considerada</w:t>
      </w:r>
      <w:r w:rsidRPr="00395593">
        <w:rPr>
          <w:rFonts w:ascii="Garamond" w:hAnsi="Garamond"/>
          <w:spacing w:val="1"/>
        </w:rPr>
        <w:t xml:space="preserve"> </w:t>
      </w:r>
      <w:r w:rsidRPr="00395593">
        <w:rPr>
          <w:rFonts w:ascii="Garamond" w:hAnsi="Garamond"/>
        </w:rPr>
        <w:t>durante</w:t>
      </w:r>
      <w:r w:rsidRPr="00395593">
        <w:rPr>
          <w:rFonts w:ascii="Garamond" w:hAnsi="Garamond"/>
          <w:spacing w:val="1"/>
        </w:rPr>
        <w:t xml:space="preserve"> </w:t>
      </w:r>
      <w:r w:rsidRPr="00395593">
        <w:rPr>
          <w:rFonts w:ascii="Garamond" w:hAnsi="Garamond"/>
        </w:rPr>
        <w:t>o</w:t>
      </w:r>
      <w:r w:rsidRPr="00395593">
        <w:rPr>
          <w:rFonts w:ascii="Garamond" w:hAnsi="Garamond"/>
          <w:spacing w:val="1"/>
        </w:rPr>
        <w:t xml:space="preserve"> </w:t>
      </w:r>
      <w:r w:rsidRPr="00395593">
        <w:rPr>
          <w:rFonts w:ascii="Garamond" w:hAnsi="Garamond"/>
        </w:rPr>
        <w:t>processo</w:t>
      </w:r>
      <w:r w:rsidRPr="00395593">
        <w:rPr>
          <w:rFonts w:ascii="Garamond" w:hAnsi="Garamond"/>
          <w:spacing w:val="6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investigação,</w:t>
      </w:r>
      <w:r w:rsidRPr="00395593">
        <w:rPr>
          <w:rFonts w:ascii="Garamond" w:hAnsi="Garamond"/>
          <w:spacing w:val="1"/>
        </w:rPr>
        <w:t xml:space="preserve"> </w:t>
      </w:r>
      <w:r w:rsidRPr="00395593">
        <w:rPr>
          <w:rFonts w:ascii="Garamond" w:hAnsi="Garamond"/>
        </w:rPr>
        <w:t>com exceção das situações em</w:t>
      </w:r>
      <w:r w:rsidRPr="00395593">
        <w:rPr>
          <w:rFonts w:ascii="Garamond" w:hAnsi="Garamond"/>
          <w:spacing w:val="1"/>
        </w:rPr>
        <w:t xml:space="preserve"> </w:t>
      </w:r>
      <w:r w:rsidRPr="00395593">
        <w:rPr>
          <w:rFonts w:ascii="Garamond" w:hAnsi="Garamond"/>
        </w:rPr>
        <w:t>que o número</w:t>
      </w:r>
      <w:r w:rsidRPr="00395593">
        <w:rPr>
          <w:rFonts w:ascii="Garamond" w:hAnsi="Garamond"/>
          <w:spacing w:val="1"/>
        </w:rPr>
        <w:t xml:space="preserve"> </w:t>
      </w:r>
      <w:r w:rsidRPr="00395593">
        <w:rPr>
          <w:rFonts w:ascii="Garamond" w:hAnsi="Garamond"/>
        </w:rPr>
        <w:t>de exportadores ou</w:t>
      </w:r>
      <w:r w:rsidRPr="00395593">
        <w:rPr>
          <w:rFonts w:ascii="Garamond" w:hAnsi="Garamond"/>
          <w:spacing w:val="1"/>
        </w:rPr>
        <w:t xml:space="preserve"> </w:t>
      </w:r>
      <w:r w:rsidRPr="00395593">
        <w:rPr>
          <w:rFonts w:ascii="Garamond" w:hAnsi="Garamond"/>
        </w:rPr>
        <w:t>produtores seja tão grande que a análise de casos individuais resulte em sobrecarga</w:t>
      </w:r>
      <w:r w:rsidRPr="00395593">
        <w:rPr>
          <w:rFonts w:ascii="Garamond" w:hAnsi="Garamond"/>
          <w:spacing w:val="1"/>
        </w:rPr>
        <w:t xml:space="preserve"> </w:t>
      </w:r>
      <w:r w:rsidRPr="00395593">
        <w:rPr>
          <w:rFonts w:ascii="Garamond" w:hAnsi="Garamond"/>
        </w:rPr>
        <w:t>despropositada para as autoridades e impeça a conclusão da investigação dentro dos</w:t>
      </w:r>
      <w:r w:rsidRPr="00395593">
        <w:rPr>
          <w:rFonts w:ascii="Garamond" w:hAnsi="Garamond"/>
          <w:spacing w:val="1"/>
        </w:rPr>
        <w:t xml:space="preserve"> </w:t>
      </w:r>
      <w:r w:rsidRPr="00395593">
        <w:rPr>
          <w:rFonts w:ascii="Garamond" w:hAnsi="Garamond"/>
        </w:rPr>
        <w:t>prazos</w:t>
      </w:r>
      <w:r w:rsidRPr="00395593">
        <w:rPr>
          <w:rFonts w:ascii="Garamond" w:hAnsi="Garamond"/>
          <w:spacing w:val="-1"/>
        </w:rPr>
        <w:t xml:space="preserve"> </w:t>
      </w:r>
      <w:r w:rsidRPr="00395593">
        <w:rPr>
          <w:rFonts w:ascii="Garamond" w:hAnsi="Garamond"/>
        </w:rPr>
        <w:t>prescritos.</w:t>
      </w:r>
      <w:r w:rsidRPr="00395593">
        <w:rPr>
          <w:rFonts w:ascii="Garamond" w:hAnsi="Garamond"/>
          <w:spacing w:val="-1"/>
        </w:rPr>
        <w:t xml:space="preserve"> </w:t>
      </w:r>
      <w:r w:rsidRPr="00395593">
        <w:rPr>
          <w:rFonts w:ascii="Garamond" w:hAnsi="Garamond"/>
        </w:rPr>
        <w:t>Não deverão</w:t>
      </w:r>
      <w:r w:rsidRPr="00395593">
        <w:rPr>
          <w:rFonts w:ascii="Garamond" w:hAnsi="Garamond"/>
          <w:spacing w:val="-1"/>
        </w:rPr>
        <w:t xml:space="preserve"> </w:t>
      </w:r>
      <w:r w:rsidRPr="00395593">
        <w:rPr>
          <w:rFonts w:ascii="Garamond" w:hAnsi="Garamond"/>
        </w:rPr>
        <w:t>ser</w:t>
      </w:r>
      <w:r w:rsidRPr="00395593">
        <w:rPr>
          <w:rFonts w:ascii="Garamond" w:hAnsi="Garamond"/>
          <w:spacing w:val="-1"/>
        </w:rPr>
        <w:t xml:space="preserve"> </w:t>
      </w:r>
      <w:r w:rsidRPr="00395593">
        <w:rPr>
          <w:rFonts w:ascii="Garamond" w:hAnsi="Garamond"/>
        </w:rPr>
        <w:t>desencorajadas</w:t>
      </w:r>
      <w:r w:rsidRPr="00395593">
        <w:rPr>
          <w:rFonts w:ascii="Garamond" w:hAnsi="Garamond"/>
          <w:spacing w:val="2"/>
        </w:rPr>
        <w:t xml:space="preserve"> </w:t>
      </w:r>
      <w:r w:rsidRPr="00395593">
        <w:rPr>
          <w:rFonts w:ascii="Garamond" w:hAnsi="Garamond"/>
        </w:rPr>
        <w:t>as</w:t>
      </w:r>
      <w:r w:rsidRPr="00395593">
        <w:rPr>
          <w:rFonts w:ascii="Garamond" w:hAnsi="Garamond"/>
          <w:spacing w:val="-1"/>
        </w:rPr>
        <w:t xml:space="preserve"> </w:t>
      </w:r>
      <w:r w:rsidRPr="00395593">
        <w:rPr>
          <w:rFonts w:ascii="Garamond" w:hAnsi="Garamond"/>
        </w:rPr>
        <w:t>respostas voluntárias.</w:t>
      </w:r>
    </w:p>
    <w:p w14:paraId="09D60149" w14:textId="77777777" w:rsidR="0013285C" w:rsidRPr="00395593" w:rsidRDefault="0013285C" w:rsidP="0013285C">
      <w:pPr>
        <w:pStyle w:val="Corpodetexto"/>
        <w:spacing w:before="1"/>
        <w:rPr>
          <w:rFonts w:ascii="Garamond" w:hAnsi="Garamond"/>
        </w:rPr>
      </w:pPr>
    </w:p>
    <w:p w14:paraId="71FC0B7C" w14:textId="77777777" w:rsidR="0013285C" w:rsidRPr="00395593" w:rsidRDefault="0013285C" w:rsidP="002C4340">
      <w:pPr>
        <w:pStyle w:val="PargrafodaLista"/>
        <w:widowControl w:val="0"/>
        <w:numPr>
          <w:ilvl w:val="0"/>
          <w:numId w:val="19"/>
        </w:numPr>
        <w:tabs>
          <w:tab w:val="left" w:pos="810"/>
        </w:tabs>
        <w:autoSpaceDE w:val="0"/>
        <w:autoSpaceDN w:val="0"/>
        <w:spacing w:after="0" w:line="240" w:lineRule="auto"/>
        <w:ind w:left="810"/>
        <w:contextualSpacing w:val="0"/>
        <w:jc w:val="both"/>
        <w:rPr>
          <w:rFonts w:ascii="Garamond" w:hAnsi="Garamond"/>
          <w:sz w:val="24"/>
          <w:szCs w:val="24"/>
        </w:rPr>
      </w:pPr>
      <w:r w:rsidRPr="00395593">
        <w:rPr>
          <w:rFonts w:ascii="Garamond" w:hAnsi="Garamond"/>
          <w:sz w:val="24"/>
          <w:szCs w:val="24"/>
        </w:rPr>
        <w:t>Para</w:t>
      </w:r>
      <w:r w:rsidRPr="00395593">
        <w:rPr>
          <w:rFonts w:ascii="Garamond" w:hAnsi="Garamond"/>
          <w:spacing w:val="-4"/>
          <w:sz w:val="24"/>
          <w:szCs w:val="24"/>
        </w:rPr>
        <w:t xml:space="preserve"> </w:t>
      </w:r>
      <w:r w:rsidRPr="00395593">
        <w:rPr>
          <w:rFonts w:ascii="Garamond" w:hAnsi="Garamond"/>
          <w:sz w:val="24"/>
          <w:szCs w:val="24"/>
        </w:rPr>
        <w:t>as</w:t>
      </w:r>
      <w:r w:rsidRPr="00395593">
        <w:rPr>
          <w:rFonts w:ascii="Garamond" w:hAnsi="Garamond"/>
          <w:spacing w:val="-1"/>
          <w:sz w:val="24"/>
          <w:szCs w:val="24"/>
        </w:rPr>
        <w:t xml:space="preserve"> </w:t>
      </w:r>
      <w:r w:rsidRPr="00395593">
        <w:rPr>
          <w:rFonts w:ascii="Garamond" w:hAnsi="Garamond"/>
          <w:sz w:val="24"/>
          <w:szCs w:val="24"/>
        </w:rPr>
        <w:t>finalidades</w:t>
      </w:r>
      <w:r w:rsidRPr="00395593">
        <w:rPr>
          <w:rFonts w:ascii="Garamond" w:hAnsi="Garamond"/>
          <w:spacing w:val="-2"/>
          <w:sz w:val="24"/>
          <w:szCs w:val="24"/>
        </w:rPr>
        <w:t xml:space="preserve"> </w:t>
      </w:r>
      <w:r w:rsidRPr="00395593">
        <w:rPr>
          <w:rFonts w:ascii="Garamond" w:hAnsi="Garamond"/>
          <w:sz w:val="24"/>
          <w:szCs w:val="24"/>
        </w:rPr>
        <w:t>deste Acordo</w:t>
      </w:r>
      <w:r w:rsidRPr="00395593">
        <w:rPr>
          <w:rFonts w:ascii="Garamond" w:hAnsi="Garamond"/>
          <w:spacing w:val="-2"/>
          <w:sz w:val="24"/>
          <w:szCs w:val="24"/>
        </w:rPr>
        <w:t xml:space="preserve"> </w:t>
      </w:r>
      <w:r w:rsidRPr="00395593">
        <w:rPr>
          <w:rFonts w:ascii="Garamond" w:hAnsi="Garamond"/>
          <w:sz w:val="24"/>
          <w:szCs w:val="24"/>
        </w:rPr>
        <w:t>considerar-se-ão "partes</w:t>
      </w:r>
      <w:r w:rsidRPr="00395593">
        <w:rPr>
          <w:rFonts w:ascii="Garamond" w:hAnsi="Garamond"/>
          <w:spacing w:val="-1"/>
          <w:sz w:val="24"/>
          <w:szCs w:val="24"/>
        </w:rPr>
        <w:t xml:space="preserve"> </w:t>
      </w:r>
      <w:r w:rsidRPr="00395593">
        <w:rPr>
          <w:rFonts w:ascii="Garamond" w:hAnsi="Garamond"/>
          <w:sz w:val="24"/>
          <w:szCs w:val="24"/>
        </w:rPr>
        <w:t>interessadas":</w:t>
      </w:r>
    </w:p>
    <w:p w14:paraId="6D517633" w14:textId="77777777" w:rsidR="0013285C" w:rsidRPr="00395593" w:rsidRDefault="0013285C" w:rsidP="0013285C">
      <w:pPr>
        <w:pStyle w:val="Corpodetexto"/>
        <w:rPr>
          <w:rFonts w:ascii="Garamond" w:hAnsi="Garamond"/>
        </w:rPr>
      </w:pPr>
    </w:p>
    <w:p w14:paraId="693080EE" w14:textId="77777777" w:rsidR="0013285C" w:rsidRPr="00395593" w:rsidRDefault="0013285C" w:rsidP="002C4340">
      <w:pPr>
        <w:pStyle w:val="PargrafodaLista"/>
        <w:widowControl w:val="0"/>
        <w:numPr>
          <w:ilvl w:val="1"/>
          <w:numId w:val="19"/>
        </w:numPr>
        <w:tabs>
          <w:tab w:val="left" w:pos="1168"/>
        </w:tabs>
        <w:autoSpaceDE w:val="0"/>
        <w:autoSpaceDN w:val="0"/>
        <w:spacing w:after="0" w:line="240" w:lineRule="auto"/>
        <w:ind w:left="821" w:right="121" w:firstLine="0"/>
        <w:contextualSpacing w:val="0"/>
        <w:jc w:val="both"/>
        <w:rPr>
          <w:rFonts w:ascii="Garamond" w:hAnsi="Garamond"/>
          <w:sz w:val="24"/>
          <w:szCs w:val="24"/>
        </w:rPr>
      </w:pPr>
      <w:r w:rsidRPr="00395593">
        <w:rPr>
          <w:rFonts w:ascii="Garamond" w:hAnsi="Garamond"/>
          <w:sz w:val="24"/>
          <w:szCs w:val="24"/>
        </w:rPr>
        <w:t>exportadores ou produtores estrangeiros ou importadores de um produto objeto</w:t>
      </w:r>
      <w:r w:rsidRPr="00395593">
        <w:rPr>
          <w:rFonts w:ascii="Garamond" w:hAnsi="Garamond"/>
          <w:spacing w:val="1"/>
          <w:sz w:val="24"/>
          <w:szCs w:val="24"/>
        </w:rPr>
        <w:t xml:space="preserve"> </w:t>
      </w:r>
      <w:r w:rsidRPr="00395593">
        <w:rPr>
          <w:rFonts w:ascii="Garamond" w:hAnsi="Garamond"/>
          <w:sz w:val="24"/>
          <w:szCs w:val="24"/>
        </w:rPr>
        <w:t>de investigação, ou associação comercial ou empresarial, das quais a maioria dos</w:t>
      </w:r>
      <w:r w:rsidRPr="00395593">
        <w:rPr>
          <w:rFonts w:ascii="Garamond" w:hAnsi="Garamond"/>
          <w:spacing w:val="1"/>
          <w:sz w:val="24"/>
          <w:szCs w:val="24"/>
        </w:rPr>
        <w:t xml:space="preserve"> </w:t>
      </w:r>
      <w:r w:rsidRPr="00395593">
        <w:rPr>
          <w:rFonts w:ascii="Garamond" w:hAnsi="Garamond"/>
          <w:sz w:val="24"/>
          <w:szCs w:val="24"/>
        </w:rPr>
        <w:t>membros</w:t>
      </w:r>
      <w:r w:rsidRPr="00395593">
        <w:rPr>
          <w:rFonts w:ascii="Garamond" w:hAnsi="Garamond"/>
          <w:spacing w:val="-1"/>
          <w:sz w:val="24"/>
          <w:szCs w:val="24"/>
        </w:rPr>
        <w:t xml:space="preserve"> </w:t>
      </w:r>
      <w:r w:rsidRPr="00395593">
        <w:rPr>
          <w:rFonts w:ascii="Garamond" w:hAnsi="Garamond"/>
          <w:sz w:val="24"/>
          <w:szCs w:val="24"/>
        </w:rPr>
        <w:t>seja</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sz w:val="24"/>
          <w:szCs w:val="24"/>
        </w:rPr>
        <w:t>produtores, exportadores</w:t>
      </w:r>
      <w:r w:rsidRPr="00395593">
        <w:rPr>
          <w:rFonts w:ascii="Garamond" w:hAnsi="Garamond"/>
          <w:spacing w:val="-1"/>
          <w:sz w:val="24"/>
          <w:szCs w:val="24"/>
        </w:rPr>
        <w:t xml:space="preserve"> </w:t>
      </w:r>
      <w:r w:rsidRPr="00395593">
        <w:rPr>
          <w:rFonts w:ascii="Garamond" w:hAnsi="Garamond"/>
          <w:sz w:val="24"/>
          <w:szCs w:val="24"/>
        </w:rPr>
        <w:t>ou importadores de</w:t>
      </w:r>
      <w:r w:rsidRPr="00395593">
        <w:rPr>
          <w:rFonts w:ascii="Garamond" w:hAnsi="Garamond"/>
          <w:spacing w:val="-1"/>
          <w:sz w:val="24"/>
          <w:szCs w:val="24"/>
        </w:rPr>
        <w:t xml:space="preserve"> </w:t>
      </w:r>
      <w:r w:rsidRPr="00395593">
        <w:rPr>
          <w:rFonts w:ascii="Garamond" w:hAnsi="Garamond"/>
          <w:sz w:val="24"/>
          <w:szCs w:val="24"/>
        </w:rPr>
        <w:t>tal</w:t>
      </w:r>
      <w:r w:rsidRPr="00395593">
        <w:rPr>
          <w:rFonts w:ascii="Garamond" w:hAnsi="Garamond"/>
          <w:spacing w:val="-1"/>
          <w:sz w:val="24"/>
          <w:szCs w:val="24"/>
        </w:rPr>
        <w:t xml:space="preserve"> </w:t>
      </w:r>
      <w:r w:rsidRPr="00395593">
        <w:rPr>
          <w:rFonts w:ascii="Garamond" w:hAnsi="Garamond"/>
          <w:sz w:val="24"/>
          <w:szCs w:val="24"/>
        </w:rPr>
        <w:t>produto;</w:t>
      </w:r>
    </w:p>
    <w:p w14:paraId="04CF14CA" w14:textId="77777777" w:rsidR="0013285C" w:rsidRPr="00395593" w:rsidRDefault="0013285C" w:rsidP="00C414FD">
      <w:pPr>
        <w:pStyle w:val="Corpodetexto"/>
        <w:rPr>
          <w:rFonts w:ascii="Garamond" w:hAnsi="Garamond"/>
        </w:rPr>
      </w:pPr>
    </w:p>
    <w:p w14:paraId="175D3332" w14:textId="77777777" w:rsidR="0013285C" w:rsidRPr="00395593" w:rsidRDefault="0013285C" w:rsidP="002C4340">
      <w:pPr>
        <w:pStyle w:val="PargrafodaLista"/>
        <w:widowControl w:val="0"/>
        <w:numPr>
          <w:ilvl w:val="1"/>
          <w:numId w:val="19"/>
        </w:numPr>
        <w:tabs>
          <w:tab w:val="left" w:pos="1161"/>
        </w:tabs>
        <w:autoSpaceDE w:val="0"/>
        <w:autoSpaceDN w:val="0"/>
        <w:spacing w:after="0" w:line="240" w:lineRule="auto"/>
        <w:ind w:left="1160" w:hanging="340"/>
        <w:contextualSpacing w:val="0"/>
        <w:jc w:val="both"/>
        <w:rPr>
          <w:rFonts w:ascii="Garamond" w:hAnsi="Garamond"/>
          <w:sz w:val="24"/>
          <w:szCs w:val="24"/>
        </w:rPr>
      </w:pPr>
      <w:r w:rsidRPr="00395593">
        <w:rPr>
          <w:rFonts w:ascii="Garamond" w:hAnsi="Garamond"/>
          <w:sz w:val="24"/>
          <w:szCs w:val="24"/>
        </w:rPr>
        <w:t>o</w:t>
      </w:r>
      <w:r w:rsidRPr="00395593">
        <w:rPr>
          <w:rFonts w:ascii="Garamond" w:hAnsi="Garamond"/>
          <w:spacing w:val="-1"/>
          <w:sz w:val="24"/>
          <w:szCs w:val="24"/>
        </w:rPr>
        <w:t xml:space="preserve"> </w:t>
      </w:r>
      <w:r w:rsidRPr="00395593">
        <w:rPr>
          <w:rFonts w:ascii="Garamond" w:hAnsi="Garamond"/>
          <w:sz w:val="24"/>
          <w:szCs w:val="24"/>
        </w:rPr>
        <w:t>Governo</w:t>
      </w:r>
      <w:r w:rsidRPr="00395593">
        <w:rPr>
          <w:rFonts w:ascii="Garamond" w:hAnsi="Garamond"/>
          <w:spacing w:val="-1"/>
          <w:sz w:val="24"/>
          <w:szCs w:val="24"/>
        </w:rPr>
        <w:t xml:space="preserve"> </w:t>
      </w:r>
      <w:r w:rsidRPr="00395593">
        <w:rPr>
          <w:rFonts w:ascii="Garamond" w:hAnsi="Garamond"/>
          <w:sz w:val="24"/>
          <w:szCs w:val="24"/>
        </w:rPr>
        <w:t>do Membro exportador; e</w:t>
      </w:r>
    </w:p>
    <w:p w14:paraId="6D81C646" w14:textId="77777777" w:rsidR="0013285C" w:rsidRPr="00395593" w:rsidRDefault="0013285C" w:rsidP="00C414FD">
      <w:pPr>
        <w:pStyle w:val="Corpodetexto"/>
        <w:rPr>
          <w:rFonts w:ascii="Garamond" w:hAnsi="Garamond"/>
        </w:rPr>
      </w:pPr>
    </w:p>
    <w:p w14:paraId="26A065B7" w14:textId="77777777" w:rsidR="0013285C" w:rsidRPr="00395593" w:rsidRDefault="0013285C" w:rsidP="002C4340">
      <w:pPr>
        <w:pStyle w:val="PargrafodaLista"/>
        <w:widowControl w:val="0"/>
        <w:numPr>
          <w:ilvl w:val="1"/>
          <w:numId w:val="19"/>
        </w:numPr>
        <w:tabs>
          <w:tab w:val="left" w:pos="1158"/>
        </w:tabs>
        <w:autoSpaceDE w:val="0"/>
        <w:autoSpaceDN w:val="0"/>
        <w:spacing w:after="0" w:line="240" w:lineRule="auto"/>
        <w:ind w:left="821" w:right="122" w:firstLine="0"/>
        <w:contextualSpacing w:val="0"/>
        <w:jc w:val="both"/>
        <w:rPr>
          <w:rFonts w:ascii="Garamond" w:hAnsi="Garamond"/>
          <w:sz w:val="24"/>
          <w:szCs w:val="24"/>
        </w:rPr>
      </w:pPr>
      <w:r w:rsidRPr="00395593">
        <w:rPr>
          <w:rFonts w:ascii="Garamond" w:hAnsi="Garamond"/>
          <w:sz w:val="24"/>
          <w:szCs w:val="24"/>
        </w:rPr>
        <w:t>o produtor do similar nacional no Membro importador, ou associação comercial</w:t>
      </w:r>
      <w:r w:rsidRPr="00395593">
        <w:rPr>
          <w:rFonts w:ascii="Garamond" w:hAnsi="Garamond"/>
          <w:spacing w:val="1"/>
          <w:sz w:val="24"/>
          <w:szCs w:val="24"/>
        </w:rPr>
        <w:t xml:space="preserve"> </w:t>
      </w:r>
      <w:r w:rsidRPr="00395593">
        <w:rPr>
          <w:rFonts w:ascii="Garamond" w:hAnsi="Garamond"/>
          <w:sz w:val="24"/>
          <w:szCs w:val="24"/>
        </w:rPr>
        <w:t>ou</w:t>
      </w:r>
      <w:r w:rsidRPr="00395593">
        <w:rPr>
          <w:rFonts w:ascii="Garamond" w:hAnsi="Garamond"/>
          <w:spacing w:val="1"/>
          <w:sz w:val="24"/>
          <w:szCs w:val="24"/>
        </w:rPr>
        <w:t xml:space="preserve"> </w:t>
      </w:r>
      <w:r w:rsidRPr="00395593">
        <w:rPr>
          <w:rFonts w:ascii="Garamond" w:hAnsi="Garamond"/>
          <w:sz w:val="24"/>
          <w:szCs w:val="24"/>
        </w:rPr>
        <w:t>empresarial</w:t>
      </w:r>
      <w:r w:rsidRPr="00395593">
        <w:rPr>
          <w:rFonts w:ascii="Garamond" w:hAnsi="Garamond"/>
          <w:spacing w:val="1"/>
          <w:sz w:val="24"/>
          <w:szCs w:val="24"/>
        </w:rPr>
        <w:t xml:space="preserve"> </w:t>
      </w:r>
      <w:r w:rsidRPr="00395593">
        <w:rPr>
          <w:rFonts w:ascii="Garamond" w:hAnsi="Garamond"/>
          <w:sz w:val="24"/>
          <w:szCs w:val="24"/>
        </w:rPr>
        <w:t>na</w:t>
      </w:r>
      <w:r w:rsidRPr="00395593">
        <w:rPr>
          <w:rFonts w:ascii="Garamond" w:hAnsi="Garamond"/>
          <w:spacing w:val="1"/>
          <w:sz w:val="24"/>
          <w:szCs w:val="24"/>
        </w:rPr>
        <w:t xml:space="preserve"> </w:t>
      </w:r>
      <w:r w:rsidRPr="00395593">
        <w:rPr>
          <w:rFonts w:ascii="Garamond" w:hAnsi="Garamond"/>
          <w:sz w:val="24"/>
          <w:szCs w:val="24"/>
        </w:rPr>
        <w:t>qual</w:t>
      </w:r>
      <w:r w:rsidRPr="00395593">
        <w:rPr>
          <w:rFonts w:ascii="Garamond" w:hAnsi="Garamond"/>
          <w:spacing w:val="1"/>
          <w:sz w:val="24"/>
          <w:szCs w:val="24"/>
        </w:rPr>
        <w:t xml:space="preserve"> </w:t>
      </w:r>
      <w:r w:rsidRPr="00395593">
        <w:rPr>
          <w:rFonts w:ascii="Garamond" w:hAnsi="Garamond"/>
          <w:sz w:val="24"/>
          <w:szCs w:val="24"/>
        </w:rPr>
        <w:t>a</w:t>
      </w:r>
      <w:r w:rsidRPr="00395593">
        <w:rPr>
          <w:rFonts w:ascii="Garamond" w:hAnsi="Garamond"/>
          <w:spacing w:val="1"/>
          <w:sz w:val="24"/>
          <w:szCs w:val="24"/>
        </w:rPr>
        <w:t xml:space="preserve"> </w:t>
      </w:r>
      <w:r w:rsidRPr="00395593">
        <w:rPr>
          <w:rFonts w:ascii="Garamond" w:hAnsi="Garamond"/>
          <w:sz w:val="24"/>
          <w:szCs w:val="24"/>
        </w:rPr>
        <w:t>maioria</w:t>
      </w:r>
      <w:r w:rsidRPr="00395593">
        <w:rPr>
          <w:rFonts w:ascii="Garamond" w:hAnsi="Garamond"/>
          <w:spacing w:val="1"/>
          <w:sz w:val="24"/>
          <w:szCs w:val="24"/>
        </w:rPr>
        <w:t xml:space="preserve"> </w:t>
      </w:r>
      <w:r w:rsidRPr="00395593">
        <w:rPr>
          <w:rFonts w:ascii="Garamond" w:hAnsi="Garamond"/>
          <w:sz w:val="24"/>
          <w:szCs w:val="24"/>
        </w:rPr>
        <w:t>dos</w:t>
      </w:r>
      <w:r w:rsidRPr="00395593">
        <w:rPr>
          <w:rFonts w:ascii="Garamond" w:hAnsi="Garamond"/>
          <w:spacing w:val="1"/>
          <w:sz w:val="24"/>
          <w:szCs w:val="24"/>
        </w:rPr>
        <w:t xml:space="preserve"> </w:t>
      </w:r>
      <w:r w:rsidRPr="00395593">
        <w:rPr>
          <w:rFonts w:ascii="Garamond" w:hAnsi="Garamond"/>
          <w:sz w:val="24"/>
          <w:szCs w:val="24"/>
        </w:rPr>
        <w:t>membros</w:t>
      </w:r>
      <w:r w:rsidRPr="00395593">
        <w:rPr>
          <w:rFonts w:ascii="Garamond" w:hAnsi="Garamond"/>
          <w:spacing w:val="1"/>
          <w:sz w:val="24"/>
          <w:szCs w:val="24"/>
        </w:rPr>
        <w:t xml:space="preserve"> </w:t>
      </w:r>
      <w:r w:rsidRPr="00395593">
        <w:rPr>
          <w:rFonts w:ascii="Garamond" w:hAnsi="Garamond"/>
          <w:sz w:val="24"/>
          <w:szCs w:val="24"/>
        </w:rPr>
        <w:t>produz</w:t>
      </w:r>
      <w:r w:rsidRPr="00395593">
        <w:rPr>
          <w:rFonts w:ascii="Garamond" w:hAnsi="Garamond"/>
          <w:spacing w:val="1"/>
          <w:sz w:val="24"/>
          <w:szCs w:val="24"/>
        </w:rPr>
        <w:t xml:space="preserve"> </w:t>
      </w:r>
      <w:r w:rsidRPr="00395593">
        <w:rPr>
          <w:rFonts w:ascii="Garamond" w:hAnsi="Garamond"/>
          <w:sz w:val="24"/>
          <w:szCs w:val="24"/>
        </w:rPr>
        <w:t>o</w:t>
      </w:r>
      <w:r w:rsidRPr="00395593">
        <w:rPr>
          <w:rFonts w:ascii="Garamond" w:hAnsi="Garamond"/>
          <w:spacing w:val="1"/>
          <w:sz w:val="24"/>
          <w:szCs w:val="24"/>
        </w:rPr>
        <w:t xml:space="preserve"> </w:t>
      </w:r>
      <w:r w:rsidRPr="00395593">
        <w:rPr>
          <w:rFonts w:ascii="Garamond" w:hAnsi="Garamond"/>
          <w:sz w:val="24"/>
          <w:szCs w:val="24"/>
        </w:rPr>
        <w:t>similar</w:t>
      </w:r>
      <w:r w:rsidRPr="00395593">
        <w:rPr>
          <w:rFonts w:ascii="Garamond" w:hAnsi="Garamond"/>
          <w:spacing w:val="1"/>
          <w:sz w:val="24"/>
          <w:szCs w:val="24"/>
        </w:rPr>
        <w:t xml:space="preserve"> </w:t>
      </w:r>
      <w:r w:rsidRPr="00395593">
        <w:rPr>
          <w:rFonts w:ascii="Garamond" w:hAnsi="Garamond"/>
          <w:sz w:val="24"/>
          <w:szCs w:val="24"/>
        </w:rPr>
        <w:t>nacional</w:t>
      </w:r>
      <w:r w:rsidRPr="00395593">
        <w:rPr>
          <w:rFonts w:ascii="Garamond" w:hAnsi="Garamond"/>
          <w:spacing w:val="1"/>
          <w:sz w:val="24"/>
          <w:szCs w:val="24"/>
        </w:rPr>
        <w:t xml:space="preserve"> </w:t>
      </w:r>
      <w:r w:rsidRPr="00395593">
        <w:rPr>
          <w:rFonts w:ascii="Garamond" w:hAnsi="Garamond"/>
          <w:sz w:val="24"/>
          <w:szCs w:val="24"/>
        </w:rPr>
        <w:t>no</w:t>
      </w:r>
      <w:r w:rsidRPr="00395593">
        <w:rPr>
          <w:rFonts w:ascii="Garamond" w:hAnsi="Garamond"/>
          <w:spacing w:val="1"/>
          <w:sz w:val="24"/>
          <w:szCs w:val="24"/>
        </w:rPr>
        <w:t xml:space="preserve"> </w:t>
      </w:r>
      <w:r w:rsidRPr="00395593">
        <w:rPr>
          <w:rFonts w:ascii="Garamond" w:hAnsi="Garamond"/>
          <w:sz w:val="24"/>
          <w:szCs w:val="24"/>
        </w:rPr>
        <w:t>território</w:t>
      </w:r>
      <w:r w:rsidRPr="00395593">
        <w:rPr>
          <w:rFonts w:ascii="Garamond" w:hAnsi="Garamond"/>
          <w:spacing w:val="-1"/>
          <w:sz w:val="24"/>
          <w:szCs w:val="24"/>
        </w:rPr>
        <w:t xml:space="preserve"> </w:t>
      </w:r>
      <w:r w:rsidRPr="00395593">
        <w:rPr>
          <w:rFonts w:ascii="Garamond" w:hAnsi="Garamond"/>
          <w:sz w:val="24"/>
          <w:szCs w:val="24"/>
        </w:rPr>
        <w:t>do Membro importador.</w:t>
      </w:r>
    </w:p>
    <w:p w14:paraId="726AE1BD" w14:textId="77777777" w:rsidR="0013285C" w:rsidRPr="00395593" w:rsidRDefault="0013285C" w:rsidP="0013285C">
      <w:pPr>
        <w:pStyle w:val="Corpodetexto"/>
        <w:rPr>
          <w:rFonts w:ascii="Garamond" w:hAnsi="Garamond"/>
        </w:rPr>
      </w:pPr>
    </w:p>
    <w:p w14:paraId="0962FBB6" w14:textId="77777777" w:rsidR="0013285C" w:rsidRPr="00395593" w:rsidRDefault="0013285C" w:rsidP="0013285C">
      <w:pPr>
        <w:pStyle w:val="Corpodetexto"/>
        <w:ind w:left="102" w:right="118" w:firstLine="707"/>
        <w:rPr>
          <w:rFonts w:ascii="Garamond" w:hAnsi="Garamond"/>
        </w:rPr>
      </w:pPr>
      <w:r w:rsidRPr="00395593">
        <w:rPr>
          <w:rFonts w:ascii="Garamond" w:hAnsi="Garamond"/>
        </w:rPr>
        <w:t>Essa</w:t>
      </w:r>
      <w:r w:rsidRPr="00395593">
        <w:rPr>
          <w:rFonts w:ascii="Garamond" w:hAnsi="Garamond"/>
          <w:spacing w:val="2"/>
        </w:rPr>
        <w:t xml:space="preserve"> </w:t>
      </w:r>
      <w:r w:rsidRPr="00395593">
        <w:rPr>
          <w:rFonts w:ascii="Garamond" w:hAnsi="Garamond"/>
        </w:rPr>
        <w:t>lista</w:t>
      </w:r>
      <w:r w:rsidRPr="00395593">
        <w:rPr>
          <w:rFonts w:ascii="Garamond" w:hAnsi="Garamond"/>
          <w:spacing w:val="4"/>
        </w:rPr>
        <w:t xml:space="preserve"> </w:t>
      </w:r>
      <w:r w:rsidRPr="00395593">
        <w:rPr>
          <w:rFonts w:ascii="Garamond" w:hAnsi="Garamond"/>
        </w:rPr>
        <w:t>não</w:t>
      </w:r>
      <w:r w:rsidRPr="00395593">
        <w:rPr>
          <w:rFonts w:ascii="Garamond" w:hAnsi="Garamond"/>
          <w:spacing w:val="4"/>
        </w:rPr>
        <w:t xml:space="preserve"> </w:t>
      </w:r>
      <w:r w:rsidRPr="00395593">
        <w:rPr>
          <w:rFonts w:ascii="Garamond" w:hAnsi="Garamond"/>
        </w:rPr>
        <w:t>impedirá</w:t>
      </w:r>
      <w:r w:rsidRPr="00395593">
        <w:rPr>
          <w:rFonts w:ascii="Garamond" w:hAnsi="Garamond"/>
          <w:spacing w:val="3"/>
        </w:rPr>
        <w:t xml:space="preserve"> </w:t>
      </w:r>
      <w:r w:rsidRPr="00395593">
        <w:rPr>
          <w:rFonts w:ascii="Garamond" w:hAnsi="Garamond"/>
        </w:rPr>
        <w:t>que</w:t>
      </w:r>
      <w:r w:rsidRPr="00395593">
        <w:rPr>
          <w:rFonts w:ascii="Garamond" w:hAnsi="Garamond"/>
          <w:spacing w:val="2"/>
        </w:rPr>
        <w:t xml:space="preserve"> </w:t>
      </w:r>
      <w:r w:rsidRPr="00395593">
        <w:rPr>
          <w:rFonts w:ascii="Garamond" w:hAnsi="Garamond"/>
        </w:rPr>
        <w:t>os</w:t>
      </w:r>
      <w:r w:rsidRPr="00395593">
        <w:rPr>
          <w:rFonts w:ascii="Garamond" w:hAnsi="Garamond"/>
          <w:spacing w:val="4"/>
        </w:rPr>
        <w:t xml:space="preserve"> </w:t>
      </w:r>
      <w:r w:rsidRPr="00395593">
        <w:rPr>
          <w:rFonts w:ascii="Garamond" w:hAnsi="Garamond"/>
        </w:rPr>
        <w:t>Membros</w:t>
      </w:r>
      <w:r w:rsidRPr="00395593">
        <w:rPr>
          <w:rFonts w:ascii="Garamond" w:hAnsi="Garamond"/>
          <w:spacing w:val="4"/>
        </w:rPr>
        <w:t xml:space="preserve"> </w:t>
      </w:r>
      <w:r w:rsidRPr="00395593">
        <w:rPr>
          <w:rFonts w:ascii="Garamond" w:hAnsi="Garamond"/>
        </w:rPr>
        <w:t>incluam</w:t>
      </w:r>
      <w:r w:rsidRPr="00395593">
        <w:rPr>
          <w:rFonts w:ascii="Garamond" w:hAnsi="Garamond"/>
          <w:spacing w:val="7"/>
        </w:rPr>
        <w:t xml:space="preserve"> </w:t>
      </w:r>
      <w:r w:rsidRPr="00395593">
        <w:rPr>
          <w:rFonts w:ascii="Garamond" w:hAnsi="Garamond"/>
        </w:rPr>
        <w:t>como</w:t>
      </w:r>
      <w:r w:rsidRPr="00395593">
        <w:rPr>
          <w:rFonts w:ascii="Garamond" w:hAnsi="Garamond"/>
          <w:spacing w:val="5"/>
        </w:rPr>
        <w:t xml:space="preserve"> </w:t>
      </w:r>
      <w:r w:rsidRPr="00395593">
        <w:rPr>
          <w:rFonts w:ascii="Garamond" w:hAnsi="Garamond"/>
        </w:rPr>
        <w:t>interessadas</w:t>
      </w:r>
      <w:r w:rsidRPr="00395593">
        <w:rPr>
          <w:rFonts w:ascii="Garamond" w:hAnsi="Garamond"/>
          <w:spacing w:val="3"/>
        </w:rPr>
        <w:t xml:space="preserve"> </w:t>
      </w:r>
      <w:r w:rsidRPr="00395593">
        <w:rPr>
          <w:rFonts w:ascii="Garamond" w:hAnsi="Garamond"/>
        </w:rPr>
        <w:t>na</w:t>
      </w:r>
      <w:r w:rsidRPr="00395593">
        <w:rPr>
          <w:rFonts w:ascii="Garamond" w:hAnsi="Garamond"/>
          <w:spacing w:val="3"/>
        </w:rPr>
        <w:t xml:space="preserve"> </w:t>
      </w:r>
      <w:r w:rsidRPr="00395593">
        <w:rPr>
          <w:rFonts w:ascii="Garamond" w:hAnsi="Garamond"/>
        </w:rPr>
        <w:t>investigação</w:t>
      </w:r>
      <w:r w:rsidRPr="00395593">
        <w:rPr>
          <w:rFonts w:ascii="Garamond" w:hAnsi="Garamond"/>
          <w:spacing w:val="-57"/>
        </w:rPr>
        <w:t xml:space="preserve"> </w:t>
      </w:r>
      <w:r w:rsidRPr="00395593">
        <w:rPr>
          <w:rFonts w:ascii="Garamond" w:hAnsi="Garamond"/>
        </w:rPr>
        <w:t>outras</w:t>
      </w:r>
      <w:r w:rsidRPr="00395593">
        <w:rPr>
          <w:rFonts w:ascii="Garamond" w:hAnsi="Garamond"/>
          <w:spacing w:val="-1"/>
        </w:rPr>
        <w:t xml:space="preserve"> </w:t>
      </w:r>
      <w:r w:rsidRPr="00395593">
        <w:rPr>
          <w:rFonts w:ascii="Garamond" w:hAnsi="Garamond"/>
        </w:rPr>
        <w:t>partes nacionais</w:t>
      </w:r>
      <w:r w:rsidRPr="00395593">
        <w:rPr>
          <w:rFonts w:ascii="Garamond" w:hAnsi="Garamond"/>
          <w:spacing w:val="-1"/>
        </w:rPr>
        <w:t xml:space="preserve"> </w:t>
      </w:r>
      <w:r w:rsidRPr="00395593">
        <w:rPr>
          <w:rFonts w:ascii="Garamond" w:hAnsi="Garamond"/>
        </w:rPr>
        <w:t>ou estrangeiras, além</w:t>
      </w:r>
      <w:r w:rsidRPr="00395593">
        <w:rPr>
          <w:rFonts w:ascii="Garamond" w:hAnsi="Garamond"/>
          <w:spacing w:val="-1"/>
        </w:rPr>
        <w:t xml:space="preserve"> </w:t>
      </w:r>
      <w:r w:rsidRPr="00395593">
        <w:rPr>
          <w:rFonts w:ascii="Garamond" w:hAnsi="Garamond"/>
        </w:rPr>
        <w:t>daquelas mencionadas acima.</w:t>
      </w:r>
    </w:p>
    <w:p w14:paraId="355F25E6" w14:textId="77777777" w:rsidR="0013285C" w:rsidRPr="00395593" w:rsidRDefault="0013285C" w:rsidP="0013285C">
      <w:pPr>
        <w:pStyle w:val="Corpodetexto"/>
        <w:rPr>
          <w:rFonts w:ascii="Garamond" w:hAnsi="Garamond"/>
        </w:rPr>
      </w:pPr>
    </w:p>
    <w:p w14:paraId="1E3DA58C" w14:textId="77777777" w:rsidR="0013285C" w:rsidRPr="00395593" w:rsidRDefault="0013285C" w:rsidP="002C4340">
      <w:pPr>
        <w:pStyle w:val="PargrafodaLista"/>
        <w:widowControl w:val="0"/>
        <w:numPr>
          <w:ilvl w:val="0"/>
          <w:numId w:val="19"/>
        </w:numPr>
        <w:tabs>
          <w:tab w:val="left" w:pos="810"/>
        </w:tabs>
        <w:autoSpaceDE w:val="0"/>
        <w:autoSpaceDN w:val="0"/>
        <w:spacing w:after="0" w:line="240" w:lineRule="auto"/>
        <w:ind w:right="119" w:firstLine="0"/>
        <w:contextualSpacing w:val="0"/>
        <w:jc w:val="both"/>
        <w:rPr>
          <w:rFonts w:ascii="Garamond" w:hAnsi="Garamond"/>
          <w:sz w:val="24"/>
          <w:szCs w:val="24"/>
        </w:rPr>
      </w:pPr>
      <w:r w:rsidRPr="00395593">
        <w:rPr>
          <w:rFonts w:ascii="Garamond" w:hAnsi="Garamond"/>
          <w:sz w:val="24"/>
          <w:szCs w:val="24"/>
        </w:rPr>
        <w:t>As autoridades deverão oferecer oportunidade para que os usuários industriais do</w:t>
      </w:r>
      <w:r w:rsidRPr="00395593">
        <w:rPr>
          <w:rFonts w:ascii="Garamond" w:hAnsi="Garamond"/>
          <w:spacing w:val="1"/>
          <w:sz w:val="24"/>
          <w:szCs w:val="24"/>
        </w:rPr>
        <w:t xml:space="preserve"> </w:t>
      </w:r>
      <w:r w:rsidRPr="00395593">
        <w:rPr>
          <w:rFonts w:ascii="Garamond" w:hAnsi="Garamond"/>
          <w:sz w:val="24"/>
          <w:szCs w:val="24"/>
        </w:rPr>
        <w:t>produto objeto de investigação e as organizações de consumidores mais representativas, nos</w:t>
      </w:r>
      <w:r w:rsidRPr="00395593">
        <w:rPr>
          <w:rFonts w:ascii="Garamond" w:hAnsi="Garamond"/>
          <w:spacing w:val="-58"/>
          <w:sz w:val="24"/>
          <w:szCs w:val="24"/>
        </w:rPr>
        <w:t xml:space="preserve"> </w:t>
      </w:r>
      <w:r w:rsidRPr="00395593">
        <w:rPr>
          <w:rFonts w:ascii="Garamond" w:hAnsi="Garamond"/>
          <w:sz w:val="24"/>
          <w:szCs w:val="24"/>
        </w:rPr>
        <w:t>casos em que o produto é habitualmente vendido no varejo, possam fornecer informações</w:t>
      </w:r>
      <w:r w:rsidRPr="00395593">
        <w:rPr>
          <w:rFonts w:ascii="Garamond" w:hAnsi="Garamond"/>
          <w:spacing w:val="1"/>
          <w:sz w:val="24"/>
          <w:szCs w:val="24"/>
        </w:rPr>
        <w:t xml:space="preserve"> </w:t>
      </w:r>
      <w:r w:rsidRPr="00395593">
        <w:rPr>
          <w:rFonts w:ascii="Garamond" w:hAnsi="Garamond"/>
          <w:sz w:val="24"/>
          <w:szCs w:val="24"/>
        </w:rPr>
        <w:t>sobre</w:t>
      </w:r>
      <w:r w:rsidRPr="00395593">
        <w:rPr>
          <w:rFonts w:ascii="Garamond" w:hAnsi="Garamond"/>
          <w:spacing w:val="-3"/>
          <w:sz w:val="24"/>
          <w:szCs w:val="24"/>
        </w:rPr>
        <w:t xml:space="preserve"> </w:t>
      </w:r>
      <w:r w:rsidRPr="00395593">
        <w:rPr>
          <w:rFonts w:ascii="Garamond" w:hAnsi="Garamond"/>
          <w:i/>
          <w:sz w:val="24"/>
          <w:szCs w:val="24"/>
        </w:rPr>
        <w:t>dumping</w:t>
      </w:r>
      <w:r w:rsidRPr="00395593">
        <w:rPr>
          <w:rFonts w:ascii="Garamond" w:hAnsi="Garamond"/>
          <w:sz w:val="24"/>
          <w:szCs w:val="24"/>
        </w:rPr>
        <w:t>, dano e</w:t>
      </w:r>
      <w:r w:rsidRPr="00395593">
        <w:rPr>
          <w:rFonts w:ascii="Garamond" w:hAnsi="Garamond"/>
          <w:spacing w:val="1"/>
          <w:sz w:val="24"/>
          <w:szCs w:val="24"/>
        </w:rPr>
        <w:t xml:space="preserve"> </w:t>
      </w:r>
      <w:r w:rsidRPr="00395593">
        <w:rPr>
          <w:rFonts w:ascii="Garamond" w:hAnsi="Garamond"/>
          <w:sz w:val="24"/>
          <w:szCs w:val="24"/>
        </w:rPr>
        <w:t>causalidade</w:t>
      </w:r>
      <w:r w:rsidRPr="00395593">
        <w:rPr>
          <w:rFonts w:ascii="Garamond" w:hAnsi="Garamond"/>
          <w:spacing w:val="-1"/>
          <w:sz w:val="24"/>
          <w:szCs w:val="24"/>
        </w:rPr>
        <w:t xml:space="preserve"> </w:t>
      </w:r>
      <w:r w:rsidRPr="00395593">
        <w:rPr>
          <w:rFonts w:ascii="Garamond" w:hAnsi="Garamond"/>
          <w:sz w:val="24"/>
          <w:szCs w:val="24"/>
        </w:rPr>
        <w:t>pertinentes à</w:t>
      </w:r>
      <w:r w:rsidRPr="00395593">
        <w:rPr>
          <w:rFonts w:ascii="Garamond" w:hAnsi="Garamond"/>
          <w:spacing w:val="-1"/>
          <w:sz w:val="24"/>
          <w:szCs w:val="24"/>
        </w:rPr>
        <w:t xml:space="preserve"> </w:t>
      </w:r>
      <w:r w:rsidRPr="00395593">
        <w:rPr>
          <w:rFonts w:ascii="Garamond" w:hAnsi="Garamond"/>
          <w:sz w:val="24"/>
          <w:szCs w:val="24"/>
        </w:rPr>
        <w:t>investigação.</w:t>
      </w:r>
    </w:p>
    <w:p w14:paraId="3E04C027" w14:textId="77777777" w:rsidR="0013285C" w:rsidRPr="00395593" w:rsidRDefault="0013285C" w:rsidP="0013285C">
      <w:pPr>
        <w:pStyle w:val="Corpodetexto"/>
        <w:spacing w:before="1"/>
        <w:rPr>
          <w:rFonts w:ascii="Garamond" w:hAnsi="Garamond"/>
        </w:rPr>
      </w:pPr>
    </w:p>
    <w:p w14:paraId="574C7F45" w14:textId="77777777" w:rsidR="0013285C" w:rsidRPr="00395593" w:rsidRDefault="0013285C" w:rsidP="002C4340">
      <w:pPr>
        <w:pStyle w:val="PargrafodaLista"/>
        <w:widowControl w:val="0"/>
        <w:numPr>
          <w:ilvl w:val="0"/>
          <w:numId w:val="19"/>
        </w:numPr>
        <w:tabs>
          <w:tab w:val="left" w:pos="810"/>
        </w:tabs>
        <w:autoSpaceDE w:val="0"/>
        <w:autoSpaceDN w:val="0"/>
        <w:spacing w:after="0" w:line="240" w:lineRule="auto"/>
        <w:ind w:right="117" w:firstLine="0"/>
        <w:contextualSpacing w:val="0"/>
        <w:jc w:val="both"/>
        <w:rPr>
          <w:rFonts w:ascii="Garamond" w:hAnsi="Garamond"/>
          <w:sz w:val="24"/>
          <w:szCs w:val="24"/>
        </w:rPr>
      </w:pPr>
      <w:r w:rsidRPr="00395593">
        <w:rPr>
          <w:rFonts w:ascii="Garamond" w:hAnsi="Garamond"/>
          <w:sz w:val="24"/>
          <w:szCs w:val="24"/>
        </w:rPr>
        <w:t>As autoridades levarão na devida conta quaisquer dificuldades encontradas pelas</w:t>
      </w:r>
      <w:r w:rsidRPr="00395593">
        <w:rPr>
          <w:rFonts w:ascii="Garamond" w:hAnsi="Garamond"/>
          <w:spacing w:val="1"/>
          <w:sz w:val="24"/>
          <w:szCs w:val="24"/>
        </w:rPr>
        <w:t xml:space="preserve"> </w:t>
      </w:r>
      <w:r w:rsidRPr="00395593">
        <w:rPr>
          <w:rFonts w:ascii="Garamond" w:hAnsi="Garamond"/>
          <w:sz w:val="24"/>
          <w:szCs w:val="24"/>
        </w:rPr>
        <w:t>partes interessadas no fornecimento das informações solicitadas, em especial as pequenas</w:t>
      </w:r>
      <w:r w:rsidRPr="00395593">
        <w:rPr>
          <w:rFonts w:ascii="Garamond" w:hAnsi="Garamond"/>
          <w:spacing w:val="1"/>
          <w:sz w:val="24"/>
          <w:szCs w:val="24"/>
        </w:rPr>
        <w:t xml:space="preserve"> </w:t>
      </w:r>
      <w:r w:rsidRPr="00395593">
        <w:rPr>
          <w:rFonts w:ascii="Garamond" w:hAnsi="Garamond"/>
          <w:sz w:val="24"/>
          <w:szCs w:val="24"/>
        </w:rPr>
        <w:t>empresas,</w:t>
      </w:r>
      <w:r w:rsidRPr="00395593">
        <w:rPr>
          <w:rFonts w:ascii="Garamond" w:hAnsi="Garamond"/>
          <w:spacing w:val="-1"/>
          <w:sz w:val="24"/>
          <w:szCs w:val="24"/>
        </w:rPr>
        <w:t xml:space="preserve"> </w:t>
      </w:r>
      <w:r w:rsidRPr="00395593">
        <w:rPr>
          <w:rFonts w:ascii="Garamond" w:hAnsi="Garamond"/>
          <w:sz w:val="24"/>
          <w:szCs w:val="24"/>
        </w:rPr>
        <w:t>e</w:t>
      </w:r>
      <w:r w:rsidRPr="00395593">
        <w:rPr>
          <w:rFonts w:ascii="Garamond" w:hAnsi="Garamond"/>
          <w:spacing w:val="-1"/>
          <w:sz w:val="24"/>
          <w:szCs w:val="24"/>
        </w:rPr>
        <w:t xml:space="preserve"> </w:t>
      </w:r>
      <w:r w:rsidRPr="00395593">
        <w:rPr>
          <w:rFonts w:ascii="Garamond" w:hAnsi="Garamond"/>
          <w:sz w:val="24"/>
          <w:szCs w:val="24"/>
        </w:rPr>
        <w:t>deverão proporcionar</w:t>
      </w:r>
      <w:r w:rsidRPr="00395593">
        <w:rPr>
          <w:rFonts w:ascii="Garamond" w:hAnsi="Garamond"/>
          <w:spacing w:val="-2"/>
          <w:sz w:val="24"/>
          <w:szCs w:val="24"/>
        </w:rPr>
        <w:t xml:space="preserve"> </w:t>
      </w:r>
      <w:r w:rsidRPr="00395593">
        <w:rPr>
          <w:rFonts w:ascii="Garamond" w:hAnsi="Garamond"/>
          <w:sz w:val="24"/>
          <w:szCs w:val="24"/>
        </w:rPr>
        <w:t>toda</w:t>
      </w:r>
      <w:r w:rsidRPr="00395593">
        <w:rPr>
          <w:rFonts w:ascii="Garamond" w:hAnsi="Garamond"/>
          <w:spacing w:val="1"/>
          <w:sz w:val="24"/>
          <w:szCs w:val="24"/>
        </w:rPr>
        <w:t xml:space="preserve"> </w:t>
      </w:r>
      <w:r w:rsidRPr="00395593">
        <w:rPr>
          <w:rFonts w:ascii="Garamond" w:hAnsi="Garamond"/>
          <w:sz w:val="24"/>
          <w:szCs w:val="24"/>
        </w:rPr>
        <w:t>a</w:t>
      </w:r>
      <w:r w:rsidRPr="00395593">
        <w:rPr>
          <w:rFonts w:ascii="Garamond" w:hAnsi="Garamond"/>
          <w:spacing w:val="-1"/>
          <w:sz w:val="24"/>
          <w:szCs w:val="24"/>
        </w:rPr>
        <w:t xml:space="preserve"> </w:t>
      </w:r>
      <w:r w:rsidRPr="00395593">
        <w:rPr>
          <w:rFonts w:ascii="Garamond" w:hAnsi="Garamond"/>
          <w:sz w:val="24"/>
          <w:szCs w:val="24"/>
        </w:rPr>
        <w:t>assistência</w:t>
      </w:r>
      <w:r w:rsidRPr="00395593">
        <w:rPr>
          <w:rFonts w:ascii="Garamond" w:hAnsi="Garamond"/>
          <w:spacing w:val="-1"/>
          <w:sz w:val="24"/>
          <w:szCs w:val="24"/>
        </w:rPr>
        <w:t xml:space="preserve"> </w:t>
      </w:r>
      <w:r w:rsidRPr="00395593">
        <w:rPr>
          <w:rFonts w:ascii="Garamond" w:hAnsi="Garamond"/>
          <w:sz w:val="24"/>
          <w:szCs w:val="24"/>
        </w:rPr>
        <w:t>possível.</w:t>
      </w:r>
    </w:p>
    <w:p w14:paraId="2CBB5182" w14:textId="77777777" w:rsidR="0013285C" w:rsidRPr="00395593" w:rsidRDefault="0013285C" w:rsidP="0013285C">
      <w:pPr>
        <w:pStyle w:val="Corpodetexto"/>
        <w:rPr>
          <w:rFonts w:ascii="Garamond" w:hAnsi="Garamond"/>
        </w:rPr>
      </w:pPr>
    </w:p>
    <w:p w14:paraId="2E1118A5" w14:textId="71DE26A0" w:rsidR="0013285C" w:rsidRPr="00395593" w:rsidRDefault="0013285C" w:rsidP="002C4340">
      <w:pPr>
        <w:pStyle w:val="PargrafodaLista"/>
        <w:widowControl w:val="0"/>
        <w:numPr>
          <w:ilvl w:val="0"/>
          <w:numId w:val="19"/>
        </w:numPr>
        <w:tabs>
          <w:tab w:val="left" w:pos="810"/>
        </w:tabs>
        <w:autoSpaceDE w:val="0"/>
        <w:autoSpaceDN w:val="0"/>
        <w:spacing w:before="68" w:after="0" w:line="240" w:lineRule="auto"/>
        <w:ind w:right="115" w:firstLine="0"/>
        <w:contextualSpacing w:val="0"/>
        <w:jc w:val="both"/>
        <w:rPr>
          <w:rFonts w:ascii="Garamond" w:hAnsi="Garamond"/>
          <w:sz w:val="24"/>
          <w:szCs w:val="24"/>
        </w:rPr>
      </w:pPr>
      <w:r w:rsidRPr="00395593">
        <w:rPr>
          <w:rFonts w:ascii="Garamond" w:hAnsi="Garamond"/>
          <w:sz w:val="24"/>
          <w:szCs w:val="24"/>
        </w:rPr>
        <w:t>Os procedimentos estabelecidos acima não têm por objetivo impedir as autoridades</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sz w:val="24"/>
          <w:szCs w:val="24"/>
        </w:rPr>
        <w:t>um</w:t>
      </w:r>
      <w:r w:rsidRPr="00395593">
        <w:rPr>
          <w:rFonts w:ascii="Garamond" w:hAnsi="Garamond"/>
          <w:spacing w:val="1"/>
          <w:sz w:val="24"/>
          <w:szCs w:val="24"/>
        </w:rPr>
        <w:t xml:space="preserve"> </w:t>
      </w:r>
      <w:r w:rsidRPr="00395593">
        <w:rPr>
          <w:rFonts w:ascii="Garamond" w:hAnsi="Garamond"/>
          <w:sz w:val="24"/>
          <w:szCs w:val="24"/>
        </w:rPr>
        <w:t>Membro</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sz w:val="24"/>
          <w:szCs w:val="24"/>
        </w:rPr>
        <w:t>agir</w:t>
      </w:r>
      <w:r w:rsidRPr="00395593">
        <w:rPr>
          <w:rFonts w:ascii="Garamond" w:hAnsi="Garamond"/>
          <w:spacing w:val="1"/>
          <w:sz w:val="24"/>
          <w:szCs w:val="24"/>
        </w:rPr>
        <w:t xml:space="preserve"> </w:t>
      </w:r>
      <w:r w:rsidRPr="00395593">
        <w:rPr>
          <w:rFonts w:ascii="Garamond" w:hAnsi="Garamond"/>
          <w:sz w:val="24"/>
          <w:szCs w:val="24"/>
        </w:rPr>
        <w:t>com</w:t>
      </w:r>
      <w:r w:rsidRPr="00395593">
        <w:rPr>
          <w:rFonts w:ascii="Garamond" w:hAnsi="Garamond"/>
          <w:spacing w:val="1"/>
          <w:sz w:val="24"/>
          <w:szCs w:val="24"/>
        </w:rPr>
        <w:t xml:space="preserve"> </w:t>
      </w:r>
      <w:r w:rsidRPr="00395593">
        <w:rPr>
          <w:rFonts w:ascii="Garamond" w:hAnsi="Garamond"/>
          <w:sz w:val="24"/>
          <w:szCs w:val="24"/>
        </w:rPr>
        <w:t>presteza</w:t>
      </w:r>
      <w:r w:rsidRPr="00395593">
        <w:rPr>
          <w:rFonts w:ascii="Garamond" w:hAnsi="Garamond"/>
          <w:spacing w:val="1"/>
          <w:sz w:val="24"/>
          <w:szCs w:val="24"/>
        </w:rPr>
        <w:t xml:space="preserve"> </w:t>
      </w:r>
      <w:r w:rsidRPr="00395593">
        <w:rPr>
          <w:rFonts w:ascii="Garamond" w:hAnsi="Garamond"/>
          <w:sz w:val="24"/>
          <w:szCs w:val="24"/>
        </w:rPr>
        <w:t>em</w:t>
      </w:r>
      <w:r w:rsidRPr="00395593">
        <w:rPr>
          <w:rFonts w:ascii="Garamond" w:hAnsi="Garamond"/>
          <w:spacing w:val="1"/>
          <w:sz w:val="24"/>
          <w:szCs w:val="24"/>
        </w:rPr>
        <w:t xml:space="preserve"> </w:t>
      </w:r>
      <w:r w:rsidRPr="00395593">
        <w:rPr>
          <w:rFonts w:ascii="Garamond" w:hAnsi="Garamond"/>
          <w:sz w:val="24"/>
          <w:szCs w:val="24"/>
        </w:rPr>
        <w:t>relação</w:t>
      </w:r>
      <w:r w:rsidRPr="00395593">
        <w:rPr>
          <w:rFonts w:ascii="Garamond" w:hAnsi="Garamond"/>
          <w:spacing w:val="1"/>
          <w:sz w:val="24"/>
          <w:szCs w:val="24"/>
        </w:rPr>
        <w:t xml:space="preserve"> </w:t>
      </w:r>
      <w:r w:rsidRPr="00395593">
        <w:rPr>
          <w:rFonts w:ascii="Garamond" w:hAnsi="Garamond"/>
          <w:sz w:val="24"/>
          <w:szCs w:val="24"/>
        </w:rPr>
        <w:t>ao</w:t>
      </w:r>
      <w:r w:rsidRPr="00395593">
        <w:rPr>
          <w:rFonts w:ascii="Garamond" w:hAnsi="Garamond"/>
          <w:spacing w:val="1"/>
          <w:sz w:val="24"/>
          <w:szCs w:val="24"/>
        </w:rPr>
        <w:t xml:space="preserve"> </w:t>
      </w:r>
      <w:r w:rsidRPr="00395593">
        <w:rPr>
          <w:rFonts w:ascii="Garamond" w:hAnsi="Garamond"/>
          <w:sz w:val="24"/>
          <w:szCs w:val="24"/>
        </w:rPr>
        <w:t>início</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sz w:val="24"/>
          <w:szCs w:val="24"/>
        </w:rPr>
        <w:t>uma</w:t>
      </w:r>
      <w:r w:rsidRPr="00395593">
        <w:rPr>
          <w:rFonts w:ascii="Garamond" w:hAnsi="Garamond"/>
          <w:spacing w:val="1"/>
          <w:sz w:val="24"/>
          <w:szCs w:val="24"/>
        </w:rPr>
        <w:t xml:space="preserve"> </w:t>
      </w:r>
      <w:r w:rsidRPr="00395593">
        <w:rPr>
          <w:rFonts w:ascii="Garamond" w:hAnsi="Garamond"/>
          <w:sz w:val="24"/>
          <w:szCs w:val="24"/>
        </w:rPr>
        <w:t>investigação,</w:t>
      </w:r>
      <w:r w:rsidRPr="00395593">
        <w:rPr>
          <w:rFonts w:ascii="Garamond" w:hAnsi="Garamond"/>
          <w:spacing w:val="1"/>
          <w:sz w:val="24"/>
          <w:szCs w:val="24"/>
        </w:rPr>
        <w:t xml:space="preserve"> </w:t>
      </w:r>
      <w:r w:rsidRPr="00395593">
        <w:rPr>
          <w:rFonts w:ascii="Garamond" w:hAnsi="Garamond"/>
          <w:sz w:val="24"/>
          <w:szCs w:val="24"/>
        </w:rPr>
        <w:t>a</w:t>
      </w:r>
      <w:r w:rsidRPr="00395593">
        <w:rPr>
          <w:rFonts w:ascii="Garamond" w:hAnsi="Garamond"/>
          <w:spacing w:val="1"/>
          <w:sz w:val="24"/>
          <w:szCs w:val="24"/>
        </w:rPr>
        <w:t xml:space="preserve"> </w:t>
      </w:r>
      <w:r w:rsidRPr="00395593">
        <w:rPr>
          <w:rFonts w:ascii="Garamond" w:hAnsi="Garamond"/>
          <w:sz w:val="24"/>
          <w:szCs w:val="24"/>
        </w:rPr>
        <w:t>determinação</w:t>
      </w:r>
      <w:r w:rsidRPr="00395593">
        <w:rPr>
          <w:rFonts w:ascii="Garamond" w:hAnsi="Garamond"/>
          <w:spacing w:val="12"/>
          <w:sz w:val="24"/>
          <w:szCs w:val="24"/>
        </w:rPr>
        <w:t xml:space="preserve"> </w:t>
      </w:r>
      <w:r w:rsidRPr="00395593">
        <w:rPr>
          <w:rFonts w:ascii="Garamond" w:hAnsi="Garamond"/>
          <w:sz w:val="24"/>
          <w:szCs w:val="24"/>
        </w:rPr>
        <w:t>de</w:t>
      </w:r>
      <w:r w:rsidRPr="00395593">
        <w:rPr>
          <w:rFonts w:ascii="Garamond" w:hAnsi="Garamond"/>
          <w:spacing w:val="11"/>
          <w:sz w:val="24"/>
          <w:szCs w:val="24"/>
        </w:rPr>
        <w:t xml:space="preserve"> </w:t>
      </w:r>
      <w:r w:rsidRPr="00395593">
        <w:rPr>
          <w:rFonts w:ascii="Garamond" w:hAnsi="Garamond"/>
          <w:sz w:val="24"/>
          <w:szCs w:val="24"/>
        </w:rPr>
        <w:t>conclusões</w:t>
      </w:r>
      <w:r w:rsidRPr="00395593">
        <w:rPr>
          <w:rFonts w:ascii="Garamond" w:hAnsi="Garamond"/>
          <w:spacing w:val="12"/>
          <w:sz w:val="24"/>
          <w:szCs w:val="24"/>
        </w:rPr>
        <w:t xml:space="preserve"> </w:t>
      </w:r>
      <w:r w:rsidRPr="00395593">
        <w:rPr>
          <w:rFonts w:ascii="Garamond" w:hAnsi="Garamond"/>
          <w:sz w:val="24"/>
          <w:szCs w:val="24"/>
        </w:rPr>
        <w:t>preliminares</w:t>
      </w:r>
      <w:r w:rsidRPr="00395593">
        <w:rPr>
          <w:rFonts w:ascii="Garamond" w:hAnsi="Garamond"/>
          <w:spacing w:val="13"/>
          <w:sz w:val="24"/>
          <w:szCs w:val="24"/>
        </w:rPr>
        <w:t xml:space="preserve"> </w:t>
      </w:r>
      <w:r w:rsidRPr="00395593">
        <w:rPr>
          <w:rFonts w:ascii="Garamond" w:hAnsi="Garamond"/>
          <w:sz w:val="24"/>
          <w:szCs w:val="24"/>
        </w:rPr>
        <w:t>ou</w:t>
      </w:r>
      <w:r w:rsidRPr="00395593">
        <w:rPr>
          <w:rFonts w:ascii="Garamond" w:hAnsi="Garamond"/>
          <w:spacing w:val="12"/>
          <w:sz w:val="24"/>
          <w:szCs w:val="24"/>
        </w:rPr>
        <w:t xml:space="preserve"> </w:t>
      </w:r>
      <w:r w:rsidRPr="00395593">
        <w:rPr>
          <w:rFonts w:ascii="Garamond" w:hAnsi="Garamond"/>
          <w:sz w:val="24"/>
          <w:szCs w:val="24"/>
        </w:rPr>
        <w:t>finais,</w:t>
      </w:r>
      <w:r w:rsidRPr="00395593">
        <w:rPr>
          <w:rFonts w:ascii="Garamond" w:hAnsi="Garamond"/>
          <w:spacing w:val="12"/>
          <w:sz w:val="24"/>
          <w:szCs w:val="24"/>
        </w:rPr>
        <w:t xml:space="preserve"> </w:t>
      </w:r>
      <w:r w:rsidRPr="00395593">
        <w:rPr>
          <w:rFonts w:ascii="Garamond" w:hAnsi="Garamond"/>
          <w:sz w:val="24"/>
          <w:szCs w:val="24"/>
        </w:rPr>
        <w:t>quer</w:t>
      </w:r>
      <w:r w:rsidRPr="00395593">
        <w:rPr>
          <w:rFonts w:ascii="Garamond" w:hAnsi="Garamond"/>
          <w:spacing w:val="12"/>
          <w:sz w:val="24"/>
          <w:szCs w:val="24"/>
        </w:rPr>
        <w:t xml:space="preserve"> </w:t>
      </w:r>
      <w:r w:rsidRPr="00395593">
        <w:rPr>
          <w:rFonts w:ascii="Garamond" w:hAnsi="Garamond"/>
          <w:sz w:val="24"/>
          <w:szCs w:val="24"/>
        </w:rPr>
        <w:t>afirmativas,</w:t>
      </w:r>
      <w:r w:rsidRPr="00395593">
        <w:rPr>
          <w:rFonts w:ascii="Garamond" w:hAnsi="Garamond"/>
          <w:spacing w:val="11"/>
          <w:sz w:val="24"/>
          <w:szCs w:val="24"/>
        </w:rPr>
        <w:t xml:space="preserve"> </w:t>
      </w:r>
      <w:r w:rsidRPr="00395593">
        <w:rPr>
          <w:rFonts w:ascii="Garamond" w:hAnsi="Garamond"/>
          <w:sz w:val="24"/>
          <w:szCs w:val="24"/>
        </w:rPr>
        <w:t>quer</w:t>
      </w:r>
      <w:r w:rsidRPr="00395593">
        <w:rPr>
          <w:rFonts w:ascii="Garamond" w:hAnsi="Garamond"/>
          <w:spacing w:val="13"/>
          <w:sz w:val="24"/>
          <w:szCs w:val="24"/>
        </w:rPr>
        <w:t xml:space="preserve"> </w:t>
      </w:r>
      <w:r w:rsidRPr="00395593">
        <w:rPr>
          <w:rFonts w:ascii="Garamond" w:hAnsi="Garamond"/>
          <w:sz w:val="24"/>
          <w:szCs w:val="24"/>
        </w:rPr>
        <w:t>negativas,</w:t>
      </w:r>
      <w:r w:rsidRPr="00395593">
        <w:rPr>
          <w:rFonts w:ascii="Garamond" w:hAnsi="Garamond"/>
          <w:spacing w:val="12"/>
          <w:sz w:val="24"/>
          <w:szCs w:val="24"/>
        </w:rPr>
        <w:t xml:space="preserve"> </w:t>
      </w:r>
      <w:r w:rsidRPr="00395593">
        <w:rPr>
          <w:rFonts w:ascii="Garamond" w:hAnsi="Garamond"/>
          <w:sz w:val="24"/>
          <w:szCs w:val="24"/>
        </w:rPr>
        <w:t>ou</w:t>
      </w:r>
      <w:r w:rsidRPr="00395593">
        <w:rPr>
          <w:rFonts w:ascii="Garamond" w:hAnsi="Garamond"/>
          <w:spacing w:val="13"/>
          <w:sz w:val="24"/>
          <w:szCs w:val="24"/>
        </w:rPr>
        <w:t xml:space="preserve"> </w:t>
      </w:r>
      <w:r w:rsidRPr="00395593">
        <w:rPr>
          <w:rFonts w:ascii="Garamond" w:hAnsi="Garamond"/>
          <w:sz w:val="24"/>
          <w:szCs w:val="24"/>
        </w:rPr>
        <w:t>de</w:t>
      </w:r>
      <w:r w:rsidR="00F362DF" w:rsidRPr="00395593">
        <w:rPr>
          <w:rFonts w:ascii="Garamond" w:hAnsi="Garamond"/>
          <w:sz w:val="24"/>
          <w:szCs w:val="24"/>
        </w:rPr>
        <w:t xml:space="preserve"> </w:t>
      </w:r>
      <w:r w:rsidRPr="00395593">
        <w:rPr>
          <w:rFonts w:ascii="Garamond" w:hAnsi="Garamond"/>
          <w:sz w:val="24"/>
          <w:szCs w:val="24"/>
        </w:rPr>
        <w:t>estabelecer</w:t>
      </w:r>
      <w:r w:rsidRPr="00395593">
        <w:rPr>
          <w:rFonts w:ascii="Garamond" w:hAnsi="Garamond"/>
          <w:spacing w:val="29"/>
          <w:sz w:val="24"/>
          <w:szCs w:val="24"/>
        </w:rPr>
        <w:t xml:space="preserve"> </w:t>
      </w:r>
      <w:r w:rsidRPr="00395593">
        <w:rPr>
          <w:rFonts w:ascii="Garamond" w:hAnsi="Garamond"/>
          <w:sz w:val="24"/>
          <w:szCs w:val="24"/>
        </w:rPr>
        <w:t>medidas</w:t>
      </w:r>
      <w:r w:rsidRPr="00395593">
        <w:rPr>
          <w:rFonts w:ascii="Garamond" w:hAnsi="Garamond"/>
          <w:spacing w:val="27"/>
          <w:sz w:val="24"/>
          <w:szCs w:val="24"/>
        </w:rPr>
        <w:t xml:space="preserve"> </w:t>
      </w:r>
      <w:r w:rsidRPr="00395593">
        <w:rPr>
          <w:rFonts w:ascii="Garamond" w:hAnsi="Garamond"/>
          <w:sz w:val="24"/>
          <w:szCs w:val="24"/>
        </w:rPr>
        <w:t>provisórias</w:t>
      </w:r>
      <w:r w:rsidRPr="00395593">
        <w:rPr>
          <w:rFonts w:ascii="Garamond" w:hAnsi="Garamond"/>
          <w:spacing w:val="27"/>
          <w:sz w:val="24"/>
          <w:szCs w:val="24"/>
        </w:rPr>
        <w:t xml:space="preserve"> </w:t>
      </w:r>
      <w:r w:rsidRPr="00395593">
        <w:rPr>
          <w:rFonts w:ascii="Garamond" w:hAnsi="Garamond"/>
          <w:sz w:val="24"/>
          <w:szCs w:val="24"/>
        </w:rPr>
        <w:t>ou</w:t>
      </w:r>
      <w:r w:rsidRPr="00395593">
        <w:rPr>
          <w:rFonts w:ascii="Garamond" w:hAnsi="Garamond"/>
          <w:spacing w:val="27"/>
          <w:sz w:val="24"/>
          <w:szCs w:val="24"/>
        </w:rPr>
        <w:t xml:space="preserve"> </w:t>
      </w:r>
      <w:r w:rsidRPr="00395593">
        <w:rPr>
          <w:rFonts w:ascii="Garamond" w:hAnsi="Garamond"/>
          <w:sz w:val="24"/>
          <w:szCs w:val="24"/>
        </w:rPr>
        <w:t>finais</w:t>
      </w:r>
      <w:r w:rsidRPr="00395593">
        <w:rPr>
          <w:rFonts w:ascii="Garamond" w:hAnsi="Garamond"/>
          <w:spacing w:val="30"/>
          <w:sz w:val="24"/>
          <w:szCs w:val="24"/>
        </w:rPr>
        <w:t xml:space="preserve"> </w:t>
      </w:r>
      <w:r w:rsidRPr="00395593">
        <w:rPr>
          <w:rFonts w:ascii="Garamond" w:hAnsi="Garamond"/>
          <w:sz w:val="24"/>
          <w:szCs w:val="24"/>
        </w:rPr>
        <w:t>de</w:t>
      </w:r>
      <w:r w:rsidRPr="00395593">
        <w:rPr>
          <w:rFonts w:ascii="Garamond" w:hAnsi="Garamond"/>
          <w:spacing w:val="30"/>
          <w:sz w:val="24"/>
          <w:szCs w:val="24"/>
        </w:rPr>
        <w:t xml:space="preserve"> </w:t>
      </w:r>
      <w:r w:rsidRPr="00395593">
        <w:rPr>
          <w:rFonts w:ascii="Garamond" w:hAnsi="Garamond"/>
          <w:sz w:val="24"/>
          <w:szCs w:val="24"/>
        </w:rPr>
        <w:t>acordo</w:t>
      </w:r>
      <w:r w:rsidRPr="00395593">
        <w:rPr>
          <w:rFonts w:ascii="Garamond" w:hAnsi="Garamond"/>
          <w:spacing w:val="26"/>
          <w:sz w:val="24"/>
          <w:szCs w:val="24"/>
        </w:rPr>
        <w:t xml:space="preserve"> </w:t>
      </w:r>
      <w:r w:rsidRPr="00395593">
        <w:rPr>
          <w:rFonts w:ascii="Garamond" w:hAnsi="Garamond"/>
          <w:sz w:val="24"/>
          <w:szCs w:val="24"/>
        </w:rPr>
        <w:t>com</w:t>
      </w:r>
      <w:r w:rsidRPr="00395593">
        <w:rPr>
          <w:rFonts w:ascii="Garamond" w:hAnsi="Garamond"/>
          <w:spacing w:val="30"/>
          <w:sz w:val="24"/>
          <w:szCs w:val="24"/>
        </w:rPr>
        <w:t xml:space="preserve"> </w:t>
      </w:r>
      <w:r w:rsidRPr="00395593">
        <w:rPr>
          <w:rFonts w:ascii="Garamond" w:hAnsi="Garamond"/>
          <w:sz w:val="24"/>
          <w:szCs w:val="24"/>
        </w:rPr>
        <w:t>as</w:t>
      </w:r>
      <w:r w:rsidRPr="00395593">
        <w:rPr>
          <w:rFonts w:ascii="Garamond" w:hAnsi="Garamond"/>
          <w:spacing w:val="27"/>
          <w:sz w:val="24"/>
          <w:szCs w:val="24"/>
        </w:rPr>
        <w:t xml:space="preserve"> </w:t>
      </w:r>
      <w:r w:rsidRPr="00395593">
        <w:rPr>
          <w:rFonts w:ascii="Garamond" w:hAnsi="Garamond"/>
          <w:sz w:val="24"/>
          <w:szCs w:val="24"/>
        </w:rPr>
        <w:t>disposições</w:t>
      </w:r>
      <w:r w:rsidRPr="00395593">
        <w:rPr>
          <w:rFonts w:ascii="Garamond" w:hAnsi="Garamond"/>
          <w:spacing w:val="32"/>
          <w:sz w:val="24"/>
          <w:szCs w:val="24"/>
        </w:rPr>
        <w:t xml:space="preserve"> </w:t>
      </w:r>
      <w:r w:rsidRPr="00395593">
        <w:rPr>
          <w:rFonts w:ascii="Garamond" w:hAnsi="Garamond"/>
          <w:sz w:val="24"/>
          <w:szCs w:val="24"/>
        </w:rPr>
        <w:t>pertinentes</w:t>
      </w:r>
      <w:r w:rsidRPr="00395593">
        <w:rPr>
          <w:rFonts w:ascii="Garamond" w:hAnsi="Garamond"/>
          <w:spacing w:val="27"/>
          <w:sz w:val="24"/>
          <w:szCs w:val="24"/>
        </w:rPr>
        <w:t xml:space="preserve"> </w:t>
      </w:r>
      <w:r w:rsidRPr="00395593">
        <w:rPr>
          <w:rFonts w:ascii="Garamond" w:hAnsi="Garamond"/>
          <w:sz w:val="24"/>
          <w:szCs w:val="24"/>
        </w:rPr>
        <w:t>deste</w:t>
      </w:r>
      <w:r w:rsidR="004F0FFB" w:rsidRPr="00395593">
        <w:rPr>
          <w:rFonts w:ascii="Garamond" w:hAnsi="Garamond"/>
          <w:sz w:val="24"/>
          <w:szCs w:val="24"/>
        </w:rPr>
        <w:t xml:space="preserve"> </w:t>
      </w:r>
      <w:r w:rsidRPr="00395593">
        <w:rPr>
          <w:rFonts w:ascii="Garamond" w:hAnsi="Garamond"/>
          <w:spacing w:val="-57"/>
          <w:sz w:val="24"/>
          <w:szCs w:val="24"/>
        </w:rPr>
        <w:t xml:space="preserve"> </w:t>
      </w:r>
      <w:r w:rsidR="00716B33" w:rsidRPr="00395593">
        <w:rPr>
          <w:rFonts w:ascii="Garamond" w:hAnsi="Garamond"/>
          <w:spacing w:val="-57"/>
          <w:sz w:val="24"/>
          <w:szCs w:val="24"/>
        </w:rPr>
        <w:t xml:space="preserve">        </w:t>
      </w:r>
      <w:r w:rsidR="004F0FFB" w:rsidRPr="00395593">
        <w:rPr>
          <w:rFonts w:ascii="Garamond" w:hAnsi="Garamond"/>
          <w:spacing w:val="-57"/>
          <w:sz w:val="24"/>
          <w:szCs w:val="24"/>
        </w:rPr>
        <w:t xml:space="preserve">  </w:t>
      </w:r>
      <w:r w:rsidRPr="00395593">
        <w:rPr>
          <w:rFonts w:ascii="Garamond" w:hAnsi="Garamond"/>
          <w:sz w:val="24"/>
          <w:szCs w:val="24"/>
        </w:rPr>
        <w:t>Acordo.</w:t>
      </w:r>
    </w:p>
    <w:p w14:paraId="60EB3B4B" w14:textId="77777777" w:rsidR="0013285C" w:rsidRPr="00395593" w:rsidRDefault="0013285C" w:rsidP="0013285C">
      <w:pPr>
        <w:pStyle w:val="Corpodetexto"/>
        <w:rPr>
          <w:rFonts w:ascii="Garamond" w:hAnsi="Garamond"/>
        </w:rPr>
      </w:pPr>
    </w:p>
    <w:p w14:paraId="6B7B7F25" w14:textId="618F7D5C" w:rsidR="00C414FD" w:rsidRPr="00395593" w:rsidRDefault="0013285C" w:rsidP="005F7A3B">
      <w:pPr>
        <w:pStyle w:val="Corpodetexto"/>
        <w:tabs>
          <w:tab w:val="left" w:pos="6946"/>
        </w:tabs>
        <w:spacing w:line="360" w:lineRule="auto"/>
        <w:ind w:right="102"/>
        <w:jc w:val="center"/>
        <w:rPr>
          <w:rFonts w:ascii="Garamond" w:hAnsi="Garamond"/>
          <w:b/>
          <w:spacing w:val="1"/>
        </w:rPr>
      </w:pPr>
      <w:r w:rsidRPr="00395593">
        <w:rPr>
          <w:rFonts w:ascii="Garamond" w:hAnsi="Garamond"/>
          <w:b/>
        </w:rPr>
        <w:t>Artigo 7</w:t>
      </w:r>
    </w:p>
    <w:p w14:paraId="3B4EA5C8" w14:textId="4CB8E023" w:rsidR="0013285C" w:rsidRPr="00395593" w:rsidRDefault="0013285C" w:rsidP="005F7A3B">
      <w:pPr>
        <w:pStyle w:val="Corpodetexto"/>
        <w:tabs>
          <w:tab w:val="left" w:pos="6946"/>
        </w:tabs>
        <w:spacing w:line="360" w:lineRule="auto"/>
        <w:ind w:right="102"/>
        <w:jc w:val="center"/>
        <w:rPr>
          <w:rFonts w:ascii="Garamond" w:hAnsi="Garamond"/>
          <w:b/>
        </w:rPr>
      </w:pPr>
      <w:r w:rsidRPr="00395593">
        <w:rPr>
          <w:rFonts w:ascii="Garamond" w:hAnsi="Garamond"/>
          <w:b/>
        </w:rPr>
        <w:t>Medidas</w:t>
      </w:r>
      <w:r w:rsidRPr="00395593">
        <w:rPr>
          <w:rFonts w:ascii="Garamond" w:hAnsi="Garamond"/>
          <w:b/>
          <w:spacing w:val="-15"/>
        </w:rPr>
        <w:t xml:space="preserve"> </w:t>
      </w:r>
      <w:r w:rsidRPr="00395593">
        <w:rPr>
          <w:rFonts w:ascii="Garamond" w:hAnsi="Garamond"/>
          <w:b/>
        </w:rPr>
        <w:t>Provisórias</w:t>
      </w:r>
    </w:p>
    <w:p w14:paraId="533AB4F5" w14:textId="77777777" w:rsidR="0013285C" w:rsidRPr="00395593" w:rsidRDefault="0013285C" w:rsidP="002C4340">
      <w:pPr>
        <w:pStyle w:val="PargrafodaLista"/>
        <w:widowControl w:val="0"/>
        <w:numPr>
          <w:ilvl w:val="0"/>
          <w:numId w:val="17"/>
        </w:numPr>
        <w:tabs>
          <w:tab w:val="left" w:pos="810"/>
        </w:tabs>
        <w:autoSpaceDE w:val="0"/>
        <w:autoSpaceDN w:val="0"/>
        <w:spacing w:after="0" w:line="240" w:lineRule="auto"/>
        <w:contextualSpacing w:val="0"/>
        <w:jc w:val="both"/>
        <w:rPr>
          <w:rFonts w:ascii="Garamond" w:hAnsi="Garamond"/>
          <w:sz w:val="24"/>
        </w:rPr>
      </w:pPr>
      <w:r w:rsidRPr="00395593">
        <w:rPr>
          <w:rFonts w:ascii="Garamond" w:hAnsi="Garamond"/>
          <w:sz w:val="24"/>
        </w:rPr>
        <w:t>Medidas</w:t>
      </w:r>
      <w:r w:rsidRPr="00395593">
        <w:rPr>
          <w:rFonts w:ascii="Garamond" w:hAnsi="Garamond"/>
          <w:spacing w:val="-1"/>
          <w:sz w:val="24"/>
        </w:rPr>
        <w:t xml:space="preserve"> </w:t>
      </w:r>
      <w:r w:rsidRPr="00395593">
        <w:rPr>
          <w:rFonts w:ascii="Garamond" w:hAnsi="Garamond"/>
          <w:sz w:val="24"/>
        </w:rPr>
        <w:t>provisórias</w:t>
      </w:r>
      <w:r w:rsidRPr="00395593">
        <w:rPr>
          <w:rFonts w:ascii="Garamond" w:hAnsi="Garamond"/>
          <w:spacing w:val="-1"/>
          <w:sz w:val="24"/>
        </w:rPr>
        <w:t xml:space="preserve"> </w:t>
      </w:r>
      <w:r w:rsidRPr="00395593">
        <w:rPr>
          <w:rFonts w:ascii="Garamond" w:hAnsi="Garamond"/>
          <w:sz w:val="24"/>
        </w:rPr>
        <w:t>só</w:t>
      </w:r>
      <w:r w:rsidRPr="00395593">
        <w:rPr>
          <w:rFonts w:ascii="Garamond" w:hAnsi="Garamond"/>
          <w:spacing w:val="-1"/>
          <w:sz w:val="24"/>
        </w:rPr>
        <w:t xml:space="preserve"> </w:t>
      </w:r>
      <w:r w:rsidRPr="00395593">
        <w:rPr>
          <w:rFonts w:ascii="Garamond" w:hAnsi="Garamond"/>
          <w:sz w:val="24"/>
        </w:rPr>
        <w:t>poderão</w:t>
      </w:r>
      <w:r w:rsidRPr="00395593">
        <w:rPr>
          <w:rFonts w:ascii="Garamond" w:hAnsi="Garamond"/>
          <w:spacing w:val="-1"/>
          <w:sz w:val="24"/>
        </w:rPr>
        <w:t xml:space="preserve"> </w:t>
      </w:r>
      <w:r w:rsidRPr="00395593">
        <w:rPr>
          <w:rFonts w:ascii="Garamond" w:hAnsi="Garamond"/>
          <w:sz w:val="24"/>
        </w:rPr>
        <w:t>ser</w:t>
      </w:r>
      <w:r w:rsidRPr="00395593">
        <w:rPr>
          <w:rFonts w:ascii="Garamond" w:hAnsi="Garamond"/>
          <w:spacing w:val="-1"/>
          <w:sz w:val="24"/>
        </w:rPr>
        <w:t xml:space="preserve"> </w:t>
      </w:r>
      <w:r w:rsidRPr="00395593">
        <w:rPr>
          <w:rFonts w:ascii="Garamond" w:hAnsi="Garamond"/>
          <w:sz w:val="24"/>
        </w:rPr>
        <w:t>aplicadas</w:t>
      </w:r>
      <w:r w:rsidRPr="00395593">
        <w:rPr>
          <w:rFonts w:ascii="Garamond" w:hAnsi="Garamond"/>
          <w:spacing w:val="-1"/>
          <w:sz w:val="24"/>
        </w:rPr>
        <w:t xml:space="preserve"> </w:t>
      </w:r>
      <w:r w:rsidRPr="00395593">
        <w:rPr>
          <w:rFonts w:ascii="Garamond" w:hAnsi="Garamond"/>
          <w:sz w:val="24"/>
        </w:rPr>
        <w:t>se:</w:t>
      </w:r>
    </w:p>
    <w:p w14:paraId="0E3D09E7" w14:textId="77777777" w:rsidR="0013285C" w:rsidRPr="00395593" w:rsidRDefault="0013285C" w:rsidP="0013285C">
      <w:pPr>
        <w:pStyle w:val="Corpodetexto"/>
        <w:rPr>
          <w:rFonts w:ascii="Garamond" w:hAnsi="Garamond"/>
        </w:rPr>
      </w:pPr>
    </w:p>
    <w:p w14:paraId="56B18FCD" w14:textId="77777777" w:rsidR="0013285C" w:rsidRPr="00395593" w:rsidRDefault="0013285C" w:rsidP="002C4340">
      <w:pPr>
        <w:pStyle w:val="PargrafodaLista"/>
        <w:widowControl w:val="0"/>
        <w:numPr>
          <w:ilvl w:val="1"/>
          <w:numId w:val="17"/>
        </w:numPr>
        <w:tabs>
          <w:tab w:val="left" w:pos="1168"/>
        </w:tabs>
        <w:autoSpaceDE w:val="0"/>
        <w:autoSpaceDN w:val="0"/>
        <w:spacing w:after="0" w:line="240" w:lineRule="auto"/>
        <w:ind w:left="821" w:right="125" w:firstLine="0"/>
        <w:contextualSpacing w:val="0"/>
        <w:jc w:val="both"/>
        <w:rPr>
          <w:rFonts w:ascii="Garamond" w:hAnsi="Garamond"/>
          <w:sz w:val="24"/>
        </w:rPr>
      </w:pPr>
      <w:r w:rsidRPr="00395593">
        <w:rPr>
          <w:rFonts w:ascii="Garamond" w:hAnsi="Garamond"/>
          <w:sz w:val="24"/>
        </w:rPr>
        <w:t>uma investigação tiver sido iniciada de acordo com o disposto no artigo 5, um</w:t>
      </w:r>
      <w:r w:rsidRPr="00395593">
        <w:rPr>
          <w:rFonts w:ascii="Garamond" w:hAnsi="Garamond"/>
          <w:spacing w:val="1"/>
          <w:sz w:val="24"/>
        </w:rPr>
        <w:t xml:space="preserve"> </w:t>
      </w:r>
      <w:r w:rsidRPr="00395593">
        <w:rPr>
          <w:rFonts w:ascii="Garamond" w:hAnsi="Garamond"/>
          <w:sz w:val="24"/>
        </w:rPr>
        <w:t>aviso tiver sido publicado nesse sentido e às partes interessadas tiver sido oferecida</w:t>
      </w:r>
      <w:r w:rsidRPr="00395593">
        <w:rPr>
          <w:rFonts w:ascii="Garamond" w:hAnsi="Garamond"/>
          <w:spacing w:val="1"/>
          <w:sz w:val="24"/>
        </w:rPr>
        <w:t xml:space="preserve"> </w:t>
      </w:r>
      <w:r w:rsidRPr="00395593">
        <w:rPr>
          <w:rFonts w:ascii="Garamond" w:hAnsi="Garamond"/>
          <w:sz w:val="24"/>
        </w:rPr>
        <w:t>oportunidade</w:t>
      </w:r>
      <w:r w:rsidRPr="00395593">
        <w:rPr>
          <w:rFonts w:ascii="Garamond" w:hAnsi="Garamond"/>
          <w:spacing w:val="-2"/>
          <w:sz w:val="24"/>
        </w:rPr>
        <w:t xml:space="preserve"> </w:t>
      </w:r>
      <w:r w:rsidRPr="00395593">
        <w:rPr>
          <w:rFonts w:ascii="Garamond" w:hAnsi="Garamond"/>
          <w:sz w:val="24"/>
        </w:rPr>
        <w:t>adequada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apresentar</w:t>
      </w:r>
      <w:r w:rsidRPr="00395593">
        <w:rPr>
          <w:rFonts w:ascii="Garamond" w:hAnsi="Garamond"/>
          <w:spacing w:val="-2"/>
          <w:sz w:val="24"/>
        </w:rPr>
        <w:t xml:space="preserve"> </w:t>
      </w:r>
      <w:r w:rsidRPr="00395593">
        <w:rPr>
          <w:rFonts w:ascii="Garamond" w:hAnsi="Garamond"/>
          <w:sz w:val="24"/>
        </w:rPr>
        <w:t>suas informações</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fazer comentários;</w:t>
      </w:r>
    </w:p>
    <w:p w14:paraId="74E67DBE" w14:textId="77777777" w:rsidR="0013285C" w:rsidRPr="00395593" w:rsidRDefault="0013285C" w:rsidP="0013285C">
      <w:pPr>
        <w:pStyle w:val="Corpodetexto"/>
        <w:spacing w:before="1"/>
        <w:rPr>
          <w:rFonts w:ascii="Garamond" w:hAnsi="Garamond"/>
        </w:rPr>
      </w:pPr>
    </w:p>
    <w:p w14:paraId="4972CCCC" w14:textId="77777777" w:rsidR="0013285C" w:rsidRPr="00395593" w:rsidRDefault="0013285C" w:rsidP="002C4340">
      <w:pPr>
        <w:pStyle w:val="PargrafodaLista"/>
        <w:widowControl w:val="0"/>
        <w:numPr>
          <w:ilvl w:val="1"/>
          <w:numId w:val="17"/>
        </w:numPr>
        <w:tabs>
          <w:tab w:val="left" w:pos="1242"/>
        </w:tabs>
        <w:autoSpaceDE w:val="0"/>
        <w:autoSpaceDN w:val="0"/>
        <w:spacing w:after="0" w:line="240" w:lineRule="auto"/>
        <w:ind w:left="821" w:right="118" w:firstLine="0"/>
        <w:contextualSpacing w:val="0"/>
        <w:jc w:val="both"/>
        <w:rPr>
          <w:rFonts w:ascii="Garamond" w:hAnsi="Garamond"/>
          <w:sz w:val="24"/>
        </w:rPr>
      </w:pPr>
      <w:r w:rsidRPr="00395593">
        <w:rPr>
          <w:rFonts w:ascii="Garamond" w:hAnsi="Garamond"/>
          <w:sz w:val="24"/>
        </w:rPr>
        <w:t>uma</w:t>
      </w:r>
      <w:r w:rsidRPr="00395593">
        <w:rPr>
          <w:rFonts w:ascii="Garamond" w:hAnsi="Garamond"/>
          <w:spacing w:val="1"/>
          <w:sz w:val="24"/>
        </w:rPr>
        <w:t xml:space="preserve"> </w:t>
      </w:r>
      <w:r w:rsidRPr="00395593">
        <w:rPr>
          <w:rFonts w:ascii="Garamond" w:hAnsi="Garamond"/>
          <w:sz w:val="24"/>
        </w:rPr>
        <w:t>determinação</w:t>
      </w:r>
      <w:r w:rsidRPr="00395593">
        <w:rPr>
          <w:rFonts w:ascii="Garamond" w:hAnsi="Garamond"/>
          <w:spacing w:val="1"/>
          <w:sz w:val="24"/>
        </w:rPr>
        <w:t xml:space="preserve"> </w:t>
      </w:r>
      <w:r w:rsidRPr="00395593">
        <w:rPr>
          <w:rFonts w:ascii="Garamond" w:hAnsi="Garamond"/>
          <w:sz w:val="24"/>
        </w:rPr>
        <w:t>preliminar</w:t>
      </w:r>
      <w:r w:rsidRPr="00395593">
        <w:rPr>
          <w:rFonts w:ascii="Garamond" w:hAnsi="Garamond"/>
          <w:spacing w:val="1"/>
          <w:sz w:val="24"/>
        </w:rPr>
        <w:t xml:space="preserve"> </w:t>
      </w:r>
      <w:r w:rsidRPr="00395593">
        <w:rPr>
          <w:rFonts w:ascii="Garamond" w:hAnsi="Garamond"/>
          <w:sz w:val="24"/>
        </w:rPr>
        <w:t>afirmativa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i/>
          <w:sz w:val="24"/>
        </w:rPr>
        <w:t>dumping</w:t>
      </w:r>
      <w:r w:rsidRPr="00395593">
        <w:rPr>
          <w:rFonts w:ascii="Garamond" w:hAnsi="Garamond"/>
          <w:i/>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respectivo</w:t>
      </w:r>
      <w:r w:rsidRPr="00395593">
        <w:rPr>
          <w:rFonts w:ascii="Garamond" w:hAnsi="Garamond"/>
          <w:spacing w:val="1"/>
          <w:sz w:val="24"/>
        </w:rPr>
        <w:t xml:space="preserve"> </w:t>
      </w:r>
      <w:r w:rsidRPr="00395593">
        <w:rPr>
          <w:rFonts w:ascii="Garamond" w:hAnsi="Garamond"/>
          <w:sz w:val="24"/>
        </w:rPr>
        <w:t>dano</w:t>
      </w:r>
      <w:r w:rsidRPr="00395593">
        <w:rPr>
          <w:rFonts w:ascii="Garamond" w:hAnsi="Garamond"/>
          <w:spacing w:val="1"/>
          <w:sz w:val="24"/>
        </w:rPr>
        <w:t xml:space="preserve"> </w:t>
      </w:r>
      <w:r w:rsidRPr="00395593">
        <w:rPr>
          <w:rFonts w:ascii="Garamond" w:hAnsi="Garamond"/>
          <w:sz w:val="24"/>
        </w:rPr>
        <w:t>à</w:t>
      </w:r>
      <w:r w:rsidRPr="00395593">
        <w:rPr>
          <w:rFonts w:ascii="Garamond" w:hAnsi="Garamond"/>
          <w:spacing w:val="1"/>
          <w:sz w:val="24"/>
        </w:rPr>
        <w:t xml:space="preserve"> </w:t>
      </w:r>
      <w:r w:rsidRPr="00395593">
        <w:rPr>
          <w:rFonts w:ascii="Garamond" w:hAnsi="Garamond"/>
          <w:sz w:val="24"/>
        </w:rPr>
        <w:t>indústria</w:t>
      </w:r>
      <w:r w:rsidRPr="00395593">
        <w:rPr>
          <w:rFonts w:ascii="Garamond" w:hAnsi="Garamond"/>
          <w:spacing w:val="-2"/>
          <w:sz w:val="24"/>
        </w:rPr>
        <w:t xml:space="preserve"> </w:t>
      </w:r>
      <w:r w:rsidRPr="00395593">
        <w:rPr>
          <w:rFonts w:ascii="Garamond" w:hAnsi="Garamond"/>
          <w:sz w:val="24"/>
        </w:rPr>
        <w:t>nacional tiver sido alcançada; e</w:t>
      </w:r>
    </w:p>
    <w:p w14:paraId="542781CE" w14:textId="77777777" w:rsidR="0013285C" w:rsidRPr="00395593" w:rsidRDefault="0013285C" w:rsidP="0013285C">
      <w:pPr>
        <w:pStyle w:val="Corpodetexto"/>
        <w:rPr>
          <w:rFonts w:ascii="Garamond" w:hAnsi="Garamond"/>
        </w:rPr>
      </w:pPr>
    </w:p>
    <w:p w14:paraId="0AAB918F" w14:textId="77777777" w:rsidR="0013285C" w:rsidRPr="00395593" w:rsidRDefault="0013285C" w:rsidP="002C4340">
      <w:pPr>
        <w:pStyle w:val="PargrafodaLista"/>
        <w:widowControl w:val="0"/>
        <w:numPr>
          <w:ilvl w:val="1"/>
          <w:numId w:val="17"/>
        </w:numPr>
        <w:tabs>
          <w:tab w:val="left" w:pos="1206"/>
        </w:tabs>
        <w:autoSpaceDE w:val="0"/>
        <w:autoSpaceDN w:val="0"/>
        <w:spacing w:after="0" w:line="240" w:lineRule="auto"/>
        <w:ind w:left="821" w:right="117" w:firstLine="0"/>
        <w:contextualSpacing w:val="0"/>
        <w:jc w:val="both"/>
        <w:rPr>
          <w:rFonts w:ascii="Garamond" w:hAnsi="Garamond"/>
          <w:sz w:val="24"/>
        </w:rPr>
      </w:pP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competentes</w:t>
      </w:r>
      <w:r w:rsidRPr="00395593">
        <w:rPr>
          <w:rFonts w:ascii="Garamond" w:hAnsi="Garamond"/>
          <w:spacing w:val="1"/>
          <w:sz w:val="24"/>
        </w:rPr>
        <w:t xml:space="preserve"> </w:t>
      </w:r>
      <w:r w:rsidRPr="00395593">
        <w:rPr>
          <w:rFonts w:ascii="Garamond" w:hAnsi="Garamond"/>
          <w:sz w:val="24"/>
        </w:rPr>
        <w:t>julgarem</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tais</w:t>
      </w:r>
      <w:r w:rsidRPr="00395593">
        <w:rPr>
          <w:rFonts w:ascii="Garamond" w:hAnsi="Garamond"/>
          <w:spacing w:val="1"/>
          <w:sz w:val="24"/>
        </w:rPr>
        <w:t xml:space="preserve"> </w:t>
      </w:r>
      <w:r w:rsidRPr="00395593">
        <w:rPr>
          <w:rFonts w:ascii="Garamond" w:hAnsi="Garamond"/>
          <w:sz w:val="24"/>
        </w:rPr>
        <w:t>medidas</w:t>
      </w:r>
      <w:r w:rsidRPr="00395593">
        <w:rPr>
          <w:rFonts w:ascii="Garamond" w:hAnsi="Garamond"/>
          <w:spacing w:val="1"/>
          <w:sz w:val="24"/>
        </w:rPr>
        <w:t xml:space="preserve"> </w:t>
      </w:r>
      <w:r w:rsidRPr="00395593">
        <w:rPr>
          <w:rFonts w:ascii="Garamond" w:hAnsi="Garamond"/>
          <w:sz w:val="24"/>
        </w:rPr>
        <w:t>são</w:t>
      </w:r>
      <w:r w:rsidRPr="00395593">
        <w:rPr>
          <w:rFonts w:ascii="Garamond" w:hAnsi="Garamond"/>
          <w:spacing w:val="1"/>
          <w:sz w:val="24"/>
        </w:rPr>
        <w:t xml:space="preserve"> </w:t>
      </w:r>
      <w:r w:rsidRPr="00395593">
        <w:rPr>
          <w:rFonts w:ascii="Garamond" w:hAnsi="Garamond"/>
          <w:sz w:val="24"/>
        </w:rPr>
        <w:t>necessárias</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57"/>
          <w:sz w:val="24"/>
        </w:rPr>
        <w:t xml:space="preserve"> </w:t>
      </w:r>
      <w:r w:rsidRPr="00395593">
        <w:rPr>
          <w:rFonts w:ascii="Garamond" w:hAnsi="Garamond"/>
          <w:sz w:val="24"/>
        </w:rPr>
        <w:t>impedir</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2"/>
          <w:sz w:val="24"/>
        </w:rPr>
        <w:t xml:space="preserve"> </w:t>
      </w:r>
      <w:r w:rsidRPr="00395593">
        <w:rPr>
          <w:rFonts w:ascii="Garamond" w:hAnsi="Garamond"/>
          <w:sz w:val="24"/>
        </w:rPr>
        <w:t>ocorra</w:t>
      </w:r>
      <w:r w:rsidRPr="00395593">
        <w:rPr>
          <w:rFonts w:ascii="Garamond" w:hAnsi="Garamond"/>
          <w:spacing w:val="-1"/>
          <w:sz w:val="24"/>
        </w:rPr>
        <w:t xml:space="preserve"> </w:t>
      </w:r>
      <w:r w:rsidRPr="00395593">
        <w:rPr>
          <w:rFonts w:ascii="Garamond" w:hAnsi="Garamond"/>
          <w:sz w:val="24"/>
        </w:rPr>
        <w:t>dano</w:t>
      </w:r>
      <w:r w:rsidRPr="00395593">
        <w:rPr>
          <w:rFonts w:ascii="Garamond" w:hAnsi="Garamond"/>
          <w:spacing w:val="2"/>
          <w:sz w:val="24"/>
        </w:rPr>
        <w:t xml:space="preserve"> </w:t>
      </w:r>
      <w:r w:rsidRPr="00395593">
        <w:rPr>
          <w:rFonts w:ascii="Garamond" w:hAnsi="Garamond"/>
          <w:sz w:val="24"/>
        </w:rPr>
        <w:t>durante as investigações.</w:t>
      </w:r>
    </w:p>
    <w:p w14:paraId="72FBC6A1" w14:textId="77777777" w:rsidR="0013285C" w:rsidRPr="00395593" w:rsidRDefault="0013285C" w:rsidP="0013285C">
      <w:pPr>
        <w:pStyle w:val="Corpodetexto"/>
        <w:rPr>
          <w:rFonts w:ascii="Garamond" w:hAnsi="Garamond"/>
        </w:rPr>
      </w:pPr>
    </w:p>
    <w:p w14:paraId="40000AB8" w14:textId="77777777" w:rsidR="0013285C" w:rsidRPr="00395593" w:rsidRDefault="0013285C" w:rsidP="002C4340">
      <w:pPr>
        <w:pStyle w:val="PargrafodaLista"/>
        <w:widowControl w:val="0"/>
        <w:numPr>
          <w:ilvl w:val="0"/>
          <w:numId w:val="17"/>
        </w:numPr>
        <w:tabs>
          <w:tab w:val="left" w:pos="810"/>
        </w:tabs>
        <w:autoSpaceDE w:val="0"/>
        <w:autoSpaceDN w:val="0"/>
        <w:spacing w:after="0" w:line="240" w:lineRule="auto"/>
        <w:ind w:left="102" w:right="120" w:firstLine="0"/>
        <w:contextualSpacing w:val="0"/>
        <w:jc w:val="both"/>
        <w:rPr>
          <w:rFonts w:ascii="Garamond" w:hAnsi="Garamond"/>
          <w:sz w:val="24"/>
        </w:rPr>
      </w:pP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medidas</w:t>
      </w:r>
      <w:r w:rsidRPr="00395593">
        <w:rPr>
          <w:rFonts w:ascii="Garamond" w:hAnsi="Garamond"/>
          <w:spacing w:val="1"/>
          <w:sz w:val="24"/>
        </w:rPr>
        <w:t xml:space="preserve"> </w:t>
      </w:r>
      <w:r w:rsidRPr="00395593">
        <w:rPr>
          <w:rFonts w:ascii="Garamond" w:hAnsi="Garamond"/>
          <w:sz w:val="24"/>
        </w:rPr>
        <w:t>provisórias</w:t>
      </w:r>
      <w:r w:rsidRPr="00395593">
        <w:rPr>
          <w:rFonts w:ascii="Garamond" w:hAnsi="Garamond"/>
          <w:spacing w:val="1"/>
          <w:sz w:val="24"/>
        </w:rPr>
        <w:t xml:space="preserve"> </w:t>
      </w:r>
      <w:r w:rsidRPr="00395593">
        <w:rPr>
          <w:rFonts w:ascii="Garamond" w:hAnsi="Garamond"/>
          <w:sz w:val="24"/>
        </w:rPr>
        <w:t>poderão</w:t>
      </w:r>
      <w:r w:rsidRPr="00395593">
        <w:rPr>
          <w:rFonts w:ascii="Garamond" w:hAnsi="Garamond"/>
          <w:spacing w:val="1"/>
          <w:sz w:val="24"/>
        </w:rPr>
        <w:t xml:space="preserve"> </w:t>
      </w:r>
      <w:r w:rsidRPr="00395593">
        <w:rPr>
          <w:rFonts w:ascii="Garamond" w:hAnsi="Garamond"/>
          <w:sz w:val="24"/>
        </w:rPr>
        <w:t>assumir</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forma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direitos</w:t>
      </w:r>
      <w:r w:rsidRPr="00395593">
        <w:rPr>
          <w:rFonts w:ascii="Garamond" w:hAnsi="Garamond"/>
          <w:spacing w:val="1"/>
          <w:sz w:val="24"/>
        </w:rPr>
        <w:t xml:space="preserve"> </w:t>
      </w:r>
      <w:r w:rsidRPr="00395593">
        <w:rPr>
          <w:rFonts w:ascii="Garamond" w:hAnsi="Garamond"/>
          <w:sz w:val="24"/>
        </w:rPr>
        <w:t>provisórios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preferivelmente a de garantia - por melo de depósito em dinheiro ou certificado - igual ao</w:t>
      </w:r>
      <w:r w:rsidRPr="00395593">
        <w:rPr>
          <w:rFonts w:ascii="Garamond" w:hAnsi="Garamond"/>
          <w:spacing w:val="1"/>
          <w:sz w:val="24"/>
        </w:rPr>
        <w:t xml:space="preserve"> </w:t>
      </w:r>
      <w:r w:rsidRPr="00395593">
        <w:rPr>
          <w:rFonts w:ascii="Garamond" w:hAnsi="Garamond"/>
          <w:sz w:val="24"/>
        </w:rPr>
        <w:t>montante do direito anti-</w:t>
      </w:r>
      <w:r w:rsidRPr="00395593">
        <w:rPr>
          <w:rFonts w:ascii="Garamond" w:hAnsi="Garamond"/>
          <w:i/>
          <w:sz w:val="24"/>
        </w:rPr>
        <w:t xml:space="preserve">dumping </w:t>
      </w:r>
      <w:r w:rsidRPr="00395593">
        <w:rPr>
          <w:rFonts w:ascii="Garamond" w:hAnsi="Garamond"/>
          <w:sz w:val="24"/>
        </w:rPr>
        <w:t>provisoriamente estimado, desde que não seja superior à</w:t>
      </w:r>
      <w:r w:rsidRPr="00395593">
        <w:rPr>
          <w:rFonts w:ascii="Garamond" w:hAnsi="Garamond"/>
          <w:spacing w:val="1"/>
          <w:sz w:val="24"/>
        </w:rPr>
        <w:t xml:space="preserve"> </w:t>
      </w:r>
      <w:r w:rsidRPr="00395593">
        <w:rPr>
          <w:rFonts w:ascii="Garamond" w:hAnsi="Garamond"/>
          <w:sz w:val="24"/>
        </w:rPr>
        <w:t xml:space="preserve">margem de </w:t>
      </w:r>
      <w:r w:rsidRPr="00395593">
        <w:rPr>
          <w:rFonts w:ascii="Garamond" w:hAnsi="Garamond"/>
          <w:i/>
          <w:sz w:val="24"/>
        </w:rPr>
        <w:t xml:space="preserve">dumping </w:t>
      </w:r>
      <w:r w:rsidRPr="00395593">
        <w:rPr>
          <w:rFonts w:ascii="Garamond" w:hAnsi="Garamond"/>
          <w:sz w:val="24"/>
        </w:rPr>
        <w:t>provisoriamente calculada.</w:t>
      </w:r>
      <w:r w:rsidRPr="00395593">
        <w:rPr>
          <w:rFonts w:ascii="Garamond" w:hAnsi="Garamond"/>
          <w:spacing w:val="60"/>
          <w:sz w:val="24"/>
        </w:rPr>
        <w:t xml:space="preserve"> </w:t>
      </w:r>
      <w:r w:rsidRPr="00395593">
        <w:rPr>
          <w:rFonts w:ascii="Garamond" w:hAnsi="Garamond"/>
          <w:sz w:val="24"/>
        </w:rPr>
        <w:t>Considera-se medida provisória adequada</w:t>
      </w:r>
      <w:r w:rsidRPr="00395593">
        <w:rPr>
          <w:rFonts w:ascii="Garamond" w:hAnsi="Garamond"/>
          <w:spacing w:val="1"/>
          <w:sz w:val="24"/>
        </w:rPr>
        <w:t xml:space="preserve"> </w:t>
      </w:r>
      <w:r w:rsidRPr="00395593">
        <w:rPr>
          <w:rFonts w:ascii="Garamond" w:hAnsi="Garamond"/>
          <w:sz w:val="24"/>
        </w:rPr>
        <w:t>a suspensão de valoração aduaneira, desde que os direitos normais e o montante de direitos</w:t>
      </w:r>
      <w:r w:rsidRPr="00395593">
        <w:rPr>
          <w:rFonts w:ascii="Garamond" w:hAnsi="Garamond"/>
          <w:spacing w:val="1"/>
          <w:sz w:val="24"/>
        </w:rPr>
        <w:t xml:space="preserve"> </w:t>
      </w:r>
      <w:r w:rsidRPr="00395593">
        <w:rPr>
          <w:rFonts w:ascii="Garamond" w:hAnsi="Garamond"/>
          <w:sz w:val="24"/>
        </w:rPr>
        <w:t>anti-</w:t>
      </w:r>
      <w:r w:rsidRPr="00395593">
        <w:rPr>
          <w:rFonts w:ascii="Garamond" w:hAnsi="Garamond"/>
          <w:i/>
          <w:sz w:val="24"/>
        </w:rPr>
        <w:t xml:space="preserve">dumping </w:t>
      </w:r>
      <w:r w:rsidRPr="00395593">
        <w:rPr>
          <w:rFonts w:ascii="Garamond" w:hAnsi="Garamond"/>
          <w:sz w:val="24"/>
        </w:rPr>
        <w:t>sejam indicados e que a suspensão de valoração aduaneira esteja sujeita às</w:t>
      </w:r>
      <w:r w:rsidRPr="00395593">
        <w:rPr>
          <w:rFonts w:ascii="Garamond" w:hAnsi="Garamond"/>
          <w:spacing w:val="1"/>
          <w:sz w:val="24"/>
        </w:rPr>
        <w:t xml:space="preserve"> </w:t>
      </w:r>
      <w:r w:rsidRPr="00395593">
        <w:rPr>
          <w:rFonts w:ascii="Garamond" w:hAnsi="Garamond"/>
          <w:sz w:val="24"/>
        </w:rPr>
        <w:t>mesmas</w:t>
      </w:r>
      <w:r w:rsidRPr="00395593">
        <w:rPr>
          <w:rFonts w:ascii="Garamond" w:hAnsi="Garamond"/>
          <w:spacing w:val="-1"/>
          <w:sz w:val="24"/>
        </w:rPr>
        <w:t xml:space="preserve"> </w:t>
      </w:r>
      <w:r w:rsidRPr="00395593">
        <w:rPr>
          <w:rFonts w:ascii="Garamond" w:hAnsi="Garamond"/>
          <w:sz w:val="24"/>
        </w:rPr>
        <w:t>condições das demais medidas provisórias.</w:t>
      </w:r>
    </w:p>
    <w:p w14:paraId="5CA814FA" w14:textId="77777777" w:rsidR="0013285C" w:rsidRPr="00395593" w:rsidRDefault="0013285C" w:rsidP="0013285C">
      <w:pPr>
        <w:pStyle w:val="Corpodetexto"/>
        <w:rPr>
          <w:rFonts w:ascii="Garamond" w:hAnsi="Garamond"/>
        </w:rPr>
      </w:pPr>
    </w:p>
    <w:p w14:paraId="37399662" w14:textId="77777777" w:rsidR="0013285C" w:rsidRPr="00395593" w:rsidRDefault="0013285C" w:rsidP="002C4340">
      <w:pPr>
        <w:pStyle w:val="PargrafodaLista"/>
        <w:widowControl w:val="0"/>
        <w:numPr>
          <w:ilvl w:val="0"/>
          <w:numId w:val="17"/>
        </w:numPr>
        <w:tabs>
          <w:tab w:val="left" w:pos="810"/>
        </w:tabs>
        <w:autoSpaceDE w:val="0"/>
        <w:autoSpaceDN w:val="0"/>
        <w:spacing w:before="1" w:after="0" w:line="240" w:lineRule="auto"/>
        <w:ind w:left="102" w:right="126" w:firstLine="0"/>
        <w:contextualSpacing w:val="0"/>
        <w:jc w:val="both"/>
        <w:rPr>
          <w:rFonts w:ascii="Garamond" w:hAnsi="Garamond"/>
          <w:sz w:val="24"/>
        </w:rPr>
      </w:pPr>
      <w:r w:rsidRPr="00395593">
        <w:rPr>
          <w:rFonts w:ascii="Garamond" w:hAnsi="Garamond"/>
          <w:sz w:val="24"/>
        </w:rPr>
        <w:t>Não serão aplicadas medidas provisórias antes de decorridos 60 dias da data de</w:t>
      </w:r>
      <w:r w:rsidRPr="00395593">
        <w:rPr>
          <w:rFonts w:ascii="Garamond" w:hAnsi="Garamond"/>
          <w:spacing w:val="1"/>
          <w:sz w:val="24"/>
        </w:rPr>
        <w:t xml:space="preserve"> </w:t>
      </w:r>
      <w:r w:rsidRPr="00395593">
        <w:rPr>
          <w:rFonts w:ascii="Garamond" w:hAnsi="Garamond"/>
          <w:sz w:val="24"/>
        </w:rPr>
        <w:t>início</w:t>
      </w:r>
      <w:r w:rsidRPr="00395593">
        <w:rPr>
          <w:rFonts w:ascii="Garamond" w:hAnsi="Garamond"/>
          <w:spacing w:val="-1"/>
          <w:sz w:val="24"/>
        </w:rPr>
        <w:t xml:space="preserve"> </w:t>
      </w:r>
      <w:r w:rsidRPr="00395593">
        <w:rPr>
          <w:rFonts w:ascii="Garamond" w:hAnsi="Garamond"/>
          <w:sz w:val="24"/>
        </w:rPr>
        <w:t>das investigações.</w:t>
      </w:r>
    </w:p>
    <w:p w14:paraId="374B0618" w14:textId="77777777" w:rsidR="0013285C" w:rsidRPr="00395593" w:rsidRDefault="0013285C" w:rsidP="0013285C">
      <w:pPr>
        <w:pStyle w:val="Corpodetexto"/>
        <w:rPr>
          <w:rFonts w:ascii="Garamond" w:hAnsi="Garamond"/>
        </w:rPr>
      </w:pPr>
    </w:p>
    <w:p w14:paraId="54358E0D" w14:textId="77777777" w:rsidR="0013285C" w:rsidRPr="00395593" w:rsidRDefault="0013285C" w:rsidP="002C4340">
      <w:pPr>
        <w:pStyle w:val="PargrafodaLista"/>
        <w:widowControl w:val="0"/>
        <w:numPr>
          <w:ilvl w:val="0"/>
          <w:numId w:val="17"/>
        </w:numPr>
        <w:tabs>
          <w:tab w:val="left" w:pos="810"/>
        </w:tabs>
        <w:autoSpaceDE w:val="0"/>
        <w:autoSpaceDN w:val="0"/>
        <w:spacing w:after="0" w:line="240" w:lineRule="auto"/>
        <w:ind w:left="102" w:right="120" w:firstLine="0"/>
        <w:contextualSpacing w:val="0"/>
        <w:jc w:val="both"/>
        <w:rPr>
          <w:rFonts w:ascii="Garamond" w:hAnsi="Garamond"/>
          <w:sz w:val="24"/>
        </w:rPr>
      </w:pPr>
      <w:r w:rsidRPr="00395593">
        <w:rPr>
          <w:rFonts w:ascii="Garamond" w:hAnsi="Garamond"/>
          <w:sz w:val="24"/>
        </w:rPr>
        <w:t>A</w:t>
      </w:r>
      <w:r w:rsidRPr="00395593">
        <w:rPr>
          <w:rFonts w:ascii="Garamond" w:hAnsi="Garamond"/>
          <w:spacing w:val="31"/>
          <w:sz w:val="24"/>
        </w:rPr>
        <w:t xml:space="preserve"> </w:t>
      </w:r>
      <w:r w:rsidRPr="00395593">
        <w:rPr>
          <w:rFonts w:ascii="Garamond" w:hAnsi="Garamond"/>
          <w:sz w:val="24"/>
        </w:rPr>
        <w:t>aplicação</w:t>
      </w:r>
      <w:r w:rsidRPr="00395593">
        <w:rPr>
          <w:rFonts w:ascii="Garamond" w:hAnsi="Garamond"/>
          <w:spacing w:val="33"/>
          <w:sz w:val="24"/>
        </w:rPr>
        <w:t xml:space="preserve"> </w:t>
      </w:r>
      <w:r w:rsidRPr="00395593">
        <w:rPr>
          <w:rFonts w:ascii="Garamond" w:hAnsi="Garamond"/>
          <w:sz w:val="24"/>
        </w:rPr>
        <w:t>de</w:t>
      </w:r>
      <w:r w:rsidRPr="00395593">
        <w:rPr>
          <w:rFonts w:ascii="Garamond" w:hAnsi="Garamond"/>
          <w:spacing w:val="31"/>
          <w:sz w:val="24"/>
        </w:rPr>
        <w:t xml:space="preserve"> </w:t>
      </w:r>
      <w:r w:rsidRPr="00395593">
        <w:rPr>
          <w:rFonts w:ascii="Garamond" w:hAnsi="Garamond"/>
          <w:sz w:val="24"/>
        </w:rPr>
        <w:t>medidas</w:t>
      </w:r>
      <w:r w:rsidRPr="00395593">
        <w:rPr>
          <w:rFonts w:ascii="Garamond" w:hAnsi="Garamond"/>
          <w:spacing w:val="35"/>
          <w:sz w:val="24"/>
        </w:rPr>
        <w:t xml:space="preserve"> </w:t>
      </w:r>
      <w:r w:rsidRPr="00395593">
        <w:rPr>
          <w:rFonts w:ascii="Garamond" w:hAnsi="Garamond"/>
          <w:sz w:val="24"/>
        </w:rPr>
        <w:t>provisórias</w:t>
      </w:r>
      <w:r w:rsidRPr="00395593">
        <w:rPr>
          <w:rFonts w:ascii="Garamond" w:hAnsi="Garamond"/>
          <w:spacing w:val="33"/>
          <w:sz w:val="24"/>
        </w:rPr>
        <w:t xml:space="preserve"> </w:t>
      </w:r>
      <w:r w:rsidRPr="00395593">
        <w:rPr>
          <w:rFonts w:ascii="Garamond" w:hAnsi="Garamond"/>
          <w:sz w:val="24"/>
        </w:rPr>
        <w:t>será</w:t>
      </w:r>
      <w:r w:rsidRPr="00395593">
        <w:rPr>
          <w:rFonts w:ascii="Garamond" w:hAnsi="Garamond"/>
          <w:spacing w:val="31"/>
          <w:sz w:val="24"/>
        </w:rPr>
        <w:t xml:space="preserve"> </w:t>
      </w:r>
      <w:r w:rsidRPr="00395593">
        <w:rPr>
          <w:rFonts w:ascii="Garamond" w:hAnsi="Garamond"/>
          <w:sz w:val="24"/>
        </w:rPr>
        <w:t>limitada</w:t>
      </w:r>
      <w:r w:rsidRPr="00395593">
        <w:rPr>
          <w:rFonts w:ascii="Garamond" w:hAnsi="Garamond"/>
          <w:spacing w:val="31"/>
          <w:sz w:val="24"/>
        </w:rPr>
        <w:t xml:space="preserve"> </w:t>
      </w:r>
      <w:r w:rsidRPr="00395593">
        <w:rPr>
          <w:rFonts w:ascii="Garamond" w:hAnsi="Garamond"/>
          <w:sz w:val="24"/>
        </w:rPr>
        <w:t>ao</w:t>
      </w:r>
      <w:r w:rsidRPr="00395593">
        <w:rPr>
          <w:rFonts w:ascii="Garamond" w:hAnsi="Garamond"/>
          <w:spacing w:val="32"/>
          <w:sz w:val="24"/>
        </w:rPr>
        <w:t xml:space="preserve"> </w:t>
      </w:r>
      <w:r w:rsidRPr="00395593">
        <w:rPr>
          <w:rFonts w:ascii="Garamond" w:hAnsi="Garamond"/>
          <w:sz w:val="24"/>
        </w:rPr>
        <w:t>mais</w:t>
      </w:r>
      <w:r w:rsidRPr="00395593">
        <w:rPr>
          <w:rFonts w:ascii="Garamond" w:hAnsi="Garamond"/>
          <w:spacing w:val="33"/>
          <w:sz w:val="24"/>
        </w:rPr>
        <w:t xml:space="preserve"> </w:t>
      </w:r>
      <w:r w:rsidRPr="00395593">
        <w:rPr>
          <w:rFonts w:ascii="Garamond" w:hAnsi="Garamond"/>
          <w:sz w:val="24"/>
        </w:rPr>
        <w:t>curto</w:t>
      </w:r>
      <w:r w:rsidRPr="00395593">
        <w:rPr>
          <w:rFonts w:ascii="Garamond" w:hAnsi="Garamond"/>
          <w:spacing w:val="33"/>
          <w:sz w:val="24"/>
        </w:rPr>
        <w:t xml:space="preserve"> </w:t>
      </w:r>
      <w:r w:rsidRPr="00395593">
        <w:rPr>
          <w:rFonts w:ascii="Garamond" w:hAnsi="Garamond"/>
          <w:sz w:val="24"/>
        </w:rPr>
        <w:t>período</w:t>
      </w:r>
      <w:r w:rsidRPr="00395593">
        <w:rPr>
          <w:rFonts w:ascii="Garamond" w:hAnsi="Garamond"/>
          <w:spacing w:val="34"/>
          <w:sz w:val="24"/>
        </w:rPr>
        <w:t xml:space="preserve"> </w:t>
      </w:r>
      <w:r w:rsidRPr="00395593">
        <w:rPr>
          <w:rFonts w:ascii="Garamond" w:hAnsi="Garamond"/>
          <w:sz w:val="24"/>
        </w:rPr>
        <w:t>possível,</w:t>
      </w:r>
      <w:r w:rsidRPr="00395593">
        <w:rPr>
          <w:rFonts w:ascii="Garamond" w:hAnsi="Garamond"/>
          <w:spacing w:val="-57"/>
          <w:sz w:val="24"/>
        </w:rPr>
        <w:t xml:space="preserve"> </w:t>
      </w:r>
      <w:r w:rsidRPr="00395593">
        <w:rPr>
          <w:rFonts w:ascii="Garamond" w:hAnsi="Garamond"/>
          <w:sz w:val="24"/>
        </w:rPr>
        <w:t>não excedendo este a 4 meses ou por decisão das autoridades competentes e a pedido de</w:t>
      </w:r>
      <w:r w:rsidRPr="00395593">
        <w:rPr>
          <w:rFonts w:ascii="Garamond" w:hAnsi="Garamond"/>
          <w:spacing w:val="1"/>
          <w:sz w:val="24"/>
        </w:rPr>
        <w:t xml:space="preserve"> </w:t>
      </w:r>
      <w:r w:rsidRPr="00395593">
        <w:rPr>
          <w:rFonts w:ascii="Garamond" w:hAnsi="Garamond"/>
          <w:sz w:val="24"/>
        </w:rPr>
        <w:t>exportadores que representem percentual significativo do comércio em questão ao período</w:t>
      </w:r>
      <w:r w:rsidRPr="00395593">
        <w:rPr>
          <w:rFonts w:ascii="Garamond" w:hAnsi="Garamond"/>
          <w:spacing w:val="1"/>
          <w:sz w:val="24"/>
        </w:rPr>
        <w:t xml:space="preserve"> </w:t>
      </w:r>
      <w:r w:rsidRPr="00395593">
        <w:rPr>
          <w:rFonts w:ascii="Garamond" w:hAnsi="Garamond"/>
          <w:sz w:val="24"/>
        </w:rPr>
        <w:t>de 6 meses. Na hipótese de as autoridades no curso de uma investigação examinarem se um</w:t>
      </w:r>
      <w:r w:rsidRPr="00395593">
        <w:rPr>
          <w:rFonts w:ascii="Garamond" w:hAnsi="Garamond"/>
          <w:spacing w:val="-57"/>
          <w:sz w:val="24"/>
        </w:rPr>
        <w:t xml:space="preserve"> </w:t>
      </w:r>
      <w:r w:rsidRPr="00395593">
        <w:rPr>
          <w:rFonts w:ascii="Garamond" w:hAnsi="Garamond"/>
          <w:sz w:val="24"/>
        </w:rPr>
        <w:t xml:space="preserve">direito inferior à margem de </w:t>
      </w:r>
      <w:r w:rsidRPr="00395593">
        <w:rPr>
          <w:rFonts w:ascii="Garamond" w:hAnsi="Garamond"/>
          <w:i/>
          <w:sz w:val="24"/>
        </w:rPr>
        <w:t xml:space="preserve">dumping </w:t>
      </w:r>
      <w:r w:rsidRPr="00395593">
        <w:rPr>
          <w:rFonts w:ascii="Garamond" w:hAnsi="Garamond"/>
          <w:sz w:val="24"/>
        </w:rPr>
        <w:t>seria suficiente para extinguir o dano, tais períodos</w:t>
      </w:r>
      <w:r w:rsidRPr="00395593">
        <w:rPr>
          <w:rFonts w:ascii="Garamond" w:hAnsi="Garamond"/>
          <w:spacing w:val="1"/>
          <w:sz w:val="24"/>
        </w:rPr>
        <w:t xml:space="preserve"> </w:t>
      </w:r>
      <w:r w:rsidRPr="00395593">
        <w:rPr>
          <w:rFonts w:ascii="Garamond" w:hAnsi="Garamond"/>
          <w:sz w:val="24"/>
        </w:rPr>
        <w:t>passam</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6 e</w:t>
      </w:r>
      <w:r w:rsidRPr="00395593">
        <w:rPr>
          <w:rFonts w:ascii="Garamond" w:hAnsi="Garamond"/>
          <w:spacing w:val="-1"/>
          <w:sz w:val="24"/>
        </w:rPr>
        <w:t xml:space="preserve"> </w:t>
      </w:r>
      <w:r w:rsidRPr="00395593">
        <w:rPr>
          <w:rFonts w:ascii="Garamond" w:hAnsi="Garamond"/>
          <w:sz w:val="24"/>
        </w:rPr>
        <w:t>9 meses respectivamente.</w:t>
      </w:r>
    </w:p>
    <w:p w14:paraId="25975F91" w14:textId="77777777" w:rsidR="0013285C" w:rsidRPr="00395593" w:rsidRDefault="0013285C" w:rsidP="0013285C">
      <w:pPr>
        <w:pStyle w:val="Corpodetexto"/>
        <w:rPr>
          <w:rFonts w:ascii="Garamond" w:hAnsi="Garamond"/>
        </w:rPr>
      </w:pPr>
    </w:p>
    <w:p w14:paraId="3B3A0528" w14:textId="77777777" w:rsidR="0013285C" w:rsidRPr="00395593" w:rsidRDefault="0013285C" w:rsidP="002C4340">
      <w:pPr>
        <w:pStyle w:val="PargrafodaLista"/>
        <w:widowControl w:val="0"/>
        <w:numPr>
          <w:ilvl w:val="0"/>
          <w:numId w:val="17"/>
        </w:numPr>
        <w:tabs>
          <w:tab w:val="left" w:pos="810"/>
        </w:tabs>
        <w:autoSpaceDE w:val="0"/>
        <w:autoSpaceDN w:val="0"/>
        <w:spacing w:after="0" w:line="240" w:lineRule="auto"/>
        <w:ind w:left="102" w:right="119" w:firstLine="0"/>
        <w:contextualSpacing w:val="0"/>
        <w:jc w:val="both"/>
        <w:rPr>
          <w:rFonts w:ascii="Garamond" w:hAnsi="Garamond"/>
          <w:sz w:val="24"/>
        </w:rPr>
      </w:pPr>
      <w:r w:rsidRPr="00395593">
        <w:rPr>
          <w:rFonts w:ascii="Garamond" w:hAnsi="Garamond"/>
          <w:sz w:val="24"/>
        </w:rPr>
        <w:t>Na aplicação de medidas provisórias, serão observadas as disposições pertinentes do</w:t>
      </w:r>
      <w:r w:rsidRPr="00395593">
        <w:rPr>
          <w:rFonts w:ascii="Garamond" w:hAnsi="Garamond"/>
          <w:spacing w:val="-57"/>
          <w:sz w:val="24"/>
        </w:rPr>
        <w:t xml:space="preserve"> </w:t>
      </w:r>
      <w:r w:rsidRPr="00395593">
        <w:rPr>
          <w:rFonts w:ascii="Garamond" w:hAnsi="Garamond"/>
          <w:sz w:val="24"/>
        </w:rPr>
        <w:t>Artigo</w:t>
      </w:r>
      <w:r w:rsidRPr="00395593">
        <w:rPr>
          <w:rFonts w:ascii="Garamond" w:hAnsi="Garamond"/>
          <w:spacing w:val="-1"/>
          <w:sz w:val="24"/>
        </w:rPr>
        <w:t xml:space="preserve"> </w:t>
      </w:r>
      <w:r w:rsidRPr="00395593">
        <w:rPr>
          <w:rFonts w:ascii="Garamond" w:hAnsi="Garamond"/>
          <w:sz w:val="24"/>
        </w:rPr>
        <w:t>9.</w:t>
      </w:r>
    </w:p>
    <w:p w14:paraId="3BE4B44F" w14:textId="77777777" w:rsidR="0013285C" w:rsidRPr="00395593" w:rsidRDefault="0013285C" w:rsidP="0013285C">
      <w:pPr>
        <w:pStyle w:val="Corpodetexto"/>
        <w:rPr>
          <w:rFonts w:ascii="Garamond" w:hAnsi="Garamond"/>
        </w:rPr>
      </w:pPr>
    </w:p>
    <w:p w14:paraId="4FE6204D" w14:textId="64FF87F1" w:rsidR="00C414FD" w:rsidRPr="00395593" w:rsidRDefault="0013285C" w:rsidP="005F7A3B">
      <w:pPr>
        <w:pStyle w:val="Corpodetexto"/>
        <w:spacing w:line="360" w:lineRule="auto"/>
        <w:ind w:left="3158" w:right="2654" w:firstLine="958"/>
        <w:rPr>
          <w:rFonts w:ascii="Garamond" w:hAnsi="Garamond"/>
          <w:b/>
        </w:rPr>
      </w:pPr>
      <w:r w:rsidRPr="00395593">
        <w:rPr>
          <w:rFonts w:ascii="Garamond" w:hAnsi="Garamond"/>
          <w:b/>
        </w:rPr>
        <w:t>Artigo 8</w:t>
      </w:r>
      <w:r w:rsidRPr="00395593">
        <w:rPr>
          <w:rFonts w:ascii="Garamond" w:hAnsi="Garamond"/>
          <w:b/>
          <w:spacing w:val="1"/>
        </w:rPr>
        <w:t xml:space="preserve"> </w:t>
      </w:r>
      <w:r w:rsidRPr="00395593">
        <w:rPr>
          <w:rFonts w:ascii="Garamond" w:hAnsi="Garamond"/>
          <w:b/>
        </w:rPr>
        <w:t>Compromissos</w:t>
      </w:r>
      <w:r w:rsidRPr="00395593">
        <w:rPr>
          <w:rFonts w:ascii="Garamond" w:hAnsi="Garamond"/>
          <w:b/>
          <w:spacing w:val="-8"/>
        </w:rPr>
        <w:t xml:space="preserve"> </w:t>
      </w:r>
      <w:r w:rsidRPr="00395593">
        <w:rPr>
          <w:rFonts w:ascii="Garamond" w:hAnsi="Garamond"/>
          <w:b/>
        </w:rPr>
        <w:t>sobre</w:t>
      </w:r>
      <w:r w:rsidR="006B01D1" w:rsidRPr="00395593">
        <w:rPr>
          <w:rFonts w:ascii="Garamond" w:hAnsi="Garamond"/>
          <w:b/>
        </w:rPr>
        <w:t xml:space="preserve"> </w:t>
      </w:r>
      <w:r>
        <w:rPr>
          <w:rFonts w:ascii="Garamond" w:hAnsi="Garamond"/>
          <w:b/>
        </w:rPr>
        <w:t>P</w:t>
      </w:r>
      <w:r w:rsidRPr="00395593">
        <w:rPr>
          <w:rFonts w:ascii="Garamond" w:hAnsi="Garamond"/>
          <w:b/>
        </w:rPr>
        <w:t>reços</w:t>
      </w:r>
    </w:p>
    <w:p w14:paraId="0D03B1A3" w14:textId="77777777" w:rsidR="00C414FD" w:rsidRPr="00395593" w:rsidRDefault="00C414FD">
      <w:pPr>
        <w:rPr>
          <w:rFonts w:ascii="Garamond" w:eastAsia="Times New Roman" w:hAnsi="Garamond" w:cs="Times New Roman"/>
          <w:sz w:val="24"/>
          <w:szCs w:val="24"/>
        </w:rPr>
      </w:pPr>
      <w:r w:rsidRPr="00395593">
        <w:rPr>
          <w:rFonts w:ascii="Garamond" w:hAnsi="Garamond"/>
        </w:rPr>
        <w:br w:type="page"/>
      </w:r>
    </w:p>
    <w:p w14:paraId="14C98010" w14:textId="77777777" w:rsidR="0013285C" w:rsidRPr="00395593" w:rsidRDefault="0013285C" w:rsidP="002C4340">
      <w:pPr>
        <w:pStyle w:val="PargrafodaLista"/>
        <w:widowControl w:val="0"/>
        <w:numPr>
          <w:ilvl w:val="0"/>
          <w:numId w:val="16"/>
        </w:numPr>
        <w:tabs>
          <w:tab w:val="left" w:pos="810"/>
        </w:tabs>
        <w:autoSpaceDE w:val="0"/>
        <w:autoSpaceDN w:val="0"/>
        <w:spacing w:before="88" w:after="0" w:line="240" w:lineRule="auto"/>
        <w:ind w:right="116" w:firstLine="0"/>
        <w:contextualSpacing w:val="0"/>
        <w:jc w:val="both"/>
        <w:rPr>
          <w:rFonts w:ascii="Garamond" w:hAnsi="Garamond"/>
          <w:sz w:val="24"/>
          <w:szCs w:val="24"/>
        </w:rPr>
      </w:pPr>
      <w:r w:rsidRPr="00395593">
        <w:rPr>
          <w:rFonts w:ascii="Garamond" w:hAnsi="Garamond"/>
          <w:sz w:val="24"/>
          <w:szCs w:val="24"/>
        </w:rPr>
        <w:t xml:space="preserve">Poderão </w:t>
      </w:r>
      <w:r w:rsidRPr="00395593">
        <w:rPr>
          <w:rFonts w:ascii="Garamond" w:hAnsi="Garamond"/>
          <w:sz w:val="24"/>
          <w:szCs w:val="24"/>
          <w:vertAlign w:val="superscript"/>
        </w:rPr>
        <w:t>19</w:t>
      </w:r>
      <w:r w:rsidRPr="00395593">
        <w:rPr>
          <w:rFonts w:ascii="Garamond" w:hAnsi="Garamond"/>
          <w:sz w:val="24"/>
          <w:szCs w:val="24"/>
        </w:rPr>
        <w:t xml:space="preserve"> suspender-se ou dar-se por encerrados os procedimentos sem imposição</w:t>
      </w:r>
      <w:r w:rsidRPr="00395593">
        <w:rPr>
          <w:rFonts w:ascii="Garamond" w:hAnsi="Garamond"/>
          <w:spacing w:val="1"/>
          <w:sz w:val="24"/>
          <w:szCs w:val="24"/>
        </w:rPr>
        <w:t xml:space="preserve"> </w:t>
      </w:r>
      <w:r w:rsidRPr="00395593">
        <w:rPr>
          <w:rFonts w:ascii="Garamond" w:hAnsi="Garamond"/>
          <w:sz w:val="24"/>
          <w:szCs w:val="24"/>
        </w:rPr>
        <w:t>de medidas provisórias</w:t>
      </w:r>
      <w:r w:rsidRPr="00395593">
        <w:rPr>
          <w:rFonts w:ascii="Garamond" w:hAnsi="Garamond"/>
          <w:spacing w:val="1"/>
          <w:sz w:val="24"/>
          <w:szCs w:val="24"/>
        </w:rPr>
        <w:t xml:space="preserve"> </w:t>
      </w:r>
      <w:r w:rsidRPr="00395593">
        <w:rPr>
          <w:rFonts w:ascii="Garamond" w:hAnsi="Garamond"/>
          <w:sz w:val="24"/>
          <w:szCs w:val="24"/>
        </w:rPr>
        <w:t>ou direitos</w:t>
      </w:r>
      <w:r w:rsidRPr="00395593">
        <w:rPr>
          <w:rFonts w:ascii="Garamond" w:hAnsi="Garamond"/>
          <w:spacing w:val="1"/>
          <w:sz w:val="24"/>
          <w:szCs w:val="24"/>
        </w:rPr>
        <w:t xml:space="preserve"> </w:t>
      </w:r>
      <w:r w:rsidRPr="00395593">
        <w:rPr>
          <w:rFonts w:ascii="Garamond" w:hAnsi="Garamond"/>
          <w:i/>
          <w:sz w:val="24"/>
          <w:szCs w:val="24"/>
        </w:rPr>
        <w:t>anti</w:t>
      </w:r>
      <w:r w:rsidRPr="00395593">
        <w:rPr>
          <w:rFonts w:ascii="Garamond" w:hAnsi="Garamond"/>
          <w:sz w:val="24"/>
          <w:szCs w:val="24"/>
        </w:rPr>
        <w:t>-</w:t>
      </w:r>
      <w:r w:rsidRPr="00395593">
        <w:rPr>
          <w:rFonts w:ascii="Garamond" w:hAnsi="Garamond"/>
          <w:i/>
          <w:sz w:val="24"/>
          <w:szCs w:val="24"/>
        </w:rPr>
        <w:t xml:space="preserve">dumping </w:t>
      </w:r>
      <w:r w:rsidRPr="00395593">
        <w:rPr>
          <w:rFonts w:ascii="Garamond" w:hAnsi="Garamond"/>
          <w:sz w:val="24"/>
          <w:szCs w:val="24"/>
        </w:rPr>
        <w:t>se qualquer exportador comunica sua</w:t>
      </w:r>
      <w:r w:rsidRPr="00395593">
        <w:rPr>
          <w:rFonts w:ascii="Garamond" w:hAnsi="Garamond"/>
          <w:spacing w:val="1"/>
          <w:sz w:val="24"/>
          <w:szCs w:val="24"/>
        </w:rPr>
        <w:t xml:space="preserve"> </w:t>
      </w:r>
      <w:r w:rsidRPr="00395593">
        <w:rPr>
          <w:rFonts w:ascii="Garamond" w:hAnsi="Garamond"/>
          <w:sz w:val="24"/>
          <w:szCs w:val="24"/>
        </w:rPr>
        <w:t>disposição de assumir voluntariamente compromisso satisfatório no sentido de rever seus</w:t>
      </w:r>
      <w:r w:rsidRPr="00395593">
        <w:rPr>
          <w:rFonts w:ascii="Garamond" w:hAnsi="Garamond"/>
          <w:spacing w:val="1"/>
          <w:sz w:val="24"/>
          <w:szCs w:val="24"/>
        </w:rPr>
        <w:t xml:space="preserve"> </w:t>
      </w:r>
      <w:r w:rsidRPr="00395593">
        <w:rPr>
          <w:rFonts w:ascii="Garamond" w:hAnsi="Garamond"/>
          <w:sz w:val="24"/>
          <w:szCs w:val="24"/>
        </w:rPr>
        <w:t>preços ou de cessar as exportações a preços de dumping destinadas à região em apreço, de</w:t>
      </w:r>
      <w:r w:rsidRPr="00395593">
        <w:rPr>
          <w:rFonts w:ascii="Garamond" w:hAnsi="Garamond"/>
          <w:spacing w:val="1"/>
          <w:sz w:val="24"/>
          <w:szCs w:val="24"/>
        </w:rPr>
        <w:t xml:space="preserve"> </w:t>
      </w:r>
      <w:r w:rsidRPr="00395593">
        <w:rPr>
          <w:rFonts w:ascii="Garamond" w:hAnsi="Garamond"/>
          <w:sz w:val="24"/>
          <w:szCs w:val="24"/>
        </w:rPr>
        <w:t xml:space="preserve">forma a que as autoridades fiquem convencidas de que o efeito danoso do </w:t>
      </w:r>
      <w:r w:rsidRPr="00395593">
        <w:rPr>
          <w:rFonts w:ascii="Garamond" w:hAnsi="Garamond"/>
          <w:i/>
          <w:sz w:val="24"/>
          <w:szCs w:val="24"/>
        </w:rPr>
        <w:t xml:space="preserve">dumping </w:t>
      </w:r>
      <w:r w:rsidRPr="00395593">
        <w:rPr>
          <w:rFonts w:ascii="Garamond" w:hAnsi="Garamond"/>
          <w:sz w:val="24"/>
          <w:szCs w:val="24"/>
        </w:rPr>
        <w:t>será</w:t>
      </w:r>
      <w:r w:rsidRPr="00395593">
        <w:rPr>
          <w:rFonts w:ascii="Garamond" w:hAnsi="Garamond"/>
          <w:spacing w:val="1"/>
          <w:sz w:val="24"/>
          <w:szCs w:val="24"/>
        </w:rPr>
        <w:t xml:space="preserve"> </w:t>
      </w:r>
      <w:r w:rsidRPr="00395593">
        <w:rPr>
          <w:rFonts w:ascii="Garamond" w:hAnsi="Garamond"/>
          <w:sz w:val="24"/>
          <w:szCs w:val="24"/>
        </w:rPr>
        <w:t>eliminado. Os aumentos de preço que se realizem sob tais compromissos não deverão ser</w:t>
      </w:r>
      <w:r w:rsidRPr="00395593">
        <w:rPr>
          <w:rFonts w:ascii="Garamond" w:hAnsi="Garamond"/>
          <w:spacing w:val="1"/>
          <w:sz w:val="24"/>
          <w:szCs w:val="24"/>
        </w:rPr>
        <w:t xml:space="preserve"> </w:t>
      </w:r>
      <w:r w:rsidRPr="00395593">
        <w:rPr>
          <w:rFonts w:ascii="Garamond" w:hAnsi="Garamond"/>
          <w:sz w:val="24"/>
          <w:szCs w:val="24"/>
        </w:rPr>
        <w:t xml:space="preserve">mais altos do que o necessário para eliminar a margem de </w:t>
      </w:r>
      <w:r w:rsidRPr="00395593">
        <w:rPr>
          <w:rFonts w:ascii="Garamond" w:hAnsi="Garamond"/>
          <w:i/>
          <w:sz w:val="24"/>
          <w:szCs w:val="24"/>
        </w:rPr>
        <w:t>dumping</w:t>
      </w:r>
      <w:r w:rsidRPr="00395593">
        <w:rPr>
          <w:rFonts w:ascii="Garamond" w:hAnsi="Garamond"/>
          <w:sz w:val="24"/>
          <w:szCs w:val="24"/>
        </w:rPr>
        <w:t>. Seria desejável que o</w:t>
      </w:r>
      <w:r w:rsidRPr="00395593">
        <w:rPr>
          <w:rFonts w:ascii="Garamond" w:hAnsi="Garamond"/>
          <w:spacing w:val="1"/>
          <w:sz w:val="24"/>
          <w:szCs w:val="24"/>
        </w:rPr>
        <w:t xml:space="preserve"> </w:t>
      </w:r>
      <w:r w:rsidRPr="00395593">
        <w:rPr>
          <w:rFonts w:ascii="Garamond" w:hAnsi="Garamond"/>
          <w:sz w:val="24"/>
          <w:szCs w:val="24"/>
        </w:rPr>
        <w:t xml:space="preserve">aumento de preço fosse menor do que a margem de </w:t>
      </w:r>
      <w:r w:rsidRPr="00395593">
        <w:rPr>
          <w:rFonts w:ascii="Garamond" w:hAnsi="Garamond"/>
          <w:i/>
          <w:sz w:val="24"/>
          <w:szCs w:val="24"/>
        </w:rPr>
        <w:t>dumping</w:t>
      </w:r>
      <w:r w:rsidRPr="00395593">
        <w:rPr>
          <w:rFonts w:ascii="Garamond" w:hAnsi="Garamond"/>
          <w:sz w:val="24"/>
          <w:szCs w:val="24"/>
        </w:rPr>
        <w:t>, caso esse aumento seja</w:t>
      </w:r>
      <w:r w:rsidRPr="00395593">
        <w:rPr>
          <w:rFonts w:ascii="Garamond" w:hAnsi="Garamond"/>
          <w:spacing w:val="1"/>
          <w:sz w:val="24"/>
          <w:szCs w:val="24"/>
        </w:rPr>
        <w:t xml:space="preserve"> </w:t>
      </w:r>
      <w:r w:rsidRPr="00395593">
        <w:rPr>
          <w:rFonts w:ascii="Garamond" w:hAnsi="Garamond"/>
          <w:sz w:val="24"/>
          <w:szCs w:val="24"/>
        </w:rPr>
        <w:t>suficiente</w:t>
      </w:r>
      <w:r w:rsidRPr="00395593">
        <w:rPr>
          <w:rFonts w:ascii="Garamond" w:hAnsi="Garamond"/>
          <w:spacing w:val="-1"/>
          <w:sz w:val="24"/>
          <w:szCs w:val="24"/>
        </w:rPr>
        <w:t xml:space="preserve"> </w:t>
      </w:r>
      <w:r w:rsidRPr="00395593">
        <w:rPr>
          <w:rFonts w:ascii="Garamond" w:hAnsi="Garamond"/>
          <w:sz w:val="24"/>
          <w:szCs w:val="24"/>
        </w:rPr>
        <w:t>para</w:t>
      </w:r>
      <w:r w:rsidRPr="00395593">
        <w:rPr>
          <w:rFonts w:ascii="Garamond" w:hAnsi="Garamond"/>
          <w:spacing w:val="-1"/>
          <w:sz w:val="24"/>
          <w:szCs w:val="24"/>
        </w:rPr>
        <w:t xml:space="preserve"> </w:t>
      </w:r>
      <w:r w:rsidRPr="00395593">
        <w:rPr>
          <w:rFonts w:ascii="Garamond" w:hAnsi="Garamond"/>
          <w:sz w:val="24"/>
          <w:szCs w:val="24"/>
        </w:rPr>
        <w:t>cessar</w:t>
      </w:r>
      <w:r w:rsidRPr="00395593">
        <w:rPr>
          <w:rFonts w:ascii="Garamond" w:hAnsi="Garamond"/>
          <w:spacing w:val="-2"/>
          <w:sz w:val="24"/>
          <w:szCs w:val="24"/>
        </w:rPr>
        <w:t xml:space="preserve"> </w:t>
      </w:r>
      <w:r w:rsidRPr="00395593">
        <w:rPr>
          <w:rFonts w:ascii="Garamond" w:hAnsi="Garamond"/>
          <w:sz w:val="24"/>
          <w:szCs w:val="24"/>
        </w:rPr>
        <w:t>o dano causado</w:t>
      </w:r>
      <w:r w:rsidRPr="00395593">
        <w:rPr>
          <w:rFonts w:ascii="Garamond" w:hAnsi="Garamond"/>
          <w:spacing w:val="2"/>
          <w:sz w:val="24"/>
          <w:szCs w:val="24"/>
        </w:rPr>
        <w:t xml:space="preserve"> </w:t>
      </w:r>
      <w:r w:rsidRPr="00395593">
        <w:rPr>
          <w:rFonts w:ascii="Garamond" w:hAnsi="Garamond"/>
          <w:sz w:val="24"/>
          <w:szCs w:val="24"/>
        </w:rPr>
        <w:t>à</w:t>
      </w:r>
      <w:r w:rsidRPr="00395593">
        <w:rPr>
          <w:rFonts w:ascii="Garamond" w:hAnsi="Garamond"/>
          <w:spacing w:val="-1"/>
          <w:sz w:val="24"/>
          <w:szCs w:val="24"/>
        </w:rPr>
        <w:t xml:space="preserve"> </w:t>
      </w:r>
      <w:r w:rsidRPr="00395593">
        <w:rPr>
          <w:rFonts w:ascii="Garamond" w:hAnsi="Garamond"/>
          <w:sz w:val="24"/>
          <w:szCs w:val="24"/>
        </w:rPr>
        <w:t>indústria</w:t>
      </w:r>
      <w:r w:rsidRPr="00395593">
        <w:rPr>
          <w:rFonts w:ascii="Garamond" w:hAnsi="Garamond"/>
          <w:spacing w:val="-1"/>
          <w:sz w:val="24"/>
          <w:szCs w:val="24"/>
        </w:rPr>
        <w:t xml:space="preserve"> </w:t>
      </w:r>
      <w:r w:rsidRPr="00395593">
        <w:rPr>
          <w:rFonts w:ascii="Garamond" w:hAnsi="Garamond"/>
          <w:sz w:val="24"/>
          <w:szCs w:val="24"/>
        </w:rPr>
        <w:t>doméstica.</w:t>
      </w:r>
    </w:p>
    <w:p w14:paraId="4452AE4B" w14:textId="77777777" w:rsidR="0013285C" w:rsidRPr="00395593" w:rsidRDefault="0013285C" w:rsidP="002C4340">
      <w:pPr>
        <w:pStyle w:val="PargrafodaLista"/>
        <w:widowControl w:val="0"/>
        <w:numPr>
          <w:ilvl w:val="0"/>
          <w:numId w:val="16"/>
        </w:numPr>
        <w:tabs>
          <w:tab w:val="left" w:pos="810"/>
        </w:tabs>
        <w:autoSpaceDE w:val="0"/>
        <w:autoSpaceDN w:val="0"/>
        <w:spacing w:after="0" w:line="240" w:lineRule="auto"/>
        <w:ind w:right="124" w:firstLine="0"/>
        <w:contextualSpacing w:val="0"/>
        <w:jc w:val="both"/>
        <w:rPr>
          <w:rFonts w:ascii="Garamond" w:hAnsi="Garamond"/>
          <w:sz w:val="24"/>
          <w:szCs w:val="24"/>
        </w:rPr>
      </w:pPr>
      <w:r w:rsidRPr="00395593">
        <w:rPr>
          <w:rFonts w:ascii="Garamond" w:hAnsi="Garamond"/>
          <w:sz w:val="24"/>
          <w:szCs w:val="24"/>
        </w:rPr>
        <w:t>Os exportadores não deverão buscar ou aceitar compromissos sobre preços a menos</w:t>
      </w:r>
      <w:r w:rsidRPr="00395593">
        <w:rPr>
          <w:rFonts w:ascii="Garamond" w:hAnsi="Garamond"/>
          <w:spacing w:val="1"/>
          <w:sz w:val="24"/>
          <w:szCs w:val="24"/>
        </w:rPr>
        <w:t xml:space="preserve"> </w:t>
      </w:r>
      <w:r w:rsidRPr="00395593">
        <w:rPr>
          <w:rFonts w:ascii="Garamond" w:hAnsi="Garamond"/>
          <w:sz w:val="24"/>
          <w:szCs w:val="24"/>
        </w:rPr>
        <w:t>que as autoridades do Membro importador tenham chegado a uma determinação preliminar</w:t>
      </w:r>
      <w:r w:rsidRPr="00395593">
        <w:rPr>
          <w:rFonts w:ascii="Garamond" w:hAnsi="Garamond"/>
          <w:spacing w:val="1"/>
          <w:sz w:val="24"/>
          <w:szCs w:val="24"/>
        </w:rPr>
        <w:t xml:space="preserve"> </w:t>
      </w:r>
      <w:r w:rsidRPr="00395593">
        <w:rPr>
          <w:rFonts w:ascii="Garamond" w:hAnsi="Garamond"/>
          <w:sz w:val="24"/>
          <w:szCs w:val="24"/>
        </w:rPr>
        <w:t>afirmativa</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2"/>
          <w:sz w:val="24"/>
          <w:szCs w:val="24"/>
        </w:rPr>
        <w:t xml:space="preserve"> </w:t>
      </w:r>
      <w:r w:rsidRPr="00395593">
        <w:rPr>
          <w:rFonts w:ascii="Garamond" w:hAnsi="Garamond"/>
          <w:i/>
          <w:sz w:val="24"/>
          <w:szCs w:val="24"/>
        </w:rPr>
        <w:t xml:space="preserve">dumping </w:t>
      </w:r>
      <w:r w:rsidRPr="00395593">
        <w:rPr>
          <w:rFonts w:ascii="Garamond" w:hAnsi="Garamond"/>
          <w:sz w:val="24"/>
          <w:szCs w:val="24"/>
        </w:rPr>
        <w:t>e</w:t>
      </w:r>
      <w:r w:rsidRPr="00395593">
        <w:rPr>
          <w:rFonts w:ascii="Garamond" w:hAnsi="Garamond"/>
          <w:spacing w:val="1"/>
          <w:sz w:val="24"/>
          <w:szCs w:val="24"/>
        </w:rPr>
        <w:t xml:space="preserve"> </w:t>
      </w:r>
      <w:r w:rsidRPr="00395593">
        <w:rPr>
          <w:rFonts w:ascii="Garamond" w:hAnsi="Garamond"/>
          <w:sz w:val="24"/>
          <w:szCs w:val="24"/>
        </w:rPr>
        <w:t>dano por</w:t>
      </w:r>
      <w:r w:rsidRPr="00395593">
        <w:rPr>
          <w:rFonts w:ascii="Garamond" w:hAnsi="Garamond"/>
          <w:spacing w:val="-1"/>
          <w:sz w:val="24"/>
          <w:szCs w:val="24"/>
        </w:rPr>
        <w:t xml:space="preserve"> </w:t>
      </w:r>
      <w:r w:rsidRPr="00395593">
        <w:rPr>
          <w:rFonts w:ascii="Garamond" w:hAnsi="Garamond"/>
          <w:sz w:val="24"/>
          <w:szCs w:val="24"/>
        </w:rPr>
        <w:t>ele</w:t>
      </w:r>
      <w:r w:rsidRPr="00395593">
        <w:rPr>
          <w:rFonts w:ascii="Garamond" w:hAnsi="Garamond"/>
          <w:spacing w:val="1"/>
          <w:sz w:val="24"/>
          <w:szCs w:val="24"/>
        </w:rPr>
        <w:t xml:space="preserve"> </w:t>
      </w:r>
      <w:r w:rsidRPr="00395593">
        <w:rPr>
          <w:rFonts w:ascii="Garamond" w:hAnsi="Garamond"/>
          <w:sz w:val="24"/>
          <w:szCs w:val="24"/>
        </w:rPr>
        <w:t>causado.</w:t>
      </w:r>
    </w:p>
    <w:p w14:paraId="096701FA" w14:textId="77777777" w:rsidR="0013285C" w:rsidRPr="00395593" w:rsidRDefault="0013285C" w:rsidP="002C4340">
      <w:pPr>
        <w:pStyle w:val="PargrafodaLista"/>
        <w:widowControl w:val="0"/>
        <w:numPr>
          <w:ilvl w:val="0"/>
          <w:numId w:val="16"/>
        </w:numPr>
        <w:tabs>
          <w:tab w:val="left" w:pos="810"/>
        </w:tabs>
        <w:autoSpaceDE w:val="0"/>
        <w:autoSpaceDN w:val="0"/>
        <w:spacing w:after="0" w:line="240" w:lineRule="auto"/>
        <w:ind w:right="117" w:firstLine="0"/>
        <w:contextualSpacing w:val="0"/>
        <w:jc w:val="both"/>
        <w:rPr>
          <w:rFonts w:ascii="Garamond" w:hAnsi="Garamond"/>
          <w:sz w:val="24"/>
          <w:szCs w:val="24"/>
        </w:rPr>
      </w:pPr>
      <w:r w:rsidRPr="00395593">
        <w:rPr>
          <w:rFonts w:ascii="Garamond" w:hAnsi="Garamond"/>
          <w:sz w:val="24"/>
          <w:szCs w:val="24"/>
        </w:rPr>
        <w:t>As</w:t>
      </w:r>
      <w:r w:rsidRPr="00395593">
        <w:rPr>
          <w:rFonts w:ascii="Garamond" w:hAnsi="Garamond"/>
          <w:spacing w:val="1"/>
          <w:sz w:val="24"/>
          <w:szCs w:val="24"/>
        </w:rPr>
        <w:t xml:space="preserve"> </w:t>
      </w:r>
      <w:r w:rsidRPr="00395593">
        <w:rPr>
          <w:rFonts w:ascii="Garamond" w:hAnsi="Garamond"/>
          <w:sz w:val="24"/>
          <w:szCs w:val="24"/>
        </w:rPr>
        <w:t>autoridades</w:t>
      </w:r>
      <w:r w:rsidRPr="00395593">
        <w:rPr>
          <w:rFonts w:ascii="Garamond" w:hAnsi="Garamond"/>
          <w:spacing w:val="1"/>
          <w:sz w:val="24"/>
          <w:szCs w:val="24"/>
        </w:rPr>
        <w:t xml:space="preserve"> </w:t>
      </w:r>
      <w:r w:rsidRPr="00395593">
        <w:rPr>
          <w:rFonts w:ascii="Garamond" w:hAnsi="Garamond"/>
          <w:sz w:val="24"/>
          <w:szCs w:val="24"/>
        </w:rPr>
        <w:t>não</w:t>
      </w:r>
      <w:r w:rsidRPr="00395593">
        <w:rPr>
          <w:rFonts w:ascii="Garamond" w:hAnsi="Garamond"/>
          <w:spacing w:val="1"/>
          <w:sz w:val="24"/>
          <w:szCs w:val="24"/>
        </w:rPr>
        <w:t xml:space="preserve"> </w:t>
      </w:r>
      <w:r w:rsidRPr="00395593">
        <w:rPr>
          <w:rFonts w:ascii="Garamond" w:hAnsi="Garamond"/>
          <w:sz w:val="24"/>
          <w:szCs w:val="24"/>
        </w:rPr>
        <w:t>precisam</w:t>
      </w:r>
      <w:r w:rsidRPr="00395593">
        <w:rPr>
          <w:rFonts w:ascii="Garamond" w:hAnsi="Garamond"/>
          <w:spacing w:val="1"/>
          <w:sz w:val="24"/>
          <w:szCs w:val="24"/>
        </w:rPr>
        <w:t xml:space="preserve"> </w:t>
      </w:r>
      <w:r w:rsidRPr="00395593">
        <w:rPr>
          <w:rFonts w:ascii="Garamond" w:hAnsi="Garamond"/>
          <w:sz w:val="24"/>
          <w:szCs w:val="24"/>
        </w:rPr>
        <w:t>aceitar</w:t>
      </w:r>
      <w:r w:rsidRPr="00395593">
        <w:rPr>
          <w:rFonts w:ascii="Garamond" w:hAnsi="Garamond"/>
          <w:spacing w:val="1"/>
          <w:sz w:val="24"/>
          <w:szCs w:val="24"/>
        </w:rPr>
        <w:t xml:space="preserve"> </w:t>
      </w:r>
      <w:r w:rsidRPr="00395593">
        <w:rPr>
          <w:rFonts w:ascii="Garamond" w:hAnsi="Garamond"/>
          <w:sz w:val="24"/>
          <w:szCs w:val="24"/>
        </w:rPr>
        <w:t>ofertas</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sz w:val="24"/>
          <w:szCs w:val="24"/>
        </w:rPr>
        <w:t>compromissos</w:t>
      </w:r>
      <w:r w:rsidRPr="00395593">
        <w:rPr>
          <w:rFonts w:ascii="Garamond" w:hAnsi="Garamond"/>
          <w:spacing w:val="1"/>
          <w:sz w:val="24"/>
          <w:szCs w:val="24"/>
        </w:rPr>
        <w:t xml:space="preserve"> </w:t>
      </w:r>
      <w:r w:rsidRPr="00395593">
        <w:rPr>
          <w:rFonts w:ascii="Garamond" w:hAnsi="Garamond"/>
          <w:sz w:val="24"/>
          <w:szCs w:val="24"/>
        </w:rPr>
        <w:t>sobre</w:t>
      </w:r>
      <w:r w:rsidRPr="00395593">
        <w:rPr>
          <w:rFonts w:ascii="Garamond" w:hAnsi="Garamond"/>
          <w:spacing w:val="1"/>
          <w:sz w:val="24"/>
          <w:szCs w:val="24"/>
        </w:rPr>
        <w:t xml:space="preserve"> </w:t>
      </w:r>
      <w:r w:rsidRPr="00395593">
        <w:rPr>
          <w:rFonts w:ascii="Garamond" w:hAnsi="Garamond"/>
          <w:sz w:val="24"/>
          <w:szCs w:val="24"/>
        </w:rPr>
        <w:t>preços</w:t>
      </w:r>
      <w:r w:rsidRPr="00395593">
        <w:rPr>
          <w:rFonts w:ascii="Garamond" w:hAnsi="Garamond"/>
          <w:spacing w:val="1"/>
          <w:sz w:val="24"/>
          <w:szCs w:val="24"/>
        </w:rPr>
        <w:t xml:space="preserve"> </w:t>
      </w:r>
      <w:r w:rsidRPr="00395593">
        <w:rPr>
          <w:rFonts w:ascii="Garamond" w:hAnsi="Garamond"/>
          <w:sz w:val="24"/>
          <w:szCs w:val="24"/>
        </w:rPr>
        <w:t>se</w:t>
      </w:r>
      <w:r w:rsidRPr="00395593">
        <w:rPr>
          <w:rFonts w:ascii="Garamond" w:hAnsi="Garamond"/>
          <w:spacing w:val="1"/>
          <w:sz w:val="24"/>
          <w:szCs w:val="24"/>
        </w:rPr>
        <w:t xml:space="preserve"> </w:t>
      </w:r>
      <w:r w:rsidRPr="00395593">
        <w:rPr>
          <w:rFonts w:ascii="Garamond" w:hAnsi="Garamond"/>
          <w:sz w:val="24"/>
          <w:szCs w:val="24"/>
        </w:rPr>
        <w:t>consideram que sua aceitação seria ineficaz como, por exemplo, no caso de o número de</w:t>
      </w:r>
      <w:r w:rsidRPr="00395593">
        <w:rPr>
          <w:rFonts w:ascii="Garamond" w:hAnsi="Garamond"/>
          <w:spacing w:val="1"/>
          <w:sz w:val="24"/>
          <w:szCs w:val="24"/>
        </w:rPr>
        <w:t xml:space="preserve"> </w:t>
      </w:r>
      <w:r w:rsidRPr="00395593">
        <w:rPr>
          <w:rFonts w:ascii="Garamond" w:hAnsi="Garamond"/>
          <w:sz w:val="24"/>
          <w:szCs w:val="24"/>
        </w:rPr>
        <w:t>exportadores efetivos ou potenciais ser excessivamente elevado ou, por outras razões, entre</w:t>
      </w:r>
      <w:r w:rsidRPr="00395593">
        <w:rPr>
          <w:rFonts w:ascii="Garamond" w:hAnsi="Garamond"/>
          <w:spacing w:val="1"/>
          <w:sz w:val="24"/>
          <w:szCs w:val="24"/>
        </w:rPr>
        <w:t xml:space="preserve"> </w:t>
      </w:r>
      <w:r w:rsidRPr="00395593">
        <w:rPr>
          <w:rFonts w:ascii="Garamond" w:hAnsi="Garamond"/>
          <w:sz w:val="24"/>
          <w:szCs w:val="24"/>
        </w:rPr>
        <w:t>as quais a existência de princípios de política geral. Na ocorrência de semelhante situação, e</w:t>
      </w:r>
      <w:r w:rsidRPr="00395593">
        <w:rPr>
          <w:rFonts w:ascii="Garamond" w:hAnsi="Garamond"/>
          <w:spacing w:val="-57"/>
          <w:sz w:val="24"/>
          <w:szCs w:val="24"/>
        </w:rPr>
        <w:t xml:space="preserve"> </w:t>
      </w:r>
      <w:r w:rsidRPr="00395593">
        <w:rPr>
          <w:rFonts w:ascii="Garamond" w:hAnsi="Garamond"/>
          <w:sz w:val="24"/>
          <w:szCs w:val="24"/>
        </w:rPr>
        <w:t>caso seja possível, as autoridades deverão fornecer ao exportador as razões pelas quais</w:t>
      </w:r>
      <w:r w:rsidRPr="00395593">
        <w:rPr>
          <w:rFonts w:ascii="Garamond" w:hAnsi="Garamond"/>
          <w:spacing w:val="1"/>
          <w:sz w:val="24"/>
          <w:szCs w:val="24"/>
        </w:rPr>
        <w:t xml:space="preserve"> </w:t>
      </w:r>
      <w:r w:rsidRPr="00395593">
        <w:rPr>
          <w:rFonts w:ascii="Garamond" w:hAnsi="Garamond"/>
          <w:sz w:val="24"/>
          <w:szCs w:val="24"/>
        </w:rPr>
        <w:t>julgam inadequada a aceitação do compromisso e deverão, na medida do possível, oferecer</w:t>
      </w:r>
      <w:r w:rsidRPr="00395593">
        <w:rPr>
          <w:rFonts w:ascii="Garamond" w:hAnsi="Garamond"/>
          <w:spacing w:val="1"/>
          <w:sz w:val="24"/>
          <w:szCs w:val="24"/>
        </w:rPr>
        <w:t xml:space="preserve"> </w:t>
      </w:r>
      <w:r w:rsidRPr="00395593">
        <w:rPr>
          <w:rFonts w:ascii="Garamond" w:hAnsi="Garamond"/>
          <w:sz w:val="24"/>
          <w:szCs w:val="24"/>
        </w:rPr>
        <w:t>ao</w:t>
      </w:r>
      <w:r w:rsidRPr="00395593">
        <w:rPr>
          <w:rFonts w:ascii="Garamond" w:hAnsi="Garamond"/>
          <w:spacing w:val="-1"/>
          <w:sz w:val="24"/>
          <w:szCs w:val="24"/>
        </w:rPr>
        <w:t xml:space="preserve"> </w:t>
      </w:r>
      <w:r w:rsidRPr="00395593">
        <w:rPr>
          <w:rFonts w:ascii="Garamond" w:hAnsi="Garamond"/>
          <w:sz w:val="24"/>
          <w:szCs w:val="24"/>
        </w:rPr>
        <w:t>exportador oportunidade</w:t>
      </w:r>
      <w:r w:rsidRPr="00395593">
        <w:rPr>
          <w:rFonts w:ascii="Garamond" w:hAnsi="Garamond"/>
          <w:spacing w:val="-1"/>
          <w:sz w:val="24"/>
          <w:szCs w:val="24"/>
        </w:rPr>
        <w:t xml:space="preserve"> </w:t>
      </w:r>
      <w:r w:rsidRPr="00395593">
        <w:rPr>
          <w:rFonts w:ascii="Garamond" w:hAnsi="Garamond"/>
          <w:sz w:val="24"/>
          <w:szCs w:val="24"/>
        </w:rPr>
        <w:t>para</w:t>
      </w:r>
      <w:r w:rsidRPr="00395593">
        <w:rPr>
          <w:rFonts w:ascii="Garamond" w:hAnsi="Garamond"/>
          <w:spacing w:val="-2"/>
          <w:sz w:val="24"/>
          <w:szCs w:val="24"/>
        </w:rPr>
        <w:t xml:space="preserve"> </w:t>
      </w:r>
      <w:r w:rsidRPr="00395593">
        <w:rPr>
          <w:rFonts w:ascii="Garamond" w:hAnsi="Garamond"/>
          <w:sz w:val="24"/>
          <w:szCs w:val="24"/>
        </w:rPr>
        <w:t>tecer comentários sobre</w:t>
      </w:r>
      <w:r w:rsidRPr="00395593">
        <w:rPr>
          <w:rFonts w:ascii="Garamond" w:hAnsi="Garamond"/>
          <w:spacing w:val="-2"/>
          <w:sz w:val="24"/>
          <w:szCs w:val="24"/>
        </w:rPr>
        <w:t xml:space="preserve"> </w:t>
      </w:r>
      <w:r w:rsidRPr="00395593">
        <w:rPr>
          <w:rFonts w:ascii="Garamond" w:hAnsi="Garamond"/>
          <w:sz w:val="24"/>
          <w:szCs w:val="24"/>
        </w:rPr>
        <w:t>o assunto.</w:t>
      </w:r>
    </w:p>
    <w:p w14:paraId="1A050D7A" w14:textId="77777777" w:rsidR="0013285C" w:rsidRPr="00395593" w:rsidRDefault="0013285C" w:rsidP="002C4340">
      <w:pPr>
        <w:pStyle w:val="PargrafodaLista"/>
        <w:widowControl w:val="0"/>
        <w:numPr>
          <w:ilvl w:val="0"/>
          <w:numId w:val="16"/>
        </w:numPr>
        <w:tabs>
          <w:tab w:val="left" w:pos="810"/>
        </w:tabs>
        <w:autoSpaceDE w:val="0"/>
        <w:autoSpaceDN w:val="0"/>
        <w:spacing w:after="0" w:line="240" w:lineRule="auto"/>
        <w:ind w:right="115" w:firstLine="0"/>
        <w:contextualSpacing w:val="0"/>
        <w:jc w:val="both"/>
        <w:rPr>
          <w:rFonts w:ascii="Garamond" w:hAnsi="Garamond"/>
          <w:sz w:val="24"/>
          <w:szCs w:val="24"/>
        </w:rPr>
      </w:pPr>
      <w:r w:rsidRPr="00395593">
        <w:rPr>
          <w:rFonts w:ascii="Garamond" w:hAnsi="Garamond"/>
          <w:sz w:val="24"/>
          <w:szCs w:val="24"/>
        </w:rPr>
        <w:t>Se um compromisso sobre preços é aceito, poder-se-á, não obstante, completar a</w:t>
      </w:r>
      <w:r w:rsidRPr="00395593">
        <w:rPr>
          <w:rFonts w:ascii="Garamond" w:hAnsi="Garamond"/>
          <w:spacing w:val="1"/>
          <w:sz w:val="24"/>
          <w:szCs w:val="24"/>
        </w:rPr>
        <w:t xml:space="preserve"> </w:t>
      </w:r>
      <w:r w:rsidRPr="00395593">
        <w:rPr>
          <w:rFonts w:ascii="Garamond" w:hAnsi="Garamond"/>
          <w:sz w:val="24"/>
          <w:szCs w:val="24"/>
        </w:rPr>
        <w:t xml:space="preserve">investigação sobre </w:t>
      </w:r>
      <w:r w:rsidRPr="00395593">
        <w:rPr>
          <w:rFonts w:ascii="Garamond" w:hAnsi="Garamond"/>
          <w:i/>
          <w:sz w:val="24"/>
          <w:szCs w:val="24"/>
        </w:rPr>
        <w:t xml:space="preserve">dumping </w:t>
      </w:r>
      <w:r w:rsidRPr="00395593">
        <w:rPr>
          <w:rFonts w:ascii="Garamond" w:hAnsi="Garamond"/>
          <w:sz w:val="24"/>
          <w:szCs w:val="24"/>
        </w:rPr>
        <w:t>e dano caso o exportador assim o deseje ou as autoridades</w:t>
      </w:r>
      <w:r w:rsidRPr="00395593">
        <w:rPr>
          <w:rFonts w:ascii="Garamond" w:hAnsi="Garamond"/>
          <w:spacing w:val="1"/>
          <w:sz w:val="24"/>
          <w:szCs w:val="24"/>
        </w:rPr>
        <w:t xml:space="preserve"> </w:t>
      </w:r>
      <w:r w:rsidRPr="00395593">
        <w:rPr>
          <w:rFonts w:ascii="Garamond" w:hAnsi="Garamond"/>
          <w:sz w:val="24"/>
          <w:szCs w:val="24"/>
        </w:rPr>
        <w:t xml:space="preserve">assim o decidam. Nessa hipótese, se se chega a uma determinação negativa de </w:t>
      </w:r>
      <w:r w:rsidRPr="00395593">
        <w:rPr>
          <w:rFonts w:ascii="Garamond" w:hAnsi="Garamond"/>
          <w:i/>
          <w:sz w:val="24"/>
          <w:szCs w:val="24"/>
        </w:rPr>
        <w:t xml:space="preserve">dumping </w:t>
      </w:r>
      <w:r w:rsidRPr="00395593">
        <w:rPr>
          <w:rFonts w:ascii="Garamond" w:hAnsi="Garamond"/>
          <w:sz w:val="24"/>
          <w:szCs w:val="24"/>
        </w:rPr>
        <w:t>ou</w:t>
      </w:r>
      <w:r w:rsidRPr="00395593">
        <w:rPr>
          <w:rFonts w:ascii="Garamond" w:hAnsi="Garamond"/>
          <w:spacing w:val="1"/>
          <w:sz w:val="24"/>
          <w:szCs w:val="24"/>
        </w:rPr>
        <w:t xml:space="preserve"> </w:t>
      </w:r>
      <w:r w:rsidRPr="00395593">
        <w:rPr>
          <w:rFonts w:ascii="Garamond" w:hAnsi="Garamond"/>
          <w:sz w:val="24"/>
          <w:szCs w:val="24"/>
        </w:rPr>
        <w:t>dano, o compromisso será automaticamente extinto, exceto quando aquela determinação</w:t>
      </w:r>
      <w:r w:rsidRPr="00395593">
        <w:rPr>
          <w:rFonts w:ascii="Garamond" w:hAnsi="Garamond"/>
          <w:spacing w:val="1"/>
          <w:sz w:val="24"/>
          <w:szCs w:val="24"/>
        </w:rPr>
        <w:t xml:space="preserve"> </w:t>
      </w:r>
      <w:r w:rsidRPr="00395593">
        <w:rPr>
          <w:rFonts w:ascii="Garamond" w:hAnsi="Garamond"/>
          <w:sz w:val="24"/>
          <w:szCs w:val="24"/>
        </w:rPr>
        <w:t>negativa resulte em grande parte da existência mesma do compromisso sobre preços. Em</w:t>
      </w:r>
      <w:r w:rsidRPr="00395593">
        <w:rPr>
          <w:rFonts w:ascii="Garamond" w:hAnsi="Garamond"/>
          <w:spacing w:val="1"/>
          <w:sz w:val="24"/>
          <w:szCs w:val="24"/>
        </w:rPr>
        <w:t xml:space="preserve"> </w:t>
      </w:r>
      <w:r w:rsidRPr="00395593">
        <w:rPr>
          <w:rFonts w:ascii="Garamond" w:hAnsi="Garamond"/>
          <w:sz w:val="24"/>
          <w:szCs w:val="24"/>
        </w:rPr>
        <w:t>tais casos, as autoridades poderão requerer que o compromisso seja mantido por período de</w:t>
      </w:r>
      <w:r w:rsidRPr="00395593">
        <w:rPr>
          <w:rFonts w:ascii="Garamond" w:hAnsi="Garamond"/>
          <w:spacing w:val="1"/>
          <w:sz w:val="24"/>
          <w:szCs w:val="24"/>
        </w:rPr>
        <w:t xml:space="preserve"> </w:t>
      </w:r>
      <w:r w:rsidRPr="00395593">
        <w:rPr>
          <w:rFonts w:ascii="Garamond" w:hAnsi="Garamond"/>
          <w:sz w:val="24"/>
          <w:szCs w:val="24"/>
        </w:rPr>
        <w:t>tempo razoável e conforme as disposições deste Acordo. Na hipótese contraria, de que se</w:t>
      </w:r>
      <w:r w:rsidRPr="00395593">
        <w:rPr>
          <w:rFonts w:ascii="Garamond" w:hAnsi="Garamond"/>
          <w:spacing w:val="1"/>
          <w:sz w:val="24"/>
          <w:szCs w:val="24"/>
        </w:rPr>
        <w:t xml:space="preserve"> </w:t>
      </w:r>
      <w:r w:rsidRPr="00395593">
        <w:rPr>
          <w:rFonts w:ascii="Garamond" w:hAnsi="Garamond"/>
          <w:sz w:val="24"/>
          <w:szCs w:val="24"/>
        </w:rPr>
        <w:t xml:space="preserve">chegue a uma determinação positiva de </w:t>
      </w:r>
      <w:r w:rsidRPr="00395593">
        <w:rPr>
          <w:rFonts w:ascii="Garamond" w:hAnsi="Garamond"/>
          <w:i/>
          <w:sz w:val="24"/>
          <w:szCs w:val="24"/>
        </w:rPr>
        <w:t xml:space="preserve">dumping </w:t>
      </w:r>
      <w:r w:rsidRPr="00395593">
        <w:rPr>
          <w:rFonts w:ascii="Garamond" w:hAnsi="Garamond"/>
          <w:sz w:val="24"/>
          <w:szCs w:val="24"/>
        </w:rPr>
        <w:t>e dano, o compromisso será mantido</w:t>
      </w:r>
      <w:r w:rsidRPr="00395593">
        <w:rPr>
          <w:rFonts w:ascii="Garamond" w:hAnsi="Garamond"/>
          <w:spacing w:val="1"/>
          <w:sz w:val="24"/>
          <w:szCs w:val="24"/>
        </w:rPr>
        <w:t xml:space="preserve"> </w:t>
      </w:r>
      <w:r w:rsidRPr="00395593">
        <w:rPr>
          <w:rFonts w:ascii="Garamond" w:hAnsi="Garamond"/>
          <w:sz w:val="24"/>
          <w:szCs w:val="24"/>
        </w:rPr>
        <w:t>conforme</w:t>
      </w:r>
      <w:r w:rsidRPr="00395593">
        <w:rPr>
          <w:rFonts w:ascii="Garamond" w:hAnsi="Garamond"/>
          <w:spacing w:val="-1"/>
          <w:sz w:val="24"/>
          <w:szCs w:val="24"/>
        </w:rPr>
        <w:t xml:space="preserve"> </w:t>
      </w:r>
      <w:r w:rsidRPr="00395593">
        <w:rPr>
          <w:rFonts w:ascii="Garamond" w:hAnsi="Garamond"/>
          <w:sz w:val="24"/>
          <w:szCs w:val="24"/>
        </w:rPr>
        <w:t>os termos</w:t>
      </w:r>
      <w:r w:rsidRPr="00395593">
        <w:rPr>
          <w:rFonts w:ascii="Garamond" w:hAnsi="Garamond"/>
          <w:spacing w:val="-1"/>
          <w:sz w:val="24"/>
          <w:szCs w:val="24"/>
        </w:rPr>
        <w:t xml:space="preserve"> </w:t>
      </w:r>
      <w:r w:rsidRPr="00395593">
        <w:rPr>
          <w:rFonts w:ascii="Garamond" w:hAnsi="Garamond"/>
          <w:sz w:val="24"/>
          <w:szCs w:val="24"/>
        </w:rPr>
        <w:t>em que tiver</w:t>
      </w:r>
      <w:r w:rsidRPr="00395593">
        <w:rPr>
          <w:rFonts w:ascii="Garamond" w:hAnsi="Garamond"/>
          <w:spacing w:val="-3"/>
          <w:sz w:val="24"/>
          <w:szCs w:val="24"/>
        </w:rPr>
        <w:t xml:space="preserve"> </w:t>
      </w:r>
      <w:r w:rsidRPr="00395593">
        <w:rPr>
          <w:rFonts w:ascii="Garamond" w:hAnsi="Garamond"/>
          <w:sz w:val="24"/>
          <w:szCs w:val="24"/>
        </w:rPr>
        <w:t>sido estabelecido</w:t>
      </w:r>
      <w:r w:rsidRPr="00395593">
        <w:rPr>
          <w:rFonts w:ascii="Garamond" w:hAnsi="Garamond"/>
          <w:spacing w:val="2"/>
          <w:sz w:val="24"/>
          <w:szCs w:val="24"/>
        </w:rPr>
        <w:t xml:space="preserve"> </w:t>
      </w:r>
      <w:r w:rsidRPr="00395593">
        <w:rPr>
          <w:rFonts w:ascii="Garamond" w:hAnsi="Garamond"/>
          <w:sz w:val="24"/>
          <w:szCs w:val="24"/>
        </w:rPr>
        <w:t>e</w:t>
      </w:r>
      <w:r w:rsidRPr="00395593">
        <w:rPr>
          <w:rFonts w:ascii="Garamond" w:hAnsi="Garamond"/>
          <w:spacing w:val="-2"/>
          <w:sz w:val="24"/>
          <w:szCs w:val="24"/>
        </w:rPr>
        <w:t xml:space="preserve"> </w:t>
      </w:r>
      <w:r w:rsidRPr="00395593">
        <w:rPr>
          <w:rFonts w:ascii="Garamond" w:hAnsi="Garamond"/>
          <w:sz w:val="24"/>
          <w:szCs w:val="24"/>
        </w:rPr>
        <w:t>as disposições deste Acordo.</w:t>
      </w:r>
    </w:p>
    <w:p w14:paraId="69EE4B66" w14:textId="2CDDC587" w:rsidR="0013285C" w:rsidRPr="00395593" w:rsidRDefault="0013285C" w:rsidP="002C4340">
      <w:pPr>
        <w:pStyle w:val="PargrafodaLista"/>
        <w:widowControl w:val="0"/>
        <w:numPr>
          <w:ilvl w:val="0"/>
          <w:numId w:val="16"/>
        </w:numPr>
        <w:tabs>
          <w:tab w:val="left" w:pos="810"/>
        </w:tabs>
        <w:autoSpaceDE w:val="0"/>
        <w:autoSpaceDN w:val="0"/>
        <w:spacing w:after="0" w:line="240" w:lineRule="auto"/>
        <w:ind w:right="115" w:firstLine="0"/>
        <w:contextualSpacing w:val="0"/>
        <w:jc w:val="both"/>
        <w:rPr>
          <w:rFonts w:ascii="Garamond" w:hAnsi="Garamond"/>
          <w:sz w:val="24"/>
          <w:szCs w:val="24"/>
        </w:rPr>
      </w:pPr>
      <w:r w:rsidRPr="00395593">
        <w:rPr>
          <w:rFonts w:ascii="Garamond" w:hAnsi="Garamond"/>
          <w:sz w:val="24"/>
          <w:szCs w:val="24"/>
        </w:rPr>
        <w:t>As autoridades do Membro importador poderão sugerir compromissos sobre preços,</w:t>
      </w:r>
      <w:r w:rsidRPr="00395593">
        <w:rPr>
          <w:rFonts w:ascii="Garamond" w:hAnsi="Garamond"/>
          <w:spacing w:val="-57"/>
          <w:sz w:val="24"/>
          <w:szCs w:val="24"/>
        </w:rPr>
        <w:t xml:space="preserve"> </w:t>
      </w:r>
      <w:r w:rsidRPr="00395593">
        <w:rPr>
          <w:rFonts w:ascii="Garamond" w:hAnsi="Garamond"/>
          <w:sz w:val="24"/>
          <w:szCs w:val="24"/>
        </w:rPr>
        <w:t>mas nenhum exportador poderá ser forçado a aceitá-los. O fato de que os exportadores não</w:t>
      </w:r>
      <w:r w:rsidRPr="00395593">
        <w:rPr>
          <w:rFonts w:ascii="Garamond" w:hAnsi="Garamond"/>
          <w:spacing w:val="1"/>
          <w:sz w:val="24"/>
          <w:szCs w:val="24"/>
        </w:rPr>
        <w:t xml:space="preserve"> </w:t>
      </w:r>
      <w:r w:rsidRPr="00395593">
        <w:rPr>
          <w:rFonts w:ascii="Garamond" w:hAnsi="Garamond"/>
          <w:sz w:val="24"/>
          <w:szCs w:val="24"/>
        </w:rPr>
        <w:t>ofereçam</w:t>
      </w:r>
      <w:r w:rsidRPr="00395593">
        <w:rPr>
          <w:rFonts w:ascii="Garamond" w:hAnsi="Garamond"/>
          <w:spacing w:val="1"/>
          <w:sz w:val="24"/>
          <w:szCs w:val="24"/>
        </w:rPr>
        <w:t xml:space="preserve"> </w:t>
      </w:r>
      <w:r w:rsidRPr="00395593">
        <w:rPr>
          <w:rFonts w:ascii="Garamond" w:hAnsi="Garamond"/>
          <w:sz w:val="24"/>
          <w:szCs w:val="24"/>
        </w:rPr>
        <w:t>compromissos</w:t>
      </w:r>
      <w:r w:rsidRPr="00395593">
        <w:rPr>
          <w:rFonts w:ascii="Garamond" w:hAnsi="Garamond"/>
          <w:spacing w:val="1"/>
          <w:sz w:val="24"/>
          <w:szCs w:val="24"/>
        </w:rPr>
        <w:t xml:space="preserve"> </w:t>
      </w:r>
      <w:r w:rsidRPr="00395593">
        <w:rPr>
          <w:rFonts w:ascii="Garamond" w:hAnsi="Garamond"/>
          <w:sz w:val="24"/>
          <w:szCs w:val="24"/>
        </w:rPr>
        <w:t>sobre</w:t>
      </w:r>
      <w:r w:rsidRPr="00395593">
        <w:rPr>
          <w:rFonts w:ascii="Garamond" w:hAnsi="Garamond"/>
          <w:spacing w:val="1"/>
          <w:sz w:val="24"/>
          <w:szCs w:val="24"/>
        </w:rPr>
        <w:t xml:space="preserve"> </w:t>
      </w:r>
      <w:r w:rsidRPr="00395593">
        <w:rPr>
          <w:rFonts w:ascii="Garamond" w:hAnsi="Garamond"/>
          <w:sz w:val="24"/>
          <w:szCs w:val="24"/>
        </w:rPr>
        <w:t>preços</w:t>
      </w:r>
      <w:r w:rsidRPr="00395593">
        <w:rPr>
          <w:rFonts w:ascii="Garamond" w:hAnsi="Garamond"/>
          <w:spacing w:val="1"/>
          <w:sz w:val="24"/>
          <w:szCs w:val="24"/>
        </w:rPr>
        <w:t xml:space="preserve"> </w:t>
      </w:r>
      <w:r w:rsidRPr="00395593">
        <w:rPr>
          <w:rFonts w:ascii="Garamond" w:hAnsi="Garamond"/>
          <w:sz w:val="24"/>
          <w:szCs w:val="24"/>
        </w:rPr>
        <w:t>ou</w:t>
      </w:r>
      <w:r w:rsidRPr="00395593">
        <w:rPr>
          <w:rFonts w:ascii="Garamond" w:hAnsi="Garamond"/>
          <w:spacing w:val="1"/>
          <w:sz w:val="24"/>
          <w:szCs w:val="24"/>
        </w:rPr>
        <w:t xml:space="preserve"> </w:t>
      </w:r>
      <w:r w:rsidRPr="00395593">
        <w:rPr>
          <w:rFonts w:ascii="Garamond" w:hAnsi="Garamond"/>
          <w:sz w:val="24"/>
          <w:szCs w:val="24"/>
        </w:rPr>
        <w:t>não</w:t>
      </w:r>
      <w:r w:rsidRPr="00395593">
        <w:rPr>
          <w:rFonts w:ascii="Garamond" w:hAnsi="Garamond"/>
          <w:spacing w:val="1"/>
          <w:sz w:val="24"/>
          <w:szCs w:val="24"/>
        </w:rPr>
        <w:t xml:space="preserve"> </w:t>
      </w:r>
      <w:r w:rsidRPr="00395593">
        <w:rPr>
          <w:rFonts w:ascii="Garamond" w:hAnsi="Garamond"/>
          <w:sz w:val="24"/>
          <w:szCs w:val="24"/>
        </w:rPr>
        <w:t>os</w:t>
      </w:r>
      <w:r w:rsidRPr="00395593">
        <w:rPr>
          <w:rFonts w:ascii="Garamond" w:hAnsi="Garamond"/>
          <w:spacing w:val="1"/>
          <w:sz w:val="24"/>
          <w:szCs w:val="24"/>
        </w:rPr>
        <w:t xml:space="preserve"> </w:t>
      </w:r>
      <w:r w:rsidRPr="00395593">
        <w:rPr>
          <w:rFonts w:ascii="Garamond" w:hAnsi="Garamond"/>
          <w:sz w:val="24"/>
          <w:szCs w:val="24"/>
        </w:rPr>
        <w:t>aceitem,</w:t>
      </w:r>
      <w:r w:rsidRPr="00395593">
        <w:rPr>
          <w:rFonts w:ascii="Garamond" w:hAnsi="Garamond"/>
          <w:spacing w:val="1"/>
          <w:sz w:val="24"/>
          <w:szCs w:val="24"/>
        </w:rPr>
        <w:t xml:space="preserve"> </w:t>
      </w:r>
      <w:r w:rsidRPr="00395593">
        <w:rPr>
          <w:rFonts w:ascii="Garamond" w:hAnsi="Garamond"/>
          <w:sz w:val="24"/>
          <w:szCs w:val="24"/>
        </w:rPr>
        <w:t>quando</w:t>
      </w:r>
      <w:r w:rsidRPr="00395593">
        <w:rPr>
          <w:rFonts w:ascii="Garamond" w:hAnsi="Garamond"/>
          <w:spacing w:val="1"/>
          <w:sz w:val="24"/>
          <w:szCs w:val="24"/>
        </w:rPr>
        <w:t xml:space="preserve"> </w:t>
      </w:r>
      <w:r w:rsidRPr="00395593">
        <w:rPr>
          <w:rFonts w:ascii="Garamond" w:hAnsi="Garamond"/>
          <w:sz w:val="24"/>
          <w:szCs w:val="24"/>
        </w:rPr>
        <w:t>oferecidos</w:t>
      </w:r>
      <w:r w:rsidRPr="00395593">
        <w:rPr>
          <w:rFonts w:ascii="Garamond" w:hAnsi="Garamond"/>
          <w:spacing w:val="1"/>
          <w:sz w:val="24"/>
          <w:szCs w:val="24"/>
        </w:rPr>
        <w:t xml:space="preserve"> </w:t>
      </w:r>
      <w:r w:rsidRPr="00395593">
        <w:rPr>
          <w:rFonts w:ascii="Garamond" w:hAnsi="Garamond"/>
          <w:sz w:val="24"/>
          <w:szCs w:val="24"/>
        </w:rPr>
        <w:t>pelas</w:t>
      </w:r>
      <w:r w:rsidRPr="00395593">
        <w:rPr>
          <w:rFonts w:ascii="Garamond" w:hAnsi="Garamond"/>
          <w:spacing w:val="1"/>
          <w:sz w:val="24"/>
          <w:szCs w:val="24"/>
        </w:rPr>
        <w:t xml:space="preserve"> </w:t>
      </w:r>
      <w:r w:rsidRPr="00395593">
        <w:rPr>
          <w:rFonts w:ascii="Garamond" w:hAnsi="Garamond"/>
          <w:sz w:val="24"/>
          <w:szCs w:val="24"/>
        </w:rPr>
        <w:t>autoridades,</w:t>
      </w:r>
      <w:r w:rsidRPr="00395593">
        <w:rPr>
          <w:rFonts w:ascii="Garamond" w:hAnsi="Garamond"/>
          <w:spacing w:val="1"/>
          <w:sz w:val="24"/>
          <w:szCs w:val="24"/>
        </w:rPr>
        <w:t xml:space="preserve"> </w:t>
      </w:r>
      <w:r w:rsidRPr="00395593">
        <w:rPr>
          <w:rFonts w:ascii="Garamond" w:hAnsi="Garamond"/>
          <w:sz w:val="24"/>
          <w:szCs w:val="24"/>
        </w:rPr>
        <w:t>não</w:t>
      </w:r>
      <w:r w:rsidRPr="00395593">
        <w:rPr>
          <w:rFonts w:ascii="Garamond" w:hAnsi="Garamond"/>
          <w:spacing w:val="1"/>
          <w:sz w:val="24"/>
          <w:szCs w:val="24"/>
        </w:rPr>
        <w:t xml:space="preserve"> </w:t>
      </w:r>
      <w:r w:rsidRPr="00395593">
        <w:rPr>
          <w:rFonts w:ascii="Garamond" w:hAnsi="Garamond"/>
          <w:sz w:val="24"/>
          <w:szCs w:val="24"/>
        </w:rPr>
        <w:t>poderá</w:t>
      </w:r>
      <w:r w:rsidRPr="00395593">
        <w:rPr>
          <w:rFonts w:ascii="Garamond" w:hAnsi="Garamond"/>
          <w:spacing w:val="1"/>
          <w:sz w:val="24"/>
          <w:szCs w:val="24"/>
        </w:rPr>
        <w:t xml:space="preserve"> </w:t>
      </w:r>
      <w:r w:rsidRPr="00395593">
        <w:rPr>
          <w:rFonts w:ascii="Garamond" w:hAnsi="Garamond"/>
          <w:sz w:val="24"/>
          <w:szCs w:val="24"/>
        </w:rPr>
        <w:t>prejudicá-los</w:t>
      </w:r>
      <w:r w:rsidRPr="00395593">
        <w:rPr>
          <w:rFonts w:ascii="Garamond" w:hAnsi="Garamond"/>
          <w:spacing w:val="1"/>
          <w:sz w:val="24"/>
          <w:szCs w:val="24"/>
        </w:rPr>
        <w:t xml:space="preserve"> </w:t>
      </w:r>
      <w:r w:rsidRPr="00395593">
        <w:rPr>
          <w:rFonts w:ascii="Garamond" w:hAnsi="Garamond"/>
          <w:sz w:val="24"/>
          <w:szCs w:val="24"/>
        </w:rPr>
        <w:t>na</w:t>
      </w:r>
      <w:r w:rsidRPr="00395593">
        <w:rPr>
          <w:rFonts w:ascii="Garamond" w:hAnsi="Garamond"/>
          <w:spacing w:val="1"/>
          <w:sz w:val="24"/>
          <w:szCs w:val="24"/>
        </w:rPr>
        <w:t xml:space="preserve"> </w:t>
      </w:r>
      <w:r w:rsidRPr="00395593">
        <w:rPr>
          <w:rFonts w:ascii="Garamond" w:hAnsi="Garamond"/>
          <w:sz w:val="24"/>
          <w:szCs w:val="24"/>
        </w:rPr>
        <w:t>consideração</w:t>
      </w:r>
      <w:r w:rsidRPr="00395593">
        <w:rPr>
          <w:rFonts w:ascii="Garamond" w:hAnsi="Garamond"/>
          <w:spacing w:val="1"/>
          <w:sz w:val="24"/>
          <w:szCs w:val="24"/>
        </w:rPr>
        <w:t xml:space="preserve"> </w:t>
      </w:r>
      <w:r w:rsidRPr="00395593">
        <w:rPr>
          <w:rFonts w:ascii="Garamond" w:hAnsi="Garamond"/>
          <w:sz w:val="24"/>
          <w:szCs w:val="24"/>
        </w:rPr>
        <w:t>do</w:t>
      </w:r>
      <w:r w:rsidRPr="00395593">
        <w:rPr>
          <w:rFonts w:ascii="Garamond" w:hAnsi="Garamond"/>
          <w:spacing w:val="1"/>
          <w:sz w:val="24"/>
          <w:szCs w:val="24"/>
        </w:rPr>
        <w:t xml:space="preserve"> </w:t>
      </w:r>
      <w:r w:rsidRPr="00395593">
        <w:rPr>
          <w:rFonts w:ascii="Garamond" w:hAnsi="Garamond"/>
          <w:sz w:val="24"/>
          <w:szCs w:val="24"/>
        </w:rPr>
        <w:t>caso.</w:t>
      </w:r>
      <w:r w:rsidRPr="00395593">
        <w:rPr>
          <w:rFonts w:ascii="Garamond" w:hAnsi="Garamond"/>
          <w:spacing w:val="1"/>
          <w:sz w:val="24"/>
          <w:szCs w:val="24"/>
        </w:rPr>
        <w:t xml:space="preserve"> </w:t>
      </w:r>
      <w:r w:rsidRPr="00395593">
        <w:rPr>
          <w:rFonts w:ascii="Garamond" w:hAnsi="Garamond"/>
          <w:sz w:val="24"/>
          <w:szCs w:val="24"/>
        </w:rPr>
        <w:t>As</w:t>
      </w:r>
      <w:r w:rsidRPr="00395593">
        <w:rPr>
          <w:rFonts w:ascii="Garamond" w:hAnsi="Garamond"/>
          <w:spacing w:val="1"/>
          <w:sz w:val="24"/>
          <w:szCs w:val="24"/>
        </w:rPr>
        <w:t xml:space="preserve"> </w:t>
      </w:r>
      <w:r w:rsidRPr="00395593">
        <w:rPr>
          <w:rFonts w:ascii="Garamond" w:hAnsi="Garamond"/>
          <w:sz w:val="24"/>
          <w:szCs w:val="24"/>
        </w:rPr>
        <w:t>autoridades</w:t>
      </w:r>
      <w:r w:rsidRPr="00395593">
        <w:rPr>
          <w:rFonts w:ascii="Garamond" w:hAnsi="Garamond"/>
          <w:spacing w:val="1"/>
          <w:sz w:val="24"/>
          <w:szCs w:val="24"/>
        </w:rPr>
        <w:t xml:space="preserve"> </w:t>
      </w:r>
      <w:r w:rsidRPr="00395593">
        <w:rPr>
          <w:rFonts w:ascii="Garamond" w:hAnsi="Garamond"/>
          <w:sz w:val="24"/>
          <w:szCs w:val="24"/>
        </w:rPr>
        <w:t>terão</w:t>
      </w:r>
      <w:r w:rsidRPr="00395593">
        <w:rPr>
          <w:rFonts w:ascii="Garamond" w:hAnsi="Garamond"/>
          <w:spacing w:val="1"/>
          <w:sz w:val="24"/>
          <w:szCs w:val="24"/>
        </w:rPr>
        <w:t xml:space="preserve"> </w:t>
      </w:r>
      <w:r w:rsidRPr="00395593">
        <w:rPr>
          <w:rFonts w:ascii="Garamond" w:hAnsi="Garamond"/>
          <w:sz w:val="24"/>
          <w:szCs w:val="24"/>
        </w:rPr>
        <w:t>liberdade,</w:t>
      </w:r>
      <w:r w:rsidRPr="00395593">
        <w:rPr>
          <w:rFonts w:ascii="Garamond" w:hAnsi="Garamond"/>
          <w:spacing w:val="1"/>
          <w:sz w:val="24"/>
          <w:szCs w:val="24"/>
        </w:rPr>
        <w:t xml:space="preserve"> </w:t>
      </w:r>
      <w:r w:rsidRPr="00395593">
        <w:rPr>
          <w:rFonts w:ascii="Garamond" w:hAnsi="Garamond"/>
          <w:sz w:val="24"/>
          <w:szCs w:val="24"/>
        </w:rPr>
        <w:t>porém,</w:t>
      </w:r>
      <w:r w:rsidRPr="00395593">
        <w:rPr>
          <w:rFonts w:ascii="Garamond" w:hAnsi="Garamond"/>
          <w:spacing w:val="1"/>
          <w:sz w:val="24"/>
          <w:szCs w:val="24"/>
        </w:rPr>
        <w:t xml:space="preserve"> </w:t>
      </w:r>
      <w:r w:rsidRPr="00395593">
        <w:rPr>
          <w:rFonts w:ascii="Garamond" w:hAnsi="Garamond"/>
          <w:sz w:val="24"/>
          <w:szCs w:val="24"/>
        </w:rPr>
        <w:t>para</w:t>
      </w:r>
      <w:r w:rsidRPr="00395593">
        <w:rPr>
          <w:rFonts w:ascii="Garamond" w:hAnsi="Garamond"/>
          <w:spacing w:val="1"/>
          <w:sz w:val="24"/>
          <w:szCs w:val="24"/>
        </w:rPr>
        <w:t xml:space="preserve"> </w:t>
      </w:r>
      <w:r w:rsidRPr="00395593">
        <w:rPr>
          <w:rFonts w:ascii="Garamond" w:hAnsi="Garamond"/>
          <w:sz w:val="24"/>
          <w:szCs w:val="24"/>
        </w:rPr>
        <w:t>concluir</w:t>
      </w:r>
      <w:r w:rsidRPr="00395593">
        <w:rPr>
          <w:rFonts w:ascii="Garamond" w:hAnsi="Garamond"/>
          <w:spacing w:val="1"/>
          <w:sz w:val="24"/>
          <w:szCs w:val="24"/>
        </w:rPr>
        <w:t xml:space="preserve"> </w:t>
      </w:r>
      <w:r w:rsidRPr="00395593">
        <w:rPr>
          <w:rFonts w:ascii="Garamond" w:hAnsi="Garamond"/>
          <w:sz w:val="24"/>
          <w:szCs w:val="24"/>
        </w:rPr>
        <w:t>que</w:t>
      </w:r>
      <w:r w:rsidRPr="00395593">
        <w:rPr>
          <w:rFonts w:ascii="Garamond" w:hAnsi="Garamond"/>
          <w:spacing w:val="1"/>
          <w:sz w:val="24"/>
          <w:szCs w:val="24"/>
        </w:rPr>
        <w:t xml:space="preserve"> </w:t>
      </w:r>
      <w:r w:rsidRPr="00395593">
        <w:rPr>
          <w:rFonts w:ascii="Garamond" w:hAnsi="Garamond"/>
          <w:sz w:val="24"/>
          <w:szCs w:val="24"/>
        </w:rPr>
        <w:t>uma</w:t>
      </w:r>
      <w:r w:rsidRPr="00395593">
        <w:rPr>
          <w:rFonts w:ascii="Garamond" w:hAnsi="Garamond"/>
          <w:spacing w:val="1"/>
          <w:sz w:val="24"/>
          <w:szCs w:val="24"/>
        </w:rPr>
        <w:t xml:space="preserve"> </w:t>
      </w:r>
      <w:r w:rsidRPr="00395593">
        <w:rPr>
          <w:rFonts w:ascii="Garamond" w:hAnsi="Garamond"/>
          <w:sz w:val="24"/>
          <w:szCs w:val="24"/>
        </w:rPr>
        <w:t>ameaça</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sz w:val="24"/>
          <w:szCs w:val="24"/>
        </w:rPr>
        <w:t>dano</w:t>
      </w:r>
      <w:r w:rsidRPr="00395593">
        <w:rPr>
          <w:rFonts w:ascii="Garamond" w:hAnsi="Garamond"/>
          <w:spacing w:val="1"/>
          <w:sz w:val="24"/>
          <w:szCs w:val="24"/>
        </w:rPr>
        <w:t xml:space="preserve"> </w:t>
      </w:r>
      <w:r w:rsidRPr="00395593">
        <w:rPr>
          <w:rFonts w:ascii="Garamond" w:hAnsi="Garamond"/>
          <w:sz w:val="24"/>
          <w:szCs w:val="24"/>
        </w:rPr>
        <w:t>será</w:t>
      </w:r>
      <w:r w:rsidRPr="00395593">
        <w:rPr>
          <w:rFonts w:ascii="Garamond" w:hAnsi="Garamond"/>
          <w:spacing w:val="1"/>
          <w:sz w:val="24"/>
          <w:szCs w:val="24"/>
        </w:rPr>
        <w:t xml:space="preserve"> </w:t>
      </w:r>
      <w:r w:rsidRPr="00395593">
        <w:rPr>
          <w:rFonts w:ascii="Garamond" w:hAnsi="Garamond"/>
          <w:sz w:val="24"/>
          <w:szCs w:val="24"/>
        </w:rPr>
        <w:t>mais</w:t>
      </w:r>
      <w:r w:rsidRPr="00395593">
        <w:rPr>
          <w:rFonts w:ascii="Garamond" w:hAnsi="Garamond"/>
          <w:spacing w:val="1"/>
          <w:sz w:val="24"/>
          <w:szCs w:val="24"/>
        </w:rPr>
        <w:t xml:space="preserve"> </w:t>
      </w:r>
      <w:r w:rsidRPr="00395593">
        <w:rPr>
          <w:rFonts w:ascii="Garamond" w:hAnsi="Garamond"/>
          <w:sz w:val="24"/>
          <w:szCs w:val="24"/>
        </w:rPr>
        <w:t>provável</w:t>
      </w:r>
      <w:r w:rsidRPr="00395593">
        <w:rPr>
          <w:rFonts w:ascii="Garamond" w:hAnsi="Garamond"/>
          <w:spacing w:val="60"/>
          <w:sz w:val="24"/>
          <w:szCs w:val="24"/>
        </w:rPr>
        <w:t xml:space="preserve"> </w:t>
      </w:r>
      <w:r w:rsidRPr="00395593">
        <w:rPr>
          <w:rFonts w:ascii="Garamond" w:hAnsi="Garamond"/>
          <w:sz w:val="24"/>
          <w:szCs w:val="24"/>
        </w:rPr>
        <w:t>se</w:t>
      </w:r>
      <w:r w:rsidRPr="00395593">
        <w:rPr>
          <w:rFonts w:ascii="Garamond" w:hAnsi="Garamond"/>
          <w:spacing w:val="1"/>
          <w:sz w:val="24"/>
          <w:szCs w:val="24"/>
        </w:rPr>
        <w:t xml:space="preserve"> </w:t>
      </w:r>
      <w:r w:rsidRPr="00395593">
        <w:rPr>
          <w:rFonts w:ascii="Garamond" w:hAnsi="Garamond"/>
          <w:sz w:val="24"/>
          <w:szCs w:val="24"/>
        </w:rPr>
        <w:t>continuarem</w:t>
      </w:r>
      <w:r w:rsidRPr="00395593">
        <w:rPr>
          <w:rFonts w:ascii="Garamond" w:hAnsi="Garamond"/>
          <w:spacing w:val="-1"/>
          <w:sz w:val="24"/>
          <w:szCs w:val="24"/>
        </w:rPr>
        <w:t xml:space="preserve"> </w:t>
      </w:r>
      <w:r w:rsidRPr="00395593">
        <w:rPr>
          <w:rFonts w:ascii="Garamond" w:hAnsi="Garamond"/>
          <w:sz w:val="24"/>
          <w:szCs w:val="24"/>
        </w:rPr>
        <w:t>a ocorrer as</w:t>
      </w:r>
      <w:r w:rsidRPr="00395593">
        <w:rPr>
          <w:rFonts w:ascii="Garamond" w:hAnsi="Garamond"/>
          <w:spacing w:val="2"/>
          <w:sz w:val="24"/>
          <w:szCs w:val="24"/>
        </w:rPr>
        <w:t xml:space="preserve"> </w:t>
      </w:r>
      <w:r w:rsidRPr="00395593">
        <w:rPr>
          <w:rFonts w:ascii="Garamond" w:hAnsi="Garamond"/>
          <w:sz w:val="24"/>
          <w:szCs w:val="24"/>
        </w:rPr>
        <w:t>importações a</w:t>
      </w:r>
      <w:r w:rsidRPr="00395593">
        <w:rPr>
          <w:rFonts w:ascii="Garamond" w:hAnsi="Garamond"/>
          <w:spacing w:val="-1"/>
          <w:sz w:val="24"/>
          <w:szCs w:val="24"/>
        </w:rPr>
        <w:t xml:space="preserve"> </w:t>
      </w:r>
      <w:r w:rsidRPr="00395593">
        <w:rPr>
          <w:rFonts w:ascii="Garamond" w:hAnsi="Garamond"/>
          <w:sz w:val="24"/>
          <w:szCs w:val="24"/>
        </w:rPr>
        <w:t>preços</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3"/>
          <w:sz w:val="24"/>
          <w:szCs w:val="24"/>
        </w:rPr>
        <w:t xml:space="preserve"> </w:t>
      </w:r>
      <w:r w:rsidRPr="00395593">
        <w:rPr>
          <w:rFonts w:ascii="Garamond" w:hAnsi="Garamond"/>
          <w:i/>
          <w:sz w:val="24"/>
          <w:szCs w:val="24"/>
        </w:rPr>
        <w:t>dumping</w:t>
      </w:r>
      <w:r w:rsidRPr="00395593">
        <w:rPr>
          <w:rFonts w:ascii="Garamond" w:hAnsi="Garamond"/>
          <w:sz w:val="24"/>
          <w:szCs w:val="24"/>
        </w:rPr>
        <w:t>.</w:t>
      </w:r>
    </w:p>
    <w:p w14:paraId="52EF976C" w14:textId="77777777" w:rsidR="006B01D1" w:rsidRPr="00395593" w:rsidRDefault="006B01D1" w:rsidP="006B01D1">
      <w:pPr>
        <w:pStyle w:val="PargrafodaLista"/>
        <w:widowControl w:val="0"/>
        <w:tabs>
          <w:tab w:val="left" w:pos="810"/>
        </w:tabs>
        <w:autoSpaceDE w:val="0"/>
        <w:autoSpaceDN w:val="0"/>
        <w:spacing w:after="0" w:line="240" w:lineRule="auto"/>
        <w:ind w:left="102" w:right="115"/>
        <w:contextualSpacing w:val="0"/>
        <w:jc w:val="both"/>
        <w:rPr>
          <w:rFonts w:ascii="Garamond" w:hAnsi="Garamond"/>
          <w:sz w:val="24"/>
          <w:szCs w:val="24"/>
        </w:rPr>
      </w:pPr>
    </w:p>
    <w:p w14:paraId="35A55DE8" w14:textId="4E7B4DCE" w:rsidR="0013285C" w:rsidRPr="00395593" w:rsidRDefault="0013285C" w:rsidP="002C4340">
      <w:pPr>
        <w:pStyle w:val="PargrafodaLista"/>
        <w:widowControl w:val="0"/>
        <w:numPr>
          <w:ilvl w:val="0"/>
          <w:numId w:val="16"/>
        </w:numPr>
        <w:tabs>
          <w:tab w:val="left" w:pos="810"/>
        </w:tabs>
        <w:autoSpaceDE w:val="0"/>
        <w:autoSpaceDN w:val="0"/>
        <w:spacing w:before="1" w:after="0" w:line="240" w:lineRule="auto"/>
        <w:ind w:right="120" w:firstLine="0"/>
        <w:contextualSpacing w:val="0"/>
        <w:jc w:val="both"/>
        <w:rPr>
          <w:rFonts w:ascii="Garamond" w:hAnsi="Garamond"/>
          <w:sz w:val="23"/>
          <w:szCs w:val="23"/>
        </w:rPr>
      </w:pPr>
      <w:r w:rsidRPr="00395593">
        <w:rPr>
          <w:rFonts w:ascii="Garamond" w:hAnsi="Garamond"/>
          <w:sz w:val="24"/>
          <w:szCs w:val="24"/>
        </w:rPr>
        <w:t>As autoridades de um Membro importador poderão requerer a qualquer tempo do</w:t>
      </w:r>
      <w:r w:rsidRPr="00395593">
        <w:rPr>
          <w:rFonts w:ascii="Garamond" w:hAnsi="Garamond"/>
          <w:spacing w:val="1"/>
          <w:sz w:val="24"/>
          <w:szCs w:val="24"/>
        </w:rPr>
        <w:t xml:space="preserve"> </w:t>
      </w:r>
      <w:r w:rsidRPr="00395593">
        <w:rPr>
          <w:rFonts w:ascii="Garamond" w:hAnsi="Garamond"/>
          <w:sz w:val="24"/>
          <w:szCs w:val="24"/>
        </w:rPr>
        <w:t>exportador com o qual se estabeleceu um compromisso sobre preços que o mesmo forneça</w:t>
      </w:r>
      <w:r w:rsidRPr="00395593">
        <w:rPr>
          <w:rFonts w:ascii="Garamond" w:hAnsi="Garamond"/>
          <w:spacing w:val="1"/>
          <w:sz w:val="24"/>
          <w:szCs w:val="24"/>
        </w:rPr>
        <w:t xml:space="preserve"> </w:t>
      </w:r>
      <w:r w:rsidRPr="00395593">
        <w:rPr>
          <w:rFonts w:ascii="Garamond" w:hAnsi="Garamond"/>
          <w:sz w:val="24"/>
          <w:szCs w:val="24"/>
        </w:rPr>
        <w:t>periodicamente</w:t>
      </w:r>
      <w:r w:rsidRPr="00395593">
        <w:rPr>
          <w:rFonts w:ascii="Garamond" w:hAnsi="Garamond"/>
          <w:spacing w:val="1"/>
          <w:sz w:val="24"/>
          <w:szCs w:val="24"/>
        </w:rPr>
        <w:t xml:space="preserve"> </w:t>
      </w:r>
      <w:r w:rsidRPr="00395593">
        <w:rPr>
          <w:rFonts w:ascii="Garamond" w:hAnsi="Garamond"/>
          <w:sz w:val="24"/>
          <w:szCs w:val="24"/>
        </w:rPr>
        <w:t>informação</w:t>
      </w:r>
      <w:r w:rsidRPr="00395593">
        <w:rPr>
          <w:rFonts w:ascii="Garamond" w:hAnsi="Garamond"/>
          <w:spacing w:val="1"/>
          <w:sz w:val="24"/>
          <w:szCs w:val="24"/>
        </w:rPr>
        <w:t xml:space="preserve"> </w:t>
      </w:r>
      <w:r w:rsidRPr="00395593">
        <w:rPr>
          <w:rFonts w:ascii="Garamond" w:hAnsi="Garamond"/>
          <w:sz w:val="24"/>
          <w:szCs w:val="24"/>
        </w:rPr>
        <w:t>relativa</w:t>
      </w:r>
      <w:r w:rsidRPr="00395593">
        <w:rPr>
          <w:rFonts w:ascii="Garamond" w:hAnsi="Garamond"/>
          <w:spacing w:val="1"/>
          <w:sz w:val="24"/>
          <w:szCs w:val="24"/>
        </w:rPr>
        <w:t xml:space="preserve"> </w:t>
      </w:r>
      <w:r w:rsidRPr="00395593">
        <w:rPr>
          <w:rFonts w:ascii="Garamond" w:hAnsi="Garamond"/>
          <w:sz w:val="24"/>
          <w:szCs w:val="24"/>
        </w:rPr>
        <w:t>ao</w:t>
      </w:r>
      <w:r w:rsidRPr="00395593">
        <w:rPr>
          <w:rFonts w:ascii="Garamond" w:hAnsi="Garamond"/>
          <w:spacing w:val="1"/>
          <w:sz w:val="24"/>
          <w:szCs w:val="24"/>
        </w:rPr>
        <w:t xml:space="preserve"> </w:t>
      </w:r>
      <w:r w:rsidRPr="00395593">
        <w:rPr>
          <w:rFonts w:ascii="Garamond" w:hAnsi="Garamond"/>
          <w:sz w:val="24"/>
          <w:szCs w:val="24"/>
        </w:rPr>
        <w:t>cumprimento</w:t>
      </w:r>
      <w:r w:rsidRPr="00395593">
        <w:rPr>
          <w:rFonts w:ascii="Garamond" w:hAnsi="Garamond"/>
          <w:spacing w:val="1"/>
          <w:sz w:val="24"/>
          <w:szCs w:val="24"/>
        </w:rPr>
        <w:t xml:space="preserve"> </w:t>
      </w:r>
      <w:r w:rsidRPr="00395593">
        <w:rPr>
          <w:rFonts w:ascii="Garamond" w:hAnsi="Garamond"/>
          <w:sz w:val="24"/>
          <w:szCs w:val="24"/>
        </w:rPr>
        <w:t>do</w:t>
      </w:r>
      <w:r w:rsidRPr="00395593">
        <w:rPr>
          <w:rFonts w:ascii="Garamond" w:hAnsi="Garamond"/>
          <w:spacing w:val="1"/>
          <w:sz w:val="24"/>
          <w:szCs w:val="24"/>
        </w:rPr>
        <w:t xml:space="preserve"> </w:t>
      </w:r>
      <w:r w:rsidRPr="00395593">
        <w:rPr>
          <w:rFonts w:ascii="Garamond" w:hAnsi="Garamond"/>
          <w:sz w:val="24"/>
          <w:szCs w:val="24"/>
        </w:rPr>
        <w:t>compromisso</w:t>
      </w:r>
      <w:r w:rsidRPr="00395593">
        <w:rPr>
          <w:rFonts w:ascii="Garamond" w:hAnsi="Garamond"/>
          <w:spacing w:val="1"/>
          <w:sz w:val="24"/>
          <w:szCs w:val="24"/>
        </w:rPr>
        <w:t xml:space="preserve"> </w:t>
      </w:r>
      <w:r w:rsidRPr="00395593">
        <w:rPr>
          <w:rFonts w:ascii="Garamond" w:hAnsi="Garamond"/>
          <w:sz w:val="24"/>
          <w:szCs w:val="24"/>
        </w:rPr>
        <w:t>e</w:t>
      </w:r>
      <w:r w:rsidRPr="00395593">
        <w:rPr>
          <w:rFonts w:ascii="Garamond" w:hAnsi="Garamond"/>
          <w:spacing w:val="1"/>
          <w:sz w:val="24"/>
          <w:szCs w:val="24"/>
        </w:rPr>
        <w:t xml:space="preserve"> </w:t>
      </w:r>
      <w:r w:rsidRPr="00395593">
        <w:rPr>
          <w:rFonts w:ascii="Garamond" w:hAnsi="Garamond"/>
          <w:sz w:val="24"/>
          <w:szCs w:val="24"/>
        </w:rPr>
        <w:t>que</w:t>
      </w:r>
      <w:r w:rsidRPr="00395593">
        <w:rPr>
          <w:rFonts w:ascii="Garamond" w:hAnsi="Garamond"/>
          <w:spacing w:val="1"/>
          <w:sz w:val="24"/>
          <w:szCs w:val="24"/>
        </w:rPr>
        <w:t xml:space="preserve"> </w:t>
      </w:r>
      <w:r w:rsidRPr="00395593">
        <w:rPr>
          <w:rFonts w:ascii="Garamond" w:hAnsi="Garamond"/>
          <w:sz w:val="24"/>
          <w:szCs w:val="24"/>
        </w:rPr>
        <w:t>permita</w:t>
      </w:r>
      <w:r w:rsidRPr="00395593">
        <w:rPr>
          <w:rFonts w:ascii="Garamond" w:hAnsi="Garamond"/>
          <w:spacing w:val="1"/>
          <w:sz w:val="24"/>
          <w:szCs w:val="24"/>
        </w:rPr>
        <w:t xml:space="preserve"> </w:t>
      </w:r>
      <w:r w:rsidRPr="00395593">
        <w:rPr>
          <w:rFonts w:ascii="Garamond" w:hAnsi="Garamond"/>
          <w:sz w:val="24"/>
          <w:szCs w:val="24"/>
        </w:rPr>
        <w:t>verificação dos dados pertinentes. No caso de violação de compromisso, as autoridades do</w:t>
      </w:r>
      <w:r w:rsidRPr="00395593">
        <w:rPr>
          <w:rFonts w:ascii="Garamond" w:hAnsi="Garamond"/>
          <w:spacing w:val="1"/>
          <w:sz w:val="24"/>
          <w:szCs w:val="24"/>
        </w:rPr>
        <w:t xml:space="preserve"> </w:t>
      </w:r>
      <w:r w:rsidRPr="00395593">
        <w:rPr>
          <w:rFonts w:ascii="Garamond" w:hAnsi="Garamond"/>
          <w:sz w:val="24"/>
          <w:szCs w:val="24"/>
        </w:rPr>
        <w:t>Membro</w:t>
      </w:r>
      <w:r w:rsidRPr="00395593">
        <w:rPr>
          <w:rFonts w:ascii="Garamond" w:hAnsi="Garamond"/>
          <w:spacing w:val="44"/>
          <w:sz w:val="24"/>
          <w:szCs w:val="24"/>
        </w:rPr>
        <w:t xml:space="preserve"> </w:t>
      </w:r>
      <w:r w:rsidRPr="00395593">
        <w:rPr>
          <w:rFonts w:ascii="Garamond" w:hAnsi="Garamond"/>
          <w:sz w:val="24"/>
          <w:szCs w:val="24"/>
        </w:rPr>
        <w:t>importador</w:t>
      </w:r>
      <w:r w:rsidRPr="00395593">
        <w:rPr>
          <w:rFonts w:ascii="Garamond" w:hAnsi="Garamond"/>
          <w:spacing w:val="43"/>
          <w:sz w:val="24"/>
          <w:szCs w:val="24"/>
        </w:rPr>
        <w:t xml:space="preserve"> </w:t>
      </w:r>
      <w:r w:rsidRPr="00395593">
        <w:rPr>
          <w:rFonts w:ascii="Garamond" w:hAnsi="Garamond"/>
          <w:sz w:val="24"/>
          <w:szCs w:val="24"/>
        </w:rPr>
        <w:t>poderão,</w:t>
      </w:r>
      <w:r w:rsidRPr="00395593">
        <w:rPr>
          <w:rFonts w:ascii="Garamond" w:hAnsi="Garamond"/>
          <w:spacing w:val="45"/>
          <w:sz w:val="24"/>
          <w:szCs w:val="24"/>
        </w:rPr>
        <w:t xml:space="preserve"> </w:t>
      </w:r>
      <w:r w:rsidRPr="00395593">
        <w:rPr>
          <w:rFonts w:ascii="Garamond" w:hAnsi="Garamond"/>
          <w:sz w:val="24"/>
          <w:szCs w:val="24"/>
        </w:rPr>
        <w:t>por</w:t>
      </w:r>
      <w:r w:rsidRPr="00395593">
        <w:rPr>
          <w:rFonts w:ascii="Garamond" w:hAnsi="Garamond"/>
          <w:spacing w:val="43"/>
          <w:sz w:val="24"/>
          <w:szCs w:val="24"/>
        </w:rPr>
        <w:t xml:space="preserve"> </w:t>
      </w:r>
      <w:r w:rsidRPr="00395593">
        <w:rPr>
          <w:rFonts w:ascii="Garamond" w:hAnsi="Garamond"/>
          <w:sz w:val="24"/>
          <w:szCs w:val="24"/>
        </w:rPr>
        <w:t>força</w:t>
      </w:r>
      <w:r w:rsidRPr="00395593">
        <w:rPr>
          <w:rFonts w:ascii="Garamond" w:hAnsi="Garamond"/>
          <w:spacing w:val="45"/>
          <w:sz w:val="24"/>
          <w:szCs w:val="24"/>
        </w:rPr>
        <w:t xml:space="preserve"> </w:t>
      </w:r>
      <w:r w:rsidRPr="00395593">
        <w:rPr>
          <w:rFonts w:ascii="Garamond" w:hAnsi="Garamond"/>
          <w:sz w:val="24"/>
          <w:szCs w:val="24"/>
        </w:rPr>
        <w:t>do</w:t>
      </w:r>
      <w:r w:rsidRPr="00395593">
        <w:rPr>
          <w:rFonts w:ascii="Garamond" w:hAnsi="Garamond"/>
          <w:spacing w:val="45"/>
          <w:sz w:val="24"/>
          <w:szCs w:val="24"/>
        </w:rPr>
        <w:t xml:space="preserve"> </w:t>
      </w:r>
      <w:r w:rsidRPr="00395593">
        <w:rPr>
          <w:rFonts w:ascii="Garamond" w:hAnsi="Garamond"/>
          <w:sz w:val="24"/>
          <w:szCs w:val="24"/>
        </w:rPr>
        <w:t>presente</w:t>
      </w:r>
      <w:r w:rsidRPr="00395593">
        <w:rPr>
          <w:rFonts w:ascii="Garamond" w:hAnsi="Garamond"/>
          <w:spacing w:val="43"/>
          <w:sz w:val="24"/>
          <w:szCs w:val="24"/>
        </w:rPr>
        <w:t xml:space="preserve"> </w:t>
      </w:r>
      <w:r w:rsidRPr="00395593">
        <w:rPr>
          <w:rFonts w:ascii="Garamond" w:hAnsi="Garamond"/>
          <w:sz w:val="24"/>
          <w:szCs w:val="24"/>
        </w:rPr>
        <w:t>Acordo</w:t>
      </w:r>
      <w:r w:rsidRPr="00395593">
        <w:rPr>
          <w:rFonts w:ascii="Garamond" w:hAnsi="Garamond"/>
          <w:spacing w:val="43"/>
          <w:sz w:val="24"/>
          <w:szCs w:val="24"/>
        </w:rPr>
        <w:t xml:space="preserve"> </w:t>
      </w:r>
      <w:r w:rsidRPr="00395593">
        <w:rPr>
          <w:rFonts w:ascii="Garamond" w:hAnsi="Garamond"/>
          <w:sz w:val="24"/>
          <w:szCs w:val="24"/>
        </w:rPr>
        <w:t>e</w:t>
      </w:r>
      <w:r w:rsidRPr="00395593">
        <w:rPr>
          <w:rFonts w:ascii="Garamond" w:hAnsi="Garamond"/>
          <w:spacing w:val="46"/>
          <w:sz w:val="24"/>
          <w:szCs w:val="24"/>
        </w:rPr>
        <w:t xml:space="preserve"> </w:t>
      </w:r>
      <w:r w:rsidRPr="00395593">
        <w:rPr>
          <w:rFonts w:ascii="Garamond" w:hAnsi="Garamond"/>
          <w:sz w:val="24"/>
          <w:szCs w:val="24"/>
        </w:rPr>
        <w:t>em</w:t>
      </w:r>
      <w:r w:rsidRPr="00395593">
        <w:rPr>
          <w:rFonts w:ascii="Garamond" w:hAnsi="Garamond"/>
          <w:spacing w:val="44"/>
          <w:sz w:val="24"/>
          <w:szCs w:val="24"/>
        </w:rPr>
        <w:t xml:space="preserve"> </w:t>
      </w:r>
      <w:r w:rsidRPr="00395593">
        <w:rPr>
          <w:rFonts w:ascii="Garamond" w:hAnsi="Garamond"/>
          <w:sz w:val="24"/>
          <w:szCs w:val="24"/>
        </w:rPr>
        <w:t>conformidade</w:t>
      </w:r>
      <w:r w:rsidRPr="00395593">
        <w:rPr>
          <w:rFonts w:ascii="Garamond" w:hAnsi="Garamond"/>
          <w:spacing w:val="45"/>
          <w:sz w:val="24"/>
          <w:szCs w:val="24"/>
        </w:rPr>
        <w:t xml:space="preserve"> </w:t>
      </w:r>
      <w:r w:rsidRPr="00395593">
        <w:rPr>
          <w:rFonts w:ascii="Garamond" w:hAnsi="Garamond"/>
          <w:sz w:val="24"/>
          <w:szCs w:val="24"/>
        </w:rPr>
        <w:t>com</w:t>
      </w:r>
      <w:r w:rsidRPr="00395593">
        <w:rPr>
          <w:rFonts w:ascii="Garamond" w:hAnsi="Garamond"/>
          <w:spacing w:val="45"/>
          <w:sz w:val="24"/>
          <w:szCs w:val="24"/>
        </w:rPr>
        <w:t xml:space="preserve"> </w:t>
      </w:r>
      <w:r w:rsidRPr="00395593">
        <w:rPr>
          <w:rFonts w:ascii="Garamond" w:hAnsi="Garamond"/>
          <w:sz w:val="24"/>
          <w:szCs w:val="24"/>
        </w:rPr>
        <w:t>o</w:t>
      </w:r>
    </w:p>
    <w:p w14:paraId="6B64AC5A" w14:textId="77777777" w:rsidR="00716B33" w:rsidRPr="00395593" w:rsidRDefault="00716B33" w:rsidP="00716B33">
      <w:pPr>
        <w:pStyle w:val="PargrafodaLista"/>
        <w:widowControl w:val="0"/>
        <w:tabs>
          <w:tab w:val="left" w:pos="810"/>
        </w:tabs>
        <w:autoSpaceDE w:val="0"/>
        <w:autoSpaceDN w:val="0"/>
        <w:spacing w:before="1" w:after="0" w:line="240" w:lineRule="auto"/>
        <w:ind w:left="102" w:right="120"/>
        <w:contextualSpacing w:val="0"/>
        <w:jc w:val="both"/>
        <w:rPr>
          <w:rFonts w:ascii="Garamond" w:hAnsi="Garamond"/>
          <w:sz w:val="24"/>
        </w:rPr>
      </w:pPr>
    </w:p>
    <w:p w14:paraId="751BAD2E" w14:textId="77777777" w:rsidR="00B273F2" w:rsidRDefault="00B273F2" w:rsidP="0013285C">
      <w:pPr>
        <w:pStyle w:val="Corpodetexto"/>
        <w:rPr>
          <w:rFonts w:ascii="Garamond" w:hAnsi="Garamond"/>
          <w:sz w:val="23"/>
        </w:rPr>
      </w:pPr>
    </w:p>
    <w:p w14:paraId="24106EEA" w14:textId="10E9D1A0" w:rsidR="0013285C" w:rsidRPr="00395593" w:rsidRDefault="0013285C" w:rsidP="0013285C">
      <w:pPr>
        <w:pStyle w:val="Corpodetexto"/>
        <w:rPr>
          <w:rFonts w:ascii="Garamond" w:hAnsi="Garamond"/>
          <w:sz w:val="23"/>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46" behindDoc="1" locked="0" layoutInCell="1" allowOverlap="1" wp14:anchorId="6A5E1C73" wp14:editId="5DC9E94D">
                <wp:simplePos x="0" y="0"/>
                <wp:positionH relativeFrom="page">
                  <wp:posOffset>1080770</wp:posOffset>
                </wp:positionH>
                <wp:positionV relativeFrom="paragraph">
                  <wp:posOffset>183515</wp:posOffset>
                </wp:positionV>
                <wp:extent cx="1828800" cy="7620"/>
                <wp:effectExtent l="4445" t="0" r="0" b="3175"/>
                <wp:wrapTopAndBottom/>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117BE" id="Retângulo 11" o:spid="_x0000_s1026" style="position:absolute;margin-left:85.1pt;margin-top:14.45pt;width:2in;height:.6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" fillcolor="black" stroked="f">
                <w10:wrap type="topAndBottom" anchorx="page"/>
              </v:rect>
            </w:pict>
          </mc:Fallback>
        </mc:AlternateContent>
      </w:r>
    </w:p>
    <w:p w14:paraId="257BD47C" w14:textId="5B830349" w:rsidR="00716B33" w:rsidRPr="00395593" w:rsidRDefault="0013285C" w:rsidP="0013285C">
      <w:pPr>
        <w:spacing w:before="103"/>
        <w:ind w:left="102"/>
        <w:rPr>
          <w:rFonts w:ascii="Garamond" w:hAnsi="Garamond"/>
          <w:sz w:val="20"/>
        </w:rPr>
      </w:pPr>
      <w:r w:rsidRPr="00395593">
        <w:rPr>
          <w:rFonts w:ascii="Garamond" w:hAnsi="Garamond"/>
          <w:sz w:val="20"/>
          <w:vertAlign w:val="superscript"/>
        </w:rPr>
        <w:t>19</w:t>
      </w:r>
      <w:r w:rsidRPr="00395593">
        <w:rPr>
          <w:rFonts w:ascii="Garamond" w:hAnsi="Garamond"/>
          <w:spacing w:val="-3"/>
          <w:sz w:val="20"/>
        </w:rPr>
        <w:t xml:space="preserve"> </w:t>
      </w:r>
      <w:r w:rsidRPr="00395593">
        <w:rPr>
          <w:rFonts w:ascii="Garamond" w:hAnsi="Garamond"/>
          <w:sz w:val="20"/>
        </w:rPr>
        <w:t>Não</w:t>
      </w:r>
      <w:r w:rsidRPr="00395593">
        <w:rPr>
          <w:rFonts w:ascii="Garamond" w:hAnsi="Garamond"/>
          <w:spacing w:val="-1"/>
          <w:sz w:val="20"/>
        </w:rPr>
        <w:t xml:space="preserve"> </w:t>
      </w:r>
      <w:r w:rsidRPr="00395593">
        <w:rPr>
          <w:rFonts w:ascii="Garamond" w:hAnsi="Garamond"/>
          <w:sz w:val="20"/>
        </w:rPr>
        <w:t>se</w:t>
      </w:r>
      <w:r w:rsidRPr="00395593">
        <w:rPr>
          <w:rFonts w:ascii="Garamond" w:hAnsi="Garamond"/>
          <w:spacing w:val="-3"/>
          <w:sz w:val="20"/>
        </w:rPr>
        <w:t xml:space="preserve"> </w:t>
      </w:r>
      <w:r w:rsidRPr="00395593">
        <w:rPr>
          <w:rFonts w:ascii="Garamond" w:hAnsi="Garamond"/>
          <w:sz w:val="20"/>
        </w:rPr>
        <w:t>deverá</w:t>
      </w:r>
      <w:r w:rsidRPr="00395593">
        <w:rPr>
          <w:rFonts w:ascii="Garamond" w:hAnsi="Garamond"/>
          <w:spacing w:val="-2"/>
          <w:sz w:val="20"/>
        </w:rPr>
        <w:t xml:space="preserve"> </w:t>
      </w:r>
      <w:r w:rsidRPr="00395593">
        <w:rPr>
          <w:rFonts w:ascii="Garamond" w:hAnsi="Garamond"/>
          <w:sz w:val="20"/>
        </w:rPr>
        <w:t>interpretar</w:t>
      </w:r>
      <w:r w:rsidRPr="00395593">
        <w:rPr>
          <w:rFonts w:ascii="Garamond" w:hAnsi="Garamond"/>
          <w:spacing w:val="-2"/>
          <w:sz w:val="20"/>
        </w:rPr>
        <w:t xml:space="preserve"> </w:t>
      </w:r>
      <w:r w:rsidRPr="00395593">
        <w:rPr>
          <w:rFonts w:ascii="Garamond" w:hAnsi="Garamond"/>
          <w:sz w:val="20"/>
        </w:rPr>
        <w:t>a</w:t>
      </w:r>
      <w:r w:rsidRPr="00395593">
        <w:rPr>
          <w:rFonts w:ascii="Garamond" w:hAnsi="Garamond"/>
          <w:spacing w:val="-2"/>
          <w:sz w:val="20"/>
        </w:rPr>
        <w:t xml:space="preserve"> </w:t>
      </w:r>
      <w:r w:rsidRPr="00395593">
        <w:rPr>
          <w:rFonts w:ascii="Garamond" w:hAnsi="Garamond"/>
          <w:sz w:val="20"/>
        </w:rPr>
        <w:t>palavra</w:t>
      </w:r>
      <w:r w:rsidRPr="00395593">
        <w:rPr>
          <w:rFonts w:ascii="Garamond" w:hAnsi="Garamond"/>
          <w:spacing w:val="-2"/>
          <w:sz w:val="20"/>
        </w:rPr>
        <w:t xml:space="preserve"> </w:t>
      </w:r>
      <w:r w:rsidRPr="00395593">
        <w:rPr>
          <w:rFonts w:ascii="Garamond" w:hAnsi="Garamond"/>
          <w:sz w:val="20"/>
        </w:rPr>
        <w:t>“poderão”</w:t>
      </w:r>
      <w:r w:rsidRPr="00395593">
        <w:rPr>
          <w:rFonts w:ascii="Garamond" w:hAnsi="Garamond"/>
          <w:spacing w:val="-3"/>
          <w:sz w:val="20"/>
        </w:rPr>
        <w:t xml:space="preserve"> </w:t>
      </w:r>
      <w:r w:rsidRPr="00395593">
        <w:rPr>
          <w:rFonts w:ascii="Garamond" w:hAnsi="Garamond"/>
          <w:sz w:val="20"/>
        </w:rPr>
        <w:t>no</w:t>
      </w:r>
      <w:r w:rsidRPr="00395593">
        <w:rPr>
          <w:rFonts w:ascii="Garamond" w:hAnsi="Garamond"/>
          <w:spacing w:val="-1"/>
          <w:sz w:val="20"/>
        </w:rPr>
        <w:t xml:space="preserve"> </w:t>
      </w:r>
      <w:r w:rsidRPr="00395593">
        <w:rPr>
          <w:rFonts w:ascii="Garamond" w:hAnsi="Garamond"/>
          <w:sz w:val="20"/>
        </w:rPr>
        <w:t>sentido</w:t>
      </w:r>
      <w:r w:rsidRPr="00395593">
        <w:rPr>
          <w:rFonts w:ascii="Garamond" w:hAnsi="Garamond"/>
          <w:spacing w:val="-2"/>
          <w:sz w:val="20"/>
        </w:rPr>
        <w:t xml:space="preserve"> </w:t>
      </w:r>
      <w:r w:rsidRPr="00395593">
        <w:rPr>
          <w:rFonts w:ascii="Garamond" w:hAnsi="Garamond"/>
          <w:sz w:val="20"/>
        </w:rPr>
        <w:t>de</w:t>
      </w:r>
      <w:r w:rsidRPr="00395593">
        <w:rPr>
          <w:rFonts w:ascii="Garamond" w:hAnsi="Garamond"/>
          <w:spacing w:val="-2"/>
          <w:sz w:val="20"/>
        </w:rPr>
        <w:t xml:space="preserve"> </w:t>
      </w:r>
      <w:r w:rsidRPr="00395593">
        <w:rPr>
          <w:rFonts w:ascii="Garamond" w:hAnsi="Garamond"/>
          <w:sz w:val="20"/>
        </w:rPr>
        <w:t>ser</w:t>
      </w:r>
      <w:r w:rsidRPr="00395593">
        <w:rPr>
          <w:rFonts w:ascii="Garamond" w:hAnsi="Garamond"/>
          <w:spacing w:val="-2"/>
          <w:sz w:val="20"/>
        </w:rPr>
        <w:t xml:space="preserve"> </w:t>
      </w:r>
      <w:r w:rsidRPr="00395593">
        <w:rPr>
          <w:rFonts w:ascii="Garamond" w:hAnsi="Garamond"/>
          <w:sz w:val="20"/>
        </w:rPr>
        <w:t>permitida</w:t>
      </w:r>
      <w:r w:rsidRPr="00395593">
        <w:rPr>
          <w:rFonts w:ascii="Garamond" w:hAnsi="Garamond"/>
          <w:spacing w:val="-2"/>
          <w:sz w:val="20"/>
        </w:rPr>
        <w:t xml:space="preserve"> </w:t>
      </w:r>
      <w:r w:rsidRPr="00395593">
        <w:rPr>
          <w:rFonts w:ascii="Garamond" w:hAnsi="Garamond"/>
          <w:sz w:val="20"/>
        </w:rPr>
        <w:t>a</w:t>
      </w:r>
      <w:r w:rsidRPr="00395593">
        <w:rPr>
          <w:rFonts w:ascii="Garamond" w:hAnsi="Garamond"/>
          <w:spacing w:val="-2"/>
          <w:sz w:val="20"/>
        </w:rPr>
        <w:t xml:space="preserve"> </w:t>
      </w:r>
      <w:r w:rsidRPr="00395593">
        <w:rPr>
          <w:rFonts w:ascii="Garamond" w:hAnsi="Garamond"/>
          <w:sz w:val="20"/>
        </w:rPr>
        <w:t>continuação</w:t>
      </w:r>
      <w:r w:rsidRPr="00395593">
        <w:rPr>
          <w:rFonts w:ascii="Garamond" w:hAnsi="Garamond"/>
          <w:spacing w:val="-2"/>
          <w:sz w:val="20"/>
        </w:rPr>
        <w:t xml:space="preserve"> </w:t>
      </w:r>
      <w:r w:rsidRPr="00395593">
        <w:rPr>
          <w:rFonts w:ascii="Garamond" w:hAnsi="Garamond"/>
          <w:sz w:val="20"/>
        </w:rPr>
        <w:t>dos</w:t>
      </w:r>
      <w:r w:rsidRPr="00395593">
        <w:rPr>
          <w:rFonts w:ascii="Garamond" w:hAnsi="Garamond"/>
          <w:spacing w:val="-3"/>
          <w:sz w:val="20"/>
        </w:rPr>
        <w:t xml:space="preserve"> </w:t>
      </w:r>
      <w:r w:rsidRPr="00395593">
        <w:rPr>
          <w:rFonts w:ascii="Garamond" w:hAnsi="Garamond"/>
          <w:sz w:val="20"/>
        </w:rPr>
        <w:t>procedimentos</w:t>
      </w:r>
      <w:r w:rsidRPr="00395593">
        <w:rPr>
          <w:rFonts w:ascii="Garamond" w:hAnsi="Garamond"/>
          <w:spacing w:val="-47"/>
          <w:sz w:val="20"/>
        </w:rPr>
        <w:t xml:space="preserve"> </w:t>
      </w:r>
      <w:r w:rsidRPr="00395593">
        <w:rPr>
          <w:rFonts w:ascii="Garamond" w:hAnsi="Garamond"/>
          <w:sz w:val="20"/>
        </w:rPr>
        <w:t>simultaneamente</w:t>
      </w:r>
      <w:r w:rsidRPr="00395593">
        <w:rPr>
          <w:rFonts w:ascii="Garamond" w:hAnsi="Garamond"/>
          <w:spacing w:val="-2"/>
          <w:sz w:val="20"/>
        </w:rPr>
        <w:t xml:space="preserve"> </w:t>
      </w:r>
      <w:r w:rsidRPr="00395593">
        <w:rPr>
          <w:rFonts w:ascii="Garamond" w:hAnsi="Garamond"/>
          <w:sz w:val="20"/>
        </w:rPr>
        <w:t>à</w:t>
      </w:r>
      <w:r w:rsidRPr="00395593">
        <w:rPr>
          <w:rFonts w:ascii="Garamond" w:hAnsi="Garamond"/>
          <w:spacing w:val="-2"/>
          <w:sz w:val="20"/>
        </w:rPr>
        <w:t xml:space="preserve"> </w:t>
      </w:r>
      <w:r w:rsidRPr="00395593">
        <w:rPr>
          <w:rFonts w:ascii="Garamond" w:hAnsi="Garamond"/>
          <w:sz w:val="20"/>
        </w:rPr>
        <w:t>implementação</w:t>
      </w:r>
      <w:r w:rsidRPr="00395593">
        <w:rPr>
          <w:rFonts w:ascii="Garamond" w:hAnsi="Garamond"/>
          <w:spacing w:val="-1"/>
          <w:sz w:val="20"/>
        </w:rPr>
        <w:t xml:space="preserve"> </w:t>
      </w:r>
      <w:r w:rsidRPr="00395593">
        <w:rPr>
          <w:rFonts w:ascii="Garamond" w:hAnsi="Garamond"/>
          <w:sz w:val="20"/>
        </w:rPr>
        <w:t>do</w:t>
      </w:r>
      <w:r w:rsidRPr="00395593">
        <w:rPr>
          <w:rFonts w:ascii="Garamond" w:hAnsi="Garamond"/>
          <w:spacing w:val="-1"/>
          <w:sz w:val="20"/>
        </w:rPr>
        <w:t xml:space="preserve"> </w:t>
      </w:r>
      <w:r w:rsidRPr="00395593">
        <w:rPr>
          <w:rFonts w:ascii="Garamond" w:hAnsi="Garamond"/>
          <w:sz w:val="20"/>
        </w:rPr>
        <w:t>compromisso</w:t>
      </w:r>
      <w:r w:rsidRPr="00395593">
        <w:rPr>
          <w:rFonts w:ascii="Garamond" w:hAnsi="Garamond"/>
          <w:spacing w:val="-1"/>
          <w:sz w:val="20"/>
        </w:rPr>
        <w:t xml:space="preserve"> </w:t>
      </w:r>
      <w:r w:rsidRPr="00395593">
        <w:rPr>
          <w:rFonts w:ascii="Garamond" w:hAnsi="Garamond"/>
          <w:sz w:val="20"/>
        </w:rPr>
        <w:t>sobre</w:t>
      </w:r>
      <w:r w:rsidRPr="00395593">
        <w:rPr>
          <w:rFonts w:ascii="Garamond" w:hAnsi="Garamond"/>
          <w:spacing w:val="-1"/>
          <w:sz w:val="20"/>
        </w:rPr>
        <w:t xml:space="preserve"> </w:t>
      </w:r>
      <w:r w:rsidRPr="00395593">
        <w:rPr>
          <w:rFonts w:ascii="Garamond" w:hAnsi="Garamond"/>
          <w:sz w:val="20"/>
        </w:rPr>
        <w:t>o</w:t>
      </w:r>
      <w:r w:rsidRPr="00395593">
        <w:rPr>
          <w:rFonts w:ascii="Garamond" w:hAnsi="Garamond"/>
          <w:spacing w:val="-3"/>
          <w:sz w:val="20"/>
        </w:rPr>
        <w:t xml:space="preserve"> </w:t>
      </w:r>
      <w:r w:rsidRPr="00395593">
        <w:rPr>
          <w:rFonts w:ascii="Garamond" w:hAnsi="Garamond"/>
          <w:sz w:val="20"/>
        </w:rPr>
        <w:t>preço,</w:t>
      </w:r>
      <w:r w:rsidRPr="00395593">
        <w:rPr>
          <w:rFonts w:ascii="Garamond" w:hAnsi="Garamond"/>
          <w:spacing w:val="-2"/>
          <w:sz w:val="20"/>
        </w:rPr>
        <w:t xml:space="preserve"> </w:t>
      </w:r>
      <w:r w:rsidRPr="00395593">
        <w:rPr>
          <w:rFonts w:ascii="Garamond" w:hAnsi="Garamond"/>
          <w:sz w:val="20"/>
        </w:rPr>
        <w:t>com</w:t>
      </w:r>
      <w:r w:rsidRPr="00395593">
        <w:rPr>
          <w:rFonts w:ascii="Garamond" w:hAnsi="Garamond"/>
          <w:spacing w:val="-6"/>
          <w:sz w:val="20"/>
        </w:rPr>
        <w:t xml:space="preserve"> </w:t>
      </w:r>
      <w:r w:rsidRPr="00395593">
        <w:rPr>
          <w:rFonts w:ascii="Garamond" w:hAnsi="Garamond"/>
          <w:sz w:val="20"/>
        </w:rPr>
        <w:t>exceção</w:t>
      </w:r>
      <w:r w:rsidRPr="00395593">
        <w:rPr>
          <w:rFonts w:ascii="Garamond" w:hAnsi="Garamond"/>
          <w:spacing w:val="-1"/>
          <w:sz w:val="20"/>
        </w:rPr>
        <w:t xml:space="preserve"> </w:t>
      </w:r>
      <w:r w:rsidRPr="00395593">
        <w:rPr>
          <w:rFonts w:ascii="Garamond" w:hAnsi="Garamond"/>
          <w:sz w:val="20"/>
        </w:rPr>
        <w:t>do disposto</w:t>
      </w:r>
      <w:r w:rsidRPr="00395593">
        <w:rPr>
          <w:rFonts w:ascii="Garamond" w:hAnsi="Garamond"/>
          <w:spacing w:val="-1"/>
          <w:sz w:val="20"/>
        </w:rPr>
        <w:t xml:space="preserve"> </w:t>
      </w:r>
      <w:r w:rsidRPr="00395593">
        <w:rPr>
          <w:rFonts w:ascii="Garamond" w:hAnsi="Garamond"/>
          <w:sz w:val="20"/>
        </w:rPr>
        <w:t>no</w:t>
      </w:r>
      <w:r w:rsidRPr="00395593">
        <w:rPr>
          <w:rFonts w:ascii="Garamond" w:hAnsi="Garamond"/>
          <w:spacing w:val="-1"/>
          <w:sz w:val="20"/>
        </w:rPr>
        <w:t xml:space="preserve"> </w:t>
      </w:r>
      <w:r w:rsidRPr="00395593">
        <w:rPr>
          <w:rFonts w:ascii="Garamond" w:hAnsi="Garamond"/>
          <w:sz w:val="20"/>
        </w:rPr>
        <w:t>parágrafo</w:t>
      </w:r>
      <w:r w:rsidRPr="00395593">
        <w:rPr>
          <w:rFonts w:ascii="Garamond" w:hAnsi="Garamond"/>
          <w:spacing w:val="-1"/>
          <w:sz w:val="20"/>
        </w:rPr>
        <w:t xml:space="preserve"> </w:t>
      </w:r>
      <w:r w:rsidRPr="00395593">
        <w:rPr>
          <w:rFonts w:ascii="Garamond" w:hAnsi="Garamond"/>
          <w:sz w:val="20"/>
        </w:rPr>
        <w:t>4.</w:t>
      </w:r>
    </w:p>
    <w:p w14:paraId="59E6152F" w14:textId="77777777" w:rsidR="00B273F2" w:rsidRDefault="00B273F2">
      <w:pPr>
        <w:rPr>
          <w:rFonts w:ascii="Garamond" w:eastAsia="Times New Roman" w:hAnsi="Garamond" w:cs="Times New Roman"/>
          <w:sz w:val="24"/>
          <w:szCs w:val="24"/>
        </w:rPr>
      </w:pPr>
      <w:r>
        <w:rPr>
          <w:rFonts w:ascii="Garamond" w:hAnsi="Garamond"/>
        </w:rPr>
        <w:br w:type="page"/>
      </w:r>
    </w:p>
    <w:p w14:paraId="249D0C4C" w14:textId="6950C017" w:rsidR="0013285C" w:rsidRPr="00395593" w:rsidRDefault="0013285C" w:rsidP="0013285C">
      <w:pPr>
        <w:pStyle w:val="Corpodetexto"/>
        <w:spacing w:before="68"/>
        <w:ind w:left="102" w:right="120"/>
        <w:jc w:val="both"/>
        <w:rPr>
          <w:rFonts w:ascii="Garamond" w:hAnsi="Garamond"/>
        </w:rPr>
      </w:pPr>
      <w:r w:rsidRPr="00395593">
        <w:rPr>
          <w:rFonts w:ascii="Garamond" w:hAnsi="Garamond"/>
        </w:rPr>
        <w:t>disposto nele, tomar prontas providências que poderão consistir na imediata aplicação de</w:t>
      </w:r>
      <w:r w:rsidRPr="00395593">
        <w:rPr>
          <w:rFonts w:ascii="Garamond" w:hAnsi="Garamond"/>
          <w:spacing w:val="1"/>
        </w:rPr>
        <w:t xml:space="preserve"> </w:t>
      </w:r>
      <w:r w:rsidRPr="00395593">
        <w:rPr>
          <w:rFonts w:ascii="Garamond" w:hAnsi="Garamond"/>
        </w:rPr>
        <w:t>medidas</w:t>
      </w:r>
      <w:r w:rsidRPr="00395593">
        <w:rPr>
          <w:rFonts w:ascii="Garamond" w:hAnsi="Garamond"/>
          <w:spacing w:val="1"/>
        </w:rPr>
        <w:t xml:space="preserve"> </w:t>
      </w:r>
      <w:r w:rsidRPr="00395593">
        <w:rPr>
          <w:rFonts w:ascii="Garamond" w:hAnsi="Garamond"/>
        </w:rPr>
        <w:t>provisórias</w:t>
      </w:r>
      <w:r w:rsidRPr="00395593">
        <w:rPr>
          <w:rFonts w:ascii="Garamond" w:hAnsi="Garamond"/>
          <w:spacing w:val="1"/>
        </w:rPr>
        <w:t xml:space="preserve"> </w:t>
      </w:r>
      <w:r w:rsidRPr="00395593">
        <w:rPr>
          <w:rFonts w:ascii="Garamond" w:hAnsi="Garamond"/>
        </w:rPr>
        <w:t>apoiadas</w:t>
      </w:r>
      <w:r w:rsidRPr="00395593">
        <w:rPr>
          <w:rFonts w:ascii="Garamond" w:hAnsi="Garamond"/>
          <w:spacing w:val="1"/>
        </w:rPr>
        <w:t xml:space="preserve"> </w:t>
      </w:r>
      <w:r w:rsidRPr="00395593">
        <w:rPr>
          <w:rFonts w:ascii="Garamond" w:hAnsi="Garamond"/>
        </w:rPr>
        <w:t>na</w:t>
      </w:r>
      <w:r w:rsidRPr="00395593">
        <w:rPr>
          <w:rFonts w:ascii="Garamond" w:hAnsi="Garamond"/>
          <w:spacing w:val="1"/>
        </w:rPr>
        <w:t xml:space="preserve"> </w:t>
      </w:r>
      <w:r w:rsidRPr="00395593">
        <w:rPr>
          <w:rFonts w:ascii="Garamond" w:hAnsi="Garamond"/>
        </w:rPr>
        <w:t>melhor</w:t>
      </w:r>
      <w:r w:rsidRPr="00395593">
        <w:rPr>
          <w:rFonts w:ascii="Garamond" w:hAnsi="Garamond"/>
          <w:spacing w:val="1"/>
        </w:rPr>
        <w:t xml:space="preserve"> </w:t>
      </w:r>
      <w:r w:rsidRPr="00395593">
        <w:rPr>
          <w:rFonts w:ascii="Garamond" w:hAnsi="Garamond"/>
        </w:rPr>
        <w:t>informação</w:t>
      </w:r>
      <w:r w:rsidRPr="00395593">
        <w:rPr>
          <w:rFonts w:ascii="Garamond" w:hAnsi="Garamond"/>
          <w:spacing w:val="1"/>
        </w:rPr>
        <w:t xml:space="preserve"> </w:t>
      </w:r>
      <w:r w:rsidRPr="00395593">
        <w:rPr>
          <w:rFonts w:ascii="Garamond" w:hAnsi="Garamond"/>
        </w:rPr>
        <w:t>disponível.</w:t>
      </w:r>
      <w:r w:rsidRPr="00395593">
        <w:rPr>
          <w:rFonts w:ascii="Garamond" w:hAnsi="Garamond"/>
          <w:spacing w:val="1"/>
        </w:rPr>
        <w:t xml:space="preserve"> </w:t>
      </w:r>
      <w:r w:rsidRPr="00395593">
        <w:rPr>
          <w:rFonts w:ascii="Garamond" w:hAnsi="Garamond"/>
        </w:rPr>
        <w:t>Nesses</w:t>
      </w:r>
      <w:r w:rsidRPr="00395593">
        <w:rPr>
          <w:rFonts w:ascii="Garamond" w:hAnsi="Garamond"/>
          <w:spacing w:val="1"/>
        </w:rPr>
        <w:t xml:space="preserve"> </w:t>
      </w:r>
      <w:r w:rsidRPr="00395593">
        <w:rPr>
          <w:rFonts w:ascii="Garamond" w:hAnsi="Garamond"/>
        </w:rPr>
        <w:t>casos,</w:t>
      </w:r>
      <w:r w:rsidRPr="00395593">
        <w:rPr>
          <w:rFonts w:ascii="Garamond" w:hAnsi="Garamond"/>
          <w:spacing w:val="1"/>
        </w:rPr>
        <w:t xml:space="preserve"> </w:t>
      </w:r>
      <w:r w:rsidRPr="00395593">
        <w:rPr>
          <w:rFonts w:ascii="Garamond" w:hAnsi="Garamond"/>
        </w:rPr>
        <w:t>direitos</w:t>
      </w:r>
      <w:r w:rsidRPr="00395593">
        <w:rPr>
          <w:rFonts w:ascii="Garamond" w:hAnsi="Garamond"/>
          <w:spacing w:val="-57"/>
        </w:rPr>
        <w:t xml:space="preserve"> </w:t>
      </w:r>
      <w:r w:rsidRPr="00395593">
        <w:rPr>
          <w:rFonts w:ascii="Garamond" w:hAnsi="Garamond"/>
        </w:rPr>
        <w:t>definitivos poderão ser percebidos, ao abrigo deste Acordo, sobre produtos que tenham</w:t>
      </w:r>
      <w:r w:rsidRPr="00395593">
        <w:rPr>
          <w:rFonts w:ascii="Garamond" w:hAnsi="Garamond"/>
          <w:spacing w:val="1"/>
        </w:rPr>
        <w:t xml:space="preserve"> </w:t>
      </w:r>
      <w:r w:rsidRPr="00395593">
        <w:rPr>
          <w:rFonts w:ascii="Garamond" w:hAnsi="Garamond"/>
        </w:rPr>
        <w:t>entrado para consumo até 90 dias antes da aplicação das referidas medidas provisórias, não</w:t>
      </w:r>
      <w:r w:rsidRPr="00395593">
        <w:rPr>
          <w:rFonts w:ascii="Garamond" w:hAnsi="Garamond"/>
          <w:spacing w:val="1"/>
        </w:rPr>
        <w:t xml:space="preserve"> </w:t>
      </w:r>
      <w:r w:rsidRPr="00395593">
        <w:rPr>
          <w:rFonts w:ascii="Garamond" w:hAnsi="Garamond"/>
        </w:rPr>
        <w:t>podendo essa cobrança retroativa, porém, atingir importações que tenham entrado antes da</w:t>
      </w:r>
      <w:r w:rsidRPr="00395593">
        <w:rPr>
          <w:rFonts w:ascii="Garamond" w:hAnsi="Garamond"/>
          <w:spacing w:val="1"/>
        </w:rPr>
        <w:t xml:space="preserve"> </w:t>
      </w:r>
      <w:r w:rsidRPr="00395593">
        <w:rPr>
          <w:rFonts w:ascii="Garamond" w:hAnsi="Garamond"/>
        </w:rPr>
        <w:t>violação</w:t>
      </w:r>
      <w:r w:rsidRPr="00395593">
        <w:rPr>
          <w:rFonts w:ascii="Garamond" w:hAnsi="Garamond"/>
          <w:spacing w:val="-1"/>
        </w:rPr>
        <w:t xml:space="preserve"> </w:t>
      </w:r>
      <w:r w:rsidRPr="00395593">
        <w:rPr>
          <w:rFonts w:ascii="Garamond" w:hAnsi="Garamond"/>
        </w:rPr>
        <w:t>do compromisso.</w:t>
      </w:r>
    </w:p>
    <w:p w14:paraId="4CBF5A56" w14:textId="77777777" w:rsidR="0013285C" w:rsidRPr="00395593" w:rsidRDefault="0013285C" w:rsidP="005F7A3B">
      <w:pPr>
        <w:pStyle w:val="Corpodetexto"/>
        <w:spacing w:before="230" w:line="360" w:lineRule="auto"/>
        <w:ind w:left="176" w:right="194"/>
        <w:jc w:val="center"/>
        <w:rPr>
          <w:rFonts w:ascii="Garamond" w:hAnsi="Garamond"/>
          <w:b/>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9</w:t>
      </w:r>
    </w:p>
    <w:p w14:paraId="73E221E4" w14:textId="77777777" w:rsidR="0013285C" w:rsidRPr="00395593" w:rsidRDefault="0013285C" w:rsidP="005F7A3B">
      <w:pPr>
        <w:spacing w:line="360" w:lineRule="auto"/>
        <w:ind w:left="176" w:right="192"/>
        <w:jc w:val="center"/>
        <w:rPr>
          <w:rFonts w:ascii="Garamond" w:hAnsi="Garamond"/>
          <w:b/>
          <w:i/>
          <w:sz w:val="24"/>
        </w:rPr>
      </w:pPr>
      <w:r w:rsidRPr="00395593">
        <w:rPr>
          <w:rFonts w:ascii="Garamond" w:hAnsi="Garamond"/>
          <w:b/>
          <w:sz w:val="24"/>
        </w:rPr>
        <w:t>Imposição</w:t>
      </w:r>
      <w:r w:rsidRPr="00395593">
        <w:rPr>
          <w:rFonts w:ascii="Garamond" w:hAnsi="Garamond"/>
          <w:b/>
          <w:spacing w:val="-2"/>
          <w:sz w:val="24"/>
        </w:rPr>
        <w:t xml:space="preserve"> </w:t>
      </w:r>
      <w:r w:rsidRPr="00395593">
        <w:rPr>
          <w:rFonts w:ascii="Garamond" w:hAnsi="Garamond"/>
          <w:b/>
          <w:sz w:val="24"/>
        </w:rPr>
        <w:t>e</w:t>
      </w:r>
      <w:r w:rsidRPr="00395593">
        <w:rPr>
          <w:rFonts w:ascii="Garamond" w:hAnsi="Garamond"/>
          <w:b/>
          <w:spacing w:val="-2"/>
          <w:sz w:val="24"/>
        </w:rPr>
        <w:t xml:space="preserve"> </w:t>
      </w:r>
      <w:r w:rsidRPr="00395593">
        <w:rPr>
          <w:rFonts w:ascii="Garamond" w:hAnsi="Garamond"/>
          <w:b/>
          <w:sz w:val="24"/>
        </w:rPr>
        <w:t>Cobrança</w:t>
      </w:r>
      <w:r w:rsidRPr="00395593">
        <w:rPr>
          <w:rFonts w:ascii="Garamond" w:hAnsi="Garamond"/>
          <w:b/>
          <w:spacing w:val="-2"/>
          <w:sz w:val="24"/>
        </w:rPr>
        <w:t xml:space="preserve"> </w:t>
      </w:r>
      <w:r w:rsidRPr="00395593">
        <w:rPr>
          <w:rFonts w:ascii="Garamond" w:hAnsi="Garamond"/>
          <w:b/>
          <w:sz w:val="24"/>
        </w:rPr>
        <w:t>de Direitos</w:t>
      </w:r>
      <w:r w:rsidRPr="00395593">
        <w:rPr>
          <w:rFonts w:ascii="Garamond" w:hAnsi="Garamond"/>
          <w:b/>
          <w:spacing w:val="2"/>
          <w:sz w:val="24"/>
        </w:rPr>
        <w:t xml:space="preserve"> </w:t>
      </w:r>
      <w:r w:rsidRPr="00395593">
        <w:rPr>
          <w:rFonts w:ascii="Garamond" w:hAnsi="Garamond"/>
          <w:b/>
          <w:i/>
          <w:sz w:val="24"/>
        </w:rPr>
        <w:t>Anti</w:t>
      </w:r>
      <w:r w:rsidRPr="00395593">
        <w:rPr>
          <w:rFonts w:ascii="Garamond" w:hAnsi="Garamond"/>
          <w:b/>
          <w:sz w:val="24"/>
        </w:rPr>
        <w:t>-</w:t>
      </w:r>
      <w:r w:rsidRPr="00395593">
        <w:rPr>
          <w:rFonts w:ascii="Garamond" w:hAnsi="Garamond"/>
          <w:b/>
          <w:i/>
          <w:sz w:val="24"/>
        </w:rPr>
        <w:t>Dumping</w:t>
      </w:r>
    </w:p>
    <w:p w14:paraId="453B2841" w14:textId="77777777" w:rsidR="0013285C" w:rsidRPr="00395593" w:rsidRDefault="0013285C" w:rsidP="0013285C">
      <w:pPr>
        <w:pStyle w:val="Corpodetexto"/>
        <w:spacing w:before="1"/>
        <w:rPr>
          <w:rFonts w:ascii="Garamond" w:hAnsi="Garamond"/>
          <w:i/>
        </w:rPr>
      </w:pPr>
    </w:p>
    <w:p w14:paraId="09842C58" w14:textId="77777777" w:rsidR="0013285C" w:rsidRPr="00395593" w:rsidRDefault="0013285C" w:rsidP="002C4340">
      <w:pPr>
        <w:pStyle w:val="PargrafodaLista"/>
        <w:widowControl w:val="0"/>
        <w:numPr>
          <w:ilvl w:val="0"/>
          <w:numId w:val="15"/>
        </w:numPr>
        <w:tabs>
          <w:tab w:val="left" w:pos="810"/>
        </w:tabs>
        <w:autoSpaceDE w:val="0"/>
        <w:autoSpaceDN w:val="0"/>
        <w:spacing w:after="0" w:line="240" w:lineRule="auto"/>
        <w:ind w:right="118" w:firstLine="0"/>
        <w:contextualSpacing w:val="0"/>
        <w:jc w:val="both"/>
        <w:rPr>
          <w:rFonts w:ascii="Garamond" w:hAnsi="Garamond"/>
          <w:sz w:val="24"/>
        </w:rPr>
      </w:pPr>
      <w:r w:rsidRPr="00395593">
        <w:rPr>
          <w:rFonts w:ascii="Garamond" w:hAnsi="Garamond"/>
          <w:sz w:val="24"/>
        </w:rPr>
        <w:t>São</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competência</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Membro</w:t>
      </w:r>
      <w:r w:rsidRPr="00395593">
        <w:rPr>
          <w:rFonts w:ascii="Garamond" w:hAnsi="Garamond"/>
          <w:spacing w:val="1"/>
          <w:sz w:val="24"/>
        </w:rPr>
        <w:t xml:space="preserve"> </w:t>
      </w:r>
      <w:r w:rsidRPr="00395593">
        <w:rPr>
          <w:rFonts w:ascii="Garamond" w:hAnsi="Garamond"/>
          <w:sz w:val="24"/>
        </w:rPr>
        <w:t>importador</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decisão</w:t>
      </w:r>
      <w:r w:rsidRPr="00395593">
        <w:rPr>
          <w:rFonts w:ascii="Garamond" w:hAnsi="Garamond"/>
          <w:spacing w:val="1"/>
          <w:sz w:val="24"/>
        </w:rPr>
        <w:t xml:space="preserve"> </w:t>
      </w:r>
      <w:r w:rsidRPr="00395593">
        <w:rPr>
          <w:rFonts w:ascii="Garamond" w:hAnsi="Garamond"/>
          <w:sz w:val="24"/>
        </w:rPr>
        <w:t>sobre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58"/>
          <w:sz w:val="24"/>
        </w:rPr>
        <w:t xml:space="preserve"> </w:t>
      </w:r>
      <w:r w:rsidRPr="00395593">
        <w:rPr>
          <w:rFonts w:ascii="Garamond" w:hAnsi="Garamond"/>
          <w:sz w:val="24"/>
        </w:rPr>
        <w:t xml:space="preserve">imposição ou não de direito </w:t>
      </w:r>
      <w:r w:rsidRPr="00395593">
        <w:rPr>
          <w:rFonts w:ascii="Garamond" w:hAnsi="Garamond"/>
          <w:i/>
          <w:sz w:val="24"/>
        </w:rPr>
        <w:t>anti</w:t>
      </w:r>
      <w:r w:rsidRPr="00395593">
        <w:rPr>
          <w:rFonts w:ascii="Garamond" w:hAnsi="Garamond"/>
          <w:sz w:val="24"/>
        </w:rPr>
        <w:t>-</w:t>
      </w:r>
      <w:r w:rsidRPr="00395593">
        <w:rPr>
          <w:rFonts w:ascii="Garamond" w:hAnsi="Garamond"/>
          <w:i/>
          <w:sz w:val="24"/>
        </w:rPr>
        <w:t>dumping</w:t>
      </w:r>
      <w:r w:rsidRPr="00395593">
        <w:rPr>
          <w:rFonts w:ascii="Garamond" w:hAnsi="Garamond"/>
          <w:sz w:val="24"/>
        </w:rPr>
        <w:t>, quando estiverem preenchidos os requisitos</w:t>
      </w:r>
      <w:r w:rsidRPr="00395593">
        <w:rPr>
          <w:rFonts w:ascii="Garamond" w:hAnsi="Garamond"/>
          <w:spacing w:val="1"/>
          <w:sz w:val="24"/>
        </w:rPr>
        <w:t xml:space="preserve"> </w:t>
      </w:r>
      <w:r w:rsidRPr="00395593">
        <w:rPr>
          <w:rFonts w:ascii="Garamond" w:hAnsi="Garamond"/>
          <w:sz w:val="24"/>
        </w:rPr>
        <w:t xml:space="preserve">necessários, e a decisão, sobre se o montante do direito </w:t>
      </w:r>
      <w:r w:rsidRPr="00395593">
        <w:rPr>
          <w:rFonts w:ascii="Garamond" w:hAnsi="Garamond"/>
          <w:i/>
          <w:sz w:val="24"/>
        </w:rPr>
        <w:t>anti</w:t>
      </w:r>
      <w:r w:rsidRPr="00395593">
        <w:rPr>
          <w:rFonts w:ascii="Garamond" w:hAnsi="Garamond"/>
          <w:sz w:val="24"/>
        </w:rPr>
        <w:t>-</w:t>
      </w:r>
      <w:r w:rsidRPr="00395593">
        <w:rPr>
          <w:rFonts w:ascii="Garamond" w:hAnsi="Garamond"/>
          <w:i/>
          <w:sz w:val="24"/>
        </w:rPr>
        <w:t xml:space="preserve">dumping </w:t>
      </w:r>
      <w:r w:rsidRPr="00395593">
        <w:rPr>
          <w:rFonts w:ascii="Garamond" w:hAnsi="Garamond"/>
          <w:sz w:val="24"/>
        </w:rPr>
        <w:t>a ser imposto será a</w:t>
      </w:r>
      <w:r w:rsidRPr="00395593">
        <w:rPr>
          <w:rFonts w:ascii="Garamond" w:hAnsi="Garamond"/>
          <w:spacing w:val="1"/>
          <w:sz w:val="24"/>
        </w:rPr>
        <w:t xml:space="preserve"> </w:t>
      </w:r>
      <w:r w:rsidRPr="00395593">
        <w:rPr>
          <w:rFonts w:ascii="Garamond" w:hAnsi="Garamond"/>
          <w:sz w:val="24"/>
        </w:rPr>
        <w:t>totalidade da margem de</w:t>
      </w:r>
      <w:r w:rsidRPr="00395593">
        <w:rPr>
          <w:rFonts w:ascii="Garamond" w:hAnsi="Garamond"/>
          <w:spacing w:val="60"/>
          <w:sz w:val="24"/>
        </w:rPr>
        <w:t xml:space="preserve"> </w:t>
      </w:r>
      <w:r w:rsidRPr="00395593">
        <w:rPr>
          <w:rFonts w:ascii="Garamond" w:hAnsi="Garamond"/>
          <w:i/>
          <w:sz w:val="24"/>
        </w:rPr>
        <w:t xml:space="preserve">dumping </w:t>
      </w:r>
      <w:r w:rsidRPr="00395593">
        <w:rPr>
          <w:rFonts w:ascii="Garamond" w:hAnsi="Garamond"/>
          <w:sz w:val="24"/>
        </w:rPr>
        <w:t>ou menos do que esse valor. E desejável que o direito</w:t>
      </w:r>
      <w:r w:rsidRPr="00395593">
        <w:rPr>
          <w:rFonts w:ascii="Garamond" w:hAnsi="Garamond"/>
          <w:spacing w:val="1"/>
          <w:sz w:val="24"/>
        </w:rPr>
        <w:t xml:space="preserve"> </w:t>
      </w:r>
      <w:r w:rsidRPr="00395593">
        <w:rPr>
          <w:rFonts w:ascii="Garamond" w:hAnsi="Garamond"/>
          <w:sz w:val="24"/>
        </w:rPr>
        <w:t>seja facultativo no território de todos os Membros e que seu montante seja menor do que a</w:t>
      </w:r>
      <w:r w:rsidRPr="00395593">
        <w:rPr>
          <w:rFonts w:ascii="Garamond" w:hAnsi="Garamond"/>
          <w:spacing w:val="1"/>
          <w:sz w:val="24"/>
        </w:rPr>
        <w:t xml:space="preserve"> </w:t>
      </w:r>
      <w:r w:rsidRPr="00395593">
        <w:rPr>
          <w:rFonts w:ascii="Garamond" w:hAnsi="Garamond"/>
          <w:sz w:val="24"/>
        </w:rPr>
        <w:t xml:space="preserve">margem de </w:t>
      </w:r>
      <w:r w:rsidRPr="00395593">
        <w:rPr>
          <w:rFonts w:ascii="Garamond" w:hAnsi="Garamond"/>
          <w:i/>
          <w:sz w:val="24"/>
        </w:rPr>
        <w:t>dumping</w:t>
      </w:r>
      <w:r w:rsidRPr="00395593">
        <w:rPr>
          <w:rFonts w:ascii="Garamond" w:hAnsi="Garamond"/>
          <w:sz w:val="24"/>
        </w:rPr>
        <w:t>, caso tal valor inferior seja suficiente para eliminar o dano à indústria</w:t>
      </w:r>
      <w:r w:rsidRPr="00395593">
        <w:rPr>
          <w:rFonts w:ascii="Garamond" w:hAnsi="Garamond"/>
          <w:spacing w:val="1"/>
          <w:sz w:val="24"/>
        </w:rPr>
        <w:t xml:space="preserve"> </w:t>
      </w:r>
      <w:r w:rsidRPr="00395593">
        <w:rPr>
          <w:rFonts w:ascii="Garamond" w:hAnsi="Garamond"/>
          <w:sz w:val="24"/>
        </w:rPr>
        <w:t>nacional.</w:t>
      </w:r>
    </w:p>
    <w:p w14:paraId="2EA5E092" w14:textId="77777777" w:rsidR="0013285C" w:rsidRPr="00395593" w:rsidRDefault="0013285C" w:rsidP="0013285C">
      <w:pPr>
        <w:pStyle w:val="Corpodetexto"/>
        <w:rPr>
          <w:rFonts w:ascii="Garamond" w:hAnsi="Garamond"/>
        </w:rPr>
      </w:pPr>
    </w:p>
    <w:p w14:paraId="2CA50826" w14:textId="77777777" w:rsidR="0013285C" w:rsidRPr="00395593" w:rsidRDefault="0013285C" w:rsidP="002C4340">
      <w:pPr>
        <w:pStyle w:val="PargrafodaLista"/>
        <w:widowControl w:val="0"/>
        <w:numPr>
          <w:ilvl w:val="0"/>
          <w:numId w:val="15"/>
        </w:numPr>
        <w:tabs>
          <w:tab w:val="left" w:pos="810"/>
        </w:tabs>
        <w:autoSpaceDE w:val="0"/>
        <w:autoSpaceDN w:val="0"/>
        <w:spacing w:after="0" w:line="240" w:lineRule="auto"/>
        <w:ind w:right="116" w:firstLine="0"/>
        <w:contextualSpacing w:val="0"/>
        <w:jc w:val="both"/>
        <w:rPr>
          <w:rFonts w:ascii="Garamond" w:hAnsi="Garamond"/>
          <w:sz w:val="24"/>
        </w:rPr>
      </w:pPr>
      <w:r w:rsidRPr="00395593">
        <w:rPr>
          <w:rFonts w:ascii="Garamond" w:hAnsi="Garamond"/>
          <w:sz w:val="24"/>
        </w:rPr>
        <w:t xml:space="preserve">Quando direito </w:t>
      </w:r>
      <w:r w:rsidRPr="00395593">
        <w:rPr>
          <w:rFonts w:ascii="Garamond" w:hAnsi="Garamond"/>
          <w:i/>
          <w:sz w:val="24"/>
        </w:rPr>
        <w:t>anti</w:t>
      </w:r>
      <w:r w:rsidRPr="00395593">
        <w:rPr>
          <w:rFonts w:ascii="Garamond" w:hAnsi="Garamond"/>
          <w:sz w:val="24"/>
        </w:rPr>
        <w:t>-</w:t>
      </w:r>
      <w:r w:rsidRPr="00395593">
        <w:rPr>
          <w:rFonts w:ascii="Garamond" w:hAnsi="Garamond"/>
          <w:i/>
          <w:sz w:val="24"/>
        </w:rPr>
        <w:t xml:space="preserve">dumping </w:t>
      </w:r>
      <w:r w:rsidRPr="00395593">
        <w:rPr>
          <w:rFonts w:ascii="Garamond" w:hAnsi="Garamond"/>
          <w:sz w:val="24"/>
        </w:rPr>
        <w:t>é imposto sobre um produto, será o mesmo cobrado</w:t>
      </w:r>
      <w:r w:rsidRPr="00395593">
        <w:rPr>
          <w:rFonts w:ascii="Garamond" w:hAnsi="Garamond"/>
          <w:spacing w:val="1"/>
          <w:sz w:val="24"/>
        </w:rPr>
        <w:t xml:space="preserve"> </w:t>
      </w:r>
      <w:r w:rsidRPr="00395593">
        <w:rPr>
          <w:rFonts w:ascii="Garamond" w:hAnsi="Garamond"/>
          <w:sz w:val="24"/>
        </w:rPr>
        <w:t>nos valores adequados a cada caso, sem discriminação, sobre todas as importações do</w:t>
      </w:r>
      <w:r w:rsidRPr="00395593">
        <w:rPr>
          <w:rFonts w:ascii="Garamond" w:hAnsi="Garamond"/>
          <w:spacing w:val="1"/>
          <w:sz w:val="24"/>
        </w:rPr>
        <w:t xml:space="preserve"> </w:t>
      </w:r>
      <w:r w:rsidRPr="00395593">
        <w:rPr>
          <w:rFonts w:ascii="Garamond" w:hAnsi="Garamond"/>
          <w:sz w:val="24"/>
        </w:rPr>
        <w:t xml:space="preserve">produto julgadas serem praticadas a preço de </w:t>
      </w:r>
      <w:r w:rsidRPr="00395593">
        <w:rPr>
          <w:rFonts w:ascii="Garamond" w:hAnsi="Garamond"/>
          <w:i/>
          <w:sz w:val="24"/>
        </w:rPr>
        <w:t xml:space="preserve">dumping </w:t>
      </w:r>
      <w:r w:rsidRPr="00395593">
        <w:rPr>
          <w:rFonts w:ascii="Garamond" w:hAnsi="Garamond"/>
          <w:sz w:val="24"/>
        </w:rPr>
        <w:t>e danosas à indústria nacional,</w:t>
      </w:r>
      <w:r w:rsidRPr="00395593">
        <w:rPr>
          <w:rFonts w:ascii="Garamond" w:hAnsi="Garamond"/>
          <w:spacing w:val="1"/>
          <w:sz w:val="24"/>
        </w:rPr>
        <w:t xml:space="preserve"> </w:t>
      </w:r>
      <w:r w:rsidRPr="00395593">
        <w:rPr>
          <w:rFonts w:ascii="Garamond" w:hAnsi="Garamond"/>
          <w:sz w:val="24"/>
        </w:rPr>
        <w:t>qualquer que seja sua procedência, com exceção daquelas origens com as quais foram</w:t>
      </w:r>
      <w:r w:rsidRPr="00395593">
        <w:rPr>
          <w:rFonts w:ascii="Garamond" w:hAnsi="Garamond"/>
          <w:spacing w:val="1"/>
          <w:sz w:val="24"/>
        </w:rPr>
        <w:t xml:space="preserve"> </w:t>
      </w:r>
      <w:r w:rsidRPr="00395593">
        <w:rPr>
          <w:rFonts w:ascii="Garamond" w:hAnsi="Garamond"/>
          <w:sz w:val="24"/>
        </w:rPr>
        <w:t>acordados compromissos de preços sob a égide deste Acordo. As autoridades indicarão o</w:t>
      </w:r>
      <w:r w:rsidRPr="00395593">
        <w:rPr>
          <w:rFonts w:ascii="Garamond" w:hAnsi="Garamond"/>
          <w:spacing w:val="1"/>
          <w:sz w:val="24"/>
        </w:rPr>
        <w:t xml:space="preserve"> </w:t>
      </w:r>
      <w:r w:rsidRPr="00395593">
        <w:rPr>
          <w:rFonts w:ascii="Garamond" w:hAnsi="Garamond"/>
          <w:sz w:val="24"/>
        </w:rPr>
        <w:t>nome do fornecedor ou</w:t>
      </w:r>
      <w:r w:rsidRPr="00395593">
        <w:rPr>
          <w:rFonts w:ascii="Garamond" w:hAnsi="Garamond"/>
          <w:spacing w:val="1"/>
          <w:sz w:val="24"/>
        </w:rPr>
        <w:t xml:space="preserve"> </w:t>
      </w:r>
      <w:r w:rsidRPr="00395593">
        <w:rPr>
          <w:rFonts w:ascii="Garamond" w:hAnsi="Garamond"/>
          <w:sz w:val="24"/>
        </w:rPr>
        <w:t>fornecedores do referido produto. Se, no entanto, se tratar de</w:t>
      </w:r>
      <w:r w:rsidRPr="00395593">
        <w:rPr>
          <w:rFonts w:ascii="Garamond" w:hAnsi="Garamond"/>
          <w:spacing w:val="1"/>
          <w:sz w:val="24"/>
        </w:rPr>
        <w:t xml:space="preserve"> </w:t>
      </w:r>
      <w:r w:rsidRPr="00395593">
        <w:rPr>
          <w:rFonts w:ascii="Garamond" w:hAnsi="Garamond"/>
          <w:sz w:val="24"/>
        </w:rPr>
        <w:t>diversos fornecedores do mesmo país e se for impraticável designá-los a todos pelo nome,</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poderão</w:t>
      </w:r>
      <w:r w:rsidRPr="00395593">
        <w:rPr>
          <w:rFonts w:ascii="Garamond" w:hAnsi="Garamond"/>
          <w:spacing w:val="1"/>
          <w:sz w:val="24"/>
        </w:rPr>
        <w:t xml:space="preserve"> </w:t>
      </w:r>
      <w:r w:rsidRPr="00395593">
        <w:rPr>
          <w:rFonts w:ascii="Garamond" w:hAnsi="Garamond"/>
          <w:sz w:val="24"/>
        </w:rPr>
        <w:t>limitar-se a</w:t>
      </w:r>
      <w:r w:rsidRPr="00395593">
        <w:rPr>
          <w:rFonts w:ascii="Garamond" w:hAnsi="Garamond"/>
          <w:spacing w:val="1"/>
          <w:sz w:val="24"/>
        </w:rPr>
        <w:t xml:space="preserve"> </w:t>
      </w:r>
      <w:r w:rsidRPr="00395593">
        <w:rPr>
          <w:rFonts w:ascii="Garamond" w:hAnsi="Garamond"/>
          <w:sz w:val="24"/>
        </w:rPr>
        <w:t>indicar</w:t>
      </w:r>
      <w:r w:rsidRPr="00395593">
        <w:rPr>
          <w:rFonts w:ascii="Garamond" w:hAnsi="Garamond"/>
          <w:spacing w:val="1"/>
          <w:sz w:val="24"/>
        </w:rPr>
        <w:t xml:space="preserve"> </w:t>
      </w:r>
      <w:r w:rsidRPr="00395593">
        <w:rPr>
          <w:rFonts w:ascii="Garamond" w:hAnsi="Garamond"/>
          <w:sz w:val="24"/>
        </w:rPr>
        <w:t>o nome do país</w:t>
      </w:r>
      <w:r w:rsidRPr="00395593">
        <w:rPr>
          <w:rFonts w:ascii="Garamond" w:hAnsi="Garamond"/>
          <w:spacing w:val="1"/>
          <w:sz w:val="24"/>
        </w:rPr>
        <w:t xml:space="preserve"> </w:t>
      </w:r>
      <w:r w:rsidRPr="00395593">
        <w:rPr>
          <w:rFonts w:ascii="Garamond" w:hAnsi="Garamond"/>
          <w:sz w:val="24"/>
        </w:rPr>
        <w:t>fornecedor respectivo. Se</w:t>
      </w:r>
      <w:r w:rsidRPr="00395593">
        <w:rPr>
          <w:rFonts w:ascii="Garamond" w:hAnsi="Garamond"/>
          <w:spacing w:val="60"/>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trata de diversos fornecedores de mais de um país de origem, as autoridades poderão,</w:t>
      </w:r>
      <w:r w:rsidRPr="00395593">
        <w:rPr>
          <w:rFonts w:ascii="Garamond" w:hAnsi="Garamond"/>
          <w:spacing w:val="1"/>
          <w:sz w:val="24"/>
        </w:rPr>
        <w:t xml:space="preserve"> </w:t>
      </w:r>
      <w:r w:rsidRPr="00395593">
        <w:rPr>
          <w:rFonts w:ascii="Garamond" w:hAnsi="Garamond"/>
          <w:sz w:val="24"/>
        </w:rPr>
        <w:t>alternativamente,</w:t>
      </w:r>
      <w:r w:rsidRPr="00395593">
        <w:rPr>
          <w:rFonts w:ascii="Garamond" w:hAnsi="Garamond"/>
          <w:spacing w:val="1"/>
          <w:sz w:val="24"/>
        </w:rPr>
        <w:t xml:space="preserve"> </w:t>
      </w:r>
      <w:r w:rsidRPr="00395593">
        <w:rPr>
          <w:rFonts w:ascii="Garamond" w:hAnsi="Garamond"/>
          <w:sz w:val="24"/>
        </w:rPr>
        <w:t>indicar</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nome</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todos</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fornecedores</w:t>
      </w:r>
      <w:r w:rsidRPr="00395593">
        <w:rPr>
          <w:rFonts w:ascii="Garamond" w:hAnsi="Garamond"/>
          <w:spacing w:val="1"/>
          <w:sz w:val="24"/>
        </w:rPr>
        <w:t xml:space="preserve"> </w:t>
      </w:r>
      <w:r w:rsidRPr="00395593">
        <w:rPr>
          <w:rFonts w:ascii="Garamond" w:hAnsi="Garamond"/>
          <w:sz w:val="24"/>
        </w:rPr>
        <w:t>envolvidos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tal</w:t>
      </w:r>
      <w:r w:rsidRPr="00395593">
        <w:rPr>
          <w:rFonts w:ascii="Garamond" w:hAnsi="Garamond"/>
          <w:spacing w:val="1"/>
          <w:sz w:val="24"/>
        </w:rPr>
        <w:t xml:space="preserve"> </w:t>
      </w:r>
      <w:r w:rsidRPr="00395593">
        <w:rPr>
          <w:rFonts w:ascii="Garamond" w:hAnsi="Garamond"/>
          <w:sz w:val="24"/>
        </w:rPr>
        <w:t>for</w:t>
      </w:r>
      <w:r w:rsidRPr="00395593">
        <w:rPr>
          <w:rFonts w:ascii="Garamond" w:hAnsi="Garamond"/>
          <w:spacing w:val="1"/>
          <w:sz w:val="24"/>
        </w:rPr>
        <w:t xml:space="preserve"> </w:t>
      </w:r>
      <w:r w:rsidRPr="00395593">
        <w:rPr>
          <w:rFonts w:ascii="Garamond" w:hAnsi="Garamond"/>
          <w:sz w:val="24"/>
        </w:rPr>
        <w:t>impraticável,</w:t>
      </w:r>
      <w:r w:rsidRPr="00395593">
        <w:rPr>
          <w:rFonts w:ascii="Garamond" w:hAnsi="Garamond"/>
          <w:spacing w:val="-1"/>
          <w:sz w:val="24"/>
        </w:rPr>
        <w:t xml:space="preserve"> </w:t>
      </w:r>
      <w:r w:rsidRPr="00395593">
        <w:rPr>
          <w:rFonts w:ascii="Garamond" w:hAnsi="Garamond"/>
          <w:sz w:val="24"/>
        </w:rPr>
        <w:t>indicar todos os países</w:t>
      </w:r>
      <w:r w:rsidRPr="00395593">
        <w:rPr>
          <w:rFonts w:ascii="Garamond" w:hAnsi="Garamond"/>
          <w:spacing w:val="-1"/>
          <w:sz w:val="24"/>
        </w:rPr>
        <w:t xml:space="preserve"> </w:t>
      </w:r>
      <w:r w:rsidRPr="00395593">
        <w:rPr>
          <w:rFonts w:ascii="Garamond" w:hAnsi="Garamond"/>
          <w:sz w:val="24"/>
        </w:rPr>
        <w:t>fornecedores</w:t>
      </w:r>
      <w:r w:rsidRPr="00395593">
        <w:rPr>
          <w:rFonts w:ascii="Garamond" w:hAnsi="Garamond"/>
          <w:spacing w:val="2"/>
          <w:sz w:val="24"/>
        </w:rPr>
        <w:t xml:space="preserve"> </w:t>
      </w:r>
      <w:r w:rsidRPr="00395593">
        <w:rPr>
          <w:rFonts w:ascii="Garamond" w:hAnsi="Garamond"/>
          <w:sz w:val="24"/>
        </w:rPr>
        <w:t>envolvidos.</w:t>
      </w:r>
    </w:p>
    <w:p w14:paraId="52365BBE" w14:textId="77777777" w:rsidR="0013285C" w:rsidRPr="00395593" w:rsidRDefault="0013285C" w:rsidP="0013285C">
      <w:pPr>
        <w:pStyle w:val="Corpodetexto"/>
        <w:spacing w:before="1"/>
        <w:rPr>
          <w:rFonts w:ascii="Garamond" w:hAnsi="Garamond"/>
        </w:rPr>
      </w:pPr>
    </w:p>
    <w:p w14:paraId="0A6A5BDF" w14:textId="77777777" w:rsidR="0013285C" w:rsidRPr="00395593" w:rsidRDefault="0013285C" w:rsidP="002C4340">
      <w:pPr>
        <w:pStyle w:val="PargrafodaLista"/>
        <w:widowControl w:val="0"/>
        <w:numPr>
          <w:ilvl w:val="0"/>
          <w:numId w:val="15"/>
        </w:numPr>
        <w:tabs>
          <w:tab w:val="left" w:pos="810"/>
        </w:tabs>
        <w:autoSpaceDE w:val="0"/>
        <w:autoSpaceDN w:val="0"/>
        <w:spacing w:after="0" w:line="240" w:lineRule="auto"/>
        <w:ind w:right="115" w:firstLine="0"/>
        <w:contextualSpacing w:val="0"/>
        <w:jc w:val="both"/>
        <w:rPr>
          <w:rFonts w:ascii="Garamond" w:hAnsi="Garamond"/>
          <w:sz w:val="24"/>
        </w:rPr>
      </w:pPr>
      <w:r w:rsidRPr="00395593">
        <w:rPr>
          <w:rFonts w:ascii="Garamond" w:hAnsi="Garamond"/>
          <w:sz w:val="24"/>
        </w:rPr>
        <w:t>O</w:t>
      </w:r>
      <w:r w:rsidRPr="00395593">
        <w:rPr>
          <w:rFonts w:ascii="Garamond" w:hAnsi="Garamond"/>
          <w:spacing w:val="48"/>
          <w:sz w:val="24"/>
        </w:rPr>
        <w:t xml:space="preserve"> </w:t>
      </w:r>
      <w:r w:rsidRPr="00395593">
        <w:rPr>
          <w:rFonts w:ascii="Garamond" w:hAnsi="Garamond"/>
          <w:sz w:val="24"/>
        </w:rPr>
        <w:t>valor</w:t>
      </w:r>
      <w:r w:rsidRPr="00395593">
        <w:rPr>
          <w:rFonts w:ascii="Garamond" w:hAnsi="Garamond"/>
          <w:spacing w:val="48"/>
          <w:sz w:val="24"/>
        </w:rPr>
        <w:t xml:space="preserve"> </w:t>
      </w:r>
      <w:r w:rsidRPr="00395593">
        <w:rPr>
          <w:rFonts w:ascii="Garamond" w:hAnsi="Garamond"/>
          <w:sz w:val="24"/>
        </w:rPr>
        <w:t>do</w:t>
      </w:r>
      <w:r w:rsidRPr="00395593">
        <w:rPr>
          <w:rFonts w:ascii="Garamond" w:hAnsi="Garamond"/>
          <w:spacing w:val="49"/>
          <w:sz w:val="24"/>
        </w:rPr>
        <w:t xml:space="preserve"> </w:t>
      </w:r>
      <w:r w:rsidRPr="00395593">
        <w:rPr>
          <w:rFonts w:ascii="Garamond" w:hAnsi="Garamond"/>
          <w:sz w:val="24"/>
        </w:rPr>
        <w:t>direito</w:t>
      </w:r>
      <w:r w:rsidRPr="00395593">
        <w:rPr>
          <w:rFonts w:ascii="Garamond" w:hAnsi="Garamond"/>
          <w:spacing w:val="51"/>
          <w:sz w:val="24"/>
        </w:rPr>
        <w:t xml:space="preserve"> </w:t>
      </w:r>
      <w:r w:rsidRPr="00395593">
        <w:rPr>
          <w:rFonts w:ascii="Garamond" w:hAnsi="Garamond"/>
          <w:i/>
          <w:sz w:val="24"/>
        </w:rPr>
        <w:t>anti</w:t>
      </w:r>
      <w:r w:rsidRPr="00395593">
        <w:rPr>
          <w:rFonts w:ascii="Garamond" w:hAnsi="Garamond"/>
          <w:sz w:val="24"/>
        </w:rPr>
        <w:t>-</w:t>
      </w:r>
      <w:r w:rsidRPr="00395593">
        <w:rPr>
          <w:rFonts w:ascii="Garamond" w:hAnsi="Garamond"/>
          <w:i/>
          <w:sz w:val="24"/>
        </w:rPr>
        <w:t>dumping</w:t>
      </w:r>
      <w:r w:rsidRPr="00395593">
        <w:rPr>
          <w:rFonts w:ascii="Garamond" w:hAnsi="Garamond"/>
          <w:i/>
          <w:spacing w:val="49"/>
          <w:sz w:val="24"/>
        </w:rPr>
        <w:t xml:space="preserve"> </w:t>
      </w:r>
      <w:r w:rsidRPr="00395593">
        <w:rPr>
          <w:rFonts w:ascii="Garamond" w:hAnsi="Garamond"/>
          <w:sz w:val="24"/>
        </w:rPr>
        <w:t>não</w:t>
      </w:r>
      <w:r w:rsidRPr="00395593">
        <w:rPr>
          <w:rFonts w:ascii="Garamond" w:hAnsi="Garamond"/>
          <w:spacing w:val="49"/>
          <w:sz w:val="24"/>
        </w:rPr>
        <w:t xml:space="preserve"> </w:t>
      </w:r>
      <w:r w:rsidRPr="00395593">
        <w:rPr>
          <w:rFonts w:ascii="Garamond" w:hAnsi="Garamond"/>
          <w:sz w:val="24"/>
        </w:rPr>
        <w:t>deverá</w:t>
      </w:r>
      <w:r w:rsidRPr="00395593">
        <w:rPr>
          <w:rFonts w:ascii="Garamond" w:hAnsi="Garamond"/>
          <w:spacing w:val="47"/>
          <w:sz w:val="24"/>
        </w:rPr>
        <w:t xml:space="preserve"> </w:t>
      </w:r>
      <w:r w:rsidRPr="00395593">
        <w:rPr>
          <w:rFonts w:ascii="Garamond" w:hAnsi="Garamond"/>
          <w:sz w:val="24"/>
        </w:rPr>
        <w:t>exceder</w:t>
      </w:r>
      <w:r w:rsidRPr="00395593">
        <w:rPr>
          <w:rFonts w:ascii="Garamond" w:hAnsi="Garamond"/>
          <w:spacing w:val="48"/>
          <w:sz w:val="24"/>
        </w:rPr>
        <w:t xml:space="preserve"> </w:t>
      </w:r>
      <w:r w:rsidRPr="00395593">
        <w:rPr>
          <w:rFonts w:ascii="Garamond" w:hAnsi="Garamond"/>
          <w:sz w:val="24"/>
        </w:rPr>
        <w:t>a</w:t>
      </w:r>
      <w:r w:rsidRPr="00395593">
        <w:rPr>
          <w:rFonts w:ascii="Garamond" w:hAnsi="Garamond"/>
          <w:spacing w:val="48"/>
          <w:sz w:val="24"/>
        </w:rPr>
        <w:t xml:space="preserve"> </w:t>
      </w:r>
      <w:r w:rsidRPr="00395593">
        <w:rPr>
          <w:rFonts w:ascii="Garamond" w:hAnsi="Garamond"/>
          <w:sz w:val="24"/>
        </w:rPr>
        <w:t>margem</w:t>
      </w:r>
      <w:r w:rsidRPr="00395593">
        <w:rPr>
          <w:rFonts w:ascii="Garamond" w:hAnsi="Garamond"/>
          <w:spacing w:val="49"/>
          <w:sz w:val="24"/>
        </w:rPr>
        <w:t xml:space="preserve"> </w:t>
      </w:r>
      <w:r w:rsidRPr="00395593">
        <w:rPr>
          <w:rFonts w:ascii="Garamond" w:hAnsi="Garamond"/>
          <w:sz w:val="24"/>
        </w:rPr>
        <w:t>de</w:t>
      </w:r>
      <w:r w:rsidRPr="00395593">
        <w:rPr>
          <w:rFonts w:ascii="Garamond" w:hAnsi="Garamond"/>
          <w:spacing w:val="51"/>
          <w:sz w:val="24"/>
        </w:rPr>
        <w:t xml:space="preserve"> </w:t>
      </w:r>
      <w:r w:rsidRPr="00395593">
        <w:rPr>
          <w:rFonts w:ascii="Garamond" w:hAnsi="Garamond"/>
          <w:i/>
          <w:sz w:val="24"/>
        </w:rPr>
        <w:t>dumping</w:t>
      </w:r>
      <w:r w:rsidRPr="00395593">
        <w:rPr>
          <w:rFonts w:ascii="Garamond" w:hAnsi="Garamond"/>
          <w:sz w:val="24"/>
        </w:rPr>
        <w:t>,</w:t>
      </w:r>
      <w:r w:rsidRPr="00395593">
        <w:rPr>
          <w:rFonts w:ascii="Garamond" w:hAnsi="Garamond"/>
          <w:spacing w:val="49"/>
          <w:sz w:val="24"/>
        </w:rPr>
        <w:t xml:space="preserve"> </w:t>
      </w:r>
      <w:r w:rsidRPr="00395593">
        <w:rPr>
          <w:rFonts w:ascii="Garamond" w:hAnsi="Garamond"/>
          <w:sz w:val="24"/>
        </w:rPr>
        <w:t>tal</w:t>
      </w:r>
      <w:r w:rsidRPr="00395593">
        <w:rPr>
          <w:rFonts w:ascii="Garamond" w:hAnsi="Garamond"/>
          <w:spacing w:val="-58"/>
          <w:sz w:val="24"/>
        </w:rPr>
        <w:t xml:space="preserve"> </w:t>
      </w:r>
      <w:r w:rsidRPr="00395593">
        <w:rPr>
          <w:rFonts w:ascii="Garamond" w:hAnsi="Garamond"/>
          <w:sz w:val="24"/>
        </w:rPr>
        <w:t>como</w:t>
      </w:r>
      <w:r w:rsidRPr="00395593">
        <w:rPr>
          <w:rFonts w:ascii="Garamond" w:hAnsi="Garamond"/>
          <w:spacing w:val="-1"/>
          <w:sz w:val="24"/>
        </w:rPr>
        <w:t xml:space="preserve"> </w:t>
      </w:r>
      <w:r w:rsidRPr="00395593">
        <w:rPr>
          <w:rFonts w:ascii="Garamond" w:hAnsi="Garamond"/>
          <w:sz w:val="24"/>
        </w:rPr>
        <w:t>estabelecida no Artigo 2:</w:t>
      </w:r>
    </w:p>
    <w:p w14:paraId="2D53374E" w14:textId="77777777" w:rsidR="0013285C" w:rsidRPr="00395593" w:rsidRDefault="0013285C" w:rsidP="0013285C">
      <w:pPr>
        <w:pStyle w:val="Corpodetexto"/>
        <w:rPr>
          <w:rFonts w:ascii="Garamond" w:hAnsi="Garamond"/>
        </w:rPr>
      </w:pPr>
    </w:p>
    <w:p w14:paraId="767C019E" w14:textId="3322D591" w:rsidR="00B273F2" w:rsidRPr="00B273F2" w:rsidRDefault="0013285C" w:rsidP="00B273F2">
      <w:pPr>
        <w:pStyle w:val="PargrafodaLista"/>
        <w:widowControl w:val="0"/>
        <w:numPr>
          <w:ilvl w:val="1"/>
          <w:numId w:val="15"/>
        </w:numPr>
        <w:tabs>
          <w:tab w:val="left" w:pos="1156"/>
        </w:tabs>
        <w:autoSpaceDE w:val="0"/>
        <w:autoSpaceDN w:val="0"/>
        <w:spacing w:after="0" w:line="240" w:lineRule="auto"/>
        <w:ind w:left="821" w:right="117" w:firstLine="0"/>
        <w:contextualSpacing w:val="0"/>
        <w:jc w:val="both"/>
        <w:rPr>
          <w:rFonts w:ascii="Garamond" w:hAnsi="Garamond"/>
          <w:sz w:val="24"/>
        </w:rPr>
      </w:pPr>
      <w:r w:rsidRPr="00395593">
        <w:rPr>
          <w:rFonts w:ascii="Garamond" w:hAnsi="Garamond"/>
          <w:sz w:val="24"/>
        </w:rPr>
        <w:t xml:space="preserve">Quando o valor do direito </w:t>
      </w:r>
      <w:r w:rsidRPr="00395593">
        <w:rPr>
          <w:rFonts w:ascii="Garamond" w:hAnsi="Garamond"/>
          <w:i/>
          <w:sz w:val="24"/>
        </w:rPr>
        <w:t>anti</w:t>
      </w:r>
      <w:r w:rsidRPr="00395593">
        <w:rPr>
          <w:rFonts w:ascii="Garamond" w:hAnsi="Garamond"/>
          <w:sz w:val="24"/>
        </w:rPr>
        <w:t>-</w:t>
      </w:r>
      <w:r w:rsidRPr="00395593">
        <w:rPr>
          <w:rFonts w:ascii="Garamond" w:hAnsi="Garamond"/>
          <w:i/>
          <w:sz w:val="24"/>
        </w:rPr>
        <w:t xml:space="preserve">dumping </w:t>
      </w:r>
      <w:r w:rsidRPr="00395593">
        <w:rPr>
          <w:rFonts w:ascii="Garamond" w:hAnsi="Garamond"/>
          <w:sz w:val="24"/>
        </w:rPr>
        <w:t>for estabelecido de forma retrospectiva,</w:t>
      </w:r>
      <w:r w:rsidRPr="00395593">
        <w:rPr>
          <w:rFonts w:ascii="Garamond" w:hAnsi="Garamond"/>
          <w:spacing w:val="1"/>
          <w:sz w:val="24"/>
        </w:rPr>
        <w:t xml:space="preserve"> </w:t>
      </w:r>
      <w:r w:rsidRPr="00395593">
        <w:rPr>
          <w:rFonts w:ascii="Garamond" w:hAnsi="Garamond"/>
          <w:sz w:val="24"/>
        </w:rPr>
        <w:t>o montante devido para seu pagamento deverá ser estabelecido o mais rapidamente</w:t>
      </w:r>
      <w:r w:rsidRPr="00395593">
        <w:rPr>
          <w:rFonts w:ascii="Garamond" w:hAnsi="Garamond"/>
          <w:spacing w:val="1"/>
          <w:sz w:val="24"/>
        </w:rPr>
        <w:t xml:space="preserve"> </w:t>
      </w:r>
      <w:r w:rsidRPr="00395593">
        <w:rPr>
          <w:rFonts w:ascii="Garamond" w:hAnsi="Garamond"/>
          <w:sz w:val="24"/>
        </w:rPr>
        <w:t>possível, normalmente dentro de 12 meses, mas nunca em mais de 18 meses após a</w:t>
      </w:r>
      <w:r w:rsidRPr="00395593">
        <w:rPr>
          <w:rFonts w:ascii="Garamond" w:hAnsi="Garamond"/>
          <w:spacing w:val="1"/>
          <w:sz w:val="24"/>
        </w:rPr>
        <w:t xml:space="preserve"> </w:t>
      </w:r>
      <w:r w:rsidRPr="00395593">
        <w:rPr>
          <w:rFonts w:ascii="Garamond" w:hAnsi="Garamond"/>
          <w:sz w:val="24"/>
        </w:rPr>
        <w:t>data na qual se tenha formulado petição para</w:t>
      </w:r>
      <w:r w:rsidRPr="00395593">
        <w:rPr>
          <w:rFonts w:ascii="Garamond" w:hAnsi="Garamond"/>
          <w:spacing w:val="1"/>
          <w:sz w:val="24"/>
        </w:rPr>
        <w:t xml:space="preserve"> </w:t>
      </w:r>
      <w:r w:rsidRPr="00395593">
        <w:rPr>
          <w:rFonts w:ascii="Garamond" w:hAnsi="Garamond"/>
          <w:sz w:val="24"/>
        </w:rPr>
        <w:t>a fixação definitiva do</w:t>
      </w:r>
      <w:r w:rsidRPr="00395593">
        <w:rPr>
          <w:rFonts w:ascii="Garamond" w:hAnsi="Garamond"/>
          <w:spacing w:val="1"/>
          <w:sz w:val="24"/>
        </w:rPr>
        <w:t xml:space="preserve"> </w:t>
      </w:r>
      <w:r w:rsidRPr="00395593">
        <w:rPr>
          <w:rFonts w:ascii="Garamond" w:hAnsi="Garamond"/>
          <w:sz w:val="24"/>
        </w:rPr>
        <w:t>montante</w:t>
      </w:r>
      <w:r w:rsidRPr="00395593">
        <w:rPr>
          <w:rFonts w:ascii="Garamond" w:hAnsi="Garamond"/>
          <w:spacing w:val="1"/>
          <w:sz w:val="24"/>
        </w:rPr>
        <w:t xml:space="preserve"> </w:t>
      </w:r>
      <w:r w:rsidRPr="00395593">
        <w:rPr>
          <w:rFonts w:ascii="Garamond" w:hAnsi="Garamond"/>
          <w:sz w:val="24"/>
        </w:rPr>
        <w:t>daqueles</w:t>
      </w:r>
      <w:r w:rsidRPr="00395593">
        <w:rPr>
          <w:rFonts w:ascii="Garamond" w:hAnsi="Garamond"/>
          <w:spacing w:val="1"/>
          <w:sz w:val="24"/>
        </w:rPr>
        <w:t xml:space="preserve"> </w:t>
      </w:r>
      <w:r w:rsidRPr="00395593">
        <w:rPr>
          <w:rFonts w:ascii="Garamond" w:hAnsi="Garamond"/>
          <w:sz w:val="24"/>
        </w:rPr>
        <w:t>direitos</w:t>
      </w:r>
      <w:r w:rsidRPr="00395593">
        <w:rPr>
          <w:rFonts w:ascii="Garamond" w:hAnsi="Garamond"/>
          <w:spacing w:val="1"/>
          <w:sz w:val="24"/>
        </w:rPr>
        <w:t xml:space="preserve"> </w:t>
      </w:r>
      <w:r w:rsidRPr="00395593">
        <w:rPr>
          <w:rFonts w:ascii="Garamond" w:hAnsi="Garamond"/>
          <w:i/>
          <w:sz w:val="24"/>
        </w:rPr>
        <w:t>anti</w:t>
      </w:r>
      <w:r w:rsidRPr="00395593">
        <w:rPr>
          <w:rFonts w:ascii="Garamond" w:hAnsi="Garamond"/>
          <w:sz w:val="24"/>
        </w:rPr>
        <w:t>-</w:t>
      </w:r>
      <w:r w:rsidRPr="00395593">
        <w:rPr>
          <w:rFonts w:ascii="Garamond" w:hAnsi="Garamond"/>
          <w:i/>
          <w:sz w:val="24"/>
        </w:rPr>
        <w:t>dumping</w:t>
      </w:r>
      <w:r w:rsidRPr="00395593">
        <w:rPr>
          <w:rFonts w:ascii="Garamond" w:hAnsi="Garamond"/>
          <w:i/>
          <w:spacing w:val="1"/>
          <w:sz w:val="24"/>
        </w:rPr>
        <w:t xml:space="preserve"> </w:t>
      </w:r>
      <w:r w:rsidRPr="00395593">
        <w:rPr>
          <w:rFonts w:ascii="Garamond" w:hAnsi="Garamond"/>
          <w:sz w:val="24"/>
          <w:vertAlign w:val="superscript"/>
        </w:rPr>
        <w:t>20</w:t>
      </w:r>
      <w:r w:rsidRPr="00395593">
        <w:rPr>
          <w:rFonts w:ascii="Garamond" w:hAnsi="Garamond"/>
          <w:sz w:val="24"/>
        </w:rPr>
        <w:t>.</w:t>
      </w:r>
      <w:r w:rsidRPr="00395593">
        <w:rPr>
          <w:rFonts w:ascii="Garamond" w:hAnsi="Garamond"/>
          <w:spacing w:val="1"/>
          <w:sz w:val="24"/>
        </w:rPr>
        <w:t xml:space="preserve"> </w:t>
      </w:r>
      <w:r w:rsidRPr="00395593">
        <w:rPr>
          <w:rFonts w:ascii="Garamond" w:hAnsi="Garamond"/>
          <w:sz w:val="24"/>
        </w:rPr>
        <w:t>Qualquer</w:t>
      </w:r>
      <w:r w:rsidRPr="00395593">
        <w:rPr>
          <w:rFonts w:ascii="Garamond" w:hAnsi="Garamond"/>
          <w:spacing w:val="1"/>
          <w:sz w:val="24"/>
        </w:rPr>
        <w:t xml:space="preserve"> </w:t>
      </w:r>
      <w:r w:rsidRPr="00395593">
        <w:rPr>
          <w:rFonts w:ascii="Garamond" w:hAnsi="Garamond"/>
          <w:sz w:val="24"/>
        </w:rPr>
        <w:t>reembolso</w:t>
      </w:r>
      <w:r w:rsidRPr="00395593">
        <w:rPr>
          <w:rFonts w:ascii="Garamond" w:hAnsi="Garamond"/>
          <w:spacing w:val="1"/>
          <w:sz w:val="24"/>
        </w:rPr>
        <w:t xml:space="preserve"> </w:t>
      </w:r>
      <w:r w:rsidRPr="00395593">
        <w:rPr>
          <w:rFonts w:ascii="Garamond" w:hAnsi="Garamond"/>
          <w:sz w:val="24"/>
        </w:rPr>
        <w:t>deverá</w:t>
      </w:r>
      <w:r w:rsidRPr="00395593">
        <w:rPr>
          <w:rFonts w:ascii="Garamond" w:hAnsi="Garamond"/>
          <w:spacing w:val="1"/>
          <w:sz w:val="24"/>
        </w:rPr>
        <w:t xml:space="preserve"> </w:t>
      </w:r>
      <w:r w:rsidRPr="00395593">
        <w:rPr>
          <w:rFonts w:ascii="Garamond" w:hAnsi="Garamond"/>
          <w:sz w:val="24"/>
        </w:rPr>
        <w:t>ser</w:t>
      </w:r>
      <w:r w:rsidRPr="00395593">
        <w:rPr>
          <w:rFonts w:ascii="Garamond" w:hAnsi="Garamond"/>
          <w:spacing w:val="1"/>
          <w:sz w:val="24"/>
        </w:rPr>
        <w:t xml:space="preserve"> </w:t>
      </w:r>
      <w:r w:rsidRPr="00395593">
        <w:rPr>
          <w:rFonts w:ascii="Garamond" w:hAnsi="Garamond"/>
          <w:sz w:val="24"/>
        </w:rPr>
        <w:t>efetuado</w:t>
      </w:r>
      <w:r w:rsidRPr="00395593">
        <w:rPr>
          <w:rFonts w:ascii="Garamond" w:hAnsi="Garamond"/>
          <w:spacing w:val="1"/>
          <w:sz w:val="24"/>
        </w:rPr>
        <w:t xml:space="preserve"> </w:t>
      </w:r>
      <w:r w:rsidRPr="00395593">
        <w:rPr>
          <w:rFonts w:ascii="Garamond" w:hAnsi="Garamond"/>
          <w:sz w:val="24"/>
        </w:rPr>
        <w:t>prontamente</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maneira</w:t>
      </w:r>
      <w:r w:rsidRPr="00395593">
        <w:rPr>
          <w:rFonts w:ascii="Garamond" w:hAnsi="Garamond"/>
          <w:spacing w:val="1"/>
          <w:sz w:val="24"/>
        </w:rPr>
        <w:t xml:space="preserve"> </w:t>
      </w:r>
      <w:r w:rsidRPr="00395593">
        <w:rPr>
          <w:rFonts w:ascii="Garamond" w:hAnsi="Garamond"/>
          <w:sz w:val="24"/>
        </w:rPr>
        <w:t>geral,</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prazo</w:t>
      </w:r>
      <w:r w:rsidRPr="00395593">
        <w:rPr>
          <w:rFonts w:ascii="Garamond" w:hAnsi="Garamond"/>
          <w:spacing w:val="1"/>
          <w:sz w:val="24"/>
        </w:rPr>
        <w:t xml:space="preserve"> </w:t>
      </w:r>
      <w:r w:rsidRPr="00395593">
        <w:rPr>
          <w:rFonts w:ascii="Garamond" w:hAnsi="Garamond"/>
          <w:sz w:val="24"/>
        </w:rPr>
        <w:t>não</w:t>
      </w:r>
      <w:r w:rsidRPr="00395593">
        <w:rPr>
          <w:rFonts w:ascii="Garamond" w:hAnsi="Garamond"/>
          <w:spacing w:val="1"/>
          <w:sz w:val="24"/>
        </w:rPr>
        <w:t xml:space="preserve"> </w:t>
      </w:r>
      <w:r w:rsidRPr="00395593">
        <w:rPr>
          <w:rFonts w:ascii="Garamond" w:hAnsi="Garamond"/>
          <w:sz w:val="24"/>
        </w:rPr>
        <w:t>superior</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90</w:t>
      </w:r>
      <w:r w:rsidRPr="00395593">
        <w:rPr>
          <w:rFonts w:ascii="Garamond" w:hAnsi="Garamond"/>
          <w:spacing w:val="1"/>
          <w:sz w:val="24"/>
        </w:rPr>
        <w:t xml:space="preserve"> </w:t>
      </w:r>
      <w:r w:rsidRPr="00395593">
        <w:rPr>
          <w:rFonts w:ascii="Garamond" w:hAnsi="Garamond"/>
          <w:sz w:val="24"/>
        </w:rPr>
        <w:t>dias</w:t>
      </w:r>
      <w:r w:rsidRPr="00395593">
        <w:rPr>
          <w:rFonts w:ascii="Garamond" w:hAnsi="Garamond"/>
          <w:spacing w:val="1"/>
          <w:sz w:val="24"/>
        </w:rPr>
        <w:t xml:space="preserve"> </w:t>
      </w:r>
      <w:r w:rsidRPr="00395593">
        <w:rPr>
          <w:rFonts w:ascii="Garamond" w:hAnsi="Garamond"/>
          <w:sz w:val="24"/>
        </w:rPr>
        <w:t>após</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determinação</w:t>
      </w:r>
      <w:r w:rsidRPr="00395593">
        <w:rPr>
          <w:rFonts w:ascii="Garamond" w:hAnsi="Garamond"/>
          <w:spacing w:val="58"/>
          <w:sz w:val="24"/>
        </w:rPr>
        <w:t xml:space="preserve"> </w:t>
      </w:r>
      <w:r w:rsidRPr="00395593">
        <w:rPr>
          <w:rFonts w:ascii="Garamond" w:hAnsi="Garamond"/>
          <w:sz w:val="24"/>
        </w:rPr>
        <w:t>do</w:t>
      </w:r>
      <w:r w:rsidRPr="00395593">
        <w:rPr>
          <w:rFonts w:ascii="Garamond" w:hAnsi="Garamond"/>
          <w:spacing w:val="58"/>
          <w:sz w:val="24"/>
        </w:rPr>
        <w:t xml:space="preserve"> </w:t>
      </w:r>
      <w:r w:rsidRPr="00395593">
        <w:rPr>
          <w:rFonts w:ascii="Garamond" w:hAnsi="Garamond"/>
          <w:sz w:val="24"/>
        </w:rPr>
        <w:t>valor</w:t>
      </w:r>
      <w:r w:rsidRPr="00395593">
        <w:rPr>
          <w:rFonts w:ascii="Garamond" w:hAnsi="Garamond"/>
          <w:spacing w:val="58"/>
          <w:sz w:val="24"/>
        </w:rPr>
        <w:t xml:space="preserve"> </w:t>
      </w:r>
      <w:r w:rsidRPr="00395593">
        <w:rPr>
          <w:rFonts w:ascii="Garamond" w:hAnsi="Garamond"/>
          <w:sz w:val="24"/>
        </w:rPr>
        <w:t>definitivo</w:t>
      </w:r>
      <w:r w:rsidRPr="00395593">
        <w:rPr>
          <w:rFonts w:ascii="Garamond" w:hAnsi="Garamond"/>
          <w:spacing w:val="58"/>
          <w:sz w:val="24"/>
        </w:rPr>
        <w:t xml:space="preserve"> </w:t>
      </w:r>
      <w:r w:rsidRPr="00395593">
        <w:rPr>
          <w:rFonts w:ascii="Garamond" w:hAnsi="Garamond"/>
          <w:sz w:val="24"/>
        </w:rPr>
        <w:t>devido</w:t>
      </w:r>
      <w:r w:rsidRPr="00395593">
        <w:rPr>
          <w:rFonts w:ascii="Garamond" w:hAnsi="Garamond"/>
          <w:spacing w:val="59"/>
          <w:sz w:val="24"/>
        </w:rPr>
        <w:t xml:space="preserve"> </w:t>
      </w:r>
      <w:r w:rsidRPr="00395593">
        <w:rPr>
          <w:rFonts w:ascii="Garamond" w:hAnsi="Garamond"/>
          <w:sz w:val="24"/>
        </w:rPr>
        <w:t>de</w:t>
      </w:r>
      <w:r w:rsidRPr="00395593">
        <w:rPr>
          <w:rFonts w:ascii="Garamond" w:hAnsi="Garamond"/>
          <w:spacing w:val="57"/>
          <w:sz w:val="24"/>
        </w:rPr>
        <w:t xml:space="preserve"> </w:t>
      </w:r>
      <w:r w:rsidRPr="00395593">
        <w:rPr>
          <w:rFonts w:ascii="Garamond" w:hAnsi="Garamond"/>
          <w:sz w:val="24"/>
        </w:rPr>
        <w:t>acordo</w:t>
      </w:r>
      <w:r w:rsidRPr="00395593">
        <w:rPr>
          <w:rFonts w:ascii="Garamond" w:hAnsi="Garamond"/>
          <w:spacing w:val="58"/>
          <w:sz w:val="24"/>
        </w:rPr>
        <w:t xml:space="preserve"> </w:t>
      </w:r>
      <w:r w:rsidRPr="00395593">
        <w:rPr>
          <w:rFonts w:ascii="Garamond" w:hAnsi="Garamond"/>
          <w:sz w:val="24"/>
        </w:rPr>
        <w:t>com</w:t>
      </w:r>
      <w:r w:rsidRPr="00395593">
        <w:rPr>
          <w:rFonts w:ascii="Garamond" w:hAnsi="Garamond"/>
          <w:spacing w:val="59"/>
          <w:sz w:val="24"/>
        </w:rPr>
        <w:t xml:space="preserve"> </w:t>
      </w:r>
      <w:r w:rsidRPr="00395593">
        <w:rPr>
          <w:rFonts w:ascii="Garamond" w:hAnsi="Garamond"/>
          <w:sz w:val="24"/>
        </w:rPr>
        <w:t>este</w:t>
      </w:r>
      <w:r w:rsidRPr="00395593">
        <w:rPr>
          <w:rFonts w:ascii="Garamond" w:hAnsi="Garamond"/>
          <w:spacing w:val="58"/>
          <w:sz w:val="24"/>
        </w:rPr>
        <w:t xml:space="preserve"> </w:t>
      </w:r>
      <w:r w:rsidRPr="00395593">
        <w:rPr>
          <w:rFonts w:ascii="Garamond" w:hAnsi="Garamond"/>
          <w:sz w:val="24"/>
        </w:rPr>
        <w:t>subparágrafo.</w:t>
      </w:r>
      <w:r w:rsidRPr="00395593">
        <w:rPr>
          <w:rFonts w:ascii="Garamond" w:hAnsi="Garamond"/>
          <w:spacing w:val="58"/>
          <w:sz w:val="24"/>
        </w:rPr>
        <w:t xml:space="preserve"> </w:t>
      </w:r>
      <w:r w:rsidRPr="00395593">
        <w:rPr>
          <w:rFonts w:ascii="Garamond" w:hAnsi="Garamond"/>
          <w:sz w:val="24"/>
        </w:rPr>
        <w:t>Em</w:t>
      </w:r>
      <w:r w:rsidR="00B273F2">
        <w:rPr>
          <w:rFonts w:ascii="Garamond" w:hAnsi="Garamond"/>
          <w:sz w:val="24"/>
        </w:rPr>
        <w:t xml:space="preserve"> </w:t>
      </w:r>
      <w:r w:rsidR="00B273F2" w:rsidRPr="00B273F2">
        <w:rPr>
          <w:rFonts w:ascii="Garamond" w:hAnsi="Garamond"/>
        </w:rPr>
        <w:t>qualquer</w:t>
      </w:r>
      <w:r w:rsidR="00B273F2" w:rsidRPr="00B273F2">
        <w:rPr>
          <w:rFonts w:ascii="Garamond" w:hAnsi="Garamond"/>
          <w:spacing w:val="31"/>
        </w:rPr>
        <w:t xml:space="preserve"> </w:t>
      </w:r>
      <w:r w:rsidR="00B273F2" w:rsidRPr="00B273F2">
        <w:rPr>
          <w:rFonts w:ascii="Garamond" w:hAnsi="Garamond"/>
        </w:rPr>
        <w:t>caso,</w:t>
      </w:r>
      <w:r w:rsidR="00B273F2" w:rsidRPr="00B273F2">
        <w:rPr>
          <w:rFonts w:ascii="Garamond" w:hAnsi="Garamond"/>
          <w:spacing w:val="32"/>
        </w:rPr>
        <w:t xml:space="preserve"> </w:t>
      </w:r>
      <w:r w:rsidR="00B273F2" w:rsidRPr="00B273F2">
        <w:rPr>
          <w:rFonts w:ascii="Garamond" w:hAnsi="Garamond"/>
        </w:rPr>
        <w:t>sempre</w:t>
      </w:r>
      <w:r w:rsidR="00B273F2" w:rsidRPr="00B273F2">
        <w:rPr>
          <w:rFonts w:ascii="Garamond" w:hAnsi="Garamond"/>
          <w:spacing w:val="31"/>
        </w:rPr>
        <w:t xml:space="preserve"> </w:t>
      </w:r>
      <w:r w:rsidR="00B273F2" w:rsidRPr="00B273F2">
        <w:rPr>
          <w:rFonts w:ascii="Garamond" w:hAnsi="Garamond"/>
        </w:rPr>
        <w:t>que</w:t>
      </w:r>
      <w:r w:rsidR="00B273F2" w:rsidRPr="00B273F2">
        <w:rPr>
          <w:rFonts w:ascii="Garamond" w:hAnsi="Garamond"/>
          <w:spacing w:val="31"/>
        </w:rPr>
        <w:t xml:space="preserve"> </w:t>
      </w:r>
      <w:r w:rsidR="00B273F2" w:rsidRPr="00B273F2">
        <w:rPr>
          <w:rFonts w:ascii="Garamond" w:hAnsi="Garamond"/>
        </w:rPr>
        <w:t>o</w:t>
      </w:r>
      <w:r w:rsidR="00B273F2" w:rsidRPr="00B273F2">
        <w:rPr>
          <w:rFonts w:ascii="Garamond" w:hAnsi="Garamond"/>
          <w:spacing w:val="32"/>
        </w:rPr>
        <w:t xml:space="preserve"> </w:t>
      </w:r>
      <w:r w:rsidR="00B273F2" w:rsidRPr="00B273F2">
        <w:rPr>
          <w:rFonts w:ascii="Garamond" w:hAnsi="Garamond"/>
        </w:rPr>
        <w:t>reembolso</w:t>
      </w:r>
      <w:r w:rsidR="00B273F2" w:rsidRPr="00B273F2">
        <w:rPr>
          <w:rFonts w:ascii="Garamond" w:hAnsi="Garamond"/>
          <w:spacing w:val="32"/>
        </w:rPr>
        <w:t xml:space="preserve"> </w:t>
      </w:r>
      <w:r w:rsidR="00B273F2" w:rsidRPr="00B273F2">
        <w:rPr>
          <w:rFonts w:ascii="Garamond" w:hAnsi="Garamond"/>
        </w:rPr>
        <w:t>não</w:t>
      </w:r>
      <w:r w:rsidR="00B273F2" w:rsidRPr="00B273F2">
        <w:rPr>
          <w:rFonts w:ascii="Garamond" w:hAnsi="Garamond"/>
          <w:spacing w:val="31"/>
        </w:rPr>
        <w:t xml:space="preserve"> </w:t>
      </w:r>
      <w:r w:rsidR="00B273F2" w:rsidRPr="00B273F2">
        <w:rPr>
          <w:rFonts w:ascii="Garamond" w:hAnsi="Garamond"/>
        </w:rPr>
        <w:t>for</w:t>
      </w:r>
      <w:r w:rsidR="00B273F2" w:rsidRPr="00B273F2">
        <w:rPr>
          <w:rFonts w:ascii="Garamond" w:hAnsi="Garamond"/>
          <w:spacing w:val="31"/>
        </w:rPr>
        <w:t xml:space="preserve"> </w:t>
      </w:r>
      <w:r w:rsidR="00B273F2" w:rsidRPr="00B273F2">
        <w:rPr>
          <w:rFonts w:ascii="Garamond" w:hAnsi="Garamond"/>
        </w:rPr>
        <w:t>efetuado</w:t>
      </w:r>
      <w:r w:rsidR="00B273F2" w:rsidRPr="00B273F2">
        <w:rPr>
          <w:rFonts w:ascii="Garamond" w:hAnsi="Garamond"/>
          <w:spacing w:val="31"/>
        </w:rPr>
        <w:t xml:space="preserve"> </w:t>
      </w:r>
      <w:r w:rsidR="00B273F2" w:rsidRPr="00B273F2">
        <w:rPr>
          <w:rFonts w:ascii="Garamond" w:hAnsi="Garamond"/>
        </w:rPr>
        <w:t>no</w:t>
      </w:r>
      <w:r w:rsidR="00B273F2" w:rsidRPr="00B273F2">
        <w:rPr>
          <w:rFonts w:ascii="Garamond" w:hAnsi="Garamond"/>
          <w:spacing w:val="32"/>
        </w:rPr>
        <w:t xml:space="preserve"> </w:t>
      </w:r>
      <w:r w:rsidR="00B273F2" w:rsidRPr="00B273F2">
        <w:rPr>
          <w:rFonts w:ascii="Garamond" w:hAnsi="Garamond"/>
        </w:rPr>
        <w:t>prazo</w:t>
      </w:r>
      <w:r w:rsidR="00B273F2" w:rsidRPr="00B273F2">
        <w:rPr>
          <w:rFonts w:ascii="Garamond" w:hAnsi="Garamond"/>
          <w:spacing w:val="32"/>
        </w:rPr>
        <w:t xml:space="preserve"> </w:t>
      </w:r>
      <w:r w:rsidR="00B273F2" w:rsidRPr="00B273F2">
        <w:rPr>
          <w:rFonts w:ascii="Garamond" w:hAnsi="Garamond"/>
        </w:rPr>
        <w:t>de</w:t>
      </w:r>
      <w:r w:rsidR="00B273F2" w:rsidRPr="00B273F2">
        <w:rPr>
          <w:rFonts w:ascii="Garamond" w:hAnsi="Garamond"/>
          <w:spacing w:val="31"/>
        </w:rPr>
        <w:t xml:space="preserve"> </w:t>
      </w:r>
      <w:r w:rsidR="00B273F2" w:rsidRPr="00B273F2">
        <w:rPr>
          <w:rFonts w:ascii="Garamond" w:hAnsi="Garamond"/>
        </w:rPr>
        <w:t>90</w:t>
      </w:r>
      <w:r w:rsidR="00B273F2" w:rsidRPr="00B273F2">
        <w:rPr>
          <w:rFonts w:ascii="Garamond" w:hAnsi="Garamond"/>
          <w:spacing w:val="32"/>
        </w:rPr>
        <w:t xml:space="preserve"> </w:t>
      </w:r>
      <w:r w:rsidR="00B273F2" w:rsidRPr="00B273F2">
        <w:rPr>
          <w:rFonts w:ascii="Garamond" w:hAnsi="Garamond"/>
        </w:rPr>
        <w:t>dias,</w:t>
      </w:r>
      <w:r w:rsidR="00B273F2" w:rsidRPr="00B273F2">
        <w:rPr>
          <w:rFonts w:ascii="Garamond" w:hAnsi="Garamond"/>
          <w:spacing w:val="31"/>
        </w:rPr>
        <w:t xml:space="preserve"> </w:t>
      </w:r>
      <w:r w:rsidR="00B273F2" w:rsidRPr="00B273F2">
        <w:rPr>
          <w:rFonts w:ascii="Garamond" w:hAnsi="Garamond"/>
        </w:rPr>
        <w:t>as</w:t>
      </w:r>
      <w:r w:rsidR="00B273F2" w:rsidRPr="00B273F2">
        <w:rPr>
          <w:rFonts w:ascii="Garamond" w:hAnsi="Garamond"/>
          <w:spacing w:val="-57"/>
        </w:rPr>
        <w:t xml:space="preserve"> </w:t>
      </w:r>
      <w:r w:rsidR="00B273F2" w:rsidRPr="00B273F2">
        <w:rPr>
          <w:rFonts w:ascii="Garamond" w:hAnsi="Garamond"/>
        </w:rPr>
        <w:t>autoridades</w:t>
      </w:r>
      <w:r w:rsidR="00B273F2" w:rsidRPr="00B273F2">
        <w:rPr>
          <w:rFonts w:ascii="Garamond" w:hAnsi="Garamond"/>
          <w:spacing w:val="-1"/>
        </w:rPr>
        <w:t xml:space="preserve"> </w:t>
      </w:r>
      <w:r w:rsidR="00B273F2" w:rsidRPr="00B273F2">
        <w:rPr>
          <w:rFonts w:ascii="Garamond" w:hAnsi="Garamond"/>
        </w:rPr>
        <w:t>deverão</w:t>
      </w:r>
      <w:r w:rsidR="00B273F2" w:rsidRPr="00B273F2">
        <w:rPr>
          <w:rFonts w:ascii="Garamond" w:hAnsi="Garamond"/>
          <w:spacing w:val="1"/>
        </w:rPr>
        <w:t xml:space="preserve"> </w:t>
      </w:r>
      <w:r w:rsidR="00B273F2" w:rsidRPr="00B273F2">
        <w:rPr>
          <w:rFonts w:ascii="Garamond" w:hAnsi="Garamond"/>
        </w:rPr>
        <w:t>fornecer</w:t>
      </w:r>
      <w:r w:rsidR="00B273F2" w:rsidRPr="00B273F2">
        <w:rPr>
          <w:rFonts w:ascii="Garamond" w:hAnsi="Garamond"/>
          <w:spacing w:val="1"/>
        </w:rPr>
        <w:t xml:space="preserve"> </w:t>
      </w:r>
      <w:r w:rsidR="00B273F2" w:rsidRPr="00B273F2">
        <w:rPr>
          <w:rFonts w:ascii="Garamond" w:hAnsi="Garamond"/>
        </w:rPr>
        <w:t>esclarecimentos</w:t>
      </w:r>
      <w:r w:rsidR="00B273F2" w:rsidRPr="00B273F2">
        <w:rPr>
          <w:rFonts w:ascii="Garamond" w:hAnsi="Garamond"/>
          <w:spacing w:val="-1"/>
        </w:rPr>
        <w:t xml:space="preserve"> </w:t>
      </w:r>
      <w:r w:rsidR="00B273F2" w:rsidRPr="00B273F2">
        <w:rPr>
          <w:rFonts w:ascii="Garamond" w:hAnsi="Garamond"/>
        </w:rPr>
        <w:t>caso lhes</w:t>
      </w:r>
      <w:r w:rsidR="00B273F2" w:rsidRPr="00B273F2">
        <w:rPr>
          <w:rFonts w:ascii="Garamond" w:hAnsi="Garamond"/>
          <w:spacing w:val="-1"/>
        </w:rPr>
        <w:t xml:space="preserve"> </w:t>
      </w:r>
      <w:r w:rsidR="00B273F2" w:rsidRPr="00B273F2">
        <w:rPr>
          <w:rFonts w:ascii="Garamond" w:hAnsi="Garamond"/>
        </w:rPr>
        <w:t>sejam solicitados;</w:t>
      </w:r>
    </w:p>
    <w:p w14:paraId="4AE772BB" w14:textId="77777777" w:rsidR="00B273F2" w:rsidRDefault="00B273F2" w:rsidP="0013285C">
      <w:pPr>
        <w:pStyle w:val="Corpodetexto"/>
        <w:rPr>
          <w:rFonts w:ascii="Garamond" w:hAnsi="Garamond"/>
          <w:sz w:val="20"/>
        </w:rPr>
      </w:pPr>
    </w:p>
    <w:p w14:paraId="3E6AD19B" w14:textId="6F8ACFCC" w:rsidR="0013285C" w:rsidRPr="00395593" w:rsidRDefault="0013285C" w:rsidP="0013285C">
      <w:pPr>
        <w:pStyle w:val="Corpodetexto"/>
        <w:spacing w:before="1"/>
        <w:rPr>
          <w:rFonts w:ascii="Garamond" w:hAnsi="Garamond"/>
          <w:sz w:val="27"/>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47" behindDoc="1" locked="0" layoutInCell="1" allowOverlap="1" wp14:anchorId="377646DD" wp14:editId="4F3CEE32">
                <wp:simplePos x="0" y="0"/>
                <wp:positionH relativeFrom="page">
                  <wp:posOffset>1080770</wp:posOffset>
                </wp:positionH>
                <wp:positionV relativeFrom="paragraph">
                  <wp:posOffset>213360</wp:posOffset>
                </wp:positionV>
                <wp:extent cx="1828800" cy="7620"/>
                <wp:effectExtent l="4445" t="0" r="0" b="3175"/>
                <wp:wrapTopAndBottom/>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7ACCC" id="Retângulo 10" o:spid="_x0000_s1026" style="position:absolute;margin-left:85.1pt;margin-top:16.8pt;width:2in;height:.6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MWfgIAAPw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" fillcolor="black" stroked="f">
                <w10:wrap type="topAndBottom" anchorx="page"/>
              </v:rect>
            </w:pict>
          </mc:Fallback>
        </mc:AlternateContent>
      </w:r>
    </w:p>
    <w:p w14:paraId="22F7F217" w14:textId="77777777" w:rsidR="0013285C" w:rsidRPr="00395593" w:rsidRDefault="0013285C" w:rsidP="0013285C">
      <w:pPr>
        <w:spacing w:before="103"/>
        <w:ind w:left="102"/>
        <w:rPr>
          <w:rFonts w:ascii="Garamond" w:hAnsi="Garamond"/>
          <w:sz w:val="20"/>
        </w:rPr>
      </w:pPr>
      <w:r w:rsidRPr="00395593">
        <w:rPr>
          <w:rFonts w:ascii="Garamond" w:hAnsi="Garamond"/>
          <w:sz w:val="20"/>
          <w:vertAlign w:val="superscript"/>
        </w:rPr>
        <w:t>20</w:t>
      </w:r>
      <w:r w:rsidRPr="00395593">
        <w:rPr>
          <w:rFonts w:ascii="Garamond" w:hAnsi="Garamond"/>
          <w:spacing w:val="2"/>
          <w:sz w:val="20"/>
        </w:rPr>
        <w:t xml:space="preserve"> </w:t>
      </w:r>
      <w:r w:rsidRPr="00395593">
        <w:rPr>
          <w:rFonts w:ascii="Garamond" w:hAnsi="Garamond"/>
          <w:sz w:val="20"/>
        </w:rPr>
        <w:t>Fica</w:t>
      </w:r>
      <w:r w:rsidRPr="00395593">
        <w:rPr>
          <w:rFonts w:ascii="Garamond" w:hAnsi="Garamond"/>
          <w:spacing w:val="2"/>
          <w:sz w:val="20"/>
        </w:rPr>
        <w:t xml:space="preserve"> </w:t>
      </w:r>
      <w:r w:rsidRPr="00395593">
        <w:rPr>
          <w:rFonts w:ascii="Garamond" w:hAnsi="Garamond"/>
          <w:sz w:val="20"/>
        </w:rPr>
        <w:t>entendido</w:t>
      </w:r>
      <w:r w:rsidRPr="00395593">
        <w:rPr>
          <w:rFonts w:ascii="Garamond" w:hAnsi="Garamond"/>
          <w:spacing w:val="3"/>
          <w:sz w:val="20"/>
        </w:rPr>
        <w:t xml:space="preserve"> </w:t>
      </w:r>
      <w:r w:rsidRPr="00395593">
        <w:rPr>
          <w:rFonts w:ascii="Garamond" w:hAnsi="Garamond"/>
          <w:sz w:val="20"/>
        </w:rPr>
        <w:t>que,</w:t>
      </w:r>
      <w:r w:rsidRPr="00395593">
        <w:rPr>
          <w:rFonts w:ascii="Garamond" w:hAnsi="Garamond"/>
          <w:spacing w:val="2"/>
          <w:sz w:val="20"/>
        </w:rPr>
        <w:t xml:space="preserve"> </w:t>
      </w:r>
      <w:r w:rsidRPr="00395593">
        <w:rPr>
          <w:rFonts w:ascii="Garamond" w:hAnsi="Garamond"/>
          <w:sz w:val="20"/>
        </w:rPr>
        <w:t>caso</w:t>
      </w:r>
      <w:r w:rsidRPr="00395593">
        <w:rPr>
          <w:rFonts w:ascii="Garamond" w:hAnsi="Garamond"/>
          <w:spacing w:val="3"/>
          <w:sz w:val="20"/>
        </w:rPr>
        <w:t xml:space="preserve"> </w:t>
      </w:r>
      <w:r w:rsidRPr="00395593">
        <w:rPr>
          <w:rFonts w:ascii="Garamond" w:hAnsi="Garamond"/>
          <w:sz w:val="20"/>
        </w:rPr>
        <w:t>o produto</w:t>
      </w:r>
      <w:r w:rsidRPr="00395593">
        <w:rPr>
          <w:rFonts w:ascii="Garamond" w:hAnsi="Garamond"/>
          <w:spacing w:val="3"/>
          <w:sz w:val="20"/>
        </w:rPr>
        <w:t xml:space="preserve"> </w:t>
      </w:r>
      <w:r w:rsidRPr="00395593">
        <w:rPr>
          <w:rFonts w:ascii="Garamond" w:hAnsi="Garamond"/>
          <w:sz w:val="20"/>
        </w:rPr>
        <w:t>em</w:t>
      </w:r>
      <w:r w:rsidRPr="00395593">
        <w:rPr>
          <w:rFonts w:ascii="Garamond" w:hAnsi="Garamond"/>
          <w:spacing w:val="-2"/>
          <w:sz w:val="20"/>
        </w:rPr>
        <w:t xml:space="preserve"> </w:t>
      </w:r>
      <w:r w:rsidRPr="00395593">
        <w:rPr>
          <w:rFonts w:ascii="Garamond" w:hAnsi="Garamond"/>
          <w:sz w:val="20"/>
        </w:rPr>
        <w:t>questão</w:t>
      </w:r>
      <w:r w:rsidRPr="00395593">
        <w:rPr>
          <w:rFonts w:ascii="Garamond" w:hAnsi="Garamond"/>
          <w:spacing w:val="3"/>
          <w:sz w:val="20"/>
        </w:rPr>
        <w:t xml:space="preserve"> </w:t>
      </w:r>
      <w:r w:rsidRPr="00395593">
        <w:rPr>
          <w:rFonts w:ascii="Garamond" w:hAnsi="Garamond"/>
          <w:sz w:val="20"/>
        </w:rPr>
        <w:t>esteja</w:t>
      </w:r>
      <w:r w:rsidRPr="00395593">
        <w:rPr>
          <w:rFonts w:ascii="Garamond" w:hAnsi="Garamond"/>
          <w:spacing w:val="2"/>
          <w:sz w:val="20"/>
        </w:rPr>
        <w:t xml:space="preserve"> </w:t>
      </w:r>
      <w:r w:rsidRPr="00395593">
        <w:rPr>
          <w:rFonts w:ascii="Garamond" w:hAnsi="Garamond"/>
          <w:sz w:val="20"/>
        </w:rPr>
        <w:t>submetido</w:t>
      </w:r>
      <w:r w:rsidRPr="00395593">
        <w:rPr>
          <w:rFonts w:ascii="Garamond" w:hAnsi="Garamond"/>
          <w:spacing w:val="2"/>
          <w:sz w:val="20"/>
        </w:rPr>
        <w:t xml:space="preserve"> </w:t>
      </w:r>
      <w:r w:rsidRPr="00395593">
        <w:rPr>
          <w:rFonts w:ascii="Garamond" w:hAnsi="Garamond"/>
          <w:sz w:val="20"/>
        </w:rPr>
        <w:t>a</w:t>
      </w:r>
      <w:r w:rsidRPr="00395593">
        <w:rPr>
          <w:rFonts w:ascii="Garamond" w:hAnsi="Garamond"/>
          <w:spacing w:val="3"/>
          <w:sz w:val="20"/>
        </w:rPr>
        <w:t xml:space="preserve"> </w:t>
      </w:r>
      <w:r w:rsidRPr="00395593">
        <w:rPr>
          <w:rFonts w:ascii="Garamond" w:hAnsi="Garamond"/>
          <w:sz w:val="20"/>
        </w:rPr>
        <w:t>procedimento</w:t>
      </w:r>
      <w:r w:rsidRPr="00395593">
        <w:rPr>
          <w:rFonts w:ascii="Garamond" w:hAnsi="Garamond"/>
          <w:spacing w:val="2"/>
          <w:sz w:val="20"/>
        </w:rPr>
        <w:t xml:space="preserve"> </w:t>
      </w:r>
      <w:r w:rsidRPr="00395593">
        <w:rPr>
          <w:rFonts w:ascii="Garamond" w:hAnsi="Garamond"/>
          <w:sz w:val="20"/>
        </w:rPr>
        <w:t>de</w:t>
      </w:r>
      <w:r w:rsidRPr="00395593">
        <w:rPr>
          <w:rFonts w:ascii="Garamond" w:hAnsi="Garamond"/>
          <w:spacing w:val="3"/>
          <w:sz w:val="20"/>
        </w:rPr>
        <w:t xml:space="preserve"> </w:t>
      </w:r>
      <w:r w:rsidRPr="00395593">
        <w:rPr>
          <w:rFonts w:ascii="Garamond" w:hAnsi="Garamond"/>
          <w:sz w:val="20"/>
        </w:rPr>
        <w:t>revisão</w:t>
      </w:r>
      <w:r w:rsidRPr="00395593">
        <w:rPr>
          <w:rFonts w:ascii="Garamond" w:hAnsi="Garamond"/>
          <w:spacing w:val="3"/>
          <w:sz w:val="20"/>
        </w:rPr>
        <w:t xml:space="preserve"> </w:t>
      </w:r>
      <w:r w:rsidRPr="00395593">
        <w:rPr>
          <w:rFonts w:ascii="Garamond" w:hAnsi="Garamond"/>
          <w:sz w:val="20"/>
        </w:rPr>
        <w:t>judicial,</w:t>
      </w:r>
      <w:r w:rsidRPr="00395593">
        <w:rPr>
          <w:rFonts w:ascii="Garamond" w:hAnsi="Garamond"/>
          <w:spacing w:val="2"/>
          <w:sz w:val="20"/>
        </w:rPr>
        <w:t xml:space="preserve"> </w:t>
      </w:r>
      <w:r w:rsidRPr="00395593">
        <w:rPr>
          <w:rFonts w:ascii="Garamond" w:hAnsi="Garamond"/>
          <w:sz w:val="20"/>
        </w:rPr>
        <w:t>poderá</w:t>
      </w:r>
      <w:r w:rsidRPr="00395593">
        <w:rPr>
          <w:rFonts w:ascii="Garamond" w:hAnsi="Garamond"/>
          <w:spacing w:val="-47"/>
          <w:sz w:val="20"/>
        </w:rPr>
        <w:t xml:space="preserve"> </w:t>
      </w:r>
      <w:r w:rsidRPr="00395593">
        <w:rPr>
          <w:rFonts w:ascii="Garamond" w:hAnsi="Garamond"/>
          <w:sz w:val="20"/>
        </w:rPr>
        <w:t>não ser possível</w:t>
      </w:r>
      <w:r w:rsidRPr="00395593">
        <w:rPr>
          <w:rFonts w:ascii="Garamond" w:hAnsi="Garamond"/>
          <w:spacing w:val="-1"/>
          <w:sz w:val="20"/>
        </w:rPr>
        <w:t xml:space="preserve"> </w:t>
      </w:r>
      <w:r w:rsidRPr="00395593">
        <w:rPr>
          <w:rFonts w:ascii="Garamond" w:hAnsi="Garamond"/>
          <w:sz w:val="20"/>
        </w:rPr>
        <w:t>a</w:t>
      </w:r>
      <w:r w:rsidRPr="00395593">
        <w:rPr>
          <w:rFonts w:ascii="Garamond" w:hAnsi="Garamond"/>
          <w:spacing w:val="-1"/>
          <w:sz w:val="20"/>
        </w:rPr>
        <w:t xml:space="preserve"> </w:t>
      </w:r>
      <w:r w:rsidRPr="00395593">
        <w:rPr>
          <w:rFonts w:ascii="Garamond" w:hAnsi="Garamond"/>
          <w:sz w:val="20"/>
        </w:rPr>
        <w:t>observância</w:t>
      </w:r>
      <w:r w:rsidRPr="00395593">
        <w:rPr>
          <w:rFonts w:ascii="Garamond" w:hAnsi="Garamond"/>
          <w:spacing w:val="2"/>
          <w:sz w:val="20"/>
        </w:rPr>
        <w:t xml:space="preserve"> </w:t>
      </w:r>
      <w:r w:rsidRPr="00395593">
        <w:rPr>
          <w:rFonts w:ascii="Garamond" w:hAnsi="Garamond"/>
          <w:sz w:val="20"/>
        </w:rPr>
        <w:t>dos</w:t>
      </w:r>
      <w:r w:rsidRPr="00395593">
        <w:rPr>
          <w:rFonts w:ascii="Garamond" w:hAnsi="Garamond"/>
          <w:spacing w:val="-2"/>
          <w:sz w:val="20"/>
        </w:rPr>
        <w:t xml:space="preserve"> </w:t>
      </w:r>
      <w:r w:rsidRPr="00395593">
        <w:rPr>
          <w:rFonts w:ascii="Garamond" w:hAnsi="Garamond"/>
          <w:sz w:val="20"/>
        </w:rPr>
        <w:t>prazos</w:t>
      </w:r>
      <w:r w:rsidRPr="00395593">
        <w:rPr>
          <w:rFonts w:ascii="Garamond" w:hAnsi="Garamond"/>
          <w:spacing w:val="-1"/>
          <w:sz w:val="20"/>
        </w:rPr>
        <w:t xml:space="preserve"> </w:t>
      </w:r>
      <w:r w:rsidRPr="00395593">
        <w:rPr>
          <w:rFonts w:ascii="Garamond" w:hAnsi="Garamond"/>
          <w:sz w:val="20"/>
        </w:rPr>
        <w:t>mencionados</w:t>
      </w:r>
      <w:r w:rsidRPr="00395593">
        <w:rPr>
          <w:rFonts w:ascii="Garamond" w:hAnsi="Garamond"/>
          <w:spacing w:val="-2"/>
          <w:sz w:val="20"/>
        </w:rPr>
        <w:t xml:space="preserve"> </w:t>
      </w:r>
      <w:r w:rsidRPr="00395593">
        <w:rPr>
          <w:rFonts w:ascii="Garamond" w:hAnsi="Garamond"/>
          <w:sz w:val="20"/>
        </w:rPr>
        <w:t>neste</w:t>
      </w:r>
      <w:r w:rsidRPr="00395593">
        <w:rPr>
          <w:rFonts w:ascii="Garamond" w:hAnsi="Garamond"/>
          <w:spacing w:val="-1"/>
          <w:sz w:val="20"/>
        </w:rPr>
        <w:t xml:space="preserve"> </w:t>
      </w:r>
      <w:r w:rsidRPr="00395593">
        <w:rPr>
          <w:rFonts w:ascii="Garamond" w:hAnsi="Garamond"/>
          <w:sz w:val="20"/>
        </w:rPr>
        <w:t>subparágrafo e</w:t>
      </w:r>
      <w:r w:rsidRPr="00395593">
        <w:rPr>
          <w:rFonts w:ascii="Garamond" w:hAnsi="Garamond"/>
          <w:spacing w:val="-1"/>
          <w:sz w:val="20"/>
        </w:rPr>
        <w:t xml:space="preserve"> </w:t>
      </w:r>
      <w:r w:rsidRPr="00395593">
        <w:rPr>
          <w:rFonts w:ascii="Garamond" w:hAnsi="Garamond"/>
          <w:sz w:val="20"/>
        </w:rPr>
        <w:t>no subparágrafo 3(b).</w:t>
      </w:r>
    </w:p>
    <w:p w14:paraId="6BFDD06B" w14:textId="77777777" w:rsidR="006B01D1" w:rsidRPr="00395593" w:rsidRDefault="006B01D1">
      <w:pPr>
        <w:rPr>
          <w:rFonts w:ascii="Garamond" w:eastAsia="Times New Roman" w:hAnsi="Garamond" w:cs="Times New Roman"/>
          <w:sz w:val="24"/>
          <w:szCs w:val="24"/>
        </w:rPr>
      </w:pPr>
      <w:r w:rsidRPr="00395593">
        <w:rPr>
          <w:rFonts w:ascii="Garamond" w:hAnsi="Garamond"/>
        </w:rPr>
        <w:br w:type="page"/>
      </w:r>
    </w:p>
    <w:p w14:paraId="6951F896" w14:textId="77777777" w:rsidR="0013285C" w:rsidRPr="00395593" w:rsidRDefault="0013285C" w:rsidP="0013285C">
      <w:pPr>
        <w:pStyle w:val="Corpodetexto"/>
        <w:rPr>
          <w:rFonts w:ascii="Garamond" w:hAnsi="Garamond"/>
        </w:rPr>
      </w:pPr>
    </w:p>
    <w:p w14:paraId="08BA6F8F" w14:textId="77777777" w:rsidR="0013285C" w:rsidRPr="00395593" w:rsidRDefault="0013285C" w:rsidP="002C4340">
      <w:pPr>
        <w:pStyle w:val="PargrafodaLista"/>
        <w:widowControl w:val="0"/>
        <w:numPr>
          <w:ilvl w:val="1"/>
          <w:numId w:val="15"/>
        </w:numPr>
        <w:tabs>
          <w:tab w:val="left" w:pos="1180"/>
        </w:tabs>
        <w:autoSpaceDE w:val="0"/>
        <w:autoSpaceDN w:val="0"/>
        <w:spacing w:after="0" w:line="240" w:lineRule="auto"/>
        <w:ind w:left="821" w:right="114" w:firstLine="0"/>
        <w:contextualSpacing w:val="0"/>
        <w:jc w:val="both"/>
        <w:rPr>
          <w:rFonts w:ascii="Garamond" w:hAnsi="Garamond"/>
          <w:sz w:val="24"/>
          <w:szCs w:val="24"/>
        </w:rPr>
      </w:pPr>
      <w:r w:rsidRPr="00395593">
        <w:rPr>
          <w:rFonts w:ascii="Garamond" w:hAnsi="Garamond"/>
          <w:sz w:val="24"/>
          <w:szCs w:val="24"/>
        </w:rPr>
        <w:t xml:space="preserve">Quando o valor do direito </w:t>
      </w:r>
      <w:r w:rsidRPr="00395593">
        <w:rPr>
          <w:rFonts w:ascii="Garamond" w:hAnsi="Garamond"/>
          <w:i/>
          <w:sz w:val="24"/>
          <w:szCs w:val="24"/>
        </w:rPr>
        <w:t>anti</w:t>
      </w:r>
      <w:r w:rsidRPr="00395593">
        <w:rPr>
          <w:rFonts w:ascii="Garamond" w:hAnsi="Garamond"/>
          <w:sz w:val="24"/>
          <w:szCs w:val="24"/>
        </w:rPr>
        <w:t>-</w:t>
      </w:r>
      <w:r w:rsidRPr="00395593">
        <w:rPr>
          <w:rFonts w:ascii="Garamond" w:hAnsi="Garamond"/>
          <w:i/>
          <w:sz w:val="24"/>
          <w:szCs w:val="24"/>
        </w:rPr>
        <w:t xml:space="preserve">dumping </w:t>
      </w:r>
      <w:r w:rsidRPr="00395593">
        <w:rPr>
          <w:rFonts w:ascii="Garamond" w:hAnsi="Garamond"/>
          <w:sz w:val="24"/>
          <w:szCs w:val="24"/>
        </w:rPr>
        <w:t>for estabelecido de forma prospectiva,</w:t>
      </w:r>
      <w:r w:rsidRPr="00395593">
        <w:rPr>
          <w:rFonts w:ascii="Garamond" w:hAnsi="Garamond"/>
          <w:spacing w:val="1"/>
          <w:sz w:val="24"/>
          <w:szCs w:val="24"/>
        </w:rPr>
        <w:t xml:space="preserve"> </w:t>
      </w:r>
      <w:r w:rsidRPr="00395593">
        <w:rPr>
          <w:rFonts w:ascii="Garamond" w:hAnsi="Garamond"/>
          <w:sz w:val="24"/>
          <w:szCs w:val="24"/>
        </w:rPr>
        <w:t>tomar-se-ão</w:t>
      </w:r>
      <w:r w:rsidRPr="00395593">
        <w:rPr>
          <w:rFonts w:ascii="Garamond" w:hAnsi="Garamond"/>
          <w:spacing w:val="1"/>
          <w:sz w:val="24"/>
          <w:szCs w:val="24"/>
        </w:rPr>
        <w:t xml:space="preserve"> </w:t>
      </w:r>
      <w:r w:rsidRPr="00395593">
        <w:rPr>
          <w:rFonts w:ascii="Garamond" w:hAnsi="Garamond"/>
          <w:sz w:val="24"/>
          <w:szCs w:val="24"/>
        </w:rPr>
        <w:t>as</w:t>
      </w:r>
      <w:r w:rsidRPr="00395593">
        <w:rPr>
          <w:rFonts w:ascii="Garamond" w:hAnsi="Garamond"/>
          <w:spacing w:val="1"/>
          <w:sz w:val="24"/>
          <w:szCs w:val="24"/>
        </w:rPr>
        <w:t xml:space="preserve"> </w:t>
      </w:r>
      <w:r w:rsidRPr="00395593">
        <w:rPr>
          <w:rFonts w:ascii="Garamond" w:hAnsi="Garamond"/>
          <w:sz w:val="24"/>
          <w:szCs w:val="24"/>
        </w:rPr>
        <w:t>devidas</w:t>
      </w:r>
      <w:r w:rsidRPr="00395593">
        <w:rPr>
          <w:rFonts w:ascii="Garamond" w:hAnsi="Garamond"/>
          <w:spacing w:val="1"/>
          <w:sz w:val="24"/>
          <w:szCs w:val="24"/>
        </w:rPr>
        <w:t xml:space="preserve"> </w:t>
      </w:r>
      <w:r w:rsidRPr="00395593">
        <w:rPr>
          <w:rFonts w:ascii="Garamond" w:hAnsi="Garamond"/>
          <w:sz w:val="24"/>
          <w:szCs w:val="24"/>
        </w:rPr>
        <w:t>medidas</w:t>
      </w:r>
      <w:r w:rsidRPr="00395593">
        <w:rPr>
          <w:rFonts w:ascii="Garamond" w:hAnsi="Garamond"/>
          <w:spacing w:val="1"/>
          <w:sz w:val="24"/>
          <w:szCs w:val="24"/>
        </w:rPr>
        <w:t xml:space="preserve"> </w:t>
      </w:r>
      <w:r w:rsidRPr="00395593">
        <w:rPr>
          <w:rFonts w:ascii="Garamond" w:hAnsi="Garamond"/>
          <w:sz w:val="24"/>
          <w:szCs w:val="24"/>
        </w:rPr>
        <w:t>preventivas</w:t>
      </w:r>
      <w:r w:rsidRPr="00395593">
        <w:rPr>
          <w:rFonts w:ascii="Garamond" w:hAnsi="Garamond"/>
          <w:spacing w:val="1"/>
          <w:sz w:val="24"/>
          <w:szCs w:val="24"/>
        </w:rPr>
        <w:t xml:space="preserve"> </w:t>
      </w:r>
      <w:r w:rsidRPr="00395593">
        <w:rPr>
          <w:rFonts w:ascii="Garamond" w:hAnsi="Garamond"/>
          <w:sz w:val="24"/>
          <w:szCs w:val="24"/>
        </w:rPr>
        <w:t>para</w:t>
      </w:r>
      <w:r w:rsidRPr="00395593">
        <w:rPr>
          <w:rFonts w:ascii="Garamond" w:hAnsi="Garamond"/>
          <w:spacing w:val="1"/>
          <w:sz w:val="24"/>
          <w:szCs w:val="24"/>
        </w:rPr>
        <w:t xml:space="preserve"> </w:t>
      </w:r>
      <w:r w:rsidRPr="00395593">
        <w:rPr>
          <w:rFonts w:ascii="Garamond" w:hAnsi="Garamond"/>
          <w:sz w:val="24"/>
          <w:szCs w:val="24"/>
        </w:rPr>
        <w:t>o</w:t>
      </w:r>
      <w:r w:rsidRPr="00395593">
        <w:rPr>
          <w:rFonts w:ascii="Garamond" w:hAnsi="Garamond"/>
          <w:spacing w:val="1"/>
          <w:sz w:val="24"/>
          <w:szCs w:val="24"/>
        </w:rPr>
        <w:t xml:space="preserve"> </w:t>
      </w:r>
      <w:r w:rsidRPr="00395593">
        <w:rPr>
          <w:rFonts w:ascii="Garamond" w:hAnsi="Garamond"/>
          <w:sz w:val="24"/>
          <w:szCs w:val="24"/>
        </w:rPr>
        <w:t>caso</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sz w:val="24"/>
          <w:szCs w:val="24"/>
        </w:rPr>
        <w:t>ser</w:t>
      </w:r>
      <w:r w:rsidRPr="00395593">
        <w:rPr>
          <w:rFonts w:ascii="Garamond" w:hAnsi="Garamond"/>
          <w:spacing w:val="1"/>
          <w:sz w:val="24"/>
          <w:szCs w:val="24"/>
        </w:rPr>
        <w:t xml:space="preserve"> </w:t>
      </w:r>
      <w:r w:rsidRPr="00395593">
        <w:rPr>
          <w:rFonts w:ascii="Garamond" w:hAnsi="Garamond"/>
          <w:sz w:val="24"/>
          <w:szCs w:val="24"/>
        </w:rPr>
        <w:t>devido</w:t>
      </w:r>
      <w:r w:rsidRPr="00395593">
        <w:rPr>
          <w:rFonts w:ascii="Garamond" w:hAnsi="Garamond"/>
          <w:spacing w:val="1"/>
          <w:sz w:val="24"/>
          <w:szCs w:val="24"/>
        </w:rPr>
        <w:t xml:space="preserve"> </w:t>
      </w:r>
      <w:r w:rsidRPr="00395593">
        <w:rPr>
          <w:rFonts w:ascii="Garamond" w:hAnsi="Garamond"/>
          <w:sz w:val="24"/>
          <w:szCs w:val="24"/>
        </w:rPr>
        <w:t>pronto</w:t>
      </w:r>
      <w:r w:rsidRPr="00395593">
        <w:rPr>
          <w:rFonts w:ascii="Garamond" w:hAnsi="Garamond"/>
          <w:spacing w:val="1"/>
          <w:sz w:val="24"/>
          <w:szCs w:val="24"/>
        </w:rPr>
        <w:t xml:space="preserve"> </w:t>
      </w:r>
      <w:r w:rsidRPr="00395593">
        <w:rPr>
          <w:rFonts w:ascii="Garamond" w:hAnsi="Garamond"/>
          <w:sz w:val="24"/>
          <w:szCs w:val="24"/>
        </w:rPr>
        <w:t>reembolso, caso solicitado, de qualquer direito anti-</w:t>
      </w:r>
      <w:r w:rsidRPr="00395593">
        <w:rPr>
          <w:rFonts w:ascii="Garamond" w:hAnsi="Garamond"/>
          <w:i/>
          <w:sz w:val="24"/>
          <w:szCs w:val="24"/>
        </w:rPr>
        <w:t xml:space="preserve">dumping </w:t>
      </w:r>
      <w:r w:rsidRPr="00395593">
        <w:rPr>
          <w:rFonts w:ascii="Garamond" w:hAnsi="Garamond"/>
          <w:sz w:val="24"/>
          <w:szCs w:val="24"/>
        </w:rPr>
        <w:t>cobrado em excesso,</w:t>
      </w:r>
      <w:r w:rsidRPr="00395593">
        <w:rPr>
          <w:rFonts w:ascii="Garamond" w:hAnsi="Garamond"/>
          <w:spacing w:val="1"/>
          <w:sz w:val="24"/>
          <w:szCs w:val="24"/>
        </w:rPr>
        <w:t xml:space="preserve"> </w:t>
      </w:r>
      <w:r w:rsidRPr="00395593">
        <w:rPr>
          <w:rFonts w:ascii="Garamond" w:hAnsi="Garamond"/>
          <w:sz w:val="24"/>
          <w:szCs w:val="24"/>
        </w:rPr>
        <w:t xml:space="preserve">além da margem de </w:t>
      </w:r>
      <w:r w:rsidRPr="00395593">
        <w:rPr>
          <w:rFonts w:ascii="Garamond" w:hAnsi="Garamond"/>
          <w:i/>
          <w:sz w:val="24"/>
          <w:szCs w:val="24"/>
        </w:rPr>
        <w:t>dumping</w:t>
      </w:r>
      <w:r w:rsidRPr="00395593">
        <w:rPr>
          <w:rFonts w:ascii="Garamond" w:hAnsi="Garamond"/>
          <w:sz w:val="24"/>
          <w:szCs w:val="24"/>
        </w:rPr>
        <w:t>. O reembolso desse direito excedente sobre a margem</w:t>
      </w:r>
      <w:r w:rsidRPr="00395593">
        <w:rPr>
          <w:rFonts w:ascii="Garamond" w:hAnsi="Garamond"/>
          <w:spacing w:val="1"/>
          <w:sz w:val="24"/>
          <w:szCs w:val="24"/>
        </w:rPr>
        <w:t xml:space="preserve"> </w:t>
      </w:r>
      <w:r w:rsidRPr="00395593">
        <w:rPr>
          <w:rFonts w:ascii="Garamond" w:hAnsi="Garamond"/>
          <w:sz w:val="24"/>
          <w:szCs w:val="24"/>
        </w:rPr>
        <w:t xml:space="preserve">de </w:t>
      </w:r>
      <w:r w:rsidRPr="00395593">
        <w:rPr>
          <w:rFonts w:ascii="Garamond" w:hAnsi="Garamond"/>
          <w:i/>
          <w:sz w:val="24"/>
          <w:szCs w:val="24"/>
        </w:rPr>
        <w:t xml:space="preserve">dumping </w:t>
      </w:r>
      <w:r w:rsidRPr="00395593">
        <w:rPr>
          <w:rFonts w:ascii="Garamond" w:hAnsi="Garamond"/>
          <w:sz w:val="24"/>
          <w:szCs w:val="24"/>
        </w:rPr>
        <w:t>deverá, normalmente, ocorrer dentro de 12 meses e nunca além de 18</w:t>
      </w:r>
      <w:r w:rsidRPr="00395593">
        <w:rPr>
          <w:rFonts w:ascii="Garamond" w:hAnsi="Garamond"/>
          <w:spacing w:val="1"/>
          <w:sz w:val="24"/>
          <w:szCs w:val="24"/>
        </w:rPr>
        <w:t xml:space="preserve"> </w:t>
      </w:r>
      <w:r w:rsidRPr="00395593">
        <w:rPr>
          <w:rFonts w:ascii="Garamond" w:hAnsi="Garamond"/>
          <w:sz w:val="24"/>
          <w:szCs w:val="24"/>
        </w:rPr>
        <w:t>meses após a data em que solicitação de reembolso devidamente fundamentada</w:t>
      </w:r>
      <w:r w:rsidRPr="00395593">
        <w:rPr>
          <w:rFonts w:ascii="Garamond" w:hAnsi="Garamond"/>
          <w:spacing w:val="1"/>
          <w:sz w:val="24"/>
          <w:szCs w:val="24"/>
        </w:rPr>
        <w:t xml:space="preserve"> </w:t>
      </w:r>
      <w:r w:rsidRPr="00395593">
        <w:rPr>
          <w:rFonts w:ascii="Garamond" w:hAnsi="Garamond"/>
          <w:sz w:val="24"/>
          <w:szCs w:val="24"/>
        </w:rPr>
        <w:t xml:space="preserve">tenha sido formulada pelo importador do produto objeto do direito </w:t>
      </w:r>
      <w:r w:rsidRPr="00395593">
        <w:rPr>
          <w:rFonts w:ascii="Garamond" w:hAnsi="Garamond"/>
          <w:i/>
          <w:sz w:val="24"/>
          <w:szCs w:val="24"/>
        </w:rPr>
        <w:t>anti</w:t>
      </w:r>
      <w:r w:rsidRPr="00395593">
        <w:rPr>
          <w:rFonts w:ascii="Garamond" w:hAnsi="Garamond"/>
          <w:sz w:val="24"/>
          <w:szCs w:val="24"/>
        </w:rPr>
        <w:t>-</w:t>
      </w:r>
      <w:r w:rsidRPr="00395593">
        <w:rPr>
          <w:rFonts w:ascii="Garamond" w:hAnsi="Garamond"/>
          <w:i/>
          <w:sz w:val="24"/>
          <w:szCs w:val="24"/>
        </w:rPr>
        <w:t>dumping</w:t>
      </w:r>
      <w:r w:rsidRPr="00395593">
        <w:rPr>
          <w:rFonts w:ascii="Garamond" w:hAnsi="Garamond"/>
          <w:sz w:val="24"/>
          <w:szCs w:val="24"/>
        </w:rPr>
        <w:t>. O</w:t>
      </w:r>
      <w:r w:rsidRPr="00395593">
        <w:rPr>
          <w:rFonts w:ascii="Garamond" w:hAnsi="Garamond"/>
          <w:spacing w:val="1"/>
          <w:sz w:val="24"/>
          <w:szCs w:val="24"/>
        </w:rPr>
        <w:t xml:space="preserve"> </w:t>
      </w:r>
      <w:r w:rsidRPr="00395593">
        <w:rPr>
          <w:rFonts w:ascii="Garamond" w:hAnsi="Garamond"/>
          <w:sz w:val="24"/>
          <w:szCs w:val="24"/>
        </w:rPr>
        <w:t>reembolso autorizado deverá efetuar-se dentro de 90 dias a contar da decisão a que</w:t>
      </w:r>
      <w:r w:rsidRPr="00395593">
        <w:rPr>
          <w:rFonts w:ascii="Garamond" w:hAnsi="Garamond"/>
          <w:spacing w:val="1"/>
          <w:sz w:val="24"/>
          <w:szCs w:val="24"/>
        </w:rPr>
        <w:t xml:space="preserve"> </w:t>
      </w:r>
      <w:r w:rsidRPr="00395593">
        <w:rPr>
          <w:rFonts w:ascii="Garamond" w:hAnsi="Garamond"/>
          <w:sz w:val="24"/>
          <w:szCs w:val="24"/>
        </w:rPr>
        <w:t>se</w:t>
      </w:r>
      <w:r w:rsidRPr="00395593">
        <w:rPr>
          <w:rFonts w:ascii="Garamond" w:hAnsi="Garamond"/>
          <w:spacing w:val="-2"/>
          <w:sz w:val="24"/>
          <w:szCs w:val="24"/>
        </w:rPr>
        <w:t xml:space="preserve"> </w:t>
      </w:r>
      <w:r w:rsidRPr="00395593">
        <w:rPr>
          <w:rFonts w:ascii="Garamond" w:hAnsi="Garamond"/>
          <w:sz w:val="24"/>
          <w:szCs w:val="24"/>
        </w:rPr>
        <w:t>faz</w:t>
      </w:r>
      <w:r w:rsidRPr="00395593">
        <w:rPr>
          <w:rFonts w:ascii="Garamond" w:hAnsi="Garamond"/>
          <w:spacing w:val="1"/>
          <w:sz w:val="24"/>
          <w:szCs w:val="24"/>
        </w:rPr>
        <w:t xml:space="preserve"> </w:t>
      </w:r>
      <w:r w:rsidRPr="00395593">
        <w:rPr>
          <w:rFonts w:ascii="Garamond" w:hAnsi="Garamond"/>
          <w:sz w:val="24"/>
          <w:szCs w:val="24"/>
        </w:rPr>
        <w:t>referência acima;</w:t>
      </w:r>
    </w:p>
    <w:p w14:paraId="735664FD" w14:textId="77777777" w:rsidR="0013285C" w:rsidRPr="00395593" w:rsidRDefault="0013285C" w:rsidP="0013285C">
      <w:pPr>
        <w:pStyle w:val="Corpodetexto"/>
        <w:spacing w:before="1"/>
        <w:rPr>
          <w:rFonts w:ascii="Garamond" w:hAnsi="Garamond"/>
        </w:rPr>
      </w:pPr>
    </w:p>
    <w:p w14:paraId="546D25E9" w14:textId="77777777" w:rsidR="0013285C" w:rsidRPr="00395593" w:rsidRDefault="0013285C" w:rsidP="002C4340">
      <w:pPr>
        <w:pStyle w:val="PargrafodaLista"/>
        <w:widowControl w:val="0"/>
        <w:numPr>
          <w:ilvl w:val="1"/>
          <w:numId w:val="15"/>
        </w:numPr>
        <w:tabs>
          <w:tab w:val="left" w:pos="1170"/>
        </w:tabs>
        <w:autoSpaceDE w:val="0"/>
        <w:autoSpaceDN w:val="0"/>
        <w:spacing w:after="0" w:line="240" w:lineRule="auto"/>
        <w:ind w:left="821" w:right="117" w:firstLine="0"/>
        <w:contextualSpacing w:val="0"/>
        <w:jc w:val="both"/>
        <w:rPr>
          <w:rFonts w:ascii="Garamond" w:hAnsi="Garamond"/>
          <w:sz w:val="24"/>
          <w:szCs w:val="24"/>
        </w:rPr>
      </w:pPr>
      <w:r w:rsidRPr="00395593">
        <w:rPr>
          <w:rFonts w:ascii="Garamond" w:hAnsi="Garamond"/>
          <w:sz w:val="24"/>
          <w:szCs w:val="24"/>
        </w:rPr>
        <w:t>Quando o preço de exportação for construído de acordo com o parágrafo 4 do</w:t>
      </w:r>
      <w:r w:rsidRPr="00395593">
        <w:rPr>
          <w:rFonts w:ascii="Garamond" w:hAnsi="Garamond"/>
          <w:spacing w:val="1"/>
          <w:sz w:val="24"/>
          <w:szCs w:val="24"/>
        </w:rPr>
        <w:t xml:space="preserve"> </w:t>
      </w:r>
      <w:r w:rsidRPr="00395593">
        <w:rPr>
          <w:rFonts w:ascii="Garamond" w:hAnsi="Garamond"/>
          <w:sz w:val="24"/>
          <w:szCs w:val="24"/>
        </w:rPr>
        <w:t>Artigo 2, as autoridades, na determinação da aplicabilidade e do alcance da um</w:t>
      </w:r>
      <w:r w:rsidRPr="00395593">
        <w:rPr>
          <w:rFonts w:ascii="Garamond" w:hAnsi="Garamond"/>
          <w:spacing w:val="1"/>
          <w:sz w:val="24"/>
          <w:szCs w:val="24"/>
        </w:rPr>
        <w:t xml:space="preserve"> </w:t>
      </w:r>
      <w:r w:rsidRPr="00395593">
        <w:rPr>
          <w:rFonts w:ascii="Garamond" w:hAnsi="Garamond"/>
          <w:sz w:val="24"/>
          <w:szCs w:val="24"/>
        </w:rPr>
        <w:t>reembolso, levarão em conta toda alteração no valor normal, alteração nos custos</w:t>
      </w:r>
      <w:r w:rsidRPr="00395593">
        <w:rPr>
          <w:rFonts w:ascii="Garamond" w:hAnsi="Garamond"/>
          <w:spacing w:val="1"/>
          <w:sz w:val="24"/>
          <w:szCs w:val="24"/>
        </w:rPr>
        <w:t xml:space="preserve"> </w:t>
      </w:r>
      <w:r w:rsidRPr="00395593">
        <w:rPr>
          <w:rFonts w:ascii="Garamond" w:hAnsi="Garamond"/>
          <w:sz w:val="24"/>
          <w:szCs w:val="24"/>
        </w:rPr>
        <w:t>incorridos entre a importação e a revenda e qualquer alteração no preço de revenda</w:t>
      </w:r>
      <w:r w:rsidRPr="00395593">
        <w:rPr>
          <w:rFonts w:ascii="Garamond" w:hAnsi="Garamond"/>
          <w:spacing w:val="1"/>
          <w:sz w:val="24"/>
          <w:szCs w:val="24"/>
        </w:rPr>
        <w:t xml:space="preserve"> </w:t>
      </w:r>
      <w:r w:rsidRPr="00395593">
        <w:rPr>
          <w:rFonts w:ascii="Garamond" w:hAnsi="Garamond"/>
          <w:sz w:val="24"/>
          <w:szCs w:val="24"/>
        </w:rPr>
        <w:t>que se tenha refletido, devidamente, nos subseqüentes preços de venda e calcularão</w:t>
      </w:r>
      <w:r w:rsidRPr="00395593">
        <w:rPr>
          <w:rFonts w:ascii="Garamond" w:hAnsi="Garamond"/>
          <w:spacing w:val="1"/>
          <w:sz w:val="24"/>
          <w:szCs w:val="24"/>
        </w:rPr>
        <w:t xml:space="preserve"> </w:t>
      </w:r>
      <w:r w:rsidRPr="00395593">
        <w:rPr>
          <w:rFonts w:ascii="Garamond" w:hAnsi="Garamond"/>
          <w:sz w:val="24"/>
          <w:szCs w:val="24"/>
        </w:rPr>
        <w:t>o</w:t>
      </w:r>
      <w:r w:rsidRPr="00395593">
        <w:rPr>
          <w:rFonts w:ascii="Garamond" w:hAnsi="Garamond"/>
          <w:spacing w:val="1"/>
          <w:sz w:val="24"/>
          <w:szCs w:val="24"/>
        </w:rPr>
        <w:t xml:space="preserve"> </w:t>
      </w:r>
      <w:r w:rsidRPr="00395593">
        <w:rPr>
          <w:rFonts w:ascii="Garamond" w:hAnsi="Garamond"/>
          <w:sz w:val="24"/>
          <w:szCs w:val="24"/>
        </w:rPr>
        <w:t>preço</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sz w:val="24"/>
          <w:szCs w:val="24"/>
        </w:rPr>
        <w:t>exportação</w:t>
      </w:r>
      <w:r w:rsidRPr="00395593">
        <w:rPr>
          <w:rFonts w:ascii="Garamond" w:hAnsi="Garamond"/>
          <w:spacing w:val="1"/>
          <w:sz w:val="24"/>
          <w:szCs w:val="24"/>
        </w:rPr>
        <w:t xml:space="preserve"> </w:t>
      </w:r>
      <w:r w:rsidRPr="00395593">
        <w:rPr>
          <w:rFonts w:ascii="Garamond" w:hAnsi="Garamond"/>
          <w:sz w:val="24"/>
          <w:szCs w:val="24"/>
        </w:rPr>
        <w:t>sem</w:t>
      </w:r>
      <w:r w:rsidRPr="00395593">
        <w:rPr>
          <w:rFonts w:ascii="Garamond" w:hAnsi="Garamond"/>
          <w:spacing w:val="1"/>
          <w:sz w:val="24"/>
          <w:szCs w:val="24"/>
        </w:rPr>
        <w:t xml:space="preserve"> </w:t>
      </w:r>
      <w:r w:rsidRPr="00395593">
        <w:rPr>
          <w:rFonts w:ascii="Garamond" w:hAnsi="Garamond"/>
          <w:sz w:val="24"/>
          <w:szCs w:val="24"/>
        </w:rPr>
        <w:t>dedução</w:t>
      </w:r>
      <w:r w:rsidRPr="00395593">
        <w:rPr>
          <w:rFonts w:ascii="Garamond" w:hAnsi="Garamond"/>
          <w:spacing w:val="1"/>
          <w:sz w:val="24"/>
          <w:szCs w:val="24"/>
        </w:rPr>
        <w:t xml:space="preserve"> </w:t>
      </w:r>
      <w:r w:rsidRPr="00395593">
        <w:rPr>
          <w:rFonts w:ascii="Garamond" w:hAnsi="Garamond"/>
          <w:sz w:val="24"/>
          <w:szCs w:val="24"/>
        </w:rPr>
        <w:t>dos</w:t>
      </w:r>
      <w:r w:rsidRPr="00395593">
        <w:rPr>
          <w:rFonts w:ascii="Garamond" w:hAnsi="Garamond"/>
          <w:spacing w:val="1"/>
          <w:sz w:val="24"/>
          <w:szCs w:val="24"/>
        </w:rPr>
        <w:t xml:space="preserve"> </w:t>
      </w:r>
      <w:r w:rsidRPr="00395593">
        <w:rPr>
          <w:rFonts w:ascii="Garamond" w:hAnsi="Garamond"/>
          <w:sz w:val="24"/>
          <w:szCs w:val="24"/>
        </w:rPr>
        <w:t>direitos</w:t>
      </w:r>
      <w:r w:rsidRPr="00395593">
        <w:rPr>
          <w:rFonts w:ascii="Garamond" w:hAnsi="Garamond"/>
          <w:spacing w:val="1"/>
          <w:sz w:val="24"/>
          <w:szCs w:val="24"/>
        </w:rPr>
        <w:t xml:space="preserve"> </w:t>
      </w:r>
      <w:r w:rsidRPr="00395593">
        <w:rPr>
          <w:rFonts w:ascii="Garamond" w:hAnsi="Garamond"/>
          <w:i/>
          <w:sz w:val="24"/>
          <w:szCs w:val="24"/>
        </w:rPr>
        <w:t>anti</w:t>
      </w:r>
      <w:r w:rsidRPr="00395593">
        <w:rPr>
          <w:rFonts w:ascii="Garamond" w:hAnsi="Garamond"/>
          <w:sz w:val="24"/>
          <w:szCs w:val="24"/>
        </w:rPr>
        <w:t>-</w:t>
      </w:r>
      <w:r w:rsidRPr="00395593">
        <w:rPr>
          <w:rFonts w:ascii="Garamond" w:hAnsi="Garamond"/>
          <w:i/>
          <w:sz w:val="24"/>
          <w:szCs w:val="24"/>
        </w:rPr>
        <w:t>dumping</w:t>
      </w:r>
      <w:r w:rsidRPr="00395593">
        <w:rPr>
          <w:rFonts w:ascii="Garamond" w:hAnsi="Garamond"/>
          <w:i/>
          <w:spacing w:val="1"/>
          <w:sz w:val="24"/>
          <w:szCs w:val="24"/>
        </w:rPr>
        <w:t xml:space="preserve"> </w:t>
      </w:r>
      <w:r w:rsidRPr="00395593">
        <w:rPr>
          <w:rFonts w:ascii="Garamond" w:hAnsi="Garamond"/>
          <w:sz w:val="24"/>
          <w:szCs w:val="24"/>
        </w:rPr>
        <w:t>pagos,</w:t>
      </w:r>
      <w:r w:rsidRPr="00395593">
        <w:rPr>
          <w:rFonts w:ascii="Garamond" w:hAnsi="Garamond"/>
          <w:spacing w:val="1"/>
          <w:sz w:val="24"/>
          <w:szCs w:val="24"/>
        </w:rPr>
        <w:t xml:space="preserve"> </w:t>
      </w:r>
      <w:r w:rsidRPr="00395593">
        <w:rPr>
          <w:rFonts w:ascii="Garamond" w:hAnsi="Garamond"/>
          <w:sz w:val="24"/>
          <w:szCs w:val="24"/>
        </w:rPr>
        <w:t>se</w:t>
      </w:r>
      <w:r w:rsidRPr="00395593">
        <w:rPr>
          <w:rFonts w:ascii="Garamond" w:hAnsi="Garamond"/>
          <w:spacing w:val="-57"/>
          <w:sz w:val="24"/>
          <w:szCs w:val="24"/>
        </w:rPr>
        <w:t xml:space="preserve"> </w:t>
      </w:r>
      <w:r w:rsidRPr="00395593">
        <w:rPr>
          <w:rFonts w:ascii="Garamond" w:hAnsi="Garamond"/>
          <w:sz w:val="24"/>
          <w:szCs w:val="24"/>
        </w:rPr>
        <w:t>demonstração</w:t>
      </w:r>
      <w:r w:rsidRPr="00395593">
        <w:rPr>
          <w:rFonts w:ascii="Garamond" w:hAnsi="Garamond"/>
          <w:spacing w:val="1"/>
          <w:sz w:val="24"/>
          <w:szCs w:val="24"/>
        </w:rPr>
        <w:t xml:space="preserve"> </w:t>
      </w:r>
      <w:r w:rsidRPr="00395593">
        <w:rPr>
          <w:rFonts w:ascii="Garamond" w:hAnsi="Garamond"/>
          <w:sz w:val="24"/>
          <w:szCs w:val="24"/>
        </w:rPr>
        <w:t>conclusiva</w:t>
      </w:r>
      <w:r w:rsidRPr="00395593">
        <w:rPr>
          <w:rFonts w:ascii="Garamond" w:hAnsi="Garamond"/>
          <w:spacing w:val="1"/>
          <w:sz w:val="24"/>
          <w:szCs w:val="24"/>
        </w:rPr>
        <w:t xml:space="preserve"> </w:t>
      </w:r>
      <w:r w:rsidRPr="00395593">
        <w:rPr>
          <w:rFonts w:ascii="Garamond" w:hAnsi="Garamond"/>
          <w:sz w:val="24"/>
          <w:szCs w:val="24"/>
        </w:rPr>
        <w:t>do que</w:t>
      </w:r>
      <w:r w:rsidRPr="00395593">
        <w:rPr>
          <w:rFonts w:ascii="Garamond" w:hAnsi="Garamond"/>
          <w:spacing w:val="-1"/>
          <w:sz w:val="24"/>
          <w:szCs w:val="24"/>
        </w:rPr>
        <w:t xml:space="preserve"> </w:t>
      </w:r>
      <w:r w:rsidRPr="00395593">
        <w:rPr>
          <w:rFonts w:ascii="Garamond" w:hAnsi="Garamond"/>
          <w:sz w:val="24"/>
          <w:szCs w:val="24"/>
        </w:rPr>
        <w:t>precede for</w:t>
      </w:r>
      <w:r w:rsidRPr="00395593">
        <w:rPr>
          <w:rFonts w:ascii="Garamond" w:hAnsi="Garamond"/>
          <w:spacing w:val="-2"/>
          <w:sz w:val="24"/>
          <w:szCs w:val="24"/>
        </w:rPr>
        <w:t xml:space="preserve"> </w:t>
      </w:r>
      <w:r w:rsidRPr="00395593">
        <w:rPr>
          <w:rFonts w:ascii="Garamond" w:hAnsi="Garamond"/>
          <w:sz w:val="24"/>
          <w:szCs w:val="24"/>
        </w:rPr>
        <w:t>apresentada.</w:t>
      </w:r>
    </w:p>
    <w:p w14:paraId="7A5439FA" w14:textId="77777777" w:rsidR="0013285C" w:rsidRPr="00395593" w:rsidRDefault="0013285C" w:rsidP="0013285C">
      <w:pPr>
        <w:pStyle w:val="Corpodetexto"/>
        <w:rPr>
          <w:rFonts w:ascii="Garamond" w:hAnsi="Garamond"/>
        </w:rPr>
      </w:pPr>
    </w:p>
    <w:p w14:paraId="0C411FF6" w14:textId="77777777" w:rsidR="0013285C" w:rsidRPr="00395593" w:rsidRDefault="0013285C" w:rsidP="002C4340">
      <w:pPr>
        <w:pStyle w:val="PargrafodaLista"/>
        <w:widowControl w:val="0"/>
        <w:numPr>
          <w:ilvl w:val="0"/>
          <w:numId w:val="15"/>
        </w:numPr>
        <w:tabs>
          <w:tab w:val="left" w:pos="810"/>
        </w:tabs>
        <w:autoSpaceDE w:val="0"/>
        <w:autoSpaceDN w:val="0"/>
        <w:spacing w:after="0" w:line="240" w:lineRule="auto"/>
        <w:ind w:right="118" w:firstLine="0"/>
        <w:contextualSpacing w:val="0"/>
        <w:jc w:val="both"/>
        <w:rPr>
          <w:rFonts w:ascii="Garamond" w:hAnsi="Garamond"/>
          <w:sz w:val="24"/>
          <w:szCs w:val="24"/>
        </w:rPr>
      </w:pPr>
      <w:r w:rsidRPr="00395593">
        <w:rPr>
          <w:rFonts w:ascii="Garamond" w:hAnsi="Garamond"/>
          <w:sz w:val="24"/>
          <w:szCs w:val="24"/>
        </w:rPr>
        <w:t>Quando</w:t>
      </w:r>
      <w:r w:rsidRPr="00395593">
        <w:rPr>
          <w:rFonts w:ascii="Garamond" w:hAnsi="Garamond"/>
          <w:spacing w:val="1"/>
          <w:sz w:val="24"/>
          <w:szCs w:val="24"/>
        </w:rPr>
        <w:t xml:space="preserve"> </w:t>
      </w:r>
      <w:r w:rsidRPr="00395593">
        <w:rPr>
          <w:rFonts w:ascii="Garamond" w:hAnsi="Garamond"/>
          <w:sz w:val="24"/>
          <w:szCs w:val="24"/>
        </w:rPr>
        <w:t>as</w:t>
      </w:r>
      <w:r w:rsidRPr="00395593">
        <w:rPr>
          <w:rFonts w:ascii="Garamond" w:hAnsi="Garamond"/>
          <w:spacing w:val="1"/>
          <w:sz w:val="24"/>
          <w:szCs w:val="24"/>
        </w:rPr>
        <w:t xml:space="preserve"> </w:t>
      </w:r>
      <w:r w:rsidRPr="00395593">
        <w:rPr>
          <w:rFonts w:ascii="Garamond" w:hAnsi="Garamond"/>
          <w:sz w:val="24"/>
          <w:szCs w:val="24"/>
        </w:rPr>
        <w:t>autoridades</w:t>
      </w:r>
      <w:r w:rsidRPr="00395593">
        <w:rPr>
          <w:rFonts w:ascii="Garamond" w:hAnsi="Garamond"/>
          <w:spacing w:val="1"/>
          <w:sz w:val="24"/>
          <w:szCs w:val="24"/>
        </w:rPr>
        <w:t xml:space="preserve"> </w:t>
      </w:r>
      <w:r w:rsidRPr="00395593">
        <w:rPr>
          <w:rFonts w:ascii="Garamond" w:hAnsi="Garamond"/>
          <w:sz w:val="24"/>
          <w:szCs w:val="24"/>
        </w:rPr>
        <w:t>tiverem</w:t>
      </w:r>
      <w:r w:rsidRPr="00395593">
        <w:rPr>
          <w:rFonts w:ascii="Garamond" w:hAnsi="Garamond"/>
          <w:spacing w:val="1"/>
          <w:sz w:val="24"/>
          <w:szCs w:val="24"/>
        </w:rPr>
        <w:t xml:space="preserve"> </w:t>
      </w:r>
      <w:r w:rsidRPr="00395593">
        <w:rPr>
          <w:rFonts w:ascii="Garamond" w:hAnsi="Garamond"/>
          <w:sz w:val="24"/>
          <w:szCs w:val="24"/>
        </w:rPr>
        <w:t>limitado</w:t>
      </w:r>
      <w:r w:rsidRPr="00395593">
        <w:rPr>
          <w:rFonts w:ascii="Garamond" w:hAnsi="Garamond"/>
          <w:spacing w:val="1"/>
          <w:sz w:val="24"/>
          <w:szCs w:val="24"/>
        </w:rPr>
        <w:t xml:space="preserve"> </w:t>
      </w:r>
      <w:r w:rsidRPr="00395593">
        <w:rPr>
          <w:rFonts w:ascii="Garamond" w:hAnsi="Garamond"/>
          <w:sz w:val="24"/>
          <w:szCs w:val="24"/>
        </w:rPr>
        <w:t>seu</w:t>
      </w:r>
      <w:r w:rsidRPr="00395593">
        <w:rPr>
          <w:rFonts w:ascii="Garamond" w:hAnsi="Garamond"/>
          <w:spacing w:val="1"/>
          <w:sz w:val="24"/>
          <w:szCs w:val="24"/>
        </w:rPr>
        <w:t xml:space="preserve"> </w:t>
      </w:r>
      <w:r w:rsidRPr="00395593">
        <w:rPr>
          <w:rFonts w:ascii="Garamond" w:hAnsi="Garamond"/>
          <w:sz w:val="24"/>
          <w:szCs w:val="24"/>
        </w:rPr>
        <w:t>exame,</w:t>
      </w:r>
      <w:r w:rsidRPr="00395593">
        <w:rPr>
          <w:rFonts w:ascii="Garamond" w:hAnsi="Garamond"/>
          <w:spacing w:val="1"/>
          <w:sz w:val="24"/>
          <w:szCs w:val="24"/>
        </w:rPr>
        <w:t xml:space="preserve"> </w:t>
      </w:r>
      <w:r w:rsidRPr="00395593">
        <w:rPr>
          <w:rFonts w:ascii="Garamond" w:hAnsi="Garamond"/>
          <w:sz w:val="24"/>
          <w:szCs w:val="24"/>
        </w:rPr>
        <w:t>conforme</w:t>
      </w:r>
      <w:r w:rsidRPr="00395593">
        <w:rPr>
          <w:rFonts w:ascii="Garamond" w:hAnsi="Garamond"/>
          <w:spacing w:val="1"/>
          <w:sz w:val="24"/>
          <w:szCs w:val="24"/>
        </w:rPr>
        <w:t xml:space="preserve"> </w:t>
      </w:r>
      <w:r w:rsidRPr="00395593">
        <w:rPr>
          <w:rFonts w:ascii="Garamond" w:hAnsi="Garamond"/>
          <w:sz w:val="24"/>
          <w:szCs w:val="24"/>
        </w:rPr>
        <w:t>o</w:t>
      </w:r>
      <w:r w:rsidRPr="00395593">
        <w:rPr>
          <w:rFonts w:ascii="Garamond" w:hAnsi="Garamond"/>
          <w:spacing w:val="1"/>
          <w:sz w:val="24"/>
          <w:szCs w:val="24"/>
        </w:rPr>
        <w:t xml:space="preserve"> </w:t>
      </w:r>
      <w:r w:rsidRPr="00395593">
        <w:rPr>
          <w:rFonts w:ascii="Garamond" w:hAnsi="Garamond"/>
          <w:sz w:val="24"/>
          <w:szCs w:val="24"/>
        </w:rPr>
        <w:t>disposto</w:t>
      </w:r>
      <w:r w:rsidRPr="00395593">
        <w:rPr>
          <w:rFonts w:ascii="Garamond" w:hAnsi="Garamond"/>
          <w:spacing w:val="60"/>
          <w:sz w:val="24"/>
          <w:szCs w:val="24"/>
        </w:rPr>
        <w:t xml:space="preserve"> </w:t>
      </w:r>
      <w:r w:rsidRPr="00395593">
        <w:rPr>
          <w:rFonts w:ascii="Garamond" w:hAnsi="Garamond"/>
          <w:sz w:val="24"/>
          <w:szCs w:val="24"/>
        </w:rPr>
        <w:t>no</w:t>
      </w:r>
      <w:r w:rsidRPr="00395593">
        <w:rPr>
          <w:rFonts w:ascii="Garamond" w:hAnsi="Garamond"/>
          <w:spacing w:val="1"/>
          <w:sz w:val="24"/>
          <w:szCs w:val="24"/>
        </w:rPr>
        <w:t xml:space="preserve"> </w:t>
      </w:r>
      <w:r w:rsidRPr="00395593">
        <w:rPr>
          <w:rFonts w:ascii="Garamond" w:hAnsi="Garamond"/>
          <w:sz w:val="24"/>
          <w:szCs w:val="24"/>
        </w:rPr>
        <w:t>segundo</w:t>
      </w:r>
      <w:r w:rsidRPr="00395593">
        <w:rPr>
          <w:rFonts w:ascii="Garamond" w:hAnsi="Garamond"/>
          <w:spacing w:val="1"/>
          <w:sz w:val="24"/>
          <w:szCs w:val="24"/>
        </w:rPr>
        <w:t xml:space="preserve"> </w:t>
      </w:r>
      <w:r w:rsidRPr="00395593">
        <w:rPr>
          <w:rFonts w:ascii="Garamond" w:hAnsi="Garamond"/>
          <w:sz w:val="24"/>
          <w:szCs w:val="24"/>
        </w:rPr>
        <w:t>período</w:t>
      </w:r>
      <w:r w:rsidRPr="00395593">
        <w:rPr>
          <w:rFonts w:ascii="Garamond" w:hAnsi="Garamond"/>
          <w:spacing w:val="1"/>
          <w:sz w:val="24"/>
          <w:szCs w:val="24"/>
        </w:rPr>
        <w:t xml:space="preserve"> </w:t>
      </w:r>
      <w:r w:rsidRPr="00395593">
        <w:rPr>
          <w:rFonts w:ascii="Garamond" w:hAnsi="Garamond"/>
          <w:sz w:val="24"/>
          <w:szCs w:val="24"/>
        </w:rPr>
        <w:t>do</w:t>
      </w:r>
      <w:r w:rsidRPr="00395593">
        <w:rPr>
          <w:rFonts w:ascii="Garamond" w:hAnsi="Garamond"/>
          <w:spacing w:val="1"/>
          <w:sz w:val="24"/>
          <w:szCs w:val="24"/>
        </w:rPr>
        <w:t xml:space="preserve"> </w:t>
      </w:r>
      <w:r w:rsidRPr="00395593">
        <w:rPr>
          <w:rFonts w:ascii="Garamond" w:hAnsi="Garamond"/>
          <w:sz w:val="24"/>
          <w:szCs w:val="24"/>
        </w:rPr>
        <w:t>parágrafo</w:t>
      </w:r>
      <w:r w:rsidRPr="00395593">
        <w:rPr>
          <w:rFonts w:ascii="Garamond" w:hAnsi="Garamond"/>
          <w:spacing w:val="1"/>
          <w:sz w:val="24"/>
          <w:szCs w:val="24"/>
        </w:rPr>
        <w:t xml:space="preserve"> </w:t>
      </w:r>
      <w:r w:rsidRPr="00395593">
        <w:rPr>
          <w:rFonts w:ascii="Garamond" w:hAnsi="Garamond"/>
          <w:sz w:val="24"/>
          <w:szCs w:val="24"/>
        </w:rPr>
        <w:t>12</w:t>
      </w:r>
      <w:r w:rsidRPr="00395593">
        <w:rPr>
          <w:rFonts w:ascii="Garamond" w:hAnsi="Garamond"/>
          <w:spacing w:val="1"/>
          <w:sz w:val="24"/>
          <w:szCs w:val="24"/>
        </w:rPr>
        <w:t xml:space="preserve"> </w:t>
      </w:r>
      <w:r w:rsidRPr="00395593">
        <w:rPr>
          <w:rFonts w:ascii="Garamond" w:hAnsi="Garamond"/>
          <w:sz w:val="24"/>
          <w:szCs w:val="24"/>
        </w:rPr>
        <w:t>do</w:t>
      </w:r>
      <w:r w:rsidRPr="00395593">
        <w:rPr>
          <w:rFonts w:ascii="Garamond" w:hAnsi="Garamond"/>
          <w:spacing w:val="1"/>
          <w:sz w:val="24"/>
          <w:szCs w:val="24"/>
        </w:rPr>
        <w:t xml:space="preserve"> </w:t>
      </w:r>
      <w:r w:rsidRPr="00395593">
        <w:rPr>
          <w:rFonts w:ascii="Garamond" w:hAnsi="Garamond"/>
          <w:sz w:val="24"/>
          <w:szCs w:val="24"/>
        </w:rPr>
        <w:t>Artigo</w:t>
      </w:r>
      <w:r w:rsidRPr="00395593">
        <w:rPr>
          <w:rFonts w:ascii="Garamond" w:hAnsi="Garamond"/>
          <w:spacing w:val="1"/>
          <w:sz w:val="24"/>
          <w:szCs w:val="24"/>
        </w:rPr>
        <w:t xml:space="preserve"> </w:t>
      </w:r>
      <w:r w:rsidRPr="00395593">
        <w:rPr>
          <w:rFonts w:ascii="Garamond" w:hAnsi="Garamond"/>
          <w:sz w:val="24"/>
          <w:szCs w:val="24"/>
        </w:rPr>
        <w:t>6,</w:t>
      </w:r>
      <w:r w:rsidRPr="00395593">
        <w:rPr>
          <w:rFonts w:ascii="Garamond" w:hAnsi="Garamond"/>
          <w:spacing w:val="1"/>
          <w:sz w:val="24"/>
          <w:szCs w:val="24"/>
        </w:rPr>
        <w:t xml:space="preserve"> </w:t>
      </w:r>
      <w:r w:rsidRPr="00395593">
        <w:rPr>
          <w:rFonts w:ascii="Garamond" w:hAnsi="Garamond"/>
          <w:sz w:val="24"/>
          <w:szCs w:val="24"/>
        </w:rPr>
        <w:t>os</w:t>
      </w:r>
      <w:r w:rsidRPr="00395593">
        <w:rPr>
          <w:rFonts w:ascii="Garamond" w:hAnsi="Garamond"/>
          <w:spacing w:val="1"/>
          <w:sz w:val="24"/>
          <w:szCs w:val="24"/>
        </w:rPr>
        <w:t xml:space="preserve"> </w:t>
      </w:r>
      <w:r w:rsidRPr="00395593">
        <w:rPr>
          <w:rFonts w:ascii="Garamond" w:hAnsi="Garamond"/>
          <w:sz w:val="24"/>
          <w:szCs w:val="24"/>
        </w:rPr>
        <w:t>direitos</w:t>
      </w:r>
      <w:r w:rsidRPr="00395593">
        <w:rPr>
          <w:rFonts w:ascii="Garamond" w:hAnsi="Garamond"/>
          <w:spacing w:val="1"/>
          <w:sz w:val="24"/>
          <w:szCs w:val="24"/>
        </w:rPr>
        <w:t xml:space="preserve"> </w:t>
      </w:r>
      <w:r w:rsidRPr="00395593">
        <w:rPr>
          <w:rFonts w:ascii="Garamond" w:hAnsi="Garamond"/>
          <w:i/>
          <w:sz w:val="24"/>
          <w:szCs w:val="24"/>
        </w:rPr>
        <w:t>anti</w:t>
      </w:r>
      <w:r w:rsidRPr="00395593">
        <w:rPr>
          <w:rFonts w:ascii="Garamond" w:hAnsi="Garamond"/>
          <w:sz w:val="24"/>
          <w:szCs w:val="24"/>
        </w:rPr>
        <w:t>-</w:t>
      </w:r>
      <w:r w:rsidRPr="00395593">
        <w:rPr>
          <w:rFonts w:ascii="Garamond" w:hAnsi="Garamond"/>
          <w:i/>
          <w:sz w:val="24"/>
          <w:szCs w:val="24"/>
        </w:rPr>
        <w:t>dumping</w:t>
      </w:r>
      <w:r w:rsidRPr="00395593">
        <w:rPr>
          <w:rFonts w:ascii="Garamond" w:hAnsi="Garamond"/>
          <w:i/>
          <w:spacing w:val="1"/>
          <w:sz w:val="24"/>
          <w:szCs w:val="24"/>
        </w:rPr>
        <w:t xml:space="preserve"> </w:t>
      </w:r>
      <w:r w:rsidRPr="00395593">
        <w:rPr>
          <w:rFonts w:ascii="Garamond" w:hAnsi="Garamond"/>
          <w:sz w:val="24"/>
          <w:szCs w:val="24"/>
        </w:rPr>
        <w:t>aplicados</w:t>
      </w:r>
      <w:r w:rsidRPr="00395593">
        <w:rPr>
          <w:rFonts w:ascii="Garamond" w:hAnsi="Garamond"/>
          <w:spacing w:val="1"/>
          <w:sz w:val="24"/>
          <w:szCs w:val="24"/>
        </w:rPr>
        <w:t xml:space="preserve"> </w:t>
      </w:r>
      <w:r w:rsidRPr="00395593">
        <w:rPr>
          <w:rFonts w:ascii="Garamond" w:hAnsi="Garamond"/>
          <w:sz w:val="24"/>
          <w:szCs w:val="24"/>
        </w:rPr>
        <w:t>às</w:t>
      </w:r>
      <w:r w:rsidRPr="00395593">
        <w:rPr>
          <w:rFonts w:ascii="Garamond" w:hAnsi="Garamond"/>
          <w:spacing w:val="1"/>
          <w:sz w:val="24"/>
          <w:szCs w:val="24"/>
        </w:rPr>
        <w:t xml:space="preserve"> </w:t>
      </w:r>
      <w:r w:rsidRPr="00395593">
        <w:rPr>
          <w:rFonts w:ascii="Garamond" w:hAnsi="Garamond"/>
          <w:sz w:val="24"/>
          <w:szCs w:val="24"/>
        </w:rPr>
        <w:t>importações</w:t>
      </w:r>
      <w:r w:rsidRPr="00395593">
        <w:rPr>
          <w:rFonts w:ascii="Garamond" w:hAnsi="Garamond"/>
          <w:spacing w:val="-1"/>
          <w:sz w:val="24"/>
          <w:szCs w:val="24"/>
        </w:rPr>
        <w:t xml:space="preserve"> </w:t>
      </w:r>
      <w:r w:rsidRPr="00395593">
        <w:rPr>
          <w:rFonts w:ascii="Garamond" w:hAnsi="Garamond"/>
          <w:sz w:val="24"/>
          <w:szCs w:val="24"/>
        </w:rPr>
        <w:t>dos</w:t>
      </w:r>
      <w:r w:rsidRPr="00395593">
        <w:rPr>
          <w:rFonts w:ascii="Garamond" w:hAnsi="Garamond"/>
          <w:spacing w:val="-1"/>
          <w:sz w:val="24"/>
          <w:szCs w:val="24"/>
        </w:rPr>
        <w:t xml:space="preserve"> </w:t>
      </w:r>
      <w:r w:rsidRPr="00395593">
        <w:rPr>
          <w:rFonts w:ascii="Garamond" w:hAnsi="Garamond"/>
          <w:sz w:val="24"/>
          <w:szCs w:val="24"/>
        </w:rPr>
        <w:t>exportadores</w:t>
      </w:r>
      <w:r w:rsidRPr="00395593">
        <w:rPr>
          <w:rFonts w:ascii="Garamond" w:hAnsi="Garamond"/>
          <w:spacing w:val="-1"/>
          <w:sz w:val="24"/>
          <w:szCs w:val="24"/>
        </w:rPr>
        <w:t xml:space="preserve"> </w:t>
      </w:r>
      <w:r w:rsidRPr="00395593">
        <w:rPr>
          <w:rFonts w:ascii="Garamond" w:hAnsi="Garamond"/>
          <w:sz w:val="24"/>
          <w:szCs w:val="24"/>
        </w:rPr>
        <w:t>ou</w:t>
      </w:r>
      <w:r w:rsidRPr="00395593">
        <w:rPr>
          <w:rFonts w:ascii="Garamond" w:hAnsi="Garamond"/>
          <w:spacing w:val="-1"/>
          <w:sz w:val="24"/>
          <w:szCs w:val="24"/>
        </w:rPr>
        <w:t xml:space="preserve"> </w:t>
      </w:r>
      <w:r w:rsidRPr="00395593">
        <w:rPr>
          <w:rFonts w:ascii="Garamond" w:hAnsi="Garamond"/>
          <w:sz w:val="24"/>
          <w:szCs w:val="24"/>
        </w:rPr>
        <w:t>produtores</w:t>
      </w:r>
      <w:r w:rsidRPr="00395593">
        <w:rPr>
          <w:rFonts w:ascii="Garamond" w:hAnsi="Garamond"/>
          <w:spacing w:val="-1"/>
          <w:sz w:val="24"/>
          <w:szCs w:val="24"/>
        </w:rPr>
        <w:t xml:space="preserve"> </w:t>
      </w:r>
      <w:r w:rsidRPr="00395593">
        <w:rPr>
          <w:rFonts w:ascii="Garamond" w:hAnsi="Garamond"/>
          <w:sz w:val="24"/>
          <w:szCs w:val="24"/>
        </w:rPr>
        <w:t>não incluídos</w:t>
      </w:r>
      <w:r w:rsidRPr="00395593">
        <w:rPr>
          <w:rFonts w:ascii="Garamond" w:hAnsi="Garamond"/>
          <w:spacing w:val="-1"/>
          <w:sz w:val="24"/>
          <w:szCs w:val="24"/>
        </w:rPr>
        <w:t xml:space="preserve"> </w:t>
      </w:r>
      <w:r w:rsidRPr="00395593">
        <w:rPr>
          <w:rFonts w:ascii="Garamond" w:hAnsi="Garamond"/>
          <w:sz w:val="24"/>
          <w:szCs w:val="24"/>
        </w:rPr>
        <w:t>no</w:t>
      </w:r>
      <w:r w:rsidRPr="00395593">
        <w:rPr>
          <w:rFonts w:ascii="Garamond" w:hAnsi="Garamond"/>
          <w:spacing w:val="-1"/>
          <w:sz w:val="24"/>
          <w:szCs w:val="24"/>
        </w:rPr>
        <w:t xml:space="preserve"> </w:t>
      </w:r>
      <w:r w:rsidRPr="00395593">
        <w:rPr>
          <w:rFonts w:ascii="Garamond" w:hAnsi="Garamond"/>
          <w:sz w:val="24"/>
          <w:szCs w:val="24"/>
        </w:rPr>
        <w:t>exame,</w:t>
      </w:r>
      <w:r w:rsidRPr="00395593">
        <w:rPr>
          <w:rFonts w:ascii="Garamond" w:hAnsi="Garamond"/>
          <w:spacing w:val="-1"/>
          <w:sz w:val="24"/>
          <w:szCs w:val="24"/>
        </w:rPr>
        <w:t xml:space="preserve"> </w:t>
      </w:r>
      <w:r w:rsidRPr="00395593">
        <w:rPr>
          <w:rFonts w:ascii="Garamond" w:hAnsi="Garamond"/>
          <w:sz w:val="24"/>
          <w:szCs w:val="24"/>
        </w:rPr>
        <w:t>não</w:t>
      </w:r>
      <w:r w:rsidRPr="00395593">
        <w:rPr>
          <w:rFonts w:ascii="Garamond" w:hAnsi="Garamond"/>
          <w:spacing w:val="-1"/>
          <w:sz w:val="24"/>
          <w:szCs w:val="24"/>
        </w:rPr>
        <w:t xml:space="preserve"> </w:t>
      </w:r>
      <w:r w:rsidRPr="00395593">
        <w:rPr>
          <w:rFonts w:ascii="Garamond" w:hAnsi="Garamond"/>
          <w:sz w:val="24"/>
          <w:szCs w:val="24"/>
        </w:rPr>
        <w:t>poderão exceder:</w:t>
      </w:r>
    </w:p>
    <w:p w14:paraId="3973E8D3" w14:textId="77777777" w:rsidR="0013285C" w:rsidRPr="00395593" w:rsidRDefault="0013285C" w:rsidP="0013285C">
      <w:pPr>
        <w:pStyle w:val="Corpodetexto"/>
        <w:rPr>
          <w:rFonts w:ascii="Garamond" w:hAnsi="Garamond"/>
        </w:rPr>
      </w:pPr>
    </w:p>
    <w:p w14:paraId="2EB7B2EE" w14:textId="77777777" w:rsidR="0013285C" w:rsidRPr="00395593" w:rsidRDefault="0013285C" w:rsidP="002C4340">
      <w:pPr>
        <w:pStyle w:val="PargrafodaLista"/>
        <w:widowControl w:val="0"/>
        <w:numPr>
          <w:ilvl w:val="1"/>
          <w:numId w:val="15"/>
        </w:numPr>
        <w:tabs>
          <w:tab w:val="left" w:pos="1252"/>
        </w:tabs>
        <w:autoSpaceDE w:val="0"/>
        <w:autoSpaceDN w:val="0"/>
        <w:spacing w:after="0" w:line="240" w:lineRule="auto"/>
        <w:ind w:left="821" w:right="118" w:firstLine="0"/>
        <w:contextualSpacing w:val="0"/>
        <w:jc w:val="both"/>
        <w:rPr>
          <w:rFonts w:ascii="Garamond" w:hAnsi="Garamond"/>
          <w:sz w:val="24"/>
          <w:szCs w:val="24"/>
        </w:rPr>
      </w:pPr>
      <w:r w:rsidRPr="00395593">
        <w:rPr>
          <w:rFonts w:ascii="Garamond" w:hAnsi="Garamond"/>
          <w:sz w:val="24"/>
          <w:szCs w:val="24"/>
        </w:rPr>
        <w:t>a</w:t>
      </w:r>
      <w:r w:rsidRPr="00395593">
        <w:rPr>
          <w:rFonts w:ascii="Garamond" w:hAnsi="Garamond"/>
          <w:spacing w:val="1"/>
          <w:sz w:val="24"/>
          <w:szCs w:val="24"/>
        </w:rPr>
        <w:t xml:space="preserve"> </w:t>
      </w:r>
      <w:r w:rsidRPr="00395593">
        <w:rPr>
          <w:rFonts w:ascii="Garamond" w:hAnsi="Garamond"/>
          <w:sz w:val="24"/>
          <w:szCs w:val="24"/>
        </w:rPr>
        <w:t>média</w:t>
      </w:r>
      <w:r w:rsidRPr="00395593">
        <w:rPr>
          <w:rFonts w:ascii="Garamond" w:hAnsi="Garamond"/>
          <w:spacing w:val="1"/>
          <w:sz w:val="24"/>
          <w:szCs w:val="24"/>
        </w:rPr>
        <w:t xml:space="preserve"> </w:t>
      </w:r>
      <w:r w:rsidRPr="00395593">
        <w:rPr>
          <w:rFonts w:ascii="Garamond" w:hAnsi="Garamond"/>
          <w:sz w:val="24"/>
          <w:szCs w:val="24"/>
        </w:rPr>
        <w:t>ponderada</w:t>
      </w:r>
      <w:r w:rsidRPr="00395593">
        <w:rPr>
          <w:rFonts w:ascii="Garamond" w:hAnsi="Garamond"/>
          <w:spacing w:val="1"/>
          <w:sz w:val="24"/>
          <w:szCs w:val="24"/>
        </w:rPr>
        <w:t xml:space="preserve"> </w:t>
      </w:r>
      <w:r w:rsidRPr="00395593">
        <w:rPr>
          <w:rFonts w:ascii="Garamond" w:hAnsi="Garamond"/>
          <w:sz w:val="24"/>
          <w:szCs w:val="24"/>
        </w:rPr>
        <w:t>da</w:t>
      </w:r>
      <w:r w:rsidRPr="00395593">
        <w:rPr>
          <w:rFonts w:ascii="Garamond" w:hAnsi="Garamond"/>
          <w:spacing w:val="1"/>
          <w:sz w:val="24"/>
          <w:szCs w:val="24"/>
        </w:rPr>
        <w:t xml:space="preserve"> </w:t>
      </w:r>
      <w:r w:rsidRPr="00395593">
        <w:rPr>
          <w:rFonts w:ascii="Garamond" w:hAnsi="Garamond"/>
          <w:sz w:val="24"/>
          <w:szCs w:val="24"/>
        </w:rPr>
        <w:t>margem</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i/>
          <w:sz w:val="24"/>
          <w:szCs w:val="24"/>
        </w:rPr>
        <w:t>dumping</w:t>
      </w:r>
      <w:r w:rsidRPr="00395593">
        <w:rPr>
          <w:rFonts w:ascii="Garamond" w:hAnsi="Garamond"/>
          <w:i/>
          <w:spacing w:val="1"/>
          <w:sz w:val="24"/>
          <w:szCs w:val="24"/>
        </w:rPr>
        <w:t xml:space="preserve"> </w:t>
      </w:r>
      <w:r w:rsidRPr="00395593">
        <w:rPr>
          <w:rFonts w:ascii="Garamond" w:hAnsi="Garamond"/>
          <w:sz w:val="24"/>
          <w:szCs w:val="24"/>
        </w:rPr>
        <w:t>estabelecida</w:t>
      </w:r>
      <w:r w:rsidRPr="00395593">
        <w:rPr>
          <w:rFonts w:ascii="Garamond" w:hAnsi="Garamond"/>
          <w:spacing w:val="1"/>
          <w:sz w:val="24"/>
          <w:szCs w:val="24"/>
        </w:rPr>
        <w:t xml:space="preserve"> </w:t>
      </w:r>
      <w:r w:rsidRPr="00395593">
        <w:rPr>
          <w:rFonts w:ascii="Garamond" w:hAnsi="Garamond"/>
          <w:sz w:val="24"/>
          <w:szCs w:val="24"/>
        </w:rPr>
        <w:t>para</w:t>
      </w:r>
      <w:r w:rsidRPr="00395593">
        <w:rPr>
          <w:rFonts w:ascii="Garamond" w:hAnsi="Garamond"/>
          <w:spacing w:val="1"/>
          <w:sz w:val="24"/>
          <w:szCs w:val="24"/>
        </w:rPr>
        <w:t xml:space="preserve"> </w:t>
      </w:r>
      <w:r w:rsidRPr="00395593">
        <w:rPr>
          <w:rFonts w:ascii="Garamond" w:hAnsi="Garamond"/>
          <w:sz w:val="24"/>
          <w:szCs w:val="24"/>
        </w:rPr>
        <w:t>o</w:t>
      </w:r>
      <w:r w:rsidRPr="00395593">
        <w:rPr>
          <w:rFonts w:ascii="Garamond" w:hAnsi="Garamond"/>
          <w:spacing w:val="1"/>
          <w:sz w:val="24"/>
          <w:szCs w:val="24"/>
        </w:rPr>
        <w:t xml:space="preserve"> </w:t>
      </w:r>
      <w:r w:rsidRPr="00395593">
        <w:rPr>
          <w:rFonts w:ascii="Garamond" w:hAnsi="Garamond"/>
          <w:sz w:val="24"/>
          <w:szCs w:val="24"/>
        </w:rPr>
        <w:t>grupo</w:t>
      </w:r>
      <w:r w:rsidRPr="00395593">
        <w:rPr>
          <w:rFonts w:ascii="Garamond" w:hAnsi="Garamond"/>
          <w:spacing w:val="1"/>
          <w:sz w:val="24"/>
          <w:szCs w:val="24"/>
        </w:rPr>
        <w:t xml:space="preserve"> </w:t>
      </w:r>
      <w:r w:rsidRPr="00395593">
        <w:rPr>
          <w:rFonts w:ascii="Garamond" w:hAnsi="Garamond"/>
          <w:sz w:val="24"/>
          <w:szCs w:val="24"/>
        </w:rPr>
        <w:t>selecionado</w:t>
      </w:r>
      <w:r w:rsidRPr="00395593">
        <w:rPr>
          <w:rFonts w:ascii="Garamond" w:hAnsi="Garamond"/>
          <w:spacing w:val="-1"/>
          <w:sz w:val="24"/>
          <w:szCs w:val="24"/>
        </w:rPr>
        <w:t xml:space="preserve"> </w:t>
      </w:r>
      <w:r w:rsidRPr="00395593">
        <w:rPr>
          <w:rFonts w:ascii="Garamond" w:hAnsi="Garamond"/>
          <w:sz w:val="24"/>
          <w:szCs w:val="24"/>
        </w:rPr>
        <w:t>de exportadores ou produtores; ou</w:t>
      </w:r>
    </w:p>
    <w:p w14:paraId="58582ADA" w14:textId="77777777" w:rsidR="0013285C" w:rsidRPr="00395593" w:rsidRDefault="0013285C" w:rsidP="0013285C">
      <w:pPr>
        <w:pStyle w:val="Corpodetexto"/>
        <w:spacing w:before="1"/>
        <w:rPr>
          <w:rFonts w:ascii="Garamond" w:hAnsi="Garamond"/>
        </w:rPr>
      </w:pPr>
    </w:p>
    <w:p w14:paraId="4970D798" w14:textId="77777777" w:rsidR="0013285C" w:rsidRPr="00395593" w:rsidRDefault="0013285C" w:rsidP="002C4340">
      <w:pPr>
        <w:pStyle w:val="PargrafodaLista"/>
        <w:widowControl w:val="0"/>
        <w:numPr>
          <w:ilvl w:val="1"/>
          <w:numId w:val="15"/>
        </w:numPr>
        <w:tabs>
          <w:tab w:val="left" w:pos="1269"/>
        </w:tabs>
        <w:autoSpaceDE w:val="0"/>
        <w:autoSpaceDN w:val="0"/>
        <w:spacing w:after="0" w:line="240" w:lineRule="auto"/>
        <w:ind w:left="821" w:right="115" w:firstLine="0"/>
        <w:contextualSpacing w:val="0"/>
        <w:jc w:val="both"/>
        <w:rPr>
          <w:rFonts w:ascii="Garamond" w:hAnsi="Garamond"/>
          <w:sz w:val="24"/>
          <w:szCs w:val="24"/>
        </w:rPr>
      </w:pPr>
      <w:r w:rsidRPr="00395593">
        <w:rPr>
          <w:rFonts w:ascii="Garamond" w:hAnsi="Garamond"/>
          <w:sz w:val="24"/>
          <w:szCs w:val="24"/>
        </w:rPr>
        <w:t>a</w:t>
      </w:r>
      <w:r w:rsidRPr="00395593">
        <w:rPr>
          <w:rFonts w:ascii="Garamond" w:hAnsi="Garamond"/>
          <w:spacing w:val="1"/>
          <w:sz w:val="24"/>
          <w:szCs w:val="24"/>
        </w:rPr>
        <w:t xml:space="preserve"> </w:t>
      </w:r>
      <w:r w:rsidRPr="00395593">
        <w:rPr>
          <w:rFonts w:ascii="Garamond" w:hAnsi="Garamond"/>
          <w:sz w:val="24"/>
          <w:szCs w:val="24"/>
        </w:rPr>
        <w:t>diferença</w:t>
      </w:r>
      <w:r w:rsidRPr="00395593">
        <w:rPr>
          <w:rFonts w:ascii="Garamond" w:hAnsi="Garamond"/>
          <w:spacing w:val="1"/>
          <w:sz w:val="24"/>
          <w:szCs w:val="24"/>
        </w:rPr>
        <w:t xml:space="preserve"> </w:t>
      </w:r>
      <w:r w:rsidRPr="00395593">
        <w:rPr>
          <w:rFonts w:ascii="Garamond" w:hAnsi="Garamond"/>
          <w:sz w:val="24"/>
          <w:szCs w:val="24"/>
        </w:rPr>
        <w:t>entre</w:t>
      </w:r>
      <w:r w:rsidRPr="00395593">
        <w:rPr>
          <w:rFonts w:ascii="Garamond" w:hAnsi="Garamond"/>
          <w:spacing w:val="1"/>
          <w:sz w:val="24"/>
          <w:szCs w:val="24"/>
        </w:rPr>
        <w:t xml:space="preserve"> </w:t>
      </w:r>
      <w:r w:rsidRPr="00395593">
        <w:rPr>
          <w:rFonts w:ascii="Garamond" w:hAnsi="Garamond"/>
          <w:sz w:val="24"/>
          <w:szCs w:val="24"/>
        </w:rPr>
        <w:t>a</w:t>
      </w:r>
      <w:r w:rsidRPr="00395593">
        <w:rPr>
          <w:rFonts w:ascii="Garamond" w:hAnsi="Garamond"/>
          <w:spacing w:val="1"/>
          <w:sz w:val="24"/>
          <w:szCs w:val="24"/>
        </w:rPr>
        <w:t xml:space="preserve"> </w:t>
      </w:r>
      <w:r w:rsidRPr="00395593">
        <w:rPr>
          <w:rFonts w:ascii="Garamond" w:hAnsi="Garamond"/>
          <w:sz w:val="24"/>
          <w:szCs w:val="24"/>
        </w:rPr>
        <w:t>média</w:t>
      </w:r>
      <w:r w:rsidRPr="00395593">
        <w:rPr>
          <w:rFonts w:ascii="Garamond" w:hAnsi="Garamond"/>
          <w:spacing w:val="1"/>
          <w:sz w:val="24"/>
          <w:szCs w:val="24"/>
        </w:rPr>
        <w:t xml:space="preserve"> </w:t>
      </w:r>
      <w:r w:rsidRPr="00395593">
        <w:rPr>
          <w:rFonts w:ascii="Garamond" w:hAnsi="Garamond"/>
          <w:sz w:val="24"/>
          <w:szCs w:val="24"/>
        </w:rPr>
        <w:t>ponderada</w:t>
      </w:r>
      <w:r w:rsidRPr="00395593">
        <w:rPr>
          <w:rFonts w:ascii="Garamond" w:hAnsi="Garamond"/>
          <w:spacing w:val="1"/>
          <w:sz w:val="24"/>
          <w:szCs w:val="24"/>
        </w:rPr>
        <w:t xml:space="preserve"> </w:t>
      </w:r>
      <w:r w:rsidRPr="00395593">
        <w:rPr>
          <w:rFonts w:ascii="Garamond" w:hAnsi="Garamond"/>
          <w:sz w:val="24"/>
          <w:szCs w:val="24"/>
        </w:rPr>
        <w:t>do</w:t>
      </w:r>
      <w:r w:rsidRPr="00395593">
        <w:rPr>
          <w:rFonts w:ascii="Garamond" w:hAnsi="Garamond"/>
          <w:spacing w:val="1"/>
          <w:sz w:val="24"/>
          <w:szCs w:val="24"/>
        </w:rPr>
        <w:t xml:space="preserve"> </w:t>
      </w:r>
      <w:r w:rsidRPr="00395593">
        <w:rPr>
          <w:rFonts w:ascii="Garamond" w:hAnsi="Garamond"/>
          <w:sz w:val="24"/>
          <w:szCs w:val="24"/>
        </w:rPr>
        <w:t>valor</w:t>
      </w:r>
      <w:r w:rsidRPr="00395593">
        <w:rPr>
          <w:rFonts w:ascii="Garamond" w:hAnsi="Garamond"/>
          <w:spacing w:val="1"/>
          <w:sz w:val="24"/>
          <w:szCs w:val="24"/>
        </w:rPr>
        <w:t xml:space="preserve"> </w:t>
      </w:r>
      <w:r w:rsidRPr="00395593">
        <w:rPr>
          <w:rFonts w:ascii="Garamond" w:hAnsi="Garamond"/>
          <w:sz w:val="24"/>
          <w:szCs w:val="24"/>
        </w:rPr>
        <w:t>normal</w:t>
      </w:r>
      <w:r w:rsidRPr="00395593">
        <w:rPr>
          <w:rFonts w:ascii="Garamond" w:hAnsi="Garamond"/>
          <w:spacing w:val="1"/>
          <w:sz w:val="24"/>
          <w:szCs w:val="24"/>
        </w:rPr>
        <w:t xml:space="preserve"> </w:t>
      </w:r>
      <w:r w:rsidRPr="00395593">
        <w:rPr>
          <w:rFonts w:ascii="Garamond" w:hAnsi="Garamond"/>
          <w:sz w:val="24"/>
          <w:szCs w:val="24"/>
        </w:rPr>
        <w:t>praticado</w:t>
      </w:r>
      <w:r w:rsidRPr="00395593">
        <w:rPr>
          <w:rFonts w:ascii="Garamond" w:hAnsi="Garamond"/>
          <w:spacing w:val="1"/>
          <w:sz w:val="24"/>
          <w:szCs w:val="24"/>
        </w:rPr>
        <w:t xml:space="preserve"> </w:t>
      </w:r>
      <w:r w:rsidRPr="00395593">
        <w:rPr>
          <w:rFonts w:ascii="Garamond" w:hAnsi="Garamond"/>
          <w:sz w:val="24"/>
          <w:szCs w:val="24"/>
        </w:rPr>
        <w:t>pelos</w:t>
      </w:r>
      <w:r w:rsidRPr="00395593">
        <w:rPr>
          <w:rFonts w:ascii="Garamond" w:hAnsi="Garamond"/>
          <w:spacing w:val="1"/>
          <w:sz w:val="24"/>
          <w:szCs w:val="24"/>
        </w:rPr>
        <w:t xml:space="preserve"> </w:t>
      </w:r>
      <w:r w:rsidRPr="00395593">
        <w:rPr>
          <w:rFonts w:ascii="Garamond" w:hAnsi="Garamond"/>
          <w:sz w:val="24"/>
          <w:szCs w:val="24"/>
        </w:rPr>
        <w:t>exportadores</w:t>
      </w:r>
      <w:r w:rsidRPr="00395593">
        <w:rPr>
          <w:rFonts w:ascii="Garamond" w:hAnsi="Garamond"/>
          <w:spacing w:val="1"/>
          <w:sz w:val="24"/>
          <w:szCs w:val="24"/>
        </w:rPr>
        <w:t xml:space="preserve"> </w:t>
      </w:r>
      <w:r w:rsidRPr="00395593">
        <w:rPr>
          <w:rFonts w:ascii="Garamond" w:hAnsi="Garamond"/>
          <w:sz w:val="24"/>
          <w:szCs w:val="24"/>
        </w:rPr>
        <w:t>ou</w:t>
      </w:r>
      <w:r w:rsidRPr="00395593">
        <w:rPr>
          <w:rFonts w:ascii="Garamond" w:hAnsi="Garamond"/>
          <w:spacing w:val="1"/>
          <w:sz w:val="24"/>
          <w:szCs w:val="24"/>
        </w:rPr>
        <w:t xml:space="preserve"> </w:t>
      </w:r>
      <w:r w:rsidRPr="00395593">
        <w:rPr>
          <w:rFonts w:ascii="Garamond" w:hAnsi="Garamond"/>
          <w:sz w:val="24"/>
          <w:szCs w:val="24"/>
        </w:rPr>
        <w:t>produtores</w:t>
      </w:r>
      <w:r w:rsidRPr="00395593">
        <w:rPr>
          <w:rFonts w:ascii="Garamond" w:hAnsi="Garamond"/>
          <w:spacing w:val="1"/>
          <w:sz w:val="24"/>
          <w:szCs w:val="24"/>
        </w:rPr>
        <w:t xml:space="preserve"> </w:t>
      </w:r>
      <w:r w:rsidRPr="00395593">
        <w:rPr>
          <w:rFonts w:ascii="Garamond" w:hAnsi="Garamond"/>
          <w:sz w:val="24"/>
          <w:szCs w:val="24"/>
        </w:rPr>
        <w:t>selecionados</w:t>
      </w:r>
      <w:r w:rsidRPr="00395593">
        <w:rPr>
          <w:rFonts w:ascii="Garamond" w:hAnsi="Garamond"/>
          <w:spacing w:val="1"/>
          <w:sz w:val="24"/>
          <w:szCs w:val="24"/>
        </w:rPr>
        <w:t xml:space="preserve"> </w:t>
      </w:r>
      <w:r w:rsidRPr="00395593">
        <w:rPr>
          <w:rFonts w:ascii="Garamond" w:hAnsi="Garamond"/>
          <w:sz w:val="24"/>
          <w:szCs w:val="24"/>
        </w:rPr>
        <w:t>e</w:t>
      </w:r>
      <w:r w:rsidRPr="00395593">
        <w:rPr>
          <w:rFonts w:ascii="Garamond" w:hAnsi="Garamond"/>
          <w:spacing w:val="1"/>
          <w:sz w:val="24"/>
          <w:szCs w:val="24"/>
        </w:rPr>
        <w:t xml:space="preserve"> </w:t>
      </w:r>
      <w:r w:rsidRPr="00395593">
        <w:rPr>
          <w:rFonts w:ascii="Garamond" w:hAnsi="Garamond"/>
          <w:sz w:val="24"/>
          <w:szCs w:val="24"/>
        </w:rPr>
        <w:t>os</w:t>
      </w:r>
      <w:r w:rsidRPr="00395593">
        <w:rPr>
          <w:rFonts w:ascii="Garamond" w:hAnsi="Garamond"/>
          <w:spacing w:val="1"/>
          <w:sz w:val="24"/>
          <w:szCs w:val="24"/>
        </w:rPr>
        <w:t xml:space="preserve"> </w:t>
      </w:r>
      <w:r w:rsidRPr="00395593">
        <w:rPr>
          <w:rFonts w:ascii="Garamond" w:hAnsi="Garamond"/>
          <w:sz w:val="24"/>
          <w:szCs w:val="24"/>
        </w:rPr>
        <w:t>preços</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sz w:val="24"/>
          <w:szCs w:val="24"/>
        </w:rPr>
        <w:t>exportação</w:t>
      </w:r>
      <w:r w:rsidRPr="00395593">
        <w:rPr>
          <w:rFonts w:ascii="Garamond" w:hAnsi="Garamond"/>
          <w:spacing w:val="61"/>
          <w:sz w:val="24"/>
          <w:szCs w:val="24"/>
        </w:rPr>
        <w:t xml:space="preserve"> </w:t>
      </w:r>
      <w:r w:rsidRPr="00395593">
        <w:rPr>
          <w:rFonts w:ascii="Garamond" w:hAnsi="Garamond"/>
          <w:sz w:val="24"/>
          <w:szCs w:val="24"/>
        </w:rPr>
        <w:t>dos</w:t>
      </w:r>
      <w:r w:rsidRPr="00395593">
        <w:rPr>
          <w:rFonts w:ascii="Garamond" w:hAnsi="Garamond"/>
          <w:spacing w:val="1"/>
          <w:sz w:val="24"/>
          <w:szCs w:val="24"/>
        </w:rPr>
        <w:t xml:space="preserve"> </w:t>
      </w:r>
      <w:r w:rsidRPr="00395593">
        <w:rPr>
          <w:rFonts w:ascii="Garamond" w:hAnsi="Garamond"/>
          <w:sz w:val="24"/>
          <w:szCs w:val="24"/>
        </w:rPr>
        <w:t>exportadores</w:t>
      </w:r>
      <w:r w:rsidRPr="00395593">
        <w:rPr>
          <w:rFonts w:ascii="Garamond" w:hAnsi="Garamond"/>
          <w:spacing w:val="1"/>
          <w:sz w:val="24"/>
          <w:szCs w:val="24"/>
        </w:rPr>
        <w:t xml:space="preserve"> </w:t>
      </w:r>
      <w:r w:rsidRPr="00395593">
        <w:rPr>
          <w:rFonts w:ascii="Garamond" w:hAnsi="Garamond"/>
          <w:sz w:val="24"/>
          <w:szCs w:val="24"/>
        </w:rPr>
        <w:t>ou</w:t>
      </w:r>
      <w:r w:rsidRPr="00395593">
        <w:rPr>
          <w:rFonts w:ascii="Garamond" w:hAnsi="Garamond"/>
          <w:spacing w:val="1"/>
          <w:sz w:val="24"/>
          <w:szCs w:val="24"/>
        </w:rPr>
        <w:t xml:space="preserve"> </w:t>
      </w:r>
      <w:r w:rsidRPr="00395593">
        <w:rPr>
          <w:rFonts w:ascii="Garamond" w:hAnsi="Garamond"/>
          <w:sz w:val="24"/>
          <w:szCs w:val="24"/>
        </w:rPr>
        <w:t>produtores</w:t>
      </w:r>
      <w:r w:rsidRPr="00395593">
        <w:rPr>
          <w:rFonts w:ascii="Garamond" w:hAnsi="Garamond"/>
          <w:spacing w:val="1"/>
          <w:sz w:val="24"/>
          <w:szCs w:val="24"/>
        </w:rPr>
        <w:t xml:space="preserve"> </w:t>
      </w:r>
      <w:r w:rsidRPr="00395593">
        <w:rPr>
          <w:rFonts w:ascii="Garamond" w:hAnsi="Garamond"/>
          <w:sz w:val="24"/>
          <w:szCs w:val="24"/>
        </w:rPr>
        <w:t>que</w:t>
      </w:r>
      <w:r w:rsidRPr="00395593">
        <w:rPr>
          <w:rFonts w:ascii="Garamond" w:hAnsi="Garamond"/>
          <w:spacing w:val="1"/>
          <w:sz w:val="24"/>
          <w:szCs w:val="24"/>
        </w:rPr>
        <w:t xml:space="preserve"> </w:t>
      </w:r>
      <w:r w:rsidRPr="00395593">
        <w:rPr>
          <w:rFonts w:ascii="Garamond" w:hAnsi="Garamond"/>
          <w:sz w:val="24"/>
          <w:szCs w:val="24"/>
        </w:rPr>
        <w:t>não</w:t>
      </w:r>
      <w:r w:rsidRPr="00395593">
        <w:rPr>
          <w:rFonts w:ascii="Garamond" w:hAnsi="Garamond"/>
          <w:spacing w:val="1"/>
          <w:sz w:val="24"/>
          <w:szCs w:val="24"/>
        </w:rPr>
        <w:t xml:space="preserve"> </w:t>
      </w:r>
      <w:r w:rsidRPr="00395593">
        <w:rPr>
          <w:rFonts w:ascii="Garamond" w:hAnsi="Garamond"/>
          <w:sz w:val="24"/>
          <w:szCs w:val="24"/>
        </w:rPr>
        <w:t>tenham</w:t>
      </w:r>
      <w:r w:rsidRPr="00395593">
        <w:rPr>
          <w:rFonts w:ascii="Garamond" w:hAnsi="Garamond"/>
          <w:spacing w:val="1"/>
          <w:sz w:val="24"/>
          <w:szCs w:val="24"/>
        </w:rPr>
        <w:t xml:space="preserve"> </w:t>
      </w:r>
      <w:r w:rsidRPr="00395593">
        <w:rPr>
          <w:rFonts w:ascii="Garamond" w:hAnsi="Garamond"/>
          <w:sz w:val="24"/>
          <w:szCs w:val="24"/>
        </w:rPr>
        <w:t>sido</w:t>
      </w:r>
      <w:r w:rsidRPr="00395593">
        <w:rPr>
          <w:rFonts w:ascii="Garamond" w:hAnsi="Garamond"/>
          <w:spacing w:val="1"/>
          <w:sz w:val="24"/>
          <w:szCs w:val="24"/>
        </w:rPr>
        <w:t xml:space="preserve"> </w:t>
      </w:r>
      <w:r w:rsidRPr="00395593">
        <w:rPr>
          <w:rFonts w:ascii="Garamond" w:hAnsi="Garamond"/>
          <w:sz w:val="24"/>
          <w:szCs w:val="24"/>
        </w:rPr>
        <w:t>individualmente</w:t>
      </w:r>
      <w:r w:rsidRPr="00395593">
        <w:rPr>
          <w:rFonts w:ascii="Garamond" w:hAnsi="Garamond"/>
          <w:spacing w:val="1"/>
          <w:sz w:val="24"/>
          <w:szCs w:val="24"/>
        </w:rPr>
        <w:t xml:space="preserve"> </w:t>
      </w:r>
      <w:r w:rsidRPr="00395593">
        <w:rPr>
          <w:rFonts w:ascii="Garamond" w:hAnsi="Garamond"/>
          <w:sz w:val="24"/>
          <w:szCs w:val="24"/>
        </w:rPr>
        <w:t>examinados,</w:t>
      </w:r>
      <w:r w:rsidRPr="00395593">
        <w:rPr>
          <w:rFonts w:ascii="Garamond" w:hAnsi="Garamond"/>
          <w:spacing w:val="1"/>
          <w:sz w:val="24"/>
          <w:szCs w:val="24"/>
        </w:rPr>
        <w:t xml:space="preserve"> </w:t>
      </w:r>
      <w:r w:rsidRPr="00395593">
        <w:rPr>
          <w:rFonts w:ascii="Garamond" w:hAnsi="Garamond"/>
          <w:sz w:val="24"/>
          <w:szCs w:val="24"/>
        </w:rPr>
        <w:t>sempre</w:t>
      </w:r>
      <w:r w:rsidRPr="00395593">
        <w:rPr>
          <w:rFonts w:ascii="Garamond" w:hAnsi="Garamond"/>
          <w:spacing w:val="1"/>
          <w:sz w:val="24"/>
          <w:szCs w:val="24"/>
        </w:rPr>
        <w:t xml:space="preserve"> </w:t>
      </w:r>
      <w:r w:rsidRPr="00395593">
        <w:rPr>
          <w:rFonts w:ascii="Garamond" w:hAnsi="Garamond"/>
          <w:sz w:val="24"/>
          <w:szCs w:val="24"/>
        </w:rPr>
        <w:t>que</w:t>
      </w:r>
      <w:r w:rsidRPr="00395593">
        <w:rPr>
          <w:rFonts w:ascii="Garamond" w:hAnsi="Garamond"/>
          <w:spacing w:val="1"/>
          <w:sz w:val="24"/>
          <w:szCs w:val="24"/>
        </w:rPr>
        <w:t xml:space="preserve"> </w:t>
      </w:r>
      <w:r w:rsidRPr="00395593">
        <w:rPr>
          <w:rFonts w:ascii="Garamond" w:hAnsi="Garamond"/>
          <w:sz w:val="24"/>
          <w:szCs w:val="24"/>
        </w:rPr>
        <w:t>o</w:t>
      </w:r>
      <w:r w:rsidRPr="00395593">
        <w:rPr>
          <w:rFonts w:ascii="Garamond" w:hAnsi="Garamond"/>
          <w:spacing w:val="1"/>
          <w:sz w:val="24"/>
          <w:szCs w:val="24"/>
        </w:rPr>
        <w:t xml:space="preserve"> </w:t>
      </w:r>
      <w:r w:rsidRPr="00395593">
        <w:rPr>
          <w:rFonts w:ascii="Garamond" w:hAnsi="Garamond"/>
          <w:sz w:val="24"/>
          <w:szCs w:val="24"/>
        </w:rPr>
        <w:t>montante</w:t>
      </w:r>
      <w:r w:rsidRPr="00395593">
        <w:rPr>
          <w:rFonts w:ascii="Garamond" w:hAnsi="Garamond"/>
          <w:spacing w:val="1"/>
          <w:sz w:val="24"/>
          <w:szCs w:val="24"/>
        </w:rPr>
        <w:t xml:space="preserve"> </w:t>
      </w:r>
      <w:r w:rsidRPr="00395593">
        <w:rPr>
          <w:rFonts w:ascii="Garamond" w:hAnsi="Garamond"/>
          <w:sz w:val="24"/>
          <w:szCs w:val="24"/>
        </w:rPr>
        <w:t>devido</w:t>
      </w:r>
      <w:r w:rsidRPr="00395593">
        <w:rPr>
          <w:rFonts w:ascii="Garamond" w:hAnsi="Garamond"/>
          <w:spacing w:val="1"/>
          <w:sz w:val="24"/>
          <w:szCs w:val="24"/>
        </w:rPr>
        <w:t xml:space="preserve"> </w:t>
      </w:r>
      <w:r w:rsidRPr="00395593">
        <w:rPr>
          <w:rFonts w:ascii="Garamond" w:hAnsi="Garamond"/>
          <w:sz w:val="24"/>
          <w:szCs w:val="24"/>
        </w:rPr>
        <w:t>para</w:t>
      </w:r>
      <w:r w:rsidRPr="00395593">
        <w:rPr>
          <w:rFonts w:ascii="Garamond" w:hAnsi="Garamond"/>
          <w:spacing w:val="1"/>
          <w:sz w:val="24"/>
          <w:szCs w:val="24"/>
        </w:rPr>
        <w:t xml:space="preserve"> </w:t>
      </w:r>
      <w:r w:rsidRPr="00395593">
        <w:rPr>
          <w:rFonts w:ascii="Garamond" w:hAnsi="Garamond"/>
          <w:sz w:val="24"/>
          <w:szCs w:val="24"/>
        </w:rPr>
        <w:t>pagamento</w:t>
      </w:r>
      <w:r w:rsidRPr="00395593">
        <w:rPr>
          <w:rFonts w:ascii="Garamond" w:hAnsi="Garamond"/>
          <w:spacing w:val="1"/>
          <w:sz w:val="24"/>
          <w:szCs w:val="24"/>
        </w:rPr>
        <w:t xml:space="preserve"> </w:t>
      </w:r>
      <w:r w:rsidRPr="00395593">
        <w:rPr>
          <w:rFonts w:ascii="Garamond" w:hAnsi="Garamond"/>
          <w:sz w:val="24"/>
          <w:szCs w:val="24"/>
        </w:rPr>
        <w:t>dos</w:t>
      </w:r>
      <w:r w:rsidRPr="00395593">
        <w:rPr>
          <w:rFonts w:ascii="Garamond" w:hAnsi="Garamond"/>
          <w:spacing w:val="1"/>
          <w:sz w:val="24"/>
          <w:szCs w:val="24"/>
        </w:rPr>
        <w:t xml:space="preserve"> </w:t>
      </w:r>
      <w:r w:rsidRPr="00395593">
        <w:rPr>
          <w:rFonts w:ascii="Garamond" w:hAnsi="Garamond"/>
          <w:sz w:val="24"/>
          <w:szCs w:val="24"/>
        </w:rPr>
        <w:t>direitos</w:t>
      </w:r>
      <w:r w:rsidRPr="00395593">
        <w:rPr>
          <w:rFonts w:ascii="Garamond" w:hAnsi="Garamond"/>
          <w:spacing w:val="1"/>
          <w:sz w:val="24"/>
          <w:szCs w:val="24"/>
        </w:rPr>
        <w:t xml:space="preserve"> </w:t>
      </w:r>
      <w:r w:rsidRPr="00395593">
        <w:rPr>
          <w:rFonts w:ascii="Garamond" w:hAnsi="Garamond"/>
          <w:i/>
          <w:sz w:val="24"/>
          <w:szCs w:val="24"/>
        </w:rPr>
        <w:t>anti</w:t>
      </w:r>
      <w:r w:rsidRPr="00395593">
        <w:rPr>
          <w:rFonts w:ascii="Garamond" w:hAnsi="Garamond"/>
          <w:sz w:val="24"/>
          <w:szCs w:val="24"/>
        </w:rPr>
        <w:t>-</w:t>
      </w:r>
      <w:r w:rsidRPr="00395593">
        <w:rPr>
          <w:rFonts w:ascii="Garamond" w:hAnsi="Garamond"/>
          <w:i/>
          <w:sz w:val="24"/>
          <w:szCs w:val="24"/>
        </w:rPr>
        <w:t>dumping</w:t>
      </w:r>
      <w:r w:rsidRPr="00395593">
        <w:rPr>
          <w:rFonts w:ascii="Garamond" w:hAnsi="Garamond"/>
          <w:i/>
          <w:spacing w:val="1"/>
          <w:sz w:val="24"/>
          <w:szCs w:val="24"/>
        </w:rPr>
        <w:t xml:space="preserve"> </w:t>
      </w:r>
      <w:r w:rsidRPr="00395593">
        <w:rPr>
          <w:rFonts w:ascii="Garamond" w:hAnsi="Garamond"/>
          <w:sz w:val="24"/>
          <w:szCs w:val="24"/>
        </w:rPr>
        <w:t>for</w:t>
      </w:r>
      <w:r w:rsidRPr="00395593">
        <w:rPr>
          <w:rFonts w:ascii="Garamond" w:hAnsi="Garamond"/>
          <w:spacing w:val="1"/>
          <w:sz w:val="24"/>
          <w:szCs w:val="24"/>
        </w:rPr>
        <w:t xml:space="preserve"> </w:t>
      </w:r>
      <w:r w:rsidRPr="00395593">
        <w:rPr>
          <w:rFonts w:ascii="Garamond" w:hAnsi="Garamond"/>
          <w:sz w:val="24"/>
          <w:szCs w:val="24"/>
        </w:rPr>
        <w:t>calculado de</w:t>
      </w:r>
      <w:r w:rsidRPr="00395593">
        <w:rPr>
          <w:rFonts w:ascii="Garamond" w:hAnsi="Garamond"/>
          <w:spacing w:val="-1"/>
          <w:sz w:val="24"/>
          <w:szCs w:val="24"/>
        </w:rPr>
        <w:t xml:space="preserve"> </w:t>
      </w:r>
      <w:r w:rsidRPr="00395593">
        <w:rPr>
          <w:rFonts w:ascii="Garamond" w:hAnsi="Garamond"/>
          <w:sz w:val="24"/>
          <w:szCs w:val="24"/>
        </w:rPr>
        <w:t>forma prospectiva</w:t>
      </w:r>
      <w:r w:rsidRPr="00395593">
        <w:rPr>
          <w:rFonts w:ascii="Garamond" w:hAnsi="Garamond"/>
          <w:spacing w:val="-1"/>
          <w:sz w:val="24"/>
          <w:szCs w:val="24"/>
        </w:rPr>
        <w:t xml:space="preserve"> </w:t>
      </w:r>
      <w:r w:rsidRPr="00395593">
        <w:rPr>
          <w:rFonts w:ascii="Garamond" w:hAnsi="Garamond"/>
          <w:sz w:val="24"/>
          <w:szCs w:val="24"/>
        </w:rPr>
        <w:t>sobre</w:t>
      </w:r>
      <w:r w:rsidRPr="00395593">
        <w:rPr>
          <w:rFonts w:ascii="Garamond" w:hAnsi="Garamond"/>
          <w:spacing w:val="-2"/>
          <w:sz w:val="24"/>
          <w:szCs w:val="24"/>
        </w:rPr>
        <w:t xml:space="preserve"> </w:t>
      </w:r>
      <w:r w:rsidRPr="00395593">
        <w:rPr>
          <w:rFonts w:ascii="Garamond" w:hAnsi="Garamond"/>
          <w:sz w:val="24"/>
          <w:szCs w:val="24"/>
        </w:rPr>
        <w:t>o valor normal;</w:t>
      </w:r>
    </w:p>
    <w:p w14:paraId="090BB95D" w14:textId="77777777" w:rsidR="0013285C" w:rsidRPr="00395593" w:rsidRDefault="0013285C" w:rsidP="0013285C">
      <w:pPr>
        <w:pStyle w:val="Corpodetexto"/>
        <w:rPr>
          <w:rFonts w:ascii="Garamond" w:hAnsi="Garamond"/>
        </w:rPr>
      </w:pPr>
    </w:p>
    <w:p w14:paraId="21D2E1C7" w14:textId="77777777" w:rsidR="0013285C" w:rsidRPr="00395593" w:rsidRDefault="0013285C" w:rsidP="0013285C">
      <w:pPr>
        <w:pStyle w:val="Corpodetexto"/>
        <w:ind w:left="102" w:right="117"/>
        <w:jc w:val="both"/>
        <w:rPr>
          <w:rFonts w:ascii="Garamond" w:hAnsi="Garamond"/>
        </w:rPr>
      </w:pPr>
      <w:r w:rsidRPr="00395593">
        <w:rPr>
          <w:rFonts w:ascii="Garamond" w:hAnsi="Garamond"/>
        </w:rPr>
        <w:t>entendido que as autoridades não levarão em conta, para o propósito deste parágrafo,</w:t>
      </w:r>
      <w:r w:rsidRPr="00395593">
        <w:rPr>
          <w:rFonts w:ascii="Garamond" w:hAnsi="Garamond"/>
          <w:spacing w:val="1"/>
        </w:rPr>
        <w:t xml:space="preserve"> </w:t>
      </w:r>
      <w:r w:rsidRPr="00395593">
        <w:rPr>
          <w:rFonts w:ascii="Garamond" w:hAnsi="Garamond"/>
        </w:rPr>
        <w:t xml:space="preserve">margens zero ou </w:t>
      </w:r>
      <w:r w:rsidRPr="00395593">
        <w:rPr>
          <w:rFonts w:ascii="Garamond" w:hAnsi="Garamond"/>
          <w:i/>
        </w:rPr>
        <w:t xml:space="preserve">de minimis </w:t>
      </w:r>
      <w:r w:rsidRPr="00395593">
        <w:rPr>
          <w:rFonts w:ascii="Garamond" w:hAnsi="Garamond"/>
        </w:rPr>
        <w:t>ou ainda as margens estabelecidas nas circunstâncias a que faz</w:t>
      </w:r>
      <w:r w:rsidRPr="00395593">
        <w:rPr>
          <w:rFonts w:ascii="Garamond" w:hAnsi="Garamond"/>
          <w:spacing w:val="1"/>
        </w:rPr>
        <w:t xml:space="preserve"> </w:t>
      </w:r>
      <w:r w:rsidRPr="00395593">
        <w:rPr>
          <w:rFonts w:ascii="Garamond" w:hAnsi="Garamond"/>
        </w:rPr>
        <w:t>referência o parágrafo 10 do Artigo 6. As autoridades aplicarão direitos individuais ou</w:t>
      </w:r>
      <w:r w:rsidRPr="00395593">
        <w:rPr>
          <w:rFonts w:ascii="Garamond" w:hAnsi="Garamond"/>
          <w:spacing w:val="1"/>
        </w:rPr>
        <w:t xml:space="preserve"> </w:t>
      </w:r>
      <w:r w:rsidRPr="00395593">
        <w:rPr>
          <w:rFonts w:ascii="Garamond" w:hAnsi="Garamond"/>
        </w:rPr>
        <w:t>valores</w:t>
      </w:r>
      <w:r w:rsidRPr="00395593">
        <w:rPr>
          <w:rFonts w:ascii="Garamond" w:hAnsi="Garamond"/>
          <w:spacing w:val="1"/>
        </w:rPr>
        <w:t xml:space="preserve"> </w:t>
      </w:r>
      <w:r w:rsidRPr="00395593">
        <w:rPr>
          <w:rFonts w:ascii="Garamond" w:hAnsi="Garamond"/>
        </w:rPr>
        <w:t>normais</w:t>
      </w:r>
      <w:r w:rsidRPr="00395593">
        <w:rPr>
          <w:rFonts w:ascii="Garamond" w:hAnsi="Garamond"/>
          <w:spacing w:val="1"/>
        </w:rPr>
        <w:t xml:space="preserve"> </w:t>
      </w:r>
      <w:r w:rsidRPr="00395593">
        <w:rPr>
          <w:rFonts w:ascii="Garamond" w:hAnsi="Garamond"/>
        </w:rPr>
        <w:t>às</w:t>
      </w:r>
      <w:r w:rsidRPr="00395593">
        <w:rPr>
          <w:rFonts w:ascii="Garamond" w:hAnsi="Garamond"/>
          <w:spacing w:val="1"/>
        </w:rPr>
        <w:t xml:space="preserve"> </w:t>
      </w:r>
      <w:r w:rsidRPr="00395593">
        <w:rPr>
          <w:rFonts w:ascii="Garamond" w:hAnsi="Garamond"/>
        </w:rPr>
        <w:t>importações</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qualquer</w:t>
      </w:r>
      <w:r w:rsidRPr="00395593">
        <w:rPr>
          <w:rFonts w:ascii="Garamond" w:hAnsi="Garamond"/>
          <w:spacing w:val="1"/>
        </w:rPr>
        <w:t xml:space="preserve"> </w:t>
      </w:r>
      <w:r w:rsidRPr="00395593">
        <w:rPr>
          <w:rFonts w:ascii="Garamond" w:hAnsi="Garamond"/>
        </w:rPr>
        <w:t>exportador</w:t>
      </w:r>
      <w:r w:rsidRPr="00395593">
        <w:rPr>
          <w:rFonts w:ascii="Garamond" w:hAnsi="Garamond"/>
          <w:spacing w:val="1"/>
        </w:rPr>
        <w:t xml:space="preserve"> </w:t>
      </w:r>
      <w:r w:rsidRPr="00395593">
        <w:rPr>
          <w:rFonts w:ascii="Garamond" w:hAnsi="Garamond"/>
        </w:rPr>
        <w:t>ou</w:t>
      </w:r>
      <w:r w:rsidRPr="00395593">
        <w:rPr>
          <w:rFonts w:ascii="Garamond" w:hAnsi="Garamond"/>
          <w:spacing w:val="1"/>
        </w:rPr>
        <w:t xml:space="preserve"> </w:t>
      </w:r>
      <w:r w:rsidRPr="00395593">
        <w:rPr>
          <w:rFonts w:ascii="Garamond" w:hAnsi="Garamond"/>
        </w:rPr>
        <w:t>produtor</w:t>
      </w:r>
      <w:r w:rsidRPr="00395593">
        <w:rPr>
          <w:rFonts w:ascii="Garamond" w:hAnsi="Garamond"/>
          <w:spacing w:val="1"/>
        </w:rPr>
        <w:t xml:space="preserve"> </w:t>
      </w:r>
      <w:r w:rsidRPr="00395593">
        <w:rPr>
          <w:rFonts w:ascii="Garamond" w:hAnsi="Garamond"/>
        </w:rPr>
        <w:t>incluído</w:t>
      </w:r>
      <w:r w:rsidRPr="00395593">
        <w:rPr>
          <w:rFonts w:ascii="Garamond" w:hAnsi="Garamond"/>
          <w:spacing w:val="61"/>
        </w:rPr>
        <w:t xml:space="preserve"> </w:t>
      </w:r>
      <w:r w:rsidRPr="00395593">
        <w:rPr>
          <w:rFonts w:ascii="Garamond" w:hAnsi="Garamond"/>
        </w:rPr>
        <w:t>na</w:t>
      </w:r>
      <w:r w:rsidRPr="00395593">
        <w:rPr>
          <w:rFonts w:ascii="Garamond" w:hAnsi="Garamond"/>
          <w:spacing w:val="-57"/>
        </w:rPr>
        <w:t xml:space="preserve"> </w:t>
      </w:r>
      <w:r w:rsidRPr="00395593">
        <w:rPr>
          <w:rFonts w:ascii="Garamond" w:hAnsi="Garamond"/>
        </w:rPr>
        <w:t>investigação que tenha fornecido as necessárias informações durante seu curso, tal como</w:t>
      </w:r>
      <w:r w:rsidRPr="00395593">
        <w:rPr>
          <w:rFonts w:ascii="Garamond" w:hAnsi="Garamond"/>
          <w:spacing w:val="1"/>
        </w:rPr>
        <w:t xml:space="preserve"> </w:t>
      </w:r>
      <w:r w:rsidRPr="00395593">
        <w:rPr>
          <w:rFonts w:ascii="Garamond" w:hAnsi="Garamond"/>
        </w:rPr>
        <w:t>disposto</w:t>
      </w:r>
      <w:r w:rsidRPr="00395593">
        <w:rPr>
          <w:rFonts w:ascii="Garamond" w:hAnsi="Garamond"/>
          <w:spacing w:val="-1"/>
        </w:rPr>
        <w:t xml:space="preserve"> </w:t>
      </w:r>
      <w:r w:rsidRPr="00395593">
        <w:rPr>
          <w:rFonts w:ascii="Garamond" w:hAnsi="Garamond"/>
        </w:rPr>
        <w:t>no subparágrafo</w:t>
      </w:r>
      <w:r w:rsidRPr="00395593">
        <w:rPr>
          <w:rFonts w:ascii="Garamond" w:hAnsi="Garamond"/>
          <w:spacing w:val="1"/>
        </w:rPr>
        <w:t xml:space="preserve"> </w:t>
      </w:r>
      <w:r w:rsidRPr="00395593">
        <w:rPr>
          <w:rFonts w:ascii="Garamond" w:hAnsi="Garamond"/>
        </w:rPr>
        <w:t>13(b) do Artigo 6.</w:t>
      </w:r>
    </w:p>
    <w:p w14:paraId="322C6397" w14:textId="77777777" w:rsidR="0013285C" w:rsidRPr="00395593" w:rsidRDefault="0013285C" w:rsidP="0013285C">
      <w:pPr>
        <w:pStyle w:val="Corpodetexto"/>
        <w:rPr>
          <w:rFonts w:ascii="Garamond" w:hAnsi="Garamond"/>
        </w:rPr>
      </w:pPr>
    </w:p>
    <w:p w14:paraId="4E24AA55" w14:textId="4CCD8837" w:rsidR="0013285C" w:rsidRPr="00395593" w:rsidRDefault="0013285C" w:rsidP="002C4340">
      <w:pPr>
        <w:pStyle w:val="PargrafodaLista"/>
        <w:widowControl w:val="0"/>
        <w:numPr>
          <w:ilvl w:val="0"/>
          <w:numId w:val="15"/>
        </w:numPr>
        <w:tabs>
          <w:tab w:val="left" w:pos="810"/>
        </w:tabs>
        <w:autoSpaceDE w:val="0"/>
        <w:autoSpaceDN w:val="0"/>
        <w:spacing w:before="68" w:after="0" w:line="240" w:lineRule="auto"/>
        <w:ind w:right="118" w:firstLine="0"/>
        <w:contextualSpacing w:val="0"/>
        <w:jc w:val="both"/>
        <w:rPr>
          <w:rFonts w:ascii="Garamond" w:hAnsi="Garamond"/>
          <w:sz w:val="24"/>
          <w:szCs w:val="24"/>
        </w:rPr>
      </w:pPr>
      <w:r w:rsidRPr="00395593">
        <w:rPr>
          <w:rFonts w:ascii="Garamond" w:hAnsi="Garamond"/>
          <w:sz w:val="24"/>
          <w:szCs w:val="24"/>
        </w:rPr>
        <w:t>Se</w:t>
      </w:r>
      <w:r w:rsidRPr="00395593">
        <w:rPr>
          <w:rFonts w:ascii="Garamond" w:hAnsi="Garamond"/>
          <w:spacing w:val="1"/>
          <w:sz w:val="24"/>
          <w:szCs w:val="24"/>
        </w:rPr>
        <w:t xml:space="preserve"> </w:t>
      </w:r>
      <w:r w:rsidRPr="00395593">
        <w:rPr>
          <w:rFonts w:ascii="Garamond" w:hAnsi="Garamond"/>
          <w:sz w:val="24"/>
          <w:szCs w:val="24"/>
        </w:rPr>
        <w:t>um</w:t>
      </w:r>
      <w:r w:rsidRPr="00395593">
        <w:rPr>
          <w:rFonts w:ascii="Garamond" w:hAnsi="Garamond"/>
          <w:spacing w:val="1"/>
          <w:sz w:val="24"/>
          <w:szCs w:val="24"/>
        </w:rPr>
        <w:t xml:space="preserve"> </w:t>
      </w:r>
      <w:r w:rsidRPr="00395593">
        <w:rPr>
          <w:rFonts w:ascii="Garamond" w:hAnsi="Garamond"/>
          <w:sz w:val="24"/>
          <w:szCs w:val="24"/>
        </w:rPr>
        <w:t>produto</w:t>
      </w:r>
      <w:r w:rsidRPr="00395593">
        <w:rPr>
          <w:rFonts w:ascii="Garamond" w:hAnsi="Garamond"/>
          <w:spacing w:val="1"/>
          <w:sz w:val="24"/>
          <w:szCs w:val="24"/>
        </w:rPr>
        <w:t xml:space="preserve"> </w:t>
      </w:r>
      <w:r w:rsidRPr="00395593">
        <w:rPr>
          <w:rFonts w:ascii="Garamond" w:hAnsi="Garamond"/>
          <w:sz w:val="24"/>
          <w:szCs w:val="24"/>
        </w:rPr>
        <w:t>está</w:t>
      </w:r>
      <w:r w:rsidRPr="00395593">
        <w:rPr>
          <w:rFonts w:ascii="Garamond" w:hAnsi="Garamond"/>
          <w:spacing w:val="1"/>
          <w:sz w:val="24"/>
          <w:szCs w:val="24"/>
        </w:rPr>
        <w:t xml:space="preserve"> </w:t>
      </w:r>
      <w:r w:rsidRPr="00395593">
        <w:rPr>
          <w:rFonts w:ascii="Garamond" w:hAnsi="Garamond"/>
          <w:sz w:val="24"/>
          <w:szCs w:val="24"/>
        </w:rPr>
        <w:t>sujeito</w:t>
      </w:r>
      <w:r w:rsidRPr="00395593">
        <w:rPr>
          <w:rFonts w:ascii="Garamond" w:hAnsi="Garamond"/>
          <w:spacing w:val="1"/>
          <w:sz w:val="24"/>
          <w:szCs w:val="24"/>
        </w:rPr>
        <w:t xml:space="preserve"> </w:t>
      </w:r>
      <w:r w:rsidRPr="00395593">
        <w:rPr>
          <w:rFonts w:ascii="Garamond" w:hAnsi="Garamond"/>
          <w:sz w:val="24"/>
          <w:szCs w:val="24"/>
        </w:rPr>
        <w:t>a</w:t>
      </w:r>
      <w:r w:rsidRPr="00395593">
        <w:rPr>
          <w:rFonts w:ascii="Garamond" w:hAnsi="Garamond"/>
          <w:spacing w:val="1"/>
          <w:sz w:val="24"/>
          <w:szCs w:val="24"/>
        </w:rPr>
        <w:t xml:space="preserve"> </w:t>
      </w:r>
      <w:r w:rsidRPr="00395593">
        <w:rPr>
          <w:rFonts w:ascii="Garamond" w:hAnsi="Garamond"/>
          <w:sz w:val="24"/>
          <w:szCs w:val="24"/>
        </w:rPr>
        <w:t>direitos</w:t>
      </w:r>
      <w:r w:rsidRPr="00395593">
        <w:rPr>
          <w:rFonts w:ascii="Garamond" w:hAnsi="Garamond"/>
          <w:spacing w:val="1"/>
          <w:sz w:val="24"/>
          <w:szCs w:val="24"/>
        </w:rPr>
        <w:t xml:space="preserve"> </w:t>
      </w:r>
      <w:r w:rsidRPr="00395593">
        <w:rPr>
          <w:rFonts w:ascii="Garamond" w:hAnsi="Garamond"/>
          <w:i/>
          <w:sz w:val="24"/>
          <w:szCs w:val="24"/>
        </w:rPr>
        <w:t>anti</w:t>
      </w:r>
      <w:r w:rsidRPr="00395593">
        <w:rPr>
          <w:rFonts w:ascii="Garamond" w:hAnsi="Garamond"/>
          <w:sz w:val="24"/>
          <w:szCs w:val="24"/>
        </w:rPr>
        <w:t>-</w:t>
      </w:r>
      <w:r w:rsidRPr="00395593">
        <w:rPr>
          <w:rFonts w:ascii="Garamond" w:hAnsi="Garamond"/>
          <w:i/>
          <w:sz w:val="24"/>
          <w:szCs w:val="24"/>
        </w:rPr>
        <w:t>dumping</w:t>
      </w:r>
      <w:r w:rsidRPr="00395593">
        <w:rPr>
          <w:rFonts w:ascii="Garamond" w:hAnsi="Garamond"/>
          <w:i/>
          <w:spacing w:val="1"/>
          <w:sz w:val="24"/>
          <w:szCs w:val="24"/>
        </w:rPr>
        <w:t xml:space="preserve"> </w:t>
      </w:r>
      <w:r w:rsidRPr="00395593">
        <w:rPr>
          <w:rFonts w:ascii="Garamond" w:hAnsi="Garamond"/>
          <w:sz w:val="24"/>
          <w:szCs w:val="24"/>
        </w:rPr>
        <w:t>aplicados</w:t>
      </w:r>
      <w:r w:rsidRPr="00395593">
        <w:rPr>
          <w:rFonts w:ascii="Garamond" w:hAnsi="Garamond"/>
          <w:spacing w:val="1"/>
          <w:sz w:val="24"/>
          <w:szCs w:val="24"/>
        </w:rPr>
        <w:t xml:space="preserve"> </w:t>
      </w:r>
      <w:r w:rsidRPr="00395593">
        <w:rPr>
          <w:rFonts w:ascii="Garamond" w:hAnsi="Garamond"/>
          <w:sz w:val="24"/>
          <w:szCs w:val="24"/>
        </w:rPr>
        <w:t>por</w:t>
      </w:r>
      <w:r w:rsidRPr="00395593">
        <w:rPr>
          <w:rFonts w:ascii="Garamond" w:hAnsi="Garamond"/>
          <w:spacing w:val="1"/>
          <w:sz w:val="24"/>
          <w:szCs w:val="24"/>
        </w:rPr>
        <w:t xml:space="preserve"> </w:t>
      </w:r>
      <w:r w:rsidRPr="00395593">
        <w:rPr>
          <w:rFonts w:ascii="Garamond" w:hAnsi="Garamond"/>
          <w:sz w:val="24"/>
          <w:szCs w:val="24"/>
        </w:rPr>
        <w:t>um</w:t>
      </w:r>
      <w:r w:rsidRPr="00395593">
        <w:rPr>
          <w:rFonts w:ascii="Garamond" w:hAnsi="Garamond"/>
          <w:spacing w:val="1"/>
          <w:sz w:val="24"/>
          <w:szCs w:val="24"/>
        </w:rPr>
        <w:t xml:space="preserve"> </w:t>
      </w:r>
      <w:r w:rsidRPr="00395593">
        <w:rPr>
          <w:rFonts w:ascii="Garamond" w:hAnsi="Garamond"/>
          <w:sz w:val="24"/>
          <w:szCs w:val="24"/>
        </w:rPr>
        <w:t>Membro</w:t>
      </w:r>
      <w:r w:rsidRPr="00395593">
        <w:rPr>
          <w:rFonts w:ascii="Garamond" w:hAnsi="Garamond"/>
          <w:spacing w:val="-57"/>
          <w:sz w:val="24"/>
          <w:szCs w:val="24"/>
        </w:rPr>
        <w:t xml:space="preserve"> </w:t>
      </w:r>
      <w:r w:rsidRPr="00395593">
        <w:rPr>
          <w:rFonts w:ascii="Garamond" w:hAnsi="Garamond"/>
          <w:sz w:val="24"/>
          <w:szCs w:val="24"/>
        </w:rPr>
        <w:t>importador, as autoridades deverão prontamente proceder a exame com vistas a determinar</w:t>
      </w:r>
      <w:r w:rsidRPr="00395593">
        <w:rPr>
          <w:rFonts w:ascii="Garamond" w:hAnsi="Garamond"/>
          <w:spacing w:val="1"/>
          <w:sz w:val="24"/>
          <w:szCs w:val="24"/>
        </w:rPr>
        <w:t xml:space="preserve"> </w:t>
      </w:r>
      <w:r w:rsidRPr="00395593">
        <w:rPr>
          <w:rFonts w:ascii="Garamond" w:hAnsi="Garamond"/>
          <w:sz w:val="24"/>
          <w:szCs w:val="24"/>
        </w:rPr>
        <w:t>margens</w:t>
      </w:r>
      <w:r w:rsidRPr="00395593">
        <w:rPr>
          <w:rFonts w:ascii="Garamond" w:hAnsi="Garamond"/>
          <w:spacing w:val="1"/>
          <w:sz w:val="24"/>
          <w:szCs w:val="24"/>
        </w:rPr>
        <w:t xml:space="preserve"> </w:t>
      </w:r>
      <w:r w:rsidRPr="00395593">
        <w:rPr>
          <w:rFonts w:ascii="Garamond" w:hAnsi="Garamond"/>
          <w:sz w:val="24"/>
          <w:szCs w:val="24"/>
        </w:rPr>
        <w:t>individuais</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i/>
          <w:sz w:val="24"/>
          <w:szCs w:val="24"/>
        </w:rPr>
        <w:t>dumping</w:t>
      </w:r>
      <w:r w:rsidRPr="00395593">
        <w:rPr>
          <w:rFonts w:ascii="Garamond" w:hAnsi="Garamond"/>
          <w:i/>
          <w:spacing w:val="1"/>
          <w:sz w:val="24"/>
          <w:szCs w:val="24"/>
        </w:rPr>
        <w:t xml:space="preserve"> </w:t>
      </w:r>
      <w:r w:rsidRPr="00395593">
        <w:rPr>
          <w:rFonts w:ascii="Garamond" w:hAnsi="Garamond"/>
          <w:sz w:val="24"/>
          <w:szCs w:val="24"/>
        </w:rPr>
        <w:t>para</w:t>
      </w:r>
      <w:r w:rsidRPr="00395593">
        <w:rPr>
          <w:rFonts w:ascii="Garamond" w:hAnsi="Garamond"/>
          <w:spacing w:val="1"/>
          <w:sz w:val="24"/>
          <w:szCs w:val="24"/>
        </w:rPr>
        <w:t xml:space="preserve"> </w:t>
      </w:r>
      <w:r w:rsidRPr="00395593">
        <w:rPr>
          <w:rFonts w:ascii="Garamond" w:hAnsi="Garamond"/>
          <w:sz w:val="24"/>
          <w:szCs w:val="24"/>
        </w:rPr>
        <w:t>quaisquer</w:t>
      </w:r>
      <w:r w:rsidRPr="00395593">
        <w:rPr>
          <w:rFonts w:ascii="Garamond" w:hAnsi="Garamond"/>
          <w:spacing w:val="1"/>
          <w:sz w:val="24"/>
          <w:szCs w:val="24"/>
        </w:rPr>
        <w:t xml:space="preserve"> </w:t>
      </w:r>
      <w:r w:rsidRPr="00395593">
        <w:rPr>
          <w:rFonts w:ascii="Garamond" w:hAnsi="Garamond"/>
          <w:sz w:val="24"/>
          <w:szCs w:val="24"/>
        </w:rPr>
        <w:t>exportadores</w:t>
      </w:r>
      <w:r w:rsidRPr="00395593">
        <w:rPr>
          <w:rFonts w:ascii="Garamond" w:hAnsi="Garamond"/>
          <w:spacing w:val="1"/>
          <w:sz w:val="24"/>
          <w:szCs w:val="24"/>
        </w:rPr>
        <w:t xml:space="preserve"> </w:t>
      </w:r>
      <w:r w:rsidRPr="00395593">
        <w:rPr>
          <w:rFonts w:ascii="Garamond" w:hAnsi="Garamond"/>
          <w:sz w:val="24"/>
          <w:szCs w:val="24"/>
        </w:rPr>
        <w:t>ou</w:t>
      </w:r>
      <w:r w:rsidRPr="00395593">
        <w:rPr>
          <w:rFonts w:ascii="Garamond" w:hAnsi="Garamond"/>
          <w:spacing w:val="1"/>
          <w:sz w:val="24"/>
          <w:szCs w:val="24"/>
        </w:rPr>
        <w:t xml:space="preserve"> </w:t>
      </w:r>
      <w:r w:rsidRPr="00395593">
        <w:rPr>
          <w:rFonts w:ascii="Garamond" w:hAnsi="Garamond"/>
          <w:sz w:val="24"/>
          <w:szCs w:val="24"/>
        </w:rPr>
        <w:t>produtores</w:t>
      </w:r>
      <w:r w:rsidRPr="00395593">
        <w:rPr>
          <w:rFonts w:ascii="Garamond" w:hAnsi="Garamond"/>
          <w:spacing w:val="1"/>
          <w:sz w:val="24"/>
          <w:szCs w:val="24"/>
        </w:rPr>
        <w:t xml:space="preserve"> </w:t>
      </w:r>
      <w:r w:rsidRPr="00395593">
        <w:rPr>
          <w:rFonts w:ascii="Garamond" w:hAnsi="Garamond"/>
          <w:sz w:val="24"/>
          <w:szCs w:val="24"/>
        </w:rPr>
        <w:t>do</w:t>
      </w:r>
      <w:r w:rsidRPr="00395593">
        <w:rPr>
          <w:rFonts w:ascii="Garamond" w:hAnsi="Garamond"/>
          <w:spacing w:val="1"/>
          <w:sz w:val="24"/>
          <w:szCs w:val="24"/>
        </w:rPr>
        <w:t xml:space="preserve"> </w:t>
      </w:r>
      <w:r w:rsidRPr="00395593">
        <w:rPr>
          <w:rFonts w:ascii="Garamond" w:hAnsi="Garamond"/>
          <w:sz w:val="24"/>
          <w:szCs w:val="24"/>
        </w:rPr>
        <w:t>país</w:t>
      </w:r>
      <w:r w:rsidRPr="00395593">
        <w:rPr>
          <w:rFonts w:ascii="Garamond" w:hAnsi="Garamond"/>
          <w:spacing w:val="1"/>
          <w:sz w:val="24"/>
          <w:szCs w:val="24"/>
        </w:rPr>
        <w:t xml:space="preserve"> </w:t>
      </w:r>
      <w:r w:rsidRPr="00395593">
        <w:rPr>
          <w:rFonts w:ascii="Garamond" w:hAnsi="Garamond"/>
          <w:sz w:val="24"/>
          <w:szCs w:val="24"/>
        </w:rPr>
        <w:t>exportador em questão que não tenham exportado o produto para o Membro importador</w:t>
      </w:r>
      <w:r w:rsidRPr="00395593">
        <w:rPr>
          <w:rFonts w:ascii="Garamond" w:hAnsi="Garamond"/>
          <w:spacing w:val="1"/>
          <w:sz w:val="24"/>
          <w:szCs w:val="24"/>
        </w:rPr>
        <w:t xml:space="preserve"> </w:t>
      </w:r>
      <w:r w:rsidRPr="00395593">
        <w:rPr>
          <w:rFonts w:ascii="Garamond" w:hAnsi="Garamond"/>
          <w:sz w:val="24"/>
          <w:szCs w:val="24"/>
        </w:rPr>
        <w:t>durante o período da investigação, desde que esses exportadores ou produtores possam</w:t>
      </w:r>
      <w:r w:rsidRPr="00395593">
        <w:rPr>
          <w:rFonts w:ascii="Garamond" w:hAnsi="Garamond"/>
          <w:spacing w:val="1"/>
          <w:sz w:val="24"/>
          <w:szCs w:val="24"/>
        </w:rPr>
        <w:t xml:space="preserve"> </w:t>
      </w:r>
      <w:r w:rsidRPr="00395593">
        <w:rPr>
          <w:rFonts w:ascii="Garamond" w:hAnsi="Garamond"/>
          <w:sz w:val="24"/>
          <w:szCs w:val="24"/>
        </w:rPr>
        <w:t>demonstrar</w:t>
      </w:r>
      <w:r w:rsidRPr="00395593">
        <w:rPr>
          <w:rFonts w:ascii="Garamond" w:hAnsi="Garamond"/>
          <w:spacing w:val="13"/>
          <w:sz w:val="24"/>
          <w:szCs w:val="24"/>
        </w:rPr>
        <w:t xml:space="preserve"> </w:t>
      </w:r>
      <w:r w:rsidRPr="00395593">
        <w:rPr>
          <w:rFonts w:ascii="Garamond" w:hAnsi="Garamond"/>
          <w:sz w:val="24"/>
          <w:szCs w:val="24"/>
        </w:rPr>
        <w:t>não</w:t>
      </w:r>
      <w:r w:rsidRPr="00395593">
        <w:rPr>
          <w:rFonts w:ascii="Garamond" w:hAnsi="Garamond"/>
          <w:spacing w:val="14"/>
          <w:sz w:val="24"/>
          <w:szCs w:val="24"/>
        </w:rPr>
        <w:t xml:space="preserve"> </w:t>
      </w:r>
      <w:r w:rsidRPr="00395593">
        <w:rPr>
          <w:rFonts w:ascii="Garamond" w:hAnsi="Garamond"/>
          <w:sz w:val="24"/>
          <w:szCs w:val="24"/>
        </w:rPr>
        <w:t>ter</w:t>
      </w:r>
      <w:r w:rsidRPr="00395593">
        <w:rPr>
          <w:rFonts w:ascii="Garamond" w:hAnsi="Garamond"/>
          <w:spacing w:val="14"/>
          <w:sz w:val="24"/>
          <w:szCs w:val="24"/>
        </w:rPr>
        <w:t xml:space="preserve"> </w:t>
      </w:r>
      <w:r w:rsidRPr="00395593">
        <w:rPr>
          <w:rFonts w:ascii="Garamond" w:hAnsi="Garamond"/>
          <w:sz w:val="24"/>
          <w:szCs w:val="24"/>
        </w:rPr>
        <w:t>qualquer</w:t>
      </w:r>
      <w:r w:rsidRPr="00395593">
        <w:rPr>
          <w:rFonts w:ascii="Garamond" w:hAnsi="Garamond"/>
          <w:spacing w:val="13"/>
          <w:sz w:val="24"/>
          <w:szCs w:val="24"/>
        </w:rPr>
        <w:t xml:space="preserve"> </w:t>
      </w:r>
      <w:r w:rsidRPr="00395593">
        <w:rPr>
          <w:rFonts w:ascii="Garamond" w:hAnsi="Garamond"/>
          <w:sz w:val="24"/>
          <w:szCs w:val="24"/>
        </w:rPr>
        <w:t>relação</w:t>
      </w:r>
      <w:r w:rsidRPr="00395593">
        <w:rPr>
          <w:rFonts w:ascii="Garamond" w:hAnsi="Garamond"/>
          <w:spacing w:val="15"/>
          <w:sz w:val="24"/>
          <w:szCs w:val="24"/>
        </w:rPr>
        <w:t xml:space="preserve"> </w:t>
      </w:r>
      <w:r w:rsidRPr="00395593">
        <w:rPr>
          <w:rFonts w:ascii="Garamond" w:hAnsi="Garamond"/>
          <w:sz w:val="24"/>
          <w:szCs w:val="24"/>
        </w:rPr>
        <w:t>com</w:t>
      </w:r>
      <w:r w:rsidRPr="00395593">
        <w:rPr>
          <w:rFonts w:ascii="Garamond" w:hAnsi="Garamond"/>
          <w:spacing w:val="15"/>
          <w:sz w:val="24"/>
          <w:szCs w:val="24"/>
        </w:rPr>
        <w:t xml:space="preserve"> </w:t>
      </w:r>
      <w:r w:rsidRPr="00395593">
        <w:rPr>
          <w:rFonts w:ascii="Garamond" w:hAnsi="Garamond"/>
          <w:sz w:val="24"/>
          <w:szCs w:val="24"/>
        </w:rPr>
        <w:t>qualquer</w:t>
      </w:r>
      <w:r w:rsidRPr="00395593">
        <w:rPr>
          <w:rFonts w:ascii="Garamond" w:hAnsi="Garamond"/>
          <w:spacing w:val="14"/>
          <w:sz w:val="24"/>
          <w:szCs w:val="24"/>
        </w:rPr>
        <w:t xml:space="preserve"> </w:t>
      </w:r>
      <w:r w:rsidRPr="00395593">
        <w:rPr>
          <w:rFonts w:ascii="Garamond" w:hAnsi="Garamond"/>
          <w:sz w:val="24"/>
          <w:szCs w:val="24"/>
        </w:rPr>
        <w:t>dos</w:t>
      </w:r>
      <w:r w:rsidRPr="00395593">
        <w:rPr>
          <w:rFonts w:ascii="Garamond" w:hAnsi="Garamond"/>
          <w:spacing w:val="14"/>
          <w:sz w:val="24"/>
          <w:szCs w:val="24"/>
        </w:rPr>
        <w:t xml:space="preserve"> </w:t>
      </w:r>
      <w:r w:rsidRPr="00395593">
        <w:rPr>
          <w:rFonts w:ascii="Garamond" w:hAnsi="Garamond"/>
          <w:sz w:val="24"/>
          <w:szCs w:val="24"/>
        </w:rPr>
        <w:t>exportadores</w:t>
      </w:r>
      <w:r w:rsidRPr="00395593">
        <w:rPr>
          <w:rFonts w:ascii="Garamond" w:hAnsi="Garamond"/>
          <w:spacing w:val="14"/>
          <w:sz w:val="24"/>
          <w:szCs w:val="24"/>
        </w:rPr>
        <w:t xml:space="preserve"> </w:t>
      </w:r>
      <w:r w:rsidRPr="00395593">
        <w:rPr>
          <w:rFonts w:ascii="Garamond" w:hAnsi="Garamond"/>
          <w:sz w:val="24"/>
          <w:szCs w:val="24"/>
        </w:rPr>
        <w:t>ou</w:t>
      </w:r>
      <w:r w:rsidRPr="00395593">
        <w:rPr>
          <w:rFonts w:ascii="Garamond" w:hAnsi="Garamond"/>
          <w:spacing w:val="15"/>
          <w:sz w:val="24"/>
          <w:szCs w:val="24"/>
        </w:rPr>
        <w:t xml:space="preserve"> </w:t>
      </w:r>
      <w:r w:rsidRPr="00395593">
        <w:rPr>
          <w:rFonts w:ascii="Garamond" w:hAnsi="Garamond"/>
          <w:sz w:val="24"/>
          <w:szCs w:val="24"/>
        </w:rPr>
        <w:t>produtores</w:t>
      </w:r>
      <w:r w:rsidRPr="00395593">
        <w:rPr>
          <w:rFonts w:ascii="Garamond" w:hAnsi="Garamond"/>
          <w:spacing w:val="14"/>
          <w:sz w:val="24"/>
          <w:szCs w:val="24"/>
        </w:rPr>
        <w:t xml:space="preserve"> </w:t>
      </w:r>
      <w:r w:rsidRPr="00395593">
        <w:rPr>
          <w:rFonts w:ascii="Garamond" w:hAnsi="Garamond"/>
          <w:sz w:val="24"/>
          <w:szCs w:val="24"/>
        </w:rPr>
        <w:t>no</w:t>
      </w:r>
      <w:r w:rsidRPr="00395593">
        <w:rPr>
          <w:rFonts w:ascii="Garamond" w:hAnsi="Garamond"/>
          <w:spacing w:val="15"/>
          <w:sz w:val="24"/>
          <w:szCs w:val="24"/>
        </w:rPr>
        <w:t xml:space="preserve"> </w:t>
      </w:r>
      <w:r w:rsidRPr="00395593">
        <w:rPr>
          <w:rFonts w:ascii="Garamond" w:hAnsi="Garamond"/>
          <w:sz w:val="24"/>
          <w:szCs w:val="24"/>
        </w:rPr>
        <w:t>país</w:t>
      </w:r>
      <w:r w:rsidR="00F362DF" w:rsidRPr="00395593">
        <w:rPr>
          <w:rFonts w:ascii="Garamond" w:hAnsi="Garamond"/>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sz w:val="24"/>
          <w:szCs w:val="24"/>
        </w:rPr>
        <w:t>exportação</w:t>
      </w:r>
      <w:r w:rsidRPr="00395593">
        <w:rPr>
          <w:rFonts w:ascii="Garamond" w:hAnsi="Garamond"/>
          <w:spacing w:val="1"/>
          <w:sz w:val="24"/>
          <w:szCs w:val="24"/>
        </w:rPr>
        <w:t xml:space="preserve"> </w:t>
      </w:r>
      <w:r w:rsidRPr="00395593">
        <w:rPr>
          <w:rFonts w:ascii="Garamond" w:hAnsi="Garamond"/>
          <w:sz w:val="24"/>
          <w:szCs w:val="24"/>
        </w:rPr>
        <w:t>que</w:t>
      </w:r>
      <w:r w:rsidRPr="00395593">
        <w:rPr>
          <w:rFonts w:ascii="Garamond" w:hAnsi="Garamond"/>
          <w:spacing w:val="1"/>
          <w:sz w:val="24"/>
          <w:szCs w:val="24"/>
        </w:rPr>
        <w:t xml:space="preserve"> </w:t>
      </w:r>
      <w:r w:rsidRPr="00395593">
        <w:rPr>
          <w:rFonts w:ascii="Garamond" w:hAnsi="Garamond"/>
          <w:sz w:val="24"/>
          <w:szCs w:val="24"/>
        </w:rPr>
        <w:t>estejam</w:t>
      </w:r>
      <w:r w:rsidRPr="00395593">
        <w:rPr>
          <w:rFonts w:ascii="Garamond" w:hAnsi="Garamond"/>
          <w:spacing w:val="1"/>
          <w:sz w:val="24"/>
          <w:szCs w:val="24"/>
        </w:rPr>
        <w:t xml:space="preserve"> </w:t>
      </w:r>
      <w:r w:rsidRPr="00395593">
        <w:rPr>
          <w:rFonts w:ascii="Garamond" w:hAnsi="Garamond"/>
          <w:sz w:val="24"/>
          <w:szCs w:val="24"/>
        </w:rPr>
        <w:t>sujeitos</w:t>
      </w:r>
      <w:r w:rsidRPr="00395593">
        <w:rPr>
          <w:rFonts w:ascii="Garamond" w:hAnsi="Garamond"/>
          <w:spacing w:val="1"/>
          <w:sz w:val="24"/>
          <w:szCs w:val="24"/>
        </w:rPr>
        <w:t xml:space="preserve"> </w:t>
      </w:r>
      <w:r w:rsidRPr="00395593">
        <w:rPr>
          <w:rFonts w:ascii="Garamond" w:hAnsi="Garamond"/>
          <w:sz w:val="24"/>
          <w:szCs w:val="24"/>
        </w:rPr>
        <w:t>aos</w:t>
      </w:r>
      <w:r w:rsidRPr="00395593">
        <w:rPr>
          <w:rFonts w:ascii="Garamond" w:hAnsi="Garamond"/>
          <w:spacing w:val="1"/>
          <w:sz w:val="24"/>
          <w:szCs w:val="24"/>
        </w:rPr>
        <w:t xml:space="preserve"> </w:t>
      </w:r>
      <w:r w:rsidRPr="00395593">
        <w:rPr>
          <w:rFonts w:ascii="Garamond" w:hAnsi="Garamond"/>
          <w:sz w:val="24"/>
          <w:szCs w:val="24"/>
        </w:rPr>
        <w:t>direitos</w:t>
      </w:r>
      <w:r w:rsidRPr="00395593">
        <w:rPr>
          <w:rFonts w:ascii="Garamond" w:hAnsi="Garamond"/>
          <w:spacing w:val="1"/>
          <w:sz w:val="24"/>
          <w:szCs w:val="24"/>
        </w:rPr>
        <w:t xml:space="preserve"> </w:t>
      </w:r>
      <w:r w:rsidRPr="00395593">
        <w:rPr>
          <w:rFonts w:ascii="Garamond" w:hAnsi="Garamond"/>
          <w:sz w:val="24"/>
          <w:szCs w:val="24"/>
        </w:rPr>
        <w:t>anti-</w:t>
      </w:r>
      <w:r w:rsidRPr="00395593">
        <w:rPr>
          <w:rFonts w:ascii="Garamond" w:hAnsi="Garamond"/>
          <w:i/>
          <w:sz w:val="24"/>
          <w:szCs w:val="24"/>
        </w:rPr>
        <w:t>dumping</w:t>
      </w:r>
      <w:r w:rsidRPr="00395593">
        <w:rPr>
          <w:rFonts w:ascii="Garamond" w:hAnsi="Garamond"/>
          <w:i/>
          <w:spacing w:val="1"/>
          <w:sz w:val="24"/>
          <w:szCs w:val="24"/>
        </w:rPr>
        <w:t xml:space="preserve"> </w:t>
      </w:r>
      <w:r w:rsidRPr="00395593">
        <w:rPr>
          <w:rFonts w:ascii="Garamond" w:hAnsi="Garamond"/>
          <w:sz w:val="24"/>
          <w:szCs w:val="24"/>
        </w:rPr>
        <w:t>estabelecidos</w:t>
      </w:r>
      <w:r w:rsidRPr="00395593">
        <w:rPr>
          <w:rFonts w:ascii="Garamond" w:hAnsi="Garamond"/>
          <w:spacing w:val="1"/>
          <w:sz w:val="24"/>
          <w:szCs w:val="24"/>
        </w:rPr>
        <w:t xml:space="preserve"> </w:t>
      </w:r>
      <w:r w:rsidRPr="00395593">
        <w:rPr>
          <w:rFonts w:ascii="Garamond" w:hAnsi="Garamond"/>
          <w:sz w:val="24"/>
          <w:szCs w:val="24"/>
        </w:rPr>
        <w:t>sobre</w:t>
      </w:r>
      <w:r w:rsidRPr="00395593">
        <w:rPr>
          <w:rFonts w:ascii="Garamond" w:hAnsi="Garamond"/>
          <w:spacing w:val="1"/>
          <w:sz w:val="24"/>
          <w:szCs w:val="24"/>
        </w:rPr>
        <w:t xml:space="preserve"> </w:t>
      </w:r>
      <w:r w:rsidRPr="00395593">
        <w:rPr>
          <w:rFonts w:ascii="Garamond" w:hAnsi="Garamond"/>
          <w:sz w:val="24"/>
          <w:szCs w:val="24"/>
        </w:rPr>
        <w:t>seu</w:t>
      </w:r>
      <w:r w:rsidRPr="00395593">
        <w:rPr>
          <w:rFonts w:ascii="Garamond" w:hAnsi="Garamond"/>
          <w:spacing w:val="1"/>
          <w:sz w:val="24"/>
          <w:szCs w:val="24"/>
        </w:rPr>
        <w:t xml:space="preserve"> </w:t>
      </w:r>
      <w:r w:rsidRPr="00395593">
        <w:rPr>
          <w:rFonts w:ascii="Garamond" w:hAnsi="Garamond"/>
          <w:sz w:val="24"/>
          <w:szCs w:val="24"/>
        </w:rPr>
        <w:t>produto. Tal exame será iniciado e realizado de forma mais acelerada do aquela prevista</w:t>
      </w:r>
      <w:r w:rsidRPr="00395593">
        <w:rPr>
          <w:rFonts w:ascii="Garamond" w:hAnsi="Garamond"/>
          <w:spacing w:val="1"/>
          <w:sz w:val="24"/>
          <w:szCs w:val="24"/>
        </w:rPr>
        <w:t xml:space="preserve"> </w:t>
      </w:r>
      <w:r w:rsidRPr="00395593">
        <w:rPr>
          <w:rFonts w:ascii="Garamond" w:hAnsi="Garamond"/>
          <w:sz w:val="24"/>
          <w:szCs w:val="24"/>
        </w:rPr>
        <w:t>para o</w:t>
      </w:r>
      <w:r w:rsidRPr="00395593">
        <w:rPr>
          <w:rFonts w:ascii="Garamond" w:hAnsi="Garamond"/>
          <w:spacing w:val="1"/>
          <w:sz w:val="24"/>
          <w:szCs w:val="24"/>
        </w:rPr>
        <w:t xml:space="preserve"> </w:t>
      </w:r>
      <w:r w:rsidRPr="00395593">
        <w:rPr>
          <w:rFonts w:ascii="Garamond" w:hAnsi="Garamond"/>
          <w:sz w:val="24"/>
          <w:szCs w:val="24"/>
        </w:rPr>
        <w:t>cálculo dos</w:t>
      </w:r>
      <w:r w:rsidRPr="00395593">
        <w:rPr>
          <w:rFonts w:ascii="Garamond" w:hAnsi="Garamond"/>
          <w:spacing w:val="1"/>
          <w:sz w:val="24"/>
          <w:szCs w:val="24"/>
        </w:rPr>
        <w:t xml:space="preserve"> </w:t>
      </w:r>
      <w:r w:rsidRPr="00395593">
        <w:rPr>
          <w:rFonts w:ascii="Garamond" w:hAnsi="Garamond"/>
          <w:sz w:val="24"/>
          <w:szCs w:val="24"/>
        </w:rPr>
        <w:t>direitos</w:t>
      </w:r>
      <w:r w:rsidRPr="00395593">
        <w:rPr>
          <w:rFonts w:ascii="Garamond" w:hAnsi="Garamond"/>
          <w:spacing w:val="1"/>
          <w:sz w:val="24"/>
          <w:szCs w:val="24"/>
        </w:rPr>
        <w:t xml:space="preserve"> </w:t>
      </w:r>
      <w:r w:rsidRPr="00395593">
        <w:rPr>
          <w:rFonts w:ascii="Garamond" w:hAnsi="Garamond"/>
          <w:sz w:val="24"/>
          <w:szCs w:val="24"/>
        </w:rPr>
        <w:t>normais</w:t>
      </w:r>
      <w:r w:rsidRPr="00395593">
        <w:rPr>
          <w:rFonts w:ascii="Garamond" w:hAnsi="Garamond"/>
          <w:spacing w:val="1"/>
          <w:sz w:val="24"/>
          <w:szCs w:val="24"/>
        </w:rPr>
        <w:t xml:space="preserve"> </w:t>
      </w:r>
      <w:r w:rsidRPr="00395593">
        <w:rPr>
          <w:rFonts w:ascii="Garamond" w:hAnsi="Garamond"/>
          <w:sz w:val="24"/>
          <w:szCs w:val="24"/>
        </w:rPr>
        <w:t>e procedimentos</w:t>
      </w:r>
      <w:r w:rsidRPr="00395593">
        <w:rPr>
          <w:rFonts w:ascii="Garamond" w:hAnsi="Garamond"/>
          <w:spacing w:val="60"/>
          <w:sz w:val="24"/>
          <w:szCs w:val="24"/>
        </w:rPr>
        <w:t xml:space="preserve"> </w:t>
      </w:r>
      <w:r w:rsidRPr="00395593">
        <w:rPr>
          <w:rFonts w:ascii="Garamond" w:hAnsi="Garamond"/>
          <w:sz w:val="24"/>
          <w:szCs w:val="24"/>
        </w:rPr>
        <w:t>de revisão no Membro importador.</w:t>
      </w:r>
      <w:r w:rsidRPr="00395593">
        <w:rPr>
          <w:rFonts w:ascii="Garamond" w:hAnsi="Garamond"/>
          <w:spacing w:val="1"/>
          <w:sz w:val="24"/>
          <w:szCs w:val="24"/>
        </w:rPr>
        <w:t xml:space="preserve"> </w:t>
      </w:r>
      <w:r w:rsidRPr="00395593">
        <w:rPr>
          <w:rFonts w:ascii="Garamond" w:hAnsi="Garamond"/>
          <w:sz w:val="24"/>
          <w:szCs w:val="24"/>
        </w:rPr>
        <w:t xml:space="preserve">Não poderão ser cobrados direitos </w:t>
      </w:r>
      <w:r w:rsidRPr="00395593">
        <w:rPr>
          <w:rFonts w:ascii="Garamond" w:hAnsi="Garamond"/>
          <w:i/>
          <w:sz w:val="24"/>
          <w:szCs w:val="24"/>
        </w:rPr>
        <w:t>anti</w:t>
      </w:r>
      <w:r w:rsidRPr="00395593">
        <w:rPr>
          <w:rFonts w:ascii="Garamond" w:hAnsi="Garamond"/>
          <w:sz w:val="24"/>
          <w:szCs w:val="24"/>
        </w:rPr>
        <w:t>-</w:t>
      </w:r>
      <w:r w:rsidRPr="00395593">
        <w:rPr>
          <w:rFonts w:ascii="Garamond" w:hAnsi="Garamond"/>
          <w:i/>
          <w:sz w:val="24"/>
          <w:szCs w:val="24"/>
        </w:rPr>
        <w:t xml:space="preserve">dumping </w:t>
      </w:r>
      <w:r w:rsidRPr="00395593">
        <w:rPr>
          <w:rFonts w:ascii="Garamond" w:hAnsi="Garamond"/>
          <w:sz w:val="24"/>
          <w:szCs w:val="24"/>
        </w:rPr>
        <w:t>sobre as importações provenientes de tais</w:t>
      </w:r>
      <w:r w:rsidRPr="00395593">
        <w:rPr>
          <w:rFonts w:ascii="Garamond" w:hAnsi="Garamond"/>
          <w:spacing w:val="1"/>
          <w:sz w:val="24"/>
          <w:szCs w:val="24"/>
        </w:rPr>
        <w:t xml:space="preserve"> </w:t>
      </w:r>
      <w:r w:rsidRPr="00395593">
        <w:rPr>
          <w:rFonts w:ascii="Garamond" w:hAnsi="Garamond"/>
          <w:sz w:val="24"/>
          <w:szCs w:val="24"/>
        </w:rPr>
        <w:t>exportadores ou produtores enquanto se está realizando o exame. As autoridades poderão,</w:t>
      </w:r>
      <w:r w:rsidRPr="00395593">
        <w:rPr>
          <w:rFonts w:ascii="Garamond" w:hAnsi="Garamond"/>
          <w:spacing w:val="1"/>
          <w:sz w:val="24"/>
          <w:szCs w:val="24"/>
        </w:rPr>
        <w:t xml:space="preserve"> </w:t>
      </w:r>
      <w:r w:rsidRPr="00395593">
        <w:rPr>
          <w:rFonts w:ascii="Garamond" w:hAnsi="Garamond"/>
          <w:sz w:val="24"/>
          <w:szCs w:val="24"/>
        </w:rPr>
        <w:t>entretanto, suspender a valoração aduaneira e/ou requerer garantias para assegurar que no</w:t>
      </w:r>
      <w:r w:rsidRPr="00395593">
        <w:rPr>
          <w:rFonts w:ascii="Garamond" w:hAnsi="Garamond"/>
          <w:spacing w:val="1"/>
          <w:sz w:val="24"/>
          <w:szCs w:val="24"/>
        </w:rPr>
        <w:t xml:space="preserve"> </w:t>
      </w:r>
      <w:r w:rsidRPr="00395593">
        <w:rPr>
          <w:rFonts w:ascii="Garamond" w:hAnsi="Garamond"/>
          <w:sz w:val="24"/>
          <w:szCs w:val="24"/>
        </w:rPr>
        <w:t xml:space="preserve">caso de as investigações concluírem pela determinação de </w:t>
      </w:r>
      <w:r w:rsidRPr="00395593">
        <w:rPr>
          <w:rFonts w:ascii="Garamond" w:hAnsi="Garamond"/>
          <w:i/>
          <w:sz w:val="24"/>
          <w:szCs w:val="24"/>
        </w:rPr>
        <w:t xml:space="preserve">dumping </w:t>
      </w:r>
      <w:r w:rsidRPr="00395593">
        <w:rPr>
          <w:rFonts w:ascii="Garamond" w:hAnsi="Garamond"/>
          <w:sz w:val="24"/>
          <w:szCs w:val="24"/>
        </w:rPr>
        <w:t>com relação a tais</w:t>
      </w:r>
      <w:r w:rsidRPr="00395593">
        <w:rPr>
          <w:rFonts w:ascii="Garamond" w:hAnsi="Garamond"/>
          <w:spacing w:val="1"/>
          <w:sz w:val="24"/>
          <w:szCs w:val="24"/>
        </w:rPr>
        <w:t xml:space="preserve"> </w:t>
      </w:r>
      <w:r w:rsidRPr="00395593">
        <w:rPr>
          <w:rFonts w:ascii="Garamond" w:hAnsi="Garamond"/>
          <w:sz w:val="24"/>
          <w:szCs w:val="24"/>
        </w:rPr>
        <w:t xml:space="preserve">produtores ou exportadores, seja possível perceber direitos </w:t>
      </w:r>
      <w:r w:rsidRPr="00395593">
        <w:rPr>
          <w:rFonts w:ascii="Garamond" w:hAnsi="Garamond"/>
          <w:i/>
          <w:sz w:val="24"/>
          <w:szCs w:val="24"/>
        </w:rPr>
        <w:t>anti</w:t>
      </w:r>
      <w:r w:rsidRPr="00395593">
        <w:rPr>
          <w:rFonts w:ascii="Garamond" w:hAnsi="Garamond"/>
          <w:sz w:val="24"/>
          <w:szCs w:val="24"/>
        </w:rPr>
        <w:t>-</w:t>
      </w:r>
      <w:r w:rsidRPr="00395593">
        <w:rPr>
          <w:rFonts w:ascii="Garamond" w:hAnsi="Garamond"/>
          <w:i/>
          <w:sz w:val="24"/>
          <w:szCs w:val="24"/>
        </w:rPr>
        <w:t xml:space="preserve">dumping </w:t>
      </w:r>
      <w:r w:rsidRPr="00395593">
        <w:rPr>
          <w:rFonts w:ascii="Garamond" w:hAnsi="Garamond"/>
          <w:sz w:val="24"/>
          <w:szCs w:val="24"/>
        </w:rPr>
        <w:t>retroativos à data</w:t>
      </w:r>
      <w:r w:rsidRPr="00395593">
        <w:rPr>
          <w:rFonts w:ascii="Garamond" w:hAnsi="Garamond"/>
          <w:spacing w:val="1"/>
          <w:sz w:val="24"/>
          <w:szCs w:val="24"/>
        </w:rPr>
        <w:t xml:space="preserve"> </w:t>
      </w:r>
      <w:r w:rsidRPr="00395593">
        <w:rPr>
          <w:rFonts w:ascii="Garamond" w:hAnsi="Garamond"/>
          <w:sz w:val="24"/>
          <w:szCs w:val="24"/>
        </w:rPr>
        <w:t>em</w:t>
      </w:r>
      <w:r w:rsidRPr="00395593">
        <w:rPr>
          <w:rFonts w:ascii="Garamond" w:hAnsi="Garamond"/>
          <w:spacing w:val="-1"/>
          <w:sz w:val="24"/>
          <w:szCs w:val="24"/>
        </w:rPr>
        <w:t xml:space="preserve"> </w:t>
      </w:r>
      <w:r w:rsidRPr="00395593">
        <w:rPr>
          <w:rFonts w:ascii="Garamond" w:hAnsi="Garamond"/>
          <w:sz w:val="24"/>
          <w:szCs w:val="24"/>
        </w:rPr>
        <w:t>que se</w:t>
      </w:r>
      <w:r w:rsidRPr="00395593">
        <w:rPr>
          <w:rFonts w:ascii="Garamond" w:hAnsi="Garamond"/>
          <w:spacing w:val="-2"/>
          <w:sz w:val="24"/>
          <w:szCs w:val="24"/>
        </w:rPr>
        <w:t xml:space="preserve"> </w:t>
      </w:r>
      <w:r w:rsidRPr="00395593">
        <w:rPr>
          <w:rFonts w:ascii="Garamond" w:hAnsi="Garamond"/>
          <w:sz w:val="24"/>
          <w:szCs w:val="24"/>
        </w:rPr>
        <w:t>iniciou o exame.</w:t>
      </w:r>
    </w:p>
    <w:p w14:paraId="6086A4AC" w14:textId="77777777" w:rsidR="005F7A3B" w:rsidRDefault="005F7A3B" w:rsidP="00E33E26">
      <w:pPr>
        <w:pStyle w:val="Corpodetexto"/>
        <w:tabs>
          <w:tab w:val="left" w:pos="7371"/>
          <w:tab w:val="left" w:pos="7655"/>
        </w:tabs>
        <w:spacing w:line="480" w:lineRule="auto"/>
        <w:ind w:right="1405"/>
        <w:jc w:val="center"/>
        <w:rPr>
          <w:rFonts w:ascii="Garamond" w:hAnsi="Garamond"/>
          <w:b/>
        </w:rPr>
      </w:pPr>
    </w:p>
    <w:p w14:paraId="7B99C553" w14:textId="57C2A026" w:rsidR="004F0FFB" w:rsidRPr="00395593" w:rsidRDefault="0013285C" w:rsidP="00F67160">
      <w:pPr>
        <w:pStyle w:val="Corpodetexto"/>
        <w:tabs>
          <w:tab w:val="left" w:pos="7371"/>
          <w:tab w:val="left" w:pos="7655"/>
        </w:tabs>
        <w:spacing w:line="480" w:lineRule="auto"/>
        <w:ind w:right="1405"/>
        <w:jc w:val="center"/>
        <w:rPr>
          <w:rFonts w:ascii="Garamond" w:hAnsi="Garamond"/>
          <w:b/>
          <w:spacing w:val="1"/>
        </w:rPr>
      </w:pPr>
      <w:r w:rsidRPr="00395593">
        <w:rPr>
          <w:rFonts w:ascii="Garamond" w:hAnsi="Garamond"/>
          <w:b/>
        </w:rPr>
        <w:t>Artigo 10</w:t>
      </w:r>
    </w:p>
    <w:p w14:paraId="0581544D" w14:textId="29E2B649" w:rsidR="0013285C" w:rsidRPr="00395593" w:rsidRDefault="0013285C" w:rsidP="00F67160">
      <w:pPr>
        <w:pStyle w:val="Corpodetexto"/>
        <w:tabs>
          <w:tab w:val="center" w:pos="3756"/>
          <w:tab w:val="left" w:pos="5145"/>
          <w:tab w:val="left" w:pos="7371"/>
          <w:tab w:val="left" w:pos="7513"/>
        </w:tabs>
        <w:spacing w:line="480" w:lineRule="auto"/>
        <w:ind w:right="1547"/>
        <w:jc w:val="center"/>
        <w:rPr>
          <w:rFonts w:ascii="Garamond" w:hAnsi="Garamond"/>
        </w:rPr>
      </w:pPr>
      <w:r w:rsidRPr="00395593">
        <w:rPr>
          <w:rFonts w:ascii="Garamond" w:hAnsi="Garamond"/>
          <w:b/>
        </w:rPr>
        <w:t>Retroatividad</w:t>
      </w:r>
      <w:r w:rsidR="004F0FFB" w:rsidRPr="00395593">
        <w:rPr>
          <w:rFonts w:ascii="Garamond" w:hAnsi="Garamond"/>
          <w:b/>
        </w:rPr>
        <w:t>e</w:t>
      </w:r>
    </w:p>
    <w:p w14:paraId="4D8BB16A" w14:textId="77777777" w:rsidR="0013285C" w:rsidRPr="00395593" w:rsidRDefault="0013285C" w:rsidP="002C4340">
      <w:pPr>
        <w:pStyle w:val="PargrafodaLista"/>
        <w:widowControl w:val="0"/>
        <w:numPr>
          <w:ilvl w:val="0"/>
          <w:numId w:val="14"/>
        </w:numPr>
        <w:tabs>
          <w:tab w:val="left" w:pos="810"/>
        </w:tabs>
        <w:autoSpaceDE w:val="0"/>
        <w:autoSpaceDN w:val="0"/>
        <w:spacing w:before="1" w:after="0" w:line="240" w:lineRule="auto"/>
        <w:ind w:right="116" w:firstLine="0"/>
        <w:contextualSpacing w:val="0"/>
        <w:jc w:val="both"/>
        <w:rPr>
          <w:rFonts w:ascii="Garamond" w:hAnsi="Garamond"/>
          <w:sz w:val="24"/>
          <w:szCs w:val="24"/>
        </w:rPr>
      </w:pPr>
      <w:r w:rsidRPr="00395593">
        <w:rPr>
          <w:rFonts w:ascii="Garamond" w:hAnsi="Garamond"/>
          <w:sz w:val="24"/>
          <w:szCs w:val="24"/>
        </w:rPr>
        <w:t xml:space="preserve">Só poderão ser aplicadas medidas provisórias e direitos </w:t>
      </w:r>
      <w:r w:rsidRPr="00395593">
        <w:rPr>
          <w:rFonts w:ascii="Garamond" w:hAnsi="Garamond"/>
          <w:i/>
          <w:sz w:val="24"/>
          <w:szCs w:val="24"/>
        </w:rPr>
        <w:t>anti</w:t>
      </w:r>
      <w:r w:rsidRPr="00395593">
        <w:rPr>
          <w:rFonts w:ascii="Garamond" w:hAnsi="Garamond"/>
          <w:sz w:val="24"/>
          <w:szCs w:val="24"/>
        </w:rPr>
        <w:t>-</w:t>
      </w:r>
      <w:r w:rsidRPr="00395593">
        <w:rPr>
          <w:rFonts w:ascii="Garamond" w:hAnsi="Garamond"/>
          <w:i/>
          <w:sz w:val="24"/>
          <w:szCs w:val="24"/>
        </w:rPr>
        <w:t xml:space="preserve">dumping </w:t>
      </w:r>
      <w:r w:rsidRPr="00395593">
        <w:rPr>
          <w:rFonts w:ascii="Garamond" w:hAnsi="Garamond"/>
          <w:sz w:val="24"/>
          <w:szCs w:val="24"/>
        </w:rPr>
        <w:t>a produtos</w:t>
      </w:r>
      <w:r w:rsidRPr="00395593">
        <w:rPr>
          <w:rFonts w:ascii="Garamond" w:hAnsi="Garamond"/>
          <w:spacing w:val="1"/>
          <w:sz w:val="24"/>
          <w:szCs w:val="24"/>
        </w:rPr>
        <w:t xml:space="preserve"> </w:t>
      </w:r>
      <w:r w:rsidRPr="00395593">
        <w:rPr>
          <w:rFonts w:ascii="Garamond" w:hAnsi="Garamond"/>
          <w:sz w:val="24"/>
          <w:szCs w:val="24"/>
        </w:rPr>
        <w:t>destinados ao consumo que entrem após o momento em que entre em vigor a decisão</w:t>
      </w:r>
      <w:r w:rsidRPr="00395593">
        <w:rPr>
          <w:rFonts w:ascii="Garamond" w:hAnsi="Garamond"/>
          <w:spacing w:val="1"/>
          <w:sz w:val="24"/>
          <w:szCs w:val="24"/>
        </w:rPr>
        <w:t xml:space="preserve"> </w:t>
      </w:r>
      <w:r w:rsidRPr="00395593">
        <w:rPr>
          <w:rFonts w:ascii="Garamond" w:hAnsi="Garamond"/>
          <w:sz w:val="24"/>
          <w:szCs w:val="24"/>
        </w:rPr>
        <w:t>prevista</w:t>
      </w:r>
      <w:r w:rsidRPr="00395593">
        <w:rPr>
          <w:rFonts w:ascii="Garamond" w:hAnsi="Garamond"/>
          <w:spacing w:val="13"/>
          <w:sz w:val="24"/>
          <w:szCs w:val="24"/>
        </w:rPr>
        <w:t xml:space="preserve"> </w:t>
      </w:r>
      <w:r w:rsidRPr="00395593">
        <w:rPr>
          <w:rFonts w:ascii="Garamond" w:hAnsi="Garamond"/>
          <w:sz w:val="24"/>
          <w:szCs w:val="24"/>
        </w:rPr>
        <w:t>no</w:t>
      </w:r>
      <w:r w:rsidRPr="00395593">
        <w:rPr>
          <w:rFonts w:ascii="Garamond" w:hAnsi="Garamond"/>
          <w:spacing w:val="14"/>
          <w:sz w:val="24"/>
          <w:szCs w:val="24"/>
        </w:rPr>
        <w:t xml:space="preserve"> </w:t>
      </w:r>
      <w:r w:rsidRPr="00395593">
        <w:rPr>
          <w:rFonts w:ascii="Garamond" w:hAnsi="Garamond"/>
          <w:sz w:val="24"/>
          <w:szCs w:val="24"/>
        </w:rPr>
        <w:t>parágrafo</w:t>
      </w:r>
      <w:r w:rsidRPr="00395593">
        <w:rPr>
          <w:rFonts w:ascii="Garamond" w:hAnsi="Garamond"/>
          <w:spacing w:val="13"/>
          <w:sz w:val="24"/>
          <w:szCs w:val="24"/>
        </w:rPr>
        <w:t xml:space="preserve"> </w:t>
      </w:r>
      <w:r w:rsidRPr="00395593">
        <w:rPr>
          <w:rFonts w:ascii="Garamond" w:hAnsi="Garamond"/>
          <w:sz w:val="24"/>
          <w:szCs w:val="24"/>
        </w:rPr>
        <w:t>1</w:t>
      </w:r>
      <w:r w:rsidRPr="00395593">
        <w:rPr>
          <w:rFonts w:ascii="Garamond" w:hAnsi="Garamond"/>
          <w:spacing w:val="15"/>
          <w:sz w:val="24"/>
          <w:szCs w:val="24"/>
        </w:rPr>
        <w:t xml:space="preserve"> </w:t>
      </w:r>
      <w:r w:rsidRPr="00395593">
        <w:rPr>
          <w:rFonts w:ascii="Garamond" w:hAnsi="Garamond"/>
          <w:sz w:val="24"/>
          <w:szCs w:val="24"/>
        </w:rPr>
        <w:t>do</w:t>
      </w:r>
      <w:r w:rsidRPr="00395593">
        <w:rPr>
          <w:rFonts w:ascii="Garamond" w:hAnsi="Garamond"/>
          <w:spacing w:val="14"/>
          <w:sz w:val="24"/>
          <w:szCs w:val="24"/>
        </w:rPr>
        <w:t xml:space="preserve"> </w:t>
      </w:r>
      <w:r w:rsidRPr="00395593">
        <w:rPr>
          <w:rFonts w:ascii="Garamond" w:hAnsi="Garamond"/>
          <w:sz w:val="24"/>
          <w:szCs w:val="24"/>
        </w:rPr>
        <w:t>Artigo</w:t>
      </w:r>
      <w:r w:rsidRPr="00395593">
        <w:rPr>
          <w:rFonts w:ascii="Garamond" w:hAnsi="Garamond"/>
          <w:spacing w:val="14"/>
          <w:sz w:val="24"/>
          <w:szCs w:val="24"/>
        </w:rPr>
        <w:t xml:space="preserve"> </w:t>
      </w:r>
      <w:r w:rsidRPr="00395593">
        <w:rPr>
          <w:rFonts w:ascii="Garamond" w:hAnsi="Garamond"/>
          <w:sz w:val="24"/>
          <w:szCs w:val="24"/>
        </w:rPr>
        <w:t>7</w:t>
      </w:r>
      <w:r w:rsidRPr="00395593">
        <w:rPr>
          <w:rFonts w:ascii="Garamond" w:hAnsi="Garamond"/>
          <w:spacing w:val="15"/>
          <w:sz w:val="24"/>
          <w:szCs w:val="24"/>
        </w:rPr>
        <w:t xml:space="preserve"> </w:t>
      </w:r>
      <w:r w:rsidRPr="00395593">
        <w:rPr>
          <w:rFonts w:ascii="Garamond" w:hAnsi="Garamond"/>
          <w:sz w:val="24"/>
          <w:szCs w:val="24"/>
        </w:rPr>
        <w:t>e</w:t>
      </w:r>
      <w:r w:rsidRPr="00395593">
        <w:rPr>
          <w:rFonts w:ascii="Garamond" w:hAnsi="Garamond"/>
          <w:spacing w:val="13"/>
          <w:sz w:val="24"/>
          <w:szCs w:val="24"/>
        </w:rPr>
        <w:t xml:space="preserve"> </w:t>
      </w:r>
      <w:r w:rsidRPr="00395593">
        <w:rPr>
          <w:rFonts w:ascii="Garamond" w:hAnsi="Garamond"/>
          <w:sz w:val="24"/>
          <w:szCs w:val="24"/>
        </w:rPr>
        <w:t>no</w:t>
      </w:r>
      <w:r w:rsidRPr="00395593">
        <w:rPr>
          <w:rFonts w:ascii="Garamond" w:hAnsi="Garamond"/>
          <w:spacing w:val="14"/>
          <w:sz w:val="24"/>
          <w:szCs w:val="24"/>
        </w:rPr>
        <w:t xml:space="preserve"> </w:t>
      </w:r>
      <w:r w:rsidRPr="00395593">
        <w:rPr>
          <w:rFonts w:ascii="Garamond" w:hAnsi="Garamond"/>
          <w:sz w:val="24"/>
          <w:szCs w:val="24"/>
        </w:rPr>
        <w:t>parágrafo</w:t>
      </w:r>
      <w:r w:rsidRPr="00395593">
        <w:rPr>
          <w:rFonts w:ascii="Garamond" w:hAnsi="Garamond"/>
          <w:spacing w:val="14"/>
          <w:sz w:val="24"/>
          <w:szCs w:val="24"/>
        </w:rPr>
        <w:t xml:space="preserve"> </w:t>
      </w:r>
      <w:r w:rsidRPr="00395593">
        <w:rPr>
          <w:rFonts w:ascii="Garamond" w:hAnsi="Garamond"/>
          <w:sz w:val="24"/>
          <w:szCs w:val="24"/>
        </w:rPr>
        <w:t>1</w:t>
      </w:r>
      <w:r w:rsidRPr="00395593">
        <w:rPr>
          <w:rFonts w:ascii="Garamond" w:hAnsi="Garamond"/>
          <w:spacing w:val="14"/>
          <w:sz w:val="24"/>
          <w:szCs w:val="24"/>
        </w:rPr>
        <w:t xml:space="preserve"> </w:t>
      </w:r>
      <w:r w:rsidRPr="00395593">
        <w:rPr>
          <w:rFonts w:ascii="Garamond" w:hAnsi="Garamond"/>
          <w:sz w:val="24"/>
          <w:szCs w:val="24"/>
        </w:rPr>
        <w:t>do</w:t>
      </w:r>
      <w:r w:rsidRPr="00395593">
        <w:rPr>
          <w:rFonts w:ascii="Garamond" w:hAnsi="Garamond"/>
          <w:spacing w:val="14"/>
          <w:sz w:val="24"/>
          <w:szCs w:val="24"/>
        </w:rPr>
        <w:t xml:space="preserve"> </w:t>
      </w:r>
      <w:r w:rsidRPr="00395593">
        <w:rPr>
          <w:rFonts w:ascii="Garamond" w:hAnsi="Garamond"/>
          <w:sz w:val="24"/>
          <w:szCs w:val="24"/>
        </w:rPr>
        <w:t>Artigo</w:t>
      </w:r>
      <w:r w:rsidRPr="00395593">
        <w:rPr>
          <w:rFonts w:ascii="Garamond" w:hAnsi="Garamond"/>
          <w:spacing w:val="14"/>
          <w:sz w:val="24"/>
          <w:szCs w:val="24"/>
        </w:rPr>
        <w:t xml:space="preserve"> </w:t>
      </w:r>
      <w:r w:rsidRPr="00395593">
        <w:rPr>
          <w:rFonts w:ascii="Garamond" w:hAnsi="Garamond"/>
          <w:sz w:val="24"/>
          <w:szCs w:val="24"/>
        </w:rPr>
        <w:t>9,</w:t>
      </w:r>
      <w:r w:rsidRPr="00395593">
        <w:rPr>
          <w:rFonts w:ascii="Garamond" w:hAnsi="Garamond"/>
          <w:spacing w:val="15"/>
          <w:sz w:val="24"/>
          <w:szCs w:val="24"/>
        </w:rPr>
        <w:t xml:space="preserve"> </w:t>
      </w:r>
      <w:r w:rsidRPr="00395593">
        <w:rPr>
          <w:rFonts w:ascii="Garamond" w:hAnsi="Garamond"/>
          <w:sz w:val="24"/>
          <w:szCs w:val="24"/>
        </w:rPr>
        <w:t>respectivamente,</w:t>
      </w:r>
      <w:r w:rsidRPr="00395593">
        <w:rPr>
          <w:rFonts w:ascii="Garamond" w:hAnsi="Garamond"/>
          <w:spacing w:val="14"/>
          <w:sz w:val="24"/>
          <w:szCs w:val="24"/>
        </w:rPr>
        <w:t xml:space="preserve"> </w:t>
      </w:r>
      <w:r w:rsidRPr="00395593">
        <w:rPr>
          <w:rFonts w:ascii="Garamond" w:hAnsi="Garamond"/>
          <w:sz w:val="24"/>
          <w:szCs w:val="24"/>
        </w:rPr>
        <w:t>sujeita</w:t>
      </w:r>
      <w:r w:rsidRPr="00395593">
        <w:rPr>
          <w:rFonts w:ascii="Garamond" w:hAnsi="Garamond"/>
          <w:spacing w:val="-58"/>
          <w:sz w:val="24"/>
          <w:szCs w:val="24"/>
        </w:rPr>
        <w:t xml:space="preserve"> </w:t>
      </w:r>
      <w:r w:rsidRPr="00395593">
        <w:rPr>
          <w:rFonts w:ascii="Garamond" w:hAnsi="Garamond"/>
          <w:sz w:val="24"/>
          <w:szCs w:val="24"/>
        </w:rPr>
        <w:t>às</w:t>
      </w:r>
      <w:r w:rsidRPr="00395593">
        <w:rPr>
          <w:rFonts w:ascii="Garamond" w:hAnsi="Garamond"/>
          <w:spacing w:val="-1"/>
          <w:sz w:val="24"/>
          <w:szCs w:val="24"/>
        </w:rPr>
        <w:t xml:space="preserve"> </w:t>
      </w:r>
      <w:r w:rsidRPr="00395593">
        <w:rPr>
          <w:rFonts w:ascii="Garamond" w:hAnsi="Garamond"/>
          <w:sz w:val="24"/>
          <w:szCs w:val="24"/>
        </w:rPr>
        <w:t>exceções</w:t>
      </w:r>
      <w:r w:rsidRPr="00395593">
        <w:rPr>
          <w:rFonts w:ascii="Garamond" w:hAnsi="Garamond"/>
          <w:spacing w:val="2"/>
          <w:sz w:val="24"/>
          <w:szCs w:val="24"/>
        </w:rPr>
        <w:t xml:space="preserve"> </w:t>
      </w:r>
      <w:r w:rsidRPr="00395593">
        <w:rPr>
          <w:rFonts w:ascii="Garamond" w:hAnsi="Garamond"/>
          <w:sz w:val="24"/>
          <w:szCs w:val="24"/>
        </w:rPr>
        <w:t>estabelecidas</w:t>
      </w:r>
      <w:r w:rsidRPr="00395593">
        <w:rPr>
          <w:rFonts w:ascii="Garamond" w:hAnsi="Garamond"/>
          <w:spacing w:val="1"/>
          <w:sz w:val="24"/>
          <w:szCs w:val="24"/>
        </w:rPr>
        <w:t xml:space="preserve"> </w:t>
      </w:r>
      <w:r w:rsidRPr="00395593">
        <w:rPr>
          <w:rFonts w:ascii="Garamond" w:hAnsi="Garamond"/>
          <w:sz w:val="24"/>
          <w:szCs w:val="24"/>
        </w:rPr>
        <w:t>neste Artigo.</w:t>
      </w:r>
    </w:p>
    <w:p w14:paraId="03220621" w14:textId="77777777" w:rsidR="0013285C" w:rsidRPr="00395593" w:rsidRDefault="0013285C" w:rsidP="0013285C">
      <w:pPr>
        <w:pStyle w:val="Corpodetexto"/>
        <w:rPr>
          <w:rFonts w:ascii="Garamond" w:hAnsi="Garamond"/>
        </w:rPr>
      </w:pPr>
    </w:p>
    <w:p w14:paraId="4B51D291" w14:textId="77777777" w:rsidR="0013285C" w:rsidRPr="00395593" w:rsidRDefault="0013285C" w:rsidP="002C4340">
      <w:pPr>
        <w:pStyle w:val="PargrafodaLista"/>
        <w:widowControl w:val="0"/>
        <w:numPr>
          <w:ilvl w:val="0"/>
          <w:numId w:val="14"/>
        </w:numPr>
        <w:tabs>
          <w:tab w:val="left" w:pos="810"/>
        </w:tabs>
        <w:autoSpaceDE w:val="0"/>
        <w:autoSpaceDN w:val="0"/>
        <w:spacing w:after="0" w:line="240" w:lineRule="auto"/>
        <w:ind w:right="117" w:firstLine="0"/>
        <w:contextualSpacing w:val="0"/>
        <w:jc w:val="both"/>
        <w:rPr>
          <w:rFonts w:ascii="Garamond" w:hAnsi="Garamond"/>
          <w:sz w:val="24"/>
          <w:szCs w:val="24"/>
        </w:rPr>
      </w:pPr>
      <w:r w:rsidRPr="00395593">
        <w:rPr>
          <w:rFonts w:ascii="Garamond" w:hAnsi="Garamond"/>
          <w:sz w:val="24"/>
          <w:szCs w:val="24"/>
        </w:rPr>
        <w:t>Poderão ser percebidos</w:t>
      </w:r>
      <w:r w:rsidRPr="00395593">
        <w:rPr>
          <w:rFonts w:ascii="Garamond" w:hAnsi="Garamond"/>
          <w:spacing w:val="1"/>
          <w:sz w:val="24"/>
          <w:szCs w:val="24"/>
        </w:rPr>
        <w:t xml:space="preserve"> </w:t>
      </w:r>
      <w:r w:rsidRPr="00395593">
        <w:rPr>
          <w:rFonts w:ascii="Garamond" w:hAnsi="Garamond"/>
          <w:sz w:val="24"/>
          <w:szCs w:val="24"/>
        </w:rPr>
        <w:t>direitos</w:t>
      </w:r>
      <w:r w:rsidRPr="00395593">
        <w:rPr>
          <w:rFonts w:ascii="Garamond" w:hAnsi="Garamond"/>
          <w:spacing w:val="60"/>
          <w:sz w:val="24"/>
          <w:szCs w:val="24"/>
        </w:rPr>
        <w:t xml:space="preserve"> </w:t>
      </w:r>
      <w:r w:rsidRPr="00395593">
        <w:rPr>
          <w:rFonts w:ascii="Garamond" w:hAnsi="Garamond"/>
          <w:i/>
          <w:sz w:val="24"/>
          <w:szCs w:val="24"/>
        </w:rPr>
        <w:t>anti</w:t>
      </w:r>
      <w:r w:rsidRPr="00395593">
        <w:rPr>
          <w:rFonts w:ascii="Garamond" w:hAnsi="Garamond"/>
          <w:sz w:val="24"/>
          <w:szCs w:val="24"/>
        </w:rPr>
        <w:t>-</w:t>
      </w:r>
      <w:r w:rsidRPr="00395593">
        <w:rPr>
          <w:rFonts w:ascii="Garamond" w:hAnsi="Garamond"/>
          <w:i/>
          <w:sz w:val="24"/>
          <w:szCs w:val="24"/>
        </w:rPr>
        <w:t xml:space="preserve">dumping </w:t>
      </w:r>
      <w:r w:rsidRPr="00395593">
        <w:rPr>
          <w:rFonts w:ascii="Garamond" w:hAnsi="Garamond"/>
          <w:sz w:val="24"/>
          <w:szCs w:val="24"/>
        </w:rPr>
        <w:t>retroativos pelo período durante o</w:t>
      </w:r>
      <w:r w:rsidRPr="00395593">
        <w:rPr>
          <w:rFonts w:ascii="Garamond" w:hAnsi="Garamond"/>
          <w:spacing w:val="1"/>
          <w:sz w:val="24"/>
          <w:szCs w:val="24"/>
        </w:rPr>
        <w:t xml:space="preserve"> </w:t>
      </w:r>
      <w:r w:rsidRPr="00395593">
        <w:rPr>
          <w:rFonts w:ascii="Garamond" w:hAnsi="Garamond"/>
          <w:sz w:val="24"/>
          <w:szCs w:val="24"/>
        </w:rPr>
        <w:t>qual medidas provisórias, caso tenham existido, tenham sido aplicadas sempre que uma</w:t>
      </w:r>
      <w:r w:rsidRPr="00395593">
        <w:rPr>
          <w:rFonts w:ascii="Garamond" w:hAnsi="Garamond"/>
          <w:spacing w:val="1"/>
          <w:sz w:val="24"/>
          <w:szCs w:val="24"/>
        </w:rPr>
        <w:t xml:space="preserve"> </w:t>
      </w:r>
      <w:r w:rsidRPr="00395593">
        <w:rPr>
          <w:rFonts w:ascii="Garamond" w:hAnsi="Garamond"/>
          <w:sz w:val="24"/>
          <w:szCs w:val="24"/>
        </w:rPr>
        <w:t>determinação final de dano (mas não de ameaça de dano ou de retardamento sensível no</w:t>
      </w:r>
      <w:r w:rsidRPr="00395593">
        <w:rPr>
          <w:rFonts w:ascii="Garamond" w:hAnsi="Garamond"/>
          <w:spacing w:val="1"/>
          <w:sz w:val="24"/>
          <w:szCs w:val="24"/>
        </w:rPr>
        <w:t xml:space="preserve"> </w:t>
      </w:r>
      <w:r w:rsidRPr="00395593">
        <w:rPr>
          <w:rFonts w:ascii="Garamond" w:hAnsi="Garamond"/>
          <w:sz w:val="24"/>
          <w:szCs w:val="24"/>
        </w:rPr>
        <w:t>estabelecimento de uma indústria) seja feita ou sempre que se conclua pela determinação</w:t>
      </w:r>
      <w:r w:rsidRPr="00395593">
        <w:rPr>
          <w:rFonts w:ascii="Garamond" w:hAnsi="Garamond"/>
          <w:spacing w:val="1"/>
          <w:sz w:val="24"/>
          <w:szCs w:val="24"/>
        </w:rPr>
        <w:t xml:space="preserve"> </w:t>
      </w:r>
      <w:r w:rsidRPr="00395593">
        <w:rPr>
          <w:rFonts w:ascii="Garamond" w:hAnsi="Garamond"/>
          <w:sz w:val="24"/>
          <w:szCs w:val="24"/>
        </w:rPr>
        <w:t>final</w:t>
      </w:r>
      <w:r w:rsidRPr="00395593">
        <w:rPr>
          <w:rFonts w:ascii="Garamond" w:hAnsi="Garamond"/>
          <w:spacing w:val="1"/>
          <w:sz w:val="24"/>
          <w:szCs w:val="24"/>
        </w:rPr>
        <w:t xml:space="preserve"> </w:t>
      </w:r>
      <w:r w:rsidRPr="00395593">
        <w:rPr>
          <w:rFonts w:ascii="Garamond" w:hAnsi="Garamond"/>
          <w:sz w:val="24"/>
          <w:szCs w:val="24"/>
        </w:rPr>
        <w:t>de ameaça de dano</w:t>
      </w:r>
      <w:r w:rsidRPr="00395593">
        <w:rPr>
          <w:rFonts w:ascii="Garamond" w:hAnsi="Garamond"/>
          <w:spacing w:val="1"/>
          <w:sz w:val="24"/>
          <w:szCs w:val="24"/>
        </w:rPr>
        <w:t xml:space="preserve"> </w:t>
      </w:r>
      <w:r w:rsidRPr="00395593">
        <w:rPr>
          <w:rFonts w:ascii="Garamond" w:hAnsi="Garamond"/>
          <w:sz w:val="24"/>
          <w:szCs w:val="24"/>
        </w:rPr>
        <w:t>em</w:t>
      </w:r>
      <w:r w:rsidRPr="00395593">
        <w:rPr>
          <w:rFonts w:ascii="Garamond" w:hAnsi="Garamond"/>
          <w:spacing w:val="1"/>
          <w:sz w:val="24"/>
          <w:szCs w:val="24"/>
        </w:rPr>
        <w:t xml:space="preserve"> </w:t>
      </w:r>
      <w:r w:rsidRPr="00395593">
        <w:rPr>
          <w:rFonts w:ascii="Garamond" w:hAnsi="Garamond"/>
          <w:sz w:val="24"/>
          <w:szCs w:val="24"/>
        </w:rPr>
        <w:t>que as</w:t>
      </w:r>
      <w:r w:rsidRPr="00395593">
        <w:rPr>
          <w:rFonts w:ascii="Garamond" w:hAnsi="Garamond"/>
          <w:spacing w:val="1"/>
          <w:sz w:val="24"/>
          <w:szCs w:val="24"/>
        </w:rPr>
        <w:t xml:space="preserve"> </w:t>
      </w:r>
      <w:r w:rsidRPr="00395593">
        <w:rPr>
          <w:rFonts w:ascii="Garamond" w:hAnsi="Garamond"/>
          <w:sz w:val="24"/>
          <w:szCs w:val="24"/>
        </w:rPr>
        <w:t>importações</w:t>
      </w:r>
      <w:r w:rsidRPr="00395593">
        <w:rPr>
          <w:rFonts w:ascii="Garamond" w:hAnsi="Garamond"/>
          <w:spacing w:val="1"/>
          <w:sz w:val="24"/>
          <w:szCs w:val="24"/>
        </w:rPr>
        <w:t xml:space="preserve"> </w:t>
      </w:r>
      <w:r w:rsidRPr="00395593">
        <w:rPr>
          <w:rFonts w:ascii="Garamond" w:hAnsi="Garamond"/>
          <w:sz w:val="24"/>
          <w:szCs w:val="24"/>
        </w:rPr>
        <w:t>a prego</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i/>
          <w:sz w:val="24"/>
          <w:szCs w:val="24"/>
        </w:rPr>
        <w:t>dumping</w:t>
      </w:r>
      <w:r w:rsidRPr="00395593">
        <w:rPr>
          <w:rFonts w:ascii="Garamond" w:hAnsi="Garamond"/>
          <w:i/>
          <w:spacing w:val="60"/>
          <w:sz w:val="24"/>
          <w:szCs w:val="24"/>
        </w:rPr>
        <w:t xml:space="preserve"> </w:t>
      </w:r>
      <w:r w:rsidRPr="00395593">
        <w:rPr>
          <w:rFonts w:ascii="Garamond" w:hAnsi="Garamond"/>
          <w:sz w:val="24"/>
          <w:szCs w:val="24"/>
        </w:rPr>
        <w:t>na ausência de</w:t>
      </w:r>
      <w:r w:rsidRPr="00395593">
        <w:rPr>
          <w:rFonts w:ascii="Garamond" w:hAnsi="Garamond"/>
          <w:spacing w:val="1"/>
          <w:sz w:val="24"/>
          <w:szCs w:val="24"/>
        </w:rPr>
        <w:t xml:space="preserve"> </w:t>
      </w:r>
      <w:r w:rsidRPr="00395593">
        <w:rPr>
          <w:rFonts w:ascii="Garamond" w:hAnsi="Garamond"/>
          <w:sz w:val="24"/>
          <w:szCs w:val="24"/>
        </w:rPr>
        <w:t>medidas</w:t>
      </w:r>
      <w:r w:rsidRPr="00395593">
        <w:rPr>
          <w:rFonts w:ascii="Garamond" w:hAnsi="Garamond"/>
          <w:spacing w:val="-1"/>
          <w:sz w:val="24"/>
          <w:szCs w:val="24"/>
        </w:rPr>
        <w:t xml:space="preserve"> </w:t>
      </w:r>
      <w:r w:rsidRPr="00395593">
        <w:rPr>
          <w:rFonts w:ascii="Garamond" w:hAnsi="Garamond"/>
          <w:sz w:val="24"/>
          <w:szCs w:val="24"/>
        </w:rPr>
        <w:t>provisórias teriam por efeito</w:t>
      </w:r>
      <w:r w:rsidRPr="00395593">
        <w:rPr>
          <w:rFonts w:ascii="Garamond" w:hAnsi="Garamond"/>
          <w:spacing w:val="-1"/>
          <w:sz w:val="24"/>
          <w:szCs w:val="24"/>
        </w:rPr>
        <w:t xml:space="preserve"> </w:t>
      </w:r>
      <w:r w:rsidRPr="00395593">
        <w:rPr>
          <w:rFonts w:ascii="Garamond" w:hAnsi="Garamond"/>
          <w:sz w:val="24"/>
          <w:szCs w:val="24"/>
        </w:rPr>
        <w:t>determinar a existência de</w:t>
      </w:r>
      <w:r w:rsidRPr="00395593">
        <w:rPr>
          <w:rFonts w:ascii="Garamond" w:hAnsi="Garamond"/>
          <w:spacing w:val="-2"/>
          <w:sz w:val="24"/>
          <w:szCs w:val="24"/>
        </w:rPr>
        <w:t xml:space="preserve"> </w:t>
      </w:r>
      <w:r w:rsidRPr="00395593">
        <w:rPr>
          <w:rFonts w:ascii="Garamond" w:hAnsi="Garamond"/>
          <w:sz w:val="24"/>
          <w:szCs w:val="24"/>
        </w:rPr>
        <w:t>dano.</w:t>
      </w:r>
    </w:p>
    <w:p w14:paraId="1D07CF76" w14:textId="77777777" w:rsidR="0013285C" w:rsidRPr="00395593" w:rsidRDefault="0013285C" w:rsidP="0013285C">
      <w:pPr>
        <w:pStyle w:val="Corpodetexto"/>
        <w:rPr>
          <w:rFonts w:ascii="Garamond" w:hAnsi="Garamond"/>
        </w:rPr>
      </w:pPr>
    </w:p>
    <w:p w14:paraId="4FAE909F" w14:textId="77777777" w:rsidR="0013285C" w:rsidRPr="00395593" w:rsidRDefault="0013285C" w:rsidP="002C4340">
      <w:pPr>
        <w:pStyle w:val="PargrafodaLista"/>
        <w:widowControl w:val="0"/>
        <w:numPr>
          <w:ilvl w:val="0"/>
          <w:numId w:val="14"/>
        </w:numPr>
        <w:tabs>
          <w:tab w:val="left" w:pos="810"/>
        </w:tabs>
        <w:autoSpaceDE w:val="0"/>
        <w:autoSpaceDN w:val="0"/>
        <w:spacing w:before="1" w:after="0" w:line="240" w:lineRule="auto"/>
        <w:ind w:right="122" w:firstLine="0"/>
        <w:contextualSpacing w:val="0"/>
        <w:jc w:val="both"/>
        <w:rPr>
          <w:rFonts w:ascii="Garamond" w:hAnsi="Garamond"/>
          <w:sz w:val="24"/>
          <w:szCs w:val="24"/>
        </w:rPr>
      </w:pPr>
      <w:r w:rsidRPr="00395593">
        <w:rPr>
          <w:rFonts w:ascii="Garamond" w:hAnsi="Garamond"/>
          <w:sz w:val="24"/>
          <w:szCs w:val="24"/>
        </w:rPr>
        <w:t xml:space="preserve">Se o direito </w:t>
      </w:r>
      <w:r w:rsidRPr="00395593">
        <w:rPr>
          <w:rFonts w:ascii="Garamond" w:hAnsi="Garamond"/>
          <w:i/>
          <w:sz w:val="24"/>
          <w:szCs w:val="24"/>
        </w:rPr>
        <w:t>anti</w:t>
      </w:r>
      <w:r w:rsidRPr="00395593">
        <w:rPr>
          <w:rFonts w:ascii="Garamond" w:hAnsi="Garamond"/>
          <w:sz w:val="24"/>
          <w:szCs w:val="24"/>
        </w:rPr>
        <w:t>-</w:t>
      </w:r>
      <w:r w:rsidRPr="00395593">
        <w:rPr>
          <w:rFonts w:ascii="Garamond" w:hAnsi="Garamond"/>
          <w:i/>
          <w:sz w:val="24"/>
          <w:szCs w:val="24"/>
        </w:rPr>
        <w:t xml:space="preserve">dumping </w:t>
      </w:r>
      <w:r w:rsidRPr="00395593">
        <w:rPr>
          <w:rFonts w:ascii="Garamond" w:hAnsi="Garamond"/>
          <w:sz w:val="24"/>
          <w:szCs w:val="24"/>
        </w:rPr>
        <w:t>definitivo é mais alto do que os direitos provisórios pagos</w:t>
      </w:r>
      <w:r w:rsidRPr="00395593">
        <w:rPr>
          <w:rFonts w:ascii="Garamond" w:hAnsi="Garamond"/>
          <w:spacing w:val="-57"/>
          <w:sz w:val="24"/>
          <w:szCs w:val="24"/>
        </w:rPr>
        <w:t xml:space="preserve"> </w:t>
      </w:r>
      <w:r w:rsidRPr="00395593">
        <w:rPr>
          <w:rFonts w:ascii="Garamond" w:hAnsi="Garamond"/>
          <w:sz w:val="24"/>
          <w:szCs w:val="24"/>
        </w:rPr>
        <w:t>ou pagáveis ou do que o valor estimado para fins de garantia, a diferença a maior não será</w:t>
      </w:r>
      <w:r w:rsidRPr="00395593">
        <w:rPr>
          <w:rFonts w:ascii="Garamond" w:hAnsi="Garamond"/>
          <w:spacing w:val="1"/>
          <w:sz w:val="24"/>
          <w:szCs w:val="24"/>
        </w:rPr>
        <w:t xml:space="preserve"> </w:t>
      </w:r>
      <w:r w:rsidRPr="00395593">
        <w:rPr>
          <w:rFonts w:ascii="Garamond" w:hAnsi="Garamond"/>
          <w:sz w:val="24"/>
          <w:szCs w:val="24"/>
        </w:rPr>
        <w:t>cobrada. Se o direito definitivo é inferior ao direito provisório pago ou pagável ou ao valor</w:t>
      </w:r>
      <w:r w:rsidRPr="00395593">
        <w:rPr>
          <w:rFonts w:ascii="Garamond" w:hAnsi="Garamond"/>
          <w:spacing w:val="1"/>
          <w:sz w:val="24"/>
          <w:szCs w:val="24"/>
        </w:rPr>
        <w:t xml:space="preserve"> </w:t>
      </w:r>
      <w:r w:rsidRPr="00395593">
        <w:rPr>
          <w:rFonts w:ascii="Garamond" w:hAnsi="Garamond"/>
          <w:sz w:val="24"/>
          <w:szCs w:val="24"/>
        </w:rPr>
        <w:t>estimado para fins de garantia, a diferença deverá ser reembolsada ou o direito recalculado</w:t>
      </w:r>
      <w:r w:rsidRPr="00395593">
        <w:rPr>
          <w:rFonts w:ascii="Garamond" w:hAnsi="Garamond"/>
          <w:spacing w:val="1"/>
          <w:sz w:val="24"/>
          <w:szCs w:val="24"/>
        </w:rPr>
        <w:t xml:space="preserve"> </w:t>
      </w:r>
      <w:r w:rsidRPr="00395593">
        <w:rPr>
          <w:rFonts w:ascii="Garamond" w:hAnsi="Garamond"/>
          <w:sz w:val="24"/>
          <w:szCs w:val="24"/>
        </w:rPr>
        <w:t>conforme</w:t>
      </w:r>
      <w:r w:rsidRPr="00395593">
        <w:rPr>
          <w:rFonts w:ascii="Garamond" w:hAnsi="Garamond"/>
          <w:spacing w:val="-1"/>
          <w:sz w:val="24"/>
          <w:szCs w:val="24"/>
        </w:rPr>
        <w:t xml:space="preserve"> </w:t>
      </w:r>
      <w:r w:rsidRPr="00395593">
        <w:rPr>
          <w:rFonts w:ascii="Garamond" w:hAnsi="Garamond"/>
          <w:sz w:val="24"/>
          <w:szCs w:val="24"/>
        </w:rPr>
        <w:t>o</w:t>
      </w:r>
      <w:r w:rsidRPr="00395593">
        <w:rPr>
          <w:rFonts w:ascii="Garamond" w:hAnsi="Garamond"/>
          <w:spacing w:val="1"/>
          <w:sz w:val="24"/>
          <w:szCs w:val="24"/>
        </w:rPr>
        <w:t xml:space="preserve"> </w:t>
      </w:r>
      <w:r w:rsidRPr="00395593">
        <w:rPr>
          <w:rFonts w:ascii="Garamond" w:hAnsi="Garamond"/>
          <w:sz w:val="24"/>
          <w:szCs w:val="24"/>
        </w:rPr>
        <w:t>caso.</w:t>
      </w:r>
    </w:p>
    <w:p w14:paraId="76EF0AC9" w14:textId="77777777" w:rsidR="0013285C" w:rsidRPr="00395593" w:rsidRDefault="0013285C" w:rsidP="0013285C">
      <w:pPr>
        <w:pStyle w:val="Corpodetexto"/>
        <w:rPr>
          <w:rFonts w:ascii="Garamond" w:hAnsi="Garamond"/>
        </w:rPr>
      </w:pPr>
    </w:p>
    <w:p w14:paraId="4B7DB7DB" w14:textId="77777777" w:rsidR="0013285C" w:rsidRPr="00395593" w:rsidRDefault="0013285C" w:rsidP="002C4340">
      <w:pPr>
        <w:pStyle w:val="PargrafodaLista"/>
        <w:widowControl w:val="0"/>
        <w:numPr>
          <w:ilvl w:val="0"/>
          <w:numId w:val="14"/>
        </w:numPr>
        <w:tabs>
          <w:tab w:val="left" w:pos="810"/>
        </w:tabs>
        <w:autoSpaceDE w:val="0"/>
        <w:autoSpaceDN w:val="0"/>
        <w:spacing w:after="0" w:line="240" w:lineRule="auto"/>
        <w:ind w:right="114" w:firstLine="0"/>
        <w:contextualSpacing w:val="0"/>
        <w:jc w:val="both"/>
        <w:rPr>
          <w:rFonts w:ascii="Garamond" w:hAnsi="Garamond"/>
          <w:sz w:val="24"/>
          <w:szCs w:val="24"/>
        </w:rPr>
      </w:pPr>
      <w:r w:rsidRPr="00395593">
        <w:rPr>
          <w:rFonts w:ascii="Garamond" w:hAnsi="Garamond"/>
          <w:sz w:val="24"/>
          <w:szCs w:val="24"/>
        </w:rPr>
        <w:t>Exceto nos casos previstos no parágrafo 2, sempre que se determine a existência de</w:t>
      </w:r>
      <w:r w:rsidRPr="00395593">
        <w:rPr>
          <w:rFonts w:ascii="Garamond" w:hAnsi="Garamond"/>
          <w:spacing w:val="1"/>
          <w:sz w:val="24"/>
          <w:szCs w:val="24"/>
        </w:rPr>
        <w:t xml:space="preserve"> </w:t>
      </w:r>
      <w:r w:rsidRPr="00395593">
        <w:rPr>
          <w:rFonts w:ascii="Garamond" w:hAnsi="Garamond"/>
          <w:sz w:val="24"/>
          <w:szCs w:val="24"/>
        </w:rPr>
        <w:t>ameaça de dano ou atraso sensível no estabelecimento de uma indústria (mas não tenha</w:t>
      </w:r>
      <w:r w:rsidRPr="00395593">
        <w:rPr>
          <w:rFonts w:ascii="Garamond" w:hAnsi="Garamond"/>
          <w:spacing w:val="1"/>
          <w:sz w:val="24"/>
          <w:szCs w:val="24"/>
        </w:rPr>
        <w:t xml:space="preserve"> </w:t>
      </w:r>
      <w:r w:rsidRPr="00395593">
        <w:rPr>
          <w:rFonts w:ascii="Garamond" w:hAnsi="Garamond"/>
          <w:sz w:val="24"/>
          <w:szCs w:val="24"/>
        </w:rPr>
        <w:t xml:space="preserve">ainda ocorrido nenhum dano real), só se poderá impor direito </w:t>
      </w:r>
      <w:r w:rsidRPr="00395593">
        <w:rPr>
          <w:rFonts w:ascii="Garamond" w:hAnsi="Garamond"/>
          <w:i/>
          <w:sz w:val="24"/>
          <w:szCs w:val="24"/>
        </w:rPr>
        <w:t>anti</w:t>
      </w:r>
      <w:r w:rsidRPr="00395593">
        <w:rPr>
          <w:rFonts w:ascii="Garamond" w:hAnsi="Garamond"/>
          <w:sz w:val="24"/>
          <w:szCs w:val="24"/>
        </w:rPr>
        <w:t>-</w:t>
      </w:r>
      <w:r w:rsidRPr="00395593">
        <w:rPr>
          <w:rFonts w:ascii="Garamond" w:hAnsi="Garamond"/>
          <w:i/>
          <w:sz w:val="24"/>
          <w:szCs w:val="24"/>
        </w:rPr>
        <w:t xml:space="preserve">dumping </w:t>
      </w:r>
      <w:r w:rsidRPr="00395593">
        <w:rPr>
          <w:rFonts w:ascii="Garamond" w:hAnsi="Garamond"/>
          <w:sz w:val="24"/>
          <w:szCs w:val="24"/>
        </w:rPr>
        <w:t>definitivo a</w:t>
      </w:r>
      <w:r w:rsidRPr="00395593">
        <w:rPr>
          <w:rFonts w:ascii="Garamond" w:hAnsi="Garamond"/>
          <w:spacing w:val="1"/>
          <w:sz w:val="24"/>
          <w:szCs w:val="24"/>
        </w:rPr>
        <w:t xml:space="preserve"> </w:t>
      </w:r>
      <w:r w:rsidRPr="00395593">
        <w:rPr>
          <w:rFonts w:ascii="Garamond" w:hAnsi="Garamond"/>
          <w:sz w:val="24"/>
          <w:szCs w:val="24"/>
        </w:rPr>
        <w:t>partir da data de determinação da ameaça de dano ou de retardamento sensível, e todo</w:t>
      </w:r>
      <w:r w:rsidRPr="00395593">
        <w:rPr>
          <w:rFonts w:ascii="Garamond" w:hAnsi="Garamond"/>
          <w:spacing w:val="1"/>
          <w:sz w:val="24"/>
          <w:szCs w:val="24"/>
        </w:rPr>
        <w:t xml:space="preserve"> </w:t>
      </w:r>
      <w:r w:rsidRPr="00395593">
        <w:rPr>
          <w:rFonts w:ascii="Garamond" w:hAnsi="Garamond"/>
          <w:sz w:val="24"/>
          <w:szCs w:val="24"/>
        </w:rPr>
        <w:t>depósito em espécie efetuado durante o período de aplicação de medidas provisórias será</w:t>
      </w:r>
      <w:r w:rsidRPr="00395593">
        <w:rPr>
          <w:rFonts w:ascii="Garamond" w:hAnsi="Garamond"/>
          <w:spacing w:val="1"/>
          <w:sz w:val="24"/>
          <w:szCs w:val="24"/>
        </w:rPr>
        <w:t xml:space="preserve"> </w:t>
      </w:r>
      <w:r w:rsidRPr="00395593">
        <w:rPr>
          <w:rFonts w:ascii="Garamond" w:hAnsi="Garamond"/>
          <w:sz w:val="24"/>
          <w:szCs w:val="24"/>
        </w:rPr>
        <w:t>reembolsado</w:t>
      </w:r>
      <w:r w:rsidRPr="00395593">
        <w:rPr>
          <w:rFonts w:ascii="Garamond" w:hAnsi="Garamond"/>
          <w:spacing w:val="-1"/>
          <w:sz w:val="24"/>
          <w:szCs w:val="24"/>
        </w:rPr>
        <w:t xml:space="preserve"> </w:t>
      </w:r>
      <w:r w:rsidRPr="00395593">
        <w:rPr>
          <w:rFonts w:ascii="Garamond" w:hAnsi="Garamond"/>
          <w:sz w:val="24"/>
          <w:szCs w:val="24"/>
        </w:rPr>
        <w:t>e</w:t>
      </w:r>
      <w:r w:rsidRPr="00395593">
        <w:rPr>
          <w:rFonts w:ascii="Garamond" w:hAnsi="Garamond"/>
          <w:spacing w:val="-1"/>
          <w:sz w:val="24"/>
          <w:szCs w:val="24"/>
        </w:rPr>
        <w:t xml:space="preserve"> </w:t>
      </w:r>
      <w:r w:rsidRPr="00395593">
        <w:rPr>
          <w:rFonts w:ascii="Garamond" w:hAnsi="Garamond"/>
          <w:sz w:val="24"/>
          <w:szCs w:val="24"/>
        </w:rPr>
        <w:t>todo depósito em fiança</w:t>
      </w:r>
      <w:r w:rsidRPr="00395593">
        <w:rPr>
          <w:rFonts w:ascii="Garamond" w:hAnsi="Garamond"/>
          <w:spacing w:val="-1"/>
          <w:sz w:val="24"/>
          <w:szCs w:val="24"/>
        </w:rPr>
        <w:t xml:space="preserve"> </w:t>
      </w:r>
      <w:r w:rsidRPr="00395593">
        <w:rPr>
          <w:rFonts w:ascii="Garamond" w:hAnsi="Garamond"/>
          <w:sz w:val="24"/>
          <w:szCs w:val="24"/>
        </w:rPr>
        <w:t>será</w:t>
      </w:r>
      <w:r w:rsidRPr="00395593">
        <w:rPr>
          <w:rFonts w:ascii="Garamond" w:hAnsi="Garamond"/>
          <w:spacing w:val="-2"/>
          <w:sz w:val="24"/>
          <w:szCs w:val="24"/>
        </w:rPr>
        <w:t xml:space="preserve"> </w:t>
      </w:r>
      <w:r w:rsidRPr="00395593">
        <w:rPr>
          <w:rFonts w:ascii="Garamond" w:hAnsi="Garamond"/>
          <w:sz w:val="24"/>
          <w:szCs w:val="24"/>
        </w:rPr>
        <w:t>prontamente</w:t>
      </w:r>
      <w:r w:rsidRPr="00395593">
        <w:rPr>
          <w:rFonts w:ascii="Garamond" w:hAnsi="Garamond"/>
          <w:spacing w:val="-1"/>
          <w:sz w:val="24"/>
          <w:szCs w:val="24"/>
        </w:rPr>
        <w:t xml:space="preserve"> </w:t>
      </w:r>
      <w:r w:rsidRPr="00395593">
        <w:rPr>
          <w:rFonts w:ascii="Garamond" w:hAnsi="Garamond"/>
          <w:sz w:val="24"/>
          <w:szCs w:val="24"/>
        </w:rPr>
        <w:t>liberado.</w:t>
      </w:r>
    </w:p>
    <w:p w14:paraId="310329B2" w14:textId="77777777" w:rsidR="0013285C" w:rsidRPr="00395593" w:rsidRDefault="0013285C" w:rsidP="0013285C">
      <w:pPr>
        <w:pStyle w:val="Corpodetexto"/>
        <w:rPr>
          <w:rFonts w:ascii="Garamond" w:hAnsi="Garamond"/>
        </w:rPr>
      </w:pPr>
    </w:p>
    <w:p w14:paraId="61636309" w14:textId="77777777" w:rsidR="0013285C" w:rsidRPr="00395593" w:rsidRDefault="0013285C" w:rsidP="002C4340">
      <w:pPr>
        <w:pStyle w:val="PargrafodaLista"/>
        <w:widowControl w:val="0"/>
        <w:numPr>
          <w:ilvl w:val="0"/>
          <w:numId w:val="14"/>
        </w:numPr>
        <w:tabs>
          <w:tab w:val="left" w:pos="810"/>
        </w:tabs>
        <w:autoSpaceDE w:val="0"/>
        <w:autoSpaceDN w:val="0"/>
        <w:spacing w:before="1" w:after="0" w:line="240" w:lineRule="auto"/>
        <w:ind w:right="115" w:firstLine="0"/>
        <w:contextualSpacing w:val="0"/>
        <w:jc w:val="both"/>
        <w:rPr>
          <w:rFonts w:ascii="Garamond" w:hAnsi="Garamond"/>
          <w:sz w:val="24"/>
          <w:szCs w:val="24"/>
        </w:rPr>
      </w:pPr>
      <w:r w:rsidRPr="00395593">
        <w:rPr>
          <w:rFonts w:ascii="Garamond" w:hAnsi="Garamond"/>
          <w:sz w:val="24"/>
          <w:szCs w:val="24"/>
        </w:rPr>
        <w:t>No caso de se chegar a conclusões negativas, todo depósito em espécie efetuado</w:t>
      </w:r>
      <w:r w:rsidRPr="00395593">
        <w:rPr>
          <w:rFonts w:ascii="Garamond" w:hAnsi="Garamond"/>
          <w:spacing w:val="1"/>
          <w:sz w:val="24"/>
          <w:szCs w:val="24"/>
        </w:rPr>
        <w:t xml:space="preserve"> </w:t>
      </w:r>
      <w:r w:rsidRPr="00395593">
        <w:rPr>
          <w:rFonts w:ascii="Garamond" w:hAnsi="Garamond"/>
          <w:sz w:val="24"/>
          <w:szCs w:val="24"/>
        </w:rPr>
        <w:t>durante o período de aplicação de medidas provisórias será reembolsado e todo depósito em</w:t>
      </w:r>
      <w:r w:rsidRPr="00395593">
        <w:rPr>
          <w:rFonts w:ascii="Garamond" w:hAnsi="Garamond"/>
          <w:spacing w:val="-57"/>
          <w:sz w:val="24"/>
          <w:szCs w:val="24"/>
        </w:rPr>
        <w:t xml:space="preserve"> </w:t>
      </w:r>
      <w:r w:rsidRPr="00395593">
        <w:rPr>
          <w:rFonts w:ascii="Garamond" w:hAnsi="Garamond"/>
          <w:sz w:val="24"/>
          <w:szCs w:val="24"/>
        </w:rPr>
        <w:t>fiança</w:t>
      </w:r>
      <w:r w:rsidRPr="00395593">
        <w:rPr>
          <w:rFonts w:ascii="Garamond" w:hAnsi="Garamond"/>
          <w:spacing w:val="-2"/>
          <w:sz w:val="24"/>
          <w:szCs w:val="24"/>
        </w:rPr>
        <w:t xml:space="preserve"> </w:t>
      </w:r>
      <w:r w:rsidRPr="00395593">
        <w:rPr>
          <w:rFonts w:ascii="Garamond" w:hAnsi="Garamond"/>
          <w:sz w:val="24"/>
          <w:szCs w:val="24"/>
        </w:rPr>
        <w:t>será</w:t>
      </w:r>
      <w:r w:rsidRPr="00395593">
        <w:rPr>
          <w:rFonts w:ascii="Garamond" w:hAnsi="Garamond"/>
          <w:spacing w:val="-2"/>
          <w:sz w:val="24"/>
          <w:szCs w:val="24"/>
        </w:rPr>
        <w:t xml:space="preserve"> </w:t>
      </w:r>
      <w:r w:rsidRPr="00395593">
        <w:rPr>
          <w:rFonts w:ascii="Garamond" w:hAnsi="Garamond"/>
          <w:sz w:val="24"/>
          <w:szCs w:val="24"/>
        </w:rPr>
        <w:t>prontamente</w:t>
      </w:r>
      <w:r w:rsidRPr="00395593">
        <w:rPr>
          <w:rFonts w:ascii="Garamond" w:hAnsi="Garamond"/>
          <w:spacing w:val="-1"/>
          <w:sz w:val="24"/>
          <w:szCs w:val="24"/>
        </w:rPr>
        <w:t xml:space="preserve"> </w:t>
      </w:r>
      <w:r w:rsidRPr="00395593">
        <w:rPr>
          <w:rFonts w:ascii="Garamond" w:hAnsi="Garamond"/>
          <w:sz w:val="24"/>
          <w:szCs w:val="24"/>
        </w:rPr>
        <w:t>liberado.</w:t>
      </w:r>
    </w:p>
    <w:p w14:paraId="3CDB3426" w14:textId="77777777" w:rsidR="0013285C" w:rsidRPr="00395593" w:rsidRDefault="0013285C" w:rsidP="0013285C">
      <w:pPr>
        <w:pStyle w:val="Corpodetexto"/>
        <w:spacing w:before="11"/>
        <w:rPr>
          <w:rFonts w:ascii="Garamond" w:hAnsi="Garamond"/>
        </w:rPr>
      </w:pPr>
    </w:p>
    <w:p w14:paraId="406C7484" w14:textId="6FEB7724" w:rsidR="0013285C" w:rsidRPr="00395593" w:rsidRDefault="0013285C" w:rsidP="002C4340">
      <w:pPr>
        <w:pStyle w:val="PargrafodaLista"/>
        <w:widowControl w:val="0"/>
        <w:numPr>
          <w:ilvl w:val="0"/>
          <w:numId w:val="14"/>
        </w:numPr>
        <w:tabs>
          <w:tab w:val="left" w:pos="810"/>
        </w:tabs>
        <w:autoSpaceDE w:val="0"/>
        <w:autoSpaceDN w:val="0"/>
        <w:spacing w:before="1" w:after="0" w:line="240" w:lineRule="auto"/>
        <w:ind w:right="115" w:firstLine="0"/>
        <w:contextualSpacing w:val="0"/>
        <w:jc w:val="both"/>
        <w:rPr>
          <w:rFonts w:ascii="Garamond" w:hAnsi="Garamond"/>
          <w:sz w:val="24"/>
          <w:szCs w:val="24"/>
        </w:rPr>
      </w:pPr>
      <w:r w:rsidRPr="00395593">
        <w:rPr>
          <w:rFonts w:ascii="Garamond" w:hAnsi="Garamond"/>
          <w:sz w:val="24"/>
          <w:szCs w:val="24"/>
        </w:rPr>
        <w:t xml:space="preserve">Poder-se-á cobrar retroativamente direito </w:t>
      </w:r>
      <w:r w:rsidRPr="00395593">
        <w:rPr>
          <w:rFonts w:ascii="Garamond" w:hAnsi="Garamond"/>
          <w:i/>
          <w:sz w:val="24"/>
          <w:szCs w:val="24"/>
        </w:rPr>
        <w:t>anti</w:t>
      </w:r>
      <w:r w:rsidRPr="00395593">
        <w:rPr>
          <w:rFonts w:ascii="Garamond" w:hAnsi="Garamond"/>
          <w:sz w:val="24"/>
          <w:szCs w:val="24"/>
        </w:rPr>
        <w:t>-</w:t>
      </w:r>
      <w:r w:rsidRPr="00395593">
        <w:rPr>
          <w:rFonts w:ascii="Garamond" w:hAnsi="Garamond"/>
          <w:i/>
          <w:sz w:val="24"/>
          <w:szCs w:val="24"/>
        </w:rPr>
        <w:t xml:space="preserve">dumping </w:t>
      </w:r>
      <w:r w:rsidRPr="00395593">
        <w:rPr>
          <w:rFonts w:ascii="Garamond" w:hAnsi="Garamond"/>
          <w:sz w:val="24"/>
          <w:szCs w:val="24"/>
        </w:rPr>
        <w:t>definitivo sobre produtos que</w:t>
      </w:r>
      <w:r w:rsidRPr="00395593">
        <w:rPr>
          <w:rFonts w:ascii="Garamond" w:hAnsi="Garamond"/>
          <w:spacing w:val="1"/>
          <w:sz w:val="24"/>
          <w:szCs w:val="24"/>
        </w:rPr>
        <w:t xml:space="preserve"> </w:t>
      </w:r>
      <w:r w:rsidRPr="00395593">
        <w:rPr>
          <w:rFonts w:ascii="Garamond" w:hAnsi="Garamond"/>
          <w:sz w:val="24"/>
          <w:szCs w:val="24"/>
        </w:rPr>
        <w:t>tenham</w:t>
      </w:r>
      <w:r w:rsidRPr="00395593">
        <w:rPr>
          <w:rFonts w:ascii="Garamond" w:hAnsi="Garamond"/>
          <w:spacing w:val="1"/>
          <w:sz w:val="24"/>
          <w:szCs w:val="24"/>
        </w:rPr>
        <w:t xml:space="preserve"> </w:t>
      </w:r>
      <w:r w:rsidRPr="00395593">
        <w:rPr>
          <w:rFonts w:ascii="Garamond" w:hAnsi="Garamond"/>
          <w:sz w:val="24"/>
          <w:szCs w:val="24"/>
        </w:rPr>
        <w:t>entrado</w:t>
      </w:r>
      <w:r w:rsidRPr="00395593">
        <w:rPr>
          <w:rFonts w:ascii="Garamond" w:hAnsi="Garamond"/>
          <w:spacing w:val="1"/>
          <w:sz w:val="24"/>
          <w:szCs w:val="24"/>
        </w:rPr>
        <w:t xml:space="preserve"> </w:t>
      </w:r>
      <w:r w:rsidRPr="00395593">
        <w:rPr>
          <w:rFonts w:ascii="Garamond" w:hAnsi="Garamond"/>
          <w:sz w:val="24"/>
          <w:szCs w:val="24"/>
        </w:rPr>
        <w:t>para</w:t>
      </w:r>
      <w:r w:rsidRPr="00395593">
        <w:rPr>
          <w:rFonts w:ascii="Garamond" w:hAnsi="Garamond"/>
          <w:spacing w:val="1"/>
          <w:sz w:val="24"/>
          <w:szCs w:val="24"/>
        </w:rPr>
        <w:t xml:space="preserve"> </w:t>
      </w:r>
      <w:r w:rsidRPr="00395593">
        <w:rPr>
          <w:rFonts w:ascii="Garamond" w:hAnsi="Garamond"/>
          <w:sz w:val="24"/>
          <w:szCs w:val="24"/>
        </w:rPr>
        <w:t>consumo</w:t>
      </w:r>
      <w:r w:rsidRPr="00395593">
        <w:rPr>
          <w:rFonts w:ascii="Garamond" w:hAnsi="Garamond"/>
          <w:spacing w:val="1"/>
          <w:sz w:val="24"/>
          <w:szCs w:val="24"/>
        </w:rPr>
        <w:t xml:space="preserve"> </w:t>
      </w:r>
      <w:r w:rsidRPr="00395593">
        <w:rPr>
          <w:rFonts w:ascii="Garamond" w:hAnsi="Garamond"/>
          <w:sz w:val="24"/>
          <w:szCs w:val="24"/>
        </w:rPr>
        <w:t>ate</w:t>
      </w:r>
      <w:r w:rsidRPr="00395593">
        <w:rPr>
          <w:rFonts w:ascii="Garamond" w:hAnsi="Garamond"/>
          <w:spacing w:val="1"/>
          <w:sz w:val="24"/>
          <w:szCs w:val="24"/>
        </w:rPr>
        <w:t xml:space="preserve"> </w:t>
      </w:r>
      <w:r w:rsidRPr="00395593">
        <w:rPr>
          <w:rFonts w:ascii="Garamond" w:hAnsi="Garamond"/>
          <w:sz w:val="24"/>
          <w:szCs w:val="24"/>
        </w:rPr>
        <w:t>90</w:t>
      </w:r>
      <w:r w:rsidRPr="00395593">
        <w:rPr>
          <w:rFonts w:ascii="Garamond" w:hAnsi="Garamond"/>
          <w:spacing w:val="1"/>
          <w:sz w:val="24"/>
          <w:szCs w:val="24"/>
        </w:rPr>
        <w:t xml:space="preserve"> </w:t>
      </w:r>
      <w:r w:rsidRPr="00395593">
        <w:rPr>
          <w:rFonts w:ascii="Garamond" w:hAnsi="Garamond"/>
          <w:sz w:val="24"/>
          <w:szCs w:val="24"/>
        </w:rPr>
        <w:t>dias</w:t>
      </w:r>
      <w:r w:rsidRPr="00395593">
        <w:rPr>
          <w:rFonts w:ascii="Garamond" w:hAnsi="Garamond"/>
          <w:spacing w:val="1"/>
          <w:sz w:val="24"/>
          <w:szCs w:val="24"/>
        </w:rPr>
        <w:t xml:space="preserve"> </w:t>
      </w:r>
      <w:r w:rsidRPr="00395593">
        <w:rPr>
          <w:rFonts w:ascii="Garamond" w:hAnsi="Garamond"/>
          <w:sz w:val="24"/>
          <w:szCs w:val="24"/>
        </w:rPr>
        <w:t>antes</w:t>
      </w:r>
      <w:r w:rsidRPr="00395593">
        <w:rPr>
          <w:rFonts w:ascii="Garamond" w:hAnsi="Garamond"/>
          <w:spacing w:val="1"/>
          <w:sz w:val="24"/>
          <w:szCs w:val="24"/>
        </w:rPr>
        <w:t xml:space="preserve"> </w:t>
      </w:r>
      <w:r w:rsidRPr="00395593">
        <w:rPr>
          <w:rFonts w:ascii="Garamond" w:hAnsi="Garamond"/>
          <w:sz w:val="24"/>
          <w:szCs w:val="24"/>
        </w:rPr>
        <w:t>da</w:t>
      </w:r>
      <w:r w:rsidRPr="00395593">
        <w:rPr>
          <w:rFonts w:ascii="Garamond" w:hAnsi="Garamond"/>
          <w:spacing w:val="1"/>
          <w:sz w:val="24"/>
          <w:szCs w:val="24"/>
        </w:rPr>
        <w:t xml:space="preserve"> </w:t>
      </w:r>
      <w:r w:rsidRPr="00395593">
        <w:rPr>
          <w:rFonts w:ascii="Garamond" w:hAnsi="Garamond"/>
          <w:sz w:val="24"/>
          <w:szCs w:val="24"/>
        </w:rPr>
        <w:t>data</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sz w:val="24"/>
          <w:szCs w:val="24"/>
        </w:rPr>
        <w:t>aplicação</w:t>
      </w:r>
      <w:r w:rsidRPr="00395593">
        <w:rPr>
          <w:rFonts w:ascii="Garamond" w:hAnsi="Garamond"/>
          <w:spacing w:val="1"/>
          <w:sz w:val="24"/>
          <w:szCs w:val="24"/>
        </w:rPr>
        <w:t xml:space="preserve"> </w:t>
      </w:r>
      <w:r w:rsidRPr="00395593">
        <w:rPr>
          <w:rFonts w:ascii="Garamond" w:hAnsi="Garamond"/>
          <w:sz w:val="24"/>
          <w:szCs w:val="24"/>
        </w:rPr>
        <w:t>das</w:t>
      </w:r>
      <w:r w:rsidRPr="00395593">
        <w:rPr>
          <w:rFonts w:ascii="Garamond" w:hAnsi="Garamond"/>
          <w:spacing w:val="1"/>
          <w:sz w:val="24"/>
          <w:szCs w:val="24"/>
        </w:rPr>
        <w:t xml:space="preserve"> </w:t>
      </w:r>
      <w:r w:rsidRPr="00395593">
        <w:rPr>
          <w:rFonts w:ascii="Garamond" w:hAnsi="Garamond"/>
          <w:sz w:val="24"/>
          <w:szCs w:val="24"/>
        </w:rPr>
        <w:t>medidas</w:t>
      </w:r>
      <w:r w:rsidRPr="00395593">
        <w:rPr>
          <w:rFonts w:ascii="Garamond" w:hAnsi="Garamond"/>
          <w:spacing w:val="1"/>
          <w:sz w:val="24"/>
          <w:szCs w:val="24"/>
        </w:rPr>
        <w:t xml:space="preserve"> </w:t>
      </w:r>
      <w:r w:rsidRPr="00395593">
        <w:rPr>
          <w:rFonts w:ascii="Garamond" w:hAnsi="Garamond"/>
          <w:sz w:val="24"/>
          <w:szCs w:val="24"/>
        </w:rPr>
        <w:t>provisórias, sempre que as autoridades determinem o seguinte acerca do produto importado</w:t>
      </w:r>
      <w:r w:rsidRPr="00395593">
        <w:rPr>
          <w:rFonts w:ascii="Garamond" w:hAnsi="Garamond"/>
          <w:spacing w:val="-57"/>
          <w:sz w:val="24"/>
          <w:szCs w:val="24"/>
        </w:rPr>
        <w:t xml:space="preserve"> </w:t>
      </w:r>
      <w:r w:rsidRPr="00395593">
        <w:rPr>
          <w:rFonts w:ascii="Garamond" w:hAnsi="Garamond"/>
          <w:sz w:val="24"/>
          <w:szCs w:val="24"/>
        </w:rPr>
        <w:t>a</w:t>
      </w:r>
      <w:r w:rsidRPr="00395593">
        <w:rPr>
          <w:rFonts w:ascii="Garamond" w:hAnsi="Garamond"/>
          <w:spacing w:val="-1"/>
          <w:sz w:val="24"/>
          <w:szCs w:val="24"/>
        </w:rPr>
        <w:t xml:space="preserve"> </w:t>
      </w:r>
      <w:r w:rsidRPr="00395593">
        <w:rPr>
          <w:rFonts w:ascii="Garamond" w:hAnsi="Garamond"/>
          <w:sz w:val="24"/>
          <w:szCs w:val="24"/>
        </w:rPr>
        <w:t>preços</w:t>
      </w:r>
      <w:r w:rsidRPr="00395593">
        <w:rPr>
          <w:rFonts w:ascii="Garamond" w:hAnsi="Garamond"/>
          <w:spacing w:val="-1"/>
          <w:sz w:val="24"/>
          <w:szCs w:val="24"/>
        </w:rPr>
        <w:t xml:space="preserve"> </w:t>
      </w:r>
      <w:r w:rsidRPr="00395593">
        <w:rPr>
          <w:rFonts w:ascii="Garamond" w:hAnsi="Garamond"/>
          <w:sz w:val="24"/>
          <w:szCs w:val="24"/>
        </w:rPr>
        <w:t>de</w:t>
      </w:r>
      <w:r w:rsidRPr="00395593">
        <w:rPr>
          <w:rFonts w:ascii="Garamond" w:hAnsi="Garamond"/>
          <w:spacing w:val="-1"/>
          <w:sz w:val="24"/>
          <w:szCs w:val="24"/>
        </w:rPr>
        <w:t xml:space="preserve"> </w:t>
      </w:r>
      <w:r w:rsidRPr="00395593">
        <w:rPr>
          <w:rFonts w:ascii="Garamond" w:hAnsi="Garamond"/>
          <w:i/>
          <w:sz w:val="24"/>
          <w:szCs w:val="24"/>
        </w:rPr>
        <w:t>dumping</w:t>
      </w:r>
      <w:r w:rsidRPr="00395593">
        <w:rPr>
          <w:rFonts w:ascii="Garamond" w:hAnsi="Garamond"/>
          <w:sz w:val="24"/>
          <w:szCs w:val="24"/>
        </w:rPr>
        <w:t>:</w:t>
      </w:r>
    </w:p>
    <w:p w14:paraId="1BBEB636" w14:textId="77777777" w:rsidR="0013285C" w:rsidRPr="00395593" w:rsidRDefault="0013285C" w:rsidP="0013285C">
      <w:pPr>
        <w:jc w:val="both"/>
        <w:rPr>
          <w:rFonts w:ascii="Garamond" w:hAnsi="Garamond"/>
        </w:rPr>
        <w:sectPr w:rsidR="0013285C" w:rsidRPr="00395593" w:rsidSect="00E15FBB">
          <w:footerReference w:type="default" r:id="rId222"/>
          <w:pgSz w:w="12240" w:h="15840"/>
          <w:pgMar w:top="1418" w:right="1750" w:bottom="280" w:left="1418" w:header="720" w:footer="720" w:gutter="0"/>
          <w:cols w:space="720"/>
        </w:sectPr>
      </w:pPr>
    </w:p>
    <w:p w14:paraId="7E60E950" w14:textId="77777777" w:rsidR="0013285C" w:rsidRPr="00395593" w:rsidRDefault="0013285C" w:rsidP="002C4340">
      <w:pPr>
        <w:pStyle w:val="PargrafodaLista"/>
        <w:widowControl w:val="0"/>
        <w:numPr>
          <w:ilvl w:val="0"/>
          <w:numId w:val="2"/>
        </w:numPr>
        <w:tabs>
          <w:tab w:val="left" w:pos="1149"/>
        </w:tabs>
        <w:autoSpaceDE w:val="0"/>
        <w:autoSpaceDN w:val="0"/>
        <w:spacing w:before="184" w:after="0" w:line="240" w:lineRule="auto"/>
        <w:ind w:left="821" w:right="118" w:firstLine="0"/>
        <w:contextualSpacing w:val="0"/>
        <w:jc w:val="both"/>
        <w:rPr>
          <w:rFonts w:ascii="Garamond" w:hAnsi="Garamond"/>
          <w:sz w:val="24"/>
        </w:rPr>
      </w:pPr>
      <w:r w:rsidRPr="00395593">
        <w:rPr>
          <w:rFonts w:ascii="Garamond" w:hAnsi="Garamond"/>
          <w:sz w:val="24"/>
        </w:rPr>
        <w:t xml:space="preserve">há antecedentes de </w:t>
      </w:r>
      <w:r w:rsidRPr="00395593">
        <w:rPr>
          <w:rFonts w:ascii="Garamond" w:hAnsi="Garamond"/>
          <w:i/>
          <w:sz w:val="24"/>
        </w:rPr>
        <w:t xml:space="preserve">dumping </w:t>
      </w:r>
      <w:r w:rsidRPr="00395593">
        <w:rPr>
          <w:rFonts w:ascii="Garamond" w:hAnsi="Garamond"/>
          <w:sz w:val="24"/>
        </w:rPr>
        <w:t>causador de dano ou o importador estava consciente</w:t>
      </w:r>
      <w:r w:rsidRPr="00395593">
        <w:rPr>
          <w:rFonts w:ascii="Garamond" w:hAnsi="Garamond"/>
          <w:spacing w:val="-57"/>
          <w:sz w:val="24"/>
        </w:rPr>
        <w:t xml:space="preserve"> </w:t>
      </w:r>
      <w:r w:rsidRPr="00395593">
        <w:rPr>
          <w:rFonts w:ascii="Garamond" w:hAnsi="Garamond"/>
          <w:sz w:val="24"/>
        </w:rPr>
        <w:t xml:space="preserve">ou deveria ter estado consciente de que o exportador pratica </w:t>
      </w:r>
      <w:r w:rsidRPr="00395593">
        <w:rPr>
          <w:rFonts w:ascii="Garamond" w:hAnsi="Garamond"/>
          <w:i/>
          <w:sz w:val="24"/>
        </w:rPr>
        <w:t xml:space="preserve">dumping </w:t>
      </w:r>
      <w:r w:rsidRPr="00395593">
        <w:rPr>
          <w:rFonts w:ascii="Garamond" w:hAnsi="Garamond"/>
          <w:sz w:val="24"/>
        </w:rPr>
        <w:t>e de que tal</w:t>
      </w:r>
      <w:r w:rsidRPr="00395593">
        <w:rPr>
          <w:rFonts w:ascii="Garamond" w:hAnsi="Garamond"/>
          <w:spacing w:val="1"/>
          <w:sz w:val="24"/>
        </w:rPr>
        <w:t xml:space="preserve"> </w:t>
      </w:r>
      <w:r w:rsidRPr="00395593">
        <w:rPr>
          <w:rFonts w:ascii="Garamond" w:hAnsi="Garamond"/>
          <w:i/>
          <w:sz w:val="24"/>
        </w:rPr>
        <w:t>dumping</w:t>
      </w:r>
      <w:r w:rsidRPr="00395593">
        <w:rPr>
          <w:rFonts w:ascii="Garamond" w:hAnsi="Garamond"/>
          <w:i/>
          <w:spacing w:val="-1"/>
          <w:sz w:val="24"/>
        </w:rPr>
        <w:t xml:space="preserve"> </w:t>
      </w:r>
      <w:r w:rsidRPr="00395593">
        <w:rPr>
          <w:rFonts w:ascii="Garamond" w:hAnsi="Garamond"/>
          <w:sz w:val="24"/>
        </w:rPr>
        <w:t>causaria</w:t>
      </w:r>
      <w:r w:rsidRPr="00395593">
        <w:rPr>
          <w:rFonts w:ascii="Garamond" w:hAnsi="Garamond"/>
          <w:spacing w:val="-1"/>
          <w:sz w:val="24"/>
        </w:rPr>
        <w:t xml:space="preserve"> </w:t>
      </w:r>
      <w:r w:rsidRPr="00395593">
        <w:rPr>
          <w:rFonts w:ascii="Garamond" w:hAnsi="Garamond"/>
          <w:sz w:val="24"/>
        </w:rPr>
        <w:t>dano; e</w:t>
      </w:r>
    </w:p>
    <w:p w14:paraId="66E3AF00" w14:textId="77777777" w:rsidR="0013285C" w:rsidRPr="00395593" w:rsidRDefault="0013285C" w:rsidP="0013285C">
      <w:pPr>
        <w:pStyle w:val="Corpodetexto"/>
        <w:rPr>
          <w:rFonts w:ascii="Garamond" w:hAnsi="Garamond"/>
        </w:rPr>
      </w:pPr>
    </w:p>
    <w:p w14:paraId="47BD8677" w14:textId="77777777" w:rsidR="0013285C" w:rsidRPr="00395593" w:rsidRDefault="0013285C" w:rsidP="002C4340">
      <w:pPr>
        <w:pStyle w:val="PargrafodaLista"/>
        <w:widowControl w:val="0"/>
        <w:numPr>
          <w:ilvl w:val="0"/>
          <w:numId w:val="2"/>
        </w:numPr>
        <w:tabs>
          <w:tab w:val="left" w:pos="1180"/>
        </w:tabs>
        <w:autoSpaceDE w:val="0"/>
        <w:autoSpaceDN w:val="0"/>
        <w:spacing w:after="0" w:line="240" w:lineRule="auto"/>
        <w:ind w:left="821" w:right="115" w:firstLine="0"/>
        <w:contextualSpacing w:val="0"/>
        <w:jc w:val="both"/>
        <w:rPr>
          <w:rFonts w:ascii="Garamond" w:hAnsi="Garamond"/>
          <w:sz w:val="24"/>
        </w:rPr>
      </w:pPr>
      <w:r w:rsidRPr="00395593">
        <w:rPr>
          <w:rFonts w:ascii="Garamond" w:hAnsi="Garamond"/>
          <w:sz w:val="24"/>
        </w:rPr>
        <w:t>o dano é causado por volumosas importações a preços de</w:t>
      </w:r>
      <w:r w:rsidRPr="00395593">
        <w:rPr>
          <w:rFonts w:ascii="Garamond" w:hAnsi="Garamond"/>
          <w:spacing w:val="60"/>
          <w:sz w:val="24"/>
        </w:rPr>
        <w:t xml:space="preserve"> </w:t>
      </w:r>
      <w:r w:rsidRPr="00395593">
        <w:rPr>
          <w:rFonts w:ascii="Garamond" w:hAnsi="Garamond"/>
          <w:i/>
          <w:sz w:val="24"/>
        </w:rPr>
        <w:t xml:space="preserve">dumping </w:t>
      </w:r>
      <w:r w:rsidRPr="00395593">
        <w:rPr>
          <w:rFonts w:ascii="Garamond" w:hAnsi="Garamond"/>
          <w:sz w:val="24"/>
        </w:rPr>
        <w:t>em período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tempo</w:t>
      </w:r>
      <w:r w:rsidRPr="00395593">
        <w:rPr>
          <w:rFonts w:ascii="Garamond" w:hAnsi="Garamond"/>
          <w:spacing w:val="1"/>
          <w:sz w:val="24"/>
        </w:rPr>
        <w:t xml:space="preserve"> </w:t>
      </w:r>
      <w:r w:rsidRPr="00395593">
        <w:rPr>
          <w:rFonts w:ascii="Garamond" w:hAnsi="Garamond"/>
          <w:sz w:val="24"/>
        </w:rPr>
        <w:t>relativamente</w:t>
      </w:r>
      <w:r w:rsidRPr="00395593">
        <w:rPr>
          <w:rFonts w:ascii="Garamond" w:hAnsi="Garamond"/>
          <w:spacing w:val="1"/>
          <w:sz w:val="24"/>
        </w:rPr>
        <w:t xml:space="preserve"> </w:t>
      </w:r>
      <w:r w:rsidRPr="00395593">
        <w:rPr>
          <w:rFonts w:ascii="Garamond" w:hAnsi="Garamond"/>
          <w:sz w:val="24"/>
        </w:rPr>
        <w:t>curto,</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à</w:t>
      </w:r>
      <w:r w:rsidRPr="00395593">
        <w:rPr>
          <w:rFonts w:ascii="Garamond" w:hAnsi="Garamond"/>
          <w:spacing w:val="1"/>
          <w:sz w:val="24"/>
        </w:rPr>
        <w:t xml:space="preserve"> </w:t>
      </w:r>
      <w:r w:rsidRPr="00395593">
        <w:rPr>
          <w:rFonts w:ascii="Garamond" w:hAnsi="Garamond"/>
          <w:sz w:val="24"/>
        </w:rPr>
        <w:t>luz</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velocidade</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volume</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 xml:space="preserve">importações a preços de </w:t>
      </w:r>
      <w:r w:rsidRPr="00395593">
        <w:rPr>
          <w:rFonts w:ascii="Garamond" w:hAnsi="Garamond"/>
          <w:i/>
          <w:sz w:val="24"/>
        </w:rPr>
        <w:t xml:space="preserve">dumping </w:t>
      </w:r>
      <w:r w:rsidRPr="00395593">
        <w:rPr>
          <w:rFonts w:ascii="Garamond" w:hAnsi="Garamond"/>
          <w:sz w:val="24"/>
        </w:rPr>
        <w:t>e também de outras circunstâncias (como o rápido</w:t>
      </w:r>
      <w:r w:rsidRPr="00395593">
        <w:rPr>
          <w:rFonts w:ascii="Garamond" w:hAnsi="Garamond"/>
          <w:spacing w:val="-57"/>
          <w:sz w:val="24"/>
        </w:rPr>
        <w:t xml:space="preserve"> </w:t>
      </w:r>
      <w:r w:rsidRPr="00395593">
        <w:rPr>
          <w:rFonts w:ascii="Garamond" w:hAnsi="Garamond"/>
          <w:sz w:val="24"/>
        </w:rPr>
        <w:t>crescimento dos estoques do produto importado) lavará provavelmente a prejudicar</w:t>
      </w:r>
      <w:r w:rsidRPr="00395593">
        <w:rPr>
          <w:rFonts w:ascii="Garamond" w:hAnsi="Garamond"/>
          <w:spacing w:val="1"/>
          <w:sz w:val="24"/>
        </w:rPr>
        <w:t xml:space="preserve"> </w:t>
      </w:r>
      <w:r w:rsidRPr="00395593">
        <w:rPr>
          <w:rFonts w:ascii="Garamond" w:hAnsi="Garamond"/>
          <w:sz w:val="24"/>
        </w:rPr>
        <w:t xml:space="preserve">seriamente o efeito corretivo dos direitos </w:t>
      </w:r>
      <w:r w:rsidRPr="00395593">
        <w:rPr>
          <w:rFonts w:ascii="Garamond" w:hAnsi="Garamond"/>
          <w:i/>
          <w:sz w:val="24"/>
        </w:rPr>
        <w:t>anti</w:t>
      </w:r>
      <w:r w:rsidRPr="00395593">
        <w:rPr>
          <w:rFonts w:ascii="Garamond" w:hAnsi="Garamond"/>
          <w:sz w:val="24"/>
        </w:rPr>
        <w:t>-</w:t>
      </w:r>
      <w:r w:rsidRPr="00395593">
        <w:rPr>
          <w:rFonts w:ascii="Garamond" w:hAnsi="Garamond"/>
          <w:i/>
          <w:sz w:val="24"/>
        </w:rPr>
        <w:t xml:space="preserve">dumping </w:t>
      </w:r>
      <w:r w:rsidRPr="00395593">
        <w:rPr>
          <w:rFonts w:ascii="Garamond" w:hAnsi="Garamond"/>
          <w:sz w:val="24"/>
        </w:rPr>
        <w:t>definitivos aplicáveis no</w:t>
      </w:r>
      <w:r w:rsidRPr="00395593">
        <w:rPr>
          <w:rFonts w:ascii="Garamond" w:hAnsi="Garamond"/>
          <w:spacing w:val="1"/>
          <w:sz w:val="24"/>
        </w:rPr>
        <w:t xml:space="preserve"> </w:t>
      </w:r>
      <w:r w:rsidRPr="00395593">
        <w:rPr>
          <w:rFonts w:ascii="Garamond" w:hAnsi="Garamond"/>
          <w:sz w:val="24"/>
        </w:rPr>
        <w:t>futuro, desde que aos importadores envolvidos tenha sido dada a oportunidade de se</w:t>
      </w:r>
      <w:r w:rsidRPr="00395593">
        <w:rPr>
          <w:rFonts w:ascii="Garamond" w:hAnsi="Garamond"/>
          <w:spacing w:val="-57"/>
          <w:sz w:val="24"/>
        </w:rPr>
        <w:t xml:space="preserve"> </w:t>
      </w:r>
      <w:r w:rsidRPr="00395593">
        <w:rPr>
          <w:rFonts w:ascii="Garamond" w:hAnsi="Garamond"/>
          <w:sz w:val="24"/>
        </w:rPr>
        <w:t>manifestar</w:t>
      </w:r>
      <w:r w:rsidRPr="00395593">
        <w:rPr>
          <w:rFonts w:ascii="Garamond" w:hAnsi="Garamond"/>
          <w:spacing w:val="-1"/>
          <w:sz w:val="24"/>
        </w:rPr>
        <w:t xml:space="preserve"> </w:t>
      </w:r>
      <w:r w:rsidRPr="00395593">
        <w:rPr>
          <w:rFonts w:ascii="Garamond" w:hAnsi="Garamond"/>
          <w:sz w:val="24"/>
        </w:rPr>
        <w:t>sobre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medida.</w:t>
      </w:r>
    </w:p>
    <w:p w14:paraId="4CDC598C" w14:textId="77777777" w:rsidR="0013285C" w:rsidRPr="00395593" w:rsidRDefault="0013285C" w:rsidP="0013285C">
      <w:pPr>
        <w:pStyle w:val="Corpodetexto"/>
        <w:spacing w:before="1"/>
        <w:rPr>
          <w:rFonts w:ascii="Garamond" w:hAnsi="Garamond"/>
        </w:rPr>
      </w:pPr>
    </w:p>
    <w:p w14:paraId="3C64334A" w14:textId="77777777" w:rsidR="0013285C" w:rsidRPr="00395593" w:rsidRDefault="0013285C" w:rsidP="002C4340">
      <w:pPr>
        <w:pStyle w:val="PargrafodaLista"/>
        <w:widowControl w:val="0"/>
        <w:numPr>
          <w:ilvl w:val="0"/>
          <w:numId w:val="13"/>
        </w:numPr>
        <w:tabs>
          <w:tab w:val="left" w:pos="810"/>
        </w:tabs>
        <w:autoSpaceDE w:val="0"/>
        <w:autoSpaceDN w:val="0"/>
        <w:spacing w:after="0" w:line="240" w:lineRule="auto"/>
        <w:ind w:right="119" w:firstLine="0"/>
        <w:contextualSpacing w:val="0"/>
        <w:jc w:val="both"/>
        <w:rPr>
          <w:rFonts w:ascii="Garamond" w:hAnsi="Garamond"/>
          <w:sz w:val="24"/>
        </w:rPr>
      </w:pP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poderão,</w:t>
      </w:r>
      <w:r w:rsidRPr="00395593">
        <w:rPr>
          <w:rFonts w:ascii="Garamond" w:hAnsi="Garamond"/>
          <w:spacing w:val="1"/>
          <w:sz w:val="24"/>
        </w:rPr>
        <w:t xml:space="preserve"> </w:t>
      </w:r>
      <w:r w:rsidRPr="00395593">
        <w:rPr>
          <w:rFonts w:ascii="Garamond" w:hAnsi="Garamond"/>
          <w:sz w:val="24"/>
        </w:rPr>
        <w:t>após</w:t>
      </w:r>
      <w:r w:rsidRPr="00395593">
        <w:rPr>
          <w:rFonts w:ascii="Garamond" w:hAnsi="Garamond"/>
          <w:spacing w:val="1"/>
          <w:sz w:val="24"/>
        </w:rPr>
        <w:t xml:space="preserve"> </w:t>
      </w:r>
      <w:r w:rsidRPr="00395593">
        <w:rPr>
          <w:rFonts w:ascii="Garamond" w:hAnsi="Garamond"/>
          <w:sz w:val="24"/>
        </w:rPr>
        <w:t>iniciada</w:t>
      </w:r>
      <w:r w:rsidRPr="00395593">
        <w:rPr>
          <w:rFonts w:ascii="Garamond" w:hAnsi="Garamond"/>
          <w:spacing w:val="1"/>
          <w:sz w:val="24"/>
        </w:rPr>
        <w:t xml:space="preserve"> </w:t>
      </w:r>
      <w:r w:rsidRPr="00395593">
        <w:rPr>
          <w:rFonts w:ascii="Garamond" w:hAnsi="Garamond"/>
          <w:sz w:val="24"/>
        </w:rPr>
        <w:t>uma</w:t>
      </w:r>
      <w:r w:rsidRPr="00395593">
        <w:rPr>
          <w:rFonts w:ascii="Garamond" w:hAnsi="Garamond"/>
          <w:spacing w:val="1"/>
          <w:sz w:val="24"/>
        </w:rPr>
        <w:t xml:space="preserve"> </w:t>
      </w:r>
      <w:r w:rsidRPr="00395593">
        <w:rPr>
          <w:rFonts w:ascii="Garamond" w:hAnsi="Garamond"/>
          <w:sz w:val="24"/>
        </w:rPr>
        <w:t>investigação,</w:t>
      </w:r>
      <w:r w:rsidRPr="00395593">
        <w:rPr>
          <w:rFonts w:ascii="Garamond" w:hAnsi="Garamond"/>
          <w:spacing w:val="1"/>
          <w:sz w:val="24"/>
        </w:rPr>
        <w:t xml:space="preserve"> </w:t>
      </w:r>
      <w:r w:rsidRPr="00395593">
        <w:rPr>
          <w:rFonts w:ascii="Garamond" w:hAnsi="Garamond"/>
          <w:sz w:val="24"/>
        </w:rPr>
        <w:t>tomar</w:t>
      </w:r>
      <w:r w:rsidRPr="00395593">
        <w:rPr>
          <w:rFonts w:ascii="Garamond" w:hAnsi="Garamond"/>
          <w:spacing w:val="1"/>
          <w:sz w:val="24"/>
        </w:rPr>
        <w:t xml:space="preserve"> </w:t>
      </w:r>
      <w:r w:rsidRPr="00395593">
        <w:rPr>
          <w:rFonts w:ascii="Garamond" w:hAnsi="Garamond"/>
          <w:sz w:val="24"/>
        </w:rPr>
        <w:t>medidas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estimem</w:t>
      </w:r>
      <w:r w:rsidRPr="00395593">
        <w:rPr>
          <w:rFonts w:ascii="Garamond" w:hAnsi="Garamond"/>
          <w:spacing w:val="41"/>
          <w:sz w:val="24"/>
        </w:rPr>
        <w:t xml:space="preserve"> </w:t>
      </w:r>
      <w:r w:rsidRPr="00395593">
        <w:rPr>
          <w:rFonts w:ascii="Garamond" w:hAnsi="Garamond"/>
          <w:sz w:val="24"/>
        </w:rPr>
        <w:t>necessárias,</w:t>
      </w:r>
      <w:r w:rsidRPr="00395593">
        <w:rPr>
          <w:rFonts w:ascii="Garamond" w:hAnsi="Garamond"/>
          <w:spacing w:val="41"/>
          <w:sz w:val="24"/>
        </w:rPr>
        <w:t xml:space="preserve"> </w:t>
      </w:r>
      <w:r w:rsidRPr="00395593">
        <w:rPr>
          <w:rFonts w:ascii="Garamond" w:hAnsi="Garamond"/>
          <w:sz w:val="24"/>
        </w:rPr>
        <w:t>como</w:t>
      </w:r>
      <w:r w:rsidRPr="00395593">
        <w:rPr>
          <w:rFonts w:ascii="Garamond" w:hAnsi="Garamond"/>
          <w:spacing w:val="42"/>
          <w:sz w:val="24"/>
        </w:rPr>
        <w:t xml:space="preserve"> </w:t>
      </w:r>
      <w:r w:rsidRPr="00395593">
        <w:rPr>
          <w:rFonts w:ascii="Garamond" w:hAnsi="Garamond"/>
          <w:sz w:val="24"/>
        </w:rPr>
        <w:t>suspender</w:t>
      </w:r>
      <w:r w:rsidRPr="00395593">
        <w:rPr>
          <w:rFonts w:ascii="Garamond" w:hAnsi="Garamond"/>
          <w:spacing w:val="41"/>
          <w:sz w:val="24"/>
        </w:rPr>
        <w:t xml:space="preserve"> </w:t>
      </w:r>
      <w:r w:rsidRPr="00395593">
        <w:rPr>
          <w:rFonts w:ascii="Garamond" w:hAnsi="Garamond"/>
          <w:sz w:val="24"/>
        </w:rPr>
        <w:t>a</w:t>
      </w:r>
      <w:r w:rsidRPr="00395593">
        <w:rPr>
          <w:rFonts w:ascii="Garamond" w:hAnsi="Garamond"/>
          <w:spacing w:val="41"/>
          <w:sz w:val="24"/>
        </w:rPr>
        <w:t xml:space="preserve"> </w:t>
      </w:r>
      <w:r w:rsidRPr="00395593">
        <w:rPr>
          <w:rFonts w:ascii="Garamond" w:hAnsi="Garamond"/>
          <w:sz w:val="24"/>
        </w:rPr>
        <w:t>valoração</w:t>
      </w:r>
      <w:r w:rsidRPr="00395593">
        <w:rPr>
          <w:rFonts w:ascii="Garamond" w:hAnsi="Garamond"/>
          <w:spacing w:val="40"/>
          <w:sz w:val="24"/>
        </w:rPr>
        <w:t xml:space="preserve"> </w:t>
      </w:r>
      <w:r w:rsidRPr="00395593">
        <w:rPr>
          <w:rFonts w:ascii="Garamond" w:hAnsi="Garamond"/>
          <w:sz w:val="24"/>
        </w:rPr>
        <w:t>aduaneira</w:t>
      </w:r>
      <w:r w:rsidRPr="00395593">
        <w:rPr>
          <w:rFonts w:ascii="Garamond" w:hAnsi="Garamond"/>
          <w:spacing w:val="41"/>
          <w:sz w:val="24"/>
        </w:rPr>
        <w:t xml:space="preserve"> </w:t>
      </w:r>
      <w:r w:rsidRPr="00395593">
        <w:rPr>
          <w:rFonts w:ascii="Garamond" w:hAnsi="Garamond"/>
          <w:sz w:val="24"/>
        </w:rPr>
        <w:t>ou</w:t>
      </w:r>
      <w:r w:rsidRPr="00395593">
        <w:rPr>
          <w:rFonts w:ascii="Garamond" w:hAnsi="Garamond"/>
          <w:spacing w:val="41"/>
          <w:sz w:val="24"/>
        </w:rPr>
        <w:t xml:space="preserve"> </w:t>
      </w:r>
      <w:r w:rsidRPr="00395593">
        <w:rPr>
          <w:rFonts w:ascii="Garamond" w:hAnsi="Garamond"/>
          <w:sz w:val="24"/>
        </w:rPr>
        <w:t>a</w:t>
      </w:r>
      <w:r w:rsidRPr="00395593">
        <w:rPr>
          <w:rFonts w:ascii="Garamond" w:hAnsi="Garamond"/>
          <w:spacing w:val="41"/>
          <w:sz w:val="24"/>
        </w:rPr>
        <w:t xml:space="preserve"> </w:t>
      </w:r>
      <w:r w:rsidRPr="00395593">
        <w:rPr>
          <w:rFonts w:ascii="Garamond" w:hAnsi="Garamond"/>
          <w:sz w:val="24"/>
        </w:rPr>
        <w:t>liquidação</w:t>
      </w:r>
      <w:r w:rsidRPr="00395593">
        <w:rPr>
          <w:rFonts w:ascii="Garamond" w:hAnsi="Garamond"/>
          <w:spacing w:val="41"/>
          <w:sz w:val="24"/>
        </w:rPr>
        <w:t xml:space="preserve"> </w:t>
      </w:r>
      <w:r w:rsidRPr="00395593">
        <w:rPr>
          <w:rFonts w:ascii="Garamond" w:hAnsi="Garamond"/>
          <w:sz w:val="24"/>
        </w:rPr>
        <w:t>de</w:t>
      </w:r>
      <w:r w:rsidRPr="00395593">
        <w:rPr>
          <w:rFonts w:ascii="Garamond" w:hAnsi="Garamond"/>
          <w:spacing w:val="40"/>
          <w:sz w:val="24"/>
        </w:rPr>
        <w:t xml:space="preserve"> </w:t>
      </w:r>
      <w:r w:rsidRPr="00395593">
        <w:rPr>
          <w:rFonts w:ascii="Garamond" w:hAnsi="Garamond"/>
          <w:sz w:val="24"/>
        </w:rPr>
        <w:t>direitos</w:t>
      </w:r>
      <w:r w:rsidRPr="00395593">
        <w:rPr>
          <w:rFonts w:ascii="Garamond" w:hAnsi="Garamond"/>
          <w:spacing w:val="-57"/>
          <w:sz w:val="24"/>
        </w:rPr>
        <w:t xml:space="preserve"> </w:t>
      </w:r>
      <w:r w:rsidRPr="00395593">
        <w:rPr>
          <w:rFonts w:ascii="Garamond" w:hAnsi="Garamond"/>
          <w:sz w:val="24"/>
        </w:rPr>
        <w:t xml:space="preserve">para perceber direitos </w:t>
      </w:r>
      <w:r w:rsidRPr="00395593">
        <w:rPr>
          <w:rFonts w:ascii="Garamond" w:hAnsi="Garamond"/>
          <w:i/>
          <w:sz w:val="24"/>
        </w:rPr>
        <w:t>anti</w:t>
      </w:r>
      <w:r w:rsidRPr="00395593">
        <w:rPr>
          <w:rFonts w:ascii="Garamond" w:hAnsi="Garamond"/>
          <w:sz w:val="24"/>
        </w:rPr>
        <w:t>-</w:t>
      </w:r>
      <w:r w:rsidRPr="00395593">
        <w:rPr>
          <w:rFonts w:ascii="Garamond" w:hAnsi="Garamond"/>
          <w:i/>
          <w:sz w:val="24"/>
        </w:rPr>
        <w:t xml:space="preserve">dumping </w:t>
      </w:r>
      <w:r w:rsidRPr="00395593">
        <w:rPr>
          <w:rFonts w:ascii="Garamond" w:hAnsi="Garamond"/>
          <w:sz w:val="24"/>
        </w:rPr>
        <w:t>retroativos, tal como previsto no parágrafo 6, sempre</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tenham</w:t>
      </w:r>
      <w:r w:rsidRPr="00395593">
        <w:rPr>
          <w:rFonts w:ascii="Garamond" w:hAnsi="Garamond"/>
          <w:spacing w:val="1"/>
          <w:sz w:val="24"/>
        </w:rPr>
        <w:t xml:space="preserve"> </w:t>
      </w:r>
      <w:r w:rsidRPr="00395593">
        <w:rPr>
          <w:rFonts w:ascii="Garamond" w:hAnsi="Garamond"/>
          <w:sz w:val="24"/>
        </w:rPr>
        <w:t>indicação</w:t>
      </w:r>
      <w:r w:rsidRPr="00395593">
        <w:rPr>
          <w:rFonts w:ascii="Garamond" w:hAnsi="Garamond"/>
          <w:spacing w:val="1"/>
          <w:sz w:val="24"/>
        </w:rPr>
        <w:t xml:space="preserve"> </w:t>
      </w:r>
      <w:r w:rsidRPr="00395593">
        <w:rPr>
          <w:rFonts w:ascii="Garamond" w:hAnsi="Garamond"/>
          <w:sz w:val="24"/>
        </w:rPr>
        <w:t>suficiente</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condições</w:t>
      </w:r>
      <w:r w:rsidRPr="00395593">
        <w:rPr>
          <w:rFonts w:ascii="Garamond" w:hAnsi="Garamond"/>
          <w:spacing w:val="1"/>
          <w:sz w:val="24"/>
        </w:rPr>
        <w:t xml:space="preserve"> </w:t>
      </w:r>
      <w:r w:rsidRPr="00395593">
        <w:rPr>
          <w:rFonts w:ascii="Garamond" w:hAnsi="Garamond"/>
          <w:sz w:val="24"/>
        </w:rPr>
        <w:t>estabelecidas</w:t>
      </w:r>
      <w:r w:rsidRPr="00395593">
        <w:rPr>
          <w:rFonts w:ascii="Garamond" w:hAnsi="Garamond"/>
          <w:spacing w:val="1"/>
          <w:sz w:val="24"/>
        </w:rPr>
        <w:t xml:space="preserve"> </w:t>
      </w:r>
      <w:r w:rsidRPr="00395593">
        <w:rPr>
          <w:rFonts w:ascii="Garamond" w:hAnsi="Garamond"/>
          <w:sz w:val="24"/>
        </w:rPr>
        <w:t>naquele</w:t>
      </w:r>
      <w:r w:rsidRPr="00395593">
        <w:rPr>
          <w:rFonts w:ascii="Garamond" w:hAnsi="Garamond"/>
          <w:spacing w:val="1"/>
          <w:sz w:val="24"/>
        </w:rPr>
        <w:t xml:space="preserve"> </w:t>
      </w:r>
      <w:r w:rsidRPr="00395593">
        <w:rPr>
          <w:rFonts w:ascii="Garamond" w:hAnsi="Garamond"/>
          <w:sz w:val="24"/>
        </w:rPr>
        <w:t>parágrafo</w:t>
      </w:r>
      <w:r w:rsidRPr="00395593">
        <w:rPr>
          <w:rFonts w:ascii="Garamond" w:hAnsi="Garamond"/>
          <w:spacing w:val="1"/>
          <w:sz w:val="24"/>
        </w:rPr>
        <w:t xml:space="preserve"> </w:t>
      </w:r>
      <w:r w:rsidRPr="00395593">
        <w:rPr>
          <w:rFonts w:ascii="Garamond" w:hAnsi="Garamond"/>
          <w:sz w:val="24"/>
        </w:rPr>
        <w:t>estejam</w:t>
      </w:r>
      <w:r w:rsidRPr="00395593">
        <w:rPr>
          <w:rFonts w:ascii="Garamond" w:hAnsi="Garamond"/>
          <w:spacing w:val="-1"/>
          <w:sz w:val="24"/>
        </w:rPr>
        <w:t xml:space="preserve"> </w:t>
      </w:r>
      <w:r w:rsidRPr="00395593">
        <w:rPr>
          <w:rFonts w:ascii="Garamond" w:hAnsi="Garamond"/>
          <w:sz w:val="24"/>
        </w:rPr>
        <w:t>preenchidas.</w:t>
      </w:r>
    </w:p>
    <w:p w14:paraId="6B107925" w14:textId="77777777" w:rsidR="0013285C" w:rsidRPr="00395593" w:rsidRDefault="0013285C" w:rsidP="0013285C">
      <w:pPr>
        <w:pStyle w:val="Corpodetexto"/>
        <w:rPr>
          <w:rFonts w:ascii="Garamond" w:hAnsi="Garamond"/>
        </w:rPr>
      </w:pPr>
    </w:p>
    <w:p w14:paraId="7204636B" w14:textId="77777777" w:rsidR="0013285C" w:rsidRPr="00395593" w:rsidRDefault="0013285C" w:rsidP="002C4340">
      <w:pPr>
        <w:pStyle w:val="PargrafodaLista"/>
        <w:widowControl w:val="0"/>
        <w:numPr>
          <w:ilvl w:val="0"/>
          <w:numId w:val="13"/>
        </w:numPr>
        <w:tabs>
          <w:tab w:val="left" w:pos="810"/>
        </w:tabs>
        <w:autoSpaceDE w:val="0"/>
        <w:autoSpaceDN w:val="0"/>
        <w:spacing w:after="0" w:line="240" w:lineRule="auto"/>
        <w:ind w:right="124" w:firstLine="0"/>
        <w:contextualSpacing w:val="0"/>
        <w:jc w:val="both"/>
        <w:rPr>
          <w:rFonts w:ascii="Garamond" w:hAnsi="Garamond"/>
          <w:sz w:val="24"/>
        </w:rPr>
      </w:pPr>
      <w:r w:rsidRPr="00395593">
        <w:rPr>
          <w:rFonts w:ascii="Garamond" w:hAnsi="Garamond"/>
          <w:sz w:val="24"/>
        </w:rPr>
        <w:t>Não se poderão perceber retroativamente direitos ao abrigo do parágrafo 6 sobre</w:t>
      </w:r>
      <w:r w:rsidRPr="00395593">
        <w:rPr>
          <w:rFonts w:ascii="Garamond" w:hAnsi="Garamond"/>
          <w:spacing w:val="1"/>
          <w:sz w:val="24"/>
        </w:rPr>
        <w:t xml:space="preserve"> </w:t>
      </w:r>
      <w:r w:rsidRPr="00395593">
        <w:rPr>
          <w:rFonts w:ascii="Garamond" w:hAnsi="Garamond"/>
          <w:sz w:val="24"/>
        </w:rPr>
        <w:t>produtos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tenham entrado para consumo</w:t>
      </w:r>
      <w:r w:rsidRPr="00395593">
        <w:rPr>
          <w:rFonts w:ascii="Garamond" w:hAnsi="Garamond"/>
          <w:spacing w:val="-1"/>
          <w:sz w:val="24"/>
        </w:rPr>
        <w:t xml:space="preserve"> </w:t>
      </w:r>
      <w:r w:rsidRPr="00395593">
        <w:rPr>
          <w:rFonts w:ascii="Garamond" w:hAnsi="Garamond"/>
          <w:sz w:val="24"/>
        </w:rPr>
        <w:t>antes</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data de</w:t>
      </w:r>
      <w:r w:rsidRPr="00395593">
        <w:rPr>
          <w:rFonts w:ascii="Garamond" w:hAnsi="Garamond"/>
          <w:spacing w:val="-2"/>
          <w:sz w:val="24"/>
        </w:rPr>
        <w:t xml:space="preserve"> </w:t>
      </w:r>
      <w:r w:rsidRPr="00395593">
        <w:rPr>
          <w:rFonts w:ascii="Garamond" w:hAnsi="Garamond"/>
          <w:sz w:val="24"/>
        </w:rPr>
        <w:t>início</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investigação.</w:t>
      </w:r>
    </w:p>
    <w:p w14:paraId="2D66FE20" w14:textId="77777777" w:rsidR="0013285C" w:rsidRPr="00395593" w:rsidRDefault="0013285C" w:rsidP="0013285C">
      <w:pPr>
        <w:pStyle w:val="Corpodetexto"/>
        <w:rPr>
          <w:rFonts w:ascii="Garamond" w:hAnsi="Garamond"/>
        </w:rPr>
      </w:pPr>
    </w:p>
    <w:p w14:paraId="632FEE02" w14:textId="77777777" w:rsidR="0013285C" w:rsidRPr="00395593" w:rsidRDefault="0013285C" w:rsidP="0013285C">
      <w:pPr>
        <w:pStyle w:val="Corpodetexto"/>
        <w:ind w:left="176" w:right="194"/>
        <w:jc w:val="center"/>
        <w:rPr>
          <w:rFonts w:ascii="Garamond" w:hAnsi="Garamond"/>
          <w:b/>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11</w:t>
      </w:r>
    </w:p>
    <w:p w14:paraId="40CAC181" w14:textId="77777777" w:rsidR="0013285C" w:rsidRPr="00395593" w:rsidRDefault="0013285C" w:rsidP="0013285C">
      <w:pPr>
        <w:pStyle w:val="Corpodetexto"/>
        <w:rPr>
          <w:rFonts w:ascii="Garamond" w:hAnsi="Garamond"/>
          <w:b/>
        </w:rPr>
      </w:pPr>
    </w:p>
    <w:p w14:paraId="3D6E5897" w14:textId="77777777" w:rsidR="0013285C" w:rsidRPr="00395593" w:rsidRDefault="0013285C" w:rsidP="0013285C">
      <w:pPr>
        <w:pStyle w:val="Corpodetexto"/>
        <w:ind w:left="176" w:right="196"/>
        <w:jc w:val="center"/>
        <w:rPr>
          <w:rFonts w:ascii="Garamond" w:hAnsi="Garamond"/>
          <w:b/>
        </w:rPr>
      </w:pPr>
      <w:r w:rsidRPr="00395593">
        <w:rPr>
          <w:rFonts w:ascii="Garamond" w:hAnsi="Garamond"/>
          <w:b/>
        </w:rPr>
        <w:t>Duração</w:t>
      </w:r>
      <w:r w:rsidRPr="00395593">
        <w:rPr>
          <w:rFonts w:ascii="Garamond" w:hAnsi="Garamond"/>
          <w:b/>
          <w:spacing w:val="-1"/>
        </w:rPr>
        <w:t xml:space="preserve"> </w:t>
      </w:r>
      <w:r w:rsidRPr="00395593">
        <w:rPr>
          <w:rFonts w:ascii="Garamond" w:hAnsi="Garamond"/>
          <w:b/>
        </w:rPr>
        <w:t>e</w:t>
      </w:r>
      <w:r w:rsidRPr="00395593">
        <w:rPr>
          <w:rFonts w:ascii="Garamond" w:hAnsi="Garamond"/>
          <w:b/>
          <w:spacing w:val="-2"/>
        </w:rPr>
        <w:t xml:space="preserve"> </w:t>
      </w:r>
      <w:r w:rsidRPr="00395593">
        <w:rPr>
          <w:rFonts w:ascii="Garamond" w:hAnsi="Garamond"/>
          <w:b/>
        </w:rPr>
        <w:t>Revisão</w:t>
      </w:r>
      <w:r w:rsidRPr="00395593">
        <w:rPr>
          <w:rFonts w:ascii="Garamond" w:hAnsi="Garamond"/>
          <w:b/>
          <w:spacing w:val="-1"/>
        </w:rPr>
        <w:t xml:space="preserve"> </w:t>
      </w:r>
      <w:r w:rsidRPr="00395593">
        <w:rPr>
          <w:rFonts w:ascii="Garamond" w:hAnsi="Garamond"/>
          <w:b/>
        </w:rPr>
        <w:t>dos Direitos</w:t>
      </w:r>
      <w:r w:rsidRPr="00395593">
        <w:rPr>
          <w:rFonts w:ascii="Garamond" w:hAnsi="Garamond"/>
          <w:b/>
          <w:spacing w:val="1"/>
        </w:rPr>
        <w:t xml:space="preserve"> </w:t>
      </w:r>
      <w:r w:rsidRPr="00395593">
        <w:rPr>
          <w:rFonts w:ascii="Garamond" w:hAnsi="Garamond"/>
          <w:b/>
          <w:i/>
        </w:rPr>
        <w:t>Anti</w:t>
      </w:r>
      <w:r w:rsidRPr="00395593">
        <w:rPr>
          <w:rFonts w:ascii="Garamond" w:hAnsi="Garamond"/>
          <w:b/>
        </w:rPr>
        <w:t>-</w:t>
      </w:r>
      <w:r w:rsidRPr="00395593">
        <w:rPr>
          <w:rFonts w:ascii="Garamond" w:hAnsi="Garamond"/>
          <w:b/>
          <w:i/>
        </w:rPr>
        <w:t>Dumping</w:t>
      </w:r>
      <w:r w:rsidRPr="00395593">
        <w:rPr>
          <w:rFonts w:ascii="Garamond" w:hAnsi="Garamond"/>
          <w:b/>
          <w:i/>
          <w:spacing w:val="-1"/>
        </w:rPr>
        <w:t xml:space="preserve"> </w:t>
      </w:r>
      <w:r w:rsidRPr="00395593">
        <w:rPr>
          <w:rFonts w:ascii="Garamond" w:hAnsi="Garamond"/>
          <w:b/>
        </w:rPr>
        <w:t>e</w:t>
      </w:r>
      <w:r w:rsidRPr="00395593">
        <w:rPr>
          <w:rFonts w:ascii="Garamond" w:hAnsi="Garamond"/>
          <w:b/>
          <w:spacing w:val="-2"/>
        </w:rPr>
        <w:t xml:space="preserve"> </w:t>
      </w:r>
      <w:r w:rsidRPr="00395593">
        <w:rPr>
          <w:rFonts w:ascii="Garamond" w:hAnsi="Garamond"/>
          <w:b/>
        </w:rPr>
        <w:t>dos Compromissos</w:t>
      </w:r>
      <w:r w:rsidRPr="00395593">
        <w:rPr>
          <w:rFonts w:ascii="Garamond" w:hAnsi="Garamond"/>
          <w:b/>
          <w:spacing w:val="-1"/>
        </w:rPr>
        <w:t xml:space="preserve"> </w:t>
      </w:r>
      <w:r w:rsidRPr="00395593">
        <w:rPr>
          <w:rFonts w:ascii="Garamond" w:hAnsi="Garamond"/>
          <w:b/>
        </w:rPr>
        <w:t>de</w:t>
      </w:r>
      <w:r w:rsidRPr="00395593">
        <w:rPr>
          <w:rFonts w:ascii="Garamond" w:hAnsi="Garamond"/>
          <w:b/>
          <w:spacing w:val="-2"/>
        </w:rPr>
        <w:t xml:space="preserve"> </w:t>
      </w:r>
      <w:r w:rsidRPr="00395593">
        <w:rPr>
          <w:rFonts w:ascii="Garamond" w:hAnsi="Garamond"/>
          <w:b/>
        </w:rPr>
        <w:t>Preços</w:t>
      </w:r>
    </w:p>
    <w:p w14:paraId="4D4973D1" w14:textId="77777777" w:rsidR="0013285C" w:rsidRPr="00395593" w:rsidRDefault="0013285C" w:rsidP="0013285C">
      <w:pPr>
        <w:pStyle w:val="Corpodetexto"/>
        <w:rPr>
          <w:rFonts w:ascii="Garamond" w:hAnsi="Garamond"/>
        </w:rPr>
      </w:pPr>
    </w:p>
    <w:p w14:paraId="15ED0666" w14:textId="77777777" w:rsidR="0013285C" w:rsidRPr="00395593" w:rsidRDefault="0013285C" w:rsidP="002C4340">
      <w:pPr>
        <w:pStyle w:val="PargrafodaLista"/>
        <w:widowControl w:val="0"/>
        <w:numPr>
          <w:ilvl w:val="0"/>
          <w:numId w:val="12"/>
        </w:numPr>
        <w:tabs>
          <w:tab w:val="left" w:pos="810"/>
        </w:tabs>
        <w:autoSpaceDE w:val="0"/>
        <w:autoSpaceDN w:val="0"/>
        <w:spacing w:before="1" w:after="0" w:line="240" w:lineRule="auto"/>
        <w:ind w:right="122" w:firstLine="0"/>
        <w:contextualSpacing w:val="0"/>
        <w:jc w:val="both"/>
        <w:rPr>
          <w:rFonts w:ascii="Garamond" w:hAnsi="Garamond"/>
          <w:sz w:val="24"/>
        </w:rPr>
      </w:pPr>
      <w:r w:rsidRPr="00395593">
        <w:rPr>
          <w:rFonts w:ascii="Garamond" w:hAnsi="Garamond"/>
          <w:sz w:val="24"/>
        </w:rPr>
        <w:t xml:space="preserve">Direitos </w:t>
      </w:r>
      <w:r w:rsidRPr="00395593">
        <w:rPr>
          <w:rFonts w:ascii="Garamond" w:hAnsi="Garamond"/>
          <w:i/>
          <w:sz w:val="24"/>
        </w:rPr>
        <w:t>anti</w:t>
      </w:r>
      <w:r w:rsidRPr="00395593">
        <w:rPr>
          <w:rFonts w:ascii="Garamond" w:hAnsi="Garamond"/>
          <w:sz w:val="24"/>
        </w:rPr>
        <w:t>-</w:t>
      </w:r>
      <w:r w:rsidRPr="00395593">
        <w:rPr>
          <w:rFonts w:ascii="Garamond" w:hAnsi="Garamond"/>
          <w:i/>
          <w:sz w:val="24"/>
        </w:rPr>
        <w:t xml:space="preserve">dumping </w:t>
      </w:r>
      <w:r w:rsidRPr="00395593">
        <w:rPr>
          <w:rFonts w:ascii="Garamond" w:hAnsi="Garamond"/>
          <w:sz w:val="24"/>
        </w:rPr>
        <w:t>só permanecerão em vigor enquanto perdurar a necessidade</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2"/>
          <w:sz w:val="24"/>
        </w:rPr>
        <w:t xml:space="preserve"> </w:t>
      </w:r>
      <w:r w:rsidRPr="00395593">
        <w:rPr>
          <w:rFonts w:ascii="Garamond" w:hAnsi="Garamond"/>
          <w:sz w:val="24"/>
        </w:rPr>
        <w:t>contrabalançar a</w:t>
      </w:r>
      <w:r w:rsidRPr="00395593">
        <w:rPr>
          <w:rFonts w:ascii="Garamond" w:hAnsi="Garamond"/>
          <w:spacing w:val="-2"/>
          <w:sz w:val="24"/>
        </w:rPr>
        <w:t xml:space="preserve"> </w:t>
      </w:r>
      <w:r w:rsidRPr="00395593">
        <w:rPr>
          <w:rFonts w:ascii="Garamond" w:hAnsi="Garamond"/>
          <w:sz w:val="24"/>
        </w:rPr>
        <w:t>prática</w:t>
      </w:r>
      <w:r w:rsidRPr="00395593">
        <w:rPr>
          <w:rFonts w:ascii="Garamond" w:hAnsi="Garamond"/>
          <w:spacing w:val="-1"/>
          <w:sz w:val="24"/>
        </w:rPr>
        <w:t xml:space="preserve"> </w:t>
      </w:r>
      <w:r w:rsidRPr="00395593">
        <w:rPr>
          <w:rFonts w:ascii="Garamond" w:hAnsi="Garamond"/>
          <w:sz w:val="24"/>
        </w:rPr>
        <w:t xml:space="preserve">de </w:t>
      </w:r>
      <w:r w:rsidRPr="00395593">
        <w:rPr>
          <w:rFonts w:ascii="Garamond" w:hAnsi="Garamond"/>
          <w:i/>
          <w:sz w:val="24"/>
        </w:rPr>
        <w:t>dumping</w:t>
      </w:r>
      <w:r w:rsidRPr="00395593">
        <w:rPr>
          <w:rFonts w:ascii="Garamond" w:hAnsi="Garamond"/>
          <w:i/>
          <w:spacing w:val="2"/>
          <w:sz w:val="24"/>
        </w:rPr>
        <w:t xml:space="preserve"> </w:t>
      </w:r>
      <w:r w:rsidRPr="00395593">
        <w:rPr>
          <w:rFonts w:ascii="Garamond" w:hAnsi="Garamond"/>
          <w:sz w:val="24"/>
        </w:rPr>
        <w:t>causadora de</w:t>
      </w:r>
      <w:r w:rsidRPr="00395593">
        <w:rPr>
          <w:rFonts w:ascii="Garamond" w:hAnsi="Garamond"/>
          <w:spacing w:val="-1"/>
          <w:sz w:val="24"/>
        </w:rPr>
        <w:t xml:space="preserve"> </w:t>
      </w:r>
      <w:r w:rsidRPr="00395593">
        <w:rPr>
          <w:rFonts w:ascii="Garamond" w:hAnsi="Garamond"/>
          <w:sz w:val="24"/>
        </w:rPr>
        <w:t>dano.</w:t>
      </w:r>
    </w:p>
    <w:p w14:paraId="411B38FE" w14:textId="77777777" w:rsidR="0013285C" w:rsidRPr="00395593" w:rsidRDefault="0013285C" w:rsidP="0013285C">
      <w:pPr>
        <w:pStyle w:val="Corpodetexto"/>
        <w:spacing w:before="11"/>
        <w:rPr>
          <w:rFonts w:ascii="Garamond" w:hAnsi="Garamond"/>
          <w:sz w:val="23"/>
        </w:rPr>
      </w:pPr>
    </w:p>
    <w:p w14:paraId="4C663C1E" w14:textId="77777777" w:rsidR="0013285C" w:rsidRPr="00395593" w:rsidRDefault="0013285C" w:rsidP="002C4340">
      <w:pPr>
        <w:pStyle w:val="PargrafodaLista"/>
        <w:widowControl w:val="0"/>
        <w:numPr>
          <w:ilvl w:val="0"/>
          <w:numId w:val="12"/>
        </w:numPr>
        <w:tabs>
          <w:tab w:val="left" w:pos="810"/>
        </w:tabs>
        <w:autoSpaceDE w:val="0"/>
        <w:autoSpaceDN w:val="0"/>
        <w:spacing w:after="0" w:line="240" w:lineRule="auto"/>
        <w:ind w:right="116" w:firstLine="0"/>
        <w:contextualSpacing w:val="0"/>
        <w:jc w:val="both"/>
        <w:rPr>
          <w:rFonts w:ascii="Garamond" w:hAnsi="Garamond"/>
          <w:sz w:val="24"/>
        </w:rPr>
      </w:pPr>
      <w:r w:rsidRPr="00395593">
        <w:rPr>
          <w:rFonts w:ascii="Garamond" w:hAnsi="Garamond"/>
          <w:sz w:val="24"/>
        </w:rPr>
        <w:t>Quando justificado, as autoridades deverão rever a necessidade de conservar os</w:t>
      </w:r>
      <w:r w:rsidRPr="00395593">
        <w:rPr>
          <w:rFonts w:ascii="Garamond" w:hAnsi="Garamond"/>
          <w:spacing w:val="1"/>
          <w:sz w:val="24"/>
        </w:rPr>
        <w:t xml:space="preserve"> </w:t>
      </w:r>
      <w:r w:rsidRPr="00395593">
        <w:rPr>
          <w:rFonts w:ascii="Garamond" w:hAnsi="Garamond"/>
          <w:sz w:val="24"/>
        </w:rPr>
        <w:t>direitos impostos, quer por sua própria iniciativa, quer se um período razoável de tempo se</w:t>
      </w:r>
      <w:r w:rsidRPr="00395593">
        <w:rPr>
          <w:rFonts w:ascii="Garamond" w:hAnsi="Garamond"/>
          <w:spacing w:val="1"/>
          <w:sz w:val="24"/>
        </w:rPr>
        <w:t xml:space="preserve"> </w:t>
      </w:r>
      <w:r w:rsidRPr="00395593">
        <w:rPr>
          <w:rFonts w:ascii="Garamond" w:hAnsi="Garamond"/>
          <w:sz w:val="24"/>
        </w:rPr>
        <w:t xml:space="preserve">tiver passado desde a imposição de direitos </w:t>
      </w:r>
      <w:r w:rsidRPr="00395593">
        <w:rPr>
          <w:rFonts w:ascii="Garamond" w:hAnsi="Garamond"/>
          <w:i/>
          <w:sz w:val="24"/>
        </w:rPr>
        <w:t>anti</w:t>
      </w:r>
      <w:r w:rsidRPr="00395593">
        <w:rPr>
          <w:rFonts w:ascii="Garamond" w:hAnsi="Garamond"/>
          <w:sz w:val="24"/>
        </w:rPr>
        <w:t>-</w:t>
      </w:r>
      <w:r w:rsidRPr="00395593">
        <w:rPr>
          <w:rFonts w:ascii="Garamond" w:hAnsi="Garamond"/>
          <w:i/>
          <w:sz w:val="24"/>
        </w:rPr>
        <w:t xml:space="preserve">dumping </w:t>
      </w:r>
      <w:r w:rsidRPr="00395593">
        <w:rPr>
          <w:rFonts w:ascii="Garamond" w:hAnsi="Garamond"/>
          <w:sz w:val="24"/>
        </w:rPr>
        <w:t>definitivos por requerimento de</w:t>
      </w:r>
      <w:r w:rsidRPr="00395593">
        <w:rPr>
          <w:rFonts w:ascii="Garamond" w:hAnsi="Garamond"/>
          <w:spacing w:val="1"/>
          <w:sz w:val="24"/>
        </w:rPr>
        <w:t xml:space="preserve"> </w:t>
      </w:r>
      <w:r w:rsidRPr="00395593">
        <w:rPr>
          <w:rFonts w:ascii="Garamond" w:hAnsi="Garamond"/>
          <w:sz w:val="24"/>
        </w:rPr>
        <w:t>qualquer parte interessada, que deverá apresentar informação positiva comprobatória da</w:t>
      </w:r>
      <w:r w:rsidRPr="00395593">
        <w:rPr>
          <w:rFonts w:ascii="Garamond" w:hAnsi="Garamond"/>
          <w:spacing w:val="1"/>
          <w:sz w:val="24"/>
        </w:rPr>
        <w:t xml:space="preserve"> </w:t>
      </w:r>
      <w:r w:rsidRPr="00395593">
        <w:rPr>
          <w:rFonts w:ascii="Garamond" w:hAnsi="Garamond"/>
          <w:sz w:val="24"/>
        </w:rPr>
        <w:t>necessidade</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revisão</w:t>
      </w:r>
      <w:r w:rsidRPr="00395593">
        <w:rPr>
          <w:rFonts w:ascii="Garamond" w:hAnsi="Garamond"/>
          <w:spacing w:val="1"/>
          <w:sz w:val="24"/>
        </w:rPr>
        <w:t xml:space="preserve"> </w:t>
      </w:r>
      <w:r w:rsidRPr="00395593">
        <w:rPr>
          <w:rFonts w:ascii="Garamond" w:hAnsi="Garamond"/>
          <w:sz w:val="24"/>
          <w:vertAlign w:val="superscript"/>
        </w:rPr>
        <w:t>21</w:t>
      </w:r>
      <w:r w:rsidRPr="00395593">
        <w:rPr>
          <w:rFonts w:ascii="Garamond" w:hAnsi="Garamond"/>
          <w:sz w:val="24"/>
        </w:rPr>
        <w:t>.</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partes</w:t>
      </w:r>
      <w:r w:rsidRPr="00395593">
        <w:rPr>
          <w:rFonts w:ascii="Garamond" w:hAnsi="Garamond"/>
          <w:spacing w:val="1"/>
          <w:sz w:val="24"/>
        </w:rPr>
        <w:t xml:space="preserve"> </w:t>
      </w:r>
      <w:r w:rsidRPr="00395593">
        <w:rPr>
          <w:rFonts w:ascii="Garamond" w:hAnsi="Garamond"/>
          <w:sz w:val="24"/>
        </w:rPr>
        <w:t>interessadas</w:t>
      </w:r>
      <w:r w:rsidRPr="00395593">
        <w:rPr>
          <w:rFonts w:ascii="Garamond" w:hAnsi="Garamond"/>
          <w:spacing w:val="1"/>
          <w:sz w:val="24"/>
        </w:rPr>
        <w:t xml:space="preserve"> </w:t>
      </w:r>
      <w:r w:rsidRPr="00395593">
        <w:rPr>
          <w:rFonts w:ascii="Garamond" w:hAnsi="Garamond"/>
          <w:sz w:val="24"/>
        </w:rPr>
        <w:t>deverão</w:t>
      </w:r>
      <w:r w:rsidRPr="00395593">
        <w:rPr>
          <w:rFonts w:ascii="Garamond" w:hAnsi="Garamond"/>
          <w:spacing w:val="1"/>
          <w:sz w:val="24"/>
        </w:rPr>
        <w:t xml:space="preserve"> </w:t>
      </w:r>
      <w:r w:rsidRPr="00395593">
        <w:rPr>
          <w:rFonts w:ascii="Garamond" w:hAnsi="Garamond"/>
          <w:sz w:val="24"/>
        </w:rPr>
        <w:t>ter</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direito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requerer</w:t>
      </w:r>
      <w:r w:rsidRPr="00395593">
        <w:rPr>
          <w:rFonts w:ascii="Garamond" w:hAnsi="Garamond"/>
          <w:spacing w:val="1"/>
          <w:sz w:val="24"/>
        </w:rPr>
        <w:t xml:space="preserve"> </w:t>
      </w:r>
      <w:r w:rsidRPr="00395593">
        <w:rPr>
          <w:rFonts w:ascii="Garamond" w:hAnsi="Garamond"/>
          <w:sz w:val="24"/>
        </w:rPr>
        <w:t>às</w:t>
      </w:r>
      <w:r w:rsidRPr="00395593">
        <w:rPr>
          <w:rFonts w:ascii="Garamond" w:hAnsi="Garamond"/>
          <w:spacing w:val="-57"/>
          <w:sz w:val="24"/>
        </w:rPr>
        <w:t xml:space="preserve"> </w:t>
      </w:r>
      <w:r w:rsidRPr="00395593">
        <w:rPr>
          <w:rFonts w:ascii="Garamond" w:hAnsi="Garamond"/>
          <w:sz w:val="24"/>
        </w:rPr>
        <w:t>autoridades que examinem se a manutenção do direito é necessária para evitar o</w:t>
      </w:r>
      <w:r w:rsidRPr="00395593">
        <w:rPr>
          <w:rFonts w:ascii="Garamond" w:hAnsi="Garamond"/>
          <w:spacing w:val="60"/>
          <w:sz w:val="24"/>
        </w:rPr>
        <w:t xml:space="preserve"> </w:t>
      </w:r>
      <w:r w:rsidRPr="00395593">
        <w:rPr>
          <w:rFonts w:ascii="Garamond" w:hAnsi="Garamond"/>
          <w:i/>
          <w:sz w:val="24"/>
        </w:rPr>
        <w:t>dumping</w:t>
      </w:r>
      <w:r w:rsidRPr="00395593">
        <w:rPr>
          <w:rFonts w:ascii="Garamond" w:hAnsi="Garamond"/>
          <w:sz w:val="24"/>
        </w:rPr>
        <w:t>,</w:t>
      </w:r>
      <w:r w:rsidRPr="00395593">
        <w:rPr>
          <w:rFonts w:ascii="Garamond" w:hAnsi="Garamond"/>
          <w:spacing w:val="1"/>
          <w:sz w:val="24"/>
        </w:rPr>
        <w:t xml:space="preserve"> </w:t>
      </w:r>
      <w:r w:rsidRPr="00395593">
        <w:rPr>
          <w:rFonts w:ascii="Garamond" w:hAnsi="Garamond"/>
          <w:sz w:val="24"/>
        </w:rPr>
        <w:t>se há probabilidade de que continue o dano ou ainda de sua reincidência se o direito for</w:t>
      </w:r>
      <w:r w:rsidRPr="00395593">
        <w:rPr>
          <w:rFonts w:ascii="Garamond" w:hAnsi="Garamond"/>
          <w:spacing w:val="1"/>
          <w:sz w:val="24"/>
        </w:rPr>
        <w:t xml:space="preserve"> </w:t>
      </w:r>
      <w:r w:rsidRPr="00395593">
        <w:rPr>
          <w:rFonts w:ascii="Garamond" w:hAnsi="Garamond"/>
          <w:sz w:val="24"/>
        </w:rPr>
        <w:t>extinto ou alterado ou ambos. Se como resultado da revisão prevista neste parágrafo, as</w:t>
      </w:r>
      <w:r w:rsidRPr="00395593">
        <w:rPr>
          <w:rFonts w:ascii="Garamond" w:hAnsi="Garamond"/>
          <w:spacing w:val="1"/>
          <w:sz w:val="24"/>
        </w:rPr>
        <w:t xml:space="preserve"> </w:t>
      </w:r>
      <w:r w:rsidRPr="00395593">
        <w:rPr>
          <w:rFonts w:ascii="Garamond" w:hAnsi="Garamond"/>
          <w:sz w:val="24"/>
        </w:rPr>
        <w:t xml:space="preserve">autoridades concluem que não mais se justifica a manutenção do direito </w:t>
      </w:r>
      <w:r w:rsidRPr="00395593">
        <w:rPr>
          <w:rFonts w:ascii="Garamond" w:hAnsi="Garamond"/>
          <w:i/>
          <w:sz w:val="24"/>
        </w:rPr>
        <w:t>anti</w:t>
      </w:r>
      <w:r w:rsidRPr="00395593">
        <w:rPr>
          <w:rFonts w:ascii="Garamond" w:hAnsi="Garamond"/>
          <w:sz w:val="24"/>
        </w:rPr>
        <w:t>-</w:t>
      </w:r>
      <w:r w:rsidRPr="00395593">
        <w:rPr>
          <w:rFonts w:ascii="Garamond" w:hAnsi="Garamond"/>
          <w:i/>
          <w:sz w:val="24"/>
        </w:rPr>
        <w:t>dumping</w:t>
      </w:r>
      <w:r w:rsidRPr="00395593">
        <w:rPr>
          <w:rFonts w:ascii="Garamond" w:hAnsi="Garamond"/>
          <w:sz w:val="24"/>
        </w:rPr>
        <w:t>, deve</w:t>
      </w:r>
      <w:r w:rsidRPr="00395593">
        <w:rPr>
          <w:rFonts w:ascii="Garamond" w:hAnsi="Garamond"/>
          <w:spacing w:val="-57"/>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mesmo ser</w:t>
      </w:r>
      <w:r w:rsidRPr="00395593">
        <w:rPr>
          <w:rFonts w:ascii="Garamond" w:hAnsi="Garamond"/>
          <w:spacing w:val="-2"/>
          <w:sz w:val="24"/>
        </w:rPr>
        <w:t xml:space="preserve"> </w:t>
      </w:r>
      <w:r w:rsidRPr="00395593">
        <w:rPr>
          <w:rFonts w:ascii="Garamond" w:hAnsi="Garamond"/>
          <w:sz w:val="24"/>
        </w:rPr>
        <w:t>imediatamente extinto.</w:t>
      </w:r>
    </w:p>
    <w:p w14:paraId="091D2E8F" w14:textId="77777777" w:rsidR="0013285C" w:rsidRPr="00395593" w:rsidRDefault="0013285C" w:rsidP="0013285C">
      <w:pPr>
        <w:pStyle w:val="Corpodetexto"/>
        <w:spacing w:before="1"/>
        <w:rPr>
          <w:rFonts w:ascii="Garamond" w:hAnsi="Garamond"/>
        </w:rPr>
      </w:pPr>
    </w:p>
    <w:p w14:paraId="3F8FC764" w14:textId="77777777" w:rsidR="0013285C" w:rsidRPr="00395593" w:rsidRDefault="0013285C" w:rsidP="002C4340">
      <w:pPr>
        <w:pStyle w:val="PargrafodaLista"/>
        <w:widowControl w:val="0"/>
        <w:numPr>
          <w:ilvl w:val="0"/>
          <w:numId w:val="12"/>
        </w:numPr>
        <w:tabs>
          <w:tab w:val="left" w:pos="810"/>
        </w:tabs>
        <w:autoSpaceDE w:val="0"/>
        <w:autoSpaceDN w:val="0"/>
        <w:spacing w:after="0" w:line="240" w:lineRule="auto"/>
        <w:ind w:right="115" w:firstLine="0"/>
        <w:contextualSpacing w:val="0"/>
        <w:jc w:val="both"/>
        <w:rPr>
          <w:rFonts w:ascii="Garamond" w:hAnsi="Garamond"/>
          <w:sz w:val="24"/>
        </w:rPr>
      </w:pPr>
      <w:r w:rsidRPr="00395593">
        <w:rPr>
          <w:rFonts w:ascii="Garamond" w:hAnsi="Garamond"/>
          <w:sz w:val="24"/>
        </w:rPr>
        <w:t xml:space="preserve">Em que pese ao disposto nos parágrafos 1 e 2, todo direito </w:t>
      </w:r>
      <w:r w:rsidRPr="00395593">
        <w:rPr>
          <w:rFonts w:ascii="Garamond" w:hAnsi="Garamond"/>
          <w:i/>
          <w:sz w:val="24"/>
        </w:rPr>
        <w:t>anti</w:t>
      </w:r>
      <w:r w:rsidRPr="00395593">
        <w:rPr>
          <w:rFonts w:ascii="Garamond" w:hAnsi="Garamond"/>
          <w:sz w:val="24"/>
        </w:rPr>
        <w:t>-</w:t>
      </w:r>
      <w:r w:rsidRPr="00395593">
        <w:rPr>
          <w:rFonts w:ascii="Garamond" w:hAnsi="Garamond"/>
          <w:i/>
          <w:sz w:val="24"/>
        </w:rPr>
        <w:t xml:space="preserve">dumping </w:t>
      </w:r>
      <w:r w:rsidRPr="00395593">
        <w:rPr>
          <w:rFonts w:ascii="Garamond" w:hAnsi="Garamond"/>
          <w:sz w:val="24"/>
        </w:rPr>
        <w:t>definitivo</w:t>
      </w:r>
      <w:r w:rsidRPr="00395593">
        <w:rPr>
          <w:rFonts w:ascii="Garamond" w:hAnsi="Garamond"/>
          <w:spacing w:val="1"/>
          <w:sz w:val="24"/>
        </w:rPr>
        <w:t xml:space="preserve"> </w:t>
      </w:r>
      <w:r w:rsidRPr="00395593">
        <w:rPr>
          <w:rFonts w:ascii="Garamond" w:hAnsi="Garamond"/>
          <w:sz w:val="24"/>
        </w:rPr>
        <w:t>será extinto em data não posterior a 5 anos, a contar de sua imposição (ou da data da mais</w:t>
      </w:r>
      <w:r w:rsidRPr="00395593">
        <w:rPr>
          <w:rFonts w:ascii="Garamond" w:hAnsi="Garamond"/>
          <w:spacing w:val="1"/>
          <w:sz w:val="24"/>
        </w:rPr>
        <w:t xml:space="preserve"> </w:t>
      </w:r>
      <w:r w:rsidRPr="00395593">
        <w:rPr>
          <w:rFonts w:ascii="Garamond" w:hAnsi="Garamond"/>
          <w:sz w:val="24"/>
        </w:rPr>
        <w:t xml:space="preserve">recente revisão prevista no parágrafo 2, caso tal revisão tenha abarcado tanto o </w:t>
      </w:r>
      <w:r w:rsidRPr="00395593">
        <w:rPr>
          <w:rFonts w:ascii="Garamond" w:hAnsi="Garamond"/>
          <w:i/>
          <w:sz w:val="24"/>
        </w:rPr>
        <w:t>dumping</w:t>
      </w:r>
      <w:r w:rsidRPr="00395593">
        <w:rPr>
          <w:rFonts w:ascii="Garamond" w:hAnsi="Garamond"/>
          <w:i/>
          <w:spacing w:val="1"/>
          <w:sz w:val="24"/>
        </w:rPr>
        <w:t xml:space="preserve"> </w:t>
      </w:r>
      <w:r w:rsidRPr="00395593">
        <w:rPr>
          <w:rFonts w:ascii="Garamond" w:hAnsi="Garamond"/>
          <w:sz w:val="24"/>
        </w:rPr>
        <w:t>quanto</w:t>
      </w:r>
      <w:r w:rsidRPr="00395593">
        <w:rPr>
          <w:rFonts w:ascii="Garamond" w:hAnsi="Garamond"/>
          <w:spacing w:val="20"/>
          <w:sz w:val="24"/>
        </w:rPr>
        <w:t xml:space="preserve"> </w:t>
      </w:r>
      <w:r w:rsidRPr="00395593">
        <w:rPr>
          <w:rFonts w:ascii="Garamond" w:hAnsi="Garamond"/>
          <w:sz w:val="24"/>
        </w:rPr>
        <w:t>o</w:t>
      </w:r>
      <w:r w:rsidRPr="00395593">
        <w:rPr>
          <w:rFonts w:ascii="Garamond" w:hAnsi="Garamond"/>
          <w:spacing w:val="20"/>
          <w:sz w:val="24"/>
        </w:rPr>
        <w:t xml:space="preserve"> </w:t>
      </w:r>
      <w:r w:rsidRPr="00395593">
        <w:rPr>
          <w:rFonts w:ascii="Garamond" w:hAnsi="Garamond"/>
          <w:sz w:val="24"/>
        </w:rPr>
        <w:t>dano</w:t>
      </w:r>
      <w:r w:rsidRPr="00395593">
        <w:rPr>
          <w:rFonts w:ascii="Garamond" w:hAnsi="Garamond"/>
          <w:spacing w:val="20"/>
          <w:sz w:val="24"/>
        </w:rPr>
        <w:t xml:space="preserve"> </w:t>
      </w:r>
      <w:r w:rsidRPr="00395593">
        <w:rPr>
          <w:rFonts w:ascii="Garamond" w:hAnsi="Garamond"/>
          <w:sz w:val="24"/>
        </w:rPr>
        <w:t>ou</w:t>
      </w:r>
      <w:r w:rsidRPr="00395593">
        <w:rPr>
          <w:rFonts w:ascii="Garamond" w:hAnsi="Garamond"/>
          <w:spacing w:val="20"/>
          <w:sz w:val="24"/>
        </w:rPr>
        <w:t xml:space="preserve"> </w:t>
      </w:r>
      <w:r w:rsidRPr="00395593">
        <w:rPr>
          <w:rFonts w:ascii="Garamond" w:hAnsi="Garamond"/>
          <w:sz w:val="24"/>
        </w:rPr>
        <w:t>à</w:t>
      </w:r>
      <w:r w:rsidRPr="00395593">
        <w:rPr>
          <w:rFonts w:ascii="Garamond" w:hAnsi="Garamond"/>
          <w:spacing w:val="19"/>
          <w:sz w:val="24"/>
        </w:rPr>
        <w:t xml:space="preserve"> </w:t>
      </w:r>
      <w:r w:rsidRPr="00395593">
        <w:rPr>
          <w:rFonts w:ascii="Garamond" w:hAnsi="Garamond"/>
          <w:sz w:val="24"/>
        </w:rPr>
        <w:t>luz</w:t>
      </w:r>
      <w:r w:rsidRPr="00395593">
        <w:rPr>
          <w:rFonts w:ascii="Garamond" w:hAnsi="Garamond"/>
          <w:spacing w:val="22"/>
          <w:sz w:val="24"/>
        </w:rPr>
        <w:t xml:space="preserve"> </w:t>
      </w:r>
      <w:r w:rsidRPr="00395593">
        <w:rPr>
          <w:rFonts w:ascii="Garamond" w:hAnsi="Garamond"/>
          <w:sz w:val="24"/>
        </w:rPr>
        <w:t>do</w:t>
      </w:r>
      <w:r w:rsidRPr="00395593">
        <w:rPr>
          <w:rFonts w:ascii="Garamond" w:hAnsi="Garamond"/>
          <w:spacing w:val="20"/>
          <w:sz w:val="24"/>
        </w:rPr>
        <w:t xml:space="preserve"> </w:t>
      </w:r>
      <w:r w:rsidRPr="00395593">
        <w:rPr>
          <w:rFonts w:ascii="Garamond" w:hAnsi="Garamond"/>
          <w:sz w:val="24"/>
        </w:rPr>
        <w:t>disposto</w:t>
      </w:r>
      <w:r w:rsidRPr="00395593">
        <w:rPr>
          <w:rFonts w:ascii="Garamond" w:hAnsi="Garamond"/>
          <w:spacing w:val="21"/>
          <w:sz w:val="24"/>
        </w:rPr>
        <w:t xml:space="preserve"> </w:t>
      </w:r>
      <w:r w:rsidRPr="00395593">
        <w:rPr>
          <w:rFonts w:ascii="Garamond" w:hAnsi="Garamond"/>
          <w:sz w:val="24"/>
        </w:rPr>
        <w:t>neste</w:t>
      </w:r>
      <w:r w:rsidRPr="00395593">
        <w:rPr>
          <w:rFonts w:ascii="Garamond" w:hAnsi="Garamond"/>
          <w:spacing w:val="20"/>
          <w:sz w:val="24"/>
        </w:rPr>
        <w:t xml:space="preserve"> </w:t>
      </w:r>
      <w:r w:rsidRPr="00395593">
        <w:rPr>
          <w:rFonts w:ascii="Garamond" w:hAnsi="Garamond"/>
          <w:sz w:val="24"/>
        </w:rPr>
        <w:t>parágrafo),</w:t>
      </w:r>
      <w:r w:rsidRPr="00395593">
        <w:rPr>
          <w:rFonts w:ascii="Garamond" w:hAnsi="Garamond"/>
          <w:spacing w:val="22"/>
          <w:sz w:val="24"/>
        </w:rPr>
        <w:t xml:space="preserve"> </w:t>
      </w:r>
      <w:r w:rsidRPr="00395593">
        <w:rPr>
          <w:rFonts w:ascii="Garamond" w:hAnsi="Garamond"/>
          <w:sz w:val="24"/>
        </w:rPr>
        <w:t>a</w:t>
      </w:r>
      <w:r w:rsidRPr="00395593">
        <w:rPr>
          <w:rFonts w:ascii="Garamond" w:hAnsi="Garamond"/>
          <w:spacing w:val="19"/>
          <w:sz w:val="24"/>
        </w:rPr>
        <w:t xml:space="preserve"> </w:t>
      </w:r>
      <w:r w:rsidRPr="00395593">
        <w:rPr>
          <w:rFonts w:ascii="Garamond" w:hAnsi="Garamond"/>
          <w:sz w:val="24"/>
        </w:rPr>
        <w:t>menos</w:t>
      </w:r>
      <w:r w:rsidRPr="00395593">
        <w:rPr>
          <w:rFonts w:ascii="Garamond" w:hAnsi="Garamond"/>
          <w:spacing w:val="20"/>
          <w:sz w:val="24"/>
        </w:rPr>
        <w:t xml:space="preserve"> </w:t>
      </w:r>
      <w:r w:rsidRPr="00395593">
        <w:rPr>
          <w:rFonts w:ascii="Garamond" w:hAnsi="Garamond"/>
          <w:sz w:val="24"/>
        </w:rPr>
        <w:t>que</w:t>
      </w:r>
      <w:r w:rsidRPr="00395593">
        <w:rPr>
          <w:rFonts w:ascii="Garamond" w:hAnsi="Garamond"/>
          <w:spacing w:val="21"/>
          <w:sz w:val="24"/>
        </w:rPr>
        <w:t xml:space="preserve"> </w:t>
      </w:r>
      <w:r w:rsidRPr="00395593">
        <w:rPr>
          <w:rFonts w:ascii="Garamond" w:hAnsi="Garamond"/>
          <w:sz w:val="24"/>
        </w:rPr>
        <w:t>as</w:t>
      </w:r>
      <w:r w:rsidRPr="00395593">
        <w:rPr>
          <w:rFonts w:ascii="Garamond" w:hAnsi="Garamond"/>
          <w:spacing w:val="20"/>
          <w:sz w:val="24"/>
        </w:rPr>
        <w:t xml:space="preserve"> </w:t>
      </w:r>
      <w:r w:rsidRPr="00395593">
        <w:rPr>
          <w:rFonts w:ascii="Garamond" w:hAnsi="Garamond"/>
          <w:sz w:val="24"/>
        </w:rPr>
        <w:t>autoridades</w:t>
      </w:r>
    </w:p>
    <w:p w14:paraId="111F400A" w14:textId="77777777" w:rsidR="00B273F2" w:rsidRDefault="00B273F2" w:rsidP="0013285C">
      <w:pPr>
        <w:pStyle w:val="Corpodetexto"/>
        <w:rPr>
          <w:rFonts w:ascii="Garamond" w:hAnsi="Garamond"/>
          <w:sz w:val="23"/>
        </w:rPr>
      </w:pPr>
    </w:p>
    <w:p w14:paraId="35651E84" w14:textId="1E70832D" w:rsidR="00B273F2" w:rsidRDefault="00B273F2" w:rsidP="0013285C">
      <w:pPr>
        <w:pStyle w:val="Corpodetexto"/>
        <w:rPr>
          <w:rFonts w:ascii="Garamond" w:hAnsi="Garamond"/>
          <w:sz w:val="23"/>
        </w:rPr>
      </w:pPr>
    </w:p>
    <w:p w14:paraId="5D6522AC" w14:textId="77777777" w:rsidR="00B273F2" w:rsidRDefault="00B273F2" w:rsidP="0013285C">
      <w:pPr>
        <w:pStyle w:val="Corpodetexto"/>
        <w:rPr>
          <w:rFonts w:ascii="Garamond" w:hAnsi="Garamond"/>
          <w:sz w:val="23"/>
        </w:rPr>
      </w:pPr>
    </w:p>
    <w:p w14:paraId="09E11DF3" w14:textId="274C4E50" w:rsidR="0013285C" w:rsidRPr="00395593" w:rsidRDefault="0013285C" w:rsidP="0013285C">
      <w:pPr>
        <w:pStyle w:val="Corpodetexto"/>
        <w:rPr>
          <w:rFonts w:ascii="Garamond" w:hAnsi="Garamond"/>
          <w:sz w:val="23"/>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48" behindDoc="1" locked="0" layoutInCell="1" allowOverlap="1" wp14:anchorId="4F895304" wp14:editId="736867D7">
                <wp:simplePos x="0" y="0"/>
                <wp:positionH relativeFrom="page">
                  <wp:posOffset>1080770</wp:posOffset>
                </wp:positionH>
                <wp:positionV relativeFrom="paragraph">
                  <wp:posOffset>183515</wp:posOffset>
                </wp:positionV>
                <wp:extent cx="1828800" cy="7620"/>
                <wp:effectExtent l="4445" t="0" r="0" b="3810"/>
                <wp:wrapTopAndBottom/>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6D842" id="Retângulo 9" o:spid="_x0000_s1026" style="position:absolute;margin-left:85.1pt;margin-top:14.45pt;width:2in;height:.6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cIfQIAAPo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" fillcolor="black" stroked="f">
                <w10:wrap type="topAndBottom" anchorx="page"/>
              </v:rect>
            </w:pict>
          </mc:Fallback>
        </mc:AlternateContent>
      </w:r>
    </w:p>
    <w:p w14:paraId="1C46A5DB" w14:textId="77777777" w:rsidR="0013285C" w:rsidRPr="00395593" w:rsidRDefault="0013285C" w:rsidP="0013285C">
      <w:pPr>
        <w:spacing w:before="103"/>
        <w:ind w:left="102"/>
        <w:rPr>
          <w:rFonts w:ascii="Garamond" w:hAnsi="Garamond"/>
          <w:sz w:val="20"/>
        </w:rPr>
      </w:pPr>
      <w:r w:rsidRPr="00395593">
        <w:rPr>
          <w:rFonts w:ascii="Garamond" w:hAnsi="Garamond"/>
          <w:sz w:val="20"/>
          <w:vertAlign w:val="superscript"/>
        </w:rPr>
        <w:t>21</w:t>
      </w:r>
      <w:r w:rsidRPr="00395593">
        <w:rPr>
          <w:rFonts w:ascii="Garamond" w:hAnsi="Garamond"/>
          <w:spacing w:val="33"/>
          <w:sz w:val="20"/>
        </w:rPr>
        <w:t xml:space="preserve"> </w:t>
      </w:r>
      <w:r w:rsidRPr="00395593">
        <w:rPr>
          <w:rFonts w:ascii="Garamond" w:hAnsi="Garamond"/>
          <w:sz w:val="20"/>
        </w:rPr>
        <w:t>Tomada</w:t>
      </w:r>
      <w:r w:rsidRPr="00395593">
        <w:rPr>
          <w:rFonts w:ascii="Garamond" w:hAnsi="Garamond"/>
          <w:spacing w:val="34"/>
          <w:sz w:val="20"/>
        </w:rPr>
        <w:t xml:space="preserve"> </w:t>
      </w:r>
      <w:r w:rsidRPr="00395593">
        <w:rPr>
          <w:rFonts w:ascii="Garamond" w:hAnsi="Garamond"/>
          <w:sz w:val="20"/>
        </w:rPr>
        <w:t>em</w:t>
      </w:r>
      <w:r w:rsidRPr="00395593">
        <w:rPr>
          <w:rFonts w:ascii="Garamond" w:hAnsi="Garamond"/>
          <w:spacing w:val="31"/>
          <w:sz w:val="20"/>
        </w:rPr>
        <w:t xml:space="preserve"> </w:t>
      </w:r>
      <w:r w:rsidRPr="00395593">
        <w:rPr>
          <w:rFonts w:ascii="Garamond" w:hAnsi="Garamond"/>
          <w:sz w:val="20"/>
        </w:rPr>
        <w:t>si</w:t>
      </w:r>
      <w:r w:rsidRPr="00395593">
        <w:rPr>
          <w:rFonts w:ascii="Garamond" w:hAnsi="Garamond"/>
          <w:spacing w:val="35"/>
          <w:sz w:val="20"/>
        </w:rPr>
        <w:t xml:space="preserve"> </w:t>
      </w:r>
      <w:r w:rsidRPr="00395593">
        <w:rPr>
          <w:rFonts w:ascii="Garamond" w:hAnsi="Garamond"/>
          <w:sz w:val="20"/>
        </w:rPr>
        <w:t>mesma,</w:t>
      </w:r>
      <w:r w:rsidRPr="00395593">
        <w:rPr>
          <w:rFonts w:ascii="Garamond" w:hAnsi="Garamond"/>
          <w:spacing w:val="35"/>
          <w:sz w:val="20"/>
        </w:rPr>
        <w:t xml:space="preserve"> </w:t>
      </w:r>
      <w:r w:rsidRPr="00395593">
        <w:rPr>
          <w:rFonts w:ascii="Garamond" w:hAnsi="Garamond"/>
          <w:sz w:val="20"/>
        </w:rPr>
        <w:t>a</w:t>
      </w:r>
      <w:r w:rsidRPr="00395593">
        <w:rPr>
          <w:rFonts w:ascii="Garamond" w:hAnsi="Garamond"/>
          <w:spacing w:val="34"/>
          <w:sz w:val="20"/>
        </w:rPr>
        <w:t xml:space="preserve"> </w:t>
      </w:r>
      <w:r w:rsidRPr="00395593">
        <w:rPr>
          <w:rFonts w:ascii="Garamond" w:hAnsi="Garamond"/>
          <w:sz w:val="20"/>
        </w:rPr>
        <w:t>determinação</w:t>
      </w:r>
      <w:r w:rsidRPr="00395593">
        <w:rPr>
          <w:rFonts w:ascii="Garamond" w:hAnsi="Garamond"/>
          <w:spacing w:val="35"/>
          <w:sz w:val="20"/>
        </w:rPr>
        <w:t xml:space="preserve"> </w:t>
      </w:r>
      <w:r w:rsidRPr="00395593">
        <w:rPr>
          <w:rFonts w:ascii="Garamond" w:hAnsi="Garamond"/>
          <w:sz w:val="20"/>
        </w:rPr>
        <w:t>definitiva</w:t>
      </w:r>
      <w:r w:rsidRPr="00395593">
        <w:rPr>
          <w:rFonts w:ascii="Garamond" w:hAnsi="Garamond"/>
          <w:spacing w:val="34"/>
          <w:sz w:val="20"/>
        </w:rPr>
        <w:t xml:space="preserve"> </w:t>
      </w:r>
      <w:r w:rsidRPr="00395593">
        <w:rPr>
          <w:rFonts w:ascii="Garamond" w:hAnsi="Garamond"/>
          <w:sz w:val="20"/>
        </w:rPr>
        <w:t>da</w:t>
      </w:r>
      <w:r w:rsidRPr="00395593">
        <w:rPr>
          <w:rFonts w:ascii="Garamond" w:hAnsi="Garamond"/>
          <w:spacing w:val="34"/>
          <w:sz w:val="20"/>
        </w:rPr>
        <w:t xml:space="preserve"> </w:t>
      </w:r>
      <w:r w:rsidRPr="00395593">
        <w:rPr>
          <w:rFonts w:ascii="Garamond" w:hAnsi="Garamond"/>
          <w:sz w:val="20"/>
        </w:rPr>
        <w:t>quantia</w:t>
      </w:r>
      <w:r w:rsidRPr="00395593">
        <w:rPr>
          <w:rFonts w:ascii="Garamond" w:hAnsi="Garamond"/>
          <w:spacing w:val="34"/>
          <w:sz w:val="20"/>
        </w:rPr>
        <w:t xml:space="preserve"> </w:t>
      </w:r>
      <w:r w:rsidRPr="00395593">
        <w:rPr>
          <w:rFonts w:ascii="Garamond" w:hAnsi="Garamond"/>
          <w:sz w:val="20"/>
        </w:rPr>
        <w:t>do</w:t>
      </w:r>
      <w:r w:rsidRPr="00395593">
        <w:rPr>
          <w:rFonts w:ascii="Garamond" w:hAnsi="Garamond"/>
          <w:spacing w:val="35"/>
          <w:sz w:val="20"/>
        </w:rPr>
        <w:t xml:space="preserve"> </w:t>
      </w:r>
      <w:r w:rsidRPr="00395593">
        <w:rPr>
          <w:rFonts w:ascii="Garamond" w:hAnsi="Garamond"/>
          <w:sz w:val="20"/>
        </w:rPr>
        <w:t>direito</w:t>
      </w:r>
      <w:r w:rsidRPr="00395593">
        <w:rPr>
          <w:rFonts w:ascii="Garamond" w:hAnsi="Garamond"/>
          <w:spacing w:val="33"/>
          <w:sz w:val="20"/>
        </w:rPr>
        <w:t xml:space="preserve"> </w:t>
      </w:r>
      <w:r w:rsidRPr="00395593">
        <w:rPr>
          <w:rFonts w:ascii="Garamond" w:hAnsi="Garamond"/>
          <w:sz w:val="20"/>
        </w:rPr>
        <w:t>anti-</w:t>
      </w:r>
      <w:r w:rsidRPr="00395593">
        <w:rPr>
          <w:rFonts w:ascii="Garamond" w:hAnsi="Garamond"/>
          <w:i/>
          <w:sz w:val="20"/>
        </w:rPr>
        <w:t>dumping</w:t>
      </w:r>
      <w:r w:rsidRPr="00395593">
        <w:rPr>
          <w:rFonts w:ascii="Garamond" w:hAnsi="Garamond"/>
          <w:i/>
          <w:spacing w:val="36"/>
          <w:sz w:val="20"/>
        </w:rPr>
        <w:t xml:space="preserve"> </w:t>
      </w:r>
      <w:r w:rsidRPr="00395593">
        <w:rPr>
          <w:rFonts w:ascii="Garamond" w:hAnsi="Garamond"/>
          <w:sz w:val="20"/>
        </w:rPr>
        <w:t>a</w:t>
      </w:r>
      <w:r w:rsidRPr="00395593">
        <w:rPr>
          <w:rFonts w:ascii="Garamond" w:hAnsi="Garamond"/>
          <w:spacing w:val="32"/>
          <w:sz w:val="20"/>
        </w:rPr>
        <w:t xml:space="preserve"> </w:t>
      </w:r>
      <w:r w:rsidRPr="00395593">
        <w:rPr>
          <w:rFonts w:ascii="Garamond" w:hAnsi="Garamond"/>
          <w:sz w:val="20"/>
        </w:rPr>
        <w:t>que</w:t>
      </w:r>
      <w:r w:rsidRPr="00395593">
        <w:rPr>
          <w:rFonts w:ascii="Garamond" w:hAnsi="Garamond"/>
          <w:spacing w:val="34"/>
          <w:sz w:val="20"/>
        </w:rPr>
        <w:t xml:space="preserve"> </w:t>
      </w:r>
      <w:r w:rsidRPr="00395593">
        <w:rPr>
          <w:rFonts w:ascii="Garamond" w:hAnsi="Garamond"/>
          <w:sz w:val="20"/>
        </w:rPr>
        <w:t>se</w:t>
      </w:r>
      <w:r w:rsidRPr="00395593">
        <w:rPr>
          <w:rFonts w:ascii="Garamond" w:hAnsi="Garamond"/>
          <w:spacing w:val="34"/>
          <w:sz w:val="20"/>
        </w:rPr>
        <w:t xml:space="preserve"> </w:t>
      </w:r>
      <w:r w:rsidRPr="00395593">
        <w:rPr>
          <w:rFonts w:ascii="Garamond" w:hAnsi="Garamond"/>
          <w:sz w:val="20"/>
        </w:rPr>
        <w:t>refere</w:t>
      </w:r>
      <w:r w:rsidRPr="00395593">
        <w:rPr>
          <w:rFonts w:ascii="Garamond" w:hAnsi="Garamond"/>
          <w:spacing w:val="32"/>
          <w:sz w:val="20"/>
        </w:rPr>
        <w:t xml:space="preserve"> </w:t>
      </w:r>
      <w:r w:rsidRPr="00395593">
        <w:rPr>
          <w:rFonts w:ascii="Garamond" w:hAnsi="Garamond"/>
          <w:sz w:val="20"/>
        </w:rPr>
        <w:t>o</w:t>
      </w:r>
      <w:r w:rsidRPr="00395593">
        <w:rPr>
          <w:rFonts w:ascii="Garamond" w:hAnsi="Garamond"/>
          <w:spacing w:val="-47"/>
          <w:sz w:val="20"/>
        </w:rPr>
        <w:t xml:space="preserve"> </w:t>
      </w:r>
      <w:r w:rsidRPr="00395593">
        <w:rPr>
          <w:rFonts w:ascii="Garamond" w:hAnsi="Garamond"/>
          <w:sz w:val="20"/>
        </w:rPr>
        <w:t>parágrafo 3 do</w:t>
      </w:r>
      <w:r w:rsidRPr="00395593">
        <w:rPr>
          <w:rFonts w:ascii="Garamond" w:hAnsi="Garamond"/>
          <w:spacing w:val="1"/>
          <w:sz w:val="20"/>
        </w:rPr>
        <w:t xml:space="preserve"> </w:t>
      </w:r>
      <w:r w:rsidRPr="00395593">
        <w:rPr>
          <w:rFonts w:ascii="Garamond" w:hAnsi="Garamond"/>
          <w:sz w:val="20"/>
        </w:rPr>
        <w:t>artigo 9</w:t>
      </w:r>
      <w:r w:rsidRPr="00395593">
        <w:rPr>
          <w:rFonts w:ascii="Garamond" w:hAnsi="Garamond"/>
          <w:spacing w:val="1"/>
          <w:sz w:val="20"/>
        </w:rPr>
        <w:t xml:space="preserve"> </w:t>
      </w:r>
      <w:r w:rsidRPr="00395593">
        <w:rPr>
          <w:rFonts w:ascii="Garamond" w:hAnsi="Garamond"/>
          <w:sz w:val="20"/>
        </w:rPr>
        <w:t>não constitui</w:t>
      </w:r>
      <w:r w:rsidRPr="00395593">
        <w:rPr>
          <w:rFonts w:ascii="Garamond" w:hAnsi="Garamond"/>
          <w:spacing w:val="-1"/>
          <w:sz w:val="20"/>
        </w:rPr>
        <w:t xml:space="preserve"> </w:t>
      </w:r>
      <w:r w:rsidRPr="00395593">
        <w:rPr>
          <w:rFonts w:ascii="Garamond" w:hAnsi="Garamond"/>
          <w:sz w:val="20"/>
        </w:rPr>
        <w:t>exame</w:t>
      </w:r>
      <w:r w:rsidRPr="00395593">
        <w:rPr>
          <w:rFonts w:ascii="Garamond" w:hAnsi="Garamond"/>
          <w:spacing w:val="-1"/>
          <w:sz w:val="20"/>
        </w:rPr>
        <w:t xml:space="preserve"> </w:t>
      </w:r>
      <w:r w:rsidRPr="00395593">
        <w:rPr>
          <w:rFonts w:ascii="Garamond" w:hAnsi="Garamond"/>
          <w:sz w:val="20"/>
        </w:rPr>
        <w:t>no sentido</w:t>
      </w:r>
      <w:r w:rsidRPr="00395593">
        <w:rPr>
          <w:rFonts w:ascii="Garamond" w:hAnsi="Garamond"/>
          <w:spacing w:val="1"/>
          <w:sz w:val="20"/>
        </w:rPr>
        <w:t xml:space="preserve"> </w:t>
      </w:r>
      <w:r w:rsidRPr="00395593">
        <w:rPr>
          <w:rFonts w:ascii="Garamond" w:hAnsi="Garamond"/>
          <w:sz w:val="20"/>
        </w:rPr>
        <w:t>do presente</w:t>
      </w:r>
      <w:r w:rsidRPr="00395593">
        <w:rPr>
          <w:rFonts w:ascii="Garamond" w:hAnsi="Garamond"/>
          <w:spacing w:val="2"/>
          <w:sz w:val="20"/>
        </w:rPr>
        <w:t xml:space="preserve"> </w:t>
      </w:r>
      <w:r w:rsidRPr="00395593">
        <w:rPr>
          <w:rFonts w:ascii="Garamond" w:hAnsi="Garamond"/>
          <w:sz w:val="20"/>
        </w:rPr>
        <w:t>Artigo.</w:t>
      </w:r>
    </w:p>
    <w:p w14:paraId="5D558D56" w14:textId="77777777" w:rsidR="0013285C" w:rsidRPr="00395593" w:rsidRDefault="0013285C" w:rsidP="0013285C">
      <w:pPr>
        <w:rPr>
          <w:rFonts w:ascii="Garamond" w:hAnsi="Garamond"/>
          <w:sz w:val="20"/>
        </w:rPr>
        <w:sectPr w:rsidR="0013285C" w:rsidRPr="00395593" w:rsidSect="00E15FBB">
          <w:pgSz w:w="12240" w:h="15840"/>
          <w:pgMar w:top="1418" w:right="1580" w:bottom="280" w:left="1418" w:header="720" w:footer="720" w:gutter="0"/>
          <w:cols w:space="720"/>
        </w:sectPr>
      </w:pPr>
    </w:p>
    <w:p w14:paraId="361C00B9" w14:textId="77777777" w:rsidR="0013285C" w:rsidRPr="00395593" w:rsidRDefault="0013285C" w:rsidP="0013285C">
      <w:pPr>
        <w:pStyle w:val="Corpodetexto"/>
        <w:spacing w:before="68"/>
        <w:ind w:left="102" w:right="120"/>
        <w:jc w:val="both"/>
        <w:rPr>
          <w:rFonts w:ascii="Garamond" w:hAnsi="Garamond"/>
        </w:rPr>
      </w:pPr>
      <w:r w:rsidRPr="00395593">
        <w:rPr>
          <w:rFonts w:ascii="Garamond" w:hAnsi="Garamond"/>
        </w:rPr>
        <w:t>determinem, em revisão iniciada em data anterior aquela, quer por sua própria iniciativa,</w:t>
      </w:r>
      <w:r w:rsidRPr="00395593">
        <w:rPr>
          <w:rFonts w:ascii="Garamond" w:hAnsi="Garamond"/>
          <w:spacing w:val="1"/>
        </w:rPr>
        <w:t xml:space="preserve"> </w:t>
      </w:r>
      <w:r w:rsidRPr="00395593">
        <w:rPr>
          <w:rFonts w:ascii="Garamond" w:hAnsi="Garamond"/>
        </w:rPr>
        <w:t>quer</w:t>
      </w:r>
      <w:r w:rsidRPr="00395593">
        <w:rPr>
          <w:rFonts w:ascii="Garamond" w:hAnsi="Garamond"/>
          <w:spacing w:val="23"/>
        </w:rPr>
        <w:t xml:space="preserve"> </w:t>
      </w:r>
      <w:r w:rsidRPr="00395593">
        <w:rPr>
          <w:rFonts w:ascii="Garamond" w:hAnsi="Garamond"/>
        </w:rPr>
        <w:t>em</w:t>
      </w:r>
      <w:r w:rsidRPr="00395593">
        <w:rPr>
          <w:rFonts w:ascii="Garamond" w:hAnsi="Garamond"/>
          <w:spacing w:val="25"/>
        </w:rPr>
        <w:t xml:space="preserve"> </w:t>
      </w:r>
      <w:r w:rsidRPr="00395593">
        <w:rPr>
          <w:rFonts w:ascii="Garamond" w:hAnsi="Garamond"/>
        </w:rPr>
        <w:t>resposta</w:t>
      </w:r>
      <w:r w:rsidRPr="00395593">
        <w:rPr>
          <w:rFonts w:ascii="Garamond" w:hAnsi="Garamond"/>
          <w:spacing w:val="24"/>
        </w:rPr>
        <w:t xml:space="preserve"> </w:t>
      </w:r>
      <w:r w:rsidRPr="00395593">
        <w:rPr>
          <w:rFonts w:ascii="Garamond" w:hAnsi="Garamond"/>
        </w:rPr>
        <w:t>a</w:t>
      </w:r>
      <w:r w:rsidRPr="00395593">
        <w:rPr>
          <w:rFonts w:ascii="Garamond" w:hAnsi="Garamond"/>
          <w:spacing w:val="24"/>
        </w:rPr>
        <w:t xml:space="preserve"> </w:t>
      </w:r>
      <w:r w:rsidRPr="00395593">
        <w:rPr>
          <w:rFonts w:ascii="Garamond" w:hAnsi="Garamond"/>
        </w:rPr>
        <w:t>requerimento</w:t>
      </w:r>
      <w:r w:rsidRPr="00395593">
        <w:rPr>
          <w:rFonts w:ascii="Garamond" w:hAnsi="Garamond"/>
          <w:spacing w:val="25"/>
        </w:rPr>
        <w:t xml:space="preserve"> </w:t>
      </w:r>
      <w:r w:rsidRPr="00395593">
        <w:rPr>
          <w:rFonts w:ascii="Garamond" w:hAnsi="Garamond"/>
        </w:rPr>
        <w:t>devidamente</w:t>
      </w:r>
      <w:r w:rsidRPr="00395593">
        <w:rPr>
          <w:rFonts w:ascii="Garamond" w:hAnsi="Garamond"/>
          <w:spacing w:val="24"/>
        </w:rPr>
        <w:t xml:space="preserve"> </w:t>
      </w:r>
      <w:r w:rsidRPr="00395593">
        <w:rPr>
          <w:rFonts w:ascii="Garamond" w:hAnsi="Garamond"/>
        </w:rPr>
        <w:t>fundamentado</w:t>
      </w:r>
      <w:r w:rsidRPr="00395593">
        <w:rPr>
          <w:rFonts w:ascii="Garamond" w:hAnsi="Garamond"/>
          <w:spacing w:val="25"/>
        </w:rPr>
        <w:t xml:space="preserve"> </w:t>
      </w:r>
      <w:r w:rsidRPr="00395593">
        <w:rPr>
          <w:rFonts w:ascii="Garamond" w:hAnsi="Garamond"/>
        </w:rPr>
        <w:t>feito</w:t>
      </w:r>
      <w:r w:rsidRPr="00395593">
        <w:rPr>
          <w:rFonts w:ascii="Garamond" w:hAnsi="Garamond"/>
          <w:spacing w:val="25"/>
        </w:rPr>
        <w:t xml:space="preserve"> </w:t>
      </w:r>
      <w:r w:rsidRPr="00395593">
        <w:rPr>
          <w:rFonts w:ascii="Garamond" w:hAnsi="Garamond"/>
        </w:rPr>
        <w:t>pela</w:t>
      </w:r>
      <w:r w:rsidRPr="00395593">
        <w:rPr>
          <w:rFonts w:ascii="Garamond" w:hAnsi="Garamond"/>
          <w:spacing w:val="24"/>
        </w:rPr>
        <w:t xml:space="preserve"> </w:t>
      </w:r>
      <w:r w:rsidRPr="00395593">
        <w:rPr>
          <w:rFonts w:ascii="Garamond" w:hAnsi="Garamond"/>
        </w:rPr>
        <w:t>indústria</w:t>
      </w:r>
      <w:r w:rsidRPr="00395593">
        <w:rPr>
          <w:rFonts w:ascii="Garamond" w:hAnsi="Garamond"/>
          <w:spacing w:val="24"/>
        </w:rPr>
        <w:t xml:space="preserve"> </w:t>
      </w:r>
      <w:r w:rsidRPr="00395593">
        <w:rPr>
          <w:rFonts w:ascii="Garamond" w:hAnsi="Garamond"/>
        </w:rPr>
        <w:t>nacional</w:t>
      </w:r>
      <w:r w:rsidRPr="00395593">
        <w:rPr>
          <w:rFonts w:ascii="Garamond" w:hAnsi="Garamond"/>
          <w:spacing w:val="-58"/>
        </w:rPr>
        <w:t xml:space="preserve"> </w:t>
      </w:r>
      <w:r w:rsidRPr="00395593">
        <w:rPr>
          <w:rFonts w:ascii="Garamond" w:hAnsi="Garamond"/>
        </w:rPr>
        <w:t>ou em seu nome que tenha sido apresentado dentro de prazo razoavelmente anterior àquela</w:t>
      </w:r>
      <w:r w:rsidRPr="00395593">
        <w:rPr>
          <w:rFonts w:ascii="Garamond" w:hAnsi="Garamond"/>
          <w:spacing w:val="1"/>
        </w:rPr>
        <w:t xml:space="preserve"> </w:t>
      </w:r>
      <w:r w:rsidRPr="00395593">
        <w:rPr>
          <w:rFonts w:ascii="Garamond" w:hAnsi="Garamond"/>
        </w:rPr>
        <w:t>data, que a extinção dos direitos levaria muito provavelmente à continuação ou retomada do</w:t>
      </w:r>
      <w:r w:rsidRPr="00395593">
        <w:rPr>
          <w:rFonts w:ascii="Garamond" w:hAnsi="Garamond"/>
          <w:spacing w:val="-58"/>
        </w:rPr>
        <w:t xml:space="preserve"> </w:t>
      </w:r>
      <w:r w:rsidRPr="00395593">
        <w:rPr>
          <w:rFonts w:ascii="Garamond" w:hAnsi="Garamond"/>
          <w:i/>
        </w:rPr>
        <w:t xml:space="preserve">dumping </w:t>
      </w:r>
      <w:r w:rsidRPr="00395593">
        <w:rPr>
          <w:rFonts w:ascii="Garamond" w:hAnsi="Garamond"/>
        </w:rPr>
        <w:t xml:space="preserve">e do dano </w:t>
      </w:r>
      <w:r w:rsidRPr="00395593">
        <w:rPr>
          <w:rFonts w:ascii="Garamond" w:hAnsi="Garamond"/>
          <w:vertAlign w:val="superscript"/>
        </w:rPr>
        <w:t>22</w:t>
      </w:r>
      <w:r w:rsidRPr="00395593">
        <w:rPr>
          <w:rFonts w:ascii="Garamond" w:hAnsi="Garamond"/>
        </w:rPr>
        <w:t>. O direito poderá manter-se em vigor enquanto se espera o resultado</w:t>
      </w:r>
      <w:r w:rsidRPr="00395593">
        <w:rPr>
          <w:rFonts w:ascii="Garamond" w:hAnsi="Garamond"/>
          <w:spacing w:val="1"/>
        </w:rPr>
        <w:t xml:space="preserve"> </w:t>
      </w:r>
      <w:r w:rsidRPr="00395593">
        <w:rPr>
          <w:rFonts w:ascii="Garamond" w:hAnsi="Garamond"/>
        </w:rPr>
        <w:t>do exame.</w:t>
      </w:r>
    </w:p>
    <w:p w14:paraId="6B5482EF" w14:textId="77777777" w:rsidR="0013285C" w:rsidRPr="00395593" w:rsidRDefault="0013285C" w:rsidP="0013285C">
      <w:pPr>
        <w:pStyle w:val="Corpodetexto"/>
        <w:rPr>
          <w:rFonts w:ascii="Garamond" w:hAnsi="Garamond"/>
        </w:rPr>
      </w:pPr>
    </w:p>
    <w:p w14:paraId="243000D7" w14:textId="77777777" w:rsidR="0013285C" w:rsidRPr="00395593" w:rsidRDefault="0013285C" w:rsidP="002C4340">
      <w:pPr>
        <w:pStyle w:val="PargrafodaLista"/>
        <w:widowControl w:val="0"/>
        <w:numPr>
          <w:ilvl w:val="0"/>
          <w:numId w:val="12"/>
        </w:numPr>
        <w:tabs>
          <w:tab w:val="left" w:pos="810"/>
        </w:tabs>
        <w:autoSpaceDE w:val="0"/>
        <w:autoSpaceDN w:val="0"/>
        <w:spacing w:after="0" w:line="240" w:lineRule="auto"/>
        <w:ind w:right="114" w:firstLine="0"/>
        <w:contextualSpacing w:val="0"/>
        <w:jc w:val="both"/>
        <w:rPr>
          <w:rFonts w:ascii="Garamond" w:hAnsi="Garamond"/>
          <w:sz w:val="24"/>
        </w:rPr>
      </w:pPr>
      <w:r w:rsidRPr="00395593">
        <w:rPr>
          <w:rFonts w:ascii="Garamond" w:hAnsi="Garamond"/>
          <w:sz w:val="24"/>
        </w:rPr>
        <w:t>O disposto no Artigo 6, relativamente às provas e aos procedimentos, aplicar-se-á a</w:t>
      </w:r>
      <w:r w:rsidRPr="00395593">
        <w:rPr>
          <w:rFonts w:ascii="Garamond" w:hAnsi="Garamond"/>
          <w:spacing w:val="1"/>
          <w:sz w:val="24"/>
        </w:rPr>
        <w:t xml:space="preserve"> </w:t>
      </w:r>
      <w:r w:rsidRPr="00395593">
        <w:rPr>
          <w:rFonts w:ascii="Garamond" w:hAnsi="Garamond"/>
          <w:sz w:val="24"/>
        </w:rPr>
        <w:t>toda e qualquer revisão efetuada sob a égide deste Artigo. Tal revisão será efetuada de</w:t>
      </w:r>
      <w:r w:rsidRPr="00395593">
        <w:rPr>
          <w:rFonts w:ascii="Garamond" w:hAnsi="Garamond"/>
          <w:spacing w:val="1"/>
          <w:sz w:val="24"/>
        </w:rPr>
        <w:t xml:space="preserve"> </w:t>
      </w:r>
      <w:r w:rsidRPr="00395593">
        <w:rPr>
          <w:rFonts w:ascii="Garamond" w:hAnsi="Garamond"/>
          <w:sz w:val="24"/>
        </w:rPr>
        <w:t>maneira expedita e deverá ser normalmente concluída dentro de 12 meses contados a partir</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2"/>
          <w:sz w:val="24"/>
        </w:rPr>
        <w:t xml:space="preserve"> </w:t>
      </w:r>
      <w:r w:rsidRPr="00395593">
        <w:rPr>
          <w:rFonts w:ascii="Garamond" w:hAnsi="Garamond"/>
          <w:sz w:val="24"/>
        </w:rPr>
        <w:t>seu início.</w:t>
      </w:r>
    </w:p>
    <w:p w14:paraId="609CEEE0" w14:textId="77777777" w:rsidR="0013285C" w:rsidRPr="00395593" w:rsidRDefault="0013285C" w:rsidP="0013285C">
      <w:pPr>
        <w:pStyle w:val="Corpodetexto"/>
        <w:rPr>
          <w:rFonts w:ascii="Garamond" w:hAnsi="Garamond"/>
        </w:rPr>
      </w:pPr>
    </w:p>
    <w:p w14:paraId="7F84FF1B" w14:textId="77777777" w:rsidR="0013285C" w:rsidRPr="00395593" w:rsidRDefault="0013285C" w:rsidP="002C4340">
      <w:pPr>
        <w:pStyle w:val="PargrafodaLista"/>
        <w:widowControl w:val="0"/>
        <w:numPr>
          <w:ilvl w:val="0"/>
          <w:numId w:val="12"/>
        </w:numPr>
        <w:tabs>
          <w:tab w:val="left" w:pos="810"/>
        </w:tabs>
        <w:autoSpaceDE w:val="0"/>
        <w:autoSpaceDN w:val="0"/>
        <w:spacing w:after="0" w:line="240" w:lineRule="auto"/>
        <w:ind w:right="116" w:firstLine="0"/>
        <w:contextualSpacing w:val="0"/>
        <w:jc w:val="both"/>
        <w:rPr>
          <w:rFonts w:ascii="Garamond" w:hAnsi="Garamond"/>
          <w:sz w:val="24"/>
        </w:rPr>
      </w:pPr>
      <w:r w:rsidRPr="00395593">
        <w:rPr>
          <w:rFonts w:ascii="Garamond" w:hAnsi="Garamond"/>
          <w:sz w:val="24"/>
        </w:rPr>
        <w:t xml:space="preserve">O disposto neste Artigo deverá aplicar-se, </w:t>
      </w:r>
      <w:r w:rsidRPr="00395593">
        <w:rPr>
          <w:rFonts w:ascii="Garamond" w:hAnsi="Garamond"/>
          <w:i/>
          <w:sz w:val="24"/>
        </w:rPr>
        <w:t>mutatis mutandis</w:t>
      </w:r>
      <w:r w:rsidRPr="00395593">
        <w:rPr>
          <w:rFonts w:ascii="Garamond" w:hAnsi="Garamond"/>
          <w:sz w:val="24"/>
        </w:rPr>
        <w:t>, aos compromissos de</w:t>
      </w:r>
      <w:r w:rsidRPr="00395593">
        <w:rPr>
          <w:rFonts w:ascii="Garamond" w:hAnsi="Garamond"/>
          <w:spacing w:val="1"/>
          <w:sz w:val="24"/>
        </w:rPr>
        <w:t xml:space="preserve"> </w:t>
      </w:r>
      <w:r w:rsidRPr="00395593">
        <w:rPr>
          <w:rFonts w:ascii="Garamond" w:hAnsi="Garamond"/>
          <w:sz w:val="24"/>
        </w:rPr>
        <w:t>prego</w:t>
      </w:r>
      <w:r w:rsidRPr="00395593">
        <w:rPr>
          <w:rFonts w:ascii="Garamond" w:hAnsi="Garamond"/>
          <w:spacing w:val="-1"/>
          <w:sz w:val="24"/>
        </w:rPr>
        <w:t xml:space="preserve"> </w:t>
      </w:r>
      <w:r w:rsidRPr="00395593">
        <w:rPr>
          <w:rFonts w:ascii="Garamond" w:hAnsi="Garamond"/>
          <w:sz w:val="24"/>
        </w:rPr>
        <w:t>aceitos sob o disposto no Artigo 8.</w:t>
      </w:r>
    </w:p>
    <w:p w14:paraId="2C3BB90E" w14:textId="77777777" w:rsidR="0013285C" w:rsidRPr="00395593" w:rsidRDefault="0013285C" w:rsidP="0013285C">
      <w:pPr>
        <w:pStyle w:val="Corpodetexto"/>
        <w:spacing w:before="1"/>
        <w:rPr>
          <w:rFonts w:ascii="Garamond" w:hAnsi="Garamond"/>
        </w:rPr>
      </w:pPr>
    </w:p>
    <w:p w14:paraId="0A370683" w14:textId="77777777" w:rsidR="0013285C" w:rsidRPr="00395593" w:rsidRDefault="0013285C" w:rsidP="0013285C">
      <w:pPr>
        <w:pStyle w:val="Corpodetexto"/>
        <w:ind w:left="176" w:right="194"/>
        <w:jc w:val="center"/>
        <w:rPr>
          <w:rFonts w:ascii="Garamond" w:hAnsi="Garamond"/>
          <w:b/>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12</w:t>
      </w:r>
    </w:p>
    <w:p w14:paraId="7C017A72" w14:textId="77777777" w:rsidR="0013285C" w:rsidRPr="00395593" w:rsidRDefault="0013285C" w:rsidP="0013285C">
      <w:pPr>
        <w:pStyle w:val="Corpodetexto"/>
        <w:rPr>
          <w:rFonts w:ascii="Garamond" w:hAnsi="Garamond"/>
          <w:b/>
        </w:rPr>
      </w:pPr>
    </w:p>
    <w:p w14:paraId="5FC363B8" w14:textId="77777777" w:rsidR="0013285C" w:rsidRPr="00395593" w:rsidRDefault="0013285C" w:rsidP="0013285C">
      <w:pPr>
        <w:pStyle w:val="Corpodetexto"/>
        <w:ind w:left="176" w:right="196"/>
        <w:jc w:val="center"/>
        <w:rPr>
          <w:rFonts w:ascii="Garamond" w:hAnsi="Garamond"/>
          <w:b/>
        </w:rPr>
      </w:pPr>
      <w:r w:rsidRPr="00395593">
        <w:rPr>
          <w:rFonts w:ascii="Garamond" w:hAnsi="Garamond"/>
          <w:b/>
        </w:rPr>
        <w:t>Aviso</w:t>
      </w:r>
      <w:r w:rsidRPr="00395593">
        <w:rPr>
          <w:rFonts w:ascii="Garamond" w:hAnsi="Garamond"/>
          <w:b/>
          <w:spacing w:val="-1"/>
        </w:rPr>
        <w:t xml:space="preserve"> </w:t>
      </w:r>
      <w:r w:rsidRPr="00395593">
        <w:rPr>
          <w:rFonts w:ascii="Garamond" w:hAnsi="Garamond"/>
          <w:b/>
        </w:rPr>
        <w:t>Público</w:t>
      </w:r>
      <w:r w:rsidRPr="00395593">
        <w:rPr>
          <w:rFonts w:ascii="Garamond" w:hAnsi="Garamond"/>
          <w:b/>
          <w:spacing w:val="-1"/>
        </w:rPr>
        <w:t xml:space="preserve"> </w:t>
      </w:r>
      <w:r w:rsidRPr="00395593">
        <w:rPr>
          <w:rFonts w:ascii="Garamond" w:hAnsi="Garamond"/>
          <w:b/>
        </w:rPr>
        <w:t>e</w:t>
      </w:r>
      <w:r w:rsidRPr="00395593">
        <w:rPr>
          <w:rFonts w:ascii="Garamond" w:hAnsi="Garamond"/>
          <w:b/>
          <w:spacing w:val="-2"/>
        </w:rPr>
        <w:t xml:space="preserve"> </w:t>
      </w:r>
      <w:r w:rsidRPr="00395593">
        <w:rPr>
          <w:rFonts w:ascii="Garamond" w:hAnsi="Garamond"/>
          <w:b/>
        </w:rPr>
        <w:t>Explicação</w:t>
      </w:r>
      <w:r w:rsidRPr="00395593">
        <w:rPr>
          <w:rFonts w:ascii="Garamond" w:hAnsi="Garamond"/>
          <w:b/>
          <w:spacing w:val="-1"/>
        </w:rPr>
        <w:t xml:space="preserve"> </w:t>
      </w:r>
      <w:r w:rsidRPr="00395593">
        <w:rPr>
          <w:rFonts w:ascii="Garamond" w:hAnsi="Garamond"/>
          <w:b/>
        </w:rPr>
        <w:t>das</w:t>
      </w:r>
      <w:r w:rsidRPr="00395593">
        <w:rPr>
          <w:rFonts w:ascii="Garamond" w:hAnsi="Garamond"/>
          <w:b/>
          <w:spacing w:val="-1"/>
        </w:rPr>
        <w:t xml:space="preserve"> </w:t>
      </w:r>
      <w:r w:rsidRPr="00395593">
        <w:rPr>
          <w:rFonts w:ascii="Garamond" w:hAnsi="Garamond"/>
          <w:b/>
        </w:rPr>
        <w:t>Determinações</w:t>
      </w:r>
    </w:p>
    <w:p w14:paraId="65D570DE" w14:textId="77777777" w:rsidR="0013285C" w:rsidRPr="00395593" w:rsidRDefault="0013285C" w:rsidP="0013285C">
      <w:pPr>
        <w:pStyle w:val="Corpodetexto"/>
        <w:rPr>
          <w:rFonts w:ascii="Garamond" w:hAnsi="Garamond"/>
        </w:rPr>
      </w:pPr>
    </w:p>
    <w:p w14:paraId="4857EB7C" w14:textId="77777777" w:rsidR="0013285C" w:rsidRPr="00395593" w:rsidRDefault="0013285C" w:rsidP="002C4340">
      <w:pPr>
        <w:pStyle w:val="PargrafodaLista"/>
        <w:widowControl w:val="0"/>
        <w:numPr>
          <w:ilvl w:val="0"/>
          <w:numId w:val="11"/>
        </w:numPr>
        <w:tabs>
          <w:tab w:val="left" w:pos="810"/>
        </w:tabs>
        <w:autoSpaceDE w:val="0"/>
        <w:autoSpaceDN w:val="0"/>
        <w:spacing w:after="0" w:line="240" w:lineRule="auto"/>
        <w:ind w:right="118" w:firstLine="0"/>
        <w:contextualSpacing w:val="0"/>
        <w:jc w:val="both"/>
        <w:rPr>
          <w:rFonts w:ascii="Garamond" w:hAnsi="Garamond"/>
          <w:sz w:val="24"/>
        </w:rPr>
      </w:pPr>
      <w:r w:rsidRPr="00395593">
        <w:rPr>
          <w:rFonts w:ascii="Garamond" w:hAnsi="Garamond"/>
          <w:sz w:val="24"/>
        </w:rPr>
        <w:t>Sempre que as autoridades estejam seguras de que há suficientes elementos para</w:t>
      </w:r>
      <w:r w:rsidRPr="00395593">
        <w:rPr>
          <w:rFonts w:ascii="Garamond" w:hAnsi="Garamond"/>
          <w:spacing w:val="1"/>
          <w:sz w:val="24"/>
        </w:rPr>
        <w:t xml:space="preserve"> </w:t>
      </w:r>
      <w:r w:rsidRPr="00395593">
        <w:rPr>
          <w:rFonts w:ascii="Garamond" w:hAnsi="Garamond"/>
          <w:sz w:val="24"/>
        </w:rPr>
        <w:t xml:space="preserve">justificar o início de uma investigação </w:t>
      </w:r>
      <w:r w:rsidRPr="00395593">
        <w:rPr>
          <w:rFonts w:ascii="Garamond" w:hAnsi="Garamond"/>
          <w:i/>
          <w:sz w:val="24"/>
        </w:rPr>
        <w:t>anti</w:t>
      </w:r>
      <w:r w:rsidRPr="00395593">
        <w:rPr>
          <w:rFonts w:ascii="Garamond" w:hAnsi="Garamond"/>
          <w:sz w:val="24"/>
        </w:rPr>
        <w:t>-</w:t>
      </w:r>
      <w:r w:rsidRPr="00395593">
        <w:rPr>
          <w:rFonts w:ascii="Garamond" w:hAnsi="Garamond"/>
          <w:i/>
          <w:sz w:val="24"/>
        </w:rPr>
        <w:t>dumping</w:t>
      </w:r>
      <w:r w:rsidRPr="00395593">
        <w:rPr>
          <w:rFonts w:ascii="Garamond" w:hAnsi="Garamond"/>
          <w:i/>
          <w:spacing w:val="1"/>
          <w:sz w:val="24"/>
        </w:rPr>
        <w:t xml:space="preserve"> </w:t>
      </w:r>
      <w:r w:rsidRPr="00395593">
        <w:rPr>
          <w:rFonts w:ascii="Garamond" w:hAnsi="Garamond"/>
          <w:sz w:val="24"/>
        </w:rPr>
        <w:t>de acordo com o disposto no Artigo 5,</w:t>
      </w:r>
      <w:r w:rsidRPr="00395593">
        <w:rPr>
          <w:rFonts w:ascii="Garamond" w:hAnsi="Garamond"/>
          <w:spacing w:val="-57"/>
          <w:sz w:val="24"/>
        </w:rPr>
        <w:t xml:space="preserve"> </w:t>
      </w:r>
      <w:r w:rsidRPr="00395593">
        <w:rPr>
          <w:rFonts w:ascii="Garamond" w:hAnsi="Garamond"/>
          <w:sz w:val="24"/>
        </w:rPr>
        <w:t>serão</w:t>
      </w:r>
      <w:r w:rsidRPr="00395593">
        <w:rPr>
          <w:rFonts w:ascii="Garamond" w:hAnsi="Garamond"/>
          <w:spacing w:val="1"/>
          <w:sz w:val="24"/>
        </w:rPr>
        <w:t xml:space="preserve"> </w:t>
      </w:r>
      <w:r w:rsidRPr="00395593">
        <w:rPr>
          <w:rFonts w:ascii="Garamond" w:hAnsi="Garamond"/>
          <w:sz w:val="24"/>
        </w:rPr>
        <w:t>notificados</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Membro</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Membros</w:t>
      </w:r>
      <w:r w:rsidRPr="00395593">
        <w:rPr>
          <w:rFonts w:ascii="Garamond" w:hAnsi="Garamond"/>
          <w:spacing w:val="1"/>
          <w:sz w:val="24"/>
        </w:rPr>
        <w:t xml:space="preserve"> </w:t>
      </w:r>
      <w:r w:rsidRPr="00395593">
        <w:rPr>
          <w:rFonts w:ascii="Garamond" w:hAnsi="Garamond"/>
          <w:sz w:val="24"/>
        </w:rPr>
        <w:t>cujos</w:t>
      </w:r>
      <w:r w:rsidRPr="00395593">
        <w:rPr>
          <w:rFonts w:ascii="Garamond" w:hAnsi="Garamond"/>
          <w:spacing w:val="1"/>
          <w:sz w:val="24"/>
        </w:rPr>
        <w:t xml:space="preserve"> </w:t>
      </w:r>
      <w:r w:rsidRPr="00395593">
        <w:rPr>
          <w:rFonts w:ascii="Garamond" w:hAnsi="Garamond"/>
          <w:sz w:val="24"/>
        </w:rPr>
        <w:t>produtos</w:t>
      </w:r>
      <w:r w:rsidRPr="00395593">
        <w:rPr>
          <w:rFonts w:ascii="Garamond" w:hAnsi="Garamond"/>
          <w:spacing w:val="1"/>
          <w:sz w:val="24"/>
        </w:rPr>
        <w:t xml:space="preserve"> </w:t>
      </w:r>
      <w:r w:rsidRPr="00395593">
        <w:rPr>
          <w:rFonts w:ascii="Garamond" w:hAnsi="Garamond"/>
          <w:sz w:val="24"/>
        </w:rPr>
        <w:t>serão</w:t>
      </w:r>
      <w:r w:rsidRPr="00395593">
        <w:rPr>
          <w:rFonts w:ascii="Garamond" w:hAnsi="Garamond"/>
          <w:spacing w:val="1"/>
          <w:sz w:val="24"/>
        </w:rPr>
        <w:t xml:space="preserve"> </w:t>
      </w:r>
      <w:r w:rsidRPr="00395593">
        <w:rPr>
          <w:rFonts w:ascii="Garamond" w:hAnsi="Garamond"/>
          <w:sz w:val="24"/>
        </w:rPr>
        <w:t>objeto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60"/>
          <w:sz w:val="24"/>
        </w:rPr>
        <w:t xml:space="preserve"> </w:t>
      </w:r>
      <w:r w:rsidRPr="00395593">
        <w:rPr>
          <w:rFonts w:ascii="Garamond" w:hAnsi="Garamond"/>
          <w:sz w:val="24"/>
        </w:rPr>
        <w:t>tal</w:t>
      </w:r>
      <w:r w:rsidRPr="00395593">
        <w:rPr>
          <w:rFonts w:ascii="Garamond" w:hAnsi="Garamond"/>
          <w:spacing w:val="1"/>
          <w:sz w:val="24"/>
        </w:rPr>
        <w:t xml:space="preserve"> </w:t>
      </w:r>
      <w:r w:rsidRPr="00395593">
        <w:rPr>
          <w:rFonts w:ascii="Garamond" w:hAnsi="Garamond"/>
          <w:sz w:val="24"/>
        </w:rPr>
        <w:t>investigação, bem como aquelas partes cujo interesse na ação seja do conhecimento das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investigadores, e</w:t>
      </w:r>
      <w:r w:rsidRPr="00395593">
        <w:rPr>
          <w:rFonts w:ascii="Garamond" w:hAnsi="Garamond"/>
          <w:spacing w:val="-1"/>
          <w:sz w:val="24"/>
        </w:rPr>
        <w:t xml:space="preserve"> </w:t>
      </w:r>
      <w:r w:rsidRPr="00395593">
        <w:rPr>
          <w:rFonts w:ascii="Garamond" w:hAnsi="Garamond"/>
          <w:sz w:val="24"/>
        </w:rPr>
        <w:t>será</w:t>
      </w:r>
      <w:r w:rsidRPr="00395593">
        <w:rPr>
          <w:rFonts w:ascii="Garamond" w:hAnsi="Garamond"/>
          <w:spacing w:val="-1"/>
          <w:sz w:val="24"/>
        </w:rPr>
        <w:t xml:space="preserve"> </w:t>
      </w:r>
      <w:r w:rsidRPr="00395593">
        <w:rPr>
          <w:rFonts w:ascii="Garamond" w:hAnsi="Garamond"/>
          <w:sz w:val="24"/>
        </w:rPr>
        <w:t>publicado um</w:t>
      </w:r>
      <w:r w:rsidRPr="00395593">
        <w:rPr>
          <w:rFonts w:ascii="Garamond" w:hAnsi="Garamond"/>
          <w:spacing w:val="-1"/>
          <w:sz w:val="24"/>
        </w:rPr>
        <w:t xml:space="preserve"> </w:t>
      </w:r>
      <w:r w:rsidRPr="00395593">
        <w:rPr>
          <w:rFonts w:ascii="Garamond" w:hAnsi="Garamond"/>
          <w:sz w:val="24"/>
        </w:rPr>
        <w:t>aviso correspondente.</w:t>
      </w:r>
    </w:p>
    <w:p w14:paraId="6FF1D108" w14:textId="77777777" w:rsidR="0013285C" w:rsidRPr="00395593" w:rsidRDefault="0013285C" w:rsidP="0013285C">
      <w:pPr>
        <w:pStyle w:val="Corpodetexto"/>
        <w:rPr>
          <w:rFonts w:ascii="Garamond" w:hAnsi="Garamond"/>
        </w:rPr>
      </w:pPr>
    </w:p>
    <w:p w14:paraId="2AED09B5" w14:textId="77777777" w:rsidR="0013285C" w:rsidRPr="00395593" w:rsidRDefault="0013285C" w:rsidP="002C4340">
      <w:pPr>
        <w:pStyle w:val="PargrafodaLista"/>
        <w:widowControl w:val="0"/>
        <w:numPr>
          <w:ilvl w:val="0"/>
          <w:numId w:val="11"/>
        </w:numPr>
        <w:tabs>
          <w:tab w:val="left" w:pos="810"/>
        </w:tabs>
        <w:autoSpaceDE w:val="0"/>
        <w:autoSpaceDN w:val="0"/>
        <w:spacing w:after="0" w:line="240" w:lineRule="auto"/>
        <w:ind w:right="116" w:firstLine="0"/>
        <w:contextualSpacing w:val="0"/>
        <w:jc w:val="both"/>
        <w:rPr>
          <w:rFonts w:ascii="Garamond" w:hAnsi="Garamond"/>
          <w:sz w:val="24"/>
        </w:rPr>
      </w:pPr>
      <w:r w:rsidRPr="00395593">
        <w:rPr>
          <w:rFonts w:ascii="Garamond" w:hAnsi="Garamond"/>
          <w:sz w:val="24"/>
        </w:rPr>
        <w:t>O aviso público do início da investigação deverá conter ou, alternativamente tornar</w:t>
      </w:r>
      <w:r w:rsidRPr="00395593">
        <w:rPr>
          <w:rFonts w:ascii="Garamond" w:hAnsi="Garamond"/>
          <w:spacing w:val="1"/>
          <w:sz w:val="24"/>
        </w:rPr>
        <w:t xml:space="preserve"> </w:t>
      </w:r>
      <w:r w:rsidRPr="00395593">
        <w:rPr>
          <w:rFonts w:ascii="Garamond" w:hAnsi="Garamond"/>
          <w:sz w:val="24"/>
        </w:rPr>
        <w:t xml:space="preserve">acessível por melo de informe </w:t>
      </w:r>
      <w:r w:rsidRPr="00395593">
        <w:rPr>
          <w:rFonts w:ascii="Garamond" w:hAnsi="Garamond"/>
          <w:sz w:val="24"/>
          <w:vertAlign w:val="superscript"/>
        </w:rPr>
        <w:t>23</w:t>
      </w:r>
      <w:r w:rsidRPr="00395593">
        <w:rPr>
          <w:rFonts w:ascii="Garamond" w:hAnsi="Garamond"/>
          <w:sz w:val="24"/>
        </w:rPr>
        <w:t xml:space="preserve"> em separado, informação adequada sobre os seguintes</w:t>
      </w:r>
      <w:r w:rsidRPr="00395593">
        <w:rPr>
          <w:rFonts w:ascii="Garamond" w:hAnsi="Garamond"/>
          <w:spacing w:val="1"/>
          <w:sz w:val="24"/>
        </w:rPr>
        <w:t xml:space="preserve"> </w:t>
      </w:r>
      <w:r w:rsidRPr="00395593">
        <w:rPr>
          <w:rFonts w:ascii="Garamond" w:hAnsi="Garamond"/>
          <w:sz w:val="24"/>
        </w:rPr>
        <w:t>pontos:</w:t>
      </w:r>
    </w:p>
    <w:p w14:paraId="629A2A83" w14:textId="77777777" w:rsidR="0013285C" w:rsidRPr="00395593" w:rsidRDefault="0013285C" w:rsidP="0013285C">
      <w:pPr>
        <w:pStyle w:val="Corpodetexto"/>
        <w:spacing w:before="1"/>
        <w:rPr>
          <w:rFonts w:ascii="Garamond" w:hAnsi="Garamond"/>
        </w:rPr>
      </w:pPr>
    </w:p>
    <w:p w14:paraId="4F5DC18D" w14:textId="77777777" w:rsidR="0013285C" w:rsidRPr="00395593" w:rsidRDefault="0013285C" w:rsidP="002C4340">
      <w:pPr>
        <w:pStyle w:val="PargrafodaLista"/>
        <w:widowControl w:val="0"/>
        <w:numPr>
          <w:ilvl w:val="1"/>
          <w:numId w:val="11"/>
        </w:numPr>
        <w:tabs>
          <w:tab w:val="left" w:pos="1147"/>
        </w:tabs>
        <w:autoSpaceDE w:val="0"/>
        <w:autoSpaceDN w:val="0"/>
        <w:spacing w:after="0" w:line="240" w:lineRule="auto"/>
        <w:ind w:hanging="326"/>
        <w:contextualSpacing w:val="0"/>
        <w:rPr>
          <w:rFonts w:ascii="Garamond" w:hAnsi="Garamond"/>
          <w:sz w:val="24"/>
        </w:rPr>
      </w:pP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nome do</w:t>
      </w:r>
      <w:r w:rsidRPr="00395593">
        <w:rPr>
          <w:rFonts w:ascii="Garamond" w:hAnsi="Garamond"/>
          <w:spacing w:val="-1"/>
          <w:sz w:val="24"/>
        </w:rPr>
        <w:t xml:space="preserve"> </w:t>
      </w:r>
      <w:r w:rsidRPr="00395593">
        <w:rPr>
          <w:rFonts w:ascii="Garamond" w:hAnsi="Garamond"/>
          <w:sz w:val="24"/>
        </w:rPr>
        <w:t>país ou</w:t>
      </w:r>
      <w:r w:rsidRPr="00395593">
        <w:rPr>
          <w:rFonts w:ascii="Garamond" w:hAnsi="Garamond"/>
          <w:spacing w:val="-1"/>
          <w:sz w:val="24"/>
        </w:rPr>
        <w:t xml:space="preserve"> </w:t>
      </w:r>
      <w:r w:rsidRPr="00395593">
        <w:rPr>
          <w:rFonts w:ascii="Garamond" w:hAnsi="Garamond"/>
          <w:sz w:val="24"/>
        </w:rPr>
        <w:t>países exportadores e</w:t>
      </w:r>
      <w:r w:rsidRPr="00395593">
        <w:rPr>
          <w:rFonts w:ascii="Garamond" w:hAnsi="Garamond"/>
          <w:spacing w:val="-2"/>
          <w:sz w:val="24"/>
        </w:rPr>
        <w:t xml:space="preserve"> </w:t>
      </w:r>
      <w:r w:rsidRPr="00395593">
        <w:rPr>
          <w:rFonts w:ascii="Garamond" w:hAnsi="Garamond"/>
          <w:sz w:val="24"/>
        </w:rPr>
        <w:t>o produto</w:t>
      </w:r>
      <w:r w:rsidRPr="00395593">
        <w:rPr>
          <w:rFonts w:ascii="Garamond" w:hAnsi="Garamond"/>
          <w:spacing w:val="-1"/>
          <w:sz w:val="24"/>
        </w:rPr>
        <w:t xml:space="preserve"> </w:t>
      </w:r>
      <w:r w:rsidRPr="00395593">
        <w:rPr>
          <w:rFonts w:ascii="Garamond" w:hAnsi="Garamond"/>
          <w:sz w:val="24"/>
        </w:rPr>
        <w:t>em questão;</w:t>
      </w:r>
    </w:p>
    <w:p w14:paraId="5AD70F85" w14:textId="77777777" w:rsidR="0013285C" w:rsidRPr="00395593" w:rsidRDefault="0013285C" w:rsidP="0013285C">
      <w:pPr>
        <w:pStyle w:val="Corpodetexto"/>
        <w:rPr>
          <w:rFonts w:ascii="Garamond" w:hAnsi="Garamond"/>
        </w:rPr>
      </w:pPr>
    </w:p>
    <w:p w14:paraId="077B3E3B" w14:textId="77777777" w:rsidR="0013285C" w:rsidRPr="00395593" w:rsidRDefault="0013285C" w:rsidP="002C4340">
      <w:pPr>
        <w:pStyle w:val="PargrafodaLista"/>
        <w:widowControl w:val="0"/>
        <w:numPr>
          <w:ilvl w:val="1"/>
          <w:numId w:val="11"/>
        </w:numPr>
        <w:tabs>
          <w:tab w:val="left" w:pos="1161"/>
        </w:tabs>
        <w:autoSpaceDE w:val="0"/>
        <w:autoSpaceDN w:val="0"/>
        <w:spacing w:after="0" w:line="240" w:lineRule="auto"/>
        <w:ind w:left="1160" w:hanging="340"/>
        <w:contextualSpacing w:val="0"/>
        <w:rPr>
          <w:rFonts w:ascii="Garamond" w:hAnsi="Garamond"/>
          <w:sz w:val="24"/>
        </w:rPr>
      </w:pPr>
      <w:r w:rsidRPr="00395593">
        <w:rPr>
          <w:rFonts w:ascii="Garamond" w:hAnsi="Garamond"/>
          <w:sz w:val="24"/>
        </w:rPr>
        <w:t>a</w:t>
      </w:r>
      <w:r w:rsidRPr="00395593">
        <w:rPr>
          <w:rFonts w:ascii="Garamond" w:hAnsi="Garamond"/>
          <w:spacing w:val="-2"/>
          <w:sz w:val="24"/>
        </w:rPr>
        <w:t xml:space="preserve"> </w:t>
      </w:r>
      <w:r w:rsidRPr="00395593">
        <w:rPr>
          <w:rFonts w:ascii="Garamond" w:hAnsi="Garamond"/>
          <w:sz w:val="24"/>
        </w:rPr>
        <w:t>data</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início da</w:t>
      </w:r>
      <w:r w:rsidRPr="00395593">
        <w:rPr>
          <w:rFonts w:ascii="Garamond" w:hAnsi="Garamond"/>
          <w:spacing w:val="-1"/>
          <w:sz w:val="24"/>
        </w:rPr>
        <w:t xml:space="preserve"> </w:t>
      </w:r>
      <w:r w:rsidRPr="00395593">
        <w:rPr>
          <w:rFonts w:ascii="Garamond" w:hAnsi="Garamond"/>
          <w:sz w:val="24"/>
        </w:rPr>
        <w:t>investigação;</w:t>
      </w:r>
    </w:p>
    <w:p w14:paraId="1E0F19E7" w14:textId="77777777" w:rsidR="0013285C" w:rsidRPr="00395593" w:rsidRDefault="0013285C" w:rsidP="0013285C">
      <w:pPr>
        <w:pStyle w:val="Corpodetexto"/>
        <w:rPr>
          <w:rFonts w:ascii="Garamond" w:hAnsi="Garamond"/>
        </w:rPr>
      </w:pPr>
    </w:p>
    <w:p w14:paraId="44617CCC" w14:textId="77777777" w:rsidR="0013285C" w:rsidRPr="00395593" w:rsidRDefault="0013285C" w:rsidP="002C4340">
      <w:pPr>
        <w:pStyle w:val="PargrafodaLista"/>
        <w:widowControl w:val="0"/>
        <w:numPr>
          <w:ilvl w:val="1"/>
          <w:numId w:val="11"/>
        </w:numPr>
        <w:tabs>
          <w:tab w:val="left" w:pos="1147"/>
        </w:tabs>
        <w:autoSpaceDE w:val="0"/>
        <w:autoSpaceDN w:val="0"/>
        <w:spacing w:after="0" w:line="240" w:lineRule="auto"/>
        <w:ind w:hanging="326"/>
        <w:contextualSpacing w:val="0"/>
        <w:rPr>
          <w:rFonts w:ascii="Garamond" w:hAnsi="Garamond"/>
          <w:sz w:val="24"/>
        </w:rPr>
      </w:pPr>
      <w:r w:rsidRPr="00395593">
        <w:rPr>
          <w:rFonts w:ascii="Garamond" w:hAnsi="Garamond"/>
          <w:sz w:val="24"/>
        </w:rPr>
        <w:t>a</w:t>
      </w:r>
      <w:r w:rsidRPr="00395593">
        <w:rPr>
          <w:rFonts w:ascii="Garamond" w:hAnsi="Garamond"/>
          <w:spacing w:val="-3"/>
          <w:sz w:val="24"/>
        </w:rPr>
        <w:t xml:space="preserve"> </w:t>
      </w:r>
      <w:r w:rsidRPr="00395593">
        <w:rPr>
          <w:rFonts w:ascii="Garamond" w:hAnsi="Garamond"/>
          <w:sz w:val="24"/>
        </w:rPr>
        <w:t>base</w:t>
      </w:r>
      <w:r w:rsidRPr="00395593">
        <w:rPr>
          <w:rFonts w:ascii="Garamond" w:hAnsi="Garamond"/>
          <w:spacing w:val="-1"/>
          <w:sz w:val="24"/>
        </w:rPr>
        <w:t xml:space="preserve"> </w:t>
      </w:r>
      <w:r w:rsidRPr="00395593">
        <w:rPr>
          <w:rFonts w:ascii="Garamond" w:hAnsi="Garamond"/>
          <w:sz w:val="24"/>
        </w:rPr>
        <w:t>da alegação de</w:t>
      </w:r>
      <w:r w:rsidRPr="00395593">
        <w:rPr>
          <w:rFonts w:ascii="Garamond" w:hAnsi="Garamond"/>
          <w:spacing w:val="2"/>
          <w:sz w:val="24"/>
        </w:rPr>
        <w:t xml:space="preserve"> </w:t>
      </w:r>
      <w:r w:rsidRPr="00395593">
        <w:rPr>
          <w:rFonts w:ascii="Garamond" w:hAnsi="Garamond"/>
          <w:i/>
          <w:sz w:val="24"/>
        </w:rPr>
        <w:t xml:space="preserve">dumping </w:t>
      </w:r>
      <w:r w:rsidRPr="00395593">
        <w:rPr>
          <w:rFonts w:ascii="Garamond" w:hAnsi="Garamond"/>
          <w:sz w:val="24"/>
        </w:rPr>
        <w:t>formulada</w:t>
      </w:r>
      <w:r w:rsidRPr="00395593">
        <w:rPr>
          <w:rFonts w:ascii="Garamond" w:hAnsi="Garamond"/>
          <w:spacing w:val="-2"/>
          <w:sz w:val="24"/>
        </w:rPr>
        <w:t xml:space="preserve"> </w:t>
      </w:r>
      <w:r w:rsidRPr="00395593">
        <w:rPr>
          <w:rFonts w:ascii="Garamond" w:hAnsi="Garamond"/>
          <w:sz w:val="24"/>
        </w:rPr>
        <w:t>na</w:t>
      </w:r>
      <w:r w:rsidRPr="00395593">
        <w:rPr>
          <w:rFonts w:ascii="Garamond" w:hAnsi="Garamond"/>
          <w:spacing w:val="-1"/>
          <w:sz w:val="24"/>
        </w:rPr>
        <w:t xml:space="preserve"> </w:t>
      </w:r>
      <w:r w:rsidRPr="00395593">
        <w:rPr>
          <w:rFonts w:ascii="Garamond" w:hAnsi="Garamond"/>
          <w:sz w:val="24"/>
        </w:rPr>
        <w:t>petição;</w:t>
      </w:r>
    </w:p>
    <w:p w14:paraId="6AFD7BB1" w14:textId="77777777" w:rsidR="0013285C" w:rsidRPr="00395593" w:rsidRDefault="0013285C" w:rsidP="0013285C">
      <w:pPr>
        <w:pStyle w:val="Corpodetexto"/>
        <w:rPr>
          <w:rFonts w:ascii="Garamond" w:hAnsi="Garamond"/>
        </w:rPr>
      </w:pPr>
    </w:p>
    <w:p w14:paraId="197F307C" w14:textId="77777777" w:rsidR="0013285C" w:rsidRPr="00395593" w:rsidRDefault="0013285C" w:rsidP="002C4340">
      <w:pPr>
        <w:pStyle w:val="PargrafodaLista"/>
        <w:widowControl w:val="0"/>
        <w:numPr>
          <w:ilvl w:val="1"/>
          <w:numId w:val="11"/>
        </w:numPr>
        <w:tabs>
          <w:tab w:val="left" w:pos="1161"/>
        </w:tabs>
        <w:autoSpaceDE w:val="0"/>
        <w:autoSpaceDN w:val="0"/>
        <w:spacing w:after="0" w:line="240" w:lineRule="auto"/>
        <w:ind w:left="1160" w:hanging="340"/>
        <w:contextualSpacing w:val="0"/>
        <w:rPr>
          <w:rFonts w:ascii="Garamond" w:hAnsi="Garamond"/>
          <w:sz w:val="24"/>
        </w:rPr>
      </w:pPr>
      <w:r w:rsidRPr="00395593">
        <w:rPr>
          <w:rFonts w:ascii="Garamond" w:hAnsi="Garamond"/>
          <w:sz w:val="24"/>
        </w:rPr>
        <w:t>resumo</w:t>
      </w:r>
      <w:r w:rsidRPr="00395593">
        <w:rPr>
          <w:rFonts w:ascii="Garamond" w:hAnsi="Garamond"/>
          <w:spacing w:val="-1"/>
          <w:sz w:val="24"/>
        </w:rPr>
        <w:t xml:space="preserve"> </w:t>
      </w:r>
      <w:r w:rsidRPr="00395593">
        <w:rPr>
          <w:rFonts w:ascii="Garamond" w:hAnsi="Garamond"/>
          <w:sz w:val="24"/>
        </w:rPr>
        <w:t>dos</w:t>
      </w:r>
      <w:r w:rsidRPr="00395593">
        <w:rPr>
          <w:rFonts w:ascii="Garamond" w:hAnsi="Garamond"/>
          <w:spacing w:val="-1"/>
          <w:sz w:val="24"/>
        </w:rPr>
        <w:t xml:space="preserve"> </w:t>
      </w:r>
      <w:r w:rsidRPr="00395593">
        <w:rPr>
          <w:rFonts w:ascii="Garamond" w:hAnsi="Garamond"/>
          <w:sz w:val="24"/>
        </w:rPr>
        <w:t>fatos sobre</w:t>
      </w:r>
      <w:r w:rsidRPr="00395593">
        <w:rPr>
          <w:rFonts w:ascii="Garamond" w:hAnsi="Garamond"/>
          <w:spacing w:val="-2"/>
          <w:sz w:val="24"/>
        </w:rPr>
        <w:t xml:space="preserve"> </w:t>
      </w:r>
      <w:r w:rsidRPr="00395593">
        <w:rPr>
          <w:rFonts w:ascii="Garamond" w:hAnsi="Garamond"/>
          <w:sz w:val="24"/>
        </w:rPr>
        <w:t>os quais</w:t>
      </w:r>
      <w:r w:rsidRPr="00395593">
        <w:rPr>
          <w:rFonts w:ascii="Garamond" w:hAnsi="Garamond"/>
          <w:spacing w:val="-1"/>
          <w:sz w:val="24"/>
        </w:rPr>
        <w:t xml:space="preserve"> </w:t>
      </w:r>
      <w:r w:rsidRPr="00395593">
        <w:rPr>
          <w:rFonts w:ascii="Garamond" w:hAnsi="Garamond"/>
          <w:sz w:val="24"/>
        </w:rPr>
        <w:t>me</w:t>
      </w:r>
      <w:r w:rsidRPr="00395593">
        <w:rPr>
          <w:rFonts w:ascii="Garamond" w:hAnsi="Garamond"/>
          <w:spacing w:val="-1"/>
          <w:sz w:val="24"/>
        </w:rPr>
        <w:t xml:space="preserve"> </w:t>
      </w:r>
      <w:r w:rsidRPr="00395593">
        <w:rPr>
          <w:rFonts w:ascii="Garamond" w:hAnsi="Garamond"/>
          <w:sz w:val="24"/>
        </w:rPr>
        <w:t>baseia a</w:t>
      </w:r>
      <w:r w:rsidRPr="00395593">
        <w:rPr>
          <w:rFonts w:ascii="Garamond" w:hAnsi="Garamond"/>
          <w:spacing w:val="-1"/>
          <w:sz w:val="24"/>
        </w:rPr>
        <w:t xml:space="preserve"> </w:t>
      </w:r>
      <w:r w:rsidRPr="00395593">
        <w:rPr>
          <w:rFonts w:ascii="Garamond" w:hAnsi="Garamond"/>
          <w:sz w:val="24"/>
        </w:rPr>
        <w:t>alegação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dano;</w:t>
      </w:r>
    </w:p>
    <w:p w14:paraId="3F73D033" w14:textId="77777777" w:rsidR="0013285C" w:rsidRPr="00395593" w:rsidRDefault="0013285C" w:rsidP="0013285C">
      <w:pPr>
        <w:pStyle w:val="Corpodetexto"/>
        <w:rPr>
          <w:rFonts w:ascii="Garamond" w:hAnsi="Garamond"/>
        </w:rPr>
      </w:pPr>
    </w:p>
    <w:p w14:paraId="5907157C" w14:textId="77777777" w:rsidR="0013285C" w:rsidRPr="00395593" w:rsidRDefault="0013285C" w:rsidP="002C4340">
      <w:pPr>
        <w:pStyle w:val="PargrafodaLista"/>
        <w:widowControl w:val="0"/>
        <w:numPr>
          <w:ilvl w:val="1"/>
          <w:numId w:val="11"/>
        </w:numPr>
        <w:tabs>
          <w:tab w:val="left" w:pos="1147"/>
        </w:tabs>
        <w:autoSpaceDE w:val="0"/>
        <w:autoSpaceDN w:val="0"/>
        <w:spacing w:after="0" w:line="240" w:lineRule="auto"/>
        <w:ind w:hanging="326"/>
        <w:contextualSpacing w:val="0"/>
        <w:rPr>
          <w:rFonts w:ascii="Garamond" w:hAnsi="Garamond"/>
          <w:sz w:val="24"/>
        </w:rPr>
      </w:pP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endereço</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2"/>
          <w:sz w:val="24"/>
        </w:rPr>
        <w:t xml:space="preserve"> </w:t>
      </w:r>
      <w:r w:rsidRPr="00395593">
        <w:rPr>
          <w:rFonts w:ascii="Garamond" w:hAnsi="Garamond"/>
          <w:sz w:val="24"/>
        </w:rPr>
        <w:t>que</w:t>
      </w:r>
      <w:r w:rsidRPr="00395593">
        <w:rPr>
          <w:rFonts w:ascii="Garamond" w:hAnsi="Garamond"/>
          <w:spacing w:val="-2"/>
          <w:sz w:val="24"/>
        </w:rPr>
        <w:t xml:space="preserve"> </w:t>
      </w:r>
      <w:r w:rsidRPr="00395593">
        <w:rPr>
          <w:rFonts w:ascii="Garamond" w:hAnsi="Garamond"/>
          <w:sz w:val="24"/>
        </w:rPr>
        <w:t>devem</w:t>
      </w:r>
      <w:r w:rsidRPr="00395593">
        <w:rPr>
          <w:rFonts w:ascii="Garamond" w:hAnsi="Garamond"/>
          <w:spacing w:val="-1"/>
          <w:sz w:val="24"/>
        </w:rPr>
        <w:t xml:space="preserve"> </w:t>
      </w:r>
      <w:r w:rsidRPr="00395593">
        <w:rPr>
          <w:rFonts w:ascii="Garamond" w:hAnsi="Garamond"/>
          <w:sz w:val="24"/>
        </w:rPr>
        <w:t>ser</w:t>
      </w:r>
      <w:r w:rsidRPr="00395593">
        <w:rPr>
          <w:rFonts w:ascii="Garamond" w:hAnsi="Garamond"/>
          <w:spacing w:val="-2"/>
          <w:sz w:val="24"/>
        </w:rPr>
        <w:t xml:space="preserve"> </w:t>
      </w:r>
      <w:r w:rsidRPr="00395593">
        <w:rPr>
          <w:rFonts w:ascii="Garamond" w:hAnsi="Garamond"/>
          <w:sz w:val="24"/>
        </w:rPr>
        <w:t>dirigidas as</w:t>
      </w:r>
      <w:r w:rsidRPr="00395593">
        <w:rPr>
          <w:rFonts w:ascii="Garamond" w:hAnsi="Garamond"/>
          <w:spacing w:val="-1"/>
          <w:sz w:val="24"/>
        </w:rPr>
        <w:t xml:space="preserve"> </w:t>
      </w:r>
      <w:r w:rsidRPr="00395593">
        <w:rPr>
          <w:rFonts w:ascii="Garamond" w:hAnsi="Garamond"/>
          <w:sz w:val="24"/>
        </w:rPr>
        <w:t>representações</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partes</w:t>
      </w:r>
      <w:r w:rsidRPr="00395593">
        <w:rPr>
          <w:rFonts w:ascii="Garamond" w:hAnsi="Garamond"/>
          <w:spacing w:val="-1"/>
          <w:sz w:val="24"/>
        </w:rPr>
        <w:t xml:space="preserve"> </w:t>
      </w:r>
      <w:r w:rsidRPr="00395593">
        <w:rPr>
          <w:rFonts w:ascii="Garamond" w:hAnsi="Garamond"/>
          <w:sz w:val="24"/>
        </w:rPr>
        <w:t>interessadas;</w:t>
      </w:r>
    </w:p>
    <w:p w14:paraId="7FD01188" w14:textId="77777777" w:rsidR="0013285C" w:rsidRPr="00395593" w:rsidRDefault="0013285C" w:rsidP="0013285C">
      <w:pPr>
        <w:pStyle w:val="Corpodetexto"/>
        <w:rPr>
          <w:rFonts w:ascii="Garamond" w:hAnsi="Garamond"/>
          <w:sz w:val="20"/>
        </w:rPr>
      </w:pPr>
    </w:p>
    <w:p w14:paraId="6C3D864A" w14:textId="3F031C6E" w:rsidR="0013285C" w:rsidRDefault="0013285C" w:rsidP="0013285C">
      <w:pPr>
        <w:pStyle w:val="Corpodetexto"/>
        <w:rPr>
          <w:rFonts w:ascii="Garamond" w:hAnsi="Garamond"/>
          <w:sz w:val="20"/>
        </w:rPr>
      </w:pPr>
    </w:p>
    <w:p w14:paraId="7566743C" w14:textId="4F2219FB" w:rsidR="00B273F2" w:rsidRDefault="00B273F2" w:rsidP="0013285C">
      <w:pPr>
        <w:pStyle w:val="Corpodetexto"/>
        <w:rPr>
          <w:rFonts w:ascii="Garamond" w:hAnsi="Garamond"/>
          <w:sz w:val="20"/>
        </w:rPr>
      </w:pPr>
    </w:p>
    <w:p w14:paraId="6A4B9636" w14:textId="77777777" w:rsidR="00B273F2" w:rsidRPr="00395593" w:rsidRDefault="00B273F2" w:rsidP="0013285C">
      <w:pPr>
        <w:pStyle w:val="Corpodetexto"/>
        <w:rPr>
          <w:rFonts w:ascii="Garamond" w:hAnsi="Garamond"/>
          <w:sz w:val="20"/>
        </w:rPr>
      </w:pPr>
    </w:p>
    <w:p w14:paraId="0F55B6B4" w14:textId="38FAA6CC" w:rsidR="0013285C" w:rsidRPr="00395593" w:rsidRDefault="0013285C" w:rsidP="0013285C">
      <w:pPr>
        <w:pStyle w:val="Corpodetexto"/>
        <w:spacing w:before="1"/>
        <w:rPr>
          <w:rFonts w:ascii="Garamond" w:hAnsi="Garamond"/>
          <w:sz w:val="27"/>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49" behindDoc="1" locked="0" layoutInCell="1" allowOverlap="1" wp14:anchorId="6242AC46" wp14:editId="4037D532">
                <wp:simplePos x="0" y="0"/>
                <wp:positionH relativeFrom="page">
                  <wp:posOffset>1080770</wp:posOffset>
                </wp:positionH>
                <wp:positionV relativeFrom="paragraph">
                  <wp:posOffset>213360</wp:posOffset>
                </wp:positionV>
                <wp:extent cx="1828800" cy="7620"/>
                <wp:effectExtent l="4445" t="1905" r="0" b="0"/>
                <wp:wrapTopAndBottom/>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C267F" id="Retângulo 6" o:spid="_x0000_s1026" style="position:absolute;margin-left:85.1pt;margin-top:16.8pt;width:2in;height:.6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2xfQIAAPo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" fillcolor="black" stroked="f">
                <w10:wrap type="topAndBottom" anchorx="page"/>
              </v:rect>
            </w:pict>
          </mc:Fallback>
        </mc:AlternateContent>
      </w:r>
    </w:p>
    <w:p w14:paraId="664EC791" w14:textId="77777777" w:rsidR="0013285C" w:rsidRPr="00395593" w:rsidRDefault="0013285C" w:rsidP="00716B33">
      <w:pPr>
        <w:spacing w:after="0" w:line="240" w:lineRule="auto"/>
        <w:ind w:left="102" w:right="119"/>
        <w:jc w:val="both"/>
        <w:rPr>
          <w:rFonts w:ascii="Garamond" w:hAnsi="Garamond"/>
          <w:sz w:val="20"/>
        </w:rPr>
      </w:pPr>
      <w:r w:rsidRPr="00395593">
        <w:rPr>
          <w:rFonts w:ascii="Garamond" w:hAnsi="Garamond"/>
          <w:sz w:val="20"/>
          <w:vertAlign w:val="superscript"/>
        </w:rPr>
        <w:t>22</w:t>
      </w:r>
      <w:r w:rsidRPr="00395593">
        <w:rPr>
          <w:rFonts w:ascii="Garamond" w:hAnsi="Garamond"/>
          <w:sz w:val="20"/>
        </w:rPr>
        <w:t xml:space="preserve"> Quando se calcula o montante do direito anti-</w:t>
      </w:r>
      <w:r w:rsidRPr="00395593">
        <w:rPr>
          <w:rFonts w:ascii="Garamond" w:hAnsi="Garamond"/>
          <w:i/>
          <w:sz w:val="20"/>
        </w:rPr>
        <w:t xml:space="preserve">dumping </w:t>
      </w:r>
      <w:r w:rsidRPr="00395593">
        <w:rPr>
          <w:rFonts w:ascii="Garamond" w:hAnsi="Garamond"/>
          <w:sz w:val="20"/>
        </w:rPr>
        <w:t>de forma retrospectiva, a mera constatação de que</w:t>
      </w:r>
      <w:r w:rsidRPr="00395593">
        <w:rPr>
          <w:rFonts w:ascii="Garamond" w:hAnsi="Garamond"/>
          <w:spacing w:val="1"/>
          <w:sz w:val="20"/>
        </w:rPr>
        <w:t xml:space="preserve"> </w:t>
      </w:r>
      <w:r w:rsidRPr="00395593">
        <w:rPr>
          <w:rFonts w:ascii="Garamond" w:hAnsi="Garamond"/>
          <w:sz w:val="20"/>
        </w:rPr>
        <w:t>não há direito a cobrar, verificada durante o mais recente procedimento de cálculo do valor devido, segundo o</w:t>
      </w:r>
      <w:r w:rsidRPr="00395593">
        <w:rPr>
          <w:rFonts w:ascii="Garamond" w:hAnsi="Garamond"/>
          <w:spacing w:val="-47"/>
          <w:sz w:val="20"/>
        </w:rPr>
        <w:t xml:space="preserve"> </w:t>
      </w:r>
      <w:r w:rsidRPr="00395593">
        <w:rPr>
          <w:rFonts w:ascii="Garamond" w:hAnsi="Garamond"/>
          <w:sz w:val="20"/>
        </w:rPr>
        <w:t>estabelecido no subparágrafo 3(a) do Artigo 9, não será suficiente para que se requeira das autoridades a</w:t>
      </w:r>
      <w:r w:rsidRPr="00395593">
        <w:rPr>
          <w:rFonts w:ascii="Garamond" w:hAnsi="Garamond"/>
          <w:spacing w:val="1"/>
          <w:sz w:val="20"/>
        </w:rPr>
        <w:t xml:space="preserve"> </w:t>
      </w:r>
      <w:r w:rsidRPr="00395593">
        <w:rPr>
          <w:rFonts w:ascii="Garamond" w:hAnsi="Garamond"/>
          <w:sz w:val="20"/>
        </w:rPr>
        <w:t>extinção dos</w:t>
      </w:r>
      <w:r w:rsidRPr="00395593">
        <w:rPr>
          <w:rFonts w:ascii="Garamond" w:hAnsi="Garamond"/>
          <w:spacing w:val="-1"/>
          <w:sz w:val="20"/>
        </w:rPr>
        <w:t xml:space="preserve"> </w:t>
      </w:r>
      <w:r w:rsidRPr="00395593">
        <w:rPr>
          <w:rFonts w:ascii="Garamond" w:hAnsi="Garamond"/>
          <w:sz w:val="20"/>
        </w:rPr>
        <w:t>direitos</w:t>
      </w:r>
      <w:r w:rsidRPr="00395593">
        <w:rPr>
          <w:rFonts w:ascii="Garamond" w:hAnsi="Garamond"/>
          <w:spacing w:val="-1"/>
          <w:sz w:val="20"/>
        </w:rPr>
        <w:t xml:space="preserve"> </w:t>
      </w:r>
      <w:r w:rsidRPr="00395593">
        <w:rPr>
          <w:rFonts w:ascii="Garamond" w:hAnsi="Garamond"/>
          <w:sz w:val="20"/>
        </w:rPr>
        <w:t>definitivos.</w:t>
      </w:r>
    </w:p>
    <w:p w14:paraId="774AFE02" w14:textId="77777777" w:rsidR="0013285C" w:rsidRPr="00395593" w:rsidRDefault="0013285C" w:rsidP="00716B33">
      <w:pPr>
        <w:spacing w:after="0" w:line="240" w:lineRule="auto"/>
        <w:ind w:left="102" w:right="128"/>
        <w:jc w:val="both"/>
        <w:rPr>
          <w:rFonts w:ascii="Garamond" w:hAnsi="Garamond"/>
          <w:sz w:val="20"/>
        </w:rPr>
      </w:pPr>
      <w:r w:rsidRPr="00395593">
        <w:rPr>
          <w:rFonts w:ascii="Garamond" w:hAnsi="Garamond"/>
          <w:sz w:val="20"/>
          <w:vertAlign w:val="superscript"/>
        </w:rPr>
        <w:t>23</w:t>
      </w:r>
      <w:r w:rsidRPr="00395593">
        <w:rPr>
          <w:rFonts w:ascii="Garamond" w:hAnsi="Garamond"/>
          <w:sz w:val="20"/>
        </w:rPr>
        <w:t xml:space="preserve"> Sempre que as autoridades fornecerem informações e explicações em separado, de acordo com o disposto</w:t>
      </w:r>
      <w:r w:rsidRPr="00395593">
        <w:rPr>
          <w:rFonts w:ascii="Garamond" w:hAnsi="Garamond"/>
          <w:spacing w:val="1"/>
          <w:sz w:val="20"/>
        </w:rPr>
        <w:t xml:space="preserve"> </w:t>
      </w:r>
      <w:r w:rsidRPr="00395593">
        <w:rPr>
          <w:rFonts w:ascii="Garamond" w:hAnsi="Garamond"/>
          <w:sz w:val="20"/>
        </w:rPr>
        <w:t>neste artigo, deverão elas garantir que tais informações e explicações estejam prontamente disponíveis para o</w:t>
      </w:r>
      <w:r w:rsidRPr="00395593">
        <w:rPr>
          <w:rFonts w:ascii="Garamond" w:hAnsi="Garamond"/>
          <w:spacing w:val="1"/>
          <w:sz w:val="20"/>
        </w:rPr>
        <w:t xml:space="preserve"> </w:t>
      </w:r>
      <w:r w:rsidRPr="00395593">
        <w:rPr>
          <w:rFonts w:ascii="Garamond" w:hAnsi="Garamond"/>
          <w:sz w:val="20"/>
        </w:rPr>
        <w:t>público.</w:t>
      </w:r>
    </w:p>
    <w:p w14:paraId="12FF87FE" w14:textId="77777777" w:rsidR="0013285C" w:rsidRPr="00395593" w:rsidRDefault="0013285C" w:rsidP="0013285C">
      <w:pPr>
        <w:jc w:val="both"/>
        <w:rPr>
          <w:rFonts w:ascii="Garamond" w:hAnsi="Garamond"/>
          <w:sz w:val="20"/>
        </w:rPr>
        <w:sectPr w:rsidR="0013285C" w:rsidRPr="00395593" w:rsidSect="00E15FBB">
          <w:pgSz w:w="12240" w:h="15840"/>
          <w:pgMar w:top="1418" w:right="1580" w:bottom="280" w:left="1418" w:header="720" w:footer="720" w:gutter="0"/>
          <w:cols w:space="720"/>
        </w:sectPr>
      </w:pPr>
    </w:p>
    <w:p w14:paraId="7010D916" w14:textId="77777777" w:rsidR="0013285C" w:rsidRPr="00395593" w:rsidRDefault="0013285C" w:rsidP="00984613">
      <w:pPr>
        <w:pStyle w:val="PargrafodaLista"/>
        <w:widowControl w:val="0"/>
        <w:numPr>
          <w:ilvl w:val="1"/>
          <w:numId w:val="11"/>
        </w:numPr>
        <w:tabs>
          <w:tab w:val="left" w:pos="1161"/>
        </w:tabs>
        <w:autoSpaceDE w:val="0"/>
        <w:autoSpaceDN w:val="0"/>
        <w:spacing w:before="68" w:after="0" w:line="240" w:lineRule="auto"/>
        <w:ind w:left="821" w:firstLine="0"/>
        <w:contextualSpacing w:val="0"/>
        <w:rPr>
          <w:rFonts w:ascii="Garamond" w:hAnsi="Garamond"/>
          <w:sz w:val="24"/>
        </w:rPr>
      </w:pPr>
      <w:r w:rsidRPr="00395593">
        <w:rPr>
          <w:rFonts w:ascii="Garamond" w:hAnsi="Garamond"/>
          <w:sz w:val="24"/>
        </w:rPr>
        <w:t>os</w:t>
      </w:r>
      <w:r w:rsidRPr="00395593">
        <w:rPr>
          <w:rFonts w:ascii="Garamond" w:hAnsi="Garamond"/>
          <w:spacing w:val="38"/>
          <w:sz w:val="24"/>
        </w:rPr>
        <w:t xml:space="preserve"> </w:t>
      </w:r>
      <w:r w:rsidRPr="00395593">
        <w:rPr>
          <w:rFonts w:ascii="Garamond" w:hAnsi="Garamond"/>
          <w:sz w:val="24"/>
        </w:rPr>
        <w:t>prazos</w:t>
      </w:r>
      <w:r w:rsidRPr="00395593">
        <w:rPr>
          <w:rFonts w:ascii="Garamond" w:hAnsi="Garamond"/>
          <w:spacing w:val="39"/>
          <w:sz w:val="24"/>
        </w:rPr>
        <w:t xml:space="preserve"> </w:t>
      </w:r>
      <w:r w:rsidRPr="00395593">
        <w:rPr>
          <w:rFonts w:ascii="Garamond" w:hAnsi="Garamond"/>
          <w:sz w:val="24"/>
        </w:rPr>
        <w:t>dentro</w:t>
      </w:r>
      <w:r w:rsidRPr="00395593">
        <w:rPr>
          <w:rFonts w:ascii="Garamond" w:hAnsi="Garamond"/>
          <w:spacing w:val="39"/>
          <w:sz w:val="24"/>
        </w:rPr>
        <w:t xml:space="preserve"> </w:t>
      </w:r>
      <w:r w:rsidRPr="00395593">
        <w:rPr>
          <w:rFonts w:ascii="Garamond" w:hAnsi="Garamond"/>
          <w:sz w:val="24"/>
        </w:rPr>
        <w:t>dos</w:t>
      </w:r>
      <w:r w:rsidRPr="00395593">
        <w:rPr>
          <w:rFonts w:ascii="Garamond" w:hAnsi="Garamond"/>
          <w:spacing w:val="41"/>
          <w:sz w:val="24"/>
        </w:rPr>
        <w:t xml:space="preserve"> </w:t>
      </w:r>
      <w:r w:rsidRPr="00395593">
        <w:rPr>
          <w:rFonts w:ascii="Garamond" w:hAnsi="Garamond"/>
          <w:sz w:val="24"/>
        </w:rPr>
        <w:t>quais</w:t>
      </w:r>
      <w:r w:rsidRPr="00395593">
        <w:rPr>
          <w:rFonts w:ascii="Garamond" w:hAnsi="Garamond"/>
          <w:spacing w:val="40"/>
          <w:sz w:val="24"/>
        </w:rPr>
        <w:t xml:space="preserve"> </w:t>
      </w:r>
      <w:r w:rsidRPr="00395593">
        <w:rPr>
          <w:rFonts w:ascii="Garamond" w:hAnsi="Garamond"/>
          <w:sz w:val="24"/>
        </w:rPr>
        <w:t>as</w:t>
      </w:r>
      <w:r w:rsidRPr="00395593">
        <w:rPr>
          <w:rFonts w:ascii="Garamond" w:hAnsi="Garamond"/>
          <w:spacing w:val="39"/>
          <w:sz w:val="24"/>
        </w:rPr>
        <w:t xml:space="preserve"> </w:t>
      </w:r>
      <w:r w:rsidRPr="00395593">
        <w:rPr>
          <w:rFonts w:ascii="Garamond" w:hAnsi="Garamond"/>
          <w:sz w:val="24"/>
        </w:rPr>
        <w:t>partes</w:t>
      </w:r>
      <w:r w:rsidRPr="00395593">
        <w:rPr>
          <w:rFonts w:ascii="Garamond" w:hAnsi="Garamond"/>
          <w:spacing w:val="39"/>
          <w:sz w:val="24"/>
        </w:rPr>
        <w:t xml:space="preserve"> </w:t>
      </w:r>
      <w:r w:rsidRPr="00395593">
        <w:rPr>
          <w:rFonts w:ascii="Garamond" w:hAnsi="Garamond"/>
          <w:sz w:val="24"/>
        </w:rPr>
        <w:t>interessadas</w:t>
      </w:r>
      <w:r w:rsidRPr="00395593">
        <w:rPr>
          <w:rFonts w:ascii="Garamond" w:hAnsi="Garamond"/>
          <w:spacing w:val="39"/>
          <w:sz w:val="24"/>
        </w:rPr>
        <w:t xml:space="preserve"> </w:t>
      </w:r>
      <w:r w:rsidRPr="00395593">
        <w:rPr>
          <w:rFonts w:ascii="Garamond" w:hAnsi="Garamond"/>
          <w:sz w:val="24"/>
        </w:rPr>
        <w:t>podem</w:t>
      </w:r>
      <w:r w:rsidRPr="00395593">
        <w:rPr>
          <w:rFonts w:ascii="Garamond" w:hAnsi="Garamond"/>
          <w:spacing w:val="40"/>
          <w:sz w:val="24"/>
        </w:rPr>
        <w:t xml:space="preserve"> </w:t>
      </w:r>
      <w:r w:rsidRPr="00395593">
        <w:rPr>
          <w:rFonts w:ascii="Garamond" w:hAnsi="Garamond"/>
          <w:sz w:val="24"/>
        </w:rPr>
        <w:t>dar</w:t>
      </w:r>
      <w:r w:rsidRPr="00395593">
        <w:rPr>
          <w:rFonts w:ascii="Garamond" w:hAnsi="Garamond"/>
          <w:spacing w:val="40"/>
          <w:sz w:val="24"/>
        </w:rPr>
        <w:t xml:space="preserve"> </w:t>
      </w:r>
      <w:r w:rsidRPr="00395593">
        <w:rPr>
          <w:rFonts w:ascii="Garamond" w:hAnsi="Garamond"/>
          <w:sz w:val="24"/>
        </w:rPr>
        <w:t>a</w:t>
      </w:r>
      <w:r w:rsidRPr="00395593">
        <w:rPr>
          <w:rFonts w:ascii="Garamond" w:hAnsi="Garamond"/>
          <w:spacing w:val="38"/>
          <w:sz w:val="24"/>
        </w:rPr>
        <w:t xml:space="preserve"> </w:t>
      </w:r>
      <w:r w:rsidRPr="00395593">
        <w:rPr>
          <w:rFonts w:ascii="Garamond" w:hAnsi="Garamond"/>
          <w:sz w:val="24"/>
        </w:rPr>
        <w:t>conhecer</w:t>
      </w:r>
      <w:r w:rsidRPr="00395593">
        <w:rPr>
          <w:rFonts w:ascii="Garamond" w:hAnsi="Garamond"/>
          <w:spacing w:val="38"/>
          <w:sz w:val="24"/>
        </w:rPr>
        <w:t xml:space="preserve"> </w:t>
      </w:r>
      <w:r w:rsidRPr="00395593">
        <w:rPr>
          <w:rFonts w:ascii="Garamond" w:hAnsi="Garamond"/>
          <w:sz w:val="24"/>
        </w:rPr>
        <w:t>suas</w:t>
      </w:r>
      <w:r w:rsidRPr="00395593">
        <w:rPr>
          <w:rFonts w:ascii="Garamond" w:hAnsi="Garamond"/>
          <w:spacing w:val="-57"/>
          <w:sz w:val="24"/>
        </w:rPr>
        <w:t xml:space="preserve"> </w:t>
      </w:r>
      <w:r w:rsidRPr="00395593">
        <w:rPr>
          <w:rFonts w:ascii="Garamond" w:hAnsi="Garamond"/>
          <w:sz w:val="24"/>
        </w:rPr>
        <w:t>opiniões.</w:t>
      </w:r>
    </w:p>
    <w:p w14:paraId="51651B93" w14:textId="77777777" w:rsidR="0013285C" w:rsidRPr="00395593" w:rsidRDefault="0013285C" w:rsidP="0013285C">
      <w:pPr>
        <w:pStyle w:val="Corpodetexto"/>
        <w:rPr>
          <w:rFonts w:ascii="Garamond" w:hAnsi="Garamond"/>
        </w:rPr>
      </w:pPr>
    </w:p>
    <w:p w14:paraId="2EDFB689" w14:textId="77777777" w:rsidR="0013285C" w:rsidRPr="00395593" w:rsidRDefault="0013285C" w:rsidP="0013285C">
      <w:pPr>
        <w:pStyle w:val="Corpodetexto"/>
        <w:ind w:left="102" w:right="115"/>
        <w:jc w:val="both"/>
        <w:rPr>
          <w:rFonts w:ascii="Garamond" w:hAnsi="Garamond"/>
        </w:rPr>
      </w:pPr>
      <w:r w:rsidRPr="00395593">
        <w:rPr>
          <w:rFonts w:ascii="Garamond" w:hAnsi="Garamond"/>
        </w:rPr>
        <w:t>3</w:t>
      </w:r>
      <w:r w:rsidRPr="00395593">
        <w:rPr>
          <w:rFonts w:ascii="Garamond" w:hAnsi="Garamond"/>
          <w:spacing w:val="1"/>
        </w:rPr>
        <w:t xml:space="preserve"> </w:t>
      </w:r>
      <w:r w:rsidRPr="00395593">
        <w:rPr>
          <w:rFonts w:ascii="Garamond" w:hAnsi="Garamond"/>
        </w:rPr>
        <w:t>Far-se-á</w:t>
      </w:r>
      <w:r w:rsidRPr="00395593">
        <w:rPr>
          <w:rFonts w:ascii="Garamond" w:hAnsi="Garamond"/>
          <w:spacing w:val="1"/>
        </w:rPr>
        <w:t xml:space="preserve"> </w:t>
      </w:r>
      <w:r w:rsidRPr="00395593">
        <w:rPr>
          <w:rFonts w:ascii="Garamond" w:hAnsi="Garamond"/>
        </w:rPr>
        <w:t>publicar</w:t>
      </w:r>
      <w:r w:rsidRPr="00395593">
        <w:rPr>
          <w:rFonts w:ascii="Garamond" w:hAnsi="Garamond"/>
          <w:spacing w:val="1"/>
        </w:rPr>
        <w:t xml:space="preserve"> </w:t>
      </w:r>
      <w:r w:rsidRPr="00395593">
        <w:rPr>
          <w:rFonts w:ascii="Garamond" w:hAnsi="Garamond"/>
        </w:rPr>
        <w:t>aviso</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qualquer</w:t>
      </w:r>
      <w:r w:rsidRPr="00395593">
        <w:rPr>
          <w:rFonts w:ascii="Garamond" w:hAnsi="Garamond"/>
          <w:spacing w:val="1"/>
        </w:rPr>
        <w:t xml:space="preserve"> </w:t>
      </w:r>
      <w:r w:rsidRPr="00395593">
        <w:rPr>
          <w:rFonts w:ascii="Garamond" w:hAnsi="Garamond"/>
        </w:rPr>
        <w:t>determinação,</w:t>
      </w:r>
      <w:r w:rsidRPr="00395593">
        <w:rPr>
          <w:rFonts w:ascii="Garamond" w:hAnsi="Garamond"/>
          <w:spacing w:val="1"/>
        </w:rPr>
        <w:t xml:space="preserve"> </w:t>
      </w:r>
      <w:r w:rsidRPr="00395593">
        <w:rPr>
          <w:rFonts w:ascii="Garamond" w:hAnsi="Garamond"/>
        </w:rPr>
        <w:t>preliminar</w:t>
      </w:r>
      <w:r w:rsidRPr="00395593">
        <w:rPr>
          <w:rFonts w:ascii="Garamond" w:hAnsi="Garamond"/>
          <w:spacing w:val="1"/>
        </w:rPr>
        <w:t xml:space="preserve"> </w:t>
      </w:r>
      <w:r w:rsidRPr="00395593">
        <w:rPr>
          <w:rFonts w:ascii="Garamond" w:hAnsi="Garamond"/>
        </w:rPr>
        <w:t>ou</w:t>
      </w:r>
      <w:r w:rsidRPr="00395593">
        <w:rPr>
          <w:rFonts w:ascii="Garamond" w:hAnsi="Garamond"/>
          <w:spacing w:val="1"/>
        </w:rPr>
        <w:t xml:space="preserve"> </w:t>
      </w:r>
      <w:r w:rsidRPr="00395593">
        <w:rPr>
          <w:rFonts w:ascii="Garamond" w:hAnsi="Garamond"/>
        </w:rPr>
        <w:t>final,</w:t>
      </w:r>
      <w:r w:rsidRPr="00395593">
        <w:rPr>
          <w:rFonts w:ascii="Garamond" w:hAnsi="Garamond"/>
          <w:spacing w:val="1"/>
        </w:rPr>
        <w:t xml:space="preserve"> </w:t>
      </w:r>
      <w:r w:rsidRPr="00395593">
        <w:rPr>
          <w:rFonts w:ascii="Garamond" w:hAnsi="Garamond"/>
        </w:rPr>
        <w:t>positiva</w:t>
      </w:r>
      <w:r w:rsidRPr="00395593">
        <w:rPr>
          <w:rFonts w:ascii="Garamond" w:hAnsi="Garamond"/>
          <w:spacing w:val="1"/>
        </w:rPr>
        <w:t xml:space="preserve"> </w:t>
      </w:r>
      <w:r w:rsidRPr="00395593">
        <w:rPr>
          <w:rFonts w:ascii="Garamond" w:hAnsi="Garamond"/>
        </w:rPr>
        <w:t>ou</w:t>
      </w:r>
      <w:r w:rsidRPr="00395593">
        <w:rPr>
          <w:rFonts w:ascii="Garamond" w:hAnsi="Garamond"/>
          <w:spacing w:val="1"/>
        </w:rPr>
        <w:t xml:space="preserve"> </w:t>
      </w:r>
      <w:r w:rsidRPr="00395593">
        <w:rPr>
          <w:rFonts w:ascii="Garamond" w:hAnsi="Garamond"/>
        </w:rPr>
        <w:t>negativa, de qualquer decisão de aceitar compromissos sobre preços ao abrigo do Artigo 8</w:t>
      </w:r>
      <w:r w:rsidRPr="00395593">
        <w:rPr>
          <w:rFonts w:ascii="Garamond" w:hAnsi="Garamond"/>
          <w:spacing w:val="1"/>
        </w:rPr>
        <w:t xml:space="preserve"> </w:t>
      </w:r>
      <w:r w:rsidRPr="00395593">
        <w:rPr>
          <w:rFonts w:ascii="Garamond" w:hAnsi="Garamond"/>
        </w:rPr>
        <w:t>do término de tais compromissos e da extinção de direito anti-</w:t>
      </w:r>
      <w:r w:rsidRPr="00395593">
        <w:rPr>
          <w:rFonts w:ascii="Garamond" w:hAnsi="Garamond"/>
          <w:i/>
        </w:rPr>
        <w:t xml:space="preserve">dumping </w:t>
      </w:r>
      <w:r w:rsidRPr="00395593">
        <w:rPr>
          <w:rFonts w:ascii="Garamond" w:hAnsi="Garamond"/>
        </w:rPr>
        <w:t>definitivo. Cada um</w:t>
      </w:r>
      <w:r w:rsidRPr="00395593">
        <w:rPr>
          <w:rFonts w:ascii="Garamond" w:hAnsi="Garamond"/>
          <w:spacing w:val="-57"/>
        </w:rPr>
        <w:t xml:space="preserve"> </w:t>
      </w:r>
      <w:r w:rsidRPr="00395593">
        <w:rPr>
          <w:rFonts w:ascii="Garamond" w:hAnsi="Garamond"/>
        </w:rPr>
        <w:t>de tais avisos informará, ou deles constará por meio de informe em separado com suficiente</w:t>
      </w:r>
      <w:r w:rsidRPr="00395593">
        <w:rPr>
          <w:rFonts w:ascii="Garamond" w:hAnsi="Garamond"/>
          <w:spacing w:val="-57"/>
        </w:rPr>
        <w:t xml:space="preserve"> </w:t>
      </w:r>
      <w:r w:rsidRPr="00395593">
        <w:rPr>
          <w:rFonts w:ascii="Garamond" w:hAnsi="Garamond"/>
        </w:rPr>
        <w:t>pormenor, as determinações e conclusões estabelecidas sobre cada matéria de fato e de</w:t>
      </w:r>
      <w:r w:rsidRPr="00395593">
        <w:rPr>
          <w:rFonts w:ascii="Garamond" w:hAnsi="Garamond"/>
          <w:spacing w:val="1"/>
        </w:rPr>
        <w:t xml:space="preserve"> </w:t>
      </w:r>
      <w:r w:rsidRPr="00395593">
        <w:rPr>
          <w:rFonts w:ascii="Garamond" w:hAnsi="Garamond"/>
        </w:rPr>
        <w:t>direito que se tenha considerado como relevante pelas autoridades investigadoras. Todos</w:t>
      </w:r>
      <w:r w:rsidRPr="00395593">
        <w:rPr>
          <w:rFonts w:ascii="Garamond" w:hAnsi="Garamond"/>
          <w:spacing w:val="1"/>
        </w:rPr>
        <w:t xml:space="preserve"> </w:t>
      </w:r>
      <w:r w:rsidRPr="00395593">
        <w:rPr>
          <w:rFonts w:ascii="Garamond" w:hAnsi="Garamond"/>
        </w:rPr>
        <w:t>esses</w:t>
      </w:r>
      <w:r w:rsidRPr="00395593">
        <w:rPr>
          <w:rFonts w:ascii="Garamond" w:hAnsi="Garamond"/>
          <w:spacing w:val="1"/>
        </w:rPr>
        <w:t xml:space="preserve"> </w:t>
      </w:r>
      <w:r w:rsidRPr="00395593">
        <w:rPr>
          <w:rFonts w:ascii="Garamond" w:hAnsi="Garamond"/>
        </w:rPr>
        <w:t>avisos</w:t>
      </w:r>
      <w:r w:rsidRPr="00395593">
        <w:rPr>
          <w:rFonts w:ascii="Garamond" w:hAnsi="Garamond"/>
          <w:spacing w:val="1"/>
        </w:rPr>
        <w:t xml:space="preserve"> </w:t>
      </w:r>
      <w:r w:rsidRPr="00395593">
        <w:rPr>
          <w:rFonts w:ascii="Garamond" w:hAnsi="Garamond"/>
        </w:rPr>
        <w:t>e</w:t>
      </w:r>
      <w:r w:rsidRPr="00395593">
        <w:rPr>
          <w:rFonts w:ascii="Garamond" w:hAnsi="Garamond"/>
          <w:spacing w:val="1"/>
        </w:rPr>
        <w:t xml:space="preserve"> </w:t>
      </w:r>
      <w:r w:rsidRPr="00395593">
        <w:rPr>
          <w:rFonts w:ascii="Garamond" w:hAnsi="Garamond"/>
        </w:rPr>
        <w:t>informes</w:t>
      </w:r>
      <w:r w:rsidRPr="00395593">
        <w:rPr>
          <w:rFonts w:ascii="Garamond" w:hAnsi="Garamond"/>
          <w:spacing w:val="1"/>
        </w:rPr>
        <w:t xml:space="preserve"> </w:t>
      </w:r>
      <w:r w:rsidRPr="00395593">
        <w:rPr>
          <w:rFonts w:ascii="Garamond" w:hAnsi="Garamond"/>
        </w:rPr>
        <w:t>serão</w:t>
      </w:r>
      <w:r w:rsidRPr="00395593">
        <w:rPr>
          <w:rFonts w:ascii="Garamond" w:hAnsi="Garamond"/>
          <w:spacing w:val="1"/>
        </w:rPr>
        <w:t xml:space="preserve"> </w:t>
      </w:r>
      <w:r w:rsidRPr="00395593">
        <w:rPr>
          <w:rFonts w:ascii="Garamond" w:hAnsi="Garamond"/>
        </w:rPr>
        <w:t>encaminhados</w:t>
      </w:r>
      <w:r w:rsidRPr="00395593">
        <w:rPr>
          <w:rFonts w:ascii="Garamond" w:hAnsi="Garamond"/>
          <w:spacing w:val="1"/>
        </w:rPr>
        <w:t xml:space="preserve"> </w:t>
      </w:r>
      <w:r w:rsidRPr="00395593">
        <w:rPr>
          <w:rFonts w:ascii="Garamond" w:hAnsi="Garamond"/>
        </w:rPr>
        <w:t>ao</w:t>
      </w:r>
      <w:r w:rsidRPr="00395593">
        <w:rPr>
          <w:rFonts w:ascii="Garamond" w:hAnsi="Garamond"/>
          <w:spacing w:val="1"/>
        </w:rPr>
        <w:t xml:space="preserve"> </w:t>
      </w:r>
      <w:r w:rsidRPr="00395593">
        <w:rPr>
          <w:rFonts w:ascii="Garamond" w:hAnsi="Garamond"/>
        </w:rPr>
        <w:t>Membro</w:t>
      </w:r>
      <w:r w:rsidRPr="00395593">
        <w:rPr>
          <w:rFonts w:ascii="Garamond" w:hAnsi="Garamond"/>
          <w:spacing w:val="1"/>
        </w:rPr>
        <w:t xml:space="preserve"> </w:t>
      </w:r>
      <w:r w:rsidRPr="00395593">
        <w:rPr>
          <w:rFonts w:ascii="Garamond" w:hAnsi="Garamond"/>
        </w:rPr>
        <w:t>ou</w:t>
      </w:r>
      <w:r w:rsidRPr="00395593">
        <w:rPr>
          <w:rFonts w:ascii="Garamond" w:hAnsi="Garamond"/>
          <w:spacing w:val="1"/>
        </w:rPr>
        <w:t xml:space="preserve"> </w:t>
      </w:r>
      <w:r w:rsidRPr="00395593">
        <w:rPr>
          <w:rFonts w:ascii="Garamond" w:hAnsi="Garamond"/>
        </w:rPr>
        <w:t>Membros</w:t>
      </w:r>
      <w:r w:rsidRPr="00395593">
        <w:rPr>
          <w:rFonts w:ascii="Garamond" w:hAnsi="Garamond"/>
          <w:spacing w:val="1"/>
        </w:rPr>
        <w:t xml:space="preserve"> </w:t>
      </w:r>
      <w:r w:rsidRPr="00395593">
        <w:rPr>
          <w:rFonts w:ascii="Garamond" w:hAnsi="Garamond"/>
        </w:rPr>
        <w:t>cujos</w:t>
      </w:r>
      <w:r w:rsidRPr="00395593">
        <w:rPr>
          <w:rFonts w:ascii="Garamond" w:hAnsi="Garamond"/>
          <w:spacing w:val="1"/>
        </w:rPr>
        <w:t xml:space="preserve"> </w:t>
      </w:r>
      <w:r w:rsidRPr="00395593">
        <w:rPr>
          <w:rFonts w:ascii="Garamond" w:hAnsi="Garamond"/>
        </w:rPr>
        <w:t>produtos</w:t>
      </w:r>
      <w:r w:rsidRPr="00395593">
        <w:rPr>
          <w:rFonts w:ascii="Garamond" w:hAnsi="Garamond"/>
          <w:spacing w:val="-57"/>
        </w:rPr>
        <w:t xml:space="preserve"> </w:t>
      </w:r>
      <w:r w:rsidRPr="00395593">
        <w:rPr>
          <w:rFonts w:ascii="Garamond" w:hAnsi="Garamond"/>
        </w:rPr>
        <w:t>tenham</w:t>
      </w:r>
      <w:r w:rsidRPr="00395593">
        <w:rPr>
          <w:rFonts w:ascii="Garamond" w:hAnsi="Garamond"/>
          <w:spacing w:val="1"/>
        </w:rPr>
        <w:t xml:space="preserve"> </w:t>
      </w:r>
      <w:r w:rsidRPr="00395593">
        <w:rPr>
          <w:rFonts w:ascii="Garamond" w:hAnsi="Garamond"/>
        </w:rPr>
        <w:t>sido</w:t>
      </w:r>
      <w:r w:rsidRPr="00395593">
        <w:rPr>
          <w:rFonts w:ascii="Garamond" w:hAnsi="Garamond"/>
          <w:spacing w:val="1"/>
        </w:rPr>
        <w:t xml:space="preserve"> </w:t>
      </w:r>
      <w:r w:rsidRPr="00395593">
        <w:rPr>
          <w:rFonts w:ascii="Garamond" w:hAnsi="Garamond"/>
        </w:rPr>
        <w:t>objeto</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determinação</w:t>
      </w:r>
      <w:r w:rsidRPr="00395593">
        <w:rPr>
          <w:rFonts w:ascii="Garamond" w:hAnsi="Garamond"/>
          <w:spacing w:val="1"/>
        </w:rPr>
        <w:t xml:space="preserve"> </w:t>
      </w:r>
      <w:r w:rsidRPr="00395593">
        <w:rPr>
          <w:rFonts w:ascii="Garamond" w:hAnsi="Garamond"/>
        </w:rPr>
        <w:t>ou</w:t>
      </w:r>
      <w:r w:rsidRPr="00395593">
        <w:rPr>
          <w:rFonts w:ascii="Garamond" w:hAnsi="Garamond"/>
          <w:spacing w:val="1"/>
        </w:rPr>
        <w:t xml:space="preserve"> </w:t>
      </w:r>
      <w:r w:rsidRPr="00395593">
        <w:rPr>
          <w:rFonts w:ascii="Garamond" w:hAnsi="Garamond"/>
        </w:rPr>
        <w:t>compromisso</w:t>
      </w:r>
      <w:r w:rsidRPr="00395593">
        <w:rPr>
          <w:rFonts w:ascii="Garamond" w:hAnsi="Garamond"/>
          <w:spacing w:val="1"/>
        </w:rPr>
        <w:t xml:space="preserve"> </w:t>
      </w:r>
      <w:r w:rsidRPr="00395593">
        <w:rPr>
          <w:rFonts w:ascii="Garamond" w:hAnsi="Garamond"/>
        </w:rPr>
        <w:t>e</w:t>
      </w:r>
      <w:r w:rsidRPr="00395593">
        <w:rPr>
          <w:rFonts w:ascii="Garamond" w:hAnsi="Garamond"/>
          <w:spacing w:val="1"/>
        </w:rPr>
        <w:t xml:space="preserve"> </w:t>
      </w:r>
      <w:r w:rsidRPr="00395593">
        <w:rPr>
          <w:rFonts w:ascii="Garamond" w:hAnsi="Garamond"/>
        </w:rPr>
        <w:t>também</w:t>
      </w:r>
      <w:r w:rsidRPr="00395593">
        <w:rPr>
          <w:rFonts w:ascii="Garamond" w:hAnsi="Garamond"/>
          <w:spacing w:val="1"/>
        </w:rPr>
        <w:t xml:space="preserve"> </w:t>
      </w:r>
      <w:r w:rsidRPr="00395593">
        <w:rPr>
          <w:rFonts w:ascii="Garamond" w:hAnsi="Garamond"/>
        </w:rPr>
        <w:t>às</w:t>
      </w:r>
      <w:r w:rsidRPr="00395593">
        <w:rPr>
          <w:rFonts w:ascii="Garamond" w:hAnsi="Garamond"/>
          <w:spacing w:val="1"/>
        </w:rPr>
        <w:t xml:space="preserve"> </w:t>
      </w:r>
      <w:r w:rsidRPr="00395593">
        <w:rPr>
          <w:rFonts w:ascii="Garamond" w:hAnsi="Garamond"/>
        </w:rPr>
        <w:t>outras</w:t>
      </w:r>
      <w:r w:rsidRPr="00395593">
        <w:rPr>
          <w:rFonts w:ascii="Garamond" w:hAnsi="Garamond"/>
          <w:spacing w:val="60"/>
        </w:rPr>
        <w:t xml:space="preserve"> </w:t>
      </w:r>
      <w:r w:rsidRPr="00395593">
        <w:rPr>
          <w:rFonts w:ascii="Garamond" w:hAnsi="Garamond"/>
        </w:rPr>
        <w:t>partes</w:t>
      </w:r>
      <w:r w:rsidRPr="00395593">
        <w:rPr>
          <w:rFonts w:ascii="Garamond" w:hAnsi="Garamond"/>
          <w:spacing w:val="1"/>
        </w:rPr>
        <w:t xml:space="preserve"> </w:t>
      </w:r>
      <w:r w:rsidRPr="00395593">
        <w:rPr>
          <w:rFonts w:ascii="Garamond" w:hAnsi="Garamond"/>
        </w:rPr>
        <w:t>interessadas</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cujo interesse se</w:t>
      </w:r>
      <w:r w:rsidRPr="00395593">
        <w:rPr>
          <w:rFonts w:ascii="Garamond" w:hAnsi="Garamond"/>
          <w:spacing w:val="-2"/>
        </w:rPr>
        <w:t xml:space="preserve"> </w:t>
      </w:r>
      <w:r w:rsidRPr="00395593">
        <w:rPr>
          <w:rFonts w:ascii="Garamond" w:hAnsi="Garamond"/>
        </w:rPr>
        <w:t>tenha conhecimento.</w:t>
      </w:r>
    </w:p>
    <w:p w14:paraId="576A8155" w14:textId="77777777" w:rsidR="0013285C" w:rsidRPr="00395593" w:rsidRDefault="0013285C" w:rsidP="0013285C">
      <w:pPr>
        <w:pStyle w:val="Corpodetexto"/>
        <w:spacing w:before="1"/>
        <w:rPr>
          <w:rFonts w:ascii="Garamond" w:hAnsi="Garamond"/>
        </w:rPr>
      </w:pPr>
    </w:p>
    <w:p w14:paraId="2BF0725F" w14:textId="77777777" w:rsidR="0013285C" w:rsidRPr="00395593" w:rsidRDefault="0013285C" w:rsidP="002C4340">
      <w:pPr>
        <w:pStyle w:val="PargrafodaLista"/>
        <w:widowControl w:val="0"/>
        <w:numPr>
          <w:ilvl w:val="0"/>
          <w:numId w:val="10"/>
        </w:numPr>
        <w:tabs>
          <w:tab w:val="left" w:pos="822"/>
        </w:tabs>
        <w:autoSpaceDE w:val="0"/>
        <w:autoSpaceDN w:val="0"/>
        <w:spacing w:after="0" w:line="240" w:lineRule="auto"/>
        <w:ind w:left="821" w:right="120"/>
        <w:contextualSpacing w:val="0"/>
        <w:jc w:val="both"/>
        <w:rPr>
          <w:rFonts w:ascii="Garamond" w:hAnsi="Garamond"/>
          <w:sz w:val="24"/>
        </w:rPr>
      </w:pPr>
      <w:r w:rsidRPr="00395593">
        <w:rPr>
          <w:rFonts w:ascii="Garamond" w:hAnsi="Garamond"/>
          <w:sz w:val="24"/>
        </w:rPr>
        <w:t>(a) Do aviso público sobre a imposição de medidas provisórias, ou do informe em</w:t>
      </w:r>
      <w:r w:rsidRPr="00395593">
        <w:rPr>
          <w:rFonts w:ascii="Garamond" w:hAnsi="Garamond"/>
          <w:spacing w:val="1"/>
          <w:sz w:val="24"/>
        </w:rPr>
        <w:t xml:space="preserve"> </w:t>
      </w:r>
      <w:r w:rsidRPr="00395593">
        <w:rPr>
          <w:rFonts w:ascii="Garamond" w:hAnsi="Garamond"/>
          <w:sz w:val="24"/>
        </w:rPr>
        <w:t>separado a ele relativo, constarão com suficiente pormenor explicações sobre as</w:t>
      </w:r>
      <w:r w:rsidRPr="00395593">
        <w:rPr>
          <w:rFonts w:ascii="Garamond" w:hAnsi="Garamond"/>
          <w:spacing w:val="1"/>
          <w:sz w:val="24"/>
        </w:rPr>
        <w:t xml:space="preserve"> </w:t>
      </w:r>
      <w:r w:rsidRPr="00395593">
        <w:rPr>
          <w:rFonts w:ascii="Garamond" w:hAnsi="Garamond"/>
          <w:sz w:val="24"/>
        </w:rPr>
        <w:t xml:space="preserve">determinações preliminares acerca do </w:t>
      </w:r>
      <w:r w:rsidRPr="00395593">
        <w:rPr>
          <w:rFonts w:ascii="Garamond" w:hAnsi="Garamond"/>
          <w:i/>
          <w:sz w:val="24"/>
        </w:rPr>
        <w:t xml:space="preserve">dumping </w:t>
      </w:r>
      <w:r w:rsidRPr="00395593">
        <w:rPr>
          <w:rFonts w:ascii="Garamond" w:hAnsi="Garamond"/>
          <w:sz w:val="24"/>
        </w:rPr>
        <w:t>e do dano e referências às matérias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fato</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direito</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levaram</w:t>
      </w:r>
      <w:r w:rsidRPr="00395593">
        <w:rPr>
          <w:rFonts w:ascii="Garamond" w:hAnsi="Garamond"/>
          <w:spacing w:val="1"/>
          <w:sz w:val="24"/>
        </w:rPr>
        <w:t xml:space="preserve"> </w:t>
      </w:r>
      <w:r w:rsidRPr="00395593">
        <w:rPr>
          <w:rFonts w:ascii="Garamond" w:hAnsi="Garamond"/>
          <w:sz w:val="24"/>
        </w:rPr>
        <w:t>à</w:t>
      </w:r>
      <w:r w:rsidRPr="00395593">
        <w:rPr>
          <w:rFonts w:ascii="Garamond" w:hAnsi="Garamond"/>
          <w:spacing w:val="1"/>
          <w:sz w:val="24"/>
        </w:rPr>
        <w:t xml:space="preserve"> </w:t>
      </w:r>
      <w:r w:rsidRPr="00395593">
        <w:rPr>
          <w:rFonts w:ascii="Garamond" w:hAnsi="Garamond"/>
          <w:sz w:val="24"/>
        </w:rPr>
        <w:t>aceitação</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à</w:t>
      </w:r>
      <w:r w:rsidRPr="00395593">
        <w:rPr>
          <w:rFonts w:ascii="Garamond" w:hAnsi="Garamond"/>
          <w:spacing w:val="1"/>
          <w:sz w:val="24"/>
        </w:rPr>
        <w:t xml:space="preserve"> </w:t>
      </w:r>
      <w:r w:rsidRPr="00395593">
        <w:rPr>
          <w:rFonts w:ascii="Garamond" w:hAnsi="Garamond"/>
          <w:sz w:val="24"/>
        </w:rPr>
        <w:t>rejeição</w:t>
      </w:r>
      <w:r w:rsidRPr="00395593">
        <w:rPr>
          <w:rFonts w:ascii="Garamond" w:hAnsi="Garamond"/>
          <w:spacing w:val="1"/>
          <w:sz w:val="24"/>
        </w:rPr>
        <w:t xml:space="preserve"> </w:t>
      </w:r>
      <w:r w:rsidRPr="00395593">
        <w:rPr>
          <w:rFonts w:ascii="Garamond" w:hAnsi="Garamond"/>
          <w:sz w:val="24"/>
        </w:rPr>
        <w:t>dos</w:t>
      </w:r>
      <w:r w:rsidRPr="00395593">
        <w:rPr>
          <w:rFonts w:ascii="Garamond" w:hAnsi="Garamond"/>
          <w:spacing w:val="1"/>
          <w:sz w:val="24"/>
        </w:rPr>
        <w:t xml:space="preserve"> </w:t>
      </w:r>
      <w:r w:rsidRPr="00395593">
        <w:rPr>
          <w:rFonts w:ascii="Garamond" w:hAnsi="Garamond"/>
          <w:sz w:val="24"/>
        </w:rPr>
        <w:t>argumentos</w:t>
      </w:r>
      <w:r w:rsidRPr="00395593">
        <w:rPr>
          <w:rFonts w:ascii="Garamond" w:hAnsi="Garamond"/>
          <w:spacing w:val="1"/>
          <w:sz w:val="24"/>
        </w:rPr>
        <w:t xml:space="preserve"> </w:t>
      </w:r>
      <w:r w:rsidRPr="00395593">
        <w:rPr>
          <w:rFonts w:ascii="Garamond" w:hAnsi="Garamond"/>
          <w:sz w:val="24"/>
        </w:rPr>
        <w:t>apresentados.</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aviso</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informe,</w:t>
      </w:r>
      <w:r w:rsidRPr="00395593">
        <w:rPr>
          <w:rFonts w:ascii="Garamond" w:hAnsi="Garamond"/>
          <w:spacing w:val="1"/>
          <w:sz w:val="24"/>
        </w:rPr>
        <w:t xml:space="preserve"> </w:t>
      </w:r>
      <w:r w:rsidRPr="00395593">
        <w:rPr>
          <w:rFonts w:ascii="Garamond" w:hAnsi="Garamond"/>
          <w:sz w:val="24"/>
        </w:rPr>
        <w:t>reservado</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direito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requerimento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confidencialidade</w:t>
      </w:r>
      <w:r w:rsidRPr="00395593">
        <w:rPr>
          <w:rFonts w:ascii="Garamond" w:hAnsi="Garamond"/>
          <w:spacing w:val="-2"/>
          <w:sz w:val="24"/>
        </w:rPr>
        <w:t xml:space="preserve"> </w:t>
      </w:r>
      <w:r w:rsidRPr="00395593">
        <w:rPr>
          <w:rFonts w:ascii="Garamond" w:hAnsi="Garamond"/>
          <w:sz w:val="24"/>
        </w:rPr>
        <w:t>para</w:t>
      </w:r>
      <w:r w:rsidRPr="00395593">
        <w:rPr>
          <w:rFonts w:ascii="Garamond" w:hAnsi="Garamond"/>
          <w:spacing w:val="-2"/>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informações prestadas,</w:t>
      </w:r>
      <w:r w:rsidRPr="00395593">
        <w:rPr>
          <w:rFonts w:ascii="Garamond" w:hAnsi="Garamond"/>
          <w:spacing w:val="-1"/>
          <w:sz w:val="24"/>
        </w:rPr>
        <w:t xml:space="preserve"> </w:t>
      </w:r>
      <w:r w:rsidRPr="00395593">
        <w:rPr>
          <w:rFonts w:ascii="Garamond" w:hAnsi="Garamond"/>
          <w:sz w:val="24"/>
        </w:rPr>
        <w:t>deverá</w:t>
      </w:r>
      <w:r w:rsidRPr="00395593">
        <w:rPr>
          <w:rFonts w:ascii="Garamond" w:hAnsi="Garamond"/>
          <w:spacing w:val="-1"/>
          <w:sz w:val="24"/>
        </w:rPr>
        <w:t xml:space="preserve"> </w:t>
      </w:r>
      <w:r w:rsidRPr="00395593">
        <w:rPr>
          <w:rFonts w:ascii="Garamond" w:hAnsi="Garamond"/>
          <w:sz w:val="24"/>
        </w:rPr>
        <w:t>conter</w:t>
      </w:r>
      <w:r w:rsidRPr="00395593">
        <w:rPr>
          <w:rFonts w:ascii="Garamond" w:hAnsi="Garamond"/>
          <w:spacing w:val="-1"/>
          <w:sz w:val="24"/>
        </w:rPr>
        <w:t xml:space="preserve"> </w:t>
      </w:r>
      <w:r w:rsidRPr="00395593">
        <w:rPr>
          <w:rFonts w:ascii="Garamond" w:hAnsi="Garamond"/>
          <w:sz w:val="24"/>
        </w:rPr>
        <w:t>em particular:</w:t>
      </w:r>
    </w:p>
    <w:p w14:paraId="42606DD8" w14:textId="77777777" w:rsidR="0013285C" w:rsidRPr="00395593" w:rsidRDefault="0013285C" w:rsidP="0013285C">
      <w:pPr>
        <w:pStyle w:val="Corpodetexto"/>
        <w:rPr>
          <w:rFonts w:ascii="Garamond" w:hAnsi="Garamond"/>
        </w:rPr>
      </w:pPr>
    </w:p>
    <w:p w14:paraId="0862CE50" w14:textId="77777777" w:rsidR="0013285C" w:rsidRPr="00395593" w:rsidRDefault="0013285C" w:rsidP="002C4340">
      <w:pPr>
        <w:pStyle w:val="PargrafodaLista"/>
        <w:widowControl w:val="0"/>
        <w:numPr>
          <w:ilvl w:val="1"/>
          <w:numId w:val="10"/>
        </w:numPr>
        <w:tabs>
          <w:tab w:val="left" w:pos="1518"/>
        </w:tabs>
        <w:autoSpaceDE w:val="0"/>
        <w:autoSpaceDN w:val="0"/>
        <w:spacing w:after="0" w:line="240" w:lineRule="auto"/>
        <w:ind w:left="1181" w:right="123" w:firstLine="0"/>
        <w:contextualSpacing w:val="0"/>
        <w:jc w:val="both"/>
        <w:rPr>
          <w:rFonts w:ascii="Garamond" w:hAnsi="Garamond"/>
          <w:sz w:val="24"/>
        </w:rPr>
      </w:pPr>
      <w:r w:rsidRPr="00395593">
        <w:rPr>
          <w:rFonts w:ascii="Garamond" w:hAnsi="Garamond"/>
          <w:sz w:val="24"/>
        </w:rPr>
        <w:t>os nomes dos fornecedores ou, quando isso for impossível, o dos países</w:t>
      </w:r>
      <w:r w:rsidRPr="00395593">
        <w:rPr>
          <w:rFonts w:ascii="Garamond" w:hAnsi="Garamond"/>
          <w:spacing w:val="1"/>
          <w:sz w:val="24"/>
        </w:rPr>
        <w:t xml:space="preserve"> </w:t>
      </w:r>
      <w:r w:rsidRPr="00395593">
        <w:rPr>
          <w:rFonts w:ascii="Garamond" w:hAnsi="Garamond"/>
          <w:sz w:val="24"/>
        </w:rPr>
        <w:t>envolvidos;</w:t>
      </w:r>
    </w:p>
    <w:p w14:paraId="51919A8B" w14:textId="77777777" w:rsidR="0013285C" w:rsidRPr="00395593" w:rsidRDefault="0013285C" w:rsidP="0013285C">
      <w:pPr>
        <w:pStyle w:val="Corpodetexto"/>
        <w:rPr>
          <w:rFonts w:ascii="Garamond" w:hAnsi="Garamond"/>
        </w:rPr>
      </w:pPr>
    </w:p>
    <w:p w14:paraId="59E2AB46" w14:textId="77777777" w:rsidR="0013285C" w:rsidRPr="00395593" w:rsidRDefault="0013285C" w:rsidP="002C4340">
      <w:pPr>
        <w:pStyle w:val="PargrafodaLista"/>
        <w:widowControl w:val="0"/>
        <w:numPr>
          <w:ilvl w:val="1"/>
          <w:numId w:val="10"/>
        </w:numPr>
        <w:tabs>
          <w:tab w:val="left" w:pos="1536"/>
        </w:tabs>
        <w:autoSpaceDE w:val="0"/>
        <w:autoSpaceDN w:val="0"/>
        <w:spacing w:after="0" w:line="240" w:lineRule="auto"/>
        <w:ind w:left="1535" w:hanging="355"/>
        <w:contextualSpacing w:val="0"/>
        <w:jc w:val="both"/>
        <w:rPr>
          <w:rFonts w:ascii="Garamond" w:hAnsi="Garamond"/>
          <w:sz w:val="24"/>
        </w:rPr>
      </w:pPr>
      <w:r w:rsidRPr="00395593">
        <w:rPr>
          <w:rFonts w:ascii="Garamond" w:hAnsi="Garamond"/>
          <w:sz w:val="24"/>
        </w:rPr>
        <w:t>suficiente</w:t>
      </w:r>
      <w:r w:rsidRPr="00395593">
        <w:rPr>
          <w:rFonts w:ascii="Garamond" w:hAnsi="Garamond"/>
          <w:spacing w:val="-1"/>
          <w:sz w:val="24"/>
        </w:rPr>
        <w:t xml:space="preserve"> </w:t>
      </w:r>
      <w:r w:rsidRPr="00395593">
        <w:rPr>
          <w:rFonts w:ascii="Garamond" w:hAnsi="Garamond"/>
          <w:sz w:val="24"/>
        </w:rPr>
        <w:t>descrição</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produto</w:t>
      </w:r>
      <w:r w:rsidRPr="00395593">
        <w:rPr>
          <w:rFonts w:ascii="Garamond" w:hAnsi="Garamond"/>
          <w:spacing w:val="-1"/>
          <w:sz w:val="24"/>
        </w:rPr>
        <w:t xml:space="preserve"> </w:t>
      </w:r>
      <w:r w:rsidRPr="00395593">
        <w:rPr>
          <w:rFonts w:ascii="Garamond" w:hAnsi="Garamond"/>
          <w:sz w:val="24"/>
        </w:rPr>
        <w:t>para fins aduaneiros;</w:t>
      </w:r>
    </w:p>
    <w:p w14:paraId="67D18208" w14:textId="77777777" w:rsidR="0013285C" w:rsidRPr="00395593" w:rsidRDefault="0013285C" w:rsidP="0013285C">
      <w:pPr>
        <w:pStyle w:val="Corpodetexto"/>
        <w:rPr>
          <w:rFonts w:ascii="Garamond" w:hAnsi="Garamond"/>
        </w:rPr>
      </w:pPr>
    </w:p>
    <w:p w14:paraId="6B76526F" w14:textId="77777777" w:rsidR="0013285C" w:rsidRPr="00395593" w:rsidRDefault="0013285C" w:rsidP="002C4340">
      <w:pPr>
        <w:pStyle w:val="PargrafodaLista"/>
        <w:widowControl w:val="0"/>
        <w:numPr>
          <w:ilvl w:val="1"/>
          <w:numId w:val="10"/>
        </w:numPr>
        <w:tabs>
          <w:tab w:val="left" w:pos="1641"/>
        </w:tabs>
        <w:autoSpaceDE w:val="0"/>
        <w:autoSpaceDN w:val="0"/>
        <w:spacing w:after="0" w:line="240" w:lineRule="auto"/>
        <w:ind w:left="1181" w:right="120" w:firstLine="0"/>
        <w:contextualSpacing w:val="0"/>
        <w:jc w:val="both"/>
        <w:rPr>
          <w:rFonts w:ascii="Garamond" w:hAnsi="Garamond"/>
          <w:sz w:val="24"/>
        </w:rPr>
      </w:pPr>
      <w:r w:rsidRPr="00395593">
        <w:rPr>
          <w:rFonts w:ascii="Garamond" w:hAnsi="Garamond"/>
          <w:sz w:val="24"/>
        </w:rPr>
        <w:t xml:space="preserve">as margens de </w:t>
      </w:r>
      <w:r w:rsidRPr="00395593">
        <w:rPr>
          <w:rFonts w:ascii="Garamond" w:hAnsi="Garamond"/>
          <w:i/>
          <w:sz w:val="24"/>
        </w:rPr>
        <w:t xml:space="preserve">dumping </w:t>
      </w:r>
      <w:r w:rsidRPr="00395593">
        <w:rPr>
          <w:rFonts w:ascii="Garamond" w:hAnsi="Garamond"/>
          <w:sz w:val="24"/>
        </w:rPr>
        <w:t>encontradas e completa explicação das bases da</w:t>
      </w:r>
      <w:r w:rsidRPr="00395593">
        <w:rPr>
          <w:rFonts w:ascii="Garamond" w:hAnsi="Garamond"/>
          <w:spacing w:val="1"/>
          <w:sz w:val="24"/>
        </w:rPr>
        <w:t xml:space="preserve"> </w:t>
      </w:r>
      <w:r w:rsidRPr="00395593">
        <w:rPr>
          <w:rFonts w:ascii="Garamond" w:hAnsi="Garamond"/>
          <w:sz w:val="24"/>
        </w:rPr>
        <w:t>metodologia</w:t>
      </w:r>
      <w:r w:rsidRPr="00395593">
        <w:rPr>
          <w:rFonts w:ascii="Garamond" w:hAnsi="Garamond"/>
          <w:spacing w:val="1"/>
          <w:sz w:val="24"/>
        </w:rPr>
        <w:t xml:space="preserve"> </w:t>
      </w:r>
      <w:r w:rsidRPr="00395593">
        <w:rPr>
          <w:rFonts w:ascii="Garamond" w:hAnsi="Garamond"/>
          <w:sz w:val="24"/>
        </w:rPr>
        <w:t>utilizada</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1"/>
          <w:sz w:val="24"/>
        </w:rPr>
        <w:t xml:space="preserve"> </w:t>
      </w:r>
      <w:r w:rsidRPr="00395593">
        <w:rPr>
          <w:rFonts w:ascii="Garamond" w:hAnsi="Garamond"/>
          <w:sz w:val="24"/>
        </w:rPr>
        <w:t>estabelecimento</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comparação</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preço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exportação</w:t>
      </w:r>
      <w:r w:rsidRPr="00395593">
        <w:rPr>
          <w:rFonts w:ascii="Garamond" w:hAnsi="Garamond"/>
          <w:spacing w:val="-1"/>
          <w:sz w:val="24"/>
        </w:rPr>
        <w:t xml:space="preserve"> </w:t>
      </w:r>
      <w:r w:rsidRPr="00395593">
        <w:rPr>
          <w:rFonts w:ascii="Garamond" w:hAnsi="Garamond"/>
          <w:sz w:val="24"/>
        </w:rPr>
        <w:t>com o valor</w:t>
      </w:r>
      <w:r w:rsidRPr="00395593">
        <w:rPr>
          <w:rFonts w:ascii="Garamond" w:hAnsi="Garamond"/>
          <w:spacing w:val="-1"/>
          <w:sz w:val="24"/>
        </w:rPr>
        <w:t xml:space="preserve"> </w:t>
      </w:r>
      <w:r w:rsidRPr="00395593">
        <w:rPr>
          <w:rFonts w:ascii="Garamond" w:hAnsi="Garamond"/>
          <w:sz w:val="24"/>
        </w:rPr>
        <w:t>normal,</w:t>
      </w:r>
      <w:r w:rsidRPr="00395593">
        <w:rPr>
          <w:rFonts w:ascii="Garamond" w:hAnsi="Garamond"/>
          <w:spacing w:val="-1"/>
          <w:sz w:val="24"/>
        </w:rPr>
        <w:t xml:space="preserve"> </w:t>
      </w:r>
      <w:r w:rsidRPr="00395593">
        <w:rPr>
          <w:rFonts w:ascii="Garamond" w:hAnsi="Garamond"/>
          <w:sz w:val="24"/>
        </w:rPr>
        <w:t>conforme o disposto no</w:t>
      </w:r>
      <w:r w:rsidRPr="00395593">
        <w:rPr>
          <w:rFonts w:ascii="Garamond" w:hAnsi="Garamond"/>
          <w:spacing w:val="-1"/>
          <w:sz w:val="24"/>
        </w:rPr>
        <w:t xml:space="preserve"> </w:t>
      </w:r>
      <w:r w:rsidRPr="00395593">
        <w:rPr>
          <w:rFonts w:ascii="Garamond" w:hAnsi="Garamond"/>
          <w:sz w:val="24"/>
        </w:rPr>
        <w:t>Artigo 2.</w:t>
      </w:r>
    </w:p>
    <w:p w14:paraId="35454AE2" w14:textId="77777777" w:rsidR="0013285C" w:rsidRPr="00395593" w:rsidRDefault="0013285C" w:rsidP="0013285C">
      <w:pPr>
        <w:pStyle w:val="Corpodetexto"/>
        <w:spacing w:before="1"/>
        <w:rPr>
          <w:rFonts w:ascii="Garamond" w:hAnsi="Garamond"/>
        </w:rPr>
      </w:pPr>
    </w:p>
    <w:p w14:paraId="3E56A2EF" w14:textId="77777777" w:rsidR="0013285C" w:rsidRPr="00395593" w:rsidRDefault="0013285C" w:rsidP="002C4340">
      <w:pPr>
        <w:pStyle w:val="PargrafodaLista"/>
        <w:widowControl w:val="0"/>
        <w:numPr>
          <w:ilvl w:val="1"/>
          <w:numId w:val="10"/>
        </w:numPr>
        <w:tabs>
          <w:tab w:val="left" w:pos="1657"/>
        </w:tabs>
        <w:autoSpaceDE w:val="0"/>
        <w:autoSpaceDN w:val="0"/>
        <w:spacing w:after="0" w:line="240" w:lineRule="auto"/>
        <w:ind w:left="1181" w:right="121" w:firstLine="0"/>
        <w:contextualSpacing w:val="0"/>
        <w:jc w:val="both"/>
        <w:rPr>
          <w:rFonts w:ascii="Garamond" w:hAnsi="Garamond"/>
          <w:sz w:val="24"/>
        </w:rPr>
      </w:pP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considerações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julguem</w:t>
      </w:r>
      <w:r w:rsidRPr="00395593">
        <w:rPr>
          <w:rFonts w:ascii="Garamond" w:hAnsi="Garamond"/>
          <w:spacing w:val="1"/>
          <w:sz w:val="24"/>
        </w:rPr>
        <w:t xml:space="preserve"> </w:t>
      </w:r>
      <w:r w:rsidRPr="00395593">
        <w:rPr>
          <w:rFonts w:ascii="Garamond" w:hAnsi="Garamond"/>
          <w:sz w:val="24"/>
        </w:rPr>
        <w:t>necessárias</w:t>
      </w:r>
      <w:r w:rsidRPr="00395593">
        <w:rPr>
          <w:rFonts w:ascii="Garamond" w:hAnsi="Garamond"/>
          <w:spacing w:val="1"/>
          <w:sz w:val="24"/>
        </w:rPr>
        <w:t xml:space="preserve"> </w:t>
      </w:r>
      <w:r w:rsidRPr="00395593">
        <w:rPr>
          <w:rFonts w:ascii="Garamond" w:hAnsi="Garamond"/>
          <w:sz w:val="24"/>
        </w:rPr>
        <w:t>à</w:t>
      </w:r>
      <w:r w:rsidRPr="00395593">
        <w:rPr>
          <w:rFonts w:ascii="Garamond" w:hAnsi="Garamond"/>
          <w:spacing w:val="1"/>
          <w:sz w:val="24"/>
        </w:rPr>
        <w:t xml:space="preserve"> </w:t>
      </w:r>
      <w:r w:rsidRPr="00395593">
        <w:rPr>
          <w:rFonts w:ascii="Garamond" w:hAnsi="Garamond"/>
          <w:sz w:val="24"/>
        </w:rPr>
        <w:t>determinação</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dano,</w:t>
      </w:r>
      <w:r w:rsidRPr="00395593">
        <w:rPr>
          <w:rFonts w:ascii="Garamond" w:hAnsi="Garamond"/>
          <w:spacing w:val="1"/>
          <w:sz w:val="24"/>
        </w:rPr>
        <w:t xml:space="preserve"> </w:t>
      </w:r>
      <w:r w:rsidRPr="00395593">
        <w:rPr>
          <w:rFonts w:ascii="Garamond" w:hAnsi="Garamond"/>
          <w:sz w:val="24"/>
        </w:rPr>
        <w:t>conforme estabelecido no Artigo 3;</w:t>
      </w:r>
    </w:p>
    <w:p w14:paraId="1CB574B5" w14:textId="77777777" w:rsidR="0013285C" w:rsidRPr="00395593" w:rsidRDefault="0013285C" w:rsidP="0013285C">
      <w:pPr>
        <w:pStyle w:val="Corpodetexto"/>
        <w:rPr>
          <w:rFonts w:ascii="Garamond" w:hAnsi="Garamond"/>
        </w:rPr>
      </w:pPr>
    </w:p>
    <w:p w14:paraId="784AFAF9" w14:textId="77777777" w:rsidR="0013285C" w:rsidRPr="00395593" w:rsidRDefault="0013285C" w:rsidP="002C4340">
      <w:pPr>
        <w:pStyle w:val="PargrafodaLista"/>
        <w:widowControl w:val="0"/>
        <w:numPr>
          <w:ilvl w:val="1"/>
          <w:numId w:val="10"/>
        </w:numPr>
        <w:tabs>
          <w:tab w:val="left" w:pos="1521"/>
        </w:tabs>
        <w:autoSpaceDE w:val="0"/>
        <w:autoSpaceDN w:val="0"/>
        <w:spacing w:after="0" w:line="240" w:lineRule="auto"/>
        <w:ind w:left="1520" w:hanging="340"/>
        <w:contextualSpacing w:val="0"/>
        <w:jc w:val="both"/>
        <w:rPr>
          <w:rFonts w:ascii="Garamond" w:hAnsi="Garamond"/>
          <w:sz w:val="24"/>
        </w:rPr>
      </w:pP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principais</w:t>
      </w:r>
      <w:r w:rsidRPr="00395593">
        <w:rPr>
          <w:rFonts w:ascii="Garamond" w:hAnsi="Garamond"/>
          <w:spacing w:val="-1"/>
          <w:sz w:val="24"/>
        </w:rPr>
        <w:t xml:space="preserve"> </w:t>
      </w:r>
      <w:r w:rsidRPr="00395593">
        <w:rPr>
          <w:rFonts w:ascii="Garamond" w:hAnsi="Garamond"/>
          <w:sz w:val="24"/>
        </w:rPr>
        <w:t>razões em</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2"/>
          <w:sz w:val="24"/>
        </w:rPr>
        <w:t xml:space="preserve"> </w:t>
      </w:r>
      <w:r w:rsidRPr="00395593">
        <w:rPr>
          <w:rFonts w:ascii="Garamond" w:hAnsi="Garamond"/>
          <w:sz w:val="24"/>
        </w:rPr>
        <w:t>baseia a</w:t>
      </w:r>
      <w:r w:rsidRPr="00395593">
        <w:rPr>
          <w:rFonts w:ascii="Garamond" w:hAnsi="Garamond"/>
          <w:spacing w:val="-2"/>
          <w:sz w:val="24"/>
        </w:rPr>
        <w:t xml:space="preserve"> </w:t>
      </w:r>
      <w:r w:rsidRPr="00395593">
        <w:rPr>
          <w:rFonts w:ascii="Garamond" w:hAnsi="Garamond"/>
          <w:sz w:val="24"/>
        </w:rPr>
        <w:t>determinação.</w:t>
      </w:r>
    </w:p>
    <w:p w14:paraId="6F8B1DA3" w14:textId="77777777" w:rsidR="0013285C" w:rsidRPr="00395593" w:rsidRDefault="0013285C" w:rsidP="0013285C">
      <w:pPr>
        <w:pStyle w:val="Corpodetexto"/>
        <w:rPr>
          <w:rFonts w:ascii="Garamond" w:hAnsi="Garamond"/>
        </w:rPr>
      </w:pPr>
    </w:p>
    <w:p w14:paraId="46FCE7BB" w14:textId="77777777" w:rsidR="0013285C" w:rsidRPr="00395593" w:rsidRDefault="0013285C" w:rsidP="002C4340">
      <w:pPr>
        <w:pStyle w:val="PargrafodaLista"/>
        <w:widowControl w:val="0"/>
        <w:numPr>
          <w:ilvl w:val="0"/>
          <w:numId w:val="9"/>
        </w:numPr>
        <w:tabs>
          <w:tab w:val="left" w:pos="822"/>
        </w:tabs>
        <w:autoSpaceDE w:val="0"/>
        <w:autoSpaceDN w:val="0"/>
        <w:spacing w:after="0" w:line="240" w:lineRule="auto"/>
        <w:ind w:left="821" w:right="119"/>
        <w:contextualSpacing w:val="0"/>
        <w:jc w:val="both"/>
        <w:rPr>
          <w:rFonts w:ascii="Garamond" w:hAnsi="Garamond"/>
          <w:sz w:val="24"/>
        </w:rPr>
      </w:pPr>
      <w:r w:rsidRPr="00395593">
        <w:rPr>
          <w:rFonts w:ascii="Garamond" w:hAnsi="Garamond"/>
          <w:sz w:val="24"/>
        </w:rPr>
        <w:t>O aviso público que informe sobre a conclusão ou a suspensão de uma investigação,</w:t>
      </w:r>
      <w:r w:rsidRPr="00395593">
        <w:rPr>
          <w:rFonts w:ascii="Garamond" w:hAnsi="Garamond"/>
          <w:spacing w:val="-57"/>
          <w:sz w:val="24"/>
        </w:rPr>
        <w:t xml:space="preserve"> </w:t>
      </w:r>
      <w:r w:rsidRPr="00395593">
        <w:rPr>
          <w:rFonts w:ascii="Garamond" w:hAnsi="Garamond"/>
          <w:sz w:val="24"/>
        </w:rPr>
        <w:t>caso</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tenha</w:t>
      </w:r>
      <w:r w:rsidRPr="00395593">
        <w:rPr>
          <w:rFonts w:ascii="Garamond" w:hAnsi="Garamond"/>
          <w:spacing w:val="1"/>
          <w:sz w:val="24"/>
        </w:rPr>
        <w:t xml:space="preserve"> </w:t>
      </w:r>
      <w:r w:rsidRPr="00395593">
        <w:rPr>
          <w:rFonts w:ascii="Garamond" w:hAnsi="Garamond"/>
          <w:sz w:val="24"/>
        </w:rPr>
        <w:t>chegado</w:t>
      </w:r>
      <w:r w:rsidRPr="00395593">
        <w:rPr>
          <w:rFonts w:ascii="Garamond" w:hAnsi="Garamond"/>
          <w:spacing w:val="1"/>
          <w:sz w:val="24"/>
        </w:rPr>
        <w:t xml:space="preserve"> </w:t>
      </w:r>
      <w:r w:rsidRPr="00395593">
        <w:rPr>
          <w:rFonts w:ascii="Garamond" w:hAnsi="Garamond"/>
          <w:sz w:val="24"/>
        </w:rPr>
        <w:t>à</w:t>
      </w:r>
      <w:r w:rsidRPr="00395593">
        <w:rPr>
          <w:rFonts w:ascii="Garamond" w:hAnsi="Garamond"/>
          <w:spacing w:val="1"/>
          <w:sz w:val="24"/>
        </w:rPr>
        <w:t xml:space="preserve"> </w:t>
      </w:r>
      <w:r w:rsidRPr="00395593">
        <w:rPr>
          <w:rFonts w:ascii="Garamond" w:hAnsi="Garamond"/>
          <w:sz w:val="24"/>
        </w:rPr>
        <w:t>determinação</w:t>
      </w:r>
      <w:r w:rsidRPr="00395593">
        <w:rPr>
          <w:rFonts w:ascii="Garamond" w:hAnsi="Garamond"/>
          <w:spacing w:val="1"/>
          <w:sz w:val="24"/>
        </w:rPr>
        <w:t xml:space="preserve"> </w:t>
      </w:r>
      <w:r w:rsidRPr="00395593">
        <w:rPr>
          <w:rFonts w:ascii="Garamond" w:hAnsi="Garamond"/>
          <w:sz w:val="24"/>
        </w:rPr>
        <w:t>afirmativa</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implique</w:t>
      </w:r>
      <w:r w:rsidRPr="00395593">
        <w:rPr>
          <w:rFonts w:ascii="Garamond" w:hAnsi="Garamond"/>
          <w:spacing w:val="1"/>
          <w:sz w:val="24"/>
        </w:rPr>
        <w:t xml:space="preserve"> </w:t>
      </w:r>
      <w:r w:rsidRPr="00395593">
        <w:rPr>
          <w:rFonts w:ascii="Garamond" w:hAnsi="Garamond"/>
          <w:sz w:val="24"/>
        </w:rPr>
        <w:t>imposição</w:t>
      </w:r>
      <w:r w:rsidRPr="00395593">
        <w:rPr>
          <w:rFonts w:ascii="Garamond" w:hAnsi="Garamond"/>
          <w:spacing w:val="60"/>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direitos definitivos ou aceitação de compromisso sobre preço,</w:t>
      </w:r>
      <w:r w:rsidRPr="00395593">
        <w:rPr>
          <w:rFonts w:ascii="Garamond" w:hAnsi="Garamond"/>
          <w:spacing w:val="1"/>
          <w:sz w:val="24"/>
        </w:rPr>
        <w:t xml:space="preserve"> </w:t>
      </w:r>
      <w:r w:rsidRPr="00395593">
        <w:rPr>
          <w:rFonts w:ascii="Garamond" w:hAnsi="Garamond"/>
          <w:sz w:val="24"/>
        </w:rPr>
        <w:t>conterá,</w:t>
      </w:r>
      <w:r w:rsidRPr="00395593">
        <w:rPr>
          <w:rFonts w:ascii="Garamond" w:hAnsi="Garamond"/>
          <w:spacing w:val="1"/>
          <w:sz w:val="24"/>
        </w:rPr>
        <w:t xml:space="preserve"> </w:t>
      </w:r>
      <w:r w:rsidRPr="00395593">
        <w:rPr>
          <w:rFonts w:ascii="Garamond" w:hAnsi="Garamond"/>
          <w:sz w:val="24"/>
        </w:rPr>
        <w:t>ou trará</w:t>
      </w:r>
      <w:r w:rsidRPr="00395593">
        <w:rPr>
          <w:rFonts w:ascii="Garamond" w:hAnsi="Garamond"/>
          <w:spacing w:val="1"/>
          <w:sz w:val="24"/>
        </w:rPr>
        <w:t xml:space="preserve"> </w:t>
      </w:r>
      <w:r w:rsidRPr="00395593">
        <w:rPr>
          <w:rFonts w:ascii="Garamond" w:hAnsi="Garamond"/>
          <w:sz w:val="24"/>
        </w:rPr>
        <w:t>consigo</w:t>
      </w:r>
      <w:r w:rsidRPr="00395593">
        <w:rPr>
          <w:rFonts w:ascii="Garamond" w:hAnsi="Garamond"/>
          <w:spacing w:val="24"/>
          <w:sz w:val="24"/>
        </w:rPr>
        <w:t xml:space="preserve"> </w:t>
      </w:r>
      <w:r w:rsidRPr="00395593">
        <w:rPr>
          <w:rFonts w:ascii="Garamond" w:hAnsi="Garamond"/>
          <w:sz w:val="24"/>
        </w:rPr>
        <w:t>informe</w:t>
      </w:r>
      <w:r w:rsidRPr="00395593">
        <w:rPr>
          <w:rFonts w:ascii="Garamond" w:hAnsi="Garamond"/>
          <w:spacing w:val="24"/>
          <w:sz w:val="24"/>
        </w:rPr>
        <w:t xml:space="preserve"> </w:t>
      </w:r>
      <w:r w:rsidRPr="00395593">
        <w:rPr>
          <w:rFonts w:ascii="Garamond" w:hAnsi="Garamond"/>
          <w:sz w:val="24"/>
        </w:rPr>
        <w:t>em</w:t>
      </w:r>
      <w:r w:rsidRPr="00395593">
        <w:rPr>
          <w:rFonts w:ascii="Garamond" w:hAnsi="Garamond"/>
          <w:spacing w:val="25"/>
          <w:sz w:val="24"/>
        </w:rPr>
        <w:t xml:space="preserve"> </w:t>
      </w:r>
      <w:r w:rsidRPr="00395593">
        <w:rPr>
          <w:rFonts w:ascii="Garamond" w:hAnsi="Garamond"/>
          <w:sz w:val="24"/>
        </w:rPr>
        <w:t>separado</w:t>
      </w:r>
      <w:r w:rsidRPr="00395593">
        <w:rPr>
          <w:rFonts w:ascii="Garamond" w:hAnsi="Garamond"/>
          <w:spacing w:val="24"/>
          <w:sz w:val="24"/>
        </w:rPr>
        <w:t xml:space="preserve"> </w:t>
      </w:r>
      <w:r w:rsidRPr="00395593">
        <w:rPr>
          <w:rFonts w:ascii="Garamond" w:hAnsi="Garamond"/>
          <w:sz w:val="24"/>
        </w:rPr>
        <w:t>que</w:t>
      </w:r>
      <w:r w:rsidRPr="00395593">
        <w:rPr>
          <w:rFonts w:ascii="Garamond" w:hAnsi="Garamond"/>
          <w:spacing w:val="24"/>
          <w:sz w:val="24"/>
        </w:rPr>
        <w:t xml:space="preserve"> </w:t>
      </w:r>
      <w:r w:rsidRPr="00395593">
        <w:rPr>
          <w:rFonts w:ascii="Garamond" w:hAnsi="Garamond"/>
          <w:sz w:val="24"/>
        </w:rPr>
        <w:t>contenha</w:t>
      </w:r>
      <w:r w:rsidRPr="00395593">
        <w:rPr>
          <w:rFonts w:ascii="Garamond" w:hAnsi="Garamond"/>
          <w:spacing w:val="24"/>
          <w:sz w:val="24"/>
        </w:rPr>
        <w:t xml:space="preserve"> </w:t>
      </w:r>
      <w:r w:rsidRPr="00395593">
        <w:rPr>
          <w:rFonts w:ascii="Garamond" w:hAnsi="Garamond"/>
          <w:sz w:val="24"/>
        </w:rPr>
        <w:t>rodas</w:t>
      </w:r>
      <w:r w:rsidRPr="00395593">
        <w:rPr>
          <w:rFonts w:ascii="Garamond" w:hAnsi="Garamond"/>
          <w:spacing w:val="24"/>
          <w:sz w:val="24"/>
        </w:rPr>
        <w:t xml:space="preserve"> </w:t>
      </w:r>
      <w:r w:rsidRPr="00395593">
        <w:rPr>
          <w:rFonts w:ascii="Garamond" w:hAnsi="Garamond"/>
          <w:sz w:val="24"/>
        </w:rPr>
        <w:t>as</w:t>
      </w:r>
      <w:r w:rsidRPr="00395593">
        <w:rPr>
          <w:rFonts w:ascii="Garamond" w:hAnsi="Garamond"/>
          <w:spacing w:val="25"/>
          <w:sz w:val="24"/>
        </w:rPr>
        <w:t xml:space="preserve"> </w:t>
      </w:r>
      <w:r w:rsidRPr="00395593">
        <w:rPr>
          <w:rFonts w:ascii="Garamond" w:hAnsi="Garamond"/>
          <w:sz w:val="24"/>
        </w:rPr>
        <w:t>informações</w:t>
      </w:r>
      <w:r w:rsidRPr="00395593">
        <w:rPr>
          <w:rFonts w:ascii="Garamond" w:hAnsi="Garamond"/>
          <w:spacing w:val="25"/>
          <w:sz w:val="24"/>
        </w:rPr>
        <w:t xml:space="preserve"> </w:t>
      </w:r>
      <w:r w:rsidRPr="00395593">
        <w:rPr>
          <w:rFonts w:ascii="Garamond" w:hAnsi="Garamond"/>
          <w:sz w:val="24"/>
        </w:rPr>
        <w:t>relevantes</w:t>
      </w:r>
      <w:r w:rsidRPr="00395593">
        <w:rPr>
          <w:rFonts w:ascii="Garamond" w:hAnsi="Garamond"/>
          <w:spacing w:val="24"/>
          <w:sz w:val="24"/>
        </w:rPr>
        <w:t xml:space="preserve"> </w:t>
      </w:r>
      <w:r w:rsidRPr="00395593">
        <w:rPr>
          <w:rFonts w:ascii="Garamond" w:hAnsi="Garamond"/>
          <w:sz w:val="24"/>
        </w:rPr>
        <w:t>sobre</w:t>
      </w:r>
      <w:r w:rsidRPr="00395593">
        <w:rPr>
          <w:rFonts w:ascii="Garamond" w:hAnsi="Garamond"/>
          <w:spacing w:val="-58"/>
          <w:sz w:val="24"/>
        </w:rPr>
        <w:t xml:space="preserve"> </w:t>
      </w:r>
      <w:r w:rsidRPr="00395593">
        <w:rPr>
          <w:rFonts w:ascii="Garamond" w:hAnsi="Garamond"/>
          <w:sz w:val="24"/>
        </w:rPr>
        <w:t>as matérias de fato e de direito e sobre os motivos que levaram à imposição das</w:t>
      </w:r>
      <w:r w:rsidRPr="00395593">
        <w:rPr>
          <w:rFonts w:ascii="Garamond" w:hAnsi="Garamond"/>
          <w:spacing w:val="1"/>
          <w:sz w:val="24"/>
        </w:rPr>
        <w:t xml:space="preserve"> </w:t>
      </w:r>
      <w:r w:rsidRPr="00395593">
        <w:rPr>
          <w:rFonts w:ascii="Garamond" w:hAnsi="Garamond"/>
          <w:sz w:val="24"/>
        </w:rPr>
        <w:t>medidas definitivas ou à aceitação do compromisso sobre preço, reservado o direito</w:t>
      </w:r>
      <w:r w:rsidRPr="00395593">
        <w:rPr>
          <w:rFonts w:ascii="Garamond" w:hAnsi="Garamond"/>
          <w:spacing w:val="1"/>
          <w:sz w:val="24"/>
        </w:rPr>
        <w:t xml:space="preserve"> </w:t>
      </w:r>
      <w:r w:rsidRPr="00395593">
        <w:rPr>
          <w:rFonts w:ascii="Garamond" w:hAnsi="Garamond"/>
          <w:sz w:val="24"/>
        </w:rPr>
        <w:t>de requerimento de confidencialidade para as informações prestadas. Em especial, o</w:t>
      </w:r>
      <w:r w:rsidRPr="00395593">
        <w:rPr>
          <w:rFonts w:ascii="Garamond" w:hAnsi="Garamond"/>
          <w:spacing w:val="-57"/>
          <w:sz w:val="24"/>
        </w:rPr>
        <w:t xml:space="preserve"> </w:t>
      </w:r>
      <w:r w:rsidRPr="00395593">
        <w:rPr>
          <w:rFonts w:ascii="Garamond" w:hAnsi="Garamond"/>
          <w:sz w:val="24"/>
        </w:rPr>
        <w:t>aviso ou informe deverá conter as informações descritas no subparágrafo 4(a), assim</w:t>
      </w:r>
      <w:r w:rsidRPr="00395593">
        <w:rPr>
          <w:rFonts w:ascii="Garamond" w:hAnsi="Garamond"/>
          <w:spacing w:val="-57"/>
          <w:sz w:val="24"/>
        </w:rPr>
        <w:t xml:space="preserve"> </w:t>
      </w:r>
      <w:r w:rsidRPr="00395593">
        <w:rPr>
          <w:rFonts w:ascii="Garamond" w:hAnsi="Garamond"/>
          <w:sz w:val="24"/>
        </w:rPr>
        <w:t>como as razões para aceitação ou rejeição dos argumentos pertinentes ou alegações</w:t>
      </w:r>
      <w:r w:rsidRPr="00395593">
        <w:rPr>
          <w:rFonts w:ascii="Garamond" w:hAnsi="Garamond"/>
          <w:spacing w:val="1"/>
          <w:sz w:val="24"/>
        </w:rPr>
        <w:t xml:space="preserve"> </w:t>
      </w:r>
      <w:r w:rsidRPr="00395593">
        <w:rPr>
          <w:rFonts w:ascii="Garamond" w:hAnsi="Garamond"/>
          <w:sz w:val="24"/>
        </w:rPr>
        <w:t>dos exportadores e importadores e a base de toda decisão adotada à luz do disposto</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subparágrafo 13 (b) do Artigo 6;</w:t>
      </w:r>
    </w:p>
    <w:p w14:paraId="574DD32F" w14:textId="77777777" w:rsidR="0013285C" w:rsidRPr="00395593" w:rsidRDefault="0013285C" w:rsidP="002C4340">
      <w:pPr>
        <w:pStyle w:val="PargrafodaLista"/>
        <w:widowControl w:val="0"/>
        <w:numPr>
          <w:ilvl w:val="0"/>
          <w:numId w:val="9"/>
        </w:numPr>
        <w:tabs>
          <w:tab w:val="left" w:pos="822"/>
        </w:tabs>
        <w:autoSpaceDE w:val="0"/>
        <w:autoSpaceDN w:val="0"/>
        <w:spacing w:before="68" w:after="0" w:line="240" w:lineRule="auto"/>
        <w:ind w:left="821" w:right="122"/>
        <w:contextualSpacing w:val="0"/>
        <w:jc w:val="both"/>
        <w:rPr>
          <w:rFonts w:ascii="Garamond" w:hAnsi="Garamond"/>
          <w:sz w:val="24"/>
        </w:rPr>
      </w:pP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aviso</w:t>
      </w:r>
      <w:r w:rsidRPr="00395593">
        <w:rPr>
          <w:rFonts w:ascii="Garamond" w:hAnsi="Garamond"/>
          <w:spacing w:val="1"/>
          <w:sz w:val="24"/>
        </w:rPr>
        <w:t xml:space="preserve"> </w:t>
      </w:r>
      <w:r w:rsidRPr="00395593">
        <w:rPr>
          <w:rFonts w:ascii="Garamond" w:hAnsi="Garamond"/>
          <w:sz w:val="24"/>
        </w:rPr>
        <w:t>público</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informe</w:t>
      </w:r>
      <w:r w:rsidRPr="00395593">
        <w:rPr>
          <w:rFonts w:ascii="Garamond" w:hAnsi="Garamond"/>
          <w:spacing w:val="1"/>
          <w:sz w:val="24"/>
        </w:rPr>
        <w:t xml:space="preserve"> </w:t>
      </w:r>
      <w:r w:rsidRPr="00395593">
        <w:rPr>
          <w:rFonts w:ascii="Garamond" w:hAnsi="Garamond"/>
          <w:sz w:val="24"/>
        </w:rPr>
        <w:t>sobre</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encerramento</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suspensão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uma</w:t>
      </w:r>
      <w:r w:rsidRPr="00395593">
        <w:rPr>
          <w:rFonts w:ascii="Garamond" w:hAnsi="Garamond"/>
          <w:spacing w:val="1"/>
          <w:sz w:val="24"/>
        </w:rPr>
        <w:t xml:space="preserve"> </w:t>
      </w:r>
      <w:r w:rsidRPr="00395593">
        <w:rPr>
          <w:rFonts w:ascii="Garamond" w:hAnsi="Garamond"/>
          <w:sz w:val="24"/>
        </w:rPr>
        <w:t>investigação em conseqüência da aceitação de compromisso, conforme estabelecido</w:t>
      </w:r>
      <w:r w:rsidRPr="00395593">
        <w:rPr>
          <w:rFonts w:ascii="Garamond" w:hAnsi="Garamond"/>
          <w:spacing w:val="-57"/>
          <w:sz w:val="24"/>
        </w:rPr>
        <w:t xml:space="preserve"> </w:t>
      </w:r>
      <w:r w:rsidRPr="00395593">
        <w:rPr>
          <w:rFonts w:ascii="Garamond" w:hAnsi="Garamond"/>
          <w:sz w:val="24"/>
        </w:rPr>
        <w:t>no Artigo 8, deverá conter ou trará consigo informe em separado que contenha</w:t>
      </w:r>
      <w:r w:rsidRPr="00395593">
        <w:rPr>
          <w:rFonts w:ascii="Garamond" w:hAnsi="Garamond"/>
          <w:spacing w:val="1"/>
          <w:sz w:val="24"/>
        </w:rPr>
        <w:t xml:space="preserve"> </w:t>
      </w:r>
      <w:r w:rsidRPr="00395593">
        <w:rPr>
          <w:rFonts w:ascii="Garamond" w:hAnsi="Garamond"/>
          <w:sz w:val="24"/>
        </w:rPr>
        <w:t>transcrição</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parte</w:t>
      </w:r>
      <w:r w:rsidRPr="00395593">
        <w:rPr>
          <w:rFonts w:ascii="Garamond" w:hAnsi="Garamond"/>
          <w:spacing w:val="-2"/>
          <w:sz w:val="24"/>
        </w:rPr>
        <w:t xml:space="preserve"> </w:t>
      </w:r>
      <w:r w:rsidRPr="00395593">
        <w:rPr>
          <w:rFonts w:ascii="Garamond" w:hAnsi="Garamond"/>
          <w:sz w:val="24"/>
        </w:rPr>
        <w:t>não</w:t>
      </w:r>
      <w:r w:rsidRPr="00395593">
        <w:rPr>
          <w:rFonts w:ascii="Garamond" w:hAnsi="Garamond"/>
          <w:spacing w:val="2"/>
          <w:sz w:val="24"/>
        </w:rPr>
        <w:t xml:space="preserve"> </w:t>
      </w:r>
      <w:r w:rsidRPr="00395593">
        <w:rPr>
          <w:rFonts w:ascii="Garamond" w:hAnsi="Garamond"/>
          <w:sz w:val="24"/>
        </w:rPr>
        <w:t>confidencial do compromisso.</w:t>
      </w:r>
    </w:p>
    <w:p w14:paraId="5FABA5FD" w14:textId="77777777" w:rsidR="0013285C" w:rsidRPr="00395593" w:rsidRDefault="0013285C" w:rsidP="0013285C">
      <w:pPr>
        <w:pStyle w:val="Corpodetexto"/>
        <w:rPr>
          <w:rFonts w:ascii="Garamond" w:hAnsi="Garamond"/>
        </w:rPr>
      </w:pPr>
    </w:p>
    <w:p w14:paraId="570BB4AC" w14:textId="77777777" w:rsidR="0013285C" w:rsidRPr="00395593" w:rsidRDefault="0013285C" w:rsidP="002C4340">
      <w:pPr>
        <w:pStyle w:val="PargrafodaLista"/>
        <w:widowControl w:val="0"/>
        <w:numPr>
          <w:ilvl w:val="0"/>
          <w:numId w:val="10"/>
        </w:numPr>
        <w:tabs>
          <w:tab w:val="left" w:pos="810"/>
        </w:tabs>
        <w:autoSpaceDE w:val="0"/>
        <w:autoSpaceDN w:val="0"/>
        <w:spacing w:after="0" w:line="240" w:lineRule="auto"/>
        <w:ind w:left="102" w:right="121" w:firstLine="0"/>
        <w:contextualSpacing w:val="0"/>
        <w:jc w:val="both"/>
        <w:rPr>
          <w:rFonts w:ascii="Garamond" w:hAnsi="Garamond"/>
          <w:sz w:val="24"/>
        </w:rPr>
      </w:pPr>
      <w:r w:rsidRPr="00395593">
        <w:rPr>
          <w:rFonts w:ascii="Garamond" w:hAnsi="Garamond"/>
          <w:sz w:val="24"/>
        </w:rPr>
        <w:t xml:space="preserve">O disposto neste Artigo aplicar-se-á, </w:t>
      </w:r>
      <w:r w:rsidRPr="00395593">
        <w:rPr>
          <w:rFonts w:ascii="Garamond" w:hAnsi="Garamond"/>
          <w:i/>
          <w:sz w:val="24"/>
        </w:rPr>
        <w:t>mutatis mutandis</w:t>
      </w:r>
      <w:r w:rsidRPr="00395593">
        <w:rPr>
          <w:rFonts w:ascii="Garamond" w:hAnsi="Garamond"/>
          <w:sz w:val="24"/>
        </w:rPr>
        <w:t>, ao início e ao encerramento</w:t>
      </w:r>
      <w:r w:rsidRPr="00395593">
        <w:rPr>
          <w:rFonts w:ascii="Garamond" w:hAnsi="Garamond"/>
          <w:spacing w:val="1"/>
          <w:sz w:val="24"/>
        </w:rPr>
        <w:t xml:space="preserve"> </w:t>
      </w:r>
      <w:r w:rsidRPr="00395593">
        <w:rPr>
          <w:rFonts w:ascii="Garamond" w:hAnsi="Garamond"/>
          <w:sz w:val="24"/>
        </w:rPr>
        <w:t>das revisões contempladas no Artigo 11 e às decisões tomadas sob os auspícios do Artigo</w:t>
      </w:r>
      <w:r w:rsidRPr="00395593">
        <w:rPr>
          <w:rFonts w:ascii="Garamond" w:hAnsi="Garamond"/>
          <w:spacing w:val="1"/>
          <w:sz w:val="24"/>
        </w:rPr>
        <w:t xml:space="preserve"> </w:t>
      </w:r>
      <w:r w:rsidRPr="00395593">
        <w:rPr>
          <w:rFonts w:ascii="Garamond" w:hAnsi="Garamond"/>
          <w:sz w:val="24"/>
        </w:rPr>
        <w:t>10</w:t>
      </w:r>
      <w:r w:rsidRPr="00395593">
        <w:rPr>
          <w:rFonts w:ascii="Garamond" w:hAnsi="Garamond"/>
          <w:spacing w:val="-1"/>
          <w:sz w:val="24"/>
        </w:rPr>
        <w:t xml:space="preserve"> </w:t>
      </w:r>
      <w:r w:rsidRPr="00395593">
        <w:rPr>
          <w:rFonts w:ascii="Garamond" w:hAnsi="Garamond"/>
          <w:sz w:val="24"/>
        </w:rPr>
        <w:t>acerca</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aplicação retroativa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direitos.</w:t>
      </w:r>
    </w:p>
    <w:p w14:paraId="771F1B8C" w14:textId="77777777" w:rsidR="0013285C" w:rsidRPr="00395593" w:rsidRDefault="0013285C" w:rsidP="0013285C">
      <w:pPr>
        <w:pStyle w:val="Corpodetexto"/>
        <w:rPr>
          <w:rFonts w:ascii="Garamond" w:hAnsi="Garamond"/>
        </w:rPr>
      </w:pPr>
    </w:p>
    <w:p w14:paraId="7F70CDBB" w14:textId="1F11FA9B" w:rsidR="0013285C" w:rsidRPr="00395593" w:rsidRDefault="0013285C" w:rsidP="005F7A3B">
      <w:pPr>
        <w:pStyle w:val="Corpodetexto"/>
        <w:spacing w:line="480" w:lineRule="auto"/>
        <w:ind w:left="3731" w:right="3673" w:firstLine="326"/>
        <w:jc w:val="center"/>
        <w:rPr>
          <w:rFonts w:ascii="Garamond" w:hAnsi="Garamond"/>
          <w:b/>
        </w:rPr>
      </w:pPr>
      <w:r w:rsidRPr="00395593">
        <w:rPr>
          <w:rFonts w:ascii="Garamond" w:hAnsi="Garamond"/>
          <w:b/>
        </w:rPr>
        <w:t>Artigo</w:t>
      </w:r>
      <w:r w:rsidR="004C74AB" w:rsidRPr="00395593">
        <w:rPr>
          <w:rFonts w:ascii="Garamond" w:hAnsi="Garamond"/>
          <w:b/>
        </w:rPr>
        <w:t xml:space="preserve"> </w:t>
      </w:r>
      <w:r w:rsidRPr="00395593">
        <w:rPr>
          <w:rFonts w:ascii="Garamond" w:hAnsi="Garamond"/>
          <w:b/>
        </w:rPr>
        <w:t>13</w:t>
      </w:r>
      <w:r w:rsidRPr="00395593">
        <w:rPr>
          <w:rFonts w:ascii="Garamond" w:hAnsi="Garamond"/>
          <w:b/>
          <w:spacing w:val="1"/>
        </w:rPr>
        <w:t xml:space="preserve"> </w:t>
      </w:r>
      <w:r w:rsidRPr="00395593">
        <w:rPr>
          <w:rFonts w:ascii="Garamond" w:hAnsi="Garamond"/>
          <w:b/>
        </w:rPr>
        <w:t>Revisão</w:t>
      </w:r>
      <w:r w:rsidRPr="00395593">
        <w:rPr>
          <w:rFonts w:ascii="Garamond" w:hAnsi="Garamond"/>
          <w:b/>
          <w:spacing w:val="-13"/>
        </w:rPr>
        <w:t xml:space="preserve"> </w:t>
      </w:r>
      <w:r>
        <w:rPr>
          <w:rFonts w:ascii="Garamond" w:hAnsi="Garamond"/>
          <w:b/>
          <w:spacing w:val="-13"/>
        </w:rPr>
        <w:t>J</w:t>
      </w:r>
      <w:r w:rsidRPr="00395593">
        <w:rPr>
          <w:rFonts w:ascii="Garamond" w:hAnsi="Garamond"/>
          <w:b/>
        </w:rPr>
        <w:t>udicial</w:t>
      </w:r>
    </w:p>
    <w:p w14:paraId="25917326" w14:textId="77777777" w:rsidR="0013285C" w:rsidRPr="00395593" w:rsidRDefault="0013285C" w:rsidP="0013285C">
      <w:pPr>
        <w:pStyle w:val="Corpodetexto"/>
        <w:spacing w:before="1"/>
        <w:ind w:left="102" w:right="116" w:firstLine="707"/>
        <w:jc w:val="both"/>
        <w:rPr>
          <w:rFonts w:ascii="Garamond" w:hAnsi="Garamond"/>
        </w:rPr>
      </w:pPr>
      <w:r w:rsidRPr="00395593">
        <w:rPr>
          <w:rFonts w:ascii="Garamond" w:hAnsi="Garamond"/>
        </w:rPr>
        <w:t>Todo Membro cuja legislação nacional contenha disposições sobre medidas anti-</w:t>
      </w:r>
      <w:r w:rsidRPr="00395593">
        <w:rPr>
          <w:rFonts w:ascii="Garamond" w:hAnsi="Garamond"/>
          <w:spacing w:val="1"/>
        </w:rPr>
        <w:t xml:space="preserve"> </w:t>
      </w:r>
      <w:r w:rsidRPr="00395593">
        <w:rPr>
          <w:rFonts w:ascii="Garamond" w:hAnsi="Garamond"/>
          <w:i/>
        </w:rPr>
        <w:t xml:space="preserve">dumping </w:t>
      </w:r>
      <w:r w:rsidRPr="00395593">
        <w:rPr>
          <w:rFonts w:ascii="Garamond" w:hAnsi="Garamond"/>
        </w:rPr>
        <w:t>deverá manter tribunais arbitrais administrativos ou ligados ao judiciário, ou ainda</w:t>
      </w:r>
      <w:r w:rsidRPr="00395593">
        <w:rPr>
          <w:rFonts w:ascii="Garamond" w:hAnsi="Garamond"/>
          <w:spacing w:val="-57"/>
        </w:rPr>
        <w:t xml:space="preserve"> </w:t>
      </w:r>
      <w:r w:rsidRPr="00395593">
        <w:rPr>
          <w:rFonts w:ascii="Garamond" w:hAnsi="Garamond"/>
        </w:rPr>
        <w:t>prever</w:t>
      </w:r>
      <w:r w:rsidRPr="00395593">
        <w:rPr>
          <w:rFonts w:ascii="Garamond" w:hAnsi="Garamond"/>
          <w:spacing w:val="1"/>
        </w:rPr>
        <w:t xml:space="preserve"> </w:t>
      </w:r>
      <w:r w:rsidRPr="00395593">
        <w:rPr>
          <w:rFonts w:ascii="Garamond" w:hAnsi="Garamond"/>
        </w:rPr>
        <w:t>procedimentos</w:t>
      </w:r>
      <w:r w:rsidRPr="00395593">
        <w:rPr>
          <w:rFonts w:ascii="Garamond" w:hAnsi="Garamond"/>
          <w:spacing w:val="1"/>
        </w:rPr>
        <w:t xml:space="preserve"> </w:t>
      </w:r>
      <w:r w:rsidRPr="00395593">
        <w:rPr>
          <w:rFonts w:ascii="Garamond" w:hAnsi="Garamond"/>
        </w:rPr>
        <w:t>com</w:t>
      </w:r>
      <w:r w:rsidRPr="00395593">
        <w:rPr>
          <w:rFonts w:ascii="Garamond" w:hAnsi="Garamond"/>
          <w:spacing w:val="1"/>
        </w:rPr>
        <w:t xml:space="preserve"> </w:t>
      </w:r>
      <w:r w:rsidRPr="00395593">
        <w:rPr>
          <w:rFonts w:ascii="Garamond" w:hAnsi="Garamond"/>
        </w:rPr>
        <w:t>vistas</w:t>
      </w:r>
      <w:r w:rsidRPr="00395593">
        <w:rPr>
          <w:rFonts w:ascii="Garamond" w:hAnsi="Garamond"/>
          <w:spacing w:val="1"/>
        </w:rPr>
        <w:t xml:space="preserve"> </w:t>
      </w:r>
      <w:r w:rsidRPr="00395593">
        <w:rPr>
          <w:rFonts w:ascii="Garamond" w:hAnsi="Garamond"/>
        </w:rPr>
        <w:t>a,</w:t>
      </w:r>
      <w:r w:rsidRPr="00395593">
        <w:rPr>
          <w:rFonts w:ascii="Garamond" w:hAnsi="Garamond"/>
          <w:spacing w:val="1"/>
        </w:rPr>
        <w:t xml:space="preserve"> </w:t>
      </w:r>
      <w:r w:rsidRPr="00395593">
        <w:rPr>
          <w:rFonts w:ascii="Garamond" w:hAnsi="Garamond"/>
          <w:i/>
        </w:rPr>
        <w:t>inter</w:t>
      </w:r>
      <w:r w:rsidRPr="00395593">
        <w:rPr>
          <w:rFonts w:ascii="Garamond" w:hAnsi="Garamond"/>
          <w:i/>
          <w:spacing w:val="1"/>
        </w:rPr>
        <w:t xml:space="preserve"> </w:t>
      </w:r>
      <w:r w:rsidRPr="00395593">
        <w:rPr>
          <w:rFonts w:ascii="Garamond" w:hAnsi="Garamond"/>
          <w:i/>
        </w:rPr>
        <w:t>alia</w:t>
      </w:r>
      <w:r w:rsidRPr="00395593">
        <w:rPr>
          <w:rFonts w:ascii="Garamond" w:hAnsi="Garamond"/>
        </w:rPr>
        <w:t>,</w:t>
      </w:r>
      <w:r w:rsidRPr="00395593">
        <w:rPr>
          <w:rFonts w:ascii="Garamond" w:hAnsi="Garamond"/>
          <w:spacing w:val="1"/>
        </w:rPr>
        <w:t xml:space="preserve"> </w:t>
      </w:r>
      <w:r w:rsidRPr="00395593">
        <w:rPr>
          <w:rFonts w:ascii="Garamond" w:hAnsi="Garamond"/>
        </w:rPr>
        <w:t>realizar</w:t>
      </w:r>
      <w:r w:rsidRPr="00395593">
        <w:rPr>
          <w:rFonts w:ascii="Garamond" w:hAnsi="Garamond"/>
          <w:spacing w:val="1"/>
        </w:rPr>
        <w:t xml:space="preserve"> </w:t>
      </w:r>
      <w:r w:rsidRPr="00395593">
        <w:rPr>
          <w:rFonts w:ascii="Garamond" w:hAnsi="Garamond"/>
        </w:rPr>
        <w:t>pronta</w:t>
      </w:r>
      <w:r w:rsidRPr="00395593">
        <w:rPr>
          <w:rFonts w:ascii="Garamond" w:hAnsi="Garamond"/>
          <w:spacing w:val="1"/>
        </w:rPr>
        <w:t xml:space="preserve"> </w:t>
      </w:r>
      <w:r w:rsidRPr="00395593">
        <w:rPr>
          <w:rFonts w:ascii="Garamond" w:hAnsi="Garamond"/>
        </w:rPr>
        <w:t>revisão</w:t>
      </w:r>
      <w:r w:rsidRPr="00395593">
        <w:rPr>
          <w:rFonts w:ascii="Garamond" w:hAnsi="Garamond"/>
          <w:spacing w:val="1"/>
        </w:rPr>
        <w:t xml:space="preserve"> </w:t>
      </w:r>
      <w:r w:rsidRPr="00395593">
        <w:rPr>
          <w:rFonts w:ascii="Garamond" w:hAnsi="Garamond"/>
        </w:rPr>
        <w:t>das</w:t>
      </w:r>
      <w:r w:rsidRPr="00395593">
        <w:rPr>
          <w:rFonts w:ascii="Garamond" w:hAnsi="Garamond"/>
          <w:spacing w:val="1"/>
        </w:rPr>
        <w:t xml:space="preserve"> </w:t>
      </w:r>
      <w:r w:rsidRPr="00395593">
        <w:rPr>
          <w:rFonts w:ascii="Garamond" w:hAnsi="Garamond"/>
        </w:rPr>
        <w:t>medidas</w:t>
      </w:r>
      <w:r w:rsidRPr="00395593">
        <w:rPr>
          <w:rFonts w:ascii="Garamond" w:hAnsi="Garamond"/>
          <w:spacing w:val="1"/>
        </w:rPr>
        <w:t xml:space="preserve"> </w:t>
      </w:r>
      <w:r w:rsidRPr="00395593">
        <w:rPr>
          <w:rFonts w:ascii="Garamond" w:hAnsi="Garamond"/>
        </w:rPr>
        <w:t>administrativas relativas às determinações finais e às revisões das determinações, de acordo</w:t>
      </w:r>
      <w:r w:rsidRPr="00395593">
        <w:rPr>
          <w:rFonts w:ascii="Garamond" w:hAnsi="Garamond"/>
          <w:spacing w:val="-57"/>
        </w:rPr>
        <w:t xml:space="preserve"> </w:t>
      </w:r>
      <w:r w:rsidRPr="00395593">
        <w:rPr>
          <w:rFonts w:ascii="Garamond" w:hAnsi="Garamond"/>
        </w:rPr>
        <w:t>com o disposto no Artigo 11. Esses tribunais, ou os procedimentos mencionados, deverão</w:t>
      </w:r>
      <w:r w:rsidRPr="00395593">
        <w:rPr>
          <w:rFonts w:ascii="Garamond" w:hAnsi="Garamond"/>
          <w:spacing w:val="1"/>
        </w:rPr>
        <w:t xml:space="preserve"> </w:t>
      </w:r>
      <w:r w:rsidRPr="00395593">
        <w:rPr>
          <w:rFonts w:ascii="Garamond" w:hAnsi="Garamond"/>
        </w:rPr>
        <w:t>ser</w:t>
      </w:r>
      <w:r w:rsidRPr="00395593">
        <w:rPr>
          <w:rFonts w:ascii="Garamond" w:hAnsi="Garamond"/>
          <w:spacing w:val="-1"/>
        </w:rPr>
        <w:t xml:space="preserve"> </w:t>
      </w:r>
      <w:r w:rsidRPr="00395593">
        <w:rPr>
          <w:rFonts w:ascii="Garamond" w:hAnsi="Garamond"/>
        </w:rPr>
        <w:t>independentes</w:t>
      </w:r>
      <w:r w:rsidRPr="00395593">
        <w:rPr>
          <w:rFonts w:ascii="Garamond" w:hAnsi="Garamond"/>
          <w:spacing w:val="-1"/>
        </w:rPr>
        <w:t xml:space="preserve"> </w:t>
      </w:r>
      <w:r w:rsidRPr="00395593">
        <w:rPr>
          <w:rFonts w:ascii="Garamond" w:hAnsi="Garamond"/>
        </w:rPr>
        <w:t>das</w:t>
      </w:r>
      <w:r w:rsidRPr="00395593">
        <w:rPr>
          <w:rFonts w:ascii="Garamond" w:hAnsi="Garamond"/>
          <w:spacing w:val="-1"/>
        </w:rPr>
        <w:t xml:space="preserve"> </w:t>
      </w:r>
      <w:r w:rsidRPr="00395593">
        <w:rPr>
          <w:rFonts w:ascii="Garamond" w:hAnsi="Garamond"/>
        </w:rPr>
        <w:t>autoridades</w:t>
      </w:r>
      <w:r w:rsidRPr="00395593">
        <w:rPr>
          <w:rFonts w:ascii="Garamond" w:hAnsi="Garamond"/>
          <w:spacing w:val="-1"/>
        </w:rPr>
        <w:t xml:space="preserve"> </w:t>
      </w:r>
      <w:r w:rsidRPr="00395593">
        <w:rPr>
          <w:rFonts w:ascii="Garamond" w:hAnsi="Garamond"/>
        </w:rPr>
        <w:t>responsáveis</w:t>
      </w:r>
      <w:r w:rsidRPr="00395593">
        <w:rPr>
          <w:rFonts w:ascii="Garamond" w:hAnsi="Garamond"/>
          <w:spacing w:val="-1"/>
        </w:rPr>
        <w:t xml:space="preserve"> </w:t>
      </w:r>
      <w:r w:rsidRPr="00395593">
        <w:rPr>
          <w:rFonts w:ascii="Garamond" w:hAnsi="Garamond"/>
        </w:rPr>
        <w:t>pelas</w:t>
      </w:r>
      <w:r w:rsidRPr="00395593">
        <w:rPr>
          <w:rFonts w:ascii="Garamond" w:hAnsi="Garamond"/>
          <w:spacing w:val="-1"/>
        </w:rPr>
        <w:t xml:space="preserve"> </w:t>
      </w:r>
      <w:r w:rsidRPr="00395593">
        <w:rPr>
          <w:rFonts w:ascii="Garamond" w:hAnsi="Garamond"/>
        </w:rPr>
        <w:t>determinações</w:t>
      </w:r>
      <w:r w:rsidRPr="00395593">
        <w:rPr>
          <w:rFonts w:ascii="Garamond" w:hAnsi="Garamond"/>
          <w:spacing w:val="-1"/>
        </w:rPr>
        <w:t xml:space="preserve"> </w:t>
      </w:r>
      <w:r w:rsidRPr="00395593">
        <w:rPr>
          <w:rFonts w:ascii="Garamond" w:hAnsi="Garamond"/>
        </w:rPr>
        <w:t>ou</w:t>
      </w:r>
      <w:r w:rsidRPr="00395593">
        <w:rPr>
          <w:rFonts w:ascii="Garamond" w:hAnsi="Garamond"/>
          <w:spacing w:val="-1"/>
        </w:rPr>
        <w:t xml:space="preserve"> </w:t>
      </w:r>
      <w:r w:rsidRPr="00395593">
        <w:rPr>
          <w:rFonts w:ascii="Garamond" w:hAnsi="Garamond"/>
        </w:rPr>
        <w:t>revisões</w:t>
      </w:r>
      <w:r w:rsidRPr="00395593">
        <w:rPr>
          <w:rFonts w:ascii="Garamond" w:hAnsi="Garamond"/>
          <w:spacing w:val="-1"/>
        </w:rPr>
        <w:t xml:space="preserve"> </w:t>
      </w:r>
      <w:r w:rsidRPr="00395593">
        <w:rPr>
          <w:rFonts w:ascii="Garamond" w:hAnsi="Garamond"/>
        </w:rPr>
        <w:t>aludidas.</w:t>
      </w:r>
    </w:p>
    <w:p w14:paraId="57FB4827" w14:textId="77777777" w:rsidR="0013285C" w:rsidRPr="00395593" w:rsidRDefault="0013285C" w:rsidP="0013285C">
      <w:pPr>
        <w:pStyle w:val="Corpodetexto"/>
        <w:rPr>
          <w:rFonts w:ascii="Garamond" w:hAnsi="Garamond"/>
        </w:rPr>
      </w:pPr>
    </w:p>
    <w:p w14:paraId="5E0BE7B8" w14:textId="77777777" w:rsidR="0013285C" w:rsidRPr="00395593" w:rsidRDefault="0013285C" w:rsidP="0013285C">
      <w:pPr>
        <w:pStyle w:val="Corpodetexto"/>
        <w:ind w:left="176" w:right="194"/>
        <w:jc w:val="center"/>
        <w:rPr>
          <w:rFonts w:ascii="Garamond" w:hAnsi="Garamond"/>
          <w:b/>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14</w:t>
      </w:r>
    </w:p>
    <w:p w14:paraId="09C558BC" w14:textId="77777777" w:rsidR="0013285C" w:rsidRPr="00395593" w:rsidRDefault="0013285C" w:rsidP="0013285C">
      <w:pPr>
        <w:pStyle w:val="Corpodetexto"/>
        <w:rPr>
          <w:rFonts w:ascii="Garamond" w:hAnsi="Garamond"/>
          <w:b/>
        </w:rPr>
      </w:pPr>
    </w:p>
    <w:p w14:paraId="72E9E46F" w14:textId="77777777" w:rsidR="0013285C" w:rsidRPr="00395593" w:rsidRDefault="0013285C" w:rsidP="0013285C">
      <w:pPr>
        <w:pStyle w:val="Corpodetexto"/>
        <w:ind w:left="176" w:right="196"/>
        <w:jc w:val="center"/>
        <w:rPr>
          <w:rFonts w:ascii="Garamond" w:hAnsi="Garamond"/>
          <w:b/>
        </w:rPr>
      </w:pPr>
      <w:r w:rsidRPr="00395593">
        <w:rPr>
          <w:rFonts w:ascii="Garamond" w:hAnsi="Garamond"/>
          <w:b/>
        </w:rPr>
        <w:t>Medidas</w:t>
      </w:r>
      <w:r w:rsidRPr="00395593">
        <w:rPr>
          <w:rFonts w:ascii="Garamond" w:hAnsi="Garamond"/>
          <w:b/>
          <w:spacing w:val="-2"/>
        </w:rPr>
        <w:t xml:space="preserve"> </w:t>
      </w:r>
      <w:r w:rsidRPr="00395593">
        <w:rPr>
          <w:rFonts w:ascii="Garamond" w:hAnsi="Garamond"/>
          <w:b/>
        </w:rPr>
        <w:t>Anti-</w:t>
      </w:r>
      <w:r w:rsidRPr="00395593">
        <w:rPr>
          <w:rFonts w:ascii="Garamond" w:hAnsi="Garamond"/>
          <w:b/>
          <w:i/>
        </w:rPr>
        <w:t>Dumping</w:t>
      </w:r>
      <w:r w:rsidRPr="00395593">
        <w:rPr>
          <w:rFonts w:ascii="Garamond" w:hAnsi="Garamond"/>
          <w:b/>
          <w:i/>
          <w:spacing w:val="-1"/>
        </w:rPr>
        <w:t xml:space="preserve"> </w:t>
      </w:r>
      <w:r w:rsidRPr="00395593">
        <w:rPr>
          <w:rFonts w:ascii="Garamond" w:hAnsi="Garamond"/>
          <w:b/>
        </w:rPr>
        <w:t>em</w:t>
      </w:r>
      <w:r w:rsidRPr="00395593">
        <w:rPr>
          <w:rFonts w:ascii="Garamond" w:hAnsi="Garamond"/>
          <w:b/>
          <w:spacing w:val="-1"/>
        </w:rPr>
        <w:t xml:space="preserve"> </w:t>
      </w:r>
      <w:r w:rsidRPr="00395593">
        <w:rPr>
          <w:rFonts w:ascii="Garamond" w:hAnsi="Garamond"/>
          <w:b/>
        </w:rPr>
        <w:t>Nome</w:t>
      </w:r>
      <w:r w:rsidRPr="00395593">
        <w:rPr>
          <w:rFonts w:ascii="Garamond" w:hAnsi="Garamond"/>
          <w:b/>
          <w:spacing w:val="-1"/>
        </w:rPr>
        <w:t xml:space="preserve"> </w:t>
      </w:r>
      <w:r w:rsidRPr="00395593">
        <w:rPr>
          <w:rFonts w:ascii="Garamond" w:hAnsi="Garamond"/>
          <w:b/>
        </w:rPr>
        <w:t>de</w:t>
      </w:r>
      <w:r w:rsidRPr="00395593">
        <w:rPr>
          <w:rFonts w:ascii="Garamond" w:hAnsi="Garamond"/>
          <w:b/>
          <w:spacing w:val="-3"/>
        </w:rPr>
        <w:t xml:space="preserve"> </w:t>
      </w:r>
      <w:r w:rsidRPr="00395593">
        <w:rPr>
          <w:rFonts w:ascii="Garamond" w:hAnsi="Garamond"/>
          <w:b/>
        </w:rPr>
        <w:t>Terceiro</w:t>
      </w:r>
      <w:r w:rsidRPr="00395593">
        <w:rPr>
          <w:rFonts w:ascii="Garamond" w:hAnsi="Garamond"/>
          <w:b/>
          <w:spacing w:val="-1"/>
        </w:rPr>
        <w:t xml:space="preserve"> </w:t>
      </w:r>
      <w:r w:rsidRPr="00395593">
        <w:rPr>
          <w:rFonts w:ascii="Garamond" w:hAnsi="Garamond"/>
          <w:b/>
        </w:rPr>
        <w:t>País</w:t>
      </w:r>
    </w:p>
    <w:p w14:paraId="11ED62C0" w14:textId="77777777" w:rsidR="0013285C" w:rsidRPr="00395593" w:rsidRDefault="0013285C" w:rsidP="0013285C">
      <w:pPr>
        <w:pStyle w:val="Corpodetexto"/>
        <w:rPr>
          <w:rFonts w:ascii="Garamond" w:hAnsi="Garamond"/>
        </w:rPr>
      </w:pPr>
    </w:p>
    <w:p w14:paraId="5AF20CEE" w14:textId="77777777" w:rsidR="0013285C" w:rsidRPr="00395593" w:rsidRDefault="0013285C" w:rsidP="002C4340">
      <w:pPr>
        <w:pStyle w:val="PargrafodaLista"/>
        <w:widowControl w:val="0"/>
        <w:numPr>
          <w:ilvl w:val="0"/>
          <w:numId w:val="8"/>
        </w:numPr>
        <w:tabs>
          <w:tab w:val="left" w:pos="810"/>
        </w:tabs>
        <w:autoSpaceDE w:val="0"/>
        <w:autoSpaceDN w:val="0"/>
        <w:spacing w:after="0" w:line="240" w:lineRule="auto"/>
        <w:ind w:right="115" w:firstLine="0"/>
        <w:contextualSpacing w:val="0"/>
        <w:jc w:val="both"/>
        <w:rPr>
          <w:rFonts w:ascii="Garamond" w:hAnsi="Garamond"/>
          <w:sz w:val="24"/>
        </w:rPr>
      </w:pPr>
      <w:r w:rsidRPr="00395593">
        <w:rPr>
          <w:rFonts w:ascii="Garamond" w:hAnsi="Garamond"/>
          <w:sz w:val="24"/>
        </w:rPr>
        <w:t>Petição</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1"/>
          <w:sz w:val="24"/>
        </w:rPr>
        <w:t xml:space="preserve"> </w:t>
      </w:r>
      <w:r w:rsidRPr="00395593">
        <w:rPr>
          <w:rFonts w:ascii="Garamond" w:hAnsi="Garamond"/>
          <w:sz w:val="24"/>
        </w:rPr>
        <w:t>adoção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medidas</w:t>
      </w:r>
      <w:r w:rsidRPr="00395593">
        <w:rPr>
          <w:rFonts w:ascii="Garamond" w:hAnsi="Garamond"/>
          <w:spacing w:val="1"/>
          <w:sz w:val="24"/>
        </w:rPr>
        <w:t xml:space="preserve"> </w:t>
      </w:r>
      <w:r w:rsidRPr="00395593">
        <w:rPr>
          <w:rFonts w:ascii="Garamond" w:hAnsi="Garamond"/>
          <w:sz w:val="24"/>
        </w:rPr>
        <w:t>anti-</w:t>
      </w:r>
      <w:r w:rsidRPr="00395593">
        <w:rPr>
          <w:rFonts w:ascii="Garamond" w:hAnsi="Garamond"/>
          <w:i/>
          <w:sz w:val="24"/>
        </w:rPr>
        <w:t>dumping</w:t>
      </w:r>
      <w:r w:rsidRPr="00395593">
        <w:rPr>
          <w:rFonts w:ascii="Garamond" w:hAnsi="Garamond"/>
          <w:i/>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nome</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terceiro</w:t>
      </w:r>
      <w:r w:rsidRPr="00395593">
        <w:rPr>
          <w:rFonts w:ascii="Garamond" w:hAnsi="Garamond"/>
          <w:spacing w:val="1"/>
          <w:sz w:val="24"/>
        </w:rPr>
        <w:t xml:space="preserve"> </w:t>
      </w:r>
      <w:r w:rsidRPr="00395593">
        <w:rPr>
          <w:rFonts w:ascii="Garamond" w:hAnsi="Garamond"/>
          <w:sz w:val="24"/>
        </w:rPr>
        <w:t>país</w:t>
      </w:r>
      <w:r w:rsidRPr="00395593">
        <w:rPr>
          <w:rFonts w:ascii="Garamond" w:hAnsi="Garamond"/>
          <w:spacing w:val="1"/>
          <w:sz w:val="24"/>
        </w:rPr>
        <w:t xml:space="preserve"> </w:t>
      </w:r>
      <w:r w:rsidRPr="00395593">
        <w:rPr>
          <w:rFonts w:ascii="Garamond" w:hAnsi="Garamond"/>
          <w:sz w:val="24"/>
        </w:rPr>
        <w:t>será</w:t>
      </w:r>
      <w:r w:rsidRPr="00395593">
        <w:rPr>
          <w:rFonts w:ascii="Garamond" w:hAnsi="Garamond"/>
          <w:spacing w:val="1"/>
          <w:sz w:val="24"/>
        </w:rPr>
        <w:t xml:space="preserve"> </w:t>
      </w:r>
      <w:r w:rsidRPr="00395593">
        <w:rPr>
          <w:rFonts w:ascii="Garamond" w:hAnsi="Garamond"/>
          <w:sz w:val="24"/>
        </w:rPr>
        <w:t>apresentada</w:t>
      </w:r>
      <w:r w:rsidRPr="00395593">
        <w:rPr>
          <w:rFonts w:ascii="Garamond" w:hAnsi="Garamond"/>
          <w:spacing w:val="-2"/>
          <w:sz w:val="24"/>
        </w:rPr>
        <w:t xml:space="preserve"> </w:t>
      </w:r>
      <w:r w:rsidRPr="00395593">
        <w:rPr>
          <w:rFonts w:ascii="Garamond" w:hAnsi="Garamond"/>
          <w:sz w:val="24"/>
        </w:rPr>
        <w:t>pelas autoridades</w:t>
      </w:r>
      <w:r w:rsidRPr="00395593">
        <w:rPr>
          <w:rFonts w:ascii="Garamond" w:hAnsi="Garamond"/>
          <w:spacing w:val="-1"/>
          <w:sz w:val="24"/>
        </w:rPr>
        <w:t xml:space="preserve"> </w:t>
      </w:r>
      <w:r w:rsidRPr="00395593">
        <w:rPr>
          <w:rFonts w:ascii="Garamond" w:hAnsi="Garamond"/>
          <w:sz w:val="24"/>
        </w:rPr>
        <w:t>do terceiro país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solicite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adoção de</w:t>
      </w:r>
      <w:r w:rsidRPr="00395593">
        <w:rPr>
          <w:rFonts w:ascii="Garamond" w:hAnsi="Garamond"/>
          <w:spacing w:val="-2"/>
          <w:sz w:val="24"/>
        </w:rPr>
        <w:t xml:space="preserve"> </w:t>
      </w:r>
      <w:r w:rsidRPr="00395593">
        <w:rPr>
          <w:rFonts w:ascii="Garamond" w:hAnsi="Garamond"/>
          <w:sz w:val="24"/>
        </w:rPr>
        <w:t>tais</w:t>
      </w:r>
      <w:r w:rsidRPr="00395593">
        <w:rPr>
          <w:rFonts w:ascii="Garamond" w:hAnsi="Garamond"/>
          <w:spacing w:val="2"/>
          <w:sz w:val="24"/>
        </w:rPr>
        <w:t xml:space="preserve"> </w:t>
      </w:r>
      <w:r w:rsidRPr="00395593">
        <w:rPr>
          <w:rFonts w:ascii="Garamond" w:hAnsi="Garamond"/>
          <w:sz w:val="24"/>
        </w:rPr>
        <w:t>medidas.</w:t>
      </w:r>
    </w:p>
    <w:p w14:paraId="12E6F49C" w14:textId="77777777" w:rsidR="0013285C" w:rsidRPr="00395593" w:rsidRDefault="0013285C" w:rsidP="0013285C">
      <w:pPr>
        <w:pStyle w:val="Corpodetexto"/>
        <w:rPr>
          <w:rFonts w:ascii="Garamond" w:hAnsi="Garamond"/>
        </w:rPr>
      </w:pPr>
    </w:p>
    <w:p w14:paraId="4142B899" w14:textId="77777777" w:rsidR="0013285C" w:rsidRPr="00395593" w:rsidRDefault="0013285C" w:rsidP="002C4340">
      <w:pPr>
        <w:pStyle w:val="PargrafodaLista"/>
        <w:widowControl w:val="0"/>
        <w:numPr>
          <w:ilvl w:val="0"/>
          <w:numId w:val="8"/>
        </w:numPr>
        <w:tabs>
          <w:tab w:val="left" w:pos="810"/>
        </w:tabs>
        <w:autoSpaceDE w:val="0"/>
        <w:autoSpaceDN w:val="0"/>
        <w:spacing w:before="1" w:after="0" w:line="240" w:lineRule="auto"/>
        <w:ind w:right="118" w:firstLine="0"/>
        <w:contextualSpacing w:val="0"/>
        <w:jc w:val="both"/>
        <w:rPr>
          <w:rFonts w:ascii="Garamond" w:hAnsi="Garamond"/>
          <w:sz w:val="24"/>
        </w:rPr>
      </w:pPr>
      <w:r w:rsidRPr="00395593">
        <w:rPr>
          <w:rFonts w:ascii="Garamond" w:hAnsi="Garamond"/>
          <w:sz w:val="24"/>
        </w:rPr>
        <w:t>Essa petição deverá ser substanciada por informações sobre preços que permitam</w:t>
      </w:r>
      <w:r w:rsidRPr="00395593">
        <w:rPr>
          <w:rFonts w:ascii="Garamond" w:hAnsi="Garamond"/>
          <w:spacing w:val="1"/>
          <w:sz w:val="24"/>
        </w:rPr>
        <w:t xml:space="preserve"> </w:t>
      </w:r>
      <w:r w:rsidRPr="00395593">
        <w:rPr>
          <w:rFonts w:ascii="Garamond" w:hAnsi="Garamond"/>
          <w:sz w:val="24"/>
        </w:rPr>
        <w:t xml:space="preserve">demonstrar que a importações estão se realizando a preços de </w:t>
      </w:r>
      <w:r w:rsidRPr="00395593">
        <w:rPr>
          <w:rFonts w:ascii="Garamond" w:hAnsi="Garamond"/>
          <w:i/>
          <w:sz w:val="24"/>
        </w:rPr>
        <w:t xml:space="preserve">dumping </w:t>
      </w:r>
      <w:r w:rsidRPr="00395593">
        <w:rPr>
          <w:rFonts w:ascii="Garamond" w:hAnsi="Garamond"/>
          <w:sz w:val="24"/>
        </w:rPr>
        <w:t>e por informações</w:t>
      </w:r>
      <w:r w:rsidRPr="00395593">
        <w:rPr>
          <w:rFonts w:ascii="Garamond" w:hAnsi="Garamond"/>
          <w:spacing w:val="1"/>
          <w:sz w:val="24"/>
        </w:rPr>
        <w:t xml:space="preserve"> </w:t>
      </w:r>
      <w:r w:rsidRPr="00395593">
        <w:rPr>
          <w:rFonts w:ascii="Garamond" w:hAnsi="Garamond"/>
          <w:sz w:val="24"/>
        </w:rPr>
        <w:t xml:space="preserve">pormenorizadas que demonstrem que o </w:t>
      </w:r>
      <w:r w:rsidRPr="00395593">
        <w:rPr>
          <w:rFonts w:ascii="Garamond" w:hAnsi="Garamond"/>
          <w:i/>
          <w:sz w:val="24"/>
        </w:rPr>
        <w:t xml:space="preserve">dumping </w:t>
      </w:r>
      <w:r w:rsidRPr="00395593">
        <w:rPr>
          <w:rFonts w:ascii="Garamond" w:hAnsi="Garamond"/>
          <w:sz w:val="24"/>
        </w:rPr>
        <w:t>alegado esta causando dano à indústria</w:t>
      </w:r>
      <w:r w:rsidRPr="00395593">
        <w:rPr>
          <w:rFonts w:ascii="Garamond" w:hAnsi="Garamond"/>
          <w:spacing w:val="1"/>
          <w:sz w:val="24"/>
        </w:rPr>
        <w:t xml:space="preserve"> </w:t>
      </w:r>
      <w:r w:rsidRPr="00395593">
        <w:rPr>
          <w:rFonts w:ascii="Garamond" w:hAnsi="Garamond"/>
          <w:sz w:val="24"/>
        </w:rPr>
        <w:t>nacional</w:t>
      </w:r>
      <w:r w:rsidRPr="00395593">
        <w:rPr>
          <w:rFonts w:ascii="Garamond" w:hAnsi="Garamond"/>
          <w:spacing w:val="1"/>
          <w:sz w:val="24"/>
        </w:rPr>
        <w:t xml:space="preserve"> </w:t>
      </w:r>
      <w:r w:rsidRPr="00395593">
        <w:rPr>
          <w:rFonts w:ascii="Garamond" w:hAnsi="Garamond"/>
          <w:sz w:val="24"/>
        </w:rPr>
        <w:t>respectiva</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terceiro</w:t>
      </w:r>
      <w:r w:rsidRPr="00395593">
        <w:rPr>
          <w:rFonts w:ascii="Garamond" w:hAnsi="Garamond"/>
          <w:spacing w:val="1"/>
          <w:sz w:val="24"/>
        </w:rPr>
        <w:t xml:space="preserve"> </w:t>
      </w:r>
      <w:r w:rsidRPr="00395593">
        <w:rPr>
          <w:rFonts w:ascii="Garamond" w:hAnsi="Garamond"/>
          <w:sz w:val="24"/>
        </w:rPr>
        <w:t>pais.</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Governo</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terceiro</w:t>
      </w:r>
      <w:r w:rsidRPr="00395593">
        <w:rPr>
          <w:rFonts w:ascii="Garamond" w:hAnsi="Garamond"/>
          <w:spacing w:val="1"/>
          <w:sz w:val="24"/>
        </w:rPr>
        <w:t xml:space="preserve"> </w:t>
      </w:r>
      <w:r w:rsidRPr="00395593">
        <w:rPr>
          <w:rFonts w:ascii="Garamond" w:hAnsi="Garamond"/>
          <w:sz w:val="24"/>
        </w:rPr>
        <w:t>país</w:t>
      </w:r>
      <w:r w:rsidRPr="00395593">
        <w:rPr>
          <w:rFonts w:ascii="Garamond" w:hAnsi="Garamond"/>
          <w:spacing w:val="1"/>
          <w:sz w:val="24"/>
        </w:rPr>
        <w:t xml:space="preserve"> </w:t>
      </w:r>
      <w:r w:rsidRPr="00395593">
        <w:rPr>
          <w:rFonts w:ascii="Garamond" w:hAnsi="Garamond"/>
          <w:sz w:val="24"/>
        </w:rPr>
        <w:t>deverá oferecer</w:t>
      </w:r>
      <w:r w:rsidRPr="00395593">
        <w:rPr>
          <w:rFonts w:ascii="Garamond" w:hAnsi="Garamond"/>
          <w:spacing w:val="1"/>
          <w:sz w:val="24"/>
        </w:rPr>
        <w:t xml:space="preserve"> </w:t>
      </w:r>
      <w:r w:rsidRPr="00395593">
        <w:rPr>
          <w:rFonts w:ascii="Garamond" w:hAnsi="Garamond"/>
          <w:sz w:val="24"/>
        </w:rPr>
        <w:t>toda</w:t>
      </w:r>
      <w:r w:rsidRPr="00395593">
        <w:rPr>
          <w:rFonts w:ascii="Garamond" w:hAnsi="Garamond"/>
          <w:spacing w:val="-57"/>
          <w:sz w:val="24"/>
        </w:rPr>
        <w:t xml:space="preserve"> </w:t>
      </w:r>
      <w:r w:rsidRPr="00395593">
        <w:rPr>
          <w:rFonts w:ascii="Garamond" w:hAnsi="Garamond"/>
          <w:sz w:val="24"/>
        </w:rPr>
        <w:t>assistência às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país</w:t>
      </w:r>
      <w:r w:rsidRPr="00395593">
        <w:rPr>
          <w:rFonts w:ascii="Garamond" w:hAnsi="Garamond"/>
          <w:spacing w:val="1"/>
          <w:sz w:val="24"/>
        </w:rPr>
        <w:t xml:space="preserve"> </w:t>
      </w:r>
      <w:r w:rsidRPr="00395593">
        <w:rPr>
          <w:rFonts w:ascii="Garamond" w:hAnsi="Garamond"/>
          <w:sz w:val="24"/>
        </w:rPr>
        <w:t>importador para que obtenha quaisquer informações</w:t>
      </w:r>
      <w:r w:rsidRPr="00395593">
        <w:rPr>
          <w:rFonts w:ascii="Garamond" w:hAnsi="Garamond"/>
          <w:spacing w:val="1"/>
          <w:sz w:val="24"/>
        </w:rPr>
        <w:t xml:space="preserve"> </w:t>
      </w:r>
      <w:r w:rsidRPr="00395593">
        <w:rPr>
          <w:rFonts w:ascii="Garamond" w:hAnsi="Garamond"/>
          <w:sz w:val="24"/>
        </w:rPr>
        <w:t>adicionais</w:t>
      </w:r>
      <w:r w:rsidRPr="00395593">
        <w:rPr>
          <w:rFonts w:ascii="Garamond" w:hAnsi="Garamond"/>
          <w:spacing w:val="-1"/>
          <w:sz w:val="24"/>
        </w:rPr>
        <w:t xml:space="preserve"> </w:t>
      </w:r>
      <w:r w:rsidRPr="00395593">
        <w:rPr>
          <w:rFonts w:ascii="Garamond" w:hAnsi="Garamond"/>
          <w:sz w:val="24"/>
        </w:rPr>
        <w:t>que este último requeira.</w:t>
      </w:r>
    </w:p>
    <w:p w14:paraId="37B09AB4" w14:textId="77777777" w:rsidR="0013285C" w:rsidRPr="00395593" w:rsidRDefault="0013285C" w:rsidP="0013285C">
      <w:pPr>
        <w:pStyle w:val="Corpodetexto"/>
        <w:rPr>
          <w:rFonts w:ascii="Garamond" w:hAnsi="Garamond"/>
        </w:rPr>
      </w:pPr>
    </w:p>
    <w:p w14:paraId="0D2BAC0F" w14:textId="77777777" w:rsidR="0013285C" w:rsidRPr="00395593" w:rsidRDefault="0013285C" w:rsidP="002C4340">
      <w:pPr>
        <w:pStyle w:val="PargrafodaLista"/>
        <w:widowControl w:val="0"/>
        <w:numPr>
          <w:ilvl w:val="0"/>
          <w:numId w:val="8"/>
        </w:numPr>
        <w:tabs>
          <w:tab w:val="left" w:pos="810"/>
        </w:tabs>
        <w:autoSpaceDE w:val="0"/>
        <w:autoSpaceDN w:val="0"/>
        <w:spacing w:after="0" w:line="240" w:lineRule="auto"/>
        <w:ind w:right="122" w:firstLine="0"/>
        <w:contextualSpacing w:val="0"/>
        <w:jc w:val="both"/>
        <w:rPr>
          <w:rFonts w:ascii="Garamond" w:hAnsi="Garamond"/>
          <w:sz w:val="24"/>
        </w:rPr>
      </w:pPr>
      <w:r w:rsidRPr="00395593">
        <w:rPr>
          <w:rFonts w:ascii="Garamond" w:hAnsi="Garamond"/>
          <w:sz w:val="24"/>
        </w:rPr>
        <w:t>As autoridades do país importador, ao analisar petição dessa natureza, deverão levar</w:t>
      </w:r>
      <w:r w:rsidRPr="00395593">
        <w:rPr>
          <w:rFonts w:ascii="Garamond" w:hAnsi="Garamond"/>
          <w:spacing w:val="-57"/>
          <w:sz w:val="24"/>
        </w:rPr>
        <w:t xml:space="preserve"> </w:t>
      </w:r>
      <w:r w:rsidRPr="00395593">
        <w:rPr>
          <w:rFonts w:ascii="Garamond" w:hAnsi="Garamond"/>
          <w:sz w:val="24"/>
        </w:rPr>
        <w:t xml:space="preserve">em consideração os efeitos do alegado </w:t>
      </w:r>
      <w:r w:rsidRPr="00395593">
        <w:rPr>
          <w:rFonts w:ascii="Garamond" w:hAnsi="Garamond"/>
          <w:i/>
          <w:sz w:val="24"/>
        </w:rPr>
        <w:t xml:space="preserve">dumping </w:t>
      </w:r>
      <w:r w:rsidRPr="00395593">
        <w:rPr>
          <w:rFonts w:ascii="Garamond" w:hAnsi="Garamond"/>
          <w:sz w:val="24"/>
        </w:rPr>
        <w:t>sobre a indústria em apreço como um todo</w:t>
      </w:r>
      <w:r w:rsidRPr="00395593">
        <w:rPr>
          <w:rFonts w:ascii="Garamond" w:hAnsi="Garamond"/>
          <w:spacing w:val="1"/>
          <w:sz w:val="24"/>
        </w:rPr>
        <w:t xml:space="preserve"> </w:t>
      </w:r>
      <w:r w:rsidRPr="00395593">
        <w:rPr>
          <w:rFonts w:ascii="Garamond" w:hAnsi="Garamond"/>
          <w:sz w:val="24"/>
        </w:rPr>
        <w:t>no território do terceiro país. Isso significa que o dano não deverá ser avaliado apenas em</w:t>
      </w:r>
      <w:r w:rsidRPr="00395593">
        <w:rPr>
          <w:rFonts w:ascii="Garamond" w:hAnsi="Garamond"/>
          <w:spacing w:val="1"/>
          <w:sz w:val="24"/>
        </w:rPr>
        <w:t xml:space="preserve"> </w:t>
      </w:r>
      <w:r w:rsidRPr="00395593">
        <w:rPr>
          <w:rFonts w:ascii="Garamond" w:hAnsi="Garamond"/>
          <w:sz w:val="24"/>
        </w:rPr>
        <w:t xml:space="preserve">relação ao efeito do alegado </w:t>
      </w:r>
      <w:r w:rsidRPr="00395593">
        <w:rPr>
          <w:rFonts w:ascii="Garamond" w:hAnsi="Garamond"/>
          <w:i/>
          <w:sz w:val="24"/>
        </w:rPr>
        <w:t xml:space="preserve">dumping </w:t>
      </w:r>
      <w:r w:rsidRPr="00395593">
        <w:rPr>
          <w:rFonts w:ascii="Garamond" w:hAnsi="Garamond"/>
          <w:sz w:val="24"/>
        </w:rPr>
        <w:t>sobre as exportações da produção destinadas ao pais</w:t>
      </w:r>
      <w:r w:rsidRPr="00395593">
        <w:rPr>
          <w:rFonts w:ascii="Garamond" w:hAnsi="Garamond"/>
          <w:spacing w:val="1"/>
          <w:sz w:val="24"/>
        </w:rPr>
        <w:t xml:space="preserve"> </w:t>
      </w:r>
      <w:r w:rsidRPr="00395593">
        <w:rPr>
          <w:rFonts w:ascii="Garamond" w:hAnsi="Garamond"/>
          <w:sz w:val="24"/>
        </w:rPr>
        <w:t>importador,</w:t>
      </w:r>
      <w:r w:rsidRPr="00395593">
        <w:rPr>
          <w:rFonts w:ascii="Garamond" w:hAnsi="Garamond"/>
          <w:spacing w:val="-1"/>
          <w:sz w:val="24"/>
        </w:rPr>
        <w:t xml:space="preserve"> </w:t>
      </w:r>
      <w:r w:rsidRPr="00395593">
        <w:rPr>
          <w:rFonts w:ascii="Garamond" w:hAnsi="Garamond"/>
          <w:sz w:val="24"/>
        </w:rPr>
        <w:t>nem tampouco</w:t>
      </w:r>
      <w:r w:rsidRPr="00395593">
        <w:rPr>
          <w:rFonts w:ascii="Garamond" w:hAnsi="Garamond"/>
          <w:spacing w:val="-1"/>
          <w:sz w:val="24"/>
        </w:rPr>
        <w:t xml:space="preserve"> </w:t>
      </w:r>
      <w:r w:rsidRPr="00395593">
        <w:rPr>
          <w:rFonts w:ascii="Garamond" w:hAnsi="Garamond"/>
          <w:sz w:val="24"/>
        </w:rPr>
        <w:t>em relação</w:t>
      </w:r>
      <w:r w:rsidRPr="00395593">
        <w:rPr>
          <w:rFonts w:ascii="Garamond" w:hAnsi="Garamond"/>
          <w:spacing w:val="2"/>
          <w:sz w:val="24"/>
        </w:rPr>
        <w:t xml:space="preserve"> </w:t>
      </w:r>
      <w:r w:rsidRPr="00395593">
        <w:rPr>
          <w:rFonts w:ascii="Garamond" w:hAnsi="Garamond"/>
          <w:sz w:val="24"/>
        </w:rPr>
        <w:t>às</w:t>
      </w:r>
      <w:r w:rsidRPr="00395593">
        <w:rPr>
          <w:rFonts w:ascii="Garamond" w:hAnsi="Garamond"/>
          <w:spacing w:val="-1"/>
          <w:sz w:val="24"/>
        </w:rPr>
        <w:t xml:space="preserve"> </w:t>
      </w:r>
      <w:r w:rsidRPr="00395593">
        <w:rPr>
          <w:rFonts w:ascii="Garamond" w:hAnsi="Garamond"/>
          <w:sz w:val="24"/>
        </w:rPr>
        <w:t>exportações totais do</w:t>
      </w:r>
      <w:r w:rsidRPr="00395593">
        <w:rPr>
          <w:rFonts w:ascii="Garamond" w:hAnsi="Garamond"/>
          <w:spacing w:val="-1"/>
          <w:sz w:val="24"/>
        </w:rPr>
        <w:t xml:space="preserve"> </w:t>
      </w:r>
      <w:r w:rsidRPr="00395593">
        <w:rPr>
          <w:rFonts w:ascii="Garamond" w:hAnsi="Garamond"/>
          <w:sz w:val="24"/>
        </w:rPr>
        <w:t>produto.</w:t>
      </w:r>
    </w:p>
    <w:p w14:paraId="5F74658F" w14:textId="77777777" w:rsidR="0013285C" w:rsidRPr="00395593" w:rsidRDefault="0013285C" w:rsidP="0013285C">
      <w:pPr>
        <w:pStyle w:val="Corpodetexto"/>
        <w:rPr>
          <w:rFonts w:ascii="Garamond" w:hAnsi="Garamond"/>
        </w:rPr>
      </w:pPr>
    </w:p>
    <w:p w14:paraId="0F68FBF0" w14:textId="77777777" w:rsidR="0013285C" w:rsidRPr="00395593" w:rsidRDefault="0013285C" w:rsidP="002C4340">
      <w:pPr>
        <w:pStyle w:val="PargrafodaLista"/>
        <w:widowControl w:val="0"/>
        <w:numPr>
          <w:ilvl w:val="0"/>
          <w:numId w:val="8"/>
        </w:numPr>
        <w:tabs>
          <w:tab w:val="left" w:pos="810"/>
        </w:tabs>
        <w:autoSpaceDE w:val="0"/>
        <w:autoSpaceDN w:val="0"/>
        <w:spacing w:before="1" w:after="0" w:line="240" w:lineRule="auto"/>
        <w:ind w:right="121" w:firstLine="0"/>
        <w:contextualSpacing w:val="0"/>
        <w:jc w:val="both"/>
        <w:rPr>
          <w:rFonts w:ascii="Garamond" w:hAnsi="Garamond"/>
          <w:sz w:val="24"/>
        </w:rPr>
      </w:pPr>
      <w:r w:rsidRPr="00395593">
        <w:rPr>
          <w:rFonts w:ascii="Garamond" w:hAnsi="Garamond"/>
          <w:sz w:val="24"/>
        </w:rPr>
        <w:t>A</w:t>
      </w:r>
      <w:r w:rsidRPr="00395593">
        <w:rPr>
          <w:rFonts w:ascii="Garamond" w:hAnsi="Garamond"/>
          <w:spacing w:val="57"/>
          <w:sz w:val="24"/>
        </w:rPr>
        <w:t xml:space="preserve"> </w:t>
      </w:r>
      <w:r w:rsidRPr="00395593">
        <w:rPr>
          <w:rFonts w:ascii="Garamond" w:hAnsi="Garamond"/>
          <w:sz w:val="24"/>
        </w:rPr>
        <w:t>decisão</w:t>
      </w:r>
      <w:r w:rsidRPr="00395593">
        <w:rPr>
          <w:rFonts w:ascii="Garamond" w:hAnsi="Garamond"/>
          <w:spacing w:val="58"/>
          <w:sz w:val="24"/>
        </w:rPr>
        <w:t xml:space="preserve"> </w:t>
      </w:r>
      <w:r w:rsidRPr="00395593">
        <w:rPr>
          <w:rFonts w:ascii="Garamond" w:hAnsi="Garamond"/>
          <w:sz w:val="24"/>
        </w:rPr>
        <w:t>sobre</w:t>
      </w:r>
      <w:r w:rsidRPr="00395593">
        <w:rPr>
          <w:rFonts w:ascii="Garamond" w:hAnsi="Garamond"/>
          <w:spacing w:val="57"/>
          <w:sz w:val="24"/>
        </w:rPr>
        <w:t xml:space="preserve"> </w:t>
      </w:r>
      <w:r w:rsidRPr="00395593">
        <w:rPr>
          <w:rFonts w:ascii="Garamond" w:hAnsi="Garamond"/>
          <w:sz w:val="24"/>
        </w:rPr>
        <w:t>dar</w:t>
      </w:r>
      <w:r w:rsidRPr="00395593">
        <w:rPr>
          <w:rFonts w:ascii="Garamond" w:hAnsi="Garamond"/>
          <w:spacing w:val="58"/>
          <w:sz w:val="24"/>
        </w:rPr>
        <w:t xml:space="preserve"> </w:t>
      </w:r>
      <w:r w:rsidRPr="00395593">
        <w:rPr>
          <w:rFonts w:ascii="Garamond" w:hAnsi="Garamond"/>
          <w:sz w:val="24"/>
        </w:rPr>
        <w:t>ou  não</w:t>
      </w:r>
      <w:r w:rsidRPr="00395593">
        <w:rPr>
          <w:rFonts w:ascii="Garamond" w:hAnsi="Garamond"/>
          <w:spacing w:val="58"/>
          <w:sz w:val="24"/>
        </w:rPr>
        <w:t xml:space="preserve"> </w:t>
      </w:r>
      <w:r w:rsidRPr="00395593">
        <w:rPr>
          <w:rFonts w:ascii="Garamond" w:hAnsi="Garamond"/>
          <w:sz w:val="24"/>
        </w:rPr>
        <w:t>andamento</w:t>
      </w:r>
      <w:r w:rsidRPr="00395593">
        <w:rPr>
          <w:rFonts w:ascii="Garamond" w:hAnsi="Garamond"/>
          <w:spacing w:val="57"/>
          <w:sz w:val="24"/>
        </w:rPr>
        <w:t xml:space="preserve"> </w:t>
      </w:r>
      <w:r w:rsidRPr="00395593">
        <w:rPr>
          <w:rFonts w:ascii="Garamond" w:hAnsi="Garamond"/>
          <w:sz w:val="24"/>
        </w:rPr>
        <w:t>ao</w:t>
      </w:r>
      <w:r w:rsidRPr="00395593">
        <w:rPr>
          <w:rFonts w:ascii="Garamond" w:hAnsi="Garamond"/>
          <w:spacing w:val="58"/>
          <w:sz w:val="24"/>
        </w:rPr>
        <w:t xml:space="preserve"> </w:t>
      </w:r>
      <w:r w:rsidRPr="00395593">
        <w:rPr>
          <w:rFonts w:ascii="Garamond" w:hAnsi="Garamond"/>
          <w:sz w:val="24"/>
        </w:rPr>
        <w:t>caso</w:t>
      </w:r>
      <w:r w:rsidRPr="00395593">
        <w:rPr>
          <w:rFonts w:ascii="Garamond" w:hAnsi="Garamond"/>
          <w:spacing w:val="59"/>
          <w:sz w:val="24"/>
        </w:rPr>
        <w:t xml:space="preserve"> </w:t>
      </w:r>
      <w:r w:rsidRPr="00395593">
        <w:rPr>
          <w:rFonts w:ascii="Garamond" w:hAnsi="Garamond"/>
          <w:sz w:val="24"/>
        </w:rPr>
        <w:t>é</w:t>
      </w:r>
      <w:r w:rsidRPr="00395593">
        <w:rPr>
          <w:rFonts w:ascii="Garamond" w:hAnsi="Garamond"/>
          <w:spacing w:val="57"/>
          <w:sz w:val="24"/>
        </w:rPr>
        <w:t xml:space="preserve"> </w:t>
      </w:r>
      <w:r w:rsidRPr="00395593">
        <w:rPr>
          <w:rFonts w:ascii="Garamond" w:hAnsi="Garamond"/>
          <w:sz w:val="24"/>
        </w:rPr>
        <w:t>de</w:t>
      </w:r>
      <w:r w:rsidRPr="00395593">
        <w:rPr>
          <w:rFonts w:ascii="Garamond" w:hAnsi="Garamond"/>
          <w:spacing w:val="57"/>
          <w:sz w:val="24"/>
        </w:rPr>
        <w:t xml:space="preserve"> </w:t>
      </w:r>
      <w:r w:rsidRPr="00395593">
        <w:rPr>
          <w:rFonts w:ascii="Garamond" w:hAnsi="Garamond"/>
          <w:sz w:val="24"/>
        </w:rPr>
        <w:t>responsabilidade</w:t>
      </w:r>
      <w:r w:rsidRPr="00395593">
        <w:rPr>
          <w:rFonts w:ascii="Garamond" w:hAnsi="Garamond"/>
          <w:spacing w:val="59"/>
          <w:sz w:val="24"/>
        </w:rPr>
        <w:t xml:space="preserve"> </w:t>
      </w:r>
      <w:r w:rsidRPr="00395593">
        <w:rPr>
          <w:rFonts w:ascii="Garamond" w:hAnsi="Garamond"/>
          <w:sz w:val="24"/>
        </w:rPr>
        <w:t>do</w:t>
      </w:r>
      <w:r w:rsidRPr="00395593">
        <w:rPr>
          <w:rFonts w:ascii="Garamond" w:hAnsi="Garamond"/>
          <w:spacing w:val="58"/>
          <w:sz w:val="24"/>
        </w:rPr>
        <w:t xml:space="preserve"> </w:t>
      </w:r>
      <w:r w:rsidRPr="00395593">
        <w:rPr>
          <w:rFonts w:ascii="Garamond" w:hAnsi="Garamond"/>
          <w:sz w:val="24"/>
        </w:rPr>
        <w:t>país</w:t>
      </w:r>
      <w:r w:rsidRPr="00395593">
        <w:rPr>
          <w:rFonts w:ascii="Garamond" w:hAnsi="Garamond"/>
          <w:spacing w:val="-58"/>
          <w:sz w:val="24"/>
        </w:rPr>
        <w:t xml:space="preserve"> </w:t>
      </w:r>
      <w:r w:rsidRPr="00395593">
        <w:rPr>
          <w:rFonts w:ascii="Garamond" w:hAnsi="Garamond"/>
          <w:sz w:val="24"/>
        </w:rPr>
        <w:t>importador.</w:t>
      </w:r>
      <w:r w:rsidRPr="00395593">
        <w:rPr>
          <w:rFonts w:ascii="Garamond" w:hAnsi="Garamond"/>
          <w:spacing w:val="7"/>
          <w:sz w:val="24"/>
        </w:rPr>
        <w:t xml:space="preserve"> </w:t>
      </w:r>
      <w:r w:rsidRPr="00395593">
        <w:rPr>
          <w:rFonts w:ascii="Garamond" w:hAnsi="Garamond"/>
          <w:sz w:val="24"/>
        </w:rPr>
        <w:t>Se</w:t>
      </w:r>
      <w:r w:rsidRPr="00395593">
        <w:rPr>
          <w:rFonts w:ascii="Garamond" w:hAnsi="Garamond"/>
          <w:spacing w:val="8"/>
          <w:sz w:val="24"/>
        </w:rPr>
        <w:t xml:space="preserve"> </w:t>
      </w:r>
      <w:r w:rsidRPr="00395593">
        <w:rPr>
          <w:rFonts w:ascii="Garamond" w:hAnsi="Garamond"/>
          <w:sz w:val="24"/>
        </w:rPr>
        <w:t>este</w:t>
      </w:r>
      <w:r w:rsidRPr="00395593">
        <w:rPr>
          <w:rFonts w:ascii="Garamond" w:hAnsi="Garamond"/>
          <w:spacing w:val="9"/>
          <w:sz w:val="24"/>
        </w:rPr>
        <w:t xml:space="preserve"> </w:t>
      </w:r>
      <w:r w:rsidRPr="00395593">
        <w:rPr>
          <w:rFonts w:ascii="Garamond" w:hAnsi="Garamond"/>
          <w:sz w:val="24"/>
        </w:rPr>
        <w:t>decide</w:t>
      </w:r>
      <w:r w:rsidRPr="00395593">
        <w:rPr>
          <w:rFonts w:ascii="Garamond" w:hAnsi="Garamond"/>
          <w:spacing w:val="8"/>
          <w:sz w:val="24"/>
        </w:rPr>
        <w:t xml:space="preserve"> </w:t>
      </w:r>
      <w:r w:rsidRPr="00395593">
        <w:rPr>
          <w:rFonts w:ascii="Garamond" w:hAnsi="Garamond"/>
          <w:sz w:val="24"/>
        </w:rPr>
        <w:t>que</w:t>
      </w:r>
      <w:r w:rsidRPr="00395593">
        <w:rPr>
          <w:rFonts w:ascii="Garamond" w:hAnsi="Garamond"/>
          <w:spacing w:val="8"/>
          <w:sz w:val="24"/>
        </w:rPr>
        <w:t xml:space="preserve"> </w:t>
      </w:r>
      <w:r w:rsidRPr="00395593">
        <w:rPr>
          <w:rFonts w:ascii="Garamond" w:hAnsi="Garamond"/>
          <w:sz w:val="24"/>
        </w:rPr>
        <w:t>está</w:t>
      </w:r>
      <w:r w:rsidRPr="00395593">
        <w:rPr>
          <w:rFonts w:ascii="Garamond" w:hAnsi="Garamond"/>
          <w:spacing w:val="11"/>
          <w:sz w:val="24"/>
        </w:rPr>
        <w:t xml:space="preserve"> </w:t>
      </w:r>
      <w:r w:rsidRPr="00395593">
        <w:rPr>
          <w:rFonts w:ascii="Garamond" w:hAnsi="Garamond"/>
          <w:sz w:val="24"/>
        </w:rPr>
        <w:t>disposto</w:t>
      </w:r>
      <w:r w:rsidRPr="00395593">
        <w:rPr>
          <w:rFonts w:ascii="Garamond" w:hAnsi="Garamond"/>
          <w:spacing w:val="9"/>
          <w:sz w:val="24"/>
        </w:rPr>
        <w:t xml:space="preserve"> </w:t>
      </w:r>
      <w:r w:rsidRPr="00395593">
        <w:rPr>
          <w:rFonts w:ascii="Garamond" w:hAnsi="Garamond"/>
          <w:sz w:val="24"/>
        </w:rPr>
        <w:t>a</w:t>
      </w:r>
      <w:r w:rsidRPr="00395593">
        <w:rPr>
          <w:rFonts w:ascii="Garamond" w:hAnsi="Garamond"/>
          <w:spacing w:val="8"/>
          <w:sz w:val="24"/>
        </w:rPr>
        <w:t xml:space="preserve"> </w:t>
      </w:r>
      <w:r w:rsidRPr="00395593">
        <w:rPr>
          <w:rFonts w:ascii="Garamond" w:hAnsi="Garamond"/>
          <w:sz w:val="24"/>
        </w:rPr>
        <w:t>tomar</w:t>
      </w:r>
      <w:r w:rsidRPr="00395593">
        <w:rPr>
          <w:rFonts w:ascii="Garamond" w:hAnsi="Garamond"/>
          <w:spacing w:val="8"/>
          <w:sz w:val="24"/>
        </w:rPr>
        <w:t xml:space="preserve"> </w:t>
      </w:r>
      <w:r w:rsidRPr="00395593">
        <w:rPr>
          <w:rFonts w:ascii="Garamond" w:hAnsi="Garamond"/>
          <w:sz w:val="24"/>
        </w:rPr>
        <w:t>semelhantes</w:t>
      </w:r>
      <w:r w:rsidRPr="00395593">
        <w:rPr>
          <w:rFonts w:ascii="Garamond" w:hAnsi="Garamond"/>
          <w:spacing w:val="9"/>
          <w:sz w:val="24"/>
        </w:rPr>
        <w:t xml:space="preserve"> </w:t>
      </w:r>
      <w:r w:rsidRPr="00395593">
        <w:rPr>
          <w:rFonts w:ascii="Garamond" w:hAnsi="Garamond"/>
          <w:sz w:val="24"/>
        </w:rPr>
        <w:t>medidas,</w:t>
      </w:r>
      <w:r w:rsidRPr="00395593">
        <w:rPr>
          <w:rFonts w:ascii="Garamond" w:hAnsi="Garamond"/>
          <w:spacing w:val="9"/>
          <w:sz w:val="24"/>
        </w:rPr>
        <w:t xml:space="preserve"> </w:t>
      </w:r>
      <w:r w:rsidRPr="00395593">
        <w:rPr>
          <w:rFonts w:ascii="Garamond" w:hAnsi="Garamond"/>
          <w:sz w:val="24"/>
        </w:rPr>
        <w:t>competirá</w:t>
      </w:r>
      <w:r w:rsidRPr="00395593">
        <w:rPr>
          <w:rFonts w:ascii="Garamond" w:hAnsi="Garamond"/>
          <w:spacing w:val="7"/>
          <w:sz w:val="24"/>
        </w:rPr>
        <w:t xml:space="preserve"> </w:t>
      </w:r>
      <w:r w:rsidRPr="00395593">
        <w:rPr>
          <w:rFonts w:ascii="Garamond" w:hAnsi="Garamond"/>
          <w:sz w:val="24"/>
        </w:rPr>
        <w:t>a</w:t>
      </w:r>
      <w:r w:rsidRPr="00395593">
        <w:rPr>
          <w:rFonts w:ascii="Garamond" w:hAnsi="Garamond"/>
          <w:spacing w:val="10"/>
          <w:sz w:val="24"/>
        </w:rPr>
        <w:t xml:space="preserve"> </w:t>
      </w:r>
      <w:r w:rsidRPr="00395593">
        <w:rPr>
          <w:rFonts w:ascii="Garamond" w:hAnsi="Garamond"/>
          <w:sz w:val="24"/>
        </w:rPr>
        <w:t>ele</w:t>
      </w:r>
      <w:r w:rsidRPr="00395593">
        <w:rPr>
          <w:rFonts w:ascii="Garamond" w:hAnsi="Garamond"/>
          <w:spacing w:val="-57"/>
          <w:sz w:val="24"/>
        </w:rPr>
        <w:t xml:space="preserve"> </w:t>
      </w:r>
      <w:r w:rsidRPr="00395593">
        <w:rPr>
          <w:rFonts w:ascii="Garamond" w:hAnsi="Garamond"/>
          <w:sz w:val="24"/>
        </w:rPr>
        <w:t>a</w:t>
      </w:r>
      <w:r w:rsidRPr="00395593">
        <w:rPr>
          <w:rFonts w:ascii="Garamond" w:hAnsi="Garamond"/>
          <w:spacing w:val="-2"/>
          <w:sz w:val="24"/>
        </w:rPr>
        <w:t xml:space="preserve"> </w:t>
      </w:r>
      <w:r w:rsidRPr="00395593">
        <w:rPr>
          <w:rFonts w:ascii="Garamond" w:hAnsi="Garamond"/>
          <w:sz w:val="24"/>
        </w:rPr>
        <w:t>iniciativa de</w:t>
      </w:r>
      <w:r w:rsidRPr="00395593">
        <w:rPr>
          <w:rFonts w:ascii="Garamond" w:hAnsi="Garamond"/>
          <w:spacing w:val="-3"/>
          <w:sz w:val="24"/>
        </w:rPr>
        <w:t xml:space="preserve"> </w:t>
      </w:r>
      <w:r w:rsidRPr="00395593">
        <w:rPr>
          <w:rFonts w:ascii="Garamond" w:hAnsi="Garamond"/>
          <w:sz w:val="24"/>
        </w:rPr>
        <w:t>dirigir-se</w:t>
      </w:r>
      <w:r w:rsidRPr="00395593">
        <w:rPr>
          <w:rFonts w:ascii="Garamond" w:hAnsi="Garamond"/>
          <w:spacing w:val="1"/>
          <w:sz w:val="24"/>
        </w:rPr>
        <w:t xml:space="preserve"> </w:t>
      </w:r>
      <w:r w:rsidRPr="00395593">
        <w:rPr>
          <w:rFonts w:ascii="Garamond" w:hAnsi="Garamond"/>
          <w:sz w:val="24"/>
        </w:rPr>
        <w:t>ao Conselho</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1"/>
          <w:sz w:val="24"/>
        </w:rPr>
        <w:t xml:space="preserve"> </w:t>
      </w:r>
      <w:r w:rsidRPr="00395593">
        <w:rPr>
          <w:rFonts w:ascii="Garamond" w:hAnsi="Garamond"/>
          <w:sz w:val="24"/>
        </w:rPr>
        <w:t>o Comércio</w:t>
      </w:r>
      <w:r w:rsidRPr="00395593">
        <w:rPr>
          <w:rFonts w:ascii="Garamond" w:hAnsi="Garamond"/>
          <w:spacing w:val="-1"/>
          <w:sz w:val="24"/>
        </w:rPr>
        <w:t xml:space="preserve"> </w:t>
      </w:r>
      <w:r w:rsidRPr="00395593">
        <w:rPr>
          <w:rFonts w:ascii="Garamond" w:hAnsi="Garamond"/>
          <w:sz w:val="24"/>
        </w:rPr>
        <w:t>de Bens</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1"/>
          <w:sz w:val="24"/>
        </w:rPr>
        <w:t xml:space="preserve"> </w:t>
      </w:r>
      <w:r w:rsidRPr="00395593">
        <w:rPr>
          <w:rFonts w:ascii="Garamond" w:hAnsi="Garamond"/>
          <w:sz w:val="24"/>
        </w:rPr>
        <w:t>obter-lhe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2"/>
          <w:sz w:val="24"/>
        </w:rPr>
        <w:t xml:space="preserve"> </w:t>
      </w:r>
      <w:r w:rsidRPr="00395593">
        <w:rPr>
          <w:rFonts w:ascii="Garamond" w:hAnsi="Garamond"/>
          <w:sz w:val="24"/>
        </w:rPr>
        <w:t>aprovação.</w:t>
      </w:r>
    </w:p>
    <w:p w14:paraId="4995E99F" w14:textId="77777777" w:rsidR="0013285C" w:rsidRPr="00395593" w:rsidRDefault="0013285C" w:rsidP="0013285C">
      <w:pPr>
        <w:pStyle w:val="Corpodetexto"/>
        <w:spacing w:before="11"/>
        <w:rPr>
          <w:rFonts w:ascii="Garamond" w:hAnsi="Garamond"/>
          <w:sz w:val="23"/>
        </w:rPr>
      </w:pPr>
    </w:p>
    <w:p w14:paraId="173064E3" w14:textId="77777777" w:rsidR="0013285C" w:rsidRPr="00395593" w:rsidRDefault="0013285C" w:rsidP="0013285C">
      <w:pPr>
        <w:pStyle w:val="Corpodetexto"/>
        <w:ind w:left="176" w:right="194"/>
        <w:jc w:val="center"/>
        <w:rPr>
          <w:rFonts w:ascii="Garamond" w:hAnsi="Garamond"/>
          <w:b/>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15</w:t>
      </w:r>
    </w:p>
    <w:p w14:paraId="369B1010" w14:textId="77777777" w:rsidR="0013285C" w:rsidRPr="00395593" w:rsidRDefault="0013285C" w:rsidP="0013285C">
      <w:pPr>
        <w:pStyle w:val="Corpodetexto"/>
        <w:rPr>
          <w:rFonts w:ascii="Garamond" w:hAnsi="Garamond"/>
          <w:b/>
        </w:rPr>
      </w:pPr>
    </w:p>
    <w:p w14:paraId="75C4071B" w14:textId="77777777" w:rsidR="0013285C" w:rsidRPr="00395593" w:rsidRDefault="0013285C" w:rsidP="0013285C">
      <w:pPr>
        <w:pStyle w:val="Corpodetexto"/>
        <w:ind w:left="176" w:right="192"/>
        <w:jc w:val="center"/>
        <w:rPr>
          <w:rFonts w:ascii="Garamond" w:hAnsi="Garamond"/>
          <w:b/>
        </w:rPr>
      </w:pPr>
      <w:r w:rsidRPr="00395593">
        <w:rPr>
          <w:rFonts w:ascii="Garamond" w:hAnsi="Garamond"/>
          <w:b/>
        </w:rPr>
        <w:t>Países</w:t>
      </w:r>
      <w:r w:rsidRPr="00395593">
        <w:rPr>
          <w:rFonts w:ascii="Garamond" w:hAnsi="Garamond"/>
          <w:b/>
          <w:spacing w:val="-1"/>
        </w:rPr>
        <w:t xml:space="preserve"> </w:t>
      </w:r>
      <w:r w:rsidRPr="00395593">
        <w:rPr>
          <w:rFonts w:ascii="Garamond" w:hAnsi="Garamond"/>
          <w:b/>
        </w:rPr>
        <w:t>em</w:t>
      </w:r>
      <w:r w:rsidRPr="00395593">
        <w:rPr>
          <w:rFonts w:ascii="Garamond" w:hAnsi="Garamond"/>
          <w:b/>
          <w:spacing w:val="-1"/>
        </w:rPr>
        <w:t xml:space="preserve"> </w:t>
      </w:r>
      <w:r w:rsidRPr="00395593">
        <w:rPr>
          <w:rFonts w:ascii="Garamond" w:hAnsi="Garamond"/>
          <w:b/>
        </w:rPr>
        <w:t>Desenvolvimento</w:t>
      </w:r>
      <w:r w:rsidRPr="00395593">
        <w:rPr>
          <w:rFonts w:ascii="Garamond" w:hAnsi="Garamond"/>
          <w:b/>
          <w:spacing w:val="-1"/>
        </w:rPr>
        <w:t xml:space="preserve"> </w:t>
      </w:r>
      <w:r w:rsidRPr="00395593">
        <w:rPr>
          <w:rFonts w:ascii="Garamond" w:hAnsi="Garamond"/>
          <w:b/>
        </w:rPr>
        <w:t>Membros</w:t>
      </w:r>
    </w:p>
    <w:p w14:paraId="6190FA75" w14:textId="77777777" w:rsidR="0013285C" w:rsidRPr="00395593" w:rsidRDefault="0013285C" w:rsidP="0013285C">
      <w:pPr>
        <w:pStyle w:val="Corpodetexto"/>
        <w:spacing w:before="184"/>
        <w:ind w:left="102" w:right="119" w:firstLine="707"/>
        <w:jc w:val="both"/>
        <w:rPr>
          <w:rFonts w:ascii="Garamond" w:hAnsi="Garamond"/>
        </w:rPr>
      </w:pPr>
      <w:r w:rsidRPr="00395593">
        <w:rPr>
          <w:rFonts w:ascii="Garamond" w:hAnsi="Garamond"/>
        </w:rPr>
        <w:t>Fica aqui reconhecido que os países Membros desenvolvidos deverão dar especial</w:t>
      </w:r>
      <w:r w:rsidRPr="00395593">
        <w:rPr>
          <w:rFonts w:ascii="Garamond" w:hAnsi="Garamond"/>
          <w:spacing w:val="1"/>
        </w:rPr>
        <w:t xml:space="preserve"> </w:t>
      </w:r>
      <w:r w:rsidRPr="00395593">
        <w:rPr>
          <w:rFonts w:ascii="Garamond" w:hAnsi="Garamond"/>
        </w:rPr>
        <w:t>atenção à particular situação dos países em desenvolvimento Membros no tratamento da</w:t>
      </w:r>
      <w:r w:rsidRPr="00395593">
        <w:rPr>
          <w:rFonts w:ascii="Garamond" w:hAnsi="Garamond"/>
          <w:spacing w:val="1"/>
        </w:rPr>
        <w:t xml:space="preserve"> </w:t>
      </w:r>
      <w:r w:rsidRPr="00395593">
        <w:rPr>
          <w:rFonts w:ascii="Garamond" w:hAnsi="Garamond"/>
        </w:rPr>
        <w:t>aplicação de medidas anti-</w:t>
      </w:r>
      <w:r w:rsidRPr="00395593">
        <w:rPr>
          <w:rFonts w:ascii="Garamond" w:hAnsi="Garamond"/>
          <w:i/>
        </w:rPr>
        <w:t xml:space="preserve">dumping </w:t>
      </w:r>
      <w:r w:rsidRPr="00395593">
        <w:rPr>
          <w:rFonts w:ascii="Garamond" w:hAnsi="Garamond"/>
        </w:rPr>
        <w:t>ao abrigo deste Acordo. As possibilidades de soluções</w:t>
      </w:r>
      <w:r w:rsidRPr="00395593">
        <w:rPr>
          <w:rFonts w:ascii="Garamond" w:hAnsi="Garamond"/>
          <w:spacing w:val="1"/>
        </w:rPr>
        <w:t xml:space="preserve"> </w:t>
      </w:r>
      <w:r w:rsidRPr="00395593">
        <w:rPr>
          <w:rFonts w:ascii="Garamond" w:hAnsi="Garamond"/>
        </w:rPr>
        <w:t>construtivas previstas neste Acordo deverão ser exploradas antes da aplicação de direitos</w:t>
      </w:r>
      <w:r w:rsidRPr="00395593">
        <w:rPr>
          <w:rFonts w:ascii="Garamond" w:hAnsi="Garamond"/>
          <w:spacing w:val="1"/>
        </w:rPr>
        <w:t xml:space="preserve"> </w:t>
      </w:r>
      <w:r w:rsidRPr="00395593">
        <w:rPr>
          <w:rFonts w:ascii="Garamond" w:hAnsi="Garamond"/>
        </w:rPr>
        <w:t>anti-</w:t>
      </w:r>
      <w:r w:rsidRPr="00395593">
        <w:rPr>
          <w:rFonts w:ascii="Garamond" w:hAnsi="Garamond"/>
          <w:i/>
        </w:rPr>
        <w:t xml:space="preserve">dumping </w:t>
      </w:r>
      <w:r w:rsidRPr="00395593">
        <w:rPr>
          <w:rFonts w:ascii="Garamond" w:hAnsi="Garamond"/>
        </w:rPr>
        <w:t>sempre que estes afetem interesses essenciais dos países em desenvolvimento</w:t>
      </w:r>
      <w:r w:rsidRPr="00395593">
        <w:rPr>
          <w:rFonts w:ascii="Garamond" w:hAnsi="Garamond"/>
          <w:spacing w:val="-57"/>
        </w:rPr>
        <w:t xml:space="preserve"> </w:t>
      </w:r>
      <w:r w:rsidRPr="00395593">
        <w:rPr>
          <w:rFonts w:ascii="Garamond" w:hAnsi="Garamond"/>
        </w:rPr>
        <w:t>Membros.</w:t>
      </w:r>
    </w:p>
    <w:p w14:paraId="24743ED8" w14:textId="77777777" w:rsidR="0013285C" w:rsidRPr="00395593" w:rsidRDefault="0013285C" w:rsidP="0013285C">
      <w:pPr>
        <w:pStyle w:val="Corpodetexto"/>
        <w:rPr>
          <w:rFonts w:ascii="Garamond" w:hAnsi="Garamond"/>
          <w:sz w:val="22"/>
        </w:rPr>
      </w:pPr>
    </w:p>
    <w:p w14:paraId="61C22B85" w14:textId="77777777" w:rsidR="00B273F2" w:rsidRDefault="00B273F2">
      <w:pPr>
        <w:rPr>
          <w:rFonts w:ascii="Garamond" w:eastAsia="Times New Roman" w:hAnsi="Garamond" w:cs="Times New Roman"/>
          <w:b/>
          <w:sz w:val="24"/>
          <w:szCs w:val="24"/>
        </w:rPr>
      </w:pPr>
      <w:r>
        <w:rPr>
          <w:rFonts w:ascii="Garamond" w:hAnsi="Garamond"/>
          <w:b/>
        </w:rPr>
        <w:br w:type="page"/>
      </w:r>
    </w:p>
    <w:p w14:paraId="1A9BB52B" w14:textId="612EF6E2" w:rsidR="0013285C" w:rsidRPr="00395593" w:rsidRDefault="0013285C" w:rsidP="0013285C">
      <w:pPr>
        <w:pStyle w:val="Corpodetexto"/>
        <w:ind w:left="176" w:right="191"/>
        <w:jc w:val="center"/>
        <w:rPr>
          <w:rFonts w:ascii="Garamond" w:hAnsi="Garamond"/>
          <w:b/>
        </w:rPr>
      </w:pPr>
      <w:r w:rsidRPr="00395593">
        <w:rPr>
          <w:rFonts w:ascii="Garamond" w:hAnsi="Garamond"/>
          <w:b/>
        </w:rPr>
        <w:t>PARTE</w:t>
      </w:r>
      <w:r w:rsidRPr="00395593">
        <w:rPr>
          <w:rFonts w:ascii="Garamond" w:hAnsi="Garamond"/>
          <w:b/>
          <w:spacing w:val="-4"/>
        </w:rPr>
        <w:t xml:space="preserve"> </w:t>
      </w:r>
      <w:r w:rsidRPr="00395593">
        <w:rPr>
          <w:rFonts w:ascii="Garamond" w:hAnsi="Garamond"/>
          <w:b/>
        </w:rPr>
        <w:t>II</w:t>
      </w:r>
    </w:p>
    <w:p w14:paraId="6281FE26" w14:textId="77777777" w:rsidR="0013285C" w:rsidRPr="00395593" w:rsidRDefault="0013285C" w:rsidP="0013285C">
      <w:pPr>
        <w:pStyle w:val="Corpodetexto"/>
        <w:rPr>
          <w:rFonts w:ascii="Garamond" w:hAnsi="Garamond"/>
          <w:b/>
        </w:rPr>
      </w:pPr>
    </w:p>
    <w:p w14:paraId="2FFFD53E" w14:textId="77777777" w:rsidR="0013285C" w:rsidRPr="00395593" w:rsidRDefault="0013285C" w:rsidP="0013285C">
      <w:pPr>
        <w:pStyle w:val="Corpodetexto"/>
        <w:ind w:left="176" w:right="194"/>
        <w:jc w:val="center"/>
        <w:rPr>
          <w:rFonts w:ascii="Garamond" w:hAnsi="Garamond"/>
          <w:b/>
        </w:rPr>
      </w:pPr>
      <w:r w:rsidRPr="00395593">
        <w:rPr>
          <w:rFonts w:ascii="Garamond" w:hAnsi="Garamond"/>
          <w:b/>
        </w:rPr>
        <w:t>Artigo</w:t>
      </w:r>
      <w:r w:rsidRPr="00395593">
        <w:rPr>
          <w:rFonts w:ascii="Garamond" w:hAnsi="Garamond"/>
          <w:b/>
          <w:spacing w:val="-6"/>
        </w:rPr>
        <w:t xml:space="preserve"> </w:t>
      </w:r>
      <w:r w:rsidRPr="00395593">
        <w:rPr>
          <w:rFonts w:ascii="Garamond" w:hAnsi="Garamond"/>
          <w:b/>
        </w:rPr>
        <w:t>16</w:t>
      </w:r>
    </w:p>
    <w:p w14:paraId="04A47269" w14:textId="77777777" w:rsidR="0013285C" w:rsidRPr="00395593" w:rsidRDefault="0013285C" w:rsidP="0013285C">
      <w:pPr>
        <w:pStyle w:val="Corpodetexto"/>
        <w:spacing w:before="1"/>
        <w:rPr>
          <w:rFonts w:ascii="Garamond" w:hAnsi="Garamond"/>
          <w:b/>
        </w:rPr>
      </w:pPr>
    </w:p>
    <w:p w14:paraId="33C5D32D" w14:textId="77777777" w:rsidR="0013285C" w:rsidRPr="00395593" w:rsidRDefault="0013285C" w:rsidP="0013285C">
      <w:pPr>
        <w:ind w:left="176" w:right="194"/>
        <w:jc w:val="center"/>
        <w:rPr>
          <w:rFonts w:ascii="Garamond" w:hAnsi="Garamond"/>
          <w:i/>
          <w:sz w:val="24"/>
        </w:rPr>
      </w:pPr>
      <w:r w:rsidRPr="00395593">
        <w:rPr>
          <w:rFonts w:ascii="Garamond" w:hAnsi="Garamond"/>
          <w:b/>
          <w:sz w:val="24"/>
        </w:rPr>
        <w:t>Comitê</w:t>
      </w:r>
      <w:r w:rsidRPr="00395593">
        <w:rPr>
          <w:rFonts w:ascii="Garamond" w:hAnsi="Garamond"/>
          <w:b/>
          <w:spacing w:val="-2"/>
          <w:sz w:val="24"/>
        </w:rPr>
        <w:t xml:space="preserve"> </w:t>
      </w:r>
      <w:r w:rsidRPr="00395593">
        <w:rPr>
          <w:rFonts w:ascii="Garamond" w:hAnsi="Garamond"/>
          <w:b/>
          <w:sz w:val="24"/>
        </w:rPr>
        <w:t>sobre</w:t>
      </w:r>
      <w:r w:rsidRPr="00395593">
        <w:rPr>
          <w:rFonts w:ascii="Garamond" w:hAnsi="Garamond"/>
          <w:b/>
          <w:spacing w:val="-2"/>
          <w:sz w:val="24"/>
        </w:rPr>
        <w:t xml:space="preserve"> </w:t>
      </w:r>
      <w:r w:rsidRPr="00395593">
        <w:rPr>
          <w:rFonts w:ascii="Garamond" w:hAnsi="Garamond"/>
          <w:b/>
          <w:sz w:val="24"/>
        </w:rPr>
        <w:t xml:space="preserve">Práticas </w:t>
      </w:r>
      <w:r w:rsidRPr="00395593">
        <w:rPr>
          <w:rFonts w:ascii="Garamond" w:hAnsi="Garamond"/>
          <w:b/>
          <w:i/>
          <w:sz w:val="24"/>
        </w:rPr>
        <w:t>Anti</w:t>
      </w:r>
      <w:r w:rsidRPr="00395593">
        <w:rPr>
          <w:rFonts w:ascii="Garamond" w:hAnsi="Garamond"/>
          <w:b/>
          <w:sz w:val="24"/>
        </w:rPr>
        <w:t>-</w:t>
      </w:r>
      <w:r w:rsidRPr="00395593">
        <w:rPr>
          <w:rFonts w:ascii="Garamond" w:hAnsi="Garamond"/>
          <w:b/>
          <w:i/>
          <w:sz w:val="24"/>
        </w:rPr>
        <w:t>Dumping</w:t>
      </w:r>
    </w:p>
    <w:p w14:paraId="4743458E" w14:textId="77777777" w:rsidR="0013285C" w:rsidRPr="00395593" w:rsidRDefault="0013285C" w:rsidP="0013285C">
      <w:pPr>
        <w:pStyle w:val="Corpodetexto"/>
        <w:rPr>
          <w:rFonts w:ascii="Garamond" w:hAnsi="Garamond"/>
          <w:i/>
        </w:rPr>
      </w:pPr>
    </w:p>
    <w:p w14:paraId="7AD03B1D" w14:textId="77777777" w:rsidR="0013285C" w:rsidRPr="00395593" w:rsidRDefault="0013285C" w:rsidP="002C4340">
      <w:pPr>
        <w:pStyle w:val="PargrafodaLista"/>
        <w:widowControl w:val="0"/>
        <w:numPr>
          <w:ilvl w:val="0"/>
          <w:numId w:val="7"/>
        </w:numPr>
        <w:tabs>
          <w:tab w:val="left" w:pos="810"/>
        </w:tabs>
        <w:autoSpaceDE w:val="0"/>
        <w:autoSpaceDN w:val="0"/>
        <w:spacing w:after="0" w:line="240" w:lineRule="auto"/>
        <w:ind w:right="116" w:firstLine="0"/>
        <w:contextualSpacing w:val="0"/>
        <w:jc w:val="both"/>
        <w:rPr>
          <w:rFonts w:ascii="Garamond" w:hAnsi="Garamond"/>
          <w:sz w:val="24"/>
        </w:rPr>
      </w:pPr>
      <w:r w:rsidRPr="00395593">
        <w:rPr>
          <w:rFonts w:ascii="Garamond" w:hAnsi="Garamond"/>
          <w:sz w:val="24"/>
        </w:rPr>
        <w:t xml:space="preserve">Fica aqui estabelecido o Comitê sobre Práticas </w:t>
      </w:r>
      <w:r w:rsidRPr="00395593">
        <w:rPr>
          <w:rFonts w:ascii="Garamond" w:hAnsi="Garamond"/>
          <w:i/>
          <w:sz w:val="24"/>
        </w:rPr>
        <w:t>Anti</w:t>
      </w:r>
      <w:r w:rsidRPr="00395593">
        <w:rPr>
          <w:rFonts w:ascii="Garamond" w:hAnsi="Garamond"/>
          <w:sz w:val="24"/>
        </w:rPr>
        <w:t>-</w:t>
      </w:r>
      <w:r w:rsidRPr="00395593">
        <w:rPr>
          <w:rFonts w:ascii="Garamond" w:hAnsi="Garamond"/>
          <w:i/>
          <w:sz w:val="24"/>
        </w:rPr>
        <w:t xml:space="preserve">Dumping </w:t>
      </w:r>
      <w:r w:rsidRPr="00395593">
        <w:rPr>
          <w:rFonts w:ascii="Garamond" w:hAnsi="Garamond"/>
          <w:sz w:val="24"/>
        </w:rPr>
        <w:t>(a partir de agora</w:t>
      </w:r>
      <w:r w:rsidRPr="00395593">
        <w:rPr>
          <w:rFonts w:ascii="Garamond" w:hAnsi="Garamond"/>
          <w:spacing w:val="1"/>
          <w:sz w:val="24"/>
        </w:rPr>
        <w:t xml:space="preserve"> </w:t>
      </w:r>
      <w:r w:rsidRPr="00395593">
        <w:rPr>
          <w:rFonts w:ascii="Garamond" w:hAnsi="Garamond"/>
          <w:sz w:val="24"/>
        </w:rPr>
        <w:t>referido</w:t>
      </w:r>
      <w:r w:rsidRPr="00395593">
        <w:rPr>
          <w:rFonts w:ascii="Garamond" w:hAnsi="Garamond"/>
          <w:spacing w:val="1"/>
          <w:sz w:val="24"/>
        </w:rPr>
        <w:t xml:space="preserve"> </w:t>
      </w:r>
      <w:r w:rsidRPr="00395593">
        <w:rPr>
          <w:rFonts w:ascii="Garamond" w:hAnsi="Garamond"/>
          <w:sz w:val="24"/>
        </w:rPr>
        <w:t>como</w:t>
      </w:r>
      <w:r w:rsidRPr="00395593">
        <w:rPr>
          <w:rFonts w:ascii="Garamond" w:hAnsi="Garamond"/>
          <w:spacing w:val="1"/>
          <w:sz w:val="24"/>
        </w:rPr>
        <w:t xml:space="preserve"> </w:t>
      </w:r>
      <w:r w:rsidRPr="00395593">
        <w:rPr>
          <w:rFonts w:ascii="Garamond" w:hAnsi="Garamond"/>
          <w:sz w:val="24"/>
        </w:rPr>
        <w:t>'Comitê'</w:t>
      </w:r>
      <w:r w:rsidRPr="00395593">
        <w:rPr>
          <w:rFonts w:ascii="Garamond" w:hAnsi="Garamond"/>
          <w:spacing w:val="1"/>
          <w:sz w:val="24"/>
        </w:rPr>
        <w:t xml:space="preserve"> </w:t>
      </w:r>
      <w:r w:rsidRPr="00395593">
        <w:rPr>
          <w:rFonts w:ascii="Garamond" w:hAnsi="Garamond"/>
          <w:sz w:val="24"/>
        </w:rPr>
        <w:t>neste</w:t>
      </w:r>
      <w:r w:rsidRPr="00395593">
        <w:rPr>
          <w:rFonts w:ascii="Garamond" w:hAnsi="Garamond"/>
          <w:spacing w:val="1"/>
          <w:sz w:val="24"/>
        </w:rPr>
        <w:t xml:space="preserve"> </w:t>
      </w:r>
      <w:r w:rsidRPr="00395593">
        <w:rPr>
          <w:rFonts w:ascii="Garamond" w:hAnsi="Garamond"/>
          <w:sz w:val="24"/>
        </w:rPr>
        <w:t>Acordo)</w:t>
      </w:r>
      <w:r w:rsidRPr="00395593">
        <w:rPr>
          <w:rFonts w:ascii="Garamond" w:hAnsi="Garamond"/>
          <w:spacing w:val="1"/>
          <w:sz w:val="24"/>
        </w:rPr>
        <w:t xml:space="preserve"> </w:t>
      </w:r>
      <w:r w:rsidRPr="00395593">
        <w:rPr>
          <w:rFonts w:ascii="Garamond" w:hAnsi="Garamond"/>
          <w:sz w:val="24"/>
        </w:rPr>
        <w:t>integrado</w:t>
      </w:r>
      <w:r w:rsidRPr="00395593">
        <w:rPr>
          <w:rFonts w:ascii="Garamond" w:hAnsi="Garamond"/>
          <w:spacing w:val="1"/>
          <w:sz w:val="24"/>
        </w:rPr>
        <w:t xml:space="preserve"> </w:t>
      </w:r>
      <w:r w:rsidRPr="00395593">
        <w:rPr>
          <w:rFonts w:ascii="Garamond" w:hAnsi="Garamond"/>
          <w:sz w:val="24"/>
        </w:rPr>
        <w:t>pelos</w:t>
      </w:r>
      <w:r w:rsidRPr="00395593">
        <w:rPr>
          <w:rFonts w:ascii="Garamond" w:hAnsi="Garamond"/>
          <w:spacing w:val="1"/>
          <w:sz w:val="24"/>
        </w:rPr>
        <w:t xml:space="preserve"> </w:t>
      </w:r>
      <w:r w:rsidRPr="00395593">
        <w:rPr>
          <w:rFonts w:ascii="Garamond" w:hAnsi="Garamond"/>
          <w:sz w:val="24"/>
        </w:rPr>
        <w:t>representantes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cada</w:t>
      </w:r>
      <w:r w:rsidRPr="00395593">
        <w:rPr>
          <w:rFonts w:ascii="Garamond" w:hAnsi="Garamond"/>
          <w:spacing w:val="1"/>
          <w:sz w:val="24"/>
        </w:rPr>
        <w:t xml:space="preserve"> </w:t>
      </w:r>
      <w:r w:rsidRPr="00395593">
        <w:rPr>
          <w:rFonts w:ascii="Garamond" w:hAnsi="Garamond"/>
          <w:sz w:val="24"/>
        </w:rPr>
        <w:t>um</w:t>
      </w:r>
      <w:r w:rsidRPr="00395593">
        <w:rPr>
          <w:rFonts w:ascii="Garamond" w:hAnsi="Garamond"/>
          <w:spacing w:val="1"/>
          <w:sz w:val="24"/>
        </w:rPr>
        <w:t xml:space="preserve"> </w:t>
      </w:r>
      <w:r w:rsidRPr="00395593">
        <w:rPr>
          <w:rFonts w:ascii="Garamond" w:hAnsi="Garamond"/>
          <w:sz w:val="24"/>
        </w:rPr>
        <w:t>dos</w:t>
      </w:r>
      <w:r w:rsidRPr="00395593">
        <w:rPr>
          <w:rFonts w:ascii="Garamond" w:hAnsi="Garamond"/>
          <w:spacing w:val="-57"/>
          <w:sz w:val="24"/>
        </w:rPr>
        <w:t xml:space="preserve"> </w:t>
      </w:r>
      <w:r w:rsidRPr="00395593">
        <w:rPr>
          <w:rFonts w:ascii="Garamond" w:hAnsi="Garamond"/>
          <w:sz w:val="24"/>
        </w:rPr>
        <w:t>Membros. O Comitê elegerá seu próprio Presidente e deverá reunir-se pelo menos duas</w:t>
      </w:r>
      <w:r w:rsidRPr="00395593">
        <w:rPr>
          <w:rFonts w:ascii="Garamond" w:hAnsi="Garamond"/>
          <w:spacing w:val="1"/>
          <w:sz w:val="24"/>
        </w:rPr>
        <w:t xml:space="preserve"> </w:t>
      </w:r>
      <w:r w:rsidRPr="00395593">
        <w:rPr>
          <w:rFonts w:ascii="Garamond" w:hAnsi="Garamond"/>
          <w:sz w:val="24"/>
        </w:rPr>
        <w:t>vezes por ano e sempre que lhe seja solicitado por qualquer dos Membros, segundo o que</w:t>
      </w:r>
      <w:r w:rsidRPr="00395593">
        <w:rPr>
          <w:rFonts w:ascii="Garamond" w:hAnsi="Garamond"/>
          <w:spacing w:val="1"/>
          <w:sz w:val="24"/>
        </w:rPr>
        <w:t xml:space="preserve"> </w:t>
      </w:r>
      <w:r w:rsidRPr="00395593">
        <w:rPr>
          <w:rFonts w:ascii="Garamond" w:hAnsi="Garamond"/>
          <w:sz w:val="24"/>
        </w:rPr>
        <w:t>está previsto nas disposições pertinentes deste Acordo. O Comitê desempenhará as funções</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9"/>
          <w:sz w:val="24"/>
        </w:rPr>
        <w:t xml:space="preserve"> </w:t>
      </w:r>
      <w:r w:rsidRPr="00395593">
        <w:rPr>
          <w:rFonts w:ascii="Garamond" w:hAnsi="Garamond"/>
          <w:sz w:val="24"/>
        </w:rPr>
        <w:t>ele</w:t>
      </w:r>
      <w:r w:rsidRPr="00395593">
        <w:rPr>
          <w:rFonts w:ascii="Garamond" w:hAnsi="Garamond"/>
          <w:spacing w:val="10"/>
          <w:sz w:val="24"/>
        </w:rPr>
        <w:t xml:space="preserve"> </w:t>
      </w:r>
      <w:r w:rsidRPr="00395593">
        <w:rPr>
          <w:rFonts w:ascii="Garamond" w:hAnsi="Garamond"/>
          <w:sz w:val="24"/>
        </w:rPr>
        <w:t>atribuídas</w:t>
      </w:r>
      <w:r w:rsidRPr="00395593">
        <w:rPr>
          <w:rFonts w:ascii="Garamond" w:hAnsi="Garamond"/>
          <w:spacing w:val="11"/>
          <w:sz w:val="24"/>
        </w:rPr>
        <w:t xml:space="preserve"> </w:t>
      </w:r>
      <w:r w:rsidRPr="00395593">
        <w:rPr>
          <w:rFonts w:ascii="Garamond" w:hAnsi="Garamond"/>
          <w:sz w:val="24"/>
        </w:rPr>
        <w:t>pelo</w:t>
      </w:r>
      <w:r w:rsidRPr="00395593">
        <w:rPr>
          <w:rFonts w:ascii="Garamond" w:hAnsi="Garamond"/>
          <w:spacing w:val="12"/>
          <w:sz w:val="24"/>
        </w:rPr>
        <w:t xml:space="preserve"> </w:t>
      </w:r>
      <w:r w:rsidRPr="00395593">
        <w:rPr>
          <w:rFonts w:ascii="Garamond" w:hAnsi="Garamond"/>
          <w:sz w:val="24"/>
        </w:rPr>
        <w:t>presente</w:t>
      </w:r>
      <w:r w:rsidRPr="00395593">
        <w:rPr>
          <w:rFonts w:ascii="Garamond" w:hAnsi="Garamond"/>
          <w:spacing w:val="10"/>
          <w:sz w:val="24"/>
        </w:rPr>
        <w:t xml:space="preserve"> </w:t>
      </w:r>
      <w:r w:rsidRPr="00395593">
        <w:rPr>
          <w:rFonts w:ascii="Garamond" w:hAnsi="Garamond"/>
          <w:sz w:val="24"/>
        </w:rPr>
        <w:t>Acordo</w:t>
      </w:r>
      <w:r w:rsidRPr="00395593">
        <w:rPr>
          <w:rFonts w:ascii="Garamond" w:hAnsi="Garamond"/>
          <w:spacing w:val="10"/>
          <w:sz w:val="24"/>
        </w:rPr>
        <w:t xml:space="preserve"> </w:t>
      </w:r>
      <w:r w:rsidRPr="00395593">
        <w:rPr>
          <w:rFonts w:ascii="Garamond" w:hAnsi="Garamond"/>
          <w:sz w:val="24"/>
        </w:rPr>
        <w:t>ou</w:t>
      </w:r>
      <w:r w:rsidRPr="00395593">
        <w:rPr>
          <w:rFonts w:ascii="Garamond" w:hAnsi="Garamond"/>
          <w:spacing w:val="10"/>
          <w:sz w:val="24"/>
        </w:rPr>
        <w:t xml:space="preserve"> </w:t>
      </w:r>
      <w:r w:rsidRPr="00395593">
        <w:rPr>
          <w:rFonts w:ascii="Garamond" w:hAnsi="Garamond"/>
          <w:sz w:val="24"/>
        </w:rPr>
        <w:t>pelos</w:t>
      </w:r>
      <w:r w:rsidRPr="00395593">
        <w:rPr>
          <w:rFonts w:ascii="Garamond" w:hAnsi="Garamond"/>
          <w:spacing w:val="12"/>
          <w:sz w:val="24"/>
        </w:rPr>
        <w:t xml:space="preserve"> </w:t>
      </w:r>
      <w:r w:rsidRPr="00395593">
        <w:rPr>
          <w:rFonts w:ascii="Garamond" w:hAnsi="Garamond"/>
          <w:sz w:val="24"/>
        </w:rPr>
        <w:t>Membros</w:t>
      </w:r>
      <w:r w:rsidRPr="00395593">
        <w:rPr>
          <w:rFonts w:ascii="Garamond" w:hAnsi="Garamond"/>
          <w:spacing w:val="10"/>
          <w:sz w:val="24"/>
        </w:rPr>
        <w:t xml:space="preserve"> </w:t>
      </w:r>
      <w:r w:rsidRPr="00395593">
        <w:rPr>
          <w:rFonts w:ascii="Garamond" w:hAnsi="Garamond"/>
          <w:sz w:val="24"/>
        </w:rPr>
        <w:t>e</w:t>
      </w:r>
      <w:r w:rsidRPr="00395593">
        <w:rPr>
          <w:rFonts w:ascii="Garamond" w:hAnsi="Garamond"/>
          <w:spacing w:val="9"/>
          <w:sz w:val="24"/>
        </w:rPr>
        <w:t xml:space="preserve"> </w:t>
      </w:r>
      <w:r w:rsidRPr="00395593">
        <w:rPr>
          <w:rFonts w:ascii="Garamond" w:hAnsi="Garamond"/>
          <w:sz w:val="24"/>
        </w:rPr>
        <w:t>deverá</w:t>
      </w:r>
      <w:r w:rsidRPr="00395593">
        <w:rPr>
          <w:rFonts w:ascii="Garamond" w:hAnsi="Garamond"/>
          <w:spacing w:val="10"/>
          <w:sz w:val="24"/>
        </w:rPr>
        <w:t xml:space="preserve"> </w:t>
      </w:r>
      <w:r w:rsidRPr="00395593">
        <w:rPr>
          <w:rFonts w:ascii="Garamond" w:hAnsi="Garamond"/>
          <w:sz w:val="24"/>
        </w:rPr>
        <w:t>propiciar</w:t>
      </w:r>
      <w:r w:rsidRPr="00395593">
        <w:rPr>
          <w:rFonts w:ascii="Garamond" w:hAnsi="Garamond"/>
          <w:spacing w:val="10"/>
          <w:sz w:val="24"/>
        </w:rPr>
        <w:t xml:space="preserve"> </w:t>
      </w:r>
      <w:r w:rsidRPr="00395593">
        <w:rPr>
          <w:rFonts w:ascii="Garamond" w:hAnsi="Garamond"/>
          <w:sz w:val="24"/>
        </w:rPr>
        <w:t>a</w:t>
      </w:r>
      <w:r w:rsidRPr="00395593">
        <w:rPr>
          <w:rFonts w:ascii="Garamond" w:hAnsi="Garamond"/>
          <w:spacing w:val="9"/>
          <w:sz w:val="24"/>
        </w:rPr>
        <w:t xml:space="preserve"> </w:t>
      </w:r>
      <w:r w:rsidRPr="00395593">
        <w:rPr>
          <w:rFonts w:ascii="Garamond" w:hAnsi="Garamond"/>
          <w:sz w:val="24"/>
        </w:rPr>
        <w:t>estes</w:t>
      </w:r>
      <w:r w:rsidRPr="00395593">
        <w:rPr>
          <w:rFonts w:ascii="Garamond" w:hAnsi="Garamond"/>
          <w:spacing w:val="10"/>
          <w:sz w:val="24"/>
        </w:rPr>
        <w:t xml:space="preserve"> </w:t>
      </w:r>
      <w:r w:rsidRPr="00395593">
        <w:rPr>
          <w:rFonts w:ascii="Garamond" w:hAnsi="Garamond"/>
          <w:sz w:val="24"/>
        </w:rPr>
        <w:t>últimos</w:t>
      </w:r>
      <w:r w:rsidRPr="00395593">
        <w:rPr>
          <w:rFonts w:ascii="Garamond" w:hAnsi="Garamond"/>
          <w:spacing w:val="-57"/>
          <w:sz w:val="24"/>
        </w:rPr>
        <w:t xml:space="preserve"> </w:t>
      </w:r>
      <w:r w:rsidRPr="00395593">
        <w:rPr>
          <w:rFonts w:ascii="Garamond" w:hAnsi="Garamond"/>
          <w:sz w:val="24"/>
        </w:rPr>
        <w:t>a oportunidade de consulta sobre quaisquer matérias relativas ao funcionamento do Acordo</w:t>
      </w:r>
      <w:r w:rsidRPr="00395593">
        <w:rPr>
          <w:rFonts w:ascii="Garamond" w:hAnsi="Garamond"/>
          <w:spacing w:val="1"/>
          <w:sz w:val="24"/>
        </w:rPr>
        <w:t xml:space="preserve"> </w:t>
      </w:r>
      <w:r w:rsidRPr="00395593">
        <w:rPr>
          <w:rFonts w:ascii="Garamond" w:hAnsi="Garamond"/>
          <w:sz w:val="24"/>
        </w:rPr>
        <w:t>ou à consecução de seus</w:t>
      </w:r>
      <w:r w:rsidRPr="00395593">
        <w:rPr>
          <w:rFonts w:ascii="Garamond" w:hAnsi="Garamond"/>
          <w:spacing w:val="1"/>
          <w:sz w:val="24"/>
        </w:rPr>
        <w:t xml:space="preserve"> </w:t>
      </w:r>
      <w:r w:rsidRPr="00395593">
        <w:rPr>
          <w:rFonts w:ascii="Garamond" w:hAnsi="Garamond"/>
          <w:sz w:val="24"/>
        </w:rPr>
        <w:t>objetivos. Os serviços</w:t>
      </w:r>
      <w:r w:rsidRPr="00395593">
        <w:rPr>
          <w:rFonts w:ascii="Garamond" w:hAnsi="Garamond"/>
          <w:spacing w:val="60"/>
          <w:sz w:val="24"/>
        </w:rPr>
        <w:t xml:space="preserve"> </w:t>
      </w:r>
      <w:r w:rsidRPr="00395593">
        <w:rPr>
          <w:rFonts w:ascii="Garamond" w:hAnsi="Garamond"/>
          <w:sz w:val="24"/>
        </w:rPr>
        <w:t>de secretaria do Comitê serão prestados</w:t>
      </w:r>
      <w:r w:rsidRPr="00395593">
        <w:rPr>
          <w:rFonts w:ascii="Garamond" w:hAnsi="Garamond"/>
          <w:spacing w:val="1"/>
          <w:sz w:val="24"/>
        </w:rPr>
        <w:t xml:space="preserve"> </w:t>
      </w:r>
      <w:r w:rsidRPr="00395593">
        <w:rPr>
          <w:rFonts w:ascii="Garamond" w:hAnsi="Garamond"/>
          <w:sz w:val="24"/>
        </w:rPr>
        <w:t>pelo</w:t>
      </w:r>
      <w:r w:rsidRPr="00395593">
        <w:rPr>
          <w:rFonts w:ascii="Garamond" w:hAnsi="Garamond"/>
          <w:spacing w:val="-1"/>
          <w:sz w:val="24"/>
        </w:rPr>
        <w:t xml:space="preserve"> </w:t>
      </w:r>
      <w:r w:rsidRPr="00395593">
        <w:rPr>
          <w:rFonts w:ascii="Garamond" w:hAnsi="Garamond"/>
          <w:sz w:val="24"/>
        </w:rPr>
        <w:t>Secretariado da</w:t>
      </w:r>
      <w:r w:rsidRPr="00395593">
        <w:rPr>
          <w:rFonts w:ascii="Garamond" w:hAnsi="Garamond"/>
          <w:spacing w:val="1"/>
          <w:sz w:val="24"/>
        </w:rPr>
        <w:t xml:space="preserve"> </w:t>
      </w:r>
      <w:r w:rsidRPr="00395593">
        <w:rPr>
          <w:rFonts w:ascii="Garamond" w:hAnsi="Garamond"/>
          <w:sz w:val="24"/>
        </w:rPr>
        <w:t>OMC.</w:t>
      </w:r>
    </w:p>
    <w:p w14:paraId="2178C245" w14:textId="77777777" w:rsidR="0013285C" w:rsidRPr="00395593" w:rsidRDefault="0013285C" w:rsidP="0013285C">
      <w:pPr>
        <w:pStyle w:val="Corpodetexto"/>
        <w:rPr>
          <w:rFonts w:ascii="Garamond" w:hAnsi="Garamond"/>
        </w:rPr>
      </w:pPr>
    </w:p>
    <w:p w14:paraId="30C198ED" w14:textId="77777777" w:rsidR="0013285C" w:rsidRPr="00395593" w:rsidRDefault="0013285C" w:rsidP="002C4340">
      <w:pPr>
        <w:pStyle w:val="PargrafodaLista"/>
        <w:widowControl w:val="0"/>
        <w:numPr>
          <w:ilvl w:val="0"/>
          <w:numId w:val="7"/>
        </w:numPr>
        <w:tabs>
          <w:tab w:val="left" w:pos="810"/>
        </w:tabs>
        <w:autoSpaceDE w:val="0"/>
        <w:autoSpaceDN w:val="0"/>
        <w:spacing w:after="0" w:line="240" w:lineRule="auto"/>
        <w:ind w:left="810"/>
        <w:contextualSpacing w:val="0"/>
        <w:jc w:val="both"/>
        <w:rPr>
          <w:rFonts w:ascii="Garamond" w:hAnsi="Garamond"/>
          <w:sz w:val="24"/>
        </w:rPr>
      </w:pP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Comitê</w:t>
      </w:r>
      <w:r w:rsidRPr="00395593">
        <w:rPr>
          <w:rFonts w:ascii="Garamond" w:hAnsi="Garamond"/>
          <w:spacing w:val="-2"/>
          <w:sz w:val="24"/>
        </w:rPr>
        <w:t xml:space="preserve"> </w:t>
      </w:r>
      <w:r w:rsidRPr="00395593">
        <w:rPr>
          <w:rFonts w:ascii="Garamond" w:hAnsi="Garamond"/>
          <w:sz w:val="24"/>
        </w:rPr>
        <w:t>poderá</w:t>
      </w:r>
      <w:r w:rsidRPr="00395593">
        <w:rPr>
          <w:rFonts w:ascii="Garamond" w:hAnsi="Garamond"/>
          <w:spacing w:val="-3"/>
          <w:sz w:val="24"/>
        </w:rPr>
        <w:t xml:space="preserve"> </w:t>
      </w:r>
      <w:r w:rsidRPr="00395593">
        <w:rPr>
          <w:rFonts w:ascii="Garamond" w:hAnsi="Garamond"/>
          <w:sz w:val="24"/>
        </w:rPr>
        <w:t>estabelecer</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órgãos</w:t>
      </w:r>
      <w:r w:rsidRPr="00395593">
        <w:rPr>
          <w:rFonts w:ascii="Garamond" w:hAnsi="Garamond"/>
          <w:spacing w:val="-1"/>
          <w:sz w:val="24"/>
        </w:rPr>
        <w:t xml:space="preserve"> </w:t>
      </w:r>
      <w:r w:rsidRPr="00395593">
        <w:rPr>
          <w:rFonts w:ascii="Garamond" w:hAnsi="Garamond"/>
          <w:sz w:val="24"/>
        </w:rPr>
        <w:t>subsidiários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2"/>
          <w:sz w:val="24"/>
        </w:rPr>
        <w:t xml:space="preserve"> </w:t>
      </w:r>
      <w:r w:rsidRPr="00395593">
        <w:rPr>
          <w:rFonts w:ascii="Garamond" w:hAnsi="Garamond"/>
          <w:sz w:val="24"/>
        </w:rPr>
        <w:t>julgar</w:t>
      </w:r>
      <w:r w:rsidRPr="00395593">
        <w:rPr>
          <w:rFonts w:ascii="Garamond" w:hAnsi="Garamond"/>
          <w:spacing w:val="-1"/>
          <w:sz w:val="24"/>
        </w:rPr>
        <w:t xml:space="preserve"> </w:t>
      </w:r>
      <w:r w:rsidRPr="00395593">
        <w:rPr>
          <w:rFonts w:ascii="Garamond" w:hAnsi="Garamond"/>
          <w:sz w:val="24"/>
        </w:rPr>
        <w:t>apropriados.</w:t>
      </w:r>
    </w:p>
    <w:p w14:paraId="0E1476FF" w14:textId="77777777" w:rsidR="0013285C" w:rsidRPr="00395593" w:rsidRDefault="0013285C" w:rsidP="0013285C">
      <w:pPr>
        <w:pStyle w:val="Corpodetexto"/>
        <w:rPr>
          <w:rFonts w:ascii="Garamond" w:hAnsi="Garamond"/>
        </w:rPr>
      </w:pPr>
    </w:p>
    <w:p w14:paraId="4225BF45" w14:textId="77777777" w:rsidR="0013285C" w:rsidRPr="00395593" w:rsidRDefault="0013285C" w:rsidP="002C4340">
      <w:pPr>
        <w:pStyle w:val="PargrafodaLista"/>
        <w:widowControl w:val="0"/>
        <w:numPr>
          <w:ilvl w:val="0"/>
          <w:numId w:val="7"/>
        </w:numPr>
        <w:tabs>
          <w:tab w:val="left" w:pos="810"/>
        </w:tabs>
        <w:autoSpaceDE w:val="0"/>
        <w:autoSpaceDN w:val="0"/>
        <w:spacing w:before="1" w:after="0" w:line="240" w:lineRule="auto"/>
        <w:ind w:right="117" w:firstLine="0"/>
        <w:contextualSpacing w:val="0"/>
        <w:jc w:val="both"/>
        <w:rPr>
          <w:rFonts w:ascii="Garamond" w:hAnsi="Garamond"/>
          <w:sz w:val="24"/>
        </w:rPr>
      </w:pPr>
      <w:r w:rsidRPr="00395593">
        <w:rPr>
          <w:rFonts w:ascii="Garamond" w:hAnsi="Garamond"/>
          <w:sz w:val="24"/>
        </w:rPr>
        <w:t>No cumprimento de suas funções, o Comitê e qualquer de seus órgãos subsidiários</w:t>
      </w:r>
      <w:r w:rsidRPr="00395593">
        <w:rPr>
          <w:rFonts w:ascii="Garamond" w:hAnsi="Garamond"/>
          <w:spacing w:val="1"/>
          <w:sz w:val="24"/>
        </w:rPr>
        <w:t xml:space="preserve"> </w:t>
      </w:r>
      <w:r w:rsidRPr="00395593">
        <w:rPr>
          <w:rFonts w:ascii="Garamond" w:hAnsi="Garamond"/>
          <w:sz w:val="24"/>
        </w:rPr>
        <w:t>poderá consultar qualquer fonte que julgar apropriada e buscar Informação junto à mesma.</w:t>
      </w:r>
      <w:r w:rsidRPr="00395593">
        <w:rPr>
          <w:rFonts w:ascii="Garamond" w:hAnsi="Garamond"/>
          <w:spacing w:val="1"/>
          <w:sz w:val="24"/>
        </w:rPr>
        <w:t xml:space="preserve"> </w:t>
      </w:r>
      <w:r w:rsidRPr="00395593">
        <w:rPr>
          <w:rFonts w:ascii="Garamond" w:hAnsi="Garamond"/>
          <w:sz w:val="24"/>
        </w:rPr>
        <w:t>O Comitê deverá, porém, antes de buscar informações junto à fonte que se situe dentro da</w:t>
      </w:r>
      <w:r w:rsidRPr="00395593">
        <w:rPr>
          <w:rFonts w:ascii="Garamond" w:hAnsi="Garamond"/>
          <w:spacing w:val="1"/>
          <w:sz w:val="24"/>
        </w:rPr>
        <w:t xml:space="preserve"> </w:t>
      </w:r>
      <w:r w:rsidRPr="00395593">
        <w:rPr>
          <w:rFonts w:ascii="Garamond" w:hAnsi="Garamond"/>
          <w:sz w:val="24"/>
        </w:rPr>
        <w:t>jurisdição de um Membro, informar o Membro em questão. O Comitê deverá obter prévia</w:t>
      </w:r>
      <w:r w:rsidRPr="00395593">
        <w:rPr>
          <w:rFonts w:ascii="Garamond" w:hAnsi="Garamond"/>
          <w:spacing w:val="1"/>
          <w:sz w:val="24"/>
        </w:rPr>
        <w:t xml:space="preserve"> </w:t>
      </w:r>
      <w:r w:rsidRPr="00395593">
        <w:rPr>
          <w:rFonts w:ascii="Garamond" w:hAnsi="Garamond"/>
          <w:sz w:val="24"/>
        </w:rPr>
        <w:t>autorização</w:t>
      </w:r>
      <w:r w:rsidRPr="00395593">
        <w:rPr>
          <w:rFonts w:ascii="Garamond" w:hAnsi="Garamond"/>
          <w:spacing w:val="-1"/>
          <w:sz w:val="24"/>
        </w:rPr>
        <w:t xml:space="preserve"> </w:t>
      </w:r>
      <w:r w:rsidRPr="00395593">
        <w:rPr>
          <w:rFonts w:ascii="Garamond" w:hAnsi="Garamond"/>
          <w:sz w:val="24"/>
        </w:rPr>
        <w:t>do Membro</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qualquer</w:t>
      </w:r>
      <w:r w:rsidRPr="00395593">
        <w:rPr>
          <w:rFonts w:ascii="Garamond" w:hAnsi="Garamond"/>
          <w:spacing w:val="-1"/>
          <w:sz w:val="24"/>
        </w:rPr>
        <w:t xml:space="preserve"> </w:t>
      </w:r>
      <w:r w:rsidRPr="00395593">
        <w:rPr>
          <w:rFonts w:ascii="Garamond" w:hAnsi="Garamond"/>
          <w:sz w:val="24"/>
        </w:rPr>
        <w:t>empresa</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deseje</w:t>
      </w:r>
      <w:r w:rsidRPr="00395593">
        <w:rPr>
          <w:rFonts w:ascii="Garamond" w:hAnsi="Garamond"/>
          <w:spacing w:val="1"/>
          <w:sz w:val="24"/>
        </w:rPr>
        <w:t xml:space="preserve"> </w:t>
      </w:r>
      <w:r w:rsidRPr="00395593">
        <w:rPr>
          <w:rFonts w:ascii="Garamond" w:hAnsi="Garamond"/>
          <w:sz w:val="24"/>
        </w:rPr>
        <w:t>consultar.</w:t>
      </w:r>
    </w:p>
    <w:p w14:paraId="3D27A178" w14:textId="77777777" w:rsidR="0013285C" w:rsidRPr="00395593" w:rsidRDefault="0013285C" w:rsidP="0013285C">
      <w:pPr>
        <w:pStyle w:val="Corpodetexto"/>
        <w:rPr>
          <w:rFonts w:ascii="Garamond" w:hAnsi="Garamond"/>
        </w:rPr>
      </w:pPr>
    </w:p>
    <w:p w14:paraId="346A458C" w14:textId="77777777" w:rsidR="0013285C" w:rsidRPr="00395593" w:rsidRDefault="0013285C" w:rsidP="002C4340">
      <w:pPr>
        <w:pStyle w:val="PargrafodaLista"/>
        <w:widowControl w:val="0"/>
        <w:numPr>
          <w:ilvl w:val="0"/>
          <w:numId w:val="7"/>
        </w:numPr>
        <w:tabs>
          <w:tab w:val="left" w:pos="810"/>
        </w:tabs>
        <w:autoSpaceDE w:val="0"/>
        <w:autoSpaceDN w:val="0"/>
        <w:spacing w:after="0" w:line="240" w:lineRule="auto"/>
        <w:ind w:right="114" w:firstLine="0"/>
        <w:contextualSpacing w:val="0"/>
        <w:jc w:val="both"/>
        <w:rPr>
          <w:rFonts w:ascii="Garamond" w:hAnsi="Garamond"/>
          <w:sz w:val="24"/>
        </w:rPr>
      </w:pPr>
      <w:r w:rsidRPr="00395593">
        <w:rPr>
          <w:rFonts w:ascii="Garamond" w:hAnsi="Garamond"/>
          <w:sz w:val="24"/>
        </w:rPr>
        <w:t xml:space="preserve">Os Membros deverão informar sem tardança o Comitê de todas as medidas </w:t>
      </w:r>
      <w:r w:rsidRPr="00395593">
        <w:rPr>
          <w:rFonts w:ascii="Garamond" w:hAnsi="Garamond"/>
          <w:i/>
          <w:sz w:val="24"/>
        </w:rPr>
        <w:t>anti</w:t>
      </w:r>
      <w:r w:rsidRPr="00395593">
        <w:rPr>
          <w:rFonts w:ascii="Garamond" w:hAnsi="Garamond"/>
          <w:sz w:val="24"/>
        </w:rPr>
        <w:t>-</w:t>
      </w:r>
      <w:r w:rsidRPr="00395593">
        <w:rPr>
          <w:rFonts w:ascii="Garamond" w:hAnsi="Garamond"/>
          <w:spacing w:val="1"/>
          <w:sz w:val="24"/>
        </w:rPr>
        <w:t xml:space="preserve"> </w:t>
      </w:r>
      <w:r w:rsidRPr="00395593">
        <w:rPr>
          <w:rFonts w:ascii="Garamond" w:hAnsi="Garamond"/>
          <w:i/>
          <w:sz w:val="24"/>
        </w:rPr>
        <w:t xml:space="preserve">dumping </w:t>
      </w:r>
      <w:r w:rsidRPr="00395593">
        <w:rPr>
          <w:rFonts w:ascii="Garamond" w:hAnsi="Garamond"/>
          <w:sz w:val="24"/>
        </w:rPr>
        <w:t>preliminares ou finais que tenham tomado. Esses relatórios estarão disponíveis no</w:t>
      </w:r>
      <w:r w:rsidRPr="00395593">
        <w:rPr>
          <w:rFonts w:ascii="Garamond" w:hAnsi="Garamond"/>
          <w:spacing w:val="1"/>
          <w:sz w:val="24"/>
        </w:rPr>
        <w:t xml:space="preserve"> </w:t>
      </w:r>
      <w:r w:rsidRPr="00395593">
        <w:rPr>
          <w:rFonts w:ascii="Garamond" w:hAnsi="Garamond"/>
          <w:sz w:val="24"/>
        </w:rPr>
        <w:t>Secretariado para fins de inspeção por qualquer outro Membro. Os Membros deverão,</w:t>
      </w:r>
      <w:r w:rsidRPr="00395593">
        <w:rPr>
          <w:rFonts w:ascii="Garamond" w:hAnsi="Garamond"/>
          <w:spacing w:val="1"/>
          <w:sz w:val="24"/>
        </w:rPr>
        <w:t xml:space="preserve"> </w:t>
      </w:r>
      <w:r w:rsidRPr="00395593">
        <w:rPr>
          <w:rFonts w:ascii="Garamond" w:hAnsi="Garamond"/>
          <w:sz w:val="24"/>
        </w:rPr>
        <w:t xml:space="preserve">igualmente, apresentar relatórios semestrais sobre toda medida </w:t>
      </w:r>
      <w:r w:rsidRPr="00395593">
        <w:rPr>
          <w:rFonts w:ascii="Garamond" w:hAnsi="Garamond"/>
          <w:i/>
          <w:sz w:val="24"/>
        </w:rPr>
        <w:t>anti</w:t>
      </w:r>
      <w:r w:rsidRPr="00395593">
        <w:rPr>
          <w:rFonts w:ascii="Garamond" w:hAnsi="Garamond"/>
          <w:sz w:val="24"/>
        </w:rPr>
        <w:t>-</w:t>
      </w:r>
      <w:r w:rsidRPr="00395593">
        <w:rPr>
          <w:rFonts w:ascii="Garamond" w:hAnsi="Garamond"/>
          <w:i/>
          <w:sz w:val="24"/>
        </w:rPr>
        <w:t xml:space="preserve">dumping </w:t>
      </w:r>
      <w:r w:rsidRPr="00395593">
        <w:rPr>
          <w:rFonts w:ascii="Garamond" w:hAnsi="Garamond"/>
          <w:sz w:val="24"/>
        </w:rPr>
        <w:t>tomada nos 6</w:t>
      </w:r>
      <w:r w:rsidRPr="00395593">
        <w:rPr>
          <w:rFonts w:ascii="Garamond" w:hAnsi="Garamond"/>
          <w:spacing w:val="1"/>
          <w:sz w:val="24"/>
        </w:rPr>
        <w:t xml:space="preserve"> </w:t>
      </w:r>
      <w:r w:rsidRPr="00395593">
        <w:rPr>
          <w:rFonts w:ascii="Garamond" w:hAnsi="Garamond"/>
          <w:sz w:val="24"/>
        </w:rPr>
        <w:t>meses</w:t>
      </w:r>
      <w:r w:rsidRPr="00395593">
        <w:rPr>
          <w:rFonts w:ascii="Garamond" w:hAnsi="Garamond"/>
          <w:spacing w:val="1"/>
          <w:sz w:val="24"/>
        </w:rPr>
        <w:t xml:space="preserve"> </w:t>
      </w:r>
      <w:r w:rsidRPr="00395593">
        <w:rPr>
          <w:rFonts w:ascii="Garamond" w:hAnsi="Garamond"/>
          <w:sz w:val="24"/>
        </w:rPr>
        <w:t>precedentes.</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relatórios</w:t>
      </w:r>
      <w:r w:rsidRPr="00395593">
        <w:rPr>
          <w:rFonts w:ascii="Garamond" w:hAnsi="Garamond"/>
          <w:spacing w:val="1"/>
          <w:sz w:val="24"/>
        </w:rPr>
        <w:t xml:space="preserve"> </w:t>
      </w:r>
      <w:r w:rsidRPr="00395593">
        <w:rPr>
          <w:rFonts w:ascii="Garamond" w:hAnsi="Garamond"/>
          <w:sz w:val="24"/>
        </w:rPr>
        <w:t>semestrais</w:t>
      </w:r>
      <w:r w:rsidRPr="00395593">
        <w:rPr>
          <w:rFonts w:ascii="Garamond" w:hAnsi="Garamond"/>
          <w:spacing w:val="1"/>
          <w:sz w:val="24"/>
        </w:rPr>
        <w:t xml:space="preserve"> </w:t>
      </w:r>
      <w:r w:rsidRPr="00395593">
        <w:rPr>
          <w:rFonts w:ascii="Garamond" w:hAnsi="Garamond"/>
          <w:sz w:val="24"/>
        </w:rPr>
        <w:t>serão</w:t>
      </w:r>
      <w:r w:rsidRPr="00395593">
        <w:rPr>
          <w:rFonts w:ascii="Garamond" w:hAnsi="Garamond"/>
          <w:spacing w:val="1"/>
          <w:sz w:val="24"/>
        </w:rPr>
        <w:t xml:space="preserve"> </w:t>
      </w:r>
      <w:r w:rsidRPr="00395593">
        <w:rPr>
          <w:rFonts w:ascii="Garamond" w:hAnsi="Garamond"/>
          <w:sz w:val="24"/>
        </w:rPr>
        <w:t>apresentados</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forma</w:t>
      </w:r>
      <w:r w:rsidRPr="00395593">
        <w:rPr>
          <w:rFonts w:ascii="Garamond" w:hAnsi="Garamond"/>
          <w:spacing w:val="1"/>
          <w:sz w:val="24"/>
        </w:rPr>
        <w:t xml:space="preserve"> </w:t>
      </w:r>
      <w:r w:rsidRPr="00395593">
        <w:rPr>
          <w:rFonts w:ascii="Garamond" w:hAnsi="Garamond"/>
          <w:sz w:val="24"/>
        </w:rPr>
        <w:t>padronizada</w:t>
      </w:r>
      <w:r w:rsidRPr="00395593">
        <w:rPr>
          <w:rFonts w:ascii="Garamond" w:hAnsi="Garamond"/>
          <w:spacing w:val="-57"/>
          <w:sz w:val="24"/>
        </w:rPr>
        <w:t xml:space="preserve"> </w:t>
      </w:r>
      <w:r w:rsidRPr="00395593">
        <w:rPr>
          <w:rFonts w:ascii="Garamond" w:hAnsi="Garamond"/>
          <w:sz w:val="24"/>
        </w:rPr>
        <w:t>convencionada.</w:t>
      </w:r>
    </w:p>
    <w:p w14:paraId="6BFAD43D" w14:textId="77777777" w:rsidR="0013285C" w:rsidRPr="00395593" w:rsidRDefault="0013285C" w:rsidP="0013285C">
      <w:pPr>
        <w:pStyle w:val="Corpodetexto"/>
        <w:rPr>
          <w:rFonts w:ascii="Garamond" w:hAnsi="Garamond"/>
        </w:rPr>
      </w:pPr>
    </w:p>
    <w:p w14:paraId="10AD13D6" w14:textId="77777777" w:rsidR="0013285C" w:rsidRPr="00395593" w:rsidRDefault="0013285C" w:rsidP="002C4340">
      <w:pPr>
        <w:pStyle w:val="PargrafodaLista"/>
        <w:widowControl w:val="0"/>
        <w:numPr>
          <w:ilvl w:val="0"/>
          <w:numId w:val="7"/>
        </w:numPr>
        <w:tabs>
          <w:tab w:val="left" w:pos="810"/>
        </w:tabs>
        <w:autoSpaceDE w:val="0"/>
        <w:autoSpaceDN w:val="0"/>
        <w:spacing w:before="1" w:after="0" w:line="240" w:lineRule="auto"/>
        <w:ind w:right="121" w:firstLine="0"/>
        <w:contextualSpacing w:val="0"/>
        <w:jc w:val="both"/>
        <w:rPr>
          <w:rFonts w:ascii="Garamond" w:hAnsi="Garamond"/>
          <w:sz w:val="24"/>
        </w:rPr>
      </w:pPr>
      <w:r w:rsidRPr="00395593">
        <w:rPr>
          <w:rFonts w:ascii="Garamond" w:hAnsi="Garamond"/>
          <w:sz w:val="24"/>
        </w:rPr>
        <w:t>Cada Membro devera notificar o Comitê com respeito: a) à identificação de suas</w:t>
      </w:r>
      <w:r w:rsidRPr="00395593">
        <w:rPr>
          <w:rFonts w:ascii="Garamond" w:hAnsi="Garamond"/>
          <w:spacing w:val="1"/>
          <w:sz w:val="24"/>
        </w:rPr>
        <w:t xml:space="preserve"> </w:t>
      </w:r>
      <w:r w:rsidRPr="00395593">
        <w:rPr>
          <w:rFonts w:ascii="Garamond" w:hAnsi="Garamond"/>
          <w:sz w:val="24"/>
        </w:rPr>
        <w:t>autoridades competentes para iniciar e conduzir as investigações a que se refere o Artigo 5;</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b)</w:t>
      </w:r>
      <w:r w:rsidRPr="00395593">
        <w:rPr>
          <w:rFonts w:ascii="Garamond" w:hAnsi="Garamond"/>
          <w:spacing w:val="1"/>
          <w:sz w:val="24"/>
        </w:rPr>
        <w:t xml:space="preserve"> </w:t>
      </w:r>
      <w:r w:rsidRPr="00395593">
        <w:rPr>
          <w:rFonts w:ascii="Garamond" w:hAnsi="Garamond"/>
          <w:sz w:val="24"/>
        </w:rPr>
        <w:t>aos</w:t>
      </w:r>
      <w:r w:rsidRPr="00395593">
        <w:rPr>
          <w:rFonts w:ascii="Garamond" w:hAnsi="Garamond"/>
          <w:spacing w:val="1"/>
          <w:sz w:val="24"/>
        </w:rPr>
        <w:t xml:space="preserve"> </w:t>
      </w:r>
      <w:r w:rsidRPr="00395593">
        <w:rPr>
          <w:rFonts w:ascii="Garamond" w:hAnsi="Garamond"/>
          <w:sz w:val="24"/>
        </w:rPr>
        <w:t>procedimentos</w:t>
      </w:r>
      <w:r w:rsidRPr="00395593">
        <w:rPr>
          <w:rFonts w:ascii="Garamond" w:hAnsi="Garamond"/>
          <w:spacing w:val="1"/>
          <w:sz w:val="24"/>
        </w:rPr>
        <w:t xml:space="preserve"> </w:t>
      </w:r>
      <w:r w:rsidRPr="00395593">
        <w:rPr>
          <w:rFonts w:ascii="Garamond" w:hAnsi="Garamond"/>
          <w:sz w:val="24"/>
        </w:rPr>
        <w:t>nacionais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dispõem</w:t>
      </w:r>
      <w:r w:rsidRPr="00395593">
        <w:rPr>
          <w:rFonts w:ascii="Garamond" w:hAnsi="Garamond"/>
          <w:spacing w:val="1"/>
          <w:sz w:val="24"/>
        </w:rPr>
        <w:t xml:space="preserve"> </w:t>
      </w:r>
      <w:r w:rsidRPr="00395593">
        <w:rPr>
          <w:rFonts w:ascii="Garamond" w:hAnsi="Garamond"/>
          <w:sz w:val="24"/>
        </w:rPr>
        <w:t>sobre</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início</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andamento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tais</w:t>
      </w:r>
      <w:r w:rsidRPr="00395593">
        <w:rPr>
          <w:rFonts w:ascii="Garamond" w:hAnsi="Garamond"/>
          <w:spacing w:val="-57"/>
          <w:sz w:val="24"/>
        </w:rPr>
        <w:t xml:space="preserve"> </w:t>
      </w:r>
      <w:r w:rsidRPr="00395593">
        <w:rPr>
          <w:rFonts w:ascii="Garamond" w:hAnsi="Garamond"/>
          <w:sz w:val="24"/>
        </w:rPr>
        <w:t>investigações.</w:t>
      </w:r>
    </w:p>
    <w:p w14:paraId="5ADEACF7" w14:textId="77777777" w:rsidR="0013285C" w:rsidRPr="00395593" w:rsidRDefault="0013285C" w:rsidP="0013285C">
      <w:pPr>
        <w:pStyle w:val="Corpodetexto"/>
        <w:spacing w:before="11"/>
        <w:rPr>
          <w:rFonts w:ascii="Garamond" w:hAnsi="Garamond"/>
          <w:sz w:val="23"/>
        </w:rPr>
      </w:pPr>
    </w:p>
    <w:p w14:paraId="58E4886E" w14:textId="77777777" w:rsidR="00233F91" w:rsidRPr="00395593" w:rsidRDefault="00233F91">
      <w:pPr>
        <w:rPr>
          <w:rFonts w:ascii="Garamond" w:eastAsia="Times New Roman" w:hAnsi="Garamond" w:cs="Times New Roman"/>
          <w:b/>
          <w:sz w:val="24"/>
          <w:szCs w:val="24"/>
        </w:rPr>
      </w:pPr>
      <w:r w:rsidRPr="00395593">
        <w:rPr>
          <w:rFonts w:ascii="Garamond" w:hAnsi="Garamond"/>
          <w:b/>
        </w:rPr>
        <w:br w:type="page"/>
      </w:r>
    </w:p>
    <w:p w14:paraId="2B9E70B9" w14:textId="240E6FD2" w:rsidR="0013285C" w:rsidRPr="00395593" w:rsidRDefault="0013285C" w:rsidP="00233F91">
      <w:pPr>
        <w:pStyle w:val="Corpodetexto"/>
        <w:spacing w:line="360" w:lineRule="auto"/>
        <w:ind w:left="176" w:right="194"/>
        <w:jc w:val="center"/>
        <w:rPr>
          <w:rFonts w:ascii="Garamond" w:hAnsi="Garamond"/>
          <w:b/>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17</w:t>
      </w:r>
    </w:p>
    <w:p w14:paraId="46357AB9" w14:textId="77777777" w:rsidR="0013285C" w:rsidRPr="00395593" w:rsidRDefault="0013285C" w:rsidP="00233F91">
      <w:pPr>
        <w:pStyle w:val="Corpodetexto"/>
        <w:spacing w:line="360" w:lineRule="auto"/>
        <w:ind w:left="174" w:right="196"/>
        <w:jc w:val="center"/>
        <w:rPr>
          <w:rFonts w:ascii="Garamond" w:hAnsi="Garamond"/>
          <w:b/>
        </w:rPr>
      </w:pPr>
      <w:r w:rsidRPr="00395593">
        <w:rPr>
          <w:rFonts w:ascii="Garamond" w:hAnsi="Garamond"/>
          <w:b/>
        </w:rPr>
        <w:t>Consultas</w:t>
      </w:r>
      <w:r w:rsidRPr="00395593">
        <w:rPr>
          <w:rFonts w:ascii="Garamond" w:hAnsi="Garamond"/>
          <w:b/>
          <w:spacing w:val="-1"/>
        </w:rPr>
        <w:t xml:space="preserve"> </w:t>
      </w:r>
      <w:r w:rsidRPr="00395593">
        <w:rPr>
          <w:rFonts w:ascii="Garamond" w:hAnsi="Garamond"/>
          <w:b/>
        </w:rPr>
        <w:t>e</w:t>
      </w:r>
      <w:r w:rsidRPr="00395593">
        <w:rPr>
          <w:rFonts w:ascii="Garamond" w:hAnsi="Garamond"/>
          <w:b/>
          <w:spacing w:val="-3"/>
        </w:rPr>
        <w:t xml:space="preserve"> </w:t>
      </w:r>
      <w:r w:rsidRPr="00395593">
        <w:rPr>
          <w:rFonts w:ascii="Garamond" w:hAnsi="Garamond"/>
          <w:b/>
        </w:rPr>
        <w:t>Solução</w:t>
      </w:r>
      <w:r w:rsidRPr="00395593">
        <w:rPr>
          <w:rFonts w:ascii="Garamond" w:hAnsi="Garamond"/>
          <w:b/>
          <w:spacing w:val="-1"/>
        </w:rPr>
        <w:t xml:space="preserve"> </w:t>
      </w:r>
      <w:r w:rsidRPr="00395593">
        <w:rPr>
          <w:rFonts w:ascii="Garamond" w:hAnsi="Garamond"/>
          <w:b/>
        </w:rPr>
        <w:t>de</w:t>
      </w:r>
      <w:r w:rsidRPr="00395593">
        <w:rPr>
          <w:rFonts w:ascii="Garamond" w:hAnsi="Garamond"/>
          <w:b/>
          <w:spacing w:val="-2"/>
        </w:rPr>
        <w:t xml:space="preserve"> </w:t>
      </w:r>
      <w:r w:rsidRPr="00395593">
        <w:rPr>
          <w:rFonts w:ascii="Garamond" w:hAnsi="Garamond"/>
          <w:b/>
        </w:rPr>
        <w:t>Controvérsias</w:t>
      </w:r>
    </w:p>
    <w:p w14:paraId="0CB1DA43" w14:textId="77777777" w:rsidR="0013285C" w:rsidRPr="00395593" w:rsidRDefault="0013285C" w:rsidP="0013285C">
      <w:pPr>
        <w:pStyle w:val="Corpodetexto"/>
        <w:rPr>
          <w:rFonts w:ascii="Garamond" w:hAnsi="Garamond"/>
        </w:rPr>
      </w:pPr>
    </w:p>
    <w:p w14:paraId="1E0EE1A8" w14:textId="77777777" w:rsidR="0013285C" w:rsidRPr="00395593" w:rsidRDefault="0013285C" w:rsidP="0013285C">
      <w:pPr>
        <w:pStyle w:val="Corpodetexto"/>
        <w:ind w:left="102" w:right="119"/>
        <w:jc w:val="both"/>
        <w:rPr>
          <w:rFonts w:ascii="Garamond" w:hAnsi="Garamond"/>
        </w:rPr>
      </w:pPr>
      <w:r w:rsidRPr="00395593">
        <w:rPr>
          <w:rFonts w:ascii="Garamond" w:hAnsi="Garamond"/>
        </w:rPr>
        <w:t xml:space="preserve">l.      </w:t>
      </w:r>
      <w:r w:rsidRPr="00395593">
        <w:rPr>
          <w:rFonts w:ascii="Garamond" w:hAnsi="Garamond"/>
          <w:spacing w:val="1"/>
        </w:rPr>
        <w:t xml:space="preserve"> </w:t>
      </w:r>
      <w:r w:rsidRPr="00395593">
        <w:rPr>
          <w:rFonts w:ascii="Garamond" w:hAnsi="Garamond"/>
        </w:rPr>
        <w:t>Salvo disposição em</w:t>
      </w:r>
      <w:r w:rsidRPr="00395593">
        <w:rPr>
          <w:rFonts w:ascii="Garamond" w:hAnsi="Garamond"/>
          <w:spacing w:val="60"/>
        </w:rPr>
        <w:t xml:space="preserve"> </w:t>
      </w:r>
      <w:r w:rsidRPr="00395593">
        <w:rPr>
          <w:rFonts w:ascii="Garamond" w:hAnsi="Garamond"/>
        </w:rPr>
        <w:t>contrário neste Artigo,</w:t>
      </w:r>
      <w:r w:rsidRPr="00395593">
        <w:rPr>
          <w:rFonts w:ascii="Garamond" w:hAnsi="Garamond"/>
          <w:spacing w:val="60"/>
        </w:rPr>
        <w:t xml:space="preserve"> </w:t>
      </w:r>
      <w:r w:rsidRPr="00395593">
        <w:rPr>
          <w:rFonts w:ascii="Garamond" w:hAnsi="Garamond"/>
        </w:rPr>
        <w:t>será aplicado</w:t>
      </w:r>
      <w:r w:rsidRPr="00395593">
        <w:rPr>
          <w:rFonts w:ascii="Garamond" w:hAnsi="Garamond"/>
          <w:spacing w:val="60"/>
        </w:rPr>
        <w:t xml:space="preserve"> </w:t>
      </w:r>
      <w:r w:rsidRPr="00395593">
        <w:rPr>
          <w:rFonts w:ascii="Garamond" w:hAnsi="Garamond"/>
        </w:rPr>
        <w:t>às consultas</w:t>
      </w:r>
      <w:r w:rsidRPr="00395593">
        <w:rPr>
          <w:rFonts w:ascii="Garamond" w:hAnsi="Garamond"/>
          <w:spacing w:val="60"/>
        </w:rPr>
        <w:t xml:space="preserve"> </w:t>
      </w:r>
      <w:r w:rsidRPr="00395593">
        <w:rPr>
          <w:rFonts w:ascii="Garamond" w:hAnsi="Garamond"/>
        </w:rPr>
        <w:t>e à solução</w:t>
      </w:r>
      <w:r w:rsidRPr="00395593">
        <w:rPr>
          <w:rFonts w:ascii="Garamond" w:hAnsi="Garamond"/>
          <w:spacing w:val="-57"/>
        </w:rPr>
        <w:t xml:space="preserve"> </w:t>
      </w:r>
      <w:r w:rsidRPr="00395593">
        <w:rPr>
          <w:rFonts w:ascii="Garamond" w:hAnsi="Garamond"/>
        </w:rPr>
        <w:t>de controvérsias no âmbito do presente Acordo o disposto no Entendimento sobre Solução</w:t>
      </w:r>
      <w:r w:rsidRPr="00395593">
        <w:rPr>
          <w:rFonts w:ascii="Garamond" w:hAnsi="Garamond"/>
          <w:spacing w:val="1"/>
        </w:rPr>
        <w:t xml:space="preserve"> </w:t>
      </w:r>
      <w:r w:rsidRPr="00395593">
        <w:rPr>
          <w:rFonts w:ascii="Garamond" w:hAnsi="Garamond"/>
        </w:rPr>
        <w:t>de</w:t>
      </w:r>
      <w:r w:rsidRPr="00395593">
        <w:rPr>
          <w:rFonts w:ascii="Garamond" w:hAnsi="Garamond"/>
          <w:spacing w:val="-2"/>
        </w:rPr>
        <w:t xml:space="preserve"> </w:t>
      </w:r>
      <w:r w:rsidRPr="00395593">
        <w:rPr>
          <w:rFonts w:ascii="Garamond" w:hAnsi="Garamond"/>
        </w:rPr>
        <w:t>Controvérsias.</w:t>
      </w:r>
    </w:p>
    <w:p w14:paraId="3BF3AF0A" w14:textId="77777777" w:rsidR="0013285C" w:rsidRPr="00395593" w:rsidRDefault="0013285C" w:rsidP="0013285C">
      <w:pPr>
        <w:pStyle w:val="Corpodetexto"/>
        <w:rPr>
          <w:rFonts w:ascii="Garamond" w:hAnsi="Garamond"/>
        </w:rPr>
      </w:pPr>
    </w:p>
    <w:p w14:paraId="0E8EF7A4" w14:textId="77777777" w:rsidR="0013285C" w:rsidRPr="00395593" w:rsidRDefault="0013285C" w:rsidP="002C4340">
      <w:pPr>
        <w:pStyle w:val="PargrafodaLista"/>
        <w:widowControl w:val="0"/>
        <w:numPr>
          <w:ilvl w:val="0"/>
          <w:numId w:val="6"/>
        </w:numPr>
        <w:tabs>
          <w:tab w:val="left" w:pos="810"/>
        </w:tabs>
        <w:autoSpaceDE w:val="0"/>
        <w:autoSpaceDN w:val="0"/>
        <w:spacing w:after="0" w:line="240" w:lineRule="auto"/>
        <w:ind w:right="117" w:firstLine="0"/>
        <w:contextualSpacing w:val="0"/>
        <w:jc w:val="both"/>
        <w:rPr>
          <w:rFonts w:ascii="Garamond" w:hAnsi="Garamond"/>
          <w:sz w:val="24"/>
        </w:rPr>
      </w:pPr>
      <w:r w:rsidRPr="00395593">
        <w:rPr>
          <w:rFonts w:ascii="Garamond" w:hAnsi="Garamond"/>
          <w:sz w:val="24"/>
        </w:rPr>
        <w:t>Todo</w:t>
      </w:r>
      <w:r w:rsidRPr="00395593">
        <w:rPr>
          <w:rFonts w:ascii="Garamond" w:hAnsi="Garamond"/>
          <w:spacing w:val="1"/>
          <w:sz w:val="24"/>
        </w:rPr>
        <w:t xml:space="preserve"> </w:t>
      </w:r>
      <w:r w:rsidRPr="00395593">
        <w:rPr>
          <w:rFonts w:ascii="Garamond" w:hAnsi="Garamond"/>
          <w:sz w:val="24"/>
        </w:rPr>
        <w:t>Membro</w:t>
      </w:r>
      <w:r w:rsidRPr="00395593">
        <w:rPr>
          <w:rFonts w:ascii="Garamond" w:hAnsi="Garamond"/>
          <w:spacing w:val="1"/>
          <w:sz w:val="24"/>
        </w:rPr>
        <w:t xml:space="preserve"> </w:t>
      </w:r>
      <w:r w:rsidRPr="00395593">
        <w:rPr>
          <w:rFonts w:ascii="Garamond" w:hAnsi="Garamond"/>
          <w:sz w:val="24"/>
        </w:rPr>
        <w:t>examinará</w:t>
      </w:r>
      <w:r w:rsidRPr="00395593">
        <w:rPr>
          <w:rFonts w:ascii="Garamond" w:hAnsi="Garamond"/>
          <w:spacing w:val="1"/>
          <w:sz w:val="24"/>
        </w:rPr>
        <w:t xml:space="preserve"> </w:t>
      </w:r>
      <w:r w:rsidRPr="00395593">
        <w:rPr>
          <w:rFonts w:ascii="Garamond" w:hAnsi="Garamond"/>
          <w:sz w:val="24"/>
        </w:rPr>
        <w:t>com</w:t>
      </w:r>
      <w:r w:rsidRPr="00395593">
        <w:rPr>
          <w:rFonts w:ascii="Garamond" w:hAnsi="Garamond"/>
          <w:spacing w:val="1"/>
          <w:sz w:val="24"/>
        </w:rPr>
        <w:t xml:space="preserve"> </w:t>
      </w:r>
      <w:r w:rsidRPr="00395593">
        <w:rPr>
          <w:rFonts w:ascii="Garamond" w:hAnsi="Garamond"/>
          <w:sz w:val="24"/>
        </w:rPr>
        <w:t>boa</w:t>
      </w:r>
      <w:r w:rsidRPr="00395593">
        <w:rPr>
          <w:rFonts w:ascii="Garamond" w:hAnsi="Garamond"/>
          <w:spacing w:val="1"/>
          <w:sz w:val="24"/>
        </w:rPr>
        <w:t xml:space="preserve"> </w:t>
      </w:r>
      <w:r w:rsidRPr="00395593">
        <w:rPr>
          <w:rFonts w:ascii="Garamond" w:hAnsi="Garamond"/>
          <w:sz w:val="24"/>
        </w:rPr>
        <w:t>vontade</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representações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lhe</w:t>
      </w:r>
      <w:r w:rsidRPr="00395593">
        <w:rPr>
          <w:rFonts w:ascii="Garamond" w:hAnsi="Garamond"/>
          <w:spacing w:val="60"/>
          <w:sz w:val="24"/>
        </w:rPr>
        <w:t xml:space="preserve"> </w:t>
      </w:r>
      <w:r w:rsidRPr="00395593">
        <w:rPr>
          <w:rFonts w:ascii="Garamond" w:hAnsi="Garamond"/>
          <w:sz w:val="24"/>
        </w:rPr>
        <w:t>sejam</w:t>
      </w:r>
      <w:r w:rsidRPr="00395593">
        <w:rPr>
          <w:rFonts w:ascii="Garamond" w:hAnsi="Garamond"/>
          <w:spacing w:val="1"/>
          <w:sz w:val="24"/>
        </w:rPr>
        <w:t xml:space="preserve"> </w:t>
      </w:r>
      <w:r w:rsidRPr="00395593">
        <w:rPr>
          <w:rFonts w:ascii="Garamond" w:hAnsi="Garamond"/>
          <w:sz w:val="24"/>
        </w:rPr>
        <w:t>dirigidas por outro Membro em relação a qualquer assunto relativo ao funcionamento deste</w:t>
      </w:r>
      <w:r w:rsidRPr="00395593">
        <w:rPr>
          <w:rFonts w:ascii="Garamond" w:hAnsi="Garamond"/>
          <w:spacing w:val="1"/>
          <w:sz w:val="24"/>
        </w:rPr>
        <w:t xml:space="preserve"> </w:t>
      </w:r>
      <w:r w:rsidRPr="00395593">
        <w:rPr>
          <w:rFonts w:ascii="Garamond" w:hAnsi="Garamond"/>
          <w:sz w:val="24"/>
        </w:rPr>
        <w:t>Acordo,</w:t>
      </w:r>
      <w:r w:rsidRPr="00395593">
        <w:rPr>
          <w:rFonts w:ascii="Garamond" w:hAnsi="Garamond"/>
          <w:spacing w:val="1"/>
          <w:sz w:val="24"/>
        </w:rPr>
        <w:t xml:space="preserve"> </w:t>
      </w:r>
      <w:r w:rsidRPr="00395593">
        <w:rPr>
          <w:rFonts w:ascii="Garamond" w:hAnsi="Garamond"/>
          <w:sz w:val="24"/>
        </w:rPr>
        <w:t>bem</w:t>
      </w:r>
      <w:r w:rsidRPr="00395593">
        <w:rPr>
          <w:rFonts w:ascii="Garamond" w:hAnsi="Garamond"/>
          <w:spacing w:val="1"/>
          <w:sz w:val="24"/>
        </w:rPr>
        <w:t xml:space="preserve"> </w:t>
      </w:r>
      <w:r w:rsidRPr="00395593">
        <w:rPr>
          <w:rFonts w:ascii="Garamond" w:hAnsi="Garamond"/>
          <w:sz w:val="24"/>
        </w:rPr>
        <w:t>como</w:t>
      </w:r>
      <w:r w:rsidRPr="00395593">
        <w:rPr>
          <w:rFonts w:ascii="Garamond" w:hAnsi="Garamond"/>
          <w:spacing w:val="1"/>
          <w:sz w:val="24"/>
        </w:rPr>
        <w:t xml:space="preserve"> </w:t>
      </w:r>
      <w:r w:rsidRPr="00395593">
        <w:rPr>
          <w:rFonts w:ascii="Garamond" w:hAnsi="Garamond"/>
          <w:sz w:val="24"/>
        </w:rPr>
        <w:t>oferecerá</w:t>
      </w:r>
      <w:r w:rsidRPr="00395593">
        <w:rPr>
          <w:rFonts w:ascii="Garamond" w:hAnsi="Garamond"/>
          <w:spacing w:val="1"/>
          <w:sz w:val="24"/>
        </w:rPr>
        <w:t xml:space="preserve"> </w:t>
      </w:r>
      <w:r w:rsidRPr="00395593">
        <w:rPr>
          <w:rFonts w:ascii="Garamond" w:hAnsi="Garamond"/>
          <w:sz w:val="24"/>
        </w:rPr>
        <w:t>oportunidades</w:t>
      </w:r>
      <w:r w:rsidRPr="00395593">
        <w:rPr>
          <w:rFonts w:ascii="Garamond" w:hAnsi="Garamond"/>
          <w:spacing w:val="1"/>
          <w:sz w:val="24"/>
        </w:rPr>
        <w:t xml:space="preserve"> </w:t>
      </w:r>
      <w:r w:rsidRPr="00395593">
        <w:rPr>
          <w:rFonts w:ascii="Garamond" w:hAnsi="Garamond"/>
          <w:sz w:val="24"/>
        </w:rPr>
        <w:t>adequadas</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1"/>
          <w:sz w:val="24"/>
        </w:rPr>
        <w:t xml:space="preserve"> </w:t>
      </w:r>
      <w:r w:rsidRPr="00395593">
        <w:rPr>
          <w:rFonts w:ascii="Garamond" w:hAnsi="Garamond"/>
          <w:sz w:val="24"/>
        </w:rPr>
        <w:t>consultas</w:t>
      </w:r>
      <w:r w:rsidRPr="00395593">
        <w:rPr>
          <w:rFonts w:ascii="Garamond" w:hAnsi="Garamond"/>
          <w:spacing w:val="1"/>
          <w:sz w:val="24"/>
        </w:rPr>
        <w:t xml:space="preserve"> </w:t>
      </w:r>
      <w:r w:rsidRPr="00395593">
        <w:rPr>
          <w:rFonts w:ascii="Garamond" w:hAnsi="Garamond"/>
          <w:sz w:val="24"/>
        </w:rPr>
        <w:t>sobre</w:t>
      </w:r>
      <w:r w:rsidRPr="00395593">
        <w:rPr>
          <w:rFonts w:ascii="Garamond" w:hAnsi="Garamond"/>
          <w:spacing w:val="1"/>
          <w:sz w:val="24"/>
        </w:rPr>
        <w:t xml:space="preserve"> </w:t>
      </w:r>
      <w:r w:rsidRPr="00395593">
        <w:rPr>
          <w:rFonts w:ascii="Garamond" w:hAnsi="Garamond"/>
          <w:sz w:val="24"/>
        </w:rPr>
        <w:t>tais</w:t>
      </w:r>
      <w:r w:rsidRPr="00395593">
        <w:rPr>
          <w:rFonts w:ascii="Garamond" w:hAnsi="Garamond"/>
          <w:spacing w:val="1"/>
          <w:sz w:val="24"/>
        </w:rPr>
        <w:t xml:space="preserve"> </w:t>
      </w:r>
      <w:r w:rsidRPr="00395593">
        <w:rPr>
          <w:rFonts w:ascii="Garamond" w:hAnsi="Garamond"/>
          <w:sz w:val="24"/>
        </w:rPr>
        <w:t>representações.</w:t>
      </w:r>
    </w:p>
    <w:p w14:paraId="1DBEFC5D" w14:textId="77777777" w:rsidR="0013285C" w:rsidRPr="00395593" w:rsidRDefault="0013285C" w:rsidP="0013285C">
      <w:pPr>
        <w:pStyle w:val="Corpodetexto"/>
        <w:rPr>
          <w:rFonts w:ascii="Garamond" w:hAnsi="Garamond"/>
        </w:rPr>
      </w:pPr>
    </w:p>
    <w:p w14:paraId="42E42E96" w14:textId="77777777" w:rsidR="0013285C" w:rsidRPr="00395593" w:rsidRDefault="0013285C" w:rsidP="002C4340">
      <w:pPr>
        <w:pStyle w:val="PargrafodaLista"/>
        <w:widowControl w:val="0"/>
        <w:numPr>
          <w:ilvl w:val="0"/>
          <w:numId w:val="6"/>
        </w:numPr>
        <w:tabs>
          <w:tab w:val="left" w:pos="810"/>
        </w:tabs>
        <w:autoSpaceDE w:val="0"/>
        <w:autoSpaceDN w:val="0"/>
        <w:spacing w:after="0" w:line="240" w:lineRule="auto"/>
        <w:ind w:right="121" w:firstLine="0"/>
        <w:contextualSpacing w:val="0"/>
        <w:jc w:val="both"/>
        <w:rPr>
          <w:rFonts w:ascii="Garamond" w:hAnsi="Garamond"/>
          <w:sz w:val="24"/>
        </w:rPr>
      </w:pPr>
      <w:r w:rsidRPr="00395593">
        <w:rPr>
          <w:rFonts w:ascii="Garamond" w:hAnsi="Garamond"/>
          <w:sz w:val="24"/>
        </w:rPr>
        <w:t>O Membro que considere estar sendo anulada ou prejudicada alguma vantagem que</w:t>
      </w:r>
      <w:r w:rsidRPr="00395593">
        <w:rPr>
          <w:rFonts w:ascii="Garamond" w:hAnsi="Garamond"/>
          <w:spacing w:val="1"/>
          <w:sz w:val="24"/>
        </w:rPr>
        <w:t xml:space="preserve"> </w:t>
      </w:r>
      <w:r w:rsidRPr="00395593">
        <w:rPr>
          <w:rFonts w:ascii="Garamond" w:hAnsi="Garamond"/>
          <w:sz w:val="24"/>
        </w:rPr>
        <w:t>lhe</w:t>
      </w:r>
      <w:r w:rsidRPr="00395593">
        <w:rPr>
          <w:rFonts w:ascii="Garamond" w:hAnsi="Garamond"/>
          <w:spacing w:val="1"/>
          <w:sz w:val="24"/>
        </w:rPr>
        <w:t xml:space="preserve"> </w:t>
      </w:r>
      <w:r w:rsidRPr="00395593">
        <w:rPr>
          <w:rFonts w:ascii="Garamond" w:hAnsi="Garamond"/>
          <w:sz w:val="24"/>
        </w:rPr>
        <w:t>é</w:t>
      </w:r>
      <w:r w:rsidRPr="00395593">
        <w:rPr>
          <w:rFonts w:ascii="Garamond" w:hAnsi="Garamond"/>
          <w:spacing w:val="1"/>
          <w:sz w:val="24"/>
        </w:rPr>
        <w:t xml:space="preserve"> </w:t>
      </w:r>
      <w:r w:rsidRPr="00395593">
        <w:rPr>
          <w:rFonts w:ascii="Garamond" w:hAnsi="Garamond"/>
          <w:sz w:val="24"/>
        </w:rPr>
        <w:t>devida,</w:t>
      </w:r>
      <w:r w:rsidRPr="00395593">
        <w:rPr>
          <w:rFonts w:ascii="Garamond" w:hAnsi="Garamond"/>
          <w:spacing w:val="1"/>
          <w:sz w:val="24"/>
        </w:rPr>
        <w:t xml:space="preserve"> </w:t>
      </w:r>
      <w:r w:rsidRPr="00395593">
        <w:rPr>
          <w:rFonts w:ascii="Garamond" w:hAnsi="Garamond"/>
          <w:sz w:val="24"/>
        </w:rPr>
        <w:t>direta</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indiretamente</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virtude</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presente</w:t>
      </w:r>
      <w:r w:rsidRPr="00395593">
        <w:rPr>
          <w:rFonts w:ascii="Garamond" w:hAnsi="Garamond"/>
          <w:spacing w:val="1"/>
          <w:sz w:val="24"/>
        </w:rPr>
        <w:t xml:space="preserve"> </w:t>
      </w:r>
      <w:r w:rsidRPr="00395593">
        <w:rPr>
          <w:rFonts w:ascii="Garamond" w:hAnsi="Garamond"/>
          <w:sz w:val="24"/>
        </w:rPr>
        <w:t>Acordo,</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estar</w:t>
      </w:r>
      <w:r w:rsidRPr="00395593">
        <w:rPr>
          <w:rFonts w:ascii="Garamond" w:hAnsi="Garamond"/>
          <w:spacing w:val="1"/>
          <w:sz w:val="24"/>
        </w:rPr>
        <w:t xml:space="preserve"> </w:t>
      </w:r>
      <w:r w:rsidRPr="00395593">
        <w:rPr>
          <w:rFonts w:ascii="Garamond" w:hAnsi="Garamond"/>
          <w:sz w:val="24"/>
        </w:rPr>
        <w:t>sendo</w:t>
      </w:r>
      <w:r w:rsidRPr="00395593">
        <w:rPr>
          <w:rFonts w:ascii="Garamond" w:hAnsi="Garamond"/>
          <w:spacing w:val="-57"/>
          <w:sz w:val="24"/>
        </w:rPr>
        <w:t xml:space="preserve"> </w:t>
      </w:r>
      <w:r w:rsidRPr="00395593">
        <w:rPr>
          <w:rFonts w:ascii="Garamond" w:hAnsi="Garamond"/>
          <w:sz w:val="24"/>
        </w:rPr>
        <w:t>comprometida a consecução de qualquer de seus objetivos por outro Membro ou Membros,</w:t>
      </w:r>
      <w:r w:rsidRPr="00395593">
        <w:rPr>
          <w:rFonts w:ascii="Garamond" w:hAnsi="Garamond"/>
          <w:spacing w:val="-57"/>
          <w:sz w:val="24"/>
        </w:rPr>
        <w:t xml:space="preserve"> </w:t>
      </w:r>
      <w:r w:rsidRPr="00395593">
        <w:rPr>
          <w:rFonts w:ascii="Garamond" w:hAnsi="Garamond"/>
          <w:sz w:val="24"/>
        </w:rPr>
        <w:t>poderá, com vistas a alcançar solução mutuamente satisfatória sobre o assunto, requerer</w:t>
      </w:r>
      <w:r w:rsidRPr="00395593">
        <w:rPr>
          <w:rFonts w:ascii="Garamond" w:hAnsi="Garamond"/>
          <w:spacing w:val="1"/>
          <w:sz w:val="24"/>
        </w:rPr>
        <w:t xml:space="preserve"> </w:t>
      </w:r>
      <w:r w:rsidRPr="00395593">
        <w:rPr>
          <w:rFonts w:ascii="Garamond" w:hAnsi="Garamond"/>
          <w:sz w:val="24"/>
        </w:rPr>
        <w:t>consultas</w:t>
      </w:r>
      <w:r w:rsidRPr="00395593">
        <w:rPr>
          <w:rFonts w:ascii="Garamond" w:hAnsi="Garamond"/>
          <w:spacing w:val="33"/>
          <w:sz w:val="24"/>
        </w:rPr>
        <w:t xml:space="preserve"> </w:t>
      </w:r>
      <w:r w:rsidRPr="00395593">
        <w:rPr>
          <w:rFonts w:ascii="Garamond" w:hAnsi="Garamond"/>
          <w:sz w:val="24"/>
        </w:rPr>
        <w:t>por</w:t>
      </w:r>
      <w:r w:rsidRPr="00395593">
        <w:rPr>
          <w:rFonts w:ascii="Garamond" w:hAnsi="Garamond"/>
          <w:spacing w:val="34"/>
          <w:sz w:val="24"/>
        </w:rPr>
        <w:t xml:space="preserve"> </w:t>
      </w:r>
      <w:r w:rsidRPr="00395593">
        <w:rPr>
          <w:rFonts w:ascii="Garamond" w:hAnsi="Garamond"/>
          <w:sz w:val="24"/>
        </w:rPr>
        <w:t>escrito</w:t>
      </w:r>
      <w:r w:rsidRPr="00395593">
        <w:rPr>
          <w:rFonts w:ascii="Garamond" w:hAnsi="Garamond"/>
          <w:spacing w:val="35"/>
          <w:sz w:val="24"/>
        </w:rPr>
        <w:t xml:space="preserve"> </w:t>
      </w:r>
      <w:r w:rsidRPr="00395593">
        <w:rPr>
          <w:rFonts w:ascii="Garamond" w:hAnsi="Garamond"/>
          <w:sz w:val="24"/>
        </w:rPr>
        <w:t>com</w:t>
      </w:r>
      <w:r w:rsidRPr="00395593">
        <w:rPr>
          <w:rFonts w:ascii="Garamond" w:hAnsi="Garamond"/>
          <w:spacing w:val="34"/>
          <w:sz w:val="24"/>
        </w:rPr>
        <w:t xml:space="preserve"> </w:t>
      </w:r>
      <w:r w:rsidRPr="00395593">
        <w:rPr>
          <w:rFonts w:ascii="Garamond" w:hAnsi="Garamond"/>
          <w:sz w:val="24"/>
        </w:rPr>
        <w:t>o</w:t>
      </w:r>
      <w:r w:rsidRPr="00395593">
        <w:rPr>
          <w:rFonts w:ascii="Garamond" w:hAnsi="Garamond"/>
          <w:spacing w:val="34"/>
          <w:sz w:val="24"/>
        </w:rPr>
        <w:t xml:space="preserve"> </w:t>
      </w:r>
      <w:r w:rsidRPr="00395593">
        <w:rPr>
          <w:rFonts w:ascii="Garamond" w:hAnsi="Garamond"/>
          <w:sz w:val="24"/>
        </w:rPr>
        <w:t>Membro</w:t>
      </w:r>
      <w:r w:rsidRPr="00395593">
        <w:rPr>
          <w:rFonts w:ascii="Garamond" w:hAnsi="Garamond"/>
          <w:spacing w:val="34"/>
          <w:sz w:val="24"/>
        </w:rPr>
        <w:t xml:space="preserve"> </w:t>
      </w:r>
      <w:r w:rsidRPr="00395593">
        <w:rPr>
          <w:rFonts w:ascii="Garamond" w:hAnsi="Garamond"/>
          <w:sz w:val="24"/>
        </w:rPr>
        <w:t>ou</w:t>
      </w:r>
      <w:r w:rsidRPr="00395593">
        <w:rPr>
          <w:rFonts w:ascii="Garamond" w:hAnsi="Garamond"/>
          <w:spacing w:val="34"/>
          <w:sz w:val="24"/>
        </w:rPr>
        <w:t xml:space="preserve"> </w:t>
      </w:r>
      <w:r w:rsidRPr="00395593">
        <w:rPr>
          <w:rFonts w:ascii="Garamond" w:hAnsi="Garamond"/>
          <w:sz w:val="24"/>
        </w:rPr>
        <w:t>Membros</w:t>
      </w:r>
      <w:r w:rsidRPr="00395593">
        <w:rPr>
          <w:rFonts w:ascii="Garamond" w:hAnsi="Garamond"/>
          <w:spacing w:val="33"/>
          <w:sz w:val="24"/>
        </w:rPr>
        <w:t xml:space="preserve"> </w:t>
      </w:r>
      <w:r w:rsidRPr="00395593">
        <w:rPr>
          <w:rFonts w:ascii="Garamond" w:hAnsi="Garamond"/>
          <w:sz w:val="24"/>
        </w:rPr>
        <w:t>em</w:t>
      </w:r>
      <w:r w:rsidRPr="00395593">
        <w:rPr>
          <w:rFonts w:ascii="Garamond" w:hAnsi="Garamond"/>
          <w:spacing w:val="35"/>
          <w:sz w:val="24"/>
        </w:rPr>
        <w:t xml:space="preserve"> </w:t>
      </w:r>
      <w:r w:rsidRPr="00395593">
        <w:rPr>
          <w:rFonts w:ascii="Garamond" w:hAnsi="Garamond"/>
          <w:sz w:val="24"/>
        </w:rPr>
        <w:t>apreço.</w:t>
      </w:r>
      <w:r w:rsidRPr="00395593">
        <w:rPr>
          <w:rFonts w:ascii="Garamond" w:hAnsi="Garamond"/>
          <w:spacing w:val="34"/>
          <w:sz w:val="24"/>
        </w:rPr>
        <w:t xml:space="preserve"> </w:t>
      </w:r>
      <w:r w:rsidRPr="00395593">
        <w:rPr>
          <w:rFonts w:ascii="Garamond" w:hAnsi="Garamond"/>
          <w:sz w:val="24"/>
        </w:rPr>
        <w:t>Todo</w:t>
      </w:r>
      <w:r w:rsidRPr="00395593">
        <w:rPr>
          <w:rFonts w:ascii="Garamond" w:hAnsi="Garamond"/>
          <w:spacing w:val="34"/>
          <w:sz w:val="24"/>
        </w:rPr>
        <w:t xml:space="preserve"> </w:t>
      </w:r>
      <w:r w:rsidRPr="00395593">
        <w:rPr>
          <w:rFonts w:ascii="Garamond" w:hAnsi="Garamond"/>
          <w:sz w:val="24"/>
        </w:rPr>
        <w:t>Membro</w:t>
      </w:r>
      <w:r w:rsidRPr="00395593">
        <w:rPr>
          <w:rFonts w:ascii="Garamond" w:hAnsi="Garamond"/>
          <w:spacing w:val="33"/>
          <w:sz w:val="24"/>
        </w:rPr>
        <w:t xml:space="preserve"> </w:t>
      </w:r>
      <w:r w:rsidRPr="00395593">
        <w:rPr>
          <w:rFonts w:ascii="Garamond" w:hAnsi="Garamond"/>
          <w:sz w:val="24"/>
        </w:rPr>
        <w:t>examinará</w:t>
      </w:r>
      <w:r w:rsidRPr="00395593">
        <w:rPr>
          <w:rFonts w:ascii="Garamond" w:hAnsi="Garamond"/>
          <w:spacing w:val="-57"/>
          <w:sz w:val="24"/>
        </w:rPr>
        <w:t xml:space="preserve"> </w:t>
      </w:r>
      <w:r w:rsidRPr="00395593">
        <w:rPr>
          <w:rFonts w:ascii="Garamond" w:hAnsi="Garamond"/>
          <w:sz w:val="24"/>
        </w:rPr>
        <w:t>com</w:t>
      </w:r>
      <w:r w:rsidRPr="00395593">
        <w:rPr>
          <w:rFonts w:ascii="Garamond" w:hAnsi="Garamond"/>
          <w:spacing w:val="-1"/>
          <w:sz w:val="24"/>
        </w:rPr>
        <w:t xml:space="preserve"> </w:t>
      </w:r>
      <w:r w:rsidRPr="00395593">
        <w:rPr>
          <w:rFonts w:ascii="Garamond" w:hAnsi="Garamond"/>
          <w:sz w:val="24"/>
        </w:rPr>
        <w:t>boa vontade</w:t>
      </w:r>
      <w:r w:rsidRPr="00395593">
        <w:rPr>
          <w:rFonts w:ascii="Garamond" w:hAnsi="Garamond"/>
          <w:spacing w:val="-1"/>
          <w:sz w:val="24"/>
        </w:rPr>
        <w:t xml:space="preserve"> </w:t>
      </w:r>
      <w:r w:rsidRPr="00395593">
        <w:rPr>
          <w:rFonts w:ascii="Garamond" w:hAnsi="Garamond"/>
          <w:sz w:val="24"/>
        </w:rPr>
        <w:t>qualquer</w:t>
      </w:r>
      <w:r w:rsidRPr="00395593">
        <w:rPr>
          <w:rFonts w:ascii="Garamond" w:hAnsi="Garamond"/>
          <w:spacing w:val="-2"/>
          <w:sz w:val="24"/>
        </w:rPr>
        <w:t xml:space="preserve"> </w:t>
      </w:r>
      <w:r w:rsidRPr="00395593">
        <w:rPr>
          <w:rFonts w:ascii="Garamond" w:hAnsi="Garamond"/>
          <w:sz w:val="24"/>
        </w:rPr>
        <w:t>pedido de</w:t>
      </w:r>
      <w:r w:rsidRPr="00395593">
        <w:rPr>
          <w:rFonts w:ascii="Garamond" w:hAnsi="Garamond"/>
          <w:spacing w:val="1"/>
          <w:sz w:val="24"/>
        </w:rPr>
        <w:t xml:space="preserve"> </w:t>
      </w:r>
      <w:r w:rsidRPr="00395593">
        <w:rPr>
          <w:rFonts w:ascii="Garamond" w:hAnsi="Garamond"/>
          <w:sz w:val="24"/>
        </w:rPr>
        <w:t>consultas formulado</w:t>
      </w:r>
      <w:r w:rsidRPr="00395593">
        <w:rPr>
          <w:rFonts w:ascii="Garamond" w:hAnsi="Garamond"/>
          <w:spacing w:val="2"/>
          <w:sz w:val="24"/>
        </w:rPr>
        <w:t xml:space="preserve"> </w:t>
      </w:r>
      <w:r w:rsidRPr="00395593">
        <w:rPr>
          <w:rFonts w:ascii="Garamond" w:hAnsi="Garamond"/>
          <w:sz w:val="24"/>
        </w:rPr>
        <w:t>por outro Membro.</w:t>
      </w:r>
    </w:p>
    <w:p w14:paraId="46DC102D" w14:textId="77777777" w:rsidR="0013285C" w:rsidRPr="00395593" w:rsidRDefault="0013285C" w:rsidP="0013285C">
      <w:pPr>
        <w:pStyle w:val="Corpodetexto"/>
        <w:spacing w:before="1"/>
        <w:rPr>
          <w:rFonts w:ascii="Garamond" w:hAnsi="Garamond"/>
        </w:rPr>
      </w:pPr>
    </w:p>
    <w:p w14:paraId="03656678" w14:textId="77777777" w:rsidR="0013285C" w:rsidRPr="00395593" w:rsidRDefault="0013285C" w:rsidP="002C4340">
      <w:pPr>
        <w:pStyle w:val="PargrafodaLista"/>
        <w:widowControl w:val="0"/>
        <w:numPr>
          <w:ilvl w:val="0"/>
          <w:numId w:val="6"/>
        </w:numPr>
        <w:tabs>
          <w:tab w:val="left" w:pos="810"/>
        </w:tabs>
        <w:autoSpaceDE w:val="0"/>
        <w:autoSpaceDN w:val="0"/>
        <w:spacing w:after="0" w:line="240" w:lineRule="auto"/>
        <w:ind w:right="120" w:firstLine="0"/>
        <w:contextualSpacing w:val="0"/>
        <w:jc w:val="both"/>
        <w:rPr>
          <w:rFonts w:ascii="Garamond" w:hAnsi="Garamond"/>
          <w:sz w:val="24"/>
        </w:rPr>
      </w:pPr>
      <w:r w:rsidRPr="00395593">
        <w:rPr>
          <w:rFonts w:ascii="Garamond" w:hAnsi="Garamond"/>
          <w:sz w:val="24"/>
        </w:rPr>
        <w:t>Se o Membro que requereu consultas considera que as mesmas, segundo o disposto</w:t>
      </w:r>
      <w:r w:rsidRPr="00395593">
        <w:rPr>
          <w:rFonts w:ascii="Garamond" w:hAnsi="Garamond"/>
          <w:spacing w:val="1"/>
          <w:sz w:val="24"/>
        </w:rPr>
        <w:t xml:space="preserve"> </w:t>
      </w:r>
      <w:r w:rsidRPr="00395593">
        <w:rPr>
          <w:rFonts w:ascii="Garamond" w:hAnsi="Garamond"/>
          <w:sz w:val="24"/>
        </w:rPr>
        <w:t>no parágrafo 3, não alcançaram solução mutuamente satisfatória, e se medidas definitivas</w:t>
      </w:r>
      <w:r w:rsidRPr="00395593">
        <w:rPr>
          <w:rFonts w:ascii="Garamond" w:hAnsi="Garamond"/>
          <w:spacing w:val="1"/>
          <w:sz w:val="24"/>
        </w:rPr>
        <w:t xml:space="preserve"> </w:t>
      </w:r>
      <w:r w:rsidRPr="00395593">
        <w:rPr>
          <w:rFonts w:ascii="Garamond" w:hAnsi="Garamond"/>
          <w:sz w:val="24"/>
        </w:rPr>
        <w:t>tiverem sido tomadas pelas autoridades administrativas do Membro importador no sentido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cobrar</w:t>
      </w:r>
      <w:r w:rsidRPr="00395593">
        <w:rPr>
          <w:rFonts w:ascii="Garamond" w:hAnsi="Garamond"/>
          <w:spacing w:val="1"/>
          <w:sz w:val="24"/>
        </w:rPr>
        <w:t xml:space="preserve"> </w:t>
      </w:r>
      <w:r w:rsidRPr="00395593">
        <w:rPr>
          <w:rFonts w:ascii="Garamond" w:hAnsi="Garamond"/>
          <w:sz w:val="24"/>
        </w:rPr>
        <w:t>direitos</w:t>
      </w:r>
      <w:r w:rsidRPr="00395593">
        <w:rPr>
          <w:rFonts w:ascii="Garamond" w:hAnsi="Garamond"/>
          <w:spacing w:val="1"/>
          <w:sz w:val="24"/>
        </w:rPr>
        <w:t xml:space="preserve"> </w:t>
      </w:r>
      <w:r w:rsidRPr="00395593">
        <w:rPr>
          <w:rFonts w:ascii="Garamond" w:hAnsi="Garamond"/>
          <w:i/>
          <w:sz w:val="24"/>
        </w:rPr>
        <w:t>anti</w:t>
      </w:r>
      <w:r w:rsidRPr="00395593">
        <w:rPr>
          <w:rFonts w:ascii="Garamond" w:hAnsi="Garamond"/>
          <w:sz w:val="24"/>
        </w:rPr>
        <w:t>-</w:t>
      </w:r>
      <w:r w:rsidRPr="00395593">
        <w:rPr>
          <w:rFonts w:ascii="Garamond" w:hAnsi="Garamond"/>
          <w:i/>
          <w:sz w:val="24"/>
        </w:rPr>
        <w:t>dumping</w:t>
      </w:r>
      <w:r w:rsidRPr="00395593">
        <w:rPr>
          <w:rFonts w:ascii="Garamond" w:hAnsi="Garamond"/>
          <w:i/>
          <w:spacing w:val="1"/>
          <w:sz w:val="24"/>
        </w:rPr>
        <w:t xml:space="preserve"> </w:t>
      </w:r>
      <w:r w:rsidRPr="00395593">
        <w:rPr>
          <w:rFonts w:ascii="Garamond" w:hAnsi="Garamond"/>
          <w:sz w:val="24"/>
        </w:rPr>
        <w:t>definitivos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aceitar</w:t>
      </w:r>
      <w:r w:rsidRPr="00395593">
        <w:rPr>
          <w:rFonts w:ascii="Garamond" w:hAnsi="Garamond"/>
          <w:spacing w:val="1"/>
          <w:sz w:val="24"/>
        </w:rPr>
        <w:t xml:space="preserve"> </w:t>
      </w:r>
      <w:r w:rsidRPr="00395593">
        <w:rPr>
          <w:rFonts w:ascii="Garamond" w:hAnsi="Garamond"/>
          <w:sz w:val="24"/>
        </w:rPr>
        <w:t>compromissos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preços,</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Membro poderá elevar o assunto ao órgão de Solução de Controvérsias (OSC). Na hipótese</w:t>
      </w:r>
      <w:r w:rsidRPr="00395593">
        <w:rPr>
          <w:rFonts w:ascii="Garamond" w:hAnsi="Garamond"/>
          <w:spacing w:val="-57"/>
          <w:sz w:val="24"/>
        </w:rPr>
        <w:t xml:space="preserve"> </w:t>
      </w:r>
      <w:r w:rsidRPr="00395593">
        <w:rPr>
          <w:rFonts w:ascii="Garamond" w:hAnsi="Garamond"/>
          <w:sz w:val="24"/>
        </w:rPr>
        <w:t>de uma medida provisória ter impacto significativo e de o Membro que tiver solicitado</w:t>
      </w:r>
      <w:r w:rsidRPr="00395593">
        <w:rPr>
          <w:rFonts w:ascii="Garamond" w:hAnsi="Garamond"/>
          <w:spacing w:val="1"/>
          <w:sz w:val="24"/>
        </w:rPr>
        <w:t xml:space="preserve"> </w:t>
      </w:r>
      <w:r w:rsidRPr="00395593">
        <w:rPr>
          <w:rFonts w:ascii="Garamond" w:hAnsi="Garamond"/>
          <w:sz w:val="24"/>
        </w:rPr>
        <w:t>consultas</w:t>
      </w:r>
      <w:r w:rsidRPr="00395593">
        <w:rPr>
          <w:rFonts w:ascii="Garamond" w:hAnsi="Garamond"/>
          <w:spacing w:val="1"/>
          <w:sz w:val="24"/>
        </w:rPr>
        <w:t xml:space="preserve"> </w:t>
      </w:r>
      <w:r w:rsidRPr="00395593">
        <w:rPr>
          <w:rFonts w:ascii="Garamond" w:hAnsi="Garamond"/>
          <w:sz w:val="24"/>
        </w:rPr>
        <w:t>considerar</w:t>
      </w:r>
      <w:r w:rsidRPr="00395593">
        <w:rPr>
          <w:rFonts w:ascii="Garamond" w:hAnsi="Garamond"/>
          <w:spacing w:val="1"/>
          <w:sz w:val="24"/>
        </w:rPr>
        <w:t xml:space="preserve"> </w:t>
      </w:r>
      <w:r w:rsidRPr="00395593">
        <w:rPr>
          <w:rFonts w:ascii="Garamond" w:hAnsi="Garamond"/>
          <w:sz w:val="24"/>
        </w:rPr>
        <w:t>ter</w:t>
      </w:r>
      <w:r w:rsidRPr="00395593">
        <w:rPr>
          <w:rFonts w:ascii="Garamond" w:hAnsi="Garamond"/>
          <w:spacing w:val="1"/>
          <w:sz w:val="24"/>
        </w:rPr>
        <w:t xml:space="preserve"> </w:t>
      </w:r>
      <w:r w:rsidRPr="00395593">
        <w:rPr>
          <w:rFonts w:ascii="Garamond" w:hAnsi="Garamond"/>
          <w:sz w:val="24"/>
        </w:rPr>
        <w:t>sido</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medida</w:t>
      </w:r>
      <w:r w:rsidRPr="00395593">
        <w:rPr>
          <w:rFonts w:ascii="Garamond" w:hAnsi="Garamond"/>
          <w:spacing w:val="1"/>
          <w:sz w:val="24"/>
        </w:rPr>
        <w:t xml:space="preserve"> </w:t>
      </w:r>
      <w:r w:rsidRPr="00395593">
        <w:rPr>
          <w:rFonts w:ascii="Garamond" w:hAnsi="Garamond"/>
          <w:sz w:val="24"/>
        </w:rPr>
        <w:t>provisória</w:t>
      </w:r>
      <w:r w:rsidRPr="00395593">
        <w:rPr>
          <w:rFonts w:ascii="Garamond" w:hAnsi="Garamond"/>
          <w:spacing w:val="1"/>
          <w:sz w:val="24"/>
        </w:rPr>
        <w:t xml:space="preserve"> </w:t>
      </w:r>
      <w:r w:rsidRPr="00395593">
        <w:rPr>
          <w:rFonts w:ascii="Garamond" w:hAnsi="Garamond"/>
          <w:sz w:val="24"/>
        </w:rPr>
        <w:t>tomada</w:t>
      </w:r>
      <w:r w:rsidRPr="00395593">
        <w:rPr>
          <w:rFonts w:ascii="Garamond" w:hAnsi="Garamond"/>
          <w:spacing w:val="1"/>
          <w:sz w:val="24"/>
        </w:rPr>
        <w:t xml:space="preserve"> </w:t>
      </w:r>
      <w:r w:rsidRPr="00395593">
        <w:rPr>
          <w:rFonts w:ascii="Garamond" w:hAnsi="Garamond"/>
          <w:sz w:val="24"/>
        </w:rPr>
        <w:t>ao</w:t>
      </w:r>
      <w:r w:rsidRPr="00395593">
        <w:rPr>
          <w:rFonts w:ascii="Garamond" w:hAnsi="Garamond"/>
          <w:spacing w:val="1"/>
          <w:sz w:val="24"/>
        </w:rPr>
        <w:t xml:space="preserve"> </w:t>
      </w:r>
      <w:r w:rsidRPr="00395593">
        <w:rPr>
          <w:rFonts w:ascii="Garamond" w:hAnsi="Garamond"/>
          <w:sz w:val="24"/>
        </w:rPr>
        <w:t>arrepio</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disposto</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parágrafo</w:t>
      </w:r>
      <w:r w:rsidRPr="00395593">
        <w:rPr>
          <w:rFonts w:ascii="Garamond" w:hAnsi="Garamond"/>
          <w:spacing w:val="-1"/>
          <w:sz w:val="24"/>
        </w:rPr>
        <w:t xml:space="preserve"> </w:t>
      </w:r>
      <w:r w:rsidRPr="00395593">
        <w:rPr>
          <w:rFonts w:ascii="Garamond" w:hAnsi="Garamond"/>
          <w:sz w:val="24"/>
        </w:rPr>
        <w:t>1</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Artigo 7,</w:t>
      </w:r>
      <w:r w:rsidRPr="00395593">
        <w:rPr>
          <w:rFonts w:ascii="Garamond" w:hAnsi="Garamond"/>
          <w:spacing w:val="1"/>
          <w:sz w:val="24"/>
        </w:rPr>
        <w:t xml:space="preserve"> </w:t>
      </w:r>
      <w:r w:rsidRPr="00395593">
        <w:rPr>
          <w:rFonts w:ascii="Garamond" w:hAnsi="Garamond"/>
          <w:sz w:val="24"/>
        </w:rPr>
        <w:t>poderá</w:t>
      </w:r>
      <w:r w:rsidRPr="00395593">
        <w:rPr>
          <w:rFonts w:ascii="Garamond" w:hAnsi="Garamond"/>
          <w:spacing w:val="-3"/>
          <w:sz w:val="24"/>
        </w:rPr>
        <w:t xml:space="preserve"> </w:t>
      </w:r>
      <w:r w:rsidRPr="00395593">
        <w:rPr>
          <w:rFonts w:ascii="Garamond" w:hAnsi="Garamond"/>
          <w:sz w:val="24"/>
        </w:rPr>
        <w:t>esse</w:t>
      </w:r>
      <w:r w:rsidRPr="00395593">
        <w:rPr>
          <w:rFonts w:ascii="Garamond" w:hAnsi="Garamond"/>
          <w:spacing w:val="-1"/>
          <w:sz w:val="24"/>
        </w:rPr>
        <w:t xml:space="preserve"> </w:t>
      </w:r>
      <w:r w:rsidRPr="00395593">
        <w:rPr>
          <w:rFonts w:ascii="Garamond" w:hAnsi="Garamond"/>
          <w:sz w:val="24"/>
        </w:rPr>
        <w:t>Membro elevar</w:t>
      </w:r>
      <w:r w:rsidRPr="00395593">
        <w:rPr>
          <w:rFonts w:ascii="Garamond" w:hAnsi="Garamond"/>
          <w:spacing w:val="-1"/>
          <w:sz w:val="24"/>
        </w:rPr>
        <w:t xml:space="preserve"> </w:t>
      </w:r>
      <w:r w:rsidRPr="00395593">
        <w:rPr>
          <w:rFonts w:ascii="Garamond" w:hAnsi="Garamond"/>
          <w:sz w:val="24"/>
        </w:rPr>
        <w:t>o assunto</w:t>
      </w:r>
      <w:r w:rsidRPr="00395593">
        <w:rPr>
          <w:rFonts w:ascii="Garamond" w:hAnsi="Garamond"/>
          <w:spacing w:val="-1"/>
          <w:sz w:val="24"/>
        </w:rPr>
        <w:t xml:space="preserve"> </w:t>
      </w:r>
      <w:r w:rsidRPr="00395593">
        <w:rPr>
          <w:rFonts w:ascii="Garamond" w:hAnsi="Garamond"/>
          <w:sz w:val="24"/>
        </w:rPr>
        <w:t>à consideração do</w:t>
      </w:r>
      <w:r w:rsidRPr="00395593">
        <w:rPr>
          <w:rFonts w:ascii="Garamond" w:hAnsi="Garamond"/>
          <w:spacing w:val="-1"/>
          <w:sz w:val="24"/>
        </w:rPr>
        <w:t xml:space="preserve"> </w:t>
      </w:r>
      <w:r w:rsidRPr="00395593">
        <w:rPr>
          <w:rFonts w:ascii="Garamond" w:hAnsi="Garamond"/>
          <w:sz w:val="24"/>
        </w:rPr>
        <w:t>OSC.</w:t>
      </w:r>
    </w:p>
    <w:p w14:paraId="6418AE15" w14:textId="77777777" w:rsidR="0013285C" w:rsidRPr="00395593" w:rsidRDefault="0013285C" w:rsidP="0013285C">
      <w:pPr>
        <w:pStyle w:val="Corpodetexto"/>
        <w:rPr>
          <w:rFonts w:ascii="Garamond" w:hAnsi="Garamond"/>
        </w:rPr>
      </w:pPr>
    </w:p>
    <w:p w14:paraId="21DB4714" w14:textId="77777777" w:rsidR="0013285C" w:rsidRPr="00395593" w:rsidRDefault="0013285C" w:rsidP="002C4340">
      <w:pPr>
        <w:pStyle w:val="PargrafodaLista"/>
        <w:widowControl w:val="0"/>
        <w:numPr>
          <w:ilvl w:val="0"/>
          <w:numId w:val="6"/>
        </w:numPr>
        <w:tabs>
          <w:tab w:val="left" w:pos="810"/>
        </w:tabs>
        <w:autoSpaceDE w:val="0"/>
        <w:autoSpaceDN w:val="0"/>
        <w:spacing w:before="1" w:after="0" w:line="240" w:lineRule="auto"/>
        <w:ind w:right="119" w:firstLine="0"/>
        <w:contextualSpacing w:val="0"/>
        <w:jc w:val="both"/>
        <w:rPr>
          <w:rFonts w:ascii="Garamond" w:hAnsi="Garamond"/>
          <w:sz w:val="24"/>
        </w:rPr>
      </w:pP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OSC,</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pedido</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parte</w:t>
      </w:r>
      <w:r w:rsidRPr="00395593">
        <w:rPr>
          <w:rFonts w:ascii="Garamond" w:hAnsi="Garamond"/>
          <w:spacing w:val="1"/>
          <w:sz w:val="24"/>
        </w:rPr>
        <w:t xml:space="preserve"> </w:t>
      </w:r>
      <w:r w:rsidRPr="00395593">
        <w:rPr>
          <w:rFonts w:ascii="Garamond" w:hAnsi="Garamond"/>
          <w:sz w:val="24"/>
        </w:rPr>
        <w:t>reclamante,</w:t>
      </w:r>
      <w:r w:rsidRPr="00395593">
        <w:rPr>
          <w:rFonts w:ascii="Garamond" w:hAnsi="Garamond"/>
          <w:spacing w:val="1"/>
          <w:sz w:val="24"/>
        </w:rPr>
        <w:t xml:space="preserve"> </w:t>
      </w:r>
      <w:r w:rsidRPr="00395593">
        <w:rPr>
          <w:rFonts w:ascii="Garamond" w:hAnsi="Garamond"/>
          <w:sz w:val="24"/>
        </w:rPr>
        <w:t>deverá</w:t>
      </w:r>
      <w:r w:rsidRPr="00395593">
        <w:rPr>
          <w:rFonts w:ascii="Garamond" w:hAnsi="Garamond"/>
          <w:spacing w:val="1"/>
          <w:sz w:val="24"/>
        </w:rPr>
        <w:t xml:space="preserve"> </w:t>
      </w:r>
      <w:r w:rsidRPr="00395593">
        <w:rPr>
          <w:rFonts w:ascii="Garamond" w:hAnsi="Garamond"/>
          <w:sz w:val="24"/>
        </w:rPr>
        <w:t>estabelecer</w:t>
      </w:r>
      <w:r w:rsidRPr="00395593">
        <w:rPr>
          <w:rFonts w:ascii="Garamond" w:hAnsi="Garamond"/>
          <w:spacing w:val="1"/>
          <w:sz w:val="24"/>
        </w:rPr>
        <w:t xml:space="preserve"> </w:t>
      </w:r>
      <w:r w:rsidRPr="00395593">
        <w:rPr>
          <w:rFonts w:ascii="Garamond" w:hAnsi="Garamond"/>
          <w:sz w:val="24"/>
        </w:rPr>
        <w:t>grupo</w:t>
      </w:r>
      <w:r w:rsidRPr="00395593">
        <w:rPr>
          <w:rFonts w:ascii="Garamond" w:hAnsi="Garamond"/>
          <w:spacing w:val="1"/>
          <w:sz w:val="24"/>
        </w:rPr>
        <w:t xml:space="preserve"> </w:t>
      </w:r>
      <w:r w:rsidRPr="00395593">
        <w:rPr>
          <w:rFonts w:ascii="Garamond" w:hAnsi="Garamond"/>
          <w:sz w:val="24"/>
        </w:rPr>
        <w:t>especial</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1"/>
          <w:sz w:val="24"/>
        </w:rPr>
        <w:t xml:space="preserve"> </w:t>
      </w:r>
      <w:r w:rsidRPr="00395593">
        <w:rPr>
          <w:rFonts w:ascii="Garamond" w:hAnsi="Garamond"/>
          <w:sz w:val="24"/>
        </w:rPr>
        <w:t>examinar</w:t>
      </w:r>
      <w:r w:rsidRPr="00395593">
        <w:rPr>
          <w:rFonts w:ascii="Garamond" w:hAnsi="Garamond"/>
          <w:spacing w:val="-1"/>
          <w:sz w:val="24"/>
        </w:rPr>
        <w:t xml:space="preserve"> </w:t>
      </w:r>
      <w:r w:rsidRPr="00395593">
        <w:rPr>
          <w:rFonts w:ascii="Garamond" w:hAnsi="Garamond"/>
          <w:sz w:val="24"/>
        </w:rPr>
        <w:t>o assunto com base:</w:t>
      </w:r>
    </w:p>
    <w:p w14:paraId="74428FDF" w14:textId="77777777" w:rsidR="0013285C" w:rsidRPr="00395593" w:rsidRDefault="0013285C" w:rsidP="0013285C">
      <w:pPr>
        <w:pStyle w:val="Corpodetexto"/>
        <w:rPr>
          <w:rFonts w:ascii="Garamond" w:hAnsi="Garamond"/>
        </w:rPr>
      </w:pPr>
    </w:p>
    <w:p w14:paraId="38965466" w14:textId="77777777" w:rsidR="0013285C" w:rsidRPr="00395593" w:rsidRDefault="0013285C" w:rsidP="002C4340">
      <w:pPr>
        <w:pStyle w:val="PargrafodaLista"/>
        <w:widowControl w:val="0"/>
        <w:numPr>
          <w:ilvl w:val="1"/>
          <w:numId w:val="6"/>
        </w:numPr>
        <w:tabs>
          <w:tab w:val="left" w:pos="1021"/>
        </w:tabs>
        <w:autoSpaceDE w:val="0"/>
        <w:autoSpaceDN w:val="0"/>
        <w:spacing w:after="0" w:line="240" w:lineRule="auto"/>
        <w:ind w:left="641" w:right="117" w:firstLine="0"/>
        <w:contextualSpacing w:val="0"/>
        <w:jc w:val="both"/>
        <w:rPr>
          <w:rFonts w:ascii="Garamond" w:hAnsi="Garamond"/>
          <w:sz w:val="24"/>
        </w:rPr>
      </w:pPr>
      <w:r w:rsidRPr="00395593">
        <w:rPr>
          <w:rFonts w:ascii="Garamond" w:hAnsi="Garamond"/>
          <w:sz w:val="24"/>
        </w:rPr>
        <w:t>em declaração escrita do Membro reclamante, onde se indica como terá sido</w:t>
      </w:r>
      <w:r w:rsidRPr="00395593">
        <w:rPr>
          <w:rFonts w:ascii="Garamond" w:hAnsi="Garamond"/>
          <w:spacing w:val="1"/>
          <w:sz w:val="24"/>
        </w:rPr>
        <w:t xml:space="preserve"> </w:t>
      </w:r>
      <w:r w:rsidRPr="00395593">
        <w:rPr>
          <w:rFonts w:ascii="Garamond" w:hAnsi="Garamond"/>
          <w:sz w:val="24"/>
        </w:rPr>
        <w:t>anulada ou prejudicada vantagem a que tem direito, direta ou indiretamente, ao abrigo</w:t>
      </w:r>
      <w:r w:rsidRPr="00395593">
        <w:rPr>
          <w:rFonts w:ascii="Garamond" w:hAnsi="Garamond"/>
          <w:spacing w:val="-57"/>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presente</w:t>
      </w:r>
      <w:r w:rsidRPr="00395593">
        <w:rPr>
          <w:rFonts w:ascii="Garamond" w:hAnsi="Garamond"/>
          <w:spacing w:val="1"/>
          <w:sz w:val="24"/>
        </w:rPr>
        <w:t xml:space="preserve"> </w:t>
      </w:r>
      <w:r w:rsidRPr="00395593">
        <w:rPr>
          <w:rFonts w:ascii="Garamond" w:hAnsi="Garamond"/>
          <w:sz w:val="24"/>
        </w:rPr>
        <w:t>Acordo,</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como</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está</w:t>
      </w:r>
      <w:r w:rsidRPr="00395593">
        <w:rPr>
          <w:rFonts w:ascii="Garamond" w:hAnsi="Garamond"/>
          <w:spacing w:val="1"/>
          <w:sz w:val="24"/>
        </w:rPr>
        <w:t xml:space="preserve"> </w:t>
      </w:r>
      <w:r w:rsidRPr="00395593">
        <w:rPr>
          <w:rFonts w:ascii="Garamond" w:hAnsi="Garamond"/>
          <w:sz w:val="24"/>
        </w:rPr>
        <w:t>impedindo</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consecução</w:t>
      </w:r>
      <w:r w:rsidRPr="00395593">
        <w:rPr>
          <w:rFonts w:ascii="Garamond" w:hAnsi="Garamond"/>
          <w:spacing w:val="1"/>
          <w:sz w:val="24"/>
        </w:rPr>
        <w:t xml:space="preserve"> </w:t>
      </w:r>
      <w:r w:rsidRPr="00395593">
        <w:rPr>
          <w:rFonts w:ascii="Garamond" w:hAnsi="Garamond"/>
          <w:sz w:val="24"/>
        </w:rPr>
        <w:t>dos</w:t>
      </w:r>
      <w:r w:rsidRPr="00395593">
        <w:rPr>
          <w:rFonts w:ascii="Garamond" w:hAnsi="Garamond"/>
          <w:spacing w:val="1"/>
          <w:sz w:val="24"/>
        </w:rPr>
        <w:t xml:space="preserve"> </w:t>
      </w:r>
      <w:r w:rsidRPr="00395593">
        <w:rPr>
          <w:rFonts w:ascii="Garamond" w:hAnsi="Garamond"/>
          <w:sz w:val="24"/>
        </w:rPr>
        <w:t>objetivos</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57"/>
          <w:sz w:val="24"/>
        </w:rPr>
        <w:t xml:space="preserve"> </w:t>
      </w:r>
      <w:r w:rsidRPr="00395593">
        <w:rPr>
          <w:rFonts w:ascii="Garamond" w:hAnsi="Garamond"/>
          <w:sz w:val="24"/>
        </w:rPr>
        <w:t>Acordo;</w:t>
      </w:r>
      <w:r w:rsidRPr="00395593">
        <w:rPr>
          <w:rFonts w:ascii="Garamond" w:hAnsi="Garamond"/>
          <w:spacing w:val="-1"/>
          <w:sz w:val="24"/>
        </w:rPr>
        <w:t xml:space="preserve"> </w:t>
      </w:r>
      <w:r w:rsidRPr="00395593">
        <w:rPr>
          <w:rFonts w:ascii="Garamond" w:hAnsi="Garamond"/>
          <w:sz w:val="24"/>
        </w:rPr>
        <w:t>e</w:t>
      </w:r>
    </w:p>
    <w:p w14:paraId="7A30A697" w14:textId="77777777" w:rsidR="0013285C" w:rsidRPr="00395593" w:rsidRDefault="0013285C" w:rsidP="0013285C">
      <w:pPr>
        <w:pStyle w:val="Corpodetexto"/>
        <w:rPr>
          <w:rFonts w:ascii="Garamond" w:hAnsi="Garamond"/>
        </w:rPr>
      </w:pPr>
    </w:p>
    <w:p w14:paraId="3773F162" w14:textId="77777777" w:rsidR="0013285C" w:rsidRPr="00395593" w:rsidRDefault="0013285C" w:rsidP="002C4340">
      <w:pPr>
        <w:pStyle w:val="PargrafodaLista"/>
        <w:widowControl w:val="0"/>
        <w:numPr>
          <w:ilvl w:val="1"/>
          <w:numId w:val="6"/>
        </w:numPr>
        <w:tabs>
          <w:tab w:val="left" w:pos="1009"/>
        </w:tabs>
        <w:autoSpaceDE w:val="0"/>
        <w:autoSpaceDN w:val="0"/>
        <w:spacing w:after="0" w:line="240" w:lineRule="auto"/>
        <w:ind w:left="641" w:right="125" w:firstLine="0"/>
        <w:contextualSpacing w:val="0"/>
        <w:jc w:val="both"/>
        <w:rPr>
          <w:rFonts w:ascii="Garamond" w:hAnsi="Garamond"/>
          <w:sz w:val="24"/>
        </w:rPr>
      </w:pPr>
      <w:r w:rsidRPr="00395593">
        <w:rPr>
          <w:rFonts w:ascii="Garamond" w:hAnsi="Garamond"/>
          <w:sz w:val="24"/>
        </w:rPr>
        <w:t>nos fatos comunicados às autoridades do Membro importador, de conformidade</w:t>
      </w:r>
      <w:r w:rsidRPr="00395593">
        <w:rPr>
          <w:rFonts w:ascii="Garamond" w:hAnsi="Garamond"/>
          <w:spacing w:val="1"/>
          <w:sz w:val="24"/>
        </w:rPr>
        <w:t xml:space="preserve"> </w:t>
      </w:r>
      <w:r w:rsidRPr="00395593">
        <w:rPr>
          <w:rFonts w:ascii="Garamond" w:hAnsi="Garamond"/>
          <w:sz w:val="24"/>
        </w:rPr>
        <w:t>com</w:t>
      </w:r>
      <w:r w:rsidRPr="00395593">
        <w:rPr>
          <w:rFonts w:ascii="Garamond" w:hAnsi="Garamond"/>
          <w:spacing w:val="-1"/>
          <w:sz w:val="24"/>
        </w:rPr>
        <w:t xml:space="preserve"> </w:t>
      </w:r>
      <w:r w:rsidRPr="00395593">
        <w:rPr>
          <w:rFonts w:ascii="Garamond" w:hAnsi="Garamond"/>
          <w:sz w:val="24"/>
        </w:rPr>
        <w:t>os procedimentos nacionais apropriados.</w:t>
      </w:r>
    </w:p>
    <w:p w14:paraId="76000042" w14:textId="77777777" w:rsidR="0013285C" w:rsidRPr="00395593" w:rsidRDefault="0013285C" w:rsidP="0013285C">
      <w:pPr>
        <w:pStyle w:val="Corpodetexto"/>
        <w:rPr>
          <w:rFonts w:ascii="Garamond" w:hAnsi="Garamond"/>
        </w:rPr>
      </w:pPr>
    </w:p>
    <w:p w14:paraId="7916E500" w14:textId="77777777" w:rsidR="0013285C" w:rsidRPr="00395593" w:rsidRDefault="0013285C" w:rsidP="002C4340">
      <w:pPr>
        <w:pStyle w:val="PargrafodaLista"/>
        <w:widowControl w:val="0"/>
        <w:numPr>
          <w:ilvl w:val="0"/>
          <w:numId w:val="6"/>
        </w:numPr>
        <w:tabs>
          <w:tab w:val="left" w:pos="810"/>
        </w:tabs>
        <w:autoSpaceDE w:val="0"/>
        <w:autoSpaceDN w:val="0"/>
        <w:spacing w:before="1" w:after="0" w:line="240" w:lineRule="auto"/>
        <w:ind w:left="810"/>
        <w:contextualSpacing w:val="0"/>
        <w:jc w:val="both"/>
        <w:rPr>
          <w:rFonts w:ascii="Garamond" w:hAnsi="Garamond"/>
          <w:sz w:val="24"/>
        </w:rPr>
      </w:pP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grupo</w:t>
      </w:r>
      <w:r w:rsidRPr="00395593">
        <w:rPr>
          <w:rFonts w:ascii="Garamond" w:hAnsi="Garamond"/>
          <w:spacing w:val="-1"/>
          <w:sz w:val="24"/>
        </w:rPr>
        <w:t xml:space="preserve"> </w:t>
      </w:r>
      <w:r w:rsidRPr="00395593">
        <w:rPr>
          <w:rFonts w:ascii="Garamond" w:hAnsi="Garamond"/>
          <w:sz w:val="24"/>
        </w:rPr>
        <w:t>especial, ao</w:t>
      </w:r>
      <w:r w:rsidRPr="00395593">
        <w:rPr>
          <w:rFonts w:ascii="Garamond" w:hAnsi="Garamond"/>
          <w:spacing w:val="-1"/>
          <w:sz w:val="24"/>
        </w:rPr>
        <w:t xml:space="preserve"> </w:t>
      </w:r>
      <w:r w:rsidRPr="00395593">
        <w:rPr>
          <w:rFonts w:ascii="Garamond" w:hAnsi="Garamond"/>
          <w:sz w:val="24"/>
        </w:rPr>
        <w:t>examinar a</w:t>
      </w:r>
      <w:r w:rsidRPr="00395593">
        <w:rPr>
          <w:rFonts w:ascii="Garamond" w:hAnsi="Garamond"/>
          <w:spacing w:val="-3"/>
          <w:sz w:val="24"/>
        </w:rPr>
        <w:t xml:space="preserve"> </w:t>
      </w:r>
      <w:r w:rsidRPr="00395593">
        <w:rPr>
          <w:rFonts w:ascii="Garamond" w:hAnsi="Garamond"/>
          <w:sz w:val="24"/>
        </w:rPr>
        <w:t>matéria</w:t>
      </w:r>
      <w:r w:rsidRPr="00395593">
        <w:rPr>
          <w:rFonts w:ascii="Garamond" w:hAnsi="Garamond"/>
          <w:spacing w:val="-2"/>
          <w:sz w:val="24"/>
        </w:rPr>
        <w:t xml:space="preserve"> </w:t>
      </w:r>
      <w:r w:rsidRPr="00395593">
        <w:rPr>
          <w:rFonts w:ascii="Garamond" w:hAnsi="Garamond"/>
          <w:sz w:val="24"/>
        </w:rPr>
        <w:t>objeto</w:t>
      </w:r>
      <w:r w:rsidRPr="00395593">
        <w:rPr>
          <w:rFonts w:ascii="Garamond" w:hAnsi="Garamond"/>
          <w:spacing w:val="-1"/>
          <w:sz w:val="24"/>
        </w:rPr>
        <w:t xml:space="preserve"> </w:t>
      </w:r>
      <w:r w:rsidRPr="00395593">
        <w:rPr>
          <w:rFonts w:ascii="Garamond" w:hAnsi="Garamond"/>
          <w:sz w:val="24"/>
        </w:rPr>
        <w:t>do parágrafo</w:t>
      </w:r>
      <w:r w:rsidRPr="00395593">
        <w:rPr>
          <w:rFonts w:ascii="Garamond" w:hAnsi="Garamond"/>
          <w:spacing w:val="-1"/>
          <w:sz w:val="24"/>
        </w:rPr>
        <w:t xml:space="preserve"> </w:t>
      </w:r>
      <w:r w:rsidRPr="00395593">
        <w:rPr>
          <w:rFonts w:ascii="Garamond" w:hAnsi="Garamond"/>
          <w:sz w:val="24"/>
        </w:rPr>
        <w:t>5:</w:t>
      </w:r>
    </w:p>
    <w:p w14:paraId="7E5C291B" w14:textId="77777777" w:rsidR="0013285C" w:rsidRPr="00395593" w:rsidRDefault="0013285C" w:rsidP="0013285C">
      <w:pPr>
        <w:pStyle w:val="Corpodetexto"/>
        <w:spacing w:before="11"/>
        <w:rPr>
          <w:rFonts w:ascii="Garamond" w:hAnsi="Garamond"/>
          <w:sz w:val="23"/>
        </w:rPr>
      </w:pPr>
    </w:p>
    <w:p w14:paraId="30A1F79B" w14:textId="77777777" w:rsidR="0013285C" w:rsidRPr="00395593" w:rsidRDefault="0013285C" w:rsidP="002C4340">
      <w:pPr>
        <w:pStyle w:val="PargrafodaLista"/>
        <w:widowControl w:val="0"/>
        <w:numPr>
          <w:ilvl w:val="1"/>
          <w:numId w:val="6"/>
        </w:numPr>
        <w:tabs>
          <w:tab w:val="left" w:pos="1002"/>
        </w:tabs>
        <w:autoSpaceDE w:val="0"/>
        <w:autoSpaceDN w:val="0"/>
        <w:spacing w:after="0" w:line="240" w:lineRule="auto"/>
        <w:ind w:left="641" w:right="120" w:firstLine="0"/>
        <w:contextualSpacing w:val="0"/>
        <w:jc w:val="both"/>
        <w:rPr>
          <w:rFonts w:ascii="Garamond" w:hAnsi="Garamond"/>
          <w:sz w:val="24"/>
        </w:rPr>
      </w:pPr>
      <w:r w:rsidRPr="00395593">
        <w:rPr>
          <w:rFonts w:ascii="Garamond" w:hAnsi="Garamond"/>
          <w:sz w:val="24"/>
        </w:rPr>
        <w:t>ao avaliar os elementos de fato da matéria, determinará se as autoridades terão</w:t>
      </w:r>
      <w:r w:rsidRPr="00395593">
        <w:rPr>
          <w:rFonts w:ascii="Garamond" w:hAnsi="Garamond"/>
          <w:spacing w:val="1"/>
          <w:sz w:val="24"/>
        </w:rPr>
        <w:t xml:space="preserve"> </w:t>
      </w:r>
      <w:r w:rsidRPr="00395593">
        <w:rPr>
          <w:rFonts w:ascii="Garamond" w:hAnsi="Garamond"/>
          <w:sz w:val="24"/>
        </w:rPr>
        <w:t>estabelecido os fatos com propriedade e se sua avaliação dos mesmos foi imparcial e</w:t>
      </w:r>
      <w:r w:rsidRPr="00395593">
        <w:rPr>
          <w:rFonts w:ascii="Garamond" w:hAnsi="Garamond"/>
          <w:spacing w:val="1"/>
          <w:sz w:val="24"/>
        </w:rPr>
        <w:t xml:space="preserve"> </w:t>
      </w:r>
      <w:r w:rsidRPr="00395593">
        <w:rPr>
          <w:rFonts w:ascii="Garamond" w:hAnsi="Garamond"/>
          <w:sz w:val="24"/>
        </w:rPr>
        <w:t>objetiva. Se tal ocorreu, mesmo que o grupo especial tenha eventualmente chegado a</w:t>
      </w:r>
      <w:r w:rsidRPr="00395593">
        <w:rPr>
          <w:rFonts w:ascii="Garamond" w:hAnsi="Garamond"/>
          <w:spacing w:val="1"/>
          <w:sz w:val="24"/>
        </w:rPr>
        <w:t xml:space="preserve"> </w:t>
      </w:r>
      <w:r w:rsidRPr="00395593">
        <w:rPr>
          <w:rFonts w:ascii="Garamond" w:hAnsi="Garamond"/>
          <w:sz w:val="24"/>
        </w:rPr>
        <w:t>conclusão</w:t>
      </w:r>
      <w:r w:rsidRPr="00395593">
        <w:rPr>
          <w:rFonts w:ascii="Garamond" w:hAnsi="Garamond"/>
          <w:spacing w:val="-1"/>
          <w:sz w:val="24"/>
        </w:rPr>
        <w:t xml:space="preserve"> </w:t>
      </w:r>
      <w:r w:rsidRPr="00395593">
        <w:rPr>
          <w:rFonts w:ascii="Garamond" w:hAnsi="Garamond"/>
          <w:sz w:val="24"/>
        </w:rPr>
        <w:t>diversa, não se</w:t>
      </w:r>
      <w:r w:rsidRPr="00395593">
        <w:rPr>
          <w:rFonts w:ascii="Garamond" w:hAnsi="Garamond"/>
          <w:spacing w:val="1"/>
          <w:sz w:val="24"/>
        </w:rPr>
        <w:t xml:space="preserve"> </w:t>
      </w:r>
      <w:r w:rsidRPr="00395593">
        <w:rPr>
          <w:rFonts w:ascii="Garamond" w:hAnsi="Garamond"/>
          <w:sz w:val="24"/>
        </w:rPr>
        <w:t>considerará</w:t>
      </w:r>
      <w:r w:rsidRPr="00395593">
        <w:rPr>
          <w:rFonts w:ascii="Garamond" w:hAnsi="Garamond"/>
          <w:spacing w:val="-1"/>
          <w:sz w:val="24"/>
        </w:rPr>
        <w:t xml:space="preserve"> </w:t>
      </w:r>
      <w:r w:rsidRPr="00395593">
        <w:rPr>
          <w:rFonts w:ascii="Garamond" w:hAnsi="Garamond"/>
          <w:sz w:val="24"/>
        </w:rPr>
        <w:t>inválida</w:t>
      </w:r>
      <w:r w:rsidRPr="00395593">
        <w:rPr>
          <w:rFonts w:ascii="Garamond" w:hAnsi="Garamond"/>
          <w:spacing w:val="-1"/>
          <w:sz w:val="24"/>
        </w:rPr>
        <w:t xml:space="preserve"> </w:t>
      </w:r>
      <w:r w:rsidRPr="00395593">
        <w:rPr>
          <w:rFonts w:ascii="Garamond" w:hAnsi="Garamond"/>
          <w:sz w:val="24"/>
        </w:rPr>
        <w:t>a avaliação;</w:t>
      </w:r>
    </w:p>
    <w:p w14:paraId="50A4C675" w14:textId="77777777" w:rsidR="0013285C" w:rsidRPr="00395593" w:rsidRDefault="0013285C" w:rsidP="0013285C">
      <w:pPr>
        <w:pStyle w:val="Corpodetexto"/>
        <w:rPr>
          <w:rFonts w:ascii="Garamond" w:hAnsi="Garamond"/>
        </w:rPr>
      </w:pPr>
    </w:p>
    <w:p w14:paraId="30F89FD3" w14:textId="5D447E41" w:rsidR="0013285C" w:rsidRPr="00395593" w:rsidRDefault="0013285C" w:rsidP="002C4340">
      <w:pPr>
        <w:pStyle w:val="PargrafodaLista"/>
        <w:widowControl w:val="0"/>
        <w:numPr>
          <w:ilvl w:val="1"/>
          <w:numId w:val="6"/>
        </w:numPr>
        <w:tabs>
          <w:tab w:val="left" w:pos="988"/>
        </w:tabs>
        <w:autoSpaceDE w:val="0"/>
        <w:autoSpaceDN w:val="0"/>
        <w:spacing w:before="68" w:after="0" w:line="240" w:lineRule="auto"/>
        <w:ind w:left="641" w:right="121" w:firstLine="0"/>
        <w:contextualSpacing w:val="0"/>
        <w:jc w:val="both"/>
        <w:rPr>
          <w:rFonts w:ascii="Garamond" w:hAnsi="Garamond"/>
        </w:rPr>
      </w:pPr>
      <w:r w:rsidRPr="00395593">
        <w:rPr>
          <w:rFonts w:ascii="Garamond" w:hAnsi="Garamond"/>
          <w:sz w:val="24"/>
        </w:rPr>
        <w:t>interpretará as disposições pertinentes do Acordo segundo regras consuetudinárias</w:t>
      </w:r>
      <w:r w:rsidRPr="00395593">
        <w:rPr>
          <w:rFonts w:ascii="Garamond" w:hAnsi="Garamond"/>
          <w:spacing w:val="-57"/>
          <w:sz w:val="24"/>
        </w:rPr>
        <w:t xml:space="preserve"> </w:t>
      </w:r>
      <w:r w:rsidRPr="00395593">
        <w:rPr>
          <w:rFonts w:ascii="Garamond" w:hAnsi="Garamond"/>
          <w:sz w:val="24"/>
        </w:rPr>
        <w:t>de</w:t>
      </w:r>
      <w:r w:rsidRPr="00395593">
        <w:rPr>
          <w:rFonts w:ascii="Garamond" w:hAnsi="Garamond"/>
          <w:spacing w:val="17"/>
          <w:sz w:val="24"/>
        </w:rPr>
        <w:t xml:space="preserve"> </w:t>
      </w:r>
      <w:r w:rsidRPr="00395593">
        <w:rPr>
          <w:rFonts w:ascii="Garamond" w:hAnsi="Garamond"/>
          <w:sz w:val="24"/>
        </w:rPr>
        <w:t>interpretação</w:t>
      </w:r>
      <w:r w:rsidRPr="00395593">
        <w:rPr>
          <w:rFonts w:ascii="Garamond" w:hAnsi="Garamond"/>
          <w:spacing w:val="17"/>
          <w:sz w:val="24"/>
        </w:rPr>
        <w:t xml:space="preserve"> </w:t>
      </w:r>
      <w:r w:rsidRPr="00395593">
        <w:rPr>
          <w:rFonts w:ascii="Garamond" w:hAnsi="Garamond"/>
          <w:sz w:val="24"/>
        </w:rPr>
        <w:t>do</w:t>
      </w:r>
      <w:r w:rsidRPr="00395593">
        <w:rPr>
          <w:rFonts w:ascii="Garamond" w:hAnsi="Garamond"/>
          <w:spacing w:val="17"/>
          <w:sz w:val="24"/>
        </w:rPr>
        <w:t xml:space="preserve"> </w:t>
      </w:r>
      <w:r w:rsidRPr="00395593">
        <w:rPr>
          <w:rFonts w:ascii="Garamond" w:hAnsi="Garamond"/>
          <w:sz w:val="24"/>
        </w:rPr>
        <w:t>direito</w:t>
      </w:r>
      <w:r w:rsidRPr="00395593">
        <w:rPr>
          <w:rFonts w:ascii="Garamond" w:hAnsi="Garamond"/>
          <w:spacing w:val="17"/>
          <w:sz w:val="24"/>
        </w:rPr>
        <w:t xml:space="preserve"> </w:t>
      </w:r>
      <w:r w:rsidRPr="00395593">
        <w:rPr>
          <w:rFonts w:ascii="Garamond" w:hAnsi="Garamond"/>
          <w:sz w:val="24"/>
        </w:rPr>
        <w:t>internacional</w:t>
      </w:r>
      <w:r w:rsidRPr="00395593">
        <w:rPr>
          <w:rFonts w:ascii="Garamond" w:hAnsi="Garamond"/>
          <w:spacing w:val="18"/>
          <w:sz w:val="24"/>
        </w:rPr>
        <w:t xml:space="preserve"> </w:t>
      </w:r>
      <w:r w:rsidRPr="00395593">
        <w:rPr>
          <w:rFonts w:ascii="Garamond" w:hAnsi="Garamond"/>
          <w:sz w:val="24"/>
        </w:rPr>
        <w:t>público.</w:t>
      </w:r>
      <w:r w:rsidRPr="00395593">
        <w:rPr>
          <w:rFonts w:ascii="Garamond" w:hAnsi="Garamond"/>
          <w:spacing w:val="17"/>
          <w:sz w:val="24"/>
        </w:rPr>
        <w:t xml:space="preserve"> </w:t>
      </w:r>
      <w:r w:rsidRPr="00395593">
        <w:rPr>
          <w:rFonts w:ascii="Garamond" w:hAnsi="Garamond"/>
          <w:sz w:val="24"/>
        </w:rPr>
        <w:t>Sempre</w:t>
      </w:r>
      <w:r w:rsidRPr="00395593">
        <w:rPr>
          <w:rFonts w:ascii="Garamond" w:hAnsi="Garamond"/>
          <w:spacing w:val="16"/>
          <w:sz w:val="24"/>
        </w:rPr>
        <w:t xml:space="preserve"> </w:t>
      </w:r>
      <w:r w:rsidRPr="00395593">
        <w:rPr>
          <w:rFonts w:ascii="Garamond" w:hAnsi="Garamond"/>
          <w:sz w:val="24"/>
        </w:rPr>
        <w:t>que</w:t>
      </w:r>
      <w:r w:rsidRPr="00395593">
        <w:rPr>
          <w:rFonts w:ascii="Garamond" w:hAnsi="Garamond"/>
          <w:spacing w:val="17"/>
          <w:sz w:val="24"/>
        </w:rPr>
        <w:t xml:space="preserve"> </w:t>
      </w:r>
      <w:r w:rsidRPr="00395593">
        <w:rPr>
          <w:rFonts w:ascii="Garamond" w:hAnsi="Garamond"/>
          <w:sz w:val="24"/>
        </w:rPr>
        <w:t>o</w:t>
      </w:r>
      <w:r w:rsidRPr="00395593">
        <w:rPr>
          <w:rFonts w:ascii="Garamond" w:hAnsi="Garamond"/>
          <w:spacing w:val="20"/>
          <w:sz w:val="24"/>
        </w:rPr>
        <w:t xml:space="preserve"> </w:t>
      </w:r>
      <w:r w:rsidRPr="00395593">
        <w:rPr>
          <w:rFonts w:ascii="Garamond" w:hAnsi="Garamond"/>
          <w:sz w:val="24"/>
        </w:rPr>
        <w:t>grupo</w:t>
      </w:r>
      <w:r w:rsidRPr="00395593">
        <w:rPr>
          <w:rFonts w:ascii="Garamond" w:hAnsi="Garamond"/>
          <w:spacing w:val="17"/>
          <w:sz w:val="24"/>
        </w:rPr>
        <w:t xml:space="preserve"> </w:t>
      </w:r>
      <w:r w:rsidRPr="00395593">
        <w:rPr>
          <w:rFonts w:ascii="Garamond" w:hAnsi="Garamond"/>
          <w:sz w:val="24"/>
        </w:rPr>
        <w:t>especial</w:t>
      </w:r>
      <w:r w:rsidR="00233F91" w:rsidRPr="00395593">
        <w:rPr>
          <w:rFonts w:ascii="Garamond" w:hAnsi="Garamond"/>
          <w:sz w:val="24"/>
        </w:rPr>
        <w:t xml:space="preserve"> </w:t>
      </w:r>
      <w:r w:rsidRPr="00395593">
        <w:rPr>
          <w:rFonts w:ascii="Garamond" w:hAnsi="Garamond"/>
        </w:rPr>
        <w:t>conclua que uma disposição pertinente do Acordo admite mais de uma interpretação</w:t>
      </w:r>
      <w:r w:rsidRPr="00395593">
        <w:rPr>
          <w:rFonts w:ascii="Garamond" w:hAnsi="Garamond"/>
          <w:spacing w:val="1"/>
        </w:rPr>
        <w:t xml:space="preserve"> </w:t>
      </w:r>
      <w:r w:rsidRPr="00395593">
        <w:rPr>
          <w:rFonts w:ascii="Garamond" w:hAnsi="Garamond"/>
        </w:rPr>
        <w:t>aceitável, declarará que as medidas das autoridades estão em conformidade com o</w:t>
      </w:r>
      <w:r w:rsidRPr="00395593">
        <w:rPr>
          <w:rFonts w:ascii="Garamond" w:hAnsi="Garamond"/>
          <w:spacing w:val="1"/>
        </w:rPr>
        <w:t xml:space="preserve"> </w:t>
      </w:r>
      <w:r w:rsidRPr="00395593">
        <w:rPr>
          <w:rFonts w:ascii="Garamond" w:hAnsi="Garamond"/>
        </w:rPr>
        <w:t>Acordo</w:t>
      </w:r>
      <w:r w:rsidRPr="00395593">
        <w:rPr>
          <w:rFonts w:ascii="Garamond" w:hAnsi="Garamond"/>
          <w:spacing w:val="-2"/>
        </w:rPr>
        <w:t xml:space="preserve"> </w:t>
      </w:r>
      <w:r w:rsidRPr="00395593">
        <w:rPr>
          <w:rFonts w:ascii="Garamond" w:hAnsi="Garamond"/>
        </w:rPr>
        <w:t>se as mesmas</w:t>
      </w:r>
      <w:r w:rsidRPr="00395593">
        <w:rPr>
          <w:rFonts w:ascii="Garamond" w:hAnsi="Garamond"/>
          <w:spacing w:val="-1"/>
        </w:rPr>
        <w:t xml:space="preserve"> </w:t>
      </w:r>
      <w:r w:rsidRPr="00395593">
        <w:rPr>
          <w:rFonts w:ascii="Garamond" w:hAnsi="Garamond"/>
        </w:rPr>
        <w:t>encontram respaldo</w:t>
      </w:r>
      <w:r w:rsidRPr="00395593">
        <w:rPr>
          <w:rFonts w:ascii="Garamond" w:hAnsi="Garamond"/>
          <w:spacing w:val="-1"/>
        </w:rPr>
        <w:t xml:space="preserve"> </w:t>
      </w:r>
      <w:r w:rsidRPr="00395593">
        <w:rPr>
          <w:rFonts w:ascii="Garamond" w:hAnsi="Garamond"/>
        </w:rPr>
        <w:t>em</w:t>
      </w:r>
      <w:r w:rsidRPr="00395593">
        <w:rPr>
          <w:rFonts w:ascii="Garamond" w:hAnsi="Garamond"/>
          <w:spacing w:val="-1"/>
        </w:rPr>
        <w:t xml:space="preserve"> </w:t>
      </w:r>
      <w:r w:rsidRPr="00395593">
        <w:rPr>
          <w:rFonts w:ascii="Garamond" w:hAnsi="Garamond"/>
        </w:rPr>
        <w:t>uma das</w:t>
      </w:r>
      <w:r w:rsidRPr="00395593">
        <w:rPr>
          <w:rFonts w:ascii="Garamond" w:hAnsi="Garamond"/>
          <w:spacing w:val="-1"/>
        </w:rPr>
        <w:t xml:space="preserve"> </w:t>
      </w:r>
      <w:r w:rsidRPr="00395593">
        <w:rPr>
          <w:rFonts w:ascii="Garamond" w:hAnsi="Garamond"/>
        </w:rPr>
        <w:t>interpretações possíveis.</w:t>
      </w:r>
    </w:p>
    <w:p w14:paraId="4D181FEB" w14:textId="77777777" w:rsidR="0013285C" w:rsidRPr="00395593" w:rsidRDefault="0013285C" w:rsidP="0013285C">
      <w:pPr>
        <w:pStyle w:val="Corpodetexto"/>
        <w:rPr>
          <w:rFonts w:ascii="Garamond" w:hAnsi="Garamond"/>
        </w:rPr>
      </w:pPr>
    </w:p>
    <w:p w14:paraId="318D520A" w14:textId="77777777" w:rsidR="0013285C" w:rsidRPr="00395593" w:rsidRDefault="0013285C" w:rsidP="002C4340">
      <w:pPr>
        <w:pStyle w:val="PargrafodaLista"/>
        <w:widowControl w:val="0"/>
        <w:numPr>
          <w:ilvl w:val="0"/>
          <w:numId w:val="6"/>
        </w:numPr>
        <w:tabs>
          <w:tab w:val="left" w:pos="810"/>
        </w:tabs>
        <w:autoSpaceDE w:val="0"/>
        <w:autoSpaceDN w:val="0"/>
        <w:spacing w:after="0" w:line="240" w:lineRule="auto"/>
        <w:ind w:right="115" w:firstLine="0"/>
        <w:contextualSpacing w:val="0"/>
        <w:jc w:val="both"/>
        <w:rPr>
          <w:rFonts w:ascii="Garamond" w:hAnsi="Garamond"/>
          <w:sz w:val="24"/>
        </w:rPr>
      </w:pPr>
      <w:r w:rsidRPr="00395593">
        <w:rPr>
          <w:rFonts w:ascii="Garamond" w:hAnsi="Garamond"/>
          <w:sz w:val="24"/>
        </w:rPr>
        <w:t>Informação confidencial fornecida ao grupo especial não poderá ser revelada sem</w:t>
      </w:r>
      <w:r w:rsidRPr="00395593">
        <w:rPr>
          <w:rFonts w:ascii="Garamond" w:hAnsi="Garamond"/>
          <w:spacing w:val="1"/>
          <w:sz w:val="24"/>
        </w:rPr>
        <w:t xml:space="preserve"> </w:t>
      </w:r>
      <w:r w:rsidRPr="00395593">
        <w:rPr>
          <w:rFonts w:ascii="Garamond" w:hAnsi="Garamond"/>
          <w:sz w:val="24"/>
        </w:rPr>
        <w:t>autorização formal da pessoa, órgão ou autoridade que a forneceu. Na hipótese de uma</w:t>
      </w:r>
      <w:r w:rsidRPr="00395593">
        <w:rPr>
          <w:rFonts w:ascii="Garamond" w:hAnsi="Garamond"/>
          <w:spacing w:val="1"/>
          <w:sz w:val="24"/>
        </w:rPr>
        <w:t xml:space="preserve"> </w:t>
      </w:r>
      <w:r w:rsidRPr="00395593">
        <w:rPr>
          <w:rFonts w:ascii="Garamond" w:hAnsi="Garamond"/>
          <w:sz w:val="24"/>
        </w:rPr>
        <w:t>informação dessa natureza ser solicitada ao grupo especial, mas de não ter autorizada sua</w:t>
      </w:r>
      <w:r w:rsidRPr="00395593">
        <w:rPr>
          <w:rFonts w:ascii="Garamond" w:hAnsi="Garamond"/>
          <w:spacing w:val="1"/>
          <w:sz w:val="24"/>
        </w:rPr>
        <w:t xml:space="preserve"> </w:t>
      </w:r>
      <w:r w:rsidRPr="00395593">
        <w:rPr>
          <w:rFonts w:ascii="Garamond" w:hAnsi="Garamond"/>
          <w:sz w:val="24"/>
        </w:rPr>
        <w:t>revelação</w:t>
      </w:r>
      <w:r w:rsidRPr="00395593">
        <w:rPr>
          <w:rFonts w:ascii="Garamond" w:hAnsi="Garamond"/>
          <w:spacing w:val="1"/>
          <w:sz w:val="24"/>
        </w:rPr>
        <w:t xml:space="preserve"> </w:t>
      </w:r>
      <w:r w:rsidRPr="00395593">
        <w:rPr>
          <w:rFonts w:ascii="Garamond" w:hAnsi="Garamond"/>
          <w:sz w:val="24"/>
        </w:rPr>
        <w:t>deverá</w:t>
      </w:r>
      <w:r w:rsidRPr="00395593">
        <w:rPr>
          <w:rFonts w:ascii="Garamond" w:hAnsi="Garamond"/>
          <w:spacing w:val="1"/>
          <w:sz w:val="24"/>
        </w:rPr>
        <w:t xml:space="preserve"> </w:t>
      </w:r>
      <w:r w:rsidRPr="00395593">
        <w:rPr>
          <w:rFonts w:ascii="Garamond" w:hAnsi="Garamond"/>
          <w:sz w:val="24"/>
        </w:rPr>
        <w:t>ser</w:t>
      </w:r>
      <w:r w:rsidRPr="00395593">
        <w:rPr>
          <w:rFonts w:ascii="Garamond" w:hAnsi="Garamond"/>
          <w:spacing w:val="1"/>
          <w:sz w:val="24"/>
        </w:rPr>
        <w:t xml:space="preserve"> </w:t>
      </w:r>
      <w:r w:rsidRPr="00395593">
        <w:rPr>
          <w:rFonts w:ascii="Garamond" w:hAnsi="Garamond"/>
          <w:sz w:val="24"/>
        </w:rPr>
        <w:t>fornecido</w:t>
      </w:r>
      <w:r w:rsidRPr="00395593">
        <w:rPr>
          <w:rFonts w:ascii="Garamond" w:hAnsi="Garamond"/>
          <w:spacing w:val="1"/>
          <w:sz w:val="24"/>
        </w:rPr>
        <w:t xml:space="preserve"> </w:t>
      </w:r>
      <w:r w:rsidRPr="00395593">
        <w:rPr>
          <w:rFonts w:ascii="Garamond" w:hAnsi="Garamond"/>
          <w:sz w:val="24"/>
        </w:rPr>
        <w:t>resumo</w:t>
      </w:r>
      <w:r w:rsidRPr="00395593">
        <w:rPr>
          <w:rFonts w:ascii="Garamond" w:hAnsi="Garamond"/>
          <w:spacing w:val="1"/>
          <w:sz w:val="24"/>
        </w:rPr>
        <w:t xml:space="preserve"> </w:t>
      </w:r>
      <w:r w:rsidRPr="00395593">
        <w:rPr>
          <w:rFonts w:ascii="Garamond" w:hAnsi="Garamond"/>
          <w:sz w:val="24"/>
        </w:rPr>
        <w:t>não-confidencial</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informação</w:t>
      </w:r>
      <w:r w:rsidRPr="00395593">
        <w:rPr>
          <w:rFonts w:ascii="Garamond" w:hAnsi="Garamond"/>
          <w:spacing w:val="1"/>
          <w:sz w:val="24"/>
        </w:rPr>
        <w:t xml:space="preserve"> </w:t>
      </w:r>
      <w:r w:rsidRPr="00395593">
        <w:rPr>
          <w:rFonts w:ascii="Garamond" w:hAnsi="Garamond"/>
          <w:sz w:val="24"/>
        </w:rPr>
        <w:t>devidamente</w:t>
      </w:r>
      <w:r w:rsidRPr="00395593">
        <w:rPr>
          <w:rFonts w:ascii="Garamond" w:hAnsi="Garamond"/>
          <w:spacing w:val="1"/>
          <w:sz w:val="24"/>
        </w:rPr>
        <w:t xml:space="preserve"> </w:t>
      </w:r>
      <w:r w:rsidRPr="00395593">
        <w:rPr>
          <w:rFonts w:ascii="Garamond" w:hAnsi="Garamond"/>
          <w:sz w:val="24"/>
        </w:rPr>
        <w:t>autorizado</w:t>
      </w:r>
      <w:r w:rsidRPr="00395593">
        <w:rPr>
          <w:rFonts w:ascii="Garamond" w:hAnsi="Garamond"/>
          <w:spacing w:val="-1"/>
          <w:sz w:val="24"/>
        </w:rPr>
        <w:t xml:space="preserve"> </w:t>
      </w:r>
      <w:r w:rsidRPr="00395593">
        <w:rPr>
          <w:rFonts w:ascii="Garamond" w:hAnsi="Garamond"/>
          <w:sz w:val="24"/>
        </w:rPr>
        <w:t>pela pessoa, órgão ou autoridade</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tenha</w:t>
      </w:r>
      <w:r w:rsidRPr="00395593">
        <w:rPr>
          <w:rFonts w:ascii="Garamond" w:hAnsi="Garamond"/>
          <w:spacing w:val="-3"/>
          <w:sz w:val="24"/>
        </w:rPr>
        <w:t xml:space="preserve"> </w:t>
      </w:r>
      <w:r w:rsidRPr="00395593">
        <w:rPr>
          <w:rFonts w:ascii="Garamond" w:hAnsi="Garamond"/>
          <w:sz w:val="24"/>
        </w:rPr>
        <w:t>trazido.</w:t>
      </w:r>
    </w:p>
    <w:p w14:paraId="1591110B" w14:textId="77777777" w:rsidR="0013285C" w:rsidRPr="00395593" w:rsidRDefault="0013285C" w:rsidP="0013285C">
      <w:pPr>
        <w:pStyle w:val="Corpodetexto"/>
        <w:rPr>
          <w:rFonts w:ascii="Garamond" w:hAnsi="Garamond"/>
        </w:rPr>
      </w:pPr>
    </w:p>
    <w:p w14:paraId="79478A71" w14:textId="77777777" w:rsidR="0013285C" w:rsidRPr="00395593" w:rsidRDefault="0013285C" w:rsidP="00554628">
      <w:pPr>
        <w:pStyle w:val="Corpodetexto"/>
        <w:ind w:right="193"/>
        <w:jc w:val="center"/>
        <w:rPr>
          <w:rFonts w:ascii="Garamond" w:hAnsi="Garamond"/>
          <w:b/>
        </w:rPr>
      </w:pPr>
      <w:r w:rsidRPr="00395593">
        <w:rPr>
          <w:rFonts w:ascii="Garamond" w:hAnsi="Garamond"/>
          <w:b/>
        </w:rPr>
        <w:t>PARTE</w:t>
      </w:r>
      <w:r w:rsidRPr="00395593">
        <w:rPr>
          <w:rFonts w:ascii="Garamond" w:hAnsi="Garamond"/>
          <w:b/>
          <w:spacing w:val="-1"/>
        </w:rPr>
        <w:t xml:space="preserve"> </w:t>
      </w:r>
      <w:r w:rsidRPr="00395593">
        <w:rPr>
          <w:rFonts w:ascii="Garamond" w:hAnsi="Garamond"/>
          <w:b/>
        </w:rPr>
        <w:t>III</w:t>
      </w:r>
    </w:p>
    <w:p w14:paraId="4896FAC6" w14:textId="77777777" w:rsidR="0013285C" w:rsidRPr="00395593" w:rsidRDefault="0013285C" w:rsidP="00554628">
      <w:pPr>
        <w:pStyle w:val="Corpodetexto"/>
        <w:jc w:val="center"/>
        <w:rPr>
          <w:rFonts w:ascii="Garamond" w:hAnsi="Garamond"/>
          <w:b/>
        </w:rPr>
      </w:pPr>
    </w:p>
    <w:p w14:paraId="170DFD7E" w14:textId="77777777" w:rsidR="00CC23EA" w:rsidRPr="00554628" w:rsidRDefault="0013285C" w:rsidP="00554628">
      <w:pPr>
        <w:pStyle w:val="Corpodetexto"/>
        <w:spacing w:line="360" w:lineRule="auto"/>
        <w:ind w:left="176" w:right="194"/>
        <w:jc w:val="center"/>
        <w:rPr>
          <w:rFonts w:ascii="Garamond" w:hAnsi="Garamond"/>
          <w:b/>
        </w:rPr>
      </w:pPr>
      <w:r w:rsidRPr="00395593">
        <w:rPr>
          <w:rFonts w:ascii="Garamond" w:hAnsi="Garamond"/>
          <w:b/>
        </w:rPr>
        <w:t>Artigo 18</w:t>
      </w:r>
    </w:p>
    <w:p w14:paraId="631F6328" w14:textId="1A10F183" w:rsidR="0013285C" w:rsidRPr="00395593" w:rsidRDefault="0013285C" w:rsidP="00554628">
      <w:pPr>
        <w:pStyle w:val="Corpodetexto"/>
        <w:spacing w:line="360" w:lineRule="auto"/>
        <w:ind w:left="176" w:right="194"/>
        <w:jc w:val="center"/>
        <w:rPr>
          <w:rFonts w:ascii="Garamond" w:hAnsi="Garamond"/>
          <w:b/>
        </w:rPr>
      </w:pPr>
      <w:r w:rsidRPr="00395593">
        <w:rPr>
          <w:rFonts w:ascii="Garamond" w:hAnsi="Garamond"/>
          <w:b/>
        </w:rPr>
        <w:t>Disposições</w:t>
      </w:r>
      <w:r w:rsidRPr="00554628">
        <w:rPr>
          <w:rFonts w:ascii="Garamond" w:hAnsi="Garamond"/>
          <w:b/>
        </w:rPr>
        <w:t xml:space="preserve"> </w:t>
      </w:r>
      <w:r w:rsidRPr="00395593">
        <w:rPr>
          <w:rFonts w:ascii="Garamond" w:hAnsi="Garamond"/>
          <w:b/>
        </w:rPr>
        <w:t>Finais</w:t>
      </w:r>
    </w:p>
    <w:p w14:paraId="462BDE95" w14:textId="77777777" w:rsidR="0013285C" w:rsidRPr="00395593" w:rsidRDefault="0013285C" w:rsidP="002C4340">
      <w:pPr>
        <w:pStyle w:val="PargrafodaLista"/>
        <w:widowControl w:val="0"/>
        <w:numPr>
          <w:ilvl w:val="0"/>
          <w:numId w:val="5"/>
        </w:numPr>
        <w:tabs>
          <w:tab w:val="left" w:pos="810"/>
        </w:tabs>
        <w:autoSpaceDE w:val="0"/>
        <w:autoSpaceDN w:val="0"/>
        <w:spacing w:before="1" w:after="0" w:line="240" w:lineRule="auto"/>
        <w:ind w:right="118" w:firstLine="0"/>
        <w:contextualSpacing w:val="0"/>
        <w:jc w:val="both"/>
        <w:rPr>
          <w:rFonts w:ascii="Garamond" w:hAnsi="Garamond"/>
          <w:sz w:val="24"/>
        </w:rPr>
      </w:pPr>
      <w:r w:rsidRPr="00395593">
        <w:rPr>
          <w:rFonts w:ascii="Garamond" w:hAnsi="Garamond"/>
          <w:sz w:val="24"/>
        </w:rPr>
        <w:t xml:space="preserve">Não se poderá adotar nenhuma medida específica contra </w:t>
      </w:r>
      <w:r w:rsidRPr="00395593">
        <w:rPr>
          <w:rFonts w:ascii="Garamond" w:hAnsi="Garamond"/>
          <w:i/>
          <w:sz w:val="24"/>
        </w:rPr>
        <w:t xml:space="preserve">dumping </w:t>
      </w:r>
      <w:r w:rsidRPr="00395593">
        <w:rPr>
          <w:rFonts w:ascii="Garamond" w:hAnsi="Garamond"/>
          <w:sz w:val="24"/>
        </w:rPr>
        <w:t>em exportações</w:t>
      </w:r>
      <w:r w:rsidRPr="00395593">
        <w:rPr>
          <w:rFonts w:ascii="Garamond" w:hAnsi="Garamond"/>
          <w:spacing w:val="1"/>
          <w:sz w:val="24"/>
        </w:rPr>
        <w:t xml:space="preserve"> </w:t>
      </w:r>
      <w:r w:rsidRPr="00395593">
        <w:rPr>
          <w:rFonts w:ascii="Garamond" w:hAnsi="Garamond"/>
          <w:sz w:val="24"/>
        </w:rPr>
        <w:t>praticado por outro Membro que não esteja em conformidade com o disposto no GATT</w:t>
      </w:r>
      <w:r w:rsidRPr="00395593">
        <w:rPr>
          <w:rFonts w:ascii="Garamond" w:hAnsi="Garamond"/>
          <w:spacing w:val="1"/>
          <w:sz w:val="24"/>
        </w:rPr>
        <w:t xml:space="preserve"> </w:t>
      </w:r>
      <w:r w:rsidRPr="00395593">
        <w:rPr>
          <w:rFonts w:ascii="Garamond" w:hAnsi="Garamond"/>
          <w:sz w:val="24"/>
        </w:rPr>
        <w:t>1994,</w:t>
      </w:r>
      <w:r w:rsidRPr="00395593">
        <w:rPr>
          <w:rFonts w:ascii="Garamond" w:hAnsi="Garamond"/>
          <w:spacing w:val="-1"/>
          <w:sz w:val="24"/>
        </w:rPr>
        <w:t xml:space="preserve"> </w:t>
      </w:r>
      <w:r w:rsidRPr="00395593">
        <w:rPr>
          <w:rFonts w:ascii="Garamond" w:hAnsi="Garamond"/>
          <w:sz w:val="24"/>
        </w:rPr>
        <w:t>tal como interpretado por</w:t>
      </w:r>
      <w:r w:rsidRPr="00395593">
        <w:rPr>
          <w:rFonts w:ascii="Garamond" w:hAnsi="Garamond"/>
          <w:spacing w:val="-1"/>
          <w:sz w:val="24"/>
        </w:rPr>
        <w:t xml:space="preserve"> </w:t>
      </w:r>
      <w:r w:rsidRPr="00395593">
        <w:rPr>
          <w:rFonts w:ascii="Garamond" w:hAnsi="Garamond"/>
          <w:sz w:val="24"/>
        </w:rPr>
        <w:t xml:space="preserve">este Acordo </w:t>
      </w:r>
      <w:r w:rsidRPr="00395593">
        <w:rPr>
          <w:rFonts w:ascii="Garamond" w:hAnsi="Garamond"/>
          <w:sz w:val="24"/>
          <w:vertAlign w:val="superscript"/>
        </w:rPr>
        <w:t>24</w:t>
      </w:r>
      <w:r w:rsidRPr="00395593">
        <w:rPr>
          <w:rFonts w:ascii="Garamond" w:hAnsi="Garamond"/>
          <w:sz w:val="24"/>
        </w:rPr>
        <w:t>.</w:t>
      </w:r>
    </w:p>
    <w:p w14:paraId="1C06C6EF" w14:textId="77777777" w:rsidR="0013285C" w:rsidRPr="00395593" w:rsidRDefault="0013285C" w:rsidP="0013285C">
      <w:pPr>
        <w:pStyle w:val="Corpodetexto"/>
        <w:rPr>
          <w:rFonts w:ascii="Garamond" w:hAnsi="Garamond"/>
        </w:rPr>
      </w:pPr>
    </w:p>
    <w:p w14:paraId="4B0A7945" w14:textId="77777777" w:rsidR="0013285C" w:rsidRPr="00395593" w:rsidRDefault="0013285C" w:rsidP="002C4340">
      <w:pPr>
        <w:pStyle w:val="PargrafodaLista"/>
        <w:widowControl w:val="0"/>
        <w:numPr>
          <w:ilvl w:val="0"/>
          <w:numId w:val="5"/>
        </w:numPr>
        <w:tabs>
          <w:tab w:val="left" w:pos="810"/>
        </w:tabs>
        <w:autoSpaceDE w:val="0"/>
        <w:autoSpaceDN w:val="0"/>
        <w:spacing w:after="0" w:line="240" w:lineRule="auto"/>
        <w:ind w:right="122" w:firstLine="0"/>
        <w:contextualSpacing w:val="0"/>
        <w:jc w:val="both"/>
        <w:rPr>
          <w:rFonts w:ascii="Garamond" w:hAnsi="Garamond"/>
          <w:sz w:val="24"/>
        </w:rPr>
      </w:pPr>
      <w:r w:rsidRPr="00395593">
        <w:rPr>
          <w:rFonts w:ascii="Garamond" w:hAnsi="Garamond"/>
          <w:sz w:val="24"/>
        </w:rPr>
        <w:t>Não poderão ser formuladas quaisquer reservas relativamente a qualquer disposição</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presente Acordo</w:t>
      </w:r>
      <w:r w:rsidRPr="00395593">
        <w:rPr>
          <w:rFonts w:ascii="Garamond" w:hAnsi="Garamond"/>
          <w:spacing w:val="-1"/>
          <w:sz w:val="24"/>
        </w:rPr>
        <w:t xml:space="preserve"> </w:t>
      </w:r>
      <w:r w:rsidRPr="00395593">
        <w:rPr>
          <w:rFonts w:ascii="Garamond" w:hAnsi="Garamond"/>
          <w:sz w:val="24"/>
        </w:rPr>
        <w:t>sem</w:t>
      </w:r>
      <w:r w:rsidRPr="00395593">
        <w:rPr>
          <w:rFonts w:ascii="Garamond" w:hAnsi="Garamond"/>
          <w:spacing w:val="2"/>
          <w:sz w:val="24"/>
        </w:rPr>
        <w:t xml:space="preserve"> </w:t>
      </w:r>
      <w:r w:rsidRPr="00395593">
        <w:rPr>
          <w:rFonts w:ascii="Garamond" w:hAnsi="Garamond"/>
          <w:sz w:val="24"/>
        </w:rPr>
        <w:t>o consentimento dos</w:t>
      </w:r>
      <w:r w:rsidRPr="00395593">
        <w:rPr>
          <w:rFonts w:ascii="Garamond" w:hAnsi="Garamond"/>
          <w:spacing w:val="-1"/>
          <w:sz w:val="24"/>
        </w:rPr>
        <w:t xml:space="preserve"> </w:t>
      </w:r>
      <w:r w:rsidRPr="00395593">
        <w:rPr>
          <w:rFonts w:ascii="Garamond" w:hAnsi="Garamond"/>
          <w:sz w:val="24"/>
        </w:rPr>
        <w:t>outros Membros.</w:t>
      </w:r>
    </w:p>
    <w:p w14:paraId="6BDB199D" w14:textId="77777777" w:rsidR="0013285C" w:rsidRPr="00395593" w:rsidRDefault="0013285C" w:rsidP="0013285C">
      <w:pPr>
        <w:pStyle w:val="Corpodetexto"/>
        <w:rPr>
          <w:rFonts w:ascii="Garamond" w:hAnsi="Garamond"/>
        </w:rPr>
      </w:pPr>
    </w:p>
    <w:p w14:paraId="4F729C29" w14:textId="77777777" w:rsidR="0013285C" w:rsidRPr="00395593" w:rsidRDefault="0013285C" w:rsidP="002C4340">
      <w:pPr>
        <w:pStyle w:val="PargrafodaLista"/>
        <w:widowControl w:val="0"/>
        <w:numPr>
          <w:ilvl w:val="0"/>
          <w:numId w:val="5"/>
        </w:numPr>
        <w:tabs>
          <w:tab w:val="left" w:pos="810"/>
        </w:tabs>
        <w:autoSpaceDE w:val="0"/>
        <w:autoSpaceDN w:val="0"/>
        <w:spacing w:after="0" w:line="240" w:lineRule="auto"/>
        <w:ind w:right="116" w:firstLine="0"/>
        <w:contextualSpacing w:val="0"/>
        <w:jc w:val="both"/>
        <w:rPr>
          <w:rFonts w:ascii="Garamond" w:hAnsi="Garamond"/>
          <w:sz w:val="24"/>
        </w:rPr>
      </w:pPr>
      <w:r w:rsidRPr="00395593">
        <w:rPr>
          <w:rFonts w:ascii="Garamond" w:hAnsi="Garamond"/>
          <w:sz w:val="24"/>
        </w:rPr>
        <w:t>Reservado o disposto no parágrafo 4, as disposições deste Acordo aplicar-se-ão a</w:t>
      </w:r>
      <w:r w:rsidRPr="00395593">
        <w:rPr>
          <w:rFonts w:ascii="Garamond" w:hAnsi="Garamond"/>
          <w:spacing w:val="1"/>
          <w:sz w:val="24"/>
        </w:rPr>
        <w:t xml:space="preserve"> </w:t>
      </w:r>
      <w:r w:rsidRPr="00395593">
        <w:rPr>
          <w:rFonts w:ascii="Garamond" w:hAnsi="Garamond"/>
          <w:sz w:val="24"/>
        </w:rPr>
        <w:t>investigações e revisões de medidas em vigor que tenham sido iniciadas segundo petições</w:t>
      </w:r>
      <w:r w:rsidRPr="00395593">
        <w:rPr>
          <w:rFonts w:ascii="Garamond" w:hAnsi="Garamond"/>
          <w:spacing w:val="1"/>
          <w:sz w:val="24"/>
        </w:rPr>
        <w:t xml:space="preserve"> </w:t>
      </w:r>
      <w:r w:rsidRPr="00395593">
        <w:rPr>
          <w:rFonts w:ascii="Garamond" w:hAnsi="Garamond"/>
          <w:sz w:val="24"/>
        </w:rPr>
        <w:t>apresentadas na data ou após a data de entrada em vigor do Acordo Constitutivo da OMC</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3"/>
          <w:sz w:val="24"/>
        </w:rPr>
        <w:t xml:space="preserve"> </w:t>
      </w:r>
      <w:r w:rsidRPr="00395593">
        <w:rPr>
          <w:rFonts w:ascii="Garamond" w:hAnsi="Garamond"/>
          <w:sz w:val="24"/>
        </w:rPr>
        <w:t>determinado Membro.</w:t>
      </w:r>
    </w:p>
    <w:p w14:paraId="7ADDC21C" w14:textId="77777777" w:rsidR="0013285C" w:rsidRPr="00395593" w:rsidRDefault="0013285C" w:rsidP="0013285C">
      <w:pPr>
        <w:pStyle w:val="Corpodetexto"/>
        <w:rPr>
          <w:rFonts w:ascii="Garamond" w:hAnsi="Garamond"/>
          <w:sz w:val="26"/>
        </w:rPr>
      </w:pPr>
    </w:p>
    <w:p w14:paraId="69017485" w14:textId="77777777" w:rsidR="0013285C" w:rsidRPr="00395593" w:rsidRDefault="0013285C" w:rsidP="002C4340">
      <w:pPr>
        <w:pStyle w:val="PargrafodaLista"/>
        <w:widowControl w:val="0"/>
        <w:numPr>
          <w:ilvl w:val="0"/>
          <w:numId w:val="5"/>
        </w:numPr>
        <w:tabs>
          <w:tab w:val="left" w:pos="642"/>
        </w:tabs>
        <w:autoSpaceDE w:val="0"/>
        <w:autoSpaceDN w:val="0"/>
        <w:spacing w:after="0" w:line="240" w:lineRule="auto"/>
        <w:ind w:left="1181" w:right="118" w:hanging="1080"/>
        <w:contextualSpacing w:val="0"/>
        <w:jc w:val="both"/>
        <w:rPr>
          <w:rFonts w:ascii="Garamond" w:hAnsi="Garamond"/>
          <w:sz w:val="24"/>
        </w:rPr>
      </w:pP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 xml:space="preserve">No que diz respeito ao cálculo das margens de </w:t>
      </w:r>
      <w:r w:rsidRPr="00395593">
        <w:rPr>
          <w:rFonts w:ascii="Garamond" w:hAnsi="Garamond"/>
          <w:i/>
          <w:sz w:val="24"/>
        </w:rPr>
        <w:t xml:space="preserve">dumping </w:t>
      </w:r>
      <w:r w:rsidRPr="00395593">
        <w:rPr>
          <w:rFonts w:ascii="Garamond" w:hAnsi="Garamond"/>
          <w:sz w:val="24"/>
        </w:rPr>
        <w:t>nos procedimentos de</w:t>
      </w:r>
      <w:r w:rsidRPr="00395593">
        <w:rPr>
          <w:rFonts w:ascii="Garamond" w:hAnsi="Garamond"/>
          <w:spacing w:val="1"/>
          <w:sz w:val="24"/>
        </w:rPr>
        <w:t xml:space="preserve"> </w:t>
      </w:r>
      <w:r w:rsidRPr="00395593">
        <w:rPr>
          <w:rFonts w:ascii="Garamond" w:hAnsi="Garamond"/>
          <w:sz w:val="24"/>
        </w:rPr>
        <w:t>reembolso</w:t>
      </w:r>
      <w:r w:rsidRPr="00395593">
        <w:rPr>
          <w:rFonts w:ascii="Garamond" w:hAnsi="Garamond"/>
          <w:spacing w:val="1"/>
          <w:sz w:val="24"/>
        </w:rPr>
        <w:t xml:space="preserve"> </w:t>
      </w:r>
      <w:r w:rsidRPr="00395593">
        <w:rPr>
          <w:rFonts w:ascii="Garamond" w:hAnsi="Garamond"/>
          <w:sz w:val="24"/>
        </w:rPr>
        <w:t>previstos</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parágrafo</w:t>
      </w:r>
      <w:r w:rsidRPr="00395593">
        <w:rPr>
          <w:rFonts w:ascii="Garamond" w:hAnsi="Garamond"/>
          <w:spacing w:val="1"/>
          <w:sz w:val="24"/>
        </w:rPr>
        <w:t xml:space="preserve"> </w:t>
      </w:r>
      <w:r w:rsidRPr="00395593">
        <w:rPr>
          <w:rFonts w:ascii="Garamond" w:hAnsi="Garamond"/>
          <w:sz w:val="24"/>
        </w:rPr>
        <w:t>3</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Artigo</w:t>
      </w:r>
      <w:r w:rsidRPr="00395593">
        <w:rPr>
          <w:rFonts w:ascii="Garamond" w:hAnsi="Garamond"/>
          <w:spacing w:val="1"/>
          <w:sz w:val="24"/>
        </w:rPr>
        <w:t xml:space="preserve"> </w:t>
      </w:r>
      <w:r w:rsidRPr="00395593">
        <w:rPr>
          <w:rFonts w:ascii="Garamond" w:hAnsi="Garamond"/>
          <w:sz w:val="24"/>
        </w:rPr>
        <w:t>9,</w:t>
      </w:r>
      <w:r w:rsidRPr="00395593">
        <w:rPr>
          <w:rFonts w:ascii="Garamond" w:hAnsi="Garamond"/>
          <w:spacing w:val="1"/>
          <w:sz w:val="24"/>
        </w:rPr>
        <w:t xml:space="preserve"> </w:t>
      </w:r>
      <w:r w:rsidRPr="00395593">
        <w:rPr>
          <w:rFonts w:ascii="Garamond" w:hAnsi="Garamond"/>
          <w:sz w:val="24"/>
        </w:rPr>
        <w:t>serão</w:t>
      </w:r>
      <w:r w:rsidRPr="00395593">
        <w:rPr>
          <w:rFonts w:ascii="Garamond" w:hAnsi="Garamond"/>
          <w:spacing w:val="1"/>
          <w:sz w:val="24"/>
        </w:rPr>
        <w:t xml:space="preserve"> </w:t>
      </w:r>
      <w:r w:rsidRPr="00395593">
        <w:rPr>
          <w:rFonts w:ascii="Garamond" w:hAnsi="Garamond"/>
          <w:sz w:val="24"/>
        </w:rPr>
        <w:t>aplicadas</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regras</w:t>
      </w:r>
      <w:r w:rsidRPr="00395593">
        <w:rPr>
          <w:rFonts w:ascii="Garamond" w:hAnsi="Garamond"/>
          <w:spacing w:val="1"/>
          <w:sz w:val="24"/>
        </w:rPr>
        <w:t xml:space="preserve"> </w:t>
      </w:r>
      <w:r w:rsidRPr="00395593">
        <w:rPr>
          <w:rFonts w:ascii="Garamond" w:hAnsi="Garamond"/>
          <w:sz w:val="24"/>
        </w:rPr>
        <w:t>utilizadas</w:t>
      </w:r>
      <w:r w:rsidRPr="00395593">
        <w:rPr>
          <w:rFonts w:ascii="Garamond" w:hAnsi="Garamond"/>
          <w:spacing w:val="-1"/>
          <w:sz w:val="24"/>
        </w:rPr>
        <w:t xml:space="preserve"> </w:t>
      </w:r>
      <w:r w:rsidRPr="00395593">
        <w:rPr>
          <w:rFonts w:ascii="Garamond" w:hAnsi="Garamond"/>
          <w:sz w:val="24"/>
        </w:rPr>
        <w:t>na</w:t>
      </w:r>
      <w:r w:rsidRPr="00395593">
        <w:rPr>
          <w:rFonts w:ascii="Garamond" w:hAnsi="Garamond"/>
          <w:spacing w:val="-1"/>
          <w:sz w:val="24"/>
        </w:rPr>
        <w:t xml:space="preserve"> </w:t>
      </w:r>
      <w:r w:rsidRPr="00395593">
        <w:rPr>
          <w:rFonts w:ascii="Garamond" w:hAnsi="Garamond"/>
          <w:sz w:val="24"/>
        </w:rPr>
        <w:t>última</w:t>
      </w:r>
      <w:r w:rsidRPr="00395593">
        <w:rPr>
          <w:rFonts w:ascii="Garamond" w:hAnsi="Garamond"/>
          <w:spacing w:val="-2"/>
          <w:sz w:val="24"/>
        </w:rPr>
        <w:t xml:space="preserve"> </w:t>
      </w:r>
      <w:r w:rsidRPr="00395593">
        <w:rPr>
          <w:rFonts w:ascii="Garamond" w:hAnsi="Garamond"/>
          <w:sz w:val="24"/>
        </w:rPr>
        <w:t>determinação ou revisão</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existência de</w:t>
      </w:r>
      <w:r w:rsidRPr="00395593">
        <w:rPr>
          <w:rFonts w:ascii="Garamond" w:hAnsi="Garamond"/>
          <w:spacing w:val="1"/>
          <w:sz w:val="24"/>
        </w:rPr>
        <w:t xml:space="preserve"> </w:t>
      </w:r>
      <w:r w:rsidRPr="00395593">
        <w:rPr>
          <w:rFonts w:ascii="Garamond" w:hAnsi="Garamond"/>
          <w:i/>
          <w:sz w:val="24"/>
        </w:rPr>
        <w:t>dumping</w:t>
      </w:r>
      <w:r w:rsidRPr="00395593">
        <w:rPr>
          <w:rFonts w:ascii="Garamond" w:hAnsi="Garamond"/>
          <w:sz w:val="24"/>
        </w:rPr>
        <w:t>.</w:t>
      </w:r>
    </w:p>
    <w:p w14:paraId="77DFF046" w14:textId="77777777" w:rsidR="0013285C" w:rsidRPr="00395593" w:rsidRDefault="0013285C" w:rsidP="0013285C">
      <w:pPr>
        <w:pStyle w:val="Corpodetexto"/>
        <w:rPr>
          <w:rFonts w:ascii="Garamond" w:hAnsi="Garamond"/>
        </w:rPr>
      </w:pPr>
    </w:p>
    <w:p w14:paraId="6511A517" w14:textId="77777777" w:rsidR="0013285C" w:rsidRPr="00395593" w:rsidRDefault="0013285C" w:rsidP="0013285C">
      <w:pPr>
        <w:pStyle w:val="Corpodetexto"/>
        <w:ind w:left="1181" w:right="116" w:hanging="540"/>
        <w:jc w:val="both"/>
        <w:rPr>
          <w:rFonts w:ascii="Garamond" w:hAnsi="Garamond"/>
        </w:rPr>
      </w:pPr>
      <w:r w:rsidRPr="00395593">
        <w:rPr>
          <w:rFonts w:ascii="Garamond" w:hAnsi="Garamond"/>
        </w:rPr>
        <w:t>(b)</w:t>
      </w:r>
      <w:r w:rsidRPr="00395593">
        <w:rPr>
          <w:rFonts w:ascii="Garamond" w:hAnsi="Garamond"/>
          <w:spacing w:val="1"/>
        </w:rPr>
        <w:t xml:space="preserve"> </w:t>
      </w:r>
      <w:r w:rsidRPr="00395593">
        <w:rPr>
          <w:rFonts w:ascii="Garamond" w:hAnsi="Garamond"/>
        </w:rPr>
        <w:t>Para os efeitos do parágrafo 3 do artigo 11, considerar-se-á que as medidas anti-</w:t>
      </w:r>
      <w:r w:rsidRPr="00395593">
        <w:rPr>
          <w:rFonts w:ascii="Garamond" w:hAnsi="Garamond"/>
          <w:spacing w:val="1"/>
        </w:rPr>
        <w:t xml:space="preserve"> </w:t>
      </w:r>
      <w:r w:rsidRPr="00395593">
        <w:rPr>
          <w:rFonts w:ascii="Garamond" w:hAnsi="Garamond"/>
          <w:i/>
        </w:rPr>
        <w:t xml:space="preserve">dumping </w:t>
      </w:r>
      <w:r w:rsidRPr="00395593">
        <w:rPr>
          <w:rFonts w:ascii="Garamond" w:hAnsi="Garamond"/>
        </w:rPr>
        <w:t>existentes terão sido impostas em data não posterior à data de entrada</w:t>
      </w:r>
      <w:r w:rsidRPr="00395593">
        <w:rPr>
          <w:rFonts w:ascii="Garamond" w:hAnsi="Garamond"/>
          <w:spacing w:val="1"/>
        </w:rPr>
        <w:t xml:space="preserve"> </w:t>
      </w:r>
      <w:r w:rsidRPr="00395593">
        <w:rPr>
          <w:rFonts w:ascii="Garamond" w:hAnsi="Garamond"/>
        </w:rPr>
        <w:t>em</w:t>
      </w:r>
      <w:r w:rsidRPr="00395593">
        <w:rPr>
          <w:rFonts w:ascii="Garamond" w:hAnsi="Garamond"/>
          <w:spacing w:val="1"/>
        </w:rPr>
        <w:t xml:space="preserve"> </w:t>
      </w:r>
      <w:r w:rsidRPr="00395593">
        <w:rPr>
          <w:rFonts w:ascii="Garamond" w:hAnsi="Garamond"/>
        </w:rPr>
        <w:t>vigor</w:t>
      </w:r>
      <w:r w:rsidRPr="00395593">
        <w:rPr>
          <w:rFonts w:ascii="Garamond" w:hAnsi="Garamond"/>
          <w:spacing w:val="1"/>
        </w:rPr>
        <w:t xml:space="preserve"> </w:t>
      </w:r>
      <w:r w:rsidRPr="00395593">
        <w:rPr>
          <w:rFonts w:ascii="Garamond" w:hAnsi="Garamond"/>
        </w:rPr>
        <w:t>da</w:t>
      </w:r>
      <w:r w:rsidRPr="00395593">
        <w:rPr>
          <w:rFonts w:ascii="Garamond" w:hAnsi="Garamond"/>
          <w:spacing w:val="1"/>
        </w:rPr>
        <w:t xml:space="preserve"> </w:t>
      </w:r>
      <w:r w:rsidRPr="00395593">
        <w:rPr>
          <w:rFonts w:ascii="Garamond" w:hAnsi="Garamond"/>
        </w:rPr>
        <w:t>OMC</w:t>
      </w:r>
      <w:r w:rsidRPr="00395593">
        <w:rPr>
          <w:rFonts w:ascii="Garamond" w:hAnsi="Garamond"/>
          <w:spacing w:val="1"/>
        </w:rPr>
        <w:t xml:space="preserve"> </w:t>
      </w:r>
      <w:r w:rsidRPr="00395593">
        <w:rPr>
          <w:rFonts w:ascii="Garamond" w:hAnsi="Garamond"/>
        </w:rPr>
        <w:t>para</w:t>
      </w:r>
      <w:r w:rsidRPr="00395593">
        <w:rPr>
          <w:rFonts w:ascii="Garamond" w:hAnsi="Garamond"/>
          <w:spacing w:val="1"/>
        </w:rPr>
        <w:t xml:space="preserve"> </w:t>
      </w:r>
      <w:r w:rsidRPr="00395593">
        <w:rPr>
          <w:rFonts w:ascii="Garamond" w:hAnsi="Garamond"/>
        </w:rPr>
        <w:t>determinado</w:t>
      </w:r>
      <w:r w:rsidRPr="00395593">
        <w:rPr>
          <w:rFonts w:ascii="Garamond" w:hAnsi="Garamond"/>
          <w:spacing w:val="1"/>
        </w:rPr>
        <w:t xml:space="preserve"> </w:t>
      </w:r>
      <w:r w:rsidRPr="00395593">
        <w:rPr>
          <w:rFonts w:ascii="Garamond" w:hAnsi="Garamond"/>
        </w:rPr>
        <w:t>Membro,</w:t>
      </w:r>
      <w:r w:rsidRPr="00395593">
        <w:rPr>
          <w:rFonts w:ascii="Garamond" w:hAnsi="Garamond"/>
          <w:spacing w:val="1"/>
        </w:rPr>
        <w:t xml:space="preserve"> </w:t>
      </w:r>
      <w:r w:rsidRPr="00395593">
        <w:rPr>
          <w:rFonts w:ascii="Garamond" w:hAnsi="Garamond"/>
        </w:rPr>
        <w:t>exceto</w:t>
      </w:r>
      <w:r w:rsidRPr="00395593">
        <w:rPr>
          <w:rFonts w:ascii="Garamond" w:hAnsi="Garamond"/>
          <w:spacing w:val="1"/>
        </w:rPr>
        <w:t xml:space="preserve"> </w:t>
      </w:r>
      <w:r w:rsidRPr="00395593">
        <w:rPr>
          <w:rFonts w:ascii="Garamond" w:hAnsi="Garamond"/>
        </w:rPr>
        <w:t>quando</w:t>
      </w:r>
      <w:r w:rsidRPr="00395593">
        <w:rPr>
          <w:rFonts w:ascii="Garamond" w:hAnsi="Garamond"/>
          <w:spacing w:val="1"/>
        </w:rPr>
        <w:t xml:space="preserve"> </w:t>
      </w:r>
      <w:r w:rsidRPr="00395593">
        <w:rPr>
          <w:rFonts w:ascii="Garamond" w:hAnsi="Garamond"/>
        </w:rPr>
        <w:t>a</w:t>
      </w:r>
      <w:r w:rsidRPr="00395593">
        <w:rPr>
          <w:rFonts w:ascii="Garamond" w:hAnsi="Garamond"/>
          <w:spacing w:val="1"/>
        </w:rPr>
        <w:t xml:space="preserve"> </w:t>
      </w:r>
      <w:r w:rsidRPr="00395593">
        <w:rPr>
          <w:rFonts w:ascii="Garamond" w:hAnsi="Garamond"/>
        </w:rPr>
        <w:t>legislação</w:t>
      </w:r>
      <w:r w:rsidRPr="00395593">
        <w:rPr>
          <w:rFonts w:ascii="Garamond" w:hAnsi="Garamond"/>
          <w:spacing w:val="1"/>
        </w:rPr>
        <w:t xml:space="preserve"> </w:t>
      </w:r>
      <w:r w:rsidRPr="00395593">
        <w:rPr>
          <w:rFonts w:ascii="Garamond" w:hAnsi="Garamond"/>
        </w:rPr>
        <w:t>nacional do Membro em vigor naquela mesma data já inclua disposição do tipo</w:t>
      </w:r>
      <w:r w:rsidRPr="00395593">
        <w:rPr>
          <w:rFonts w:ascii="Garamond" w:hAnsi="Garamond"/>
          <w:spacing w:val="1"/>
        </w:rPr>
        <w:t xml:space="preserve"> </w:t>
      </w:r>
      <w:r w:rsidRPr="00395593">
        <w:rPr>
          <w:rFonts w:ascii="Garamond" w:hAnsi="Garamond"/>
        </w:rPr>
        <w:t>previsto</w:t>
      </w:r>
      <w:r w:rsidRPr="00395593">
        <w:rPr>
          <w:rFonts w:ascii="Garamond" w:hAnsi="Garamond"/>
          <w:spacing w:val="-1"/>
        </w:rPr>
        <w:t xml:space="preserve"> </w:t>
      </w:r>
      <w:r w:rsidRPr="00395593">
        <w:rPr>
          <w:rFonts w:ascii="Garamond" w:hAnsi="Garamond"/>
        </w:rPr>
        <w:t>no mencionado</w:t>
      </w:r>
      <w:r w:rsidRPr="00395593">
        <w:rPr>
          <w:rFonts w:ascii="Garamond" w:hAnsi="Garamond"/>
          <w:spacing w:val="1"/>
        </w:rPr>
        <w:t xml:space="preserve"> </w:t>
      </w:r>
      <w:r w:rsidRPr="00395593">
        <w:rPr>
          <w:rFonts w:ascii="Garamond" w:hAnsi="Garamond"/>
        </w:rPr>
        <w:t>parágrafo.</w:t>
      </w:r>
    </w:p>
    <w:p w14:paraId="70F74057" w14:textId="77777777" w:rsidR="0013285C" w:rsidRPr="00395593" w:rsidRDefault="0013285C" w:rsidP="0013285C">
      <w:pPr>
        <w:pStyle w:val="Corpodetexto"/>
        <w:rPr>
          <w:rFonts w:ascii="Garamond" w:hAnsi="Garamond"/>
        </w:rPr>
      </w:pPr>
    </w:p>
    <w:p w14:paraId="586C3367" w14:textId="77777777" w:rsidR="0013285C" w:rsidRPr="00395593" w:rsidRDefault="0013285C" w:rsidP="002C4340">
      <w:pPr>
        <w:pStyle w:val="PargrafodaLista"/>
        <w:widowControl w:val="0"/>
        <w:numPr>
          <w:ilvl w:val="0"/>
          <w:numId w:val="5"/>
        </w:numPr>
        <w:tabs>
          <w:tab w:val="left" w:pos="810"/>
        </w:tabs>
        <w:autoSpaceDE w:val="0"/>
        <w:autoSpaceDN w:val="0"/>
        <w:spacing w:before="1" w:after="0" w:line="240" w:lineRule="auto"/>
        <w:ind w:right="117" w:firstLine="0"/>
        <w:contextualSpacing w:val="0"/>
        <w:jc w:val="both"/>
        <w:rPr>
          <w:rFonts w:ascii="Garamond" w:hAnsi="Garamond"/>
          <w:sz w:val="24"/>
        </w:rPr>
      </w:pPr>
      <w:r w:rsidRPr="00395593">
        <w:rPr>
          <w:rFonts w:ascii="Garamond" w:hAnsi="Garamond"/>
          <w:sz w:val="24"/>
        </w:rPr>
        <w:t>Cada Membro tomará as providências necessárias, genéricas ou específicas, para</w:t>
      </w:r>
      <w:r w:rsidRPr="00395593">
        <w:rPr>
          <w:rFonts w:ascii="Garamond" w:hAnsi="Garamond"/>
          <w:spacing w:val="1"/>
          <w:sz w:val="24"/>
        </w:rPr>
        <w:t xml:space="preserve"> </w:t>
      </w:r>
      <w:r w:rsidRPr="00395593">
        <w:rPr>
          <w:rFonts w:ascii="Garamond" w:hAnsi="Garamond"/>
          <w:sz w:val="24"/>
        </w:rPr>
        <w:t>garantir</w:t>
      </w:r>
      <w:r w:rsidRPr="00395593">
        <w:rPr>
          <w:rFonts w:ascii="Garamond" w:hAnsi="Garamond"/>
          <w:spacing w:val="58"/>
          <w:sz w:val="24"/>
        </w:rPr>
        <w:t xml:space="preserve"> </w:t>
      </w:r>
      <w:r w:rsidRPr="00395593">
        <w:rPr>
          <w:rFonts w:ascii="Garamond" w:hAnsi="Garamond"/>
          <w:sz w:val="24"/>
        </w:rPr>
        <w:t>até</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57"/>
          <w:sz w:val="24"/>
        </w:rPr>
        <w:t xml:space="preserve"> </w:t>
      </w:r>
      <w:r w:rsidRPr="00395593">
        <w:rPr>
          <w:rFonts w:ascii="Garamond" w:hAnsi="Garamond"/>
          <w:sz w:val="24"/>
        </w:rPr>
        <w:t>data</w:t>
      </w:r>
      <w:r w:rsidRPr="00395593">
        <w:rPr>
          <w:rFonts w:ascii="Garamond" w:hAnsi="Garamond"/>
          <w:spacing w:val="58"/>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entrada</w:t>
      </w:r>
      <w:r w:rsidRPr="00395593">
        <w:rPr>
          <w:rFonts w:ascii="Garamond" w:hAnsi="Garamond"/>
          <w:spacing w:val="57"/>
          <w:sz w:val="24"/>
        </w:rPr>
        <w:t xml:space="preserve"> </w:t>
      </w:r>
      <w:r w:rsidRPr="00395593">
        <w:rPr>
          <w:rFonts w:ascii="Garamond" w:hAnsi="Garamond"/>
          <w:sz w:val="24"/>
        </w:rPr>
        <w:t>em</w:t>
      </w:r>
      <w:r w:rsidRPr="00395593">
        <w:rPr>
          <w:rFonts w:ascii="Garamond" w:hAnsi="Garamond"/>
          <w:spacing w:val="59"/>
          <w:sz w:val="24"/>
        </w:rPr>
        <w:t xml:space="preserve"> </w:t>
      </w:r>
      <w:r w:rsidRPr="00395593">
        <w:rPr>
          <w:rFonts w:ascii="Garamond" w:hAnsi="Garamond"/>
          <w:sz w:val="24"/>
        </w:rPr>
        <w:t>vigor</w:t>
      </w:r>
      <w:r w:rsidRPr="00395593">
        <w:rPr>
          <w:rFonts w:ascii="Garamond" w:hAnsi="Garamond"/>
          <w:spacing w:val="58"/>
          <w:sz w:val="24"/>
        </w:rPr>
        <w:t xml:space="preserve"> </w:t>
      </w:r>
      <w:r w:rsidRPr="00395593">
        <w:rPr>
          <w:rFonts w:ascii="Garamond" w:hAnsi="Garamond"/>
          <w:sz w:val="24"/>
        </w:rPr>
        <w:t>para</w:t>
      </w:r>
      <w:r w:rsidRPr="00395593">
        <w:rPr>
          <w:rFonts w:ascii="Garamond" w:hAnsi="Garamond"/>
          <w:spacing w:val="59"/>
          <w:sz w:val="24"/>
        </w:rPr>
        <w:t xml:space="preserve"> </w:t>
      </w:r>
      <w:r w:rsidRPr="00395593">
        <w:rPr>
          <w:rFonts w:ascii="Garamond" w:hAnsi="Garamond"/>
          <w:sz w:val="24"/>
        </w:rPr>
        <w:t>ele</w:t>
      </w:r>
      <w:r w:rsidRPr="00395593">
        <w:rPr>
          <w:rFonts w:ascii="Garamond" w:hAnsi="Garamond"/>
          <w:spacing w:val="59"/>
          <w:sz w:val="24"/>
        </w:rPr>
        <w:t xml:space="preserve"> </w:t>
      </w:r>
      <w:r w:rsidRPr="00395593">
        <w:rPr>
          <w:rFonts w:ascii="Garamond" w:hAnsi="Garamond"/>
          <w:sz w:val="24"/>
        </w:rPr>
        <w:t>do</w:t>
      </w:r>
      <w:r w:rsidRPr="00395593">
        <w:rPr>
          <w:rFonts w:ascii="Garamond" w:hAnsi="Garamond"/>
          <w:spacing w:val="58"/>
          <w:sz w:val="24"/>
        </w:rPr>
        <w:t xml:space="preserve"> </w:t>
      </w:r>
      <w:r w:rsidRPr="00395593">
        <w:rPr>
          <w:rFonts w:ascii="Garamond" w:hAnsi="Garamond"/>
          <w:sz w:val="24"/>
        </w:rPr>
        <w:t>Acordo</w:t>
      </w:r>
      <w:r w:rsidRPr="00395593">
        <w:rPr>
          <w:rFonts w:ascii="Garamond" w:hAnsi="Garamond"/>
          <w:spacing w:val="58"/>
          <w:sz w:val="24"/>
        </w:rPr>
        <w:t xml:space="preserve"> </w:t>
      </w:r>
      <w:r w:rsidRPr="00395593">
        <w:rPr>
          <w:rFonts w:ascii="Garamond" w:hAnsi="Garamond"/>
          <w:sz w:val="24"/>
        </w:rPr>
        <w:t>Constitutivo</w:t>
      </w:r>
      <w:r w:rsidRPr="00395593">
        <w:rPr>
          <w:rFonts w:ascii="Garamond" w:hAnsi="Garamond"/>
          <w:spacing w:val="58"/>
          <w:sz w:val="24"/>
        </w:rPr>
        <w:t xml:space="preserve"> </w:t>
      </w:r>
      <w:r w:rsidRPr="00395593">
        <w:rPr>
          <w:rFonts w:ascii="Garamond" w:hAnsi="Garamond"/>
          <w:sz w:val="24"/>
        </w:rPr>
        <w:t>da</w:t>
      </w:r>
      <w:r w:rsidRPr="00395593">
        <w:rPr>
          <w:rFonts w:ascii="Garamond" w:hAnsi="Garamond"/>
          <w:spacing w:val="57"/>
          <w:sz w:val="24"/>
        </w:rPr>
        <w:t xml:space="preserve"> </w:t>
      </w:r>
      <w:r w:rsidRPr="00395593">
        <w:rPr>
          <w:rFonts w:ascii="Garamond" w:hAnsi="Garamond"/>
          <w:sz w:val="24"/>
        </w:rPr>
        <w:t>OMC,</w:t>
      </w:r>
      <w:r w:rsidRPr="00395593">
        <w:rPr>
          <w:rFonts w:ascii="Garamond" w:hAnsi="Garamond"/>
          <w:spacing w:val="59"/>
          <w:sz w:val="24"/>
        </w:rPr>
        <w:t xml:space="preserve"> </w:t>
      </w:r>
      <w:r w:rsidRPr="00395593">
        <w:rPr>
          <w:rFonts w:ascii="Garamond" w:hAnsi="Garamond"/>
          <w:sz w:val="24"/>
        </w:rPr>
        <w:t>a</w:t>
      </w:r>
      <w:r w:rsidRPr="00395593">
        <w:rPr>
          <w:rFonts w:ascii="Garamond" w:hAnsi="Garamond"/>
          <w:spacing w:val="-58"/>
          <w:sz w:val="24"/>
        </w:rPr>
        <w:t xml:space="preserve"> </w:t>
      </w:r>
      <w:r w:rsidRPr="00395593">
        <w:rPr>
          <w:rFonts w:ascii="Garamond" w:hAnsi="Garamond"/>
          <w:sz w:val="24"/>
        </w:rPr>
        <w:t>conformidade</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sua</w:t>
      </w:r>
      <w:r w:rsidRPr="00395593">
        <w:rPr>
          <w:rFonts w:ascii="Garamond" w:hAnsi="Garamond"/>
          <w:spacing w:val="1"/>
          <w:sz w:val="24"/>
        </w:rPr>
        <w:t xml:space="preserve"> </w:t>
      </w:r>
      <w:r w:rsidRPr="00395593">
        <w:rPr>
          <w:rFonts w:ascii="Garamond" w:hAnsi="Garamond"/>
          <w:sz w:val="24"/>
        </w:rPr>
        <w:t>legislação,</w:t>
      </w:r>
      <w:r w:rsidRPr="00395593">
        <w:rPr>
          <w:rFonts w:ascii="Garamond" w:hAnsi="Garamond"/>
          <w:spacing w:val="1"/>
          <w:sz w:val="24"/>
        </w:rPr>
        <w:t xml:space="preserve"> </w:t>
      </w:r>
      <w:r w:rsidRPr="00395593">
        <w:rPr>
          <w:rFonts w:ascii="Garamond" w:hAnsi="Garamond"/>
          <w:sz w:val="24"/>
        </w:rPr>
        <w:t>regulamentos</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procedimentos</w:t>
      </w:r>
      <w:r w:rsidRPr="00395593">
        <w:rPr>
          <w:rFonts w:ascii="Garamond" w:hAnsi="Garamond"/>
          <w:spacing w:val="1"/>
          <w:sz w:val="24"/>
        </w:rPr>
        <w:t xml:space="preserve"> </w:t>
      </w:r>
      <w:r w:rsidRPr="00395593">
        <w:rPr>
          <w:rFonts w:ascii="Garamond" w:hAnsi="Garamond"/>
          <w:sz w:val="24"/>
        </w:rPr>
        <w:t>administrativos</w:t>
      </w:r>
      <w:r w:rsidRPr="00395593">
        <w:rPr>
          <w:rFonts w:ascii="Garamond" w:hAnsi="Garamond"/>
          <w:spacing w:val="1"/>
          <w:sz w:val="24"/>
        </w:rPr>
        <w:t xml:space="preserve"> </w:t>
      </w:r>
      <w:r w:rsidRPr="00395593">
        <w:rPr>
          <w:rFonts w:ascii="Garamond" w:hAnsi="Garamond"/>
          <w:sz w:val="24"/>
        </w:rPr>
        <w:t>com</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57"/>
          <w:sz w:val="24"/>
        </w:rPr>
        <w:t xml:space="preserve"> </w:t>
      </w:r>
      <w:r w:rsidRPr="00395593">
        <w:rPr>
          <w:rFonts w:ascii="Garamond" w:hAnsi="Garamond"/>
          <w:sz w:val="24"/>
        </w:rPr>
        <w:t>disposto</w:t>
      </w:r>
      <w:r w:rsidRPr="00395593">
        <w:rPr>
          <w:rFonts w:ascii="Garamond" w:hAnsi="Garamond"/>
          <w:spacing w:val="-1"/>
          <w:sz w:val="24"/>
        </w:rPr>
        <w:t xml:space="preserve"> </w:t>
      </w:r>
      <w:r w:rsidRPr="00395593">
        <w:rPr>
          <w:rFonts w:ascii="Garamond" w:hAnsi="Garamond"/>
          <w:sz w:val="24"/>
        </w:rPr>
        <w:t>neste Acordo,</w:t>
      </w:r>
      <w:r w:rsidRPr="00395593">
        <w:rPr>
          <w:rFonts w:ascii="Garamond" w:hAnsi="Garamond"/>
          <w:spacing w:val="-1"/>
          <w:sz w:val="24"/>
        </w:rPr>
        <w:t xml:space="preserve"> </w:t>
      </w:r>
      <w:r w:rsidRPr="00395593">
        <w:rPr>
          <w:rFonts w:ascii="Garamond" w:hAnsi="Garamond"/>
          <w:sz w:val="24"/>
        </w:rPr>
        <w:t>segundo sejam</w:t>
      </w:r>
      <w:r w:rsidRPr="00395593">
        <w:rPr>
          <w:rFonts w:ascii="Garamond" w:hAnsi="Garamond"/>
          <w:spacing w:val="-1"/>
          <w:sz w:val="24"/>
        </w:rPr>
        <w:t xml:space="preserve"> </w:t>
      </w:r>
      <w:r w:rsidRPr="00395593">
        <w:rPr>
          <w:rFonts w:ascii="Garamond" w:hAnsi="Garamond"/>
          <w:sz w:val="24"/>
        </w:rPr>
        <w:t>aplicáveis</w:t>
      </w:r>
      <w:r w:rsidRPr="00395593">
        <w:rPr>
          <w:rFonts w:ascii="Garamond" w:hAnsi="Garamond"/>
          <w:spacing w:val="2"/>
          <w:sz w:val="24"/>
        </w:rPr>
        <w:t xml:space="preserve"> </w:t>
      </w:r>
      <w:r w:rsidRPr="00395593">
        <w:rPr>
          <w:rFonts w:ascii="Garamond" w:hAnsi="Garamond"/>
          <w:sz w:val="24"/>
        </w:rPr>
        <w:t>ao Membro em</w:t>
      </w:r>
      <w:r w:rsidRPr="00395593">
        <w:rPr>
          <w:rFonts w:ascii="Garamond" w:hAnsi="Garamond"/>
          <w:spacing w:val="-1"/>
          <w:sz w:val="24"/>
        </w:rPr>
        <w:t xml:space="preserve"> </w:t>
      </w:r>
      <w:r w:rsidRPr="00395593">
        <w:rPr>
          <w:rFonts w:ascii="Garamond" w:hAnsi="Garamond"/>
          <w:sz w:val="24"/>
        </w:rPr>
        <w:t>causa.</w:t>
      </w:r>
    </w:p>
    <w:p w14:paraId="49FCE28A" w14:textId="77777777" w:rsidR="0013285C" w:rsidRPr="00395593" w:rsidRDefault="0013285C" w:rsidP="0013285C">
      <w:pPr>
        <w:pStyle w:val="Corpodetexto"/>
        <w:rPr>
          <w:rFonts w:ascii="Garamond" w:hAnsi="Garamond"/>
          <w:sz w:val="20"/>
        </w:rPr>
      </w:pPr>
    </w:p>
    <w:p w14:paraId="43D37433" w14:textId="77777777" w:rsidR="00B273F2" w:rsidRDefault="00B273F2" w:rsidP="0013285C">
      <w:pPr>
        <w:pStyle w:val="Corpodetexto"/>
        <w:rPr>
          <w:rFonts w:ascii="Garamond" w:hAnsi="Garamond"/>
          <w:sz w:val="27"/>
        </w:rPr>
      </w:pPr>
    </w:p>
    <w:p w14:paraId="311A24D3" w14:textId="77777777" w:rsidR="00B273F2" w:rsidRDefault="00B273F2" w:rsidP="0013285C">
      <w:pPr>
        <w:pStyle w:val="Corpodetexto"/>
        <w:rPr>
          <w:rFonts w:ascii="Garamond" w:hAnsi="Garamond"/>
          <w:sz w:val="27"/>
        </w:rPr>
      </w:pPr>
    </w:p>
    <w:p w14:paraId="058BA619" w14:textId="1AB1C689" w:rsidR="0013285C" w:rsidRPr="00395593" w:rsidRDefault="0013285C" w:rsidP="0013285C">
      <w:pPr>
        <w:pStyle w:val="Corpodetexto"/>
        <w:rPr>
          <w:rFonts w:ascii="Garamond" w:hAnsi="Garamond"/>
          <w:sz w:val="27"/>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50" behindDoc="1" locked="0" layoutInCell="1" allowOverlap="1" wp14:anchorId="32D7E1E1" wp14:editId="651298BE">
                <wp:simplePos x="0" y="0"/>
                <wp:positionH relativeFrom="page">
                  <wp:posOffset>1080770</wp:posOffset>
                </wp:positionH>
                <wp:positionV relativeFrom="paragraph">
                  <wp:posOffset>212725</wp:posOffset>
                </wp:positionV>
                <wp:extent cx="1828800" cy="7620"/>
                <wp:effectExtent l="4445" t="0" r="0" b="3175"/>
                <wp:wrapTopAndBottom/>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E30C6" id="Retângulo 2" o:spid="_x0000_s1026" style="position:absolute;margin-left:85.1pt;margin-top:16.75pt;width:2in;height:.6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CpfQIAAPo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" fillcolor="black" stroked="f">
                <w10:wrap type="topAndBottom" anchorx="page"/>
              </v:rect>
            </w:pict>
          </mc:Fallback>
        </mc:AlternateContent>
      </w:r>
    </w:p>
    <w:p w14:paraId="596FB804" w14:textId="497C95E9" w:rsidR="0013285C" w:rsidRDefault="0013285C" w:rsidP="0013285C">
      <w:pPr>
        <w:spacing w:before="103"/>
        <w:ind w:left="102"/>
        <w:rPr>
          <w:rFonts w:ascii="Garamond" w:hAnsi="Garamond"/>
          <w:sz w:val="20"/>
        </w:rPr>
      </w:pPr>
      <w:r w:rsidRPr="00395593">
        <w:rPr>
          <w:rFonts w:ascii="Garamond" w:hAnsi="Garamond"/>
          <w:sz w:val="20"/>
          <w:vertAlign w:val="superscript"/>
        </w:rPr>
        <w:t>24</w:t>
      </w:r>
      <w:r w:rsidRPr="00395593">
        <w:rPr>
          <w:rFonts w:ascii="Garamond" w:hAnsi="Garamond"/>
          <w:spacing w:val="-2"/>
          <w:sz w:val="20"/>
        </w:rPr>
        <w:t xml:space="preserve"> </w:t>
      </w:r>
      <w:r w:rsidRPr="00395593">
        <w:rPr>
          <w:rFonts w:ascii="Garamond" w:hAnsi="Garamond"/>
          <w:sz w:val="20"/>
        </w:rPr>
        <w:t>A</w:t>
      </w:r>
      <w:r w:rsidRPr="00395593">
        <w:rPr>
          <w:rFonts w:ascii="Garamond" w:hAnsi="Garamond"/>
          <w:spacing w:val="-4"/>
          <w:sz w:val="20"/>
        </w:rPr>
        <w:t xml:space="preserve"> </w:t>
      </w:r>
      <w:r w:rsidRPr="00395593">
        <w:rPr>
          <w:rFonts w:ascii="Garamond" w:hAnsi="Garamond"/>
          <w:sz w:val="20"/>
        </w:rPr>
        <w:t>presente</w:t>
      </w:r>
      <w:r w:rsidRPr="00395593">
        <w:rPr>
          <w:rFonts w:ascii="Garamond" w:hAnsi="Garamond"/>
          <w:spacing w:val="-1"/>
          <w:sz w:val="20"/>
        </w:rPr>
        <w:t xml:space="preserve"> </w:t>
      </w:r>
      <w:r w:rsidRPr="00395593">
        <w:rPr>
          <w:rFonts w:ascii="Garamond" w:hAnsi="Garamond"/>
          <w:sz w:val="20"/>
        </w:rPr>
        <w:t>cláusula</w:t>
      </w:r>
      <w:r w:rsidRPr="00395593">
        <w:rPr>
          <w:rFonts w:ascii="Garamond" w:hAnsi="Garamond"/>
          <w:spacing w:val="-2"/>
          <w:sz w:val="20"/>
        </w:rPr>
        <w:t xml:space="preserve"> </w:t>
      </w:r>
      <w:r w:rsidRPr="00395593">
        <w:rPr>
          <w:rFonts w:ascii="Garamond" w:hAnsi="Garamond"/>
          <w:sz w:val="20"/>
        </w:rPr>
        <w:t>não tem</w:t>
      </w:r>
      <w:r w:rsidRPr="00395593">
        <w:rPr>
          <w:rFonts w:ascii="Garamond" w:hAnsi="Garamond"/>
          <w:spacing w:val="-1"/>
          <w:sz w:val="20"/>
        </w:rPr>
        <w:t xml:space="preserve"> </w:t>
      </w:r>
      <w:r w:rsidRPr="00395593">
        <w:rPr>
          <w:rFonts w:ascii="Garamond" w:hAnsi="Garamond"/>
          <w:sz w:val="20"/>
        </w:rPr>
        <w:t>por</w:t>
      </w:r>
      <w:r w:rsidRPr="00395593">
        <w:rPr>
          <w:rFonts w:ascii="Garamond" w:hAnsi="Garamond"/>
          <w:spacing w:val="-4"/>
          <w:sz w:val="20"/>
        </w:rPr>
        <w:t xml:space="preserve"> </w:t>
      </w:r>
      <w:r w:rsidRPr="00395593">
        <w:rPr>
          <w:rFonts w:ascii="Garamond" w:hAnsi="Garamond"/>
          <w:sz w:val="20"/>
        </w:rPr>
        <w:t>objetivo excluir</w:t>
      </w:r>
      <w:r w:rsidRPr="00395593">
        <w:rPr>
          <w:rFonts w:ascii="Garamond" w:hAnsi="Garamond"/>
          <w:spacing w:val="-2"/>
          <w:sz w:val="20"/>
        </w:rPr>
        <w:t xml:space="preserve"> </w:t>
      </w:r>
      <w:r w:rsidRPr="00395593">
        <w:rPr>
          <w:rFonts w:ascii="Garamond" w:hAnsi="Garamond"/>
          <w:sz w:val="20"/>
        </w:rPr>
        <w:t>a</w:t>
      </w:r>
      <w:r w:rsidRPr="00395593">
        <w:rPr>
          <w:rFonts w:ascii="Garamond" w:hAnsi="Garamond"/>
          <w:spacing w:val="-1"/>
          <w:sz w:val="20"/>
        </w:rPr>
        <w:t xml:space="preserve"> </w:t>
      </w:r>
      <w:r w:rsidRPr="00395593">
        <w:rPr>
          <w:rFonts w:ascii="Garamond" w:hAnsi="Garamond"/>
          <w:sz w:val="20"/>
        </w:rPr>
        <w:t>adoção</w:t>
      </w:r>
      <w:r w:rsidRPr="00395593">
        <w:rPr>
          <w:rFonts w:ascii="Garamond" w:hAnsi="Garamond"/>
          <w:spacing w:val="-1"/>
          <w:sz w:val="20"/>
        </w:rPr>
        <w:t xml:space="preserve"> </w:t>
      </w:r>
      <w:r w:rsidRPr="00395593">
        <w:rPr>
          <w:rFonts w:ascii="Garamond" w:hAnsi="Garamond"/>
          <w:sz w:val="20"/>
        </w:rPr>
        <w:t>de</w:t>
      </w:r>
      <w:r w:rsidRPr="00395593">
        <w:rPr>
          <w:rFonts w:ascii="Garamond" w:hAnsi="Garamond"/>
          <w:spacing w:val="-2"/>
          <w:sz w:val="20"/>
        </w:rPr>
        <w:t xml:space="preserve"> </w:t>
      </w:r>
      <w:r w:rsidRPr="00395593">
        <w:rPr>
          <w:rFonts w:ascii="Garamond" w:hAnsi="Garamond"/>
          <w:sz w:val="20"/>
        </w:rPr>
        <w:t>medidas</w:t>
      </w:r>
      <w:r w:rsidRPr="00395593">
        <w:rPr>
          <w:rFonts w:ascii="Garamond" w:hAnsi="Garamond"/>
          <w:spacing w:val="-2"/>
          <w:sz w:val="20"/>
        </w:rPr>
        <w:t xml:space="preserve"> </w:t>
      </w:r>
      <w:r w:rsidRPr="00395593">
        <w:rPr>
          <w:rFonts w:ascii="Garamond" w:hAnsi="Garamond"/>
          <w:sz w:val="20"/>
        </w:rPr>
        <w:t>ao</w:t>
      </w:r>
      <w:r w:rsidRPr="00395593">
        <w:rPr>
          <w:rFonts w:ascii="Garamond" w:hAnsi="Garamond"/>
          <w:spacing w:val="-1"/>
          <w:sz w:val="20"/>
        </w:rPr>
        <w:t xml:space="preserve"> </w:t>
      </w:r>
      <w:r w:rsidRPr="00395593">
        <w:rPr>
          <w:rFonts w:ascii="Garamond" w:hAnsi="Garamond"/>
          <w:sz w:val="20"/>
        </w:rPr>
        <w:t>amparo de</w:t>
      </w:r>
      <w:r w:rsidRPr="00395593">
        <w:rPr>
          <w:rFonts w:ascii="Garamond" w:hAnsi="Garamond"/>
          <w:spacing w:val="-2"/>
          <w:sz w:val="20"/>
        </w:rPr>
        <w:t xml:space="preserve"> </w:t>
      </w:r>
      <w:r w:rsidRPr="00395593">
        <w:rPr>
          <w:rFonts w:ascii="Garamond" w:hAnsi="Garamond"/>
          <w:sz w:val="20"/>
        </w:rPr>
        <w:t>outras</w:t>
      </w:r>
      <w:r w:rsidRPr="00395593">
        <w:rPr>
          <w:rFonts w:ascii="Garamond" w:hAnsi="Garamond"/>
          <w:spacing w:val="-3"/>
          <w:sz w:val="20"/>
        </w:rPr>
        <w:t xml:space="preserve"> </w:t>
      </w:r>
      <w:r w:rsidRPr="00395593">
        <w:rPr>
          <w:rFonts w:ascii="Garamond" w:hAnsi="Garamond"/>
          <w:sz w:val="20"/>
        </w:rPr>
        <w:t>disposições</w:t>
      </w:r>
      <w:r w:rsidRPr="00395593">
        <w:rPr>
          <w:rFonts w:ascii="Garamond" w:hAnsi="Garamond"/>
          <w:spacing w:val="-47"/>
          <w:sz w:val="20"/>
        </w:rPr>
        <w:t xml:space="preserve"> </w:t>
      </w:r>
      <w:r w:rsidRPr="00395593">
        <w:rPr>
          <w:rFonts w:ascii="Garamond" w:hAnsi="Garamond"/>
          <w:sz w:val="20"/>
        </w:rPr>
        <w:t>pertinentes</w:t>
      </w:r>
      <w:r w:rsidRPr="00395593">
        <w:rPr>
          <w:rFonts w:ascii="Garamond" w:hAnsi="Garamond"/>
          <w:spacing w:val="-2"/>
          <w:sz w:val="20"/>
        </w:rPr>
        <w:t xml:space="preserve"> </w:t>
      </w:r>
      <w:r w:rsidRPr="00395593">
        <w:rPr>
          <w:rFonts w:ascii="Garamond" w:hAnsi="Garamond"/>
          <w:sz w:val="20"/>
        </w:rPr>
        <w:t>do</w:t>
      </w:r>
      <w:r w:rsidRPr="00395593">
        <w:rPr>
          <w:rFonts w:ascii="Garamond" w:hAnsi="Garamond"/>
          <w:spacing w:val="1"/>
          <w:sz w:val="20"/>
        </w:rPr>
        <w:t xml:space="preserve"> </w:t>
      </w:r>
      <w:r w:rsidRPr="00395593">
        <w:rPr>
          <w:rFonts w:ascii="Garamond" w:hAnsi="Garamond"/>
          <w:sz w:val="20"/>
        </w:rPr>
        <w:t>GATT</w:t>
      </w:r>
      <w:r w:rsidRPr="00395593">
        <w:rPr>
          <w:rFonts w:ascii="Garamond" w:hAnsi="Garamond"/>
          <w:spacing w:val="1"/>
          <w:sz w:val="20"/>
        </w:rPr>
        <w:t xml:space="preserve"> </w:t>
      </w:r>
      <w:r w:rsidRPr="00395593">
        <w:rPr>
          <w:rFonts w:ascii="Garamond" w:hAnsi="Garamond"/>
          <w:sz w:val="20"/>
        </w:rPr>
        <w:t>1994, segundo</w:t>
      </w:r>
      <w:r w:rsidRPr="00395593">
        <w:rPr>
          <w:rFonts w:ascii="Garamond" w:hAnsi="Garamond"/>
          <w:spacing w:val="1"/>
          <w:sz w:val="20"/>
        </w:rPr>
        <w:t xml:space="preserve"> </w:t>
      </w:r>
      <w:r w:rsidRPr="00395593">
        <w:rPr>
          <w:rFonts w:ascii="Garamond" w:hAnsi="Garamond"/>
          <w:sz w:val="20"/>
        </w:rPr>
        <w:t>seja</w:t>
      </w:r>
      <w:r w:rsidRPr="00395593">
        <w:rPr>
          <w:rFonts w:ascii="Garamond" w:hAnsi="Garamond"/>
          <w:spacing w:val="-1"/>
          <w:sz w:val="20"/>
        </w:rPr>
        <w:t xml:space="preserve"> </w:t>
      </w:r>
      <w:r w:rsidRPr="00395593">
        <w:rPr>
          <w:rFonts w:ascii="Garamond" w:hAnsi="Garamond"/>
          <w:sz w:val="20"/>
        </w:rPr>
        <w:t>apropriado.</w:t>
      </w:r>
    </w:p>
    <w:p w14:paraId="10839F5D" w14:textId="77777777" w:rsidR="00B273F2" w:rsidRDefault="00B273F2" w:rsidP="00B273F2">
      <w:pPr>
        <w:spacing w:before="103"/>
        <w:rPr>
          <w:rFonts w:ascii="Garamond" w:hAnsi="Garamond"/>
          <w:sz w:val="20"/>
        </w:rPr>
      </w:pPr>
    </w:p>
    <w:p w14:paraId="2FCA4652" w14:textId="77777777" w:rsidR="00B273F2" w:rsidRDefault="00B273F2">
      <w:pPr>
        <w:rPr>
          <w:rFonts w:ascii="Garamond" w:hAnsi="Garamond"/>
          <w:sz w:val="20"/>
        </w:rPr>
      </w:pPr>
      <w:r>
        <w:rPr>
          <w:rFonts w:ascii="Garamond" w:hAnsi="Garamond"/>
          <w:sz w:val="20"/>
        </w:rPr>
        <w:br w:type="page"/>
      </w:r>
    </w:p>
    <w:p w14:paraId="6A12289D" w14:textId="77777777" w:rsidR="0013285C" w:rsidRPr="00395593" w:rsidRDefault="0013285C" w:rsidP="002C4340">
      <w:pPr>
        <w:pStyle w:val="PargrafodaLista"/>
        <w:widowControl w:val="0"/>
        <w:numPr>
          <w:ilvl w:val="0"/>
          <w:numId w:val="5"/>
        </w:numPr>
        <w:tabs>
          <w:tab w:val="left" w:pos="810"/>
        </w:tabs>
        <w:autoSpaceDE w:val="0"/>
        <w:autoSpaceDN w:val="0"/>
        <w:spacing w:before="68" w:after="0" w:line="240" w:lineRule="auto"/>
        <w:ind w:right="123" w:firstLine="0"/>
        <w:contextualSpacing w:val="0"/>
        <w:jc w:val="both"/>
        <w:rPr>
          <w:rFonts w:ascii="Garamond" w:hAnsi="Garamond"/>
          <w:sz w:val="24"/>
        </w:rPr>
      </w:pPr>
      <w:r w:rsidRPr="00395593">
        <w:rPr>
          <w:rFonts w:ascii="Garamond" w:hAnsi="Garamond"/>
          <w:sz w:val="24"/>
        </w:rPr>
        <w:t>Cada Membro informará o Comitê sobre qualquer modificação em sua legislação e</w:t>
      </w:r>
      <w:r w:rsidRPr="00395593">
        <w:rPr>
          <w:rFonts w:ascii="Garamond" w:hAnsi="Garamond"/>
          <w:spacing w:val="1"/>
          <w:sz w:val="24"/>
        </w:rPr>
        <w:t xml:space="preserve"> </w:t>
      </w:r>
      <w:r w:rsidRPr="00395593">
        <w:rPr>
          <w:rFonts w:ascii="Garamond" w:hAnsi="Garamond"/>
          <w:sz w:val="24"/>
        </w:rPr>
        <w:t>regulamentos</w:t>
      </w:r>
      <w:r w:rsidRPr="00395593">
        <w:rPr>
          <w:rFonts w:ascii="Garamond" w:hAnsi="Garamond"/>
          <w:spacing w:val="-1"/>
          <w:sz w:val="24"/>
        </w:rPr>
        <w:t xml:space="preserve"> </w:t>
      </w:r>
      <w:r w:rsidRPr="00395593">
        <w:rPr>
          <w:rFonts w:ascii="Garamond" w:hAnsi="Garamond"/>
          <w:sz w:val="24"/>
        </w:rPr>
        <w:t>relacionada</w:t>
      </w:r>
      <w:r w:rsidRPr="00395593">
        <w:rPr>
          <w:rFonts w:ascii="Garamond" w:hAnsi="Garamond"/>
          <w:spacing w:val="-1"/>
          <w:sz w:val="24"/>
        </w:rPr>
        <w:t xml:space="preserve"> </w:t>
      </w:r>
      <w:r w:rsidRPr="00395593">
        <w:rPr>
          <w:rFonts w:ascii="Garamond" w:hAnsi="Garamond"/>
          <w:sz w:val="24"/>
        </w:rPr>
        <w:t>com este</w:t>
      </w:r>
      <w:r w:rsidRPr="00395593">
        <w:rPr>
          <w:rFonts w:ascii="Garamond" w:hAnsi="Garamond"/>
          <w:spacing w:val="-2"/>
          <w:sz w:val="24"/>
        </w:rPr>
        <w:t xml:space="preserve"> </w:t>
      </w:r>
      <w:r w:rsidRPr="00395593">
        <w:rPr>
          <w:rFonts w:ascii="Garamond" w:hAnsi="Garamond"/>
          <w:sz w:val="24"/>
        </w:rPr>
        <w:t>Acordo</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sobre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2"/>
          <w:sz w:val="24"/>
        </w:rPr>
        <w:t xml:space="preserve"> </w:t>
      </w:r>
      <w:r w:rsidRPr="00395593">
        <w:rPr>
          <w:rFonts w:ascii="Garamond" w:hAnsi="Garamond"/>
          <w:sz w:val="24"/>
        </w:rPr>
        <w:t>aplicação de</w:t>
      </w:r>
      <w:r w:rsidRPr="00395593">
        <w:rPr>
          <w:rFonts w:ascii="Garamond" w:hAnsi="Garamond"/>
          <w:spacing w:val="-1"/>
          <w:sz w:val="24"/>
        </w:rPr>
        <w:t xml:space="preserve"> </w:t>
      </w:r>
      <w:r w:rsidRPr="00395593">
        <w:rPr>
          <w:rFonts w:ascii="Garamond" w:hAnsi="Garamond"/>
          <w:sz w:val="24"/>
        </w:rPr>
        <w:t>tais leis</w:t>
      </w:r>
      <w:r w:rsidRPr="00395593">
        <w:rPr>
          <w:rFonts w:ascii="Garamond" w:hAnsi="Garamond"/>
          <w:spacing w:val="-1"/>
          <w:sz w:val="24"/>
        </w:rPr>
        <w:t xml:space="preserve"> </w:t>
      </w:r>
      <w:r w:rsidRPr="00395593">
        <w:rPr>
          <w:rFonts w:ascii="Garamond" w:hAnsi="Garamond"/>
          <w:sz w:val="24"/>
        </w:rPr>
        <w:t>e regulamentos.</w:t>
      </w:r>
    </w:p>
    <w:p w14:paraId="55ACFF47" w14:textId="77777777" w:rsidR="0013285C" w:rsidRPr="00395593" w:rsidRDefault="0013285C" w:rsidP="0013285C">
      <w:pPr>
        <w:pStyle w:val="Corpodetexto"/>
        <w:rPr>
          <w:rFonts w:ascii="Garamond" w:hAnsi="Garamond"/>
        </w:rPr>
      </w:pPr>
    </w:p>
    <w:p w14:paraId="68CA2460" w14:textId="77777777" w:rsidR="0013285C" w:rsidRPr="00395593" w:rsidRDefault="0013285C" w:rsidP="002C4340">
      <w:pPr>
        <w:pStyle w:val="PargrafodaLista"/>
        <w:widowControl w:val="0"/>
        <w:numPr>
          <w:ilvl w:val="0"/>
          <w:numId w:val="5"/>
        </w:numPr>
        <w:tabs>
          <w:tab w:val="left" w:pos="810"/>
        </w:tabs>
        <w:autoSpaceDE w:val="0"/>
        <w:autoSpaceDN w:val="0"/>
        <w:spacing w:after="0" w:line="240" w:lineRule="auto"/>
        <w:ind w:right="121" w:firstLine="0"/>
        <w:contextualSpacing w:val="0"/>
        <w:jc w:val="both"/>
        <w:rPr>
          <w:rFonts w:ascii="Garamond" w:hAnsi="Garamond"/>
          <w:sz w:val="24"/>
        </w:rPr>
      </w:pPr>
      <w:r w:rsidRPr="00395593">
        <w:rPr>
          <w:rFonts w:ascii="Garamond" w:hAnsi="Garamond"/>
          <w:sz w:val="24"/>
        </w:rPr>
        <w:t>O Comitê reverá anualmente a aplicação e o funcionamento deste Acordo, levando</w:t>
      </w:r>
      <w:r w:rsidRPr="00395593">
        <w:rPr>
          <w:rFonts w:ascii="Garamond" w:hAnsi="Garamond"/>
          <w:spacing w:val="1"/>
          <w:sz w:val="24"/>
        </w:rPr>
        <w:t xml:space="preserve"> </w:t>
      </w:r>
      <w:r w:rsidRPr="00395593">
        <w:rPr>
          <w:rFonts w:ascii="Garamond" w:hAnsi="Garamond"/>
          <w:sz w:val="24"/>
        </w:rPr>
        <w:t>em conta seus objetivos. O Comitê informará anualmente o Conselho para o Comércio de</w:t>
      </w:r>
      <w:r w:rsidRPr="00395593">
        <w:rPr>
          <w:rFonts w:ascii="Garamond" w:hAnsi="Garamond"/>
          <w:spacing w:val="1"/>
          <w:sz w:val="24"/>
        </w:rPr>
        <w:t xml:space="preserve"> </w:t>
      </w:r>
      <w:r w:rsidRPr="00395593">
        <w:rPr>
          <w:rFonts w:ascii="Garamond" w:hAnsi="Garamond"/>
          <w:sz w:val="24"/>
        </w:rPr>
        <w:t>Bens</w:t>
      </w:r>
      <w:r w:rsidRPr="00395593">
        <w:rPr>
          <w:rFonts w:ascii="Garamond" w:hAnsi="Garamond"/>
          <w:spacing w:val="-1"/>
          <w:sz w:val="24"/>
        </w:rPr>
        <w:t xml:space="preserve"> </w:t>
      </w:r>
      <w:r w:rsidRPr="00395593">
        <w:rPr>
          <w:rFonts w:ascii="Garamond" w:hAnsi="Garamond"/>
          <w:sz w:val="24"/>
        </w:rPr>
        <w:t>sobre</w:t>
      </w:r>
      <w:r w:rsidRPr="00395593">
        <w:rPr>
          <w:rFonts w:ascii="Garamond" w:hAnsi="Garamond"/>
          <w:spacing w:val="-2"/>
          <w:sz w:val="24"/>
        </w:rPr>
        <w:t xml:space="preserve"> </w:t>
      </w:r>
      <w:r w:rsidRPr="00395593">
        <w:rPr>
          <w:rFonts w:ascii="Garamond" w:hAnsi="Garamond"/>
          <w:sz w:val="24"/>
        </w:rPr>
        <w:t>os desenvolvimentos</w:t>
      </w:r>
      <w:r w:rsidRPr="00395593">
        <w:rPr>
          <w:rFonts w:ascii="Garamond" w:hAnsi="Garamond"/>
          <w:spacing w:val="-1"/>
          <w:sz w:val="24"/>
        </w:rPr>
        <w:t xml:space="preserve"> </w:t>
      </w:r>
      <w:r w:rsidRPr="00395593">
        <w:rPr>
          <w:rFonts w:ascii="Garamond" w:hAnsi="Garamond"/>
          <w:sz w:val="24"/>
        </w:rPr>
        <w:t>registrados durante</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período coberto</w:t>
      </w:r>
      <w:r w:rsidRPr="00395593">
        <w:rPr>
          <w:rFonts w:ascii="Garamond" w:hAnsi="Garamond"/>
          <w:spacing w:val="1"/>
          <w:sz w:val="24"/>
        </w:rPr>
        <w:t xml:space="preserve"> </w:t>
      </w:r>
      <w:r w:rsidRPr="00395593">
        <w:rPr>
          <w:rFonts w:ascii="Garamond" w:hAnsi="Garamond"/>
          <w:sz w:val="24"/>
        </w:rPr>
        <w:t>por tais</w:t>
      </w:r>
      <w:r w:rsidRPr="00395593">
        <w:rPr>
          <w:rFonts w:ascii="Garamond" w:hAnsi="Garamond"/>
          <w:spacing w:val="-1"/>
          <w:sz w:val="24"/>
        </w:rPr>
        <w:t xml:space="preserve"> </w:t>
      </w:r>
      <w:r w:rsidRPr="00395593">
        <w:rPr>
          <w:rFonts w:ascii="Garamond" w:hAnsi="Garamond"/>
          <w:sz w:val="24"/>
        </w:rPr>
        <w:t>revisões.</w:t>
      </w:r>
    </w:p>
    <w:p w14:paraId="2DE2720F" w14:textId="77777777" w:rsidR="0013285C" w:rsidRPr="00395593" w:rsidRDefault="0013285C" w:rsidP="0013285C">
      <w:pPr>
        <w:pStyle w:val="Corpodetexto"/>
        <w:rPr>
          <w:rFonts w:ascii="Garamond" w:hAnsi="Garamond"/>
        </w:rPr>
      </w:pPr>
    </w:p>
    <w:p w14:paraId="633E749A" w14:textId="77777777" w:rsidR="0013285C" w:rsidRPr="00395593" w:rsidRDefault="0013285C" w:rsidP="002C4340">
      <w:pPr>
        <w:pStyle w:val="PargrafodaLista"/>
        <w:widowControl w:val="0"/>
        <w:numPr>
          <w:ilvl w:val="0"/>
          <w:numId w:val="5"/>
        </w:numPr>
        <w:tabs>
          <w:tab w:val="left" w:pos="810"/>
        </w:tabs>
        <w:autoSpaceDE w:val="0"/>
        <w:autoSpaceDN w:val="0"/>
        <w:spacing w:after="0" w:line="240" w:lineRule="auto"/>
        <w:ind w:left="810"/>
        <w:contextualSpacing w:val="0"/>
        <w:jc w:val="both"/>
        <w:rPr>
          <w:rFonts w:ascii="Garamond" w:hAnsi="Garamond"/>
          <w:sz w:val="24"/>
        </w:rPr>
      </w:pP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anexos</w:t>
      </w:r>
      <w:r w:rsidRPr="00395593">
        <w:rPr>
          <w:rFonts w:ascii="Garamond" w:hAnsi="Garamond"/>
          <w:spacing w:val="-1"/>
          <w:sz w:val="24"/>
        </w:rPr>
        <w:t xml:space="preserve"> </w:t>
      </w:r>
      <w:r w:rsidRPr="00395593">
        <w:rPr>
          <w:rFonts w:ascii="Garamond" w:hAnsi="Garamond"/>
          <w:sz w:val="24"/>
        </w:rPr>
        <w:t>ao</w:t>
      </w:r>
      <w:r w:rsidRPr="00395593">
        <w:rPr>
          <w:rFonts w:ascii="Garamond" w:hAnsi="Garamond"/>
          <w:spacing w:val="-1"/>
          <w:sz w:val="24"/>
        </w:rPr>
        <w:t xml:space="preserve"> </w:t>
      </w:r>
      <w:r w:rsidRPr="00395593">
        <w:rPr>
          <w:rFonts w:ascii="Garamond" w:hAnsi="Garamond"/>
          <w:sz w:val="24"/>
        </w:rPr>
        <w:t>presente Acordo</w:t>
      </w:r>
      <w:r w:rsidRPr="00395593">
        <w:rPr>
          <w:rFonts w:ascii="Garamond" w:hAnsi="Garamond"/>
          <w:spacing w:val="-1"/>
          <w:sz w:val="24"/>
        </w:rPr>
        <w:t xml:space="preserve"> </w:t>
      </w:r>
      <w:r w:rsidRPr="00395593">
        <w:rPr>
          <w:rFonts w:ascii="Garamond" w:hAnsi="Garamond"/>
          <w:sz w:val="24"/>
        </w:rPr>
        <w:t>formam</w:t>
      </w:r>
      <w:r w:rsidRPr="00395593">
        <w:rPr>
          <w:rFonts w:ascii="Garamond" w:hAnsi="Garamond"/>
          <w:spacing w:val="-1"/>
          <w:sz w:val="24"/>
        </w:rPr>
        <w:t xml:space="preserve"> </w:t>
      </w:r>
      <w:r w:rsidRPr="00395593">
        <w:rPr>
          <w:rFonts w:ascii="Garamond" w:hAnsi="Garamond"/>
          <w:sz w:val="24"/>
        </w:rPr>
        <w:t>parte</w:t>
      </w:r>
      <w:r w:rsidRPr="00395593">
        <w:rPr>
          <w:rFonts w:ascii="Garamond" w:hAnsi="Garamond"/>
          <w:spacing w:val="-3"/>
          <w:sz w:val="24"/>
        </w:rPr>
        <w:t xml:space="preserve"> </w:t>
      </w:r>
      <w:r w:rsidRPr="00395593">
        <w:rPr>
          <w:rFonts w:ascii="Garamond" w:hAnsi="Garamond"/>
          <w:sz w:val="24"/>
        </w:rPr>
        <w:t>integrante</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mesmo.</w:t>
      </w:r>
    </w:p>
    <w:p w14:paraId="525156DA" w14:textId="2E0DCA0E" w:rsidR="00D815D9" w:rsidRPr="005C5CBD" w:rsidRDefault="00D815D9" w:rsidP="00D815D9">
      <w:pPr>
        <w:pStyle w:val="Corpodetexto"/>
        <w:rPr>
          <w:rFonts w:ascii="Garamond" w:hAnsi="Garamond"/>
        </w:rPr>
      </w:pPr>
    </w:p>
    <w:p w14:paraId="44883461" w14:textId="28AB6513" w:rsidR="0013285C" w:rsidRPr="00395593" w:rsidRDefault="0013285C" w:rsidP="00D815D9">
      <w:pPr>
        <w:pStyle w:val="Corpodetexto"/>
        <w:jc w:val="center"/>
        <w:rPr>
          <w:rFonts w:ascii="Garamond" w:hAnsi="Garamond"/>
          <w:b/>
        </w:rPr>
      </w:pPr>
      <w:r w:rsidRPr="00395593">
        <w:rPr>
          <w:rFonts w:ascii="Garamond" w:hAnsi="Garamond"/>
          <w:b/>
        </w:rPr>
        <w:t>ANEXO I</w:t>
      </w:r>
    </w:p>
    <w:p w14:paraId="2CED08BE" w14:textId="77777777" w:rsidR="0013285C" w:rsidRPr="00395593" w:rsidRDefault="0013285C" w:rsidP="0013285C">
      <w:pPr>
        <w:pStyle w:val="Corpodetexto"/>
        <w:ind w:left="176" w:right="195"/>
        <w:jc w:val="center"/>
        <w:rPr>
          <w:rFonts w:ascii="Garamond" w:hAnsi="Garamond"/>
          <w:b/>
        </w:rPr>
      </w:pPr>
      <w:r w:rsidRPr="00395593">
        <w:rPr>
          <w:rFonts w:ascii="Garamond" w:hAnsi="Garamond"/>
          <w:b/>
        </w:rPr>
        <w:t>PROCEDIMENTOS</w:t>
      </w:r>
      <w:r w:rsidRPr="00395593">
        <w:rPr>
          <w:rFonts w:ascii="Garamond" w:hAnsi="Garamond"/>
          <w:b/>
          <w:spacing w:val="-4"/>
        </w:rPr>
        <w:t xml:space="preserve"> </w:t>
      </w:r>
      <w:r w:rsidRPr="00395593">
        <w:rPr>
          <w:rFonts w:ascii="Garamond" w:hAnsi="Garamond"/>
          <w:b/>
        </w:rPr>
        <w:t>PARA</w:t>
      </w:r>
      <w:r w:rsidRPr="00395593">
        <w:rPr>
          <w:rFonts w:ascii="Garamond" w:hAnsi="Garamond"/>
          <w:b/>
          <w:spacing w:val="-2"/>
        </w:rPr>
        <w:t xml:space="preserve"> </w:t>
      </w:r>
      <w:r w:rsidRPr="00395593">
        <w:rPr>
          <w:rFonts w:ascii="Garamond" w:hAnsi="Garamond"/>
          <w:b/>
        </w:rPr>
        <w:t>INVESTIGAÇÕES</w:t>
      </w:r>
      <w:r w:rsidRPr="00395593">
        <w:rPr>
          <w:rFonts w:ascii="Garamond" w:hAnsi="Garamond"/>
          <w:b/>
          <w:spacing w:val="1"/>
        </w:rPr>
        <w:t xml:space="preserve"> </w:t>
      </w:r>
      <w:r w:rsidRPr="00395593">
        <w:rPr>
          <w:rFonts w:ascii="Garamond" w:hAnsi="Garamond"/>
          <w:b/>
          <w:i/>
        </w:rPr>
        <w:t>IN</w:t>
      </w:r>
      <w:r w:rsidRPr="00395593">
        <w:rPr>
          <w:rFonts w:ascii="Garamond" w:hAnsi="Garamond"/>
          <w:b/>
          <w:i/>
          <w:spacing w:val="-3"/>
        </w:rPr>
        <w:t xml:space="preserve"> </w:t>
      </w:r>
      <w:r w:rsidRPr="00395593">
        <w:rPr>
          <w:rFonts w:ascii="Garamond" w:hAnsi="Garamond"/>
          <w:b/>
          <w:i/>
        </w:rPr>
        <w:t>LOCO</w:t>
      </w:r>
      <w:r w:rsidRPr="00395593">
        <w:rPr>
          <w:rFonts w:ascii="Garamond" w:hAnsi="Garamond"/>
          <w:b/>
          <w:i/>
          <w:spacing w:val="-3"/>
        </w:rPr>
        <w:t xml:space="preserve"> </w:t>
      </w:r>
      <w:r w:rsidRPr="00395593">
        <w:rPr>
          <w:rFonts w:ascii="Garamond" w:hAnsi="Garamond"/>
          <w:b/>
        </w:rPr>
        <w:t>REALIZADAS</w:t>
      </w:r>
      <w:r w:rsidRPr="00395593">
        <w:rPr>
          <w:rFonts w:ascii="Garamond" w:hAnsi="Garamond"/>
          <w:b/>
          <w:spacing w:val="-3"/>
        </w:rPr>
        <w:t xml:space="preserve"> </w:t>
      </w:r>
      <w:r w:rsidRPr="00395593">
        <w:rPr>
          <w:rFonts w:ascii="Garamond" w:hAnsi="Garamond"/>
          <w:b/>
        </w:rPr>
        <w:t>SEGUNDO</w:t>
      </w:r>
      <w:r w:rsidRPr="00395593">
        <w:rPr>
          <w:rFonts w:ascii="Garamond" w:hAnsi="Garamond"/>
          <w:b/>
          <w:spacing w:val="-4"/>
        </w:rPr>
        <w:t xml:space="preserve"> </w:t>
      </w:r>
      <w:r w:rsidRPr="00395593">
        <w:rPr>
          <w:rFonts w:ascii="Garamond" w:hAnsi="Garamond"/>
          <w:b/>
        </w:rPr>
        <w:t>O</w:t>
      </w:r>
      <w:r w:rsidRPr="00395593">
        <w:rPr>
          <w:rFonts w:ascii="Garamond" w:hAnsi="Garamond"/>
          <w:b/>
          <w:spacing w:val="-57"/>
        </w:rPr>
        <w:t xml:space="preserve"> </w:t>
      </w:r>
      <w:r w:rsidRPr="00395593">
        <w:rPr>
          <w:rFonts w:ascii="Garamond" w:hAnsi="Garamond"/>
          <w:b/>
        </w:rPr>
        <w:t>PARÁGRAFO</w:t>
      </w:r>
      <w:r w:rsidRPr="00395593">
        <w:rPr>
          <w:rFonts w:ascii="Garamond" w:hAnsi="Garamond"/>
          <w:b/>
          <w:spacing w:val="-1"/>
        </w:rPr>
        <w:t xml:space="preserve"> </w:t>
      </w:r>
      <w:r w:rsidRPr="00395593">
        <w:rPr>
          <w:rFonts w:ascii="Garamond" w:hAnsi="Garamond"/>
          <w:b/>
        </w:rPr>
        <w:t>9 DO ARTIGO</w:t>
      </w:r>
      <w:r w:rsidRPr="00395593">
        <w:rPr>
          <w:rFonts w:ascii="Garamond" w:hAnsi="Garamond"/>
          <w:b/>
          <w:spacing w:val="-1"/>
        </w:rPr>
        <w:t xml:space="preserve"> </w:t>
      </w:r>
      <w:r w:rsidRPr="00395593">
        <w:rPr>
          <w:rFonts w:ascii="Garamond" w:hAnsi="Garamond"/>
          <w:b/>
        </w:rPr>
        <w:t>6</w:t>
      </w:r>
    </w:p>
    <w:p w14:paraId="1C752C67" w14:textId="77777777" w:rsidR="0013285C" w:rsidRPr="00395593" w:rsidRDefault="0013285C" w:rsidP="0013285C">
      <w:pPr>
        <w:pStyle w:val="Corpodetexto"/>
        <w:spacing w:before="1"/>
        <w:rPr>
          <w:rFonts w:ascii="Garamond" w:hAnsi="Garamond"/>
        </w:rPr>
      </w:pPr>
    </w:p>
    <w:p w14:paraId="56353AEA" w14:textId="77777777" w:rsidR="0013285C" w:rsidRPr="00395593" w:rsidRDefault="0013285C" w:rsidP="002C4340">
      <w:pPr>
        <w:pStyle w:val="PargrafodaLista"/>
        <w:widowControl w:val="0"/>
        <w:numPr>
          <w:ilvl w:val="0"/>
          <w:numId w:val="4"/>
        </w:numPr>
        <w:tabs>
          <w:tab w:val="left" w:pos="810"/>
        </w:tabs>
        <w:autoSpaceDE w:val="0"/>
        <w:autoSpaceDN w:val="0"/>
        <w:spacing w:after="0" w:line="240" w:lineRule="auto"/>
        <w:ind w:right="118" w:firstLine="0"/>
        <w:contextualSpacing w:val="0"/>
        <w:jc w:val="both"/>
        <w:rPr>
          <w:rFonts w:ascii="Garamond" w:hAnsi="Garamond"/>
          <w:sz w:val="24"/>
        </w:rPr>
      </w:pPr>
      <w:r w:rsidRPr="00395593">
        <w:rPr>
          <w:rFonts w:ascii="Garamond" w:hAnsi="Garamond"/>
          <w:sz w:val="24"/>
        </w:rPr>
        <w:t>Ao</w:t>
      </w:r>
      <w:r w:rsidRPr="00395593">
        <w:rPr>
          <w:rFonts w:ascii="Garamond" w:hAnsi="Garamond"/>
          <w:spacing w:val="1"/>
          <w:sz w:val="24"/>
        </w:rPr>
        <w:t xml:space="preserve"> </w:t>
      </w:r>
      <w:r w:rsidRPr="00395593">
        <w:rPr>
          <w:rFonts w:ascii="Garamond" w:hAnsi="Garamond"/>
          <w:sz w:val="24"/>
        </w:rPr>
        <w:t>iniciar-se</w:t>
      </w:r>
      <w:r w:rsidRPr="00395593">
        <w:rPr>
          <w:rFonts w:ascii="Garamond" w:hAnsi="Garamond"/>
          <w:spacing w:val="1"/>
          <w:sz w:val="24"/>
        </w:rPr>
        <w:t xml:space="preserve"> </w:t>
      </w:r>
      <w:r w:rsidRPr="00395593">
        <w:rPr>
          <w:rFonts w:ascii="Garamond" w:hAnsi="Garamond"/>
          <w:sz w:val="24"/>
        </w:rPr>
        <w:t>uma</w:t>
      </w:r>
      <w:r w:rsidRPr="00395593">
        <w:rPr>
          <w:rFonts w:ascii="Garamond" w:hAnsi="Garamond"/>
          <w:spacing w:val="1"/>
          <w:sz w:val="24"/>
        </w:rPr>
        <w:t xml:space="preserve"> </w:t>
      </w:r>
      <w:r w:rsidRPr="00395593">
        <w:rPr>
          <w:rFonts w:ascii="Garamond" w:hAnsi="Garamond"/>
          <w:sz w:val="24"/>
        </w:rPr>
        <w:t>investigação,</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Membro</w:t>
      </w:r>
      <w:r w:rsidRPr="00395593">
        <w:rPr>
          <w:rFonts w:ascii="Garamond" w:hAnsi="Garamond"/>
          <w:spacing w:val="1"/>
          <w:sz w:val="24"/>
        </w:rPr>
        <w:t xml:space="preserve"> </w:t>
      </w:r>
      <w:r w:rsidRPr="00395593">
        <w:rPr>
          <w:rFonts w:ascii="Garamond" w:hAnsi="Garamond"/>
          <w:sz w:val="24"/>
        </w:rPr>
        <w:t>exportador</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60"/>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empresas que se saiba estão interessadas devem ser informadas da intenção da realizar</w:t>
      </w:r>
      <w:r w:rsidRPr="00395593">
        <w:rPr>
          <w:rFonts w:ascii="Garamond" w:hAnsi="Garamond"/>
          <w:spacing w:val="1"/>
          <w:sz w:val="24"/>
        </w:rPr>
        <w:t xml:space="preserve"> </w:t>
      </w:r>
      <w:r w:rsidRPr="00395593">
        <w:rPr>
          <w:rFonts w:ascii="Garamond" w:hAnsi="Garamond"/>
          <w:sz w:val="24"/>
        </w:rPr>
        <w:t>investigações</w:t>
      </w:r>
      <w:r w:rsidRPr="00395593">
        <w:rPr>
          <w:rFonts w:ascii="Garamond" w:hAnsi="Garamond"/>
          <w:spacing w:val="-1"/>
          <w:sz w:val="24"/>
        </w:rPr>
        <w:t xml:space="preserve"> </w:t>
      </w:r>
      <w:r w:rsidRPr="00395593">
        <w:rPr>
          <w:rFonts w:ascii="Garamond" w:hAnsi="Garamond"/>
          <w:i/>
          <w:sz w:val="24"/>
        </w:rPr>
        <w:t>in loco</w:t>
      </w:r>
      <w:r w:rsidRPr="00395593">
        <w:rPr>
          <w:rFonts w:ascii="Garamond" w:hAnsi="Garamond"/>
          <w:sz w:val="24"/>
        </w:rPr>
        <w:t>.</w:t>
      </w:r>
    </w:p>
    <w:p w14:paraId="5322187F" w14:textId="77777777" w:rsidR="0013285C" w:rsidRPr="00395593" w:rsidRDefault="0013285C" w:rsidP="0013285C">
      <w:pPr>
        <w:pStyle w:val="Corpodetexto"/>
        <w:rPr>
          <w:rFonts w:ascii="Garamond" w:hAnsi="Garamond"/>
        </w:rPr>
      </w:pPr>
    </w:p>
    <w:p w14:paraId="5E1292C8" w14:textId="77777777" w:rsidR="0013285C" w:rsidRPr="00395593" w:rsidRDefault="0013285C" w:rsidP="002C4340">
      <w:pPr>
        <w:pStyle w:val="PargrafodaLista"/>
        <w:widowControl w:val="0"/>
        <w:numPr>
          <w:ilvl w:val="0"/>
          <w:numId w:val="4"/>
        </w:numPr>
        <w:tabs>
          <w:tab w:val="left" w:pos="810"/>
        </w:tabs>
        <w:autoSpaceDE w:val="0"/>
        <w:autoSpaceDN w:val="0"/>
        <w:spacing w:after="0" w:line="240" w:lineRule="auto"/>
        <w:ind w:right="116" w:firstLine="0"/>
        <w:contextualSpacing w:val="0"/>
        <w:jc w:val="both"/>
        <w:rPr>
          <w:rFonts w:ascii="Garamond" w:hAnsi="Garamond"/>
          <w:sz w:val="24"/>
        </w:rPr>
      </w:pP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circunstâncias</w:t>
      </w:r>
      <w:r w:rsidRPr="00395593">
        <w:rPr>
          <w:rFonts w:ascii="Garamond" w:hAnsi="Garamond"/>
          <w:spacing w:val="1"/>
          <w:sz w:val="24"/>
        </w:rPr>
        <w:t xml:space="preserve"> </w:t>
      </w:r>
      <w:r w:rsidRPr="00395593">
        <w:rPr>
          <w:rFonts w:ascii="Garamond" w:hAnsi="Garamond"/>
          <w:sz w:val="24"/>
        </w:rPr>
        <w:t>excepcionais,</w:t>
      </w:r>
      <w:r w:rsidRPr="00395593">
        <w:rPr>
          <w:rFonts w:ascii="Garamond" w:hAnsi="Garamond"/>
          <w:spacing w:val="1"/>
          <w:sz w:val="24"/>
        </w:rPr>
        <w:t xml:space="preserve"> </w:t>
      </w:r>
      <w:r w:rsidRPr="00395593">
        <w:rPr>
          <w:rFonts w:ascii="Garamond" w:hAnsi="Garamond"/>
          <w:sz w:val="24"/>
        </w:rPr>
        <w:t>for</w:t>
      </w:r>
      <w:r w:rsidRPr="00395593">
        <w:rPr>
          <w:rFonts w:ascii="Garamond" w:hAnsi="Garamond"/>
          <w:spacing w:val="1"/>
          <w:sz w:val="24"/>
        </w:rPr>
        <w:t xml:space="preserve"> </w:t>
      </w:r>
      <w:r w:rsidRPr="00395593">
        <w:rPr>
          <w:rFonts w:ascii="Garamond" w:hAnsi="Garamond"/>
          <w:sz w:val="24"/>
        </w:rPr>
        <w:t>intenção</w:t>
      </w:r>
      <w:r w:rsidRPr="00395593">
        <w:rPr>
          <w:rFonts w:ascii="Garamond" w:hAnsi="Garamond"/>
          <w:spacing w:val="1"/>
          <w:sz w:val="24"/>
        </w:rPr>
        <w:t xml:space="preserve"> </w:t>
      </w:r>
      <w:r w:rsidRPr="00395593">
        <w:rPr>
          <w:rFonts w:ascii="Garamond" w:hAnsi="Garamond"/>
          <w:sz w:val="24"/>
        </w:rPr>
        <w:t>fazer</w:t>
      </w:r>
      <w:r w:rsidRPr="00395593">
        <w:rPr>
          <w:rFonts w:ascii="Garamond" w:hAnsi="Garamond"/>
          <w:spacing w:val="1"/>
          <w:sz w:val="24"/>
        </w:rPr>
        <w:t xml:space="preserve"> </w:t>
      </w:r>
      <w:r w:rsidRPr="00395593">
        <w:rPr>
          <w:rFonts w:ascii="Garamond" w:hAnsi="Garamond"/>
          <w:sz w:val="24"/>
        </w:rPr>
        <w:t>incluir</w:t>
      </w:r>
      <w:r w:rsidRPr="00395593">
        <w:rPr>
          <w:rFonts w:ascii="Garamond" w:hAnsi="Garamond"/>
          <w:spacing w:val="1"/>
          <w:sz w:val="24"/>
        </w:rPr>
        <w:t xml:space="preserve"> </w:t>
      </w:r>
      <w:r w:rsidRPr="00395593">
        <w:rPr>
          <w:rFonts w:ascii="Garamond" w:hAnsi="Garamond"/>
          <w:sz w:val="24"/>
        </w:rPr>
        <w:t>peritos</w:t>
      </w:r>
      <w:r w:rsidRPr="00395593">
        <w:rPr>
          <w:rFonts w:ascii="Garamond" w:hAnsi="Garamond"/>
          <w:spacing w:val="1"/>
          <w:sz w:val="24"/>
        </w:rPr>
        <w:t xml:space="preserve"> </w:t>
      </w:r>
      <w:r w:rsidRPr="00395593">
        <w:rPr>
          <w:rFonts w:ascii="Garamond" w:hAnsi="Garamond"/>
          <w:sz w:val="24"/>
        </w:rPr>
        <w:t>não-</w:t>
      </w:r>
      <w:r w:rsidRPr="00395593">
        <w:rPr>
          <w:rFonts w:ascii="Garamond" w:hAnsi="Garamond"/>
          <w:spacing w:val="1"/>
          <w:sz w:val="24"/>
        </w:rPr>
        <w:t xml:space="preserve"> </w:t>
      </w:r>
      <w:r w:rsidRPr="00395593">
        <w:rPr>
          <w:rFonts w:ascii="Garamond" w:hAnsi="Garamond"/>
          <w:sz w:val="24"/>
        </w:rPr>
        <w:t>governamentais</w:t>
      </w:r>
      <w:r w:rsidRPr="00395593">
        <w:rPr>
          <w:rFonts w:ascii="Garamond" w:hAnsi="Garamond"/>
          <w:spacing w:val="1"/>
          <w:sz w:val="24"/>
        </w:rPr>
        <w:t xml:space="preserve"> </w:t>
      </w:r>
      <w:r w:rsidRPr="00395593">
        <w:rPr>
          <w:rFonts w:ascii="Garamond" w:hAnsi="Garamond"/>
          <w:sz w:val="24"/>
        </w:rPr>
        <w:t>na</w:t>
      </w:r>
      <w:r w:rsidRPr="00395593">
        <w:rPr>
          <w:rFonts w:ascii="Garamond" w:hAnsi="Garamond"/>
          <w:spacing w:val="1"/>
          <w:sz w:val="24"/>
        </w:rPr>
        <w:t xml:space="preserve"> </w:t>
      </w:r>
      <w:r w:rsidRPr="00395593">
        <w:rPr>
          <w:rFonts w:ascii="Garamond" w:hAnsi="Garamond"/>
          <w:sz w:val="24"/>
        </w:rPr>
        <w:t>equipe</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investigação,</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empresas</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Membro</w:t>
      </w:r>
      <w:r w:rsidRPr="00395593">
        <w:rPr>
          <w:rFonts w:ascii="Garamond" w:hAnsi="Garamond"/>
          <w:spacing w:val="1"/>
          <w:sz w:val="24"/>
        </w:rPr>
        <w:t xml:space="preserve"> </w:t>
      </w:r>
      <w:r w:rsidRPr="00395593">
        <w:rPr>
          <w:rFonts w:ascii="Garamond" w:hAnsi="Garamond"/>
          <w:sz w:val="24"/>
        </w:rPr>
        <w:t>exportador devem ser informadas a respeito. Tais peritos não-governamentais deverão ser</w:t>
      </w:r>
      <w:r w:rsidRPr="00395593">
        <w:rPr>
          <w:rFonts w:ascii="Garamond" w:hAnsi="Garamond"/>
          <w:spacing w:val="1"/>
          <w:sz w:val="24"/>
        </w:rPr>
        <w:t xml:space="preserve"> </w:t>
      </w:r>
      <w:r w:rsidRPr="00395593">
        <w:rPr>
          <w:rFonts w:ascii="Garamond" w:hAnsi="Garamond"/>
          <w:sz w:val="24"/>
        </w:rPr>
        <w:t>passíveis</w:t>
      </w:r>
      <w:r w:rsidRPr="00395593">
        <w:rPr>
          <w:rFonts w:ascii="Garamond" w:hAnsi="Garamond"/>
          <w:spacing w:val="-1"/>
          <w:sz w:val="24"/>
        </w:rPr>
        <w:t xml:space="preserve"> </w:t>
      </w:r>
      <w:r w:rsidRPr="00395593">
        <w:rPr>
          <w:rFonts w:ascii="Garamond" w:hAnsi="Garamond"/>
          <w:sz w:val="24"/>
        </w:rPr>
        <w:t>de sanções eficazes em caso de</w:t>
      </w:r>
      <w:r w:rsidRPr="00395593">
        <w:rPr>
          <w:rFonts w:ascii="Garamond" w:hAnsi="Garamond"/>
          <w:spacing w:val="-1"/>
          <w:sz w:val="24"/>
        </w:rPr>
        <w:t xml:space="preserve"> </w:t>
      </w:r>
      <w:r w:rsidRPr="00395593">
        <w:rPr>
          <w:rFonts w:ascii="Garamond" w:hAnsi="Garamond"/>
          <w:sz w:val="24"/>
        </w:rPr>
        <w:t>quebra</w:t>
      </w:r>
      <w:r w:rsidRPr="00395593">
        <w:rPr>
          <w:rFonts w:ascii="Garamond" w:hAnsi="Garamond"/>
          <w:spacing w:val="-2"/>
          <w:sz w:val="24"/>
        </w:rPr>
        <w:t xml:space="preserve"> </w:t>
      </w:r>
      <w:r w:rsidRPr="00395593">
        <w:rPr>
          <w:rFonts w:ascii="Garamond" w:hAnsi="Garamond"/>
          <w:sz w:val="24"/>
        </w:rPr>
        <w:t>de</w:t>
      </w:r>
      <w:r w:rsidRPr="00395593">
        <w:rPr>
          <w:rFonts w:ascii="Garamond" w:hAnsi="Garamond"/>
          <w:spacing w:val="-2"/>
          <w:sz w:val="24"/>
        </w:rPr>
        <w:t xml:space="preserve"> </w:t>
      </w:r>
      <w:r w:rsidRPr="00395593">
        <w:rPr>
          <w:rFonts w:ascii="Garamond" w:hAnsi="Garamond"/>
          <w:sz w:val="24"/>
        </w:rPr>
        <w:t>sigilo.</w:t>
      </w:r>
    </w:p>
    <w:p w14:paraId="0995E9E9" w14:textId="77777777" w:rsidR="0013285C" w:rsidRPr="00395593" w:rsidRDefault="0013285C" w:rsidP="0013285C">
      <w:pPr>
        <w:pStyle w:val="Corpodetexto"/>
        <w:rPr>
          <w:rFonts w:ascii="Garamond" w:hAnsi="Garamond"/>
        </w:rPr>
      </w:pPr>
    </w:p>
    <w:p w14:paraId="573B4EA8" w14:textId="77777777" w:rsidR="0013285C" w:rsidRPr="00395593" w:rsidRDefault="0013285C" w:rsidP="002C4340">
      <w:pPr>
        <w:pStyle w:val="PargrafodaLista"/>
        <w:widowControl w:val="0"/>
        <w:numPr>
          <w:ilvl w:val="0"/>
          <w:numId w:val="4"/>
        </w:numPr>
        <w:tabs>
          <w:tab w:val="left" w:pos="810"/>
        </w:tabs>
        <w:autoSpaceDE w:val="0"/>
        <w:autoSpaceDN w:val="0"/>
        <w:spacing w:after="0" w:line="240" w:lineRule="auto"/>
        <w:ind w:right="126" w:firstLine="0"/>
        <w:contextualSpacing w:val="0"/>
        <w:jc w:val="both"/>
        <w:rPr>
          <w:rFonts w:ascii="Garamond" w:hAnsi="Garamond"/>
          <w:sz w:val="24"/>
        </w:rPr>
      </w:pPr>
      <w:r w:rsidRPr="00395593">
        <w:rPr>
          <w:rFonts w:ascii="Garamond" w:hAnsi="Garamond"/>
          <w:sz w:val="24"/>
        </w:rPr>
        <w:t>Deverá</w:t>
      </w:r>
      <w:r w:rsidRPr="00395593">
        <w:rPr>
          <w:rFonts w:ascii="Garamond" w:hAnsi="Garamond"/>
          <w:spacing w:val="1"/>
          <w:sz w:val="24"/>
        </w:rPr>
        <w:t xml:space="preserve"> </w:t>
      </w:r>
      <w:r w:rsidRPr="00395593">
        <w:rPr>
          <w:rFonts w:ascii="Garamond" w:hAnsi="Garamond"/>
          <w:sz w:val="24"/>
        </w:rPr>
        <w:t>ser</w:t>
      </w:r>
      <w:r w:rsidRPr="00395593">
        <w:rPr>
          <w:rFonts w:ascii="Garamond" w:hAnsi="Garamond"/>
          <w:spacing w:val="1"/>
          <w:sz w:val="24"/>
        </w:rPr>
        <w:t xml:space="preserve"> </w:t>
      </w:r>
      <w:r w:rsidRPr="00395593">
        <w:rPr>
          <w:rFonts w:ascii="Garamond" w:hAnsi="Garamond"/>
          <w:sz w:val="24"/>
        </w:rPr>
        <w:t>considerada</w:t>
      </w:r>
      <w:r w:rsidRPr="00395593">
        <w:rPr>
          <w:rFonts w:ascii="Garamond" w:hAnsi="Garamond"/>
          <w:spacing w:val="1"/>
          <w:sz w:val="24"/>
        </w:rPr>
        <w:t xml:space="preserve"> </w:t>
      </w:r>
      <w:r w:rsidRPr="00395593">
        <w:rPr>
          <w:rFonts w:ascii="Garamond" w:hAnsi="Garamond"/>
          <w:sz w:val="24"/>
        </w:rPr>
        <w:t>padronizada</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prática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obter</w:t>
      </w:r>
      <w:r w:rsidRPr="00395593">
        <w:rPr>
          <w:rFonts w:ascii="Garamond" w:hAnsi="Garamond"/>
          <w:spacing w:val="1"/>
          <w:sz w:val="24"/>
        </w:rPr>
        <w:t xml:space="preserve"> </w:t>
      </w:r>
      <w:r w:rsidRPr="00395593">
        <w:rPr>
          <w:rFonts w:ascii="Garamond" w:hAnsi="Garamond"/>
          <w:sz w:val="24"/>
        </w:rPr>
        <w:t>acordo</w:t>
      </w:r>
      <w:r w:rsidRPr="00395593">
        <w:rPr>
          <w:rFonts w:ascii="Garamond" w:hAnsi="Garamond"/>
          <w:spacing w:val="1"/>
          <w:sz w:val="24"/>
        </w:rPr>
        <w:t xml:space="preserve"> </w:t>
      </w:r>
      <w:r w:rsidRPr="00395593">
        <w:rPr>
          <w:rFonts w:ascii="Garamond" w:hAnsi="Garamond"/>
          <w:sz w:val="24"/>
        </w:rPr>
        <w:t>explícito</w:t>
      </w:r>
      <w:r w:rsidRPr="00395593">
        <w:rPr>
          <w:rFonts w:ascii="Garamond" w:hAnsi="Garamond"/>
          <w:spacing w:val="60"/>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empresas</w:t>
      </w:r>
      <w:r w:rsidRPr="00395593">
        <w:rPr>
          <w:rFonts w:ascii="Garamond" w:hAnsi="Garamond"/>
          <w:spacing w:val="-1"/>
          <w:sz w:val="24"/>
        </w:rPr>
        <w:t xml:space="preserve"> </w:t>
      </w:r>
      <w:r w:rsidRPr="00395593">
        <w:rPr>
          <w:rFonts w:ascii="Garamond" w:hAnsi="Garamond"/>
          <w:sz w:val="24"/>
        </w:rPr>
        <w:t>envolvidas no</w:t>
      </w:r>
      <w:r w:rsidRPr="00395593">
        <w:rPr>
          <w:rFonts w:ascii="Garamond" w:hAnsi="Garamond"/>
          <w:spacing w:val="-1"/>
          <w:sz w:val="24"/>
        </w:rPr>
        <w:t xml:space="preserve"> </w:t>
      </w:r>
      <w:r w:rsidRPr="00395593">
        <w:rPr>
          <w:rFonts w:ascii="Garamond" w:hAnsi="Garamond"/>
          <w:sz w:val="24"/>
        </w:rPr>
        <w:t>Membro exportador</w:t>
      </w:r>
      <w:r w:rsidRPr="00395593">
        <w:rPr>
          <w:rFonts w:ascii="Garamond" w:hAnsi="Garamond"/>
          <w:spacing w:val="-1"/>
          <w:sz w:val="24"/>
        </w:rPr>
        <w:t xml:space="preserve"> </w:t>
      </w:r>
      <w:r w:rsidRPr="00395593">
        <w:rPr>
          <w:rFonts w:ascii="Garamond" w:hAnsi="Garamond"/>
          <w:sz w:val="24"/>
        </w:rPr>
        <w:t>antes da</w:t>
      </w:r>
      <w:r w:rsidRPr="00395593">
        <w:rPr>
          <w:rFonts w:ascii="Garamond" w:hAnsi="Garamond"/>
          <w:spacing w:val="-1"/>
          <w:sz w:val="24"/>
        </w:rPr>
        <w:t xml:space="preserve"> </w:t>
      </w:r>
      <w:r w:rsidRPr="00395593">
        <w:rPr>
          <w:rFonts w:ascii="Garamond" w:hAnsi="Garamond"/>
          <w:sz w:val="24"/>
        </w:rPr>
        <w:t>realização</w:t>
      </w:r>
      <w:r w:rsidRPr="00395593">
        <w:rPr>
          <w:rFonts w:ascii="Garamond" w:hAnsi="Garamond"/>
          <w:spacing w:val="-1"/>
          <w:sz w:val="24"/>
        </w:rPr>
        <w:t xml:space="preserve"> </w:t>
      </w:r>
      <w:r w:rsidRPr="00395593">
        <w:rPr>
          <w:rFonts w:ascii="Garamond" w:hAnsi="Garamond"/>
          <w:sz w:val="24"/>
        </w:rPr>
        <w:t>efetiva</w:t>
      </w:r>
      <w:r w:rsidRPr="00395593">
        <w:rPr>
          <w:rFonts w:ascii="Garamond" w:hAnsi="Garamond"/>
          <w:spacing w:val="-1"/>
          <w:sz w:val="24"/>
        </w:rPr>
        <w:t xml:space="preserve"> </w:t>
      </w:r>
      <w:r w:rsidRPr="00395593">
        <w:rPr>
          <w:rFonts w:ascii="Garamond" w:hAnsi="Garamond"/>
          <w:sz w:val="24"/>
        </w:rPr>
        <w:t>da visita.</w:t>
      </w:r>
    </w:p>
    <w:p w14:paraId="19457A05" w14:textId="77777777" w:rsidR="0013285C" w:rsidRPr="00395593" w:rsidRDefault="0013285C" w:rsidP="0013285C">
      <w:pPr>
        <w:pStyle w:val="Corpodetexto"/>
        <w:rPr>
          <w:rFonts w:ascii="Garamond" w:hAnsi="Garamond"/>
        </w:rPr>
      </w:pPr>
    </w:p>
    <w:p w14:paraId="1966D661" w14:textId="77777777" w:rsidR="0013285C" w:rsidRPr="00395593" w:rsidRDefault="0013285C" w:rsidP="002C4340">
      <w:pPr>
        <w:pStyle w:val="PargrafodaLista"/>
        <w:widowControl w:val="0"/>
        <w:numPr>
          <w:ilvl w:val="0"/>
          <w:numId w:val="4"/>
        </w:numPr>
        <w:tabs>
          <w:tab w:val="left" w:pos="810"/>
        </w:tabs>
        <w:autoSpaceDE w:val="0"/>
        <w:autoSpaceDN w:val="0"/>
        <w:spacing w:before="1" w:after="0" w:line="240" w:lineRule="auto"/>
        <w:ind w:right="123" w:firstLine="0"/>
        <w:contextualSpacing w:val="0"/>
        <w:jc w:val="both"/>
        <w:rPr>
          <w:rFonts w:ascii="Garamond" w:hAnsi="Garamond"/>
          <w:sz w:val="24"/>
        </w:rPr>
      </w:pPr>
      <w:r w:rsidRPr="00395593">
        <w:rPr>
          <w:rFonts w:ascii="Garamond" w:hAnsi="Garamond"/>
          <w:sz w:val="24"/>
        </w:rPr>
        <w:t>Tão logo tenha sido obtida a anuência das empresas envolvidas, as autoridades</w:t>
      </w:r>
      <w:r w:rsidRPr="00395593">
        <w:rPr>
          <w:rFonts w:ascii="Garamond" w:hAnsi="Garamond"/>
          <w:spacing w:val="1"/>
          <w:sz w:val="24"/>
        </w:rPr>
        <w:t xml:space="preserve"> </w:t>
      </w:r>
      <w:r w:rsidRPr="00395593">
        <w:rPr>
          <w:rFonts w:ascii="Garamond" w:hAnsi="Garamond"/>
          <w:sz w:val="24"/>
        </w:rPr>
        <w:t>devem informar por nota às autoridades do Membro exportador os nomes e endereços das</w:t>
      </w:r>
      <w:r w:rsidRPr="00395593">
        <w:rPr>
          <w:rFonts w:ascii="Garamond" w:hAnsi="Garamond"/>
          <w:spacing w:val="1"/>
          <w:sz w:val="24"/>
        </w:rPr>
        <w:t xml:space="preserve"> </w:t>
      </w:r>
      <w:r w:rsidRPr="00395593">
        <w:rPr>
          <w:rFonts w:ascii="Garamond" w:hAnsi="Garamond"/>
          <w:sz w:val="24"/>
        </w:rPr>
        <w:t>empresas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serão visitadas,</w:t>
      </w:r>
      <w:r w:rsidRPr="00395593">
        <w:rPr>
          <w:rFonts w:ascii="Garamond" w:hAnsi="Garamond"/>
          <w:spacing w:val="-1"/>
          <w:sz w:val="24"/>
        </w:rPr>
        <w:t xml:space="preserve"> </w:t>
      </w:r>
      <w:r w:rsidRPr="00395593">
        <w:rPr>
          <w:rFonts w:ascii="Garamond" w:hAnsi="Garamond"/>
          <w:sz w:val="24"/>
        </w:rPr>
        <w:t>bem como as datas</w:t>
      </w:r>
      <w:r w:rsidRPr="00395593">
        <w:rPr>
          <w:rFonts w:ascii="Garamond" w:hAnsi="Garamond"/>
          <w:spacing w:val="-1"/>
          <w:sz w:val="24"/>
        </w:rPr>
        <w:t xml:space="preserve"> </w:t>
      </w:r>
      <w:r w:rsidRPr="00395593">
        <w:rPr>
          <w:rFonts w:ascii="Garamond" w:hAnsi="Garamond"/>
          <w:sz w:val="24"/>
        </w:rPr>
        <w:t>previstas para</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visitas.</w:t>
      </w:r>
    </w:p>
    <w:p w14:paraId="193B026F" w14:textId="77777777" w:rsidR="0013285C" w:rsidRPr="00395593" w:rsidRDefault="0013285C" w:rsidP="0013285C">
      <w:pPr>
        <w:pStyle w:val="Corpodetexto"/>
        <w:rPr>
          <w:rFonts w:ascii="Garamond" w:hAnsi="Garamond"/>
        </w:rPr>
      </w:pPr>
    </w:p>
    <w:p w14:paraId="07D922D6" w14:textId="77777777" w:rsidR="0013285C" w:rsidRPr="00395593" w:rsidRDefault="0013285C" w:rsidP="002C4340">
      <w:pPr>
        <w:pStyle w:val="PargrafodaLista"/>
        <w:widowControl w:val="0"/>
        <w:numPr>
          <w:ilvl w:val="0"/>
          <w:numId w:val="4"/>
        </w:numPr>
        <w:tabs>
          <w:tab w:val="left" w:pos="810"/>
        </w:tabs>
        <w:autoSpaceDE w:val="0"/>
        <w:autoSpaceDN w:val="0"/>
        <w:spacing w:after="0" w:line="240" w:lineRule="auto"/>
        <w:ind w:right="122" w:firstLine="0"/>
        <w:contextualSpacing w:val="0"/>
        <w:jc w:val="both"/>
        <w:rPr>
          <w:rFonts w:ascii="Garamond" w:hAnsi="Garamond"/>
          <w:sz w:val="24"/>
        </w:rPr>
      </w:pP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empresas</w:t>
      </w:r>
      <w:r w:rsidRPr="00395593">
        <w:rPr>
          <w:rFonts w:ascii="Garamond" w:hAnsi="Garamond"/>
          <w:spacing w:val="1"/>
          <w:sz w:val="24"/>
        </w:rPr>
        <w:t xml:space="preserve"> </w:t>
      </w:r>
      <w:r w:rsidRPr="00395593">
        <w:rPr>
          <w:rFonts w:ascii="Garamond" w:hAnsi="Garamond"/>
          <w:sz w:val="24"/>
        </w:rPr>
        <w:t>envolvidas</w:t>
      </w:r>
      <w:r w:rsidRPr="00395593">
        <w:rPr>
          <w:rFonts w:ascii="Garamond" w:hAnsi="Garamond"/>
          <w:spacing w:val="1"/>
          <w:sz w:val="24"/>
        </w:rPr>
        <w:t xml:space="preserve"> </w:t>
      </w:r>
      <w:r w:rsidRPr="00395593">
        <w:rPr>
          <w:rFonts w:ascii="Garamond" w:hAnsi="Garamond"/>
          <w:sz w:val="24"/>
        </w:rPr>
        <w:t>devem</w:t>
      </w:r>
      <w:r w:rsidRPr="00395593">
        <w:rPr>
          <w:rFonts w:ascii="Garamond" w:hAnsi="Garamond"/>
          <w:spacing w:val="1"/>
          <w:sz w:val="24"/>
        </w:rPr>
        <w:t xml:space="preserve"> </w:t>
      </w:r>
      <w:r w:rsidRPr="00395593">
        <w:rPr>
          <w:rFonts w:ascii="Garamond" w:hAnsi="Garamond"/>
          <w:sz w:val="24"/>
        </w:rPr>
        <w:t>ser</w:t>
      </w:r>
      <w:r w:rsidRPr="00395593">
        <w:rPr>
          <w:rFonts w:ascii="Garamond" w:hAnsi="Garamond"/>
          <w:spacing w:val="1"/>
          <w:sz w:val="24"/>
        </w:rPr>
        <w:t xml:space="preserve"> </w:t>
      </w:r>
      <w:r w:rsidRPr="00395593">
        <w:rPr>
          <w:rFonts w:ascii="Garamond" w:hAnsi="Garamond"/>
          <w:sz w:val="24"/>
        </w:rPr>
        <w:t>informadas</w:t>
      </w:r>
      <w:r w:rsidRPr="00395593">
        <w:rPr>
          <w:rFonts w:ascii="Garamond" w:hAnsi="Garamond"/>
          <w:spacing w:val="1"/>
          <w:sz w:val="24"/>
        </w:rPr>
        <w:t xml:space="preserve"> </w:t>
      </w:r>
      <w:r w:rsidRPr="00395593">
        <w:rPr>
          <w:rFonts w:ascii="Garamond" w:hAnsi="Garamond"/>
          <w:sz w:val="24"/>
        </w:rPr>
        <w:t>com</w:t>
      </w:r>
      <w:r w:rsidRPr="00395593">
        <w:rPr>
          <w:rFonts w:ascii="Garamond" w:hAnsi="Garamond"/>
          <w:spacing w:val="1"/>
          <w:sz w:val="24"/>
        </w:rPr>
        <w:t xml:space="preserve"> </w:t>
      </w:r>
      <w:r w:rsidRPr="00395593">
        <w:rPr>
          <w:rFonts w:ascii="Garamond" w:hAnsi="Garamond"/>
          <w:sz w:val="24"/>
        </w:rPr>
        <w:t>suficiente</w:t>
      </w:r>
      <w:r w:rsidRPr="00395593">
        <w:rPr>
          <w:rFonts w:ascii="Garamond" w:hAnsi="Garamond"/>
          <w:spacing w:val="1"/>
          <w:sz w:val="24"/>
        </w:rPr>
        <w:t xml:space="preserve"> </w:t>
      </w:r>
      <w:r w:rsidRPr="00395593">
        <w:rPr>
          <w:rFonts w:ascii="Garamond" w:hAnsi="Garamond"/>
          <w:sz w:val="24"/>
        </w:rPr>
        <w:t>antecedência</w:t>
      </w:r>
      <w:r w:rsidRPr="00395593">
        <w:rPr>
          <w:rFonts w:ascii="Garamond" w:hAnsi="Garamond"/>
          <w:spacing w:val="60"/>
          <w:sz w:val="24"/>
        </w:rPr>
        <w:t xml:space="preserve"> </w:t>
      </w:r>
      <w:r w:rsidRPr="00395593">
        <w:rPr>
          <w:rFonts w:ascii="Garamond" w:hAnsi="Garamond"/>
          <w:sz w:val="24"/>
        </w:rPr>
        <w:t>da</w:t>
      </w:r>
      <w:r w:rsidRPr="00395593">
        <w:rPr>
          <w:rFonts w:ascii="Garamond" w:hAnsi="Garamond"/>
          <w:spacing w:val="-57"/>
          <w:sz w:val="24"/>
        </w:rPr>
        <w:t xml:space="preserve"> </w:t>
      </w:r>
      <w:r w:rsidRPr="00395593">
        <w:rPr>
          <w:rFonts w:ascii="Garamond" w:hAnsi="Garamond"/>
          <w:sz w:val="24"/>
        </w:rPr>
        <w:t>visita</w:t>
      </w:r>
      <w:r w:rsidRPr="00395593">
        <w:rPr>
          <w:rFonts w:ascii="Garamond" w:hAnsi="Garamond"/>
          <w:spacing w:val="-1"/>
          <w:sz w:val="24"/>
        </w:rPr>
        <w:t xml:space="preserve"> </w:t>
      </w:r>
      <w:r w:rsidRPr="00395593">
        <w:rPr>
          <w:rFonts w:ascii="Garamond" w:hAnsi="Garamond"/>
          <w:sz w:val="24"/>
        </w:rPr>
        <w:t>programada.</w:t>
      </w:r>
    </w:p>
    <w:p w14:paraId="301A1C4C" w14:textId="77777777" w:rsidR="0013285C" w:rsidRPr="00395593" w:rsidRDefault="0013285C" w:rsidP="0013285C">
      <w:pPr>
        <w:pStyle w:val="Corpodetexto"/>
        <w:rPr>
          <w:rFonts w:ascii="Garamond" w:hAnsi="Garamond"/>
        </w:rPr>
      </w:pPr>
    </w:p>
    <w:p w14:paraId="74BC5E0E" w14:textId="77777777" w:rsidR="0013285C" w:rsidRPr="00395593" w:rsidRDefault="0013285C" w:rsidP="002C4340">
      <w:pPr>
        <w:pStyle w:val="PargrafodaLista"/>
        <w:widowControl w:val="0"/>
        <w:numPr>
          <w:ilvl w:val="0"/>
          <w:numId w:val="4"/>
        </w:numPr>
        <w:tabs>
          <w:tab w:val="left" w:pos="810"/>
        </w:tabs>
        <w:autoSpaceDE w:val="0"/>
        <w:autoSpaceDN w:val="0"/>
        <w:spacing w:after="0" w:line="240" w:lineRule="auto"/>
        <w:ind w:right="118" w:firstLine="0"/>
        <w:contextualSpacing w:val="0"/>
        <w:jc w:val="both"/>
        <w:rPr>
          <w:rFonts w:ascii="Garamond" w:hAnsi="Garamond"/>
          <w:sz w:val="24"/>
        </w:rPr>
      </w:pPr>
      <w:r w:rsidRPr="00395593">
        <w:rPr>
          <w:rFonts w:ascii="Garamond" w:hAnsi="Garamond"/>
          <w:sz w:val="24"/>
        </w:rPr>
        <w:t>Visitas destinadas a explicar o questionário devem realizar-se apenas a pedido da</w:t>
      </w:r>
      <w:r w:rsidRPr="00395593">
        <w:rPr>
          <w:rFonts w:ascii="Garamond" w:hAnsi="Garamond"/>
          <w:spacing w:val="1"/>
          <w:sz w:val="24"/>
        </w:rPr>
        <w:t xml:space="preserve"> </w:t>
      </w:r>
      <w:r w:rsidRPr="00395593">
        <w:rPr>
          <w:rFonts w:ascii="Garamond" w:hAnsi="Garamond"/>
          <w:sz w:val="24"/>
        </w:rPr>
        <w:t>empresa exportadora. Tal visita apenas poderá ocorrer se: a) as autoridades do Membro</w:t>
      </w:r>
      <w:r w:rsidRPr="00395593">
        <w:rPr>
          <w:rFonts w:ascii="Garamond" w:hAnsi="Garamond"/>
          <w:spacing w:val="1"/>
          <w:sz w:val="24"/>
        </w:rPr>
        <w:t xml:space="preserve"> </w:t>
      </w:r>
      <w:r w:rsidRPr="00395593">
        <w:rPr>
          <w:rFonts w:ascii="Garamond" w:hAnsi="Garamond"/>
          <w:sz w:val="24"/>
        </w:rPr>
        <w:t>importador</w:t>
      </w:r>
      <w:r w:rsidRPr="00395593">
        <w:rPr>
          <w:rFonts w:ascii="Garamond" w:hAnsi="Garamond"/>
          <w:spacing w:val="43"/>
          <w:sz w:val="24"/>
        </w:rPr>
        <w:t xml:space="preserve"> </w:t>
      </w:r>
      <w:r w:rsidRPr="00395593">
        <w:rPr>
          <w:rFonts w:ascii="Garamond" w:hAnsi="Garamond"/>
          <w:sz w:val="24"/>
        </w:rPr>
        <w:t>notificarem</w:t>
      </w:r>
      <w:r w:rsidRPr="00395593">
        <w:rPr>
          <w:rFonts w:ascii="Garamond" w:hAnsi="Garamond"/>
          <w:spacing w:val="44"/>
          <w:sz w:val="24"/>
        </w:rPr>
        <w:t xml:space="preserve"> </w:t>
      </w:r>
      <w:r w:rsidRPr="00395593">
        <w:rPr>
          <w:rFonts w:ascii="Garamond" w:hAnsi="Garamond"/>
          <w:sz w:val="24"/>
        </w:rPr>
        <w:t>os</w:t>
      </w:r>
      <w:r w:rsidRPr="00395593">
        <w:rPr>
          <w:rFonts w:ascii="Garamond" w:hAnsi="Garamond"/>
          <w:spacing w:val="44"/>
          <w:sz w:val="24"/>
        </w:rPr>
        <w:t xml:space="preserve"> </w:t>
      </w:r>
      <w:r w:rsidRPr="00395593">
        <w:rPr>
          <w:rFonts w:ascii="Garamond" w:hAnsi="Garamond"/>
          <w:sz w:val="24"/>
        </w:rPr>
        <w:t>representantes</w:t>
      </w:r>
      <w:r w:rsidRPr="00395593">
        <w:rPr>
          <w:rFonts w:ascii="Garamond" w:hAnsi="Garamond"/>
          <w:spacing w:val="44"/>
          <w:sz w:val="24"/>
        </w:rPr>
        <w:t xml:space="preserve"> </w:t>
      </w:r>
      <w:r w:rsidRPr="00395593">
        <w:rPr>
          <w:rFonts w:ascii="Garamond" w:hAnsi="Garamond"/>
          <w:sz w:val="24"/>
        </w:rPr>
        <w:t>do</w:t>
      </w:r>
      <w:r w:rsidRPr="00395593">
        <w:rPr>
          <w:rFonts w:ascii="Garamond" w:hAnsi="Garamond"/>
          <w:spacing w:val="44"/>
          <w:sz w:val="24"/>
        </w:rPr>
        <w:t xml:space="preserve"> </w:t>
      </w:r>
      <w:r w:rsidRPr="00395593">
        <w:rPr>
          <w:rFonts w:ascii="Garamond" w:hAnsi="Garamond"/>
          <w:sz w:val="24"/>
        </w:rPr>
        <w:t>Membro</w:t>
      </w:r>
      <w:r w:rsidRPr="00395593">
        <w:rPr>
          <w:rFonts w:ascii="Garamond" w:hAnsi="Garamond"/>
          <w:spacing w:val="44"/>
          <w:sz w:val="24"/>
        </w:rPr>
        <w:t xml:space="preserve"> </w:t>
      </w:r>
      <w:r w:rsidRPr="00395593">
        <w:rPr>
          <w:rFonts w:ascii="Garamond" w:hAnsi="Garamond"/>
          <w:sz w:val="24"/>
        </w:rPr>
        <w:t>em</w:t>
      </w:r>
      <w:r w:rsidRPr="00395593">
        <w:rPr>
          <w:rFonts w:ascii="Garamond" w:hAnsi="Garamond"/>
          <w:spacing w:val="45"/>
          <w:sz w:val="24"/>
        </w:rPr>
        <w:t xml:space="preserve"> </w:t>
      </w:r>
      <w:r w:rsidRPr="00395593">
        <w:rPr>
          <w:rFonts w:ascii="Garamond" w:hAnsi="Garamond"/>
          <w:sz w:val="24"/>
        </w:rPr>
        <w:t>questão;</w:t>
      </w:r>
      <w:r w:rsidRPr="00395593">
        <w:rPr>
          <w:rFonts w:ascii="Garamond" w:hAnsi="Garamond"/>
          <w:spacing w:val="44"/>
          <w:sz w:val="24"/>
        </w:rPr>
        <w:t xml:space="preserve"> </w:t>
      </w:r>
      <w:r w:rsidRPr="00395593">
        <w:rPr>
          <w:rFonts w:ascii="Garamond" w:hAnsi="Garamond"/>
          <w:sz w:val="24"/>
        </w:rPr>
        <w:t>e</w:t>
      </w:r>
      <w:r w:rsidRPr="00395593">
        <w:rPr>
          <w:rFonts w:ascii="Garamond" w:hAnsi="Garamond"/>
          <w:spacing w:val="43"/>
          <w:sz w:val="24"/>
        </w:rPr>
        <w:t xml:space="preserve"> </w:t>
      </w:r>
      <w:r w:rsidRPr="00395593">
        <w:rPr>
          <w:rFonts w:ascii="Garamond" w:hAnsi="Garamond"/>
          <w:sz w:val="24"/>
        </w:rPr>
        <w:t>b)</w:t>
      </w:r>
      <w:r w:rsidRPr="00395593">
        <w:rPr>
          <w:rFonts w:ascii="Garamond" w:hAnsi="Garamond"/>
          <w:spacing w:val="45"/>
          <w:sz w:val="24"/>
        </w:rPr>
        <w:t xml:space="preserve"> </w:t>
      </w:r>
      <w:r w:rsidRPr="00395593">
        <w:rPr>
          <w:rFonts w:ascii="Garamond" w:hAnsi="Garamond"/>
          <w:sz w:val="24"/>
        </w:rPr>
        <w:t>este</w:t>
      </w:r>
      <w:r w:rsidRPr="00395593">
        <w:rPr>
          <w:rFonts w:ascii="Garamond" w:hAnsi="Garamond"/>
          <w:spacing w:val="44"/>
          <w:sz w:val="24"/>
        </w:rPr>
        <w:t xml:space="preserve"> </w:t>
      </w:r>
      <w:r w:rsidRPr="00395593">
        <w:rPr>
          <w:rFonts w:ascii="Garamond" w:hAnsi="Garamond"/>
          <w:sz w:val="24"/>
        </w:rPr>
        <w:t>último</w:t>
      </w:r>
      <w:r w:rsidRPr="00395593">
        <w:rPr>
          <w:rFonts w:ascii="Garamond" w:hAnsi="Garamond"/>
          <w:spacing w:val="44"/>
          <w:sz w:val="24"/>
        </w:rPr>
        <w:t xml:space="preserve"> </w:t>
      </w:r>
      <w:r w:rsidRPr="00395593">
        <w:rPr>
          <w:rFonts w:ascii="Garamond" w:hAnsi="Garamond"/>
          <w:sz w:val="24"/>
        </w:rPr>
        <w:t>não</w:t>
      </w:r>
      <w:r w:rsidRPr="00395593">
        <w:rPr>
          <w:rFonts w:ascii="Garamond" w:hAnsi="Garamond"/>
          <w:spacing w:val="-57"/>
          <w:sz w:val="24"/>
        </w:rPr>
        <w:t xml:space="preserve"> </w:t>
      </w:r>
      <w:r w:rsidRPr="00395593">
        <w:rPr>
          <w:rFonts w:ascii="Garamond" w:hAnsi="Garamond"/>
          <w:sz w:val="24"/>
        </w:rPr>
        <w:t>puser</w:t>
      </w:r>
      <w:r w:rsidRPr="00395593">
        <w:rPr>
          <w:rFonts w:ascii="Garamond" w:hAnsi="Garamond"/>
          <w:spacing w:val="-1"/>
          <w:sz w:val="24"/>
        </w:rPr>
        <w:t xml:space="preserve"> </w:t>
      </w:r>
      <w:r w:rsidRPr="00395593">
        <w:rPr>
          <w:rFonts w:ascii="Garamond" w:hAnsi="Garamond"/>
          <w:sz w:val="24"/>
        </w:rPr>
        <w:t>objeção à</w:t>
      </w:r>
      <w:r w:rsidRPr="00395593">
        <w:rPr>
          <w:rFonts w:ascii="Garamond" w:hAnsi="Garamond"/>
          <w:spacing w:val="-1"/>
          <w:sz w:val="24"/>
        </w:rPr>
        <w:t xml:space="preserve"> </w:t>
      </w:r>
      <w:r w:rsidRPr="00395593">
        <w:rPr>
          <w:rFonts w:ascii="Garamond" w:hAnsi="Garamond"/>
          <w:sz w:val="24"/>
        </w:rPr>
        <w:t>visita.</w:t>
      </w:r>
    </w:p>
    <w:p w14:paraId="7971461B" w14:textId="77777777" w:rsidR="0013285C" w:rsidRPr="00395593" w:rsidRDefault="0013285C" w:rsidP="0013285C">
      <w:pPr>
        <w:pStyle w:val="Corpodetexto"/>
        <w:rPr>
          <w:rFonts w:ascii="Garamond" w:hAnsi="Garamond"/>
        </w:rPr>
      </w:pPr>
    </w:p>
    <w:p w14:paraId="59837E26" w14:textId="3AE801F4" w:rsidR="0013285C" w:rsidRPr="00395593" w:rsidRDefault="0013285C" w:rsidP="002C4340">
      <w:pPr>
        <w:pStyle w:val="PargrafodaLista"/>
        <w:widowControl w:val="0"/>
        <w:numPr>
          <w:ilvl w:val="0"/>
          <w:numId w:val="4"/>
        </w:numPr>
        <w:tabs>
          <w:tab w:val="left" w:pos="810"/>
        </w:tabs>
        <w:autoSpaceDE w:val="0"/>
        <w:autoSpaceDN w:val="0"/>
        <w:spacing w:before="184" w:after="0" w:line="240" w:lineRule="auto"/>
        <w:ind w:right="119" w:firstLine="0"/>
        <w:contextualSpacing w:val="0"/>
        <w:jc w:val="both"/>
        <w:rPr>
          <w:rFonts w:ascii="Garamond" w:hAnsi="Garamond"/>
          <w:sz w:val="24"/>
        </w:rPr>
      </w:pPr>
      <w:r w:rsidRPr="00395593">
        <w:rPr>
          <w:rFonts w:ascii="Garamond" w:hAnsi="Garamond"/>
          <w:sz w:val="24"/>
        </w:rPr>
        <w:t xml:space="preserve">Uma vez que o objetivo principal da investigação </w:t>
      </w:r>
      <w:r w:rsidRPr="00395593">
        <w:rPr>
          <w:rFonts w:ascii="Garamond" w:hAnsi="Garamond"/>
          <w:i/>
          <w:sz w:val="24"/>
        </w:rPr>
        <w:t xml:space="preserve">in 1oco </w:t>
      </w:r>
      <w:r w:rsidRPr="00395593">
        <w:rPr>
          <w:rFonts w:ascii="Garamond" w:hAnsi="Garamond"/>
          <w:sz w:val="24"/>
        </w:rPr>
        <w:t>é verificar informações</w:t>
      </w:r>
      <w:r w:rsidRPr="00395593">
        <w:rPr>
          <w:rFonts w:ascii="Garamond" w:hAnsi="Garamond"/>
          <w:spacing w:val="1"/>
          <w:sz w:val="24"/>
        </w:rPr>
        <w:t xml:space="preserve"> </w:t>
      </w:r>
      <w:r w:rsidRPr="00395593">
        <w:rPr>
          <w:rFonts w:ascii="Garamond" w:hAnsi="Garamond"/>
          <w:sz w:val="24"/>
        </w:rPr>
        <w:t>recebidas ou obter maiores precisões, a visita deveria realizar-se após o recebimento da</w:t>
      </w:r>
      <w:r w:rsidRPr="00395593">
        <w:rPr>
          <w:rFonts w:ascii="Garamond" w:hAnsi="Garamond"/>
          <w:spacing w:val="1"/>
          <w:sz w:val="24"/>
        </w:rPr>
        <w:t xml:space="preserve"> </w:t>
      </w:r>
      <w:r w:rsidRPr="00395593">
        <w:rPr>
          <w:rFonts w:ascii="Garamond" w:hAnsi="Garamond"/>
          <w:sz w:val="24"/>
        </w:rPr>
        <w:t>resposta ao questionário, a menos que a empresa concorde com o contrario e que o Governo</w:t>
      </w:r>
      <w:r w:rsidRPr="00395593">
        <w:rPr>
          <w:rFonts w:ascii="Garamond" w:hAnsi="Garamond"/>
          <w:spacing w:val="-57"/>
          <w:sz w:val="24"/>
        </w:rPr>
        <w:t xml:space="preserve"> </w:t>
      </w:r>
      <w:r w:rsidRPr="00395593">
        <w:rPr>
          <w:rFonts w:ascii="Garamond" w:hAnsi="Garamond"/>
          <w:sz w:val="24"/>
        </w:rPr>
        <w:t>do Membro exportador esteja informado da visita antecipada e não faça objeção; ademais,</w:t>
      </w:r>
      <w:r w:rsidRPr="00395593">
        <w:rPr>
          <w:rFonts w:ascii="Garamond" w:hAnsi="Garamond"/>
          <w:spacing w:val="1"/>
          <w:sz w:val="24"/>
        </w:rPr>
        <w:t xml:space="preserve"> </w:t>
      </w:r>
      <w:r w:rsidRPr="00395593">
        <w:rPr>
          <w:rFonts w:ascii="Garamond" w:hAnsi="Garamond"/>
          <w:sz w:val="24"/>
        </w:rPr>
        <w:t>deveria ser prática corrente anterior à visita levar ao conhecimento das empresas envolvidas</w:t>
      </w:r>
      <w:r w:rsidRPr="00395593">
        <w:rPr>
          <w:rFonts w:ascii="Garamond" w:hAnsi="Garamond"/>
          <w:spacing w:val="-57"/>
          <w:sz w:val="24"/>
        </w:rPr>
        <w:t xml:space="preserve"> </w:t>
      </w:r>
      <w:r w:rsidRPr="00395593">
        <w:rPr>
          <w:rFonts w:ascii="Garamond" w:hAnsi="Garamond"/>
          <w:sz w:val="24"/>
        </w:rPr>
        <w:t>a natureza geral da informação que se busca e de quaisquer outras informações adicionais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façam</w:t>
      </w:r>
      <w:r w:rsidRPr="00395593">
        <w:rPr>
          <w:rFonts w:ascii="Garamond" w:hAnsi="Garamond"/>
          <w:spacing w:val="1"/>
          <w:sz w:val="24"/>
        </w:rPr>
        <w:t xml:space="preserve"> </w:t>
      </w:r>
      <w:r w:rsidRPr="00395593">
        <w:rPr>
          <w:rFonts w:ascii="Garamond" w:hAnsi="Garamond"/>
          <w:sz w:val="24"/>
        </w:rPr>
        <w:t>necessárias,</w:t>
      </w:r>
      <w:r w:rsidRPr="00395593">
        <w:rPr>
          <w:rFonts w:ascii="Garamond" w:hAnsi="Garamond"/>
          <w:spacing w:val="1"/>
          <w:sz w:val="24"/>
        </w:rPr>
        <w:t xml:space="preserve"> </w:t>
      </w:r>
      <w:r w:rsidRPr="00395593">
        <w:rPr>
          <w:rFonts w:ascii="Garamond" w:hAnsi="Garamond"/>
          <w:sz w:val="24"/>
        </w:rPr>
        <w:t>embora</w:t>
      </w:r>
      <w:r w:rsidRPr="00395593">
        <w:rPr>
          <w:rFonts w:ascii="Garamond" w:hAnsi="Garamond"/>
          <w:spacing w:val="1"/>
          <w:sz w:val="24"/>
        </w:rPr>
        <w:t xml:space="preserve"> </w:t>
      </w:r>
      <w:r w:rsidRPr="00395593">
        <w:rPr>
          <w:rFonts w:ascii="Garamond" w:hAnsi="Garamond"/>
          <w:sz w:val="24"/>
        </w:rPr>
        <w:t>tal</w:t>
      </w:r>
      <w:r w:rsidRPr="00395593">
        <w:rPr>
          <w:rFonts w:ascii="Garamond" w:hAnsi="Garamond"/>
          <w:spacing w:val="1"/>
          <w:sz w:val="24"/>
        </w:rPr>
        <w:t xml:space="preserve"> </w:t>
      </w:r>
      <w:r w:rsidRPr="00395593">
        <w:rPr>
          <w:rFonts w:ascii="Garamond" w:hAnsi="Garamond"/>
          <w:sz w:val="24"/>
        </w:rPr>
        <w:t>prática</w:t>
      </w:r>
      <w:r w:rsidRPr="00395593">
        <w:rPr>
          <w:rFonts w:ascii="Garamond" w:hAnsi="Garamond"/>
          <w:spacing w:val="1"/>
          <w:sz w:val="24"/>
        </w:rPr>
        <w:t xml:space="preserve"> </w:t>
      </w:r>
      <w:r w:rsidRPr="00395593">
        <w:rPr>
          <w:rFonts w:ascii="Garamond" w:hAnsi="Garamond"/>
          <w:sz w:val="24"/>
        </w:rPr>
        <w:t>não</w:t>
      </w:r>
      <w:r w:rsidRPr="00395593">
        <w:rPr>
          <w:rFonts w:ascii="Garamond" w:hAnsi="Garamond"/>
          <w:spacing w:val="1"/>
          <w:sz w:val="24"/>
        </w:rPr>
        <w:t xml:space="preserve"> </w:t>
      </w:r>
      <w:r w:rsidRPr="00395593">
        <w:rPr>
          <w:rFonts w:ascii="Garamond" w:hAnsi="Garamond"/>
          <w:sz w:val="24"/>
        </w:rPr>
        <w:t>deva</w:t>
      </w:r>
      <w:r w:rsidRPr="00395593">
        <w:rPr>
          <w:rFonts w:ascii="Garamond" w:hAnsi="Garamond"/>
          <w:spacing w:val="1"/>
          <w:sz w:val="24"/>
        </w:rPr>
        <w:t xml:space="preserve"> </w:t>
      </w:r>
      <w:r w:rsidRPr="00395593">
        <w:rPr>
          <w:rFonts w:ascii="Garamond" w:hAnsi="Garamond"/>
          <w:sz w:val="24"/>
        </w:rPr>
        <w:t>impedir</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durante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visita</w:t>
      </w:r>
      <w:r w:rsidRPr="00395593">
        <w:rPr>
          <w:rFonts w:ascii="Garamond" w:hAnsi="Garamond"/>
          <w:spacing w:val="1"/>
          <w:sz w:val="24"/>
        </w:rPr>
        <w:t xml:space="preserve"> </w:t>
      </w:r>
      <w:r w:rsidRPr="00395593">
        <w:rPr>
          <w:rFonts w:ascii="Garamond" w:hAnsi="Garamond"/>
          <w:sz w:val="24"/>
        </w:rPr>
        <w:t>formulem-se</w:t>
      </w:r>
      <w:r w:rsidRPr="00395593">
        <w:rPr>
          <w:rFonts w:ascii="Garamond" w:hAnsi="Garamond"/>
          <w:spacing w:val="-3"/>
          <w:sz w:val="24"/>
        </w:rPr>
        <w:t xml:space="preserve"> </w:t>
      </w:r>
      <w:r w:rsidRPr="00395593">
        <w:rPr>
          <w:rFonts w:ascii="Garamond" w:hAnsi="Garamond"/>
          <w:sz w:val="24"/>
        </w:rPr>
        <w:t>pedidos</w:t>
      </w:r>
      <w:r w:rsidRPr="00395593">
        <w:rPr>
          <w:rFonts w:ascii="Garamond" w:hAnsi="Garamond"/>
          <w:spacing w:val="-2"/>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pormenores</w:t>
      </w:r>
      <w:r w:rsidRPr="00395593">
        <w:rPr>
          <w:rFonts w:ascii="Garamond" w:hAnsi="Garamond"/>
          <w:spacing w:val="-2"/>
          <w:sz w:val="24"/>
        </w:rPr>
        <w:t xml:space="preserve"> </w:t>
      </w:r>
      <w:r w:rsidRPr="00395593">
        <w:rPr>
          <w:rFonts w:ascii="Garamond" w:hAnsi="Garamond"/>
          <w:sz w:val="24"/>
        </w:rPr>
        <w:t>suplementares</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2"/>
          <w:sz w:val="24"/>
        </w:rPr>
        <w:t xml:space="preserve"> </w:t>
      </w:r>
      <w:r w:rsidRPr="00395593">
        <w:rPr>
          <w:rFonts w:ascii="Garamond" w:hAnsi="Garamond"/>
          <w:sz w:val="24"/>
        </w:rPr>
        <w:t>conseqüência</w:t>
      </w:r>
      <w:r w:rsidRPr="00395593">
        <w:rPr>
          <w:rFonts w:ascii="Garamond" w:hAnsi="Garamond"/>
          <w:spacing w:val="-2"/>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Informação</w:t>
      </w:r>
      <w:r w:rsidRPr="00395593">
        <w:rPr>
          <w:rFonts w:ascii="Garamond" w:hAnsi="Garamond"/>
          <w:spacing w:val="-2"/>
          <w:sz w:val="24"/>
        </w:rPr>
        <w:t xml:space="preserve"> </w:t>
      </w:r>
      <w:r w:rsidRPr="00395593">
        <w:rPr>
          <w:rFonts w:ascii="Garamond" w:hAnsi="Garamond"/>
          <w:sz w:val="24"/>
        </w:rPr>
        <w:t>obtida.Sempre que possível, as respostas aos pedidos de informação ou às perguntas que</w:t>
      </w:r>
      <w:r w:rsidRPr="00395593">
        <w:rPr>
          <w:rFonts w:ascii="Garamond" w:hAnsi="Garamond"/>
          <w:spacing w:val="1"/>
          <w:sz w:val="24"/>
        </w:rPr>
        <w:t xml:space="preserve"> </w:t>
      </w:r>
      <w:r w:rsidRPr="00395593">
        <w:rPr>
          <w:rFonts w:ascii="Garamond" w:hAnsi="Garamond"/>
          <w:sz w:val="24"/>
        </w:rPr>
        <w:t>façam as autoridades ou empresas do Membro exportador e que sejam essenciais ao bom</w:t>
      </w:r>
      <w:r w:rsidRPr="00395593">
        <w:rPr>
          <w:rFonts w:ascii="Garamond" w:hAnsi="Garamond"/>
          <w:spacing w:val="1"/>
          <w:sz w:val="24"/>
        </w:rPr>
        <w:t xml:space="preserve"> </w:t>
      </w:r>
      <w:r w:rsidRPr="00395593">
        <w:rPr>
          <w:rFonts w:ascii="Garamond" w:hAnsi="Garamond"/>
          <w:sz w:val="24"/>
        </w:rPr>
        <w:t>resultado</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investigação</w:t>
      </w:r>
      <w:r w:rsidRPr="00395593">
        <w:rPr>
          <w:rFonts w:ascii="Garamond" w:hAnsi="Garamond"/>
          <w:spacing w:val="2"/>
          <w:sz w:val="24"/>
        </w:rPr>
        <w:t xml:space="preserve"> </w:t>
      </w:r>
      <w:r w:rsidRPr="00395593">
        <w:rPr>
          <w:rFonts w:ascii="Garamond" w:hAnsi="Garamond"/>
          <w:i/>
          <w:sz w:val="24"/>
        </w:rPr>
        <w:t xml:space="preserve">in foco </w:t>
      </w:r>
      <w:r w:rsidRPr="00395593">
        <w:rPr>
          <w:rFonts w:ascii="Garamond" w:hAnsi="Garamond"/>
          <w:sz w:val="24"/>
        </w:rPr>
        <w:t>deverão</w:t>
      </w:r>
      <w:r w:rsidRPr="00395593">
        <w:rPr>
          <w:rFonts w:ascii="Garamond" w:hAnsi="Garamond"/>
          <w:spacing w:val="-1"/>
          <w:sz w:val="24"/>
        </w:rPr>
        <w:t xml:space="preserve"> </w:t>
      </w:r>
      <w:r w:rsidRPr="00395593">
        <w:rPr>
          <w:rFonts w:ascii="Garamond" w:hAnsi="Garamond"/>
          <w:sz w:val="24"/>
        </w:rPr>
        <w:t>ser fornecidas</w:t>
      </w:r>
      <w:r w:rsidRPr="00395593">
        <w:rPr>
          <w:rFonts w:ascii="Garamond" w:hAnsi="Garamond"/>
          <w:spacing w:val="-1"/>
          <w:sz w:val="24"/>
        </w:rPr>
        <w:t xml:space="preserve"> </w:t>
      </w:r>
      <w:r w:rsidRPr="00395593">
        <w:rPr>
          <w:rFonts w:ascii="Garamond" w:hAnsi="Garamond"/>
          <w:sz w:val="24"/>
        </w:rPr>
        <w:t>antes que</w:t>
      </w:r>
      <w:r w:rsidRPr="00395593">
        <w:rPr>
          <w:rFonts w:ascii="Garamond" w:hAnsi="Garamond"/>
          <w:spacing w:val="-2"/>
          <w:sz w:val="24"/>
        </w:rPr>
        <w:t xml:space="preserve"> </w:t>
      </w:r>
      <w:r w:rsidRPr="00395593">
        <w:rPr>
          <w:rFonts w:ascii="Garamond" w:hAnsi="Garamond"/>
          <w:sz w:val="24"/>
        </w:rPr>
        <w:t>se</w:t>
      </w:r>
      <w:r w:rsidRPr="00395593">
        <w:rPr>
          <w:rFonts w:ascii="Garamond" w:hAnsi="Garamond"/>
          <w:spacing w:val="-2"/>
          <w:sz w:val="24"/>
        </w:rPr>
        <w:t xml:space="preserve"> </w:t>
      </w:r>
      <w:r w:rsidRPr="00395593">
        <w:rPr>
          <w:rFonts w:ascii="Garamond" w:hAnsi="Garamond"/>
          <w:sz w:val="24"/>
        </w:rPr>
        <w:t>realize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2"/>
          <w:sz w:val="24"/>
        </w:rPr>
        <w:t xml:space="preserve"> </w:t>
      </w:r>
      <w:r w:rsidRPr="00395593">
        <w:rPr>
          <w:rFonts w:ascii="Garamond" w:hAnsi="Garamond"/>
          <w:sz w:val="24"/>
        </w:rPr>
        <w:t>visita.</w:t>
      </w:r>
    </w:p>
    <w:p w14:paraId="248B58FD" w14:textId="77777777" w:rsidR="0013285C" w:rsidRPr="00395593" w:rsidRDefault="0013285C" w:rsidP="0013285C">
      <w:pPr>
        <w:pStyle w:val="Corpodetexto"/>
        <w:rPr>
          <w:rFonts w:ascii="Garamond" w:hAnsi="Garamond"/>
          <w:sz w:val="26"/>
        </w:rPr>
      </w:pPr>
    </w:p>
    <w:p w14:paraId="0C9DCB92" w14:textId="5AE81243" w:rsidR="0013285C" w:rsidRPr="00395593" w:rsidRDefault="0013285C" w:rsidP="00F26A10">
      <w:pPr>
        <w:pStyle w:val="Corpodetexto"/>
        <w:ind w:left="176" w:right="193"/>
        <w:jc w:val="center"/>
        <w:rPr>
          <w:rFonts w:ascii="Garamond" w:hAnsi="Garamond"/>
          <w:b/>
        </w:rPr>
      </w:pPr>
      <w:r w:rsidRPr="00395593">
        <w:rPr>
          <w:rFonts w:ascii="Garamond" w:hAnsi="Garamond"/>
          <w:b/>
        </w:rPr>
        <w:t>ANEXO</w:t>
      </w:r>
      <w:r w:rsidRPr="00395593">
        <w:rPr>
          <w:rFonts w:ascii="Garamond" w:hAnsi="Garamond"/>
          <w:b/>
          <w:spacing w:val="-2"/>
        </w:rPr>
        <w:t xml:space="preserve"> </w:t>
      </w:r>
      <w:r w:rsidRPr="00395593">
        <w:rPr>
          <w:rFonts w:ascii="Garamond" w:hAnsi="Garamond"/>
          <w:b/>
        </w:rPr>
        <w:t>II</w:t>
      </w:r>
    </w:p>
    <w:p w14:paraId="746EA07E" w14:textId="08B82649" w:rsidR="0013285C" w:rsidRPr="00395593" w:rsidRDefault="0013285C" w:rsidP="0013285C">
      <w:pPr>
        <w:pStyle w:val="Corpodetexto"/>
        <w:ind w:left="173" w:right="196"/>
        <w:jc w:val="center"/>
        <w:rPr>
          <w:rFonts w:ascii="Garamond" w:hAnsi="Garamond"/>
        </w:rPr>
      </w:pPr>
      <w:r w:rsidRPr="00395593">
        <w:rPr>
          <w:rFonts w:ascii="Garamond" w:hAnsi="Garamond"/>
          <w:b/>
        </w:rPr>
        <w:t>MELHOR</w:t>
      </w:r>
      <w:r w:rsidRPr="00395593">
        <w:rPr>
          <w:rFonts w:ascii="Garamond" w:hAnsi="Garamond"/>
          <w:b/>
          <w:spacing w:val="-1"/>
        </w:rPr>
        <w:t xml:space="preserve"> </w:t>
      </w:r>
      <w:r w:rsidRPr="00395593">
        <w:rPr>
          <w:rFonts w:ascii="Garamond" w:hAnsi="Garamond"/>
          <w:b/>
        </w:rPr>
        <w:t>INFORMAÇÃO</w:t>
      </w:r>
      <w:r w:rsidRPr="00395593">
        <w:rPr>
          <w:rFonts w:ascii="Garamond" w:hAnsi="Garamond"/>
          <w:b/>
          <w:spacing w:val="-2"/>
        </w:rPr>
        <w:t xml:space="preserve"> </w:t>
      </w:r>
      <w:r w:rsidRPr="00395593">
        <w:rPr>
          <w:rFonts w:ascii="Garamond" w:hAnsi="Garamond"/>
          <w:b/>
        </w:rPr>
        <w:t>DISPONÍVEL</w:t>
      </w:r>
      <w:r w:rsidRPr="00395593">
        <w:rPr>
          <w:rFonts w:ascii="Garamond" w:hAnsi="Garamond"/>
          <w:b/>
          <w:spacing w:val="-3"/>
        </w:rPr>
        <w:t xml:space="preserve"> </w:t>
      </w:r>
      <w:r w:rsidRPr="00395593">
        <w:rPr>
          <w:rFonts w:ascii="Garamond" w:hAnsi="Garamond"/>
          <w:b/>
        </w:rPr>
        <w:t>NO</w:t>
      </w:r>
      <w:r w:rsidRPr="00395593">
        <w:rPr>
          <w:rFonts w:ascii="Garamond" w:hAnsi="Garamond"/>
          <w:b/>
          <w:spacing w:val="-3"/>
        </w:rPr>
        <w:t xml:space="preserve"> </w:t>
      </w:r>
      <w:r w:rsidRPr="00395593">
        <w:rPr>
          <w:rFonts w:ascii="Garamond" w:hAnsi="Garamond"/>
          <w:b/>
        </w:rPr>
        <w:t>SENTIDO</w:t>
      </w:r>
      <w:r w:rsidRPr="00395593">
        <w:rPr>
          <w:rFonts w:ascii="Garamond" w:hAnsi="Garamond"/>
          <w:b/>
          <w:spacing w:val="-4"/>
        </w:rPr>
        <w:t xml:space="preserve"> </w:t>
      </w:r>
      <w:r w:rsidRPr="00395593">
        <w:rPr>
          <w:rFonts w:ascii="Garamond" w:hAnsi="Garamond"/>
          <w:b/>
        </w:rPr>
        <w:t>DO</w:t>
      </w:r>
      <w:r w:rsidRPr="00395593">
        <w:rPr>
          <w:rFonts w:ascii="Garamond" w:hAnsi="Garamond"/>
          <w:b/>
          <w:spacing w:val="-2"/>
        </w:rPr>
        <w:t xml:space="preserve"> </w:t>
      </w:r>
      <w:r w:rsidRPr="00395593">
        <w:rPr>
          <w:rFonts w:ascii="Garamond" w:hAnsi="Garamond"/>
          <w:b/>
        </w:rPr>
        <w:t>PARÁGRAFO</w:t>
      </w:r>
      <w:r w:rsidRPr="00395593">
        <w:rPr>
          <w:rFonts w:ascii="Garamond" w:hAnsi="Garamond"/>
          <w:b/>
          <w:spacing w:val="-2"/>
        </w:rPr>
        <w:t xml:space="preserve"> </w:t>
      </w:r>
      <w:r w:rsidRPr="00395593">
        <w:rPr>
          <w:rFonts w:ascii="Garamond" w:hAnsi="Garamond"/>
          <w:b/>
        </w:rPr>
        <w:t>10</w:t>
      </w:r>
      <w:r w:rsidRPr="00395593">
        <w:rPr>
          <w:rFonts w:ascii="Garamond" w:hAnsi="Garamond"/>
          <w:b/>
          <w:spacing w:val="-2"/>
        </w:rPr>
        <w:t xml:space="preserve"> </w:t>
      </w:r>
      <w:r w:rsidRPr="00395593">
        <w:rPr>
          <w:rFonts w:ascii="Garamond" w:hAnsi="Garamond"/>
          <w:b/>
        </w:rPr>
        <w:t>DO</w:t>
      </w:r>
      <w:r w:rsidR="00B273F2">
        <w:rPr>
          <w:rFonts w:ascii="Garamond" w:hAnsi="Garamond"/>
          <w:b/>
        </w:rPr>
        <w:t xml:space="preserve"> </w:t>
      </w:r>
      <w:r w:rsidR="00B273F2">
        <w:rPr>
          <w:rFonts w:ascii="Garamond" w:hAnsi="Garamond"/>
          <w:b/>
          <w:spacing w:val="-57"/>
        </w:rPr>
        <w:t xml:space="preserve">   </w:t>
      </w:r>
      <w:r w:rsidRPr="00395593">
        <w:rPr>
          <w:rFonts w:ascii="Garamond" w:hAnsi="Garamond"/>
          <w:b/>
        </w:rPr>
        <w:t>ARTIGO</w:t>
      </w:r>
      <w:r w:rsidRPr="00395593">
        <w:rPr>
          <w:rFonts w:ascii="Garamond" w:hAnsi="Garamond"/>
          <w:b/>
          <w:spacing w:val="-2"/>
        </w:rPr>
        <w:t xml:space="preserve"> </w:t>
      </w:r>
      <w:r w:rsidRPr="00395593">
        <w:rPr>
          <w:rFonts w:ascii="Garamond" w:hAnsi="Garamond"/>
          <w:b/>
        </w:rPr>
        <w:t>6</w:t>
      </w:r>
    </w:p>
    <w:p w14:paraId="530FFD67" w14:textId="77777777" w:rsidR="0013285C" w:rsidRPr="00395593" w:rsidRDefault="0013285C" w:rsidP="0013285C">
      <w:pPr>
        <w:pStyle w:val="Corpodetexto"/>
        <w:spacing w:before="1"/>
        <w:rPr>
          <w:rFonts w:ascii="Garamond" w:hAnsi="Garamond"/>
        </w:rPr>
      </w:pPr>
    </w:p>
    <w:p w14:paraId="27794D88" w14:textId="77777777" w:rsidR="0013285C" w:rsidRPr="00395593" w:rsidRDefault="0013285C" w:rsidP="002C4340">
      <w:pPr>
        <w:pStyle w:val="PargrafodaLista"/>
        <w:widowControl w:val="0"/>
        <w:numPr>
          <w:ilvl w:val="0"/>
          <w:numId w:val="3"/>
        </w:numPr>
        <w:tabs>
          <w:tab w:val="left" w:pos="810"/>
        </w:tabs>
        <w:autoSpaceDE w:val="0"/>
        <w:autoSpaceDN w:val="0"/>
        <w:spacing w:after="0" w:line="240" w:lineRule="auto"/>
        <w:ind w:right="117" w:firstLine="0"/>
        <w:contextualSpacing w:val="0"/>
        <w:jc w:val="both"/>
        <w:rPr>
          <w:rFonts w:ascii="Garamond" w:hAnsi="Garamond"/>
          <w:sz w:val="24"/>
        </w:rPr>
      </w:pPr>
      <w:r w:rsidRPr="00395593">
        <w:rPr>
          <w:rFonts w:ascii="Garamond" w:hAnsi="Garamond"/>
          <w:sz w:val="24"/>
        </w:rPr>
        <w:t>Tão logo iniciada a investigação, as autoridades investigadoras deverão especificar</w:t>
      </w:r>
      <w:r w:rsidRPr="00395593">
        <w:rPr>
          <w:rFonts w:ascii="Garamond" w:hAnsi="Garamond"/>
          <w:spacing w:val="1"/>
          <w:sz w:val="24"/>
        </w:rPr>
        <w:t xml:space="preserve"> </w:t>
      </w:r>
      <w:r w:rsidRPr="00395593">
        <w:rPr>
          <w:rFonts w:ascii="Garamond" w:hAnsi="Garamond"/>
          <w:sz w:val="24"/>
        </w:rPr>
        <w:t>pormenorizadamente as informações requeridas das partes envolvidas e a forma pela qual</w:t>
      </w:r>
      <w:r w:rsidRPr="00395593">
        <w:rPr>
          <w:rFonts w:ascii="Garamond" w:hAnsi="Garamond"/>
          <w:spacing w:val="1"/>
          <w:sz w:val="24"/>
        </w:rPr>
        <w:t xml:space="preserve"> </w:t>
      </w:r>
      <w:r w:rsidRPr="00395593">
        <w:rPr>
          <w:rFonts w:ascii="Garamond" w:hAnsi="Garamond"/>
          <w:sz w:val="24"/>
        </w:rPr>
        <w:t>tal</w:t>
      </w:r>
      <w:r w:rsidRPr="00395593">
        <w:rPr>
          <w:rFonts w:ascii="Garamond" w:hAnsi="Garamond"/>
          <w:spacing w:val="1"/>
          <w:sz w:val="24"/>
        </w:rPr>
        <w:t xml:space="preserve"> </w:t>
      </w:r>
      <w:r w:rsidRPr="00395593">
        <w:rPr>
          <w:rFonts w:ascii="Garamond" w:hAnsi="Garamond"/>
          <w:sz w:val="24"/>
        </w:rPr>
        <w:t>informação</w:t>
      </w:r>
      <w:r w:rsidRPr="00395593">
        <w:rPr>
          <w:rFonts w:ascii="Garamond" w:hAnsi="Garamond"/>
          <w:spacing w:val="1"/>
          <w:sz w:val="24"/>
        </w:rPr>
        <w:t xml:space="preserve"> </w:t>
      </w:r>
      <w:r w:rsidRPr="00395593">
        <w:rPr>
          <w:rFonts w:ascii="Garamond" w:hAnsi="Garamond"/>
          <w:sz w:val="24"/>
        </w:rPr>
        <w:t>deverá</w:t>
      </w:r>
      <w:r w:rsidRPr="00395593">
        <w:rPr>
          <w:rFonts w:ascii="Garamond" w:hAnsi="Garamond"/>
          <w:spacing w:val="1"/>
          <w:sz w:val="24"/>
        </w:rPr>
        <w:t xml:space="preserve"> </w:t>
      </w:r>
      <w:r w:rsidRPr="00395593">
        <w:rPr>
          <w:rFonts w:ascii="Garamond" w:hAnsi="Garamond"/>
          <w:sz w:val="24"/>
        </w:rPr>
        <w:t>estar</w:t>
      </w:r>
      <w:r w:rsidRPr="00395593">
        <w:rPr>
          <w:rFonts w:ascii="Garamond" w:hAnsi="Garamond"/>
          <w:spacing w:val="1"/>
          <w:sz w:val="24"/>
        </w:rPr>
        <w:t xml:space="preserve"> </w:t>
      </w:r>
      <w:r w:rsidRPr="00395593">
        <w:rPr>
          <w:rFonts w:ascii="Garamond" w:hAnsi="Garamond"/>
          <w:sz w:val="24"/>
        </w:rPr>
        <w:t>estruturada</w:t>
      </w:r>
      <w:r w:rsidRPr="00395593">
        <w:rPr>
          <w:rFonts w:ascii="Garamond" w:hAnsi="Garamond"/>
          <w:spacing w:val="1"/>
          <w:sz w:val="24"/>
        </w:rPr>
        <w:t xml:space="preserve"> </w:t>
      </w:r>
      <w:r w:rsidRPr="00395593">
        <w:rPr>
          <w:rFonts w:ascii="Garamond" w:hAnsi="Garamond"/>
          <w:sz w:val="24"/>
        </w:rPr>
        <w:t>pela</w:t>
      </w:r>
      <w:r w:rsidRPr="00395593">
        <w:rPr>
          <w:rFonts w:ascii="Garamond" w:hAnsi="Garamond"/>
          <w:spacing w:val="1"/>
          <w:sz w:val="24"/>
        </w:rPr>
        <w:t xml:space="preserve"> </w:t>
      </w:r>
      <w:r w:rsidRPr="00395593">
        <w:rPr>
          <w:rFonts w:ascii="Garamond" w:hAnsi="Garamond"/>
          <w:sz w:val="24"/>
        </w:rPr>
        <w:t>parte</w:t>
      </w:r>
      <w:r w:rsidRPr="00395593">
        <w:rPr>
          <w:rFonts w:ascii="Garamond" w:hAnsi="Garamond"/>
          <w:spacing w:val="1"/>
          <w:sz w:val="24"/>
        </w:rPr>
        <w:t xml:space="preserve"> </w:t>
      </w:r>
      <w:r w:rsidRPr="00395593">
        <w:rPr>
          <w:rFonts w:ascii="Garamond" w:hAnsi="Garamond"/>
          <w:sz w:val="24"/>
        </w:rPr>
        <w:t>interessada</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sua</w:t>
      </w:r>
      <w:r w:rsidRPr="00395593">
        <w:rPr>
          <w:rFonts w:ascii="Garamond" w:hAnsi="Garamond"/>
          <w:spacing w:val="1"/>
          <w:sz w:val="24"/>
        </w:rPr>
        <w:t xml:space="preserve"> </w:t>
      </w:r>
      <w:r w:rsidRPr="00395593">
        <w:rPr>
          <w:rFonts w:ascii="Garamond" w:hAnsi="Garamond"/>
          <w:sz w:val="24"/>
        </w:rPr>
        <w:t>resposta.</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autoridades deverão igualmente certificar-se de que a parte têm consciência de que o não</w:t>
      </w:r>
      <w:r w:rsidRPr="00395593">
        <w:rPr>
          <w:rFonts w:ascii="Garamond" w:hAnsi="Garamond"/>
          <w:spacing w:val="1"/>
          <w:sz w:val="24"/>
        </w:rPr>
        <w:t xml:space="preserve"> </w:t>
      </w:r>
      <w:r w:rsidRPr="00395593">
        <w:rPr>
          <w:rFonts w:ascii="Garamond" w:hAnsi="Garamond"/>
          <w:sz w:val="24"/>
        </w:rPr>
        <w:t>fornecimento</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informação</w:t>
      </w:r>
      <w:r w:rsidRPr="00395593">
        <w:rPr>
          <w:rFonts w:ascii="Garamond" w:hAnsi="Garamond"/>
          <w:spacing w:val="1"/>
          <w:sz w:val="24"/>
        </w:rPr>
        <w:t xml:space="preserve"> </w:t>
      </w:r>
      <w:r w:rsidRPr="00395593">
        <w:rPr>
          <w:rFonts w:ascii="Garamond" w:hAnsi="Garamond"/>
          <w:sz w:val="24"/>
        </w:rPr>
        <w:t>dentro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um</w:t>
      </w:r>
      <w:r w:rsidRPr="00395593">
        <w:rPr>
          <w:rFonts w:ascii="Garamond" w:hAnsi="Garamond"/>
          <w:spacing w:val="1"/>
          <w:sz w:val="24"/>
        </w:rPr>
        <w:t xml:space="preserve"> </w:t>
      </w:r>
      <w:r w:rsidRPr="00395593">
        <w:rPr>
          <w:rFonts w:ascii="Garamond" w:hAnsi="Garamond"/>
          <w:sz w:val="24"/>
        </w:rPr>
        <w:t>prazo</w:t>
      </w:r>
      <w:r w:rsidRPr="00395593">
        <w:rPr>
          <w:rFonts w:ascii="Garamond" w:hAnsi="Garamond"/>
          <w:spacing w:val="1"/>
          <w:sz w:val="24"/>
        </w:rPr>
        <w:t xml:space="preserve"> </w:t>
      </w:r>
      <w:r w:rsidRPr="00395593">
        <w:rPr>
          <w:rFonts w:ascii="Garamond" w:hAnsi="Garamond"/>
          <w:sz w:val="24"/>
        </w:rPr>
        <w:t>razoável</w:t>
      </w:r>
      <w:r w:rsidRPr="00395593">
        <w:rPr>
          <w:rFonts w:ascii="Garamond" w:hAnsi="Garamond"/>
          <w:spacing w:val="1"/>
          <w:sz w:val="24"/>
        </w:rPr>
        <w:t xml:space="preserve"> </w:t>
      </w:r>
      <w:r w:rsidRPr="00395593">
        <w:rPr>
          <w:rFonts w:ascii="Garamond" w:hAnsi="Garamond"/>
          <w:sz w:val="24"/>
        </w:rPr>
        <w:t>permitirá</w:t>
      </w:r>
      <w:r w:rsidRPr="00395593">
        <w:rPr>
          <w:rFonts w:ascii="Garamond" w:hAnsi="Garamond"/>
          <w:spacing w:val="1"/>
          <w:sz w:val="24"/>
        </w:rPr>
        <w:t xml:space="preserve"> </w:t>
      </w:r>
      <w:r w:rsidRPr="00395593">
        <w:rPr>
          <w:rFonts w:ascii="Garamond" w:hAnsi="Garamond"/>
          <w:sz w:val="24"/>
        </w:rPr>
        <w:t>às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estabelecer determinações com base nos fatos disponíveis, entre eles os contidos na petição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2"/>
          <w:sz w:val="24"/>
        </w:rPr>
        <w:t xml:space="preserve"> </w:t>
      </w:r>
      <w:r w:rsidRPr="00395593">
        <w:rPr>
          <w:rFonts w:ascii="Garamond" w:hAnsi="Garamond"/>
          <w:sz w:val="24"/>
        </w:rPr>
        <w:t>início de investigação</w:t>
      </w:r>
      <w:r w:rsidRPr="00395593">
        <w:rPr>
          <w:rFonts w:ascii="Garamond" w:hAnsi="Garamond"/>
          <w:spacing w:val="2"/>
          <w:sz w:val="24"/>
        </w:rPr>
        <w:t xml:space="preserve"> </w:t>
      </w:r>
      <w:r w:rsidRPr="00395593">
        <w:rPr>
          <w:rFonts w:ascii="Garamond" w:hAnsi="Garamond"/>
          <w:sz w:val="24"/>
        </w:rPr>
        <w:t>formulada</w:t>
      </w:r>
      <w:r w:rsidRPr="00395593">
        <w:rPr>
          <w:rFonts w:ascii="Garamond" w:hAnsi="Garamond"/>
          <w:spacing w:val="-1"/>
          <w:sz w:val="24"/>
        </w:rPr>
        <w:t xml:space="preserve"> </w:t>
      </w:r>
      <w:r w:rsidRPr="00395593">
        <w:rPr>
          <w:rFonts w:ascii="Garamond" w:hAnsi="Garamond"/>
          <w:sz w:val="24"/>
        </w:rPr>
        <w:t>pela</w:t>
      </w:r>
      <w:r w:rsidRPr="00395593">
        <w:rPr>
          <w:rFonts w:ascii="Garamond" w:hAnsi="Garamond"/>
          <w:spacing w:val="-1"/>
          <w:sz w:val="24"/>
        </w:rPr>
        <w:t xml:space="preserve"> </w:t>
      </w:r>
      <w:r w:rsidRPr="00395593">
        <w:rPr>
          <w:rFonts w:ascii="Garamond" w:hAnsi="Garamond"/>
          <w:sz w:val="24"/>
        </w:rPr>
        <w:t>indústria</w:t>
      </w:r>
      <w:r w:rsidRPr="00395593">
        <w:rPr>
          <w:rFonts w:ascii="Garamond" w:hAnsi="Garamond"/>
          <w:spacing w:val="1"/>
          <w:sz w:val="24"/>
        </w:rPr>
        <w:t xml:space="preserve"> </w:t>
      </w:r>
      <w:r w:rsidRPr="00395593">
        <w:rPr>
          <w:rFonts w:ascii="Garamond" w:hAnsi="Garamond"/>
          <w:sz w:val="24"/>
        </w:rPr>
        <w:t>nacional.</w:t>
      </w:r>
    </w:p>
    <w:p w14:paraId="73A03092" w14:textId="77777777" w:rsidR="0013285C" w:rsidRPr="00395593" w:rsidRDefault="0013285C" w:rsidP="0013285C">
      <w:pPr>
        <w:pStyle w:val="Corpodetexto"/>
        <w:rPr>
          <w:rFonts w:ascii="Garamond" w:hAnsi="Garamond"/>
        </w:rPr>
      </w:pPr>
    </w:p>
    <w:p w14:paraId="63744CE5" w14:textId="77777777" w:rsidR="0013285C" w:rsidRPr="00395593" w:rsidRDefault="0013285C" w:rsidP="002C4340">
      <w:pPr>
        <w:pStyle w:val="PargrafodaLista"/>
        <w:widowControl w:val="0"/>
        <w:numPr>
          <w:ilvl w:val="0"/>
          <w:numId w:val="3"/>
        </w:numPr>
        <w:tabs>
          <w:tab w:val="left" w:pos="810"/>
        </w:tabs>
        <w:autoSpaceDE w:val="0"/>
        <w:autoSpaceDN w:val="0"/>
        <w:spacing w:after="0" w:line="240" w:lineRule="auto"/>
        <w:ind w:right="114" w:firstLine="0"/>
        <w:contextualSpacing w:val="0"/>
        <w:jc w:val="both"/>
        <w:rPr>
          <w:rFonts w:ascii="Garamond" w:hAnsi="Garamond"/>
          <w:sz w:val="24"/>
        </w:rPr>
      </w:pPr>
      <w:r w:rsidRPr="00395593">
        <w:rPr>
          <w:rFonts w:ascii="Garamond" w:hAnsi="Garamond"/>
          <w:sz w:val="24"/>
        </w:rPr>
        <w:t>As autoridades poderão igualmente requerer que uma parte interessada forneça suas</w:t>
      </w:r>
      <w:r w:rsidRPr="00395593">
        <w:rPr>
          <w:rFonts w:ascii="Garamond" w:hAnsi="Garamond"/>
          <w:spacing w:val="1"/>
          <w:sz w:val="24"/>
        </w:rPr>
        <w:t xml:space="preserve"> </w:t>
      </w:r>
      <w:r w:rsidRPr="00395593">
        <w:rPr>
          <w:rFonts w:ascii="Garamond" w:hAnsi="Garamond"/>
          <w:sz w:val="24"/>
        </w:rPr>
        <w:t>respostas</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meio</w:t>
      </w:r>
      <w:r w:rsidRPr="00395593">
        <w:rPr>
          <w:rFonts w:ascii="Garamond" w:hAnsi="Garamond"/>
          <w:spacing w:val="1"/>
          <w:sz w:val="24"/>
        </w:rPr>
        <w:t xml:space="preserve"> </w:t>
      </w:r>
      <w:r w:rsidRPr="00395593">
        <w:rPr>
          <w:rFonts w:ascii="Garamond" w:hAnsi="Garamond"/>
          <w:sz w:val="24"/>
        </w:rPr>
        <w:t>específico</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exemplo,</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fita</w:t>
      </w:r>
      <w:r w:rsidRPr="00395593">
        <w:rPr>
          <w:rFonts w:ascii="Garamond" w:hAnsi="Garamond"/>
          <w:spacing w:val="1"/>
          <w:sz w:val="24"/>
        </w:rPr>
        <w:t xml:space="preserve"> </w:t>
      </w:r>
      <w:r w:rsidRPr="00395593">
        <w:rPr>
          <w:rFonts w:ascii="Garamond" w:hAnsi="Garamond"/>
          <w:sz w:val="24"/>
        </w:rPr>
        <w:t>magnética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computador)</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linguagem de computador. No caso de tal requerimento ser formulado, as autoridades terão</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conta</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possibilidades</w:t>
      </w:r>
      <w:r w:rsidRPr="00395593">
        <w:rPr>
          <w:rFonts w:ascii="Garamond" w:hAnsi="Garamond"/>
          <w:spacing w:val="1"/>
          <w:sz w:val="24"/>
        </w:rPr>
        <w:t xml:space="preserve"> </w:t>
      </w:r>
      <w:r w:rsidRPr="00395593">
        <w:rPr>
          <w:rFonts w:ascii="Garamond" w:hAnsi="Garamond"/>
          <w:sz w:val="24"/>
        </w:rPr>
        <w:t>razoáveis</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parte</w:t>
      </w:r>
      <w:r w:rsidRPr="00395593">
        <w:rPr>
          <w:rFonts w:ascii="Garamond" w:hAnsi="Garamond"/>
          <w:spacing w:val="1"/>
          <w:sz w:val="24"/>
        </w:rPr>
        <w:t xml:space="preserve"> </w:t>
      </w:r>
      <w:r w:rsidRPr="00395593">
        <w:rPr>
          <w:rFonts w:ascii="Garamond" w:hAnsi="Garamond"/>
          <w:sz w:val="24"/>
        </w:rPr>
        <w:t>interessada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responder</w:t>
      </w:r>
      <w:r w:rsidRPr="00395593">
        <w:rPr>
          <w:rFonts w:ascii="Garamond" w:hAnsi="Garamond"/>
          <w:spacing w:val="1"/>
          <w:sz w:val="24"/>
        </w:rPr>
        <w:t xml:space="preserve"> </w:t>
      </w:r>
      <w:r w:rsidRPr="00395593">
        <w:rPr>
          <w:rFonts w:ascii="Garamond" w:hAnsi="Garamond"/>
          <w:sz w:val="24"/>
        </w:rPr>
        <w:t>como</w:t>
      </w:r>
      <w:r w:rsidRPr="00395593">
        <w:rPr>
          <w:rFonts w:ascii="Garamond" w:hAnsi="Garamond"/>
          <w:spacing w:val="1"/>
          <w:sz w:val="24"/>
        </w:rPr>
        <w:t xml:space="preserve"> </w:t>
      </w:r>
      <w:r w:rsidRPr="00395593">
        <w:rPr>
          <w:rFonts w:ascii="Garamond" w:hAnsi="Garamond"/>
          <w:sz w:val="24"/>
        </w:rPr>
        <w:t>lhes</w:t>
      </w:r>
      <w:r w:rsidRPr="00395593">
        <w:rPr>
          <w:rFonts w:ascii="Garamond" w:hAnsi="Garamond"/>
          <w:spacing w:val="1"/>
          <w:sz w:val="24"/>
        </w:rPr>
        <w:t xml:space="preserve"> </w:t>
      </w:r>
      <w:r w:rsidRPr="00395593">
        <w:rPr>
          <w:rFonts w:ascii="Garamond" w:hAnsi="Garamond"/>
          <w:sz w:val="24"/>
        </w:rPr>
        <w:t>é</w:t>
      </w:r>
      <w:r w:rsidRPr="00395593">
        <w:rPr>
          <w:rFonts w:ascii="Garamond" w:hAnsi="Garamond"/>
          <w:spacing w:val="1"/>
          <w:sz w:val="24"/>
        </w:rPr>
        <w:t xml:space="preserve"> </w:t>
      </w:r>
      <w:r w:rsidRPr="00395593">
        <w:rPr>
          <w:rFonts w:ascii="Garamond" w:hAnsi="Garamond"/>
          <w:sz w:val="24"/>
        </w:rPr>
        <w:t>solicitado e não deverão pedir à parte que use em sua resposta sistema de computador</w:t>
      </w:r>
      <w:r w:rsidRPr="00395593">
        <w:rPr>
          <w:rFonts w:ascii="Garamond" w:hAnsi="Garamond"/>
          <w:spacing w:val="1"/>
          <w:sz w:val="24"/>
        </w:rPr>
        <w:t xml:space="preserve"> </w:t>
      </w:r>
      <w:r w:rsidRPr="00395593">
        <w:rPr>
          <w:rFonts w:ascii="Garamond" w:hAnsi="Garamond"/>
          <w:sz w:val="24"/>
        </w:rPr>
        <w:t>diferente daquele que é habitualmente usado pela parte. A autoridade não devora insistir em</w:t>
      </w:r>
      <w:r w:rsidRPr="00395593">
        <w:rPr>
          <w:rFonts w:ascii="Garamond" w:hAnsi="Garamond"/>
          <w:spacing w:val="-57"/>
          <w:sz w:val="24"/>
        </w:rPr>
        <w:t xml:space="preserve"> </w:t>
      </w:r>
      <w:r w:rsidRPr="00395593">
        <w:rPr>
          <w:rFonts w:ascii="Garamond" w:hAnsi="Garamond"/>
          <w:sz w:val="24"/>
        </w:rPr>
        <w:t>seu</w:t>
      </w:r>
      <w:r w:rsidRPr="00395593">
        <w:rPr>
          <w:rFonts w:ascii="Garamond" w:hAnsi="Garamond"/>
          <w:spacing w:val="1"/>
          <w:sz w:val="24"/>
        </w:rPr>
        <w:t xml:space="preserve"> </w:t>
      </w:r>
      <w:r w:rsidRPr="00395593">
        <w:rPr>
          <w:rFonts w:ascii="Garamond" w:hAnsi="Garamond"/>
          <w:sz w:val="24"/>
        </w:rPr>
        <w:t>requerimento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respostas</w:t>
      </w:r>
      <w:r w:rsidRPr="00395593">
        <w:rPr>
          <w:rFonts w:ascii="Garamond" w:hAnsi="Garamond"/>
          <w:spacing w:val="1"/>
          <w:sz w:val="24"/>
        </w:rPr>
        <w:t xml:space="preserve"> </w:t>
      </w:r>
      <w:r w:rsidRPr="00395593">
        <w:rPr>
          <w:rFonts w:ascii="Garamond" w:hAnsi="Garamond"/>
          <w:sz w:val="24"/>
        </w:rPr>
        <w:t>informatizadas</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parte</w:t>
      </w:r>
      <w:r w:rsidRPr="00395593">
        <w:rPr>
          <w:rFonts w:ascii="Garamond" w:hAnsi="Garamond"/>
          <w:spacing w:val="1"/>
          <w:sz w:val="24"/>
        </w:rPr>
        <w:t xml:space="preserve"> </w:t>
      </w:r>
      <w:r w:rsidRPr="00395593">
        <w:rPr>
          <w:rFonts w:ascii="Garamond" w:hAnsi="Garamond"/>
          <w:sz w:val="24"/>
        </w:rPr>
        <w:t>interessada</w:t>
      </w:r>
      <w:r w:rsidRPr="00395593">
        <w:rPr>
          <w:rFonts w:ascii="Garamond" w:hAnsi="Garamond"/>
          <w:spacing w:val="1"/>
          <w:sz w:val="24"/>
        </w:rPr>
        <w:t xml:space="preserve"> </w:t>
      </w:r>
      <w:r w:rsidRPr="00395593">
        <w:rPr>
          <w:rFonts w:ascii="Garamond" w:hAnsi="Garamond"/>
          <w:sz w:val="24"/>
        </w:rPr>
        <w:t>não</w:t>
      </w:r>
      <w:r w:rsidRPr="00395593">
        <w:rPr>
          <w:rFonts w:ascii="Garamond" w:hAnsi="Garamond"/>
          <w:spacing w:val="1"/>
          <w:sz w:val="24"/>
        </w:rPr>
        <w:t xml:space="preserve"> </w:t>
      </w:r>
      <w:r w:rsidRPr="00395593">
        <w:rPr>
          <w:rFonts w:ascii="Garamond" w:hAnsi="Garamond"/>
          <w:sz w:val="24"/>
        </w:rPr>
        <w:t>mantém</w:t>
      </w:r>
      <w:r w:rsidRPr="00395593">
        <w:rPr>
          <w:rFonts w:ascii="Garamond" w:hAnsi="Garamond"/>
          <w:spacing w:val="1"/>
          <w:sz w:val="24"/>
        </w:rPr>
        <w:t xml:space="preserve"> </w:t>
      </w:r>
      <w:r w:rsidRPr="00395593">
        <w:rPr>
          <w:rFonts w:ascii="Garamond" w:hAnsi="Garamond"/>
          <w:sz w:val="24"/>
        </w:rPr>
        <w:t>contabilidade</w:t>
      </w:r>
      <w:r w:rsidRPr="00395593">
        <w:rPr>
          <w:rFonts w:ascii="Garamond" w:hAnsi="Garamond"/>
          <w:spacing w:val="1"/>
          <w:sz w:val="24"/>
        </w:rPr>
        <w:t xml:space="preserve"> </w:t>
      </w:r>
      <w:r w:rsidRPr="00395593">
        <w:rPr>
          <w:rFonts w:ascii="Garamond" w:hAnsi="Garamond"/>
          <w:sz w:val="24"/>
        </w:rPr>
        <w:t>informatizada</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entrega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respostas</w:t>
      </w:r>
      <w:r w:rsidRPr="00395593">
        <w:rPr>
          <w:rFonts w:ascii="Garamond" w:hAnsi="Garamond"/>
          <w:spacing w:val="1"/>
          <w:sz w:val="24"/>
        </w:rPr>
        <w:t xml:space="preserve"> </w:t>
      </w:r>
      <w:r w:rsidRPr="00395593">
        <w:rPr>
          <w:rFonts w:ascii="Garamond" w:hAnsi="Garamond"/>
          <w:sz w:val="24"/>
        </w:rPr>
        <w:t>informatizadas</w:t>
      </w:r>
      <w:r w:rsidRPr="00395593">
        <w:rPr>
          <w:rFonts w:ascii="Garamond" w:hAnsi="Garamond"/>
          <w:spacing w:val="1"/>
          <w:sz w:val="24"/>
        </w:rPr>
        <w:t xml:space="preserve"> </w:t>
      </w:r>
      <w:r w:rsidRPr="00395593">
        <w:rPr>
          <w:rFonts w:ascii="Garamond" w:hAnsi="Garamond"/>
          <w:sz w:val="24"/>
        </w:rPr>
        <w:t>representar</w:t>
      </w:r>
      <w:r w:rsidRPr="00395593">
        <w:rPr>
          <w:rFonts w:ascii="Garamond" w:hAnsi="Garamond"/>
          <w:spacing w:val="1"/>
          <w:sz w:val="24"/>
        </w:rPr>
        <w:t xml:space="preserve"> </w:t>
      </w:r>
      <w:r w:rsidRPr="00395593">
        <w:rPr>
          <w:rFonts w:ascii="Garamond" w:hAnsi="Garamond"/>
          <w:sz w:val="24"/>
        </w:rPr>
        <w:t>sobrecarga</w:t>
      </w:r>
      <w:r w:rsidRPr="00395593">
        <w:rPr>
          <w:rFonts w:ascii="Garamond" w:hAnsi="Garamond"/>
          <w:spacing w:val="1"/>
          <w:sz w:val="24"/>
        </w:rPr>
        <w:t xml:space="preserve"> </w:t>
      </w:r>
      <w:r w:rsidRPr="00395593">
        <w:rPr>
          <w:rFonts w:ascii="Garamond" w:hAnsi="Garamond"/>
          <w:sz w:val="24"/>
        </w:rPr>
        <w:t>adicional</w:t>
      </w:r>
      <w:r w:rsidRPr="00395593">
        <w:rPr>
          <w:rFonts w:ascii="Garamond" w:hAnsi="Garamond"/>
          <w:spacing w:val="1"/>
          <w:sz w:val="24"/>
        </w:rPr>
        <w:t xml:space="preserve"> </w:t>
      </w:r>
      <w:r w:rsidRPr="00395593">
        <w:rPr>
          <w:rFonts w:ascii="Garamond" w:hAnsi="Garamond"/>
          <w:sz w:val="24"/>
        </w:rPr>
        <w:t>desproporcional</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parte</w:t>
      </w:r>
      <w:r w:rsidRPr="00395593">
        <w:rPr>
          <w:rFonts w:ascii="Garamond" w:hAnsi="Garamond"/>
          <w:spacing w:val="1"/>
          <w:sz w:val="24"/>
        </w:rPr>
        <w:t xml:space="preserve"> </w:t>
      </w:r>
      <w:r w:rsidRPr="00395593">
        <w:rPr>
          <w:rFonts w:ascii="Garamond" w:hAnsi="Garamond"/>
          <w:sz w:val="24"/>
        </w:rPr>
        <w:t>interessada,</w:t>
      </w:r>
      <w:r w:rsidRPr="00395593">
        <w:rPr>
          <w:rFonts w:ascii="Garamond" w:hAnsi="Garamond"/>
          <w:spacing w:val="1"/>
          <w:sz w:val="24"/>
        </w:rPr>
        <w:t xml:space="preserve"> </w:t>
      </w:r>
      <w:r w:rsidRPr="00395593">
        <w:rPr>
          <w:rFonts w:ascii="Garamond" w:hAnsi="Garamond"/>
          <w:sz w:val="24"/>
        </w:rPr>
        <w:t>como,</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exemplo,</w:t>
      </w:r>
      <w:r w:rsidRPr="00395593">
        <w:rPr>
          <w:rFonts w:ascii="Garamond" w:hAnsi="Garamond"/>
          <w:spacing w:val="1"/>
          <w:sz w:val="24"/>
        </w:rPr>
        <w:t xml:space="preserve"> </w:t>
      </w:r>
      <w:r w:rsidRPr="00395593">
        <w:rPr>
          <w:rFonts w:ascii="Garamond" w:hAnsi="Garamond"/>
          <w:sz w:val="24"/>
        </w:rPr>
        <w:t>acréscimo injustificado de custos e dificuldades. As autoridades não deverão insistir em seu</w:t>
      </w:r>
      <w:r w:rsidRPr="00395593">
        <w:rPr>
          <w:rFonts w:ascii="Garamond" w:hAnsi="Garamond"/>
          <w:spacing w:val="-57"/>
          <w:sz w:val="24"/>
        </w:rPr>
        <w:t xml:space="preserve"> </w:t>
      </w:r>
      <w:r w:rsidRPr="00395593">
        <w:rPr>
          <w:rFonts w:ascii="Garamond" w:hAnsi="Garamond"/>
          <w:sz w:val="24"/>
        </w:rPr>
        <w:t>requerimento</w:t>
      </w:r>
      <w:r w:rsidRPr="00395593">
        <w:rPr>
          <w:rFonts w:ascii="Garamond" w:hAnsi="Garamond"/>
          <w:spacing w:val="10"/>
          <w:sz w:val="24"/>
        </w:rPr>
        <w:t xml:space="preserve"> </w:t>
      </w:r>
      <w:r w:rsidRPr="00395593">
        <w:rPr>
          <w:rFonts w:ascii="Garamond" w:hAnsi="Garamond"/>
          <w:sz w:val="24"/>
        </w:rPr>
        <w:t>de</w:t>
      </w:r>
      <w:r w:rsidRPr="00395593">
        <w:rPr>
          <w:rFonts w:ascii="Garamond" w:hAnsi="Garamond"/>
          <w:spacing w:val="12"/>
          <w:sz w:val="24"/>
        </w:rPr>
        <w:t xml:space="preserve"> </w:t>
      </w:r>
      <w:r w:rsidRPr="00395593">
        <w:rPr>
          <w:rFonts w:ascii="Garamond" w:hAnsi="Garamond"/>
          <w:sz w:val="24"/>
        </w:rPr>
        <w:t>resposta</w:t>
      </w:r>
      <w:r w:rsidRPr="00395593">
        <w:rPr>
          <w:rFonts w:ascii="Garamond" w:hAnsi="Garamond"/>
          <w:spacing w:val="10"/>
          <w:sz w:val="24"/>
        </w:rPr>
        <w:t xml:space="preserve"> </w:t>
      </w:r>
      <w:r w:rsidRPr="00395593">
        <w:rPr>
          <w:rFonts w:ascii="Garamond" w:hAnsi="Garamond"/>
          <w:sz w:val="24"/>
        </w:rPr>
        <w:t>sobre</w:t>
      </w:r>
      <w:r w:rsidRPr="00395593">
        <w:rPr>
          <w:rFonts w:ascii="Garamond" w:hAnsi="Garamond"/>
          <w:spacing w:val="9"/>
          <w:sz w:val="24"/>
        </w:rPr>
        <w:t xml:space="preserve"> </w:t>
      </w:r>
      <w:r w:rsidRPr="00395593">
        <w:rPr>
          <w:rFonts w:ascii="Garamond" w:hAnsi="Garamond"/>
          <w:sz w:val="24"/>
        </w:rPr>
        <w:t>meio</w:t>
      </w:r>
      <w:r w:rsidRPr="00395593">
        <w:rPr>
          <w:rFonts w:ascii="Garamond" w:hAnsi="Garamond"/>
          <w:spacing w:val="9"/>
          <w:sz w:val="24"/>
        </w:rPr>
        <w:t xml:space="preserve"> </w:t>
      </w:r>
      <w:r w:rsidRPr="00395593">
        <w:rPr>
          <w:rFonts w:ascii="Garamond" w:hAnsi="Garamond"/>
          <w:sz w:val="24"/>
        </w:rPr>
        <w:t>específico</w:t>
      </w:r>
      <w:r w:rsidRPr="00395593">
        <w:rPr>
          <w:rFonts w:ascii="Garamond" w:hAnsi="Garamond"/>
          <w:spacing w:val="10"/>
          <w:sz w:val="24"/>
        </w:rPr>
        <w:t xml:space="preserve"> </w:t>
      </w:r>
      <w:r w:rsidRPr="00395593">
        <w:rPr>
          <w:rFonts w:ascii="Garamond" w:hAnsi="Garamond"/>
          <w:sz w:val="24"/>
        </w:rPr>
        <w:t>ou</w:t>
      </w:r>
      <w:r w:rsidRPr="00395593">
        <w:rPr>
          <w:rFonts w:ascii="Garamond" w:hAnsi="Garamond"/>
          <w:spacing w:val="10"/>
          <w:sz w:val="24"/>
        </w:rPr>
        <w:t xml:space="preserve"> </w:t>
      </w:r>
      <w:r w:rsidRPr="00395593">
        <w:rPr>
          <w:rFonts w:ascii="Garamond" w:hAnsi="Garamond"/>
          <w:sz w:val="24"/>
        </w:rPr>
        <w:t>linguagem</w:t>
      </w:r>
      <w:r w:rsidRPr="00395593">
        <w:rPr>
          <w:rFonts w:ascii="Garamond" w:hAnsi="Garamond"/>
          <w:spacing w:val="10"/>
          <w:sz w:val="24"/>
        </w:rPr>
        <w:t xml:space="preserve"> </w:t>
      </w:r>
      <w:r w:rsidRPr="00395593">
        <w:rPr>
          <w:rFonts w:ascii="Garamond" w:hAnsi="Garamond"/>
          <w:sz w:val="24"/>
        </w:rPr>
        <w:t>de</w:t>
      </w:r>
      <w:r w:rsidRPr="00395593">
        <w:rPr>
          <w:rFonts w:ascii="Garamond" w:hAnsi="Garamond"/>
          <w:spacing w:val="9"/>
          <w:sz w:val="24"/>
        </w:rPr>
        <w:t xml:space="preserve"> </w:t>
      </w:r>
      <w:r w:rsidRPr="00395593">
        <w:rPr>
          <w:rFonts w:ascii="Garamond" w:hAnsi="Garamond"/>
          <w:sz w:val="24"/>
        </w:rPr>
        <w:t>computador</w:t>
      </w:r>
      <w:r w:rsidRPr="00395593">
        <w:rPr>
          <w:rFonts w:ascii="Garamond" w:hAnsi="Garamond"/>
          <w:spacing w:val="9"/>
          <w:sz w:val="24"/>
        </w:rPr>
        <w:t xml:space="preserve"> </w:t>
      </w:r>
      <w:r w:rsidRPr="00395593">
        <w:rPr>
          <w:rFonts w:ascii="Garamond" w:hAnsi="Garamond"/>
          <w:sz w:val="24"/>
        </w:rPr>
        <w:t>específica</w:t>
      </w:r>
      <w:r w:rsidRPr="00395593">
        <w:rPr>
          <w:rFonts w:ascii="Garamond" w:hAnsi="Garamond"/>
          <w:spacing w:val="9"/>
          <w:sz w:val="24"/>
        </w:rPr>
        <w:t xml:space="preserve"> </w:t>
      </w:r>
      <w:r w:rsidRPr="00395593">
        <w:rPr>
          <w:rFonts w:ascii="Garamond" w:hAnsi="Garamond"/>
          <w:sz w:val="24"/>
        </w:rPr>
        <w:t>se</w:t>
      </w:r>
      <w:r w:rsidRPr="00395593">
        <w:rPr>
          <w:rFonts w:ascii="Garamond" w:hAnsi="Garamond"/>
          <w:spacing w:val="-58"/>
          <w:sz w:val="24"/>
        </w:rPr>
        <w:t xml:space="preserve"> </w:t>
      </w:r>
      <w:r w:rsidRPr="00395593">
        <w:rPr>
          <w:rFonts w:ascii="Garamond" w:hAnsi="Garamond"/>
          <w:sz w:val="24"/>
        </w:rPr>
        <w:t>a parte não mantém sua contabilidade informatizada naquele meio específico ou naquela</w:t>
      </w:r>
      <w:r w:rsidRPr="00395593">
        <w:rPr>
          <w:rFonts w:ascii="Garamond" w:hAnsi="Garamond"/>
          <w:spacing w:val="1"/>
          <w:sz w:val="24"/>
        </w:rPr>
        <w:t xml:space="preserve"> </w:t>
      </w:r>
      <w:r w:rsidRPr="00395593">
        <w:rPr>
          <w:rFonts w:ascii="Garamond" w:hAnsi="Garamond"/>
          <w:sz w:val="24"/>
        </w:rPr>
        <w:t>linguagem de computador específica e se a apresentação de respostas, tal como requeridas,</w:t>
      </w:r>
      <w:r w:rsidRPr="00395593">
        <w:rPr>
          <w:rFonts w:ascii="Garamond" w:hAnsi="Garamond"/>
          <w:spacing w:val="1"/>
          <w:sz w:val="24"/>
        </w:rPr>
        <w:t xml:space="preserve"> </w:t>
      </w:r>
      <w:r w:rsidRPr="00395593">
        <w:rPr>
          <w:rFonts w:ascii="Garamond" w:hAnsi="Garamond"/>
          <w:sz w:val="24"/>
        </w:rPr>
        <w:t>resultar</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sobrecarga</w:t>
      </w:r>
      <w:r w:rsidRPr="00395593">
        <w:rPr>
          <w:rFonts w:ascii="Garamond" w:hAnsi="Garamond"/>
          <w:spacing w:val="1"/>
          <w:sz w:val="24"/>
        </w:rPr>
        <w:t xml:space="preserve"> </w:t>
      </w:r>
      <w:r w:rsidRPr="00395593">
        <w:rPr>
          <w:rFonts w:ascii="Garamond" w:hAnsi="Garamond"/>
          <w:sz w:val="24"/>
        </w:rPr>
        <w:t>adicional</w:t>
      </w:r>
      <w:r w:rsidRPr="00395593">
        <w:rPr>
          <w:rFonts w:ascii="Garamond" w:hAnsi="Garamond"/>
          <w:spacing w:val="1"/>
          <w:sz w:val="24"/>
        </w:rPr>
        <w:t xml:space="preserve"> </w:t>
      </w:r>
      <w:r w:rsidRPr="00395593">
        <w:rPr>
          <w:rFonts w:ascii="Garamond" w:hAnsi="Garamond"/>
          <w:sz w:val="24"/>
        </w:rPr>
        <w:t>desproporcional</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parte</w:t>
      </w:r>
      <w:r w:rsidRPr="00395593">
        <w:rPr>
          <w:rFonts w:ascii="Garamond" w:hAnsi="Garamond"/>
          <w:spacing w:val="1"/>
          <w:sz w:val="24"/>
        </w:rPr>
        <w:t xml:space="preserve"> </w:t>
      </w:r>
      <w:r w:rsidRPr="00395593">
        <w:rPr>
          <w:rFonts w:ascii="Garamond" w:hAnsi="Garamond"/>
          <w:sz w:val="24"/>
        </w:rPr>
        <w:t>interessada,</w:t>
      </w:r>
      <w:r w:rsidRPr="00395593">
        <w:rPr>
          <w:rFonts w:ascii="Garamond" w:hAnsi="Garamond"/>
          <w:spacing w:val="1"/>
          <w:sz w:val="24"/>
        </w:rPr>
        <w:t xml:space="preserve"> </w:t>
      </w:r>
      <w:r w:rsidRPr="00395593">
        <w:rPr>
          <w:rFonts w:ascii="Garamond" w:hAnsi="Garamond"/>
          <w:sz w:val="24"/>
        </w:rPr>
        <w:t>como,</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exemplo,</w:t>
      </w:r>
      <w:r w:rsidRPr="00395593">
        <w:rPr>
          <w:rFonts w:ascii="Garamond" w:hAnsi="Garamond"/>
          <w:spacing w:val="-1"/>
          <w:sz w:val="24"/>
        </w:rPr>
        <w:t xml:space="preserve"> </w:t>
      </w:r>
      <w:r w:rsidRPr="00395593">
        <w:rPr>
          <w:rFonts w:ascii="Garamond" w:hAnsi="Garamond"/>
          <w:sz w:val="24"/>
        </w:rPr>
        <w:t>acréscimo injustificado de</w:t>
      </w:r>
      <w:r w:rsidRPr="00395593">
        <w:rPr>
          <w:rFonts w:ascii="Garamond" w:hAnsi="Garamond"/>
          <w:spacing w:val="-1"/>
          <w:sz w:val="24"/>
        </w:rPr>
        <w:t xml:space="preserve"> </w:t>
      </w:r>
      <w:r w:rsidRPr="00395593">
        <w:rPr>
          <w:rFonts w:ascii="Garamond" w:hAnsi="Garamond"/>
          <w:sz w:val="24"/>
        </w:rPr>
        <w:t>custos e</w:t>
      </w:r>
      <w:r w:rsidRPr="00395593">
        <w:rPr>
          <w:rFonts w:ascii="Garamond" w:hAnsi="Garamond"/>
          <w:spacing w:val="-1"/>
          <w:sz w:val="24"/>
        </w:rPr>
        <w:t xml:space="preserve"> </w:t>
      </w:r>
      <w:r w:rsidRPr="00395593">
        <w:rPr>
          <w:rFonts w:ascii="Garamond" w:hAnsi="Garamond"/>
          <w:sz w:val="24"/>
        </w:rPr>
        <w:t>dificuldades.</w:t>
      </w:r>
    </w:p>
    <w:p w14:paraId="7FB6D0C4" w14:textId="77777777" w:rsidR="0013285C" w:rsidRPr="00395593" w:rsidRDefault="0013285C" w:rsidP="0013285C">
      <w:pPr>
        <w:pStyle w:val="Corpodetexto"/>
        <w:spacing w:before="1"/>
        <w:rPr>
          <w:rFonts w:ascii="Garamond" w:hAnsi="Garamond"/>
        </w:rPr>
      </w:pPr>
    </w:p>
    <w:p w14:paraId="2373FEC5" w14:textId="10B9306F" w:rsidR="0013285C" w:rsidRPr="00395593" w:rsidRDefault="0013285C" w:rsidP="002C4340">
      <w:pPr>
        <w:pStyle w:val="PargrafodaLista"/>
        <w:widowControl w:val="0"/>
        <w:numPr>
          <w:ilvl w:val="0"/>
          <w:numId w:val="3"/>
        </w:numPr>
        <w:tabs>
          <w:tab w:val="left" w:pos="810"/>
        </w:tabs>
        <w:autoSpaceDE w:val="0"/>
        <w:autoSpaceDN w:val="0"/>
        <w:spacing w:after="0" w:line="240" w:lineRule="auto"/>
        <w:ind w:right="120" w:firstLine="0"/>
        <w:contextualSpacing w:val="0"/>
        <w:jc w:val="both"/>
        <w:rPr>
          <w:rFonts w:ascii="Garamond" w:hAnsi="Garamond"/>
          <w:sz w:val="24"/>
        </w:rPr>
      </w:pPr>
      <w:r w:rsidRPr="00395593">
        <w:rPr>
          <w:rFonts w:ascii="Garamond" w:hAnsi="Garamond"/>
          <w:sz w:val="24"/>
        </w:rPr>
        <w:t>Ao</w:t>
      </w:r>
      <w:r w:rsidRPr="00395593">
        <w:rPr>
          <w:rFonts w:ascii="Garamond" w:hAnsi="Garamond"/>
          <w:spacing w:val="1"/>
          <w:sz w:val="24"/>
        </w:rPr>
        <w:t xml:space="preserve"> </w:t>
      </w:r>
      <w:r w:rsidRPr="00395593">
        <w:rPr>
          <w:rFonts w:ascii="Garamond" w:hAnsi="Garamond"/>
          <w:sz w:val="24"/>
        </w:rPr>
        <w:t>formularem-se</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determinações</w:t>
      </w:r>
      <w:r w:rsidRPr="00395593">
        <w:rPr>
          <w:rFonts w:ascii="Garamond" w:hAnsi="Garamond"/>
          <w:spacing w:val="1"/>
          <w:sz w:val="24"/>
        </w:rPr>
        <w:t xml:space="preserve"> </w:t>
      </w:r>
      <w:r w:rsidRPr="00395593">
        <w:rPr>
          <w:rFonts w:ascii="Garamond" w:hAnsi="Garamond"/>
          <w:sz w:val="24"/>
        </w:rPr>
        <w:t>ter-se-ão</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tonta</w:t>
      </w:r>
      <w:r w:rsidRPr="00395593">
        <w:rPr>
          <w:rFonts w:ascii="Garamond" w:hAnsi="Garamond"/>
          <w:spacing w:val="1"/>
          <w:sz w:val="24"/>
        </w:rPr>
        <w:t xml:space="preserve"> </w:t>
      </w:r>
      <w:r w:rsidRPr="00395593">
        <w:rPr>
          <w:rFonts w:ascii="Garamond" w:hAnsi="Garamond"/>
          <w:sz w:val="24"/>
        </w:rPr>
        <w:t>todas</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informações</w:t>
      </w:r>
      <w:r w:rsidRPr="00395593">
        <w:rPr>
          <w:rFonts w:ascii="Garamond" w:hAnsi="Garamond"/>
          <w:spacing w:val="1"/>
          <w:sz w:val="24"/>
        </w:rPr>
        <w:t xml:space="preserve"> </w:t>
      </w:r>
      <w:r w:rsidRPr="00395593">
        <w:rPr>
          <w:rFonts w:ascii="Garamond" w:hAnsi="Garamond"/>
          <w:sz w:val="24"/>
        </w:rPr>
        <w:t>verificáveis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tenham</w:t>
      </w:r>
      <w:r w:rsidRPr="00395593">
        <w:rPr>
          <w:rFonts w:ascii="Garamond" w:hAnsi="Garamond"/>
          <w:spacing w:val="1"/>
          <w:sz w:val="24"/>
        </w:rPr>
        <w:t xml:space="preserve"> </w:t>
      </w:r>
      <w:r w:rsidRPr="00395593">
        <w:rPr>
          <w:rFonts w:ascii="Garamond" w:hAnsi="Garamond"/>
          <w:sz w:val="24"/>
        </w:rPr>
        <w:t>sido</w:t>
      </w:r>
      <w:r w:rsidRPr="00395593">
        <w:rPr>
          <w:rFonts w:ascii="Garamond" w:hAnsi="Garamond"/>
          <w:spacing w:val="1"/>
          <w:sz w:val="24"/>
        </w:rPr>
        <w:t xml:space="preserve"> </w:t>
      </w:r>
      <w:r w:rsidRPr="00395593">
        <w:rPr>
          <w:rFonts w:ascii="Garamond" w:hAnsi="Garamond"/>
          <w:sz w:val="24"/>
        </w:rPr>
        <w:t>adequadamente</w:t>
      </w:r>
      <w:r w:rsidRPr="00395593">
        <w:rPr>
          <w:rFonts w:ascii="Garamond" w:hAnsi="Garamond"/>
          <w:spacing w:val="1"/>
          <w:sz w:val="24"/>
        </w:rPr>
        <w:t xml:space="preserve"> </w:t>
      </w:r>
      <w:r w:rsidRPr="00395593">
        <w:rPr>
          <w:rFonts w:ascii="Garamond" w:hAnsi="Garamond"/>
          <w:sz w:val="24"/>
        </w:rPr>
        <w:t>apresentadas</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portanto</w:t>
      </w:r>
      <w:r w:rsidRPr="00395593">
        <w:rPr>
          <w:rFonts w:ascii="Garamond" w:hAnsi="Garamond"/>
          <w:spacing w:val="1"/>
          <w:sz w:val="24"/>
        </w:rPr>
        <w:t xml:space="preserve"> </w:t>
      </w:r>
      <w:r w:rsidRPr="00395593">
        <w:rPr>
          <w:rFonts w:ascii="Garamond" w:hAnsi="Garamond"/>
          <w:sz w:val="24"/>
        </w:rPr>
        <w:t>possam</w:t>
      </w:r>
      <w:r w:rsidRPr="00395593">
        <w:rPr>
          <w:rFonts w:ascii="Garamond" w:hAnsi="Garamond"/>
          <w:spacing w:val="1"/>
          <w:sz w:val="24"/>
        </w:rPr>
        <w:t xml:space="preserve"> </w:t>
      </w:r>
      <w:r w:rsidRPr="00395593">
        <w:rPr>
          <w:rFonts w:ascii="Garamond" w:hAnsi="Garamond"/>
          <w:sz w:val="24"/>
        </w:rPr>
        <w:t>ser</w:t>
      </w:r>
      <w:r w:rsidRPr="00395593">
        <w:rPr>
          <w:rFonts w:ascii="Garamond" w:hAnsi="Garamond"/>
          <w:spacing w:val="1"/>
          <w:sz w:val="24"/>
        </w:rPr>
        <w:t xml:space="preserve"> </w:t>
      </w:r>
      <w:r w:rsidRPr="00395593">
        <w:rPr>
          <w:rFonts w:ascii="Garamond" w:hAnsi="Garamond"/>
          <w:sz w:val="24"/>
        </w:rPr>
        <w:t>utilizadas</w:t>
      </w:r>
      <w:r w:rsidRPr="00395593">
        <w:rPr>
          <w:rFonts w:ascii="Garamond" w:hAnsi="Garamond"/>
          <w:spacing w:val="1"/>
          <w:sz w:val="24"/>
        </w:rPr>
        <w:t xml:space="preserve"> </w:t>
      </w:r>
      <w:r w:rsidRPr="00395593">
        <w:rPr>
          <w:rFonts w:ascii="Garamond" w:hAnsi="Garamond"/>
          <w:sz w:val="24"/>
        </w:rPr>
        <w:t>na</w:t>
      </w:r>
      <w:r w:rsidRPr="00395593">
        <w:rPr>
          <w:rFonts w:ascii="Garamond" w:hAnsi="Garamond"/>
          <w:spacing w:val="1"/>
          <w:sz w:val="24"/>
        </w:rPr>
        <w:t xml:space="preserve"> </w:t>
      </w:r>
      <w:r w:rsidRPr="00395593">
        <w:rPr>
          <w:rFonts w:ascii="Garamond" w:hAnsi="Garamond"/>
          <w:sz w:val="24"/>
        </w:rPr>
        <w:t>investigação</w:t>
      </w:r>
      <w:r w:rsidRPr="00395593">
        <w:rPr>
          <w:rFonts w:ascii="Garamond" w:hAnsi="Garamond"/>
          <w:spacing w:val="1"/>
          <w:sz w:val="24"/>
        </w:rPr>
        <w:t xml:space="preserve"> </w:t>
      </w:r>
      <w:r w:rsidRPr="00395593">
        <w:rPr>
          <w:rFonts w:ascii="Garamond" w:hAnsi="Garamond"/>
          <w:sz w:val="24"/>
        </w:rPr>
        <w:t>sem</w:t>
      </w:r>
      <w:r w:rsidRPr="00395593">
        <w:rPr>
          <w:rFonts w:ascii="Garamond" w:hAnsi="Garamond"/>
          <w:spacing w:val="1"/>
          <w:sz w:val="24"/>
        </w:rPr>
        <w:t xml:space="preserve"> </w:t>
      </w:r>
      <w:r w:rsidRPr="00395593">
        <w:rPr>
          <w:rFonts w:ascii="Garamond" w:hAnsi="Garamond"/>
          <w:sz w:val="24"/>
        </w:rPr>
        <w:t>dificuldades</w:t>
      </w:r>
      <w:r w:rsidRPr="00395593">
        <w:rPr>
          <w:rFonts w:ascii="Garamond" w:hAnsi="Garamond"/>
          <w:spacing w:val="1"/>
          <w:sz w:val="24"/>
        </w:rPr>
        <w:t xml:space="preserve"> </w:t>
      </w:r>
      <w:r w:rsidRPr="00395593">
        <w:rPr>
          <w:rFonts w:ascii="Garamond" w:hAnsi="Garamond"/>
          <w:sz w:val="24"/>
        </w:rPr>
        <w:t>excessivas,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tenham</w:t>
      </w:r>
      <w:r w:rsidRPr="00395593">
        <w:rPr>
          <w:rFonts w:ascii="Garamond" w:hAnsi="Garamond"/>
          <w:spacing w:val="1"/>
          <w:sz w:val="24"/>
        </w:rPr>
        <w:t xml:space="preserve"> </w:t>
      </w:r>
      <w:r w:rsidRPr="00395593">
        <w:rPr>
          <w:rFonts w:ascii="Garamond" w:hAnsi="Garamond"/>
          <w:sz w:val="24"/>
        </w:rPr>
        <w:t>sido</w:t>
      </w:r>
      <w:r w:rsidRPr="00395593">
        <w:rPr>
          <w:rFonts w:ascii="Garamond" w:hAnsi="Garamond"/>
          <w:spacing w:val="1"/>
          <w:sz w:val="24"/>
        </w:rPr>
        <w:t xml:space="preserve"> </w:t>
      </w:r>
      <w:r w:rsidRPr="00395593">
        <w:rPr>
          <w:rFonts w:ascii="Garamond" w:hAnsi="Garamond"/>
          <w:sz w:val="24"/>
        </w:rPr>
        <w:t>apresentadas</w:t>
      </w:r>
      <w:r w:rsidRPr="00395593">
        <w:rPr>
          <w:rFonts w:ascii="Garamond" w:hAnsi="Garamond"/>
          <w:spacing w:val="1"/>
          <w:sz w:val="24"/>
        </w:rPr>
        <w:t xml:space="preserve"> </w:t>
      </w:r>
      <w:r w:rsidRPr="00395593">
        <w:rPr>
          <w:rFonts w:ascii="Garamond" w:hAnsi="Garamond"/>
          <w:sz w:val="24"/>
        </w:rPr>
        <w:t>atempadamente e que, quando proceda, tenham sido apresentadas no meio ou na linguagem</w:t>
      </w:r>
      <w:r w:rsidRPr="00395593">
        <w:rPr>
          <w:rFonts w:ascii="Garamond" w:hAnsi="Garamond"/>
          <w:spacing w:val="-57"/>
          <w:sz w:val="24"/>
        </w:rPr>
        <w:t xml:space="preserve"> </w:t>
      </w:r>
      <w:r w:rsidRPr="00395593">
        <w:rPr>
          <w:rFonts w:ascii="Garamond" w:hAnsi="Garamond"/>
          <w:sz w:val="24"/>
        </w:rPr>
        <w:t>de computador requerida peIas autoridades. Se uma parte interessada não responde no meio</w:t>
      </w:r>
      <w:r w:rsidRPr="00395593">
        <w:rPr>
          <w:rFonts w:ascii="Garamond" w:hAnsi="Garamond"/>
          <w:spacing w:val="-57"/>
          <w:sz w:val="24"/>
        </w:rPr>
        <w:t xml:space="preserve"> </w:t>
      </w:r>
      <w:r w:rsidRPr="00395593">
        <w:rPr>
          <w:rFonts w:ascii="Garamond" w:hAnsi="Garamond"/>
          <w:sz w:val="24"/>
        </w:rPr>
        <w:t>ou na linguagem de computador solicitada pelas autoridades, mas estas determinam que as</w:t>
      </w:r>
      <w:r w:rsidRPr="00395593">
        <w:rPr>
          <w:rFonts w:ascii="Garamond" w:hAnsi="Garamond"/>
          <w:spacing w:val="1"/>
          <w:sz w:val="24"/>
        </w:rPr>
        <w:t xml:space="preserve"> </w:t>
      </w:r>
      <w:r w:rsidRPr="00395593">
        <w:rPr>
          <w:rFonts w:ascii="Garamond" w:hAnsi="Garamond"/>
          <w:sz w:val="24"/>
        </w:rPr>
        <w:t>circunstâncias</w:t>
      </w:r>
      <w:r w:rsidRPr="00395593">
        <w:rPr>
          <w:rFonts w:ascii="Garamond" w:hAnsi="Garamond"/>
          <w:spacing w:val="1"/>
          <w:sz w:val="24"/>
        </w:rPr>
        <w:t xml:space="preserve"> </w:t>
      </w:r>
      <w:r w:rsidRPr="00395593">
        <w:rPr>
          <w:rFonts w:ascii="Garamond" w:hAnsi="Garamond"/>
          <w:sz w:val="24"/>
        </w:rPr>
        <w:t>estabelecidas</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parágrafo 2</w:t>
      </w:r>
      <w:r w:rsidRPr="00395593">
        <w:rPr>
          <w:rFonts w:ascii="Garamond" w:hAnsi="Garamond"/>
          <w:spacing w:val="1"/>
          <w:sz w:val="24"/>
        </w:rPr>
        <w:t xml:space="preserve"> </w:t>
      </w:r>
      <w:r w:rsidRPr="00395593">
        <w:rPr>
          <w:rFonts w:ascii="Garamond" w:hAnsi="Garamond"/>
          <w:sz w:val="24"/>
        </w:rPr>
        <w:t>foram</w:t>
      </w:r>
      <w:r w:rsidRPr="00395593">
        <w:rPr>
          <w:rFonts w:ascii="Garamond" w:hAnsi="Garamond"/>
          <w:spacing w:val="1"/>
          <w:sz w:val="24"/>
        </w:rPr>
        <w:t xml:space="preserve"> </w:t>
      </w:r>
      <w:r w:rsidRPr="00395593">
        <w:rPr>
          <w:rFonts w:ascii="Garamond" w:hAnsi="Garamond"/>
          <w:sz w:val="24"/>
        </w:rPr>
        <w:t>satisfeitas,</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ausência</w:t>
      </w:r>
      <w:r w:rsidRPr="00395593">
        <w:rPr>
          <w:rFonts w:ascii="Garamond" w:hAnsi="Garamond"/>
          <w:spacing w:val="60"/>
          <w:sz w:val="24"/>
        </w:rPr>
        <w:t xml:space="preserve"> </w:t>
      </w:r>
      <w:r w:rsidRPr="00395593">
        <w:rPr>
          <w:rFonts w:ascii="Garamond" w:hAnsi="Garamond"/>
          <w:sz w:val="24"/>
        </w:rPr>
        <w:t>de resposta no</w:t>
      </w:r>
      <w:r w:rsidRPr="00395593">
        <w:rPr>
          <w:rFonts w:ascii="Garamond" w:hAnsi="Garamond"/>
          <w:spacing w:val="-57"/>
          <w:sz w:val="24"/>
        </w:rPr>
        <w:t xml:space="preserve"> </w:t>
      </w:r>
      <w:r w:rsidRPr="00395593">
        <w:rPr>
          <w:rFonts w:ascii="Garamond" w:hAnsi="Garamond"/>
          <w:sz w:val="24"/>
        </w:rPr>
        <w:t>meio requerido ou na linguagem de computador requerida não deverá ser considerada como</w:t>
      </w:r>
      <w:r w:rsidRPr="00395593">
        <w:rPr>
          <w:rFonts w:ascii="Garamond" w:hAnsi="Garamond"/>
          <w:spacing w:val="-57"/>
          <w:sz w:val="24"/>
        </w:rPr>
        <w:t xml:space="preserve"> </w:t>
      </w:r>
      <w:r w:rsidRPr="00395593">
        <w:rPr>
          <w:rFonts w:ascii="Garamond" w:hAnsi="Garamond"/>
          <w:sz w:val="24"/>
        </w:rPr>
        <w:t>impedimento</w:t>
      </w:r>
      <w:r w:rsidRPr="00395593">
        <w:rPr>
          <w:rFonts w:ascii="Garamond" w:hAnsi="Garamond"/>
          <w:spacing w:val="-1"/>
          <w:sz w:val="24"/>
        </w:rPr>
        <w:t xml:space="preserve"> </w:t>
      </w:r>
      <w:r w:rsidRPr="00395593">
        <w:rPr>
          <w:rFonts w:ascii="Garamond" w:hAnsi="Garamond"/>
          <w:sz w:val="24"/>
        </w:rPr>
        <w:t>significativo da</w:t>
      </w:r>
      <w:r w:rsidRPr="00395593">
        <w:rPr>
          <w:rFonts w:ascii="Garamond" w:hAnsi="Garamond"/>
          <w:spacing w:val="-1"/>
          <w:sz w:val="24"/>
        </w:rPr>
        <w:t xml:space="preserve"> </w:t>
      </w:r>
      <w:r w:rsidRPr="00395593">
        <w:rPr>
          <w:rFonts w:ascii="Garamond" w:hAnsi="Garamond"/>
          <w:sz w:val="24"/>
        </w:rPr>
        <w:t>investigação.</w:t>
      </w:r>
    </w:p>
    <w:p w14:paraId="381756B6" w14:textId="77777777" w:rsidR="00DF14B5" w:rsidRPr="00395593" w:rsidRDefault="00DF14B5" w:rsidP="00DF14B5">
      <w:pPr>
        <w:pStyle w:val="PargrafodaLista"/>
        <w:rPr>
          <w:rFonts w:ascii="Garamond" w:hAnsi="Garamond"/>
          <w:sz w:val="24"/>
        </w:rPr>
      </w:pPr>
    </w:p>
    <w:p w14:paraId="0B9989D7" w14:textId="77777777" w:rsidR="00DF14B5" w:rsidRPr="00395593" w:rsidRDefault="00DF14B5" w:rsidP="002C4340">
      <w:pPr>
        <w:pStyle w:val="PargrafodaLista"/>
        <w:widowControl w:val="0"/>
        <w:numPr>
          <w:ilvl w:val="0"/>
          <w:numId w:val="3"/>
        </w:numPr>
        <w:tabs>
          <w:tab w:val="left" w:pos="810"/>
        </w:tabs>
        <w:autoSpaceDE w:val="0"/>
        <w:autoSpaceDN w:val="0"/>
        <w:spacing w:after="0" w:line="240" w:lineRule="auto"/>
        <w:ind w:right="120" w:firstLine="0"/>
        <w:contextualSpacing w:val="0"/>
        <w:jc w:val="both"/>
        <w:rPr>
          <w:rFonts w:ascii="Garamond" w:hAnsi="Garamond"/>
          <w:sz w:val="24"/>
        </w:rPr>
      </w:pPr>
      <w:r w:rsidRPr="00395593">
        <w:rPr>
          <w:rFonts w:ascii="Garamond" w:hAnsi="Garamond"/>
          <w:sz w:val="24"/>
        </w:rPr>
        <w:t>Sempre que as</w:t>
      </w:r>
      <w:r w:rsidRPr="00395593">
        <w:rPr>
          <w:rFonts w:ascii="Garamond" w:hAnsi="Garamond"/>
          <w:spacing w:val="60"/>
          <w:sz w:val="24"/>
        </w:rPr>
        <w:t xml:space="preserve"> </w:t>
      </w:r>
      <w:r w:rsidRPr="00395593">
        <w:rPr>
          <w:rFonts w:ascii="Garamond" w:hAnsi="Garamond"/>
          <w:sz w:val="24"/>
        </w:rPr>
        <w:t>autoridades não dispuserem de meios para processar a informação</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terem</w:t>
      </w:r>
      <w:r w:rsidRPr="00395593">
        <w:rPr>
          <w:rFonts w:ascii="Garamond" w:hAnsi="Garamond"/>
          <w:spacing w:val="1"/>
          <w:sz w:val="24"/>
        </w:rPr>
        <w:t xml:space="preserve"> </w:t>
      </w:r>
      <w:r w:rsidRPr="00395593">
        <w:rPr>
          <w:rFonts w:ascii="Garamond" w:hAnsi="Garamond"/>
          <w:sz w:val="24"/>
        </w:rPr>
        <w:t>recebido</w:t>
      </w:r>
      <w:r w:rsidRPr="00395593">
        <w:rPr>
          <w:rFonts w:ascii="Garamond" w:hAnsi="Garamond"/>
          <w:spacing w:val="1"/>
          <w:sz w:val="24"/>
        </w:rPr>
        <w:t xml:space="preserve"> </w:t>
      </w:r>
      <w:r w:rsidRPr="00395593">
        <w:rPr>
          <w:rFonts w:ascii="Garamond" w:hAnsi="Garamond"/>
          <w:sz w:val="24"/>
        </w:rPr>
        <w:t>sobre</w:t>
      </w:r>
      <w:r w:rsidRPr="00395593">
        <w:rPr>
          <w:rFonts w:ascii="Garamond" w:hAnsi="Garamond"/>
          <w:spacing w:val="1"/>
          <w:sz w:val="24"/>
        </w:rPr>
        <w:t xml:space="preserve"> </w:t>
      </w:r>
      <w:r w:rsidRPr="00395593">
        <w:rPr>
          <w:rFonts w:ascii="Garamond" w:hAnsi="Garamond"/>
          <w:sz w:val="24"/>
        </w:rPr>
        <w:t>um</w:t>
      </w:r>
      <w:r w:rsidRPr="00395593">
        <w:rPr>
          <w:rFonts w:ascii="Garamond" w:hAnsi="Garamond"/>
          <w:spacing w:val="1"/>
          <w:sz w:val="24"/>
        </w:rPr>
        <w:t xml:space="preserve"> </w:t>
      </w:r>
      <w:r w:rsidRPr="00395593">
        <w:rPr>
          <w:rFonts w:ascii="Garamond" w:hAnsi="Garamond"/>
          <w:sz w:val="24"/>
        </w:rPr>
        <w:t>melo</w:t>
      </w:r>
      <w:r w:rsidRPr="00395593">
        <w:rPr>
          <w:rFonts w:ascii="Garamond" w:hAnsi="Garamond"/>
          <w:spacing w:val="1"/>
          <w:sz w:val="24"/>
        </w:rPr>
        <w:t xml:space="preserve"> </w:t>
      </w:r>
      <w:r w:rsidRPr="00395593">
        <w:rPr>
          <w:rFonts w:ascii="Garamond" w:hAnsi="Garamond"/>
          <w:sz w:val="24"/>
        </w:rPr>
        <w:t>específico</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exemplo,</w:t>
      </w:r>
      <w:r w:rsidRPr="00395593">
        <w:rPr>
          <w:rFonts w:ascii="Garamond" w:hAnsi="Garamond"/>
          <w:spacing w:val="1"/>
          <w:sz w:val="24"/>
        </w:rPr>
        <w:t xml:space="preserve"> </w:t>
      </w:r>
      <w:r w:rsidRPr="00395593">
        <w:rPr>
          <w:rFonts w:ascii="Garamond" w:hAnsi="Garamond"/>
          <w:sz w:val="24"/>
        </w:rPr>
        <w:t>fita</w:t>
      </w:r>
      <w:r w:rsidRPr="00395593">
        <w:rPr>
          <w:rFonts w:ascii="Garamond" w:hAnsi="Garamond"/>
          <w:spacing w:val="1"/>
          <w:sz w:val="24"/>
        </w:rPr>
        <w:t xml:space="preserve"> </w:t>
      </w:r>
      <w:r w:rsidRPr="00395593">
        <w:rPr>
          <w:rFonts w:ascii="Garamond" w:hAnsi="Garamond"/>
          <w:sz w:val="24"/>
        </w:rPr>
        <w:t>magnética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computador) a informação deverá ser fornecida sob a forma de documento escrito ou sob outra forma aceitável pelas autoridades.</w:t>
      </w:r>
    </w:p>
    <w:p w14:paraId="1C49B169" w14:textId="77777777" w:rsidR="00DF14B5" w:rsidRPr="00395593" w:rsidRDefault="00DF14B5" w:rsidP="00DF14B5">
      <w:pPr>
        <w:pStyle w:val="Corpodetexto"/>
        <w:rPr>
          <w:rFonts w:ascii="Garamond" w:hAnsi="Garamond"/>
        </w:rPr>
      </w:pPr>
    </w:p>
    <w:p w14:paraId="5227CB5F" w14:textId="77777777" w:rsidR="00DF14B5" w:rsidRPr="00395593" w:rsidRDefault="00DF14B5" w:rsidP="002C4340">
      <w:pPr>
        <w:pStyle w:val="PargrafodaLista"/>
        <w:widowControl w:val="0"/>
        <w:numPr>
          <w:ilvl w:val="0"/>
          <w:numId w:val="3"/>
        </w:numPr>
        <w:tabs>
          <w:tab w:val="left" w:pos="810"/>
        </w:tabs>
        <w:autoSpaceDE w:val="0"/>
        <w:autoSpaceDN w:val="0"/>
        <w:spacing w:after="0" w:line="240" w:lineRule="auto"/>
        <w:ind w:right="118" w:firstLine="0"/>
        <w:contextualSpacing w:val="0"/>
        <w:jc w:val="both"/>
        <w:rPr>
          <w:rFonts w:ascii="Garamond" w:hAnsi="Garamond"/>
          <w:sz w:val="24"/>
        </w:rPr>
      </w:pPr>
      <w:r w:rsidRPr="00395593">
        <w:rPr>
          <w:rFonts w:ascii="Garamond" w:hAnsi="Garamond"/>
          <w:sz w:val="24"/>
        </w:rPr>
        <w:t>Muito embora a informação fornecida possa não ser a ideal sob muitos aspectos, as</w:t>
      </w:r>
      <w:r w:rsidRPr="00395593">
        <w:rPr>
          <w:rFonts w:ascii="Garamond" w:hAnsi="Garamond"/>
          <w:spacing w:val="1"/>
          <w:sz w:val="24"/>
        </w:rPr>
        <w:t xml:space="preserve"> </w:t>
      </w:r>
      <w:r w:rsidRPr="00395593">
        <w:rPr>
          <w:rFonts w:ascii="Garamond" w:hAnsi="Garamond"/>
          <w:sz w:val="24"/>
        </w:rPr>
        <w:t>autoridades não poderão por tanto justificar-se de ignorá-la, sempre que a parte interessada</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2"/>
          <w:sz w:val="24"/>
        </w:rPr>
        <w:t xml:space="preserve"> </w:t>
      </w:r>
      <w:r w:rsidRPr="00395593">
        <w:rPr>
          <w:rFonts w:ascii="Garamond" w:hAnsi="Garamond"/>
          <w:sz w:val="24"/>
        </w:rPr>
        <w:t>tenha</w:t>
      </w:r>
      <w:r w:rsidRPr="00395593">
        <w:rPr>
          <w:rFonts w:ascii="Garamond" w:hAnsi="Garamond"/>
          <w:spacing w:val="-2"/>
          <w:sz w:val="24"/>
        </w:rPr>
        <w:t xml:space="preserve"> </w:t>
      </w:r>
      <w:r w:rsidRPr="00395593">
        <w:rPr>
          <w:rFonts w:ascii="Garamond" w:hAnsi="Garamond"/>
          <w:sz w:val="24"/>
        </w:rPr>
        <w:t>servido do melhor de</w:t>
      </w:r>
      <w:r w:rsidRPr="00395593">
        <w:rPr>
          <w:rFonts w:ascii="Garamond" w:hAnsi="Garamond"/>
          <w:spacing w:val="-2"/>
          <w:sz w:val="24"/>
        </w:rPr>
        <w:t xml:space="preserve"> </w:t>
      </w:r>
      <w:r w:rsidRPr="00395593">
        <w:rPr>
          <w:rFonts w:ascii="Garamond" w:hAnsi="Garamond"/>
          <w:sz w:val="24"/>
        </w:rPr>
        <w:t>seus recursos.</w:t>
      </w:r>
    </w:p>
    <w:p w14:paraId="5BB1DBFB" w14:textId="77777777" w:rsidR="00DF14B5" w:rsidRPr="00395593" w:rsidRDefault="00DF14B5" w:rsidP="00DF14B5">
      <w:pPr>
        <w:pStyle w:val="Corpodetexto"/>
        <w:rPr>
          <w:rFonts w:ascii="Garamond" w:hAnsi="Garamond"/>
        </w:rPr>
      </w:pPr>
    </w:p>
    <w:p w14:paraId="515113E2" w14:textId="77777777" w:rsidR="00DF14B5" w:rsidRPr="00395593" w:rsidRDefault="00DF14B5" w:rsidP="002C4340">
      <w:pPr>
        <w:pStyle w:val="PargrafodaLista"/>
        <w:widowControl w:val="0"/>
        <w:numPr>
          <w:ilvl w:val="0"/>
          <w:numId w:val="3"/>
        </w:numPr>
        <w:tabs>
          <w:tab w:val="left" w:pos="810"/>
        </w:tabs>
        <w:autoSpaceDE w:val="0"/>
        <w:autoSpaceDN w:val="0"/>
        <w:spacing w:after="0" w:line="240" w:lineRule="auto"/>
        <w:ind w:right="118" w:firstLine="0"/>
        <w:contextualSpacing w:val="0"/>
        <w:jc w:val="both"/>
        <w:rPr>
          <w:rFonts w:ascii="Garamond" w:hAnsi="Garamond"/>
          <w:sz w:val="24"/>
        </w:rPr>
      </w:pPr>
      <w:r w:rsidRPr="00395593">
        <w:rPr>
          <w:rFonts w:ascii="Garamond" w:hAnsi="Garamond"/>
          <w:sz w:val="24"/>
        </w:rPr>
        <w:t>No caso de não ser aceita uma informação, à parte que a forneceu deverão ser</w:t>
      </w:r>
      <w:r w:rsidRPr="00395593">
        <w:rPr>
          <w:rFonts w:ascii="Garamond" w:hAnsi="Garamond"/>
          <w:spacing w:val="1"/>
          <w:sz w:val="24"/>
        </w:rPr>
        <w:t xml:space="preserve"> </w:t>
      </w:r>
      <w:r w:rsidRPr="00395593">
        <w:rPr>
          <w:rFonts w:ascii="Garamond" w:hAnsi="Garamond"/>
          <w:sz w:val="24"/>
        </w:rPr>
        <w:t>apresentadas explicações imediatas sobre o motivo que determinou a recusa e oferecida</w:t>
      </w:r>
      <w:r w:rsidRPr="00395593">
        <w:rPr>
          <w:rFonts w:ascii="Garamond" w:hAnsi="Garamond"/>
          <w:spacing w:val="1"/>
          <w:sz w:val="24"/>
        </w:rPr>
        <w:t xml:space="preserve"> </w:t>
      </w:r>
      <w:r w:rsidRPr="00395593">
        <w:rPr>
          <w:rFonts w:ascii="Garamond" w:hAnsi="Garamond"/>
          <w:sz w:val="24"/>
        </w:rPr>
        <w:t>oportunidade para que forneça explicações ulteriores dentro de período de tempo razoável,</w:t>
      </w:r>
      <w:r w:rsidRPr="00395593">
        <w:rPr>
          <w:rFonts w:ascii="Garamond" w:hAnsi="Garamond"/>
          <w:spacing w:val="1"/>
          <w:sz w:val="24"/>
        </w:rPr>
        <w:t xml:space="preserve"> </w:t>
      </w:r>
      <w:r w:rsidRPr="00395593">
        <w:rPr>
          <w:rFonts w:ascii="Garamond" w:hAnsi="Garamond"/>
          <w:sz w:val="24"/>
        </w:rPr>
        <w:t>tendo-se devidamente em conta os limites de duração da investigação.</w:t>
      </w:r>
      <w:r w:rsidRPr="00395593">
        <w:rPr>
          <w:rFonts w:ascii="Garamond" w:hAnsi="Garamond"/>
          <w:spacing w:val="60"/>
          <w:sz w:val="24"/>
        </w:rPr>
        <w:t xml:space="preserve"> </w:t>
      </w:r>
      <w:r w:rsidRPr="00395593">
        <w:rPr>
          <w:rFonts w:ascii="Garamond" w:hAnsi="Garamond"/>
          <w:sz w:val="24"/>
        </w:rPr>
        <w:t>Se as explicações</w:t>
      </w:r>
      <w:r w:rsidRPr="00395593">
        <w:rPr>
          <w:rFonts w:ascii="Garamond" w:hAnsi="Garamond"/>
          <w:spacing w:val="1"/>
          <w:sz w:val="24"/>
        </w:rPr>
        <w:t xml:space="preserve"> </w:t>
      </w:r>
      <w:r w:rsidRPr="00395593">
        <w:rPr>
          <w:rFonts w:ascii="Garamond" w:hAnsi="Garamond"/>
          <w:sz w:val="24"/>
        </w:rPr>
        <w:t>são consideradas insatisfatórias pelas autoridades, os motivos pelos quais foram rejeitados</w:t>
      </w:r>
      <w:r w:rsidRPr="00395593">
        <w:rPr>
          <w:rFonts w:ascii="Garamond" w:hAnsi="Garamond"/>
          <w:spacing w:val="1"/>
          <w:sz w:val="24"/>
        </w:rPr>
        <w:t xml:space="preserve"> </w:t>
      </w:r>
      <w:r w:rsidRPr="00395593">
        <w:rPr>
          <w:rFonts w:ascii="Garamond" w:hAnsi="Garamond"/>
          <w:sz w:val="24"/>
        </w:rPr>
        <w:t>tais esclarecimentos ou informações deverão ser apresentados em quaisquer conclusões que</w:t>
      </w:r>
      <w:r w:rsidRPr="00395593">
        <w:rPr>
          <w:rFonts w:ascii="Garamond" w:hAnsi="Garamond"/>
          <w:spacing w:val="-57"/>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publiquem.</w:t>
      </w:r>
    </w:p>
    <w:p w14:paraId="2E74ADED" w14:textId="77777777" w:rsidR="00DF14B5" w:rsidRPr="00395593" w:rsidRDefault="00DF14B5" w:rsidP="00DF14B5">
      <w:pPr>
        <w:pStyle w:val="Corpodetexto"/>
        <w:spacing w:before="1"/>
        <w:rPr>
          <w:rFonts w:ascii="Garamond" w:hAnsi="Garamond"/>
        </w:rPr>
      </w:pPr>
    </w:p>
    <w:p w14:paraId="40D592F9" w14:textId="0D1AD0A1" w:rsidR="00450A8D" w:rsidRPr="005C5CBD" w:rsidRDefault="00DF14B5" w:rsidP="00032ACD">
      <w:pPr>
        <w:pStyle w:val="PargrafodaLista"/>
        <w:widowControl w:val="0"/>
        <w:numPr>
          <w:ilvl w:val="0"/>
          <w:numId w:val="3"/>
        </w:numPr>
        <w:tabs>
          <w:tab w:val="left" w:pos="810"/>
        </w:tabs>
        <w:autoSpaceDE w:val="0"/>
        <w:autoSpaceDN w:val="0"/>
        <w:spacing w:before="10" w:after="0" w:line="240" w:lineRule="auto"/>
        <w:ind w:right="120" w:firstLine="0"/>
        <w:contextualSpacing w:val="0"/>
        <w:jc w:val="both"/>
        <w:rPr>
          <w:rFonts w:ascii="Garamond" w:hAnsi="Garamond" w:cstheme="majorHAnsi"/>
        </w:rPr>
      </w:pPr>
      <w:r w:rsidRPr="00395593">
        <w:rPr>
          <w:rFonts w:ascii="Garamond" w:hAnsi="Garamond"/>
          <w:sz w:val="24"/>
        </w:rPr>
        <w:t>As autoridades que tenham de basear suas determinações, entre elas as que diga</w:t>
      </w:r>
      <w:r w:rsidRPr="00395593">
        <w:rPr>
          <w:rFonts w:ascii="Garamond" w:hAnsi="Garamond"/>
          <w:spacing w:val="1"/>
          <w:sz w:val="24"/>
        </w:rPr>
        <w:t xml:space="preserve">m </w:t>
      </w:r>
      <w:r w:rsidRPr="00395593">
        <w:rPr>
          <w:rFonts w:ascii="Garamond" w:hAnsi="Garamond"/>
          <w:sz w:val="24"/>
        </w:rPr>
        <w:t>respeito ao valor normal sobre informações de fontes secundárias, inclusive as informaçõe</w:t>
      </w:r>
      <w:r w:rsidRPr="00395593">
        <w:rPr>
          <w:rFonts w:ascii="Garamond" w:hAnsi="Garamond"/>
          <w:spacing w:val="1"/>
          <w:sz w:val="24"/>
        </w:rPr>
        <w:t xml:space="preserve">s </w:t>
      </w:r>
      <w:r w:rsidRPr="00395593">
        <w:rPr>
          <w:rFonts w:ascii="Garamond" w:hAnsi="Garamond"/>
          <w:sz w:val="24"/>
        </w:rPr>
        <w:t>fornecidas na petição para início de investigação, deverão fazê-lo com especial prudência</w:t>
      </w:r>
      <w:r w:rsidRPr="00395593">
        <w:rPr>
          <w:rFonts w:ascii="Garamond" w:hAnsi="Garamond"/>
          <w:spacing w:val="1"/>
          <w:sz w:val="24"/>
        </w:rPr>
        <w:t xml:space="preserve">. </w:t>
      </w:r>
      <w:r w:rsidRPr="00395593">
        <w:rPr>
          <w:rFonts w:ascii="Garamond" w:hAnsi="Garamond"/>
          <w:sz w:val="24"/>
        </w:rPr>
        <w:t>Em tais casos, as autoridades deverão, sempre que praticável, comparar informações co</w:t>
      </w:r>
      <w:r w:rsidRPr="00395593">
        <w:rPr>
          <w:rFonts w:ascii="Garamond" w:hAnsi="Garamond"/>
          <w:spacing w:val="1"/>
          <w:sz w:val="24"/>
        </w:rPr>
        <w:t xml:space="preserve">m </w:t>
      </w:r>
      <w:r w:rsidRPr="00395593">
        <w:rPr>
          <w:rFonts w:ascii="Garamond" w:hAnsi="Garamond"/>
          <w:sz w:val="24"/>
        </w:rPr>
        <w:t>outra</w:t>
      </w:r>
      <w:r w:rsidRPr="00395593">
        <w:rPr>
          <w:rFonts w:ascii="Garamond" w:hAnsi="Garamond"/>
          <w:spacing w:val="1"/>
          <w:sz w:val="24"/>
        </w:rPr>
        <w:t xml:space="preserve">s </w:t>
      </w:r>
      <w:r w:rsidRPr="00395593">
        <w:rPr>
          <w:rFonts w:ascii="Garamond" w:hAnsi="Garamond"/>
          <w:sz w:val="24"/>
        </w:rPr>
        <w:t>fonte</w:t>
      </w:r>
      <w:r w:rsidRPr="00395593">
        <w:rPr>
          <w:rFonts w:ascii="Garamond" w:hAnsi="Garamond"/>
          <w:spacing w:val="1"/>
          <w:sz w:val="24"/>
        </w:rPr>
        <w:t xml:space="preserve">s </w:t>
      </w:r>
      <w:r w:rsidRPr="00395593">
        <w:rPr>
          <w:rFonts w:ascii="Garamond" w:hAnsi="Garamond"/>
          <w:sz w:val="24"/>
        </w:rPr>
        <w:t>independente</w:t>
      </w:r>
      <w:r w:rsidRPr="00395593">
        <w:rPr>
          <w:rFonts w:ascii="Garamond" w:hAnsi="Garamond"/>
          <w:spacing w:val="1"/>
          <w:sz w:val="24"/>
        </w:rPr>
        <w:t xml:space="preserve">s a </w:t>
      </w:r>
      <w:r w:rsidRPr="00395593">
        <w:rPr>
          <w:rFonts w:ascii="Garamond" w:hAnsi="Garamond"/>
          <w:sz w:val="24"/>
        </w:rPr>
        <w:t>su</w:t>
      </w:r>
      <w:r w:rsidRPr="00395593">
        <w:rPr>
          <w:rFonts w:ascii="Garamond" w:hAnsi="Garamond"/>
          <w:spacing w:val="1"/>
          <w:sz w:val="24"/>
        </w:rPr>
        <w:t xml:space="preserve">a </w:t>
      </w:r>
      <w:r w:rsidRPr="00395593">
        <w:rPr>
          <w:rFonts w:ascii="Garamond" w:hAnsi="Garamond"/>
          <w:sz w:val="24"/>
        </w:rPr>
        <w:t>disposição</w:t>
      </w:r>
      <w:r w:rsidRPr="00395593">
        <w:rPr>
          <w:rFonts w:ascii="Garamond" w:hAnsi="Garamond"/>
          <w:spacing w:val="1"/>
          <w:sz w:val="24"/>
        </w:rPr>
        <w:t xml:space="preserve">, </w:t>
      </w:r>
      <w:r w:rsidRPr="00395593">
        <w:rPr>
          <w:rFonts w:ascii="Garamond" w:hAnsi="Garamond"/>
          <w:sz w:val="24"/>
        </w:rPr>
        <w:t>tai</w:t>
      </w:r>
      <w:r w:rsidRPr="00395593">
        <w:rPr>
          <w:rFonts w:ascii="Garamond" w:hAnsi="Garamond"/>
          <w:spacing w:val="1"/>
          <w:sz w:val="24"/>
        </w:rPr>
        <w:t xml:space="preserve">s </w:t>
      </w:r>
      <w:r w:rsidRPr="00395593">
        <w:rPr>
          <w:rFonts w:ascii="Garamond" w:hAnsi="Garamond"/>
          <w:sz w:val="24"/>
        </w:rPr>
        <w:t>com</w:t>
      </w:r>
      <w:r w:rsidRPr="00395593">
        <w:rPr>
          <w:rFonts w:ascii="Garamond" w:hAnsi="Garamond"/>
          <w:spacing w:val="1"/>
          <w:sz w:val="24"/>
        </w:rPr>
        <w:t xml:space="preserve">o </w:t>
      </w:r>
      <w:r w:rsidRPr="00395593">
        <w:rPr>
          <w:rFonts w:ascii="Garamond" w:hAnsi="Garamond"/>
          <w:sz w:val="24"/>
        </w:rPr>
        <w:t>lista</w:t>
      </w:r>
      <w:r w:rsidRPr="00395593">
        <w:rPr>
          <w:rFonts w:ascii="Garamond" w:hAnsi="Garamond"/>
          <w:spacing w:val="1"/>
          <w:sz w:val="24"/>
        </w:rPr>
        <w:t xml:space="preserve">s </w:t>
      </w:r>
      <w:r w:rsidRPr="00395593">
        <w:rPr>
          <w:rFonts w:ascii="Garamond" w:hAnsi="Garamond"/>
          <w:sz w:val="24"/>
        </w:rPr>
        <w:t>d</w:t>
      </w:r>
      <w:r w:rsidRPr="00395593">
        <w:rPr>
          <w:rFonts w:ascii="Garamond" w:hAnsi="Garamond"/>
          <w:spacing w:val="1"/>
          <w:sz w:val="24"/>
        </w:rPr>
        <w:t xml:space="preserve">e </w:t>
      </w:r>
      <w:r w:rsidRPr="00395593">
        <w:rPr>
          <w:rFonts w:ascii="Garamond" w:hAnsi="Garamond"/>
          <w:sz w:val="24"/>
        </w:rPr>
        <w:t>preço</w:t>
      </w:r>
      <w:r w:rsidRPr="00395593">
        <w:rPr>
          <w:rFonts w:ascii="Garamond" w:hAnsi="Garamond"/>
          <w:spacing w:val="1"/>
          <w:sz w:val="24"/>
        </w:rPr>
        <w:t xml:space="preserve">s </w:t>
      </w:r>
      <w:r w:rsidRPr="00395593">
        <w:rPr>
          <w:rFonts w:ascii="Garamond" w:hAnsi="Garamond"/>
          <w:sz w:val="24"/>
        </w:rPr>
        <w:t>publicadas</w:t>
      </w:r>
      <w:r w:rsidRPr="00395593">
        <w:rPr>
          <w:rFonts w:ascii="Garamond" w:hAnsi="Garamond"/>
          <w:spacing w:val="1"/>
          <w:sz w:val="24"/>
        </w:rPr>
        <w:t xml:space="preserve">, </w:t>
      </w:r>
      <w:r w:rsidRPr="00395593">
        <w:rPr>
          <w:rFonts w:ascii="Garamond" w:hAnsi="Garamond"/>
          <w:sz w:val="24"/>
        </w:rPr>
        <w:t>estatísticas oficiais de importação e estatísticas aduaneiras, assim como com as informaçõe</w:t>
      </w:r>
      <w:r w:rsidRPr="00395593">
        <w:rPr>
          <w:rFonts w:ascii="Garamond" w:hAnsi="Garamond"/>
          <w:spacing w:val="-57"/>
          <w:sz w:val="24"/>
        </w:rPr>
        <w:t xml:space="preserve">s </w:t>
      </w:r>
      <w:r w:rsidRPr="00395593">
        <w:rPr>
          <w:rFonts w:ascii="Garamond" w:hAnsi="Garamond"/>
          <w:sz w:val="24"/>
        </w:rPr>
        <w:t>proveniente</w:t>
      </w:r>
      <w:r w:rsidRPr="00395593">
        <w:rPr>
          <w:rFonts w:ascii="Garamond" w:hAnsi="Garamond"/>
          <w:spacing w:val="1"/>
          <w:sz w:val="24"/>
        </w:rPr>
        <w:t xml:space="preserve">s </w:t>
      </w:r>
      <w:r w:rsidRPr="00395593">
        <w:rPr>
          <w:rFonts w:ascii="Garamond" w:hAnsi="Garamond"/>
          <w:sz w:val="24"/>
        </w:rPr>
        <w:t>d</w:t>
      </w:r>
      <w:r w:rsidRPr="00395593">
        <w:rPr>
          <w:rFonts w:ascii="Garamond" w:hAnsi="Garamond"/>
          <w:spacing w:val="1"/>
          <w:sz w:val="24"/>
        </w:rPr>
        <w:t xml:space="preserve">e </w:t>
      </w:r>
      <w:r w:rsidRPr="00395593">
        <w:rPr>
          <w:rFonts w:ascii="Garamond" w:hAnsi="Garamond"/>
          <w:sz w:val="24"/>
        </w:rPr>
        <w:t>outra</w:t>
      </w:r>
      <w:r w:rsidRPr="00395593">
        <w:rPr>
          <w:rFonts w:ascii="Garamond" w:hAnsi="Garamond"/>
          <w:spacing w:val="1"/>
          <w:sz w:val="24"/>
        </w:rPr>
        <w:t xml:space="preserve">s </w:t>
      </w:r>
      <w:r w:rsidRPr="00395593">
        <w:rPr>
          <w:rFonts w:ascii="Garamond" w:hAnsi="Garamond"/>
          <w:sz w:val="24"/>
        </w:rPr>
        <w:t>parte</w:t>
      </w:r>
      <w:r w:rsidRPr="00395593">
        <w:rPr>
          <w:rFonts w:ascii="Garamond" w:hAnsi="Garamond"/>
          <w:spacing w:val="1"/>
          <w:sz w:val="24"/>
        </w:rPr>
        <w:t xml:space="preserve">s </w:t>
      </w:r>
      <w:r w:rsidRPr="00395593">
        <w:rPr>
          <w:rFonts w:ascii="Garamond" w:hAnsi="Garamond"/>
          <w:sz w:val="24"/>
        </w:rPr>
        <w:t>interessada</w:t>
      </w:r>
      <w:r w:rsidRPr="00395593">
        <w:rPr>
          <w:rFonts w:ascii="Garamond" w:hAnsi="Garamond"/>
          <w:spacing w:val="1"/>
          <w:sz w:val="24"/>
        </w:rPr>
        <w:t xml:space="preserve">s </w:t>
      </w:r>
      <w:r w:rsidRPr="00395593">
        <w:rPr>
          <w:rFonts w:ascii="Garamond" w:hAnsi="Garamond"/>
          <w:sz w:val="24"/>
        </w:rPr>
        <w:t>durant</w:t>
      </w:r>
      <w:r w:rsidRPr="00395593">
        <w:rPr>
          <w:rFonts w:ascii="Garamond" w:hAnsi="Garamond"/>
          <w:spacing w:val="1"/>
          <w:sz w:val="24"/>
        </w:rPr>
        <w:t xml:space="preserve">e </w:t>
      </w:r>
      <w:r w:rsidRPr="00395593">
        <w:rPr>
          <w:rFonts w:ascii="Garamond" w:hAnsi="Garamond"/>
          <w:sz w:val="24"/>
        </w:rPr>
        <w:t>a</w:t>
      </w:r>
      <w:r w:rsidRPr="00395593">
        <w:rPr>
          <w:rFonts w:ascii="Garamond" w:hAnsi="Garamond"/>
          <w:spacing w:val="1"/>
          <w:sz w:val="24"/>
        </w:rPr>
        <w:t xml:space="preserve">s </w:t>
      </w:r>
      <w:r w:rsidRPr="00395593">
        <w:rPr>
          <w:rFonts w:ascii="Garamond" w:hAnsi="Garamond"/>
          <w:sz w:val="24"/>
        </w:rPr>
        <w:t>investigações</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m </w:t>
      </w:r>
      <w:r w:rsidRPr="00395593">
        <w:rPr>
          <w:rFonts w:ascii="Garamond" w:hAnsi="Garamond"/>
          <w:sz w:val="24"/>
        </w:rPr>
        <w:t>quaisque</w:t>
      </w:r>
      <w:r w:rsidRPr="00395593">
        <w:rPr>
          <w:rFonts w:ascii="Garamond" w:hAnsi="Garamond"/>
          <w:spacing w:val="1"/>
          <w:sz w:val="24"/>
        </w:rPr>
        <w:t xml:space="preserve">r </w:t>
      </w:r>
      <w:r w:rsidRPr="00395593">
        <w:rPr>
          <w:rFonts w:ascii="Garamond" w:hAnsi="Garamond"/>
          <w:sz w:val="24"/>
        </w:rPr>
        <w:t>circunstâncias porém, fica claro que se uma parte interessada não coopera e as informaçõe</w:t>
      </w:r>
      <w:r w:rsidRPr="00395593">
        <w:rPr>
          <w:rFonts w:ascii="Garamond" w:hAnsi="Garamond"/>
          <w:spacing w:val="1"/>
          <w:sz w:val="24"/>
        </w:rPr>
        <w:t xml:space="preserve">s </w:t>
      </w:r>
      <w:r w:rsidRPr="00395593">
        <w:rPr>
          <w:rFonts w:ascii="Garamond" w:hAnsi="Garamond"/>
          <w:sz w:val="24"/>
        </w:rPr>
        <w:t>relevante</w:t>
      </w:r>
      <w:r w:rsidRPr="00395593">
        <w:rPr>
          <w:rFonts w:ascii="Garamond" w:hAnsi="Garamond"/>
          <w:spacing w:val="54"/>
          <w:sz w:val="24"/>
        </w:rPr>
        <w:t xml:space="preserve">s </w:t>
      </w:r>
      <w:r w:rsidRPr="00395593">
        <w:rPr>
          <w:rFonts w:ascii="Garamond" w:hAnsi="Garamond"/>
          <w:sz w:val="24"/>
        </w:rPr>
        <w:t>sã</w:t>
      </w:r>
      <w:r w:rsidRPr="00395593">
        <w:rPr>
          <w:rFonts w:ascii="Garamond" w:hAnsi="Garamond"/>
          <w:spacing w:val="55"/>
          <w:sz w:val="24"/>
        </w:rPr>
        <w:t xml:space="preserve">o </w:t>
      </w:r>
      <w:r w:rsidRPr="00395593">
        <w:rPr>
          <w:rFonts w:ascii="Garamond" w:hAnsi="Garamond"/>
          <w:sz w:val="24"/>
        </w:rPr>
        <w:t>subtraída</w:t>
      </w:r>
      <w:r w:rsidRPr="00395593">
        <w:rPr>
          <w:rFonts w:ascii="Garamond" w:hAnsi="Garamond"/>
          <w:spacing w:val="55"/>
          <w:sz w:val="24"/>
        </w:rPr>
        <w:t xml:space="preserve">s </w:t>
      </w:r>
      <w:r w:rsidRPr="00395593">
        <w:rPr>
          <w:rFonts w:ascii="Garamond" w:hAnsi="Garamond"/>
          <w:sz w:val="24"/>
        </w:rPr>
        <w:t>a</w:t>
      </w:r>
      <w:r w:rsidRPr="00395593">
        <w:rPr>
          <w:rFonts w:ascii="Garamond" w:hAnsi="Garamond"/>
          <w:spacing w:val="54"/>
          <w:sz w:val="24"/>
        </w:rPr>
        <w:t xml:space="preserve">o </w:t>
      </w:r>
      <w:r w:rsidRPr="00395593">
        <w:rPr>
          <w:rFonts w:ascii="Garamond" w:hAnsi="Garamond"/>
          <w:sz w:val="24"/>
        </w:rPr>
        <w:t>conheciment</w:t>
      </w:r>
      <w:r w:rsidRPr="00395593">
        <w:rPr>
          <w:rFonts w:ascii="Garamond" w:hAnsi="Garamond"/>
          <w:spacing w:val="55"/>
          <w:sz w:val="24"/>
        </w:rPr>
        <w:t xml:space="preserve">o </w:t>
      </w:r>
      <w:r w:rsidRPr="00395593">
        <w:rPr>
          <w:rFonts w:ascii="Garamond" w:hAnsi="Garamond"/>
          <w:sz w:val="24"/>
        </w:rPr>
        <w:t>da</w:t>
      </w:r>
      <w:r w:rsidRPr="00395593">
        <w:rPr>
          <w:rFonts w:ascii="Garamond" w:hAnsi="Garamond"/>
          <w:spacing w:val="55"/>
          <w:sz w:val="24"/>
        </w:rPr>
        <w:t xml:space="preserve">s </w:t>
      </w:r>
      <w:r w:rsidRPr="00395593">
        <w:rPr>
          <w:rFonts w:ascii="Garamond" w:hAnsi="Garamond"/>
          <w:sz w:val="24"/>
        </w:rPr>
        <w:t>autoridades</w:t>
      </w:r>
      <w:r w:rsidRPr="00395593">
        <w:rPr>
          <w:rFonts w:ascii="Garamond" w:hAnsi="Garamond"/>
          <w:spacing w:val="54"/>
          <w:sz w:val="24"/>
        </w:rPr>
        <w:t xml:space="preserve">, </w:t>
      </w:r>
      <w:r w:rsidRPr="00395593">
        <w:rPr>
          <w:rFonts w:ascii="Garamond" w:hAnsi="Garamond"/>
          <w:sz w:val="24"/>
        </w:rPr>
        <w:t>tai</w:t>
      </w:r>
      <w:r w:rsidRPr="00395593">
        <w:rPr>
          <w:rFonts w:ascii="Garamond" w:hAnsi="Garamond"/>
          <w:spacing w:val="55"/>
          <w:sz w:val="24"/>
        </w:rPr>
        <w:t xml:space="preserve">s </w:t>
      </w:r>
      <w:r w:rsidRPr="00395593">
        <w:rPr>
          <w:rFonts w:ascii="Garamond" w:hAnsi="Garamond"/>
          <w:sz w:val="24"/>
        </w:rPr>
        <w:t>circunstância</w:t>
      </w:r>
      <w:r w:rsidRPr="00395593">
        <w:rPr>
          <w:rFonts w:ascii="Garamond" w:hAnsi="Garamond"/>
          <w:spacing w:val="55"/>
          <w:sz w:val="24"/>
        </w:rPr>
        <w:t xml:space="preserve">s </w:t>
      </w:r>
      <w:r w:rsidRPr="00395593">
        <w:rPr>
          <w:rFonts w:ascii="Garamond" w:hAnsi="Garamond"/>
          <w:sz w:val="24"/>
        </w:rPr>
        <w:t>poderã</w:t>
      </w:r>
      <w:r w:rsidRPr="00395593">
        <w:rPr>
          <w:rFonts w:ascii="Garamond" w:hAnsi="Garamond"/>
          <w:spacing w:val="-58"/>
          <w:sz w:val="24"/>
        </w:rPr>
        <w:t xml:space="preserve">o </w:t>
      </w:r>
      <w:r w:rsidRPr="00395593">
        <w:rPr>
          <w:rFonts w:ascii="Garamond" w:hAnsi="Garamond"/>
          <w:sz w:val="24"/>
        </w:rPr>
        <w:t>levar a resultado menos favorável à parte do que aquele que ocorreria caso ela tivess</w:t>
      </w:r>
      <w:r w:rsidRPr="00395593">
        <w:rPr>
          <w:rFonts w:ascii="Garamond" w:hAnsi="Garamond"/>
          <w:spacing w:val="1"/>
          <w:sz w:val="24"/>
        </w:rPr>
        <w:t xml:space="preserve">e </w:t>
      </w:r>
      <w:r w:rsidRPr="00395593">
        <w:rPr>
          <w:rFonts w:ascii="Garamond" w:hAnsi="Garamond"/>
          <w:sz w:val="24"/>
        </w:rPr>
        <w:t>cooperado.</w:t>
      </w:r>
    </w:p>
    <w:p w14:paraId="0829AFFB" w14:textId="77777777" w:rsidR="00DF14B5" w:rsidRPr="005C5CBD" w:rsidRDefault="00DF14B5">
      <w:pPr>
        <w:rPr>
          <w:rFonts w:ascii="Garamond" w:hAnsi="Garamond"/>
        </w:rPr>
        <w:sectPr w:rsidR="00DF14B5" w:rsidRPr="005C5CBD" w:rsidSect="00CB6C86">
          <w:headerReference w:type="default" r:id="rId223"/>
          <w:pgSz w:w="12240" w:h="15840"/>
          <w:pgMar w:top="1340" w:right="1580" w:bottom="280" w:left="1600" w:header="720" w:footer="720" w:gutter="0"/>
          <w:cols w:space="720"/>
        </w:sectPr>
      </w:pPr>
    </w:p>
    <w:p w14:paraId="02B2C5F8" w14:textId="2B26BCE7" w:rsidR="00B51DB1" w:rsidRPr="00395593" w:rsidRDefault="00C43D68" w:rsidP="00B015C7">
      <w:pPr>
        <w:pStyle w:val="Ttulo"/>
        <w:outlineLvl w:val="1"/>
      </w:pPr>
      <w:hyperlink r:id="rId224" w:tgtFrame="_blank" w:history="1">
        <w:bookmarkStart w:id="133" w:name="_Toc96003809"/>
        <w:r w:rsidR="00B51DB1" w:rsidRPr="00395593">
          <w:t>Decreto n° 8.</w:t>
        </w:r>
        <w:r w:rsidR="002E15A1">
          <w:t>0</w:t>
        </w:r>
        <w:r w:rsidR="00B51DB1" w:rsidRPr="00395593">
          <w:t>58, de 26</w:t>
        </w:r>
        <w:r w:rsidR="00A10A13">
          <w:t xml:space="preserve"> de julho de 20</w:t>
        </w:r>
        <w:r w:rsidR="00B51DB1" w:rsidRPr="00395593">
          <w:t>1</w:t>
        </w:r>
      </w:hyperlink>
      <w:r w:rsidR="00B51DB1" w:rsidRPr="00395593">
        <w:t>3</w:t>
      </w:r>
      <w:bookmarkEnd w:id="133"/>
    </w:p>
    <w:p w14:paraId="7A9C98BF" w14:textId="5A3354C8" w:rsidR="00C12525" w:rsidRPr="00847C9D" w:rsidRDefault="00C12525" w:rsidP="00D815D9">
      <w:pPr>
        <w:ind w:left="4536"/>
        <w:jc w:val="both"/>
        <w:rPr>
          <w:rFonts w:ascii="Garamond" w:hAnsi="Garamond" w:cstheme="majorHAnsi"/>
          <w:sz w:val="24"/>
          <w:szCs w:val="24"/>
        </w:rPr>
      </w:pPr>
      <w:r w:rsidRPr="00847C9D">
        <w:rPr>
          <w:rFonts w:ascii="Garamond" w:hAnsi="Garamond" w:cstheme="majorHAnsi"/>
          <w:sz w:val="24"/>
          <w:szCs w:val="24"/>
        </w:rPr>
        <w:t>Regulamenta os procedimentos administrativos relativos à investigação e à aplicação de medidas antidumping; e altera o Anexo II ao Decreto no 7.096, de</w:t>
      </w:r>
      <w:r w:rsidR="0021322F" w:rsidRPr="00847C9D">
        <w:rPr>
          <w:rFonts w:ascii="Garamond" w:hAnsi="Garamond" w:cstheme="majorHAnsi"/>
          <w:sz w:val="24"/>
          <w:szCs w:val="24"/>
        </w:rPr>
        <w:t xml:space="preserve"> </w:t>
      </w:r>
      <w:r w:rsidRPr="00847C9D">
        <w:rPr>
          <w:rFonts w:ascii="Garamond" w:hAnsi="Garamond" w:cstheme="majorHAnsi"/>
          <w:sz w:val="24"/>
          <w:szCs w:val="24"/>
        </w:rPr>
        <w:t>4 de fevereiro de 2010, que aprova a Estrutura Regimental e o Quadro Demonstrativo dos Cargos em Comissão e das Funções Gratificadas do Ministério do Desenvolvimento, Indústria e Comércio Exterior.</w:t>
      </w:r>
    </w:p>
    <w:p w14:paraId="649CCC93" w14:textId="77777777" w:rsidR="00C12525" w:rsidRPr="00847C9D" w:rsidRDefault="00C12525" w:rsidP="00422F03">
      <w:pPr>
        <w:tabs>
          <w:tab w:val="left" w:pos="3105"/>
        </w:tabs>
        <w:jc w:val="both"/>
        <w:rPr>
          <w:rFonts w:ascii="Garamond" w:hAnsi="Garamond" w:cstheme="majorHAnsi"/>
          <w:sz w:val="24"/>
          <w:szCs w:val="24"/>
        </w:rPr>
      </w:pPr>
    </w:p>
    <w:p w14:paraId="6E610089" w14:textId="77777777" w:rsidR="00C12525" w:rsidRPr="00847C9D" w:rsidRDefault="00C12525" w:rsidP="0021322F">
      <w:pPr>
        <w:tabs>
          <w:tab w:val="left" w:pos="3105"/>
        </w:tabs>
        <w:ind w:firstLine="708"/>
        <w:jc w:val="both"/>
        <w:rPr>
          <w:rFonts w:ascii="Garamond" w:hAnsi="Garamond" w:cstheme="majorHAnsi"/>
          <w:sz w:val="24"/>
          <w:szCs w:val="24"/>
        </w:rPr>
      </w:pPr>
      <w:r w:rsidRPr="005C5CBD">
        <w:rPr>
          <w:rFonts w:ascii="Garamond" w:hAnsi="Garamond" w:cstheme="majorHAnsi"/>
          <w:b/>
          <w:sz w:val="24"/>
          <w:szCs w:val="24"/>
        </w:rPr>
        <w:t>A PRESIDENTA DA REPÚBLICA</w:t>
      </w:r>
      <w:r w:rsidRPr="00847C9D">
        <w:rPr>
          <w:rFonts w:ascii="Garamond" w:hAnsi="Garamond" w:cstheme="majorHAnsi"/>
          <w:sz w:val="24"/>
          <w:szCs w:val="24"/>
        </w:rPr>
        <w:t>, no uso das atribuições que lhe confere o art. 84, caput, incisos IV e VI, da Constituição, e tendo em vista o disposto no Acordo Relativo à Implementação do Artigo VI do Acordo Geral sobre Tarifas Aduaneiras e Comércio - GATT/1994 (Acordo Antidumping), aprovado pelo Decreto Legislativo no 30, de 15 dezembro de 1994, e promulgado pelo Decreto no 1.355, de 30 de dezembro de 1994, e na Lei no 9.019, de 30 de março de 1995, na parte que dispõe sobre a aplicação das medidas previstas no Acordo Antidumping,</w:t>
      </w:r>
    </w:p>
    <w:p w14:paraId="1A5E7F82" w14:textId="5926F3A8" w:rsidR="00C12525" w:rsidRPr="00847C9D" w:rsidRDefault="0021322F" w:rsidP="00422F03">
      <w:pPr>
        <w:tabs>
          <w:tab w:val="left" w:pos="3105"/>
        </w:tabs>
        <w:jc w:val="both"/>
        <w:rPr>
          <w:rFonts w:ascii="Garamond" w:hAnsi="Garamond" w:cstheme="majorHAnsi"/>
          <w:sz w:val="24"/>
          <w:szCs w:val="24"/>
        </w:rPr>
      </w:pPr>
      <w:r w:rsidRPr="00847C9D">
        <w:rPr>
          <w:rFonts w:ascii="Garamond" w:hAnsi="Garamond" w:cstheme="majorHAnsi"/>
          <w:sz w:val="24"/>
          <w:szCs w:val="24"/>
        </w:rPr>
        <w:tab/>
      </w:r>
    </w:p>
    <w:p w14:paraId="364E5BE5"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DECRETA:</w:t>
      </w:r>
    </w:p>
    <w:p w14:paraId="5A58D855" w14:textId="77777777" w:rsidR="00C12525" w:rsidRPr="00847C9D" w:rsidRDefault="00C12525" w:rsidP="00554628">
      <w:pPr>
        <w:tabs>
          <w:tab w:val="left" w:pos="3105"/>
        </w:tabs>
        <w:spacing w:after="0" w:line="240" w:lineRule="auto"/>
        <w:jc w:val="center"/>
        <w:rPr>
          <w:rFonts w:ascii="Garamond" w:hAnsi="Garamond" w:cstheme="majorHAnsi"/>
          <w:b/>
          <w:sz w:val="24"/>
          <w:szCs w:val="24"/>
        </w:rPr>
      </w:pPr>
      <w:r w:rsidRPr="00847C9D">
        <w:rPr>
          <w:rFonts w:ascii="Garamond" w:hAnsi="Garamond" w:cstheme="majorHAnsi"/>
          <w:b/>
          <w:sz w:val="24"/>
          <w:szCs w:val="24"/>
        </w:rPr>
        <w:t>CAPÍTULO I</w:t>
      </w:r>
    </w:p>
    <w:p w14:paraId="1D700FC5" w14:textId="77777777" w:rsidR="00C12525" w:rsidRPr="00847C9D" w:rsidRDefault="00C12525" w:rsidP="00554628">
      <w:pPr>
        <w:tabs>
          <w:tab w:val="left" w:pos="3105"/>
        </w:tabs>
        <w:spacing w:after="0" w:line="240" w:lineRule="auto"/>
        <w:jc w:val="center"/>
        <w:rPr>
          <w:rFonts w:ascii="Garamond" w:hAnsi="Garamond" w:cstheme="majorHAnsi"/>
          <w:b/>
          <w:sz w:val="24"/>
          <w:szCs w:val="24"/>
        </w:rPr>
      </w:pPr>
      <w:r w:rsidRPr="00847C9D">
        <w:rPr>
          <w:rFonts w:ascii="Garamond" w:hAnsi="Garamond" w:cstheme="majorHAnsi"/>
          <w:b/>
          <w:sz w:val="24"/>
          <w:szCs w:val="24"/>
        </w:rPr>
        <w:t>DOS PRINCÍPIOS E DAS COMPETÊNCIAS</w:t>
      </w:r>
    </w:p>
    <w:p w14:paraId="6F19B8B4" w14:textId="77777777" w:rsidR="00C12525" w:rsidRPr="00847C9D" w:rsidRDefault="00C12525" w:rsidP="00422F03">
      <w:pPr>
        <w:tabs>
          <w:tab w:val="left" w:pos="3105"/>
        </w:tabs>
        <w:jc w:val="both"/>
        <w:rPr>
          <w:rFonts w:ascii="Garamond" w:hAnsi="Garamond" w:cstheme="majorHAnsi"/>
          <w:sz w:val="24"/>
          <w:szCs w:val="24"/>
        </w:rPr>
      </w:pPr>
    </w:p>
    <w:p w14:paraId="48CFBDD0"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1º Poderão ser aplicadas medidas antidumping quando a importação de produtos objeto de dumping causar dano à indústria doméstica.</w:t>
      </w:r>
    </w:p>
    <w:p w14:paraId="64B1A81B"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1º Medidas antidumping serão aplicadas de acordo com as investigações iniciadas e conduzidas em conformidade com o disposto neste Decreto.</w:t>
      </w:r>
    </w:p>
    <w:p w14:paraId="0E8B01F5"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2º Nenhum produto importado poderá estar sujeito simultaneamente a medida antidumping e a medida compensatória para neutralizar a mesma situação de dumping ou de subsídio à exportação.</w:t>
      </w:r>
    </w:p>
    <w:p w14:paraId="05D6C7EF" w14:textId="77777777" w:rsidR="00C12525" w:rsidRPr="00847C9D" w:rsidRDefault="00C12525" w:rsidP="00422F03">
      <w:pPr>
        <w:tabs>
          <w:tab w:val="left" w:pos="3105"/>
        </w:tabs>
        <w:jc w:val="both"/>
        <w:rPr>
          <w:rFonts w:ascii="Garamond" w:hAnsi="Garamond" w:cstheme="majorHAnsi"/>
          <w:sz w:val="24"/>
          <w:szCs w:val="24"/>
        </w:rPr>
      </w:pPr>
    </w:p>
    <w:p w14:paraId="1BC0CA95"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2º Compete ao Conselho de Ministros da Câmara de Comércio Exterior - CAMEX, com base nas recomendações contidas em parecer do Departamento de Defesa Comercial da Secretaria de Comércio Exterior do Ministério do Desenvolvimento, Indústria e Comércio Exterior - DECOM, a decisão de:</w:t>
      </w:r>
    </w:p>
    <w:p w14:paraId="01621A39" w14:textId="1097DE64"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I - aplicar ou prorrogar direitos antidumping provisórios ou definitivos; II - homologar ou prorrogar compromissos de preços;</w:t>
      </w:r>
    </w:p>
    <w:p w14:paraId="2B94B355"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 - determinar a cobrança retroativa de direitos antidumping definitivos; IV - determinar a extensão de direitos antidumping definitivos;</w:t>
      </w:r>
    </w:p>
    <w:p w14:paraId="02B08752" w14:textId="1B1D08B1"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 - estabelecer a forma de aplicação de direitos antidumping, e de sua eventual alteração;</w:t>
      </w:r>
    </w:p>
    <w:p w14:paraId="4943FFAF" w14:textId="7D0C3005"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VI - suspender a investigação para produtores ou exportadores para os quais tenha sido homologado compromisso de preços, nos termos do art. 67;</w:t>
      </w:r>
    </w:p>
    <w:p w14:paraId="50B4C92F" w14:textId="7712670C"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VII - suspender a exigibilidade de direito antidumping definitivo aplicado, mediante a exigência de depósito em dinheiro ou fiança bancária na hipótese da Subseção I da Seção III do Capítulo VIII, assim como determinar a retomada da cobrança do direito e a conversão das garantias prestadas; e</w:t>
      </w:r>
    </w:p>
    <w:p w14:paraId="4296F8C0" w14:textId="0C069B22"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VIII - suspender a aplicação do direito antidumping na hipótese do art. 109.</w:t>
      </w:r>
    </w:p>
    <w:p w14:paraId="6B0FDDF3"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3º Em circunstâncias excepcionais, o Conselho de Ministros poderá, em razão de interesse público:</w:t>
      </w:r>
    </w:p>
    <w:p w14:paraId="5AC2A551" w14:textId="3BDB78EF"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 - suspender, por até um ano, prorrogável uma única vez por igual período, a exigibilidade de direito antidumping definitivo, ou de compromisso de preços, em vigor;</w:t>
      </w:r>
    </w:p>
    <w:p w14:paraId="784CFFF2" w14:textId="0AFB391D"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A913BB" w:rsidRPr="00847C9D">
        <w:rPr>
          <w:rFonts w:ascii="Garamond" w:hAnsi="Garamond" w:cstheme="majorHAnsi"/>
          <w:sz w:val="24"/>
          <w:szCs w:val="24"/>
        </w:rPr>
        <w:t xml:space="preserve"> </w:t>
      </w:r>
      <w:r w:rsidRPr="00847C9D">
        <w:rPr>
          <w:rFonts w:ascii="Garamond" w:hAnsi="Garamond" w:cstheme="majorHAnsi"/>
          <w:sz w:val="24"/>
          <w:szCs w:val="24"/>
        </w:rPr>
        <w:t>- não aplicar direitos antidumping provisórios; ou</w:t>
      </w:r>
    </w:p>
    <w:p w14:paraId="3D03D9DB" w14:textId="5776D672"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A913BB" w:rsidRPr="00847C9D">
        <w:rPr>
          <w:rFonts w:ascii="Garamond" w:hAnsi="Garamond" w:cstheme="majorHAnsi"/>
          <w:sz w:val="24"/>
          <w:szCs w:val="24"/>
        </w:rPr>
        <w:t xml:space="preserve"> </w:t>
      </w:r>
      <w:r w:rsidRPr="00847C9D">
        <w:rPr>
          <w:rFonts w:ascii="Garamond" w:hAnsi="Garamond" w:cstheme="majorHAnsi"/>
          <w:sz w:val="24"/>
          <w:szCs w:val="24"/>
        </w:rPr>
        <w:t>- homologar compromisso de preços ou aplicar direito antidumping definitivo em valor diferente do que o recomendado, respeitado o disposto no § 4º do art. 67 e no § 2º do art. 78.</w:t>
      </w:r>
    </w:p>
    <w:p w14:paraId="57C9729C"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1º Os direitos antidumping ou os compromissos de preços suspensos com base no inciso I do caput poderão ser reaplicados a qualquer momento, por decisão do Conselho.</w:t>
      </w:r>
    </w:p>
    <w:p w14:paraId="663EB285"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2º Os direitos antidumping ou os compromissos de preços serão extintos ao final do período de suspensão previsto no inciso I do caput, caso não tenham sido reaplicados nos termos do § 1º ou caso o ato de suspensão não estabelecer expressamente a reaplicação ao final do período de suspensão.</w:t>
      </w:r>
    </w:p>
    <w:p w14:paraId="0E538F15"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3º Os setores industriais usuários do produto objeto da investigação e as organizações de consumidores poderão fornecer informações julgadas relevantes a respeito dos efeitos de uma determinação positiva de dumping, de dano e de nexo de causalidade entre ambos.</w:t>
      </w:r>
    </w:p>
    <w:p w14:paraId="36A4C849"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4º As informações fornecidas nos termos do § 3º deverão ser endereçadas à Secretaria-Executiva da CAMEX e serão consideradas no processo de tomada de decisão relativo a interesse público.</w:t>
      </w:r>
    </w:p>
    <w:p w14:paraId="6AA46013"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5º A análise de interesse público deverá observar os procedimentos estabelecidos em ato específico publicado pela CAMEX.</w:t>
      </w:r>
    </w:p>
    <w:p w14:paraId="3F06A4A6"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6º As decisões do Conselho de Ministros, inclusive as amparadas em interesse público, deverão sempre se fazer acompanhar da fundamentação que as motivou.</w:t>
      </w:r>
    </w:p>
    <w:p w14:paraId="51D2E5EC"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4º Caberá à CAMEX conceder o status de economia de mercado para fins de defesa comercial.</w:t>
      </w:r>
    </w:p>
    <w:p w14:paraId="70A59F01" w14:textId="42F0D154"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5º Compete à Secretaria de Comércio Exterior do Ministério do Desenvolvimento, Indústria e Comércio Exterior - SECEX:</w:t>
      </w:r>
    </w:p>
    <w:p w14:paraId="1CD1CD8B" w14:textId="3ED7AABB"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 iniciar a investigação antidumping;</w:t>
      </w:r>
    </w:p>
    <w:p w14:paraId="37C721CB" w14:textId="6C3DADAF"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A913BB" w:rsidRPr="00847C9D">
        <w:rPr>
          <w:rFonts w:ascii="Garamond" w:hAnsi="Garamond" w:cstheme="majorHAnsi"/>
          <w:sz w:val="24"/>
          <w:szCs w:val="24"/>
        </w:rPr>
        <w:t xml:space="preserve"> </w:t>
      </w:r>
      <w:r w:rsidRPr="00847C9D">
        <w:rPr>
          <w:rFonts w:ascii="Garamond" w:hAnsi="Garamond" w:cstheme="majorHAnsi"/>
          <w:sz w:val="24"/>
          <w:szCs w:val="24"/>
        </w:rPr>
        <w:t>- encerrar a investigação sem aplicação de medidas nas hipóteses do art. 74; III - prorrogar o prazo para a conclusão da investigação;</w:t>
      </w:r>
    </w:p>
    <w:p w14:paraId="6D68297B" w14:textId="3BCF7949"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IV</w:t>
      </w:r>
      <w:r w:rsidR="00A913BB" w:rsidRPr="00847C9D">
        <w:rPr>
          <w:rFonts w:ascii="Garamond" w:hAnsi="Garamond" w:cstheme="majorHAnsi"/>
          <w:sz w:val="24"/>
          <w:szCs w:val="24"/>
        </w:rPr>
        <w:t xml:space="preserve"> </w:t>
      </w:r>
      <w:r w:rsidRPr="00847C9D">
        <w:rPr>
          <w:rFonts w:ascii="Garamond" w:hAnsi="Garamond" w:cstheme="majorHAnsi"/>
          <w:sz w:val="24"/>
          <w:szCs w:val="24"/>
        </w:rPr>
        <w:t>- encerrar, a pedido do peticionário, a investigação sem julgamento de mérito e arquivar o processo;</w:t>
      </w:r>
    </w:p>
    <w:p w14:paraId="500C517D" w14:textId="480BBF81"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w:t>
      </w:r>
      <w:r w:rsidR="00A913BB" w:rsidRPr="00847C9D">
        <w:rPr>
          <w:rFonts w:ascii="Garamond" w:hAnsi="Garamond" w:cstheme="majorHAnsi"/>
          <w:sz w:val="24"/>
          <w:szCs w:val="24"/>
        </w:rPr>
        <w:t xml:space="preserve"> </w:t>
      </w:r>
      <w:r w:rsidRPr="00847C9D">
        <w:rPr>
          <w:rFonts w:ascii="Garamond" w:hAnsi="Garamond" w:cstheme="majorHAnsi"/>
          <w:sz w:val="24"/>
          <w:szCs w:val="24"/>
        </w:rPr>
        <w:t>- iniciar uma revisão de direito antidumping definitivo ou de compromisso</w:t>
      </w:r>
    </w:p>
    <w:p w14:paraId="039F015B"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de preços; e</w:t>
      </w:r>
    </w:p>
    <w:p w14:paraId="54C99A6F" w14:textId="64978F69"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VI</w:t>
      </w:r>
      <w:r w:rsidR="00A913BB" w:rsidRPr="00847C9D">
        <w:rPr>
          <w:rFonts w:ascii="Garamond" w:hAnsi="Garamond" w:cstheme="majorHAnsi"/>
          <w:sz w:val="24"/>
          <w:szCs w:val="24"/>
        </w:rPr>
        <w:t xml:space="preserve"> </w:t>
      </w:r>
      <w:r w:rsidRPr="00847C9D">
        <w:rPr>
          <w:rFonts w:ascii="Garamond" w:hAnsi="Garamond" w:cstheme="majorHAnsi"/>
          <w:sz w:val="24"/>
          <w:szCs w:val="24"/>
        </w:rPr>
        <w:t>- extinguir a medida antidumping nas hipóteses de determinação negativa</w:t>
      </w:r>
      <w:r w:rsidR="00A913BB" w:rsidRPr="00847C9D">
        <w:rPr>
          <w:rFonts w:ascii="Garamond" w:hAnsi="Garamond" w:cstheme="majorHAnsi"/>
          <w:sz w:val="24"/>
          <w:szCs w:val="24"/>
        </w:rPr>
        <w:t xml:space="preserve"> </w:t>
      </w:r>
      <w:r w:rsidRPr="00847C9D">
        <w:rPr>
          <w:rFonts w:ascii="Garamond" w:hAnsi="Garamond" w:cstheme="majorHAnsi"/>
          <w:sz w:val="24"/>
          <w:szCs w:val="24"/>
        </w:rPr>
        <w:t>nas revisões amparadas pelo Capítulo VIII.</w:t>
      </w:r>
    </w:p>
    <w:p w14:paraId="2782CC86"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6º Compete ao DECOM, na função de autoridade investigadora, conduzir o processo administrativo disciplinado por este Decreto.</w:t>
      </w:r>
    </w:p>
    <w:p w14:paraId="1E753EA5" w14:textId="77777777" w:rsidR="00C12525" w:rsidRPr="00847C9D" w:rsidRDefault="00C12525" w:rsidP="00554628">
      <w:pPr>
        <w:tabs>
          <w:tab w:val="left" w:pos="3105"/>
        </w:tabs>
        <w:spacing w:after="0" w:line="240" w:lineRule="auto"/>
        <w:jc w:val="center"/>
        <w:rPr>
          <w:rFonts w:ascii="Garamond" w:hAnsi="Garamond" w:cstheme="majorHAnsi"/>
          <w:b/>
          <w:sz w:val="24"/>
          <w:szCs w:val="24"/>
        </w:rPr>
      </w:pPr>
      <w:r w:rsidRPr="00847C9D">
        <w:rPr>
          <w:rFonts w:ascii="Garamond" w:hAnsi="Garamond" w:cstheme="majorHAnsi"/>
          <w:b/>
          <w:sz w:val="24"/>
          <w:szCs w:val="24"/>
        </w:rPr>
        <w:t>CAPÍTULO II</w:t>
      </w:r>
    </w:p>
    <w:p w14:paraId="12F10195" w14:textId="77777777" w:rsidR="00C12525" w:rsidRPr="00847C9D" w:rsidRDefault="00C12525" w:rsidP="00554628">
      <w:pPr>
        <w:tabs>
          <w:tab w:val="left" w:pos="3105"/>
        </w:tabs>
        <w:spacing w:after="0" w:line="240" w:lineRule="auto"/>
        <w:jc w:val="center"/>
        <w:rPr>
          <w:rFonts w:ascii="Garamond" w:hAnsi="Garamond" w:cstheme="majorHAnsi"/>
          <w:b/>
          <w:sz w:val="24"/>
          <w:szCs w:val="24"/>
        </w:rPr>
      </w:pPr>
      <w:r w:rsidRPr="00847C9D">
        <w:rPr>
          <w:rFonts w:ascii="Garamond" w:hAnsi="Garamond" w:cstheme="majorHAnsi"/>
          <w:b/>
          <w:sz w:val="24"/>
          <w:szCs w:val="24"/>
        </w:rPr>
        <w:t>DA DETERMINAÇÃO DE DUMPING</w:t>
      </w:r>
    </w:p>
    <w:p w14:paraId="42D6691A" w14:textId="77777777" w:rsidR="00C12525" w:rsidRPr="00847C9D" w:rsidRDefault="00C12525" w:rsidP="00422F03">
      <w:pPr>
        <w:tabs>
          <w:tab w:val="left" w:pos="3105"/>
        </w:tabs>
        <w:jc w:val="both"/>
        <w:rPr>
          <w:rFonts w:ascii="Garamond" w:hAnsi="Garamond" w:cstheme="majorHAnsi"/>
          <w:sz w:val="24"/>
          <w:szCs w:val="24"/>
        </w:rPr>
      </w:pPr>
    </w:p>
    <w:p w14:paraId="368AD839"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7º Para os efeitos deste Decreto, considera-se prática de dumping a introdução de um produto no mercado doméstico brasileiro, inclusive sob as modalidades de drawback, a um preço de exportação inferior ao seu valor normal.</w:t>
      </w:r>
    </w:p>
    <w:p w14:paraId="189A16CC" w14:textId="77777777" w:rsidR="00C12525" w:rsidRPr="00847C9D" w:rsidRDefault="00C12525" w:rsidP="00554628">
      <w:pPr>
        <w:tabs>
          <w:tab w:val="left" w:pos="3105"/>
        </w:tabs>
        <w:spacing w:after="0" w:line="240" w:lineRule="auto"/>
        <w:jc w:val="center"/>
        <w:rPr>
          <w:rFonts w:ascii="Garamond" w:hAnsi="Garamond" w:cstheme="majorHAnsi"/>
          <w:b/>
          <w:sz w:val="24"/>
          <w:szCs w:val="24"/>
        </w:rPr>
      </w:pPr>
      <w:r w:rsidRPr="00847C9D">
        <w:rPr>
          <w:rFonts w:ascii="Garamond" w:hAnsi="Garamond" w:cstheme="majorHAnsi"/>
          <w:b/>
          <w:sz w:val="24"/>
          <w:szCs w:val="24"/>
        </w:rPr>
        <w:t>Seção I</w:t>
      </w:r>
    </w:p>
    <w:p w14:paraId="6A694861" w14:textId="77777777" w:rsidR="00C12525" w:rsidRPr="00847C9D" w:rsidRDefault="00C12525" w:rsidP="00554628">
      <w:pPr>
        <w:tabs>
          <w:tab w:val="left" w:pos="3105"/>
        </w:tabs>
        <w:spacing w:after="0" w:line="240" w:lineRule="auto"/>
        <w:jc w:val="center"/>
        <w:rPr>
          <w:rFonts w:ascii="Garamond" w:hAnsi="Garamond" w:cstheme="majorHAnsi"/>
          <w:b/>
          <w:sz w:val="24"/>
          <w:szCs w:val="24"/>
        </w:rPr>
      </w:pPr>
      <w:r w:rsidRPr="00847C9D">
        <w:rPr>
          <w:rFonts w:ascii="Garamond" w:hAnsi="Garamond" w:cstheme="majorHAnsi"/>
          <w:b/>
          <w:sz w:val="24"/>
          <w:szCs w:val="24"/>
        </w:rPr>
        <w:t>Do Valor Normal</w:t>
      </w:r>
    </w:p>
    <w:p w14:paraId="640A9AE3" w14:textId="77777777" w:rsidR="00C12525" w:rsidRPr="00847C9D" w:rsidRDefault="00C12525" w:rsidP="00422F03">
      <w:pPr>
        <w:tabs>
          <w:tab w:val="left" w:pos="3105"/>
        </w:tabs>
        <w:jc w:val="both"/>
        <w:rPr>
          <w:rFonts w:ascii="Garamond" w:hAnsi="Garamond" w:cstheme="majorHAnsi"/>
          <w:sz w:val="24"/>
          <w:szCs w:val="24"/>
        </w:rPr>
      </w:pPr>
    </w:p>
    <w:p w14:paraId="05E4D4A7"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8º Considera-se “valor normal” o preço do produto similar, em operações comerciais normais, destinado ao consumo no mercado interno do país exportador.</w:t>
      </w:r>
    </w:p>
    <w:p w14:paraId="506BADC6"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9º Para os fins deste Decreto, considera-se “produto similar” o produto idêntico, igual sob todos os aspectos ao produto objeto da investigação ou, na sua ausência, outro produto que, embora não exatamente igual sob todos os aspectos, apresente características muito próximas às do produto objeto da investigação.</w:t>
      </w:r>
    </w:p>
    <w:p w14:paraId="4DF668E2"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1º A similaridade de que trata o caput será avaliada com base em critérios objetivos, tais como:</w:t>
      </w:r>
    </w:p>
    <w:p w14:paraId="01228BC9" w14:textId="7B4CC81A"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CE1ABC">
        <w:rPr>
          <w:rFonts w:ascii="Garamond" w:hAnsi="Garamond" w:cstheme="majorHAnsi"/>
          <w:sz w:val="24"/>
          <w:szCs w:val="24"/>
        </w:rPr>
        <w:t xml:space="preserve"> </w:t>
      </w:r>
      <w:r w:rsidRPr="00847C9D">
        <w:rPr>
          <w:rFonts w:ascii="Garamond" w:hAnsi="Garamond" w:cstheme="majorHAnsi"/>
          <w:sz w:val="24"/>
          <w:szCs w:val="24"/>
        </w:rPr>
        <w:t>- matérias-primas;</w:t>
      </w:r>
    </w:p>
    <w:p w14:paraId="25593DCB" w14:textId="44CB4F41"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CE1ABC">
        <w:rPr>
          <w:rFonts w:ascii="Garamond" w:hAnsi="Garamond" w:cstheme="majorHAnsi"/>
          <w:sz w:val="24"/>
          <w:szCs w:val="24"/>
        </w:rPr>
        <w:t xml:space="preserve"> </w:t>
      </w:r>
      <w:r w:rsidRPr="00847C9D">
        <w:rPr>
          <w:rFonts w:ascii="Garamond" w:hAnsi="Garamond" w:cstheme="majorHAnsi"/>
          <w:sz w:val="24"/>
          <w:szCs w:val="24"/>
        </w:rPr>
        <w:t>- composição química; III - características físicas;</w:t>
      </w:r>
    </w:p>
    <w:p w14:paraId="6BA448D2"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IV - normas e especificações técnicas; V - processo de produção;</w:t>
      </w:r>
    </w:p>
    <w:p w14:paraId="188A8ED9" w14:textId="2398C073"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VI</w:t>
      </w:r>
      <w:r w:rsidR="00CE1ABC">
        <w:rPr>
          <w:rFonts w:ascii="Garamond" w:hAnsi="Garamond" w:cstheme="majorHAnsi"/>
          <w:sz w:val="24"/>
          <w:szCs w:val="24"/>
        </w:rPr>
        <w:t xml:space="preserve"> </w:t>
      </w:r>
      <w:r w:rsidRPr="00847C9D">
        <w:rPr>
          <w:rFonts w:ascii="Garamond" w:hAnsi="Garamond" w:cstheme="majorHAnsi"/>
          <w:sz w:val="24"/>
          <w:szCs w:val="24"/>
        </w:rPr>
        <w:t>- usos e aplicações;</w:t>
      </w:r>
    </w:p>
    <w:p w14:paraId="1696E1F1" w14:textId="014CA34A"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VII</w:t>
      </w:r>
      <w:r w:rsidR="00CE1ABC">
        <w:rPr>
          <w:rFonts w:ascii="Garamond" w:hAnsi="Garamond" w:cstheme="majorHAnsi"/>
          <w:sz w:val="24"/>
          <w:szCs w:val="24"/>
        </w:rPr>
        <w:t xml:space="preserve"> </w:t>
      </w:r>
      <w:r w:rsidRPr="00847C9D">
        <w:rPr>
          <w:rFonts w:ascii="Garamond" w:hAnsi="Garamond" w:cstheme="majorHAnsi"/>
          <w:sz w:val="24"/>
          <w:szCs w:val="24"/>
        </w:rPr>
        <w:t>- grau de substitutibilidade; e</w:t>
      </w:r>
    </w:p>
    <w:p w14:paraId="3C8E3B41" w14:textId="4157D726"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VIII</w:t>
      </w:r>
      <w:r w:rsidR="00CE1ABC">
        <w:rPr>
          <w:rFonts w:ascii="Garamond" w:hAnsi="Garamond" w:cstheme="majorHAnsi"/>
          <w:sz w:val="24"/>
          <w:szCs w:val="24"/>
        </w:rPr>
        <w:t xml:space="preserve"> </w:t>
      </w:r>
      <w:r w:rsidRPr="00847C9D">
        <w:rPr>
          <w:rFonts w:ascii="Garamond" w:hAnsi="Garamond" w:cstheme="majorHAnsi"/>
          <w:sz w:val="24"/>
          <w:szCs w:val="24"/>
        </w:rPr>
        <w:t>- canais de distribuição.</w:t>
      </w:r>
    </w:p>
    <w:p w14:paraId="37841045"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2º Os critérios a que faz referência o parágrafo anterior não constituem lista exaustiva e nenhum deles, isoladamente ou em conjunto, será necessariamente capaz de fornecer indicação decisiva.</w:t>
      </w:r>
    </w:p>
    <w:p w14:paraId="67D571A0"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10. O termo “produto objeto da investigação” englobará produtos idênticos ou que apresentem características físicas ou composição química e características de mercado semelhantes.</w:t>
      </w:r>
    </w:p>
    <w:p w14:paraId="0275066F"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1º O exame objetivo das características físicas ou da composição química do produto objeto da investigação levará em consideração a matéria-prima utilizada, as normas e especificações técnicas e o processo produtivo.</w:t>
      </w:r>
    </w:p>
    <w:p w14:paraId="5E8474BD"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2º O exame objetivo das características de mercado levará em consideração usos e aplicações, grau de substitutibilidade e canais de distribuição.</w:t>
      </w:r>
    </w:p>
    <w:p w14:paraId="1A7F5B25"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3º Os critérios a que se referem os § 1º e § 2º não constituem lista exaustiva e nenhum deles, isoladamente ou em conjunto, será necessariamente capaz de fornecer indicação decisiva.</w:t>
      </w:r>
    </w:p>
    <w:p w14:paraId="603A7625"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11. Para os fins deste Decreto, considera-se “país exportador” como sendo o país de origem declarado das importações do produto objeto da investigação, observado o disposto no art. 24.</w:t>
      </w:r>
    </w:p>
    <w:p w14:paraId="6D642BD8"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12. Consideram-se "operações comerciais normais" todas as vendas do produto similar realizadas pelo produtor ou exportador sob investigação no mercado interno do país exportador ou para um terceiro país, observado o disposto no art. 14.</w:t>
      </w:r>
    </w:p>
    <w:p w14:paraId="36F2DE80"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1º As vendas do produto similar destinadas ao consumo no mercado interno do país exportador serão consideradas como em quantidade suficiente para a apuração do valor normal quando constituam cinco por cento ou mais das vendas do produto objeto da investigação exportado para o Brasil, admitindo-se percentual inferior quando for demonstrado que, ainda assim, ocorreram vendas no mercado interno do país exportador em quantidade suficiente para permitir comparação adequada.</w:t>
      </w:r>
    </w:p>
    <w:p w14:paraId="1E4EB708"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2º A apuração a que se refere o § 1º será efetuada após a exclusão das vendas que não tenham sido consideradas operações comerciais normais e deverá ser feita para a totalidade das vendas restantes do produto similar destinadas ao consumo no mercado interno do país exportador.</w:t>
      </w:r>
    </w:p>
    <w:p w14:paraId="7622A57F"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13. Caso existam vendas do produto similar destinadas ao consumo no mercado interno do país exportador em quantidade suficiente para a apuração do valor normal, sem que existam vendas em quantidade suficiente de determinados modelos específicos, o valor normal para estes modelos poderá ser apurado com base no valor construído, conforme definido no inciso II do caput do art. 14 ou, alternativamente, no preço de exportação para um terceiro país.</w:t>
      </w:r>
    </w:p>
    <w:p w14:paraId="25F73B88"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14. Caso não existam vendas do produto similar em operações comerciais normais no mercado interno do país exportador ou quando, em razão de condições especiais de mercado ou de baixo volume de vendas do produto similar no mercado interno do país</w:t>
      </w:r>
    </w:p>
    <w:p w14:paraId="3BC2D0A9"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exportador, não for possível comparação adequada com o preço de exportação, o valor normal será apurado com base no:</w:t>
      </w:r>
    </w:p>
    <w:p w14:paraId="3BCBAEA0" w14:textId="2840B27E"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CE1ABC">
        <w:rPr>
          <w:rFonts w:ascii="Garamond" w:hAnsi="Garamond" w:cstheme="majorHAnsi"/>
          <w:sz w:val="24"/>
          <w:szCs w:val="24"/>
        </w:rPr>
        <w:t xml:space="preserve"> </w:t>
      </w:r>
      <w:r w:rsidRPr="00847C9D">
        <w:rPr>
          <w:rFonts w:ascii="Garamond" w:hAnsi="Garamond" w:cstheme="majorHAnsi"/>
          <w:sz w:val="24"/>
          <w:szCs w:val="24"/>
        </w:rPr>
        <w:t>- preço de exportação do produto similar para terceiro país apropriado, desde que esse preço seja representativo; ou</w:t>
      </w:r>
    </w:p>
    <w:p w14:paraId="0FF6F1B1" w14:textId="58CA52A3"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CE1ABC">
        <w:rPr>
          <w:rFonts w:ascii="Garamond" w:hAnsi="Garamond" w:cstheme="majorHAnsi"/>
          <w:sz w:val="24"/>
          <w:szCs w:val="24"/>
        </w:rPr>
        <w:t xml:space="preserve"> </w:t>
      </w:r>
      <w:r w:rsidRPr="00847C9D">
        <w:rPr>
          <w:rFonts w:ascii="Garamond" w:hAnsi="Garamond" w:cstheme="majorHAnsi"/>
          <w:sz w:val="24"/>
          <w:szCs w:val="24"/>
        </w:rPr>
        <w:t>- valor construído, que consistirá no custo de produção no país d</w:t>
      </w:r>
      <w:r w:rsidR="00CE1ABC">
        <w:rPr>
          <w:rFonts w:ascii="Garamond" w:hAnsi="Garamond" w:cstheme="majorHAnsi"/>
          <w:sz w:val="24"/>
          <w:szCs w:val="24"/>
        </w:rPr>
        <w:t xml:space="preserve"> </w:t>
      </w:r>
      <w:r w:rsidRPr="00847C9D">
        <w:rPr>
          <w:rFonts w:ascii="Garamond" w:hAnsi="Garamond" w:cstheme="majorHAnsi"/>
          <w:sz w:val="24"/>
          <w:szCs w:val="24"/>
        </w:rPr>
        <w:t>e origem declarado, acrescido de razoável montante a título de:</w:t>
      </w:r>
    </w:p>
    <w:p w14:paraId="0FA2C44F" w14:textId="225BF481"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w:t>
      </w:r>
      <w:r w:rsidR="00CE1ABC">
        <w:rPr>
          <w:rFonts w:ascii="Garamond" w:hAnsi="Garamond" w:cstheme="majorHAnsi"/>
          <w:sz w:val="24"/>
          <w:szCs w:val="24"/>
        </w:rPr>
        <w:t xml:space="preserve"> </w:t>
      </w:r>
      <w:r w:rsidRPr="00847C9D">
        <w:rPr>
          <w:rFonts w:ascii="Garamond" w:hAnsi="Garamond" w:cstheme="majorHAnsi"/>
          <w:sz w:val="24"/>
          <w:szCs w:val="24"/>
        </w:rPr>
        <w:t>despesas gerais;</w:t>
      </w:r>
    </w:p>
    <w:p w14:paraId="7251B63B" w14:textId="2A0C1D8A"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b)</w:t>
      </w:r>
      <w:r w:rsidR="00CE1ABC">
        <w:rPr>
          <w:rFonts w:ascii="Garamond" w:hAnsi="Garamond" w:cstheme="majorHAnsi"/>
          <w:sz w:val="24"/>
          <w:szCs w:val="24"/>
        </w:rPr>
        <w:t xml:space="preserve"> </w:t>
      </w:r>
      <w:r w:rsidRPr="00847C9D">
        <w:rPr>
          <w:rFonts w:ascii="Garamond" w:hAnsi="Garamond" w:cstheme="majorHAnsi"/>
          <w:sz w:val="24"/>
          <w:szCs w:val="24"/>
        </w:rPr>
        <w:t>despesas administrativas;</w:t>
      </w:r>
    </w:p>
    <w:p w14:paraId="43C8E3BA" w14:textId="0A6C3E4B"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c)</w:t>
      </w:r>
      <w:r w:rsidR="00CE1ABC">
        <w:rPr>
          <w:rFonts w:ascii="Garamond" w:hAnsi="Garamond" w:cstheme="majorHAnsi"/>
          <w:sz w:val="24"/>
          <w:szCs w:val="24"/>
        </w:rPr>
        <w:t xml:space="preserve"> </w:t>
      </w:r>
      <w:r w:rsidRPr="00847C9D">
        <w:rPr>
          <w:rFonts w:ascii="Garamond" w:hAnsi="Garamond" w:cstheme="majorHAnsi"/>
          <w:sz w:val="24"/>
          <w:szCs w:val="24"/>
        </w:rPr>
        <w:t>despesas de comercialização;</w:t>
      </w:r>
    </w:p>
    <w:p w14:paraId="0CD53ECD" w14:textId="40A0D51D"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d)</w:t>
      </w:r>
      <w:r w:rsidR="00CE1ABC">
        <w:rPr>
          <w:rFonts w:ascii="Garamond" w:hAnsi="Garamond" w:cstheme="majorHAnsi"/>
          <w:sz w:val="24"/>
          <w:szCs w:val="24"/>
        </w:rPr>
        <w:t xml:space="preserve"> </w:t>
      </w:r>
      <w:r w:rsidRPr="00847C9D">
        <w:rPr>
          <w:rFonts w:ascii="Garamond" w:hAnsi="Garamond" w:cstheme="majorHAnsi"/>
          <w:sz w:val="24"/>
          <w:szCs w:val="24"/>
        </w:rPr>
        <w:t>despesas financeiras; e</w:t>
      </w:r>
    </w:p>
    <w:p w14:paraId="6BD6E4FC" w14:textId="3E1B79CB"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e)</w:t>
      </w:r>
      <w:r w:rsidR="00CE1ABC">
        <w:rPr>
          <w:rFonts w:ascii="Garamond" w:hAnsi="Garamond" w:cstheme="majorHAnsi"/>
          <w:sz w:val="24"/>
          <w:szCs w:val="24"/>
        </w:rPr>
        <w:t xml:space="preserve"> </w:t>
      </w:r>
      <w:r w:rsidRPr="00847C9D">
        <w:rPr>
          <w:rFonts w:ascii="Garamond" w:hAnsi="Garamond" w:cstheme="majorHAnsi"/>
          <w:sz w:val="24"/>
          <w:szCs w:val="24"/>
        </w:rPr>
        <w:t>lucro.</w:t>
      </w:r>
    </w:p>
    <w:p w14:paraId="2E1B7F53"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1º As vendas do produto similar no mercado interno do país exportador ou as vendas a um terceiro país não serão consideradas como operações comerciais normais e serão desprezadas na apuração do valor normal quando realizadas a preços inferiores ao custo de produção unitário do produto similar, nele computados os custos de fabricação, fixos e variáveis, e as despesas gerais, administrativas, de comercialização e financeiras.</w:t>
      </w:r>
    </w:p>
    <w:p w14:paraId="6FF05CA8"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2º O disposto no § 1º aplica-se somente quando as vendas foram realizadas:</w:t>
      </w:r>
    </w:p>
    <w:p w14:paraId="731F7A23" w14:textId="2ED85DDD"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CE1ABC">
        <w:rPr>
          <w:rFonts w:ascii="Garamond" w:hAnsi="Garamond" w:cstheme="majorHAnsi"/>
          <w:sz w:val="24"/>
          <w:szCs w:val="24"/>
        </w:rPr>
        <w:t xml:space="preserve"> </w:t>
      </w:r>
      <w:r w:rsidRPr="00847C9D">
        <w:rPr>
          <w:rFonts w:ascii="Garamond" w:hAnsi="Garamond" w:cstheme="majorHAnsi"/>
          <w:sz w:val="24"/>
          <w:szCs w:val="24"/>
        </w:rPr>
        <w:t>- no decorrer de um período razoável de tempo, preferencialmente de doze meses, mas nunca inferior a seis meses;</w:t>
      </w:r>
    </w:p>
    <w:p w14:paraId="199D7A24" w14:textId="66378645"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CE1ABC">
        <w:rPr>
          <w:rFonts w:ascii="Garamond" w:hAnsi="Garamond" w:cstheme="majorHAnsi"/>
          <w:sz w:val="24"/>
          <w:szCs w:val="24"/>
        </w:rPr>
        <w:t xml:space="preserve"> </w:t>
      </w:r>
      <w:r w:rsidRPr="00847C9D">
        <w:rPr>
          <w:rFonts w:ascii="Garamond" w:hAnsi="Garamond" w:cstheme="majorHAnsi"/>
          <w:sz w:val="24"/>
          <w:szCs w:val="24"/>
        </w:rPr>
        <w:t>- em quantidades substanciais; e</w:t>
      </w:r>
    </w:p>
    <w:p w14:paraId="4963806F" w14:textId="6CB62F5B"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CE1ABC">
        <w:rPr>
          <w:rFonts w:ascii="Garamond" w:hAnsi="Garamond" w:cstheme="majorHAnsi"/>
          <w:sz w:val="24"/>
          <w:szCs w:val="24"/>
        </w:rPr>
        <w:t xml:space="preserve"> </w:t>
      </w:r>
      <w:r w:rsidRPr="00847C9D">
        <w:rPr>
          <w:rFonts w:ascii="Garamond" w:hAnsi="Garamond" w:cstheme="majorHAnsi"/>
          <w:sz w:val="24"/>
          <w:szCs w:val="24"/>
        </w:rPr>
        <w:t>- a preço que não permita recuperar todos os custos dentro de um período razoável de tempo, preferencialmente de doze meses.</w:t>
      </w:r>
    </w:p>
    <w:p w14:paraId="0942F580"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3º Considera-se “quantidade substancial”, para fins do inciso II do § 2º, as situações em que:</w:t>
      </w:r>
    </w:p>
    <w:p w14:paraId="68D0D470" w14:textId="214B4155"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CE1ABC">
        <w:rPr>
          <w:rFonts w:ascii="Garamond" w:hAnsi="Garamond" w:cstheme="majorHAnsi"/>
          <w:sz w:val="24"/>
          <w:szCs w:val="24"/>
        </w:rPr>
        <w:t xml:space="preserve"> </w:t>
      </w:r>
      <w:r w:rsidRPr="00847C9D">
        <w:rPr>
          <w:rFonts w:ascii="Garamond" w:hAnsi="Garamond" w:cstheme="majorHAnsi"/>
          <w:sz w:val="24"/>
          <w:szCs w:val="24"/>
        </w:rPr>
        <w:t>- o preço médio ponderado de venda do produto similar no período de investigação de dumping for inferior ao custo de produção médio ponderado unitário do produto similar no o referido período; ou</w:t>
      </w:r>
    </w:p>
    <w:p w14:paraId="2E72BB95" w14:textId="3D471BE4"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CE1ABC">
        <w:rPr>
          <w:rFonts w:ascii="Garamond" w:hAnsi="Garamond" w:cstheme="majorHAnsi"/>
          <w:sz w:val="24"/>
          <w:szCs w:val="24"/>
        </w:rPr>
        <w:t xml:space="preserve"> </w:t>
      </w:r>
      <w:r w:rsidRPr="00847C9D">
        <w:rPr>
          <w:rFonts w:ascii="Garamond" w:hAnsi="Garamond" w:cstheme="majorHAnsi"/>
          <w:sz w:val="24"/>
          <w:szCs w:val="24"/>
        </w:rPr>
        <w:t>- o volume de vendas do produto similar a preço abaixo do custo unitário corresponder a vinte por cento ou mais do volume total de vendas do produto similar.</w:t>
      </w:r>
    </w:p>
    <w:p w14:paraId="02931661"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4º Será considerado que os preços permitem a recuperação de todos os custos dentro de período razoável de tempo sempre que os preços abaixo do custo de produção unitário, no momento da venda, superarem o custo de produção médio ponderado unitário do produto similar no período de investigação de dumping.</w:t>
      </w:r>
    </w:p>
    <w:p w14:paraId="5FCE3325"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5º Não serão consideradas operações comerciais normais e serão desprezadas, na apuração do valor normal, as transações entre partes associadas ou relacionadas ou que tenham celebrado entre si acordo compensatório, salvo se comprovado que os preços e custos relativos a transações entre partes associadas ou relacionadas sejam comparáveis aos das transações efetuadas entre partes não associadas ou relacionadas.</w:t>
      </w:r>
    </w:p>
    <w:p w14:paraId="048CFD38"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6º As transações entre partes associadas ou relacionadas serão consideradas operações comerciais normais se o preço médio ponderado de venda da parte interessada para sua parte associada ou relacionada não for superior ou inferior a no máximo três por cento do preço médio ponderado de venda da parte interessada para todas as partes que não tenham tais vínculos entre si.</w:t>
      </w:r>
    </w:p>
    <w:p w14:paraId="023F2CFF"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7º Não serão consideradas operações comerciais normais e serão desprezadas na apuração do valor normal:</w:t>
      </w:r>
    </w:p>
    <w:p w14:paraId="4CADE344" w14:textId="6C9CC6CB"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CE1ABC">
        <w:rPr>
          <w:rFonts w:ascii="Garamond" w:hAnsi="Garamond" w:cstheme="majorHAnsi"/>
          <w:sz w:val="24"/>
          <w:szCs w:val="24"/>
        </w:rPr>
        <w:t xml:space="preserve"> </w:t>
      </w:r>
      <w:r w:rsidRPr="00847C9D">
        <w:rPr>
          <w:rFonts w:ascii="Garamond" w:hAnsi="Garamond" w:cstheme="majorHAnsi"/>
          <w:sz w:val="24"/>
          <w:szCs w:val="24"/>
        </w:rPr>
        <w:t>- vendas de amostras ou para empregados e doações;</w:t>
      </w:r>
    </w:p>
    <w:p w14:paraId="45F47D20" w14:textId="329E02C4"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CE1ABC">
        <w:rPr>
          <w:rFonts w:ascii="Garamond" w:hAnsi="Garamond" w:cstheme="majorHAnsi"/>
          <w:sz w:val="24"/>
          <w:szCs w:val="24"/>
        </w:rPr>
        <w:t xml:space="preserve"> </w:t>
      </w:r>
      <w:r w:rsidRPr="00847C9D">
        <w:rPr>
          <w:rFonts w:ascii="Garamond" w:hAnsi="Garamond" w:cstheme="majorHAnsi"/>
          <w:sz w:val="24"/>
          <w:szCs w:val="24"/>
        </w:rPr>
        <w:t>- vendas amparadas por contratos envolvendo industrialização para outras empresas -tolling ou troca de produtos - swap;</w:t>
      </w:r>
    </w:p>
    <w:p w14:paraId="4F7101CD" w14:textId="183A832E"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CE1ABC">
        <w:rPr>
          <w:rFonts w:ascii="Garamond" w:hAnsi="Garamond" w:cstheme="majorHAnsi"/>
          <w:sz w:val="24"/>
          <w:szCs w:val="24"/>
        </w:rPr>
        <w:t xml:space="preserve"> </w:t>
      </w:r>
      <w:r w:rsidRPr="00847C9D">
        <w:rPr>
          <w:rFonts w:ascii="Garamond" w:hAnsi="Garamond" w:cstheme="majorHAnsi"/>
          <w:sz w:val="24"/>
          <w:szCs w:val="24"/>
        </w:rPr>
        <w:t>- consumo cativo; ou</w:t>
      </w:r>
    </w:p>
    <w:p w14:paraId="3D5EF2C2" w14:textId="2F508409"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IV</w:t>
      </w:r>
      <w:r w:rsidR="00CE1ABC">
        <w:rPr>
          <w:rFonts w:ascii="Garamond" w:hAnsi="Garamond" w:cstheme="majorHAnsi"/>
          <w:sz w:val="24"/>
          <w:szCs w:val="24"/>
        </w:rPr>
        <w:t xml:space="preserve"> </w:t>
      </w:r>
      <w:r w:rsidRPr="00847C9D">
        <w:rPr>
          <w:rFonts w:ascii="Garamond" w:hAnsi="Garamond" w:cstheme="majorHAnsi"/>
          <w:sz w:val="24"/>
          <w:szCs w:val="24"/>
        </w:rPr>
        <w:t>- outras operações, estabelecidas pela SECEX.</w:t>
      </w:r>
    </w:p>
    <w:p w14:paraId="7E93DBC8"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8º O custo referido no inciso II do caput será preferencialmente calculado com base nos registros mantidos pelo produtor ou exportador sob investigação, desde que estejam de acordo com os princípios e as normas contábeis do país exportador e reflitam os custos relativos à produção e à venda do produto similar.</w:t>
      </w:r>
    </w:p>
    <w:p w14:paraId="096389A9"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9º As operações entre partes associadas ou relacionadas ou que tenham celebrado entre si acordo compensatório não serão consideradas no cálculo do custo relativo à produção, exceto se comprovado que os preços praticados em tais operações são comparáveis aos preços praticados em operações efetuadas entre partes não associadas ou relacionadas.</w:t>
      </w:r>
    </w:p>
    <w:p w14:paraId="4F04B1A7" w14:textId="4F55F68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10. Para os fins deste Capítulo, as partes serão consideradas relacionadas ou</w:t>
      </w:r>
      <w:r w:rsidR="00CE1ABC">
        <w:rPr>
          <w:rFonts w:ascii="Garamond" w:hAnsi="Garamond" w:cstheme="majorHAnsi"/>
          <w:sz w:val="24"/>
          <w:szCs w:val="24"/>
        </w:rPr>
        <w:t xml:space="preserve"> </w:t>
      </w:r>
      <w:r w:rsidRPr="00847C9D">
        <w:rPr>
          <w:rFonts w:ascii="Garamond" w:hAnsi="Garamond" w:cstheme="majorHAnsi"/>
          <w:sz w:val="24"/>
          <w:szCs w:val="24"/>
        </w:rPr>
        <w:t>associadas se: outra;</w:t>
      </w:r>
    </w:p>
    <w:p w14:paraId="2A0568CD" w14:textId="52D5960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I - uma delas ocupar cargo de responsabilidade ou de direção em empresa da II - forem legalmente reconhecidas como associados em negócios;</w:t>
      </w:r>
    </w:p>
    <w:p w14:paraId="2C925359" w14:textId="65D9259D"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CE1ABC">
        <w:rPr>
          <w:rFonts w:ascii="Garamond" w:hAnsi="Garamond" w:cstheme="majorHAnsi"/>
          <w:sz w:val="24"/>
          <w:szCs w:val="24"/>
        </w:rPr>
        <w:t xml:space="preserve"> </w:t>
      </w:r>
      <w:r w:rsidRPr="00847C9D">
        <w:rPr>
          <w:rFonts w:ascii="Garamond" w:hAnsi="Garamond" w:cstheme="majorHAnsi"/>
          <w:sz w:val="24"/>
          <w:szCs w:val="24"/>
        </w:rPr>
        <w:t>- forem empregador e empregado;</w:t>
      </w:r>
    </w:p>
    <w:p w14:paraId="473F58BD" w14:textId="34930ECE"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IV- qualquer pessoa, direta ou indiretamente, possuir, controlar ou detiver</w:t>
      </w:r>
      <w:r w:rsidR="00CE1ABC">
        <w:rPr>
          <w:rFonts w:ascii="Garamond" w:hAnsi="Garamond" w:cstheme="majorHAnsi"/>
          <w:sz w:val="24"/>
          <w:szCs w:val="24"/>
        </w:rPr>
        <w:t xml:space="preserve"> </w:t>
      </w:r>
      <w:r w:rsidRPr="00847C9D">
        <w:rPr>
          <w:rFonts w:ascii="Garamond" w:hAnsi="Garamond" w:cstheme="majorHAnsi"/>
          <w:sz w:val="24"/>
          <w:szCs w:val="24"/>
        </w:rPr>
        <w:t>cinco por cento ou mais das ações ou títulos emitidos com direito a voto de ambas;</w:t>
      </w:r>
    </w:p>
    <w:p w14:paraId="643C2AF1" w14:textId="7B012638"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 uma delas, direta ou indiretamente, controlar a outra, inclusive por intermédio de acordo de acionistas;</w:t>
      </w:r>
    </w:p>
    <w:p w14:paraId="7900E39C" w14:textId="12D11C6C"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VI</w:t>
      </w:r>
      <w:r w:rsidR="00CE1ABC">
        <w:rPr>
          <w:rFonts w:ascii="Garamond" w:hAnsi="Garamond" w:cstheme="majorHAnsi"/>
          <w:sz w:val="24"/>
          <w:szCs w:val="24"/>
        </w:rPr>
        <w:t xml:space="preserve"> </w:t>
      </w:r>
      <w:r w:rsidRPr="00847C9D">
        <w:rPr>
          <w:rFonts w:ascii="Garamond" w:hAnsi="Garamond" w:cstheme="majorHAnsi"/>
          <w:sz w:val="24"/>
          <w:szCs w:val="24"/>
        </w:rPr>
        <w:t>- forem ambas, direta ou indiretamente, controladas por uma terceira</w:t>
      </w:r>
      <w:r w:rsidR="00CE1ABC">
        <w:rPr>
          <w:rFonts w:ascii="Garamond" w:hAnsi="Garamond" w:cstheme="majorHAnsi"/>
          <w:sz w:val="24"/>
          <w:szCs w:val="24"/>
        </w:rPr>
        <w:t xml:space="preserve"> </w:t>
      </w:r>
      <w:r w:rsidRPr="00847C9D">
        <w:rPr>
          <w:rFonts w:ascii="Garamond" w:hAnsi="Garamond" w:cstheme="majorHAnsi"/>
          <w:sz w:val="24"/>
          <w:szCs w:val="24"/>
        </w:rPr>
        <w:t>pessoa;</w:t>
      </w:r>
    </w:p>
    <w:p w14:paraId="262535FA" w14:textId="4DF12B9F"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VII</w:t>
      </w:r>
      <w:r w:rsidR="00CE1ABC">
        <w:rPr>
          <w:rFonts w:ascii="Garamond" w:hAnsi="Garamond" w:cstheme="majorHAnsi"/>
          <w:sz w:val="24"/>
          <w:szCs w:val="24"/>
        </w:rPr>
        <w:t xml:space="preserve"> </w:t>
      </w:r>
      <w:r w:rsidRPr="00847C9D">
        <w:rPr>
          <w:rFonts w:ascii="Garamond" w:hAnsi="Garamond" w:cstheme="majorHAnsi"/>
          <w:sz w:val="24"/>
          <w:szCs w:val="24"/>
        </w:rPr>
        <w:t>- juntas controlarem direta ou indiretamente uma terceira pessoa; VIII - forem membros da mesma família; ou</w:t>
      </w:r>
    </w:p>
    <w:p w14:paraId="5AD546F4" w14:textId="65378C13"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IX - se houver relação de dependência econômica, financeira ou tecnológica</w:t>
      </w:r>
      <w:r w:rsidR="00CE1ABC">
        <w:rPr>
          <w:rFonts w:ascii="Garamond" w:hAnsi="Garamond" w:cstheme="majorHAnsi"/>
          <w:sz w:val="24"/>
          <w:szCs w:val="24"/>
        </w:rPr>
        <w:t xml:space="preserve"> </w:t>
      </w:r>
      <w:r w:rsidRPr="00847C9D">
        <w:rPr>
          <w:rFonts w:ascii="Garamond" w:hAnsi="Garamond" w:cstheme="majorHAnsi"/>
          <w:sz w:val="24"/>
          <w:szCs w:val="24"/>
        </w:rPr>
        <w:t>com clientes, fornecedores ou financiadores.</w:t>
      </w:r>
    </w:p>
    <w:p w14:paraId="430FDC9A"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11. Serão levados em consideração os elementos de prova disponíveis acerca da correta alocação de custos, desde que historicamente utilizada pelo produtor ou exportador, particularmente no que diz respeito à determinação dos períodos adequados de amortização e de depreciação e do montante das deduções relativas a despesas de capital e a outros custos de desenvolvimento.</w:t>
      </w:r>
    </w:p>
    <w:p w14:paraId="528ED13E"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12. Os custos devem ser ajustados em função dos itens de custo não recorrentes que beneficiem a produção atual ou futura ou em razão de circunstâncias nas quais os custos incorridos durante o período de investigação sejam afetados por operações de entrada em funcionamento, a menos que já refletidos na alocação de custos prevista no § 11.</w:t>
      </w:r>
    </w:p>
    <w:p w14:paraId="6D62C927" w14:textId="32CB538D"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 13. Os ajustes efetuados em razão da entrada em funcionamento devem refletir os custos ao final do período de entrada em funcionamento ou, caso se estenda além do período de investigação de dumping, os custos mais recentes que possam ser razoavelmente considerados.</w:t>
      </w:r>
    </w:p>
    <w:p w14:paraId="01CBCD6A"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14. Para fins deste artigo, o cálculo das despesas gerais, administrativas, de comercialização e financeiras e da margem de lucro será baseado em dados efetivos de produção e de venda do produto similar do produtor ou exportador sob investigação no curso de operações comerciais normais.</w:t>
      </w:r>
    </w:p>
    <w:p w14:paraId="029412E2"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15. Quando esse montante não puder ser apurado conforme o estabelecido no</w:t>
      </w:r>
    </w:p>
    <w:p w14:paraId="05A52480"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14, as despesas gerais, administrativas, de comercialização e financeiras e a margem de lucro serão apuradas com base:</w:t>
      </w:r>
    </w:p>
    <w:p w14:paraId="2B75F60C" w14:textId="7AC2FAF2"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CE1ABC">
        <w:rPr>
          <w:rFonts w:ascii="Garamond" w:hAnsi="Garamond" w:cstheme="majorHAnsi"/>
          <w:sz w:val="24"/>
          <w:szCs w:val="24"/>
        </w:rPr>
        <w:t xml:space="preserve"> </w:t>
      </w:r>
      <w:r w:rsidRPr="00847C9D">
        <w:rPr>
          <w:rFonts w:ascii="Garamond" w:hAnsi="Garamond" w:cstheme="majorHAnsi"/>
          <w:sz w:val="24"/>
          <w:szCs w:val="24"/>
        </w:rPr>
        <w:t>- nas quantias efetivamente despendidas e auferidas pelo produtor ou exportador sob investigação relativas à produção e à venda de produtos da mesma categoria geral no mercado interno do país exportador;</w:t>
      </w:r>
    </w:p>
    <w:p w14:paraId="676CFB5E" w14:textId="4E030A28"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CE1ABC">
        <w:rPr>
          <w:rFonts w:ascii="Garamond" w:hAnsi="Garamond" w:cstheme="majorHAnsi"/>
          <w:sz w:val="24"/>
          <w:szCs w:val="24"/>
        </w:rPr>
        <w:t xml:space="preserve"> </w:t>
      </w:r>
      <w:r w:rsidRPr="00847C9D">
        <w:rPr>
          <w:rFonts w:ascii="Garamond" w:hAnsi="Garamond" w:cstheme="majorHAnsi"/>
          <w:sz w:val="24"/>
          <w:szCs w:val="24"/>
        </w:rPr>
        <w:t>- na média ponderada das quantias efetivamente despendidas e auferidas por outros produtores ou exportadores sob investigação relativas à produção e à comercialização do produto similar no mercado interno do país exportador; ou</w:t>
      </w:r>
    </w:p>
    <w:p w14:paraId="5AF44370" w14:textId="26DE9394"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CE1ABC">
        <w:rPr>
          <w:rFonts w:ascii="Garamond" w:hAnsi="Garamond" w:cstheme="majorHAnsi"/>
          <w:sz w:val="24"/>
          <w:szCs w:val="24"/>
        </w:rPr>
        <w:t xml:space="preserve"> </w:t>
      </w:r>
      <w:r w:rsidRPr="00847C9D">
        <w:rPr>
          <w:rFonts w:ascii="Garamond" w:hAnsi="Garamond" w:cstheme="majorHAnsi"/>
          <w:sz w:val="24"/>
          <w:szCs w:val="24"/>
        </w:rPr>
        <w:t>- em qualquer outro método razoável, desde que o montante estipulado para o lucro não exceda o lucro normalmente auferido por outros produtores ou exportadores com as vendas de produtos da mesma categoria geral no mercado interno do país exportador.</w:t>
      </w:r>
    </w:p>
    <w:p w14:paraId="67CC12A0"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16. O termo “condições especiais de mercado” a que faz referência o caput inclui situações em que a formação de preços domésticos, em especial aqueles relacionados a insumos básicos, não ocorre em condições de mercado ou seja determinada ou significativamente influenciada pela ação do governo.</w:t>
      </w:r>
    </w:p>
    <w:p w14:paraId="0911B43F"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15. No caso de país que não seja considerado economia de mercado, o valor normal será determinado com base:</w:t>
      </w:r>
    </w:p>
    <w:p w14:paraId="098CCF96" w14:textId="77777777" w:rsidR="001A42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I - no preço de venda do produto similar em um país substituto; </w:t>
      </w:r>
    </w:p>
    <w:p w14:paraId="073C872B" w14:textId="7EDD4429"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 - no valor construído do produto similar em um país substituto;</w:t>
      </w:r>
    </w:p>
    <w:p w14:paraId="381A2B87" w14:textId="2DCE603C"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1A429D">
        <w:rPr>
          <w:rFonts w:ascii="Garamond" w:hAnsi="Garamond" w:cstheme="majorHAnsi"/>
          <w:sz w:val="24"/>
          <w:szCs w:val="24"/>
        </w:rPr>
        <w:t xml:space="preserve"> </w:t>
      </w:r>
      <w:r w:rsidRPr="00847C9D">
        <w:rPr>
          <w:rFonts w:ascii="Garamond" w:hAnsi="Garamond" w:cstheme="majorHAnsi"/>
          <w:sz w:val="24"/>
          <w:szCs w:val="24"/>
        </w:rPr>
        <w:t>- no preço de exportação do produto similar de um país substituto para outros países, exceto o Brasil; ou</w:t>
      </w:r>
    </w:p>
    <w:p w14:paraId="5F04A8A4" w14:textId="405F9D8B"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IV</w:t>
      </w:r>
      <w:r w:rsidR="001A429D">
        <w:rPr>
          <w:rFonts w:ascii="Garamond" w:hAnsi="Garamond" w:cstheme="majorHAnsi"/>
          <w:sz w:val="24"/>
          <w:szCs w:val="24"/>
        </w:rPr>
        <w:t xml:space="preserve"> </w:t>
      </w:r>
      <w:r w:rsidRPr="00847C9D">
        <w:rPr>
          <w:rFonts w:ascii="Garamond" w:hAnsi="Garamond" w:cstheme="majorHAnsi"/>
          <w:sz w:val="24"/>
          <w:szCs w:val="24"/>
        </w:rPr>
        <w:t>- em qualquer outro preço razoável, inclusive o preço pago ou a pagar pelo produto similar no mercado interno brasileiro, devidamente ajustado, se necessário, para incluir margem de lucro razoável, sempre que nenhuma das hipóteses anteriores seja viável e desde que devidamente justificado.</w:t>
      </w:r>
    </w:p>
    <w:p w14:paraId="50C68A2C"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1º O país substituto consistirá em um terceiro país de economia de mercado considerado apropriado, levando-se em conta as informações confiáveis apresentadas tempestivamente pelo peticionário ou pelo produtor ou exportador, incluindo:</w:t>
      </w:r>
    </w:p>
    <w:p w14:paraId="6BAF97B8" w14:textId="3841B2CA"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1A429D">
        <w:rPr>
          <w:rFonts w:ascii="Garamond" w:hAnsi="Garamond" w:cstheme="majorHAnsi"/>
          <w:sz w:val="24"/>
          <w:szCs w:val="24"/>
        </w:rPr>
        <w:t xml:space="preserve"> </w:t>
      </w:r>
      <w:r w:rsidRPr="00847C9D">
        <w:rPr>
          <w:rFonts w:ascii="Garamond" w:hAnsi="Garamond" w:cstheme="majorHAnsi"/>
          <w:sz w:val="24"/>
          <w:szCs w:val="24"/>
        </w:rPr>
        <w:t>- o volume das exportações do produto similar do país substituto para o Brasil e para os principais mercados consumidores mundiais;</w:t>
      </w:r>
    </w:p>
    <w:p w14:paraId="528CE701" w14:textId="559D62BA"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1A429D">
        <w:rPr>
          <w:rFonts w:ascii="Garamond" w:hAnsi="Garamond" w:cstheme="majorHAnsi"/>
          <w:sz w:val="24"/>
          <w:szCs w:val="24"/>
        </w:rPr>
        <w:t xml:space="preserve"> </w:t>
      </w:r>
      <w:r w:rsidRPr="00847C9D">
        <w:rPr>
          <w:rFonts w:ascii="Garamond" w:hAnsi="Garamond" w:cstheme="majorHAnsi"/>
          <w:sz w:val="24"/>
          <w:szCs w:val="24"/>
        </w:rPr>
        <w:t>- o volume das  vendas do produto  similar no mercado interno do país</w:t>
      </w:r>
      <w:r w:rsidR="001A429D">
        <w:rPr>
          <w:rFonts w:ascii="Garamond" w:hAnsi="Garamond" w:cstheme="majorHAnsi"/>
          <w:sz w:val="24"/>
          <w:szCs w:val="24"/>
        </w:rPr>
        <w:t xml:space="preserve"> </w:t>
      </w:r>
      <w:r w:rsidRPr="00847C9D">
        <w:rPr>
          <w:rFonts w:ascii="Garamond" w:hAnsi="Garamond" w:cstheme="majorHAnsi"/>
          <w:sz w:val="24"/>
          <w:szCs w:val="24"/>
        </w:rPr>
        <w:t>substituto;</w:t>
      </w:r>
    </w:p>
    <w:p w14:paraId="103E75EF" w14:textId="2BEEDC1E"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1A429D">
        <w:rPr>
          <w:rFonts w:ascii="Garamond" w:hAnsi="Garamond" w:cstheme="majorHAnsi"/>
          <w:sz w:val="24"/>
          <w:szCs w:val="24"/>
        </w:rPr>
        <w:t xml:space="preserve"> </w:t>
      </w:r>
      <w:r w:rsidRPr="00847C9D">
        <w:rPr>
          <w:rFonts w:ascii="Garamond" w:hAnsi="Garamond" w:cstheme="majorHAnsi"/>
          <w:sz w:val="24"/>
          <w:szCs w:val="24"/>
        </w:rPr>
        <w:t>- a similaridade entre o produto objeto da investigação e o produto vendido no mercado interno ou exportado pelo país substituto;</w:t>
      </w:r>
    </w:p>
    <w:p w14:paraId="473EFAE3" w14:textId="12E3431A"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IV- a disponibilidade e o grau de desagregação das estatísticas necessárias à investigação; ou</w:t>
      </w:r>
    </w:p>
    <w:p w14:paraId="562BB59F" w14:textId="36B21FF6"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 o grau de adequação das informações apresentadas com relação às características da investigação em curso.</w:t>
      </w:r>
    </w:p>
    <w:p w14:paraId="6504EE5A" w14:textId="5DE76B06"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2º Sempre que adequado, recorrer-se-á a país substituto sujeito à mesma</w:t>
      </w:r>
      <w:r w:rsidR="001A429D">
        <w:rPr>
          <w:rFonts w:ascii="Garamond" w:hAnsi="Garamond" w:cstheme="majorHAnsi"/>
          <w:sz w:val="24"/>
          <w:szCs w:val="24"/>
        </w:rPr>
        <w:t xml:space="preserve"> </w:t>
      </w:r>
      <w:r w:rsidRPr="00847C9D">
        <w:rPr>
          <w:rFonts w:ascii="Garamond" w:hAnsi="Garamond" w:cstheme="majorHAnsi"/>
          <w:sz w:val="24"/>
          <w:szCs w:val="24"/>
        </w:rPr>
        <w:t>investigação.</w:t>
      </w:r>
    </w:p>
    <w:p w14:paraId="654A5B93" w14:textId="560125EF"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3º No ato de início da investigação, as partes interessadas serão informadas</w:t>
      </w:r>
      <w:r w:rsidR="001A429D">
        <w:rPr>
          <w:rFonts w:ascii="Garamond" w:hAnsi="Garamond" w:cstheme="majorHAnsi"/>
          <w:sz w:val="24"/>
          <w:szCs w:val="24"/>
        </w:rPr>
        <w:t xml:space="preserve"> </w:t>
      </w:r>
      <w:r w:rsidRPr="00847C9D">
        <w:rPr>
          <w:rFonts w:ascii="Garamond" w:hAnsi="Garamond" w:cstheme="majorHAnsi"/>
          <w:sz w:val="24"/>
          <w:szCs w:val="24"/>
        </w:rPr>
        <w:t>do país substituto que se pretende utilizar, e, no caso de discordância quanto à escolha do terceiro país, o produtor, o exportador ou o peticionário poderão sugerir terceiro país alternativo, desde que a sugestão seja devidamente justificada e seja apresentada, juntamente com os respectivos elementos de prova, dentro do prazo improrrogável de setenta dias, contado da data de início da investigação.</w:t>
      </w:r>
    </w:p>
    <w:p w14:paraId="70A80392"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4º A decisão final a respeito do terceiro país de economia de mercado a ser utilizado na investigação constará da determinação preliminar.</w:t>
      </w:r>
    </w:p>
    <w:p w14:paraId="5D46AB58"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16. No prazo previsto no § 3o do art. 15, o produtor ou exportador de um país não considerado economia de mercado pelo Brasil poderá apresentar elementos de prova com o intuito de permitir que o valor normal seja apurado com base no disposto nos arts. 8º a 14.</w:t>
      </w:r>
    </w:p>
    <w:p w14:paraId="4FF45063"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17. Os elementos de prova a que faz referência o art. 16 incluem informações relativas ao produtor ou exportador e ao setor econômico do qual o produtor ou exportador faz parte.</w:t>
      </w:r>
    </w:p>
    <w:p w14:paraId="6ABCBE4E"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1º As informações relativas ao produtor ou exportador devem permitir a comprovação de que:</w:t>
      </w:r>
    </w:p>
    <w:p w14:paraId="65DD9618" w14:textId="3593C57B"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1A429D">
        <w:rPr>
          <w:rFonts w:ascii="Garamond" w:hAnsi="Garamond" w:cstheme="majorHAnsi"/>
          <w:sz w:val="24"/>
          <w:szCs w:val="24"/>
        </w:rPr>
        <w:t xml:space="preserve"> </w:t>
      </w:r>
      <w:r w:rsidRPr="00847C9D">
        <w:rPr>
          <w:rFonts w:ascii="Garamond" w:hAnsi="Garamond" w:cstheme="majorHAnsi"/>
          <w:sz w:val="24"/>
          <w:szCs w:val="24"/>
        </w:rPr>
        <w:t>- as decisões do produtor ou exportador relativas a preços, custos e insumos, incluindo matérias-primas, tecnologia, mão de obra, produção, vendas e investimentos, se baseiam nas condições de oferta e de demanda, sem que haja interferência governamental significativa a esse respeito, e os custos dos principais insumos refletem substancialmente valores de mercado;</w:t>
      </w:r>
    </w:p>
    <w:p w14:paraId="00D3F5CF" w14:textId="3CD40982"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1A429D">
        <w:rPr>
          <w:rFonts w:ascii="Garamond" w:hAnsi="Garamond" w:cstheme="majorHAnsi"/>
          <w:sz w:val="24"/>
          <w:szCs w:val="24"/>
        </w:rPr>
        <w:t xml:space="preserve"> </w:t>
      </w:r>
      <w:r w:rsidRPr="00847C9D">
        <w:rPr>
          <w:rFonts w:ascii="Garamond" w:hAnsi="Garamond" w:cstheme="majorHAnsi"/>
          <w:sz w:val="24"/>
          <w:szCs w:val="24"/>
        </w:rPr>
        <w:t>- o produtor ou exportador possui um único sistema contábil interno, transparente e auditado de forma independente, com base em princípios internacionais de contabilidade;</w:t>
      </w:r>
    </w:p>
    <w:p w14:paraId="5E89A691" w14:textId="284381BA"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1A429D">
        <w:rPr>
          <w:rFonts w:ascii="Garamond" w:hAnsi="Garamond" w:cstheme="majorHAnsi"/>
          <w:sz w:val="24"/>
          <w:szCs w:val="24"/>
        </w:rPr>
        <w:t xml:space="preserve"> </w:t>
      </w:r>
      <w:r w:rsidRPr="00847C9D">
        <w:rPr>
          <w:rFonts w:ascii="Garamond" w:hAnsi="Garamond" w:cstheme="majorHAnsi"/>
          <w:sz w:val="24"/>
          <w:szCs w:val="24"/>
        </w:rPr>
        <w:t>- os custos de produção e a situação financeira do produtor ou exportador não estão sujeitos a distorções significativas oriundas de vínculos, atuais ou passados, estabelecidos com o governo fora de condições de mercado; e</w:t>
      </w:r>
    </w:p>
    <w:p w14:paraId="61C7F47F" w14:textId="72388F21"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IV- o produtor ou exportador está sujeito a leis de falência e de propriedade, assegurando segurança jurídica e estabilidade para a sua operação.</w:t>
      </w:r>
    </w:p>
    <w:p w14:paraId="4EFBA00D"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2º As informações relativas ao setor econômico do qual o produtor ou exportador faz parte devem permitir a comprovação de que:</w:t>
      </w:r>
    </w:p>
    <w:p w14:paraId="4A78421D" w14:textId="238D4A3F"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I</w:t>
      </w:r>
      <w:r w:rsidR="001A429D">
        <w:rPr>
          <w:rFonts w:ascii="Garamond" w:hAnsi="Garamond" w:cstheme="majorHAnsi"/>
          <w:sz w:val="24"/>
          <w:szCs w:val="24"/>
        </w:rPr>
        <w:t xml:space="preserve"> </w:t>
      </w:r>
      <w:r w:rsidRPr="00847C9D">
        <w:rPr>
          <w:rFonts w:ascii="Garamond" w:hAnsi="Garamond" w:cstheme="majorHAnsi"/>
          <w:sz w:val="24"/>
          <w:szCs w:val="24"/>
        </w:rPr>
        <w:t>- o envolvimento do governo na determinação das condições de produção ou na formação de preços, inclusive no que se refere à taxa de câmbio e às operações cambiais, é inexistente ou muito limitado;</w:t>
      </w:r>
    </w:p>
    <w:p w14:paraId="028D300D" w14:textId="520A69DE"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1A429D">
        <w:rPr>
          <w:rFonts w:ascii="Garamond" w:hAnsi="Garamond" w:cstheme="majorHAnsi"/>
          <w:sz w:val="24"/>
          <w:szCs w:val="24"/>
        </w:rPr>
        <w:t xml:space="preserve"> </w:t>
      </w:r>
      <w:r w:rsidRPr="00847C9D">
        <w:rPr>
          <w:rFonts w:ascii="Garamond" w:hAnsi="Garamond" w:cstheme="majorHAnsi"/>
          <w:sz w:val="24"/>
          <w:szCs w:val="24"/>
        </w:rPr>
        <w:t>- o setor opera de maneira primordialmente baseada em condições de mercado, inclusive no que diz respeito à livre determinação dos salários entre empregadores e empregados; e</w:t>
      </w:r>
    </w:p>
    <w:p w14:paraId="7D790A35" w14:textId="11DC80BE"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1A429D">
        <w:rPr>
          <w:rFonts w:ascii="Garamond" w:hAnsi="Garamond" w:cstheme="majorHAnsi"/>
          <w:sz w:val="24"/>
          <w:szCs w:val="24"/>
        </w:rPr>
        <w:t xml:space="preserve"> </w:t>
      </w:r>
      <w:r w:rsidRPr="00847C9D">
        <w:rPr>
          <w:rFonts w:ascii="Garamond" w:hAnsi="Garamond" w:cstheme="majorHAnsi"/>
          <w:sz w:val="24"/>
          <w:szCs w:val="24"/>
        </w:rPr>
        <w:t>- os preços que os produtores ou exportadores pagam pelos insumos principais e por boa parte dos insumos secundários utilizados na produção são determinados pela interação entre oferta e demanda.</w:t>
      </w:r>
    </w:p>
    <w:p w14:paraId="278988E5"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3º Constitui condição para que o valor normal seja apurado com base no disposto nos arts. 8º a 14 a determinação positiva relativa às condições estabelecidas neste artigo.</w:t>
      </w:r>
    </w:p>
    <w:p w14:paraId="62558A7D"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4º Determinações positivas relacionadas ao § 2º poderão ser válidas para futuras investigações sobre o mesmo produto.</w:t>
      </w:r>
    </w:p>
    <w:p w14:paraId="06AEBA53"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5º As informações elencadas nos § 1º e § 2º não constituem lista exaustiva e nenhuma delas, isoladamente ou em conjunto, será necessariamente capaz de fornecer indicação decisiva.</w:t>
      </w:r>
    </w:p>
    <w:p w14:paraId="782EBE9E" w14:textId="77777777" w:rsidR="00C12525" w:rsidRPr="00847C9D" w:rsidRDefault="00C12525" w:rsidP="00422F03">
      <w:pPr>
        <w:tabs>
          <w:tab w:val="left" w:pos="3105"/>
        </w:tabs>
        <w:jc w:val="both"/>
        <w:rPr>
          <w:rFonts w:ascii="Garamond" w:hAnsi="Garamond" w:cstheme="majorHAnsi"/>
          <w:sz w:val="24"/>
          <w:szCs w:val="24"/>
        </w:rPr>
      </w:pPr>
    </w:p>
    <w:p w14:paraId="3453A3A4" w14:textId="77777777" w:rsidR="00C12525" w:rsidRPr="008B294A" w:rsidRDefault="00C12525" w:rsidP="00554628">
      <w:pPr>
        <w:tabs>
          <w:tab w:val="left" w:pos="3105"/>
        </w:tabs>
        <w:spacing w:after="0" w:line="240" w:lineRule="auto"/>
        <w:jc w:val="center"/>
        <w:rPr>
          <w:rFonts w:ascii="Garamond" w:hAnsi="Garamond" w:cstheme="majorHAnsi"/>
          <w:b/>
          <w:sz w:val="24"/>
          <w:szCs w:val="24"/>
        </w:rPr>
      </w:pPr>
      <w:r w:rsidRPr="008B294A">
        <w:rPr>
          <w:rFonts w:ascii="Garamond" w:hAnsi="Garamond" w:cstheme="majorHAnsi"/>
          <w:b/>
          <w:sz w:val="24"/>
          <w:szCs w:val="24"/>
        </w:rPr>
        <w:t>Seção II</w:t>
      </w:r>
    </w:p>
    <w:p w14:paraId="07B9A851" w14:textId="77777777" w:rsidR="00C12525" w:rsidRPr="008B294A" w:rsidRDefault="00C12525" w:rsidP="00554628">
      <w:pPr>
        <w:tabs>
          <w:tab w:val="left" w:pos="3105"/>
        </w:tabs>
        <w:spacing w:after="0" w:line="240" w:lineRule="auto"/>
        <w:jc w:val="center"/>
        <w:rPr>
          <w:rFonts w:ascii="Garamond" w:hAnsi="Garamond" w:cstheme="majorHAnsi"/>
          <w:b/>
          <w:sz w:val="24"/>
          <w:szCs w:val="24"/>
        </w:rPr>
      </w:pPr>
      <w:r w:rsidRPr="008B294A">
        <w:rPr>
          <w:rFonts w:ascii="Garamond" w:hAnsi="Garamond" w:cstheme="majorHAnsi"/>
          <w:b/>
          <w:sz w:val="24"/>
          <w:szCs w:val="24"/>
        </w:rPr>
        <w:t>Do Preço de Exportação</w:t>
      </w:r>
    </w:p>
    <w:p w14:paraId="787AE7D1" w14:textId="77777777" w:rsidR="00C12525" w:rsidRDefault="00C12525" w:rsidP="00422F03">
      <w:pPr>
        <w:tabs>
          <w:tab w:val="left" w:pos="3105"/>
        </w:tabs>
        <w:jc w:val="both"/>
        <w:rPr>
          <w:rFonts w:ascii="Garamond" w:hAnsi="Garamond" w:cstheme="majorHAnsi"/>
          <w:sz w:val="24"/>
          <w:szCs w:val="24"/>
        </w:rPr>
      </w:pPr>
    </w:p>
    <w:p w14:paraId="1E1C2634"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18.   Caso o produtor seja o exportador do produto objeto da investigação, o preço de exportação será o recebido, ou o preço de exportação a receber, pelo produto exportado ao Brasil, líquido de tributos, descontos ou reduções efetivamente concedidos e diretamente relacionados com as vendas do produto objeto da investigação.</w:t>
      </w:r>
    </w:p>
    <w:p w14:paraId="4399361D"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19. Caso o produtor não seja o exportador e ambos não sejam partes associadas ou relacionadas, o preço de exportação será, preferencialmente, o recebido, ou o preço a ser recebido, pelo produtor, por produto exportado ao Brasil, líquido de tributos, descontos ou reduções efetivamente concedidos e diretamente relacionados com as vendas do produto objeto da investigação.</w:t>
      </w:r>
    </w:p>
    <w:p w14:paraId="75A55EED"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20. Na hipótese de o produtor e o exportador serem partes associadas ou relacionadas, o preço de exportação será reconstruído a partir do preço efetivamente recebido, ou o preço a receber, pelo exportador, por produto exportado ao Brasil.</w:t>
      </w:r>
    </w:p>
    <w:p w14:paraId="45FD6430"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21. Nos casos em que não exista preço de exportação ou em que este não pareça confiável em razão de associação ou relacionamento entre o produtor ou exportador e o importador ou uma terceira parte, ou de possuírem acordo compensatório entre si, o preço de exportação poderá ser construído a partir:</w:t>
      </w:r>
    </w:p>
    <w:p w14:paraId="24F94DAC" w14:textId="08E84090"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F31000">
        <w:rPr>
          <w:rFonts w:ascii="Garamond" w:hAnsi="Garamond" w:cstheme="majorHAnsi"/>
          <w:sz w:val="24"/>
          <w:szCs w:val="24"/>
        </w:rPr>
        <w:t xml:space="preserve"> </w:t>
      </w:r>
      <w:r w:rsidRPr="00847C9D">
        <w:rPr>
          <w:rFonts w:ascii="Garamond" w:hAnsi="Garamond" w:cstheme="majorHAnsi"/>
          <w:sz w:val="24"/>
          <w:szCs w:val="24"/>
        </w:rPr>
        <w:t>- do preço pelo qual os produtos importados foram revendidos pela primeira vez a um comprador independente; ou</w:t>
      </w:r>
    </w:p>
    <w:p w14:paraId="0B2576DC" w14:textId="23987126"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F31000">
        <w:rPr>
          <w:rFonts w:ascii="Garamond" w:hAnsi="Garamond" w:cstheme="majorHAnsi"/>
          <w:sz w:val="24"/>
          <w:szCs w:val="24"/>
        </w:rPr>
        <w:t xml:space="preserve"> </w:t>
      </w:r>
      <w:r w:rsidRPr="00847C9D">
        <w:rPr>
          <w:rFonts w:ascii="Garamond" w:hAnsi="Garamond" w:cstheme="majorHAnsi"/>
          <w:sz w:val="24"/>
          <w:szCs w:val="24"/>
        </w:rPr>
        <w:t>- de uma base considerada razoável, no caso de os produtos não serem revendidos a um comprador independente ou na mesma condição em que foram importados.</w:t>
      </w:r>
    </w:p>
    <w:p w14:paraId="374D9251"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w:t>
      </w:r>
    </w:p>
    <w:p w14:paraId="35F2F056" w14:textId="77777777" w:rsidR="00C12525" w:rsidRPr="00F37302" w:rsidRDefault="00C12525" w:rsidP="00554628">
      <w:pPr>
        <w:tabs>
          <w:tab w:val="left" w:pos="3105"/>
        </w:tabs>
        <w:spacing w:after="0" w:line="240" w:lineRule="auto"/>
        <w:jc w:val="center"/>
        <w:rPr>
          <w:rFonts w:ascii="Garamond" w:hAnsi="Garamond" w:cstheme="majorHAnsi"/>
          <w:b/>
          <w:sz w:val="24"/>
          <w:szCs w:val="24"/>
        </w:rPr>
      </w:pPr>
      <w:r w:rsidRPr="00F37302">
        <w:rPr>
          <w:rFonts w:ascii="Garamond" w:hAnsi="Garamond" w:cstheme="majorHAnsi"/>
          <w:b/>
          <w:sz w:val="24"/>
          <w:szCs w:val="24"/>
        </w:rPr>
        <w:t>Seção III</w:t>
      </w:r>
    </w:p>
    <w:p w14:paraId="43FAF4F3" w14:textId="77777777" w:rsidR="00C12525" w:rsidRPr="00F37302" w:rsidRDefault="00C12525" w:rsidP="00554628">
      <w:pPr>
        <w:tabs>
          <w:tab w:val="left" w:pos="3105"/>
        </w:tabs>
        <w:spacing w:after="0" w:line="240" w:lineRule="auto"/>
        <w:jc w:val="center"/>
        <w:rPr>
          <w:rFonts w:ascii="Garamond" w:hAnsi="Garamond" w:cstheme="majorHAnsi"/>
          <w:b/>
          <w:sz w:val="24"/>
          <w:szCs w:val="24"/>
        </w:rPr>
      </w:pPr>
      <w:r w:rsidRPr="00F37302">
        <w:rPr>
          <w:rFonts w:ascii="Garamond" w:hAnsi="Garamond" w:cstheme="majorHAnsi"/>
          <w:b/>
          <w:sz w:val="24"/>
          <w:szCs w:val="24"/>
        </w:rPr>
        <w:t>Da Comparação Entre Valor Normal e o Preço de Exportação</w:t>
      </w:r>
    </w:p>
    <w:p w14:paraId="0D93E2BA" w14:textId="77777777" w:rsidR="00C12525" w:rsidRPr="00847C9D" w:rsidRDefault="00C12525" w:rsidP="00422F03">
      <w:pPr>
        <w:tabs>
          <w:tab w:val="left" w:pos="3105"/>
        </w:tabs>
        <w:jc w:val="both"/>
        <w:rPr>
          <w:rFonts w:ascii="Garamond" w:hAnsi="Garamond" w:cstheme="majorHAnsi"/>
          <w:sz w:val="24"/>
          <w:szCs w:val="24"/>
        </w:rPr>
      </w:pPr>
    </w:p>
    <w:p w14:paraId="7D6DA1E1"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22. Será efetuada comparação justa entre o preço de exportação e o valor normal, no mesmo nível de comércio, normalmente no termo de venda ex fabrica, considerando as vendas realizadas no período de investigação de dumping.</w:t>
      </w:r>
    </w:p>
    <w:p w14:paraId="71E82A4C"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1º As partes interessadas serão comunicadas quanto ao tipo de informação necessária para assegurar comparação justa, não lhes sendo exigido excessivo ônus de prova.</w:t>
      </w:r>
    </w:p>
    <w:p w14:paraId="72ABA5A9"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2º Serão examinadas para fins de ajuste, caso a caso, diferenças que afetem a comparação de preços, entre elas diferenças:</w:t>
      </w:r>
    </w:p>
    <w:p w14:paraId="019E0DC3" w14:textId="77777777" w:rsidR="00F37302"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I - nas condições e nos termos de vendas; </w:t>
      </w:r>
    </w:p>
    <w:p w14:paraId="3DFF2E92" w14:textId="036CD7C3"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 - na tributação;</w:t>
      </w:r>
    </w:p>
    <w:p w14:paraId="01AA595B"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 - nos níveis de comércio; IV - nas quantidades;</w:t>
      </w:r>
    </w:p>
    <w:p w14:paraId="7F32A204" w14:textId="2557C791"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w:t>
      </w:r>
      <w:r w:rsidR="00F37302">
        <w:rPr>
          <w:rFonts w:ascii="Garamond" w:hAnsi="Garamond" w:cstheme="majorHAnsi"/>
          <w:sz w:val="24"/>
          <w:szCs w:val="24"/>
        </w:rPr>
        <w:t xml:space="preserve"> </w:t>
      </w:r>
      <w:r w:rsidRPr="00847C9D">
        <w:rPr>
          <w:rFonts w:ascii="Garamond" w:hAnsi="Garamond" w:cstheme="majorHAnsi"/>
          <w:sz w:val="24"/>
          <w:szCs w:val="24"/>
        </w:rPr>
        <w:t>- nas características físicas; e</w:t>
      </w:r>
    </w:p>
    <w:p w14:paraId="547E68DE" w14:textId="7B93EF5D"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VI</w:t>
      </w:r>
      <w:r w:rsidR="00F37302">
        <w:rPr>
          <w:rFonts w:ascii="Garamond" w:hAnsi="Garamond" w:cstheme="majorHAnsi"/>
          <w:sz w:val="24"/>
          <w:szCs w:val="24"/>
        </w:rPr>
        <w:t xml:space="preserve"> </w:t>
      </w:r>
      <w:r w:rsidRPr="00847C9D">
        <w:rPr>
          <w:rFonts w:ascii="Garamond" w:hAnsi="Garamond" w:cstheme="majorHAnsi"/>
          <w:sz w:val="24"/>
          <w:szCs w:val="24"/>
        </w:rPr>
        <w:t>- outras quaisquer que comprovadamente afetem a comparação de preços.</w:t>
      </w:r>
    </w:p>
    <w:p w14:paraId="1089E3F1"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3º É desnecessária a duplicação de ajustes quando mais de um fator referido no § 2º incidir cumulativamente.</w:t>
      </w:r>
    </w:p>
    <w:p w14:paraId="14FA5F7B"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4º Para fins de aplicação do art. 21, serão também efetuados ajustes em função de despesas e de custos incorridos entre a importação e a revenda, incluídos o Imposto de Importação, demais tributos, e dos lucros auferidos.</w:t>
      </w:r>
    </w:p>
    <w:p w14:paraId="642DBDBC"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5º Nas hipóteses previstas no art. 21, se a comparação tiver sido afetada, o valor normal será estabelecido no nível de comércio equivalente àquele do preço de exportação construído, ou poderão ser feitos os ajustes previstos neste artigo.</w:t>
      </w:r>
    </w:p>
    <w:p w14:paraId="49D4BD26"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6º O valor do ajuste será calculado com base nos dados pertinentes relativos ao período de investigação de dumping ou nos dados do último exercício fiscal disponível.</w:t>
      </w:r>
    </w:p>
    <w:p w14:paraId="3AAB3FE9"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23. Na hipótese de a comparação de preços prevista no caput do art. 22 exigir conversão cambial, será utilizada a taxa de câmbio oficial, publicada pelo Banco Central do Brasil, em vigor na data da venda.</w:t>
      </w:r>
    </w:p>
    <w:p w14:paraId="56BF9533"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1º Quando ocorrer venda de moeda estrangeira em mercados futuros, diretamente ligada à exportação sob investigação, será utilizada a taxa de câmbio adotada na venda futura.</w:t>
      </w:r>
    </w:p>
    <w:p w14:paraId="0ECBBCBE"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2º Caso a taxa de câmbio oficial em vigor na data da venda esteja fora de uma faixa de flutuação de mais ou menos dois por cento com relação à média das taxas de câmbio oficiais diárias dos sessenta dias anteriores - taxa de câmbio de referência, será utilizada a taxa de câmbio oficial diária média dos sessenta dias anteriores.</w:t>
      </w:r>
    </w:p>
    <w:p w14:paraId="39147820"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3º Caso a média semanal da taxa de câmbio oficial diária seja superior ou inferior à média semanal das taxas de câmbio de referência em cinco por cento ou mais durante oito semanas consecutivas, será considerado que há movimento sustentado da taxa de câmbio.</w:t>
      </w:r>
    </w:p>
    <w:p w14:paraId="615138D1"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4º Caracterizado o movimento referido no § 3o, será utilizada, por um período de sessenta dias, a taxa de câmbio de referência do último dia antes de se caracterizar o movimento sustentado.</w:t>
      </w:r>
    </w:p>
    <w:p w14:paraId="32BA0516" w14:textId="565AA3CA" w:rsidR="00C12525" w:rsidRPr="00847C9D" w:rsidRDefault="00C12525" w:rsidP="00422F03">
      <w:pPr>
        <w:tabs>
          <w:tab w:val="left" w:pos="3105"/>
        </w:tabs>
        <w:jc w:val="both"/>
        <w:rPr>
          <w:rFonts w:ascii="Garamond" w:hAnsi="Garamond" w:cstheme="majorHAnsi"/>
          <w:sz w:val="24"/>
          <w:szCs w:val="24"/>
        </w:rPr>
      </w:pPr>
      <w:r w:rsidRPr="00395593">
        <w:rPr>
          <w:rFonts w:ascii="Garamond" w:hAnsi="Garamond" w:cstheme="majorHAnsi"/>
        </w:rPr>
        <w:t xml:space="preserve"> </w:t>
      </w:r>
      <w:r w:rsidRPr="00847C9D">
        <w:rPr>
          <w:rFonts w:ascii="Garamond" w:hAnsi="Garamond" w:cstheme="majorHAnsi"/>
          <w:sz w:val="24"/>
          <w:szCs w:val="24"/>
        </w:rPr>
        <w:t>§ 5º Preferencialmente, a data da venda será a data do contrato, da ordem de compra ou da aceitação do pedido ou emissão da fatura, utilizando-se, dentre esses documentos, aquele que estabeleça as condições da operação.</w:t>
      </w:r>
    </w:p>
    <w:p w14:paraId="3ACE34F9"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24. O valor normal não será apurado com base nas informações relativas ao país de origem declarado do produto objeto da investigação quando, dentre outros:</w:t>
      </w:r>
    </w:p>
    <w:p w14:paraId="13D30BFA"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 - ocorrer mero trânsito do produto nesse país; II - o produto não for produzido nesse país; ou</w:t>
      </w:r>
    </w:p>
    <w:p w14:paraId="227F2F4B"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 - não houver preço comparável para o produto nesse país.</w:t>
      </w:r>
    </w:p>
    <w:p w14:paraId="0EDE2CCD" w14:textId="77777777" w:rsidR="00C12525" w:rsidRPr="00F37302" w:rsidRDefault="00C12525" w:rsidP="00554628">
      <w:pPr>
        <w:tabs>
          <w:tab w:val="left" w:pos="3105"/>
        </w:tabs>
        <w:spacing w:after="0" w:line="240" w:lineRule="auto"/>
        <w:jc w:val="center"/>
        <w:rPr>
          <w:rFonts w:ascii="Garamond" w:hAnsi="Garamond" w:cstheme="majorHAnsi"/>
          <w:b/>
          <w:sz w:val="24"/>
          <w:szCs w:val="24"/>
        </w:rPr>
      </w:pPr>
      <w:r w:rsidRPr="00F37302">
        <w:rPr>
          <w:rFonts w:ascii="Garamond" w:hAnsi="Garamond" w:cstheme="majorHAnsi"/>
          <w:b/>
          <w:sz w:val="24"/>
          <w:szCs w:val="24"/>
        </w:rPr>
        <w:t>Seção IV</w:t>
      </w:r>
    </w:p>
    <w:p w14:paraId="7C697A4D" w14:textId="77777777" w:rsidR="00C12525" w:rsidRPr="00F37302" w:rsidRDefault="00C12525" w:rsidP="00554628">
      <w:pPr>
        <w:tabs>
          <w:tab w:val="left" w:pos="3105"/>
        </w:tabs>
        <w:spacing w:after="0" w:line="240" w:lineRule="auto"/>
        <w:jc w:val="center"/>
        <w:rPr>
          <w:rFonts w:ascii="Garamond" w:hAnsi="Garamond" w:cstheme="majorHAnsi"/>
          <w:b/>
          <w:sz w:val="24"/>
          <w:szCs w:val="24"/>
        </w:rPr>
      </w:pPr>
      <w:r w:rsidRPr="00F37302">
        <w:rPr>
          <w:rFonts w:ascii="Garamond" w:hAnsi="Garamond" w:cstheme="majorHAnsi"/>
          <w:b/>
          <w:sz w:val="24"/>
          <w:szCs w:val="24"/>
        </w:rPr>
        <w:t>Da Margem deDumping</w:t>
      </w:r>
    </w:p>
    <w:p w14:paraId="7585E743" w14:textId="77777777" w:rsidR="00C12525" w:rsidRPr="00847C9D" w:rsidRDefault="00C12525" w:rsidP="00422F03">
      <w:pPr>
        <w:tabs>
          <w:tab w:val="left" w:pos="3105"/>
        </w:tabs>
        <w:jc w:val="both"/>
        <w:rPr>
          <w:rFonts w:ascii="Garamond" w:hAnsi="Garamond" w:cstheme="majorHAnsi"/>
          <w:sz w:val="24"/>
          <w:szCs w:val="24"/>
        </w:rPr>
      </w:pPr>
    </w:p>
    <w:p w14:paraId="2D05E8F5"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25. A margem de dumping constitui a diferença entre o valor normal e o preço de exportação.</w:t>
      </w:r>
    </w:p>
    <w:p w14:paraId="214C5841"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26. A margem de dumping será apurada com base na comparação entre:</w:t>
      </w:r>
    </w:p>
    <w:p w14:paraId="08E26725" w14:textId="1B81ABAC"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B1130D">
        <w:rPr>
          <w:rFonts w:ascii="Garamond" w:hAnsi="Garamond" w:cstheme="majorHAnsi"/>
          <w:sz w:val="24"/>
          <w:szCs w:val="24"/>
        </w:rPr>
        <w:t xml:space="preserve"> </w:t>
      </w:r>
      <w:r w:rsidRPr="00847C9D">
        <w:rPr>
          <w:rFonts w:ascii="Garamond" w:hAnsi="Garamond" w:cstheme="majorHAnsi"/>
          <w:sz w:val="24"/>
          <w:szCs w:val="24"/>
        </w:rPr>
        <w:t>- o valor normal médio ponderado e a média ponderada dos preços de todas as transações comparáveis de exportação; ou</w:t>
      </w:r>
    </w:p>
    <w:p w14:paraId="1F3149C7" w14:textId="2E25A8E5"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B1130D">
        <w:rPr>
          <w:rFonts w:ascii="Garamond" w:hAnsi="Garamond" w:cstheme="majorHAnsi"/>
          <w:sz w:val="24"/>
          <w:szCs w:val="24"/>
        </w:rPr>
        <w:t xml:space="preserve"> </w:t>
      </w:r>
      <w:r w:rsidRPr="00847C9D">
        <w:rPr>
          <w:rFonts w:ascii="Garamond" w:hAnsi="Garamond" w:cstheme="majorHAnsi"/>
          <w:sz w:val="24"/>
          <w:szCs w:val="24"/>
        </w:rPr>
        <w:t>- os valores normais e os preços de exportação, comparados transação a</w:t>
      </w:r>
      <w:r w:rsidR="00B1130D">
        <w:rPr>
          <w:rFonts w:ascii="Garamond" w:hAnsi="Garamond" w:cstheme="majorHAnsi"/>
          <w:sz w:val="24"/>
          <w:szCs w:val="24"/>
        </w:rPr>
        <w:t xml:space="preserve"> </w:t>
      </w:r>
      <w:r w:rsidRPr="00847C9D">
        <w:rPr>
          <w:rFonts w:ascii="Garamond" w:hAnsi="Garamond" w:cstheme="majorHAnsi"/>
          <w:sz w:val="24"/>
          <w:szCs w:val="24"/>
        </w:rPr>
        <w:t>transação.</w:t>
      </w:r>
    </w:p>
    <w:p w14:paraId="23815BC1" w14:textId="32301A62"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1º Nas hipóteses de que tratam os incisos I e II do caput, o cálculo da</w:t>
      </w:r>
      <w:r w:rsidR="00B1130D">
        <w:rPr>
          <w:rFonts w:ascii="Garamond" w:hAnsi="Garamond" w:cstheme="majorHAnsi"/>
          <w:sz w:val="24"/>
          <w:szCs w:val="24"/>
        </w:rPr>
        <w:t xml:space="preserve"> </w:t>
      </w:r>
      <w:r w:rsidRPr="00847C9D">
        <w:rPr>
          <w:rFonts w:ascii="Garamond" w:hAnsi="Garamond" w:cstheme="majorHAnsi"/>
          <w:sz w:val="24"/>
          <w:szCs w:val="24"/>
        </w:rPr>
        <w:t>margem de dumping deverá incluir a totalidade das vendas para o Brasil do produto objeto da investigação, somando-se resultados positivos e negativos apurados para diferentes transações ou modelos.</w:t>
      </w:r>
    </w:p>
    <w:p w14:paraId="34A9C19F"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2º Um valor normal estabelecido por meio de média ponderada poderá ser comparado com preços individuais de exportação caso determinada a existência de um padrão de preços de exportação que difira significativamente entre diferentes compradores, regiões ou períodos de tempo e caso seja apresentada explicação sobre a razão pela qual tais diferenças não podem ser adequadamente consideradas por meio da adoção das metodologias de que tratam os incisos I e II do caput.</w:t>
      </w:r>
    </w:p>
    <w:p w14:paraId="6F75C7AD" w14:textId="77777777" w:rsidR="00C12525" w:rsidRPr="00847C9D" w:rsidRDefault="00C12525" w:rsidP="00422F03">
      <w:pPr>
        <w:tabs>
          <w:tab w:val="left" w:pos="3105"/>
        </w:tabs>
        <w:jc w:val="both"/>
        <w:rPr>
          <w:rFonts w:ascii="Garamond" w:hAnsi="Garamond" w:cstheme="majorHAnsi"/>
          <w:sz w:val="24"/>
          <w:szCs w:val="24"/>
        </w:rPr>
      </w:pPr>
    </w:p>
    <w:p w14:paraId="2E103021" w14:textId="3C41322D" w:rsidR="00C12525" w:rsidRPr="00847C9D" w:rsidRDefault="00C12525" w:rsidP="00160E77">
      <w:pPr>
        <w:tabs>
          <w:tab w:val="left" w:pos="3105"/>
          <w:tab w:val="left" w:pos="7530"/>
        </w:tabs>
        <w:jc w:val="both"/>
        <w:rPr>
          <w:rFonts w:ascii="Garamond" w:hAnsi="Garamond" w:cstheme="majorHAnsi"/>
          <w:sz w:val="24"/>
          <w:szCs w:val="24"/>
        </w:rPr>
      </w:pPr>
      <w:r w:rsidRPr="00847C9D">
        <w:rPr>
          <w:rFonts w:ascii="Garamond" w:hAnsi="Garamond" w:cstheme="majorHAnsi"/>
          <w:sz w:val="24"/>
          <w:szCs w:val="24"/>
        </w:rPr>
        <w:t>Art. 27. Preferencialmente, será determinada margem individual de dumping</w:t>
      </w:r>
      <w:r w:rsidR="00160E77">
        <w:rPr>
          <w:rFonts w:ascii="Garamond" w:hAnsi="Garamond" w:cstheme="majorHAnsi"/>
          <w:sz w:val="24"/>
          <w:szCs w:val="24"/>
        </w:rPr>
        <w:t xml:space="preserve"> </w:t>
      </w:r>
      <w:r w:rsidRPr="00847C9D">
        <w:rPr>
          <w:rFonts w:ascii="Garamond" w:hAnsi="Garamond" w:cstheme="majorHAnsi"/>
          <w:sz w:val="24"/>
          <w:szCs w:val="24"/>
        </w:rPr>
        <w:t>para cada um dos produtores ou exportadores conhecidos do produto objeto da investigação.</w:t>
      </w:r>
    </w:p>
    <w:p w14:paraId="000846EE"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28. Caso o número excessivo de exportadores, produtores, importadores ou modelos do produto objeto da investigação torne impraticável a determinação a que se refere o art. 27, a determinação individual poderá limitar-se a:</w:t>
      </w:r>
    </w:p>
    <w:p w14:paraId="5895BC6D" w14:textId="159DB6B4"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160E77">
        <w:rPr>
          <w:rFonts w:ascii="Garamond" w:hAnsi="Garamond" w:cstheme="majorHAnsi"/>
          <w:sz w:val="24"/>
          <w:szCs w:val="24"/>
        </w:rPr>
        <w:t xml:space="preserve"> </w:t>
      </w:r>
      <w:r w:rsidRPr="00847C9D">
        <w:rPr>
          <w:rFonts w:ascii="Garamond" w:hAnsi="Garamond" w:cstheme="majorHAnsi"/>
          <w:sz w:val="24"/>
          <w:szCs w:val="24"/>
        </w:rPr>
        <w:t>- amostra estatisticamente válida que inclua número razoável de partes interessadas ou modelos de produto, baseada nas informações disponíveis no momento da seleção; ou</w:t>
      </w:r>
    </w:p>
    <w:p w14:paraId="036A82A3" w14:textId="243AF29F"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160E77">
        <w:rPr>
          <w:rFonts w:ascii="Garamond" w:hAnsi="Garamond" w:cstheme="majorHAnsi"/>
          <w:sz w:val="24"/>
          <w:szCs w:val="24"/>
        </w:rPr>
        <w:t xml:space="preserve"> </w:t>
      </w:r>
      <w:r w:rsidRPr="00847C9D">
        <w:rPr>
          <w:rFonts w:ascii="Garamond" w:hAnsi="Garamond" w:cstheme="majorHAnsi"/>
          <w:sz w:val="24"/>
          <w:szCs w:val="24"/>
        </w:rPr>
        <w:t>- seleção dos produtores ou exportadores responsáveis pelo maior percentual razoavelmente investigável do volume de exportações do país exportador.</w:t>
      </w:r>
    </w:p>
    <w:p w14:paraId="1745ECE6"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w:t>
      </w:r>
    </w:p>
    <w:p w14:paraId="469405C7" w14:textId="0BD7DD2B"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1º A seleção referida no inciso II do caput incluirá os produtores ou exportadores que, elencados em ordem decrescente de volume, forem responsáveis pelos maiores volumes de exportação para o Brasil.</w:t>
      </w:r>
    </w:p>
    <w:p w14:paraId="37AE805B"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2º No caso do inciso II do caput, os produtores ou exportadores que solicitem sua exclusão da seleção depois de terem confirmado sua participação ou que deixem de responder ao questionário poderão ter a margem de dumping apurada com base na melhor informação disponível.</w:t>
      </w:r>
    </w:p>
    <w:p w14:paraId="3C7EED77"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3º O DECOM poderá incluir, a seu critério, outro produtor ou exportador na seleção referida no inciso II do caput.</w:t>
      </w:r>
    </w:p>
    <w:p w14:paraId="6C68AFDE"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4º Qualquer seleção de produtores ou exportadores, importadores ou tipos de produto feita em conformidade ao disposto no inciso II do caput será efetuada, preferencialmente, após terem sido consultados os produtores, os exportadores ou os importadores e obtida a sua anuência.</w:t>
      </w:r>
    </w:p>
    <w:p w14:paraId="072FB5FD"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5º O governo do país exportador poderá manifestar-se a respeito da seleção com o objetivo de esclarecer se as empresas selecionadas são exportadoras, trading companies ou produtoras do produto objeto da investigação, no prazo de até dez dias, contado da data de ciência da notificação de início da investigação.</w:t>
      </w:r>
    </w:p>
    <w:p w14:paraId="4C655266"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6º Será também determinada margem individual de dumping  para cada produtor ou exportador que, não tendo sido incluído na seleção, apresente a informação necessária a tempo de ser considerada durante a investigação.</w:t>
      </w:r>
    </w:p>
    <w:p w14:paraId="6616E254"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7º Não se aplica o disposto no § 6º nas situações em que o número de exportadores ou produtores seja de tal modo elevado que a análise de casos individuais impeça a conclusão da investigação nos prazos estabelecidos.</w:t>
      </w:r>
    </w:p>
    <w:p w14:paraId="16F5911A"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8º É vedada qualquer forma de desestímulo à apresentação de informação referida no §6º.</w:t>
      </w:r>
    </w:p>
    <w:p w14:paraId="65CC4B17"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9º Para fins de determinação de margem individual de dumping e de aplicação de direitos antidumping, pessoas jurídicas distintas poderão ser tratadas como um único produtor ou exportador quando demonstrado que a relação estrutural e comercial das entidades entre si, ou com uma terceira entidade, é próxima o suficiente.</w:t>
      </w:r>
    </w:p>
    <w:p w14:paraId="12E539A1" w14:textId="77777777" w:rsidR="00C12525" w:rsidRPr="00160E77" w:rsidRDefault="00C12525" w:rsidP="00554628">
      <w:pPr>
        <w:tabs>
          <w:tab w:val="left" w:pos="3105"/>
        </w:tabs>
        <w:spacing w:after="0" w:line="240" w:lineRule="auto"/>
        <w:jc w:val="center"/>
        <w:rPr>
          <w:rFonts w:ascii="Garamond" w:hAnsi="Garamond" w:cstheme="majorHAnsi"/>
          <w:b/>
          <w:sz w:val="24"/>
          <w:szCs w:val="24"/>
        </w:rPr>
      </w:pPr>
      <w:r w:rsidRPr="00160E77">
        <w:rPr>
          <w:rFonts w:ascii="Garamond" w:hAnsi="Garamond" w:cstheme="majorHAnsi"/>
          <w:b/>
          <w:sz w:val="24"/>
          <w:szCs w:val="24"/>
        </w:rPr>
        <w:t>CAPÍTULO III</w:t>
      </w:r>
    </w:p>
    <w:p w14:paraId="7EE09732" w14:textId="224A27C2" w:rsidR="00C12525" w:rsidRPr="00160E77" w:rsidRDefault="00C12525" w:rsidP="00554628">
      <w:pPr>
        <w:tabs>
          <w:tab w:val="left" w:pos="3105"/>
        </w:tabs>
        <w:spacing w:after="0" w:line="240" w:lineRule="auto"/>
        <w:jc w:val="center"/>
        <w:rPr>
          <w:rFonts w:ascii="Garamond" w:hAnsi="Garamond" w:cstheme="majorHAnsi"/>
          <w:b/>
          <w:sz w:val="24"/>
          <w:szCs w:val="24"/>
        </w:rPr>
      </w:pPr>
      <w:r w:rsidRPr="00160E77">
        <w:rPr>
          <w:rFonts w:ascii="Garamond" w:hAnsi="Garamond" w:cstheme="majorHAnsi"/>
          <w:b/>
          <w:sz w:val="24"/>
          <w:szCs w:val="24"/>
        </w:rPr>
        <w:t>DA DETERMINAÇÃO DO DANO</w:t>
      </w:r>
    </w:p>
    <w:p w14:paraId="11E3F4C7" w14:textId="77777777" w:rsidR="00554628" w:rsidRPr="005C5CBD" w:rsidRDefault="00554628" w:rsidP="00554628">
      <w:pPr>
        <w:tabs>
          <w:tab w:val="left" w:pos="3105"/>
        </w:tabs>
        <w:spacing w:after="0" w:line="240" w:lineRule="auto"/>
        <w:jc w:val="center"/>
        <w:rPr>
          <w:rFonts w:ascii="Garamond" w:hAnsi="Garamond" w:cstheme="majorHAnsi"/>
          <w:b/>
          <w:sz w:val="24"/>
          <w:szCs w:val="24"/>
        </w:rPr>
      </w:pPr>
    </w:p>
    <w:p w14:paraId="091564D6"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29. Para os fins deste Decreto, considera-se dano: I - o dano material à indústria doméstica;</w:t>
      </w:r>
    </w:p>
    <w:p w14:paraId="14CA0909" w14:textId="56A0B17F"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160E77">
        <w:rPr>
          <w:rFonts w:ascii="Garamond" w:hAnsi="Garamond" w:cstheme="majorHAnsi"/>
          <w:sz w:val="24"/>
          <w:szCs w:val="24"/>
        </w:rPr>
        <w:t xml:space="preserve"> </w:t>
      </w:r>
      <w:r w:rsidRPr="00847C9D">
        <w:rPr>
          <w:rFonts w:ascii="Garamond" w:hAnsi="Garamond" w:cstheme="majorHAnsi"/>
          <w:sz w:val="24"/>
          <w:szCs w:val="24"/>
        </w:rPr>
        <w:t>- a ameaça de dano material à indústria doméstica; ou</w:t>
      </w:r>
    </w:p>
    <w:p w14:paraId="25C966F4" w14:textId="00D049DE"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160E77">
        <w:rPr>
          <w:rFonts w:ascii="Garamond" w:hAnsi="Garamond" w:cstheme="majorHAnsi"/>
          <w:sz w:val="24"/>
          <w:szCs w:val="24"/>
        </w:rPr>
        <w:t xml:space="preserve"> </w:t>
      </w:r>
      <w:r w:rsidRPr="00847C9D">
        <w:rPr>
          <w:rFonts w:ascii="Garamond" w:hAnsi="Garamond" w:cstheme="majorHAnsi"/>
          <w:sz w:val="24"/>
          <w:szCs w:val="24"/>
        </w:rPr>
        <w:t>- o atraso material na implantação da indústria doméstica.</w:t>
      </w:r>
    </w:p>
    <w:p w14:paraId="4297CDE6" w14:textId="7311FC88"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30.A determinação de dano será baseada em elementos de prova e incluirá o exame objetivo do:</w:t>
      </w:r>
    </w:p>
    <w:p w14:paraId="54C2B5B6" w14:textId="30857486"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160E77">
        <w:rPr>
          <w:rFonts w:ascii="Garamond" w:hAnsi="Garamond" w:cstheme="majorHAnsi"/>
          <w:sz w:val="24"/>
          <w:szCs w:val="24"/>
        </w:rPr>
        <w:t xml:space="preserve"> </w:t>
      </w:r>
      <w:r w:rsidRPr="00847C9D">
        <w:rPr>
          <w:rFonts w:ascii="Garamond" w:hAnsi="Garamond" w:cstheme="majorHAnsi"/>
          <w:sz w:val="24"/>
          <w:szCs w:val="24"/>
        </w:rPr>
        <w:t>- volume das importações objeto de dumping;</w:t>
      </w:r>
    </w:p>
    <w:p w14:paraId="4CC1FA0F" w14:textId="7EBF8D36"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160E77">
        <w:rPr>
          <w:rFonts w:ascii="Garamond" w:hAnsi="Garamond" w:cstheme="majorHAnsi"/>
          <w:sz w:val="24"/>
          <w:szCs w:val="24"/>
        </w:rPr>
        <w:t xml:space="preserve"> </w:t>
      </w:r>
      <w:r w:rsidRPr="00847C9D">
        <w:rPr>
          <w:rFonts w:ascii="Garamond" w:hAnsi="Garamond" w:cstheme="majorHAnsi"/>
          <w:sz w:val="24"/>
          <w:szCs w:val="24"/>
        </w:rPr>
        <w:t>- efeito das importações objeto de dumping sobre os preços do produto similar no mercado brasileiro; e</w:t>
      </w:r>
    </w:p>
    <w:p w14:paraId="48A2DD5A" w14:textId="1FED69F6"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160E77">
        <w:rPr>
          <w:rFonts w:ascii="Garamond" w:hAnsi="Garamond" w:cstheme="majorHAnsi"/>
          <w:sz w:val="24"/>
          <w:szCs w:val="24"/>
        </w:rPr>
        <w:t xml:space="preserve"> </w:t>
      </w:r>
      <w:r w:rsidRPr="00847C9D">
        <w:rPr>
          <w:rFonts w:ascii="Garamond" w:hAnsi="Garamond" w:cstheme="majorHAnsi"/>
          <w:sz w:val="24"/>
          <w:szCs w:val="24"/>
        </w:rPr>
        <w:t>- consequente impacto de tais importações sobre a indústria doméstica.</w:t>
      </w:r>
    </w:p>
    <w:p w14:paraId="7A03AC59"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w:t>
      </w:r>
    </w:p>
    <w:p w14:paraId="0481FC51" w14:textId="1F376D60"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1º No exame do referido no inciso I do caput, será considerado se houve aumento significativo das importações nessas condições, tanto em termos absolutos quanto em relação à produção ou ao consumo no Brasil.</w:t>
      </w:r>
    </w:p>
    <w:p w14:paraId="09B95E56"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2º No exame do referido no inciso II do caput, será considerado se:</w:t>
      </w:r>
    </w:p>
    <w:p w14:paraId="5CF983EA" w14:textId="4DEB76FE"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160E77">
        <w:rPr>
          <w:rFonts w:ascii="Garamond" w:hAnsi="Garamond" w:cstheme="majorHAnsi"/>
          <w:sz w:val="24"/>
          <w:szCs w:val="24"/>
        </w:rPr>
        <w:t xml:space="preserve"> </w:t>
      </w:r>
      <w:r w:rsidRPr="00847C9D">
        <w:rPr>
          <w:rFonts w:ascii="Garamond" w:hAnsi="Garamond" w:cstheme="majorHAnsi"/>
          <w:sz w:val="24"/>
          <w:szCs w:val="24"/>
        </w:rPr>
        <w:t>- houve subcotação significativa do preço das importações objeto de</w:t>
      </w:r>
      <w:r w:rsidR="00160E77">
        <w:rPr>
          <w:rFonts w:ascii="Garamond" w:hAnsi="Garamond" w:cstheme="majorHAnsi"/>
          <w:sz w:val="24"/>
          <w:szCs w:val="24"/>
        </w:rPr>
        <w:t xml:space="preserve"> </w:t>
      </w:r>
      <w:r w:rsidRPr="00847C9D">
        <w:rPr>
          <w:rFonts w:ascii="Garamond" w:hAnsi="Garamond" w:cstheme="majorHAnsi"/>
          <w:sz w:val="24"/>
          <w:szCs w:val="24"/>
        </w:rPr>
        <w:t>dumping em relação ao preço do produto similar no Brasil;</w:t>
      </w:r>
    </w:p>
    <w:p w14:paraId="0B85ACC8" w14:textId="071C6F7A"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160E77">
        <w:rPr>
          <w:rFonts w:ascii="Garamond" w:hAnsi="Garamond" w:cstheme="majorHAnsi"/>
          <w:sz w:val="24"/>
          <w:szCs w:val="24"/>
        </w:rPr>
        <w:t xml:space="preserve"> </w:t>
      </w:r>
      <w:r w:rsidRPr="00847C9D">
        <w:rPr>
          <w:rFonts w:ascii="Garamond" w:hAnsi="Garamond" w:cstheme="majorHAnsi"/>
          <w:sz w:val="24"/>
          <w:szCs w:val="24"/>
        </w:rPr>
        <w:t>- tais importações tiveram por efeito deprimir significativamente os preços;</w:t>
      </w:r>
      <w:r w:rsidR="00160E77">
        <w:rPr>
          <w:rFonts w:ascii="Garamond" w:hAnsi="Garamond" w:cstheme="majorHAnsi"/>
          <w:sz w:val="24"/>
          <w:szCs w:val="24"/>
        </w:rPr>
        <w:t xml:space="preserve"> </w:t>
      </w:r>
      <w:r w:rsidRPr="00847C9D">
        <w:rPr>
          <w:rFonts w:ascii="Garamond" w:hAnsi="Garamond" w:cstheme="majorHAnsi"/>
          <w:sz w:val="24"/>
          <w:szCs w:val="24"/>
        </w:rPr>
        <w:t>ou</w:t>
      </w:r>
    </w:p>
    <w:p w14:paraId="6160571F" w14:textId="0C6977A2"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160E77">
        <w:rPr>
          <w:rFonts w:ascii="Garamond" w:hAnsi="Garamond" w:cstheme="majorHAnsi"/>
          <w:sz w:val="24"/>
          <w:szCs w:val="24"/>
        </w:rPr>
        <w:t xml:space="preserve"> </w:t>
      </w:r>
      <w:r w:rsidRPr="00847C9D">
        <w:rPr>
          <w:rFonts w:ascii="Garamond" w:hAnsi="Garamond" w:cstheme="majorHAnsi"/>
          <w:sz w:val="24"/>
          <w:szCs w:val="24"/>
        </w:rPr>
        <w:t>- tais importações tiveram por efeito suprimir significativamente aumento</w:t>
      </w:r>
      <w:r w:rsidR="00160E77">
        <w:rPr>
          <w:rFonts w:ascii="Garamond" w:hAnsi="Garamond" w:cstheme="majorHAnsi"/>
          <w:sz w:val="24"/>
          <w:szCs w:val="24"/>
        </w:rPr>
        <w:t xml:space="preserve"> </w:t>
      </w:r>
      <w:r w:rsidRPr="00847C9D">
        <w:rPr>
          <w:rFonts w:ascii="Garamond" w:hAnsi="Garamond" w:cstheme="majorHAnsi"/>
          <w:sz w:val="24"/>
          <w:szCs w:val="24"/>
        </w:rPr>
        <w:t>de preços que teria ocorrido na ausência de tais importações.</w:t>
      </w:r>
    </w:p>
    <w:p w14:paraId="47FB32D4"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3º O exame do impacto das importações objeto de dumping sobre a indústria doméstica incluirá avaliação de todos os fatores e índices econômicos pertinentes, relacionados com a situação da referida indústria, inclusive:</w:t>
      </w:r>
    </w:p>
    <w:p w14:paraId="0AD9BE71" w14:textId="692A002C"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160E77">
        <w:rPr>
          <w:rFonts w:ascii="Garamond" w:hAnsi="Garamond" w:cstheme="majorHAnsi"/>
          <w:sz w:val="24"/>
          <w:szCs w:val="24"/>
        </w:rPr>
        <w:t xml:space="preserve"> </w:t>
      </w:r>
      <w:r w:rsidRPr="00847C9D">
        <w:rPr>
          <w:rFonts w:ascii="Garamond" w:hAnsi="Garamond" w:cstheme="majorHAnsi"/>
          <w:sz w:val="24"/>
          <w:szCs w:val="24"/>
        </w:rPr>
        <w:t>- queda real ou potencial:</w:t>
      </w:r>
    </w:p>
    <w:p w14:paraId="5E6BBD35" w14:textId="164751EB"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w:t>
      </w:r>
      <w:r w:rsidR="00160E77">
        <w:rPr>
          <w:rFonts w:ascii="Garamond" w:hAnsi="Garamond" w:cstheme="majorHAnsi"/>
          <w:sz w:val="24"/>
          <w:szCs w:val="24"/>
        </w:rPr>
        <w:t xml:space="preserve"> </w:t>
      </w:r>
      <w:r w:rsidRPr="00847C9D">
        <w:rPr>
          <w:rFonts w:ascii="Garamond" w:hAnsi="Garamond" w:cstheme="majorHAnsi"/>
          <w:sz w:val="24"/>
          <w:szCs w:val="24"/>
        </w:rPr>
        <w:t>das vendas;</w:t>
      </w:r>
    </w:p>
    <w:p w14:paraId="66467105" w14:textId="55983F99"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b)</w:t>
      </w:r>
      <w:r w:rsidR="00160E77">
        <w:rPr>
          <w:rFonts w:ascii="Garamond" w:hAnsi="Garamond" w:cstheme="majorHAnsi"/>
          <w:sz w:val="24"/>
          <w:szCs w:val="24"/>
        </w:rPr>
        <w:t xml:space="preserve"> </w:t>
      </w:r>
      <w:r w:rsidRPr="00847C9D">
        <w:rPr>
          <w:rFonts w:ascii="Garamond" w:hAnsi="Garamond" w:cstheme="majorHAnsi"/>
          <w:sz w:val="24"/>
          <w:szCs w:val="24"/>
        </w:rPr>
        <w:t>dos lucros;</w:t>
      </w:r>
    </w:p>
    <w:p w14:paraId="376AB3B2" w14:textId="61890513"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c)</w:t>
      </w:r>
      <w:r w:rsidR="00160E77">
        <w:rPr>
          <w:rFonts w:ascii="Garamond" w:hAnsi="Garamond" w:cstheme="majorHAnsi"/>
          <w:sz w:val="24"/>
          <w:szCs w:val="24"/>
        </w:rPr>
        <w:t xml:space="preserve"> </w:t>
      </w:r>
      <w:r w:rsidRPr="00847C9D">
        <w:rPr>
          <w:rFonts w:ascii="Garamond" w:hAnsi="Garamond" w:cstheme="majorHAnsi"/>
          <w:sz w:val="24"/>
          <w:szCs w:val="24"/>
        </w:rPr>
        <w:t>da produção;</w:t>
      </w:r>
    </w:p>
    <w:p w14:paraId="137C7634" w14:textId="7E66D626"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d)</w:t>
      </w:r>
      <w:r w:rsidR="00160E77">
        <w:rPr>
          <w:rFonts w:ascii="Garamond" w:hAnsi="Garamond" w:cstheme="majorHAnsi"/>
          <w:sz w:val="24"/>
          <w:szCs w:val="24"/>
        </w:rPr>
        <w:t xml:space="preserve"> </w:t>
      </w:r>
      <w:r w:rsidRPr="00847C9D">
        <w:rPr>
          <w:rFonts w:ascii="Garamond" w:hAnsi="Garamond" w:cstheme="majorHAnsi"/>
          <w:sz w:val="24"/>
          <w:szCs w:val="24"/>
        </w:rPr>
        <w:t>da participação no mercado;</w:t>
      </w:r>
    </w:p>
    <w:p w14:paraId="28CF67C2" w14:textId="4C71E1E2"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e)</w:t>
      </w:r>
      <w:r w:rsidR="00160E77">
        <w:rPr>
          <w:rFonts w:ascii="Garamond" w:hAnsi="Garamond" w:cstheme="majorHAnsi"/>
          <w:sz w:val="24"/>
          <w:szCs w:val="24"/>
        </w:rPr>
        <w:t xml:space="preserve"> </w:t>
      </w:r>
      <w:r w:rsidRPr="00847C9D">
        <w:rPr>
          <w:rFonts w:ascii="Garamond" w:hAnsi="Garamond" w:cstheme="majorHAnsi"/>
          <w:sz w:val="24"/>
          <w:szCs w:val="24"/>
        </w:rPr>
        <w:t>da produtividade;</w:t>
      </w:r>
    </w:p>
    <w:p w14:paraId="37CC402A" w14:textId="2534FC58"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f)</w:t>
      </w:r>
      <w:r w:rsidR="00160E77">
        <w:rPr>
          <w:rFonts w:ascii="Garamond" w:hAnsi="Garamond" w:cstheme="majorHAnsi"/>
          <w:sz w:val="24"/>
          <w:szCs w:val="24"/>
        </w:rPr>
        <w:t xml:space="preserve"> </w:t>
      </w:r>
      <w:r w:rsidRPr="00847C9D">
        <w:rPr>
          <w:rFonts w:ascii="Garamond" w:hAnsi="Garamond" w:cstheme="majorHAnsi"/>
          <w:sz w:val="24"/>
          <w:szCs w:val="24"/>
        </w:rPr>
        <w:t>do retorno sobre os investimentos; e</w:t>
      </w:r>
    </w:p>
    <w:p w14:paraId="31C6580F" w14:textId="410CAD3B"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g)</w:t>
      </w:r>
      <w:r w:rsidR="00160E77">
        <w:rPr>
          <w:rFonts w:ascii="Garamond" w:hAnsi="Garamond" w:cstheme="majorHAnsi"/>
          <w:sz w:val="24"/>
          <w:szCs w:val="24"/>
        </w:rPr>
        <w:t xml:space="preserve"> </w:t>
      </w:r>
      <w:r w:rsidRPr="00847C9D">
        <w:rPr>
          <w:rFonts w:ascii="Garamond" w:hAnsi="Garamond" w:cstheme="majorHAnsi"/>
          <w:sz w:val="24"/>
          <w:szCs w:val="24"/>
        </w:rPr>
        <w:t>do grau de utilização da capacidade instalada.</w:t>
      </w:r>
    </w:p>
    <w:p w14:paraId="0FC539CF" w14:textId="0B09FB3A"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160E77">
        <w:rPr>
          <w:rFonts w:ascii="Garamond" w:hAnsi="Garamond" w:cstheme="majorHAnsi"/>
          <w:sz w:val="24"/>
          <w:szCs w:val="24"/>
        </w:rPr>
        <w:t xml:space="preserve"> </w:t>
      </w:r>
      <w:r w:rsidRPr="00847C9D">
        <w:rPr>
          <w:rFonts w:ascii="Garamond" w:hAnsi="Garamond" w:cstheme="majorHAnsi"/>
          <w:sz w:val="24"/>
          <w:szCs w:val="24"/>
        </w:rPr>
        <w:t>- fatores que afetem os preços domésticos, incluindo a amplitude da margem</w:t>
      </w:r>
      <w:r w:rsidR="00160E77">
        <w:rPr>
          <w:rFonts w:ascii="Garamond" w:hAnsi="Garamond" w:cstheme="majorHAnsi"/>
          <w:sz w:val="24"/>
          <w:szCs w:val="24"/>
        </w:rPr>
        <w:t xml:space="preserve"> </w:t>
      </w:r>
      <w:r w:rsidRPr="00847C9D">
        <w:rPr>
          <w:rFonts w:ascii="Garamond" w:hAnsi="Garamond" w:cstheme="majorHAnsi"/>
          <w:sz w:val="24"/>
          <w:szCs w:val="24"/>
        </w:rPr>
        <w:t>de dumping.</w:t>
      </w:r>
    </w:p>
    <w:p w14:paraId="04399CD1" w14:textId="5FE6521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160E77">
        <w:rPr>
          <w:rFonts w:ascii="Garamond" w:hAnsi="Garamond" w:cstheme="majorHAnsi"/>
          <w:sz w:val="24"/>
          <w:szCs w:val="24"/>
        </w:rPr>
        <w:t xml:space="preserve"> </w:t>
      </w:r>
      <w:r w:rsidRPr="00847C9D">
        <w:rPr>
          <w:rFonts w:ascii="Garamond" w:hAnsi="Garamond" w:cstheme="majorHAnsi"/>
          <w:sz w:val="24"/>
          <w:szCs w:val="24"/>
        </w:rPr>
        <w:t>- os efeitos negativos reais ou potenciais sobre:</w:t>
      </w:r>
    </w:p>
    <w:p w14:paraId="3141A6EA" w14:textId="1F2DA7B9"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w:t>
      </w:r>
      <w:r w:rsidR="00160E77">
        <w:rPr>
          <w:rFonts w:ascii="Garamond" w:hAnsi="Garamond" w:cstheme="majorHAnsi"/>
          <w:sz w:val="24"/>
          <w:szCs w:val="24"/>
        </w:rPr>
        <w:t xml:space="preserve"> </w:t>
      </w:r>
      <w:r w:rsidRPr="00847C9D">
        <w:rPr>
          <w:rFonts w:ascii="Garamond" w:hAnsi="Garamond" w:cstheme="majorHAnsi"/>
          <w:sz w:val="24"/>
          <w:szCs w:val="24"/>
        </w:rPr>
        <w:t>fluxo de caixa;</w:t>
      </w:r>
    </w:p>
    <w:p w14:paraId="3EAD2032" w14:textId="20612F03"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b)</w:t>
      </w:r>
      <w:r w:rsidR="00160E77">
        <w:rPr>
          <w:rFonts w:ascii="Garamond" w:hAnsi="Garamond" w:cstheme="majorHAnsi"/>
          <w:sz w:val="24"/>
          <w:szCs w:val="24"/>
        </w:rPr>
        <w:t xml:space="preserve"> </w:t>
      </w:r>
      <w:r w:rsidRPr="00847C9D">
        <w:rPr>
          <w:rFonts w:ascii="Garamond" w:hAnsi="Garamond" w:cstheme="majorHAnsi"/>
          <w:sz w:val="24"/>
          <w:szCs w:val="24"/>
        </w:rPr>
        <w:t>estoques;</w:t>
      </w:r>
    </w:p>
    <w:p w14:paraId="12B8F90E" w14:textId="69A7C425"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c)</w:t>
      </w:r>
      <w:r w:rsidR="00160E77">
        <w:rPr>
          <w:rFonts w:ascii="Garamond" w:hAnsi="Garamond" w:cstheme="majorHAnsi"/>
          <w:sz w:val="24"/>
          <w:szCs w:val="24"/>
        </w:rPr>
        <w:t xml:space="preserve"> </w:t>
      </w:r>
      <w:r w:rsidRPr="00847C9D">
        <w:rPr>
          <w:rFonts w:ascii="Garamond" w:hAnsi="Garamond" w:cstheme="majorHAnsi"/>
          <w:sz w:val="24"/>
          <w:szCs w:val="24"/>
        </w:rPr>
        <w:t>emprego;</w:t>
      </w:r>
    </w:p>
    <w:p w14:paraId="5D374E39" w14:textId="61A198A8"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d)</w:t>
      </w:r>
      <w:r w:rsidR="00160E77">
        <w:rPr>
          <w:rFonts w:ascii="Garamond" w:hAnsi="Garamond" w:cstheme="majorHAnsi"/>
          <w:sz w:val="24"/>
          <w:szCs w:val="24"/>
        </w:rPr>
        <w:t xml:space="preserve"> </w:t>
      </w:r>
      <w:r w:rsidRPr="00847C9D">
        <w:rPr>
          <w:rFonts w:ascii="Garamond" w:hAnsi="Garamond" w:cstheme="majorHAnsi"/>
          <w:sz w:val="24"/>
          <w:szCs w:val="24"/>
        </w:rPr>
        <w:t>salários;</w:t>
      </w:r>
    </w:p>
    <w:p w14:paraId="2DC0CD21" w14:textId="2F365DBA"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e)</w:t>
      </w:r>
      <w:r w:rsidR="00160E77">
        <w:rPr>
          <w:rFonts w:ascii="Garamond" w:hAnsi="Garamond" w:cstheme="majorHAnsi"/>
          <w:sz w:val="24"/>
          <w:szCs w:val="24"/>
        </w:rPr>
        <w:t xml:space="preserve"> </w:t>
      </w:r>
      <w:r w:rsidRPr="00847C9D">
        <w:rPr>
          <w:rFonts w:ascii="Garamond" w:hAnsi="Garamond" w:cstheme="majorHAnsi"/>
          <w:sz w:val="24"/>
          <w:szCs w:val="24"/>
        </w:rPr>
        <w:t>crescimento da indústria doméstica; e</w:t>
      </w:r>
    </w:p>
    <w:p w14:paraId="588A3E75" w14:textId="120E1D2B"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f)</w:t>
      </w:r>
      <w:r w:rsidR="00A71FFE" w:rsidRPr="005C5CBD">
        <w:rPr>
          <w:rFonts w:ascii="Garamond" w:hAnsi="Garamond" w:cstheme="majorHAnsi"/>
          <w:sz w:val="24"/>
          <w:szCs w:val="24"/>
        </w:rPr>
        <w:t xml:space="preserve"> </w:t>
      </w:r>
      <w:r w:rsidRPr="00847C9D">
        <w:rPr>
          <w:rFonts w:ascii="Garamond" w:hAnsi="Garamond" w:cstheme="majorHAnsi"/>
          <w:sz w:val="24"/>
          <w:szCs w:val="24"/>
        </w:rPr>
        <w:t>capacidade de captar recursos ou investimentos.</w:t>
      </w:r>
    </w:p>
    <w:p w14:paraId="290B9282" w14:textId="79D3C511"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4º Nenhum dos fatores ou índices econômicos referidos no § 3º, isoladamente</w:t>
      </w:r>
      <w:r w:rsidR="00160E77">
        <w:rPr>
          <w:rFonts w:ascii="Garamond" w:hAnsi="Garamond" w:cstheme="majorHAnsi"/>
          <w:sz w:val="24"/>
          <w:szCs w:val="24"/>
        </w:rPr>
        <w:t xml:space="preserve"> </w:t>
      </w:r>
      <w:r w:rsidRPr="00847C9D">
        <w:rPr>
          <w:rFonts w:ascii="Garamond" w:hAnsi="Garamond" w:cstheme="majorHAnsi"/>
          <w:sz w:val="24"/>
          <w:szCs w:val="24"/>
        </w:rPr>
        <w:t>ou em conjunto, será necessariamente capaz de conduzir a conclusão decisiva.</w:t>
      </w:r>
    </w:p>
    <w:p w14:paraId="720D2638"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31. Quando as importações de um produto de mais de um país forem simultaneamente objeto de investigações que abranjam o mesmo período de investigação de dumping, os efeitos de tais importações poderão ser avaliados cumulativamente se for verificado que:</w:t>
      </w:r>
    </w:p>
    <w:p w14:paraId="3A50D455" w14:textId="493C4769"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160E77">
        <w:rPr>
          <w:rFonts w:ascii="Garamond" w:hAnsi="Garamond" w:cstheme="majorHAnsi"/>
          <w:sz w:val="24"/>
          <w:szCs w:val="24"/>
        </w:rPr>
        <w:t xml:space="preserve"> </w:t>
      </w:r>
      <w:r w:rsidRPr="00847C9D">
        <w:rPr>
          <w:rFonts w:ascii="Garamond" w:hAnsi="Garamond" w:cstheme="majorHAnsi"/>
          <w:sz w:val="24"/>
          <w:szCs w:val="24"/>
        </w:rPr>
        <w:t>- a margem de dumping determinada em relação às importações de cada um dos países não é de minimis;</w:t>
      </w:r>
    </w:p>
    <w:p w14:paraId="49EEA103" w14:textId="4DDBDA26"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160E77">
        <w:rPr>
          <w:rFonts w:ascii="Garamond" w:hAnsi="Garamond" w:cstheme="majorHAnsi"/>
          <w:sz w:val="24"/>
          <w:szCs w:val="24"/>
        </w:rPr>
        <w:t xml:space="preserve"> </w:t>
      </w:r>
      <w:r w:rsidRPr="00847C9D">
        <w:rPr>
          <w:rFonts w:ascii="Garamond" w:hAnsi="Garamond" w:cstheme="majorHAnsi"/>
          <w:sz w:val="24"/>
          <w:szCs w:val="24"/>
        </w:rPr>
        <w:t>- o volume de importações de cada país não é insignificante; e</w:t>
      </w:r>
    </w:p>
    <w:p w14:paraId="62A3CBA7" w14:textId="7801C7D9"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160E77">
        <w:rPr>
          <w:rFonts w:ascii="Garamond" w:hAnsi="Garamond" w:cstheme="majorHAnsi"/>
          <w:sz w:val="24"/>
          <w:szCs w:val="24"/>
        </w:rPr>
        <w:t xml:space="preserve"> </w:t>
      </w:r>
      <w:r w:rsidRPr="00847C9D">
        <w:rPr>
          <w:rFonts w:ascii="Garamond" w:hAnsi="Garamond" w:cstheme="majorHAnsi"/>
          <w:sz w:val="24"/>
          <w:szCs w:val="24"/>
        </w:rPr>
        <w:t>- a avaliação cumulativa dos efeitos daquelas importações é apropriada tendo em vista as condições de concorrência entre os produtos importados e as condições de concorrência entre os produtos importados e o produto similar doméstico.</w:t>
      </w:r>
    </w:p>
    <w:p w14:paraId="40C89E29"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1º A margem de dumping será considerada de minimis quando, expressa como um percentual do preço de exportação, for inferior a dois por cento.</w:t>
      </w:r>
    </w:p>
    <w:p w14:paraId="6B685239"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2º O volume de importações objeto da investigação ou o volume de importações objeto de dumping, provenientes de determinado país, será considerado insignificante quando inferior a três por cento das importações totais brasileiras do produto objeto da investigação e do produto similar.</w:t>
      </w:r>
    </w:p>
    <w:p w14:paraId="1C2751EA"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3º Caso o conjunto de países que individualmente respondam por menos de três por cento das importações totais brasileiras do produto objeto da investigação e do produto similar represente mais de sete por cento das importações totais brasileiras do produto objeto da investigação e do produto similar, o volume das importações objeto da investigação ou o volume das importações objeto de dumping, de cada país, não será considerado insignificante.</w:t>
      </w:r>
    </w:p>
    <w:p w14:paraId="2B7E4591"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4º A determinação do volume insignificante de importação será baseada nos dados relativos ao período de investigação de dumping.</w:t>
      </w:r>
    </w:p>
    <w:p w14:paraId="6FACCDEE"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32. É necessário demonstrar que, por meio dos efeitos do dumping, as importações objeto de dumping contribuíram significativamente para o dano experimentado pela indústria doméstica.</w:t>
      </w:r>
    </w:p>
    <w:p w14:paraId="36DCDFBA" w14:textId="60252DC6"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1º A demonstração do nexo de causalidade referido no caput deve basear-se</w:t>
      </w:r>
      <w:r w:rsidR="00160E77">
        <w:rPr>
          <w:rFonts w:ascii="Garamond" w:hAnsi="Garamond" w:cstheme="majorHAnsi"/>
          <w:sz w:val="24"/>
          <w:szCs w:val="24"/>
        </w:rPr>
        <w:t xml:space="preserve"> </w:t>
      </w:r>
      <w:r w:rsidRPr="00847C9D">
        <w:rPr>
          <w:rFonts w:ascii="Garamond" w:hAnsi="Garamond" w:cstheme="majorHAnsi"/>
          <w:sz w:val="24"/>
          <w:szCs w:val="24"/>
        </w:rPr>
        <w:t>no exame:</w:t>
      </w:r>
    </w:p>
    <w:p w14:paraId="7B851539" w14:textId="6E332ACB"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160E77">
        <w:rPr>
          <w:rFonts w:ascii="Garamond" w:hAnsi="Garamond" w:cstheme="majorHAnsi"/>
          <w:sz w:val="24"/>
          <w:szCs w:val="24"/>
        </w:rPr>
        <w:t xml:space="preserve"> </w:t>
      </w:r>
      <w:r w:rsidRPr="00847C9D">
        <w:rPr>
          <w:rFonts w:ascii="Garamond" w:hAnsi="Garamond" w:cstheme="majorHAnsi"/>
          <w:sz w:val="24"/>
          <w:szCs w:val="24"/>
        </w:rPr>
        <w:t>- dos elementos de prova pertinentes apresentados; e</w:t>
      </w:r>
    </w:p>
    <w:p w14:paraId="4B7E4F0B" w14:textId="55CD6C99"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160E77">
        <w:rPr>
          <w:rFonts w:ascii="Garamond" w:hAnsi="Garamond" w:cstheme="majorHAnsi"/>
          <w:sz w:val="24"/>
          <w:szCs w:val="24"/>
        </w:rPr>
        <w:t xml:space="preserve"> </w:t>
      </w:r>
      <w:r w:rsidRPr="00847C9D">
        <w:rPr>
          <w:rFonts w:ascii="Garamond" w:hAnsi="Garamond" w:cstheme="majorHAnsi"/>
          <w:sz w:val="24"/>
          <w:szCs w:val="24"/>
        </w:rPr>
        <w:t>- de outros fatores conhecidos além das importações objeto de dumping que</w:t>
      </w:r>
      <w:r w:rsidR="00160E77">
        <w:rPr>
          <w:rFonts w:ascii="Garamond" w:hAnsi="Garamond" w:cstheme="majorHAnsi"/>
          <w:sz w:val="24"/>
          <w:szCs w:val="24"/>
        </w:rPr>
        <w:t xml:space="preserve"> </w:t>
      </w:r>
      <w:r w:rsidRPr="00847C9D">
        <w:rPr>
          <w:rFonts w:ascii="Garamond" w:hAnsi="Garamond" w:cstheme="majorHAnsi"/>
          <w:sz w:val="24"/>
          <w:szCs w:val="24"/>
        </w:rPr>
        <w:t>possam simultaneamente estar causando dano à indústria doméstica, sendo que tal dano provocado por outros motivos que não as importações objeto de dumping não poderá ser atribuído às importações objeto de dumping.</w:t>
      </w:r>
    </w:p>
    <w:p w14:paraId="0C1AE0D1" w14:textId="322CD45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2º É necessário separar e distinguir os efeitos das importações objeto de</w:t>
      </w:r>
      <w:r w:rsidR="00160E77">
        <w:rPr>
          <w:rFonts w:ascii="Garamond" w:hAnsi="Garamond" w:cstheme="majorHAnsi"/>
          <w:sz w:val="24"/>
          <w:szCs w:val="24"/>
        </w:rPr>
        <w:t xml:space="preserve"> </w:t>
      </w:r>
      <w:r w:rsidRPr="00847C9D">
        <w:rPr>
          <w:rFonts w:ascii="Garamond" w:hAnsi="Garamond" w:cstheme="majorHAnsi"/>
          <w:sz w:val="24"/>
          <w:szCs w:val="24"/>
        </w:rPr>
        <w:t>dumping e os efeitos de possíveis outras causas de dano à indústria doméstica.</w:t>
      </w:r>
    </w:p>
    <w:p w14:paraId="7E2F694B"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3º Possíveis outras causas são aquelas especificamente trazidas à atenção do DECOM pelas partes interessadas, desde que acompanhadas da devida justificativa e dos elementos de prova pertinentes, e eventuais outras causas conhecidas pelo DECOM.</w:t>
      </w:r>
    </w:p>
    <w:p w14:paraId="7BE76B5D"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4º Os fatores que podem ser relevantes para fins da análise de que trata o inciso II do § 1o incluem, entre outros:</w:t>
      </w:r>
    </w:p>
    <w:p w14:paraId="780EB835" w14:textId="52CAAF10"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160E77">
        <w:rPr>
          <w:rFonts w:ascii="Garamond" w:hAnsi="Garamond" w:cstheme="majorHAnsi"/>
          <w:sz w:val="24"/>
          <w:szCs w:val="24"/>
        </w:rPr>
        <w:t xml:space="preserve"> </w:t>
      </w:r>
      <w:r w:rsidRPr="00847C9D">
        <w:rPr>
          <w:rFonts w:ascii="Garamond" w:hAnsi="Garamond" w:cstheme="majorHAnsi"/>
          <w:sz w:val="24"/>
          <w:szCs w:val="24"/>
        </w:rPr>
        <w:t>- o volume e o preço de importações não objeto de dumping;</w:t>
      </w:r>
    </w:p>
    <w:p w14:paraId="67BDB8F8" w14:textId="64599B4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160E77">
        <w:rPr>
          <w:rFonts w:ascii="Garamond" w:hAnsi="Garamond" w:cstheme="majorHAnsi"/>
          <w:sz w:val="24"/>
          <w:szCs w:val="24"/>
        </w:rPr>
        <w:t xml:space="preserve"> </w:t>
      </w:r>
      <w:r w:rsidRPr="00847C9D">
        <w:rPr>
          <w:rFonts w:ascii="Garamond" w:hAnsi="Garamond" w:cstheme="majorHAnsi"/>
          <w:sz w:val="24"/>
          <w:szCs w:val="24"/>
        </w:rPr>
        <w:t>- o impacto de eventuais processos de liberalização das importações sobre os preços domésticos;</w:t>
      </w:r>
    </w:p>
    <w:p w14:paraId="156D9E54" w14:textId="540937AB" w:rsidR="00C12525" w:rsidRPr="004075A6" w:rsidRDefault="00C12525" w:rsidP="00422F03">
      <w:pPr>
        <w:tabs>
          <w:tab w:val="left" w:pos="3105"/>
        </w:tabs>
        <w:jc w:val="both"/>
        <w:rPr>
          <w:rFonts w:ascii="Garamond" w:hAnsi="Garamond" w:cstheme="majorHAnsi"/>
          <w:sz w:val="24"/>
          <w:szCs w:val="24"/>
        </w:rPr>
      </w:pPr>
      <w:r w:rsidRPr="004075A6">
        <w:rPr>
          <w:rFonts w:ascii="Garamond" w:hAnsi="Garamond" w:cstheme="majorHAnsi"/>
          <w:sz w:val="24"/>
          <w:szCs w:val="24"/>
        </w:rPr>
        <w:t>III</w:t>
      </w:r>
      <w:r w:rsidR="00160E77" w:rsidRPr="004075A6">
        <w:rPr>
          <w:rFonts w:ascii="Garamond" w:hAnsi="Garamond" w:cstheme="majorHAnsi"/>
          <w:sz w:val="24"/>
          <w:szCs w:val="24"/>
        </w:rPr>
        <w:t xml:space="preserve"> </w:t>
      </w:r>
      <w:r w:rsidRPr="004075A6">
        <w:rPr>
          <w:rFonts w:ascii="Garamond" w:hAnsi="Garamond" w:cstheme="majorHAnsi"/>
          <w:sz w:val="24"/>
          <w:szCs w:val="24"/>
        </w:rPr>
        <w:t>- a contração na demanda ou mudanças nos padrões de consumo;</w:t>
      </w:r>
    </w:p>
    <w:p w14:paraId="573471D7" w14:textId="7D32B3C2"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IV- as   práticas   restritivas   ao   comércio   de   produtores   domésticos e</w:t>
      </w:r>
      <w:r w:rsidR="004075A6">
        <w:rPr>
          <w:rFonts w:ascii="Garamond" w:hAnsi="Garamond" w:cstheme="majorHAnsi"/>
          <w:sz w:val="24"/>
          <w:szCs w:val="24"/>
        </w:rPr>
        <w:t xml:space="preserve"> estrangeiros;</w:t>
      </w:r>
    </w:p>
    <w:p w14:paraId="4B54EECF" w14:textId="77777777" w:rsidR="004075A6"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w:t>
      </w:r>
      <w:r w:rsidR="00987230">
        <w:rPr>
          <w:rFonts w:ascii="Garamond" w:hAnsi="Garamond" w:cstheme="majorHAnsi"/>
          <w:sz w:val="24"/>
          <w:szCs w:val="24"/>
        </w:rPr>
        <w:t xml:space="preserve"> </w:t>
      </w:r>
      <w:r w:rsidRPr="00847C9D">
        <w:rPr>
          <w:rFonts w:ascii="Garamond" w:hAnsi="Garamond" w:cstheme="majorHAnsi"/>
          <w:sz w:val="24"/>
          <w:szCs w:val="24"/>
        </w:rPr>
        <w:t xml:space="preserve">- a concorrência entre produtores domésticos e estrangeiros; </w:t>
      </w:r>
    </w:p>
    <w:p w14:paraId="2C0BA06E" w14:textId="312AA050"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VI - o progresso tecnológico;</w:t>
      </w:r>
    </w:p>
    <w:p w14:paraId="0488B3B3" w14:textId="7D439381" w:rsidR="00987230"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VII</w:t>
      </w:r>
      <w:r w:rsidR="00987230">
        <w:rPr>
          <w:rFonts w:ascii="Garamond" w:hAnsi="Garamond" w:cstheme="majorHAnsi"/>
          <w:sz w:val="24"/>
          <w:szCs w:val="24"/>
        </w:rPr>
        <w:t xml:space="preserve"> </w:t>
      </w:r>
      <w:r w:rsidRPr="00847C9D">
        <w:rPr>
          <w:rFonts w:ascii="Garamond" w:hAnsi="Garamond" w:cstheme="majorHAnsi"/>
          <w:sz w:val="24"/>
          <w:szCs w:val="24"/>
        </w:rPr>
        <w:t>- o desempenho exportador;</w:t>
      </w:r>
    </w:p>
    <w:p w14:paraId="01B06B0A" w14:textId="77777777" w:rsidR="004075A6"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VIII- a produtividade da indústria doméstica; </w:t>
      </w:r>
    </w:p>
    <w:p w14:paraId="566AB0E8" w14:textId="7A0DE252"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IX - o consumo cativo; e</w:t>
      </w:r>
    </w:p>
    <w:p w14:paraId="56119BC2" w14:textId="598FE5AB"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X - as importações ou a revenda do produto importado pela indústria</w:t>
      </w:r>
      <w:r w:rsidR="004075A6">
        <w:rPr>
          <w:rFonts w:ascii="Garamond" w:hAnsi="Garamond" w:cstheme="majorHAnsi"/>
          <w:sz w:val="24"/>
          <w:szCs w:val="24"/>
        </w:rPr>
        <w:t xml:space="preserve"> doméstica.</w:t>
      </w:r>
    </w:p>
    <w:p w14:paraId="6693CC08" w14:textId="57FB35FD"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5º O efeito das importações objeto de dumping será determinado em relação</w:t>
      </w:r>
      <w:r w:rsidR="00A71FFE" w:rsidRPr="005C5CBD">
        <w:rPr>
          <w:rFonts w:ascii="Garamond" w:hAnsi="Garamond" w:cstheme="majorHAnsi"/>
          <w:sz w:val="24"/>
          <w:szCs w:val="24"/>
        </w:rPr>
        <w:t xml:space="preserve"> </w:t>
      </w:r>
      <w:r w:rsidRPr="00847C9D">
        <w:rPr>
          <w:rFonts w:ascii="Garamond" w:hAnsi="Garamond" w:cstheme="majorHAnsi"/>
          <w:sz w:val="24"/>
          <w:szCs w:val="24"/>
        </w:rPr>
        <w:t>à produção da indústria doméstica quando os dados disponíveis permitirem a sua identificação individualizada, com base em critérios como:</w:t>
      </w:r>
    </w:p>
    <w:p w14:paraId="4F074691" w14:textId="3CB69146"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987230">
        <w:rPr>
          <w:rFonts w:ascii="Garamond" w:hAnsi="Garamond" w:cstheme="majorHAnsi"/>
          <w:sz w:val="24"/>
          <w:szCs w:val="24"/>
        </w:rPr>
        <w:t xml:space="preserve"> </w:t>
      </w:r>
      <w:r w:rsidRPr="00847C9D">
        <w:rPr>
          <w:rFonts w:ascii="Garamond" w:hAnsi="Garamond" w:cstheme="majorHAnsi"/>
          <w:sz w:val="24"/>
          <w:szCs w:val="24"/>
        </w:rPr>
        <w:t>- processo produtivo; e</w:t>
      </w:r>
    </w:p>
    <w:p w14:paraId="652B0596" w14:textId="4FE3958E"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987230">
        <w:rPr>
          <w:rFonts w:ascii="Garamond" w:hAnsi="Garamond" w:cstheme="majorHAnsi"/>
          <w:sz w:val="24"/>
          <w:szCs w:val="24"/>
        </w:rPr>
        <w:t xml:space="preserve"> </w:t>
      </w:r>
      <w:r w:rsidRPr="00847C9D">
        <w:rPr>
          <w:rFonts w:ascii="Garamond" w:hAnsi="Garamond" w:cstheme="majorHAnsi"/>
          <w:sz w:val="24"/>
          <w:szCs w:val="24"/>
        </w:rPr>
        <w:t>- vendas e lucros dos produtores.</w:t>
      </w:r>
    </w:p>
    <w:p w14:paraId="3E822E53"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6º Não sendo possível a identificação individualizada dessa produção, os efeitos das importações objeto de dumping serão determinados com base na produção do grupo ou gama de produtos que, definido da forma mais restrita possível, inclua o produto similar doméstico e para o qual os dados necessários possam ser apresentados.</w:t>
      </w:r>
    </w:p>
    <w:p w14:paraId="3400407E"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33.   A determinação de ameaça de dano material à indústria doméstica será baseada na possibilidade de ocorrência de eventos claramente previsíveis e iminentes.</w:t>
      </w:r>
    </w:p>
    <w:p w14:paraId="08B6F699"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1º A expectativa quanto à ocorrência desses eventos futuros a que faz referência o caput deverá ser baseada nos elementos de prova constantes dos autos do processo e não em simples alegações, conjecturas ou possibilidade remota.</w:t>
      </w:r>
    </w:p>
    <w:p w14:paraId="6E1EF05F"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2º Os eventos futuros a que faz referência o caput deverão ser capazes de alterar as condições vigentes, de maneira a criar uma situação na qual ocorreria dano material à indústria doméstica decorrente de importações objeto de dumping adicionais.</w:t>
      </w:r>
    </w:p>
    <w:p w14:paraId="33F84D78"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3º A análise do dano material a que se refere o § 2º deverá ser feita com base nos critérios estabelecidos no § 3º do art. 30.</w:t>
      </w:r>
    </w:p>
    <w:p w14:paraId="57C0D03B"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4º Na análise do efeito das importações objeto de dumping adicionais sobre a indústria doméstica referida no § 2º, poderão ser considerados, entre outros, os seguintes fatores:</w:t>
      </w:r>
    </w:p>
    <w:p w14:paraId="1B0146E5" w14:textId="64E0A3EC"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074353">
        <w:rPr>
          <w:rFonts w:ascii="Garamond" w:hAnsi="Garamond" w:cstheme="majorHAnsi"/>
          <w:sz w:val="24"/>
          <w:szCs w:val="24"/>
        </w:rPr>
        <w:t xml:space="preserve"> </w:t>
      </w:r>
      <w:r w:rsidRPr="00847C9D">
        <w:rPr>
          <w:rFonts w:ascii="Garamond" w:hAnsi="Garamond" w:cstheme="majorHAnsi"/>
          <w:sz w:val="24"/>
          <w:szCs w:val="24"/>
        </w:rPr>
        <w:t>- significativa taxa de crescimento das importações objeto de dumping, indicando a possibilidade de aumento substancial dessas importações;</w:t>
      </w:r>
    </w:p>
    <w:p w14:paraId="1B098268" w14:textId="2B9794AD"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074353">
        <w:rPr>
          <w:rFonts w:ascii="Garamond" w:hAnsi="Garamond" w:cstheme="majorHAnsi"/>
          <w:sz w:val="24"/>
          <w:szCs w:val="24"/>
        </w:rPr>
        <w:t xml:space="preserve"> </w:t>
      </w:r>
      <w:r w:rsidRPr="00847C9D">
        <w:rPr>
          <w:rFonts w:ascii="Garamond" w:hAnsi="Garamond" w:cstheme="majorHAnsi"/>
          <w:sz w:val="24"/>
          <w:szCs w:val="24"/>
        </w:rPr>
        <w:t>- suficiente capacidade ociosa ou iminente aumento substancial da capacidade produtiva no país exportador, indicando possibilidade de aumento significativo das exportações objeto de dumping para o Brasil;</w:t>
      </w:r>
    </w:p>
    <w:p w14:paraId="56DC80A2" w14:textId="2DE5C2F1"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074353">
        <w:rPr>
          <w:rFonts w:ascii="Garamond" w:hAnsi="Garamond" w:cstheme="majorHAnsi"/>
          <w:sz w:val="24"/>
          <w:szCs w:val="24"/>
        </w:rPr>
        <w:t xml:space="preserve"> </w:t>
      </w:r>
      <w:r w:rsidRPr="00847C9D">
        <w:rPr>
          <w:rFonts w:ascii="Garamond" w:hAnsi="Garamond" w:cstheme="majorHAnsi"/>
          <w:sz w:val="24"/>
          <w:szCs w:val="24"/>
        </w:rPr>
        <w:t>- importações realizadas a preço que terão por efeito reduzir ou impedir o aumento dos preços domésticos de forma significativa e que provavelmente aumentarão a demanda por importações adicionais; e</w:t>
      </w:r>
    </w:p>
    <w:p w14:paraId="643FB12C" w14:textId="55F8A52E"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IV</w:t>
      </w:r>
      <w:r w:rsidR="00074353">
        <w:rPr>
          <w:rFonts w:ascii="Garamond" w:hAnsi="Garamond" w:cstheme="majorHAnsi"/>
          <w:sz w:val="24"/>
          <w:szCs w:val="24"/>
        </w:rPr>
        <w:t xml:space="preserve"> </w:t>
      </w:r>
      <w:r w:rsidRPr="00847C9D">
        <w:rPr>
          <w:rFonts w:ascii="Garamond" w:hAnsi="Garamond" w:cstheme="majorHAnsi"/>
          <w:sz w:val="24"/>
          <w:szCs w:val="24"/>
        </w:rPr>
        <w:t>- existência de estoques do produto objeto da investigação.</w:t>
      </w:r>
    </w:p>
    <w:p w14:paraId="22FE64CB" w14:textId="5D92DB5D"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 5º Na análise do inciso II do § 4º, será considerada a existência de terceiros mercados capazes de absorver o possível aumento das exportações, podendo, inclusive, ser considerada a existência de medidas de defesa comercial em vigor ou de investigações em curso em terceiros países que possam justificar desvios de comércio do produto para o Brasil.</w:t>
      </w:r>
    </w:p>
    <w:p w14:paraId="146D93BE"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 6º A conclusão de que importações objeto de dumping adicionais são iminentes e de que, se não for adotada medida antidumping, causarão dano material à indústria doméstica, deve se basear na análise conjunta dos fatores a que faz referência o § 4o, não sendo nenhum desses fatores isoladamente necessariamente capaz de conduzir a conclusão definitiva.</w:t>
      </w:r>
    </w:p>
    <w:p w14:paraId="27B9F657" w14:textId="77777777" w:rsidR="00F17C0A" w:rsidRDefault="00F17C0A" w:rsidP="00554628">
      <w:pPr>
        <w:tabs>
          <w:tab w:val="left" w:pos="3105"/>
        </w:tabs>
        <w:spacing w:after="0" w:line="240" w:lineRule="auto"/>
        <w:jc w:val="center"/>
        <w:rPr>
          <w:rFonts w:ascii="Garamond" w:hAnsi="Garamond" w:cstheme="majorHAnsi"/>
          <w:b/>
          <w:sz w:val="24"/>
          <w:szCs w:val="24"/>
        </w:rPr>
      </w:pPr>
    </w:p>
    <w:p w14:paraId="35BB9E2D" w14:textId="7023C7EE" w:rsidR="00C12525" w:rsidRPr="00074353" w:rsidRDefault="00C12525" w:rsidP="00554628">
      <w:pPr>
        <w:tabs>
          <w:tab w:val="left" w:pos="3105"/>
        </w:tabs>
        <w:spacing w:after="0" w:line="240" w:lineRule="auto"/>
        <w:jc w:val="center"/>
        <w:rPr>
          <w:rFonts w:ascii="Garamond" w:hAnsi="Garamond" w:cstheme="majorHAnsi"/>
          <w:b/>
          <w:sz w:val="24"/>
          <w:szCs w:val="24"/>
        </w:rPr>
      </w:pPr>
      <w:r w:rsidRPr="00074353">
        <w:rPr>
          <w:rFonts w:ascii="Garamond" w:hAnsi="Garamond" w:cstheme="majorHAnsi"/>
          <w:b/>
          <w:sz w:val="24"/>
          <w:szCs w:val="24"/>
        </w:rPr>
        <w:t>CAPÍTULO IV</w:t>
      </w:r>
    </w:p>
    <w:p w14:paraId="79AFFBB6" w14:textId="77777777" w:rsidR="00C12525" w:rsidRPr="00074353" w:rsidRDefault="00C12525" w:rsidP="00554628">
      <w:pPr>
        <w:tabs>
          <w:tab w:val="left" w:pos="3105"/>
        </w:tabs>
        <w:spacing w:after="0" w:line="240" w:lineRule="auto"/>
        <w:jc w:val="center"/>
        <w:rPr>
          <w:rFonts w:ascii="Garamond" w:hAnsi="Garamond" w:cstheme="majorHAnsi"/>
          <w:b/>
          <w:sz w:val="24"/>
          <w:szCs w:val="24"/>
        </w:rPr>
      </w:pPr>
      <w:r w:rsidRPr="00074353">
        <w:rPr>
          <w:rFonts w:ascii="Garamond" w:hAnsi="Garamond" w:cstheme="majorHAnsi"/>
          <w:b/>
          <w:sz w:val="24"/>
          <w:szCs w:val="24"/>
        </w:rPr>
        <w:t>DA DEFINIÇÃO DE INDÚSTRIA DOMÉSTICA</w:t>
      </w:r>
    </w:p>
    <w:p w14:paraId="6F586D60" w14:textId="77777777" w:rsidR="00C12525" w:rsidRPr="00847C9D" w:rsidRDefault="00C12525" w:rsidP="00422F03">
      <w:pPr>
        <w:tabs>
          <w:tab w:val="left" w:pos="3105"/>
        </w:tabs>
        <w:jc w:val="both"/>
        <w:rPr>
          <w:rFonts w:ascii="Garamond" w:hAnsi="Garamond" w:cstheme="majorHAnsi"/>
          <w:sz w:val="24"/>
          <w:szCs w:val="24"/>
        </w:rPr>
      </w:pPr>
    </w:p>
    <w:p w14:paraId="2E68EA3F"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Art. 34. Para os fins deste Decreto, o termo indústria doméstica será interpretado como a totalidade dos produtores do produto similar doméstico.</w:t>
      </w:r>
    </w:p>
    <w:p w14:paraId="09EF3BCC" w14:textId="77777777" w:rsidR="00C12525" w:rsidRPr="00847C9D" w:rsidRDefault="00C12525" w:rsidP="00422F03">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Quando não for possível reunir a totalidade dos produtores referidos no caput, e desde que devidamente justificado, o termo poderá ser definido como o conjunto de produtores cuja produção conjunta constitua proporção significativa da produção nacional total do produto similar doméstico.</w:t>
      </w:r>
    </w:p>
    <w:p w14:paraId="1CDFB98F" w14:textId="77777777" w:rsidR="009B448C" w:rsidRPr="00847C9D" w:rsidRDefault="00C12525" w:rsidP="009B448C">
      <w:pPr>
        <w:tabs>
          <w:tab w:val="left" w:pos="3105"/>
        </w:tabs>
        <w:jc w:val="both"/>
        <w:rPr>
          <w:rFonts w:ascii="Garamond" w:hAnsi="Garamond" w:cstheme="majorHAnsi"/>
          <w:sz w:val="24"/>
          <w:szCs w:val="24"/>
        </w:rPr>
      </w:pPr>
      <w:r w:rsidRPr="002218CB">
        <w:rPr>
          <w:rFonts w:ascii="Garamond" w:hAnsi="Garamond" w:cstheme="majorHAnsi"/>
          <w:sz w:val="24"/>
          <w:szCs w:val="24"/>
        </w:rPr>
        <w:t>Art. 35. A critério do DECOM, poderão ser excluídos do conceito de indústria</w:t>
      </w:r>
      <w:r w:rsidR="009B0F0D" w:rsidRPr="002218CB">
        <w:rPr>
          <w:rFonts w:ascii="Garamond" w:hAnsi="Garamond" w:cstheme="majorHAnsi"/>
          <w:sz w:val="24"/>
          <w:szCs w:val="24"/>
        </w:rPr>
        <w:t xml:space="preserve"> </w:t>
      </w:r>
      <w:r w:rsidR="009B448C" w:rsidRPr="002218CB">
        <w:rPr>
          <w:rFonts w:ascii="Garamond" w:hAnsi="Garamond" w:cstheme="majorHAnsi"/>
          <w:sz w:val="24"/>
          <w:szCs w:val="24"/>
        </w:rPr>
        <w:t>doméstica:</w:t>
      </w:r>
    </w:p>
    <w:p w14:paraId="5B469184" w14:textId="4A830C0D"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I - os produtores domésticos associados ou relacionados aos produtores</w:t>
      </w:r>
      <w:r w:rsidR="009B448C">
        <w:rPr>
          <w:rFonts w:ascii="Garamond" w:hAnsi="Garamond" w:cstheme="majorHAnsi"/>
          <w:sz w:val="24"/>
          <w:szCs w:val="24"/>
        </w:rPr>
        <w:t xml:space="preserve"> </w:t>
      </w:r>
      <w:r w:rsidRPr="00847C9D">
        <w:rPr>
          <w:rFonts w:ascii="Garamond" w:hAnsi="Garamond" w:cstheme="majorHAnsi"/>
          <w:sz w:val="24"/>
          <w:szCs w:val="24"/>
        </w:rPr>
        <w:t>estrangeiros, aos exportadores ou aos importadores; e</w:t>
      </w:r>
    </w:p>
    <w:p w14:paraId="3D496EF0"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II - os produtores cuja parcela das importações do produto alegadamente importado a preço de dumping for significativa em comparação com o total da produção própria do produto similar.</w:t>
      </w:r>
    </w:p>
    <w:p w14:paraId="4531BBF0"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1ºPara os efeitos do inciso I do caput, os produtores domésticos serão considerados associados ou relacionados aos produtores estrangeiros, aos exportadores ou aos importadores somente no caso de:</w:t>
      </w:r>
    </w:p>
    <w:p w14:paraId="2003BC5B" w14:textId="22FEA406" w:rsidR="00C12525" w:rsidRPr="00847C9D" w:rsidRDefault="00C12525" w:rsidP="001D75EC">
      <w:pPr>
        <w:tabs>
          <w:tab w:val="left" w:pos="690"/>
          <w:tab w:val="left" w:pos="3105"/>
        </w:tabs>
        <w:jc w:val="both"/>
        <w:rPr>
          <w:rFonts w:ascii="Garamond" w:hAnsi="Garamond" w:cstheme="majorHAnsi"/>
          <w:sz w:val="24"/>
          <w:szCs w:val="24"/>
        </w:rPr>
      </w:pPr>
      <w:r w:rsidRPr="00847C9D">
        <w:rPr>
          <w:rFonts w:ascii="Garamond" w:hAnsi="Garamond" w:cstheme="majorHAnsi"/>
          <w:sz w:val="24"/>
          <w:szCs w:val="24"/>
        </w:rPr>
        <w:t>I</w:t>
      </w:r>
      <w:r w:rsidR="001D75EC">
        <w:rPr>
          <w:rFonts w:ascii="Garamond" w:hAnsi="Garamond" w:cstheme="majorHAnsi"/>
          <w:sz w:val="24"/>
          <w:szCs w:val="24"/>
        </w:rPr>
        <w:t xml:space="preserve"> </w:t>
      </w:r>
      <w:r w:rsidRPr="00847C9D">
        <w:rPr>
          <w:rFonts w:ascii="Garamond" w:hAnsi="Garamond" w:cstheme="majorHAnsi"/>
          <w:sz w:val="24"/>
          <w:szCs w:val="24"/>
        </w:rPr>
        <w:t>- um deles controlar direta ou indiretamente o outro;</w:t>
      </w:r>
    </w:p>
    <w:p w14:paraId="7F14C6E8" w14:textId="77777777" w:rsidR="001D75EC"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1D75EC">
        <w:rPr>
          <w:rFonts w:ascii="Garamond" w:hAnsi="Garamond" w:cstheme="majorHAnsi"/>
          <w:sz w:val="24"/>
          <w:szCs w:val="24"/>
        </w:rPr>
        <w:t xml:space="preserve"> </w:t>
      </w:r>
      <w:r w:rsidRPr="00847C9D">
        <w:rPr>
          <w:rFonts w:ascii="Garamond" w:hAnsi="Garamond" w:cstheme="majorHAnsi"/>
          <w:sz w:val="24"/>
          <w:szCs w:val="24"/>
        </w:rPr>
        <w:t xml:space="preserve">- ambos serem controlados direta ou indiretamente por um terceiro; ou </w:t>
      </w:r>
    </w:p>
    <w:p w14:paraId="4A5DC48D" w14:textId="7B36C44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III - juntos controlarem direta ou indiretamente um terceiro.</w:t>
      </w:r>
    </w:p>
    <w:p w14:paraId="0A4A38BB"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2º Para os fins do § 1º, será considerado que uma pessoa controla outra quando a primeira está em condições legais ou operacionais de restringir ou influir nas decisões da segunda.</w:t>
      </w:r>
    </w:p>
    <w:p w14:paraId="5C6F19CD"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3º Os casos enumerados no inciso I do caput só levarão à exclusão do produtor associado ou relacionado do conceito de indústria doméstica se houver suspeita de que este vínculo leva o referido produtor a agir diferentemente da forma como agiriam os produtores que não têm tal vínculo.</w:t>
      </w:r>
    </w:p>
    <w:p w14:paraId="6700FDBF" w14:textId="2B80E701"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Art. 36. Em circunstâncias excepcionais, nas quais o território brasileiro puder ser dividido em dois ou mais mercados distintos, o termo “indústria doméstica” poderá ser</w:t>
      </w:r>
      <w:r w:rsidR="001D75EC">
        <w:rPr>
          <w:rFonts w:ascii="Garamond" w:hAnsi="Garamond" w:cstheme="majorHAnsi"/>
          <w:sz w:val="24"/>
          <w:szCs w:val="24"/>
        </w:rPr>
        <w:t xml:space="preserve"> </w:t>
      </w:r>
      <w:r w:rsidRPr="00847C9D">
        <w:rPr>
          <w:rFonts w:ascii="Garamond" w:hAnsi="Garamond" w:cstheme="majorHAnsi"/>
          <w:sz w:val="24"/>
          <w:szCs w:val="24"/>
        </w:rPr>
        <w:t>interpretado como o conjunto de produtores domésticos de cada um desses mercados separadamente.</w:t>
      </w:r>
    </w:p>
    <w:p w14:paraId="2C1374BC"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1º O conjunto dos produtores domésticos de cada um dos referidos mercados poderão ser considerados indústria doméstica subnacional se:</w:t>
      </w:r>
    </w:p>
    <w:p w14:paraId="01721CCE" w14:textId="153C1DA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1D75EC">
        <w:rPr>
          <w:rFonts w:ascii="Garamond" w:hAnsi="Garamond" w:cstheme="majorHAnsi"/>
          <w:sz w:val="24"/>
          <w:szCs w:val="24"/>
        </w:rPr>
        <w:t xml:space="preserve"> </w:t>
      </w:r>
      <w:r w:rsidRPr="00847C9D">
        <w:rPr>
          <w:rFonts w:ascii="Garamond" w:hAnsi="Garamond" w:cstheme="majorHAnsi"/>
          <w:sz w:val="24"/>
          <w:szCs w:val="24"/>
        </w:rPr>
        <w:t>- os produtores desse mercado venderem toda ou quase toda sua produção do produto similar neste mesmo mercado; e</w:t>
      </w:r>
    </w:p>
    <w:p w14:paraId="11C7A969" w14:textId="45CB524D"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1D75EC">
        <w:rPr>
          <w:rFonts w:ascii="Garamond" w:hAnsi="Garamond" w:cstheme="majorHAnsi"/>
          <w:sz w:val="24"/>
          <w:szCs w:val="24"/>
        </w:rPr>
        <w:t xml:space="preserve"> </w:t>
      </w:r>
      <w:r w:rsidRPr="00847C9D">
        <w:rPr>
          <w:rFonts w:ascii="Garamond" w:hAnsi="Garamond" w:cstheme="majorHAnsi"/>
          <w:sz w:val="24"/>
          <w:szCs w:val="24"/>
        </w:rPr>
        <w:t>- a demanda nesse mercado não for suprida em proporção substancial por produtores do produto similar estabelecidos fora desse mercado.</w:t>
      </w:r>
    </w:p>
    <w:p w14:paraId="33BAD8D2"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2º Na hipótese do § 1º, poderá ser determinada a existência de dano mesmo quando parcela importante da indústria nacional não estiver sendo afetada, desde que haja concentração das importações objeto de dumping no mercado e que estas estejam causando dano à indústria doméstica subnacional.</w:t>
      </w:r>
    </w:p>
    <w:p w14:paraId="1D908DB6" w14:textId="77777777" w:rsidR="001C7FF3" w:rsidRDefault="00C12525" w:rsidP="00554628">
      <w:pPr>
        <w:tabs>
          <w:tab w:val="left" w:pos="3105"/>
        </w:tabs>
        <w:spacing w:after="0" w:line="240" w:lineRule="auto"/>
        <w:jc w:val="center"/>
        <w:rPr>
          <w:rFonts w:ascii="Garamond" w:hAnsi="Garamond" w:cstheme="majorHAnsi"/>
          <w:b/>
          <w:sz w:val="24"/>
          <w:szCs w:val="24"/>
        </w:rPr>
      </w:pPr>
      <w:r w:rsidRPr="001C7FF3">
        <w:rPr>
          <w:rFonts w:ascii="Garamond" w:hAnsi="Garamond" w:cstheme="majorHAnsi"/>
          <w:b/>
          <w:sz w:val="24"/>
          <w:szCs w:val="24"/>
        </w:rPr>
        <w:t xml:space="preserve">CAPÍTULO V </w:t>
      </w:r>
    </w:p>
    <w:p w14:paraId="414046BD" w14:textId="78E5A8FB" w:rsidR="00C12525" w:rsidRPr="001C7FF3" w:rsidRDefault="00C12525" w:rsidP="00554628">
      <w:pPr>
        <w:tabs>
          <w:tab w:val="left" w:pos="3105"/>
        </w:tabs>
        <w:spacing w:after="0" w:line="240" w:lineRule="auto"/>
        <w:jc w:val="center"/>
        <w:rPr>
          <w:rFonts w:ascii="Garamond" w:hAnsi="Garamond" w:cstheme="majorHAnsi"/>
          <w:b/>
          <w:sz w:val="24"/>
          <w:szCs w:val="24"/>
        </w:rPr>
      </w:pPr>
      <w:r w:rsidRPr="001C7FF3">
        <w:rPr>
          <w:rFonts w:ascii="Garamond" w:hAnsi="Garamond" w:cstheme="majorHAnsi"/>
          <w:b/>
          <w:sz w:val="24"/>
          <w:szCs w:val="24"/>
        </w:rPr>
        <w:t>DA INVESTIGAÇÃO</w:t>
      </w:r>
    </w:p>
    <w:p w14:paraId="2C7104C6" w14:textId="77777777" w:rsidR="00554628" w:rsidRDefault="00554628" w:rsidP="001C7FF3">
      <w:pPr>
        <w:tabs>
          <w:tab w:val="left" w:pos="3105"/>
        </w:tabs>
        <w:jc w:val="center"/>
        <w:rPr>
          <w:rFonts w:ascii="Garamond" w:hAnsi="Garamond" w:cstheme="majorHAnsi"/>
          <w:b/>
          <w:sz w:val="24"/>
          <w:szCs w:val="24"/>
        </w:rPr>
      </w:pPr>
    </w:p>
    <w:p w14:paraId="00391143" w14:textId="73194B77" w:rsidR="00C12525" w:rsidRPr="001C7FF3" w:rsidRDefault="00C12525" w:rsidP="00554628">
      <w:pPr>
        <w:tabs>
          <w:tab w:val="left" w:pos="3105"/>
        </w:tabs>
        <w:spacing w:after="0" w:line="240" w:lineRule="auto"/>
        <w:jc w:val="center"/>
        <w:rPr>
          <w:rFonts w:ascii="Garamond" w:hAnsi="Garamond" w:cstheme="majorHAnsi"/>
          <w:b/>
          <w:sz w:val="24"/>
          <w:szCs w:val="24"/>
        </w:rPr>
      </w:pPr>
      <w:r w:rsidRPr="001C7FF3">
        <w:rPr>
          <w:rFonts w:ascii="Garamond" w:hAnsi="Garamond" w:cstheme="majorHAnsi"/>
          <w:b/>
          <w:sz w:val="24"/>
          <w:szCs w:val="24"/>
        </w:rPr>
        <w:t>Seção I</w:t>
      </w:r>
    </w:p>
    <w:p w14:paraId="2857E62C" w14:textId="77777777" w:rsidR="00C12525" w:rsidRPr="001C7FF3" w:rsidRDefault="00C12525" w:rsidP="00554628">
      <w:pPr>
        <w:tabs>
          <w:tab w:val="left" w:pos="3105"/>
        </w:tabs>
        <w:spacing w:after="0" w:line="240" w:lineRule="auto"/>
        <w:jc w:val="center"/>
        <w:rPr>
          <w:rFonts w:ascii="Garamond" w:hAnsi="Garamond" w:cstheme="majorHAnsi"/>
          <w:b/>
          <w:sz w:val="24"/>
          <w:szCs w:val="24"/>
        </w:rPr>
      </w:pPr>
      <w:r w:rsidRPr="001C7FF3">
        <w:rPr>
          <w:rFonts w:ascii="Garamond" w:hAnsi="Garamond" w:cstheme="majorHAnsi"/>
          <w:b/>
          <w:sz w:val="24"/>
          <w:szCs w:val="24"/>
        </w:rPr>
        <w:t>Da Petição e de sua admissibilidade</w:t>
      </w:r>
    </w:p>
    <w:p w14:paraId="4F25ED9E" w14:textId="77777777" w:rsidR="00C12525" w:rsidRPr="00847C9D" w:rsidRDefault="00C12525" w:rsidP="00E03CC7">
      <w:pPr>
        <w:tabs>
          <w:tab w:val="left" w:pos="3105"/>
        </w:tabs>
        <w:jc w:val="both"/>
        <w:rPr>
          <w:rFonts w:ascii="Garamond" w:hAnsi="Garamond" w:cstheme="majorHAnsi"/>
          <w:sz w:val="24"/>
          <w:szCs w:val="24"/>
        </w:rPr>
      </w:pPr>
    </w:p>
    <w:p w14:paraId="7D19A122"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Art. 37. A investigação para determinar a existência de dumping, de dano e de nexo de causalidade entre ambos deverá ser solicitada mediante petição escrita, apresentada pela indústria doméstica, ou em seu nome.</w:t>
      </w:r>
    </w:p>
    <w:p w14:paraId="5B479447"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1º Para que uma petição seja considerada como feita “pela indústria doméstica ou em seu nome” é necessário que:</w:t>
      </w:r>
    </w:p>
    <w:p w14:paraId="64105C9B" w14:textId="47A40402"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1C7FF3">
        <w:rPr>
          <w:rFonts w:ascii="Garamond" w:hAnsi="Garamond" w:cstheme="majorHAnsi"/>
          <w:sz w:val="24"/>
          <w:szCs w:val="24"/>
        </w:rPr>
        <w:t xml:space="preserve"> </w:t>
      </w:r>
      <w:r w:rsidRPr="00847C9D">
        <w:rPr>
          <w:rFonts w:ascii="Garamond" w:hAnsi="Garamond" w:cstheme="majorHAnsi"/>
          <w:sz w:val="24"/>
          <w:szCs w:val="24"/>
        </w:rPr>
        <w:t>- tenham sido consultados outros produtores domésticos que compõem a indústria doméstica e que produziram o produto similar durante o período de investigação de dumping; e</w:t>
      </w:r>
    </w:p>
    <w:p w14:paraId="62BD86F7" w14:textId="3AA0CCC4"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1C7FF3">
        <w:rPr>
          <w:rFonts w:ascii="Garamond" w:hAnsi="Garamond" w:cstheme="majorHAnsi"/>
          <w:sz w:val="24"/>
          <w:szCs w:val="24"/>
        </w:rPr>
        <w:t xml:space="preserve"> </w:t>
      </w:r>
      <w:r w:rsidRPr="00847C9D">
        <w:rPr>
          <w:rFonts w:ascii="Garamond" w:hAnsi="Garamond" w:cstheme="majorHAnsi"/>
          <w:sz w:val="24"/>
          <w:szCs w:val="24"/>
        </w:rPr>
        <w:t>- os produtores do produto similar que tenham manifestado expressamente apoio à petição representem mais de cinquenta por cento da produção total do produto similar daqueles que se manifestaram na consulta a que faz referência o inciso I do § 1o.</w:t>
      </w:r>
    </w:p>
    <w:p w14:paraId="1BEF97B6"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2º A petição não será considerada como feita “pela indústria doméstica ou em seu nome” quando os produtores domésticos que manifestaram expressamente apoio à petição representem menos de vinte e cinco por cento da produção nacional do produto similar durante o período de investigação de dumping.</w:t>
      </w:r>
    </w:p>
    <w:p w14:paraId="519BDCC2"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3º No caso de indústria fragmentada, que envolva um número especialmente elevado de produtores domésticos, o grau de apoio ou de rejeição poderá ser confirmado mediante amostra estatisticamente válida.</w:t>
      </w:r>
    </w:p>
    <w:p w14:paraId="6370EECB"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4º A manifestação de apoio ou de rejeição somente será considerada quando acompanhada de informação correspondente ao volume ou valor de produção e ao volume de vendas no mercado interno durante o período de análise de dano.</w:t>
      </w:r>
    </w:p>
    <w:p w14:paraId="7E85C64C"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5º Caso a petição não contenha dados relativos à totalidade dos produtores domésticos do produto similar, essa circunstância deverá ser justificada nos termos do parágrafo único do art. 34.</w:t>
      </w:r>
    </w:p>
    <w:p w14:paraId="6491BA16" w14:textId="269C6A81"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 6º A petição deverá conter os dados necessários à determinação do dano à indústria doméstica relativos aos produtores domésticos que manifestaram expressamente seu apoio à petição.</w:t>
      </w:r>
    </w:p>
    <w:p w14:paraId="459CC279"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7º No caso de indústria fragmentada, que envolva um número especialmente elevado de produtores domésticos, poderá ser aceita petição contendo dados relativos a produtores domésticos que respondam por parcela inferior a vinte e cinco por cento  da produção nacional do produto similar no período de investigação de dumping.</w:t>
      </w:r>
    </w:p>
    <w:p w14:paraId="2D92E096"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Art. 38. A petição deverá conter indícios da existência de dumping, de dano à indústria doméstica e de nexo de causalidade entre ambos.</w:t>
      </w:r>
    </w:p>
    <w:p w14:paraId="76BEB78D"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Meras alegações não serão consideradas suficientes para os fins deste artigo.</w:t>
      </w:r>
    </w:p>
    <w:p w14:paraId="16F1ADFD"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Art. 39. A SECEX publicará ato por meio do qual tornará públicas as informações que deverão constar da petição, assim como o formato para a sua apresentação.</w:t>
      </w:r>
    </w:p>
    <w:p w14:paraId="04FE51DB"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Art. 40. Não serão conhecidas petições que não cumpram as exigências estabelecidas nesta Seção, no ato da SECEX a que faz referência o art. 39, ou no art. 51.</w:t>
      </w:r>
    </w:p>
    <w:p w14:paraId="6FFCAFDD" w14:textId="77777777" w:rsidR="00F17C0A" w:rsidRDefault="00F17C0A" w:rsidP="00554628">
      <w:pPr>
        <w:tabs>
          <w:tab w:val="left" w:pos="3105"/>
        </w:tabs>
        <w:spacing w:after="0" w:line="240" w:lineRule="auto"/>
        <w:jc w:val="center"/>
        <w:rPr>
          <w:rFonts w:ascii="Garamond" w:hAnsi="Garamond" w:cstheme="majorHAnsi"/>
          <w:b/>
          <w:sz w:val="24"/>
          <w:szCs w:val="24"/>
        </w:rPr>
      </w:pPr>
    </w:p>
    <w:p w14:paraId="563DD28E" w14:textId="40935A51" w:rsidR="00C12525" w:rsidRPr="00432041" w:rsidRDefault="00C12525" w:rsidP="00554628">
      <w:pPr>
        <w:tabs>
          <w:tab w:val="left" w:pos="3105"/>
        </w:tabs>
        <w:spacing w:after="0" w:line="240" w:lineRule="auto"/>
        <w:jc w:val="center"/>
        <w:rPr>
          <w:rFonts w:ascii="Garamond" w:hAnsi="Garamond" w:cstheme="majorHAnsi"/>
          <w:b/>
          <w:sz w:val="24"/>
          <w:szCs w:val="24"/>
        </w:rPr>
      </w:pPr>
      <w:r w:rsidRPr="00432041">
        <w:rPr>
          <w:rFonts w:ascii="Garamond" w:hAnsi="Garamond" w:cstheme="majorHAnsi"/>
          <w:b/>
          <w:sz w:val="24"/>
          <w:szCs w:val="24"/>
        </w:rPr>
        <w:t>Seção II</w:t>
      </w:r>
    </w:p>
    <w:p w14:paraId="1CC381FB" w14:textId="43AE9D32" w:rsidR="00C12525" w:rsidRPr="00432041" w:rsidRDefault="00C12525" w:rsidP="00554628">
      <w:pPr>
        <w:tabs>
          <w:tab w:val="left" w:pos="3105"/>
        </w:tabs>
        <w:spacing w:after="0" w:line="240" w:lineRule="auto"/>
        <w:jc w:val="center"/>
        <w:rPr>
          <w:rFonts w:ascii="Garamond" w:hAnsi="Garamond" w:cstheme="majorHAnsi"/>
          <w:b/>
          <w:sz w:val="24"/>
          <w:szCs w:val="24"/>
        </w:rPr>
      </w:pPr>
      <w:r w:rsidRPr="00432041">
        <w:rPr>
          <w:rFonts w:ascii="Garamond" w:hAnsi="Garamond" w:cstheme="majorHAnsi"/>
          <w:b/>
          <w:sz w:val="24"/>
          <w:szCs w:val="24"/>
        </w:rPr>
        <w:t>Da análise da petição</w:t>
      </w:r>
    </w:p>
    <w:p w14:paraId="1CD1728A" w14:textId="77777777" w:rsidR="00C12525" w:rsidRPr="005C5CBD" w:rsidRDefault="00C12525" w:rsidP="00554628">
      <w:pPr>
        <w:tabs>
          <w:tab w:val="left" w:pos="3105"/>
        </w:tabs>
        <w:spacing w:after="0" w:line="240" w:lineRule="auto"/>
        <w:jc w:val="center"/>
        <w:rPr>
          <w:rFonts w:ascii="Garamond" w:hAnsi="Garamond" w:cstheme="majorHAnsi"/>
          <w:b/>
          <w:sz w:val="24"/>
          <w:szCs w:val="24"/>
        </w:rPr>
      </w:pPr>
    </w:p>
    <w:p w14:paraId="21B0DF8C"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Art. 41. A petição protocolada em conformidade com o disposto na Seção I será analisada no prazo de quinze dias, contado da data do seu protocolo.</w:t>
      </w:r>
    </w:p>
    <w:p w14:paraId="197CC9C4"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1º No caso de a petição estar devidamente instruída e de não serem necessárias informações complementares, o peticionário será notificado a respeito do início da investigação ou do indeferimento da petição no prazo adicional de quinze dias.</w:t>
      </w:r>
    </w:p>
    <w:p w14:paraId="635517C1"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2º Caso haja a necessidade de informações complementares pouco expressivas, ou de correções e ajustes pontuais na petição, o peticionário será instado a emendá-la no prazo de cinco dias, contado da data de ciência da solicitação.</w:t>
      </w:r>
    </w:p>
    <w:p w14:paraId="527D1FC1"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3º As informações complementares, as correções ou os ajustes serão analisados no prazo de dez dias, contado da data de seu recebimento.</w:t>
      </w:r>
    </w:p>
    <w:p w14:paraId="25380462"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4º Ao final do prazo previsto no § 3º, o peticionário será notificado, no prazo de quinze dias, a respeito do início da investigação ou do indeferimento da petição.</w:t>
      </w:r>
    </w:p>
    <w:p w14:paraId="710CF233"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5º Deverão ser protocoladas simultaneamente uma versão confidencial e uma versão não confidencial da petição.</w:t>
      </w:r>
    </w:p>
    <w:p w14:paraId="18B47D20"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6º Documentos protocolados sem indicação “confidencial” ou “restrito” serão tratados como públicos.</w:t>
      </w:r>
    </w:p>
    <w:p w14:paraId="42497D9A" w14:textId="714854E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Art. 42.   A petição será analisada quanto aos indícios da existência de</w:t>
      </w:r>
      <w:r w:rsidR="00432041">
        <w:rPr>
          <w:rFonts w:ascii="Garamond" w:hAnsi="Garamond" w:cstheme="majorHAnsi"/>
          <w:sz w:val="24"/>
          <w:szCs w:val="24"/>
        </w:rPr>
        <w:t xml:space="preserve"> </w:t>
      </w:r>
      <w:r w:rsidRPr="00847C9D">
        <w:rPr>
          <w:rFonts w:ascii="Garamond" w:hAnsi="Garamond" w:cstheme="majorHAnsi"/>
          <w:sz w:val="24"/>
          <w:szCs w:val="24"/>
        </w:rPr>
        <w:t>dumping, de dano à indústria doméstica e de nexo de causalidade entre ambos.</w:t>
      </w:r>
    </w:p>
    <w:p w14:paraId="18645EBB"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1º A correção e a adequação dos dados e indícios contidos na petição serão examinadas com base nas informações das fontes prontamente disponíveis, para determinar se o início da investigação é justificado.</w:t>
      </w:r>
    </w:p>
    <w:p w14:paraId="05342B06" w14:textId="602C9310"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2º Serão indeferidas petições que não contenham os indícios a que faz referência o caput, não cumpram as exigências e os prazos estabelecidos no art. 41 para as</w:t>
      </w:r>
      <w:r w:rsidR="00432041">
        <w:rPr>
          <w:rFonts w:ascii="Garamond" w:hAnsi="Garamond" w:cstheme="majorHAnsi"/>
          <w:sz w:val="24"/>
          <w:szCs w:val="24"/>
        </w:rPr>
        <w:t xml:space="preserve"> </w:t>
      </w:r>
      <w:r w:rsidRPr="00847C9D">
        <w:rPr>
          <w:rFonts w:ascii="Garamond" w:hAnsi="Garamond" w:cstheme="majorHAnsi"/>
          <w:sz w:val="24"/>
          <w:szCs w:val="24"/>
        </w:rPr>
        <w:t>partes interessadas, ou demandem informações complementares,</w:t>
      </w:r>
      <w:r w:rsidRPr="00847C9D">
        <w:rPr>
          <w:rFonts w:ascii="Garamond" w:hAnsi="Garamond" w:cstheme="majorHAnsi"/>
          <w:sz w:val="24"/>
          <w:szCs w:val="24"/>
        </w:rPr>
        <w:tab/>
        <w:t>correções ou</w:t>
      </w:r>
      <w:r w:rsidRPr="00847C9D">
        <w:rPr>
          <w:rFonts w:ascii="Garamond" w:hAnsi="Garamond" w:cstheme="majorHAnsi"/>
          <w:sz w:val="24"/>
          <w:szCs w:val="24"/>
        </w:rPr>
        <w:tab/>
        <w:t>ajustes significativos.</w:t>
      </w:r>
    </w:p>
    <w:p w14:paraId="21F19D2C"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Art. 43. A identificação de produtores ou exportadores no âmbito exclusivo de investigação de dumping para a qual haja processo administrativo devidamente instaurado, independentemente de estarem listados na petição, será feita com base nos dados detalhados de importação fornecidos pela Secretaria da Receita Federal do Brasil do Ministério da Fazenda, na forma do inciso II do § 1º do art. 198 da Lei nº 5.172, de 25 de outubro de 1966.</w:t>
      </w:r>
    </w:p>
    <w:p w14:paraId="38355262" w14:textId="77777777" w:rsidR="00F17C0A" w:rsidRDefault="00F17C0A" w:rsidP="00F26A10">
      <w:pPr>
        <w:tabs>
          <w:tab w:val="left" w:pos="3105"/>
        </w:tabs>
        <w:spacing w:after="0" w:line="240" w:lineRule="auto"/>
        <w:jc w:val="center"/>
        <w:rPr>
          <w:rFonts w:ascii="Garamond" w:hAnsi="Garamond" w:cstheme="majorHAnsi"/>
          <w:b/>
          <w:sz w:val="24"/>
          <w:szCs w:val="24"/>
        </w:rPr>
      </w:pPr>
    </w:p>
    <w:p w14:paraId="7AF0ECBD" w14:textId="0C692176" w:rsidR="00C12525" w:rsidRPr="00432041" w:rsidRDefault="00C12525" w:rsidP="00F26A10">
      <w:pPr>
        <w:tabs>
          <w:tab w:val="left" w:pos="3105"/>
        </w:tabs>
        <w:spacing w:after="0" w:line="240" w:lineRule="auto"/>
        <w:jc w:val="center"/>
        <w:rPr>
          <w:rFonts w:ascii="Garamond" w:hAnsi="Garamond" w:cstheme="majorHAnsi"/>
          <w:b/>
          <w:sz w:val="24"/>
          <w:szCs w:val="24"/>
        </w:rPr>
      </w:pPr>
      <w:r w:rsidRPr="00432041">
        <w:rPr>
          <w:rFonts w:ascii="Garamond" w:hAnsi="Garamond" w:cstheme="majorHAnsi"/>
          <w:b/>
          <w:sz w:val="24"/>
          <w:szCs w:val="24"/>
        </w:rPr>
        <w:t>Seção III</w:t>
      </w:r>
    </w:p>
    <w:p w14:paraId="07B71768" w14:textId="3F4F21E8" w:rsidR="00C12525" w:rsidRPr="00432041" w:rsidRDefault="00C12525" w:rsidP="00F26A10">
      <w:pPr>
        <w:tabs>
          <w:tab w:val="left" w:pos="3105"/>
        </w:tabs>
        <w:spacing w:after="0" w:line="240" w:lineRule="auto"/>
        <w:jc w:val="center"/>
        <w:rPr>
          <w:rFonts w:ascii="Garamond" w:hAnsi="Garamond" w:cstheme="majorHAnsi"/>
          <w:b/>
          <w:sz w:val="24"/>
          <w:szCs w:val="24"/>
        </w:rPr>
      </w:pPr>
      <w:r w:rsidRPr="00432041">
        <w:rPr>
          <w:rFonts w:ascii="Garamond" w:hAnsi="Garamond" w:cstheme="majorHAnsi"/>
          <w:b/>
          <w:sz w:val="24"/>
          <w:szCs w:val="24"/>
        </w:rPr>
        <w:t>Do início da investigação</w:t>
      </w:r>
    </w:p>
    <w:p w14:paraId="59D4A443" w14:textId="77777777" w:rsidR="00F26A10" w:rsidRPr="005C5CBD" w:rsidRDefault="00F26A10" w:rsidP="00F26A10">
      <w:pPr>
        <w:tabs>
          <w:tab w:val="left" w:pos="3105"/>
        </w:tabs>
        <w:spacing w:after="0" w:line="240" w:lineRule="auto"/>
        <w:jc w:val="center"/>
        <w:rPr>
          <w:rFonts w:ascii="Garamond" w:hAnsi="Garamond" w:cstheme="majorHAnsi"/>
          <w:b/>
          <w:sz w:val="24"/>
          <w:szCs w:val="24"/>
        </w:rPr>
      </w:pPr>
    </w:p>
    <w:p w14:paraId="0DC968CE"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Art. 44. Em circunstâncias excepcionais, devidamente justificadas, a SECEX poderá iniciar investigação de ofício, desde que disponha de indícios suficientes da existência de dumping, de dano e de nexo de causalidade entre ambos.</w:t>
      </w:r>
    </w:p>
    <w:p w14:paraId="0CCE9465"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Art. 45. A SECEX publicará ato de início de uma investigação e o DECOM notificará as partes interessadas conhecidas do início da investigação.</w:t>
      </w:r>
    </w:p>
    <w:p w14:paraId="6C1FA64E"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1º O ato especificará os países dos exportadores ou produtores investigados, o produto objeto da investigação, a data de início da investigação e os prazos para que as partes interessadas possam manifestar-se, e conterá as informações relativas ao dumping, ao dano à indústria doméstica e ao nexo de causalidade entre ambos.</w:t>
      </w:r>
    </w:p>
    <w:p w14:paraId="153BF757"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2º Serão consideradas partes interessadas:</w:t>
      </w:r>
    </w:p>
    <w:p w14:paraId="7FA29267" w14:textId="256EE63E"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022485">
        <w:rPr>
          <w:rFonts w:ascii="Garamond" w:hAnsi="Garamond" w:cstheme="majorHAnsi"/>
          <w:sz w:val="24"/>
          <w:szCs w:val="24"/>
        </w:rPr>
        <w:t xml:space="preserve"> </w:t>
      </w:r>
      <w:r w:rsidRPr="00847C9D">
        <w:rPr>
          <w:rFonts w:ascii="Garamond" w:hAnsi="Garamond" w:cstheme="majorHAnsi"/>
          <w:sz w:val="24"/>
          <w:szCs w:val="24"/>
        </w:rPr>
        <w:t>- os produtores domésticos do produto similar e a entidade de classe que os</w:t>
      </w:r>
      <w:r w:rsidR="00022485">
        <w:rPr>
          <w:rFonts w:ascii="Garamond" w:hAnsi="Garamond" w:cstheme="majorHAnsi"/>
          <w:sz w:val="24"/>
          <w:szCs w:val="24"/>
        </w:rPr>
        <w:t xml:space="preserve"> </w:t>
      </w:r>
      <w:r w:rsidRPr="00847C9D">
        <w:rPr>
          <w:rFonts w:ascii="Garamond" w:hAnsi="Garamond" w:cstheme="majorHAnsi"/>
          <w:sz w:val="24"/>
          <w:szCs w:val="24"/>
        </w:rPr>
        <w:t>represente;</w:t>
      </w:r>
    </w:p>
    <w:p w14:paraId="54E37738" w14:textId="7B49F60F"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022485">
        <w:rPr>
          <w:rFonts w:ascii="Garamond" w:hAnsi="Garamond" w:cstheme="majorHAnsi"/>
          <w:sz w:val="24"/>
          <w:szCs w:val="24"/>
        </w:rPr>
        <w:t xml:space="preserve"> </w:t>
      </w:r>
      <w:r w:rsidRPr="00847C9D">
        <w:rPr>
          <w:rFonts w:ascii="Garamond" w:hAnsi="Garamond" w:cstheme="majorHAnsi"/>
          <w:sz w:val="24"/>
          <w:szCs w:val="24"/>
        </w:rPr>
        <w:t>- os importadores brasileiros que importaram o produto objeto da</w:t>
      </w:r>
      <w:r w:rsidR="00022485">
        <w:rPr>
          <w:rFonts w:ascii="Garamond" w:hAnsi="Garamond" w:cstheme="majorHAnsi"/>
          <w:sz w:val="24"/>
          <w:szCs w:val="24"/>
        </w:rPr>
        <w:t xml:space="preserve"> </w:t>
      </w:r>
      <w:r w:rsidRPr="00847C9D">
        <w:rPr>
          <w:rFonts w:ascii="Garamond" w:hAnsi="Garamond" w:cstheme="majorHAnsi"/>
          <w:sz w:val="24"/>
          <w:szCs w:val="24"/>
        </w:rPr>
        <w:t>investigação durante o período da investigação de dumping e a entidade de classe que os represente;</w:t>
      </w:r>
    </w:p>
    <w:p w14:paraId="356179DC" w14:textId="57DE03F5"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022485">
        <w:rPr>
          <w:rFonts w:ascii="Garamond" w:hAnsi="Garamond" w:cstheme="majorHAnsi"/>
          <w:sz w:val="24"/>
          <w:szCs w:val="24"/>
        </w:rPr>
        <w:t xml:space="preserve"> </w:t>
      </w:r>
      <w:r w:rsidRPr="00847C9D">
        <w:rPr>
          <w:rFonts w:ascii="Garamond" w:hAnsi="Garamond" w:cstheme="majorHAnsi"/>
          <w:sz w:val="24"/>
          <w:szCs w:val="24"/>
        </w:rPr>
        <w:t>- os produtores ou exportadores estrangeiros que exportaram para o Brasil o produto objeto da investigação durante o período da investigação de dumping e a entidade de classe que os represente;</w:t>
      </w:r>
    </w:p>
    <w:p w14:paraId="778CB094" w14:textId="6A95BDAB"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IV</w:t>
      </w:r>
      <w:r w:rsidR="00022485">
        <w:rPr>
          <w:rFonts w:ascii="Garamond" w:hAnsi="Garamond" w:cstheme="majorHAnsi"/>
          <w:sz w:val="24"/>
          <w:szCs w:val="24"/>
        </w:rPr>
        <w:t xml:space="preserve"> </w:t>
      </w:r>
      <w:r w:rsidRPr="00847C9D">
        <w:rPr>
          <w:rFonts w:ascii="Garamond" w:hAnsi="Garamond" w:cstheme="majorHAnsi"/>
          <w:sz w:val="24"/>
          <w:szCs w:val="24"/>
        </w:rPr>
        <w:t>- o governo do país exportador do produto objeto da investigação; e</w:t>
      </w:r>
    </w:p>
    <w:p w14:paraId="6B5F1ECA" w14:textId="7E7826F5"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V</w:t>
      </w:r>
      <w:r w:rsidR="00022485">
        <w:rPr>
          <w:rFonts w:ascii="Garamond" w:hAnsi="Garamond" w:cstheme="majorHAnsi"/>
          <w:sz w:val="24"/>
          <w:szCs w:val="24"/>
        </w:rPr>
        <w:t xml:space="preserve"> </w:t>
      </w:r>
      <w:r w:rsidRPr="00847C9D">
        <w:rPr>
          <w:rFonts w:ascii="Garamond" w:hAnsi="Garamond" w:cstheme="majorHAnsi"/>
          <w:sz w:val="24"/>
          <w:szCs w:val="24"/>
        </w:rPr>
        <w:t>- outras partes nacionais ou estrangeiras afetadas pela prática investigada, a critério do DECOM.</w:t>
      </w:r>
    </w:p>
    <w:p w14:paraId="3B2D237E"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3º Será concedido o prazo de vinte dias, contado da data da publicação do ato da SECEX para a apresentação de pedidos de habilitação de outras partes que se considerem interessadas e de seus respectivos representantes legais.</w:t>
      </w:r>
    </w:p>
    <w:p w14:paraId="4DB77935"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4º Iniciada a investigação, o inteiro teor da petição que lhe deu origem será enviado aos produtores ou exportadores conhecidos e ao governo do país exportador e anexado aos autos do processo.</w:t>
      </w:r>
    </w:p>
    <w:p w14:paraId="12B1B754"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5º Caso o número de produtores ou exportadores seja particularmente elevado, o texto completo da petição será enviado apenas ao governo do país exportador ou à entidade de classe correspondente.</w:t>
      </w:r>
    </w:p>
    <w:p w14:paraId="21EFB283" w14:textId="59461912"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6º Para fins do cumprimento das obrigações estabelecidas neste Decreto, as comunicações oficiais com o governo do país exportador serão enviadas para a representação oficial do país exportador no Brasil.</w:t>
      </w:r>
    </w:p>
    <w:p w14:paraId="03A01459"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7º Na hipótese de não haver representação oficial no Brasil, as comunicações oficiais com o governo do país exportador serão enviadas com auxílio do Ministério das Relações Exteriores.</w:t>
      </w:r>
    </w:p>
    <w:p w14:paraId="468FD72B"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Art. 46. Processos de investigação antidumping não poderão constituir entrave ao desembaraço aduaneiro.</w:t>
      </w:r>
    </w:p>
    <w:p w14:paraId="52A24F5F"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Art. 47. O Governo brasileiro não divulgará a existência de petições anteriormente à publicação do ato da SECEX que torne público o início da investigação, exceto com relação ao governo do país exportador, que será notificado da existência de petição devidamente instruída antes da publicação do ato que dará início à investigação.</w:t>
      </w:r>
    </w:p>
    <w:p w14:paraId="30FC0180" w14:textId="5F5B384E" w:rsidR="00022485" w:rsidRPr="00022485" w:rsidRDefault="00022485" w:rsidP="00554628">
      <w:pPr>
        <w:tabs>
          <w:tab w:val="left" w:pos="4035"/>
        </w:tabs>
        <w:spacing w:after="0" w:line="240" w:lineRule="auto"/>
        <w:jc w:val="both"/>
        <w:rPr>
          <w:rFonts w:ascii="Garamond" w:hAnsi="Garamond" w:cstheme="majorHAnsi"/>
          <w:b/>
          <w:sz w:val="24"/>
          <w:szCs w:val="24"/>
        </w:rPr>
      </w:pPr>
      <w:r>
        <w:rPr>
          <w:rFonts w:ascii="Garamond" w:hAnsi="Garamond" w:cstheme="majorHAnsi"/>
          <w:sz w:val="24"/>
          <w:szCs w:val="24"/>
        </w:rPr>
        <w:tab/>
      </w:r>
      <w:r w:rsidR="00C12525" w:rsidRPr="00022485">
        <w:rPr>
          <w:rFonts w:ascii="Garamond" w:hAnsi="Garamond" w:cstheme="majorHAnsi"/>
          <w:b/>
          <w:sz w:val="24"/>
          <w:szCs w:val="24"/>
        </w:rPr>
        <w:t>Seção IV</w:t>
      </w:r>
    </w:p>
    <w:p w14:paraId="208AECC6" w14:textId="335D56B4" w:rsidR="00C12525" w:rsidRPr="00022485" w:rsidRDefault="00554628" w:rsidP="00554628">
      <w:pPr>
        <w:tabs>
          <w:tab w:val="left" w:pos="3105"/>
          <w:tab w:val="center" w:pos="4621"/>
          <w:tab w:val="left" w:pos="5880"/>
        </w:tabs>
        <w:spacing w:after="0" w:line="240" w:lineRule="auto"/>
        <w:rPr>
          <w:rFonts w:ascii="Garamond" w:hAnsi="Garamond" w:cstheme="majorHAnsi"/>
          <w:b/>
          <w:sz w:val="24"/>
          <w:szCs w:val="24"/>
        </w:rPr>
      </w:pPr>
      <w:r>
        <w:rPr>
          <w:rFonts w:ascii="Garamond" w:hAnsi="Garamond" w:cstheme="majorHAnsi"/>
          <w:b/>
          <w:sz w:val="24"/>
          <w:szCs w:val="24"/>
        </w:rPr>
        <w:tab/>
      </w:r>
      <w:r>
        <w:rPr>
          <w:rFonts w:ascii="Garamond" w:hAnsi="Garamond" w:cstheme="majorHAnsi"/>
          <w:b/>
          <w:sz w:val="24"/>
          <w:szCs w:val="24"/>
        </w:rPr>
        <w:tab/>
      </w:r>
      <w:r w:rsidR="00C12525" w:rsidRPr="00022485">
        <w:rPr>
          <w:rFonts w:ascii="Garamond" w:hAnsi="Garamond" w:cstheme="majorHAnsi"/>
          <w:b/>
          <w:sz w:val="24"/>
          <w:szCs w:val="24"/>
        </w:rPr>
        <w:t>Da Instrução</w:t>
      </w:r>
      <w:r>
        <w:rPr>
          <w:rFonts w:ascii="Garamond" w:hAnsi="Garamond" w:cstheme="majorHAnsi"/>
          <w:b/>
          <w:sz w:val="24"/>
          <w:szCs w:val="24"/>
        </w:rPr>
        <w:tab/>
      </w:r>
    </w:p>
    <w:p w14:paraId="1ED41162" w14:textId="77777777" w:rsidR="00554628" w:rsidRPr="005C5CBD" w:rsidRDefault="00554628" w:rsidP="00554628">
      <w:pPr>
        <w:tabs>
          <w:tab w:val="left" w:pos="3105"/>
          <w:tab w:val="center" w:pos="4621"/>
          <w:tab w:val="left" w:pos="5880"/>
        </w:tabs>
        <w:spacing w:after="0" w:line="240" w:lineRule="auto"/>
        <w:rPr>
          <w:rFonts w:ascii="Garamond" w:hAnsi="Garamond" w:cstheme="majorHAnsi"/>
          <w:b/>
          <w:sz w:val="24"/>
          <w:szCs w:val="24"/>
        </w:rPr>
      </w:pPr>
    </w:p>
    <w:p w14:paraId="77D874B2"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Art. 48. Durante a investigação será analisada a existência de dumping, de dano à indústria doméstica e de nexo de causalidade entre ambos.</w:t>
      </w:r>
    </w:p>
    <w:p w14:paraId="4601CEFE"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1º O período de dumping a ser investigado, doravante denominado “período de investigação de dumping”, compreenderá doze meses encerrados em março, junho, setembro ou dezembro.</w:t>
      </w:r>
    </w:p>
    <w:p w14:paraId="4E6EC9B4"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2º O peticionário terá até o último dia útil do quarto mês subsequente ao encerramento do referido período para protocolar a petição sem a necessidade de atualizaçãodo período de investigação.</w:t>
      </w:r>
    </w:p>
    <w:p w14:paraId="0B3CD9A8"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3º Em circunstâncias excepcionais, devidamente justificadas, o período de investigação de dumping poderá ser inferior a doze meses, mas nunca inferior a seis meses.</w:t>
      </w:r>
    </w:p>
    <w:p w14:paraId="3876BEA6"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4º O período de dano a ser investigado, doravante denominado “período de investigação de dano”, compreenderá sessenta meses, divididos em cinco intervalos de doze meses, sendo que o intervalo mais recente deverá coincidir com o período de investigação de dumping e os outros quatro intervalos compreenderão os doze meses anteriores aos primeiros, e assim sucessivamente.</w:t>
      </w:r>
    </w:p>
    <w:p w14:paraId="3E7CBE1F"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5º Em circunstâncias excepcionais, devidamente justificadas, o período de investigação de dano poderá ser inferior a sessenta meses, mas nunca inferior a trinta e seis meses.</w:t>
      </w:r>
    </w:p>
    <w:p w14:paraId="5296809B"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6º Ao longo da instrução, os usuários industriais do produto objeto da investigação e as organizações de consumidores mais representativas do produto objeto da investigação poderão fornecer informações julgadas relevantes acerca do dumping, do dano e do nexo de causalidade entre ambos, caso o produto seja habitualmente comercializado no varejo.</w:t>
      </w:r>
    </w:p>
    <w:p w14:paraId="05E6F2FA" w14:textId="77777777" w:rsidR="00F17C0A" w:rsidRDefault="00F17C0A" w:rsidP="00554628">
      <w:pPr>
        <w:tabs>
          <w:tab w:val="left" w:pos="3105"/>
        </w:tabs>
        <w:spacing w:after="0" w:line="240" w:lineRule="auto"/>
        <w:jc w:val="center"/>
        <w:rPr>
          <w:rFonts w:ascii="Garamond" w:hAnsi="Garamond" w:cstheme="majorHAnsi"/>
          <w:b/>
          <w:sz w:val="24"/>
          <w:szCs w:val="24"/>
        </w:rPr>
      </w:pPr>
    </w:p>
    <w:p w14:paraId="1A0F8498" w14:textId="52E06747" w:rsidR="00022485" w:rsidRPr="00022485" w:rsidRDefault="00C12525" w:rsidP="00554628">
      <w:pPr>
        <w:tabs>
          <w:tab w:val="left" w:pos="3105"/>
        </w:tabs>
        <w:spacing w:after="0" w:line="240" w:lineRule="auto"/>
        <w:jc w:val="center"/>
        <w:rPr>
          <w:rFonts w:ascii="Garamond" w:hAnsi="Garamond" w:cstheme="majorHAnsi"/>
          <w:b/>
          <w:sz w:val="24"/>
          <w:szCs w:val="24"/>
        </w:rPr>
      </w:pPr>
      <w:r w:rsidRPr="00022485">
        <w:rPr>
          <w:rFonts w:ascii="Garamond" w:hAnsi="Garamond" w:cstheme="majorHAnsi"/>
          <w:b/>
          <w:sz w:val="24"/>
          <w:szCs w:val="24"/>
        </w:rPr>
        <w:t>Subseção I</w:t>
      </w:r>
    </w:p>
    <w:p w14:paraId="462C6ED9" w14:textId="4A310B71" w:rsidR="00C12525" w:rsidRPr="00022485" w:rsidRDefault="00C12525" w:rsidP="00554628">
      <w:pPr>
        <w:tabs>
          <w:tab w:val="left" w:pos="3105"/>
        </w:tabs>
        <w:spacing w:after="0" w:line="240" w:lineRule="auto"/>
        <w:jc w:val="center"/>
        <w:rPr>
          <w:rFonts w:ascii="Garamond" w:hAnsi="Garamond" w:cstheme="majorHAnsi"/>
          <w:b/>
          <w:sz w:val="24"/>
          <w:szCs w:val="24"/>
        </w:rPr>
      </w:pPr>
      <w:r w:rsidRPr="00022485">
        <w:rPr>
          <w:rFonts w:ascii="Garamond" w:hAnsi="Garamond" w:cstheme="majorHAnsi"/>
          <w:b/>
          <w:sz w:val="24"/>
          <w:szCs w:val="24"/>
        </w:rPr>
        <w:t>Das Informações</w:t>
      </w:r>
    </w:p>
    <w:p w14:paraId="5690C56B" w14:textId="77777777" w:rsidR="00554628" w:rsidRPr="005C5CBD" w:rsidRDefault="00554628" w:rsidP="00554628">
      <w:pPr>
        <w:tabs>
          <w:tab w:val="left" w:pos="3105"/>
        </w:tabs>
        <w:spacing w:after="0" w:line="240" w:lineRule="auto"/>
        <w:jc w:val="center"/>
        <w:rPr>
          <w:rFonts w:ascii="Garamond" w:hAnsi="Garamond" w:cstheme="majorHAnsi"/>
          <w:b/>
          <w:sz w:val="24"/>
          <w:szCs w:val="24"/>
        </w:rPr>
      </w:pPr>
    </w:p>
    <w:p w14:paraId="2F54D4A8" w14:textId="136E8864" w:rsidR="00C12525" w:rsidRPr="00847C9D" w:rsidRDefault="00C12525" w:rsidP="00E03CC7">
      <w:pPr>
        <w:tabs>
          <w:tab w:val="left" w:pos="3105"/>
        </w:tabs>
        <w:jc w:val="both"/>
        <w:rPr>
          <w:rFonts w:ascii="Garamond" w:hAnsi="Garamond" w:cstheme="majorHAnsi"/>
          <w:sz w:val="24"/>
          <w:szCs w:val="24"/>
        </w:rPr>
      </w:pPr>
      <w:r w:rsidRPr="005C5CBD">
        <w:rPr>
          <w:rFonts w:ascii="Garamond" w:hAnsi="Garamond" w:cstheme="majorHAnsi"/>
          <w:sz w:val="24"/>
          <w:szCs w:val="24"/>
        </w:rPr>
        <w:t xml:space="preserve"> </w:t>
      </w:r>
      <w:r w:rsidRPr="00847C9D">
        <w:rPr>
          <w:rFonts w:ascii="Garamond" w:hAnsi="Garamond" w:cstheme="majorHAnsi"/>
          <w:sz w:val="24"/>
          <w:szCs w:val="24"/>
        </w:rPr>
        <w:t>Art. 49. As partes interessadas conhecidas em uma investigação serão notificadas a respeito das informações requeridas e terão ampla oportunidade para apresentar por escrito os elementos de prova que considerem pertinentes à investigação.</w:t>
      </w:r>
    </w:p>
    <w:p w14:paraId="646F0194"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1º Dificuldades encontradas pelas partes interessadas, em especial por empresas de pequeno porte, no fornecimento das informações solicitadas serão devidamente consideradas, sendo-lhes proporcionada a assistência possível.</w:t>
      </w:r>
    </w:p>
    <w:p w14:paraId="119C6EB9"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2º Todos os documentos apresentados pelas partes interessadas deverão ser juntados aos respectivos autos do processo, em ordem cronológica, exceto aqueles recebidos intempestivamente ou em desacordo com as normas aplicáveis, hipóteses que serão registradas e a parte interessada notificada da decisão denegatória do DECOM de juntada de tais documentos aos autos do processo.</w:t>
      </w:r>
    </w:p>
    <w:p w14:paraId="5DACD0D0"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Art. 50. Os produtores ou exportadores conhecidos, os importadores conhecidos e os demais produtores domésticos, conforme definidos no § 2º do art. 45, receberão questionários indicando as informações necessárias à investigação e disporão do prazo de trinta dias para restituí-los, contado da data de ciência, sem prejuízo do envio de questionários para outras partes interessadas.</w:t>
      </w:r>
    </w:p>
    <w:p w14:paraId="49D39600"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1º Será concedida, a pedido e sempre que possível, prorrogação do prazo referido no caput por até trinta dias.</w:t>
      </w:r>
    </w:p>
    <w:p w14:paraId="552E610E"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2º Poderão ser solicitadas informações adicionais àquelas contidas nas respostas aos questionários, concedendo-se o prazo de dez dias para resposta, contado da data de ciência da solicitação, prorrogável, a pedido e desde que devidamente justificado, por até dez dias.</w:t>
      </w:r>
    </w:p>
    <w:p w14:paraId="6F4E34DE"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3º Caso qualquer parte interessada negue acesso a informação necessária, não a forneça tempestivamente ou crie obstáculos à investigação, o parecer referente às determinações preliminares ou finais será elaborado com base na melhor informação disponível, de acordo com as disposições do Capítulo XIV.</w:t>
      </w:r>
    </w:p>
    <w:p w14:paraId="2B40AA78" w14:textId="1CCCA047" w:rsidR="00506BC0" w:rsidRPr="00847C9D" w:rsidRDefault="00C12525" w:rsidP="00506BC0">
      <w:pPr>
        <w:tabs>
          <w:tab w:val="left" w:pos="3105"/>
        </w:tabs>
        <w:jc w:val="both"/>
        <w:rPr>
          <w:rFonts w:ascii="Garamond" w:hAnsi="Garamond" w:cstheme="majorHAnsi"/>
          <w:sz w:val="24"/>
          <w:szCs w:val="24"/>
        </w:rPr>
      </w:pPr>
      <w:r w:rsidRPr="00847C9D">
        <w:rPr>
          <w:rFonts w:ascii="Garamond" w:hAnsi="Garamond" w:cstheme="majorHAnsi"/>
          <w:sz w:val="24"/>
          <w:szCs w:val="24"/>
        </w:rPr>
        <w:t>Art. 51. As informações confidenciais serão juntadas aos autos confidenciais</w:t>
      </w:r>
      <w:r w:rsidR="00506BC0" w:rsidRPr="00506BC0">
        <w:rPr>
          <w:rFonts w:ascii="Garamond" w:hAnsi="Garamond" w:cstheme="majorHAnsi"/>
          <w:sz w:val="24"/>
          <w:szCs w:val="24"/>
        </w:rPr>
        <w:t xml:space="preserve"> </w:t>
      </w:r>
      <w:r w:rsidR="00506BC0" w:rsidRPr="00847C9D">
        <w:rPr>
          <w:rFonts w:ascii="Garamond" w:hAnsi="Garamond" w:cstheme="majorHAnsi"/>
          <w:sz w:val="24"/>
          <w:szCs w:val="24"/>
        </w:rPr>
        <w:t>do processo.</w:t>
      </w:r>
    </w:p>
    <w:p w14:paraId="3627DC73" w14:textId="399FAA65"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1º Serão tratadas como informações confidenciais aquelas assim identificadas</w:t>
      </w:r>
      <w:r w:rsidR="00506BC0">
        <w:rPr>
          <w:rFonts w:ascii="Garamond" w:hAnsi="Garamond" w:cstheme="majorHAnsi"/>
          <w:sz w:val="24"/>
          <w:szCs w:val="24"/>
        </w:rPr>
        <w:t xml:space="preserve"> </w:t>
      </w:r>
      <w:r w:rsidRPr="00847C9D">
        <w:rPr>
          <w:rFonts w:ascii="Garamond" w:hAnsi="Garamond" w:cstheme="majorHAnsi"/>
          <w:sz w:val="24"/>
          <w:szCs w:val="24"/>
        </w:rPr>
        <w:t>pelas partes interessadas, desde que o pedido seja devidamente justificado, não podendo, nesse caso, serem reveladas sem autorização expressa da parte que a forneceu.</w:t>
      </w:r>
    </w:p>
    <w:p w14:paraId="3240FE9F"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2º As partes interessadas que fornecerem informações confidenciais deverão apresentar resumos restritos com detalhes que permitam a compreensão da informação fornecida, sob pena de ser desconsiderada a informação confidencial.</w:t>
      </w:r>
    </w:p>
    <w:p w14:paraId="0274E13F"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3º Nos casos em que não seja possível a apresentação do resumo, as partes deverão justificar por escrito tal circunstância.</w:t>
      </w:r>
    </w:p>
    <w:p w14:paraId="54032B94" w14:textId="610DE52D"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4º As justificativas referidas nos § 1º e § 3º não consituem informação</w:t>
      </w:r>
      <w:r w:rsidR="00506BC0">
        <w:rPr>
          <w:rFonts w:ascii="Garamond" w:hAnsi="Garamond" w:cstheme="majorHAnsi"/>
          <w:sz w:val="24"/>
          <w:szCs w:val="24"/>
        </w:rPr>
        <w:t xml:space="preserve"> </w:t>
      </w:r>
      <w:r w:rsidRPr="00847C9D">
        <w:rPr>
          <w:rFonts w:ascii="Garamond" w:hAnsi="Garamond" w:cstheme="majorHAnsi"/>
          <w:sz w:val="24"/>
          <w:szCs w:val="24"/>
        </w:rPr>
        <w:t>confidencial.</w:t>
      </w:r>
    </w:p>
    <w:p w14:paraId="0B968052" w14:textId="3C3611DF"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5º Não serão consideradas adequadas justificativas de confidencialidade para</w:t>
      </w:r>
      <w:r w:rsidR="00506BC0">
        <w:rPr>
          <w:rFonts w:ascii="Garamond" w:hAnsi="Garamond" w:cstheme="majorHAnsi"/>
          <w:sz w:val="24"/>
          <w:szCs w:val="24"/>
        </w:rPr>
        <w:t xml:space="preserve"> </w:t>
      </w:r>
      <w:r w:rsidRPr="00847C9D">
        <w:rPr>
          <w:rFonts w:ascii="Garamond" w:hAnsi="Garamond" w:cstheme="majorHAnsi"/>
          <w:sz w:val="24"/>
          <w:szCs w:val="24"/>
        </w:rPr>
        <w:t>documentos, dados e informações, entre outros:</w:t>
      </w:r>
    </w:p>
    <w:p w14:paraId="27C586EF" w14:textId="797B7770"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506BC0">
        <w:rPr>
          <w:rFonts w:ascii="Garamond" w:hAnsi="Garamond" w:cstheme="majorHAnsi"/>
          <w:sz w:val="24"/>
          <w:szCs w:val="24"/>
        </w:rPr>
        <w:t xml:space="preserve"> </w:t>
      </w:r>
      <w:r w:rsidRPr="00847C9D">
        <w:rPr>
          <w:rFonts w:ascii="Garamond" w:hAnsi="Garamond" w:cstheme="majorHAnsi"/>
          <w:sz w:val="24"/>
          <w:szCs w:val="24"/>
        </w:rPr>
        <w:t>- quando tenham notória</w:t>
      </w:r>
      <w:r w:rsidR="0047701A">
        <w:rPr>
          <w:rFonts w:ascii="Garamond" w:hAnsi="Garamond" w:cstheme="majorHAnsi"/>
          <w:sz w:val="24"/>
          <w:szCs w:val="24"/>
        </w:rPr>
        <w:t xml:space="preserve"> </w:t>
      </w:r>
      <w:r w:rsidRPr="00847C9D">
        <w:rPr>
          <w:rFonts w:ascii="Garamond" w:hAnsi="Garamond" w:cstheme="majorHAnsi"/>
          <w:sz w:val="24"/>
          <w:szCs w:val="24"/>
        </w:rPr>
        <w:t>natureza pública no Brasil, ou sejam de domínio público, no Brasil ou no exterior; ou</w:t>
      </w:r>
    </w:p>
    <w:p w14:paraId="5FD63AB1" w14:textId="7826FEF1"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506BC0">
        <w:rPr>
          <w:rFonts w:ascii="Garamond" w:hAnsi="Garamond" w:cstheme="majorHAnsi"/>
          <w:sz w:val="24"/>
          <w:szCs w:val="24"/>
        </w:rPr>
        <w:t xml:space="preserve"> </w:t>
      </w:r>
      <w:r w:rsidRPr="00847C9D">
        <w:rPr>
          <w:rFonts w:ascii="Garamond" w:hAnsi="Garamond" w:cstheme="majorHAnsi"/>
          <w:sz w:val="24"/>
          <w:szCs w:val="24"/>
        </w:rPr>
        <w:t>- os relativos:</w:t>
      </w:r>
    </w:p>
    <w:p w14:paraId="7F663815" w14:textId="236B97A5"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a)</w:t>
      </w:r>
      <w:r w:rsidR="00506BC0">
        <w:rPr>
          <w:rFonts w:ascii="Garamond" w:hAnsi="Garamond" w:cstheme="majorHAnsi"/>
          <w:sz w:val="24"/>
          <w:szCs w:val="24"/>
        </w:rPr>
        <w:t xml:space="preserve"> </w:t>
      </w:r>
      <w:r w:rsidRPr="00847C9D">
        <w:rPr>
          <w:rFonts w:ascii="Garamond" w:hAnsi="Garamond" w:cstheme="majorHAnsi"/>
          <w:sz w:val="24"/>
          <w:szCs w:val="24"/>
        </w:rPr>
        <w:t>à composição acionária e identificação do respectivo controlador;</w:t>
      </w:r>
    </w:p>
    <w:p w14:paraId="0F8275D1" w14:textId="35B32CAA"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b)</w:t>
      </w:r>
      <w:r w:rsidR="00506BC0">
        <w:rPr>
          <w:rFonts w:ascii="Garamond" w:hAnsi="Garamond" w:cstheme="majorHAnsi"/>
          <w:sz w:val="24"/>
          <w:szCs w:val="24"/>
        </w:rPr>
        <w:t xml:space="preserve"> </w:t>
      </w:r>
      <w:r w:rsidRPr="00847C9D">
        <w:rPr>
          <w:rFonts w:ascii="Garamond" w:hAnsi="Garamond" w:cstheme="majorHAnsi"/>
          <w:sz w:val="24"/>
          <w:szCs w:val="24"/>
        </w:rPr>
        <w:t>à organização societária do grupo de que faça parte;</w:t>
      </w:r>
    </w:p>
    <w:p w14:paraId="1AEE93E4" w14:textId="6A72535B"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c)</w:t>
      </w:r>
      <w:r w:rsidR="00506BC0">
        <w:rPr>
          <w:rFonts w:ascii="Garamond" w:hAnsi="Garamond" w:cstheme="majorHAnsi"/>
          <w:sz w:val="24"/>
          <w:szCs w:val="24"/>
        </w:rPr>
        <w:t xml:space="preserve"> </w:t>
      </w:r>
      <w:r w:rsidRPr="00847C9D">
        <w:rPr>
          <w:rFonts w:ascii="Garamond" w:hAnsi="Garamond" w:cstheme="majorHAnsi"/>
          <w:sz w:val="24"/>
          <w:szCs w:val="24"/>
        </w:rPr>
        <w:t>ao volume da produção, das vendas internas, das exportações, das importações e dos estoques;</w:t>
      </w:r>
    </w:p>
    <w:p w14:paraId="4DAC57D0" w14:textId="17EC8DF6"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d)</w:t>
      </w:r>
      <w:r w:rsidR="00506BC0">
        <w:rPr>
          <w:rFonts w:ascii="Garamond" w:hAnsi="Garamond" w:cstheme="majorHAnsi"/>
          <w:sz w:val="24"/>
          <w:szCs w:val="24"/>
        </w:rPr>
        <w:t xml:space="preserve"> </w:t>
      </w:r>
      <w:r w:rsidRPr="00847C9D">
        <w:rPr>
          <w:rFonts w:ascii="Garamond" w:hAnsi="Garamond" w:cstheme="majorHAnsi"/>
          <w:sz w:val="24"/>
          <w:szCs w:val="24"/>
        </w:rPr>
        <w:t>a quaisquer contratos celebrados por escritura pública ou arquivados perante notário público ou em junta comercial, no Brasil ou no exterior; e</w:t>
      </w:r>
    </w:p>
    <w:p w14:paraId="67B19310" w14:textId="69874D23"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e)</w:t>
      </w:r>
      <w:r w:rsidR="00506BC0">
        <w:rPr>
          <w:rFonts w:ascii="Garamond" w:hAnsi="Garamond" w:cstheme="majorHAnsi"/>
          <w:sz w:val="24"/>
          <w:szCs w:val="24"/>
        </w:rPr>
        <w:t xml:space="preserve"> </w:t>
      </w:r>
      <w:r w:rsidRPr="00847C9D">
        <w:rPr>
          <w:rFonts w:ascii="Garamond" w:hAnsi="Garamond" w:cstheme="majorHAnsi"/>
          <w:sz w:val="24"/>
          <w:szCs w:val="24"/>
        </w:rPr>
        <w:t>a demonstrações patrimoniais, financeiras e empresariais de companhia aberta; companhia equiparada à companhia aberta; ou de empresas controladas por companhias abertas, inclusive as estrangeiras, e suas subsidiárias integrais, que devam ser publicadas ou divulgadas em virtude da legislação societária ou do mercado de valores mobiliários.</w:t>
      </w:r>
    </w:p>
    <w:p w14:paraId="2263B81D" w14:textId="77777777" w:rsidR="00C12525" w:rsidRPr="00847C9D" w:rsidRDefault="00C12525" w:rsidP="00E03CC7">
      <w:pPr>
        <w:tabs>
          <w:tab w:val="left" w:pos="3105"/>
        </w:tabs>
        <w:jc w:val="both"/>
        <w:rPr>
          <w:rFonts w:ascii="Garamond" w:hAnsi="Garamond" w:cstheme="majorHAnsi"/>
          <w:sz w:val="24"/>
          <w:szCs w:val="24"/>
        </w:rPr>
      </w:pPr>
      <w:r w:rsidRPr="00847C9D">
        <w:rPr>
          <w:rFonts w:ascii="Garamond" w:hAnsi="Garamond" w:cstheme="majorHAnsi"/>
          <w:sz w:val="24"/>
          <w:szCs w:val="24"/>
        </w:rPr>
        <w:t>§ 6º O resumo restrito relativo a informações numéricas confidenciais deverá ser apresentado em formato numérico, na forma de números-índice, entre outros.</w:t>
      </w:r>
    </w:p>
    <w:p w14:paraId="669AE834"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7º Os documentos, as respostas aos questionários e outras manifestações, em todas as suas versões, devem ser apresentados simultaneamente para o cumprimento dos prazos e das obrigações estabelecidos neste Decreto.</w:t>
      </w:r>
    </w:p>
    <w:p w14:paraId="5FCB1185"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8º A critério do DECOM, não serão considerados documentos, dados e informações apresentados em bases confidenciais, quando o tratamento confidencial puder resultar no cerceamento do direito de defesa e do contraditório das demais partes interessadas.</w:t>
      </w:r>
    </w:p>
    <w:p w14:paraId="0C6BF41C"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9º Caso o DECOM considere injustificado o pedido de confidencialidade e a parte interessada que houver fornecido a informação se recuse a adequá-la para anexação em autos não confidenciais, a informação poderá ser desconsiderada, exceto se demonstrado, a contento e por fonte apropriada, que tal informação é correta.</w:t>
      </w:r>
    </w:p>
    <w:p w14:paraId="24809304"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10. A indicação de confidencialidade dos documentos apresentados é de responsabilidade da parte interessada e deverá constar de todas as suas páginas, centralizada no alto e no pé de cada página, em cor vermelha.</w:t>
      </w:r>
    </w:p>
    <w:p w14:paraId="7394C6CF"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11. As páginas devem ser numeradas sequencialmente e devem conter indicação sobre o número total de páginas que compõem o documento.</w:t>
      </w:r>
    </w:p>
    <w:p w14:paraId="504EC556"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Art. 52. O DECOM buscará, no curso das investigações, verificar a correção das informações fornecidas pelas partes interessadas.</w:t>
      </w:r>
    </w:p>
    <w:p w14:paraId="78F56215"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1º Poderão ser realizadas verificações in loco no território de outros países, desde que obtida a autorização das empresas envolvidas, notificado o governo do país correspondente e este não apresente objeções à realização do procedimento.</w:t>
      </w:r>
    </w:p>
    <w:p w14:paraId="78C0CAC5"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2º Serão aplicados às verificações in loco realizadas no território do país exportador os procedimentos descritos no Capítulo XIII.</w:t>
      </w:r>
    </w:p>
    <w:p w14:paraId="172FCD3F"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3º Poderão ser realizadas verificações in loco nas empresas localizadas em território nacional, desde que previamente por elas autorizadas.</w:t>
      </w:r>
    </w:p>
    <w:p w14:paraId="302D6A20"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Art. 53. O DECOM considerará estudos apresentados pelas partes interessadas, desde que atendidas as seguintes condições:</w:t>
      </w:r>
    </w:p>
    <w:p w14:paraId="594D2C8F" w14:textId="6CD85E54"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47701A">
        <w:rPr>
          <w:rFonts w:ascii="Garamond" w:hAnsi="Garamond" w:cstheme="majorHAnsi"/>
          <w:sz w:val="24"/>
          <w:szCs w:val="24"/>
        </w:rPr>
        <w:t xml:space="preserve"> </w:t>
      </w:r>
      <w:r w:rsidRPr="00847C9D">
        <w:rPr>
          <w:rFonts w:ascii="Garamond" w:hAnsi="Garamond" w:cstheme="majorHAnsi"/>
          <w:sz w:val="24"/>
          <w:szCs w:val="24"/>
        </w:rPr>
        <w:t>- tabelas e gráficos devem conter referências detalhadas das fontes das informações e o detalhamento de cálculos e ajustes utilizados para sua elaboração, de tal forma que possam ser reproduzidos a partir dos dados originais;</w:t>
      </w:r>
    </w:p>
    <w:p w14:paraId="790884DF" w14:textId="06676D21"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47701A">
        <w:rPr>
          <w:rFonts w:ascii="Garamond" w:hAnsi="Garamond" w:cstheme="majorHAnsi"/>
          <w:sz w:val="24"/>
          <w:szCs w:val="24"/>
        </w:rPr>
        <w:t xml:space="preserve"> </w:t>
      </w:r>
      <w:r w:rsidRPr="00847C9D">
        <w:rPr>
          <w:rFonts w:ascii="Garamond" w:hAnsi="Garamond" w:cstheme="majorHAnsi"/>
          <w:sz w:val="24"/>
          <w:szCs w:val="24"/>
        </w:rPr>
        <w:t>- devem indicar as referências e as fontes utilizadas;</w:t>
      </w:r>
    </w:p>
    <w:p w14:paraId="56DE46B6" w14:textId="5C49DE3D"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47701A">
        <w:rPr>
          <w:rFonts w:ascii="Garamond" w:hAnsi="Garamond" w:cstheme="majorHAnsi"/>
          <w:sz w:val="24"/>
          <w:szCs w:val="24"/>
        </w:rPr>
        <w:t xml:space="preserve"> </w:t>
      </w:r>
      <w:r w:rsidRPr="00847C9D">
        <w:rPr>
          <w:rFonts w:ascii="Garamond" w:hAnsi="Garamond" w:cstheme="majorHAnsi"/>
          <w:sz w:val="24"/>
          <w:szCs w:val="24"/>
        </w:rPr>
        <w:t>- as estimações estatísticas, econométricas e simulações devem ser acompanhadas de todas as informações metodológicas, tais como:</w:t>
      </w:r>
    </w:p>
    <w:p w14:paraId="284BA87C" w14:textId="6FD82DA2"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a)</w:t>
      </w:r>
      <w:r w:rsidR="0047701A">
        <w:rPr>
          <w:rFonts w:ascii="Garamond" w:hAnsi="Garamond" w:cstheme="majorHAnsi"/>
          <w:sz w:val="24"/>
          <w:szCs w:val="24"/>
        </w:rPr>
        <w:t xml:space="preserve"> </w:t>
      </w:r>
      <w:r w:rsidRPr="00847C9D">
        <w:rPr>
          <w:rFonts w:ascii="Garamond" w:hAnsi="Garamond" w:cstheme="majorHAnsi"/>
          <w:sz w:val="24"/>
          <w:szCs w:val="24"/>
        </w:rPr>
        <w:t>o banco de dados utilizado, por meio eletrônico, que informe a fonte dos dados, e identifique as variáveis e o período a que se referem;</w:t>
      </w:r>
    </w:p>
    <w:p w14:paraId="798B53E4" w14:textId="4A077CD0"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b)</w:t>
      </w:r>
      <w:r w:rsidR="0047701A">
        <w:rPr>
          <w:rFonts w:ascii="Garamond" w:hAnsi="Garamond" w:cstheme="majorHAnsi"/>
          <w:sz w:val="24"/>
          <w:szCs w:val="24"/>
        </w:rPr>
        <w:t xml:space="preserve"> </w:t>
      </w:r>
      <w:r w:rsidRPr="00847C9D">
        <w:rPr>
          <w:rFonts w:ascii="Garamond" w:hAnsi="Garamond" w:cstheme="majorHAnsi"/>
          <w:sz w:val="24"/>
          <w:szCs w:val="24"/>
        </w:rPr>
        <w:t>a especificação do programa computacional utilizado para a estimação;</w:t>
      </w:r>
    </w:p>
    <w:p w14:paraId="711E5087" w14:textId="73CE6FDD"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c)</w:t>
      </w:r>
      <w:r w:rsidR="0047701A">
        <w:rPr>
          <w:rFonts w:ascii="Garamond" w:hAnsi="Garamond" w:cstheme="majorHAnsi"/>
          <w:sz w:val="24"/>
          <w:szCs w:val="24"/>
        </w:rPr>
        <w:t xml:space="preserve"> </w:t>
      </w:r>
      <w:r w:rsidRPr="00847C9D">
        <w:rPr>
          <w:rFonts w:ascii="Garamond" w:hAnsi="Garamond" w:cstheme="majorHAnsi"/>
          <w:sz w:val="24"/>
          <w:szCs w:val="24"/>
        </w:rPr>
        <w:t>a justificativa do período escolhido para a estimação;</w:t>
      </w:r>
    </w:p>
    <w:p w14:paraId="3304513E" w14:textId="78AB377C"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d)</w:t>
      </w:r>
      <w:r w:rsidR="0047701A">
        <w:rPr>
          <w:rFonts w:ascii="Garamond" w:hAnsi="Garamond" w:cstheme="majorHAnsi"/>
          <w:sz w:val="24"/>
          <w:szCs w:val="24"/>
        </w:rPr>
        <w:t xml:space="preserve"> </w:t>
      </w:r>
      <w:r w:rsidRPr="00847C9D">
        <w:rPr>
          <w:rFonts w:ascii="Garamond" w:hAnsi="Garamond" w:cstheme="majorHAnsi"/>
          <w:sz w:val="24"/>
          <w:szCs w:val="24"/>
        </w:rPr>
        <w:t>a justificativa da exclusão de alguma observação da amostra, se for o caso;</w:t>
      </w:r>
    </w:p>
    <w:p w14:paraId="47AD774A" w14:textId="09AFCB44"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e)</w:t>
      </w:r>
      <w:r w:rsidR="0047701A">
        <w:rPr>
          <w:rFonts w:ascii="Garamond" w:hAnsi="Garamond" w:cstheme="majorHAnsi"/>
          <w:sz w:val="24"/>
          <w:szCs w:val="24"/>
        </w:rPr>
        <w:t xml:space="preserve"> </w:t>
      </w:r>
      <w:r w:rsidRPr="00847C9D">
        <w:rPr>
          <w:rFonts w:ascii="Garamond" w:hAnsi="Garamond" w:cstheme="majorHAnsi"/>
          <w:sz w:val="24"/>
          <w:szCs w:val="24"/>
        </w:rPr>
        <w:t>a explicação dos pressupostos da análise econométrica ou da simulação, justificando-se as formas funcionais adotadas;</w:t>
      </w:r>
    </w:p>
    <w:p w14:paraId="64C61B76" w14:textId="5E2062A2"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f)</w:t>
      </w:r>
      <w:r w:rsidR="0047701A">
        <w:rPr>
          <w:rFonts w:ascii="Garamond" w:hAnsi="Garamond" w:cstheme="majorHAnsi"/>
          <w:sz w:val="24"/>
          <w:szCs w:val="24"/>
        </w:rPr>
        <w:t xml:space="preserve"> </w:t>
      </w:r>
      <w:r w:rsidRPr="00847C9D">
        <w:rPr>
          <w:rFonts w:ascii="Garamond" w:hAnsi="Garamond" w:cstheme="majorHAnsi"/>
          <w:sz w:val="24"/>
          <w:szCs w:val="24"/>
        </w:rPr>
        <w:t>a explicação de como os testes propostos se relacionam com a questão suscitada na investigação a que fazem referência;</w:t>
      </w:r>
    </w:p>
    <w:p w14:paraId="1F1865F2" w14:textId="6288BB63"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g)</w:t>
      </w:r>
      <w:r w:rsidR="0047701A">
        <w:rPr>
          <w:rFonts w:ascii="Garamond" w:hAnsi="Garamond" w:cstheme="majorHAnsi"/>
          <w:sz w:val="24"/>
          <w:szCs w:val="24"/>
        </w:rPr>
        <w:t xml:space="preserve"> </w:t>
      </w:r>
      <w:r w:rsidRPr="00847C9D">
        <w:rPr>
          <w:rFonts w:ascii="Garamond" w:hAnsi="Garamond" w:cstheme="majorHAnsi"/>
          <w:sz w:val="24"/>
          <w:szCs w:val="24"/>
        </w:rPr>
        <w:t>os dados provenientes da própria parte, devidamente acompanhados de termo de responsabilidade sobre a veracidade das informações prestadas, firmado por seu representante legal;</w:t>
      </w:r>
    </w:p>
    <w:p w14:paraId="060BB3DC" w14:textId="52BBD49E"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h)</w:t>
      </w:r>
      <w:r w:rsidR="0047701A">
        <w:rPr>
          <w:rFonts w:ascii="Garamond" w:hAnsi="Garamond" w:cstheme="majorHAnsi"/>
          <w:sz w:val="24"/>
          <w:szCs w:val="24"/>
        </w:rPr>
        <w:t xml:space="preserve"> </w:t>
      </w:r>
      <w:r w:rsidRPr="00847C9D">
        <w:rPr>
          <w:rFonts w:ascii="Garamond" w:hAnsi="Garamond" w:cstheme="majorHAnsi"/>
          <w:sz w:val="24"/>
          <w:szCs w:val="24"/>
        </w:rPr>
        <w:t>todos e quaisquer dados, memórias de cálculo, metodologias e informações, sob qualquer forma manifestadas, que se façam necessárias para a plena compreensão e reprodução dos resultados apresentados; e</w:t>
      </w:r>
    </w:p>
    <w:p w14:paraId="09FFA237" w14:textId="6CB9A4DB"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47701A">
        <w:rPr>
          <w:rFonts w:ascii="Garamond" w:hAnsi="Garamond" w:cstheme="majorHAnsi"/>
          <w:sz w:val="24"/>
          <w:szCs w:val="24"/>
        </w:rPr>
        <w:t xml:space="preserve"> </w:t>
      </w:r>
      <w:r w:rsidRPr="00847C9D">
        <w:rPr>
          <w:rFonts w:ascii="Garamond" w:hAnsi="Garamond" w:cstheme="majorHAnsi"/>
          <w:sz w:val="24"/>
          <w:szCs w:val="24"/>
        </w:rPr>
        <w:t>outras informações, a critério do DECOM.</w:t>
      </w:r>
    </w:p>
    <w:p w14:paraId="2EFEE0AA"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Os estudos com informações confidenciais ou apresentados em desacordo com as disposições deste artigo poderão ser desconsiderados pelo DECOM, em suas determinações.</w:t>
      </w:r>
    </w:p>
    <w:p w14:paraId="50083CCE" w14:textId="15296195" w:rsidR="0047701A" w:rsidRPr="0047701A" w:rsidRDefault="00C12525" w:rsidP="00554628">
      <w:pPr>
        <w:tabs>
          <w:tab w:val="left" w:pos="3105"/>
        </w:tabs>
        <w:spacing w:after="0" w:line="240" w:lineRule="auto"/>
        <w:jc w:val="center"/>
        <w:rPr>
          <w:rFonts w:ascii="Garamond" w:hAnsi="Garamond" w:cstheme="majorHAnsi"/>
          <w:b/>
          <w:sz w:val="24"/>
          <w:szCs w:val="24"/>
        </w:rPr>
      </w:pPr>
      <w:r w:rsidRPr="0047701A">
        <w:rPr>
          <w:rFonts w:ascii="Garamond" w:hAnsi="Garamond" w:cstheme="majorHAnsi"/>
          <w:b/>
          <w:sz w:val="24"/>
          <w:szCs w:val="24"/>
        </w:rPr>
        <w:t>Subseção II</w:t>
      </w:r>
    </w:p>
    <w:p w14:paraId="5539BBCB" w14:textId="5C92D26B" w:rsidR="00C12525" w:rsidRPr="0047701A" w:rsidRDefault="00C12525" w:rsidP="00554628">
      <w:pPr>
        <w:tabs>
          <w:tab w:val="left" w:pos="3105"/>
        </w:tabs>
        <w:spacing w:after="0" w:line="240" w:lineRule="auto"/>
        <w:jc w:val="center"/>
        <w:rPr>
          <w:rFonts w:ascii="Garamond" w:hAnsi="Garamond" w:cstheme="majorHAnsi"/>
          <w:b/>
          <w:sz w:val="24"/>
          <w:szCs w:val="24"/>
        </w:rPr>
      </w:pPr>
      <w:r w:rsidRPr="0047701A">
        <w:rPr>
          <w:rFonts w:ascii="Garamond" w:hAnsi="Garamond" w:cstheme="majorHAnsi"/>
          <w:b/>
          <w:sz w:val="24"/>
          <w:szCs w:val="24"/>
        </w:rPr>
        <w:t>Da Defesa</w:t>
      </w:r>
    </w:p>
    <w:p w14:paraId="079F472A" w14:textId="77777777" w:rsidR="00554628" w:rsidRPr="005C5CBD" w:rsidRDefault="00554628" w:rsidP="00554628">
      <w:pPr>
        <w:tabs>
          <w:tab w:val="left" w:pos="3105"/>
        </w:tabs>
        <w:spacing w:after="0" w:line="240" w:lineRule="auto"/>
        <w:jc w:val="center"/>
        <w:rPr>
          <w:rFonts w:ascii="Garamond" w:hAnsi="Garamond" w:cstheme="majorHAnsi"/>
          <w:b/>
          <w:sz w:val="24"/>
          <w:szCs w:val="24"/>
        </w:rPr>
      </w:pPr>
    </w:p>
    <w:p w14:paraId="7722A8A5"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Art. 54. As partes interessadas disporão de ampla oportunidade para a defesa de seus interesses.</w:t>
      </w:r>
    </w:p>
    <w:p w14:paraId="062E5ED2"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Art. 55. Serão realizadas, a pedido de uma ou mais partes interessadas ou por iniciativa do DECOM, audiências com as partes interessadas, a fim de permitir o exercício do contraditório e da ampla defesa.</w:t>
      </w:r>
    </w:p>
    <w:p w14:paraId="3BF8507E"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1º As audiências deverão ser solicitadas por escrito, no prazo de cinco meses, contado da data do início da investigação, e as solicitações deverão estar acompanhadas da relação dos temas específicos a serem nela tratados.</w:t>
      </w:r>
    </w:p>
    <w:p w14:paraId="4034C013"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2º Somente serão deferidos pedidos de realização de audiência que envolvam aspectos relativos ao dumping, ao dano ou ao nexo de causalidade entre ambos.</w:t>
      </w:r>
    </w:p>
    <w:p w14:paraId="42B96BA0"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3º As partes interessadas conhecidas serão notificadas da realização da audiência e dos temas a serem tratados com antecedência mínima de vinte dias.</w:t>
      </w:r>
    </w:p>
    <w:p w14:paraId="5E62A0FB"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4º O comparecimento às audiências é facultativo e a ausência de qualquer parte interessada não será utilizada em seu prejuízo.</w:t>
      </w:r>
    </w:p>
    <w:p w14:paraId="46B9260C"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5º As partes interessadas deverão enviar, por escrito, com pelo menos dez dias de antecedência, os argumentos que desejam tratar e indicar, com pelo menos três dias de antecedência, os representantes legais que estarão presentes à audiência, podendo as partes interessadas apresentar informações adicionais oralmente na audiência.</w:t>
      </w:r>
    </w:p>
    <w:p w14:paraId="47F581C3"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6º As informações apresentadas oralmente durante a audiência somente serão consideradas pelo DECOM, caso reproduzidas por escrito e protocoladas no prazo de dez dias após a sua realização, a fim de que sejam anexadas aos autos restritos do processo.</w:t>
      </w:r>
    </w:p>
    <w:p w14:paraId="307FE2CB"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7º Na hipótese de as audiências serem gravadas, as manifestações orais feitas pelas partes interessadas poderão ser utilizadas pelo DECOM na elaboração de seus pareceres, ficando, nesse caso, as partes interessadas desobrigadas de reproduzir por escrito as manifestações feitas.</w:t>
      </w:r>
    </w:p>
    <w:p w14:paraId="352C4E21"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8º As gravações ou as respectivas transcrições serão igualmente anexadas aos autos restritos do processo.</w:t>
      </w:r>
    </w:p>
    <w:p w14:paraId="3910F720"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Art. 56. A critério do DECOM, o número de representantes por parte interessada na audiência poderá ser limitado.</w:t>
      </w:r>
    </w:p>
    <w:p w14:paraId="5683B5AC" w14:textId="7D41991E"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Art. 57. A realização de audiências não prejudicará os prazos estabelecidos</w:t>
      </w:r>
      <w:r w:rsidR="0047701A">
        <w:rPr>
          <w:rFonts w:ascii="Garamond" w:hAnsi="Garamond" w:cstheme="majorHAnsi"/>
          <w:sz w:val="24"/>
          <w:szCs w:val="24"/>
        </w:rPr>
        <w:t xml:space="preserve"> </w:t>
      </w:r>
      <w:r w:rsidRPr="00847C9D">
        <w:rPr>
          <w:rFonts w:ascii="Garamond" w:hAnsi="Garamond" w:cstheme="majorHAnsi"/>
          <w:sz w:val="24"/>
          <w:szCs w:val="24"/>
        </w:rPr>
        <w:t>neste Decreto.</w:t>
      </w:r>
    </w:p>
    <w:p w14:paraId="67CEEBA0"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Art. 58. Será assegurado a todas as partes interessadas o direito de vistas aos autos restritos do processo.</w:t>
      </w:r>
    </w:p>
    <w:p w14:paraId="08324ADF"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1º As vistas das informações constantes dos autos restritos se darão mediante solicitação escrita, por meio de consulta aos autos do processo na sede do DECOM ou por acesso eletrônico.</w:t>
      </w:r>
    </w:p>
    <w:p w14:paraId="0C6EF627"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2º O acesso eletrônico será autorizado mediante concessão de senha de acesso individual às partes interessadas, que ficarão responsáveis pela não divulgação da senha, sob pena de perder o direito de acompanhamento da investigação por meio eletrônico, sem prejuízo das demais sanções administrativas, cíveis e criminais previstas em lei.</w:t>
      </w:r>
    </w:p>
    <w:p w14:paraId="68A6231B" w14:textId="5462B19B"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3º A SECEX publicará ato que disporá sobre o acesso eletrônico aos autos do</w:t>
      </w:r>
      <w:r w:rsidR="00085EFC">
        <w:rPr>
          <w:rFonts w:ascii="Garamond" w:hAnsi="Garamond" w:cstheme="majorHAnsi"/>
          <w:sz w:val="24"/>
          <w:szCs w:val="24"/>
        </w:rPr>
        <w:t xml:space="preserve"> </w:t>
      </w:r>
      <w:r w:rsidRPr="00847C9D">
        <w:rPr>
          <w:rFonts w:ascii="Garamond" w:hAnsi="Garamond" w:cstheme="majorHAnsi"/>
          <w:sz w:val="24"/>
          <w:szCs w:val="24"/>
        </w:rPr>
        <w:t>processo.</w:t>
      </w:r>
    </w:p>
    <w:p w14:paraId="7A236C38" w14:textId="77777777" w:rsidR="00F26A10" w:rsidRDefault="00F26A10">
      <w:pPr>
        <w:rPr>
          <w:rFonts w:ascii="Garamond" w:hAnsi="Garamond" w:cstheme="majorHAnsi"/>
          <w:b/>
          <w:sz w:val="24"/>
          <w:szCs w:val="24"/>
        </w:rPr>
      </w:pPr>
      <w:r>
        <w:rPr>
          <w:rFonts w:ascii="Garamond" w:hAnsi="Garamond" w:cstheme="majorHAnsi"/>
          <w:b/>
          <w:sz w:val="24"/>
          <w:szCs w:val="24"/>
        </w:rPr>
        <w:br w:type="page"/>
      </w:r>
    </w:p>
    <w:p w14:paraId="6391E6D3" w14:textId="577D39E8" w:rsidR="00C12525" w:rsidRPr="00085EFC" w:rsidRDefault="00C12525" w:rsidP="00554628">
      <w:pPr>
        <w:tabs>
          <w:tab w:val="left" w:pos="3105"/>
        </w:tabs>
        <w:spacing w:after="0" w:line="240" w:lineRule="auto"/>
        <w:jc w:val="center"/>
        <w:rPr>
          <w:rFonts w:ascii="Garamond" w:hAnsi="Garamond" w:cstheme="majorHAnsi"/>
          <w:b/>
          <w:sz w:val="24"/>
          <w:szCs w:val="24"/>
        </w:rPr>
      </w:pPr>
      <w:r w:rsidRPr="00085EFC">
        <w:rPr>
          <w:rFonts w:ascii="Garamond" w:hAnsi="Garamond" w:cstheme="majorHAnsi"/>
          <w:b/>
          <w:sz w:val="24"/>
          <w:szCs w:val="24"/>
        </w:rPr>
        <w:t>Subseção III</w:t>
      </w:r>
    </w:p>
    <w:p w14:paraId="6F5123A3" w14:textId="41E13E93" w:rsidR="00C12525" w:rsidRPr="00085EFC" w:rsidRDefault="00554628" w:rsidP="00554628">
      <w:pPr>
        <w:tabs>
          <w:tab w:val="left" w:pos="3105"/>
          <w:tab w:val="center" w:pos="4621"/>
          <w:tab w:val="left" w:pos="6660"/>
        </w:tabs>
        <w:spacing w:after="0" w:line="240" w:lineRule="auto"/>
        <w:rPr>
          <w:rFonts w:ascii="Garamond" w:hAnsi="Garamond" w:cstheme="majorHAnsi"/>
          <w:b/>
          <w:sz w:val="24"/>
          <w:szCs w:val="24"/>
        </w:rPr>
      </w:pPr>
      <w:r>
        <w:rPr>
          <w:rFonts w:ascii="Garamond" w:hAnsi="Garamond" w:cstheme="majorHAnsi"/>
          <w:b/>
          <w:sz w:val="24"/>
          <w:szCs w:val="24"/>
        </w:rPr>
        <w:tab/>
      </w:r>
      <w:r>
        <w:rPr>
          <w:rFonts w:ascii="Garamond" w:hAnsi="Garamond" w:cstheme="majorHAnsi"/>
          <w:b/>
          <w:sz w:val="24"/>
          <w:szCs w:val="24"/>
        </w:rPr>
        <w:tab/>
      </w:r>
      <w:r w:rsidR="00C12525" w:rsidRPr="00085EFC">
        <w:rPr>
          <w:rFonts w:ascii="Garamond" w:hAnsi="Garamond" w:cstheme="majorHAnsi"/>
          <w:b/>
          <w:sz w:val="24"/>
          <w:szCs w:val="24"/>
        </w:rPr>
        <w:t>Do Final da Instrução</w:t>
      </w:r>
      <w:r>
        <w:rPr>
          <w:rFonts w:ascii="Garamond" w:hAnsi="Garamond" w:cstheme="majorHAnsi"/>
          <w:b/>
          <w:sz w:val="24"/>
          <w:szCs w:val="24"/>
        </w:rPr>
        <w:tab/>
      </w:r>
    </w:p>
    <w:p w14:paraId="792A552E" w14:textId="77777777" w:rsidR="00554628" w:rsidRPr="005C5CBD" w:rsidRDefault="00554628" w:rsidP="00554628">
      <w:pPr>
        <w:tabs>
          <w:tab w:val="left" w:pos="3105"/>
          <w:tab w:val="center" w:pos="4621"/>
          <w:tab w:val="left" w:pos="6660"/>
        </w:tabs>
        <w:spacing w:after="0" w:line="240" w:lineRule="auto"/>
        <w:rPr>
          <w:rFonts w:ascii="Garamond" w:hAnsi="Garamond" w:cstheme="majorHAnsi"/>
          <w:b/>
          <w:sz w:val="24"/>
          <w:szCs w:val="24"/>
        </w:rPr>
      </w:pPr>
    </w:p>
    <w:p w14:paraId="6D3E9358"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Art. 59. A fase probatória da investigação será encerrada em prazo não superior a cento e vinte dias, contado da data de publicação da determinação preliminar.</w:t>
      </w:r>
    </w:p>
    <w:p w14:paraId="14A78AD0"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Os elementos de prova apresentados após o encerramento da fase probatória não serão juntados aos autos do processo.</w:t>
      </w:r>
    </w:p>
    <w:p w14:paraId="5A7D3A34"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Art. 60. A fase de manifestações sobre os dados e as informações constantes dos autos restritos do processo será encerrada em vinte dias contados da data de encerramento da fase probatória da investigação.</w:t>
      </w:r>
    </w:p>
    <w:p w14:paraId="37E5D847" w14:textId="6C2FCD2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Art. 61. O DECOM divulgará para as partes interessadas a nota técnica contendo os fatos essenciais que se encontram em análise e que serão considerados na</w:t>
      </w:r>
      <w:r w:rsidR="00085EFC">
        <w:rPr>
          <w:rFonts w:ascii="Garamond" w:hAnsi="Garamond" w:cstheme="majorHAnsi"/>
          <w:sz w:val="24"/>
          <w:szCs w:val="24"/>
        </w:rPr>
        <w:t xml:space="preserve"> </w:t>
      </w:r>
      <w:r w:rsidRPr="00847C9D">
        <w:rPr>
          <w:rFonts w:ascii="Garamond" w:hAnsi="Garamond" w:cstheme="majorHAnsi"/>
          <w:sz w:val="24"/>
          <w:szCs w:val="24"/>
        </w:rPr>
        <w:t>determinação final a que faz referência o art. 63, no prazo de trinta dias, contado da data de encerramento da fase de manifestações.</w:t>
      </w:r>
    </w:p>
    <w:p w14:paraId="2855BA1E"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Art. 62. As partes interessadas disporão do prazo de vinte dias, contado da data de divulgação da nota técnica, para apresentar suas manifestações finais por escrito.</w:t>
      </w:r>
    </w:p>
    <w:p w14:paraId="7BD1C69E"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Encerrado o prazo previsto no caput, será considerada encerrada a instrução do processo, e as informações apresentadas posteriormente não serão consideradas para fins de determinação final, na qual constarão todos os elementos de fato e de direito relativos à investigação e as conclusões finais quanto à existência de dumping, de dano e de nexo de causalidade entre ambos.</w:t>
      </w:r>
    </w:p>
    <w:p w14:paraId="3B6304F8"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Art. 63. Em até vinte dias contados da data do encerramento do prazo estipulado no art. 62, o DECOM elaborará a determinação final da investigação.</w:t>
      </w:r>
    </w:p>
    <w:p w14:paraId="1F717E25"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Art. 64. Os documentos apresentados intempestivamente não serão considerados para fins das determinações e, caso não retirados pela parte em prazo a ser determinado pelo DECOM, serão destruídos.</w:t>
      </w:r>
    </w:p>
    <w:p w14:paraId="252BBA42" w14:textId="77777777" w:rsidR="00C12525" w:rsidRPr="00085EFC" w:rsidRDefault="00C12525" w:rsidP="00554628">
      <w:pPr>
        <w:tabs>
          <w:tab w:val="left" w:pos="3105"/>
        </w:tabs>
        <w:spacing w:after="0" w:line="240" w:lineRule="auto"/>
        <w:jc w:val="center"/>
        <w:rPr>
          <w:rFonts w:ascii="Garamond" w:hAnsi="Garamond" w:cstheme="majorHAnsi"/>
          <w:b/>
          <w:sz w:val="24"/>
          <w:szCs w:val="24"/>
        </w:rPr>
      </w:pPr>
      <w:r w:rsidRPr="00085EFC">
        <w:rPr>
          <w:rFonts w:ascii="Garamond" w:hAnsi="Garamond" w:cstheme="majorHAnsi"/>
          <w:b/>
          <w:sz w:val="24"/>
          <w:szCs w:val="24"/>
        </w:rPr>
        <w:t>Seção V</w:t>
      </w:r>
    </w:p>
    <w:p w14:paraId="19952CFA" w14:textId="0AEA2199" w:rsidR="00C12525" w:rsidRPr="00085EFC" w:rsidRDefault="00C12525" w:rsidP="00554628">
      <w:pPr>
        <w:tabs>
          <w:tab w:val="left" w:pos="3105"/>
        </w:tabs>
        <w:spacing w:after="0" w:line="240" w:lineRule="auto"/>
        <w:jc w:val="center"/>
        <w:rPr>
          <w:rFonts w:ascii="Garamond" w:hAnsi="Garamond" w:cstheme="majorHAnsi"/>
          <w:b/>
          <w:sz w:val="24"/>
          <w:szCs w:val="24"/>
        </w:rPr>
      </w:pPr>
      <w:r w:rsidRPr="00085EFC">
        <w:rPr>
          <w:rFonts w:ascii="Garamond" w:hAnsi="Garamond" w:cstheme="majorHAnsi"/>
          <w:b/>
          <w:sz w:val="24"/>
          <w:szCs w:val="24"/>
        </w:rPr>
        <w:t>Das Determinações Preliminares e das Medidas Antidumping Provisórias</w:t>
      </w:r>
    </w:p>
    <w:p w14:paraId="5317B1FD" w14:textId="77777777" w:rsidR="00554628" w:rsidRPr="005C5CBD" w:rsidRDefault="00554628" w:rsidP="00554628">
      <w:pPr>
        <w:tabs>
          <w:tab w:val="left" w:pos="3105"/>
        </w:tabs>
        <w:spacing w:after="0" w:line="240" w:lineRule="auto"/>
        <w:jc w:val="center"/>
        <w:rPr>
          <w:rFonts w:ascii="Garamond" w:hAnsi="Garamond" w:cstheme="majorHAnsi"/>
          <w:b/>
          <w:sz w:val="24"/>
          <w:szCs w:val="24"/>
        </w:rPr>
      </w:pPr>
    </w:p>
    <w:p w14:paraId="7C062DCF"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Art. 65. No prazo de cento e vinte dias, e nunca inferior a sessenta dias, contado da data do início da investigação, o DECOM elaborará a determinação preliminar, na qual constarão todos os elementos de fato e de direito disponíveis quanto à existência de dumping, de dano e do nexo de causalidade entre ambos.</w:t>
      </w:r>
    </w:p>
    <w:p w14:paraId="14186466"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1º Excepcionalmente, o prazo a que faz referência o caput poderá ser prorrogado para até duzentos dias contados da data do início da investigação.</w:t>
      </w:r>
    </w:p>
    <w:p w14:paraId="06D05CD3"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2º Aplica-se o § 1º quando a indústria doméstica definida por ocasião do início da investigação corresponder a menos de cinquenta por cento da produção do produto similar produzido pela totalidade dos produtores nacionais no período de investigação de dumping.</w:t>
      </w:r>
    </w:p>
    <w:p w14:paraId="0285ADDF"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3º As determinações preliminares positivas ou negativas de dumping, de dano à indústria doméstica e do nexo de causalidade entre ambos serão tempestivamente juntadas aos autos restritos do processo.</w:t>
      </w:r>
    </w:p>
    <w:p w14:paraId="5D6C05B9"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4º Determinações preliminares negativas de dano ou do nexo de causalidade poderão justificar o encerramento da investigação, observada a obrigação quanto à divulgação da nota técnica que contenha os fatos essenciais a que faz referência o art. 61.</w:t>
      </w:r>
    </w:p>
    <w:p w14:paraId="14246F84"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5º A SECEX publicará as determinações preliminares em até três dias contados da data da determinação, nas quais se informará sobre os prazos a que fazem referência os arts. 59 a 63.</w:t>
      </w:r>
    </w:p>
    <w:p w14:paraId="54D6D53F"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6º A eventual recomendação quanto à aplicação de direitos provisórios será encaminhada à CAMEX que, imediatamente após a decisão sobre sua aplicação, publicará o ato correspondente.</w:t>
      </w:r>
    </w:p>
    <w:p w14:paraId="50BFB7DD"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7º As determinações preliminares serão elaboradas com base nos elementos de prova apresentados no prazo de sessenta dias, contado da data do início da investigação.</w:t>
      </w:r>
    </w:p>
    <w:p w14:paraId="486FB633" w14:textId="59636BF6"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 8º Os elementos de prova apresentados após o prazo a que se refere o § 7º poderão ser utilizados pelo DECOM, se a análise não prejudicar o cumprimento do prazo a que se refere o caput.</w:t>
      </w:r>
    </w:p>
    <w:p w14:paraId="20EFA154"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Art. 66. Direitos provisórios somente poderão ser aplicados se:</w:t>
      </w:r>
    </w:p>
    <w:p w14:paraId="240CDF0C" w14:textId="68C7E091"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EB6A6D" w:rsidRPr="005C5CBD">
        <w:rPr>
          <w:rFonts w:ascii="Garamond" w:hAnsi="Garamond" w:cstheme="majorHAnsi"/>
          <w:sz w:val="24"/>
          <w:szCs w:val="24"/>
        </w:rPr>
        <w:t xml:space="preserve"> </w:t>
      </w:r>
      <w:r w:rsidRPr="00847C9D">
        <w:rPr>
          <w:rFonts w:ascii="Garamond" w:hAnsi="Garamond" w:cstheme="majorHAnsi"/>
          <w:sz w:val="24"/>
          <w:szCs w:val="24"/>
        </w:rPr>
        <w:t>- uma investigação tiver sido iniciada de acordo com as disposições constantes da Seção III do Capítulo V, o ato que tenha dado início à investigação tiver sido publicado e às partes interessadas tiver sido oferecida oportunidade adequada para se manifestarem;</w:t>
      </w:r>
    </w:p>
    <w:p w14:paraId="1CD591F0" w14:textId="6D55131C"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EB6A6D" w:rsidRPr="005C5CBD">
        <w:rPr>
          <w:rFonts w:ascii="Garamond" w:hAnsi="Garamond" w:cstheme="majorHAnsi"/>
          <w:sz w:val="24"/>
          <w:szCs w:val="24"/>
        </w:rPr>
        <w:t xml:space="preserve"> </w:t>
      </w:r>
      <w:r w:rsidRPr="00847C9D">
        <w:rPr>
          <w:rFonts w:ascii="Garamond" w:hAnsi="Garamond" w:cstheme="majorHAnsi"/>
          <w:sz w:val="24"/>
          <w:szCs w:val="24"/>
        </w:rPr>
        <w:t>- houver determinação preliminar positiva de dumping, de dano à indústria doméstica e do nexo de causalidade entre ambos; e</w:t>
      </w:r>
    </w:p>
    <w:p w14:paraId="484C535B" w14:textId="7FE2A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EB6A6D" w:rsidRPr="005C5CBD">
        <w:rPr>
          <w:rFonts w:ascii="Garamond" w:hAnsi="Garamond" w:cstheme="majorHAnsi"/>
          <w:sz w:val="24"/>
          <w:szCs w:val="24"/>
        </w:rPr>
        <w:t xml:space="preserve"> </w:t>
      </w:r>
      <w:r w:rsidRPr="00847C9D">
        <w:rPr>
          <w:rFonts w:ascii="Garamond" w:hAnsi="Garamond" w:cstheme="majorHAnsi"/>
          <w:sz w:val="24"/>
          <w:szCs w:val="24"/>
        </w:rPr>
        <w:t>- a CAMEX julgar que tais medidas são necessárias para impedir que ocorra dano durante a investigação.</w:t>
      </w:r>
    </w:p>
    <w:p w14:paraId="6B831AAC" w14:textId="1AD44779"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1º O valor da medida antidumping provisória não poderá exceder a margem</w:t>
      </w:r>
      <w:r w:rsidR="00EB6A6D" w:rsidRPr="005C5CBD">
        <w:rPr>
          <w:rFonts w:ascii="Garamond" w:hAnsi="Garamond" w:cstheme="majorHAnsi"/>
          <w:sz w:val="24"/>
          <w:szCs w:val="24"/>
        </w:rPr>
        <w:t xml:space="preserve"> </w:t>
      </w:r>
      <w:r w:rsidRPr="00847C9D">
        <w:rPr>
          <w:rFonts w:ascii="Garamond" w:hAnsi="Garamond" w:cstheme="majorHAnsi"/>
          <w:sz w:val="24"/>
          <w:szCs w:val="24"/>
        </w:rPr>
        <w:t>de dumping.</w:t>
      </w:r>
    </w:p>
    <w:p w14:paraId="52301BCA" w14:textId="6DF20B2F"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2º Medidas antidumping provisórias serão aplicadas na forma de direito</w:t>
      </w:r>
      <w:r w:rsidR="00EB6A6D" w:rsidRPr="005C5CBD">
        <w:rPr>
          <w:rFonts w:ascii="Garamond" w:hAnsi="Garamond" w:cstheme="majorHAnsi"/>
          <w:sz w:val="24"/>
          <w:szCs w:val="24"/>
        </w:rPr>
        <w:t xml:space="preserve"> </w:t>
      </w:r>
      <w:r w:rsidRPr="00847C9D">
        <w:rPr>
          <w:rFonts w:ascii="Garamond" w:hAnsi="Garamond" w:cstheme="majorHAnsi"/>
          <w:sz w:val="24"/>
          <w:szCs w:val="24"/>
        </w:rPr>
        <w:t>provisório ou de garantia, cujo valor será equivalente ao do direito provisório.</w:t>
      </w:r>
    </w:p>
    <w:p w14:paraId="1AA6F63E"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3º Direitos provisórios serão recolhidos e garantias serão prestadas mediante depósito em espécie ou fiança bancária, cabendo à Secretaria da Receita Federal do Brasil do Ministério da Fazenda estabelecer os procedimentos de recolhimento.</w:t>
      </w:r>
    </w:p>
    <w:p w14:paraId="71BAEEED" w14:textId="18DB5D85"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4º A CAMEX publicará ato com decisão de aplicar medidas antidumping</w:t>
      </w:r>
      <w:r w:rsidR="00EB6A6D" w:rsidRPr="005C5CBD">
        <w:rPr>
          <w:rFonts w:ascii="Garamond" w:hAnsi="Garamond" w:cstheme="majorHAnsi"/>
          <w:sz w:val="24"/>
          <w:szCs w:val="24"/>
        </w:rPr>
        <w:t xml:space="preserve"> </w:t>
      </w:r>
      <w:r w:rsidRPr="00847C9D">
        <w:rPr>
          <w:rFonts w:ascii="Garamond" w:hAnsi="Garamond" w:cstheme="majorHAnsi"/>
          <w:sz w:val="24"/>
          <w:szCs w:val="24"/>
        </w:rPr>
        <w:t>provisórias, na forma estabelecida no Capítulo X.</w:t>
      </w:r>
    </w:p>
    <w:p w14:paraId="0D4FBECB" w14:textId="4151B0C8"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5º O desembaraço aduaneiro dos produtos objeto de medidas antidumping</w:t>
      </w:r>
      <w:r w:rsidR="00EB6A6D" w:rsidRPr="005C5CBD">
        <w:rPr>
          <w:rFonts w:ascii="Garamond" w:hAnsi="Garamond" w:cstheme="majorHAnsi"/>
          <w:sz w:val="24"/>
          <w:szCs w:val="24"/>
        </w:rPr>
        <w:t xml:space="preserve"> </w:t>
      </w:r>
      <w:r w:rsidRPr="00847C9D">
        <w:rPr>
          <w:rFonts w:ascii="Garamond" w:hAnsi="Garamond" w:cstheme="majorHAnsi"/>
          <w:sz w:val="24"/>
          <w:szCs w:val="24"/>
        </w:rPr>
        <w:t>provisórias dependerá do pagamento do direito ou da prestação da garantia.</w:t>
      </w:r>
    </w:p>
    <w:p w14:paraId="475732A2"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6º A vigência das medidas antidumping provisórias será limitada a um período não superior a quatro meses, exceto nos casos em que, por decisão do Conselho de Ministros da CAMEX e a pedido de exportadores que representem percentual significativo do comércio em questão, poderá ser de até seis meses.</w:t>
      </w:r>
    </w:p>
    <w:p w14:paraId="773E563A"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7º Os exportadores poderão solicitar, por escrito, a extensão do prazo de aplicação da medida antidumping provisória, no prazo de trinta dias antes do término do período de vigência da medida.</w:t>
      </w:r>
    </w:p>
    <w:p w14:paraId="2D7EE60F" w14:textId="77777777" w:rsidR="00C12525" w:rsidRPr="00847C9D" w:rsidRDefault="00C12525" w:rsidP="00EB2408">
      <w:pPr>
        <w:tabs>
          <w:tab w:val="left" w:pos="3105"/>
        </w:tabs>
        <w:jc w:val="both"/>
        <w:rPr>
          <w:rFonts w:ascii="Garamond" w:hAnsi="Garamond" w:cstheme="majorHAnsi"/>
          <w:sz w:val="24"/>
          <w:szCs w:val="24"/>
        </w:rPr>
      </w:pPr>
      <w:r w:rsidRPr="00847C9D">
        <w:rPr>
          <w:rFonts w:ascii="Garamond" w:hAnsi="Garamond" w:cstheme="majorHAnsi"/>
          <w:sz w:val="24"/>
          <w:szCs w:val="24"/>
        </w:rPr>
        <w:t>§ 8º Na hipótese de ser aplicada medida antidumping provisória inferior à margem de dumping, os períodos previstos no § 6º passam a ser de seis e nove meses, respectivamente.</w:t>
      </w:r>
    </w:p>
    <w:p w14:paraId="2C8A3849" w14:textId="77777777" w:rsidR="00C12525" w:rsidRPr="005C5CBD" w:rsidRDefault="00C12525" w:rsidP="00554628">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Seção VI</w:t>
      </w:r>
    </w:p>
    <w:p w14:paraId="4D9E0F2D" w14:textId="1EE4F4D4" w:rsidR="00C12525" w:rsidRDefault="00C12525" w:rsidP="00554628">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Do Compromisso de Preços</w:t>
      </w:r>
    </w:p>
    <w:p w14:paraId="50912302" w14:textId="77777777" w:rsidR="00C12525" w:rsidRPr="005C5CBD" w:rsidRDefault="00C12525" w:rsidP="00554628">
      <w:pPr>
        <w:tabs>
          <w:tab w:val="left" w:pos="3105"/>
        </w:tabs>
        <w:spacing w:after="0" w:line="240" w:lineRule="auto"/>
        <w:jc w:val="center"/>
        <w:rPr>
          <w:rFonts w:ascii="Garamond" w:hAnsi="Garamond" w:cstheme="majorHAnsi"/>
          <w:b/>
          <w:sz w:val="24"/>
          <w:szCs w:val="24"/>
        </w:rPr>
      </w:pPr>
    </w:p>
    <w:p w14:paraId="2E958F1A"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Art. 67. A investigação poderá ser suspensa sem aplicação de medidas provisórias ou de direitos definitivos para os produtores ou exportadores que tenham assumido voluntariamente compromisso de revisão dos seus preços de exportação ou de cessação das exportações a preço de dumping destinadas ao Brasil, desde que as autoridades referidas no art. 2º considerem o compromisso satisfatório para eliminar o dano à indústria doméstica causado pelas importações a preço de dumping.</w:t>
      </w:r>
    </w:p>
    <w:p w14:paraId="16EA0159"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1º O compromisso será celebrado perante o DECOM, submetido à homologação do Conselho de Ministros da CAMEX.</w:t>
      </w:r>
    </w:p>
    <w:p w14:paraId="2A426C21"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2º O compromisso de preços deverá conter permissão expressa de verificação in loco pelo DECOM e previsão de fornecimento de informações periódicas relativas a seu cumprimento.</w:t>
      </w:r>
    </w:p>
    <w:p w14:paraId="513AFBB0"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3º A investigação de dumping, de dano à indústria doméstica e de nexo de causalidade entre ambos poderá prosseguir a pedido do exportador ou a critério do DECOM.</w:t>
      </w:r>
    </w:p>
    <w:p w14:paraId="5ED676A3"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4º O aumento de preço ao amparo do compromisso não poderá exceder a margem de dumping.</w:t>
      </w:r>
    </w:p>
    <w:p w14:paraId="6492340A"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5º O aumento de preço a que se refere o § 4º será igual ou inferior à margem de dumping apurada, com o fim exclusivo de eliminar o dano causado à indústria doméstica pelas importações objeto de dumping.</w:t>
      </w:r>
    </w:p>
    <w:p w14:paraId="57E341E4"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6º Os exportadores somente poderão oferecer compromissos de preços ou aceitar aqueles oferecidos pelo DECOM durante o período compreendido entre a data da publicação da determinação preliminar positiva de dumping, de dano à indústria doméstica e do nexo de causalidade entre ambos, e o encerramento da fase probatória.</w:t>
      </w:r>
    </w:p>
    <w:p w14:paraId="4463B500"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7º A SECEX publicará o ato com indicação das informações que deverão constar das ofertas de compromissos de preços.</w:t>
      </w:r>
    </w:p>
    <w:p w14:paraId="40238D6D"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8º Os exportadores não estão obrigados a propor compromisso de preços nem a aceitar eventuais ajustes ou compromissos propostos pelo DECOM.</w:t>
      </w:r>
    </w:p>
    <w:p w14:paraId="2EF572EE"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9º As propostas não prejudicarão o curso da investigação nem alterarão a determinação preliminar.</w:t>
      </w:r>
    </w:p>
    <w:p w14:paraId="1946D042"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10. O DECOM poderá recusar ofertas de compromissos de preços consideradas ineficazes ou impraticáveis.</w:t>
      </w:r>
    </w:p>
    <w:p w14:paraId="4CB02581"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11. Na decisão de recusa a que faz referência o § 10, deverão ser levados em consideração, entre outros, o grau de homogeneidade do produto, o número de ofertas de compromissos de preços e a existência de associação ou relacionamento entre partes interessadas, tal qual definido no § 10 do art. 14.</w:t>
      </w:r>
    </w:p>
    <w:p w14:paraId="1C9BA22D"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12. Serão informadas ao produtor ou exportador as razões pelas quais o compromisso foi julgado ineficaz ou impraticável e será concedido prazo de dez dias para manifestação, por escrito.</w:t>
      </w:r>
    </w:p>
    <w:p w14:paraId="19A969CC"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13. Na análise da possibilidade de homologação de compromissos de preço, será levado em consideração se os compromissos foram oferecidos por produtores ou exportadores dos Estados Partes do MERCOSUL.</w:t>
      </w:r>
    </w:p>
    <w:p w14:paraId="782E50CE"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Art. 68. A CAMEX publicará a homologação do compromisso de preços, no qual deverão constar, entre outras informações:</w:t>
      </w:r>
    </w:p>
    <w:p w14:paraId="2EF8A5EC" w14:textId="223559EF"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I - o nome dos produtores ou exportadores para os quais vigerá o compromisso</w:t>
      </w:r>
      <w:r w:rsidR="00ED65BD" w:rsidRPr="005C5CBD">
        <w:rPr>
          <w:rFonts w:ascii="Garamond" w:hAnsi="Garamond" w:cstheme="majorHAnsi"/>
          <w:sz w:val="24"/>
          <w:szCs w:val="24"/>
        </w:rPr>
        <w:t xml:space="preserve"> </w:t>
      </w:r>
      <w:r w:rsidRPr="00847C9D">
        <w:rPr>
          <w:rFonts w:ascii="Garamond" w:hAnsi="Garamond" w:cstheme="majorHAnsi"/>
          <w:sz w:val="24"/>
          <w:szCs w:val="24"/>
        </w:rPr>
        <w:t>de preços;</w:t>
      </w:r>
    </w:p>
    <w:p w14:paraId="63FF8B41" w14:textId="6AD71725"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II - a descrição do produto objeto da medida; e III - os termos do compromisso de preços.</w:t>
      </w:r>
    </w:p>
    <w:p w14:paraId="15BF50C2"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Art. 69. O produtor ou exportador sujeito a compromisso de preços deverá fornecer periodicamente, caso solicitado, informação relativa a seu cumprimento e permitir verificação in loco dos dados pertinentes, sob pena de serem considerados violados os termos do compromisso.</w:t>
      </w:r>
    </w:p>
    <w:p w14:paraId="58C24264"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Art. 70. Havendo indícios de violação aos termos do compromisso de preços, será dada oportunidade para que o produtor ou exportador se manifeste.</w:t>
      </w:r>
    </w:p>
    <w:p w14:paraId="6F08B53B"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Art. 71. Caso seja constatada a violação do compromisso de preços, o DECOM notificará o referido produtor ou exportador e a CAMEX publicará ato com informações a respeito da retomada da investigação e da aplicação imediata de direitos provisórios ou sobre a aplicação de direitos definitivos.</w:t>
      </w:r>
    </w:p>
    <w:p w14:paraId="3C1D8947" w14:textId="2A56678D"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Parágrafo único. As partes interessadas serão notificadas sobre o término do compromisso e sobre os direitos </w:t>
      </w:r>
      <w:r w:rsidRPr="005C5CBD">
        <w:rPr>
          <w:rFonts w:ascii="Garamond" w:hAnsi="Garamond" w:cstheme="majorHAnsi"/>
          <w:sz w:val="24"/>
          <w:szCs w:val="24"/>
        </w:rPr>
        <w:t>antidumping</w:t>
      </w:r>
      <w:r w:rsidR="005D37E9" w:rsidRPr="005C5CBD">
        <w:rPr>
          <w:rFonts w:ascii="Garamond" w:hAnsi="Garamond" w:cstheme="majorHAnsi"/>
          <w:sz w:val="24"/>
          <w:szCs w:val="24"/>
        </w:rPr>
        <w:t xml:space="preserve"> </w:t>
      </w:r>
      <w:r w:rsidRPr="005C5CBD">
        <w:rPr>
          <w:rFonts w:ascii="Garamond" w:hAnsi="Garamond" w:cstheme="majorHAnsi"/>
          <w:sz w:val="24"/>
          <w:szCs w:val="24"/>
        </w:rPr>
        <w:t>provisórios</w:t>
      </w:r>
      <w:r w:rsidRPr="00847C9D">
        <w:rPr>
          <w:rFonts w:ascii="Garamond" w:hAnsi="Garamond" w:cstheme="majorHAnsi"/>
          <w:sz w:val="24"/>
          <w:szCs w:val="24"/>
        </w:rPr>
        <w:t xml:space="preserve"> ou definitivos aplicados.</w:t>
      </w:r>
    </w:p>
    <w:p w14:paraId="2501B003" w14:textId="77777777" w:rsidR="00C12525" w:rsidRPr="005C5CBD" w:rsidRDefault="00C12525" w:rsidP="00554628">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Seção VII</w:t>
      </w:r>
    </w:p>
    <w:p w14:paraId="4CCA28FF" w14:textId="68E39357" w:rsidR="00C12525" w:rsidRDefault="00C12525" w:rsidP="00554628">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Do encerramento da investigação</w:t>
      </w:r>
    </w:p>
    <w:p w14:paraId="7D9863EB" w14:textId="77777777" w:rsidR="00C12525" w:rsidRPr="005C5CBD" w:rsidRDefault="00C12525" w:rsidP="00554628">
      <w:pPr>
        <w:tabs>
          <w:tab w:val="left" w:pos="3105"/>
        </w:tabs>
        <w:spacing w:after="0" w:line="240" w:lineRule="auto"/>
        <w:jc w:val="center"/>
        <w:rPr>
          <w:rFonts w:ascii="Garamond" w:hAnsi="Garamond" w:cstheme="majorHAnsi"/>
          <w:b/>
          <w:sz w:val="24"/>
          <w:szCs w:val="24"/>
        </w:rPr>
      </w:pPr>
    </w:p>
    <w:p w14:paraId="760212D2"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Art. 72. As investigações serão concluídas no prazo de dez meses, contado da data do início da investigação, exceto em circunstâncias excepcionais, quando o prazo poderá ser prorrogado para até dezoito meses.</w:t>
      </w:r>
    </w:p>
    <w:p w14:paraId="31941DEE"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Art. 73. O peticionário poderá solicitar, a qualquer momento e mediante justificativa, o encerramento da investigação.</w:t>
      </w:r>
    </w:p>
    <w:p w14:paraId="1A4CF866"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1º Caso o pedido seja deferido, o processo será arquivado e a SECEX publicará ato com o encerramento da investigação, sem julgamento do mérito.</w:t>
      </w:r>
    </w:p>
    <w:p w14:paraId="15E218BB"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2º Caso uma investigação seja encerrada a pedido do peticionário, uma nova petição que envolva o mesmo produto somente será analisada se protocolada depois de decorrido o prazo de doze meses, contado do encerramento da investigação.</w:t>
      </w:r>
    </w:p>
    <w:p w14:paraId="61C81476" w14:textId="77777777" w:rsidR="00ED65BD" w:rsidRPr="005C5CBD" w:rsidRDefault="00C12525" w:rsidP="00ED65BD">
      <w:pPr>
        <w:tabs>
          <w:tab w:val="left" w:pos="3105"/>
        </w:tabs>
        <w:jc w:val="both"/>
        <w:rPr>
          <w:rFonts w:ascii="Garamond" w:hAnsi="Garamond" w:cstheme="majorHAnsi"/>
          <w:sz w:val="24"/>
          <w:szCs w:val="24"/>
        </w:rPr>
      </w:pPr>
      <w:r w:rsidRPr="005C5CBD">
        <w:rPr>
          <w:rFonts w:ascii="Garamond" w:hAnsi="Garamond" w:cstheme="majorHAnsi"/>
          <w:sz w:val="24"/>
          <w:szCs w:val="24"/>
        </w:rPr>
        <w:t>Art. 74. Será encerrada a investigação, sem aplicação de direitos, nos casos em</w:t>
      </w:r>
      <w:r w:rsidR="00ED65BD" w:rsidRPr="005C5CBD">
        <w:rPr>
          <w:rFonts w:ascii="Garamond" w:hAnsi="Garamond" w:cstheme="majorHAnsi"/>
          <w:sz w:val="24"/>
          <w:szCs w:val="24"/>
        </w:rPr>
        <w:t xml:space="preserve"> que:</w:t>
      </w:r>
    </w:p>
    <w:p w14:paraId="6AAAAFCA" w14:textId="08B92CFB"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I - não houver comprovação da existência de dumping, de dano à indústria</w:t>
      </w:r>
      <w:r w:rsidR="00ED65BD" w:rsidRPr="005C5CBD">
        <w:rPr>
          <w:rFonts w:ascii="Garamond" w:hAnsi="Garamond" w:cstheme="majorHAnsi"/>
          <w:sz w:val="24"/>
          <w:szCs w:val="24"/>
        </w:rPr>
        <w:t xml:space="preserve"> </w:t>
      </w:r>
      <w:r w:rsidRPr="00847C9D">
        <w:rPr>
          <w:rFonts w:ascii="Garamond" w:hAnsi="Garamond" w:cstheme="majorHAnsi"/>
          <w:sz w:val="24"/>
          <w:szCs w:val="24"/>
        </w:rPr>
        <w:t>doméstica ou de nexo de causalidade entre ambos;</w:t>
      </w:r>
    </w:p>
    <w:p w14:paraId="3126DA3C" w14:textId="11EAF3E2"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ED65BD" w:rsidRPr="005C5CBD">
        <w:rPr>
          <w:rFonts w:ascii="Garamond" w:hAnsi="Garamond" w:cstheme="majorHAnsi"/>
          <w:sz w:val="24"/>
          <w:szCs w:val="24"/>
        </w:rPr>
        <w:t xml:space="preserve"> </w:t>
      </w:r>
      <w:r w:rsidRPr="00847C9D">
        <w:rPr>
          <w:rFonts w:ascii="Garamond" w:hAnsi="Garamond" w:cstheme="majorHAnsi"/>
          <w:sz w:val="24"/>
          <w:szCs w:val="24"/>
        </w:rPr>
        <w:t>- a margem de dumping for de minimis; ou</w:t>
      </w:r>
    </w:p>
    <w:p w14:paraId="3A8F0152" w14:textId="064F9E7A"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ED65BD" w:rsidRPr="005C5CBD">
        <w:rPr>
          <w:rFonts w:ascii="Garamond" w:hAnsi="Garamond" w:cstheme="majorHAnsi"/>
          <w:sz w:val="24"/>
          <w:szCs w:val="24"/>
        </w:rPr>
        <w:t xml:space="preserve"> </w:t>
      </w:r>
      <w:r w:rsidRPr="00847C9D">
        <w:rPr>
          <w:rFonts w:ascii="Garamond" w:hAnsi="Garamond" w:cstheme="majorHAnsi"/>
          <w:sz w:val="24"/>
          <w:szCs w:val="24"/>
        </w:rPr>
        <w:t>- o volume, real ou potencial, de importações objeto de dumping, conforme estabelecido nos § 2º e § 3º do art. 31, ou o dano à indústria doméstica for insignificante.</w:t>
      </w:r>
    </w:p>
    <w:p w14:paraId="1B32723F"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Caso a investigação seja encerrada com base em determinação negativa, nova petição sobre o mesmo produto só será analisada se protocolada após doze meses contados da data do encerramento da investigação podendo este prazo, em casos excepcionais e devidamente justificados, ser reduzido para seis meses.</w:t>
      </w:r>
    </w:p>
    <w:p w14:paraId="61C1FD46" w14:textId="5BDEC85F"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Art. 75. O DECOM só recomendará a aplicação de direitos </w:t>
      </w:r>
      <w:r w:rsidRPr="005C5CBD">
        <w:rPr>
          <w:rFonts w:ascii="Garamond" w:hAnsi="Garamond" w:cstheme="majorHAnsi"/>
          <w:sz w:val="24"/>
          <w:szCs w:val="24"/>
        </w:rPr>
        <w:t>antidumping</w:t>
      </w:r>
      <w:r w:rsidR="005D37E9" w:rsidRPr="005C5CBD">
        <w:rPr>
          <w:rFonts w:ascii="Garamond" w:hAnsi="Garamond" w:cstheme="majorHAnsi"/>
          <w:sz w:val="24"/>
          <w:szCs w:val="24"/>
        </w:rPr>
        <w:t xml:space="preserve"> </w:t>
      </w:r>
      <w:r w:rsidRPr="005C5CBD">
        <w:rPr>
          <w:rFonts w:ascii="Garamond" w:hAnsi="Garamond" w:cstheme="majorHAnsi"/>
          <w:sz w:val="24"/>
          <w:szCs w:val="24"/>
        </w:rPr>
        <w:t>quando</w:t>
      </w:r>
      <w:r w:rsidRPr="00847C9D">
        <w:rPr>
          <w:rFonts w:ascii="Garamond" w:hAnsi="Garamond" w:cstheme="majorHAnsi"/>
          <w:sz w:val="24"/>
          <w:szCs w:val="24"/>
        </w:rPr>
        <w:t xml:space="preserve"> tiver alcançado uma determinação final positiva de dumping, de dano à indústria doméstica e de nexo de causalidade entre ambos.</w:t>
      </w:r>
    </w:p>
    <w:p w14:paraId="2A51722A" w14:textId="77777777"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Art. 76. Na hipótese de ter sido homologado um compromisso de preços, com subsequente prosseguimento da investigação:</w:t>
      </w:r>
    </w:p>
    <w:p w14:paraId="2FA59A84" w14:textId="4268F9E8"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ED65BD" w:rsidRPr="005C5CBD">
        <w:rPr>
          <w:rFonts w:ascii="Garamond" w:hAnsi="Garamond" w:cstheme="majorHAnsi"/>
          <w:sz w:val="24"/>
          <w:szCs w:val="24"/>
        </w:rPr>
        <w:t xml:space="preserve"> </w:t>
      </w:r>
      <w:r w:rsidRPr="00847C9D">
        <w:rPr>
          <w:rFonts w:ascii="Garamond" w:hAnsi="Garamond" w:cstheme="majorHAnsi"/>
          <w:sz w:val="24"/>
          <w:szCs w:val="24"/>
        </w:rPr>
        <w:t>- se o DECOM alcançar uma determinação negativa de dumping, de dano à indústria doméstica ou de nexo de causalidade entre ambos, a investigação será encerrada e o compromisso de preços automaticamente extinto, exceto quando a determinação negativa resultar, substancialmente, da própria existência do compromisso de preços, caso em que poderá ser requerida sua manutenção por período razoável, cabendo à CAMEX publicar o ato correspondente; ou</w:t>
      </w:r>
    </w:p>
    <w:p w14:paraId="7F258FBE" w14:textId="2B8BFA03"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ED65BD" w:rsidRPr="005C5CBD">
        <w:rPr>
          <w:rFonts w:ascii="Garamond" w:hAnsi="Garamond" w:cstheme="majorHAnsi"/>
          <w:sz w:val="24"/>
          <w:szCs w:val="24"/>
        </w:rPr>
        <w:t xml:space="preserve"> </w:t>
      </w:r>
      <w:r w:rsidRPr="00847C9D">
        <w:rPr>
          <w:rFonts w:ascii="Garamond" w:hAnsi="Garamond" w:cstheme="majorHAnsi"/>
          <w:sz w:val="24"/>
          <w:szCs w:val="24"/>
        </w:rPr>
        <w:t>- se o DECOM alcançar uma determinação positiva de dumping, de dano à indústria doméstica ou de nexo de causalidade entre ambos, a investigação será encerrada e a aplicação do direito definitivo será suspensa enquanto vigorar o compromisso de preços.</w:t>
      </w:r>
    </w:p>
    <w:p w14:paraId="4F97CB9D" w14:textId="43BA55AC" w:rsidR="00C12525" w:rsidRPr="00847C9D" w:rsidRDefault="00C12525" w:rsidP="00ED65BD">
      <w:pPr>
        <w:tabs>
          <w:tab w:val="left" w:pos="3105"/>
        </w:tabs>
        <w:jc w:val="both"/>
        <w:rPr>
          <w:rFonts w:ascii="Garamond" w:hAnsi="Garamond" w:cstheme="majorHAnsi"/>
          <w:sz w:val="24"/>
          <w:szCs w:val="24"/>
        </w:rPr>
      </w:pPr>
      <w:r w:rsidRPr="00847C9D">
        <w:rPr>
          <w:rFonts w:ascii="Garamond" w:hAnsi="Garamond" w:cstheme="majorHAnsi"/>
          <w:sz w:val="24"/>
          <w:szCs w:val="24"/>
        </w:rPr>
        <w:t>Art. 77. A CAMEX publicará a decisão de aplicar medidas antidumping</w:t>
      </w:r>
      <w:r w:rsidR="00ED65BD" w:rsidRPr="005C5CBD">
        <w:rPr>
          <w:rFonts w:ascii="Garamond" w:hAnsi="Garamond" w:cstheme="majorHAnsi"/>
          <w:sz w:val="24"/>
          <w:szCs w:val="24"/>
        </w:rPr>
        <w:t xml:space="preserve"> </w:t>
      </w:r>
      <w:r w:rsidRPr="00847C9D">
        <w:rPr>
          <w:rFonts w:ascii="Garamond" w:hAnsi="Garamond" w:cstheme="majorHAnsi"/>
          <w:sz w:val="24"/>
          <w:szCs w:val="24"/>
        </w:rPr>
        <w:t>definitivas, na forma estabelecida no Capítulo X.</w:t>
      </w:r>
    </w:p>
    <w:p w14:paraId="6516BEFD" w14:textId="331E6464" w:rsidR="00C12525" w:rsidRPr="005C5CBD" w:rsidRDefault="00C12525" w:rsidP="00554628">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CAPÍTULO VI</w:t>
      </w:r>
    </w:p>
    <w:p w14:paraId="34A9DEBB" w14:textId="77777777" w:rsidR="00C12525" w:rsidRPr="00847C9D" w:rsidRDefault="00C12525" w:rsidP="00554628">
      <w:pPr>
        <w:tabs>
          <w:tab w:val="left" w:pos="3105"/>
        </w:tabs>
        <w:spacing w:after="0" w:line="240" w:lineRule="auto"/>
        <w:jc w:val="center"/>
        <w:rPr>
          <w:rFonts w:ascii="Garamond" w:hAnsi="Garamond" w:cstheme="majorHAnsi"/>
          <w:sz w:val="24"/>
          <w:szCs w:val="24"/>
        </w:rPr>
      </w:pPr>
      <w:r w:rsidRPr="005C5CBD">
        <w:rPr>
          <w:rFonts w:ascii="Garamond" w:hAnsi="Garamond" w:cstheme="majorHAnsi"/>
          <w:b/>
          <w:sz w:val="24"/>
          <w:szCs w:val="24"/>
        </w:rPr>
        <w:t>DA APLICAÇÃO E COBRANÇA DOS DIREITOS ANTIDUMPING</w:t>
      </w:r>
    </w:p>
    <w:p w14:paraId="5EBB10CF" w14:textId="77777777" w:rsidR="00C12525" w:rsidRDefault="00C12525" w:rsidP="00ED65BD">
      <w:pPr>
        <w:tabs>
          <w:tab w:val="left" w:pos="3105"/>
        </w:tabs>
        <w:jc w:val="center"/>
        <w:rPr>
          <w:rFonts w:ascii="Garamond" w:hAnsi="Garamond" w:cstheme="majorHAnsi"/>
          <w:b/>
          <w:sz w:val="24"/>
          <w:szCs w:val="24"/>
        </w:rPr>
      </w:pPr>
    </w:p>
    <w:p w14:paraId="25CDDD8C" w14:textId="76ACD02C" w:rsidR="00ED65BD" w:rsidRPr="005C5CBD" w:rsidRDefault="00C12525" w:rsidP="00554628">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Seção I</w:t>
      </w:r>
    </w:p>
    <w:p w14:paraId="6C5A8602" w14:textId="338238E8" w:rsidR="00C12525" w:rsidRPr="005C5CBD" w:rsidRDefault="00C12525" w:rsidP="00554628">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 Aplicação</w:t>
      </w:r>
    </w:p>
    <w:p w14:paraId="67D3E533" w14:textId="342C7ED2" w:rsidR="00C12525" w:rsidRPr="00847C9D" w:rsidRDefault="00ED65BD" w:rsidP="00ED65BD">
      <w:pPr>
        <w:tabs>
          <w:tab w:val="left" w:pos="5415"/>
        </w:tabs>
        <w:jc w:val="both"/>
        <w:rPr>
          <w:rFonts w:ascii="Garamond" w:hAnsi="Garamond" w:cstheme="majorHAnsi"/>
          <w:sz w:val="24"/>
          <w:szCs w:val="24"/>
        </w:rPr>
      </w:pPr>
      <w:r w:rsidRPr="005C5CBD">
        <w:rPr>
          <w:rFonts w:ascii="Garamond" w:hAnsi="Garamond" w:cstheme="majorHAnsi"/>
          <w:sz w:val="24"/>
          <w:szCs w:val="24"/>
        </w:rPr>
        <w:tab/>
      </w:r>
    </w:p>
    <w:p w14:paraId="470CB3B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78. A expressão “direito antidumping” significa um montante em dinheiro igual ou inferior à margem de dumping apurada.</w:t>
      </w:r>
    </w:p>
    <w:p w14:paraId="4D573352"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Ressalvados os casos previstos no § 3º e as decisões da CAMEX amparadas pelo art. 3º, o direito antidumping a ser aplicado será inferior à margem de dumping sempre que um montante inferior a essa margem for suficiente para eliminar o dano à indústria doméstica causado por importações objeto de dumping.</w:t>
      </w:r>
    </w:p>
    <w:p w14:paraId="54324432" w14:textId="44FFAA50"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O montante do direito antidumping não poderá exceder a margem de</w:t>
      </w:r>
      <w:r w:rsidR="00ED65BD" w:rsidRPr="005C5CBD">
        <w:rPr>
          <w:rFonts w:ascii="Garamond" w:hAnsi="Garamond" w:cstheme="majorHAnsi"/>
          <w:sz w:val="24"/>
          <w:szCs w:val="24"/>
        </w:rPr>
        <w:t xml:space="preserve"> </w:t>
      </w:r>
      <w:r w:rsidRPr="00847C9D">
        <w:rPr>
          <w:rFonts w:ascii="Garamond" w:hAnsi="Garamond" w:cstheme="majorHAnsi"/>
          <w:sz w:val="24"/>
          <w:szCs w:val="24"/>
        </w:rPr>
        <w:t>dumping.</w:t>
      </w:r>
    </w:p>
    <w:p w14:paraId="6BF27F99" w14:textId="4E07F382"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3º O direito antidumping a ser aplicado corresponderá necessariamente à</w:t>
      </w:r>
      <w:r w:rsidR="00ED65BD" w:rsidRPr="005C5CBD">
        <w:rPr>
          <w:rFonts w:ascii="Garamond" w:hAnsi="Garamond" w:cstheme="majorHAnsi"/>
          <w:sz w:val="24"/>
          <w:szCs w:val="24"/>
        </w:rPr>
        <w:t xml:space="preserve"> </w:t>
      </w:r>
      <w:r w:rsidRPr="00847C9D">
        <w:rPr>
          <w:rFonts w:ascii="Garamond" w:hAnsi="Garamond" w:cstheme="majorHAnsi"/>
          <w:sz w:val="24"/>
          <w:szCs w:val="24"/>
        </w:rPr>
        <w:t>margem de dumping nos seguintes casos:</w:t>
      </w:r>
    </w:p>
    <w:p w14:paraId="51161162" w14:textId="3C20DDB4"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ED65BD" w:rsidRPr="005C5CBD">
        <w:rPr>
          <w:rFonts w:ascii="Garamond" w:hAnsi="Garamond" w:cstheme="majorHAnsi"/>
          <w:sz w:val="24"/>
          <w:szCs w:val="24"/>
        </w:rPr>
        <w:t xml:space="preserve"> </w:t>
      </w:r>
      <w:r w:rsidRPr="00847C9D">
        <w:rPr>
          <w:rFonts w:ascii="Garamond" w:hAnsi="Garamond" w:cstheme="majorHAnsi"/>
          <w:sz w:val="24"/>
          <w:szCs w:val="24"/>
        </w:rPr>
        <w:t>- produtores ou exportadores cuja margem de dumping foi apurada com base na melhor informação disponível ou cujo direito antidumping for aplicado nos termos do art. 80;</w:t>
      </w:r>
    </w:p>
    <w:p w14:paraId="56A5BFBB" w14:textId="62117566"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ED65BD" w:rsidRPr="005C5CBD">
        <w:rPr>
          <w:rFonts w:ascii="Garamond" w:hAnsi="Garamond" w:cstheme="majorHAnsi"/>
          <w:sz w:val="24"/>
          <w:szCs w:val="24"/>
        </w:rPr>
        <w:t xml:space="preserve"> </w:t>
      </w:r>
      <w:r w:rsidRPr="00847C9D">
        <w:rPr>
          <w:rFonts w:ascii="Garamond" w:hAnsi="Garamond" w:cstheme="majorHAnsi"/>
          <w:sz w:val="24"/>
          <w:szCs w:val="24"/>
        </w:rPr>
        <w:t>- redeterminações positivas relativas ao inciso II do caput do art. 155; e III - revisões:</w:t>
      </w:r>
    </w:p>
    <w:p w14:paraId="2FB94EB0" w14:textId="02EF3D8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w:t>
      </w:r>
      <w:r w:rsidR="00ED65BD" w:rsidRPr="005C5CBD">
        <w:rPr>
          <w:rFonts w:ascii="Garamond" w:hAnsi="Garamond" w:cstheme="majorHAnsi"/>
          <w:sz w:val="24"/>
          <w:szCs w:val="24"/>
        </w:rPr>
        <w:t xml:space="preserve"> </w:t>
      </w:r>
      <w:r w:rsidRPr="00847C9D">
        <w:rPr>
          <w:rFonts w:ascii="Garamond" w:hAnsi="Garamond" w:cstheme="majorHAnsi"/>
          <w:sz w:val="24"/>
          <w:szCs w:val="24"/>
        </w:rPr>
        <w:t>por alteração das circunstâncias que, amparadas na Subseção I, da Seção II, do Capítulo VIII, envolvam apenas o cálculo da margem de dumping;</w:t>
      </w:r>
    </w:p>
    <w:p w14:paraId="730C8309" w14:textId="50F85DC8"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b)</w:t>
      </w:r>
      <w:r w:rsidR="00ED65BD" w:rsidRPr="005C5CBD">
        <w:rPr>
          <w:rFonts w:ascii="Garamond" w:hAnsi="Garamond" w:cstheme="majorHAnsi"/>
          <w:sz w:val="24"/>
          <w:szCs w:val="24"/>
        </w:rPr>
        <w:t xml:space="preserve"> </w:t>
      </w:r>
      <w:r w:rsidRPr="00847C9D">
        <w:rPr>
          <w:rFonts w:ascii="Garamond" w:hAnsi="Garamond" w:cstheme="majorHAnsi"/>
          <w:sz w:val="24"/>
          <w:szCs w:val="24"/>
        </w:rPr>
        <w:t>para novos produtores ou exportadores, ao amparo da Subseção I, da Seção III, do Capítulo VIII; ou</w:t>
      </w:r>
    </w:p>
    <w:p w14:paraId="420BECF3" w14:textId="61EA4B70"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c)</w:t>
      </w:r>
      <w:r w:rsidR="00ED65BD" w:rsidRPr="005C5CBD">
        <w:rPr>
          <w:rFonts w:ascii="Garamond" w:hAnsi="Garamond" w:cstheme="majorHAnsi"/>
          <w:sz w:val="24"/>
          <w:szCs w:val="24"/>
        </w:rPr>
        <w:t xml:space="preserve"> </w:t>
      </w:r>
      <w:r w:rsidRPr="00847C9D">
        <w:rPr>
          <w:rFonts w:ascii="Garamond" w:hAnsi="Garamond" w:cstheme="majorHAnsi"/>
          <w:sz w:val="24"/>
          <w:szCs w:val="24"/>
        </w:rPr>
        <w:t>anticircunvenção, ao amparo da Subseção II, da Seção III, do Capítulo VIII, sempre que o direito antidumping em vigor tenha sido aplicado com base na margem de dumping.</w:t>
      </w:r>
    </w:p>
    <w:p w14:paraId="5E8E09B5"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4º O direito antidumping será aplicado na forma de alíquotas ad valorem ou específicas, fixas ou variáveis, ou pela conjugação de ambas.</w:t>
      </w:r>
    </w:p>
    <w:p w14:paraId="38FFBC6F" w14:textId="3555F6D5"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 5º A alíquota ad valorem será aplicada sobre o valor aduaneiro da mercadoria, em base Cost, Insurance&amp;Freight - CIF, apurado nos termos da legislação.</w:t>
      </w:r>
    </w:p>
    <w:p w14:paraId="45ECC62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6º A alíquota específica será fixada em moeda estrangeira e convertida em moeda nacional, nos termos da legislação.</w:t>
      </w:r>
    </w:p>
    <w:p w14:paraId="146D8CCE"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79. A aplicação de medidas antidumping vigentes poderá ser estendida a importações de produtos originários de terceiros países,e a importações de partes, peças e componentes do produto sujeito à aplicação de medida antidumping, caso constatada a existência de práticas comerciais que visem a frustrar a eficácia de medidas antidumping em vigor, observadas as disposições relativas à revisão anticircunvenção estabelecidas na Subseção II da Seção III do Capítulo VIII.</w:t>
      </w:r>
    </w:p>
    <w:p w14:paraId="5275E80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80. Nas situações em que, nos termos do art. 28, tenha sido determinado que a análise de casos individuais resultaria em sobrecarga despropositada para o DECOM ou em impedimento à conclusão da investigação nos prazos estabelecidos, serão aplicados direitos antidumping individuais de mesmo valor para todos os produtores ou exportadores conhecidos que, mesmo não tendo sido incluídos na seleção, tenham fornecido as informações solicitadas no § 6º e no § 7º do art. 28.</w:t>
      </w:r>
    </w:p>
    <w:p w14:paraId="10530D6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Os direitos antidumping individuais de mesmo valor a que faz referência o caput serão calculados com base na média ponderada da margem de dumping apurada para os produtores ou exportadores incluídos na seleção efetuada nos termos do art. 28.</w:t>
      </w:r>
    </w:p>
    <w:p w14:paraId="5D36702D"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Caso não tenham sido solicitadas informações, todos os produtores ou exportadores conhecidos farão jus a direitos antidumping individuais de mesmo valor.</w:t>
      </w:r>
    </w:p>
    <w:p w14:paraId="0C7A51EE"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3º O cálculo da margem de dumping a que faz referência o caput não levará em conta margens de dumping zero ou de minimis.</w:t>
      </w:r>
    </w:p>
    <w:p w14:paraId="4BA5DA4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4º Para os demais produtores ou exportadores, serão aplicados direitos antidumping calculados com base na melhor informação disponível, nos termos do § 3º do art. 50.</w:t>
      </w:r>
    </w:p>
    <w:p w14:paraId="0946DEE7"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81. Para fins do disposto no art. 36, serão cobrados direitos antidumping apenas para as importações do produto objeto da investigação destinadas ao consumo final no mercado considerado para fins da definição de indústria doméstica subnacional.</w:t>
      </w:r>
    </w:p>
    <w:p w14:paraId="7EE1EBDA" w14:textId="77777777" w:rsidR="00C12525" w:rsidRPr="00847C9D" w:rsidRDefault="00C12525" w:rsidP="006C7200">
      <w:pPr>
        <w:tabs>
          <w:tab w:val="left" w:pos="3105"/>
        </w:tabs>
        <w:jc w:val="both"/>
        <w:rPr>
          <w:rFonts w:ascii="Garamond" w:hAnsi="Garamond" w:cstheme="majorHAnsi"/>
          <w:sz w:val="24"/>
          <w:szCs w:val="24"/>
        </w:rPr>
      </w:pPr>
    </w:p>
    <w:p w14:paraId="22DCE607" w14:textId="77777777" w:rsidR="00F26A10" w:rsidRDefault="00F26A10">
      <w:pPr>
        <w:rPr>
          <w:rFonts w:ascii="Garamond" w:hAnsi="Garamond" w:cstheme="majorHAnsi"/>
          <w:b/>
          <w:sz w:val="24"/>
          <w:szCs w:val="24"/>
        </w:rPr>
      </w:pPr>
      <w:r>
        <w:rPr>
          <w:rFonts w:ascii="Garamond" w:hAnsi="Garamond" w:cstheme="majorHAnsi"/>
          <w:b/>
          <w:sz w:val="24"/>
          <w:szCs w:val="24"/>
        </w:rPr>
        <w:br w:type="page"/>
      </w:r>
    </w:p>
    <w:p w14:paraId="1707DB5B" w14:textId="7A301D31" w:rsidR="00ED65BD" w:rsidRPr="005C5CBD" w:rsidRDefault="00C12525" w:rsidP="00554628">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Seção II</w:t>
      </w:r>
    </w:p>
    <w:p w14:paraId="3C220348" w14:textId="492E79EA" w:rsidR="00C12525" w:rsidRPr="005C5CBD" w:rsidRDefault="00C12525" w:rsidP="00554628">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 Cobrança</w:t>
      </w:r>
    </w:p>
    <w:p w14:paraId="7FE4A902" w14:textId="528D0070" w:rsidR="00C12525" w:rsidRPr="00847C9D" w:rsidRDefault="00ED65BD" w:rsidP="00ED65BD">
      <w:pPr>
        <w:tabs>
          <w:tab w:val="left" w:pos="5355"/>
        </w:tabs>
        <w:jc w:val="both"/>
        <w:rPr>
          <w:rFonts w:ascii="Garamond" w:hAnsi="Garamond" w:cstheme="majorHAnsi"/>
          <w:sz w:val="24"/>
          <w:szCs w:val="24"/>
        </w:rPr>
      </w:pPr>
      <w:r w:rsidRPr="005C5CBD">
        <w:rPr>
          <w:rFonts w:ascii="Garamond" w:hAnsi="Garamond" w:cstheme="majorHAnsi"/>
          <w:sz w:val="24"/>
          <w:szCs w:val="24"/>
        </w:rPr>
        <w:tab/>
      </w:r>
    </w:p>
    <w:p w14:paraId="0234B95A"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82. Independentemente das obrigações de natureza tributária relativas à sua importação, serão cobrados direitos antidumping, provisórios ou definitivos, aplicados às importações do produto objeto da investigação para o qual tenha havido uma determinação preliminar ou final positiva e tenham sido cumpridas as demais exigências relativas à aplicação de direitos.</w:t>
      </w:r>
    </w:p>
    <w:p w14:paraId="0463A9AA"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83. Não serão cobrados direitos aplicados às importações de produtos de produtores ou exportadores com os quais tenham sido homologados compromissos de preço.</w:t>
      </w:r>
    </w:p>
    <w:p w14:paraId="3FEEB63C" w14:textId="5A60D8C9" w:rsidR="00C12525" w:rsidRPr="005C5CBD" w:rsidRDefault="00C12525" w:rsidP="00554628">
      <w:pPr>
        <w:tabs>
          <w:tab w:val="left" w:pos="3105"/>
        </w:tabs>
        <w:spacing w:after="0" w:line="240" w:lineRule="auto"/>
        <w:jc w:val="center"/>
        <w:rPr>
          <w:rFonts w:ascii="Garamond" w:hAnsi="Garamond" w:cstheme="majorHAnsi"/>
          <w:b/>
          <w:sz w:val="24"/>
          <w:szCs w:val="24"/>
        </w:rPr>
      </w:pPr>
      <w:r w:rsidRPr="00847C9D">
        <w:rPr>
          <w:rFonts w:ascii="Garamond" w:hAnsi="Garamond" w:cstheme="majorHAnsi"/>
          <w:sz w:val="24"/>
          <w:szCs w:val="24"/>
        </w:rPr>
        <w:t xml:space="preserve"> </w:t>
      </w:r>
      <w:r w:rsidRPr="005C5CBD">
        <w:rPr>
          <w:rFonts w:ascii="Garamond" w:hAnsi="Garamond" w:cstheme="majorHAnsi"/>
          <w:b/>
          <w:sz w:val="24"/>
          <w:szCs w:val="24"/>
        </w:rPr>
        <w:t>Seção III</w:t>
      </w:r>
    </w:p>
    <w:p w14:paraId="43D20153" w14:textId="77777777" w:rsidR="00C12525" w:rsidRPr="005C5CBD" w:rsidRDefault="00C12525" w:rsidP="00554628">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 cobrança retroativa</w:t>
      </w:r>
    </w:p>
    <w:p w14:paraId="6A89ABB6" w14:textId="77777777" w:rsidR="00C12525" w:rsidRPr="00847C9D" w:rsidRDefault="00C12525" w:rsidP="006C7200">
      <w:pPr>
        <w:tabs>
          <w:tab w:val="left" w:pos="3105"/>
        </w:tabs>
        <w:jc w:val="both"/>
        <w:rPr>
          <w:rFonts w:ascii="Garamond" w:hAnsi="Garamond" w:cstheme="majorHAnsi"/>
          <w:sz w:val="24"/>
          <w:szCs w:val="24"/>
        </w:rPr>
      </w:pPr>
    </w:p>
    <w:p w14:paraId="3E8D47C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84. Exceto nos casos previstos nesta Seção, somente poderão ser aplicadas medidas provisórias e direitos definitivos a produtos importados despachados para consumo a partir da data de publicação do ato que contenha as decisões previstas no § 4º do art. 66 e no art. 77.</w:t>
      </w:r>
    </w:p>
    <w:p w14:paraId="5075AB56" w14:textId="0C390BC6"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Art. 85. Direitos </w:t>
      </w:r>
      <w:r w:rsidRPr="005C5CBD">
        <w:rPr>
          <w:rFonts w:ascii="Garamond" w:hAnsi="Garamond" w:cstheme="majorHAnsi"/>
          <w:sz w:val="24"/>
          <w:szCs w:val="24"/>
        </w:rPr>
        <w:t>antidumping</w:t>
      </w:r>
      <w:r w:rsidR="00ED65BD" w:rsidRPr="005C5CBD">
        <w:rPr>
          <w:rFonts w:ascii="Garamond" w:hAnsi="Garamond" w:cstheme="majorHAnsi"/>
          <w:sz w:val="24"/>
          <w:szCs w:val="24"/>
        </w:rPr>
        <w:t xml:space="preserve"> </w:t>
      </w:r>
      <w:r w:rsidRPr="005C5CBD">
        <w:rPr>
          <w:rFonts w:ascii="Garamond" w:hAnsi="Garamond" w:cstheme="majorHAnsi"/>
          <w:sz w:val="24"/>
          <w:szCs w:val="24"/>
        </w:rPr>
        <w:t>poderão</w:t>
      </w:r>
      <w:r w:rsidRPr="00847C9D">
        <w:rPr>
          <w:rFonts w:ascii="Garamond" w:hAnsi="Garamond" w:cstheme="majorHAnsi"/>
          <w:sz w:val="24"/>
          <w:szCs w:val="24"/>
        </w:rPr>
        <w:t xml:space="preserve"> ser aplicados retroativamente apenas nos casos de determinação final positiva de dano material à indústria doméstica.</w:t>
      </w:r>
    </w:p>
    <w:p w14:paraId="4D3AD650" w14:textId="2684EEED"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Parágrafo único. Na hipótese de determinação final positiva de ameaça de dano material à indústria doméstica, a aplicação retroativa de direitos </w:t>
      </w:r>
      <w:r w:rsidRPr="005C5CBD">
        <w:rPr>
          <w:rFonts w:ascii="Garamond" w:hAnsi="Garamond" w:cstheme="majorHAnsi"/>
          <w:sz w:val="24"/>
          <w:szCs w:val="24"/>
        </w:rPr>
        <w:t>antidumping</w:t>
      </w:r>
      <w:r w:rsidR="00ED65BD" w:rsidRPr="005C5CBD">
        <w:rPr>
          <w:rFonts w:ascii="Garamond" w:hAnsi="Garamond" w:cstheme="majorHAnsi"/>
          <w:sz w:val="24"/>
          <w:szCs w:val="24"/>
        </w:rPr>
        <w:t xml:space="preserve"> </w:t>
      </w:r>
      <w:r w:rsidRPr="005C5CBD">
        <w:rPr>
          <w:rFonts w:ascii="Garamond" w:hAnsi="Garamond" w:cstheme="majorHAnsi"/>
          <w:sz w:val="24"/>
          <w:szCs w:val="24"/>
        </w:rPr>
        <w:t>somente</w:t>
      </w:r>
      <w:r w:rsidRPr="00847C9D">
        <w:rPr>
          <w:rFonts w:ascii="Garamond" w:hAnsi="Garamond" w:cstheme="majorHAnsi"/>
          <w:sz w:val="24"/>
          <w:szCs w:val="24"/>
        </w:rPr>
        <w:t xml:space="preserve"> poderá ocorrer quando demonstrado que a ausência de medidas antidumping provisórias teria feito com que os efeitos das importações objeto de dumping tivessem levado a uma determinação positiva de dano material à indústria doméstica.</w:t>
      </w:r>
    </w:p>
    <w:p w14:paraId="5F0400C8"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86. O valor do direito provisoriamente recolhido, garantido por depósito ou fiança bancária, será restituído, devolvido ou extinto de forma célere, na hipótese de:</w:t>
      </w:r>
    </w:p>
    <w:p w14:paraId="3AFD00A7" w14:textId="6915F71B"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 - determinação final positiva de ameaça de dano material à indústria</w:t>
      </w:r>
      <w:r w:rsidR="00ED65BD" w:rsidRPr="005C5CBD">
        <w:rPr>
          <w:rFonts w:ascii="Garamond" w:hAnsi="Garamond" w:cstheme="majorHAnsi"/>
          <w:sz w:val="24"/>
          <w:szCs w:val="24"/>
        </w:rPr>
        <w:t xml:space="preserve"> </w:t>
      </w:r>
      <w:r w:rsidRPr="00847C9D">
        <w:rPr>
          <w:rFonts w:ascii="Garamond" w:hAnsi="Garamond" w:cstheme="majorHAnsi"/>
          <w:sz w:val="24"/>
          <w:szCs w:val="24"/>
        </w:rPr>
        <w:t>doméstica;</w:t>
      </w:r>
    </w:p>
    <w:p w14:paraId="4DB5B8FA" w14:textId="64F7B505"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 - retardamento significativo no estabelecimento da indústria doméstica; ou III - determinação final negativa de dumping, de dano à indústria doméstica ou</w:t>
      </w:r>
      <w:r w:rsidR="00ED65BD" w:rsidRPr="005C5CBD">
        <w:rPr>
          <w:rFonts w:ascii="Garamond" w:hAnsi="Garamond" w:cstheme="majorHAnsi"/>
          <w:sz w:val="24"/>
          <w:szCs w:val="24"/>
        </w:rPr>
        <w:t xml:space="preserve"> </w:t>
      </w:r>
      <w:r w:rsidRPr="00847C9D">
        <w:rPr>
          <w:rFonts w:ascii="Garamond" w:hAnsi="Garamond" w:cstheme="majorHAnsi"/>
          <w:sz w:val="24"/>
          <w:szCs w:val="24"/>
        </w:rPr>
        <w:t>de nexo de causalidade entre ambos.</w:t>
      </w:r>
    </w:p>
    <w:p w14:paraId="69512760"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87. Caso o valor do direito definitivo seja superior ao valor do direito provisoriamente recolhido ou garantido por depósito, a diferença não será cobrada.</w:t>
      </w:r>
    </w:p>
    <w:p w14:paraId="33F8D7D3"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88. Caso o valor do direito definitivo seja inferior ao valor do direito provisoriamente recolhido ou garantido por depósito em dinheiro ou fiança bancária, o valor pago a maior será restituído ou devolvido, ou a conversão da garantia ajustada, conforme o caso.</w:t>
      </w:r>
    </w:p>
    <w:p w14:paraId="7FDD3557"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89. Direitos antidumpingdefinitivos somente poderão ser cobrados de importações a preço de dumping cuja data do conhecimento de embarque anteceda em até noventa dias a data de aplicação das medidas antidumping provisórias e se verifique, com relação ao produto objeto de dumping, que:</w:t>
      </w:r>
    </w:p>
    <w:p w14:paraId="645457B2" w14:textId="6B753712"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ED65BD" w:rsidRPr="005C5CBD">
        <w:rPr>
          <w:rFonts w:ascii="Garamond" w:hAnsi="Garamond" w:cstheme="majorHAnsi"/>
          <w:sz w:val="24"/>
          <w:szCs w:val="24"/>
        </w:rPr>
        <w:t xml:space="preserve"> </w:t>
      </w:r>
      <w:r w:rsidRPr="00847C9D">
        <w:rPr>
          <w:rFonts w:ascii="Garamond" w:hAnsi="Garamond" w:cstheme="majorHAnsi"/>
          <w:sz w:val="24"/>
          <w:szCs w:val="24"/>
        </w:rPr>
        <w:t>- há antecedentes de dumping, de dano à indústria doméstica e de nexo de causalidade entre ambos, ou que o importador estava ou deveria estar ciente de que o produtor ou exportador pratica dumping e de que este causaria dano; e</w:t>
      </w:r>
    </w:p>
    <w:p w14:paraId="12B522B4" w14:textId="1F1E8F40"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ED65BD" w:rsidRPr="005C5CBD">
        <w:rPr>
          <w:rFonts w:ascii="Garamond" w:hAnsi="Garamond" w:cstheme="majorHAnsi"/>
          <w:sz w:val="24"/>
          <w:szCs w:val="24"/>
        </w:rPr>
        <w:t xml:space="preserve"> </w:t>
      </w:r>
      <w:r w:rsidRPr="00847C9D">
        <w:rPr>
          <w:rFonts w:ascii="Garamond" w:hAnsi="Garamond" w:cstheme="majorHAnsi"/>
          <w:sz w:val="24"/>
          <w:szCs w:val="24"/>
        </w:rPr>
        <w:t>- o dano é causado por importações volumosas de um produto a preço de dumping em período relativamente curto, o que, levando em conta o período em que foram efetuadas e o volume das importações objeto de dumping e outros fatores, como o rápido crescimento dos estoques do produto importado, muito provavelmente reduzirá acentuadamente o efeito corretivo dos direitos antidumping definitivos a serem aplicados.</w:t>
      </w:r>
    </w:p>
    <w:p w14:paraId="286DB669" w14:textId="766783E8"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 1º Não serão cobrados direitos aplicados às importações cuja data do conhecimento de embarque seja anterior à data de início da investigação ou de violação do compromisso de preços.</w:t>
      </w:r>
    </w:p>
    <w:p w14:paraId="13FBAE5E"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Aos importadores envolvidos será concedido prazo para manifestação sobre a medida antidumping.</w:t>
      </w:r>
    </w:p>
    <w:p w14:paraId="44A3F053" w14:textId="6047860E" w:rsidR="00ED65BD" w:rsidRPr="005C5CBD" w:rsidRDefault="00C12525" w:rsidP="00ED65BD">
      <w:pPr>
        <w:tabs>
          <w:tab w:val="left" w:pos="3105"/>
        </w:tabs>
        <w:jc w:val="both"/>
        <w:rPr>
          <w:rFonts w:ascii="Garamond" w:hAnsi="Garamond" w:cstheme="majorHAnsi"/>
          <w:sz w:val="24"/>
          <w:szCs w:val="24"/>
        </w:rPr>
      </w:pPr>
      <w:r w:rsidRPr="005C5CBD">
        <w:rPr>
          <w:rFonts w:ascii="Garamond" w:hAnsi="Garamond" w:cstheme="majorHAnsi"/>
          <w:sz w:val="24"/>
          <w:szCs w:val="24"/>
        </w:rPr>
        <w:t>Art. 90. Para aplicação do disposto no inciso I do caput do art. 89, considera-</w:t>
      </w:r>
      <w:r w:rsidR="00ED65BD" w:rsidRPr="005C5CBD">
        <w:rPr>
          <w:rFonts w:ascii="Garamond" w:hAnsi="Garamond" w:cstheme="majorHAnsi"/>
          <w:sz w:val="24"/>
          <w:szCs w:val="24"/>
        </w:rPr>
        <w:t xml:space="preserve"> se que:</w:t>
      </w:r>
    </w:p>
    <w:p w14:paraId="52984312" w14:textId="34861F50"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I - há antecedentes de </w:t>
      </w:r>
      <w:r w:rsidRPr="005C5CBD">
        <w:rPr>
          <w:rFonts w:ascii="Garamond" w:hAnsi="Garamond" w:cstheme="majorHAnsi"/>
          <w:sz w:val="24"/>
          <w:szCs w:val="24"/>
        </w:rPr>
        <w:t>dumping</w:t>
      </w:r>
      <w:r w:rsidR="00ED65BD" w:rsidRPr="005C5CBD">
        <w:rPr>
          <w:rFonts w:ascii="Garamond" w:hAnsi="Garamond" w:cstheme="majorHAnsi"/>
          <w:sz w:val="24"/>
          <w:szCs w:val="24"/>
        </w:rPr>
        <w:t xml:space="preserve"> </w:t>
      </w:r>
      <w:r w:rsidRPr="005C5CBD">
        <w:rPr>
          <w:rFonts w:ascii="Garamond" w:hAnsi="Garamond" w:cstheme="majorHAnsi"/>
          <w:sz w:val="24"/>
          <w:szCs w:val="24"/>
        </w:rPr>
        <w:t>causador</w:t>
      </w:r>
      <w:r w:rsidRPr="00847C9D">
        <w:rPr>
          <w:rFonts w:ascii="Garamond" w:hAnsi="Garamond" w:cstheme="majorHAnsi"/>
          <w:sz w:val="24"/>
          <w:szCs w:val="24"/>
        </w:rPr>
        <w:t xml:space="preserve"> de dano, quando:</w:t>
      </w:r>
    </w:p>
    <w:p w14:paraId="2E4637FB" w14:textId="722AED5F" w:rsidR="00C12525" w:rsidRPr="00847C9D" w:rsidRDefault="00C12525" w:rsidP="00E15FBB">
      <w:pPr>
        <w:pStyle w:val="PargrafodaLista"/>
        <w:numPr>
          <w:ilvl w:val="0"/>
          <w:numId w:val="84"/>
        </w:numPr>
        <w:tabs>
          <w:tab w:val="left" w:pos="3105"/>
        </w:tabs>
        <w:jc w:val="both"/>
        <w:rPr>
          <w:rFonts w:ascii="Garamond" w:hAnsi="Garamond" w:cstheme="majorHAnsi"/>
          <w:sz w:val="24"/>
          <w:szCs w:val="24"/>
        </w:rPr>
      </w:pPr>
      <w:r w:rsidRPr="00847C9D">
        <w:rPr>
          <w:rFonts w:ascii="Garamond" w:hAnsi="Garamond" w:cstheme="majorHAnsi"/>
          <w:sz w:val="24"/>
          <w:szCs w:val="24"/>
        </w:rPr>
        <w:t xml:space="preserve">os produtos importados objeto de </w:t>
      </w:r>
      <w:r w:rsidRPr="005C5CBD">
        <w:rPr>
          <w:rFonts w:ascii="Garamond" w:hAnsi="Garamond" w:cstheme="majorHAnsi"/>
          <w:sz w:val="24"/>
          <w:szCs w:val="24"/>
        </w:rPr>
        <w:t>dumping</w:t>
      </w:r>
      <w:r w:rsidR="00ED65BD" w:rsidRPr="005C5CBD">
        <w:rPr>
          <w:rFonts w:ascii="Garamond" w:hAnsi="Garamond" w:cstheme="majorHAnsi"/>
          <w:sz w:val="24"/>
          <w:szCs w:val="24"/>
        </w:rPr>
        <w:t xml:space="preserve"> </w:t>
      </w:r>
      <w:r w:rsidRPr="005C5CBD">
        <w:rPr>
          <w:rFonts w:ascii="Garamond" w:hAnsi="Garamond" w:cstheme="majorHAnsi"/>
          <w:sz w:val="24"/>
          <w:szCs w:val="24"/>
        </w:rPr>
        <w:t>foram</w:t>
      </w:r>
      <w:r w:rsidRPr="00847C9D">
        <w:rPr>
          <w:rFonts w:ascii="Garamond" w:hAnsi="Garamond" w:cstheme="majorHAnsi"/>
          <w:sz w:val="24"/>
          <w:szCs w:val="24"/>
        </w:rPr>
        <w:t xml:space="preserve"> objeto de medida</w:t>
      </w:r>
      <w:r w:rsidR="00ED65BD" w:rsidRPr="005C5CBD">
        <w:rPr>
          <w:rFonts w:ascii="Garamond" w:hAnsi="Garamond" w:cstheme="majorHAnsi"/>
          <w:sz w:val="24"/>
          <w:szCs w:val="24"/>
        </w:rPr>
        <w:t xml:space="preserve"> </w:t>
      </w:r>
      <w:r w:rsidRPr="00847C9D">
        <w:rPr>
          <w:rFonts w:ascii="Garamond" w:hAnsi="Garamond" w:cstheme="majorHAnsi"/>
          <w:sz w:val="24"/>
          <w:szCs w:val="24"/>
        </w:rPr>
        <w:t>antidumping, provisória ou definitiva, aplicada no Brasil; ou</w:t>
      </w:r>
    </w:p>
    <w:p w14:paraId="2A4E43D7" w14:textId="3A9CC69A" w:rsidR="00C12525" w:rsidRPr="00847C9D" w:rsidRDefault="00C12525" w:rsidP="00E15FBB">
      <w:pPr>
        <w:pStyle w:val="PargrafodaLista"/>
        <w:numPr>
          <w:ilvl w:val="0"/>
          <w:numId w:val="84"/>
        </w:numPr>
        <w:tabs>
          <w:tab w:val="left" w:pos="3105"/>
        </w:tabs>
        <w:jc w:val="both"/>
        <w:rPr>
          <w:rFonts w:ascii="Garamond" w:hAnsi="Garamond" w:cstheme="majorHAnsi"/>
          <w:sz w:val="24"/>
          <w:szCs w:val="24"/>
        </w:rPr>
      </w:pPr>
      <w:r w:rsidRPr="00847C9D">
        <w:rPr>
          <w:rFonts w:ascii="Garamond" w:hAnsi="Garamond" w:cstheme="majorHAnsi"/>
          <w:sz w:val="24"/>
          <w:szCs w:val="24"/>
        </w:rPr>
        <w:t xml:space="preserve">os produtos importados objeto de </w:t>
      </w:r>
      <w:r w:rsidRPr="005C5CBD">
        <w:rPr>
          <w:rFonts w:ascii="Garamond" w:hAnsi="Garamond" w:cstheme="majorHAnsi"/>
          <w:sz w:val="24"/>
          <w:szCs w:val="24"/>
        </w:rPr>
        <w:t>dumping</w:t>
      </w:r>
      <w:r w:rsidR="00ED65BD" w:rsidRPr="005C5CBD">
        <w:rPr>
          <w:rFonts w:ascii="Garamond" w:hAnsi="Garamond" w:cstheme="majorHAnsi"/>
          <w:sz w:val="24"/>
          <w:szCs w:val="24"/>
        </w:rPr>
        <w:t xml:space="preserve"> </w:t>
      </w:r>
      <w:r w:rsidRPr="005C5CBD">
        <w:rPr>
          <w:rFonts w:ascii="Garamond" w:hAnsi="Garamond" w:cstheme="majorHAnsi"/>
          <w:sz w:val="24"/>
          <w:szCs w:val="24"/>
        </w:rPr>
        <w:t>são</w:t>
      </w:r>
      <w:r w:rsidRPr="00847C9D">
        <w:rPr>
          <w:rFonts w:ascii="Garamond" w:hAnsi="Garamond" w:cstheme="majorHAnsi"/>
          <w:sz w:val="24"/>
          <w:szCs w:val="24"/>
        </w:rPr>
        <w:t xml:space="preserve"> ou foram objeto de medida</w:t>
      </w:r>
      <w:r w:rsidR="00ED65BD" w:rsidRPr="005C5CBD">
        <w:rPr>
          <w:rFonts w:ascii="Garamond" w:hAnsi="Garamond" w:cstheme="majorHAnsi"/>
          <w:sz w:val="24"/>
          <w:szCs w:val="24"/>
        </w:rPr>
        <w:t xml:space="preserve"> </w:t>
      </w:r>
      <w:r w:rsidRPr="00847C9D">
        <w:rPr>
          <w:rFonts w:ascii="Garamond" w:hAnsi="Garamond" w:cstheme="majorHAnsi"/>
          <w:sz w:val="24"/>
          <w:szCs w:val="24"/>
        </w:rPr>
        <w:t>antidumping, provisória ou definitiva, aplicada em terceiro país; e</w:t>
      </w:r>
    </w:p>
    <w:p w14:paraId="178D5E62" w14:textId="7FCBF886"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II - o importador estava ou deveria estar ciente de que o produtor ou exportador pratica </w:t>
      </w:r>
      <w:r w:rsidRPr="005C5CBD">
        <w:rPr>
          <w:rFonts w:ascii="Garamond" w:hAnsi="Garamond" w:cstheme="majorHAnsi"/>
          <w:sz w:val="24"/>
          <w:szCs w:val="24"/>
        </w:rPr>
        <w:t>dumping</w:t>
      </w:r>
      <w:r w:rsidR="00ED65BD" w:rsidRPr="005C5CBD">
        <w:rPr>
          <w:rFonts w:ascii="Garamond" w:hAnsi="Garamond" w:cstheme="majorHAnsi"/>
          <w:sz w:val="24"/>
          <w:szCs w:val="24"/>
        </w:rPr>
        <w:t xml:space="preserve"> </w:t>
      </w:r>
      <w:r w:rsidRPr="005C5CBD">
        <w:rPr>
          <w:rFonts w:ascii="Garamond" w:hAnsi="Garamond" w:cstheme="majorHAnsi"/>
          <w:sz w:val="24"/>
          <w:szCs w:val="24"/>
        </w:rPr>
        <w:t>e</w:t>
      </w:r>
      <w:r w:rsidRPr="00847C9D">
        <w:rPr>
          <w:rFonts w:ascii="Garamond" w:hAnsi="Garamond" w:cstheme="majorHAnsi"/>
          <w:sz w:val="24"/>
          <w:szCs w:val="24"/>
        </w:rPr>
        <w:t xml:space="preserve"> de que este causaria dano quando a data do conhecimento de embarque dos produtos importados a preço de </w:t>
      </w:r>
      <w:r w:rsidRPr="005C5CBD">
        <w:rPr>
          <w:rFonts w:ascii="Garamond" w:hAnsi="Garamond" w:cstheme="majorHAnsi"/>
          <w:sz w:val="24"/>
          <w:szCs w:val="24"/>
        </w:rPr>
        <w:t>dumping</w:t>
      </w:r>
      <w:r w:rsidR="00ED65BD" w:rsidRPr="005C5CBD">
        <w:rPr>
          <w:rFonts w:ascii="Garamond" w:hAnsi="Garamond" w:cstheme="majorHAnsi"/>
          <w:sz w:val="24"/>
          <w:szCs w:val="24"/>
        </w:rPr>
        <w:t xml:space="preserve"> </w:t>
      </w:r>
      <w:r w:rsidRPr="005C5CBD">
        <w:rPr>
          <w:rFonts w:ascii="Garamond" w:hAnsi="Garamond" w:cstheme="majorHAnsi"/>
          <w:sz w:val="24"/>
          <w:szCs w:val="24"/>
        </w:rPr>
        <w:t>for</w:t>
      </w:r>
      <w:r w:rsidRPr="00847C9D">
        <w:rPr>
          <w:rFonts w:ascii="Garamond" w:hAnsi="Garamond" w:cstheme="majorHAnsi"/>
          <w:sz w:val="24"/>
          <w:szCs w:val="24"/>
        </w:rPr>
        <w:t xml:space="preserve"> posterior à data do início da investigação.</w:t>
      </w:r>
    </w:p>
    <w:p w14:paraId="041C4A4D" w14:textId="5CFF5463"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Art. 91. Os elementos de fato e de direito que levaram à determinação da cobrança retroativa de direitos </w:t>
      </w:r>
      <w:r w:rsidRPr="005C5CBD">
        <w:rPr>
          <w:rFonts w:ascii="Garamond" w:hAnsi="Garamond" w:cstheme="majorHAnsi"/>
          <w:sz w:val="24"/>
          <w:szCs w:val="24"/>
        </w:rPr>
        <w:t>antidumping</w:t>
      </w:r>
      <w:r w:rsidR="00ED65BD" w:rsidRPr="005C5CBD">
        <w:rPr>
          <w:rFonts w:ascii="Garamond" w:hAnsi="Garamond" w:cstheme="majorHAnsi"/>
          <w:sz w:val="24"/>
          <w:szCs w:val="24"/>
        </w:rPr>
        <w:t xml:space="preserve"> </w:t>
      </w:r>
      <w:r w:rsidRPr="005C5CBD">
        <w:rPr>
          <w:rFonts w:ascii="Garamond" w:hAnsi="Garamond" w:cstheme="majorHAnsi"/>
          <w:sz w:val="24"/>
          <w:szCs w:val="24"/>
        </w:rPr>
        <w:t>de</w:t>
      </w:r>
      <w:r w:rsidR="00ED65BD" w:rsidRPr="005C5CBD">
        <w:rPr>
          <w:rFonts w:ascii="Garamond" w:hAnsi="Garamond" w:cstheme="majorHAnsi"/>
          <w:sz w:val="24"/>
          <w:szCs w:val="24"/>
        </w:rPr>
        <w:t xml:space="preserve"> </w:t>
      </w:r>
      <w:r w:rsidRPr="005C5CBD">
        <w:rPr>
          <w:rFonts w:ascii="Garamond" w:hAnsi="Garamond" w:cstheme="majorHAnsi"/>
          <w:sz w:val="24"/>
          <w:szCs w:val="24"/>
        </w:rPr>
        <w:t>finitivos</w:t>
      </w:r>
      <w:r w:rsidRPr="00847C9D">
        <w:rPr>
          <w:rFonts w:ascii="Garamond" w:hAnsi="Garamond" w:cstheme="majorHAnsi"/>
          <w:sz w:val="24"/>
          <w:szCs w:val="24"/>
        </w:rPr>
        <w:t xml:space="preserve"> constarão da decisão da CAMEX que determinar a cobrança retroativa de direitos definitivos.</w:t>
      </w:r>
    </w:p>
    <w:p w14:paraId="4C5B2BB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Para fins do disposto no inciso II do caput do art. 90, cabe ao importador comprovar, junto à Secretaria da Receita Federal do Brasil do Ministério da Fazenda, que a data do conhecimento de embarque é anterior à data da publicação do ato da SECEX que deu início à investigação.</w:t>
      </w:r>
    </w:p>
    <w:p w14:paraId="6A80FB3C" w14:textId="2E0B0CFC" w:rsidR="00C12525" w:rsidRPr="005C5CBD" w:rsidRDefault="00C12525" w:rsidP="00554628">
      <w:pPr>
        <w:tabs>
          <w:tab w:val="left" w:pos="1545"/>
        </w:tabs>
        <w:spacing w:after="0" w:line="240" w:lineRule="auto"/>
        <w:jc w:val="center"/>
        <w:rPr>
          <w:rFonts w:ascii="Garamond" w:hAnsi="Garamond" w:cstheme="majorHAnsi"/>
          <w:b/>
          <w:sz w:val="24"/>
          <w:szCs w:val="24"/>
        </w:rPr>
      </w:pPr>
      <w:r w:rsidRPr="005C5CBD">
        <w:rPr>
          <w:rFonts w:ascii="Garamond" w:hAnsi="Garamond" w:cstheme="majorHAnsi"/>
          <w:b/>
          <w:sz w:val="24"/>
          <w:szCs w:val="24"/>
        </w:rPr>
        <w:t>CAPÍTULO VII</w:t>
      </w:r>
    </w:p>
    <w:p w14:paraId="71331219" w14:textId="77777777" w:rsidR="00C12525" w:rsidRPr="005C5CBD" w:rsidRDefault="00C12525" w:rsidP="00554628">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 DURAÇÃO DOS DIREITOS ANTIDUMPINGE DOS COMPROMISSOS DE PREÇO</w:t>
      </w:r>
    </w:p>
    <w:p w14:paraId="4F4A3919" w14:textId="77777777" w:rsidR="00C12525" w:rsidRPr="00847C9D" w:rsidRDefault="00C12525" w:rsidP="006C7200">
      <w:pPr>
        <w:tabs>
          <w:tab w:val="left" w:pos="3105"/>
        </w:tabs>
        <w:jc w:val="both"/>
        <w:rPr>
          <w:rFonts w:ascii="Garamond" w:hAnsi="Garamond" w:cstheme="majorHAnsi"/>
          <w:sz w:val="24"/>
          <w:szCs w:val="24"/>
        </w:rPr>
      </w:pPr>
    </w:p>
    <w:p w14:paraId="6D7D6333"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92. Direitos antidumping e compromissos de preços permanecerão em vigor enquanto perdurar a necessidade de eliminar o dano à indústria doméstica causado pelas importações objeto de dumping.</w:t>
      </w:r>
    </w:p>
    <w:p w14:paraId="64EF704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93. Todo direito antidumping definitivo será extinto no prazo de cinco anos, contado da data de sua aplicação ou da data da conclusão da mais recente revisão que tenha abrangido o dumping, o dano à indústria doméstica e o nexo de causalidade entre ambos, conforme estabelecido na Seção II do Capítulo VIII.</w:t>
      </w:r>
    </w:p>
    <w:p w14:paraId="50B2DA9C" w14:textId="77777777" w:rsidR="00C12525" w:rsidRPr="00847C9D" w:rsidRDefault="00C12525" w:rsidP="006C7200">
      <w:pPr>
        <w:tabs>
          <w:tab w:val="left" w:pos="3105"/>
        </w:tabs>
        <w:jc w:val="both"/>
        <w:rPr>
          <w:rFonts w:ascii="Garamond" w:hAnsi="Garamond" w:cstheme="majorHAnsi"/>
          <w:sz w:val="24"/>
          <w:szCs w:val="24"/>
        </w:rPr>
      </w:pPr>
    </w:p>
    <w:p w14:paraId="2429A1D0" w14:textId="77777777" w:rsidR="00F26A10" w:rsidRDefault="00F26A10">
      <w:pPr>
        <w:rPr>
          <w:rFonts w:ascii="Garamond" w:hAnsi="Garamond" w:cstheme="majorHAnsi"/>
          <w:b/>
          <w:sz w:val="24"/>
          <w:szCs w:val="24"/>
        </w:rPr>
      </w:pPr>
      <w:r>
        <w:rPr>
          <w:rFonts w:ascii="Garamond" w:hAnsi="Garamond" w:cstheme="majorHAnsi"/>
          <w:b/>
          <w:sz w:val="24"/>
          <w:szCs w:val="24"/>
        </w:rPr>
        <w:br w:type="page"/>
      </w:r>
    </w:p>
    <w:p w14:paraId="787980D0" w14:textId="25E3831C" w:rsidR="00C12525" w:rsidRPr="005C5CBD" w:rsidRDefault="00C12525" w:rsidP="00554628">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CAPÍTULO VIII</w:t>
      </w:r>
    </w:p>
    <w:p w14:paraId="684FAC36" w14:textId="77777777" w:rsidR="00C12525" w:rsidRPr="005C5CBD" w:rsidRDefault="00C12525" w:rsidP="00554628">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 REVISÃO DOS DIREITOS ANTIDUMPINGE DOS COMPROMISSOS DE PREÇO</w:t>
      </w:r>
    </w:p>
    <w:p w14:paraId="687823E1" w14:textId="77777777" w:rsidR="00C12525" w:rsidRDefault="00C12525" w:rsidP="00554628">
      <w:pPr>
        <w:tabs>
          <w:tab w:val="left" w:pos="3105"/>
        </w:tabs>
        <w:spacing w:after="0" w:line="240" w:lineRule="auto"/>
        <w:jc w:val="center"/>
        <w:rPr>
          <w:rFonts w:ascii="Garamond" w:hAnsi="Garamond" w:cstheme="majorHAnsi"/>
          <w:b/>
          <w:sz w:val="24"/>
          <w:szCs w:val="24"/>
        </w:rPr>
      </w:pPr>
    </w:p>
    <w:p w14:paraId="1F1778FB" w14:textId="5FCA219B" w:rsidR="00C12525" w:rsidRPr="005C5CBD" w:rsidRDefault="00C12525" w:rsidP="00554628">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Seção I</w:t>
      </w:r>
    </w:p>
    <w:p w14:paraId="62890189" w14:textId="77777777" w:rsidR="00C12525" w:rsidRPr="005C5CBD" w:rsidRDefault="00C12525" w:rsidP="00554628">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Dos princípios e disposições aplicáveis</w:t>
      </w:r>
    </w:p>
    <w:p w14:paraId="3D0CC221"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w:t>
      </w:r>
    </w:p>
    <w:p w14:paraId="2D80524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94. As revisões previstas neste Capítulo obedecerão, no que couber, ao disposto nos Capítulos I, II, III, X a XIV e aos princípios, prazos e procedimentos estabelecidos no Capítulo V, a menos que disposto de maneira distinta neste Capítulo.</w:t>
      </w:r>
    </w:p>
    <w:p w14:paraId="2EE0D239"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Para as revisões da Seção II, poderá aplicar-se igualmente o disposto no art. 73.</w:t>
      </w:r>
    </w:p>
    <w:p w14:paraId="11743A67"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95. As revisões previstas neste Capítulo deverão ser solicitadas por meio de petição escrita, devidamente fundamentada com base em indícios, apresentada pelas partes interessadas.</w:t>
      </w:r>
    </w:p>
    <w:p w14:paraId="32F14408"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O DECOM poderá conduzir, a seu critério e desde que devidamente justificado, os processos de revisão previstos neste Capítulo de forma simultânea ou combinada.</w:t>
      </w:r>
    </w:p>
    <w:p w14:paraId="60212BE2" w14:textId="1273847C"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Serão consideradas partes interessadas aquelas relacionadas no § 2º do art.</w:t>
      </w:r>
      <w:r w:rsidR="00ED65BD" w:rsidRPr="005C5CBD">
        <w:rPr>
          <w:rFonts w:ascii="Garamond" w:hAnsi="Garamond" w:cstheme="majorHAnsi"/>
          <w:sz w:val="24"/>
          <w:szCs w:val="24"/>
        </w:rPr>
        <w:t xml:space="preserve"> </w:t>
      </w:r>
      <w:r w:rsidRPr="00847C9D">
        <w:rPr>
          <w:rFonts w:ascii="Garamond" w:hAnsi="Garamond" w:cstheme="majorHAnsi"/>
          <w:sz w:val="24"/>
          <w:szCs w:val="24"/>
        </w:rPr>
        <w:t>45, a menos que disposto de maneira distinta neste Capítulo.</w:t>
      </w:r>
    </w:p>
    <w:p w14:paraId="7A1C7F2E"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96. O DECOM notificará as partes interessadas do início de revisão sob amparo deste Capítulo.</w:t>
      </w:r>
    </w:p>
    <w:p w14:paraId="0EF47E50"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97. As partes interessadas terão ampla oportunidade para apresentar por escrito os elementos de prova considerados pertinentes à revisão.</w:t>
      </w:r>
    </w:p>
    <w:p w14:paraId="5DC0831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98. Exceto quando disposto de maneira distinta neste Capítulo, o período da revisão será definido conforme as disposições do art. 48.</w:t>
      </w:r>
    </w:p>
    <w:p w14:paraId="6E6683F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99. A SECEX publicará ato que contenha o modelo de petição para cada uma das revisões previstas neste Capítulo.</w:t>
      </w:r>
    </w:p>
    <w:p w14:paraId="168853C0"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100. O disposto neste Capítulo aplica-se igualmente às revisões de compromissos de preço.</w:t>
      </w:r>
    </w:p>
    <w:p w14:paraId="67917E87" w14:textId="10FF1145" w:rsidR="00C12525" w:rsidRPr="005C5CBD" w:rsidRDefault="00C12525" w:rsidP="003A4A3D">
      <w:pPr>
        <w:tabs>
          <w:tab w:val="left" w:pos="3600"/>
        </w:tabs>
        <w:spacing w:after="0" w:line="240" w:lineRule="auto"/>
        <w:jc w:val="center"/>
        <w:rPr>
          <w:rFonts w:ascii="Garamond" w:hAnsi="Garamond" w:cstheme="majorHAnsi"/>
          <w:b/>
          <w:sz w:val="24"/>
          <w:szCs w:val="24"/>
        </w:rPr>
      </w:pPr>
      <w:r w:rsidRPr="005C5CBD">
        <w:rPr>
          <w:rFonts w:ascii="Garamond" w:hAnsi="Garamond" w:cstheme="majorHAnsi"/>
          <w:b/>
          <w:sz w:val="24"/>
          <w:szCs w:val="24"/>
        </w:rPr>
        <w:t>Seção II</w:t>
      </w:r>
    </w:p>
    <w:p w14:paraId="53AFFDCC"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Das revisões relativas à aplicação do direito</w:t>
      </w:r>
    </w:p>
    <w:p w14:paraId="21A86582" w14:textId="77777777" w:rsidR="00C12525" w:rsidRPr="00847C9D" w:rsidRDefault="00C12525" w:rsidP="006C7200">
      <w:pPr>
        <w:tabs>
          <w:tab w:val="left" w:pos="3105"/>
        </w:tabs>
        <w:jc w:val="both"/>
        <w:rPr>
          <w:rFonts w:ascii="Garamond" w:hAnsi="Garamond" w:cstheme="majorHAnsi"/>
          <w:sz w:val="24"/>
          <w:szCs w:val="24"/>
        </w:rPr>
      </w:pPr>
    </w:p>
    <w:p w14:paraId="544B035E" w14:textId="77777777" w:rsidR="00C12525" w:rsidRPr="005C5CBD" w:rsidRDefault="00C12525" w:rsidP="003E54E2">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Subseção I</w:t>
      </w:r>
    </w:p>
    <w:p w14:paraId="5CCD1080" w14:textId="77777777" w:rsidR="00C12525" w:rsidRPr="00847C9D" w:rsidRDefault="00C12525" w:rsidP="003E54E2">
      <w:pPr>
        <w:tabs>
          <w:tab w:val="left" w:pos="3105"/>
        </w:tabs>
        <w:spacing w:after="0" w:line="240" w:lineRule="auto"/>
        <w:jc w:val="center"/>
        <w:rPr>
          <w:rFonts w:ascii="Garamond" w:hAnsi="Garamond" w:cstheme="majorHAnsi"/>
          <w:sz w:val="24"/>
          <w:szCs w:val="24"/>
        </w:rPr>
      </w:pPr>
      <w:r w:rsidRPr="005C5CBD">
        <w:rPr>
          <w:rFonts w:ascii="Garamond" w:hAnsi="Garamond" w:cstheme="majorHAnsi"/>
          <w:b/>
          <w:sz w:val="24"/>
          <w:szCs w:val="24"/>
        </w:rPr>
        <w:t>Da revisão do direito por alteração das circunstâncias</w:t>
      </w:r>
    </w:p>
    <w:p w14:paraId="41FEF928" w14:textId="77777777" w:rsidR="00C12525" w:rsidRPr="00847C9D" w:rsidRDefault="00C12525" w:rsidP="006C7200">
      <w:pPr>
        <w:tabs>
          <w:tab w:val="left" w:pos="3105"/>
        </w:tabs>
        <w:jc w:val="both"/>
        <w:rPr>
          <w:rFonts w:ascii="Garamond" w:hAnsi="Garamond" w:cstheme="majorHAnsi"/>
          <w:sz w:val="24"/>
          <w:szCs w:val="24"/>
        </w:rPr>
      </w:pPr>
    </w:p>
    <w:p w14:paraId="6DA95AA1"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101.   A pedido de qualquer parte interessada da investigação original ou da última revisão de dumping, dano e do nexo de causalidade entre ambos, que submeta petição escrita com indícios de que as circunstâncias que justificaram a aplicação do direito antidumping se alteraram, o DECOM poderá iniciar revisão amparada nesta subseção, à condição de que haja decorrido no mínimo um ano da aplicação, alteração, prorrogação ou extensão de um direito antidumping definitivo.</w:t>
      </w:r>
    </w:p>
    <w:p w14:paraId="1506D04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A alteração das circunstâncias deve ser significativa e duradoura, não se configurando por oscilações ou flutuações inerentes ao mercado, entre outras.</w:t>
      </w:r>
    </w:p>
    <w:p w14:paraId="4171A630"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Excepcionalmente, poderá ser iniciada revisão amparada nesta subseção em prazo inferior ao referido no caput, desde que devidamente justificado pelo peticionário.</w:t>
      </w:r>
    </w:p>
    <w:p w14:paraId="7F7CEC98" w14:textId="56F4B18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102. Com base na determinação estabelecida pelo DECOM:</w:t>
      </w:r>
    </w:p>
    <w:p w14:paraId="768D793A" w14:textId="6CB15E48"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ED65BD" w:rsidRPr="005C5CBD">
        <w:rPr>
          <w:rFonts w:ascii="Garamond" w:hAnsi="Garamond" w:cstheme="majorHAnsi"/>
          <w:sz w:val="24"/>
          <w:szCs w:val="24"/>
        </w:rPr>
        <w:t xml:space="preserve"> </w:t>
      </w:r>
      <w:r w:rsidRPr="00847C9D">
        <w:rPr>
          <w:rFonts w:ascii="Garamond" w:hAnsi="Garamond" w:cstheme="majorHAnsi"/>
          <w:sz w:val="24"/>
          <w:szCs w:val="24"/>
        </w:rPr>
        <w:t>- o direito antidumping poderá ser extinto, caso seja improvável a continuação ou retomada do:</w:t>
      </w:r>
    </w:p>
    <w:p w14:paraId="2C70A992" w14:textId="67DEA2BD"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w:t>
      </w:r>
      <w:r w:rsidR="00ED65BD" w:rsidRPr="005C5CBD">
        <w:rPr>
          <w:rFonts w:ascii="Garamond" w:hAnsi="Garamond" w:cstheme="majorHAnsi"/>
          <w:sz w:val="24"/>
          <w:szCs w:val="24"/>
        </w:rPr>
        <w:t xml:space="preserve"> </w:t>
      </w:r>
      <w:r w:rsidRPr="00847C9D">
        <w:rPr>
          <w:rFonts w:ascii="Garamond" w:hAnsi="Garamond" w:cstheme="majorHAnsi"/>
          <w:sz w:val="24"/>
          <w:szCs w:val="24"/>
        </w:rPr>
        <w:t>dumping; ou</w:t>
      </w:r>
    </w:p>
    <w:p w14:paraId="7926177C" w14:textId="24F3E235"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b)</w:t>
      </w:r>
      <w:r w:rsidR="00ED65BD" w:rsidRPr="005C5CBD">
        <w:rPr>
          <w:rFonts w:ascii="Garamond" w:hAnsi="Garamond" w:cstheme="majorHAnsi"/>
          <w:sz w:val="24"/>
          <w:szCs w:val="24"/>
        </w:rPr>
        <w:t xml:space="preserve"> </w:t>
      </w:r>
      <w:r w:rsidRPr="00847C9D">
        <w:rPr>
          <w:rFonts w:ascii="Garamond" w:hAnsi="Garamond" w:cstheme="majorHAnsi"/>
          <w:sz w:val="24"/>
          <w:szCs w:val="24"/>
        </w:rPr>
        <w:t>dano.</w:t>
      </w:r>
    </w:p>
    <w:p w14:paraId="455FDAE5" w14:textId="5ABCF8A4"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ED65BD" w:rsidRPr="005C5CBD">
        <w:rPr>
          <w:rFonts w:ascii="Garamond" w:hAnsi="Garamond" w:cstheme="majorHAnsi"/>
          <w:sz w:val="24"/>
          <w:szCs w:val="24"/>
        </w:rPr>
        <w:t xml:space="preserve"> </w:t>
      </w:r>
      <w:r w:rsidRPr="00847C9D">
        <w:rPr>
          <w:rFonts w:ascii="Garamond" w:hAnsi="Garamond" w:cstheme="majorHAnsi"/>
          <w:sz w:val="24"/>
          <w:szCs w:val="24"/>
        </w:rPr>
        <w:t>- o direito antidumping poderá ser alterado caso:</w:t>
      </w:r>
    </w:p>
    <w:p w14:paraId="095D5DEF" w14:textId="34BE5FD5"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w:t>
      </w:r>
      <w:r w:rsidR="00ED65BD" w:rsidRPr="005C5CBD">
        <w:rPr>
          <w:rFonts w:ascii="Garamond" w:hAnsi="Garamond" w:cstheme="majorHAnsi"/>
          <w:sz w:val="24"/>
          <w:szCs w:val="24"/>
        </w:rPr>
        <w:t xml:space="preserve"> </w:t>
      </w:r>
      <w:r w:rsidRPr="00847C9D">
        <w:rPr>
          <w:rFonts w:ascii="Garamond" w:hAnsi="Garamond" w:cstheme="majorHAnsi"/>
          <w:sz w:val="24"/>
          <w:szCs w:val="24"/>
        </w:rPr>
        <w:t>tenha deixado de ser suficiente ou tenha se tornado excessivo para neutralizar o dumping; ou</w:t>
      </w:r>
    </w:p>
    <w:p w14:paraId="5DE94C06" w14:textId="149E208F"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b)</w:t>
      </w:r>
      <w:r w:rsidR="00ED65BD" w:rsidRPr="005C5CBD">
        <w:rPr>
          <w:rFonts w:ascii="Garamond" w:hAnsi="Garamond" w:cstheme="majorHAnsi"/>
          <w:sz w:val="24"/>
          <w:szCs w:val="24"/>
        </w:rPr>
        <w:t xml:space="preserve"> </w:t>
      </w:r>
      <w:r w:rsidRPr="00847C9D">
        <w:rPr>
          <w:rFonts w:ascii="Garamond" w:hAnsi="Garamond" w:cstheme="majorHAnsi"/>
          <w:sz w:val="24"/>
          <w:szCs w:val="24"/>
        </w:rPr>
        <w:t>tenha se tornado insuficiente para eliminar o dano à indústria doméstica causado pelas importações objeto de dumping.</w:t>
      </w:r>
    </w:p>
    <w:p w14:paraId="2ADA0F31"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103.   Nas hipóteses da alínea “a” do inciso I e da alínea “a” do inciso II, do caput do art. 102, a análise deverá basear-se no exame objetivo de todos os fatores relevantes, incluindo:</w:t>
      </w:r>
    </w:p>
    <w:p w14:paraId="0A8592A9" w14:textId="2D14D86B"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ED65BD" w:rsidRPr="005C5CBD">
        <w:rPr>
          <w:rFonts w:ascii="Garamond" w:hAnsi="Garamond" w:cstheme="majorHAnsi"/>
          <w:sz w:val="24"/>
          <w:szCs w:val="24"/>
        </w:rPr>
        <w:t xml:space="preserve"> </w:t>
      </w:r>
      <w:r w:rsidRPr="00847C9D">
        <w:rPr>
          <w:rFonts w:ascii="Garamond" w:hAnsi="Garamond" w:cstheme="majorHAnsi"/>
          <w:sz w:val="24"/>
          <w:szCs w:val="24"/>
        </w:rPr>
        <w:t>- a existência de dumping durante a vigência da medida;</w:t>
      </w:r>
    </w:p>
    <w:p w14:paraId="4158184A" w14:textId="73FD3D6C"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ED65BD" w:rsidRPr="005C5CBD">
        <w:rPr>
          <w:rFonts w:ascii="Garamond" w:hAnsi="Garamond" w:cstheme="majorHAnsi"/>
          <w:sz w:val="24"/>
          <w:szCs w:val="24"/>
        </w:rPr>
        <w:t xml:space="preserve"> </w:t>
      </w:r>
      <w:r w:rsidRPr="00847C9D">
        <w:rPr>
          <w:rFonts w:ascii="Garamond" w:hAnsi="Garamond" w:cstheme="majorHAnsi"/>
          <w:sz w:val="24"/>
          <w:szCs w:val="24"/>
        </w:rPr>
        <w:t>- o desempenho do produtor ou exportador no tocante a produção, utilização da capacidade instalada, custos, volume de vendas, preços, exportações e lucros;</w:t>
      </w:r>
    </w:p>
    <w:p w14:paraId="6BA89FE1" w14:textId="0CAFE025"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ED65BD" w:rsidRPr="005C5CBD">
        <w:rPr>
          <w:rFonts w:ascii="Garamond" w:hAnsi="Garamond" w:cstheme="majorHAnsi"/>
          <w:sz w:val="24"/>
          <w:szCs w:val="24"/>
        </w:rPr>
        <w:t xml:space="preserve"> </w:t>
      </w:r>
      <w:r w:rsidRPr="00847C9D">
        <w:rPr>
          <w:rFonts w:ascii="Garamond" w:hAnsi="Garamond" w:cstheme="majorHAnsi"/>
          <w:sz w:val="24"/>
          <w:szCs w:val="24"/>
        </w:rPr>
        <w:t>- alterações nas condições de mercado, tanto do país exportador quanto em outros países, incluindo alterações na oferta e na demanda pelo produto, nos preços e na participação do produtor ou exportador no mercado do país exportador; e</w:t>
      </w:r>
    </w:p>
    <w:p w14:paraId="3F0A6224" w14:textId="36BBE639"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IV</w:t>
      </w:r>
      <w:r w:rsidR="00ED65BD" w:rsidRPr="005C5CBD">
        <w:rPr>
          <w:rFonts w:ascii="Garamond" w:hAnsi="Garamond" w:cstheme="majorHAnsi"/>
          <w:sz w:val="24"/>
          <w:szCs w:val="24"/>
        </w:rPr>
        <w:t xml:space="preserve"> </w:t>
      </w:r>
      <w:r w:rsidRPr="00847C9D">
        <w:rPr>
          <w:rFonts w:ascii="Garamond" w:hAnsi="Garamond" w:cstheme="majorHAnsi"/>
          <w:sz w:val="24"/>
          <w:szCs w:val="24"/>
        </w:rPr>
        <w:t>- a aplicação de medidas de defesa comercial sobre o produto similar por outros países e a consequente possibilidade de desvio de comércio para o Brasil.</w:t>
      </w:r>
    </w:p>
    <w:p w14:paraId="0C63CC08"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Petições que envolvam o cálculo de nova margem de dumping devem incluir, entre outras informações, dados relativos ao preço de exportação e ao valor normal durante o período de revisão, desde que as transações ocorridas durante esse período tenham sido feitas em quantidades representativas.</w:t>
      </w:r>
    </w:p>
    <w:p w14:paraId="6B971749"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O direito a ser aplicado como resultado de uma revisão de alteração das circunstâncias não poderá exceder a nova margem de dumping calculada para o período de revisão.</w:t>
      </w:r>
    </w:p>
    <w:p w14:paraId="2C032D6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104.   Nas hipóteses da alínea “b” do inciso I e da alínea “b” do inciso II, do caput do art. 102, a análise deverá basear-se no exame objetivo de todos os fatores relevantes, incluindo:</w:t>
      </w:r>
    </w:p>
    <w:p w14:paraId="10F11FF6" w14:textId="43DD2914"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ED65BD" w:rsidRPr="005C5CBD">
        <w:rPr>
          <w:rFonts w:ascii="Garamond" w:hAnsi="Garamond" w:cstheme="majorHAnsi"/>
          <w:sz w:val="24"/>
          <w:szCs w:val="24"/>
        </w:rPr>
        <w:t xml:space="preserve"> </w:t>
      </w:r>
      <w:r w:rsidRPr="00847C9D">
        <w:rPr>
          <w:rFonts w:ascii="Garamond" w:hAnsi="Garamond" w:cstheme="majorHAnsi"/>
          <w:sz w:val="24"/>
          <w:szCs w:val="24"/>
        </w:rPr>
        <w:t>- a situação da indústria doméstica durante a vigência definitiva do direito;</w:t>
      </w:r>
    </w:p>
    <w:p w14:paraId="0D63D08D" w14:textId="4302773C"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ED65BD" w:rsidRPr="005C5CBD">
        <w:rPr>
          <w:rFonts w:ascii="Garamond" w:hAnsi="Garamond" w:cstheme="majorHAnsi"/>
          <w:sz w:val="24"/>
          <w:szCs w:val="24"/>
        </w:rPr>
        <w:t xml:space="preserve"> </w:t>
      </w:r>
      <w:r w:rsidRPr="00847C9D">
        <w:rPr>
          <w:rFonts w:ascii="Garamond" w:hAnsi="Garamond" w:cstheme="majorHAnsi"/>
          <w:sz w:val="24"/>
          <w:szCs w:val="24"/>
        </w:rPr>
        <w:t>- o volume das importações do produto objeto da medida durante sua vigência e a provável tendência de comportamento dessas importações, em termos absolutos e relativos à produção ou ao consumo do produto similar no mercado interno brasileiro;</w:t>
      </w:r>
    </w:p>
    <w:p w14:paraId="49445CD5" w14:textId="5ECA2293"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ED65BD" w:rsidRPr="005C5CBD">
        <w:rPr>
          <w:rFonts w:ascii="Garamond" w:hAnsi="Garamond" w:cstheme="majorHAnsi"/>
          <w:sz w:val="24"/>
          <w:szCs w:val="24"/>
        </w:rPr>
        <w:t xml:space="preserve"> </w:t>
      </w:r>
      <w:r w:rsidRPr="00847C9D">
        <w:rPr>
          <w:rFonts w:ascii="Garamond" w:hAnsi="Garamond" w:cstheme="majorHAnsi"/>
          <w:sz w:val="24"/>
          <w:szCs w:val="24"/>
        </w:rPr>
        <w:t>- o preço provável das importações objeto de dumping e o seu provável efeito sobre os preços do produto similar no mercado interno brasileiro;</w:t>
      </w:r>
    </w:p>
    <w:p w14:paraId="408B55E6" w14:textId="14363C1C"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IV</w:t>
      </w:r>
      <w:r w:rsidR="00ED65BD" w:rsidRPr="005C5CBD">
        <w:rPr>
          <w:rFonts w:ascii="Garamond" w:hAnsi="Garamond" w:cstheme="majorHAnsi"/>
          <w:sz w:val="24"/>
          <w:szCs w:val="24"/>
        </w:rPr>
        <w:t xml:space="preserve"> </w:t>
      </w:r>
      <w:r w:rsidRPr="00847C9D">
        <w:rPr>
          <w:rFonts w:ascii="Garamond" w:hAnsi="Garamond" w:cstheme="majorHAnsi"/>
          <w:sz w:val="24"/>
          <w:szCs w:val="24"/>
        </w:rPr>
        <w:t>- o impacto provável das importações objeto de dumping sobre a indústria doméstica, avaliado com base em todos os fatores e índices econômicos pertinentes definidos no § 2oe no § 3odo art. 30;</w:t>
      </w:r>
    </w:p>
    <w:p w14:paraId="3C6B25CE" w14:textId="4828809A"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V</w:t>
      </w:r>
      <w:r w:rsidR="00ED65BD" w:rsidRPr="005C5CBD">
        <w:rPr>
          <w:rFonts w:ascii="Garamond" w:hAnsi="Garamond" w:cstheme="majorHAnsi"/>
          <w:sz w:val="24"/>
          <w:szCs w:val="24"/>
        </w:rPr>
        <w:t xml:space="preserve"> </w:t>
      </w:r>
      <w:r w:rsidRPr="00847C9D">
        <w:rPr>
          <w:rFonts w:ascii="Garamond" w:hAnsi="Garamond" w:cstheme="majorHAnsi"/>
          <w:sz w:val="24"/>
          <w:szCs w:val="24"/>
        </w:rPr>
        <w:t>- alterações nas condições de mercado no país exportador, no Brasil ou em terceiros mercados, incluindo alterações na oferta e na demanda do produto similar, em razão, por exemplo, da imposição de medidas de defesa comercial por outros países; e</w:t>
      </w:r>
    </w:p>
    <w:p w14:paraId="1E59318C" w14:textId="6175F04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VI</w:t>
      </w:r>
      <w:r w:rsidR="00ED65BD" w:rsidRPr="005C5CBD">
        <w:rPr>
          <w:rFonts w:ascii="Garamond" w:hAnsi="Garamond" w:cstheme="majorHAnsi"/>
          <w:sz w:val="24"/>
          <w:szCs w:val="24"/>
        </w:rPr>
        <w:t xml:space="preserve"> </w:t>
      </w:r>
      <w:r w:rsidRPr="00847C9D">
        <w:rPr>
          <w:rFonts w:ascii="Garamond" w:hAnsi="Garamond" w:cstheme="majorHAnsi"/>
          <w:sz w:val="24"/>
          <w:szCs w:val="24"/>
        </w:rPr>
        <w:t>- o efeito provável de outros fatores que não as importações objeto de</w:t>
      </w:r>
      <w:r w:rsidR="00ED65BD" w:rsidRPr="005C5CBD">
        <w:rPr>
          <w:rFonts w:ascii="Garamond" w:hAnsi="Garamond" w:cstheme="majorHAnsi"/>
          <w:sz w:val="24"/>
          <w:szCs w:val="24"/>
        </w:rPr>
        <w:t xml:space="preserve"> </w:t>
      </w:r>
      <w:r w:rsidRPr="00847C9D">
        <w:rPr>
          <w:rFonts w:ascii="Garamond" w:hAnsi="Garamond" w:cstheme="majorHAnsi"/>
          <w:sz w:val="24"/>
          <w:szCs w:val="24"/>
        </w:rPr>
        <w:t>dumping sobre a indústria doméstica, tais como:</w:t>
      </w:r>
    </w:p>
    <w:p w14:paraId="5ECE7D95" w14:textId="747D7E43"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w:t>
      </w:r>
      <w:r w:rsidR="00ED65BD" w:rsidRPr="005C5CBD">
        <w:rPr>
          <w:rFonts w:ascii="Garamond" w:hAnsi="Garamond" w:cstheme="majorHAnsi"/>
          <w:sz w:val="24"/>
          <w:szCs w:val="24"/>
        </w:rPr>
        <w:t xml:space="preserve"> </w:t>
      </w:r>
      <w:r w:rsidRPr="00847C9D">
        <w:rPr>
          <w:rFonts w:ascii="Garamond" w:hAnsi="Garamond" w:cstheme="majorHAnsi"/>
          <w:sz w:val="24"/>
          <w:szCs w:val="24"/>
        </w:rPr>
        <w:t>volume e preço de importações não sujeitas ao direito antidumping;</w:t>
      </w:r>
    </w:p>
    <w:p w14:paraId="32B4A009" w14:textId="2E589B8C"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b)</w:t>
      </w:r>
      <w:r w:rsidR="00ED65BD" w:rsidRPr="005C5CBD">
        <w:rPr>
          <w:rFonts w:ascii="Garamond" w:hAnsi="Garamond" w:cstheme="majorHAnsi"/>
          <w:sz w:val="24"/>
          <w:szCs w:val="24"/>
        </w:rPr>
        <w:t xml:space="preserve"> </w:t>
      </w:r>
      <w:r w:rsidRPr="00847C9D">
        <w:rPr>
          <w:rFonts w:ascii="Garamond" w:hAnsi="Garamond" w:cstheme="majorHAnsi"/>
          <w:sz w:val="24"/>
          <w:szCs w:val="24"/>
        </w:rPr>
        <w:t>impacto de eventuais processos de liberalização das importações sobre os preços domésticos;</w:t>
      </w:r>
    </w:p>
    <w:p w14:paraId="566C4A1E" w14:textId="6E99F7C6"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c)</w:t>
      </w:r>
      <w:r w:rsidR="00ED65BD" w:rsidRPr="005C5CBD">
        <w:rPr>
          <w:rFonts w:ascii="Garamond" w:hAnsi="Garamond" w:cstheme="majorHAnsi"/>
          <w:sz w:val="24"/>
          <w:szCs w:val="24"/>
        </w:rPr>
        <w:t xml:space="preserve"> </w:t>
      </w:r>
      <w:r w:rsidRPr="00847C9D">
        <w:rPr>
          <w:rFonts w:ascii="Garamond" w:hAnsi="Garamond" w:cstheme="majorHAnsi"/>
          <w:sz w:val="24"/>
          <w:szCs w:val="24"/>
        </w:rPr>
        <w:t>contração na demanda ou mudanças nos padrões de consumo;</w:t>
      </w:r>
    </w:p>
    <w:p w14:paraId="13643A5E" w14:textId="1C9191B2"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d)</w:t>
      </w:r>
      <w:r w:rsidR="00ED65BD" w:rsidRPr="005C5CBD">
        <w:rPr>
          <w:rFonts w:ascii="Garamond" w:hAnsi="Garamond" w:cstheme="majorHAnsi"/>
          <w:sz w:val="24"/>
          <w:szCs w:val="24"/>
        </w:rPr>
        <w:t xml:space="preserve"> </w:t>
      </w:r>
      <w:r w:rsidRPr="00847C9D">
        <w:rPr>
          <w:rFonts w:ascii="Garamond" w:hAnsi="Garamond" w:cstheme="majorHAnsi"/>
          <w:sz w:val="24"/>
          <w:szCs w:val="24"/>
        </w:rPr>
        <w:t>práticas restritivas ao comércio de produtores domésticos e estrangeiros e a concorrência entre eles;</w:t>
      </w:r>
    </w:p>
    <w:p w14:paraId="071FD6FC" w14:textId="45917FD8"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e)</w:t>
      </w:r>
      <w:r w:rsidR="00ED65BD" w:rsidRPr="005C5CBD">
        <w:rPr>
          <w:rFonts w:ascii="Garamond" w:hAnsi="Garamond" w:cstheme="majorHAnsi"/>
          <w:sz w:val="24"/>
          <w:szCs w:val="24"/>
        </w:rPr>
        <w:t xml:space="preserve"> </w:t>
      </w:r>
      <w:r w:rsidRPr="00847C9D">
        <w:rPr>
          <w:rFonts w:ascii="Garamond" w:hAnsi="Garamond" w:cstheme="majorHAnsi"/>
          <w:sz w:val="24"/>
          <w:szCs w:val="24"/>
        </w:rPr>
        <w:t>progresso tecnológico;</w:t>
      </w:r>
    </w:p>
    <w:p w14:paraId="6B8722D0" w14:textId="0AC937EC"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f)</w:t>
      </w:r>
      <w:r w:rsidR="00ED65BD" w:rsidRPr="005C5CBD">
        <w:rPr>
          <w:rFonts w:ascii="Garamond" w:hAnsi="Garamond" w:cstheme="majorHAnsi"/>
          <w:sz w:val="24"/>
          <w:szCs w:val="24"/>
        </w:rPr>
        <w:t xml:space="preserve"> </w:t>
      </w:r>
      <w:r w:rsidRPr="00847C9D">
        <w:rPr>
          <w:rFonts w:ascii="Garamond" w:hAnsi="Garamond" w:cstheme="majorHAnsi"/>
          <w:sz w:val="24"/>
          <w:szCs w:val="24"/>
        </w:rPr>
        <w:t>desempenho exportador;</w:t>
      </w:r>
    </w:p>
    <w:p w14:paraId="3A4F7847" w14:textId="456AA46B"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g)</w:t>
      </w:r>
      <w:r w:rsidR="00ED65BD" w:rsidRPr="005C5CBD">
        <w:rPr>
          <w:rFonts w:ascii="Garamond" w:hAnsi="Garamond" w:cstheme="majorHAnsi"/>
          <w:sz w:val="24"/>
          <w:szCs w:val="24"/>
        </w:rPr>
        <w:t xml:space="preserve"> </w:t>
      </w:r>
      <w:r w:rsidRPr="00847C9D">
        <w:rPr>
          <w:rFonts w:ascii="Garamond" w:hAnsi="Garamond" w:cstheme="majorHAnsi"/>
          <w:sz w:val="24"/>
          <w:szCs w:val="24"/>
        </w:rPr>
        <w:t>produtividade da indústria doméstica;</w:t>
      </w:r>
    </w:p>
    <w:p w14:paraId="15C6193B" w14:textId="36322F8C"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h)</w:t>
      </w:r>
      <w:r w:rsidR="00ED65BD" w:rsidRPr="005C5CBD">
        <w:rPr>
          <w:rFonts w:ascii="Garamond" w:hAnsi="Garamond" w:cstheme="majorHAnsi"/>
          <w:sz w:val="24"/>
          <w:szCs w:val="24"/>
        </w:rPr>
        <w:t xml:space="preserve"> </w:t>
      </w:r>
      <w:r w:rsidRPr="00847C9D">
        <w:rPr>
          <w:rFonts w:ascii="Garamond" w:hAnsi="Garamond" w:cstheme="majorHAnsi"/>
          <w:sz w:val="24"/>
          <w:szCs w:val="24"/>
        </w:rPr>
        <w:t>consumo cativo; e</w:t>
      </w:r>
    </w:p>
    <w:p w14:paraId="6BC2B350" w14:textId="11A87100"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ED65BD" w:rsidRPr="005C5CBD">
        <w:rPr>
          <w:rFonts w:ascii="Garamond" w:hAnsi="Garamond" w:cstheme="majorHAnsi"/>
          <w:sz w:val="24"/>
          <w:szCs w:val="24"/>
        </w:rPr>
        <w:t xml:space="preserve"> </w:t>
      </w:r>
      <w:r w:rsidRPr="00847C9D">
        <w:rPr>
          <w:rFonts w:ascii="Garamond" w:hAnsi="Garamond" w:cstheme="majorHAnsi"/>
          <w:sz w:val="24"/>
          <w:szCs w:val="24"/>
        </w:rPr>
        <w:t>importações ou revenda do produto importado pela indústria doméstica.</w:t>
      </w:r>
    </w:p>
    <w:p w14:paraId="0EC74193"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105. A revisão será concluída no prazo de dez meses, contado da data do início da revisão.</w:t>
      </w:r>
    </w:p>
    <w:p w14:paraId="2A191CAF" w14:textId="093EF1E9"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Em circunstâncias excepcionais, esse prazo poderá ser prorrogado por até</w:t>
      </w:r>
      <w:r w:rsidR="00ED65BD" w:rsidRPr="005C5CBD">
        <w:rPr>
          <w:rFonts w:ascii="Garamond" w:hAnsi="Garamond" w:cstheme="majorHAnsi"/>
          <w:sz w:val="24"/>
          <w:szCs w:val="24"/>
        </w:rPr>
        <w:t xml:space="preserve"> </w:t>
      </w:r>
      <w:r w:rsidRPr="00847C9D">
        <w:rPr>
          <w:rFonts w:ascii="Garamond" w:hAnsi="Garamond" w:cstheme="majorHAnsi"/>
          <w:sz w:val="24"/>
          <w:szCs w:val="24"/>
        </w:rPr>
        <w:t xml:space="preserve">dois meses. </w:t>
      </w:r>
    </w:p>
    <w:p w14:paraId="5A702BC0" w14:textId="03762AEB" w:rsidR="00C12525" w:rsidRPr="00847C9D" w:rsidRDefault="00C12525" w:rsidP="006C7200">
      <w:pPr>
        <w:tabs>
          <w:tab w:val="left" w:pos="3105"/>
        </w:tabs>
        <w:jc w:val="both"/>
        <w:rPr>
          <w:rFonts w:ascii="Garamond" w:hAnsi="Garamond" w:cstheme="majorHAnsi"/>
          <w:sz w:val="24"/>
          <w:szCs w:val="24"/>
        </w:rPr>
      </w:pPr>
      <w:r w:rsidRPr="009849A8">
        <w:rPr>
          <w:rFonts w:ascii="Garamond" w:hAnsi="Garamond" w:cstheme="majorHAnsi"/>
          <w:sz w:val="24"/>
          <w:szCs w:val="24"/>
        </w:rPr>
        <w:t xml:space="preserve"> § 2º No curso da revisão, os direitos permanecerão em vigor e não serão</w:t>
      </w:r>
      <w:r w:rsidR="009849A8" w:rsidRPr="009849A8">
        <w:rPr>
          <w:rFonts w:ascii="Garamond" w:hAnsi="Garamond" w:cstheme="majorHAnsi"/>
          <w:sz w:val="24"/>
          <w:szCs w:val="24"/>
        </w:rPr>
        <w:t xml:space="preserve"> alterados.</w:t>
      </w:r>
    </w:p>
    <w:p w14:paraId="0FE8FECB" w14:textId="08CB8983" w:rsidR="00C12525" w:rsidRPr="005C5CBD" w:rsidRDefault="00C12525" w:rsidP="003A4A3D">
      <w:pPr>
        <w:tabs>
          <w:tab w:val="left" w:pos="3105"/>
        </w:tabs>
        <w:spacing w:after="0" w:line="240" w:lineRule="auto"/>
        <w:jc w:val="center"/>
        <w:rPr>
          <w:rFonts w:ascii="Garamond" w:hAnsi="Garamond" w:cstheme="majorHAnsi"/>
          <w:b/>
          <w:sz w:val="24"/>
          <w:szCs w:val="24"/>
        </w:rPr>
      </w:pPr>
      <w:r w:rsidRPr="00847C9D">
        <w:rPr>
          <w:rFonts w:ascii="Garamond" w:hAnsi="Garamond" w:cstheme="majorHAnsi"/>
          <w:sz w:val="24"/>
          <w:szCs w:val="24"/>
        </w:rPr>
        <w:t xml:space="preserve"> </w:t>
      </w:r>
      <w:r w:rsidRPr="005C5CBD">
        <w:rPr>
          <w:rFonts w:ascii="Garamond" w:hAnsi="Garamond" w:cstheme="majorHAnsi"/>
          <w:b/>
          <w:sz w:val="24"/>
          <w:szCs w:val="24"/>
        </w:rPr>
        <w:t>Subseção II</w:t>
      </w:r>
    </w:p>
    <w:p w14:paraId="78837CAC" w14:textId="77777777" w:rsidR="00C12525" w:rsidRPr="00847C9D" w:rsidRDefault="00C12525" w:rsidP="003A4A3D">
      <w:pPr>
        <w:tabs>
          <w:tab w:val="left" w:pos="3105"/>
        </w:tabs>
        <w:spacing w:after="0" w:line="240" w:lineRule="auto"/>
        <w:jc w:val="center"/>
        <w:rPr>
          <w:rFonts w:ascii="Garamond" w:hAnsi="Garamond" w:cstheme="majorHAnsi"/>
          <w:sz w:val="24"/>
          <w:szCs w:val="24"/>
        </w:rPr>
      </w:pPr>
      <w:r w:rsidRPr="005C5CBD">
        <w:rPr>
          <w:rFonts w:ascii="Garamond" w:hAnsi="Garamond" w:cstheme="majorHAnsi"/>
          <w:b/>
          <w:sz w:val="24"/>
          <w:szCs w:val="24"/>
        </w:rPr>
        <w:t>Da revisão de final de período</w:t>
      </w:r>
    </w:p>
    <w:p w14:paraId="6752C4E6" w14:textId="77777777" w:rsidR="00C12525" w:rsidRPr="00847C9D" w:rsidRDefault="00C12525" w:rsidP="006C7200">
      <w:pPr>
        <w:tabs>
          <w:tab w:val="left" w:pos="3105"/>
        </w:tabs>
        <w:jc w:val="both"/>
        <w:rPr>
          <w:rFonts w:ascii="Garamond" w:hAnsi="Garamond" w:cstheme="majorHAnsi"/>
          <w:sz w:val="24"/>
          <w:szCs w:val="24"/>
        </w:rPr>
      </w:pPr>
    </w:p>
    <w:p w14:paraId="6D58937A"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106. A duração do direito antidumping de que trata o art. 93 poderá ser, por meio de uma revisão de final de período amparada por esta Subseção, prorrogada por igual período, caso determinado que a sua extinção levaria muito provavelmente à continuação ou à retomada do dumping e do dano dele decorrente.</w:t>
      </w:r>
    </w:p>
    <w:p w14:paraId="05E19DC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107. A determinação de que a extinção do direito levaria muito provavelmente à continuação ou à retomada do dumping deverá basear-se no exame objetivo de todos os fatores relevantes, incluindo aqueles elencados no art. 103.</w:t>
      </w:r>
    </w:p>
    <w:p w14:paraId="09E3CC38" w14:textId="5E7E39F6"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O direito a ser aplicado como resultado de uma revisão de final de período poderá ser determinado com base na margem de dumping calculada para o período de revisão, caso evidenciado que a referida margemreflita adequadamente o comportamento dos</w:t>
      </w:r>
      <w:r w:rsidR="004567A1" w:rsidRPr="005C5CBD">
        <w:rPr>
          <w:rFonts w:ascii="Garamond" w:hAnsi="Garamond" w:cstheme="majorHAnsi"/>
          <w:sz w:val="24"/>
          <w:szCs w:val="24"/>
        </w:rPr>
        <w:t xml:space="preserve"> </w:t>
      </w:r>
      <w:r w:rsidRPr="00847C9D">
        <w:rPr>
          <w:rFonts w:ascii="Garamond" w:hAnsi="Garamond" w:cstheme="majorHAnsi"/>
          <w:sz w:val="24"/>
          <w:szCs w:val="24"/>
        </w:rPr>
        <w:t>produtores ou exportadores durante a totalidade do período de revisão e o montante do direito não poderá exceder a margem de dumping calculada para o período de revisão.</w:t>
      </w:r>
    </w:p>
    <w:p w14:paraId="39CDA46B" w14:textId="158099DE"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Se a margem de dumping calculada para o período de revisão não refletir o comportamento dos produtores ou exportadores durante a totalidade do período de revisão,</w:t>
      </w:r>
      <w:r w:rsidR="004567A1" w:rsidRPr="005C5CBD">
        <w:rPr>
          <w:rFonts w:ascii="Garamond" w:hAnsi="Garamond" w:cstheme="majorHAnsi"/>
          <w:sz w:val="24"/>
          <w:szCs w:val="24"/>
        </w:rPr>
        <w:t xml:space="preserve"> </w:t>
      </w:r>
      <w:r w:rsidRPr="00847C9D">
        <w:rPr>
          <w:rFonts w:ascii="Garamond" w:hAnsi="Garamond" w:cstheme="majorHAnsi"/>
          <w:sz w:val="24"/>
          <w:szCs w:val="24"/>
        </w:rPr>
        <w:t>o direito poderá ser prorrogado sem alteração.</w:t>
      </w:r>
    </w:p>
    <w:p w14:paraId="21296628"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3° Na hipótese de não ter havido exportações do país ao qual se aplica a medida antidumping ou de ter havido apenas exportações em quantidades não representativas durante o período de revisão, a probabilidade de retomada do dumping será determinada com base na comparação entre o valor normal médio internalizado no mercado brasileiro e:</w:t>
      </w:r>
    </w:p>
    <w:p w14:paraId="4C40C95F" w14:textId="7ABA80C8"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4567A1" w:rsidRPr="005C5CBD">
        <w:rPr>
          <w:rFonts w:ascii="Garamond" w:hAnsi="Garamond" w:cstheme="majorHAnsi"/>
          <w:sz w:val="24"/>
          <w:szCs w:val="24"/>
        </w:rPr>
        <w:t xml:space="preserve"> </w:t>
      </w:r>
      <w:r w:rsidRPr="00847C9D">
        <w:rPr>
          <w:rFonts w:ascii="Garamond" w:hAnsi="Garamond" w:cstheme="majorHAnsi"/>
          <w:sz w:val="24"/>
          <w:szCs w:val="24"/>
        </w:rPr>
        <w:t>- o preço médio de venda do produto similar doméstico no mercado brasileiro, apurados para o período de revisão; ou</w:t>
      </w:r>
    </w:p>
    <w:p w14:paraId="6C7A2E3B" w14:textId="6CE0B3D9"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4567A1" w:rsidRPr="005C5CBD">
        <w:rPr>
          <w:rFonts w:ascii="Garamond" w:hAnsi="Garamond" w:cstheme="majorHAnsi"/>
          <w:sz w:val="24"/>
          <w:szCs w:val="24"/>
        </w:rPr>
        <w:t xml:space="preserve"> </w:t>
      </w:r>
      <w:r w:rsidRPr="00847C9D">
        <w:rPr>
          <w:rFonts w:ascii="Garamond" w:hAnsi="Garamond" w:cstheme="majorHAnsi"/>
          <w:sz w:val="24"/>
          <w:szCs w:val="24"/>
        </w:rPr>
        <w:t>- o preço de exportação médio de outros fornecedores estrangeiros para o mercado brasileiro em transações feitas em quantidades representativas, apurados para o período de revisão.</w:t>
      </w:r>
    </w:p>
    <w:p w14:paraId="264C7CC7"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4º Em caso de determinação positiva na hipótese do § 3º, será recomendada a prorrogação do direito antidumping em montante igual ou inferior ao do direito em vigor.</w:t>
      </w:r>
    </w:p>
    <w:p w14:paraId="5C40C732"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108. A determinação de que a extinção do direito levará muito provavelmente à continuação ou à retomada do dano deverá basear-se no exame objetivo de todos os fatores relevantes, incluindo aqueles elencados no art. 104.</w:t>
      </w:r>
    </w:p>
    <w:p w14:paraId="32EBDC28"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109. Em situações em que houver dúvidas quanto à provável evolução futura das importações do produto objeto de direito antidumping, o DECOM poderá recomendar a prorrogação do direito com a imediata suspensão de sua aplicação.</w:t>
      </w:r>
    </w:p>
    <w:p w14:paraId="1D69A9B3"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A cobrança do direito será imediatamente retomada caso o aumento das importações ocorrer em volume que possa levar à retomada do dano.</w:t>
      </w:r>
    </w:p>
    <w:p w14:paraId="07CF9D6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110. A revisão de final de período deverá ser solicitada pela indústria doméstica ou em seu nome, por meio de petição escrita, devidamente fundamentada, acompanhada de indícios de que a extinção do direito antidumping levaria muito provavelmente à continuação ou à retomada do dumping e do dano dele decorrente.</w:t>
      </w:r>
    </w:p>
    <w:p w14:paraId="1D6739C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111. A petição de revisão de final de período deverá ser protocolada, no mínimo, quatro meses antes da data do término do período de vigência do direito antidumping de que trata o art. 93, sob pena de a petição ser considerada intempestiva.</w:t>
      </w:r>
    </w:p>
    <w:p w14:paraId="1C1FE427"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A decisão de iniciar a revisão, ou não, será publicada antes do término da vigência do direito antidumping.</w:t>
      </w:r>
    </w:p>
    <w:p w14:paraId="728AF8F1"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Art.112. A revisão será concluída no prazo de dez meses, contado da data do início da revisão.</w:t>
      </w:r>
    </w:p>
    <w:p w14:paraId="1B7AE98A" w14:textId="529A5476"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Em circunstâncias excepcionais, esse prazo poderá ser prorrogado por até</w:t>
      </w:r>
      <w:r w:rsidR="004567A1" w:rsidRPr="005C5CBD">
        <w:rPr>
          <w:rFonts w:ascii="Garamond" w:hAnsi="Garamond" w:cstheme="majorHAnsi"/>
          <w:sz w:val="24"/>
          <w:szCs w:val="24"/>
        </w:rPr>
        <w:t xml:space="preserve"> </w:t>
      </w:r>
      <w:r w:rsidRPr="00847C9D">
        <w:rPr>
          <w:rFonts w:ascii="Garamond" w:hAnsi="Garamond" w:cstheme="majorHAnsi"/>
          <w:sz w:val="24"/>
          <w:szCs w:val="24"/>
        </w:rPr>
        <w:t>dois meses</w:t>
      </w:r>
      <w:r w:rsidRPr="005C5CBD">
        <w:rPr>
          <w:rFonts w:ascii="Garamond" w:hAnsi="Garamond" w:cstheme="majorHAnsi"/>
          <w:sz w:val="24"/>
          <w:szCs w:val="24"/>
        </w:rPr>
        <w:t>..</w:t>
      </w:r>
    </w:p>
    <w:p w14:paraId="15E54408" w14:textId="41B45072"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 2º No curso da revisão, os direitos permanecerão em vigor e não serão</w:t>
      </w:r>
      <w:r w:rsidR="004567A1" w:rsidRPr="005C5CBD">
        <w:rPr>
          <w:rFonts w:ascii="Garamond" w:hAnsi="Garamond" w:cstheme="majorHAnsi"/>
          <w:sz w:val="24"/>
          <w:szCs w:val="24"/>
        </w:rPr>
        <w:t xml:space="preserve"> alterados.</w:t>
      </w:r>
    </w:p>
    <w:p w14:paraId="31BE798A" w14:textId="7F3896CC"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w:t>
      </w:r>
    </w:p>
    <w:p w14:paraId="73496E0F"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Seção III</w:t>
      </w:r>
    </w:p>
    <w:p w14:paraId="631027DD"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Das revisões relativas ao escopo e à cobrança do direito</w:t>
      </w:r>
    </w:p>
    <w:p w14:paraId="7DD63135" w14:textId="77777777" w:rsidR="00C12525" w:rsidRPr="00847C9D" w:rsidRDefault="00C12525" w:rsidP="006C7200">
      <w:pPr>
        <w:tabs>
          <w:tab w:val="left" w:pos="3105"/>
        </w:tabs>
        <w:jc w:val="both"/>
        <w:rPr>
          <w:rFonts w:ascii="Garamond" w:hAnsi="Garamond" w:cstheme="majorHAnsi"/>
          <w:sz w:val="24"/>
          <w:szCs w:val="24"/>
        </w:rPr>
      </w:pPr>
    </w:p>
    <w:p w14:paraId="1D2ABBFC"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Subseção I</w:t>
      </w:r>
    </w:p>
    <w:p w14:paraId="0B7A8499"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 revisão para novos produtores ou exportadores</w:t>
      </w:r>
    </w:p>
    <w:p w14:paraId="763D9115" w14:textId="77777777" w:rsidR="00C12525" w:rsidRPr="00847C9D" w:rsidRDefault="00C12525" w:rsidP="006C7200">
      <w:pPr>
        <w:tabs>
          <w:tab w:val="left" w:pos="3105"/>
        </w:tabs>
        <w:jc w:val="both"/>
        <w:rPr>
          <w:rFonts w:ascii="Garamond" w:hAnsi="Garamond" w:cstheme="majorHAnsi"/>
          <w:sz w:val="24"/>
          <w:szCs w:val="24"/>
        </w:rPr>
      </w:pPr>
    </w:p>
    <w:p w14:paraId="32F3D8FA"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113. Quando um produto estiver sujeito a direitos antidumping, o produtor ou exportador que não tenha exportado para o Brasil durante o período da investigação que culminou com a aplicação, alteração, prorrogação ou extensão do direito antidumping vigente poderá solicitar, por meio de petição escrita e fundamentada, revisão do direito antidumping em vigor, com vistas a determinar, de forma célere, sua margem individual de dumping.</w:t>
      </w:r>
    </w:p>
    <w:p w14:paraId="4FD7BC85"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O produtor ou exportador referido no caput deve apresentar elementos de fato e de direito suficientes para comprovar que:</w:t>
      </w:r>
    </w:p>
    <w:p w14:paraId="22682205" w14:textId="3A5BB071"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4567A1" w:rsidRPr="005C5CBD">
        <w:rPr>
          <w:rFonts w:ascii="Garamond" w:hAnsi="Garamond" w:cstheme="majorHAnsi"/>
          <w:sz w:val="24"/>
          <w:szCs w:val="24"/>
        </w:rPr>
        <w:t xml:space="preserve"> </w:t>
      </w:r>
      <w:r w:rsidRPr="00847C9D">
        <w:rPr>
          <w:rFonts w:ascii="Garamond" w:hAnsi="Garamond" w:cstheme="majorHAnsi"/>
          <w:sz w:val="24"/>
          <w:szCs w:val="24"/>
        </w:rPr>
        <w:t>- não possui relação ou associação, nos termos do § 10 do art. 14, com os produtores ou exportadores que, localizados no país exportador e sujeitos ao direito antidumping vigente, exportaram durante o período de investigação que culminou com a aplicação, alteração, prorrogação ou extensão do direito antidumping vigente; e</w:t>
      </w:r>
    </w:p>
    <w:p w14:paraId="0FEDDC48" w14:textId="4F8C632A"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4567A1" w:rsidRPr="005C5CBD">
        <w:rPr>
          <w:rFonts w:ascii="Garamond" w:hAnsi="Garamond" w:cstheme="majorHAnsi"/>
          <w:sz w:val="24"/>
          <w:szCs w:val="24"/>
        </w:rPr>
        <w:t xml:space="preserve"> </w:t>
      </w:r>
      <w:r w:rsidRPr="00847C9D">
        <w:rPr>
          <w:rFonts w:ascii="Garamond" w:hAnsi="Garamond" w:cstheme="majorHAnsi"/>
          <w:sz w:val="24"/>
          <w:szCs w:val="24"/>
        </w:rPr>
        <w:t>- não exportou durante o período de investigação que culminou com a aplicação, alteração, prorrogação ou extensão do direito antidumping vigente.</w:t>
      </w:r>
    </w:p>
    <w:p w14:paraId="3112D5E5"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114. Caso o peticionário não seja o produtor do produto sujeito à medida, deverá incluir em seu pedido, além das informações solicitadas no art.113:</w:t>
      </w:r>
    </w:p>
    <w:p w14:paraId="3AA47E9E" w14:textId="4D2AE7E4"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4567A1" w:rsidRPr="005C5CBD">
        <w:rPr>
          <w:rFonts w:ascii="Garamond" w:hAnsi="Garamond" w:cstheme="majorHAnsi"/>
          <w:sz w:val="24"/>
          <w:szCs w:val="24"/>
        </w:rPr>
        <w:t xml:space="preserve"> </w:t>
      </w:r>
      <w:r w:rsidRPr="00847C9D">
        <w:rPr>
          <w:rFonts w:ascii="Garamond" w:hAnsi="Garamond" w:cstheme="majorHAnsi"/>
          <w:sz w:val="24"/>
          <w:szCs w:val="24"/>
        </w:rPr>
        <w:t>- o nome do produtor; e</w:t>
      </w:r>
    </w:p>
    <w:p w14:paraId="539A57BA" w14:textId="73A2DA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4567A1" w:rsidRPr="005C5CBD">
        <w:rPr>
          <w:rFonts w:ascii="Garamond" w:hAnsi="Garamond" w:cstheme="majorHAnsi"/>
          <w:sz w:val="24"/>
          <w:szCs w:val="24"/>
        </w:rPr>
        <w:t xml:space="preserve"> </w:t>
      </w:r>
      <w:r w:rsidRPr="00847C9D">
        <w:rPr>
          <w:rFonts w:ascii="Garamond" w:hAnsi="Garamond" w:cstheme="majorHAnsi"/>
          <w:sz w:val="24"/>
          <w:szCs w:val="24"/>
        </w:rPr>
        <w:t>- declaração do produtor de que irá colaborar com a revisão no que se refere ao fornecimento de dados relativos a custos de manufatura e preço de venda do produto similar no mercado interno do país de exportação no período de revisão.</w:t>
      </w:r>
    </w:p>
    <w:p w14:paraId="63245CB9"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Caso o país exportador não seja considerado uma economia de mercado, deverá ser indicado, para fins de apuração do valor normal, produtor do mesmo terceiro país utilizado no procedimento imediatamente anterior ao início da revisão.</w:t>
      </w:r>
    </w:p>
    <w:p w14:paraId="05062377"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Caso existam importações brasileiras do produto do peticionário em quantidades representativas dentro de um período de seis meses, deverão constar da petição informações relativas aos custos de manufatura e ao valor normal do produto similar no país de exportação, e sobre volume e preço de exportação ao Brasil, além de eventuais ajustes para fins de justa comparação.</w:t>
      </w:r>
    </w:p>
    <w:p w14:paraId="578B422D"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3º A petição deverá ser protocolada em até quatro meses após o término do período a que faz referência o § 2º.</w:t>
      </w:r>
    </w:p>
    <w:p w14:paraId="2850D961"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115. O DECOM disporá de dois meses para analisar se a petição está devidamente instruída e, em caso positivo, a SECEX publicará ato tornando público o início da revisão.</w:t>
      </w:r>
    </w:p>
    <w:p w14:paraId="43437B7C" w14:textId="07847B0B"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Ato da CAMEX suspenderá a cobrança do direito antidumping aplicado às importações do produto exportado pelo produtor ou exportador peticionário da revisão enquanto perdurar a revisão, e instituirá aos importadores do referido produto, a prestação de</w:t>
      </w:r>
      <w:r w:rsidR="004567A1" w:rsidRPr="005C5CBD">
        <w:rPr>
          <w:rFonts w:ascii="Garamond" w:hAnsi="Garamond" w:cstheme="majorHAnsi"/>
          <w:sz w:val="24"/>
          <w:szCs w:val="24"/>
        </w:rPr>
        <w:t xml:space="preserve"> </w:t>
      </w:r>
      <w:r w:rsidRPr="00847C9D">
        <w:rPr>
          <w:rFonts w:ascii="Garamond" w:hAnsi="Garamond" w:cstheme="majorHAnsi"/>
          <w:sz w:val="24"/>
          <w:szCs w:val="24"/>
        </w:rPr>
        <w:t>garantia na forma de depósito em espécie ou fiança bancária em montante equivalente aos direitos suspensos.</w:t>
      </w:r>
    </w:p>
    <w:p w14:paraId="0EE5160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Compete à Secretaria da Receita Federal do Brasil do Ministério da Fazenda verificar a prestação da garantia de que trata este artigo, por ocasião do despacho aduaneiro.</w:t>
      </w:r>
    </w:p>
    <w:p w14:paraId="058A8CB8"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3º O DECOM notificará as partes interessadas sobre o início da revisão.</w:t>
      </w:r>
    </w:p>
    <w:p w14:paraId="0BCC43BF"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116. Caso não existam importações brasileiras do produto do peticionário em quantidades representativas para a determinação de margem de dumping individual, a CAMEX poderá suspender a cobrança do direito antidumping aplicado às importações do produto exportado pelo peticionário, despachadas para consumo final no Brasil em um período de seis meses, improrrogável, contado da data de publicaçãodo ato pertinente pela CAMEX.</w:t>
      </w:r>
    </w:p>
    <w:p w14:paraId="364FB447"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A suspensão a que faz referência o caput somente ocorrerá uma vez protocolada uma petição para uma revisão de novo produtor ou exportador, em conformidade com as exigências estabelecidas nos arts. 113 e 114.</w:t>
      </w:r>
    </w:p>
    <w:p w14:paraId="2AC3E2F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No ato de suspensão a que faz referência o caput, será determinada a prestação de garantia pelos importadores do produto exportado pelo peticionário na forma de depósito em espécie ou fiança bancária em montante equivalente aos direitos suspensos.</w:t>
      </w:r>
    </w:p>
    <w:p w14:paraId="37E79332"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3º Encerrado o período a que faz referência o caput, o peticionário terá trinta dias para protocolar as informações relativas aos custos de produção e ao valor normal do produto similar no país de exportação, e sobre volume e preço de exportação para o Brasil, além de eventuais ajustes para fins de justa comparação.</w:t>
      </w:r>
    </w:p>
    <w:p w14:paraId="002AD76B" w14:textId="58F61A88"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4º As informações mencionadas no § 3º devem referir-se ao período previsto</w:t>
      </w:r>
      <w:r w:rsidR="004567A1" w:rsidRPr="005C5CBD">
        <w:rPr>
          <w:rFonts w:ascii="Garamond" w:hAnsi="Garamond" w:cstheme="majorHAnsi"/>
          <w:sz w:val="24"/>
          <w:szCs w:val="24"/>
        </w:rPr>
        <w:t xml:space="preserve"> </w:t>
      </w:r>
      <w:r w:rsidRPr="00847C9D">
        <w:rPr>
          <w:rFonts w:ascii="Garamond" w:hAnsi="Garamond" w:cstheme="majorHAnsi"/>
          <w:sz w:val="24"/>
          <w:szCs w:val="24"/>
        </w:rPr>
        <w:t>no caput.</w:t>
      </w:r>
    </w:p>
    <w:p w14:paraId="63B3844C" w14:textId="4355BEA2"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5º Uma vez protocoladas as informações referidas no § 3º, o DECOM terá o</w:t>
      </w:r>
      <w:r w:rsidR="004567A1" w:rsidRPr="005C5CBD">
        <w:rPr>
          <w:rFonts w:ascii="Garamond" w:hAnsi="Garamond" w:cstheme="majorHAnsi"/>
          <w:sz w:val="24"/>
          <w:szCs w:val="24"/>
        </w:rPr>
        <w:t xml:space="preserve"> </w:t>
      </w:r>
      <w:r w:rsidRPr="00847C9D">
        <w:rPr>
          <w:rFonts w:ascii="Garamond" w:hAnsi="Garamond" w:cstheme="majorHAnsi"/>
          <w:sz w:val="24"/>
          <w:szCs w:val="24"/>
        </w:rPr>
        <w:t>prazo de trinta dias para analisá-las.</w:t>
      </w:r>
    </w:p>
    <w:p w14:paraId="78E74237"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6º Caso a petição esteja devidamente instruída, a SECEX publicará ato tornando público o início da revisão.</w:t>
      </w:r>
    </w:p>
    <w:p w14:paraId="5AE43389"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7º Caso as informações não sejam protocoladas no prazo a se refere o § 3º, o DECOM indeferirá a petição e a CAMEX determinará a conversão das garantias prestadas.</w:t>
      </w:r>
    </w:p>
    <w:p w14:paraId="7F99FCD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8º Decorrido o período a que faz referência o caput sem importações em quantidades representativas para a determinação de margem de dumping individual, o DECOM indeferirá a petição e a CAMEX determinará a retomada da cobrança do direito antidumping e a conversão das garantias prestadas.</w:t>
      </w:r>
    </w:p>
    <w:p w14:paraId="5185976D"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9º Entre o final do período de suspensão a que faz referência o caput e o início da revisão, os direitos antidumping serão cobrados regularmente.</w:t>
      </w:r>
    </w:p>
    <w:p w14:paraId="14F93D6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117.   A margem de dumping individual será calculada com base nos dados relativos ao período de revisão ou ao período de suspensão de que trata o caput do art. 116.</w:t>
      </w:r>
    </w:p>
    <w:p w14:paraId="178D6E2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118. O DECOM poderá solicitar informações complementares ao peticionário, que devem ser encaminhadas no prazo improrrogável de cinco dias, contado da data de ciência da solicitação.</w:t>
      </w:r>
    </w:p>
    <w:p w14:paraId="27C8292F"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w:t>
      </w:r>
    </w:p>
    <w:p w14:paraId="44E0C771"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Caso o peticionário negue acesso à informação necessária, não a forneça tempestivamente ou crie obstáculos à revisão, a SECEX encerrará a revisão sem a determinação de margem individual para o produtor ou exportador e a CAMEX publicará ato determinando a retomada da cobrança do direito antidumping e a conversão das garantias prestadas.</w:t>
      </w:r>
    </w:p>
    <w:p w14:paraId="5FE73135"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119. A fase probatória da revisão será encerrada no prazo de noventa dias, contado da data de início da revisão, não sendo juntados aos autos do processo elementos de prova apresentados após o seu encerramento.</w:t>
      </w:r>
    </w:p>
    <w:p w14:paraId="149A8990"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120. As revisões previstas nesta subseção serão concluídas no prazo de sete meses, contado da sua data de início.</w:t>
      </w:r>
    </w:p>
    <w:p w14:paraId="079C1AB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A CAMEX publicará ato retomando a cobrança do direito aplicado às importações do produto do produtor ou exportador beneficiado pela revisão no montante do direito individual definitivo determinado na revisão.</w:t>
      </w:r>
    </w:p>
    <w:p w14:paraId="0ABA1B01"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A garantia prestada será convertida, caso o valor do direito individual definitivo seja superior a seu valor.</w:t>
      </w:r>
    </w:p>
    <w:p w14:paraId="20AAA924" w14:textId="422D97AC"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3º Caso o valor do direito individual seja inferior ao valor da garantia prestada, o valor a maior poderá ser objeto de revisão de restituição, nos termos da Subseção III.</w:t>
      </w:r>
    </w:p>
    <w:p w14:paraId="5EFC803E" w14:textId="17314D09"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Subseção II</w:t>
      </w:r>
    </w:p>
    <w:p w14:paraId="17D0C09D"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 revisão anticircunvenção</w:t>
      </w:r>
    </w:p>
    <w:p w14:paraId="3E7A04B4" w14:textId="77777777" w:rsidR="00C12525" w:rsidRPr="00847C9D" w:rsidRDefault="00C12525" w:rsidP="006C7200">
      <w:pPr>
        <w:tabs>
          <w:tab w:val="left" w:pos="3105"/>
        </w:tabs>
        <w:jc w:val="both"/>
        <w:rPr>
          <w:rFonts w:ascii="Garamond" w:hAnsi="Garamond" w:cstheme="majorHAnsi"/>
          <w:sz w:val="24"/>
          <w:szCs w:val="24"/>
        </w:rPr>
      </w:pPr>
    </w:p>
    <w:p w14:paraId="6A1333A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121. A aplicação de uma medida antidumping poderá ser estendida, por meio de uma revisão anticircunvenção amparada por esta Subseção, a importações de:</w:t>
      </w:r>
    </w:p>
    <w:p w14:paraId="7DB235DB" w14:textId="2316EFF1"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4567A1" w:rsidRPr="005C5CBD">
        <w:rPr>
          <w:rFonts w:ascii="Garamond" w:hAnsi="Garamond" w:cstheme="majorHAnsi"/>
          <w:sz w:val="24"/>
          <w:szCs w:val="24"/>
        </w:rPr>
        <w:t xml:space="preserve"> </w:t>
      </w:r>
      <w:r w:rsidRPr="00847C9D">
        <w:rPr>
          <w:rFonts w:ascii="Garamond" w:hAnsi="Garamond" w:cstheme="majorHAnsi"/>
          <w:sz w:val="24"/>
          <w:szCs w:val="24"/>
        </w:rPr>
        <w:t>- partes, peças ou componentes originários ou procedentes do país sujeito a medida antidumping, destinadas à industrialização, no Brasil, do produto sujeito a medida antidumping;</w:t>
      </w:r>
    </w:p>
    <w:p w14:paraId="38C913BC" w14:textId="22C59EAC"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4567A1" w:rsidRPr="005C5CBD">
        <w:rPr>
          <w:rFonts w:ascii="Garamond" w:hAnsi="Garamond" w:cstheme="majorHAnsi"/>
          <w:sz w:val="24"/>
          <w:szCs w:val="24"/>
        </w:rPr>
        <w:t xml:space="preserve"> </w:t>
      </w:r>
      <w:r w:rsidRPr="00847C9D">
        <w:rPr>
          <w:rFonts w:ascii="Garamond" w:hAnsi="Garamond" w:cstheme="majorHAnsi"/>
          <w:sz w:val="24"/>
          <w:szCs w:val="24"/>
        </w:rPr>
        <w:t>- produto de terceiros países cuja industrialização com partes, peças ou componentes originários ou procedentes do país sujeito a medida antidumping resulte no produto sujeito a medida antidumping; ou</w:t>
      </w:r>
    </w:p>
    <w:p w14:paraId="1506F2D5" w14:textId="75AECF29"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4567A1" w:rsidRPr="005C5CBD">
        <w:rPr>
          <w:rFonts w:ascii="Garamond" w:hAnsi="Garamond" w:cstheme="majorHAnsi"/>
          <w:sz w:val="24"/>
          <w:szCs w:val="24"/>
        </w:rPr>
        <w:t xml:space="preserve"> </w:t>
      </w:r>
      <w:r w:rsidRPr="00847C9D">
        <w:rPr>
          <w:rFonts w:ascii="Garamond" w:hAnsi="Garamond" w:cstheme="majorHAnsi"/>
          <w:sz w:val="24"/>
          <w:szCs w:val="24"/>
        </w:rPr>
        <w:t>- produto que, originário ou procedente do país sujeito a medida antidumping, apresente modificações marginais com relação ao produto sujeito a medida antidumping, mas que não alteram o seu uso ou a sua destinação final.</w:t>
      </w:r>
    </w:p>
    <w:p w14:paraId="4E5C040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122. Constitui circunvenção prática comercial que vise a frustrar a eficácia de medida antidumping vigente por meio da introdução, no território nacional, das importações a que faz referência o art. 121.</w:t>
      </w:r>
    </w:p>
    <w:p w14:paraId="0A04ED52"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123. A existência de circunvenção será determinada pela análise conjugada de informações relativas tanto aos países de origem das exportações dos produtos ou das partes, peças ou componentes quanto aos produtores ou exportadores destes países, ou ainda aos importadores brasileiros de partes, peças ou componentes, nos termos do art. 121.</w:t>
      </w:r>
    </w:p>
    <w:p w14:paraId="7A110F4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w:t>
      </w:r>
    </w:p>
    <w:p w14:paraId="7B84AC6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A análise de informações relativas aos países de origem das exportações dos produtos ou das partes, peças ou componentes a que faz referência o caput será feita para os países como um todo, de maneira a verificar se:</w:t>
      </w:r>
    </w:p>
    <w:p w14:paraId="2BD6C482" w14:textId="27EA66A0"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4567A1" w:rsidRPr="005C5CBD">
        <w:rPr>
          <w:rFonts w:ascii="Garamond" w:hAnsi="Garamond" w:cstheme="majorHAnsi"/>
          <w:sz w:val="24"/>
          <w:szCs w:val="24"/>
        </w:rPr>
        <w:t xml:space="preserve"> </w:t>
      </w:r>
      <w:r w:rsidRPr="00847C9D">
        <w:rPr>
          <w:rFonts w:ascii="Garamond" w:hAnsi="Garamond" w:cstheme="majorHAnsi"/>
          <w:sz w:val="24"/>
          <w:szCs w:val="24"/>
        </w:rPr>
        <w:t>- em razão de alterações nos fluxos comerciais destes países ocorridas após o início de investigação original ou de revisão, a eficácia de uma medida antidumping vigente estiver sendo frustrada, avaliada em termos do preço e da quantidade importada do produto objeto da revisão; e</w:t>
      </w:r>
    </w:p>
    <w:p w14:paraId="693D8804" w14:textId="0BCC6E2F"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4567A1" w:rsidRPr="005C5CBD">
        <w:rPr>
          <w:rFonts w:ascii="Garamond" w:hAnsi="Garamond" w:cstheme="majorHAnsi"/>
          <w:sz w:val="24"/>
          <w:szCs w:val="24"/>
        </w:rPr>
        <w:t xml:space="preserve"> </w:t>
      </w:r>
      <w:r w:rsidRPr="00847C9D">
        <w:rPr>
          <w:rFonts w:ascii="Garamond" w:hAnsi="Garamond" w:cstheme="majorHAnsi"/>
          <w:sz w:val="24"/>
          <w:szCs w:val="24"/>
        </w:rPr>
        <w:t>- as alterações nos fluxos comerciais destes países ocorridas após o início de investigação original ou revisão são decorrentes de processo, atividade ou prática sem motivação ou justificativa econômica outra do que frustrar a eficácia de medida antidumping vigente.</w:t>
      </w:r>
    </w:p>
    <w:p w14:paraId="7897E4A8"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A análise de informações relativas aos produtores, exportadores ou importadores a que faz referência o caput será feita para produtores, exportadores ou importadores individualmente, de maneira a verificar se:</w:t>
      </w:r>
    </w:p>
    <w:p w14:paraId="762BEDC0" w14:textId="7D3CB1DB"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4567A1" w:rsidRPr="005C5CBD">
        <w:rPr>
          <w:rFonts w:ascii="Garamond" w:hAnsi="Garamond" w:cstheme="majorHAnsi"/>
          <w:sz w:val="24"/>
          <w:szCs w:val="24"/>
        </w:rPr>
        <w:t xml:space="preserve"> </w:t>
      </w:r>
      <w:r w:rsidRPr="00847C9D">
        <w:rPr>
          <w:rFonts w:ascii="Garamond" w:hAnsi="Garamond" w:cstheme="majorHAnsi"/>
          <w:sz w:val="24"/>
          <w:szCs w:val="24"/>
        </w:rPr>
        <w:t>- na hipótese do inciso I do caput do art. 121:</w:t>
      </w:r>
    </w:p>
    <w:p w14:paraId="0E4CCE2C" w14:textId="7FBA4270"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w:t>
      </w:r>
      <w:r w:rsidR="004567A1" w:rsidRPr="005C5CBD">
        <w:rPr>
          <w:rFonts w:ascii="Garamond" w:hAnsi="Garamond" w:cstheme="majorHAnsi"/>
          <w:sz w:val="24"/>
          <w:szCs w:val="24"/>
        </w:rPr>
        <w:t xml:space="preserve"> </w:t>
      </w:r>
      <w:r w:rsidRPr="00847C9D">
        <w:rPr>
          <w:rFonts w:ascii="Garamond" w:hAnsi="Garamond" w:cstheme="majorHAnsi"/>
          <w:sz w:val="24"/>
          <w:szCs w:val="24"/>
        </w:rPr>
        <w:t>a revenda, no Brasil, do produto sujeito à medida antidumping industrializado com partes, peças ou componentes originários ou procedentes do país sujeito à medida antidumping se deu a valores inferiores ao valor normal apurado para o produto sujeito a medida antidumping;</w:t>
      </w:r>
    </w:p>
    <w:p w14:paraId="338E255C" w14:textId="5A677B8B"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b)</w:t>
      </w:r>
      <w:r w:rsidR="004567A1" w:rsidRPr="005C5CBD">
        <w:rPr>
          <w:rFonts w:ascii="Garamond" w:hAnsi="Garamond" w:cstheme="majorHAnsi"/>
          <w:sz w:val="24"/>
          <w:szCs w:val="24"/>
        </w:rPr>
        <w:t xml:space="preserve"> </w:t>
      </w:r>
      <w:r w:rsidRPr="00847C9D">
        <w:rPr>
          <w:rFonts w:ascii="Garamond" w:hAnsi="Garamond" w:cstheme="majorHAnsi"/>
          <w:sz w:val="24"/>
          <w:szCs w:val="24"/>
        </w:rPr>
        <w:t>as partes, as peças ou os componentes originários ou procedentes do país sujeito à medida antidumping não apresentam utilização distinta da industrialização do produto sujeito a medida antidumping;</w:t>
      </w:r>
    </w:p>
    <w:p w14:paraId="6F3BF6D0" w14:textId="636C775D"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c)</w:t>
      </w:r>
      <w:r w:rsidR="004567A1" w:rsidRPr="005C5CBD">
        <w:rPr>
          <w:rFonts w:ascii="Garamond" w:hAnsi="Garamond" w:cstheme="majorHAnsi"/>
          <w:sz w:val="24"/>
          <w:szCs w:val="24"/>
        </w:rPr>
        <w:t xml:space="preserve"> </w:t>
      </w:r>
      <w:r w:rsidRPr="00847C9D">
        <w:rPr>
          <w:rFonts w:ascii="Garamond" w:hAnsi="Garamond" w:cstheme="majorHAnsi"/>
          <w:sz w:val="24"/>
          <w:szCs w:val="24"/>
        </w:rPr>
        <w:t>o início ou o aumento substancial da industrialização no Brasil ocorreu após o início da investigação que resultou na aplicação de medida antidumping; e</w:t>
      </w:r>
    </w:p>
    <w:p w14:paraId="6A7872D6" w14:textId="5DBABBDC"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d)</w:t>
      </w:r>
      <w:r w:rsidR="004567A1" w:rsidRPr="005C5CBD">
        <w:rPr>
          <w:rFonts w:ascii="Garamond" w:hAnsi="Garamond" w:cstheme="majorHAnsi"/>
          <w:sz w:val="24"/>
          <w:szCs w:val="24"/>
        </w:rPr>
        <w:t xml:space="preserve"> </w:t>
      </w:r>
      <w:r w:rsidRPr="00847C9D">
        <w:rPr>
          <w:rFonts w:ascii="Garamond" w:hAnsi="Garamond" w:cstheme="majorHAnsi"/>
          <w:sz w:val="24"/>
          <w:szCs w:val="24"/>
        </w:rPr>
        <w:t>as partes, as peças ou os componentes originários ou procedentes do país sujeito a medida antidumping representam sessenta por cento ou mais do valor total de partes, peças ou componentes do produto industrializado no Brasil.</w:t>
      </w:r>
    </w:p>
    <w:p w14:paraId="29DA5D86" w14:textId="68297292"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4567A1" w:rsidRPr="005C5CBD">
        <w:rPr>
          <w:rFonts w:ascii="Garamond" w:hAnsi="Garamond" w:cstheme="majorHAnsi"/>
          <w:sz w:val="24"/>
          <w:szCs w:val="24"/>
        </w:rPr>
        <w:t xml:space="preserve"> </w:t>
      </w:r>
      <w:r w:rsidRPr="00847C9D">
        <w:rPr>
          <w:rFonts w:ascii="Garamond" w:hAnsi="Garamond" w:cstheme="majorHAnsi"/>
          <w:sz w:val="24"/>
          <w:szCs w:val="24"/>
        </w:rPr>
        <w:t>- na hipótese do inciso II do caput do art. 121:</w:t>
      </w:r>
    </w:p>
    <w:p w14:paraId="3942B918" w14:textId="3E1E2E92"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w:t>
      </w:r>
      <w:r w:rsidR="004567A1" w:rsidRPr="005C5CBD">
        <w:rPr>
          <w:rFonts w:ascii="Garamond" w:hAnsi="Garamond" w:cstheme="majorHAnsi"/>
          <w:sz w:val="24"/>
          <w:szCs w:val="24"/>
        </w:rPr>
        <w:t xml:space="preserve"> </w:t>
      </w:r>
      <w:r w:rsidRPr="00847C9D">
        <w:rPr>
          <w:rFonts w:ascii="Garamond" w:hAnsi="Garamond" w:cstheme="majorHAnsi"/>
          <w:sz w:val="24"/>
          <w:szCs w:val="24"/>
        </w:rPr>
        <w:t>a exportação do produto para o Brasil se deu a valores inferiores ao valor normal apurado para o produto sujeito a medida antidumping;</w:t>
      </w:r>
    </w:p>
    <w:p w14:paraId="4FC39846" w14:textId="1C6EBA36"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b)</w:t>
      </w:r>
      <w:r w:rsidR="004567A1" w:rsidRPr="005C5CBD">
        <w:rPr>
          <w:rFonts w:ascii="Garamond" w:hAnsi="Garamond" w:cstheme="majorHAnsi"/>
          <w:sz w:val="24"/>
          <w:szCs w:val="24"/>
        </w:rPr>
        <w:t xml:space="preserve"> </w:t>
      </w:r>
      <w:r w:rsidRPr="00847C9D">
        <w:rPr>
          <w:rFonts w:ascii="Garamond" w:hAnsi="Garamond" w:cstheme="majorHAnsi"/>
          <w:sz w:val="24"/>
          <w:szCs w:val="24"/>
        </w:rPr>
        <w:t>a exportação do produto para o Brasil correspondeu a uma proporção importante das vendas totais do produtor ou exportador;</w:t>
      </w:r>
    </w:p>
    <w:p w14:paraId="1DB58502" w14:textId="7C516EC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c)</w:t>
      </w:r>
      <w:r w:rsidR="004567A1" w:rsidRPr="005C5CBD">
        <w:rPr>
          <w:rFonts w:ascii="Garamond" w:hAnsi="Garamond" w:cstheme="majorHAnsi"/>
          <w:sz w:val="24"/>
          <w:szCs w:val="24"/>
        </w:rPr>
        <w:t xml:space="preserve"> </w:t>
      </w:r>
      <w:r w:rsidRPr="00847C9D">
        <w:rPr>
          <w:rFonts w:ascii="Garamond" w:hAnsi="Garamond" w:cstheme="majorHAnsi"/>
          <w:sz w:val="24"/>
          <w:szCs w:val="24"/>
        </w:rPr>
        <w:t>o início ou o aumento substancial das exportações do produto para o Brasil ocorreu após o início da investigação que resultou na aplicação de medida antidumping; e</w:t>
      </w:r>
    </w:p>
    <w:p w14:paraId="57BC4D74" w14:textId="24409D1B"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d)</w:t>
      </w:r>
      <w:r w:rsidR="004567A1" w:rsidRPr="005C5CBD">
        <w:rPr>
          <w:rFonts w:ascii="Garamond" w:hAnsi="Garamond" w:cstheme="majorHAnsi"/>
          <w:sz w:val="24"/>
          <w:szCs w:val="24"/>
        </w:rPr>
        <w:t xml:space="preserve"> </w:t>
      </w:r>
      <w:r w:rsidRPr="00847C9D">
        <w:rPr>
          <w:rFonts w:ascii="Garamond" w:hAnsi="Garamond" w:cstheme="majorHAnsi"/>
          <w:sz w:val="24"/>
          <w:szCs w:val="24"/>
        </w:rPr>
        <w:t>as partes, as peças ou os componentes originários ou procedentes do país sujeito a medida antidumping representam sessenta por cento ou mais do valor total de partes, peças ou componentes do produto exportado para o Brasil.</w:t>
      </w:r>
    </w:p>
    <w:p w14:paraId="6DF45007" w14:textId="6FC3B50A"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4567A1" w:rsidRPr="005C5CBD">
        <w:rPr>
          <w:rFonts w:ascii="Garamond" w:hAnsi="Garamond" w:cstheme="majorHAnsi"/>
          <w:sz w:val="24"/>
          <w:szCs w:val="24"/>
        </w:rPr>
        <w:t xml:space="preserve"> </w:t>
      </w:r>
      <w:r w:rsidRPr="00847C9D">
        <w:rPr>
          <w:rFonts w:ascii="Garamond" w:hAnsi="Garamond" w:cstheme="majorHAnsi"/>
          <w:sz w:val="24"/>
          <w:szCs w:val="24"/>
        </w:rPr>
        <w:t>- na hipótese do inciso III do caput do art. 121:</w:t>
      </w:r>
    </w:p>
    <w:p w14:paraId="057880D1" w14:textId="77777777" w:rsidR="004567A1" w:rsidRPr="005C5CBD" w:rsidRDefault="00C12525" w:rsidP="00E15FBB">
      <w:pPr>
        <w:pStyle w:val="PargrafodaLista"/>
        <w:numPr>
          <w:ilvl w:val="0"/>
          <w:numId w:val="85"/>
        </w:numPr>
        <w:tabs>
          <w:tab w:val="left" w:pos="3105"/>
        </w:tabs>
        <w:jc w:val="both"/>
        <w:rPr>
          <w:rFonts w:ascii="Garamond" w:hAnsi="Garamond" w:cstheme="majorHAnsi"/>
          <w:sz w:val="24"/>
          <w:szCs w:val="24"/>
        </w:rPr>
      </w:pPr>
      <w:r w:rsidRPr="005C5CBD">
        <w:rPr>
          <w:rFonts w:ascii="Garamond" w:hAnsi="Garamond" w:cstheme="majorHAnsi"/>
          <w:sz w:val="24"/>
          <w:szCs w:val="24"/>
        </w:rPr>
        <w:t>a exportação do produto com modificações marginais para o Brasil se deu a valores inferiores ao valor normal apurado para o produto sujeito a medida antidumping;</w:t>
      </w:r>
      <w:r w:rsidR="004567A1" w:rsidRPr="005C5CBD">
        <w:rPr>
          <w:rFonts w:ascii="Garamond" w:hAnsi="Garamond" w:cstheme="majorHAnsi"/>
          <w:sz w:val="24"/>
          <w:szCs w:val="24"/>
        </w:rPr>
        <w:t xml:space="preserve"> </w:t>
      </w:r>
    </w:p>
    <w:p w14:paraId="741DD715" w14:textId="77777777" w:rsidR="004567A1" w:rsidRPr="005C5CBD" w:rsidRDefault="00C12525" w:rsidP="00E15FBB">
      <w:pPr>
        <w:pStyle w:val="PargrafodaLista"/>
        <w:numPr>
          <w:ilvl w:val="0"/>
          <w:numId w:val="85"/>
        </w:numPr>
        <w:tabs>
          <w:tab w:val="left" w:pos="3105"/>
        </w:tabs>
        <w:jc w:val="both"/>
        <w:rPr>
          <w:rFonts w:ascii="Garamond" w:hAnsi="Garamond" w:cstheme="majorHAnsi"/>
          <w:sz w:val="24"/>
          <w:szCs w:val="24"/>
        </w:rPr>
      </w:pPr>
      <w:r w:rsidRPr="005C5CBD">
        <w:rPr>
          <w:rFonts w:ascii="Garamond" w:hAnsi="Garamond" w:cstheme="majorHAnsi"/>
          <w:sz w:val="24"/>
          <w:szCs w:val="24"/>
        </w:rPr>
        <w:t>a exportação do produto com modificações marginais para o Brasil correspondeu a uma proporção importante das vendas totais do produtor ou exportador; e</w:t>
      </w:r>
      <w:r w:rsidR="004567A1" w:rsidRPr="005C5CBD">
        <w:rPr>
          <w:rFonts w:ascii="Garamond" w:hAnsi="Garamond" w:cstheme="majorHAnsi"/>
          <w:sz w:val="24"/>
          <w:szCs w:val="24"/>
        </w:rPr>
        <w:t xml:space="preserve"> </w:t>
      </w:r>
    </w:p>
    <w:p w14:paraId="11FAAAB8" w14:textId="1EBF8B19" w:rsidR="00C12525" w:rsidRPr="00847C9D" w:rsidRDefault="00C12525" w:rsidP="00E15FBB">
      <w:pPr>
        <w:pStyle w:val="PargrafodaLista"/>
        <w:numPr>
          <w:ilvl w:val="0"/>
          <w:numId w:val="85"/>
        </w:numPr>
        <w:tabs>
          <w:tab w:val="left" w:pos="3105"/>
        </w:tabs>
        <w:jc w:val="both"/>
        <w:rPr>
          <w:rFonts w:ascii="Garamond" w:hAnsi="Garamond" w:cstheme="majorHAnsi"/>
          <w:sz w:val="24"/>
          <w:szCs w:val="24"/>
        </w:rPr>
      </w:pPr>
      <w:r w:rsidRPr="00847C9D">
        <w:rPr>
          <w:rFonts w:ascii="Garamond" w:hAnsi="Garamond" w:cstheme="majorHAnsi"/>
          <w:sz w:val="24"/>
          <w:szCs w:val="24"/>
        </w:rPr>
        <w:t>o início ou o aumento substancial das exportações do produto com modificações marginais para o Brasil ocorreu após o início da investigação que resultou na aplicação de medida antidumping.</w:t>
      </w:r>
    </w:p>
    <w:p w14:paraId="5873FECD"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3º Não se caracterizará a circunvenção quando o valor agregado nas operações de industrialização a que faz referência o inciso I do caput do art. 121 for superior a trinta e cinco por cento do custo de manufatura do produto.</w:t>
      </w:r>
    </w:p>
    <w:p w14:paraId="7502F3E2"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4º Para os fins do § 3º, o custo de manufatura não inclui: I - despesas de depreciação;</w:t>
      </w:r>
    </w:p>
    <w:p w14:paraId="0D531725" w14:textId="550F9921"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4567A1" w:rsidRPr="005C5CBD">
        <w:rPr>
          <w:rFonts w:ascii="Garamond" w:hAnsi="Garamond" w:cstheme="majorHAnsi"/>
          <w:sz w:val="24"/>
          <w:szCs w:val="24"/>
        </w:rPr>
        <w:t xml:space="preserve"> </w:t>
      </w:r>
      <w:r w:rsidRPr="00847C9D">
        <w:rPr>
          <w:rFonts w:ascii="Garamond" w:hAnsi="Garamond" w:cstheme="majorHAnsi"/>
          <w:sz w:val="24"/>
          <w:szCs w:val="24"/>
        </w:rPr>
        <w:t>- despesas de embalagem; e</w:t>
      </w:r>
    </w:p>
    <w:p w14:paraId="1FE2FF86" w14:textId="3A91704B"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4567A1" w:rsidRPr="005C5CBD">
        <w:rPr>
          <w:rFonts w:ascii="Garamond" w:hAnsi="Garamond" w:cstheme="majorHAnsi"/>
          <w:sz w:val="24"/>
          <w:szCs w:val="24"/>
        </w:rPr>
        <w:t xml:space="preserve"> </w:t>
      </w:r>
      <w:r w:rsidRPr="00847C9D">
        <w:rPr>
          <w:rFonts w:ascii="Garamond" w:hAnsi="Garamond" w:cstheme="majorHAnsi"/>
          <w:sz w:val="24"/>
          <w:szCs w:val="24"/>
        </w:rPr>
        <w:t>- custos ou despesas que não sejam diretamente relacionados à fabricação</w:t>
      </w:r>
      <w:r w:rsidR="004567A1" w:rsidRPr="005C5CBD">
        <w:rPr>
          <w:rFonts w:ascii="Garamond" w:hAnsi="Garamond" w:cstheme="majorHAnsi"/>
          <w:sz w:val="24"/>
          <w:szCs w:val="24"/>
        </w:rPr>
        <w:t xml:space="preserve"> </w:t>
      </w:r>
      <w:r w:rsidRPr="00847C9D">
        <w:rPr>
          <w:rFonts w:ascii="Garamond" w:hAnsi="Garamond" w:cstheme="majorHAnsi"/>
          <w:sz w:val="24"/>
          <w:szCs w:val="24"/>
        </w:rPr>
        <w:t>do produto.</w:t>
      </w:r>
    </w:p>
    <w:p w14:paraId="37D1C50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124. A revisão anticircunvenção será baseada nos antecedentes da investigação que culminou com a aplicação ou a prorrogação da medida antidumping.</w:t>
      </w:r>
    </w:p>
    <w:p w14:paraId="4341B57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125. Uma revisão anticircunvenção poderá ser solicitada mediante petição escrita por parte interessada na investigação original ou, na hipótese de a medida já ter sido prorrogada, a pedido da parte interessada na última revisão da medida antidumping em questão, por meio de petição formulada por escrito, ou, excepcionalmente, de ofício pela SECEX.</w:t>
      </w:r>
    </w:p>
    <w:p w14:paraId="7A76BC88"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126. Para os efeitos da revisão anticircunvenção, são consideradas partes interessadas em uma revisão anticircunvenção:</w:t>
      </w:r>
    </w:p>
    <w:p w14:paraId="382BB181" w14:textId="681E1F3E"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4567A1" w:rsidRPr="005C5CBD">
        <w:rPr>
          <w:rFonts w:ascii="Garamond" w:hAnsi="Garamond" w:cstheme="majorHAnsi"/>
          <w:sz w:val="24"/>
          <w:szCs w:val="24"/>
        </w:rPr>
        <w:t xml:space="preserve"> </w:t>
      </w:r>
      <w:r w:rsidRPr="00847C9D">
        <w:rPr>
          <w:rFonts w:ascii="Garamond" w:hAnsi="Garamond" w:cstheme="majorHAnsi"/>
          <w:sz w:val="24"/>
          <w:szCs w:val="24"/>
        </w:rPr>
        <w:t>- os produtores brasileiros do produto sujeito a medida antidumping ou as entidades de classe que os representem;</w:t>
      </w:r>
    </w:p>
    <w:p w14:paraId="7F4584B1" w14:textId="33E55CAC"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4567A1" w:rsidRPr="005C5CBD">
        <w:rPr>
          <w:rFonts w:ascii="Garamond" w:hAnsi="Garamond" w:cstheme="majorHAnsi"/>
          <w:sz w:val="24"/>
          <w:szCs w:val="24"/>
        </w:rPr>
        <w:t xml:space="preserve"> </w:t>
      </w:r>
      <w:r w:rsidRPr="00847C9D">
        <w:rPr>
          <w:rFonts w:ascii="Garamond" w:hAnsi="Garamond" w:cstheme="majorHAnsi"/>
          <w:sz w:val="24"/>
          <w:szCs w:val="24"/>
        </w:rPr>
        <w:t>- o governo do país de exportação dos produtos a que se referem os incisos II e III do caput do art. 121;</w:t>
      </w:r>
    </w:p>
    <w:p w14:paraId="29006A8C" w14:textId="03D47D0B"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4567A1" w:rsidRPr="005C5CBD">
        <w:rPr>
          <w:rFonts w:ascii="Garamond" w:hAnsi="Garamond" w:cstheme="majorHAnsi"/>
          <w:sz w:val="24"/>
          <w:szCs w:val="24"/>
        </w:rPr>
        <w:t xml:space="preserve"> </w:t>
      </w:r>
      <w:r w:rsidRPr="00847C9D">
        <w:rPr>
          <w:rFonts w:ascii="Garamond" w:hAnsi="Garamond" w:cstheme="majorHAnsi"/>
          <w:sz w:val="24"/>
          <w:szCs w:val="24"/>
        </w:rPr>
        <w:t>- os produtores ou exportadores dos produtos a que se referem os incisos II e III do caput do art. 121;</w:t>
      </w:r>
    </w:p>
    <w:p w14:paraId="1004343C" w14:textId="2B683E3F"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IV</w:t>
      </w:r>
      <w:r w:rsidR="004567A1" w:rsidRPr="005C5CBD">
        <w:rPr>
          <w:rFonts w:ascii="Garamond" w:hAnsi="Garamond" w:cstheme="majorHAnsi"/>
          <w:sz w:val="24"/>
          <w:szCs w:val="24"/>
        </w:rPr>
        <w:t xml:space="preserve"> </w:t>
      </w:r>
      <w:r w:rsidRPr="00847C9D">
        <w:rPr>
          <w:rFonts w:ascii="Garamond" w:hAnsi="Garamond" w:cstheme="majorHAnsi"/>
          <w:sz w:val="24"/>
          <w:szCs w:val="24"/>
        </w:rPr>
        <w:t>- os importadores brasileiros das partes, peças ou componentes a que faz referência o inciso I do caput do art. 121;</w:t>
      </w:r>
    </w:p>
    <w:p w14:paraId="0C549E31" w14:textId="4B7E1F14"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V</w:t>
      </w:r>
      <w:r w:rsidR="004567A1" w:rsidRPr="005C5CBD">
        <w:rPr>
          <w:rFonts w:ascii="Garamond" w:hAnsi="Garamond" w:cstheme="majorHAnsi"/>
          <w:sz w:val="24"/>
          <w:szCs w:val="24"/>
        </w:rPr>
        <w:t xml:space="preserve"> </w:t>
      </w:r>
      <w:r w:rsidRPr="00847C9D">
        <w:rPr>
          <w:rFonts w:ascii="Garamond" w:hAnsi="Garamond" w:cstheme="majorHAnsi"/>
          <w:sz w:val="24"/>
          <w:szCs w:val="24"/>
        </w:rPr>
        <w:t>- as empresas responsáveis pela industrialização das partes, peças ou componentes a que faz referência o inciso I do caput do art. 121;</w:t>
      </w:r>
    </w:p>
    <w:p w14:paraId="254580B7" w14:textId="59E499D1"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VI</w:t>
      </w:r>
      <w:r w:rsidR="004567A1" w:rsidRPr="005C5CBD">
        <w:rPr>
          <w:rFonts w:ascii="Garamond" w:hAnsi="Garamond" w:cstheme="majorHAnsi"/>
          <w:sz w:val="24"/>
          <w:szCs w:val="24"/>
        </w:rPr>
        <w:t xml:space="preserve"> </w:t>
      </w:r>
      <w:r w:rsidRPr="00847C9D">
        <w:rPr>
          <w:rFonts w:ascii="Garamond" w:hAnsi="Garamond" w:cstheme="majorHAnsi"/>
          <w:sz w:val="24"/>
          <w:szCs w:val="24"/>
        </w:rPr>
        <w:t>- outras partes nacionais ou estrangeiras que possam ser  afetadas pela revisão, a critério do DECOM.</w:t>
      </w:r>
    </w:p>
    <w:p w14:paraId="019E1E1A"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127. O DECOM poderá enviar questionário para as partes interessadas, que disporão do prazo de vinte dias, contado da data de ciência da expedição dos referidos questionários, para restituí-los.</w:t>
      </w:r>
    </w:p>
    <w:p w14:paraId="29F573D5"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Poderá ser concedida, a pedido, e sempre que possível, prorrogação por até dez dias do prazo referido no caput.</w:t>
      </w:r>
    </w:p>
    <w:p w14:paraId="393FF463" w14:textId="1C557FCD"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Art. 128. As revisões serão concluídas no prazo de seis meses, contado da data de publicação do ato que deu início à investigação, exceto em circunstâncias excepcionais, quando o prazo poderá ser prorrogado por até três meses.</w:t>
      </w:r>
    </w:p>
    <w:p w14:paraId="45866368"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129. Sempre que possível, a extensão de uma medida antidumping será objeto de determinação individual para cada produtor, exportador ou importador conhecido do produto objeto da revisão anticircunvenção.</w:t>
      </w:r>
    </w:p>
    <w:p w14:paraId="4FA061AD"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No caso de o número elevado de produtores, exportadores ou importadores tornar impraticável a determinação referida no caput, a determinação individual poderá limitar-se:</w:t>
      </w:r>
    </w:p>
    <w:p w14:paraId="56CFFBF8" w14:textId="70A393AA"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4567A1" w:rsidRPr="005C5CBD">
        <w:rPr>
          <w:rFonts w:ascii="Garamond" w:hAnsi="Garamond" w:cstheme="majorHAnsi"/>
          <w:sz w:val="24"/>
          <w:szCs w:val="24"/>
        </w:rPr>
        <w:t xml:space="preserve"> </w:t>
      </w:r>
      <w:r w:rsidRPr="00847C9D">
        <w:rPr>
          <w:rFonts w:ascii="Garamond" w:hAnsi="Garamond" w:cstheme="majorHAnsi"/>
          <w:sz w:val="24"/>
          <w:szCs w:val="24"/>
        </w:rPr>
        <w:t>- na hipótese do inciso I do caput do art. 121, a uma seleção dos importadores responsáveis pelo maior percentual razoavelmente investigável do volume de importações de partes, peças ou componentes originários ou procedentes do país sujeito à medida antidumping cuja industrialização resulte em um produto similar ao produto sujeito à aplicação de medida antidumping;</w:t>
      </w:r>
    </w:p>
    <w:p w14:paraId="040235EF" w14:textId="73AE6D43"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4567A1" w:rsidRPr="005C5CBD">
        <w:rPr>
          <w:rFonts w:ascii="Garamond" w:hAnsi="Garamond" w:cstheme="majorHAnsi"/>
          <w:sz w:val="24"/>
          <w:szCs w:val="24"/>
        </w:rPr>
        <w:t xml:space="preserve"> </w:t>
      </w:r>
      <w:r w:rsidRPr="00847C9D">
        <w:rPr>
          <w:rFonts w:ascii="Garamond" w:hAnsi="Garamond" w:cstheme="majorHAnsi"/>
          <w:sz w:val="24"/>
          <w:szCs w:val="24"/>
        </w:rPr>
        <w:t>- nas hipóteses dos incisos II e III do caput do art. 121, a uma seleção dos produtores ou exportadores responsáveis pelo maior percentual razoavelmente investigável do volume de exportações do país exportador.</w:t>
      </w:r>
    </w:p>
    <w:p w14:paraId="63DBC752"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A seleção de que trata o § 1º incluirá os produtores, exportadores ou importadores que, elencados em ordem decrescente de volume, tenham sido responsáveis pelos maiores volumes de exportação, no caso de produtores ou exportadores, ou importação, no caso de importadores, para o Brasil.</w:t>
      </w:r>
    </w:p>
    <w:p w14:paraId="54EC7A61"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130. Serão estendidos os direitos antidumping para todos os produtores, exportadores ou importadores incluídos na seleção de que trata o art. 129, que tenham apresentado os dados solicitados e para os quais o DECOM tenha alcançado determinação final positiva quanto à prática de circunvenção.</w:t>
      </w:r>
    </w:p>
    <w:p w14:paraId="0F1FB395"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1o O valor do direito estendido consistirá na média ponderada da margem de dumping apurada para os produtores ou exportadores cujo direito, na investigação original ou na última revisão, tenha sido calculado com base no art. 27 ou nos incisos I ou II do caput do art. 28, desconsideradas margens de dumping zero ou de minimis.</w:t>
      </w:r>
    </w:p>
    <w:p w14:paraId="4E391FFD"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2o Na hipótese do inciso I do caput do art. 121, o direito antidumping sobre as partes, peças ou componentes será estendido na forma de alíquota ad valorem.</w:t>
      </w:r>
    </w:p>
    <w:p w14:paraId="008D03F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3o Produtores, exportadores ou importadores para os quais tenha sido estabelecida determinação final negativa serão individualmente identificados no ato que tornar público o encerramento da revisão e a eles não se estenderá a aplicação dos direitos antidumping em vigor.</w:t>
      </w:r>
    </w:p>
    <w:p w14:paraId="3CDE6A35"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4o No caso de determinação final positiva para um produtor ou exportador para o qual haja compromisso de preços em vigor, será considerado violado o compromisso de preços.</w:t>
      </w:r>
    </w:p>
    <w:p w14:paraId="3B9D4BAC" w14:textId="77777777" w:rsidR="00C12525" w:rsidRPr="00847C9D" w:rsidRDefault="00C12525" w:rsidP="006C7200">
      <w:pPr>
        <w:tabs>
          <w:tab w:val="left" w:pos="3105"/>
        </w:tabs>
        <w:jc w:val="both"/>
        <w:rPr>
          <w:rFonts w:ascii="Garamond" w:hAnsi="Garamond" w:cstheme="majorHAnsi"/>
          <w:sz w:val="24"/>
          <w:szCs w:val="24"/>
        </w:rPr>
      </w:pPr>
    </w:p>
    <w:p w14:paraId="38ADD27D" w14:textId="2D5261EE"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131. Para os importadores conhecidos não incluídos na seleção e que tenham importado para o Brasil partes, peças ou componentes a que faz referência o inciso I</w:t>
      </w:r>
      <w:r w:rsidR="004567A1" w:rsidRPr="005C5CBD">
        <w:rPr>
          <w:rFonts w:ascii="Garamond" w:hAnsi="Garamond" w:cstheme="majorHAnsi"/>
          <w:sz w:val="24"/>
          <w:szCs w:val="24"/>
        </w:rPr>
        <w:t xml:space="preserve"> </w:t>
      </w:r>
      <w:r w:rsidRPr="00847C9D">
        <w:rPr>
          <w:rFonts w:ascii="Garamond" w:hAnsi="Garamond" w:cstheme="majorHAnsi"/>
          <w:sz w:val="24"/>
          <w:szCs w:val="24"/>
        </w:rPr>
        <w:t>do caput do art. 121 durante o período de revisão, a revisão anticircunvenção será suspensa e não será estendida a aplicação de direitos antidumping.</w:t>
      </w:r>
    </w:p>
    <w:p w14:paraId="2773B47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132. Para os produtores ou exportadores conhecidos não incluídos na seleção e que tenham exportado para o Brasil os produtos a que fazem referência os incisos II e III do caput do art. 121 durante o período de revisão, a revisão será suspensa e não será estendida a aplicação de direitos antidumping.</w:t>
      </w:r>
    </w:p>
    <w:p w14:paraId="29DEEA78"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133. Caso existam indícios de que os produtores, exportadores ou importadores a que fazem referência os arts. 131 e 132 possam estar engajados em circunvenção, com base em pedidos devidamente fundamentados ou de ofício, o DECOM poderá retomar a revisão.</w:t>
      </w:r>
    </w:p>
    <w:p w14:paraId="67D5CB98"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1o A SECEX publicará ato com a retomada da revisão.</w:t>
      </w:r>
    </w:p>
    <w:p w14:paraId="0FF0636F"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2o Na hipótese prevista no § 4o do art. 130, a CAMEX publicará ato tornando pública a retomada da investigação.</w:t>
      </w:r>
    </w:p>
    <w:p w14:paraId="290CA8B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134. Para os produtores, exportadores ou importadores desconhecidos ou que, embora incluídos na seleção, não forneceram os dados solicitados, será estendido o direito antidumping com base na melhor informação disponível, nos termos do § 3odo art. 50.</w:t>
      </w:r>
    </w:p>
    <w:p w14:paraId="65B1ED0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1o Importadores que não tenham importado partes, peças ou componentes a que faz referência o inciso I do caput do art. 121 para o Brasil, durante o período de revisão anticircunvenção, poderão solicitar sua exclusão da medida antidumping estendida ao amparo desta Subseção.</w:t>
      </w:r>
    </w:p>
    <w:p w14:paraId="75DE9F8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2o Produtores ou exportadores que não tenham exportado os produtos a que fazem referência os incisos II e III do caput do art. 121 para o Brasil durante o período da revisão anticircunvenção poderão solicitar uma revisão de novo produtor ou exportador, nos termos da Subseção I.</w:t>
      </w:r>
    </w:p>
    <w:p w14:paraId="06C960BD"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135. A medida antidumping não estendida aos importadores se condiciona à manutenção dos mesmos fornecedores identificados no período de revisão.</w:t>
      </w:r>
    </w:p>
    <w:p w14:paraId="3218848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136. O importador a que faz referência o § 1o do art. 134 deve apresentar elementos de fato e de direito suficientes para comprovar que:</w:t>
      </w:r>
    </w:p>
    <w:p w14:paraId="71A0CFA2" w14:textId="7A105896"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4567A1" w:rsidRPr="005C5CBD">
        <w:rPr>
          <w:rFonts w:ascii="Garamond" w:hAnsi="Garamond" w:cstheme="majorHAnsi"/>
          <w:sz w:val="24"/>
          <w:szCs w:val="24"/>
        </w:rPr>
        <w:t xml:space="preserve"> </w:t>
      </w:r>
      <w:r w:rsidRPr="00847C9D">
        <w:rPr>
          <w:rFonts w:ascii="Garamond" w:hAnsi="Garamond" w:cstheme="majorHAnsi"/>
          <w:sz w:val="24"/>
          <w:szCs w:val="24"/>
        </w:rPr>
        <w:t>- não possui relação ou associação, nos termos do § 10 do art. 14, com as partes interessadas na revisão anticircunvenção que resultou na extensão da medida antidumping;</w:t>
      </w:r>
    </w:p>
    <w:p w14:paraId="414A7A94" w14:textId="15AC4982"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4567A1" w:rsidRPr="005C5CBD">
        <w:rPr>
          <w:rFonts w:ascii="Garamond" w:hAnsi="Garamond" w:cstheme="majorHAnsi"/>
          <w:sz w:val="24"/>
          <w:szCs w:val="24"/>
        </w:rPr>
        <w:t xml:space="preserve"> </w:t>
      </w:r>
      <w:r w:rsidRPr="00847C9D">
        <w:rPr>
          <w:rFonts w:ascii="Garamond" w:hAnsi="Garamond" w:cstheme="majorHAnsi"/>
          <w:sz w:val="24"/>
          <w:szCs w:val="24"/>
        </w:rPr>
        <w:t>- não tenham importado para o Brasil partes, peças ou componentes a que faz referência o inciso I do caput do art. 121 durante o período de revisão anticircunvenção; e</w:t>
      </w:r>
    </w:p>
    <w:p w14:paraId="614D5C00" w14:textId="44E4B1B4"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4567A1" w:rsidRPr="005C5CBD">
        <w:rPr>
          <w:rFonts w:ascii="Garamond" w:hAnsi="Garamond" w:cstheme="majorHAnsi"/>
          <w:sz w:val="24"/>
          <w:szCs w:val="24"/>
        </w:rPr>
        <w:t xml:space="preserve"> </w:t>
      </w:r>
      <w:r w:rsidRPr="00847C9D">
        <w:rPr>
          <w:rFonts w:ascii="Garamond" w:hAnsi="Garamond" w:cstheme="majorHAnsi"/>
          <w:sz w:val="24"/>
          <w:szCs w:val="24"/>
        </w:rPr>
        <w:t>- as operações de industrialização a que faz referência o inciso I do caput do art. 121 agreguem pelo menos trinta e cinco por cento de valor, calculado com base no custo total de manufatura do produto, nos termos do § 3º e do § 4º do art. 123.</w:t>
      </w:r>
    </w:p>
    <w:p w14:paraId="01299314" w14:textId="0F768AEB"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Art. 137. Direitos </w:t>
      </w:r>
      <w:r w:rsidRPr="005C5CBD">
        <w:rPr>
          <w:rFonts w:ascii="Garamond" w:hAnsi="Garamond" w:cstheme="majorHAnsi"/>
          <w:sz w:val="24"/>
          <w:szCs w:val="24"/>
        </w:rPr>
        <w:t>antidumping</w:t>
      </w:r>
      <w:r w:rsidR="004567A1" w:rsidRPr="005C5CBD">
        <w:rPr>
          <w:rFonts w:ascii="Garamond" w:hAnsi="Garamond" w:cstheme="majorHAnsi"/>
          <w:sz w:val="24"/>
          <w:szCs w:val="24"/>
        </w:rPr>
        <w:t xml:space="preserve"> </w:t>
      </w:r>
      <w:r w:rsidRPr="005C5CBD">
        <w:rPr>
          <w:rFonts w:ascii="Garamond" w:hAnsi="Garamond" w:cstheme="majorHAnsi"/>
          <w:sz w:val="24"/>
          <w:szCs w:val="24"/>
        </w:rPr>
        <w:t>estendidos</w:t>
      </w:r>
      <w:r w:rsidRPr="00847C9D">
        <w:rPr>
          <w:rFonts w:ascii="Garamond" w:hAnsi="Garamond" w:cstheme="majorHAnsi"/>
          <w:sz w:val="24"/>
          <w:szCs w:val="24"/>
        </w:rPr>
        <w:t xml:space="preserve"> ao amparo de revisões anticircunvenção estarão sujeitos às revisões de final de período do direito antidumping que deu ensejo à revisão anticircunvenção.</w:t>
      </w:r>
    </w:p>
    <w:p w14:paraId="32FC1A31" w14:textId="77777777" w:rsidR="00C12525" w:rsidRPr="00847C9D" w:rsidRDefault="00C12525" w:rsidP="006C7200">
      <w:pPr>
        <w:tabs>
          <w:tab w:val="left" w:pos="3105"/>
        </w:tabs>
        <w:jc w:val="both"/>
        <w:rPr>
          <w:rFonts w:ascii="Garamond" w:hAnsi="Garamond" w:cstheme="majorHAnsi"/>
          <w:sz w:val="24"/>
          <w:szCs w:val="24"/>
        </w:rPr>
      </w:pPr>
    </w:p>
    <w:p w14:paraId="0C859EED"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138. Não se aplicam as Seções V e VI do Capítulo V às revisões anticircunvenção.</w:t>
      </w:r>
    </w:p>
    <w:p w14:paraId="7E5349A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139. Serão extintos os direitos estendidos com base em revisões amparadas por esta Subseção e encerradas as revisões anticircunvenção suspensas quando for extinto o direito antidumping que deu ensejo à revisão anticircunvenção ou à eventual extensão da aplicação do referido direito.</w:t>
      </w:r>
    </w:p>
    <w:p w14:paraId="5D746A7A"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Subseção III</w:t>
      </w:r>
    </w:p>
    <w:p w14:paraId="5625A4AF" w14:textId="033820B5" w:rsidR="00C12525"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 revisão de restituição</w:t>
      </w:r>
    </w:p>
    <w:p w14:paraId="1B4B612D"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p>
    <w:p w14:paraId="0F189B4E"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140. Qualquer importador do produto objeto do direito antidumping poderá solicitar a restituição de direitos antidumping definitivos recolhidos, caso fique demonstrado que a margem de dumping apurada para o período de revisão de restituição é inferior ao direito vigente.</w:t>
      </w:r>
    </w:p>
    <w:p w14:paraId="3A21B6C1" w14:textId="48F4FC5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Art. 141. A revisão de restituição deverá ser solicitada pelo importador interessado, mediante petição escrita, fundamentada com elementos de prova de que o montante de direitos </w:t>
      </w:r>
      <w:r w:rsidRPr="005C5CBD">
        <w:rPr>
          <w:rFonts w:ascii="Garamond" w:hAnsi="Garamond" w:cstheme="majorHAnsi"/>
          <w:sz w:val="24"/>
          <w:szCs w:val="24"/>
        </w:rPr>
        <w:t>antidumping</w:t>
      </w:r>
      <w:r w:rsidR="004567A1" w:rsidRPr="005C5CBD">
        <w:rPr>
          <w:rFonts w:ascii="Garamond" w:hAnsi="Garamond" w:cstheme="majorHAnsi"/>
          <w:sz w:val="24"/>
          <w:szCs w:val="24"/>
        </w:rPr>
        <w:t xml:space="preserve"> </w:t>
      </w:r>
      <w:r w:rsidRPr="005C5CBD">
        <w:rPr>
          <w:rFonts w:ascii="Garamond" w:hAnsi="Garamond" w:cstheme="majorHAnsi"/>
          <w:sz w:val="24"/>
          <w:szCs w:val="24"/>
        </w:rPr>
        <w:t>recolhidos</w:t>
      </w:r>
      <w:r w:rsidRPr="00847C9D">
        <w:rPr>
          <w:rFonts w:ascii="Garamond" w:hAnsi="Garamond" w:cstheme="majorHAnsi"/>
          <w:sz w:val="24"/>
          <w:szCs w:val="24"/>
        </w:rPr>
        <w:t xml:space="preserve"> foi superior ao que seria devido caso o direito tivesse sido calculado com base na margem de dumping apurada para o período de revisão.</w:t>
      </w:r>
    </w:p>
    <w:p w14:paraId="3A6CDF4F"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Meras alegações não serão consideradas suficientes para cumprir as exigências estabelecidas nesta subseção.</w:t>
      </w:r>
    </w:p>
    <w:p w14:paraId="7DBFA15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Para os efeitos desta subseção, consideram-se partes interessadas em uma revisão de restituição o peticionário da revisão de restituição e os produtores ou exportadores para os quais exista um direito antidumping individual aplicado.</w:t>
      </w:r>
    </w:p>
    <w:p w14:paraId="3B9D063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3º Caso o país exportador não seja considerado uma economia de mercado, deverá ser indicado produtor do país substituto utilizado no procedimento imediatamente anterior ao início da revisão para fins de apuração do valor normal.</w:t>
      </w:r>
    </w:p>
    <w:p w14:paraId="60804BE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142. O período de revisão será preferencialmente de doze meses, mas nunca inferior a seis meses.</w:t>
      </w:r>
    </w:p>
    <w:p w14:paraId="34EC639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O final do período corresponderá necessariamente à data da última importação no interregno em que a restituição é pleiteada e para a qual tenham sido recolhidos direitos antidumping.</w:t>
      </w:r>
    </w:p>
    <w:p w14:paraId="260C228F"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143. A petição a que faz referência o art. 141 deverá ser protocolada no prazo de quatro meses, contado da data final do período de revisão.</w:t>
      </w:r>
    </w:p>
    <w:p w14:paraId="3A969C65"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1o Uma petição somente será considerada devidamente instruída se contiver informação precisa a respeito do montante a ser reembolsado e estiver acompanhada de toda documentação aduaneira, original ou cópia autenticada, relativa ao recolhimento dos direitos antidumping devidos.</w:t>
      </w:r>
    </w:p>
    <w:p w14:paraId="2F73EE59" w14:textId="67A70ED8"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 2º A petição deverá conter elementos de prova relativos ao valor normal e ao preço de exportação para o Brasil do produtor ou exportador para o qual uma margem de dumping individual tenha sido calculada.</w:t>
      </w:r>
    </w:p>
    <w:p w14:paraId="0D8BA5F3"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3º Caso o importador seja relacionado ou associado ao produtor ou exportador, deverá apresentar os preços de revenda do produto importado no mercado brasileiro.</w:t>
      </w:r>
    </w:p>
    <w:p w14:paraId="1E2943C0" w14:textId="1996563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Art. 144. A margem de dumping calculada para o período de revisão servirá exclusivamente para calcular a eventual restituição de direitos </w:t>
      </w:r>
      <w:r w:rsidRPr="005C5CBD">
        <w:rPr>
          <w:rFonts w:ascii="Garamond" w:hAnsi="Garamond" w:cstheme="majorHAnsi"/>
          <w:sz w:val="24"/>
          <w:szCs w:val="24"/>
        </w:rPr>
        <w:t>antidumping</w:t>
      </w:r>
      <w:r w:rsidR="004567A1" w:rsidRPr="005C5CBD">
        <w:rPr>
          <w:rFonts w:ascii="Garamond" w:hAnsi="Garamond" w:cstheme="majorHAnsi"/>
          <w:sz w:val="24"/>
          <w:szCs w:val="24"/>
        </w:rPr>
        <w:t xml:space="preserve"> </w:t>
      </w:r>
      <w:r w:rsidRPr="005C5CBD">
        <w:rPr>
          <w:rFonts w:ascii="Garamond" w:hAnsi="Garamond" w:cstheme="majorHAnsi"/>
          <w:sz w:val="24"/>
          <w:szCs w:val="24"/>
        </w:rPr>
        <w:t>recolhidos</w:t>
      </w:r>
      <w:r w:rsidRPr="00847C9D">
        <w:rPr>
          <w:rFonts w:ascii="Garamond" w:hAnsi="Garamond" w:cstheme="majorHAnsi"/>
          <w:sz w:val="24"/>
          <w:szCs w:val="24"/>
        </w:rPr>
        <w:t xml:space="preserve"> em montante superior à margem de dumping apurada para o período de revisão.</w:t>
      </w:r>
    </w:p>
    <w:p w14:paraId="3018E9DA"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As revisões de restituição serão concluídas no prazo de dez meses, contado da data de seu início.</w:t>
      </w:r>
    </w:p>
    <w:p w14:paraId="3A625305"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145. No caso de uma determinação final positiva, o DECOM notificará a Secretaria da Receita Federal do Brasil do Ministério da Fazenda a respeito da margem de dumping apurada para o período da revisão de restituição, que por sua vez deverá proceder à restituição devida.</w:t>
      </w:r>
    </w:p>
    <w:p w14:paraId="6917C21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A restituição será efetuada, de maneira geral, no prazo de noventa dias, contado da data da publicação da conclusão da revisão.</w:t>
      </w:r>
    </w:p>
    <w:p w14:paraId="1748B4B5" w14:textId="3E6F0768"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CAPÍTULO IX</w:t>
      </w:r>
    </w:p>
    <w:p w14:paraId="5B4932BC"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 AVALIAÇÃO DE ESCOPO E DA REDETERMINAÇÃO</w:t>
      </w:r>
    </w:p>
    <w:p w14:paraId="222C2BDE" w14:textId="77777777" w:rsidR="00C12525" w:rsidRPr="005C5CBD" w:rsidRDefault="00C12525" w:rsidP="004567A1">
      <w:pPr>
        <w:tabs>
          <w:tab w:val="left" w:pos="3105"/>
        </w:tabs>
        <w:jc w:val="center"/>
        <w:rPr>
          <w:rFonts w:ascii="Garamond" w:hAnsi="Garamond" w:cstheme="majorHAnsi"/>
          <w:b/>
          <w:sz w:val="24"/>
          <w:szCs w:val="24"/>
        </w:rPr>
      </w:pPr>
    </w:p>
    <w:p w14:paraId="139BA7C3"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Seção I</w:t>
      </w:r>
    </w:p>
    <w:p w14:paraId="557F9B96"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 avaliação de escopo</w:t>
      </w:r>
    </w:p>
    <w:p w14:paraId="1B80A8BB" w14:textId="77777777" w:rsidR="00C12525" w:rsidRPr="00847C9D" w:rsidRDefault="00C12525" w:rsidP="006C7200">
      <w:pPr>
        <w:tabs>
          <w:tab w:val="left" w:pos="3105"/>
        </w:tabs>
        <w:jc w:val="both"/>
        <w:rPr>
          <w:rFonts w:ascii="Garamond" w:hAnsi="Garamond" w:cstheme="majorHAnsi"/>
          <w:sz w:val="24"/>
          <w:szCs w:val="24"/>
        </w:rPr>
      </w:pPr>
    </w:p>
    <w:p w14:paraId="31D5BC3E"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146. Qualquer uma das partes interessadas relacionadas no § 2º do art. 45, além de outros importadores, poderá solicitar ao DECOM, que proceda a uma avaliação de escopo, a fim de determinar se um produto está sujeito a uma medida antidumping em vigor.</w:t>
      </w:r>
    </w:p>
    <w:p w14:paraId="6FA353BD"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Caso o DECOM entenda necessária avaliação de escopo para determinar se um produto se sujeita a medida antidumping em vigor, poderá iniciar a avaliação de escopo de oficio.</w:t>
      </w:r>
    </w:p>
    <w:p w14:paraId="406D6CA9"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147. A avaliação de escopo deverá ser solicitada por meio de petição escrita, devidamente fundamentada, que conterá:</w:t>
      </w:r>
    </w:p>
    <w:p w14:paraId="40EE67F6" w14:textId="250D6A05"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4567A1" w:rsidRPr="005C5CBD">
        <w:rPr>
          <w:rFonts w:ascii="Garamond" w:hAnsi="Garamond" w:cstheme="majorHAnsi"/>
          <w:sz w:val="24"/>
          <w:szCs w:val="24"/>
        </w:rPr>
        <w:t xml:space="preserve"> </w:t>
      </w:r>
      <w:r w:rsidRPr="00847C9D">
        <w:rPr>
          <w:rFonts w:ascii="Garamond" w:hAnsi="Garamond" w:cstheme="majorHAnsi"/>
          <w:sz w:val="24"/>
          <w:szCs w:val="24"/>
        </w:rPr>
        <w:t>- descrição detalhada do produto a ser avaliado, acompanhada dos elementos de prova pertinentes, incluindo suas características técnicas e seus usos, bem como a sua classificação tarifária na Nomenclatura Comum do MERCOSUL - NCM; e</w:t>
      </w:r>
    </w:p>
    <w:p w14:paraId="151716AC" w14:textId="78CE2FEE"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4567A1" w:rsidRPr="005C5CBD">
        <w:rPr>
          <w:rFonts w:ascii="Garamond" w:hAnsi="Garamond" w:cstheme="majorHAnsi"/>
          <w:sz w:val="24"/>
          <w:szCs w:val="24"/>
        </w:rPr>
        <w:t xml:space="preserve"> </w:t>
      </w:r>
      <w:r w:rsidRPr="00847C9D">
        <w:rPr>
          <w:rFonts w:ascii="Garamond" w:hAnsi="Garamond" w:cstheme="majorHAnsi"/>
          <w:sz w:val="24"/>
          <w:szCs w:val="24"/>
        </w:rPr>
        <w:t>- explicação pormenorizada, acompanhada de elementos de prova, das razões que levam o peticionário a entender que o produto está, ou não, sujeito à medida antidumping em vigor.</w:t>
      </w:r>
    </w:p>
    <w:p w14:paraId="316ED65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148. Caso a petição esteja devidamente instruída, a SECEX publicará ato que informará o início da avaliação de escopo.</w:t>
      </w:r>
    </w:p>
    <w:p w14:paraId="08674C7C" w14:textId="73A01A59"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149. O ato que dará início a uma avaliação de escopo conterá:</w:t>
      </w:r>
    </w:p>
    <w:p w14:paraId="7DEDD7A2" w14:textId="2DF7D65F"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4567A1" w:rsidRPr="005C5CBD">
        <w:rPr>
          <w:rFonts w:ascii="Garamond" w:hAnsi="Garamond" w:cstheme="majorHAnsi"/>
          <w:sz w:val="24"/>
          <w:szCs w:val="24"/>
        </w:rPr>
        <w:t xml:space="preserve"> </w:t>
      </w:r>
      <w:r w:rsidRPr="00847C9D">
        <w:rPr>
          <w:rFonts w:ascii="Garamond" w:hAnsi="Garamond" w:cstheme="majorHAnsi"/>
          <w:sz w:val="24"/>
          <w:szCs w:val="24"/>
        </w:rPr>
        <w:t>- descrição pormenorizada do produto objeto da avaliação e do produto objeto de medida antidumping;</w:t>
      </w:r>
    </w:p>
    <w:p w14:paraId="28765099" w14:textId="53533A59"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4567A1" w:rsidRPr="005C5CBD">
        <w:rPr>
          <w:rFonts w:ascii="Garamond" w:hAnsi="Garamond" w:cstheme="majorHAnsi"/>
          <w:sz w:val="24"/>
          <w:szCs w:val="24"/>
        </w:rPr>
        <w:t xml:space="preserve"> </w:t>
      </w:r>
      <w:r w:rsidRPr="00847C9D">
        <w:rPr>
          <w:rFonts w:ascii="Garamond" w:hAnsi="Garamond" w:cstheme="majorHAnsi"/>
          <w:sz w:val="24"/>
          <w:szCs w:val="24"/>
        </w:rPr>
        <w:t>- razões pelas quais o DECOM entenda necessária a avaliação; III - cronograma para manifestações das partes interessadas; e</w:t>
      </w:r>
    </w:p>
    <w:p w14:paraId="5DFEC30A"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IV - data da realização da audiência a que faz referência o parágrafo único do art. 152, se houver.</w:t>
      </w:r>
    </w:p>
    <w:p w14:paraId="118D3F1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No cumprimento do cronograma a que faz referência o inciso III do caput, serão concedidos trinta dias contados da data de publicação do ato a que faz referência o art. 148 para que as partes interessadas possam manifestar-se por escrito ou submeter elementos de prova.</w:t>
      </w:r>
    </w:p>
    <w:p w14:paraId="6162998E"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150. Na hipótese de conclusão final apenas com base nas informações constantes da petição de que o produto está, ou não, sujeito à medida antidumping em vigor, o DECOM elaborará determinação final, no prazo de sessenta dias, contado da data de publicação do ato a que faz referência o art. 148.</w:t>
      </w:r>
    </w:p>
    <w:p w14:paraId="733D9D6F"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151.   Na hipótese de não ser possível uma conclusão final apenas com base nas informações constantes da petição, o DECOM poderá enviar questionários para as partes interessadas e realizar verificações in loco das informações recebidas, caso em que o DECOM elaborará a determinação final no prazo de cento e vinte dias, contado da data de publicação do ato a que faz referência o art. 148.</w:t>
      </w:r>
    </w:p>
    <w:p w14:paraId="75AA7241"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152. A análise do DECOM será baseada nos critérios utilizados para definir o produto objeto da investigação, conforme estabelecido no art. 10.</w:t>
      </w:r>
    </w:p>
    <w:p w14:paraId="26EE163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O DECOM poderá realizar as audiências a que faz referência o art. 55 a fim de esclarecer aspectos relativos ao escopo da medida antidumping em vigor no prazo de quarenta dias, contado da data de publicação do ato a que faz referência o art. 148.</w:t>
      </w:r>
    </w:p>
    <w:p w14:paraId="4982E8AA"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153. A SECEX remeterá a conclusão final à CAMEX, para aprovação e publicação do ato contendo o resultado da avaliação de escopo.</w:t>
      </w:r>
    </w:p>
    <w:p w14:paraId="1FC2339D"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154. Os resultados e as conclusões das avaliações de escopo poderão ser utilizados pelo DECOM, para instruir investigações ou revisões amparadas por este Decreto.</w:t>
      </w:r>
    </w:p>
    <w:p w14:paraId="7842E27A"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A avaliação conduzida ao amparo desta Seção possui caráter interpretativo, não alterando o escopo de medidas antidumping vigentes.</w:t>
      </w:r>
    </w:p>
    <w:p w14:paraId="4DCB6D63" w14:textId="77777777" w:rsidR="00F17C0A" w:rsidRDefault="00F17C0A" w:rsidP="003A4A3D">
      <w:pPr>
        <w:tabs>
          <w:tab w:val="left" w:pos="3105"/>
        </w:tabs>
        <w:spacing w:after="0" w:line="240" w:lineRule="auto"/>
        <w:jc w:val="center"/>
        <w:rPr>
          <w:rFonts w:ascii="Garamond" w:hAnsi="Garamond" w:cstheme="majorHAnsi"/>
          <w:b/>
          <w:sz w:val="24"/>
          <w:szCs w:val="24"/>
        </w:rPr>
      </w:pPr>
    </w:p>
    <w:p w14:paraId="03DF33C6" w14:textId="32A70DDC"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Seção II</w:t>
      </w:r>
    </w:p>
    <w:p w14:paraId="24D1F41F"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 redeterminação</w:t>
      </w:r>
    </w:p>
    <w:p w14:paraId="258EFDCA"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w:t>
      </w:r>
    </w:p>
    <w:p w14:paraId="79AAEE85"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155. Os produtores domésticos do produto similar ou a entidade de classe que os represente poderão solicitar ao DECOM que proceda a uma redeterminação, a fim de determinar se uma medida antidumping aplicada está com sua eficácia comprometida:</w:t>
      </w:r>
    </w:p>
    <w:p w14:paraId="2D8D50BD" w14:textId="1DEE3813"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816BCF" w:rsidRPr="005C5CBD">
        <w:rPr>
          <w:rFonts w:ascii="Garamond" w:hAnsi="Garamond" w:cstheme="majorHAnsi"/>
          <w:sz w:val="24"/>
          <w:szCs w:val="24"/>
        </w:rPr>
        <w:t xml:space="preserve"> </w:t>
      </w:r>
      <w:r w:rsidRPr="00847C9D">
        <w:rPr>
          <w:rFonts w:ascii="Garamond" w:hAnsi="Garamond" w:cstheme="majorHAnsi"/>
          <w:sz w:val="24"/>
          <w:szCs w:val="24"/>
        </w:rPr>
        <w:t>- em razão da forma de aplicação da medida; ou</w:t>
      </w:r>
    </w:p>
    <w:p w14:paraId="215F3635" w14:textId="1927F973"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816BCF" w:rsidRPr="005C5CBD">
        <w:rPr>
          <w:rFonts w:ascii="Garamond" w:hAnsi="Garamond" w:cstheme="majorHAnsi"/>
          <w:sz w:val="24"/>
          <w:szCs w:val="24"/>
        </w:rPr>
        <w:t xml:space="preserve"> </w:t>
      </w:r>
      <w:r w:rsidRPr="00847C9D">
        <w:rPr>
          <w:rFonts w:ascii="Garamond" w:hAnsi="Garamond" w:cstheme="majorHAnsi"/>
          <w:sz w:val="24"/>
          <w:szCs w:val="24"/>
        </w:rPr>
        <w:t>- em virtude de o preço de exportação ou, na hipótese do art. 21, de o preço de revenda do produto objeto do direito no mercado interno brasileiro ter-se reduzido, não se ter alterado, ou ter aumentado em valor inferior ao esperado pela aplicação, alteração, prorrogação ou extensão de uma medida antidumping.</w:t>
      </w:r>
    </w:p>
    <w:p w14:paraId="5CAF5709"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A redeterminação deverá ser solicitada por meio de petição escrita, devidamente fundamentada.</w:t>
      </w:r>
    </w:p>
    <w:p w14:paraId="2CC31912" w14:textId="6BA72D55"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Excepcionalmente, o DECOM poderá iniciar uma redeterminação de</w:t>
      </w:r>
      <w:r w:rsidR="00816BCF" w:rsidRPr="005C5CBD">
        <w:rPr>
          <w:rFonts w:ascii="Garamond" w:hAnsi="Garamond" w:cstheme="majorHAnsi"/>
          <w:sz w:val="24"/>
          <w:szCs w:val="24"/>
        </w:rPr>
        <w:t xml:space="preserve"> </w:t>
      </w:r>
      <w:r w:rsidRPr="00847C9D">
        <w:rPr>
          <w:rFonts w:ascii="Garamond" w:hAnsi="Garamond" w:cstheme="majorHAnsi"/>
          <w:sz w:val="24"/>
          <w:szCs w:val="24"/>
        </w:rPr>
        <w:t>oficio.</w:t>
      </w:r>
    </w:p>
    <w:p w14:paraId="1067035E"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156. Na hipótese do inciso I caput do art. 155, a petição deverá conter explicação pormenorizada, acompanhada dos indícios pertinentes e das razões que levam o peticionário a entender que a redeterminação é necessária.</w:t>
      </w:r>
    </w:p>
    <w:p w14:paraId="5AF8E3C5"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Uma medida antidumping poderá ter a sua forma de aplicação alterada como resultado de uma redeterminação apenas uma vez a cada cinco anos.</w:t>
      </w:r>
    </w:p>
    <w:p w14:paraId="1946E65E"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Aplica-se a regra do § 1º para as medidas que tenham sido prorrogadas por meio de revisão amparada pelo Capítulo VIII.</w:t>
      </w:r>
    </w:p>
    <w:p w14:paraId="3AEBC73E" w14:textId="7414B0F9"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3º A alteração da forma de aplicação não poderá ultrapassar a margem de</w:t>
      </w:r>
      <w:r w:rsidR="00816BCF" w:rsidRPr="005C5CBD">
        <w:rPr>
          <w:rFonts w:ascii="Garamond" w:hAnsi="Garamond" w:cstheme="majorHAnsi"/>
          <w:sz w:val="24"/>
          <w:szCs w:val="24"/>
        </w:rPr>
        <w:t xml:space="preserve"> </w:t>
      </w:r>
      <w:r w:rsidRPr="00847C9D">
        <w:rPr>
          <w:rFonts w:ascii="Garamond" w:hAnsi="Garamond" w:cstheme="majorHAnsi"/>
          <w:sz w:val="24"/>
          <w:szCs w:val="24"/>
        </w:rPr>
        <w:t>dumping apurada na investigação original ou na revisão mais recente.</w:t>
      </w:r>
    </w:p>
    <w:p w14:paraId="0840633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157. Na hipótese do inciso II do caput do art. 155, a petição deverá conter explicação pormenorizada, acompanhada dos indícios pertinentes e das razões que levam o peticionário a entender que a redeterminação é necessária.</w:t>
      </w:r>
    </w:p>
    <w:p w14:paraId="5E3E704B" w14:textId="4246FAF1"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1o Somente serão aceitas petições ao amparo deste artigo caso a medida</w:t>
      </w:r>
      <w:r w:rsidR="00816BCF" w:rsidRPr="005C5CBD">
        <w:rPr>
          <w:rFonts w:ascii="Garamond" w:hAnsi="Garamond" w:cstheme="majorHAnsi"/>
          <w:sz w:val="24"/>
          <w:szCs w:val="24"/>
        </w:rPr>
        <w:t xml:space="preserve"> </w:t>
      </w:r>
      <w:r w:rsidRPr="00847C9D">
        <w:rPr>
          <w:rFonts w:ascii="Garamond" w:hAnsi="Garamond" w:cstheme="majorHAnsi"/>
          <w:sz w:val="24"/>
          <w:szCs w:val="24"/>
        </w:rPr>
        <w:t>antidumping tenha sido aplicada em montante inferior à margem de dumping.</w:t>
      </w:r>
    </w:p>
    <w:p w14:paraId="1C66D8E2"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2o Ao longo de uma redeterminação, exportadores, produtores estrangeiros, importadores e produtores domésticos disporão de ampla oportunidade para esclarecer aspectos relativos aos preços de exportação ou de revenda do produto objeto do direito no mercado interno brasileiro.</w:t>
      </w:r>
    </w:p>
    <w:p w14:paraId="4940C81D" w14:textId="236353AE"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158.</w:t>
      </w:r>
      <w:r w:rsidR="00816BCF" w:rsidRPr="005C5CBD">
        <w:rPr>
          <w:rFonts w:ascii="Garamond" w:hAnsi="Garamond" w:cstheme="majorHAnsi"/>
          <w:sz w:val="24"/>
          <w:szCs w:val="24"/>
        </w:rPr>
        <w:t xml:space="preserve"> </w:t>
      </w:r>
      <w:r w:rsidRPr="00847C9D">
        <w:rPr>
          <w:rFonts w:ascii="Garamond" w:hAnsi="Garamond" w:cstheme="majorHAnsi"/>
          <w:sz w:val="24"/>
          <w:szCs w:val="24"/>
        </w:rPr>
        <w:t>Uma redeterminação só poderá ser iniciada após nove meses contados da data de aplicação, alteração, prorrogação ou extensão da medida antidumping.</w:t>
      </w:r>
    </w:p>
    <w:p w14:paraId="5549EC22"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1o A SECEX publicará ato dando início à redeterminação.</w:t>
      </w:r>
    </w:p>
    <w:p w14:paraId="0FF4A7E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2o Uma redeterminação será concluída no prazo de três meses, contado da data de seu início.</w:t>
      </w:r>
    </w:p>
    <w:p w14:paraId="3DFFBF88"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159. Na hipótese do inciso II do caput do art. 155, caso o DECOM conclua que a aplicação do direito antidumping deveria ter resultado em alterações não ocorridas dos referidos preços, recomendará à CAMEX a alteração da medida antidumping em vigor.</w:t>
      </w:r>
    </w:p>
    <w:p w14:paraId="630590B4" w14:textId="515BA49B"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Art. 160. Determinações positivas quanto à absorção de direitos referida no inciso II do caput do art. 155 constituem indícios significativos de que a extinção do direito levará à continuação ou retomada do dumping.</w:t>
      </w:r>
    </w:p>
    <w:p w14:paraId="315D3E83" w14:textId="77777777" w:rsidR="00816BCF"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CAPÍTULO X</w:t>
      </w:r>
    </w:p>
    <w:p w14:paraId="30E5CE0F" w14:textId="5DAA99CF"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 PUBLICIDADE</w:t>
      </w:r>
    </w:p>
    <w:p w14:paraId="7B1ED8E2" w14:textId="77777777" w:rsidR="00C12525" w:rsidRPr="00847C9D" w:rsidRDefault="00C12525" w:rsidP="006C7200">
      <w:pPr>
        <w:tabs>
          <w:tab w:val="left" w:pos="3105"/>
        </w:tabs>
        <w:jc w:val="both"/>
        <w:rPr>
          <w:rFonts w:ascii="Garamond" w:hAnsi="Garamond" w:cstheme="majorHAnsi"/>
          <w:sz w:val="24"/>
          <w:szCs w:val="24"/>
        </w:rPr>
      </w:pPr>
    </w:p>
    <w:p w14:paraId="69734239"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161.   Os atos decorrentes das decisões das autoridades referidas nos arts. 2º e 5º serão publicados no Diário Oficial da União e conterão informação detalhada acerca das conclusões sobre as matérias de fato e de direito.</w:t>
      </w:r>
    </w:p>
    <w:p w14:paraId="4098EB4A"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162. Os atos a que faz referência o art. 161 relativos ao início de uma investigação deverão conter, entre outras, as seguintes informações:</w:t>
      </w:r>
    </w:p>
    <w:p w14:paraId="67812A9E" w14:textId="77777777" w:rsidR="00816BCF" w:rsidRPr="005C5CB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I - o nome do país ou países exportadores e o produto objeto da investigação; </w:t>
      </w:r>
    </w:p>
    <w:p w14:paraId="45874EAC" w14:textId="132AAED0"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 - a data do início da investigação;</w:t>
      </w:r>
    </w:p>
    <w:p w14:paraId="72E1FFB0" w14:textId="3C0B7F35"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816BCF" w:rsidRPr="005C5CBD">
        <w:rPr>
          <w:rFonts w:ascii="Garamond" w:hAnsi="Garamond" w:cstheme="majorHAnsi"/>
          <w:sz w:val="24"/>
          <w:szCs w:val="24"/>
        </w:rPr>
        <w:t xml:space="preserve"> </w:t>
      </w:r>
      <w:r w:rsidRPr="00847C9D">
        <w:rPr>
          <w:rFonts w:ascii="Garamond" w:hAnsi="Garamond" w:cstheme="majorHAnsi"/>
          <w:sz w:val="24"/>
          <w:szCs w:val="24"/>
        </w:rPr>
        <w:t>- a base da alegação de dumping formulada na petição;</w:t>
      </w:r>
    </w:p>
    <w:p w14:paraId="631AEFA8" w14:textId="4C59DA4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IV</w:t>
      </w:r>
      <w:r w:rsidR="00816BCF" w:rsidRPr="005C5CBD">
        <w:rPr>
          <w:rFonts w:ascii="Garamond" w:hAnsi="Garamond" w:cstheme="majorHAnsi"/>
          <w:sz w:val="24"/>
          <w:szCs w:val="24"/>
        </w:rPr>
        <w:t xml:space="preserve"> </w:t>
      </w:r>
      <w:r w:rsidRPr="00847C9D">
        <w:rPr>
          <w:rFonts w:ascii="Garamond" w:hAnsi="Garamond" w:cstheme="majorHAnsi"/>
          <w:sz w:val="24"/>
          <w:szCs w:val="24"/>
        </w:rPr>
        <w:t>- o resumo dos fatos sobre os quais se baseia a alegação de dano;</w:t>
      </w:r>
    </w:p>
    <w:p w14:paraId="23B6EC71" w14:textId="1F57C466"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V</w:t>
      </w:r>
      <w:r w:rsidR="00816BCF" w:rsidRPr="005C5CBD">
        <w:rPr>
          <w:rFonts w:ascii="Garamond" w:hAnsi="Garamond" w:cstheme="majorHAnsi"/>
          <w:sz w:val="24"/>
          <w:szCs w:val="24"/>
        </w:rPr>
        <w:t xml:space="preserve"> </w:t>
      </w:r>
      <w:r w:rsidRPr="00847C9D">
        <w:rPr>
          <w:rFonts w:ascii="Garamond" w:hAnsi="Garamond" w:cstheme="majorHAnsi"/>
          <w:sz w:val="24"/>
          <w:szCs w:val="24"/>
        </w:rPr>
        <w:t>- o endereço para onde devem ser encaminhadas as manifestações das partes</w:t>
      </w:r>
      <w:r w:rsidR="00816BCF" w:rsidRPr="005C5CBD">
        <w:rPr>
          <w:rFonts w:ascii="Garamond" w:hAnsi="Garamond" w:cstheme="majorHAnsi"/>
          <w:sz w:val="24"/>
          <w:szCs w:val="24"/>
        </w:rPr>
        <w:t xml:space="preserve"> </w:t>
      </w:r>
      <w:r w:rsidRPr="00847C9D">
        <w:rPr>
          <w:rFonts w:ascii="Garamond" w:hAnsi="Garamond" w:cstheme="majorHAnsi"/>
          <w:sz w:val="24"/>
          <w:szCs w:val="24"/>
        </w:rPr>
        <w:t>interessadas; e</w:t>
      </w:r>
    </w:p>
    <w:p w14:paraId="3B99607A" w14:textId="77F4A719"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VI</w:t>
      </w:r>
      <w:r w:rsidR="00816BCF" w:rsidRPr="005C5CBD">
        <w:rPr>
          <w:rFonts w:ascii="Garamond" w:hAnsi="Garamond" w:cstheme="majorHAnsi"/>
          <w:sz w:val="24"/>
          <w:szCs w:val="24"/>
        </w:rPr>
        <w:t xml:space="preserve"> </w:t>
      </w:r>
      <w:r w:rsidRPr="00847C9D">
        <w:rPr>
          <w:rFonts w:ascii="Garamond" w:hAnsi="Garamond" w:cstheme="majorHAnsi"/>
          <w:sz w:val="24"/>
          <w:szCs w:val="24"/>
        </w:rPr>
        <w:t>- os prazos e procedimentos para as manifestações das partes interessadas.</w:t>
      </w:r>
    </w:p>
    <w:p w14:paraId="38E93107"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163. Os atos a que faz referência o art. 161 relativos à imposição de medidas antidumping provisórias deverão conter explicações suficientemente detalhadas sobre as determinações preliminares relativas ao dumping, ao dano e ao nexo de causalidade entre ambos e referências às matérias de fato e de direito que levaram à aceitação ou à rejeição dos argumentos apresentados pelas partes interessadas.</w:t>
      </w:r>
    </w:p>
    <w:p w14:paraId="650AB182"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Os atos mencionados no caput deverão conter, dentre outras, as seguintes informações:</w:t>
      </w:r>
    </w:p>
    <w:p w14:paraId="6648AB81" w14:textId="248AE3D8"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816BCF" w:rsidRPr="005C5CBD">
        <w:rPr>
          <w:rFonts w:ascii="Garamond" w:hAnsi="Garamond" w:cstheme="majorHAnsi"/>
          <w:sz w:val="24"/>
          <w:szCs w:val="24"/>
        </w:rPr>
        <w:t xml:space="preserve"> </w:t>
      </w:r>
      <w:r w:rsidRPr="00847C9D">
        <w:rPr>
          <w:rFonts w:ascii="Garamond" w:hAnsi="Garamond" w:cstheme="majorHAnsi"/>
          <w:sz w:val="24"/>
          <w:szCs w:val="24"/>
        </w:rPr>
        <w:t>- nomes dos produtores ou exportadores aos quais serão aplicadas as medidas antidumping provisórias ou, no caso de o número de produtores ou exportadores ser de tal modo elevado que impeça sua singularização, o nome dos países nos quais se localizam os produtores ou exportadores investigados;</w:t>
      </w:r>
    </w:p>
    <w:p w14:paraId="0CE8678E" w14:textId="034D2281"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816BCF" w:rsidRPr="005C5CBD">
        <w:rPr>
          <w:rFonts w:ascii="Garamond" w:hAnsi="Garamond" w:cstheme="majorHAnsi"/>
          <w:sz w:val="24"/>
          <w:szCs w:val="24"/>
        </w:rPr>
        <w:t xml:space="preserve"> </w:t>
      </w:r>
      <w:r w:rsidRPr="00847C9D">
        <w:rPr>
          <w:rFonts w:ascii="Garamond" w:hAnsi="Garamond" w:cstheme="majorHAnsi"/>
          <w:sz w:val="24"/>
          <w:szCs w:val="24"/>
        </w:rPr>
        <w:t>- descrição detalhada do produto objeto da medida antidumping provisória;</w:t>
      </w:r>
    </w:p>
    <w:p w14:paraId="4AD97772" w14:textId="17688B95"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III</w:t>
      </w:r>
      <w:r w:rsidR="00816BCF" w:rsidRPr="005C5CBD">
        <w:rPr>
          <w:rFonts w:ascii="Garamond" w:hAnsi="Garamond" w:cstheme="majorHAnsi"/>
          <w:sz w:val="24"/>
          <w:szCs w:val="24"/>
        </w:rPr>
        <w:t xml:space="preserve"> </w:t>
      </w:r>
      <w:r w:rsidRPr="00847C9D">
        <w:rPr>
          <w:rFonts w:ascii="Garamond" w:hAnsi="Garamond" w:cstheme="majorHAnsi"/>
          <w:sz w:val="24"/>
          <w:szCs w:val="24"/>
        </w:rPr>
        <w:t>- as margens de dumping apuradas e explicação detalhada da metodologia utilizada para o estabelecimento e a comparação do preço de exportação com o valor normal;</w:t>
      </w:r>
    </w:p>
    <w:p w14:paraId="13C8277C" w14:textId="159AD395"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IV</w:t>
      </w:r>
      <w:r w:rsidR="00816BCF" w:rsidRPr="005C5CBD">
        <w:rPr>
          <w:rFonts w:ascii="Garamond" w:hAnsi="Garamond" w:cstheme="majorHAnsi"/>
          <w:sz w:val="24"/>
          <w:szCs w:val="24"/>
        </w:rPr>
        <w:t xml:space="preserve"> </w:t>
      </w:r>
      <w:r w:rsidRPr="00847C9D">
        <w:rPr>
          <w:rFonts w:ascii="Garamond" w:hAnsi="Garamond" w:cstheme="majorHAnsi"/>
          <w:sz w:val="24"/>
          <w:szCs w:val="24"/>
        </w:rPr>
        <w:t>- os dados relativos aos principais parâmetros julgados necessários à determinação do dano e do nexo de causalidade; e</w:t>
      </w:r>
    </w:p>
    <w:p w14:paraId="009F7613" w14:textId="4F650B2B"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V</w:t>
      </w:r>
      <w:r w:rsidR="00816BCF" w:rsidRPr="005C5CBD">
        <w:rPr>
          <w:rFonts w:ascii="Garamond" w:hAnsi="Garamond" w:cstheme="majorHAnsi"/>
          <w:sz w:val="24"/>
          <w:szCs w:val="24"/>
        </w:rPr>
        <w:t xml:space="preserve"> </w:t>
      </w:r>
      <w:r w:rsidRPr="00847C9D">
        <w:rPr>
          <w:rFonts w:ascii="Garamond" w:hAnsi="Garamond" w:cstheme="majorHAnsi"/>
          <w:sz w:val="24"/>
          <w:szCs w:val="24"/>
        </w:rPr>
        <w:t>- as razões de fato e de direito que justificam a determinação preliminar positiva de dumping, de dano e de nexo de causalidade entre ambos.</w:t>
      </w:r>
    </w:p>
    <w:p w14:paraId="7FA43F5D"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164. Os atos a que faz referência o art. 161 relativos à imposição de medidas antidumping definitivas ou à homologação de compromisso sobre preço deverão conter todas as informações relevantes sobre as matérias de fato e de direito e sobre os motivos que levaram à determinação final positiva.</w:t>
      </w:r>
    </w:p>
    <w:p w14:paraId="70D248E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Os atos mencionados no caput deverão conter, além das informações referidas no parágrafo único do art. 163, as razões para aceitação ou rejeição dos argumentos apresentados pelas partes interessadas.</w:t>
      </w:r>
    </w:p>
    <w:p w14:paraId="0FDC6F43"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165. Os atos a que faz referência o art. 161 relativos ao encerramento ou à suspensão de uma investigação em consequência da aceitação de compromisso de preços deverá conter transcrição da parte não confidencial desse compromisso.</w:t>
      </w:r>
    </w:p>
    <w:p w14:paraId="58A4EF8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166. O disposto nesta Seção se aplica, quando for o caso, ao início e ao encerramento das revisões previstas no Capítulo VIII.</w:t>
      </w:r>
    </w:p>
    <w:p w14:paraId="7CF84040"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167. As obrigações de notificação decorrentes da aplicação deste Decreto poderão ser cumpridas por meio do encaminhamento de cópia dos atos referidos neste Capítulo.</w:t>
      </w:r>
    </w:p>
    <w:p w14:paraId="7306ED89"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168. Quando as investigações incluírem partes interessadas de um ou mais Estados Partes do MERCOSUL, cópias das respectivas notificações serão antecipadas por meio eletrônico diretamente para suas respectivas autoridades investigadoras.</w:t>
      </w:r>
    </w:p>
    <w:p w14:paraId="31CD5707"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169. Versões eletrônicas dos atos a que faz referência este Capítulo ficarão disponíveis na página eletrônica do Ministério do Desenvolvimento, Indústria e Comércio Exterior, para consulta.</w:t>
      </w:r>
    </w:p>
    <w:p w14:paraId="1BCBDDC2"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CAPÍTULO XI</w:t>
      </w:r>
    </w:p>
    <w:p w14:paraId="77072461"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 FORMA DOS ATOS E DOS TERMOS PROCESSUAIS</w:t>
      </w:r>
    </w:p>
    <w:p w14:paraId="5A56449F" w14:textId="77777777" w:rsidR="00146037" w:rsidRDefault="00146037" w:rsidP="006C7200">
      <w:pPr>
        <w:tabs>
          <w:tab w:val="left" w:pos="3105"/>
        </w:tabs>
        <w:jc w:val="both"/>
        <w:rPr>
          <w:rFonts w:ascii="Garamond" w:hAnsi="Garamond" w:cstheme="majorHAnsi"/>
          <w:sz w:val="24"/>
          <w:szCs w:val="24"/>
        </w:rPr>
      </w:pPr>
    </w:p>
    <w:p w14:paraId="1F1FBB2F" w14:textId="5C5C41D4"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170. Os atos e termos processuais não dependem de forma especial e as partes interessadas deverão observar as instruções deste Decreto e as expedidas pela SECEX para a elaboração de petições e apresentação de documentos em geral, sob pena de não serem juntados aos autos do processo.</w:t>
      </w:r>
    </w:p>
    <w:p w14:paraId="1F5CC05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Somente será exigida a observância de instruções tornadas públicas antes do início do prazo processual ou que tenham sido especificadas em notificação encaminhada à parte interessada.</w:t>
      </w:r>
    </w:p>
    <w:p w14:paraId="444C4B6F"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Os atos processuais são públicos.</w:t>
      </w:r>
    </w:p>
    <w:p w14:paraId="3DF6BC23"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3º O direito de consultar os autos restritos e de pedir certidão sobre o andamento da investigação é limitado às partes interessadas e aos seus representantes legais, observadas as disposições relativas ao sigilo de informação e de documentos internos de governo.</w:t>
      </w:r>
    </w:p>
    <w:p w14:paraId="3D9C6A40"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4º A indicação de representante legal deverá ser devidamente assinada por pessoa que detenha os poderes necessários, nos termos dos atos constitutivos da pessoa jurídica.</w:t>
      </w:r>
    </w:p>
    <w:p w14:paraId="34B5C60F"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CAPÍTULO XII</w:t>
      </w:r>
    </w:p>
    <w:p w14:paraId="3C7BF1C9" w14:textId="6FEC928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DO PROCESSO DECISÓRIO</w:t>
      </w:r>
      <w:r w:rsidR="00816BCF" w:rsidRPr="005C5CBD">
        <w:rPr>
          <w:rFonts w:ascii="Garamond" w:hAnsi="Garamond" w:cstheme="majorHAnsi"/>
          <w:b/>
          <w:sz w:val="24"/>
          <w:szCs w:val="24"/>
        </w:rPr>
        <w:tab/>
      </w:r>
    </w:p>
    <w:p w14:paraId="79F778A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xml:space="preserve"> </w:t>
      </w:r>
    </w:p>
    <w:p w14:paraId="25DD315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171.   As decisões preliminares ou finais, positivas ou negativas, relativas às investigações e às revisões serão baseadas em parecer do DECOM.</w:t>
      </w:r>
    </w:p>
    <w:p w14:paraId="787954F3"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172. Pedidos de reconsideração desacompanhados das razões que os fundamentam ou apresentados à Secretaria-Executiva da CAMEX fora do prazo improrrogável de dez dias, contado da data da publicação a que fazem referência o § 4º do art. 66 e o art. 77, não serão conhecidos.</w:t>
      </w:r>
    </w:p>
    <w:p w14:paraId="25A312A0"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173. Em nenhuma hipótese será concedido efeito suspensivo aos pedidos de reconsideração.</w:t>
      </w:r>
    </w:p>
    <w:p w14:paraId="4BD919B1"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174. Em caso de reconsideração da decisão, a Secretaria-Executiva da CAMEX solicitará à Secretaria da Receita Federal do Brasil do Ministério da Fazenda, se for o caso, que proceda à restituição de valores cobrados indevidamente.</w:t>
      </w:r>
    </w:p>
    <w:p w14:paraId="62BB67F3" w14:textId="35DB6A88" w:rsidR="00C12525" w:rsidRPr="00847C9D" w:rsidRDefault="003A4A3D">
      <w:pPr>
        <w:rPr>
          <w:rFonts w:ascii="Garamond" w:hAnsi="Garamond" w:cstheme="majorHAnsi"/>
          <w:sz w:val="24"/>
          <w:szCs w:val="24"/>
        </w:rPr>
      </w:pPr>
      <w:r>
        <w:rPr>
          <w:rFonts w:ascii="Garamond" w:hAnsi="Garamond" w:cstheme="majorHAnsi"/>
          <w:sz w:val="24"/>
          <w:szCs w:val="24"/>
        </w:rPr>
        <w:br w:type="page"/>
      </w:r>
    </w:p>
    <w:p w14:paraId="3D92BB39" w14:textId="77777777" w:rsidR="00C12525" w:rsidRPr="005C5CBD" w:rsidRDefault="00C12525" w:rsidP="006C7200">
      <w:pPr>
        <w:tabs>
          <w:tab w:val="left" w:pos="3105"/>
        </w:tabs>
        <w:jc w:val="both"/>
        <w:rPr>
          <w:rFonts w:ascii="Garamond" w:hAnsi="Garamond" w:cstheme="majorHAnsi"/>
          <w:sz w:val="24"/>
          <w:szCs w:val="24"/>
        </w:rPr>
      </w:pPr>
    </w:p>
    <w:p w14:paraId="4A8FCE83"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CAPÍTULO XIII</w:t>
      </w:r>
    </w:p>
    <w:p w14:paraId="09F24D63"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DAS VERIFICAÇÕES IN LOCO</w:t>
      </w:r>
    </w:p>
    <w:p w14:paraId="2F8F819E" w14:textId="77777777" w:rsidR="00C12525" w:rsidRPr="00847C9D" w:rsidRDefault="00C12525" w:rsidP="006C7200">
      <w:pPr>
        <w:tabs>
          <w:tab w:val="left" w:pos="3105"/>
        </w:tabs>
        <w:jc w:val="both"/>
        <w:rPr>
          <w:rFonts w:ascii="Garamond" w:hAnsi="Garamond" w:cstheme="majorHAnsi"/>
          <w:sz w:val="24"/>
          <w:szCs w:val="24"/>
        </w:rPr>
      </w:pPr>
    </w:p>
    <w:p w14:paraId="2F6C5C2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175. Iniciada a investigação, o DECOM comunicará aos produtores estrangeiros ou exportadores, aos produtores nacionais e aos importadores selecionados a sua intenção de realizar verificação in loco e as informará das datas sugeridas para a realização das visitas.</w:t>
      </w:r>
    </w:p>
    <w:p w14:paraId="6B17D7C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A comunicação a que faz referência o caput será formalizada por escrito, com uma antecedência mínima da data sugerida para a verificação de:</w:t>
      </w:r>
    </w:p>
    <w:p w14:paraId="0CBE9D95" w14:textId="45F35A09"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816BCF" w:rsidRPr="005C5CBD">
        <w:rPr>
          <w:rFonts w:ascii="Garamond" w:hAnsi="Garamond" w:cstheme="majorHAnsi"/>
          <w:sz w:val="24"/>
          <w:szCs w:val="24"/>
        </w:rPr>
        <w:t xml:space="preserve"> </w:t>
      </w:r>
      <w:r w:rsidRPr="00847C9D">
        <w:rPr>
          <w:rFonts w:ascii="Garamond" w:hAnsi="Garamond" w:cstheme="majorHAnsi"/>
          <w:sz w:val="24"/>
          <w:szCs w:val="24"/>
        </w:rPr>
        <w:t>- trinta dias no caso de produtores estrangeiros ou exportadores e importadores; e</w:t>
      </w:r>
    </w:p>
    <w:p w14:paraId="07B002F9" w14:textId="597E0A69"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816BCF" w:rsidRPr="005C5CBD">
        <w:rPr>
          <w:rFonts w:ascii="Garamond" w:hAnsi="Garamond" w:cstheme="majorHAnsi"/>
          <w:sz w:val="24"/>
          <w:szCs w:val="24"/>
        </w:rPr>
        <w:t xml:space="preserve"> </w:t>
      </w:r>
      <w:r w:rsidRPr="00847C9D">
        <w:rPr>
          <w:rFonts w:ascii="Garamond" w:hAnsi="Garamond" w:cstheme="majorHAnsi"/>
          <w:sz w:val="24"/>
          <w:szCs w:val="24"/>
        </w:rPr>
        <w:t>- vinte dias no caso de produtores nacionais.</w:t>
      </w:r>
    </w:p>
    <w:p w14:paraId="066EB38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No prazo de dois dias, contado da data de ciência da comunicação a que faz referência o § 1º, o produtor estrangeiro ou exportador, o produtor nacional, ou o importador, deverão manifestar, por escrito, sua anuência expressa à realização da verificação.</w:t>
      </w:r>
    </w:p>
    <w:p w14:paraId="5FE9BD79"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3º A ausência de resposta tempestiva por parte do produtor estrangeiro, exportador ou importador poderá dar ensejo à aplicação dos dispositivos previstos no Capítulo XIV.</w:t>
      </w:r>
    </w:p>
    <w:p w14:paraId="2516A1BA"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4º A ausência de resposta tempestiva por parte das empresas que compõem a indústria doméstica poderá dar ensejo ao encerramento da investigação sem julgamento de mérito.</w:t>
      </w:r>
    </w:p>
    <w:p w14:paraId="70471D15"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5º Exceto pelo disposto no § 7º, não serão admitidas alterações dos dados a serem verificados após o envio da comunicação a que faz referência o § 1º.</w:t>
      </w:r>
    </w:p>
    <w:p w14:paraId="73339787"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6º O DECOM enviará o roteiro de verificação e esclarecerá as informações que serão solicitadas e analisadas por ocasião da visita, e os documentos que deverão ser apresentados no prazo de:</w:t>
      </w:r>
    </w:p>
    <w:p w14:paraId="1D48FB46" w14:textId="2600EEF3"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816BCF" w:rsidRPr="005C5CBD">
        <w:rPr>
          <w:rFonts w:ascii="Garamond" w:hAnsi="Garamond" w:cstheme="majorHAnsi"/>
          <w:sz w:val="24"/>
          <w:szCs w:val="24"/>
        </w:rPr>
        <w:t xml:space="preserve"> </w:t>
      </w:r>
      <w:r w:rsidRPr="00847C9D">
        <w:rPr>
          <w:rFonts w:ascii="Garamond" w:hAnsi="Garamond" w:cstheme="majorHAnsi"/>
          <w:sz w:val="24"/>
          <w:szCs w:val="24"/>
        </w:rPr>
        <w:t>- vinte dias antes da verificação, no caso de produtores estrangeiros ou exportadores e importadores; ou</w:t>
      </w:r>
    </w:p>
    <w:p w14:paraId="13DC6F32" w14:textId="5A885ECC"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816BCF" w:rsidRPr="005C5CBD">
        <w:rPr>
          <w:rFonts w:ascii="Garamond" w:hAnsi="Garamond" w:cstheme="majorHAnsi"/>
          <w:sz w:val="24"/>
          <w:szCs w:val="24"/>
        </w:rPr>
        <w:t xml:space="preserve"> </w:t>
      </w:r>
      <w:r w:rsidRPr="00847C9D">
        <w:rPr>
          <w:rFonts w:ascii="Garamond" w:hAnsi="Garamond" w:cstheme="majorHAnsi"/>
          <w:sz w:val="24"/>
          <w:szCs w:val="24"/>
        </w:rPr>
        <w:t>- dez dias antes da verificação, no caso de produtores nacionais.</w:t>
      </w:r>
    </w:p>
    <w:p w14:paraId="16DE83BA" w14:textId="2F308336"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7º Antes de iniciada a verificação, as partes terão a oportunidade de fornecer esclarecimentos com relação a informações previamente apresentadas para a equipe verificadora.</w:t>
      </w:r>
    </w:p>
    <w:p w14:paraId="7170447E"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8º A análise do DECOM quanto aos esclarecimentos fornecidos constará do relatório de verificação, cujo acesso será facultado à parte verificada no prazo de quinze dias, contado da data final da autorização do afastamento do País dos servidores que compõem a equipe verificadora.</w:t>
      </w:r>
    </w:p>
    <w:p w14:paraId="5FFC6FC6" w14:textId="248B9E5A"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9º Os relatórios das verificações in loco serão juntados aos respectivos autos</w:t>
      </w:r>
      <w:r w:rsidR="00816BCF" w:rsidRPr="005C5CBD">
        <w:rPr>
          <w:rFonts w:ascii="Garamond" w:hAnsi="Garamond" w:cstheme="majorHAnsi"/>
          <w:sz w:val="24"/>
          <w:szCs w:val="24"/>
        </w:rPr>
        <w:t xml:space="preserve"> </w:t>
      </w:r>
      <w:r w:rsidRPr="00847C9D">
        <w:rPr>
          <w:rFonts w:ascii="Garamond" w:hAnsi="Garamond" w:cstheme="majorHAnsi"/>
          <w:sz w:val="24"/>
          <w:szCs w:val="24"/>
        </w:rPr>
        <w:t>do processo.</w:t>
      </w:r>
    </w:p>
    <w:p w14:paraId="5763B983" w14:textId="51DA8585"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10. Obtida a anuência do produtor estrangeiro ou exportador de que trata o §2º, o governo do país exportador será imediatamente comunicado dos nomes e endereços dos produtores ou exportadores a serem verificados, e das datas acordadas para a realização das visitas.</w:t>
      </w:r>
    </w:p>
    <w:p w14:paraId="27D0AE55"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11. Em circunstâncias excepcionais, havendo a necessidade de se incluírem peritos não governamentais na equipe de verificação in loco dos produtores estrangeiros ou exportadores, estes e o governo do país exportador serão informados.</w:t>
      </w:r>
    </w:p>
    <w:p w14:paraId="634EB44D"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176. A verificação in loco dos produtores estrangeiros ou exportadores será realizada após a restituição do questionário, a menos que o produtor ou exportador concorde com o contrário e que o governo do país exportador esteja informado da verificação antecipada e não apresente objeção.</w:t>
      </w:r>
    </w:p>
    <w:p w14:paraId="73D90C2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177. Visitas destinadas a explicar o questionário a que faz referência o art. 50 poderão ser realizadas apenas a pedido do produtor estrangeiro ou exportador, e só poderão ocorrer se o DECOM notificar o governo do país exportador e este não apresentar objeção à visita.</w:t>
      </w:r>
    </w:p>
    <w:p w14:paraId="796E9ECF"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178. As respostas aos pedidos de informação ou às perguntas formuladas pelo governo ou pelos produtores estrangeiros ou exportadores do país exportador deverão, sempre que possível, ser fornecidas antes da realização da verificação.</w:t>
      </w:r>
    </w:p>
    <w:p w14:paraId="67C83B32"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CAPÍTULO XIV</w:t>
      </w:r>
    </w:p>
    <w:p w14:paraId="0793CD3A" w14:textId="77777777"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DA MELHOR INFORMAÇÃO DISPONÍVEL</w:t>
      </w:r>
    </w:p>
    <w:p w14:paraId="4C34D84D" w14:textId="77777777" w:rsidR="00C12525" w:rsidRPr="00847C9D" w:rsidRDefault="00C12525" w:rsidP="006C7200">
      <w:pPr>
        <w:tabs>
          <w:tab w:val="left" w:pos="3105"/>
        </w:tabs>
        <w:jc w:val="both"/>
        <w:rPr>
          <w:rFonts w:ascii="Garamond" w:hAnsi="Garamond" w:cstheme="majorHAnsi"/>
          <w:sz w:val="24"/>
          <w:szCs w:val="24"/>
        </w:rPr>
      </w:pPr>
    </w:p>
    <w:p w14:paraId="225ADE9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179. Iniciada uma investigação, as partes interessadas serão notificadas dos dados e das informações necessários à instrução do processo, da forma e do prazo de sua apresentação.</w:t>
      </w:r>
    </w:p>
    <w:p w14:paraId="1319E77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As partes interessadas serão igualmente notificadas de que, caso os dados e as informações solicitadas, devidamente acompanhados dos respectivos elementos de prova, não sejam fornecidos ou sejam fornecidos fora dos prazos estabelecidos, o DECOM poderá elaborar suas determinações preliminares ou finais com base nos fatos disponíveis, incluídos aqueles contidos na petição de início da investigação.</w:t>
      </w:r>
    </w:p>
    <w:p w14:paraId="64259E2A"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180. O DECOM levará em conta, quando da elaboração de suas determinações, as informações verificáveis que tenham sido apresentadas tempestivamente e de forma adequada, e, portanto, passíveis de utilização na investigação.</w:t>
      </w:r>
    </w:p>
    <w:p w14:paraId="130DE01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Caso solicitados dados em meio eletrônico, a parte interessada que não mantiver contabilidade informatizada ou quando a entrega de resposta em formato eletrônico lhe representar sobrecarga adicional exagerada, com o acréscimo injustificado de custos e de dificuldades, esta ficará desobrigada de apresentá-la em formato eletrônico.</w:t>
      </w:r>
    </w:p>
    <w:p w14:paraId="467D63A0"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181. Caso não aceite um dado ou uma informação, o DECOM notificará a parte interessada do motivo da recusa, a fim de que ela possa fornecer as devidas explicações, em prazo estabelecido pelo DECOM, de forma a não prejudicar o andamento da investigação.</w:t>
      </w:r>
    </w:p>
    <w:p w14:paraId="5363B8C1"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Caso as explicações não sejam consideradas satisfatórias, as razões da recusa deverão constar dos atos que contenham qualquer decisão ou determinação.</w:t>
      </w:r>
    </w:p>
    <w:p w14:paraId="1079C061"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182. Caso o DECOM se utilize de informações de fontes secundárias na elaboração de suas determinações, inclusive aquelas fornecidas na petição, estas deverão, sempre que possível, ser comparadas com informações de fontes independentes ou com aquelas provenientes de outras partes interessadas.</w:t>
      </w:r>
    </w:p>
    <w:p w14:paraId="1329F4B0"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183. Sempre que o DECOM não dispuser de meios específicos para processar a informação, por tê-la recebido em programa não compatível com os sistemas por ele utilizado, a informação deverá ser fornecida sob a forma de documento escrito.</w:t>
      </w:r>
    </w:p>
    <w:p w14:paraId="571B24D5"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184. A parte interessada é responsável por cooperar com a investigação e por fornecer todos os dados e informações solicitadas, arcando com eventuais consequências decorrentes de sua omissão.</w:t>
      </w:r>
    </w:p>
    <w:p w14:paraId="4D8F4A94" w14:textId="137D8074" w:rsidR="00816BCF"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CAPÍTULO XV</w:t>
      </w:r>
    </w:p>
    <w:p w14:paraId="6BBEB0E4" w14:textId="36F419D1" w:rsidR="00C12525" w:rsidRPr="005C5CBD" w:rsidRDefault="00C12525" w:rsidP="003A4A3D">
      <w:pPr>
        <w:tabs>
          <w:tab w:val="left" w:pos="3105"/>
        </w:tabs>
        <w:spacing w:after="0" w:line="240" w:lineRule="auto"/>
        <w:jc w:val="center"/>
        <w:rPr>
          <w:rFonts w:ascii="Garamond" w:hAnsi="Garamond" w:cstheme="majorHAnsi"/>
          <w:b/>
          <w:sz w:val="24"/>
          <w:szCs w:val="24"/>
        </w:rPr>
      </w:pPr>
      <w:r w:rsidRPr="005C5CBD">
        <w:rPr>
          <w:rFonts w:ascii="Garamond" w:hAnsi="Garamond" w:cstheme="majorHAnsi"/>
          <w:b/>
          <w:sz w:val="24"/>
          <w:szCs w:val="24"/>
        </w:rPr>
        <w:t>DISPOSIÇÕES GERAIS</w:t>
      </w:r>
    </w:p>
    <w:p w14:paraId="0D94FFC3" w14:textId="77777777" w:rsidR="00C12525" w:rsidRPr="00847C9D" w:rsidRDefault="00C12525" w:rsidP="006C7200">
      <w:pPr>
        <w:tabs>
          <w:tab w:val="left" w:pos="3105"/>
        </w:tabs>
        <w:jc w:val="both"/>
        <w:rPr>
          <w:rFonts w:ascii="Garamond" w:hAnsi="Garamond" w:cstheme="majorHAnsi"/>
          <w:sz w:val="24"/>
          <w:szCs w:val="24"/>
        </w:rPr>
      </w:pPr>
    </w:p>
    <w:p w14:paraId="282482B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185. Os prazos previstos neste Decreto serão contabilizados de forma corrida, incluindo-se o dia do vencimento.</w:t>
      </w:r>
    </w:p>
    <w:p w14:paraId="1BB7FDD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Considera-se prorrogado o prazo até o primeiro dia útil seguinte, se o vencimento cair em dia em que não houver expediente ou este for encerrado antes da hora normal.</w:t>
      </w:r>
    </w:p>
    <w:p w14:paraId="7089AE1D"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186. Presume-se que os exportadores ou produtores estrangeiros terão ciência de questionário enviado pelo DECOM dez dias após a data de envio ou transmissão.</w:t>
      </w:r>
    </w:p>
    <w:p w14:paraId="576636C9"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187. A contagem de prazos começa no primeiro dia útil subsequente à publicação do ato ou à expedição da correspondência, quando houver.</w:t>
      </w:r>
    </w:p>
    <w:p w14:paraId="3AA9BCB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188. Os prazos fixados em meses contam-se de data a data.</w:t>
      </w:r>
    </w:p>
    <w:p w14:paraId="1CBA2A6D"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Parágrafo único. Se no mês do vencimento não houver o dia equivalente àquele do início do prazo, tem-se como termo o último dia do mês.</w:t>
      </w:r>
    </w:p>
    <w:p w14:paraId="1C18A74E"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189. Os pedidos de prorrogação, quando admitidos, só poderão ser conhecidos se apresentados antes do vencimento do prazo original e o primeiro dia do prazo prorrogado será o dia subsequente ao do vencimento do prazo original.</w:t>
      </w:r>
    </w:p>
    <w:p w14:paraId="705F90B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190. O prazo de prorrogação acresce ao original, sendo o prazo total resultante contado ininterruptamente do início do prazo original.</w:t>
      </w:r>
    </w:p>
    <w:p w14:paraId="1BFD8BC0"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191.   O teor de pareceres, determinações e recomendações do DECOM não será divulgado até que as exigências relativas à publicidade estabelecidas neste Decreto tenham sido observadas, quando então tais documentos serão juntados aos autos do processo.</w:t>
      </w:r>
    </w:p>
    <w:p w14:paraId="68E6FFC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1º Estendem-se as obrigações de confidencialidade de que trata este Decreto às autoridades envolvidas no processo decisório relativo à aplicação de medidas antidumping.</w:t>
      </w:r>
    </w:p>
    <w:p w14:paraId="00EFEDAF"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2º As autoridades competentes dos Ministérios que integram a CAMEX terão acesso, por meio dos pareceres do DECOM, a todas as informações confidenciais submetidas pelas partes interessadas em investigações antidumping conduzidas conforme o disposto neste Decreto.</w:t>
      </w:r>
    </w:p>
    <w:p w14:paraId="64794FD1"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192. Os produtos sujeitos a medidas antidumping serão objeto de acompanhamento estatístico detalhado e de esforço de inteligência conjunto entre a SECEX e a Secretaria da Receita Federal do Brasil do Ministério da Fazenda, de maneira a assegurar a eficácia das medidas antidumping em vigor.</w:t>
      </w:r>
    </w:p>
    <w:p w14:paraId="709C23A9"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193. Para o cumprimento do disposto neste Decreto, solicitações para alterações da NCM poderão ser submetidas à instância apropriada do MERCOSUL.</w:t>
      </w:r>
    </w:p>
    <w:p w14:paraId="72A5C5C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194. O DECOM poderá prorrogar, por uma única vez e igual período, os prazos previstos neste Decreto, exceto aqueles em que a prorrogação, ou a sua proibição já estejam previstos.</w:t>
      </w:r>
    </w:p>
    <w:p w14:paraId="501B094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195. A SECEX, a Secretaria da Receita Federal do Brasil do Ministério da Fazenda e a CAMEX poderão expedir normas complementares à execução deste Decreto, no âmbito de suas competências.</w:t>
      </w:r>
    </w:p>
    <w:p w14:paraId="20E44467"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196. Em casos em que o Brasil tenha sido autorizado, pelo Órgão de Solução de Controvérsias da Organização Mundial do Comércio - OMC, a suspender concessões ou outras obrigações dos Acordos da OMC, dispositivos deste Decreto poderão, por decisão do Conselho de Ministros da CAMEX, deixar de ser observados, no todo ou em parte.</w:t>
      </w:r>
    </w:p>
    <w:p w14:paraId="3BEB86C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197. As investigações e as revisões cujas petições tenham sido protocoladas até a entrada em vigor deste Decreto continuarão a ser regidas pelo Decreto no 1.602, de 23 de agosto de 1995.</w:t>
      </w:r>
    </w:p>
    <w:p w14:paraId="371A093A"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198. O Anexo I ao Decreto no 7.096, de 4 de fevereiro de 2010, passa a vigorar com as seguintes alterações:</w:t>
      </w:r>
    </w:p>
    <w:p w14:paraId="54A0F154"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2o .....................................................................................................................</w:t>
      </w:r>
    </w:p>
    <w:p w14:paraId="3D5706A5"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w:t>
      </w:r>
    </w:p>
    <w:p w14:paraId="4EA6CDB2"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w:t>
      </w:r>
    </w:p>
    <w:p w14:paraId="702DF2C3"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w:t>
      </w:r>
    </w:p>
    <w:p w14:paraId="2DC71F8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 -</w:t>
      </w:r>
    </w:p>
    <w:p w14:paraId="4B1114BF"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w:t>
      </w:r>
    </w:p>
    <w:p w14:paraId="6955BEA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w:t>
      </w:r>
    </w:p>
    <w:p w14:paraId="197FC94A"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w:t>
      </w:r>
    </w:p>
    <w:p w14:paraId="5659CD5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b) ...............................................................................................................................</w:t>
      </w:r>
    </w:p>
    <w:p w14:paraId="4E273196"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w:t>
      </w:r>
    </w:p>
    <w:p w14:paraId="50A61D0F"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w:t>
      </w:r>
    </w:p>
    <w:p w14:paraId="0FB5B2ED"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w:t>
      </w:r>
    </w:p>
    <w:p w14:paraId="489DE5D8" w14:textId="51561F14"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4.</w:t>
      </w:r>
      <w:r w:rsidR="00816BCF" w:rsidRPr="005C5CBD">
        <w:rPr>
          <w:rFonts w:ascii="Garamond" w:hAnsi="Garamond" w:cstheme="majorHAnsi"/>
          <w:sz w:val="24"/>
          <w:szCs w:val="24"/>
        </w:rPr>
        <w:t xml:space="preserve"> </w:t>
      </w:r>
      <w:r w:rsidRPr="00847C9D">
        <w:rPr>
          <w:rFonts w:ascii="Garamond" w:hAnsi="Garamond" w:cstheme="majorHAnsi"/>
          <w:sz w:val="24"/>
          <w:szCs w:val="24"/>
        </w:rPr>
        <w:t>Departamento de Estatística e Apoio à Exportação; e</w:t>
      </w:r>
    </w:p>
    <w:p w14:paraId="6C876EB3" w14:textId="19C5773E"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5.</w:t>
      </w:r>
      <w:r w:rsidR="00816BCF" w:rsidRPr="005C5CBD">
        <w:rPr>
          <w:rFonts w:ascii="Garamond" w:hAnsi="Garamond" w:cstheme="majorHAnsi"/>
          <w:sz w:val="24"/>
          <w:szCs w:val="24"/>
        </w:rPr>
        <w:t xml:space="preserve"> </w:t>
      </w:r>
      <w:r w:rsidRPr="00847C9D">
        <w:rPr>
          <w:rFonts w:ascii="Garamond" w:hAnsi="Garamond" w:cstheme="majorHAnsi"/>
          <w:sz w:val="24"/>
          <w:szCs w:val="24"/>
        </w:rPr>
        <w:t>Departamento de Competitividade no Comércio Exterior;</w:t>
      </w:r>
    </w:p>
    <w:p w14:paraId="22AEC410"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w:t>
      </w:r>
    </w:p>
    <w:p w14:paraId="25A4572E"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(NR)</w:t>
      </w:r>
    </w:p>
    <w:p w14:paraId="2CB1507C" w14:textId="77777777" w:rsidR="00C12525" w:rsidRPr="00847C9D" w:rsidRDefault="00C12525" w:rsidP="006C7200">
      <w:pPr>
        <w:tabs>
          <w:tab w:val="left" w:pos="3105"/>
        </w:tabs>
        <w:jc w:val="both"/>
        <w:rPr>
          <w:rFonts w:ascii="Garamond" w:hAnsi="Garamond" w:cstheme="majorHAnsi"/>
          <w:sz w:val="24"/>
          <w:szCs w:val="24"/>
        </w:rPr>
      </w:pPr>
    </w:p>
    <w:p w14:paraId="2969778B"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19. Ao Departamento de Estatística e Apoio à Exportação compete:</w:t>
      </w:r>
    </w:p>
    <w:p w14:paraId="4E1BE8CF"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w:t>
      </w:r>
    </w:p>
    <w:p w14:paraId="1FBF3AD2"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(NR)</w:t>
      </w:r>
    </w:p>
    <w:p w14:paraId="06405A2B" w14:textId="77777777" w:rsidR="00C12525" w:rsidRPr="00847C9D" w:rsidRDefault="00C12525" w:rsidP="006C7200">
      <w:pPr>
        <w:tabs>
          <w:tab w:val="left" w:pos="3105"/>
        </w:tabs>
        <w:jc w:val="both"/>
        <w:rPr>
          <w:rFonts w:ascii="Garamond" w:hAnsi="Garamond" w:cstheme="majorHAnsi"/>
          <w:sz w:val="24"/>
          <w:szCs w:val="24"/>
        </w:rPr>
      </w:pPr>
    </w:p>
    <w:p w14:paraId="6DCFC8D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20. Ao Departamento de Competitividade no Comércio Exterior compete:</w:t>
      </w:r>
    </w:p>
    <w:p w14:paraId="57598453"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w:t>
      </w:r>
    </w:p>
    <w:p w14:paraId="20364D47"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(NR)</w:t>
      </w:r>
    </w:p>
    <w:p w14:paraId="5E3F7090" w14:textId="77777777" w:rsidR="00C12525" w:rsidRPr="00847C9D" w:rsidRDefault="00C12525" w:rsidP="006C7200">
      <w:pPr>
        <w:tabs>
          <w:tab w:val="left" w:pos="3105"/>
        </w:tabs>
        <w:jc w:val="both"/>
        <w:rPr>
          <w:rFonts w:ascii="Garamond" w:hAnsi="Garamond" w:cstheme="majorHAnsi"/>
          <w:sz w:val="24"/>
          <w:szCs w:val="24"/>
        </w:rPr>
      </w:pPr>
    </w:p>
    <w:p w14:paraId="42CE2100"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199. O Anexo II ao Decreto no 7.096, de 2010, passa a vigorar com as alterações constantes do Anexo a este Decreto.</w:t>
      </w:r>
    </w:p>
    <w:p w14:paraId="78D4CAEC"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1o Os apostilamentos decorrentes das alterações processadas deverão ocorrer no prazo de vinte dias, contado da data de entrada em vigor deste Decreto.</w:t>
      </w:r>
    </w:p>
    <w:p w14:paraId="1679BC58"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 2o O Ministro de Estado do Desenvolvimento, Indústria e Comércio Exterior fará publicar no Diário Oficial da União, no prazo de trinta dias após os apostilamentos, relação nominal dos titulares dos cargos em comissão a que se refere o Anexo, que indicará, inclusive, o número de cargos vagos, suas denominações e níveis.</w:t>
      </w:r>
    </w:p>
    <w:p w14:paraId="14FF756F"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200.  Este Decreto entra em vigor em 1o de outubro de 2013.</w:t>
      </w:r>
    </w:p>
    <w:p w14:paraId="31178021" w14:textId="77777777"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Art. 201. Ficam revogados:</w:t>
      </w:r>
    </w:p>
    <w:p w14:paraId="144C5017" w14:textId="583A3EFD"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w:t>
      </w:r>
      <w:r w:rsidR="00816BCF" w:rsidRPr="005C5CBD">
        <w:rPr>
          <w:rFonts w:ascii="Garamond" w:hAnsi="Garamond" w:cstheme="majorHAnsi"/>
          <w:sz w:val="24"/>
          <w:szCs w:val="24"/>
        </w:rPr>
        <w:t xml:space="preserve"> </w:t>
      </w:r>
      <w:r w:rsidRPr="00847C9D">
        <w:rPr>
          <w:rFonts w:ascii="Garamond" w:hAnsi="Garamond" w:cstheme="majorHAnsi"/>
          <w:sz w:val="24"/>
          <w:szCs w:val="24"/>
        </w:rPr>
        <w:t>- o Decreto no 1.602, de 23 de agosto de 1995;</w:t>
      </w:r>
    </w:p>
    <w:p w14:paraId="4EA950CE" w14:textId="29861879" w:rsidR="00C12525" w:rsidRPr="00847C9D" w:rsidRDefault="00C12525" w:rsidP="006C7200">
      <w:pPr>
        <w:tabs>
          <w:tab w:val="left" w:pos="3105"/>
        </w:tabs>
        <w:jc w:val="both"/>
        <w:rPr>
          <w:rFonts w:ascii="Garamond" w:hAnsi="Garamond" w:cstheme="majorHAnsi"/>
          <w:sz w:val="24"/>
          <w:szCs w:val="24"/>
        </w:rPr>
      </w:pPr>
      <w:r w:rsidRPr="00847C9D">
        <w:rPr>
          <w:rFonts w:ascii="Garamond" w:hAnsi="Garamond" w:cstheme="majorHAnsi"/>
          <w:sz w:val="24"/>
          <w:szCs w:val="24"/>
        </w:rPr>
        <w:t>II</w:t>
      </w:r>
      <w:r w:rsidR="00816BCF" w:rsidRPr="005C5CBD">
        <w:rPr>
          <w:rFonts w:ascii="Garamond" w:hAnsi="Garamond" w:cstheme="majorHAnsi"/>
          <w:sz w:val="24"/>
          <w:szCs w:val="24"/>
        </w:rPr>
        <w:t xml:space="preserve"> </w:t>
      </w:r>
      <w:r w:rsidRPr="00847C9D">
        <w:rPr>
          <w:rFonts w:ascii="Garamond" w:hAnsi="Garamond" w:cstheme="majorHAnsi"/>
          <w:sz w:val="24"/>
          <w:szCs w:val="24"/>
        </w:rPr>
        <w:t>- o art 2o do Decreto no 7.474, de 10 de maio de 2011; e III - o Anexo II ao Decreto no 7.474, de 10 de maio de 2011.</w:t>
      </w:r>
    </w:p>
    <w:p w14:paraId="6B5DFAC0" w14:textId="77777777" w:rsidR="00C12525" w:rsidRPr="00847C9D" w:rsidRDefault="00C12525" w:rsidP="00816BCF">
      <w:pPr>
        <w:tabs>
          <w:tab w:val="left" w:pos="3105"/>
        </w:tabs>
        <w:jc w:val="center"/>
        <w:rPr>
          <w:rFonts w:ascii="Garamond" w:hAnsi="Garamond" w:cstheme="majorHAnsi"/>
          <w:sz w:val="24"/>
          <w:szCs w:val="24"/>
        </w:rPr>
      </w:pPr>
      <w:r w:rsidRPr="00847C9D">
        <w:rPr>
          <w:rFonts w:ascii="Garamond" w:hAnsi="Garamond" w:cstheme="majorHAnsi"/>
          <w:sz w:val="24"/>
          <w:szCs w:val="24"/>
        </w:rPr>
        <w:t>Brasília, 26 de julho de 2013; 192o da Independência e 125o da República.</w:t>
      </w:r>
    </w:p>
    <w:p w14:paraId="6F1F4D83" w14:textId="77777777" w:rsidR="00C12525" w:rsidRPr="00847C9D" w:rsidRDefault="00C12525" w:rsidP="003A4A3D">
      <w:pPr>
        <w:tabs>
          <w:tab w:val="left" w:pos="3105"/>
        </w:tabs>
        <w:jc w:val="center"/>
        <w:rPr>
          <w:rFonts w:ascii="Garamond" w:hAnsi="Garamond" w:cstheme="majorHAnsi"/>
          <w:sz w:val="24"/>
          <w:szCs w:val="24"/>
        </w:rPr>
      </w:pPr>
      <w:r w:rsidRPr="00847C9D">
        <w:rPr>
          <w:rFonts w:ascii="Garamond" w:hAnsi="Garamond" w:cstheme="majorHAnsi"/>
          <w:sz w:val="24"/>
          <w:szCs w:val="24"/>
        </w:rPr>
        <w:t>DILMA ROUSSEFF</w:t>
      </w:r>
    </w:p>
    <w:p w14:paraId="263C2917" w14:textId="39BB24D1" w:rsidR="00816BCF" w:rsidRPr="00146037" w:rsidRDefault="00C12525" w:rsidP="003A4A3D">
      <w:pPr>
        <w:tabs>
          <w:tab w:val="left" w:pos="3105"/>
        </w:tabs>
        <w:jc w:val="center"/>
        <w:rPr>
          <w:rFonts w:ascii="Garamond" w:hAnsi="Garamond" w:cstheme="majorHAnsi"/>
          <w:i/>
          <w:sz w:val="24"/>
          <w:szCs w:val="24"/>
        </w:rPr>
      </w:pPr>
      <w:r w:rsidRPr="00146037">
        <w:rPr>
          <w:rFonts w:ascii="Garamond" w:hAnsi="Garamond" w:cstheme="majorHAnsi"/>
          <w:i/>
          <w:sz w:val="24"/>
          <w:szCs w:val="24"/>
        </w:rPr>
        <w:t>Antonio de Aguiar Patriota</w:t>
      </w:r>
    </w:p>
    <w:p w14:paraId="02DD7044" w14:textId="5B802D42" w:rsidR="00816BCF" w:rsidRPr="00146037" w:rsidRDefault="00C12525" w:rsidP="003A4A3D">
      <w:pPr>
        <w:tabs>
          <w:tab w:val="left" w:pos="3105"/>
        </w:tabs>
        <w:jc w:val="center"/>
        <w:rPr>
          <w:rFonts w:ascii="Garamond" w:hAnsi="Garamond" w:cstheme="majorHAnsi"/>
          <w:i/>
          <w:sz w:val="24"/>
          <w:szCs w:val="24"/>
        </w:rPr>
      </w:pPr>
      <w:r w:rsidRPr="00146037">
        <w:rPr>
          <w:rFonts w:ascii="Garamond" w:hAnsi="Garamond" w:cstheme="majorHAnsi"/>
          <w:i/>
          <w:sz w:val="24"/>
          <w:szCs w:val="24"/>
        </w:rPr>
        <w:t>Dyogo Henrique de Oliveira</w:t>
      </w:r>
    </w:p>
    <w:p w14:paraId="15ED859B" w14:textId="5DE626C5" w:rsidR="00B51DB1" w:rsidRPr="00146037" w:rsidRDefault="00C12525" w:rsidP="003A4A3D">
      <w:pPr>
        <w:tabs>
          <w:tab w:val="left" w:pos="3105"/>
          <w:tab w:val="center" w:pos="5515"/>
          <w:tab w:val="left" w:pos="6729"/>
        </w:tabs>
        <w:jc w:val="center"/>
        <w:rPr>
          <w:rFonts w:ascii="Garamond" w:hAnsi="Garamond" w:cstheme="majorHAnsi"/>
          <w:i/>
          <w:sz w:val="24"/>
          <w:szCs w:val="24"/>
        </w:rPr>
      </w:pPr>
      <w:r w:rsidRPr="00146037">
        <w:rPr>
          <w:rFonts w:ascii="Garamond" w:hAnsi="Garamond" w:cstheme="majorHAnsi"/>
          <w:i/>
          <w:sz w:val="24"/>
          <w:szCs w:val="24"/>
        </w:rPr>
        <w:t>Ricardo Schaefer</w:t>
      </w:r>
    </w:p>
    <w:p w14:paraId="4AB1FAEE" w14:textId="77777777" w:rsidR="00A71FFE" w:rsidRPr="005C5CBD" w:rsidRDefault="00A71FFE" w:rsidP="00A71FFE">
      <w:pPr>
        <w:ind w:left="1744" w:right="1743"/>
        <w:jc w:val="center"/>
        <w:rPr>
          <w:rFonts w:ascii="Garamond" w:hAnsi="Garamond"/>
          <w:b/>
          <w:sz w:val="24"/>
        </w:rPr>
      </w:pPr>
    </w:p>
    <w:p w14:paraId="404F1D44" w14:textId="77777777" w:rsidR="00A71FFE" w:rsidRPr="005C5CBD" w:rsidRDefault="00A71FFE">
      <w:pPr>
        <w:rPr>
          <w:rFonts w:ascii="Garamond" w:hAnsi="Garamond"/>
          <w:b/>
          <w:sz w:val="24"/>
        </w:rPr>
      </w:pPr>
      <w:r w:rsidRPr="005C5CBD">
        <w:rPr>
          <w:rFonts w:ascii="Garamond" w:hAnsi="Garamond"/>
          <w:b/>
          <w:sz w:val="24"/>
        </w:rPr>
        <w:br w:type="page"/>
      </w:r>
    </w:p>
    <w:p w14:paraId="5DF3580C" w14:textId="28F45434" w:rsidR="00A71FFE" w:rsidRPr="005C5CBD" w:rsidRDefault="00A71FFE" w:rsidP="00A71FFE">
      <w:pPr>
        <w:ind w:left="1744" w:right="1743"/>
        <w:jc w:val="center"/>
        <w:rPr>
          <w:rFonts w:ascii="Garamond" w:hAnsi="Garamond"/>
          <w:b/>
          <w:sz w:val="24"/>
        </w:rPr>
      </w:pPr>
      <w:r w:rsidRPr="005C5CBD">
        <w:rPr>
          <w:rFonts w:ascii="Garamond" w:hAnsi="Garamond"/>
          <w:b/>
          <w:sz w:val="24"/>
        </w:rPr>
        <w:t>ANEXO</w:t>
      </w:r>
    </w:p>
    <w:p w14:paraId="5B859E92" w14:textId="77777777" w:rsidR="00A71FFE" w:rsidRPr="005C5CBD" w:rsidRDefault="00A71FFE" w:rsidP="00A71FFE">
      <w:pPr>
        <w:pStyle w:val="Corpodetexto"/>
        <w:spacing w:before="7"/>
        <w:rPr>
          <w:rFonts w:ascii="Garamond" w:hAnsi="Garamond"/>
          <w:b/>
          <w:sz w:val="23"/>
        </w:rPr>
      </w:pPr>
    </w:p>
    <w:p w14:paraId="30213B8E" w14:textId="6B3E94B8" w:rsidR="00A71FFE" w:rsidRPr="005C5CBD" w:rsidRDefault="00A71FFE" w:rsidP="00A71FFE">
      <w:pPr>
        <w:pStyle w:val="Corpodetexto"/>
        <w:ind w:left="1744" w:right="1745"/>
        <w:jc w:val="center"/>
        <w:rPr>
          <w:rFonts w:ascii="Garamond" w:hAnsi="Garamond"/>
        </w:rPr>
      </w:pPr>
      <w:r w:rsidRPr="005C5CBD">
        <w:rPr>
          <w:rFonts w:ascii="Garamond" w:hAnsi="Garamond"/>
          <w:noProof/>
          <w:lang w:eastAsia="pt-BR"/>
        </w:rPr>
        <mc:AlternateContent>
          <mc:Choice Requires="wps">
            <w:drawing>
              <wp:anchor distT="0" distB="0" distL="114300" distR="114300" simplePos="0" relativeHeight="251658295" behindDoc="1" locked="0" layoutInCell="1" allowOverlap="1" wp14:anchorId="45CCD425" wp14:editId="472ED8C3">
                <wp:simplePos x="0" y="0"/>
                <wp:positionH relativeFrom="page">
                  <wp:posOffset>3429635</wp:posOffset>
                </wp:positionH>
                <wp:positionV relativeFrom="paragraph">
                  <wp:posOffset>82550</wp:posOffset>
                </wp:positionV>
                <wp:extent cx="50165" cy="4445"/>
                <wp:effectExtent l="635" t="4445" r="0" b="635"/>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D49E3" id="Retângulo 30" o:spid="_x0000_s1026" style="position:absolute;margin-left:270.05pt;margin-top:6.5pt;width:3.95pt;height:.35pt;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" fillcolor="black" stroked="f">
                <w10:wrap anchorx="page"/>
              </v:rect>
            </w:pict>
          </mc:Fallback>
        </mc:AlternateContent>
      </w:r>
      <w:r w:rsidRPr="005C5CBD">
        <w:rPr>
          <w:rFonts w:ascii="Garamond" w:hAnsi="Garamond"/>
        </w:rPr>
        <w:t>(Anexo</w:t>
      </w:r>
      <w:r w:rsidRPr="005C5CBD">
        <w:rPr>
          <w:rFonts w:ascii="Garamond" w:hAnsi="Garamond"/>
          <w:spacing w:val="1"/>
        </w:rPr>
        <w:t xml:space="preserve"> </w:t>
      </w:r>
      <w:r w:rsidRPr="005C5CBD">
        <w:rPr>
          <w:rFonts w:ascii="Garamond" w:hAnsi="Garamond"/>
        </w:rPr>
        <w:t>II</w:t>
      </w:r>
      <w:r w:rsidRPr="005C5CBD">
        <w:rPr>
          <w:rFonts w:ascii="Garamond" w:hAnsi="Garamond"/>
          <w:spacing w:val="-4"/>
        </w:rPr>
        <w:t xml:space="preserve"> </w:t>
      </w:r>
      <w:r w:rsidRPr="005C5CBD">
        <w:rPr>
          <w:rFonts w:ascii="Garamond" w:hAnsi="Garamond"/>
        </w:rPr>
        <w:t>ao Decreto n</w:t>
      </w:r>
      <w:r w:rsidRPr="005C5CBD">
        <w:rPr>
          <w:rFonts w:ascii="Garamond" w:hAnsi="Garamond"/>
          <w:vertAlign w:val="superscript"/>
        </w:rPr>
        <w:t>o</w:t>
      </w:r>
      <w:r w:rsidRPr="005C5CBD">
        <w:rPr>
          <w:rFonts w:ascii="Garamond" w:hAnsi="Garamond"/>
          <w:spacing w:val="1"/>
        </w:rPr>
        <w:t xml:space="preserve"> </w:t>
      </w:r>
      <w:r w:rsidRPr="005C5CBD">
        <w:rPr>
          <w:rFonts w:ascii="Garamond" w:hAnsi="Garamond"/>
        </w:rPr>
        <w:t>7.096, de</w:t>
      </w:r>
      <w:r w:rsidRPr="005C5CBD">
        <w:rPr>
          <w:rFonts w:ascii="Garamond" w:hAnsi="Garamond"/>
          <w:spacing w:val="-1"/>
        </w:rPr>
        <w:t xml:space="preserve"> </w:t>
      </w:r>
      <w:r w:rsidRPr="005C5CBD">
        <w:rPr>
          <w:rFonts w:ascii="Garamond" w:hAnsi="Garamond"/>
        </w:rPr>
        <w:t>4 de</w:t>
      </w:r>
      <w:r w:rsidRPr="005C5CBD">
        <w:rPr>
          <w:rFonts w:ascii="Garamond" w:hAnsi="Garamond"/>
          <w:spacing w:val="-1"/>
        </w:rPr>
        <w:t xml:space="preserve"> </w:t>
      </w:r>
      <w:r w:rsidRPr="005C5CBD">
        <w:rPr>
          <w:rFonts w:ascii="Garamond" w:hAnsi="Garamond"/>
        </w:rPr>
        <w:t>fevereiro de</w:t>
      </w:r>
      <w:r w:rsidRPr="005C5CBD">
        <w:rPr>
          <w:rFonts w:ascii="Garamond" w:hAnsi="Garamond"/>
          <w:spacing w:val="-1"/>
        </w:rPr>
        <w:t xml:space="preserve"> </w:t>
      </w:r>
      <w:r w:rsidRPr="005C5CBD">
        <w:rPr>
          <w:rFonts w:ascii="Garamond" w:hAnsi="Garamond"/>
        </w:rPr>
        <w:t>2010)</w:t>
      </w:r>
    </w:p>
    <w:p w14:paraId="05F67B60" w14:textId="77777777" w:rsidR="00A71FFE" w:rsidRPr="005C5CBD" w:rsidRDefault="00A71FFE" w:rsidP="00A71FFE">
      <w:pPr>
        <w:pStyle w:val="Corpodetexto"/>
        <w:spacing w:before="3"/>
        <w:rPr>
          <w:rFonts w:ascii="Garamond" w:hAnsi="Garamond"/>
          <w:sz w:val="16"/>
        </w:rPr>
      </w:pPr>
    </w:p>
    <w:p w14:paraId="5BE7BB9C" w14:textId="77777777" w:rsidR="00A71FFE" w:rsidRPr="005C5CBD" w:rsidRDefault="00A71FFE" w:rsidP="00A71FFE">
      <w:pPr>
        <w:pStyle w:val="Corpodetexto"/>
        <w:spacing w:before="90"/>
        <w:rPr>
          <w:rFonts w:ascii="Garamond" w:hAnsi="Garamond"/>
        </w:rPr>
      </w:pPr>
      <w:r w:rsidRPr="005C5CBD">
        <w:rPr>
          <w:rFonts w:ascii="Garamond" w:hAnsi="Garamond"/>
        </w:rPr>
        <w:t>"a) ................................................................................................................................................</w:t>
      </w:r>
    </w:p>
    <w:p w14:paraId="6415302D" w14:textId="77777777" w:rsidR="00A71FFE" w:rsidRPr="005C5CBD" w:rsidRDefault="00A71FFE" w:rsidP="00A71FFE">
      <w:pPr>
        <w:ind w:left="978"/>
        <w:rPr>
          <w:rFonts w:ascii="Garamond" w:hAnsi="Garamond"/>
          <w:sz w:val="24"/>
        </w:rPr>
      </w:pPr>
      <w:r w:rsidRPr="005C5CBD">
        <w:rPr>
          <w:rFonts w:ascii="Garamond" w:hAnsi="Garamond"/>
          <w:sz w:val="24"/>
        </w:rPr>
        <w:t>......................................................................................................................................................</w:t>
      </w:r>
    </w:p>
    <w:p w14:paraId="1BE62CC1" w14:textId="77777777" w:rsidR="00A71FFE" w:rsidRPr="005C5CBD" w:rsidRDefault="00A71FFE" w:rsidP="00A71FFE">
      <w:pPr>
        <w:pStyle w:val="Corpodetexto"/>
        <w:spacing w:before="7" w:after="1"/>
        <w:rPr>
          <w:rFonts w:ascii="Garamond" w:hAnsi="Garamond"/>
        </w:rPr>
      </w:pPr>
    </w:p>
    <w:tbl>
      <w:tblPr>
        <w:tblStyle w:val="TableNormal2"/>
        <w:tblW w:w="8373" w:type="dxa"/>
        <w:jc w:val="center"/>
        <w:tblBorders>
          <w:top w:val="single" w:sz="4" w:space="0" w:color="000000"/>
          <w:left w:val="single" w:sz="6" w:space="0" w:color="000000"/>
          <w:bottom w:val="single" w:sz="4" w:space="0" w:color="000000"/>
          <w:right w:val="single" w:sz="6" w:space="0" w:color="000000"/>
          <w:insideV w:val="single" w:sz="6" w:space="0" w:color="000000"/>
        </w:tblBorders>
        <w:tblLayout w:type="fixed"/>
        <w:tblLook w:val="01E0" w:firstRow="1" w:lastRow="1" w:firstColumn="1" w:lastColumn="1" w:noHBand="0" w:noVBand="0"/>
      </w:tblPr>
      <w:tblGrid>
        <w:gridCol w:w="4688"/>
        <w:gridCol w:w="992"/>
        <w:gridCol w:w="1418"/>
        <w:gridCol w:w="1275"/>
      </w:tblGrid>
      <w:tr w:rsidR="00A71FFE" w:rsidRPr="005C5CBD" w14:paraId="62E453C9" w14:textId="77777777" w:rsidTr="00603DBA">
        <w:trPr>
          <w:trHeight w:val="586"/>
          <w:jc w:val="center"/>
        </w:trPr>
        <w:tc>
          <w:tcPr>
            <w:tcW w:w="4688" w:type="dxa"/>
            <w:vAlign w:val="center"/>
          </w:tcPr>
          <w:p w14:paraId="684FABFF" w14:textId="77777777" w:rsidR="00A71FFE" w:rsidRPr="005C5CBD" w:rsidRDefault="00A71FFE" w:rsidP="001B1D53">
            <w:pPr>
              <w:pStyle w:val="TableParagraph"/>
              <w:rPr>
                <w:rFonts w:ascii="Garamond" w:hAnsi="Garamond"/>
                <w:b/>
                <w:sz w:val="16"/>
                <w:szCs w:val="16"/>
              </w:rPr>
            </w:pPr>
            <w:r w:rsidRPr="005C5CBD">
              <w:rPr>
                <w:rFonts w:ascii="Garamond" w:hAnsi="Garamond"/>
                <w:b/>
                <w:sz w:val="16"/>
                <w:szCs w:val="16"/>
              </w:rPr>
              <w:t>SECRETARIA</w:t>
            </w:r>
            <w:r w:rsidRPr="005C5CBD">
              <w:rPr>
                <w:rFonts w:ascii="Garamond" w:hAnsi="Garamond"/>
                <w:b/>
                <w:spacing w:val="-2"/>
                <w:sz w:val="16"/>
                <w:szCs w:val="16"/>
              </w:rPr>
              <w:t xml:space="preserve"> </w:t>
            </w:r>
            <w:r w:rsidRPr="005C5CBD">
              <w:rPr>
                <w:rFonts w:ascii="Garamond" w:hAnsi="Garamond"/>
                <w:b/>
                <w:sz w:val="16"/>
                <w:szCs w:val="16"/>
              </w:rPr>
              <w:t>DE</w:t>
            </w:r>
            <w:r w:rsidRPr="005C5CBD">
              <w:rPr>
                <w:rFonts w:ascii="Garamond" w:hAnsi="Garamond"/>
                <w:b/>
                <w:spacing w:val="-1"/>
                <w:sz w:val="16"/>
                <w:szCs w:val="16"/>
              </w:rPr>
              <w:t xml:space="preserve"> </w:t>
            </w:r>
            <w:r w:rsidRPr="005C5CBD">
              <w:rPr>
                <w:rFonts w:ascii="Garamond" w:hAnsi="Garamond"/>
                <w:b/>
                <w:sz w:val="16"/>
                <w:szCs w:val="16"/>
              </w:rPr>
              <w:t>COMÉRCIO</w:t>
            </w:r>
            <w:r w:rsidRPr="005C5CBD">
              <w:rPr>
                <w:rFonts w:ascii="Garamond" w:hAnsi="Garamond"/>
                <w:b/>
                <w:spacing w:val="-1"/>
                <w:sz w:val="16"/>
                <w:szCs w:val="16"/>
              </w:rPr>
              <w:t xml:space="preserve"> </w:t>
            </w:r>
            <w:r w:rsidRPr="005C5CBD">
              <w:rPr>
                <w:rFonts w:ascii="Garamond" w:hAnsi="Garamond"/>
                <w:b/>
                <w:sz w:val="16"/>
                <w:szCs w:val="16"/>
              </w:rPr>
              <w:t>EXTERIOR</w:t>
            </w:r>
          </w:p>
        </w:tc>
        <w:tc>
          <w:tcPr>
            <w:tcW w:w="992" w:type="dxa"/>
            <w:vAlign w:val="center"/>
          </w:tcPr>
          <w:p w14:paraId="53864534" w14:textId="77777777" w:rsidR="00A71FFE" w:rsidRPr="005C5CBD" w:rsidRDefault="00A71FFE" w:rsidP="001B1D53">
            <w:pPr>
              <w:pStyle w:val="TableParagraph"/>
              <w:ind w:right="263"/>
              <w:jc w:val="right"/>
              <w:rPr>
                <w:rFonts w:ascii="Garamond" w:hAnsi="Garamond"/>
                <w:sz w:val="16"/>
                <w:szCs w:val="16"/>
              </w:rPr>
            </w:pPr>
            <w:r w:rsidRPr="005C5CBD">
              <w:rPr>
                <w:rFonts w:ascii="Garamond" w:hAnsi="Garamond"/>
                <w:sz w:val="16"/>
                <w:szCs w:val="16"/>
              </w:rPr>
              <w:t>1</w:t>
            </w:r>
          </w:p>
        </w:tc>
        <w:tc>
          <w:tcPr>
            <w:tcW w:w="1418" w:type="dxa"/>
            <w:vAlign w:val="center"/>
          </w:tcPr>
          <w:p w14:paraId="6119C77C"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Secretário</w:t>
            </w:r>
          </w:p>
        </w:tc>
        <w:tc>
          <w:tcPr>
            <w:tcW w:w="1275" w:type="dxa"/>
            <w:vAlign w:val="center"/>
          </w:tcPr>
          <w:p w14:paraId="3506D9F5"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101.6</w:t>
            </w:r>
          </w:p>
        </w:tc>
      </w:tr>
      <w:tr w:rsidR="00A71FFE" w:rsidRPr="005C5CBD" w14:paraId="0E26C165" w14:textId="77777777" w:rsidTr="00603DBA">
        <w:trPr>
          <w:trHeight w:val="552"/>
          <w:jc w:val="center"/>
        </w:trPr>
        <w:tc>
          <w:tcPr>
            <w:tcW w:w="4688" w:type="dxa"/>
            <w:vAlign w:val="center"/>
          </w:tcPr>
          <w:p w14:paraId="6C6F204E"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Gabinete</w:t>
            </w:r>
          </w:p>
        </w:tc>
        <w:tc>
          <w:tcPr>
            <w:tcW w:w="992" w:type="dxa"/>
            <w:vAlign w:val="center"/>
          </w:tcPr>
          <w:p w14:paraId="7E374BD0" w14:textId="77777777" w:rsidR="00A71FFE" w:rsidRPr="005C5CBD" w:rsidRDefault="00A71FFE" w:rsidP="001B1D53">
            <w:pPr>
              <w:pStyle w:val="TableParagraph"/>
              <w:ind w:right="263"/>
              <w:jc w:val="right"/>
              <w:rPr>
                <w:rFonts w:ascii="Garamond" w:hAnsi="Garamond"/>
                <w:sz w:val="16"/>
                <w:szCs w:val="16"/>
              </w:rPr>
            </w:pPr>
            <w:r w:rsidRPr="005C5CBD">
              <w:rPr>
                <w:rFonts w:ascii="Garamond" w:hAnsi="Garamond"/>
                <w:sz w:val="16"/>
                <w:szCs w:val="16"/>
              </w:rPr>
              <w:t>1</w:t>
            </w:r>
          </w:p>
        </w:tc>
        <w:tc>
          <w:tcPr>
            <w:tcW w:w="1418" w:type="dxa"/>
            <w:vAlign w:val="center"/>
          </w:tcPr>
          <w:p w14:paraId="2A6477F4"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Chefe</w:t>
            </w:r>
          </w:p>
        </w:tc>
        <w:tc>
          <w:tcPr>
            <w:tcW w:w="1275" w:type="dxa"/>
            <w:vAlign w:val="center"/>
          </w:tcPr>
          <w:p w14:paraId="6B5A9C30"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101.4</w:t>
            </w:r>
          </w:p>
        </w:tc>
      </w:tr>
      <w:tr w:rsidR="00A71FFE" w:rsidRPr="005C5CBD" w14:paraId="16C990A0" w14:textId="77777777" w:rsidTr="00603DBA">
        <w:trPr>
          <w:trHeight w:val="555"/>
          <w:jc w:val="center"/>
        </w:trPr>
        <w:tc>
          <w:tcPr>
            <w:tcW w:w="4688" w:type="dxa"/>
            <w:vAlign w:val="center"/>
          </w:tcPr>
          <w:p w14:paraId="7FD5FF27" w14:textId="77777777" w:rsidR="00A71FFE" w:rsidRPr="005C5CBD" w:rsidRDefault="00A71FFE" w:rsidP="001B1D53">
            <w:pPr>
              <w:pStyle w:val="TableParagraph"/>
              <w:rPr>
                <w:rFonts w:ascii="Garamond" w:hAnsi="Garamond"/>
                <w:sz w:val="16"/>
                <w:szCs w:val="16"/>
              </w:rPr>
            </w:pPr>
          </w:p>
        </w:tc>
        <w:tc>
          <w:tcPr>
            <w:tcW w:w="992" w:type="dxa"/>
            <w:vAlign w:val="center"/>
          </w:tcPr>
          <w:p w14:paraId="4FAA759A" w14:textId="77777777" w:rsidR="00A71FFE" w:rsidRPr="005C5CBD" w:rsidRDefault="00A71FFE" w:rsidP="001B1D53">
            <w:pPr>
              <w:pStyle w:val="TableParagraph"/>
              <w:ind w:right="263"/>
              <w:jc w:val="right"/>
              <w:rPr>
                <w:rFonts w:ascii="Garamond" w:hAnsi="Garamond"/>
                <w:sz w:val="16"/>
                <w:szCs w:val="16"/>
              </w:rPr>
            </w:pPr>
            <w:r w:rsidRPr="005C5CBD">
              <w:rPr>
                <w:rFonts w:ascii="Garamond" w:hAnsi="Garamond"/>
                <w:sz w:val="16"/>
                <w:szCs w:val="16"/>
              </w:rPr>
              <w:t>2</w:t>
            </w:r>
          </w:p>
        </w:tc>
        <w:tc>
          <w:tcPr>
            <w:tcW w:w="1418" w:type="dxa"/>
            <w:vAlign w:val="center"/>
          </w:tcPr>
          <w:p w14:paraId="596E674A"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Assistente</w:t>
            </w:r>
          </w:p>
        </w:tc>
        <w:tc>
          <w:tcPr>
            <w:tcW w:w="1275" w:type="dxa"/>
            <w:vAlign w:val="center"/>
          </w:tcPr>
          <w:p w14:paraId="7B7D739F"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102.2</w:t>
            </w:r>
          </w:p>
        </w:tc>
      </w:tr>
      <w:tr w:rsidR="00A71FFE" w:rsidRPr="005C5CBD" w14:paraId="0E3095F5" w14:textId="77777777" w:rsidTr="00603DBA">
        <w:trPr>
          <w:trHeight w:val="555"/>
          <w:jc w:val="center"/>
        </w:trPr>
        <w:tc>
          <w:tcPr>
            <w:tcW w:w="4688" w:type="dxa"/>
            <w:vAlign w:val="center"/>
          </w:tcPr>
          <w:p w14:paraId="4DBE1953"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Coordenação</w:t>
            </w:r>
          </w:p>
        </w:tc>
        <w:tc>
          <w:tcPr>
            <w:tcW w:w="992" w:type="dxa"/>
            <w:vAlign w:val="center"/>
          </w:tcPr>
          <w:p w14:paraId="10DE5EC5" w14:textId="77777777" w:rsidR="00A71FFE" w:rsidRPr="005C5CBD" w:rsidRDefault="00A71FFE" w:rsidP="001B1D53">
            <w:pPr>
              <w:pStyle w:val="TableParagraph"/>
              <w:ind w:right="263"/>
              <w:jc w:val="right"/>
              <w:rPr>
                <w:rFonts w:ascii="Garamond" w:hAnsi="Garamond"/>
                <w:sz w:val="16"/>
                <w:szCs w:val="16"/>
              </w:rPr>
            </w:pPr>
            <w:r w:rsidRPr="005C5CBD">
              <w:rPr>
                <w:rFonts w:ascii="Garamond" w:hAnsi="Garamond"/>
                <w:sz w:val="16"/>
                <w:szCs w:val="16"/>
              </w:rPr>
              <w:t>1</w:t>
            </w:r>
          </w:p>
        </w:tc>
        <w:tc>
          <w:tcPr>
            <w:tcW w:w="1418" w:type="dxa"/>
            <w:vAlign w:val="center"/>
          </w:tcPr>
          <w:p w14:paraId="3DE66855"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Coordenador</w:t>
            </w:r>
          </w:p>
        </w:tc>
        <w:tc>
          <w:tcPr>
            <w:tcW w:w="1275" w:type="dxa"/>
            <w:vAlign w:val="center"/>
          </w:tcPr>
          <w:p w14:paraId="4B3D6AA2"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101.3</w:t>
            </w:r>
          </w:p>
        </w:tc>
      </w:tr>
      <w:tr w:rsidR="00A71FFE" w:rsidRPr="005C5CBD" w14:paraId="178B6A8A" w14:textId="77777777" w:rsidTr="00603DBA">
        <w:trPr>
          <w:trHeight w:val="369"/>
          <w:jc w:val="center"/>
        </w:trPr>
        <w:tc>
          <w:tcPr>
            <w:tcW w:w="4688" w:type="dxa"/>
            <w:vAlign w:val="center"/>
          </w:tcPr>
          <w:p w14:paraId="78F587F4"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Divisão</w:t>
            </w:r>
          </w:p>
        </w:tc>
        <w:tc>
          <w:tcPr>
            <w:tcW w:w="992" w:type="dxa"/>
            <w:vAlign w:val="center"/>
          </w:tcPr>
          <w:p w14:paraId="7E6DA56E" w14:textId="77777777" w:rsidR="00A71FFE" w:rsidRPr="005C5CBD" w:rsidRDefault="00A71FFE" w:rsidP="001B1D53">
            <w:pPr>
              <w:pStyle w:val="TableParagraph"/>
              <w:ind w:right="263"/>
              <w:jc w:val="right"/>
              <w:rPr>
                <w:rFonts w:ascii="Garamond" w:hAnsi="Garamond"/>
                <w:sz w:val="16"/>
                <w:szCs w:val="16"/>
              </w:rPr>
            </w:pPr>
            <w:r w:rsidRPr="005C5CBD">
              <w:rPr>
                <w:rFonts w:ascii="Garamond" w:hAnsi="Garamond"/>
                <w:sz w:val="16"/>
                <w:szCs w:val="16"/>
              </w:rPr>
              <w:t>1</w:t>
            </w:r>
          </w:p>
        </w:tc>
        <w:tc>
          <w:tcPr>
            <w:tcW w:w="1418" w:type="dxa"/>
            <w:vAlign w:val="center"/>
          </w:tcPr>
          <w:p w14:paraId="4F706EA9"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Chefe</w:t>
            </w:r>
          </w:p>
        </w:tc>
        <w:tc>
          <w:tcPr>
            <w:tcW w:w="1275" w:type="dxa"/>
            <w:vAlign w:val="center"/>
          </w:tcPr>
          <w:p w14:paraId="2752336B"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101.2</w:t>
            </w:r>
          </w:p>
        </w:tc>
      </w:tr>
      <w:tr w:rsidR="00A71FFE" w:rsidRPr="005C5CBD" w14:paraId="37275A78" w14:textId="77777777" w:rsidTr="00603DBA">
        <w:trPr>
          <w:trHeight w:val="369"/>
          <w:jc w:val="center"/>
        </w:trPr>
        <w:tc>
          <w:tcPr>
            <w:tcW w:w="4688" w:type="dxa"/>
            <w:vAlign w:val="center"/>
          </w:tcPr>
          <w:p w14:paraId="5A82DB5D"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Serviço</w:t>
            </w:r>
          </w:p>
        </w:tc>
        <w:tc>
          <w:tcPr>
            <w:tcW w:w="992" w:type="dxa"/>
            <w:vAlign w:val="center"/>
          </w:tcPr>
          <w:p w14:paraId="69267791" w14:textId="77777777" w:rsidR="00A71FFE" w:rsidRPr="005C5CBD" w:rsidRDefault="00A71FFE" w:rsidP="001B1D53">
            <w:pPr>
              <w:pStyle w:val="TableParagraph"/>
              <w:ind w:right="263"/>
              <w:jc w:val="right"/>
              <w:rPr>
                <w:rFonts w:ascii="Garamond" w:hAnsi="Garamond"/>
                <w:sz w:val="16"/>
                <w:szCs w:val="16"/>
              </w:rPr>
            </w:pPr>
            <w:r w:rsidRPr="005C5CBD">
              <w:rPr>
                <w:rFonts w:ascii="Garamond" w:hAnsi="Garamond"/>
                <w:sz w:val="16"/>
                <w:szCs w:val="16"/>
              </w:rPr>
              <w:t>2</w:t>
            </w:r>
          </w:p>
        </w:tc>
        <w:tc>
          <w:tcPr>
            <w:tcW w:w="1418" w:type="dxa"/>
            <w:vAlign w:val="center"/>
          </w:tcPr>
          <w:p w14:paraId="03C5EE64"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Chefe</w:t>
            </w:r>
          </w:p>
        </w:tc>
        <w:tc>
          <w:tcPr>
            <w:tcW w:w="1275" w:type="dxa"/>
            <w:vAlign w:val="center"/>
          </w:tcPr>
          <w:p w14:paraId="5B571757"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101.1</w:t>
            </w:r>
          </w:p>
        </w:tc>
      </w:tr>
      <w:tr w:rsidR="00A71FFE" w:rsidRPr="005C5CBD" w14:paraId="55B4A571" w14:textId="77777777" w:rsidTr="00603DBA">
        <w:trPr>
          <w:trHeight w:val="369"/>
          <w:jc w:val="center"/>
        </w:trPr>
        <w:tc>
          <w:tcPr>
            <w:tcW w:w="4688" w:type="dxa"/>
            <w:vAlign w:val="center"/>
          </w:tcPr>
          <w:p w14:paraId="7BC67CB7" w14:textId="77777777" w:rsidR="00A71FFE" w:rsidRPr="005C5CBD" w:rsidRDefault="00A71FFE" w:rsidP="001B1D53">
            <w:pPr>
              <w:pStyle w:val="TableParagraph"/>
              <w:rPr>
                <w:rFonts w:ascii="Garamond" w:hAnsi="Garamond"/>
                <w:sz w:val="16"/>
                <w:szCs w:val="16"/>
              </w:rPr>
            </w:pPr>
          </w:p>
        </w:tc>
        <w:tc>
          <w:tcPr>
            <w:tcW w:w="992" w:type="dxa"/>
            <w:vAlign w:val="center"/>
          </w:tcPr>
          <w:p w14:paraId="08AB717E" w14:textId="77777777" w:rsidR="00A71FFE" w:rsidRPr="005C5CBD" w:rsidRDefault="00A71FFE" w:rsidP="001B1D53">
            <w:pPr>
              <w:pStyle w:val="TableParagraph"/>
              <w:ind w:right="203"/>
              <w:jc w:val="right"/>
              <w:rPr>
                <w:rFonts w:ascii="Garamond" w:hAnsi="Garamond"/>
                <w:sz w:val="16"/>
                <w:szCs w:val="16"/>
              </w:rPr>
            </w:pPr>
            <w:r w:rsidRPr="005C5CBD">
              <w:rPr>
                <w:rFonts w:ascii="Garamond" w:hAnsi="Garamond"/>
                <w:sz w:val="16"/>
                <w:szCs w:val="16"/>
              </w:rPr>
              <w:t>10</w:t>
            </w:r>
          </w:p>
        </w:tc>
        <w:tc>
          <w:tcPr>
            <w:tcW w:w="1418" w:type="dxa"/>
            <w:vAlign w:val="center"/>
          </w:tcPr>
          <w:p w14:paraId="342DAFBD" w14:textId="77777777" w:rsidR="00A71FFE" w:rsidRPr="005C5CBD" w:rsidRDefault="00A71FFE" w:rsidP="001B1D53">
            <w:pPr>
              <w:pStyle w:val="TableParagraph"/>
              <w:rPr>
                <w:rFonts w:ascii="Garamond" w:hAnsi="Garamond"/>
                <w:sz w:val="16"/>
                <w:szCs w:val="16"/>
              </w:rPr>
            </w:pPr>
          </w:p>
        </w:tc>
        <w:tc>
          <w:tcPr>
            <w:tcW w:w="1275" w:type="dxa"/>
            <w:vAlign w:val="center"/>
          </w:tcPr>
          <w:p w14:paraId="57BBABA4" w14:textId="77777777" w:rsidR="00A71FFE" w:rsidRPr="005C5CBD" w:rsidRDefault="00A71FFE" w:rsidP="001B1D53">
            <w:pPr>
              <w:pStyle w:val="TableParagraph"/>
              <w:ind w:left="31"/>
              <w:rPr>
                <w:rFonts w:ascii="Garamond" w:hAnsi="Garamond"/>
                <w:sz w:val="16"/>
                <w:szCs w:val="16"/>
              </w:rPr>
            </w:pPr>
            <w:r w:rsidRPr="005C5CBD">
              <w:rPr>
                <w:rFonts w:ascii="Garamond" w:hAnsi="Garamond"/>
                <w:sz w:val="16"/>
                <w:szCs w:val="16"/>
              </w:rPr>
              <w:t>FG-1</w:t>
            </w:r>
          </w:p>
        </w:tc>
      </w:tr>
      <w:tr w:rsidR="00A71FFE" w:rsidRPr="005C5CBD" w14:paraId="5DC5D2D0" w14:textId="77777777" w:rsidTr="00603DBA">
        <w:trPr>
          <w:trHeight w:val="369"/>
          <w:jc w:val="center"/>
        </w:trPr>
        <w:tc>
          <w:tcPr>
            <w:tcW w:w="4688" w:type="dxa"/>
            <w:vAlign w:val="center"/>
          </w:tcPr>
          <w:p w14:paraId="0E3BCB5A" w14:textId="77777777" w:rsidR="00A71FFE" w:rsidRPr="005C5CBD" w:rsidRDefault="00A71FFE" w:rsidP="001B1D53">
            <w:pPr>
              <w:pStyle w:val="TableParagraph"/>
              <w:rPr>
                <w:rFonts w:ascii="Garamond" w:hAnsi="Garamond"/>
                <w:sz w:val="16"/>
                <w:szCs w:val="16"/>
              </w:rPr>
            </w:pPr>
          </w:p>
        </w:tc>
        <w:tc>
          <w:tcPr>
            <w:tcW w:w="992" w:type="dxa"/>
            <w:vAlign w:val="center"/>
          </w:tcPr>
          <w:p w14:paraId="26F4F35E" w14:textId="77777777" w:rsidR="00A71FFE" w:rsidRPr="005C5CBD" w:rsidRDefault="00A71FFE" w:rsidP="001B1D53">
            <w:pPr>
              <w:pStyle w:val="TableParagraph"/>
              <w:ind w:right="263"/>
              <w:jc w:val="right"/>
              <w:rPr>
                <w:rFonts w:ascii="Garamond" w:hAnsi="Garamond"/>
                <w:sz w:val="16"/>
                <w:szCs w:val="16"/>
              </w:rPr>
            </w:pPr>
            <w:r w:rsidRPr="005C5CBD">
              <w:rPr>
                <w:rFonts w:ascii="Garamond" w:hAnsi="Garamond"/>
                <w:sz w:val="16"/>
                <w:szCs w:val="16"/>
              </w:rPr>
              <w:t>7</w:t>
            </w:r>
          </w:p>
        </w:tc>
        <w:tc>
          <w:tcPr>
            <w:tcW w:w="1418" w:type="dxa"/>
            <w:vAlign w:val="center"/>
          </w:tcPr>
          <w:p w14:paraId="1E29356B" w14:textId="77777777" w:rsidR="00A71FFE" w:rsidRPr="005C5CBD" w:rsidRDefault="00A71FFE" w:rsidP="001B1D53">
            <w:pPr>
              <w:pStyle w:val="TableParagraph"/>
              <w:rPr>
                <w:rFonts w:ascii="Garamond" w:hAnsi="Garamond"/>
                <w:sz w:val="16"/>
                <w:szCs w:val="16"/>
              </w:rPr>
            </w:pPr>
          </w:p>
        </w:tc>
        <w:tc>
          <w:tcPr>
            <w:tcW w:w="1275" w:type="dxa"/>
            <w:vAlign w:val="center"/>
          </w:tcPr>
          <w:p w14:paraId="2DF2FC4D" w14:textId="77777777" w:rsidR="00A71FFE" w:rsidRPr="005C5CBD" w:rsidRDefault="00A71FFE" w:rsidP="001B1D53">
            <w:pPr>
              <w:pStyle w:val="TableParagraph"/>
              <w:ind w:left="31"/>
              <w:rPr>
                <w:rFonts w:ascii="Garamond" w:hAnsi="Garamond"/>
                <w:sz w:val="16"/>
                <w:szCs w:val="16"/>
              </w:rPr>
            </w:pPr>
            <w:r w:rsidRPr="005C5CBD">
              <w:rPr>
                <w:rFonts w:ascii="Garamond" w:hAnsi="Garamond"/>
                <w:sz w:val="16"/>
                <w:szCs w:val="16"/>
              </w:rPr>
              <w:t>FG-2</w:t>
            </w:r>
          </w:p>
        </w:tc>
      </w:tr>
      <w:tr w:rsidR="00A71FFE" w:rsidRPr="005C5CBD" w14:paraId="668093C6" w14:textId="77777777" w:rsidTr="00603DBA">
        <w:trPr>
          <w:trHeight w:val="555"/>
          <w:jc w:val="center"/>
        </w:trPr>
        <w:tc>
          <w:tcPr>
            <w:tcW w:w="4688" w:type="dxa"/>
            <w:vAlign w:val="center"/>
          </w:tcPr>
          <w:p w14:paraId="0935624A" w14:textId="77777777" w:rsidR="00A71FFE" w:rsidRPr="005C5CBD" w:rsidRDefault="00A71FFE" w:rsidP="001B1D53">
            <w:pPr>
              <w:pStyle w:val="TableParagraph"/>
              <w:rPr>
                <w:rFonts w:ascii="Garamond" w:hAnsi="Garamond"/>
                <w:sz w:val="16"/>
                <w:szCs w:val="16"/>
              </w:rPr>
            </w:pPr>
          </w:p>
        </w:tc>
        <w:tc>
          <w:tcPr>
            <w:tcW w:w="992" w:type="dxa"/>
            <w:vAlign w:val="center"/>
          </w:tcPr>
          <w:p w14:paraId="60085380" w14:textId="77777777" w:rsidR="00A71FFE" w:rsidRPr="005C5CBD" w:rsidRDefault="00A71FFE" w:rsidP="001B1D53">
            <w:pPr>
              <w:pStyle w:val="TableParagraph"/>
              <w:ind w:right="263"/>
              <w:jc w:val="right"/>
              <w:rPr>
                <w:rFonts w:ascii="Garamond" w:hAnsi="Garamond"/>
                <w:sz w:val="16"/>
                <w:szCs w:val="16"/>
              </w:rPr>
            </w:pPr>
            <w:r w:rsidRPr="005C5CBD">
              <w:rPr>
                <w:rFonts w:ascii="Garamond" w:hAnsi="Garamond"/>
                <w:sz w:val="16"/>
                <w:szCs w:val="16"/>
              </w:rPr>
              <w:t>8</w:t>
            </w:r>
          </w:p>
        </w:tc>
        <w:tc>
          <w:tcPr>
            <w:tcW w:w="1418" w:type="dxa"/>
            <w:vAlign w:val="center"/>
          </w:tcPr>
          <w:p w14:paraId="3A782C31" w14:textId="77777777" w:rsidR="00A71FFE" w:rsidRPr="005C5CBD" w:rsidRDefault="00A71FFE" w:rsidP="001B1D53">
            <w:pPr>
              <w:pStyle w:val="TableParagraph"/>
              <w:rPr>
                <w:rFonts w:ascii="Garamond" w:hAnsi="Garamond"/>
                <w:sz w:val="16"/>
                <w:szCs w:val="16"/>
              </w:rPr>
            </w:pPr>
          </w:p>
        </w:tc>
        <w:tc>
          <w:tcPr>
            <w:tcW w:w="1275" w:type="dxa"/>
            <w:vAlign w:val="center"/>
          </w:tcPr>
          <w:p w14:paraId="2F4433B6" w14:textId="77777777" w:rsidR="00A71FFE" w:rsidRPr="005C5CBD" w:rsidRDefault="00A71FFE" w:rsidP="001B1D53">
            <w:pPr>
              <w:pStyle w:val="TableParagraph"/>
              <w:ind w:left="31"/>
              <w:rPr>
                <w:rFonts w:ascii="Garamond" w:hAnsi="Garamond"/>
                <w:sz w:val="16"/>
                <w:szCs w:val="16"/>
              </w:rPr>
            </w:pPr>
            <w:r w:rsidRPr="005C5CBD">
              <w:rPr>
                <w:rFonts w:ascii="Garamond" w:hAnsi="Garamond"/>
                <w:sz w:val="16"/>
                <w:szCs w:val="16"/>
              </w:rPr>
              <w:t>FG-3</w:t>
            </w:r>
          </w:p>
        </w:tc>
      </w:tr>
      <w:tr w:rsidR="00A71FFE" w:rsidRPr="005C5CBD" w14:paraId="749BF3A9" w14:textId="77777777" w:rsidTr="00603DBA">
        <w:trPr>
          <w:trHeight w:val="555"/>
          <w:jc w:val="center"/>
        </w:trPr>
        <w:tc>
          <w:tcPr>
            <w:tcW w:w="4688" w:type="dxa"/>
            <w:vAlign w:val="center"/>
          </w:tcPr>
          <w:p w14:paraId="6DB1F7C8" w14:textId="77777777" w:rsidR="00A71FFE" w:rsidRPr="005C5CBD" w:rsidRDefault="00A71FFE" w:rsidP="001B1D53">
            <w:pPr>
              <w:pStyle w:val="TableParagraph"/>
              <w:rPr>
                <w:rFonts w:ascii="Garamond" w:hAnsi="Garamond"/>
                <w:sz w:val="16"/>
                <w:szCs w:val="16"/>
                <w:lang w:val="pt-BR"/>
              </w:rPr>
            </w:pPr>
            <w:r w:rsidRPr="005C5CBD">
              <w:rPr>
                <w:rFonts w:ascii="Garamond" w:hAnsi="Garamond"/>
                <w:sz w:val="16"/>
                <w:szCs w:val="16"/>
                <w:lang w:val="pt-BR"/>
              </w:rPr>
              <w:t>DEPARTAMENTO</w:t>
            </w:r>
            <w:r w:rsidRPr="005C5CBD">
              <w:rPr>
                <w:rFonts w:ascii="Garamond" w:hAnsi="Garamond"/>
                <w:spacing w:val="-2"/>
                <w:sz w:val="16"/>
                <w:szCs w:val="16"/>
                <w:lang w:val="pt-BR"/>
              </w:rPr>
              <w:t xml:space="preserve"> </w:t>
            </w:r>
            <w:r w:rsidRPr="005C5CBD">
              <w:rPr>
                <w:rFonts w:ascii="Garamond" w:hAnsi="Garamond"/>
                <w:sz w:val="16"/>
                <w:szCs w:val="16"/>
                <w:lang w:val="pt-BR"/>
              </w:rPr>
              <w:t>DE</w:t>
            </w:r>
            <w:r w:rsidRPr="005C5CBD">
              <w:rPr>
                <w:rFonts w:ascii="Garamond" w:hAnsi="Garamond"/>
                <w:spacing w:val="-1"/>
                <w:sz w:val="16"/>
                <w:szCs w:val="16"/>
                <w:lang w:val="pt-BR"/>
              </w:rPr>
              <w:t xml:space="preserve"> </w:t>
            </w:r>
            <w:r w:rsidRPr="005C5CBD">
              <w:rPr>
                <w:rFonts w:ascii="Garamond" w:hAnsi="Garamond"/>
                <w:sz w:val="16"/>
                <w:szCs w:val="16"/>
                <w:lang w:val="pt-BR"/>
              </w:rPr>
              <w:t>OPERAÇÕES</w:t>
            </w:r>
            <w:r w:rsidRPr="005C5CBD">
              <w:rPr>
                <w:rFonts w:ascii="Garamond" w:hAnsi="Garamond"/>
                <w:spacing w:val="-1"/>
                <w:sz w:val="16"/>
                <w:szCs w:val="16"/>
                <w:lang w:val="pt-BR"/>
              </w:rPr>
              <w:t xml:space="preserve"> </w:t>
            </w:r>
            <w:r w:rsidRPr="005C5CBD">
              <w:rPr>
                <w:rFonts w:ascii="Garamond" w:hAnsi="Garamond"/>
                <w:sz w:val="16"/>
                <w:szCs w:val="16"/>
                <w:lang w:val="pt-BR"/>
              </w:rPr>
              <w:t>DE</w:t>
            </w:r>
            <w:r w:rsidRPr="005C5CBD">
              <w:rPr>
                <w:rFonts w:ascii="Garamond" w:hAnsi="Garamond"/>
                <w:spacing w:val="-2"/>
                <w:sz w:val="16"/>
                <w:szCs w:val="16"/>
                <w:lang w:val="pt-BR"/>
              </w:rPr>
              <w:t xml:space="preserve"> </w:t>
            </w:r>
            <w:r w:rsidRPr="005C5CBD">
              <w:rPr>
                <w:rFonts w:ascii="Garamond" w:hAnsi="Garamond"/>
                <w:sz w:val="16"/>
                <w:szCs w:val="16"/>
                <w:lang w:val="pt-BR"/>
              </w:rPr>
              <w:t>COMÉRCIO</w:t>
            </w:r>
            <w:r w:rsidRPr="005C5CBD">
              <w:rPr>
                <w:rFonts w:ascii="Garamond" w:hAnsi="Garamond"/>
                <w:spacing w:val="-1"/>
                <w:sz w:val="16"/>
                <w:szCs w:val="16"/>
                <w:lang w:val="pt-BR"/>
              </w:rPr>
              <w:t xml:space="preserve"> </w:t>
            </w:r>
            <w:r w:rsidRPr="005C5CBD">
              <w:rPr>
                <w:rFonts w:ascii="Garamond" w:hAnsi="Garamond"/>
                <w:sz w:val="16"/>
                <w:szCs w:val="16"/>
                <w:lang w:val="pt-BR"/>
              </w:rPr>
              <w:t>EXTERIOR</w:t>
            </w:r>
          </w:p>
        </w:tc>
        <w:tc>
          <w:tcPr>
            <w:tcW w:w="992" w:type="dxa"/>
            <w:vAlign w:val="center"/>
          </w:tcPr>
          <w:p w14:paraId="5F7BA03A" w14:textId="77777777" w:rsidR="00A71FFE" w:rsidRPr="005C5CBD" w:rsidRDefault="00A71FFE" w:rsidP="001B1D53">
            <w:pPr>
              <w:pStyle w:val="TableParagraph"/>
              <w:ind w:right="263"/>
              <w:jc w:val="right"/>
              <w:rPr>
                <w:rFonts w:ascii="Garamond" w:hAnsi="Garamond"/>
                <w:sz w:val="16"/>
                <w:szCs w:val="16"/>
              </w:rPr>
            </w:pPr>
            <w:r w:rsidRPr="005C5CBD">
              <w:rPr>
                <w:rFonts w:ascii="Garamond" w:hAnsi="Garamond"/>
                <w:sz w:val="16"/>
                <w:szCs w:val="16"/>
              </w:rPr>
              <w:t>1</w:t>
            </w:r>
          </w:p>
        </w:tc>
        <w:tc>
          <w:tcPr>
            <w:tcW w:w="1418" w:type="dxa"/>
            <w:vAlign w:val="center"/>
          </w:tcPr>
          <w:p w14:paraId="24BEB28E"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Diretor</w:t>
            </w:r>
          </w:p>
        </w:tc>
        <w:tc>
          <w:tcPr>
            <w:tcW w:w="1275" w:type="dxa"/>
            <w:vAlign w:val="center"/>
          </w:tcPr>
          <w:p w14:paraId="42D4B120"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101.5</w:t>
            </w:r>
          </w:p>
        </w:tc>
      </w:tr>
      <w:tr w:rsidR="00A71FFE" w:rsidRPr="005C5CBD" w14:paraId="68A9A014" w14:textId="77777777" w:rsidTr="00603DBA">
        <w:trPr>
          <w:trHeight w:val="369"/>
          <w:jc w:val="center"/>
        </w:trPr>
        <w:tc>
          <w:tcPr>
            <w:tcW w:w="4688" w:type="dxa"/>
            <w:vAlign w:val="center"/>
          </w:tcPr>
          <w:p w14:paraId="1DDF8ED6"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Coordenação</w:t>
            </w:r>
          </w:p>
        </w:tc>
        <w:tc>
          <w:tcPr>
            <w:tcW w:w="992" w:type="dxa"/>
            <w:vAlign w:val="center"/>
          </w:tcPr>
          <w:p w14:paraId="247765B6" w14:textId="77777777" w:rsidR="00A71FFE" w:rsidRPr="005C5CBD" w:rsidRDefault="00A71FFE" w:rsidP="001B1D53">
            <w:pPr>
              <w:pStyle w:val="TableParagraph"/>
              <w:ind w:right="263"/>
              <w:jc w:val="right"/>
              <w:rPr>
                <w:rFonts w:ascii="Garamond" w:hAnsi="Garamond"/>
                <w:sz w:val="16"/>
                <w:szCs w:val="16"/>
              </w:rPr>
            </w:pPr>
            <w:r w:rsidRPr="005C5CBD">
              <w:rPr>
                <w:rFonts w:ascii="Garamond" w:hAnsi="Garamond"/>
                <w:sz w:val="16"/>
                <w:szCs w:val="16"/>
              </w:rPr>
              <w:t>1</w:t>
            </w:r>
          </w:p>
        </w:tc>
        <w:tc>
          <w:tcPr>
            <w:tcW w:w="1418" w:type="dxa"/>
            <w:vAlign w:val="center"/>
          </w:tcPr>
          <w:p w14:paraId="1385B2EA"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Coordenador</w:t>
            </w:r>
          </w:p>
        </w:tc>
        <w:tc>
          <w:tcPr>
            <w:tcW w:w="1275" w:type="dxa"/>
            <w:vAlign w:val="center"/>
          </w:tcPr>
          <w:p w14:paraId="0B2D6C8A"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101.3</w:t>
            </w:r>
          </w:p>
        </w:tc>
      </w:tr>
      <w:tr w:rsidR="00A71FFE" w:rsidRPr="005C5CBD" w14:paraId="63580E56" w14:textId="77777777" w:rsidTr="00603DBA">
        <w:trPr>
          <w:trHeight w:val="554"/>
          <w:jc w:val="center"/>
        </w:trPr>
        <w:tc>
          <w:tcPr>
            <w:tcW w:w="4688" w:type="dxa"/>
            <w:vAlign w:val="center"/>
          </w:tcPr>
          <w:p w14:paraId="4E6F1713"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Divisão</w:t>
            </w:r>
          </w:p>
        </w:tc>
        <w:tc>
          <w:tcPr>
            <w:tcW w:w="992" w:type="dxa"/>
            <w:vAlign w:val="center"/>
          </w:tcPr>
          <w:p w14:paraId="16D51EC1" w14:textId="77777777" w:rsidR="00A71FFE" w:rsidRPr="005C5CBD" w:rsidRDefault="00A71FFE" w:rsidP="001B1D53">
            <w:pPr>
              <w:pStyle w:val="TableParagraph"/>
              <w:ind w:right="263"/>
              <w:jc w:val="right"/>
              <w:rPr>
                <w:rFonts w:ascii="Garamond" w:hAnsi="Garamond"/>
                <w:sz w:val="16"/>
                <w:szCs w:val="16"/>
              </w:rPr>
            </w:pPr>
            <w:r w:rsidRPr="005C5CBD">
              <w:rPr>
                <w:rFonts w:ascii="Garamond" w:hAnsi="Garamond"/>
                <w:sz w:val="16"/>
                <w:szCs w:val="16"/>
              </w:rPr>
              <w:t>1</w:t>
            </w:r>
          </w:p>
        </w:tc>
        <w:tc>
          <w:tcPr>
            <w:tcW w:w="1418" w:type="dxa"/>
            <w:vAlign w:val="center"/>
          </w:tcPr>
          <w:p w14:paraId="09098658"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Chefe</w:t>
            </w:r>
          </w:p>
        </w:tc>
        <w:tc>
          <w:tcPr>
            <w:tcW w:w="1275" w:type="dxa"/>
            <w:vAlign w:val="center"/>
          </w:tcPr>
          <w:p w14:paraId="4D73823C"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101.2</w:t>
            </w:r>
          </w:p>
        </w:tc>
      </w:tr>
      <w:tr w:rsidR="00A71FFE" w:rsidRPr="005C5CBD" w14:paraId="710E7D05" w14:textId="77777777" w:rsidTr="00603DBA">
        <w:trPr>
          <w:trHeight w:val="555"/>
          <w:jc w:val="center"/>
        </w:trPr>
        <w:tc>
          <w:tcPr>
            <w:tcW w:w="4688" w:type="dxa"/>
            <w:vAlign w:val="center"/>
          </w:tcPr>
          <w:p w14:paraId="442AF194"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Coordenação-Geral</w:t>
            </w:r>
            <w:r w:rsidRPr="005C5CBD">
              <w:rPr>
                <w:rFonts w:ascii="Garamond" w:hAnsi="Garamond"/>
                <w:spacing w:val="-3"/>
                <w:sz w:val="16"/>
                <w:szCs w:val="16"/>
              </w:rPr>
              <w:t xml:space="preserve"> </w:t>
            </w:r>
            <w:r w:rsidRPr="005C5CBD">
              <w:rPr>
                <w:rFonts w:ascii="Garamond" w:hAnsi="Garamond"/>
                <w:sz w:val="16"/>
                <w:szCs w:val="16"/>
              </w:rPr>
              <w:t>de</w:t>
            </w:r>
            <w:r w:rsidRPr="005C5CBD">
              <w:rPr>
                <w:rFonts w:ascii="Garamond" w:hAnsi="Garamond"/>
                <w:spacing w:val="1"/>
                <w:sz w:val="16"/>
                <w:szCs w:val="16"/>
              </w:rPr>
              <w:t xml:space="preserve"> </w:t>
            </w:r>
            <w:r w:rsidRPr="005C5CBD">
              <w:rPr>
                <w:rFonts w:ascii="Garamond" w:hAnsi="Garamond"/>
                <w:sz w:val="16"/>
                <w:szCs w:val="16"/>
              </w:rPr>
              <w:t>Importação</w:t>
            </w:r>
          </w:p>
        </w:tc>
        <w:tc>
          <w:tcPr>
            <w:tcW w:w="992" w:type="dxa"/>
            <w:vAlign w:val="center"/>
          </w:tcPr>
          <w:p w14:paraId="3E8289AA" w14:textId="77777777" w:rsidR="00A71FFE" w:rsidRPr="005C5CBD" w:rsidRDefault="00A71FFE" w:rsidP="001B1D53">
            <w:pPr>
              <w:pStyle w:val="TableParagraph"/>
              <w:ind w:right="263"/>
              <w:jc w:val="right"/>
              <w:rPr>
                <w:rFonts w:ascii="Garamond" w:hAnsi="Garamond"/>
                <w:sz w:val="16"/>
                <w:szCs w:val="16"/>
              </w:rPr>
            </w:pPr>
            <w:r w:rsidRPr="005C5CBD">
              <w:rPr>
                <w:rFonts w:ascii="Garamond" w:hAnsi="Garamond"/>
                <w:sz w:val="16"/>
                <w:szCs w:val="16"/>
              </w:rPr>
              <w:t>1</w:t>
            </w:r>
          </w:p>
        </w:tc>
        <w:tc>
          <w:tcPr>
            <w:tcW w:w="1418" w:type="dxa"/>
            <w:vAlign w:val="center"/>
          </w:tcPr>
          <w:p w14:paraId="30E822DD"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Coordenador-Geral</w:t>
            </w:r>
          </w:p>
        </w:tc>
        <w:tc>
          <w:tcPr>
            <w:tcW w:w="1275" w:type="dxa"/>
            <w:vAlign w:val="center"/>
          </w:tcPr>
          <w:p w14:paraId="548E4589"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101.4</w:t>
            </w:r>
          </w:p>
        </w:tc>
      </w:tr>
      <w:tr w:rsidR="00A71FFE" w:rsidRPr="005C5CBD" w14:paraId="78C1439F" w14:textId="77777777" w:rsidTr="00603DBA">
        <w:trPr>
          <w:trHeight w:val="555"/>
          <w:jc w:val="center"/>
        </w:trPr>
        <w:tc>
          <w:tcPr>
            <w:tcW w:w="4688" w:type="dxa"/>
            <w:vAlign w:val="center"/>
          </w:tcPr>
          <w:p w14:paraId="53DF2A5E"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Coordenação</w:t>
            </w:r>
          </w:p>
        </w:tc>
        <w:tc>
          <w:tcPr>
            <w:tcW w:w="992" w:type="dxa"/>
            <w:vAlign w:val="center"/>
          </w:tcPr>
          <w:p w14:paraId="3369343D" w14:textId="77777777" w:rsidR="00A71FFE" w:rsidRPr="005C5CBD" w:rsidRDefault="00A71FFE" w:rsidP="001B1D53">
            <w:pPr>
              <w:pStyle w:val="TableParagraph"/>
              <w:ind w:right="263"/>
              <w:jc w:val="right"/>
              <w:rPr>
                <w:rFonts w:ascii="Garamond" w:hAnsi="Garamond"/>
                <w:sz w:val="16"/>
                <w:szCs w:val="16"/>
              </w:rPr>
            </w:pPr>
            <w:r w:rsidRPr="005C5CBD">
              <w:rPr>
                <w:rFonts w:ascii="Garamond" w:hAnsi="Garamond"/>
                <w:sz w:val="16"/>
                <w:szCs w:val="16"/>
              </w:rPr>
              <w:t>1</w:t>
            </w:r>
          </w:p>
        </w:tc>
        <w:tc>
          <w:tcPr>
            <w:tcW w:w="1418" w:type="dxa"/>
            <w:vAlign w:val="center"/>
          </w:tcPr>
          <w:p w14:paraId="6605C4B3"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Coordenador</w:t>
            </w:r>
          </w:p>
        </w:tc>
        <w:tc>
          <w:tcPr>
            <w:tcW w:w="1275" w:type="dxa"/>
            <w:vAlign w:val="center"/>
          </w:tcPr>
          <w:p w14:paraId="0657FE3E"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101.3</w:t>
            </w:r>
          </w:p>
        </w:tc>
      </w:tr>
      <w:tr w:rsidR="00A71FFE" w:rsidRPr="005C5CBD" w14:paraId="6784EAAC" w14:textId="77777777" w:rsidTr="00603DBA">
        <w:trPr>
          <w:trHeight w:val="554"/>
          <w:jc w:val="center"/>
        </w:trPr>
        <w:tc>
          <w:tcPr>
            <w:tcW w:w="4688" w:type="dxa"/>
            <w:vAlign w:val="center"/>
          </w:tcPr>
          <w:p w14:paraId="294C2652" w14:textId="77777777" w:rsidR="00A71FFE" w:rsidRPr="005C5CBD" w:rsidRDefault="00A71FFE" w:rsidP="001B1D53">
            <w:pPr>
              <w:pStyle w:val="TableParagraph"/>
              <w:rPr>
                <w:rFonts w:ascii="Garamond" w:hAnsi="Garamond"/>
                <w:b/>
                <w:sz w:val="16"/>
                <w:szCs w:val="16"/>
                <w:lang w:val="pt-BR"/>
              </w:rPr>
            </w:pPr>
            <w:r w:rsidRPr="005C5CBD">
              <w:rPr>
                <w:rFonts w:ascii="Garamond" w:hAnsi="Garamond"/>
                <w:sz w:val="16"/>
                <w:szCs w:val="16"/>
                <w:lang w:val="pt-BR"/>
              </w:rPr>
              <w:t>Coordenação-Geral</w:t>
            </w:r>
            <w:r w:rsidRPr="005C5CBD">
              <w:rPr>
                <w:rFonts w:ascii="Garamond" w:hAnsi="Garamond"/>
                <w:spacing w:val="-2"/>
                <w:sz w:val="16"/>
                <w:szCs w:val="16"/>
                <w:lang w:val="pt-BR"/>
              </w:rPr>
              <w:t xml:space="preserve"> </w:t>
            </w:r>
            <w:r w:rsidRPr="005C5CBD">
              <w:rPr>
                <w:rFonts w:ascii="Garamond" w:hAnsi="Garamond"/>
                <w:sz w:val="16"/>
                <w:szCs w:val="16"/>
                <w:lang w:val="pt-BR"/>
              </w:rPr>
              <w:t>de</w:t>
            </w:r>
            <w:r w:rsidRPr="005C5CBD">
              <w:rPr>
                <w:rFonts w:ascii="Garamond" w:hAnsi="Garamond"/>
                <w:spacing w:val="-2"/>
                <w:sz w:val="16"/>
                <w:szCs w:val="16"/>
                <w:lang w:val="pt-BR"/>
              </w:rPr>
              <w:t xml:space="preserve"> </w:t>
            </w:r>
            <w:r w:rsidRPr="005C5CBD">
              <w:rPr>
                <w:rFonts w:ascii="Garamond" w:hAnsi="Garamond"/>
                <w:sz w:val="16"/>
                <w:szCs w:val="16"/>
                <w:lang w:val="pt-BR"/>
              </w:rPr>
              <w:t>Exportação e</w:t>
            </w:r>
            <w:r w:rsidRPr="005C5CBD">
              <w:rPr>
                <w:rFonts w:ascii="Garamond" w:hAnsi="Garamond"/>
                <w:spacing w:val="-3"/>
                <w:sz w:val="16"/>
                <w:szCs w:val="16"/>
                <w:lang w:val="pt-BR"/>
              </w:rPr>
              <w:t xml:space="preserve"> </w:t>
            </w:r>
            <w:r w:rsidRPr="005C5CBD">
              <w:rPr>
                <w:rFonts w:ascii="Garamond" w:hAnsi="Garamond"/>
                <w:b/>
                <w:sz w:val="16"/>
                <w:szCs w:val="16"/>
                <w:lang w:val="pt-BR"/>
              </w:rPr>
              <w:t>Drawback</w:t>
            </w:r>
          </w:p>
        </w:tc>
        <w:tc>
          <w:tcPr>
            <w:tcW w:w="992" w:type="dxa"/>
            <w:vAlign w:val="center"/>
          </w:tcPr>
          <w:p w14:paraId="6966DF7E" w14:textId="77777777" w:rsidR="00A71FFE" w:rsidRPr="005C5CBD" w:rsidRDefault="00A71FFE" w:rsidP="001B1D53">
            <w:pPr>
              <w:pStyle w:val="TableParagraph"/>
              <w:ind w:right="263"/>
              <w:jc w:val="right"/>
              <w:rPr>
                <w:rFonts w:ascii="Garamond" w:hAnsi="Garamond"/>
                <w:sz w:val="16"/>
                <w:szCs w:val="16"/>
              </w:rPr>
            </w:pPr>
            <w:r w:rsidRPr="005C5CBD">
              <w:rPr>
                <w:rFonts w:ascii="Garamond" w:hAnsi="Garamond"/>
                <w:sz w:val="16"/>
                <w:szCs w:val="16"/>
              </w:rPr>
              <w:t>1</w:t>
            </w:r>
          </w:p>
        </w:tc>
        <w:tc>
          <w:tcPr>
            <w:tcW w:w="1418" w:type="dxa"/>
            <w:vAlign w:val="center"/>
          </w:tcPr>
          <w:p w14:paraId="2A98DE75"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Coordenador-Geral</w:t>
            </w:r>
          </w:p>
        </w:tc>
        <w:tc>
          <w:tcPr>
            <w:tcW w:w="1275" w:type="dxa"/>
            <w:vAlign w:val="center"/>
          </w:tcPr>
          <w:p w14:paraId="459B07BE"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101.4</w:t>
            </w:r>
          </w:p>
        </w:tc>
      </w:tr>
      <w:tr w:rsidR="00A71FFE" w:rsidRPr="005C5CBD" w14:paraId="0BD0579B" w14:textId="77777777" w:rsidTr="00603DBA">
        <w:trPr>
          <w:trHeight w:val="712"/>
          <w:jc w:val="center"/>
        </w:trPr>
        <w:tc>
          <w:tcPr>
            <w:tcW w:w="4688" w:type="dxa"/>
            <w:vAlign w:val="center"/>
          </w:tcPr>
          <w:p w14:paraId="712BC2D7"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Divisão</w:t>
            </w:r>
          </w:p>
        </w:tc>
        <w:tc>
          <w:tcPr>
            <w:tcW w:w="992" w:type="dxa"/>
            <w:vAlign w:val="center"/>
          </w:tcPr>
          <w:p w14:paraId="36DEA3B3" w14:textId="77777777" w:rsidR="00A71FFE" w:rsidRPr="005C5CBD" w:rsidRDefault="00A71FFE" w:rsidP="001B1D53">
            <w:pPr>
              <w:pStyle w:val="TableParagraph"/>
              <w:ind w:right="263"/>
              <w:jc w:val="right"/>
              <w:rPr>
                <w:rFonts w:ascii="Garamond" w:hAnsi="Garamond"/>
                <w:sz w:val="16"/>
                <w:szCs w:val="16"/>
              </w:rPr>
            </w:pPr>
            <w:r w:rsidRPr="005C5CBD">
              <w:rPr>
                <w:rFonts w:ascii="Garamond" w:hAnsi="Garamond"/>
                <w:sz w:val="16"/>
                <w:szCs w:val="16"/>
              </w:rPr>
              <w:t>1</w:t>
            </w:r>
          </w:p>
        </w:tc>
        <w:tc>
          <w:tcPr>
            <w:tcW w:w="1418" w:type="dxa"/>
            <w:vAlign w:val="center"/>
          </w:tcPr>
          <w:p w14:paraId="163ACB98"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Chefe</w:t>
            </w:r>
          </w:p>
        </w:tc>
        <w:tc>
          <w:tcPr>
            <w:tcW w:w="1275" w:type="dxa"/>
            <w:vAlign w:val="center"/>
          </w:tcPr>
          <w:p w14:paraId="68A13738" w14:textId="77777777" w:rsidR="00A71FFE" w:rsidRPr="005C5CBD" w:rsidRDefault="00A71FFE" w:rsidP="001B1D53">
            <w:pPr>
              <w:pStyle w:val="TableParagraph"/>
              <w:rPr>
                <w:rFonts w:ascii="Garamond" w:hAnsi="Garamond"/>
                <w:sz w:val="16"/>
                <w:szCs w:val="16"/>
              </w:rPr>
            </w:pPr>
            <w:r w:rsidRPr="005C5CBD">
              <w:rPr>
                <w:rFonts w:ascii="Garamond" w:hAnsi="Garamond"/>
                <w:sz w:val="16"/>
                <w:szCs w:val="16"/>
              </w:rPr>
              <w:t>101.2</w:t>
            </w:r>
          </w:p>
        </w:tc>
      </w:tr>
      <w:tr w:rsidR="00A71FFE" w:rsidRPr="005C5CBD" w14:paraId="13A9849C" w14:textId="77777777" w:rsidTr="00603DBA">
        <w:trPr>
          <w:trHeight w:val="610"/>
          <w:jc w:val="center"/>
        </w:trPr>
        <w:tc>
          <w:tcPr>
            <w:tcW w:w="4688" w:type="dxa"/>
            <w:vAlign w:val="center"/>
          </w:tcPr>
          <w:p w14:paraId="4EAF43D7" w14:textId="77777777" w:rsidR="00A71FFE" w:rsidRPr="005C5CBD" w:rsidRDefault="00A71FFE" w:rsidP="0011677F">
            <w:pPr>
              <w:pStyle w:val="TableParagraph"/>
              <w:spacing w:before="6"/>
              <w:ind w:right="1253"/>
              <w:rPr>
                <w:rFonts w:ascii="Garamond" w:hAnsi="Garamond"/>
                <w:sz w:val="16"/>
                <w:szCs w:val="16"/>
                <w:lang w:val="pt-BR"/>
              </w:rPr>
            </w:pPr>
            <w:r w:rsidRPr="005C5CBD">
              <w:rPr>
                <w:rFonts w:ascii="Garamond" w:hAnsi="Garamond"/>
                <w:sz w:val="16"/>
                <w:szCs w:val="16"/>
                <w:lang w:val="pt-BR"/>
              </w:rPr>
              <w:t>Coordenação-Geral</w:t>
            </w:r>
            <w:r w:rsidRPr="005C5CBD">
              <w:rPr>
                <w:rFonts w:ascii="Garamond" w:hAnsi="Garamond"/>
                <w:spacing w:val="-3"/>
                <w:sz w:val="16"/>
                <w:szCs w:val="16"/>
                <w:lang w:val="pt-BR"/>
              </w:rPr>
              <w:t xml:space="preserve"> </w:t>
            </w:r>
            <w:r w:rsidRPr="005C5CBD">
              <w:rPr>
                <w:rFonts w:ascii="Garamond" w:hAnsi="Garamond"/>
                <w:sz w:val="16"/>
                <w:szCs w:val="16"/>
                <w:lang w:val="pt-BR"/>
              </w:rPr>
              <w:t>de</w:t>
            </w:r>
            <w:r w:rsidRPr="005C5CBD">
              <w:rPr>
                <w:rFonts w:ascii="Garamond" w:hAnsi="Garamond"/>
                <w:spacing w:val="2"/>
                <w:sz w:val="16"/>
                <w:szCs w:val="16"/>
                <w:lang w:val="pt-BR"/>
              </w:rPr>
              <w:t xml:space="preserve"> </w:t>
            </w:r>
            <w:r w:rsidRPr="005C5CBD">
              <w:rPr>
                <w:rFonts w:ascii="Garamond" w:hAnsi="Garamond"/>
                <w:sz w:val="16"/>
                <w:szCs w:val="16"/>
                <w:lang w:val="pt-BR"/>
              </w:rPr>
              <w:t>Informação</w:t>
            </w:r>
            <w:r w:rsidRPr="005C5CBD">
              <w:rPr>
                <w:rFonts w:ascii="Garamond" w:hAnsi="Garamond"/>
                <w:spacing w:val="-2"/>
                <w:sz w:val="16"/>
                <w:szCs w:val="16"/>
                <w:lang w:val="pt-BR"/>
              </w:rPr>
              <w:t xml:space="preserve"> </w:t>
            </w:r>
            <w:r w:rsidRPr="005C5CBD">
              <w:rPr>
                <w:rFonts w:ascii="Garamond" w:hAnsi="Garamond"/>
                <w:sz w:val="16"/>
                <w:szCs w:val="16"/>
                <w:lang w:val="pt-BR"/>
              </w:rPr>
              <w:t>e</w:t>
            </w:r>
            <w:r w:rsidRPr="005C5CBD">
              <w:rPr>
                <w:rFonts w:ascii="Garamond" w:hAnsi="Garamond"/>
                <w:spacing w:val="-3"/>
                <w:sz w:val="16"/>
                <w:szCs w:val="16"/>
                <w:lang w:val="pt-BR"/>
              </w:rPr>
              <w:t xml:space="preserve"> </w:t>
            </w:r>
            <w:r w:rsidRPr="005C5CBD">
              <w:rPr>
                <w:rFonts w:ascii="Garamond" w:hAnsi="Garamond"/>
                <w:sz w:val="16"/>
                <w:szCs w:val="16"/>
                <w:lang w:val="pt-BR"/>
              </w:rPr>
              <w:t>Desenvolvimento</w:t>
            </w:r>
            <w:r w:rsidRPr="005C5CBD">
              <w:rPr>
                <w:rFonts w:ascii="Garamond" w:hAnsi="Garamond"/>
                <w:spacing w:val="-2"/>
                <w:sz w:val="16"/>
                <w:szCs w:val="16"/>
                <w:lang w:val="pt-BR"/>
              </w:rPr>
              <w:t xml:space="preserve"> </w:t>
            </w:r>
            <w:r w:rsidRPr="005C5CBD">
              <w:rPr>
                <w:rFonts w:ascii="Garamond" w:hAnsi="Garamond"/>
                <w:sz w:val="16"/>
                <w:szCs w:val="16"/>
                <w:lang w:val="pt-BR"/>
              </w:rPr>
              <w:t>do</w:t>
            </w:r>
            <w:r w:rsidRPr="005C5CBD">
              <w:rPr>
                <w:rFonts w:ascii="Garamond" w:hAnsi="Garamond"/>
                <w:spacing w:val="-57"/>
                <w:sz w:val="16"/>
                <w:szCs w:val="16"/>
                <w:lang w:val="pt-BR"/>
              </w:rPr>
              <w:t xml:space="preserve"> </w:t>
            </w:r>
            <w:r w:rsidRPr="005C5CBD">
              <w:rPr>
                <w:rFonts w:ascii="Garamond" w:hAnsi="Garamond"/>
                <w:sz w:val="16"/>
                <w:szCs w:val="16"/>
                <w:lang w:val="pt-BR"/>
              </w:rPr>
              <w:t>SISCOMEX</w:t>
            </w:r>
          </w:p>
        </w:tc>
        <w:tc>
          <w:tcPr>
            <w:tcW w:w="992" w:type="dxa"/>
            <w:vAlign w:val="center"/>
          </w:tcPr>
          <w:p w14:paraId="563F8588" w14:textId="77777777" w:rsidR="00A71FFE" w:rsidRPr="005C5CBD" w:rsidRDefault="00A71FFE" w:rsidP="0011677F">
            <w:pPr>
              <w:pStyle w:val="TableParagraph"/>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3D069E0B"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Coordenador-Geral</w:t>
            </w:r>
          </w:p>
        </w:tc>
        <w:tc>
          <w:tcPr>
            <w:tcW w:w="1275" w:type="dxa"/>
            <w:vAlign w:val="center"/>
          </w:tcPr>
          <w:p w14:paraId="429971A4" w14:textId="77777777" w:rsidR="00A71FFE" w:rsidRPr="005C5CBD" w:rsidRDefault="00A71FFE" w:rsidP="0011677F">
            <w:pPr>
              <w:pStyle w:val="TableParagraph"/>
              <w:ind w:left="13"/>
              <w:jc w:val="center"/>
              <w:rPr>
                <w:rFonts w:ascii="Garamond" w:hAnsi="Garamond"/>
                <w:sz w:val="16"/>
                <w:szCs w:val="16"/>
              </w:rPr>
            </w:pPr>
            <w:r w:rsidRPr="005C5CBD">
              <w:rPr>
                <w:rFonts w:ascii="Garamond" w:hAnsi="Garamond"/>
                <w:sz w:val="16"/>
                <w:szCs w:val="16"/>
              </w:rPr>
              <w:t>101.4</w:t>
            </w:r>
          </w:p>
        </w:tc>
      </w:tr>
      <w:tr w:rsidR="00A71FFE" w:rsidRPr="005C5CBD" w14:paraId="5D366956" w14:textId="77777777" w:rsidTr="00603DBA">
        <w:trPr>
          <w:trHeight w:val="555"/>
          <w:jc w:val="center"/>
        </w:trPr>
        <w:tc>
          <w:tcPr>
            <w:tcW w:w="4688" w:type="dxa"/>
            <w:vAlign w:val="center"/>
          </w:tcPr>
          <w:p w14:paraId="69511AF4" w14:textId="77777777" w:rsidR="00A71FFE" w:rsidRPr="005C5CBD" w:rsidRDefault="00A71FFE" w:rsidP="0011677F">
            <w:pPr>
              <w:pStyle w:val="TableParagraph"/>
              <w:rPr>
                <w:rFonts w:ascii="Garamond" w:hAnsi="Garamond"/>
                <w:sz w:val="16"/>
                <w:szCs w:val="16"/>
              </w:rPr>
            </w:pPr>
          </w:p>
        </w:tc>
        <w:tc>
          <w:tcPr>
            <w:tcW w:w="992" w:type="dxa"/>
            <w:vAlign w:val="center"/>
          </w:tcPr>
          <w:p w14:paraId="6783EB03" w14:textId="77777777" w:rsidR="00A71FFE" w:rsidRPr="005C5CBD" w:rsidRDefault="00A71FFE" w:rsidP="0011677F">
            <w:pPr>
              <w:pStyle w:val="TableParagraph"/>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4ADBD344"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Assistente</w:t>
            </w:r>
          </w:p>
        </w:tc>
        <w:tc>
          <w:tcPr>
            <w:tcW w:w="1275" w:type="dxa"/>
            <w:vAlign w:val="center"/>
          </w:tcPr>
          <w:p w14:paraId="6E44B73C" w14:textId="77777777" w:rsidR="00A71FFE" w:rsidRPr="005C5CBD" w:rsidRDefault="00A71FFE" w:rsidP="0011677F">
            <w:pPr>
              <w:pStyle w:val="TableParagraph"/>
              <w:ind w:left="13"/>
              <w:jc w:val="center"/>
              <w:rPr>
                <w:rFonts w:ascii="Garamond" w:hAnsi="Garamond"/>
                <w:sz w:val="16"/>
                <w:szCs w:val="16"/>
              </w:rPr>
            </w:pPr>
            <w:r w:rsidRPr="005C5CBD">
              <w:rPr>
                <w:rFonts w:ascii="Garamond" w:hAnsi="Garamond"/>
                <w:sz w:val="16"/>
                <w:szCs w:val="16"/>
              </w:rPr>
              <w:t>102.1</w:t>
            </w:r>
          </w:p>
        </w:tc>
      </w:tr>
      <w:tr w:rsidR="00A71FFE" w:rsidRPr="005C5CBD" w14:paraId="596DE92A" w14:textId="77777777" w:rsidTr="00603DBA">
        <w:trPr>
          <w:trHeight w:val="740"/>
          <w:jc w:val="center"/>
        </w:trPr>
        <w:tc>
          <w:tcPr>
            <w:tcW w:w="4688" w:type="dxa"/>
            <w:vAlign w:val="center"/>
          </w:tcPr>
          <w:p w14:paraId="0B7401DB" w14:textId="77777777" w:rsidR="00A71FFE" w:rsidRPr="005C5CBD" w:rsidRDefault="00A71FFE" w:rsidP="0011677F">
            <w:pPr>
              <w:pStyle w:val="TableParagraph"/>
              <w:spacing w:before="227"/>
              <w:rPr>
                <w:rFonts w:ascii="Garamond" w:hAnsi="Garamond"/>
                <w:sz w:val="16"/>
                <w:szCs w:val="16"/>
              </w:rPr>
            </w:pPr>
            <w:r w:rsidRPr="005C5CBD">
              <w:rPr>
                <w:rFonts w:ascii="Garamond" w:hAnsi="Garamond"/>
                <w:sz w:val="16"/>
                <w:szCs w:val="16"/>
              </w:rPr>
              <w:t>DEPARTAMENTO</w:t>
            </w:r>
            <w:r w:rsidRPr="005C5CBD">
              <w:rPr>
                <w:rFonts w:ascii="Garamond" w:hAnsi="Garamond"/>
                <w:spacing w:val="-4"/>
                <w:sz w:val="16"/>
                <w:szCs w:val="16"/>
              </w:rPr>
              <w:t xml:space="preserve"> </w:t>
            </w:r>
            <w:r w:rsidRPr="005C5CBD">
              <w:rPr>
                <w:rFonts w:ascii="Garamond" w:hAnsi="Garamond"/>
                <w:sz w:val="16"/>
                <w:szCs w:val="16"/>
              </w:rPr>
              <w:t>DE</w:t>
            </w:r>
            <w:r w:rsidRPr="005C5CBD">
              <w:rPr>
                <w:rFonts w:ascii="Garamond" w:hAnsi="Garamond"/>
                <w:spacing w:val="-3"/>
                <w:sz w:val="16"/>
                <w:szCs w:val="16"/>
              </w:rPr>
              <w:t xml:space="preserve"> </w:t>
            </w:r>
            <w:r w:rsidRPr="005C5CBD">
              <w:rPr>
                <w:rFonts w:ascii="Garamond" w:hAnsi="Garamond"/>
                <w:sz w:val="16"/>
                <w:szCs w:val="16"/>
              </w:rPr>
              <w:t>NEGOCIAÇÕES</w:t>
            </w:r>
            <w:r w:rsidRPr="005C5CBD">
              <w:rPr>
                <w:rFonts w:ascii="Garamond" w:hAnsi="Garamond"/>
                <w:spacing w:val="-2"/>
                <w:sz w:val="16"/>
                <w:szCs w:val="16"/>
              </w:rPr>
              <w:t xml:space="preserve"> </w:t>
            </w:r>
            <w:r w:rsidRPr="005C5CBD">
              <w:rPr>
                <w:rFonts w:ascii="Garamond" w:hAnsi="Garamond"/>
                <w:sz w:val="16"/>
                <w:szCs w:val="16"/>
              </w:rPr>
              <w:t>INTERNACIONAIS</w:t>
            </w:r>
          </w:p>
        </w:tc>
        <w:tc>
          <w:tcPr>
            <w:tcW w:w="992" w:type="dxa"/>
            <w:vAlign w:val="center"/>
          </w:tcPr>
          <w:p w14:paraId="7C77DA77" w14:textId="77777777" w:rsidR="00A71FFE" w:rsidRPr="005C5CBD" w:rsidRDefault="00A71FFE" w:rsidP="0011677F">
            <w:pPr>
              <w:pStyle w:val="TableParagraph"/>
              <w:spacing w:before="227"/>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1D04F201" w14:textId="77777777" w:rsidR="00A71FFE" w:rsidRPr="005C5CBD" w:rsidRDefault="00A71FFE" w:rsidP="0011677F">
            <w:pPr>
              <w:pStyle w:val="TableParagraph"/>
              <w:spacing w:before="227"/>
              <w:rPr>
                <w:rFonts w:ascii="Garamond" w:hAnsi="Garamond"/>
                <w:sz w:val="16"/>
                <w:szCs w:val="16"/>
              </w:rPr>
            </w:pPr>
            <w:r w:rsidRPr="005C5CBD">
              <w:rPr>
                <w:rFonts w:ascii="Garamond" w:hAnsi="Garamond"/>
                <w:sz w:val="16"/>
                <w:szCs w:val="16"/>
              </w:rPr>
              <w:t>Diretor</w:t>
            </w:r>
          </w:p>
        </w:tc>
        <w:tc>
          <w:tcPr>
            <w:tcW w:w="1275" w:type="dxa"/>
            <w:vAlign w:val="center"/>
          </w:tcPr>
          <w:p w14:paraId="61C4E40E" w14:textId="77777777" w:rsidR="00A71FFE" w:rsidRPr="005C5CBD" w:rsidRDefault="00A71FFE" w:rsidP="0011677F">
            <w:pPr>
              <w:pStyle w:val="TableParagraph"/>
              <w:spacing w:before="227"/>
              <w:ind w:left="13"/>
              <w:jc w:val="center"/>
              <w:rPr>
                <w:rFonts w:ascii="Garamond" w:hAnsi="Garamond"/>
                <w:sz w:val="16"/>
                <w:szCs w:val="16"/>
              </w:rPr>
            </w:pPr>
            <w:r w:rsidRPr="005C5CBD">
              <w:rPr>
                <w:rFonts w:ascii="Garamond" w:hAnsi="Garamond"/>
                <w:sz w:val="16"/>
                <w:szCs w:val="16"/>
              </w:rPr>
              <w:t>101.5</w:t>
            </w:r>
          </w:p>
        </w:tc>
      </w:tr>
      <w:tr w:rsidR="00A71FFE" w:rsidRPr="005C5CBD" w14:paraId="66B6A90B" w14:textId="77777777" w:rsidTr="00603DBA">
        <w:trPr>
          <w:trHeight w:val="554"/>
          <w:jc w:val="center"/>
        </w:trPr>
        <w:tc>
          <w:tcPr>
            <w:tcW w:w="4688" w:type="dxa"/>
            <w:vAlign w:val="center"/>
          </w:tcPr>
          <w:p w14:paraId="6896E8AA" w14:textId="77777777" w:rsidR="00A71FFE" w:rsidRPr="005C5CBD" w:rsidRDefault="00A71FFE" w:rsidP="0011677F">
            <w:pPr>
              <w:pStyle w:val="TableParagraph"/>
              <w:spacing w:before="226"/>
              <w:rPr>
                <w:rFonts w:ascii="Garamond" w:hAnsi="Garamond"/>
                <w:sz w:val="16"/>
                <w:szCs w:val="16"/>
                <w:lang w:val="pt-BR"/>
              </w:rPr>
            </w:pPr>
            <w:r w:rsidRPr="005C5CBD">
              <w:rPr>
                <w:rFonts w:ascii="Garamond" w:hAnsi="Garamond"/>
                <w:sz w:val="16"/>
                <w:szCs w:val="16"/>
                <w:lang w:val="pt-BR"/>
              </w:rPr>
              <w:t>Coordenação-Geral</w:t>
            </w:r>
            <w:r w:rsidRPr="005C5CBD">
              <w:rPr>
                <w:rFonts w:ascii="Garamond" w:hAnsi="Garamond"/>
                <w:spacing w:val="-3"/>
                <w:sz w:val="16"/>
                <w:szCs w:val="16"/>
                <w:lang w:val="pt-BR"/>
              </w:rPr>
              <w:t xml:space="preserve"> </w:t>
            </w:r>
            <w:r w:rsidRPr="005C5CBD">
              <w:rPr>
                <w:rFonts w:ascii="Garamond" w:hAnsi="Garamond"/>
                <w:sz w:val="16"/>
                <w:szCs w:val="16"/>
                <w:lang w:val="pt-BR"/>
              </w:rPr>
              <w:t>de</w:t>
            </w:r>
            <w:r w:rsidRPr="005C5CBD">
              <w:rPr>
                <w:rFonts w:ascii="Garamond" w:hAnsi="Garamond"/>
                <w:spacing w:val="-3"/>
                <w:sz w:val="16"/>
                <w:szCs w:val="16"/>
                <w:lang w:val="pt-BR"/>
              </w:rPr>
              <w:t xml:space="preserve"> </w:t>
            </w:r>
            <w:r w:rsidRPr="005C5CBD">
              <w:rPr>
                <w:rFonts w:ascii="Garamond" w:hAnsi="Garamond"/>
                <w:sz w:val="16"/>
                <w:szCs w:val="16"/>
                <w:lang w:val="pt-BR"/>
              </w:rPr>
              <w:t>Temas</w:t>
            </w:r>
            <w:r w:rsidRPr="005C5CBD">
              <w:rPr>
                <w:rFonts w:ascii="Garamond" w:hAnsi="Garamond"/>
                <w:spacing w:val="-2"/>
                <w:sz w:val="16"/>
                <w:szCs w:val="16"/>
                <w:lang w:val="pt-BR"/>
              </w:rPr>
              <w:t xml:space="preserve"> </w:t>
            </w:r>
            <w:r w:rsidRPr="005C5CBD">
              <w:rPr>
                <w:rFonts w:ascii="Garamond" w:hAnsi="Garamond"/>
                <w:sz w:val="16"/>
                <w:szCs w:val="16"/>
                <w:lang w:val="pt-BR"/>
              </w:rPr>
              <w:t>Multilaterais</w:t>
            </w:r>
          </w:p>
        </w:tc>
        <w:tc>
          <w:tcPr>
            <w:tcW w:w="992" w:type="dxa"/>
            <w:vAlign w:val="center"/>
          </w:tcPr>
          <w:p w14:paraId="0068BDFE" w14:textId="77777777" w:rsidR="00A71FFE" w:rsidRPr="005C5CBD" w:rsidRDefault="00A71FFE" w:rsidP="0011677F">
            <w:pPr>
              <w:pStyle w:val="TableParagraph"/>
              <w:spacing w:before="226"/>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4D4D72E5" w14:textId="77777777" w:rsidR="00A71FFE" w:rsidRPr="005C5CBD" w:rsidRDefault="00A71FFE" w:rsidP="0011677F">
            <w:pPr>
              <w:pStyle w:val="TableParagraph"/>
              <w:spacing w:before="226"/>
              <w:rPr>
                <w:rFonts w:ascii="Garamond" w:hAnsi="Garamond"/>
                <w:sz w:val="16"/>
                <w:szCs w:val="16"/>
              </w:rPr>
            </w:pPr>
            <w:r w:rsidRPr="005C5CBD">
              <w:rPr>
                <w:rFonts w:ascii="Garamond" w:hAnsi="Garamond"/>
                <w:sz w:val="16"/>
                <w:szCs w:val="16"/>
              </w:rPr>
              <w:t>Coordenador-Geral</w:t>
            </w:r>
          </w:p>
        </w:tc>
        <w:tc>
          <w:tcPr>
            <w:tcW w:w="1275" w:type="dxa"/>
            <w:vAlign w:val="center"/>
          </w:tcPr>
          <w:p w14:paraId="2F3D88D2" w14:textId="77777777" w:rsidR="00A71FFE" w:rsidRPr="005C5CBD" w:rsidRDefault="00A71FFE" w:rsidP="0011677F">
            <w:pPr>
              <w:pStyle w:val="TableParagraph"/>
              <w:spacing w:before="226"/>
              <w:ind w:left="13"/>
              <w:jc w:val="center"/>
              <w:rPr>
                <w:rFonts w:ascii="Garamond" w:hAnsi="Garamond"/>
                <w:sz w:val="16"/>
                <w:szCs w:val="16"/>
              </w:rPr>
            </w:pPr>
            <w:r w:rsidRPr="005C5CBD">
              <w:rPr>
                <w:rFonts w:ascii="Garamond" w:hAnsi="Garamond"/>
                <w:sz w:val="16"/>
                <w:szCs w:val="16"/>
              </w:rPr>
              <w:t>101.4</w:t>
            </w:r>
          </w:p>
        </w:tc>
      </w:tr>
      <w:tr w:rsidR="00A71FFE" w:rsidRPr="005C5CBD" w14:paraId="0D90EAE4" w14:textId="77777777" w:rsidTr="00603DBA">
        <w:trPr>
          <w:trHeight w:val="554"/>
          <w:jc w:val="center"/>
        </w:trPr>
        <w:tc>
          <w:tcPr>
            <w:tcW w:w="4688" w:type="dxa"/>
            <w:vAlign w:val="center"/>
          </w:tcPr>
          <w:p w14:paraId="087FF326"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Serviço</w:t>
            </w:r>
          </w:p>
        </w:tc>
        <w:tc>
          <w:tcPr>
            <w:tcW w:w="992" w:type="dxa"/>
            <w:vAlign w:val="center"/>
          </w:tcPr>
          <w:p w14:paraId="2F9FBEB7" w14:textId="77777777" w:rsidR="00A71FFE" w:rsidRPr="005C5CBD" w:rsidRDefault="00A71FFE" w:rsidP="0011677F">
            <w:pPr>
              <w:pStyle w:val="TableParagraph"/>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1E643804"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Chefe</w:t>
            </w:r>
          </w:p>
        </w:tc>
        <w:tc>
          <w:tcPr>
            <w:tcW w:w="1275" w:type="dxa"/>
            <w:vAlign w:val="center"/>
          </w:tcPr>
          <w:p w14:paraId="05C5BA83" w14:textId="77777777" w:rsidR="00A71FFE" w:rsidRPr="005C5CBD" w:rsidRDefault="00A71FFE" w:rsidP="0011677F">
            <w:pPr>
              <w:pStyle w:val="TableParagraph"/>
              <w:ind w:left="13"/>
              <w:jc w:val="center"/>
              <w:rPr>
                <w:rFonts w:ascii="Garamond" w:hAnsi="Garamond"/>
                <w:sz w:val="16"/>
                <w:szCs w:val="16"/>
              </w:rPr>
            </w:pPr>
            <w:r w:rsidRPr="005C5CBD">
              <w:rPr>
                <w:rFonts w:ascii="Garamond" w:hAnsi="Garamond"/>
                <w:sz w:val="16"/>
                <w:szCs w:val="16"/>
              </w:rPr>
              <w:t>101.1</w:t>
            </w:r>
          </w:p>
        </w:tc>
      </w:tr>
      <w:tr w:rsidR="00A71FFE" w:rsidRPr="005C5CBD" w14:paraId="211FAFF9" w14:textId="77777777" w:rsidTr="00603DBA">
        <w:trPr>
          <w:trHeight w:val="555"/>
          <w:jc w:val="center"/>
        </w:trPr>
        <w:tc>
          <w:tcPr>
            <w:tcW w:w="4688" w:type="dxa"/>
            <w:vAlign w:val="center"/>
          </w:tcPr>
          <w:p w14:paraId="0B8FE241" w14:textId="77777777" w:rsidR="00A71FFE" w:rsidRPr="005C5CBD" w:rsidRDefault="00A71FFE" w:rsidP="0011677F">
            <w:pPr>
              <w:pStyle w:val="TableParagraph"/>
              <w:spacing w:before="226"/>
              <w:rPr>
                <w:rFonts w:ascii="Garamond" w:hAnsi="Garamond"/>
                <w:sz w:val="16"/>
                <w:szCs w:val="16"/>
                <w:lang w:val="pt-BR"/>
              </w:rPr>
            </w:pPr>
            <w:r w:rsidRPr="005C5CBD">
              <w:rPr>
                <w:rFonts w:ascii="Garamond" w:hAnsi="Garamond"/>
                <w:sz w:val="16"/>
                <w:szCs w:val="16"/>
                <w:lang w:val="pt-BR"/>
              </w:rPr>
              <w:t>Coordenação-Geral</w:t>
            </w:r>
            <w:r w:rsidRPr="005C5CBD">
              <w:rPr>
                <w:rFonts w:ascii="Garamond" w:hAnsi="Garamond"/>
                <w:spacing w:val="-1"/>
                <w:sz w:val="16"/>
                <w:szCs w:val="16"/>
                <w:lang w:val="pt-BR"/>
              </w:rPr>
              <w:t xml:space="preserve"> </w:t>
            </w:r>
            <w:r w:rsidRPr="005C5CBD">
              <w:rPr>
                <w:rFonts w:ascii="Garamond" w:hAnsi="Garamond"/>
                <w:sz w:val="16"/>
                <w:szCs w:val="16"/>
                <w:lang w:val="pt-BR"/>
              </w:rPr>
              <w:t>da ALADI</w:t>
            </w:r>
            <w:r w:rsidRPr="005C5CBD">
              <w:rPr>
                <w:rFonts w:ascii="Garamond" w:hAnsi="Garamond"/>
                <w:spacing w:val="-4"/>
                <w:sz w:val="16"/>
                <w:szCs w:val="16"/>
                <w:lang w:val="pt-BR"/>
              </w:rPr>
              <w:t xml:space="preserve"> </w:t>
            </w:r>
            <w:r w:rsidRPr="005C5CBD">
              <w:rPr>
                <w:rFonts w:ascii="Garamond" w:hAnsi="Garamond"/>
                <w:sz w:val="16"/>
                <w:szCs w:val="16"/>
                <w:lang w:val="pt-BR"/>
              </w:rPr>
              <w:t>e</w:t>
            </w:r>
            <w:r w:rsidRPr="005C5CBD">
              <w:rPr>
                <w:rFonts w:ascii="Garamond" w:hAnsi="Garamond"/>
                <w:spacing w:val="-2"/>
                <w:sz w:val="16"/>
                <w:szCs w:val="16"/>
                <w:lang w:val="pt-BR"/>
              </w:rPr>
              <w:t xml:space="preserve"> </w:t>
            </w:r>
            <w:r w:rsidRPr="005C5CBD">
              <w:rPr>
                <w:rFonts w:ascii="Garamond" w:hAnsi="Garamond"/>
                <w:sz w:val="16"/>
                <w:szCs w:val="16"/>
                <w:lang w:val="pt-BR"/>
              </w:rPr>
              <w:t>MERCOSUL</w:t>
            </w:r>
          </w:p>
        </w:tc>
        <w:tc>
          <w:tcPr>
            <w:tcW w:w="992" w:type="dxa"/>
            <w:vAlign w:val="center"/>
          </w:tcPr>
          <w:p w14:paraId="29E79EA6" w14:textId="77777777" w:rsidR="00A71FFE" w:rsidRPr="005C5CBD" w:rsidRDefault="00A71FFE" w:rsidP="0011677F">
            <w:pPr>
              <w:pStyle w:val="TableParagraph"/>
              <w:spacing w:before="226"/>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35BE0146" w14:textId="77777777" w:rsidR="00A71FFE" w:rsidRPr="005C5CBD" w:rsidRDefault="00A71FFE" w:rsidP="0011677F">
            <w:pPr>
              <w:pStyle w:val="TableParagraph"/>
              <w:spacing w:before="226"/>
              <w:rPr>
                <w:rFonts w:ascii="Garamond" w:hAnsi="Garamond"/>
                <w:sz w:val="16"/>
                <w:szCs w:val="16"/>
              </w:rPr>
            </w:pPr>
            <w:r w:rsidRPr="005C5CBD">
              <w:rPr>
                <w:rFonts w:ascii="Garamond" w:hAnsi="Garamond"/>
                <w:sz w:val="16"/>
                <w:szCs w:val="16"/>
              </w:rPr>
              <w:t>Coordenador-Geral</w:t>
            </w:r>
          </w:p>
        </w:tc>
        <w:tc>
          <w:tcPr>
            <w:tcW w:w="1275" w:type="dxa"/>
            <w:vAlign w:val="center"/>
          </w:tcPr>
          <w:p w14:paraId="5543B265" w14:textId="77777777" w:rsidR="00A71FFE" w:rsidRPr="005C5CBD" w:rsidRDefault="00A71FFE" w:rsidP="0011677F">
            <w:pPr>
              <w:pStyle w:val="TableParagraph"/>
              <w:spacing w:before="226"/>
              <w:ind w:left="13"/>
              <w:jc w:val="center"/>
              <w:rPr>
                <w:rFonts w:ascii="Garamond" w:hAnsi="Garamond"/>
                <w:sz w:val="16"/>
                <w:szCs w:val="16"/>
              </w:rPr>
            </w:pPr>
            <w:r w:rsidRPr="005C5CBD">
              <w:rPr>
                <w:rFonts w:ascii="Garamond" w:hAnsi="Garamond"/>
                <w:sz w:val="16"/>
                <w:szCs w:val="16"/>
              </w:rPr>
              <w:t>101.4</w:t>
            </w:r>
          </w:p>
        </w:tc>
      </w:tr>
      <w:tr w:rsidR="00A71FFE" w:rsidRPr="005C5CBD" w14:paraId="20B9EF33" w14:textId="77777777" w:rsidTr="00603DBA">
        <w:trPr>
          <w:trHeight w:val="555"/>
          <w:jc w:val="center"/>
        </w:trPr>
        <w:tc>
          <w:tcPr>
            <w:tcW w:w="4688" w:type="dxa"/>
            <w:vAlign w:val="center"/>
          </w:tcPr>
          <w:p w14:paraId="57AEB0C8" w14:textId="77777777" w:rsidR="00A71FFE" w:rsidRPr="005C5CBD" w:rsidRDefault="00A71FFE" w:rsidP="0011677F">
            <w:pPr>
              <w:pStyle w:val="TableParagraph"/>
              <w:spacing w:before="43"/>
              <w:rPr>
                <w:rFonts w:ascii="Garamond" w:hAnsi="Garamond"/>
                <w:sz w:val="16"/>
                <w:szCs w:val="16"/>
              </w:rPr>
            </w:pPr>
            <w:r w:rsidRPr="005C5CBD">
              <w:rPr>
                <w:rFonts w:ascii="Garamond" w:hAnsi="Garamond"/>
                <w:sz w:val="16"/>
                <w:szCs w:val="16"/>
              </w:rPr>
              <w:t>Divisão</w:t>
            </w:r>
          </w:p>
        </w:tc>
        <w:tc>
          <w:tcPr>
            <w:tcW w:w="992" w:type="dxa"/>
            <w:vAlign w:val="center"/>
          </w:tcPr>
          <w:p w14:paraId="63C0D3E0" w14:textId="77777777" w:rsidR="00A71FFE" w:rsidRPr="005C5CBD" w:rsidRDefault="00A71FFE" w:rsidP="0011677F">
            <w:pPr>
              <w:pStyle w:val="TableParagraph"/>
              <w:spacing w:before="43"/>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778D35CD" w14:textId="77777777" w:rsidR="00A71FFE" w:rsidRPr="005C5CBD" w:rsidRDefault="00A71FFE" w:rsidP="0011677F">
            <w:pPr>
              <w:pStyle w:val="TableParagraph"/>
              <w:spacing w:before="43"/>
              <w:rPr>
                <w:rFonts w:ascii="Garamond" w:hAnsi="Garamond"/>
                <w:sz w:val="16"/>
                <w:szCs w:val="16"/>
              </w:rPr>
            </w:pPr>
            <w:r w:rsidRPr="005C5CBD">
              <w:rPr>
                <w:rFonts w:ascii="Garamond" w:hAnsi="Garamond"/>
                <w:sz w:val="16"/>
                <w:szCs w:val="16"/>
              </w:rPr>
              <w:t>Chefe</w:t>
            </w:r>
          </w:p>
        </w:tc>
        <w:tc>
          <w:tcPr>
            <w:tcW w:w="1275" w:type="dxa"/>
            <w:vAlign w:val="center"/>
          </w:tcPr>
          <w:p w14:paraId="7F55FC38" w14:textId="77777777" w:rsidR="00A71FFE" w:rsidRPr="005C5CBD" w:rsidRDefault="00A71FFE" w:rsidP="0011677F">
            <w:pPr>
              <w:pStyle w:val="TableParagraph"/>
              <w:spacing w:before="43"/>
              <w:ind w:left="13"/>
              <w:jc w:val="center"/>
              <w:rPr>
                <w:rFonts w:ascii="Garamond" w:hAnsi="Garamond"/>
                <w:sz w:val="16"/>
                <w:szCs w:val="16"/>
              </w:rPr>
            </w:pPr>
            <w:r w:rsidRPr="005C5CBD">
              <w:rPr>
                <w:rFonts w:ascii="Garamond" w:hAnsi="Garamond"/>
                <w:sz w:val="16"/>
                <w:szCs w:val="16"/>
              </w:rPr>
              <w:t>101.2</w:t>
            </w:r>
          </w:p>
        </w:tc>
      </w:tr>
      <w:tr w:rsidR="00A71FFE" w:rsidRPr="005C5CBD" w14:paraId="30BE99AB" w14:textId="77777777" w:rsidTr="00603DBA">
        <w:trPr>
          <w:trHeight w:val="739"/>
          <w:jc w:val="center"/>
        </w:trPr>
        <w:tc>
          <w:tcPr>
            <w:tcW w:w="4688" w:type="dxa"/>
            <w:vAlign w:val="center"/>
          </w:tcPr>
          <w:p w14:paraId="181A3EF0" w14:textId="77777777" w:rsidR="00A71FFE" w:rsidRPr="005C5CBD" w:rsidRDefault="00A71FFE" w:rsidP="0011677F">
            <w:pPr>
              <w:pStyle w:val="TableParagraph"/>
              <w:spacing w:before="227"/>
              <w:rPr>
                <w:rFonts w:ascii="Garamond" w:hAnsi="Garamond"/>
                <w:sz w:val="16"/>
                <w:szCs w:val="16"/>
                <w:lang w:val="pt-BR"/>
              </w:rPr>
            </w:pPr>
            <w:r w:rsidRPr="005C5CBD">
              <w:rPr>
                <w:rFonts w:ascii="Garamond" w:hAnsi="Garamond"/>
                <w:sz w:val="16"/>
                <w:szCs w:val="16"/>
                <w:lang w:val="pt-BR"/>
              </w:rPr>
              <w:t>Coordenação-Geral</w:t>
            </w:r>
            <w:r w:rsidRPr="005C5CBD">
              <w:rPr>
                <w:rFonts w:ascii="Garamond" w:hAnsi="Garamond"/>
                <w:spacing w:val="-3"/>
                <w:sz w:val="16"/>
                <w:szCs w:val="16"/>
                <w:lang w:val="pt-BR"/>
              </w:rPr>
              <w:t xml:space="preserve"> </w:t>
            </w:r>
            <w:r w:rsidRPr="005C5CBD">
              <w:rPr>
                <w:rFonts w:ascii="Garamond" w:hAnsi="Garamond"/>
                <w:sz w:val="16"/>
                <w:szCs w:val="16"/>
                <w:lang w:val="pt-BR"/>
              </w:rPr>
              <w:t>de</w:t>
            </w:r>
            <w:r w:rsidRPr="005C5CBD">
              <w:rPr>
                <w:rFonts w:ascii="Garamond" w:hAnsi="Garamond"/>
                <w:spacing w:val="-2"/>
                <w:sz w:val="16"/>
                <w:szCs w:val="16"/>
                <w:lang w:val="pt-BR"/>
              </w:rPr>
              <w:t xml:space="preserve"> </w:t>
            </w:r>
            <w:r w:rsidRPr="005C5CBD">
              <w:rPr>
                <w:rFonts w:ascii="Garamond" w:hAnsi="Garamond"/>
                <w:sz w:val="16"/>
                <w:szCs w:val="16"/>
                <w:lang w:val="pt-BR"/>
              </w:rPr>
              <w:t>Negociações</w:t>
            </w:r>
            <w:r w:rsidRPr="005C5CBD">
              <w:rPr>
                <w:rFonts w:ascii="Garamond" w:hAnsi="Garamond"/>
                <w:spacing w:val="-2"/>
                <w:sz w:val="16"/>
                <w:szCs w:val="16"/>
                <w:lang w:val="pt-BR"/>
              </w:rPr>
              <w:t xml:space="preserve"> </w:t>
            </w:r>
            <w:r w:rsidRPr="005C5CBD">
              <w:rPr>
                <w:rFonts w:ascii="Garamond" w:hAnsi="Garamond"/>
                <w:sz w:val="16"/>
                <w:szCs w:val="16"/>
                <w:lang w:val="pt-BR"/>
              </w:rPr>
              <w:t>Extrarregionais</w:t>
            </w:r>
          </w:p>
        </w:tc>
        <w:tc>
          <w:tcPr>
            <w:tcW w:w="992" w:type="dxa"/>
            <w:vAlign w:val="center"/>
          </w:tcPr>
          <w:p w14:paraId="41ED34A2" w14:textId="77777777" w:rsidR="00A71FFE" w:rsidRPr="005C5CBD" w:rsidRDefault="00A71FFE" w:rsidP="0011677F">
            <w:pPr>
              <w:pStyle w:val="TableParagraph"/>
              <w:spacing w:before="227"/>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44091493" w14:textId="77777777" w:rsidR="00A71FFE" w:rsidRPr="005C5CBD" w:rsidRDefault="00A71FFE" w:rsidP="0011677F">
            <w:pPr>
              <w:pStyle w:val="TableParagraph"/>
              <w:spacing w:before="227"/>
              <w:rPr>
                <w:rFonts w:ascii="Garamond" w:hAnsi="Garamond"/>
                <w:sz w:val="16"/>
                <w:szCs w:val="16"/>
              </w:rPr>
            </w:pPr>
            <w:r w:rsidRPr="005C5CBD">
              <w:rPr>
                <w:rFonts w:ascii="Garamond" w:hAnsi="Garamond"/>
                <w:sz w:val="16"/>
                <w:szCs w:val="16"/>
              </w:rPr>
              <w:t>Coordenador-Geral</w:t>
            </w:r>
          </w:p>
        </w:tc>
        <w:tc>
          <w:tcPr>
            <w:tcW w:w="1275" w:type="dxa"/>
            <w:vAlign w:val="center"/>
          </w:tcPr>
          <w:p w14:paraId="2B67308F" w14:textId="77777777" w:rsidR="00A71FFE" w:rsidRPr="005C5CBD" w:rsidRDefault="00A71FFE" w:rsidP="0011677F">
            <w:pPr>
              <w:pStyle w:val="TableParagraph"/>
              <w:spacing w:before="227"/>
              <w:ind w:left="13"/>
              <w:jc w:val="center"/>
              <w:rPr>
                <w:rFonts w:ascii="Garamond" w:hAnsi="Garamond"/>
                <w:sz w:val="16"/>
                <w:szCs w:val="16"/>
              </w:rPr>
            </w:pPr>
            <w:r w:rsidRPr="005C5CBD">
              <w:rPr>
                <w:rFonts w:ascii="Garamond" w:hAnsi="Garamond"/>
                <w:sz w:val="16"/>
                <w:szCs w:val="16"/>
              </w:rPr>
              <w:t>101.4</w:t>
            </w:r>
          </w:p>
        </w:tc>
      </w:tr>
      <w:tr w:rsidR="00A71FFE" w:rsidRPr="005C5CBD" w14:paraId="119B62A0" w14:textId="77777777" w:rsidTr="00603DBA">
        <w:trPr>
          <w:trHeight w:val="554"/>
          <w:jc w:val="center"/>
        </w:trPr>
        <w:tc>
          <w:tcPr>
            <w:tcW w:w="4688" w:type="dxa"/>
            <w:vAlign w:val="center"/>
          </w:tcPr>
          <w:p w14:paraId="1B1A060C" w14:textId="77777777" w:rsidR="00A71FFE" w:rsidRPr="005C5CBD" w:rsidRDefault="00A71FFE" w:rsidP="0011677F">
            <w:pPr>
              <w:pStyle w:val="TableParagraph"/>
              <w:spacing w:before="226"/>
              <w:rPr>
                <w:rFonts w:ascii="Garamond" w:hAnsi="Garamond"/>
                <w:sz w:val="16"/>
                <w:szCs w:val="16"/>
                <w:lang w:val="pt-BR"/>
              </w:rPr>
            </w:pPr>
            <w:r w:rsidRPr="005C5CBD">
              <w:rPr>
                <w:rFonts w:ascii="Garamond" w:hAnsi="Garamond"/>
                <w:sz w:val="16"/>
                <w:szCs w:val="16"/>
                <w:lang w:val="pt-BR"/>
              </w:rPr>
              <w:t>Coordenação-Geral</w:t>
            </w:r>
            <w:r w:rsidRPr="005C5CBD">
              <w:rPr>
                <w:rFonts w:ascii="Garamond" w:hAnsi="Garamond"/>
                <w:spacing w:val="-2"/>
                <w:sz w:val="16"/>
                <w:szCs w:val="16"/>
                <w:lang w:val="pt-BR"/>
              </w:rPr>
              <w:t xml:space="preserve"> </w:t>
            </w:r>
            <w:r w:rsidRPr="005C5CBD">
              <w:rPr>
                <w:rFonts w:ascii="Garamond" w:hAnsi="Garamond"/>
                <w:sz w:val="16"/>
                <w:szCs w:val="16"/>
                <w:lang w:val="pt-BR"/>
              </w:rPr>
              <w:t>de</w:t>
            </w:r>
            <w:r w:rsidRPr="005C5CBD">
              <w:rPr>
                <w:rFonts w:ascii="Garamond" w:hAnsi="Garamond"/>
                <w:spacing w:val="-3"/>
                <w:sz w:val="16"/>
                <w:szCs w:val="16"/>
                <w:lang w:val="pt-BR"/>
              </w:rPr>
              <w:t xml:space="preserve"> </w:t>
            </w:r>
            <w:r w:rsidRPr="005C5CBD">
              <w:rPr>
                <w:rFonts w:ascii="Garamond" w:hAnsi="Garamond"/>
                <w:sz w:val="16"/>
                <w:szCs w:val="16"/>
                <w:lang w:val="pt-BR"/>
              </w:rPr>
              <w:t>Regimes</w:t>
            </w:r>
            <w:r w:rsidRPr="005C5CBD">
              <w:rPr>
                <w:rFonts w:ascii="Garamond" w:hAnsi="Garamond"/>
                <w:spacing w:val="-2"/>
                <w:sz w:val="16"/>
                <w:szCs w:val="16"/>
                <w:lang w:val="pt-BR"/>
              </w:rPr>
              <w:t xml:space="preserve"> </w:t>
            </w:r>
            <w:r w:rsidRPr="005C5CBD">
              <w:rPr>
                <w:rFonts w:ascii="Garamond" w:hAnsi="Garamond"/>
                <w:sz w:val="16"/>
                <w:szCs w:val="16"/>
                <w:lang w:val="pt-BR"/>
              </w:rPr>
              <w:t>de</w:t>
            </w:r>
            <w:r w:rsidRPr="005C5CBD">
              <w:rPr>
                <w:rFonts w:ascii="Garamond" w:hAnsi="Garamond"/>
                <w:spacing w:val="-3"/>
                <w:sz w:val="16"/>
                <w:szCs w:val="16"/>
                <w:lang w:val="pt-BR"/>
              </w:rPr>
              <w:t xml:space="preserve"> </w:t>
            </w:r>
            <w:r w:rsidRPr="005C5CBD">
              <w:rPr>
                <w:rFonts w:ascii="Garamond" w:hAnsi="Garamond"/>
                <w:sz w:val="16"/>
                <w:szCs w:val="16"/>
                <w:lang w:val="pt-BR"/>
              </w:rPr>
              <w:t>Origem</w:t>
            </w:r>
          </w:p>
        </w:tc>
        <w:tc>
          <w:tcPr>
            <w:tcW w:w="992" w:type="dxa"/>
            <w:vAlign w:val="center"/>
          </w:tcPr>
          <w:p w14:paraId="5066B46E" w14:textId="77777777" w:rsidR="00A71FFE" w:rsidRPr="005C5CBD" w:rsidRDefault="00A71FFE" w:rsidP="0011677F">
            <w:pPr>
              <w:pStyle w:val="TableParagraph"/>
              <w:spacing w:before="226"/>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0F24B109" w14:textId="77777777" w:rsidR="00A71FFE" w:rsidRPr="005C5CBD" w:rsidRDefault="00A71FFE" w:rsidP="0011677F">
            <w:pPr>
              <w:pStyle w:val="TableParagraph"/>
              <w:spacing w:before="226"/>
              <w:rPr>
                <w:rFonts w:ascii="Garamond" w:hAnsi="Garamond"/>
                <w:sz w:val="16"/>
                <w:szCs w:val="16"/>
              </w:rPr>
            </w:pPr>
            <w:r w:rsidRPr="005C5CBD">
              <w:rPr>
                <w:rFonts w:ascii="Garamond" w:hAnsi="Garamond"/>
                <w:sz w:val="16"/>
                <w:szCs w:val="16"/>
              </w:rPr>
              <w:t>Coordenador-Geral</w:t>
            </w:r>
          </w:p>
        </w:tc>
        <w:tc>
          <w:tcPr>
            <w:tcW w:w="1275" w:type="dxa"/>
            <w:vAlign w:val="center"/>
          </w:tcPr>
          <w:p w14:paraId="0DA86E47" w14:textId="77777777" w:rsidR="00A71FFE" w:rsidRPr="005C5CBD" w:rsidRDefault="00A71FFE" w:rsidP="0011677F">
            <w:pPr>
              <w:pStyle w:val="TableParagraph"/>
              <w:spacing w:before="226"/>
              <w:ind w:left="13"/>
              <w:jc w:val="center"/>
              <w:rPr>
                <w:rFonts w:ascii="Garamond" w:hAnsi="Garamond"/>
                <w:sz w:val="16"/>
                <w:szCs w:val="16"/>
              </w:rPr>
            </w:pPr>
            <w:r w:rsidRPr="005C5CBD">
              <w:rPr>
                <w:rFonts w:ascii="Garamond" w:hAnsi="Garamond"/>
                <w:sz w:val="16"/>
                <w:szCs w:val="16"/>
              </w:rPr>
              <w:t>101.4</w:t>
            </w:r>
          </w:p>
        </w:tc>
      </w:tr>
      <w:tr w:rsidR="00A71FFE" w:rsidRPr="005C5CBD" w14:paraId="5A9FA638" w14:textId="77777777" w:rsidTr="00603DBA">
        <w:trPr>
          <w:trHeight w:val="555"/>
          <w:jc w:val="center"/>
        </w:trPr>
        <w:tc>
          <w:tcPr>
            <w:tcW w:w="4688" w:type="dxa"/>
            <w:vAlign w:val="center"/>
          </w:tcPr>
          <w:p w14:paraId="11235CE2"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Divisão</w:t>
            </w:r>
          </w:p>
        </w:tc>
        <w:tc>
          <w:tcPr>
            <w:tcW w:w="992" w:type="dxa"/>
            <w:vAlign w:val="center"/>
          </w:tcPr>
          <w:p w14:paraId="14AF0BE4" w14:textId="77777777" w:rsidR="00A71FFE" w:rsidRPr="005C5CBD" w:rsidRDefault="00A71FFE" w:rsidP="0011677F">
            <w:pPr>
              <w:pStyle w:val="TableParagraph"/>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1A67EFBD"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Chefe</w:t>
            </w:r>
          </w:p>
        </w:tc>
        <w:tc>
          <w:tcPr>
            <w:tcW w:w="1275" w:type="dxa"/>
            <w:vAlign w:val="center"/>
          </w:tcPr>
          <w:p w14:paraId="2064EB32" w14:textId="77777777" w:rsidR="00A71FFE" w:rsidRPr="005C5CBD" w:rsidRDefault="00A71FFE" w:rsidP="0011677F">
            <w:pPr>
              <w:pStyle w:val="TableParagraph"/>
              <w:ind w:left="13"/>
              <w:jc w:val="center"/>
              <w:rPr>
                <w:rFonts w:ascii="Garamond" w:hAnsi="Garamond"/>
                <w:sz w:val="16"/>
                <w:szCs w:val="16"/>
              </w:rPr>
            </w:pPr>
            <w:r w:rsidRPr="005C5CBD">
              <w:rPr>
                <w:rFonts w:ascii="Garamond" w:hAnsi="Garamond"/>
                <w:sz w:val="16"/>
                <w:szCs w:val="16"/>
              </w:rPr>
              <w:t>101.2</w:t>
            </w:r>
          </w:p>
        </w:tc>
      </w:tr>
      <w:tr w:rsidR="00A71FFE" w:rsidRPr="005C5CBD" w14:paraId="57D091E3" w14:textId="77777777" w:rsidTr="00603DBA">
        <w:trPr>
          <w:trHeight w:val="555"/>
          <w:jc w:val="center"/>
        </w:trPr>
        <w:tc>
          <w:tcPr>
            <w:tcW w:w="4688" w:type="dxa"/>
            <w:vAlign w:val="center"/>
          </w:tcPr>
          <w:p w14:paraId="39B89001" w14:textId="77777777" w:rsidR="00A71FFE" w:rsidRPr="005C5CBD" w:rsidRDefault="00A71FFE" w:rsidP="0011677F">
            <w:pPr>
              <w:pStyle w:val="TableParagraph"/>
              <w:spacing w:before="227"/>
              <w:rPr>
                <w:rFonts w:ascii="Garamond" w:hAnsi="Garamond"/>
                <w:sz w:val="16"/>
                <w:szCs w:val="16"/>
              </w:rPr>
            </w:pPr>
            <w:r w:rsidRPr="005C5CBD">
              <w:rPr>
                <w:rFonts w:ascii="Garamond" w:hAnsi="Garamond"/>
                <w:sz w:val="16"/>
                <w:szCs w:val="16"/>
              </w:rPr>
              <w:t>DEPARTAMENTO</w:t>
            </w:r>
            <w:r w:rsidRPr="005C5CBD">
              <w:rPr>
                <w:rFonts w:ascii="Garamond" w:hAnsi="Garamond"/>
                <w:spacing w:val="-2"/>
                <w:sz w:val="16"/>
                <w:szCs w:val="16"/>
              </w:rPr>
              <w:t xml:space="preserve"> </w:t>
            </w:r>
            <w:r w:rsidRPr="005C5CBD">
              <w:rPr>
                <w:rFonts w:ascii="Garamond" w:hAnsi="Garamond"/>
                <w:sz w:val="16"/>
                <w:szCs w:val="16"/>
              </w:rPr>
              <w:t>DE DEFESA</w:t>
            </w:r>
            <w:r w:rsidRPr="005C5CBD">
              <w:rPr>
                <w:rFonts w:ascii="Garamond" w:hAnsi="Garamond"/>
                <w:spacing w:val="-1"/>
                <w:sz w:val="16"/>
                <w:szCs w:val="16"/>
              </w:rPr>
              <w:t xml:space="preserve"> </w:t>
            </w:r>
            <w:r w:rsidRPr="005C5CBD">
              <w:rPr>
                <w:rFonts w:ascii="Garamond" w:hAnsi="Garamond"/>
                <w:sz w:val="16"/>
                <w:szCs w:val="16"/>
              </w:rPr>
              <w:t>COMERCIAL</w:t>
            </w:r>
          </w:p>
        </w:tc>
        <w:tc>
          <w:tcPr>
            <w:tcW w:w="992" w:type="dxa"/>
            <w:vAlign w:val="center"/>
          </w:tcPr>
          <w:p w14:paraId="78795226" w14:textId="77777777" w:rsidR="00A71FFE" w:rsidRPr="005C5CBD" w:rsidRDefault="00A71FFE" w:rsidP="0011677F">
            <w:pPr>
              <w:pStyle w:val="TableParagraph"/>
              <w:spacing w:before="227"/>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61516933" w14:textId="77777777" w:rsidR="00A71FFE" w:rsidRPr="005C5CBD" w:rsidRDefault="00A71FFE" w:rsidP="0011677F">
            <w:pPr>
              <w:pStyle w:val="TableParagraph"/>
              <w:spacing w:before="227"/>
              <w:rPr>
                <w:rFonts w:ascii="Garamond" w:hAnsi="Garamond"/>
                <w:sz w:val="16"/>
                <w:szCs w:val="16"/>
              </w:rPr>
            </w:pPr>
            <w:r w:rsidRPr="005C5CBD">
              <w:rPr>
                <w:rFonts w:ascii="Garamond" w:hAnsi="Garamond"/>
                <w:sz w:val="16"/>
                <w:szCs w:val="16"/>
              </w:rPr>
              <w:t>Diretor</w:t>
            </w:r>
          </w:p>
        </w:tc>
        <w:tc>
          <w:tcPr>
            <w:tcW w:w="1275" w:type="dxa"/>
            <w:vAlign w:val="center"/>
          </w:tcPr>
          <w:p w14:paraId="0B3DAADD" w14:textId="77777777" w:rsidR="00A71FFE" w:rsidRPr="005C5CBD" w:rsidRDefault="00A71FFE" w:rsidP="0011677F">
            <w:pPr>
              <w:pStyle w:val="TableParagraph"/>
              <w:spacing w:before="227"/>
              <w:ind w:left="13"/>
              <w:jc w:val="center"/>
              <w:rPr>
                <w:rFonts w:ascii="Garamond" w:hAnsi="Garamond"/>
                <w:sz w:val="16"/>
                <w:szCs w:val="16"/>
              </w:rPr>
            </w:pPr>
            <w:r w:rsidRPr="005C5CBD">
              <w:rPr>
                <w:rFonts w:ascii="Garamond" w:hAnsi="Garamond"/>
                <w:sz w:val="16"/>
                <w:szCs w:val="16"/>
              </w:rPr>
              <w:t>101.5</w:t>
            </w:r>
          </w:p>
        </w:tc>
      </w:tr>
      <w:tr w:rsidR="00A71FFE" w:rsidRPr="005C5CBD" w14:paraId="35856BDF" w14:textId="77777777" w:rsidTr="00603DBA">
        <w:trPr>
          <w:trHeight w:val="369"/>
          <w:jc w:val="center"/>
        </w:trPr>
        <w:tc>
          <w:tcPr>
            <w:tcW w:w="4688" w:type="dxa"/>
            <w:vAlign w:val="center"/>
          </w:tcPr>
          <w:p w14:paraId="777994BE" w14:textId="77777777" w:rsidR="00A71FFE" w:rsidRPr="005C5CBD" w:rsidRDefault="00A71FFE" w:rsidP="0011677F">
            <w:pPr>
              <w:pStyle w:val="TableParagraph"/>
              <w:rPr>
                <w:rFonts w:ascii="Garamond" w:hAnsi="Garamond"/>
                <w:sz w:val="16"/>
                <w:szCs w:val="16"/>
              </w:rPr>
            </w:pPr>
          </w:p>
        </w:tc>
        <w:tc>
          <w:tcPr>
            <w:tcW w:w="992" w:type="dxa"/>
            <w:vAlign w:val="center"/>
          </w:tcPr>
          <w:p w14:paraId="0E4C30B7" w14:textId="77777777" w:rsidR="00A71FFE" w:rsidRPr="005C5CBD" w:rsidRDefault="00A71FFE" w:rsidP="0011677F">
            <w:pPr>
              <w:pStyle w:val="TableParagraph"/>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1BF5A158"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Assistente</w:t>
            </w:r>
          </w:p>
        </w:tc>
        <w:tc>
          <w:tcPr>
            <w:tcW w:w="1275" w:type="dxa"/>
            <w:vAlign w:val="center"/>
          </w:tcPr>
          <w:p w14:paraId="393B5DAC" w14:textId="77777777" w:rsidR="00A71FFE" w:rsidRPr="005C5CBD" w:rsidRDefault="00A71FFE" w:rsidP="0011677F">
            <w:pPr>
              <w:pStyle w:val="TableParagraph"/>
              <w:ind w:left="13"/>
              <w:jc w:val="center"/>
              <w:rPr>
                <w:rFonts w:ascii="Garamond" w:hAnsi="Garamond"/>
                <w:sz w:val="16"/>
                <w:szCs w:val="16"/>
              </w:rPr>
            </w:pPr>
            <w:r w:rsidRPr="005C5CBD">
              <w:rPr>
                <w:rFonts w:ascii="Garamond" w:hAnsi="Garamond"/>
                <w:sz w:val="16"/>
                <w:szCs w:val="16"/>
              </w:rPr>
              <w:t>102.2</w:t>
            </w:r>
          </w:p>
        </w:tc>
      </w:tr>
      <w:tr w:rsidR="00A71FFE" w:rsidRPr="005C5CBD" w14:paraId="2A364DAA" w14:textId="77777777" w:rsidTr="00603DBA">
        <w:trPr>
          <w:trHeight w:val="523"/>
          <w:jc w:val="center"/>
        </w:trPr>
        <w:tc>
          <w:tcPr>
            <w:tcW w:w="4688" w:type="dxa"/>
            <w:vAlign w:val="center"/>
          </w:tcPr>
          <w:p w14:paraId="5A88226D"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Divisão</w:t>
            </w:r>
          </w:p>
        </w:tc>
        <w:tc>
          <w:tcPr>
            <w:tcW w:w="992" w:type="dxa"/>
            <w:vAlign w:val="center"/>
          </w:tcPr>
          <w:p w14:paraId="339D9653" w14:textId="77777777" w:rsidR="00A71FFE" w:rsidRPr="005C5CBD" w:rsidRDefault="00A71FFE" w:rsidP="0011677F">
            <w:pPr>
              <w:pStyle w:val="TableParagraph"/>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3F9CC91E"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Chefe</w:t>
            </w:r>
          </w:p>
        </w:tc>
        <w:tc>
          <w:tcPr>
            <w:tcW w:w="1275" w:type="dxa"/>
            <w:vAlign w:val="center"/>
          </w:tcPr>
          <w:p w14:paraId="7CDC4B01" w14:textId="77777777" w:rsidR="00A71FFE" w:rsidRPr="005C5CBD" w:rsidRDefault="00A71FFE" w:rsidP="0011677F">
            <w:pPr>
              <w:pStyle w:val="TableParagraph"/>
              <w:ind w:left="13"/>
              <w:jc w:val="center"/>
              <w:rPr>
                <w:rFonts w:ascii="Garamond" w:hAnsi="Garamond"/>
                <w:sz w:val="16"/>
                <w:szCs w:val="16"/>
              </w:rPr>
            </w:pPr>
            <w:r w:rsidRPr="005C5CBD">
              <w:rPr>
                <w:rFonts w:ascii="Garamond" w:hAnsi="Garamond"/>
                <w:sz w:val="16"/>
                <w:szCs w:val="16"/>
              </w:rPr>
              <w:t>101.2</w:t>
            </w:r>
          </w:p>
        </w:tc>
      </w:tr>
      <w:tr w:rsidR="00A71FFE" w:rsidRPr="005C5CBD" w14:paraId="5B3B29F4" w14:textId="77777777" w:rsidTr="00603DBA">
        <w:trPr>
          <w:trHeight w:val="799"/>
          <w:jc w:val="center"/>
        </w:trPr>
        <w:tc>
          <w:tcPr>
            <w:tcW w:w="4688" w:type="dxa"/>
            <w:vAlign w:val="center"/>
          </w:tcPr>
          <w:p w14:paraId="004E469B" w14:textId="77777777" w:rsidR="00A71FFE" w:rsidRPr="005C5CBD" w:rsidRDefault="00A71FFE" w:rsidP="0011677F">
            <w:pPr>
              <w:pStyle w:val="TableParagraph"/>
              <w:spacing w:before="195"/>
              <w:ind w:right="694"/>
              <w:rPr>
                <w:rFonts w:ascii="Garamond" w:hAnsi="Garamond"/>
                <w:sz w:val="16"/>
                <w:szCs w:val="16"/>
                <w:lang w:val="pt-BR"/>
              </w:rPr>
            </w:pPr>
            <w:r w:rsidRPr="005C5CBD">
              <w:rPr>
                <w:rFonts w:ascii="Garamond" w:hAnsi="Garamond"/>
                <w:sz w:val="16"/>
                <w:szCs w:val="16"/>
                <w:lang w:val="pt-BR"/>
              </w:rPr>
              <w:t>Coordenação-Geral</w:t>
            </w:r>
            <w:r w:rsidRPr="005C5CBD">
              <w:rPr>
                <w:rFonts w:ascii="Garamond" w:hAnsi="Garamond"/>
                <w:spacing w:val="-2"/>
                <w:sz w:val="16"/>
                <w:szCs w:val="16"/>
                <w:lang w:val="pt-BR"/>
              </w:rPr>
              <w:t xml:space="preserve"> </w:t>
            </w:r>
            <w:r w:rsidRPr="005C5CBD">
              <w:rPr>
                <w:rFonts w:ascii="Garamond" w:hAnsi="Garamond"/>
                <w:sz w:val="16"/>
                <w:szCs w:val="16"/>
                <w:lang w:val="pt-BR"/>
              </w:rPr>
              <w:t>de</w:t>
            </w:r>
            <w:r w:rsidRPr="005C5CBD">
              <w:rPr>
                <w:rFonts w:ascii="Garamond" w:hAnsi="Garamond"/>
                <w:spacing w:val="-1"/>
                <w:sz w:val="16"/>
                <w:szCs w:val="16"/>
                <w:lang w:val="pt-BR"/>
              </w:rPr>
              <w:t xml:space="preserve"> </w:t>
            </w:r>
            <w:r w:rsidRPr="005C5CBD">
              <w:rPr>
                <w:rFonts w:ascii="Garamond" w:hAnsi="Garamond"/>
                <w:b/>
                <w:sz w:val="16"/>
                <w:szCs w:val="16"/>
                <w:lang w:val="pt-BR"/>
              </w:rPr>
              <w:t>Antidumping</w:t>
            </w:r>
            <w:r w:rsidRPr="005C5CBD">
              <w:rPr>
                <w:rFonts w:ascii="Garamond" w:hAnsi="Garamond"/>
                <w:sz w:val="16"/>
                <w:szCs w:val="16"/>
                <w:lang w:val="pt-BR"/>
              </w:rPr>
              <w:t>,</w:t>
            </w:r>
            <w:r w:rsidRPr="005C5CBD">
              <w:rPr>
                <w:rFonts w:ascii="Garamond" w:hAnsi="Garamond"/>
                <w:spacing w:val="-2"/>
                <w:sz w:val="16"/>
                <w:szCs w:val="16"/>
                <w:lang w:val="pt-BR"/>
              </w:rPr>
              <w:t xml:space="preserve"> </w:t>
            </w:r>
            <w:r w:rsidRPr="005C5CBD">
              <w:rPr>
                <w:rFonts w:ascii="Garamond" w:hAnsi="Garamond"/>
                <w:sz w:val="16"/>
                <w:szCs w:val="16"/>
                <w:lang w:val="pt-BR"/>
              </w:rPr>
              <w:t>Salvaguardas</w:t>
            </w:r>
            <w:r w:rsidRPr="005C5CBD">
              <w:rPr>
                <w:rFonts w:ascii="Garamond" w:hAnsi="Garamond"/>
                <w:spacing w:val="-2"/>
                <w:sz w:val="16"/>
                <w:szCs w:val="16"/>
                <w:lang w:val="pt-BR"/>
              </w:rPr>
              <w:t xml:space="preserve"> </w:t>
            </w:r>
            <w:r w:rsidRPr="005C5CBD">
              <w:rPr>
                <w:rFonts w:ascii="Garamond" w:hAnsi="Garamond"/>
                <w:sz w:val="16"/>
                <w:szCs w:val="16"/>
                <w:lang w:val="pt-BR"/>
              </w:rPr>
              <w:t>e</w:t>
            </w:r>
            <w:r w:rsidRPr="005C5CBD">
              <w:rPr>
                <w:rFonts w:ascii="Garamond" w:hAnsi="Garamond"/>
                <w:spacing w:val="-2"/>
                <w:sz w:val="16"/>
                <w:szCs w:val="16"/>
                <w:lang w:val="pt-BR"/>
              </w:rPr>
              <w:t xml:space="preserve"> </w:t>
            </w:r>
            <w:r w:rsidRPr="005C5CBD">
              <w:rPr>
                <w:rFonts w:ascii="Garamond" w:hAnsi="Garamond"/>
                <w:sz w:val="16"/>
                <w:szCs w:val="16"/>
                <w:lang w:val="pt-BR"/>
              </w:rPr>
              <w:t>Apoio</w:t>
            </w:r>
            <w:r w:rsidRPr="005C5CBD">
              <w:rPr>
                <w:rFonts w:ascii="Garamond" w:hAnsi="Garamond"/>
                <w:spacing w:val="-1"/>
                <w:sz w:val="16"/>
                <w:szCs w:val="16"/>
                <w:lang w:val="pt-BR"/>
              </w:rPr>
              <w:t xml:space="preserve"> </w:t>
            </w:r>
            <w:r w:rsidRPr="005C5CBD">
              <w:rPr>
                <w:rFonts w:ascii="Garamond" w:hAnsi="Garamond"/>
                <w:sz w:val="16"/>
                <w:szCs w:val="16"/>
                <w:lang w:val="pt-BR"/>
              </w:rPr>
              <w:t>ao</w:t>
            </w:r>
            <w:r w:rsidRPr="005C5CBD">
              <w:rPr>
                <w:rFonts w:ascii="Garamond" w:hAnsi="Garamond"/>
                <w:spacing w:val="-57"/>
                <w:sz w:val="16"/>
                <w:szCs w:val="16"/>
                <w:lang w:val="pt-BR"/>
              </w:rPr>
              <w:t xml:space="preserve"> </w:t>
            </w:r>
            <w:r w:rsidRPr="005C5CBD">
              <w:rPr>
                <w:rFonts w:ascii="Garamond" w:hAnsi="Garamond"/>
                <w:sz w:val="16"/>
                <w:szCs w:val="16"/>
                <w:lang w:val="pt-BR"/>
              </w:rPr>
              <w:t>Exportador</w:t>
            </w:r>
          </w:p>
        </w:tc>
        <w:tc>
          <w:tcPr>
            <w:tcW w:w="992" w:type="dxa"/>
            <w:vAlign w:val="center"/>
          </w:tcPr>
          <w:p w14:paraId="0F018EC1" w14:textId="77777777" w:rsidR="00A71FFE" w:rsidRPr="005C5CBD" w:rsidRDefault="00A71FFE" w:rsidP="0011677F">
            <w:pPr>
              <w:pStyle w:val="TableParagraph"/>
              <w:spacing w:before="172"/>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08970043" w14:textId="77777777" w:rsidR="00A71FFE" w:rsidRPr="005C5CBD" w:rsidRDefault="00A71FFE" w:rsidP="0011677F">
            <w:pPr>
              <w:pStyle w:val="TableParagraph"/>
              <w:spacing w:before="172"/>
              <w:rPr>
                <w:rFonts w:ascii="Garamond" w:hAnsi="Garamond"/>
                <w:sz w:val="16"/>
                <w:szCs w:val="16"/>
              </w:rPr>
            </w:pPr>
            <w:r w:rsidRPr="005C5CBD">
              <w:rPr>
                <w:rFonts w:ascii="Garamond" w:hAnsi="Garamond"/>
                <w:sz w:val="16"/>
                <w:szCs w:val="16"/>
              </w:rPr>
              <w:t>Coordenador-Geral</w:t>
            </w:r>
          </w:p>
        </w:tc>
        <w:tc>
          <w:tcPr>
            <w:tcW w:w="1275" w:type="dxa"/>
            <w:vAlign w:val="center"/>
          </w:tcPr>
          <w:p w14:paraId="0BF1EDC4" w14:textId="77777777" w:rsidR="00A71FFE" w:rsidRPr="005C5CBD" w:rsidRDefault="00A71FFE" w:rsidP="0011677F">
            <w:pPr>
              <w:pStyle w:val="TableParagraph"/>
              <w:spacing w:before="172"/>
              <w:ind w:left="13"/>
              <w:jc w:val="center"/>
              <w:rPr>
                <w:rFonts w:ascii="Garamond" w:hAnsi="Garamond"/>
                <w:sz w:val="16"/>
                <w:szCs w:val="16"/>
              </w:rPr>
            </w:pPr>
            <w:r w:rsidRPr="005C5CBD">
              <w:rPr>
                <w:rFonts w:ascii="Garamond" w:hAnsi="Garamond"/>
                <w:sz w:val="16"/>
                <w:szCs w:val="16"/>
              </w:rPr>
              <w:t>101.4</w:t>
            </w:r>
          </w:p>
        </w:tc>
      </w:tr>
      <w:tr w:rsidR="00A71FFE" w:rsidRPr="005C5CBD" w14:paraId="244B2A3F" w14:textId="77777777" w:rsidTr="00603DBA">
        <w:trPr>
          <w:trHeight w:val="369"/>
          <w:jc w:val="center"/>
        </w:trPr>
        <w:tc>
          <w:tcPr>
            <w:tcW w:w="4688" w:type="dxa"/>
            <w:vAlign w:val="center"/>
          </w:tcPr>
          <w:p w14:paraId="07C566DC"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Coordenação</w:t>
            </w:r>
          </w:p>
        </w:tc>
        <w:tc>
          <w:tcPr>
            <w:tcW w:w="992" w:type="dxa"/>
            <w:vAlign w:val="center"/>
          </w:tcPr>
          <w:p w14:paraId="3B07CB02" w14:textId="77777777" w:rsidR="00A71FFE" w:rsidRPr="005C5CBD" w:rsidRDefault="00A71FFE" w:rsidP="0011677F">
            <w:pPr>
              <w:pStyle w:val="TableParagraph"/>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3503D156"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Coordenador</w:t>
            </w:r>
          </w:p>
        </w:tc>
        <w:tc>
          <w:tcPr>
            <w:tcW w:w="1275" w:type="dxa"/>
            <w:vAlign w:val="center"/>
          </w:tcPr>
          <w:p w14:paraId="6E82A043" w14:textId="77777777" w:rsidR="00A71FFE" w:rsidRPr="005C5CBD" w:rsidRDefault="00A71FFE" w:rsidP="0011677F">
            <w:pPr>
              <w:pStyle w:val="TableParagraph"/>
              <w:ind w:left="13"/>
              <w:jc w:val="center"/>
              <w:rPr>
                <w:rFonts w:ascii="Garamond" w:hAnsi="Garamond"/>
                <w:sz w:val="16"/>
                <w:szCs w:val="16"/>
              </w:rPr>
            </w:pPr>
            <w:r w:rsidRPr="005C5CBD">
              <w:rPr>
                <w:rFonts w:ascii="Garamond" w:hAnsi="Garamond"/>
                <w:sz w:val="16"/>
                <w:szCs w:val="16"/>
              </w:rPr>
              <w:t>101.3</w:t>
            </w:r>
          </w:p>
        </w:tc>
      </w:tr>
      <w:tr w:rsidR="00A71FFE" w:rsidRPr="005C5CBD" w14:paraId="213F0B37" w14:textId="77777777" w:rsidTr="00603DBA">
        <w:trPr>
          <w:trHeight w:val="554"/>
          <w:jc w:val="center"/>
        </w:trPr>
        <w:tc>
          <w:tcPr>
            <w:tcW w:w="4688" w:type="dxa"/>
            <w:vAlign w:val="center"/>
          </w:tcPr>
          <w:p w14:paraId="72A068C2"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Serviço</w:t>
            </w:r>
          </w:p>
        </w:tc>
        <w:tc>
          <w:tcPr>
            <w:tcW w:w="992" w:type="dxa"/>
            <w:vAlign w:val="center"/>
          </w:tcPr>
          <w:p w14:paraId="0EDFCB52" w14:textId="77777777" w:rsidR="00A71FFE" w:rsidRPr="005C5CBD" w:rsidRDefault="00A71FFE" w:rsidP="0011677F">
            <w:pPr>
              <w:pStyle w:val="TableParagraph"/>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3A87D18C"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Chefe</w:t>
            </w:r>
          </w:p>
        </w:tc>
        <w:tc>
          <w:tcPr>
            <w:tcW w:w="1275" w:type="dxa"/>
            <w:vAlign w:val="center"/>
          </w:tcPr>
          <w:p w14:paraId="077EA9A6" w14:textId="77777777" w:rsidR="00A71FFE" w:rsidRPr="005C5CBD" w:rsidRDefault="00A71FFE" w:rsidP="0011677F">
            <w:pPr>
              <w:pStyle w:val="TableParagraph"/>
              <w:ind w:left="13"/>
              <w:jc w:val="center"/>
              <w:rPr>
                <w:rFonts w:ascii="Garamond" w:hAnsi="Garamond"/>
                <w:sz w:val="16"/>
                <w:szCs w:val="16"/>
              </w:rPr>
            </w:pPr>
            <w:r w:rsidRPr="005C5CBD">
              <w:rPr>
                <w:rFonts w:ascii="Garamond" w:hAnsi="Garamond"/>
                <w:sz w:val="16"/>
                <w:szCs w:val="16"/>
              </w:rPr>
              <w:t>101.1</w:t>
            </w:r>
          </w:p>
        </w:tc>
      </w:tr>
      <w:tr w:rsidR="00A71FFE" w:rsidRPr="005C5CBD" w14:paraId="559530E3" w14:textId="77777777" w:rsidTr="00603DBA">
        <w:trPr>
          <w:trHeight w:val="555"/>
          <w:jc w:val="center"/>
        </w:trPr>
        <w:tc>
          <w:tcPr>
            <w:tcW w:w="4688" w:type="dxa"/>
            <w:vAlign w:val="center"/>
          </w:tcPr>
          <w:p w14:paraId="0A9E0284" w14:textId="77777777" w:rsidR="00A71FFE" w:rsidRPr="005C5CBD" w:rsidRDefault="00A71FFE" w:rsidP="0011677F">
            <w:pPr>
              <w:pStyle w:val="TableParagraph"/>
              <w:spacing w:before="226"/>
              <w:rPr>
                <w:rFonts w:ascii="Garamond" w:hAnsi="Garamond"/>
                <w:sz w:val="16"/>
                <w:szCs w:val="16"/>
                <w:lang w:val="pt-BR"/>
              </w:rPr>
            </w:pPr>
            <w:r w:rsidRPr="005C5CBD">
              <w:rPr>
                <w:rFonts w:ascii="Garamond" w:hAnsi="Garamond"/>
                <w:sz w:val="16"/>
                <w:szCs w:val="16"/>
                <w:lang w:val="pt-BR"/>
              </w:rPr>
              <w:t>Coordenação-Geral</w:t>
            </w:r>
            <w:r w:rsidRPr="005C5CBD">
              <w:rPr>
                <w:rFonts w:ascii="Garamond" w:hAnsi="Garamond"/>
                <w:spacing w:val="-2"/>
                <w:sz w:val="16"/>
                <w:szCs w:val="16"/>
                <w:lang w:val="pt-BR"/>
              </w:rPr>
              <w:t xml:space="preserve"> </w:t>
            </w:r>
            <w:r w:rsidRPr="005C5CBD">
              <w:rPr>
                <w:rFonts w:ascii="Garamond" w:hAnsi="Garamond"/>
                <w:sz w:val="16"/>
                <w:szCs w:val="16"/>
                <w:lang w:val="pt-BR"/>
              </w:rPr>
              <w:t xml:space="preserve">de </w:t>
            </w:r>
            <w:r w:rsidRPr="005C5CBD">
              <w:rPr>
                <w:rFonts w:ascii="Garamond" w:hAnsi="Garamond"/>
                <w:b/>
                <w:sz w:val="16"/>
                <w:szCs w:val="16"/>
                <w:lang w:val="pt-BR"/>
              </w:rPr>
              <w:t xml:space="preserve">Antidumping </w:t>
            </w:r>
            <w:r w:rsidRPr="005C5CBD">
              <w:rPr>
                <w:rFonts w:ascii="Garamond" w:hAnsi="Garamond"/>
                <w:sz w:val="16"/>
                <w:szCs w:val="16"/>
                <w:lang w:val="pt-BR"/>
              </w:rPr>
              <w:t>e</w:t>
            </w:r>
            <w:r w:rsidRPr="005C5CBD">
              <w:rPr>
                <w:rFonts w:ascii="Garamond" w:hAnsi="Garamond"/>
                <w:spacing w:val="-3"/>
                <w:sz w:val="16"/>
                <w:szCs w:val="16"/>
                <w:lang w:val="pt-BR"/>
              </w:rPr>
              <w:t xml:space="preserve"> </w:t>
            </w:r>
            <w:r w:rsidRPr="005C5CBD">
              <w:rPr>
                <w:rFonts w:ascii="Garamond" w:hAnsi="Garamond"/>
                <w:sz w:val="16"/>
                <w:szCs w:val="16"/>
                <w:lang w:val="pt-BR"/>
              </w:rPr>
              <w:t>Solução</w:t>
            </w:r>
            <w:r w:rsidRPr="005C5CBD">
              <w:rPr>
                <w:rFonts w:ascii="Garamond" w:hAnsi="Garamond"/>
                <w:spacing w:val="-1"/>
                <w:sz w:val="16"/>
                <w:szCs w:val="16"/>
                <w:lang w:val="pt-BR"/>
              </w:rPr>
              <w:t xml:space="preserve"> </w:t>
            </w:r>
            <w:r w:rsidRPr="005C5CBD">
              <w:rPr>
                <w:rFonts w:ascii="Garamond" w:hAnsi="Garamond"/>
                <w:sz w:val="16"/>
                <w:szCs w:val="16"/>
                <w:lang w:val="pt-BR"/>
              </w:rPr>
              <w:t>de</w:t>
            </w:r>
            <w:r w:rsidRPr="005C5CBD">
              <w:rPr>
                <w:rFonts w:ascii="Garamond" w:hAnsi="Garamond"/>
                <w:spacing w:val="-3"/>
                <w:sz w:val="16"/>
                <w:szCs w:val="16"/>
                <w:lang w:val="pt-BR"/>
              </w:rPr>
              <w:t xml:space="preserve"> </w:t>
            </w:r>
            <w:r w:rsidRPr="005C5CBD">
              <w:rPr>
                <w:rFonts w:ascii="Garamond" w:hAnsi="Garamond"/>
                <w:sz w:val="16"/>
                <w:szCs w:val="16"/>
                <w:lang w:val="pt-BR"/>
              </w:rPr>
              <w:t>Controvérsias</w:t>
            </w:r>
          </w:p>
        </w:tc>
        <w:tc>
          <w:tcPr>
            <w:tcW w:w="992" w:type="dxa"/>
            <w:vAlign w:val="center"/>
          </w:tcPr>
          <w:p w14:paraId="6AD34B02" w14:textId="77777777" w:rsidR="00A71FFE" w:rsidRPr="005C5CBD" w:rsidRDefault="00A71FFE" w:rsidP="0011677F">
            <w:pPr>
              <w:pStyle w:val="TableParagraph"/>
              <w:spacing w:before="226"/>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46F16963" w14:textId="77777777" w:rsidR="00A71FFE" w:rsidRPr="005C5CBD" w:rsidRDefault="00A71FFE" w:rsidP="0011677F">
            <w:pPr>
              <w:pStyle w:val="TableParagraph"/>
              <w:spacing w:before="226"/>
              <w:rPr>
                <w:rFonts w:ascii="Garamond" w:hAnsi="Garamond"/>
                <w:sz w:val="16"/>
                <w:szCs w:val="16"/>
              </w:rPr>
            </w:pPr>
            <w:r w:rsidRPr="005C5CBD">
              <w:rPr>
                <w:rFonts w:ascii="Garamond" w:hAnsi="Garamond"/>
                <w:sz w:val="16"/>
                <w:szCs w:val="16"/>
              </w:rPr>
              <w:t>Coordenador-Geral</w:t>
            </w:r>
          </w:p>
        </w:tc>
        <w:tc>
          <w:tcPr>
            <w:tcW w:w="1275" w:type="dxa"/>
            <w:vAlign w:val="center"/>
          </w:tcPr>
          <w:p w14:paraId="3664D6E7" w14:textId="77777777" w:rsidR="00A71FFE" w:rsidRPr="005C5CBD" w:rsidRDefault="00A71FFE" w:rsidP="0011677F">
            <w:pPr>
              <w:pStyle w:val="TableParagraph"/>
              <w:spacing w:before="226"/>
              <w:ind w:left="13"/>
              <w:jc w:val="center"/>
              <w:rPr>
                <w:rFonts w:ascii="Garamond" w:hAnsi="Garamond"/>
                <w:sz w:val="16"/>
                <w:szCs w:val="16"/>
              </w:rPr>
            </w:pPr>
            <w:r w:rsidRPr="005C5CBD">
              <w:rPr>
                <w:rFonts w:ascii="Garamond" w:hAnsi="Garamond"/>
                <w:sz w:val="16"/>
                <w:szCs w:val="16"/>
              </w:rPr>
              <w:t>101.4</w:t>
            </w:r>
          </w:p>
        </w:tc>
      </w:tr>
      <w:tr w:rsidR="00A71FFE" w:rsidRPr="005C5CBD" w14:paraId="15DE34B1" w14:textId="77777777" w:rsidTr="00603DBA">
        <w:trPr>
          <w:trHeight w:val="370"/>
          <w:jc w:val="center"/>
        </w:trPr>
        <w:tc>
          <w:tcPr>
            <w:tcW w:w="4688" w:type="dxa"/>
            <w:vAlign w:val="center"/>
          </w:tcPr>
          <w:p w14:paraId="57814D8E" w14:textId="77777777" w:rsidR="00A71FFE" w:rsidRPr="005C5CBD" w:rsidRDefault="00A71FFE" w:rsidP="0011677F">
            <w:pPr>
              <w:pStyle w:val="TableParagraph"/>
              <w:spacing w:before="43"/>
              <w:rPr>
                <w:rFonts w:ascii="Garamond" w:hAnsi="Garamond"/>
                <w:sz w:val="16"/>
                <w:szCs w:val="16"/>
              </w:rPr>
            </w:pPr>
            <w:r w:rsidRPr="005C5CBD">
              <w:rPr>
                <w:rFonts w:ascii="Garamond" w:hAnsi="Garamond"/>
                <w:sz w:val="16"/>
                <w:szCs w:val="16"/>
              </w:rPr>
              <w:t>Coordenação</w:t>
            </w:r>
          </w:p>
        </w:tc>
        <w:tc>
          <w:tcPr>
            <w:tcW w:w="992" w:type="dxa"/>
            <w:vAlign w:val="center"/>
          </w:tcPr>
          <w:p w14:paraId="1689194E" w14:textId="77777777" w:rsidR="00A71FFE" w:rsidRPr="005C5CBD" w:rsidRDefault="00A71FFE" w:rsidP="0011677F">
            <w:pPr>
              <w:pStyle w:val="TableParagraph"/>
              <w:spacing w:before="43"/>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249C7B36" w14:textId="77777777" w:rsidR="00A71FFE" w:rsidRPr="005C5CBD" w:rsidRDefault="00A71FFE" w:rsidP="0011677F">
            <w:pPr>
              <w:pStyle w:val="TableParagraph"/>
              <w:spacing w:before="43"/>
              <w:rPr>
                <w:rFonts w:ascii="Garamond" w:hAnsi="Garamond"/>
                <w:sz w:val="16"/>
                <w:szCs w:val="16"/>
              </w:rPr>
            </w:pPr>
            <w:r w:rsidRPr="005C5CBD">
              <w:rPr>
                <w:rFonts w:ascii="Garamond" w:hAnsi="Garamond"/>
                <w:sz w:val="16"/>
                <w:szCs w:val="16"/>
              </w:rPr>
              <w:t>Coordenador</w:t>
            </w:r>
          </w:p>
        </w:tc>
        <w:tc>
          <w:tcPr>
            <w:tcW w:w="1275" w:type="dxa"/>
            <w:vAlign w:val="center"/>
          </w:tcPr>
          <w:p w14:paraId="222F9119" w14:textId="77777777" w:rsidR="00A71FFE" w:rsidRPr="005C5CBD" w:rsidRDefault="00A71FFE" w:rsidP="0011677F">
            <w:pPr>
              <w:pStyle w:val="TableParagraph"/>
              <w:spacing w:before="43"/>
              <w:ind w:left="13"/>
              <w:jc w:val="center"/>
              <w:rPr>
                <w:rFonts w:ascii="Garamond" w:hAnsi="Garamond"/>
                <w:sz w:val="16"/>
                <w:szCs w:val="16"/>
              </w:rPr>
            </w:pPr>
            <w:r w:rsidRPr="005C5CBD">
              <w:rPr>
                <w:rFonts w:ascii="Garamond" w:hAnsi="Garamond"/>
                <w:sz w:val="16"/>
                <w:szCs w:val="16"/>
              </w:rPr>
              <w:t>101.3</w:t>
            </w:r>
          </w:p>
        </w:tc>
      </w:tr>
      <w:tr w:rsidR="00A71FFE" w:rsidRPr="005C5CBD" w14:paraId="3E03E402" w14:textId="77777777" w:rsidTr="00603DBA">
        <w:trPr>
          <w:trHeight w:val="554"/>
          <w:jc w:val="center"/>
        </w:trPr>
        <w:tc>
          <w:tcPr>
            <w:tcW w:w="4688" w:type="dxa"/>
            <w:vAlign w:val="center"/>
          </w:tcPr>
          <w:p w14:paraId="08981E28"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Serviço</w:t>
            </w:r>
          </w:p>
        </w:tc>
        <w:tc>
          <w:tcPr>
            <w:tcW w:w="992" w:type="dxa"/>
            <w:vAlign w:val="center"/>
          </w:tcPr>
          <w:p w14:paraId="4EC98C51" w14:textId="77777777" w:rsidR="00A71FFE" w:rsidRPr="005C5CBD" w:rsidRDefault="00A71FFE" w:rsidP="0011677F">
            <w:pPr>
              <w:pStyle w:val="TableParagraph"/>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2518EA93"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Chefe</w:t>
            </w:r>
          </w:p>
        </w:tc>
        <w:tc>
          <w:tcPr>
            <w:tcW w:w="1275" w:type="dxa"/>
            <w:vAlign w:val="center"/>
          </w:tcPr>
          <w:p w14:paraId="47EBD980" w14:textId="77777777" w:rsidR="00A71FFE" w:rsidRPr="005C5CBD" w:rsidRDefault="00A71FFE" w:rsidP="0011677F">
            <w:pPr>
              <w:pStyle w:val="TableParagraph"/>
              <w:ind w:left="13"/>
              <w:jc w:val="center"/>
              <w:rPr>
                <w:rFonts w:ascii="Garamond" w:hAnsi="Garamond"/>
                <w:sz w:val="16"/>
                <w:szCs w:val="16"/>
              </w:rPr>
            </w:pPr>
            <w:r w:rsidRPr="005C5CBD">
              <w:rPr>
                <w:rFonts w:ascii="Garamond" w:hAnsi="Garamond"/>
                <w:sz w:val="16"/>
                <w:szCs w:val="16"/>
              </w:rPr>
              <w:t>101.1</w:t>
            </w:r>
          </w:p>
        </w:tc>
      </w:tr>
      <w:tr w:rsidR="00A71FFE" w:rsidRPr="005C5CBD" w14:paraId="512B0538" w14:textId="77777777" w:rsidTr="00603DBA">
        <w:trPr>
          <w:trHeight w:val="554"/>
          <w:jc w:val="center"/>
        </w:trPr>
        <w:tc>
          <w:tcPr>
            <w:tcW w:w="4688" w:type="dxa"/>
            <w:vAlign w:val="center"/>
          </w:tcPr>
          <w:p w14:paraId="364EF8C5" w14:textId="77777777" w:rsidR="00A71FFE" w:rsidRPr="005C5CBD" w:rsidRDefault="00A71FFE" w:rsidP="0011677F">
            <w:pPr>
              <w:pStyle w:val="TableParagraph"/>
              <w:spacing w:before="226"/>
              <w:rPr>
                <w:rFonts w:ascii="Garamond" w:hAnsi="Garamond"/>
                <w:sz w:val="16"/>
                <w:szCs w:val="16"/>
                <w:lang w:val="pt-BR"/>
              </w:rPr>
            </w:pPr>
            <w:r w:rsidRPr="005C5CBD">
              <w:rPr>
                <w:rFonts w:ascii="Garamond" w:hAnsi="Garamond"/>
                <w:sz w:val="16"/>
                <w:szCs w:val="16"/>
                <w:lang w:val="pt-BR"/>
              </w:rPr>
              <w:t>Coordenação-Geral</w:t>
            </w:r>
            <w:r w:rsidRPr="005C5CBD">
              <w:rPr>
                <w:rFonts w:ascii="Garamond" w:hAnsi="Garamond"/>
                <w:spacing w:val="-2"/>
                <w:sz w:val="16"/>
                <w:szCs w:val="16"/>
                <w:lang w:val="pt-BR"/>
              </w:rPr>
              <w:t xml:space="preserve"> </w:t>
            </w:r>
            <w:r w:rsidRPr="005C5CBD">
              <w:rPr>
                <w:rFonts w:ascii="Garamond" w:hAnsi="Garamond"/>
                <w:sz w:val="16"/>
                <w:szCs w:val="16"/>
                <w:lang w:val="pt-BR"/>
              </w:rPr>
              <w:t>de</w:t>
            </w:r>
            <w:r w:rsidRPr="005C5CBD">
              <w:rPr>
                <w:rFonts w:ascii="Garamond" w:hAnsi="Garamond"/>
                <w:spacing w:val="1"/>
                <w:sz w:val="16"/>
                <w:szCs w:val="16"/>
                <w:lang w:val="pt-BR"/>
              </w:rPr>
              <w:t xml:space="preserve"> </w:t>
            </w:r>
            <w:r w:rsidRPr="005C5CBD">
              <w:rPr>
                <w:rFonts w:ascii="Garamond" w:hAnsi="Garamond"/>
                <w:b/>
                <w:sz w:val="16"/>
                <w:szCs w:val="16"/>
                <w:lang w:val="pt-BR"/>
              </w:rPr>
              <w:t>Antidumping</w:t>
            </w:r>
            <w:r w:rsidRPr="005C5CBD">
              <w:rPr>
                <w:rFonts w:ascii="Garamond" w:hAnsi="Garamond"/>
                <w:b/>
                <w:spacing w:val="-1"/>
                <w:sz w:val="16"/>
                <w:szCs w:val="16"/>
                <w:lang w:val="pt-BR"/>
              </w:rPr>
              <w:t xml:space="preserve"> </w:t>
            </w:r>
            <w:r w:rsidRPr="005C5CBD">
              <w:rPr>
                <w:rFonts w:ascii="Garamond" w:hAnsi="Garamond"/>
                <w:sz w:val="16"/>
                <w:szCs w:val="16"/>
                <w:lang w:val="pt-BR"/>
              </w:rPr>
              <w:t>e</w:t>
            </w:r>
            <w:r w:rsidRPr="005C5CBD">
              <w:rPr>
                <w:rFonts w:ascii="Garamond" w:hAnsi="Garamond"/>
                <w:spacing w:val="-2"/>
                <w:sz w:val="16"/>
                <w:szCs w:val="16"/>
                <w:lang w:val="pt-BR"/>
              </w:rPr>
              <w:t xml:space="preserve"> </w:t>
            </w:r>
            <w:r w:rsidRPr="005C5CBD">
              <w:rPr>
                <w:rFonts w:ascii="Garamond" w:hAnsi="Garamond"/>
                <w:sz w:val="16"/>
                <w:szCs w:val="16"/>
                <w:lang w:val="pt-BR"/>
              </w:rPr>
              <w:t>Medidas</w:t>
            </w:r>
            <w:r w:rsidRPr="005C5CBD">
              <w:rPr>
                <w:rFonts w:ascii="Garamond" w:hAnsi="Garamond"/>
                <w:spacing w:val="-2"/>
                <w:sz w:val="16"/>
                <w:szCs w:val="16"/>
                <w:lang w:val="pt-BR"/>
              </w:rPr>
              <w:t xml:space="preserve"> </w:t>
            </w:r>
            <w:r w:rsidRPr="005C5CBD">
              <w:rPr>
                <w:rFonts w:ascii="Garamond" w:hAnsi="Garamond"/>
                <w:sz w:val="16"/>
                <w:szCs w:val="16"/>
                <w:lang w:val="pt-BR"/>
              </w:rPr>
              <w:t>Compensatórias</w:t>
            </w:r>
          </w:p>
        </w:tc>
        <w:tc>
          <w:tcPr>
            <w:tcW w:w="992" w:type="dxa"/>
            <w:vAlign w:val="center"/>
          </w:tcPr>
          <w:p w14:paraId="0EAA6174" w14:textId="77777777" w:rsidR="00A71FFE" w:rsidRPr="005C5CBD" w:rsidRDefault="00A71FFE" w:rsidP="0011677F">
            <w:pPr>
              <w:pStyle w:val="TableParagraph"/>
              <w:spacing w:before="226"/>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39696859" w14:textId="77777777" w:rsidR="00A71FFE" w:rsidRPr="005C5CBD" w:rsidRDefault="00A71FFE" w:rsidP="0011677F">
            <w:pPr>
              <w:pStyle w:val="TableParagraph"/>
              <w:spacing w:before="226"/>
              <w:rPr>
                <w:rFonts w:ascii="Garamond" w:hAnsi="Garamond"/>
                <w:sz w:val="16"/>
                <w:szCs w:val="16"/>
              </w:rPr>
            </w:pPr>
            <w:r w:rsidRPr="005C5CBD">
              <w:rPr>
                <w:rFonts w:ascii="Garamond" w:hAnsi="Garamond"/>
                <w:sz w:val="16"/>
                <w:szCs w:val="16"/>
              </w:rPr>
              <w:t>Coordenador-Geral</w:t>
            </w:r>
          </w:p>
        </w:tc>
        <w:tc>
          <w:tcPr>
            <w:tcW w:w="1275" w:type="dxa"/>
            <w:vAlign w:val="center"/>
          </w:tcPr>
          <w:p w14:paraId="1BD4E391" w14:textId="77777777" w:rsidR="00A71FFE" w:rsidRPr="005C5CBD" w:rsidRDefault="00A71FFE" w:rsidP="0011677F">
            <w:pPr>
              <w:pStyle w:val="TableParagraph"/>
              <w:spacing w:before="226"/>
              <w:ind w:left="13"/>
              <w:jc w:val="center"/>
              <w:rPr>
                <w:rFonts w:ascii="Garamond" w:hAnsi="Garamond"/>
                <w:sz w:val="16"/>
                <w:szCs w:val="16"/>
              </w:rPr>
            </w:pPr>
            <w:r w:rsidRPr="005C5CBD">
              <w:rPr>
                <w:rFonts w:ascii="Garamond" w:hAnsi="Garamond"/>
                <w:sz w:val="16"/>
                <w:szCs w:val="16"/>
              </w:rPr>
              <w:t>101.4</w:t>
            </w:r>
          </w:p>
        </w:tc>
      </w:tr>
      <w:tr w:rsidR="00A71FFE" w:rsidRPr="005C5CBD" w14:paraId="231B03F6" w14:textId="77777777" w:rsidTr="00603DBA">
        <w:trPr>
          <w:trHeight w:val="369"/>
          <w:jc w:val="center"/>
        </w:trPr>
        <w:tc>
          <w:tcPr>
            <w:tcW w:w="4688" w:type="dxa"/>
            <w:vAlign w:val="center"/>
          </w:tcPr>
          <w:p w14:paraId="7A74237C"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Coordenação</w:t>
            </w:r>
          </w:p>
        </w:tc>
        <w:tc>
          <w:tcPr>
            <w:tcW w:w="992" w:type="dxa"/>
            <w:vAlign w:val="center"/>
          </w:tcPr>
          <w:p w14:paraId="54824CB3" w14:textId="77777777" w:rsidR="00A71FFE" w:rsidRPr="005C5CBD" w:rsidRDefault="00A71FFE" w:rsidP="0011677F">
            <w:pPr>
              <w:pStyle w:val="TableParagraph"/>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25C54439" w14:textId="77777777" w:rsidR="00A71FFE" w:rsidRPr="005C5CBD" w:rsidRDefault="00A71FFE" w:rsidP="0011677F">
            <w:pPr>
              <w:pStyle w:val="TableParagraph"/>
              <w:rPr>
                <w:rFonts w:ascii="Garamond" w:hAnsi="Garamond"/>
                <w:sz w:val="16"/>
                <w:szCs w:val="16"/>
              </w:rPr>
            </w:pPr>
            <w:r w:rsidRPr="005C5CBD">
              <w:rPr>
                <w:rFonts w:ascii="Garamond" w:hAnsi="Garamond"/>
                <w:sz w:val="16"/>
                <w:szCs w:val="16"/>
              </w:rPr>
              <w:t>Coordenador</w:t>
            </w:r>
          </w:p>
        </w:tc>
        <w:tc>
          <w:tcPr>
            <w:tcW w:w="1275" w:type="dxa"/>
            <w:vAlign w:val="center"/>
          </w:tcPr>
          <w:p w14:paraId="1BD70657" w14:textId="77777777" w:rsidR="00A71FFE" w:rsidRPr="005C5CBD" w:rsidRDefault="00A71FFE" w:rsidP="0011677F">
            <w:pPr>
              <w:pStyle w:val="TableParagraph"/>
              <w:ind w:left="13"/>
              <w:jc w:val="center"/>
              <w:rPr>
                <w:rFonts w:ascii="Garamond" w:hAnsi="Garamond"/>
                <w:sz w:val="16"/>
                <w:szCs w:val="16"/>
              </w:rPr>
            </w:pPr>
            <w:r w:rsidRPr="005C5CBD">
              <w:rPr>
                <w:rFonts w:ascii="Garamond" w:hAnsi="Garamond"/>
                <w:sz w:val="16"/>
                <w:szCs w:val="16"/>
              </w:rPr>
              <w:t>101.3</w:t>
            </w:r>
          </w:p>
        </w:tc>
      </w:tr>
      <w:tr w:rsidR="00A71FFE" w:rsidRPr="005C5CBD" w14:paraId="23CFC863" w14:textId="77777777" w:rsidTr="00603DBA">
        <w:trPr>
          <w:trHeight w:val="555"/>
          <w:jc w:val="center"/>
        </w:trPr>
        <w:tc>
          <w:tcPr>
            <w:tcW w:w="4688" w:type="dxa"/>
            <w:vAlign w:val="center"/>
          </w:tcPr>
          <w:p w14:paraId="5E73AB5D" w14:textId="77777777" w:rsidR="00A71FFE" w:rsidRPr="005C5CBD" w:rsidRDefault="00A71FFE" w:rsidP="0011677F">
            <w:pPr>
              <w:pStyle w:val="TableParagraph"/>
              <w:spacing w:before="42"/>
              <w:rPr>
                <w:rFonts w:ascii="Garamond" w:hAnsi="Garamond"/>
                <w:sz w:val="16"/>
                <w:szCs w:val="16"/>
              </w:rPr>
            </w:pPr>
            <w:r w:rsidRPr="005C5CBD">
              <w:rPr>
                <w:rFonts w:ascii="Garamond" w:hAnsi="Garamond"/>
                <w:sz w:val="16"/>
                <w:szCs w:val="16"/>
              </w:rPr>
              <w:t>Serviço</w:t>
            </w:r>
          </w:p>
        </w:tc>
        <w:tc>
          <w:tcPr>
            <w:tcW w:w="992" w:type="dxa"/>
            <w:vAlign w:val="center"/>
          </w:tcPr>
          <w:p w14:paraId="1681F511" w14:textId="77777777" w:rsidR="00A71FFE" w:rsidRPr="005C5CBD" w:rsidRDefault="00A71FFE" w:rsidP="0011677F">
            <w:pPr>
              <w:pStyle w:val="TableParagraph"/>
              <w:spacing w:before="42"/>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12A33E55" w14:textId="77777777" w:rsidR="00A71FFE" w:rsidRPr="005C5CBD" w:rsidRDefault="00A71FFE" w:rsidP="0011677F">
            <w:pPr>
              <w:pStyle w:val="TableParagraph"/>
              <w:spacing w:before="42"/>
              <w:rPr>
                <w:rFonts w:ascii="Garamond" w:hAnsi="Garamond"/>
                <w:sz w:val="16"/>
                <w:szCs w:val="16"/>
              </w:rPr>
            </w:pPr>
            <w:r w:rsidRPr="005C5CBD">
              <w:rPr>
                <w:rFonts w:ascii="Garamond" w:hAnsi="Garamond"/>
                <w:sz w:val="16"/>
                <w:szCs w:val="16"/>
              </w:rPr>
              <w:t>Chefe</w:t>
            </w:r>
          </w:p>
        </w:tc>
        <w:tc>
          <w:tcPr>
            <w:tcW w:w="1275" w:type="dxa"/>
            <w:vAlign w:val="center"/>
          </w:tcPr>
          <w:p w14:paraId="1B9AFC5A" w14:textId="77777777" w:rsidR="00A71FFE" w:rsidRPr="005C5CBD" w:rsidRDefault="00A71FFE" w:rsidP="0011677F">
            <w:pPr>
              <w:pStyle w:val="TableParagraph"/>
              <w:spacing w:before="42"/>
              <w:ind w:left="13"/>
              <w:jc w:val="center"/>
              <w:rPr>
                <w:rFonts w:ascii="Garamond" w:hAnsi="Garamond"/>
                <w:sz w:val="16"/>
                <w:szCs w:val="16"/>
              </w:rPr>
            </w:pPr>
            <w:r w:rsidRPr="005C5CBD">
              <w:rPr>
                <w:rFonts w:ascii="Garamond" w:hAnsi="Garamond"/>
                <w:sz w:val="16"/>
                <w:szCs w:val="16"/>
              </w:rPr>
              <w:t>101.1</w:t>
            </w:r>
          </w:p>
        </w:tc>
      </w:tr>
      <w:tr w:rsidR="00A71FFE" w:rsidRPr="005C5CBD" w14:paraId="3DE2137D" w14:textId="77777777" w:rsidTr="00603DBA">
        <w:trPr>
          <w:trHeight w:val="708"/>
          <w:jc w:val="center"/>
        </w:trPr>
        <w:tc>
          <w:tcPr>
            <w:tcW w:w="4688" w:type="dxa"/>
            <w:vAlign w:val="center"/>
          </w:tcPr>
          <w:p w14:paraId="75474093" w14:textId="77777777" w:rsidR="00A71FFE" w:rsidRPr="005C5CBD" w:rsidRDefault="00A71FFE" w:rsidP="0011677F">
            <w:pPr>
              <w:pStyle w:val="TableParagraph"/>
              <w:spacing w:before="227"/>
              <w:rPr>
                <w:rFonts w:ascii="Garamond" w:hAnsi="Garamond"/>
                <w:sz w:val="16"/>
                <w:szCs w:val="16"/>
                <w:lang w:val="pt-BR"/>
              </w:rPr>
            </w:pPr>
            <w:r w:rsidRPr="005C5CBD">
              <w:rPr>
                <w:rFonts w:ascii="Garamond" w:hAnsi="Garamond"/>
                <w:sz w:val="16"/>
                <w:szCs w:val="16"/>
                <w:lang w:val="pt-BR"/>
              </w:rPr>
              <w:t>Coordenação-Geral</w:t>
            </w:r>
            <w:r w:rsidRPr="005C5CBD">
              <w:rPr>
                <w:rFonts w:ascii="Garamond" w:hAnsi="Garamond"/>
                <w:spacing w:val="-3"/>
                <w:sz w:val="16"/>
                <w:szCs w:val="16"/>
                <w:lang w:val="pt-BR"/>
              </w:rPr>
              <w:t xml:space="preserve"> </w:t>
            </w:r>
            <w:r w:rsidRPr="005C5CBD">
              <w:rPr>
                <w:rFonts w:ascii="Garamond" w:hAnsi="Garamond"/>
                <w:sz w:val="16"/>
                <w:szCs w:val="16"/>
                <w:lang w:val="pt-BR"/>
              </w:rPr>
              <w:t xml:space="preserve">de </w:t>
            </w:r>
            <w:r w:rsidRPr="005C5CBD">
              <w:rPr>
                <w:rFonts w:ascii="Garamond" w:hAnsi="Garamond"/>
                <w:b/>
                <w:sz w:val="16"/>
                <w:szCs w:val="16"/>
                <w:lang w:val="pt-BR"/>
              </w:rPr>
              <w:t>Antidumping</w:t>
            </w:r>
            <w:r w:rsidRPr="005C5CBD">
              <w:rPr>
                <w:rFonts w:ascii="Garamond" w:hAnsi="Garamond"/>
                <w:b/>
                <w:spacing w:val="-1"/>
                <w:sz w:val="16"/>
                <w:szCs w:val="16"/>
                <w:lang w:val="pt-BR"/>
              </w:rPr>
              <w:t xml:space="preserve"> </w:t>
            </w:r>
            <w:r w:rsidRPr="005C5CBD">
              <w:rPr>
                <w:rFonts w:ascii="Garamond" w:hAnsi="Garamond"/>
                <w:sz w:val="16"/>
                <w:szCs w:val="16"/>
                <w:lang w:val="pt-BR"/>
              </w:rPr>
              <w:t>e</w:t>
            </w:r>
            <w:r w:rsidRPr="005C5CBD">
              <w:rPr>
                <w:rFonts w:ascii="Garamond" w:hAnsi="Garamond"/>
                <w:spacing w:val="-3"/>
                <w:sz w:val="16"/>
                <w:szCs w:val="16"/>
                <w:lang w:val="pt-BR"/>
              </w:rPr>
              <w:t xml:space="preserve"> </w:t>
            </w:r>
            <w:r w:rsidRPr="005C5CBD">
              <w:rPr>
                <w:rFonts w:ascii="Garamond" w:hAnsi="Garamond"/>
                <w:sz w:val="16"/>
                <w:szCs w:val="16"/>
                <w:lang w:val="pt-BR"/>
              </w:rPr>
              <w:t>Circunvenção</w:t>
            </w:r>
          </w:p>
        </w:tc>
        <w:tc>
          <w:tcPr>
            <w:tcW w:w="992" w:type="dxa"/>
            <w:vAlign w:val="center"/>
          </w:tcPr>
          <w:p w14:paraId="49853399" w14:textId="77777777" w:rsidR="00A71FFE" w:rsidRPr="005C5CBD" w:rsidRDefault="00A71FFE" w:rsidP="0011677F">
            <w:pPr>
              <w:pStyle w:val="TableParagraph"/>
              <w:spacing w:before="227"/>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16195983" w14:textId="77777777" w:rsidR="00A71FFE" w:rsidRPr="005C5CBD" w:rsidRDefault="00A71FFE" w:rsidP="0011677F">
            <w:pPr>
              <w:pStyle w:val="TableParagraph"/>
              <w:spacing w:before="227"/>
              <w:rPr>
                <w:rFonts w:ascii="Garamond" w:hAnsi="Garamond"/>
                <w:sz w:val="16"/>
                <w:szCs w:val="16"/>
              </w:rPr>
            </w:pPr>
            <w:r w:rsidRPr="005C5CBD">
              <w:rPr>
                <w:rFonts w:ascii="Garamond" w:hAnsi="Garamond"/>
                <w:sz w:val="16"/>
                <w:szCs w:val="16"/>
              </w:rPr>
              <w:t>Coordenador-Geral</w:t>
            </w:r>
          </w:p>
        </w:tc>
        <w:tc>
          <w:tcPr>
            <w:tcW w:w="1275" w:type="dxa"/>
            <w:vAlign w:val="center"/>
          </w:tcPr>
          <w:p w14:paraId="658BC3C4" w14:textId="77777777" w:rsidR="00A71FFE" w:rsidRPr="005C5CBD" w:rsidRDefault="00A71FFE" w:rsidP="0011677F">
            <w:pPr>
              <w:pStyle w:val="TableParagraph"/>
              <w:spacing w:before="227"/>
              <w:ind w:left="13"/>
              <w:jc w:val="center"/>
              <w:rPr>
                <w:rFonts w:ascii="Garamond" w:hAnsi="Garamond"/>
                <w:sz w:val="16"/>
                <w:szCs w:val="16"/>
              </w:rPr>
            </w:pPr>
            <w:r w:rsidRPr="005C5CBD">
              <w:rPr>
                <w:rFonts w:ascii="Garamond" w:hAnsi="Garamond"/>
                <w:sz w:val="16"/>
                <w:szCs w:val="16"/>
              </w:rPr>
              <w:t>101.4</w:t>
            </w:r>
          </w:p>
        </w:tc>
      </w:tr>
      <w:tr w:rsidR="00A71FFE" w:rsidRPr="005C5CBD" w14:paraId="6390BE3E" w14:textId="77777777" w:rsidTr="00603DBA">
        <w:trPr>
          <w:trHeight w:val="1140"/>
          <w:jc w:val="center"/>
        </w:trPr>
        <w:tc>
          <w:tcPr>
            <w:tcW w:w="4688" w:type="dxa"/>
            <w:vAlign w:val="center"/>
          </w:tcPr>
          <w:p w14:paraId="251281B9" w14:textId="77777777" w:rsidR="00A71FFE" w:rsidRPr="005C5CBD" w:rsidRDefault="00A71FFE" w:rsidP="0011677F">
            <w:pPr>
              <w:pStyle w:val="TableParagraph"/>
              <w:spacing w:before="194"/>
              <w:ind w:right="1643"/>
              <w:rPr>
                <w:rFonts w:ascii="Garamond" w:hAnsi="Garamond"/>
                <w:sz w:val="16"/>
                <w:szCs w:val="16"/>
                <w:lang w:val="pt-BR"/>
              </w:rPr>
            </w:pPr>
            <w:r w:rsidRPr="005C5CBD">
              <w:rPr>
                <w:rFonts w:ascii="Garamond" w:hAnsi="Garamond"/>
                <w:sz w:val="16"/>
                <w:szCs w:val="16"/>
                <w:lang w:val="pt-BR"/>
              </w:rPr>
              <w:t>DEPARTAMENTO DE ESTATÍSTICA E APOIO À</w:t>
            </w:r>
            <w:r w:rsidRPr="005C5CBD">
              <w:rPr>
                <w:rFonts w:ascii="Garamond" w:hAnsi="Garamond"/>
                <w:spacing w:val="-57"/>
                <w:sz w:val="16"/>
                <w:szCs w:val="16"/>
                <w:lang w:val="pt-BR"/>
              </w:rPr>
              <w:t xml:space="preserve"> </w:t>
            </w:r>
            <w:r w:rsidRPr="005C5CBD">
              <w:rPr>
                <w:rFonts w:ascii="Garamond" w:hAnsi="Garamond"/>
                <w:sz w:val="16"/>
                <w:szCs w:val="16"/>
                <w:lang w:val="pt-BR"/>
              </w:rPr>
              <w:t>EXPORTAÇÃO</w:t>
            </w:r>
          </w:p>
        </w:tc>
        <w:tc>
          <w:tcPr>
            <w:tcW w:w="992" w:type="dxa"/>
            <w:vAlign w:val="center"/>
          </w:tcPr>
          <w:p w14:paraId="7CE78D24" w14:textId="77777777" w:rsidR="00A71FFE" w:rsidRPr="005C5CBD" w:rsidRDefault="00A71FFE" w:rsidP="0011677F">
            <w:pPr>
              <w:pStyle w:val="TableParagraph"/>
              <w:spacing w:before="171"/>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6046E8F5" w14:textId="77777777" w:rsidR="00A71FFE" w:rsidRPr="005C5CBD" w:rsidRDefault="00A71FFE" w:rsidP="0011677F">
            <w:pPr>
              <w:pStyle w:val="TableParagraph"/>
              <w:spacing w:before="171"/>
              <w:rPr>
                <w:rFonts w:ascii="Garamond" w:hAnsi="Garamond"/>
                <w:sz w:val="16"/>
                <w:szCs w:val="16"/>
              </w:rPr>
            </w:pPr>
            <w:r w:rsidRPr="005C5CBD">
              <w:rPr>
                <w:rFonts w:ascii="Garamond" w:hAnsi="Garamond"/>
                <w:sz w:val="16"/>
                <w:szCs w:val="16"/>
              </w:rPr>
              <w:t>Diretor</w:t>
            </w:r>
          </w:p>
        </w:tc>
        <w:tc>
          <w:tcPr>
            <w:tcW w:w="1275" w:type="dxa"/>
            <w:vAlign w:val="center"/>
          </w:tcPr>
          <w:p w14:paraId="64065FA9" w14:textId="77777777" w:rsidR="00A71FFE" w:rsidRPr="005C5CBD" w:rsidRDefault="00A71FFE" w:rsidP="0011677F">
            <w:pPr>
              <w:pStyle w:val="TableParagraph"/>
              <w:spacing w:before="171"/>
              <w:ind w:left="13"/>
              <w:jc w:val="center"/>
              <w:rPr>
                <w:rFonts w:ascii="Garamond" w:hAnsi="Garamond"/>
                <w:sz w:val="16"/>
                <w:szCs w:val="16"/>
              </w:rPr>
            </w:pPr>
            <w:r w:rsidRPr="005C5CBD">
              <w:rPr>
                <w:rFonts w:ascii="Garamond" w:hAnsi="Garamond"/>
                <w:sz w:val="16"/>
                <w:szCs w:val="16"/>
              </w:rPr>
              <w:t>101.5</w:t>
            </w:r>
          </w:p>
        </w:tc>
      </w:tr>
      <w:tr w:rsidR="00603DBA" w:rsidRPr="005C5CBD" w14:paraId="0A5F3807" w14:textId="77777777" w:rsidTr="00603DBA">
        <w:trPr>
          <w:trHeight w:val="1140"/>
          <w:jc w:val="center"/>
        </w:trPr>
        <w:tc>
          <w:tcPr>
            <w:tcW w:w="4688" w:type="dxa"/>
            <w:vAlign w:val="center"/>
          </w:tcPr>
          <w:p w14:paraId="36A46577" w14:textId="167E689D" w:rsidR="00603DBA" w:rsidRPr="005C5CBD" w:rsidRDefault="00603DBA" w:rsidP="00603DBA">
            <w:pPr>
              <w:pStyle w:val="TableParagraph"/>
              <w:spacing w:before="194"/>
              <w:ind w:right="1643"/>
              <w:rPr>
                <w:rFonts w:ascii="Garamond" w:hAnsi="Garamond"/>
                <w:sz w:val="16"/>
                <w:szCs w:val="16"/>
                <w:lang w:val="pt-BR"/>
              </w:rPr>
            </w:pPr>
            <w:r w:rsidRPr="005C5CBD">
              <w:rPr>
                <w:rFonts w:ascii="Garamond" w:hAnsi="Garamond"/>
                <w:sz w:val="16"/>
                <w:szCs w:val="16"/>
                <w:lang w:val="pt-BR"/>
              </w:rPr>
              <w:t>Coordenação-Geral</w:t>
            </w:r>
            <w:r w:rsidRPr="005C5CBD">
              <w:rPr>
                <w:rFonts w:ascii="Garamond" w:hAnsi="Garamond"/>
                <w:spacing w:val="-2"/>
                <w:sz w:val="16"/>
                <w:szCs w:val="16"/>
                <w:lang w:val="pt-BR"/>
              </w:rPr>
              <w:t xml:space="preserve"> </w:t>
            </w:r>
            <w:r w:rsidRPr="005C5CBD">
              <w:rPr>
                <w:rFonts w:ascii="Garamond" w:hAnsi="Garamond"/>
                <w:sz w:val="16"/>
                <w:szCs w:val="16"/>
                <w:lang w:val="pt-BR"/>
              </w:rPr>
              <w:t>de</w:t>
            </w:r>
            <w:r w:rsidRPr="005C5CBD">
              <w:rPr>
                <w:rFonts w:ascii="Garamond" w:hAnsi="Garamond"/>
                <w:spacing w:val="-1"/>
                <w:sz w:val="16"/>
                <w:szCs w:val="16"/>
                <w:lang w:val="pt-BR"/>
              </w:rPr>
              <w:t xml:space="preserve"> </w:t>
            </w:r>
            <w:r w:rsidRPr="005C5CBD">
              <w:rPr>
                <w:rFonts w:ascii="Garamond" w:hAnsi="Garamond"/>
                <w:sz w:val="16"/>
                <w:szCs w:val="16"/>
                <w:lang w:val="pt-BR"/>
              </w:rPr>
              <w:t>Programas</w:t>
            </w:r>
            <w:r w:rsidRPr="005C5CBD">
              <w:rPr>
                <w:rFonts w:ascii="Garamond" w:hAnsi="Garamond"/>
                <w:spacing w:val="-2"/>
                <w:sz w:val="16"/>
                <w:szCs w:val="16"/>
                <w:lang w:val="pt-BR"/>
              </w:rPr>
              <w:t xml:space="preserve"> </w:t>
            </w:r>
            <w:r w:rsidRPr="005C5CBD">
              <w:rPr>
                <w:rFonts w:ascii="Garamond" w:hAnsi="Garamond"/>
                <w:sz w:val="16"/>
                <w:szCs w:val="16"/>
                <w:lang w:val="pt-BR"/>
              </w:rPr>
              <w:t>de</w:t>
            </w:r>
            <w:r w:rsidRPr="005C5CBD">
              <w:rPr>
                <w:rFonts w:ascii="Garamond" w:hAnsi="Garamond"/>
                <w:spacing w:val="-3"/>
                <w:sz w:val="16"/>
                <w:szCs w:val="16"/>
                <w:lang w:val="pt-BR"/>
              </w:rPr>
              <w:t xml:space="preserve"> </w:t>
            </w:r>
            <w:r w:rsidRPr="005C5CBD">
              <w:rPr>
                <w:rFonts w:ascii="Garamond" w:hAnsi="Garamond"/>
                <w:sz w:val="16"/>
                <w:szCs w:val="16"/>
                <w:lang w:val="pt-BR"/>
              </w:rPr>
              <w:t>Apoio</w:t>
            </w:r>
            <w:r w:rsidRPr="005C5CBD">
              <w:rPr>
                <w:rFonts w:ascii="Garamond" w:hAnsi="Garamond"/>
                <w:spacing w:val="1"/>
                <w:sz w:val="16"/>
                <w:szCs w:val="16"/>
                <w:lang w:val="pt-BR"/>
              </w:rPr>
              <w:t xml:space="preserve"> </w:t>
            </w:r>
            <w:r w:rsidRPr="005C5CBD">
              <w:rPr>
                <w:rFonts w:ascii="Garamond" w:hAnsi="Garamond"/>
                <w:sz w:val="16"/>
                <w:szCs w:val="16"/>
                <w:lang w:val="pt-BR"/>
              </w:rPr>
              <w:t>à</w:t>
            </w:r>
            <w:r w:rsidRPr="005C5CBD">
              <w:rPr>
                <w:rFonts w:ascii="Garamond" w:hAnsi="Garamond"/>
                <w:spacing w:val="-2"/>
                <w:sz w:val="16"/>
                <w:szCs w:val="16"/>
                <w:lang w:val="pt-BR"/>
              </w:rPr>
              <w:t xml:space="preserve"> </w:t>
            </w:r>
            <w:r w:rsidRPr="005C5CBD">
              <w:rPr>
                <w:rFonts w:ascii="Garamond" w:hAnsi="Garamond"/>
                <w:sz w:val="16"/>
                <w:szCs w:val="16"/>
                <w:lang w:val="pt-BR"/>
              </w:rPr>
              <w:t>Exportação</w:t>
            </w:r>
          </w:p>
        </w:tc>
        <w:tc>
          <w:tcPr>
            <w:tcW w:w="992" w:type="dxa"/>
            <w:vAlign w:val="center"/>
          </w:tcPr>
          <w:p w14:paraId="5BD546F8" w14:textId="1E41584A" w:rsidR="00603DBA" w:rsidRPr="005C5CBD" w:rsidRDefault="00603DBA" w:rsidP="00603DBA">
            <w:pPr>
              <w:pStyle w:val="TableParagraph"/>
              <w:spacing w:before="171"/>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20106F8A" w14:textId="4BE4D47E" w:rsidR="00603DBA" w:rsidRPr="005C5CBD" w:rsidRDefault="00603DBA" w:rsidP="00603DBA">
            <w:pPr>
              <w:pStyle w:val="TableParagraph"/>
              <w:spacing w:before="171"/>
              <w:rPr>
                <w:rFonts w:ascii="Garamond" w:hAnsi="Garamond"/>
                <w:sz w:val="16"/>
                <w:szCs w:val="16"/>
              </w:rPr>
            </w:pPr>
            <w:r w:rsidRPr="005C5CBD">
              <w:rPr>
                <w:rFonts w:ascii="Garamond" w:hAnsi="Garamond"/>
                <w:sz w:val="16"/>
                <w:szCs w:val="16"/>
              </w:rPr>
              <w:t>Coordenador-Geral</w:t>
            </w:r>
          </w:p>
        </w:tc>
        <w:tc>
          <w:tcPr>
            <w:tcW w:w="1275" w:type="dxa"/>
            <w:vAlign w:val="center"/>
          </w:tcPr>
          <w:p w14:paraId="3193B3A3" w14:textId="0612B38A" w:rsidR="00603DBA" w:rsidRPr="005C5CBD" w:rsidRDefault="00603DBA" w:rsidP="00603DBA">
            <w:pPr>
              <w:pStyle w:val="TableParagraph"/>
              <w:spacing w:before="171"/>
              <w:ind w:left="13"/>
              <w:jc w:val="center"/>
              <w:rPr>
                <w:rFonts w:ascii="Garamond" w:hAnsi="Garamond"/>
                <w:sz w:val="16"/>
                <w:szCs w:val="16"/>
              </w:rPr>
            </w:pPr>
            <w:r w:rsidRPr="005C5CBD">
              <w:rPr>
                <w:rFonts w:ascii="Garamond" w:hAnsi="Garamond"/>
                <w:sz w:val="16"/>
                <w:szCs w:val="16"/>
              </w:rPr>
              <w:t>101.4</w:t>
            </w:r>
          </w:p>
        </w:tc>
      </w:tr>
      <w:tr w:rsidR="00603DBA" w:rsidRPr="005C5CBD" w14:paraId="76B2B7B8" w14:textId="77777777" w:rsidTr="00603DBA">
        <w:trPr>
          <w:trHeight w:val="1140"/>
          <w:jc w:val="center"/>
        </w:trPr>
        <w:tc>
          <w:tcPr>
            <w:tcW w:w="4688" w:type="dxa"/>
            <w:vAlign w:val="center"/>
          </w:tcPr>
          <w:p w14:paraId="6E77CB58" w14:textId="7914D0F5" w:rsidR="00603DBA" w:rsidRPr="005C5CBD" w:rsidRDefault="00603DBA" w:rsidP="00603DBA">
            <w:pPr>
              <w:pStyle w:val="TableParagraph"/>
              <w:spacing w:before="194"/>
              <w:ind w:right="1643"/>
              <w:rPr>
                <w:rFonts w:ascii="Garamond" w:hAnsi="Garamond"/>
                <w:sz w:val="16"/>
                <w:szCs w:val="16"/>
              </w:rPr>
            </w:pPr>
            <w:r w:rsidRPr="005C5CBD">
              <w:rPr>
                <w:rFonts w:ascii="Garamond" w:hAnsi="Garamond"/>
                <w:sz w:val="16"/>
                <w:szCs w:val="16"/>
              </w:rPr>
              <w:t>Divisão</w:t>
            </w:r>
          </w:p>
        </w:tc>
        <w:tc>
          <w:tcPr>
            <w:tcW w:w="992" w:type="dxa"/>
            <w:vAlign w:val="center"/>
          </w:tcPr>
          <w:p w14:paraId="04C0E7E8" w14:textId="17B81E00" w:rsidR="00603DBA" w:rsidRPr="005C5CBD" w:rsidRDefault="00603DBA" w:rsidP="00603DBA">
            <w:pPr>
              <w:pStyle w:val="TableParagraph"/>
              <w:spacing w:before="171"/>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778D6959" w14:textId="0D63AE29" w:rsidR="00603DBA" w:rsidRPr="005C5CBD" w:rsidRDefault="00603DBA" w:rsidP="00603DBA">
            <w:pPr>
              <w:pStyle w:val="TableParagraph"/>
              <w:spacing w:before="171"/>
              <w:rPr>
                <w:rFonts w:ascii="Garamond" w:hAnsi="Garamond"/>
                <w:sz w:val="16"/>
                <w:szCs w:val="16"/>
              </w:rPr>
            </w:pPr>
            <w:r w:rsidRPr="005C5CBD">
              <w:rPr>
                <w:rFonts w:ascii="Garamond" w:hAnsi="Garamond"/>
                <w:sz w:val="16"/>
                <w:szCs w:val="16"/>
              </w:rPr>
              <w:t>Chefe</w:t>
            </w:r>
          </w:p>
        </w:tc>
        <w:tc>
          <w:tcPr>
            <w:tcW w:w="1275" w:type="dxa"/>
            <w:vAlign w:val="center"/>
          </w:tcPr>
          <w:p w14:paraId="070F72C6" w14:textId="6C078F64" w:rsidR="00603DBA" w:rsidRPr="005C5CBD" w:rsidRDefault="00603DBA" w:rsidP="00603DBA">
            <w:pPr>
              <w:pStyle w:val="TableParagraph"/>
              <w:spacing w:before="171"/>
              <w:ind w:left="13"/>
              <w:jc w:val="center"/>
              <w:rPr>
                <w:rFonts w:ascii="Garamond" w:hAnsi="Garamond"/>
                <w:sz w:val="16"/>
                <w:szCs w:val="16"/>
              </w:rPr>
            </w:pPr>
            <w:r w:rsidRPr="005C5CBD">
              <w:rPr>
                <w:rFonts w:ascii="Garamond" w:hAnsi="Garamond"/>
                <w:sz w:val="16"/>
                <w:szCs w:val="16"/>
              </w:rPr>
              <w:t>101.2</w:t>
            </w:r>
          </w:p>
        </w:tc>
      </w:tr>
      <w:tr w:rsidR="00603DBA" w:rsidRPr="005C5CBD" w14:paraId="0CCE0FDE" w14:textId="77777777" w:rsidTr="00603DBA">
        <w:trPr>
          <w:trHeight w:val="1140"/>
          <w:jc w:val="center"/>
        </w:trPr>
        <w:tc>
          <w:tcPr>
            <w:tcW w:w="4688" w:type="dxa"/>
            <w:vAlign w:val="center"/>
          </w:tcPr>
          <w:p w14:paraId="5E6AE851" w14:textId="787CEFC7" w:rsidR="00603DBA" w:rsidRPr="005C5CBD" w:rsidRDefault="00603DBA" w:rsidP="00603DBA">
            <w:pPr>
              <w:pStyle w:val="TableParagraph"/>
              <w:spacing w:before="194"/>
              <w:ind w:right="1643"/>
              <w:rPr>
                <w:rFonts w:ascii="Garamond" w:hAnsi="Garamond"/>
                <w:sz w:val="16"/>
                <w:szCs w:val="16"/>
              </w:rPr>
            </w:pPr>
            <w:r w:rsidRPr="005C5CBD">
              <w:rPr>
                <w:rFonts w:ascii="Garamond" w:hAnsi="Garamond"/>
                <w:sz w:val="16"/>
                <w:szCs w:val="16"/>
              </w:rPr>
              <w:t>Serviço</w:t>
            </w:r>
          </w:p>
        </w:tc>
        <w:tc>
          <w:tcPr>
            <w:tcW w:w="992" w:type="dxa"/>
            <w:vAlign w:val="center"/>
          </w:tcPr>
          <w:p w14:paraId="465F48F0" w14:textId="4072C521" w:rsidR="00603DBA" w:rsidRPr="005C5CBD" w:rsidRDefault="00603DBA" w:rsidP="00603DBA">
            <w:pPr>
              <w:pStyle w:val="TableParagraph"/>
              <w:spacing w:before="171"/>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507DED0A" w14:textId="0E014FCB" w:rsidR="00603DBA" w:rsidRPr="005C5CBD" w:rsidRDefault="00603DBA" w:rsidP="00603DBA">
            <w:pPr>
              <w:pStyle w:val="TableParagraph"/>
              <w:spacing w:before="171"/>
              <w:rPr>
                <w:rFonts w:ascii="Garamond" w:hAnsi="Garamond"/>
                <w:sz w:val="16"/>
                <w:szCs w:val="16"/>
              </w:rPr>
            </w:pPr>
            <w:r w:rsidRPr="005C5CBD">
              <w:rPr>
                <w:rFonts w:ascii="Garamond" w:hAnsi="Garamond"/>
                <w:sz w:val="16"/>
                <w:szCs w:val="16"/>
              </w:rPr>
              <w:t>Chefe</w:t>
            </w:r>
          </w:p>
        </w:tc>
        <w:tc>
          <w:tcPr>
            <w:tcW w:w="1275" w:type="dxa"/>
            <w:vAlign w:val="center"/>
          </w:tcPr>
          <w:p w14:paraId="09FB67E9" w14:textId="0E8DFF04" w:rsidR="00603DBA" w:rsidRPr="005C5CBD" w:rsidRDefault="00603DBA" w:rsidP="00603DBA">
            <w:pPr>
              <w:pStyle w:val="TableParagraph"/>
              <w:spacing w:before="171"/>
              <w:ind w:left="13"/>
              <w:jc w:val="center"/>
              <w:rPr>
                <w:rFonts w:ascii="Garamond" w:hAnsi="Garamond"/>
                <w:sz w:val="16"/>
                <w:szCs w:val="16"/>
              </w:rPr>
            </w:pPr>
            <w:r w:rsidRPr="005C5CBD">
              <w:rPr>
                <w:rFonts w:ascii="Garamond" w:hAnsi="Garamond"/>
                <w:sz w:val="16"/>
                <w:szCs w:val="16"/>
              </w:rPr>
              <w:t>101.1</w:t>
            </w:r>
          </w:p>
        </w:tc>
      </w:tr>
      <w:tr w:rsidR="00603DBA" w:rsidRPr="005C5CBD" w14:paraId="18C92862" w14:textId="77777777" w:rsidTr="00603DBA">
        <w:trPr>
          <w:trHeight w:val="1140"/>
          <w:jc w:val="center"/>
        </w:trPr>
        <w:tc>
          <w:tcPr>
            <w:tcW w:w="4688" w:type="dxa"/>
            <w:vAlign w:val="center"/>
          </w:tcPr>
          <w:p w14:paraId="17A5ECCD" w14:textId="29E342FF" w:rsidR="00603DBA" w:rsidRPr="005C5CBD" w:rsidRDefault="00603DBA" w:rsidP="00603DBA">
            <w:pPr>
              <w:pStyle w:val="TableParagraph"/>
              <w:spacing w:before="194"/>
              <w:ind w:right="1643"/>
              <w:rPr>
                <w:rFonts w:ascii="Garamond" w:hAnsi="Garamond"/>
                <w:sz w:val="16"/>
                <w:szCs w:val="16"/>
              </w:rPr>
            </w:pPr>
            <w:r w:rsidRPr="005C5CBD">
              <w:rPr>
                <w:rFonts w:ascii="Garamond" w:hAnsi="Garamond"/>
                <w:sz w:val="16"/>
                <w:szCs w:val="16"/>
              </w:rPr>
              <w:t>Coordenação-Geral</w:t>
            </w:r>
            <w:r w:rsidRPr="005C5CBD">
              <w:rPr>
                <w:rFonts w:ascii="Garamond" w:hAnsi="Garamond"/>
                <w:spacing w:val="-2"/>
                <w:sz w:val="16"/>
                <w:szCs w:val="16"/>
              </w:rPr>
              <w:t xml:space="preserve"> </w:t>
            </w:r>
            <w:r w:rsidRPr="005C5CBD">
              <w:rPr>
                <w:rFonts w:ascii="Garamond" w:hAnsi="Garamond"/>
                <w:sz w:val="16"/>
                <w:szCs w:val="16"/>
              </w:rPr>
              <w:t>de</w:t>
            </w:r>
            <w:r w:rsidRPr="005C5CBD">
              <w:rPr>
                <w:rFonts w:ascii="Garamond" w:hAnsi="Garamond"/>
                <w:spacing w:val="-3"/>
                <w:sz w:val="16"/>
                <w:szCs w:val="16"/>
              </w:rPr>
              <w:t xml:space="preserve"> </w:t>
            </w:r>
            <w:r w:rsidRPr="005C5CBD">
              <w:rPr>
                <w:rFonts w:ascii="Garamond" w:hAnsi="Garamond"/>
                <w:sz w:val="16"/>
                <w:szCs w:val="16"/>
              </w:rPr>
              <w:t>Estatística</w:t>
            </w:r>
          </w:p>
        </w:tc>
        <w:tc>
          <w:tcPr>
            <w:tcW w:w="992" w:type="dxa"/>
            <w:vAlign w:val="center"/>
          </w:tcPr>
          <w:p w14:paraId="537A3E80" w14:textId="0B611B8E" w:rsidR="00603DBA" w:rsidRPr="005C5CBD" w:rsidRDefault="00603DBA" w:rsidP="00603DBA">
            <w:pPr>
              <w:pStyle w:val="TableParagraph"/>
              <w:spacing w:before="171"/>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13BCA006" w14:textId="276ABE13" w:rsidR="00603DBA" w:rsidRPr="005C5CBD" w:rsidRDefault="00603DBA" w:rsidP="00603DBA">
            <w:pPr>
              <w:pStyle w:val="TableParagraph"/>
              <w:spacing w:before="171"/>
              <w:rPr>
                <w:rFonts w:ascii="Garamond" w:hAnsi="Garamond"/>
                <w:sz w:val="16"/>
                <w:szCs w:val="16"/>
              </w:rPr>
            </w:pPr>
            <w:r w:rsidRPr="005C5CBD">
              <w:rPr>
                <w:rFonts w:ascii="Garamond" w:hAnsi="Garamond"/>
                <w:sz w:val="16"/>
                <w:szCs w:val="16"/>
              </w:rPr>
              <w:t>Coordenador-Geral</w:t>
            </w:r>
          </w:p>
        </w:tc>
        <w:tc>
          <w:tcPr>
            <w:tcW w:w="1275" w:type="dxa"/>
            <w:vAlign w:val="center"/>
          </w:tcPr>
          <w:p w14:paraId="4653D2C2" w14:textId="24ECC235" w:rsidR="00603DBA" w:rsidRPr="005C5CBD" w:rsidRDefault="00603DBA" w:rsidP="00603DBA">
            <w:pPr>
              <w:pStyle w:val="TableParagraph"/>
              <w:spacing w:before="171"/>
              <w:ind w:left="13"/>
              <w:jc w:val="center"/>
              <w:rPr>
                <w:rFonts w:ascii="Garamond" w:hAnsi="Garamond"/>
                <w:sz w:val="16"/>
                <w:szCs w:val="16"/>
              </w:rPr>
            </w:pPr>
            <w:r w:rsidRPr="005C5CBD">
              <w:rPr>
                <w:rFonts w:ascii="Garamond" w:hAnsi="Garamond"/>
                <w:sz w:val="16"/>
                <w:szCs w:val="16"/>
              </w:rPr>
              <w:t>101.4</w:t>
            </w:r>
          </w:p>
        </w:tc>
      </w:tr>
      <w:tr w:rsidR="00603DBA" w:rsidRPr="005C5CBD" w14:paraId="49401211" w14:textId="77777777" w:rsidTr="00603DBA">
        <w:trPr>
          <w:trHeight w:val="1140"/>
          <w:jc w:val="center"/>
        </w:trPr>
        <w:tc>
          <w:tcPr>
            <w:tcW w:w="4688" w:type="dxa"/>
            <w:vAlign w:val="center"/>
          </w:tcPr>
          <w:p w14:paraId="084DFDED" w14:textId="709BD2A4" w:rsidR="00603DBA" w:rsidRPr="005C5CBD" w:rsidRDefault="00603DBA" w:rsidP="00603DBA">
            <w:pPr>
              <w:pStyle w:val="TableParagraph"/>
              <w:spacing w:before="194"/>
              <w:ind w:right="1643"/>
              <w:rPr>
                <w:rFonts w:ascii="Garamond" w:hAnsi="Garamond"/>
                <w:sz w:val="16"/>
                <w:szCs w:val="16"/>
              </w:rPr>
            </w:pPr>
            <w:r w:rsidRPr="005C5CBD">
              <w:rPr>
                <w:rFonts w:ascii="Garamond" w:hAnsi="Garamond"/>
                <w:sz w:val="16"/>
                <w:szCs w:val="16"/>
              </w:rPr>
              <w:t>Coordenação</w:t>
            </w:r>
          </w:p>
        </w:tc>
        <w:tc>
          <w:tcPr>
            <w:tcW w:w="992" w:type="dxa"/>
            <w:vAlign w:val="center"/>
          </w:tcPr>
          <w:p w14:paraId="331330AF" w14:textId="6E92F4C9" w:rsidR="00603DBA" w:rsidRPr="005C5CBD" w:rsidRDefault="00603DBA" w:rsidP="00603DBA">
            <w:pPr>
              <w:pStyle w:val="TableParagraph"/>
              <w:spacing w:before="171"/>
              <w:ind w:left="12"/>
              <w:jc w:val="center"/>
              <w:rPr>
                <w:rFonts w:ascii="Garamond" w:hAnsi="Garamond"/>
                <w:sz w:val="16"/>
                <w:szCs w:val="16"/>
              </w:rPr>
            </w:pPr>
            <w:r w:rsidRPr="005C5CBD">
              <w:rPr>
                <w:rFonts w:ascii="Garamond" w:hAnsi="Garamond"/>
                <w:sz w:val="16"/>
                <w:szCs w:val="16"/>
              </w:rPr>
              <w:t>2</w:t>
            </w:r>
          </w:p>
        </w:tc>
        <w:tc>
          <w:tcPr>
            <w:tcW w:w="1418" w:type="dxa"/>
            <w:vAlign w:val="center"/>
          </w:tcPr>
          <w:p w14:paraId="023F7D46" w14:textId="16C5AB3F" w:rsidR="00603DBA" w:rsidRPr="005C5CBD" w:rsidRDefault="00603DBA" w:rsidP="00603DBA">
            <w:pPr>
              <w:pStyle w:val="TableParagraph"/>
              <w:spacing w:before="171"/>
              <w:rPr>
                <w:rFonts w:ascii="Garamond" w:hAnsi="Garamond"/>
                <w:sz w:val="16"/>
                <w:szCs w:val="16"/>
              </w:rPr>
            </w:pPr>
            <w:r w:rsidRPr="005C5CBD">
              <w:rPr>
                <w:rFonts w:ascii="Garamond" w:hAnsi="Garamond"/>
                <w:sz w:val="16"/>
                <w:szCs w:val="16"/>
              </w:rPr>
              <w:t>Coordenador</w:t>
            </w:r>
          </w:p>
        </w:tc>
        <w:tc>
          <w:tcPr>
            <w:tcW w:w="1275" w:type="dxa"/>
            <w:vAlign w:val="center"/>
          </w:tcPr>
          <w:p w14:paraId="58B595C8" w14:textId="6BE94F80" w:rsidR="00603DBA" w:rsidRPr="005C5CBD" w:rsidRDefault="00603DBA" w:rsidP="00603DBA">
            <w:pPr>
              <w:pStyle w:val="TableParagraph"/>
              <w:spacing w:before="171"/>
              <w:ind w:left="13"/>
              <w:jc w:val="center"/>
              <w:rPr>
                <w:rFonts w:ascii="Garamond" w:hAnsi="Garamond"/>
                <w:sz w:val="16"/>
                <w:szCs w:val="16"/>
              </w:rPr>
            </w:pPr>
            <w:r w:rsidRPr="005C5CBD">
              <w:rPr>
                <w:rFonts w:ascii="Garamond" w:hAnsi="Garamond"/>
                <w:sz w:val="16"/>
                <w:szCs w:val="16"/>
              </w:rPr>
              <w:t>101.3</w:t>
            </w:r>
          </w:p>
        </w:tc>
      </w:tr>
      <w:tr w:rsidR="00603DBA" w:rsidRPr="005C5CBD" w14:paraId="09754720" w14:textId="77777777" w:rsidTr="00603DBA">
        <w:trPr>
          <w:trHeight w:val="1140"/>
          <w:jc w:val="center"/>
        </w:trPr>
        <w:tc>
          <w:tcPr>
            <w:tcW w:w="4688" w:type="dxa"/>
            <w:vAlign w:val="center"/>
          </w:tcPr>
          <w:p w14:paraId="2EF33F84" w14:textId="19E7C7D1" w:rsidR="00603DBA" w:rsidRPr="005C5CBD" w:rsidRDefault="00603DBA" w:rsidP="00603DBA">
            <w:pPr>
              <w:pStyle w:val="TableParagraph"/>
              <w:spacing w:before="194"/>
              <w:ind w:right="1643"/>
              <w:rPr>
                <w:rFonts w:ascii="Garamond" w:hAnsi="Garamond"/>
                <w:sz w:val="16"/>
                <w:szCs w:val="16"/>
              </w:rPr>
            </w:pPr>
            <w:r w:rsidRPr="005C5CBD">
              <w:rPr>
                <w:rFonts w:ascii="Garamond" w:hAnsi="Garamond"/>
                <w:sz w:val="16"/>
                <w:szCs w:val="16"/>
              </w:rPr>
              <w:t>Divisão</w:t>
            </w:r>
          </w:p>
        </w:tc>
        <w:tc>
          <w:tcPr>
            <w:tcW w:w="992" w:type="dxa"/>
            <w:vAlign w:val="center"/>
          </w:tcPr>
          <w:p w14:paraId="44D88910" w14:textId="5E5AC215" w:rsidR="00603DBA" w:rsidRPr="005C5CBD" w:rsidRDefault="00603DBA" w:rsidP="00603DBA">
            <w:pPr>
              <w:pStyle w:val="TableParagraph"/>
              <w:spacing w:before="171"/>
              <w:ind w:left="12"/>
              <w:jc w:val="center"/>
              <w:rPr>
                <w:rFonts w:ascii="Garamond" w:hAnsi="Garamond"/>
                <w:sz w:val="16"/>
                <w:szCs w:val="16"/>
              </w:rPr>
            </w:pPr>
            <w:r w:rsidRPr="005C5CBD">
              <w:rPr>
                <w:rFonts w:ascii="Garamond" w:hAnsi="Garamond"/>
                <w:sz w:val="16"/>
                <w:szCs w:val="16"/>
              </w:rPr>
              <w:t>2</w:t>
            </w:r>
          </w:p>
        </w:tc>
        <w:tc>
          <w:tcPr>
            <w:tcW w:w="1418" w:type="dxa"/>
            <w:vAlign w:val="center"/>
          </w:tcPr>
          <w:p w14:paraId="420F0A0C" w14:textId="5AD47A4A" w:rsidR="00603DBA" w:rsidRPr="005C5CBD" w:rsidRDefault="00603DBA" w:rsidP="00603DBA">
            <w:pPr>
              <w:pStyle w:val="TableParagraph"/>
              <w:spacing w:before="171"/>
              <w:rPr>
                <w:rFonts w:ascii="Garamond" w:hAnsi="Garamond"/>
                <w:sz w:val="16"/>
                <w:szCs w:val="16"/>
              </w:rPr>
            </w:pPr>
            <w:r w:rsidRPr="005C5CBD">
              <w:rPr>
                <w:rFonts w:ascii="Garamond" w:hAnsi="Garamond"/>
                <w:sz w:val="16"/>
                <w:szCs w:val="16"/>
              </w:rPr>
              <w:t>Chefe</w:t>
            </w:r>
          </w:p>
        </w:tc>
        <w:tc>
          <w:tcPr>
            <w:tcW w:w="1275" w:type="dxa"/>
            <w:vAlign w:val="center"/>
          </w:tcPr>
          <w:p w14:paraId="56014307" w14:textId="1CB2FEDB" w:rsidR="00603DBA" w:rsidRPr="005C5CBD" w:rsidRDefault="00603DBA" w:rsidP="00603DBA">
            <w:pPr>
              <w:pStyle w:val="TableParagraph"/>
              <w:spacing w:before="171"/>
              <w:ind w:left="13"/>
              <w:jc w:val="center"/>
              <w:rPr>
                <w:rFonts w:ascii="Garamond" w:hAnsi="Garamond"/>
                <w:sz w:val="16"/>
                <w:szCs w:val="16"/>
              </w:rPr>
            </w:pPr>
            <w:r w:rsidRPr="005C5CBD">
              <w:rPr>
                <w:rFonts w:ascii="Garamond" w:hAnsi="Garamond"/>
                <w:sz w:val="16"/>
                <w:szCs w:val="16"/>
              </w:rPr>
              <w:t>101.2</w:t>
            </w:r>
          </w:p>
        </w:tc>
      </w:tr>
      <w:tr w:rsidR="00603DBA" w:rsidRPr="005C5CBD" w14:paraId="535AD4AD" w14:textId="77777777" w:rsidTr="00603DBA">
        <w:trPr>
          <w:trHeight w:val="1140"/>
          <w:jc w:val="center"/>
        </w:trPr>
        <w:tc>
          <w:tcPr>
            <w:tcW w:w="4688" w:type="dxa"/>
            <w:vAlign w:val="center"/>
          </w:tcPr>
          <w:p w14:paraId="0F729F43" w14:textId="1368207C" w:rsidR="00603DBA" w:rsidRPr="005C5CBD" w:rsidRDefault="00603DBA" w:rsidP="00603DBA">
            <w:pPr>
              <w:pStyle w:val="TableParagraph"/>
              <w:spacing w:before="194"/>
              <w:ind w:right="1643"/>
              <w:rPr>
                <w:rFonts w:ascii="Garamond" w:hAnsi="Garamond"/>
                <w:sz w:val="16"/>
                <w:szCs w:val="16"/>
              </w:rPr>
            </w:pPr>
            <w:r w:rsidRPr="005C5CBD">
              <w:rPr>
                <w:rFonts w:ascii="Garamond" w:hAnsi="Garamond"/>
                <w:sz w:val="16"/>
                <w:szCs w:val="16"/>
              </w:rPr>
              <w:t>Serviço</w:t>
            </w:r>
          </w:p>
        </w:tc>
        <w:tc>
          <w:tcPr>
            <w:tcW w:w="992" w:type="dxa"/>
            <w:vAlign w:val="center"/>
          </w:tcPr>
          <w:p w14:paraId="3B548B88" w14:textId="21396939" w:rsidR="00603DBA" w:rsidRPr="005C5CBD" w:rsidRDefault="00603DBA" w:rsidP="00603DBA">
            <w:pPr>
              <w:pStyle w:val="TableParagraph"/>
              <w:spacing w:before="171"/>
              <w:ind w:left="12"/>
              <w:jc w:val="center"/>
              <w:rPr>
                <w:rFonts w:ascii="Garamond" w:hAnsi="Garamond"/>
                <w:sz w:val="16"/>
                <w:szCs w:val="16"/>
              </w:rPr>
            </w:pPr>
            <w:r w:rsidRPr="005C5CBD">
              <w:rPr>
                <w:rFonts w:ascii="Garamond" w:hAnsi="Garamond"/>
                <w:sz w:val="16"/>
                <w:szCs w:val="16"/>
              </w:rPr>
              <w:t>2</w:t>
            </w:r>
          </w:p>
        </w:tc>
        <w:tc>
          <w:tcPr>
            <w:tcW w:w="1418" w:type="dxa"/>
            <w:vAlign w:val="center"/>
          </w:tcPr>
          <w:p w14:paraId="3579B11B" w14:textId="32866668" w:rsidR="00603DBA" w:rsidRPr="005C5CBD" w:rsidRDefault="00603DBA" w:rsidP="00603DBA">
            <w:pPr>
              <w:pStyle w:val="TableParagraph"/>
              <w:spacing w:before="171"/>
              <w:rPr>
                <w:rFonts w:ascii="Garamond" w:hAnsi="Garamond"/>
                <w:sz w:val="16"/>
                <w:szCs w:val="16"/>
              </w:rPr>
            </w:pPr>
            <w:r w:rsidRPr="005C5CBD">
              <w:rPr>
                <w:rFonts w:ascii="Garamond" w:hAnsi="Garamond"/>
                <w:sz w:val="16"/>
                <w:szCs w:val="16"/>
              </w:rPr>
              <w:t>Chefe</w:t>
            </w:r>
          </w:p>
        </w:tc>
        <w:tc>
          <w:tcPr>
            <w:tcW w:w="1275" w:type="dxa"/>
            <w:vAlign w:val="center"/>
          </w:tcPr>
          <w:p w14:paraId="188C2457" w14:textId="25283AE5" w:rsidR="00603DBA" w:rsidRPr="005C5CBD" w:rsidRDefault="00603DBA" w:rsidP="00603DBA">
            <w:pPr>
              <w:pStyle w:val="TableParagraph"/>
              <w:spacing w:before="171"/>
              <w:ind w:left="13"/>
              <w:jc w:val="center"/>
              <w:rPr>
                <w:rFonts w:ascii="Garamond" w:hAnsi="Garamond"/>
                <w:sz w:val="16"/>
                <w:szCs w:val="16"/>
              </w:rPr>
            </w:pPr>
            <w:r w:rsidRPr="005C5CBD">
              <w:rPr>
                <w:rFonts w:ascii="Garamond" w:hAnsi="Garamond"/>
                <w:sz w:val="16"/>
                <w:szCs w:val="16"/>
              </w:rPr>
              <w:t>101.1</w:t>
            </w:r>
          </w:p>
        </w:tc>
      </w:tr>
      <w:tr w:rsidR="00603DBA" w:rsidRPr="005C5CBD" w14:paraId="448D66F0" w14:textId="77777777" w:rsidTr="00603DBA">
        <w:trPr>
          <w:trHeight w:val="1140"/>
          <w:jc w:val="center"/>
        </w:trPr>
        <w:tc>
          <w:tcPr>
            <w:tcW w:w="4688" w:type="dxa"/>
            <w:vAlign w:val="center"/>
          </w:tcPr>
          <w:p w14:paraId="408399DA" w14:textId="7891F319" w:rsidR="00603DBA" w:rsidRPr="005C5CBD" w:rsidRDefault="00603DBA" w:rsidP="00603DBA">
            <w:pPr>
              <w:pStyle w:val="TableParagraph"/>
              <w:rPr>
                <w:rFonts w:ascii="Garamond" w:hAnsi="Garamond"/>
                <w:sz w:val="16"/>
                <w:szCs w:val="16"/>
                <w:lang w:val="pt-BR"/>
              </w:rPr>
            </w:pPr>
            <w:r w:rsidRPr="005C5CBD">
              <w:rPr>
                <w:rFonts w:ascii="Garamond" w:hAnsi="Garamond"/>
                <w:spacing w:val="-4"/>
                <w:sz w:val="16"/>
                <w:szCs w:val="16"/>
                <w:lang w:val="pt-BR"/>
              </w:rPr>
              <w:t>DEPARTAMENTO DE COMPETITIVIDADE NO COMÉRCIO</w:t>
            </w:r>
            <w:r w:rsidRPr="005C5CBD">
              <w:rPr>
                <w:rFonts w:ascii="Garamond" w:hAnsi="Garamond"/>
                <w:spacing w:val="-57"/>
                <w:sz w:val="16"/>
                <w:szCs w:val="16"/>
                <w:lang w:val="pt-BR"/>
              </w:rPr>
              <w:t xml:space="preserve"> </w:t>
            </w:r>
            <w:r w:rsidRPr="005C5CBD">
              <w:rPr>
                <w:rFonts w:ascii="Garamond" w:hAnsi="Garamond"/>
                <w:sz w:val="16"/>
                <w:szCs w:val="16"/>
                <w:lang w:val="pt-BR"/>
              </w:rPr>
              <w:t>EXTERIOR</w:t>
            </w:r>
          </w:p>
        </w:tc>
        <w:tc>
          <w:tcPr>
            <w:tcW w:w="992" w:type="dxa"/>
            <w:vAlign w:val="center"/>
          </w:tcPr>
          <w:p w14:paraId="13B208BB" w14:textId="4A76D02E" w:rsidR="00603DBA" w:rsidRPr="005C5CBD" w:rsidRDefault="00603DBA" w:rsidP="00603DBA">
            <w:pPr>
              <w:pStyle w:val="TableParagraph"/>
              <w:spacing w:before="171"/>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30059AD1" w14:textId="725C61B1" w:rsidR="00603DBA" w:rsidRPr="005C5CBD" w:rsidRDefault="00603DBA" w:rsidP="00603DBA">
            <w:pPr>
              <w:pStyle w:val="TableParagraph"/>
              <w:spacing w:before="171"/>
              <w:rPr>
                <w:rFonts w:ascii="Garamond" w:hAnsi="Garamond"/>
                <w:sz w:val="16"/>
                <w:szCs w:val="16"/>
              </w:rPr>
            </w:pPr>
            <w:r w:rsidRPr="005C5CBD">
              <w:rPr>
                <w:rFonts w:ascii="Garamond" w:hAnsi="Garamond"/>
                <w:sz w:val="16"/>
                <w:szCs w:val="16"/>
              </w:rPr>
              <w:t>Diretor</w:t>
            </w:r>
          </w:p>
        </w:tc>
        <w:tc>
          <w:tcPr>
            <w:tcW w:w="1275" w:type="dxa"/>
            <w:vAlign w:val="center"/>
          </w:tcPr>
          <w:p w14:paraId="62111632" w14:textId="2A98F9FC" w:rsidR="00603DBA" w:rsidRPr="005C5CBD" w:rsidRDefault="00603DBA" w:rsidP="00603DBA">
            <w:pPr>
              <w:pStyle w:val="TableParagraph"/>
              <w:spacing w:before="171"/>
              <w:ind w:left="13"/>
              <w:jc w:val="center"/>
              <w:rPr>
                <w:rFonts w:ascii="Garamond" w:hAnsi="Garamond"/>
                <w:sz w:val="16"/>
                <w:szCs w:val="16"/>
              </w:rPr>
            </w:pPr>
            <w:r w:rsidRPr="005C5CBD">
              <w:rPr>
                <w:rFonts w:ascii="Garamond" w:hAnsi="Garamond"/>
                <w:sz w:val="16"/>
                <w:szCs w:val="16"/>
              </w:rPr>
              <w:t>101.5</w:t>
            </w:r>
          </w:p>
        </w:tc>
      </w:tr>
      <w:tr w:rsidR="00603DBA" w:rsidRPr="005C5CBD" w14:paraId="625F4C14" w14:textId="77777777" w:rsidTr="00603DBA">
        <w:trPr>
          <w:trHeight w:val="1140"/>
          <w:jc w:val="center"/>
        </w:trPr>
        <w:tc>
          <w:tcPr>
            <w:tcW w:w="4688" w:type="dxa"/>
            <w:vAlign w:val="center"/>
          </w:tcPr>
          <w:p w14:paraId="1720D5E2" w14:textId="3FF81060" w:rsidR="00603DBA" w:rsidRPr="005C5CBD" w:rsidRDefault="00603DBA" w:rsidP="00603DBA">
            <w:pPr>
              <w:pStyle w:val="TableParagraph"/>
              <w:spacing w:before="194"/>
              <w:ind w:right="1643"/>
              <w:rPr>
                <w:rFonts w:ascii="Garamond" w:hAnsi="Garamond"/>
                <w:sz w:val="16"/>
                <w:szCs w:val="16"/>
                <w:lang w:val="pt-BR"/>
              </w:rPr>
            </w:pPr>
            <w:r w:rsidRPr="005C5CBD">
              <w:rPr>
                <w:rFonts w:ascii="Garamond" w:hAnsi="Garamond"/>
                <w:sz w:val="16"/>
                <w:szCs w:val="16"/>
                <w:lang w:val="pt-BR"/>
              </w:rPr>
              <w:t>Coordenação-Geral</w:t>
            </w:r>
            <w:r w:rsidRPr="005C5CBD">
              <w:rPr>
                <w:rFonts w:ascii="Garamond" w:hAnsi="Garamond"/>
                <w:spacing w:val="-1"/>
                <w:sz w:val="16"/>
                <w:szCs w:val="16"/>
                <w:lang w:val="pt-BR"/>
              </w:rPr>
              <w:t xml:space="preserve"> </w:t>
            </w:r>
            <w:r w:rsidRPr="005C5CBD">
              <w:rPr>
                <w:rFonts w:ascii="Garamond" w:hAnsi="Garamond"/>
                <w:sz w:val="16"/>
                <w:szCs w:val="16"/>
                <w:lang w:val="pt-BR"/>
              </w:rPr>
              <w:t>de Normas</w:t>
            </w:r>
            <w:r w:rsidRPr="005C5CBD">
              <w:rPr>
                <w:rFonts w:ascii="Garamond" w:hAnsi="Garamond"/>
                <w:spacing w:val="-1"/>
                <w:sz w:val="16"/>
                <w:szCs w:val="16"/>
                <w:lang w:val="pt-BR"/>
              </w:rPr>
              <w:t xml:space="preserve"> </w:t>
            </w:r>
            <w:r w:rsidRPr="005C5CBD">
              <w:rPr>
                <w:rFonts w:ascii="Garamond" w:hAnsi="Garamond"/>
                <w:sz w:val="16"/>
                <w:szCs w:val="16"/>
                <w:lang w:val="pt-BR"/>
              </w:rPr>
              <w:t>e</w:t>
            </w:r>
            <w:r w:rsidRPr="005C5CBD">
              <w:rPr>
                <w:rFonts w:ascii="Garamond" w:hAnsi="Garamond"/>
                <w:spacing w:val="-3"/>
                <w:sz w:val="16"/>
                <w:szCs w:val="16"/>
                <w:lang w:val="pt-BR"/>
              </w:rPr>
              <w:t xml:space="preserve"> </w:t>
            </w:r>
            <w:r w:rsidRPr="005C5CBD">
              <w:rPr>
                <w:rFonts w:ascii="Garamond" w:hAnsi="Garamond"/>
                <w:sz w:val="16"/>
                <w:szCs w:val="16"/>
                <w:lang w:val="pt-BR"/>
              </w:rPr>
              <w:t>Facilitação</w:t>
            </w:r>
            <w:r w:rsidRPr="005C5CBD">
              <w:rPr>
                <w:rFonts w:ascii="Garamond" w:hAnsi="Garamond"/>
                <w:spacing w:val="-1"/>
                <w:sz w:val="16"/>
                <w:szCs w:val="16"/>
                <w:lang w:val="pt-BR"/>
              </w:rPr>
              <w:t xml:space="preserve"> </w:t>
            </w:r>
            <w:r w:rsidRPr="005C5CBD">
              <w:rPr>
                <w:rFonts w:ascii="Garamond" w:hAnsi="Garamond"/>
                <w:sz w:val="16"/>
                <w:szCs w:val="16"/>
                <w:lang w:val="pt-BR"/>
              </w:rPr>
              <w:t>de</w:t>
            </w:r>
            <w:r w:rsidRPr="005C5CBD">
              <w:rPr>
                <w:rFonts w:ascii="Garamond" w:hAnsi="Garamond"/>
                <w:spacing w:val="-2"/>
                <w:sz w:val="16"/>
                <w:szCs w:val="16"/>
                <w:lang w:val="pt-BR"/>
              </w:rPr>
              <w:t xml:space="preserve"> </w:t>
            </w:r>
            <w:r w:rsidRPr="005C5CBD">
              <w:rPr>
                <w:rFonts w:ascii="Garamond" w:hAnsi="Garamond"/>
                <w:sz w:val="16"/>
                <w:szCs w:val="16"/>
                <w:lang w:val="pt-BR"/>
              </w:rPr>
              <w:t>Comércio</w:t>
            </w:r>
          </w:p>
        </w:tc>
        <w:tc>
          <w:tcPr>
            <w:tcW w:w="992" w:type="dxa"/>
            <w:vAlign w:val="center"/>
          </w:tcPr>
          <w:p w14:paraId="61BA005D" w14:textId="7AA46645" w:rsidR="00603DBA" w:rsidRPr="005C5CBD" w:rsidRDefault="00603DBA" w:rsidP="00603DBA">
            <w:pPr>
              <w:pStyle w:val="TableParagraph"/>
              <w:spacing w:before="171"/>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37ACDD25" w14:textId="0FF4516A" w:rsidR="00603DBA" w:rsidRPr="005C5CBD" w:rsidRDefault="00603DBA" w:rsidP="00603DBA">
            <w:pPr>
              <w:pStyle w:val="TableParagraph"/>
              <w:spacing w:before="171"/>
              <w:rPr>
                <w:rFonts w:ascii="Garamond" w:hAnsi="Garamond"/>
                <w:sz w:val="16"/>
                <w:szCs w:val="16"/>
              </w:rPr>
            </w:pPr>
            <w:r w:rsidRPr="005C5CBD">
              <w:rPr>
                <w:rFonts w:ascii="Garamond" w:hAnsi="Garamond"/>
                <w:sz w:val="16"/>
                <w:szCs w:val="16"/>
              </w:rPr>
              <w:t>Coordenador-Geral</w:t>
            </w:r>
          </w:p>
        </w:tc>
        <w:tc>
          <w:tcPr>
            <w:tcW w:w="1275" w:type="dxa"/>
            <w:vAlign w:val="center"/>
          </w:tcPr>
          <w:p w14:paraId="7DAC9F11" w14:textId="5E7EC27D" w:rsidR="00603DBA" w:rsidRPr="005C5CBD" w:rsidRDefault="00603DBA" w:rsidP="00603DBA">
            <w:pPr>
              <w:pStyle w:val="TableParagraph"/>
              <w:spacing w:before="171"/>
              <w:ind w:left="13"/>
              <w:jc w:val="center"/>
              <w:rPr>
                <w:rFonts w:ascii="Garamond" w:hAnsi="Garamond"/>
                <w:sz w:val="16"/>
                <w:szCs w:val="16"/>
              </w:rPr>
            </w:pPr>
            <w:r w:rsidRPr="005C5CBD">
              <w:rPr>
                <w:rFonts w:ascii="Garamond" w:hAnsi="Garamond"/>
                <w:sz w:val="16"/>
                <w:szCs w:val="16"/>
              </w:rPr>
              <w:t>101.4</w:t>
            </w:r>
          </w:p>
        </w:tc>
      </w:tr>
      <w:tr w:rsidR="00603DBA" w:rsidRPr="005C5CBD" w14:paraId="5FA30C32" w14:textId="77777777" w:rsidTr="00603DBA">
        <w:trPr>
          <w:trHeight w:val="1140"/>
          <w:jc w:val="center"/>
        </w:trPr>
        <w:tc>
          <w:tcPr>
            <w:tcW w:w="4688" w:type="dxa"/>
            <w:vAlign w:val="center"/>
          </w:tcPr>
          <w:p w14:paraId="3C8C6A16" w14:textId="3611A8A0" w:rsidR="00603DBA" w:rsidRPr="005C5CBD" w:rsidRDefault="00603DBA" w:rsidP="00603DBA">
            <w:pPr>
              <w:pStyle w:val="TableParagraph"/>
              <w:spacing w:before="194"/>
              <w:ind w:right="1643"/>
              <w:rPr>
                <w:rFonts w:ascii="Garamond" w:hAnsi="Garamond"/>
                <w:sz w:val="16"/>
                <w:szCs w:val="16"/>
              </w:rPr>
            </w:pPr>
            <w:r w:rsidRPr="005C5CBD">
              <w:rPr>
                <w:rFonts w:ascii="Garamond" w:hAnsi="Garamond"/>
                <w:sz w:val="16"/>
                <w:szCs w:val="16"/>
              </w:rPr>
              <w:t>Serviço</w:t>
            </w:r>
          </w:p>
        </w:tc>
        <w:tc>
          <w:tcPr>
            <w:tcW w:w="992" w:type="dxa"/>
            <w:vAlign w:val="center"/>
          </w:tcPr>
          <w:p w14:paraId="71CE96AB" w14:textId="1248CE6B" w:rsidR="00603DBA" w:rsidRPr="005C5CBD" w:rsidRDefault="00603DBA" w:rsidP="00603DBA">
            <w:pPr>
              <w:pStyle w:val="TableParagraph"/>
              <w:spacing w:before="171"/>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1D7725AB" w14:textId="0E2398DE" w:rsidR="00603DBA" w:rsidRPr="005C5CBD" w:rsidRDefault="00603DBA" w:rsidP="00603DBA">
            <w:pPr>
              <w:pStyle w:val="TableParagraph"/>
              <w:spacing w:before="171"/>
              <w:rPr>
                <w:rFonts w:ascii="Garamond" w:hAnsi="Garamond"/>
                <w:sz w:val="16"/>
                <w:szCs w:val="16"/>
              </w:rPr>
            </w:pPr>
            <w:r w:rsidRPr="005C5CBD">
              <w:rPr>
                <w:rFonts w:ascii="Garamond" w:hAnsi="Garamond"/>
                <w:sz w:val="16"/>
                <w:szCs w:val="16"/>
              </w:rPr>
              <w:t>Chefe</w:t>
            </w:r>
          </w:p>
        </w:tc>
        <w:tc>
          <w:tcPr>
            <w:tcW w:w="1275" w:type="dxa"/>
            <w:vAlign w:val="center"/>
          </w:tcPr>
          <w:p w14:paraId="7EECDB39" w14:textId="30EE03B9" w:rsidR="00603DBA" w:rsidRPr="005C5CBD" w:rsidRDefault="00603DBA" w:rsidP="00603DBA">
            <w:pPr>
              <w:pStyle w:val="TableParagraph"/>
              <w:spacing w:before="171"/>
              <w:ind w:left="13"/>
              <w:jc w:val="center"/>
              <w:rPr>
                <w:rFonts w:ascii="Garamond" w:hAnsi="Garamond"/>
                <w:sz w:val="16"/>
                <w:szCs w:val="16"/>
              </w:rPr>
            </w:pPr>
            <w:r w:rsidRPr="005C5CBD">
              <w:rPr>
                <w:rFonts w:ascii="Garamond" w:hAnsi="Garamond"/>
                <w:sz w:val="16"/>
                <w:szCs w:val="16"/>
              </w:rPr>
              <w:t>101.1</w:t>
            </w:r>
          </w:p>
        </w:tc>
      </w:tr>
      <w:tr w:rsidR="00603DBA" w:rsidRPr="005C5CBD" w14:paraId="625E983D" w14:textId="77777777" w:rsidTr="00603DBA">
        <w:trPr>
          <w:trHeight w:val="1140"/>
          <w:jc w:val="center"/>
        </w:trPr>
        <w:tc>
          <w:tcPr>
            <w:tcW w:w="4688" w:type="dxa"/>
            <w:vAlign w:val="center"/>
          </w:tcPr>
          <w:p w14:paraId="3A13BE6A" w14:textId="4405E34E" w:rsidR="00603DBA" w:rsidRPr="005C5CBD" w:rsidRDefault="00603DBA" w:rsidP="00603DBA">
            <w:pPr>
              <w:pStyle w:val="TableParagraph"/>
              <w:spacing w:before="194"/>
              <w:ind w:right="1643"/>
              <w:rPr>
                <w:rFonts w:ascii="Garamond" w:hAnsi="Garamond"/>
                <w:sz w:val="16"/>
                <w:szCs w:val="16"/>
                <w:lang w:val="pt-BR"/>
              </w:rPr>
            </w:pPr>
            <w:r w:rsidRPr="005C5CBD">
              <w:rPr>
                <w:rFonts w:ascii="Garamond" w:hAnsi="Garamond"/>
                <w:sz w:val="16"/>
                <w:szCs w:val="16"/>
                <w:lang w:val="pt-BR"/>
              </w:rPr>
              <w:t>Coordenação-Geral</w:t>
            </w:r>
            <w:r w:rsidRPr="005C5CBD">
              <w:rPr>
                <w:rFonts w:ascii="Garamond" w:hAnsi="Garamond"/>
                <w:spacing w:val="-3"/>
                <w:sz w:val="16"/>
                <w:szCs w:val="16"/>
                <w:lang w:val="pt-BR"/>
              </w:rPr>
              <w:t xml:space="preserve"> </w:t>
            </w:r>
            <w:r w:rsidRPr="005C5CBD">
              <w:rPr>
                <w:rFonts w:ascii="Garamond" w:hAnsi="Garamond"/>
                <w:sz w:val="16"/>
                <w:szCs w:val="16"/>
                <w:lang w:val="pt-BR"/>
              </w:rPr>
              <w:t>de</w:t>
            </w:r>
            <w:r w:rsidRPr="005C5CBD">
              <w:rPr>
                <w:rFonts w:ascii="Garamond" w:hAnsi="Garamond"/>
                <w:spacing w:val="-2"/>
                <w:sz w:val="16"/>
                <w:szCs w:val="16"/>
                <w:lang w:val="pt-BR"/>
              </w:rPr>
              <w:t xml:space="preserve"> </w:t>
            </w:r>
            <w:r w:rsidRPr="005C5CBD">
              <w:rPr>
                <w:rFonts w:ascii="Garamond" w:hAnsi="Garamond"/>
                <w:sz w:val="16"/>
                <w:szCs w:val="16"/>
                <w:lang w:val="pt-BR"/>
              </w:rPr>
              <w:t>Competitividade</w:t>
            </w:r>
            <w:r w:rsidRPr="005C5CBD">
              <w:rPr>
                <w:rFonts w:ascii="Garamond" w:hAnsi="Garamond"/>
                <w:spacing w:val="-3"/>
                <w:sz w:val="16"/>
                <w:szCs w:val="16"/>
                <w:lang w:val="pt-BR"/>
              </w:rPr>
              <w:t xml:space="preserve"> </w:t>
            </w:r>
            <w:r w:rsidRPr="005C5CBD">
              <w:rPr>
                <w:rFonts w:ascii="Garamond" w:hAnsi="Garamond"/>
                <w:sz w:val="16"/>
                <w:szCs w:val="16"/>
                <w:lang w:val="pt-BR"/>
              </w:rPr>
              <w:t>Exportadora</w:t>
            </w:r>
          </w:p>
        </w:tc>
        <w:tc>
          <w:tcPr>
            <w:tcW w:w="992" w:type="dxa"/>
            <w:vAlign w:val="center"/>
          </w:tcPr>
          <w:p w14:paraId="227CBFBA" w14:textId="40028A43" w:rsidR="00603DBA" w:rsidRPr="005C5CBD" w:rsidRDefault="00603DBA" w:rsidP="00603DBA">
            <w:pPr>
              <w:pStyle w:val="TableParagraph"/>
              <w:spacing w:before="171"/>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26D40688" w14:textId="3C7EF060" w:rsidR="00603DBA" w:rsidRPr="005C5CBD" w:rsidRDefault="00603DBA" w:rsidP="00603DBA">
            <w:pPr>
              <w:pStyle w:val="TableParagraph"/>
              <w:spacing w:before="171"/>
              <w:rPr>
                <w:rFonts w:ascii="Garamond" w:hAnsi="Garamond"/>
                <w:sz w:val="16"/>
                <w:szCs w:val="16"/>
              </w:rPr>
            </w:pPr>
            <w:r w:rsidRPr="005C5CBD">
              <w:rPr>
                <w:rFonts w:ascii="Garamond" w:hAnsi="Garamond"/>
                <w:sz w:val="16"/>
                <w:szCs w:val="16"/>
              </w:rPr>
              <w:t>Coordenador-Geral</w:t>
            </w:r>
          </w:p>
        </w:tc>
        <w:tc>
          <w:tcPr>
            <w:tcW w:w="1275" w:type="dxa"/>
            <w:vAlign w:val="center"/>
          </w:tcPr>
          <w:p w14:paraId="2F0B5F95" w14:textId="3E865F61" w:rsidR="00603DBA" w:rsidRPr="005C5CBD" w:rsidRDefault="00603DBA" w:rsidP="00603DBA">
            <w:pPr>
              <w:pStyle w:val="TableParagraph"/>
              <w:spacing w:before="171"/>
              <w:ind w:left="13"/>
              <w:jc w:val="center"/>
              <w:rPr>
                <w:rFonts w:ascii="Garamond" w:hAnsi="Garamond"/>
                <w:sz w:val="16"/>
                <w:szCs w:val="16"/>
              </w:rPr>
            </w:pPr>
            <w:r w:rsidRPr="005C5CBD">
              <w:rPr>
                <w:rFonts w:ascii="Garamond" w:hAnsi="Garamond"/>
                <w:sz w:val="16"/>
                <w:szCs w:val="16"/>
              </w:rPr>
              <w:t>101.4</w:t>
            </w:r>
          </w:p>
        </w:tc>
      </w:tr>
      <w:tr w:rsidR="00603DBA" w:rsidRPr="005C5CBD" w14:paraId="7BC2DE44" w14:textId="77777777" w:rsidTr="00603DBA">
        <w:trPr>
          <w:trHeight w:val="1140"/>
          <w:jc w:val="center"/>
        </w:trPr>
        <w:tc>
          <w:tcPr>
            <w:tcW w:w="4688" w:type="dxa"/>
            <w:vAlign w:val="center"/>
          </w:tcPr>
          <w:p w14:paraId="32B3FF4C" w14:textId="7DD5D853" w:rsidR="00603DBA" w:rsidRPr="005C5CBD" w:rsidRDefault="00603DBA" w:rsidP="00603DBA">
            <w:pPr>
              <w:pStyle w:val="TableParagraph"/>
              <w:spacing w:before="194"/>
              <w:ind w:right="1643"/>
              <w:rPr>
                <w:rFonts w:ascii="Garamond" w:hAnsi="Garamond"/>
                <w:sz w:val="16"/>
                <w:szCs w:val="16"/>
              </w:rPr>
            </w:pPr>
            <w:r w:rsidRPr="005C5CBD">
              <w:rPr>
                <w:rFonts w:ascii="Garamond" w:hAnsi="Garamond"/>
                <w:sz w:val="16"/>
                <w:szCs w:val="16"/>
              </w:rPr>
              <w:t>Divisão</w:t>
            </w:r>
          </w:p>
        </w:tc>
        <w:tc>
          <w:tcPr>
            <w:tcW w:w="992" w:type="dxa"/>
            <w:vAlign w:val="center"/>
          </w:tcPr>
          <w:p w14:paraId="3E55C600" w14:textId="0FD8F1A6" w:rsidR="00603DBA" w:rsidRPr="005C5CBD" w:rsidRDefault="00603DBA" w:rsidP="00603DBA">
            <w:pPr>
              <w:pStyle w:val="TableParagraph"/>
              <w:spacing w:before="171"/>
              <w:ind w:left="12"/>
              <w:jc w:val="center"/>
              <w:rPr>
                <w:rFonts w:ascii="Garamond" w:hAnsi="Garamond"/>
                <w:sz w:val="16"/>
                <w:szCs w:val="16"/>
              </w:rPr>
            </w:pPr>
            <w:r w:rsidRPr="005C5CBD">
              <w:rPr>
                <w:rFonts w:ascii="Garamond" w:hAnsi="Garamond"/>
                <w:sz w:val="16"/>
                <w:szCs w:val="16"/>
              </w:rPr>
              <w:t>1</w:t>
            </w:r>
          </w:p>
        </w:tc>
        <w:tc>
          <w:tcPr>
            <w:tcW w:w="1418" w:type="dxa"/>
            <w:vAlign w:val="center"/>
          </w:tcPr>
          <w:p w14:paraId="7B99BB19" w14:textId="10BB2CC6" w:rsidR="00603DBA" w:rsidRPr="005C5CBD" w:rsidRDefault="00603DBA" w:rsidP="00603DBA">
            <w:pPr>
              <w:pStyle w:val="TableParagraph"/>
              <w:spacing w:before="171"/>
              <w:rPr>
                <w:rFonts w:ascii="Garamond" w:hAnsi="Garamond"/>
                <w:sz w:val="16"/>
                <w:szCs w:val="16"/>
              </w:rPr>
            </w:pPr>
            <w:r w:rsidRPr="005C5CBD">
              <w:rPr>
                <w:rFonts w:ascii="Garamond" w:hAnsi="Garamond"/>
                <w:sz w:val="16"/>
                <w:szCs w:val="16"/>
              </w:rPr>
              <w:t>Chefe</w:t>
            </w:r>
          </w:p>
        </w:tc>
        <w:tc>
          <w:tcPr>
            <w:tcW w:w="1275" w:type="dxa"/>
            <w:vAlign w:val="center"/>
          </w:tcPr>
          <w:p w14:paraId="53ABAAC3" w14:textId="77B155A2" w:rsidR="00603DBA" w:rsidRPr="005C5CBD" w:rsidRDefault="00603DBA" w:rsidP="00603DBA">
            <w:pPr>
              <w:pStyle w:val="TableParagraph"/>
              <w:spacing w:before="171"/>
              <w:ind w:left="13"/>
              <w:jc w:val="center"/>
              <w:rPr>
                <w:rFonts w:ascii="Garamond" w:hAnsi="Garamond"/>
                <w:sz w:val="16"/>
                <w:szCs w:val="16"/>
              </w:rPr>
            </w:pPr>
            <w:r w:rsidRPr="005C5CBD">
              <w:rPr>
                <w:rFonts w:ascii="Garamond" w:hAnsi="Garamond"/>
                <w:sz w:val="16"/>
                <w:szCs w:val="16"/>
              </w:rPr>
              <w:t>101.2</w:t>
            </w:r>
          </w:p>
        </w:tc>
      </w:tr>
    </w:tbl>
    <w:p w14:paraId="0ABE918A" w14:textId="77777777" w:rsidR="00A71FFE" w:rsidRPr="005C5CBD" w:rsidRDefault="00A71FFE" w:rsidP="00A71FFE">
      <w:pPr>
        <w:pStyle w:val="Corpodetexto"/>
        <w:spacing w:before="6"/>
        <w:rPr>
          <w:rFonts w:ascii="Garamond" w:hAnsi="Garamond"/>
          <w:sz w:val="5"/>
        </w:rPr>
      </w:pPr>
    </w:p>
    <w:p w14:paraId="67993FFD" w14:textId="77777777" w:rsidR="00A71FFE" w:rsidRPr="005C5CBD" w:rsidRDefault="00A71FFE" w:rsidP="00A71FFE">
      <w:pPr>
        <w:pStyle w:val="Corpodetexto"/>
        <w:spacing w:line="274" w:lineRule="exact"/>
        <w:ind w:left="836"/>
        <w:rPr>
          <w:rFonts w:ascii="Garamond" w:hAnsi="Garamond"/>
          <w:sz w:val="22"/>
          <w:szCs w:val="22"/>
        </w:rPr>
      </w:pPr>
      <w:r w:rsidRPr="005C5CBD">
        <w:rPr>
          <w:rFonts w:ascii="Garamond" w:hAnsi="Garamond"/>
          <w:sz w:val="22"/>
          <w:szCs w:val="22"/>
        </w:rPr>
        <w:t>............................................................................................................................................"</w:t>
      </w:r>
      <w:r w:rsidRPr="005C5CBD">
        <w:rPr>
          <w:rFonts w:ascii="Garamond" w:hAnsi="Garamond"/>
          <w:spacing w:val="-3"/>
          <w:sz w:val="22"/>
          <w:szCs w:val="22"/>
        </w:rPr>
        <w:t xml:space="preserve"> </w:t>
      </w:r>
      <w:r w:rsidRPr="005C5CBD">
        <w:rPr>
          <w:rFonts w:ascii="Garamond" w:hAnsi="Garamond"/>
          <w:sz w:val="22"/>
          <w:szCs w:val="22"/>
        </w:rPr>
        <w:t>(NR)</w:t>
      </w:r>
    </w:p>
    <w:p w14:paraId="55DCF44F" w14:textId="77777777" w:rsidR="00A376E6" w:rsidRPr="005C5CBD" w:rsidRDefault="00A376E6" w:rsidP="0097041B">
      <w:pPr>
        <w:rPr>
          <w:rFonts w:ascii="Garamond" w:hAnsi="Garamond"/>
          <w:b/>
          <w:bCs/>
          <w:sz w:val="24"/>
          <w:szCs w:val="24"/>
        </w:rPr>
      </w:pPr>
      <w:r w:rsidRPr="00847C9D">
        <w:rPr>
          <w:rFonts w:ascii="Garamond" w:hAnsi="Garamond"/>
          <w:sz w:val="24"/>
          <w:szCs w:val="24"/>
        </w:rPr>
        <w:br w:type="page"/>
      </w:r>
    </w:p>
    <w:p w14:paraId="52EC81D1" w14:textId="506E4C6C" w:rsidR="00B73003" w:rsidRPr="005C26A4" w:rsidRDefault="00C43D68" w:rsidP="00B015C7">
      <w:pPr>
        <w:pStyle w:val="Ttulo"/>
        <w:outlineLvl w:val="1"/>
      </w:pPr>
      <w:hyperlink r:id="rId225" w:tgtFrame="_blank" w:history="1">
        <w:bookmarkStart w:id="134" w:name="_Toc96003810"/>
        <w:r w:rsidR="005C26A4" w:rsidRPr="005C26A4">
          <w:t>Lei</w:t>
        </w:r>
        <w:r w:rsidR="005C26A4">
          <w:t xml:space="preserve"> </w:t>
        </w:r>
        <w:r w:rsidR="005C26A4" w:rsidRPr="005C26A4">
          <w:t>n°</w:t>
        </w:r>
        <w:r w:rsidR="005C26A4">
          <w:t xml:space="preserve"> </w:t>
        </w:r>
        <w:r w:rsidR="005C26A4" w:rsidRPr="005C26A4">
          <w:t>12.546, de 14</w:t>
        </w:r>
        <w:r w:rsidR="006A794F">
          <w:t xml:space="preserve"> de dezembro de 20</w:t>
        </w:r>
        <w:r w:rsidR="005C26A4" w:rsidRPr="005C26A4">
          <w:t>11</w:t>
        </w:r>
        <w:bookmarkEnd w:id="134"/>
      </w:hyperlink>
    </w:p>
    <w:tbl>
      <w:tblPr>
        <w:tblW w:w="4892" w:type="pct"/>
        <w:tblCellSpacing w:w="0" w:type="dxa"/>
        <w:tblCellMar>
          <w:left w:w="0" w:type="dxa"/>
          <w:right w:w="0" w:type="dxa"/>
        </w:tblCellMar>
        <w:tblLook w:val="04A0" w:firstRow="1" w:lastRow="0" w:firstColumn="1" w:lastColumn="0" w:noHBand="0" w:noVBand="1"/>
      </w:tblPr>
      <w:tblGrid>
        <w:gridCol w:w="4606"/>
        <w:gridCol w:w="4436"/>
      </w:tblGrid>
      <w:tr w:rsidR="00B22263" w:rsidRPr="00395593" w14:paraId="2F9488B9" w14:textId="77777777" w:rsidTr="00603DBA">
        <w:trPr>
          <w:tblCellSpacing w:w="0" w:type="dxa"/>
        </w:trPr>
        <w:tc>
          <w:tcPr>
            <w:tcW w:w="2547" w:type="pct"/>
            <w:vAlign w:val="center"/>
          </w:tcPr>
          <w:p w14:paraId="302D4CC3" w14:textId="77777777" w:rsidR="00B22263" w:rsidRPr="00395593" w:rsidRDefault="00B22263" w:rsidP="00E33E26">
            <w:pPr>
              <w:spacing w:before="300" w:after="300" w:line="240" w:lineRule="auto"/>
              <w:rPr>
                <w:rFonts w:ascii="Garamond" w:eastAsia="Times New Roman" w:hAnsi="Garamond" w:cs="Times New Roman"/>
                <w:sz w:val="24"/>
                <w:szCs w:val="24"/>
                <w:lang w:eastAsia="pt-BR"/>
              </w:rPr>
            </w:pPr>
          </w:p>
        </w:tc>
        <w:tc>
          <w:tcPr>
            <w:tcW w:w="2453" w:type="pct"/>
            <w:vAlign w:val="center"/>
            <w:hideMark/>
          </w:tcPr>
          <w:p w14:paraId="54E6A6A9" w14:textId="134D6317" w:rsidR="00B22263" w:rsidRPr="00395593" w:rsidRDefault="00B22263" w:rsidP="00E33E26">
            <w:pPr>
              <w:spacing w:after="0" w:line="240" w:lineRule="auto"/>
              <w:jc w:val="both"/>
              <w:rPr>
                <w:rFonts w:ascii="Garamond" w:eastAsia="Times New Roman" w:hAnsi="Garamond" w:cs="Times New Roman"/>
                <w:sz w:val="24"/>
                <w:szCs w:val="24"/>
                <w:lang w:eastAsia="pt-BR"/>
              </w:rPr>
            </w:pPr>
            <w:r w:rsidRPr="00395593">
              <w:rPr>
                <w:rFonts w:ascii="Garamond" w:eastAsia="Times New Roman" w:hAnsi="Garamond" w:cs="Arial"/>
                <w:color w:val="000000" w:themeColor="text1"/>
                <w:sz w:val="24"/>
                <w:szCs w:val="24"/>
                <w:lang w:eastAsia="pt-BR"/>
              </w:rPr>
              <w:t>Institui o Regime Especial de Reintegração de Valores Tributários para as Empresas Exportadoras (Reintegra); dispõe sobre a redução do Imposto sobre Produtos Industrializados (IPI) à indústria automotiva; altera a incidência das contribuições previdenciárias devidas pelas empresas que menciona; altera as Leis nº 11.774, de 17 de setembro de 2008, nº 11.033, de 21 de dezembro de 2004, nº 11.196, de 21 de novembro de 2005, nº 10.865, de 30 de abril de 2004, nº 11.508, de 20 de julho de 2007, nº 7.291, de 19 de dezembro de 1984, nº 11.491, de 20 de junho de 2007, nº 9.782, de 26 de janeiro de 1999, e nº 9.294, de 15 de julho de 1996, e a Medida Provisória nº 2.199-14, de 24 de agosto de 2001; revoga o art. 1º da Lei nº 11.529, de 22 de outubro de 2007, e o art. 6º do Decreto-Lei nº 1.593, de 21 de dezembro de 1977, nos termos que especifica; e dá outras providências.</w:t>
            </w:r>
          </w:p>
        </w:tc>
      </w:tr>
    </w:tbl>
    <w:p w14:paraId="704DE730" w14:textId="77777777" w:rsidR="00B22263" w:rsidRPr="00395593" w:rsidRDefault="00B22263" w:rsidP="00E33E26">
      <w:pPr>
        <w:spacing w:before="210" w:after="210" w:line="240" w:lineRule="auto"/>
        <w:ind w:firstLine="567"/>
        <w:jc w:val="both"/>
        <w:rPr>
          <w:rFonts w:ascii="Garamond" w:eastAsia="Times New Roman" w:hAnsi="Garamond" w:cs="Arial"/>
          <w:color w:val="000000"/>
          <w:sz w:val="24"/>
          <w:szCs w:val="24"/>
          <w:lang w:eastAsia="pt-BR"/>
        </w:rPr>
      </w:pPr>
      <w:r w:rsidRPr="00395593">
        <w:rPr>
          <w:rFonts w:ascii="Garamond" w:eastAsia="Times New Roman" w:hAnsi="Garamond" w:cs="Arial"/>
          <w:b/>
          <w:bCs/>
          <w:color w:val="000000"/>
          <w:sz w:val="24"/>
          <w:szCs w:val="24"/>
          <w:lang w:eastAsia="pt-BR"/>
        </w:rPr>
        <w:t>A PRESIDENTA DA REPÚBLICA </w:t>
      </w:r>
      <w:r w:rsidRPr="00395593">
        <w:rPr>
          <w:rFonts w:ascii="Garamond" w:eastAsia="Times New Roman" w:hAnsi="Garamond" w:cs="Arial"/>
          <w:color w:val="000000"/>
          <w:sz w:val="24"/>
          <w:szCs w:val="24"/>
          <w:lang w:eastAsia="pt-BR"/>
        </w:rPr>
        <w:t>Faço saber que o Congresso Nacional decreta e eu sanciono a seguinte Lei:     </w:t>
      </w:r>
      <w:hyperlink r:id="rId226" w:anchor="art113iva" w:history="1">
        <w:r w:rsidRPr="00395593">
          <w:rPr>
            <w:rFonts w:ascii="Garamond" w:eastAsia="Times New Roman" w:hAnsi="Garamond" w:cs="Arial"/>
            <w:color w:val="0000FF"/>
            <w:sz w:val="24"/>
            <w:szCs w:val="24"/>
            <w:u w:val="single"/>
            <w:lang w:eastAsia="pt-BR"/>
          </w:rPr>
          <w:t>(Vigência)</w:t>
        </w:r>
      </w:hyperlink>
    </w:p>
    <w:p w14:paraId="0959121A" w14:textId="77777777" w:rsidR="00011617" w:rsidRDefault="00011617" w:rsidP="00E33E26">
      <w:pPr>
        <w:spacing w:before="210" w:after="210" w:line="240" w:lineRule="auto"/>
        <w:ind w:firstLine="567"/>
        <w:jc w:val="both"/>
        <w:rPr>
          <w:rFonts w:ascii="Garamond" w:eastAsia="Times New Roman" w:hAnsi="Garamond" w:cs="Arial"/>
          <w:color w:val="000000"/>
          <w:sz w:val="24"/>
          <w:szCs w:val="24"/>
          <w:lang w:eastAsia="pt-BR"/>
        </w:rPr>
      </w:pPr>
      <w:bookmarkStart w:id="135" w:name="art43"/>
      <w:bookmarkEnd w:id="135"/>
      <w:r>
        <w:rPr>
          <w:rFonts w:ascii="Garamond" w:eastAsia="Times New Roman" w:hAnsi="Garamond" w:cs="Arial"/>
          <w:color w:val="000000"/>
          <w:sz w:val="24"/>
          <w:szCs w:val="24"/>
          <w:lang w:eastAsia="pt-BR"/>
        </w:rPr>
        <w:t>[...]</w:t>
      </w:r>
    </w:p>
    <w:p w14:paraId="2EEABE88" w14:textId="77777777" w:rsidR="00B22263" w:rsidRPr="00395593" w:rsidRDefault="00B22263" w:rsidP="00E33E26">
      <w:pPr>
        <w:spacing w:before="210" w:after="210" w:line="240" w:lineRule="auto"/>
        <w:ind w:firstLine="567"/>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Art. 43. A aplicação de penalidades relacionadas com a comprovação de origem não prejudica a cobrança, provisória ou definitiva, de direito antidumping ou compensatório ou, ainda, de medidas de salvaguarda, pela Secretaria da Receita Federal do Brasil.     </w:t>
      </w:r>
      <w:hyperlink r:id="rId227" w:anchor="art52%C2%A75" w:history="1">
        <w:r w:rsidRPr="00395593">
          <w:rPr>
            <w:rFonts w:ascii="Garamond" w:eastAsia="Times New Roman" w:hAnsi="Garamond" w:cs="Arial"/>
            <w:color w:val="0000FF"/>
            <w:sz w:val="24"/>
            <w:szCs w:val="24"/>
            <w:u w:val="single"/>
            <w:lang w:eastAsia="pt-BR"/>
          </w:rPr>
          <w:t>Vigência</w:t>
        </w:r>
      </w:hyperlink>
    </w:p>
    <w:p w14:paraId="241D71B2" w14:textId="77777777" w:rsidR="00B22263" w:rsidRPr="00395593" w:rsidRDefault="00B22263" w:rsidP="00DF2936">
      <w:pPr>
        <w:spacing w:before="210" w:after="210" w:line="240" w:lineRule="auto"/>
        <w:ind w:firstLine="567"/>
        <w:jc w:val="center"/>
        <w:rPr>
          <w:rFonts w:ascii="Garamond" w:eastAsia="Times New Roman" w:hAnsi="Garamond" w:cs="Arial"/>
          <w:color w:val="000000"/>
          <w:sz w:val="24"/>
          <w:szCs w:val="24"/>
          <w:lang w:eastAsia="pt-BR"/>
        </w:rPr>
      </w:pPr>
      <w:bookmarkStart w:id="136" w:name="art44"/>
      <w:bookmarkEnd w:id="136"/>
      <w:r w:rsidRPr="00395593">
        <w:rPr>
          <w:rFonts w:ascii="Garamond" w:eastAsia="Times New Roman" w:hAnsi="Garamond" w:cs="Arial"/>
          <w:color w:val="000000"/>
          <w:sz w:val="24"/>
          <w:szCs w:val="24"/>
          <w:lang w:eastAsia="pt-BR"/>
        </w:rPr>
        <w:t>Brasília, 14 de dezembro de 2011; 190º da Independência e 123º da República.</w:t>
      </w:r>
    </w:p>
    <w:p w14:paraId="189F6FFD" w14:textId="77777777" w:rsidR="00B22263" w:rsidRPr="00395593" w:rsidRDefault="00B22263" w:rsidP="00E33E26">
      <w:pPr>
        <w:spacing w:after="0" w:line="240" w:lineRule="auto"/>
        <w:ind w:firstLine="432"/>
        <w:jc w:val="center"/>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DILMA ROUSSEFF</w:t>
      </w:r>
    </w:p>
    <w:p w14:paraId="37980AD6" w14:textId="52EC3216" w:rsidR="00B22263" w:rsidRPr="00146037" w:rsidRDefault="00DF2936" w:rsidP="00DF2936">
      <w:pPr>
        <w:tabs>
          <w:tab w:val="center" w:pos="4746"/>
          <w:tab w:val="left" w:pos="7125"/>
        </w:tabs>
        <w:spacing w:after="0" w:line="240" w:lineRule="auto"/>
        <w:ind w:firstLine="432"/>
        <w:rPr>
          <w:rFonts w:ascii="Garamond" w:eastAsia="Times New Roman" w:hAnsi="Garamond" w:cs="Arial"/>
          <w:i/>
          <w:color w:val="000000"/>
          <w:sz w:val="24"/>
          <w:szCs w:val="24"/>
          <w:lang w:eastAsia="pt-BR"/>
        </w:rPr>
      </w:pPr>
      <w:r w:rsidRPr="005C5CBD">
        <w:rPr>
          <w:rFonts w:ascii="Garamond" w:eastAsia="Times New Roman" w:hAnsi="Garamond" w:cs="Arial"/>
          <w:iCs/>
          <w:color w:val="000000"/>
          <w:sz w:val="24"/>
          <w:szCs w:val="24"/>
          <w:lang w:eastAsia="pt-BR"/>
        </w:rPr>
        <w:tab/>
      </w:r>
      <w:r w:rsidR="00B22263" w:rsidRPr="00146037">
        <w:rPr>
          <w:rFonts w:ascii="Garamond" w:eastAsia="Times New Roman" w:hAnsi="Garamond" w:cs="Arial"/>
          <w:i/>
          <w:iCs/>
          <w:color w:val="000000"/>
          <w:sz w:val="24"/>
          <w:szCs w:val="24"/>
          <w:lang w:eastAsia="pt-BR"/>
        </w:rPr>
        <w:t>José Eduardo Cardozo</w:t>
      </w:r>
      <w:r w:rsidRPr="00146037">
        <w:rPr>
          <w:rFonts w:ascii="Garamond" w:eastAsia="Times New Roman" w:hAnsi="Garamond" w:cs="Arial"/>
          <w:i/>
          <w:iCs/>
          <w:color w:val="000000"/>
          <w:sz w:val="24"/>
          <w:szCs w:val="24"/>
          <w:lang w:eastAsia="pt-BR"/>
        </w:rPr>
        <w:tab/>
      </w:r>
    </w:p>
    <w:p w14:paraId="5EE489FC" w14:textId="77777777" w:rsidR="00B22263" w:rsidRPr="00146037" w:rsidRDefault="00B22263" w:rsidP="00E33E26">
      <w:pPr>
        <w:spacing w:after="0" w:line="240" w:lineRule="auto"/>
        <w:ind w:firstLine="432"/>
        <w:jc w:val="center"/>
        <w:rPr>
          <w:rFonts w:ascii="Garamond" w:eastAsia="Times New Roman" w:hAnsi="Garamond" w:cs="Arial"/>
          <w:i/>
          <w:color w:val="000000"/>
          <w:sz w:val="24"/>
          <w:szCs w:val="24"/>
          <w:lang w:eastAsia="pt-BR"/>
        </w:rPr>
      </w:pPr>
      <w:r w:rsidRPr="00146037">
        <w:rPr>
          <w:rFonts w:ascii="Garamond" w:eastAsia="Times New Roman" w:hAnsi="Garamond" w:cs="Arial"/>
          <w:i/>
          <w:iCs/>
          <w:color w:val="000000"/>
          <w:sz w:val="24"/>
          <w:szCs w:val="24"/>
          <w:lang w:eastAsia="pt-BR"/>
        </w:rPr>
        <w:t>Guido Mantega</w:t>
      </w:r>
    </w:p>
    <w:p w14:paraId="008E6503" w14:textId="77777777" w:rsidR="00B22263" w:rsidRPr="00146037" w:rsidRDefault="00B22263" w:rsidP="00E33E26">
      <w:pPr>
        <w:spacing w:after="0" w:line="240" w:lineRule="auto"/>
        <w:ind w:firstLine="432"/>
        <w:jc w:val="center"/>
        <w:rPr>
          <w:rFonts w:ascii="Garamond" w:eastAsia="Times New Roman" w:hAnsi="Garamond" w:cs="Arial"/>
          <w:i/>
          <w:color w:val="000000"/>
          <w:sz w:val="24"/>
          <w:szCs w:val="24"/>
          <w:lang w:eastAsia="pt-BR"/>
        </w:rPr>
      </w:pPr>
      <w:r w:rsidRPr="00146037">
        <w:rPr>
          <w:rFonts w:ascii="Garamond" w:eastAsia="Times New Roman" w:hAnsi="Garamond" w:cs="Arial"/>
          <w:i/>
          <w:iCs/>
          <w:color w:val="000000"/>
          <w:sz w:val="24"/>
          <w:szCs w:val="24"/>
          <w:lang w:eastAsia="pt-BR"/>
        </w:rPr>
        <w:t>Alexandre Rocha Santos Padilha</w:t>
      </w:r>
    </w:p>
    <w:p w14:paraId="71C5DD1C" w14:textId="77777777" w:rsidR="00B22263" w:rsidRPr="00146037" w:rsidRDefault="00B22263" w:rsidP="00E33E26">
      <w:pPr>
        <w:spacing w:after="0" w:line="240" w:lineRule="auto"/>
        <w:ind w:firstLine="432"/>
        <w:jc w:val="center"/>
        <w:rPr>
          <w:rFonts w:ascii="Garamond" w:eastAsia="Times New Roman" w:hAnsi="Garamond" w:cs="Arial"/>
          <w:i/>
          <w:color w:val="000000"/>
          <w:sz w:val="24"/>
          <w:szCs w:val="24"/>
          <w:lang w:eastAsia="pt-BR"/>
        </w:rPr>
      </w:pPr>
      <w:r w:rsidRPr="00146037">
        <w:rPr>
          <w:rFonts w:ascii="Garamond" w:eastAsia="Times New Roman" w:hAnsi="Garamond" w:cs="Arial"/>
          <w:i/>
          <w:iCs/>
          <w:color w:val="000000"/>
          <w:sz w:val="24"/>
          <w:szCs w:val="24"/>
          <w:lang w:eastAsia="pt-BR"/>
        </w:rPr>
        <w:t>Alessandro Golombiewski Teixeira</w:t>
      </w:r>
    </w:p>
    <w:p w14:paraId="4EC05DC7" w14:textId="77777777" w:rsidR="00B22263" w:rsidRPr="00146037" w:rsidRDefault="00B22263" w:rsidP="00E33E26">
      <w:pPr>
        <w:spacing w:after="0" w:line="240" w:lineRule="auto"/>
        <w:ind w:firstLine="432"/>
        <w:jc w:val="center"/>
        <w:rPr>
          <w:rFonts w:ascii="Garamond" w:eastAsia="Times New Roman" w:hAnsi="Garamond" w:cs="Arial"/>
          <w:i/>
          <w:color w:val="000000"/>
          <w:sz w:val="24"/>
          <w:szCs w:val="24"/>
          <w:lang w:eastAsia="pt-BR"/>
        </w:rPr>
      </w:pPr>
      <w:r w:rsidRPr="00146037">
        <w:rPr>
          <w:rFonts w:ascii="Garamond" w:eastAsia="Times New Roman" w:hAnsi="Garamond" w:cs="Arial"/>
          <w:i/>
          <w:iCs/>
          <w:color w:val="000000"/>
          <w:sz w:val="24"/>
          <w:szCs w:val="24"/>
          <w:lang w:eastAsia="pt-BR"/>
        </w:rPr>
        <w:t>Miriam belchior</w:t>
      </w:r>
    </w:p>
    <w:p w14:paraId="44DA822B" w14:textId="77777777" w:rsidR="00B22263" w:rsidRPr="00146037" w:rsidRDefault="00B22263" w:rsidP="00E33E26">
      <w:pPr>
        <w:spacing w:after="0" w:line="240" w:lineRule="auto"/>
        <w:ind w:firstLine="432"/>
        <w:jc w:val="center"/>
        <w:rPr>
          <w:rFonts w:ascii="Garamond" w:eastAsia="Times New Roman" w:hAnsi="Garamond" w:cs="Arial"/>
          <w:i/>
          <w:color w:val="000000"/>
          <w:sz w:val="24"/>
          <w:szCs w:val="24"/>
          <w:lang w:eastAsia="pt-BR"/>
        </w:rPr>
      </w:pPr>
      <w:r w:rsidRPr="00146037">
        <w:rPr>
          <w:rFonts w:ascii="Garamond" w:eastAsia="Times New Roman" w:hAnsi="Garamond" w:cs="Arial"/>
          <w:i/>
          <w:iCs/>
          <w:color w:val="000000"/>
          <w:sz w:val="24"/>
          <w:szCs w:val="24"/>
          <w:lang w:eastAsia="pt-BR"/>
        </w:rPr>
        <w:t>Aloizio Mercadante</w:t>
      </w:r>
    </w:p>
    <w:p w14:paraId="0DC09486" w14:textId="77777777" w:rsidR="00B22263" w:rsidRPr="00146037" w:rsidRDefault="00B22263" w:rsidP="00E33E26">
      <w:pPr>
        <w:spacing w:after="0" w:line="240" w:lineRule="auto"/>
        <w:ind w:firstLine="432"/>
        <w:jc w:val="center"/>
        <w:rPr>
          <w:rFonts w:ascii="Garamond" w:eastAsia="Times New Roman" w:hAnsi="Garamond" w:cs="Arial"/>
          <w:i/>
          <w:color w:val="000000"/>
          <w:sz w:val="24"/>
          <w:szCs w:val="24"/>
          <w:lang w:eastAsia="pt-BR"/>
        </w:rPr>
      </w:pPr>
      <w:r w:rsidRPr="00146037">
        <w:rPr>
          <w:rFonts w:ascii="Garamond" w:eastAsia="Times New Roman" w:hAnsi="Garamond" w:cs="Arial"/>
          <w:i/>
          <w:iCs/>
          <w:color w:val="000000"/>
          <w:sz w:val="24"/>
          <w:szCs w:val="24"/>
          <w:lang w:eastAsia="pt-BR"/>
        </w:rPr>
        <w:t>Luiís Inácio Lucena Adams</w:t>
      </w:r>
    </w:p>
    <w:p w14:paraId="2C83C0C7" w14:textId="77777777" w:rsidR="00B22263" w:rsidRPr="00395593" w:rsidRDefault="00B22263" w:rsidP="00E33E26">
      <w:pPr>
        <w:rPr>
          <w:rFonts w:ascii="Garamond" w:hAnsi="Garamond" w:cstheme="majorHAnsi"/>
        </w:rPr>
      </w:pPr>
      <w:r w:rsidRPr="00395593">
        <w:rPr>
          <w:rFonts w:ascii="Garamond" w:hAnsi="Garamond" w:cstheme="majorHAnsi"/>
        </w:rPr>
        <w:br w:type="page"/>
      </w:r>
    </w:p>
    <w:p w14:paraId="00F01D13" w14:textId="54B0BBE8" w:rsidR="00B73003" w:rsidRPr="00395593" w:rsidRDefault="005C26A4" w:rsidP="00A57EC7">
      <w:pPr>
        <w:pStyle w:val="Ttulo"/>
        <w:outlineLvl w:val="1"/>
        <w:rPr>
          <w:rFonts w:cstheme="majorHAnsi"/>
          <w:color w:val="000000" w:themeColor="text1"/>
        </w:rPr>
      </w:pPr>
      <w:bookmarkStart w:id="137" w:name="_Toc96003811"/>
      <w:r w:rsidRPr="00395593">
        <w:rPr>
          <w:color w:val="000000" w:themeColor="text1"/>
        </w:rPr>
        <w:t>Portaria SECEX n</w:t>
      </w:r>
      <w:r w:rsidR="00E4045A" w:rsidRPr="00395593">
        <w:rPr>
          <w:color w:val="000000" w:themeColor="text1"/>
        </w:rPr>
        <w:t>°</w:t>
      </w:r>
      <w:r w:rsidRPr="00395593">
        <w:rPr>
          <w:color w:val="000000" w:themeColor="text1"/>
        </w:rPr>
        <w:t xml:space="preserve"> </w:t>
      </w:r>
      <w:r w:rsidR="00E4045A" w:rsidRPr="00395593">
        <w:rPr>
          <w:color w:val="000000" w:themeColor="text1"/>
        </w:rPr>
        <w:t>171, de</w:t>
      </w:r>
      <w:r w:rsidRPr="00395593">
        <w:rPr>
          <w:color w:val="000000" w:themeColor="text1"/>
        </w:rPr>
        <w:t xml:space="preserve"> </w:t>
      </w:r>
      <w:r w:rsidR="00E4045A" w:rsidRPr="00395593">
        <w:rPr>
          <w:color w:val="000000" w:themeColor="text1"/>
        </w:rPr>
        <w:t>9 de fevereiro</w:t>
      </w:r>
      <w:r w:rsidRPr="00395593">
        <w:rPr>
          <w:color w:val="000000" w:themeColor="text1"/>
        </w:rPr>
        <w:t xml:space="preserve"> de 2022</w:t>
      </w:r>
      <w:bookmarkEnd w:id="137"/>
    </w:p>
    <w:p w14:paraId="25D25554" w14:textId="2657D016" w:rsidR="00E4045A" w:rsidRPr="00395593" w:rsidRDefault="00E4045A" w:rsidP="00CC23EA">
      <w:pPr>
        <w:autoSpaceDE w:val="0"/>
        <w:autoSpaceDN w:val="0"/>
        <w:adjustRightInd w:val="0"/>
        <w:ind w:left="4536"/>
        <w:jc w:val="both"/>
        <w:rPr>
          <w:rFonts w:ascii="Garamond" w:hAnsi="Garamond" w:cs="Calibri"/>
          <w:color w:val="000000"/>
          <w:sz w:val="24"/>
          <w:szCs w:val="24"/>
        </w:rPr>
      </w:pPr>
      <w:r w:rsidRPr="00395593">
        <w:rPr>
          <w:rFonts w:ascii="Garamond" w:hAnsi="Garamond" w:cs="Calibri"/>
          <w:color w:val="000000"/>
          <w:sz w:val="24"/>
          <w:szCs w:val="24"/>
        </w:rPr>
        <w:t xml:space="preserve">Dispõe sobre as normas referentes a investigações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previstas no Decreto nº 8.058, de 26 de julho de 2013, para fins de cumprimento do Decreto n</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10.139, de 28 de novembro de 2019.</w:t>
      </w:r>
    </w:p>
    <w:p w14:paraId="11202C6B" w14:textId="77777777" w:rsidR="00E4045A" w:rsidRPr="00395593" w:rsidRDefault="00E4045A" w:rsidP="00E33E26">
      <w:pPr>
        <w:autoSpaceDE w:val="0"/>
        <w:autoSpaceDN w:val="0"/>
        <w:adjustRightInd w:val="0"/>
        <w:ind w:firstLine="567"/>
        <w:jc w:val="both"/>
        <w:rPr>
          <w:rFonts w:ascii="Garamond" w:hAnsi="Garamond" w:cs="Calibri"/>
          <w:color w:val="000000"/>
          <w:sz w:val="24"/>
          <w:szCs w:val="24"/>
        </w:rPr>
      </w:pPr>
    </w:p>
    <w:p w14:paraId="1A54C17E" w14:textId="77777777" w:rsidR="00E4045A" w:rsidRPr="00395593" w:rsidRDefault="00E4045A" w:rsidP="00E33E26">
      <w:pPr>
        <w:pStyle w:val="dou-paragraph"/>
        <w:shd w:val="clear" w:color="auto" w:fill="FFFFFF"/>
        <w:spacing w:before="0" w:beforeAutospacing="0" w:after="0" w:afterAutospacing="0"/>
        <w:ind w:firstLine="567"/>
        <w:jc w:val="both"/>
        <w:rPr>
          <w:rStyle w:val="normaltextrun"/>
          <w:rFonts w:ascii="Garamond" w:eastAsia="MS Gothic" w:hAnsi="Garamond" w:cs="Calibri"/>
          <w:color w:val="000000"/>
        </w:rPr>
      </w:pPr>
      <w:r w:rsidRPr="00395593">
        <w:rPr>
          <w:rStyle w:val="normaltextrun"/>
          <w:rFonts w:ascii="Garamond" w:eastAsia="MS Gothic" w:hAnsi="Garamond" w:cs="Calibri"/>
          <w:color w:val="000000"/>
          <w:shd w:val="clear" w:color="auto" w:fill="FFFFFF"/>
        </w:rPr>
        <w:t>O SECRETÁRIO DE COMÉRCIO EXTERIOR, DA SECRETARIA ESPECIAL DE COMÉRCIO EXTERIOR E ASSUNTOS INTERNACIONAIS DO MINISTÉRIO DA ECONOMIA, no uso das atribuições que lhe confere o inciso VIII do art. 91 do Anexo I do Decreto nº 9.745, de 8 de abril de 2019, e considerando as competências da Subsecretaria de Defesa Comercial e Interesse Público</w:t>
      </w:r>
      <w:r w:rsidRPr="00395593">
        <w:rPr>
          <w:rStyle w:val="normaltextrun"/>
          <w:rFonts w:ascii="Garamond" w:eastAsia="MS Gothic" w:hAnsi="Garamond" w:cs="Calibri"/>
          <w:color w:val="000000"/>
        </w:rPr>
        <w:t xml:space="preserve"> </w:t>
      </w:r>
      <w:r w:rsidRPr="00395593">
        <w:rPr>
          <w:rStyle w:val="normaltextrun"/>
          <w:rFonts w:ascii="Garamond" w:eastAsia="MS Gothic" w:hAnsi="Garamond" w:cs="Calibri"/>
          <w:color w:val="000000"/>
          <w:shd w:val="clear" w:color="auto" w:fill="FFFFFF"/>
        </w:rPr>
        <w:t>estabelecidas no art. 96 do Anexo I do Decreto nº 9.745, de 2019</w:t>
      </w:r>
      <w:r w:rsidRPr="00395593">
        <w:rPr>
          <w:rStyle w:val="normaltextrun"/>
          <w:rFonts w:ascii="Garamond" w:eastAsia="MS Gothic" w:hAnsi="Garamond" w:cs="Calibri"/>
          <w:color w:val="000000"/>
        </w:rPr>
        <w:t>, para fins de cumprimento do Decreto n</w:t>
      </w:r>
      <w:r w:rsidRPr="00395593">
        <w:rPr>
          <w:rStyle w:val="normaltextrun"/>
          <w:rFonts w:ascii="Garamond" w:eastAsia="MS Gothic" w:hAnsi="Garamond" w:cs="Calibri"/>
          <w:color w:val="000000"/>
          <w:shd w:val="clear" w:color="auto" w:fill="FFFFFF"/>
        </w:rPr>
        <w:t>º</w:t>
      </w:r>
      <w:r w:rsidRPr="00395593">
        <w:rPr>
          <w:rStyle w:val="normaltextrun"/>
          <w:rFonts w:ascii="Garamond" w:eastAsia="MS Gothic" w:hAnsi="Garamond" w:cs="Calibri"/>
          <w:color w:val="000000"/>
        </w:rPr>
        <w:t xml:space="preserve"> 10.139, de 28 de novembro de 2019, resolve:</w:t>
      </w:r>
    </w:p>
    <w:p w14:paraId="408FB03A" w14:textId="77777777" w:rsidR="00E4045A" w:rsidRPr="00395593" w:rsidRDefault="00E4045A" w:rsidP="00E33E26">
      <w:pPr>
        <w:pStyle w:val="dou-paragraph"/>
        <w:shd w:val="clear" w:color="auto" w:fill="FFFFFF"/>
        <w:spacing w:before="0" w:beforeAutospacing="0" w:after="0" w:afterAutospacing="0"/>
        <w:ind w:firstLine="567"/>
        <w:jc w:val="both"/>
        <w:rPr>
          <w:rStyle w:val="normaltextrun"/>
          <w:rFonts w:ascii="Garamond" w:eastAsia="MS Gothic" w:hAnsi="Garamond" w:cs="Calibri"/>
          <w:color w:val="000000"/>
        </w:rPr>
      </w:pPr>
    </w:p>
    <w:p w14:paraId="63687669" w14:textId="77777777" w:rsidR="00E4045A" w:rsidRPr="00395593" w:rsidRDefault="00E4045A" w:rsidP="003A4A3D">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CAPÍTULO I</w:t>
      </w:r>
    </w:p>
    <w:p w14:paraId="39939614" w14:textId="77777777" w:rsidR="00E4045A" w:rsidRPr="00395593" w:rsidRDefault="00E4045A" w:rsidP="003A4A3D">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DAS DISPOSIÇÕES GERAIS</w:t>
      </w:r>
    </w:p>
    <w:p w14:paraId="6DF1415F" w14:textId="77777777" w:rsidR="00E4045A" w:rsidRPr="00395593" w:rsidRDefault="00E4045A" w:rsidP="00E33E26">
      <w:pPr>
        <w:pStyle w:val="Corpodetexto"/>
        <w:ind w:firstLine="567"/>
        <w:rPr>
          <w:rFonts w:ascii="Garamond" w:hAnsi="Garamond" w:cs="Calibri"/>
          <w:color w:val="000000"/>
        </w:rPr>
      </w:pPr>
    </w:p>
    <w:p w14:paraId="5B65DDFC"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 xml:space="preserve">Art. 1º A regulamentação das normas referentes a investigações </w:t>
      </w:r>
      <w:r w:rsidRPr="00395593">
        <w:rPr>
          <w:rFonts w:ascii="Garamond" w:hAnsi="Garamond" w:cs="Calibri"/>
          <w:i/>
          <w:color w:val="000000"/>
        </w:rPr>
        <w:t>antidumping</w:t>
      </w:r>
      <w:r w:rsidRPr="00395593">
        <w:rPr>
          <w:rFonts w:ascii="Garamond" w:hAnsi="Garamond" w:cs="Calibri"/>
          <w:color w:val="000000"/>
        </w:rPr>
        <w:t xml:space="preserve"> que estão sob gestão da Subsecretaria de Defesa Comercial e Interessa Público (SDCOM) da Secretaria de Comércio Exterior (SECEX) obedecerá ao disposto nesta Portaria.</w:t>
      </w:r>
    </w:p>
    <w:p w14:paraId="6E01EBC7"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Art. 2º As normas gerais utilizadas nos processos de defesa comercial, previstas na Portaria SECEX nº 162, de 06 de janeiro de 2022, aplicam-se subsidiariamente a esta Portaria.</w:t>
      </w:r>
    </w:p>
    <w:p w14:paraId="5ABF2C53" w14:textId="77777777" w:rsidR="00E4045A" w:rsidRPr="00395593" w:rsidRDefault="00E4045A" w:rsidP="00E33E26">
      <w:pPr>
        <w:pStyle w:val="Corpodetexto"/>
        <w:ind w:firstLine="567"/>
        <w:rPr>
          <w:rFonts w:ascii="Garamond" w:hAnsi="Garamond" w:cs="Calibri"/>
          <w:color w:val="000000"/>
        </w:rPr>
      </w:pPr>
    </w:p>
    <w:p w14:paraId="73144FE1" w14:textId="77777777" w:rsidR="00E4045A" w:rsidRPr="00395593" w:rsidRDefault="00E4045A" w:rsidP="003A4A3D">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CAPÍTULO II</w:t>
      </w:r>
    </w:p>
    <w:p w14:paraId="6D4961DF" w14:textId="77777777" w:rsidR="00E4045A" w:rsidRPr="00395593" w:rsidRDefault="00E4045A" w:rsidP="003A4A3D">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DAS PETIÇÕES DE INVESTIGAÇÃO ORIGINAL DE DUMPING</w:t>
      </w:r>
    </w:p>
    <w:p w14:paraId="5BDEC189" w14:textId="77777777" w:rsidR="003A4A3D" w:rsidRDefault="003A4A3D" w:rsidP="00E33E26">
      <w:pPr>
        <w:jc w:val="center"/>
        <w:rPr>
          <w:rFonts w:ascii="Garamond" w:hAnsi="Garamond" w:cs="Calibri"/>
          <w:b/>
          <w:color w:val="000000"/>
          <w:sz w:val="24"/>
          <w:szCs w:val="24"/>
        </w:rPr>
      </w:pPr>
    </w:p>
    <w:p w14:paraId="333CA106" w14:textId="6063486F" w:rsidR="00E4045A" w:rsidRPr="00395593" w:rsidRDefault="00E4045A" w:rsidP="003A4A3D">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w:t>
      </w:r>
    </w:p>
    <w:p w14:paraId="37FA2425" w14:textId="77777777" w:rsidR="00E4045A" w:rsidRPr="00395593" w:rsidRDefault="00E4045A" w:rsidP="003A4A3D">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Das Instruções Gerais</w:t>
      </w:r>
    </w:p>
    <w:p w14:paraId="1249656D" w14:textId="77777777" w:rsidR="00E4045A" w:rsidRPr="00395593" w:rsidRDefault="00E4045A" w:rsidP="00E33E26">
      <w:pPr>
        <w:pStyle w:val="TextosemFormatao"/>
        <w:ind w:firstLine="567"/>
        <w:jc w:val="both"/>
        <w:rPr>
          <w:rFonts w:ascii="Garamond" w:hAnsi="Garamond" w:cs="Calibri"/>
          <w:color w:val="000000"/>
          <w:sz w:val="24"/>
          <w:szCs w:val="24"/>
        </w:rPr>
      </w:pPr>
    </w:p>
    <w:p w14:paraId="24C4D31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As petições de investigação de dumping de que trata o art. 37 do Decreto n</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8.058, de 26 de julho de 2013, protocoladas a partir da publicação desta Portaria deverão ser elaboradas utilizando-se exclusivamente do formato presente neste instrumento normativo. </w:t>
      </w:r>
    </w:p>
    <w:p w14:paraId="2DE3516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4</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A petição deverá conter evidências da existência de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de dano à indústria doméstica e de nexo de causalidade entre ambos. </w:t>
      </w:r>
    </w:p>
    <w:p w14:paraId="04B5D44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5</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Poderão ser indeferidas petições que não contenham todas as informações solicitadas nesta Portaria.</w:t>
      </w:r>
    </w:p>
    <w:p w14:paraId="4E9D59B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6</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A SDCOM poderá conduzir verificação(ões) in loco para examinar os registros da(s) empresa(s) e comprovar as informações fornecidas. Para esse fim, documentos auxiliares utilizados na elaboração da petição devem ser preservados. </w:t>
      </w:r>
    </w:p>
    <w:p w14:paraId="0586DA7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7</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Todas as informações apresentadas deverão vir acompanhadas de comprovação, de justificativa e das fontes e metodologias utilizadas.</w:t>
      </w:r>
    </w:p>
    <w:p w14:paraId="2177775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8</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Para o preenchimento dos apêndices desta Portaria deverão ser utilizadas as planilhas disponibilizadas no sítio eletrônico deste Ministério. </w:t>
      </w:r>
    </w:p>
    <w:p w14:paraId="7F2A57B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eastAsia="Times New Roman" w:hAnsi="Garamond" w:cs="Calibri"/>
          <w:color w:val="000000"/>
          <w:sz w:val="24"/>
          <w:szCs w:val="24"/>
          <w:lang w:eastAsia="pt-BR"/>
        </w:rPr>
        <w:t xml:space="preserve">Art. 9º </w:t>
      </w:r>
      <w:r w:rsidRPr="00395593">
        <w:rPr>
          <w:rFonts w:ascii="Garamond" w:hAnsi="Garamond" w:cs="Calibri"/>
          <w:color w:val="000000"/>
          <w:sz w:val="24"/>
          <w:szCs w:val="24"/>
        </w:rPr>
        <w:t>No caso de indústrias fragmentadas, conforme previsto no art. 2</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do Decreto n</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9.107, de 26 de julho de 2017, as petições deverão observar o disposto na Seção XIII deste Capítulo.</w:t>
      </w:r>
    </w:p>
    <w:p w14:paraId="1672EA49"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1</w:t>
      </w:r>
      <w:r w:rsidRPr="00395593">
        <w:rPr>
          <w:rFonts w:ascii="Garamond" w:hAnsi="Garamond" w:cs="Calibri"/>
          <w:strike/>
          <w:color w:val="000000"/>
        </w:rPr>
        <w:t>º</w:t>
      </w:r>
      <w:r w:rsidRPr="00395593">
        <w:rPr>
          <w:rFonts w:ascii="Garamond" w:hAnsi="Garamond" w:cs="Calibri"/>
          <w:color w:val="000000"/>
        </w:rPr>
        <w:t xml:space="preserve"> Para fins de petição de investigação original de dumping considera-se indústria fragmentada aquela que envolve número elevado de produtores domésticos. </w:t>
      </w:r>
    </w:p>
    <w:p w14:paraId="5192A2FF"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2</w:t>
      </w:r>
      <w:r w:rsidRPr="00395593">
        <w:rPr>
          <w:rFonts w:ascii="Garamond" w:hAnsi="Garamond" w:cs="Calibri"/>
          <w:strike/>
          <w:color w:val="000000"/>
        </w:rPr>
        <w:t>º</w:t>
      </w:r>
      <w:r w:rsidRPr="00395593">
        <w:rPr>
          <w:rFonts w:ascii="Garamond" w:hAnsi="Garamond" w:cs="Calibri"/>
          <w:color w:val="000000"/>
        </w:rPr>
        <w:t xml:space="preserve"> Para usufruir de prazos específicos definidos pela Subsecretaria de Defesa Comercial e Interesse Público, conforme previsto no art. 1</w:t>
      </w:r>
      <w:r w:rsidRPr="00395593">
        <w:rPr>
          <w:rFonts w:ascii="Garamond" w:hAnsi="Garamond" w:cs="Calibri"/>
          <w:color w:val="000000"/>
          <w:u w:val="single"/>
          <w:vertAlign w:val="superscript"/>
        </w:rPr>
        <w:t>o</w:t>
      </w:r>
      <w:r w:rsidRPr="00395593">
        <w:rPr>
          <w:rFonts w:ascii="Garamond" w:hAnsi="Garamond" w:cs="Calibri"/>
          <w:color w:val="000000"/>
        </w:rPr>
        <w:t xml:space="preserve"> do Decreto n</w:t>
      </w:r>
      <w:r w:rsidRPr="00395593">
        <w:rPr>
          <w:rFonts w:ascii="Garamond" w:hAnsi="Garamond" w:cs="Calibri"/>
          <w:color w:val="000000"/>
          <w:u w:val="single"/>
          <w:vertAlign w:val="superscript"/>
        </w:rPr>
        <w:t>o</w:t>
      </w:r>
      <w:r w:rsidRPr="00395593">
        <w:rPr>
          <w:rFonts w:ascii="Garamond" w:hAnsi="Garamond" w:cs="Calibri"/>
          <w:color w:val="000000"/>
        </w:rPr>
        <w:t xml:space="preserve"> 9.107, de 2017, apenas serão conhecidas petições apresentadas por indústrias fragmentadas, ou em seu nome, cuja habilitação tenha sido deferida pela Subsecretaria de Defesa Comercial e Interesse Público previamente ao protocolo da petição de investigação, em conformidade com o previsto no § 2</w:t>
      </w:r>
      <w:r w:rsidRPr="00395593">
        <w:rPr>
          <w:rFonts w:ascii="Garamond" w:hAnsi="Garamond" w:cs="Calibri"/>
          <w:color w:val="000000"/>
          <w:u w:val="single"/>
          <w:vertAlign w:val="superscript"/>
        </w:rPr>
        <w:t>o</w:t>
      </w:r>
      <w:r w:rsidRPr="00395593">
        <w:rPr>
          <w:rFonts w:ascii="Garamond" w:hAnsi="Garamond" w:cs="Calibri"/>
          <w:color w:val="000000"/>
        </w:rPr>
        <w:t xml:space="preserve"> do art. 1</w:t>
      </w:r>
      <w:r w:rsidRPr="00395593">
        <w:rPr>
          <w:rFonts w:ascii="Garamond" w:hAnsi="Garamond" w:cs="Calibri"/>
          <w:color w:val="000000"/>
          <w:u w:val="single"/>
          <w:vertAlign w:val="superscript"/>
        </w:rPr>
        <w:t>o</w:t>
      </w:r>
      <w:r w:rsidRPr="00395593">
        <w:rPr>
          <w:rFonts w:ascii="Garamond" w:hAnsi="Garamond" w:cs="Calibri"/>
          <w:color w:val="000000"/>
        </w:rPr>
        <w:t xml:space="preserve"> do Decreto n</w:t>
      </w:r>
      <w:r w:rsidRPr="00395593">
        <w:rPr>
          <w:rFonts w:ascii="Garamond" w:hAnsi="Garamond" w:cs="Calibri"/>
          <w:color w:val="000000"/>
          <w:u w:val="single"/>
          <w:vertAlign w:val="superscript"/>
        </w:rPr>
        <w:t>o</w:t>
      </w:r>
      <w:r w:rsidRPr="00395593">
        <w:rPr>
          <w:rFonts w:ascii="Garamond" w:hAnsi="Garamond" w:cs="Calibri"/>
          <w:color w:val="000000"/>
        </w:rPr>
        <w:t xml:space="preserve"> 9.107, de 2017, e com o estabelecido em ato específico do Secretário de Comércio Exterior. </w:t>
      </w:r>
    </w:p>
    <w:p w14:paraId="0183FE7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3</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Caso não tenha sido solicitada habilitação como indústria fragmentada ou a solicitação de habilitação tenha sido indeferida pela Subsecretaria de Defesa Comercial e Interesse Público, a petição de investigação deverá ser elaborada utilizando-se exclusivamente do formato presente na Seção XII deste Capítulo, considerando a totalidade das planilhas disponibilizadas no sítio eletrônico deste Ministério.</w:t>
      </w:r>
    </w:p>
    <w:p w14:paraId="3FC6997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10. Dúvidas e solicitações de esclarecimentos devem ser encaminhadas à SDCOM por meio do endereço eletrônico </w:t>
      </w:r>
      <w:hyperlink r:id="rId228" w:history="1">
        <w:r w:rsidRPr="00395593">
          <w:rPr>
            <w:rStyle w:val="Hyperlink"/>
            <w:rFonts w:ascii="Garamond" w:hAnsi="Garamond" w:cs="Calibri"/>
            <w:color w:val="000000"/>
            <w:sz w:val="24"/>
            <w:szCs w:val="24"/>
          </w:rPr>
          <w:t>sdcom@economia.gov.br</w:t>
        </w:r>
      </w:hyperlink>
      <w:r w:rsidRPr="00395593">
        <w:rPr>
          <w:rFonts w:ascii="Garamond" w:hAnsi="Garamond" w:cs="Calibri"/>
          <w:color w:val="000000"/>
          <w:sz w:val="24"/>
          <w:szCs w:val="24"/>
        </w:rPr>
        <w:t>.</w:t>
      </w:r>
    </w:p>
    <w:p w14:paraId="40FA2979" w14:textId="77777777" w:rsidR="00E4045A" w:rsidRPr="00395593" w:rsidRDefault="00E4045A" w:rsidP="00E33E26">
      <w:pPr>
        <w:pStyle w:val="TextosemFormatao"/>
        <w:ind w:firstLine="567"/>
        <w:jc w:val="both"/>
        <w:rPr>
          <w:rFonts w:ascii="Garamond" w:hAnsi="Garamond" w:cs="Calibri"/>
          <w:color w:val="000000"/>
          <w:sz w:val="24"/>
          <w:szCs w:val="24"/>
        </w:rPr>
      </w:pPr>
    </w:p>
    <w:p w14:paraId="5815D196"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II</w:t>
      </w:r>
    </w:p>
    <w:p w14:paraId="58163E09"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período de análise de dumping e do período de análise de dano</w:t>
      </w:r>
    </w:p>
    <w:p w14:paraId="6856B13D" w14:textId="77777777" w:rsidR="00E4045A" w:rsidRPr="00395593" w:rsidRDefault="00E4045A" w:rsidP="00E33E26">
      <w:pPr>
        <w:ind w:firstLine="567"/>
        <w:jc w:val="both"/>
        <w:rPr>
          <w:rFonts w:ascii="Garamond" w:hAnsi="Garamond" w:cs="Calibri"/>
          <w:color w:val="000000"/>
          <w:sz w:val="24"/>
          <w:szCs w:val="24"/>
        </w:rPr>
      </w:pPr>
    </w:p>
    <w:p w14:paraId="60DA666C"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11.</w:t>
      </w:r>
      <w:r w:rsidRPr="00395593" w:rsidDel="00262C62">
        <w:rPr>
          <w:rFonts w:ascii="Garamond" w:hAnsi="Garamond" w:cs="Calibri"/>
          <w:color w:val="000000"/>
          <w:sz w:val="24"/>
          <w:szCs w:val="24"/>
        </w:rPr>
        <w:t xml:space="preserve"> </w:t>
      </w:r>
      <w:r w:rsidRPr="00395593">
        <w:rPr>
          <w:rFonts w:ascii="Garamond" w:hAnsi="Garamond" w:cs="Calibri"/>
          <w:color w:val="000000"/>
          <w:sz w:val="24"/>
          <w:szCs w:val="24"/>
        </w:rPr>
        <w:t xml:space="preserve">O período de investigação de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compreenderá 12 (doze) meses encerrados em março, junho, setembro ou dezembro, tendo o peticionário até o último dia útil do 4</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(quarto) mês subsequente ao encerramento do referido período para protocolar a petição sem que seja necessário atualizar o período de investigação.</w:t>
      </w:r>
    </w:p>
    <w:p w14:paraId="3598215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Parágrafo único. O peticionário que apresentar a petição fora do prazo mencionado no </w:t>
      </w:r>
      <w:r w:rsidRPr="00395593">
        <w:rPr>
          <w:rFonts w:ascii="Garamond" w:hAnsi="Garamond" w:cs="Calibri"/>
          <w:i/>
          <w:color w:val="000000"/>
          <w:sz w:val="24"/>
          <w:szCs w:val="24"/>
        </w:rPr>
        <w:t xml:space="preserve">caput </w:t>
      </w:r>
      <w:r w:rsidRPr="00395593">
        <w:rPr>
          <w:rFonts w:ascii="Garamond" w:hAnsi="Garamond" w:cs="Calibri"/>
          <w:color w:val="000000"/>
          <w:sz w:val="24"/>
          <w:szCs w:val="24"/>
        </w:rPr>
        <w:t xml:space="preserve">deste artigo terá sua petição indeferida, sendo-lhe facultado submeter nova petição com o período de investigação de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atualizado.</w:t>
      </w:r>
    </w:p>
    <w:p w14:paraId="2843D3DC"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12. O período de investigação de dano compreenderá 60 (sessenta) meses, divididos em cinco intervalos de 12 (doze) meses, sendo que o intervalo mais recente deverá necessariamente coincidir com o período de investigação de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e os outros quatro intervalos compreenderão sucessivamente os doze meses anteriores aos primeiros. </w:t>
      </w:r>
    </w:p>
    <w:p w14:paraId="4D235CD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13.</w:t>
      </w:r>
      <w:r w:rsidRPr="00395593" w:rsidDel="00262C62">
        <w:rPr>
          <w:rFonts w:ascii="Garamond" w:hAnsi="Garamond" w:cs="Calibri"/>
          <w:color w:val="000000"/>
          <w:sz w:val="24"/>
          <w:szCs w:val="24"/>
        </w:rPr>
        <w:t xml:space="preserve"> </w:t>
      </w:r>
      <w:r w:rsidRPr="00395593">
        <w:rPr>
          <w:rFonts w:ascii="Garamond" w:hAnsi="Garamond" w:cs="Calibri"/>
          <w:color w:val="000000"/>
          <w:sz w:val="24"/>
          <w:szCs w:val="24"/>
        </w:rPr>
        <w:t>Deve-se indicar os períodos considerados para fins dos arts. 11</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e 12</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desta seção.</w:t>
      </w:r>
    </w:p>
    <w:p w14:paraId="60AC72C0" w14:textId="77777777" w:rsidR="00E4045A" w:rsidRPr="00395593" w:rsidRDefault="00E4045A" w:rsidP="00E33E26">
      <w:pPr>
        <w:pStyle w:val="TextosemFormatao"/>
        <w:ind w:firstLine="567"/>
        <w:jc w:val="both"/>
        <w:rPr>
          <w:rFonts w:ascii="Garamond" w:hAnsi="Garamond" w:cs="Calibri"/>
          <w:color w:val="000000"/>
          <w:sz w:val="24"/>
          <w:szCs w:val="24"/>
        </w:rPr>
      </w:pPr>
    </w:p>
    <w:p w14:paraId="52BB0BC3"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III</w:t>
      </w:r>
    </w:p>
    <w:p w14:paraId="6CBF13C6"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 xml:space="preserve">Do produto objeto da investigação </w:t>
      </w:r>
    </w:p>
    <w:p w14:paraId="79668E42" w14:textId="77777777" w:rsidR="00E4045A" w:rsidRPr="00395593" w:rsidRDefault="00E4045A" w:rsidP="00E33E26">
      <w:pPr>
        <w:ind w:firstLine="567"/>
        <w:jc w:val="both"/>
        <w:rPr>
          <w:rFonts w:ascii="Garamond" w:hAnsi="Garamond" w:cs="Calibri"/>
          <w:color w:val="000000"/>
          <w:sz w:val="24"/>
          <w:szCs w:val="24"/>
        </w:rPr>
      </w:pPr>
    </w:p>
    <w:p w14:paraId="6E6C7994"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14.</w:t>
      </w:r>
      <w:r w:rsidRPr="00395593" w:rsidDel="00421E93">
        <w:rPr>
          <w:rFonts w:ascii="Garamond" w:hAnsi="Garamond" w:cs="Calibri"/>
          <w:color w:val="000000"/>
          <w:sz w:val="24"/>
          <w:szCs w:val="24"/>
        </w:rPr>
        <w:t xml:space="preserve"> </w:t>
      </w:r>
      <w:r w:rsidRPr="00395593">
        <w:rPr>
          <w:rFonts w:ascii="Garamond" w:hAnsi="Garamond" w:cs="Calibri"/>
          <w:color w:val="000000"/>
          <w:sz w:val="24"/>
          <w:szCs w:val="24"/>
        </w:rPr>
        <w:t>Deve-se descrever pormenorizadamente o produto objeto da investigação, especificando, conforme se aplique: matéria(s)-prima(s); composição química; modelo; dimensão; capacidade; potência, forma de apresentação, usos e aplicações e canais de distribuição. Deve-se informar outras características consideradas relevantes com vistas à identificação do produto objeto da investigação.</w:t>
      </w:r>
    </w:p>
    <w:p w14:paraId="5281097E"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15.</w:t>
      </w:r>
      <w:r w:rsidRPr="00395593" w:rsidDel="00B57D50">
        <w:rPr>
          <w:rFonts w:ascii="Garamond" w:hAnsi="Garamond" w:cs="Calibri"/>
          <w:color w:val="000000"/>
          <w:sz w:val="24"/>
          <w:szCs w:val="24"/>
        </w:rPr>
        <w:t xml:space="preserve"> </w:t>
      </w:r>
      <w:r w:rsidRPr="00395593">
        <w:rPr>
          <w:rFonts w:ascii="Garamond" w:hAnsi="Garamond" w:cs="Calibri"/>
          <w:color w:val="000000"/>
          <w:sz w:val="24"/>
          <w:szCs w:val="24"/>
        </w:rPr>
        <w:t>Deve-se descrever detalhadamente o processo produtivo no(s) país(es) em questão. Caso haja mais de uma rota de produção, esclarecer tal circunstância. Se possível, especificar a rota utilizada por cada empresa produtora estrangeira.</w:t>
      </w:r>
    </w:p>
    <w:p w14:paraId="3B5601D0"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16.</w:t>
      </w:r>
      <w:r w:rsidRPr="00395593" w:rsidDel="00783827">
        <w:rPr>
          <w:rFonts w:ascii="Garamond" w:hAnsi="Garamond" w:cs="Calibri"/>
          <w:color w:val="000000"/>
          <w:sz w:val="24"/>
          <w:szCs w:val="24"/>
        </w:rPr>
        <w:t xml:space="preserve"> </w:t>
      </w:r>
      <w:r w:rsidRPr="00395593">
        <w:rPr>
          <w:rFonts w:ascii="Garamond" w:hAnsi="Garamond" w:cs="Calibri"/>
          <w:color w:val="000000"/>
          <w:sz w:val="24"/>
          <w:szCs w:val="24"/>
        </w:rPr>
        <w:t xml:space="preserve">Deve-se informar o(s) item(ns) da Nomenclatura Comum do MERCOSUL (NCM) em que se classifica o produto objeto da investigação. </w:t>
      </w:r>
    </w:p>
    <w:p w14:paraId="6D9056A3"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Deve-se esclarecer se a definição desse produto corresponde à descrição do(s) item(ns) da NCM em que este se classifica. Caso no(s) referido(s) item(ns) da NCM também sejam classificados outro(s) produto(s), deve-se informar tal circunstância e fornecer elementos que permitam identificá-los.</w:t>
      </w:r>
    </w:p>
    <w:p w14:paraId="55588F6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Caso haja alguma razão para supor que o produto objeto da investigação vem sendo importado mediante classificação em outro(s) item(ns) da NCM, deve-se esclarecer tal circunstância.</w:t>
      </w:r>
    </w:p>
    <w:p w14:paraId="4181E9FC"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17.</w:t>
      </w:r>
      <w:r w:rsidRPr="00395593" w:rsidDel="00E8469E">
        <w:rPr>
          <w:rFonts w:ascii="Garamond" w:hAnsi="Garamond" w:cs="Calibri"/>
          <w:color w:val="000000"/>
          <w:sz w:val="24"/>
          <w:szCs w:val="24"/>
        </w:rPr>
        <w:t xml:space="preserve"> </w:t>
      </w:r>
      <w:r w:rsidRPr="00395593">
        <w:rPr>
          <w:rFonts w:ascii="Garamond" w:hAnsi="Garamond" w:cs="Calibri"/>
          <w:color w:val="000000"/>
          <w:sz w:val="24"/>
          <w:szCs w:val="24"/>
        </w:rPr>
        <w:t>Na hipótese de o produto objeto da investigação não ser homogêneo e/ou se classificar em mais de um item da NCM, deve-se esclarecer tal circunstância e informar os elementos que permitiram a definição do produto.</w:t>
      </w:r>
    </w:p>
    <w:p w14:paraId="2FFA4FA6"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Deve-se esclarecer se há certo(s) tipo(s)/modelo(s) excluídos do pleito, informando pormenorizadamente as razões que justificam tal exclusão.</w:t>
      </w:r>
    </w:p>
    <w:p w14:paraId="30CE6AB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Neste caso, deve-se fornecer descrição detalhada desse(s) tipo(s)/modelo(s) com vistas a permitir sua perfeita identificação.</w:t>
      </w:r>
    </w:p>
    <w:p w14:paraId="79E1FA40"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18. Deve-se apresentar, caso disponível, literatura, catálogo, material de propaganda ou outro documento que forneça informações técnicas sobre o produto objeto da investigação.</w:t>
      </w:r>
    </w:p>
    <w:p w14:paraId="6D4A536C"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19. Deve-se informar se o produto objeto da investigação está sujeito a normas ou regulamentos técnicos. Norma técnica é o documento aprovado por uma instituição reconhecida que prevê, para um uso comum e repetitivo, regras, diretrizes ou características para os produtos ou processos e métodos de produção conexos, e cuja observância não é obrigatória. Regulamento técnico é o documento aprovado por órgãos governamentais que estabelece as características do produto ou dos processos e métodos de produção com ele relacionados, com inclusão das disposições administrativas aplicáveis e cuja observância é obrigatória.</w:t>
      </w:r>
    </w:p>
    <w:p w14:paraId="576F3EE8"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Caso o produto objeto da investigação esteja sujeito a normas ou regulamentos técnicos, deve-se informar a instituição normalizadora ou reguladora e fornecer lista exaustiva das normas/regulamentos em questão.</w:t>
      </w:r>
    </w:p>
    <w:p w14:paraId="61CD410A"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Na hipótese de não ser possível o fornecimento de lista exaustiva de tais normas ou regulamentos técnicos, tal circunstância deverá ser devidamente justificada.</w:t>
      </w:r>
    </w:p>
    <w:p w14:paraId="1A451904" w14:textId="77777777" w:rsidR="00E4045A" w:rsidRPr="00395593" w:rsidRDefault="00E4045A" w:rsidP="00E33E26">
      <w:pPr>
        <w:ind w:firstLine="567"/>
        <w:jc w:val="both"/>
        <w:rPr>
          <w:rFonts w:ascii="Garamond" w:hAnsi="Garamond" w:cs="Calibri"/>
          <w:color w:val="000000"/>
          <w:sz w:val="24"/>
          <w:szCs w:val="24"/>
        </w:rPr>
      </w:pPr>
    </w:p>
    <w:p w14:paraId="67DD7602"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IV</w:t>
      </w:r>
    </w:p>
    <w:p w14:paraId="36051679"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produto similar produzido no Brasil</w:t>
      </w:r>
    </w:p>
    <w:p w14:paraId="7C3C016F" w14:textId="77777777" w:rsidR="00E4045A" w:rsidRPr="00395593" w:rsidRDefault="00E4045A" w:rsidP="00E33E26">
      <w:pPr>
        <w:ind w:firstLine="567"/>
        <w:jc w:val="both"/>
        <w:rPr>
          <w:rFonts w:ascii="Garamond" w:hAnsi="Garamond" w:cs="Calibri"/>
          <w:color w:val="000000"/>
          <w:sz w:val="24"/>
          <w:szCs w:val="24"/>
        </w:rPr>
      </w:pPr>
    </w:p>
    <w:p w14:paraId="25100B98"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20.</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Caso a petição seja apresentada em nome de mais de uma empresa, as informações sobre o produto similar produzido no Brasil deverão ser fornecidas individualmente por cada uma delas.</w:t>
      </w:r>
    </w:p>
    <w:p w14:paraId="73997AE4"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21.</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descrever pormenorizadamente o produto similar produzido no Brasil, especificando, conforme se aplique: matéria(s)-prima(s); composição química; modelo; dimensão; capacidade; potência, forma de apresentação, usos e aplicações e canais de distribuição. Deve-se informar outras características consideradas relevantes com vistas à identificação do produto.</w:t>
      </w:r>
    </w:p>
    <w:p w14:paraId="620C714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22.</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descrever detalhadamente o processo produtivo do produto similar produzido no Brasil, especificando: matéria(s)-prima(s), material(is) secundário(s) e utilidades. Deve-se apresentar fluxograma descrevendo a rota tecnológica utilizada, as principais etapas do processo e os principais equipamentos utilizados.</w:t>
      </w:r>
    </w:p>
    <w:p w14:paraId="1262220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23.</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apresentar, caso disponível, literatura, catálogo, material de propaganda ou outro documento que forneça informações técnicas sobre o produto similar produzido no Brasil.</w:t>
      </w:r>
    </w:p>
    <w:p w14:paraId="59C06F1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24.</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Deve-se informar se o produto similar produzido no Brasil está sujeito a normas ou regulamentos técnicos. </w:t>
      </w:r>
    </w:p>
    <w:p w14:paraId="467190B4"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Caso o produto similar doméstico esteja sujeito a normas ou regulamentos técnicos, deve-se informar a instituição normalizadora ou reguladora e fornecer lista exaustiva das normas/regulamentos em questão.</w:t>
      </w:r>
    </w:p>
    <w:p w14:paraId="0DC925B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Na hipótese de não ser possível o fornecimento de lista exaustiva de tais normas ou regulamentos técnicos, tal circunstância deverá ser devidamente justificada.</w:t>
      </w:r>
    </w:p>
    <w:p w14:paraId="78B83BD6"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25.</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descrever detalhadamente o sistema de codificação de produto (CODPROD) utilizado pela empresa no curso normal de suas operações, inclusive toda variedade de prefixos, sufixos e outras notações que identifiquem os diferentes tipos/modelos de produto. Deve-se apresentar lista completa de códigos, acompanhada de descrição dos elementos que os compõem e, se for o caso, dos respectivos nomes comerciais.</w:t>
      </w:r>
    </w:p>
    <w:p w14:paraId="4EDC6B9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26.</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O código de identificação do produto (CODIP) será representado por uma combinação alfanumérica que reflita as características do produto. A combinação alfanumérica deverá refletir, em ordem decrescente, a importância de cada característica do produto, começando pela mais relevante.</w:t>
      </w:r>
    </w:p>
    <w:p w14:paraId="79185A9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27.</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esclarecer se o sistema de codificação do produto utilizado pela empresa no curso normal de suas operações contempla os principais elementos que influenciam o custo de produção e o preço de venda, especificando-os.</w:t>
      </w:r>
    </w:p>
    <w:p w14:paraId="365851C9"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Caso o CODPROD utilizado pela empresa no curso normal de suas operações não contemple os principais elementos que influenciam o custo de produção e o preço de venda, deve-se sugerir a composição de CODIP que permita sua identificação.</w:t>
      </w:r>
    </w:p>
    <w:p w14:paraId="75465A7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Deve-se observar que essas informações são relevantes, pois os dados a serem fornecidos com vistas à análise da petição deverão ser apresentados considerando o CODPROD ou, se for o caso, o CODIP sugerido. Além disso, caso iniciada a investigação, serão solicitados aos produtores estrangeiros dados pormenorizados por CODIP, a ser elaborado com base nessas informações.</w:t>
      </w:r>
    </w:p>
    <w:p w14:paraId="27098E41"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3</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Caso factível, o CODIP pode ser elaborado considerando grupos de CODPROD. Neste caso, deverão ser informados os critérios que levaram a esse agrupamento e apresentada tabela relacionando os códigos CODPROD e CODIP.</w:t>
      </w:r>
    </w:p>
    <w:p w14:paraId="34A31361" w14:textId="77777777" w:rsidR="00E4045A" w:rsidRPr="00395593" w:rsidRDefault="00E4045A" w:rsidP="00E33E26">
      <w:pPr>
        <w:ind w:firstLine="567"/>
        <w:jc w:val="both"/>
        <w:rPr>
          <w:rFonts w:ascii="Garamond" w:hAnsi="Garamond" w:cs="Calibri"/>
          <w:color w:val="000000"/>
          <w:sz w:val="24"/>
          <w:szCs w:val="24"/>
        </w:rPr>
      </w:pPr>
    </w:p>
    <w:p w14:paraId="183EEDAA" w14:textId="77777777" w:rsidR="00596935" w:rsidRDefault="00596935">
      <w:pPr>
        <w:rPr>
          <w:rFonts w:ascii="Garamond" w:hAnsi="Garamond" w:cs="Calibri"/>
          <w:b/>
          <w:color w:val="000000"/>
          <w:sz w:val="24"/>
          <w:szCs w:val="24"/>
        </w:rPr>
      </w:pPr>
      <w:r>
        <w:rPr>
          <w:rFonts w:ascii="Garamond" w:hAnsi="Garamond" w:cs="Calibri"/>
          <w:b/>
          <w:color w:val="000000"/>
          <w:sz w:val="24"/>
          <w:szCs w:val="24"/>
        </w:rPr>
        <w:br w:type="page"/>
      </w:r>
    </w:p>
    <w:p w14:paraId="6F2B39D1" w14:textId="18D0AB0E"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V</w:t>
      </w:r>
    </w:p>
    <w:p w14:paraId="6855EF00"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Da similaridade</w:t>
      </w:r>
    </w:p>
    <w:p w14:paraId="43BEB861" w14:textId="77777777" w:rsidR="00E4045A" w:rsidRPr="00395593" w:rsidRDefault="00E4045A" w:rsidP="00E33E26">
      <w:pPr>
        <w:ind w:firstLine="567"/>
        <w:jc w:val="both"/>
        <w:rPr>
          <w:rFonts w:ascii="Garamond" w:hAnsi="Garamond" w:cs="Calibri"/>
          <w:color w:val="000000"/>
          <w:sz w:val="24"/>
          <w:szCs w:val="24"/>
        </w:rPr>
      </w:pPr>
    </w:p>
    <w:p w14:paraId="06B431DD"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28.</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descrever pormenorizadamente as diferenças entre o produto objeto da investigação e o produto similar produzido no Brasil, particularmente no que diz respeito a: matéria(s)-prima(s), composição química, características físicas, normas e especificações técnicas, processo produtivo, usos e aplicações, grau de substitutibilidade e canais de distribuição. Deve-se informar outras diferenças identificadas.</w:t>
      </w:r>
    </w:p>
    <w:p w14:paraId="49E9AFD8"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29.</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Caso sejam identificadas diferenças entre os dois produtos, deve-se esclarecer as razões que levam a crer que tais diferenças não afetam a similaridade.</w:t>
      </w:r>
    </w:p>
    <w:p w14:paraId="250BD307" w14:textId="77777777" w:rsidR="00E4045A" w:rsidRPr="00395593" w:rsidRDefault="00E4045A" w:rsidP="00E33E26">
      <w:pPr>
        <w:ind w:firstLine="567"/>
        <w:jc w:val="both"/>
        <w:rPr>
          <w:rFonts w:ascii="Garamond" w:hAnsi="Garamond" w:cs="Calibri"/>
          <w:color w:val="000000"/>
          <w:sz w:val="24"/>
          <w:szCs w:val="24"/>
        </w:rPr>
      </w:pPr>
    </w:p>
    <w:p w14:paraId="51AB7A0D"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VI</w:t>
      </w:r>
    </w:p>
    <w:p w14:paraId="3A761BA4"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Da indústria doméstica e da representatividade</w:t>
      </w:r>
    </w:p>
    <w:p w14:paraId="600F3107" w14:textId="77777777" w:rsidR="00E4045A" w:rsidRPr="00395593" w:rsidRDefault="00E4045A" w:rsidP="00E33E26">
      <w:pPr>
        <w:pStyle w:val="TextosemFormatao"/>
        <w:ind w:firstLine="567"/>
        <w:jc w:val="both"/>
        <w:rPr>
          <w:rFonts w:ascii="Garamond" w:hAnsi="Garamond" w:cs="Calibri"/>
          <w:color w:val="000000"/>
          <w:sz w:val="24"/>
          <w:szCs w:val="24"/>
        </w:rPr>
      </w:pPr>
    </w:p>
    <w:p w14:paraId="41D8BA3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30.</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fornecer as informações constantes do Apêndice I relativas a cada período, tal como definido no art. 12.</w:t>
      </w:r>
    </w:p>
    <w:p w14:paraId="326C1C8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31.</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Deve-se esclarecer a unidade utilizada para expressar o volume de produção (unidades, quilogramas, toneladas, peças, litros, etc.). </w:t>
      </w:r>
    </w:p>
    <w:p w14:paraId="788E62D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32.</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No caso de a petição ser apresentada por entidade de classe, deve-se informar a razão social e endereço das empresas que forneceram dados para fins da análise de dano</w:t>
      </w:r>
      <w:r w:rsidRPr="00395593" w:rsidDel="002971A2">
        <w:rPr>
          <w:rFonts w:ascii="Garamond" w:hAnsi="Garamond" w:cs="Calibri"/>
          <w:color w:val="000000"/>
          <w:sz w:val="24"/>
          <w:szCs w:val="24"/>
        </w:rPr>
        <w:t xml:space="preserve"> </w:t>
      </w:r>
      <w:r w:rsidRPr="00395593">
        <w:rPr>
          <w:rFonts w:ascii="Garamond" w:hAnsi="Garamond" w:cs="Calibri"/>
          <w:color w:val="000000"/>
          <w:sz w:val="24"/>
          <w:szCs w:val="24"/>
        </w:rPr>
        <w:t xml:space="preserve">(coluna A do Apêndice I). </w:t>
      </w:r>
    </w:p>
    <w:p w14:paraId="0973CEF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33.</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Não serão consideradas manifestações de apoio que não se façam acompanhar dos dados necessários à determinação do dano à indústria doméstica. </w:t>
      </w:r>
    </w:p>
    <w:p w14:paraId="3AD7BE5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eastAsia="Times New Roman" w:hAnsi="Garamond" w:cs="Calibri"/>
          <w:color w:val="000000"/>
          <w:sz w:val="24"/>
          <w:szCs w:val="24"/>
          <w:lang w:eastAsia="pt-BR"/>
        </w:rPr>
        <w:t>Art. 34.</w:t>
      </w:r>
      <w:r w:rsidRPr="00395593">
        <w:rPr>
          <w:rFonts w:ascii="Garamond" w:hAnsi="Garamond" w:cs="Calibri"/>
          <w:color w:val="000000"/>
          <w:sz w:val="24"/>
          <w:szCs w:val="24"/>
        </w:rPr>
        <w:t xml:space="preserve"> Nos termos do § 4º do art. 37 do Decreto n</w:t>
      </w:r>
      <w:r w:rsidRPr="00395593">
        <w:rPr>
          <w:rStyle w:val="normaltextrun"/>
          <w:rFonts w:ascii="Garamond" w:eastAsia="MS Gothic" w:hAnsi="Garamond" w:cs="Calibri"/>
          <w:color w:val="000000"/>
          <w:sz w:val="24"/>
          <w:szCs w:val="24"/>
          <w:shd w:val="clear" w:color="auto" w:fill="FFFFFF"/>
        </w:rPr>
        <w:t>º</w:t>
      </w:r>
      <w:r w:rsidRPr="00395593">
        <w:rPr>
          <w:rFonts w:ascii="Garamond" w:hAnsi="Garamond" w:cs="Calibri"/>
          <w:color w:val="000000"/>
          <w:sz w:val="24"/>
          <w:szCs w:val="24"/>
        </w:rPr>
        <w:t xml:space="preserve"> 8.058, de 2013, a manifestação de apoio à petição, referida na coluna A do Apêndice I, somente será considerada quando acompanhada de informação correspondente ao volume ou valor de produção e ao volume de vendas no mercado interno durante o período de investigação de dano, identificada individualmente para cada empresa.</w:t>
      </w:r>
    </w:p>
    <w:p w14:paraId="01AEA71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Parágrafo único. No caso de indústria fragmentada, que envolva um número especialmente elevado de produtores domésticos, o grau de apoio ou rejeição poderá ser confirmado mediante amostra estatisticamente válida. </w:t>
      </w:r>
    </w:p>
    <w:p w14:paraId="244CE4C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eastAsia="Times New Roman" w:hAnsi="Garamond" w:cs="Calibri"/>
          <w:color w:val="000000"/>
          <w:sz w:val="24"/>
          <w:szCs w:val="24"/>
          <w:lang w:eastAsia="pt-BR"/>
        </w:rPr>
        <w:t>Art. 35.</w:t>
      </w:r>
      <w:r w:rsidRPr="00395593">
        <w:rPr>
          <w:rFonts w:ascii="Garamond" w:hAnsi="Garamond" w:cs="Calibri"/>
          <w:color w:val="000000"/>
          <w:sz w:val="24"/>
          <w:szCs w:val="24"/>
        </w:rPr>
        <w:t xml:space="preserve"> A petição deverá informar a razão social e o endereço das empresas conhecidas que não se manifestaram sobre a petição (coluna B do Apêndice I) e esclarecer a metodologia utilizada para estimar a produção que lhes corresponda.</w:t>
      </w:r>
    </w:p>
    <w:p w14:paraId="34F0EAA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36. A petição deverá conter os dados necessários à determinação do dano à indústria doméstica relativos aos produtores domésticos que manifestaram expressamente seu apoio à petição. </w:t>
      </w:r>
    </w:p>
    <w:p w14:paraId="1966E30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1º Nos termos do art. 34 do Decreto nº 8.058, de 2013, considera-se indústria doméstica a totalidade dos produtores do produto similar doméstico ou o conjunto de produtores cuja produção conjunta constitua proporção significativa da produção nacional total do produto similar doméstico.</w:t>
      </w:r>
    </w:p>
    <w:p w14:paraId="1B2085F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2º Nos termos do § 2º do art. 37 do Decreto nº 8.058, de 2013, a petição não será considerada como realizada pela indústria doméstica ou em seu nome quando os produtores domésticos que manifestaram expressamente apoio à petição representem menos de vinte e cinco por cento da produção total do produto similar da indústria doméstica durante o período de investigação de </w:t>
      </w:r>
      <w:r w:rsidRPr="00395593">
        <w:rPr>
          <w:rFonts w:ascii="Garamond" w:hAnsi="Garamond" w:cs="Calibri"/>
          <w:i/>
          <w:color w:val="000000"/>
          <w:sz w:val="24"/>
          <w:szCs w:val="24"/>
        </w:rPr>
        <w:t>dumping</w:t>
      </w:r>
      <w:r w:rsidRPr="00395593">
        <w:rPr>
          <w:rFonts w:ascii="Garamond" w:hAnsi="Garamond" w:cs="Calibri"/>
          <w:color w:val="000000"/>
          <w:sz w:val="24"/>
          <w:szCs w:val="24"/>
        </w:rPr>
        <w:t>.</w:t>
      </w:r>
    </w:p>
    <w:p w14:paraId="49C1442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3º Nos termos do § 7º do art. 37 do Decreto nº 8.058, de 2013, no caso de indústria fragmentada, que envolva número especialmente elevado de produtores domésticos, poderá ser aceita petição com dados relativos a produtores domésticos que respondam por parcela inferior a vinte e cinco por cento da produção da indústria doméstica do produto similar no período de investigação de </w:t>
      </w:r>
      <w:r w:rsidRPr="00395593">
        <w:rPr>
          <w:rFonts w:ascii="Garamond" w:hAnsi="Garamond" w:cs="Calibri"/>
          <w:i/>
          <w:color w:val="000000"/>
          <w:sz w:val="24"/>
          <w:szCs w:val="24"/>
        </w:rPr>
        <w:t>dumping</w:t>
      </w:r>
      <w:r w:rsidRPr="00395593">
        <w:rPr>
          <w:rFonts w:ascii="Garamond" w:hAnsi="Garamond" w:cs="Calibri"/>
          <w:color w:val="000000"/>
          <w:sz w:val="24"/>
          <w:szCs w:val="24"/>
        </w:rPr>
        <w:t>.</w:t>
      </w:r>
    </w:p>
    <w:p w14:paraId="1661699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37. Deve-se informar razão social e endereço das empresas conhecidas que não se manifestaram sobre a petição (coluna B do Apêndice I) e esclarecer a metodologia utilizada para estimar a produção que lhes corresponda.</w:t>
      </w:r>
    </w:p>
    <w:p w14:paraId="321B6C6A" w14:textId="77777777" w:rsidR="00E4045A" w:rsidRPr="00395593" w:rsidRDefault="00E4045A" w:rsidP="00E33E26">
      <w:pPr>
        <w:pStyle w:val="TextosemFormatao"/>
        <w:ind w:firstLine="567"/>
        <w:jc w:val="both"/>
        <w:rPr>
          <w:rFonts w:ascii="Garamond" w:hAnsi="Garamond" w:cs="Calibri"/>
          <w:color w:val="000000"/>
          <w:sz w:val="24"/>
          <w:szCs w:val="24"/>
        </w:rPr>
      </w:pPr>
    </w:p>
    <w:p w14:paraId="611AF3B3"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VII</w:t>
      </w:r>
    </w:p>
    <w:p w14:paraId="62040805"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 xml:space="preserve">Das importações </w:t>
      </w:r>
    </w:p>
    <w:p w14:paraId="4FB49A88" w14:textId="77777777" w:rsidR="00E4045A" w:rsidRPr="00395593" w:rsidRDefault="00E4045A" w:rsidP="00E33E26">
      <w:pPr>
        <w:pStyle w:val="TextosemFormatao"/>
        <w:ind w:firstLine="567"/>
        <w:jc w:val="both"/>
        <w:rPr>
          <w:rFonts w:ascii="Garamond" w:hAnsi="Garamond" w:cs="Calibri"/>
          <w:color w:val="000000"/>
          <w:sz w:val="24"/>
          <w:szCs w:val="24"/>
        </w:rPr>
      </w:pPr>
    </w:p>
    <w:p w14:paraId="5E9930C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38.</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Deve-se fornecer a evolução das importações totais do produto objeto da investigação e do produto similar de outras origens, em quantidade e em valor, para o período de dano, por país exportador. </w:t>
      </w:r>
    </w:p>
    <w:p w14:paraId="608F274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39.</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fornecer a razão social e o endereço das empresas importadoras conhecidas do produto objeto da investigação.</w:t>
      </w:r>
    </w:p>
    <w:p w14:paraId="68E63F4F" w14:textId="77777777" w:rsidR="00E4045A" w:rsidRPr="00395593" w:rsidRDefault="00E4045A" w:rsidP="00E33E26">
      <w:pPr>
        <w:pStyle w:val="TextosemFormatao"/>
        <w:rPr>
          <w:rFonts w:ascii="Garamond" w:hAnsi="Garamond" w:cs="Calibri"/>
          <w:color w:val="000000"/>
          <w:sz w:val="24"/>
          <w:szCs w:val="24"/>
        </w:rPr>
      </w:pPr>
    </w:p>
    <w:p w14:paraId="0DFDCFC1" w14:textId="28D0AF6A" w:rsidR="00E4045A" w:rsidRPr="00395593" w:rsidRDefault="00E4045A" w:rsidP="00E33E26">
      <w:pPr>
        <w:pStyle w:val="TextosemFormatao"/>
        <w:jc w:val="center"/>
        <w:rPr>
          <w:rFonts w:ascii="Garamond" w:hAnsi="Garamond" w:cs="Calibri"/>
          <w:b/>
          <w:color w:val="000000"/>
          <w:sz w:val="24"/>
          <w:szCs w:val="24"/>
        </w:rPr>
      </w:pPr>
      <w:r w:rsidRPr="00395593">
        <w:rPr>
          <w:rFonts w:ascii="Garamond" w:hAnsi="Garamond" w:cs="Calibri"/>
          <w:b/>
          <w:color w:val="000000"/>
          <w:sz w:val="24"/>
          <w:szCs w:val="24"/>
        </w:rPr>
        <w:t>Seção VIII</w:t>
      </w:r>
    </w:p>
    <w:p w14:paraId="637E228C"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mercado brasileiro</w:t>
      </w:r>
    </w:p>
    <w:p w14:paraId="790044CD" w14:textId="77777777" w:rsidR="00E4045A" w:rsidRPr="00395593" w:rsidRDefault="00E4045A" w:rsidP="00E33E26">
      <w:pPr>
        <w:pStyle w:val="TextosemFormatao"/>
        <w:ind w:firstLine="567"/>
        <w:jc w:val="both"/>
        <w:rPr>
          <w:rFonts w:ascii="Garamond" w:hAnsi="Garamond" w:cs="Calibri"/>
          <w:color w:val="000000"/>
          <w:sz w:val="24"/>
          <w:szCs w:val="24"/>
        </w:rPr>
      </w:pPr>
    </w:p>
    <w:p w14:paraId="1A5C548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40.</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Deve-se informar as formas de concorrência predominantes neste mercado (preço, diferenciação do produto, assistência técnica, rede de distribuição, propaganda etc.). </w:t>
      </w:r>
    </w:p>
    <w:p w14:paraId="6324643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41.</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No caso do setor agropecuário, descrever as políticas governamentais de preços aplicadas ao produto. </w:t>
      </w:r>
    </w:p>
    <w:p w14:paraId="062648C9"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42.</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informar os motivos que possam determinar a opção preferencial dos consumidores nacionais pelo produto objeto da investigação, tais como: preço, qualidade, prazo de entrega, prazo para pagamento, evolução tecnológica, outras (especificar).</w:t>
      </w:r>
    </w:p>
    <w:p w14:paraId="05C30B9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43.</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esclarecer se durante o período de análise de dano houve mudanças no padrão de consumo no mercado brasileiro do produto objeto da investigação.</w:t>
      </w:r>
    </w:p>
    <w:p w14:paraId="26A00E53"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44.</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informar se existem práticas restritivas no Brasil ao comércio do produto objeto da investigação. Em caso positivo, deve-se descrever pormenorizadamente tais práticas, esclarecendo se essas se aplicam igualmente aos produtores domésticos e estrangeiros.</w:t>
      </w:r>
    </w:p>
    <w:p w14:paraId="65524CA8" w14:textId="77777777" w:rsidR="00E4045A" w:rsidRPr="00395593" w:rsidRDefault="00E4045A" w:rsidP="00E33E26">
      <w:pPr>
        <w:ind w:firstLine="567"/>
        <w:jc w:val="both"/>
        <w:rPr>
          <w:rFonts w:ascii="Garamond" w:hAnsi="Garamond" w:cs="Calibri"/>
          <w:color w:val="000000"/>
          <w:sz w:val="24"/>
          <w:szCs w:val="24"/>
        </w:rPr>
      </w:pPr>
    </w:p>
    <w:p w14:paraId="2153C650"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IX</w:t>
      </w:r>
    </w:p>
    <w:p w14:paraId="25EBB984"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valor normal e do preço de exportação</w:t>
      </w:r>
    </w:p>
    <w:p w14:paraId="5F38B73F" w14:textId="77777777" w:rsidR="00E4045A" w:rsidRPr="00395593" w:rsidRDefault="00E4045A" w:rsidP="00E33E26">
      <w:pPr>
        <w:jc w:val="center"/>
        <w:rPr>
          <w:rFonts w:ascii="Garamond" w:hAnsi="Garamond" w:cs="Calibri"/>
          <w:b/>
          <w:color w:val="000000"/>
          <w:sz w:val="24"/>
          <w:szCs w:val="24"/>
        </w:rPr>
      </w:pPr>
    </w:p>
    <w:p w14:paraId="1DDAD1D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45.</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As informações desta seção referem-se apenas a P5. </w:t>
      </w:r>
    </w:p>
    <w:p w14:paraId="6EB1ED4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46.</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Deve-se indicar o(s) país(es) exportador(es) do produto objeto da investigação. </w:t>
      </w:r>
    </w:p>
    <w:p w14:paraId="3AE9203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47.</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informar o nome, o endereço e o endereço eletrônico (sítio de internet) dos produtores/exportadores estrangeiros conhecidos.</w:t>
      </w:r>
    </w:p>
    <w:p w14:paraId="1C852929" w14:textId="77777777" w:rsidR="00E4045A" w:rsidRPr="00395593" w:rsidRDefault="00E4045A" w:rsidP="00E33E26">
      <w:pPr>
        <w:pStyle w:val="TextosemFormatao"/>
        <w:ind w:firstLine="567"/>
        <w:jc w:val="both"/>
        <w:rPr>
          <w:rFonts w:ascii="Garamond" w:hAnsi="Garamond" w:cs="Calibri"/>
          <w:color w:val="000000"/>
          <w:sz w:val="24"/>
          <w:szCs w:val="24"/>
        </w:rPr>
      </w:pPr>
    </w:p>
    <w:p w14:paraId="3B88BB33"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w:t>
      </w:r>
    </w:p>
    <w:p w14:paraId="07825AF0"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valor normal</w:t>
      </w:r>
    </w:p>
    <w:p w14:paraId="2EE760A3" w14:textId="77777777" w:rsidR="00E4045A" w:rsidRPr="00395593" w:rsidRDefault="00E4045A" w:rsidP="00E33E26">
      <w:pPr>
        <w:ind w:firstLine="567"/>
        <w:jc w:val="both"/>
        <w:rPr>
          <w:rFonts w:ascii="Garamond" w:hAnsi="Garamond" w:cs="Calibri"/>
          <w:color w:val="000000"/>
          <w:sz w:val="24"/>
          <w:szCs w:val="24"/>
        </w:rPr>
      </w:pPr>
    </w:p>
    <w:p w14:paraId="7D73109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48.</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Para cada país exportador de economia de mercado indicado no art. 41, deve-se apresentar dados para uma das alternativas abaixo: </w:t>
      </w:r>
    </w:p>
    <w:p w14:paraId="424FBC8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preço representativo no mercado interno do país exportador; </w:t>
      </w:r>
    </w:p>
    <w:p w14:paraId="080175D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preço de exportação para terceiro país; ou</w:t>
      </w:r>
    </w:p>
    <w:p w14:paraId="3B11B1C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valor normal construído no país exportador.</w:t>
      </w:r>
    </w:p>
    <w:p w14:paraId="30DE443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Parágrafo único. Os preços devem ser apresentados preferencialmente na condição de venda </w:t>
      </w:r>
      <w:r w:rsidRPr="00395593">
        <w:rPr>
          <w:rFonts w:ascii="Garamond" w:hAnsi="Garamond" w:cs="Calibri"/>
          <w:i/>
          <w:color w:val="000000"/>
          <w:sz w:val="24"/>
          <w:szCs w:val="24"/>
        </w:rPr>
        <w:t>ex fabrica</w:t>
      </w:r>
      <w:r w:rsidRPr="00395593">
        <w:rPr>
          <w:rFonts w:ascii="Garamond" w:hAnsi="Garamond" w:cs="Calibri"/>
          <w:color w:val="000000"/>
          <w:sz w:val="24"/>
          <w:szCs w:val="24"/>
        </w:rPr>
        <w:t xml:space="preserve">, livres de tributos. Caso sejam apresentados em outra condição de venda, devem ser explicitados os ajustes necessários para a apuração do preço </w:t>
      </w:r>
      <w:r w:rsidRPr="00395593">
        <w:rPr>
          <w:rFonts w:ascii="Garamond" w:hAnsi="Garamond" w:cs="Calibri"/>
          <w:i/>
          <w:color w:val="000000"/>
          <w:sz w:val="24"/>
          <w:szCs w:val="24"/>
        </w:rPr>
        <w:t>ex fabrica</w:t>
      </w:r>
      <w:r w:rsidRPr="00395593">
        <w:rPr>
          <w:rFonts w:ascii="Garamond" w:hAnsi="Garamond" w:cs="Calibri"/>
          <w:color w:val="000000"/>
          <w:sz w:val="24"/>
          <w:szCs w:val="24"/>
        </w:rPr>
        <w:t>.</w:t>
      </w:r>
    </w:p>
    <w:p w14:paraId="59EB9D7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49. Na hipótese do inciso I do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do art. 48, deve-se fornecer o preço do produto similar nas operações comerciais normais que o destinem ao consumo interno no país exportador e o volume de vendas que serviu de base para o fornecimento do preço em questão, especificando:</w:t>
      </w:r>
    </w:p>
    <w:p w14:paraId="3F03B90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volume de vendas internas utilizado como base do valor normal (informar unidade);</w:t>
      </w:r>
    </w:p>
    <w:p w14:paraId="0CDD947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moeda; </w:t>
      </w:r>
    </w:p>
    <w:p w14:paraId="2B94593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condição de venda;</w:t>
      </w:r>
    </w:p>
    <w:p w14:paraId="752E71B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ajustes necessários à justa comparação com os preços de exportação; e</w:t>
      </w:r>
    </w:p>
    <w:p w14:paraId="11CE175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 - preço unitário </w:t>
      </w:r>
      <w:r w:rsidRPr="00395593">
        <w:rPr>
          <w:rFonts w:ascii="Garamond" w:hAnsi="Garamond" w:cs="Calibri"/>
          <w:i/>
          <w:color w:val="000000"/>
          <w:sz w:val="24"/>
          <w:szCs w:val="24"/>
        </w:rPr>
        <w:t>ex fabrica.</w:t>
      </w:r>
    </w:p>
    <w:p w14:paraId="2A61F03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50. Na hipótese do inciso II do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do art. 48, deve-se fornecer as vendas para um terceiro país, especificando:</w:t>
      </w:r>
    </w:p>
    <w:p w14:paraId="0A49741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volume de exportações para o terceiro país selecionado (informar unidade);</w:t>
      </w:r>
    </w:p>
    <w:p w14:paraId="3EF7E88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moeda </w:t>
      </w:r>
    </w:p>
    <w:p w14:paraId="47A0702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condição de venda;</w:t>
      </w:r>
    </w:p>
    <w:p w14:paraId="70FADA8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ajustes necessários à justa comparação com o preço de exportação; e</w:t>
      </w:r>
    </w:p>
    <w:p w14:paraId="629EA23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IV - preço unitário </w:t>
      </w:r>
      <w:r w:rsidRPr="00395593">
        <w:rPr>
          <w:rFonts w:ascii="Garamond" w:hAnsi="Garamond" w:cs="Calibri"/>
          <w:i/>
          <w:color w:val="000000"/>
          <w:sz w:val="24"/>
          <w:szCs w:val="24"/>
        </w:rPr>
        <w:t>ex fabrica.</w:t>
      </w:r>
    </w:p>
    <w:p w14:paraId="7AC2204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Deve-se esclarecer as razões pelas quais o terceiro país selecionado foi considerado apropriado.</w:t>
      </w:r>
    </w:p>
    <w:p w14:paraId="045D06C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Deve-se indicar o item tarifário da classificação de mercadorias do país exportador em que o produto similar foi classificado ou, na sua ausência, deve-se indicar o respectivo item do Sistema Harmonizado (SH).</w:t>
      </w:r>
    </w:p>
    <w:p w14:paraId="7FD9E91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51. Na hipótese do inciso III do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do art. 48, deve-se fornecer o valor normal construído no país exportador, conforme tabela constante do Apêndice II, especificando o conteúdo de cada rubrica e os coeficientes técnicos utilizados.</w:t>
      </w:r>
    </w:p>
    <w:p w14:paraId="65D10228"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52.</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Para cada país exportador considerado economia não de mercado indicado no art. 41, sugerir um terceiro país de economia de mercado a ser utilizado para a apuração do valor normal, justificando a escolha, e apresentar dados para uma das alternativas abaixo: </w:t>
      </w:r>
    </w:p>
    <w:p w14:paraId="1E4CA5D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preço representativo de venda no mercado interno desse terceiro país de economia de mercado; </w:t>
      </w:r>
    </w:p>
    <w:p w14:paraId="7D83768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preço de exportação desse terceiro país de economia de mercado para outro país de economia de mercado, exceto o Brasil; ou</w:t>
      </w:r>
    </w:p>
    <w:p w14:paraId="3768280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valor normal construído nesse terceiro país de economia de mercado.</w:t>
      </w:r>
    </w:p>
    <w:p w14:paraId="31D4C440"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Sempre que nenhuma das hipóteses dos incisos do </w:t>
      </w:r>
      <w:r w:rsidRPr="00395593">
        <w:rPr>
          <w:rFonts w:ascii="Garamond" w:hAnsi="Garamond" w:cs="Calibri"/>
          <w:i/>
          <w:color w:val="000000"/>
          <w:sz w:val="24"/>
          <w:szCs w:val="24"/>
        </w:rPr>
        <w:t>caput</w:t>
      </w:r>
      <w:r w:rsidRPr="00395593">
        <w:rPr>
          <w:rFonts w:ascii="Garamond" w:hAnsi="Garamond" w:cs="Calibri"/>
          <w:b/>
          <w:color w:val="000000"/>
          <w:sz w:val="24"/>
          <w:szCs w:val="24"/>
        </w:rPr>
        <w:t xml:space="preserve"> </w:t>
      </w:r>
      <w:r w:rsidRPr="00395593">
        <w:rPr>
          <w:rFonts w:ascii="Garamond" w:hAnsi="Garamond" w:cs="Calibri"/>
          <w:color w:val="000000"/>
          <w:sz w:val="24"/>
          <w:szCs w:val="24"/>
        </w:rPr>
        <w:t xml:space="preserve">for viável e desde que devidamente justificado, a sugestão de valor normal poderá ter por base qualquer outro preço razoável, inclusive o preço pago ou a pagar pelo produto similar no mercado interno brasileiro, devidamente ajustado, se necessário, para incluir margem de lucro razoável. </w:t>
      </w:r>
    </w:p>
    <w:p w14:paraId="4A79A31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Os preços devem ser apresentados preferencialmente na condição de venda </w:t>
      </w:r>
      <w:r w:rsidRPr="00395593">
        <w:rPr>
          <w:rFonts w:ascii="Garamond" w:hAnsi="Garamond" w:cs="Calibri"/>
          <w:i/>
          <w:color w:val="000000"/>
          <w:sz w:val="24"/>
          <w:szCs w:val="24"/>
        </w:rPr>
        <w:t>ex fabrica</w:t>
      </w:r>
      <w:r w:rsidRPr="00395593">
        <w:rPr>
          <w:rFonts w:ascii="Garamond" w:hAnsi="Garamond" w:cs="Calibri"/>
          <w:color w:val="000000"/>
          <w:sz w:val="24"/>
          <w:szCs w:val="24"/>
        </w:rPr>
        <w:t xml:space="preserve">, livres de tributos. Caso sejam apresentados em outra condição de venda, devem ser explicitados os ajustes necessários para a apuração do preço </w:t>
      </w:r>
      <w:r w:rsidRPr="00395593">
        <w:rPr>
          <w:rFonts w:ascii="Garamond" w:hAnsi="Garamond" w:cs="Calibri"/>
          <w:i/>
          <w:color w:val="000000"/>
          <w:sz w:val="24"/>
          <w:szCs w:val="24"/>
        </w:rPr>
        <w:t>ex fabrica.</w:t>
      </w:r>
    </w:p>
    <w:p w14:paraId="3771988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3</w:t>
      </w:r>
      <w:r w:rsidRPr="00395593">
        <w:rPr>
          <w:rFonts w:ascii="Garamond" w:hAnsi="Garamond" w:cs="Calibri"/>
          <w:strike/>
          <w:color w:val="000000"/>
          <w:sz w:val="24"/>
          <w:szCs w:val="24"/>
          <w:vertAlign w:val="superscript"/>
        </w:rPr>
        <w:t>º</w:t>
      </w:r>
      <w:r w:rsidRPr="00395593">
        <w:rPr>
          <w:rFonts w:ascii="Garamond" w:hAnsi="Garamond" w:cs="Calibri"/>
          <w:color w:val="000000"/>
          <w:sz w:val="24"/>
          <w:szCs w:val="24"/>
        </w:rPr>
        <w:t xml:space="preserve"> Deve-se esclarecer as razões pelas quais o país substituto foi considerado apropriado, levando-se em conta os seguintes aspectos: </w:t>
      </w:r>
    </w:p>
    <w:p w14:paraId="1BF4FBE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o volume das exportações do produto similar do país substituto para o Brasil e para os principais mercados consumidores mundiais;</w:t>
      </w:r>
    </w:p>
    <w:p w14:paraId="206FF79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o volume das vendas do produto similar no mercado interno do país substituto;</w:t>
      </w:r>
    </w:p>
    <w:p w14:paraId="0279A08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a similaridade entre o produto objeto da investigação e o produto similar vendido no mercado interno ou exportado pelo país substituto;</w:t>
      </w:r>
    </w:p>
    <w:p w14:paraId="0F0FA0D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a disponibilidade e o grau de desagregação das estatísticas necessárias à investigação; ou</w:t>
      </w:r>
    </w:p>
    <w:p w14:paraId="6599935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V - o grau de adequação das informações apresentadas com relação às características da investigação em curso.</w:t>
      </w:r>
    </w:p>
    <w:p w14:paraId="4FB5AB5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53. Na hipótese do inciso I do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do art.52, deve-se fornecer o preço do produto similar nas operações comerciais normais que o destinem ao consumo no mercado interno no terceiro país de economia de mercado e o volume de vendas que serviu de base para o fornecimento do preço em questão, especificando:</w:t>
      </w:r>
    </w:p>
    <w:p w14:paraId="077C3BA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volume de vendas internas utilizado como base do valor normal (informar unidade);</w:t>
      </w:r>
    </w:p>
    <w:p w14:paraId="4409048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moeda;</w:t>
      </w:r>
    </w:p>
    <w:p w14:paraId="28FEA15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condição de venda;</w:t>
      </w:r>
    </w:p>
    <w:p w14:paraId="4B80E76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ajustes necessários à justa comparação com o preço de exportação; e</w:t>
      </w:r>
    </w:p>
    <w:p w14:paraId="2B39BE2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 - preço unitário </w:t>
      </w:r>
      <w:r w:rsidRPr="00395593">
        <w:rPr>
          <w:rFonts w:ascii="Garamond" w:hAnsi="Garamond" w:cs="Calibri"/>
          <w:i/>
          <w:color w:val="000000"/>
          <w:sz w:val="24"/>
          <w:szCs w:val="24"/>
        </w:rPr>
        <w:t>ex fabrica.</w:t>
      </w:r>
    </w:p>
    <w:p w14:paraId="6141657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54. Na hipótese do inciso II do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do art. 52, deve-se fornecer as vendas do terceiro país de economia de mercado para outro país (exceto o Brasil) e o volume de vendas que serviu de base para o fornecimento do preço em questão, especificando:</w:t>
      </w:r>
    </w:p>
    <w:p w14:paraId="24DE6B0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volume de exportações para o terceiro país selecionado (informar unidade);</w:t>
      </w:r>
    </w:p>
    <w:p w14:paraId="03BC115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moeda;</w:t>
      </w:r>
    </w:p>
    <w:p w14:paraId="60F1A90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condição de venda;</w:t>
      </w:r>
    </w:p>
    <w:p w14:paraId="31EEE98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ajustes necessários à justa comparação com o preço de exportação; e</w:t>
      </w:r>
    </w:p>
    <w:p w14:paraId="3582CF4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 - preço unitário </w:t>
      </w:r>
      <w:r w:rsidRPr="00395593">
        <w:rPr>
          <w:rFonts w:ascii="Garamond" w:hAnsi="Garamond" w:cs="Calibri"/>
          <w:i/>
          <w:color w:val="000000"/>
          <w:sz w:val="24"/>
          <w:szCs w:val="24"/>
        </w:rPr>
        <w:t>ex fabrica.</w:t>
      </w:r>
    </w:p>
    <w:p w14:paraId="7656460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Deve-se esclarecer as razões pelas quais o terceiro país selecionado foi considerado apropriado.</w:t>
      </w:r>
    </w:p>
    <w:p w14:paraId="66C8A08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Deve-se indicar o item tarifário da classificação de mercadorias do país exportador em que o produto similar foi classificado ou, na sua ausência, deve-se indicar o respectivo item do Sistema Harmonizado (SH).</w:t>
      </w:r>
    </w:p>
    <w:p w14:paraId="39C43BB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55. Na hipótese do inciso III do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do art. 52, deve-se fornecer o valor normal construído no país exportador de economia de mercado, conforme tabela constante do Apêndice II, especificando o conteúdo de cada rubrica e os coeficientes técnicos utilizados.</w:t>
      </w:r>
    </w:p>
    <w:p w14:paraId="38344E19" w14:textId="77777777" w:rsidR="00E4045A" w:rsidRPr="00395593" w:rsidRDefault="00E4045A" w:rsidP="00E33E26">
      <w:pPr>
        <w:pStyle w:val="TextosemFormatao"/>
        <w:ind w:firstLine="567"/>
        <w:jc w:val="both"/>
        <w:rPr>
          <w:rFonts w:ascii="Garamond" w:hAnsi="Garamond" w:cs="Calibri"/>
          <w:color w:val="000000"/>
          <w:sz w:val="24"/>
          <w:szCs w:val="24"/>
        </w:rPr>
      </w:pPr>
    </w:p>
    <w:p w14:paraId="49A4F4C4"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II</w:t>
      </w:r>
    </w:p>
    <w:p w14:paraId="584EDB51"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preço de exportação</w:t>
      </w:r>
    </w:p>
    <w:p w14:paraId="6440A3A4" w14:textId="77777777" w:rsidR="00E4045A" w:rsidRPr="00395593" w:rsidRDefault="00E4045A" w:rsidP="00E33E26">
      <w:pPr>
        <w:ind w:firstLine="567"/>
        <w:jc w:val="both"/>
        <w:rPr>
          <w:rFonts w:ascii="Garamond" w:hAnsi="Garamond" w:cs="Calibri"/>
          <w:color w:val="000000"/>
          <w:sz w:val="24"/>
          <w:szCs w:val="24"/>
        </w:rPr>
      </w:pPr>
    </w:p>
    <w:p w14:paraId="1ED2B60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56.</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Para cada país indicado no art. 46, deve-se fornecer o preço de exportação para o Brasil do produto objeto da investigação, conforme a tabela constante do Apêndice III.</w:t>
      </w:r>
    </w:p>
    <w:p w14:paraId="149DF02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Parágrafo único. Os preços devem ser apresentados preferencialmente na mesma condição de venda do valor normal. Caso sejam apresentados em outra condição de venda, devem ser explicitados os ajustes necessários com vistas à justa comparação entre o valor normal e o preço de exportação.</w:t>
      </w:r>
    </w:p>
    <w:p w14:paraId="0A12D83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57. Nos casos em que não exista preço de exportação ou em que este não pareça confiável em razão de associação ou relacionamento entre o produtor ou exportador e o importador ou uma terceira parte, ou de possuírem acordo compensatório entre si, o preço de exportação poderá ser construído a partir:</w:t>
      </w:r>
    </w:p>
    <w:p w14:paraId="0FFCA95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do preço pelo qual os produtos objeto da investigação foram revendidos pela primeira vez a um comprador independente; ou</w:t>
      </w:r>
    </w:p>
    <w:p w14:paraId="6AF94AC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de uma base considerada razoável, no caso de os produtos não serem revendidos a um comprador independente ou na mesma condição em que foram importados. </w:t>
      </w:r>
    </w:p>
    <w:p w14:paraId="78B62B1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Parágrafo único. Por partes relacionadas ou associadas entende-se a vinculação entre pessoas nos casos indicados no § 10 do art. 14 do Decreto n</w:t>
      </w:r>
      <w:r w:rsidRPr="00395593">
        <w:rPr>
          <w:rFonts w:ascii="Garamond" w:hAnsi="Garamond" w:cs="Calibri"/>
          <w:strike/>
          <w:color w:val="000000"/>
          <w:sz w:val="24"/>
          <w:szCs w:val="24"/>
          <w:vertAlign w:val="superscript"/>
        </w:rPr>
        <w:t>º</w:t>
      </w:r>
      <w:r w:rsidRPr="00395593">
        <w:rPr>
          <w:rFonts w:ascii="Garamond" w:hAnsi="Garamond" w:cs="Calibri"/>
          <w:color w:val="000000"/>
          <w:sz w:val="24"/>
          <w:szCs w:val="24"/>
        </w:rPr>
        <w:t xml:space="preserve"> 8.058, de 2013. </w:t>
      </w:r>
    </w:p>
    <w:p w14:paraId="7F9F6B1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58. Na hipótese do inciso I do art. 57, além de providenciar as informações solicitadas no art. 51, fornecer, se possível, o preço pelo qual o produto é vendido ao primeiro comprador independente, bem como a estimativa de todos os custos incorridos a partir do preço na condição de venda indicada, incluindo frete, seguro, Imposto de Importação e outras despesas de importação, além de uma margem de lucro razoável para o revendedor do produto, conforme a tabela constante do Apêndice IV. </w:t>
      </w:r>
    </w:p>
    <w:p w14:paraId="21DB4C0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59. Na hipótese do inciso II do art. 57, além de providenciar as informações solicitadas no art. 51, indicar, se possível, a base e a metodologia utilizadas para a reconstrução.</w:t>
      </w:r>
    </w:p>
    <w:p w14:paraId="7501B00A" w14:textId="77777777" w:rsidR="00E4045A" w:rsidRPr="00395593" w:rsidRDefault="00E4045A" w:rsidP="00E33E26">
      <w:pPr>
        <w:pStyle w:val="TextosemFormatao"/>
        <w:ind w:firstLine="567"/>
        <w:jc w:val="both"/>
        <w:rPr>
          <w:rFonts w:ascii="Garamond" w:hAnsi="Garamond" w:cs="Calibri"/>
          <w:color w:val="000000"/>
          <w:sz w:val="24"/>
          <w:szCs w:val="24"/>
        </w:rPr>
      </w:pPr>
    </w:p>
    <w:p w14:paraId="5CCB729B"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III</w:t>
      </w:r>
    </w:p>
    <w:p w14:paraId="03F891A2"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Da comparação do valor normal com o preço de exportação</w:t>
      </w:r>
    </w:p>
    <w:p w14:paraId="71F7A7D9" w14:textId="77777777" w:rsidR="00E4045A" w:rsidRPr="00395593" w:rsidRDefault="00E4045A" w:rsidP="00E33E26">
      <w:pPr>
        <w:ind w:firstLine="567"/>
        <w:jc w:val="both"/>
        <w:rPr>
          <w:rFonts w:ascii="Garamond" w:hAnsi="Garamond" w:cs="Calibri"/>
          <w:color w:val="000000"/>
          <w:sz w:val="24"/>
          <w:szCs w:val="24"/>
        </w:rPr>
      </w:pPr>
    </w:p>
    <w:p w14:paraId="44EF3248"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60.</w:t>
      </w:r>
      <w:r w:rsidRPr="00395593" w:rsidDel="004E4F14">
        <w:rPr>
          <w:rFonts w:ascii="Garamond" w:hAnsi="Garamond" w:cs="Calibri"/>
          <w:color w:val="000000"/>
          <w:sz w:val="24"/>
          <w:szCs w:val="24"/>
        </w:rPr>
        <w:t xml:space="preserve"> </w:t>
      </w:r>
      <w:r w:rsidRPr="00395593">
        <w:rPr>
          <w:rFonts w:ascii="Garamond" w:hAnsi="Garamond" w:cs="Calibri"/>
          <w:color w:val="000000"/>
          <w:sz w:val="24"/>
          <w:szCs w:val="24"/>
        </w:rPr>
        <w:t>Deve-se identificar a existência de diferenças entre o produto considerado para fins de apuração do valor normal e o produto objeto da investigação em função de quantidades, características físicas, nível de comércio, condições de pagamento, etc., indicando os ajustes necessários para compensar tais diferenças e tornar o valor normal e o preço de exportação comparáveis.</w:t>
      </w:r>
    </w:p>
    <w:p w14:paraId="7C123187" w14:textId="0C2C401E"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X</w:t>
      </w:r>
    </w:p>
    <w:p w14:paraId="610303BF"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Da ameaça de dano</w:t>
      </w:r>
    </w:p>
    <w:p w14:paraId="4BB3B265" w14:textId="77777777" w:rsidR="00E4045A" w:rsidRPr="00395593" w:rsidRDefault="00E4045A" w:rsidP="00E33E26">
      <w:pPr>
        <w:ind w:firstLine="567"/>
        <w:jc w:val="both"/>
        <w:rPr>
          <w:rFonts w:ascii="Garamond" w:hAnsi="Garamond" w:cs="Calibri"/>
          <w:color w:val="000000"/>
          <w:sz w:val="24"/>
          <w:szCs w:val="24"/>
        </w:rPr>
      </w:pPr>
    </w:p>
    <w:p w14:paraId="47CF97C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61. Em adição às informações solicitadas nos artigos precedentes, petições que contenham alegações relativas à ameaça de dano material devem conter informações sobre:</w:t>
      </w:r>
    </w:p>
    <w:p w14:paraId="01FE3A8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 - a capacidade de produção nos países exportadores indicados no art. 46;</w:t>
      </w:r>
    </w:p>
    <w:p w14:paraId="11193933"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II - a existência de previsão de aumento da capacidade produtiva no país(es) exportador(es);</w:t>
      </w:r>
    </w:p>
    <w:p w14:paraId="0FB4045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a existência de capacidade ociosa nos países exportadores, indicando os respectivos volumes de produção;</w:t>
      </w:r>
    </w:p>
    <w:p w14:paraId="0816570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a existência de estoques no(s) país(es) exportador(es);</w:t>
      </w:r>
    </w:p>
    <w:p w14:paraId="5C15FCA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 - a existência de medidas restritivas aplicadas por outros países, inclusive direitos </w:t>
      </w:r>
      <w:r w:rsidRPr="00395593">
        <w:rPr>
          <w:rFonts w:ascii="Garamond" w:hAnsi="Garamond" w:cs="Calibri"/>
          <w:i/>
          <w:color w:val="000000"/>
          <w:sz w:val="24"/>
          <w:szCs w:val="24"/>
        </w:rPr>
        <w:t>antidumping</w:t>
      </w:r>
      <w:r w:rsidRPr="00395593">
        <w:rPr>
          <w:rFonts w:ascii="Garamond" w:hAnsi="Garamond" w:cs="Calibri"/>
          <w:color w:val="000000"/>
          <w:sz w:val="24"/>
          <w:szCs w:val="24"/>
        </w:rPr>
        <w:t>, que possam justificar desvios de comércio para o Brasil;</w:t>
      </w:r>
    </w:p>
    <w:p w14:paraId="5289E98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VI - os motivos que levam a crer que as importações brasileiras do produto objeto da investigação irão aumentar, considerando a existência de outros potenciais mercados de importação;</w:t>
      </w:r>
    </w:p>
    <w:p w14:paraId="0FD0EAF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VII - a evolução das exportações do produto a ser investigado do(s) país(es) exportador(es); e</w:t>
      </w:r>
    </w:p>
    <w:p w14:paraId="5CD2B01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VIII - a capacidade de produção efetiva ou potencial do(s) país(es) exportador(es) para o Brasil, anexando as fontes de tais informações.</w:t>
      </w:r>
    </w:p>
    <w:p w14:paraId="19B947B5" w14:textId="77777777" w:rsidR="00E4045A" w:rsidRPr="00395593" w:rsidRDefault="00E4045A" w:rsidP="00E33E26">
      <w:pPr>
        <w:pStyle w:val="TextosemFormatao"/>
        <w:ind w:firstLine="567"/>
        <w:jc w:val="both"/>
        <w:rPr>
          <w:rFonts w:ascii="Garamond" w:hAnsi="Garamond" w:cs="Calibri"/>
          <w:color w:val="000000"/>
          <w:sz w:val="24"/>
          <w:szCs w:val="24"/>
        </w:rPr>
      </w:pPr>
    </w:p>
    <w:p w14:paraId="7400A1D3"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XI</w:t>
      </w:r>
    </w:p>
    <w:p w14:paraId="574D08E6"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Informações por empresa representada na petição</w:t>
      </w:r>
    </w:p>
    <w:p w14:paraId="7878ADE5" w14:textId="77777777" w:rsidR="00596935" w:rsidRDefault="00596935" w:rsidP="00E33E26">
      <w:pPr>
        <w:jc w:val="center"/>
        <w:rPr>
          <w:rFonts w:ascii="Garamond" w:hAnsi="Garamond" w:cs="Calibri"/>
          <w:b/>
          <w:color w:val="000000"/>
          <w:sz w:val="24"/>
          <w:szCs w:val="24"/>
        </w:rPr>
      </w:pPr>
    </w:p>
    <w:p w14:paraId="415B331A" w14:textId="018222AB"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w:t>
      </w:r>
    </w:p>
    <w:p w14:paraId="62C4343A"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Dos dados das empresas representadas</w:t>
      </w:r>
    </w:p>
    <w:p w14:paraId="1C146F5D" w14:textId="77777777" w:rsidR="00E4045A" w:rsidRPr="00395593" w:rsidRDefault="00E4045A" w:rsidP="00E33E26">
      <w:pPr>
        <w:pStyle w:val="Recuodecorpodetexto"/>
        <w:spacing w:after="0" w:line="240" w:lineRule="auto"/>
        <w:ind w:left="0" w:firstLine="567"/>
        <w:jc w:val="both"/>
        <w:rPr>
          <w:rFonts w:ascii="Garamond" w:hAnsi="Garamond" w:cs="Calibri"/>
          <w:color w:val="000000"/>
          <w:sz w:val="24"/>
          <w:szCs w:val="24"/>
        </w:rPr>
      </w:pPr>
    </w:p>
    <w:p w14:paraId="5700F18A" w14:textId="77777777" w:rsidR="00E4045A" w:rsidRPr="00395593" w:rsidRDefault="00E4045A" w:rsidP="00E33E26">
      <w:pPr>
        <w:pStyle w:val="Recuodecorpodetexto"/>
        <w:spacing w:after="0" w:line="240" w:lineRule="auto"/>
        <w:ind w:left="0" w:firstLine="567"/>
        <w:jc w:val="both"/>
        <w:rPr>
          <w:rFonts w:ascii="Garamond" w:hAnsi="Garamond" w:cs="Calibri"/>
          <w:color w:val="000000"/>
          <w:sz w:val="24"/>
          <w:szCs w:val="24"/>
        </w:rPr>
      </w:pPr>
      <w:r w:rsidRPr="00395593">
        <w:rPr>
          <w:rFonts w:ascii="Garamond" w:hAnsi="Garamond" w:cs="Calibri"/>
          <w:color w:val="000000"/>
          <w:sz w:val="24"/>
          <w:szCs w:val="24"/>
        </w:rPr>
        <w:t>Art. 62. Para cada empresa representada na petição, informar:</w:t>
      </w:r>
    </w:p>
    <w:p w14:paraId="5A3F222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1º - Empresa </w:t>
      </w:r>
    </w:p>
    <w:p w14:paraId="430E4F5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Razão Social;</w:t>
      </w:r>
    </w:p>
    <w:p w14:paraId="1707A62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Endereço completo;</w:t>
      </w:r>
    </w:p>
    <w:p w14:paraId="1B7D502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Telefone; e</w:t>
      </w:r>
    </w:p>
    <w:p w14:paraId="3178ADE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Endereço eletrônico.</w:t>
      </w:r>
    </w:p>
    <w:p w14:paraId="7DB53B0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2º - Cada empresa deverá indicar apenas um destinatário para servir como ponto focal para fins desta petição, bem como seu respectivo endereço.</w:t>
      </w:r>
    </w:p>
    <w:p w14:paraId="2CA77FB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Nome;</w:t>
      </w:r>
    </w:p>
    <w:p w14:paraId="30DC9F6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Função; </w:t>
      </w:r>
    </w:p>
    <w:p w14:paraId="1ADAE95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Endereço completo;</w:t>
      </w:r>
    </w:p>
    <w:p w14:paraId="5B3567D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Telefone; e</w:t>
      </w:r>
    </w:p>
    <w:p w14:paraId="2ADCC14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V - Endereço eletrônico.</w:t>
      </w:r>
    </w:p>
    <w:p w14:paraId="71EE858B" w14:textId="77777777" w:rsidR="00E4045A" w:rsidRPr="00395593" w:rsidRDefault="00E4045A" w:rsidP="00E33E26">
      <w:pPr>
        <w:pStyle w:val="TextosemFormatao"/>
        <w:ind w:firstLine="567"/>
        <w:jc w:val="both"/>
        <w:rPr>
          <w:rFonts w:ascii="Garamond" w:hAnsi="Garamond" w:cs="Calibri"/>
          <w:color w:val="000000"/>
          <w:sz w:val="24"/>
          <w:szCs w:val="24"/>
        </w:rPr>
      </w:pPr>
    </w:p>
    <w:p w14:paraId="668628C5"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II</w:t>
      </w:r>
    </w:p>
    <w:p w14:paraId="43D6F066"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Estrutura e afiliações</w:t>
      </w:r>
    </w:p>
    <w:p w14:paraId="27D142F0" w14:textId="77777777" w:rsidR="00E4045A" w:rsidRPr="00395593" w:rsidRDefault="00E4045A" w:rsidP="00E33E26">
      <w:pPr>
        <w:pStyle w:val="TextosemFormatao"/>
        <w:ind w:firstLine="567"/>
        <w:jc w:val="both"/>
        <w:rPr>
          <w:rFonts w:ascii="Garamond" w:hAnsi="Garamond" w:cs="Calibri"/>
          <w:color w:val="000000"/>
          <w:sz w:val="24"/>
          <w:szCs w:val="24"/>
        </w:rPr>
      </w:pPr>
    </w:p>
    <w:p w14:paraId="2201A86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63. Deve-se fornecer organograma da estrutura operacional da empresa e descrição do funcionamento de cada unidade.</w:t>
      </w:r>
    </w:p>
    <w:p w14:paraId="34A698F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64. Deve-se informar todas as plantas de fabricação e dos escritórios de vendas e/ou administração relacionados ao produto similar da indústria doméstica, bem como sua respectiva localização.</w:t>
      </w:r>
    </w:p>
    <w:p w14:paraId="764706E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65. Deve-se fornecer quadro organizacional da estrutura legal da empresa, incluindo todas as partes relacionadas, tal como definido no § 10 do art. 14 do Decreto n</w:t>
      </w:r>
      <w:r w:rsidRPr="00395593">
        <w:rPr>
          <w:rFonts w:ascii="Garamond" w:hAnsi="Garamond" w:cs="Calibri"/>
          <w:strike/>
          <w:color w:val="000000"/>
          <w:sz w:val="24"/>
          <w:szCs w:val="24"/>
          <w:vertAlign w:val="superscript"/>
        </w:rPr>
        <w:t>º</w:t>
      </w:r>
      <w:r w:rsidRPr="00395593">
        <w:rPr>
          <w:rFonts w:ascii="Garamond" w:hAnsi="Garamond" w:cs="Calibri"/>
          <w:color w:val="000000"/>
          <w:sz w:val="24"/>
          <w:szCs w:val="24"/>
        </w:rPr>
        <w:t xml:space="preserve"> 8.058, de 2013.</w:t>
      </w:r>
    </w:p>
    <w:p w14:paraId="1DDFED1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66. A empresa poderá apresentar informativo de divulgação que forneça, em detalhe, as informações solicitadas.</w:t>
      </w:r>
    </w:p>
    <w:p w14:paraId="32963416" w14:textId="77777777" w:rsidR="00E4045A" w:rsidRPr="00395593" w:rsidRDefault="00E4045A" w:rsidP="00E33E26">
      <w:pPr>
        <w:pStyle w:val="TextosemFormatao"/>
        <w:ind w:firstLine="567"/>
        <w:jc w:val="both"/>
        <w:rPr>
          <w:rFonts w:ascii="Garamond" w:hAnsi="Garamond" w:cs="Calibri"/>
          <w:color w:val="000000"/>
          <w:sz w:val="24"/>
          <w:szCs w:val="24"/>
        </w:rPr>
      </w:pPr>
    </w:p>
    <w:p w14:paraId="47590F73"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III</w:t>
      </w:r>
    </w:p>
    <w:p w14:paraId="3EB2985A"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Práticas contábeis</w:t>
      </w:r>
    </w:p>
    <w:p w14:paraId="648B8BE9" w14:textId="77777777" w:rsidR="00E4045A" w:rsidRPr="00395593" w:rsidRDefault="00E4045A" w:rsidP="00E33E26">
      <w:pPr>
        <w:pStyle w:val="TextosemFormatao"/>
        <w:ind w:firstLine="567"/>
        <w:jc w:val="both"/>
        <w:rPr>
          <w:rFonts w:ascii="Garamond" w:hAnsi="Garamond" w:cs="Calibri"/>
          <w:color w:val="000000"/>
          <w:sz w:val="24"/>
          <w:szCs w:val="24"/>
        </w:rPr>
      </w:pPr>
    </w:p>
    <w:p w14:paraId="588353F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67. Deve-se indicar como os dados da contabilidade financeira da empresa são sumarizados nos seus demonstrativos financeiros.</w:t>
      </w:r>
    </w:p>
    <w:p w14:paraId="4139214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68. Deve-se explicar detalhadamente como são registradas as vendas da empresa, informando todos os livros contábeis utilizados para esse fim.</w:t>
      </w:r>
    </w:p>
    <w:p w14:paraId="47BE152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69. Deve-se descrever o sistema contábil de custo adotado pela empresa e como são classificados, alocados, agregados e registrados os custos incorridos na fabricação. A descrição deve ser apresentada de forma narrativa e acompanhada de um fluxograma.</w:t>
      </w:r>
    </w:p>
    <w:p w14:paraId="623F59A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70. Deve-se descrever como são registrados os custos durante todo o processo produtivo discriminando os diversos razões de custos auxiliares mantidos pela empresa. Explicar de que forma as informações de custos são reconciliadas com a contabilidade financeira.</w:t>
      </w:r>
    </w:p>
    <w:p w14:paraId="335E601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71. Deve-se apresentar o plano de contas completo.</w:t>
      </w:r>
    </w:p>
    <w:p w14:paraId="4699FE3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72. Deve-se apresentar demonstrações financeiras da empresa e anexar os balancetes sintéticos para cada um dos períodos de dano.</w:t>
      </w:r>
    </w:p>
    <w:p w14:paraId="1CBA815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73. Deve-se informar o software de gestão ou contábil utilizado (ex.: SAP, Oracle, Datasul, etc.)</w:t>
      </w:r>
    </w:p>
    <w:p w14:paraId="3A0095A9" w14:textId="77777777" w:rsidR="00E4045A" w:rsidRPr="00395593" w:rsidRDefault="00E4045A" w:rsidP="00E33E26">
      <w:pPr>
        <w:pStyle w:val="TextosemFormatao"/>
        <w:ind w:firstLine="567"/>
        <w:jc w:val="both"/>
        <w:rPr>
          <w:rFonts w:ascii="Garamond" w:hAnsi="Garamond" w:cs="Calibri"/>
          <w:color w:val="000000"/>
          <w:sz w:val="24"/>
          <w:szCs w:val="24"/>
        </w:rPr>
      </w:pPr>
    </w:p>
    <w:p w14:paraId="437A50EE" w14:textId="6F54682A"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IV</w:t>
      </w:r>
    </w:p>
    <w:p w14:paraId="467FA0D0"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Processo de venda e distribuição</w:t>
      </w:r>
    </w:p>
    <w:p w14:paraId="29492A0C" w14:textId="77777777" w:rsidR="00E4045A" w:rsidRPr="00395593" w:rsidRDefault="00E4045A" w:rsidP="00E33E26">
      <w:pPr>
        <w:pStyle w:val="TextosemFormatao"/>
        <w:ind w:firstLine="567"/>
        <w:jc w:val="both"/>
        <w:rPr>
          <w:rFonts w:ascii="Garamond" w:hAnsi="Garamond" w:cs="Calibri"/>
          <w:color w:val="000000"/>
          <w:sz w:val="24"/>
          <w:szCs w:val="24"/>
        </w:rPr>
      </w:pPr>
    </w:p>
    <w:p w14:paraId="76DEEA1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74. Deve-se informar se há restrições nas vendas diretas e nas vendas efetuadas por meio de intermediários, no que se refere ao volume, à área geográfica de atuação ou outros condicionantes. Em caso positivo, especificar. No caso de vendas para distribuidores, deve-se informar se a empresa vende apenas para distribuidores autorizados.</w:t>
      </w:r>
    </w:p>
    <w:p w14:paraId="60C69AF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75. Deve-se informar os termos de venda (spot, contrato, etc.). No caso de vendas mediante contrato, deve-se listar os clientes.</w:t>
      </w:r>
    </w:p>
    <w:p w14:paraId="3E33DB4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76. Deve-se indicar a existência de diferentes tipos de embalagem (granel, tambor, big bag</w:t>
      </w:r>
      <w:r w:rsidRPr="00395593">
        <w:rPr>
          <w:rFonts w:ascii="Garamond" w:hAnsi="Garamond" w:cs="Calibri"/>
          <w:i/>
          <w:color w:val="000000"/>
          <w:sz w:val="24"/>
          <w:szCs w:val="24"/>
        </w:rPr>
        <w:t>,</w:t>
      </w:r>
      <w:r w:rsidRPr="00395593">
        <w:rPr>
          <w:rFonts w:ascii="Garamond" w:hAnsi="Garamond" w:cs="Calibri"/>
          <w:color w:val="000000"/>
          <w:sz w:val="24"/>
          <w:szCs w:val="24"/>
        </w:rPr>
        <w:t xml:space="preserve"> pallet, etc.) para o produto similar doméstico, assim como os volumes transportados normalmente por tipo de embalagem. </w:t>
      </w:r>
    </w:p>
    <w:p w14:paraId="666F518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77. Deve-se explicar de que forma a empresa classifica em seus registros as exportações ou vendas realizadas no mercado interno, bem como aquelas destinadas a Zonas Francas e Zonas de Processamento de Exportação.</w:t>
      </w:r>
    </w:p>
    <w:p w14:paraId="5797D77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78. Deve-se fornecer lista de todas as partes relacionadas que adquiriram o produto similar doméstico no mercado interno indicando a destinação do produto (consumo próprio ou revenda). Deve-se explicar a política de preços para tais partes. </w:t>
      </w:r>
    </w:p>
    <w:p w14:paraId="7731391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79. Deve-se fornecer fluxograma de cada um dos canais de distribuição utilizados nas vendas no mercado interno.</w:t>
      </w:r>
    </w:p>
    <w:p w14:paraId="3667C07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80. Deve-se informar se a empresa realizou serviço de industrialização para terceiros (tolling) e se possuía contrato swap. </w:t>
      </w:r>
    </w:p>
    <w:p w14:paraId="454F1CA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81.</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se a empresa realizou vendas de produto similar de outras marcas que não as suas próprias.</w:t>
      </w:r>
    </w:p>
    <w:p w14:paraId="070AE579" w14:textId="77777777" w:rsidR="00E4045A" w:rsidRPr="00395593" w:rsidRDefault="00E4045A" w:rsidP="00E33E26">
      <w:pPr>
        <w:pStyle w:val="TextosemFormatao"/>
        <w:ind w:firstLine="567"/>
        <w:jc w:val="both"/>
        <w:rPr>
          <w:rFonts w:ascii="Garamond" w:hAnsi="Garamond" w:cs="Calibri"/>
          <w:color w:val="000000"/>
          <w:sz w:val="24"/>
          <w:szCs w:val="24"/>
        </w:rPr>
      </w:pPr>
    </w:p>
    <w:p w14:paraId="48120C47"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XII</w:t>
      </w:r>
    </w:p>
    <w:p w14:paraId="776DD7E8"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Indicadores de desempenho</w:t>
      </w:r>
    </w:p>
    <w:p w14:paraId="7E95B33A" w14:textId="77777777" w:rsidR="00596935" w:rsidRDefault="00596935" w:rsidP="00E33E26">
      <w:pPr>
        <w:jc w:val="center"/>
        <w:rPr>
          <w:rFonts w:ascii="Garamond" w:hAnsi="Garamond" w:cs="Calibri"/>
          <w:b/>
          <w:color w:val="000000"/>
          <w:sz w:val="24"/>
          <w:szCs w:val="24"/>
        </w:rPr>
      </w:pPr>
    </w:p>
    <w:p w14:paraId="4C00D07F" w14:textId="7A4D3275"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w:t>
      </w:r>
    </w:p>
    <w:p w14:paraId="564B83A8"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volume de vendas</w:t>
      </w:r>
    </w:p>
    <w:p w14:paraId="2A06B6F9" w14:textId="77777777" w:rsidR="00E4045A" w:rsidRPr="00395593" w:rsidRDefault="00E4045A" w:rsidP="00E33E26">
      <w:pPr>
        <w:pStyle w:val="TextosemFormatao"/>
        <w:ind w:firstLine="567"/>
        <w:jc w:val="both"/>
        <w:rPr>
          <w:rFonts w:ascii="Garamond" w:hAnsi="Garamond" w:cs="Calibri"/>
          <w:color w:val="000000"/>
          <w:sz w:val="24"/>
          <w:szCs w:val="24"/>
        </w:rPr>
      </w:pPr>
    </w:p>
    <w:p w14:paraId="5EA63A5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82.</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o valor e a quantidade vendida no mercado interno e externo do produto similar doméstico e o valor total das vendas da empresa, conforme tabela constante no Apêndice V. Deve-se observar que os totais informados no Apêndice V devem coincidir com a contabilidade da empresa e com as totalizações das informações fornecidas no Apêndice VII.</w:t>
      </w:r>
    </w:p>
    <w:p w14:paraId="2A19B55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83. Caso exista consumo cativo, isto é, exista transferência de produto a ser utilizado como matéria-prima ou insumo sem emissão de nota fiscal de venda, preencher o Apêndice VI. </w:t>
      </w:r>
    </w:p>
    <w:p w14:paraId="374E7CE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84.</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 xml:space="preserve">Deve-se preencher o Apêndice VII, relativo às vendas no mercado interno do produto similar de fabricação própria de acordo com as instruções contidas no referido apêndice, o qual deverá ser submetido à SDCOM somente em versão eletrônica. </w:t>
      </w:r>
    </w:p>
    <w:p w14:paraId="5919BF5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85.</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As vendas destinadas à Zona Franca de Manaus e às Zonas de Processamento de Exportações devem ser consideradas como vendas no mercado interno brasileiro.</w:t>
      </w:r>
    </w:p>
    <w:p w14:paraId="4BCF6E1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86.</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observar que as informações apresentadas no Apêndice VII devem ser reconciliadas com a contabilidade da empresa e com as informações apresentadas nos Apêndices V, IX e XI.</w:t>
      </w:r>
    </w:p>
    <w:p w14:paraId="6FC016C3" w14:textId="77777777" w:rsidR="00E4045A" w:rsidRPr="00395593" w:rsidRDefault="00E4045A" w:rsidP="00E33E26">
      <w:pPr>
        <w:pStyle w:val="TextosemFormatao"/>
        <w:ind w:firstLine="567"/>
        <w:jc w:val="both"/>
        <w:rPr>
          <w:rFonts w:ascii="Garamond" w:hAnsi="Garamond" w:cs="Calibri"/>
          <w:color w:val="000000"/>
          <w:sz w:val="24"/>
          <w:szCs w:val="24"/>
        </w:rPr>
      </w:pPr>
    </w:p>
    <w:p w14:paraId="37363AF0"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II</w:t>
      </w:r>
    </w:p>
    <w:p w14:paraId="367FEC05"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Da produção e do grau de utilização da capacidade instalada</w:t>
      </w:r>
    </w:p>
    <w:p w14:paraId="648E45B2" w14:textId="77777777" w:rsidR="00E4045A" w:rsidRPr="00395593" w:rsidRDefault="00E4045A" w:rsidP="00E33E26">
      <w:pPr>
        <w:pStyle w:val="TextosemFormatao"/>
        <w:ind w:firstLine="567"/>
        <w:jc w:val="both"/>
        <w:rPr>
          <w:rFonts w:ascii="Garamond" w:hAnsi="Garamond" w:cs="Calibri"/>
          <w:color w:val="000000"/>
          <w:sz w:val="24"/>
          <w:szCs w:val="24"/>
        </w:rPr>
      </w:pPr>
    </w:p>
    <w:p w14:paraId="41149B4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87.</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Caso o produto similar doméstico seja produzido em mais de uma planta, deve-se identificar cada uma delas e descrever as atividades efetuadas nas distintas plantas.</w:t>
      </w:r>
    </w:p>
    <w:p w14:paraId="4E94BB1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88.</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se há subcontratação de serviços no processo produtivo, como, por exemplo, manutenção e ferramental, fornecimento de utilidades, etc.</w:t>
      </w:r>
    </w:p>
    <w:p w14:paraId="3AD96CB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89.</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relacionar os subprodutos, coprodutos e refugos resultantes da produção. Indicar se esse material é reintroduzido no ciclo de produção ou reaproveitado de alguma forma, se é vendido ou se é descartado por ser desprovido de valor econômico.</w:t>
      </w:r>
    </w:p>
    <w:p w14:paraId="422BA34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90.</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o regime usual de produção do produto similar doméstico (produção contínua ou batelada) e o número de turnos.</w:t>
      </w:r>
    </w:p>
    <w:p w14:paraId="1F22F67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91.</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esclarecer se há outras rotas para a produção do produto similar doméstico. Em caso positivo, deve-se informar as principais diferenças entre essas rotas;</w:t>
      </w:r>
    </w:p>
    <w:p w14:paraId="1B5604C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92.</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a capacidade instalada nominal e efetiva da linha de produção do produto similar doméstico, e respectiva produção, conforme tabela constante no Apêndice VIII. Caso o produto seja produzido em mais de uma linha ou planta, deve-se fornecer tais informações separadamente.</w:t>
      </w:r>
    </w:p>
    <w:p w14:paraId="4E012B9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93.</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Caso a capacidade instalada seja comum a outros produtos além do similar doméstico, deve-se informar, no mesmo Apêndice VIII, a produção destes outros produtos, listando-os. Neste caso, deve-se informar a capacidade total de produção.</w:t>
      </w:r>
    </w:p>
    <w:p w14:paraId="1DF1302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94.</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Caso a capacidade instalada tenha sido alterada ao longo do período considerado, deve-se explicar em que consistiu tal alteração.</w:t>
      </w:r>
    </w:p>
    <w:p w14:paraId="48D0C67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95.</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esclarecer pormenorizadamente como foi calculada a capacidade efetiva.</w:t>
      </w:r>
    </w:p>
    <w:p w14:paraId="0C59D67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96.</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a ocorrência de eventuais paradas na produção, indicando período, duração e sua motivação.</w:t>
      </w:r>
    </w:p>
    <w:p w14:paraId="6D84440D" w14:textId="77777777" w:rsidR="00E4045A" w:rsidRPr="00395593" w:rsidRDefault="00E4045A" w:rsidP="00E33E26">
      <w:pPr>
        <w:pStyle w:val="TextosemFormatao"/>
        <w:ind w:firstLine="567"/>
        <w:jc w:val="both"/>
        <w:rPr>
          <w:rFonts w:ascii="Garamond" w:hAnsi="Garamond" w:cs="Calibri"/>
          <w:color w:val="000000"/>
          <w:sz w:val="24"/>
          <w:szCs w:val="24"/>
        </w:rPr>
      </w:pPr>
    </w:p>
    <w:p w14:paraId="06339DDD"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III</w:t>
      </w:r>
    </w:p>
    <w:p w14:paraId="053BD392"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Dos estoques</w:t>
      </w:r>
    </w:p>
    <w:p w14:paraId="633048ED" w14:textId="77777777" w:rsidR="00E4045A" w:rsidRPr="00395593" w:rsidRDefault="00E4045A" w:rsidP="00E33E26">
      <w:pPr>
        <w:pStyle w:val="TextosemFormatao"/>
        <w:ind w:firstLine="567"/>
        <w:jc w:val="both"/>
        <w:rPr>
          <w:rFonts w:ascii="Garamond" w:hAnsi="Garamond" w:cs="Calibri"/>
          <w:color w:val="000000"/>
          <w:sz w:val="24"/>
          <w:szCs w:val="24"/>
        </w:rPr>
      </w:pPr>
    </w:p>
    <w:p w14:paraId="4E6A917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97.</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os estoques, conforme tabela constante do Apêndice IX.</w:t>
      </w:r>
    </w:p>
    <w:p w14:paraId="695BC5F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98.</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apresentar as informações solicitadas, preferencialmente, em unidades de peso (tonelada ou quilograma) e, se for o caso, na unidade de comercialização, em planilhas separadas. Entende-se por unidade de comercialização a unidade pela qual o produto similar doméstico normalmente é comercializado. Esta unidade deve coincidir com aquela utilizada pela empresa em sua contabilidade (unidades, litros, metros, peças, pares, caixas, etc.).</w:t>
      </w:r>
    </w:p>
    <w:p w14:paraId="00C5997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99.</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se há produção para estoque ou se somente contra pedido. Caso haja produção para estoque, deve-se informar o nível de estoque considerado ideal.</w:t>
      </w:r>
    </w:p>
    <w:p w14:paraId="379D988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100.</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 xml:space="preserve">Caso a empresa entenda que, em razão das importações do produto objeto da investigação a preços de </w:t>
      </w:r>
      <w:r w:rsidRPr="00395593">
        <w:rPr>
          <w:rFonts w:ascii="Garamond" w:hAnsi="Garamond" w:cs="Calibri"/>
          <w:i/>
          <w:color w:val="000000"/>
          <w:sz w:val="24"/>
          <w:szCs w:val="24"/>
        </w:rPr>
        <w:t>dumping</w:t>
      </w:r>
      <w:r w:rsidRPr="00395593">
        <w:rPr>
          <w:rFonts w:ascii="Garamond" w:hAnsi="Garamond" w:cs="Calibri"/>
          <w:color w:val="000000"/>
          <w:sz w:val="24"/>
          <w:szCs w:val="24"/>
        </w:rPr>
        <w:t>, o prazo de permanência em estoque do produto similar doméstico vem aumentando, deve preencher a tabela constante do Apêndice X.</w:t>
      </w:r>
    </w:p>
    <w:p w14:paraId="33F0C676" w14:textId="77777777" w:rsidR="00E4045A" w:rsidRPr="00395593" w:rsidRDefault="00E4045A" w:rsidP="00E33E26">
      <w:pPr>
        <w:pStyle w:val="TextosemFormatao"/>
        <w:ind w:firstLine="567"/>
        <w:jc w:val="both"/>
        <w:rPr>
          <w:rFonts w:ascii="Garamond" w:hAnsi="Garamond" w:cs="Calibri"/>
          <w:color w:val="000000"/>
          <w:sz w:val="24"/>
          <w:szCs w:val="24"/>
        </w:rPr>
      </w:pPr>
    </w:p>
    <w:p w14:paraId="36FA7F40"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IV</w:t>
      </w:r>
    </w:p>
    <w:p w14:paraId="42F080AF" w14:textId="77777777" w:rsidR="00E4045A" w:rsidRPr="00395593" w:rsidRDefault="00E4045A" w:rsidP="00596935">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demonstrativo de resultado</w:t>
      </w:r>
    </w:p>
    <w:p w14:paraId="1F858986" w14:textId="77777777" w:rsidR="00E4045A" w:rsidRPr="00395593" w:rsidRDefault="00E4045A" w:rsidP="00E33E26">
      <w:pPr>
        <w:pStyle w:val="TextosemFormatao"/>
        <w:ind w:firstLine="567"/>
        <w:jc w:val="both"/>
        <w:rPr>
          <w:rFonts w:ascii="Garamond" w:hAnsi="Garamond" w:cs="Calibri"/>
          <w:color w:val="000000"/>
          <w:sz w:val="24"/>
          <w:szCs w:val="24"/>
        </w:rPr>
      </w:pPr>
    </w:p>
    <w:p w14:paraId="60F9AC4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101.</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 xml:space="preserve">Deve-se apresentar demonstrativo de resultado relativo às vendas no mercado interno de produto similar de fabricação própria conforme a tabela constante do Apêndice XI. </w:t>
      </w:r>
    </w:p>
    <w:p w14:paraId="6551F38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102.</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apresentar demonstrativo de resultado relativo às exportações de produto similar de fabricação própria, conforme tabela constante do Apêndice XII.</w:t>
      </w:r>
    </w:p>
    <w:p w14:paraId="13F891E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103.</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apresentar demonstrativo de resultado relativo às revendas, no mercado interno e externo, de produtos importados ou adquiridos no mercado brasileiro, conforme tabela constante do Apêndice XIII. Deve-se ainda esclarecer as razões que levaram essa empresa a importar o produto ou a adquiri-lo no mercado interno, listando os fornecedores nacionais e os estrangeiros por país.</w:t>
      </w:r>
    </w:p>
    <w:p w14:paraId="4202418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104.</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Em todos os casos, deve-se informar pormenorizadamente, caso utilizado, o critério de rateio para apuração das despesas e receitas operacionais.</w:t>
      </w:r>
    </w:p>
    <w:p w14:paraId="6B98C67C" w14:textId="77777777" w:rsidR="00E4045A" w:rsidRPr="00395593" w:rsidRDefault="00E4045A" w:rsidP="00E33E26">
      <w:pPr>
        <w:pStyle w:val="TextosemFormatao"/>
        <w:ind w:firstLine="567"/>
        <w:jc w:val="both"/>
        <w:rPr>
          <w:rFonts w:ascii="Garamond" w:hAnsi="Garamond" w:cs="Calibri"/>
          <w:color w:val="000000"/>
          <w:sz w:val="24"/>
          <w:szCs w:val="24"/>
        </w:rPr>
      </w:pPr>
    </w:p>
    <w:p w14:paraId="5F037935" w14:textId="77777777" w:rsidR="00E4045A" w:rsidRPr="00395593" w:rsidRDefault="00E4045A" w:rsidP="00A07F88">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V</w:t>
      </w:r>
    </w:p>
    <w:p w14:paraId="234DD154" w14:textId="77777777" w:rsidR="00E4045A" w:rsidRPr="00395593" w:rsidRDefault="00E4045A" w:rsidP="00A07F88">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 xml:space="preserve">Do emprego e da massa salarial </w:t>
      </w:r>
    </w:p>
    <w:p w14:paraId="7B644CA4" w14:textId="77777777" w:rsidR="00E4045A" w:rsidRPr="00395593" w:rsidRDefault="00E4045A" w:rsidP="00E33E26">
      <w:pPr>
        <w:pStyle w:val="TextosemFormatao"/>
        <w:ind w:firstLine="567"/>
        <w:jc w:val="both"/>
        <w:rPr>
          <w:rFonts w:ascii="Garamond" w:hAnsi="Garamond" w:cs="Calibri"/>
          <w:color w:val="000000"/>
          <w:sz w:val="24"/>
          <w:szCs w:val="24"/>
        </w:rPr>
      </w:pPr>
    </w:p>
    <w:p w14:paraId="51DD3A9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105.</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 xml:space="preserve">Deve-se informar, conforme tabelas constantes nos Apêndices XIV e XV, o emprego e a massa salarial pertinentes à linha de produção do produto similar doméstico, discriminando a mão de obra contratada pela própria empresa (empregados) e a terceirizada por segmento: produção, administração e vendas. </w:t>
      </w:r>
    </w:p>
    <w:p w14:paraId="2F1CCAC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No Apêndice XIV, deve ser informado o número de empregados constante na folha de pagamentos no último dia de cada período. </w:t>
      </w:r>
    </w:p>
    <w:p w14:paraId="7E9C290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Caso seja adotado critério de rateio, o mesmo deve ser explicado pormenorizadamente e observado para a elaboração dos Apêndices XIV e XV.</w:t>
      </w:r>
    </w:p>
    <w:p w14:paraId="47DEF198" w14:textId="77777777" w:rsidR="00E4045A" w:rsidRPr="00395593" w:rsidRDefault="00E4045A" w:rsidP="00E33E26">
      <w:pPr>
        <w:pStyle w:val="TextosemFormatao"/>
        <w:ind w:firstLine="567"/>
        <w:jc w:val="both"/>
        <w:rPr>
          <w:rFonts w:ascii="Garamond" w:hAnsi="Garamond" w:cs="Calibri"/>
          <w:color w:val="000000"/>
          <w:sz w:val="24"/>
          <w:szCs w:val="24"/>
        </w:rPr>
      </w:pPr>
    </w:p>
    <w:p w14:paraId="4EE73E64" w14:textId="77777777" w:rsidR="00E4045A" w:rsidRPr="00395593" w:rsidRDefault="00E4045A" w:rsidP="00A07F88">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VI</w:t>
      </w:r>
    </w:p>
    <w:p w14:paraId="18516AEE" w14:textId="77777777" w:rsidR="00E4045A" w:rsidRPr="00395593" w:rsidRDefault="00E4045A" w:rsidP="00A07F88">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retorno sobre o investimento</w:t>
      </w:r>
    </w:p>
    <w:p w14:paraId="067FF5D2" w14:textId="77777777" w:rsidR="00E4045A" w:rsidRPr="00395593" w:rsidRDefault="00E4045A" w:rsidP="00E33E26">
      <w:pPr>
        <w:pStyle w:val="TextosemFormatao"/>
        <w:ind w:firstLine="567"/>
        <w:jc w:val="both"/>
        <w:rPr>
          <w:rFonts w:ascii="Garamond" w:hAnsi="Garamond" w:cs="Calibri"/>
          <w:color w:val="000000"/>
          <w:sz w:val="24"/>
          <w:szCs w:val="24"/>
        </w:rPr>
      </w:pPr>
    </w:p>
    <w:p w14:paraId="7606261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106.</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a taxa de retorno sobre o investimento conforme tabela constante do Apêndice XVI, indicando, se for o caso, o critério de rateio adotado.</w:t>
      </w:r>
    </w:p>
    <w:p w14:paraId="64F05862" w14:textId="77777777" w:rsidR="00E4045A" w:rsidRPr="00395593" w:rsidRDefault="00E4045A" w:rsidP="00E33E26">
      <w:pPr>
        <w:pStyle w:val="TextosemFormatao"/>
        <w:ind w:firstLine="567"/>
        <w:jc w:val="both"/>
        <w:rPr>
          <w:rFonts w:ascii="Garamond" w:hAnsi="Garamond" w:cs="Calibri"/>
          <w:color w:val="000000"/>
          <w:sz w:val="24"/>
          <w:szCs w:val="24"/>
        </w:rPr>
      </w:pPr>
    </w:p>
    <w:p w14:paraId="737B9691" w14:textId="77777777" w:rsidR="00E4045A" w:rsidRPr="00395593" w:rsidRDefault="00E4045A" w:rsidP="00A07F88">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VII</w:t>
      </w:r>
    </w:p>
    <w:p w14:paraId="674C3940" w14:textId="77777777" w:rsidR="00E4045A" w:rsidRPr="00395593" w:rsidRDefault="00E4045A" w:rsidP="00A07F88">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fluxo de caixa</w:t>
      </w:r>
    </w:p>
    <w:p w14:paraId="723D40C3" w14:textId="77777777" w:rsidR="00E4045A" w:rsidRPr="00395593" w:rsidRDefault="00E4045A" w:rsidP="00E33E26">
      <w:pPr>
        <w:pStyle w:val="TextosemFormatao"/>
        <w:ind w:firstLine="567"/>
        <w:jc w:val="both"/>
        <w:rPr>
          <w:rFonts w:ascii="Garamond" w:hAnsi="Garamond" w:cs="Calibri"/>
          <w:color w:val="000000"/>
          <w:sz w:val="24"/>
          <w:szCs w:val="24"/>
        </w:rPr>
      </w:pPr>
    </w:p>
    <w:p w14:paraId="32EA63F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107.</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o fluxo de caixa conforme tabela constante do Apêndice XVII, indicando, se for o caso, o critério de rateio adotado.</w:t>
      </w:r>
    </w:p>
    <w:p w14:paraId="650AB128" w14:textId="77777777" w:rsidR="00E4045A" w:rsidRPr="00395593" w:rsidRDefault="00E4045A" w:rsidP="00E33E26">
      <w:pPr>
        <w:pStyle w:val="TextosemFormatao"/>
        <w:ind w:firstLine="567"/>
        <w:jc w:val="both"/>
        <w:rPr>
          <w:rFonts w:ascii="Garamond" w:hAnsi="Garamond" w:cs="Calibri"/>
          <w:color w:val="000000"/>
          <w:sz w:val="24"/>
          <w:szCs w:val="24"/>
        </w:rPr>
      </w:pPr>
    </w:p>
    <w:p w14:paraId="663B39F9" w14:textId="77777777" w:rsidR="00E4045A" w:rsidRPr="00395593" w:rsidRDefault="00E4045A" w:rsidP="00A07F88">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VIII</w:t>
      </w:r>
    </w:p>
    <w:p w14:paraId="092BFB9F" w14:textId="77777777" w:rsidR="00E4045A" w:rsidRPr="00395593" w:rsidRDefault="00E4045A" w:rsidP="00A07F88">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Da capacidade de captar recursos ou investimentos</w:t>
      </w:r>
    </w:p>
    <w:p w14:paraId="7760C765" w14:textId="77777777" w:rsidR="00E4045A" w:rsidRPr="00395593" w:rsidRDefault="00E4045A" w:rsidP="00E33E26">
      <w:pPr>
        <w:pStyle w:val="TextosemFormatao"/>
        <w:ind w:firstLine="567"/>
        <w:jc w:val="both"/>
        <w:rPr>
          <w:rFonts w:ascii="Garamond" w:hAnsi="Garamond" w:cs="Calibri"/>
          <w:color w:val="000000"/>
          <w:sz w:val="24"/>
          <w:szCs w:val="24"/>
        </w:rPr>
      </w:pPr>
    </w:p>
    <w:p w14:paraId="56CE563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108.</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os investimentos realizados no período de análise do dano, na linha de produção do produto similar doméstico, explicando as principais razões para estes investimentos (ex.: exigências ambientais, padrões de segurança, atualizações tecnológicas, crescimento da demanda) ao longo do período e como estes foram financiados (caixa, empréstimos bancários, debêntures, etc.).</w:t>
      </w:r>
    </w:p>
    <w:p w14:paraId="44CE64C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109.</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Caso existam, deve-se informar os principais fatores que influenciaram negativamente a capacidade de captar recursos ou investimentos, singularizando questões relacionadas à obtenção de crédito junto a bancos comerciais, histórico de taxas de juros, passivo judicial, entre outros temas relevantes.</w:t>
      </w:r>
    </w:p>
    <w:p w14:paraId="3CFE111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110. Deve-se informar se a empresa tomou empréstimo de curto prazo no período de análise de dano e a taxa média de captação de cada período.</w:t>
      </w:r>
    </w:p>
    <w:p w14:paraId="79E2B2E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111.</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 xml:space="preserve">Deve-se informar se a empresa sofreu os efeitos negativos listados a seguir, como resultado das importações do produto objeto da investigação a preço de </w:t>
      </w:r>
      <w:r w:rsidRPr="00395593">
        <w:rPr>
          <w:rFonts w:ascii="Garamond" w:hAnsi="Garamond" w:cs="Calibri"/>
          <w:i/>
          <w:color w:val="000000"/>
          <w:sz w:val="24"/>
          <w:szCs w:val="24"/>
        </w:rPr>
        <w:t>dumping</w:t>
      </w:r>
      <w:r w:rsidRPr="00395593">
        <w:rPr>
          <w:rFonts w:ascii="Garamond" w:hAnsi="Garamond" w:cs="Calibri"/>
          <w:color w:val="000000"/>
          <w:sz w:val="24"/>
          <w:szCs w:val="24"/>
        </w:rPr>
        <w:t>:</w:t>
      </w:r>
    </w:p>
    <w:p w14:paraId="08F5A14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cancelamento, adiamento ou rejeição de projetos de expansão;</w:t>
      </w:r>
    </w:p>
    <w:p w14:paraId="52381EF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rejeição ou não aceitação de propostas de investimento;</w:t>
      </w:r>
    </w:p>
    <w:p w14:paraId="4E07E5B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redução dos investimentos;</w:t>
      </w:r>
    </w:p>
    <w:p w14:paraId="200428A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rejeição de empréstimos bancários;</w:t>
      </w:r>
    </w:p>
    <w:p w14:paraId="5A981E4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V - redução de linhas de crédito;</w:t>
      </w:r>
    </w:p>
    <w:p w14:paraId="18CD751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VI - efeitos sobre os papéis negociados em bolsa;</w:t>
      </w:r>
    </w:p>
    <w:p w14:paraId="1D10AB4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VII - outros (especificar).</w:t>
      </w:r>
    </w:p>
    <w:p w14:paraId="23885D33" w14:textId="77777777" w:rsidR="00E4045A" w:rsidRPr="00395593" w:rsidRDefault="00E4045A" w:rsidP="00E33E26">
      <w:pPr>
        <w:pStyle w:val="TextosemFormatao"/>
        <w:ind w:firstLine="567"/>
        <w:jc w:val="both"/>
        <w:rPr>
          <w:rFonts w:ascii="Garamond" w:hAnsi="Garamond" w:cs="Calibri"/>
          <w:color w:val="000000"/>
          <w:sz w:val="24"/>
          <w:szCs w:val="24"/>
        </w:rPr>
      </w:pPr>
    </w:p>
    <w:p w14:paraId="416C3828" w14:textId="77777777" w:rsidR="00E4045A" w:rsidRPr="00395593" w:rsidRDefault="00E4045A" w:rsidP="00A07F88">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IX</w:t>
      </w:r>
    </w:p>
    <w:p w14:paraId="6FB32D12" w14:textId="77777777" w:rsidR="00E4045A" w:rsidRPr="00395593" w:rsidRDefault="00E4045A" w:rsidP="00A07F88">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 xml:space="preserve"> Do custo de produção</w:t>
      </w:r>
    </w:p>
    <w:p w14:paraId="47D503E0" w14:textId="77777777" w:rsidR="00E4045A" w:rsidRPr="00395593" w:rsidRDefault="00E4045A" w:rsidP="00E33E26">
      <w:pPr>
        <w:pStyle w:val="TextosemFormatao"/>
        <w:ind w:firstLine="567"/>
        <w:jc w:val="both"/>
        <w:rPr>
          <w:rFonts w:ascii="Garamond" w:hAnsi="Garamond" w:cs="Calibri"/>
          <w:color w:val="000000"/>
          <w:sz w:val="24"/>
          <w:szCs w:val="24"/>
        </w:rPr>
      </w:pPr>
    </w:p>
    <w:p w14:paraId="5202776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112.</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se houve mudança de critério de alocação de custo e, em caso positivo, deve-se esclarecer a natureza da alteração.</w:t>
      </w:r>
    </w:p>
    <w:p w14:paraId="43AC5C4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113. Deve-se informar as condições de aquisição de matérias-primas, insumos e/ou utilidades (fornecedores independentes, de partes relacionadas e/ou se há consumo cativo). Deve-se esclarecer como são formados os preços em cada uma destas operações.</w:t>
      </w:r>
    </w:p>
    <w:p w14:paraId="465CD4C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114.</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fornecer a estrutura de custos de acordo com a tabela constante do Apêndice XVIII para cada CODPROD ou grupos de CODPROD (ou CODIP se for o caso) identificado(s) na Seção III do Capítulo II desta Portaria. Em relação a P5, também deverão ser fornecidas informações mensais no Apêndice XIX. Caso o produto similar doméstico seja produzido em mais de uma planta, deve ser informado o custo de produção de cada uma delas.</w:t>
      </w:r>
    </w:p>
    <w:p w14:paraId="725CA17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115.</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Instruções de preenchimento dos Apêndices XVIII e XIX:</w:t>
      </w:r>
    </w:p>
    <w:p w14:paraId="66AB997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Custo de matérias-primas e outros insumos: incluem despesas de transporte, tarifas de importação e outras despesas associadas à aquisição do produto;</w:t>
      </w:r>
    </w:p>
    <w:p w14:paraId="602B437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Mão de obra: deve abranger todos os empregados envolvidos na produção. Incluir salários, bônus, horas-extras, férias, seguro, auxílio-doença e outros benefícios;</w:t>
      </w:r>
    </w:p>
    <w:p w14:paraId="76C8393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Depreciação: informar como a empresa aloca as despesas referentes à depreciação. Apresentar planilha reconciliando tais despesas com os respectivos demonstrativos financeiros.</w:t>
      </w:r>
    </w:p>
    <w:p w14:paraId="7A48F9E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116.</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Caso a empresa tenha respondido ao art. 89, deve-se indicar de que forma a venda de subprodutos ou refugos impactou no custo.</w:t>
      </w:r>
    </w:p>
    <w:p w14:paraId="5CA71E6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117.</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observar que os valores informados nos Apêndices XVIII e XIX devem ser conciliados com a contabilidade de custo e financeira da empresa.</w:t>
      </w:r>
    </w:p>
    <w:p w14:paraId="12464464" w14:textId="77777777" w:rsidR="00E4045A" w:rsidRPr="00395593" w:rsidRDefault="00E4045A" w:rsidP="00E33E26">
      <w:pPr>
        <w:pStyle w:val="TextosemFormatao"/>
        <w:ind w:firstLine="567"/>
        <w:jc w:val="both"/>
        <w:rPr>
          <w:rFonts w:ascii="Garamond" w:hAnsi="Garamond" w:cs="Calibri"/>
          <w:color w:val="000000"/>
          <w:sz w:val="24"/>
          <w:szCs w:val="24"/>
        </w:rPr>
      </w:pPr>
    </w:p>
    <w:p w14:paraId="2CBA642E"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X</w:t>
      </w:r>
    </w:p>
    <w:p w14:paraId="05A206DD"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Da caracterização do dano à indústria doméstica</w:t>
      </w:r>
    </w:p>
    <w:p w14:paraId="33EE1112" w14:textId="77777777" w:rsidR="00E4045A" w:rsidRPr="00395593" w:rsidRDefault="00E4045A" w:rsidP="00E33E26">
      <w:pPr>
        <w:jc w:val="center"/>
        <w:rPr>
          <w:rFonts w:ascii="Garamond" w:hAnsi="Garamond" w:cs="Calibri"/>
          <w:b/>
          <w:color w:val="000000"/>
          <w:sz w:val="24"/>
          <w:szCs w:val="24"/>
        </w:rPr>
      </w:pPr>
    </w:p>
    <w:p w14:paraId="4F11AFA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118. Com base nos indicadores de desempenho constantes das subseções I a IX, deve-se explicar de que maneira o dano à indústria doméstica se materializou.</w:t>
      </w:r>
    </w:p>
    <w:p w14:paraId="748BE0B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119. Quanto aos possíveis efeitos sobre os preços da indústria doméstica, informar se:</w:t>
      </w:r>
    </w:p>
    <w:p w14:paraId="3538F14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o preço do produto objeto da investigação esteve subcotado em relação ao preço do produto similar da indústria doméstica; e/ou</w:t>
      </w:r>
    </w:p>
    <w:p w14:paraId="648BE83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em decorrência do preço do produto objeto da investigação houve depressão ou supressão do preço do produto similar da indústria doméstica.</w:t>
      </w:r>
    </w:p>
    <w:p w14:paraId="66582FC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Parágrafo único. Deve-se estimar o montante de subcotação e indicar a metodologia para cálculo do preço internado do produto objeto da investigação, singularizando o valor ou o percentual equivalente às despesas para sua internação. </w:t>
      </w:r>
    </w:p>
    <w:p w14:paraId="602E3FDB" w14:textId="77777777" w:rsidR="00E4045A" w:rsidRPr="00395593" w:rsidRDefault="00E4045A" w:rsidP="00E33E26">
      <w:pPr>
        <w:autoSpaceDE w:val="0"/>
        <w:autoSpaceDN w:val="0"/>
        <w:adjustRightInd w:val="0"/>
        <w:ind w:firstLine="567"/>
        <w:jc w:val="both"/>
        <w:rPr>
          <w:rFonts w:ascii="Garamond" w:hAnsi="Garamond" w:cs="Calibri"/>
          <w:color w:val="000000"/>
          <w:sz w:val="24"/>
          <w:szCs w:val="24"/>
        </w:rPr>
      </w:pPr>
      <w:r w:rsidRPr="00395593">
        <w:rPr>
          <w:rFonts w:ascii="Garamond" w:hAnsi="Garamond" w:cs="Calibri"/>
          <w:color w:val="000000"/>
          <w:sz w:val="24"/>
          <w:szCs w:val="24"/>
        </w:rPr>
        <w:t>Art. 120. Deve-se informar se, em função da concorrência com o produto objeto da investigação, a empresa perdeu vendas no mercado interno, indicando o cliente e as condições de tal(is) venda(s) (preço, condições de pagamento etc.).</w:t>
      </w:r>
    </w:p>
    <w:p w14:paraId="70C458BA"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XIII</w:t>
      </w:r>
    </w:p>
    <w:p w14:paraId="378CC39E"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Dos indicadores de desempenho para indústria fragmentada</w:t>
      </w:r>
    </w:p>
    <w:p w14:paraId="2E395B8B"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p>
    <w:p w14:paraId="6979A07C"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Art. 121. Caso o peticionário seja habilitado como indústria fragmentada, conforme o previsto no § 2</w:t>
      </w:r>
      <w:r w:rsidRPr="00395593">
        <w:rPr>
          <w:rFonts w:ascii="Garamond" w:hAnsi="Garamond" w:cs="Calibri"/>
          <w:color w:val="000000"/>
          <w:u w:val="single"/>
          <w:vertAlign w:val="superscript"/>
        </w:rPr>
        <w:t>o</w:t>
      </w:r>
      <w:r w:rsidRPr="00395593">
        <w:rPr>
          <w:rFonts w:ascii="Garamond" w:hAnsi="Garamond" w:cs="Calibri"/>
          <w:color w:val="000000"/>
        </w:rPr>
        <w:t xml:space="preserve"> do art. 1</w:t>
      </w:r>
      <w:r w:rsidRPr="00395593">
        <w:rPr>
          <w:rFonts w:ascii="Garamond" w:hAnsi="Garamond" w:cs="Calibri"/>
          <w:color w:val="000000"/>
          <w:u w:val="single"/>
          <w:vertAlign w:val="superscript"/>
        </w:rPr>
        <w:t>o</w:t>
      </w:r>
      <w:r w:rsidRPr="00395593">
        <w:rPr>
          <w:rFonts w:ascii="Garamond" w:hAnsi="Garamond" w:cs="Calibri"/>
          <w:color w:val="000000"/>
        </w:rPr>
        <w:t xml:space="preserve"> do Decreto n</w:t>
      </w:r>
      <w:r w:rsidRPr="00395593">
        <w:rPr>
          <w:rFonts w:ascii="Garamond" w:hAnsi="Garamond" w:cs="Calibri"/>
          <w:color w:val="000000"/>
          <w:u w:val="single"/>
          <w:vertAlign w:val="superscript"/>
        </w:rPr>
        <w:t>o</w:t>
      </w:r>
      <w:r w:rsidRPr="00395593">
        <w:rPr>
          <w:rFonts w:ascii="Garamond" w:hAnsi="Garamond" w:cs="Calibri"/>
          <w:color w:val="000000"/>
        </w:rPr>
        <w:t xml:space="preserve"> 9.107, de 2017, e o estabelecido em ato específico da SECEX, a apresentação dos indicadores de desempenho previstos na Seção XII deste Capítulo poderá ser adaptada para refletir a disponibilidade de dados. </w:t>
      </w:r>
    </w:p>
    <w:p w14:paraId="7A0EAFB4"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1</w:t>
      </w:r>
      <w:r w:rsidRPr="00395593">
        <w:rPr>
          <w:rFonts w:ascii="Garamond" w:hAnsi="Garamond" w:cs="Calibri"/>
          <w:strike/>
          <w:color w:val="000000"/>
        </w:rPr>
        <w:t>º</w:t>
      </w:r>
      <w:r w:rsidRPr="00395593">
        <w:rPr>
          <w:rFonts w:ascii="Garamond" w:hAnsi="Garamond" w:cs="Calibri"/>
          <w:color w:val="000000"/>
        </w:rPr>
        <w:t xml:space="preserve"> A petição de investigação original apresentada por peticionário habilitado como indústria fragmentada poderá ser instruída exclusivamente com base em dados provenientes de fontes secundárias, como publicações, censos, periódicos, estudos, relatórios e dados amostrais disponíveis ou encomendados especificamente para instrução da petição. </w:t>
      </w:r>
    </w:p>
    <w:p w14:paraId="2077737F"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2</w:t>
      </w:r>
      <w:r w:rsidRPr="00395593">
        <w:rPr>
          <w:rFonts w:ascii="Garamond" w:hAnsi="Garamond" w:cs="Calibri"/>
          <w:strike/>
          <w:color w:val="000000"/>
        </w:rPr>
        <w:t>º</w:t>
      </w:r>
      <w:r w:rsidRPr="00395593">
        <w:rPr>
          <w:rFonts w:ascii="Garamond" w:hAnsi="Garamond" w:cs="Calibri"/>
          <w:color w:val="000000"/>
        </w:rPr>
        <w:t xml:space="preserve"> Na elaboração da petição deverão ser utilizados, preferencialmente, dados provenientes de fontes oficiais de informações e dados estatísticos, como o Instituto Brasileiro de Geografia e Estatística (IBGE). </w:t>
      </w:r>
    </w:p>
    <w:p w14:paraId="21968038"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3</w:t>
      </w:r>
      <w:r w:rsidRPr="00395593">
        <w:rPr>
          <w:rFonts w:ascii="Garamond" w:hAnsi="Garamond" w:cs="Calibri"/>
          <w:strike/>
          <w:color w:val="000000"/>
        </w:rPr>
        <w:t>º</w:t>
      </w:r>
      <w:r w:rsidRPr="00395593">
        <w:rPr>
          <w:rFonts w:ascii="Garamond" w:hAnsi="Garamond" w:cs="Calibri"/>
          <w:color w:val="000000"/>
        </w:rPr>
        <w:t xml:space="preserve"> Será exigida a descrição detalhada das metodologias empregadas para obtenção e tratamento dos dados e o passo a passo para apresentação dos indicadores de desempenho nos formatos das planilhas referidas na Seção V deste Capítulo, bem como indicação de quaisquer ajustes e adaptações necessários aos formatos dessas planilhas.</w:t>
      </w:r>
    </w:p>
    <w:p w14:paraId="25C196D9"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4</w:t>
      </w:r>
      <w:r w:rsidRPr="00395593">
        <w:rPr>
          <w:rFonts w:ascii="Garamond" w:hAnsi="Garamond" w:cs="Calibri"/>
          <w:strike/>
          <w:color w:val="000000"/>
        </w:rPr>
        <w:t>º</w:t>
      </w:r>
      <w:r w:rsidRPr="00395593">
        <w:rPr>
          <w:rFonts w:ascii="Garamond" w:hAnsi="Garamond" w:cs="Calibri"/>
          <w:color w:val="000000"/>
        </w:rPr>
        <w:t xml:space="preserve"> Caso algum dos indicadores de desempenho previstos na Seção XII deste Capítulo não esteja disponível, se possível, o peticionário deverá indicar indicador substituto (</w:t>
      </w:r>
      <w:r w:rsidRPr="00395593">
        <w:rPr>
          <w:rFonts w:ascii="Garamond" w:hAnsi="Garamond" w:cs="Calibri"/>
          <w:i/>
          <w:color w:val="000000"/>
        </w:rPr>
        <w:t>proxy</w:t>
      </w:r>
      <w:r w:rsidRPr="00395593">
        <w:rPr>
          <w:rFonts w:ascii="Garamond" w:hAnsi="Garamond" w:cs="Calibri"/>
          <w:color w:val="000000"/>
        </w:rPr>
        <w:t>).</w:t>
      </w:r>
    </w:p>
    <w:p w14:paraId="0EC4C6A5"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5</w:t>
      </w:r>
      <w:r w:rsidRPr="00395593">
        <w:rPr>
          <w:rFonts w:ascii="Garamond" w:hAnsi="Garamond" w:cs="Calibri"/>
          <w:strike/>
          <w:color w:val="000000"/>
        </w:rPr>
        <w:t>º</w:t>
      </w:r>
      <w:r w:rsidRPr="00395593">
        <w:rPr>
          <w:rFonts w:ascii="Garamond" w:hAnsi="Garamond" w:cs="Calibri"/>
          <w:color w:val="000000"/>
        </w:rPr>
        <w:t xml:space="preserve"> Caso não seja possível apresentar indicador substituto (</w:t>
      </w:r>
      <w:r w:rsidRPr="00395593">
        <w:rPr>
          <w:rFonts w:ascii="Garamond" w:hAnsi="Garamond" w:cs="Calibri"/>
          <w:i/>
          <w:color w:val="000000"/>
        </w:rPr>
        <w:t>proxy</w:t>
      </w:r>
      <w:r w:rsidRPr="00395593">
        <w:rPr>
          <w:rFonts w:ascii="Garamond" w:hAnsi="Garamond" w:cs="Calibri"/>
          <w:color w:val="000000"/>
        </w:rPr>
        <w:t>) nos termos do § 4</w:t>
      </w:r>
      <w:r w:rsidRPr="00395593">
        <w:rPr>
          <w:rFonts w:ascii="Garamond" w:hAnsi="Garamond" w:cs="Calibri"/>
          <w:strike/>
          <w:color w:val="000000"/>
        </w:rPr>
        <w:t>º</w:t>
      </w:r>
      <w:r w:rsidRPr="00395593">
        <w:rPr>
          <w:rFonts w:ascii="Garamond" w:hAnsi="Garamond" w:cs="Calibri"/>
          <w:color w:val="000000"/>
        </w:rPr>
        <w:t>, será exigida motivação detalhada para cada um dos indicadores previstos na Seção XII deste Capítulo não apresentados na petição.</w:t>
      </w:r>
    </w:p>
    <w:p w14:paraId="2E056A2E"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6</w:t>
      </w:r>
      <w:r w:rsidRPr="00395593">
        <w:rPr>
          <w:rFonts w:ascii="Garamond" w:hAnsi="Garamond" w:cs="Calibri"/>
          <w:strike/>
          <w:color w:val="000000"/>
        </w:rPr>
        <w:t>º</w:t>
      </w:r>
      <w:r w:rsidRPr="00395593">
        <w:rPr>
          <w:rFonts w:ascii="Garamond" w:hAnsi="Garamond" w:cs="Calibri"/>
          <w:color w:val="000000"/>
        </w:rPr>
        <w:t xml:space="preserve"> Não será aceita petição de investigação original apresentada por indústria fragmentada que não contenha ao menos os seguintes indicadores:</w:t>
      </w:r>
    </w:p>
    <w:p w14:paraId="20C73011"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a) volume de vendas no mercado interno brasileiro;</w:t>
      </w:r>
    </w:p>
    <w:p w14:paraId="148BCF59"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b) participação no mercado brasileiro;</w:t>
      </w:r>
    </w:p>
    <w:p w14:paraId="529E54A2"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c) produção do produto;</w:t>
      </w:r>
    </w:p>
    <w:p w14:paraId="1F21B9BF"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d) capacidade instalada ou produção máxima registrada;</w:t>
      </w:r>
    </w:p>
    <w:p w14:paraId="6BDFA7A1"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e) faturamento com vendas do produto no mercado interno;</w:t>
      </w:r>
    </w:p>
    <w:p w14:paraId="7E2EC41F"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f) custo de produção;</w:t>
      </w:r>
    </w:p>
    <w:p w14:paraId="6326C42F"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g) relação custo/preço; e</w:t>
      </w:r>
    </w:p>
    <w:p w14:paraId="614120B4"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h) emprego.</w:t>
      </w:r>
    </w:p>
    <w:p w14:paraId="1A908D3B"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7</w:t>
      </w:r>
      <w:r w:rsidRPr="00395593">
        <w:rPr>
          <w:rFonts w:ascii="Garamond" w:hAnsi="Garamond" w:cs="Calibri"/>
          <w:strike/>
          <w:color w:val="000000"/>
        </w:rPr>
        <w:t>º</w:t>
      </w:r>
      <w:r w:rsidRPr="00395593">
        <w:rPr>
          <w:rFonts w:ascii="Garamond" w:hAnsi="Garamond" w:cs="Calibri"/>
          <w:color w:val="000000"/>
        </w:rPr>
        <w:t xml:space="preserve"> A petição poderá ser complementada com indicadores obtidos a partir de amostras dos produtores nacionais (por exemplo, demonstrações de resultados, massa salarial etc.).</w:t>
      </w:r>
    </w:p>
    <w:p w14:paraId="3686E33B"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8</w:t>
      </w:r>
      <w:r w:rsidRPr="00395593">
        <w:rPr>
          <w:rFonts w:ascii="Garamond" w:hAnsi="Garamond" w:cs="Calibri"/>
          <w:strike/>
          <w:color w:val="000000"/>
        </w:rPr>
        <w:t>º</w:t>
      </w:r>
      <w:r w:rsidRPr="00395593">
        <w:rPr>
          <w:rFonts w:ascii="Garamond" w:hAnsi="Garamond" w:cs="Calibri"/>
          <w:color w:val="000000"/>
        </w:rPr>
        <w:t xml:space="preserve"> Serão aceitos ajustes para adequar ao período de investigação de dano os dados agregados disponíveis em periodicidade diferente à do referido período no caso de petição apresentada por indústria fragmentada. </w:t>
      </w:r>
    </w:p>
    <w:p w14:paraId="6FC81D41" w14:textId="77777777" w:rsidR="00E4045A" w:rsidRPr="00395593" w:rsidRDefault="00E4045A" w:rsidP="00E33E26">
      <w:pPr>
        <w:pStyle w:val="NormalWeb"/>
        <w:tabs>
          <w:tab w:val="left" w:pos="284"/>
        </w:tabs>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xml:space="preserve">Art. 122. Conforme previsto no § 6º do art. 32 do Decreto nº 8.058, de 2013, não sendo possível a identificação individualizada da produção do produto similar doméstico, os efeitos das importações objeto de </w:t>
      </w:r>
      <w:r w:rsidRPr="00395593">
        <w:rPr>
          <w:rFonts w:ascii="Garamond" w:hAnsi="Garamond" w:cs="Calibri"/>
          <w:i/>
          <w:color w:val="000000"/>
        </w:rPr>
        <w:t>dumping</w:t>
      </w:r>
      <w:r w:rsidRPr="00395593">
        <w:rPr>
          <w:rFonts w:ascii="Garamond" w:hAnsi="Garamond" w:cs="Calibri"/>
          <w:color w:val="000000"/>
        </w:rPr>
        <w:t xml:space="preserve"> serão determinados com base na produção do grupo ou gama de produtos que, definido da forma mais restrita possível, inclua o produto similar doméstico e para o qual os dados necessários possam ser apresentados.</w:t>
      </w:r>
    </w:p>
    <w:p w14:paraId="6B174A1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123. Caso a Subsecretaria de Defesa Comercial e Interesse Público julgue necessário, poderão ser adotados procedimentos de verificação em empresa, associações, institutos de pesquisa e quaisquer entidades que apresentem dados para instrução de petições de investigação de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protocoladas por indústria fragmentada.</w:t>
      </w:r>
    </w:p>
    <w:p w14:paraId="77830BFB" w14:textId="77777777" w:rsidR="00E4045A" w:rsidRPr="00395593" w:rsidRDefault="00E4045A" w:rsidP="00E33E26">
      <w:pPr>
        <w:pStyle w:val="TextosemFormatao"/>
        <w:ind w:firstLine="567"/>
        <w:jc w:val="both"/>
        <w:rPr>
          <w:rFonts w:ascii="Garamond" w:hAnsi="Garamond" w:cs="Calibri"/>
          <w:b/>
          <w:color w:val="000000"/>
          <w:sz w:val="24"/>
          <w:szCs w:val="24"/>
        </w:rPr>
      </w:pPr>
    </w:p>
    <w:p w14:paraId="796F871A"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XIV</w:t>
      </w:r>
    </w:p>
    <w:p w14:paraId="469EF871"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Dos possíveis outros fatores causadores de dano e da não atribuição</w:t>
      </w:r>
    </w:p>
    <w:p w14:paraId="5BADD49A" w14:textId="77777777" w:rsidR="00E4045A" w:rsidRPr="00395593" w:rsidRDefault="00E4045A" w:rsidP="00E33E26">
      <w:pPr>
        <w:pStyle w:val="TextosemFormatao"/>
        <w:ind w:firstLine="567"/>
        <w:jc w:val="both"/>
        <w:rPr>
          <w:rFonts w:ascii="Garamond" w:hAnsi="Garamond" w:cs="Calibri"/>
          <w:color w:val="000000"/>
          <w:sz w:val="24"/>
          <w:szCs w:val="24"/>
        </w:rPr>
      </w:pPr>
    </w:p>
    <w:p w14:paraId="36C1F1B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124.</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 xml:space="preserve">Deve-se indicar quaisquer outros fatores que possam causar o dano, tais como: </w:t>
      </w:r>
    </w:p>
    <w:p w14:paraId="49629DD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o volume e preço das demais importações brasileiras; </w:t>
      </w:r>
    </w:p>
    <w:p w14:paraId="674D5EC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o impacto de eventuais processos de liberalização das importações sobre os preços domésticos; </w:t>
      </w:r>
    </w:p>
    <w:p w14:paraId="1E3AAC5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contração na demanda ou mudanças nos padrões de consumo; </w:t>
      </w:r>
    </w:p>
    <w:p w14:paraId="4BF1BB6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práticas restritivas ao comércio de produtores domésticos e estrangeiros e a concorrência entre eles;</w:t>
      </w:r>
    </w:p>
    <w:p w14:paraId="13B0252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 - progresso tecnológico; </w:t>
      </w:r>
    </w:p>
    <w:p w14:paraId="678F34B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VI - desempenho exportador; </w:t>
      </w:r>
    </w:p>
    <w:p w14:paraId="7BE65CF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VII - produtividade da indústria doméstica; </w:t>
      </w:r>
    </w:p>
    <w:p w14:paraId="4F89860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VIII - consumo cativo; e</w:t>
      </w:r>
    </w:p>
    <w:p w14:paraId="69E7EF7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IX – importações ou revenda de produto importado pela indústria doméstica.</w:t>
      </w:r>
    </w:p>
    <w:p w14:paraId="01DBA804" w14:textId="77777777" w:rsidR="00E4045A" w:rsidRPr="00395593" w:rsidRDefault="00E4045A" w:rsidP="00E33E26">
      <w:pPr>
        <w:pStyle w:val="TextosemFormatao"/>
        <w:ind w:firstLine="567"/>
        <w:jc w:val="both"/>
        <w:rPr>
          <w:rFonts w:ascii="Garamond" w:hAnsi="Garamond" w:cs="Calibri"/>
          <w:color w:val="000000"/>
          <w:sz w:val="24"/>
          <w:szCs w:val="24"/>
        </w:rPr>
      </w:pPr>
    </w:p>
    <w:p w14:paraId="62C962DD"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XV</w:t>
      </w:r>
    </w:p>
    <w:p w14:paraId="62E2A814"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Das disposições finais</w:t>
      </w:r>
    </w:p>
    <w:p w14:paraId="2C56F869" w14:textId="77777777" w:rsidR="00E4045A" w:rsidRPr="00395593" w:rsidRDefault="00E4045A" w:rsidP="0007519C">
      <w:pPr>
        <w:spacing w:after="0" w:line="240" w:lineRule="auto"/>
        <w:jc w:val="center"/>
        <w:rPr>
          <w:rFonts w:ascii="Garamond" w:hAnsi="Garamond" w:cs="Calibri"/>
          <w:b/>
          <w:color w:val="000000"/>
          <w:sz w:val="24"/>
          <w:szCs w:val="24"/>
        </w:rPr>
      </w:pPr>
    </w:p>
    <w:p w14:paraId="1F84924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125. </w:t>
      </w:r>
      <w:r w:rsidRPr="00395593">
        <w:rPr>
          <w:rFonts w:ascii="Garamond" w:hAnsi="Garamond" w:cs="Calibri"/>
          <w:color w:val="000000"/>
          <w:sz w:val="24"/>
          <w:szCs w:val="24"/>
          <w:shd w:val="clear" w:color="auto" w:fill="FFFFFF"/>
        </w:rPr>
        <w:t xml:space="preserve">A normas sobre a representação legal de partes interessadas deverão constar de ato normativo específico. </w:t>
      </w:r>
    </w:p>
    <w:p w14:paraId="3BEBDE12" w14:textId="77777777" w:rsidR="00E4045A" w:rsidRPr="00395593" w:rsidRDefault="00E4045A" w:rsidP="00E33E26">
      <w:pPr>
        <w:pStyle w:val="TextosemFormatao"/>
        <w:tabs>
          <w:tab w:val="left" w:pos="3855"/>
        </w:tabs>
        <w:ind w:firstLine="567"/>
        <w:jc w:val="both"/>
        <w:rPr>
          <w:rFonts w:ascii="Garamond" w:hAnsi="Garamond" w:cs="Calibri"/>
          <w:color w:val="000000"/>
          <w:sz w:val="24"/>
          <w:szCs w:val="24"/>
        </w:rPr>
      </w:pPr>
    </w:p>
    <w:p w14:paraId="62B32830"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CAPÍTULO III</w:t>
      </w:r>
    </w:p>
    <w:p w14:paraId="0E199680"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DAS PETIÇÕES DE REVISÃO DE FINAL DE PERÍODO</w:t>
      </w:r>
    </w:p>
    <w:p w14:paraId="06AF76E8"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w:t>
      </w:r>
    </w:p>
    <w:p w14:paraId="147163EC"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Das instruções gerais</w:t>
      </w:r>
    </w:p>
    <w:p w14:paraId="5D130CB4" w14:textId="77777777" w:rsidR="00E4045A" w:rsidRPr="00395593" w:rsidRDefault="00E4045A" w:rsidP="00E33E26">
      <w:pPr>
        <w:pStyle w:val="TextosemFormatao"/>
        <w:ind w:firstLine="567"/>
        <w:jc w:val="both"/>
        <w:rPr>
          <w:rFonts w:ascii="Garamond" w:hAnsi="Garamond" w:cs="Calibri"/>
          <w:color w:val="000000"/>
          <w:sz w:val="24"/>
          <w:szCs w:val="24"/>
        </w:rPr>
      </w:pPr>
    </w:p>
    <w:p w14:paraId="3EDB498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126. As petições de revisão de final de período de que trata o art. 106 do Decreto n</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8.058, de 2013, protocoladas a partir da publicação desta Portaria deverão ser elaboradas utilizando-se exclusivamente do formato presente neste instrumento normativo. </w:t>
      </w:r>
    </w:p>
    <w:p w14:paraId="7DA0AEB5" w14:textId="77777777" w:rsidR="00E4045A" w:rsidRPr="00395593" w:rsidRDefault="00E4045A" w:rsidP="00E33E26">
      <w:pPr>
        <w:ind w:firstLine="567"/>
        <w:jc w:val="both"/>
        <w:rPr>
          <w:rFonts w:ascii="Garamond" w:eastAsia="MS Gothic" w:hAnsi="Garamond" w:cs="Calibri"/>
          <w:color w:val="000000"/>
          <w:sz w:val="24"/>
          <w:szCs w:val="24"/>
        </w:rPr>
      </w:pPr>
      <w:r w:rsidRPr="00395593">
        <w:rPr>
          <w:rFonts w:ascii="Garamond" w:hAnsi="Garamond" w:cs="Calibri"/>
          <w:color w:val="000000"/>
          <w:sz w:val="24"/>
          <w:szCs w:val="24"/>
        </w:rPr>
        <w:t xml:space="preserve">Art. 127. </w:t>
      </w:r>
      <w:r w:rsidRPr="00395593">
        <w:rPr>
          <w:rFonts w:ascii="Garamond" w:eastAsia="MS Gothic" w:hAnsi="Garamond" w:cs="Calibri"/>
          <w:color w:val="000000"/>
          <w:sz w:val="24"/>
          <w:szCs w:val="24"/>
        </w:rPr>
        <w:t xml:space="preserve">A revisão de final de período deverá ser solicitada </w:t>
      </w:r>
      <w:r w:rsidRPr="00395593">
        <w:rPr>
          <w:rFonts w:ascii="Garamond" w:hAnsi="Garamond" w:cs="Calibri"/>
          <w:color w:val="000000"/>
          <w:sz w:val="24"/>
          <w:szCs w:val="24"/>
        </w:rPr>
        <w:t xml:space="preserve">pela indústria doméstica ou em seu nome, </w:t>
      </w:r>
      <w:r w:rsidRPr="00395593">
        <w:rPr>
          <w:rFonts w:ascii="Garamond" w:eastAsia="MS Gothic" w:hAnsi="Garamond" w:cs="Calibri"/>
          <w:color w:val="000000"/>
          <w:sz w:val="24"/>
          <w:szCs w:val="24"/>
        </w:rPr>
        <w:t xml:space="preserve">por meio de petição </w:t>
      </w:r>
      <w:r w:rsidRPr="00395593">
        <w:rPr>
          <w:rFonts w:ascii="Garamond" w:hAnsi="Garamond" w:cs="Calibri"/>
          <w:color w:val="000000"/>
          <w:sz w:val="24"/>
          <w:szCs w:val="24"/>
        </w:rPr>
        <w:t xml:space="preserve">escrita, devidamente fundamentada, acompanhada de indícios de que a extinção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levaria muito provavelmente à continuação ou à retomada do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e do dano dele decorrente.</w:t>
      </w:r>
    </w:p>
    <w:p w14:paraId="185B60D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128. Poderão ser indeferidas petições que não contenham todas as informações solicitadas nesta Portaria. </w:t>
      </w:r>
    </w:p>
    <w:p w14:paraId="049E36E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129. A SDCOM poderá conduzir verificação(ões) </w:t>
      </w:r>
      <w:r w:rsidRPr="00395593">
        <w:rPr>
          <w:rFonts w:ascii="Garamond" w:hAnsi="Garamond" w:cs="Calibri"/>
          <w:i/>
          <w:color w:val="000000"/>
          <w:sz w:val="24"/>
          <w:szCs w:val="24"/>
        </w:rPr>
        <w:t>in loco</w:t>
      </w:r>
      <w:r w:rsidRPr="00395593">
        <w:rPr>
          <w:rFonts w:ascii="Garamond" w:hAnsi="Garamond" w:cs="Calibri"/>
          <w:color w:val="000000"/>
          <w:sz w:val="24"/>
          <w:szCs w:val="24"/>
        </w:rPr>
        <w:t xml:space="preserve"> para examinar os registros da(s) empresa(s) e comprovar as informações fornecidas. Para esse fim, documentos auxiliares utilizados na elaboração da petição devem ser preservados.</w:t>
      </w:r>
    </w:p>
    <w:p w14:paraId="44ADE56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130. Todas as informações apresentadas deverão vir acompanhadas de comprovação, de justificativa e das fontes e metodologias utilizadas.</w:t>
      </w:r>
    </w:p>
    <w:p w14:paraId="5E45BEC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131. Para o preenchimento dos apêndices desta Portaria deverão ser utilizadas as planilhas disponibilizadas no sítio eletrônico deste Ministério. </w:t>
      </w:r>
    </w:p>
    <w:p w14:paraId="34B50B3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132. As disposições desta Portaria aplicam-se igualmente às revisões de final de período de compromisso de preço.</w:t>
      </w:r>
    </w:p>
    <w:p w14:paraId="207C5A4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eastAsia="Times New Roman" w:hAnsi="Garamond" w:cs="Calibri"/>
          <w:color w:val="000000"/>
          <w:sz w:val="24"/>
          <w:szCs w:val="24"/>
          <w:lang w:eastAsia="pt-BR"/>
        </w:rPr>
        <w:t xml:space="preserve">Art. 133. </w:t>
      </w:r>
      <w:r w:rsidRPr="00395593">
        <w:rPr>
          <w:rFonts w:ascii="Garamond" w:hAnsi="Garamond" w:cs="Calibri"/>
          <w:color w:val="000000"/>
          <w:sz w:val="24"/>
          <w:szCs w:val="24"/>
        </w:rPr>
        <w:t>No caso de indústrias fragmentadas, conforme previsto no art. 2</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do Decreto n</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9.107, de 2017, as petições deverão observar o disposto na Seção XII deste Capítulo.</w:t>
      </w:r>
    </w:p>
    <w:p w14:paraId="5D9F5391"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1</w:t>
      </w:r>
      <w:r w:rsidRPr="00395593">
        <w:rPr>
          <w:rFonts w:ascii="Garamond" w:hAnsi="Garamond" w:cs="Calibri"/>
          <w:strike/>
          <w:color w:val="000000"/>
        </w:rPr>
        <w:t>º</w:t>
      </w:r>
      <w:r w:rsidRPr="00395593">
        <w:rPr>
          <w:rFonts w:ascii="Garamond" w:hAnsi="Garamond" w:cs="Calibri"/>
          <w:color w:val="000000"/>
        </w:rPr>
        <w:t xml:space="preserve"> Para fins de petição de revisão de final de período considera-se indústria fragmentada aquela que envolve número elevado de produtores domésticos. </w:t>
      </w:r>
    </w:p>
    <w:p w14:paraId="4455C75B"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2</w:t>
      </w:r>
      <w:r w:rsidRPr="00395593">
        <w:rPr>
          <w:rFonts w:ascii="Garamond" w:hAnsi="Garamond" w:cs="Calibri"/>
          <w:strike/>
          <w:color w:val="000000"/>
        </w:rPr>
        <w:t>º</w:t>
      </w:r>
      <w:r w:rsidRPr="00395593">
        <w:rPr>
          <w:rFonts w:ascii="Garamond" w:hAnsi="Garamond" w:cs="Calibri"/>
          <w:color w:val="000000"/>
        </w:rPr>
        <w:t xml:space="preserve"> Para usufruir de prazos específicos definidos pela Subsecretaria de Defesa Comercial e Interesse Público, conforme previsto no art. 1</w:t>
      </w:r>
      <w:r w:rsidRPr="00395593">
        <w:rPr>
          <w:rFonts w:ascii="Garamond" w:hAnsi="Garamond" w:cs="Calibri"/>
          <w:color w:val="000000"/>
          <w:u w:val="single"/>
          <w:vertAlign w:val="superscript"/>
        </w:rPr>
        <w:t>o</w:t>
      </w:r>
      <w:r w:rsidRPr="00395593">
        <w:rPr>
          <w:rFonts w:ascii="Garamond" w:hAnsi="Garamond" w:cs="Calibri"/>
          <w:color w:val="000000"/>
        </w:rPr>
        <w:t xml:space="preserve"> do Decreto n</w:t>
      </w:r>
      <w:r w:rsidRPr="00395593">
        <w:rPr>
          <w:rFonts w:ascii="Garamond" w:hAnsi="Garamond" w:cs="Calibri"/>
          <w:color w:val="000000"/>
          <w:u w:val="single"/>
          <w:vertAlign w:val="superscript"/>
        </w:rPr>
        <w:t>o</w:t>
      </w:r>
      <w:r w:rsidRPr="00395593">
        <w:rPr>
          <w:rFonts w:ascii="Garamond" w:hAnsi="Garamond" w:cs="Calibri"/>
          <w:color w:val="000000"/>
        </w:rPr>
        <w:t xml:space="preserve"> 9.107, de 2017, apenas serão conhecidas petições apresentadas por indústrias fragmentadas, ou em seu nome, cuja habilitação tenha sido deferida pela Subsecretaria de Defesa Comercial e Interesse Público previamente ao protocolo da petição de investigação, em conformidade com o previsto no § 2</w:t>
      </w:r>
      <w:r w:rsidRPr="00395593">
        <w:rPr>
          <w:rFonts w:ascii="Garamond" w:hAnsi="Garamond" w:cs="Calibri"/>
          <w:color w:val="000000"/>
          <w:u w:val="single"/>
          <w:vertAlign w:val="superscript"/>
        </w:rPr>
        <w:t>o</w:t>
      </w:r>
      <w:r w:rsidRPr="00395593">
        <w:rPr>
          <w:rFonts w:ascii="Garamond" w:hAnsi="Garamond" w:cs="Calibri"/>
          <w:color w:val="000000"/>
        </w:rPr>
        <w:t xml:space="preserve"> do art. 1</w:t>
      </w:r>
      <w:r w:rsidRPr="00395593">
        <w:rPr>
          <w:rFonts w:ascii="Garamond" w:hAnsi="Garamond" w:cs="Calibri"/>
          <w:color w:val="000000"/>
          <w:u w:val="single"/>
          <w:vertAlign w:val="superscript"/>
        </w:rPr>
        <w:t>o</w:t>
      </w:r>
      <w:r w:rsidRPr="00395593">
        <w:rPr>
          <w:rFonts w:ascii="Garamond" w:hAnsi="Garamond" w:cs="Calibri"/>
          <w:color w:val="000000"/>
        </w:rPr>
        <w:t xml:space="preserve"> do Decreto n</w:t>
      </w:r>
      <w:r w:rsidRPr="00395593">
        <w:rPr>
          <w:rFonts w:ascii="Garamond" w:hAnsi="Garamond" w:cs="Calibri"/>
          <w:color w:val="000000"/>
          <w:u w:val="single"/>
          <w:vertAlign w:val="superscript"/>
        </w:rPr>
        <w:t>o</w:t>
      </w:r>
      <w:r w:rsidRPr="00395593">
        <w:rPr>
          <w:rFonts w:ascii="Garamond" w:hAnsi="Garamond" w:cs="Calibri"/>
          <w:color w:val="000000"/>
        </w:rPr>
        <w:t xml:space="preserve"> 9.107, de 2017, e com o estabelecido em ato específico do Secretário de Comércio Exterior. </w:t>
      </w:r>
    </w:p>
    <w:p w14:paraId="29CDB43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3</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Caso não tenha sido solicitada habilitação como indústria fragmentada ou a solicitação de habilitação tenha sido indeferida pela Subsecretaria de Defesa Comercial e Interesse Público, a petição de investigação deverá ser elaborada utilizando-se exclusivamente do formato presente na Seção XI deste Capítulo, considerando a totalidade das planilhas disponibilizadas no sítio eletrônico deste Ministério.</w:t>
      </w:r>
    </w:p>
    <w:p w14:paraId="5386963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Art.134. Dúvidas e solicitações de esclarecimentos devem ser encaminhadas à SDCOM por meio do endereço eletrônico </w:t>
      </w:r>
      <w:hyperlink r:id="rId229" w:history="1">
        <w:r w:rsidRPr="00395593">
          <w:rPr>
            <w:rStyle w:val="Hyperlink"/>
            <w:rFonts w:ascii="Garamond" w:hAnsi="Garamond" w:cs="Calibri"/>
            <w:color w:val="000000"/>
            <w:sz w:val="24"/>
            <w:szCs w:val="24"/>
          </w:rPr>
          <w:t>sdcom@economia.gov.br</w:t>
        </w:r>
      </w:hyperlink>
      <w:r w:rsidRPr="00395593">
        <w:rPr>
          <w:rFonts w:ascii="Garamond" w:hAnsi="Garamond" w:cs="Calibri"/>
          <w:color w:val="000000"/>
          <w:sz w:val="24"/>
          <w:szCs w:val="24"/>
        </w:rPr>
        <w:t>.</w:t>
      </w:r>
    </w:p>
    <w:p w14:paraId="6D3E8537" w14:textId="77777777" w:rsidR="00E4045A" w:rsidRPr="00395593" w:rsidRDefault="00E4045A" w:rsidP="00E33E26">
      <w:pPr>
        <w:pStyle w:val="TextosemFormatao"/>
        <w:ind w:firstLine="567"/>
        <w:jc w:val="both"/>
        <w:rPr>
          <w:rFonts w:ascii="Garamond" w:hAnsi="Garamond" w:cs="Calibri"/>
          <w:color w:val="000000"/>
          <w:sz w:val="24"/>
          <w:szCs w:val="24"/>
        </w:rPr>
      </w:pPr>
    </w:p>
    <w:p w14:paraId="12896DC5"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II</w:t>
      </w:r>
    </w:p>
    <w:p w14:paraId="3D44C980"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 xml:space="preserve">Do período de análise da petição de revisão </w:t>
      </w:r>
    </w:p>
    <w:p w14:paraId="12F3106A" w14:textId="77777777" w:rsidR="00E4045A" w:rsidRPr="00395593" w:rsidRDefault="00E4045A" w:rsidP="0007519C">
      <w:pPr>
        <w:spacing w:after="0" w:line="240" w:lineRule="auto"/>
        <w:jc w:val="center"/>
        <w:rPr>
          <w:rFonts w:ascii="Garamond" w:hAnsi="Garamond" w:cs="Calibri"/>
          <w:b/>
          <w:color w:val="000000"/>
          <w:sz w:val="24"/>
          <w:szCs w:val="24"/>
        </w:rPr>
      </w:pPr>
    </w:p>
    <w:p w14:paraId="11C96EFA"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135.</w:t>
      </w:r>
      <w:r w:rsidRPr="00395593" w:rsidDel="00262C62">
        <w:rPr>
          <w:rFonts w:ascii="Garamond" w:hAnsi="Garamond" w:cs="Calibri"/>
          <w:color w:val="000000"/>
          <w:sz w:val="24"/>
          <w:szCs w:val="24"/>
        </w:rPr>
        <w:t xml:space="preserve"> </w:t>
      </w:r>
      <w:r w:rsidRPr="00395593">
        <w:rPr>
          <w:rFonts w:ascii="Garamond" w:hAnsi="Garamond" w:cs="Calibri"/>
          <w:color w:val="000000"/>
          <w:sz w:val="24"/>
          <w:szCs w:val="24"/>
        </w:rPr>
        <w:t xml:space="preserve">A petição de revisão de final de período deverá ser protocolada, no mínimo, quatro meses antes da data do término do período de vigência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sob pena de a petição ser considerada intempestiva.</w:t>
      </w:r>
    </w:p>
    <w:p w14:paraId="77B336B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136. O período de investigação de continuação ou retomada do dano compreenderá 60 (sessenta) meses, divididos em cinco intervalos de 12 (doze) meses, sendo que o intervalo mais recente (P5) deverá necessariamente coincidir com o período de investigação de continuação ou retomada do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e os outros quatro intervalos compreenderão os doze meses anteriores aos primeiros e assim sucessivamente até completar os cinco períodos (P4, P3, P2 e P1). </w:t>
      </w:r>
    </w:p>
    <w:p w14:paraId="31464E9D"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137. O período de investigação de continuação ou retomada do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compreenderá 12 (doze) meses, encerrados em março, junho, setembro ou dezembro.</w:t>
      </w:r>
    </w:p>
    <w:p w14:paraId="7142B1ED" w14:textId="77777777" w:rsidR="00E4045A" w:rsidRPr="00395593" w:rsidRDefault="00E4045A" w:rsidP="0007519C">
      <w:pPr>
        <w:spacing w:after="0" w:line="240" w:lineRule="auto"/>
        <w:jc w:val="center"/>
        <w:rPr>
          <w:rFonts w:ascii="Garamond" w:hAnsi="Garamond" w:cs="Calibri"/>
          <w:color w:val="000000"/>
          <w:sz w:val="24"/>
          <w:szCs w:val="24"/>
        </w:rPr>
      </w:pPr>
    </w:p>
    <w:p w14:paraId="26B0C996"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III</w:t>
      </w:r>
    </w:p>
    <w:p w14:paraId="673235F7"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produto objeto da revisão</w:t>
      </w:r>
    </w:p>
    <w:p w14:paraId="0C4D2099" w14:textId="77777777" w:rsidR="00E4045A" w:rsidRPr="00395593" w:rsidRDefault="00E4045A" w:rsidP="0007519C">
      <w:pPr>
        <w:spacing w:after="0" w:line="240" w:lineRule="auto"/>
        <w:jc w:val="center"/>
        <w:rPr>
          <w:rFonts w:ascii="Garamond" w:hAnsi="Garamond" w:cs="Calibri"/>
          <w:color w:val="000000"/>
          <w:sz w:val="24"/>
          <w:szCs w:val="24"/>
        </w:rPr>
      </w:pPr>
    </w:p>
    <w:p w14:paraId="05E83539"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138.</w:t>
      </w:r>
      <w:r w:rsidRPr="00395593" w:rsidDel="00421E93">
        <w:rPr>
          <w:rFonts w:ascii="Garamond" w:hAnsi="Garamond" w:cs="Calibri"/>
          <w:color w:val="000000"/>
          <w:sz w:val="24"/>
          <w:szCs w:val="24"/>
        </w:rPr>
        <w:t xml:space="preserve"> </w:t>
      </w:r>
      <w:r w:rsidRPr="00395593">
        <w:rPr>
          <w:rFonts w:ascii="Garamond" w:hAnsi="Garamond" w:cs="Calibri"/>
          <w:color w:val="000000"/>
          <w:sz w:val="24"/>
          <w:szCs w:val="24"/>
        </w:rPr>
        <w:t>Deve-se descrever o produto objeto da revisão, indicando o(s) item(ns) da Nomenclatura Comum do MERCOSUL (NCM) em que se classifica o produto, de acordo com o definido no ato que aplicou ou prorrogou o direito.</w:t>
      </w:r>
    </w:p>
    <w:p w14:paraId="384E828E"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Parágrafo único. Indicar o tratamento tarifário durante o período de investigação de dano. </w:t>
      </w:r>
    </w:p>
    <w:p w14:paraId="36F359ED"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139. Deve-se indicar o número do ato decisório que aplicou ou prorrogou o direito </w:t>
      </w:r>
      <w:r w:rsidRPr="00395593">
        <w:rPr>
          <w:rFonts w:ascii="Garamond" w:hAnsi="Garamond" w:cs="Calibri"/>
          <w:i/>
          <w:iCs/>
          <w:color w:val="000000"/>
          <w:sz w:val="24"/>
          <w:szCs w:val="24"/>
        </w:rPr>
        <w:t>antidumping</w:t>
      </w:r>
      <w:r w:rsidRPr="00395593">
        <w:rPr>
          <w:rFonts w:ascii="Garamond" w:hAnsi="Garamond" w:cs="Calibri"/>
          <w:color w:val="000000"/>
          <w:sz w:val="24"/>
          <w:szCs w:val="24"/>
        </w:rPr>
        <w:t xml:space="preserve"> nas exportações do produto objeto da revisão.</w:t>
      </w:r>
    </w:p>
    <w:p w14:paraId="30CDB8DB" w14:textId="77777777" w:rsidR="00E4045A" w:rsidRPr="00395593" w:rsidRDefault="00E4045A" w:rsidP="0007519C">
      <w:pPr>
        <w:spacing w:after="0" w:line="240" w:lineRule="auto"/>
        <w:jc w:val="center"/>
        <w:rPr>
          <w:rFonts w:ascii="Garamond" w:hAnsi="Garamond" w:cs="Calibri"/>
          <w:color w:val="000000"/>
          <w:sz w:val="24"/>
          <w:szCs w:val="24"/>
        </w:rPr>
      </w:pPr>
    </w:p>
    <w:p w14:paraId="5F3988A4"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IV</w:t>
      </w:r>
    </w:p>
    <w:p w14:paraId="3D3BE8AD"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produto similar produzido no Brasil</w:t>
      </w:r>
    </w:p>
    <w:p w14:paraId="3E59FA4E" w14:textId="77777777" w:rsidR="00E4045A" w:rsidRPr="00395593" w:rsidRDefault="00E4045A" w:rsidP="0007519C">
      <w:pPr>
        <w:spacing w:after="0" w:line="240" w:lineRule="auto"/>
        <w:jc w:val="center"/>
        <w:rPr>
          <w:rFonts w:ascii="Garamond" w:hAnsi="Garamond" w:cs="Calibri"/>
          <w:color w:val="000000"/>
          <w:sz w:val="24"/>
          <w:szCs w:val="24"/>
        </w:rPr>
      </w:pPr>
    </w:p>
    <w:p w14:paraId="1CE46ACA"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140.</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Caso a petição seja apresentada em nome de mais de uma empresa, as informações sobre o produto similar produzido no Brasil deverão ser fornecidas individualmente por cada uma delas.</w:t>
      </w:r>
    </w:p>
    <w:p w14:paraId="01E182CE"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141.</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descrever pormenorizadamente o produto similar produzido no Brasil, especificando, conforme se aplique: matéria(s)-prima(s); composição química; modelo; dimensão; capacidade; potência, forma de apresentação, usos e aplicações e canais de distribuição. Deve-se informar outras características consideradas relevantes com vistas à identificação do produto.</w:t>
      </w:r>
    </w:p>
    <w:p w14:paraId="4363CDE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142.</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descrever detalhadamente o processo produtivo do produto similar produzido no Brasil, especificando: matéria(s)-prima(s), material(is) secundário(s) e utilidades. Deve-se apresentar fluxograma descrevendo a rota tecnológica utilizada, as principais etapas do processo e os principais equipamentos utilizados.</w:t>
      </w:r>
    </w:p>
    <w:p w14:paraId="66DE480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143.</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apresentar, caso disponível, literatura, catálogo, material de propaganda ou outro documento que forneça informações técnicas sobre o produto similar produzido no Brasil.</w:t>
      </w:r>
    </w:p>
    <w:p w14:paraId="787DCE6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144.</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Deve-se informar se o produto similar produzido no Brasil está sujeito a normas ou regulamentos técnicos. </w:t>
      </w:r>
    </w:p>
    <w:p w14:paraId="0D63C5B9"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Caso o produto similar doméstico esteja sujeito a normas ou regulamentos técnicos, deve-se informar a instituição normalizadora ou reguladora e fornecer lista exaustiva das normas/regulamentos em questão.</w:t>
      </w:r>
    </w:p>
    <w:p w14:paraId="47A4F331"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Na hipótese de não ser possível o fornecimento de lista exaustiva de tais normas ou regulamentos técnicos, tal circunstância deverá ser devidamente justificada.</w:t>
      </w:r>
    </w:p>
    <w:p w14:paraId="1E12865B"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145.</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descrever detalhadamente o sistema de codificação de produto (CODPROD) utilizado pela empresa no curso normal de suas operações, inclusive toda variedade de prefixos, sufixos e outras notações que identifiquem os diferentes tipos/modelos de produto. Deve-se apresentar lista completa de códigos, acompanhada de descrição dos elementos que os compõem e, se for o caso, dos respectivos nomes comerciais.</w:t>
      </w:r>
    </w:p>
    <w:p w14:paraId="47B9059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146.</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O código de identificação do produto (CODIP) será representado por uma combinação alfanumérica que reflita as características do produto. A combinação alfanumérica deverá refletir, em ordem decrescente, a importância de cada característica do produto, começando pela mais relevante.</w:t>
      </w:r>
    </w:p>
    <w:p w14:paraId="20180BA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147.</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esclarecer se o sistema de codificação do produto utilizado pela empresa no curso normal de suas operações contempla os principais elementos que influenciam o custo de produção e o preço de venda, especificando-os.</w:t>
      </w:r>
    </w:p>
    <w:p w14:paraId="55830BE9"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Caso o CODPROD utilizado pela empresa no curso normal de suas operações não contemple os principais elementos que influenciam o custo de produção e o preço de venda, deve-se sugerir a composição de CODIP que permita sua identificação.</w:t>
      </w:r>
    </w:p>
    <w:p w14:paraId="1F6CBD1E"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Deve-se observar que essas informações são relevantes, pois os dados a serem fornecidos com vistas à análise da petição deverão ser apresentados considerando o CODPROD ou, se for o caso, o CODIP sugerido. Além disso, caso iniciada a investigação, serão solicitados aos produtores estrangeiros dados pormenorizados por CODIP, a ser elaborado com base nessas informações.</w:t>
      </w:r>
    </w:p>
    <w:p w14:paraId="299FE8B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3</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Caso factível, o CODIP pode ser elaborado considerando grupos de CODPROD. Neste caso, deverão ser informados os critérios que levaram a esse agrupamento e apresentada tabela relacionando os códigos CODPROD e CODIP.</w:t>
      </w:r>
    </w:p>
    <w:p w14:paraId="76AF6C86" w14:textId="77777777" w:rsidR="00E4045A" w:rsidRPr="00395593" w:rsidRDefault="00E4045A" w:rsidP="00E33E26">
      <w:pPr>
        <w:pStyle w:val="TextosemFormatao"/>
        <w:ind w:firstLine="567"/>
        <w:jc w:val="both"/>
        <w:rPr>
          <w:rFonts w:ascii="Garamond" w:hAnsi="Garamond" w:cs="Calibri"/>
          <w:b/>
          <w:color w:val="000000"/>
          <w:sz w:val="24"/>
          <w:szCs w:val="24"/>
        </w:rPr>
      </w:pPr>
    </w:p>
    <w:p w14:paraId="42E34BC9"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V</w:t>
      </w:r>
    </w:p>
    <w:p w14:paraId="24DF48A5"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 indústria doméstica e da representatividade</w:t>
      </w:r>
    </w:p>
    <w:p w14:paraId="24F2A7A0" w14:textId="77777777" w:rsidR="00E4045A" w:rsidRPr="00395593" w:rsidRDefault="00E4045A" w:rsidP="00E33E26">
      <w:pPr>
        <w:pStyle w:val="TextosemFormatao"/>
        <w:ind w:firstLine="567"/>
        <w:jc w:val="both"/>
        <w:rPr>
          <w:rFonts w:ascii="Garamond" w:hAnsi="Garamond" w:cs="Calibri"/>
          <w:color w:val="000000"/>
          <w:sz w:val="24"/>
          <w:szCs w:val="24"/>
        </w:rPr>
      </w:pPr>
    </w:p>
    <w:p w14:paraId="0C157C1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148.</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fornecer as informações constantes do Apêndice I relativas a cada período, tal como definido no art. 136.</w:t>
      </w:r>
      <w:r w:rsidRPr="00395593" w:rsidDel="008A058F">
        <w:rPr>
          <w:rFonts w:ascii="Garamond" w:hAnsi="Garamond" w:cs="Calibri"/>
          <w:color w:val="000000"/>
          <w:sz w:val="24"/>
          <w:szCs w:val="24"/>
        </w:rPr>
        <w:t xml:space="preserve"> </w:t>
      </w:r>
    </w:p>
    <w:p w14:paraId="2F47605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149.</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Deve-se esclarecer a unidade utilizada para expressar o volume de produção (unidades, toneladas, peças, litros etc). </w:t>
      </w:r>
    </w:p>
    <w:p w14:paraId="6046DFF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150.</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No caso de a petição ser apresentada por entidade de classe, informar a razão social e endereço das empresas que forneceram dados para fins da análise de continuação ou retomada do dano (coluna A do Apêndice I).</w:t>
      </w:r>
    </w:p>
    <w:p w14:paraId="1A0AC6B9" w14:textId="77777777" w:rsidR="00E4045A" w:rsidRPr="00395593" w:rsidRDefault="00E4045A" w:rsidP="00E33E26">
      <w:pPr>
        <w:pStyle w:val="TextosemFormatao"/>
        <w:ind w:firstLine="567"/>
        <w:jc w:val="both"/>
        <w:rPr>
          <w:rFonts w:ascii="Garamond" w:hAnsi="Garamond" w:cs="Calibri"/>
          <w:color w:val="000000"/>
          <w:sz w:val="24"/>
          <w:szCs w:val="24"/>
        </w:rPr>
      </w:pPr>
    </w:p>
    <w:p w14:paraId="2A765F54"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VI</w:t>
      </w:r>
    </w:p>
    <w:p w14:paraId="1A33F53B"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 xml:space="preserve">Das importações </w:t>
      </w:r>
    </w:p>
    <w:p w14:paraId="5653987F" w14:textId="77777777" w:rsidR="00E4045A" w:rsidRPr="00395593" w:rsidRDefault="00E4045A" w:rsidP="00E33E26">
      <w:pPr>
        <w:pStyle w:val="TextosemFormatao"/>
        <w:ind w:firstLine="567"/>
        <w:jc w:val="both"/>
        <w:rPr>
          <w:rFonts w:ascii="Garamond" w:hAnsi="Garamond" w:cs="Calibri"/>
          <w:color w:val="000000"/>
          <w:sz w:val="24"/>
          <w:szCs w:val="24"/>
        </w:rPr>
      </w:pPr>
    </w:p>
    <w:p w14:paraId="600E259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151. Deve-se fornecer a evolução das importações do produto objeto da revisão e do produto similar das outras origens, em quantidade e em valor, para o período de investigação de continuação ou retomada do dano, por país exportador.</w:t>
      </w:r>
    </w:p>
    <w:p w14:paraId="19C4E973" w14:textId="77777777" w:rsidR="00E4045A" w:rsidRPr="00395593" w:rsidRDefault="00E4045A" w:rsidP="00E33E26">
      <w:pPr>
        <w:pStyle w:val="TextosemFormatao"/>
        <w:ind w:firstLine="567"/>
        <w:jc w:val="both"/>
        <w:rPr>
          <w:rFonts w:ascii="Garamond" w:hAnsi="Garamond" w:cs="Calibri"/>
          <w:color w:val="000000"/>
          <w:sz w:val="24"/>
          <w:szCs w:val="24"/>
        </w:rPr>
      </w:pPr>
    </w:p>
    <w:p w14:paraId="323CA138"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VII</w:t>
      </w:r>
    </w:p>
    <w:p w14:paraId="5B019CE9"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mercado brasileiro</w:t>
      </w:r>
    </w:p>
    <w:p w14:paraId="67ED7FFE" w14:textId="77777777" w:rsidR="00E4045A" w:rsidRPr="00395593" w:rsidRDefault="00E4045A" w:rsidP="0007519C">
      <w:pPr>
        <w:spacing w:after="0" w:line="240" w:lineRule="auto"/>
        <w:jc w:val="center"/>
        <w:rPr>
          <w:rFonts w:ascii="Garamond" w:hAnsi="Garamond" w:cs="Calibri"/>
          <w:color w:val="000000"/>
          <w:sz w:val="24"/>
          <w:szCs w:val="24"/>
        </w:rPr>
      </w:pPr>
    </w:p>
    <w:p w14:paraId="1D541BF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152.</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Deve-se informar as formas de concorrência predominantes neste mercado (preço, diferenciação do produto, assistência técnica, rede de distribuição, propaganda etc). </w:t>
      </w:r>
    </w:p>
    <w:p w14:paraId="3EC1099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153.</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No caso do setor agropecuário, descrever as políticas governamentais de preços aplicadas ao produto. </w:t>
      </w:r>
    </w:p>
    <w:p w14:paraId="0E9A27F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154. Deve-se informar os motivos que possam determinar a opção preferencial dos consumidores nacionais pelo produto importado, tais como: preço, qualidade, prazo de entrega, prazo para pagamento, evolução tecnológica, dentre outras (a serem especificadas).</w:t>
      </w:r>
    </w:p>
    <w:p w14:paraId="4AFD2D50"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155.</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esclarecer se durante o período de análise de continuação ou retomada do dano houve mudanças no padrão de consumo no mercado brasileiro do produto importado.</w:t>
      </w:r>
    </w:p>
    <w:p w14:paraId="6DC0416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156.</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informar se existem práticas restritivas no Brasil ao comércio do produto objeto da revisão. Em caso positivo, deve-se descrever pormenorizadamente tais práticas, esclarecendo se essas se aplicam igualmente aos produtores domésticos e estrangeiros.</w:t>
      </w:r>
    </w:p>
    <w:p w14:paraId="039B2455" w14:textId="77777777" w:rsidR="00E4045A" w:rsidRPr="00395593" w:rsidRDefault="00E4045A" w:rsidP="0007519C">
      <w:pPr>
        <w:spacing w:after="0" w:line="240" w:lineRule="auto"/>
        <w:jc w:val="center"/>
        <w:rPr>
          <w:rFonts w:ascii="Garamond" w:hAnsi="Garamond" w:cs="Calibri"/>
          <w:color w:val="000000"/>
          <w:sz w:val="24"/>
          <w:szCs w:val="24"/>
        </w:rPr>
      </w:pPr>
    </w:p>
    <w:p w14:paraId="71CD7EA8"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VIII</w:t>
      </w:r>
    </w:p>
    <w:p w14:paraId="7380F28E"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 continuação do dumping</w:t>
      </w:r>
    </w:p>
    <w:p w14:paraId="34E637C9" w14:textId="77777777" w:rsidR="00E4045A" w:rsidRPr="00395593" w:rsidRDefault="00E4045A" w:rsidP="0007519C">
      <w:pPr>
        <w:spacing w:after="0" w:line="240" w:lineRule="auto"/>
        <w:jc w:val="center"/>
        <w:rPr>
          <w:rFonts w:ascii="Garamond" w:hAnsi="Garamond" w:cs="Calibri"/>
          <w:color w:val="000000"/>
          <w:sz w:val="24"/>
          <w:szCs w:val="24"/>
        </w:rPr>
      </w:pPr>
    </w:p>
    <w:p w14:paraId="7EF6D9C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157.</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As informações desta seção referem-se apenas a P5.</w:t>
      </w:r>
    </w:p>
    <w:p w14:paraId="5F0DBD9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158.</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Deve-se indicar o(s) país(es) sujeitos à medida </w:t>
      </w:r>
      <w:r w:rsidRPr="00395593">
        <w:rPr>
          <w:rFonts w:ascii="Garamond" w:hAnsi="Garamond" w:cs="Calibri"/>
          <w:i/>
          <w:color w:val="000000"/>
          <w:sz w:val="24"/>
          <w:szCs w:val="24"/>
        </w:rPr>
        <w:t>antidumping</w:t>
      </w:r>
      <w:r w:rsidRPr="00395593">
        <w:rPr>
          <w:rFonts w:ascii="Garamond" w:hAnsi="Garamond" w:cs="Calibri"/>
          <w:b/>
          <w:color w:val="000000"/>
          <w:sz w:val="24"/>
          <w:szCs w:val="24"/>
        </w:rPr>
        <w:t>,</w:t>
      </w:r>
      <w:r w:rsidRPr="00395593">
        <w:rPr>
          <w:rFonts w:ascii="Garamond" w:hAnsi="Garamond" w:cs="Calibri"/>
          <w:color w:val="000000"/>
          <w:sz w:val="24"/>
          <w:szCs w:val="24"/>
        </w:rPr>
        <w:t xml:space="preserve"> que tenha(m) exportado o produto objeto da revisão no período de continuação da prática de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indicado no art. 137. </w:t>
      </w:r>
    </w:p>
    <w:p w14:paraId="2D2F7EC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159.</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Deve-se informar o nome e o endereço dos produtores/exportadores estrangeiros conhecidos.</w:t>
      </w:r>
    </w:p>
    <w:p w14:paraId="12209814" w14:textId="77777777" w:rsidR="00E4045A" w:rsidRPr="00395593" w:rsidRDefault="00E4045A" w:rsidP="0007519C">
      <w:pPr>
        <w:spacing w:after="0" w:line="240" w:lineRule="auto"/>
        <w:jc w:val="center"/>
        <w:rPr>
          <w:rFonts w:ascii="Garamond" w:hAnsi="Garamond" w:cs="Calibri"/>
          <w:b/>
          <w:color w:val="000000"/>
          <w:sz w:val="24"/>
          <w:szCs w:val="24"/>
        </w:rPr>
      </w:pPr>
    </w:p>
    <w:p w14:paraId="0776F8AF"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w:t>
      </w:r>
    </w:p>
    <w:p w14:paraId="7A2EF4A3"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valor normal</w:t>
      </w:r>
    </w:p>
    <w:p w14:paraId="766C11B7" w14:textId="77777777" w:rsidR="00E4045A" w:rsidRPr="00395593" w:rsidRDefault="00E4045A" w:rsidP="0007519C">
      <w:pPr>
        <w:spacing w:after="0" w:line="240" w:lineRule="auto"/>
        <w:jc w:val="center"/>
        <w:rPr>
          <w:rFonts w:ascii="Garamond" w:hAnsi="Garamond" w:cs="Calibri"/>
          <w:color w:val="000000"/>
          <w:sz w:val="24"/>
          <w:szCs w:val="24"/>
        </w:rPr>
      </w:pPr>
    </w:p>
    <w:p w14:paraId="2AF0871A"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160.</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Para cada país exportador de economia de mercado indicado no art. 158 desta seção, apresentar dados para uma das alternativas abaixo: </w:t>
      </w:r>
    </w:p>
    <w:p w14:paraId="687BC06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preço representativo no mercado interno do país exportador; </w:t>
      </w:r>
    </w:p>
    <w:p w14:paraId="6E90B54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preço de exportação para terceiro país; ou</w:t>
      </w:r>
    </w:p>
    <w:p w14:paraId="4086AB9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valor normal construído no país exportador.</w:t>
      </w:r>
    </w:p>
    <w:p w14:paraId="0972DC5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Parágrafo único. Os preços devem ser apresentados preferencialmente na condição de venda </w:t>
      </w:r>
      <w:r w:rsidRPr="00395593">
        <w:rPr>
          <w:rFonts w:ascii="Garamond" w:hAnsi="Garamond" w:cs="Calibri"/>
          <w:i/>
          <w:color w:val="000000"/>
          <w:sz w:val="24"/>
          <w:szCs w:val="24"/>
        </w:rPr>
        <w:t>ex fabrica</w:t>
      </w:r>
      <w:r w:rsidRPr="00395593">
        <w:rPr>
          <w:rFonts w:ascii="Garamond" w:hAnsi="Garamond" w:cs="Calibri"/>
          <w:color w:val="000000"/>
          <w:sz w:val="24"/>
          <w:szCs w:val="24"/>
        </w:rPr>
        <w:t xml:space="preserve">, livres de tributos. Caso sejam apresentados em outra condição de venda, devem ser explicitados os ajustes necessários para a apuração do preço </w:t>
      </w:r>
      <w:r w:rsidRPr="00395593">
        <w:rPr>
          <w:rFonts w:ascii="Garamond" w:hAnsi="Garamond" w:cs="Calibri"/>
          <w:i/>
          <w:color w:val="000000"/>
          <w:sz w:val="24"/>
          <w:szCs w:val="24"/>
        </w:rPr>
        <w:t xml:space="preserve">ex fabrica, </w:t>
      </w:r>
      <w:r w:rsidRPr="00395593">
        <w:rPr>
          <w:rFonts w:ascii="Garamond" w:hAnsi="Garamond" w:cs="Calibri"/>
          <w:color w:val="000000"/>
          <w:sz w:val="24"/>
          <w:szCs w:val="24"/>
        </w:rPr>
        <w:t>acompanhados dos respectivos elementos probatórios.</w:t>
      </w:r>
    </w:p>
    <w:p w14:paraId="167BA67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161. Na hipótese do inciso I do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do art. 160, deve-se fornecer o preço do produto similar nas operações comerciais normais que o destinem ao consumo interno no país exportador e, se possível, o volume e o valor das vendas que serviram de base para o fornecimento do preço em questão, especificando:</w:t>
      </w:r>
    </w:p>
    <w:p w14:paraId="20ADC0D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volume de vendas internas utilizado como base do valor normal (informar unidade);</w:t>
      </w:r>
    </w:p>
    <w:p w14:paraId="44CB553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moeda;</w:t>
      </w:r>
    </w:p>
    <w:p w14:paraId="478FF9E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condição de venda;</w:t>
      </w:r>
    </w:p>
    <w:p w14:paraId="797359E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ajustes necessários à justa comparação com o preço de exportação; e</w:t>
      </w:r>
    </w:p>
    <w:p w14:paraId="594DC3B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 – preço unitário </w:t>
      </w:r>
      <w:r w:rsidRPr="00395593">
        <w:rPr>
          <w:rFonts w:ascii="Garamond" w:hAnsi="Garamond" w:cs="Calibri"/>
          <w:i/>
          <w:color w:val="000000"/>
          <w:sz w:val="24"/>
          <w:szCs w:val="24"/>
        </w:rPr>
        <w:t>ex fabrica.</w:t>
      </w:r>
    </w:p>
    <w:p w14:paraId="175A55F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162. Na hipótese do inciso II do</w:t>
      </w:r>
      <w:r w:rsidRPr="00395593">
        <w:rPr>
          <w:rFonts w:ascii="Garamond" w:hAnsi="Garamond" w:cs="Calibri"/>
          <w:i/>
          <w:color w:val="000000"/>
          <w:sz w:val="24"/>
          <w:szCs w:val="24"/>
        </w:rPr>
        <w:t xml:space="preserve"> caput </w:t>
      </w:r>
      <w:r w:rsidRPr="00395593">
        <w:rPr>
          <w:rFonts w:ascii="Garamond" w:hAnsi="Garamond" w:cs="Calibri"/>
          <w:color w:val="000000"/>
          <w:sz w:val="24"/>
          <w:szCs w:val="24"/>
        </w:rPr>
        <w:t>do art. 160, deve-se fornecer as vendas para um terceiro país, especificando:</w:t>
      </w:r>
    </w:p>
    <w:p w14:paraId="7FA0C2B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volume de exportações para o terceiro país selecionado (informar unidade);</w:t>
      </w:r>
    </w:p>
    <w:p w14:paraId="5559D19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moeda;</w:t>
      </w:r>
    </w:p>
    <w:p w14:paraId="71CAB79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condição de venda;</w:t>
      </w:r>
    </w:p>
    <w:p w14:paraId="08F11F7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ajustes necessários à justa comparação com o preço de exportação; e</w:t>
      </w:r>
    </w:p>
    <w:p w14:paraId="2551511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 – preço unitário </w:t>
      </w:r>
      <w:r w:rsidRPr="00395593">
        <w:rPr>
          <w:rFonts w:ascii="Garamond" w:hAnsi="Garamond" w:cs="Calibri"/>
          <w:i/>
          <w:color w:val="000000"/>
          <w:sz w:val="24"/>
          <w:szCs w:val="24"/>
        </w:rPr>
        <w:t>ex fabrica.</w:t>
      </w:r>
    </w:p>
    <w:p w14:paraId="3BA04A3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strike/>
          <w:color w:val="000000"/>
          <w:sz w:val="24"/>
          <w:szCs w:val="24"/>
          <w:vertAlign w:val="superscript"/>
        </w:rPr>
        <w:t>º</w:t>
      </w:r>
      <w:r w:rsidRPr="00395593">
        <w:rPr>
          <w:rFonts w:ascii="Garamond" w:hAnsi="Garamond" w:cs="Calibri"/>
          <w:color w:val="000000"/>
          <w:sz w:val="24"/>
          <w:szCs w:val="24"/>
        </w:rPr>
        <w:t xml:space="preserve"> Deve-se informar qual o terceiro país selecionado e esclarecer as razões pelas quais esse país é considerado apropriado.</w:t>
      </w:r>
    </w:p>
    <w:p w14:paraId="0F4C645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strike/>
          <w:color w:val="000000"/>
          <w:sz w:val="24"/>
          <w:szCs w:val="24"/>
          <w:vertAlign w:val="superscript"/>
        </w:rPr>
        <w:t>º</w:t>
      </w:r>
      <w:r w:rsidRPr="00395593">
        <w:rPr>
          <w:rFonts w:ascii="Garamond" w:hAnsi="Garamond" w:cs="Calibri"/>
          <w:color w:val="000000"/>
          <w:sz w:val="24"/>
          <w:szCs w:val="24"/>
        </w:rPr>
        <w:t xml:space="preserve"> Deve-se indicar o item tarifário da classificação de mercadorias do país exportador em que o produto similar foi classificado ou, na sua ausência, indicar o respectivo item do Sistema Harmonizado (SH).</w:t>
      </w:r>
    </w:p>
    <w:p w14:paraId="00B3471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163. Na hipótese do inciso III do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do art. 160, deve-se fornecer o valor normal construído no país exportador, conforme modelo constante do Apêndice II, especificando o conteúdo de cada rubrica e os coeficientes técnicos utilizados.</w:t>
      </w:r>
    </w:p>
    <w:p w14:paraId="78B9ED4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164.</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Para cada país exportador considerado economia não de mercado indicado no art. 158 desta seção, deve-se sugerir um terceiro país de economia de mercado a ser utilizado para a apuração do valor normal, justificando a escolha, e apresentar dados para uma das alternativas abaixo: </w:t>
      </w:r>
    </w:p>
    <w:p w14:paraId="0FD0AD0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preço representativo de venda no mercado interno desse terceiro país de economia de mercado; </w:t>
      </w:r>
    </w:p>
    <w:p w14:paraId="538B1B6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preço de exportação desse terceiro país de economia de mercado para outro país de economia de mercado, exceto o Brasil; ou</w:t>
      </w:r>
    </w:p>
    <w:p w14:paraId="1AA6C57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valor normal construído nesse terceiro país de economia de mercado.</w:t>
      </w:r>
    </w:p>
    <w:p w14:paraId="0AF21C8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strike/>
          <w:color w:val="000000"/>
          <w:sz w:val="24"/>
          <w:szCs w:val="24"/>
          <w:vertAlign w:val="superscript"/>
        </w:rPr>
        <w:t>º</w:t>
      </w:r>
      <w:r w:rsidRPr="00395593">
        <w:rPr>
          <w:rFonts w:ascii="Garamond" w:hAnsi="Garamond" w:cs="Calibri"/>
          <w:color w:val="000000"/>
          <w:sz w:val="24"/>
          <w:szCs w:val="24"/>
        </w:rPr>
        <w:t xml:space="preserve"> Sempre que nenhuma das hipóteses dos incisos do </w:t>
      </w:r>
      <w:r w:rsidRPr="00395593">
        <w:rPr>
          <w:rFonts w:ascii="Garamond" w:hAnsi="Garamond" w:cs="Calibri"/>
          <w:i/>
          <w:color w:val="000000"/>
          <w:sz w:val="24"/>
          <w:szCs w:val="24"/>
        </w:rPr>
        <w:t>caput</w:t>
      </w:r>
      <w:r w:rsidRPr="00395593">
        <w:rPr>
          <w:rFonts w:ascii="Garamond" w:hAnsi="Garamond" w:cs="Calibri"/>
          <w:b/>
          <w:color w:val="000000"/>
          <w:sz w:val="24"/>
          <w:szCs w:val="24"/>
        </w:rPr>
        <w:t xml:space="preserve"> </w:t>
      </w:r>
      <w:r w:rsidRPr="00395593">
        <w:rPr>
          <w:rFonts w:ascii="Garamond" w:hAnsi="Garamond" w:cs="Calibri"/>
          <w:color w:val="000000"/>
          <w:sz w:val="24"/>
          <w:szCs w:val="24"/>
        </w:rPr>
        <w:t xml:space="preserve">for viável e desde que devidamente justificado, a sugestão de valor normal poderá ter por base qualquer outro preço razoável, inclusive o preço pago ou a pagar pelo produto similar no mercado interno brasileiro, devidamente ajustado, se necessário, para incluir margem de lucro razoável. </w:t>
      </w:r>
    </w:p>
    <w:p w14:paraId="053E418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strike/>
          <w:color w:val="000000"/>
          <w:sz w:val="24"/>
          <w:szCs w:val="24"/>
          <w:vertAlign w:val="superscript"/>
        </w:rPr>
        <w:t>º</w:t>
      </w:r>
      <w:r w:rsidRPr="00395593">
        <w:rPr>
          <w:rFonts w:ascii="Garamond" w:hAnsi="Garamond" w:cs="Calibri"/>
          <w:color w:val="000000"/>
          <w:sz w:val="24"/>
          <w:szCs w:val="24"/>
        </w:rPr>
        <w:t xml:space="preserve"> Os preços devem ser apresentados preferencialmente na condição de venda </w:t>
      </w:r>
      <w:r w:rsidRPr="00395593">
        <w:rPr>
          <w:rFonts w:ascii="Garamond" w:hAnsi="Garamond" w:cs="Calibri"/>
          <w:i/>
          <w:color w:val="000000"/>
          <w:sz w:val="24"/>
          <w:szCs w:val="24"/>
        </w:rPr>
        <w:t>ex fabrica</w:t>
      </w:r>
      <w:r w:rsidRPr="00395593">
        <w:rPr>
          <w:rFonts w:ascii="Garamond" w:hAnsi="Garamond" w:cs="Calibri"/>
          <w:color w:val="000000"/>
          <w:sz w:val="24"/>
          <w:szCs w:val="24"/>
        </w:rPr>
        <w:t xml:space="preserve">, livres de tributos. Caso sejam apresentados em outra condição de venda, devem ser explicitados os ajustes necessários para a apuração do preço </w:t>
      </w:r>
      <w:r w:rsidRPr="00395593">
        <w:rPr>
          <w:rFonts w:ascii="Garamond" w:hAnsi="Garamond" w:cs="Calibri"/>
          <w:i/>
          <w:color w:val="000000"/>
          <w:sz w:val="24"/>
          <w:szCs w:val="24"/>
        </w:rPr>
        <w:t xml:space="preserve">ex fabrica, </w:t>
      </w:r>
      <w:r w:rsidRPr="00395593">
        <w:rPr>
          <w:rFonts w:ascii="Garamond" w:hAnsi="Garamond" w:cs="Calibri"/>
          <w:color w:val="000000"/>
          <w:sz w:val="24"/>
          <w:szCs w:val="24"/>
        </w:rPr>
        <w:t>acompanhados dos respectivos elementos probatórios.</w:t>
      </w:r>
    </w:p>
    <w:p w14:paraId="406414D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3</w:t>
      </w:r>
      <w:r w:rsidRPr="00395593">
        <w:rPr>
          <w:rFonts w:ascii="Garamond" w:hAnsi="Garamond" w:cs="Calibri"/>
          <w:strike/>
          <w:color w:val="000000"/>
          <w:sz w:val="24"/>
          <w:szCs w:val="24"/>
          <w:vertAlign w:val="superscript"/>
        </w:rPr>
        <w:t>º</w:t>
      </w:r>
      <w:r w:rsidRPr="00395593">
        <w:rPr>
          <w:rFonts w:ascii="Garamond" w:hAnsi="Garamond" w:cs="Calibri"/>
          <w:color w:val="000000"/>
          <w:sz w:val="24"/>
          <w:szCs w:val="24"/>
        </w:rPr>
        <w:t xml:space="preserve"> Deve-se esclarecer as razões pelas quais o país substituto foi considerado apropriado, levando-se em conta os seguintes aspectos:</w:t>
      </w:r>
    </w:p>
    <w:p w14:paraId="5A800BD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 - o volume das exportações do produto similar do país substituto para o Brasil e para os principais mercados consumidores mundiais;</w:t>
      </w:r>
    </w:p>
    <w:p w14:paraId="7D53167C"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II - o volume das vendas do produto similar no mercado interno do país substituto;</w:t>
      </w:r>
    </w:p>
    <w:p w14:paraId="77929C03"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a similaridade entre o produto objeto da revisão e o produto similar vendido no mercado interno ou exportado pelo país substituto; </w:t>
      </w:r>
    </w:p>
    <w:p w14:paraId="4E7820CA"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IV - a disponibilidade e o grau de desagregação das estatísticas necessárias à investigação; ou</w:t>
      </w:r>
    </w:p>
    <w:p w14:paraId="718ECF6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V - o grau de adequação das informações apresentadas com relação às características da investigação em curso.</w:t>
      </w:r>
    </w:p>
    <w:p w14:paraId="0EB7A37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165. Na hipótese do inciso I do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do art. 164, deve-se fornecer o preço do produto similar nas operações comerciais normais que o destinem ao consumo no mercado interno no terceiro país de economia de mercado e o volume de vendas que serviu de base para o fornecimento do preço em questão, especificando:</w:t>
      </w:r>
    </w:p>
    <w:p w14:paraId="36061E2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volume de vendas internas utilizado como base do valor normal (informar unidade);</w:t>
      </w:r>
    </w:p>
    <w:p w14:paraId="23BFEB4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moeda;</w:t>
      </w:r>
    </w:p>
    <w:p w14:paraId="14B0E6B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condição de venda;</w:t>
      </w:r>
    </w:p>
    <w:p w14:paraId="618FECF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ajustes necessários à justa comparação com o preço de exportação; e</w:t>
      </w:r>
    </w:p>
    <w:p w14:paraId="6982D4E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 - preço unitário </w:t>
      </w:r>
      <w:r w:rsidRPr="00395593">
        <w:rPr>
          <w:rFonts w:ascii="Garamond" w:hAnsi="Garamond" w:cs="Calibri"/>
          <w:i/>
          <w:color w:val="000000"/>
          <w:sz w:val="24"/>
          <w:szCs w:val="24"/>
        </w:rPr>
        <w:t>ex fabrica.</w:t>
      </w:r>
    </w:p>
    <w:p w14:paraId="5B2EE14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166. Na hipótese do inciso II do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do art. 164, deve-se fornecer as vendas do terceiro país de economia de mercado para outro país (exceto o Brasil) e o volume de vendas que serviu de base para o fornecimento do preço em questão, especificando:</w:t>
      </w:r>
    </w:p>
    <w:p w14:paraId="308583E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volume de exportações para o terceiro país selecionado (informar unidade);</w:t>
      </w:r>
    </w:p>
    <w:p w14:paraId="0D226C0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moeda;</w:t>
      </w:r>
    </w:p>
    <w:p w14:paraId="7C97B92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condição de venda;</w:t>
      </w:r>
    </w:p>
    <w:p w14:paraId="63A6571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ajustes necessários à justa comparação com o preço de exportação; e</w:t>
      </w:r>
    </w:p>
    <w:p w14:paraId="7F6721F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 - preço unitário </w:t>
      </w:r>
      <w:r w:rsidRPr="00395593">
        <w:rPr>
          <w:rFonts w:ascii="Garamond" w:hAnsi="Garamond" w:cs="Calibri"/>
          <w:i/>
          <w:color w:val="000000"/>
          <w:sz w:val="24"/>
          <w:szCs w:val="24"/>
        </w:rPr>
        <w:t>ex fabrica.</w:t>
      </w:r>
    </w:p>
    <w:p w14:paraId="328F8F3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strike/>
          <w:color w:val="000000"/>
          <w:sz w:val="24"/>
          <w:szCs w:val="24"/>
          <w:vertAlign w:val="superscript"/>
        </w:rPr>
        <w:t>º</w:t>
      </w:r>
      <w:r w:rsidRPr="00395593">
        <w:rPr>
          <w:rFonts w:ascii="Garamond" w:hAnsi="Garamond" w:cs="Calibri"/>
          <w:color w:val="000000"/>
          <w:sz w:val="24"/>
          <w:szCs w:val="24"/>
        </w:rPr>
        <w:t xml:space="preserve"> Deve-se informar qual o terceiro país selecionado e esclarecer as razões pelas quais esse país é considerado apropriado.</w:t>
      </w:r>
    </w:p>
    <w:p w14:paraId="48764D0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strike/>
          <w:color w:val="000000"/>
          <w:sz w:val="24"/>
          <w:szCs w:val="24"/>
          <w:vertAlign w:val="superscript"/>
        </w:rPr>
        <w:t>º</w:t>
      </w:r>
      <w:r w:rsidRPr="00395593">
        <w:rPr>
          <w:rFonts w:ascii="Garamond" w:hAnsi="Garamond" w:cs="Calibri"/>
          <w:color w:val="000000"/>
          <w:sz w:val="24"/>
          <w:szCs w:val="24"/>
        </w:rPr>
        <w:t xml:space="preserve"> Deve-se indicar o item tarifário da classificação de mercadorias do país exportador em que o produto similar foi classificado ou, na sua ausência, deve-se indicar o respectivo item do Sistema Harmonizado (SH).</w:t>
      </w:r>
    </w:p>
    <w:p w14:paraId="7D76F9A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167. Na hipótese do inciso III do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do art. 164, deve-se fornecer o valor normal construído no país exportador de economia de mercado, conforme modelo constante do Apêndice II, especificando o conteúdo de cada rubrica e os coeficientes técnicos utilizados.</w:t>
      </w:r>
    </w:p>
    <w:p w14:paraId="5853BD1A" w14:textId="77777777" w:rsidR="00E4045A" w:rsidRPr="00395593" w:rsidRDefault="00E4045A" w:rsidP="00E33E26">
      <w:pPr>
        <w:pStyle w:val="TextosemFormatao"/>
        <w:ind w:firstLine="567"/>
        <w:jc w:val="both"/>
        <w:rPr>
          <w:rFonts w:ascii="Garamond" w:hAnsi="Garamond" w:cs="Calibri"/>
          <w:color w:val="000000"/>
          <w:sz w:val="24"/>
          <w:szCs w:val="24"/>
        </w:rPr>
      </w:pPr>
    </w:p>
    <w:p w14:paraId="1F8A7506"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II</w:t>
      </w:r>
    </w:p>
    <w:p w14:paraId="1DB83435"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preço de exportação</w:t>
      </w:r>
    </w:p>
    <w:p w14:paraId="3EB7A49A" w14:textId="77777777" w:rsidR="00E4045A" w:rsidRPr="00395593" w:rsidRDefault="00E4045A" w:rsidP="0007519C">
      <w:pPr>
        <w:spacing w:after="0" w:line="240" w:lineRule="auto"/>
        <w:jc w:val="center"/>
        <w:rPr>
          <w:rFonts w:ascii="Garamond" w:hAnsi="Garamond" w:cs="Calibri"/>
          <w:color w:val="000000"/>
          <w:sz w:val="24"/>
          <w:szCs w:val="24"/>
        </w:rPr>
      </w:pPr>
    </w:p>
    <w:p w14:paraId="26328F80"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168.</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Para cada país indicado no art. 158 desta seção, deve-se fornecer o preço de exportação para o Brasil do produto objeto da revisão, conforme o modelo constante do Apêndice III.</w:t>
      </w:r>
    </w:p>
    <w:p w14:paraId="7CB7D60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Parágrafo único. Os preços devem ser apresentados preferencialmente na mesma condição de venda do valor normal. Caso sejam apresentados em outra condição de venda, devem ser explicitados os ajustes necessários com vistas à justa comparação entre o valor normal e o preço de exportação, acompanhados dos elementos probatórios correspondentes.</w:t>
      </w:r>
    </w:p>
    <w:p w14:paraId="339A8AA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169. Nos casos em que não exista preço de exportação ou em que este não pareça confiável em razão de associação ou relacionamento entre o produtor ou exportador e o importador ou uma terceira parte, ou de possuírem acordo compensatório entre si, o preço de exportação poderá ser construído a partir:</w:t>
      </w:r>
    </w:p>
    <w:p w14:paraId="4AC721A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 - do preço pelo qual os produtos objeto da revisão foram revendidos pela primeira vez a um comprador independente; ou</w:t>
      </w:r>
    </w:p>
    <w:p w14:paraId="5462175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de uma base considerada razoável, no caso de os produtos não serem revendidos a um comprador independente ou na mesma condição em que foram importados. </w:t>
      </w:r>
    </w:p>
    <w:p w14:paraId="52258BF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Parágrafo único. Por partes relacionadas ou associadas entende-se a vinculação entre pessoas nos casos indicados no § 10 do art. 14 do Decreto n</w:t>
      </w:r>
      <w:r w:rsidRPr="00395593">
        <w:rPr>
          <w:rFonts w:ascii="Garamond" w:hAnsi="Garamond" w:cs="Calibri"/>
          <w:strike/>
          <w:color w:val="000000"/>
          <w:sz w:val="24"/>
          <w:szCs w:val="24"/>
          <w:vertAlign w:val="superscript"/>
        </w:rPr>
        <w:t>º</w:t>
      </w:r>
      <w:r w:rsidRPr="00395593">
        <w:rPr>
          <w:rFonts w:ascii="Garamond" w:hAnsi="Garamond" w:cs="Calibri"/>
          <w:color w:val="000000"/>
          <w:sz w:val="24"/>
          <w:szCs w:val="24"/>
        </w:rPr>
        <w:t xml:space="preserve"> 8.058, de 2013. </w:t>
      </w:r>
    </w:p>
    <w:p w14:paraId="0577612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170. Na hipótese do inciso I do art. 169, além de providenciar as informações solicitadas no art. 169, fornecer, se possível, o preço pelo qual o produto é vendido ao primeiro comprador independente, bem como a estimativa de todos os custos incorridos a partir do preço na condição de venda indicada, incluindo frete, seguro, Imposto de Importação e outras despesas de importação, além de uma margem de lucro razoável para o revendedor do produto, conforme a tabela constante do Apêndice IV. </w:t>
      </w:r>
    </w:p>
    <w:p w14:paraId="4FD676D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171. Na hipótese do inciso II do art. 169, além de providenciar as informações solicitadas no art. 168, deve-se indicar, se possível, a base e a metodologia utilizadas para a reconstrução.</w:t>
      </w:r>
    </w:p>
    <w:p w14:paraId="719940D6" w14:textId="77777777" w:rsidR="00E4045A" w:rsidRPr="00395593" w:rsidRDefault="00E4045A" w:rsidP="00E33E26">
      <w:pPr>
        <w:pStyle w:val="TextosemFormatao"/>
        <w:ind w:firstLine="567"/>
        <w:jc w:val="both"/>
        <w:rPr>
          <w:rFonts w:ascii="Garamond" w:hAnsi="Garamond" w:cs="Calibri"/>
          <w:color w:val="000000"/>
          <w:sz w:val="24"/>
          <w:szCs w:val="24"/>
        </w:rPr>
      </w:pPr>
    </w:p>
    <w:p w14:paraId="1F5936D3"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III</w:t>
      </w:r>
    </w:p>
    <w:p w14:paraId="3C98F17A"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 comparação do valor normal com o preço de exportação</w:t>
      </w:r>
    </w:p>
    <w:p w14:paraId="5274B155" w14:textId="77777777" w:rsidR="00E4045A" w:rsidRPr="00395593" w:rsidRDefault="00E4045A" w:rsidP="0007519C">
      <w:pPr>
        <w:spacing w:after="0" w:line="240" w:lineRule="auto"/>
        <w:jc w:val="center"/>
        <w:rPr>
          <w:rFonts w:ascii="Garamond" w:hAnsi="Garamond" w:cs="Calibri"/>
          <w:color w:val="000000"/>
          <w:sz w:val="24"/>
          <w:szCs w:val="24"/>
        </w:rPr>
      </w:pPr>
    </w:p>
    <w:p w14:paraId="61C3E5D0"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172.</w:t>
      </w:r>
      <w:r w:rsidRPr="00395593" w:rsidDel="004E4F14">
        <w:rPr>
          <w:rFonts w:ascii="Garamond" w:hAnsi="Garamond" w:cs="Calibri"/>
          <w:color w:val="000000"/>
          <w:sz w:val="24"/>
          <w:szCs w:val="24"/>
        </w:rPr>
        <w:t xml:space="preserve"> </w:t>
      </w:r>
      <w:r w:rsidRPr="00395593">
        <w:rPr>
          <w:rFonts w:ascii="Garamond" w:hAnsi="Garamond" w:cs="Calibri"/>
          <w:color w:val="000000"/>
          <w:sz w:val="24"/>
          <w:szCs w:val="24"/>
        </w:rPr>
        <w:t xml:space="preserve">Deve-se identificar a existência de diferenças entre o produto considerado para fins de apuração do valor normal e o produto objeto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em função de quantidades, características físicas, nível de comércio, condições de pagamento, etc., indicando os ajustes necessários para compensar tais diferenças e tornar o valor normal e o preço de exportação comparáveis.</w:t>
      </w:r>
    </w:p>
    <w:p w14:paraId="45BCC548"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IX</w:t>
      </w:r>
    </w:p>
    <w:p w14:paraId="75E933DE"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 retomada do dumping</w:t>
      </w:r>
    </w:p>
    <w:p w14:paraId="0E77CE40" w14:textId="77777777" w:rsidR="00E4045A" w:rsidRPr="00395593" w:rsidRDefault="00E4045A" w:rsidP="00E33E26">
      <w:pPr>
        <w:pStyle w:val="TextosemFormatao"/>
        <w:ind w:firstLine="567"/>
        <w:jc w:val="both"/>
        <w:rPr>
          <w:rFonts w:ascii="Garamond" w:hAnsi="Garamond" w:cs="Calibri"/>
          <w:color w:val="000000"/>
          <w:sz w:val="24"/>
          <w:szCs w:val="24"/>
        </w:rPr>
      </w:pPr>
    </w:p>
    <w:p w14:paraId="253037C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173. Na hipótese de não ter havido exportações do país sujeito à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de ter havido apenas exportações em quantidades não representativas durante o período de revisão ou de o preço de exportação não refletir adequadamente o comportamento dos produtores/exportadores durante o período de revisão, a probabilidade de retomada do </w:t>
      </w:r>
      <w:r w:rsidRPr="00395593">
        <w:rPr>
          <w:rFonts w:ascii="Garamond" w:hAnsi="Garamond" w:cs="Calibri"/>
          <w:i/>
          <w:color w:val="000000"/>
          <w:sz w:val="24"/>
          <w:szCs w:val="24"/>
        </w:rPr>
        <w:t>dumping</w:t>
      </w:r>
      <w:r w:rsidRPr="00395593">
        <w:rPr>
          <w:rFonts w:ascii="Garamond" w:hAnsi="Garamond" w:cs="Calibri"/>
          <w:b/>
          <w:color w:val="000000"/>
          <w:sz w:val="24"/>
          <w:szCs w:val="24"/>
        </w:rPr>
        <w:t xml:space="preserve"> </w:t>
      </w:r>
      <w:r w:rsidRPr="00395593">
        <w:rPr>
          <w:rFonts w:ascii="Garamond" w:hAnsi="Garamond" w:cs="Calibri"/>
          <w:color w:val="000000"/>
          <w:sz w:val="24"/>
          <w:szCs w:val="24"/>
        </w:rPr>
        <w:t>será determinada com base na comparação entre o valor normal médio, apurado em conformidade com a Subseção I da Seção VII deste Capítulo, internalizado no mercado brasileiro, conforme o modelo constante do Apêndice XXV, e:</w:t>
      </w:r>
    </w:p>
    <w:p w14:paraId="45D9A969"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o preço médio de venda do produto similar doméstico no mercado brasileiro, apurado para o período de revisão, preferencialmente em nível </w:t>
      </w:r>
      <w:r w:rsidRPr="00395593">
        <w:rPr>
          <w:rFonts w:ascii="Garamond" w:hAnsi="Garamond" w:cs="Calibri"/>
          <w:i/>
          <w:color w:val="000000"/>
          <w:sz w:val="24"/>
          <w:szCs w:val="24"/>
        </w:rPr>
        <w:t>ex fabrica</w:t>
      </w:r>
      <w:r w:rsidRPr="00395593">
        <w:rPr>
          <w:rFonts w:ascii="Garamond" w:hAnsi="Garamond" w:cs="Calibri"/>
          <w:color w:val="000000"/>
          <w:sz w:val="24"/>
          <w:szCs w:val="24"/>
        </w:rPr>
        <w:t>; ou</w:t>
      </w:r>
    </w:p>
    <w:p w14:paraId="4A44F73D"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II - o preço de exportação médio, internalizado no mercado brasileiro, de outros fornecedores estrangeiros em transações efetuadas em quantidades representativas, apurado para o período de revisão.</w:t>
      </w:r>
    </w:p>
    <w:p w14:paraId="378CFA33"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X</w:t>
      </w:r>
    </w:p>
    <w:p w14:paraId="36675862"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Informações por empresa representada na petição</w:t>
      </w:r>
    </w:p>
    <w:p w14:paraId="35B689FC"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w:t>
      </w:r>
    </w:p>
    <w:p w14:paraId="36D84EFB"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Dos dados das empresas representadas</w:t>
      </w:r>
    </w:p>
    <w:p w14:paraId="235AC322" w14:textId="77777777" w:rsidR="00E4045A" w:rsidRPr="00395593" w:rsidRDefault="00E4045A" w:rsidP="00E33E26">
      <w:pPr>
        <w:pStyle w:val="Recuodecorpodetexto"/>
        <w:spacing w:after="0" w:line="240" w:lineRule="auto"/>
        <w:ind w:left="0" w:firstLine="567"/>
        <w:jc w:val="both"/>
        <w:rPr>
          <w:rFonts w:ascii="Garamond" w:hAnsi="Garamond" w:cs="Calibri"/>
          <w:color w:val="000000"/>
          <w:sz w:val="24"/>
          <w:szCs w:val="24"/>
        </w:rPr>
      </w:pPr>
    </w:p>
    <w:p w14:paraId="6BFCC1EC" w14:textId="77777777" w:rsidR="00E4045A" w:rsidRPr="00395593" w:rsidRDefault="00E4045A" w:rsidP="00E33E26">
      <w:pPr>
        <w:pStyle w:val="Recuodecorpodetexto"/>
        <w:spacing w:after="0" w:line="240" w:lineRule="auto"/>
        <w:ind w:left="0" w:firstLine="567"/>
        <w:jc w:val="both"/>
        <w:rPr>
          <w:rFonts w:ascii="Garamond" w:hAnsi="Garamond" w:cs="Calibri"/>
          <w:color w:val="000000"/>
          <w:sz w:val="24"/>
          <w:szCs w:val="24"/>
        </w:rPr>
      </w:pPr>
      <w:r w:rsidRPr="00395593">
        <w:rPr>
          <w:rFonts w:ascii="Garamond" w:hAnsi="Garamond" w:cs="Calibri"/>
          <w:color w:val="000000"/>
          <w:sz w:val="24"/>
          <w:szCs w:val="24"/>
        </w:rPr>
        <w:t>Art. 174. Para cada empresa representada na petição, informar:</w:t>
      </w:r>
    </w:p>
    <w:p w14:paraId="5AA85B0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1º - Empresa </w:t>
      </w:r>
    </w:p>
    <w:p w14:paraId="07B8920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Razão Social; </w:t>
      </w:r>
    </w:p>
    <w:p w14:paraId="4EC6EDC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Endereço completo; </w:t>
      </w:r>
    </w:p>
    <w:p w14:paraId="409C15C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Telefone; e</w:t>
      </w:r>
    </w:p>
    <w:p w14:paraId="3EFD29A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Endereço eletrônico.</w:t>
      </w:r>
    </w:p>
    <w:p w14:paraId="1133866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2º - Cada empresa deverá indicar apenas um destinatário para servir como ponto focal para fins desta petição, bem como seu respectivo endereço.</w:t>
      </w:r>
    </w:p>
    <w:p w14:paraId="00B88ACC" w14:textId="77777777" w:rsidR="00E4045A" w:rsidRPr="00395593" w:rsidRDefault="00E4045A" w:rsidP="00E33E26">
      <w:pPr>
        <w:pStyle w:val="TextosemFormatao"/>
        <w:tabs>
          <w:tab w:val="left" w:pos="3195"/>
        </w:tabs>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Nome; </w:t>
      </w:r>
    </w:p>
    <w:p w14:paraId="42B1520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Função; </w:t>
      </w:r>
    </w:p>
    <w:p w14:paraId="27A3DC6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Endereço completo; </w:t>
      </w:r>
    </w:p>
    <w:p w14:paraId="544B8A9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Telefone; e</w:t>
      </w:r>
    </w:p>
    <w:p w14:paraId="7111035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V - Endereço eletrônico.</w:t>
      </w:r>
    </w:p>
    <w:p w14:paraId="34BA3929" w14:textId="77777777" w:rsidR="00E4045A" w:rsidRPr="00395593" w:rsidRDefault="00E4045A" w:rsidP="00E33E26">
      <w:pPr>
        <w:pStyle w:val="TextosemFormatao"/>
        <w:ind w:firstLine="567"/>
        <w:jc w:val="both"/>
        <w:rPr>
          <w:rFonts w:ascii="Garamond" w:hAnsi="Garamond" w:cs="Calibri"/>
          <w:color w:val="000000"/>
          <w:sz w:val="24"/>
          <w:szCs w:val="24"/>
        </w:rPr>
      </w:pPr>
    </w:p>
    <w:p w14:paraId="672FACD7"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II</w:t>
      </w:r>
    </w:p>
    <w:p w14:paraId="2B0690DE"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Estrutura e afiliações</w:t>
      </w:r>
    </w:p>
    <w:p w14:paraId="35F0698B" w14:textId="77777777" w:rsidR="00E4045A" w:rsidRPr="00395593" w:rsidRDefault="00E4045A" w:rsidP="00E33E26">
      <w:pPr>
        <w:pStyle w:val="TextosemFormatao"/>
        <w:ind w:firstLine="567"/>
        <w:jc w:val="both"/>
        <w:rPr>
          <w:rFonts w:ascii="Garamond" w:hAnsi="Garamond" w:cs="Calibri"/>
          <w:color w:val="000000"/>
          <w:sz w:val="24"/>
          <w:szCs w:val="24"/>
        </w:rPr>
      </w:pPr>
    </w:p>
    <w:p w14:paraId="630DCB9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175. Deve-se fornecer organograma da estrutura operacional da empresa e descrição do funcionamento de cada unidade.</w:t>
      </w:r>
    </w:p>
    <w:p w14:paraId="2349493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176. Deve-se informar todas as plantas de fabricação e dos escritórios de vendas e/ou administração relacionados ao produto similar doméstico, bem como sua respectiva localização.</w:t>
      </w:r>
    </w:p>
    <w:p w14:paraId="4D8B5EA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177. Deve-se fornecer quadro organizacional da estrutura legal da empresa, incluindo todas as partes relacionadas, tal como definido no § 10 do art. 14 do Decreto n</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8.058, de 2013.</w:t>
      </w:r>
    </w:p>
    <w:p w14:paraId="76BB476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178. A empresa poderá apresentar informativo de divulgação que forneça, em detalhe, as informações solicitadas.</w:t>
      </w:r>
    </w:p>
    <w:p w14:paraId="09AECAE8" w14:textId="77777777" w:rsidR="00E4045A" w:rsidRPr="00395593" w:rsidRDefault="00E4045A" w:rsidP="00E33E26">
      <w:pPr>
        <w:pStyle w:val="TextosemFormatao"/>
        <w:ind w:firstLine="567"/>
        <w:jc w:val="both"/>
        <w:rPr>
          <w:rFonts w:ascii="Garamond" w:hAnsi="Garamond" w:cs="Calibri"/>
          <w:color w:val="000000"/>
          <w:sz w:val="24"/>
          <w:szCs w:val="24"/>
        </w:rPr>
      </w:pPr>
    </w:p>
    <w:p w14:paraId="11AAD843"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III</w:t>
      </w:r>
    </w:p>
    <w:p w14:paraId="62373BBC"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Práticas contábeis</w:t>
      </w:r>
    </w:p>
    <w:p w14:paraId="7BFB7A61" w14:textId="77777777" w:rsidR="00E4045A" w:rsidRPr="00395593" w:rsidRDefault="00E4045A" w:rsidP="00E33E26">
      <w:pPr>
        <w:pStyle w:val="TextosemFormatao"/>
        <w:ind w:firstLine="567"/>
        <w:jc w:val="both"/>
        <w:rPr>
          <w:rFonts w:ascii="Garamond" w:hAnsi="Garamond" w:cs="Calibri"/>
          <w:color w:val="000000"/>
          <w:sz w:val="24"/>
          <w:szCs w:val="24"/>
        </w:rPr>
      </w:pPr>
    </w:p>
    <w:p w14:paraId="7992C85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179. Deve-se indicar como os dados da contabilidade financeira da empresa são sumarizados nos seus demonstrativos financeiros.</w:t>
      </w:r>
    </w:p>
    <w:p w14:paraId="0F1C50B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180. Deve-se explicar detalhadamente como são registradas as vendas da empresa, informando todos os livros contábeis utilizados para esse fim.</w:t>
      </w:r>
    </w:p>
    <w:p w14:paraId="4C50CB8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181. Deve-se descrever o sistema contábil de custo adotado pela empresa e como são classificados, alocados, agregados e registrados os custos incorridos na produção. A descrição deve ser apresentada de forma narrativa e acompanhada de um fluxograma.</w:t>
      </w:r>
    </w:p>
    <w:p w14:paraId="529DC8F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182. Deve-se descrever como são registrados os custos durante todo o processo produtivo discriminando os diversos razões de custos auxiliares mantidos pela empresa. Deve-se explicar de que forma as informações de custos são reconciliadas com a contabilidade financeira.</w:t>
      </w:r>
    </w:p>
    <w:p w14:paraId="0A33CFC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183. Deve-se apresentar o plano de contas completo.</w:t>
      </w:r>
    </w:p>
    <w:p w14:paraId="00B5C3A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184. Deve-se apresentar demonstrações financeiras da empresa e anexar os balancetes sintéticos para cada um dos períodos de dano.</w:t>
      </w:r>
    </w:p>
    <w:p w14:paraId="5820B64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185. Deve-se informar o </w:t>
      </w:r>
      <w:r w:rsidRPr="00395593">
        <w:rPr>
          <w:rFonts w:ascii="Garamond" w:hAnsi="Garamond" w:cs="Calibri"/>
          <w:i/>
          <w:color w:val="000000"/>
          <w:sz w:val="24"/>
          <w:szCs w:val="24"/>
        </w:rPr>
        <w:t>software</w:t>
      </w:r>
      <w:r w:rsidRPr="00395593">
        <w:rPr>
          <w:rFonts w:ascii="Garamond" w:hAnsi="Garamond" w:cs="Calibri"/>
          <w:color w:val="000000"/>
          <w:sz w:val="24"/>
          <w:szCs w:val="24"/>
        </w:rPr>
        <w:t xml:space="preserve"> de gestão ou contábil utilizado (ex.: SAP, Oracle, Datasul, etc.)</w:t>
      </w:r>
    </w:p>
    <w:p w14:paraId="79FD1030" w14:textId="77777777" w:rsidR="00E4045A" w:rsidRPr="00395593" w:rsidRDefault="00E4045A" w:rsidP="00E33E26">
      <w:pPr>
        <w:pStyle w:val="TextosemFormatao"/>
        <w:ind w:firstLine="567"/>
        <w:jc w:val="both"/>
        <w:rPr>
          <w:rFonts w:ascii="Garamond" w:hAnsi="Garamond" w:cs="Calibri"/>
          <w:color w:val="000000"/>
          <w:sz w:val="24"/>
          <w:szCs w:val="24"/>
        </w:rPr>
      </w:pPr>
    </w:p>
    <w:p w14:paraId="7C6303A9"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IV</w:t>
      </w:r>
    </w:p>
    <w:p w14:paraId="7D905EE8"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Processo de venda e distribuição</w:t>
      </w:r>
    </w:p>
    <w:p w14:paraId="2695D581" w14:textId="77777777" w:rsidR="00E4045A" w:rsidRPr="00395593" w:rsidRDefault="00E4045A" w:rsidP="00E33E26">
      <w:pPr>
        <w:pStyle w:val="TextosemFormatao"/>
        <w:ind w:firstLine="567"/>
        <w:jc w:val="both"/>
        <w:rPr>
          <w:rFonts w:ascii="Garamond" w:hAnsi="Garamond" w:cs="Calibri"/>
          <w:color w:val="000000"/>
          <w:sz w:val="24"/>
          <w:szCs w:val="24"/>
        </w:rPr>
      </w:pPr>
    </w:p>
    <w:p w14:paraId="5D2C8D0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186. Deve-se informar se há restrições nas vendas diretas e nas vendas efetuadas por meio de intermediários, no que se refere ao volume, à área geográfica de atuação ou outros condicionantes. Em caso positivo, especificar. No caso de vendas para distribuidores, deve-se informar se a empresa vende apenas para distribuidores autorizados.</w:t>
      </w:r>
    </w:p>
    <w:p w14:paraId="112A42B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187. Deve-se informar os termos de venda (</w:t>
      </w:r>
      <w:r w:rsidRPr="00395593">
        <w:rPr>
          <w:rFonts w:ascii="Garamond" w:hAnsi="Garamond" w:cs="Calibri"/>
          <w:i/>
          <w:color w:val="000000"/>
          <w:sz w:val="24"/>
          <w:szCs w:val="24"/>
        </w:rPr>
        <w:t>spot</w:t>
      </w:r>
      <w:r w:rsidRPr="00395593">
        <w:rPr>
          <w:rFonts w:ascii="Garamond" w:hAnsi="Garamond" w:cs="Calibri"/>
          <w:color w:val="000000"/>
          <w:sz w:val="24"/>
          <w:szCs w:val="24"/>
        </w:rPr>
        <w:t>, contrato, etc.). No caso de vendas mediante contrato, deve-se listar os clientes.</w:t>
      </w:r>
    </w:p>
    <w:p w14:paraId="1D4E612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188. Deve-se indicar a existência de diferentes tipos de embalagem (granel, tambor, </w:t>
      </w:r>
      <w:r w:rsidRPr="00395593">
        <w:rPr>
          <w:rFonts w:ascii="Garamond" w:hAnsi="Garamond" w:cs="Calibri"/>
          <w:i/>
          <w:color w:val="000000"/>
          <w:sz w:val="24"/>
          <w:szCs w:val="24"/>
        </w:rPr>
        <w:t>big bag, pallet</w:t>
      </w:r>
      <w:r w:rsidRPr="00395593">
        <w:rPr>
          <w:rFonts w:ascii="Garamond" w:hAnsi="Garamond" w:cs="Calibri"/>
          <w:color w:val="000000"/>
          <w:sz w:val="24"/>
          <w:szCs w:val="24"/>
        </w:rPr>
        <w:t xml:space="preserve"> etc.) para o produto similar doméstico, assim como os volumes transportados normalmente por tipo de embalagem. </w:t>
      </w:r>
    </w:p>
    <w:p w14:paraId="62F162D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189. Deve-se explicar de que forma a empresa classifica em seus registros as exportações ou vendas realizadas no mercado interno, bem como aquelas destinadas a Zonas Francas e Zonas de Processamento de Exportação.</w:t>
      </w:r>
    </w:p>
    <w:p w14:paraId="6168C35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190. Deve-se fornecer lista de todas as partes relacionadas que adquiriram o produto similar doméstico no mercado interno indicando a destinação do produto (consumo próprio ou revenda). Deve-se explicar a política de preços para tais partes. </w:t>
      </w:r>
    </w:p>
    <w:p w14:paraId="0B1BC60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191. Deve-se fornecer fluxograma de cada um dos canais de distribuição utilizados nas vendas no mercado interno.</w:t>
      </w:r>
    </w:p>
    <w:p w14:paraId="43884B4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192. Deve-se informar se a empresa realizou serviço de industrialização para terceiros (</w:t>
      </w:r>
      <w:r w:rsidRPr="00395593">
        <w:rPr>
          <w:rFonts w:ascii="Garamond" w:hAnsi="Garamond" w:cs="Calibri"/>
          <w:i/>
          <w:color w:val="000000"/>
          <w:sz w:val="24"/>
          <w:szCs w:val="24"/>
        </w:rPr>
        <w:t>tolling</w:t>
      </w:r>
      <w:r w:rsidRPr="00395593">
        <w:rPr>
          <w:rFonts w:ascii="Garamond" w:hAnsi="Garamond" w:cs="Calibri"/>
          <w:color w:val="000000"/>
          <w:sz w:val="24"/>
          <w:szCs w:val="24"/>
        </w:rPr>
        <w:t xml:space="preserve">) e se possuía contrato </w:t>
      </w:r>
      <w:r w:rsidRPr="00395593">
        <w:rPr>
          <w:rFonts w:ascii="Garamond" w:hAnsi="Garamond" w:cs="Calibri"/>
          <w:i/>
          <w:color w:val="000000"/>
          <w:sz w:val="24"/>
          <w:szCs w:val="24"/>
        </w:rPr>
        <w:t>swap</w:t>
      </w:r>
      <w:r w:rsidRPr="00395593">
        <w:rPr>
          <w:rFonts w:ascii="Garamond" w:hAnsi="Garamond" w:cs="Calibri"/>
          <w:color w:val="000000"/>
          <w:sz w:val="24"/>
          <w:szCs w:val="24"/>
        </w:rPr>
        <w:t xml:space="preserve">. </w:t>
      </w:r>
    </w:p>
    <w:p w14:paraId="5EBC31F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193.</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se a empresa realizou vendas de produto similar de outras marcas que não as suas próprias.</w:t>
      </w:r>
    </w:p>
    <w:p w14:paraId="74D4B3E7" w14:textId="77777777" w:rsidR="00E4045A" w:rsidRPr="00395593" w:rsidRDefault="00E4045A" w:rsidP="00E33E26">
      <w:pPr>
        <w:pStyle w:val="TextosemFormatao"/>
        <w:ind w:firstLine="567"/>
        <w:jc w:val="both"/>
        <w:rPr>
          <w:rFonts w:ascii="Garamond" w:hAnsi="Garamond" w:cs="Calibri"/>
          <w:color w:val="000000"/>
          <w:sz w:val="24"/>
          <w:szCs w:val="24"/>
        </w:rPr>
      </w:pPr>
    </w:p>
    <w:p w14:paraId="1F069E74"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XI</w:t>
      </w:r>
    </w:p>
    <w:p w14:paraId="5BF99398"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 xml:space="preserve">Indicadores de desempenho </w:t>
      </w:r>
    </w:p>
    <w:p w14:paraId="10A004B0" w14:textId="77777777" w:rsidR="00E4045A" w:rsidRPr="00395593" w:rsidRDefault="00E4045A" w:rsidP="00E33E26">
      <w:pPr>
        <w:pStyle w:val="TextosemFormatao"/>
        <w:ind w:firstLine="567"/>
        <w:jc w:val="both"/>
        <w:rPr>
          <w:rFonts w:ascii="Garamond" w:hAnsi="Garamond" w:cs="Calibri"/>
          <w:color w:val="000000"/>
          <w:sz w:val="24"/>
          <w:szCs w:val="24"/>
        </w:rPr>
      </w:pPr>
    </w:p>
    <w:p w14:paraId="65E09EF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194. As informações referentes às subseções desta seção dizem respeito aos períodos de P1 a P5 tal qual definido no art. 136 desta Portaria.</w:t>
      </w:r>
    </w:p>
    <w:p w14:paraId="753E5692" w14:textId="77777777" w:rsidR="00E4045A" w:rsidRPr="00395593" w:rsidRDefault="00E4045A" w:rsidP="00E33E26">
      <w:pPr>
        <w:pStyle w:val="TextosemFormatao"/>
        <w:ind w:firstLine="567"/>
        <w:jc w:val="both"/>
        <w:rPr>
          <w:rFonts w:ascii="Garamond" w:hAnsi="Garamond" w:cs="Calibri"/>
          <w:color w:val="000000"/>
          <w:sz w:val="24"/>
          <w:szCs w:val="24"/>
        </w:rPr>
      </w:pPr>
    </w:p>
    <w:p w14:paraId="738C02C4"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w:t>
      </w:r>
    </w:p>
    <w:p w14:paraId="5D53106A"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volume de vendas</w:t>
      </w:r>
    </w:p>
    <w:p w14:paraId="56A98C0C" w14:textId="77777777" w:rsidR="00E4045A" w:rsidRPr="00395593" w:rsidRDefault="00E4045A" w:rsidP="00E33E26">
      <w:pPr>
        <w:pStyle w:val="TextosemFormatao"/>
        <w:ind w:firstLine="567"/>
        <w:jc w:val="both"/>
        <w:rPr>
          <w:rFonts w:ascii="Garamond" w:hAnsi="Garamond" w:cs="Calibri"/>
          <w:color w:val="000000"/>
          <w:sz w:val="24"/>
          <w:szCs w:val="24"/>
        </w:rPr>
      </w:pPr>
    </w:p>
    <w:p w14:paraId="416E848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195.</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o valor e a quantidade vendida no mercado interno e externo do produto similar doméstico e o valor total das vendas da empresa, conforme tabela constante do Apêndice V. Deve-se observar que os totais informados no Apêndice V devem coincidir com a contabilidade da empresa e com as totalizações das informações fornecidas no Apêndice VI.</w:t>
      </w:r>
    </w:p>
    <w:p w14:paraId="47DECC3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196. Caso exista consumo cativo, isto é, exista transferência de produto a ser utilizado como matéria-prima ou insumo sem emissão de nota fiscal de venda, deve-se preencher o Apêndice VII. </w:t>
      </w:r>
    </w:p>
    <w:p w14:paraId="494C408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197.</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 xml:space="preserve">Deve-se preencher o Apêndice VIII, relativo às vendas no mercado interno do produto similar de fabricação própria, de acordo com as instruções contidas no referido apêndice. </w:t>
      </w:r>
    </w:p>
    <w:p w14:paraId="0D5454E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198.</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As vendas destinadas à Zona Franca de Manaus e às Zonas de Processamento de Exportações devem ser consideradas como vendas no mercado interno brasileiro.</w:t>
      </w:r>
    </w:p>
    <w:p w14:paraId="774933C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199.</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observar que as informações apresentadas no Apêndice VIII devem ser reconciliadas com a contabilidade da empresa e com as informações apresentadas nos Apêndices V, IX e XI.</w:t>
      </w:r>
    </w:p>
    <w:p w14:paraId="4E540C52" w14:textId="77777777" w:rsidR="00E4045A" w:rsidRPr="00395593" w:rsidRDefault="00E4045A" w:rsidP="00E33E26">
      <w:pPr>
        <w:pStyle w:val="TextosemFormatao"/>
        <w:ind w:firstLine="567"/>
        <w:jc w:val="both"/>
        <w:rPr>
          <w:rFonts w:ascii="Garamond" w:hAnsi="Garamond" w:cs="Calibri"/>
          <w:color w:val="000000"/>
          <w:sz w:val="24"/>
          <w:szCs w:val="24"/>
        </w:rPr>
      </w:pPr>
    </w:p>
    <w:p w14:paraId="09697418"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II</w:t>
      </w:r>
    </w:p>
    <w:p w14:paraId="2D976914"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 produção e do grau de utilização da capacidade instalada</w:t>
      </w:r>
    </w:p>
    <w:p w14:paraId="24A6EC20" w14:textId="77777777" w:rsidR="00E4045A" w:rsidRPr="00395593" w:rsidRDefault="00E4045A" w:rsidP="0007519C">
      <w:pPr>
        <w:spacing w:after="0" w:line="240" w:lineRule="auto"/>
        <w:jc w:val="center"/>
        <w:rPr>
          <w:rFonts w:ascii="Garamond" w:hAnsi="Garamond" w:cs="Calibri"/>
          <w:color w:val="000000"/>
          <w:sz w:val="24"/>
          <w:szCs w:val="24"/>
        </w:rPr>
      </w:pPr>
    </w:p>
    <w:p w14:paraId="32BD428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200.</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Caso o produto similar doméstico seja produzido em mais de uma planta, deve-se identificar cada uma delas e descrever as atividades efetuadas nas distintas plantas.</w:t>
      </w:r>
    </w:p>
    <w:p w14:paraId="21ADB95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201.</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se há subcontratação de serviços no processo produtivo, como, por exemplo, manutenção e ferramental, fornecimento de utilidades, etc.</w:t>
      </w:r>
    </w:p>
    <w:p w14:paraId="20AB197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202.</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 xml:space="preserve">Deve-se relacionar os subprodutos, coprodutos e refugos resultantes da produção. Indicar se esse material é reintroduzido no ciclo de produção ou reaproveitado de alguma forma, se é vendido ou se é descartado por ser desprovido de valor econômico. </w:t>
      </w:r>
    </w:p>
    <w:p w14:paraId="5EFCB72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203.</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o regime usual de produção do produto similar doméstico (produção contínua ou batelada) e o número de turnos.</w:t>
      </w:r>
    </w:p>
    <w:p w14:paraId="200C4E7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204.</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esclarecer se há outras rotas para a produção do produto similar doméstico. Em caso positivo, deve-se informar as principais diferenças entre essas rotas.</w:t>
      </w:r>
    </w:p>
    <w:p w14:paraId="132AA3D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205.</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a capacidade instalada nominal e efetiva da linha de produção do produto similar doméstico, e respectiva produção, conforme modelo constante no Apêndice VIII. Caso o produto seja fabricado em mais de uma linha ou planta, deve-se fornecer tais informações separadamente.</w:t>
      </w:r>
    </w:p>
    <w:p w14:paraId="65DB3D1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206.</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Caso a capacidade instalada seja comum a outros produtos além do similar doméstico, deve-se informar, no mesmo Apêndice VIII, a produção destes outros produtos, listando-os. Neste caso, deve-se informar a capacidade total de produção.</w:t>
      </w:r>
    </w:p>
    <w:p w14:paraId="26C2EBE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207.</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Caso a capacidade instalada tenha sido alterada ao longo do período considerado, deve-se explicar em que consistiu tal alteração.</w:t>
      </w:r>
    </w:p>
    <w:p w14:paraId="1EE1BDC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208.</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esclarecer pormenorizadamente como foi calculada a capacidade efetiva.</w:t>
      </w:r>
    </w:p>
    <w:p w14:paraId="5539B37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209.</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a ocorrência de eventuais paradas na produção, indicando período, duração e sua motivação.</w:t>
      </w:r>
    </w:p>
    <w:p w14:paraId="21A5A21C" w14:textId="77777777" w:rsidR="00E4045A" w:rsidRPr="00395593" w:rsidRDefault="00E4045A" w:rsidP="00E33E26">
      <w:pPr>
        <w:pStyle w:val="TextosemFormatao"/>
        <w:ind w:firstLine="567"/>
        <w:jc w:val="both"/>
        <w:rPr>
          <w:rFonts w:ascii="Garamond" w:hAnsi="Garamond" w:cs="Calibri"/>
          <w:color w:val="000000"/>
          <w:sz w:val="24"/>
          <w:szCs w:val="24"/>
        </w:rPr>
      </w:pPr>
    </w:p>
    <w:p w14:paraId="6A48DE84"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III</w:t>
      </w:r>
    </w:p>
    <w:p w14:paraId="088D5FB3"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Dos estoques</w:t>
      </w:r>
    </w:p>
    <w:p w14:paraId="329CFF2A" w14:textId="77777777" w:rsidR="00E4045A" w:rsidRPr="00395593" w:rsidRDefault="00E4045A" w:rsidP="00E33E26">
      <w:pPr>
        <w:pStyle w:val="TextosemFormatao"/>
        <w:ind w:firstLine="567"/>
        <w:jc w:val="both"/>
        <w:rPr>
          <w:rFonts w:ascii="Garamond" w:hAnsi="Garamond" w:cs="Calibri"/>
          <w:color w:val="000000"/>
          <w:sz w:val="24"/>
          <w:szCs w:val="24"/>
        </w:rPr>
      </w:pPr>
    </w:p>
    <w:p w14:paraId="4BF5BD6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210.</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os estoques, conforme modelo constante do Apêndice IX.</w:t>
      </w:r>
    </w:p>
    <w:p w14:paraId="2D6F2B4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211.</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apresentar as informações solicitadas em unidades de peso (tonelada ou quilograma) e, se for o caso, na unidade de comercialização, em planilhas separadas. Entende-se por unidade de comercialização a unidade pela qual o produto similar doméstico normalmente é comercializado. Esta unidade deve coincidir com aquela utilizada pela empresa em sua contabilidade (unidades, litros, metros, peças, pares, caixas, etc.).</w:t>
      </w:r>
    </w:p>
    <w:p w14:paraId="1CDAF72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212.</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se há produção para estoque ou se somente contra pedido. Caso haja produção para estoque, deve-se informar o nível de estoque considerado ideal.</w:t>
      </w:r>
    </w:p>
    <w:p w14:paraId="1747DF1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213.</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Caso a empresa entender que, em razão das importações do produto objeto da revisão, o prazo de permanência em estoque do produto similar doméstico venha aumentando, deve-se preencher o modelo constante do Apêndice X.</w:t>
      </w:r>
    </w:p>
    <w:p w14:paraId="3B466C58" w14:textId="77777777" w:rsidR="00E4045A" w:rsidRPr="00395593" w:rsidRDefault="00E4045A" w:rsidP="00E33E26">
      <w:pPr>
        <w:pStyle w:val="TextosemFormatao"/>
        <w:ind w:firstLine="567"/>
        <w:jc w:val="both"/>
        <w:rPr>
          <w:rFonts w:ascii="Garamond" w:hAnsi="Garamond" w:cs="Calibri"/>
          <w:color w:val="000000"/>
          <w:sz w:val="24"/>
          <w:szCs w:val="24"/>
        </w:rPr>
      </w:pPr>
    </w:p>
    <w:p w14:paraId="17B73088"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IV</w:t>
      </w:r>
    </w:p>
    <w:p w14:paraId="69CD8C99"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demonstrativo de resultado</w:t>
      </w:r>
    </w:p>
    <w:p w14:paraId="0D97B675" w14:textId="77777777" w:rsidR="00E4045A" w:rsidRPr="00395593" w:rsidRDefault="00E4045A" w:rsidP="00E33E26">
      <w:pPr>
        <w:pStyle w:val="TextosemFormatao"/>
        <w:ind w:firstLine="567"/>
        <w:jc w:val="both"/>
        <w:rPr>
          <w:rFonts w:ascii="Garamond" w:hAnsi="Garamond" w:cs="Calibri"/>
          <w:color w:val="000000"/>
          <w:sz w:val="24"/>
          <w:szCs w:val="24"/>
        </w:rPr>
      </w:pPr>
    </w:p>
    <w:p w14:paraId="103F571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214.</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apresentar demonstrativo de resultado relativo às vendas no mercado interno de produto similar de produção própria conforme o modelo constante do Apêndice XI.</w:t>
      </w:r>
    </w:p>
    <w:p w14:paraId="68FBA8E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215.</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apresentar demonstrativo de resultado relativo às exportações de produto similar de fabricação própria, conforme modelo constante do Apêndice XII.</w:t>
      </w:r>
    </w:p>
    <w:p w14:paraId="198B603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216.</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apresentar demonstrativo de resultado relativo às revendas de produtos importados ou adquiridos no mercado brasileiro, conforme modelo constante do Apêndice XIII. Deve-se esclarecer as razões que levaram essa empresa a importar o produto ou a adquiri-lo no mercado interno, listando os fornecedores nacionais e os estrangeiros por país.</w:t>
      </w:r>
    </w:p>
    <w:p w14:paraId="12F6DD9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217. Em todos os casos, deve-se informar pormenorizadamente, caso utilizado, o critério de rateio para apuração das despesas e receitas operacionais.</w:t>
      </w:r>
    </w:p>
    <w:p w14:paraId="239FF23A" w14:textId="77777777" w:rsidR="00E4045A" w:rsidRPr="00395593" w:rsidRDefault="00E4045A" w:rsidP="00E33E26">
      <w:pPr>
        <w:pStyle w:val="TextosemFormatao"/>
        <w:ind w:firstLine="567"/>
        <w:jc w:val="both"/>
        <w:rPr>
          <w:rFonts w:ascii="Garamond" w:hAnsi="Garamond" w:cs="Calibri"/>
          <w:color w:val="000000"/>
          <w:sz w:val="24"/>
          <w:szCs w:val="24"/>
        </w:rPr>
      </w:pPr>
    </w:p>
    <w:p w14:paraId="4A1C6506"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V</w:t>
      </w:r>
    </w:p>
    <w:p w14:paraId="3E5C7BBC"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emprego e da massa salarial</w:t>
      </w:r>
    </w:p>
    <w:p w14:paraId="7D03ABFE" w14:textId="77777777" w:rsidR="00E4045A" w:rsidRPr="00395593" w:rsidRDefault="00E4045A" w:rsidP="00E33E26">
      <w:pPr>
        <w:pStyle w:val="TextosemFormatao"/>
        <w:ind w:firstLine="567"/>
        <w:jc w:val="both"/>
        <w:rPr>
          <w:rFonts w:ascii="Garamond" w:hAnsi="Garamond" w:cs="Calibri"/>
          <w:color w:val="000000"/>
          <w:sz w:val="24"/>
          <w:szCs w:val="24"/>
        </w:rPr>
      </w:pPr>
    </w:p>
    <w:p w14:paraId="10EA212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218.</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 xml:space="preserve">Deve-se informar, conforme tabelas constantes nos Apêndices XIV e XV, o emprego e a massa salarial pertinentes à linha de produção do produto similar, discriminando a mão de obra contratada pela própria empresa (empregados) e a terceirizada por segmento: produção, administração e vendas. </w:t>
      </w:r>
    </w:p>
    <w:p w14:paraId="010725B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219. No Apêndice XIV, deve ser informado o número de empregados constante na folha de pagamentos no último dia de cada período. </w:t>
      </w:r>
    </w:p>
    <w:p w14:paraId="0A3DE48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220. Caso seja adotado critério de rateio, o mesmo deve ser explicado pormenorizadamente e observado para a elaboração dos Apêndices XIV e XV.</w:t>
      </w:r>
    </w:p>
    <w:p w14:paraId="0375A242" w14:textId="77777777" w:rsidR="00E4045A" w:rsidRPr="00395593" w:rsidRDefault="00E4045A" w:rsidP="00E33E26">
      <w:pPr>
        <w:pStyle w:val="TextosemFormatao"/>
        <w:ind w:firstLine="567"/>
        <w:jc w:val="both"/>
        <w:rPr>
          <w:rFonts w:ascii="Garamond" w:hAnsi="Garamond" w:cs="Calibri"/>
          <w:color w:val="000000"/>
          <w:sz w:val="24"/>
          <w:szCs w:val="24"/>
        </w:rPr>
      </w:pPr>
    </w:p>
    <w:p w14:paraId="52DE8352"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VI</w:t>
      </w:r>
    </w:p>
    <w:p w14:paraId="3D60D1F8"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retorno sobre investimentos</w:t>
      </w:r>
    </w:p>
    <w:p w14:paraId="4663EBEA" w14:textId="77777777" w:rsidR="00E4045A" w:rsidRPr="00395593" w:rsidRDefault="00E4045A" w:rsidP="0007519C">
      <w:pPr>
        <w:spacing w:after="0" w:line="240" w:lineRule="auto"/>
        <w:jc w:val="center"/>
        <w:rPr>
          <w:rFonts w:ascii="Garamond" w:hAnsi="Garamond" w:cs="Calibri"/>
          <w:b/>
          <w:color w:val="000000"/>
          <w:sz w:val="24"/>
          <w:szCs w:val="24"/>
        </w:rPr>
      </w:pPr>
    </w:p>
    <w:p w14:paraId="025E3B2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221.</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a taxa de retorno sobre o investimento conforme modelo constante do Apêndice XVI, indicando, se for o caso, o critério de rateio adotado.</w:t>
      </w:r>
    </w:p>
    <w:p w14:paraId="741074D9" w14:textId="77777777" w:rsidR="00E4045A" w:rsidRPr="00395593" w:rsidRDefault="00E4045A" w:rsidP="00E33E26">
      <w:pPr>
        <w:pStyle w:val="TextosemFormatao"/>
        <w:ind w:firstLine="567"/>
        <w:jc w:val="both"/>
        <w:rPr>
          <w:rFonts w:ascii="Garamond" w:hAnsi="Garamond" w:cs="Calibri"/>
          <w:color w:val="000000"/>
          <w:sz w:val="24"/>
          <w:szCs w:val="24"/>
        </w:rPr>
      </w:pPr>
    </w:p>
    <w:p w14:paraId="365FAAB0"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Subseção VII</w:t>
      </w:r>
    </w:p>
    <w:p w14:paraId="0F23E41A"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fluxo de caixa</w:t>
      </w:r>
    </w:p>
    <w:p w14:paraId="6EF27BD4" w14:textId="77777777" w:rsidR="00E4045A" w:rsidRPr="00395593" w:rsidRDefault="00E4045A" w:rsidP="00E33E26">
      <w:pPr>
        <w:pStyle w:val="TextosemFormatao"/>
        <w:ind w:firstLine="567"/>
        <w:jc w:val="both"/>
        <w:rPr>
          <w:rFonts w:ascii="Garamond" w:hAnsi="Garamond" w:cs="Calibri"/>
          <w:color w:val="000000"/>
          <w:sz w:val="24"/>
          <w:szCs w:val="24"/>
        </w:rPr>
      </w:pPr>
    </w:p>
    <w:p w14:paraId="543528DA" w14:textId="77777777" w:rsidR="00887637" w:rsidRDefault="00E4045A" w:rsidP="00887637">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222.</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o fluxo de caixa conforme modelo constante do Apêndice XVII, indicando, se for o caso, o critério de rateio adotado.</w:t>
      </w:r>
    </w:p>
    <w:p w14:paraId="744D095D" w14:textId="77777777" w:rsidR="00887637" w:rsidRDefault="00887637" w:rsidP="00887637">
      <w:pPr>
        <w:pStyle w:val="TextosemFormatao"/>
        <w:ind w:firstLine="567"/>
        <w:jc w:val="both"/>
        <w:rPr>
          <w:rFonts w:ascii="Garamond" w:hAnsi="Garamond" w:cs="Calibri"/>
          <w:color w:val="000000"/>
          <w:sz w:val="24"/>
          <w:szCs w:val="24"/>
        </w:rPr>
      </w:pPr>
    </w:p>
    <w:p w14:paraId="58C4F49B" w14:textId="77777777" w:rsidR="00887637" w:rsidRDefault="00887637" w:rsidP="00887637">
      <w:pPr>
        <w:pStyle w:val="TextosemFormatao"/>
        <w:ind w:firstLine="567"/>
        <w:jc w:val="both"/>
        <w:rPr>
          <w:rFonts w:ascii="Garamond" w:hAnsi="Garamond" w:cs="Calibri"/>
          <w:color w:val="000000"/>
          <w:sz w:val="24"/>
          <w:szCs w:val="24"/>
        </w:rPr>
      </w:pPr>
    </w:p>
    <w:p w14:paraId="4CDAF46E" w14:textId="4A6D28D9" w:rsidR="00E4045A" w:rsidRPr="00395593" w:rsidRDefault="00E4045A" w:rsidP="00887637">
      <w:pPr>
        <w:pStyle w:val="TextosemFormatao"/>
        <w:ind w:firstLine="567"/>
        <w:jc w:val="center"/>
        <w:rPr>
          <w:rFonts w:ascii="Garamond" w:hAnsi="Garamond" w:cs="Calibri"/>
          <w:b/>
          <w:color w:val="000000"/>
          <w:sz w:val="24"/>
          <w:szCs w:val="24"/>
        </w:rPr>
      </w:pPr>
      <w:r w:rsidRPr="00395593">
        <w:rPr>
          <w:rFonts w:ascii="Garamond" w:hAnsi="Garamond" w:cs="Calibri"/>
          <w:b/>
          <w:color w:val="000000"/>
          <w:sz w:val="24"/>
          <w:szCs w:val="24"/>
        </w:rPr>
        <w:t>Subseção VIII</w:t>
      </w:r>
    </w:p>
    <w:p w14:paraId="06E003B2"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 capacidade de captar recursos ou investimentos</w:t>
      </w:r>
    </w:p>
    <w:p w14:paraId="5AFA6E12" w14:textId="77777777" w:rsidR="00E4045A" w:rsidRPr="00395593" w:rsidRDefault="00E4045A" w:rsidP="00E33E26">
      <w:pPr>
        <w:pStyle w:val="TextosemFormatao"/>
        <w:ind w:firstLine="567"/>
        <w:jc w:val="both"/>
        <w:rPr>
          <w:rFonts w:ascii="Garamond" w:hAnsi="Garamond" w:cs="Calibri"/>
          <w:color w:val="000000"/>
          <w:sz w:val="24"/>
          <w:szCs w:val="24"/>
        </w:rPr>
      </w:pPr>
    </w:p>
    <w:p w14:paraId="545DA16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223.</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os investimentos realizados no período de análise do dano, na linha de produção do produto similar doméstico, explicando as principais razões para estes investimentos (ex.: exigências ambientais, padrões de segurança, atualizações tecnológicas, crescimento da demanda) ao longo do período e como estes foram financiados (caixa, empréstimos bancários, debêntures, etc.).</w:t>
      </w:r>
    </w:p>
    <w:p w14:paraId="27059F5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224.</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Caso existam, deve-se informar os principais fatores que influenciaram negativamente a capacidade de captar recursos ou investimentos, singularizando questões relacionadas à obtenção de crédito junto a bancos comerciais, histórico de taxas de juros, passivo judicial, entre outros temas relevantes.</w:t>
      </w:r>
    </w:p>
    <w:p w14:paraId="1DBFC6C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225.</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se a empresa tomou empréstimo de curto prazo no período de análise de dano e a taxa média de captação de cada período.</w:t>
      </w:r>
    </w:p>
    <w:p w14:paraId="6139437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226.</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se a empresa sofreu os efeitos negativos listados a seguir, como resultado das importações produto objeto da revisão:</w:t>
      </w:r>
    </w:p>
    <w:p w14:paraId="6CDD11A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cancelamento, adiamento ou rejeição de projetos de expansão;</w:t>
      </w:r>
    </w:p>
    <w:p w14:paraId="77FB181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rejeição ou não aceitação de propostas de investimento;</w:t>
      </w:r>
    </w:p>
    <w:p w14:paraId="76D753A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redução dos investimentos;</w:t>
      </w:r>
    </w:p>
    <w:p w14:paraId="3DB1749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rejeição de empréstimos bancários;</w:t>
      </w:r>
    </w:p>
    <w:p w14:paraId="5BD31BA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V - redução de linhas de crédito;</w:t>
      </w:r>
    </w:p>
    <w:p w14:paraId="4CD98C9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VI - efeitos sobre os papéis negociados em bolsa; e/ou</w:t>
      </w:r>
    </w:p>
    <w:p w14:paraId="50F4824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VII - outros (especificar).</w:t>
      </w:r>
    </w:p>
    <w:p w14:paraId="4F35F74A" w14:textId="77777777" w:rsidR="00E4045A" w:rsidRPr="00395593" w:rsidRDefault="00E4045A" w:rsidP="00E33E26">
      <w:pPr>
        <w:pStyle w:val="TextosemFormatao"/>
        <w:ind w:firstLine="567"/>
        <w:jc w:val="both"/>
        <w:rPr>
          <w:rFonts w:ascii="Garamond" w:hAnsi="Garamond" w:cs="Calibri"/>
          <w:color w:val="000000"/>
          <w:sz w:val="24"/>
          <w:szCs w:val="24"/>
        </w:rPr>
      </w:pPr>
    </w:p>
    <w:p w14:paraId="645CBF80"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IX</w:t>
      </w:r>
    </w:p>
    <w:p w14:paraId="552B87BC"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custo de produção</w:t>
      </w:r>
    </w:p>
    <w:p w14:paraId="02032944" w14:textId="77777777" w:rsidR="00E4045A" w:rsidRPr="00395593" w:rsidRDefault="00E4045A" w:rsidP="0007519C">
      <w:pPr>
        <w:spacing w:after="0" w:line="240" w:lineRule="auto"/>
        <w:jc w:val="center"/>
        <w:rPr>
          <w:rFonts w:ascii="Garamond" w:hAnsi="Garamond" w:cs="Calibri"/>
          <w:color w:val="000000"/>
          <w:sz w:val="24"/>
          <w:szCs w:val="24"/>
        </w:rPr>
      </w:pPr>
    </w:p>
    <w:p w14:paraId="4E52D3B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227.</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se houve mudança de critério de alocação de custo e, em caso positivo, deve-se esclarecer a natureza da alteração.</w:t>
      </w:r>
    </w:p>
    <w:p w14:paraId="5A92092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228.</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informar as condições de aquisição de matérias-primas, insumos e/ou utilidades (fornecedores independentes, de partes relacionadas e/ou se há consumo cativo). Deve-se esclarecer como são formados os preços em cada uma destas operações.</w:t>
      </w:r>
    </w:p>
    <w:p w14:paraId="2F75E19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229. Deve-se fornecer a estrutura de custos de acordo com o modelo constante do Apêndice XVIII para cada CODPROD ou grupos de CODPROD (ou CODIP se for o caso) identificado(s) na petição da investigação original. Em relação a P5, também deverão ser fornecidas informações mensais no Apêndice XIX. Caso o produto similar da indústria doméstica seja produzido em mais de uma planta, deve ser informado o custo de produção de cada uma delas.</w:t>
      </w:r>
    </w:p>
    <w:p w14:paraId="585BBE6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230.</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Para fins de preenchimento dos Apêndices XVIII e XIX, considera-se:</w:t>
      </w:r>
    </w:p>
    <w:p w14:paraId="52A3AAB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Custo de matérias-primas e outros insumos: incluem despesas de transporte, tarifas de importação e outras despesas associadas à aquisição do produto.</w:t>
      </w:r>
    </w:p>
    <w:p w14:paraId="6BD904A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Mão de obra: deve abranger todos os empregados envolvidos na produção. Incluir salários, bônus, horas-extras, férias, seguro, auxílio-doença e outros benefícios.</w:t>
      </w:r>
    </w:p>
    <w:p w14:paraId="7F9429C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Depreciação: informar como a empresa aloca as despesas referentes à depreciação. Apresentar planilha reconciliando tais despesas com os respectivos demonstrativos financeiros.</w:t>
      </w:r>
    </w:p>
    <w:p w14:paraId="72145AB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231.</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Caso a empresa tenha respondido ao art. 202, deve-se indicar de que forma a venda de subprodutos ou refugos impactou no custo.</w:t>
      </w:r>
    </w:p>
    <w:p w14:paraId="11E7FB3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232.</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Deve-se observar que os valores informados nos Apêndices XVIII e XIX devem ser conciliados com a contabilidade de custo e financeira da empresa.</w:t>
      </w:r>
    </w:p>
    <w:p w14:paraId="0B9D2867" w14:textId="77777777" w:rsidR="00E4045A" w:rsidRPr="00395593" w:rsidRDefault="00E4045A" w:rsidP="00E33E26">
      <w:pPr>
        <w:pStyle w:val="TextosemFormatao"/>
        <w:ind w:firstLine="567"/>
        <w:jc w:val="both"/>
        <w:rPr>
          <w:rFonts w:ascii="Garamond" w:hAnsi="Garamond" w:cs="Calibri"/>
          <w:color w:val="000000"/>
          <w:sz w:val="24"/>
          <w:szCs w:val="24"/>
        </w:rPr>
      </w:pPr>
    </w:p>
    <w:p w14:paraId="2723AC78"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XII</w:t>
      </w:r>
    </w:p>
    <w:p w14:paraId="1E9C4226"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Dos Indicadores de desempenho para indústria fragmentada</w:t>
      </w:r>
    </w:p>
    <w:p w14:paraId="6BA27B60" w14:textId="77777777" w:rsidR="00E4045A" w:rsidRPr="00395593" w:rsidRDefault="00E4045A" w:rsidP="00E33E26">
      <w:pPr>
        <w:pStyle w:val="NormalWeb"/>
        <w:spacing w:before="0" w:beforeAutospacing="0" w:after="0" w:afterAutospacing="0"/>
        <w:ind w:firstLine="567"/>
        <w:jc w:val="both"/>
        <w:rPr>
          <w:rFonts w:ascii="Garamond" w:eastAsia="Calibri" w:hAnsi="Garamond" w:cs="Calibri"/>
          <w:color w:val="000000"/>
        </w:rPr>
      </w:pPr>
    </w:p>
    <w:p w14:paraId="53640E54"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eastAsia="Calibri" w:hAnsi="Garamond" w:cs="Calibri"/>
          <w:color w:val="000000"/>
        </w:rPr>
        <w:t xml:space="preserve">Art. 233. </w:t>
      </w:r>
      <w:r w:rsidRPr="00395593">
        <w:rPr>
          <w:rFonts w:ascii="Garamond" w:hAnsi="Garamond" w:cs="Calibri"/>
          <w:color w:val="000000"/>
        </w:rPr>
        <w:t>Caso o peticionário seja habilitado como indústria fragmentada, conforme o previsto no § 2</w:t>
      </w:r>
      <w:r w:rsidRPr="00395593">
        <w:rPr>
          <w:rFonts w:ascii="Garamond" w:hAnsi="Garamond" w:cs="Calibri"/>
          <w:color w:val="000000"/>
          <w:u w:val="single"/>
          <w:vertAlign w:val="superscript"/>
        </w:rPr>
        <w:t>o</w:t>
      </w:r>
      <w:r w:rsidRPr="00395593">
        <w:rPr>
          <w:rFonts w:ascii="Garamond" w:hAnsi="Garamond" w:cs="Calibri"/>
          <w:color w:val="000000"/>
        </w:rPr>
        <w:t xml:space="preserve"> do art. 1</w:t>
      </w:r>
      <w:r w:rsidRPr="00395593">
        <w:rPr>
          <w:rFonts w:ascii="Garamond" w:hAnsi="Garamond" w:cs="Calibri"/>
          <w:color w:val="000000"/>
          <w:u w:val="single"/>
          <w:vertAlign w:val="superscript"/>
        </w:rPr>
        <w:t>o</w:t>
      </w:r>
      <w:r w:rsidRPr="00395593">
        <w:rPr>
          <w:rFonts w:ascii="Garamond" w:hAnsi="Garamond" w:cs="Calibri"/>
          <w:color w:val="000000"/>
        </w:rPr>
        <w:t xml:space="preserve"> do Decreto n</w:t>
      </w:r>
      <w:r w:rsidRPr="00395593">
        <w:rPr>
          <w:rFonts w:ascii="Garamond" w:hAnsi="Garamond" w:cs="Calibri"/>
          <w:color w:val="000000"/>
          <w:u w:val="single"/>
          <w:vertAlign w:val="superscript"/>
        </w:rPr>
        <w:t>o</w:t>
      </w:r>
      <w:r w:rsidRPr="00395593">
        <w:rPr>
          <w:rFonts w:ascii="Garamond" w:hAnsi="Garamond" w:cs="Calibri"/>
          <w:color w:val="000000"/>
        </w:rPr>
        <w:t xml:space="preserve"> 9.107, de 2017, e o estabelecido em ato específico da SECEX, a apresentação dos indicadores de desempenho previstos na Seção XI deste Capítulo poderá ser adaptada para refletir a disponibilidade de dados durante o período de revisão de continuação retomada do dano.</w:t>
      </w:r>
    </w:p>
    <w:p w14:paraId="4086A17B"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1</w:t>
      </w:r>
      <w:r w:rsidRPr="00395593">
        <w:rPr>
          <w:rFonts w:ascii="Garamond" w:hAnsi="Garamond" w:cs="Calibri"/>
          <w:strike/>
          <w:color w:val="000000"/>
        </w:rPr>
        <w:t>º</w:t>
      </w:r>
      <w:r w:rsidRPr="00395593">
        <w:rPr>
          <w:rFonts w:ascii="Garamond" w:hAnsi="Garamond" w:cs="Calibri"/>
          <w:color w:val="000000"/>
        </w:rPr>
        <w:t xml:space="preserve"> A petição de revisão de final de período apresentada por peticionário habilitado como indústria fragmentada poderá ser instruída exclusivamente com base em dados provenientes de fontes secundárias, como publicações, censos, periódicos, estudos, relatórios e dados amostrais disponíveis ou encomendados especificamente para instrução da petição.</w:t>
      </w:r>
    </w:p>
    <w:p w14:paraId="07EDB3EB"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2</w:t>
      </w:r>
      <w:r w:rsidRPr="00395593">
        <w:rPr>
          <w:rFonts w:ascii="Garamond" w:hAnsi="Garamond" w:cs="Calibri"/>
          <w:strike/>
          <w:color w:val="000000"/>
        </w:rPr>
        <w:t>º</w:t>
      </w:r>
      <w:r w:rsidRPr="00395593">
        <w:rPr>
          <w:rFonts w:ascii="Garamond" w:hAnsi="Garamond" w:cs="Calibri"/>
          <w:color w:val="000000"/>
        </w:rPr>
        <w:t xml:space="preserve"> Na elaboração da petição deverão ser utilizados, preferencialmente, dados provenientes de fontes oficiais de informações e dados estatísticos, como o Instituto Brasileiro de Geografia e Estatística (IBGE). </w:t>
      </w:r>
    </w:p>
    <w:p w14:paraId="451BF5BE"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3</w:t>
      </w:r>
      <w:r w:rsidRPr="00395593">
        <w:rPr>
          <w:rFonts w:ascii="Garamond" w:hAnsi="Garamond" w:cs="Calibri"/>
          <w:strike/>
          <w:color w:val="000000"/>
        </w:rPr>
        <w:t>º</w:t>
      </w:r>
      <w:r w:rsidRPr="00395593">
        <w:rPr>
          <w:rFonts w:ascii="Garamond" w:hAnsi="Garamond" w:cs="Calibri"/>
          <w:color w:val="000000"/>
        </w:rPr>
        <w:t xml:space="preserve"> Será exigida a descrição detalhada das metodologias empregadas para obtenção e tratamento dos dados e o passo a passo para apresentação dos indicadores de desempenho nos formatos das planilhas referidas na Seção XI deste Capítulo, bem como indicação de quaisquer ajustes e adaptações necessários aos formatos dessas planilhas.</w:t>
      </w:r>
    </w:p>
    <w:p w14:paraId="5CAF5CC7"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4</w:t>
      </w:r>
      <w:r w:rsidRPr="00395593">
        <w:rPr>
          <w:rFonts w:ascii="Garamond" w:hAnsi="Garamond" w:cs="Calibri"/>
          <w:strike/>
          <w:color w:val="000000"/>
        </w:rPr>
        <w:t>º</w:t>
      </w:r>
      <w:r w:rsidRPr="00395593">
        <w:rPr>
          <w:rFonts w:ascii="Garamond" w:hAnsi="Garamond" w:cs="Calibri"/>
          <w:color w:val="000000"/>
        </w:rPr>
        <w:t xml:space="preserve"> Caso algum dos indicadores de desempenho previstos na Seção XI deste Capítulo não esteja disponível, se possível, o peticionário deverá indicar indicador substituto (</w:t>
      </w:r>
      <w:r w:rsidRPr="00395593">
        <w:rPr>
          <w:rFonts w:ascii="Garamond" w:hAnsi="Garamond" w:cs="Calibri"/>
          <w:i/>
          <w:color w:val="000000"/>
        </w:rPr>
        <w:t>proxy</w:t>
      </w:r>
      <w:r w:rsidRPr="00395593">
        <w:rPr>
          <w:rFonts w:ascii="Garamond" w:hAnsi="Garamond" w:cs="Calibri"/>
          <w:color w:val="000000"/>
        </w:rPr>
        <w:t>).</w:t>
      </w:r>
    </w:p>
    <w:p w14:paraId="4E872791"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5</w:t>
      </w:r>
      <w:r w:rsidRPr="00395593">
        <w:rPr>
          <w:rFonts w:ascii="Garamond" w:hAnsi="Garamond" w:cs="Calibri"/>
          <w:strike/>
          <w:color w:val="000000"/>
        </w:rPr>
        <w:t>º</w:t>
      </w:r>
      <w:r w:rsidRPr="00395593">
        <w:rPr>
          <w:rFonts w:ascii="Garamond" w:hAnsi="Garamond" w:cs="Calibri"/>
          <w:color w:val="000000"/>
        </w:rPr>
        <w:t xml:space="preserve"> Caso não seja possível apresentar indicador substituto (</w:t>
      </w:r>
      <w:r w:rsidRPr="00395593">
        <w:rPr>
          <w:rFonts w:ascii="Garamond" w:hAnsi="Garamond" w:cs="Calibri"/>
          <w:i/>
          <w:color w:val="000000"/>
        </w:rPr>
        <w:t>proxy</w:t>
      </w:r>
      <w:r w:rsidRPr="00395593">
        <w:rPr>
          <w:rFonts w:ascii="Garamond" w:hAnsi="Garamond" w:cs="Calibri"/>
          <w:color w:val="000000"/>
        </w:rPr>
        <w:t>) nos termos do § 4</w:t>
      </w:r>
      <w:r w:rsidRPr="00395593">
        <w:rPr>
          <w:rFonts w:ascii="Garamond" w:hAnsi="Garamond" w:cs="Calibri"/>
          <w:strike/>
          <w:color w:val="000000"/>
        </w:rPr>
        <w:t>º</w:t>
      </w:r>
      <w:r w:rsidRPr="00395593">
        <w:rPr>
          <w:rFonts w:ascii="Garamond" w:hAnsi="Garamond" w:cs="Calibri"/>
          <w:color w:val="000000"/>
        </w:rPr>
        <w:t>, será exigida motivação detalhada para cada um dos indicadores previstos na Seção XI deste Capítulo não apresentados na petição.</w:t>
      </w:r>
    </w:p>
    <w:p w14:paraId="3205C762"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6</w:t>
      </w:r>
      <w:r w:rsidRPr="00395593">
        <w:rPr>
          <w:rFonts w:ascii="Garamond" w:hAnsi="Garamond" w:cs="Calibri"/>
          <w:strike/>
          <w:color w:val="000000"/>
        </w:rPr>
        <w:t>º</w:t>
      </w:r>
      <w:r w:rsidRPr="00395593">
        <w:rPr>
          <w:rFonts w:ascii="Garamond" w:hAnsi="Garamond" w:cs="Calibri"/>
          <w:color w:val="000000"/>
        </w:rPr>
        <w:t xml:space="preserve"> Não será aceita petição de revisão de final de período apresentada por indústria fragmentada que não contenha ao menos os seguintes indicadores:</w:t>
      </w:r>
    </w:p>
    <w:p w14:paraId="22BECF0C"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a) volume de vendas no mercado interno brasileiro;</w:t>
      </w:r>
    </w:p>
    <w:p w14:paraId="0D19CE0A"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b) participação no mercado brasileiro;</w:t>
      </w:r>
    </w:p>
    <w:p w14:paraId="3201FE78"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c) produção do produto;</w:t>
      </w:r>
    </w:p>
    <w:p w14:paraId="118C1B36"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d) capacidade instalada ou produção máxima registrada;</w:t>
      </w:r>
    </w:p>
    <w:p w14:paraId="46FCA362"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e) faturamento com vendas do produto no mercado interno;</w:t>
      </w:r>
    </w:p>
    <w:p w14:paraId="6514CC5A"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f) custo de produção;</w:t>
      </w:r>
    </w:p>
    <w:p w14:paraId="69F08C28"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g) relação custo/preço; e</w:t>
      </w:r>
    </w:p>
    <w:p w14:paraId="4C3DD736"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h) emprego.</w:t>
      </w:r>
    </w:p>
    <w:p w14:paraId="7B76160B"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7</w:t>
      </w:r>
      <w:r w:rsidRPr="00395593">
        <w:rPr>
          <w:rFonts w:ascii="Garamond" w:hAnsi="Garamond" w:cs="Calibri"/>
          <w:strike/>
          <w:color w:val="000000"/>
        </w:rPr>
        <w:t>º</w:t>
      </w:r>
      <w:r w:rsidRPr="00395593">
        <w:rPr>
          <w:rFonts w:ascii="Garamond" w:hAnsi="Garamond" w:cs="Calibri"/>
          <w:color w:val="000000"/>
        </w:rPr>
        <w:t xml:space="preserve"> A petição poderá ser complementada com indicadores obtidos a partir de amostras dos produtores nacionais (por exemplo, demonstrações de resultados, massa salarial etc.).</w:t>
      </w:r>
    </w:p>
    <w:p w14:paraId="7C38A59E"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8</w:t>
      </w:r>
      <w:r w:rsidRPr="00395593">
        <w:rPr>
          <w:rFonts w:ascii="Garamond" w:hAnsi="Garamond" w:cs="Calibri"/>
          <w:strike/>
          <w:color w:val="000000"/>
        </w:rPr>
        <w:t>º</w:t>
      </w:r>
      <w:r w:rsidRPr="00395593">
        <w:rPr>
          <w:rFonts w:ascii="Garamond" w:hAnsi="Garamond" w:cs="Calibri"/>
          <w:color w:val="000000"/>
        </w:rPr>
        <w:t xml:space="preserve"> Serão aceitos ajustes para adequar ao período de revisão de continuação ou retomada de dano os dados agregados disponíveis em periodicidade diferente à do referido período no caso de petição apresentada por indústria fragmentada. </w:t>
      </w:r>
    </w:p>
    <w:p w14:paraId="2436A7E5"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eastAsia="Calibri" w:hAnsi="Garamond" w:cs="Calibri"/>
          <w:color w:val="000000"/>
        </w:rPr>
        <w:t xml:space="preserve">Art.234. </w:t>
      </w:r>
      <w:r w:rsidRPr="00395593">
        <w:rPr>
          <w:rFonts w:ascii="Garamond" w:hAnsi="Garamond" w:cs="Calibri"/>
          <w:color w:val="000000"/>
        </w:rPr>
        <w:t xml:space="preserve">Conforme previsto no § 6º do art. 32 do Decreto nº 8.058, de 2013, não sendo possível a identificação individualizada da produção do produto similar doméstico, os efeitos das importações objeto de </w:t>
      </w:r>
      <w:r w:rsidRPr="00395593">
        <w:rPr>
          <w:rFonts w:ascii="Garamond" w:hAnsi="Garamond" w:cs="Calibri"/>
          <w:i/>
          <w:color w:val="000000"/>
        </w:rPr>
        <w:t>dumping</w:t>
      </w:r>
      <w:r w:rsidRPr="00395593">
        <w:rPr>
          <w:rFonts w:ascii="Garamond" w:hAnsi="Garamond" w:cs="Calibri"/>
          <w:color w:val="000000"/>
        </w:rPr>
        <w:t xml:space="preserve"> serão determinados com base na produção do grupo ou gama de produtos que, definido da forma mais restrita possível, inclua o produto similar doméstico e para o qual os dados necessários possam ser apresentados.</w:t>
      </w:r>
    </w:p>
    <w:p w14:paraId="5FD3BBA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235. Caso a Subsecretaria de Defesa Comercial e Interesse Público julgue necessário, poderão ser realizadas verificações </w:t>
      </w:r>
      <w:r w:rsidRPr="00395593">
        <w:rPr>
          <w:rFonts w:ascii="Garamond" w:hAnsi="Garamond" w:cs="Calibri"/>
          <w:i/>
          <w:color w:val="000000"/>
          <w:sz w:val="24"/>
          <w:szCs w:val="24"/>
        </w:rPr>
        <w:t>in loco</w:t>
      </w:r>
      <w:r w:rsidRPr="00395593">
        <w:rPr>
          <w:rFonts w:ascii="Garamond" w:hAnsi="Garamond" w:cs="Calibri"/>
          <w:b/>
          <w:color w:val="000000"/>
          <w:sz w:val="24"/>
          <w:szCs w:val="24"/>
        </w:rPr>
        <w:t xml:space="preserve"> </w:t>
      </w:r>
      <w:r w:rsidRPr="00395593">
        <w:rPr>
          <w:rFonts w:ascii="Garamond" w:hAnsi="Garamond" w:cs="Calibri"/>
          <w:color w:val="000000"/>
          <w:sz w:val="24"/>
          <w:szCs w:val="24"/>
        </w:rPr>
        <w:t>em empresa, associações, institutos de pesquisa e quaisquer entidades que apresentem dados para instrução de petições de revisão de final de período protocoladas por indústria fragmentada.</w:t>
      </w:r>
    </w:p>
    <w:p w14:paraId="58D2F019" w14:textId="77777777" w:rsidR="00E4045A" w:rsidRPr="00395593" w:rsidRDefault="00E4045A" w:rsidP="00E33E26">
      <w:pPr>
        <w:pStyle w:val="TextosemFormatao"/>
        <w:ind w:firstLine="567"/>
        <w:jc w:val="both"/>
        <w:rPr>
          <w:rFonts w:ascii="Garamond" w:hAnsi="Garamond" w:cs="Calibri"/>
          <w:b/>
          <w:color w:val="000000"/>
          <w:sz w:val="24"/>
          <w:szCs w:val="24"/>
        </w:rPr>
      </w:pPr>
    </w:p>
    <w:p w14:paraId="2F51E7A5"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XIII</w:t>
      </w:r>
    </w:p>
    <w:p w14:paraId="74306261"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 continuação ou da retomada do dano à indústria doméstica</w:t>
      </w:r>
    </w:p>
    <w:p w14:paraId="7F3B2157"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w:t>
      </w:r>
    </w:p>
    <w:p w14:paraId="1A7AFB6C"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 continuação do dano</w:t>
      </w:r>
    </w:p>
    <w:p w14:paraId="7B0C189A" w14:textId="77777777" w:rsidR="00E4045A" w:rsidRPr="00395593" w:rsidRDefault="00E4045A" w:rsidP="00E33E26">
      <w:pPr>
        <w:pStyle w:val="TextosemFormatao"/>
        <w:ind w:firstLine="567"/>
        <w:jc w:val="both"/>
        <w:rPr>
          <w:rFonts w:ascii="Garamond" w:hAnsi="Garamond" w:cs="Calibri"/>
          <w:color w:val="000000"/>
          <w:sz w:val="24"/>
          <w:szCs w:val="24"/>
        </w:rPr>
      </w:pPr>
    </w:p>
    <w:p w14:paraId="1A18B8E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236. Com base nos indicadores de desempenho constantes das subseções I a IX da Seção V, deve-se explicar de que maneira o dano à indústria doméstica continuou. </w:t>
      </w:r>
    </w:p>
    <w:p w14:paraId="4179E0D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237. Quanto aos possíveis efeitos sobre os preços da indústria doméstica, deve-se informar se:</w:t>
      </w:r>
    </w:p>
    <w:p w14:paraId="7BB4568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o preço do produto objeto da revisão esteve subcotado em relação ao preço do produto similar da indústria doméstica;</w:t>
      </w:r>
    </w:p>
    <w:p w14:paraId="5069380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em decorrência do preço do produto objeto da revisão houve depressão ou supressão do preço do produto similar da indústria doméstica.</w:t>
      </w:r>
    </w:p>
    <w:p w14:paraId="6F96AE5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Parágrafo único. Deve-se estimar o montante de subcotação e indicar a metodologia para cálculo do preço internado do produto objeto da revisão, singularizando o valor ou o percentual equivalente às despesas para sua internação. </w:t>
      </w:r>
    </w:p>
    <w:p w14:paraId="02AC3FD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238. Deve-se informar se, em função da concorrência com o produto objeto da revisão, a empresa perdeu vendas no mercado interno, indicando o cliente e as condições de tal(is) venda(s) (preço, condições de pagamento etc.).</w:t>
      </w:r>
    </w:p>
    <w:p w14:paraId="2519DFF7" w14:textId="77777777" w:rsidR="00E4045A" w:rsidRPr="00395593" w:rsidRDefault="00E4045A" w:rsidP="00E33E26">
      <w:pPr>
        <w:pStyle w:val="TextosemFormatao"/>
        <w:ind w:firstLine="567"/>
        <w:jc w:val="both"/>
        <w:rPr>
          <w:rFonts w:ascii="Garamond" w:hAnsi="Garamond" w:cs="Calibri"/>
          <w:color w:val="000000"/>
          <w:sz w:val="24"/>
          <w:szCs w:val="24"/>
        </w:rPr>
      </w:pPr>
    </w:p>
    <w:p w14:paraId="6CB1DDCC"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II</w:t>
      </w:r>
    </w:p>
    <w:p w14:paraId="7E96CE7F"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 retomada do dano</w:t>
      </w:r>
    </w:p>
    <w:p w14:paraId="7A7CD3D9" w14:textId="77777777" w:rsidR="00E4045A" w:rsidRPr="00395593" w:rsidRDefault="00E4045A" w:rsidP="0007519C">
      <w:pPr>
        <w:spacing w:after="0" w:line="240" w:lineRule="auto"/>
        <w:jc w:val="center"/>
        <w:rPr>
          <w:rFonts w:ascii="Garamond" w:hAnsi="Garamond" w:cs="Calibri"/>
          <w:color w:val="000000"/>
          <w:sz w:val="24"/>
          <w:szCs w:val="24"/>
        </w:rPr>
      </w:pPr>
    </w:p>
    <w:p w14:paraId="21D8137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239. Com base nos indicadores de desempenho constantes das subseções I a IX da Seção V, deve-se explicar de que maneira a extinção da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poderia levar à retomada do dano à indústria doméstica.</w:t>
      </w:r>
    </w:p>
    <w:p w14:paraId="796F516F" w14:textId="77777777" w:rsidR="00E4045A" w:rsidRPr="00395593" w:rsidRDefault="00E4045A" w:rsidP="00E33E26">
      <w:pPr>
        <w:pStyle w:val="NormalWeb"/>
        <w:spacing w:before="0" w:beforeAutospacing="0" w:after="0" w:afterAutospacing="0"/>
        <w:ind w:firstLine="567"/>
        <w:jc w:val="both"/>
        <w:rPr>
          <w:rFonts w:ascii="Garamond" w:hAnsi="Garamond" w:cs="Calibri"/>
          <w:color w:val="000000"/>
        </w:rPr>
      </w:pPr>
      <w:r w:rsidRPr="00395593">
        <w:rPr>
          <w:rFonts w:ascii="Garamond" w:hAnsi="Garamond" w:cs="Calibri"/>
          <w:color w:val="000000"/>
        </w:rPr>
        <w:t>Art. 240. A petição deverá indicar:</w:t>
      </w:r>
    </w:p>
    <w:p w14:paraId="3E93F8AC"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 - a provável tendência de comportamento das importações do produto objeto da revisão;</w:t>
      </w:r>
    </w:p>
    <w:p w14:paraId="4DB7C74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II - o preço provável das importações objeto de dumping e o seu provável efeito sobre os preços do produto similar no mercado interno brasileiro; e</w:t>
      </w:r>
    </w:p>
    <w:p w14:paraId="1E65FFF6"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III – a existência de alterações nas condições de mercado no país exportador, no Brasil ou em terceiros mercados, incluindo alterações na oferta e na demanda do produto similar, em razão, por exemplo, da imposição de medidas de defesa comercial por outros países.</w:t>
      </w:r>
    </w:p>
    <w:p w14:paraId="4A19472D"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1º A petição de revisão de final de período ou de revisão do direito por alteração de circunstâncias deverá indicar o preço provável referente a cada origem investigada, com dados de preço médio de exportação do produto similar das origens investigadas para terceiros países disponíveis em bases de dados públicas de comércio internacional, conforme os seguintes cenários:</w:t>
      </w:r>
    </w:p>
    <w:p w14:paraId="46CC55C6"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 – exportações de cada origem investigada para todos os destinos do mundo, conjuntamente;</w:t>
      </w:r>
    </w:p>
    <w:p w14:paraId="28037143"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II – exportações de cada origem investigada para o seu maior destino, em termos de volume;</w:t>
      </w:r>
    </w:p>
    <w:p w14:paraId="271CD32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exportações de cada origem investigada para os seus cinco maiores destinos, em termos de volume, conjunta e/ou separadamente; </w:t>
      </w:r>
    </w:p>
    <w:p w14:paraId="17DC973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IV – exportações de cada origem investigada para os seus dez maiores destinos, em termos de volume, conjunta e/ou separadamente; e</w:t>
      </w:r>
    </w:p>
    <w:p w14:paraId="04A301D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V – exportações de cada origem investigada para os destinos na América do Sul, conjunta e/ou separadamente.</w:t>
      </w:r>
    </w:p>
    <w:p w14:paraId="7C8A4030"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2º A petição especificará em sua análise a base pública de comércio internacional considerada, devendo justificar a sua escolha.</w:t>
      </w:r>
    </w:p>
    <w:p w14:paraId="5ECD5C49"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3º Adicionalmente, caso haja cenários na petição que divirjam daqueles previstos no caput, a indicação de preço provável deverá estar acompanhada das justificativas da escolha e dos elementos de prova que a embasaram.</w:t>
      </w:r>
    </w:p>
    <w:p w14:paraId="075A3743"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241. Na hipótese do inciso II do art. 240, deve-se informar se:</w:t>
      </w:r>
    </w:p>
    <w:p w14:paraId="2B06B78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o provável preço do produto objeto da revisão estaria subcotado em relação ao preço do produto similar da indústria doméstica;</w:t>
      </w:r>
    </w:p>
    <w:p w14:paraId="3BBC1DC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em decorrência do provável preço do produto objeto da revisão haveria depressão ou supressão do preço do produto similar da indústria doméstica.</w:t>
      </w:r>
    </w:p>
    <w:p w14:paraId="3ACFEDD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Parágrafo único. Deve-se estimar o montante de subcotação e indicar a metodologia para cálculo do provável preço internado do produto objeto da revisão, singularizando o valor ou o percentual equivalente às despesas para sua internação.</w:t>
      </w:r>
    </w:p>
    <w:p w14:paraId="55E3CC3C" w14:textId="77777777" w:rsidR="00E4045A" w:rsidRPr="00395593" w:rsidRDefault="00E4045A" w:rsidP="00E33E26">
      <w:pPr>
        <w:pStyle w:val="TextosemFormatao"/>
        <w:ind w:firstLine="567"/>
        <w:jc w:val="both"/>
        <w:rPr>
          <w:rFonts w:ascii="Garamond" w:hAnsi="Garamond" w:cs="Calibri"/>
          <w:color w:val="000000"/>
          <w:sz w:val="24"/>
          <w:szCs w:val="24"/>
        </w:rPr>
      </w:pPr>
    </w:p>
    <w:p w14:paraId="1F1EFB0E"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XIV</w:t>
      </w:r>
    </w:p>
    <w:p w14:paraId="02921916"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Dos possíveis outros fatores causadores de dano e da não atribuição</w:t>
      </w:r>
    </w:p>
    <w:p w14:paraId="39D92208" w14:textId="77777777" w:rsidR="00E4045A" w:rsidRPr="00395593" w:rsidRDefault="00E4045A" w:rsidP="00E33E26">
      <w:pPr>
        <w:pStyle w:val="TextosemFormatao"/>
        <w:ind w:firstLine="567"/>
        <w:jc w:val="both"/>
        <w:rPr>
          <w:rFonts w:ascii="Garamond" w:hAnsi="Garamond" w:cs="Calibri"/>
          <w:color w:val="000000"/>
          <w:sz w:val="24"/>
          <w:szCs w:val="24"/>
        </w:rPr>
      </w:pPr>
    </w:p>
    <w:p w14:paraId="59FB59D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242.</w:t>
      </w:r>
      <w:r w:rsidRPr="00395593" w:rsidDel="007D4B92">
        <w:rPr>
          <w:rFonts w:ascii="Garamond" w:hAnsi="Garamond" w:cs="Calibri"/>
          <w:color w:val="000000"/>
          <w:sz w:val="24"/>
          <w:szCs w:val="24"/>
        </w:rPr>
        <w:t xml:space="preserve"> </w:t>
      </w:r>
      <w:r w:rsidRPr="00395593">
        <w:rPr>
          <w:rFonts w:ascii="Garamond" w:hAnsi="Garamond" w:cs="Calibri"/>
          <w:color w:val="000000"/>
          <w:sz w:val="24"/>
          <w:szCs w:val="24"/>
        </w:rPr>
        <w:t xml:space="preserve">Deve-se indicar quaisquer outros fatores que possam contribuir para a continuação do dano, tais como: </w:t>
      </w:r>
    </w:p>
    <w:p w14:paraId="1AB32C4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o volume e preço de importações não sujeitas ao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w:t>
      </w:r>
    </w:p>
    <w:p w14:paraId="66B78EF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o impacto de eventuais processos de liberalização das importações sobre os preços domésticos; </w:t>
      </w:r>
    </w:p>
    <w:p w14:paraId="2AF38EE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contração na demanda ou mudanças nos padrões de consumo; </w:t>
      </w:r>
    </w:p>
    <w:p w14:paraId="5CBD846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práticas restritivas ao comércio de produtores domésticos e estrangeiros e a concorrência entre eles;</w:t>
      </w:r>
    </w:p>
    <w:p w14:paraId="6D8DAA3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 - progresso tecnológico; </w:t>
      </w:r>
    </w:p>
    <w:p w14:paraId="6EC7629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VI - desempenho exportador da indústria doméstica; </w:t>
      </w:r>
    </w:p>
    <w:p w14:paraId="721ECCB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VII - produtividade da indústria doméstica; </w:t>
      </w:r>
    </w:p>
    <w:p w14:paraId="22A084C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VIII - consumo cativo; </w:t>
      </w:r>
    </w:p>
    <w:p w14:paraId="0312FA0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IX - importações ou revenda do produto importado pela indústria doméstica; e</w:t>
      </w:r>
    </w:p>
    <w:p w14:paraId="0A0F6ED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X - qualquer outro fator considerado importante.</w:t>
      </w:r>
    </w:p>
    <w:p w14:paraId="0D1BBE5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243. Tanto nos casos de retomada quanto de continuação de dano, deve-se indicar o potencial exportador do país sujeito à medida, informando, se possível, a capacidade instalada e o volume da produção e o valor e o volume das exportações para todos os destinos, conforme os Apêndices XXVI e XXVII.</w:t>
      </w:r>
    </w:p>
    <w:p w14:paraId="7C62F69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244. No caso de retomada do dano à indústria doméstica, informar o conhecimento:</w:t>
      </w:r>
    </w:p>
    <w:p w14:paraId="7B9A5F8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I – de estoques internacionais do produto similar e do produto objeto da revisão; e</w:t>
      </w:r>
    </w:p>
    <w:p w14:paraId="6C50FB7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de instalação de novas plantas tanto no(s) país(es) sujeito(s) à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quanto em terceiros países, indicando, se possível, a data de entrada em funcionamento e a capacidade instalada de cada nova planta.</w:t>
      </w:r>
    </w:p>
    <w:p w14:paraId="79CCE511" w14:textId="77777777" w:rsidR="00E4045A" w:rsidRPr="00395593" w:rsidRDefault="00E4045A" w:rsidP="00E33E26">
      <w:pPr>
        <w:pStyle w:val="TextosemFormatao"/>
        <w:ind w:firstLine="567"/>
        <w:jc w:val="both"/>
        <w:rPr>
          <w:rFonts w:ascii="Garamond" w:hAnsi="Garamond" w:cs="Calibri"/>
          <w:color w:val="000000"/>
          <w:sz w:val="24"/>
          <w:szCs w:val="24"/>
        </w:rPr>
      </w:pPr>
    </w:p>
    <w:p w14:paraId="447CA45A"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XV</w:t>
      </w:r>
    </w:p>
    <w:p w14:paraId="7CB9EF2D"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Das disposições finais</w:t>
      </w:r>
    </w:p>
    <w:p w14:paraId="0419936D" w14:textId="77777777" w:rsidR="00E4045A" w:rsidRPr="00395593" w:rsidRDefault="00E4045A" w:rsidP="0007519C">
      <w:pPr>
        <w:spacing w:after="0" w:line="240" w:lineRule="auto"/>
        <w:jc w:val="center"/>
        <w:rPr>
          <w:rFonts w:ascii="Garamond" w:hAnsi="Garamond" w:cs="Calibri"/>
          <w:color w:val="000000"/>
          <w:sz w:val="24"/>
          <w:szCs w:val="24"/>
        </w:rPr>
      </w:pPr>
    </w:p>
    <w:p w14:paraId="64397CA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245. </w:t>
      </w:r>
      <w:r w:rsidRPr="00395593">
        <w:rPr>
          <w:rFonts w:ascii="Garamond" w:hAnsi="Garamond" w:cs="Calibri"/>
          <w:color w:val="000000"/>
          <w:sz w:val="24"/>
          <w:szCs w:val="24"/>
          <w:shd w:val="clear" w:color="auto" w:fill="FFFFFF"/>
        </w:rPr>
        <w:t>A normas sobre a representação legal de partes interessadas deverão constar de ato normativo específico.</w:t>
      </w:r>
    </w:p>
    <w:p w14:paraId="0C7044DA" w14:textId="77777777" w:rsidR="00E4045A" w:rsidRPr="00395593" w:rsidRDefault="00E4045A" w:rsidP="00E33E26">
      <w:pPr>
        <w:pStyle w:val="TextosemFormatao"/>
        <w:ind w:firstLine="567"/>
        <w:jc w:val="both"/>
        <w:rPr>
          <w:rFonts w:ascii="Garamond" w:hAnsi="Garamond" w:cs="Calibri"/>
          <w:color w:val="000000"/>
          <w:sz w:val="24"/>
          <w:szCs w:val="24"/>
        </w:rPr>
      </w:pPr>
    </w:p>
    <w:p w14:paraId="4A0E106C"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CAPÍTULO IV</w:t>
      </w:r>
    </w:p>
    <w:p w14:paraId="1898E60A"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 xml:space="preserve">DO PREÇO PROVÁVEL </w:t>
      </w:r>
    </w:p>
    <w:p w14:paraId="3CBDC934" w14:textId="77777777" w:rsidR="00E4045A" w:rsidRPr="00395593" w:rsidRDefault="00E4045A" w:rsidP="00E33E26">
      <w:pPr>
        <w:pStyle w:val="Corpodetexto"/>
        <w:ind w:firstLine="567"/>
        <w:rPr>
          <w:rFonts w:ascii="Garamond" w:hAnsi="Garamond" w:cs="Calibri"/>
          <w:color w:val="000000"/>
        </w:rPr>
      </w:pPr>
    </w:p>
    <w:p w14:paraId="57DC92E0"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Art. 246. A análise de preço provável prevista no § 3º do art. 107 e no inciso III do art. 104 do Decreto nº 8.058, de 2013, deve seguir os procedimentos previstos neste Capítulo.</w:t>
      </w:r>
    </w:p>
    <w:p w14:paraId="43FB840D"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247. Os parâmetros de análise de preço provável estabelecidos nesta Portaria serão considerados nas hipóteses de não ter havido exportações do país ao qual se aplica a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ou de ter havido apenas exportações em quantidades não representativas durante o período de revisão de final de período, nos termos do § 3º do art. 107 do Decreto nº 8.058, de 2013 (retomada do </w:t>
      </w:r>
      <w:r w:rsidRPr="00395593">
        <w:rPr>
          <w:rFonts w:ascii="Garamond" w:hAnsi="Garamond" w:cs="Calibri"/>
          <w:i/>
          <w:color w:val="000000"/>
          <w:sz w:val="24"/>
          <w:szCs w:val="24"/>
        </w:rPr>
        <w:t>dumping</w:t>
      </w:r>
      <w:r w:rsidRPr="00395593">
        <w:rPr>
          <w:rFonts w:ascii="Garamond" w:hAnsi="Garamond" w:cs="Calibri"/>
          <w:color w:val="000000"/>
          <w:sz w:val="24"/>
          <w:szCs w:val="24"/>
        </w:rPr>
        <w:t>), ou por alteração de circunstâncias, nos termos do inciso III do art. 104, ambos do Decreto nº 8.058, de 2013.</w:t>
      </w:r>
    </w:p>
    <w:p w14:paraId="2305B70C"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Parágrafo único. Excepcionalmente, os parâmetros de análise de preço provável poderão ser considerados nas hipóteses de ter havido exportações do produto objeto da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em quantidades representativas (continuação do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quando, diante de especificidades do caso concreto, sejam verificadas as seguintes circunstâncias: </w:t>
      </w:r>
    </w:p>
    <w:p w14:paraId="2D4C1669"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 – efeitos sobre os preços de exportação decorrentes de compromissos de preços vigentes;</w:t>
      </w:r>
    </w:p>
    <w:p w14:paraId="5B0485D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II – efeitos sobre os preços de exportação decorrentes de relacionamento entre partes interessadas; e/ou</w:t>
      </w:r>
    </w:p>
    <w:p w14:paraId="578EB4A9"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III- outras circunstâncias em que os preços de exportação das origens sob análise não reflitam adequadamente o preço provável a ser praticado na hipótese de extinção dos direitos.</w:t>
      </w:r>
    </w:p>
    <w:p w14:paraId="18B59C6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248. A petição de revisão de final de período ou de revisão do direito por alteração de circunstâncias deverá indicar o preço provável referente a cada origem investigada, com dados de preço médio de exportação do produto similar das origens investigadas para terceiros países disponíveis em bases de dados públicas de comércio internacional, conforme os seguintes cenários:</w:t>
      </w:r>
    </w:p>
    <w:p w14:paraId="0A3DC934"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 – exportações de cada origem investigada para todos os destinos do mundo, conjuntamente;</w:t>
      </w:r>
    </w:p>
    <w:p w14:paraId="7F5C82B0"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II – exportações de cada origem investigada para o seu maior destino, em termos de volume;</w:t>
      </w:r>
    </w:p>
    <w:p w14:paraId="1B0E9FFD"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exportações de cada origem investigada para os seus cinco maiores destinos, em termos de volume, conjunta e/ou separadamente; </w:t>
      </w:r>
    </w:p>
    <w:p w14:paraId="1B1C5EBD"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IV – exportações de cada origem investigada para os seus dez maiores destinos, em termos de volume, conjunta e/ou separadamente; e</w:t>
      </w:r>
    </w:p>
    <w:p w14:paraId="2A6B4A7C"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V – exportações de cada origem investigada para os destinos na América do Sul, conjunta e/ou separadamente.</w:t>
      </w:r>
    </w:p>
    <w:p w14:paraId="7115380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1º A petição especificará em sua análise a base de dados pública de comércio internacional considerada, devendo justificar a sua escolha.</w:t>
      </w:r>
    </w:p>
    <w:p w14:paraId="5612911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2º Adicionalmente, caso haja cenários de preço provável na petição que divirjam daqueles previstos no </w:t>
      </w:r>
      <w:r w:rsidRPr="00395593">
        <w:rPr>
          <w:rFonts w:ascii="Garamond" w:hAnsi="Garamond" w:cs="Calibri"/>
          <w:i/>
          <w:color w:val="000000"/>
          <w:sz w:val="24"/>
          <w:szCs w:val="24"/>
        </w:rPr>
        <w:t>caput</w:t>
      </w:r>
      <w:r w:rsidRPr="00395593">
        <w:rPr>
          <w:rFonts w:ascii="Garamond" w:hAnsi="Garamond" w:cs="Calibri"/>
          <w:color w:val="000000"/>
          <w:sz w:val="24"/>
          <w:szCs w:val="24"/>
        </w:rPr>
        <w:t>, a indicação deverá estar acompanhada das justificativas da escolha e dos elementos de prova que a embasaram.</w:t>
      </w:r>
    </w:p>
    <w:p w14:paraId="2154528E"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3º Os preços prováveis apurados a partir dos cenários definidos no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serão disponibilizados às partes interessadas no início da investigação.</w:t>
      </w:r>
    </w:p>
    <w:p w14:paraId="3AEFE47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249. A SDCOM considerará, em sua análise de preço provável:</w:t>
      </w:r>
    </w:p>
    <w:p w14:paraId="201C324D"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a disponibilidade dos dados, inclusive quanto às suas respectivas unidades de medidas; </w:t>
      </w:r>
    </w:p>
    <w:p w14:paraId="74C2669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a abrangência dos códigos padronizados de comércio internacional referentes ao produto similar e a existência de outros produtos que não se enquadrem no escopo do produto analisado nestes códigos; e </w:t>
      </w:r>
    </w:p>
    <w:p w14:paraId="60E7D9D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III – o grau de heterogeneidade do produto similar para fins de comparação justa com o produto similar da indústria doméstica; e/ou</w:t>
      </w:r>
    </w:p>
    <w:p w14:paraId="399E207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IV – outros fatores que possam afetar a utilização dos dados. </w:t>
      </w:r>
    </w:p>
    <w:p w14:paraId="024F867E"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1º No curso da revisão, outros parâmetros de preço provável podem ser considerados pela SDCOM, desde que sejam submetidos aos autos do processo elementos de prova que os embasem.</w:t>
      </w:r>
    </w:p>
    <w:p w14:paraId="3FE7316B"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2º As partes interessadas poderão apresentar manifestações a respeito da adequação e da aplicabilidade dos cenários de preço provável e sugerir metodologias de ajuste com vistas a mitigar as limitações de dados de exportações ou outras diferenças que afetem a comparabilidade de preços.</w:t>
      </w:r>
    </w:p>
    <w:p w14:paraId="235F9EB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250. Iniciada a revisão, a SCDOM poderá solicitar aos produtores ou exportadores estrangeiros selecionados seus dados de exportação do produto similar, relativos ao período de análise da continuação ou retomada do </w:t>
      </w:r>
      <w:r w:rsidRPr="00395593">
        <w:rPr>
          <w:rFonts w:ascii="Garamond" w:hAnsi="Garamond" w:cs="Calibri"/>
          <w:i/>
          <w:color w:val="000000"/>
          <w:sz w:val="24"/>
          <w:szCs w:val="24"/>
        </w:rPr>
        <w:t>dumping</w:t>
      </w:r>
      <w:r w:rsidRPr="00395593">
        <w:rPr>
          <w:rFonts w:ascii="Garamond" w:hAnsi="Garamond" w:cs="Calibri"/>
          <w:color w:val="000000"/>
          <w:sz w:val="24"/>
          <w:szCs w:val="24"/>
        </w:rPr>
        <w:t>, para seus 10 (dez) principais mercados, em termos de volume exportado, e para outros países da América do Sul.</w:t>
      </w:r>
    </w:p>
    <w:p w14:paraId="26583F2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1º Os dados mencionados no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deverão ser apresentados conforme modelo constante dos questionários enviados aos produtores/exportadores. </w:t>
      </w:r>
    </w:p>
    <w:p w14:paraId="227B73E4"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2º A SDCOM poderá solicitar aos produtores/exportadores dados referentes a outros destinos, além daqueles indicados no </w:t>
      </w:r>
      <w:r w:rsidRPr="00395593">
        <w:rPr>
          <w:rFonts w:ascii="Garamond" w:hAnsi="Garamond" w:cs="Calibri"/>
          <w:i/>
          <w:color w:val="000000"/>
          <w:sz w:val="24"/>
          <w:szCs w:val="24"/>
        </w:rPr>
        <w:t>caput</w:t>
      </w:r>
      <w:r w:rsidRPr="00395593">
        <w:rPr>
          <w:rFonts w:ascii="Garamond" w:hAnsi="Garamond" w:cs="Calibri"/>
          <w:color w:val="000000"/>
          <w:sz w:val="24"/>
          <w:szCs w:val="24"/>
        </w:rPr>
        <w:t>, a depender das especificidades do caso concreto.</w:t>
      </w:r>
    </w:p>
    <w:p w14:paraId="7519B88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3º Os preços médios de exportação apurados com base nos dados mencionados no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deverão ser apresentados de modo a garantir o direito de defesa e o contraditório das demais partes interessadas, nos termos do § 8º do art. 51 do Decreto nº 8.058, de 2013.</w:t>
      </w:r>
    </w:p>
    <w:p w14:paraId="76CA31C5" w14:textId="77777777" w:rsidR="00E4045A" w:rsidRPr="00395593" w:rsidRDefault="00E4045A" w:rsidP="0007519C">
      <w:pPr>
        <w:spacing w:after="0" w:line="240" w:lineRule="auto"/>
        <w:jc w:val="center"/>
        <w:rPr>
          <w:rFonts w:ascii="Garamond" w:hAnsi="Garamond" w:cs="Calibri"/>
          <w:color w:val="000000"/>
          <w:sz w:val="24"/>
          <w:szCs w:val="24"/>
        </w:rPr>
      </w:pPr>
    </w:p>
    <w:p w14:paraId="45E43B17"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CAPÍTULO V</w:t>
      </w:r>
    </w:p>
    <w:p w14:paraId="5FBBCA2E"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 PRORROGAÇÃO DO DIREITO ANTIDUMPING EM MONTANTE INFERIOR AO DO DIREITO EM VIGOR</w:t>
      </w:r>
    </w:p>
    <w:p w14:paraId="424824F9" w14:textId="77777777" w:rsidR="00E4045A" w:rsidRPr="00395593" w:rsidRDefault="00E4045A" w:rsidP="0007519C">
      <w:pPr>
        <w:spacing w:after="0" w:line="240" w:lineRule="auto"/>
        <w:jc w:val="center"/>
        <w:rPr>
          <w:rFonts w:ascii="Garamond" w:hAnsi="Garamond" w:cs="Calibri"/>
          <w:color w:val="000000"/>
          <w:sz w:val="24"/>
          <w:szCs w:val="24"/>
        </w:rPr>
      </w:pPr>
    </w:p>
    <w:p w14:paraId="64BF2B43"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 xml:space="preserve">Art. 251. A recomendação da prorrogação do direito </w:t>
      </w:r>
      <w:r w:rsidRPr="00395593">
        <w:rPr>
          <w:rFonts w:ascii="Garamond" w:hAnsi="Garamond" w:cs="Calibri"/>
          <w:i/>
          <w:color w:val="000000"/>
        </w:rPr>
        <w:t>antidumping</w:t>
      </w:r>
      <w:r w:rsidRPr="00395593">
        <w:rPr>
          <w:rFonts w:ascii="Garamond" w:hAnsi="Garamond" w:cs="Calibri"/>
          <w:color w:val="000000"/>
        </w:rPr>
        <w:t xml:space="preserve"> em montante inferior ao do direito em vigor, com base no art. 107, § 4º, do Decreto nº 8.058, de 2013 deve seguir os procedimentos previstos neste Capítulo.</w:t>
      </w:r>
    </w:p>
    <w:p w14:paraId="14EB9C22" w14:textId="77777777" w:rsidR="00E4045A" w:rsidRPr="00395593" w:rsidRDefault="00E4045A" w:rsidP="00E33E26">
      <w:pPr>
        <w:ind w:firstLine="567"/>
        <w:jc w:val="both"/>
        <w:rPr>
          <w:rStyle w:val="normaltextrun"/>
          <w:rFonts w:ascii="Garamond" w:eastAsia="MS Gothic" w:hAnsi="Garamond" w:cs="Calibri"/>
          <w:color w:val="000000"/>
          <w:sz w:val="24"/>
          <w:szCs w:val="24"/>
          <w:shd w:val="clear" w:color="auto" w:fill="FFFFFF"/>
        </w:rPr>
      </w:pPr>
      <w:r w:rsidRPr="00395593">
        <w:rPr>
          <w:rStyle w:val="normaltextrun"/>
          <w:rFonts w:ascii="Garamond" w:eastAsia="MS Gothic" w:hAnsi="Garamond" w:cs="Calibri"/>
          <w:color w:val="000000"/>
          <w:sz w:val="24"/>
          <w:szCs w:val="24"/>
          <w:shd w:val="clear" w:color="auto" w:fill="FFFFFF"/>
        </w:rPr>
        <w:t xml:space="preserve">Art. 252. A SDCOM, no caso de prorrogação de direito </w:t>
      </w:r>
      <w:r w:rsidRPr="00395593">
        <w:rPr>
          <w:rStyle w:val="normaltextrun"/>
          <w:rFonts w:ascii="Garamond" w:eastAsia="MS Gothic" w:hAnsi="Garamond" w:cs="Calibri"/>
          <w:i/>
          <w:color w:val="000000"/>
          <w:sz w:val="24"/>
          <w:szCs w:val="24"/>
          <w:shd w:val="clear" w:color="auto" w:fill="FFFFFF"/>
        </w:rPr>
        <w:t>antidumping</w:t>
      </w:r>
      <w:r w:rsidRPr="00395593">
        <w:rPr>
          <w:rStyle w:val="normaltextrun"/>
          <w:rFonts w:ascii="Garamond" w:eastAsia="MS Gothic" w:hAnsi="Garamond" w:cs="Calibri"/>
          <w:color w:val="000000"/>
          <w:sz w:val="24"/>
          <w:szCs w:val="24"/>
          <w:shd w:val="clear" w:color="auto" w:fill="FFFFFF"/>
        </w:rPr>
        <w:t xml:space="preserve"> em montante inferior ao do direito em vigor, prevista no art. 107, § 4º, do Decreto nº 8.058, de 2013, poderá recomendar tal prorrogação por meio das seguintes metodologias: </w:t>
      </w:r>
    </w:p>
    <w:p w14:paraId="2DD18252" w14:textId="77777777" w:rsidR="00E4045A" w:rsidRPr="00395593" w:rsidRDefault="00E4045A" w:rsidP="00E33E26">
      <w:pPr>
        <w:pStyle w:val="paragraph"/>
        <w:spacing w:before="0" w:beforeAutospacing="0" w:after="0" w:afterAutospacing="0"/>
        <w:ind w:firstLine="567"/>
        <w:jc w:val="both"/>
        <w:rPr>
          <w:rStyle w:val="normaltextrun"/>
          <w:rFonts w:ascii="Garamond" w:eastAsia="Calibri" w:hAnsi="Garamond" w:cs="Calibri"/>
          <w:color w:val="000000"/>
          <w:lang w:eastAsia="en-US"/>
        </w:rPr>
      </w:pPr>
      <w:r w:rsidRPr="00395593">
        <w:rPr>
          <w:rStyle w:val="normaltextrun"/>
          <w:rFonts w:ascii="Garamond" w:eastAsia="MS Gothic" w:hAnsi="Garamond" w:cs="Calibri"/>
          <w:color w:val="000000"/>
        </w:rPr>
        <w:t>I – comparação entre o preço provável de exportação e o valor normal; ou</w:t>
      </w:r>
    </w:p>
    <w:p w14:paraId="59813F95" w14:textId="77777777" w:rsidR="00E4045A" w:rsidRPr="00395593" w:rsidRDefault="00E4045A" w:rsidP="00E33E26">
      <w:pPr>
        <w:pStyle w:val="paragraph"/>
        <w:spacing w:before="0" w:beforeAutospacing="0" w:after="0" w:afterAutospacing="0"/>
        <w:ind w:firstLine="567"/>
        <w:jc w:val="both"/>
        <w:rPr>
          <w:rStyle w:val="normaltextrun"/>
          <w:rFonts w:ascii="Garamond" w:eastAsia="Calibri" w:hAnsi="Garamond" w:cs="Calibri"/>
          <w:color w:val="000000"/>
          <w:lang w:eastAsia="en-US"/>
        </w:rPr>
      </w:pPr>
      <w:r w:rsidRPr="00395593">
        <w:rPr>
          <w:rStyle w:val="normaltextrun"/>
          <w:rFonts w:ascii="Garamond" w:eastAsia="MS Gothic" w:hAnsi="Garamond" w:cs="Calibri"/>
          <w:color w:val="000000"/>
        </w:rPr>
        <w:t xml:space="preserve">II – comparação entre preço provável de exportação e o preço de venda do produto similar da indústria doméstica no mercado brasileiro. </w:t>
      </w:r>
    </w:p>
    <w:p w14:paraId="4E710F05" w14:textId="77777777" w:rsidR="00E4045A" w:rsidRPr="00395593" w:rsidRDefault="00E4045A" w:rsidP="00E33E26">
      <w:pPr>
        <w:pStyle w:val="paragraph"/>
        <w:spacing w:before="0" w:beforeAutospacing="0" w:after="0" w:afterAutospacing="0"/>
        <w:ind w:firstLine="567"/>
        <w:jc w:val="both"/>
        <w:rPr>
          <w:rStyle w:val="normaltextrun"/>
          <w:rFonts w:ascii="Garamond" w:eastAsia="MS Gothic" w:hAnsi="Garamond" w:cs="Calibri"/>
          <w:color w:val="000000"/>
          <w:shd w:val="clear" w:color="auto" w:fill="FFFFFF"/>
        </w:rPr>
      </w:pPr>
      <w:r w:rsidRPr="00395593">
        <w:rPr>
          <w:rStyle w:val="normaltextrun"/>
          <w:rFonts w:ascii="Garamond" w:eastAsia="MS Gothic" w:hAnsi="Garamond" w:cs="Calibri"/>
          <w:color w:val="000000"/>
          <w:shd w:val="clear" w:color="auto" w:fill="FFFFFF"/>
        </w:rPr>
        <w:t xml:space="preserve">§ 1º Eventual recomendação da SDCOM de prorrogação do direito </w:t>
      </w:r>
      <w:r w:rsidRPr="00395593">
        <w:rPr>
          <w:rStyle w:val="normaltextrun"/>
          <w:rFonts w:ascii="Garamond" w:eastAsia="MS Gothic" w:hAnsi="Garamond" w:cs="Calibri"/>
          <w:i/>
          <w:color w:val="000000"/>
          <w:shd w:val="clear" w:color="auto" w:fill="FFFFFF"/>
        </w:rPr>
        <w:t>antidumping</w:t>
      </w:r>
      <w:r w:rsidRPr="00395593">
        <w:rPr>
          <w:rStyle w:val="normaltextrun"/>
          <w:rFonts w:ascii="Garamond" w:eastAsia="MS Gothic" w:hAnsi="Garamond" w:cs="Calibri"/>
          <w:color w:val="000000"/>
          <w:shd w:val="clear" w:color="auto" w:fill="FFFFFF"/>
        </w:rPr>
        <w:t xml:space="preserve"> em montante inferior ao do direito em vigor se baseará na análise sobre: </w:t>
      </w:r>
    </w:p>
    <w:p w14:paraId="625A0F20"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os dados e argumentos apresentados pelas partes interessadas, inclusive sobre a eficácia provável dos direitos apurados com base nas metodologias previstas nos incisos I e II do </w:t>
      </w:r>
      <w:r w:rsidRPr="00395593">
        <w:rPr>
          <w:rFonts w:ascii="Garamond" w:hAnsi="Garamond" w:cs="Calibri"/>
          <w:i/>
          <w:color w:val="000000"/>
          <w:sz w:val="24"/>
          <w:szCs w:val="24"/>
        </w:rPr>
        <w:t>caput</w:t>
      </w:r>
      <w:r w:rsidRPr="00395593">
        <w:rPr>
          <w:rFonts w:ascii="Garamond" w:hAnsi="Garamond" w:cs="Calibri"/>
          <w:color w:val="000000"/>
          <w:sz w:val="24"/>
          <w:szCs w:val="24"/>
        </w:rPr>
        <w:t>; e</w:t>
      </w:r>
    </w:p>
    <w:p w14:paraId="34033670"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os elementos probatórios que justifiquem a adoção das metodologias indicadas nos incisos I e II do </w:t>
      </w:r>
      <w:r w:rsidRPr="00395593">
        <w:rPr>
          <w:rFonts w:ascii="Garamond" w:hAnsi="Garamond" w:cs="Calibri"/>
          <w:i/>
          <w:color w:val="000000"/>
          <w:sz w:val="24"/>
          <w:szCs w:val="24"/>
        </w:rPr>
        <w:t>caput</w:t>
      </w:r>
      <w:r w:rsidRPr="00395593">
        <w:rPr>
          <w:rFonts w:ascii="Garamond" w:hAnsi="Garamond" w:cs="Calibri"/>
          <w:color w:val="000000"/>
          <w:sz w:val="24"/>
          <w:szCs w:val="24"/>
        </w:rPr>
        <w:t>.</w:t>
      </w:r>
    </w:p>
    <w:p w14:paraId="7A4C2B2B" w14:textId="77777777" w:rsidR="00E4045A" w:rsidRPr="00395593" w:rsidRDefault="00E4045A" w:rsidP="00E33E26">
      <w:pPr>
        <w:ind w:firstLine="567"/>
        <w:jc w:val="both"/>
        <w:rPr>
          <w:rStyle w:val="normaltextrun"/>
          <w:rFonts w:ascii="Garamond" w:eastAsia="MS Gothic" w:hAnsi="Garamond" w:cs="Calibri"/>
          <w:color w:val="000000"/>
          <w:sz w:val="24"/>
          <w:szCs w:val="24"/>
          <w:shd w:val="clear" w:color="auto" w:fill="FFFFFF"/>
        </w:rPr>
      </w:pPr>
      <w:r w:rsidRPr="00395593">
        <w:rPr>
          <w:rStyle w:val="normaltextrun"/>
          <w:rFonts w:ascii="Garamond" w:eastAsia="MS Gothic" w:hAnsi="Garamond" w:cs="Calibri"/>
          <w:color w:val="000000"/>
          <w:sz w:val="24"/>
          <w:szCs w:val="24"/>
          <w:shd w:val="clear" w:color="auto" w:fill="FFFFFF"/>
        </w:rPr>
        <w:t>§ 2º</w:t>
      </w:r>
      <w:r w:rsidRPr="00395593">
        <w:rPr>
          <w:rStyle w:val="normaltextrun"/>
          <w:rFonts w:ascii="Times New Roman" w:eastAsia="MS Gothic" w:hAnsi="Times New Roman" w:cs="Times New Roman"/>
          <w:color w:val="000000"/>
          <w:sz w:val="24"/>
          <w:szCs w:val="24"/>
          <w:shd w:val="clear" w:color="auto" w:fill="FFFFFF"/>
        </w:rPr>
        <w:t> </w:t>
      </w:r>
      <w:r w:rsidRPr="00395593">
        <w:rPr>
          <w:rStyle w:val="normaltextrun"/>
          <w:rFonts w:ascii="Garamond" w:eastAsia="MS Gothic" w:hAnsi="Garamond" w:cs="Calibri"/>
          <w:color w:val="000000"/>
          <w:sz w:val="24"/>
          <w:szCs w:val="24"/>
          <w:shd w:val="clear" w:color="auto" w:fill="FFFFFF"/>
        </w:rPr>
        <w:t xml:space="preserve">A SDCOM </w:t>
      </w:r>
      <w:r w:rsidRPr="00395593">
        <w:rPr>
          <w:rFonts w:ascii="Garamond" w:hAnsi="Garamond" w:cs="Calibri"/>
          <w:color w:val="000000"/>
          <w:sz w:val="24"/>
          <w:szCs w:val="24"/>
        </w:rPr>
        <w:t>buscará</w:t>
      </w:r>
      <w:r w:rsidRPr="00395593">
        <w:rPr>
          <w:rStyle w:val="normaltextrun"/>
          <w:rFonts w:ascii="Garamond" w:eastAsia="MS Gothic" w:hAnsi="Garamond" w:cs="Calibri"/>
          <w:color w:val="000000"/>
          <w:sz w:val="24"/>
          <w:szCs w:val="24"/>
          <w:shd w:val="clear" w:color="auto" w:fill="FFFFFF"/>
        </w:rPr>
        <w:t xml:space="preserve"> refletir o grau de cooperação dos produtores ou exportadores estrangeiros na revisão de final de período ao avaliar as metodologias previstas nos incisos I e II do </w:t>
      </w:r>
      <w:r w:rsidRPr="00395593">
        <w:rPr>
          <w:rStyle w:val="normaltextrun"/>
          <w:rFonts w:ascii="Garamond" w:eastAsia="MS Gothic" w:hAnsi="Garamond" w:cs="Calibri"/>
          <w:i/>
          <w:color w:val="000000"/>
          <w:sz w:val="24"/>
          <w:szCs w:val="24"/>
          <w:shd w:val="clear" w:color="auto" w:fill="FFFFFF"/>
        </w:rPr>
        <w:t>caput</w:t>
      </w:r>
      <w:r w:rsidRPr="00395593">
        <w:rPr>
          <w:rStyle w:val="normaltextrun"/>
          <w:rFonts w:ascii="Garamond" w:eastAsia="MS Gothic" w:hAnsi="Garamond" w:cs="Calibri"/>
          <w:color w:val="000000"/>
          <w:sz w:val="24"/>
          <w:szCs w:val="24"/>
          <w:shd w:val="clear" w:color="auto" w:fill="FFFFFF"/>
        </w:rPr>
        <w:t>.</w:t>
      </w:r>
    </w:p>
    <w:p w14:paraId="2AABFF1C" w14:textId="6D9CD2E0"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CAPÍTULO VI</w:t>
      </w:r>
    </w:p>
    <w:p w14:paraId="23668C52"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 RECOMENDAÇÃO DE PRORROGAÇÃO DO DIREITO ANTIDUMPING COM IMEDIATA SUSPENSÃO DE SUA APLICAÇÃO E DA EVENTUAL RECOMENDAÇÃO DE RETOMADA IMEDIATA DA COBRANÇA COM BASE NO ARTIGO 109 DO DECRETO 8.058, DE 2013</w:t>
      </w:r>
    </w:p>
    <w:p w14:paraId="3021F3A4" w14:textId="77777777" w:rsidR="00E4045A" w:rsidRPr="00395593" w:rsidRDefault="00E4045A" w:rsidP="00E33E26">
      <w:pPr>
        <w:pStyle w:val="Corpodetexto"/>
        <w:ind w:firstLine="567"/>
        <w:rPr>
          <w:rFonts w:ascii="Garamond" w:hAnsi="Garamond" w:cs="Calibri"/>
          <w:color w:val="000000"/>
        </w:rPr>
      </w:pPr>
    </w:p>
    <w:p w14:paraId="218CA9DB"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 xml:space="preserve">Art. 253. A recomendação de prorrogação de direito </w:t>
      </w:r>
      <w:r w:rsidRPr="00395593">
        <w:rPr>
          <w:rFonts w:ascii="Garamond" w:hAnsi="Garamond" w:cs="Calibri"/>
          <w:i/>
          <w:color w:val="000000"/>
        </w:rPr>
        <w:t>antidumping</w:t>
      </w:r>
      <w:r w:rsidRPr="00395593">
        <w:rPr>
          <w:rFonts w:ascii="Garamond" w:hAnsi="Garamond" w:cs="Calibri"/>
          <w:color w:val="000000"/>
        </w:rPr>
        <w:t xml:space="preserve"> com a imediata suspensão de sua aplicação e para a eventual recomendação de retomada imediata da cobrança de direito </w:t>
      </w:r>
      <w:r w:rsidRPr="00395593">
        <w:rPr>
          <w:rFonts w:ascii="Garamond" w:hAnsi="Garamond" w:cs="Calibri"/>
          <w:i/>
          <w:color w:val="000000"/>
        </w:rPr>
        <w:t>antidumping</w:t>
      </w:r>
      <w:r w:rsidRPr="00395593">
        <w:rPr>
          <w:rFonts w:ascii="Garamond" w:hAnsi="Garamond" w:cs="Calibri"/>
          <w:color w:val="000000"/>
        </w:rPr>
        <w:t xml:space="preserve"> suspenso com base no art. 109 do Decreto nº 8.058, de 2013, deve observar os procedimentos e fatores previstos neste Capítulo.</w:t>
      </w:r>
    </w:p>
    <w:p w14:paraId="2C5CF0C8"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254. A SDCOM poderá recomendar a prorrogação de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com a imediata suspensão de sua aplicação quando houver dúvidas quanto à provável evolução futura das importações do produto objeto de direito</w:t>
      </w:r>
      <w:r w:rsidRPr="00395593">
        <w:rPr>
          <w:rFonts w:ascii="Times New Roman" w:hAnsi="Times New Roman" w:cs="Times New Roman"/>
          <w:color w:val="000000"/>
          <w:sz w:val="24"/>
          <w:szCs w:val="24"/>
        </w:rPr>
        <w:t>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com base no art. 109 do Decreto nº 8.058, de 2013. </w:t>
      </w:r>
    </w:p>
    <w:p w14:paraId="048DE14E"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1º A hipótese mencionada no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somente será considerada quando, em uma revisão de final de período, for determinado que a</w:t>
      </w:r>
      <w:r w:rsidRPr="00395593">
        <w:rPr>
          <w:rFonts w:ascii="Times New Roman" w:hAnsi="Times New Roman" w:cs="Times New Roman"/>
          <w:color w:val="000000"/>
          <w:sz w:val="24"/>
          <w:szCs w:val="24"/>
        </w:rPr>
        <w:t> </w:t>
      </w:r>
      <w:r w:rsidRPr="00395593">
        <w:rPr>
          <w:rFonts w:ascii="Garamond" w:hAnsi="Garamond" w:cs="Calibri"/>
          <w:color w:val="000000"/>
          <w:sz w:val="24"/>
          <w:szCs w:val="24"/>
        </w:rPr>
        <w:t>extin</w:t>
      </w:r>
      <w:r w:rsidRPr="00395593">
        <w:rPr>
          <w:rFonts w:ascii="Garamond" w:hAnsi="Garamond" w:cs="Garamond"/>
          <w:color w:val="000000"/>
          <w:sz w:val="24"/>
          <w:szCs w:val="24"/>
        </w:rPr>
        <w:t>çã</w:t>
      </w:r>
      <w:r w:rsidRPr="00395593">
        <w:rPr>
          <w:rFonts w:ascii="Garamond" w:hAnsi="Garamond" w:cs="Calibri"/>
          <w:color w:val="000000"/>
          <w:sz w:val="24"/>
          <w:szCs w:val="24"/>
        </w:rPr>
        <w:t xml:space="preserve">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levará muito provavelmente à retomada do dano causado pelas importações da(s) origem(ns) sujeita(s) ao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w:t>
      </w:r>
    </w:p>
    <w:p w14:paraId="52092D19"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2º. A hipótese mencionada no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não será considerada quando, em uma revisão de final de período, for determinado que a</w:t>
      </w:r>
      <w:r w:rsidRPr="00395593">
        <w:rPr>
          <w:rFonts w:ascii="Times New Roman" w:hAnsi="Times New Roman" w:cs="Times New Roman"/>
          <w:color w:val="000000"/>
          <w:sz w:val="24"/>
          <w:szCs w:val="24"/>
        </w:rPr>
        <w:t> </w:t>
      </w:r>
      <w:r w:rsidRPr="00395593">
        <w:rPr>
          <w:rFonts w:ascii="Garamond" w:hAnsi="Garamond" w:cs="Calibri"/>
          <w:color w:val="000000"/>
          <w:sz w:val="24"/>
          <w:szCs w:val="24"/>
        </w:rPr>
        <w:t>extin</w:t>
      </w:r>
      <w:r w:rsidRPr="00395593">
        <w:rPr>
          <w:rFonts w:ascii="Garamond" w:hAnsi="Garamond" w:cs="Garamond"/>
          <w:color w:val="000000"/>
          <w:sz w:val="24"/>
          <w:szCs w:val="24"/>
        </w:rPr>
        <w:t>çã</w:t>
      </w:r>
      <w:r w:rsidRPr="00395593">
        <w:rPr>
          <w:rFonts w:ascii="Garamond" w:hAnsi="Garamond" w:cs="Calibri"/>
          <w:color w:val="000000"/>
          <w:sz w:val="24"/>
          <w:szCs w:val="24"/>
        </w:rPr>
        <w:t xml:space="preserve">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levará muito provavelmente à continuação do dano causado pelas importações da(s) origem(ns) sujeita(s) ao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w:t>
      </w:r>
    </w:p>
    <w:p w14:paraId="45140806"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255. A Secretaria de Comércio Exterior remeterá a recomendação da SDCOM ao Comitê Executivo de Gestão da CAMEX - GECEX, a quem compete prorrogar 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com a imediata suspensão de sua aplicação e também decidir pela imediata retomada da cobrança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nos termos do Decreto nº 10.044, de 4 de outubro de 2019 c/c inciso VIII do art. 2º c/c do art. 109 do Decreto nº 8.058, de 2013. </w:t>
      </w:r>
    </w:p>
    <w:p w14:paraId="2C84B64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256. Eventuais dúvidas quanto à provável evolução futura das importações do produto objeto de direito</w:t>
      </w:r>
      <w:r w:rsidRPr="00395593">
        <w:rPr>
          <w:rFonts w:ascii="Times New Roman" w:hAnsi="Times New Roman" w:cs="Times New Roman"/>
          <w:color w:val="000000"/>
          <w:sz w:val="24"/>
          <w:szCs w:val="24"/>
        </w:rPr>
        <w:t>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que possam levar à recomendação da SDCOM de prorrogação de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com a imediata suspensão de sua aplicação poderão decorrer da análise dos seguintes fatores, individual ou conjuntamente, dentre outros aportados pelas partes interessadas aos autos da revisão de final de período: </w:t>
      </w:r>
    </w:p>
    <w:p w14:paraId="7A50C0EA"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I – os diferentes cenários de preço provável das importações objeto de</w:t>
      </w:r>
      <w:r w:rsidRPr="00395593">
        <w:rPr>
          <w:rFonts w:ascii="Times New Roman" w:hAnsi="Times New Roman" w:cs="Times New Roman"/>
          <w:color w:val="000000"/>
          <w:sz w:val="24"/>
          <w:szCs w:val="24"/>
        </w:rPr>
        <w:t> </w:t>
      </w:r>
      <w:r w:rsidRPr="00395593">
        <w:rPr>
          <w:rFonts w:ascii="Garamond" w:hAnsi="Garamond" w:cs="Calibri"/>
          <w:color w:val="000000"/>
          <w:sz w:val="24"/>
          <w:szCs w:val="24"/>
        </w:rPr>
        <w:t>dumping</w:t>
      </w:r>
      <w:r w:rsidRPr="00395593">
        <w:rPr>
          <w:rFonts w:ascii="Times New Roman" w:hAnsi="Times New Roman" w:cs="Times New Roman"/>
          <w:color w:val="000000"/>
          <w:sz w:val="24"/>
          <w:szCs w:val="24"/>
        </w:rPr>
        <w:t> </w:t>
      </w:r>
      <w:r w:rsidRPr="00395593">
        <w:rPr>
          <w:rFonts w:ascii="Garamond" w:hAnsi="Garamond" w:cs="Calibri"/>
          <w:color w:val="000000"/>
          <w:sz w:val="24"/>
          <w:szCs w:val="24"/>
        </w:rPr>
        <w:t>e o seu prov</w:t>
      </w:r>
      <w:r w:rsidRPr="00395593">
        <w:rPr>
          <w:rFonts w:ascii="Garamond" w:hAnsi="Garamond" w:cs="Garamond"/>
          <w:color w:val="000000"/>
          <w:sz w:val="24"/>
          <w:szCs w:val="24"/>
        </w:rPr>
        <w:t>á</w:t>
      </w:r>
      <w:r w:rsidRPr="00395593">
        <w:rPr>
          <w:rFonts w:ascii="Garamond" w:hAnsi="Garamond" w:cs="Calibri"/>
          <w:color w:val="000000"/>
          <w:sz w:val="24"/>
          <w:szCs w:val="24"/>
        </w:rPr>
        <w:t>vel efeito sobre os pre</w:t>
      </w:r>
      <w:r w:rsidRPr="00395593">
        <w:rPr>
          <w:rFonts w:ascii="Garamond" w:hAnsi="Garamond" w:cs="Garamond"/>
          <w:color w:val="000000"/>
          <w:sz w:val="24"/>
          <w:szCs w:val="24"/>
        </w:rPr>
        <w:t>ç</w:t>
      </w:r>
      <w:r w:rsidRPr="00395593">
        <w:rPr>
          <w:rFonts w:ascii="Garamond" w:hAnsi="Garamond" w:cs="Calibri"/>
          <w:color w:val="000000"/>
          <w:sz w:val="24"/>
          <w:szCs w:val="24"/>
        </w:rPr>
        <w:t xml:space="preserve">os do produto similar no mercado interno brasileiro; </w:t>
      </w:r>
    </w:p>
    <w:p w14:paraId="0705C108"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os diferentes indicadores de desempenho dos produtores ou exportadores no tocante a produção, utilização da capacidade instalada, estoques, volume de vendas e exportações; ou </w:t>
      </w:r>
    </w:p>
    <w:p w14:paraId="02CAF24D"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alterações nas condições de mercado no país exportador, no Brasil e em terceiros mercados, incluindo alterações na oferta e na demanda pelo produto. </w:t>
      </w:r>
    </w:p>
    <w:p w14:paraId="3EBE35C3"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Parágrafo único. Na análise dos fatores previstos no inciso III do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a SDCOM considerará, dentre outros elementos aportados pelas partes interessadas aos autos da revisão de final de período: </w:t>
      </w:r>
    </w:p>
    <w:p w14:paraId="22213FC1" w14:textId="77777777" w:rsidR="00E4045A" w:rsidRPr="00395593" w:rsidRDefault="00E4045A" w:rsidP="00E33E26">
      <w:pPr>
        <w:pStyle w:val="PargrafodaLista"/>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 xml:space="preserve">a) mudanças inesperadas nas cestas de produto importadas, decorrentes de mudanças nas preferências dos consumidores ou de evoluções tecnológicas; ou </w:t>
      </w:r>
    </w:p>
    <w:p w14:paraId="70978549" w14:textId="77777777" w:rsidR="00E4045A" w:rsidRPr="00395593" w:rsidRDefault="00E4045A" w:rsidP="00E33E26">
      <w:pPr>
        <w:pStyle w:val="PargrafodaLista"/>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 xml:space="preserve">b) mudanças significativas nas estratégias comerciais de fornecimento do produto ao mercado brasileiro. </w:t>
      </w:r>
    </w:p>
    <w:p w14:paraId="7FE127DE"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257. A SDCOM recomendará a retomada imediata da cobrança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suspenso após análise que conclua pelo aumento das importações em volume que possa levar à retomada do dano. </w:t>
      </w:r>
    </w:p>
    <w:p w14:paraId="7BC374A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1º Para que a SDCOM realize a análise a que se refere 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a parte interessada deverá apresentar a esta Subsecretaria, no Sistema Eletrônico de Informações (SEI) do Ministério da Economia, petição de retomada da cobrança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suspenso. </w:t>
      </w:r>
    </w:p>
    <w:p w14:paraId="145EC7AB"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2º Em circunstâncias excepcionais, a SDCOM poderá realizar a análise à que se refere 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de ofício. </w:t>
      </w:r>
    </w:p>
    <w:p w14:paraId="131EA9FD"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3º A petição de retomada da cobrança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suspenso deverá conter dados de importação relativos a todo o período já transcorrido desde a data da publicação da prorrogação do direito com a imediata suspensão de sua aplicação, com as respectivas comprovações e explicações, contemplando, no mínimo, um período de seis meses da data da publicação da prorrogação do direito com a imediata suspensão de sua aplicação, de forma a constituir um período razoável para a análise de sua evolução. </w:t>
      </w:r>
    </w:p>
    <w:p w14:paraId="1A6C1199"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4º Excepcionalmente, desde que devidamente justificado, a SDCOM poderá considerar petição de retomada da cobrança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suspenso contendo dados de importação relativos a período inferior aos 6 (seis) meses previstos no § 3º. </w:t>
      </w:r>
    </w:p>
    <w:p w14:paraId="3EEBE76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5º Qualquer informação apresentada aos autos deverá conter as respectivas comprovações e explicações. </w:t>
      </w:r>
    </w:p>
    <w:p w14:paraId="7B187B68"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6º A SDCOM poderá solicitar informações complementares à petição de retomada da cobrança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suspenso, com prazo de 5 (cinco) dias para resposta, contados da data de ciência do ofício. </w:t>
      </w:r>
    </w:p>
    <w:p w14:paraId="754338B1"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7º Caso a indústria doméstica seja composta por mais de uma empresa, tais empresas poderão apresentar a petição de retomada da cobrança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suspenso em conjunto ou em separado. </w:t>
      </w:r>
    </w:p>
    <w:p w14:paraId="2EE2DE81"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 8º A SDCOM, após análise preliminar da petição de retomada da cobrança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suspenso, poderá: </w:t>
      </w:r>
    </w:p>
    <w:p w14:paraId="507ECC9C"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recomendar à Secretaria de Comércio Exterior a abertura de processo administrativo, com vistas a verificar se o aumento das importações do produto objeto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suspenso ocorreu em volume que possa levar à retomada do dano, caso sejam identificados indícios mínimos na petição de que o aumento das importações do produto objeto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suspenso ocorre em volume que possa levar à retomada do dano; </w:t>
      </w:r>
    </w:p>
    <w:p w14:paraId="2B7C5D08"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recomendar à Secretaria de Comércio Exterior o indeferimento da petição, com análise do mérito, caso não sejam identificados indícios mínimos de que o aumento das importações do produto objeto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suspenso ocorre em volume que possa levar à retomada do dano; ou</w:t>
      </w:r>
    </w:p>
    <w:p w14:paraId="5D09C60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indeferir a petição, sem análise do mérito, caso não sejam apresentados os dados de importação referidos no § 3º, ou não seja apresentada fundamentação sobre como o aumento das importações do produto objeto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suspenso ocorre em volume que possa levar à retomada do dano. </w:t>
      </w:r>
    </w:p>
    <w:p w14:paraId="5AFE2D3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258. A Secretaria de Comércio Exterior publicará no Diário Oficial da União ato de início do referido processo administrativo ou do indeferimento da petição, nos termos dos incisos I e II do § 8º. </w:t>
      </w:r>
    </w:p>
    <w:p w14:paraId="641985CC"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259. No âmbito do processo administrativo iniciado, as partes interessadas que tiverem sido habilitadas durante a última revisão de final de período poderão apresentar manifestações no prazo de 15 (quinze) dias, contados da publicação do ato de início no Diário Oficial da União. </w:t>
      </w:r>
    </w:p>
    <w:p w14:paraId="422ED5C0"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260. Uma vez publicado o ato de início mencionado no art. 258, não serão conhecidas pela SDCOM novas petições de retomada da cobrança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suspenso até que seja publicada a decisão final. </w:t>
      </w:r>
    </w:p>
    <w:p w14:paraId="19CAFD2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261. Em sua análise final, a SDCOM poderá considerar, entre outros indicadores: </w:t>
      </w:r>
    </w:p>
    <w:p w14:paraId="1B5E387B"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a tendência, a consistência, a intensidade e o perfil da evolução das importações; </w:t>
      </w:r>
    </w:p>
    <w:p w14:paraId="08A9777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a representatividade do volume importado em relação ao volume total importado e ao volume do mercado brasileiro apurado na revisão de final de período; e </w:t>
      </w:r>
    </w:p>
    <w:p w14:paraId="6858CD38"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a comparação entre a representatividade mencionada no inciso II e a participação de mercado que a origem para a qual a cobrança foi suspensa, isolada ou conjuntamente com as demais origens sujeitas à medida, possuía quando causou dano à indústria doméstica. </w:t>
      </w:r>
    </w:p>
    <w:p w14:paraId="31C5D801"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262. A SDCOM elaborará sua recomendação, no prazo de 30 (trinta) dias contados do final do prazo a que faz referência o art. 261, com base nas informações constantes dos autos do processo. </w:t>
      </w:r>
    </w:p>
    <w:p w14:paraId="0DFC5F1B"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263. Durante o período de análise da SDCOM, não serão aceitos pedidos cautelares de reaplicação. </w:t>
      </w:r>
    </w:p>
    <w:p w14:paraId="25D93FE3"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264. Uma vez concluída a análise a que faz referência o art. 261, a SDCOM poderá recomendar: </w:t>
      </w:r>
    </w:p>
    <w:p w14:paraId="1A74C05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o encerramento do processo com a imediata reaplicação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em caso de determinação positiva quanto ao aumento das importações do produto objeto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suspenso em volume que possa levar à retomada do dano; ou </w:t>
      </w:r>
    </w:p>
    <w:p w14:paraId="0C0340B1"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o encerramento do processo com a manutenção da suspensão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em caso de determinação negativa quanto ao aumento das importações do produto objeto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suspenso em volume que possa levar à retomada do dano. </w:t>
      </w:r>
    </w:p>
    <w:p w14:paraId="73D58889"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265. A recomendação final da SDCOM a que faz referência o inciso I do art. 264 será encaminhada para deliberação do Comitê-Executivo de Gestão da Câmara de Comércio Exterior. </w:t>
      </w:r>
    </w:p>
    <w:p w14:paraId="61E3DF7C"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266. A recomendação final da SDCOM a que faz referência o inciso II do art. 264 será encaminhada para decisão da Secretaria de Comércio Exterior. </w:t>
      </w:r>
    </w:p>
    <w:p w14:paraId="7E0191A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267. Na hipótese do inciso II do art. 264, nova petição somente será conhecida pela SDCOM se contiver dados a respeito da evolução das importações brasileiras da origem para a qual a cobrança foi suspensa referentes a, no mínimo, 6 (seis) meses subsequentes ao período de análise considerado na decisão da Secretaria de Comércio Exterior a que faz referência o art. 266 e atualizados até o período mais recente disponível. </w:t>
      </w:r>
    </w:p>
    <w:p w14:paraId="1D3DAC4E"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268. Excepcionalmente, a SDCOM poderá considerar nova petição de retomada da cobrança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suspenso contendo dados de importação relativos a período inferior ao previsto no art. 265, desde que devidamente justificado e que contenha dados de importação, comprovações e explicações supervenientes que possam alterar as conclusões constantes na decisão da Secretaria de Comércio Exterior a que faz referência o art. 266. </w:t>
      </w:r>
    </w:p>
    <w:p w14:paraId="6207F0E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269. O disposto nos art. 267 e 268 aplica-se somente à parte interessada que protocolou a petição que resultou na decisão da Secretaria de Comércio Exterior a que faz referência o art. 266. </w:t>
      </w:r>
    </w:p>
    <w:p w14:paraId="65B162B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270. A cobrança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permanecerá suspensa até a sua eventual retomada nos termos do art. 265 ou até o fim da vigência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correspondente. </w:t>
      </w:r>
    </w:p>
    <w:p w14:paraId="61262641"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271. Caso a cobrança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seja retomada, não serão aceitos pela SDCOM pedidos de suspensão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com fundamento no art. 109 do Decreto no 8.058, de 2013, uma vez que já encerrada a revisão de final de período prevista na Subseção II do Capítulo VIII do Decreto no 8.058, de 2013. </w:t>
      </w:r>
    </w:p>
    <w:p w14:paraId="0F9688E6"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272. A suspensão da aplicação de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durante toda a sua vigência sem a retomada de sua cobrança poderá ser objeto de consideração pela SDCOM na análise de eventual petição de início de revisão de final de período relacionada a esse direito.</w:t>
      </w:r>
    </w:p>
    <w:p w14:paraId="1D0E87A5" w14:textId="77777777" w:rsidR="00E4045A" w:rsidRPr="00395593" w:rsidRDefault="00E4045A" w:rsidP="0007519C">
      <w:pPr>
        <w:spacing w:after="0" w:line="240" w:lineRule="auto"/>
        <w:jc w:val="center"/>
        <w:rPr>
          <w:rFonts w:ascii="Garamond" w:hAnsi="Garamond" w:cs="Calibri"/>
          <w:color w:val="000000"/>
          <w:sz w:val="24"/>
          <w:szCs w:val="24"/>
        </w:rPr>
      </w:pPr>
    </w:p>
    <w:p w14:paraId="51767F3C"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CAPÍTULO VII</w:t>
      </w:r>
    </w:p>
    <w:p w14:paraId="49FC06C6"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DAS PETIÇÕES DE AVALIAÇÃO DE ESCOPO</w:t>
      </w:r>
    </w:p>
    <w:p w14:paraId="649CBBEF"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w:t>
      </w:r>
    </w:p>
    <w:p w14:paraId="6BE2B024"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 xml:space="preserve">Das informações gerais </w:t>
      </w:r>
    </w:p>
    <w:p w14:paraId="728C39A1" w14:textId="77777777" w:rsidR="00E4045A" w:rsidRPr="00395593" w:rsidRDefault="00E4045A" w:rsidP="00E33E26">
      <w:pPr>
        <w:ind w:firstLine="567"/>
        <w:jc w:val="both"/>
        <w:rPr>
          <w:rFonts w:ascii="Garamond" w:hAnsi="Garamond" w:cs="Calibri"/>
          <w:color w:val="000000"/>
          <w:sz w:val="24"/>
          <w:szCs w:val="24"/>
        </w:rPr>
      </w:pPr>
    </w:p>
    <w:p w14:paraId="088BCCB4"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273. As petições de avaliação de escopo de que trata o art. 147 do Decreto n</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8.058, de 2013, deverão ser elaboradas em conformidade com o disposto neste Capítulo.</w:t>
      </w:r>
    </w:p>
    <w:p w14:paraId="7638C890"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Parágrafo único. A avaliação de escopo poderá ser iniciada de ofício pela SDCOM, com base em informações fornecidas pela Secretaria Especial da Receita Federal do Brasil do Ministério da Economia.</w:t>
      </w:r>
    </w:p>
    <w:p w14:paraId="7B733ED6"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xml:space="preserve">Art. 274. Qualquer parte interessada na avaliação de escopo poderá solicitar que se proceda a uma avaliação de escopo, a fim de determinar se o produto está sujeito a uma medida </w:t>
      </w:r>
      <w:r w:rsidRPr="00395593">
        <w:rPr>
          <w:rFonts w:ascii="Garamond" w:hAnsi="Garamond" w:cs="Calibri"/>
          <w:i/>
          <w:color w:val="000000"/>
        </w:rPr>
        <w:t xml:space="preserve">antidumping </w:t>
      </w:r>
      <w:r w:rsidRPr="00395593">
        <w:rPr>
          <w:rFonts w:ascii="Garamond" w:hAnsi="Garamond" w:cs="Calibri"/>
          <w:color w:val="000000"/>
        </w:rPr>
        <w:t>em vigor.</w:t>
      </w:r>
    </w:p>
    <w:p w14:paraId="0F3E81C5"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xml:space="preserve">Art. 275. São partes interessadas na avaliação de escopo qualquer parte interessada da investigação original ou das revisões de </w:t>
      </w:r>
      <w:r w:rsidRPr="00395593">
        <w:rPr>
          <w:rFonts w:ascii="Garamond" w:hAnsi="Garamond" w:cs="Calibri"/>
          <w:i/>
          <w:color w:val="000000"/>
        </w:rPr>
        <w:t>dumping</w:t>
      </w:r>
      <w:r w:rsidRPr="00395593">
        <w:rPr>
          <w:rFonts w:ascii="Garamond" w:hAnsi="Garamond" w:cs="Calibri"/>
          <w:color w:val="000000"/>
        </w:rPr>
        <w:t>, dano e do nexo de causalidade entre ambos, além de outros importadores que tenham importado ou que tenham a intenção de importar o produto objeto da avaliação de escopo.</w:t>
      </w:r>
    </w:p>
    <w:p w14:paraId="6C0516F0"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Parágrafo único. O reconhecimento de outras partes que se considerem interessadas na avaliação de escopo será concedido pela SDCOM, mediante avaliação da justificativa apresentada no pedido de habilitação.</w:t>
      </w:r>
    </w:p>
    <w:p w14:paraId="1A4DF41E"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Art. 276. A tramitação dos processos administrativos, a comunicação de atos, a formação de autos e a transmissão de peças processuais, no âmbito das avaliações de escopo previstas no Decreto n</w:t>
      </w:r>
      <w:r w:rsidRPr="00395593">
        <w:rPr>
          <w:rFonts w:ascii="Garamond" w:hAnsi="Garamond" w:cs="Calibri"/>
          <w:color w:val="000000"/>
          <w:vertAlign w:val="superscript"/>
        </w:rPr>
        <w:t>o</w:t>
      </w:r>
      <w:r w:rsidRPr="00395593">
        <w:rPr>
          <w:rFonts w:ascii="Garamond" w:hAnsi="Garamond" w:cs="Calibri"/>
          <w:color w:val="000000"/>
        </w:rPr>
        <w:t xml:space="preserve"> 8.058, de 2013, serão realizadas por intermédio do Sistema Eletrônico de Informação – SEI do Ministério da Economia. </w:t>
      </w:r>
    </w:p>
    <w:p w14:paraId="3B9AF159"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xml:space="preserve">Art. 277. A SDCOM poderá conduzir verificação(ões) </w:t>
      </w:r>
      <w:r w:rsidRPr="00395593">
        <w:rPr>
          <w:rFonts w:ascii="Garamond" w:hAnsi="Garamond" w:cs="Calibri"/>
          <w:i/>
          <w:color w:val="000000"/>
        </w:rPr>
        <w:t xml:space="preserve">in loco </w:t>
      </w:r>
      <w:r w:rsidRPr="00395593">
        <w:rPr>
          <w:rFonts w:ascii="Garamond" w:hAnsi="Garamond" w:cs="Calibri"/>
          <w:color w:val="000000"/>
        </w:rPr>
        <w:t>para comprovar as informações fornecidas.</w:t>
      </w:r>
    </w:p>
    <w:p w14:paraId="4229C3FD"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xml:space="preserve">Art. 278. A SDCOM poderá indeferir as petições, quando constatar que a definição do produto sujeito à medida </w:t>
      </w:r>
      <w:r w:rsidRPr="00395593">
        <w:rPr>
          <w:rFonts w:ascii="Garamond" w:hAnsi="Garamond" w:cs="Calibri"/>
          <w:i/>
          <w:color w:val="000000"/>
        </w:rPr>
        <w:t xml:space="preserve">antidumping </w:t>
      </w:r>
      <w:r w:rsidRPr="00395593">
        <w:rPr>
          <w:rFonts w:ascii="Garamond" w:hAnsi="Garamond" w:cs="Calibri"/>
          <w:color w:val="000000"/>
        </w:rPr>
        <w:t>em vigor está suficientemente clara.</w:t>
      </w:r>
    </w:p>
    <w:p w14:paraId="5750A6E3"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Art. 279. A SECEX publicará o ato de início da avaliação de escopo no Diário Oficial da União.</w:t>
      </w:r>
    </w:p>
    <w:p w14:paraId="4C1F3478"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xml:space="preserve">Parágrafo único. A data do início da avaliação de escopo será a data de publicação do ato a que faz referência o </w:t>
      </w:r>
      <w:r w:rsidRPr="00395593">
        <w:rPr>
          <w:rFonts w:ascii="Garamond" w:hAnsi="Garamond" w:cs="Calibri"/>
          <w:i/>
          <w:color w:val="000000"/>
        </w:rPr>
        <w:t xml:space="preserve">caput </w:t>
      </w:r>
      <w:r w:rsidRPr="00395593">
        <w:rPr>
          <w:rFonts w:ascii="Garamond" w:hAnsi="Garamond" w:cs="Calibri"/>
          <w:color w:val="000000"/>
        </w:rPr>
        <w:t>deste artigo.</w:t>
      </w:r>
    </w:p>
    <w:p w14:paraId="642CCFE9"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xml:space="preserve">Art. 280. As avaliações de escopo possuem caráter interpretativo, não alterando o escopo de medidas </w:t>
      </w:r>
      <w:r w:rsidRPr="00395593">
        <w:rPr>
          <w:rFonts w:ascii="Garamond" w:hAnsi="Garamond" w:cs="Calibri"/>
          <w:i/>
          <w:color w:val="000000"/>
        </w:rPr>
        <w:t>antidumping</w:t>
      </w:r>
      <w:r w:rsidRPr="00395593">
        <w:rPr>
          <w:rFonts w:ascii="Garamond" w:hAnsi="Garamond" w:cs="Calibri"/>
          <w:color w:val="000000"/>
        </w:rPr>
        <w:t xml:space="preserve"> vigentes.</w:t>
      </w:r>
    </w:p>
    <w:p w14:paraId="26310233" w14:textId="77777777" w:rsidR="00E4045A" w:rsidRPr="00395593" w:rsidRDefault="00E4045A" w:rsidP="00E33E26">
      <w:pPr>
        <w:pStyle w:val="Corpodetexto"/>
        <w:ind w:firstLine="567"/>
        <w:rPr>
          <w:rFonts w:ascii="Garamond" w:hAnsi="Garamond" w:cs="Calibri"/>
          <w:color w:val="000000"/>
        </w:rPr>
      </w:pPr>
    </w:p>
    <w:p w14:paraId="412E2F3A"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II</w:t>
      </w:r>
    </w:p>
    <w:p w14:paraId="23D68F9A"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conteúdo da petição</w:t>
      </w:r>
    </w:p>
    <w:p w14:paraId="794FBE04" w14:textId="77777777" w:rsidR="00E4045A" w:rsidRPr="00395593" w:rsidRDefault="00E4045A" w:rsidP="0007519C">
      <w:pPr>
        <w:spacing w:after="0" w:line="240" w:lineRule="auto"/>
        <w:jc w:val="center"/>
        <w:rPr>
          <w:rFonts w:ascii="Garamond" w:hAnsi="Garamond" w:cs="Calibri"/>
          <w:color w:val="000000"/>
        </w:rPr>
      </w:pPr>
    </w:p>
    <w:p w14:paraId="03398CB4" w14:textId="77777777" w:rsidR="00E4045A" w:rsidRPr="00395593" w:rsidRDefault="00E4045A" w:rsidP="00E33E26">
      <w:pPr>
        <w:pStyle w:val="TextosemFormatao"/>
        <w:ind w:firstLine="567"/>
        <w:jc w:val="both"/>
        <w:rPr>
          <w:rFonts w:ascii="Garamond" w:hAnsi="Garamond" w:cs="Calibri"/>
          <w:color w:val="000000"/>
          <w:sz w:val="24"/>
          <w:szCs w:val="24"/>
          <w:lang w:eastAsia="pt-BR"/>
        </w:rPr>
      </w:pPr>
      <w:r w:rsidRPr="00395593">
        <w:rPr>
          <w:rFonts w:ascii="Garamond" w:hAnsi="Garamond" w:cs="Calibri"/>
          <w:color w:val="000000"/>
          <w:sz w:val="24"/>
          <w:szCs w:val="24"/>
          <w:lang w:eastAsia="pt-BR"/>
        </w:rPr>
        <w:t>Art. 281. A petição de avaliação de escopo deverá conter:</w:t>
      </w:r>
    </w:p>
    <w:p w14:paraId="51D7829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lang w:eastAsia="pt-BR"/>
        </w:rPr>
        <w:t xml:space="preserve">I – </w:t>
      </w:r>
      <w:r w:rsidRPr="00395593">
        <w:rPr>
          <w:rFonts w:ascii="Garamond" w:hAnsi="Garamond" w:cs="Calibri"/>
          <w:color w:val="000000"/>
          <w:sz w:val="24"/>
          <w:szCs w:val="24"/>
        </w:rPr>
        <w:t>informações referentes à razão social, endereço completo, telefone e endereço eletrônico do(s) peticionário(s);</w:t>
      </w:r>
    </w:p>
    <w:p w14:paraId="53B9092F" w14:textId="77777777" w:rsidR="00E4045A" w:rsidRPr="00395593" w:rsidRDefault="00E4045A" w:rsidP="00E33E26">
      <w:pPr>
        <w:pStyle w:val="TextosemFormatao"/>
        <w:ind w:firstLine="567"/>
        <w:jc w:val="both"/>
        <w:rPr>
          <w:rFonts w:ascii="Garamond" w:hAnsi="Garamond" w:cs="Calibri"/>
          <w:color w:val="000000"/>
          <w:sz w:val="24"/>
          <w:szCs w:val="24"/>
          <w:lang w:eastAsia="pt-BR"/>
        </w:rPr>
      </w:pPr>
      <w:r w:rsidRPr="00395593">
        <w:rPr>
          <w:rFonts w:ascii="Garamond" w:hAnsi="Garamond" w:cs="Calibri"/>
          <w:color w:val="000000"/>
          <w:sz w:val="24"/>
          <w:szCs w:val="24"/>
        </w:rPr>
        <w:t>II – nome, função, endereço completo, telefone e endereço eletrônico do representante legal habilitado junto à SDCOM;</w:t>
      </w:r>
    </w:p>
    <w:p w14:paraId="7CA2415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w:t>
      </w:r>
      <w:r w:rsidRPr="00395593">
        <w:rPr>
          <w:rFonts w:ascii="Garamond" w:hAnsi="Garamond" w:cs="Calibri"/>
          <w:color w:val="000000"/>
          <w:sz w:val="24"/>
          <w:szCs w:val="24"/>
          <w:lang w:eastAsia="pt-BR"/>
        </w:rPr>
        <w:t>indicação</w:t>
      </w:r>
      <w:r w:rsidRPr="00395593">
        <w:rPr>
          <w:rFonts w:ascii="Garamond" w:hAnsi="Garamond" w:cs="Calibri"/>
          <w:color w:val="000000"/>
          <w:sz w:val="24"/>
          <w:szCs w:val="24"/>
        </w:rPr>
        <w:t xml:space="preserve"> da Resolução da Câmara de Comércio Exterior (CAMEX) que determinou a aplicação da medida </w:t>
      </w:r>
      <w:r w:rsidRPr="00395593">
        <w:rPr>
          <w:rFonts w:ascii="Garamond" w:hAnsi="Garamond" w:cs="Calibri"/>
          <w:i/>
          <w:color w:val="000000"/>
          <w:sz w:val="24"/>
          <w:szCs w:val="24"/>
        </w:rPr>
        <w:t xml:space="preserve">antidumping </w:t>
      </w:r>
      <w:r w:rsidRPr="00395593">
        <w:rPr>
          <w:rFonts w:ascii="Garamond" w:hAnsi="Garamond" w:cs="Calibri"/>
          <w:color w:val="000000"/>
          <w:sz w:val="24"/>
          <w:szCs w:val="24"/>
        </w:rPr>
        <w:t>em vigor a que se refere a petição de avaliação de escopo;</w:t>
      </w:r>
    </w:p>
    <w:p w14:paraId="77B27F3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VI – descrição pormenorizada do produto a ser avaliado, especificando, conforme se aplique: matéria(s)- prima(s), composição química, características físicas, normas e especificações técnicas, processo produtivo, usos e aplicações, grau de substitutibilidade e canais de distribuição;</w:t>
      </w:r>
    </w:p>
    <w:p w14:paraId="15C6AF7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 - </w:t>
      </w:r>
      <w:r w:rsidRPr="00395593">
        <w:rPr>
          <w:rFonts w:ascii="Garamond" w:hAnsi="Garamond" w:cs="Calibri"/>
          <w:color w:val="000000"/>
          <w:sz w:val="24"/>
          <w:szCs w:val="24"/>
          <w:lang w:eastAsia="pt-BR"/>
        </w:rPr>
        <w:t>outras</w:t>
      </w:r>
      <w:r w:rsidRPr="00395593">
        <w:rPr>
          <w:rFonts w:ascii="Garamond" w:hAnsi="Garamond" w:cs="Calibri"/>
          <w:color w:val="000000"/>
          <w:sz w:val="24"/>
          <w:szCs w:val="24"/>
        </w:rPr>
        <w:t xml:space="preserve"> características consideradas relevantes com vistas à identificação do produto a ser avaliado;</w:t>
      </w:r>
    </w:p>
    <w:p w14:paraId="0245CC9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VI – explicação detalhada das razões que levam a entender que o produto está, ou não, sujeito à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em vigor a que se refere esta petição;</w:t>
      </w:r>
    </w:p>
    <w:p w14:paraId="4AC648F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VII – </w:t>
      </w:r>
      <w:r w:rsidRPr="00395593">
        <w:rPr>
          <w:rFonts w:ascii="Garamond" w:hAnsi="Garamond" w:cs="Calibri"/>
          <w:color w:val="000000"/>
          <w:sz w:val="24"/>
          <w:szCs w:val="24"/>
          <w:lang w:eastAsia="pt-BR"/>
        </w:rPr>
        <w:t>indicação</w:t>
      </w:r>
      <w:r w:rsidRPr="00395593">
        <w:rPr>
          <w:rFonts w:ascii="Garamond" w:hAnsi="Garamond" w:cs="Calibri"/>
          <w:color w:val="000000"/>
          <w:sz w:val="24"/>
          <w:szCs w:val="24"/>
        </w:rPr>
        <w:t xml:space="preserve"> do(s) item(ns) da Nomenclatura Comum do MERCOSUL (NCM) em que o produto a ser avaliado é normalmente classificado;</w:t>
      </w:r>
    </w:p>
    <w:p w14:paraId="33EB227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VIII - literatura, catálogo, material de propaganda ou outro documento que forneça informações técnicas sobre o produto a ser avaliado, caso disponível;</w:t>
      </w:r>
    </w:p>
    <w:p w14:paraId="5E956F0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IX – </w:t>
      </w:r>
      <w:r w:rsidRPr="00395593">
        <w:rPr>
          <w:rFonts w:ascii="Garamond" w:hAnsi="Garamond" w:cs="Calibri"/>
          <w:color w:val="000000"/>
          <w:sz w:val="24"/>
          <w:szCs w:val="24"/>
          <w:lang w:eastAsia="pt-BR"/>
        </w:rPr>
        <w:t>informação</w:t>
      </w:r>
      <w:r w:rsidRPr="00395593">
        <w:rPr>
          <w:rFonts w:ascii="Garamond" w:hAnsi="Garamond" w:cs="Calibri"/>
          <w:color w:val="000000"/>
          <w:sz w:val="24"/>
          <w:szCs w:val="24"/>
        </w:rPr>
        <w:t xml:space="preserve"> sobre as normas ou os regulamentos técnicos aplicáveis ao produto a ser avaliado. Em caso afirmativo, deve-se informar a instituição normalizadora ou reguladora e fornecer lista exaustiva das normas/regulamentos em questão; e</w:t>
      </w:r>
    </w:p>
    <w:p w14:paraId="25D0D31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X - os nomes dos fabricantes estrangeiros e dos importadores brasileiros do produto a ser avaliado conhecidos.</w:t>
      </w:r>
    </w:p>
    <w:p w14:paraId="573F86CD"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Parágrafo único. Caso no(s) referido(s) item(ns) da NCM também sejam classificados outro(s) produto(s), deve-se informar tal circunstância e fornecer elementos que permitam identificá-los.</w:t>
      </w:r>
    </w:p>
    <w:p w14:paraId="3B235811"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Art. 282. Na hipótese de o produto a ser avaliado não ser homogêneo e/ou se classificar em mais de um item da NCM, deve-se esclarecer tal circunstância e informar os elementos que permitiram a definição do produto.</w:t>
      </w:r>
    </w:p>
    <w:p w14:paraId="55F645BD"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Art. 283. Todas as informações apresentadas deverão vir acompanhadas de comprovação, de justificativa e de fontes e de metodologias utilizadas.</w:t>
      </w:r>
    </w:p>
    <w:p w14:paraId="63DE3B06"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Art. 284. Poderão ser sumariamente indeferidas as petições que não contenham todas as informações solicitadas nesta Portaria.</w:t>
      </w:r>
    </w:p>
    <w:p w14:paraId="5F8B4D70" w14:textId="77777777" w:rsidR="00E4045A" w:rsidRPr="00395593" w:rsidRDefault="00E4045A" w:rsidP="00E33E26">
      <w:pPr>
        <w:pStyle w:val="Corpodetexto"/>
        <w:ind w:firstLine="567"/>
        <w:rPr>
          <w:rFonts w:ascii="Garamond" w:hAnsi="Garamond" w:cs="Calibri"/>
          <w:color w:val="000000"/>
        </w:rPr>
      </w:pPr>
    </w:p>
    <w:p w14:paraId="7E26AFFA"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III</w:t>
      </w:r>
    </w:p>
    <w:p w14:paraId="2D3A1869"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Dos prazos e procedimentos</w:t>
      </w:r>
    </w:p>
    <w:p w14:paraId="28C74119" w14:textId="77777777" w:rsidR="00E4045A" w:rsidRPr="00395593" w:rsidRDefault="00E4045A" w:rsidP="00E33E26">
      <w:pPr>
        <w:pStyle w:val="Corpodetexto"/>
        <w:ind w:firstLine="567"/>
        <w:rPr>
          <w:rFonts w:ascii="Garamond" w:hAnsi="Garamond" w:cs="Calibri"/>
          <w:color w:val="000000"/>
        </w:rPr>
      </w:pPr>
    </w:p>
    <w:p w14:paraId="7F192476"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Art. 285. Os procedimentos de avaliação de escopo observarão os seguintes prazos:</w:t>
      </w:r>
    </w:p>
    <w:p w14:paraId="0298AE8B" w14:textId="77777777" w:rsidR="00E4045A" w:rsidRPr="00395593" w:rsidRDefault="00E4045A" w:rsidP="00E33E26">
      <w:pPr>
        <w:pStyle w:val="TextosemFormatao"/>
        <w:tabs>
          <w:tab w:val="left" w:pos="993"/>
          <w:tab w:val="left" w:pos="1701"/>
        </w:tabs>
        <w:ind w:firstLine="567"/>
        <w:jc w:val="both"/>
        <w:rPr>
          <w:rFonts w:ascii="Garamond" w:hAnsi="Garamond" w:cs="Calibri"/>
          <w:color w:val="000000"/>
          <w:sz w:val="24"/>
          <w:szCs w:val="24"/>
        </w:rPr>
      </w:pPr>
      <w:r w:rsidRPr="00395593">
        <w:rPr>
          <w:rFonts w:ascii="Garamond" w:hAnsi="Garamond" w:cs="Calibri"/>
          <w:color w:val="000000"/>
          <w:sz w:val="24"/>
          <w:szCs w:val="24"/>
        </w:rPr>
        <w:t>I – quinze dias para pedidos de habilitação das partes interessadas na avaliação de escopo;</w:t>
      </w:r>
    </w:p>
    <w:p w14:paraId="366CBEB9" w14:textId="77777777" w:rsidR="00E4045A" w:rsidRPr="00395593" w:rsidRDefault="00E4045A" w:rsidP="00E33E26">
      <w:pPr>
        <w:pStyle w:val="TextosemFormatao"/>
        <w:tabs>
          <w:tab w:val="left" w:pos="993"/>
          <w:tab w:val="left" w:pos="1701"/>
        </w:tabs>
        <w:ind w:firstLine="567"/>
        <w:jc w:val="both"/>
        <w:rPr>
          <w:rFonts w:ascii="Garamond" w:hAnsi="Garamond" w:cs="Calibri"/>
          <w:color w:val="000000"/>
          <w:sz w:val="24"/>
          <w:szCs w:val="24"/>
        </w:rPr>
      </w:pPr>
      <w:r w:rsidRPr="00395593">
        <w:rPr>
          <w:rFonts w:ascii="Garamond" w:hAnsi="Garamond" w:cs="Calibri"/>
          <w:color w:val="000000"/>
          <w:sz w:val="24"/>
          <w:szCs w:val="24"/>
        </w:rPr>
        <w:t>II – quinze dias para o pedido de realização de audiência;</w:t>
      </w:r>
    </w:p>
    <w:p w14:paraId="04DD89D8" w14:textId="77777777" w:rsidR="00E4045A" w:rsidRPr="00395593" w:rsidRDefault="00E4045A" w:rsidP="00E33E26">
      <w:pPr>
        <w:pStyle w:val="TextosemFormatao"/>
        <w:tabs>
          <w:tab w:val="left" w:pos="993"/>
          <w:tab w:val="left" w:pos="1701"/>
        </w:tabs>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trinta dias para regularização dos representantes legais das partes interessadas na avaliação de escopo; </w:t>
      </w:r>
    </w:p>
    <w:p w14:paraId="41FDC44A" w14:textId="77777777" w:rsidR="00E4045A" w:rsidRPr="00395593" w:rsidRDefault="00E4045A" w:rsidP="00E33E26">
      <w:pPr>
        <w:pStyle w:val="TextosemFormatao"/>
        <w:tabs>
          <w:tab w:val="left" w:pos="993"/>
          <w:tab w:val="left" w:pos="1701"/>
        </w:tabs>
        <w:ind w:firstLine="567"/>
        <w:jc w:val="both"/>
        <w:rPr>
          <w:rFonts w:ascii="Garamond" w:hAnsi="Garamond" w:cs="Calibri"/>
          <w:color w:val="000000"/>
          <w:sz w:val="24"/>
          <w:szCs w:val="24"/>
        </w:rPr>
      </w:pPr>
      <w:r w:rsidRPr="00395593">
        <w:rPr>
          <w:rFonts w:ascii="Garamond" w:hAnsi="Garamond" w:cs="Calibri"/>
          <w:color w:val="000000"/>
          <w:sz w:val="24"/>
          <w:szCs w:val="24"/>
        </w:rPr>
        <w:t>IV – trinta dias para manifestação e para submissão de elementos de prova;</w:t>
      </w:r>
    </w:p>
    <w:p w14:paraId="3F6013CA" w14:textId="77777777" w:rsidR="00E4045A" w:rsidRPr="00395593" w:rsidRDefault="00E4045A" w:rsidP="00E33E26">
      <w:pPr>
        <w:pStyle w:val="TextosemFormatao"/>
        <w:tabs>
          <w:tab w:val="left" w:pos="993"/>
          <w:tab w:val="left" w:pos="1701"/>
        </w:tabs>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 – quarenta dias para submissão de comentários finais sobre os elementos constantes dos autos; </w:t>
      </w:r>
    </w:p>
    <w:p w14:paraId="63E3FC1B" w14:textId="77777777" w:rsidR="00E4045A" w:rsidRPr="00395593" w:rsidRDefault="00E4045A" w:rsidP="00E33E26">
      <w:pPr>
        <w:pStyle w:val="TextosemFormatao"/>
        <w:tabs>
          <w:tab w:val="left" w:pos="993"/>
          <w:tab w:val="left" w:pos="1701"/>
        </w:tabs>
        <w:ind w:firstLine="567"/>
        <w:jc w:val="both"/>
        <w:rPr>
          <w:rFonts w:ascii="Garamond" w:hAnsi="Garamond" w:cs="Calibri"/>
          <w:color w:val="000000"/>
          <w:sz w:val="24"/>
          <w:szCs w:val="24"/>
        </w:rPr>
      </w:pPr>
      <w:r w:rsidRPr="00395593">
        <w:rPr>
          <w:rFonts w:ascii="Garamond" w:hAnsi="Garamond" w:cs="Calibri"/>
          <w:color w:val="000000"/>
          <w:sz w:val="24"/>
          <w:szCs w:val="24"/>
        </w:rPr>
        <w:t>VI – sessenta dias para elaboração de determinação final da avaliação de escopo.</w:t>
      </w:r>
    </w:p>
    <w:p w14:paraId="3C4B7BD7"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1º Os prazos previstos neste artigo contam-se da data de início da avaliação de escopo.</w:t>
      </w:r>
    </w:p>
    <w:p w14:paraId="36DAAD64"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2º O cronograma a que faz referência o inciso III do art. 149 do Decreto nº 8.058, de 2013, contendo os prazos previstos neste artigo, será divulgado ao início da avaliação de escopo.</w:t>
      </w:r>
    </w:p>
    <w:p w14:paraId="7E3A9756"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Art. 286. Na hipótese de determinação final apenas com base nas informações constantes da petição e dos demais elementos de provas constantes dos autos do processo, a SDCOM elaborará parecer, no prazo de 60 dias, contado da data de publicação do ato a que faz referência o art. 279 desta Portaria, conforme disposto no inciso VI do art. 285 desta Portaria.</w:t>
      </w:r>
    </w:p>
    <w:p w14:paraId="28CCBF6C"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xml:space="preserve">Art. 287. Nas hipóteses de realização de audiência, de envio de questionários ou de realização de verificação </w:t>
      </w:r>
      <w:r w:rsidRPr="00395593">
        <w:rPr>
          <w:rFonts w:ascii="Garamond" w:hAnsi="Garamond" w:cs="Calibri"/>
          <w:i/>
          <w:color w:val="000000"/>
        </w:rPr>
        <w:t>in loco</w:t>
      </w:r>
      <w:r w:rsidRPr="00395593">
        <w:rPr>
          <w:rFonts w:ascii="Garamond" w:hAnsi="Garamond" w:cs="Calibri"/>
          <w:color w:val="000000"/>
        </w:rPr>
        <w:t>, a SDCOM elaborará parecer de determinação final, no prazo de 120 dias, contado da data de publicação do ato a que faz referência o art. 277 desta Portaria.</w:t>
      </w:r>
    </w:p>
    <w:p w14:paraId="51D84B67"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1º Nas hipóteses de envio de questionários ao início da avaliação de escopo, os atos a que fazem referência os incisos IV e V do art. 283 desta Portaria deverão ser observados nos seguintes prazos:</w:t>
      </w:r>
    </w:p>
    <w:p w14:paraId="71D19EF5" w14:textId="77777777" w:rsidR="00E4045A" w:rsidRPr="00395593" w:rsidRDefault="00E4045A" w:rsidP="00E33E26">
      <w:pPr>
        <w:pStyle w:val="PargrafodaLista"/>
        <w:tabs>
          <w:tab w:val="left" w:pos="805"/>
        </w:tabs>
        <w:autoSpaceDE w:val="0"/>
        <w:autoSpaceDN w:val="0"/>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I – noventa dias para manifestação e para submissão de elementos de prova;</w:t>
      </w:r>
    </w:p>
    <w:p w14:paraId="11CC1677" w14:textId="77777777" w:rsidR="00E4045A" w:rsidRPr="00395593" w:rsidRDefault="00E4045A" w:rsidP="00E33E26">
      <w:pPr>
        <w:pStyle w:val="PargrafodaLista"/>
        <w:tabs>
          <w:tab w:val="left" w:pos="879"/>
        </w:tabs>
        <w:autoSpaceDE w:val="0"/>
        <w:autoSpaceDN w:val="0"/>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II – cem dias para submissão de comentários finais sobre os elementos constantes dos autos.</w:t>
      </w:r>
    </w:p>
    <w:p w14:paraId="5D8697A3"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2º Na hipótese de ser necessário o envio de questionários durante a instrução da avaliação de escopo, será divulgado novo cronograma com prazo para restituição dos questionários e com os novos prazos para manifestação e para submissão de elementos de prova, para comentários finais sobre os elementos constantes dos autos e para a elaboração de determinação final da avaliação de escopo.</w:t>
      </w:r>
    </w:p>
    <w:p w14:paraId="0F744234"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3º Os produtores ou exportadores, os importadores e os produtores domésticos disporão do prazo de dez dias para restituir os questionários, contado da data de ciência da solicitação.</w:t>
      </w:r>
    </w:p>
    <w:p w14:paraId="7A1C6D46"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Art. 288. Os prazos previstos nesta Portaria serão contabilizados de forma corrida, incluindo-se o dia do vencimento.</w:t>
      </w:r>
    </w:p>
    <w:p w14:paraId="2F9912F6"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Art. 289. A contagem de prazos começa no primeiro dia útil subsequente à publicação do ato ou à expedição da correspondência, quando houver.</w:t>
      </w:r>
    </w:p>
    <w:p w14:paraId="1E793D03" w14:textId="4FD19DD5"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noProof/>
          <w:color w:val="000000"/>
          <w:shd w:val="clear" w:color="auto" w:fill="E6E6E6"/>
          <w:lang w:eastAsia="pt-BR"/>
        </w:rPr>
        <mc:AlternateContent>
          <mc:Choice Requires="wps">
            <w:drawing>
              <wp:anchor distT="0" distB="0" distL="114300" distR="114300" simplePos="0" relativeHeight="251658294" behindDoc="1" locked="0" layoutInCell="1" allowOverlap="1" wp14:anchorId="6E0946BF" wp14:editId="2ABDD643">
                <wp:simplePos x="0" y="0"/>
                <wp:positionH relativeFrom="page">
                  <wp:posOffset>3771265</wp:posOffset>
                </wp:positionH>
                <wp:positionV relativeFrom="paragraph">
                  <wp:posOffset>249555</wp:posOffset>
                </wp:positionV>
                <wp:extent cx="42545" cy="4445"/>
                <wp:effectExtent l="0" t="0" r="0" b="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09F70" id="Retângulo 16" o:spid="_x0000_s1026" style="position:absolute;margin-left:296.95pt;margin-top:19.65pt;width:3.35pt;height:.35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" fillcolor="black" stroked="f">
                <w10:wrap anchorx="page"/>
              </v:rect>
            </w:pict>
          </mc:Fallback>
        </mc:AlternateContent>
      </w:r>
      <w:r w:rsidRPr="00395593">
        <w:rPr>
          <w:rFonts w:ascii="Garamond" w:hAnsi="Garamond" w:cs="Calibri"/>
          <w:color w:val="000000"/>
        </w:rPr>
        <w:t>Art. 290. Os prazos previstos nesta Portaria podem ser prorrogados, por uma única vez e igual período, em conformidade com o disposto no art. 194 do Decreto n</w:t>
      </w:r>
      <w:r w:rsidRPr="00395593">
        <w:rPr>
          <w:rFonts w:ascii="Garamond" w:hAnsi="Garamond" w:cs="Calibri"/>
          <w:color w:val="000000"/>
          <w:vertAlign w:val="superscript"/>
        </w:rPr>
        <w:t>o</w:t>
      </w:r>
      <w:r w:rsidRPr="00395593">
        <w:rPr>
          <w:rFonts w:ascii="Garamond" w:hAnsi="Garamond" w:cs="Calibri"/>
          <w:color w:val="000000"/>
        </w:rPr>
        <w:t xml:space="preserve"> 8.058, de 2013.</w:t>
      </w:r>
    </w:p>
    <w:p w14:paraId="2C26672B" w14:textId="77777777" w:rsidR="00E4045A" w:rsidRPr="00395593" w:rsidRDefault="00E4045A" w:rsidP="00E33E26">
      <w:pPr>
        <w:pStyle w:val="Corpodetexto"/>
        <w:ind w:firstLine="567"/>
        <w:rPr>
          <w:rFonts w:ascii="Garamond" w:hAnsi="Garamond" w:cs="Calibri"/>
          <w:color w:val="000000"/>
        </w:rPr>
      </w:pPr>
    </w:p>
    <w:p w14:paraId="5850B69C"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 xml:space="preserve">Seção IV </w:t>
      </w:r>
    </w:p>
    <w:p w14:paraId="2B7A5E48"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 audiência</w:t>
      </w:r>
    </w:p>
    <w:p w14:paraId="107FC14F" w14:textId="77777777" w:rsidR="00E4045A" w:rsidRPr="00395593" w:rsidRDefault="00E4045A" w:rsidP="0007519C">
      <w:pPr>
        <w:spacing w:after="0" w:line="240" w:lineRule="auto"/>
        <w:jc w:val="center"/>
        <w:rPr>
          <w:rFonts w:ascii="Garamond" w:hAnsi="Garamond" w:cs="Calibri"/>
          <w:color w:val="000000"/>
        </w:rPr>
      </w:pPr>
    </w:p>
    <w:p w14:paraId="10279C50"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Art. 291. Serão realizadas, a pedido de uma ou mais partes interessadas habilitadas ou por iniciativa da SDCOM, no prazo de 40 (quarenta) dias, audiências com as partes interessadas habilitadas, a fim de permitir o exercício do contraditório e da ampla defesa.</w:t>
      </w:r>
    </w:p>
    <w:p w14:paraId="5AA46DC5"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1º As audiências deverão ser solicitadas por escrito, no prazo de 15 (quinze) dias, contado da data do início da avaliação de escopo, conforme disposto no inciso II do art. 285 desta Portaria, e as solicitações deverão estar acompanhadas da relação dos temas específicos a serem nela tratados.</w:t>
      </w:r>
    </w:p>
    <w:p w14:paraId="71140E0F"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xml:space="preserve">§ 2º Somente serão deferidos pedidos de realização de audiência a fim de esclarecer aspectos relativos ao escopo da medida </w:t>
      </w:r>
      <w:r w:rsidRPr="00395593">
        <w:rPr>
          <w:rFonts w:ascii="Garamond" w:hAnsi="Garamond" w:cs="Calibri"/>
          <w:i/>
          <w:color w:val="000000"/>
        </w:rPr>
        <w:t xml:space="preserve">antidumping </w:t>
      </w:r>
      <w:r w:rsidRPr="00395593">
        <w:rPr>
          <w:rFonts w:ascii="Garamond" w:hAnsi="Garamond" w:cs="Calibri"/>
          <w:color w:val="000000"/>
        </w:rPr>
        <w:t>em vigor</w:t>
      </w:r>
    </w:p>
    <w:p w14:paraId="296C3A14"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3º As partes interessadas habilitadas serão notificadas da realização da audiência e dos temas a serem tratados com antecedência mínima de vinte dias.</w:t>
      </w:r>
    </w:p>
    <w:p w14:paraId="37FCE902"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4º O comparecimento às audiências é facultativo e a ausência de qualquer parte interessada não será utilizada em seu prejuízo.</w:t>
      </w:r>
    </w:p>
    <w:p w14:paraId="7C83C019"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5º As partes interessadas habilitadas deverão enviar, por escrito, com pelo menos dez dias de antecedência, os argumentos que desejam tratar e indicar, com pelo menos três dias de antecedência, os representantes legais que estarão presentes à audiência, podendo as partes interessadas habilitadas apresentar informações adicionais oralmente na audiência.</w:t>
      </w:r>
    </w:p>
    <w:p w14:paraId="656D7F22"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6º As informações apresentadas oralmente durante a audiência somente serão consideradas pela SDCOM, caso reproduzidas por escrito e protocoladas no prazo de 10 (dez) dias após a sua realização, a fim de que sejam anexadas aos autos restritos do processo.</w:t>
      </w:r>
    </w:p>
    <w:p w14:paraId="34B32587"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 7º Na hipótese de as audiências serem gravadas, as manifestações orais feitas pelas partes interessadas habilitadas poderão ser utilizadas pela SDCOM na elaboração de suas determinações, ficando, nesse caso, as partes interessadas habilitadas desobrigadas de reproduzir por escrito as manifestações feitas.</w:t>
      </w:r>
    </w:p>
    <w:p w14:paraId="57B36E47"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 8º As gravações ou as respectivas transcrições serão igualmente anexadas aos autos restritos do processo.</w:t>
      </w:r>
    </w:p>
    <w:p w14:paraId="199A8984" w14:textId="77777777" w:rsidR="00E4045A" w:rsidRPr="00395593" w:rsidRDefault="00E4045A" w:rsidP="00E33E26">
      <w:pPr>
        <w:pStyle w:val="Corpodetexto"/>
        <w:ind w:firstLine="567"/>
        <w:rPr>
          <w:rFonts w:ascii="Garamond" w:hAnsi="Garamond" w:cs="Calibri"/>
          <w:color w:val="000000"/>
        </w:rPr>
      </w:pPr>
    </w:p>
    <w:p w14:paraId="589A39C2"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CAPÍTULO VIII</w:t>
      </w:r>
    </w:p>
    <w:p w14:paraId="2FA6B925"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DAS PETIÇÕES DE ANTICIRCUNVENÇÃO</w:t>
      </w:r>
    </w:p>
    <w:p w14:paraId="2A1988F9"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w:t>
      </w:r>
    </w:p>
    <w:p w14:paraId="30A88BB4"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Das instruções gerais</w:t>
      </w:r>
    </w:p>
    <w:p w14:paraId="4D044AA9" w14:textId="77777777" w:rsidR="00E4045A" w:rsidRPr="00395593" w:rsidRDefault="00E4045A" w:rsidP="00E33E26">
      <w:pPr>
        <w:pStyle w:val="TextosemFormatao"/>
        <w:ind w:firstLine="567"/>
        <w:jc w:val="both"/>
        <w:rPr>
          <w:rFonts w:ascii="Garamond" w:eastAsia="Times New Roman" w:hAnsi="Garamond" w:cs="Calibri"/>
          <w:color w:val="000000"/>
          <w:sz w:val="24"/>
          <w:szCs w:val="24"/>
          <w:lang w:eastAsia="pt-BR"/>
        </w:rPr>
      </w:pPr>
    </w:p>
    <w:p w14:paraId="38B1202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eastAsia="Times New Roman" w:hAnsi="Garamond" w:cs="Calibri"/>
          <w:color w:val="000000"/>
          <w:sz w:val="24"/>
          <w:szCs w:val="24"/>
          <w:lang w:eastAsia="pt-BR"/>
        </w:rPr>
        <w:t>Art. 292.</w:t>
      </w:r>
      <w:r w:rsidRPr="00395593">
        <w:rPr>
          <w:rFonts w:ascii="Garamond" w:hAnsi="Garamond" w:cs="Calibri"/>
          <w:color w:val="000000"/>
          <w:sz w:val="24"/>
          <w:szCs w:val="24"/>
        </w:rPr>
        <w:t xml:space="preserve"> As petições de revisão anticircunvenção de que trata o art. 121 do Decreto n</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8.058, de 2013, deverão ser elaboradas utilizando-se do formato presente neste Capítulo. </w:t>
      </w:r>
    </w:p>
    <w:p w14:paraId="7E2BE53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eastAsia="Times New Roman" w:hAnsi="Garamond" w:cs="Calibri"/>
          <w:color w:val="000000"/>
          <w:sz w:val="24"/>
          <w:szCs w:val="24"/>
          <w:lang w:eastAsia="pt-BR"/>
        </w:rPr>
        <w:t>Art. 293.</w:t>
      </w:r>
      <w:r w:rsidRPr="00395593">
        <w:rPr>
          <w:rFonts w:ascii="Garamond" w:hAnsi="Garamond" w:cs="Calibri"/>
          <w:color w:val="000000"/>
          <w:sz w:val="24"/>
          <w:szCs w:val="24"/>
        </w:rPr>
        <w:t xml:space="preserve"> A petição deverá conter indícios da prática de circunvenção, consoante o disposto nos incisos I, II e III do art. 121 do Decreto n</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8.058, de 2013. </w:t>
      </w:r>
    </w:p>
    <w:p w14:paraId="75064A4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eastAsia="Times New Roman" w:hAnsi="Garamond" w:cs="Calibri"/>
          <w:color w:val="000000"/>
          <w:sz w:val="24"/>
          <w:szCs w:val="24"/>
          <w:lang w:eastAsia="pt-BR"/>
        </w:rPr>
        <w:t>Art. 294.</w:t>
      </w:r>
      <w:r w:rsidRPr="00395593">
        <w:rPr>
          <w:rFonts w:ascii="Garamond" w:hAnsi="Garamond" w:cs="Calibri"/>
          <w:color w:val="000000"/>
          <w:sz w:val="24"/>
          <w:szCs w:val="24"/>
        </w:rPr>
        <w:t xml:space="preserve"> Poderão ser sumariamente indeferidas petições que não contenham todas as informações solicitadas nesta Portaria.</w:t>
      </w:r>
    </w:p>
    <w:p w14:paraId="0D5C35A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eastAsia="Times New Roman" w:hAnsi="Garamond" w:cs="Calibri"/>
          <w:color w:val="000000"/>
          <w:sz w:val="24"/>
          <w:szCs w:val="24"/>
          <w:lang w:eastAsia="pt-BR"/>
        </w:rPr>
        <w:t>Art. 295.</w:t>
      </w:r>
      <w:r w:rsidRPr="00395593">
        <w:rPr>
          <w:rFonts w:ascii="Garamond" w:hAnsi="Garamond" w:cs="Calibri"/>
          <w:color w:val="000000"/>
          <w:sz w:val="24"/>
          <w:szCs w:val="24"/>
        </w:rPr>
        <w:t xml:space="preserve"> A SDCOM poderá conduzir verificação(ões) </w:t>
      </w:r>
      <w:r w:rsidRPr="00395593">
        <w:rPr>
          <w:rFonts w:ascii="Garamond" w:hAnsi="Garamond" w:cs="Calibri"/>
          <w:i/>
          <w:color w:val="000000"/>
          <w:sz w:val="24"/>
          <w:szCs w:val="24"/>
        </w:rPr>
        <w:t>in loco</w:t>
      </w:r>
      <w:r w:rsidRPr="00395593">
        <w:rPr>
          <w:rFonts w:ascii="Garamond" w:hAnsi="Garamond" w:cs="Calibri"/>
          <w:color w:val="000000"/>
          <w:sz w:val="24"/>
          <w:szCs w:val="24"/>
        </w:rPr>
        <w:t xml:space="preserve"> para examinar os registros da(s) empresa(s) e comprovar as informações fornecidas. Para esse fim, documentos auxiliares utilizados na elaboração da petição devem ser preservados. </w:t>
      </w:r>
    </w:p>
    <w:p w14:paraId="2583E40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296. Todas as informações apresentadas deverão vir acompanhadas de comprovação, de justificativa e das fontes e metodologias utilizadas.</w:t>
      </w:r>
    </w:p>
    <w:p w14:paraId="4FCF7A2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297. A petição deverá conter:</w:t>
      </w:r>
    </w:p>
    <w:p w14:paraId="658EA21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razão social, endereço completo, telefone e endereço eletrônico das empresas representadas; e</w:t>
      </w:r>
    </w:p>
    <w:p w14:paraId="2BEDC18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nome, função, endereço completo, telefone e endereço eletrônico do representante legal habilitado junto à SDCOM.</w:t>
      </w:r>
    </w:p>
    <w:p w14:paraId="5B25F1B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298. Dúvidas e solicitações de esclarecimentos devem ser encaminhadas à SDCOM por meio do endereço eletrônico </w:t>
      </w:r>
      <w:hyperlink r:id="rId230" w:history="1">
        <w:r w:rsidRPr="00395593">
          <w:rPr>
            <w:rStyle w:val="Hyperlink"/>
            <w:rFonts w:ascii="Garamond" w:hAnsi="Garamond" w:cs="Calibri"/>
            <w:color w:val="000000"/>
            <w:sz w:val="24"/>
            <w:szCs w:val="24"/>
          </w:rPr>
          <w:t>sdcom@economia.gov.br</w:t>
        </w:r>
      </w:hyperlink>
      <w:r w:rsidRPr="00395593">
        <w:rPr>
          <w:rFonts w:ascii="Garamond" w:hAnsi="Garamond" w:cs="Calibri"/>
          <w:color w:val="000000"/>
          <w:sz w:val="24"/>
          <w:szCs w:val="24"/>
        </w:rPr>
        <w:t>.</w:t>
      </w:r>
    </w:p>
    <w:p w14:paraId="59B7EB7A" w14:textId="77777777" w:rsidR="00E4045A" w:rsidRPr="00395593" w:rsidRDefault="00E4045A" w:rsidP="00E33E26">
      <w:pPr>
        <w:pStyle w:val="TextosemFormatao"/>
        <w:ind w:firstLine="567"/>
        <w:jc w:val="both"/>
        <w:rPr>
          <w:rFonts w:ascii="Garamond" w:hAnsi="Garamond" w:cs="Calibri"/>
          <w:color w:val="000000"/>
          <w:sz w:val="24"/>
          <w:szCs w:val="24"/>
        </w:rPr>
      </w:pPr>
    </w:p>
    <w:p w14:paraId="7FD17EE8"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II</w:t>
      </w:r>
    </w:p>
    <w:p w14:paraId="22FE9773"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período de revisão anticircunvenção</w:t>
      </w:r>
    </w:p>
    <w:p w14:paraId="1C04D259" w14:textId="77777777" w:rsidR="00E4045A" w:rsidRPr="00395593" w:rsidRDefault="00E4045A" w:rsidP="0007519C">
      <w:pPr>
        <w:spacing w:after="0" w:line="240" w:lineRule="auto"/>
        <w:jc w:val="center"/>
        <w:rPr>
          <w:rFonts w:ascii="Garamond" w:hAnsi="Garamond" w:cs="Calibri"/>
          <w:color w:val="000000"/>
          <w:sz w:val="24"/>
          <w:szCs w:val="24"/>
        </w:rPr>
      </w:pPr>
    </w:p>
    <w:p w14:paraId="0006635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299. Deve-se indicar o período considerado para a revisão anticircunvenção, que deverá</w:t>
      </w:r>
      <w:r w:rsidRPr="00395593">
        <w:rPr>
          <w:rFonts w:ascii="Garamond" w:hAnsi="Garamond" w:cs="Calibri"/>
          <w:b/>
          <w:color w:val="000000"/>
          <w:sz w:val="24"/>
          <w:szCs w:val="24"/>
        </w:rPr>
        <w:t xml:space="preserve"> </w:t>
      </w:r>
      <w:r w:rsidRPr="00395593">
        <w:rPr>
          <w:rFonts w:ascii="Garamond" w:hAnsi="Garamond" w:cs="Calibri"/>
          <w:color w:val="000000"/>
          <w:sz w:val="24"/>
          <w:szCs w:val="24"/>
        </w:rPr>
        <w:t>compreender os 12 (doze) meses mais próximos possíveis à data do protocolo da petição.</w:t>
      </w:r>
    </w:p>
    <w:p w14:paraId="101D031B" w14:textId="77777777" w:rsidR="00E4045A" w:rsidRPr="00395593" w:rsidRDefault="00E4045A" w:rsidP="0007519C">
      <w:pPr>
        <w:spacing w:after="0" w:line="240" w:lineRule="auto"/>
        <w:jc w:val="center"/>
        <w:rPr>
          <w:rFonts w:ascii="Garamond" w:hAnsi="Garamond" w:cs="Calibri"/>
          <w:color w:val="000000"/>
          <w:sz w:val="24"/>
          <w:szCs w:val="24"/>
        </w:rPr>
      </w:pPr>
    </w:p>
    <w:p w14:paraId="440CCCC5"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III</w:t>
      </w:r>
    </w:p>
    <w:p w14:paraId="3A187E46"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 tipificação da prática de circunvenção</w:t>
      </w:r>
    </w:p>
    <w:p w14:paraId="58B1097D" w14:textId="77777777" w:rsidR="00E4045A" w:rsidRPr="00395593" w:rsidRDefault="00E4045A" w:rsidP="00E33E26">
      <w:pPr>
        <w:pStyle w:val="TextosemFormatao"/>
        <w:ind w:firstLine="567"/>
        <w:jc w:val="both"/>
        <w:rPr>
          <w:rFonts w:ascii="Garamond" w:hAnsi="Garamond" w:cs="Calibri"/>
          <w:color w:val="000000"/>
          <w:sz w:val="24"/>
          <w:szCs w:val="24"/>
        </w:rPr>
      </w:pPr>
    </w:p>
    <w:p w14:paraId="1AC5D3E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300. Deve-se indicar em qual das hipóteses a seguir, nos termos do art. 121 do Decreto n</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8.058, de 2013, a prática de circunvenção se enquadra: </w:t>
      </w:r>
    </w:p>
    <w:p w14:paraId="325E45E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importação de partes, peças ou componentes originários ou procedentes do país sujeito à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destinadas à industrialização, no Brasil, do produto objeto da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w:t>
      </w:r>
    </w:p>
    <w:p w14:paraId="65AD006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importação de produto de terceiros países cuja industrialização com partes, peças ou componentes originários ou procedentes do país sujeito à medida </w:t>
      </w:r>
      <w:r w:rsidRPr="00395593">
        <w:rPr>
          <w:rFonts w:ascii="Garamond" w:hAnsi="Garamond" w:cs="Calibri"/>
          <w:i/>
          <w:color w:val="000000"/>
          <w:sz w:val="24"/>
          <w:szCs w:val="24"/>
        </w:rPr>
        <w:t>antidumping</w:t>
      </w:r>
      <w:r w:rsidRPr="00395593">
        <w:rPr>
          <w:rFonts w:ascii="Garamond" w:hAnsi="Garamond" w:cs="Calibri"/>
          <w:b/>
          <w:color w:val="000000"/>
          <w:sz w:val="24"/>
          <w:szCs w:val="24"/>
        </w:rPr>
        <w:t xml:space="preserve"> </w:t>
      </w:r>
      <w:r w:rsidRPr="00395593">
        <w:rPr>
          <w:rFonts w:ascii="Garamond" w:hAnsi="Garamond" w:cs="Calibri"/>
          <w:color w:val="000000"/>
          <w:sz w:val="24"/>
          <w:szCs w:val="24"/>
        </w:rPr>
        <w:t xml:space="preserve">resulte no produto objeto da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 ou</w:t>
      </w:r>
    </w:p>
    <w:p w14:paraId="38F5DD9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importação de produto que, originário ou procedente do país sujeito à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apresente modificações marginais com relação ao produto objeto da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 mas que não alteram o seu uso ou a sua destinação final.</w:t>
      </w:r>
    </w:p>
    <w:p w14:paraId="4B43BA9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301. Deve-se descrever pormenorizadamente a alegada prática de circunvenção. </w:t>
      </w:r>
    </w:p>
    <w:p w14:paraId="0059CB3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302. Deve-se indicar todos os países envolvidos na prática de circunvenção e, sempre que possível, as empresas produtoras ou exportadoras, as empresas importadoras e/ou responsáveis pela industrialização.</w:t>
      </w:r>
    </w:p>
    <w:p w14:paraId="0FD58B5F" w14:textId="77777777" w:rsidR="00E4045A" w:rsidRPr="00395593" w:rsidRDefault="00E4045A" w:rsidP="00E33E26">
      <w:pPr>
        <w:pStyle w:val="TextosemFormatao"/>
        <w:ind w:firstLine="567"/>
        <w:jc w:val="both"/>
        <w:rPr>
          <w:rFonts w:ascii="Garamond" w:hAnsi="Garamond" w:cs="Calibri"/>
          <w:color w:val="000000"/>
          <w:sz w:val="24"/>
          <w:szCs w:val="24"/>
        </w:rPr>
      </w:pPr>
    </w:p>
    <w:p w14:paraId="0E506A32"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IV</w:t>
      </w:r>
    </w:p>
    <w:p w14:paraId="3E06C83A"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produto, parte, peça ou componente objeto da circunvenção</w:t>
      </w:r>
    </w:p>
    <w:p w14:paraId="253C30B8" w14:textId="77777777" w:rsidR="00E4045A" w:rsidRPr="00395593" w:rsidRDefault="00E4045A" w:rsidP="0007519C">
      <w:pPr>
        <w:spacing w:after="0" w:line="240" w:lineRule="auto"/>
        <w:jc w:val="center"/>
        <w:rPr>
          <w:rFonts w:ascii="Garamond" w:hAnsi="Garamond" w:cs="Calibri"/>
          <w:color w:val="000000"/>
          <w:sz w:val="24"/>
          <w:szCs w:val="24"/>
        </w:rPr>
      </w:pPr>
    </w:p>
    <w:p w14:paraId="1125D21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303. Deve-se especificar o procedimento que deu origem à aplicação ou à última prorrogação da medida em vigor.</w:t>
      </w:r>
    </w:p>
    <w:p w14:paraId="72FAA97A"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304. Deve-se descrever pormenorizadamente o produto, parte, peça ou componente objeto da revisão, especificando, conforme se aplique: matéria(s)-prima(s); composição química; modelo; dimensão; capacidade; potência, forma de apresentação, usos e aplicações e canais de distribuição. Informar outras características consideradas relevantes com vistas à identificação do produto objeto da revisão.</w:t>
      </w:r>
    </w:p>
    <w:p w14:paraId="1544B2B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305. Deve-se especificar o(s) item(ns) da Nomenclatura Comum do MERCOSUL (NCM) em que se classifica(m) o produto objeto da revisão.</w:t>
      </w:r>
    </w:p>
    <w:p w14:paraId="0788166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Parágrafo único. Nos casos que envolverem partes, peças e componentes, deve-se informar o(s) item(ns) da Nomenclatura Comum do MERCOSUL (NCM) em que estes se classificam.</w:t>
      </w:r>
    </w:p>
    <w:p w14:paraId="0AD1438B" w14:textId="77777777" w:rsidR="00E4045A" w:rsidRPr="00395593" w:rsidRDefault="00E4045A" w:rsidP="0007519C">
      <w:pPr>
        <w:spacing w:after="0" w:line="240" w:lineRule="auto"/>
        <w:jc w:val="center"/>
        <w:rPr>
          <w:rFonts w:ascii="Garamond" w:hAnsi="Garamond" w:cs="Calibri"/>
          <w:color w:val="000000"/>
          <w:sz w:val="24"/>
          <w:szCs w:val="24"/>
        </w:rPr>
      </w:pPr>
    </w:p>
    <w:p w14:paraId="1918ED36"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V</w:t>
      </w:r>
    </w:p>
    <w:p w14:paraId="6C50EF8E"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Da prática de circunvenção</w:t>
      </w:r>
    </w:p>
    <w:p w14:paraId="78030A9A" w14:textId="77777777" w:rsidR="00E4045A" w:rsidRPr="00395593" w:rsidRDefault="00E4045A" w:rsidP="00E33E26">
      <w:pPr>
        <w:pStyle w:val="TextosemFormatao"/>
        <w:ind w:firstLine="567"/>
        <w:jc w:val="both"/>
        <w:rPr>
          <w:rFonts w:ascii="Garamond" w:hAnsi="Garamond" w:cs="Calibri"/>
          <w:color w:val="000000"/>
          <w:sz w:val="24"/>
          <w:szCs w:val="24"/>
        </w:rPr>
      </w:pPr>
    </w:p>
    <w:p w14:paraId="27BAA51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306. Na hipótese do inciso I do art. 300, deve-se fornecer indícios de que:</w:t>
      </w:r>
    </w:p>
    <w:p w14:paraId="3E5B3F0A" w14:textId="77777777" w:rsidR="00E4045A" w:rsidRPr="00395593" w:rsidRDefault="00E4045A" w:rsidP="00E33E26">
      <w:pPr>
        <w:pStyle w:val="TextosemFormatao"/>
        <w:tabs>
          <w:tab w:val="left" w:pos="993"/>
          <w:tab w:val="left" w:pos="1701"/>
        </w:tabs>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a revenda, no Brasil, do produto objeto da medida </w:t>
      </w:r>
      <w:r w:rsidRPr="00395593">
        <w:rPr>
          <w:rFonts w:ascii="Garamond" w:hAnsi="Garamond" w:cs="Calibri"/>
          <w:i/>
          <w:color w:val="000000"/>
          <w:sz w:val="24"/>
          <w:szCs w:val="24"/>
        </w:rPr>
        <w:t>antidumping</w:t>
      </w:r>
      <w:r w:rsidRPr="00395593">
        <w:rPr>
          <w:rFonts w:ascii="Garamond" w:hAnsi="Garamond" w:cs="Calibri"/>
          <w:b/>
          <w:color w:val="000000"/>
          <w:sz w:val="24"/>
          <w:szCs w:val="24"/>
        </w:rPr>
        <w:t xml:space="preserve"> </w:t>
      </w:r>
      <w:r w:rsidRPr="00395593">
        <w:rPr>
          <w:rFonts w:ascii="Garamond" w:hAnsi="Garamond" w:cs="Calibri"/>
          <w:color w:val="000000"/>
          <w:sz w:val="24"/>
          <w:szCs w:val="24"/>
        </w:rPr>
        <w:t xml:space="preserve">industrializado com partes, peças ou componentes originários ou procedentes do país sujeito à medida </w:t>
      </w:r>
      <w:r w:rsidRPr="00395593">
        <w:rPr>
          <w:rFonts w:ascii="Garamond" w:hAnsi="Garamond" w:cs="Calibri"/>
          <w:i/>
          <w:color w:val="000000"/>
          <w:sz w:val="24"/>
          <w:szCs w:val="24"/>
        </w:rPr>
        <w:t>antidumping</w:t>
      </w:r>
      <w:r w:rsidRPr="00395593">
        <w:rPr>
          <w:rFonts w:ascii="Garamond" w:hAnsi="Garamond" w:cs="Calibri"/>
          <w:b/>
          <w:color w:val="000000"/>
          <w:sz w:val="24"/>
          <w:szCs w:val="24"/>
        </w:rPr>
        <w:t xml:space="preserve"> </w:t>
      </w:r>
      <w:r w:rsidRPr="00395593">
        <w:rPr>
          <w:rFonts w:ascii="Garamond" w:hAnsi="Garamond" w:cs="Calibri"/>
          <w:color w:val="000000"/>
          <w:sz w:val="24"/>
          <w:szCs w:val="24"/>
        </w:rPr>
        <w:t xml:space="preserve">se deu a valores inferiores ao valor normal apurado para o produto objeto da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w:t>
      </w:r>
    </w:p>
    <w:p w14:paraId="4D8E2F82" w14:textId="77777777" w:rsidR="00E4045A" w:rsidRPr="00395593" w:rsidRDefault="00E4045A" w:rsidP="00E33E26">
      <w:pPr>
        <w:pStyle w:val="TextosemFormatao"/>
        <w:tabs>
          <w:tab w:val="left" w:pos="993"/>
          <w:tab w:val="left" w:pos="1701"/>
        </w:tabs>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as partes, as peças ou os componentes originários ou procedentes do país sujeito à medida </w:t>
      </w:r>
      <w:r w:rsidRPr="00395593">
        <w:rPr>
          <w:rFonts w:ascii="Garamond" w:hAnsi="Garamond" w:cs="Calibri"/>
          <w:i/>
          <w:color w:val="000000"/>
          <w:sz w:val="24"/>
          <w:szCs w:val="24"/>
        </w:rPr>
        <w:t>antidumping</w:t>
      </w:r>
      <w:r w:rsidRPr="00395593">
        <w:rPr>
          <w:rFonts w:ascii="Garamond" w:hAnsi="Garamond" w:cs="Calibri"/>
          <w:b/>
          <w:color w:val="000000"/>
          <w:sz w:val="24"/>
          <w:szCs w:val="24"/>
        </w:rPr>
        <w:t xml:space="preserve"> </w:t>
      </w:r>
      <w:r w:rsidRPr="00395593">
        <w:rPr>
          <w:rFonts w:ascii="Garamond" w:hAnsi="Garamond" w:cs="Calibri"/>
          <w:color w:val="000000"/>
          <w:sz w:val="24"/>
          <w:szCs w:val="24"/>
        </w:rPr>
        <w:t xml:space="preserve">não apresentam utilização distinta da industrialização do produto objeto da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w:t>
      </w:r>
    </w:p>
    <w:p w14:paraId="62C17600" w14:textId="77777777" w:rsidR="00E4045A" w:rsidRPr="00395593" w:rsidRDefault="00E4045A" w:rsidP="00E33E26">
      <w:pPr>
        <w:pStyle w:val="TextosemFormatao"/>
        <w:tabs>
          <w:tab w:val="left" w:pos="993"/>
          <w:tab w:val="left" w:pos="1701"/>
        </w:tabs>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o início ou o aumento substancial da industrialização no Brasil ocorreu após o início da investigação que resultou na aplicação de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w:t>
      </w:r>
    </w:p>
    <w:p w14:paraId="32D8CDCB" w14:textId="77777777" w:rsidR="00E4045A" w:rsidRPr="00395593" w:rsidRDefault="00E4045A" w:rsidP="00E33E26">
      <w:pPr>
        <w:pStyle w:val="TextosemFormatao"/>
        <w:tabs>
          <w:tab w:val="left" w:pos="993"/>
          <w:tab w:val="left" w:pos="1701"/>
        </w:tabs>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IV - as partes, as peças ou os componentes originários ou procedentes do país sujeito à medida </w:t>
      </w:r>
      <w:r w:rsidRPr="00395593">
        <w:rPr>
          <w:rFonts w:ascii="Garamond" w:hAnsi="Garamond" w:cs="Calibri"/>
          <w:i/>
          <w:color w:val="000000"/>
          <w:sz w:val="24"/>
          <w:szCs w:val="24"/>
        </w:rPr>
        <w:t>antidumping</w:t>
      </w:r>
      <w:r w:rsidRPr="00395593">
        <w:rPr>
          <w:rFonts w:ascii="Garamond" w:hAnsi="Garamond" w:cs="Calibri"/>
          <w:b/>
          <w:color w:val="000000"/>
          <w:sz w:val="24"/>
          <w:szCs w:val="24"/>
        </w:rPr>
        <w:t xml:space="preserve"> </w:t>
      </w:r>
      <w:r w:rsidRPr="00395593">
        <w:rPr>
          <w:rFonts w:ascii="Garamond" w:hAnsi="Garamond" w:cs="Calibri"/>
          <w:color w:val="000000"/>
          <w:sz w:val="24"/>
          <w:szCs w:val="24"/>
        </w:rPr>
        <w:t>representam 60 (sessenta) por cento ou mais do valor total de partes, peças ou componentes do produto industrializado no Brasil; e</w:t>
      </w:r>
    </w:p>
    <w:p w14:paraId="425BBEE3"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V - o valor agregado nas operações de industrialização é inferior a 35 (trinta e cinco) por cento do custo de fabricação do produto.</w:t>
      </w:r>
    </w:p>
    <w:p w14:paraId="54B6D1A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Parágrafo único. Para os fins do inciso V do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deste artigo, o custo de fabricação não inclui:</w:t>
      </w:r>
    </w:p>
    <w:p w14:paraId="0495963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 despesas de depreciação;</w:t>
      </w:r>
    </w:p>
    <w:p w14:paraId="79B06556"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b) despesas de embalagem; e</w:t>
      </w:r>
    </w:p>
    <w:p w14:paraId="7F2C9EA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c) custos ou despesas que não sejam diretamente relacionados à fabricação do produto.</w:t>
      </w:r>
    </w:p>
    <w:p w14:paraId="6DCE999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307. Na hipótese do inciso II do art. 300, deve-se fornecer indícios de que:</w:t>
      </w:r>
    </w:p>
    <w:p w14:paraId="29E6657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a exportação do produto para o Brasil se deu a valores inferiores ao valor normal apurado para o produto objeto da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w:t>
      </w:r>
    </w:p>
    <w:p w14:paraId="06CF173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a exportação do produto para o Brasil correspondeu a uma proporção importante das vendas totais do produtor ou exportador;</w:t>
      </w:r>
    </w:p>
    <w:p w14:paraId="51BB61E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o início ou o aumento substancial das exportações do produto para o Brasil ocorreu após o início da investigação que resultou na aplicação de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 e</w:t>
      </w:r>
    </w:p>
    <w:p w14:paraId="1CA8374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IV - as partes, as peças ou os componentes originários ou procedentes do país sujeito à medida </w:t>
      </w:r>
      <w:r w:rsidRPr="00395593">
        <w:rPr>
          <w:rFonts w:ascii="Garamond" w:hAnsi="Garamond" w:cs="Calibri"/>
          <w:i/>
          <w:color w:val="000000"/>
          <w:sz w:val="24"/>
          <w:szCs w:val="24"/>
        </w:rPr>
        <w:t>antidumping</w:t>
      </w:r>
      <w:r w:rsidRPr="00395593">
        <w:rPr>
          <w:rFonts w:ascii="Garamond" w:hAnsi="Garamond" w:cs="Calibri"/>
          <w:b/>
          <w:color w:val="000000"/>
          <w:sz w:val="24"/>
          <w:szCs w:val="24"/>
        </w:rPr>
        <w:t xml:space="preserve"> </w:t>
      </w:r>
      <w:r w:rsidRPr="00395593">
        <w:rPr>
          <w:rFonts w:ascii="Garamond" w:hAnsi="Garamond" w:cs="Calibri"/>
          <w:color w:val="000000"/>
          <w:sz w:val="24"/>
          <w:szCs w:val="24"/>
        </w:rPr>
        <w:t>representam 60 (sessenta) por cento ou mais do valor total de partes, peças ou componentes do produto exportado para o Brasil.</w:t>
      </w:r>
    </w:p>
    <w:p w14:paraId="7C5DA6D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308. Na hipótese do inciso III do art. 300, deve-se fornecer indícios de que:</w:t>
      </w:r>
    </w:p>
    <w:p w14:paraId="2FD740B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a exportação do produto com modificações marginais para o Brasil se deu a valores inferiores ao valor normal apurado para o produto objeto da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w:t>
      </w:r>
    </w:p>
    <w:p w14:paraId="6FDB14A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a exportação do produto com modificações marginais para o Brasil correspondeu a uma proporção importante das vendas totais do produtor ou exportador; e</w:t>
      </w:r>
    </w:p>
    <w:p w14:paraId="42B553B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o início ou o aumento substancial das exportações do produto com modificações marginais para o Brasil ocorreu após o início da investigação que resultou na aplicação de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w:t>
      </w:r>
    </w:p>
    <w:p w14:paraId="415A75AB"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Art. 309. Na hipótese do inciso III do art. 300, deve-se informar:</w:t>
      </w:r>
    </w:p>
    <w:p w14:paraId="4660EC33"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eventuais diferenças entre o produto objeto da revisão e o produto objeto da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w:t>
      </w:r>
    </w:p>
    <w:p w14:paraId="0F523A85"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pequenas modificações introduzidas no produto objeto da revisão, comparativamente ao produto objeto da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w:t>
      </w:r>
    </w:p>
    <w:p w14:paraId="609BB98F"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III - uso e destinação final do produto modificado; e</w:t>
      </w:r>
    </w:p>
    <w:p w14:paraId="512A9A76"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IV - estimativa do custo adicional para a realização da pequena modificação, se existente.</w:t>
      </w:r>
    </w:p>
    <w:p w14:paraId="6A746FD7" w14:textId="77777777" w:rsidR="00E4045A" w:rsidRPr="00395593" w:rsidRDefault="00E4045A" w:rsidP="0007519C">
      <w:pPr>
        <w:spacing w:after="0" w:line="240" w:lineRule="auto"/>
        <w:jc w:val="center"/>
        <w:rPr>
          <w:rFonts w:ascii="Garamond" w:hAnsi="Garamond" w:cs="Calibri"/>
          <w:color w:val="000000"/>
          <w:sz w:val="24"/>
          <w:szCs w:val="24"/>
        </w:rPr>
      </w:pPr>
    </w:p>
    <w:p w14:paraId="0FF3762E"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VI</w:t>
      </w:r>
    </w:p>
    <w:p w14:paraId="0A098BD8"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Das alterações no fluxo comercial</w:t>
      </w:r>
    </w:p>
    <w:p w14:paraId="2B469BBC" w14:textId="77777777" w:rsidR="00E4045A" w:rsidRPr="00395593" w:rsidRDefault="00E4045A" w:rsidP="00E33E26">
      <w:pPr>
        <w:autoSpaceDE w:val="0"/>
        <w:autoSpaceDN w:val="0"/>
        <w:ind w:firstLine="567"/>
        <w:jc w:val="both"/>
        <w:rPr>
          <w:rFonts w:ascii="Garamond" w:hAnsi="Garamond" w:cs="Calibri"/>
          <w:color w:val="000000"/>
          <w:sz w:val="24"/>
          <w:szCs w:val="24"/>
        </w:rPr>
      </w:pPr>
    </w:p>
    <w:p w14:paraId="4ED152F6"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Art. 310. Deve-se informar a evolução do fluxo de comércio, indicando alterações ocorridas após o início do procedimento que deu origem à aplicação ou à última prorrogação da medida em vigor, considerando-se o período de revisão, inclusive, conforme se aplique:</w:t>
      </w:r>
    </w:p>
    <w:p w14:paraId="4F689523"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 - importações brasileiras do produto objeto da revisão;</w:t>
      </w:r>
    </w:p>
    <w:p w14:paraId="7A2E3D86"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importações brasileiras de partes, peças ou componentes originários ou procedentes do país sujeito à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 ou</w:t>
      </w:r>
    </w:p>
    <w:p w14:paraId="5AFB2767"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importações, por terceiro país, de partes, peças ou componentes originários ou procedentes do país sujeito à medida </w:t>
      </w:r>
      <w:r w:rsidRPr="00395593">
        <w:rPr>
          <w:rFonts w:ascii="Garamond" w:hAnsi="Garamond" w:cs="Calibri"/>
          <w:i/>
          <w:color w:val="000000"/>
          <w:sz w:val="24"/>
          <w:szCs w:val="24"/>
        </w:rPr>
        <w:t>antidumping</w:t>
      </w:r>
      <w:r w:rsidRPr="00395593">
        <w:rPr>
          <w:rFonts w:ascii="Garamond" w:hAnsi="Garamond" w:cs="Calibri"/>
          <w:color w:val="000000"/>
          <w:sz w:val="24"/>
          <w:szCs w:val="24"/>
        </w:rPr>
        <w:t>.</w:t>
      </w:r>
    </w:p>
    <w:p w14:paraId="70237FA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311. Sempre que possível, deve-se apresentar informações sobre existência de capacidade instalada e volume de produção do produto objeto da revisão incompatíveis com o volume exportado para o Brasil.</w:t>
      </w:r>
    </w:p>
    <w:p w14:paraId="1CE4C5FE" w14:textId="77777777" w:rsidR="00E4045A" w:rsidRPr="00395593" w:rsidRDefault="00E4045A" w:rsidP="0007519C">
      <w:pPr>
        <w:spacing w:after="0" w:line="240" w:lineRule="auto"/>
        <w:jc w:val="center"/>
        <w:rPr>
          <w:rFonts w:ascii="Garamond" w:hAnsi="Garamond" w:cs="Calibri"/>
          <w:color w:val="000000"/>
          <w:sz w:val="24"/>
          <w:szCs w:val="24"/>
        </w:rPr>
      </w:pPr>
    </w:p>
    <w:p w14:paraId="0F8C6E3A"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VII</w:t>
      </w:r>
    </w:p>
    <w:p w14:paraId="196D6F74"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Da neutralização dos efeitos da medida</w:t>
      </w:r>
    </w:p>
    <w:p w14:paraId="16597A74" w14:textId="77777777" w:rsidR="00E4045A" w:rsidRPr="00395593" w:rsidRDefault="00E4045A" w:rsidP="00E33E26">
      <w:pPr>
        <w:pStyle w:val="TextosemFormatao"/>
        <w:ind w:firstLine="567"/>
        <w:jc w:val="both"/>
        <w:rPr>
          <w:rFonts w:ascii="Garamond" w:hAnsi="Garamond" w:cs="Calibri"/>
          <w:color w:val="000000"/>
          <w:sz w:val="24"/>
          <w:szCs w:val="24"/>
        </w:rPr>
      </w:pPr>
    </w:p>
    <w:p w14:paraId="01BB684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312. Deve-se fornecer indícios de neutralização dos efeitos corretores da medida em vigor, incluindo dados sobre volume e preço médio de importação do produto objeto da revisão, ou de partes, peças ou componentes do produto objeto da medida em vigor, considerando-se o período de revisão.</w:t>
      </w:r>
    </w:p>
    <w:p w14:paraId="0D9CC8E9" w14:textId="77777777" w:rsidR="00E4045A" w:rsidRPr="00395593" w:rsidRDefault="00E4045A" w:rsidP="0007519C">
      <w:pPr>
        <w:spacing w:after="0" w:line="240" w:lineRule="auto"/>
        <w:jc w:val="center"/>
        <w:rPr>
          <w:rFonts w:ascii="Garamond" w:hAnsi="Garamond" w:cs="Calibri"/>
          <w:color w:val="000000"/>
          <w:sz w:val="24"/>
          <w:szCs w:val="24"/>
        </w:rPr>
      </w:pPr>
    </w:p>
    <w:p w14:paraId="52D446F2"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VIII</w:t>
      </w:r>
    </w:p>
    <w:p w14:paraId="34B29A84"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preço de exportação</w:t>
      </w:r>
    </w:p>
    <w:p w14:paraId="42DE834F" w14:textId="77777777" w:rsidR="00E4045A" w:rsidRPr="00395593" w:rsidRDefault="00E4045A" w:rsidP="00E33E26">
      <w:pPr>
        <w:pStyle w:val="TextosemFormatao"/>
        <w:ind w:firstLine="567"/>
        <w:jc w:val="both"/>
        <w:rPr>
          <w:rFonts w:ascii="Garamond" w:hAnsi="Garamond" w:cs="Calibri"/>
          <w:color w:val="000000"/>
          <w:sz w:val="24"/>
          <w:szCs w:val="24"/>
        </w:rPr>
      </w:pPr>
    </w:p>
    <w:p w14:paraId="6D6040D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313. No caso do inciso I do art. 300, deve-se informar o nome dos importadores brasileiros das partes, peças e componentes, bem como das empresas responsáveis pela industrialização das partes, peças e componentes.</w:t>
      </w:r>
    </w:p>
    <w:p w14:paraId="20A5765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314. No caso do inciso II do art. 300, deve-se indicar o nome dos importadores brasileiros do produto objeto da revisão, bem como das empresas responsáveis pela industrialização no terceiro país.</w:t>
      </w:r>
    </w:p>
    <w:p w14:paraId="06B8CA0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315. No caso do inciso III do art. 300, deve-se informar o nome dos importadores brasileiros do produto objeto da revisão, bem como das empresas responsáveis pela modificação marginal do produto.</w:t>
      </w:r>
    </w:p>
    <w:p w14:paraId="7A2B6F1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316. No caso dos incisos II e III do art. 300, deve-se indicar o(s) país(es) exportador(es) do produto objeto da revisão.</w:t>
      </w:r>
    </w:p>
    <w:p w14:paraId="6F52C66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317. Deve-se informar o nome e o endereço dos produtores/exportadores estrangeiros.</w:t>
      </w:r>
    </w:p>
    <w:p w14:paraId="5592955E" w14:textId="77777777" w:rsidR="00E4045A" w:rsidRPr="00395593" w:rsidRDefault="00E4045A" w:rsidP="00E33E26">
      <w:pPr>
        <w:pStyle w:val="TextosemFormatao"/>
        <w:ind w:firstLine="567"/>
        <w:jc w:val="both"/>
        <w:rPr>
          <w:rFonts w:ascii="Garamond" w:hAnsi="Garamond" w:cs="Calibri"/>
          <w:color w:val="000000"/>
          <w:sz w:val="24"/>
          <w:szCs w:val="24"/>
        </w:rPr>
      </w:pPr>
    </w:p>
    <w:p w14:paraId="73790E4A"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IX</w:t>
      </w:r>
    </w:p>
    <w:p w14:paraId="0626103E"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Disposições finais</w:t>
      </w:r>
    </w:p>
    <w:p w14:paraId="7D49C89A" w14:textId="77777777" w:rsidR="00E4045A" w:rsidRPr="00395593" w:rsidRDefault="00E4045A" w:rsidP="00E33E26">
      <w:pPr>
        <w:pStyle w:val="TextosemFormatao"/>
        <w:ind w:firstLine="567"/>
        <w:jc w:val="both"/>
        <w:rPr>
          <w:rFonts w:ascii="Garamond" w:hAnsi="Garamond" w:cs="Calibri"/>
          <w:color w:val="000000"/>
          <w:sz w:val="24"/>
          <w:szCs w:val="24"/>
        </w:rPr>
      </w:pPr>
    </w:p>
    <w:p w14:paraId="12A1B0F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318. </w:t>
      </w:r>
      <w:r w:rsidRPr="00395593">
        <w:rPr>
          <w:rFonts w:ascii="Garamond" w:hAnsi="Garamond" w:cs="Calibri"/>
          <w:color w:val="000000"/>
          <w:sz w:val="24"/>
          <w:szCs w:val="24"/>
          <w:highlight w:val="white"/>
        </w:rPr>
        <w:t>A normas sobre a representação legal de partes interessadas deverão constar de ato normativo específico</w:t>
      </w:r>
      <w:r w:rsidRPr="00395593">
        <w:rPr>
          <w:rFonts w:ascii="Garamond" w:hAnsi="Garamond" w:cs="Calibri"/>
          <w:color w:val="000000"/>
          <w:sz w:val="24"/>
          <w:szCs w:val="24"/>
        </w:rPr>
        <w:t>.</w:t>
      </w:r>
    </w:p>
    <w:p w14:paraId="600F82E5" w14:textId="77777777" w:rsidR="00E4045A" w:rsidRPr="00395593" w:rsidRDefault="00E4045A" w:rsidP="0007519C">
      <w:pPr>
        <w:spacing w:after="0" w:line="240" w:lineRule="auto"/>
        <w:jc w:val="center"/>
        <w:rPr>
          <w:rFonts w:ascii="Garamond" w:hAnsi="Garamond" w:cs="Calibri"/>
          <w:color w:val="000000"/>
          <w:sz w:val="24"/>
          <w:szCs w:val="24"/>
        </w:rPr>
      </w:pPr>
    </w:p>
    <w:p w14:paraId="4E1D72BE"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CAPÍTULO IX</w:t>
      </w:r>
    </w:p>
    <w:p w14:paraId="5AC7BDE9"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DAS PETIÇÕES DE REDETERMINAÇÃO</w:t>
      </w:r>
    </w:p>
    <w:p w14:paraId="3BCD7A26"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w:t>
      </w:r>
    </w:p>
    <w:p w14:paraId="54D3C9DD"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Das instruções gerais</w:t>
      </w:r>
    </w:p>
    <w:p w14:paraId="5BF3F6C1" w14:textId="77777777" w:rsidR="00E4045A" w:rsidRPr="00395593" w:rsidRDefault="00E4045A" w:rsidP="0007519C">
      <w:pPr>
        <w:spacing w:after="0" w:line="240" w:lineRule="auto"/>
        <w:jc w:val="center"/>
        <w:rPr>
          <w:rFonts w:ascii="Garamond" w:hAnsi="Garamond" w:cs="Calibri"/>
          <w:color w:val="000000"/>
          <w:sz w:val="24"/>
          <w:szCs w:val="24"/>
        </w:rPr>
      </w:pPr>
    </w:p>
    <w:p w14:paraId="394E314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319. As petições de redeterminação de que trata o art. 155 do Decreto nº 8.058, de 2013, deverão ser elaboradas utilizando-se exclusivamente do formato presente neste Capítulo.</w:t>
      </w:r>
    </w:p>
    <w:p w14:paraId="07C5C24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Parágrafo único. Excepcionalmente, uma redeterminação poderá ser iniciada de ofício pela SDCOM com base em informações fornecidas pela Secretaria Especial da Receita Federal do Brasil do Ministério da Economia.</w:t>
      </w:r>
    </w:p>
    <w:p w14:paraId="48BB8BF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320. Os produtores domésticos do produto similar ou a entidade de classe que os represente poderão solicitar à SDCOM que proceda a uma redeterminação, a fim de determinar se um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aplicado está com sua eficácia comprometida em razão das hipóteses listadas nos incisos I e II do artigo 155 do Decreto nº 8.058, de 2013.</w:t>
      </w:r>
    </w:p>
    <w:p w14:paraId="5DF6537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Parágrafo único. Não serão conhecidas solicitações de empresa, conjunto de empresas, ou entidade de classe representativa do setor que representem menos de vinte e cinco por cento da produção nacional.</w:t>
      </w:r>
    </w:p>
    <w:p w14:paraId="4DEC949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321. A petição deverá conter explicação pormenorizada, acompanhada dos indícios pertinentes e das razões que levam o peticionário a entender que a redeterminação é necessária.</w:t>
      </w:r>
    </w:p>
    <w:p w14:paraId="080CF33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322. A petição protocolada em conformidade com esta Portaria será analisada no prazo de quinze dias, contado da data do seu protocolo.</w:t>
      </w:r>
    </w:p>
    <w:p w14:paraId="73DC669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1º No caso de a petição estar devidamente instruída e de não serem necessárias informações complementares, o peticionário será notificado a respeito do início da redeterminação no prazo adicional:</w:t>
      </w:r>
    </w:p>
    <w:p w14:paraId="6957A8BB" w14:textId="77777777" w:rsidR="00E4045A" w:rsidRPr="00395593" w:rsidRDefault="00E4045A" w:rsidP="00E33E26">
      <w:pPr>
        <w:pStyle w:val="PargrafodaLista"/>
        <w:tabs>
          <w:tab w:val="left" w:pos="1104"/>
        </w:tabs>
        <w:autoSpaceDE w:val="0"/>
        <w:autoSpaceDN w:val="0"/>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 xml:space="preserve">I - de quinze dias, caso já tenham transcorrido nove meses da data de aplicação, alteração, prorrogação ou extensão do direito </w:t>
      </w:r>
      <w:r w:rsidRPr="00395593">
        <w:rPr>
          <w:rFonts w:ascii="Garamond" w:hAnsi="Garamond"/>
          <w:i/>
          <w:color w:val="000000"/>
          <w:sz w:val="24"/>
          <w:szCs w:val="24"/>
        </w:rPr>
        <w:t>antidumping</w:t>
      </w:r>
      <w:r w:rsidRPr="00395593">
        <w:rPr>
          <w:rFonts w:ascii="Garamond" w:hAnsi="Garamond"/>
          <w:color w:val="000000"/>
          <w:sz w:val="24"/>
          <w:szCs w:val="24"/>
        </w:rPr>
        <w:t xml:space="preserve"> objeto da petição; ou</w:t>
      </w:r>
    </w:p>
    <w:p w14:paraId="62F1090A" w14:textId="77777777" w:rsidR="00E4045A" w:rsidRPr="00395593" w:rsidRDefault="00E4045A" w:rsidP="00E33E26">
      <w:pPr>
        <w:pStyle w:val="PargrafodaLista"/>
        <w:tabs>
          <w:tab w:val="left" w:pos="1104"/>
        </w:tabs>
        <w:autoSpaceDE w:val="0"/>
        <w:autoSpaceDN w:val="0"/>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 xml:space="preserve">II - necessário ao transcurso do prazo de nove meses da data de aplicação, alteração, prorrogação ou extensão do direito </w:t>
      </w:r>
      <w:r w:rsidRPr="00395593">
        <w:rPr>
          <w:rFonts w:ascii="Garamond" w:hAnsi="Garamond"/>
          <w:i/>
          <w:color w:val="000000"/>
          <w:sz w:val="24"/>
          <w:szCs w:val="24"/>
        </w:rPr>
        <w:t>antidumping</w:t>
      </w:r>
      <w:r w:rsidRPr="00395593">
        <w:rPr>
          <w:rFonts w:ascii="Garamond" w:hAnsi="Garamond"/>
          <w:color w:val="000000"/>
          <w:sz w:val="24"/>
          <w:szCs w:val="24"/>
        </w:rPr>
        <w:t xml:space="preserve"> objeto da petição, sendo de, no mínimo, quinze dias.</w:t>
      </w:r>
    </w:p>
    <w:p w14:paraId="53F4AF2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2º No caso de indeferimento da petição, o peticionário deverá ser notificado no prazo adicional de quinze dias.</w:t>
      </w:r>
    </w:p>
    <w:p w14:paraId="6CF15CC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3º Caso haja a necessidade de informações complementares pouco expressivas, ou de correções e ajustes pontuais na petição, o peticionário será instado a emendá-la no prazo de cinco dias, contado da data de ciência da solicitação.</w:t>
      </w:r>
    </w:p>
    <w:p w14:paraId="02818C8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4º As informações complementares, as correções ou os ajustes serão analisados no prazo de dez dias, contado da data de seu recebimento.</w:t>
      </w:r>
    </w:p>
    <w:p w14:paraId="3EF7B92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5º Ao final do prazo previsto no § 4º, o peticionário será notificado a respeito do início da redeterminação no prazo adicional:</w:t>
      </w:r>
    </w:p>
    <w:p w14:paraId="4087F9C6" w14:textId="77777777" w:rsidR="00E4045A" w:rsidRPr="00395593" w:rsidRDefault="00E4045A" w:rsidP="00E33E26">
      <w:pPr>
        <w:pStyle w:val="PargrafodaLista"/>
        <w:tabs>
          <w:tab w:val="left" w:pos="1104"/>
        </w:tabs>
        <w:autoSpaceDE w:val="0"/>
        <w:autoSpaceDN w:val="0"/>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 xml:space="preserve">I - de quinze dias, caso já tenham transcorrido nove meses da data de aplicação, alteração, prorrogação ou extensão do direito </w:t>
      </w:r>
      <w:r w:rsidRPr="00395593">
        <w:rPr>
          <w:rFonts w:ascii="Garamond" w:hAnsi="Garamond"/>
          <w:i/>
          <w:color w:val="000000"/>
          <w:sz w:val="24"/>
          <w:szCs w:val="24"/>
        </w:rPr>
        <w:t>antidumping</w:t>
      </w:r>
      <w:r w:rsidRPr="00395593">
        <w:rPr>
          <w:rFonts w:ascii="Garamond" w:hAnsi="Garamond"/>
          <w:color w:val="000000"/>
          <w:sz w:val="24"/>
          <w:szCs w:val="24"/>
        </w:rPr>
        <w:t xml:space="preserve"> objeto da petição; ou</w:t>
      </w:r>
    </w:p>
    <w:p w14:paraId="3B85E62A" w14:textId="77777777" w:rsidR="00E4045A" w:rsidRPr="00395593" w:rsidRDefault="00E4045A" w:rsidP="00E33E26">
      <w:pPr>
        <w:pStyle w:val="PargrafodaLista"/>
        <w:tabs>
          <w:tab w:val="left" w:pos="1117"/>
        </w:tabs>
        <w:autoSpaceDE w:val="0"/>
        <w:autoSpaceDN w:val="0"/>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 xml:space="preserve">II - necessário ao transcurso do prazo de nove meses da data de aplicação, alteração, prorrogação ou extensão do direito </w:t>
      </w:r>
      <w:r w:rsidRPr="00395593">
        <w:rPr>
          <w:rFonts w:ascii="Garamond" w:hAnsi="Garamond"/>
          <w:i/>
          <w:color w:val="000000"/>
          <w:sz w:val="24"/>
          <w:szCs w:val="24"/>
        </w:rPr>
        <w:t>antidumping</w:t>
      </w:r>
      <w:r w:rsidRPr="00395593">
        <w:rPr>
          <w:rFonts w:ascii="Garamond" w:hAnsi="Garamond"/>
          <w:color w:val="000000"/>
          <w:sz w:val="24"/>
          <w:szCs w:val="24"/>
        </w:rPr>
        <w:t xml:space="preserve"> objeto da petição, sendo de, no mínimo, quinze dias.</w:t>
      </w:r>
    </w:p>
    <w:p w14:paraId="1ADBACC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6º Ao final do prazo previsto no § 4º, no caso de indeferimento da petição, o peticionário deverá ser notificado no prazo adicional de quinze dias.</w:t>
      </w:r>
    </w:p>
    <w:p w14:paraId="7881229D"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eastAsia="Calibri" w:hAnsi="Garamond" w:cs="Calibri"/>
          <w:color w:val="000000"/>
        </w:rPr>
        <w:t>Art. 323.</w:t>
      </w:r>
      <w:r w:rsidRPr="00395593">
        <w:rPr>
          <w:rFonts w:ascii="Garamond" w:hAnsi="Garamond" w:cs="Calibri"/>
          <w:color w:val="000000"/>
        </w:rPr>
        <w:t xml:space="preserve"> Sem prejuízo do disposto no § 3º do art. 322, poderão ser sumariamente indeferidas petições que não contenham todas as informações solicitadas nesta Portaria.</w:t>
      </w:r>
    </w:p>
    <w:p w14:paraId="0D19E1B1" w14:textId="77777777" w:rsidR="00E4045A" w:rsidRPr="00395593" w:rsidRDefault="00E4045A" w:rsidP="00E33E26">
      <w:pPr>
        <w:pStyle w:val="Corpodetexto"/>
        <w:ind w:firstLine="567"/>
        <w:jc w:val="both"/>
        <w:rPr>
          <w:rFonts w:ascii="Garamond" w:eastAsia="Calibri" w:hAnsi="Garamond" w:cs="Calibri"/>
          <w:color w:val="000000"/>
        </w:rPr>
      </w:pPr>
      <w:r w:rsidRPr="00395593">
        <w:rPr>
          <w:rFonts w:ascii="Garamond" w:eastAsia="Calibri" w:hAnsi="Garamond" w:cs="Calibri"/>
          <w:color w:val="000000"/>
        </w:rPr>
        <w:t xml:space="preserve">Art. 324. Caso a redeterminação seja encerrada com base em determinação negativa, nova petição sobre a mesma medida </w:t>
      </w:r>
      <w:r w:rsidRPr="00395593">
        <w:rPr>
          <w:rFonts w:ascii="Garamond" w:eastAsia="Calibri" w:hAnsi="Garamond" w:cs="Calibri"/>
          <w:i/>
          <w:color w:val="000000"/>
        </w:rPr>
        <w:t>antidumping</w:t>
      </w:r>
      <w:r w:rsidRPr="00395593">
        <w:rPr>
          <w:rFonts w:ascii="Garamond" w:eastAsia="Calibri" w:hAnsi="Garamond" w:cs="Calibri"/>
          <w:color w:val="000000"/>
        </w:rPr>
        <w:t xml:space="preserve"> só será analisada se protocolada após 12 (doze) meses contados da data do encerramento da redeterminação, podendo este prazo, em casos excepcionais e desde que devidamente justificados, ser reduzido para 6 (seis) meses.</w:t>
      </w:r>
    </w:p>
    <w:p w14:paraId="34F3F222"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xml:space="preserve">Art. 325. Não serão conhecidas petições de redeterminação de direito </w:t>
      </w:r>
      <w:r w:rsidRPr="00395593">
        <w:rPr>
          <w:rFonts w:ascii="Garamond" w:hAnsi="Garamond" w:cs="Calibri"/>
          <w:i/>
          <w:color w:val="000000"/>
        </w:rPr>
        <w:t>antidumping</w:t>
      </w:r>
      <w:r w:rsidRPr="00395593">
        <w:rPr>
          <w:rFonts w:ascii="Garamond" w:hAnsi="Garamond" w:cs="Calibri"/>
          <w:color w:val="000000"/>
        </w:rPr>
        <w:t xml:space="preserve"> para os quais estejam em curso revisões de alteração de circunstâncias ou de final de período a que se refere a Seção II do Capítulo VIII do Decreto nº 8.058, de 2013.</w:t>
      </w:r>
    </w:p>
    <w:p w14:paraId="0D9CC9FD"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xml:space="preserve">Art. 326. A tramitação dos processos administrativos, a comunicação de atos, a formação de autos e a transmissão de peças processuais conduzidas pela SDCOM, no âmbito das redeterminações previstas no Decreto nº 8.058, de 2013, serão realizadas por intermédio do Sistema Eletrônico de Informação – SEI do Ministério da Economia. </w:t>
      </w:r>
    </w:p>
    <w:p w14:paraId="52FD94E6"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Art. 327. Todas as informações apresentadas deverão vir acompanhadas de comprovação, de justificativa e das fontes e metodologias utilizadas.</w:t>
      </w:r>
    </w:p>
    <w:p w14:paraId="654618EA"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xml:space="preserve">Parágrafo único. No caso de os critérios a que faz referência o </w:t>
      </w:r>
      <w:r w:rsidRPr="00395593">
        <w:rPr>
          <w:rFonts w:ascii="Garamond" w:hAnsi="Garamond" w:cs="Calibri"/>
          <w:i/>
          <w:color w:val="000000"/>
        </w:rPr>
        <w:t>caput</w:t>
      </w:r>
      <w:r w:rsidRPr="00395593">
        <w:rPr>
          <w:rFonts w:ascii="Garamond" w:hAnsi="Garamond" w:cs="Calibri"/>
          <w:color w:val="000000"/>
        </w:rPr>
        <w:t xml:space="preserve"> serem apresentados com base em estimativas, a solicitante deverá observar as disposições do art. 53, do Decreto nº 8.058, de 2013, para fins de fundamentação.</w:t>
      </w:r>
    </w:p>
    <w:p w14:paraId="4D36AF49"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Art. 328. Para o preenchimento dos apêndices desta Portaria deverão ser utilizadas as planilhas disponibilizadas no sítio eletrônico deste Ministério.</w:t>
      </w:r>
    </w:p>
    <w:p w14:paraId="45EF5B09" w14:textId="77777777" w:rsidR="00E4045A" w:rsidRPr="00395593" w:rsidRDefault="00E4045A" w:rsidP="00E33E26">
      <w:pPr>
        <w:pStyle w:val="Corpodetexto"/>
        <w:ind w:firstLine="567"/>
        <w:rPr>
          <w:rFonts w:ascii="Garamond" w:hAnsi="Garamond" w:cs="Calibri"/>
          <w:color w:val="000000"/>
        </w:rPr>
      </w:pPr>
    </w:p>
    <w:p w14:paraId="0A84481B"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II</w:t>
      </w:r>
    </w:p>
    <w:p w14:paraId="0FCEF380"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Dos direitos antidumping passíveis de redeterminação</w:t>
      </w:r>
    </w:p>
    <w:p w14:paraId="1160381D" w14:textId="77777777" w:rsidR="00E4045A" w:rsidRPr="00395593" w:rsidRDefault="00E4045A" w:rsidP="00E33E26">
      <w:pPr>
        <w:pStyle w:val="Corpodetexto"/>
        <w:ind w:firstLine="567"/>
        <w:rPr>
          <w:rFonts w:ascii="Garamond" w:hAnsi="Garamond" w:cs="Calibri"/>
          <w:color w:val="000000"/>
        </w:rPr>
      </w:pPr>
    </w:p>
    <w:p w14:paraId="3355765F"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xml:space="preserve">Art. 329. Serão passíveis de redeterminação os direitos </w:t>
      </w:r>
      <w:r w:rsidRPr="00395593">
        <w:rPr>
          <w:rFonts w:ascii="Garamond" w:hAnsi="Garamond" w:cs="Calibri"/>
          <w:i/>
          <w:color w:val="000000"/>
        </w:rPr>
        <w:t>antidumping</w:t>
      </w:r>
      <w:r w:rsidRPr="00395593">
        <w:rPr>
          <w:rFonts w:ascii="Garamond" w:hAnsi="Garamond" w:cs="Calibri"/>
          <w:color w:val="000000"/>
        </w:rPr>
        <w:t xml:space="preserve"> aplicados a título definitivo.</w:t>
      </w:r>
    </w:p>
    <w:p w14:paraId="70AAD913"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xml:space="preserve">Art. 330. Serão passíveis de redeterminação em razão de absorção do direito apenas os direitos </w:t>
      </w:r>
      <w:r w:rsidRPr="00395593">
        <w:rPr>
          <w:rFonts w:ascii="Garamond" w:hAnsi="Garamond" w:cs="Calibri"/>
          <w:i/>
          <w:color w:val="000000"/>
        </w:rPr>
        <w:t>antidumping</w:t>
      </w:r>
      <w:r w:rsidRPr="00395593">
        <w:rPr>
          <w:rFonts w:ascii="Garamond" w:hAnsi="Garamond" w:cs="Calibri"/>
          <w:color w:val="000000"/>
        </w:rPr>
        <w:t xml:space="preserve"> aplicados em montante inferior à margem de dumping calculada na investigação que aplicou, alterou, prorrogou ou estendeu o direito </w:t>
      </w:r>
      <w:r w:rsidRPr="00395593">
        <w:rPr>
          <w:rFonts w:ascii="Garamond" w:hAnsi="Garamond" w:cs="Calibri"/>
          <w:i/>
          <w:color w:val="000000"/>
        </w:rPr>
        <w:t>antidumping</w:t>
      </w:r>
      <w:r w:rsidRPr="00395593">
        <w:rPr>
          <w:rFonts w:ascii="Garamond" w:hAnsi="Garamond" w:cs="Calibri"/>
          <w:color w:val="000000"/>
        </w:rPr>
        <w:t xml:space="preserve"> objeto da redeterminação, conforme o disposto no § 1º do art. 157 do Decreto nº 8.058, de 2013.</w:t>
      </w:r>
    </w:p>
    <w:p w14:paraId="6556A171" w14:textId="77777777" w:rsidR="00E4045A" w:rsidRPr="00395593" w:rsidRDefault="00E4045A" w:rsidP="00E33E26">
      <w:pPr>
        <w:pStyle w:val="Corpodetexto"/>
        <w:ind w:firstLine="567"/>
        <w:rPr>
          <w:rFonts w:ascii="Garamond" w:hAnsi="Garamond" w:cs="Calibri"/>
          <w:color w:val="000000"/>
        </w:rPr>
      </w:pPr>
    </w:p>
    <w:p w14:paraId="477C497C"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III</w:t>
      </w:r>
    </w:p>
    <w:p w14:paraId="061C074C"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período de análise da redeterminação</w:t>
      </w:r>
    </w:p>
    <w:p w14:paraId="7C509BA3" w14:textId="77777777" w:rsidR="00E4045A" w:rsidRPr="00395593" w:rsidRDefault="00E4045A" w:rsidP="0007519C">
      <w:pPr>
        <w:spacing w:after="0" w:line="240" w:lineRule="auto"/>
        <w:jc w:val="center"/>
        <w:rPr>
          <w:rFonts w:ascii="Garamond" w:hAnsi="Garamond" w:cs="Calibri"/>
          <w:color w:val="000000"/>
        </w:rPr>
      </w:pPr>
    </w:p>
    <w:p w14:paraId="3B6FC2C9"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 xml:space="preserve">Art. 331. A petição de redeterminação somente poderá ser protocolada depois de decorridos seis meses contados a partir do mês subsequente à aplicação, alteração, prorrogação ou extensão do direito </w:t>
      </w:r>
      <w:r w:rsidRPr="00395593">
        <w:rPr>
          <w:rFonts w:ascii="Garamond" w:hAnsi="Garamond" w:cs="Calibri"/>
          <w:i/>
          <w:color w:val="000000"/>
        </w:rPr>
        <w:t>antidumping</w:t>
      </w:r>
      <w:r w:rsidRPr="00395593">
        <w:rPr>
          <w:rFonts w:ascii="Garamond" w:hAnsi="Garamond" w:cs="Calibri"/>
          <w:color w:val="000000"/>
        </w:rPr>
        <w:t xml:space="preserve"> definitivo a que se refere a petição.</w:t>
      </w:r>
    </w:p>
    <w:p w14:paraId="49907B8D"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 xml:space="preserve">Art. 332. O período de análise de redeterminação deverá necessariamente incluir todo o período de vigência do direito </w:t>
      </w:r>
      <w:r w:rsidRPr="00395593">
        <w:rPr>
          <w:rFonts w:ascii="Garamond" w:hAnsi="Garamond" w:cs="Calibri"/>
          <w:i/>
          <w:color w:val="000000"/>
        </w:rPr>
        <w:t>antidumping</w:t>
      </w:r>
      <w:r w:rsidRPr="00395593">
        <w:rPr>
          <w:rFonts w:ascii="Garamond" w:hAnsi="Garamond" w:cs="Calibri"/>
          <w:color w:val="000000"/>
        </w:rPr>
        <w:t xml:space="preserve"> objeto da redeterminação, desde a aplicação, alteração, prorrogação ou extensão do direito.</w:t>
      </w:r>
    </w:p>
    <w:p w14:paraId="46E0A498"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 xml:space="preserve">Parágrafo único. Caso seja superior a seis meses, o período de análise de redeterminação deverá necessariamente ser dividido em intervalos semestrais, nomeados PV1 até PVn, de modo que PV1 corresponda aos primeiros seis meses após a aplicação, alteração, prorrogação ou extensão do direito </w:t>
      </w:r>
      <w:r w:rsidRPr="00395593">
        <w:rPr>
          <w:rFonts w:ascii="Garamond" w:hAnsi="Garamond" w:cs="Calibri"/>
          <w:i/>
          <w:color w:val="000000"/>
        </w:rPr>
        <w:t>antidumping</w:t>
      </w:r>
      <w:r w:rsidRPr="00395593">
        <w:rPr>
          <w:rFonts w:ascii="Garamond" w:hAnsi="Garamond" w:cs="Calibri"/>
          <w:color w:val="000000"/>
        </w:rPr>
        <w:t xml:space="preserve"> definitivo a que se refere a petição e PVn aos seis meses mais recentes do período de análise de redeterminação.</w:t>
      </w:r>
    </w:p>
    <w:p w14:paraId="331722ED"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Art. 333. O peticionário deverá apresentar a petição até o último dia útil do segundo mês subsequente ao término do período de redeterminação a que se refere o art. 332 desta Portaria.</w:t>
      </w:r>
    </w:p>
    <w:p w14:paraId="19A3B16C" w14:textId="77777777" w:rsidR="00E4045A" w:rsidRPr="00395593" w:rsidRDefault="00E4045A" w:rsidP="00E33E26">
      <w:pPr>
        <w:pStyle w:val="Corpodetexto"/>
        <w:ind w:firstLine="567"/>
        <w:rPr>
          <w:rFonts w:ascii="Garamond" w:hAnsi="Garamond" w:cs="Calibri"/>
          <w:color w:val="000000"/>
        </w:rPr>
      </w:pPr>
    </w:p>
    <w:p w14:paraId="37DA2F1D"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IV</w:t>
      </w:r>
    </w:p>
    <w:p w14:paraId="484E2BD3"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conteúdo da petição</w:t>
      </w:r>
    </w:p>
    <w:p w14:paraId="79F411A5" w14:textId="77777777" w:rsidR="00E4045A" w:rsidRPr="00395593" w:rsidRDefault="00E4045A" w:rsidP="00E33E26">
      <w:pPr>
        <w:pStyle w:val="Corpodetexto"/>
        <w:ind w:firstLine="567"/>
        <w:rPr>
          <w:rFonts w:ascii="Garamond" w:hAnsi="Garamond" w:cs="Calibri"/>
          <w:color w:val="000000"/>
        </w:rPr>
      </w:pPr>
    </w:p>
    <w:p w14:paraId="2355D889"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Art. 334. A petição de redeterminação deverá conter:</w:t>
      </w:r>
    </w:p>
    <w:p w14:paraId="2F60C155" w14:textId="77777777" w:rsidR="00E4045A" w:rsidRPr="00395593" w:rsidRDefault="00E4045A" w:rsidP="00E33E26">
      <w:pPr>
        <w:pStyle w:val="PargrafodaLista"/>
        <w:tabs>
          <w:tab w:val="left" w:pos="1237"/>
        </w:tabs>
        <w:autoSpaceDE w:val="0"/>
        <w:autoSpaceDN w:val="0"/>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I - informações referentes à razão social, endereço completo, telefone e endereço eletrônico do(s) peticionário(s);</w:t>
      </w:r>
    </w:p>
    <w:p w14:paraId="2DE5B13F" w14:textId="77777777" w:rsidR="00E4045A" w:rsidRPr="00395593" w:rsidRDefault="00E4045A" w:rsidP="00E33E26">
      <w:pPr>
        <w:pStyle w:val="PargrafodaLista"/>
        <w:tabs>
          <w:tab w:val="left" w:pos="1237"/>
        </w:tabs>
        <w:autoSpaceDE w:val="0"/>
        <w:autoSpaceDN w:val="0"/>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II - nome, função, endereço completo, telefone e endereço eletrônico do representante legal habilitado junto à SDCOM;</w:t>
      </w:r>
    </w:p>
    <w:p w14:paraId="5FCD8FC8" w14:textId="77777777" w:rsidR="00E4045A" w:rsidRPr="00395593" w:rsidRDefault="00E4045A" w:rsidP="00E33E26">
      <w:pPr>
        <w:pStyle w:val="PargrafodaLista"/>
        <w:tabs>
          <w:tab w:val="left" w:pos="1237"/>
        </w:tabs>
        <w:autoSpaceDE w:val="0"/>
        <w:autoSpaceDN w:val="0"/>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 xml:space="preserve">III - indicação da Resolução da Câmara de Comércio Exterior (CAMEX) que determinou a aplicação, a última alteração, a prorrogação ou a extensão do direito </w:t>
      </w:r>
      <w:r w:rsidRPr="00395593">
        <w:rPr>
          <w:rFonts w:ascii="Garamond" w:hAnsi="Garamond"/>
          <w:i/>
          <w:color w:val="000000"/>
          <w:sz w:val="24"/>
          <w:szCs w:val="24"/>
        </w:rPr>
        <w:t>antidumping</w:t>
      </w:r>
      <w:r w:rsidRPr="00395593">
        <w:rPr>
          <w:rFonts w:ascii="Garamond" w:hAnsi="Garamond"/>
          <w:color w:val="000000"/>
          <w:sz w:val="24"/>
          <w:szCs w:val="24"/>
        </w:rPr>
        <w:t xml:space="preserve"> objeto da redeterminação;</w:t>
      </w:r>
    </w:p>
    <w:p w14:paraId="6C11D9F3" w14:textId="77777777" w:rsidR="00E4045A" w:rsidRPr="00395593" w:rsidRDefault="00E4045A" w:rsidP="00E33E26">
      <w:pPr>
        <w:pStyle w:val="PargrafodaLista"/>
        <w:tabs>
          <w:tab w:val="left" w:pos="1237"/>
        </w:tabs>
        <w:autoSpaceDE w:val="0"/>
        <w:autoSpaceDN w:val="0"/>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IV - indicação dos intervalos semestrais considerados para fins da análise que indique a necessidade de redeterminação, observado o disposto no parágrafo único do art. 332 desta portaria;</w:t>
      </w:r>
    </w:p>
    <w:p w14:paraId="03E32782" w14:textId="77777777" w:rsidR="00E4045A" w:rsidRPr="00395593" w:rsidRDefault="00E4045A" w:rsidP="00E33E26">
      <w:pPr>
        <w:pStyle w:val="PargrafodaLista"/>
        <w:tabs>
          <w:tab w:val="left" w:pos="1136"/>
        </w:tabs>
        <w:autoSpaceDE w:val="0"/>
        <w:autoSpaceDN w:val="0"/>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V - os dados solicitados no Apêndice XX desta Portaria, os quais deverão ser relativos aos seis meses mais recentes do período a que se refere o art. 332; e</w:t>
      </w:r>
    </w:p>
    <w:p w14:paraId="3C6F4CD1" w14:textId="77777777" w:rsidR="00E4045A" w:rsidRPr="00395593" w:rsidRDefault="00E4045A" w:rsidP="00E33E26">
      <w:pPr>
        <w:pStyle w:val="PargrafodaLista"/>
        <w:tabs>
          <w:tab w:val="left" w:pos="1184"/>
        </w:tabs>
        <w:autoSpaceDE w:val="0"/>
        <w:autoSpaceDN w:val="0"/>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VI - a evolução das importações totais do produto objeto do direito e do produto similar, em quantidade e em valor, na condição CIF, por país exportador, desde a aplicação do direito até o fim do período de análise da redeterminação, conforme Apêndice XXI desta Portaria.</w:t>
      </w:r>
    </w:p>
    <w:p w14:paraId="14E2B64F" w14:textId="77777777" w:rsidR="00E4045A" w:rsidRPr="00395593" w:rsidRDefault="00E4045A" w:rsidP="0007519C">
      <w:pPr>
        <w:spacing w:after="0" w:line="240" w:lineRule="auto"/>
        <w:jc w:val="center"/>
        <w:rPr>
          <w:rFonts w:ascii="Garamond" w:hAnsi="Garamond" w:cs="Calibri"/>
          <w:b/>
          <w:color w:val="000000"/>
          <w:sz w:val="24"/>
          <w:szCs w:val="24"/>
        </w:rPr>
      </w:pPr>
    </w:p>
    <w:p w14:paraId="5878BA02"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V</w:t>
      </w:r>
    </w:p>
    <w:p w14:paraId="2A84B93E"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Da redeterminação em razão da forma de aplicação do direito</w:t>
      </w:r>
    </w:p>
    <w:p w14:paraId="40C3432F" w14:textId="77777777" w:rsidR="00E4045A" w:rsidRPr="00395593" w:rsidRDefault="00E4045A" w:rsidP="00E33E26">
      <w:pPr>
        <w:pStyle w:val="Corpodetexto"/>
        <w:ind w:firstLine="567"/>
        <w:rPr>
          <w:rFonts w:ascii="Garamond" w:hAnsi="Garamond" w:cs="Calibri"/>
          <w:color w:val="000000"/>
        </w:rPr>
      </w:pPr>
    </w:p>
    <w:p w14:paraId="1DF53CBD"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Art. 335. Na hipótese de redeterminação a que se refere o inciso I do art. 155 do Decreto nº- 8.058, de 2013, a petição ainda deverá conter:</w:t>
      </w:r>
    </w:p>
    <w:p w14:paraId="6427F041" w14:textId="77777777" w:rsidR="00E4045A" w:rsidRPr="00395593" w:rsidRDefault="00E4045A" w:rsidP="00E33E26">
      <w:pPr>
        <w:tabs>
          <w:tab w:val="left" w:pos="1237"/>
        </w:tabs>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 - a forma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objeto da redeterminação: alíquota ad valorem ou específica, fixa ou variável, ou a conjugação de ambas;</w:t>
      </w:r>
    </w:p>
    <w:p w14:paraId="6B38E665" w14:textId="77777777" w:rsidR="00E4045A" w:rsidRPr="00395593" w:rsidRDefault="00E4045A" w:rsidP="00E33E26">
      <w:pPr>
        <w:tabs>
          <w:tab w:val="left" w:pos="1113"/>
        </w:tabs>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 - especificação da alteração pretendida da forma de aplicação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w:t>
      </w:r>
    </w:p>
    <w:p w14:paraId="00EBA968" w14:textId="77777777" w:rsidR="00E4045A" w:rsidRPr="00395593" w:rsidRDefault="00E4045A" w:rsidP="00E33E26">
      <w:pPr>
        <w:tabs>
          <w:tab w:val="left" w:pos="1113"/>
        </w:tabs>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 xml:space="preserve">III - indicação da origem para a qual se pretende alterar a forma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e</w:t>
      </w:r>
    </w:p>
    <w:p w14:paraId="6BCE9FDE" w14:textId="77777777" w:rsidR="00E4045A" w:rsidRPr="00395593" w:rsidRDefault="00E4045A" w:rsidP="00E33E26">
      <w:pPr>
        <w:tabs>
          <w:tab w:val="left" w:pos="1237"/>
        </w:tabs>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IV - explicação pormenorizada das razões pelas quais uma redeterminação se faz necessária, acompanhada dos indícios pertinentes.</w:t>
      </w:r>
    </w:p>
    <w:p w14:paraId="46B81DB2"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xml:space="preserve">Art. 336. Uma medida </w:t>
      </w:r>
      <w:r w:rsidRPr="00395593">
        <w:rPr>
          <w:rFonts w:ascii="Garamond" w:hAnsi="Garamond" w:cs="Calibri"/>
          <w:i/>
          <w:color w:val="000000"/>
        </w:rPr>
        <w:t>antidumping</w:t>
      </w:r>
      <w:r w:rsidRPr="00395593">
        <w:rPr>
          <w:rFonts w:ascii="Garamond" w:hAnsi="Garamond" w:cs="Calibri"/>
          <w:color w:val="000000"/>
        </w:rPr>
        <w:t xml:space="preserve"> poderá ter a sua forma de aplicação alterada como resultado de uma redeterminação apenas uma vez a cada 5 (cinco) anos, contados a partir da aplicação ou prorrogação do direito </w:t>
      </w:r>
      <w:r w:rsidRPr="00395593">
        <w:rPr>
          <w:rFonts w:ascii="Garamond" w:hAnsi="Garamond" w:cs="Calibri"/>
          <w:i/>
          <w:color w:val="000000"/>
        </w:rPr>
        <w:t>antidumping</w:t>
      </w:r>
      <w:r w:rsidRPr="00395593">
        <w:rPr>
          <w:rFonts w:ascii="Garamond" w:hAnsi="Garamond" w:cs="Calibri"/>
          <w:color w:val="000000"/>
        </w:rPr>
        <w:t xml:space="preserve"> em questão.</w:t>
      </w:r>
    </w:p>
    <w:p w14:paraId="6E297018" w14:textId="77777777" w:rsidR="00E4045A" w:rsidRPr="00395593" w:rsidRDefault="00E4045A" w:rsidP="0007519C">
      <w:pPr>
        <w:spacing w:after="0" w:line="240" w:lineRule="auto"/>
        <w:jc w:val="center"/>
        <w:rPr>
          <w:rFonts w:ascii="Garamond" w:hAnsi="Garamond" w:cs="Calibri"/>
          <w:color w:val="000000"/>
        </w:rPr>
      </w:pPr>
    </w:p>
    <w:p w14:paraId="22F907B2" w14:textId="77777777" w:rsidR="00E4045A" w:rsidRPr="00395593" w:rsidRDefault="00E4045A" w:rsidP="0007519C">
      <w:pPr>
        <w:spacing w:after="0" w:line="240" w:lineRule="auto"/>
        <w:jc w:val="center"/>
        <w:rPr>
          <w:rFonts w:ascii="Garamond" w:hAnsi="Garamond" w:cs="Calibri"/>
          <w:b/>
          <w:color w:val="000000"/>
        </w:rPr>
      </w:pPr>
      <w:r w:rsidRPr="00395593">
        <w:rPr>
          <w:rFonts w:ascii="Garamond" w:hAnsi="Garamond" w:cs="Calibri"/>
          <w:b/>
          <w:color w:val="000000"/>
        </w:rPr>
        <w:t>Seção VI</w:t>
      </w:r>
    </w:p>
    <w:p w14:paraId="432A2CC4" w14:textId="46A8F362" w:rsidR="00E4045A" w:rsidRPr="00395593" w:rsidRDefault="00E4045A" w:rsidP="00E33E26">
      <w:pPr>
        <w:pStyle w:val="Corpodetexto"/>
        <w:ind w:firstLine="567"/>
        <w:jc w:val="center"/>
        <w:rPr>
          <w:rFonts w:ascii="Garamond" w:hAnsi="Garamond" w:cs="Calibri"/>
          <w:b/>
          <w:color w:val="000000"/>
        </w:rPr>
      </w:pPr>
      <w:r w:rsidRPr="00395593">
        <w:rPr>
          <w:rFonts w:ascii="Garamond" w:hAnsi="Garamond" w:cs="Calibri"/>
          <w:b/>
          <w:color w:val="000000"/>
        </w:rPr>
        <w:t>Da redeterminação em razão da absorção do direito antidumping</w:t>
      </w:r>
    </w:p>
    <w:p w14:paraId="44043B30" w14:textId="77777777" w:rsidR="00E4045A" w:rsidRPr="00395593" w:rsidRDefault="00E4045A" w:rsidP="00E33E26">
      <w:pPr>
        <w:pStyle w:val="Corpodetexto"/>
        <w:ind w:firstLine="567"/>
        <w:rPr>
          <w:rFonts w:ascii="Garamond" w:hAnsi="Garamond" w:cs="Calibri"/>
          <w:color w:val="000000"/>
        </w:rPr>
      </w:pPr>
    </w:p>
    <w:p w14:paraId="715F6E0F"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Art. 337. Na hipótese de redeterminação a que se refere o inciso II do art. 155 do Decreto nº-8.058, de 2013, a petição ainda deverá conter:</w:t>
      </w:r>
    </w:p>
    <w:p w14:paraId="750E3C8B" w14:textId="77777777" w:rsidR="00E4045A" w:rsidRPr="00395593" w:rsidRDefault="00E4045A" w:rsidP="00E33E26">
      <w:pPr>
        <w:pStyle w:val="PargrafodaLista"/>
        <w:tabs>
          <w:tab w:val="left" w:pos="567"/>
          <w:tab w:val="left" w:pos="1075"/>
        </w:tabs>
        <w:autoSpaceDE w:val="0"/>
        <w:autoSpaceDN w:val="0"/>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I - indícios de existência de associação ou relacionamento entre os produtores ou exportadores e os importadores ou uma terceira parte, ou de acordo compensatório entre si, se for o caso;</w:t>
      </w:r>
    </w:p>
    <w:p w14:paraId="3E358D84" w14:textId="77777777" w:rsidR="00E4045A" w:rsidRPr="00395593" w:rsidRDefault="00E4045A" w:rsidP="00E33E26">
      <w:pPr>
        <w:pStyle w:val="PargrafodaLista"/>
        <w:tabs>
          <w:tab w:val="left" w:pos="567"/>
          <w:tab w:val="left" w:pos="1075"/>
          <w:tab w:val="left" w:pos="1132"/>
        </w:tabs>
        <w:autoSpaceDE w:val="0"/>
        <w:autoSpaceDN w:val="0"/>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II - explicação pormenorizada das razões pelas quais uma redeterminação se faz necessária, acompanhada dos indícios pertinentes;</w:t>
      </w:r>
    </w:p>
    <w:p w14:paraId="2782E5E2" w14:textId="77777777" w:rsidR="00E4045A" w:rsidRPr="00395593" w:rsidRDefault="00E4045A" w:rsidP="00E33E26">
      <w:pPr>
        <w:pStyle w:val="PargrafodaLista"/>
        <w:tabs>
          <w:tab w:val="left" w:pos="567"/>
          <w:tab w:val="left" w:pos="1075"/>
          <w:tab w:val="left" w:pos="1179"/>
        </w:tabs>
        <w:autoSpaceDE w:val="0"/>
        <w:autoSpaceDN w:val="0"/>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III - nos casos em que não houver associação, relacionamento ou acordo compensatório entre os produtores ou exportadores e importadores ou uma terceira parte, os dados solicitados nos Apêndices XXII e XXIII desta Portaria; e</w:t>
      </w:r>
    </w:p>
    <w:p w14:paraId="63B9DC47" w14:textId="77777777" w:rsidR="00E4045A" w:rsidRPr="00395593" w:rsidRDefault="00E4045A" w:rsidP="00E33E26">
      <w:pPr>
        <w:pStyle w:val="PargrafodaLista"/>
        <w:tabs>
          <w:tab w:val="left" w:pos="567"/>
          <w:tab w:val="left" w:pos="1075"/>
          <w:tab w:val="left" w:pos="1220"/>
        </w:tabs>
        <w:autoSpaceDE w:val="0"/>
        <w:autoSpaceDN w:val="0"/>
        <w:spacing w:after="0" w:line="240" w:lineRule="auto"/>
        <w:ind w:left="0" w:firstLine="567"/>
        <w:jc w:val="both"/>
        <w:rPr>
          <w:rFonts w:ascii="Garamond" w:hAnsi="Garamond"/>
          <w:color w:val="000000"/>
          <w:sz w:val="24"/>
          <w:szCs w:val="24"/>
        </w:rPr>
      </w:pPr>
      <w:r w:rsidRPr="00395593">
        <w:rPr>
          <w:rFonts w:ascii="Garamond" w:hAnsi="Garamond"/>
          <w:color w:val="000000"/>
          <w:sz w:val="24"/>
          <w:szCs w:val="24"/>
        </w:rPr>
        <w:t>IV - nos casos em que houver associação, relacionamento ou acordo compensatório entre os produtores ou exportadores e os importadores ou uma terceira parte, os dados solicitados nos Apêndices XXII e XXIV.</w:t>
      </w:r>
    </w:p>
    <w:p w14:paraId="6C446D14"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xml:space="preserve">Parágrafo único. As informações solicitadas nos Apêndices XXII a XXIV desta Portaria deverão ser discriminadas por intervalo e por país de origem das exportações sujeito ao direito </w:t>
      </w:r>
      <w:r w:rsidRPr="00395593">
        <w:rPr>
          <w:rFonts w:ascii="Garamond" w:hAnsi="Garamond" w:cs="Calibri"/>
          <w:i/>
          <w:color w:val="000000"/>
        </w:rPr>
        <w:t>antidumping</w:t>
      </w:r>
      <w:r w:rsidRPr="00395593">
        <w:rPr>
          <w:rFonts w:ascii="Garamond" w:hAnsi="Garamond" w:cs="Calibri"/>
          <w:color w:val="000000"/>
        </w:rPr>
        <w:t xml:space="preserve"> objeto da redeterminação.</w:t>
      </w:r>
    </w:p>
    <w:p w14:paraId="18197794" w14:textId="77777777" w:rsidR="00E4045A" w:rsidRPr="00395593" w:rsidRDefault="00E4045A" w:rsidP="00E33E26">
      <w:pPr>
        <w:pStyle w:val="Corpodetexto"/>
        <w:ind w:firstLine="567"/>
        <w:jc w:val="both"/>
        <w:rPr>
          <w:rFonts w:ascii="Garamond" w:hAnsi="Garamond" w:cs="Calibri"/>
          <w:color w:val="000000"/>
        </w:rPr>
      </w:pPr>
      <w:r w:rsidRPr="00395593">
        <w:rPr>
          <w:rFonts w:ascii="Garamond" w:hAnsi="Garamond" w:cs="Calibri"/>
          <w:color w:val="000000"/>
        </w:rPr>
        <w:t xml:space="preserve">Art. 338. Caso o processo que culminou na aplicação, alteração, prorrogação ou extensão do direito </w:t>
      </w:r>
      <w:r w:rsidRPr="00395593">
        <w:rPr>
          <w:rFonts w:ascii="Garamond" w:hAnsi="Garamond" w:cs="Calibri"/>
          <w:i/>
          <w:color w:val="000000"/>
        </w:rPr>
        <w:t>antidumping</w:t>
      </w:r>
      <w:r w:rsidRPr="00395593">
        <w:rPr>
          <w:rFonts w:ascii="Garamond" w:hAnsi="Garamond" w:cs="Calibri"/>
          <w:color w:val="000000"/>
        </w:rPr>
        <w:t xml:space="preserve"> ao produto ao qual o direito </w:t>
      </w:r>
      <w:r w:rsidRPr="00395593">
        <w:rPr>
          <w:rFonts w:ascii="Garamond" w:hAnsi="Garamond" w:cs="Calibri"/>
          <w:i/>
          <w:color w:val="000000"/>
        </w:rPr>
        <w:t>antidumping</w:t>
      </w:r>
      <w:r w:rsidRPr="00395593">
        <w:rPr>
          <w:rFonts w:ascii="Garamond" w:hAnsi="Garamond" w:cs="Calibri"/>
          <w:color w:val="000000"/>
        </w:rPr>
        <w:t xml:space="preserve"> objeto da redeterminação foi aplicada tenha utilizado código de identificação do produto (CODIP), este deverá ser reproduzido e considerado nas informações prestadas na petição de redeterminação.</w:t>
      </w:r>
    </w:p>
    <w:p w14:paraId="240D1E0B" w14:textId="77777777" w:rsidR="00E4045A" w:rsidRPr="00395593" w:rsidRDefault="00E4045A" w:rsidP="00E33E26">
      <w:pPr>
        <w:pStyle w:val="Corpodetexto"/>
        <w:ind w:firstLine="567"/>
        <w:rPr>
          <w:rFonts w:ascii="Garamond" w:hAnsi="Garamond" w:cs="Calibri"/>
          <w:color w:val="000000"/>
        </w:rPr>
      </w:pPr>
    </w:p>
    <w:p w14:paraId="26464518" w14:textId="77777777" w:rsidR="00E4045A" w:rsidRPr="00395593" w:rsidRDefault="00E4045A" w:rsidP="0007519C">
      <w:pPr>
        <w:spacing w:after="0" w:line="240" w:lineRule="auto"/>
        <w:jc w:val="center"/>
        <w:rPr>
          <w:rFonts w:ascii="Garamond" w:hAnsi="Garamond" w:cs="Calibri"/>
          <w:b/>
          <w:color w:val="000000"/>
          <w:sz w:val="24"/>
          <w:szCs w:val="24"/>
        </w:rPr>
      </w:pPr>
      <w:r w:rsidRPr="0007519C">
        <w:rPr>
          <w:rFonts w:ascii="Garamond" w:hAnsi="Garamond" w:cs="Calibri"/>
          <w:b/>
          <w:color w:val="000000"/>
        </w:rPr>
        <w:t>Seção</w:t>
      </w:r>
      <w:r w:rsidRPr="00395593">
        <w:rPr>
          <w:rFonts w:ascii="Garamond" w:hAnsi="Garamond" w:cs="Calibri"/>
          <w:b/>
          <w:color w:val="000000"/>
          <w:sz w:val="24"/>
          <w:szCs w:val="24"/>
        </w:rPr>
        <w:t xml:space="preserve"> VII</w:t>
      </w:r>
    </w:p>
    <w:p w14:paraId="70D56CED"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Das disposições finais</w:t>
      </w:r>
    </w:p>
    <w:p w14:paraId="46C0BDAD" w14:textId="77777777" w:rsidR="00E4045A" w:rsidRPr="00395593" w:rsidRDefault="00E4045A" w:rsidP="0007519C">
      <w:pPr>
        <w:spacing w:after="0" w:line="240" w:lineRule="auto"/>
        <w:jc w:val="center"/>
        <w:rPr>
          <w:rFonts w:ascii="Garamond" w:hAnsi="Garamond" w:cs="Calibri"/>
          <w:color w:val="000000"/>
        </w:rPr>
      </w:pPr>
    </w:p>
    <w:p w14:paraId="6B39802B"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Art. 339. A SDCOM poderá prorrogar, por uma única vez e por até igual período, os prazos previstos nesta Portaria, exceto aqueles cuja prorrogação ou sua proibição já esteja prevista.</w:t>
      </w:r>
    </w:p>
    <w:p w14:paraId="17F6E829" w14:textId="77777777" w:rsidR="00E4045A" w:rsidRPr="00395593" w:rsidRDefault="00E4045A" w:rsidP="00E33E26">
      <w:pPr>
        <w:pStyle w:val="Corpodetexto"/>
        <w:ind w:firstLine="567"/>
        <w:rPr>
          <w:rFonts w:ascii="Garamond" w:hAnsi="Garamond" w:cs="Calibri"/>
          <w:color w:val="000000"/>
        </w:rPr>
      </w:pPr>
    </w:p>
    <w:p w14:paraId="76352E27" w14:textId="77777777" w:rsidR="00E4045A" w:rsidRPr="00395593" w:rsidRDefault="00E4045A" w:rsidP="0007519C">
      <w:pPr>
        <w:spacing w:after="0" w:line="240" w:lineRule="auto"/>
        <w:jc w:val="center"/>
        <w:rPr>
          <w:rFonts w:ascii="Garamond" w:hAnsi="Garamond" w:cs="Calibri"/>
          <w:b/>
          <w:color w:val="000000"/>
          <w:sz w:val="24"/>
          <w:szCs w:val="24"/>
        </w:rPr>
      </w:pPr>
      <w:r w:rsidRPr="0007519C">
        <w:rPr>
          <w:rFonts w:ascii="Garamond" w:hAnsi="Garamond" w:cs="Calibri"/>
          <w:b/>
          <w:color w:val="000000"/>
        </w:rPr>
        <w:t>CAPÍTULO</w:t>
      </w:r>
      <w:r w:rsidRPr="00395593">
        <w:rPr>
          <w:rFonts w:ascii="Garamond" w:hAnsi="Garamond" w:cs="Calibri"/>
          <w:b/>
          <w:color w:val="000000"/>
          <w:sz w:val="24"/>
          <w:szCs w:val="24"/>
        </w:rPr>
        <w:t xml:space="preserve"> X</w:t>
      </w:r>
    </w:p>
    <w:p w14:paraId="71389663"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DAS PROPOSTAS DE COMPROMISSO DE PREÇOS</w:t>
      </w:r>
    </w:p>
    <w:p w14:paraId="22EE367F" w14:textId="77777777" w:rsidR="00E4045A" w:rsidRPr="00395593" w:rsidRDefault="00E4045A" w:rsidP="0007519C">
      <w:pPr>
        <w:spacing w:after="0" w:line="240" w:lineRule="auto"/>
        <w:jc w:val="center"/>
        <w:rPr>
          <w:rFonts w:ascii="Garamond" w:hAnsi="Garamond" w:cs="Calibri"/>
          <w:b/>
          <w:color w:val="000000"/>
          <w:sz w:val="24"/>
          <w:szCs w:val="24"/>
        </w:rPr>
      </w:pPr>
      <w:r w:rsidRPr="0007519C">
        <w:rPr>
          <w:rFonts w:ascii="Garamond" w:hAnsi="Garamond" w:cs="Calibri"/>
          <w:b/>
          <w:color w:val="000000"/>
        </w:rPr>
        <w:t>Seção</w:t>
      </w:r>
      <w:r w:rsidRPr="00395593">
        <w:rPr>
          <w:rFonts w:ascii="Garamond" w:hAnsi="Garamond" w:cs="Calibri"/>
          <w:b/>
          <w:color w:val="000000"/>
          <w:sz w:val="24"/>
          <w:szCs w:val="24"/>
        </w:rPr>
        <w:t xml:space="preserve"> I</w:t>
      </w:r>
    </w:p>
    <w:p w14:paraId="27AD7A95"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 xml:space="preserve">Das </w:t>
      </w:r>
      <w:r w:rsidRPr="0007519C">
        <w:rPr>
          <w:rFonts w:ascii="Garamond" w:hAnsi="Garamond" w:cs="Calibri"/>
          <w:b/>
          <w:color w:val="000000"/>
        </w:rPr>
        <w:t>instruções</w:t>
      </w:r>
      <w:r w:rsidRPr="00395593">
        <w:rPr>
          <w:rFonts w:ascii="Garamond" w:hAnsi="Garamond" w:cs="Calibri"/>
          <w:b/>
          <w:color w:val="000000"/>
          <w:sz w:val="24"/>
          <w:szCs w:val="24"/>
        </w:rPr>
        <w:t xml:space="preserve"> gerais</w:t>
      </w:r>
    </w:p>
    <w:p w14:paraId="454474CE" w14:textId="77777777" w:rsidR="00E4045A" w:rsidRPr="00395593" w:rsidRDefault="00E4045A" w:rsidP="00E33E26">
      <w:pPr>
        <w:pStyle w:val="Corpodetexto"/>
        <w:ind w:firstLine="567"/>
        <w:rPr>
          <w:rFonts w:ascii="Garamond" w:hAnsi="Garamond" w:cs="Calibri"/>
          <w:color w:val="000000"/>
        </w:rPr>
      </w:pPr>
    </w:p>
    <w:p w14:paraId="6E41D208"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Art. 340. As propostas de compromisso de preços apresentadas por produtores/exportadores em investigações de dumping deverão obedecer às disposições deste Capítulo.</w:t>
      </w:r>
    </w:p>
    <w:p w14:paraId="6E237CE2"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Art. 341. Não serão conhecidas propostas de compromisso de preços que não atendam ao disposto nesta Portaria.</w:t>
      </w:r>
    </w:p>
    <w:p w14:paraId="627ACD3B"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Art. 342. A SDCOM poderá recusar proposta de compromisso de preços considerados ineficazes ou impraticáveis, inclusive por razões de política geral, nos termos do Decreto nº 8.058, de 2013.</w:t>
      </w:r>
    </w:p>
    <w:p w14:paraId="1C203643"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Art. 343. Dúvidas e solicitações de esclarecimentos devem ser encaminhadas à SDCOM por meio do endereço eletrônico da investigação correspondente.</w:t>
      </w:r>
    </w:p>
    <w:p w14:paraId="1ACE7C69" w14:textId="77777777" w:rsidR="00E4045A" w:rsidRPr="00395593" w:rsidRDefault="00E4045A" w:rsidP="0007519C">
      <w:pPr>
        <w:spacing w:after="0" w:line="240" w:lineRule="auto"/>
        <w:jc w:val="center"/>
        <w:rPr>
          <w:rFonts w:ascii="Garamond" w:hAnsi="Garamond" w:cs="Calibri"/>
          <w:color w:val="000000"/>
        </w:rPr>
      </w:pPr>
    </w:p>
    <w:p w14:paraId="7E879A56" w14:textId="77777777" w:rsidR="00E4045A" w:rsidRPr="00395593" w:rsidRDefault="00E4045A" w:rsidP="0007519C">
      <w:pPr>
        <w:spacing w:after="0" w:line="240" w:lineRule="auto"/>
        <w:jc w:val="center"/>
        <w:rPr>
          <w:rFonts w:ascii="Garamond" w:hAnsi="Garamond" w:cs="Calibri"/>
          <w:b/>
          <w:color w:val="000000"/>
          <w:sz w:val="24"/>
          <w:szCs w:val="24"/>
        </w:rPr>
      </w:pPr>
      <w:r w:rsidRPr="0007519C">
        <w:rPr>
          <w:rFonts w:ascii="Garamond" w:hAnsi="Garamond" w:cs="Calibri"/>
          <w:b/>
          <w:color w:val="000000"/>
        </w:rPr>
        <w:t>Seção</w:t>
      </w:r>
      <w:r w:rsidRPr="00395593">
        <w:rPr>
          <w:rFonts w:ascii="Garamond" w:hAnsi="Garamond" w:cs="Calibri"/>
          <w:b/>
          <w:color w:val="000000"/>
          <w:sz w:val="24"/>
          <w:szCs w:val="24"/>
        </w:rPr>
        <w:t xml:space="preserve"> II</w:t>
      </w:r>
    </w:p>
    <w:p w14:paraId="3338DF69"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 xml:space="preserve">Do período da proposta </w:t>
      </w:r>
      <w:r w:rsidRPr="0007519C">
        <w:rPr>
          <w:rFonts w:ascii="Garamond" w:hAnsi="Garamond" w:cs="Calibri"/>
          <w:b/>
          <w:color w:val="000000"/>
        </w:rPr>
        <w:t>do</w:t>
      </w:r>
      <w:r w:rsidRPr="00395593">
        <w:rPr>
          <w:rFonts w:ascii="Garamond" w:hAnsi="Garamond" w:cs="Calibri"/>
          <w:b/>
          <w:color w:val="000000"/>
          <w:sz w:val="24"/>
          <w:szCs w:val="24"/>
        </w:rPr>
        <w:t xml:space="preserve"> compromisso de preço</w:t>
      </w:r>
    </w:p>
    <w:p w14:paraId="27DF96E3" w14:textId="77777777" w:rsidR="00E4045A" w:rsidRPr="00395593" w:rsidRDefault="00E4045A" w:rsidP="00E33E26">
      <w:pPr>
        <w:pStyle w:val="Corpodetexto"/>
        <w:ind w:firstLine="567"/>
        <w:rPr>
          <w:rFonts w:ascii="Garamond" w:hAnsi="Garamond" w:cs="Calibri"/>
          <w:color w:val="000000"/>
        </w:rPr>
      </w:pPr>
    </w:p>
    <w:p w14:paraId="47AC50D7"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Art. 344. Conforme a redação do § 6º do art. 67 do Decreto nº 8.058, de 2013, o(s) produtor(es)/exportador(es) somente poderá(ão) oferecer compromisso de preços durante o período compreendido entre a data da publicação da determinação preliminar positiva de dumping, de dano à indústria doméstica e do nexo de causalidade entre ambos, e o encerramento da fase probatória.</w:t>
      </w:r>
    </w:p>
    <w:p w14:paraId="38A621CC"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 1º Somente serão analisadas propostas de compromisso de preço daquele(s) produtor(es)/exportador(es) que tenha(m) respondido ao questionário e cuja(s) margem(ns) de dumping individual(is) tenha(m) sido apurados com base nas informações fornecidas pelo(s) próprio(s) produtor(es)/exportador(es) e tenham sido verificadas pela SDCOM.</w:t>
      </w:r>
    </w:p>
    <w:p w14:paraId="586B52D8"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 2º Não serão aceitas propostas de compromisso de preço de produtor(es)/exportador(es) cuja(s) margem(ns) de dumping tenha(m) sido estabelecida(s) de acordo com a melhor informação disponível, conforme o § 3º do art. 50 do Decreto nº 8.058, de 2013.</w:t>
      </w:r>
    </w:p>
    <w:p w14:paraId="28560A1A" w14:textId="77777777" w:rsidR="00E4045A" w:rsidRPr="00395593" w:rsidRDefault="00E4045A" w:rsidP="00E33E26">
      <w:pPr>
        <w:pStyle w:val="Corpodetexto"/>
        <w:ind w:firstLine="567"/>
        <w:rPr>
          <w:rFonts w:ascii="Garamond" w:hAnsi="Garamond" w:cs="Calibri"/>
          <w:color w:val="000000"/>
        </w:rPr>
      </w:pPr>
    </w:p>
    <w:p w14:paraId="07CE54ED"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III</w:t>
      </w:r>
    </w:p>
    <w:p w14:paraId="119CB489"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conteúdo da proposta</w:t>
      </w:r>
    </w:p>
    <w:p w14:paraId="43C6943B" w14:textId="77777777" w:rsidR="00E4045A" w:rsidRPr="00395593" w:rsidRDefault="00E4045A" w:rsidP="0007519C">
      <w:pPr>
        <w:spacing w:after="0" w:line="240" w:lineRule="auto"/>
        <w:jc w:val="center"/>
        <w:rPr>
          <w:rFonts w:ascii="Garamond" w:hAnsi="Garamond" w:cs="Calibri"/>
          <w:color w:val="000000"/>
        </w:rPr>
      </w:pPr>
    </w:p>
    <w:p w14:paraId="34317892"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Art. 345. A proposta deverá conter:</w:t>
      </w:r>
    </w:p>
    <w:p w14:paraId="68EB4A69"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 – informações referentes à razão social, endereço completo, telefone e endereço eletrônico do(s) produtor(es)/exportador(es) que pretende(m) assumir compromissos de preços;</w:t>
      </w:r>
    </w:p>
    <w:p w14:paraId="25928207"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II – nome, função, endereço completo, telefone e endereço eletrônico do representante legal habilitado junto à SDCOM;</w:t>
      </w:r>
    </w:p>
    <w:p w14:paraId="0092FEE5"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III – o número do processo administrativo relativo à investigação de dumping nas exportações do produto objeto do compromisso de preços e de dano decorrente de tal prática;</w:t>
      </w:r>
    </w:p>
    <w:p w14:paraId="22493B16"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IV - a descrição do produto objeto do compromisso de preços;</w:t>
      </w:r>
    </w:p>
    <w:p w14:paraId="6E6C6EB1"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V - o(s) item(ns) da Nomenclatura Comum do MERCOSUL (NCM) em que se classifica o produto objeto do compromisso de preços;</w:t>
      </w:r>
    </w:p>
    <w:p w14:paraId="50DF6E61"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VI – o país de origem das importações brasileiras do produto objeto do compromisso de preços;</w:t>
      </w:r>
    </w:p>
    <w:p w14:paraId="269A5B07"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VII - o preço de exportação CIF, ou equivalente, proposto pelo(s) produtor(es)/exportador(es) do produto objeto do compromisso de preços;</w:t>
      </w:r>
    </w:p>
    <w:p w14:paraId="0AA2E294"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VIII – a respectiva memória de cálculo que embasou a elaboração do compromisso proposto; e </w:t>
      </w:r>
    </w:p>
    <w:p w14:paraId="25DB02BC"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IX - os elementos que comprovem que o preço de exportação proposto é suficiente para eliminar o dano causado à indústria doméstica pelas importações a preço de dumping.</w:t>
      </w:r>
    </w:p>
    <w:p w14:paraId="5E04BE43"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 xml:space="preserve">Parágrafo único. </w:t>
      </w:r>
      <w:r w:rsidRPr="00395593">
        <w:rPr>
          <w:rFonts w:ascii="Garamond" w:hAnsi="Garamond" w:cs="Calibri"/>
          <w:color w:val="000000"/>
          <w:highlight w:val="white"/>
        </w:rPr>
        <w:t>As normas sobre a representação legal de partes interessadas deverão constar de ato normativo específico</w:t>
      </w:r>
      <w:r w:rsidRPr="00395593">
        <w:rPr>
          <w:rFonts w:ascii="Garamond" w:hAnsi="Garamond" w:cs="Calibri"/>
          <w:color w:val="000000"/>
        </w:rPr>
        <w:t>.</w:t>
      </w:r>
    </w:p>
    <w:p w14:paraId="7703F39E"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Art. 346. Na hipótese de exportações para partes relacionadas no Brasil, conforme § 10 do art.14 do Decreto nº 8.058, de 2013, o compromisso de preço proposto pelo(s) produtor(es)/exportador(es) deverá conter, além das informações a que faz referência o art. 345:</w:t>
      </w:r>
    </w:p>
    <w:p w14:paraId="6DA5E816"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 – a razão social do(s) importador(es) no caso de relacionamento deste(s) com o(s) produtor(es)/exportador(es) que pretende(m) assumir compromisso de preços;</w:t>
      </w:r>
    </w:p>
    <w:p w14:paraId="10C57F38"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II - o preço pelo qual o produto importado será vendido ao primeiro comprador independente no Brasil já convertido para moeda estrangeira; e</w:t>
      </w:r>
    </w:p>
    <w:p w14:paraId="03AE3820"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III - a respectiva memória de cálculo utilizada na estimativa do respectivo preço de revenda mencionado no inciso anterior.</w:t>
      </w:r>
    </w:p>
    <w:p w14:paraId="4DABE09E"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Art. 347. Deve-se indicar o prazo máximo para pagamento das exportações sujeitas ao compromisso de preços e, no caso do art. 346, o prazo máximo para pagamento das vendas para o primeiro comprador independente no Brasil.</w:t>
      </w:r>
    </w:p>
    <w:p w14:paraId="55D4E1B1" w14:textId="77777777" w:rsidR="00E4045A" w:rsidRPr="00395593" w:rsidRDefault="00E4045A" w:rsidP="00E33E26">
      <w:pPr>
        <w:pStyle w:val="Corpodetexto"/>
        <w:ind w:firstLine="567"/>
        <w:rPr>
          <w:rFonts w:ascii="Garamond" w:hAnsi="Garamond" w:cs="Calibri"/>
          <w:color w:val="000000"/>
        </w:rPr>
      </w:pPr>
    </w:p>
    <w:p w14:paraId="62E32A66" w14:textId="77777777" w:rsidR="00E4045A" w:rsidRPr="00395593" w:rsidRDefault="00E4045A" w:rsidP="0007519C">
      <w:pPr>
        <w:spacing w:after="0" w:line="240" w:lineRule="auto"/>
        <w:jc w:val="center"/>
        <w:rPr>
          <w:rFonts w:ascii="Garamond" w:hAnsi="Garamond" w:cs="Calibri"/>
          <w:b/>
          <w:color w:val="000000"/>
          <w:sz w:val="24"/>
          <w:szCs w:val="24"/>
        </w:rPr>
      </w:pPr>
      <w:r w:rsidRPr="0007519C">
        <w:rPr>
          <w:rFonts w:ascii="Garamond" w:hAnsi="Garamond" w:cs="Calibri"/>
          <w:b/>
          <w:color w:val="000000"/>
        </w:rPr>
        <w:t>Seção</w:t>
      </w:r>
      <w:r w:rsidRPr="00395593">
        <w:rPr>
          <w:rFonts w:ascii="Garamond" w:hAnsi="Garamond" w:cs="Calibri"/>
          <w:b/>
          <w:color w:val="000000"/>
          <w:sz w:val="24"/>
          <w:szCs w:val="24"/>
        </w:rPr>
        <w:t xml:space="preserve"> IV</w:t>
      </w:r>
    </w:p>
    <w:p w14:paraId="3FDE88DC"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 xml:space="preserve">Da </w:t>
      </w:r>
      <w:r w:rsidRPr="0007519C">
        <w:rPr>
          <w:rFonts w:ascii="Garamond" w:hAnsi="Garamond" w:cs="Calibri"/>
          <w:b/>
          <w:color w:val="000000"/>
        </w:rPr>
        <w:t>correção</w:t>
      </w:r>
      <w:r w:rsidRPr="00395593">
        <w:rPr>
          <w:rFonts w:ascii="Garamond" w:hAnsi="Garamond" w:cs="Calibri"/>
          <w:b/>
          <w:color w:val="000000"/>
          <w:sz w:val="24"/>
          <w:szCs w:val="24"/>
        </w:rPr>
        <w:t xml:space="preserve"> do preço</w:t>
      </w:r>
    </w:p>
    <w:p w14:paraId="573538C9" w14:textId="77777777" w:rsidR="00E4045A" w:rsidRPr="00395593" w:rsidRDefault="00E4045A" w:rsidP="00E33E26">
      <w:pPr>
        <w:pStyle w:val="Corpodetexto"/>
        <w:ind w:firstLine="567"/>
        <w:rPr>
          <w:rFonts w:ascii="Garamond" w:hAnsi="Garamond" w:cs="Calibri"/>
          <w:color w:val="000000"/>
        </w:rPr>
      </w:pPr>
    </w:p>
    <w:p w14:paraId="2FD06132"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Art. 348. A proposta deverá conter:</w:t>
      </w:r>
    </w:p>
    <w:p w14:paraId="682D7D66"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 - a periodicidade das correções do(s) compromisso(s) preços, a fim de garantir que o preço de exportação continue a eliminar o dano à indústria doméstica durante toda a vigência do compromisso;</w:t>
      </w:r>
    </w:p>
    <w:p w14:paraId="3430A1C6"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II - a(s) fonte(s) que determinará(ão) as correções do(s) compromisso(s) preços; e</w:t>
      </w:r>
    </w:p>
    <w:p w14:paraId="48BAFC1A"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III - a fórmula matemática das correções do(s) compromisso(s) preços, bem como a justificativa dessas correções.</w:t>
      </w:r>
    </w:p>
    <w:p w14:paraId="48663CC0" w14:textId="77777777" w:rsidR="00E4045A" w:rsidRPr="00395593" w:rsidRDefault="00E4045A" w:rsidP="0007519C">
      <w:pPr>
        <w:spacing w:after="0" w:line="240" w:lineRule="auto"/>
        <w:jc w:val="center"/>
        <w:rPr>
          <w:rFonts w:ascii="Garamond" w:hAnsi="Garamond" w:cs="Calibri"/>
          <w:color w:val="000000"/>
          <w:sz w:val="24"/>
          <w:szCs w:val="24"/>
        </w:rPr>
      </w:pPr>
    </w:p>
    <w:p w14:paraId="15355A49" w14:textId="77777777" w:rsidR="00E4045A" w:rsidRPr="00395593" w:rsidRDefault="00E4045A" w:rsidP="0007519C">
      <w:pPr>
        <w:spacing w:after="0" w:line="240" w:lineRule="auto"/>
        <w:jc w:val="center"/>
        <w:rPr>
          <w:rFonts w:ascii="Garamond" w:hAnsi="Garamond" w:cs="Calibri"/>
          <w:b/>
          <w:color w:val="000000"/>
          <w:sz w:val="24"/>
          <w:szCs w:val="24"/>
        </w:rPr>
      </w:pPr>
      <w:r w:rsidRPr="0007519C">
        <w:rPr>
          <w:rFonts w:ascii="Garamond" w:hAnsi="Garamond" w:cs="Calibri"/>
          <w:b/>
          <w:color w:val="000000"/>
        </w:rPr>
        <w:t>Seção</w:t>
      </w:r>
      <w:r w:rsidRPr="00395593">
        <w:rPr>
          <w:rFonts w:ascii="Garamond" w:hAnsi="Garamond" w:cs="Calibri"/>
          <w:b/>
          <w:color w:val="000000"/>
          <w:sz w:val="24"/>
          <w:szCs w:val="24"/>
        </w:rPr>
        <w:t xml:space="preserve"> V</w:t>
      </w:r>
    </w:p>
    <w:p w14:paraId="3AD54F67"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monitoramento</w:t>
      </w:r>
    </w:p>
    <w:p w14:paraId="2453F4B1" w14:textId="77777777" w:rsidR="00E4045A" w:rsidRPr="00395593" w:rsidRDefault="00E4045A" w:rsidP="0007519C">
      <w:pPr>
        <w:spacing w:after="0" w:line="240" w:lineRule="auto"/>
        <w:jc w:val="center"/>
        <w:rPr>
          <w:rFonts w:ascii="Garamond" w:hAnsi="Garamond" w:cs="Calibri"/>
          <w:b/>
          <w:color w:val="000000"/>
          <w:sz w:val="24"/>
          <w:szCs w:val="24"/>
        </w:rPr>
      </w:pPr>
    </w:p>
    <w:p w14:paraId="43DEEEB6"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Art. 349. A proposta deverá informar a periodicidade com que o(s) produtor(es)/exportador(es) sujeito(s) a compromisso de preços fornecerá(ão) informações pertinentes ao cumprimento do compromisso.</w:t>
      </w:r>
    </w:p>
    <w:p w14:paraId="5A788FBC"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 xml:space="preserve">Parágrafo único. A proposta deverá indicar o prazo dentro do qual o relatório contendo todas as informações a que faz referência o </w:t>
      </w:r>
      <w:r w:rsidRPr="00395593">
        <w:rPr>
          <w:rFonts w:ascii="Garamond" w:hAnsi="Garamond" w:cs="Calibri"/>
          <w:i/>
          <w:color w:val="000000"/>
        </w:rPr>
        <w:t>caput</w:t>
      </w:r>
      <w:r w:rsidRPr="00395593">
        <w:rPr>
          <w:rFonts w:ascii="Garamond" w:hAnsi="Garamond" w:cs="Calibri"/>
          <w:b/>
          <w:color w:val="000000"/>
        </w:rPr>
        <w:t xml:space="preserve"> </w:t>
      </w:r>
      <w:r w:rsidRPr="00395593">
        <w:rPr>
          <w:rFonts w:ascii="Garamond" w:hAnsi="Garamond" w:cs="Calibri"/>
          <w:color w:val="000000"/>
        </w:rPr>
        <w:t>deverá ser fornecido à SDCOM, contado a partir do último dia do encerramento do período.</w:t>
      </w:r>
    </w:p>
    <w:p w14:paraId="5E2F1469"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 xml:space="preserve">Art. 350. A proposta deverá conter autorização expressa para que a SDCOM realize verificações </w:t>
      </w:r>
      <w:r w:rsidRPr="00395593">
        <w:rPr>
          <w:rFonts w:ascii="Garamond" w:hAnsi="Garamond" w:cs="Calibri"/>
          <w:i/>
          <w:color w:val="000000"/>
        </w:rPr>
        <w:t>in loco</w:t>
      </w:r>
      <w:r w:rsidRPr="00395593">
        <w:rPr>
          <w:rFonts w:ascii="Garamond" w:hAnsi="Garamond" w:cs="Calibri"/>
          <w:b/>
          <w:color w:val="000000"/>
        </w:rPr>
        <w:t xml:space="preserve"> </w:t>
      </w:r>
      <w:r w:rsidRPr="00395593">
        <w:rPr>
          <w:rFonts w:ascii="Garamond" w:hAnsi="Garamond" w:cs="Calibri"/>
          <w:color w:val="000000"/>
        </w:rPr>
        <w:t>dos dados pertinentes, tanto no(s) produtor(es)/exportador(es) quanto nas eventuais partes relacionadas.</w:t>
      </w:r>
    </w:p>
    <w:p w14:paraId="4F2ED650" w14:textId="77777777" w:rsidR="00E4045A" w:rsidRPr="00395593" w:rsidRDefault="00E4045A" w:rsidP="0007519C">
      <w:pPr>
        <w:spacing w:after="0" w:line="240" w:lineRule="auto"/>
        <w:jc w:val="center"/>
        <w:rPr>
          <w:rFonts w:ascii="Garamond" w:hAnsi="Garamond" w:cs="Calibri"/>
          <w:color w:val="000000"/>
        </w:rPr>
      </w:pPr>
    </w:p>
    <w:p w14:paraId="52E0908E" w14:textId="77777777" w:rsidR="00E4045A" w:rsidRPr="00395593" w:rsidRDefault="00E4045A" w:rsidP="0007519C">
      <w:pPr>
        <w:spacing w:after="0" w:line="240" w:lineRule="auto"/>
        <w:jc w:val="center"/>
        <w:rPr>
          <w:rFonts w:ascii="Garamond" w:hAnsi="Garamond" w:cs="Calibri"/>
          <w:b/>
          <w:color w:val="000000"/>
          <w:sz w:val="24"/>
          <w:szCs w:val="24"/>
        </w:rPr>
      </w:pPr>
      <w:r w:rsidRPr="0007519C">
        <w:rPr>
          <w:rFonts w:ascii="Garamond" w:hAnsi="Garamond" w:cs="Calibri"/>
          <w:b/>
          <w:color w:val="000000"/>
        </w:rPr>
        <w:t>Seção</w:t>
      </w:r>
      <w:r w:rsidRPr="00395593">
        <w:rPr>
          <w:rFonts w:ascii="Garamond" w:hAnsi="Garamond" w:cs="Calibri"/>
          <w:b/>
          <w:color w:val="000000"/>
          <w:sz w:val="24"/>
          <w:szCs w:val="24"/>
        </w:rPr>
        <w:t xml:space="preserve"> VI</w:t>
      </w:r>
    </w:p>
    <w:p w14:paraId="0C167B18"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Das violações do compromisso</w:t>
      </w:r>
    </w:p>
    <w:p w14:paraId="557D0396" w14:textId="77777777" w:rsidR="00E4045A" w:rsidRPr="00395593" w:rsidRDefault="00E4045A" w:rsidP="0007519C">
      <w:pPr>
        <w:spacing w:after="0" w:line="240" w:lineRule="auto"/>
        <w:jc w:val="center"/>
        <w:rPr>
          <w:rFonts w:ascii="Garamond" w:hAnsi="Garamond" w:cs="Calibri"/>
          <w:color w:val="000000"/>
        </w:rPr>
      </w:pPr>
    </w:p>
    <w:p w14:paraId="37FF705A" w14:textId="77777777" w:rsidR="00E4045A" w:rsidRPr="00395593" w:rsidRDefault="00E4045A" w:rsidP="00E33E26">
      <w:pPr>
        <w:pStyle w:val="Corpodetexto"/>
        <w:ind w:firstLine="567"/>
        <w:rPr>
          <w:rFonts w:ascii="Garamond" w:hAnsi="Garamond" w:cs="Calibri"/>
          <w:color w:val="000000"/>
        </w:rPr>
      </w:pPr>
      <w:r w:rsidRPr="00395593">
        <w:rPr>
          <w:rFonts w:ascii="Garamond" w:hAnsi="Garamond" w:cs="Calibri"/>
          <w:color w:val="000000"/>
        </w:rPr>
        <w:t>Art. 351. O(s) produtor(es)/exportador(es) e suas partes relacionadas que propuserem compromisso de preços deverão se comprometer expressamente a, entre outras:</w:t>
      </w:r>
    </w:p>
    <w:p w14:paraId="5D8604E2"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 – não conceder descontos, abatimentos, ou qualquer outro benefício aos seus clientes, quer direta ou indiretamente ligados a uma venda do produto em questão, que implique preço compromissado inferior ao acordado;</w:t>
      </w:r>
    </w:p>
    <w:p w14:paraId="79764A49"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II – não pagar comissão que implique preço compromissado inferior ao acordado;</w:t>
      </w:r>
    </w:p>
    <w:p w14:paraId="4A0CB9D8"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III – não apresentar descrições enganosas ou falsas das quantidades, características ou qualidades de qualquer venda do produto em questão;</w:t>
      </w:r>
    </w:p>
    <w:p w14:paraId="65427FE3"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IV – não prestar declarações enganosas ou falsas sobre a classificação aduaneira do produto em questão;</w:t>
      </w:r>
    </w:p>
    <w:p w14:paraId="4331214C"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V – não prestar declarações enganosas ou falsas sobre a origem do produto em questão ou sobre a identidade do produtor/exportador;</w:t>
      </w:r>
    </w:p>
    <w:p w14:paraId="4ED747C9"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VI – não exportar mercadoria ao amparo deste Compromisso não fabricada pelos produtores relacionados no inciso I do art. 345 e no inciso I do art. 346;</w:t>
      </w:r>
    </w:p>
    <w:p w14:paraId="33E9C86E"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VII – não efetuar acerto de dívida relacionada a qualquer operação de exportação para o Brasil por meio de quaisquer acordos de compensação, através de troca direta, ou qualquer outra forma de pagamento que não dinheiro ou método equivalente;</w:t>
      </w:r>
    </w:p>
    <w:p w14:paraId="2ABAF8B5"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VIII – não emitir fatura comercial ou nota fiscal de revenda cujos preços líquidos de venda não estejam em conformidade com os preços compromissados;</w:t>
      </w:r>
    </w:p>
    <w:p w14:paraId="61E3FBF0"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IX – não emitir fatura comercial ou nota fiscal de revenda para as quais a transação financeira subjacente (por exemplo, o valor efetivamente recebido do comprador após quaisquer ajustes das notas de crédito/débito e similares) não esteja em conformidade com o valor nominal da fatura comercial; e</w:t>
      </w:r>
    </w:p>
    <w:p w14:paraId="02450B45" w14:textId="77777777" w:rsidR="00E4045A" w:rsidRPr="00395593" w:rsidRDefault="00E4045A" w:rsidP="00E33E26">
      <w:pPr>
        <w:autoSpaceDE w:val="0"/>
        <w:autoSpaceDN w:val="0"/>
        <w:ind w:firstLine="567"/>
        <w:jc w:val="both"/>
        <w:rPr>
          <w:rFonts w:ascii="Garamond" w:hAnsi="Garamond" w:cs="Calibri"/>
          <w:color w:val="000000"/>
          <w:sz w:val="24"/>
          <w:szCs w:val="24"/>
        </w:rPr>
      </w:pPr>
      <w:r w:rsidRPr="00395593">
        <w:rPr>
          <w:rFonts w:ascii="Garamond" w:hAnsi="Garamond" w:cs="Calibri"/>
          <w:color w:val="000000"/>
          <w:sz w:val="24"/>
          <w:szCs w:val="24"/>
        </w:rPr>
        <w:t>X – não se envolver em práticas de circunvenção.</w:t>
      </w:r>
    </w:p>
    <w:p w14:paraId="30CB4E1B" w14:textId="77777777" w:rsidR="00887637" w:rsidRDefault="00887637" w:rsidP="0007519C">
      <w:pPr>
        <w:spacing w:after="0" w:line="240" w:lineRule="auto"/>
        <w:jc w:val="center"/>
        <w:rPr>
          <w:rFonts w:ascii="Garamond" w:hAnsi="Garamond" w:cs="Calibri"/>
          <w:b/>
          <w:color w:val="000000"/>
          <w:sz w:val="24"/>
          <w:szCs w:val="24"/>
        </w:rPr>
      </w:pPr>
    </w:p>
    <w:p w14:paraId="5481C8F9" w14:textId="78355358" w:rsidR="00E4045A" w:rsidRPr="00395593" w:rsidRDefault="00E4045A" w:rsidP="0007519C">
      <w:pPr>
        <w:spacing w:after="0" w:line="240" w:lineRule="auto"/>
        <w:jc w:val="center"/>
        <w:rPr>
          <w:rFonts w:ascii="Garamond" w:hAnsi="Garamond" w:cs="Calibri"/>
          <w:b/>
          <w:color w:val="000000"/>
          <w:sz w:val="24"/>
          <w:szCs w:val="24"/>
        </w:rPr>
      </w:pPr>
      <w:r w:rsidRPr="0007519C">
        <w:rPr>
          <w:rFonts w:ascii="Garamond" w:hAnsi="Garamond" w:cs="Calibri"/>
          <w:b/>
          <w:color w:val="000000"/>
        </w:rPr>
        <w:t>CAPÍTULO</w:t>
      </w:r>
      <w:r w:rsidRPr="00395593">
        <w:rPr>
          <w:rFonts w:ascii="Garamond" w:hAnsi="Garamond" w:cs="Calibri"/>
          <w:b/>
          <w:color w:val="000000"/>
          <w:sz w:val="24"/>
          <w:szCs w:val="24"/>
        </w:rPr>
        <w:t xml:space="preserve"> XI</w:t>
      </w:r>
    </w:p>
    <w:p w14:paraId="1207C928"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DAS PETIÇÕES RELATIVAS À REVISÃO DE RESTITUIÇÃO</w:t>
      </w:r>
    </w:p>
    <w:p w14:paraId="4FBCCF0F" w14:textId="77777777" w:rsidR="00E4045A" w:rsidRPr="00395593" w:rsidRDefault="00E4045A" w:rsidP="0007519C">
      <w:pPr>
        <w:spacing w:after="0" w:line="240" w:lineRule="auto"/>
        <w:jc w:val="center"/>
        <w:rPr>
          <w:rFonts w:ascii="Garamond" w:hAnsi="Garamond" w:cs="Calibri"/>
          <w:b/>
          <w:color w:val="000000"/>
          <w:sz w:val="24"/>
          <w:szCs w:val="24"/>
        </w:rPr>
      </w:pPr>
      <w:r w:rsidRPr="0007519C">
        <w:rPr>
          <w:rFonts w:ascii="Garamond" w:hAnsi="Garamond" w:cs="Calibri"/>
          <w:b/>
          <w:color w:val="000000"/>
        </w:rPr>
        <w:t>Seção</w:t>
      </w:r>
      <w:r w:rsidRPr="00395593">
        <w:rPr>
          <w:rFonts w:ascii="Garamond" w:hAnsi="Garamond" w:cs="Calibri"/>
          <w:b/>
          <w:color w:val="000000"/>
          <w:sz w:val="24"/>
          <w:szCs w:val="24"/>
        </w:rPr>
        <w:t xml:space="preserve"> I</w:t>
      </w:r>
    </w:p>
    <w:p w14:paraId="19604FE3"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Das instruções gerais</w:t>
      </w:r>
    </w:p>
    <w:p w14:paraId="1EE57E59" w14:textId="77777777" w:rsidR="00E4045A" w:rsidRPr="00395593" w:rsidRDefault="00E4045A" w:rsidP="0007519C">
      <w:pPr>
        <w:spacing w:after="0" w:line="240" w:lineRule="auto"/>
        <w:jc w:val="center"/>
        <w:rPr>
          <w:rFonts w:ascii="Garamond" w:hAnsi="Garamond" w:cs="Calibri"/>
          <w:color w:val="000000"/>
          <w:sz w:val="24"/>
          <w:szCs w:val="24"/>
        </w:rPr>
      </w:pPr>
    </w:p>
    <w:p w14:paraId="652CEFB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352. As petições de revisão de restituição de que trata o art. 141 do Decreto n</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8.058, de 2013, deverão ser elaboradas utilizando-se exclusivamente do formato presente neste Capítulo.</w:t>
      </w:r>
    </w:p>
    <w:p w14:paraId="07F592C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353. A petição apresentada pelo importador interessado em solicitar a revisão de restituição deverá conter dados das importações provenientes somente de produtores ou exportadores para os quais uma margem de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individual tenha sido calculada com base nas informações apresentadas pelo próprio produtor ou exportador à Subsecretaria de Defesa Comercial e Interesse Público (SDCOM) no procedimento imediatamente anterior a esta revisão.</w:t>
      </w:r>
    </w:p>
    <w:p w14:paraId="730CBED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354. Poderão ser sumariamente indeferidas petições que não contenham todas as informações solicitadas nesta Portaria. </w:t>
      </w:r>
    </w:p>
    <w:p w14:paraId="4B017905" w14:textId="77777777" w:rsidR="00E4045A" w:rsidRPr="00395593" w:rsidRDefault="00E4045A" w:rsidP="00E33E26">
      <w:pPr>
        <w:pStyle w:val="MSGENFONTSTYLENAMETEMPLATEROLENUMBERMSGENFONTSTYLENAMEBYROLETEXT20"/>
        <w:widowControl/>
        <w:shd w:val="clear" w:color="auto" w:fill="auto"/>
        <w:spacing w:before="0" w:after="0" w:line="240" w:lineRule="auto"/>
        <w:ind w:firstLine="567"/>
        <w:jc w:val="both"/>
        <w:rPr>
          <w:rFonts w:ascii="Garamond" w:hAnsi="Garamond" w:cs="Calibri"/>
          <w:color w:val="000000"/>
          <w:sz w:val="24"/>
          <w:szCs w:val="24"/>
        </w:rPr>
      </w:pPr>
      <w:r w:rsidRPr="00395593">
        <w:rPr>
          <w:rFonts w:ascii="Garamond" w:hAnsi="Garamond" w:cs="Calibri"/>
          <w:color w:val="000000"/>
          <w:sz w:val="24"/>
          <w:szCs w:val="24"/>
        </w:rPr>
        <w:t>Parágrafo único. Caso haja a necessidade de informações complementares pouco expressivas, ou de correções e ajustes pontuais na petição, o importador peticionário será instado a emendá-la no prazo de cinco dias, contado da data de ciência da solicitação.</w:t>
      </w:r>
    </w:p>
    <w:p w14:paraId="128CA30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355. Todas as informações apresentadas deverão vir acompanhadas de comprovação, de justificativa e das fontes e metodologias utilizadas.</w:t>
      </w:r>
    </w:p>
    <w:p w14:paraId="3857718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356. A SDCOM poderá conduzir verificação(ões) </w:t>
      </w:r>
      <w:r w:rsidRPr="00395593">
        <w:rPr>
          <w:rFonts w:ascii="Garamond" w:hAnsi="Garamond" w:cs="Calibri"/>
          <w:i/>
          <w:color w:val="000000"/>
          <w:sz w:val="24"/>
          <w:szCs w:val="24"/>
        </w:rPr>
        <w:t>in loco</w:t>
      </w:r>
      <w:r w:rsidRPr="00395593">
        <w:rPr>
          <w:rFonts w:ascii="Garamond" w:hAnsi="Garamond" w:cs="Calibri"/>
          <w:color w:val="000000"/>
          <w:sz w:val="24"/>
          <w:szCs w:val="24"/>
        </w:rPr>
        <w:t xml:space="preserve"> para examinar os registros da(s) empresa(s) e comprovar as informações fornecidas. Para esse fim, documentos auxiliares utilizados na elaboração da petição devem ser preservados. </w:t>
      </w:r>
    </w:p>
    <w:p w14:paraId="0DAB190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357. A margem de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calculada para o período de revisão de restituição servirá exclusivamente para quantificar a eventual restituição de direitos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recolhidos em montante superior à margem de</w:t>
      </w:r>
      <w:r w:rsidRPr="00395593">
        <w:rPr>
          <w:rFonts w:ascii="Garamond" w:hAnsi="Garamond" w:cs="Calibri"/>
          <w:b/>
          <w:color w:val="000000"/>
          <w:sz w:val="24"/>
          <w:szCs w:val="24"/>
        </w:rPr>
        <w:t xml:space="preserve">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apurada para o período de revisão de restituição, conforme disposto no art. 144 do Decreto n</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8.058, de 2013.</w:t>
      </w:r>
    </w:p>
    <w:p w14:paraId="77EC7C0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358. A tramitação dos processos administrativos, a comunicação de atos, a formação de autos e a transmissão de peças processuais, no âmbito das revisões de restituição previstas no Decreto nº 8.058, de 2013, serão realizadas por intermédio do Sistema Eletrônico de Informação - SEI.</w:t>
      </w:r>
    </w:p>
    <w:p w14:paraId="465F3239" w14:textId="77777777" w:rsidR="00E4045A" w:rsidRPr="00395593" w:rsidRDefault="00E4045A" w:rsidP="0007519C">
      <w:pPr>
        <w:spacing w:after="0" w:line="240" w:lineRule="auto"/>
        <w:jc w:val="center"/>
        <w:rPr>
          <w:rFonts w:ascii="Garamond" w:hAnsi="Garamond" w:cs="Calibri"/>
          <w:color w:val="000000"/>
          <w:sz w:val="24"/>
          <w:szCs w:val="24"/>
        </w:rPr>
      </w:pPr>
    </w:p>
    <w:p w14:paraId="4D167D2A" w14:textId="77777777" w:rsidR="00E4045A" w:rsidRPr="00395593" w:rsidRDefault="00E4045A" w:rsidP="0007519C">
      <w:pPr>
        <w:spacing w:after="0" w:line="240" w:lineRule="auto"/>
        <w:jc w:val="center"/>
        <w:rPr>
          <w:rFonts w:ascii="Garamond" w:hAnsi="Garamond" w:cs="Calibri"/>
          <w:b/>
          <w:color w:val="000000"/>
          <w:sz w:val="24"/>
          <w:szCs w:val="24"/>
        </w:rPr>
      </w:pPr>
      <w:r w:rsidRPr="0007519C">
        <w:rPr>
          <w:rFonts w:ascii="Garamond" w:hAnsi="Garamond" w:cs="Calibri"/>
          <w:b/>
          <w:color w:val="000000"/>
        </w:rPr>
        <w:t>Seção</w:t>
      </w:r>
      <w:r w:rsidRPr="00395593">
        <w:rPr>
          <w:rFonts w:ascii="Garamond" w:hAnsi="Garamond" w:cs="Calibri"/>
          <w:b/>
          <w:color w:val="000000"/>
          <w:sz w:val="24"/>
          <w:szCs w:val="24"/>
        </w:rPr>
        <w:t xml:space="preserve"> II</w:t>
      </w:r>
    </w:p>
    <w:p w14:paraId="72CC8088"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período de revisão de restituição</w:t>
      </w:r>
    </w:p>
    <w:p w14:paraId="2A6BDE2A" w14:textId="77777777" w:rsidR="00E4045A" w:rsidRPr="00395593" w:rsidRDefault="00E4045A" w:rsidP="0007519C">
      <w:pPr>
        <w:spacing w:after="0" w:line="240" w:lineRule="auto"/>
        <w:jc w:val="center"/>
        <w:rPr>
          <w:rFonts w:ascii="Garamond" w:hAnsi="Garamond" w:cs="Calibri"/>
          <w:color w:val="000000"/>
          <w:sz w:val="24"/>
          <w:szCs w:val="24"/>
        </w:rPr>
      </w:pPr>
    </w:p>
    <w:p w14:paraId="0736B55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359. O período de revisão de restituição se refere àquele para o qual será apurada a margem de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para cada produtor ou exportador indicado na petição e que será utilizada para a comparação com o direito vigente.</w:t>
      </w:r>
    </w:p>
    <w:p w14:paraId="58D8B54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O período indicado no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terá necessariamente doze meses, contados a partir do primeiro dia do mês em que se deu a aplicação, prorrogação ou alteração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definitivo em vigor.</w:t>
      </w:r>
    </w:p>
    <w:p w14:paraId="0CAE843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Períodos de revisão de restituição posteriores serão definidos de forma análoga à indicada no parágrafo anterior, contando-se doze meses a partir do primeiro dia do primeiro mês posterior ao fim do período de revisão de restituição antecedente.</w:t>
      </w:r>
    </w:p>
    <w:p w14:paraId="1E12E04A"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3</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No caso de haver prorrogação, alteração ou extinção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em vigor em prazo inferior a doze meses do início da contagem do período de revisão de restituição, o final do período de revisão de restituição deverá corresponder à data em que a respectiva decisão tenha entrado em vigor, podendo ser inferior a doze meses, mas nunca inferior a seis meses.</w:t>
      </w:r>
    </w:p>
    <w:p w14:paraId="55333419"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4</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Cada petição de revisão de restituição deverá incluir somente um período de revisão de restituição.</w:t>
      </w:r>
    </w:p>
    <w:p w14:paraId="67AC80E4"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III</w:t>
      </w:r>
    </w:p>
    <w:p w14:paraId="5FD9A9C1" w14:textId="79723675" w:rsidR="00E4045A"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período de apuração do montante a ser restituído</w:t>
      </w:r>
    </w:p>
    <w:p w14:paraId="2DA01EB1" w14:textId="77777777" w:rsidR="0007519C" w:rsidRPr="00395593" w:rsidRDefault="0007519C" w:rsidP="0007519C">
      <w:pPr>
        <w:spacing w:after="0" w:line="240" w:lineRule="auto"/>
        <w:jc w:val="center"/>
        <w:rPr>
          <w:rFonts w:ascii="Garamond" w:hAnsi="Garamond" w:cs="Calibri"/>
          <w:b/>
          <w:color w:val="000000"/>
          <w:sz w:val="24"/>
          <w:szCs w:val="24"/>
        </w:rPr>
      </w:pPr>
    </w:p>
    <w:p w14:paraId="3B4BB604"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360. O período de apuração do montante a ser restituído se refere àquele no qual ocorreram as importações objeto do pleito regido por esta Portaria.</w:t>
      </w:r>
    </w:p>
    <w:p w14:paraId="62927F4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O início e o final do período de apuração do montante a ser restituído deverão corresponder, respectivamente, às datas da primeira e da última importação no interregno em que a restituição é pleiteada e para a qual tenham sido recolhidos direitos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w:t>
      </w:r>
    </w:p>
    <w:p w14:paraId="292ADAF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O período de apuração do montante a ser restituído deverá conter somente transações cujas datas de venda pelo produtor ou exportador estejam contidas no período de revisão de restituição, podendo ser superior a doze meses caso a data do desembaraço da importação ultrapasse a data final do período de revisão.</w:t>
      </w:r>
    </w:p>
    <w:p w14:paraId="6C1EBA00"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3</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No caso do primeiro período de revisão após a aplicação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definitivo em vigor, poderão ser consideradas no período de apuração do montante a ser restituído as transações cujas datas de desembaraço estejam contidas no período de revisão e cujas datas de venda sejam a ele anteriores.</w:t>
      </w:r>
    </w:p>
    <w:p w14:paraId="3288315F"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IV</w:t>
      </w:r>
    </w:p>
    <w:p w14:paraId="2DDAD1F8"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prazo para apresentação da petição</w:t>
      </w:r>
    </w:p>
    <w:p w14:paraId="62E089E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361.</w:t>
      </w:r>
      <w:r w:rsidRPr="00395593" w:rsidDel="00421E93">
        <w:rPr>
          <w:rFonts w:ascii="Garamond" w:hAnsi="Garamond" w:cs="Calibri"/>
          <w:color w:val="000000"/>
          <w:sz w:val="24"/>
          <w:szCs w:val="24"/>
        </w:rPr>
        <w:t xml:space="preserve"> </w:t>
      </w:r>
      <w:r w:rsidRPr="00395593">
        <w:rPr>
          <w:rFonts w:ascii="Garamond" w:hAnsi="Garamond" w:cs="Calibri"/>
          <w:color w:val="000000"/>
          <w:sz w:val="24"/>
          <w:szCs w:val="24"/>
        </w:rPr>
        <w:t>A petição deverá ser protocolada no prazo de 4 (quatro) meses, contado da data final do período de revisão de restituição.</w:t>
      </w:r>
    </w:p>
    <w:p w14:paraId="27FDF392"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V</w:t>
      </w:r>
    </w:p>
    <w:p w14:paraId="5475E508"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Das informações gerais</w:t>
      </w:r>
    </w:p>
    <w:p w14:paraId="39D8E3A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362. A petição deverá indicar:</w:t>
      </w:r>
    </w:p>
    <w:p w14:paraId="50A16EE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razão social, endereço completo, telefone e endereço eletrônico do importador peticionário; e</w:t>
      </w:r>
    </w:p>
    <w:p w14:paraId="5C29795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nome, função, endereço completo, telefone e endereço eletrônico do representante legal habilitado junto à SDCOM.</w:t>
      </w:r>
    </w:p>
    <w:p w14:paraId="3E204F53"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363. Devem ser informados os períodos considerados para o disposto nos arts. 359 e 360 desta Portaria.</w:t>
      </w:r>
    </w:p>
    <w:p w14:paraId="78900BC0"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364.</w:t>
      </w:r>
      <w:r w:rsidRPr="00395593" w:rsidDel="00783827">
        <w:rPr>
          <w:rFonts w:ascii="Garamond" w:hAnsi="Garamond" w:cs="Calibri"/>
          <w:color w:val="000000"/>
          <w:sz w:val="24"/>
          <w:szCs w:val="24"/>
        </w:rPr>
        <w:t xml:space="preserve"> </w:t>
      </w:r>
      <w:r w:rsidRPr="00395593">
        <w:rPr>
          <w:rFonts w:ascii="Garamond" w:hAnsi="Garamond" w:cs="Calibri"/>
          <w:color w:val="000000"/>
          <w:sz w:val="24"/>
          <w:szCs w:val="24"/>
        </w:rPr>
        <w:t xml:space="preserve">Deve ser especificada a Resolução CAMEX que resultou no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aplicado sobre o produto exportado para o Brasil e recolhido durante o período de revisão de restituição.</w:t>
      </w:r>
    </w:p>
    <w:p w14:paraId="491FB47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365. A petição deverá conter elementos de prova de que o montante de direitos </w:t>
      </w:r>
      <w:r w:rsidRPr="00395593">
        <w:rPr>
          <w:rFonts w:ascii="Garamond" w:hAnsi="Garamond" w:cs="Calibri"/>
          <w:i/>
          <w:color w:val="000000"/>
          <w:sz w:val="24"/>
          <w:szCs w:val="24"/>
        </w:rPr>
        <w:t>antidumping</w:t>
      </w:r>
      <w:r w:rsidRPr="00395593">
        <w:rPr>
          <w:rFonts w:ascii="Garamond" w:hAnsi="Garamond" w:cs="Calibri"/>
          <w:b/>
          <w:color w:val="000000"/>
          <w:sz w:val="24"/>
          <w:szCs w:val="24"/>
        </w:rPr>
        <w:t xml:space="preserve"> </w:t>
      </w:r>
      <w:r w:rsidRPr="00395593">
        <w:rPr>
          <w:rFonts w:ascii="Garamond" w:hAnsi="Garamond" w:cs="Calibri"/>
          <w:color w:val="000000"/>
          <w:sz w:val="24"/>
          <w:szCs w:val="24"/>
        </w:rPr>
        <w:t xml:space="preserve">recolhido foi superior ao que seria devido caso o direito tivesse sido calculado com base na margem de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apurada para o período de revisão de restituição.</w:t>
      </w:r>
    </w:p>
    <w:p w14:paraId="605B32D6"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Parágrafo único. Meras alegações não serão consideradas suficientes para cumprir as exigências da revisão de restituição.</w:t>
      </w:r>
    </w:p>
    <w:p w14:paraId="25BA3461" w14:textId="77777777" w:rsidR="00E4045A" w:rsidRPr="00395593" w:rsidRDefault="00E4045A" w:rsidP="0007519C">
      <w:pPr>
        <w:spacing w:after="0" w:line="240" w:lineRule="auto"/>
        <w:jc w:val="center"/>
        <w:rPr>
          <w:rFonts w:ascii="Garamond" w:hAnsi="Garamond" w:cs="Calibri"/>
          <w:color w:val="000000"/>
          <w:sz w:val="24"/>
          <w:szCs w:val="24"/>
        </w:rPr>
      </w:pPr>
    </w:p>
    <w:p w14:paraId="737831A5"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VI</w:t>
      </w:r>
    </w:p>
    <w:p w14:paraId="651580EC"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valor normal e do preço de exportação</w:t>
      </w:r>
    </w:p>
    <w:p w14:paraId="04FFD2DA" w14:textId="77777777" w:rsidR="00E4045A" w:rsidRPr="00395593" w:rsidRDefault="00E4045A" w:rsidP="0007519C">
      <w:pPr>
        <w:spacing w:after="0" w:line="240" w:lineRule="auto"/>
        <w:jc w:val="center"/>
        <w:rPr>
          <w:rFonts w:ascii="Garamond" w:hAnsi="Garamond" w:cs="Calibri"/>
          <w:color w:val="000000"/>
          <w:sz w:val="24"/>
          <w:szCs w:val="24"/>
        </w:rPr>
      </w:pPr>
    </w:p>
    <w:p w14:paraId="6548A4F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366.</w:t>
      </w:r>
      <w:r w:rsidRPr="00395593" w:rsidDel="00E8469E">
        <w:rPr>
          <w:rFonts w:ascii="Garamond" w:hAnsi="Garamond" w:cs="Calibri"/>
          <w:color w:val="000000"/>
          <w:sz w:val="24"/>
          <w:szCs w:val="24"/>
        </w:rPr>
        <w:t xml:space="preserve"> </w:t>
      </w:r>
      <w:r w:rsidRPr="00395593">
        <w:rPr>
          <w:rFonts w:ascii="Garamond" w:hAnsi="Garamond" w:cs="Calibri"/>
          <w:color w:val="000000"/>
          <w:sz w:val="24"/>
          <w:szCs w:val="24"/>
        </w:rPr>
        <w:t>As informações desta seção referem-se apenas ao período de revisão de restituição.</w:t>
      </w:r>
    </w:p>
    <w:p w14:paraId="2EEEC67F"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367. Deve ser indicado cada produtor ou exportador do produto objeto do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que tenha comercializado o produto objeto da revisão de restituição com o importador peticionário e para o qual uma margem de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individual tenha sido calculada no procedimento imediatamente anterior a esta revisão, nos termos do art. 353 </w:t>
      </w:r>
      <w:bookmarkStart w:id="138" w:name="_Hlk532832231"/>
      <w:r w:rsidRPr="00395593">
        <w:rPr>
          <w:rFonts w:ascii="Garamond" w:hAnsi="Garamond" w:cs="Calibri"/>
          <w:color w:val="000000"/>
          <w:sz w:val="24"/>
          <w:szCs w:val="24"/>
        </w:rPr>
        <w:t>desta Portaria</w:t>
      </w:r>
      <w:bookmarkEnd w:id="138"/>
      <w:r w:rsidRPr="00395593">
        <w:rPr>
          <w:rFonts w:ascii="Garamond" w:hAnsi="Garamond" w:cs="Calibri"/>
          <w:color w:val="000000"/>
          <w:sz w:val="24"/>
          <w:szCs w:val="24"/>
        </w:rPr>
        <w:t>, informando seu nome e endereço.</w:t>
      </w:r>
    </w:p>
    <w:p w14:paraId="1941B348"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Art. 368. Deve ser apresentada carta de apoio de cada produtor ou exportador envolvido na petição de restituição contendo manifestação expressa do interesse do produtor ou exportador em cooperar com a revisão e em fornecer informações para cálculo do valor normal do produto similar e do preço de exportação do produto objeto do direito </w:t>
      </w:r>
      <w:r w:rsidRPr="00395593">
        <w:rPr>
          <w:rFonts w:ascii="Garamond" w:hAnsi="Garamond" w:cs="Calibri"/>
          <w:i/>
          <w:color w:val="000000"/>
          <w:sz w:val="24"/>
          <w:szCs w:val="24"/>
        </w:rPr>
        <w:t>antidumping</w:t>
      </w:r>
      <w:r w:rsidRPr="00395593">
        <w:rPr>
          <w:rFonts w:ascii="Garamond" w:hAnsi="Garamond" w:cs="Calibri"/>
          <w:b/>
          <w:color w:val="000000"/>
          <w:sz w:val="24"/>
          <w:szCs w:val="24"/>
        </w:rPr>
        <w:t xml:space="preserve"> </w:t>
      </w:r>
      <w:r w:rsidRPr="00395593">
        <w:rPr>
          <w:rFonts w:ascii="Garamond" w:hAnsi="Garamond" w:cs="Calibri"/>
          <w:color w:val="000000"/>
          <w:sz w:val="24"/>
          <w:szCs w:val="24"/>
        </w:rPr>
        <w:t>ao longo do período de revisão de restituição.</w:t>
      </w:r>
    </w:p>
    <w:p w14:paraId="08878D07"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xml:space="preserve">Parágrafo único. A SDCOM poderá enviar questionários para os produtores ou exportadores e para os importadores relacionados ou associados envolvidos no processo de revisão de restituição, bem como poderá conduzir verificações </w:t>
      </w:r>
      <w:r w:rsidRPr="00395593">
        <w:rPr>
          <w:rFonts w:ascii="Garamond" w:hAnsi="Garamond" w:cs="Calibri"/>
          <w:i/>
          <w:color w:val="000000"/>
          <w:sz w:val="24"/>
          <w:szCs w:val="24"/>
        </w:rPr>
        <w:t>in loco</w:t>
      </w:r>
      <w:r w:rsidRPr="00395593">
        <w:rPr>
          <w:rFonts w:ascii="Garamond" w:hAnsi="Garamond" w:cs="Calibri"/>
          <w:color w:val="000000"/>
          <w:sz w:val="24"/>
          <w:szCs w:val="24"/>
        </w:rPr>
        <w:t xml:space="preserve"> para examinar os registros das empresas e comprovar as informações fornecidas.</w:t>
      </w:r>
    </w:p>
    <w:p w14:paraId="5339FE0A"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369. A petição deverá conter elementos de prova relativos ao valor normal e ao preço de exportação para o Brasil de cada produtor ou exportador indicado na revisão de restituição, observado o disposto no art. 353</w:t>
      </w:r>
      <w:r w:rsidRPr="00395593">
        <w:rPr>
          <w:rFonts w:ascii="Garamond" w:hAnsi="Garamond" w:cs="Calibri"/>
          <w:color w:val="000000"/>
          <w:sz w:val="24"/>
          <w:szCs w:val="24"/>
          <w:vertAlign w:val="superscript"/>
        </w:rPr>
        <w:t xml:space="preserve"> </w:t>
      </w:r>
      <w:r w:rsidRPr="00395593">
        <w:rPr>
          <w:rFonts w:ascii="Garamond" w:hAnsi="Garamond" w:cs="Calibri"/>
          <w:color w:val="000000"/>
          <w:sz w:val="24"/>
          <w:szCs w:val="24"/>
        </w:rPr>
        <w:t>desta Portaria.</w:t>
      </w:r>
    </w:p>
    <w:p w14:paraId="3B5A797A"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w:t>
      </w:r>
    </w:p>
    <w:p w14:paraId="18F2FE49"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 valor normal</w:t>
      </w:r>
    </w:p>
    <w:p w14:paraId="7610AD5D"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370.</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Para cada produtor ou exportador proveniente de país de economia de mercado indicado no art.366, deve-se apresentar o preço representativo no mercado interno do país exportador.</w:t>
      </w:r>
    </w:p>
    <w:p w14:paraId="78D7B414"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Caso não existam vendas do produto similar em operações comerciais normais no mercado interno do país exportador ou quando, em razão de condições especiais de mercado ou de baixo volume de vendas do produto similar no mercado interno do país exportador, não for possível comparação adequada com o preço de exportação, o valor normal deverá ser apurado com base no valor normal construído do produto similar fabricado pelo produtor ou exportador em questão.</w:t>
      </w:r>
    </w:p>
    <w:p w14:paraId="062467AB"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Os preços devem ser apresentados preferencialmente na condição de venda </w:t>
      </w:r>
      <w:r w:rsidRPr="00395593">
        <w:rPr>
          <w:rFonts w:ascii="Garamond" w:hAnsi="Garamond" w:cs="Calibri"/>
          <w:i/>
          <w:color w:val="000000"/>
          <w:sz w:val="24"/>
          <w:szCs w:val="24"/>
        </w:rPr>
        <w:t>ex fabrica</w:t>
      </w:r>
      <w:r w:rsidRPr="00395593">
        <w:rPr>
          <w:rFonts w:ascii="Garamond" w:hAnsi="Garamond" w:cs="Calibri"/>
          <w:color w:val="000000"/>
          <w:sz w:val="24"/>
          <w:szCs w:val="24"/>
        </w:rPr>
        <w:t xml:space="preserve">, livres de tributos. Caso sejam apresentados em outra condição de venda, devem ser explicitados os ajustes necessários para a apuração do preço </w:t>
      </w:r>
      <w:r w:rsidRPr="00395593">
        <w:rPr>
          <w:rFonts w:ascii="Garamond" w:hAnsi="Garamond" w:cs="Calibri"/>
          <w:i/>
          <w:color w:val="000000"/>
          <w:sz w:val="24"/>
          <w:szCs w:val="24"/>
        </w:rPr>
        <w:t>ex fabrica.</w:t>
      </w:r>
    </w:p>
    <w:p w14:paraId="3DA9BD1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371.</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Na hipótese do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do art. 370, deve-se fornecer o preço do produto similar nas operações comerciais normais que o destinem ao consumo interno no país exportador e o volume de vendas que serviu de base para o fornecimento do preço em questão, especificando:</w:t>
      </w:r>
    </w:p>
    <w:p w14:paraId="33C847D7"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volume de vendas internas utilizado como base do valor normal (informar unidade);</w:t>
      </w:r>
    </w:p>
    <w:p w14:paraId="2578E23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moeda;</w:t>
      </w:r>
    </w:p>
    <w:p w14:paraId="298A388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condição de venda;</w:t>
      </w:r>
    </w:p>
    <w:p w14:paraId="36A7A53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ajustes necessários à justa comparação com os preços de exportação; e</w:t>
      </w:r>
    </w:p>
    <w:p w14:paraId="587A8A8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xml:space="preserve">V – preço unitário </w:t>
      </w:r>
      <w:r w:rsidRPr="00395593">
        <w:rPr>
          <w:rFonts w:ascii="Garamond" w:hAnsi="Garamond" w:cs="Calibri"/>
          <w:i/>
          <w:color w:val="000000"/>
          <w:sz w:val="24"/>
          <w:szCs w:val="24"/>
        </w:rPr>
        <w:t>ex fabrica.</w:t>
      </w:r>
    </w:p>
    <w:p w14:paraId="7020F21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372.</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Na hipótese do § 1</w:t>
      </w:r>
      <w:r w:rsidRPr="00395593">
        <w:rPr>
          <w:rFonts w:ascii="Garamond" w:hAnsi="Garamond" w:cs="Calibri"/>
          <w:strike/>
          <w:color w:val="000000"/>
          <w:sz w:val="24"/>
          <w:szCs w:val="24"/>
        </w:rPr>
        <w:t>º</w:t>
      </w:r>
      <w:r w:rsidRPr="00395593">
        <w:rPr>
          <w:rFonts w:ascii="Garamond" w:hAnsi="Garamond" w:cs="Calibri"/>
          <w:color w:val="000000"/>
          <w:sz w:val="24"/>
          <w:szCs w:val="24"/>
        </w:rPr>
        <w:t xml:space="preserve"> do art. 370, deve-se fornecer o valor normal construído do produtor ou exportador em questão, conforme modelo constante do Apêndice II desta Portaria, especificando o conteúdo de cada rubrica e os coeficientes técnicos utilizados.</w:t>
      </w:r>
    </w:p>
    <w:p w14:paraId="3AF4847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373.</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Para produtor ou exportador proveniente de país de economia não de mercado indicado no art. 366, deve-se indicar produtor do mesmo terceiro país de economia de mercado substituto que foi utilizado no procedimento imediatamente anterior ao início desta revisão para fins de apuração do valor normal. </w:t>
      </w:r>
    </w:p>
    <w:p w14:paraId="518BC6B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Devem ser fornecidos os dados referentes ao preço representativo de venda do produto similar no mercado interno do terceiro país de economia de mercado, especificando:</w:t>
      </w:r>
    </w:p>
    <w:p w14:paraId="7A5243DF"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volume de vendas internas utilizado como base do valor normal (informar unidade);</w:t>
      </w:r>
    </w:p>
    <w:p w14:paraId="4102BE7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moeda;</w:t>
      </w:r>
    </w:p>
    <w:p w14:paraId="2151D03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condição de venda;</w:t>
      </w:r>
    </w:p>
    <w:p w14:paraId="5AACD665"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ajustes necessários à justa comparação com os preços de exportação; e</w:t>
      </w:r>
    </w:p>
    <w:p w14:paraId="33A9BE6E" w14:textId="77777777" w:rsidR="00E4045A" w:rsidRPr="00395593" w:rsidRDefault="00E4045A" w:rsidP="00E33E26">
      <w:pPr>
        <w:pStyle w:val="TextosemFormatao"/>
        <w:ind w:firstLine="567"/>
        <w:jc w:val="both"/>
        <w:rPr>
          <w:rFonts w:ascii="Garamond" w:hAnsi="Garamond" w:cs="Calibri"/>
          <w:i/>
          <w:color w:val="000000"/>
          <w:sz w:val="24"/>
          <w:szCs w:val="24"/>
        </w:rPr>
      </w:pPr>
      <w:r w:rsidRPr="00395593">
        <w:rPr>
          <w:rFonts w:ascii="Garamond" w:hAnsi="Garamond" w:cs="Calibri"/>
          <w:color w:val="000000"/>
          <w:sz w:val="24"/>
          <w:szCs w:val="24"/>
        </w:rPr>
        <w:t xml:space="preserve">V – preço unitário </w:t>
      </w:r>
      <w:r w:rsidRPr="00395593">
        <w:rPr>
          <w:rFonts w:ascii="Garamond" w:hAnsi="Garamond" w:cs="Calibri"/>
          <w:i/>
          <w:color w:val="000000"/>
          <w:sz w:val="24"/>
          <w:szCs w:val="24"/>
        </w:rPr>
        <w:t>ex fabrica.</w:t>
      </w:r>
    </w:p>
    <w:p w14:paraId="11FB3E5B" w14:textId="77777777" w:rsidR="00E4045A" w:rsidRPr="00395593" w:rsidRDefault="00E4045A" w:rsidP="00E33E26">
      <w:pPr>
        <w:pStyle w:val="TextosemFormatao"/>
        <w:ind w:firstLine="567"/>
        <w:jc w:val="both"/>
        <w:rPr>
          <w:rFonts w:ascii="Garamond" w:hAnsi="Garamond" w:cs="Calibri"/>
          <w:i/>
          <w:color w:val="000000"/>
          <w:sz w:val="24"/>
          <w:szCs w:val="24"/>
        </w:rPr>
      </w:pPr>
      <w:r w:rsidRPr="00395593">
        <w:rPr>
          <w:rFonts w:ascii="Garamond" w:hAnsi="Garamond" w:cs="Calibri"/>
          <w:color w:val="000000"/>
          <w:sz w:val="24"/>
          <w:szCs w:val="24"/>
        </w:rPr>
        <w:t>§ 2</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Os preços devem ser apresentados preferencialmente na condição de venda </w:t>
      </w:r>
      <w:r w:rsidRPr="00395593">
        <w:rPr>
          <w:rFonts w:ascii="Garamond" w:hAnsi="Garamond" w:cs="Calibri"/>
          <w:i/>
          <w:color w:val="000000"/>
          <w:sz w:val="24"/>
          <w:szCs w:val="24"/>
        </w:rPr>
        <w:t>ex fabrica</w:t>
      </w:r>
      <w:r w:rsidRPr="00395593">
        <w:rPr>
          <w:rFonts w:ascii="Garamond" w:hAnsi="Garamond" w:cs="Calibri"/>
          <w:color w:val="000000"/>
          <w:sz w:val="24"/>
          <w:szCs w:val="24"/>
        </w:rPr>
        <w:t xml:space="preserve">, livres de tributos. Caso sejam apresentados em outra condição de venda, devem ser explicitados os ajustes necessários para a apuração do preço </w:t>
      </w:r>
      <w:r w:rsidRPr="00395593">
        <w:rPr>
          <w:rFonts w:ascii="Garamond" w:hAnsi="Garamond" w:cs="Calibri"/>
          <w:i/>
          <w:color w:val="000000"/>
          <w:sz w:val="24"/>
          <w:szCs w:val="24"/>
        </w:rPr>
        <w:t>ex fabrica.</w:t>
      </w:r>
    </w:p>
    <w:p w14:paraId="6E93EBF8"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3</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Para o produtor indicado com base no </w:t>
      </w:r>
      <w:r w:rsidRPr="00395593">
        <w:rPr>
          <w:rFonts w:ascii="Garamond" w:hAnsi="Garamond" w:cs="Calibri"/>
          <w:i/>
          <w:color w:val="000000"/>
          <w:sz w:val="24"/>
          <w:szCs w:val="24"/>
        </w:rPr>
        <w:t xml:space="preserve">caput </w:t>
      </w:r>
      <w:r w:rsidRPr="00395593">
        <w:rPr>
          <w:rFonts w:ascii="Garamond" w:hAnsi="Garamond" w:cs="Calibri"/>
          <w:color w:val="000000"/>
          <w:sz w:val="24"/>
          <w:szCs w:val="24"/>
        </w:rPr>
        <w:t>deste artigo, aplica-se também o disposto no art. 368 desta Portaria.</w:t>
      </w:r>
    </w:p>
    <w:p w14:paraId="3BD06ACD"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374. Caso o produtor indicado no artigo anterior não tenha realizado vendas do produto similar no mercado interno do país de economia de mercado substituto utilizado no procedimento imediatamente anterior ao início desta revisão ou tenha vendido tal produto em quantidades insuficientes no período de revisão de restituição, deve-se fornecer o valor normal com base no valor normal construído do produto similar fabricado pelo produtor ou exportador em questão.</w:t>
      </w:r>
    </w:p>
    <w:p w14:paraId="459E0EE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Os preços devem ser apresentados preferencialmente na condição de venda </w:t>
      </w:r>
      <w:r w:rsidRPr="00395593">
        <w:rPr>
          <w:rFonts w:ascii="Garamond" w:hAnsi="Garamond" w:cs="Calibri"/>
          <w:i/>
          <w:color w:val="000000"/>
          <w:sz w:val="24"/>
          <w:szCs w:val="24"/>
        </w:rPr>
        <w:t>ex fabrica</w:t>
      </w:r>
      <w:r w:rsidRPr="00395593">
        <w:rPr>
          <w:rFonts w:ascii="Garamond" w:hAnsi="Garamond" w:cs="Calibri"/>
          <w:color w:val="000000"/>
          <w:sz w:val="24"/>
          <w:szCs w:val="24"/>
        </w:rPr>
        <w:t xml:space="preserve">, livres de tributos. Caso sejam apresentados em outra condição de venda, devem ser explicitados os ajustes necessários para a apuração do preço </w:t>
      </w:r>
      <w:r w:rsidRPr="00395593">
        <w:rPr>
          <w:rFonts w:ascii="Garamond" w:hAnsi="Garamond" w:cs="Calibri"/>
          <w:i/>
          <w:color w:val="000000"/>
          <w:sz w:val="24"/>
          <w:szCs w:val="24"/>
        </w:rPr>
        <w:t>ex fabrica.</w:t>
      </w:r>
    </w:p>
    <w:p w14:paraId="5BAF1C0B"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color w:val="000000"/>
          <w:sz w:val="24"/>
          <w:szCs w:val="24"/>
          <w:u w:val="single"/>
          <w:vertAlign w:val="superscript"/>
        </w:rPr>
        <w:t>o</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Deve ser fornecido o valor normal construído do produtor ou exportador em questão conforme modelo constante do Apêndice II desta Portaria, especificando o conteúdo de cada rubrica e os coeficientes técnicos utilizados.</w:t>
      </w:r>
    </w:p>
    <w:p w14:paraId="67D3C78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Art. 375. Caso não existam mais produtores no mesmo país de economia de mercado substituto utilizado no procedimento imediatamente anterior ao início desta revisão, deve-se indicar produtor de outro terceiro país substituto.</w:t>
      </w:r>
    </w:p>
    <w:p w14:paraId="429B929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1</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Devem ser esclarecidas as razões pelas quais o país substituto foi considerado apropriado, levando-se em conta os seguintes aspectos: </w:t>
      </w:r>
    </w:p>
    <w:p w14:paraId="6552817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o volume das exportações do produto similar do país substituto para o Brasil e para os principais mercados consumidores mundiais;</w:t>
      </w:r>
    </w:p>
    <w:p w14:paraId="293CB1CE"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o volume das vendas do produto similar no mercado interno do país substituto;</w:t>
      </w:r>
    </w:p>
    <w:p w14:paraId="187DF8F1"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a similaridade entre o produto objeto da investigação e o produto similar vendido no mercado interno pelo país substituto;</w:t>
      </w:r>
    </w:p>
    <w:p w14:paraId="33C3E58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a disponibilidade e o grau de desagregação das estatísticas necessárias à investigação; ou</w:t>
      </w:r>
    </w:p>
    <w:p w14:paraId="7D48694A"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V - o grau de adequação das informações apresentadas com relação às características da investigação em curso.</w:t>
      </w:r>
    </w:p>
    <w:p w14:paraId="5DFC3D8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2</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Devem ser fornecidos os dados referentes ao preço representativo de venda do produto similar no mercado interno do terceiro país de economia de mercado substituto, especificando:</w:t>
      </w:r>
    </w:p>
    <w:p w14:paraId="30D0875C"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 – volume de vendas internas utilizado como base do valor normal (informar unidade);</w:t>
      </w:r>
    </w:p>
    <w:p w14:paraId="4AE593D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 – moeda;</w:t>
      </w:r>
    </w:p>
    <w:p w14:paraId="64645FA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III – condição de venda;</w:t>
      </w:r>
    </w:p>
    <w:p w14:paraId="79B6D312"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IV – ajustes necessários à justa comparação com os preços de exportação; e</w:t>
      </w:r>
    </w:p>
    <w:p w14:paraId="75CC6354" w14:textId="77777777" w:rsidR="00E4045A" w:rsidRPr="00395593" w:rsidRDefault="00E4045A" w:rsidP="00E33E26">
      <w:pPr>
        <w:pStyle w:val="TextosemFormatao"/>
        <w:ind w:firstLine="567"/>
        <w:jc w:val="both"/>
        <w:rPr>
          <w:rFonts w:ascii="Garamond" w:hAnsi="Garamond" w:cs="Calibri"/>
          <w:i/>
          <w:color w:val="000000"/>
          <w:sz w:val="24"/>
          <w:szCs w:val="24"/>
        </w:rPr>
      </w:pPr>
      <w:r w:rsidRPr="00395593">
        <w:rPr>
          <w:rFonts w:ascii="Garamond" w:hAnsi="Garamond" w:cs="Calibri"/>
          <w:color w:val="000000"/>
          <w:sz w:val="24"/>
          <w:szCs w:val="24"/>
        </w:rPr>
        <w:t xml:space="preserve">V – preço unitário </w:t>
      </w:r>
      <w:r w:rsidRPr="00395593">
        <w:rPr>
          <w:rFonts w:ascii="Garamond" w:hAnsi="Garamond" w:cs="Calibri"/>
          <w:i/>
          <w:color w:val="000000"/>
          <w:sz w:val="24"/>
          <w:szCs w:val="24"/>
        </w:rPr>
        <w:t>ex fabrica.</w:t>
      </w:r>
    </w:p>
    <w:p w14:paraId="3D0B8F38" w14:textId="77777777" w:rsidR="00E4045A" w:rsidRPr="00395593" w:rsidRDefault="00E4045A" w:rsidP="00E33E26">
      <w:pPr>
        <w:pStyle w:val="TextosemFormatao"/>
        <w:ind w:firstLine="567"/>
        <w:jc w:val="both"/>
        <w:rPr>
          <w:rFonts w:ascii="Garamond" w:hAnsi="Garamond" w:cs="Calibri"/>
          <w:i/>
          <w:color w:val="000000"/>
          <w:sz w:val="24"/>
          <w:szCs w:val="24"/>
        </w:rPr>
      </w:pPr>
      <w:r w:rsidRPr="00395593">
        <w:rPr>
          <w:rFonts w:ascii="Garamond" w:hAnsi="Garamond" w:cs="Calibri"/>
          <w:color w:val="000000"/>
          <w:sz w:val="24"/>
          <w:szCs w:val="24"/>
        </w:rPr>
        <w:t>§ 3</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Os preços devem ser apresentados preferencialmente na condição de venda </w:t>
      </w:r>
      <w:r w:rsidRPr="00395593">
        <w:rPr>
          <w:rFonts w:ascii="Garamond" w:hAnsi="Garamond" w:cs="Calibri"/>
          <w:i/>
          <w:color w:val="000000"/>
          <w:sz w:val="24"/>
          <w:szCs w:val="24"/>
        </w:rPr>
        <w:t>ex fabrica</w:t>
      </w:r>
      <w:r w:rsidRPr="00395593">
        <w:rPr>
          <w:rFonts w:ascii="Garamond" w:hAnsi="Garamond" w:cs="Calibri"/>
          <w:color w:val="000000"/>
          <w:sz w:val="24"/>
          <w:szCs w:val="24"/>
        </w:rPr>
        <w:t xml:space="preserve">, livres de tributos. Caso sejam apresentados em outra condição de venda, devem ser explicitados os ajustes necessários para a apuração do preço </w:t>
      </w:r>
      <w:r w:rsidRPr="00395593">
        <w:rPr>
          <w:rFonts w:ascii="Garamond" w:hAnsi="Garamond" w:cs="Calibri"/>
          <w:i/>
          <w:color w:val="000000"/>
          <w:sz w:val="24"/>
          <w:szCs w:val="24"/>
        </w:rPr>
        <w:t>ex fabrica.</w:t>
      </w:r>
    </w:p>
    <w:p w14:paraId="7F821B00"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 4</w:t>
      </w:r>
      <w:r w:rsidRPr="00395593">
        <w:rPr>
          <w:rFonts w:ascii="Garamond" w:hAnsi="Garamond" w:cs="Calibri"/>
          <w:color w:val="000000"/>
          <w:sz w:val="24"/>
          <w:szCs w:val="24"/>
          <w:u w:val="single"/>
          <w:vertAlign w:val="superscript"/>
        </w:rPr>
        <w:t>o</w:t>
      </w:r>
      <w:r w:rsidRPr="00395593">
        <w:rPr>
          <w:rFonts w:ascii="Garamond" w:hAnsi="Garamond" w:cs="Calibri"/>
          <w:color w:val="000000"/>
          <w:sz w:val="24"/>
          <w:szCs w:val="24"/>
        </w:rPr>
        <w:t xml:space="preserve"> Para o produtor indicado com base no </w:t>
      </w:r>
      <w:r w:rsidRPr="00395593">
        <w:rPr>
          <w:rFonts w:ascii="Garamond" w:hAnsi="Garamond" w:cs="Calibri"/>
          <w:i/>
          <w:color w:val="000000"/>
          <w:sz w:val="24"/>
          <w:szCs w:val="24"/>
        </w:rPr>
        <w:t>caput</w:t>
      </w:r>
      <w:r w:rsidRPr="00395593">
        <w:rPr>
          <w:rFonts w:ascii="Garamond" w:hAnsi="Garamond" w:cs="Calibri"/>
          <w:color w:val="000000"/>
          <w:sz w:val="24"/>
          <w:szCs w:val="24"/>
        </w:rPr>
        <w:t xml:space="preserve"> deste artigo, aplica-se também o disposto no art. 368 desta Portaria.</w:t>
      </w:r>
    </w:p>
    <w:p w14:paraId="3D52D007" w14:textId="77777777" w:rsidR="00E4045A" w:rsidRPr="00395593" w:rsidRDefault="00E4045A" w:rsidP="0007519C">
      <w:pPr>
        <w:spacing w:after="0" w:line="240" w:lineRule="auto"/>
        <w:jc w:val="center"/>
        <w:rPr>
          <w:rFonts w:ascii="Garamond" w:hAnsi="Garamond" w:cs="Calibri"/>
          <w:color w:val="000000"/>
          <w:sz w:val="24"/>
          <w:szCs w:val="24"/>
        </w:rPr>
      </w:pPr>
    </w:p>
    <w:p w14:paraId="2D036E4B"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II</w:t>
      </w:r>
    </w:p>
    <w:p w14:paraId="77AAED3D"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preço de exportação</w:t>
      </w:r>
    </w:p>
    <w:p w14:paraId="735C2DA0" w14:textId="77777777" w:rsidR="00E4045A" w:rsidRPr="00395593" w:rsidRDefault="00E4045A" w:rsidP="0007519C">
      <w:pPr>
        <w:spacing w:after="0" w:line="240" w:lineRule="auto"/>
        <w:jc w:val="center"/>
        <w:rPr>
          <w:rFonts w:ascii="Garamond" w:hAnsi="Garamond" w:cs="Calibri"/>
          <w:color w:val="000000"/>
          <w:sz w:val="24"/>
          <w:szCs w:val="24"/>
        </w:rPr>
      </w:pPr>
    </w:p>
    <w:p w14:paraId="324F45B1"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376.</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Para cada produtor ou exportador indicado no art. 367, deve-se fornecer os preços de exportação do produto objeto de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para todas as vendas realizadas para o Brasil, independentemente dos importadores a que se destinaram, conforme modelo constante do Apêndice III desta Portaria.</w:t>
      </w:r>
    </w:p>
    <w:p w14:paraId="263166CD"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Parágrafo único. Os preços devem ser apresentados preferencialmente na mesma condição de venda do valor normal. Caso sejam apresentados em outra condição de venda, devem ser explicitados os ajustes necessários com vistas à justa comparação entre o valor normal e o preço de exportação.</w:t>
      </w:r>
    </w:p>
    <w:p w14:paraId="50419599"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377.</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Nos casos em que o importador seja relacionado ou associado ao produtor ou exportador ou em que estes possuam acordo compensatório entre si, além de providenciar as informações solicitadas no artigo anterior, deverá ser fornecido o preço de revenda do produto importado no mercado brasileiro ao primeiro comprador independente, bem como a estimativa de todos os custos incorridos a partir do preço na condição de venda indicada, incluindo frete, seguro, Imposto de Importação e outras despesas de importação, além de uma margem de lucro razoável para um revendedor independente do produto, conforme a tabela constante do Apêndice IV. </w:t>
      </w:r>
    </w:p>
    <w:p w14:paraId="7F14E139" w14:textId="77777777" w:rsidR="00E4045A" w:rsidRPr="00395593" w:rsidRDefault="00E4045A" w:rsidP="00E33E26">
      <w:pPr>
        <w:pStyle w:val="TextosemFormatao"/>
        <w:ind w:firstLine="567"/>
        <w:jc w:val="both"/>
        <w:rPr>
          <w:rFonts w:ascii="Garamond" w:hAnsi="Garamond" w:cs="Calibri"/>
          <w:color w:val="000000"/>
          <w:sz w:val="24"/>
          <w:szCs w:val="24"/>
        </w:rPr>
      </w:pPr>
      <w:r w:rsidRPr="00395593">
        <w:rPr>
          <w:rFonts w:ascii="Garamond" w:hAnsi="Garamond" w:cs="Calibri"/>
          <w:color w:val="000000"/>
          <w:sz w:val="24"/>
          <w:szCs w:val="24"/>
        </w:rPr>
        <w:t>Parágrafo único. Por partes relacionadas ou associadas entende-se a vinculação entre pessoas nos casos indicados no § 10 do art. 14 do Decreto n</w:t>
      </w:r>
      <w:r w:rsidRPr="00395593">
        <w:rPr>
          <w:rFonts w:ascii="Garamond" w:hAnsi="Garamond" w:cs="Calibri"/>
          <w:strike/>
          <w:color w:val="000000"/>
          <w:sz w:val="24"/>
          <w:szCs w:val="24"/>
          <w:vertAlign w:val="superscript"/>
        </w:rPr>
        <w:t>º</w:t>
      </w:r>
      <w:r w:rsidRPr="00395593">
        <w:rPr>
          <w:rFonts w:ascii="Garamond" w:hAnsi="Garamond" w:cs="Calibri"/>
          <w:color w:val="000000"/>
          <w:sz w:val="24"/>
          <w:szCs w:val="24"/>
        </w:rPr>
        <w:t xml:space="preserve"> 8.058, de 2013.</w:t>
      </w:r>
    </w:p>
    <w:p w14:paraId="5F115552" w14:textId="77777777" w:rsidR="00E4045A" w:rsidRPr="00395593" w:rsidRDefault="00E4045A" w:rsidP="00E33E26">
      <w:pPr>
        <w:pStyle w:val="TextosemFormatao"/>
        <w:ind w:firstLine="567"/>
        <w:jc w:val="both"/>
        <w:rPr>
          <w:rFonts w:ascii="Garamond" w:hAnsi="Garamond" w:cs="Calibri"/>
          <w:color w:val="000000"/>
          <w:sz w:val="24"/>
          <w:szCs w:val="24"/>
        </w:rPr>
      </w:pPr>
    </w:p>
    <w:p w14:paraId="37031051" w14:textId="77777777"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Subseção III</w:t>
      </w:r>
    </w:p>
    <w:p w14:paraId="0B95D1FD"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 comparação do valor normal com o preço de exportação</w:t>
      </w:r>
    </w:p>
    <w:p w14:paraId="0DA5933B" w14:textId="77777777" w:rsidR="00E4045A" w:rsidRPr="00395593" w:rsidRDefault="00E4045A" w:rsidP="0007519C">
      <w:pPr>
        <w:spacing w:after="0" w:line="240" w:lineRule="auto"/>
        <w:jc w:val="center"/>
        <w:rPr>
          <w:rFonts w:ascii="Garamond" w:hAnsi="Garamond" w:cs="Calibri"/>
          <w:color w:val="000000"/>
          <w:sz w:val="24"/>
          <w:szCs w:val="24"/>
        </w:rPr>
      </w:pPr>
    </w:p>
    <w:p w14:paraId="240DFA61"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378.</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Deve-se identificar a existência de diferenças entre o produto considerado para fins de determinação do valor normal e o produto objeto do direito </w:t>
      </w:r>
      <w:r w:rsidRPr="00395593">
        <w:rPr>
          <w:rFonts w:ascii="Garamond" w:hAnsi="Garamond" w:cs="Calibri"/>
          <w:i/>
          <w:color w:val="000000"/>
          <w:sz w:val="24"/>
          <w:szCs w:val="24"/>
        </w:rPr>
        <w:t>antidumping</w:t>
      </w:r>
      <w:r w:rsidRPr="00395593">
        <w:rPr>
          <w:rFonts w:ascii="Garamond" w:hAnsi="Garamond" w:cs="Calibri"/>
          <w:b/>
          <w:color w:val="000000"/>
          <w:sz w:val="24"/>
          <w:szCs w:val="24"/>
        </w:rPr>
        <w:t xml:space="preserve"> </w:t>
      </w:r>
      <w:r w:rsidRPr="00395593">
        <w:rPr>
          <w:rFonts w:ascii="Garamond" w:hAnsi="Garamond" w:cs="Calibri"/>
          <w:color w:val="000000"/>
          <w:sz w:val="24"/>
          <w:szCs w:val="24"/>
        </w:rPr>
        <w:t>em função de quantidades, características físicas, nível de comércio, condições de pagamento, etc., indicando os ajustes necessários para compensar tais diferenças e tornar o valor normal e o preço de exportação comparáveis.</w:t>
      </w:r>
    </w:p>
    <w:p w14:paraId="274C3F76" w14:textId="5B4611B8" w:rsidR="00E4045A" w:rsidRPr="00395593" w:rsidRDefault="00E4045A" w:rsidP="0007519C">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VII</w:t>
      </w:r>
    </w:p>
    <w:p w14:paraId="332B6411"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Dos direitos antidumping recolhidos</w:t>
      </w:r>
    </w:p>
    <w:p w14:paraId="22AA9D9E" w14:textId="77777777" w:rsidR="00E4045A" w:rsidRPr="00395593" w:rsidRDefault="00E4045A" w:rsidP="0007519C">
      <w:pPr>
        <w:spacing w:after="0" w:line="240" w:lineRule="auto"/>
        <w:jc w:val="center"/>
        <w:rPr>
          <w:rFonts w:ascii="Garamond" w:hAnsi="Garamond" w:cs="Calibri"/>
          <w:color w:val="000000"/>
          <w:sz w:val="24"/>
          <w:szCs w:val="24"/>
        </w:rPr>
      </w:pPr>
    </w:p>
    <w:p w14:paraId="066D8E2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379.</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Deve-se listar todas as transações de importação objeto da petição de revisão de restituição realizadas pelo importador peticionário durante o período de apuração do montante a ser restituído, discriminando, para cada transação, a data do desembaraço, a quantidade importada, o preço unitário de importação do produto e a data e o número da respectiva fatura de venda do produtor ou exportador relacionada a essa importação, conforme modelo constante no Apêndice XXVIII. </w:t>
      </w:r>
    </w:p>
    <w:p w14:paraId="33F2C974"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380.</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Deve-se informar o valor, em percentual e absoluto, de direitos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recolhido em cada transação listada no artigo anterior e o valor total absoluto de direitos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pago pelo peticionário durante o período de apuração do montante a ser restituído.</w:t>
      </w:r>
    </w:p>
    <w:p w14:paraId="042740D5"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381.</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Os documentos aduaneiros e as faturas comerciais que comprovem as informações pedidas nos artigos desta seção, bem como os documentos, originais ou cópias autenticadas, que comprovem o efetivo pagamento dos direitos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cobrados, devem ser anexados à petição de revisão de restituição.</w:t>
      </w:r>
    </w:p>
    <w:p w14:paraId="19580D2B" w14:textId="77777777" w:rsidR="00E4045A" w:rsidRPr="00395593" w:rsidRDefault="00E4045A" w:rsidP="004136FD">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VIII</w:t>
      </w:r>
    </w:p>
    <w:p w14:paraId="61FDF82C" w14:textId="77777777" w:rsidR="00E4045A" w:rsidRPr="00395593" w:rsidRDefault="00E4045A" w:rsidP="004136FD">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Do montante a ser restituído</w:t>
      </w:r>
    </w:p>
    <w:p w14:paraId="672689BF" w14:textId="77777777" w:rsidR="00E4045A" w:rsidRPr="00395593" w:rsidRDefault="00E4045A" w:rsidP="00E33E26">
      <w:pPr>
        <w:ind w:firstLine="567"/>
        <w:jc w:val="both"/>
        <w:rPr>
          <w:rFonts w:ascii="Garamond" w:hAnsi="Garamond" w:cs="Calibri"/>
          <w:color w:val="000000"/>
          <w:sz w:val="24"/>
          <w:szCs w:val="24"/>
        </w:rPr>
      </w:pPr>
    </w:p>
    <w:p w14:paraId="4C7F5574"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382.</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Deve-se informar o montante de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a ser restituído pleiteado pelo peticionário, que deverá consistir na diferença entre o direito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recolhido relativo às importações do produto investigado e a margem de </w:t>
      </w:r>
      <w:r w:rsidRPr="00395593">
        <w:rPr>
          <w:rFonts w:ascii="Garamond" w:hAnsi="Garamond" w:cs="Calibri"/>
          <w:i/>
          <w:color w:val="000000"/>
          <w:sz w:val="24"/>
          <w:szCs w:val="24"/>
        </w:rPr>
        <w:t>dumping</w:t>
      </w:r>
      <w:r w:rsidRPr="00395593">
        <w:rPr>
          <w:rFonts w:ascii="Garamond" w:hAnsi="Garamond" w:cs="Calibri"/>
          <w:color w:val="000000"/>
          <w:sz w:val="24"/>
          <w:szCs w:val="24"/>
        </w:rPr>
        <w:t xml:space="preserve"> do período de revisão informada pelo peticionário.</w:t>
      </w:r>
    </w:p>
    <w:p w14:paraId="6F377484" w14:textId="77777777" w:rsidR="00E4045A" w:rsidRPr="00395593" w:rsidRDefault="00E4045A" w:rsidP="004136FD">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Seção IX</w:t>
      </w:r>
    </w:p>
    <w:p w14:paraId="3D7DE197" w14:textId="77777777" w:rsidR="00E4045A" w:rsidRPr="00395593" w:rsidRDefault="00E4045A" w:rsidP="004136FD">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Das condições para a restituição</w:t>
      </w:r>
    </w:p>
    <w:p w14:paraId="21443E97" w14:textId="77777777" w:rsidR="00E4045A" w:rsidRPr="00395593" w:rsidRDefault="00E4045A" w:rsidP="00E33E26">
      <w:pPr>
        <w:ind w:firstLine="567"/>
        <w:jc w:val="both"/>
        <w:rPr>
          <w:rFonts w:ascii="Garamond" w:hAnsi="Garamond" w:cs="Calibri"/>
          <w:color w:val="000000"/>
          <w:sz w:val="24"/>
          <w:szCs w:val="24"/>
        </w:rPr>
      </w:pPr>
    </w:p>
    <w:p w14:paraId="5221ED70"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383.</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 xml:space="preserve">Os direitos </w:t>
      </w:r>
      <w:r w:rsidRPr="00395593">
        <w:rPr>
          <w:rFonts w:ascii="Garamond" w:hAnsi="Garamond" w:cs="Calibri"/>
          <w:i/>
          <w:color w:val="000000"/>
          <w:sz w:val="24"/>
          <w:szCs w:val="24"/>
        </w:rPr>
        <w:t>antidumping</w:t>
      </w:r>
      <w:r w:rsidRPr="00395593">
        <w:rPr>
          <w:rFonts w:ascii="Garamond" w:hAnsi="Garamond" w:cs="Calibri"/>
          <w:color w:val="000000"/>
          <w:sz w:val="24"/>
          <w:szCs w:val="24"/>
        </w:rPr>
        <w:t xml:space="preserve"> dos quais se pleiteia a restituição devem ter sido efetivamente arrecadados pela Secretaria Especial da Receita Federal do Brasil do Ministério da Economia.</w:t>
      </w:r>
    </w:p>
    <w:p w14:paraId="7A9EBF92" w14:textId="77777777" w:rsidR="00E4045A" w:rsidRPr="00395593" w:rsidRDefault="00E4045A" w:rsidP="00E33E26">
      <w:pPr>
        <w:ind w:firstLine="567"/>
        <w:jc w:val="both"/>
        <w:rPr>
          <w:rFonts w:ascii="Garamond" w:hAnsi="Garamond" w:cs="Calibri"/>
          <w:color w:val="000000"/>
          <w:sz w:val="24"/>
          <w:szCs w:val="24"/>
        </w:rPr>
      </w:pPr>
      <w:r w:rsidRPr="00395593">
        <w:rPr>
          <w:rFonts w:ascii="Garamond" w:hAnsi="Garamond" w:cs="Calibri"/>
          <w:color w:val="000000"/>
          <w:sz w:val="24"/>
          <w:szCs w:val="24"/>
        </w:rPr>
        <w:t>Art. 384.</w:t>
      </w:r>
      <w:r w:rsidRPr="00395593" w:rsidDel="00206CA9">
        <w:rPr>
          <w:rFonts w:ascii="Garamond" w:hAnsi="Garamond" w:cs="Calibri"/>
          <w:color w:val="000000"/>
          <w:sz w:val="24"/>
          <w:szCs w:val="24"/>
        </w:rPr>
        <w:t xml:space="preserve"> </w:t>
      </w:r>
      <w:r w:rsidRPr="00395593">
        <w:rPr>
          <w:rFonts w:ascii="Garamond" w:hAnsi="Garamond" w:cs="Calibri"/>
          <w:color w:val="000000"/>
          <w:sz w:val="24"/>
          <w:szCs w:val="24"/>
        </w:rPr>
        <w:t>O peticionário deve apresentar declaração afirmando que o montante a ser restituído não foi e nem será reembolsado pelo produtor ou exportador nem por outra terceira parte.</w:t>
      </w:r>
    </w:p>
    <w:p w14:paraId="3819ED8C" w14:textId="63B72DF6" w:rsidR="00E4045A" w:rsidRPr="005C5CBD" w:rsidRDefault="00E4045A" w:rsidP="004136FD">
      <w:pPr>
        <w:spacing w:after="0" w:line="240" w:lineRule="auto"/>
        <w:jc w:val="center"/>
        <w:rPr>
          <w:rFonts w:ascii="Garamond" w:hAnsi="Garamond" w:cs="Calibri"/>
          <w:b/>
          <w:color w:val="000000"/>
          <w:sz w:val="24"/>
          <w:szCs w:val="24"/>
        </w:rPr>
      </w:pPr>
    </w:p>
    <w:p w14:paraId="1C7BCAF8" w14:textId="4330898E" w:rsidR="00E4045A" w:rsidRPr="00395593" w:rsidRDefault="00E4045A" w:rsidP="004136FD">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CAPÍTULO XII</w:t>
      </w:r>
    </w:p>
    <w:p w14:paraId="5426482F"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 xml:space="preserve">DOS DOCUMENTOS APRESENTADOS EM LÍNGUAS ESTRANGEIRAS </w:t>
      </w:r>
    </w:p>
    <w:p w14:paraId="5BAC26D6" w14:textId="77777777" w:rsidR="00E4045A" w:rsidRPr="00395593" w:rsidRDefault="00E4045A" w:rsidP="004136FD">
      <w:pPr>
        <w:spacing w:after="0" w:line="240" w:lineRule="auto"/>
        <w:jc w:val="center"/>
        <w:rPr>
          <w:rFonts w:ascii="Garamond" w:hAnsi="Garamond" w:cs="Calibri"/>
          <w:color w:val="000000"/>
          <w:sz w:val="24"/>
          <w:szCs w:val="24"/>
          <w:bdr w:val="none" w:sz="0" w:space="0" w:color="auto" w:frame="1"/>
        </w:rPr>
      </w:pPr>
    </w:p>
    <w:p w14:paraId="765AD1EE" w14:textId="77777777" w:rsidR="00E4045A" w:rsidRPr="00395593" w:rsidRDefault="00E4045A" w:rsidP="00E33E26">
      <w:pPr>
        <w:shd w:val="clear" w:color="auto" w:fill="FFFFFF"/>
        <w:ind w:firstLine="567"/>
        <w:jc w:val="both"/>
        <w:rPr>
          <w:rFonts w:ascii="Garamond" w:hAnsi="Garamond" w:cs="Calibri"/>
          <w:color w:val="000000"/>
          <w:sz w:val="24"/>
          <w:szCs w:val="24"/>
        </w:rPr>
      </w:pPr>
      <w:r w:rsidRPr="00395593">
        <w:rPr>
          <w:rFonts w:ascii="Garamond" w:hAnsi="Garamond" w:cs="Calibri"/>
          <w:color w:val="000000"/>
          <w:sz w:val="24"/>
          <w:szCs w:val="24"/>
          <w:bdr w:val="none" w:sz="0" w:space="0" w:color="auto" w:frame="1"/>
        </w:rPr>
        <w:t>Art. 385. Nos termos do art. 18 da Lei n</w:t>
      </w:r>
      <w:r w:rsidRPr="00395593">
        <w:rPr>
          <w:rFonts w:ascii="Garamond" w:hAnsi="Garamond" w:cs="Calibri"/>
          <w:color w:val="000000"/>
          <w:sz w:val="24"/>
          <w:szCs w:val="24"/>
          <w:u w:val="single"/>
          <w:bdr w:val="none" w:sz="0" w:space="0" w:color="auto" w:frame="1"/>
          <w:vertAlign w:val="superscript"/>
        </w:rPr>
        <w:t>o</w:t>
      </w:r>
      <w:r w:rsidRPr="00395593">
        <w:rPr>
          <w:rFonts w:ascii="Garamond" w:hAnsi="Garamond" w:cs="Calibri"/>
          <w:color w:val="000000"/>
          <w:sz w:val="24"/>
          <w:szCs w:val="24"/>
          <w:bdr w:val="none" w:sz="0" w:space="0" w:color="auto" w:frame="1"/>
        </w:rPr>
        <w:t xml:space="preserve"> 12.995, de 18 de junho de 2014, para fins das investigações originais e revisões, poderão ser incorporados aos autos do processo documentos elaborados nos idiomas oficiais da Organização Mundial do Comércio, e, no caso de documentos elaborados em idiomas estrangeiros para os quais não haja tradutor público no Brasil, serão aceitas traduções para o idioma português efetuadas pela representação oficial da origem exportadora no Brasil, desde que acompanhadas de comunicação oficial atestando a autoria da tradução.</w:t>
      </w:r>
    </w:p>
    <w:p w14:paraId="153490C6" w14:textId="77777777" w:rsidR="00E4045A" w:rsidRPr="00395593" w:rsidRDefault="00E4045A" w:rsidP="00E33E26">
      <w:pPr>
        <w:shd w:val="clear" w:color="auto" w:fill="FFFFFF"/>
        <w:ind w:firstLine="567"/>
        <w:jc w:val="both"/>
        <w:rPr>
          <w:rFonts w:ascii="Garamond" w:hAnsi="Garamond" w:cs="Calibri"/>
          <w:color w:val="000000"/>
          <w:sz w:val="24"/>
          <w:szCs w:val="24"/>
        </w:rPr>
      </w:pPr>
      <w:r w:rsidRPr="00395593">
        <w:rPr>
          <w:rFonts w:ascii="Garamond" w:hAnsi="Garamond" w:cs="Calibri"/>
          <w:color w:val="000000"/>
          <w:sz w:val="24"/>
          <w:szCs w:val="24"/>
          <w:bdr w:val="none" w:sz="0" w:space="0" w:color="auto" w:frame="1"/>
        </w:rPr>
        <w:t xml:space="preserve">§ 1º Respeitado o previsto no </w:t>
      </w:r>
      <w:r w:rsidRPr="00395593">
        <w:rPr>
          <w:rFonts w:ascii="Garamond" w:hAnsi="Garamond" w:cs="Calibri"/>
          <w:i/>
          <w:color w:val="000000"/>
          <w:sz w:val="24"/>
          <w:szCs w:val="24"/>
          <w:bdr w:val="none" w:sz="0" w:space="0" w:color="auto" w:frame="1"/>
        </w:rPr>
        <w:t>caput</w:t>
      </w:r>
      <w:r w:rsidRPr="00395593">
        <w:rPr>
          <w:rFonts w:ascii="Garamond" w:hAnsi="Garamond" w:cs="Calibri"/>
          <w:color w:val="000000"/>
          <w:sz w:val="24"/>
          <w:szCs w:val="24"/>
          <w:bdr w:val="none" w:sz="0" w:space="0" w:color="auto" w:frame="1"/>
        </w:rPr>
        <w:t xml:space="preserve"> deste artigo e a critério da Subsecretaria de Defesa Comercial e Interesse Público, serão igualmente aceitas nos autos restritos das investigações originais e revisões:</w:t>
      </w:r>
    </w:p>
    <w:p w14:paraId="1CA2B268" w14:textId="77777777" w:rsidR="00E4045A" w:rsidRPr="00395593" w:rsidRDefault="00E4045A" w:rsidP="00E33E26">
      <w:pPr>
        <w:shd w:val="clear" w:color="auto" w:fill="FFFFFF"/>
        <w:ind w:firstLine="567"/>
        <w:jc w:val="both"/>
        <w:rPr>
          <w:rFonts w:ascii="Garamond" w:hAnsi="Garamond" w:cs="Calibri"/>
          <w:color w:val="000000"/>
          <w:sz w:val="24"/>
          <w:szCs w:val="24"/>
        </w:rPr>
      </w:pPr>
      <w:r w:rsidRPr="00395593">
        <w:rPr>
          <w:rFonts w:ascii="Garamond" w:hAnsi="Garamond" w:cs="Calibri"/>
          <w:color w:val="000000"/>
          <w:sz w:val="24"/>
          <w:szCs w:val="24"/>
          <w:bdr w:val="none" w:sz="0" w:space="0" w:color="auto" w:frame="1"/>
        </w:rPr>
        <w:t>I - traduções para o idioma português efetuadas pela representação oficial do país exportador no Brasil, considerado o país de origem ou de exportação que é parte interessada em processo de defesa comercial, ou pelo próprio representante legal da parte interessada que a apresentar, desde que acompanhadas de comunicação oficial atestando a autoria, fidedignidade e exatidão da tradução; e</w:t>
      </w:r>
    </w:p>
    <w:p w14:paraId="28A2F548" w14:textId="77777777" w:rsidR="00E4045A" w:rsidRPr="00395593" w:rsidRDefault="00E4045A" w:rsidP="00E33E26">
      <w:pPr>
        <w:shd w:val="clear" w:color="auto" w:fill="FFFFFF"/>
        <w:ind w:firstLine="567"/>
        <w:jc w:val="both"/>
        <w:rPr>
          <w:rFonts w:ascii="Garamond" w:hAnsi="Garamond" w:cs="Calibri"/>
          <w:color w:val="000000"/>
          <w:sz w:val="24"/>
          <w:szCs w:val="24"/>
        </w:rPr>
      </w:pPr>
      <w:r w:rsidRPr="00395593">
        <w:rPr>
          <w:rFonts w:ascii="Garamond" w:hAnsi="Garamond" w:cs="Calibri"/>
          <w:color w:val="000000"/>
          <w:sz w:val="24"/>
          <w:szCs w:val="24"/>
          <w:bdr w:val="none" w:sz="0" w:space="0" w:color="auto" w:frame="1"/>
        </w:rPr>
        <w:t>II - documentação nos idiomas oficiais da Organização Mundial do Comércio obtida diretamente de sítio governamental oficial ou outras fontes fiáveis e isentas, como bancos de textos legais ou o sítio eletrônico da Organização Mundial do Comércio;</w:t>
      </w:r>
    </w:p>
    <w:p w14:paraId="0EA89929" w14:textId="77777777" w:rsidR="00E4045A" w:rsidRPr="00395593" w:rsidRDefault="00E4045A" w:rsidP="00E33E26">
      <w:pPr>
        <w:shd w:val="clear" w:color="auto" w:fill="FFFFFF"/>
        <w:ind w:firstLine="567"/>
        <w:jc w:val="both"/>
        <w:rPr>
          <w:rFonts w:ascii="Garamond" w:hAnsi="Garamond" w:cs="Calibri"/>
          <w:color w:val="000000"/>
          <w:sz w:val="24"/>
          <w:szCs w:val="24"/>
        </w:rPr>
      </w:pPr>
      <w:r w:rsidRPr="00395593">
        <w:rPr>
          <w:rFonts w:ascii="Garamond" w:hAnsi="Garamond" w:cs="Calibri"/>
          <w:color w:val="000000"/>
          <w:sz w:val="24"/>
          <w:szCs w:val="24"/>
          <w:bdr w:val="none" w:sz="0" w:space="0" w:color="auto" w:frame="1"/>
        </w:rPr>
        <w:t>§ 2º No caso de documentos elaborados em idiomas estrangeiros para os quais não haja tradutor público no Brasil, serão aceitas nos autos confidenciais e restritos traduções para o idioma português efetuadas pela representação oficial do país exportador no Brasil, considerado o país de origem ou de exportação que é parte interessada em processo de defesa comercial, desde que acompanhadas de comunicação oficial atestando a autoria, fidedignidade e exatidão da tradução;</w:t>
      </w:r>
    </w:p>
    <w:p w14:paraId="750870BD" w14:textId="77777777" w:rsidR="00E4045A" w:rsidRPr="00395593" w:rsidRDefault="00E4045A" w:rsidP="00E33E26">
      <w:pPr>
        <w:shd w:val="clear" w:color="auto" w:fill="FFFFFF"/>
        <w:ind w:firstLine="567"/>
        <w:jc w:val="both"/>
        <w:rPr>
          <w:rFonts w:ascii="Garamond" w:hAnsi="Garamond" w:cs="Calibri"/>
          <w:color w:val="000000"/>
          <w:sz w:val="24"/>
          <w:szCs w:val="24"/>
        </w:rPr>
      </w:pPr>
      <w:r w:rsidRPr="00395593">
        <w:rPr>
          <w:rFonts w:ascii="Garamond" w:hAnsi="Garamond" w:cs="Calibri"/>
          <w:color w:val="000000"/>
          <w:sz w:val="24"/>
          <w:szCs w:val="24"/>
          <w:bdr w:val="none" w:sz="0" w:space="0" w:color="auto" w:frame="1"/>
        </w:rPr>
        <w:t>§ 3º As submissões realizadas com base no § 1º deverão, sob risco de não aceitação:</w:t>
      </w:r>
    </w:p>
    <w:p w14:paraId="5FDA015D" w14:textId="77777777" w:rsidR="00E4045A" w:rsidRPr="00395593" w:rsidRDefault="00E4045A" w:rsidP="00E33E26">
      <w:pPr>
        <w:shd w:val="clear" w:color="auto" w:fill="FFFFFF"/>
        <w:ind w:firstLine="567"/>
        <w:jc w:val="both"/>
        <w:rPr>
          <w:rFonts w:ascii="Garamond" w:hAnsi="Garamond" w:cs="Calibri"/>
          <w:color w:val="000000"/>
          <w:sz w:val="24"/>
          <w:szCs w:val="24"/>
        </w:rPr>
      </w:pPr>
      <w:r w:rsidRPr="00395593">
        <w:rPr>
          <w:rFonts w:ascii="Garamond" w:hAnsi="Garamond" w:cs="Calibri"/>
          <w:color w:val="000000"/>
          <w:sz w:val="24"/>
          <w:szCs w:val="24"/>
          <w:bdr w:val="none" w:sz="0" w:space="0" w:color="auto" w:frame="1"/>
        </w:rPr>
        <w:t>I - ser anexadas aos autos restritos da investigação, de modo a permitir o contraditório das demais partes interessadas;</w:t>
      </w:r>
    </w:p>
    <w:p w14:paraId="49732C9E" w14:textId="77777777" w:rsidR="00E4045A" w:rsidRPr="00395593" w:rsidRDefault="00E4045A" w:rsidP="00E33E26">
      <w:pPr>
        <w:shd w:val="clear" w:color="auto" w:fill="FFFFFF"/>
        <w:ind w:firstLine="567"/>
        <w:jc w:val="both"/>
        <w:rPr>
          <w:rFonts w:ascii="Garamond" w:hAnsi="Garamond" w:cs="Calibri"/>
          <w:color w:val="000000"/>
          <w:sz w:val="24"/>
          <w:szCs w:val="24"/>
        </w:rPr>
      </w:pPr>
      <w:r w:rsidRPr="00395593">
        <w:rPr>
          <w:rFonts w:ascii="Garamond" w:hAnsi="Garamond" w:cs="Calibri"/>
          <w:color w:val="000000"/>
          <w:sz w:val="24"/>
          <w:szCs w:val="24"/>
          <w:bdr w:val="none" w:sz="0" w:space="0" w:color="auto" w:frame="1"/>
        </w:rPr>
        <w:t>II - indicar de forma clara e verificável as fontes da documentação apresentada; e</w:t>
      </w:r>
    </w:p>
    <w:p w14:paraId="62838F73" w14:textId="77777777" w:rsidR="00E4045A" w:rsidRPr="00395593" w:rsidRDefault="00E4045A" w:rsidP="00E33E26">
      <w:pPr>
        <w:shd w:val="clear" w:color="auto" w:fill="FFFFFF"/>
        <w:ind w:firstLine="567"/>
        <w:jc w:val="both"/>
        <w:rPr>
          <w:rFonts w:ascii="Garamond" w:hAnsi="Garamond" w:cs="Calibri"/>
          <w:color w:val="000000"/>
          <w:sz w:val="24"/>
          <w:szCs w:val="24"/>
        </w:rPr>
      </w:pPr>
      <w:r w:rsidRPr="00395593">
        <w:rPr>
          <w:rFonts w:ascii="Garamond" w:hAnsi="Garamond" w:cs="Calibri"/>
          <w:color w:val="000000"/>
          <w:sz w:val="24"/>
          <w:szCs w:val="24"/>
          <w:bdr w:val="none" w:sz="0" w:space="0" w:color="auto" w:frame="1"/>
        </w:rPr>
        <w:t>III - ser acompanhadas do inteiro teor do documento em sua língua original em formato digital pesquisável e editável com uso de reconhecimento de caracteres, de forma que seja passível de análise facilitada pelas demais partes interessadas.</w:t>
      </w:r>
    </w:p>
    <w:p w14:paraId="6C2317C0" w14:textId="77777777" w:rsidR="00E4045A" w:rsidRPr="00395593" w:rsidRDefault="00E4045A" w:rsidP="00E33E26">
      <w:pPr>
        <w:shd w:val="clear" w:color="auto" w:fill="FFFFFF"/>
        <w:ind w:firstLine="567"/>
        <w:jc w:val="both"/>
        <w:rPr>
          <w:rFonts w:ascii="Garamond" w:hAnsi="Garamond" w:cs="Calibri"/>
          <w:color w:val="000000"/>
          <w:sz w:val="24"/>
          <w:szCs w:val="24"/>
        </w:rPr>
      </w:pPr>
      <w:r w:rsidRPr="00395593">
        <w:rPr>
          <w:rFonts w:ascii="Garamond" w:hAnsi="Garamond" w:cs="Calibri"/>
          <w:color w:val="000000"/>
          <w:sz w:val="24"/>
          <w:szCs w:val="24"/>
          <w:bdr w:val="none" w:sz="0" w:space="0" w:color="auto" w:frame="1"/>
        </w:rPr>
        <w:t>§ 4º Será presumida a conformidade dos documentos submetidos com base neste artigo, sendo que a Subsecretaria de Defesa Comercial e Interesse Público ou qualquer parte interessada podem impugnar as submissões em decorrência de:</w:t>
      </w:r>
    </w:p>
    <w:p w14:paraId="19530CF3" w14:textId="77777777" w:rsidR="00E4045A" w:rsidRPr="00395593" w:rsidRDefault="00E4045A" w:rsidP="00E33E26">
      <w:pPr>
        <w:shd w:val="clear" w:color="auto" w:fill="FFFFFF"/>
        <w:ind w:firstLine="567"/>
        <w:jc w:val="both"/>
        <w:rPr>
          <w:rFonts w:ascii="Garamond" w:hAnsi="Garamond" w:cs="Calibri"/>
          <w:color w:val="000000"/>
          <w:sz w:val="24"/>
          <w:szCs w:val="24"/>
        </w:rPr>
      </w:pPr>
      <w:r w:rsidRPr="00395593">
        <w:rPr>
          <w:rFonts w:ascii="Garamond" w:hAnsi="Garamond" w:cs="Calibri"/>
          <w:color w:val="000000"/>
          <w:sz w:val="24"/>
          <w:szCs w:val="24"/>
          <w:bdr w:val="none" w:sz="0" w:space="0" w:color="auto" w:frame="1"/>
        </w:rPr>
        <w:t>I - descumprimento dos requisitos formais apontados neste artigo; ou</w:t>
      </w:r>
    </w:p>
    <w:p w14:paraId="222484D8" w14:textId="77777777" w:rsidR="00E4045A" w:rsidRPr="00395593" w:rsidRDefault="00E4045A" w:rsidP="00E33E26">
      <w:pPr>
        <w:shd w:val="clear" w:color="auto" w:fill="FFFFFF"/>
        <w:ind w:firstLine="567"/>
        <w:jc w:val="both"/>
        <w:rPr>
          <w:rFonts w:ascii="Garamond" w:hAnsi="Garamond" w:cs="Calibri"/>
          <w:color w:val="000000"/>
          <w:sz w:val="24"/>
          <w:szCs w:val="24"/>
        </w:rPr>
      </w:pPr>
      <w:r w:rsidRPr="00395593">
        <w:rPr>
          <w:rFonts w:ascii="Garamond" w:hAnsi="Garamond" w:cs="Calibri"/>
          <w:color w:val="000000"/>
          <w:sz w:val="24"/>
          <w:szCs w:val="24"/>
          <w:bdr w:val="none" w:sz="0" w:space="0" w:color="auto" w:frame="1"/>
        </w:rPr>
        <w:t>II - ausência de fidedignidade ou inexatidão dos documentos apresentados, desde que devidamente justificada e acompanhada dos elementos de prova necessários.</w:t>
      </w:r>
    </w:p>
    <w:p w14:paraId="6E091FA4" w14:textId="77777777" w:rsidR="00E4045A" w:rsidRPr="00395593" w:rsidRDefault="00E4045A" w:rsidP="00E33E26">
      <w:pPr>
        <w:shd w:val="clear" w:color="auto" w:fill="FFFFFF"/>
        <w:ind w:firstLine="567"/>
        <w:jc w:val="both"/>
        <w:rPr>
          <w:rFonts w:ascii="Garamond" w:hAnsi="Garamond" w:cs="Calibri"/>
          <w:color w:val="000000"/>
          <w:sz w:val="24"/>
          <w:szCs w:val="24"/>
        </w:rPr>
      </w:pPr>
      <w:r w:rsidRPr="00395593">
        <w:rPr>
          <w:rFonts w:ascii="Garamond" w:hAnsi="Garamond" w:cs="Calibri"/>
          <w:color w:val="000000"/>
          <w:sz w:val="24"/>
          <w:szCs w:val="24"/>
          <w:bdr w:val="none" w:sz="0" w:space="0" w:color="auto" w:frame="1"/>
        </w:rPr>
        <w:t>§ 5º Constatada não fidedignidade ou inexatidão nas informações prestadas ou contidas nos documentos apresentados à Subsecretaria de Defesa Comercial e Interesse Público, a parte interessada será instada a apresentar tradução firmada por tradutor público no Brasil, sob pena de utilização da melhor informação disponível nos autos.</w:t>
      </w:r>
    </w:p>
    <w:p w14:paraId="0ED03BE8" w14:textId="77777777" w:rsidR="00395593" w:rsidRPr="00395593" w:rsidRDefault="00E4045A" w:rsidP="00E33E26">
      <w:pPr>
        <w:shd w:val="clear" w:color="auto" w:fill="FFFFFF"/>
        <w:ind w:firstLine="567"/>
        <w:jc w:val="both"/>
        <w:rPr>
          <w:rFonts w:ascii="Garamond" w:hAnsi="Garamond" w:cs="Calibri"/>
          <w:color w:val="000000"/>
          <w:sz w:val="24"/>
          <w:szCs w:val="24"/>
          <w:bdr w:val="none" w:sz="0" w:space="0" w:color="auto" w:frame="1"/>
        </w:rPr>
      </w:pPr>
      <w:r w:rsidRPr="00395593">
        <w:rPr>
          <w:rFonts w:ascii="Garamond" w:hAnsi="Garamond" w:cs="Calibri"/>
          <w:color w:val="000000"/>
          <w:sz w:val="24"/>
          <w:szCs w:val="24"/>
          <w:bdr w:val="none" w:sz="0" w:space="0" w:color="auto" w:frame="1"/>
        </w:rPr>
        <w:t>§ 6º Constatado dolo na utilização inadequada do previsto no § 1º, será utilizada a melhor informação disponível, e as partes interessadas e seus representantes legais poderão ser responsabilizadas perante as esferas administrativa e judicial.</w:t>
      </w:r>
    </w:p>
    <w:p w14:paraId="32B7BED3" w14:textId="4DA00442" w:rsidR="00E4045A" w:rsidRPr="00395593" w:rsidRDefault="00E4045A" w:rsidP="004136FD">
      <w:pPr>
        <w:spacing w:after="0" w:line="240" w:lineRule="auto"/>
        <w:jc w:val="center"/>
        <w:rPr>
          <w:rFonts w:ascii="Garamond" w:hAnsi="Garamond" w:cs="Calibri"/>
          <w:b/>
          <w:color w:val="000000"/>
          <w:sz w:val="24"/>
          <w:szCs w:val="24"/>
        </w:rPr>
      </w:pPr>
      <w:r w:rsidRPr="00395593">
        <w:rPr>
          <w:rFonts w:ascii="Garamond" w:hAnsi="Garamond" w:cs="Calibri"/>
          <w:b/>
          <w:color w:val="000000"/>
          <w:sz w:val="24"/>
          <w:szCs w:val="24"/>
        </w:rPr>
        <w:t>CAPÍTULO XIII</w:t>
      </w:r>
    </w:p>
    <w:p w14:paraId="4E206098" w14:textId="77777777" w:rsidR="00E4045A" w:rsidRPr="00395593" w:rsidRDefault="00E4045A" w:rsidP="00E33E26">
      <w:pPr>
        <w:jc w:val="center"/>
        <w:rPr>
          <w:rFonts w:ascii="Garamond" w:hAnsi="Garamond" w:cs="Calibri"/>
          <w:b/>
          <w:color w:val="000000"/>
          <w:sz w:val="24"/>
          <w:szCs w:val="24"/>
        </w:rPr>
      </w:pPr>
      <w:r w:rsidRPr="00395593">
        <w:rPr>
          <w:rFonts w:ascii="Garamond" w:hAnsi="Garamond" w:cs="Calibri"/>
          <w:b/>
          <w:color w:val="000000"/>
          <w:sz w:val="24"/>
          <w:szCs w:val="24"/>
        </w:rPr>
        <w:t>DAS DISPOSIÇÕES FINAIS</w:t>
      </w:r>
    </w:p>
    <w:p w14:paraId="4B268D0C" w14:textId="77777777" w:rsidR="00E4045A" w:rsidRPr="00395593" w:rsidRDefault="00E4045A" w:rsidP="00E33E26">
      <w:pPr>
        <w:pStyle w:val="textojustificadorecuoprimeiralinha"/>
        <w:spacing w:before="0" w:beforeAutospacing="0" w:after="0" w:afterAutospacing="0"/>
        <w:ind w:firstLine="567"/>
        <w:jc w:val="both"/>
        <w:rPr>
          <w:rFonts w:ascii="Garamond" w:hAnsi="Garamond" w:cs="Calibri"/>
          <w:color w:val="000000"/>
        </w:rPr>
      </w:pPr>
    </w:p>
    <w:p w14:paraId="20FDD96E" w14:textId="77777777" w:rsidR="00E4045A" w:rsidRPr="00395593" w:rsidRDefault="00E4045A" w:rsidP="00E33E26">
      <w:pPr>
        <w:pStyle w:val="textojustificadorecuoprimeiralinha"/>
        <w:spacing w:before="0" w:beforeAutospacing="0" w:after="0" w:afterAutospacing="0"/>
        <w:ind w:firstLine="567"/>
        <w:jc w:val="both"/>
        <w:rPr>
          <w:rFonts w:ascii="Garamond" w:hAnsi="Garamond" w:cs="Calibri"/>
          <w:color w:val="000000"/>
        </w:rPr>
      </w:pPr>
      <w:r w:rsidRPr="00395593">
        <w:rPr>
          <w:rFonts w:ascii="Garamond" w:hAnsi="Garamond" w:cs="Calibri"/>
          <w:color w:val="000000"/>
        </w:rPr>
        <w:t>Art. 386. Ficam revogadas:</w:t>
      </w:r>
    </w:p>
    <w:p w14:paraId="458B2328" w14:textId="77777777" w:rsidR="00E4045A" w:rsidRPr="00395593" w:rsidRDefault="00E4045A" w:rsidP="00E33E26">
      <w:pPr>
        <w:pStyle w:val="textojustificadorecuoprimeiralinha"/>
        <w:spacing w:before="0" w:beforeAutospacing="0" w:after="0" w:afterAutospacing="0"/>
        <w:ind w:firstLine="567"/>
        <w:jc w:val="both"/>
        <w:rPr>
          <w:rFonts w:ascii="Garamond" w:hAnsi="Garamond" w:cs="Calibri"/>
          <w:color w:val="000000"/>
        </w:rPr>
      </w:pPr>
      <w:r w:rsidRPr="00395593">
        <w:rPr>
          <w:rFonts w:ascii="Garamond" w:hAnsi="Garamond" w:cs="Calibri"/>
          <w:color w:val="000000"/>
        </w:rPr>
        <w:t>I – a Portaria SECEX Nº 36, de 18 de setembro de 2013, publicada no Diário Oficial da União de 19 de setembro de 2013;</w:t>
      </w:r>
    </w:p>
    <w:p w14:paraId="05D09957" w14:textId="77777777" w:rsidR="00E4045A" w:rsidRPr="00395593" w:rsidRDefault="00E4045A" w:rsidP="00E33E26">
      <w:pPr>
        <w:pStyle w:val="textojustificadorecuoprimeiralinha"/>
        <w:spacing w:before="0" w:beforeAutospacing="0" w:after="0" w:afterAutospacing="0"/>
        <w:ind w:firstLine="567"/>
        <w:jc w:val="both"/>
        <w:rPr>
          <w:rFonts w:ascii="Garamond" w:hAnsi="Garamond" w:cs="Calibri"/>
          <w:color w:val="000000"/>
        </w:rPr>
      </w:pPr>
      <w:r w:rsidRPr="00395593">
        <w:rPr>
          <w:rFonts w:ascii="Garamond" w:hAnsi="Garamond" w:cs="Calibri"/>
          <w:color w:val="000000"/>
        </w:rPr>
        <w:t xml:space="preserve">II - a Portarias SECEX Nº 41, de 11 de outubro de 2013, publicada no Diário Oficial da União de 14 de outubro de 2013; </w:t>
      </w:r>
    </w:p>
    <w:p w14:paraId="2E974FFC" w14:textId="77777777" w:rsidR="00E4045A" w:rsidRPr="00395593" w:rsidRDefault="00E4045A" w:rsidP="00E33E26">
      <w:pPr>
        <w:pStyle w:val="textojustificadorecuoprimeiralinha"/>
        <w:spacing w:before="0" w:beforeAutospacing="0" w:after="0" w:afterAutospacing="0"/>
        <w:ind w:firstLine="567"/>
        <w:jc w:val="both"/>
        <w:rPr>
          <w:rFonts w:ascii="Garamond" w:hAnsi="Garamond" w:cs="Calibri"/>
          <w:color w:val="000000"/>
        </w:rPr>
      </w:pPr>
      <w:r w:rsidRPr="00395593">
        <w:rPr>
          <w:rFonts w:ascii="Garamond" w:hAnsi="Garamond" w:cs="Calibri"/>
          <w:color w:val="000000"/>
        </w:rPr>
        <w:t>III – a Portaria SECEX Nº 42, de 17 de outubro de 2013, publicada no Diário Oficial da União de 18 de outubro de 2013;</w:t>
      </w:r>
    </w:p>
    <w:p w14:paraId="7DE444EB" w14:textId="77777777" w:rsidR="00E4045A" w:rsidRPr="00395593" w:rsidRDefault="00E4045A" w:rsidP="00E33E26">
      <w:pPr>
        <w:pStyle w:val="textojustificadorecuoprimeiralinha"/>
        <w:spacing w:before="0" w:beforeAutospacing="0" w:after="0" w:afterAutospacing="0"/>
        <w:ind w:firstLine="567"/>
        <w:jc w:val="both"/>
        <w:rPr>
          <w:rFonts w:ascii="Garamond" w:hAnsi="Garamond" w:cs="Calibri"/>
          <w:color w:val="000000"/>
        </w:rPr>
      </w:pPr>
      <w:r w:rsidRPr="00395593">
        <w:rPr>
          <w:rFonts w:ascii="Garamond" w:hAnsi="Garamond" w:cs="Calibri"/>
          <w:color w:val="000000"/>
        </w:rPr>
        <w:t>IV – Portaria SECEX Nº 44, de 29 de outubro de 2013, publicada no Diário Oficial da União de 30 de outubro de 2013;</w:t>
      </w:r>
    </w:p>
    <w:p w14:paraId="3934EB6D" w14:textId="77777777" w:rsidR="00E4045A" w:rsidRPr="00395593" w:rsidRDefault="00E4045A" w:rsidP="00E33E26">
      <w:pPr>
        <w:pStyle w:val="textojustificadorecuoprimeiralinha"/>
        <w:spacing w:before="0" w:beforeAutospacing="0" w:after="0" w:afterAutospacing="0"/>
        <w:ind w:firstLine="567"/>
        <w:jc w:val="both"/>
        <w:rPr>
          <w:rFonts w:ascii="Garamond" w:hAnsi="Garamond" w:cs="Calibri"/>
          <w:color w:val="000000"/>
        </w:rPr>
      </w:pPr>
      <w:r w:rsidRPr="00395593">
        <w:rPr>
          <w:rFonts w:ascii="Garamond" w:hAnsi="Garamond" w:cs="Calibri"/>
          <w:color w:val="000000"/>
        </w:rPr>
        <w:t>V – a Portaria SECEX Nº 42, de 14 de setembro de 2016, publicada no Diário Oficial da União de 15 de setembro de 2106;</w:t>
      </w:r>
    </w:p>
    <w:p w14:paraId="3E387868" w14:textId="77777777" w:rsidR="00E4045A" w:rsidRPr="00395593" w:rsidRDefault="00E4045A" w:rsidP="00E33E26">
      <w:pPr>
        <w:pStyle w:val="textojustificadorecuoprimeiralinha"/>
        <w:spacing w:before="0" w:beforeAutospacing="0" w:after="0" w:afterAutospacing="0"/>
        <w:ind w:firstLine="567"/>
        <w:jc w:val="both"/>
        <w:rPr>
          <w:rFonts w:ascii="Garamond" w:hAnsi="Garamond" w:cs="Calibri"/>
          <w:color w:val="000000"/>
        </w:rPr>
      </w:pPr>
      <w:r w:rsidRPr="00395593">
        <w:rPr>
          <w:rFonts w:ascii="Garamond" w:hAnsi="Garamond" w:cs="Calibri"/>
          <w:color w:val="000000"/>
        </w:rPr>
        <w:t>VI – a Portaria SECEX Nº 72, de 19 de dezembro de 2018, publicada no Diário Oficial da União de 20 de dezembro de 2018;</w:t>
      </w:r>
    </w:p>
    <w:p w14:paraId="17701662" w14:textId="77777777" w:rsidR="00E4045A" w:rsidRPr="00395593" w:rsidRDefault="00E4045A" w:rsidP="00E33E26">
      <w:pPr>
        <w:pStyle w:val="textojustificadorecuoprimeiralinha"/>
        <w:spacing w:before="0" w:beforeAutospacing="0" w:after="0" w:afterAutospacing="0"/>
        <w:ind w:firstLine="567"/>
        <w:jc w:val="both"/>
        <w:rPr>
          <w:rFonts w:ascii="Garamond" w:hAnsi="Garamond" w:cs="Calibri"/>
          <w:color w:val="000000"/>
        </w:rPr>
      </w:pPr>
      <w:r w:rsidRPr="00395593">
        <w:rPr>
          <w:rFonts w:ascii="Garamond" w:hAnsi="Garamond" w:cs="Calibri"/>
          <w:color w:val="000000"/>
        </w:rPr>
        <w:t>VII – a Portaria SECEX Nº 151, de 26 de novembro de 2021, publicada no Diário Oficial da União de 29 de novembro de 2021;</w:t>
      </w:r>
    </w:p>
    <w:p w14:paraId="421776F5" w14:textId="77777777" w:rsidR="00E4045A" w:rsidRPr="00395593" w:rsidRDefault="00E4045A" w:rsidP="00E33E26">
      <w:pPr>
        <w:pStyle w:val="textojustificadorecuoprimeiralinha"/>
        <w:spacing w:before="0" w:beforeAutospacing="0" w:after="0" w:afterAutospacing="0"/>
        <w:ind w:firstLine="567"/>
        <w:jc w:val="both"/>
        <w:rPr>
          <w:rFonts w:ascii="Garamond" w:hAnsi="Garamond" w:cs="Calibri"/>
          <w:color w:val="000000"/>
        </w:rPr>
      </w:pPr>
      <w:r w:rsidRPr="00395593">
        <w:rPr>
          <w:rFonts w:ascii="Garamond" w:hAnsi="Garamond" w:cs="Calibri"/>
          <w:color w:val="000000"/>
        </w:rPr>
        <w:t>VII – a Portaria SECEX Nº 152, de 26 de novembro de 2021, publicada no Diário Oficial da União de 29 de novembro de 2021; e</w:t>
      </w:r>
    </w:p>
    <w:p w14:paraId="193B682D" w14:textId="77777777" w:rsidR="00E4045A" w:rsidRPr="00395593" w:rsidRDefault="00E4045A" w:rsidP="00E33E26">
      <w:pPr>
        <w:pStyle w:val="textojustificadorecuoprimeiralinha"/>
        <w:spacing w:before="0" w:beforeAutospacing="0" w:after="0" w:afterAutospacing="0"/>
        <w:ind w:firstLine="567"/>
        <w:jc w:val="both"/>
        <w:rPr>
          <w:rFonts w:ascii="Garamond" w:hAnsi="Garamond" w:cs="Calibri"/>
          <w:color w:val="000000"/>
        </w:rPr>
      </w:pPr>
      <w:r w:rsidRPr="00395593">
        <w:rPr>
          <w:rFonts w:ascii="Garamond" w:hAnsi="Garamond" w:cs="Calibri"/>
          <w:color w:val="000000"/>
        </w:rPr>
        <w:t>IX – a Portaria SECEX Nº 153, de 26 de novembro de 2021, publicada no Diário Oficial da União de 29 de novembro de 2021.</w:t>
      </w:r>
    </w:p>
    <w:p w14:paraId="171851A7" w14:textId="77777777" w:rsidR="00E4045A" w:rsidRPr="00395593" w:rsidRDefault="00E4045A" w:rsidP="00E33E26">
      <w:pPr>
        <w:pStyle w:val="textojustificadorecuoprimeiralinha"/>
        <w:spacing w:before="0" w:beforeAutospacing="0" w:after="0" w:afterAutospacing="0"/>
        <w:ind w:firstLine="567"/>
        <w:jc w:val="both"/>
        <w:rPr>
          <w:rFonts w:ascii="Garamond" w:hAnsi="Garamond" w:cs="Calibri"/>
          <w:color w:val="000000"/>
          <w:shd w:val="clear" w:color="auto" w:fill="FFFFFF"/>
        </w:rPr>
      </w:pPr>
      <w:r w:rsidRPr="00395593">
        <w:rPr>
          <w:rFonts w:ascii="Garamond" w:hAnsi="Garamond" w:cs="Calibri"/>
          <w:color w:val="000000"/>
          <w:shd w:val="clear" w:color="auto" w:fill="FFFFFF"/>
        </w:rPr>
        <w:t>Art. 386 Esta Portaria entra em vigor em 01 de março de 2022.</w:t>
      </w:r>
    </w:p>
    <w:p w14:paraId="1B013C33" w14:textId="77777777" w:rsidR="00E4045A" w:rsidRPr="00395593" w:rsidRDefault="00E4045A" w:rsidP="00E33E26">
      <w:pPr>
        <w:pStyle w:val="textojustificadorecuoprimeiralinha"/>
        <w:spacing w:before="0" w:beforeAutospacing="0" w:after="0" w:afterAutospacing="0"/>
        <w:ind w:firstLine="567"/>
        <w:jc w:val="center"/>
        <w:rPr>
          <w:rFonts w:ascii="Garamond" w:hAnsi="Garamond" w:cs="Calibri"/>
          <w:color w:val="000000"/>
          <w:shd w:val="clear" w:color="auto" w:fill="FFFFFF"/>
        </w:rPr>
      </w:pPr>
    </w:p>
    <w:p w14:paraId="196F43C6" w14:textId="77777777" w:rsidR="00E4045A" w:rsidRPr="00395593" w:rsidRDefault="00E4045A" w:rsidP="00E33E26">
      <w:pPr>
        <w:pStyle w:val="textojustificadorecuoprimeiralinha"/>
        <w:spacing w:before="0" w:beforeAutospacing="0" w:after="0" w:afterAutospacing="0"/>
        <w:ind w:firstLine="567"/>
        <w:jc w:val="center"/>
        <w:rPr>
          <w:rFonts w:ascii="Garamond" w:hAnsi="Garamond" w:cs="Calibri"/>
          <w:color w:val="000000"/>
          <w:shd w:val="clear" w:color="auto" w:fill="FFFFFF"/>
        </w:rPr>
      </w:pPr>
    </w:p>
    <w:p w14:paraId="5C87D533" w14:textId="77777777" w:rsidR="00E4045A" w:rsidRPr="00395593" w:rsidRDefault="00E4045A" w:rsidP="00E33E26">
      <w:pPr>
        <w:pStyle w:val="textojustificadorecuoprimeiralinha"/>
        <w:spacing w:before="0" w:beforeAutospacing="0" w:after="0" w:afterAutospacing="0"/>
        <w:ind w:firstLine="567"/>
        <w:jc w:val="center"/>
        <w:rPr>
          <w:rFonts w:ascii="Garamond" w:hAnsi="Garamond" w:cs="Calibri"/>
          <w:color w:val="000000"/>
          <w:shd w:val="clear" w:color="auto" w:fill="FFFFFF"/>
        </w:rPr>
      </w:pPr>
      <w:r w:rsidRPr="00395593">
        <w:rPr>
          <w:rFonts w:ascii="Garamond" w:hAnsi="Garamond" w:cs="Calibri"/>
          <w:color w:val="000000"/>
          <w:shd w:val="clear" w:color="auto" w:fill="FFFFFF"/>
        </w:rPr>
        <w:t>LUCAS FERRAZ</w:t>
      </w:r>
    </w:p>
    <w:p w14:paraId="103DF130" w14:textId="3541FB23" w:rsidR="00BD7B39" w:rsidRPr="00395593" w:rsidRDefault="00BD7B39" w:rsidP="003775F1">
      <w:pPr>
        <w:tabs>
          <w:tab w:val="left" w:pos="2355"/>
        </w:tabs>
        <w:jc w:val="both"/>
        <w:rPr>
          <w:rFonts w:ascii="Garamond" w:hAnsi="Garamond"/>
        </w:rPr>
      </w:pPr>
      <w:r w:rsidRPr="00395593">
        <w:rPr>
          <w:rFonts w:ascii="Garamond" w:hAnsi="Garamond"/>
        </w:rPr>
        <w:tab/>
      </w:r>
    </w:p>
    <w:p w14:paraId="3048A6FD" w14:textId="2997E7B5" w:rsidR="003F035B" w:rsidRPr="00395593" w:rsidRDefault="003F035B" w:rsidP="0097041B">
      <w:pPr>
        <w:jc w:val="both"/>
        <w:rPr>
          <w:rFonts w:ascii="Garamond" w:hAnsi="Garamond"/>
        </w:rPr>
      </w:pPr>
    </w:p>
    <w:p w14:paraId="099B5E32" w14:textId="77777777" w:rsidR="004136FD" w:rsidRDefault="004136FD">
      <w:r>
        <w:br w:type="page"/>
      </w:r>
    </w:p>
    <w:tbl>
      <w:tblPr>
        <w:tblW w:w="5000" w:type="pct"/>
        <w:tblCellMar>
          <w:left w:w="70" w:type="dxa"/>
          <w:right w:w="70" w:type="dxa"/>
        </w:tblCellMar>
        <w:tblLook w:val="04A0" w:firstRow="1" w:lastRow="0" w:firstColumn="1" w:lastColumn="0" w:noHBand="0" w:noVBand="1"/>
      </w:tblPr>
      <w:tblGrid>
        <w:gridCol w:w="984"/>
        <w:gridCol w:w="1632"/>
        <w:gridCol w:w="2185"/>
        <w:gridCol w:w="2262"/>
        <w:gridCol w:w="2179"/>
      </w:tblGrid>
      <w:tr w:rsidR="00676749" w:rsidRPr="00676749" w14:paraId="328A013A" w14:textId="77777777" w:rsidTr="00BF0CF4">
        <w:trPr>
          <w:trHeight w:val="300"/>
        </w:trPr>
        <w:tc>
          <w:tcPr>
            <w:tcW w:w="5000" w:type="pct"/>
            <w:gridSpan w:val="5"/>
            <w:tcBorders>
              <w:top w:val="nil"/>
              <w:left w:val="nil"/>
              <w:bottom w:val="nil"/>
              <w:right w:val="nil"/>
            </w:tcBorders>
            <w:shd w:val="clear" w:color="auto" w:fill="auto"/>
            <w:noWrap/>
            <w:vAlign w:val="bottom"/>
            <w:hideMark/>
          </w:tcPr>
          <w:p w14:paraId="5BB464C0" w14:textId="77777777" w:rsidR="00676749" w:rsidRPr="00676749" w:rsidRDefault="00676749" w:rsidP="00676749">
            <w:pPr>
              <w:keepNext/>
              <w:spacing w:after="0" w:line="240" w:lineRule="auto"/>
              <w:ind w:left="851"/>
              <w:jc w:val="center"/>
              <w:outlineLvl w:val="0"/>
              <w:rPr>
                <w:rFonts w:ascii="Garamond" w:eastAsia="Times New Roman" w:hAnsi="Garamond" w:cs="Calibri"/>
                <w:b/>
                <w:spacing w:val="20"/>
                <w:sz w:val="24"/>
                <w:szCs w:val="24"/>
                <w:lang w:eastAsia="pt-BR"/>
              </w:rPr>
            </w:pPr>
            <w:bookmarkStart w:id="139" w:name="RANGE!A1:E10"/>
            <w:r w:rsidRPr="00676749">
              <w:rPr>
                <w:rFonts w:ascii="Garamond" w:eastAsia="Times New Roman" w:hAnsi="Garamond" w:cs="Calibri"/>
                <w:b/>
                <w:spacing w:val="20"/>
                <w:sz w:val="24"/>
                <w:szCs w:val="24"/>
                <w:lang w:eastAsia="pt-BR"/>
              </w:rPr>
              <w:t>APÊNDICE I</w:t>
            </w:r>
            <w:bookmarkEnd w:id="139"/>
          </w:p>
        </w:tc>
      </w:tr>
      <w:tr w:rsidR="00676749" w:rsidRPr="00676749" w14:paraId="73B39188" w14:textId="77777777" w:rsidTr="00BF0CF4">
        <w:trPr>
          <w:trHeight w:val="300"/>
        </w:trPr>
        <w:tc>
          <w:tcPr>
            <w:tcW w:w="5000" w:type="pct"/>
            <w:gridSpan w:val="5"/>
            <w:tcBorders>
              <w:top w:val="nil"/>
              <w:left w:val="nil"/>
              <w:bottom w:val="nil"/>
              <w:right w:val="nil"/>
            </w:tcBorders>
            <w:shd w:val="clear" w:color="auto" w:fill="auto"/>
            <w:noWrap/>
            <w:vAlign w:val="bottom"/>
            <w:hideMark/>
          </w:tcPr>
          <w:p w14:paraId="735DE1FD" w14:textId="77777777" w:rsidR="00676749" w:rsidRPr="00676749" w:rsidRDefault="00676749" w:rsidP="00676749">
            <w:pPr>
              <w:spacing w:after="0" w:line="240" w:lineRule="auto"/>
              <w:jc w:val="center"/>
              <w:rPr>
                <w:rFonts w:ascii="Garamond" w:eastAsia="Times New Roman" w:hAnsi="Garamond" w:cs="Calibri"/>
                <w:b/>
                <w:sz w:val="24"/>
                <w:szCs w:val="24"/>
                <w:lang w:eastAsia="pt-BR"/>
              </w:rPr>
            </w:pPr>
            <w:r w:rsidRPr="00676749">
              <w:rPr>
                <w:rFonts w:ascii="Garamond" w:eastAsia="Times New Roman" w:hAnsi="Garamond" w:cs="Calibri"/>
                <w:b/>
                <w:sz w:val="24"/>
                <w:szCs w:val="24"/>
                <w:lang w:eastAsia="pt-BR"/>
              </w:rPr>
              <w:t>APOIO DA INDÚSTRIA DOMÉSTICA À PETIÇÃO</w:t>
            </w:r>
          </w:p>
        </w:tc>
      </w:tr>
      <w:tr w:rsidR="00676749" w:rsidRPr="00676749" w14:paraId="379DA415" w14:textId="77777777" w:rsidTr="00BF0CF4">
        <w:trPr>
          <w:trHeight w:val="300"/>
        </w:trPr>
        <w:tc>
          <w:tcPr>
            <w:tcW w:w="532" w:type="pct"/>
            <w:tcBorders>
              <w:top w:val="nil"/>
              <w:left w:val="nil"/>
              <w:bottom w:val="nil"/>
              <w:right w:val="nil"/>
            </w:tcBorders>
            <w:shd w:val="clear" w:color="auto" w:fill="auto"/>
            <w:noWrap/>
            <w:vAlign w:val="bottom"/>
            <w:hideMark/>
          </w:tcPr>
          <w:p w14:paraId="4AE2FA87" w14:textId="77777777" w:rsidR="00676749" w:rsidRPr="00676749" w:rsidRDefault="00676749" w:rsidP="00676749">
            <w:pPr>
              <w:spacing w:after="0" w:line="240" w:lineRule="auto"/>
              <w:rPr>
                <w:rFonts w:ascii="Garamond" w:eastAsia="Times New Roman" w:hAnsi="Garamond" w:cs="Calibri"/>
                <w:color w:val="000000"/>
                <w:sz w:val="24"/>
                <w:szCs w:val="24"/>
                <w:lang w:eastAsia="pt-BR"/>
              </w:rPr>
            </w:pPr>
          </w:p>
        </w:tc>
        <w:tc>
          <w:tcPr>
            <w:tcW w:w="883" w:type="pct"/>
            <w:tcBorders>
              <w:top w:val="nil"/>
              <w:left w:val="nil"/>
              <w:bottom w:val="nil"/>
              <w:right w:val="nil"/>
            </w:tcBorders>
            <w:shd w:val="clear" w:color="auto" w:fill="auto"/>
            <w:noWrap/>
            <w:vAlign w:val="bottom"/>
            <w:hideMark/>
          </w:tcPr>
          <w:p w14:paraId="00B1EB15" w14:textId="77777777" w:rsidR="00676749" w:rsidRPr="00676749" w:rsidRDefault="00676749" w:rsidP="00676749">
            <w:pPr>
              <w:spacing w:after="0" w:line="240" w:lineRule="auto"/>
              <w:rPr>
                <w:rFonts w:ascii="Garamond" w:eastAsia="Times New Roman" w:hAnsi="Garamond" w:cs="Calibri"/>
                <w:color w:val="000000"/>
                <w:sz w:val="24"/>
                <w:szCs w:val="24"/>
                <w:lang w:eastAsia="pt-BR"/>
              </w:rPr>
            </w:pPr>
          </w:p>
        </w:tc>
        <w:tc>
          <w:tcPr>
            <w:tcW w:w="1182" w:type="pct"/>
            <w:tcBorders>
              <w:top w:val="nil"/>
              <w:left w:val="nil"/>
              <w:bottom w:val="nil"/>
              <w:right w:val="nil"/>
            </w:tcBorders>
            <w:shd w:val="clear" w:color="auto" w:fill="auto"/>
            <w:noWrap/>
            <w:vAlign w:val="bottom"/>
            <w:hideMark/>
          </w:tcPr>
          <w:p w14:paraId="44943688" w14:textId="77777777" w:rsidR="00676749" w:rsidRPr="00676749" w:rsidRDefault="00676749" w:rsidP="00676749">
            <w:pPr>
              <w:spacing w:after="0" w:line="240" w:lineRule="auto"/>
              <w:rPr>
                <w:rFonts w:ascii="Garamond" w:eastAsia="Times New Roman" w:hAnsi="Garamond" w:cs="Calibri"/>
                <w:color w:val="000000"/>
                <w:sz w:val="24"/>
                <w:szCs w:val="24"/>
                <w:lang w:eastAsia="pt-BR"/>
              </w:rPr>
            </w:pPr>
          </w:p>
        </w:tc>
        <w:tc>
          <w:tcPr>
            <w:tcW w:w="1224" w:type="pct"/>
            <w:tcBorders>
              <w:top w:val="nil"/>
              <w:left w:val="nil"/>
              <w:bottom w:val="nil"/>
              <w:right w:val="nil"/>
            </w:tcBorders>
            <w:shd w:val="clear" w:color="auto" w:fill="auto"/>
            <w:noWrap/>
            <w:vAlign w:val="bottom"/>
            <w:hideMark/>
          </w:tcPr>
          <w:p w14:paraId="04FCD834" w14:textId="77777777" w:rsidR="00676749" w:rsidRPr="00676749" w:rsidRDefault="00676749" w:rsidP="00676749">
            <w:pPr>
              <w:spacing w:after="0" w:line="240" w:lineRule="auto"/>
              <w:rPr>
                <w:rFonts w:ascii="Garamond" w:eastAsia="Times New Roman" w:hAnsi="Garamond" w:cs="Calibri"/>
                <w:color w:val="000000"/>
                <w:sz w:val="24"/>
                <w:szCs w:val="24"/>
                <w:lang w:eastAsia="pt-BR"/>
              </w:rPr>
            </w:pPr>
          </w:p>
        </w:tc>
        <w:tc>
          <w:tcPr>
            <w:tcW w:w="1180" w:type="pct"/>
            <w:tcBorders>
              <w:top w:val="nil"/>
              <w:left w:val="nil"/>
              <w:bottom w:val="nil"/>
              <w:right w:val="nil"/>
            </w:tcBorders>
            <w:shd w:val="clear" w:color="auto" w:fill="auto"/>
            <w:noWrap/>
            <w:vAlign w:val="bottom"/>
            <w:hideMark/>
          </w:tcPr>
          <w:p w14:paraId="72FEE4D5" w14:textId="77777777" w:rsidR="00676749" w:rsidRPr="00676749" w:rsidRDefault="00676749" w:rsidP="00676749">
            <w:pPr>
              <w:spacing w:after="0" w:line="240" w:lineRule="auto"/>
              <w:rPr>
                <w:rFonts w:ascii="Garamond" w:eastAsia="Times New Roman" w:hAnsi="Garamond" w:cs="Calibri"/>
                <w:color w:val="000000"/>
                <w:sz w:val="24"/>
                <w:szCs w:val="24"/>
                <w:lang w:eastAsia="pt-BR"/>
              </w:rPr>
            </w:pPr>
          </w:p>
        </w:tc>
      </w:tr>
      <w:tr w:rsidR="00676749" w:rsidRPr="00676749" w14:paraId="178D551D" w14:textId="77777777" w:rsidTr="00BF0CF4">
        <w:trPr>
          <w:trHeight w:val="720"/>
        </w:trPr>
        <w:tc>
          <w:tcPr>
            <w:tcW w:w="532" w:type="pct"/>
            <w:tcBorders>
              <w:top w:val="nil"/>
              <w:left w:val="nil"/>
              <w:bottom w:val="nil"/>
              <w:right w:val="nil"/>
            </w:tcBorders>
            <w:shd w:val="clear" w:color="auto" w:fill="auto"/>
            <w:noWrap/>
            <w:vAlign w:val="bottom"/>
            <w:hideMark/>
          </w:tcPr>
          <w:p w14:paraId="35AC9844" w14:textId="77777777" w:rsidR="00676749" w:rsidRPr="00676749" w:rsidRDefault="00676749" w:rsidP="00676749">
            <w:pPr>
              <w:spacing w:after="0" w:line="240" w:lineRule="auto"/>
              <w:rPr>
                <w:rFonts w:ascii="Garamond" w:eastAsia="Times New Roman" w:hAnsi="Garamond" w:cs="Calibri"/>
                <w:color w:val="000000"/>
                <w:sz w:val="24"/>
                <w:szCs w:val="24"/>
                <w:lang w:eastAsia="pt-BR"/>
              </w:rPr>
            </w:pP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A2BFD" w14:textId="77777777" w:rsidR="00676749" w:rsidRPr="00676749" w:rsidRDefault="00676749" w:rsidP="00676749">
            <w:pPr>
              <w:spacing w:after="0" w:line="240" w:lineRule="auto"/>
              <w:jc w:val="center"/>
              <w:rPr>
                <w:rFonts w:ascii="Garamond" w:eastAsia="Times New Roman" w:hAnsi="Garamond" w:cs="Calibri"/>
                <w:b/>
                <w:color w:val="000000"/>
                <w:sz w:val="24"/>
                <w:szCs w:val="24"/>
                <w:lang w:eastAsia="pt-BR"/>
              </w:rPr>
            </w:pPr>
            <w:r w:rsidRPr="00676749">
              <w:rPr>
                <w:rFonts w:ascii="Garamond" w:eastAsia="Times New Roman" w:hAnsi="Garamond" w:cs="Calibri"/>
                <w:b/>
                <w:color w:val="000000"/>
                <w:sz w:val="24"/>
                <w:szCs w:val="24"/>
                <w:lang w:eastAsia="pt-BR"/>
              </w:rPr>
              <w:t>Período</w:t>
            </w:r>
          </w:p>
        </w:tc>
        <w:tc>
          <w:tcPr>
            <w:tcW w:w="1182" w:type="pct"/>
            <w:tcBorders>
              <w:top w:val="single" w:sz="4" w:space="0" w:color="auto"/>
              <w:left w:val="nil"/>
              <w:bottom w:val="single" w:sz="4" w:space="0" w:color="auto"/>
              <w:right w:val="single" w:sz="4" w:space="0" w:color="auto"/>
            </w:tcBorders>
            <w:shd w:val="clear" w:color="auto" w:fill="auto"/>
            <w:vAlign w:val="center"/>
            <w:hideMark/>
          </w:tcPr>
          <w:p w14:paraId="53566718" w14:textId="77777777" w:rsidR="00676749" w:rsidRPr="00676749" w:rsidRDefault="00676749" w:rsidP="00676749">
            <w:pPr>
              <w:spacing w:after="0" w:line="240" w:lineRule="auto"/>
              <w:jc w:val="center"/>
              <w:rPr>
                <w:rFonts w:ascii="Garamond" w:eastAsia="Times New Roman" w:hAnsi="Garamond" w:cs="Calibri"/>
                <w:b/>
                <w:color w:val="000000"/>
                <w:sz w:val="24"/>
                <w:szCs w:val="24"/>
                <w:lang w:eastAsia="pt-BR"/>
              </w:rPr>
            </w:pPr>
            <w:r w:rsidRPr="00676749">
              <w:rPr>
                <w:rFonts w:ascii="Garamond" w:eastAsia="Times New Roman" w:hAnsi="Garamond" w:cs="Calibri"/>
                <w:b/>
                <w:color w:val="000000"/>
                <w:sz w:val="24"/>
                <w:szCs w:val="24"/>
                <w:lang w:eastAsia="pt-BR"/>
              </w:rPr>
              <w:t>∑ das empresas que manifestaram apoio à petição (A)</w:t>
            </w:r>
          </w:p>
        </w:tc>
        <w:tc>
          <w:tcPr>
            <w:tcW w:w="1224" w:type="pct"/>
            <w:tcBorders>
              <w:top w:val="single" w:sz="4" w:space="0" w:color="auto"/>
              <w:left w:val="nil"/>
              <w:bottom w:val="single" w:sz="4" w:space="0" w:color="auto"/>
              <w:right w:val="single" w:sz="4" w:space="0" w:color="auto"/>
            </w:tcBorders>
            <w:shd w:val="clear" w:color="auto" w:fill="auto"/>
            <w:vAlign w:val="center"/>
            <w:hideMark/>
          </w:tcPr>
          <w:p w14:paraId="34BDE9EC" w14:textId="77777777" w:rsidR="00676749" w:rsidRPr="00676749" w:rsidRDefault="00676749" w:rsidP="00676749">
            <w:pPr>
              <w:spacing w:after="0" w:line="240" w:lineRule="auto"/>
              <w:jc w:val="center"/>
              <w:rPr>
                <w:rFonts w:ascii="Garamond" w:eastAsia="Times New Roman" w:hAnsi="Garamond" w:cs="Calibri"/>
                <w:b/>
                <w:color w:val="000000"/>
                <w:sz w:val="24"/>
                <w:szCs w:val="24"/>
                <w:lang w:eastAsia="pt-BR"/>
              </w:rPr>
            </w:pPr>
            <w:r w:rsidRPr="00676749">
              <w:rPr>
                <w:rFonts w:ascii="Garamond" w:eastAsia="Times New Roman" w:hAnsi="Garamond" w:cs="Calibri"/>
                <w:b/>
                <w:color w:val="000000"/>
                <w:sz w:val="24"/>
                <w:szCs w:val="24"/>
                <w:lang w:eastAsia="pt-BR"/>
              </w:rPr>
              <w:t>∑ das demais empresas produtoras no Brasil (B)</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74C3D348" w14:textId="77777777" w:rsidR="00676749" w:rsidRPr="00676749" w:rsidRDefault="00676749" w:rsidP="00676749">
            <w:pPr>
              <w:spacing w:after="0" w:line="240" w:lineRule="auto"/>
              <w:jc w:val="center"/>
              <w:rPr>
                <w:rFonts w:ascii="Garamond" w:eastAsia="Times New Roman" w:hAnsi="Garamond" w:cs="Calibri"/>
                <w:b/>
                <w:color w:val="000000"/>
                <w:sz w:val="24"/>
                <w:szCs w:val="24"/>
                <w:lang w:eastAsia="pt-BR"/>
              </w:rPr>
            </w:pPr>
            <w:r w:rsidRPr="00676749">
              <w:rPr>
                <w:rFonts w:ascii="Garamond" w:eastAsia="Times New Roman" w:hAnsi="Garamond" w:cs="Calibri"/>
                <w:b/>
                <w:color w:val="000000"/>
                <w:sz w:val="24"/>
                <w:szCs w:val="24"/>
                <w:lang w:eastAsia="pt-BR"/>
              </w:rPr>
              <w:t>Produção Nacional (A+B)</w:t>
            </w:r>
          </w:p>
        </w:tc>
      </w:tr>
      <w:tr w:rsidR="00676749" w:rsidRPr="00676749" w14:paraId="68C765D0" w14:textId="77777777" w:rsidTr="00BF0CF4">
        <w:trPr>
          <w:trHeight w:val="480"/>
        </w:trPr>
        <w:tc>
          <w:tcPr>
            <w:tcW w:w="532"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406F900" w14:textId="77777777" w:rsidR="00676749" w:rsidRPr="00676749" w:rsidRDefault="00676749" w:rsidP="00676749">
            <w:pPr>
              <w:spacing w:after="0" w:line="240" w:lineRule="auto"/>
              <w:jc w:val="center"/>
              <w:rPr>
                <w:rFonts w:ascii="Garamond" w:eastAsia="Times New Roman" w:hAnsi="Garamond" w:cs="Calibri"/>
                <w:b/>
                <w:color w:val="000000"/>
                <w:sz w:val="24"/>
                <w:szCs w:val="24"/>
                <w:lang w:eastAsia="pt-BR"/>
              </w:rPr>
            </w:pPr>
            <w:r w:rsidRPr="00676749">
              <w:rPr>
                <w:rFonts w:ascii="Garamond" w:eastAsia="Times New Roman" w:hAnsi="Garamond" w:cs="Calibri"/>
                <w:b/>
                <w:color w:val="000000"/>
                <w:sz w:val="24"/>
                <w:szCs w:val="24"/>
                <w:lang w:eastAsia="pt-BR"/>
              </w:rPr>
              <w:t>Volume da Produção</w:t>
            </w:r>
          </w:p>
        </w:tc>
        <w:tc>
          <w:tcPr>
            <w:tcW w:w="883" w:type="pct"/>
            <w:tcBorders>
              <w:top w:val="nil"/>
              <w:left w:val="nil"/>
              <w:bottom w:val="single" w:sz="4" w:space="0" w:color="auto"/>
              <w:right w:val="single" w:sz="4" w:space="0" w:color="auto"/>
            </w:tcBorders>
            <w:shd w:val="clear" w:color="auto" w:fill="auto"/>
            <w:vAlign w:val="center"/>
            <w:hideMark/>
          </w:tcPr>
          <w:p w14:paraId="3A8B4912" w14:textId="77777777" w:rsidR="00676749" w:rsidRPr="00676749" w:rsidRDefault="00676749" w:rsidP="00676749">
            <w:pPr>
              <w:spacing w:after="0" w:line="240" w:lineRule="auto"/>
              <w:jc w:val="center"/>
              <w:rPr>
                <w:rFonts w:ascii="Garamond" w:eastAsia="Times New Roman" w:hAnsi="Garamond" w:cs="Calibri"/>
                <w:b/>
                <w:color w:val="000000"/>
                <w:sz w:val="24"/>
                <w:szCs w:val="24"/>
                <w:lang w:eastAsia="pt-BR"/>
              </w:rPr>
            </w:pPr>
            <w:r w:rsidRPr="00676749">
              <w:rPr>
                <w:rFonts w:ascii="Garamond" w:eastAsia="Times New Roman" w:hAnsi="Garamond" w:cs="Calibri"/>
                <w:b/>
                <w:color w:val="000000"/>
                <w:sz w:val="24"/>
                <w:szCs w:val="24"/>
                <w:lang w:eastAsia="pt-BR"/>
              </w:rPr>
              <w:t>P1</w:t>
            </w:r>
          </w:p>
        </w:tc>
        <w:tc>
          <w:tcPr>
            <w:tcW w:w="1182" w:type="pct"/>
            <w:tcBorders>
              <w:top w:val="nil"/>
              <w:left w:val="nil"/>
              <w:bottom w:val="nil"/>
              <w:right w:val="nil"/>
            </w:tcBorders>
            <w:shd w:val="clear" w:color="000000" w:fill="FFFFFF"/>
            <w:vAlign w:val="center"/>
            <w:hideMark/>
          </w:tcPr>
          <w:p w14:paraId="0C7F09BD" w14:textId="77777777" w:rsidR="00676749" w:rsidRPr="00676749" w:rsidRDefault="00676749" w:rsidP="00676749">
            <w:pPr>
              <w:spacing w:after="0" w:line="240" w:lineRule="auto"/>
              <w:jc w:val="right"/>
              <w:rPr>
                <w:rFonts w:ascii="Garamond" w:eastAsia="Times New Roman" w:hAnsi="Garamond" w:cs="Calibri"/>
                <w:color w:val="000000"/>
                <w:sz w:val="24"/>
                <w:szCs w:val="24"/>
                <w:lang w:eastAsia="pt-BR"/>
              </w:rPr>
            </w:pPr>
            <w:r w:rsidRPr="00676749">
              <w:rPr>
                <w:rFonts w:ascii="Garamond" w:eastAsia="Times New Roman" w:hAnsi="Garamond" w:cs="Calibri"/>
                <w:color w:val="000000"/>
                <w:sz w:val="24"/>
                <w:szCs w:val="24"/>
                <w:lang w:eastAsia="pt-BR"/>
              </w:rPr>
              <w:t> </w:t>
            </w:r>
          </w:p>
        </w:tc>
        <w:tc>
          <w:tcPr>
            <w:tcW w:w="1224" w:type="pct"/>
            <w:tcBorders>
              <w:top w:val="nil"/>
              <w:left w:val="single" w:sz="4" w:space="0" w:color="auto"/>
              <w:bottom w:val="nil"/>
              <w:right w:val="single" w:sz="4" w:space="0" w:color="auto"/>
            </w:tcBorders>
            <w:shd w:val="clear" w:color="000000" w:fill="FFFFFF"/>
            <w:vAlign w:val="center"/>
            <w:hideMark/>
          </w:tcPr>
          <w:p w14:paraId="00A5551B" w14:textId="77777777" w:rsidR="00676749" w:rsidRPr="00676749" w:rsidRDefault="00676749" w:rsidP="00676749">
            <w:pPr>
              <w:spacing w:after="0" w:line="240" w:lineRule="auto"/>
              <w:jc w:val="right"/>
              <w:rPr>
                <w:rFonts w:ascii="Garamond" w:eastAsia="Times New Roman" w:hAnsi="Garamond" w:cs="Calibri"/>
                <w:color w:val="000000"/>
                <w:sz w:val="24"/>
                <w:szCs w:val="24"/>
                <w:lang w:eastAsia="pt-BR"/>
              </w:rPr>
            </w:pPr>
            <w:r w:rsidRPr="00676749">
              <w:rPr>
                <w:rFonts w:ascii="Garamond" w:eastAsia="Times New Roman" w:hAnsi="Garamond" w:cs="Calibri"/>
                <w:color w:val="000000"/>
                <w:sz w:val="24"/>
                <w:szCs w:val="24"/>
                <w:lang w:eastAsia="pt-BR"/>
              </w:rPr>
              <w:t> </w:t>
            </w:r>
          </w:p>
        </w:tc>
        <w:tc>
          <w:tcPr>
            <w:tcW w:w="1180" w:type="pct"/>
            <w:tcBorders>
              <w:top w:val="nil"/>
              <w:left w:val="nil"/>
              <w:bottom w:val="nil"/>
              <w:right w:val="single" w:sz="4" w:space="0" w:color="auto"/>
            </w:tcBorders>
            <w:shd w:val="clear" w:color="000000" w:fill="F2F2F2"/>
            <w:vAlign w:val="center"/>
            <w:hideMark/>
          </w:tcPr>
          <w:p w14:paraId="61BE9E2F" w14:textId="77777777" w:rsidR="00676749" w:rsidRPr="00676749" w:rsidRDefault="00676749" w:rsidP="00676749">
            <w:pPr>
              <w:spacing w:after="0" w:line="240" w:lineRule="auto"/>
              <w:jc w:val="right"/>
              <w:rPr>
                <w:rFonts w:ascii="Garamond" w:eastAsia="Times New Roman" w:hAnsi="Garamond" w:cs="Calibri"/>
                <w:b/>
                <w:color w:val="000000"/>
                <w:sz w:val="24"/>
                <w:szCs w:val="24"/>
                <w:lang w:eastAsia="pt-BR"/>
              </w:rPr>
            </w:pPr>
          </w:p>
        </w:tc>
      </w:tr>
      <w:tr w:rsidR="00676749" w:rsidRPr="00676749" w14:paraId="16F0ED3C" w14:textId="77777777" w:rsidTr="00BF0CF4">
        <w:trPr>
          <w:trHeight w:val="480"/>
        </w:trPr>
        <w:tc>
          <w:tcPr>
            <w:tcW w:w="532" w:type="pct"/>
            <w:vMerge/>
            <w:tcBorders>
              <w:top w:val="single" w:sz="4" w:space="0" w:color="auto"/>
              <w:left w:val="single" w:sz="4" w:space="0" w:color="auto"/>
              <w:bottom w:val="single" w:sz="4" w:space="0" w:color="000000"/>
              <w:right w:val="single" w:sz="4" w:space="0" w:color="auto"/>
            </w:tcBorders>
            <w:vAlign w:val="center"/>
            <w:hideMark/>
          </w:tcPr>
          <w:p w14:paraId="4499C1B7" w14:textId="77777777" w:rsidR="00676749" w:rsidRPr="00676749" w:rsidRDefault="00676749" w:rsidP="00676749">
            <w:pPr>
              <w:spacing w:after="0" w:line="240" w:lineRule="auto"/>
              <w:rPr>
                <w:rFonts w:ascii="Garamond" w:eastAsia="Times New Roman" w:hAnsi="Garamond" w:cs="Calibri"/>
                <w:b/>
                <w:color w:val="000000"/>
                <w:sz w:val="24"/>
                <w:szCs w:val="24"/>
                <w:lang w:eastAsia="pt-BR"/>
              </w:rPr>
            </w:pPr>
          </w:p>
        </w:tc>
        <w:tc>
          <w:tcPr>
            <w:tcW w:w="883" w:type="pct"/>
            <w:tcBorders>
              <w:top w:val="nil"/>
              <w:left w:val="nil"/>
              <w:bottom w:val="single" w:sz="4" w:space="0" w:color="auto"/>
              <w:right w:val="single" w:sz="4" w:space="0" w:color="auto"/>
            </w:tcBorders>
            <w:shd w:val="clear" w:color="auto" w:fill="auto"/>
            <w:vAlign w:val="center"/>
            <w:hideMark/>
          </w:tcPr>
          <w:p w14:paraId="59A96B8F" w14:textId="77777777" w:rsidR="00676749" w:rsidRPr="00676749" w:rsidRDefault="00676749" w:rsidP="00676749">
            <w:pPr>
              <w:spacing w:after="0" w:line="240" w:lineRule="auto"/>
              <w:jc w:val="center"/>
              <w:rPr>
                <w:rFonts w:ascii="Garamond" w:eastAsia="Times New Roman" w:hAnsi="Garamond" w:cs="Calibri"/>
                <w:b/>
                <w:color w:val="000000"/>
                <w:sz w:val="24"/>
                <w:szCs w:val="24"/>
                <w:lang w:eastAsia="pt-BR"/>
              </w:rPr>
            </w:pPr>
            <w:r w:rsidRPr="00676749">
              <w:rPr>
                <w:rFonts w:ascii="Garamond" w:eastAsia="Times New Roman" w:hAnsi="Garamond" w:cs="Calibri"/>
                <w:b/>
                <w:color w:val="000000"/>
                <w:sz w:val="24"/>
                <w:szCs w:val="24"/>
                <w:lang w:eastAsia="pt-BR"/>
              </w:rPr>
              <w:t>P2</w:t>
            </w:r>
          </w:p>
        </w:tc>
        <w:tc>
          <w:tcPr>
            <w:tcW w:w="1182" w:type="pct"/>
            <w:tcBorders>
              <w:top w:val="nil"/>
              <w:left w:val="nil"/>
              <w:bottom w:val="nil"/>
              <w:right w:val="nil"/>
            </w:tcBorders>
            <w:shd w:val="clear" w:color="000000" w:fill="FFFFFF"/>
            <w:vAlign w:val="center"/>
            <w:hideMark/>
          </w:tcPr>
          <w:p w14:paraId="5390443C" w14:textId="77777777" w:rsidR="00676749" w:rsidRPr="00676749" w:rsidRDefault="00676749" w:rsidP="00676749">
            <w:pPr>
              <w:spacing w:after="0" w:line="240" w:lineRule="auto"/>
              <w:jc w:val="right"/>
              <w:rPr>
                <w:rFonts w:ascii="Garamond" w:eastAsia="Times New Roman" w:hAnsi="Garamond" w:cs="Calibri"/>
                <w:color w:val="000000"/>
                <w:sz w:val="24"/>
                <w:szCs w:val="24"/>
                <w:lang w:eastAsia="pt-BR"/>
              </w:rPr>
            </w:pPr>
            <w:r w:rsidRPr="00676749">
              <w:rPr>
                <w:rFonts w:ascii="Garamond" w:eastAsia="Times New Roman" w:hAnsi="Garamond" w:cs="Calibri"/>
                <w:color w:val="000000"/>
                <w:sz w:val="24"/>
                <w:szCs w:val="24"/>
                <w:lang w:eastAsia="pt-BR"/>
              </w:rPr>
              <w:t> </w:t>
            </w:r>
          </w:p>
        </w:tc>
        <w:tc>
          <w:tcPr>
            <w:tcW w:w="1224" w:type="pct"/>
            <w:tcBorders>
              <w:top w:val="nil"/>
              <w:left w:val="single" w:sz="4" w:space="0" w:color="auto"/>
              <w:bottom w:val="nil"/>
              <w:right w:val="single" w:sz="4" w:space="0" w:color="auto"/>
            </w:tcBorders>
            <w:shd w:val="clear" w:color="000000" w:fill="FFFFFF"/>
            <w:vAlign w:val="center"/>
            <w:hideMark/>
          </w:tcPr>
          <w:p w14:paraId="6096923A" w14:textId="77777777" w:rsidR="00676749" w:rsidRPr="00676749" w:rsidRDefault="00676749" w:rsidP="00676749">
            <w:pPr>
              <w:spacing w:after="0" w:line="240" w:lineRule="auto"/>
              <w:jc w:val="right"/>
              <w:rPr>
                <w:rFonts w:ascii="Garamond" w:eastAsia="Times New Roman" w:hAnsi="Garamond" w:cs="Calibri"/>
                <w:color w:val="000000"/>
                <w:sz w:val="24"/>
                <w:szCs w:val="24"/>
                <w:lang w:eastAsia="pt-BR"/>
              </w:rPr>
            </w:pPr>
            <w:r w:rsidRPr="00676749">
              <w:rPr>
                <w:rFonts w:ascii="Garamond" w:eastAsia="Times New Roman" w:hAnsi="Garamond" w:cs="Calibri"/>
                <w:color w:val="000000"/>
                <w:sz w:val="24"/>
                <w:szCs w:val="24"/>
                <w:lang w:eastAsia="pt-BR"/>
              </w:rPr>
              <w:t> </w:t>
            </w:r>
          </w:p>
        </w:tc>
        <w:tc>
          <w:tcPr>
            <w:tcW w:w="1180" w:type="pct"/>
            <w:tcBorders>
              <w:top w:val="nil"/>
              <w:left w:val="nil"/>
              <w:bottom w:val="nil"/>
              <w:right w:val="single" w:sz="4" w:space="0" w:color="auto"/>
            </w:tcBorders>
            <w:shd w:val="clear" w:color="000000" w:fill="F2F2F2"/>
            <w:vAlign w:val="center"/>
            <w:hideMark/>
          </w:tcPr>
          <w:p w14:paraId="0B74B282" w14:textId="77777777" w:rsidR="00676749" w:rsidRPr="00676749" w:rsidRDefault="00676749" w:rsidP="00676749">
            <w:pPr>
              <w:spacing w:after="0" w:line="240" w:lineRule="auto"/>
              <w:jc w:val="right"/>
              <w:rPr>
                <w:rFonts w:ascii="Garamond" w:eastAsia="Times New Roman" w:hAnsi="Garamond" w:cs="Calibri"/>
                <w:b/>
                <w:color w:val="000000"/>
                <w:sz w:val="24"/>
                <w:szCs w:val="24"/>
                <w:lang w:eastAsia="pt-BR"/>
              </w:rPr>
            </w:pPr>
          </w:p>
        </w:tc>
      </w:tr>
      <w:tr w:rsidR="00676749" w:rsidRPr="00676749" w14:paraId="5B241C25" w14:textId="77777777" w:rsidTr="00BF0CF4">
        <w:trPr>
          <w:trHeight w:val="480"/>
        </w:trPr>
        <w:tc>
          <w:tcPr>
            <w:tcW w:w="532" w:type="pct"/>
            <w:vMerge/>
            <w:tcBorders>
              <w:top w:val="single" w:sz="4" w:space="0" w:color="auto"/>
              <w:left w:val="single" w:sz="4" w:space="0" w:color="auto"/>
              <w:bottom w:val="single" w:sz="4" w:space="0" w:color="000000"/>
              <w:right w:val="single" w:sz="4" w:space="0" w:color="auto"/>
            </w:tcBorders>
            <w:vAlign w:val="center"/>
            <w:hideMark/>
          </w:tcPr>
          <w:p w14:paraId="33C9DFA1" w14:textId="77777777" w:rsidR="00676749" w:rsidRPr="00676749" w:rsidRDefault="00676749" w:rsidP="00676749">
            <w:pPr>
              <w:spacing w:after="0" w:line="240" w:lineRule="auto"/>
              <w:rPr>
                <w:rFonts w:ascii="Garamond" w:eastAsia="Times New Roman" w:hAnsi="Garamond" w:cs="Calibri"/>
                <w:b/>
                <w:color w:val="000000"/>
                <w:sz w:val="24"/>
                <w:szCs w:val="24"/>
                <w:lang w:eastAsia="pt-BR"/>
              </w:rPr>
            </w:pPr>
          </w:p>
        </w:tc>
        <w:tc>
          <w:tcPr>
            <w:tcW w:w="883" w:type="pct"/>
            <w:tcBorders>
              <w:top w:val="nil"/>
              <w:left w:val="nil"/>
              <w:bottom w:val="single" w:sz="4" w:space="0" w:color="auto"/>
              <w:right w:val="single" w:sz="4" w:space="0" w:color="auto"/>
            </w:tcBorders>
            <w:shd w:val="clear" w:color="auto" w:fill="auto"/>
            <w:vAlign w:val="center"/>
            <w:hideMark/>
          </w:tcPr>
          <w:p w14:paraId="6294EC3E" w14:textId="77777777" w:rsidR="00676749" w:rsidRPr="00676749" w:rsidRDefault="00676749" w:rsidP="00676749">
            <w:pPr>
              <w:spacing w:after="0" w:line="240" w:lineRule="auto"/>
              <w:jc w:val="center"/>
              <w:rPr>
                <w:rFonts w:ascii="Garamond" w:eastAsia="Times New Roman" w:hAnsi="Garamond" w:cs="Calibri"/>
                <w:b/>
                <w:color w:val="000000"/>
                <w:sz w:val="24"/>
                <w:szCs w:val="24"/>
                <w:lang w:eastAsia="pt-BR"/>
              </w:rPr>
            </w:pPr>
            <w:r w:rsidRPr="00676749">
              <w:rPr>
                <w:rFonts w:ascii="Garamond" w:eastAsia="Times New Roman" w:hAnsi="Garamond" w:cs="Calibri"/>
                <w:b/>
                <w:color w:val="000000"/>
                <w:sz w:val="24"/>
                <w:szCs w:val="24"/>
                <w:lang w:eastAsia="pt-BR"/>
              </w:rPr>
              <w:t>P3</w:t>
            </w:r>
          </w:p>
        </w:tc>
        <w:tc>
          <w:tcPr>
            <w:tcW w:w="1182" w:type="pct"/>
            <w:tcBorders>
              <w:top w:val="nil"/>
              <w:left w:val="nil"/>
              <w:bottom w:val="nil"/>
              <w:right w:val="nil"/>
            </w:tcBorders>
            <w:shd w:val="clear" w:color="000000" w:fill="FFFFFF"/>
            <w:vAlign w:val="center"/>
            <w:hideMark/>
          </w:tcPr>
          <w:p w14:paraId="0637EEAD" w14:textId="77777777" w:rsidR="00676749" w:rsidRPr="00676749" w:rsidRDefault="00676749" w:rsidP="00676749">
            <w:pPr>
              <w:spacing w:after="0" w:line="240" w:lineRule="auto"/>
              <w:jc w:val="right"/>
              <w:rPr>
                <w:rFonts w:ascii="Garamond" w:eastAsia="Times New Roman" w:hAnsi="Garamond" w:cs="Calibri"/>
                <w:color w:val="000000"/>
                <w:sz w:val="24"/>
                <w:szCs w:val="24"/>
                <w:lang w:eastAsia="pt-BR"/>
              </w:rPr>
            </w:pPr>
            <w:r w:rsidRPr="00676749">
              <w:rPr>
                <w:rFonts w:ascii="Garamond" w:eastAsia="Times New Roman" w:hAnsi="Garamond" w:cs="Calibri"/>
                <w:color w:val="000000"/>
                <w:sz w:val="24"/>
                <w:szCs w:val="24"/>
                <w:lang w:eastAsia="pt-BR"/>
              </w:rPr>
              <w:t> </w:t>
            </w:r>
          </w:p>
        </w:tc>
        <w:tc>
          <w:tcPr>
            <w:tcW w:w="1224" w:type="pct"/>
            <w:tcBorders>
              <w:top w:val="nil"/>
              <w:left w:val="single" w:sz="4" w:space="0" w:color="auto"/>
              <w:bottom w:val="nil"/>
              <w:right w:val="single" w:sz="4" w:space="0" w:color="auto"/>
            </w:tcBorders>
            <w:shd w:val="clear" w:color="000000" w:fill="FFFFFF"/>
            <w:vAlign w:val="center"/>
            <w:hideMark/>
          </w:tcPr>
          <w:p w14:paraId="2ACC28C2" w14:textId="77777777" w:rsidR="00676749" w:rsidRPr="00676749" w:rsidRDefault="00676749" w:rsidP="00676749">
            <w:pPr>
              <w:spacing w:after="0" w:line="240" w:lineRule="auto"/>
              <w:jc w:val="right"/>
              <w:rPr>
                <w:rFonts w:ascii="Garamond" w:eastAsia="Times New Roman" w:hAnsi="Garamond" w:cs="Calibri"/>
                <w:color w:val="000000"/>
                <w:sz w:val="24"/>
                <w:szCs w:val="24"/>
                <w:lang w:eastAsia="pt-BR"/>
              </w:rPr>
            </w:pPr>
            <w:r w:rsidRPr="00676749">
              <w:rPr>
                <w:rFonts w:ascii="Garamond" w:eastAsia="Times New Roman" w:hAnsi="Garamond" w:cs="Calibri"/>
                <w:color w:val="000000"/>
                <w:sz w:val="24"/>
                <w:szCs w:val="24"/>
                <w:lang w:eastAsia="pt-BR"/>
              </w:rPr>
              <w:t> </w:t>
            </w:r>
          </w:p>
        </w:tc>
        <w:tc>
          <w:tcPr>
            <w:tcW w:w="1180" w:type="pct"/>
            <w:tcBorders>
              <w:top w:val="nil"/>
              <w:left w:val="nil"/>
              <w:bottom w:val="nil"/>
              <w:right w:val="single" w:sz="4" w:space="0" w:color="auto"/>
            </w:tcBorders>
            <w:shd w:val="clear" w:color="000000" w:fill="F2F2F2"/>
            <w:vAlign w:val="center"/>
            <w:hideMark/>
          </w:tcPr>
          <w:p w14:paraId="75446002" w14:textId="77777777" w:rsidR="00676749" w:rsidRPr="00676749" w:rsidRDefault="00676749" w:rsidP="00676749">
            <w:pPr>
              <w:spacing w:after="0" w:line="240" w:lineRule="auto"/>
              <w:jc w:val="right"/>
              <w:rPr>
                <w:rFonts w:ascii="Garamond" w:eastAsia="Times New Roman" w:hAnsi="Garamond" w:cs="Calibri"/>
                <w:b/>
                <w:color w:val="000000"/>
                <w:sz w:val="24"/>
                <w:szCs w:val="24"/>
                <w:lang w:eastAsia="pt-BR"/>
              </w:rPr>
            </w:pPr>
          </w:p>
        </w:tc>
      </w:tr>
      <w:tr w:rsidR="00676749" w:rsidRPr="00676749" w14:paraId="0CC0EBCD" w14:textId="77777777" w:rsidTr="00BF0CF4">
        <w:trPr>
          <w:trHeight w:val="480"/>
        </w:trPr>
        <w:tc>
          <w:tcPr>
            <w:tcW w:w="532" w:type="pct"/>
            <w:vMerge/>
            <w:tcBorders>
              <w:top w:val="single" w:sz="4" w:space="0" w:color="auto"/>
              <w:left w:val="single" w:sz="4" w:space="0" w:color="auto"/>
              <w:bottom w:val="single" w:sz="4" w:space="0" w:color="000000"/>
              <w:right w:val="single" w:sz="4" w:space="0" w:color="auto"/>
            </w:tcBorders>
            <w:vAlign w:val="center"/>
            <w:hideMark/>
          </w:tcPr>
          <w:p w14:paraId="1358952E" w14:textId="77777777" w:rsidR="00676749" w:rsidRPr="00676749" w:rsidRDefault="00676749" w:rsidP="00676749">
            <w:pPr>
              <w:spacing w:after="0" w:line="240" w:lineRule="auto"/>
              <w:rPr>
                <w:rFonts w:ascii="Garamond" w:eastAsia="Times New Roman" w:hAnsi="Garamond" w:cs="Calibri"/>
                <w:b/>
                <w:color w:val="000000"/>
                <w:sz w:val="24"/>
                <w:szCs w:val="24"/>
                <w:lang w:eastAsia="pt-BR"/>
              </w:rPr>
            </w:pPr>
          </w:p>
        </w:tc>
        <w:tc>
          <w:tcPr>
            <w:tcW w:w="883" w:type="pct"/>
            <w:tcBorders>
              <w:top w:val="nil"/>
              <w:left w:val="nil"/>
              <w:bottom w:val="single" w:sz="4" w:space="0" w:color="auto"/>
              <w:right w:val="single" w:sz="4" w:space="0" w:color="auto"/>
            </w:tcBorders>
            <w:shd w:val="clear" w:color="auto" w:fill="auto"/>
            <w:vAlign w:val="center"/>
            <w:hideMark/>
          </w:tcPr>
          <w:p w14:paraId="485FC21A" w14:textId="77777777" w:rsidR="00676749" w:rsidRPr="00676749" w:rsidRDefault="00676749" w:rsidP="00676749">
            <w:pPr>
              <w:spacing w:after="0" w:line="240" w:lineRule="auto"/>
              <w:jc w:val="center"/>
              <w:rPr>
                <w:rFonts w:ascii="Garamond" w:eastAsia="Times New Roman" w:hAnsi="Garamond" w:cs="Calibri"/>
                <w:b/>
                <w:color w:val="000000"/>
                <w:sz w:val="24"/>
                <w:szCs w:val="24"/>
                <w:lang w:eastAsia="pt-BR"/>
              </w:rPr>
            </w:pPr>
            <w:r w:rsidRPr="00676749">
              <w:rPr>
                <w:rFonts w:ascii="Garamond" w:eastAsia="Times New Roman" w:hAnsi="Garamond" w:cs="Calibri"/>
                <w:b/>
                <w:color w:val="000000"/>
                <w:sz w:val="24"/>
                <w:szCs w:val="24"/>
                <w:lang w:eastAsia="pt-BR"/>
              </w:rPr>
              <w:t>P4</w:t>
            </w:r>
          </w:p>
        </w:tc>
        <w:tc>
          <w:tcPr>
            <w:tcW w:w="1182" w:type="pct"/>
            <w:tcBorders>
              <w:top w:val="nil"/>
              <w:left w:val="nil"/>
              <w:bottom w:val="nil"/>
              <w:right w:val="nil"/>
            </w:tcBorders>
            <w:shd w:val="clear" w:color="000000" w:fill="FFFFFF"/>
            <w:vAlign w:val="center"/>
            <w:hideMark/>
          </w:tcPr>
          <w:p w14:paraId="1CA648B9" w14:textId="77777777" w:rsidR="00676749" w:rsidRPr="00676749" w:rsidRDefault="00676749" w:rsidP="00676749">
            <w:pPr>
              <w:spacing w:after="0" w:line="240" w:lineRule="auto"/>
              <w:jc w:val="right"/>
              <w:rPr>
                <w:rFonts w:ascii="Garamond" w:eastAsia="Times New Roman" w:hAnsi="Garamond" w:cs="Calibri"/>
                <w:color w:val="000000"/>
                <w:sz w:val="24"/>
                <w:szCs w:val="24"/>
                <w:lang w:eastAsia="pt-BR"/>
              </w:rPr>
            </w:pPr>
            <w:r w:rsidRPr="00676749">
              <w:rPr>
                <w:rFonts w:ascii="Garamond" w:eastAsia="Times New Roman" w:hAnsi="Garamond" w:cs="Calibri"/>
                <w:color w:val="000000"/>
                <w:sz w:val="24"/>
                <w:szCs w:val="24"/>
                <w:lang w:eastAsia="pt-BR"/>
              </w:rPr>
              <w:t> </w:t>
            </w:r>
          </w:p>
        </w:tc>
        <w:tc>
          <w:tcPr>
            <w:tcW w:w="1224" w:type="pct"/>
            <w:tcBorders>
              <w:top w:val="nil"/>
              <w:left w:val="single" w:sz="4" w:space="0" w:color="auto"/>
              <w:bottom w:val="nil"/>
              <w:right w:val="single" w:sz="4" w:space="0" w:color="auto"/>
            </w:tcBorders>
            <w:shd w:val="clear" w:color="000000" w:fill="FFFFFF"/>
            <w:vAlign w:val="center"/>
            <w:hideMark/>
          </w:tcPr>
          <w:p w14:paraId="32409C8D" w14:textId="77777777" w:rsidR="00676749" w:rsidRPr="00676749" w:rsidRDefault="00676749" w:rsidP="00676749">
            <w:pPr>
              <w:spacing w:after="0" w:line="240" w:lineRule="auto"/>
              <w:jc w:val="right"/>
              <w:rPr>
                <w:rFonts w:ascii="Garamond" w:eastAsia="Times New Roman" w:hAnsi="Garamond" w:cs="Calibri"/>
                <w:color w:val="000000"/>
                <w:sz w:val="24"/>
                <w:szCs w:val="24"/>
                <w:lang w:eastAsia="pt-BR"/>
              </w:rPr>
            </w:pPr>
            <w:r w:rsidRPr="00676749">
              <w:rPr>
                <w:rFonts w:ascii="Garamond" w:eastAsia="Times New Roman" w:hAnsi="Garamond" w:cs="Calibri"/>
                <w:color w:val="000000"/>
                <w:sz w:val="24"/>
                <w:szCs w:val="24"/>
                <w:lang w:eastAsia="pt-BR"/>
              </w:rPr>
              <w:t> </w:t>
            </w:r>
          </w:p>
        </w:tc>
        <w:tc>
          <w:tcPr>
            <w:tcW w:w="1180" w:type="pct"/>
            <w:tcBorders>
              <w:top w:val="nil"/>
              <w:left w:val="nil"/>
              <w:bottom w:val="nil"/>
              <w:right w:val="single" w:sz="4" w:space="0" w:color="auto"/>
            </w:tcBorders>
            <w:shd w:val="clear" w:color="000000" w:fill="F2F2F2"/>
            <w:vAlign w:val="center"/>
            <w:hideMark/>
          </w:tcPr>
          <w:p w14:paraId="73C2A1AA" w14:textId="77777777" w:rsidR="00676749" w:rsidRPr="00676749" w:rsidRDefault="00676749" w:rsidP="00676749">
            <w:pPr>
              <w:spacing w:after="0" w:line="240" w:lineRule="auto"/>
              <w:jc w:val="right"/>
              <w:rPr>
                <w:rFonts w:ascii="Garamond" w:eastAsia="Times New Roman" w:hAnsi="Garamond" w:cs="Calibri"/>
                <w:b/>
                <w:color w:val="000000"/>
                <w:sz w:val="24"/>
                <w:szCs w:val="24"/>
                <w:lang w:eastAsia="pt-BR"/>
              </w:rPr>
            </w:pPr>
          </w:p>
        </w:tc>
      </w:tr>
      <w:tr w:rsidR="00676749" w:rsidRPr="00676749" w14:paraId="76D9B511" w14:textId="77777777" w:rsidTr="00BF0CF4">
        <w:trPr>
          <w:trHeight w:val="480"/>
        </w:trPr>
        <w:tc>
          <w:tcPr>
            <w:tcW w:w="532" w:type="pct"/>
            <w:vMerge/>
            <w:tcBorders>
              <w:top w:val="single" w:sz="4" w:space="0" w:color="auto"/>
              <w:left w:val="single" w:sz="4" w:space="0" w:color="auto"/>
              <w:bottom w:val="single" w:sz="4" w:space="0" w:color="000000"/>
              <w:right w:val="single" w:sz="4" w:space="0" w:color="auto"/>
            </w:tcBorders>
            <w:vAlign w:val="center"/>
            <w:hideMark/>
          </w:tcPr>
          <w:p w14:paraId="6022C075" w14:textId="77777777" w:rsidR="00676749" w:rsidRPr="00676749" w:rsidRDefault="00676749" w:rsidP="00676749">
            <w:pPr>
              <w:spacing w:after="0" w:line="240" w:lineRule="auto"/>
              <w:rPr>
                <w:rFonts w:ascii="Garamond" w:eastAsia="Times New Roman" w:hAnsi="Garamond" w:cs="Calibri"/>
                <w:b/>
                <w:color w:val="000000"/>
                <w:sz w:val="24"/>
                <w:szCs w:val="24"/>
                <w:lang w:eastAsia="pt-BR"/>
              </w:rPr>
            </w:pPr>
          </w:p>
        </w:tc>
        <w:tc>
          <w:tcPr>
            <w:tcW w:w="883" w:type="pct"/>
            <w:tcBorders>
              <w:top w:val="nil"/>
              <w:left w:val="nil"/>
              <w:bottom w:val="single" w:sz="4" w:space="0" w:color="auto"/>
              <w:right w:val="single" w:sz="4" w:space="0" w:color="auto"/>
            </w:tcBorders>
            <w:shd w:val="clear" w:color="auto" w:fill="auto"/>
            <w:vAlign w:val="center"/>
            <w:hideMark/>
          </w:tcPr>
          <w:p w14:paraId="303E300E" w14:textId="77777777" w:rsidR="00676749" w:rsidRPr="00676749" w:rsidRDefault="00676749" w:rsidP="00676749">
            <w:pPr>
              <w:spacing w:after="0" w:line="240" w:lineRule="auto"/>
              <w:jc w:val="center"/>
              <w:rPr>
                <w:rFonts w:ascii="Garamond" w:eastAsia="Times New Roman" w:hAnsi="Garamond" w:cs="Calibri"/>
                <w:b/>
                <w:color w:val="000000"/>
                <w:sz w:val="24"/>
                <w:szCs w:val="24"/>
                <w:lang w:eastAsia="pt-BR"/>
              </w:rPr>
            </w:pPr>
            <w:r w:rsidRPr="00676749">
              <w:rPr>
                <w:rFonts w:ascii="Garamond" w:eastAsia="Times New Roman" w:hAnsi="Garamond" w:cs="Calibri"/>
                <w:b/>
                <w:color w:val="000000"/>
                <w:sz w:val="24"/>
                <w:szCs w:val="24"/>
                <w:lang w:eastAsia="pt-BR"/>
              </w:rPr>
              <w:t>P5</w:t>
            </w:r>
          </w:p>
        </w:tc>
        <w:tc>
          <w:tcPr>
            <w:tcW w:w="1182" w:type="pct"/>
            <w:tcBorders>
              <w:top w:val="nil"/>
              <w:left w:val="nil"/>
              <w:bottom w:val="single" w:sz="4" w:space="0" w:color="auto"/>
              <w:right w:val="nil"/>
            </w:tcBorders>
            <w:shd w:val="clear" w:color="000000" w:fill="FFFFFF"/>
            <w:vAlign w:val="center"/>
            <w:hideMark/>
          </w:tcPr>
          <w:p w14:paraId="5CC663F9" w14:textId="77777777" w:rsidR="00676749" w:rsidRPr="00676749" w:rsidRDefault="00676749" w:rsidP="00676749">
            <w:pPr>
              <w:spacing w:after="0" w:line="240" w:lineRule="auto"/>
              <w:jc w:val="right"/>
              <w:rPr>
                <w:rFonts w:ascii="Garamond" w:eastAsia="Times New Roman" w:hAnsi="Garamond" w:cs="Calibri"/>
                <w:color w:val="000000"/>
                <w:sz w:val="24"/>
                <w:szCs w:val="24"/>
                <w:lang w:eastAsia="pt-BR"/>
              </w:rPr>
            </w:pPr>
            <w:r w:rsidRPr="00676749">
              <w:rPr>
                <w:rFonts w:ascii="Garamond" w:eastAsia="Times New Roman" w:hAnsi="Garamond" w:cs="Calibri"/>
                <w:color w:val="000000"/>
                <w:sz w:val="24"/>
                <w:szCs w:val="24"/>
                <w:lang w:eastAsia="pt-BR"/>
              </w:rPr>
              <w:t> </w:t>
            </w:r>
          </w:p>
        </w:tc>
        <w:tc>
          <w:tcPr>
            <w:tcW w:w="1224" w:type="pct"/>
            <w:tcBorders>
              <w:top w:val="nil"/>
              <w:left w:val="single" w:sz="4" w:space="0" w:color="auto"/>
              <w:bottom w:val="single" w:sz="4" w:space="0" w:color="auto"/>
              <w:right w:val="single" w:sz="4" w:space="0" w:color="auto"/>
            </w:tcBorders>
            <w:shd w:val="clear" w:color="000000" w:fill="FFFFFF"/>
            <w:vAlign w:val="center"/>
            <w:hideMark/>
          </w:tcPr>
          <w:p w14:paraId="41F62DF6" w14:textId="77777777" w:rsidR="00676749" w:rsidRPr="00676749" w:rsidRDefault="00676749" w:rsidP="00676749">
            <w:pPr>
              <w:spacing w:after="0" w:line="240" w:lineRule="auto"/>
              <w:jc w:val="right"/>
              <w:rPr>
                <w:rFonts w:ascii="Garamond" w:eastAsia="Times New Roman" w:hAnsi="Garamond" w:cs="Calibri"/>
                <w:color w:val="000000"/>
                <w:sz w:val="24"/>
                <w:szCs w:val="24"/>
                <w:lang w:eastAsia="pt-BR"/>
              </w:rPr>
            </w:pPr>
            <w:r w:rsidRPr="00676749">
              <w:rPr>
                <w:rFonts w:ascii="Garamond" w:eastAsia="Times New Roman" w:hAnsi="Garamond" w:cs="Calibri"/>
                <w:color w:val="000000"/>
                <w:sz w:val="24"/>
                <w:szCs w:val="24"/>
                <w:lang w:eastAsia="pt-BR"/>
              </w:rPr>
              <w:t> </w:t>
            </w:r>
          </w:p>
        </w:tc>
        <w:tc>
          <w:tcPr>
            <w:tcW w:w="1180" w:type="pct"/>
            <w:tcBorders>
              <w:top w:val="nil"/>
              <w:left w:val="nil"/>
              <w:bottom w:val="single" w:sz="4" w:space="0" w:color="auto"/>
              <w:right w:val="single" w:sz="4" w:space="0" w:color="auto"/>
            </w:tcBorders>
            <w:shd w:val="clear" w:color="000000" w:fill="F2F2F2"/>
            <w:vAlign w:val="center"/>
            <w:hideMark/>
          </w:tcPr>
          <w:p w14:paraId="1C4DFC6D" w14:textId="77777777" w:rsidR="00676749" w:rsidRPr="00676749" w:rsidRDefault="00676749" w:rsidP="00676749">
            <w:pPr>
              <w:spacing w:after="0" w:line="240" w:lineRule="auto"/>
              <w:jc w:val="right"/>
              <w:rPr>
                <w:rFonts w:ascii="Garamond" w:eastAsia="Times New Roman" w:hAnsi="Garamond" w:cs="Calibri"/>
                <w:b/>
                <w:color w:val="000000"/>
                <w:sz w:val="24"/>
                <w:szCs w:val="24"/>
                <w:lang w:eastAsia="pt-BR"/>
              </w:rPr>
            </w:pPr>
          </w:p>
        </w:tc>
      </w:tr>
      <w:tr w:rsidR="00676749" w:rsidRPr="00676749" w14:paraId="794E606C" w14:textId="77777777" w:rsidTr="00BF0CF4">
        <w:trPr>
          <w:trHeight w:val="1186"/>
        </w:trPr>
        <w:tc>
          <w:tcPr>
            <w:tcW w:w="532" w:type="pct"/>
            <w:tcBorders>
              <w:top w:val="nil"/>
              <w:left w:val="single" w:sz="4" w:space="0" w:color="auto"/>
              <w:bottom w:val="single" w:sz="4" w:space="0" w:color="auto"/>
              <w:right w:val="single" w:sz="4" w:space="0" w:color="auto"/>
            </w:tcBorders>
            <w:shd w:val="clear" w:color="auto" w:fill="auto"/>
            <w:textDirection w:val="btLr"/>
            <w:vAlign w:val="center"/>
            <w:hideMark/>
          </w:tcPr>
          <w:p w14:paraId="1904345B" w14:textId="77777777" w:rsidR="00676749" w:rsidRPr="00676749" w:rsidRDefault="00676749" w:rsidP="00676749">
            <w:pPr>
              <w:spacing w:after="0" w:line="240" w:lineRule="auto"/>
              <w:jc w:val="center"/>
              <w:rPr>
                <w:rFonts w:ascii="Garamond" w:eastAsia="Times New Roman" w:hAnsi="Garamond" w:cs="Calibri"/>
                <w:b/>
                <w:color w:val="000000"/>
                <w:sz w:val="24"/>
                <w:szCs w:val="24"/>
                <w:lang w:eastAsia="pt-BR"/>
              </w:rPr>
            </w:pPr>
            <w:r w:rsidRPr="00676749">
              <w:rPr>
                <w:rFonts w:ascii="Garamond" w:eastAsia="Times New Roman" w:hAnsi="Garamond" w:cs="Calibri"/>
                <w:b/>
                <w:color w:val="000000"/>
                <w:sz w:val="24"/>
                <w:szCs w:val="24"/>
                <w:lang w:eastAsia="pt-BR"/>
              </w:rPr>
              <w:t>Valor da Produção (R$)</w:t>
            </w:r>
          </w:p>
        </w:tc>
        <w:tc>
          <w:tcPr>
            <w:tcW w:w="883" w:type="pct"/>
            <w:tcBorders>
              <w:top w:val="nil"/>
              <w:left w:val="nil"/>
              <w:bottom w:val="single" w:sz="4" w:space="0" w:color="auto"/>
              <w:right w:val="single" w:sz="4" w:space="0" w:color="auto"/>
            </w:tcBorders>
            <w:shd w:val="clear" w:color="auto" w:fill="auto"/>
            <w:vAlign w:val="center"/>
            <w:hideMark/>
          </w:tcPr>
          <w:p w14:paraId="51593F2E" w14:textId="77777777" w:rsidR="00676749" w:rsidRPr="00676749" w:rsidRDefault="00676749" w:rsidP="00676749">
            <w:pPr>
              <w:spacing w:after="0" w:line="240" w:lineRule="auto"/>
              <w:jc w:val="center"/>
              <w:rPr>
                <w:rFonts w:ascii="Garamond" w:eastAsia="Times New Roman" w:hAnsi="Garamond" w:cs="Calibri"/>
                <w:b/>
                <w:color w:val="000000"/>
                <w:sz w:val="24"/>
                <w:szCs w:val="24"/>
                <w:lang w:eastAsia="pt-BR"/>
              </w:rPr>
            </w:pPr>
            <w:r w:rsidRPr="00676749">
              <w:rPr>
                <w:rFonts w:ascii="Garamond" w:eastAsia="Times New Roman" w:hAnsi="Garamond" w:cs="Calibri"/>
                <w:b/>
                <w:color w:val="000000"/>
                <w:sz w:val="24"/>
                <w:szCs w:val="24"/>
                <w:lang w:eastAsia="pt-BR"/>
              </w:rPr>
              <w:t>P5</w:t>
            </w:r>
          </w:p>
        </w:tc>
        <w:tc>
          <w:tcPr>
            <w:tcW w:w="1182" w:type="pct"/>
            <w:tcBorders>
              <w:top w:val="nil"/>
              <w:left w:val="nil"/>
              <w:bottom w:val="single" w:sz="4" w:space="0" w:color="auto"/>
              <w:right w:val="nil"/>
            </w:tcBorders>
            <w:shd w:val="clear" w:color="000000" w:fill="FFFFFF"/>
            <w:vAlign w:val="center"/>
            <w:hideMark/>
          </w:tcPr>
          <w:p w14:paraId="67D9A36C" w14:textId="77777777" w:rsidR="00676749" w:rsidRPr="00676749" w:rsidRDefault="00676749" w:rsidP="00676749">
            <w:pPr>
              <w:spacing w:after="0" w:line="240" w:lineRule="auto"/>
              <w:jc w:val="right"/>
              <w:rPr>
                <w:rFonts w:ascii="Garamond" w:eastAsia="Times New Roman" w:hAnsi="Garamond" w:cs="Calibri"/>
                <w:color w:val="000000"/>
                <w:sz w:val="24"/>
                <w:szCs w:val="24"/>
                <w:lang w:eastAsia="pt-BR"/>
              </w:rPr>
            </w:pPr>
            <w:r w:rsidRPr="00676749">
              <w:rPr>
                <w:rFonts w:ascii="Garamond" w:eastAsia="Times New Roman" w:hAnsi="Garamond" w:cs="Calibri"/>
                <w:color w:val="000000"/>
                <w:sz w:val="24"/>
                <w:szCs w:val="24"/>
                <w:lang w:eastAsia="pt-BR"/>
              </w:rPr>
              <w:t> </w:t>
            </w:r>
          </w:p>
        </w:tc>
        <w:tc>
          <w:tcPr>
            <w:tcW w:w="1224" w:type="pct"/>
            <w:tcBorders>
              <w:top w:val="nil"/>
              <w:left w:val="single" w:sz="4" w:space="0" w:color="auto"/>
              <w:bottom w:val="single" w:sz="4" w:space="0" w:color="auto"/>
              <w:right w:val="single" w:sz="4" w:space="0" w:color="auto"/>
            </w:tcBorders>
            <w:shd w:val="clear" w:color="000000" w:fill="FFFFFF"/>
            <w:vAlign w:val="center"/>
            <w:hideMark/>
          </w:tcPr>
          <w:p w14:paraId="235F4CAA" w14:textId="77777777" w:rsidR="00676749" w:rsidRPr="00676749" w:rsidRDefault="00676749" w:rsidP="00676749">
            <w:pPr>
              <w:spacing w:after="0" w:line="240" w:lineRule="auto"/>
              <w:jc w:val="right"/>
              <w:rPr>
                <w:rFonts w:ascii="Garamond" w:eastAsia="Times New Roman" w:hAnsi="Garamond" w:cs="Calibri"/>
                <w:color w:val="000000"/>
                <w:sz w:val="24"/>
                <w:szCs w:val="24"/>
                <w:lang w:eastAsia="pt-BR"/>
              </w:rPr>
            </w:pPr>
            <w:r w:rsidRPr="00676749">
              <w:rPr>
                <w:rFonts w:ascii="Garamond" w:eastAsia="Times New Roman" w:hAnsi="Garamond" w:cs="Calibri"/>
                <w:color w:val="000000"/>
                <w:sz w:val="24"/>
                <w:szCs w:val="24"/>
                <w:lang w:eastAsia="pt-BR"/>
              </w:rPr>
              <w:t> </w:t>
            </w:r>
          </w:p>
        </w:tc>
        <w:tc>
          <w:tcPr>
            <w:tcW w:w="1180" w:type="pct"/>
            <w:tcBorders>
              <w:top w:val="nil"/>
              <w:left w:val="nil"/>
              <w:bottom w:val="single" w:sz="4" w:space="0" w:color="auto"/>
              <w:right w:val="single" w:sz="4" w:space="0" w:color="auto"/>
            </w:tcBorders>
            <w:shd w:val="clear" w:color="000000" w:fill="F2F2F2"/>
            <w:vAlign w:val="center"/>
            <w:hideMark/>
          </w:tcPr>
          <w:p w14:paraId="1A0CD4DA" w14:textId="77777777" w:rsidR="00676749" w:rsidRPr="00676749" w:rsidRDefault="00676749" w:rsidP="00676749">
            <w:pPr>
              <w:spacing w:after="0" w:line="240" w:lineRule="auto"/>
              <w:jc w:val="right"/>
              <w:rPr>
                <w:rFonts w:ascii="Garamond" w:eastAsia="Times New Roman" w:hAnsi="Garamond" w:cs="Calibri"/>
                <w:b/>
                <w:color w:val="000000"/>
                <w:sz w:val="24"/>
                <w:szCs w:val="24"/>
                <w:lang w:eastAsia="pt-BR"/>
              </w:rPr>
            </w:pPr>
          </w:p>
        </w:tc>
      </w:tr>
      <w:tr w:rsidR="00676749" w:rsidRPr="00676749" w14:paraId="7C4FD2A8" w14:textId="77777777" w:rsidTr="00BF0CF4">
        <w:trPr>
          <w:trHeight w:val="300"/>
        </w:trPr>
        <w:tc>
          <w:tcPr>
            <w:tcW w:w="1415" w:type="pct"/>
            <w:gridSpan w:val="2"/>
            <w:tcBorders>
              <w:top w:val="nil"/>
              <w:left w:val="nil"/>
              <w:bottom w:val="nil"/>
              <w:right w:val="nil"/>
            </w:tcBorders>
            <w:shd w:val="clear" w:color="auto" w:fill="auto"/>
            <w:noWrap/>
            <w:vAlign w:val="bottom"/>
            <w:hideMark/>
          </w:tcPr>
          <w:p w14:paraId="4ED5F609" w14:textId="77777777" w:rsidR="00676749" w:rsidRPr="00676749" w:rsidRDefault="00676749" w:rsidP="00676749">
            <w:pPr>
              <w:spacing w:after="0" w:line="240" w:lineRule="auto"/>
              <w:rPr>
                <w:rFonts w:ascii="Garamond" w:eastAsia="Times New Roman" w:hAnsi="Garamond" w:cs="Calibri"/>
                <w:color w:val="000000"/>
                <w:sz w:val="24"/>
                <w:szCs w:val="24"/>
                <w:lang w:eastAsia="pt-BR"/>
              </w:rPr>
            </w:pPr>
            <w:r w:rsidRPr="00676749">
              <w:rPr>
                <w:rFonts w:ascii="Garamond" w:eastAsia="Times New Roman" w:hAnsi="Garamond" w:cs="Calibri"/>
                <w:color w:val="000000"/>
                <w:sz w:val="24"/>
                <w:szCs w:val="24"/>
                <w:lang w:eastAsia="pt-BR"/>
              </w:rPr>
              <w:t>∑ - Somatório</w:t>
            </w:r>
          </w:p>
        </w:tc>
        <w:tc>
          <w:tcPr>
            <w:tcW w:w="1182" w:type="pct"/>
            <w:tcBorders>
              <w:top w:val="nil"/>
              <w:left w:val="nil"/>
              <w:bottom w:val="nil"/>
              <w:right w:val="nil"/>
            </w:tcBorders>
            <w:shd w:val="clear" w:color="auto" w:fill="auto"/>
            <w:noWrap/>
            <w:vAlign w:val="bottom"/>
            <w:hideMark/>
          </w:tcPr>
          <w:p w14:paraId="014C9934" w14:textId="77777777" w:rsidR="00676749" w:rsidRPr="00676749" w:rsidRDefault="00676749" w:rsidP="00676749">
            <w:pPr>
              <w:spacing w:after="0" w:line="240" w:lineRule="auto"/>
              <w:rPr>
                <w:rFonts w:ascii="Garamond" w:eastAsia="Times New Roman" w:hAnsi="Garamond" w:cs="Calibri"/>
                <w:color w:val="000000"/>
                <w:sz w:val="24"/>
                <w:szCs w:val="24"/>
                <w:lang w:eastAsia="pt-BR"/>
              </w:rPr>
            </w:pPr>
          </w:p>
        </w:tc>
        <w:tc>
          <w:tcPr>
            <w:tcW w:w="1224" w:type="pct"/>
            <w:tcBorders>
              <w:top w:val="nil"/>
              <w:left w:val="nil"/>
              <w:bottom w:val="nil"/>
              <w:right w:val="nil"/>
            </w:tcBorders>
            <w:shd w:val="clear" w:color="auto" w:fill="auto"/>
            <w:noWrap/>
            <w:vAlign w:val="bottom"/>
            <w:hideMark/>
          </w:tcPr>
          <w:p w14:paraId="729E22E0" w14:textId="77777777" w:rsidR="00676749" w:rsidRPr="00676749" w:rsidRDefault="00676749" w:rsidP="00676749">
            <w:pPr>
              <w:spacing w:after="0" w:line="240" w:lineRule="auto"/>
              <w:rPr>
                <w:rFonts w:ascii="Garamond" w:eastAsia="Times New Roman" w:hAnsi="Garamond" w:cs="Calibri"/>
                <w:color w:val="000000"/>
                <w:sz w:val="24"/>
                <w:szCs w:val="24"/>
                <w:lang w:eastAsia="pt-BR"/>
              </w:rPr>
            </w:pPr>
          </w:p>
        </w:tc>
        <w:tc>
          <w:tcPr>
            <w:tcW w:w="1180" w:type="pct"/>
            <w:tcBorders>
              <w:top w:val="nil"/>
              <w:left w:val="nil"/>
              <w:bottom w:val="nil"/>
              <w:right w:val="nil"/>
            </w:tcBorders>
            <w:shd w:val="clear" w:color="auto" w:fill="auto"/>
            <w:noWrap/>
            <w:vAlign w:val="bottom"/>
            <w:hideMark/>
          </w:tcPr>
          <w:p w14:paraId="37ACD40D" w14:textId="77777777" w:rsidR="00676749" w:rsidRPr="00676749" w:rsidRDefault="00676749" w:rsidP="00676749">
            <w:pPr>
              <w:spacing w:after="0" w:line="240" w:lineRule="auto"/>
              <w:rPr>
                <w:rFonts w:ascii="Garamond" w:eastAsia="Times New Roman" w:hAnsi="Garamond" w:cs="Calibri"/>
                <w:color w:val="000000"/>
                <w:sz w:val="24"/>
                <w:szCs w:val="24"/>
                <w:lang w:eastAsia="pt-BR"/>
              </w:rPr>
            </w:pPr>
          </w:p>
        </w:tc>
      </w:tr>
    </w:tbl>
    <w:p w14:paraId="43EDB6E7" w14:textId="00B6112C" w:rsidR="00FC627D" w:rsidRPr="005C5CBD" w:rsidRDefault="00FC627D" w:rsidP="002D0C9C">
      <w:pPr>
        <w:tabs>
          <w:tab w:val="left" w:pos="3013"/>
        </w:tabs>
        <w:rPr>
          <w:rFonts w:ascii="Garamond" w:hAnsi="Garamond"/>
        </w:rPr>
      </w:pPr>
      <w:r w:rsidRPr="005C5CBD">
        <w:rPr>
          <w:rFonts w:ascii="Garamond" w:hAnsi="Garamond"/>
        </w:rPr>
        <w:br w:type="page"/>
      </w:r>
    </w:p>
    <w:tbl>
      <w:tblPr>
        <w:tblW w:w="6804" w:type="dxa"/>
        <w:jc w:val="center"/>
        <w:tblLayout w:type="fixed"/>
        <w:tblCellMar>
          <w:top w:w="57" w:type="dxa"/>
          <w:left w:w="70" w:type="dxa"/>
          <w:bottom w:w="57" w:type="dxa"/>
          <w:right w:w="70" w:type="dxa"/>
        </w:tblCellMar>
        <w:tblLook w:val="04A0" w:firstRow="1" w:lastRow="0" w:firstColumn="1" w:lastColumn="0" w:noHBand="0" w:noVBand="1"/>
      </w:tblPr>
      <w:tblGrid>
        <w:gridCol w:w="1913"/>
        <w:gridCol w:w="1559"/>
        <w:gridCol w:w="1206"/>
        <w:gridCol w:w="992"/>
        <w:gridCol w:w="1134"/>
      </w:tblGrid>
      <w:tr w:rsidR="003F035B" w:rsidRPr="00BF0CF4" w14:paraId="10B71FBE" w14:textId="77777777" w:rsidTr="002D0C9C">
        <w:trPr>
          <w:cantSplit/>
          <w:jc w:val="center"/>
        </w:trPr>
        <w:tc>
          <w:tcPr>
            <w:tcW w:w="6804" w:type="dxa"/>
            <w:gridSpan w:val="5"/>
            <w:tcBorders>
              <w:top w:val="nil"/>
              <w:left w:val="nil"/>
              <w:right w:val="nil"/>
            </w:tcBorders>
            <w:shd w:val="clear" w:color="auto" w:fill="auto"/>
            <w:noWrap/>
            <w:vAlign w:val="center"/>
            <w:hideMark/>
          </w:tcPr>
          <w:p w14:paraId="29CF9B59" w14:textId="04C2E592" w:rsidR="003F035B" w:rsidRPr="00BF0CF4" w:rsidRDefault="003F035B" w:rsidP="002D0C9C">
            <w:pPr>
              <w:spacing w:after="0" w:line="240" w:lineRule="auto"/>
              <w:jc w:val="center"/>
              <w:rPr>
                <w:rFonts w:ascii="Garamond" w:hAnsi="Garamond" w:cs="Calibri"/>
                <w:b/>
                <w:color w:val="000000"/>
                <w:sz w:val="24"/>
              </w:rPr>
            </w:pPr>
            <w:bookmarkStart w:id="140" w:name="RANGE!A1:E17"/>
            <w:r w:rsidRPr="00BF0CF4">
              <w:rPr>
                <w:rFonts w:ascii="Garamond" w:hAnsi="Garamond" w:cs="Calibri"/>
                <w:b/>
                <w:color w:val="000000"/>
                <w:sz w:val="24"/>
              </w:rPr>
              <w:t>APÊNDICE II</w:t>
            </w:r>
          </w:p>
          <w:bookmarkEnd w:id="140"/>
          <w:p w14:paraId="1C876194" w14:textId="77777777" w:rsidR="003F035B" w:rsidRPr="00BF0CF4" w:rsidRDefault="003F035B" w:rsidP="002D0C9C">
            <w:pPr>
              <w:spacing w:after="0" w:line="240" w:lineRule="auto"/>
              <w:jc w:val="center"/>
              <w:rPr>
                <w:rFonts w:ascii="Garamond" w:hAnsi="Garamond" w:cs="Calibri"/>
                <w:b/>
                <w:color w:val="000000"/>
                <w:sz w:val="24"/>
              </w:rPr>
            </w:pPr>
            <w:r w:rsidRPr="00BF0CF4">
              <w:rPr>
                <w:rFonts w:ascii="Garamond" w:hAnsi="Garamond" w:cs="Calibri"/>
                <w:b/>
                <w:color w:val="000000"/>
                <w:sz w:val="24"/>
              </w:rPr>
              <w:t xml:space="preserve">VALOR NORMAL CONSTRUÍDO </w:t>
            </w:r>
          </w:p>
        </w:tc>
      </w:tr>
      <w:tr w:rsidR="003F035B" w:rsidRPr="00BF0CF4" w14:paraId="4539B688" w14:textId="77777777" w:rsidTr="00BF0CF4">
        <w:trPr>
          <w:cantSplit/>
          <w:jc w:val="center"/>
        </w:trPr>
        <w:tc>
          <w:tcPr>
            <w:tcW w:w="3472" w:type="dxa"/>
            <w:gridSpan w:val="2"/>
            <w:vMerge w:val="restart"/>
            <w:tcBorders>
              <w:top w:val="single" w:sz="4" w:space="0" w:color="auto"/>
              <w:left w:val="single" w:sz="4" w:space="0" w:color="auto"/>
              <w:bottom w:val="nil"/>
              <w:right w:val="nil"/>
            </w:tcBorders>
            <w:shd w:val="clear" w:color="auto" w:fill="auto"/>
            <w:vAlign w:val="center"/>
            <w:hideMark/>
          </w:tcPr>
          <w:p w14:paraId="5C497F9B"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Rubricas</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1575F"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Preço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07186DE"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Coeficiente Técnico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4FC4B2"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Custo unitário do produto</w:t>
            </w:r>
          </w:p>
        </w:tc>
      </w:tr>
      <w:tr w:rsidR="003F035B" w:rsidRPr="00BF0CF4" w14:paraId="60468063" w14:textId="77777777" w:rsidTr="00BF0CF4">
        <w:trPr>
          <w:cantSplit/>
          <w:jc w:val="center"/>
        </w:trPr>
        <w:tc>
          <w:tcPr>
            <w:tcW w:w="3472" w:type="dxa"/>
            <w:gridSpan w:val="2"/>
            <w:vMerge/>
            <w:tcBorders>
              <w:top w:val="single" w:sz="4" w:space="0" w:color="auto"/>
              <w:left w:val="single" w:sz="4" w:space="0" w:color="auto"/>
              <w:bottom w:val="nil"/>
              <w:right w:val="nil"/>
            </w:tcBorders>
            <w:vAlign w:val="center"/>
            <w:hideMark/>
          </w:tcPr>
          <w:p w14:paraId="521C5F63" w14:textId="77777777" w:rsidR="003F035B" w:rsidRPr="00BF0CF4" w:rsidRDefault="003F035B" w:rsidP="002D0C9C">
            <w:pPr>
              <w:spacing w:after="0" w:line="240" w:lineRule="auto"/>
              <w:rPr>
                <w:rFonts w:ascii="Garamond" w:hAnsi="Garamond" w:cs="Calibri"/>
                <w:b/>
                <w:color w:val="000000"/>
              </w:rPr>
            </w:pP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25844CF5"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Informar moeda / unidade</w:t>
            </w:r>
          </w:p>
        </w:tc>
        <w:tc>
          <w:tcPr>
            <w:tcW w:w="992" w:type="dxa"/>
            <w:tcBorders>
              <w:top w:val="nil"/>
              <w:left w:val="nil"/>
              <w:bottom w:val="single" w:sz="4" w:space="0" w:color="auto"/>
              <w:right w:val="single" w:sz="4" w:space="0" w:color="auto"/>
            </w:tcBorders>
            <w:shd w:val="clear" w:color="auto" w:fill="auto"/>
            <w:vAlign w:val="center"/>
            <w:hideMark/>
          </w:tcPr>
          <w:p w14:paraId="5F890D5F"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Informar Unidade</w:t>
            </w:r>
          </w:p>
        </w:tc>
        <w:tc>
          <w:tcPr>
            <w:tcW w:w="1134" w:type="dxa"/>
            <w:tcBorders>
              <w:top w:val="nil"/>
              <w:left w:val="nil"/>
              <w:bottom w:val="single" w:sz="4" w:space="0" w:color="auto"/>
              <w:right w:val="single" w:sz="4" w:space="0" w:color="auto"/>
            </w:tcBorders>
            <w:shd w:val="clear" w:color="auto" w:fill="auto"/>
            <w:vAlign w:val="center"/>
            <w:hideMark/>
          </w:tcPr>
          <w:p w14:paraId="27D2E276"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Informar moeda / unidade</w:t>
            </w:r>
          </w:p>
        </w:tc>
      </w:tr>
      <w:tr w:rsidR="003F035B" w:rsidRPr="00BF0CF4" w14:paraId="07D5352F" w14:textId="77777777" w:rsidTr="00BF0CF4">
        <w:trPr>
          <w:cantSplit/>
          <w:jc w:val="center"/>
        </w:trPr>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846A9"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(A) Matéria-Prima 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7B7C10"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especificar</w:t>
            </w:r>
          </w:p>
        </w:tc>
        <w:tc>
          <w:tcPr>
            <w:tcW w:w="1206" w:type="dxa"/>
            <w:tcBorders>
              <w:top w:val="nil"/>
              <w:left w:val="nil"/>
              <w:bottom w:val="single" w:sz="4" w:space="0" w:color="auto"/>
              <w:right w:val="single" w:sz="4" w:space="0" w:color="auto"/>
            </w:tcBorders>
            <w:shd w:val="clear" w:color="000000" w:fill="FFFFFF"/>
            <w:vAlign w:val="center"/>
            <w:hideMark/>
          </w:tcPr>
          <w:p w14:paraId="17535445" w14:textId="77777777" w:rsidR="003F035B" w:rsidRPr="00BF0CF4" w:rsidRDefault="003F035B" w:rsidP="002D0C9C">
            <w:pPr>
              <w:spacing w:after="0" w:line="240" w:lineRule="auto"/>
              <w:jc w:val="right"/>
              <w:rPr>
                <w:rFonts w:ascii="Garamond" w:hAnsi="Garamond" w:cs="Calibri"/>
                <w:color w:val="000000"/>
              </w:rPr>
            </w:pPr>
          </w:p>
        </w:tc>
        <w:tc>
          <w:tcPr>
            <w:tcW w:w="992" w:type="dxa"/>
            <w:tcBorders>
              <w:top w:val="nil"/>
              <w:left w:val="nil"/>
              <w:bottom w:val="single" w:sz="4" w:space="0" w:color="auto"/>
              <w:right w:val="single" w:sz="4" w:space="0" w:color="auto"/>
            </w:tcBorders>
            <w:shd w:val="clear" w:color="000000" w:fill="FFFFFF"/>
            <w:vAlign w:val="center"/>
            <w:hideMark/>
          </w:tcPr>
          <w:p w14:paraId="72D4A877" w14:textId="77777777" w:rsidR="003F035B" w:rsidRPr="00BF0CF4" w:rsidRDefault="003F035B" w:rsidP="002D0C9C">
            <w:pPr>
              <w:spacing w:after="0" w:line="240" w:lineRule="auto"/>
              <w:jc w:val="right"/>
              <w:rPr>
                <w:rFonts w:ascii="Garamond" w:hAnsi="Garamond" w:cs="Calibri"/>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634FCF6B" w14:textId="77777777" w:rsidR="003F035B" w:rsidRPr="00BF0CF4" w:rsidRDefault="003F035B" w:rsidP="002D0C9C">
            <w:pPr>
              <w:spacing w:after="0" w:line="240" w:lineRule="auto"/>
              <w:jc w:val="right"/>
              <w:rPr>
                <w:rFonts w:ascii="Garamond" w:hAnsi="Garamond" w:cs="Calibri"/>
                <w:b/>
                <w:color w:val="000000"/>
              </w:rPr>
            </w:pPr>
            <w:r w:rsidRPr="00BF0CF4">
              <w:rPr>
                <w:rFonts w:ascii="Garamond" w:hAnsi="Garamond" w:cs="Calibri"/>
                <w:b/>
                <w:color w:val="000000"/>
              </w:rPr>
              <w:t xml:space="preserve"> </w:t>
            </w:r>
          </w:p>
        </w:tc>
      </w:tr>
      <w:tr w:rsidR="003F035B" w:rsidRPr="00BF0CF4" w14:paraId="4EDF47E4" w14:textId="77777777" w:rsidTr="00BF0CF4">
        <w:trPr>
          <w:cantSplit/>
          <w:jc w:val="center"/>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1966027A"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(A) Matéria-Prima 2</w:t>
            </w:r>
          </w:p>
        </w:tc>
        <w:tc>
          <w:tcPr>
            <w:tcW w:w="1559" w:type="dxa"/>
            <w:tcBorders>
              <w:top w:val="nil"/>
              <w:left w:val="nil"/>
              <w:bottom w:val="single" w:sz="4" w:space="0" w:color="auto"/>
              <w:right w:val="single" w:sz="4" w:space="0" w:color="auto"/>
            </w:tcBorders>
            <w:shd w:val="clear" w:color="auto" w:fill="auto"/>
            <w:vAlign w:val="center"/>
            <w:hideMark/>
          </w:tcPr>
          <w:p w14:paraId="7979B0D9"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especificar</w:t>
            </w:r>
          </w:p>
        </w:tc>
        <w:tc>
          <w:tcPr>
            <w:tcW w:w="1206" w:type="dxa"/>
            <w:tcBorders>
              <w:top w:val="nil"/>
              <w:left w:val="nil"/>
              <w:bottom w:val="single" w:sz="4" w:space="0" w:color="auto"/>
              <w:right w:val="single" w:sz="4" w:space="0" w:color="auto"/>
            </w:tcBorders>
            <w:shd w:val="clear" w:color="000000" w:fill="FFFFFF"/>
            <w:vAlign w:val="center"/>
            <w:hideMark/>
          </w:tcPr>
          <w:p w14:paraId="4C826D51" w14:textId="77777777" w:rsidR="003F035B" w:rsidRPr="00BF0CF4" w:rsidRDefault="003F035B" w:rsidP="002D0C9C">
            <w:pPr>
              <w:spacing w:after="0" w:line="240" w:lineRule="auto"/>
              <w:jc w:val="right"/>
              <w:rPr>
                <w:rFonts w:ascii="Garamond" w:hAnsi="Garamond" w:cs="Calibri"/>
                <w:color w:val="000000"/>
              </w:rPr>
            </w:pPr>
          </w:p>
        </w:tc>
        <w:tc>
          <w:tcPr>
            <w:tcW w:w="992" w:type="dxa"/>
            <w:tcBorders>
              <w:top w:val="nil"/>
              <w:left w:val="nil"/>
              <w:bottom w:val="single" w:sz="4" w:space="0" w:color="auto"/>
              <w:right w:val="single" w:sz="4" w:space="0" w:color="auto"/>
            </w:tcBorders>
            <w:shd w:val="clear" w:color="000000" w:fill="FFFFFF"/>
            <w:vAlign w:val="center"/>
            <w:hideMark/>
          </w:tcPr>
          <w:p w14:paraId="42A89943" w14:textId="77777777" w:rsidR="003F035B" w:rsidRPr="00BF0CF4" w:rsidRDefault="003F035B" w:rsidP="002D0C9C">
            <w:pPr>
              <w:spacing w:after="0" w:line="240" w:lineRule="auto"/>
              <w:jc w:val="right"/>
              <w:rPr>
                <w:rFonts w:ascii="Garamond" w:hAnsi="Garamond" w:cs="Calibri"/>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590C7B33" w14:textId="77777777" w:rsidR="003F035B" w:rsidRPr="00BF0CF4" w:rsidRDefault="003F035B" w:rsidP="002D0C9C">
            <w:pPr>
              <w:spacing w:after="0" w:line="240" w:lineRule="auto"/>
              <w:jc w:val="right"/>
              <w:rPr>
                <w:rFonts w:ascii="Garamond" w:hAnsi="Garamond" w:cs="Calibri"/>
                <w:b/>
                <w:color w:val="000000"/>
              </w:rPr>
            </w:pPr>
            <w:r w:rsidRPr="00BF0CF4">
              <w:rPr>
                <w:rFonts w:ascii="Garamond" w:hAnsi="Garamond" w:cs="Calibri"/>
                <w:b/>
                <w:color w:val="000000"/>
              </w:rPr>
              <w:t xml:space="preserve"> </w:t>
            </w:r>
          </w:p>
        </w:tc>
      </w:tr>
      <w:tr w:rsidR="003F035B" w:rsidRPr="00BF0CF4" w14:paraId="61028D1A" w14:textId="77777777" w:rsidTr="00BF0CF4">
        <w:trPr>
          <w:cantSplit/>
          <w:jc w:val="center"/>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66D5D309"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(A) Matéria-Prima 3</w:t>
            </w:r>
          </w:p>
        </w:tc>
        <w:tc>
          <w:tcPr>
            <w:tcW w:w="1559" w:type="dxa"/>
            <w:tcBorders>
              <w:top w:val="nil"/>
              <w:left w:val="nil"/>
              <w:bottom w:val="single" w:sz="4" w:space="0" w:color="auto"/>
              <w:right w:val="single" w:sz="4" w:space="0" w:color="auto"/>
            </w:tcBorders>
            <w:shd w:val="clear" w:color="auto" w:fill="auto"/>
            <w:vAlign w:val="center"/>
            <w:hideMark/>
          </w:tcPr>
          <w:p w14:paraId="340DFEF9"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especificar</w:t>
            </w:r>
          </w:p>
        </w:tc>
        <w:tc>
          <w:tcPr>
            <w:tcW w:w="1206" w:type="dxa"/>
            <w:tcBorders>
              <w:top w:val="nil"/>
              <w:left w:val="nil"/>
              <w:bottom w:val="single" w:sz="4" w:space="0" w:color="auto"/>
              <w:right w:val="single" w:sz="4" w:space="0" w:color="auto"/>
            </w:tcBorders>
            <w:shd w:val="clear" w:color="000000" w:fill="FFFFFF"/>
            <w:vAlign w:val="center"/>
            <w:hideMark/>
          </w:tcPr>
          <w:p w14:paraId="17FB7638" w14:textId="77777777" w:rsidR="003F035B" w:rsidRPr="00BF0CF4" w:rsidRDefault="003F035B" w:rsidP="002D0C9C">
            <w:pPr>
              <w:spacing w:after="0" w:line="240" w:lineRule="auto"/>
              <w:jc w:val="right"/>
              <w:rPr>
                <w:rFonts w:ascii="Garamond" w:hAnsi="Garamond" w:cs="Calibri"/>
                <w:color w:val="000000"/>
              </w:rPr>
            </w:pPr>
          </w:p>
        </w:tc>
        <w:tc>
          <w:tcPr>
            <w:tcW w:w="992" w:type="dxa"/>
            <w:tcBorders>
              <w:top w:val="nil"/>
              <w:left w:val="nil"/>
              <w:bottom w:val="single" w:sz="4" w:space="0" w:color="auto"/>
              <w:right w:val="single" w:sz="4" w:space="0" w:color="auto"/>
            </w:tcBorders>
            <w:shd w:val="clear" w:color="000000" w:fill="FFFFFF"/>
            <w:vAlign w:val="center"/>
            <w:hideMark/>
          </w:tcPr>
          <w:p w14:paraId="24F2FB11" w14:textId="77777777" w:rsidR="003F035B" w:rsidRPr="00BF0CF4" w:rsidRDefault="003F035B" w:rsidP="002D0C9C">
            <w:pPr>
              <w:spacing w:after="0" w:line="240" w:lineRule="auto"/>
              <w:jc w:val="right"/>
              <w:rPr>
                <w:rFonts w:ascii="Garamond" w:hAnsi="Garamond" w:cs="Calibri"/>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189681E9" w14:textId="77777777" w:rsidR="003F035B" w:rsidRPr="00BF0CF4" w:rsidRDefault="003F035B" w:rsidP="002D0C9C">
            <w:pPr>
              <w:spacing w:after="0" w:line="240" w:lineRule="auto"/>
              <w:jc w:val="right"/>
              <w:rPr>
                <w:rFonts w:ascii="Garamond" w:hAnsi="Garamond" w:cs="Calibri"/>
                <w:b/>
                <w:color w:val="000000"/>
              </w:rPr>
            </w:pPr>
            <w:r w:rsidRPr="00BF0CF4">
              <w:rPr>
                <w:rFonts w:ascii="Garamond" w:hAnsi="Garamond" w:cs="Calibri"/>
                <w:b/>
                <w:color w:val="000000"/>
              </w:rPr>
              <w:t xml:space="preserve"> </w:t>
            </w:r>
          </w:p>
        </w:tc>
      </w:tr>
      <w:tr w:rsidR="003F035B" w:rsidRPr="00BF0CF4" w14:paraId="37A96358" w14:textId="77777777" w:rsidTr="00BF0CF4">
        <w:trPr>
          <w:cantSplit/>
          <w:jc w:val="center"/>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39EC06E5"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(A) Matéria-Prima 4</w:t>
            </w:r>
          </w:p>
        </w:tc>
        <w:tc>
          <w:tcPr>
            <w:tcW w:w="1559" w:type="dxa"/>
            <w:tcBorders>
              <w:top w:val="nil"/>
              <w:left w:val="nil"/>
              <w:bottom w:val="single" w:sz="4" w:space="0" w:color="auto"/>
              <w:right w:val="single" w:sz="4" w:space="0" w:color="auto"/>
            </w:tcBorders>
            <w:shd w:val="clear" w:color="auto" w:fill="auto"/>
            <w:vAlign w:val="center"/>
            <w:hideMark/>
          </w:tcPr>
          <w:p w14:paraId="2ED160F9"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especificar</w:t>
            </w:r>
          </w:p>
        </w:tc>
        <w:tc>
          <w:tcPr>
            <w:tcW w:w="1206" w:type="dxa"/>
            <w:tcBorders>
              <w:top w:val="nil"/>
              <w:left w:val="nil"/>
              <w:bottom w:val="single" w:sz="4" w:space="0" w:color="auto"/>
              <w:right w:val="single" w:sz="4" w:space="0" w:color="auto"/>
            </w:tcBorders>
            <w:shd w:val="clear" w:color="000000" w:fill="FFFFFF"/>
            <w:vAlign w:val="center"/>
            <w:hideMark/>
          </w:tcPr>
          <w:p w14:paraId="31820BDF" w14:textId="77777777" w:rsidR="003F035B" w:rsidRPr="00BF0CF4" w:rsidRDefault="003F035B" w:rsidP="002D0C9C">
            <w:pPr>
              <w:spacing w:after="0" w:line="240" w:lineRule="auto"/>
              <w:jc w:val="right"/>
              <w:rPr>
                <w:rFonts w:ascii="Garamond" w:hAnsi="Garamond" w:cs="Calibri"/>
                <w:color w:val="000000"/>
              </w:rPr>
            </w:pPr>
          </w:p>
        </w:tc>
        <w:tc>
          <w:tcPr>
            <w:tcW w:w="992" w:type="dxa"/>
            <w:tcBorders>
              <w:top w:val="nil"/>
              <w:left w:val="nil"/>
              <w:bottom w:val="single" w:sz="4" w:space="0" w:color="auto"/>
              <w:right w:val="single" w:sz="4" w:space="0" w:color="auto"/>
            </w:tcBorders>
            <w:shd w:val="clear" w:color="000000" w:fill="FFFFFF"/>
            <w:vAlign w:val="center"/>
            <w:hideMark/>
          </w:tcPr>
          <w:p w14:paraId="650E3490" w14:textId="77777777" w:rsidR="003F035B" w:rsidRPr="00BF0CF4" w:rsidRDefault="003F035B" w:rsidP="002D0C9C">
            <w:pPr>
              <w:spacing w:after="0" w:line="240" w:lineRule="auto"/>
              <w:jc w:val="right"/>
              <w:rPr>
                <w:rFonts w:ascii="Garamond" w:hAnsi="Garamond" w:cs="Calibri"/>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6D036E3F" w14:textId="77777777" w:rsidR="003F035B" w:rsidRPr="00BF0CF4" w:rsidRDefault="003F035B" w:rsidP="002D0C9C">
            <w:pPr>
              <w:spacing w:after="0" w:line="240" w:lineRule="auto"/>
              <w:jc w:val="right"/>
              <w:rPr>
                <w:rFonts w:ascii="Garamond" w:hAnsi="Garamond" w:cs="Calibri"/>
                <w:b/>
                <w:color w:val="000000"/>
              </w:rPr>
            </w:pPr>
            <w:r w:rsidRPr="00BF0CF4">
              <w:rPr>
                <w:rFonts w:ascii="Garamond" w:hAnsi="Garamond" w:cs="Calibri"/>
                <w:b/>
                <w:color w:val="000000"/>
              </w:rPr>
              <w:t xml:space="preserve"> </w:t>
            </w:r>
          </w:p>
        </w:tc>
      </w:tr>
      <w:tr w:rsidR="003F035B" w:rsidRPr="00BF0CF4" w14:paraId="4EB2EE91" w14:textId="77777777" w:rsidTr="00BF0CF4">
        <w:trPr>
          <w:cantSplit/>
          <w:jc w:val="center"/>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7854F591"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(A) Matéria-Prima 5</w:t>
            </w:r>
          </w:p>
        </w:tc>
        <w:tc>
          <w:tcPr>
            <w:tcW w:w="1559" w:type="dxa"/>
            <w:tcBorders>
              <w:top w:val="nil"/>
              <w:left w:val="nil"/>
              <w:bottom w:val="single" w:sz="4" w:space="0" w:color="auto"/>
              <w:right w:val="single" w:sz="4" w:space="0" w:color="auto"/>
            </w:tcBorders>
            <w:shd w:val="clear" w:color="auto" w:fill="auto"/>
            <w:vAlign w:val="center"/>
            <w:hideMark/>
          </w:tcPr>
          <w:p w14:paraId="6E5DAA44"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especificar</w:t>
            </w:r>
          </w:p>
        </w:tc>
        <w:tc>
          <w:tcPr>
            <w:tcW w:w="1206" w:type="dxa"/>
            <w:tcBorders>
              <w:top w:val="nil"/>
              <w:left w:val="nil"/>
              <w:bottom w:val="single" w:sz="4" w:space="0" w:color="auto"/>
              <w:right w:val="single" w:sz="4" w:space="0" w:color="auto"/>
            </w:tcBorders>
            <w:shd w:val="clear" w:color="000000" w:fill="FFFFFF"/>
            <w:vAlign w:val="center"/>
            <w:hideMark/>
          </w:tcPr>
          <w:p w14:paraId="1A59F6CE" w14:textId="77777777" w:rsidR="003F035B" w:rsidRPr="00BF0CF4" w:rsidRDefault="003F035B" w:rsidP="002D0C9C">
            <w:pPr>
              <w:spacing w:after="0" w:line="240" w:lineRule="auto"/>
              <w:jc w:val="right"/>
              <w:rPr>
                <w:rFonts w:ascii="Garamond" w:hAnsi="Garamond" w:cs="Calibri"/>
                <w:color w:val="000000"/>
              </w:rPr>
            </w:pPr>
          </w:p>
        </w:tc>
        <w:tc>
          <w:tcPr>
            <w:tcW w:w="992" w:type="dxa"/>
            <w:tcBorders>
              <w:top w:val="nil"/>
              <w:left w:val="nil"/>
              <w:bottom w:val="single" w:sz="4" w:space="0" w:color="auto"/>
              <w:right w:val="single" w:sz="4" w:space="0" w:color="auto"/>
            </w:tcBorders>
            <w:shd w:val="clear" w:color="000000" w:fill="FFFFFF"/>
            <w:vAlign w:val="center"/>
            <w:hideMark/>
          </w:tcPr>
          <w:p w14:paraId="085DF94F" w14:textId="77777777" w:rsidR="003F035B" w:rsidRPr="00BF0CF4" w:rsidRDefault="003F035B" w:rsidP="002D0C9C">
            <w:pPr>
              <w:spacing w:after="0" w:line="240" w:lineRule="auto"/>
              <w:jc w:val="right"/>
              <w:rPr>
                <w:rFonts w:ascii="Garamond" w:hAnsi="Garamond" w:cs="Calibri"/>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1831EF38" w14:textId="77777777" w:rsidR="003F035B" w:rsidRPr="00BF0CF4" w:rsidRDefault="003F035B" w:rsidP="002D0C9C">
            <w:pPr>
              <w:spacing w:after="0" w:line="240" w:lineRule="auto"/>
              <w:jc w:val="right"/>
              <w:rPr>
                <w:rFonts w:ascii="Garamond" w:hAnsi="Garamond" w:cs="Calibri"/>
                <w:b/>
                <w:color w:val="000000"/>
              </w:rPr>
            </w:pPr>
            <w:r w:rsidRPr="00BF0CF4">
              <w:rPr>
                <w:rFonts w:ascii="Garamond" w:hAnsi="Garamond" w:cs="Calibri"/>
                <w:b/>
                <w:color w:val="000000"/>
              </w:rPr>
              <w:t xml:space="preserve"> </w:t>
            </w:r>
          </w:p>
        </w:tc>
      </w:tr>
      <w:tr w:rsidR="003F035B" w:rsidRPr="00BF0CF4" w14:paraId="2E26A2BE" w14:textId="77777777" w:rsidTr="00BF0CF4">
        <w:trPr>
          <w:cantSplit/>
          <w:jc w:val="center"/>
        </w:trPr>
        <w:tc>
          <w:tcPr>
            <w:tcW w:w="34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77057F"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(B) Mão de Obra Direta</w:t>
            </w:r>
          </w:p>
        </w:tc>
        <w:tc>
          <w:tcPr>
            <w:tcW w:w="1206" w:type="dxa"/>
            <w:tcBorders>
              <w:top w:val="nil"/>
              <w:left w:val="nil"/>
              <w:bottom w:val="single" w:sz="4" w:space="0" w:color="auto"/>
              <w:right w:val="single" w:sz="4" w:space="0" w:color="auto"/>
            </w:tcBorders>
            <w:shd w:val="clear" w:color="000000" w:fill="FFFFFF"/>
            <w:vAlign w:val="center"/>
            <w:hideMark/>
          </w:tcPr>
          <w:p w14:paraId="0E1AA44B" w14:textId="77777777" w:rsidR="003F035B" w:rsidRPr="00BF0CF4" w:rsidRDefault="003F035B" w:rsidP="002D0C9C">
            <w:pPr>
              <w:spacing w:after="0" w:line="240" w:lineRule="auto"/>
              <w:jc w:val="right"/>
              <w:rPr>
                <w:rFonts w:ascii="Garamond" w:hAnsi="Garamond" w:cs="Calibri"/>
                <w:color w:val="000000"/>
              </w:rPr>
            </w:pPr>
            <w:r w:rsidRPr="00BF0CF4">
              <w:rPr>
                <w:rFonts w:ascii="Garamond" w:hAnsi="Garamond" w:cs="Calibri"/>
                <w:color w:val="000000"/>
              </w:rPr>
              <w:t xml:space="preserve"> </w:t>
            </w:r>
          </w:p>
        </w:tc>
        <w:tc>
          <w:tcPr>
            <w:tcW w:w="992" w:type="dxa"/>
            <w:tcBorders>
              <w:top w:val="nil"/>
              <w:left w:val="nil"/>
              <w:bottom w:val="single" w:sz="4" w:space="0" w:color="auto"/>
              <w:right w:val="single" w:sz="4" w:space="0" w:color="auto"/>
            </w:tcBorders>
            <w:shd w:val="clear" w:color="000000" w:fill="FFFFFF"/>
            <w:vAlign w:val="center"/>
            <w:hideMark/>
          </w:tcPr>
          <w:p w14:paraId="2F1D8BD7" w14:textId="77777777" w:rsidR="003F035B" w:rsidRPr="00BF0CF4" w:rsidRDefault="003F035B" w:rsidP="002D0C9C">
            <w:pPr>
              <w:spacing w:after="0" w:line="240" w:lineRule="auto"/>
              <w:jc w:val="right"/>
              <w:rPr>
                <w:rFonts w:ascii="Garamond" w:hAnsi="Garamond" w:cs="Calibri"/>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1B8A9298" w14:textId="77777777" w:rsidR="003F035B" w:rsidRPr="00BF0CF4" w:rsidRDefault="003F035B" w:rsidP="002D0C9C">
            <w:pPr>
              <w:spacing w:after="0" w:line="240" w:lineRule="auto"/>
              <w:jc w:val="right"/>
              <w:rPr>
                <w:rFonts w:ascii="Garamond" w:hAnsi="Garamond" w:cs="Calibri"/>
                <w:b/>
                <w:color w:val="000000"/>
              </w:rPr>
            </w:pPr>
          </w:p>
        </w:tc>
      </w:tr>
      <w:tr w:rsidR="003F035B" w:rsidRPr="00BF0CF4" w14:paraId="0D619B92" w14:textId="77777777" w:rsidTr="00BF0CF4">
        <w:trPr>
          <w:cantSplit/>
          <w:jc w:val="center"/>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1B3E1E7B"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(C) Outros custos 1</w:t>
            </w:r>
          </w:p>
        </w:tc>
        <w:tc>
          <w:tcPr>
            <w:tcW w:w="1559" w:type="dxa"/>
            <w:tcBorders>
              <w:top w:val="nil"/>
              <w:left w:val="nil"/>
              <w:bottom w:val="single" w:sz="4" w:space="0" w:color="auto"/>
              <w:right w:val="single" w:sz="4" w:space="0" w:color="auto"/>
            </w:tcBorders>
            <w:shd w:val="clear" w:color="auto" w:fill="auto"/>
            <w:vAlign w:val="center"/>
            <w:hideMark/>
          </w:tcPr>
          <w:p w14:paraId="392404CA"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especificar</w:t>
            </w:r>
          </w:p>
        </w:tc>
        <w:tc>
          <w:tcPr>
            <w:tcW w:w="1206" w:type="dxa"/>
            <w:tcBorders>
              <w:top w:val="nil"/>
              <w:left w:val="nil"/>
              <w:bottom w:val="single" w:sz="4" w:space="0" w:color="auto"/>
              <w:right w:val="single" w:sz="4" w:space="0" w:color="auto"/>
            </w:tcBorders>
            <w:shd w:val="clear" w:color="000000" w:fill="FFFFFF"/>
            <w:vAlign w:val="center"/>
            <w:hideMark/>
          </w:tcPr>
          <w:p w14:paraId="35D88463" w14:textId="77777777" w:rsidR="003F035B" w:rsidRPr="00BF0CF4" w:rsidRDefault="003F035B" w:rsidP="002D0C9C">
            <w:pPr>
              <w:spacing w:after="0" w:line="240" w:lineRule="auto"/>
              <w:jc w:val="right"/>
              <w:rPr>
                <w:rFonts w:ascii="Garamond" w:hAnsi="Garamond" w:cs="Calibri"/>
                <w:color w:val="000000"/>
              </w:rPr>
            </w:pPr>
          </w:p>
        </w:tc>
        <w:tc>
          <w:tcPr>
            <w:tcW w:w="992" w:type="dxa"/>
            <w:tcBorders>
              <w:top w:val="nil"/>
              <w:left w:val="nil"/>
              <w:bottom w:val="single" w:sz="4" w:space="0" w:color="auto"/>
              <w:right w:val="single" w:sz="4" w:space="0" w:color="auto"/>
            </w:tcBorders>
            <w:shd w:val="clear" w:color="000000" w:fill="FFFFFF"/>
            <w:vAlign w:val="center"/>
            <w:hideMark/>
          </w:tcPr>
          <w:p w14:paraId="4E5B9CFC" w14:textId="77777777" w:rsidR="003F035B" w:rsidRPr="00BF0CF4" w:rsidRDefault="003F035B" w:rsidP="002D0C9C">
            <w:pPr>
              <w:spacing w:after="0" w:line="240" w:lineRule="auto"/>
              <w:jc w:val="right"/>
              <w:rPr>
                <w:rFonts w:ascii="Garamond" w:hAnsi="Garamond" w:cs="Calibri"/>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2BA25347" w14:textId="77777777" w:rsidR="003F035B" w:rsidRPr="00BF0CF4" w:rsidRDefault="003F035B" w:rsidP="002D0C9C">
            <w:pPr>
              <w:spacing w:after="0" w:line="240" w:lineRule="auto"/>
              <w:jc w:val="right"/>
              <w:rPr>
                <w:rFonts w:ascii="Garamond" w:hAnsi="Garamond" w:cs="Calibri"/>
                <w:b/>
                <w:color w:val="000000"/>
              </w:rPr>
            </w:pPr>
            <w:r w:rsidRPr="00BF0CF4">
              <w:rPr>
                <w:rFonts w:ascii="Garamond" w:hAnsi="Garamond" w:cs="Calibri"/>
                <w:b/>
                <w:color w:val="000000"/>
              </w:rPr>
              <w:t xml:space="preserve"> </w:t>
            </w:r>
          </w:p>
        </w:tc>
      </w:tr>
      <w:tr w:rsidR="003F035B" w:rsidRPr="00BF0CF4" w14:paraId="437AE960" w14:textId="77777777" w:rsidTr="00BF0CF4">
        <w:trPr>
          <w:cantSplit/>
          <w:jc w:val="center"/>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7499DC2B"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(C) Outros custos 2</w:t>
            </w:r>
          </w:p>
        </w:tc>
        <w:tc>
          <w:tcPr>
            <w:tcW w:w="1559" w:type="dxa"/>
            <w:tcBorders>
              <w:top w:val="nil"/>
              <w:left w:val="nil"/>
              <w:bottom w:val="single" w:sz="4" w:space="0" w:color="auto"/>
              <w:right w:val="single" w:sz="4" w:space="0" w:color="auto"/>
            </w:tcBorders>
            <w:shd w:val="clear" w:color="auto" w:fill="auto"/>
            <w:vAlign w:val="center"/>
            <w:hideMark/>
          </w:tcPr>
          <w:p w14:paraId="4DA05D4C"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especificar</w:t>
            </w:r>
          </w:p>
        </w:tc>
        <w:tc>
          <w:tcPr>
            <w:tcW w:w="1206" w:type="dxa"/>
            <w:tcBorders>
              <w:top w:val="nil"/>
              <w:left w:val="nil"/>
              <w:bottom w:val="single" w:sz="4" w:space="0" w:color="auto"/>
              <w:right w:val="single" w:sz="4" w:space="0" w:color="auto"/>
            </w:tcBorders>
            <w:shd w:val="clear" w:color="000000" w:fill="FFFFFF"/>
            <w:vAlign w:val="center"/>
            <w:hideMark/>
          </w:tcPr>
          <w:p w14:paraId="1C281A3B" w14:textId="77777777" w:rsidR="003F035B" w:rsidRPr="00BF0CF4" w:rsidRDefault="003F035B" w:rsidP="002D0C9C">
            <w:pPr>
              <w:spacing w:after="0" w:line="240" w:lineRule="auto"/>
              <w:jc w:val="right"/>
              <w:rPr>
                <w:rFonts w:ascii="Garamond" w:hAnsi="Garamond" w:cs="Calibri"/>
                <w:color w:val="000000"/>
              </w:rPr>
            </w:pPr>
          </w:p>
        </w:tc>
        <w:tc>
          <w:tcPr>
            <w:tcW w:w="992" w:type="dxa"/>
            <w:tcBorders>
              <w:top w:val="nil"/>
              <w:left w:val="nil"/>
              <w:bottom w:val="single" w:sz="4" w:space="0" w:color="auto"/>
              <w:right w:val="single" w:sz="4" w:space="0" w:color="auto"/>
            </w:tcBorders>
            <w:shd w:val="clear" w:color="000000" w:fill="FFFFFF"/>
            <w:vAlign w:val="center"/>
            <w:hideMark/>
          </w:tcPr>
          <w:p w14:paraId="4983194F" w14:textId="77777777" w:rsidR="003F035B" w:rsidRPr="00BF0CF4" w:rsidRDefault="003F035B" w:rsidP="002D0C9C">
            <w:pPr>
              <w:spacing w:after="0" w:line="240" w:lineRule="auto"/>
              <w:jc w:val="right"/>
              <w:rPr>
                <w:rFonts w:ascii="Garamond" w:hAnsi="Garamond" w:cs="Calibri"/>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456EB74D" w14:textId="77777777" w:rsidR="003F035B" w:rsidRPr="00BF0CF4" w:rsidRDefault="003F035B" w:rsidP="002D0C9C">
            <w:pPr>
              <w:spacing w:after="0" w:line="240" w:lineRule="auto"/>
              <w:jc w:val="right"/>
              <w:rPr>
                <w:rFonts w:ascii="Garamond" w:hAnsi="Garamond" w:cs="Calibri"/>
                <w:b/>
                <w:color w:val="000000"/>
              </w:rPr>
            </w:pPr>
            <w:r w:rsidRPr="00BF0CF4">
              <w:rPr>
                <w:rFonts w:ascii="Garamond" w:hAnsi="Garamond" w:cs="Calibri"/>
                <w:b/>
                <w:color w:val="000000"/>
              </w:rPr>
              <w:t xml:space="preserve"> </w:t>
            </w:r>
          </w:p>
        </w:tc>
      </w:tr>
      <w:tr w:rsidR="003F035B" w:rsidRPr="00BF0CF4" w14:paraId="6459A056" w14:textId="77777777" w:rsidTr="00BF0CF4">
        <w:trPr>
          <w:cantSplit/>
          <w:jc w:val="center"/>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5D57F0FF"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(C) Outros custos 3</w:t>
            </w:r>
          </w:p>
        </w:tc>
        <w:tc>
          <w:tcPr>
            <w:tcW w:w="1559" w:type="dxa"/>
            <w:tcBorders>
              <w:top w:val="nil"/>
              <w:left w:val="nil"/>
              <w:bottom w:val="single" w:sz="4" w:space="0" w:color="auto"/>
              <w:right w:val="single" w:sz="4" w:space="0" w:color="auto"/>
            </w:tcBorders>
            <w:shd w:val="clear" w:color="auto" w:fill="auto"/>
            <w:vAlign w:val="center"/>
            <w:hideMark/>
          </w:tcPr>
          <w:p w14:paraId="11C560C6"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especificar</w:t>
            </w:r>
          </w:p>
        </w:tc>
        <w:tc>
          <w:tcPr>
            <w:tcW w:w="1206" w:type="dxa"/>
            <w:tcBorders>
              <w:top w:val="nil"/>
              <w:left w:val="nil"/>
              <w:bottom w:val="single" w:sz="4" w:space="0" w:color="auto"/>
              <w:right w:val="single" w:sz="4" w:space="0" w:color="auto"/>
            </w:tcBorders>
            <w:shd w:val="clear" w:color="000000" w:fill="FFFFFF"/>
            <w:vAlign w:val="center"/>
            <w:hideMark/>
          </w:tcPr>
          <w:p w14:paraId="5C1E4240" w14:textId="77777777" w:rsidR="003F035B" w:rsidRPr="00BF0CF4" w:rsidRDefault="003F035B" w:rsidP="002D0C9C">
            <w:pPr>
              <w:spacing w:after="0" w:line="240" w:lineRule="auto"/>
              <w:jc w:val="right"/>
              <w:rPr>
                <w:rFonts w:ascii="Garamond" w:hAnsi="Garamond" w:cs="Calibri"/>
                <w:color w:val="000000"/>
              </w:rPr>
            </w:pPr>
          </w:p>
        </w:tc>
        <w:tc>
          <w:tcPr>
            <w:tcW w:w="992" w:type="dxa"/>
            <w:tcBorders>
              <w:top w:val="nil"/>
              <w:left w:val="nil"/>
              <w:bottom w:val="single" w:sz="4" w:space="0" w:color="auto"/>
              <w:right w:val="single" w:sz="4" w:space="0" w:color="auto"/>
            </w:tcBorders>
            <w:shd w:val="clear" w:color="000000" w:fill="FFFFFF"/>
            <w:vAlign w:val="center"/>
            <w:hideMark/>
          </w:tcPr>
          <w:p w14:paraId="0FE0858B" w14:textId="77777777" w:rsidR="003F035B" w:rsidRPr="00BF0CF4" w:rsidRDefault="003F035B" w:rsidP="002D0C9C">
            <w:pPr>
              <w:spacing w:after="0" w:line="240" w:lineRule="auto"/>
              <w:jc w:val="right"/>
              <w:rPr>
                <w:rFonts w:ascii="Garamond" w:hAnsi="Garamond" w:cs="Calibri"/>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336FD560" w14:textId="77777777" w:rsidR="003F035B" w:rsidRPr="00BF0CF4" w:rsidRDefault="003F035B" w:rsidP="002D0C9C">
            <w:pPr>
              <w:spacing w:after="0" w:line="240" w:lineRule="auto"/>
              <w:jc w:val="right"/>
              <w:rPr>
                <w:rFonts w:ascii="Garamond" w:hAnsi="Garamond" w:cs="Calibri"/>
                <w:b/>
                <w:color w:val="000000"/>
              </w:rPr>
            </w:pPr>
            <w:r w:rsidRPr="00BF0CF4">
              <w:rPr>
                <w:rFonts w:ascii="Garamond" w:hAnsi="Garamond" w:cs="Calibri"/>
                <w:b/>
                <w:color w:val="000000"/>
              </w:rPr>
              <w:t xml:space="preserve"> </w:t>
            </w:r>
          </w:p>
        </w:tc>
      </w:tr>
      <w:tr w:rsidR="003F035B" w:rsidRPr="00BF0CF4" w14:paraId="60A16485" w14:textId="77777777" w:rsidTr="00BF0CF4">
        <w:trPr>
          <w:cantSplit/>
          <w:jc w:val="center"/>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5D68E2A0"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(C) Outros custos 4</w:t>
            </w:r>
          </w:p>
        </w:tc>
        <w:tc>
          <w:tcPr>
            <w:tcW w:w="1559" w:type="dxa"/>
            <w:tcBorders>
              <w:top w:val="nil"/>
              <w:left w:val="nil"/>
              <w:bottom w:val="single" w:sz="4" w:space="0" w:color="auto"/>
              <w:right w:val="single" w:sz="4" w:space="0" w:color="auto"/>
            </w:tcBorders>
            <w:shd w:val="clear" w:color="auto" w:fill="auto"/>
            <w:vAlign w:val="center"/>
            <w:hideMark/>
          </w:tcPr>
          <w:p w14:paraId="1BCAF6BC"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especificar</w:t>
            </w:r>
          </w:p>
        </w:tc>
        <w:tc>
          <w:tcPr>
            <w:tcW w:w="1206" w:type="dxa"/>
            <w:tcBorders>
              <w:top w:val="nil"/>
              <w:left w:val="nil"/>
              <w:bottom w:val="single" w:sz="4" w:space="0" w:color="auto"/>
              <w:right w:val="single" w:sz="4" w:space="0" w:color="auto"/>
            </w:tcBorders>
            <w:shd w:val="clear" w:color="000000" w:fill="FFFFFF"/>
            <w:vAlign w:val="center"/>
            <w:hideMark/>
          </w:tcPr>
          <w:p w14:paraId="54683F45" w14:textId="77777777" w:rsidR="003F035B" w:rsidRPr="00BF0CF4" w:rsidRDefault="003F035B" w:rsidP="002D0C9C">
            <w:pPr>
              <w:spacing w:after="0" w:line="240" w:lineRule="auto"/>
              <w:jc w:val="right"/>
              <w:rPr>
                <w:rFonts w:ascii="Garamond" w:hAnsi="Garamond" w:cs="Calibri"/>
                <w:color w:val="000000"/>
              </w:rPr>
            </w:pPr>
          </w:p>
        </w:tc>
        <w:tc>
          <w:tcPr>
            <w:tcW w:w="992" w:type="dxa"/>
            <w:tcBorders>
              <w:top w:val="nil"/>
              <w:left w:val="nil"/>
              <w:bottom w:val="single" w:sz="4" w:space="0" w:color="auto"/>
              <w:right w:val="single" w:sz="4" w:space="0" w:color="auto"/>
            </w:tcBorders>
            <w:shd w:val="clear" w:color="000000" w:fill="FFFFFF"/>
            <w:vAlign w:val="center"/>
            <w:hideMark/>
          </w:tcPr>
          <w:p w14:paraId="3E502404" w14:textId="77777777" w:rsidR="003F035B" w:rsidRPr="00BF0CF4" w:rsidRDefault="003F035B" w:rsidP="002D0C9C">
            <w:pPr>
              <w:spacing w:after="0" w:line="240" w:lineRule="auto"/>
              <w:jc w:val="right"/>
              <w:rPr>
                <w:rFonts w:ascii="Garamond" w:hAnsi="Garamond" w:cs="Calibri"/>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23828126" w14:textId="77777777" w:rsidR="003F035B" w:rsidRPr="00BF0CF4" w:rsidRDefault="003F035B" w:rsidP="002D0C9C">
            <w:pPr>
              <w:spacing w:after="0" w:line="240" w:lineRule="auto"/>
              <w:jc w:val="right"/>
              <w:rPr>
                <w:rFonts w:ascii="Garamond" w:hAnsi="Garamond" w:cs="Calibri"/>
                <w:b/>
                <w:color w:val="000000"/>
              </w:rPr>
            </w:pPr>
            <w:r w:rsidRPr="00BF0CF4">
              <w:rPr>
                <w:rFonts w:ascii="Garamond" w:hAnsi="Garamond" w:cs="Calibri"/>
                <w:b/>
                <w:color w:val="000000"/>
              </w:rPr>
              <w:t xml:space="preserve"> </w:t>
            </w:r>
          </w:p>
        </w:tc>
      </w:tr>
      <w:tr w:rsidR="003F035B" w:rsidRPr="00BF0CF4" w14:paraId="172671C2" w14:textId="77777777" w:rsidTr="00BF0CF4">
        <w:trPr>
          <w:cantSplit/>
          <w:jc w:val="center"/>
        </w:trPr>
        <w:tc>
          <w:tcPr>
            <w:tcW w:w="1913" w:type="dxa"/>
            <w:tcBorders>
              <w:top w:val="nil"/>
              <w:left w:val="single" w:sz="4" w:space="0" w:color="auto"/>
              <w:bottom w:val="single" w:sz="4" w:space="0" w:color="auto"/>
              <w:right w:val="single" w:sz="4" w:space="0" w:color="auto"/>
            </w:tcBorders>
            <w:shd w:val="clear" w:color="auto" w:fill="auto"/>
            <w:vAlign w:val="center"/>
            <w:hideMark/>
          </w:tcPr>
          <w:p w14:paraId="2A9A3ABA"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(C) Outros custos 5</w:t>
            </w:r>
          </w:p>
        </w:tc>
        <w:tc>
          <w:tcPr>
            <w:tcW w:w="1559" w:type="dxa"/>
            <w:tcBorders>
              <w:top w:val="nil"/>
              <w:left w:val="nil"/>
              <w:bottom w:val="single" w:sz="4" w:space="0" w:color="auto"/>
              <w:right w:val="single" w:sz="4" w:space="0" w:color="auto"/>
            </w:tcBorders>
            <w:shd w:val="clear" w:color="auto" w:fill="auto"/>
            <w:vAlign w:val="center"/>
            <w:hideMark/>
          </w:tcPr>
          <w:p w14:paraId="79CBC76F" w14:textId="77777777" w:rsidR="003F035B" w:rsidRPr="00BF0CF4" w:rsidRDefault="003F035B" w:rsidP="002D0C9C">
            <w:pPr>
              <w:spacing w:after="0" w:line="240" w:lineRule="auto"/>
              <w:jc w:val="center"/>
              <w:rPr>
                <w:rFonts w:ascii="Garamond" w:hAnsi="Garamond" w:cs="Calibri"/>
                <w:b/>
                <w:color w:val="000000"/>
              </w:rPr>
            </w:pPr>
            <w:r w:rsidRPr="00BF0CF4">
              <w:rPr>
                <w:rFonts w:ascii="Garamond" w:hAnsi="Garamond" w:cs="Calibri"/>
                <w:b/>
                <w:color w:val="000000"/>
              </w:rPr>
              <w:t>especificar</w:t>
            </w:r>
          </w:p>
        </w:tc>
        <w:tc>
          <w:tcPr>
            <w:tcW w:w="1206" w:type="dxa"/>
            <w:tcBorders>
              <w:top w:val="nil"/>
              <w:left w:val="nil"/>
              <w:bottom w:val="single" w:sz="4" w:space="0" w:color="auto"/>
              <w:right w:val="single" w:sz="4" w:space="0" w:color="auto"/>
            </w:tcBorders>
            <w:shd w:val="clear" w:color="000000" w:fill="FFFFFF"/>
            <w:vAlign w:val="center"/>
            <w:hideMark/>
          </w:tcPr>
          <w:p w14:paraId="19AEF3AC" w14:textId="77777777" w:rsidR="003F035B" w:rsidRPr="00BF0CF4" w:rsidRDefault="003F035B" w:rsidP="002D0C9C">
            <w:pPr>
              <w:spacing w:after="0" w:line="240" w:lineRule="auto"/>
              <w:jc w:val="right"/>
              <w:rPr>
                <w:rFonts w:ascii="Garamond" w:hAnsi="Garamond" w:cs="Calibri"/>
                <w:color w:val="000000"/>
              </w:rPr>
            </w:pPr>
          </w:p>
        </w:tc>
        <w:tc>
          <w:tcPr>
            <w:tcW w:w="992" w:type="dxa"/>
            <w:tcBorders>
              <w:top w:val="nil"/>
              <w:left w:val="nil"/>
              <w:bottom w:val="single" w:sz="4" w:space="0" w:color="auto"/>
              <w:right w:val="single" w:sz="4" w:space="0" w:color="auto"/>
            </w:tcBorders>
            <w:shd w:val="clear" w:color="000000" w:fill="FFFFFF"/>
            <w:vAlign w:val="center"/>
            <w:hideMark/>
          </w:tcPr>
          <w:p w14:paraId="67C6DB2F" w14:textId="77777777" w:rsidR="003F035B" w:rsidRPr="00BF0CF4" w:rsidRDefault="003F035B" w:rsidP="002D0C9C">
            <w:pPr>
              <w:spacing w:after="0" w:line="240" w:lineRule="auto"/>
              <w:jc w:val="right"/>
              <w:rPr>
                <w:rFonts w:ascii="Garamond" w:hAnsi="Garamond" w:cs="Calibri"/>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52D381C6" w14:textId="77777777" w:rsidR="003F035B" w:rsidRPr="00BF0CF4" w:rsidRDefault="003F035B" w:rsidP="002D0C9C">
            <w:pPr>
              <w:spacing w:after="0" w:line="240" w:lineRule="auto"/>
              <w:jc w:val="right"/>
              <w:rPr>
                <w:rFonts w:ascii="Garamond" w:hAnsi="Garamond" w:cs="Calibri"/>
                <w:b/>
                <w:color w:val="000000"/>
              </w:rPr>
            </w:pPr>
            <w:r w:rsidRPr="00BF0CF4">
              <w:rPr>
                <w:rFonts w:ascii="Garamond" w:hAnsi="Garamond" w:cs="Calibri"/>
                <w:b/>
                <w:color w:val="000000"/>
              </w:rPr>
              <w:t xml:space="preserve"> </w:t>
            </w:r>
          </w:p>
        </w:tc>
      </w:tr>
      <w:tr w:rsidR="003F035B" w:rsidRPr="00BF0CF4" w14:paraId="333856BF" w14:textId="77777777" w:rsidTr="00BF0CF4">
        <w:trPr>
          <w:cantSplit/>
          <w:jc w:val="center"/>
        </w:trPr>
        <w:tc>
          <w:tcPr>
            <w:tcW w:w="34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E6D760"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(D) Custo de Produção (A+B+C)</w:t>
            </w:r>
          </w:p>
        </w:tc>
        <w:tc>
          <w:tcPr>
            <w:tcW w:w="1206" w:type="dxa"/>
            <w:tcBorders>
              <w:top w:val="nil"/>
              <w:left w:val="nil"/>
              <w:bottom w:val="single" w:sz="4" w:space="0" w:color="auto"/>
              <w:right w:val="single" w:sz="4" w:space="0" w:color="auto"/>
            </w:tcBorders>
            <w:shd w:val="clear" w:color="000000" w:fill="FFFFFF"/>
            <w:vAlign w:val="center"/>
            <w:hideMark/>
          </w:tcPr>
          <w:p w14:paraId="0AE144B0" w14:textId="77777777" w:rsidR="003F035B" w:rsidRPr="00BF0CF4" w:rsidRDefault="003F035B" w:rsidP="002D0C9C">
            <w:pPr>
              <w:spacing w:after="0" w:line="240" w:lineRule="auto"/>
              <w:jc w:val="right"/>
              <w:rPr>
                <w:rFonts w:ascii="Garamond" w:hAnsi="Garamond" w:cs="Calibri"/>
                <w:b/>
                <w:color w:val="000000"/>
              </w:rPr>
            </w:pPr>
            <w:r w:rsidRPr="00BF0CF4">
              <w:rPr>
                <w:rFonts w:ascii="Garamond" w:hAnsi="Garamond" w:cs="Calibri"/>
                <w:b/>
                <w:color w:val="000000"/>
              </w:rPr>
              <w:t xml:space="preserve"> </w:t>
            </w:r>
          </w:p>
        </w:tc>
        <w:tc>
          <w:tcPr>
            <w:tcW w:w="992" w:type="dxa"/>
            <w:tcBorders>
              <w:top w:val="nil"/>
              <w:left w:val="nil"/>
              <w:bottom w:val="single" w:sz="4" w:space="0" w:color="auto"/>
              <w:right w:val="single" w:sz="4" w:space="0" w:color="auto"/>
            </w:tcBorders>
            <w:shd w:val="clear" w:color="000000" w:fill="FFFFFF"/>
            <w:vAlign w:val="center"/>
            <w:hideMark/>
          </w:tcPr>
          <w:p w14:paraId="7F14B9FF" w14:textId="77777777" w:rsidR="003F035B" w:rsidRPr="00BF0CF4" w:rsidRDefault="003F035B" w:rsidP="002D0C9C">
            <w:pPr>
              <w:spacing w:after="0" w:line="240" w:lineRule="auto"/>
              <w:jc w:val="right"/>
              <w:rPr>
                <w:rFonts w:ascii="Garamond" w:hAnsi="Garamond" w:cs="Calibri"/>
                <w:b/>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59307654" w14:textId="77777777" w:rsidR="003F035B" w:rsidRPr="00BF0CF4" w:rsidRDefault="003F035B" w:rsidP="002D0C9C">
            <w:pPr>
              <w:spacing w:after="0" w:line="240" w:lineRule="auto"/>
              <w:jc w:val="right"/>
              <w:rPr>
                <w:rFonts w:ascii="Garamond" w:hAnsi="Garamond" w:cs="Calibri"/>
                <w:b/>
                <w:color w:val="000000"/>
              </w:rPr>
            </w:pPr>
          </w:p>
        </w:tc>
      </w:tr>
      <w:tr w:rsidR="003F035B" w:rsidRPr="00BF0CF4" w14:paraId="2B9E98C6" w14:textId="77777777" w:rsidTr="00BF0CF4">
        <w:trPr>
          <w:cantSplit/>
          <w:jc w:val="center"/>
        </w:trPr>
        <w:tc>
          <w:tcPr>
            <w:tcW w:w="34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64BC40"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(E) Despesas Gerais e Administrativas</w:t>
            </w:r>
          </w:p>
        </w:tc>
        <w:tc>
          <w:tcPr>
            <w:tcW w:w="1206" w:type="dxa"/>
            <w:tcBorders>
              <w:top w:val="nil"/>
              <w:left w:val="nil"/>
              <w:bottom w:val="single" w:sz="4" w:space="0" w:color="auto"/>
              <w:right w:val="single" w:sz="4" w:space="0" w:color="auto"/>
            </w:tcBorders>
            <w:shd w:val="clear" w:color="000000" w:fill="FFFFFF"/>
            <w:vAlign w:val="center"/>
            <w:hideMark/>
          </w:tcPr>
          <w:p w14:paraId="1A969514" w14:textId="77777777" w:rsidR="003F035B" w:rsidRPr="00BF0CF4" w:rsidRDefault="003F035B" w:rsidP="002D0C9C">
            <w:pPr>
              <w:spacing w:after="0" w:line="240" w:lineRule="auto"/>
              <w:jc w:val="right"/>
              <w:rPr>
                <w:rFonts w:ascii="Garamond" w:hAnsi="Garamond" w:cs="Calibri"/>
                <w:color w:val="000000"/>
              </w:rPr>
            </w:pPr>
            <w:r w:rsidRPr="00BF0CF4">
              <w:rPr>
                <w:rFonts w:ascii="Garamond" w:hAnsi="Garamond" w:cs="Calibri"/>
                <w:color w:val="000000"/>
              </w:rPr>
              <w:t xml:space="preserve"> </w:t>
            </w:r>
          </w:p>
        </w:tc>
        <w:tc>
          <w:tcPr>
            <w:tcW w:w="992" w:type="dxa"/>
            <w:tcBorders>
              <w:top w:val="nil"/>
              <w:left w:val="nil"/>
              <w:bottom w:val="single" w:sz="4" w:space="0" w:color="auto"/>
              <w:right w:val="single" w:sz="4" w:space="0" w:color="auto"/>
            </w:tcBorders>
            <w:shd w:val="clear" w:color="000000" w:fill="FFFFFF"/>
            <w:vAlign w:val="center"/>
            <w:hideMark/>
          </w:tcPr>
          <w:p w14:paraId="1DE1F217" w14:textId="77777777" w:rsidR="003F035B" w:rsidRPr="00BF0CF4" w:rsidRDefault="003F035B" w:rsidP="002D0C9C">
            <w:pPr>
              <w:spacing w:after="0" w:line="240" w:lineRule="auto"/>
              <w:jc w:val="right"/>
              <w:rPr>
                <w:rFonts w:ascii="Garamond" w:hAnsi="Garamond" w:cs="Calibri"/>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00111D53" w14:textId="77777777" w:rsidR="003F035B" w:rsidRPr="00BF0CF4" w:rsidRDefault="003F035B" w:rsidP="002D0C9C">
            <w:pPr>
              <w:spacing w:after="0" w:line="240" w:lineRule="auto"/>
              <w:jc w:val="right"/>
              <w:rPr>
                <w:rFonts w:ascii="Garamond" w:hAnsi="Garamond" w:cs="Calibri"/>
                <w:b/>
                <w:color w:val="000000"/>
              </w:rPr>
            </w:pPr>
          </w:p>
        </w:tc>
      </w:tr>
      <w:tr w:rsidR="003F035B" w:rsidRPr="00BF0CF4" w14:paraId="3F689889" w14:textId="77777777" w:rsidTr="00BF0CF4">
        <w:trPr>
          <w:cantSplit/>
          <w:jc w:val="center"/>
        </w:trPr>
        <w:tc>
          <w:tcPr>
            <w:tcW w:w="34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57B06E"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(F) Despesas Comerciais</w:t>
            </w:r>
          </w:p>
        </w:tc>
        <w:tc>
          <w:tcPr>
            <w:tcW w:w="1206" w:type="dxa"/>
            <w:tcBorders>
              <w:top w:val="nil"/>
              <w:left w:val="nil"/>
              <w:bottom w:val="single" w:sz="4" w:space="0" w:color="auto"/>
              <w:right w:val="single" w:sz="4" w:space="0" w:color="auto"/>
            </w:tcBorders>
            <w:shd w:val="clear" w:color="000000" w:fill="FFFFFF"/>
            <w:vAlign w:val="center"/>
            <w:hideMark/>
          </w:tcPr>
          <w:p w14:paraId="051864E6" w14:textId="77777777" w:rsidR="003F035B" w:rsidRPr="00BF0CF4" w:rsidRDefault="003F035B" w:rsidP="002D0C9C">
            <w:pPr>
              <w:spacing w:after="0" w:line="240" w:lineRule="auto"/>
              <w:jc w:val="right"/>
              <w:rPr>
                <w:rFonts w:ascii="Garamond" w:hAnsi="Garamond" w:cs="Calibri"/>
                <w:color w:val="000000"/>
              </w:rPr>
            </w:pPr>
            <w:r w:rsidRPr="00BF0CF4">
              <w:rPr>
                <w:rFonts w:ascii="Garamond" w:hAnsi="Garamond" w:cs="Calibri"/>
                <w:color w:val="000000"/>
              </w:rPr>
              <w:t xml:space="preserve"> </w:t>
            </w:r>
          </w:p>
        </w:tc>
        <w:tc>
          <w:tcPr>
            <w:tcW w:w="992" w:type="dxa"/>
            <w:tcBorders>
              <w:top w:val="nil"/>
              <w:left w:val="nil"/>
              <w:bottom w:val="single" w:sz="4" w:space="0" w:color="auto"/>
              <w:right w:val="single" w:sz="4" w:space="0" w:color="auto"/>
            </w:tcBorders>
            <w:shd w:val="clear" w:color="000000" w:fill="FFFFFF"/>
            <w:vAlign w:val="center"/>
            <w:hideMark/>
          </w:tcPr>
          <w:p w14:paraId="13E385A1" w14:textId="77777777" w:rsidR="003F035B" w:rsidRPr="00BF0CF4" w:rsidRDefault="003F035B" w:rsidP="002D0C9C">
            <w:pPr>
              <w:spacing w:after="0" w:line="240" w:lineRule="auto"/>
              <w:jc w:val="right"/>
              <w:rPr>
                <w:rFonts w:ascii="Garamond" w:hAnsi="Garamond" w:cs="Calibri"/>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1A8A1C33" w14:textId="77777777" w:rsidR="003F035B" w:rsidRPr="00BF0CF4" w:rsidRDefault="003F035B" w:rsidP="002D0C9C">
            <w:pPr>
              <w:spacing w:after="0" w:line="240" w:lineRule="auto"/>
              <w:jc w:val="right"/>
              <w:rPr>
                <w:rFonts w:ascii="Garamond" w:hAnsi="Garamond" w:cs="Calibri"/>
                <w:b/>
                <w:color w:val="000000"/>
              </w:rPr>
            </w:pPr>
          </w:p>
        </w:tc>
      </w:tr>
      <w:tr w:rsidR="003F035B" w:rsidRPr="00BF0CF4" w14:paraId="4930824C" w14:textId="77777777" w:rsidTr="00BF0CF4">
        <w:trPr>
          <w:cantSplit/>
          <w:jc w:val="center"/>
        </w:trPr>
        <w:tc>
          <w:tcPr>
            <w:tcW w:w="347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AB0889A"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(G) Despesas Financeiras</w:t>
            </w:r>
          </w:p>
        </w:tc>
        <w:tc>
          <w:tcPr>
            <w:tcW w:w="1206" w:type="dxa"/>
            <w:tcBorders>
              <w:top w:val="nil"/>
              <w:left w:val="nil"/>
              <w:bottom w:val="single" w:sz="4" w:space="0" w:color="auto"/>
              <w:right w:val="single" w:sz="4" w:space="0" w:color="auto"/>
            </w:tcBorders>
            <w:shd w:val="clear" w:color="000000" w:fill="FFFFFF"/>
            <w:vAlign w:val="center"/>
            <w:hideMark/>
          </w:tcPr>
          <w:p w14:paraId="517544B3" w14:textId="77777777" w:rsidR="003F035B" w:rsidRPr="00BF0CF4" w:rsidRDefault="003F035B" w:rsidP="002D0C9C">
            <w:pPr>
              <w:spacing w:after="0" w:line="240" w:lineRule="auto"/>
              <w:jc w:val="right"/>
              <w:rPr>
                <w:rFonts w:ascii="Garamond" w:hAnsi="Garamond" w:cs="Calibri"/>
                <w:color w:val="000000"/>
              </w:rPr>
            </w:pPr>
            <w:r w:rsidRPr="00BF0CF4">
              <w:rPr>
                <w:rFonts w:ascii="Garamond" w:hAnsi="Garamond" w:cs="Calibri"/>
                <w:color w:val="000000"/>
              </w:rPr>
              <w:t xml:space="preserve"> </w:t>
            </w:r>
          </w:p>
        </w:tc>
        <w:tc>
          <w:tcPr>
            <w:tcW w:w="992" w:type="dxa"/>
            <w:tcBorders>
              <w:top w:val="nil"/>
              <w:left w:val="nil"/>
              <w:bottom w:val="single" w:sz="4" w:space="0" w:color="auto"/>
              <w:right w:val="single" w:sz="4" w:space="0" w:color="auto"/>
            </w:tcBorders>
            <w:shd w:val="clear" w:color="000000" w:fill="FFFFFF"/>
            <w:vAlign w:val="center"/>
            <w:hideMark/>
          </w:tcPr>
          <w:p w14:paraId="1AD96F2E" w14:textId="77777777" w:rsidR="003F035B" w:rsidRPr="00BF0CF4" w:rsidRDefault="003F035B" w:rsidP="002D0C9C">
            <w:pPr>
              <w:spacing w:after="0" w:line="240" w:lineRule="auto"/>
              <w:jc w:val="right"/>
              <w:rPr>
                <w:rFonts w:ascii="Garamond" w:hAnsi="Garamond" w:cs="Calibri"/>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228AFD9F" w14:textId="77777777" w:rsidR="003F035B" w:rsidRPr="00BF0CF4" w:rsidRDefault="003F035B" w:rsidP="002D0C9C">
            <w:pPr>
              <w:spacing w:after="0" w:line="240" w:lineRule="auto"/>
              <w:jc w:val="right"/>
              <w:rPr>
                <w:rFonts w:ascii="Garamond" w:hAnsi="Garamond" w:cs="Calibri"/>
                <w:b/>
                <w:color w:val="000000"/>
              </w:rPr>
            </w:pPr>
          </w:p>
        </w:tc>
      </w:tr>
      <w:tr w:rsidR="003F035B" w:rsidRPr="00BF0CF4" w14:paraId="205BA5EF" w14:textId="77777777" w:rsidTr="00BF0CF4">
        <w:trPr>
          <w:cantSplit/>
          <w:jc w:val="center"/>
        </w:trPr>
        <w:tc>
          <w:tcPr>
            <w:tcW w:w="34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0366AA"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(H) Custo Total (D+E+F+G)</w:t>
            </w:r>
          </w:p>
        </w:tc>
        <w:tc>
          <w:tcPr>
            <w:tcW w:w="1206" w:type="dxa"/>
            <w:tcBorders>
              <w:top w:val="nil"/>
              <w:left w:val="nil"/>
              <w:bottom w:val="single" w:sz="4" w:space="0" w:color="auto"/>
              <w:right w:val="single" w:sz="4" w:space="0" w:color="auto"/>
            </w:tcBorders>
            <w:shd w:val="clear" w:color="000000" w:fill="FFFFFF"/>
            <w:vAlign w:val="center"/>
            <w:hideMark/>
          </w:tcPr>
          <w:p w14:paraId="4E86656B" w14:textId="77777777" w:rsidR="003F035B" w:rsidRPr="00BF0CF4" w:rsidRDefault="003F035B" w:rsidP="002D0C9C">
            <w:pPr>
              <w:spacing w:after="0" w:line="240" w:lineRule="auto"/>
              <w:jc w:val="right"/>
              <w:rPr>
                <w:rFonts w:ascii="Garamond" w:hAnsi="Garamond" w:cs="Calibri"/>
                <w:b/>
                <w:color w:val="000000"/>
              </w:rPr>
            </w:pPr>
            <w:r w:rsidRPr="00BF0CF4">
              <w:rPr>
                <w:rFonts w:ascii="Garamond" w:hAnsi="Garamond" w:cs="Calibri"/>
                <w:b/>
                <w:color w:val="000000"/>
              </w:rPr>
              <w:t xml:space="preserve"> </w:t>
            </w:r>
          </w:p>
        </w:tc>
        <w:tc>
          <w:tcPr>
            <w:tcW w:w="992" w:type="dxa"/>
            <w:tcBorders>
              <w:top w:val="nil"/>
              <w:left w:val="nil"/>
              <w:bottom w:val="single" w:sz="4" w:space="0" w:color="auto"/>
              <w:right w:val="single" w:sz="4" w:space="0" w:color="auto"/>
            </w:tcBorders>
            <w:shd w:val="clear" w:color="000000" w:fill="FFFFFF"/>
            <w:vAlign w:val="center"/>
            <w:hideMark/>
          </w:tcPr>
          <w:p w14:paraId="14ED95A9" w14:textId="77777777" w:rsidR="003F035B" w:rsidRPr="00BF0CF4" w:rsidRDefault="003F035B" w:rsidP="002D0C9C">
            <w:pPr>
              <w:spacing w:after="0" w:line="240" w:lineRule="auto"/>
              <w:jc w:val="right"/>
              <w:rPr>
                <w:rFonts w:ascii="Garamond" w:hAnsi="Garamond" w:cs="Calibri"/>
                <w:b/>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79933B6C" w14:textId="77777777" w:rsidR="003F035B" w:rsidRPr="00BF0CF4" w:rsidRDefault="003F035B" w:rsidP="002D0C9C">
            <w:pPr>
              <w:spacing w:after="0" w:line="240" w:lineRule="auto"/>
              <w:jc w:val="right"/>
              <w:rPr>
                <w:rFonts w:ascii="Garamond" w:hAnsi="Garamond" w:cs="Calibri"/>
                <w:b/>
                <w:color w:val="000000"/>
              </w:rPr>
            </w:pPr>
          </w:p>
        </w:tc>
      </w:tr>
      <w:tr w:rsidR="003F035B" w:rsidRPr="00BF0CF4" w14:paraId="65C7B07C" w14:textId="77777777" w:rsidTr="00BF0CF4">
        <w:trPr>
          <w:cantSplit/>
          <w:jc w:val="center"/>
        </w:trPr>
        <w:tc>
          <w:tcPr>
            <w:tcW w:w="34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F97380"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(I)Lucro</w:t>
            </w:r>
          </w:p>
        </w:tc>
        <w:tc>
          <w:tcPr>
            <w:tcW w:w="1206" w:type="dxa"/>
            <w:tcBorders>
              <w:top w:val="nil"/>
              <w:left w:val="nil"/>
              <w:bottom w:val="single" w:sz="4" w:space="0" w:color="auto"/>
              <w:right w:val="single" w:sz="4" w:space="0" w:color="auto"/>
            </w:tcBorders>
            <w:shd w:val="clear" w:color="000000" w:fill="FFFFFF"/>
            <w:vAlign w:val="center"/>
            <w:hideMark/>
          </w:tcPr>
          <w:p w14:paraId="5AD0DFBF" w14:textId="77777777" w:rsidR="003F035B" w:rsidRPr="00BF0CF4" w:rsidRDefault="003F035B" w:rsidP="002D0C9C">
            <w:pPr>
              <w:spacing w:after="0" w:line="240" w:lineRule="auto"/>
              <w:jc w:val="right"/>
              <w:rPr>
                <w:rFonts w:ascii="Garamond" w:hAnsi="Garamond" w:cs="Calibri"/>
                <w:color w:val="000000"/>
              </w:rPr>
            </w:pPr>
            <w:r w:rsidRPr="00BF0CF4">
              <w:rPr>
                <w:rFonts w:ascii="Garamond" w:hAnsi="Garamond" w:cs="Calibri"/>
                <w:color w:val="000000"/>
              </w:rPr>
              <w:t xml:space="preserve"> </w:t>
            </w:r>
          </w:p>
        </w:tc>
        <w:tc>
          <w:tcPr>
            <w:tcW w:w="992" w:type="dxa"/>
            <w:tcBorders>
              <w:top w:val="nil"/>
              <w:left w:val="nil"/>
              <w:bottom w:val="single" w:sz="4" w:space="0" w:color="auto"/>
              <w:right w:val="single" w:sz="4" w:space="0" w:color="auto"/>
            </w:tcBorders>
            <w:shd w:val="clear" w:color="000000" w:fill="FFFFFF"/>
            <w:vAlign w:val="center"/>
            <w:hideMark/>
          </w:tcPr>
          <w:p w14:paraId="1A24921C" w14:textId="77777777" w:rsidR="003F035B" w:rsidRPr="00BF0CF4" w:rsidRDefault="003F035B" w:rsidP="002D0C9C">
            <w:pPr>
              <w:spacing w:after="0" w:line="240" w:lineRule="auto"/>
              <w:jc w:val="right"/>
              <w:rPr>
                <w:rFonts w:ascii="Garamond" w:hAnsi="Garamond" w:cs="Calibri"/>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0805E8FC" w14:textId="77777777" w:rsidR="003F035B" w:rsidRPr="00BF0CF4" w:rsidRDefault="003F035B" w:rsidP="002D0C9C">
            <w:pPr>
              <w:spacing w:after="0" w:line="240" w:lineRule="auto"/>
              <w:jc w:val="right"/>
              <w:rPr>
                <w:rFonts w:ascii="Garamond" w:hAnsi="Garamond" w:cs="Calibri"/>
                <w:b/>
                <w:color w:val="000000"/>
              </w:rPr>
            </w:pPr>
          </w:p>
        </w:tc>
      </w:tr>
      <w:tr w:rsidR="003F035B" w:rsidRPr="00BF0CF4" w14:paraId="462581B6" w14:textId="77777777" w:rsidTr="00BF0CF4">
        <w:trPr>
          <w:cantSplit/>
          <w:jc w:val="center"/>
        </w:trPr>
        <w:tc>
          <w:tcPr>
            <w:tcW w:w="34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CA73F1" w14:textId="77777777" w:rsidR="003F035B" w:rsidRPr="00BF0CF4" w:rsidRDefault="003F035B" w:rsidP="002D0C9C">
            <w:pPr>
              <w:spacing w:after="0" w:line="240" w:lineRule="auto"/>
              <w:rPr>
                <w:rFonts w:ascii="Garamond" w:hAnsi="Garamond" w:cs="Calibri"/>
                <w:b/>
                <w:color w:val="000000"/>
              </w:rPr>
            </w:pPr>
            <w:r w:rsidRPr="00BF0CF4">
              <w:rPr>
                <w:rFonts w:ascii="Garamond" w:hAnsi="Garamond" w:cs="Calibri"/>
                <w:b/>
                <w:color w:val="000000"/>
              </w:rPr>
              <w:t>(J) Preço ex fabrica</w:t>
            </w:r>
            <w:r w:rsidRPr="00BF0CF4">
              <w:rPr>
                <w:rFonts w:ascii="Garamond" w:hAnsi="Garamond" w:cs="Calibri"/>
                <w:b/>
                <w:i/>
                <w:color w:val="000000"/>
              </w:rPr>
              <w:t xml:space="preserve"> </w:t>
            </w:r>
            <w:r w:rsidRPr="00BF0CF4">
              <w:rPr>
                <w:rFonts w:ascii="Garamond" w:hAnsi="Garamond" w:cs="Calibri"/>
                <w:b/>
                <w:color w:val="000000"/>
              </w:rPr>
              <w:t>(H+I)</w:t>
            </w:r>
          </w:p>
        </w:tc>
        <w:tc>
          <w:tcPr>
            <w:tcW w:w="1206" w:type="dxa"/>
            <w:tcBorders>
              <w:top w:val="nil"/>
              <w:left w:val="nil"/>
              <w:bottom w:val="single" w:sz="4" w:space="0" w:color="auto"/>
              <w:right w:val="single" w:sz="4" w:space="0" w:color="auto"/>
            </w:tcBorders>
            <w:shd w:val="clear" w:color="000000" w:fill="FFFFFF"/>
            <w:vAlign w:val="center"/>
            <w:hideMark/>
          </w:tcPr>
          <w:p w14:paraId="49CEB7CC" w14:textId="77777777" w:rsidR="003F035B" w:rsidRPr="00BF0CF4" w:rsidRDefault="003F035B" w:rsidP="002D0C9C">
            <w:pPr>
              <w:spacing w:after="0" w:line="240" w:lineRule="auto"/>
              <w:jc w:val="right"/>
              <w:rPr>
                <w:rFonts w:ascii="Garamond" w:hAnsi="Garamond" w:cs="Calibri"/>
                <w:b/>
                <w:color w:val="000000"/>
              </w:rPr>
            </w:pPr>
            <w:r w:rsidRPr="00BF0CF4">
              <w:rPr>
                <w:rFonts w:ascii="Garamond" w:hAnsi="Garamond" w:cs="Calibri"/>
                <w:b/>
                <w:color w:val="000000"/>
              </w:rPr>
              <w:t xml:space="preserve"> </w:t>
            </w:r>
          </w:p>
        </w:tc>
        <w:tc>
          <w:tcPr>
            <w:tcW w:w="992" w:type="dxa"/>
            <w:tcBorders>
              <w:top w:val="nil"/>
              <w:left w:val="nil"/>
              <w:bottom w:val="single" w:sz="4" w:space="0" w:color="auto"/>
              <w:right w:val="single" w:sz="4" w:space="0" w:color="auto"/>
            </w:tcBorders>
            <w:shd w:val="clear" w:color="000000" w:fill="FFFFFF"/>
            <w:vAlign w:val="center"/>
            <w:hideMark/>
          </w:tcPr>
          <w:p w14:paraId="1A6DDF62" w14:textId="77777777" w:rsidR="003F035B" w:rsidRPr="00BF0CF4" w:rsidRDefault="003F035B" w:rsidP="002D0C9C">
            <w:pPr>
              <w:spacing w:after="0" w:line="240" w:lineRule="auto"/>
              <w:jc w:val="right"/>
              <w:rPr>
                <w:rFonts w:ascii="Garamond" w:hAnsi="Garamond" w:cs="Calibri"/>
                <w:b/>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14:paraId="041F7704" w14:textId="77777777" w:rsidR="003F035B" w:rsidRPr="00BF0CF4" w:rsidRDefault="003F035B" w:rsidP="002D0C9C">
            <w:pPr>
              <w:spacing w:after="0" w:line="240" w:lineRule="auto"/>
              <w:jc w:val="right"/>
              <w:rPr>
                <w:rFonts w:ascii="Garamond" w:hAnsi="Garamond" w:cs="Calibri"/>
                <w:b/>
                <w:color w:val="000000"/>
              </w:rPr>
            </w:pPr>
          </w:p>
        </w:tc>
      </w:tr>
    </w:tbl>
    <w:p w14:paraId="27EDF1DE" w14:textId="77777777" w:rsidR="003F035B" w:rsidRPr="00395593" w:rsidRDefault="003F035B" w:rsidP="00E33E26">
      <w:pPr>
        <w:rPr>
          <w:rFonts w:ascii="Garamond" w:hAnsi="Garamond" w:cs="Calibri"/>
          <w:color w:val="000000"/>
          <w:sz w:val="18"/>
          <w:szCs w:val="18"/>
        </w:rPr>
      </w:pPr>
    </w:p>
    <w:p w14:paraId="6E64A7D0" w14:textId="77777777" w:rsidR="003F035B" w:rsidRPr="00395593" w:rsidRDefault="003F035B" w:rsidP="00E33E26">
      <w:pPr>
        <w:rPr>
          <w:rFonts w:ascii="Garamond" w:hAnsi="Garamond" w:cs="Calibri"/>
          <w:color w:val="000000"/>
          <w:sz w:val="18"/>
          <w:szCs w:val="18"/>
        </w:rPr>
      </w:pPr>
      <w:r w:rsidRPr="00395593">
        <w:rPr>
          <w:rFonts w:ascii="Garamond" w:hAnsi="Garamond" w:cs="Calibri"/>
          <w:color w:val="000000"/>
          <w:sz w:val="18"/>
          <w:szCs w:val="18"/>
        </w:rPr>
        <w:br w:type="page"/>
      </w:r>
    </w:p>
    <w:tbl>
      <w:tblPr>
        <w:tblW w:w="6804" w:type="dxa"/>
        <w:jc w:val="center"/>
        <w:tblLayout w:type="fixed"/>
        <w:tblCellMar>
          <w:top w:w="57" w:type="dxa"/>
          <w:left w:w="70" w:type="dxa"/>
          <w:bottom w:w="57" w:type="dxa"/>
          <w:right w:w="70" w:type="dxa"/>
        </w:tblCellMar>
        <w:tblLook w:val="04A0" w:firstRow="1" w:lastRow="0" w:firstColumn="1" w:lastColumn="0" w:noHBand="0" w:noVBand="1"/>
      </w:tblPr>
      <w:tblGrid>
        <w:gridCol w:w="3223"/>
        <w:gridCol w:w="1757"/>
        <w:gridCol w:w="1824"/>
      </w:tblGrid>
      <w:tr w:rsidR="003F035B" w:rsidRPr="00BF0CF4" w14:paraId="368CC2FA" w14:textId="77777777" w:rsidTr="002D0C9C">
        <w:trPr>
          <w:cantSplit/>
          <w:jc w:val="center"/>
        </w:trPr>
        <w:tc>
          <w:tcPr>
            <w:tcW w:w="6804" w:type="dxa"/>
            <w:gridSpan w:val="3"/>
            <w:tcBorders>
              <w:top w:val="nil"/>
              <w:left w:val="nil"/>
              <w:bottom w:val="single" w:sz="4" w:space="0" w:color="auto"/>
              <w:right w:val="nil"/>
            </w:tcBorders>
            <w:shd w:val="clear" w:color="auto" w:fill="auto"/>
            <w:noWrap/>
            <w:vAlign w:val="center"/>
            <w:hideMark/>
          </w:tcPr>
          <w:p w14:paraId="2686D26C" w14:textId="77777777" w:rsidR="003F035B" w:rsidRPr="00BF0CF4" w:rsidRDefault="003F035B" w:rsidP="002D0C9C">
            <w:pPr>
              <w:spacing w:after="0" w:line="240" w:lineRule="auto"/>
              <w:jc w:val="center"/>
              <w:rPr>
                <w:rFonts w:ascii="Garamond" w:hAnsi="Garamond" w:cs="Calibri"/>
                <w:b/>
                <w:color w:val="000000"/>
                <w:sz w:val="24"/>
                <w:szCs w:val="24"/>
              </w:rPr>
            </w:pPr>
            <w:bookmarkStart w:id="141" w:name="RANGE!A1:C11"/>
            <w:r w:rsidRPr="00BF0CF4">
              <w:rPr>
                <w:rFonts w:ascii="Garamond" w:hAnsi="Garamond" w:cs="Calibri"/>
                <w:b/>
                <w:color w:val="000000"/>
                <w:sz w:val="24"/>
                <w:szCs w:val="24"/>
              </w:rPr>
              <w:t>APÊNDICE III</w:t>
            </w:r>
          </w:p>
          <w:bookmarkEnd w:id="141"/>
          <w:p w14:paraId="1D433674"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PREÇO DE EXPORTAÇÃO</w:t>
            </w:r>
          </w:p>
        </w:tc>
      </w:tr>
      <w:tr w:rsidR="003F035B" w:rsidRPr="00BF0CF4" w14:paraId="6A966740" w14:textId="77777777" w:rsidTr="002D0C9C">
        <w:trPr>
          <w:cantSplit/>
          <w:jc w:val="center"/>
        </w:trPr>
        <w:tc>
          <w:tcPr>
            <w:tcW w:w="4980" w:type="dxa"/>
            <w:gridSpan w:val="2"/>
            <w:vMerge w:val="restart"/>
            <w:tcBorders>
              <w:top w:val="single" w:sz="4" w:space="0" w:color="auto"/>
              <w:left w:val="single" w:sz="4" w:space="0" w:color="auto"/>
              <w:bottom w:val="single" w:sz="4" w:space="0" w:color="auto"/>
              <w:right w:val="nil"/>
            </w:tcBorders>
            <w:shd w:val="clear" w:color="auto" w:fill="auto"/>
            <w:vAlign w:val="center"/>
            <w:hideMark/>
          </w:tcPr>
          <w:p w14:paraId="5120CB8F"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Rubricas</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E0583"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Valor Unitário</w:t>
            </w:r>
          </w:p>
        </w:tc>
      </w:tr>
      <w:tr w:rsidR="003F035B" w:rsidRPr="00BF0CF4" w14:paraId="087B3C3C" w14:textId="77777777" w:rsidTr="002D0C9C">
        <w:trPr>
          <w:cantSplit/>
          <w:jc w:val="center"/>
        </w:trPr>
        <w:tc>
          <w:tcPr>
            <w:tcW w:w="4980" w:type="dxa"/>
            <w:gridSpan w:val="2"/>
            <w:vMerge/>
            <w:tcBorders>
              <w:top w:val="single" w:sz="4" w:space="0" w:color="auto"/>
              <w:left w:val="single" w:sz="4" w:space="0" w:color="auto"/>
              <w:bottom w:val="single" w:sz="4" w:space="0" w:color="auto"/>
              <w:right w:val="nil"/>
            </w:tcBorders>
            <w:vAlign w:val="center"/>
            <w:hideMark/>
          </w:tcPr>
          <w:p w14:paraId="2703FB69" w14:textId="77777777" w:rsidR="003F035B" w:rsidRPr="00BF0CF4" w:rsidRDefault="003F035B" w:rsidP="002D0C9C">
            <w:pPr>
              <w:spacing w:after="0" w:line="240" w:lineRule="auto"/>
              <w:rPr>
                <w:rFonts w:ascii="Garamond" w:hAnsi="Garamond" w:cs="Calibri"/>
                <w:b/>
                <w:color w:val="000000"/>
                <w:sz w:val="24"/>
                <w:szCs w:val="24"/>
              </w:rPr>
            </w:pP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0B9F8"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Informar moeda / unidade</w:t>
            </w:r>
          </w:p>
        </w:tc>
      </w:tr>
      <w:tr w:rsidR="003F035B" w:rsidRPr="00BF0CF4" w14:paraId="772AD943" w14:textId="77777777" w:rsidTr="002D0C9C">
        <w:trPr>
          <w:cantSplit/>
          <w:jc w:val="center"/>
        </w:trPr>
        <w:tc>
          <w:tcPr>
            <w:tcW w:w="4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C274CD"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(A)Preço FOB para o Brasil</w:t>
            </w:r>
          </w:p>
        </w:tc>
        <w:tc>
          <w:tcPr>
            <w:tcW w:w="18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07E6B8" w14:textId="77777777" w:rsidR="003F035B" w:rsidRPr="00BF0CF4" w:rsidRDefault="003F035B" w:rsidP="002D0C9C">
            <w:pPr>
              <w:spacing w:after="0" w:line="240" w:lineRule="auto"/>
              <w:jc w:val="right"/>
              <w:rPr>
                <w:rFonts w:ascii="Garamond" w:hAnsi="Garamond" w:cs="Calibri"/>
                <w:color w:val="000000"/>
                <w:sz w:val="24"/>
                <w:szCs w:val="24"/>
              </w:rPr>
            </w:pPr>
          </w:p>
        </w:tc>
      </w:tr>
      <w:tr w:rsidR="003F035B" w:rsidRPr="00BF0CF4" w14:paraId="51261E95" w14:textId="77777777" w:rsidTr="002D0C9C">
        <w:trPr>
          <w:cantSplit/>
          <w:jc w:val="center"/>
        </w:trPr>
        <w:tc>
          <w:tcPr>
            <w:tcW w:w="4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DDD6ED"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(B) Frete Fábrica - porto</w:t>
            </w:r>
          </w:p>
        </w:tc>
        <w:tc>
          <w:tcPr>
            <w:tcW w:w="1824" w:type="dxa"/>
            <w:tcBorders>
              <w:top w:val="single" w:sz="4" w:space="0" w:color="auto"/>
              <w:left w:val="nil"/>
              <w:bottom w:val="single" w:sz="4" w:space="0" w:color="auto"/>
              <w:right w:val="single" w:sz="4" w:space="0" w:color="auto"/>
            </w:tcBorders>
            <w:shd w:val="clear" w:color="000000" w:fill="FFFFFF"/>
            <w:vAlign w:val="center"/>
            <w:hideMark/>
          </w:tcPr>
          <w:p w14:paraId="768B180A" w14:textId="77777777" w:rsidR="003F035B" w:rsidRPr="00BF0CF4" w:rsidRDefault="003F035B" w:rsidP="002D0C9C">
            <w:pPr>
              <w:spacing w:after="0" w:line="240" w:lineRule="auto"/>
              <w:jc w:val="right"/>
              <w:rPr>
                <w:rFonts w:ascii="Garamond" w:hAnsi="Garamond" w:cs="Calibri"/>
                <w:color w:val="000000"/>
                <w:sz w:val="24"/>
                <w:szCs w:val="24"/>
              </w:rPr>
            </w:pPr>
          </w:p>
        </w:tc>
      </w:tr>
      <w:tr w:rsidR="003F035B" w:rsidRPr="00BF0CF4" w14:paraId="039C1B8B" w14:textId="77777777" w:rsidTr="002D0C9C">
        <w:trPr>
          <w:cantSplit/>
          <w:jc w:val="center"/>
        </w:trPr>
        <w:tc>
          <w:tcPr>
            <w:tcW w:w="3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02A26"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(C) Outras despesas de exportação 1</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14:paraId="700DBC7C"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especificar</w:t>
            </w:r>
          </w:p>
        </w:tc>
        <w:tc>
          <w:tcPr>
            <w:tcW w:w="1824" w:type="dxa"/>
            <w:tcBorders>
              <w:top w:val="single" w:sz="4" w:space="0" w:color="auto"/>
              <w:left w:val="nil"/>
              <w:bottom w:val="single" w:sz="4" w:space="0" w:color="auto"/>
              <w:right w:val="single" w:sz="4" w:space="0" w:color="auto"/>
            </w:tcBorders>
            <w:shd w:val="clear" w:color="000000" w:fill="FFFFFF"/>
            <w:vAlign w:val="center"/>
            <w:hideMark/>
          </w:tcPr>
          <w:p w14:paraId="5A04C23A" w14:textId="77777777" w:rsidR="003F035B" w:rsidRPr="00BF0CF4" w:rsidRDefault="003F035B" w:rsidP="002D0C9C">
            <w:pPr>
              <w:spacing w:after="0" w:line="240" w:lineRule="auto"/>
              <w:jc w:val="right"/>
              <w:rPr>
                <w:rFonts w:ascii="Garamond" w:hAnsi="Garamond" w:cs="Calibri"/>
                <w:color w:val="000000"/>
                <w:sz w:val="24"/>
                <w:szCs w:val="24"/>
              </w:rPr>
            </w:pPr>
            <w:r w:rsidRPr="00BF0CF4">
              <w:rPr>
                <w:rFonts w:ascii="Garamond" w:hAnsi="Garamond" w:cs="Calibri"/>
                <w:color w:val="000000"/>
                <w:sz w:val="24"/>
                <w:szCs w:val="24"/>
              </w:rPr>
              <w:t xml:space="preserve"> </w:t>
            </w:r>
          </w:p>
        </w:tc>
      </w:tr>
      <w:tr w:rsidR="003F035B" w:rsidRPr="00BF0CF4" w14:paraId="140C215C" w14:textId="77777777" w:rsidTr="002D0C9C">
        <w:trPr>
          <w:cantSplit/>
          <w:jc w:val="center"/>
        </w:trPr>
        <w:tc>
          <w:tcPr>
            <w:tcW w:w="3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94943"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(C) Outras despesas de exportação 2</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14:paraId="28DC57CC"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especificar</w:t>
            </w:r>
          </w:p>
        </w:tc>
        <w:tc>
          <w:tcPr>
            <w:tcW w:w="1824" w:type="dxa"/>
            <w:tcBorders>
              <w:top w:val="single" w:sz="4" w:space="0" w:color="auto"/>
              <w:left w:val="nil"/>
              <w:bottom w:val="single" w:sz="4" w:space="0" w:color="auto"/>
              <w:right w:val="single" w:sz="4" w:space="0" w:color="auto"/>
            </w:tcBorders>
            <w:shd w:val="clear" w:color="000000" w:fill="FFFFFF"/>
            <w:vAlign w:val="center"/>
            <w:hideMark/>
          </w:tcPr>
          <w:p w14:paraId="2820F963" w14:textId="77777777" w:rsidR="003F035B" w:rsidRPr="00BF0CF4" w:rsidRDefault="003F035B" w:rsidP="002D0C9C">
            <w:pPr>
              <w:spacing w:after="0" w:line="240" w:lineRule="auto"/>
              <w:jc w:val="right"/>
              <w:rPr>
                <w:rFonts w:ascii="Garamond" w:hAnsi="Garamond" w:cs="Calibri"/>
                <w:color w:val="000000"/>
                <w:sz w:val="24"/>
                <w:szCs w:val="24"/>
              </w:rPr>
            </w:pPr>
            <w:r w:rsidRPr="00BF0CF4">
              <w:rPr>
                <w:rFonts w:ascii="Garamond" w:hAnsi="Garamond" w:cs="Calibri"/>
                <w:color w:val="000000"/>
                <w:sz w:val="24"/>
                <w:szCs w:val="24"/>
              </w:rPr>
              <w:t xml:space="preserve"> </w:t>
            </w:r>
          </w:p>
        </w:tc>
      </w:tr>
      <w:tr w:rsidR="003F035B" w:rsidRPr="00BF0CF4" w14:paraId="00E689E8" w14:textId="77777777" w:rsidTr="002D0C9C">
        <w:trPr>
          <w:cantSplit/>
          <w:jc w:val="center"/>
        </w:trPr>
        <w:tc>
          <w:tcPr>
            <w:tcW w:w="3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88A75"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(C) Outras despesas de exportação 3</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14:paraId="359481A5"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especificar</w:t>
            </w:r>
          </w:p>
        </w:tc>
        <w:tc>
          <w:tcPr>
            <w:tcW w:w="1824" w:type="dxa"/>
            <w:tcBorders>
              <w:top w:val="single" w:sz="4" w:space="0" w:color="auto"/>
              <w:left w:val="nil"/>
              <w:bottom w:val="single" w:sz="4" w:space="0" w:color="auto"/>
              <w:right w:val="single" w:sz="4" w:space="0" w:color="auto"/>
            </w:tcBorders>
            <w:shd w:val="clear" w:color="000000" w:fill="FFFFFF"/>
            <w:vAlign w:val="center"/>
            <w:hideMark/>
          </w:tcPr>
          <w:p w14:paraId="1D3E7A4C" w14:textId="77777777" w:rsidR="003F035B" w:rsidRPr="00BF0CF4" w:rsidRDefault="003F035B" w:rsidP="002D0C9C">
            <w:pPr>
              <w:spacing w:after="0" w:line="240" w:lineRule="auto"/>
              <w:jc w:val="right"/>
              <w:rPr>
                <w:rFonts w:ascii="Garamond" w:hAnsi="Garamond" w:cs="Calibri"/>
                <w:color w:val="000000"/>
                <w:sz w:val="24"/>
                <w:szCs w:val="24"/>
              </w:rPr>
            </w:pPr>
            <w:r w:rsidRPr="00BF0CF4">
              <w:rPr>
                <w:rFonts w:ascii="Garamond" w:hAnsi="Garamond" w:cs="Calibri"/>
                <w:color w:val="000000"/>
                <w:sz w:val="24"/>
                <w:szCs w:val="24"/>
              </w:rPr>
              <w:t xml:space="preserve"> </w:t>
            </w:r>
          </w:p>
        </w:tc>
      </w:tr>
      <w:tr w:rsidR="003F035B" w:rsidRPr="00BF0CF4" w14:paraId="2679BD58" w14:textId="77777777" w:rsidTr="002D0C9C">
        <w:trPr>
          <w:cantSplit/>
          <w:jc w:val="center"/>
        </w:trPr>
        <w:tc>
          <w:tcPr>
            <w:tcW w:w="4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454A05"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(D) Preço ex fabrica (A-B-C)</w:t>
            </w:r>
          </w:p>
        </w:tc>
        <w:tc>
          <w:tcPr>
            <w:tcW w:w="1824" w:type="dxa"/>
            <w:tcBorders>
              <w:top w:val="single" w:sz="4" w:space="0" w:color="auto"/>
              <w:left w:val="nil"/>
              <w:bottom w:val="single" w:sz="4" w:space="0" w:color="auto"/>
              <w:right w:val="single" w:sz="4" w:space="0" w:color="auto"/>
            </w:tcBorders>
            <w:shd w:val="clear" w:color="000000" w:fill="D9D9D9"/>
            <w:vAlign w:val="center"/>
            <w:hideMark/>
          </w:tcPr>
          <w:p w14:paraId="28357943" w14:textId="77777777" w:rsidR="003F035B" w:rsidRPr="00BF0CF4" w:rsidRDefault="003F035B" w:rsidP="002D0C9C">
            <w:pPr>
              <w:spacing w:after="0" w:line="240" w:lineRule="auto"/>
              <w:jc w:val="right"/>
              <w:rPr>
                <w:rFonts w:ascii="Garamond" w:hAnsi="Garamond" w:cs="Calibri"/>
                <w:b/>
                <w:color w:val="000000"/>
                <w:sz w:val="24"/>
                <w:szCs w:val="24"/>
              </w:rPr>
            </w:pPr>
          </w:p>
        </w:tc>
      </w:tr>
    </w:tbl>
    <w:p w14:paraId="2761AB6E" w14:textId="77777777" w:rsidR="003F035B" w:rsidRPr="00395593" w:rsidRDefault="003F035B" w:rsidP="00E33E26">
      <w:pPr>
        <w:jc w:val="center"/>
        <w:rPr>
          <w:rFonts w:ascii="Garamond" w:eastAsia="Calibri" w:hAnsi="Garamond" w:cs="Calibri"/>
          <w:color w:val="000000"/>
          <w:sz w:val="18"/>
          <w:szCs w:val="18"/>
        </w:rPr>
      </w:pPr>
    </w:p>
    <w:p w14:paraId="6F9D6058" w14:textId="77777777" w:rsidR="00FC627D" w:rsidRPr="005C5CBD" w:rsidRDefault="00FC627D">
      <w:pPr>
        <w:rPr>
          <w:rFonts w:ascii="Garamond" w:hAnsi="Garamond"/>
        </w:rPr>
      </w:pPr>
      <w:bookmarkStart w:id="142" w:name="RANGE!A1:C36"/>
      <w:r w:rsidRPr="005C5CBD">
        <w:rPr>
          <w:rFonts w:ascii="Garamond" w:hAnsi="Garamond"/>
        </w:rPr>
        <w:br w:type="page"/>
      </w:r>
    </w:p>
    <w:tbl>
      <w:tblPr>
        <w:tblW w:w="6804" w:type="dxa"/>
        <w:jc w:val="center"/>
        <w:tblLayout w:type="fixed"/>
        <w:tblCellMar>
          <w:top w:w="57" w:type="dxa"/>
          <w:left w:w="70" w:type="dxa"/>
          <w:bottom w:w="57" w:type="dxa"/>
          <w:right w:w="70" w:type="dxa"/>
        </w:tblCellMar>
        <w:tblLook w:val="04A0" w:firstRow="1" w:lastRow="0" w:firstColumn="1" w:lastColumn="0" w:noHBand="0" w:noVBand="1"/>
      </w:tblPr>
      <w:tblGrid>
        <w:gridCol w:w="3289"/>
        <w:gridCol w:w="2168"/>
        <w:gridCol w:w="1347"/>
      </w:tblGrid>
      <w:tr w:rsidR="003F035B" w:rsidRPr="00BF0CF4" w14:paraId="7E8795B4" w14:textId="77777777" w:rsidTr="002D0C9C">
        <w:trPr>
          <w:cantSplit/>
          <w:jc w:val="center"/>
        </w:trPr>
        <w:tc>
          <w:tcPr>
            <w:tcW w:w="6804" w:type="dxa"/>
            <w:gridSpan w:val="3"/>
            <w:tcBorders>
              <w:top w:val="nil"/>
              <w:left w:val="nil"/>
              <w:right w:val="nil"/>
            </w:tcBorders>
            <w:shd w:val="clear" w:color="auto" w:fill="auto"/>
            <w:noWrap/>
            <w:vAlign w:val="center"/>
            <w:hideMark/>
          </w:tcPr>
          <w:p w14:paraId="68FA5D9C" w14:textId="5DE32F60"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APÊNDICE IV</w:t>
            </w:r>
          </w:p>
          <w:bookmarkEnd w:id="142"/>
          <w:p w14:paraId="67E6062B"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PREÇO DE EXPORTAÇÃO CONSTRUÍDO</w:t>
            </w:r>
          </w:p>
        </w:tc>
      </w:tr>
      <w:tr w:rsidR="003F035B" w:rsidRPr="00BF0CF4" w14:paraId="255DC738" w14:textId="77777777" w:rsidTr="002D0C9C">
        <w:trPr>
          <w:cantSplit/>
          <w:jc w:val="center"/>
        </w:trPr>
        <w:tc>
          <w:tcPr>
            <w:tcW w:w="5457" w:type="dxa"/>
            <w:gridSpan w:val="2"/>
            <w:vMerge w:val="restart"/>
            <w:tcBorders>
              <w:top w:val="single" w:sz="4" w:space="0" w:color="auto"/>
              <w:left w:val="single" w:sz="4" w:space="0" w:color="auto"/>
              <w:bottom w:val="nil"/>
              <w:right w:val="nil"/>
            </w:tcBorders>
            <w:shd w:val="clear" w:color="auto" w:fill="auto"/>
            <w:vAlign w:val="center"/>
            <w:hideMark/>
          </w:tcPr>
          <w:p w14:paraId="328724C9"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Rubricas</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AF962"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Preço Unitário</w:t>
            </w:r>
          </w:p>
        </w:tc>
      </w:tr>
      <w:tr w:rsidR="003F035B" w:rsidRPr="00BF0CF4" w14:paraId="043B965F" w14:textId="77777777" w:rsidTr="002D0C9C">
        <w:trPr>
          <w:cantSplit/>
          <w:jc w:val="center"/>
        </w:trPr>
        <w:tc>
          <w:tcPr>
            <w:tcW w:w="5457" w:type="dxa"/>
            <w:gridSpan w:val="2"/>
            <w:vMerge/>
            <w:tcBorders>
              <w:top w:val="single" w:sz="4" w:space="0" w:color="auto"/>
              <w:left w:val="single" w:sz="4" w:space="0" w:color="auto"/>
              <w:bottom w:val="nil"/>
              <w:right w:val="nil"/>
            </w:tcBorders>
            <w:vAlign w:val="center"/>
            <w:hideMark/>
          </w:tcPr>
          <w:p w14:paraId="19B0860A" w14:textId="77777777" w:rsidR="003F035B" w:rsidRPr="00BF0CF4" w:rsidRDefault="003F035B" w:rsidP="002D0C9C">
            <w:pPr>
              <w:spacing w:after="0" w:line="240" w:lineRule="auto"/>
              <w:rPr>
                <w:rFonts w:ascii="Garamond" w:hAnsi="Garamond" w:cs="Calibri"/>
                <w:b/>
                <w:color w:val="000000"/>
                <w:sz w:val="24"/>
                <w:szCs w:val="24"/>
              </w:rPr>
            </w:pP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412E72E"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Informar moeda / unidade</w:t>
            </w:r>
          </w:p>
        </w:tc>
      </w:tr>
      <w:tr w:rsidR="003F035B" w:rsidRPr="00BF0CF4" w14:paraId="16B47F86" w14:textId="77777777" w:rsidTr="002D0C9C">
        <w:trPr>
          <w:cantSplit/>
          <w:jc w:val="center"/>
        </w:trPr>
        <w:tc>
          <w:tcPr>
            <w:tcW w:w="545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D047900" w14:textId="77777777" w:rsidR="003F035B" w:rsidRPr="00BF0CF4" w:rsidRDefault="003F035B" w:rsidP="002D0C9C">
            <w:pPr>
              <w:spacing w:after="0" w:line="240" w:lineRule="auto"/>
              <w:jc w:val="both"/>
              <w:rPr>
                <w:rFonts w:ascii="Garamond" w:hAnsi="Garamond" w:cs="Calibri"/>
                <w:b/>
                <w:color w:val="000000"/>
                <w:sz w:val="24"/>
                <w:szCs w:val="24"/>
              </w:rPr>
            </w:pPr>
            <w:r w:rsidRPr="00BF0CF4">
              <w:rPr>
                <w:rFonts w:ascii="Garamond" w:hAnsi="Garamond" w:cs="Calibri"/>
                <w:b/>
                <w:color w:val="000000"/>
                <w:sz w:val="24"/>
                <w:szCs w:val="24"/>
              </w:rPr>
              <w:t>(A) Preço de revenda do produto objeto da investigação ao primeiro comprador interno independente</w:t>
            </w:r>
          </w:p>
        </w:tc>
        <w:tc>
          <w:tcPr>
            <w:tcW w:w="1347" w:type="dxa"/>
            <w:tcBorders>
              <w:top w:val="nil"/>
              <w:left w:val="nil"/>
              <w:bottom w:val="single" w:sz="4" w:space="0" w:color="auto"/>
              <w:right w:val="single" w:sz="4" w:space="0" w:color="auto"/>
            </w:tcBorders>
            <w:shd w:val="clear" w:color="000000" w:fill="FFFFFF"/>
            <w:vAlign w:val="center"/>
          </w:tcPr>
          <w:p w14:paraId="2FA2E193" w14:textId="77777777" w:rsidR="003F035B" w:rsidRPr="00BF0CF4" w:rsidRDefault="003F035B" w:rsidP="002D0C9C">
            <w:pPr>
              <w:spacing w:after="0" w:line="240" w:lineRule="auto"/>
              <w:jc w:val="right"/>
              <w:rPr>
                <w:rFonts w:ascii="Garamond" w:hAnsi="Garamond" w:cs="Calibri"/>
                <w:color w:val="000000"/>
                <w:sz w:val="24"/>
                <w:szCs w:val="24"/>
              </w:rPr>
            </w:pPr>
          </w:p>
        </w:tc>
      </w:tr>
      <w:tr w:rsidR="003F035B" w:rsidRPr="00BF0CF4" w14:paraId="6E9B8406" w14:textId="77777777" w:rsidTr="002D0C9C">
        <w:trPr>
          <w:cantSplit/>
          <w:jc w:val="center"/>
        </w:trPr>
        <w:tc>
          <w:tcPr>
            <w:tcW w:w="3289" w:type="dxa"/>
            <w:tcBorders>
              <w:top w:val="nil"/>
              <w:left w:val="single" w:sz="4" w:space="0" w:color="auto"/>
              <w:bottom w:val="single" w:sz="4" w:space="0" w:color="auto"/>
              <w:right w:val="single" w:sz="4" w:space="0" w:color="auto"/>
            </w:tcBorders>
            <w:shd w:val="clear" w:color="auto" w:fill="auto"/>
            <w:vAlign w:val="center"/>
            <w:hideMark/>
          </w:tcPr>
          <w:p w14:paraId="258CF739"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(B) Tributos sobre venda 1</w:t>
            </w:r>
          </w:p>
        </w:tc>
        <w:tc>
          <w:tcPr>
            <w:tcW w:w="2168" w:type="dxa"/>
            <w:tcBorders>
              <w:top w:val="nil"/>
              <w:left w:val="nil"/>
              <w:bottom w:val="single" w:sz="4" w:space="0" w:color="auto"/>
              <w:right w:val="single" w:sz="4" w:space="0" w:color="auto"/>
            </w:tcBorders>
            <w:shd w:val="clear" w:color="auto" w:fill="auto"/>
            <w:vAlign w:val="center"/>
            <w:hideMark/>
          </w:tcPr>
          <w:p w14:paraId="2BF4FA62"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especificar</w:t>
            </w:r>
          </w:p>
        </w:tc>
        <w:tc>
          <w:tcPr>
            <w:tcW w:w="1347" w:type="dxa"/>
            <w:tcBorders>
              <w:top w:val="nil"/>
              <w:left w:val="nil"/>
              <w:bottom w:val="single" w:sz="4" w:space="0" w:color="auto"/>
              <w:right w:val="single" w:sz="4" w:space="0" w:color="auto"/>
            </w:tcBorders>
            <w:shd w:val="clear" w:color="000000" w:fill="FFFFFF"/>
            <w:vAlign w:val="center"/>
          </w:tcPr>
          <w:p w14:paraId="70364FAD" w14:textId="77777777" w:rsidR="003F035B" w:rsidRPr="00BF0CF4" w:rsidRDefault="003F035B" w:rsidP="002D0C9C">
            <w:pPr>
              <w:spacing w:after="0" w:line="240" w:lineRule="auto"/>
              <w:jc w:val="right"/>
              <w:rPr>
                <w:rFonts w:ascii="Garamond" w:hAnsi="Garamond" w:cs="Calibri"/>
                <w:color w:val="000000"/>
                <w:sz w:val="24"/>
                <w:szCs w:val="24"/>
              </w:rPr>
            </w:pPr>
          </w:p>
        </w:tc>
      </w:tr>
      <w:tr w:rsidR="003F035B" w:rsidRPr="00BF0CF4" w14:paraId="0D7F4A67" w14:textId="77777777" w:rsidTr="002D0C9C">
        <w:trPr>
          <w:cantSplit/>
          <w:jc w:val="center"/>
        </w:trPr>
        <w:tc>
          <w:tcPr>
            <w:tcW w:w="3289" w:type="dxa"/>
            <w:tcBorders>
              <w:top w:val="nil"/>
              <w:left w:val="single" w:sz="4" w:space="0" w:color="auto"/>
              <w:bottom w:val="single" w:sz="4" w:space="0" w:color="auto"/>
              <w:right w:val="single" w:sz="4" w:space="0" w:color="auto"/>
            </w:tcBorders>
            <w:shd w:val="clear" w:color="auto" w:fill="auto"/>
            <w:vAlign w:val="center"/>
            <w:hideMark/>
          </w:tcPr>
          <w:p w14:paraId="5F24D4D6"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(B) Tributos sobre venda 2</w:t>
            </w:r>
          </w:p>
        </w:tc>
        <w:tc>
          <w:tcPr>
            <w:tcW w:w="2168" w:type="dxa"/>
            <w:tcBorders>
              <w:top w:val="nil"/>
              <w:left w:val="nil"/>
              <w:bottom w:val="single" w:sz="4" w:space="0" w:color="auto"/>
              <w:right w:val="single" w:sz="4" w:space="0" w:color="auto"/>
            </w:tcBorders>
            <w:shd w:val="clear" w:color="auto" w:fill="auto"/>
            <w:vAlign w:val="center"/>
            <w:hideMark/>
          </w:tcPr>
          <w:p w14:paraId="2305FCEC"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especificar</w:t>
            </w:r>
          </w:p>
        </w:tc>
        <w:tc>
          <w:tcPr>
            <w:tcW w:w="1347" w:type="dxa"/>
            <w:tcBorders>
              <w:top w:val="nil"/>
              <w:left w:val="nil"/>
              <w:bottom w:val="single" w:sz="4" w:space="0" w:color="auto"/>
              <w:right w:val="single" w:sz="4" w:space="0" w:color="auto"/>
            </w:tcBorders>
            <w:shd w:val="clear" w:color="000000" w:fill="FFFFFF"/>
            <w:vAlign w:val="center"/>
          </w:tcPr>
          <w:p w14:paraId="37C4A1C8" w14:textId="77777777" w:rsidR="003F035B" w:rsidRPr="00BF0CF4" w:rsidRDefault="003F035B" w:rsidP="002D0C9C">
            <w:pPr>
              <w:spacing w:after="0" w:line="240" w:lineRule="auto"/>
              <w:jc w:val="right"/>
              <w:rPr>
                <w:rFonts w:ascii="Garamond" w:hAnsi="Garamond" w:cs="Calibri"/>
                <w:color w:val="000000"/>
                <w:sz w:val="24"/>
                <w:szCs w:val="24"/>
              </w:rPr>
            </w:pPr>
          </w:p>
        </w:tc>
      </w:tr>
      <w:tr w:rsidR="003F035B" w:rsidRPr="00BF0CF4" w14:paraId="292CB34B" w14:textId="77777777" w:rsidTr="002D0C9C">
        <w:trPr>
          <w:cantSplit/>
          <w:jc w:val="center"/>
        </w:trPr>
        <w:tc>
          <w:tcPr>
            <w:tcW w:w="545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756159A"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(C) Lucro com a revenda</w:t>
            </w:r>
          </w:p>
        </w:tc>
        <w:tc>
          <w:tcPr>
            <w:tcW w:w="1347" w:type="dxa"/>
            <w:tcBorders>
              <w:top w:val="nil"/>
              <w:left w:val="nil"/>
              <w:bottom w:val="single" w:sz="4" w:space="0" w:color="auto"/>
              <w:right w:val="single" w:sz="4" w:space="0" w:color="auto"/>
            </w:tcBorders>
            <w:shd w:val="clear" w:color="000000" w:fill="FFFFFF"/>
            <w:vAlign w:val="center"/>
          </w:tcPr>
          <w:p w14:paraId="6C879A05" w14:textId="77777777" w:rsidR="003F035B" w:rsidRPr="00BF0CF4" w:rsidRDefault="003F035B" w:rsidP="002D0C9C">
            <w:pPr>
              <w:spacing w:after="0" w:line="240" w:lineRule="auto"/>
              <w:jc w:val="right"/>
              <w:rPr>
                <w:rFonts w:ascii="Garamond" w:hAnsi="Garamond" w:cs="Calibri"/>
                <w:color w:val="000000"/>
                <w:sz w:val="24"/>
                <w:szCs w:val="24"/>
              </w:rPr>
            </w:pPr>
          </w:p>
        </w:tc>
      </w:tr>
      <w:tr w:rsidR="003F035B" w:rsidRPr="00BF0CF4" w14:paraId="653FF50D" w14:textId="77777777" w:rsidTr="002D0C9C">
        <w:trPr>
          <w:cantSplit/>
          <w:jc w:val="center"/>
        </w:trPr>
        <w:tc>
          <w:tcPr>
            <w:tcW w:w="3289" w:type="dxa"/>
            <w:tcBorders>
              <w:top w:val="nil"/>
              <w:left w:val="single" w:sz="4" w:space="0" w:color="auto"/>
              <w:bottom w:val="single" w:sz="4" w:space="0" w:color="auto"/>
              <w:right w:val="single" w:sz="4" w:space="0" w:color="auto"/>
            </w:tcBorders>
            <w:shd w:val="clear" w:color="auto" w:fill="auto"/>
            <w:vAlign w:val="center"/>
            <w:hideMark/>
          </w:tcPr>
          <w:p w14:paraId="32E7194A"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(D) Despesas do importador com a revenda 1</w:t>
            </w:r>
          </w:p>
        </w:tc>
        <w:tc>
          <w:tcPr>
            <w:tcW w:w="2168" w:type="dxa"/>
            <w:tcBorders>
              <w:top w:val="nil"/>
              <w:left w:val="nil"/>
              <w:bottom w:val="single" w:sz="4" w:space="0" w:color="auto"/>
              <w:right w:val="single" w:sz="4" w:space="0" w:color="auto"/>
            </w:tcBorders>
            <w:shd w:val="clear" w:color="auto" w:fill="auto"/>
            <w:vAlign w:val="center"/>
            <w:hideMark/>
          </w:tcPr>
          <w:p w14:paraId="66C20BF0"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especificar</w:t>
            </w:r>
          </w:p>
        </w:tc>
        <w:tc>
          <w:tcPr>
            <w:tcW w:w="1347" w:type="dxa"/>
            <w:tcBorders>
              <w:top w:val="nil"/>
              <w:left w:val="nil"/>
              <w:bottom w:val="single" w:sz="4" w:space="0" w:color="auto"/>
              <w:right w:val="single" w:sz="4" w:space="0" w:color="auto"/>
            </w:tcBorders>
            <w:shd w:val="clear" w:color="000000" w:fill="FFFFFF"/>
            <w:vAlign w:val="center"/>
          </w:tcPr>
          <w:p w14:paraId="3D50F125" w14:textId="77777777" w:rsidR="003F035B" w:rsidRPr="00BF0CF4" w:rsidRDefault="003F035B" w:rsidP="002D0C9C">
            <w:pPr>
              <w:spacing w:after="0" w:line="240" w:lineRule="auto"/>
              <w:jc w:val="right"/>
              <w:rPr>
                <w:rFonts w:ascii="Garamond" w:hAnsi="Garamond" w:cs="Calibri"/>
                <w:color w:val="000000"/>
                <w:sz w:val="24"/>
                <w:szCs w:val="24"/>
              </w:rPr>
            </w:pPr>
          </w:p>
        </w:tc>
      </w:tr>
      <w:tr w:rsidR="003F035B" w:rsidRPr="00BF0CF4" w14:paraId="26433422" w14:textId="77777777" w:rsidTr="002D0C9C">
        <w:trPr>
          <w:cantSplit/>
          <w:jc w:val="center"/>
        </w:trPr>
        <w:tc>
          <w:tcPr>
            <w:tcW w:w="3289" w:type="dxa"/>
            <w:tcBorders>
              <w:top w:val="nil"/>
              <w:left w:val="single" w:sz="4" w:space="0" w:color="auto"/>
              <w:bottom w:val="single" w:sz="4" w:space="0" w:color="auto"/>
              <w:right w:val="single" w:sz="4" w:space="0" w:color="auto"/>
            </w:tcBorders>
            <w:shd w:val="clear" w:color="auto" w:fill="auto"/>
            <w:vAlign w:val="center"/>
            <w:hideMark/>
          </w:tcPr>
          <w:p w14:paraId="61A8E10B"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(D) Despesas do importador com a revenda 2</w:t>
            </w:r>
          </w:p>
        </w:tc>
        <w:tc>
          <w:tcPr>
            <w:tcW w:w="2168" w:type="dxa"/>
            <w:tcBorders>
              <w:top w:val="nil"/>
              <w:left w:val="nil"/>
              <w:bottom w:val="single" w:sz="4" w:space="0" w:color="auto"/>
              <w:right w:val="single" w:sz="4" w:space="0" w:color="auto"/>
            </w:tcBorders>
            <w:shd w:val="clear" w:color="auto" w:fill="auto"/>
            <w:vAlign w:val="center"/>
            <w:hideMark/>
          </w:tcPr>
          <w:p w14:paraId="26CE3D5D"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especificar</w:t>
            </w:r>
          </w:p>
        </w:tc>
        <w:tc>
          <w:tcPr>
            <w:tcW w:w="1347" w:type="dxa"/>
            <w:tcBorders>
              <w:top w:val="nil"/>
              <w:left w:val="nil"/>
              <w:bottom w:val="single" w:sz="4" w:space="0" w:color="auto"/>
              <w:right w:val="single" w:sz="4" w:space="0" w:color="auto"/>
            </w:tcBorders>
            <w:shd w:val="clear" w:color="000000" w:fill="FFFFFF"/>
            <w:vAlign w:val="center"/>
          </w:tcPr>
          <w:p w14:paraId="5114CE82" w14:textId="77777777" w:rsidR="003F035B" w:rsidRPr="00BF0CF4" w:rsidRDefault="003F035B" w:rsidP="002D0C9C">
            <w:pPr>
              <w:spacing w:after="0" w:line="240" w:lineRule="auto"/>
              <w:jc w:val="right"/>
              <w:rPr>
                <w:rFonts w:ascii="Garamond" w:hAnsi="Garamond" w:cs="Calibri"/>
                <w:color w:val="000000"/>
                <w:sz w:val="24"/>
                <w:szCs w:val="24"/>
              </w:rPr>
            </w:pPr>
          </w:p>
        </w:tc>
      </w:tr>
      <w:tr w:rsidR="003F035B" w:rsidRPr="00BF0CF4" w14:paraId="6937439D" w14:textId="77777777" w:rsidTr="002D0C9C">
        <w:trPr>
          <w:cantSplit/>
          <w:jc w:val="center"/>
        </w:trPr>
        <w:tc>
          <w:tcPr>
            <w:tcW w:w="5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33CD32"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(E) Preço do produto objeto da investigação no revendedor (A-B-C-D)</w:t>
            </w:r>
          </w:p>
        </w:tc>
        <w:tc>
          <w:tcPr>
            <w:tcW w:w="1347" w:type="dxa"/>
            <w:tcBorders>
              <w:top w:val="nil"/>
              <w:left w:val="nil"/>
              <w:bottom w:val="single" w:sz="4" w:space="0" w:color="auto"/>
              <w:right w:val="single" w:sz="4" w:space="0" w:color="auto"/>
            </w:tcBorders>
            <w:shd w:val="clear" w:color="000000" w:fill="D9D9D9"/>
            <w:vAlign w:val="center"/>
          </w:tcPr>
          <w:p w14:paraId="0D53F6FF" w14:textId="77777777" w:rsidR="003F035B" w:rsidRPr="00BF0CF4" w:rsidRDefault="003F035B" w:rsidP="002D0C9C">
            <w:pPr>
              <w:spacing w:after="0" w:line="240" w:lineRule="auto"/>
              <w:jc w:val="right"/>
              <w:rPr>
                <w:rFonts w:ascii="Garamond" w:hAnsi="Garamond" w:cs="Calibri"/>
                <w:b/>
                <w:color w:val="000000"/>
                <w:sz w:val="24"/>
                <w:szCs w:val="24"/>
              </w:rPr>
            </w:pPr>
          </w:p>
        </w:tc>
      </w:tr>
      <w:tr w:rsidR="003F035B" w:rsidRPr="00BF0CF4" w14:paraId="1A9C8001" w14:textId="77777777" w:rsidTr="002D0C9C">
        <w:trPr>
          <w:cantSplit/>
          <w:jc w:val="center"/>
        </w:trPr>
        <w:tc>
          <w:tcPr>
            <w:tcW w:w="54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29D9F8"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(F) Frete, no Brasil, do porto ao revendedor</w:t>
            </w:r>
          </w:p>
        </w:tc>
        <w:tc>
          <w:tcPr>
            <w:tcW w:w="1347" w:type="dxa"/>
            <w:tcBorders>
              <w:top w:val="nil"/>
              <w:left w:val="nil"/>
              <w:bottom w:val="single" w:sz="4" w:space="0" w:color="auto"/>
              <w:right w:val="single" w:sz="4" w:space="0" w:color="auto"/>
            </w:tcBorders>
            <w:shd w:val="clear" w:color="000000" w:fill="FFFFFF"/>
            <w:vAlign w:val="center"/>
          </w:tcPr>
          <w:p w14:paraId="489BC334" w14:textId="77777777" w:rsidR="003F035B" w:rsidRPr="00BF0CF4" w:rsidRDefault="003F035B" w:rsidP="002D0C9C">
            <w:pPr>
              <w:spacing w:after="0" w:line="240" w:lineRule="auto"/>
              <w:jc w:val="right"/>
              <w:rPr>
                <w:rFonts w:ascii="Garamond" w:hAnsi="Garamond" w:cs="Calibri"/>
                <w:color w:val="000000"/>
                <w:sz w:val="24"/>
                <w:szCs w:val="24"/>
              </w:rPr>
            </w:pPr>
          </w:p>
        </w:tc>
      </w:tr>
      <w:tr w:rsidR="003F035B" w:rsidRPr="00BF0CF4" w14:paraId="268D8EDD" w14:textId="77777777" w:rsidTr="002D0C9C">
        <w:trPr>
          <w:cantSplit/>
          <w:jc w:val="center"/>
        </w:trPr>
        <w:tc>
          <w:tcPr>
            <w:tcW w:w="3289" w:type="dxa"/>
            <w:tcBorders>
              <w:top w:val="nil"/>
              <w:left w:val="single" w:sz="4" w:space="0" w:color="auto"/>
              <w:bottom w:val="single" w:sz="4" w:space="0" w:color="auto"/>
              <w:right w:val="single" w:sz="4" w:space="0" w:color="auto"/>
            </w:tcBorders>
            <w:shd w:val="clear" w:color="auto" w:fill="auto"/>
            <w:vAlign w:val="center"/>
            <w:hideMark/>
          </w:tcPr>
          <w:p w14:paraId="00E75F3D"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(G) Custos de internação 1</w:t>
            </w:r>
          </w:p>
        </w:tc>
        <w:tc>
          <w:tcPr>
            <w:tcW w:w="2168" w:type="dxa"/>
            <w:tcBorders>
              <w:top w:val="nil"/>
              <w:left w:val="nil"/>
              <w:bottom w:val="single" w:sz="4" w:space="0" w:color="auto"/>
              <w:right w:val="single" w:sz="4" w:space="0" w:color="auto"/>
            </w:tcBorders>
            <w:shd w:val="clear" w:color="auto" w:fill="auto"/>
            <w:vAlign w:val="center"/>
            <w:hideMark/>
          </w:tcPr>
          <w:p w14:paraId="473D5577"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especificar</w:t>
            </w:r>
          </w:p>
        </w:tc>
        <w:tc>
          <w:tcPr>
            <w:tcW w:w="1347" w:type="dxa"/>
            <w:tcBorders>
              <w:top w:val="nil"/>
              <w:left w:val="nil"/>
              <w:bottom w:val="single" w:sz="4" w:space="0" w:color="auto"/>
              <w:right w:val="single" w:sz="4" w:space="0" w:color="auto"/>
            </w:tcBorders>
            <w:shd w:val="clear" w:color="000000" w:fill="FFFFFF"/>
            <w:vAlign w:val="center"/>
          </w:tcPr>
          <w:p w14:paraId="170499D0" w14:textId="77777777" w:rsidR="003F035B" w:rsidRPr="00BF0CF4" w:rsidRDefault="003F035B" w:rsidP="002D0C9C">
            <w:pPr>
              <w:spacing w:after="0" w:line="240" w:lineRule="auto"/>
              <w:jc w:val="right"/>
              <w:rPr>
                <w:rFonts w:ascii="Garamond" w:hAnsi="Garamond" w:cs="Calibri"/>
                <w:color w:val="000000"/>
                <w:sz w:val="24"/>
                <w:szCs w:val="24"/>
              </w:rPr>
            </w:pPr>
          </w:p>
        </w:tc>
      </w:tr>
      <w:tr w:rsidR="003F035B" w:rsidRPr="00BF0CF4" w14:paraId="3EAD3EF6" w14:textId="77777777" w:rsidTr="002D0C9C">
        <w:trPr>
          <w:cantSplit/>
          <w:jc w:val="center"/>
        </w:trPr>
        <w:tc>
          <w:tcPr>
            <w:tcW w:w="3289" w:type="dxa"/>
            <w:tcBorders>
              <w:top w:val="nil"/>
              <w:left w:val="single" w:sz="4" w:space="0" w:color="auto"/>
              <w:bottom w:val="single" w:sz="4" w:space="0" w:color="auto"/>
              <w:right w:val="single" w:sz="4" w:space="0" w:color="auto"/>
            </w:tcBorders>
            <w:shd w:val="clear" w:color="auto" w:fill="auto"/>
            <w:vAlign w:val="center"/>
            <w:hideMark/>
          </w:tcPr>
          <w:p w14:paraId="1FAE8702"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(G) Custos de internação 2</w:t>
            </w:r>
          </w:p>
        </w:tc>
        <w:tc>
          <w:tcPr>
            <w:tcW w:w="2168" w:type="dxa"/>
            <w:tcBorders>
              <w:top w:val="nil"/>
              <w:left w:val="nil"/>
              <w:bottom w:val="single" w:sz="4" w:space="0" w:color="auto"/>
              <w:right w:val="single" w:sz="4" w:space="0" w:color="auto"/>
            </w:tcBorders>
            <w:shd w:val="clear" w:color="auto" w:fill="auto"/>
            <w:vAlign w:val="center"/>
            <w:hideMark/>
          </w:tcPr>
          <w:p w14:paraId="057E1F96"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especificar</w:t>
            </w:r>
          </w:p>
        </w:tc>
        <w:tc>
          <w:tcPr>
            <w:tcW w:w="1347" w:type="dxa"/>
            <w:tcBorders>
              <w:top w:val="nil"/>
              <w:left w:val="nil"/>
              <w:bottom w:val="single" w:sz="4" w:space="0" w:color="auto"/>
              <w:right w:val="single" w:sz="4" w:space="0" w:color="auto"/>
            </w:tcBorders>
            <w:shd w:val="clear" w:color="000000" w:fill="FFFFFF"/>
            <w:vAlign w:val="center"/>
          </w:tcPr>
          <w:p w14:paraId="528E7863" w14:textId="77777777" w:rsidR="003F035B" w:rsidRPr="00BF0CF4" w:rsidRDefault="003F035B" w:rsidP="002D0C9C">
            <w:pPr>
              <w:spacing w:after="0" w:line="240" w:lineRule="auto"/>
              <w:jc w:val="right"/>
              <w:rPr>
                <w:rFonts w:ascii="Garamond" w:hAnsi="Garamond" w:cs="Calibri"/>
                <w:color w:val="000000"/>
                <w:sz w:val="24"/>
                <w:szCs w:val="24"/>
              </w:rPr>
            </w:pPr>
          </w:p>
        </w:tc>
      </w:tr>
      <w:tr w:rsidR="003F035B" w:rsidRPr="00BF0CF4" w14:paraId="41459AB3" w14:textId="77777777" w:rsidTr="002D0C9C">
        <w:trPr>
          <w:cantSplit/>
          <w:jc w:val="center"/>
        </w:trPr>
        <w:tc>
          <w:tcPr>
            <w:tcW w:w="545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554AC5"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(H) AFRMM (25% s/ frete)</w:t>
            </w:r>
          </w:p>
        </w:tc>
        <w:tc>
          <w:tcPr>
            <w:tcW w:w="1347" w:type="dxa"/>
            <w:tcBorders>
              <w:top w:val="nil"/>
              <w:left w:val="nil"/>
              <w:bottom w:val="single" w:sz="4" w:space="0" w:color="auto"/>
              <w:right w:val="single" w:sz="4" w:space="0" w:color="auto"/>
            </w:tcBorders>
            <w:shd w:val="clear" w:color="000000" w:fill="D9D9D9"/>
            <w:vAlign w:val="center"/>
          </w:tcPr>
          <w:p w14:paraId="3E223485" w14:textId="77777777" w:rsidR="003F035B" w:rsidRPr="00BF0CF4" w:rsidRDefault="003F035B" w:rsidP="002D0C9C">
            <w:pPr>
              <w:spacing w:after="0" w:line="240" w:lineRule="auto"/>
              <w:jc w:val="right"/>
              <w:rPr>
                <w:rFonts w:ascii="Garamond" w:hAnsi="Garamond" w:cs="Calibri"/>
                <w:b/>
                <w:color w:val="000000"/>
                <w:sz w:val="24"/>
                <w:szCs w:val="24"/>
              </w:rPr>
            </w:pPr>
          </w:p>
        </w:tc>
      </w:tr>
      <w:tr w:rsidR="003F035B" w:rsidRPr="00BF0CF4" w14:paraId="4F8BD923" w14:textId="77777777" w:rsidTr="002D0C9C">
        <w:trPr>
          <w:cantSplit/>
          <w:jc w:val="center"/>
        </w:trPr>
        <w:tc>
          <w:tcPr>
            <w:tcW w:w="545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4C8A57"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 xml:space="preserve">(I) Imposto de Importação </w:t>
            </w:r>
          </w:p>
        </w:tc>
        <w:tc>
          <w:tcPr>
            <w:tcW w:w="1347" w:type="dxa"/>
            <w:tcBorders>
              <w:top w:val="nil"/>
              <w:left w:val="nil"/>
              <w:bottom w:val="single" w:sz="4" w:space="0" w:color="auto"/>
              <w:right w:val="single" w:sz="4" w:space="0" w:color="auto"/>
            </w:tcBorders>
            <w:shd w:val="clear" w:color="000000" w:fill="FFFFFF"/>
            <w:vAlign w:val="center"/>
          </w:tcPr>
          <w:p w14:paraId="6163DFC1" w14:textId="77777777" w:rsidR="003F035B" w:rsidRPr="00BF0CF4" w:rsidRDefault="003F035B" w:rsidP="002D0C9C">
            <w:pPr>
              <w:spacing w:after="0" w:line="240" w:lineRule="auto"/>
              <w:jc w:val="right"/>
              <w:rPr>
                <w:rFonts w:ascii="Garamond" w:hAnsi="Garamond" w:cs="Calibri"/>
                <w:b/>
                <w:color w:val="000000"/>
                <w:sz w:val="24"/>
                <w:szCs w:val="24"/>
              </w:rPr>
            </w:pPr>
          </w:p>
        </w:tc>
      </w:tr>
      <w:tr w:rsidR="003F035B" w:rsidRPr="00BF0CF4" w14:paraId="72667429" w14:textId="77777777" w:rsidTr="002D0C9C">
        <w:trPr>
          <w:cantSplit/>
          <w:jc w:val="center"/>
        </w:trPr>
        <w:tc>
          <w:tcPr>
            <w:tcW w:w="545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315EE61"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(J) Preço CIF para o Brasil (E-F-G-H-I)</w:t>
            </w:r>
          </w:p>
        </w:tc>
        <w:tc>
          <w:tcPr>
            <w:tcW w:w="1347" w:type="dxa"/>
            <w:tcBorders>
              <w:top w:val="nil"/>
              <w:left w:val="nil"/>
              <w:bottom w:val="single" w:sz="4" w:space="0" w:color="auto"/>
              <w:right w:val="single" w:sz="4" w:space="0" w:color="auto"/>
            </w:tcBorders>
            <w:shd w:val="clear" w:color="000000" w:fill="D9D9D9"/>
            <w:vAlign w:val="center"/>
          </w:tcPr>
          <w:p w14:paraId="3B66D0D6" w14:textId="77777777" w:rsidR="003F035B" w:rsidRPr="00BF0CF4" w:rsidRDefault="003F035B" w:rsidP="002D0C9C">
            <w:pPr>
              <w:spacing w:after="0" w:line="240" w:lineRule="auto"/>
              <w:jc w:val="right"/>
              <w:rPr>
                <w:rFonts w:ascii="Garamond" w:hAnsi="Garamond" w:cs="Calibri"/>
                <w:b/>
                <w:color w:val="000000"/>
                <w:sz w:val="24"/>
                <w:szCs w:val="24"/>
              </w:rPr>
            </w:pPr>
          </w:p>
        </w:tc>
      </w:tr>
      <w:tr w:rsidR="003F035B" w:rsidRPr="00BF0CF4" w14:paraId="3408E94F" w14:textId="77777777" w:rsidTr="002D0C9C">
        <w:trPr>
          <w:cantSplit/>
          <w:jc w:val="center"/>
        </w:trPr>
        <w:tc>
          <w:tcPr>
            <w:tcW w:w="545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83419A"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 xml:space="preserve">(K) Frete para o Brasil </w:t>
            </w:r>
          </w:p>
        </w:tc>
        <w:tc>
          <w:tcPr>
            <w:tcW w:w="1347" w:type="dxa"/>
            <w:tcBorders>
              <w:top w:val="nil"/>
              <w:left w:val="nil"/>
              <w:bottom w:val="single" w:sz="4" w:space="0" w:color="auto"/>
              <w:right w:val="single" w:sz="4" w:space="0" w:color="auto"/>
            </w:tcBorders>
            <w:shd w:val="clear" w:color="000000" w:fill="FFFFFF"/>
            <w:vAlign w:val="center"/>
          </w:tcPr>
          <w:p w14:paraId="4978A2C3" w14:textId="77777777" w:rsidR="003F035B" w:rsidRPr="00BF0CF4" w:rsidRDefault="003F035B" w:rsidP="002D0C9C">
            <w:pPr>
              <w:spacing w:after="0" w:line="240" w:lineRule="auto"/>
              <w:jc w:val="right"/>
              <w:rPr>
                <w:rFonts w:ascii="Garamond" w:hAnsi="Garamond" w:cs="Calibri"/>
                <w:b/>
                <w:color w:val="000000"/>
                <w:sz w:val="24"/>
                <w:szCs w:val="24"/>
              </w:rPr>
            </w:pPr>
          </w:p>
        </w:tc>
      </w:tr>
      <w:tr w:rsidR="003F035B" w:rsidRPr="00BF0CF4" w14:paraId="7A41B1DF" w14:textId="77777777" w:rsidTr="002D0C9C">
        <w:trPr>
          <w:cantSplit/>
          <w:jc w:val="center"/>
        </w:trPr>
        <w:tc>
          <w:tcPr>
            <w:tcW w:w="545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4EB46B4"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 xml:space="preserve">(L) Seguro </w:t>
            </w:r>
          </w:p>
        </w:tc>
        <w:tc>
          <w:tcPr>
            <w:tcW w:w="1347" w:type="dxa"/>
            <w:tcBorders>
              <w:top w:val="nil"/>
              <w:left w:val="nil"/>
              <w:bottom w:val="single" w:sz="4" w:space="0" w:color="auto"/>
              <w:right w:val="single" w:sz="4" w:space="0" w:color="auto"/>
            </w:tcBorders>
            <w:shd w:val="clear" w:color="000000" w:fill="FFFFFF"/>
            <w:vAlign w:val="center"/>
          </w:tcPr>
          <w:p w14:paraId="61043A69" w14:textId="77777777" w:rsidR="003F035B" w:rsidRPr="00BF0CF4" w:rsidRDefault="003F035B" w:rsidP="002D0C9C">
            <w:pPr>
              <w:spacing w:after="0" w:line="240" w:lineRule="auto"/>
              <w:jc w:val="right"/>
              <w:rPr>
                <w:rFonts w:ascii="Garamond" w:hAnsi="Garamond" w:cs="Calibri"/>
                <w:b/>
                <w:color w:val="000000"/>
                <w:sz w:val="24"/>
                <w:szCs w:val="24"/>
              </w:rPr>
            </w:pPr>
          </w:p>
        </w:tc>
      </w:tr>
      <w:tr w:rsidR="003F035B" w:rsidRPr="00BF0CF4" w14:paraId="7CC57E06" w14:textId="77777777" w:rsidTr="002D0C9C">
        <w:trPr>
          <w:cantSplit/>
          <w:jc w:val="center"/>
        </w:trPr>
        <w:tc>
          <w:tcPr>
            <w:tcW w:w="545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551AF26"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(M) Preço FOB para o Brasil (J-K-L)</w:t>
            </w:r>
          </w:p>
        </w:tc>
        <w:tc>
          <w:tcPr>
            <w:tcW w:w="1347" w:type="dxa"/>
            <w:tcBorders>
              <w:top w:val="nil"/>
              <w:left w:val="nil"/>
              <w:bottom w:val="single" w:sz="4" w:space="0" w:color="auto"/>
              <w:right w:val="single" w:sz="4" w:space="0" w:color="auto"/>
            </w:tcBorders>
            <w:shd w:val="clear" w:color="000000" w:fill="D9D9D9"/>
            <w:vAlign w:val="center"/>
          </w:tcPr>
          <w:p w14:paraId="69B91773" w14:textId="77777777" w:rsidR="003F035B" w:rsidRPr="00BF0CF4" w:rsidRDefault="003F035B" w:rsidP="002D0C9C">
            <w:pPr>
              <w:spacing w:after="0" w:line="240" w:lineRule="auto"/>
              <w:jc w:val="right"/>
              <w:rPr>
                <w:rFonts w:ascii="Garamond" w:hAnsi="Garamond" w:cs="Calibri"/>
                <w:b/>
                <w:color w:val="000000"/>
                <w:sz w:val="24"/>
                <w:szCs w:val="24"/>
              </w:rPr>
            </w:pPr>
          </w:p>
        </w:tc>
      </w:tr>
      <w:tr w:rsidR="003F035B" w:rsidRPr="00BF0CF4" w14:paraId="3151D2A2" w14:textId="77777777" w:rsidTr="002D0C9C">
        <w:trPr>
          <w:cantSplit/>
          <w:jc w:val="center"/>
        </w:trPr>
        <w:tc>
          <w:tcPr>
            <w:tcW w:w="3289" w:type="dxa"/>
            <w:tcBorders>
              <w:top w:val="nil"/>
              <w:left w:val="single" w:sz="4" w:space="0" w:color="auto"/>
              <w:bottom w:val="single" w:sz="4" w:space="0" w:color="auto"/>
              <w:right w:val="nil"/>
            </w:tcBorders>
            <w:shd w:val="clear" w:color="auto" w:fill="auto"/>
            <w:vAlign w:val="center"/>
            <w:hideMark/>
          </w:tcPr>
          <w:p w14:paraId="3F80B7EC"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(N) Despesas de exportação para o Brasil no país exportador 1</w:t>
            </w:r>
          </w:p>
        </w:tc>
        <w:tc>
          <w:tcPr>
            <w:tcW w:w="2168" w:type="dxa"/>
            <w:tcBorders>
              <w:top w:val="nil"/>
              <w:left w:val="single" w:sz="4" w:space="0" w:color="auto"/>
              <w:bottom w:val="single" w:sz="4" w:space="0" w:color="auto"/>
              <w:right w:val="single" w:sz="4" w:space="0" w:color="auto"/>
            </w:tcBorders>
            <w:shd w:val="clear" w:color="auto" w:fill="auto"/>
            <w:vAlign w:val="center"/>
            <w:hideMark/>
          </w:tcPr>
          <w:p w14:paraId="481CA96F"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especificar</w:t>
            </w:r>
          </w:p>
        </w:tc>
        <w:tc>
          <w:tcPr>
            <w:tcW w:w="1347" w:type="dxa"/>
            <w:tcBorders>
              <w:top w:val="nil"/>
              <w:left w:val="nil"/>
              <w:bottom w:val="single" w:sz="4" w:space="0" w:color="auto"/>
              <w:right w:val="single" w:sz="4" w:space="0" w:color="auto"/>
            </w:tcBorders>
            <w:shd w:val="clear" w:color="000000" w:fill="FFFFFF"/>
            <w:vAlign w:val="center"/>
          </w:tcPr>
          <w:p w14:paraId="0E9CD2DB" w14:textId="77777777" w:rsidR="003F035B" w:rsidRPr="00BF0CF4" w:rsidRDefault="003F035B" w:rsidP="002D0C9C">
            <w:pPr>
              <w:spacing w:after="0" w:line="240" w:lineRule="auto"/>
              <w:jc w:val="right"/>
              <w:rPr>
                <w:rFonts w:ascii="Garamond" w:hAnsi="Garamond" w:cs="Calibri"/>
                <w:b/>
                <w:color w:val="000000"/>
                <w:sz w:val="24"/>
                <w:szCs w:val="24"/>
              </w:rPr>
            </w:pPr>
          </w:p>
        </w:tc>
      </w:tr>
      <w:tr w:rsidR="003F035B" w:rsidRPr="00BF0CF4" w14:paraId="4A3355C2" w14:textId="77777777" w:rsidTr="002D0C9C">
        <w:trPr>
          <w:cantSplit/>
          <w:jc w:val="center"/>
        </w:trPr>
        <w:tc>
          <w:tcPr>
            <w:tcW w:w="3289" w:type="dxa"/>
            <w:tcBorders>
              <w:top w:val="nil"/>
              <w:left w:val="single" w:sz="4" w:space="0" w:color="auto"/>
              <w:bottom w:val="single" w:sz="4" w:space="0" w:color="auto"/>
              <w:right w:val="nil"/>
            </w:tcBorders>
            <w:shd w:val="clear" w:color="auto" w:fill="auto"/>
            <w:vAlign w:val="center"/>
            <w:hideMark/>
          </w:tcPr>
          <w:p w14:paraId="2B0A57BC"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(N) Despesas de exportação para o Brasil no país exportador 2</w:t>
            </w:r>
          </w:p>
        </w:tc>
        <w:tc>
          <w:tcPr>
            <w:tcW w:w="2168" w:type="dxa"/>
            <w:tcBorders>
              <w:top w:val="nil"/>
              <w:left w:val="single" w:sz="4" w:space="0" w:color="auto"/>
              <w:bottom w:val="single" w:sz="4" w:space="0" w:color="auto"/>
              <w:right w:val="single" w:sz="4" w:space="0" w:color="auto"/>
            </w:tcBorders>
            <w:shd w:val="clear" w:color="auto" w:fill="auto"/>
            <w:vAlign w:val="center"/>
            <w:hideMark/>
          </w:tcPr>
          <w:p w14:paraId="46D49AB1" w14:textId="77777777" w:rsidR="003F035B" w:rsidRPr="00BF0CF4" w:rsidRDefault="003F035B" w:rsidP="002D0C9C">
            <w:pPr>
              <w:spacing w:after="0" w:line="240" w:lineRule="auto"/>
              <w:jc w:val="center"/>
              <w:rPr>
                <w:rFonts w:ascii="Garamond" w:hAnsi="Garamond" w:cs="Calibri"/>
                <w:b/>
                <w:color w:val="000000"/>
                <w:sz w:val="24"/>
                <w:szCs w:val="24"/>
              </w:rPr>
            </w:pPr>
            <w:r w:rsidRPr="00BF0CF4">
              <w:rPr>
                <w:rFonts w:ascii="Garamond" w:hAnsi="Garamond" w:cs="Calibri"/>
                <w:b/>
                <w:color w:val="000000"/>
                <w:sz w:val="24"/>
                <w:szCs w:val="24"/>
              </w:rPr>
              <w:t>especificar</w:t>
            </w:r>
          </w:p>
        </w:tc>
        <w:tc>
          <w:tcPr>
            <w:tcW w:w="1347" w:type="dxa"/>
            <w:tcBorders>
              <w:top w:val="nil"/>
              <w:left w:val="nil"/>
              <w:bottom w:val="single" w:sz="4" w:space="0" w:color="auto"/>
              <w:right w:val="single" w:sz="4" w:space="0" w:color="auto"/>
            </w:tcBorders>
            <w:shd w:val="clear" w:color="000000" w:fill="FFFFFF"/>
            <w:vAlign w:val="center"/>
          </w:tcPr>
          <w:p w14:paraId="653F5882" w14:textId="77777777" w:rsidR="003F035B" w:rsidRPr="00BF0CF4" w:rsidRDefault="003F035B" w:rsidP="002D0C9C">
            <w:pPr>
              <w:spacing w:after="0" w:line="240" w:lineRule="auto"/>
              <w:jc w:val="right"/>
              <w:rPr>
                <w:rFonts w:ascii="Garamond" w:hAnsi="Garamond" w:cs="Calibri"/>
                <w:b/>
                <w:color w:val="000000"/>
                <w:sz w:val="24"/>
                <w:szCs w:val="24"/>
              </w:rPr>
            </w:pPr>
          </w:p>
        </w:tc>
      </w:tr>
      <w:tr w:rsidR="003F035B" w:rsidRPr="00BF0CF4" w14:paraId="2CFA5C74" w14:textId="77777777" w:rsidTr="002D0C9C">
        <w:trPr>
          <w:cantSplit/>
          <w:jc w:val="center"/>
        </w:trPr>
        <w:tc>
          <w:tcPr>
            <w:tcW w:w="545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E6DC7D9" w14:textId="77777777" w:rsidR="003F035B" w:rsidRPr="00BF0CF4" w:rsidRDefault="003F035B" w:rsidP="002D0C9C">
            <w:pPr>
              <w:spacing w:after="0" w:line="240" w:lineRule="auto"/>
              <w:rPr>
                <w:rFonts w:ascii="Garamond" w:hAnsi="Garamond" w:cs="Calibri"/>
                <w:b/>
                <w:color w:val="000000"/>
                <w:sz w:val="24"/>
                <w:szCs w:val="24"/>
              </w:rPr>
            </w:pPr>
            <w:r w:rsidRPr="00BF0CF4">
              <w:rPr>
                <w:rFonts w:ascii="Garamond" w:hAnsi="Garamond" w:cs="Calibri"/>
                <w:b/>
                <w:color w:val="000000"/>
                <w:sz w:val="24"/>
                <w:szCs w:val="24"/>
              </w:rPr>
              <w:t>(O) Preço ex fabrica</w:t>
            </w:r>
            <w:r w:rsidRPr="00BF0CF4">
              <w:rPr>
                <w:rFonts w:ascii="Garamond" w:hAnsi="Garamond" w:cs="Calibri"/>
                <w:color w:val="000000"/>
                <w:sz w:val="24"/>
                <w:szCs w:val="24"/>
              </w:rPr>
              <w:t xml:space="preserve"> (M-N)</w:t>
            </w:r>
          </w:p>
        </w:tc>
        <w:tc>
          <w:tcPr>
            <w:tcW w:w="1347" w:type="dxa"/>
            <w:tcBorders>
              <w:top w:val="nil"/>
              <w:left w:val="nil"/>
              <w:bottom w:val="single" w:sz="4" w:space="0" w:color="auto"/>
              <w:right w:val="single" w:sz="4" w:space="0" w:color="auto"/>
            </w:tcBorders>
            <w:shd w:val="clear" w:color="000000" w:fill="D9D9D9"/>
            <w:vAlign w:val="center"/>
          </w:tcPr>
          <w:p w14:paraId="4498978A" w14:textId="77777777" w:rsidR="003F035B" w:rsidRPr="00BF0CF4" w:rsidRDefault="003F035B" w:rsidP="002D0C9C">
            <w:pPr>
              <w:spacing w:after="0" w:line="240" w:lineRule="auto"/>
              <w:jc w:val="right"/>
              <w:rPr>
                <w:rFonts w:ascii="Garamond" w:hAnsi="Garamond" w:cs="Calibri"/>
                <w:b/>
                <w:color w:val="000000"/>
                <w:sz w:val="24"/>
                <w:szCs w:val="24"/>
              </w:rPr>
            </w:pPr>
          </w:p>
        </w:tc>
      </w:tr>
    </w:tbl>
    <w:p w14:paraId="1BB9A762" w14:textId="6BF0A661" w:rsidR="003F035B" w:rsidRPr="00395593" w:rsidRDefault="003F035B" w:rsidP="00E33E26">
      <w:pPr>
        <w:rPr>
          <w:rFonts w:ascii="Garamond" w:hAnsi="Garamond" w:cs="Calibri"/>
          <w:color w:val="000000"/>
          <w:sz w:val="18"/>
          <w:szCs w:val="18"/>
        </w:rPr>
      </w:pPr>
    </w:p>
    <w:p w14:paraId="08A456EF" w14:textId="77777777" w:rsidR="00603DBA" w:rsidRPr="005C5CBD" w:rsidRDefault="00603DBA">
      <w:pPr>
        <w:rPr>
          <w:rFonts w:ascii="Garamond" w:hAnsi="Garamond" w:cs="Calibri"/>
          <w:color w:val="000000"/>
          <w:sz w:val="18"/>
          <w:szCs w:val="18"/>
        </w:rPr>
        <w:sectPr w:rsidR="00603DBA" w:rsidRPr="005C5CBD" w:rsidSect="00E15FBB">
          <w:headerReference w:type="default" r:id="rId231"/>
          <w:pgSz w:w="12240" w:h="15840"/>
          <w:pgMar w:top="1418" w:right="1580" w:bottom="280" w:left="1418" w:header="720" w:footer="968" w:gutter="0"/>
          <w:cols w:space="720"/>
        </w:sectPr>
      </w:pPr>
    </w:p>
    <w:p w14:paraId="4A22D322" w14:textId="77777777" w:rsidR="00C165C3" w:rsidRPr="005C5CBD" w:rsidRDefault="00C165C3" w:rsidP="00C165C3">
      <w:pPr>
        <w:spacing w:after="0" w:line="240" w:lineRule="auto"/>
        <w:jc w:val="center"/>
        <w:rPr>
          <w:rFonts w:ascii="Garamond" w:eastAsia="Times New Roman" w:hAnsi="Garamond" w:cs="Calibri"/>
          <w:b/>
          <w:lang w:eastAsia="pt-BR"/>
        </w:rPr>
      </w:pPr>
      <w:r w:rsidRPr="005C5CBD">
        <w:rPr>
          <w:rFonts w:ascii="Garamond" w:eastAsia="Times New Roman" w:hAnsi="Garamond" w:cs="Calibri"/>
          <w:b/>
          <w:lang w:eastAsia="pt-BR"/>
        </w:rPr>
        <w:t>APÊNDICE V</w:t>
      </w:r>
    </w:p>
    <w:p w14:paraId="7B1375CC" w14:textId="77777777" w:rsidR="00702DCD" w:rsidRDefault="00C165C3" w:rsidP="00C165C3">
      <w:pPr>
        <w:spacing w:after="0" w:line="240" w:lineRule="auto"/>
        <w:jc w:val="center"/>
        <w:rPr>
          <w:rFonts w:ascii="Garamond" w:eastAsia="Times New Roman" w:hAnsi="Garamond" w:cs="Calibri"/>
          <w:b/>
          <w:lang w:eastAsia="pt-BR"/>
        </w:rPr>
      </w:pPr>
      <w:r w:rsidRPr="005C5CBD">
        <w:rPr>
          <w:rFonts w:ascii="Garamond" w:eastAsia="Times New Roman" w:hAnsi="Garamond" w:cs="Calibri"/>
          <w:b/>
          <w:lang w:eastAsia="pt-BR"/>
        </w:rPr>
        <w:t>VENDAS TOTAIS DA EMPRESA</w:t>
      </w:r>
    </w:p>
    <w:tbl>
      <w:tblPr>
        <w:tblStyle w:val="Tabelacomgrade1"/>
        <w:tblW w:w="5000" w:type="pct"/>
        <w:tblInd w:w="279" w:type="dxa"/>
        <w:tblLayout w:type="fixed"/>
        <w:tblLook w:val="04A0" w:firstRow="1" w:lastRow="0" w:firstColumn="1" w:lastColumn="0" w:noHBand="0" w:noVBand="1"/>
      </w:tblPr>
      <w:tblGrid>
        <w:gridCol w:w="376"/>
        <w:gridCol w:w="1147"/>
        <w:gridCol w:w="746"/>
        <w:gridCol w:w="708"/>
        <w:gridCol w:w="746"/>
        <w:gridCol w:w="429"/>
        <w:gridCol w:w="694"/>
        <w:gridCol w:w="553"/>
        <w:gridCol w:w="830"/>
        <w:gridCol w:w="830"/>
        <w:gridCol w:w="968"/>
        <w:gridCol w:w="966"/>
        <w:gridCol w:w="787"/>
        <w:gridCol w:w="871"/>
        <w:gridCol w:w="662"/>
        <w:gridCol w:w="871"/>
        <w:gridCol w:w="1378"/>
      </w:tblGrid>
      <w:tr w:rsidR="00702DCD" w:rsidRPr="00AC0363" w14:paraId="0A164BD6" w14:textId="77777777" w:rsidTr="00916A6C">
        <w:trPr>
          <w:gridAfter w:val="15"/>
          <w:wAfter w:w="4439" w:type="pct"/>
          <w:trHeight w:val="227"/>
        </w:trPr>
        <w:tc>
          <w:tcPr>
            <w:tcW w:w="139" w:type="pct"/>
            <w:tcBorders>
              <w:top w:val="single" w:sz="4" w:space="0" w:color="FFFFFF"/>
              <w:left w:val="single" w:sz="4" w:space="0" w:color="FFFFFF"/>
              <w:bottom w:val="single" w:sz="4" w:space="0" w:color="FFFFFF"/>
              <w:right w:val="single" w:sz="4" w:space="0" w:color="auto"/>
            </w:tcBorders>
            <w:noWrap/>
            <w:vAlign w:val="center"/>
            <w:hideMark/>
          </w:tcPr>
          <w:p w14:paraId="349B0779" w14:textId="77777777" w:rsidR="00702DCD" w:rsidRPr="005C5CBD" w:rsidRDefault="00702DCD" w:rsidP="00916A6C">
            <w:pPr>
              <w:rPr>
                <w:rFonts w:ascii="Garamond" w:hAnsi="Garamond" w:cs="Calibri"/>
              </w:rPr>
            </w:pPr>
          </w:p>
        </w:tc>
        <w:tc>
          <w:tcPr>
            <w:tcW w:w="423" w:type="pct"/>
            <w:tcBorders>
              <w:top w:val="single" w:sz="4" w:space="0" w:color="auto"/>
              <w:left w:val="single" w:sz="4" w:space="0" w:color="auto"/>
              <w:bottom w:val="single" w:sz="4" w:space="0" w:color="auto"/>
              <w:right w:val="single" w:sz="4" w:space="0" w:color="auto"/>
            </w:tcBorders>
            <w:noWrap/>
            <w:vAlign w:val="center"/>
            <w:hideMark/>
          </w:tcPr>
          <w:p w14:paraId="3A7A8A3E" w14:textId="77777777" w:rsidR="00702DCD" w:rsidRPr="005C5CBD" w:rsidRDefault="00702DCD" w:rsidP="00916A6C">
            <w:pPr>
              <w:jc w:val="center"/>
              <w:rPr>
                <w:rFonts w:ascii="Garamond" w:hAnsi="Garamond" w:cs="Calibri"/>
                <w:i/>
                <w:color w:val="FF0000"/>
              </w:rPr>
            </w:pPr>
            <w:r w:rsidRPr="005C5CBD">
              <w:rPr>
                <w:rFonts w:ascii="Garamond" w:hAnsi="Garamond" w:cs="Calibri"/>
                <w:i/>
                <w:color w:val="FF0000"/>
              </w:rPr>
              <w:t>Empresa</w:t>
            </w:r>
          </w:p>
        </w:tc>
      </w:tr>
      <w:tr w:rsidR="00702DCD" w:rsidRPr="00AC0363" w14:paraId="43DEDBAC" w14:textId="77777777" w:rsidTr="005B1996">
        <w:trPr>
          <w:trHeight w:val="600"/>
        </w:trPr>
        <w:tc>
          <w:tcPr>
            <w:tcW w:w="139" w:type="pct"/>
            <w:vMerge w:val="restart"/>
            <w:tcBorders>
              <w:top w:val="nil"/>
              <w:left w:val="single" w:sz="4" w:space="0" w:color="FFFFFF"/>
              <w:right w:val="single" w:sz="4" w:space="0" w:color="auto"/>
            </w:tcBorders>
            <w:noWrap/>
            <w:vAlign w:val="center"/>
          </w:tcPr>
          <w:p w14:paraId="14680605" w14:textId="77777777" w:rsidR="00702DCD" w:rsidRPr="005C5CBD" w:rsidRDefault="00702DCD" w:rsidP="00916A6C">
            <w:pPr>
              <w:rPr>
                <w:rFonts w:ascii="Garamond" w:hAnsi="Garamond" w:cs="Calibri"/>
                <w:sz w:val="16"/>
                <w:szCs w:val="16"/>
              </w:rPr>
            </w:pPr>
          </w:p>
        </w:tc>
        <w:tc>
          <w:tcPr>
            <w:tcW w:w="423" w:type="pct"/>
            <w:vMerge w:val="restart"/>
            <w:tcBorders>
              <w:top w:val="single" w:sz="4" w:space="0" w:color="auto"/>
              <w:left w:val="single" w:sz="4" w:space="0" w:color="auto"/>
              <w:bottom w:val="single" w:sz="4" w:space="0" w:color="auto"/>
              <w:right w:val="single" w:sz="4" w:space="0" w:color="auto"/>
            </w:tcBorders>
            <w:vAlign w:val="center"/>
          </w:tcPr>
          <w:p w14:paraId="75BBA6E9" w14:textId="77777777" w:rsidR="00702DCD" w:rsidRPr="005C5CBD" w:rsidRDefault="00702DCD" w:rsidP="00916A6C">
            <w:pPr>
              <w:rPr>
                <w:rFonts w:ascii="Garamond" w:hAnsi="Garamond" w:cs="Calibri"/>
                <w:color w:val="FF0000"/>
                <w:sz w:val="16"/>
                <w:szCs w:val="16"/>
              </w:rPr>
            </w:pPr>
            <w:r w:rsidRPr="005C5CBD">
              <w:rPr>
                <w:rFonts w:ascii="Garamond" w:hAnsi="Garamond" w:cs="Calibri"/>
                <w:color w:val="FF0000"/>
                <w:sz w:val="16"/>
                <w:szCs w:val="16"/>
              </w:rPr>
              <w:t>MERCADO</w:t>
            </w:r>
          </w:p>
          <w:p w14:paraId="3AFF2238" w14:textId="77777777" w:rsidR="00702DCD" w:rsidRPr="005C5CBD" w:rsidRDefault="00702DCD" w:rsidP="00916A6C">
            <w:pPr>
              <w:rPr>
                <w:rFonts w:ascii="Garamond" w:hAnsi="Garamond" w:cs="Calibri"/>
                <w:color w:val="FF0000"/>
                <w:sz w:val="16"/>
                <w:szCs w:val="16"/>
              </w:rPr>
            </w:pPr>
            <w:r>
              <w:rPr>
                <w:rFonts w:ascii="Garamond" w:hAnsi="Garamond" w:cs="Calibri"/>
                <w:color w:val="FF0000"/>
                <w:sz w:val="16"/>
                <w:szCs w:val="16"/>
              </w:rPr>
              <w:t>PX</w:t>
            </w:r>
          </w:p>
        </w:tc>
        <w:tc>
          <w:tcPr>
            <w:tcW w:w="2754" w:type="pct"/>
            <w:gridSpan w:val="10"/>
            <w:tcBorders>
              <w:top w:val="single" w:sz="4" w:space="0" w:color="auto"/>
              <w:left w:val="single" w:sz="4" w:space="0" w:color="auto"/>
              <w:bottom w:val="single" w:sz="4" w:space="0" w:color="auto"/>
              <w:right w:val="single" w:sz="4" w:space="0" w:color="auto"/>
            </w:tcBorders>
            <w:vAlign w:val="center"/>
          </w:tcPr>
          <w:p w14:paraId="68D095A2"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VENDAS</w:t>
            </w:r>
          </w:p>
        </w:tc>
        <w:tc>
          <w:tcPr>
            <w:tcW w:w="855" w:type="pct"/>
            <w:gridSpan w:val="3"/>
            <w:tcBorders>
              <w:top w:val="single" w:sz="4" w:space="0" w:color="auto"/>
              <w:left w:val="single" w:sz="4" w:space="0" w:color="auto"/>
              <w:bottom w:val="single" w:sz="4" w:space="0" w:color="auto"/>
              <w:right w:val="single" w:sz="4" w:space="0" w:color="auto"/>
            </w:tcBorders>
            <w:vAlign w:val="center"/>
          </w:tcPr>
          <w:p w14:paraId="25095925"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DEVOLUÇÕES</w:t>
            </w:r>
          </w:p>
        </w:tc>
        <w:tc>
          <w:tcPr>
            <w:tcW w:w="321" w:type="pct"/>
            <w:tcBorders>
              <w:top w:val="single" w:sz="4" w:space="0" w:color="auto"/>
              <w:left w:val="single" w:sz="4" w:space="0" w:color="auto"/>
              <w:bottom w:val="single" w:sz="4" w:space="0" w:color="auto"/>
              <w:right w:val="single" w:sz="4" w:space="0" w:color="auto"/>
            </w:tcBorders>
            <w:vAlign w:val="center"/>
          </w:tcPr>
          <w:p w14:paraId="72ADAC7E" w14:textId="77777777" w:rsidR="00702DCD" w:rsidRPr="005C5CBD" w:rsidRDefault="00702DCD" w:rsidP="00916A6C">
            <w:pPr>
              <w:jc w:val="center"/>
              <w:rPr>
                <w:rFonts w:ascii="Garamond" w:hAnsi="Garamond" w:cs="Calibri"/>
                <w:sz w:val="16"/>
                <w:szCs w:val="16"/>
              </w:rPr>
            </w:pPr>
          </w:p>
        </w:tc>
        <w:tc>
          <w:tcPr>
            <w:tcW w:w="508" w:type="pct"/>
            <w:tcBorders>
              <w:top w:val="single" w:sz="4" w:space="0" w:color="auto"/>
              <w:left w:val="single" w:sz="4" w:space="0" w:color="auto"/>
              <w:bottom w:val="single" w:sz="4" w:space="0" w:color="auto"/>
              <w:right w:val="single" w:sz="4" w:space="0" w:color="auto"/>
            </w:tcBorders>
            <w:vAlign w:val="center"/>
          </w:tcPr>
          <w:p w14:paraId="0BBF45A1" w14:textId="77777777" w:rsidR="00702DCD" w:rsidRPr="005C5CBD" w:rsidRDefault="00702DCD" w:rsidP="00916A6C">
            <w:pPr>
              <w:jc w:val="center"/>
              <w:rPr>
                <w:rFonts w:ascii="Garamond" w:hAnsi="Garamond" w:cs="Calibri"/>
                <w:sz w:val="16"/>
                <w:szCs w:val="16"/>
              </w:rPr>
            </w:pPr>
          </w:p>
        </w:tc>
      </w:tr>
      <w:tr w:rsidR="005B1996" w:rsidRPr="00AC0363" w14:paraId="51669B33" w14:textId="77777777" w:rsidTr="005B1996">
        <w:trPr>
          <w:trHeight w:val="600"/>
        </w:trPr>
        <w:tc>
          <w:tcPr>
            <w:tcW w:w="139" w:type="pct"/>
            <w:vMerge/>
            <w:tcBorders>
              <w:top w:val="nil"/>
              <w:left w:val="single" w:sz="4" w:space="0" w:color="FFFFFF"/>
              <w:bottom w:val="single" w:sz="4" w:space="0" w:color="auto"/>
              <w:right w:val="single" w:sz="4" w:space="0" w:color="auto"/>
            </w:tcBorders>
            <w:noWrap/>
            <w:vAlign w:val="center"/>
            <w:hideMark/>
          </w:tcPr>
          <w:p w14:paraId="579E3970" w14:textId="77777777" w:rsidR="00702DCD" w:rsidRPr="005C5CBD" w:rsidRDefault="00702DCD" w:rsidP="00916A6C">
            <w:pPr>
              <w:rPr>
                <w:rFonts w:ascii="Garamond" w:hAnsi="Garamond" w:cs="Calibri"/>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6C0E635D" w14:textId="77777777" w:rsidR="00702DCD" w:rsidRPr="005C5CBD" w:rsidRDefault="00702DCD" w:rsidP="00916A6C">
            <w:pPr>
              <w:rPr>
                <w:rFonts w:ascii="Garamond" w:hAnsi="Garamond" w:cs="Calibri"/>
                <w:color w:val="FF0000"/>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7F06D347"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Quant. vendida</w:t>
            </w:r>
          </w:p>
        </w:tc>
        <w:tc>
          <w:tcPr>
            <w:tcW w:w="261" w:type="pct"/>
            <w:tcBorders>
              <w:top w:val="single" w:sz="4" w:space="0" w:color="auto"/>
              <w:left w:val="single" w:sz="4" w:space="0" w:color="auto"/>
              <w:bottom w:val="single" w:sz="4" w:space="0" w:color="auto"/>
              <w:right w:val="single" w:sz="4" w:space="0" w:color="auto"/>
            </w:tcBorders>
            <w:vAlign w:val="center"/>
            <w:hideMark/>
          </w:tcPr>
          <w:p w14:paraId="43E44B98"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Quant. vendida</w:t>
            </w:r>
          </w:p>
        </w:tc>
        <w:tc>
          <w:tcPr>
            <w:tcW w:w="275" w:type="pct"/>
            <w:tcBorders>
              <w:top w:val="single" w:sz="4" w:space="0" w:color="auto"/>
              <w:left w:val="single" w:sz="4" w:space="0" w:color="auto"/>
              <w:bottom w:val="single" w:sz="4" w:space="0" w:color="auto"/>
              <w:right w:val="single" w:sz="4" w:space="0" w:color="auto"/>
            </w:tcBorders>
            <w:vAlign w:val="center"/>
            <w:hideMark/>
          </w:tcPr>
          <w:p w14:paraId="2834E95A"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Faturamento Bruto (R$)</w:t>
            </w:r>
          </w:p>
        </w:tc>
        <w:tc>
          <w:tcPr>
            <w:tcW w:w="158" w:type="pct"/>
            <w:tcBorders>
              <w:top w:val="single" w:sz="4" w:space="0" w:color="auto"/>
              <w:left w:val="single" w:sz="4" w:space="0" w:color="auto"/>
              <w:bottom w:val="single" w:sz="4" w:space="0" w:color="auto"/>
              <w:right w:val="single" w:sz="4" w:space="0" w:color="auto"/>
            </w:tcBorders>
            <w:vAlign w:val="center"/>
            <w:hideMark/>
          </w:tcPr>
          <w:p w14:paraId="10E8E116"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IPI</w:t>
            </w:r>
          </w:p>
        </w:tc>
        <w:tc>
          <w:tcPr>
            <w:tcW w:w="256" w:type="pct"/>
            <w:tcBorders>
              <w:top w:val="single" w:sz="4" w:space="0" w:color="auto"/>
              <w:left w:val="single" w:sz="4" w:space="0" w:color="auto"/>
              <w:bottom w:val="single" w:sz="4" w:space="0" w:color="auto"/>
              <w:right w:val="single" w:sz="4" w:space="0" w:color="auto"/>
            </w:tcBorders>
            <w:vAlign w:val="center"/>
            <w:hideMark/>
          </w:tcPr>
          <w:p w14:paraId="510FD618"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ICMS</w:t>
            </w:r>
          </w:p>
        </w:tc>
        <w:tc>
          <w:tcPr>
            <w:tcW w:w="204" w:type="pct"/>
            <w:tcBorders>
              <w:top w:val="single" w:sz="4" w:space="0" w:color="auto"/>
              <w:left w:val="single" w:sz="4" w:space="0" w:color="auto"/>
              <w:bottom w:val="single" w:sz="4" w:space="0" w:color="auto"/>
              <w:right w:val="single" w:sz="4" w:space="0" w:color="auto"/>
            </w:tcBorders>
            <w:vAlign w:val="center"/>
            <w:hideMark/>
          </w:tcPr>
          <w:p w14:paraId="67952D09"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PIS</w:t>
            </w:r>
          </w:p>
        </w:tc>
        <w:tc>
          <w:tcPr>
            <w:tcW w:w="306" w:type="pct"/>
            <w:tcBorders>
              <w:top w:val="single" w:sz="4" w:space="0" w:color="auto"/>
              <w:left w:val="single" w:sz="4" w:space="0" w:color="auto"/>
              <w:bottom w:val="single" w:sz="4" w:space="0" w:color="auto"/>
              <w:right w:val="single" w:sz="4" w:space="0" w:color="auto"/>
            </w:tcBorders>
            <w:vAlign w:val="center"/>
            <w:hideMark/>
          </w:tcPr>
          <w:p w14:paraId="60ED95B3"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COFINS</w:t>
            </w:r>
          </w:p>
        </w:tc>
        <w:tc>
          <w:tcPr>
            <w:tcW w:w="306" w:type="pct"/>
            <w:tcBorders>
              <w:top w:val="single" w:sz="4" w:space="0" w:color="auto"/>
              <w:left w:val="single" w:sz="4" w:space="0" w:color="auto"/>
              <w:bottom w:val="single" w:sz="4" w:space="0" w:color="auto"/>
              <w:right w:val="single" w:sz="4" w:space="0" w:color="auto"/>
            </w:tcBorders>
            <w:vAlign w:val="center"/>
            <w:hideMark/>
          </w:tcPr>
          <w:p w14:paraId="1594CF4B"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Total de Impostos</w:t>
            </w:r>
          </w:p>
        </w:tc>
        <w:tc>
          <w:tcPr>
            <w:tcW w:w="357" w:type="pct"/>
            <w:tcBorders>
              <w:top w:val="single" w:sz="4" w:space="0" w:color="auto"/>
              <w:left w:val="single" w:sz="4" w:space="0" w:color="auto"/>
              <w:bottom w:val="single" w:sz="4" w:space="0" w:color="auto"/>
              <w:right w:val="single" w:sz="4" w:space="0" w:color="auto"/>
            </w:tcBorders>
            <w:vAlign w:val="center"/>
            <w:hideMark/>
          </w:tcPr>
          <w:p w14:paraId="08E12CDE"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Descontos</w:t>
            </w:r>
          </w:p>
        </w:tc>
        <w:tc>
          <w:tcPr>
            <w:tcW w:w="356" w:type="pct"/>
            <w:tcBorders>
              <w:top w:val="single" w:sz="4" w:space="0" w:color="auto"/>
              <w:left w:val="single" w:sz="4" w:space="0" w:color="auto"/>
              <w:bottom w:val="single" w:sz="4" w:space="0" w:color="auto"/>
              <w:right w:val="single" w:sz="4" w:space="0" w:color="auto"/>
            </w:tcBorders>
            <w:vAlign w:val="center"/>
            <w:hideMark/>
          </w:tcPr>
          <w:p w14:paraId="4182F21A"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Abatimentos (em R$)</w:t>
            </w:r>
          </w:p>
        </w:tc>
        <w:tc>
          <w:tcPr>
            <w:tcW w:w="290" w:type="pct"/>
            <w:tcBorders>
              <w:top w:val="single" w:sz="4" w:space="0" w:color="auto"/>
              <w:left w:val="single" w:sz="4" w:space="0" w:color="auto"/>
              <w:bottom w:val="single" w:sz="4" w:space="0" w:color="auto"/>
              <w:right w:val="single" w:sz="4" w:space="0" w:color="auto"/>
            </w:tcBorders>
            <w:vAlign w:val="center"/>
            <w:hideMark/>
          </w:tcPr>
          <w:p w14:paraId="578EA4CA"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Quant. devolvida</w:t>
            </w:r>
          </w:p>
        </w:tc>
        <w:tc>
          <w:tcPr>
            <w:tcW w:w="321" w:type="pct"/>
            <w:tcBorders>
              <w:top w:val="single" w:sz="4" w:space="0" w:color="auto"/>
              <w:left w:val="single" w:sz="4" w:space="0" w:color="auto"/>
              <w:bottom w:val="single" w:sz="4" w:space="0" w:color="auto"/>
              <w:right w:val="single" w:sz="4" w:space="0" w:color="auto"/>
            </w:tcBorders>
            <w:vAlign w:val="center"/>
            <w:hideMark/>
          </w:tcPr>
          <w:p w14:paraId="1654AEF4"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Quant. devolvida</w:t>
            </w:r>
          </w:p>
        </w:tc>
        <w:tc>
          <w:tcPr>
            <w:tcW w:w="244" w:type="pct"/>
            <w:tcBorders>
              <w:top w:val="single" w:sz="4" w:space="0" w:color="auto"/>
              <w:left w:val="single" w:sz="4" w:space="0" w:color="auto"/>
              <w:bottom w:val="single" w:sz="4" w:space="0" w:color="auto"/>
              <w:right w:val="single" w:sz="4" w:space="0" w:color="auto"/>
            </w:tcBorders>
            <w:vAlign w:val="center"/>
            <w:hideMark/>
          </w:tcPr>
          <w:p w14:paraId="49C88AC0"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Valor das devoluções (em R$)</w:t>
            </w:r>
          </w:p>
        </w:tc>
        <w:tc>
          <w:tcPr>
            <w:tcW w:w="321" w:type="pct"/>
            <w:tcBorders>
              <w:top w:val="single" w:sz="4" w:space="0" w:color="auto"/>
              <w:left w:val="single" w:sz="4" w:space="0" w:color="auto"/>
              <w:bottom w:val="single" w:sz="4" w:space="0" w:color="auto"/>
              <w:right w:val="single" w:sz="4" w:space="0" w:color="auto"/>
            </w:tcBorders>
            <w:vAlign w:val="center"/>
            <w:hideMark/>
          </w:tcPr>
          <w:p w14:paraId="2D7FC5DD"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Fretes sobre Vendas</w:t>
            </w:r>
          </w:p>
        </w:tc>
        <w:tc>
          <w:tcPr>
            <w:tcW w:w="508" w:type="pct"/>
            <w:tcBorders>
              <w:top w:val="single" w:sz="4" w:space="0" w:color="auto"/>
              <w:left w:val="single" w:sz="4" w:space="0" w:color="auto"/>
              <w:bottom w:val="single" w:sz="4" w:space="0" w:color="auto"/>
              <w:right w:val="single" w:sz="4" w:space="0" w:color="auto"/>
            </w:tcBorders>
            <w:vAlign w:val="center"/>
            <w:hideMark/>
          </w:tcPr>
          <w:p w14:paraId="19D66829"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Receita Operacional Líquida (R$)</w:t>
            </w:r>
          </w:p>
        </w:tc>
      </w:tr>
      <w:tr w:rsidR="005B1996" w:rsidRPr="00AC0363" w14:paraId="04812C47" w14:textId="77777777" w:rsidTr="005B1996">
        <w:trPr>
          <w:trHeight w:val="405"/>
        </w:trPr>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85CD71B" w14:textId="77777777" w:rsidR="00702DCD" w:rsidRPr="005C5CBD" w:rsidRDefault="00702DCD" w:rsidP="00916A6C">
            <w:pPr>
              <w:jc w:val="center"/>
              <w:rPr>
                <w:rFonts w:ascii="Garamond" w:hAnsi="Garamond" w:cs="Calibri"/>
                <w:color w:val="000000"/>
                <w:sz w:val="16"/>
                <w:szCs w:val="16"/>
              </w:rPr>
            </w:pPr>
            <w:r w:rsidRPr="005C5CBD">
              <w:rPr>
                <w:rFonts w:ascii="Garamond" w:hAnsi="Garamond" w:cs="Calibri"/>
                <w:color w:val="000000"/>
                <w:sz w:val="16"/>
                <w:szCs w:val="16"/>
              </w:rPr>
              <w:t>Vendas Mercado Interno (I)</w:t>
            </w:r>
          </w:p>
        </w:tc>
        <w:tc>
          <w:tcPr>
            <w:tcW w:w="423" w:type="pct"/>
            <w:tcBorders>
              <w:top w:val="single" w:sz="4" w:space="0" w:color="auto"/>
              <w:left w:val="single" w:sz="4" w:space="0" w:color="auto"/>
              <w:bottom w:val="single" w:sz="4" w:space="0" w:color="auto"/>
              <w:right w:val="single" w:sz="4" w:space="0" w:color="auto"/>
            </w:tcBorders>
            <w:vAlign w:val="center"/>
            <w:hideMark/>
          </w:tcPr>
          <w:p w14:paraId="4CB51002" w14:textId="77777777" w:rsidR="00702DCD" w:rsidRPr="005C5CBD" w:rsidRDefault="00702DCD" w:rsidP="00916A6C">
            <w:pPr>
              <w:jc w:val="center"/>
              <w:rPr>
                <w:rFonts w:ascii="Garamond" w:hAnsi="Garamond" w:cs="Calibri"/>
                <w:color w:val="000000"/>
                <w:sz w:val="16"/>
                <w:szCs w:val="16"/>
              </w:rPr>
            </w:pPr>
            <w:r w:rsidRPr="005C5CBD">
              <w:rPr>
                <w:rFonts w:ascii="Garamond" w:hAnsi="Garamond" w:cs="Calibri"/>
                <w:color w:val="000000"/>
                <w:sz w:val="16"/>
                <w:szCs w:val="16"/>
              </w:rPr>
              <w:t>a) Produto similar doméstico</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5933F777"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61" w:type="pct"/>
            <w:tcBorders>
              <w:top w:val="single" w:sz="4" w:space="0" w:color="auto"/>
              <w:left w:val="single" w:sz="4" w:space="0" w:color="auto"/>
              <w:bottom w:val="single" w:sz="4" w:space="0" w:color="auto"/>
              <w:right w:val="single" w:sz="4" w:space="0" w:color="auto"/>
            </w:tcBorders>
            <w:noWrap/>
            <w:vAlign w:val="center"/>
            <w:hideMark/>
          </w:tcPr>
          <w:p w14:paraId="39A968CC"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33262869"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158" w:type="pct"/>
            <w:tcBorders>
              <w:top w:val="single" w:sz="4" w:space="0" w:color="auto"/>
              <w:left w:val="single" w:sz="4" w:space="0" w:color="auto"/>
              <w:bottom w:val="single" w:sz="4" w:space="0" w:color="auto"/>
              <w:right w:val="single" w:sz="4" w:space="0" w:color="auto"/>
            </w:tcBorders>
            <w:noWrap/>
            <w:vAlign w:val="center"/>
            <w:hideMark/>
          </w:tcPr>
          <w:p w14:paraId="59E916DD"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5E1F0A81"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67E2D81E"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0489EE43"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3A864161"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57" w:type="pct"/>
            <w:tcBorders>
              <w:top w:val="single" w:sz="4" w:space="0" w:color="auto"/>
              <w:left w:val="single" w:sz="4" w:space="0" w:color="auto"/>
              <w:bottom w:val="single" w:sz="4" w:space="0" w:color="auto"/>
              <w:right w:val="single" w:sz="4" w:space="0" w:color="auto"/>
            </w:tcBorders>
            <w:noWrap/>
            <w:vAlign w:val="center"/>
            <w:hideMark/>
          </w:tcPr>
          <w:p w14:paraId="4B86F330"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132C672F"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297F3B62"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1115F91E"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1302B790"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6A48C39C"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4852FA3"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r>
      <w:tr w:rsidR="005B1996" w:rsidRPr="00AC0363" w14:paraId="6E369BFF" w14:textId="77777777" w:rsidTr="005B1996">
        <w:trPr>
          <w:trHeight w:val="405"/>
        </w:trPr>
        <w:tc>
          <w:tcPr>
            <w:tcW w:w="139" w:type="pct"/>
            <w:vMerge/>
            <w:tcBorders>
              <w:top w:val="single" w:sz="4" w:space="0" w:color="auto"/>
              <w:left w:val="single" w:sz="4" w:space="0" w:color="auto"/>
              <w:bottom w:val="single" w:sz="4" w:space="0" w:color="auto"/>
              <w:right w:val="single" w:sz="4" w:space="0" w:color="auto"/>
            </w:tcBorders>
            <w:vAlign w:val="center"/>
            <w:hideMark/>
          </w:tcPr>
          <w:p w14:paraId="6A8C4BC6" w14:textId="77777777" w:rsidR="00702DCD" w:rsidRPr="005C5CBD" w:rsidRDefault="00702DCD" w:rsidP="00916A6C">
            <w:pPr>
              <w:rPr>
                <w:rFonts w:ascii="Garamond" w:hAnsi="Garamond" w:cs="Calibri"/>
                <w:color w:val="000000"/>
                <w:sz w:val="16"/>
                <w:szCs w:val="16"/>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2343DCAC" w14:textId="77777777" w:rsidR="00702DCD" w:rsidRPr="005C5CBD" w:rsidRDefault="00702DCD" w:rsidP="00916A6C">
            <w:pPr>
              <w:jc w:val="center"/>
              <w:rPr>
                <w:rFonts w:ascii="Garamond" w:hAnsi="Garamond" w:cs="Calibri"/>
                <w:color w:val="000000"/>
                <w:sz w:val="16"/>
                <w:szCs w:val="16"/>
              </w:rPr>
            </w:pPr>
            <w:r w:rsidRPr="005C5CBD">
              <w:rPr>
                <w:rFonts w:ascii="Garamond" w:hAnsi="Garamond" w:cs="Calibri"/>
                <w:color w:val="000000"/>
                <w:sz w:val="16"/>
                <w:szCs w:val="16"/>
              </w:rPr>
              <w:t>a.1) venda fabricação própria</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7D7581FB" w14:textId="77777777" w:rsidR="00702DCD" w:rsidRPr="005C5CBD" w:rsidRDefault="00702DCD" w:rsidP="00916A6C">
            <w:pPr>
              <w:rPr>
                <w:rFonts w:ascii="Garamond" w:hAnsi="Garamond" w:cs="Calibri"/>
                <w:color w:val="000000"/>
                <w:sz w:val="16"/>
                <w:szCs w:val="16"/>
              </w:rPr>
            </w:pPr>
          </w:p>
        </w:tc>
        <w:tc>
          <w:tcPr>
            <w:tcW w:w="261" w:type="pct"/>
            <w:tcBorders>
              <w:top w:val="single" w:sz="4" w:space="0" w:color="auto"/>
              <w:left w:val="single" w:sz="4" w:space="0" w:color="auto"/>
              <w:bottom w:val="single" w:sz="4" w:space="0" w:color="auto"/>
              <w:right w:val="single" w:sz="4" w:space="0" w:color="auto"/>
            </w:tcBorders>
            <w:noWrap/>
            <w:vAlign w:val="center"/>
            <w:hideMark/>
          </w:tcPr>
          <w:p w14:paraId="20086FAC" w14:textId="77777777" w:rsidR="00702DCD" w:rsidRPr="005C5CBD" w:rsidRDefault="00702DCD" w:rsidP="00916A6C">
            <w:pPr>
              <w:rPr>
                <w:rFonts w:ascii="Garamond" w:eastAsia="Calibri" w:hAnsi="Garamond" w:cs="Calibri"/>
              </w:rPr>
            </w:pP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7EB0EC20" w14:textId="77777777" w:rsidR="00702DCD" w:rsidRPr="005C5CBD" w:rsidRDefault="00702DCD" w:rsidP="00916A6C">
            <w:pPr>
              <w:rPr>
                <w:rFonts w:ascii="Garamond" w:eastAsia="Calibri" w:hAnsi="Garamond" w:cs="Calibri"/>
              </w:rPr>
            </w:pPr>
          </w:p>
        </w:tc>
        <w:tc>
          <w:tcPr>
            <w:tcW w:w="158" w:type="pct"/>
            <w:tcBorders>
              <w:top w:val="single" w:sz="4" w:space="0" w:color="auto"/>
              <w:left w:val="single" w:sz="4" w:space="0" w:color="auto"/>
              <w:bottom w:val="single" w:sz="4" w:space="0" w:color="auto"/>
              <w:right w:val="single" w:sz="4" w:space="0" w:color="auto"/>
            </w:tcBorders>
            <w:noWrap/>
            <w:vAlign w:val="center"/>
            <w:hideMark/>
          </w:tcPr>
          <w:p w14:paraId="645F953D" w14:textId="77777777" w:rsidR="00702DCD" w:rsidRPr="005C5CBD" w:rsidRDefault="00702DCD" w:rsidP="00916A6C">
            <w:pPr>
              <w:rPr>
                <w:rFonts w:ascii="Garamond" w:eastAsia="Calibri" w:hAnsi="Garamond" w:cs="Calibri"/>
              </w:rPr>
            </w:pP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41ED2AB0" w14:textId="77777777" w:rsidR="00702DCD" w:rsidRPr="005C5CBD" w:rsidRDefault="00702DCD" w:rsidP="00916A6C">
            <w:pPr>
              <w:rPr>
                <w:rFonts w:ascii="Garamond" w:eastAsia="Calibri" w:hAnsi="Garamond" w:cs="Calibri"/>
              </w:rPr>
            </w:pP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428B807F" w14:textId="77777777" w:rsidR="00702DCD" w:rsidRPr="005C5CBD" w:rsidRDefault="00702DCD" w:rsidP="00916A6C">
            <w:pPr>
              <w:rPr>
                <w:rFonts w:ascii="Garamond" w:eastAsia="Calibri" w:hAnsi="Garamond" w:cs="Calibri"/>
              </w:rPr>
            </w:pP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7CCD6AD0" w14:textId="77777777" w:rsidR="00702DCD" w:rsidRPr="005C5CBD" w:rsidRDefault="00702DCD" w:rsidP="00916A6C">
            <w:pPr>
              <w:rPr>
                <w:rFonts w:ascii="Garamond" w:eastAsia="Calibri" w:hAnsi="Garamond" w:cs="Calibri"/>
              </w:rPr>
            </w:pP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6F87B63B"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57" w:type="pct"/>
            <w:tcBorders>
              <w:top w:val="single" w:sz="4" w:space="0" w:color="auto"/>
              <w:left w:val="single" w:sz="4" w:space="0" w:color="auto"/>
              <w:bottom w:val="single" w:sz="4" w:space="0" w:color="auto"/>
              <w:right w:val="single" w:sz="4" w:space="0" w:color="auto"/>
            </w:tcBorders>
            <w:noWrap/>
            <w:vAlign w:val="center"/>
            <w:hideMark/>
          </w:tcPr>
          <w:p w14:paraId="4466DB43" w14:textId="77777777" w:rsidR="00702DCD" w:rsidRPr="005C5CBD" w:rsidRDefault="00702DCD" w:rsidP="00916A6C">
            <w:pPr>
              <w:rPr>
                <w:rFonts w:ascii="Garamond" w:hAnsi="Garamond" w:cs="Calibri"/>
                <w:sz w:val="16"/>
                <w:szCs w:val="16"/>
              </w:rPr>
            </w:pP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38F66D7C" w14:textId="77777777" w:rsidR="00702DCD" w:rsidRPr="005C5CBD" w:rsidRDefault="00702DCD" w:rsidP="00916A6C">
            <w:pPr>
              <w:rPr>
                <w:rFonts w:ascii="Garamond" w:eastAsia="Calibri" w:hAnsi="Garamond" w:cs="Calibri"/>
              </w:rPr>
            </w:pP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60D30736" w14:textId="77777777" w:rsidR="00702DCD" w:rsidRPr="005C5CBD" w:rsidRDefault="00702DCD" w:rsidP="00916A6C">
            <w:pPr>
              <w:rPr>
                <w:rFonts w:ascii="Garamond" w:eastAsia="Calibri" w:hAnsi="Garamond" w:cs="Calibri"/>
              </w:rPr>
            </w:pP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1AC8824E" w14:textId="77777777" w:rsidR="00702DCD" w:rsidRPr="005C5CBD" w:rsidRDefault="00702DCD" w:rsidP="00916A6C">
            <w:pPr>
              <w:rPr>
                <w:rFonts w:ascii="Garamond" w:eastAsia="Calibri" w:hAnsi="Garamond" w:cs="Calibri"/>
              </w:rPr>
            </w:pP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193B9C17" w14:textId="77777777" w:rsidR="00702DCD" w:rsidRPr="005C5CBD" w:rsidRDefault="00702DCD" w:rsidP="00916A6C">
            <w:pPr>
              <w:rPr>
                <w:rFonts w:ascii="Garamond" w:eastAsia="Calibri" w:hAnsi="Garamond" w:cs="Calibri"/>
              </w:rPr>
            </w:pP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1EDFE936" w14:textId="77777777" w:rsidR="00702DCD" w:rsidRPr="005C5CBD" w:rsidRDefault="00702DCD" w:rsidP="00916A6C">
            <w:pPr>
              <w:rPr>
                <w:rFonts w:ascii="Garamond" w:eastAsia="Calibri" w:hAnsi="Garamond" w:cs="Calibri"/>
              </w:rPr>
            </w:pP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F0281B4"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r>
      <w:tr w:rsidR="005B1996" w:rsidRPr="00AC0363" w14:paraId="788B08BE" w14:textId="77777777" w:rsidTr="005B1996">
        <w:trPr>
          <w:trHeight w:val="405"/>
        </w:trPr>
        <w:tc>
          <w:tcPr>
            <w:tcW w:w="139" w:type="pct"/>
            <w:vMerge/>
            <w:tcBorders>
              <w:top w:val="single" w:sz="4" w:space="0" w:color="auto"/>
              <w:left w:val="single" w:sz="4" w:space="0" w:color="auto"/>
              <w:bottom w:val="single" w:sz="4" w:space="0" w:color="auto"/>
              <w:right w:val="single" w:sz="4" w:space="0" w:color="auto"/>
            </w:tcBorders>
            <w:vAlign w:val="center"/>
            <w:hideMark/>
          </w:tcPr>
          <w:p w14:paraId="400B7C06" w14:textId="77777777" w:rsidR="00702DCD" w:rsidRPr="005C5CBD" w:rsidRDefault="00702DCD" w:rsidP="00916A6C">
            <w:pPr>
              <w:rPr>
                <w:rFonts w:ascii="Garamond" w:hAnsi="Garamond" w:cs="Calibri"/>
                <w:color w:val="000000"/>
                <w:sz w:val="16"/>
                <w:szCs w:val="16"/>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13A1CBB9" w14:textId="77777777" w:rsidR="00702DCD" w:rsidRPr="005C5CBD" w:rsidRDefault="00702DCD" w:rsidP="00916A6C">
            <w:pPr>
              <w:jc w:val="center"/>
              <w:rPr>
                <w:rFonts w:ascii="Garamond" w:hAnsi="Garamond" w:cs="Calibri"/>
                <w:color w:val="000000"/>
                <w:sz w:val="16"/>
                <w:szCs w:val="16"/>
              </w:rPr>
            </w:pPr>
            <w:r w:rsidRPr="005C5CBD">
              <w:rPr>
                <w:rFonts w:ascii="Garamond" w:hAnsi="Garamond" w:cs="Calibri"/>
                <w:color w:val="000000"/>
                <w:sz w:val="16"/>
                <w:szCs w:val="16"/>
              </w:rPr>
              <w:t>a.2) revenda produto importado e/ou adquirido no mercado brasileiro</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41112E01" w14:textId="77777777" w:rsidR="00702DCD" w:rsidRPr="005C5CBD" w:rsidRDefault="00702DCD" w:rsidP="00916A6C">
            <w:pPr>
              <w:rPr>
                <w:rFonts w:ascii="Garamond" w:hAnsi="Garamond" w:cs="Calibri"/>
                <w:color w:val="000000"/>
                <w:sz w:val="16"/>
                <w:szCs w:val="16"/>
              </w:rPr>
            </w:pPr>
          </w:p>
        </w:tc>
        <w:tc>
          <w:tcPr>
            <w:tcW w:w="261" w:type="pct"/>
            <w:tcBorders>
              <w:top w:val="single" w:sz="4" w:space="0" w:color="auto"/>
              <w:left w:val="single" w:sz="4" w:space="0" w:color="auto"/>
              <w:bottom w:val="single" w:sz="4" w:space="0" w:color="auto"/>
              <w:right w:val="single" w:sz="4" w:space="0" w:color="auto"/>
            </w:tcBorders>
            <w:noWrap/>
            <w:vAlign w:val="center"/>
            <w:hideMark/>
          </w:tcPr>
          <w:p w14:paraId="4B1EC63D" w14:textId="77777777" w:rsidR="00702DCD" w:rsidRPr="005C5CBD" w:rsidRDefault="00702DCD" w:rsidP="00916A6C">
            <w:pPr>
              <w:rPr>
                <w:rFonts w:ascii="Garamond" w:eastAsia="Calibri" w:hAnsi="Garamond" w:cs="Calibri"/>
              </w:rPr>
            </w:pP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76A7DEE2" w14:textId="77777777" w:rsidR="00702DCD" w:rsidRPr="005C5CBD" w:rsidRDefault="00702DCD" w:rsidP="00916A6C">
            <w:pPr>
              <w:rPr>
                <w:rFonts w:ascii="Garamond" w:eastAsia="Calibri" w:hAnsi="Garamond" w:cs="Calibri"/>
              </w:rPr>
            </w:pPr>
          </w:p>
        </w:tc>
        <w:tc>
          <w:tcPr>
            <w:tcW w:w="158" w:type="pct"/>
            <w:tcBorders>
              <w:top w:val="single" w:sz="4" w:space="0" w:color="auto"/>
              <w:left w:val="single" w:sz="4" w:space="0" w:color="auto"/>
              <w:bottom w:val="single" w:sz="4" w:space="0" w:color="auto"/>
              <w:right w:val="single" w:sz="4" w:space="0" w:color="auto"/>
            </w:tcBorders>
            <w:noWrap/>
            <w:vAlign w:val="center"/>
            <w:hideMark/>
          </w:tcPr>
          <w:p w14:paraId="211E844E" w14:textId="77777777" w:rsidR="00702DCD" w:rsidRPr="005C5CBD" w:rsidRDefault="00702DCD" w:rsidP="00916A6C">
            <w:pPr>
              <w:rPr>
                <w:rFonts w:ascii="Garamond" w:eastAsia="Calibri" w:hAnsi="Garamond" w:cs="Calibri"/>
              </w:rPr>
            </w:pP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2AC67616" w14:textId="77777777" w:rsidR="00702DCD" w:rsidRPr="005C5CBD" w:rsidRDefault="00702DCD" w:rsidP="00916A6C">
            <w:pPr>
              <w:rPr>
                <w:rFonts w:ascii="Garamond" w:eastAsia="Calibri" w:hAnsi="Garamond" w:cs="Calibri"/>
              </w:rPr>
            </w:pP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1AACE3FD" w14:textId="77777777" w:rsidR="00702DCD" w:rsidRPr="005C5CBD" w:rsidRDefault="00702DCD" w:rsidP="00916A6C">
            <w:pPr>
              <w:rPr>
                <w:rFonts w:ascii="Garamond" w:eastAsia="Calibri" w:hAnsi="Garamond" w:cs="Calibri"/>
              </w:rPr>
            </w:pP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75B32B03" w14:textId="77777777" w:rsidR="00702DCD" w:rsidRPr="005C5CBD" w:rsidRDefault="00702DCD" w:rsidP="00916A6C">
            <w:pPr>
              <w:rPr>
                <w:rFonts w:ascii="Garamond" w:eastAsia="Calibri" w:hAnsi="Garamond" w:cs="Calibri"/>
              </w:rPr>
            </w:pP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75860494"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57" w:type="pct"/>
            <w:tcBorders>
              <w:top w:val="single" w:sz="4" w:space="0" w:color="auto"/>
              <w:left w:val="single" w:sz="4" w:space="0" w:color="auto"/>
              <w:bottom w:val="single" w:sz="4" w:space="0" w:color="auto"/>
              <w:right w:val="single" w:sz="4" w:space="0" w:color="auto"/>
            </w:tcBorders>
            <w:noWrap/>
            <w:vAlign w:val="center"/>
            <w:hideMark/>
          </w:tcPr>
          <w:p w14:paraId="316A9096" w14:textId="77777777" w:rsidR="00702DCD" w:rsidRPr="005C5CBD" w:rsidRDefault="00702DCD" w:rsidP="00916A6C">
            <w:pPr>
              <w:rPr>
                <w:rFonts w:ascii="Garamond" w:hAnsi="Garamond" w:cs="Calibri"/>
                <w:sz w:val="16"/>
                <w:szCs w:val="16"/>
              </w:rPr>
            </w:pP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603996D8" w14:textId="77777777" w:rsidR="00702DCD" w:rsidRPr="005C5CBD" w:rsidRDefault="00702DCD" w:rsidP="00916A6C">
            <w:pPr>
              <w:rPr>
                <w:rFonts w:ascii="Garamond" w:eastAsia="Calibri" w:hAnsi="Garamond" w:cs="Calibri"/>
              </w:rPr>
            </w:pP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1C5CB9D5" w14:textId="77777777" w:rsidR="00702DCD" w:rsidRPr="005C5CBD" w:rsidRDefault="00702DCD" w:rsidP="00916A6C">
            <w:pPr>
              <w:rPr>
                <w:rFonts w:ascii="Garamond" w:eastAsia="Calibri" w:hAnsi="Garamond" w:cs="Calibri"/>
              </w:rPr>
            </w:pP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2C51E04B" w14:textId="77777777" w:rsidR="00702DCD" w:rsidRPr="005C5CBD" w:rsidRDefault="00702DCD" w:rsidP="00916A6C">
            <w:pPr>
              <w:rPr>
                <w:rFonts w:ascii="Garamond" w:eastAsia="Calibri" w:hAnsi="Garamond" w:cs="Calibri"/>
              </w:rPr>
            </w:pP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5C1674C3" w14:textId="77777777" w:rsidR="00702DCD" w:rsidRPr="005C5CBD" w:rsidRDefault="00702DCD" w:rsidP="00916A6C">
            <w:pPr>
              <w:rPr>
                <w:rFonts w:ascii="Garamond" w:eastAsia="Calibri" w:hAnsi="Garamond" w:cs="Calibri"/>
              </w:rPr>
            </w:pP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648A3CAC" w14:textId="77777777" w:rsidR="00702DCD" w:rsidRPr="005C5CBD" w:rsidRDefault="00702DCD" w:rsidP="00916A6C">
            <w:pPr>
              <w:rPr>
                <w:rFonts w:ascii="Garamond" w:eastAsia="Calibri" w:hAnsi="Garamond" w:cs="Calibri"/>
              </w:rPr>
            </w:pP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2646788A"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r>
      <w:tr w:rsidR="005B1996" w:rsidRPr="00AC0363" w14:paraId="3123D156" w14:textId="77777777" w:rsidTr="005B1996">
        <w:trPr>
          <w:trHeight w:val="405"/>
        </w:trPr>
        <w:tc>
          <w:tcPr>
            <w:tcW w:w="139" w:type="pct"/>
            <w:vMerge/>
            <w:tcBorders>
              <w:top w:val="single" w:sz="4" w:space="0" w:color="auto"/>
              <w:left w:val="single" w:sz="4" w:space="0" w:color="auto"/>
              <w:bottom w:val="single" w:sz="4" w:space="0" w:color="auto"/>
              <w:right w:val="single" w:sz="4" w:space="0" w:color="auto"/>
            </w:tcBorders>
            <w:vAlign w:val="center"/>
            <w:hideMark/>
          </w:tcPr>
          <w:p w14:paraId="08DB4D39" w14:textId="77777777" w:rsidR="00702DCD" w:rsidRPr="005C5CBD" w:rsidRDefault="00702DCD" w:rsidP="00916A6C">
            <w:pPr>
              <w:rPr>
                <w:rFonts w:ascii="Garamond" w:hAnsi="Garamond" w:cs="Calibri"/>
                <w:color w:val="000000"/>
                <w:sz w:val="16"/>
                <w:szCs w:val="16"/>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602E4245" w14:textId="77777777" w:rsidR="00702DCD" w:rsidRPr="005C5CBD" w:rsidRDefault="00702DCD" w:rsidP="00916A6C">
            <w:pPr>
              <w:jc w:val="center"/>
              <w:rPr>
                <w:rFonts w:ascii="Garamond" w:hAnsi="Garamond" w:cs="Calibri"/>
                <w:color w:val="000000"/>
                <w:sz w:val="16"/>
                <w:szCs w:val="16"/>
              </w:rPr>
            </w:pPr>
            <w:r w:rsidRPr="005C5CBD">
              <w:rPr>
                <w:rFonts w:ascii="Garamond" w:hAnsi="Garamond" w:cs="Calibri"/>
                <w:color w:val="000000"/>
                <w:sz w:val="16"/>
                <w:szCs w:val="16"/>
              </w:rPr>
              <w:t>b) Outros Produtos</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69B1449B" w14:textId="77777777" w:rsidR="00702DCD" w:rsidRPr="005C5CBD" w:rsidRDefault="00702DCD" w:rsidP="00916A6C">
            <w:pPr>
              <w:rPr>
                <w:rFonts w:ascii="Garamond" w:hAnsi="Garamond" w:cs="Calibri"/>
                <w:color w:val="000000"/>
                <w:sz w:val="16"/>
                <w:szCs w:val="16"/>
              </w:rPr>
            </w:pPr>
          </w:p>
        </w:tc>
        <w:tc>
          <w:tcPr>
            <w:tcW w:w="261" w:type="pct"/>
            <w:tcBorders>
              <w:top w:val="single" w:sz="4" w:space="0" w:color="auto"/>
              <w:left w:val="single" w:sz="4" w:space="0" w:color="auto"/>
              <w:bottom w:val="single" w:sz="4" w:space="0" w:color="auto"/>
              <w:right w:val="single" w:sz="4" w:space="0" w:color="auto"/>
            </w:tcBorders>
            <w:noWrap/>
            <w:vAlign w:val="center"/>
            <w:hideMark/>
          </w:tcPr>
          <w:p w14:paraId="50A1CB98" w14:textId="77777777" w:rsidR="00702DCD" w:rsidRPr="005C5CBD" w:rsidRDefault="00702DCD" w:rsidP="00916A6C">
            <w:pPr>
              <w:rPr>
                <w:rFonts w:ascii="Garamond" w:eastAsia="Calibri" w:hAnsi="Garamond" w:cs="Calibri"/>
              </w:rPr>
            </w:pP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6A0C6586" w14:textId="77777777" w:rsidR="00702DCD" w:rsidRPr="005C5CBD" w:rsidRDefault="00702DCD" w:rsidP="00916A6C">
            <w:pPr>
              <w:rPr>
                <w:rFonts w:ascii="Garamond" w:eastAsia="Calibri" w:hAnsi="Garamond" w:cs="Calibri"/>
              </w:rPr>
            </w:pPr>
          </w:p>
        </w:tc>
        <w:tc>
          <w:tcPr>
            <w:tcW w:w="158" w:type="pct"/>
            <w:tcBorders>
              <w:top w:val="single" w:sz="4" w:space="0" w:color="auto"/>
              <w:left w:val="single" w:sz="4" w:space="0" w:color="auto"/>
              <w:bottom w:val="single" w:sz="4" w:space="0" w:color="auto"/>
              <w:right w:val="single" w:sz="4" w:space="0" w:color="auto"/>
            </w:tcBorders>
            <w:noWrap/>
            <w:vAlign w:val="center"/>
            <w:hideMark/>
          </w:tcPr>
          <w:p w14:paraId="789FC7AD" w14:textId="77777777" w:rsidR="00702DCD" w:rsidRPr="005C5CBD" w:rsidRDefault="00702DCD" w:rsidP="00916A6C">
            <w:pPr>
              <w:rPr>
                <w:rFonts w:ascii="Garamond" w:eastAsia="Calibri" w:hAnsi="Garamond" w:cs="Calibri"/>
              </w:rPr>
            </w:pP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24BC3DAC" w14:textId="77777777" w:rsidR="00702DCD" w:rsidRPr="005C5CBD" w:rsidRDefault="00702DCD" w:rsidP="00916A6C">
            <w:pPr>
              <w:rPr>
                <w:rFonts w:ascii="Garamond" w:eastAsia="Calibri" w:hAnsi="Garamond" w:cs="Calibri"/>
              </w:rPr>
            </w:pP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6496B2D8" w14:textId="77777777" w:rsidR="00702DCD" w:rsidRPr="005C5CBD" w:rsidRDefault="00702DCD" w:rsidP="00916A6C">
            <w:pPr>
              <w:rPr>
                <w:rFonts w:ascii="Garamond" w:eastAsia="Calibri" w:hAnsi="Garamond" w:cs="Calibri"/>
              </w:rPr>
            </w:pP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0457EDA0" w14:textId="77777777" w:rsidR="00702DCD" w:rsidRPr="005C5CBD" w:rsidRDefault="00702DCD" w:rsidP="00916A6C">
            <w:pPr>
              <w:rPr>
                <w:rFonts w:ascii="Garamond" w:eastAsia="Calibri" w:hAnsi="Garamond" w:cs="Calibri"/>
              </w:rPr>
            </w:pP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3C43CED8"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57" w:type="pct"/>
            <w:tcBorders>
              <w:top w:val="single" w:sz="4" w:space="0" w:color="auto"/>
              <w:left w:val="single" w:sz="4" w:space="0" w:color="auto"/>
              <w:bottom w:val="single" w:sz="4" w:space="0" w:color="auto"/>
              <w:right w:val="single" w:sz="4" w:space="0" w:color="auto"/>
            </w:tcBorders>
            <w:noWrap/>
            <w:vAlign w:val="center"/>
            <w:hideMark/>
          </w:tcPr>
          <w:p w14:paraId="10630565" w14:textId="77777777" w:rsidR="00702DCD" w:rsidRPr="005C5CBD" w:rsidRDefault="00702DCD" w:rsidP="00916A6C">
            <w:pPr>
              <w:rPr>
                <w:rFonts w:ascii="Garamond" w:hAnsi="Garamond" w:cs="Calibri"/>
                <w:sz w:val="16"/>
                <w:szCs w:val="16"/>
              </w:rPr>
            </w:pP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41D2ADC3" w14:textId="77777777" w:rsidR="00702DCD" w:rsidRPr="005C5CBD" w:rsidRDefault="00702DCD" w:rsidP="00916A6C">
            <w:pPr>
              <w:rPr>
                <w:rFonts w:ascii="Garamond" w:eastAsia="Calibri" w:hAnsi="Garamond" w:cs="Calibri"/>
              </w:rPr>
            </w:pP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4A60E2E9" w14:textId="77777777" w:rsidR="00702DCD" w:rsidRPr="005C5CBD" w:rsidRDefault="00702DCD" w:rsidP="00916A6C">
            <w:pPr>
              <w:rPr>
                <w:rFonts w:ascii="Garamond" w:eastAsia="Calibri" w:hAnsi="Garamond" w:cs="Calibri"/>
              </w:rPr>
            </w:pP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01EDF305" w14:textId="77777777" w:rsidR="00702DCD" w:rsidRPr="005C5CBD" w:rsidRDefault="00702DCD" w:rsidP="00916A6C">
            <w:pPr>
              <w:rPr>
                <w:rFonts w:ascii="Garamond" w:eastAsia="Calibri" w:hAnsi="Garamond" w:cs="Calibri"/>
              </w:rPr>
            </w:pP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2090A949" w14:textId="77777777" w:rsidR="00702DCD" w:rsidRPr="005C5CBD" w:rsidRDefault="00702DCD" w:rsidP="00916A6C">
            <w:pPr>
              <w:rPr>
                <w:rFonts w:ascii="Garamond" w:eastAsia="Calibri" w:hAnsi="Garamond" w:cs="Calibri"/>
              </w:rPr>
            </w:pP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68BB1E46" w14:textId="77777777" w:rsidR="00702DCD" w:rsidRPr="005C5CBD" w:rsidRDefault="00702DCD" w:rsidP="00916A6C">
            <w:pPr>
              <w:rPr>
                <w:rFonts w:ascii="Garamond" w:eastAsia="Calibri" w:hAnsi="Garamond" w:cs="Calibri"/>
              </w:rPr>
            </w:pP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6D856295"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r>
      <w:tr w:rsidR="005B1996" w:rsidRPr="00AC0363" w14:paraId="26FDB6B4" w14:textId="77777777" w:rsidTr="005B1996">
        <w:trPr>
          <w:trHeight w:val="405"/>
        </w:trPr>
        <w:tc>
          <w:tcPr>
            <w:tcW w:w="139" w:type="pct"/>
            <w:vMerge/>
            <w:tcBorders>
              <w:top w:val="single" w:sz="4" w:space="0" w:color="auto"/>
              <w:left w:val="single" w:sz="4" w:space="0" w:color="auto"/>
              <w:bottom w:val="single" w:sz="4" w:space="0" w:color="auto"/>
              <w:right w:val="single" w:sz="4" w:space="0" w:color="auto"/>
            </w:tcBorders>
            <w:vAlign w:val="center"/>
            <w:hideMark/>
          </w:tcPr>
          <w:p w14:paraId="4622969A" w14:textId="77777777" w:rsidR="00702DCD" w:rsidRPr="005C5CBD" w:rsidRDefault="00702DCD" w:rsidP="00916A6C">
            <w:pPr>
              <w:rPr>
                <w:rFonts w:ascii="Garamond" w:hAnsi="Garamond" w:cs="Calibri"/>
                <w:color w:val="000000"/>
                <w:sz w:val="16"/>
                <w:szCs w:val="16"/>
              </w:rPr>
            </w:pPr>
          </w:p>
        </w:tc>
        <w:tc>
          <w:tcPr>
            <w:tcW w:w="423" w:type="pct"/>
            <w:tcBorders>
              <w:top w:val="single" w:sz="4" w:space="0" w:color="auto"/>
              <w:left w:val="single" w:sz="4" w:space="0" w:color="auto"/>
              <w:bottom w:val="single" w:sz="4" w:space="0" w:color="auto"/>
              <w:right w:val="single" w:sz="4" w:space="0" w:color="auto"/>
            </w:tcBorders>
            <w:noWrap/>
            <w:vAlign w:val="center"/>
            <w:hideMark/>
          </w:tcPr>
          <w:p w14:paraId="37F85AED" w14:textId="77777777" w:rsidR="00702DCD" w:rsidRPr="005C5CBD" w:rsidRDefault="00702DCD" w:rsidP="00916A6C">
            <w:pPr>
              <w:jc w:val="center"/>
              <w:rPr>
                <w:rFonts w:ascii="Garamond" w:hAnsi="Garamond" w:cs="Calibri"/>
                <w:color w:val="000000"/>
                <w:sz w:val="16"/>
                <w:szCs w:val="16"/>
              </w:rPr>
            </w:pPr>
            <w:r w:rsidRPr="005C5CBD">
              <w:rPr>
                <w:rFonts w:ascii="Garamond" w:hAnsi="Garamond" w:cs="Calibri"/>
                <w:color w:val="000000"/>
                <w:sz w:val="16"/>
                <w:szCs w:val="16"/>
              </w:rPr>
              <w:t>Total (I)</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4DC50CCA"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61" w:type="pct"/>
            <w:tcBorders>
              <w:top w:val="single" w:sz="4" w:space="0" w:color="auto"/>
              <w:left w:val="single" w:sz="4" w:space="0" w:color="auto"/>
              <w:bottom w:val="single" w:sz="4" w:space="0" w:color="auto"/>
              <w:right w:val="single" w:sz="4" w:space="0" w:color="auto"/>
            </w:tcBorders>
            <w:noWrap/>
            <w:vAlign w:val="center"/>
            <w:hideMark/>
          </w:tcPr>
          <w:p w14:paraId="1B88814B"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5ED4E0E7"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158" w:type="pct"/>
            <w:tcBorders>
              <w:top w:val="single" w:sz="4" w:space="0" w:color="auto"/>
              <w:left w:val="single" w:sz="4" w:space="0" w:color="auto"/>
              <w:bottom w:val="single" w:sz="4" w:space="0" w:color="auto"/>
              <w:right w:val="single" w:sz="4" w:space="0" w:color="auto"/>
            </w:tcBorders>
            <w:noWrap/>
            <w:vAlign w:val="center"/>
            <w:hideMark/>
          </w:tcPr>
          <w:p w14:paraId="27C4E2C6"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473C8C23"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78D8FC1E"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374D1032"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22732D66"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57" w:type="pct"/>
            <w:tcBorders>
              <w:top w:val="single" w:sz="4" w:space="0" w:color="auto"/>
              <w:left w:val="single" w:sz="4" w:space="0" w:color="auto"/>
              <w:bottom w:val="single" w:sz="4" w:space="0" w:color="auto"/>
              <w:right w:val="single" w:sz="4" w:space="0" w:color="auto"/>
            </w:tcBorders>
            <w:noWrap/>
            <w:vAlign w:val="center"/>
            <w:hideMark/>
          </w:tcPr>
          <w:p w14:paraId="37A176B9"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48547AC9"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6BF75A37"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0B4CF116"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21C98B45"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4BF0AB56"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6AE9D0D7"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r>
      <w:tr w:rsidR="005B1996" w:rsidRPr="00AC0363" w14:paraId="0CB8F34C" w14:textId="77777777" w:rsidTr="005B1996">
        <w:trPr>
          <w:trHeight w:val="405"/>
        </w:trPr>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E56CEC3" w14:textId="77777777" w:rsidR="00702DCD" w:rsidRPr="005C5CBD" w:rsidRDefault="00702DCD" w:rsidP="00916A6C">
            <w:pPr>
              <w:jc w:val="center"/>
              <w:rPr>
                <w:rFonts w:ascii="Garamond" w:hAnsi="Garamond" w:cs="Calibri"/>
                <w:color w:val="000000"/>
                <w:sz w:val="16"/>
                <w:szCs w:val="16"/>
              </w:rPr>
            </w:pPr>
            <w:r w:rsidRPr="005C5CBD">
              <w:rPr>
                <w:rFonts w:ascii="Garamond" w:hAnsi="Garamond" w:cs="Calibri"/>
                <w:color w:val="000000"/>
                <w:sz w:val="16"/>
                <w:szCs w:val="16"/>
              </w:rPr>
              <w:t>Vendas Mercado Externo (II)</w:t>
            </w:r>
          </w:p>
        </w:tc>
        <w:tc>
          <w:tcPr>
            <w:tcW w:w="423" w:type="pct"/>
            <w:tcBorders>
              <w:top w:val="single" w:sz="4" w:space="0" w:color="auto"/>
              <w:left w:val="single" w:sz="4" w:space="0" w:color="auto"/>
              <w:bottom w:val="single" w:sz="4" w:space="0" w:color="auto"/>
              <w:right w:val="single" w:sz="4" w:space="0" w:color="auto"/>
            </w:tcBorders>
            <w:vAlign w:val="center"/>
            <w:hideMark/>
          </w:tcPr>
          <w:p w14:paraId="1346F199" w14:textId="77777777" w:rsidR="00702DCD" w:rsidRPr="005C5CBD" w:rsidRDefault="00702DCD" w:rsidP="00916A6C">
            <w:pPr>
              <w:jc w:val="center"/>
              <w:rPr>
                <w:rFonts w:ascii="Garamond" w:hAnsi="Garamond" w:cs="Calibri"/>
                <w:color w:val="000000"/>
                <w:sz w:val="16"/>
                <w:szCs w:val="16"/>
              </w:rPr>
            </w:pPr>
            <w:r w:rsidRPr="005C5CBD">
              <w:rPr>
                <w:rFonts w:ascii="Garamond" w:hAnsi="Garamond" w:cs="Calibri"/>
                <w:color w:val="000000"/>
                <w:sz w:val="16"/>
                <w:szCs w:val="16"/>
              </w:rPr>
              <w:t>a) Produto similar doméstico</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23AF3DA5"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61" w:type="pct"/>
            <w:tcBorders>
              <w:top w:val="single" w:sz="4" w:space="0" w:color="auto"/>
              <w:left w:val="single" w:sz="4" w:space="0" w:color="auto"/>
              <w:bottom w:val="single" w:sz="4" w:space="0" w:color="auto"/>
              <w:right w:val="single" w:sz="4" w:space="0" w:color="auto"/>
            </w:tcBorders>
            <w:noWrap/>
            <w:vAlign w:val="center"/>
            <w:hideMark/>
          </w:tcPr>
          <w:p w14:paraId="14DCAC39"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70C7D2E8"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158" w:type="pct"/>
            <w:tcBorders>
              <w:top w:val="single" w:sz="4" w:space="0" w:color="auto"/>
              <w:left w:val="single" w:sz="4" w:space="0" w:color="auto"/>
              <w:bottom w:val="single" w:sz="4" w:space="0" w:color="auto"/>
              <w:right w:val="single" w:sz="4" w:space="0" w:color="auto"/>
            </w:tcBorders>
            <w:noWrap/>
            <w:vAlign w:val="center"/>
            <w:hideMark/>
          </w:tcPr>
          <w:p w14:paraId="3CF30412"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51EFEEB2"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7CA4F96D"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6001D7D6"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41C215B8"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57" w:type="pct"/>
            <w:tcBorders>
              <w:top w:val="single" w:sz="4" w:space="0" w:color="auto"/>
              <w:left w:val="single" w:sz="4" w:space="0" w:color="auto"/>
              <w:bottom w:val="single" w:sz="4" w:space="0" w:color="auto"/>
              <w:right w:val="single" w:sz="4" w:space="0" w:color="auto"/>
            </w:tcBorders>
            <w:noWrap/>
            <w:vAlign w:val="center"/>
            <w:hideMark/>
          </w:tcPr>
          <w:p w14:paraId="4DC7F9AD"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0BC246C8"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37220D78"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306B91E1"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29C8440C"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02E75C00"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0C12519"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r>
      <w:tr w:rsidR="005B1996" w:rsidRPr="00AC0363" w14:paraId="1EC82DDB" w14:textId="77777777" w:rsidTr="005B1996">
        <w:trPr>
          <w:trHeight w:val="405"/>
        </w:trPr>
        <w:tc>
          <w:tcPr>
            <w:tcW w:w="139" w:type="pct"/>
            <w:vMerge/>
            <w:tcBorders>
              <w:top w:val="single" w:sz="4" w:space="0" w:color="auto"/>
              <w:left w:val="single" w:sz="4" w:space="0" w:color="auto"/>
              <w:bottom w:val="single" w:sz="4" w:space="0" w:color="auto"/>
              <w:right w:val="single" w:sz="4" w:space="0" w:color="auto"/>
            </w:tcBorders>
            <w:vAlign w:val="center"/>
            <w:hideMark/>
          </w:tcPr>
          <w:p w14:paraId="2E5A7276" w14:textId="77777777" w:rsidR="00702DCD" w:rsidRPr="005C5CBD" w:rsidRDefault="00702DCD" w:rsidP="00916A6C">
            <w:pPr>
              <w:rPr>
                <w:rFonts w:ascii="Garamond" w:hAnsi="Garamond" w:cs="Calibri"/>
                <w:color w:val="000000"/>
                <w:sz w:val="16"/>
                <w:szCs w:val="16"/>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5EE5E6FF" w14:textId="77777777" w:rsidR="00702DCD" w:rsidRPr="005C5CBD" w:rsidRDefault="00702DCD" w:rsidP="00916A6C">
            <w:pPr>
              <w:jc w:val="center"/>
              <w:rPr>
                <w:rFonts w:ascii="Garamond" w:hAnsi="Garamond" w:cs="Calibri"/>
                <w:color w:val="000000"/>
                <w:sz w:val="16"/>
                <w:szCs w:val="16"/>
              </w:rPr>
            </w:pPr>
            <w:r w:rsidRPr="005C5CBD">
              <w:rPr>
                <w:rFonts w:ascii="Garamond" w:hAnsi="Garamond" w:cs="Calibri"/>
                <w:color w:val="000000"/>
                <w:sz w:val="16"/>
                <w:szCs w:val="16"/>
              </w:rPr>
              <w:t>a.1) venda fabricação própria</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34DBB7A7" w14:textId="77777777" w:rsidR="00702DCD" w:rsidRPr="005C5CBD" w:rsidRDefault="00702DCD" w:rsidP="00916A6C">
            <w:pPr>
              <w:rPr>
                <w:rFonts w:ascii="Garamond" w:hAnsi="Garamond" w:cs="Calibri"/>
                <w:color w:val="000000"/>
                <w:sz w:val="16"/>
                <w:szCs w:val="16"/>
              </w:rPr>
            </w:pPr>
          </w:p>
        </w:tc>
        <w:tc>
          <w:tcPr>
            <w:tcW w:w="261" w:type="pct"/>
            <w:tcBorders>
              <w:top w:val="single" w:sz="4" w:space="0" w:color="auto"/>
              <w:left w:val="single" w:sz="4" w:space="0" w:color="auto"/>
              <w:bottom w:val="single" w:sz="4" w:space="0" w:color="auto"/>
              <w:right w:val="single" w:sz="4" w:space="0" w:color="auto"/>
            </w:tcBorders>
            <w:noWrap/>
            <w:vAlign w:val="center"/>
            <w:hideMark/>
          </w:tcPr>
          <w:p w14:paraId="6C215489" w14:textId="77777777" w:rsidR="00702DCD" w:rsidRPr="005C5CBD" w:rsidRDefault="00702DCD" w:rsidP="00916A6C">
            <w:pPr>
              <w:rPr>
                <w:rFonts w:ascii="Garamond" w:eastAsia="Calibri" w:hAnsi="Garamond" w:cs="Calibri"/>
              </w:rPr>
            </w:pP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55B507ED" w14:textId="77777777" w:rsidR="00702DCD" w:rsidRPr="005C5CBD" w:rsidRDefault="00702DCD" w:rsidP="00916A6C">
            <w:pPr>
              <w:rPr>
                <w:rFonts w:ascii="Garamond" w:eastAsia="Calibri" w:hAnsi="Garamond" w:cs="Calibri"/>
              </w:rPr>
            </w:pPr>
          </w:p>
        </w:tc>
        <w:tc>
          <w:tcPr>
            <w:tcW w:w="158" w:type="pct"/>
            <w:tcBorders>
              <w:top w:val="single" w:sz="4" w:space="0" w:color="auto"/>
              <w:left w:val="single" w:sz="4" w:space="0" w:color="auto"/>
              <w:bottom w:val="single" w:sz="4" w:space="0" w:color="auto"/>
              <w:right w:val="single" w:sz="4" w:space="0" w:color="auto"/>
            </w:tcBorders>
            <w:noWrap/>
            <w:vAlign w:val="center"/>
            <w:hideMark/>
          </w:tcPr>
          <w:p w14:paraId="1CFDE831" w14:textId="77777777" w:rsidR="00702DCD" w:rsidRPr="005C5CBD" w:rsidRDefault="00702DCD" w:rsidP="00916A6C">
            <w:pPr>
              <w:rPr>
                <w:rFonts w:ascii="Garamond" w:eastAsia="Calibri" w:hAnsi="Garamond" w:cs="Calibri"/>
              </w:rPr>
            </w:pP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53C15227" w14:textId="77777777" w:rsidR="00702DCD" w:rsidRPr="005C5CBD" w:rsidRDefault="00702DCD" w:rsidP="00916A6C">
            <w:pPr>
              <w:rPr>
                <w:rFonts w:ascii="Garamond" w:eastAsia="Calibri" w:hAnsi="Garamond" w:cs="Calibri"/>
              </w:rPr>
            </w:pP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3A797E68" w14:textId="77777777" w:rsidR="00702DCD" w:rsidRPr="005C5CBD" w:rsidRDefault="00702DCD" w:rsidP="00916A6C">
            <w:pPr>
              <w:rPr>
                <w:rFonts w:ascii="Garamond" w:eastAsia="Calibri" w:hAnsi="Garamond" w:cs="Calibri"/>
              </w:rPr>
            </w:pP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61F32642" w14:textId="77777777" w:rsidR="00702DCD" w:rsidRPr="005C5CBD" w:rsidRDefault="00702DCD" w:rsidP="00916A6C">
            <w:pPr>
              <w:rPr>
                <w:rFonts w:ascii="Garamond" w:eastAsia="Calibri" w:hAnsi="Garamond" w:cs="Calibri"/>
              </w:rPr>
            </w:pP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480FA0F2"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57" w:type="pct"/>
            <w:tcBorders>
              <w:top w:val="single" w:sz="4" w:space="0" w:color="auto"/>
              <w:left w:val="single" w:sz="4" w:space="0" w:color="auto"/>
              <w:bottom w:val="single" w:sz="4" w:space="0" w:color="auto"/>
              <w:right w:val="single" w:sz="4" w:space="0" w:color="auto"/>
            </w:tcBorders>
            <w:noWrap/>
            <w:vAlign w:val="center"/>
            <w:hideMark/>
          </w:tcPr>
          <w:p w14:paraId="1A9E3E21" w14:textId="77777777" w:rsidR="00702DCD" w:rsidRPr="005C5CBD" w:rsidRDefault="00702DCD" w:rsidP="00916A6C">
            <w:pPr>
              <w:rPr>
                <w:rFonts w:ascii="Garamond" w:hAnsi="Garamond" w:cs="Calibri"/>
                <w:sz w:val="16"/>
                <w:szCs w:val="16"/>
              </w:rPr>
            </w:pP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43C24623" w14:textId="77777777" w:rsidR="00702DCD" w:rsidRPr="005C5CBD" w:rsidRDefault="00702DCD" w:rsidP="00916A6C">
            <w:pPr>
              <w:rPr>
                <w:rFonts w:ascii="Garamond" w:eastAsia="Calibri" w:hAnsi="Garamond" w:cs="Calibri"/>
              </w:rPr>
            </w:pP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0F0997DE" w14:textId="77777777" w:rsidR="00702DCD" w:rsidRPr="005C5CBD" w:rsidRDefault="00702DCD" w:rsidP="00916A6C">
            <w:pPr>
              <w:rPr>
                <w:rFonts w:ascii="Garamond" w:eastAsia="Calibri" w:hAnsi="Garamond" w:cs="Calibri"/>
              </w:rPr>
            </w:pP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7E13C961" w14:textId="77777777" w:rsidR="00702DCD" w:rsidRPr="005C5CBD" w:rsidRDefault="00702DCD" w:rsidP="00916A6C">
            <w:pPr>
              <w:rPr>
                <w:rFonts w:ascii="Garamond" w:eastAsia="Calibri" w:hAnsi="Garamond" w:cs="Calibri"/>
              </w:rPr>
            </w:pP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5821951C" w14:textId="77777777" w:rsidR="00702DCD" w:rsidRPr="005C5CBD" w:rsidRDefault="00702DCD" w:rsidP="00916A6C">
            <w:pPr>
              <w:rPr>
                <w:rFonts w:ascii="Garamond" w:eastAsia="Calibri" w:hAnsi="Garamond" w:cs="Calibri"/>
              </w:rPr>
            </w:pP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1B622B37" w14:textId="77777777" w:rsidR="00702DCD" w:rsidRPr="005C5CBD" w:rsidRDefault="00702DCD" w:rsidP="00916A6C">
            <w:pPr>
              <w:rPr>
                <w:rFonts w:ascii="Garamond" w:eastAsia="Calibri" w:hAnsi="Garamond" w:cs="Calibri"/>
              </w:rPr>
            </w:pP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2020A0DE"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r>
      <w:tr w:rsidR="005B1996" w:rsidRPr="00AC0363" w14:paraId="45531AD4" w14:textId="77777777" w:rsidTr="005B1996">
        <w:trPr>
          <w:trHeight w:val="405"/>
        </w:trPr>
        <w:tc>
          <w:tcPr>
            <w:tcW w:w="139" w:type="pct"/>
            <w:vMerge/>
            <w:tcBorders>
              <w:top w:val="single" w:sz="4" w:space="0" w:color="auto"/>
              <w:left w:val="single" w:sz="4" w:space="0" w:color="auto"/>
              <w:bottom w:val="single" w:sz="4" w:space="0" w:color="auto"/>
              <w:right w:val="single" w:sz="4" w:space="0" w:color="auto"/>
            </w:tcBorders>
            <w:vAlign w:val="center"/>
            <w:hideMark/>
          </w:tcPr>
          <w:p w14:paraId="0093EFCC" w14:textId="77777777" w:rsidR="00702DCD" w:rsidRPr="005C5CBD" w:rsidRDefault="00702DCD" w:rsidP="00916A6C">
            <w:pPr>
              <w:rPr>
                <w:rFonts w:ascii="Garamond" w:hAnsi="Garamond" w:cs="Calibri"/>
                <w:color w:val="000000"/>
                <w:sz w:val="16"/>
                <w:szCs w:val="16"/>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4663124B" w14:textId="77777777" w:rsidR="00702DCD" w:rsidRPr="005C5CBD" w:rsidRDefault="00702DCD" w:rsidP="00916A6C">
            <w:pPr>
              <w:jc w:val="center"/>
              <w:rPr>
                <w:rFonts w:ascii="Garamond" w:hAnsi="Garamond" w:cs="Calibri"/>
                <w:color w:val="000000"/>
                <w:sz w:val="16"/>
                <w:szCs w:val="16"/>
              </w:rPr>
            </w:pPr>
            <w:r w:rsidRPr="005C5CBD">
              <w:rPr>
                <w:rFonts w:ascii="Garamond" w:hAnsi="Garamond" w:cs="Calibri"/>
                <w:color w:val="000000"/>
                <w:sz w:val="16"/>
                <w:szCs w:val="16"/>
              </w:rPr>
              <w:t>a.2) revenda produto importado e/ou adquirido no mercado brasileiro</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61C18F07" w14:textId="77777777" w:rsidR="00702DCD" w:rsidRPr="005C5CBD" w:rsidRDefault="00702DCD" w:rsidP="00916A6C">
            <w:pPr>
              <w:rPr>
                <w:rFonts w:ascii="Garamond" w:hAnsi="Garamond" w:cs="Calibri"/>
                <w:color w:val="000000"/>
                <w:sz w:val="16"/>
                <w:szCs w:val="16"/>
              </w:rPr>
            </w:pPr>
          </w:p>
        </w:tc>
        <w:tc>
          <w:tcPr>
            <w:tcW w:w="261" w:type="pct"/>
            <w:tcBorders>
              <w:top w:val="single" w:sz="4" w:space="0" w:color="auto"/>
              <w:left w:val="single" w:sz="4" w:space="0" w:color="auto"/>
              <w:bottom w:val="single" w:sz="4" w:space="0" w:color="auto"/>
              <w:right w:val="single" w:sz="4" w:space="0" w:color="auto"/>
            </w:tcBorders>
            <w:noWrap/>
            <w:vAlign w:val="center"/>
            <w:hideMark/>
          </w:tcPr>
          <w:p w14:paraId="5998E54B" w14:textId="77777777" w:rsidR="00702DCD" w:rsidRPr="005C5CBD" w:rsidRDefault="00702DCD" w:rsidP="00916A6C">
            <w:pPr>
              <w:rPr>
                <w:rFonts w:ascii="Garamond" w:eastAsia="Calibri" w:hAnsi="Garamond" w:cs="Calibri"/>
              </w:rPr>
            </w:pP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59A161B6" w14:textId="77777777" w:rsidR="00702DCD" w:rsidRPr="005C5CBD" w:rsidRDefault="00702DCD" w:rsidP="00916A6C">
            <w:pPr>
              <w:rPr>
                <w:rFonts w:ascii="Garamond" w:eastAsia="Calibri" w:hAnsi="Garamond" w:cs="Calibri"/>
              </w:rPr>
            </w:pPr>
          </w:p>
        </w:tc>
        <w:tc>
          <w:tcPr>
            <w:tcW w:w="158" w:type="pct"/>
            <w:tcBorders>
              <w:top w:val="single" w:sz="4" w:space="0" w:color="auto"/>
              <w:left w:val="single" w:sz="4" w:space="0" w:color="auto"/>
              <w:bottom w:val="single" w:sz="4" w:space="0" w:color="auto"/>
              <w:right w:val="single" w:sz="4" w:space="0" w:color="auto"/>
            </w:tcBorders>
            <w:noWrap/>
            <w:vAlign w:val="center"/>
            <w:hideMark/>
          </w:tcPr>
          <w:p w14:paraId="1F2E5970" w14:textId="77777777" w:rsidR="00702DCD" w:rsidRPr="005C5CBD" w:rsidRDefault="00702DCD" w:rsidP="00916A6C">
            <w:pPr>
              <w:rPr>
                <w:rFonts w:ascii="Garamond" w:eastAsia="Calibri" w:hAnsi="Garamond" w:cs="Calibri"/>
              </w:rPr>
            </w:pP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5029DAC1" w14:textId="77777777" w:rsidR="00702DCD" w:rsidRPr="005C5CBD" w:rsidRDefault="00702DCD" w:rsidP="00916A6C">
            <w:pPr>
              <w:rPr>
                <w:rFonts w:ascii="Garamond" w:eastAsia="Calibri" w:hAnsi="Garamond" w:cs="Calibri"/>
              </w:rPr>
            </w:pP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70B9F960" w14:textId="77777777" w:rsidR="00702DCD" w:rsidRPr="005C5CBD" w:rsidRDefault="00702DCD" w:rsidP="00916A6C">
            <w:pPr>
              <w:rPr>
                <w:rFonts w:ascii="Garamond" w:eastAsia="Calibri" w:hAnsi="Garamond" w:cs="Calibri"/>
              </w:rPr>
            </w:pP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29A0BADB" w14:textId="77777777" w:rsidR="00702DCD" w:rsidRPr="005C5CBD" w:rsidRDefault="00702DCD" w:rsidP="00916A6C">
            <w:pPr>
              <w:rPr>
                <w:rFonts w:ascii="Garamond" w:eastAsia="Calibri" w:hAnsi="Garamond" w:cs="Calibri"/>
              </w:rPr>
            </w:pP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162D3B74"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57" w:type="pct"/>
            <w:tcBorders>
              <w:top w:val="single" w:sz="4" w:space="0" w:color="auto"/>
              <w:left w:val="single" w:sz="4" w:space="0" w:color="auto"/>
              <w:bottom w:val="single" w:sz="4" w:space="0" w:color="auto"/>
              <w:right w:val="single" w:sz="4" w:space="0" w:color="auto"/>
            </w:tcBorders>
            <w:noWrap/>
            <w:vAlign w:val="center"/>
            <w:hideMark/>
          </w:tcPr>
          <w:p w14:paraId="604E8716" w14:textId="77777777" w:rsidR="00702DCD" w:rsidRPr="005C5CBD" w:rsidRDefault="00702DCD" w:rsidP="00916A6C">
            <w:pPr>
              <w:rPr>
                <w:rFonts w:ascii="Garamond" w:hAnsi="Garamond" w:cs="Calibri"/>
                <w:sz w:val="16"/>
                <w:szCs w:val="16"/>
              </w:rPr>
            </w:pP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3FA14ECE" w14:textId="77777777" w:rsidR="00702DCD" w:rsidRPr="005C5CBD" w:rsidRDefault="00702DCD" w:rsidP="00916A6C">
            <w:pPr>
              <w:rPr>
                <w:rFonts w:ascii="Garamond" w:eastAsia="Calibri" w:hAnsi="Garamond" w:cs="Calibri"/>
              </w:rPr>
            </w:pP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2A58F952" w14:textId="77777777" w:rsidR="00702DCD" w:rsidRPr="005C5CBD" w:rsidRDefault="00702DCD" w:rsidP="00916A6C">
            <w:pPr>
              <w:rPr>
                <w:rFonts w:ascii="Garamond" w:eastAsia="Calibri" w:hAnsi="Garamond" w:cs="Calibri"/>
              </w:rPr>
            </w:pP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32619961" w14:textId="77777777" w:rsidR="00702DCD" w:rsidRPr="005C5CBD" w:rsidRDefault="00702DCD" w:rsidP="00916A6C">
            <w:pPr>
              <w:rPr>
                <w:rFonts w:ascii="Garamond" w:eastAsia="Calibri" w:hAnsi="Garamond" w:cs="Calibri"/>
              </w:rPr>
            </w:pP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6545E8DD" w14:textId="77777777" w:rsidR="00702DCD" w:rsidRPr="005C5CBD" w:rsidRDefault="00702DCD" w:rsidP="00916A6C">
            <w:pPr>
              <w:rPr>
                <w:rFonts w:ascii="Garamond" w:eastAsia="Calibri" w:hAnsi="Garamond" w:cs="Calibri"/>
              </w:rPr>
            </w:pP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46036331" w14:textId="77777777" w:rsidR="00702DCD" w:rsidRPr="005C5CBD" w:rsidRDefault="00702DCD" w:rsidP="00916A6C">
            <w:pPr>
              <w:rPr>
                <w:rFonts w:ascii="Garamond" w:eastAsia="Calibri" w:hAnsi="Garamond" w:cs="Calibri"/>
              </w:rPr>
            </w:pP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0B0120C7"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r>
      <w:tr w:rsidR="005B1996" w:rsidRPr="00AC0363" w14:paraId="3A36208E" w14:textId="77777777" w:rsidTr="005B1996">
        <w:trPr>
          <w:trHeight w:val="405"/>
        </w:trPr>
        <w:tc>
          <w:tcPr>
            <w:tcW w:w="139" w:type="pct"/>
            <w:vMerge/>
            <w:tcBorders>
              <w:top w:val="single" w:sz="4" w:space="0" w:color="auto"/>
              <w:left w:val="single" w:sz="4" w:space="0" w:color="auto"/>
              <w:bottom w:val="single" w:sz="4" w:space="0" w:color="auto"/>
              <w:right w:val="single" w:sz="4" w:space="0" w:color="auto"/>
            </w:tcBorders>
            <w:vAlign w:val="center"/>
            <w:hideMark/>
          </w:tcPr>
          <w:p w14:paraId="20391B1F" w14:textId="77777777" w:rsidR="00702DCD" w:rsidRPr="005C5CBD" w:rsidRDefault="00702DCD" w:rsidP="00916A6C">
            <w:pPr>
              <w:rPr>
                <w:rFonts w:ascii="Garamond" w:hAnsi="Garamond" w:cs="Calibri"/>
                <w:color w:val="000000"/>
                <w:sz w:val="16"/>
                <w:szCs w:val="16"/>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49D24183" w14:textId="77777777" w:rsidR="00702DCD" w:rsidRPr="005C5CBD" w:rsidRDefault="00702DCD" w:rsidP="00916A6C">
            <w:pPr>
              <w:jc w:val="center"/>
              <w:rPr>
                <w:rFonts w:ascii="Garamond" w:hAnsi="Garamond" w:cs="Calibri"/>
                <w:color w:val="000000"/>
                <w:sz w:val="16"/>
                <w:szCs w:val="16"/>
              </w:rPr>
            </w:pPr>
            <w:r w:rsidRPr="005C5CBD">
              <w:rPr>
                <w:rFonts w:ascii="Garamond" w:hAnsi="Garamond" w:cs="Calibri"/>
                <w:color w:val="000000"/>
                <w:sz w:val="16"/>
                <w:szCs w:val="16"/>
              </w:rPr>
              <w:t>b) Outros Produtos</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222822D9" w14:textId="77777777" w:rsidR="00702DCD" w:rsidRPr="005C5CBD" w:rsidRDefault="00702DCD" w:rsidP="00916A6C">
            <w:pPr>
              <w:rPr>
                <w:rFonts w:ascii="Garamond" w:hAnsi="Garamond" w:cs="Calibri"/>
                <w:color w:val="000000"/>
                <w:sz w:val="16"/>
                <w:szCs w:val="16"/>
              </w:rPr>
            </w:pPr>
          </w:p>
        </w:tc>
        <w:tc>
          <w:tcPr>
            <w:tcW w:w="261" w:type="pct"/>
            <w:tcBorders>
              <w:top w:val="single" w:sz="4" w:space="0" w:color="auto"/>
              <w:left w:val="single" w:sz="4" w:space="0" w:color="auto"/>
              <w:bottom w:val="single" w:sz="4" w:space="0" w:color="auto"/>
              <w:right w:val="single" w:sz="4" w:space="0" w:color="auto"/>
            </w:tcBorders>
            <w:noWrap/>
            <w:vAlign w:val="center"/>
            <w:hideMark/>
          </w:tcPr>
          <w:p w14:paraId="78CD93A7" w14:textId="77777777" w:rsidR="00702DCD" w:rsidRPr="005C5CBD" w:rsidRDefault="00702DCD" w:rsidP="00916A6C">
            <w:pPr>
              <w:rPr>
                <w:rFonts w:ascii="Garamond" w:eastAsia="Calibri" w:hAnsi="Garamond" w:cs="Calibri"/>
              </w:rPr>
            </w:pP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01A6700C" w14:textId="77777777" w:rsidR="00702DCD" w:rsidRPr="005C5CBD" w:rsidRDefault="00702DCD" w:rsidP="00916A6C">
            <w:pPr>
              <w:rPr>
                <w:rFonts w:ascii="Garamond" w:eastAsia="Calibri" w:hAnsi="Garamond" w:cs="Calibri"/>
              </w:rPr>
            </w:pPr>
          </w:p>
        </w:tc>
        <w:tc>
          <w:tcPr>
            <w:tcW w:w="158" w:type="pct"/>
            <w:tcBorders>
              <w:top w:val="single" w:sz="4" w:space="0" w:color="auto"/>
              <w:left w:val="single" w:sz="4" w:space="0" w:color="auto"/>
              <w:bottom w:val="single" w:sz="4" w:space="0" w:color="auto"/>
              <w:right w:val="single" w:sz="4" w:space="0" w:color="auto"/>
            </w:tcBorders>
            <w:noWrap/>
            <w:vAlign w:val="center"/>
            <w:hideMark/>
          </w:tcPr>
          <w:p w14:paraId="692531EE" w14:textId="77777777" w:rsidR="00702DCD" w:rsidRPr="005C5CBD" w:rsidRDefault="00702DCD" w:rsidP="00916A6C">
            <w:pPr>
              <w:rPr>
                <w:rFonts w:ascii="Garamond" w:eastAsia="Calibri" w:hAnsi="Garamond" w:cs="Calibri"/>
              </w:rPr>
            </w:pP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52F972CB" w14:textId="77777777" w:rsidR="00702DCD" w:rsidRPr="005C5CBD" w:rsidRDefault="00702DCD" w:rsidP="00916A6C">
            <w:pPr>
              <w:rPr>
                <w:rFonts w:ascii="Garamond" w:eastAsia="Calibri" w:hAnsi="Garamond" w:cs="Calibri"/>
              </w:rPr>
            </w:pP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46B5BA4D" w14:textId="77777777" w:rsidR="00702DCD" w:rsidRPr="005C5CBD" w:rsidRDefault="00702DCD" w:rsidP="00916A6C">
            <w:pPr>
              <w:rPr>
                <w:rFonts w:ascii="Garamond" w:eastAsia="Calibri" w:hAnsi="Garamond" w:cs="Calibri"/>
              </w:rPr>
            </w:pP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44B8ECAC" w14:textId="77777777" w:rsidR="00702DCD" w:rsidRPr="005C5CBD" w:rsidRDefault="00702DCD" w:rsidP="00916A6C">
            <w:pPr>
              <w:rPr>
                <w:rFonts w:ascii="Garamond" w:eastAsia="Calibri" w:hAnsi="Garamond" w:cs="Calibri"/>
              </w:rPr>
            </w:pP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055C4E04"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57" w:type="pct"/>
            <w:tcBorders>
              <w:top w:val="single" w:sz="4" w:space="0" w:color="auto"/>
              <w:left w:val="single" w:sz="4" w:space="0" w:color="auto"/>
              <w:bottom w:val="single" w:sz="4" w:space="0" w:color="auto"/>
              <w:right w:val="single" w:sz="4" w:space="0" w:color="auto"/>
            </w:tcBorders>
            <w:noWrap/>
            <w:vAlign w:val="center"/>
            <w:hideMark/>
          </w:tcPr>
          <w:p w14:paraId="4129A687" w14:textId="77777777" w:rsidR="00702DCD" w:rsidRPr="005C5CBD" w:rsidRDefault="00702DCD" w:rsidP="00916A6C">
            <w:pPr>
              <w:rPr>
                <w:rFonts w:ascii="Garamond" w:hAnsi="Garamond" w:cs="Calibri"/>
                <w:sz w:val="16"/>
                <w:szCs w:val="16"/>
              </w:rPr>
            </w:pP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75E64FEC" w14:textId="77777777" w:rsidR="00702DCD" w:rsidRPr="005C5CBD" w:rsidRDefault="00702DCD" w:rsidP="00916A6C">
            <w:pPr>
              <w:rPr>
                <w:rFonts w:ascii="Garamond" w:eastAsia="Calibri" w:hAnsi="Garamond" w:cs="Calibri"/>
              </w:rPr>
            </w:pP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1F950A7F" w14:textId="77777777" w:rsidR="00702DCD" w:rsidRPr="005C5CBD" w:rsidRDefault="00702DCD" w:rsidP="00916A6C">
            <w:pPr>
              <w:rPr>
                <w:rFonts w:ascii="Garamond" w:eastAsia="Calibri" w:hAnsi="Garamond" w:cs="Calibri"/>
              </w:rPr>
            </w:pP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33C0640F" w14:textId="77777777" w:rsidR="00702DCD" w:rsidRPr="005C5CBD" w:rsidRDefault="00702DCD" w:rsidP="00916A6C">
            <w:pPr>
              <w:rPr>
                <w:rFonts w:ascii="Garamond" w:eastAsia="Calibri" w:hAnsi="Garamond" w:cs="Calibri"/>
              </w:rPr>
            </w:pP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76CB5695" w14:textId="77777777" w:rsidR="00702DCD" w:rsidRPr="005C5CBD" w:rsidRDefault="00702DCD" w:rsidP="00916A6C">
            <w:pPr>
              <w:rPr>
                <w:rFonts w:ascii="Garamond" w:eastAsia="Calibri" w:hAnsi="Garamond" w:cs="Calibri"/>
              </w:rPr>
            </w:pP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71C588BD" w14:textId="77777777" w:rsidR="00702DCD" w:rsidRPr="005C5CBD" w:rsidRDefault="00702DCD" w:rsidP="00916A6C">
            <w:pPr>
              <w:rPr>
                <w:rFonts w:ascii="Garamond" w:eastAsia="Calibri" w:hAnsi="Garamond" w:cs="Calibri"/>
              </w:rPr>
            </w:pP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421BA92E"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r>
      <w:tr w:rsidR="005B1996" w:rsidRPr="00AC0363" w14:paraId="4138FA4A" w14:textId="77777777" w:rsidTr="005B1996">
        <w:trPr>
          <w:trHeight w:val="405"/>
        </w:trPr>
        <w:tc>
          <w:tcPr>
            <w:tcW w:w="139" w:type="pct"/>
            <w:vMerge/>
            <w:tcBorders>
              <w:top w:val="single" w:sz="4" w:space="0" w:color="auto"/>
              <w:left w:val="single" w:sz="4" w:space="0" w:color="auto"/>
              <w:bottom w:val="single" w:sz="4" w:space="0" w:color="auto"/>
              <w:right w:val="single" w:sz="4" w:space="0" w:color="auto"/>
            </w:tcBorders>
            <w:vAlign w:val="center"/>
            <w:hideMark/>
          </w:tcPr>
          <w:p w14:paraId="498BAF11" w14:textId="77777777" w:rsidR="00702DCD" w:rsidRPr="005C5CBD" w:rsidRDefault="00702DCD" w:rsidP="00916A6C">
            <w:pPr>
              <w:rPr>
                <w:rFonts w:ascii="Garamond" w:hAnsi="Garamond" w:cs="Calibri"/>
                <w:color w:val="000000"/>
                <w:sz w:val="16"/>
                <w:szCs w:val="16"/>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0EC803F5" w14:textId="77777777" w:rsidR="00702DCD" w:rsidRPr="005C5CBD" w:rsidRDefault="00702DCD" w:rsidP="00916A6C">
            <w:pPr>
              <w:jc w:val="center"/>
              <w:rPr>
                <w:rFonts w:ascii="Garamond" w:hAnsi="Garamond" w:cs="Calibri"/>
                <w:color w:val="000000"/>
                <w:sz w:val="16"/>
                <w:szCs w:val="16"/>
              </w:rPr>
            </w:pPr>
            <w:r w:rsidRPr="005C5CBD">
              <w:rPr>
                <w:rFonts w:ascii="Garamond" w:hAnsi="Garamond" w:cs="Calibri"/>
                <w:color w:val="000000"/>
                <w:sz w:val="16"/>
                <w:szCs w:val="16"/>
              </w:rPr>
              <w:t>Total (II)</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2A4C8D3F"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61" w:type="pct"/>
            <w:tcBorders>
              <w:top w:val="single" w:sz="4" w:space="0" w:color="auto"/>
              <w:left w:val="single" w:sz="4" w:space="0" w:color="auto"/>
              <w:bottom w:val="single" w:sz="4" w:space="0" w:color="auto"/>
              <w:right w:val="single" w:sz="4" w:space="0" w:color="auto"/>
            </w:tcBorders>
            <w:noWrap/>
            <w:vAlign w:val="center"/>
            <w:hideMark/>
          </w:tcPr>
          <w:p w14:paraId="55D3690D"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2A71F649"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158" w:type="pct"/>
            <w:tcBorders>
              <w:top w:val="single" w:sz="4" w:space="0" w:color="auto"/>
              <w:left w:val="single" w:sz="4" w:space="0" w:color="auto"/>
              <w:bottom w:val="single" w:sz="4" w:space="0" w:color="auto"/>
              <w:right w:val="single" w:sz="4" w:space="0" w:color="auto"/>
            </w:tcBorders>
            <w:noWrap/>
            <w:vAlign w:val="center"/>
            <w:hideMark/>
          </w:tcPr>
          <w:p w14:paraId="71020AD6"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7666960C"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58973030"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3B207595"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674BAE4B"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57" w:type="pct"/>
            <w:tcBorders>
              <w:top w:val="single" w:sz="4" w:space="0" w:color="auto"/>
              <w:left w:val="single" w:sz="4" w:space="0" w:color="auto"/>
              <w:bottom w:val="single" w:sz="4" w:space="0" w:color="auto"/>
              <w:right w:val="single" w:sz="4" w:space="0" w:color="auto"/>
            </w:tcBorders>
            <w:noWrap/>
            <w:vAlign w:val="center"/>
            <w:hideMark/>
          </w:tcPr>
          <w:p w14:paraId="5D6A52EE"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52FC4C93"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3412949F"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47DC5CD8"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6BE2B670"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737DDD12"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3E96FB71"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r>
      <w:tr w:rsidR="005B1996" w:rsidRPr="00AC0363" w14:paraId="488CED92" w14:textId="77777777" w:rsidTr="005B1996">
        <w:trPr>
          <w:trHeight w:val="405"/>
        </w:trPr>
        <w:tc>
          <w:tcPr>
            <w:tcW w:w="561" w:type="pct"/>
            <w:gridSpan w:val="2"/>
            <w:tcBorders>
              <w:top w:val="single" w:sz="4" w:space="0" w:color="auto"/>
              <w:left w:val="single" w:sz="4" w:space="0" w:color="auto"/>
              <w:bottom w:val="single" w:sz="4" w:space="0" w:color="auto"/>
              <w:right w:val="single" w:sz="4" w:space="0" w:color="auto"/>
            </w:tcBorders>
            <w:vAlign w:val="center"/>
            <w:hideMark/>
          </w:tcPr>
          <w:p w14:paraId="41E6B35D" w14:textId="77777777" w:rsidR="00702DCD" w:rsidRPr="005C5CBD" w:rsidRDefault="00702DCD" w:rsidP="00916A6C">
            <w:pPr>
              <w:jc w:val="center"/>
              <w:rPr>
                <w:rFonts w:ascii="Garamond" w:hAnsi="Garamond" w:cs="Calibri"/>
                <w:color w:val="000000"/>
                <w:sz w:val="16"/>
                <w:szCs w:val="16"/>
              </w:rPr>
            </w:pPr>
            <w:r w:rsidRPr="005C5CBD">
              <w:rPr>
                <w:rFonts w:ascii="Garamond" w:hAnsi="Garamond" w:cs="Calibri"/>
                <w:color w:val="000000"/>
                <w:sz w:val="16"/>
                <w:szCs w:val="16"/>
              </w:rPr>
              <w:t>Total (I) + (II)</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4A7BBF64" w14:textId="77777777" w:rsidR="00702DCD" w:rsidRPr="005C5CBD" w:rsidRDefault="00702DCD" w:rsidP="00916A6C">
            <w:pPr>
              <w:ind w:left="25" w:hanging="25"/>
              <w:rPr>
                <w:rFonts w:ascii="Garamond" w:hAnsi="Garamond" w:cs="Calibri"/>
                <w:color w:val="000000"/>
                <w:sz w:val="16"/>
                <w:szCs w:val="16"/>
              </w:rPr>
            </w:pPr>
          </w:p>
        </w:tc>
        <w:tc>
          <w:tcPr>
            <w:tcW w:w="261" w:type="pct"/>
            <w:tcBorders>
              <w:top w:val="single" w:sz="4" w:space="0" w:color="auto"/>
              <w:left w:val="single" w:sz="4" w:space="0" w:color="auto"/>
              <w:bottom w:val="single" w:sz="4" w:space="0" w:color="auto"/>
              <w:right w:val="single" w:sz="4" w:space="0" w:color="auto"/>
            </w:tcBorders>
            <w:noWrap/>
            <w:vAlign w:val="center"/>
            <w:hideMark/>
          </w:tcPr>
          <w:p w14:paraId="086A398C" w14:textId="77777777" w:rsidR="00702DCD" w:rsidRPr="005C5CBD" w:rsidRDefault="00702DCD" w:rsidP="00916A6C">
            <w:pPr>
              <w:rPr>
                <w:rFonts w:ascii="Garamond" w:eastAsia="Calibri" w:hAnsi="Garamond" w:cs="Calibri"/>
              </w:rPr>
            </w:pP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6E2E57A5"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158" w:type="pct"/>
            <w:tcBorders>
              <w:top w:val="single" w:sz="4" w:space="0" w:color="auto"/>
              <w:left w:val="single" w:sz="4" w:space="0" w:color="auto"/>
              <w:bottom w:val="single" w:sz="4" w:space="0" w:color="auto"/>
              <w:right w:val="single" w:sz="4" w:space="0" w:color="auto"/>
            </w:tcBorders>
            <w:noWrap/>
            <w:vAlign w:val="center"/>
            <w:hideMark/>
          </w:tcPr>
          <w:p w14:paraId="02E54018"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2FD8829B"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20173C65"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3674AF21"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356F66EC"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57" w:type="pct"/>
            <w:tcBorders>
              <w:top w:val="single" w:sz="4" w:space="0" w:color="auto"/>
              <w:left w:val="single" w:sz="4" w:space="0" w:color="auto"/>
              <w:bottom w:val="single" w:sz="4" w:space="0" w:color="auto"/>
              <w:right w:val="single" w:sz="4" w:space="0" w:color="auto"/>
            </w:tcBorders>
            <w:noWrap/>
            <w:vAlign w:val="center"/>
            <w:hideMark/>
          </w:tcPr>
          <w:p w14:paraId="0DCC2EB9"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56" w:type="pct"/>
            <w:tcBorders>
              <w:top w:val="single" w:sz="4" w:space="0" w:color="auto"/>
              <w:left w:val="single" w:sz="4" w:space="0" w:color="auto"/>
              <w:bottom w:val="single" w:sz="4" w:space="0" w:color="auto"/>
              <w:right w:val="single" w:sz="4" w:space="0" w:color="auto"/>
            </w:tcBorders>
            <w:noWrap/>
            <w:vAlign w:val="center"/>
            <w:hideMark/>
          </w:tcPr>
          <w:p w14:paraId="6D293184"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605D8BA3" w14:textId="77777777" w:rsidR="00702DCD" w:rsidRPr="005C5CBD" w:rsidRDefault="00702DCD" w:rsidP="00916A6C">
            <w:pPr>
              <w:rPr>
                <w:rFonts w:ascii="Garamond" w:hAnsi="Garamond" w:cs="Calibri"/>
                <w:sz w:val="16"/>
                <w:szCs w:val="16"/>
              </w:rPr>
            </w:pP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7FC2E1A0" w14:textId="77777777" w:rsidR="00702DCD" w:rsidRPr="005C5CBD" w:rsidRDefault="00702DCD" w:rsidP="00916A6C">
            <w:pPr>
              <w:rPr>
                <w:rFonts w:ascii="Garamond" w:eastAsia="Calibri" w:hAnsi="Garamond" w:cs="Calibri"/>
              </w:rPr>
            </w:pPr>
          </w:p>
        </w:tc>
        <w:tc>
          <w:tcPr>
            <w:tcW w:w="244" w:type="pct"/>
            <w:tcBorders>
              <w:top w:val="single" w:sz="4" w:space="0" w:color="auto"/>
              <w:left w:val="single" w:sz="4" w:space="0" w:color="auto"/>
              <w:bottom w:val="single" w:sz="4" w:space="0" w:color="auto"/>
              <w:right w:val="single" w:sz="4" w:space="0" w:color="auto"/>
            </w:tcBorders>
            <w:noWrap/>
            <w:vAlign w:val="center"/>
            <w:hideMark/>
          </w:tcPr>
          <w:p w14:paraId="7256A92A"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321" w:type="pct"/>
            <w:tcBorders>
              <w:top w:val="single" w:sz="4" w:space="0" w:color="auto"/>
              <w:left w:val="single" w:sz="4" w:space="0" w:color="auto"/>
              <w:bottom w:val="single" w:sz="4" w:space="0" w:color="auto"/>
              <w:right w:val="single" w:sz="4" w:space="0" w:color="auto"/>
            </w:tcBorders>
            <w:noWrap/>
            <w:vAlign w:val="center"/>
            <w:hideMark/>
          </w:tcPr>
          <w:p w14:paraId="01A49BC9"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22F9144F" w14:textId="77777777" w:rsidR="00702DCD" w:rsidRPr="005C5CBD" w:rsidRDefault="00702DCD" w:rsidP="00916A6C">
            <w:pPr>
              <w:jc w:val="center"/>
              <w:rPr>
                <w:rFonts w:ascii="Garamond" w:hAnsi="Garamond" w:cs="Calibri"/>
                <w:sz w:val="16"/>
                <w:szCs w:val="16"/>
              </w:rPr>
            </w:pPr>
            <w:r w:rsidRPr="005C5CBD">
              <w:rPr>
                <w:rFonts w:ascii="Garamond" w:hAnsi="Garamond" w:cs="Calibri"/>
                <w:sz w:val="16"/>
                <w:szCs w:val="16"/>
              </w:rPr>
              <w:t>-</w:t>
            </w:r>
          </w:p>
        </w:tc>
      </w:tr>
    </w:tbl>
    <w:p w14:paraId="350A9D9D" w14:textId="352582B0" w:rsidR="00C165C3" w:rsidRPr="005C5CBD" w:rsidRDefault="00C165C3" w:rsidP="00C165C3">
      <w:pPr>
        <w:spacing w:after="0" w:line="240" w:lineRule="auto"/>
        <w:jc w:val="center"/>
        <w:rPr>
          <w:rFonts w:ascii="Garamond" w:eastAsia="Times New Roman" w:hAnsi="Garamond" w:cs="Calibri"/>
          <w:b/>
          <w:lang w:eastAsia="pt-BR"/>
        </w:rPr>
      </w:pPr>
    </w:p>
    <w:p w14:paraId="1E68924E" w14:textId="77777777" w:rsidR="00603DBA" w:rsidRPr="005C5CBD" w:rsidRDefault="00603DBA" w:rsidP="00603DBA">
      <w:pPr>
        <w:rPr>
          <w:rFonts w:ascii="Garamond" w:hAnsi="Garamond" w:cs="Calibri"/>
          <w:color w:val="000000"/>
          <w:sz w:val="18"/>
          <w:szCs w:val="18"/>
        </w:rPr>
        <w:sectPr w:rsidR="00603DBA" w:rsidRPr="005C5CBD" w:rsidSect="00702DCD">
          <w:pgSz w:w="15840" w:h="12240" w:orient="landscape"/>
          <w:pgMar w:top="1134" w:right="1134" w:bottom="1134" w:left="1134" w:header="720" w:footer="970" w:gutter="0"/>
          <w:cols w:space="720"/>
          <w:docGrid w:linePitch="299"/>
        </w:sectPr>
      </w:pPr>
    </w:p>
    <w:tbl>
      <w:tblPr>
        <w:tblW w:w="8016" w:type="dxa"/>
        <w:jc w:val="center"/>
        <w:tblCellMar>
          <w:left w:w="70" w:type="dxa"/>
          <w:right w:w="70" w:type="dxa"/>
        </w:tblCellMar>
        <w:tblLook w:val="04A0" w:firstRow="1" w:lastRow="0" w:firstColumn="1" w:lastColumn="0" w:noHBand="0" w:noVBand="1"/>
      </w:tblPr>
      <w:tblGrid>
        <w:gridCol w:w="8016"/>
      </w:tblGrid>
      <w:tr w:rsidR="005B1996" w:rsidRPr="005B1996" w14:paraId="732AD1F6" w14:textId="77777777" w:rsidTr="00916A6C">
        <w:trPr>
          <w:trHeight w:val="300"/>
          <w:jc w:val="center"/>
        </w:trPr>
        <w:tc>
          <w:tcPr>
            <w:tcW w:w="8016" w:type="dxa"/>
            <w:tcBorders>
              <w:top w:val="nil"/>
              <w:left w:val="nil"/>
              <w:bottom w:val="nil"/>
              <w:right w:val="nil"/>
            </w:tcBorders>
            <w:shd w:val="clear" w:color="auto" w:fill="auto"/>
            <w:noWrap/>
            <w:vAlign w:val="bottom"/>
            <w:hideMark/>
          </w:tcPr>
          <w:p w14:paraId="11AE9F88" w14:textId="77777777" w:rsidR="005B1996" w:rsidRPr="005B1996" w:rsidRDefault="005B1996" w:rsidP="005B1996">
            <w:pPr>
              <w:spacing w:after="0" w:line="240" w:lineRule="auto"/>
              <w:jc w:val="center"/>
              <w:rPr>
                <w:rFonts w:ascii="Calibri" w:eastAsia="Times New Roman" w:hAnsi="Calibri" w:cs="Calibri"/>
                <w:b/>
                <w:color w:val="000000"/>
                <w:sz w:val="24"/>
                <w:szCs w:val="24"/>
                <w:lang w:eastAsia="pt-BR"/>
              </w:rPr>
            </w:pPr>
            <w:r w:rsidRPr="005B1996">
              <w:rPr>
                <w:rFonts w:ascii="Calibri" w:eastAsia="Times New Roman" w:hAnsi="Calibri" w:cs="Calibri"/>
                <w:b/>
                <w:color w:val="000000"/>
                <w:sz w:val="24"/>
                <w:szCs w:val="24"/>
                <w:lang w:eastAsia="pt-BR"/>
              </w:rPr>
              <w:t>APÊNDICE VI</w:t>
            </w:r>
          </w:p>
        </w:tc>
      </w:tr>
      <w:tr w:rsidR="005B1996" w:rsidRPr="005B1996" w14:paraId="57BD3A08" w14:textId="77777777" w:rsidTr="00916A6C">
        <w:trPr>
          <w:trHeight w:val="300"/>
          <w:jc w:val="center"/>
        </w:trPr>
        <w:tc>
          <w:tcPr>
            <w:tcW w:w="8016" w:type="dxa"/>
            <w:tcBorders>
              <w:top w:val="nil"/>
              <w:left w:val="nil"/>
              <w:bottom w:val="nil"/>
              <w:right w:val="nil"/>
            </w:tcBorders>
            <w:shd w:val="clear" w:color="auto" w:fill="auto"/>
            <w:noWrap/>
            <w:vAlign w:val="bottom"/>
            <w:hideMark/>
          </w:tcPr>
          <w:p w14:paraId="4CC5B4FD" w14:textId="77777777" w:rsidR="005B1996" w:rsidRPr="005B1996" w:rsidRDefault="005B1996" w:rsidP="005B1996">
            <w:pPr>
              <w:spacing w:after="0" w:line="240" w:lineRule="auto"/>
              <w:jc w:val="center"/>
              <w:rPr>
                <w:rFonts w:ascii="Calibri" w:eastAsia="Times New Roman" w:hAnsi="Calibri" w:cs="Calibri"/>
                <w:b/>
                <w:color w:val="000000"/>
                <w:sz w:val="24"/>
                <w:szCs w:val="24"/>
                <w:lang w:eastAsia="pt-BR"/>
              </w:rPr>
            </w:pPr>
            <w:r w:rsidRPr="005B1996">
              <w:rPr>
                <w:rFonts w:ascii="Calibri" w:eastAsia="Times New Roman" w:hAnsi="Calibri" w:cs="Calibri"/>
                <w:b/>
                <w:color w:val="000000"/>
                <w:sz w:val="24"/>
                <w:szCs w:val="24"/>
                <w:lang w:eastAsia="pt-BR"/>
              </w:rPr>
              <w:t>CONSUMO CATIVO</w:t>
            </w:r>
          </w:p>
        </w:tc>
      </w:tr>
    </w:tbl>
    <w:p w14:paraId="116822DF" w14:textId="77777777" w:rsidR="005B1996" w:rsidRPr="005B1996" w:rsidRDefault="005B1996" w:rsidP="005B1996">
      <w:pPr>
        <w:spacing w:after="0" w:line="240" w:lineRule="auto"/>
        <w:jc w:val="center"/>
        <w:rPr>
          <w:rFonts w:ascii="Calibri" w:eastAsia="Calibri" w:hAnsi="Calibri" w:cs="Calibri"/>
          <w:sz w:val="24"/>
          <w:szCs w:val="24"/>
        </w:rPr>
      </w:pPr>
    </w:p>
    <w:tbl>
      <w:tblPr>
        <w:tblW w:w="5000" w:type="pct"/>
        <w:jc w:val="center"/>
        <w:tblCellMar>
          <w:left w:w="70" w:type="dxa"/>
          <w:right w:w="70" w:type="dxa"/>
        </w:tblCellMar>
        <w:tblLook w:val="04A0" w:firstRow="1" w:lastRow="0" w:firstColumn="1" w:lastColumn="0" w:noHBand="0" w:noVBand="1"/>
      </w:tblPr>
      <w:tblGrid>
        <w:gridCol w:w="496"/>
        <w:gridCol w:w="1772"/>
        <w:gridCol w:w="2095"/>
        <w:gridCol w:w="2437"/>
        <w:gridCol w:w="2437"/>
      </w:tblGrid>
      <w:tr w:rsidR="005B1996" w:rsidRPr="005B1996" w14:paraId="16A98165" w14:textId="77777777" w:rsidTr="00916A6C">
        <w:trPr>
          <w:trHeight w:val="720"/>
          <w:jc w:val="center"/>
        </w:trPr>
        <w:tc>
          <w:tcPr>
            <w:tcW w:w="269" w:type="pct"/>
            <w:tcBorders>
              <w:top w:val="nil"/>
              <w:left w:val="nil"/>
              <w:bottom w:val="nil"/>
              <w:right w:val="nil"/>
            </w:tcBorders>
            <w:shd w:val="clear" w:color="auto" w:fill="auto"/>
            <w:noWrap/>
            <w:vAlign w:val="bottom"/>
            <w:hideMark/>
          </w:tcPr>
          <w:p w14:paraId="630E6FF2" w14:textId="77777777" w:rsidR="005B1996" w:rsidRPr="005B1996" w:rsidRDefault="005B1996" w:rsidP="005B1996">
            <w:pPr>
              <w:spacing w:after="0" w:line="240" w:lineRule="auto"/>
              <w:rPr>
                <w:rFonts w:ascii="Garamond" w:eastAsia="Times New Roman" w:hAnsi="Garamond" w:cs="Calibri"/>
                <w:color w:val="000000"/>
                <w:sz w:val="24"/>
                <w:szCs w:val="24"/>
                <w:lang w:eastAsia="pt-BR"/>
              </w:rPr>
            </w:pP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973D3" w14:textId="77777777" w:rsidR="005B1996" w:rsidRPr="005B1996" w:rsidRDefault="005B1996" w:rsidP="005B1996">
            <w:pPr>
              <w:spacing w:after="0" w:line="240" w:lineRule="auto"/>
              <w:jc w:val="center"/>
              <w:rPr>
                <w:rFonts w:ascii="Garamond" w:eastAsia="Times New Roman" w:hAnsi="Garamond" w:cs="Calibri"/>
                <w:b/>
                <w:i/>
                <w:color w:val="FF0000"/>
                <w:sz w:val="24"/>
                <w:szCs w:val="24"/>
                <w:lang w:eastAsia="pt-BR"/>
              </w:rPr>
            </w:pPr>
            <w:r w:rsidRPr="005B1996">
              <w:rPr>
                <w:rFonts w:ascii="Garamond" w:eastAsia="Times New Roman" w:hAnsi="Garamond" w:cs="Calibri"/>
                <w:b/>
                <w:i/>
                <w:color w:val="FF0000"/>
                <w:sz w:val="24"/>
                <w:szCs w:val="24"/>
                <w:lang w:eastAsia="pt-BR"/>
              </w:rPr>
              <w:t xml:space="preserve">Empresa </w:t>
            </w:r>
          </w:p>
        </w:tc>
        <w:tc>
          <w:tcPr>
            <w:tcW w:w="1134" w:type="pct"/>
            <w:tcBorders>
              <w:top w:val="single" w:sz="4" w:space="0" w:color="auto"/>
              <w:left w:val="nil"/>
              <w:bottom w:val="single" w:sz="4" w:space="0" w:color="auto"/>
              <w:right w:val="single" w:sz="4" w:space="0" w:color="auto"/>
            </w:tcBorders>
            <w:shd w:val="clear" w:color="auto" w:fill="auto"/>
            <w:vAlign w:val="center"/>
            <w:hideMark/>
          </w:tcPr>
          <w:p w14:paraId="060D487D" w14:textId="77777777" w:rsidR="005B1996" w:rsidRPr="005B1996" w:rsidRDefault="005B1996" w:rsidP="005B1996">
            <w:pPr>
              <w:spacing w:after="0" w:line="240" w:lineRule="auto"/>
              <w:jc w:val="center"/>
              <w:rPr>
                <w:rFonts w:ascii="Garamond" w:eastAsia="Times New Roman" w:hAnsi="Garamond" w:cs="Calibri"/>
                <w:b/>
                <w:color w:val="000000"/>
                <w:sz w:val="24"/>
                <w:szCs w:val="24"/>
                <w:lang w:eastAsia="pt-BR"/>
              </w:rPr>
            </w:pPr>
            <w:r w:rsidRPr="005B1996">
              <w:rPr>
                <w:rFonts w:ascii="Garamond" w:eastAsia="Times New Roman" w:hAnsi="Garamond" w:cs="Calibri"/>
                <w:b/>
                <w:color w:val="000000"/>
                <w:sz w:val="24"/>
                <w:szCs w:val="24"/>
                <w:lang w:eastAsia="pt-BR"/>
              </w:rPr>
              <w:t>Quantidade consumida (peso)</w:t>
            </w:r>
          </w:p>
        </w:tc>
        <w:tc>
          <w:tcPr>
            <w:tcW w:w="1319" w:type="pct"/>
            <w:tcBorders>
              <w:top w:val="single" w:sz="4" w:space="0" w:color="auto"/>
              <w:left w:val="nil"/>
              <w:bottom w:val="single" w:sz="4" w:space="0" w:color="auto"/>
              <w:right w:val="single" w:sz="4" w:space="0" w:color="auto"/>
            </w:tcBorders>
            <w:shd w:val="clear" w:color="auto" w:fill="auto"/>
            <w:vAlign w:val="center"/>
            <w:hideMark/>
          </w:tcPr>
          <w:p w14:paraId="46A286ED" w14:textId="77777777" w:rsidR="005B1996" w:rsidRPr="005B1996" w:rsidRDefault="005B1996" w:rsidP="005B1996">
            <w:pPr>
              <w:spacing w:after="0" w:line="240" w:lineRule="auto"/>
              <w:jc w:val="center"/>
              <w:rPr>
                <w:rFonts w:ascii="Garamond" w:eastAsia="Times New Roman" w:hAnsi="Garamond" w:cs="Calibri"/>
                <w:b/>
                <w:color w:val="000000"/>
                <w:sz w:val="24"/>
                <w:szCs w:val="24"/>
                <w:lang w:eastAsia="pt-BR"/>
              </w:rPr>
            </w:pPr>
            <w:r w:rsidRPr="005B1996">
              <w:rPr>
                <w:rFonts w:ascii="Garamond" w:eastAsia="Times New Roman" w:hAnsi="Garamond" w:cs="Calibri"/>
                <w:b/>
                <w:color w:val="000000"/>
                <w:sz w:val="24"/>
                <w:szCs w:val="24"/>
                <w:lang w:eastAsia="pt-BR"/>
              </w:rPr>
              <w:t>Quantidade consumida</w:t>
            </w:r>
            <w:r w:rsidRPr="005B1996" w:rsidDel="00C90474">
              <w:rPr>
                <w:rFonts w:ascii="Garamond" w:eastAsia="Times New Roman" w:hAnsi="Garamond" w:cs="Calibri"/>
                <w:b/>
                <w:color w:val="000000"/>
                <w:sz w:val="24"/>
                <w:szCs w:val="24"/>
                <w:lang w:eastAsia="pt-BR"/>
              </w:rPr>
              <w:t xml:space="preserve"> </w:t>
            </w:r>
            <w:r w:rsidRPr="005B1996">
              <w:rPr>
                <w:rFonts w:ascii="Garamond" w:eastAsia="Times New Roman" w:hAnsi="Garamond" w:cs="Calibri"/>
                <w:b/>
                <w:color w:val="000000"/>
                <w:sz w:val="24"/>
                <w:szCs w:val="24"/>
                <w:lang w:eastAsia="pt-BR"/>
              </w:rPr>
              <w:t>(unidade)</w:t>
            </w:r>
          </w:p>
        </w:tc>
        <w:tc>
          <w:tcPr>
            <w:tcW w:w="1320" w:type="pct"/>
            <w:tcBorders>
              <w:top w:val="single" w:sz="4" w:space="0" w:color="auto"/>
              <w:left w:val="nil"/>
              <w:bottom w:val="single" w:sz="4" w:space="0" w:color="auto"/>
              <w:right w:val="single" w:sz="4" w:space="0" w:color="auto"/>
            </w:tcBorders>
            <w:shd w:val="clear" w:color="auto" w:fill="auto"/>
            <w:vAlign w:val="center"/>
            <w:hideMark/>
          </w:tcPr>
          <w:p w14:paraId="641F0FAE" w14:textId="77777777" w:rsidR="005B1996" w:rsidRPr="005B1996" w:rsidRDefault="005B1996" w:rsidP="005B1996">
            <w:pPr>
              <w:spacing w:after="0" w:line="240" w:lineRule="auto"/>
              <w:jc w:val="center"/>
              <w:rPr>
                <w:rFonts w:ascii="Garamond" w:eastAsia="Times New Roman" w:hAnsi="Garamond" w:cs="Calibri"/>
                <w:b/>
                <w:color w:val="000000"/>
                <w:sz w:val="24"/>
                <w:szCs w:val="24"/>
                <w:lang w:eastAsia="pt-BR"/>
              </w:rPr>
            </w:pPr>
            <w:r w:rsidRPr="005B1996">
              <w:rPr>
                <w:rFonts w:ascii="Garamond" w:eastAsia="Times New Roman" w:hAnsi="Garamond" w:cs="Calibri"/>
                <w:b/>
                <w:color w:val="000000"/>
                <w:sz w:val="24"/>
                <w:szCs w:val="24"/>
                <w:lang w:eastAsia="pt-BR"/>
              </w:rPr>
              <w:t>Valor total de transferência (R$)</w:t>
            </w:r>
          </w:p>
        </w:tc>
      </w:tr>
      <w:tr w:rsidR="005B1996" w:rsidRPr="005B1996" w14:paraId="3CD39EA8" w14:textId="77777777" w:rsidTr="00916A6C">
        <w:trPr>
          <w:trHeight w:val="480"/>
          <w:jc w:val="center"/>
        </w:trPr>
        <w:tc>
          <w:tcPr>
            <w:tcW w:w="269"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FD5CAD7" w14:textId="77777777" w:rsidR="005B1996" w:rsidRPr="005B1996" w:rsidRDefault="005B1996" w:rsidP="005B1996">
            <w:pPr>
              <w:spacing w:after="0" w:line="240" w:lineRule="auto"/>
              <w:jc w:val="center"/>
              <w:rPr>
                <w:rFonts w:ascii="Garamond" w:eastAsia="Times New Roman" w:hAnsi="Garamond" w:cs="Calibri"/>
                <w:b/>
                <w:color w:val="000000"/>
                <w:sz w:val="24"/>
                <w:szCs w:val="24"/>
                <w:lang w:eastAsia="pt-BR"/>
              </w:rPr>
            </w:pPr>
            <w:r w:rsidRPr="005B1996">
              <w:rPr>
                <w:rFonts w:ascii="Garamond" w:eastAsia="Times New Roman" w:hAnsi="Garamond" w:cs="Calibri"/>
                <w:b/>
                <w:color w:val="000000"/>
                <w:sz w:val="24"/>
                <w:szCs w:val="24"/>
                <w:lang w:eastAsia="pt-BR"/>
              </w:rPr>
              <w:t>Período</w:t>
            </w:r>
          </w:p>
        </w:tc>
        <w:tc>
          <w:tcPr>
            <w:tcW w:w="959" w:type="pct"/>
            <w:tcBorders>
              <w:top w:val="nil"/>
              <w:left w:val="nil"/>
              <w:bottom w:val="single" w:sz="4" w:space="0" w:color="auto"/>
              <w:right w:val="single" w:sz="4" w:space="0" w:color="auto"/>
            </w:tcBorders>
            <w:shd w:val="clear" w:color="auto" w:fill="auto"/>
            <w:vAlign w:val="center"/>
            <w:hideMark/>
          </w:tcPr>
          <w:p w14:paraId="47D3A16D" w14:textId="77777777" w:rsidR="005B1996" w:rsidRPr="005B1996" w:rsidRDefault="005B1996" w:rsidP="005B1996">
            <w:pPr>
              <w:spacing w:after="0" w:line="240" w:lineRule="auto"/>
              <w:jc w:val="center"/>
              <w:rPr>
                <w:rFonts w:ascii="Garamond" w:eastAsia="Times New Roman" w:hAnsi="Garamond" w:cs="Calibri"/>
                <w:b/>
                <w:color w:val="000000"/>
                <w:sz w:val="24"/>
                <w:szCs w:val="24"/>
                <w:lang w:eastAsia="pt-BR"/>
              </w:rPr>
            </w:pPr>
            <w:r w:rsidRPr="005B1996">
              <w:rPr>
                <w:rFonts w:ascii="Garamond" w:eastAsia="Times New Roman" w:hAnsi="Garamond" w:cs="Calibri"/>
                <w:b/>
                <w:color w:val="000000"/>
                <w:sz w:val="24"/>
                <w:szCs w:val="24"/>
                <w:lang w:eastAsia="pt-BR"/>
              </w:rPr>
              <w:t>P1</w:t>
            </w:r>
          </w:p>
        </w:tc>
        <w:tc>
          <w:tcPr>
            <w:tcW w:w="1134" w:type="pct"/>
            <w:tcBorders>
              <w:top w:val="nil"/>
              <w:left w:val="nil"/>
              <w:bottom w:val="nil"/>
              <w:right w:val="nil"/>
            </w:tcBorders>
            <w:shd w:val="clear" w:color="auto" w:fill="auto"/>
            <w:vAlign w:val="center"/>
            <w:hideMark/>
          </w:tcPr>
          <w:p w14:paraId="1CE4AE3D" w14:textId="77777777" w:rsidR="005B1996" w:rsidRPr="005B1996" w:rsidRDefault="005B1996" w:rsidP="005B1996">
            <w:pPr>
              <w:spacing w:after="0" w:line="240" w:lineRule="auto"/>
              <w:jc w:val="right"/>
              <w:rPr>
                <w:rFonts w:ascii="Garamond" w:eastAsia="Times New Roman" w:hAnsi="Garamond" w:cs="Calibri"/>
                <w:color w:val="000000"/>
                <w:sz w:val="24"/>
                <w:szCs w:val="24"/>
                <w:lang w:eastAsia="pt-BR"/>
              </w:rPr>
            </w:pPr>
          </w:p>
        </w:tc>
        <w:tc>
          <w:tcPr>
            <w:tcW w:w="1319" w:type="pct"/>
            <w:tcBorders>
              <w:top w:val="nil"/>
              <w:left w:val="single" w:sz="4" w:space="0" w:color="auto"/>
              <w:bottom w:val="nil"/>
              <w:right w:val="single" w:sz="4" w:space="0" w:color="auto"/>
            </w:tcBorders>
            <w:shd w:val="clear" w:color="auto" w:fill="auto"/>
            <w:vAlign w:val="center"/>
            <w:hideMark/>
          </w:tcPr>
          <w:p w14:paraId="0BFD1342" w14:textId="77777777" w:rsidR="005B1996" w:rsidRPr="005B1996" w:rsidRDefault="005B1996" w:rsidP="005B1996">
            <w:pPr>
              <w:spacing w:after="0" w:line="240" w:lineRule="auto"/>
              <w:jc w:val="right"/>
              <w:rPr>
                <w:rFonts w:ascii="Garamond" w:eastAsia="Times New Roman" w:hAnsi="Garamond" w:cs="Calibri"/>
                <w:color w:val="000000"/>
                <w:sz w:val="24"/>
                <w:szCs w:val="24"/>
                <w:lang w:eastAsia="pt-BR"/>
              </w:rPr>
            </w:pPr>
            <w:r w:rsidRPr="005B1996">
              <w:rPr>
                <w:rFonts w:ascii="Garamond" w:eastAsia="Times New Roman" w:hAnsi="Garamond" w:cs="Calibri"/>
                <w:color w:val="000000"/>
                <w:sz w:val="24"/>
                <w:szCs w:val="24"/>
                <w:lang w:eastAsia="pt-BR"/>
              </w:rPr>
              <w:t> </w:t>
            </w:r>
          </w:p>
        </w:tc>
        <w:tc>
          <w:tcPr>
            <w:tcW w:w="1320" w:type="pct"/>
            <w:tcBorders>
              <w:top w:val="nil"/>
              <w:left w:val="nil"/>
              <w:bottom w:val="nil"/>
              <w:right w:val="single" w:sz="4" w:space="0" w:color="auto"/>
            </w:tcBorders>
            <w:shd w:val="clear" w:color="auto" w:fill="auto"/>
            <w:vAlign w:val="center"/>
            <w:hideMark/>
          </w:tcPr>
          <w:p w14:paraId="06D88E31" w14:textId="77777777" w:rsidR="005B1996" w:rsidRPr="005B1996" w:rsidRDefault="005B1996" w:rsidP="005B1996">
            <w:pPr>
              <w:spacing w:after="0" w:line="240" w:lineRule="auto"/>
              <w:jc w:val="right"/>
              <w:rPr>
                <w:rFonts w:ascii="Garamond" w:eastAsia="Times New Roman" w:hAnsi="Garamond" w:cs="Calibri"/>
                <w:color w:val="000000"/>
                <w:sz w:val="24"/>
                <w:szCs w:val="24"/>
                <w:lang w:eastAsia="pt-BR"/>
              </w:rPr>
            </w:pPr>
            <w:r w:rsidRPr="005B1996">
              <w:rPr>
                <w:rFonts w:ascii="Garamond" w:eastAsia="Times New Roman" w:hAnsi="Garamond" w:cs="Calibri"/>
                <w:color w:val="000000"/>
                <w:sz w:val="24"/>
                <w:szCs w:val="24"/>
                <w:lang w:eastAsia="pt-BR"/>
              </w:rPr>
              <w:t> </w:t>
            </w:r>
          </w:p>
        </w:tc>
      </w:tr>
      <w:tr w:rsidR="005B1996" w:rsidRPr="005B1996" w14:paraId="07DA9CAB" w14:textId="77777777" w:rsidTr="00916A6C">
        <w:trPr>
          <w:trHeight w:val="480"/>
          <w:jc w:val="center"/>
        </w:trPr>
        <w:tc>
          <w:tcPr>
            <w:tcW w:w="269" w:type="pct"/>
            <w:vMerge/>
            <w:tcBorders>
              <w:top w:val="single" w:sz="4" w:space="0" w:color="auto"/>
              <w:left w:val="single" w:sz="4" w:space="0" w:color="auto"/>
              <w:bottom w:val="single" w:sz="4" w:space="0" w:color="000000"/>
              <w:right w:val="single" w:sz="4" w:space="0" w:color="auto"/>
            </w:tcBorders>
            <w:vAlign w:val="center"/>
            <w:hideMark/>
          </w:tcPr>
          <w:p w14:paraId="1D7A56FE" w14:textId="77777777" w:rsidR="005B1996" w:rsidRPr="005B1996" w:rsidRDefault="005B1996" w:rsidP="005B1996">
            <w:pPr>
              <w:spacing w:after="0" w:line="240" w:lineRule="auto"/>
              <w:rPr>
                <w:rFonts w:ascii="Garamond" w:eastAsia="Times New Roman" w:hAnsi="Garamond" w:cs="Calibri"/>
                <w:b/>
                <w:color w:val="000000"/>
                <w:sz w:val="24"/>
                <w:szCs w:val="24"/>
                <w:lang w:eastAsia="pt-BR"/>
              </w:rPr>
            </w:pPr>
          </w:p>
        </w:tc>
        <w:tc>
          <w:tcPr>
            <w:tcW w:w="959" w:type="pct"/>
            <w:tcBorders>
              <w:top w:val="nil"/>
              <w:left w:val="nil"/>
              <w:bottom w:val="single" w:sz="4" w:space="0" w:color="auto"/>
              <w:right w:val="single" w:sz="4" w:space="0" w:color="auto"/>
            </w:tcBorders>
            <w:shd w:val="clear" w:color="auto" w:fill="auto"/>
            <w:vAlign w:val="center"/>
            <w:hideMark/>
          </w:tcPr>
          <w:p w14:paraId="79681E72" w14:textId="77777777" w:rsidR="005B1996" w:rsidRPr="005B1996" w:rsidRDefault="005B1996" w:rsidP="005B1996">
            <w:pPr>
              <w:spacing w:after="0" w:line="240" w:lineRule="auto"/>
              <w:jc w:val="center"/>
              <w:rPr>
                <w:rFonts w:ascii="Garamond" w:eastAsia="Times New Roman" w:hAnsi="Garamond" w:cs="Calibri"/>
                <w:b/>
                <w:color w:val="000000"/>
                <w:sz w:val="24"/>
                <w:szCs w:val="24"/>
                <w:lang w:eastAsia="pt-BR"/>
              </w:rPr>
            </w:pPr>
            <w:r w:rsidRPr="005B1996">
              <w:rPr>
                <w:rFonts w:ascii="Garamond" w:eastAsia="Times New Roman" w:hAnsi="Garamond" w:cs="Calibri"/>
                <w:b/>
                <w:color w:val="000000"/>
                <w:sz w:val="24"/>
                <w:szCs w:val="24"/>
                <w:lang w:eastAsia="pt-BR"/>
              </w:rPr>
              <w:t>P2</w:t>
            </w:r>
          </w:p>
        </w:tc>
        <w:tc>
          <w:tcPr>
            <w:tcW w:w="1134" w:type="pct"/>
            <w:tcBorders>
              <w:top w:val="nil"/>
              <w:left w:val="nil"/>
              <w:bottom w:val="nil"/>
              <w:right w:val="nil"/>
            </w:tcBorders>
            <w:shd w:val="clear" w:color="auto" w:fill="auto"/>
            <w:vAlign w:val="center"/>
            <w:hideMark/>
          </w:tcPr>
          <w:p w14:paraId="2A64E2E4" w14:textId="77777777" w:rsidR="005B1996" w:rsidRPr="005B1996" w:rsidRDefault="005B1996" w:rsidP="005B1996">
            <w:pPr>
              <w:spacing w:after="0" w:line="240" w:lineRule="auto"/>
              <w:jc w:val="right"/>
              <w:rPr>
                <w:rFonts w:ascii="Garamond" w:eastAsia="Times New Roman" w:hAnsi="Garamond" w:cs="Calibri"/>
                <w:color w:val="000000"/>
                <w:sz w:val="24"/>
                <w:szCs w:val="24"/>
                <w:lang w:eastAsia="pt-BR"/>
              </w:rPr>
            </w:pPr>
          </w:p>
        </w:tc>
        <w:tc>
          <w:tcPr>
            <w:tcW w:w="1319" w:type="pct"/>
            <w:tcBorders>
              <w:top w:val="nil"/>
              <w:left w:val="single" w:sz="4" w:space="0" w:color="auto"/>
              <w:bottom w:val="nil"/>
              <w:right w:val="single" w:sz="4" w:space="0" w:color="auto"/>
            </w:tcBorders>
            <w:shd w:val="clear" w:color="auto" w:fill="auto"/>
            <w:vAlign w:val="center"/>
            <w:hideMark/>
          </w:tcPr>
          <w:p w14:paraId="7B6118D2" w14:textId="77777777" w:rsidR="005B1996" w:rsidRPr="005B1996" w:rsidRDefault="005B1996" w:rsidP="005B1996">
            <w:pPr>
              <w:spacing w:after="0" w:line="240" w:lineRule="auto"/>
              <w:jc w:val="right"/>
              <w:rPr>
                <w:rFonts w:ascii="Garamond" w:eastAsia="Times New Roman" w:hAnsi="Garamond" w:cs="Calibri"/>
                <w:color w:val="000000"/>
                <w:sz w:val="24"/>
                <w:szCs w:val="24"/>
                <w:lang w:eastAsia="pt-BR"/>
              </w:rPr>
            </w:pPr>
            <w:r w:rsidRPr="005B1996">
              <w:rPr>
                <w:rFonts w:ascii="Garamond" w:eastAsia="Times New Roman" w:hAnsi="Garamond" w:cs="Calibri"/>
                <w:color w:val="000000"/>
                <w:sz w:val="24"/>
                <w:szCs w:val="24"/>
                <w:lang w:eastAsia="pt-BR"/>
              </w:rPr>
              <w:t> </w:t>
            </w:r>
          </w:p>
        </w:tc>
        <w:tc>
          <w:tcPr>
            <w:tcW w:w="1320" w:type="pct"/>
            <w:tcBorders>
              <w:top w:val="nil"/>
              <w:left w:val="nil"/>
              <w:bottom w:val="nil"/>
              <w:right w:val="single" w:sz="4" w:space="0" w:color="auto"/>
            </w:tcBorders>
            <w:shd w:val="clear" w:color="auto" w:fill="auto"/>
            <w:vAlign w:val="center"/>
            <w:hideMark/>
          </w:tcPr>
          <w:p w14:paraId="570221E1" w14:textId="77777777" w:rsidR="005B1996" w:rsidRPr="005B1996" w:rsidRDefault="005B1996" w:rsidP="005B1996">
            <w:pPr>
              <w:spacing w:after="0" w:line="240" w:lineRule="auto"/>
              <w:jc w:val="right"/>
              <w:rPr>
                <w:rFonts w:ascii="Garamond" w:eastAsia="Times New Roman" w:hAnsi="Garamond" w:cs="Calibri"/>
                <w:color w:val="000000"/>
                <w:sz w:val="24"/>
                <w:szCs w:val="24"/>
                <w:lang w:eastAsia="pt-BR"/>
              </w:rPr>
            </w:pPr>
            <w:r w:rsidRPr="005B1996">
              <w:rPr>
                <w:rFonts w:ascii="Garamond" w:eastAsia="Times New Roman" w:hAnsi="Garamond" w:cs="Calibri"/>
                <w:color w:val="000000"/>
                <w:sz w:val="24"/>
                <w:szCs w:val="24"/>
                <w:lang w:eastAsia="pt-BR"/>
              </w:rPr>
              <w:t> </w:t>
            </w:r>
          </w:p>
        </w:tc>
      </w:tr>
      <w:tr w:rsidR="005B1996" w:rsidRPr="005B1996" w14:paraId="6A2451BC" w14:textId="77777777" w:rsidTr="00916A6C">
        <w:trPr>
          <w:trHeight w:val="480"/>
          <w:jc w:val="center"/>
        </w:trPr>
        <w:tc>
          <w:tcPr>
            <w:tcW w:w="269" w:type="pct"/>
            <w:vMerge/>
            <w:tcBorders>
              <w:top w:val="single" w:sz="4" w:space="0" w:color="auto"/>
              <w:left w:val="single" w:sz="4" w:space="0" w:color="auto"/>
              <w:bottom w:val="single" w:sz="4" w:space="0" w:color="000000"/>
              <w:right w:val="single" w:sz="4" w:space="0" w:color="auto"/>
            </w:tcBorders>
            <w:vAlign w:val="center"/>
            <w:hideMark/>
          </w:tcPr>
          <w:p w14:paraId="68B8FD1F" w14:textId="77777777" w:rsidR="005B1996" w:rsidRPr="005B1996" w:rsidRDefault="005B1996" w:rsidP="005B1996">
            <w:pPr>
              <w:spacing w:after="0" w:line="240" w:lineRule="auto"/>
              <w:rPr>
                <w:rFonts w:ascii="Garamond" w:eastAsia="Times New Roman" w:hAnsi="Garamond" w:cs="Calibri"/>
                <w:b/>
                <w:color w:val="000000"/>
                <w:sz w:val="24"/>
                <w:szCs w:val="24"/>
                <w:lang w:eastAsia="pt-BR"/>
              </w:rPr>
            </w:pPr>
          </w:p>
        </w:tc>
        <w:tc>
          <w:tcPr>
            <w:tcW w:w="959" w:type="pct"/>
            <w:tcBorders>
              <w:top w:val="nil"/>
              <w:left w:val="nil"/>
              <w:bottom w:val="single" w:sz="4" w:space="0" w:color="auto"/>
              <w:right w:val="single" w:sz="4" w:space="0" w:color="auto"/>
            </w:tcBorders>
            <w:shd w:val="clear" w:color="auto" w:fill="auto"/>
            <w:vAlign w:val="center"/>
            <w:hideMark/>
          </w:tcPr>
          <w:p w14:paraId="1BD38686" w14:textId="77777777" w:rsidR="005B1996" w:rsidRPr="005B1996" w:rsidRDefault="005B1996" w:rsidP="005B1996">
            <w:pPr>
              <w:spacing w:after="0" w:line="240" w:lineRule="auto"/>
              <w:jc w:val="center"/>
              <w:rPr>
                <w:rFonts w:ascii="Garamond" w:eastAsia="Times New Roman" w:hAnsi="Garamond" w:cs="Calibri"/>
                <w:b/>
                <w:color w:val="000000"/>
                <w:sz w:val="24"/>
                <w:szCs w:val="24"/>
                <w:lang w:eastAsia="pt-BR"/>
              </w:rPr>
            </w:pPr>
            <w:r w:rsidRPr="005B1996">
              <w:rPr>
                <w:rFonts w:ascii="Garamond" w:eastAsia="Times New Roman" w:hAnsi="Garamond" w:cs="Calibri"/>
                <w:b/>
                <w:color w:val="000000"/>
                <w:sz w:val="24"/>
                <w:szCs w:val="24"/>
                <w:lang w:eastAsia="pt-BR"/>
              </w:rPr>
              <w:t>P3</w:t>
            </w:r>
          </w:p>
        </w:tc>
        <w:tc>
          <w:tcPr>
            <w:tcW w:w="1134" w:type="pct"/>
            <w:tcBorders>
              <w:top w:val="nil"/>
              <w:left w:val="nil"/>
              <w:bottom w:val="nil"/>
              <w:right w:val="nil"/>
            </w:tcBorders>
            <w:shd w:val="clear" w:color="auto" w:fill="auto"/>
            <w:vAlign w:val="center"/>
            <w:hideMark/>
          </w:tcPr>
          <w:p w14:paraId="1CDC8A9D" w14:textId="77777777" w:rsidR="005B1996" w:rsidRPr="005B1996" w:rsidRDefault="005B1996" w:rsidP="005B1996">
            <w:pPr>
              <w:spacing w:after="0" w:line="240" w:lineRule="auto"/>
              <w:jc w:val="right"/>
              <w:rPr>
                <w:rFonts w:ascii="Garamond" w:eastAsia="Times New Roman" w:hAnsi="Garamond" w:cs="Calibri"/>
                <w:color w:val="000000"/>
                <w:sz w:val="24"/>
                <w:szCs w:val="24"/>
                <w:lang w:eastAsia="pt-BR"/>
              </w:rPr>
            </w:pPr>
          </w:p>
        </w:tc>
        <w:tc>
          <w:tcPr>
            <w:tcW w:w="1319" w:type="pct"/>
            <w:tcBorders>
              <w:top w:val="nil"/>
              <w:left w:val="single" w:sz="4" w:space="0" w:color="auto"/>
              <w:bottom w:val="nil"/>
              <w:right w:val="single" w:sz="4" w:space="0" w:color="auto"/>
            </w:tcBorders>
            <w:shd w:val="clear" w:color="auto" w:fill="auto"/>
            <w:vAlign w:val="center"/>
            <w:hideMark/>
          </w:tcPr>
          <w:p w14:paraId="53BE6AE5" w14:textId="77777777" w:rsidR="005B1996" w:rsidRPr="005B1996" w:rsidRDefault="005B1996" w:rsidP="005B1996">
            <w:pPr>
              <w:spacing w:after="0" w:line="240" w:lineRule="auto"/>
              <w:jc w:val="right"/>
              <w:rPr>
                <w:rFonts w:ascii="Garamond" w:eastAsia="Times New Roman" w:hAnsi="Garamond" w:cs="Calibri"/>
                <w:color w:val="000000"/>
                <w:sz w:val="24"/>
                <w:szCs w:val="24"/>
                <w:lang w:eastAsia="pt-BR"/>
              </w:rPr>
            </w:pPr>
            <w:r w:rsidRPr="005B1996">
              <w:rPr>
                <w:rFonts w:ascii="Garamond" w:eastAsia="Times New Roman" w:hAnsi="Garamond" w:cs="Calibri"/>
                <w:color w:val="000000"/>
                <w:sz w:val="24"/>
                <w:szCs w:val="24"/>
                <w:lang w:eastAsia="pt-BR"/>
              </w:rPr>
              <w:t> </w:t>
            </w:r>
          </w:p>
        </w:tc>
        <w:tc>
          <w:tcPr>
            <w:tcW w:w="1320" w:type="pct"/>
            <w:tcBorders>
              <w:top w:val="nil"/>
              <w:left w:val="nil"/>
              <w:bottom w:val="nil"/>
              <w:right w:val="single" w:sz="4" w:space="0" w:color="auto"/>
            </w:tcBorders>
            <w:shd w:val="clear" w:color="auto" w:fill="auto"/>
            <w:vAlign w:val="center"/>
            <w:hideMark/>
          </w:tcPr>
          <w:p w14:paraId="4B17C66E" w14:textId="77777777" w:rsidR="005B1996" w:rsidRPr="005B1996" w:rsidRDefault="005B1996" w:rsidP="005B1996">
            <w:pPr>
              <w:spacing w:after="0" w:line="240" w:lineRule="auto"/>
              <w:jc w:val="right"/>
              <w:rPr>
                <w:rFonts w:ascii="Garamond" w:eastAsia="Times New Roman" w:hAnsi="Garamond" w:cs="Calibri"/>
                <w:color w:val="000000"/>
                <w:sz w:val="24"/>
                <w:szCs w:val="24"/>
                <w:lang w:eastAsia="pt-BR"/>
              </w:rPr>
            </w:pPr>
            <w:r w:rsidRPr="005B1996">
              <w:rPr>
                <w:rFonts w:ascii="Garamond" w:eastAsia="Times New Roman" w:hAnsi="Garamond" w:cs="Calibri"/>
                <w:color w:val="000000"/>
                <w:sz w:val="24"/>
                <w:szCs w:val="24"/>
                <w:lang w:eastAsia="pt-BR"/>
              </w:rPr>
              <w:t> </w:t>
            </w:r>
          </w:p>
        </w:tc>
      </w:tr>
      <w:tr w:rsidR="005B1996" w:rsidRPr="005B1996" w14:paraId="0308D400" w14:textId="77777777" w:rsidTr="00916A6C">
        <w:trPr>
          <w:trHeight w:val="480"/>
          <w:jc w:val="center"/>
        </w:trPr>
        <w:tc>
          <w:tcPr>
            <w:tcW w:w="269" w:type="pct"/>
            <w:vMerge/>
            <w:tcBorders>
              <w:top w:val="single" w:sz="4" w:space="0" w:color="auto"/>
              <w:left w:val="single" w:sz="4" w:space="0" w:color="auto"/>
              <w:bottom w:val="single" w:sz="4" w:space="0" w:color="000000"/>
              <w:right w:val="single" w:sz="4" w:space="0" w:color="auto"/>
            </w:tcBorders>
            <w:vAlign w:val="center"/>
            <w:hideMark/>
          </w:tcPr>
          <w:p w14:paraId="0E608918" w14:textId="77777777" w:rsidR="005B1996" w:rsidRPr="005B1996" w:rsidRDefault="005B1996" w:rsidP="005B1996">
            <w:pPr>
              <w:spacing w:after="0" w:line="240" w:lineRule="auto"/>
              <w:rPr>
                <w:rFonts w:ascii="Garamond" w:eastAsia="Times New Roman" w:hAnsi="Garamond" w:cs="Calibri"/>
                <w:b/>
                <w:color w:val="000000"/>
                <w:sz w:val="24"/>
                <w:szCs w:val="24"/>
                <w:lang w:eastAsia="pt-BR"/>
              </w:rPr>
            </w:pPr>
          </w:p>
        </w:tc>
        <w:tc>
          <w:tcPr>
            <w:tcW w:w="959" w:type="pct"/>
            <w:tcBorders>
              <w:top w:val="nil"/>
              <w:left w:val="nil"/>
              <w:bottom w:val="single" w:sz="4" w:space="0" w:color="auto"/>
              <w:right w:val="single" w:sz="4" w:space="0" w:color="auto"/>
            </w:tcBorders>
            <w:shd w:val="clear" w:color="auto" w:fill="auto"/>
            <w:vAlign w:val="center"/>
            <w:hideMark/>
          </w:tcPr>
          <w:p w14:paraId="2878117F" w14:textId="77777777" w:rsidR="005B1996" w:rsidRPr="005B1996" w:rsidRDefault="005B1996" w:rsidP="005B1996">
            <w:pPr>
              <w:spacing w:after="0" w:line="240" w:lineRule="auto"/>
              <w:jc w:val="center"/>
              <w:rPr>
                <w:rFonts w:ascii="Garamond" w:eastAsia="Times New Roman" w:hAnsi="Garamond" w:cs="Calibri"/>
                <w:b/>
                <w:color w:val="000000"/>
                <w:sz w:val="24"/>
                <w:szCs w:val="24"/>
                <w:lang w:eastAsia="pt-BR"/>
              </w:rPr>
            </w:pPr>
            <w:r w:rsidRPr="005B1996">
              <w:rPr>
                <w:rFonts w:ascii="Garamond" w:eastAsia="Times New Roman" w:hAnsi="Garamond" w:cs="Calibri"/>
                <w:b/>
                <w:color w:val="000000"/>
                <w:sz w:val="24"/>
                <w:szCs w:val="24"/>
                <w:lang w:eastAsia="pt-BR"/>
              </w:rPr>
              <w:t>P4</w:t>
            </w:r>
          </w:p>
        </w:tc>
        <w:tc>
          <w:tcPr>
            <w:tcW w:w="1134" w:type="pct"/>
            <w:tcBorders>
              <w:top w:val="nil"/>
              <w:left w:val="nil"/>
              <w:bottom w:val="nil"/>
              <w:right w:val="nil"/>
            </w:tcBorders>
            <w:shd w:val="clear" w:color="auto" w:fill="auto"/>
            <w:vAlign w:val="center"/>
            <w:hideMark/>
          </w:tcPr>
          <w:p w14:paraId="2143FC52" w14:textId="77777777" w:rsidR="005B1996" w:rsidRPr="005B1996" w:rsidRDefault="005B1996" w:rsidP="005B1996">
            <w:pPr>
              <w:spacing w:after="0" w:line="240" w:lineRule="auto"/>
              <w:jc w:val="right"/>
              <w:rPr>
                <w:rFonts w:ascii="Garamond" w:eastAsia="Times New Roman" w:hAnsi="Garamond" w:cs="Calibri"/>
                <w:color w:val="000000"/>
                <w:sz w:val="24"/>
                <w:szCs w:val="24"/>
                <w:lang w:eastAsia="pt-BR"/>
              </w:rPr>
            </w:pPr>
          </w:p>
        </w:tc>
        <w:tc>
          <w:tcPr>
            <w:tcW w:w="1319" w:type="pct"/>
            <w:tcBorders>
              <w:top w:val="nil"/>
              <w:left w:val="single" w:sz="4" w:space="0" w:color="auto"/>
              <w:bottom w:val="nil"/>
              <w:right w:val="single" w:sz="4" w:space="0" w:color="auto"/>
            </w:tcBorders>
            <w:shd w:val="clear" w:color="auto" w:fill="auto"/>
            <w:vAlign w:val="center"/>
            <w:hideMark/>
          </w:tcPr>
          <w:p w14:paraId="48339EB2" w14:textId="77777777" w:rsidR="005B1996" w:rsidRPr="005B1996" w:rsidRDefault="005B1996" w:rsidP="005B1996">
            <w:pPr>
              <w:spacing w:after="0" w:line="240" w:lineRule="auto"/>
              <w:jc w:val="right"/>
              <w:rPr>
                <w:rFonts w:ascii="Garamond" w:eastAsia="Times New Roman" w:hAnsi="Garamond" w:cs="Calibri"/>
                <w:color w:val="000000"/>
                <w:sz w:val="24"/>
                <w:szCs w:val="24"/>
                <w:lang w:eastAsia="pt-BR"/>
              </w:rPr>
            </w:pPr>
            <w:r w:rsidRPr="005B1996">
              <w:rPr>
                <w:rFonts w:ascii="Garamond" w:eastAsia="Times New Roman" w:hAnsi="Garamond" w:cs="Calibri"/>
                <w:color w:val="000000"/>
                <w:sz w:val="24"/>
                <w:szCs w:val="24"/>
                <w:lang w:eastAsia="pt-BR"/>
              </w:rPr>
              <w:t> </w:t>
            </w:r>
          </w:p>
        </w:tc>
        <w:tc>
          <w:tcPr>
            <w:tcW w:w="1320" w:type="pct"/>
            <w:tcBorders>
              <w:top w:val="nil"/>
              <w:left w:val="nil"/>
              <w:bottom w:val="nil"/>
              <w:right w:val="single" w:sz="4" w:space="0" w:color="auto"/>
            </w:tcBorders>
            <w:shd w:val="clear" w:color="auto" w:fill="auto"/>
            <w:vAlign w:val="center"/>
            <w:hideMark/>
          </w:tcPr>
          <w:p w14:paraId="7F5BE262" w14:textId="77777777" w:rsidR="005B1996" w:rsidRPr="005B1996" w:rsidRDefault="005B1996" w:rsidP="005B1996">
            <w:pPr>
              <w:spacing w:after="0" w:line="240" w:lineRule="auto"/>
              <w:jc w:val="right"/>
              <w:rPr>
                <w:rFonts w:ascii="Garamond" w:eastAsia="Times New Roman" w:hAnsi="Garamond" w:cs="Calibri"/>
                <w:color w:val="000000"/>
                <w:sz w:val="24"/>
                <w:szCs w:val="24"/>
                <w:lang w:eastAsia="pt-BR"/>
              </w:rPr>
            </w:pPr>
            <w:r w:rsidRPr="005B1996">
              <w:rPr>
                <w:rFonts w:ascii="Garamond" w:eastAsia="Times New Roman" w:hAnsi="Garamond" w:cs="Calibri"/>
                <w:color w:val="000000"/>
                <w:sz w:val="24"/>
                <w:szCs w:val="24"/>
                <w:lang w:eastAsia="pt-BR"/>
              </w:rPr>
              <w:t> </w:t>
            </w:r>
          </w:p>
        </w:tc>
      </w:tr>
      <w:tr w:rsidR="005B1996" w:rsidRPr="005B1996" w14:paraId="41DB91A9" w14:textId="77777777" w:rsidTr="00916A6C">
        <w:trPr>
          <w:trHeight w:val="480"/>
          <w:jc w:val="center"/>
        </w:trPr>
        <w:tc>
          <w:tcPr>
            <w:tcW w:w="269" w:type="pct"/>
            <w:vMerge/>
            <w:tcBorders>
              <w:top w:val="single" w:sz="4" w:space="0" w:color="auto"/>
              <w:left w:val="single" w:sz="4" w:space="0" w:color="auto"/>
              <w:bottom w:val="single" w:sz="4" w:space="0" w:color="000000"/>
              <w:right w:val="single" w:sz="4" w:space="0" w:color="auto"/>
            </w:tcBorders>
            <w:vAlign w:val="center"/>
            <w:hideMark/>
          </w:tcPr>
          <w:p w14:paraId="04B9A400" w14:textId="77777777" w:rsidR="005B1996" w:rsidRPr="005B1996" w:rsidRDefault="005B1996" w:rsidP="005B1996">
            <w:pPr>
              <w:spacing w:after="0" w:line="240" w:lineRule="auto"/>
              <w:rPr>
                <w:rFonts w:ascii="Garamond" w:eastAsia="Times New Roman" w:hAnsi="Garamond" w:cs="Calibri"/>
                <w:b/>
                <w:color w:val="000000"/>
                <w:sz w:val="24"/>
                <w:szCs w:val="24"/>
                <w:lang w:eastAsia="pt-BR"/>
              </w:rPr>
            </w:pPr>
          </w:p>
        </w:tc>
        <w:tc>
          <w:tcPr>
            <w:tcW w:w="959" w:type="pct"/>
            <w:tcBorders>
              <w:top w:val="nil"/>
              <w:left w:val="nil"/>
              <w:bottom w:val="single" w:sz="4" w:space="0" w:color="auto"/>
              <w:right w:val="single" w:sz="4" w:space="0" w:color="auto"/>
            </w:tcBorders>
            <w:shd w:val="clear" w:color="auto" w:fill="auto"/>
            <w:vAlign w:val="center"/>
            <w:hideMark/>
          </w:tcPr>
          <w:p w14:paraId="60D5369E" w14:textId="77777777" w:rsidR="005B1996" w:rsidRPr="005B1996" w:rsidRDefault="005B1996" w:rsidP="005B1996">
            <w:pPr>
              <w:spacing w:after="0" w:line="240" w:lineRule="auto"/>
              <w:jc w:val="center"/>
              <w:rPr>
                <w:rFonts w:ascii="Garamond" w:eastAsia="Times New Roman" w:hAnsi="Garamond" w:cs="Calibri"/>
                <w:b/>
                <w:color w:val="000000"/>
                <w:sz w:val="24"/>
                <w:szCs w:val="24"/>
                <w:lang w:eastAsia="pt-BR"/>
              </w:rPr>
            </w:pPr>
            <w:r w:rsidRPr="005B1996">
              <w:rPr>
                <w:rFonts w:ascii="Garamond" w:eastAsia="Times New Roman" w:hAnsi="Garamond" w:cs="Calibri"/>
                <w:b/>
                <w:color w:val="000000"/>
                <w:sz w:val="24"/>
                <w:szCs w:val="24"/>
                <w:lang w:eastAsia="pt-BR"/>
              </w:rPr>
              <w:t>P5</w:t>
            </w:r>
          </w:p>
        </w:tc>
        <w:tc>
          <w:tcPr>
            <w:tcW w:w="1134" w:type="pct"/>
            <w:tcBorders>
              <w:top w:val="nil"/>
              <w:left w:val="nil"/>
              <w:bottom w:val="single" w:sz="4" w:space="0" w:color="auto"/>
              <w:right w:val="nil"/>
            </w:tcBorders>
            <w:shd w:val="clear" w:color="auto" w:fill="auto"/>
            <w:vAlign w:val="center"/>
            <w:hideMark/>
          </w:tcPr>
          <w:p w14:paraId="6E9D3915" w14:textId="77777777" w:rsidR="005B1996" w:rsidRPr="005B1996" w:rsidRDefault="005B1996" w:rsidP="005B1996">
            <w:pPr>
              <w:spacing w:after="0" w:line="240" w:lineRule="auto"/>
              <w:jc w:val="right"/>
              <w:rPr>
                <w:rFonts w:ascii="Garamond" w:eastAsia="Times New Roman" w:hAnsi="Garamond" w:cs="Calibri"/>
                <w:color w:val="000000"/>
                <w:sz w:val="24"/>
                <w:szCs w:val="24"/>
                <w:lang w:eastAsia="pt-BR"/>
              </w:rPr>
            </w:pPr>
            <w:r w:rsidRPr="005B1996">
              <w:rPr>
                <w:rFonts w:ascii="Garamond" w:eastAsia="Times New Roman" w:hAnsi="Garamond" w:cs="Calibri"/>
                <w:color w:val="000000"/>
                <w:sz w:val="24"/>
                <w:szCs w:val="24"/>
                <w:lang w:eastAsia="pt-BR"/>
              </w:rPr>
              <w:t> </w:t>
            </w:r>
          </w:p>
        </w:tc>
        <w:tc>
          <w:tcPr>
            <w:tcW w:w="1319" w:type="pct"/>
            <w:tcBorders>
              <w:top w:val="nil"/>
              <w:left w:val="single" w:sz="4" w:space="0" w:color="auto"/>
              <w:bottom w:val="single" w:sz="4" w:space="0" w:color="auto"/>
              <w:right w:val="single" w:sz="4" w:space="0" w:color="auto"/>
            </w:tcBorders>
            <w:shd w:val="clear" w:color="auto" w:fill="auto"/>
            <w:vAlign w:val="center"/>
            <w:hideMark/>
          </w:tcPr>
          <w:p w14:paraId="20A3C88D" w14:textId="77777777" w:rsidR="005B1996" w:rsidRPr="005B1996" w:rsidRDefault="005B1996" w:rsidP="005B1996">
            <w:pPr>
              <w:spacing w:after="0" w:line="240" w:lineRule="auto"/>
              <w:jc w:val="right"/>
              <w:rPr>
                <w:rFonts w:ascii="Garamond" w:eastAsia="Times New Roman" w:hAnsi="Garamond" w:cs="Calibri"/>
                <w:color w:val="000000"/>
                <w:sz w:val="24"/>
                <w:szCs w:val="24"/>
                <w:lang w:eastAsia="pt-BR"/>
              </w:rPr>
            </w:pPr>
            <w:r w:rsidRPr="005B1996">
              <w:rPr>
                <w:rFonts w:ascii="Garamond" w:eastAsia="Times New Roman" w:hAnsi="Garamond" w:cs="Calibri"/>
                <w:color w:val="000000"/>
                <w:sz w:val="24"/>
                <w:szCs w:val="24"/>
                <w:lang w:eastAsia="pt-BR"/>
              </w:rPr>
              <w:t> </w:t>
            </w:r>
          </w:p>
        </w:tc>
        <w:tc>
          <w:tcPr>
            <w:tcW w:w="1320" w:type="pct"/>
            <w:tcBorders>
              <w:top w:val="nil"/>
              <w:left w:val="nil"/>
              <w:bottom w:val="single" w:sz="4" w:space="0" w:color="auto"/>
              <w:right w:val="single" w:sz="4" w:space="0" w:color="auto"/>
            </w:tcBorders>
            <w:shd w:val="clear" w:color="auto" w:fill="auto"/>
            <w:vAlign w:val="center"/>
            <w:hideMark/>
          </w:tcPr>
          <w:p w14:paraId="46518EAE" w14:textId="77777777" w:rsidR="005B1996" w:rsidRPr="005B1996" w:rsidRDefault="005B1996" w:rsidP="005B1996">
            <w:pPr>
              <w:spacing w:after="0" w:line="240" w:lineRule="auto"/>
              <w:jc w:val="right"/>
              <w:rPr>
                <w:rFonts w:ascii="Garamond" w:eastAsia="Times New Roman" w:hAnsi="Garamond" w:cs="Calibri"/>
                <w:color w:val="000000"/>
                <w:sz w:val="24"/>
                <w:szCs w:val="24"/>
                <w:lang w:eastAsia="pt-BR"/>
              </w:rPr>
            </w:pPr>
            <w:r w:rsidRPr="005B1996">
              <w:rPr>
                <w:rFonts w:ascii="Garamond" w:eastAsia="Times New Roman" w:hAnsi="Garamond" w:cs="Calibri"/>
                <w:color w:val="000000"/>
                <w:sz w:val="24"/>
                <w:szCs w:val="24"/>
                <w:lang w:eastAsia="pt-BR"/>
              </w:rPr>
              <w:t> </w:t>
            </w:r>
          </w:p>
        </w:tc>
      </w:tr>
    </w:tbl>
    <w:p w14:paraId="19040B6D" w14:textId="77777777" w:rsidR="00307597" w:rsidRDefault="00307597">
      <w:pPr>
        <w:rPr>
          <w:rFonts w:ascii="Garamond" w:hAnsi="Garamond"/>
        </w:rPr>
        <w:sectPr w:rsidR="00307597" w:rsidSect="00E15FBB">
          <w:pgSz w:w="12240" w:h="15840"/>
          <w:pgMar w:top="1418" w:right="1580" w:bottom="280" w:left="1418" w:header="720" w:footer="968" w:gutter="0"/>
          <w:cols w:space="720"/>
          <w:docGrid w:linePitch="299"/>
        </w:sectPr>
      </w:pPr>
    </w:p>
    <w:p w14:paraId="67A66055" w14:textId="77777777" w:rsidR="00307597" w:rsidRPr="00685C65" w:rsidRDefault="00307597" w:rsidP="00307597">
      <w:pPr>
        <w:pStyle w:val="TextosemFormatao"/>
        <w:jc w:val="center"/>
        <w:rPr>
          <w:rFonts w:asciiTheme="minorHAnsi" w:hAnsiTheme="minorHAnsi" w:cstheme="minorHAnsi"/>
          <w:b/>
          <w:sz w:val="24"/>
          <w:szCs w:val="24"/>
        </w:rPr>
      </w:pPr>
      <w:r w:rsidRPr="00685C65">
        <w:rPr>
          <w:rFonts w:asciiTheme="minorHAnsi" w:hAnsiTheme="minorHAnsi" w:cstheme="minorHAnsi"/>
          <w:b/>
          <w:sz w:val="24"/>
          <w:szCs w:val="24"/>
        </w:rPr>
        <w:t>APÊNDICE VII</w:t>
      </w:r>
    </w:p>
    <w:p w14:paraId="74CA8D91" w14:textId="77777777" w:rsidR="00307597" w:rsidRPr="00685C65" w:rsidRDefault="00307597" w:rsidP="00307597">
      <w:pPr>
        <w:pStyle w:val="TextosemFormatao"/>
        <w:tabs>
          <w:tab w:val="center" w:pos="6379"/>
          <w:tab w:val="center" w:pos="7513"/>
        </w:tabs>
        <w:jc w:val="center"/>
        <w:rPr>
          <w:rFonts w:asciiTheme="minorHAnsi" w:hAnsiTheme="minorHAnsi" w:cstheme="minorHAnsi"/>
          <w:b/>
          <w:sz w:val="24"/>
          <w:szCs w:val="24"/>
        </w:rPr>
      </w:pPr>
      <w:r w:rsidRPr="00685C65">
        <w:rPr>
          <w:rFonts w:asciiTheme="minorHAnsi" w:hAnsiTheme="minorHAnsi" w:cstheme="minorHAnsi"/>
          <w:b/>
          <w:sz w:val="24"/>
          <w:szCs w:val="24"/>
        </w:rPr>
        <w:t>VENDAS NO MERCADO INTERNO</w:t>
      </w:r>
    </w:p>
    <w:p w14:paraId="59102122" w14:textId="77777777" w:rsidR="00307597" w:rsidRDefault="00307597" w:rsidP="00307597">
      <w:pPr>
        <w:spacing w:after="0" w:line="240" w:lineRule="auto"/>
        <w:jc w:val="center"/>
        <w:rPr>
          <w:rFonts w:ascii="Garamond" w:hAnsi="Garamond"/>
        </w:rPr>
      </w:pPr>
    </w:p>
    <w:tbl>
      <w:tblPr>
        <w:tblStyle w:val="Tabelacomgrade2"/>
        <w:tblW w:w="4887" w:type="pct"/>
        <w:tblLook w:val="04A0" w:firstRow="1" w:lastRow="0" w:firstColumn="1" w:lastColumn="0" w:noHBand="0" w:noVBand="1"/>
      </w:tblPr>
      <w:tblGrid>
        <w:gridCol w:w="1064"/>
        <w:gridCol w:w="1516"/>
        <w:gridCol w:w="1454"/>
        <w:gridCol w:w="1303"/>
        <w:gridCol w:w="1282"/>
        <w:gridCol w:w="1359"/>
        <w:gridCol w:w="1254"/>
      </w:tblGrid>
      <w:tr w:rsidR="00870301" w:rsidRPr="00870301" w14:paraId="0C8787E9" w14:textId="77777777" w:rsidTr="00916A6C">
        <w:trPr>
          <w:trHeight w:val="300"/>
        </w:trPr>
        <w:tc>
          <w:tcPr>
            <w:tcW w:w="581" w:type="pct"/>
            <w:noWrap/>
            <w:vAlign w:val="center"/>
            <w:hideMark/>
          </w:tcPr>
          <w:p w14:paraId="75EA96D3"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0.0</w:t>
            </w:r>
          </w:p>
        </w:tc>
        <w:tc>
          <w:tcPr>
            <w:tcW w:w="812" w:type="pct"/>
            <w:noWrap/>
            <w:vAlign w:val="center"/>
            <w:hideMark/>
          </w:tcPr>
          <w:p w14:paraId="43A91A9B"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1.0</w:t>
            </w:r>
          </w:p>
        </w:tc>
        <w:tc>
          <w:tcPr>
            <w:tcW w:w="792" w:type="pct"/>
            <w:noWrap/>
            <w:vAlign w:val="center"/>
            <w:hideMark/>
          </w:tcPr>
          <w:p w14:paraId="496E932F"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2.0</w:t>
            </w:r>
          </w:p>
        </w:tc>
        <w:tc>
          <w:tcPr>
            <w:tcW w:w="704" w:type="pct"/>
            <w:noWrap/>
            <w:vAlign w:val="center"/>
            <w:hideMark/>
          </w:tcPr>
          <w:p w14:paraId="32115AFA"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3.0</w:t>
            </w:r>
          </w:p>
        </w:tc>
        <w:tc>
          <w:tcPr>
            <w:tcW w:w="697" w:type="pct"/>
            <w:noWrap/>
            <w:vAlign w:val="center"/>
            <w:hideMark/>
          </w:tcPr>
          <w:p w14:paraId="5EDBE7AF"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4.0</w:t>
            </w:r>
          </w:p>
        </w:tc>
        <w:tc>
          <w:tcPr>
            <w:tcW w:w="731" w:type="pct"/>
            <w:noWrap/>
            <w:vAlign w:val="center"/>
            <w:hideMark/>
          </w:tcPr>
          <w:p w14:paraId="35540DA0"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5.0</w:t>
            </w:r>
          </w:p>
        </w:tc>
        <w:tc>
          <w:tcPr>
            <w:tcW w:w="683" w:type="pct"/>
            <w:noWrap/>
            <w:vAlign w:val="center"/>
            <w:hideMark/>
          </w:tcPr>
          <w:p w14:paraId="749B7FEC"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6.0</w:t>
            </w:r>
          </w:p>
        </w:tc>
      </w:tr>
      <w:tr w:rsidR="00870301" w:rsidRPr="00870301" w14:paraId="613CD6A2" w14:textId="77777777" w:rsidTr="00916A6C">
        <w:trPr>
          <w:trHeight w:val="1200"/>
        </w:trPr>
        <w:tc>
          <w:tcPr>
            <w:tcW w:w="581" w:type="pct"/>
            <w:vAlign w:val="center"/>
            <w:hideMark/>
          </w:tcPr>
          <w:p w14:paraId="46759CD5"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Empresa</w:t>
            </w:r>
          </w:p>
        </w:tc>
        <w:tc>
          <w:tcPr>
            <w:tcW w:w="812" w:type="pct"/>
            <w:vAlign w:val="center"/>
            <w:hideMark/>
          </w:tcPr>
          <w:p w14:paraId="290E7125"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Código do Produto (CODPROD)</w:t>
            </w:r>
          </w:p>
        </w:tc>
        <w:tc>
          <w:tcPr>
            <w:tcW w:w="792" w:type="pct"/>
            <w:vAlign w:val="center"/>
            <w:hideMark/>
          </w:tcPr>
          <w:p w14:paraId="2A176326"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Código de Identificação do Produto (CODIP)</w:t>
            </w:r>
          </w:p>
        </w:tc>
        <w:tc>
          <w:tcPr>
            <w:tcW w:w="704" w:type="pct"/>
            <w:vAlign w:val="center"/>
            <w:hideMark/>
          </w:tcPr>
          <w:p w14:paraId="5E435FF3"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Número da fatura/nota fiscal de venda (FAT)</w:t>
            </w:r>
          </w:p>
        </w:tc>
        <w:tc>
          <w:tcPr>
            <w:tcW w:w="697" w:type="pct"/>
            <w:vAlign w:val="center"/>
          </w:tcPr>
          <w:p w14:paraId="59C4E17D"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Data da fatura (DATFAT)</w:t>
            </w:r>
          </w:p>
        </w:tc>
        <w:tc>
          <w:tcPr>
            <w:tcW w:w="731" w:type="pct"/>
            <w:vAlign w:val="center"/>
          </w:tcPr>
          <w:p w14:paraId="710B6E0B"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Data do embarque (DATEMB)</w:t>
            </w:r>
          </w:p>
        </w:tc>
        <w:tc>
          <w:tcPr>
            <w:tcW w:w="683" w:type="pct"/>
            <w:vAlign w:val="center"/>
          </w:tcPr>
          <w:p w14:paraId="5E89A2F1"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Código do Cliente (CLICOD)</w:t>
            </w:r>
          </w:p>
        </w:tc>
      </w:tr>
    </w:tbl>
    <w:p w14:paraId="0201C201" w14:textId="68477171" w:rsidR="003F035B" w:rsidRPr="00870301" w:rsidRDefault="003F035B" w:rsidP="00E33E26">
      <w:pPr>
        <w:pStyle w:val="TextosemFormatao"/>
        <w:tabs>
          <w:tab w:val="center" w:pos="6379"/>
          <w:tab w:val="center" w:pos="7513"/>
        </w:tabs>
        <w:jc w:val="center"/>
        <w:rPr>
          <w:rFonts w:ascii="Garamond" w:hAnsi="Garamond" w:cs="Calibri"/>
          <w:b/>
          <w:color w:val="000000"/>
          <w:sz w:val="24"/>
          <w:szCs w:val="24"/>
        </w:rPr>
      </w:pPr>
    </w:p>
    <w:tbl>
      <w:tblPr>
        <w:tblStyle w:val="Tabelacomgrade"/>
        <w:tblW w:w="5000" w:type="pct"/>
        <w:tblLayout w:type="fixed"/>
        <w:tblLook w:val="04A0" w:firstRow="1" w:lastRow="0" w:firstColumn="1" w:lastColumn="0" w:noHBand="0" w:noVBand="1"/>
      </w:tblPr>
      <w:tblGrid>
        <w:gridCol w:w="877"/>
        <w:gridCol w:w="1084"/>
        <w:gridCol w:w="1665"/>
        <w:gridCol w:w="1032"/>
        <w:gridCol w:w="1298"/>
        <w:gridCol w:w="2081"/>
        <w:gridCol w:w="1195"/>
      </w:tblGrid>
      <w:tr w:rsidR="00870301" w:rsidRPr="00870301" w14:paraId="4E41E184" w14:textId="77777777" w:rsidTr="00963B0C">
        <w:trPr>
          <w:trHeight w:val="300"/>
        </w:trPr>
        <w:tc>
          <w:tcPr>
            <w:tcW w:w="475" w:type="pct"/>
            <w:noWrap/>
            <w:vAlign w:val="center"/>
            <w:hideMark/>
          </w:tcPr>
          <w:p w14:paraId="29782069"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7.0</w:t>
            </w:r>
          </w:p>
        </w:tc>
        <w:tc>
          <w:tcPr>
            <w:tcW w:w="587" w:type="pct"/>
            <w:noWrap/>
            <w:vAlign w:val="center"/>
            <w:hideMark/>
          </w:tcPr>
          <w:p w14:paraId="00803371"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8.0</w:t>
            </w:r>
          </w:p>
        </w:tc>
        <w:tc>
          <w:tcPr>
            <w:tcW w:w="902" w:type="pct"/>
            <w:noWrap/>
            <w:vAlign w:val="center"/>
            <w:hideMark/>
          </w:tcPr>
          <w:p w14:paraId="51421A9D"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9.0</w:t>
            </w:r>
          </w:p>
        </w:tc>
        <w:tc>
          <w:tcPr>
            <w:tcW w:w="559" w:type="pct"/>
            <w:noWrap/>
            <w:vAlign w:val="center"/>
            <w:hideMark/>
          </w:tcPr>
          <w:p w14:paraId="7003EB73"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10.0</w:t>
            </w:r>
          </w:p>
        </w:tc>
        <w:tc>
          <w:tcPr>
            <w:tcW w:w="703" w:type="pct"/>
            <w:noWrap/>
            <w:vAlign w:val="center"/>
            <w:hideMark/>
          </w:tcPr>
          <w:p w14:paraId="616C8E17"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11.0</w:t>
            </w:r>
          </w:p>
        </w:tc>
        <w:tc>
          <w:tcPr>
            <w:tcW w:w="1127" w:type="pct"/>
            <w:noWrap/>
            <w:vAlign w:val="center"/>
            <w:hideMark/>
          </w:tcPr>
          <w:p w14:paraId="1C93F72D"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12.0</w:t>
            </w:r>
          </w:p>
        </w:tc>
        <w:tc>
          <w:tcPr>
            <w:tcW w:w="647" w:type="pct"/>
            <w:noWrap/>
            <w:vAlign w:val="center"/>
            <w:hideMark/>
          </w:tcPr>
          <w:p w14:paraId="737E459F"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13.0</w:t>
            </w:r>
          </w:p>
        </w:tc>
      </w:tr>
      <w:tr w:rsidR="00870301" w:rsidRPr="00870301" w14:paraId="32822E65" w14:textId="77777777" w:rsidTr="00963B0C">
        <w:trPr>
          <w:trHeight w:val="1200"/>
        </w:trPr>
        <w:tc>
          <w:tcPr>
            <w:tcW w:w="475" w:type="pct"/>
            <w:vAlign w:val="center"/>
            <w:hideMark/>
          </w:tcPr>
          <w:p w14:paraId="50756F6D"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Relação com o cliente (RELCLI)</w:t>
            </w:r>
          </w:p>
        </w:tc>
        <w:tc>
          <w:tcPr>
            <w:tcW w:w="587" w:type="pct"/>
            <w:vAlign w:val="center"/>
            <w:hideMark/>
          </w:tcPr>
          <w:p w14:paraId="444086B5"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Categoria do cliente (CATCLI)</w:t>
            </w:r>
          </w:p>
        </w:tc>
        <w:tc>
          <w:tcPr>
            <w:tcW w:w="902" w:type="pct"/>
            <w:vAlign w:val="center"/>
          </w:tcPr>
          <w:p w14:paraId="7A7CACFC"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Data de recebimento do pagamento (PAGDT)</w:t>
            </w:r>
          </w:p>
        </w:tc>
        <w:tc>
          <w:tcPr>
            <w:tcW w:w="559" w:type="pct"/>
            <w:vAlign w:val="center"/>
          </w:tcPr>
          <w:p w14:paraId="1C053A95"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Termos de Entrega (TERENT)</w:t>
            </w:r>
          </w:p>
        </w:tc>
        <w:tc>
          <w:tcPr>
            <w:tcW w:w="703" w:type="pct"/>
            <w:vAlign w:val="center"/>
            <w:hideMark/>
          </w:tcPr>
          <w:p w14:paraId="0FA52380" w14:textId="77777777" w:rsidR="00870301" w:rsidRPr="00870301" w:rsidRDefault="00870301" w:rsidP="00916A6C">
            <w:pPr>
              <w:jc w:val="center"/>
              <w:rPr>
                <w:rFonts w:ascii="Garamond" w:hAnsi="Garamond" w:cstheme="minorHAnsi"/>
                <w:b/>
                <w:color w:val="FF0000"/>
                <w:sz w:val="24"/>
                <w:szCs w:val="24"/>
              </w:rPr>
            </w:pPr>
            <w:r w:rsidRPr="00870301">
              <w:rPr>
                <w:rFonts w:ascii="Garamond" w:hAnsi="Garamond" w:cstheme="minorHAnsi"/>
                <w:b/>
                <w:color w:val="FF0000"/>
                <w:sz w:val="24"/>
                <w:szCs w:val="24"/>
              </w:rPr>
              <w:t>Quantidade (unidade informada) (QTDVEND)</w:t>
            </w:r>
          </w:p>
        </w:tc>
        <w:tc>
          <w:tcPr>
            <w:tcW w:w="1127" w:type="pct"/>
            <w:vAlign w:val="center"/>
            <w:hideMark/>
          </w:tcPr>
          <w:p w14:paraId="4D4F8FE9" w14:textId="77777777" w:rsidR="00870301" w:rsidRPr="00870301" w:rsidRDefault="00870301" w:rsidP="00916A6C">
            <w:pPr>
              <w:jc w:val="center"/>
              <w:rPr>
                <w:rFonts w:ascii="Garamond" w:hAnsi="Garamond" w:cstheme="minorHAnsi"/>
                <w:b/>
                <w:color w:val="FF0000"/>
                <w:sz w:val="24"/>
                <w:szCs w:val="24"/>
              </w:rPr>
            </w:pPr>
            <w:r w:rsidRPr="00870301">
              <w:rPr>
                <w:rFonts w:ascii="Garamond" w:hAnsi="Garamond" w:cstheme="minorHAnsi"/>
                <w:b/>
                <w:color w:val="FF0000"/>
                <w:sz w:val="24"/>
                <w:szCs w:val="24"/>
              </w:rPr>
              <w:t>Quantidade (unidade de comercialização) (QTDCOM)</w:t>
            </w:r>
          </w:p>
        </w:tc>
        <w:tc>
          <w:tcPr>
            <w:tcW w:w="647" w:type="pct"/>
            <w:vAlign w:val="center"/>
            <w:hideMark/>
          </w:tcPr>
          <w:p w14:paraId="0050B025"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Preço unitário bruto (PRBRUTO)</w:t>
            </w:r>
          </w:p>
        </w:tc>
      </w:tr>
    </w:tbl>
    <w:p w14:paraId="17D7DEE2" w14:textId="014F0DEA" w:rsidR="00870301" w:rsidRPr="00870301" w:rsidRDefault="00870301" w:rsidP="00E33E26">
      <w:pPr>
        <w:pStyle w:val="TextosemFormatao"/>
        <w:tabs>
          <w:tab w:val="center" w:pos="6379"/>
          <w:tab w:val="center" w:pos="7513"/>
        </w:tabs>
        <w:jc w:val="center"/>
        <w:rPr>
          <w:rFonts w:ascii="Garamond" w:hAnsi="Garamond" w:cs="Calibri"/>
          <w:b/>
          <w:color w:val="000000"/>
          <w:sz w:val="24"/>
          <w:szCs w:val="24"/>
        </w:rPr>
      </w:pPr>
    </w:p>
    <w:tbl>
      <w:tblPr>
        <w:tblStyle w:val="Tabelacomgrade"/>
        <w:tblW w:w="5000" w:type="pct"/>
        <w:tblLayout w:type="fixed"/>
        <w:tblLook w:val="04A0" w:firstRow="1" w:lastRow="0" w:firstColumn="1" w:lastColumn="0" w:noHBand="0" w:noVBand="1"/>
      </w:tblPr>
      <w:tblGrid>
        <w:gridCol w:w="877"/>
        <w:gridCol w:w="1084"/>
        <w:gridCol w:w="1665"/>
        <w:gridCol w:w="1032"/>
        <w:gridCol w:w="1298"/>
        <w:gridCol w:w="2081"/>
        <w:gridCol w:w="1195"/>
      </w:tblGrid>
      <w:tr w:rsidR="00870301" w:rsidRPr="00870301" w14:paraId="4A4625FB" w14:textId="77777777" w:rsidTr="00963B0C">
        <w:trPr>
          <w:trHeight w:val="300"/>
        </w:trPr>
        <w:tc>
          <w:tcPr>
            <w:tcW w:w="475" w:type="pct"/>
            <w:noWrap/>
            <w:vAlign w:val="center"/>
            <w:hideMark/>
          </w:tcPr>
          <w:p w14:paraId="42261870"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7.0</w:t>
            </w:r>
          </w:p>
        </w:tc>
        <w:tc>
          <w:tcPr>
            <w:tcW w:w="587" w:type="pct"/>
            <w:noWrap/>
            <w:vAlign w:val="center"/>
            <w:hideMark/>
          </w:tcPr>
          <w:p w14:paraId="4A846577"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8.0</w:t>
            </w:r>
          </w:p>
        </w:tc>
        <w:tc>
          <w:tcPr>
            <w:tcW w:w="902" w:type="pct"/>
            <w:noWrap/>
            <w:vAlign w:val="center"/>
            <w:hideMark/>
          </w:tcPr>
          <w:p w14:paraId="54356BD5"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9.0</w:t>
            </w:r>
          </w:p>
        </w:tc>
        <w:tc>
          <w:tcPr>
            <w:tcW w:w="559" w:type="pct"/>
            <w:noWrap/>
            <w:vAlign w:val="center"/>
            <w:hideMark/>
          </w:tcPr>
          <w:p w14:paraId="2076AFE9"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10.0</w:t>
            </w:r>
          </w:p>
        </w:tc>
        <w:tc>
          <w:tcPr>
            <w:tcW w:w="703" w:type="pct"/>
            <w:noWrap/>
            <w:vAlign w:val="center"/>
            <w:hideMark/>
          </w:tcPr>
          <w:p w14:paraId="044735D8"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11.0</w:t>
            </w:r>
          </w:p>
        </w:tc>
        <w:tc>
          <w:tcPr>
            <w:tcW w:w="1127" w:type="pct"/>
            <w:noWrap/>
            <w:vAlign w:val="center"/>
            <w:hideMark/>
          </w:tcPr>
          <w:p w14:paraId="3AE95BC9"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12.0</w:t>
            </w:r>
          </w:p>
        </w:tc>
        <w:tc>
          <w:tcPr>
            <w:tcW w:w="647" w:type="pct"/>
            <w:noWrap/>
            <w:vAlign w:val="center"/>
            <w:hideMark/>
          </w:tcPr>
          <w:p w14:paraId="25731054"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13.0</w:t>
            </w:r>
          </w:p>
        </w:tc>
      </w:tr>
      <w:tr w:rsidR="00870301" w:rsidRPr="00870301" w14:paraId="4B5AE3F2" w14:textId="77777777" w:rsidTr="00963B0C">
        <w:trPr>
          <w:trHeight w:val="1200"/>
        </w:trPr>
        <w:tc>
          <w:tcPr>
            <w:tcW w:w="475" w:type="pct"/>
            <w:vAlign w:val="center"/>
            <w:hideMark/>
          </w:tcPr>
          <w:p w14:paraId="002BE242"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Relação com o cliente (RELCLI)</w:t>
            </w:r>
          </w:p>
        </w:tc>
        <w:tc>
          <w:tcPr>
            <w:tcW w:w="587" w:type="pct"/>
            <w:vAlign w:val="center"/>
            <w:hideMark/>
          </w:tcPr>
          <w:p w14:paraId="2E93A9D0"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Categoria do cliente (CATCLI)</w:t>
            </w:r>
          </w:p>
        </w:tc>
        <w:tc>
          <w:tcPr>
            <w:tcW w:w="902" w:type="pct"/>
            <w:vAlign w:val="center"/>
          </w:tcPr>
          <w:p w14:paraId="71E64E01"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Data de recebimento do pagamento (PAGDT)</w:t>
            </w:r>
          </w:p>
        </w:tc>
        <w:tc>
          <w:tcPr>
            <w:tcW w:w="559" w:type="pct"/>
            <w:vAlign w:val="center"/>
          </w:tcPr>
          <w:p w14:paraId="2B4B627E"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Termos de Entrega (TERENT)</w:t>
            </w:r>
          </w:p>
        </w:tc>
        <w:tc>
          <w:tcPr>
            <w:tcW w:w="703" w:type="pct"/>
            <w:vAlign w:val="center"/>
            <w:hideMark/>
          </w:tcPr>
          <w:p w14:paraId="060E456F" w14:textId="77777777" w:rsidR="00870301" w:rsidRPr="00870301" w:rsidRDefault="00870301" w:rsidP="00916A6C">
            <w:pPr>
              <w:jc w:val="center"/>
              <w:rPr>
                <w:rFonts w:ascii="Garamond" w:hAnsi="Garamond" w:cstheme="minorHAnsi"/>
                <w:b/>
                <w:color w:val="FF0000"/>
                <w:sz w:val="24"/>
                <w:szCs w:val="24"/>
              </w:rPr>
            </w:pPr>
            <w:r w:rsidRPr="00870301">
              <w:rPr>
                <w:rFonts w:ascii="Garamond" w:hAnsi="Garamond" w:cstheme="minorHAnsi"/>
                <w:b/>
                <w:color w:val="FF0000"/>
                <w:sz w:val="24"/>
                <w:szCs w:val="24"/>
              </w:rPr>
              <w:t>Quantidade (unidade informada) (QTDVEND)</w:t>
            </w:r>
          </w:p>
        </w:tc>
        <w:tc>
          <w:tcPr>
            <w:tcW w:w="1127" w:type="pct"/>
            <w:vAlign w:val="center"/>
            <w:hideMark/>
          </w:tcPr>
          <w:p w14:paraId="6C8A55A4" w14:textId="77777777" w:rsidR="00870301" w:rsidRPr="00870301" w:rsidRDefault="00870301" w:rsidP="00916A6C">
            <w:pPr>
              <w:jc w:val="center"/>
              <w:rPr>
                <w:rFonts w:ascii="Garamond" w:hAnsi="Garamond" w:cstheme="minorHAnsi"/>
                <w:b/>
                <w:color w:val="FF0000"/>
                <w:sz w:val="24"/>
                <w:szCs w:val="24"/>
              </w:rPr>
            </w:pPr>
            <w:r w:rsidRPr="00870301">
              <w:rPr>
                <w:rFonts w:ascii="Garamond" w:hAnsi="Garamond" w:cstheme="minorHAnsi"/>
                <w:b/>
                <w:color w:val="FF0000"/>
                <w:sz w:val="24"/>
                <w:szCs w:val="24"/>
              </w:rPr>
              <w:t>Quantidade (unidade de comercialização) (QTDCOM)</w:t>
            </w:r>
          </w:p>
        </w:tc>
        <w:tc>
          <w:tcPr>
            <w:tcW w:w="647" w:type="pct"/>
            <w:vAlign w:val="center"/>
            <w:hideMark/>
          </w:tcPr>
          <w:p w14:paraId="120455C3" w14:textId="77777777" w:rsidR="00870301" w:rsidRPr="00870301" w:rsidRDefault="00870301" w:rsidP="00916A6C">
            <w:pPr>
              <w:jc w:val="center"/>
              <w:rPr>
                <w:rFonts w:ascii="Garamond" w:hAnsi="Garamond" w:cstheme="minorHAnsi"/>
                <w:b/>
                <w:color w:val="000000"/>
                <w:sz w:val="24"/>
                <w:szCs w:val="24"/>
              </w:rPr>
            </w:pPr>
            <w:r w:rsidRPr="00870301">
              <w:rPr>
                <w:rFonts w:ascii="Garamond" w:hAnsi="Garamond" w:cstheme="minorHAnsi"/>
                <w:b/>
                <w:color w:val="000000"/>
                <w:sz w:val="24"/>
                <w:szCs w:val="24"/>
              </w:rPr>
              <w:t>Preço unitário bruto (PRBRUTO)</w:t>
            </w:r>
          </w:p>
        </w:tc>
      </w:tr>
    </w:tbl>
    <w:p w14:paraId="50D57D7C" w14:textId="387E8D68" w:rsidR="00870301" w:rsidRPr="00870301" w:rsidRDefault="00870301" w:rsidP="00E33E26">
      <w:pPr>
        <w:pStyle w:val="TextosemFormatao"/>
        <w:tabs>
          <w:tab w:val="center" w:pos="6379"/>
          <w:tab w:val="center" w:pos="7513"/>
        </w:tabs>
        <w:jc w:val="center"/>
        <w:rPr>
          <w:rFonts w:ascii="Garamond" w:hAnsi="Garamond" w:cs="Calibri"/>
          <w:b/>
          <w:color w:val="000000"/>
          <w:sz w:val="24"/>
          <w:szCs w:val="24"/>
        </w:rPr>
      </w:pPr>
    </w:p>
    <w:tbl>
      <w:tblPr>
        <w:tblStyle w:val="Tabelacomgrade3"/>
        <w:tblW w:w="5000" w:type="pct"/>
        <w:tblLook w:val="04A0" w:firstRow="1" w:lastRow="0" w:firstColumn="1" w:lastColumn="0" w:noHBand="0" w:noVBand="1"/>
      </w:tblPr>
      <w:tblGrid>
        <w:gridCol w:w="1316"/>
        <w:gridCol w:w="1036"/>
        <w:gridCol w:w="1376"/>
        <w:gridCol w:w="1171"/>
        <w:gridCol w:w="1207"/>
        <w:gridCol w:w="1563"/>
        <w:gridCol w:w="1563"/>
      </w:tblGrid>
      <w:tr w:rsidR="00870301" w:rsidRPr="00870301" w14:paraId="1C5AB317" w14:textId="77777777" w:rsidTr="00916A6C">
        <w:trPr>
          <w:trHeight w:val="300"/>
        </w:trPr>
        <w:tc>
          <w:tcPr>
            <w:tcW w:w="709" w:type="pct"/>
            <w:noWrap/>
            <w:vAlign w:val="center"/>
            <w:hideMark/>
          </w:tcPr>
          <w:p w14:paraId="13365784"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17.0</w:t>
            </w:r>
          </w:p>
        </w:tc>
        <w:tc>
          <w:tcPr>
            <w:tcW w:w="562" w:type="pct"/>
            <w:noWrap/>
            <w:vAlign w:val="center"/>
            <w:hideMark/>
          </w:tcPr>
          <w:p w14:paraId="26C82305"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18.0</w:t>
            </w:r>
          </w:p>
        </w:tc>
        <w:tc>
          <w:tcPr>
            <w:tcW w:w="746" w:type="pct"/>
            <w:noWrap/>
            <w:vAlign w:val="center"/>
            <w:hideMark/>
          </w:tcPr>
          <w:p w14:paraId="66F435E7"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19.1</w:t>
            </w:r>
          </w:p>
        </w:tc>
        <w:tc>
          <w:tcPr>
            <w:tcW w:w="635" w:type="pct"/>
            <w:noWrap/>
            <w:vAlign w:val="center"/>
            <w:hideMark/>
          </w:tcPr>
          <w:p w14:paraId="41C4DCDF"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19.2</w:t>
            </w:r>
          </w:p>
        </w:tc>
        <w:tc>
          <w:tcPr>
            <w:tcW w:w="654" w:type="pct"/>
            <w:noWrap/>
            <w:vAlign w:val="center"/>
            <w:hideMark/>
          </w:tcPr>
          <w:p w14:paraId="385A3DD0"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19.3</w:t>
            </w:r>
          </w:p>
        </w:tc>
        <w:tc>
          <w:tcPr>
            <w:tcW w:w="847" w:type="pct"/>
            <w:noWrap/>
            <w:vAlign w:val="center"/>
            <w:hideMark/>
          </w:tcPr>
          <w:p w14:paraId="7902367E"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19.4</w:t>
            </w:r>
          </w:p>
        </w:tc>
        <w:tc>
          <w:tcPr>
            <w:tcW w:w="847" w:type="pct"/>
            <w:noWrap/>
            <w:vAlign w:val="center"/>
            <w:hideMark/>
          </w:tcPr>
          <w:p w14:paraId="64F1691F"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20.0</w:t>
            </w:r>
          </w:p>
        </w:tc>
      </w:tr>
      <w:tr w:rsidR="00870301" w:rsidRPr="00870301" w14:paraId="55AC441F" w14:textId="77777777" w:rsidTr="00916A6C">
        <w:trPr>
          <w:trHeight w:val="1200"/>
        </w:trPr>
        <w:tc>
          <w:tcPr>
            <w:tcW w:w="709" w:type="pct"/>
            <w:vAlign w:val="center"/>
            <w:hideMark/>
          </w:tcPr>
          <w:p w14:paraId="5E953140"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Seguro interno (SEGINT)</w:t>
            </w:r>
          </w:p>
        </w:tc>
        <w:tc>
          <w:tcPr>
            <w:tcW w:w="562" w:type="pct"/>
            <w:vAlign w:val="center"/>
            <w:hideMark/>
          </w:tcPr>
          <w:p w14:paraId="1C8F516C"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Destino (DEST)</w:t>
            </w:r>
          </w:p>
        </w:tc>
        <w:tc>
          <w:tcPr>
            <w:tcW w:w="746" w:type="pct"/>
            <w:vAlign w:val="center"/>
          </w:tcPr>
          <w:p w14:paraId="413368A9"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ICMS (ICMS)</w:t>
            </w:r>
          </w:p>
        </w:tc>
        <w:tc>
          <w:tcPr>
            <w:tcW w:w="635" w:type="pct"/>
            <w:vAlign w:val="center"/>
          </w:tcPr>
          <w:p w14:paraId="6C42FFB9"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IPI (IPI)</w:t>
            </w:r>
          </w:p>
        </w:tc>
        <w:tc>
          <w:tcPr>
            <w:tcW w:w="654" w:type="pct"/>
            <w:vAlign w:val="center"/>
          </w:tcPr>
          <w:p w14:paraId="61593E5D"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PIS (PIS)</w:t>
            </w:r>
          </w:p>
        </w:tc>
        <w:tc>
          <w:tcPr>
            <w:tcW w:w="847" w:type="pct"/>
            <w:vAlign w:val="center"/>
          </w:tcPr>
          <w:p w14:paraId="37BA4DD4" w14:textId="77777777" w:rsidR="00870301" w:rsidRPr="00870301" w:rsidRDefault="00870301" w:rsidP="00870301">
            <w:pPr>
              <w:jc w:val="center"/>
              <w:rPr>
                <w:rFonts w:ascii="Garamond" w:hAnsi="Garamond" w:cs="Calibri"/>
                <w:b/>
                <w:color w:val="000000"/>
                <w:sz w:val="24"/>
                <w:szCs w:val="24"/>
              </w:rPr>
            </w:pPr>
            <w:r w:rsidRPr="00870301">
              <w:rPr>
                <w:rFonts w:ascii="Garamond" w:hAnsi="Garamond" w:cs="Calibri"/>
                <w:b/>
                <w:color w:val="000000"/>
                <w:sz w:val="24"/>
                <w:szCs w:val="24"/>
              </w:rPr>
              <w:t>COFINS (COFINS)</w:t>
            </w:r>
          </w:p>
        </w:tc>
        <w:tc>
          <w:tcPr>
            <w:tcW w:w="847" w:type="pct"/>
            <w:vAlign w:val="center"/>
          </w:tcPr>
          <w:p w14:paraId="014881E8" w14:textId="77777777" w:rsidR="00870301" w:rsidRPr="00870301" w:rsidRDefault="00870301" w:rsidP="00870301">
            <w:pPr>
              <w:jc w:val="center"/>
              <w:rPr>
                <w:rFonts w:ascii="Garamond" w:hAnsi="Garamond" w:cs="Calibri"/>
                <w:b/>
                <w:color w:val="FF0000"/>
                <w:sz w:val="24"/>
                <w:szCs w:val="24"/>
              </w:rPr>
            </w:pPr>
            <w:r w:rsidRPr="00870301">
              <w:rPr>
                <w:rFonts w:ascii="Garamond" w:hAnsi="Garamond" w:cs="Calibri"/>
                <w:b/>
                <w:color w:val="FF0000"/>
                <w:sz w:val="24"/>
                <w:szCs w:val="24"/>
              </w:rPr>
              <w:t>Outros</w:t>
            </w:r>
          </w:p>
        </w:tc>
      </w:tr>
    </w:tbl>
    <w:p w14:paraId="6A03986F" w14:textId="77777777" w:rsidR="00870301" w:rsidRDefault="00870301" w:rsidP="00E33E26">
      <w:pPr>
        <w:pStyle w:val="TextosemFormatao"/>
        <w:tabs>
          <w:tab w:val="center" w:pos="6379"/>
          <w:tab w:val="center" w:pos="7513"/>
        </w:tabs>
        <w:jc w:val="center"/>
        <w:rPr>
          <w:rFonts w:ascii="Garamond" w:hAnsi="Garamond" w:cs="Calibri"/>
          <w:b/>
          <w:color w:val="000000"/>
          <w:sz w:val="18"/>
          <w:szCs w:val="18"/>
        </w:rPr>
      </w:pPr>
    </w:p>
    <w:tbl>
      <w:tblPr>
        <w:tblW w:w="9360" w:type="dxa"/>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9360"/>
      </w:tblGrid>
      <w:tr w:rsidR="003F035B" w:rsidRPr="00395593" w14:paraId="73110324" w14:textId="77777777" w:rsidTr="00916A6C">
        <w:trPr>
          <w:cantSplit/>
          <w:jc w:val="center"/>
        </w:trPr>
        <w:tc>
          <w:tcPr>
            <w:tcW w:w="9360" w:type="dxa"/>
            <w:shd w:val="clear" w:color="auto" w:fill="auto"/>
            <w:vAlign w:val="center"/>
          </w:tcPr>
          <w:p w14:paraId="187C4934"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Preencher os campos conforme descrição abaixo:</w:t>
            </w:r>
          </w:p>
        </w:tc>
      </w:tr>
      <w:tr w:rsidR="003F035B" w:rsidRPr="00395593" w14:paraId="4F6DD274" w14:textId="77777777" w:rsidTr="00916A6C">
        <w:trPr>
          <w:cantSplit/>
          <w:jc w:val="center"/>
        </w:trPr>
        <w:tc>
          <w:tcPr>
            <w:tcW w:w="9360" w:type="dxa"/>
            <w:shd w:val="clear" w:color="auto" w:fill="auto"/>
            <w:vAlign w:val="center"/>
          </w:tcPr>
          <w:p w14:paraId="6EB27635"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0.0 – Indicar o nome da empresa cuja venda está sendo reportada.</w:t>
            </w:r>
          </w:p>
        </w:tc>
      </w:tr>
      <w:tr w:rsidR="003F035B" w:rsidRPr="00395593" w14:paraId="11843C3D" w14:textId="77777777" w:rsidTr="00916A6C">
        <w:trPr>
          <w:cantSplit/>
          <w:jc w:val="center"/>
        </w:trPr>
        <w:tc>
          <w:tcPr>
            <w:tcW w:w="9360" w:type="dxa"/>
            <w:shd w:val="clear" w:color="auto" w:fill="auto"/>
            <w:vAlign w:val="center"/>
          </w:tcPr>
          <w:p w14:paraId="432F8814"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1.0 - Código do produto (CODPROD): informar o código comercial utilizado pela empresa no curso normal de suas operações de venda. O código do produto deverá ser aquele informado na seção 3 do capítulo II.</w:t>
            </w:r>
          </w:p>
        </w:tc>
      </w:tr>
      <w:tr w:rsidR="003F035B" w:rsidRPr="00395593" w14:paraId="5500B72E" w14:textId="77777777" w:rsidTr="00916A6C">
        <w:trPr>
          <w:cantSplit/>
          <w:jc w:val="center"/>
        </w:trPr>
        <w:tc>
          <w:tcPr>
            <w:tcW w:w="9360" w:type="dxa"/>
            <w:shd w:val="clear" w:color="auto" w:fill="auto"/>
            <w:vAlign w:val="center"/>
          </w:tcPr>
          <w:p w14:paraId="1907A2E4"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2D88A3C2" w14:textId="77777777" w:rsidTr="00916A6C">
        <w:trPr>
          <w:cantSplit/>
          <w:jc w:val="center"/>
        </w:trPr>
        <w:tc>
          <w:tcPr>
            <w:tcW w:w="9360" w:type="dxa"/>
            <w:shd w:val="clear" w:color="auto" w:fill="auto"/>
            <w:vAlign w:val="center"/>
          </w:tcPr>
          <w:p w14:paraId="17803BF3"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 xml:space="preserve">Campo 2.0 - Código de Identificação do Produto (CODIP): informar o CODIP de acordo com as características apresentadas na seção 3 do capítulo II. </w:t>
            </w:r>
          </w:p>
        </w:tc>
      </w:tr>
      <w:tr w:rsidR="003F035B" w:rsidRPr="00395593" w14:paraId="6D6589D7" w14:textId="77777777" w:rsidTr="00916A6C">
        <w:trPr>
          <w:cantSplit/>
          <w:jc w:val="center"/>
        </w:trPr>
        <w:tc>
          <w:tcPr>
            <w:tcW w:w="9360" w:type="dxa"/>
            <w:shd w:val="clear" w:color="auto" w:fill="auto"/>
            <w:vAlign w:val="center"/>
          </w:tcPr>
          <w:p w14:paraId="6DFF1214"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40F3259F" w14:textId="77777777" w:rsidTr="00916A6C">
        <w:trPr>
          <w:cantSplit/>
          <w:jc w:val="center"/>
        </w:trPr>
        <w:tc>
          <w:tcPr>
            <w:tcW w:w="9360" w:type="dxa"/>
            <w:shd w:val="clear" w:color="auto" w:fill="auto"/>
            <w:vAlign w:val="center"/>
          </w:tcPr>
          <w:p w14:paraId="6B65F19E"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3.0 - Número da fatura/nota fiscal de venda (FAT): informar o número da fatura relacionado no sistema contábil da empresa.</w:t>
            </w:r>
          </w:p>
        </w:tc>
      </w:tr>
      <w:tr w:rsidR="003F035B" w:rsidRPr="00395593" w14:paraId="04F65047" w14:textId="77777777" w:rsidTr="00916A6C">
        <w:trPr>
          <w:cantSplit/>
          <w:jc w:val="center"/>
        </w:trPr>
        <w:tc>
          <w:tcPr>
            <w:tcW w:w="9360" w:type="dxa"/>
            <w:shd w:val="clear" w:color="auto" w:fill="auto"/>
            <w:vAlign w:val="center"/>
          </w:tcPr>
          <w:p w14:paraId="4AF71BE7"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571BDD4F" w14:textId="77777777" w:rsidTr="00916A6C">
        <w:trPr>
          <w:cantSplit/>
          <w:jc w:val="center"/>
        </w:trPr>
        <w:tc>
          <w:tcPr>
            <w:tcW w:w="9360" w:type="dxa"/>
            <w:shd w:val="clear" w:color="auto" w:fill="auto"/>
            <w:vAlign w:val="center"/>
          </w:tcPr>
          <w:p w14:paraId="787261B9"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4.0 - Data da fatura (DATFAT): informar a data da fatura/nota fiscal.</w:t>
            </w:r>
          </w:p>
        </w:tc>
      </w:tr>
      <w:tr w:rsidR="003F035B" w:rsidRPr="00395593" w14:paraId="76E6F8F1" w14:textId="77777777" w:rsidTr="00916A6C">
        <w:trPr>
          <w:cantSplit/>
          <w:jc w:val="center"/>
        </w:trPr>
        <w:tc>
          <w:tcPr>
            <w:tcW w:w="9360" w:type="dxa"/>
            <w:shd w:val="clear" w:color="auto" w:fill="auto"/>
            <w:vAlign w:val="center"/>
          </w:tcPr>
          <w:p w14:paraId="6305F724"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2B72E4E2" w14:textId="77777777" w:rsidTr="00916A6C">
        <w:trPr>
          <w:cantSplit/>
          <w:jc w:val="center"/>
        </w:trPr>
        <w:tc>
          <w:tcPr>
            <w:tcW w:w="9360" w:type="dxa"/>
            <w:shd w:val="clear" w:color="auto" w:fill="auto"/>
            <w:vAlign w:val="center"/>
          </w:tcPr>
          <w:p w14:paraId="15E91FBA"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5.0 - Data do embarque (DATEMB): informar a data de embarque da fábrica para o cliente ou do local de distribuição para o cliente. Entende-se por local de distribuição qualquer galpão ou armazém não localizado junto à unidade fabril da empresa.</w:t>
            </w:r>
          </w:p>
        </w:tc>
      </w:tr>
      <w:tr w:rsidR="003F035B" w:rsidRPr="00395593" w14:paraId="746F5EA5" w14:textId="77777777" w:rsidTr="00916A6C">
        <w:trPr>
          <w:cantSplit/>
          <w:jc w:val="center"/>
        </w:trPr>
        <w:tc>
          <w:tcPr>
            <w:tcW w:w="9360" w:type="dxa"/>
            <w:shd w:val="clear" w:color="auto" w:fill="auto"/>
            <w:vAlign w:val="center"/>
          </w:tcPr>
          <w:p w14:paraId="71C3826C"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551D5580" w14:textId="77777777" w:rsidTr="00916A6C">
        <w:trPr>
          <w:cantSplit/>
          <w:jc w:val="center"/>
        </w:trPr>
        <w:tc>
          <w:tcPr>
            <w:tcW w:w="9360" w:type="dxa"/>
            <w:shd w:val="clear" w:color="auto" w:fill="auto"/>
            <w:vAlign w:val="center"/>
          </w:tcPr>
          <w:p w14:paraId="6F8ED20E"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6.0 – Código do Cliente (CLICOD): informar o código de cada um dos clientes. Fornecer a lista completa de clientes, relacionando o código e a respectiva razão social.</w:t>
            </w:r>
          </w:p>
        </w:tc>
      </w:tr>
      <w:tr w:rsidR="003F035B" w:rsidRPr="00395593" w14:paraId="1FD1E7F7" w14:textId="77777777" w:rsidTr="00916A6C">
        <w:trPr>
          <w:cantSplit/>
          <w:jc w:val="center"/>
        </w:trPr>
        <w:tc>
          <w:tcPr>
            <w:tcW w:w="9360" w:type="dxa"/>
            <w:shd w:val="clear" w:color="auto" w:fill="auto"/>
            <w:vAlign w:val="center"/>
          </w:tcPr>
          <w:p w14:paraId="6165F76C"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2E36A86C" w14:textId="77777777" w:rsidTr="00916A6C">
        <w:trPr>
          <w:cantSplit/>
          <w:jc w:val="center"/>
        </w:trPr>
        <w:tc>
          <w:tcPr>
            <w:tcW w:w="9360" w:type="dxa"/>
            <w:shd w:val="clear" w:color="auto" w:fill="auto"/>
            <w:vAlign w:val="center"/>
          </w:tcPr>
          <w:p w14:paraId="52BCC0A0"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7.0 – Relação com o cliente (RELCLI): classificar o cliente conforme a classificação abaixo, tendo por base a definição constante do § 10 do art. 14 do Decreto n</w:t>
            </w:r>
            <w:r w:rsidRPr="00764201">
              <w:rPr>
                <w:rFonts w:ascii="Garamond" w:hAnsi="Garamond" w:cs="Calibri"/>
                <w:strike/>
                <w:color w:val="000000"/>
                <w:sz w:val="24"/>
                <w:szCs w:val="24"/>
              </w:rPr>
              <w:t>º</w:t>
            </w:r>
            <w:r w:rsidRPr="00764201">
              <w:rPr>
                <w:rFonts w:ascii="Garamond" w:hAnsi="Garamond" w:cs="Calibri"/>
                <w:color w:val="000000"/>
                <w:sz w:val="24"/>
                <w:szCs w:val="24"/>
              </w:rPr>
              <w:t xml:space="preserve"> 8.058, de 2013.</w:t>
            </w:r>
          </w:p>
        </w:tc>
      </w:tr>
      <w:tr w:rsidR="003F035B" w:rsidRPr="00395593" w14:paraId="3B4C00F6" w14:textId="77777777" w:rsidTr="00916A6C">
        <w:trPr>
          <w:cantSplit/>
          <w:jc w:val="center"/>
        </w:trPr>
        <w:tc>
          <w:tcPr>
            <w:tcW w:w="9360" w:type="dxa"/>
            <w:shd w:val="clear" w:color="auto" w:fill="auto"/>
            <w:vAlign w:val="center"/>
          </w:tcPr>
          <w:p w14:paraId="01E7F91A"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1 = não relacionado</w:t>
            </w:r>
          </w:p>
        </w:tc>
      </w:tr>
      <w:tr w:rsidR="003F035B" w:rsidRPr="00395593" w14:paraId="04513F18" w14:textId="77777777" w:rsidTr="00916A6C">
        <w:trPr>
          <w:cantSplit/>
          <w:jc w:val="center"/>
        </w:trPr>
        <w:tc>
          <w:tcPr>
            <w:tcW w:w="9360" w:type="dxa"/>
            <w:shd w:val="clear" w:color="auto" w:fill="auto"/>
            <w:vAlign w:val="center"/>
          </w:tcPr>
          <w:p w14:paraId="6DCD9EC8"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 xml:space="preserve">2 = relacionado </w:t>
            </w:r>
          </w:p>
        </w:tc>
      </w:tr>
      <w:tr w:rsidR="003F035B" w:rsidRPr="00395593" w14:paraId="3A47F1D7" w14:textId="77777777" w:rsidTr="00916A6C">
        <w:trPr>
          <w:cantSplit/>
          <w:jc w:val="center"/>
        </w:trPr>
        <w:tc>
          <w:tcPr>
            <w:tcW w:w="9360" w:type="dxa"/>
            <w:shd w:val="clear" w:color="auto" w:fill="auto"/>
            <w:vAlign w:val="center"/>
          </w:tcPr>
          <w:p w14:paraId="3BEE2681"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5654E00E" w14:textId="77777777" w:rsidTr="00916A6C">
        <w:trPr>
          <w:cantSplit/>
          <w:jc w:val="center"/>
        </w:trPr>
        <w:tc>
          <w:tcPr>
            <w:tcW w:w="9360" w:type="dxa"/>
            <w:shd w:val="clear" w:color="auto" w:fill="auto"/>
            <w:vAlign w:val="center"/>
          </w:tcPr>
          <w:p w14:paraId="751589D0"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8.0 - Categoria do cliente (CATCLI): informar a categoria do cliente.</w:t>
            </w:r>
          </w:p>
        </w:tc>
      </w:tr>
      <w:tr w:rsidR="003F035B" w:rsidRPr="00395593" w14:paraId="3B2C0D26" w14:textId="77777777" w:rsidTr="00916A6C">
        <w:trPr>
          <w:cantSplit/>
          <w:jc w:val="center"/>
        </w:trPr>
        <w:tc>
          <w:tcPr>
            <w:tcW w:w="9360" w:type="dxa"/>
            <w:shd w:val="clear" w:color="auto" w:fill="auto"/>
            <w:vAlign w:val="center"/>
          </w:tcPr>
          <w:p w14:paraId="11245DB8"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1 = usuário/consumidor final</w:t>
            </w:r>
          </w:p>
        </w:tc>
      </w:tr>
      <w:tr w:rsidR="003F035B" w:rsidRPr="00395593" w14:paraId="5CF01F6D" w14:textId="77777777" w:rsidTr="00916A6C">
        <w:trPr>
          <w:cantSplit/>
          <w:jc w:val="center"/>
        </w:trPr>
        <w:tc>
          <w:tcPr>
            <w:tcW w:w="9360" w:type="dxa"/>
            <w:shd w:val="clear" w:color="auto" w:fill="auto"/>
            <w:vAlign w:val="center"/>
          </w:tcPr>
          <w:p w14:paraId="24013237"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2 = distribuidor autorizado</w:t>
            </w:r>
          </w:p>
        </w:tc>
      </w:tr>
      <w:tr w:rsidR="003F035B" w:rsidRPr="00395593" w14:paraId="2C7E68F2" w14:textId="77777777" w:rsidTr="00916A6C">
        <w:trPr>
          <w:cantSplit/>
          <w:jc w:val="center"/>
        </w:trPr>
        <w:tc>
          <w:tcPr>
            <w:tcW w:w="9360" w:type="dxa"/>
            <w:shd w:val="clear" w:color="auto" w:fill="auto"/>
            <w:vAlign w:val="center"/>
          </w:tcPr>
          <w:p w14:paraId="02F28253"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3 = outros distribuidores</w:t>
            </w:r>
          </w:p>
        </w:tc>
      </w:tr>
      <w:tr w:rsidR="003F035B" w:rsidRPr="00395593" w14:paraId="1BD379C8" w14:textId="77777777" w:rsidTr="00916A6C">
        <w:trPr>
          <w:cantSplit/>
          <w:jc w:val="center"/>
        </w:trPr>
        <w:tc>
          <w:tcPr>
            <w:tcW w:w="9360" w:type="dxa"/>
            <w:shd w:val="clear" w:color="auto" w:fill="auto"/>
            <w:vAlign w:val="center"/>
          </w:tcPr>
          <w:p w14:paraId="088CC7A3"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4 até n = outras (especificar)</w:t>
            </w:r>
          </w:p>
        </w:tc>
      </w:tr>
      <w:tr w:rsidR="003F035B" w:rsidRPr="00395593" w14:paraId="0F1A8B4B" w14:textId="77777777" w:rsidTr="00916A6C">
        <w:trPr>
          <w:cantSplit/>
          <w:jc w:val="center"/>
        </w:trPr>
        <w:tc>
          <w:tcPr>
            <w:tcW w:w="9360" w:type="dxa"/>
            <w:shd w:val="clear" w:color="auto" w:fill="auto"/>
            <w:vAlign w:val="center"/>
          </w:tcPr>
          <w:p w14:paraId="1AF39EA9"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2D019A93" w14:textId="77777777" w:rsidTr="00916A6C">
        <w:trPr>
          <w:cantSplit/>
          <w:jc w:val="center"/>
        </w:trPr>
        <w:tc>
          <w:tcPr>
            <w:tcW w:w="9360" w:type="dxa"/>
            <w:shd w:val="clear" w:color="auto" w:fill="auto"/>
            <w:vAlign w:val="center"/>
          </w:tcPr>
          <w:p w14:paraId="085E842E"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9.0 - Data de recebimento do pagamento (PAGDT): informar a data de registro do recebimento do pagamento efetuado pelo cliente. Caso não seja possível recuperar tal data, informar o prazo médio de pagamento acordado. Se uma fatura em particular não foi paga, deixar o campo em branco.</w:t>
            </w:r>
          </w:p>
        </w:tc>
      </w:tr>
      <w:tr w:rsidR="003F035B" w:rsidRPr="00395593" w14:paraId="0D2A7992" w14:textId="77777777" w:rsidTr="00916A6C">
        <w:trPr>
          <w:cantSplit/>
          <w:jc w:val="center"/>
        </w:trPr>
        <w:tc>
          <w:tcPr>
            <w:tcW w:w="9360" w:type="dxa"/>
            <w:shd w:val="clear" w:color="auto" w:fill="auto"/>
            <w:vAlign w:val="center"/>
          </w:tcPr>
          <w:p w14:paraId="3193C648"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14A098BC" w14:textId="77777777" w:rsidTr="00916A6C">
        <w:trPr>
          <w:cantSplit/>
          <w:jc w:val="center"/>
        </w:trPr>
        <w:tc>
          <w:tcPr>
            <w:tcW w:w="9360" w:type="dxa"/>
            <w:shd w:val="clear" w:color="auto" w:fill="auto"/>
            <w:vAlign w:val="center"/>
          </w:tcPr>
          <w:p w14:paraId="31869F78"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10.0 - Termos de Entrega (TERENT): informar o termo de entrega. Descrever o termo de entrega, indicando os códigos utilizados e o significado de cada um e esclarecer as responsabilidades de cada parte (vendedor e comprador).</w:t>
            </w:r>
          </w:p>
        </w:tc>
      </w:tr>
      <w:tr w:rsidR="003F035B" w:rsidRPr="00395593" w14:paraId="3760D697" w14:textId="77777777" w:rsidTr="00916A6C">
        <w:trPr>
          <w:cantSplit/>
          <w:jc w:val="center"/>
        </w:trPr>
        <w:tc>
          <w:tcPr>
            <w:tcW w:w="9360" w:type="dxa"/>
            <w:shd w:val="clear" w:color="auto" w:fill="auto"/>
            <w:vAlign w:val="center"/>
          </w:tcPr>
          <w:p w14:paraId="70102B7A"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1 = posto cliente</w:t>
            </w:r>
          </w:p>
        </w:tc>
      </w:tr>
      <w:tr w:rsidR="003F035B" w:rsidRPr="00395593" w14:paraId="5CABA7AA" w14:textId="77777777" w:rsidTr="00916A6C">
        <w:trPr>
          <w:cantSplit/>
          <w:jc w:val="center"/>
        </w:trPr>
        <w:tc>
          <w:tcPr>
            <w:tcW w:w="9360" w:type="dxa"/>
            <w:shd w:val="clear" w:color="auto" w:fill="auto"/>
            <w:vAlign w:val="center"/>
          </w:tcPr>
          <w:p w14:paraId="19152EA8"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2 = posto lugar determinado pelo comprador</w:t>
            </w:r>
          </w:p>
        </w:tc>
      </w:tr>
      <w:tr w:rsidR="003F035B" w:rsidRPr="00395593" w14:paraId="40A66BE8" w14:textId="77777777" w:rsidTr="00916A6C">
        <w:trPr>
          <w:cantSplit/>
          <w:jc w:val="center"/>
        </w:trPr>
        <w:tc>
          <w:tcPr>
            <w:tcW w:w="9360" w:type="dxa"/>
            <w:shd w:val="clear" w:color="auto" w:fill="auto"/>
            <w:vAlign w:val="center"/>
          </w:tcPr>
          <w:p w14:paraId="404C0D48"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 xml:space="preserve">3 = </w:t>
            </w:r>
            <w:r w:rsidRPr="00764201">
              <w:rPr>
                <w:rFonts w:ascii="Garamond" w:hAnsi="Garamond" w:cs="Calibri"/>
                <w:b/>
                <w:color w:val="000000"/>
                <w:sz w:val="24"/>
                <w:szCs w:val="24"/>
              </w:rPr>
              <w:t>ex fabrica</w:t>
            </w:r>
          </w:p>
        </w:tc>
      </w:tr>
      <w:tr w:rsidR="003F035B" w:rsidRPr="00395593" w14:paraId="01192456" w14:textId="77777777" w:rsidTr="00916A6C">
        <w:trPr>
          <w:cantSplit/>
          <w:jc w:val="center"/>
        </w:trPr>
        <w:tc>
          <w:tcPr>
            <w:tcW w:w="9360" w:type="dxa"/>
            <w:shd w:val="clear" w:color="auto" w:fill="auto"/>
            <w:vAlign w:val="center"/>
          </w:tcPr>
          <w:p w14:paraId="4B867A93"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4 até n = outros termos de entrega (especificar)</w:t>
            </w:r>
          </w:p>
        </w:tc>
      </w:tr>
      <w:tr w:rsidR="003F035B" w:rsidRPr="00395593" w14:paraId="05F83E51" w14:textId="77777777" w:rsidTr="00916A6C">
        <w:trPr>
          <w:cantSplit/>
          <w:jc w:val="center"/>
        </w:trPr>
        <w:tc>
          <w:tcPr>
            <w:tcW w:w="9360" w:type="dxa"/>
            <w:shd w:val="clear" w:color="auto" w:fill="auto"/>
            <w:vAlign w:val="center"/>
          </w:tcPr>
          <w:p w14:paraId="3C939CEF"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5AF57819" w14:textId="77777777" w:rsidTr="00916A6C">
        <w:trPr>
          <w:cantSplit/>
          <w:jc w:val="center"/>
        </w:trPr>
        <w:tc>
          <w:tcPr>
            <w:tcW w:w="9360" w:type="dxa"/>
            <w:shd w:val="clear" w:color="auto" w:fill="auto"/>
            <w:vAlign w:val="center"/>
          </w:tcPr>
          <w:p w14:paraId="1F7B5EED"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 xml:space="preserve">Campo 11.0 - Quantidade (t) (QTDVEND): informar a quantidade vendida (t) em cada transação. </w:t>
            </w:r>
          </w:p>
        </w:tc>
      </w:tr>
      <w:tr w:rsidR="003F035B" w:rsidRPr="00395593" w14:paraId="139BF997" w14:textId="77777777" w:rsidTr="00916A6C">
        <w:trPr>
          <w:cantSplit/>
          <w:jc w:val="center"/>
        </w:trPr>
        <w:tc>
          <w:tcPr>
            <w:tcW w:w="9360" w:type="dxa"/>
            <w:shd w:val="clear" w:color="auto" w:fill="auto"/>
            <w:vAlign w:val="center"/>
          </w:tcPr>
          <w:p w14:paraId="160D344C"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0995A956" w14:textId="77777777" w:rsidTr="00916A6C">
        <w:trPr>
          <w:cantSplit/>
          <w:jc w:val="center"/>
        </w:trPr>
        <w:tc>
          <w:tcPr>
            <w:tcW w:w="9360" w:type="dxa"/>
            <w:shd w:val="clear" w:color="auto" w:fill="auto"/>
            <w:vAlign w:val="center"/>
          </w:tcPr>
          <w:p w14:paraId="61C2CF40"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 xml:space="preserve">Campo 12.0 - Quantidade (unidade de comercialização) (QTDCOM): informar qual a unidade de comercialização. </w:t>
            </w:r>
          </w:p>
        </w:tc>
      </w:tr>
      <w:tr w:rsidR="003F035B" w:rsidRPr="00395593" w14:paraId="5DE15247" w14:textId="77777777" w:rsidTr="00916A6C">
        <w:trPr>
          <w:cantSplit/>
          <w:jc w:val="center"/>
        </w:trPr>
        <w:tc>
          <w:tcPr>
            <w:tcW w:w="9360" w:type="dxa"/>
            <w:shd w:val="clear" w:color="auto" w:fill="auto"/>
            <w:vAlign w:val="center"/>
          </w:tcPr>
          <w:p w14:paraId="4D8E0EF9"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2EDF6A4E" w14:textId="77777777" w:rsidTr="00916A6C">
        <w:trPr>
          <w:cantSplit/>
          <w:jc w:val="center"/>
        </w:trPr>
        <w:tc>
          <w:tcPr>
            <w:tcW w:w="9360" w:type="dxa"/>
            <w:shd w:val="clear" w:color="auto" w:fill="auto"/>
            <w:vAlign w:val="center"/>
          </w:tcPr>
          <w:p w14:paraId="281E563F"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 xml:space="preserve">Campo 13.0 - Preço unitário bruto (PRBRUTO): informar o preço unitário bruto. Indicar em que unidade está sendo informado esse preço (R$/t ou R$/unidade de comercialização). Os descontos e os abatimentos devem ser registrados separadamente nos campos 14 e 15, respectivamente. Informar os tributos sobre vendas incluídos neste preço. </w:t>
            </w:r>
          </w:p>
        </w:tc>
      </w:tr>
      <w:tr w:rsidR="003F035B" w:rsidRPr="00395593" w14:paraId="6C62494D" w14:textId="77777777" w:rsidTr="00916A6C">
        <w:trPr>
          <w:cantSplit/>
          <w:jc w:val="center"/>
        </w:trPr>
        <w:tc>
          <w:tcPr>
            <w:tcW w:w="9360" w:type="dxa"/>
            <w:shd w:val="clear" w:color="auto" w:fill="auto"/>
            <w:vAlign w:val="center"/>
          </w:tcPr>
          <w:p w14:paraId="4BFE0DC0"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360034E3" w14:textId="77777777" w:rsidTr="00916A6C">
        <w:trPr>
          <w:cantSplit/>
          <w:jc w:val="center"/>
        </w:trPr>
        <w:tc>
          <w:tcPr>
            <w:tcW w:w="9360" w:type="dxa"/>
            <w:shd w:val="clear" w:color="auto" w:fill="auto"/>
            <w:vAlign w:val="center"/>
          </w:tcPr>
          <w:p w14:paraId="11A304EA"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Campos 14 e 15 - Somente devem ser preenchidos caso o desconto/abatimento tenha sido concedido após a emissão da fatura/nota fiscal.</w:t>
            </w:r>
          </w:p>
        </w:tc>
      </w:tr>
      <w:tr w:rsidR="003F035B" w:rsidRPr="00395593" w14:paraId="4904977B" w14:textId="77777777" w:rsidTr="00916A6C">
        <w:trPr>
          <w:cantSplit/>
          <w:jc w:val="center"/>
        </w:trPr>
        <w:tc>
          <w:tcPr>
            <w:tcW w:w="9360" w:type="dxa"/>
            <w:shd w:val="clear" w:color="auto" w:fill="auto"/>
            <w:vAlign w:val="center"/>
          </w:tcPr>
          <w:p w14:paraId="40F9C4ED"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7C93EE38" w14:textId="77777777" w:rsidTr="00916A6C">
        <w:trPr>
          <w:cantSplit/>
          <w:jc w:val="center"/>
        </w:trPr>
        <w:tc>
          <w:tcPr>
            <w:tcW w:w="9360" w:type="dxa"/>
            <w:shd w:val="clear" w:color="auto" w:fill="auto"/>
            <w:vAlign w:val="center"/>
          </w:tcPr>
          <w:p w14:paraId="50342C4A"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14.1 - Desconto para pagamento antecipado (DESPANT): caso o pagamento tenha sido antecipado em relação à previsão originalmente consignada na fatura, e, por essa razão, tenha sido concedido desconto ao comprador, informar o valor unitário (R$/t ou R$/unidade de comercialização), esclarecendo se tal desconto foi concedido na forma de crédito, desconto em vendas futuras ou em mercadoria. Explicar a política da empresa para concessão de desconto para pagamento antecipado. Caso tal desconto varie de acordo com o cliente, explicar a política adotada para cada categoria de cliente. Explicar como foi calculado o desconto unitário.</w:t>
            </w:r>
          </w:p>
        </w:tc>
      </w:tr>
      <w:tr w:rsidR="003F035B" w:rsidRPr="00395593" w14:paraId="34454518" w14:textId="77777777" w:rsidTr="00916A6C">
        <w:trPr>
          <w:cantSplit/>
          <w:jc w:val="center"/>
        </w:trPr>
        <w:tc>
          <w:tcPr>
            <w:tcW w:w="9360" w:type="dxa"/>
            <w:shd w:val="clear" w:color="auto" w:fill="auto"/>
            <w:vAlign w:val="center"/>
          </w:tcPr>
          <w:p w14:paraId="5226C44B"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0614A7E6" w14:textId="77777777" w:rsidTr="00916A6C">
        <w:trPr>
          <w:cantSplit/>
          <w:jc w:val="center"/>
        </w:trPr>
        <w:tc>
          <w:tcPr>
            <w:tcW w:w="9360" w:type="dxa"/>
            <w:shd w:val="clear" w:color="auto" w:fill="auto"/>
            <w:vAlign w:val="center"/>
          </w:tcPr>
          <w:p w14:paraId="60786702"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 xml:space="preserve">Campo 14.2 - Desconto relativo à quantidade (DESQTD): caso tenha sido concedido desconto em razão da quantidade vendida, informar o valor unitário desse desconto (R$/t ou R$/unidade de comercialização). Explicar a política da empresa para concessão de desconto relativo à quantidade, esclarecendo se tal desconto foi concedido na forma de crédito, desconto em vendas futuras ou em mercadoria. Caso tal desconto varie de acordo com o cliente, explicar a política adotada para cada categoria de cliente. Explicar como foi calculado o desconto unitário. </w:t>
            </w:r>
          </w:p>
        </w:tc>
      </w:tr>
      <w:tr w:rsidR="003F035B" w:rsidRPr="00395593" w14:paraId="19992824" w14:textId="77777777" w:rsidTr="00916A6C">
        <w:trPr>
          <w:cantSplit/>
          <w:jc w:val="center"/>
        </w:trPr>
        <w:tc>
          <w:tcPr>
            <w:tcW w:w="9360" w:type="dxa"/>
            <w:shd w:val="clear" w:color="auto" w:fill="auto"/>
            <w:vAlign w:val="center"/>
          </w:tcPr>
          <w:p w14:paraId="6179D2CF"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278B310A" w14:textId="77777777" w:rsidTr="00916A6C">
        <w:trPr>
          <w:cantSplit/>
          <w:jc w:val="center"/>
        </w:trPr>
        <w:tc>
          <w:tcPr>
            <w:tcW w:w="9360" w:type="dxa"/>
            <w:shd w:val="clear" w:color="auto" w:fill="auto"/>
            <w:vAlign w:val="center"/>
          </w:tcPr>
          <w:p w14:paraId="23A5B7DC"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 xml:space="preserve">Campo 14.(3 até n) - Outros descontos (OUTDES): informar o valor unitário (R$/t ou R$/unidade de comercialização) de qualquer outro desconto concedido ao cliente. Criar um campo separado para cada um dos descontos existentes. Cada registro na base de dados deve corresponder a uma linha da fatura/nota fiscal. Explicar a política da empresa para concessão do desconto, esclarecendo se tal desconto foi concedido na forma de crédito, desconto em vendas futuras ou em mercadoria. Caso tal desconto varie de acordo com o cliente, explicar a política adotada para cada categoria de cliente. Explicar como foi calculado o desconto unitário. </w:t>
            </w:r>
          </w:p>
        </w:tc>
      </w:tr>
      <w:tr w:rsidR="003F035B" w:rsidRPr="00395593" w14:paraId="6C97BD6E" w14:textId="77777777" w:rsidTr="00916A6C">
        <w:trPr>
          <w:cantSplit/>
          <w:jc w:val="center"/>
        </w:trPr>
        <w:tc>
          <w:tcPr>
            <w:tcW w:w="9360" w:type="dxa"/>
            <w:shd w:val="clear" w:color="auto" w:fill="auto"/>
            <w:vAlign w:val="center"/>
          </w:tcPr>
          <w:p w14:paraId="21E5165D"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22592885" w14:textId="77777777" w:rsidTr="00916A6C">
        <w:trPr>
          <w:cantSplit/>
          <w:jc w:val="center"/>
        </w:trPr>
        <w:tc>
          <w:tcPr>
            <w:tcW w:w="9360" w:type="dxa"/>
            <w:shd w:val="clear" w:color="auto" w:fill="auto"/>
            <w:vAlign w:val="center"/>
          </w:tcPr>
          <w:p w14:paraId="144B2863"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15.(1 até n) – Abatimentos (ABAT): informar o valor unitário (R$/t ou R$/unidade de comercialização) de cada abatimento concedido ao cliente. Criar um campo separado para cada um desses abatimentos. Explicar a política da empresa para a concessão de abatimentos, descrevendo cada um dos tipos. Caso os abatimentos variem de acordo com o cliente, explicar a política adotada para cada um deles.</w:t>
            </w:r>
          </w:p>
        </w:tc>
      </w:tr>
      <w:tr w:rsidR="003F035B" w:rsidRPr="00395593" w14:paraId="74AA11EB" w14:textId="77777777" w:rsidTr="00916A6C">
        <w:trPr>
          <w:cantSplit/>
          <w:jc w:val="center"/>
        </w:trPr>
        <w:tc>
          <w:tcPr>
            <w:tcW w:w="9360" w:type="dxa"/>
            <w:shd w:val="clear" w:color="auto" w:fill="auto"/>
            <w:vAlign w:val="center"/>
          </w:tcPr>
          <w:p w14:paraId="517445E4"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79332099" w14:textId="77777777" w:rsidTr="00916A6C">
        <w:trPr>
          <w:cantSplit/>
          <w:jc w:val="center"/>
        </w:trPr>
        <w:tc>
          <w:tcPr>
            <w:tcW w:w="9360" w:type="dxa"/>
            <w:shd w:val="clear" w:color="auto" w:fill="auto"/>
            <w:vAlign w:val="center"/>
          </w:tcPr>
          <w:p w14:paraId="3B7E5943"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 xml:space="preserve">Campos 16 a 18 - Apresentar as informações solicitadas envolvendo o custo direto (R$/t ou R$/unidade de comercialização) incorrido para levar a mercadoria do local de produção até local de entrega designado pelo cliente. Todos os custos diretos incorridos para transportar a mercadoria devem estar especificados nesses campos. Caso haja necessidade, a empresa poderá acrescentar outros campos. </w:t>
            </w:r>
          </w:p>
        </w:tc>
      </w:tr>
      <w:tr w:rsidR="003F035B" w:rsidRPr="00395593" w14:paraId="155DBC02" w14:textId="77777777" w:rsidTr="00916A6C">
        <w:trPr>
          <w:cantSplit/>
          <w:jc w:val="center"/>
        </w:trPr>
        <w:tc>
          <w:tcPr>
            <w:tcW w:w="9360" w:type="dxa"/>
            <w:shd w:val="clear" w:color="auto" w:fill="auto"/>
            <w:vAlign w:val="center"/>
          </w:tcPr>
          <w:p w14:paraId="397695CD"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1A606202" w14:textId="77777777" w:rsidTr="00916A6C">
        <w:trPr>
          <w:cantSplit/>
          <w:jc w:val="center"/>
        </w:trPr>
        <w:tc>
          <w:tcPr>
            <w:tcW w:w="9360" w:type="dxa"/>
            <w:shd w:val="clear" w:color="auto" w:fill="auto"/>
            <w:vAlign w:val="center"/>
          </w:tcPr>
          <w:p w14:paraId="480246BB"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 xml:space="preserve">Campo 16.0 - Frete da unidade de produção ou armazenagem para o cliente (FRETINTCLI): informar o custo unitário do frete interno da unidade de produção ao local de entrega designado pelo cliente. Quando houver necessidade de alocar o frete em função da diversidade de itens incluídos no carregamento, a alocação será efetuada na base em que o frete foi calculado (ex.: peso, volume). Descrever os meios de transporte utilizados para entregar a mercadoria aos clientes. Se não houver possibilidade de identificar o custo de cada embarque, descrever como o frete unitário foi calculado, anexando as respectivas planilhas de cálculo. Caso a empresa utilize seus próprios veículos, explicar como o custo do frete para venda foi calculado, informando o total de despesas incorridas (ex.: combustível). </w:t>
            </w:r>
          </w:p>
        </w:tc>
      </w:tr>
      <w:tr w:rsidR="003F035B" w:rsidRPr="00395593" w14:paraId="57DA79D0" w14:textId="77777777" w:rsidTr="00916A6C">
        <w:trPr>
          <w:cantSplit/>
          <w:jc w:val="center"/>
        </w:trPr>
        <w:tc>
          <w:tcPr>
            <w:tcW w:w="9360" w:type="dxa"/>
            <w:shd w:val="clear" w:color="auto" w:fill="auto"/>
            <w:vAlign w:val="center"/>
          </w:tcPr>
          <w:p w14:paraId="7E9C93AE"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11A47CD9" w14:textId="77777777" w:rsidTr="00916A6C">
        <w:trPr>
          <w:cantSplit/>
          <w:jc w:val="center"/>
        </w:trPr>
        <w:tc>
          <w:tcPr>
            <w:tcW w:w="9360" w:type="dxa"/>
            <w:shd w:val="clear" w:color="auto" w:fill="auto"/>
            <w:vAlign w:val="center"/>
          </w:tcPr>
          <w:p w14:paraId="73800749"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16.1 – Frete da unidade de produção para o local de armazenagem (FRETINT): caso a empresa incorra em despesa de frete da unidade de produção até um local de armazenagem, poderá ser informado o custo unitário desse frete.</w:t>
            </w:r>
          </w:p>
        </w:tc>
      </w:tr>
      <w:tr w:rsidR="003F035B" w:rsidRPr="00395593" w14:paraId="017E3A3C" w14:textId="77777777" w:rsidTr="00916A6C">
        <w:trPr>
          <w:cantSplit/>
          <w:jc w:val="center"/>
        </w:trPr>
        <w:tc>
          <w:tcPr>
            <w:tcW w:w="9360" w:type="dxa"/>
            <w:shd w:val="clear" w:color="auto" w:fill="auto"/>
            <w:vAlign w:val="center"/>
          </w:tcPr>
          <w:p w14:paraId="6E565816"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4B0FBE6A" w14:textId="77777777" w:rsidTr="00916A6C">
        <w:trPr>
          <w:cantSplit/>
          <w:jc w:val="center"/>
        </w:trPr>
        <w:tc>
          <w:tcPr>
            <w:tcW w:w="9360" w:type="dxa"/>
            <w:shd w:val="clear" w:color="auto" w:fill="auto"/>
            <w:vAlign w:val="center"/>
          </w:tcPr>
          <w:p w14:paraId="628CB52F"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16.2 – Despesas de armazenagem pré-venda (DARMPV): caso seja preenchido o campo 16.1, informar o custo unitário de armazenagem, esclarecendo como o custo unitário foi calculado e anexando as planilhas explicativas correspondentes.</w:t>
            </w:r>
          </w:p>
        </w:tc>
      </w:tr>
      <w:tr w:rsidR="003F035B" w:rsidRPr="00395593" w14:paraId="0BDAA210" w14:textId="77777777" w:rsidTr="00916A6C">
        <w:trPr>
          <w:cantSplit/>
          <w:jc w:val="center"/>
        </w:trPr>
        <w:tc>
          <w:tcPr>
            <w:tcW w:w="9360" w:type="dxa"/>
            <w:shd w:val="clear" w:color="auto" w:fill="auto"/>
            <w:vAlign w:val="center"/>
          </w:tcPr>
          <w:p w14:paraId="3608D4DB"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462AF16C" w14:textId="77777777" w:rsidTr="00916A6C">
        <w:trPr>
          <w:cantSplit/>
          <w:jc w:val="center"/>
        </w:trPr>
        <w:tc>
          <w:tcPr>
            <w:tcW w:w="9360" w:type="dxa"/>
            <w:shd w:val="clear" w:color="auto" w:fill="auto"/>
            <w:vAlign w:val="center"/>
          </w:tcPr>
          <w:p w14:paraId="5D8804BF"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17.0 - Seguro interno (SEGINT): informar o custo unitário do seguro interno da unidade produção/armazenagem até o local de entrega designado pelo cliente, esclarecendo como este valor foi calculado. Descrever como a empresa calculou o custo unitário do seguro.</w:t>
            </w:r>
          </w:p>
        </w:tc>
      </w:tr>
      <w:tr w:rsidR="003F035B" w:rsidRPr="00395593" w14:paraId="5E59CB4A" w14:textId="77777777" w:rsidTr="00916A6C">
        <w:trPr>
          <w:cantSplit/>
          <w:jc w:val="center"/>
        </w:trPr>
        <w:tc>
          <w:tcPr>
            <w:tcW w:w="9360" w:type="dxa"/>
            <w:shd w:val="clear" w:color="auto" w:fill="auto"/>
            <w:vAlign w:val="center"/>
          </w:tcPr>
          <w:p w14:paraId="787C947F"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56444D95" w14:textId="77777777" w:rsidTr="00916A6C">
        <w:trPr>
          <w:cantSplit/>
          <w:jc w:val="center"/>
        </w:trPr>
        <w:tc>
          <w:tcPr>
            <w:tcW w:w="9360" w:type="dxa"/>
            <w:shd w:val="clear" w:color="auto" w:fill="auto"/>
            <w:vAlign w:val="center"/>
          </w:tcPr>
          <w:p w14:paraId="35D8B92A"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18.0 – Destino (DEST): informar a unidade federativa (Estado) do destino da mercadoria (base de cálculo do ICMS).</w:t>
            </w:r>
          </w:p>
        </w:tc>
      </w:tr>
      <w:tr w:rsidR="003F035B" w:rsidRPr="00395593" w14:paraId="4DBBABC3" w14:textId="77777777" w:rsidTr="00916A6C">
        <w:trPr>
          <w:cantSplit/>
          <w:jc w:val="center"/>
        </w:trPr>
        <w:tc>
          <w:tcPr>
            <w:tcW w:w="9360" w:type="dxa"/>
            <w:shd w:val="clear" w:color="auto" w:fill="auto"/>
            <w:vAlign w:val="center"/>
          </w:tcPr>
          <w:p w14:paraId="1561385B"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63156D7C" w14:textId="77777777" w:rsidTr="00916A6C">
        <w:trPr>
          <w:cantSplit/>
          <w:jc w:val="center"/>
        </w:trPr>
        <w:tc>
          <w:tcPr>
            <w:tcW w:w="9360" w:type="dxa"/>
            <w:shd w:val="clear" w:color="auto" w:fill="auto"/>
            <w:vAlign w:val="center"/>
          </w:tcPr>
          <w:p w14:paraId="33B9343A"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19.1 – ICMS (ICM): informar o valor unitário (R$/t ou R$/unidade de comercialização).</w:t>
            </w:r>
          </w:p>
        </w:tc>
      </w:tr>
      <w:tr w:rsidR="003F035B" w:rsidRPr="00395593" w14:paraId="1227CAE5" w14:textId="77777777" w:rsidTr="00916A6C">
        <w:trPr>
          <w:cantSplit/>
          <w:jc w:val="center"/>
        </w:trPr>
        <w:tc>
          <w:tcPr>
            <w:tcW w:w="9360" w:type="dxa"/>
            <w:shd w:val="clear" w:color="auto" w:fill="auto"/>
            <w:vAlign w:val="center"/>
          </w:tcPr>
          <w:p w14:paraId="481614C6"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50239DE9" w14:textId="77777777" w:rsidTr="00916A6C">
        <w:trPr>
          <w:cantSplit/>
          <w:jc w:val="center"/>
        </w:trPr>
        <w:tc>
          <w:tcPr>
            <w:tcW w:w="9360" w:type="dxa"/>
            <w:shd w:val="clear" w:color="auto" w:fill="auto"/>
            <w:vAlign w:val="center"/>
          </w:tcPr>
          <w:p w14:paraId="1B9F7A4D"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19.2 – IPI (IPI): informar o valor unitário (R$/t ou R$/unidade de comercialização).</w:t>
            </w:r>
          </w:p>
        </w:tc>
      </w:tr>
      <w:tr w:rsidR="003F035B" w:rsidRPr="00395593" w14:paraId="6B8AEA10" w14:textId="77777777" w:rsidTr="00916A6C">
        <w:trPr>
          <w:cantSplit/>
          <w:jc w:val="center"/>
        </w:trPr>
        <w:tc>
          <w:tcPr>
            <w:tcW w:w="9360" w:type="dxa"/>
            <w:shd w:val="clear" w:color="auto" w:fill="auto"/>
            <w:vAlign w:val="center"/>
          </w:tcPr>
          <w:p w14:paraId="016DC77E"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4B361A6A" w14:textId="77777777" w:rsidTr="00916A6C">
        <w:trPr>
          <w:cantSplit/>
          <w:jc w:val="center"/>
        </w:trPr>
        <w:tc>
          <w:tcPr>
            <w:tcW w:w="9360" w:type="dxa"/>
            <w:shd w:val="clear" w:color="auto" w:fill="auto"/>
            <w:vAlign w:val="center"/>
          </w:tcPr>
          <w:p w14:paraId="4B4257FB"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19.3 – PIS (PIS): informar o valor unitário (R$/t ou R$/unidade de comercialização).</w:t>
            </w:r>
          </w:p>
        </w:tc>
      </w:tr>
      <w:tr w:rsidR="003F035B" w:rsidRPr="00395593" w14:paraId="1DDF7557" w14:textId="77777777" w:rsidTr="00916A6C">
        <w:trPr>
          <w:cantSplit/>
          <w:jc w:val="center"/>
        </w:trPr>
        <w:tc>
          <w:tcPr>
            <w:tcW w:w="9360" w:type="dxa"/>
            <w:shd w:val="clear" w:color="auto" w:fill="auto"/>
            <w:vAlign w:val="center"/>
          </w:tcPr>
          <w:p w14:paraId="75A0335D" w14:textId="77777777" w:rsidR="003F035B" w:rsidRPr="00764201" w:rsidRDefault="003F035B" w:rsidP="00E33E26">
            <w:pPr>
              <w:pStyle w:val="TextosemFormatao"/>
              <w:jc w:val="both"/>
              <w:rPr>
                <w:rFonts w:ascii="Garamond" w:hAnsi="Garamond" w:cs="Calibri"/>
                <w:color w:val="000000"/>
                <w:sz w:val="24"/>
                <w:szCs w:val="24"/>
              </w:rPr>
            </w:pPr>
          </w:p>
        </w:tc>
      </w:tr>
      <w:tr w:rsidR="003F035B" w:rsidRPr="00395593" w14:paraId="02DA88CC" w14:textId="77777777" w:rsidTr="00916A6C">
        <w:trPr>
          <w:cantSplit/>
          <w:jc w:val="center"/>
        </w:trPr>
        <w:tc>
          <w:tcPr>
            <w:tcW w:w="9360" w:type="dxa"/>
            <w:shd w:val="clear" w:color="auto" w:fill="auto"/>
            <w:vAlign w:val="center"/>
          </w:tcPr>
          <w:p w14:paraId="20A55C81" w14:textId="77777777" w:rsidR="003F035B" w:rsidRPr="00764201" w:rsidRDefault="003F035B" w:rsidP="00E33E26">
            <w:pPr>
              <w:pStyle w:val="TextosemFormatao"/>
              <w:jc w:val="both"/>
              <w:rPr>
                <w:rFonts w:ascii="Garamond" w:hAnsi="Garamond" w:cs="Calibri"/>
                <w:color w:val="000000"/>
                <w:sz w:val="24"/>
                <w:szCs w:val="24"/>
              </w:rPr>
            </w:pPr>
            <w:r w:rsidRPr="00764201">
              <w:rPr>
                <w:rFonts w:ascii="Garamond" w:hAnsi="Garamond" w:cs="Calibri"/>
                <w:color w:val="000000"/>
                <w:sz w:val="24"/>
                <w:szCs w:val="24"/>
              </w:rPr>
              <w:t>Campo 19.4 – COFINS (COFINS): informar o valor unitário (R$/t ou R$/unidade de comercialização).</w:t>
            </w:r>
          </w:p>
        </w:tc>
      </w:tr>
    </w:tbl>
    <w:p w14:paraId="1AD98088" w14:textId="5EAE5D10" w:rsidR="00E472F3" w:rsidRDefault="00E472F3" w:rsidP="00E33E26">
      <w:pPr>
        <w:rPr>
          <w:rFonts w:ascii="Garamond" w:hAnsi="Garamond"/>
        </w:rPr>
      </w:pPr>
    </w:p>
    <w:p w14:paraId="62350F18" w14:textId="77777777" w:rsidR="00963B0C" w:rsidRPr="00395593" w:rsidRDefault="00963B0C" w:rsidP="00E33E26">
      <w:pPr>
        <w:rPr>
          <w:rFonts w:ascii="Garamond" w:hAnsi="Garamond"/>
        </w:rPr>
      </w:pPr>
    </w:p>
    <w:p w14:paraId="1976F386" w14:textId="77777777" w:rsidR="00C50B0C" w:rsidRDefault="00C50B0C">
      <w:r>
        <w:br w:type="page"/>
      </w:r>
    </w:p>
    <w:tbl>
      <w:tblPr>
        <w:tblW w:w="9796" w:type="dxa"/>
        <w:tblInd w:w="70" w:type="dxa"/>
        <w:tblCellMar>
          <w:left w:w="70" w:type="dxa"/>
          <w:right w:w="70" w:type="dxa"/>
        </w:tblCellMar>
        <w:tblLook w:val="04A0" w:firstRow="1" w:lastRow="0" w:firstColumn="1" w:lastColumn="0" w:noHBand="0" w:noVBand="1"/>
      </w:tblPr>
      <w:tblGrid>
        <w:gridCol w:w="9796"/>
      </w:tblGrid>
      <w:tr w:rsidR="00963B0C" w:rsidRPr="00963B0C" w14:paraId="48E1FB69" w14:textId="77777777" w:rsidTr="00916A6C">
        <w:trPr>
          <w:trHeight w:val="300"/>
        </w:trPr>
        <w:tc>
          <w:tcPr>
            <w:tcW w:w="9796" w:type="dxa"/>
            <w:tcBorders>
              <w:top w:val="nil"/>
              <w:left w:val="nil"/>
              <w:bottom w:val="nil"/>
              <w:right w:val="nil"/>
            </w:tcBorders>
            <w:shd w:val="clear" w:color="auto" w:fill="auto"/>
            <w:noWrap/>
            <w:vAlign w:val="bottom"/>
            <w:hideMark/>
          </w:tcPr>
          <w:p w14:paraId="22E867C7" w14:textId="478020CB"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APÊNDICE VIII</w:t>
            </w:r>
          </w:p>
        </w:tc>
      </w:tr>
      <w:tr w:rsidR="00963B0C" w:rsidRPr="00963B0C" w14:paraId="0505C507" w14:textId="77777777" w:rsidTr="00916A6C">
        <w:trPr>
          <w:trHeight w:val="300"/>
        </w:trPr>
        <w:tc>
          <w:tcPr>
            <w:tcW w:w="9796" w:type="dxa"/>
            <w:tcBorders>
              <w:top w:val="nil"/>
              <w:left w:val="nil"/>
              <w:bottom w:val="nil"/>
              <w:right w:val="nil"/>
            </w:tcBorders>
            <w:shd w:val="clear" w:color="auto" w:fill="auto"/>
            <w:noWrap/>
            <w:vAlign w:val="bottom"/>
            <w:hideMark/>
          </w:tcPr>
          <w:p w14:paraId="2076B4E0"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CAPACIDADE INSTALADA</w:t>
            </w:r>
          </w:p>
        </w:tc>
      </w:tr>
    </w:tbl>
    <w:p w14:paraId="4964543E" w14:textId="77777777" w:rsidR="00963B0C" w:rsidRPr="00963B0C" w:rsidRDefault="00963B0C" w:rsidP="00963B0C">
      <w:pPr>
        <w:spacing w:after="0" w:line="240" w:lineRule="auto"/>
        <w:jc w:val="center"/>
        <w:rPr>
          <w:rFonts w:ascii="Garamond" w:eastAsia="Calibri" w:hAnsi="Garamond" w:cs="Calibri"/>
          <w:sz w:val="24"/>
          <w:szCs w:val="24"/>
        </w:rPr>
      </w:pPr>
    </w:p>
    <w:tbl>
      <w:tblPr>
        <w:tblW w:w="9780" w:type="dxa"/>
        <w:tblInd w:w="70" w:type="dxa"/>
        <w:tblCellMar>
          <w:left w:w="70" w:type="dxa"/>
          <w:right w:w="70" w:type="dxa"/>
        </w:tblCellMar>
        <w:tblLook w:val="04A0" w:firstRow="1" w:lastRow="0" w:firstColumn="1" w:lastColumn="0" w:noHBand="0" w:noVBand="1"/>
      </w:tblPr>
      <w:tblGrid>
        <w:gridCol w:w="424"/>
        <w:gridCol w:w="1340"/>
        <w:gridCol w:w="1334"/>
        <w:gridCol w:w="1334"/>
        <w:gridCol w:w="1340"/>
        <w:gridCol w:w="1340"/>
        <w:gridCol w:w="1334"/>
        <w:gridCol w:w="1334"/>
      </w:tblGrid>
      <w:tr w:rsidR="00963B0C" w:rsidRPr="00963B0C" w14:paraId="18884861" w14:textId="77777777" w:rsidTr="00916A6C">
        <w:trPr>
          <w:trHeight w:val="705"/>
        </w:trPr>
        <w:tc>
          <w:tcPr>
            <w:tcW w:w="416" w:type="dxa"/>
            <w:tcBorders>
              <w:top w:val="nil"/>
              <w:left w:val="nil"/>
              <w:bottom w:val="nil"/>
              <w:right w:val="nil"/>
            </w:tcBorders>
            <w:shd w:val="clear" w:color="auto" w:fill="auto"/>
            <w:noWrap/>
            <w:vAlign w:val="bottom"/>
            <w:hideMark/>
          </w:tcPr>
          <w:p w14:paraId="290098EE" w14:textId="77777777" w:rsidR="00963B0C" w:rsidRPr="00963B0C" w:rsidRDefault="00963B0C" w:rsidP="00963B0C">
            <w:pPr>
              <w:spacing w:after="0" w:line="240" w:lineRule="auto"/>
              <w:rPr>
                <w:rFonts w:ascii="Garamond" w:eastAsia="Times New Roman" w:hAnsi="Garamond" w:cs="Calibri"/>
                <w:b/>
                <w:color w:val="000000"/>
                <w:sz w:val="24"/>
                <w:szCs w:val="24"/>
                <w:lang w:eastAsia="pt-BR"/>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7A41A"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FF0000"/>
                <w:sz w:val="24"/>
                <w:szCs w:val="24"/>
                <w:lang w:eastAsia="pt-BR"/>
              </w:rPr>
              <w:t xml:space="preserve">Empresa </w:t>
            </w:r>
          </w:p>
        </w:tc>
        <w:tc>
          <w:tcPr>
            <w:tcW w:w="2672" w:type="dxa"/>
            <w:gridSpan w:val="2"/>
            <w:tcBorders>
              <w:top w:val="single" w:sz="4" w:space="0" w:color="auto"/>
              <w:left w:val="nil"/>
              <w:bottom w:val="single" w:sz="4" w:space="0" w:color="auto"/>
              <w:right w:val="single" w:sz="4" w:space="0" w:color="000000"/>
            </w:tcBorders>
            <w:shd w:val="clear" w:color="auto" w:fill="auto"/>
            <w:vAlign w:val="center"/>
            <w:hideMark/>
          </w:tcPr>
          <w:p w14:paraId="355F316B"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 xml:space="preserve"> Capacidade Instalada de Produção </w:t>
            </w:r>
          </w:p>
        </w:tc>
        <w:tc>
          <w:tcPr>
            <w:tcW w:w="2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F7A3A6"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 xml:space="preserve"> Produção </w:t>
            </w:r>
          </w:p>
        </w:tc>
        <w:tc>
          <w:tcPr>
            <w:tcW w:w="2672" w:type="dxa"/>
            <w:gridSpan w:val="2"/>
            <w:tcBorders>
              <w:top w:val="single" w:sz="4" w:space="0" w:color="auto"/>
              <w:left w:val="nil"/>
              <w:bottom w:val="single" w:sz="4" w:space="0" w:color="auto"/>
              <w:right w:val="single" w:sz="4" w:space="0" w:color="auto"/>
            </w:tcBorders>
            <w:shd w:val="clear" w:color="auto" w:fill="auto"/>
            <w:vAlign w:val="center"/>
            <w:hideMark/>
          </w:tcPr>
          <w:p w14:paraId="7A4DDF9B"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Grau de Utilização da Capacidade Instalada</w:t>
            </w:r>
          </w:p>
        </w:tc>
      </w:tr>
      <w:tr w:rsidR="00963B0C" w:rsidRPr="00963B0C" w14:paraId="51D646C7" w14:textId="77777777" w:rsidTr="00916A6C">
        <w:trPr>
          <w:trHeight w:val="720"/>
        </w:trPr>
        <w:tc>
          <w:tcPr>
            <w:tcW w:w="416" w:type="dxa"/>
            <w:tcBorders>
              <w:top w:val="nil"/>
              <w:left w:val="nil"/>
              <w:bottom w:val="nil"/>
              <w:right w:val="nil"/>
            </w:tcBorders>
            <w:shd w:val="clear" w:color="auto" w:fill="auto"/>
            <w:noWrap/>
            <w:vAlign w:val="bottom"/>
            <w:hideMark/>
          </w:tcPr>
          <w:p w14:paraId="3F4D6983" w14:textId="77777777" w:rsidR="00963B0C" w:rsidRPr="00963B0C" w:rsidRDefault="00963B0C" w:rsidP="00963B0C">
            <w:pPr>
              <w:spacing w:after="0" w:line="240" w:lineRule="auto"/>
              <w:rPr>
                <w:rFonts w:ascii="Garamond" w:eastAsia="Times New Roman" w:hAnsi="Garamond" w:cs="Calibri"/>
                <w:color w:val="000000"/>
                <w:sz w:val="24"/>
                <w:szCs w:val="24"/>
                <w:lang w:eastAsia="pt-BR"/>
              </w:rPr>
            </w:pP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7D589E1" w14:textId="77777777" w:rsidR="00963B0C" w:rsidRPr="00963B0C" w:rsidRDefault="00963B0C" w:rsidP="00963B0C">
            <w:pPr>
              <w:spacing w:after="0" w:line="240" w:lineRule="auto"/>
              <w:jc w:val="center"/>
              <w:rPr>
                <w:rFonts w:ascii="Garamond" w:eastAsia="Times New Roman" w:hAnsi="Garamond" w:cs="Calibri"/>
                <w:b/>
                <w:color w:val="FF0000"/>
                <w:sz w:val="24"/>
                <w:szCs w:val="24"/>
                <w:lang w:eastAsia="pt-BR"/>
              </w:rPr>
            </w:pPr>
            <w:r w:rsidRPr="00963B0C">
              <w:rPr>
                <w:rFonts w:ascii="Garamond" w:eastAsia="Times New Roman" w:hAnsi="Garamond" w:cs="Calibri"/>
                <w:b/>
                <w:color w:val="FF0000"/>
                <w:sz w:val="24"/>
                <w:szCs w:val="24"/>
                <w:lang w:eastAsia="pt-BR"/>
              </w:rPr>
              <w:t>Linha de Produção / Planta</w:t>
            </w:r>
          </w:p>
        </w:tc>
        <w:tc>
          <w:tcPr>
            <w:tcW w:w="1336" w:type="dxa"/>
            <w:tcBorders>
              <w:top w:val="nil"/>
              <w:left w:val="nil"/>
              <w:bottom w:val="single" w:sz="4" w:space="0" w:color="auto"/>
              <w:right w:val="single" w:sz="4" w:space="0" w:color="auto"/>
            </w:tcBorders>
            <w:shd w:val="clear" w:color="auto" w:fill="auto"/>
            <w:vAlign w:val="center"/>
            <w:hideMark/>
          </w:tcPr>
          <w:p w14:paraId="7617348F"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 xml:space="preserve"> Nominal </w:t>
            </w:r>
          </w:p>
        </w:tc>
        <w:tc>
          <w:tcPr>
            <w:tcW w:w="1336" w:type="dxa"/>
            <w:tcBorders>
              <w:top w:val="nil"/>
              <w:left w:val="nil"/>
              <w:bottom w:val="single" w:sz="4" w:space="0" w:color="auto"/>
              <w:right w:val="single" w:sz="4" w:space="0" w:color="auto"/>
            </w:tcBorders>
            <w:shd w:val="clear" w:color="auto" w:fill="auto"/>
            <w:vAlign w:val="center"/>
            <w:hideMark/>
          </w:tcPr>
          <w:p w14:paraId="73483826"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 xml:space="preserve"> Efetiva </w:t>
            </w:r>
          </w:p>
        </w:tc>
        <w:tc>
          <w:tcPr>
            <w:tcW w:w="1340" w:type="dxa"/>
            <w:tcBorders>
              <w:top w:val="nil"/>
              <w:left w:val="nil"/>
              <w:bottom w:val="single" w:sz="4" w:space="0" w:color="auto"/>
              <w:right w:val="single" w:sz="4" w:space="0" w:color="auto"/>
            </w:tcBorders>
            <w:shd w:val="clear" w:color="auto" w:fill="auto"/>
            <w:vAlign w:val="center"/>
            <w:hideMark/>
          </w:tcPr>
          <w:p w14:paraId="349F00B8"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 xml:space="preserve"> Produto Similar Doméstico </w:t>
            </w:r>
          </w:p>
        </w:tc>
        <w:tc>
          <w:tcPr>
            <w:tcW w:w="1340" w:type="dxa"/>
            <w:tcBorders>
              <w:top w:val="nil"/>
              <w:left w:val="nil"/>
              <w:bottom w:val="single" w:sz="4" w:space="0" w:color="auto"/>
              <w:right w:val="single" w:sz="4" w:space="0" w:color="auto"/>
            </w:tcBorders>
            <w:shd w:val="clear" w:color="auto" w:fill="auto"/>
            <w:vAlign w:val="center"/>
            <w:hideMark/>
          </w:tcPr>
          <w:p w14:paraId="52EB5082"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 xml:space="preserve"> Outros </w:t>
            </w:r>
          </w:p>
        </w:tc>
        <w:tc>
          <w:tcPr>
            <w:tcW w:w="1336" w:type="dxa"/>
            <w:tcBorders>
              <w:top w:val="nil"/>
              <w:left w:val="nil"/>
              <w:bottom w:val="single" w:sz="4" w:space="0" w:color="auto"/>
              <w:right w:val="single" w:sz="4" w:space="0" w:color="auto"/>
            </w:tcBorders>
            <w:shd w:val="clear" w:color="auto" w:fill="auto"/>
            <w:vAlign w:val="center"/>
            <w:hideMark/>
          </w:tcPr>
          <w:p w14:paraId="287C77E0"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Nominal</w:t>
            </w:r>
          </w:p>
        </w:tc>
        <w:tc>
          <w:tcPr>
            <w:tcW w:w="1336" w:type="dxa"/>
            <w:tcBorders>
              <w:top w:val="nil"/>
              <w:left w:val="nil"/>
              <w:bottom w:val="single" w:sz="4" w:space="0" w:color="auto"/>
              <w:right w:val="single" w:sz="4" w:space="0" w:color="auto"/>
            </w:tcBorders>
            <w:shd w:val="clear" w:color="auto" w:fill="auto"/>
            <w:vAlign w:val="center"/>
            <w:hideMark/>
          </w:tcPr>
          <w:p w14:paraId="4A0F8E63"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Efetiva</w:t>
            </w:r>
          </w:p>
        </w:tc>
      </w:tr>
      <w:tr w:rsidR="00963B0C" w:rsidRPr="00963B0C" w14:paraId="301A5F5A" w14:textId="77777777" w:rsidTr="00916A6C">
        <w:trPr>
          <w:trHeight w:val="480"/>
        </w:trPr>
        <w:tc>
          <w:tcPr>
            <w:tcW w:w="41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4661FD4"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Período</w:t>
            </w:r>
          </w:p>
        </w:tc>
        <w:tc>
          <w:tcPr>
            <w:tcW w:w="1340" w:type="dxa"/>
            <w:tcBorders>
              <w:top w:val="nil"/>
              <w:left w:val="nil"/>
              <w:bottom w:val="single" w:sz="4" w:space="0" w:color="auto"/>
              <w:right w:val="single" w:sz="4" w:space="0" w:color="auto"/>
            </w:tcBorders>
            <w:shd w:val="clear" w:color="auto" w:fill="auto"/>
            <w:vAlign w:val="center"/>
            <w:hideMark/>
          </w:tcPr>
          <w:p w14:paraId="7CDFD231"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P1</w:t>
            </w:r>
          </w:p>
        </w:tc>
        <w:tc>
          <w:tcPr>
            <w:tcW w:w="1336" w:type="dxa"/>
            <w:tcBorders>
              <w:top w:val="nil"/>
              <w:left w:val="nil"/>
              <w:bottom w:val="nil"/>
              <w:right w:val="nil"/>
            </w:tcBorders>
            <w:shd w:val="clear" w:color="auto" w:fill="auto"/>
            <w:vAlign w:val="center"/>
            <w:hideMark/>
          </w:tcPr>
          <w:p w14:paraId="318F9B43"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single" w:sz="4" w:space="0" w:color="auto"/>
              <w:bottom w:val="nil"/>
              <w:right w:val="single" w:sz="4" w:space="0" w:color="auto"/>
            </w:tcBorders>
            <w:shd w:val="clear" w:color="auto" w:fill="auto"/>
            <w:vAlign w:val="center"/>
            <w:hideMark/>
          </w:tcPr>
          <w:p w14:paraId="6D441DBF"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r w:rsidRPr="00963B0C">
              <w:rPr>
                <w:rFonts w:ascii="Garamond" w:eastAsia="Times New Roman" w:hAnsi="Garamond" w:cs="Calibri"/>
                <w:color w:val="000000"/>
                <w:sz w:val="24"/>
                <w:szCs w:val="24"/>
                <w:lang w:eastAsia="pt-BR"/>
              </w:rPr>
              <w:t> </w:t>
            </w:r>
          </w:p>
        </w:tc>
        <w:tc>
          <w:tcPr>
            <w:tcW w:w="1340" w:type="dxa"/>
            <w:tcBorders>
              <w:top w:val="nil"/>
              <w:left w:val="nil"/>
              <w:bottom w:val="nil"/>
              <w:right w:val="single" w:sz="4" w:space="0" w:color="auto"/>
            </w:tcBorders>
            <w:shd w:val="clear" w:color="auto" w:fill="auto"/>
            <w:vAlign w:val="center"/>
            <w:hideMark/>
          </w:tcPr>
          <w:p w14:paraId="6936225E"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r w:rsidRPr="00963B0C">
              <w:rPr>
                <w:rFonts w:ascii="Garamond" w:eastAsia="Times New Roman" w:hAnsi="Garamond" w:cs="Calibri"/>
                <w:color w:val="000000"/>
                <w:sz w:val="24"/>
                <w:szCs w:val="24"/>
                <w:lang w:eastAsia="pt-BR"/>
              </w:rPr>
              <w:t> </w:t>
            </w:r>
          </w:p>
        </w:tc>
        <w:tc>
          <w:tcPr>
            <w:tcW w:w="1340" w:type="dxa"/>
            <w:tcBorders>
              <w:top w:val="nil"/>
              <w:left w:val="nil"/>
              <w:bottom w:val="nil"/>
              <w:right w:val="single" w:sz="4" w:space="0" w:color="auto"/>
            </w:tcBorders>
            <w:shd w:val="clear" w:color="auto" w:fill="auto"/>
            <w:vAlign w:val="center"/>
          </w:tcPr>
          <w:p w14:paraId="5CD16543"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nil"/>
              <w:bottom w:val="nil"/>
              <w:right w:val="single" w:sz="4" w:space="0" w:color="auto"/>
            </w:tcBorders>
            <w:shd w:val="clear" w:color="000000" w:fill="F2F2F2"/>
            <w:vAlign w:val="center"/>
          </w:tcPr>
          <w:p w14:paraId="68269181"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p>
        </w:tc>
        <w:tc>
          <w:tcPr>
            <w:tcW w:w="1336" w:type="dxa"/>
            <w:tcBorders>
              <w:top w:val="nil"/>
              <w:left w:val="nil"/>
              <w:bottom w:val="nil"/>
              <w:right w:val="single" w:sz="4" w:space="0" w:color="auto"/>
            </w:tcBorders>
            <w:shd w:val="clear" w:color="000000" w:fill="F2F2F2"/>
            <w:vAlign w:val="center"/>
          </w:tcPr>
          <w:p w14:paraId="2AA8FDB9"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p>
        </w:tc>
      </w:tr>
      <w:tr w:rsidR="00963B0C" w:rsidRPr="00963B0C" w14:paraId="06F0DFAC" w14:textId="77777777" w:rsidTr="00916A6C">
        <w:trPr>
          <w:trHeight w:val="480"/>
        </w:trPr>
        <w:tc>
          <w:tcPr>
            <w:tcW w:w="416" w:type="dxa"/>
            <w:vMerge/>
            <w:tcBorders>
              <w:top w:val="single" w:sz="4" w:space="0" w:color="auto"/>
              <w:left w:val="single" w:sz="4" w:space="0" w:color="auto"/>
              <w:bottom w:val="single" w:sz="4" w:space="0" w:color="000000"/>
              <w:right w:val="single" w:sz="4" w:space="0" w:color="auto"/>
            </w:tcBorders>
            <w:vAlign w:val="center"/>
            <w:hideMark/>
          </w:tcPr>
          <w:p w14:paraId="7EC8BB8F" w14:textId="77777777" w:rsidR="00963B0C" w:rsidRPr="00963B0C" w:rsidRDefault="00963B0C" w:rsidP="00963B0C">
            <w:pPr>
              <w:spacing w:after="0" w:line="240" w:lineRule="auto"/>
              <w:rPr>
                <w:rFonts w:ascii="Garamond" w:eastAsia="Times New Roman" w:hAnsi="Garamond" w:cs="Calibri"/>
                <w:b/>
                <w:color w:val="000000"/>
                <w:sz w:val="24"/>
                <w:szCs w:val="24"/>
                <w:lang w:eastAsia="pt-BR"/>
              </w:rPr>
            </w:pPr>
          </w:p>
        </w:tc>
        <w:tc>
          <w:tcPr>
            <w:tcW w:w="1340" w:type="dxa"/>
            <w:tcBorders>
              <w:top w:val="nil"/>
              <w:left w:val="nil"/>
              <w:bottom w:val="single" w:sz="4" w:space="0" w:color="auto"/>
              <w:right w:val="single" w:sz="4" w:space="0" w:color="auto"/>
            </w:tcBorders>
            <w:shd w:val="clear" w:color="auto" w:fill="auto"/>
            <w:vAlign w:val="center"/>
            <w:hideMark/>
          </w:tcPr>
          <w:p w14:paraId="75D0622B"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P2</w:t>
            </w:r>
          </w:p>
        </w:tc>
        <w:tc>
          <w:tcPr>
            <w:tcW w:w="1336" w:type="dxa"/>
            <w:tcBorders>
              <w:top w:val="nil"/>
              <w:left w:val="nil"/>
              <w:bottom w:val="nil"/>
              <w:right w:val="nil"/>
            </w:tcBorders>
            <w:shd w:val="clear" w:color="auto" w:fill="auto"/>
            <w:vAlign w:val="center"/>
            <w:hideMark/>
          </w:tcPr>
          <w:p w14:paraId="56530A53"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single" w:sz="4" w:space="0" w:color="auto"/>
              <w:bottom w:val="nil"/>
              <w:right w:val="single" w:sz="4" w:space="0" w:color="auto"/>
            </w:tcBorders>
            <w:shd w:val="clear" w:color="auto" w:fill="auto"/>
            <w:vAlign w:val="center"/>
            <w:hideMark/>
          </w:tcPr>
          <w:p w14:paraId="4ABFF1FC"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r w:rsidRPr="00963B0C">
              <w:rPr>
                <w:rFonts w:ascii="Garamond" w:eastAsia="Times New Roman" w:hAnsi="Garamond" w:cs="Calibri"/>
                <w:color w:val="000000"/>
                <w:sz w:val="24"/>
                <w:szCs w:val="24"/>
                <w:lang w:eastAsia="pt-BR"/>
              </w:rPr>
              <w:t> </w:t>
            </w:r>
          </w:p>
        </w:tc>
        <w:tc>
          <w:tcPr>
            <w:tcW w:w="1340" w:type="dxa"/>
            <w:tcBorders>
              <w:top w:val="nil"/>
              <w:left w:val="nil"/>
              <w:bottom w:val="nil"/>
              <w:right w:val="single" w:sz="4" w:space="0" w:color="auto"/>
            </w:tcBorders>
            <w:shd w:val="clear" w:color="auto" w:fill="auto"/>
            <w:vAlign w:val="center"/>
            <w:hideMark/>
          </w:tcPr>
          <w:p w14:paraId="40B33699"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r w:rsidRPr="00963B0C">
              <w:rPr>
                <w:rFonts w:ascii="Garamond" w:eastAsia="Times New Roman" w:hAnsi="Garamond" w:cs="Calibri"/>
                <w:color w:val="000000"/>
                <w:sz w:val="24"/>
                <w:szCs w:val="24"/>
                <w:lang w:eastAsia="pt-BR"/>
              </w:rPr>
              <w:t> </w:t>
            </w:r>
          </w:p>
        </w:tc>
        <w:tc>
          <w:tcPr>
            <w:tcW w:w="1340" w:type="dxa"/>
            <w:tcBorders>
              <w:top w:val="nil"/>
              <w:left w:val="nil"/>
              <w:bottom w:val="nil"/>
              <w:right w:val="single" w:sz="4" w:space="0" w:color="auto"/>
            </w:tcBorders>
            <w:shd w:val="clear" w:color="auto" w:fill="auto"/>
            <w:vAlign w:val="center"/>
          </w:tcPr>
          <w:p w14:paraId="3642748F"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nil"/>
              <w:bottom w:val="nil"/>
              <w:right w:val="single" w:sz="4" w:space="0" w:color="auto"/>
            </w:tcBorders>
            <w:shd w:val="clear" w:color="000000" w:fill="F2F2F2"/>
            <w:vAlign w:val="center"/>
          </w:tcPr>
          <w:p w14:paraId="2E7E57C9"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p>
        </w:tc>
        <w:tc>
          <w:tcPr>
            <w:tcW w:w="1336" w:type="dxa"/>
            <w:tcBorders>
              <w:top w:val="nil"/>
              <w:left w:val="nil"/>
              <w:bottom w:val="nil"/>
              <w:right w:val="single" w:sz="4" w:space="0" w:color="auto"/>
            </w:tcBorders>
            <w:shd w:val="clear" w:color="000000" w:fill="F2F2F2"/>
            <w:vAlign w:val="center"/>
          </w:tcPr>
          <w:p w14:paraId="3FFA7896"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p>
        </w:tc>
      </w:tr>
      <w:tr w:rsidR="00963B0C" w:rsidRPr="00963B0C" w14:paraId="466135FC" w14:textId="77777777" w:rsidTr="00916A6C">
        <w:trPr>
          <w:trHeight w:val="480"/>
        </w:trPr>
        <w:tc>
          <w:tcPr>
            <w:tcW w:w="416" w:type="dxa"/>
            <w:vMerge/>
            <w:tcBorders>
              <w:top w:val="single" w:sz="4" w:space="0" w:color="auto"/>
              <w:left w:val="single" w:sz="4" w:space="0" w:color="auto"/>
              <w:bottom w:val="single" w:sz="4" w:space="0" w:color="000000"/>
              <w:right w:val="single" w:sz="4" w:space="0" w:color="auto"/>
            </w:tcBorders>
            <w:vAlign w:val="center"/>
            <w:hideMark/>
          </w:tcPr>
          <w:p w14:paraId="61C18068" w14:textId="77777777" w:rsidR="00963B0C" w:rsidRPr="00963B0C" w:rsidRDefault="00963B0C" w:rsidP="00963B0C">
            <w:pPr>
              <w:spacing w:after="0" w:line="240" w:lineRule="auto"/>
              <w:rPr>
                <w:rFonts w:ascii="Garamond" w:eastAsia="Times New Roman" w:hAnsi="Garamond" w:cs="Calibri"/>
                <w:b/>
                <w:color w:val="000000"/>
                <w:sz w:val="24"/>
                <w:szCs w:val="24"/>
                <w:lang w:eastAsia="pt-BR"/>
              </w:rPr>
            </w:pPr>
          </w:p>
        </w:tc>
        <w:tc>
          <w:tcPr>
            <w:tcW w:w="1340" w:type="dxa"/>
            <w:tcBorders>
              <w:top w:val="nil"/>
              <w:left w:val="nil"/>
              <w:bottom w:val="single" w:sz="4" w:space="0" w:color="auto"/>
              <w:right w:val="single" w:sz="4" w:space="0" w:color="auto"/>
            </w:tcBorders>
            <w:shd w:val="clear" w:color="auto" w:fill="auto"/>
            <w:vAlign w:val="center"/>
            <w:hideMark/>
          </w:tcPr>
          <w:p w14:paraId="5767F517"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P3</w:t>
            </w:r>
          </w:p>
        </w:tc>
        <w:tc>
          <w:tcPr>
            <w:tcW w:w="1336" w:type="dxa"/>
            <w:tcBorders>
              <w:top w:val="nil"/>
              <w:left w:val="nil"/>
              <w:bottom w:val="nil"/>
              <w:right w:val="nil"/>
            </w:tcBorders>
            <w:shd w:val="clear" w:color="auto" w:fill="auto"/>
            <w:vAlign w:val="center"/>
            <w:hideMark/>
          </w:tcPr>
          <w:p w14:paraId="4A324EFE"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single" w:sz="4" w:space="0" w:color="auto"/>
              <w:bottom w:val="nil"/>
              <w:right w:val="single" w:sz="4" w:space="0" w:color="auto"/>
            </w:tcBorders>
            <w:shd w:val="clear" w:color="auto" w:fill="auto"/>
            <w:vAlign w:val="center"/>
            <w:hideMark/>
          </w:tcPr>
          <w:p w14:paraId="070D45BC"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r w:rsidRPr="00963B0C">
              <w:rPr>
                <w:rFonts w:ascii="Garamond" w:eastAsia="Times New Roman" w:hAnsi="Garamond" w:cs="Calibri"/>
                <w:color w:val="000000"/>
                <w:sz w:val="24"/>
                <w:szCs w:val="24"/>
                <w:lang w:eastAsia="pt-BR"/>
              </w:rPr>
              <w:t> </w:t>
            </w:r>
          </w:p>
        </w:tc>
        <w:tc>
          <w:tcPr>
            <w:tcW w:w="1340" w:type="dxa"/>
            <w:tcBorders>
              <w:top w:val="nil"/>
              <w:left w:val="nil"/>
              <w:bottom w:val="nil"/>
              <w:right w:val="single" w:sz="4" w:space="0" w:color="auto"/>
            </w:tcBorders>
            <w:shd w:val="clear" w:color="auto" w:fill="auto"/>
            <w:vAlign w:val="center"/>
            <w:hideMark/>
          </w:tcPr>
          <w:p w14:paraId="23390082"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r w:rsidRPr="00963B0C">
              <w:rPr>
                <w:rFonts w:ascii="Garamond" w:eastAsia="Times New Roman" w:hAnsi="Garamond" w:cs="Calibri"/>
                <w:color w:val="000000"/>
                <w:sz w:val="24"/>
                <w:szCs w:val="24"/>
                <w:lang w:eastAsia="pt-BR"/>
              </w:rPr>
              <w:t> </w:t>
            </w:r>
          </w:p>
        </w:tc>
        <w:tc>
          <w:tcPr>
            <w:tcW w:w="1340" w:type="dxa"/>
            <w:tcBorders>
              <w:top w:val="nil"/>
              <w:left w:val="nil"/>
              <w:bottom w:val="nil"/>
              <w:right w:val="single" w:sz="4" w:space="0" w:color="auto"/>
            </w:tcBorders>
            <w:shd w:val="clear" w:color="auto" w:fill="auto"/>
            <w:vAlign w:val="center"/>
          </w:tcPr>
          <w:p w14:paraId="5CD55271"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nil"/>
              <w:bottom w:val="nil"/>
              <w:right w:val="single" w:sz="4" w:space="0" w:color="auto"/>
            </w:tcBorders>
            <w:shd w:val="clear" w:color="000000" w:fill="F2F2F2"/>
            <w:vAlign w:val="center"/>
          </w:tcPr>
          <w:p w14:paraId="7EC8A35F"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p>
        </w:tc>
        <w:tc>
          <w:tcPr>
            <w:tcW w:w="1336" w:type="dxa"/>
            <w:tcBorders>
              <w:top w:val="nil"/>
              <w:left w:val="nil"/>
              <w:bottom w:val="nil"/>
              <w:right w:val="single" w:sz="4" w:space="0" w:color="auto"/>
            </w:tcBorders>
            <w:shd w:val="clear" w:color="000000" w:fill="F2F2F2"/>
            <w:vAlign w:val="center"/>
          </w:tcPr>
          <w:p w14:paraId="72306A0C"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p>
        </w:tc>
      </w:tr>
      <w:tr w:rsidR="00963B0C" w:rsidRPr="00963B0C" w14:paraId="55361ADA" w14:textId="77777777" w:rsidTr="00916A6C">
        <w:trPr>
          <w:trHeight w:val="480"/>
        </w:trPr>
        <w:tc>
          <w:tcPr>
            <w:tcW w:w="416" w:type="dxa"/>
            <w:vMerge/>
            <w:tcBorders>
              <w:top w:val="single" w:sz="4" w:space="0" w:color="auto"/>
              <w:left w:val="single" w:sz="4" w:space="0" w:color="auto"/>
              <w:bottom w:val="single" w:sz="4" w:space="0" w:color="000000"/>
              <w:right w:val="single" w:sz="4" w:space="0" w:color="auto"/>
            </w:tcBorders>
            <w:vAlign w:val="center"/>
            <w:hideMark/>
          </w:tcPr>
          <w:p w14:paraId="1A60E67B" w14:textId="77777777" w:rsidR="00963B0C" w:rsidRPr="00963B0C" w:rsidRDefault="00963B0C" w:rsidP="00963B0C">
            <w:pPr>
              <w:spacing w:after="0" w:line="240" w:lineRule="auto"/>
              <w:rPr>
                <w:rFonts w:ascii="Garamond" w:eastAsia="Times New Roman" w:hAnsi="Garamond" w:cs="Calibri"/>
                <w:b/>
                <w:color w:val="000000"/>
                <w:sz w:val="24"/>
                <w:szCs w:val="24"/>
                <w:lang w:eastAsia="pt-BR"/>
              </w:rPr>
            </w:pPr>
          </w:p>
        </w:tc>
        <w:tc>
          <w:tcPr>
            <w:tcW w:w="1340" w:type="dxa"/>
            <w:tcBorders>
              <w:top w:val="nil"/>
              <w:left w:val="nil"/>
              <w:bottom w:val="single" w:sz="4" w:space="0" w:color="auto"/>
              <w:right w:val="single" w:sz="4" w:space="0" w:color="auto"/>
            </w:tcBorders>
            <w:shd w:val="clear" w:color="auto" w:fill="auto"/>
            <w:vAlign w:val="center"/>
            <w:hideMark/>
          </w:tcPr>
          <w:p w14:paraId="1276BFAC"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P4</w:t>
            </w:r>
          </w:p>
        </w:tc>
        <w:tc>
          <w:tcPr>
            <w:tcW w:w="1336" w:type="dxa"/>
            <w:tcBorders>
              <w:top w:val="nil"/>
              <w:left w:val="nil"/>
              <w:bottom w:val="nil"/>
              <w:right w:val="nil"/>
            </w:tcBorders>
            <w:shd w:val="clear" w:color="auto" w:fill="auto"/>
            <w:vAlign w:val="center"/>
            <w:hideMark/>
          </w:tcPr>
          <w:p w14:paraId="70A3EBCB"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single" w:sz="4" w:space="0" w:color="auto"/>
              <w:bottom w:val="nil"/>
              <w:right w:val="single" w:sz="4" w:space="0" w:color="auto"/>
            </w:tcBorders>
            <w:shd w:val="clear" w:color="auto" w:fill="auto"/>
            <w:vAlign w:val="center"/>
            <w:hideMark/>
          </w:tcPr>
          <w:p w14:paraId="5B99C16E"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r w:rsidRPr="00963B0C">
              <w:rPr>
                <w:rFonts w:ascii="Garamond" w:eastAsia="Times New Roman" w:hAnsi="Garamond" w:cs="Calibri"/>
                <w:color w:val="000000"/>
                <w:sz w:val="24"/>
                <w:szCs w:val="24"/>
                <w:lang w:eastAsia="pt-BR"/>
              </w:rPr>
              <w:t> </w:t>
            </w:r>
          </w:p>
        </w:tc>
        <w:tc>
          <w:tcPr>
            <w:tcW w:w="1340" w:type="dxa"/>
            <w:tcBorders>
              <w:top w:val="nil"/>
              <w:left w:val="nil"/>
              <w:bottom w:val="nil"/>
              <w:right w:val="single" w:sz="4" w:space="0" w:color="auto"/>
            </w:tcBorders>
            <w:shd w:val="clear" w:color="auto" w:fill="auto"/>
            <w:vAlign w:val="center"/>
            <w:hideMark/>
          </w:tcPr>
          <w:p w14:paraId="349E8E60"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r w:rsidRPr="00963B0C">
              <w:rPr>
                <w:rFonts w:ascii="Garamond" w:eastAsia="Times New Roman" w:hAnsi="Garamond" w:cs="Calibri"/>
                <w:color w:val="000000"/>
                <w:sz w:val="24"/>
                <w:szCs w:val="24"/>
                <w:lang w:eastAsia="pt-BR"/>
              </w:rPr>
              <w:t> </w:t>
            </w:r>
          </w:p>
        </w:tc>
        <w:tc>
          <w:tcPr>
            <w:tcW w:w="1340" w:type="dxa"/>
            <w:tcBorders>
              <w:top w:val="nil"/>
              <w:left w:val="nil"/>
              <w:bottom w:val="nil"/>
              <w:right w:val="single" w:sz="4" w:space="0" w:color="auto"/>
            </w:tcBorders>
            <w:shd w:val="clear" w:color="auto" w:fill="auto"/>
            <w:vAlign w:val="center"/>
          </w:tcPr>
          <w:p w14:paraId="41C8C48E"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nil"/>
              <w:bottom w:val="nil"/>
              <w:right w:val="single" w:sz="4" w:space="0" w:color="auto"/>
            </w:tcBorders>
            <w:shd w:val="clear" w:color="000000" w:fill="F2F2F2"/>
            <w:vAlign w:val="center"/>
          </w:tcPr>
          <w:p w14:paraId="4E294098"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p>
        </w:tc>
        <w:tc>
          <w:tcPr>
            <w:tcW w:w="1336" w:type="dxa"/>
            <w:tcBorders>
              <w:top w:val="nil"/>
              <w:left w:val="nil"/>
              <w:bottom w:val="nil"/>
              <w:right w:val="single" w:sz="4" w:space="0" w:color="auto"/>
            </w:tcBorders>
            <w:shd w:val="clear" w:color="000000" w:fill="F2F2F2"/>
            <w:vAlign w:val="center"/>
          </w:tcPr>
          <w:p w14:paraId="1F9FEC39"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p>
        </w:tc>
      </w:tr>
      <w:tr w:rsidR="00963B0C" w:rsidRPr="00963B0C" w14:paraId="493B4562" w14:textId="77777777" w:rsidTr="00916A6C">
        <w:trPr>
          <w:trHeight w:val="480"/>
        </w:trPr>
        <w:tc>
          <w:tcPr>
            <w:tcW w:w="416" w:type="dxa"/>
            <w:vMerge/>
            <w:tcBorders>
              <w:top w:val="single" w:sz="4" w:space="0" w:color="auto"/>
              <w:left w:val="single" w:sz="4" w:space="0" w:color="auto"/>
              <w:bottom w:val="single" w:sz="4" w:space="0" w:color="000000"/>
              <w:right w:val="single" w:sz="4" w:space="0" w:color="auto"/>
            </w:tcBorders>
            <w:vAlign w:val="center"/>
            <w:hideMark/>
          </w:tcPr>
          <w:p w14:paraId="17B0F65D" w14:textId="77777777" w:rsidR="00963B0C" w:rsidRPr="00963B0C" w:rsidRDefault="00963B0C" w:rsidP="00963B0C">
            <w:pPr>
              <w:spacing w:after="0" w:line="240" w:lineRule="auto"/>
              <w:rPr>
                <w:rFonts w:ascii="Garamond" w:eastAsia="Times New Roman" w:hAnsi="Garamond" w:cs="Calibri"/>
                <w:b/>
                <w:color w:val="000000"/>
                <w:sz w:val="24"/>
                <w:szCs w:val="24"/>
                <w:lang w:eastAsia="pt-BR"/>
              </w:rPr>
            </w:pPr>
          </w:p>
        </w:tc>
        <w:tc>
          <w:tcPr>
            <w:tcW w:w="1340" w:type="dxa"/>
            <w:tcBorders>
              <w:top w:val="nil"/>
              <w:left w:val="nil"/>
              <w:bottom w:val="single" w:sz="4" w:space="0" w:color="auto"/>
              <w:right w:val="single" w:sz="4" w:space="0" w:color="auto"/>
            </w:tcBorders>
            <w:shd w:val="clear" w:color="auto" w:fill="auto"/>
            <w:vAlign w:val="center"/>
            <w:hideMark/>
          </w:tcPr>
          <w:p w14:paraId="7AE8071A"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r w:rsidRPr="00963B0C">
              <w:rPr>
                <w:rFonts w:ascii="Garamond" w:eastAsia="Times New Roman" w:hAnsi="Garamond" w:cs="Calibri"/>
                <w:b/>
                <w:color w:val="000000"/>
                <w:sz w:val="24"/>
                <w:szCs w:val="24"/>
                <w:lang w:eastAsia="pt-BR"/>
              </w:rPr>
              <w:t>P5</w:t>
            </w:r>
          </w:p>
        </w:tc>
        <w:tc>
          <w:tcPr>
            <w:tcW w:w="1336" w:type="dxa"/>
            <w:tcBorders>
              <w:top w:val="nil"/>
              <w:left w:val="nil"/>
              <w:bottom w:val="single" w:sz="4" w:space="0" w:color="auto"/>
              <w:right w:val="nil"/>
            </w:tcBorders>
            <w:shd w:val="clear" w:color="auto" w:fill="auto"/>
            <w:vAlign w:val="center"/>
            <w:hideMark/>
          </w:tcPr>
          <w:p w14:paraId="32656EED"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r w:rsidRPr="00963B0C">
              <w:rPr>
                <w:rFonts w:ascii="Garamond" w:eastAsia="Times New Roman" w:hAnsi="Garamond" w:cs="Calibri"/>
                <w:color w:val="000000"/>
                <w:sz w:val="24"/>
                <w:szCs w:val="24"/>
                <w:lang w:eastAsia="pt-BR"/>
              </w:rPr>
              <w:t> </w:t>
            </w:r>
          </w:p>
        </w:tc>
        <w:tc>
          <w:tcPr>
            <w:tcW w:w="1336" w:type="dxa"/>
            <w:tcBorders>
              <w:top w:val="nil"/>
              <w:left w:val="single" w:sz="4" w:space="0" w:color="auto"/>
              <w:bottom w:val="single" w:sz="4" w:space="0" w:color="auto"/>
              <w:right w:val="single" w:sz="4" w:space="0" w:color="auto"/>
            </w:tcBorders>
            <w:shd w:val="clear" w:color="auto" w:fill="auto"/>
            <w:vAlign w:val="center"/>
            <w:hideMark/>
          </w:tcPr>
          <w:p w14:paraId="785D44F3"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r w:rsidRPr="00963B0C">
              <w:rPr>
                <w:rFonts w:ascii="Garamond" w:eastAsia="Times New Roman" w:hAnsi="Garamond" w:cs="Calibri"/>
                <w:color w:val="000000"/>
                <w:sz w:val="24"/>
                <w:szCs w:val="24"/>
                <w:lang w:eastAsia="pt-BR"/>
              </w:rPr>
              <w:t> </w:t>
            </w:r>
          </w:p>
        </w:tc>
        <w:tc>
          <w:tcPr>
            <w:tcW w:w="1340" w:type="dxa"/>
            <w:tcBorders>
              <w:top w:val="nil"/>
              <w:left w:val="nil"/>
              <w:bottom w:val="single" w:sz="4" w:space="0" w:color="auto"/>
              <w:right w:val="single" w:sz="4" w:space="0" w:color="auto"/>
            </w:tcBorders>
            <w:shd w:val="clear" w:color="auto" w:fill="auto"/>
            <w:vAlign w:val="center"/>
            <w:hideMark/>
          </w:tcPr>
          <w:p w14:paraId="2D2B09BA"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r w:rsidRPr="00963B0C">
              <w:rPr>
                <w:rFonts w:ascii="Garamond" w:eastAsia="Times New Roman" w:hAnsi="Garamond" w:cs="Calibri"/>
                <w:color w:val="000000"/>
                <w:sz w:val="24"/>
                <w:szCs w:val="24"/>
                <w:lang w:eastAsia="pt-BR"/>
              </w:rPr>
              <w:t> </w:t>
            </w:r>
          </w:p>
        </w:tc>
        <w:tc>
          <w:tcPr>
            <w:tcW w:w="1340" w:type="dxa"/>
            <w:tcBorders>
              <w:top w:val="nil"/>
              <w:left w:val="nil"/>
              <w:bottom w:val="single" w:sz="4" w:space="0" w:color="auto"/>
              <w:right w:val="single" w:sz="4" w:space="0" w:color="auto"/>
            </w:tcBorders>
            <w:shd w:val="clear" w:color="auto" w:fill="auto"/>
            <w:vAlign w:val="center"/>
          </w:tcPr>
          <w:p w14:paraId="6720EA54" w14:textId="77777777" w:rsidR="00963B0C" w:rsidRPr="00963B0C" w:rsidRDefault="00963B0C" w:rsidP="00963B0C">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nil"/>
              <w:bottom w:val="single" w:sz="4" w:space="0" w:color="auto"/>
              <w:right w:val="single" w:sz="4" w:space="0" w:color="auto"/>
            </w:tcBorders>
            <w:shd w:val="clear" w:color="000000" w:fill="F2F2F2"/>
            <w:vAlign w:val="center"/>
          </w:tcPr>
          <w:p w14:paraId="74CA7679"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p>
        </w:tc>
        <w:tc>
          <w:tcPr>
            <w:tcW w:w="1336" w:type="dxa"/>
            <w:tcBorders>
              <w:top w:val="nil"/>
              <w:left w:val="nil"/>
              <w:bottom w:val="single" w:sz="4" w:space="0" w:color="auto"/>
              <w:right w:val="single" w:sz="4" w:space="0" w:color="auto"/>
            </w:tcBorders>
            <w:shd w:val="clear" w:color="000000" w:fill="F2F2F2"/>
            <w:vAlign w:val="center"/>
          </w:tcPr>
          <w:p w14:paraId="162FF79F" w14:textId="77777777" w:rsidR="00963B0C" w:rsidRPr="00963B0C" w:rsidRDefault="00963B0C" w:rsidP="00963B0C">
            <w:pPr>
              <w:spacing w:after="0" w:line="240" w:lineRule="auto"/>
              <w:jc w:val="center"/>
              <w:rPr>
                <w:rFonts w:ascii="Garamond" w:eastAsia="Times New Roman" w:hAnsi="Garamond" w:cs="Calibri"/>
                <w:b/>
                <w:color w:val="000000"/>
                <w:sz w:val="24"/>
                <w:szCs w:val="24"/>
                <w:lang w:eastAsia="pt-BR"/>
              </w:rPr>
            </w:pPr>
          </w:p>
        </w:tc>
      </w:tr>
    </w:tbl>
    <w:p w14:paraId="01E1AA68" w14:textId="77777777" w:rsidR="00963B0C" w:rsidRPr="00963B0C" w:rsidRDefault="00963B0C" w:rsidP="00963B0C">
      <w:pPr>
        <w:spacing w:after="0" w:line="240" w:lineRule="auto"/>
        <w:jc w:val="center"/>
        <w:rPr>
          <w:rFonts w:ascii="Garamond" w:eastAsia="Calibri" w:hAnsi="Garamond" w:cs="Calibri"/>
          <w:sz w:val="24"/>
          <w:szCs w:val="24"/>
        </w:rPr>
      </w:pPr>
    </w:p>
    <w:tbl>
      <w:tblPr>
        <w:tblW w:w="5000" w:type="pct"/>
        <w:tblCellMar>
          <w:left w:w="70" w:type="dxa"/>
          <w:right w:w="70" w:type="dxa"/>
        </w:tblCellMar>
        <w:tblLook w:val="04A0" w:firstRow="1" w:lastRow="0" w:firstColumn="1" w:lastColumn="0" w:noHBand="0" w:noVBand="1"/>
      </w:tblPr>
      <w:tblGrid>
        <w:gridCol w:w="4373"/>
        <w:gridCol w:w="1123"/>
        <w:gridCol w:w="1125"/>
        <w:gridCol w:w="693"/>
        <w:gridCol w:w="909"/>
        <w:gridCol w:w="1019"/>
      </w:tblGrid>
      <w:tr w:rsidR="00963B0C" w:rsidRPr="00963B0C" w14:paraId="46CE489E" w14:textId="77777777" w:rsidTr="00916A6C">
        <w:trPr>
          <w:trHeight w:val="315"/>
        </w:trPr>
        <w:tc>
          <w:tcPr>
            <w:tcW w:w="2090" w:type="pct"/>
            <w:tcBorders>
              <w:top w:val="nil"/>
              <w:left w:val="nil"/>
              <w:bottom w:val="nil"/>
              <w:right w:val="nil"/>
            </w:tcBorders>
            <w:shd w:val="clear" w:color="auto" w:fill="auto"/>
            <w:noWrap/>
            <w:hideMark/>
          </w:tcPr>
          <w:p w14:paraId="4952F72D" w14:textId="77777777" w:rsidR="00963B0C" w:rsidRPr="00963B0C" w:rsidRDefault="00963B0C" w:rsidP="00963B0C">
            <w:pPr>
              <w:spacing w:after="0" w:line="240" w:lineRule="auto"/>
              <w:jc w:val="both"/>
              <w:rPr>
                <w:rFonts w:ascii="Garamond" w:eastAsia="Times New Roman" w:hAnsi="Garamond" w:cs="Calibri"/>
                <w:sz w:val="24"/>
                <w:szCs w:val="24"/>
                <w:lang w:eastAsia="pt-BR"/>
              </w:rPr>
            </w:pPr>
            <w:r w:rsidRPr="00963B0C">
              <w:rPr>
                <w:rFonts w:ascii="Garamond" w:eastAsia="Times New Roman" w:hAnsi="Garamond" w:cs="Calibri"/>
                <w:sz w:val="24"/>
                <w:szCs w:val="24"/>
                <w:lang w:eastAsia="pt-BR"/>
              </w:rPr>
              <w:t>Obs.: informar a unidade de medida utilizada.</w:t>
            </w:r>
          </w:p>
        </w:tc>
        <w:tc>
          <w:tcPr>
            <w:tcW w:w="663" w:type="pct"/>
            <w:tcBorders>
              <w:top w:val="nil"/>
              <w:left w:val="nil"/>
              <w:bottom w:val="nil"/>
              <w:right w:val="nil"/>
            </w:tcBorders>
            <w:shd w:val="clear" w:color="auto" w:fill="auto"/>
            <w:hideMark/>
          </w:tcPr>
          <w:p w14:paraId="0EE15750" w14:textId="77777777" w:rsidR="00963B0C" w:rsidRPr="00963B0C" w:rsidRDefault="00963B0C" w:rsidP="00963B0C">
            <w:pPr>
              <w:spacing w:after="0" w:line="240" w:lineRule="auto"/>
              <w:rPr>
                <w:rFonts w:ascii="Garamond" w:eastAsia="Times New Roman" w:hAnsi="Garamond" w:cs="Calibri"/>
                <w:sz w:val="24"/>
                <w:szCs w:val="24"/>
                <w:lang w:eastAsia="pt-BR"/>
              </w:rPr>
            </w:pPr>
          </w:p>
        </w:tc>
        <w:tc>
          <w:tcPr>
            <w:tcW w:w="664" w:type="pct"/>
            <w:tcBorders>
              <w:top w:val="nil"/>
              <w:left w:val="nil"/>
              <w:bottom w:val="nil"/>
              <w:right w:val="nil"/>
            </w:tcBorders>
            <w:shd w:val="clear" w:color="auto" w:fill="auto"/>
            <w:hideMark/>
          </w:tcPr>
          <w:p w14:paraId="75DF59FF" w14:textId="77777777" w:rsidR="00963B0C" w:rsidRPr="00963B0C" w:rsidRDefault="00963B0C" w:rsidP="00963B0C">
            <w:pPr>
              <w:spacing w:after="0" w:line="240" w:lineRule="auto"/>
              <w:rPr>
                <w:rFonts w:ascii="Garamond" w:eastAsia="Times New Roman" w:hAnsi="Garamond" w:cs="Calibri"/>
                <w:sz w:val="24"/>
                <w:szCs w:val="24"/>
                <w:lang w:eastAsia="pt-BR"/>
              </w:rPr>
            </w:pPr>
          </w:p>
        </w:tc>
        <w:tc>
          <w:tcPr>
            <w:tcW w:w="430" w:type="pct"/>
            <w:tcBorders>
              <w:top w:val="nil"/>
              <w:left w:val="nil"/>
              <w:bottom w:val="nil"/>
              <w:right w:val="nil"/>
            </w:tcBorders>
            <w:shd w:val="clear" w:color="auto" w:fill="auto"/>
            <w:hideMark/>
          </w:tcPr>
          <w:p w14:paraId="148C85D9" w14:textId="77777777" w:rsidR="00963B0C" w:rsidRPr="00963B0C" w:rsidRDefault="00963B0C" w:rsidP="00963B0C">
            <w:pPr>
              <w:spacing w:after="0" w:line="240" w:lineRule="auto"/>
              <w:rPr>
                <w:rFonts w:ascii="Garamond" w:eastAsia="Times New Roman" w:hAnsi="Garamond" w:cs="Calibri"/>
                <w:sz w:val="24"/>
                <w:szCs w:val="24"/>
                <w:lang w:eastAsia="pt-BR"/>
              </w:rPr>
            </w:pPr>
          </w:p>
        </w:tc>
        <w:tc>
          <w:tcPr>
            <w:tcW w:w="547" w:type="pct"/>
            <w:tcBorders>
              <w:top w:val="nil"/>
              <w:left w:val="nil"/>
              <w:bottom w:val="nil"/>
              <w:right w:val="nil"/>
            </w:tcBorders>
            <w:shd w:val="clear" w:color="auto" w:fill="auto"/>
            <w:hideMark/>
          </w:tcPr>
          <w:p w14:paraId="6DF79332" w14:textId="77777777" w:rsidR="00963B0C" w:rsidRPr="00963B0C" w:rsidRDefault="00963B0C" w:rsidP="00963B0C">
            <w:pPr>
              <w:spacing w:after="0" w:line="240" w:lineRule="auto"/>
              <w:rPr>
                <w:rFonts w:ascii="Garamond" w:eastAsia="Times New Roman" w:hAnsi="Garamond" w:cs="Calibri"/>
                <w:sz w:val="24"/>
                <w:szCs w:val="24"/>
                <w:lang w:eastAsia="pt-BR"/>
              </w:rPr>
            </w:pPr>
          </w:p>
        </w:tc>
        <w:tc>
          <w:tcPr>
            <w:tcW w:w="606" w:type="pct"/>
            <w:tcBorders>
              <w:top w:val="nil"/>
              <w:left w:val="nil"/>
              <w:bottom w:val="nil"/>
              <w:right w:val="nil"/>
            </w:tcBorders>
            <w:shd w:val="clear" w:color="auto" w:fill="auto"/>
            <w:hideMark/>
          </w:tcPr>
          <w:p w14:paraId="4DD6DC4D" w14:textId="77777777" w:rsidR="00963B0C" w:rsidRPr="00963B0C" w:rsidRDefault="00963B0C" w:rsidP="00963B0C">
            <w:pPr>
              <w:spacing w:after="0" w:line="240" w:lineRule="auto"/>
              <w:rPr>
                <w:rFonts w:ascii="Garamond" w:eastAsia="Times New Roman" w:hAnsi="Garamond" w:cs="Calibri"/>
                <w:sz w:val="24"/>
                <w:szCs w:val="24"/>
                <w:lang w:eastAsia="pt-BR"/>
              </w:rPr>
            </w:pPr>
          </w:p>
        </w:tc>
      </w:tr>
    </w:tbl>
    <w:p w14:paraId="4CA9A9B6" w14:textId="77777777" w:rsidR="00BF6E08" w:rsidRPr="005C5CBD" w:rsidRDefault="00BF6E08" w:rsidP="00BF6E08">
      <w:pPr>
        <w:pStyle w:val="TextosemFormatao"/>
        <w:rPr>
          <w:rFonts w:ascii="Garamond" w:hAnsi="Garamond" w:cs="Calibri"/>
          <w:color w:val="000000"/>
          <w:sz w:val="18"/>
          <w:szCs w:val="18"/>
        </w:rPr>
        <w:sectPr w:rsidR="00BF6E08" w:rsidRPr="005C5CBD" w:rsidSect="00E15FBB">
          <w:pgSz w:w="12240" w:h="15840"/>
          <w:pgMar w:top="1418" w:right="1580" w:bottom="280" w:left="1418" w:header="720" w:footer="968" w:gutter="0"/>
          <w:cols w:space="720"/>
          <w:docGrid w:linePitch="299"/>
        </w:sectPr>
      </w:pPr>
    </w:p>
    <w:tbl>
      <w:tblPr>
        <w:tblW w:w="5000" w:type="pct"/>
        <w:tblCellMar>
          <w:left w:w="70" w:type="dxa"/>
          <w:right w:w="70" w:type="dxa"/>
        </w:tblCellMar>
        <w:tblLook w:val="04A0" w:firstRow="1" w:lastRow="0" w:firstColumn="1" w:lastColumn="0" w:noHBand="0" w:noVBand="1"/>
      </w:tblPr>
      <w:tblGrid>
        <w:gridCol w:w="12922"/>
      </w:tblGrid>
      <w:tr w:rsidR="00FE4A4E" w:rsidRPr="00FE4A4E" w14:paraId="1017E5EA" w14:textId="77777777" w:rsidTr="00916A6C">
        <w:trPr>
          <w:trHeight w:val="300"/>
        </w:trPr>
        <w:tc>
          <w:tcPr>
            <w:tcW w:w="5000" w:type="pct"/>
            <w:tcBorders>
              <w:top w:val="nil"/>
              <w:left w:val="nil"/>
              <w:bottom w:val="nil"/>
              <w:right w:val="nil"/>
            </w:tcBorders>
            <w:shd w:val="clear" w:color="auto" w:fill="auto"/>
            <w:noWrap/>
            <w:vAlign w:val="bottom"/>
            <w:hideMark/>
          </w:tcPr>
          <w:p w14:paraId="194BE835"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APÊNDICE IX</w:t>
            </w:r>
          </w:p>
        </w:tc>
      </w:tr>
      <w:tr w:rsidR="00FE4A4E" w:rsidRPr="00FE4A4E" w14:paraId="379A12CC" w14:textId="77777777" w:rsidTr="00916A6C">
        <w:trPr>
          <w:trHeight w:val="300"/>
        </w:trPr>
        <w:tc>
          <w:tcPr>
            <w:tcW w:w="5000" w:type="pct"/>
            <w:tcBorders>
              <w:top w:val="nil"/>
              <w:left w:val="nil"/>
              <w:bottom w:val="nil"/>
              <w:right w:val="nil"/>
            </w:tcBorders>
            <w:shd w:val="clear" w:color="auto" w:fill="auto"/>
            <w:noWrap/>
            <w:vAlign w:val="bottom"/>
            <w:hideMark/>
          </w:tcPr>
          <w:p w14:paraId="7FDC0ADF"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ESTOQUES</w:t>
            </w:r>
          </w:p>
        </w:tc>
      </w:tr>
    </w:tbl>
    <w:p w14:paraId="2CCFEF0E" w14:textId="77777777" w:rsidR="00FE4A4E" w:rsidRPr="00FE4A4E" w:rsidRDefault="00FE4A4E" w:rsidP="00FE4A4E">
      <w:pPr>
        <w:spacing w:after="0" w:line="240" w:lineRule="auto"/>
        <w:jc w:val="center"/>
        <w:rPr>
          <w:rFonts w:ascii="Garamond" w:eastAsia="Calibri" w:hAnsi="Garamond" w:cs="Calibri"/>
          <w:sz w:val="24"/>
          <w:szCs w:val="24"/>
        </w:rPr>
      </w:pPr>
    </w:p>
    <w:tbl>
      <w:tblPr>
        <w:tblW w:w="5299" w:type="pct"/>
        <w:jc w:val="center"/>
        <w:tblCellMar>
          <w:left w:w="70" w:type="dxa"/>
          <w:right w:w="70" w:type="dxa"/>
        </w:tblCellMar>
        <w:tblLook w:val="04A0" w:firstRow="1" w:lastRow="0" w:firstColumn="1" w:lastColumn="0" w:noHBand="0" w:noVBand="1"/>
      </w:tblPr>
      <w:tblGrid>
        <w:gridCol w:w="2630"/>
        <w:gridCol w:w="480"/>
        <w:gridCol w:w="917"/>
        <w:gridCol w:w="897"/>
        <w:gridCol w:w="1222"/>
        <w:gridCol w:w="1103"/>
        <w:gridCol w:w="1041"/>
        <w:gridCol w:w="965"/>
        <w:gridCol w:w="1222"/>
        <w:gridCol w:w="443"/>
        <w:gridCol w:w="461"/>
        <w:gridCol w:w="461"/>
        <w:gridCol w:w="461"/>
        <w:gridCol w:w="464"/>
        <w:gridCol w:w="917"/>
      </w:tblGrid>
      <w:tr w:rsidR="00FE4A4E" w:rsidRPr="00FE4A4E" w14:paraId="5E035DA6" w14:textId="77777777" w:rsidTr="00C50B0C">
        <w:trPr>
          <w:trHeight w:val="1800"/>
          <w:jc w:val="center"/>
        </w:trPr>
        <w:tc>
          <w:tcPr>
            <w:tcW w:w="11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12C8D9" w14:textId="77777777" w:rsidR="00FE4A4E" w:rsidRPr="00FE4A4E" w:rsidRDefault="00FE4A4E" w:rsidP="00FE4A4E">
            <w:pPr>
              <w:spacing w:after="0" w:line="240" w:lineRule="auto"/>
              <w:jc w:val="center"/>
              <w:rPr>
                <w:rFonts w:ascii="Garamond" w:eastAsia="Times New Roman" w:hAnsi="Garamond" w:cs="Calibri"/>
                <w:b/>
                <w:color w:val="FF0000"/>
                <w:lang w:eastAsia="pt-BR"/>
              </w:rPr>
            </w:pPr>
            <w:r w:rsidRPr="00FE4A4E">
              <w:rPr>
                <w:rFonts w:ascii="Garamond" w:eastAsia="Times New Roman" w:hAnsi="Garamond" w:cs="Calibri"/>
                <w:b/>
                <w:color w:val="FF0000"/>
                <w:lang w:eastAsia="pt-BR"/>
              </w:rPr>
              <w:t xml:space="preserve">Empresa </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2BB001BA" w14:textId="77777777" w:rsidR="00FE4A4E" w:rsidRPr="00FE4A4E" w:rsidRDefault="00FE4A4E" w:rsidP="00FE4A4E">
            <w:pPr>
              <w:spacing w:after="0" w:line="240" w:lineRule="auto"/>
              <w:jc w:val="center"/>
              <w:rPr>
                <w:rFonts w:ascii="Garamond" w:eastAsia="Times New Roman" w:hAnsi="Garamond" w:cs="Calibri"/>
                <w:b/>
                <w:color w:val="000000"/>
                <w:lang w:eastAsia="pt-BR"/>
              </w:rPr>
            </w:pPr>
            <w:r w:rsidRPr="00FE4A4E">
              <w:rPr>
                <w:rFonts w:ascii="Garamond" w:eastAsia="Times New Roman" w:hAnsi="Garamond" w:cs="Calibri"/>
                <w:b/>
                <w:color w:val="000000"/>
                <w:lang w:eastAsia="pt-BR"/>
              </w:rPr>
              <w:t xml:space="preserve"> Estoque Inicial </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1A3F0EB2" w14:textId="77777777" w:rsidR="00FE4A4E" w:rsidRPr="00FE4A4E" w:rsidRDefault="00FE4A4E" w:rsidP="00FE4A4E">
            <w:pPr>
              <w:spacing w:after="0" w:line="240" w:lineRule="auto"/>
              <w:jc w:val="center"/>
              <w:rPr>
                <w:rFonts w:ascii="Garamond" w:eastAsia="Times New Roman" w:hAnsi="Garamond" w:cs="Calibri"/>
                <w:b/>
                <w:color w:val="000000"/>
                <w:lang w:eastAsia="pt-BR"/>
              </w:rPr>
            </w:pPr>
            <w:r w:rsidRPr="00FE4A4E">
              <w:rPr>
                <w:rFonts w:ascii="Garamond" w:eastAsia="Times New Roman" w:hAnsi="Garamond" w:cs="Calibri"/>
                <w:b/>
                <w:color w:val="000000"/>
                <w:lang w:eastAsia="pt-BR"/>
              </w:rPr>
              <w:t xml:space="preserve"> rodução </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00237924" w14:textId="77777777" w:rsidR="00FE4A4E" w:rsidRPr="00FE4A4E" w:rsidRDefault="00FE4A4E" w:rsidP="00FE4A4E">
            <w:pPr>
              <w:spacing w:after="0" w:line="240" w:lineRule="auto"/>
              <w:jc w:val="center"/>
              <w:rPr>
                <w:rFonts w:ascii="Garamond" w:eastAsia="Times New Roman" w:hAnsi="Garamond" w:cs="Calibri"/>
                <w:b/>
                <w:color w:val="000000"/>
                <w:lang w:eastAsia="pt-BR"/>
              </w:rPr>
            </w:pPr>
            <w:r w:rsidRPr="00FE4A4E">
              <w:rPr>
                <w:rFonts w:ascii="Garamond" w:eastAsia="Times New Roman" w:hAnsi="Garamond" w:cs="Calibri"/>
                <w:b/>
                <w:color w:val="000000"/>
                <w:lang w:eastAsia="pt-BR"/>
              </w:rPr>
              <w:t xml:space="preserve"> Importação / Aquisição no mercado brasileiro </w:t>
            </w:r>
          </w:p>
        </w:tc>
        <w:tc>
          <w:tcPr>
            <w:tcW w:w="403" w:type="pct"/>
            <w:tcBorders>
              <w:top w:val="single" w:sz="4" w:space="0" w:color="auto"/>
              <w:left w:val="nil"/>
              <w:bottom w:val="single" w:sz="4" w:space="0" w:color="auto"/>
              <w:right w:val="single" w:sz="4" w:space="0" w:color="auto"/>
            </w:tcBorders>
            <w:shd w:val="clear" w:color="auto" w:fill="auto"/>
            <w:vAlign w:val="center"/>
            <w:hideMark/>
          </w:tcPr>
          <w:p w14:paraId="6BEB0F93" w14:textId="77777777" w:rsidR="00FE4A4E" w:rsidRPr="00FE4A4E" w:rsidRDefault="00FE4A4E" w:rsidP="00FE4A4E">
            <w:pPr>
              <w:spacing w:after="0" w:line="240" w:lineRule="auto"/>
              <w:jc w:val="center"/>
              <w:rPr>
                <w:rFonts w:ascii="Garamond" w:eastAsia="Times New Roman" w:hAnsi="Garamond" w:cs="Calibri"/>
                <w:b/>
                <w:color w:val="000000"/>
                <w:lang w:eastAsia="pt-BR"/>
              </w:rPr>
            </w:pPr>
            <w:r w:rsidRPr="00FE4A4E">
              <w:rPr>
                <w:rFonts w:ascii="Garamond" w:eastAsia="Times New Roman" w:hAnsi="Garamond" w:cs="Calibri"/>
                <w:b/>
                <w:color w:val="000000"/>
                <w:lang w:eastAsia="pt-BR"/>
              </w:rPr>
              <w:t xml:space="preserve"> Vendas do produto similar de fabricação própria no mercado interno </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33C16EC5" w14:textId="77777777" w:rsidR="00FE4A4E" w:rsidRPr="00FE4A4E" w:rsidRDefault="00FE4A4E" w:rsidP="00FE4A4E">
            <w:pPr>
              <w:spacing w:after="0" w:line="240" w:lineRule="auto"/>
              <w:jc w:val="center"/>
              <w:rPr>
                <w:rFonts w:ascii="Garamond" w:eastAsia="Times New Roman" w:hAnsi="Garamond" w:cs="Calibri"/>
                <w:b/>
                <w:color w:val="000000"/>
                <w:lang w:eastAsia="pt-BR"/>
              </w:rPr>
            </w:pPr>
            <w:r w:rsidRPr="00FE4A4E">
              <w:rPr>
                <w:rFonts w:ascii="Garamond" w:eastAsia="Times New Roman" w:hAnsi="Garamond" w:cs="Calibri"/>
                <w:b/>
                <w:color w:val="000000"/>
                <w:lang w:eastAsia="pt-BR"/>
              </w:rPr>
              <w:t xml:space="preserve"> Revendas do produto similar no mercado interno </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1EC340E1" w14:textId="77777777" w:rsidR="00FE4A4E" w:rsidRPr="00FE4A4E" w:rsidRDefault="00FE4A4E" w:rsidP="00FE4A4E">
            <w:pPr>
              <w:spacing w:after="0" w:line="240" w:lineRule="auto"/>
              <w:jc w:val="center"/>
              <w:rPr>
                <w:rFonts w:ascii="Garamond" w:eastAsia="Times New Roman" w:hAnsi="Garamond" w:cs="Calibri"/>
                <w:b/>
                <w:color w:val="000000"/>
                <w:lang w:eastAsia="pt-BR"/>
              </w:rPr>
            </w:pPr>
            <w:r w:rsidRPr="00FE4A4E">
              <w:rPr>
                <w:rFonts w:ascii="Garamond" w:eastAsia="Times New Roman" w:hAnsi="Garamond" w:cs="Calibri"/>
                <w:b/>
                <w:color w:val="000000"/>
                <w:lang w:eastAsia="pt-BR"/>
              </w:rPr>
              <w:t xml:space="preserve"> Vendas Mercado Externo </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439CABE3" w14:textId="77777777" w:rsidR="00FE4A4E" w:rsidRPr="00FE4A4E" w:rsidRDefault="00FE4A4E" w:rsidP="00FE4A4E">
            <w:pPr>
              <w:spacing w:after="0" w:line="240" w:lineRule="auto"/>
              <w:jc w:val="center"/>
              <w:rPr>
                <w:rFonts w:ascii="Garamond" w:eastAsia="Times New Roman" w:hAnsi="Garamond" w:cs="Calibri"/>
                <w:b/>
                <w:color w:val="000000"/>
                <w:lang w:eastAsia="pt-BR"/>
              </w:rPr>
            </w:pPr>
            <w:r w:rsidRPr="00FE4A4E">
              <w:rPr>
                <w:rFonts w:ascii="Garamond" w:eastAsia="Times New Roman" w:hAnsi="Garamond" w:cs="Calibri"/>
                <w:b/>
                <w:color w:val="000000"/>
                <w:lang w:eastAsia="pt-BR"/>
              </w:rPr>
              <w:t xml:space="preserve"> Devoluções </w:t>
            </w:r>
          </w:p>
        </w:tc>
        <w:tc>
          <w:tcPr>
            <w:tcW w:w="836" w:type="pct"/>
            <w:gridSpan w:val="5"/>
            <w:tcBorders>
              <w:top w:val="single" w:sz="4" w:space="0" w:color="auto"/>
              <w:left w:val="nil"/>
              <w:bottom w:val="single" w:sz="4" w:space="0" w:color="auto"/>
              <w:right w:val="single" w:sz="4" w:space="0" w:color="auto"/>
            </w:tcBorders>
            <w:shd w:val="clear" w:color="auto" w:fill="auto"/>
            <w:vAlign w:val="center"/>
            <w:hideMark/>
          </w:tcPr>
          <w:p w14:paraId="6C7B0D7C" w14:textId="77777777" w:rsidR="00FE4A4E" w:rsidRPr="00FE4A4E" w:rsidRDefault="00FE4A4E" w:rsidP="00FE4A4E">
            <w:pPr>
              <w:spacing w:after="0" w:line="240" w:lineRule="auto"/>
              <w:jc w:val="center"/>
              <w:rPr>
                <w:rFonts w:ascii="Garamond" w:eastAsia="Times New Roman" w:hAnsi="Garamond" w:cs="Calibri"/>
                <w:b/>
                <w:color w:val="000000"/>
                <w:lang w:eastAsia="pt-BR"/>
              </w:rPr>
            </w:pPr>
            <w:r w:rsidRPr="00FE4A4E">
              <w:rPr>
                <w:rFonts w:ascii="Garamond" w:eastAsia="Times New Roman" w:hAnsi="Garamond" w:cs="Calibri"/>
                <w:b/>
                <w:color w:val="000000"/>
                <w:lang w:eastAsia="pt-BR"/>
              </w:rPr>
              <w:t xml:space="preserve"> Outras Entradas e Saídas </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47C14F13" w14:textId="77777777" w:rsidR="00FE4A4E" w:rsidRPr="00FE4A4E" w:rsidRDefault="00FE4A4E" w:rsidP="00FE4A4E">
            <w:pPr>
              <w:spacing w:after="0" w:line="240" w:lineRule="auto"/>
              <w:jc w:val="center"/>
              <w:rPr>
                <w:rFonts w:ascii="Garamond" w:eastAsia="Times New Roman" w:hAnsi="Garamond" w:cs="Calibri"/>
                <w:b/>
                <w:color w:val="000000"/>
                <w:lang w:eastAsia="pt-BR"/>
              </w:rPr>
            </w:pPr>
            <w:r w:rsidRPr="00FE4A4E">
              <w:rPr>
                <w:rFonts w:ascii="Garamond" w:eastAsia="Times New Roman" w:hAnsi="Garamond" w:cs="Calibri"/>
                <w:b/>
                <w:color w:val="000000"/>
                <w:lang w:eastAsia="pt-BR"/>
              </w:rPr>
              <w:t xml:space="preserve"> Estoque Final </w:t>
            </w:r>
          </w:p>
        </w:tc>
      </w:tr>
      <w:tr w:rsidR="00FE4A4E" w:rsidRPr="00FE4A4E" w14:paraId="2F6CC7F0" w14:textId="77777777" w:rsidTr="00C50B0C">
        <w:trPr>
          <w:trHeight w:val="450"/>
          <w:jc w:val="center"/>
        </w:trPr>
        <w:tc>
          <w:tcPr>
            <w:tcW w:w="961" w:type="pct"/>
            <w:tcBorders>
              <w:top w:val="nil"/>
              <w:left w:val="single" w:sz="4" w:space="0" w:color="auto"/>
              <w:bottom w:val="single" w:sz="4" w:space="0" w:color="auto"/>
              <w:right w:val="nil"/>
            </w:tcBorders>
            <w:shd w:val="clear" w:color="000000" w:fill="FFFFFF"/>
            <w:vAlign w:val="center"/>
            <w:hideMark/>
          </w:tcPr>
          <w:p w14:paraId="422C89AA" w14:textId="77777777" w:rsidR="00FE4A4E" w:rsidRPr="00FE4A4E" w:rsidRDefault="00FE4A4E" w:rsidP="00FE4A4E">
            <w:pPr>
              <w:spacing w:after="0" w:line="240" w:lineRule="auto"/>
              <w:jc w:val="center"/>
              <w:rPr>
                <w:rFonts w:ascii="Garamond" w:eastAsia="Times New Roman" w:hAnsi="Garamond" w:cs="Calibri"/>
                <w:b/>
                <w:color w:val="FF0000"/>
                <w:sz w:val="24"/>
                <w:szCs w:val="24"/>
                <w:lang w:eastAsia="pt-BR"/>
              </w:rPr>
            </w:pPr>
            <w:r w:rsidRPr="00FE4A4E">
              <w:rPr>
                <w:rFonts w:ascii="Garamond" w:eastAsia="Times New Roman" w:hAnsi="Garamond" w:cs="Calibri"/>
                <w:b/>
                <w:color w:val="FF0000"/>
                <w:sz w:val="24"/>
                <w:szCs w:val="24"/>
                <w:lang w:eastAsia="pt-BR"/>
              </w:rPr>
              <w:t>Unidade (Peso/comercialização):</w:t>
            </w:r>
          </w:p>
        </w:tc>
        <w:tc>
          <w:tcPr>
            <w:tcW w:w="176" w:type="pct"/>
            <w:tcBorders>
              <w:top w:val="nil"/>
              <w:left w:val="nil"/>
              <w:bottom w:val="single" w:sz="4" w:space="0" w:color="auto"/>
              <w:right w:val="single" w:sz="4" w:space="0" w:color="auto"/>
            </w:tcBorders>
            <w:shd w:val="clear" w:color="000000" w:fill="FFFFFF"/>
            <w:noWrap/>
            <w:vAlign w:val="bottom"/>
            <w:hideMark/>
          </w:tcPr>
          <w:p w14:paraId="41AA08DD" w14:textId="77777777" w:rsidR="00FE4A4E" w:rsidRPr="00FE4A4E" w:rsidRDefault="00FE4A4E" w:rsidP="00FE4A4E">
            <w:pPr>
              <w:spacing w:after="0" w:line="240" w:lineRule="auto"/>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335" w:type="pct"/>
            <w:tcBorders>
              <w:top w:val="nil"/>
              <w:left w:val="nil"/>
              <w:bottom w:val="single" w:sz="4" w:space="0" w:color="auto"/>
              <w:right w:val="single" w:sz="4" w:space="0" w:color="auto"/>
            </w:tcBorders>
            <w:shd w:val="clear" w:color="auto" w:fill="auto"/>
            <w:vAlign w:val="center"/>
            <w:hideMark/>
          </w:tcPr>
          <w:p w14:paraId="3322D26A"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 xml:space="preserve"> A </w:t>
            </w:r>
          </w:p>
        </w:tc>
        <w:tc>
          <w:tcPr>
            <w:tcW w:w="328" w:type="pct"/>
            <w:tcBorders>
              <w:top w:val="nil"/>
              <w:left w:val="nil"/>
              <w:bottom w:val="single" w:sz="4" w:space="0" w:color="auto"/>
              <w:right w:val="single" w:sz="4" w:space="0" w:color="auto"/>
            </w:tcBorders>
            <w:shd w:val="clear" w:color="auto" w:fill="auto"/>
            <w:vAlign w:val="center"/>
            <w:hideMark/>
          </w:tcPr>
          <w:p w14:paraId="59EEF4F6"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 xml:space="preserve"> B </w:t>
            </w:r>
          </w:p>
        </w:tc>
        <w:tc>
          <w:tcPr>
            <w:tcW w:w="447" w:type="pct"/>
            <w:tcBorders>
              <w:top w:val="nil"/>
              <w:left w:val="nil"/>
              <w:bottom w:val="single" w:sz="4" w:space="0" w:color="auto"/>
              <w:right w:val="single" w:sz="4" w:space="0" w:color="auto"/>
            </w:tcBorders>
            <w:shd w:val="clear" w:color="auto" w:fill="auto"/>
            <w:vAlign w:val="center"/>
            <w:hideMark/>
          </w:tcPr>
          <w:p w14:paraId="3F387402"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 xml:space="preserve"> C </w:t>
            </w:r>
          </w:p>
        </w:tc>
        <w:tc>
          <w:tcPr>
            <w:tcW w:w="403" w:type="pct"/>
            <w:tcBorders>
              <w:top w:val="nil"/>
              <w:left w:val="nil"/>
              <w:bottom w:val="single" w:sz="4" w:space="0" w:color="auto"/>
              <w:right w:val="single" w:sz="4" w:space="0" w:color="auto"/>
            </w:tcBorders>
            <w:shd w:val="clear" w:color="auto" w:fill="auto"/>
            <w:vAlign w:val="center"/>
            <w:hideMark/>
          </w:tcPr>
          <w:p w14:paraId="73C7471E"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 xml:space="preserve"> D </w:t>
            </w:r>
          </w:p>
        </w:tc>
        <w:tc>
          <w:tcPr>
            <w:tcW w:w="380" w:type="pct"/>
            <w:tcBorders>
              <w:top w:val="nil"/>
              <w:left w:val="nil"/>
              <w:bottom w:val="single" w:sz="4" w:space="0" w:color="auto"/>
              <w:right w:val="single" w:sz="4" w:space="0" w:color="auto"/>
            </w:tcBorders>
            <w:shd w:val="clear" w:color="auto" w:fill="auto"/>
            <w:vAlign w:val="center"/>
            <w:hideMark/>
          </w:tcPr>
          <w:p w14:paraId="3F00344C"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 xml:space="preserve"> E </w:t>
            </w:r>
          </w:p>
        </w:tc>
        <w:tc>
          <w:tcPr>
            <w:tcW w:w="353" w:type="pct"/>
            <w:tcBorders>
              <w:top w:val="nil"/>
              <w:left w:val="nil"/>
              <w:bottom w:val="single" w:sz="4" w:space="0" w:color="auto"/>
              <w:right w:val="single" w:sz="4" w:space="0" w:color="auto"/>
            </w:tcBorders>
            <w:shd w:val="clear" w:color="auto" w:fill="auto"/>
            <w:vAlign w:val="center"/>
            <w:hideMark/>
          </w:tcPr>
          <w:p w14:paraId="05E31EC1"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 xml:space="preserve"> F </w:t>
            </w:r>
          </w:p>
        </w:tc>
        <w:tc>
          <w:tcPr>
            <w:tcW w:w="447" w:type="pct"/>
            <w:tcBorders>
              <w:top w:val="nil"/>
              <w:left w:val="nil"/>
              <w:bottom w:val="single" w:sz="4" w:space="0" w:color="auto"/>
              <w:right w:val="single" w:sz="4" w:space="0" w:color="auto"/>
            </w:tcBorders>
            <w:shd w:val="clear" w:color="auto" w:fill="auto"/>
            <w:vAlign w:val="center"/>
            <w:hideMark/>
          </w:tcPr>
          <w:p w14:paraId="751F8F1A"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 xml:space="preserve"> G </w:t>
            </w:r>
          </w:p>
        </w:tc>
        <w:tc>
          <w:tcPr>
            <w:tcW w:w="162" w:type="pct"/>
            <w:tcBorders>
              <w:top w:val="nil"/>
              <w:left w:val="nil"/>
              <w:bottom w:val="single" w:sz="4" w:space="0" w:color="auto"/>
              <w:right w:val="single" w:sz="4" w:space="0" w:color="auto"/>
            </w:tcBorders>
            <w:shd w:val="clear" w:color="auto" w:fill="auto"/>
            <w:vAlign w:val="center"/>
            <w:hideMark/>
          </w:tcPr>
          <w:p w14:paraId="56C1D31A"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 xml:space="preserve">H1 </w:t>
            </w:r>
          </w:p>
        </w:tc>
        <w:tc>
          <w:tcPr>
            <w:tcW w:w="168" w:type="pct"/>
            <w:tcBorders>
              <w:top w:val="nil"/>
              <w:left w:val="nil"/>
              <w:bottom w:val="single" w:sz="4" w:space="0" w:color="auto"/>
              <w:right w:val="single" w:sz="4" w:space="0" w:color="auto"/>
            </w:tcBorders>
            <w:shd w:val="clear" w:color="auto" w:fill="auto"/>
            <w:vAlign w:val="center"/>
            <w:hideMark/>
          </w:tcPr>
          <w:p w14:paraId="64CC739F" w14:textId="77777777" w:rsidR="00FE4A4E" w:rsidRPr="00FE4A4E" w:rsidRDefault="00FE4A4E" w:rsidP="00FE4A4E">
            <w:pPr>
              <w:spacing w:after="0" w:line="240" w:lineRule="auto"/>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 xml:space="preserve">H2 </w:t>
            </w:r>
          </w:p>
        </w:tc>
        <w:tc>
          <w:tcPr>
            <w:tcW w:w="168" w:type="pct"/>
            <w:tcBorders>
              <w:top w:val="nil"/>
              <w:left w:val="nil"/>
              <w:bottom w:val="single" w:sz="4" w:space="0" w:color="auto"/>
              <w:right w:val="single" w:sz="4" w:space="0" w:color="auto"/>
            </w:tcBorders>
            <w:shd w:val="clear" w:color="auto" w:fill="auto"/>
            <w:vAlign w:val="center"/>
            <w:hideMark/>
          </w:tcPr>
          <w:p w14:paraId="127C792D"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 xml:space="preserve">H3 </w:t>
            </w:r>
          </w:p>
        </w:tc>
        <w:tc>
          <w:tcPr>
            <w:tcW w:w="168" w:type="pct"/>
            <w:tcBorders>
              <w:top w:val="nil"/>
              <w:left w:val="nil"/>
              <w:bottom w:val="single" w:sz="4" w:space="0" w:color="auto"/>
              <w:right w:val="single" w:sz="4" w:space="0" w:color="auto"/>
            </w:tcBorders>
            <w:shd w:val="clear" w:color="auto" w:fill="auto"/>
            <w:vAlign w:val="center"/>
            <w:hideMark/>
          </w:tcPr>
          <w:p w14:paraId="4C4161BA" w14:textId="2CC99F38"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 xml:space="preserve">H4 </w:t>
            </w:r>
          </w:p>
        </w:tc>
        <w:tc>
          <w:tcPr>
            <w:tcW w:w="169" w:type="pct"/>
            <w:tcBorders>
              <w:top w:val="nil"/>
              <w:left w:val="nil"/>
              <w:bottom w:val="single" w:sz="4" w:space="0" w:color="auto"/>
              <w:right w:val="single" w:sz="4" w:space="0" w:color="auto"/>
            </w:tcBorders>
            <w:shd w:val="clear" w:color="auto" w:fill="auto"/>
            <w:vAlign w:val="center"/>
            <w:hideMark/>
          </w:tcPr>
          <w:p w14:paraId="034F071F" w14:textId="1063B75F"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 xml:space="preserve">H5 </w:t>
            </w:r>
          </w:p>
        </w:tc>
        <w:tc>
          <w:tcPr>
            <w:tcW w:w="335" w:type="pct"/>
            <w:tcBorders>
              <w:top w:val="nil"/>
              <w:left w:val="nil"/>
              <w:bottom w:val="single" w:sz="4" w:space="0" w:color="auto"/>
              <w:right w:val="single" w:sz="4" w:space="0" w:color="auto"/>
            </w:tcBorders>
            <w:shd w:val="clear" w:color="auto" w:fill="auto"/>
            <w:vAlign w:val="center"/>
            <w:hideMark/>
          </w:tcPr>
          <w:p w14:paraId="09D0EEFB"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 xml:space="preserve"> I </w:t>
            </w:r>
          </w:p>
        </w:tc>
      </w:tr>
      <w:tr w:rsidR="00FE4A4E" w:rsidRPr="00FE4A4E" w14:paraId="5F2DB22D" w14:textId="77777777" w:rsidTr="00C50B0C">
        <w:trPr>
          <w:trHeight w:val="510"/>
          <w:jc w:val="center"/>
        </w:trPr>
        <w:tc>
          <w:tcPr>
            <w:tcW w:w="96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7B3F07DC"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Período</w:t>
            </w:r>
          </w:p>
        </w:tc>
        <w:tc>
          <w:tcPr>
            <w:tcW w:w="176" w:type="pct"/>
            <w:tcBorders>
              <w:top w:val="nil"/>
              <w:left w:val="nil"/>
              <w:bottom w:val="single" w:sz="4" w:space="0" w:color="auto"/>
              <w:right w:val="single" w:sz="4" w:space="0" w:color="auto"/>
            </w:tcBorders>
            <w:shd w:val="clear" w:color="auto" w:fill="auto"/>
            <w:vAlign w:val="center"/>
            <w:hideMark/>
          </w:tcPr>
          <w:p w14:paraId="3C1D7108"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P1</w:t>
            </w:r>
          </w:p>
        </w:tc>
        <w:tc>
          <w:tcPr>
            <w:tcW w:w="335" w:type="pct"/>
            <w:tcBorders>
              <w:top w:val="nil"/>
              <w:left w:val="nil"/>
              <w:bottom w:val="nil"/>
              <w:right w:val="nil"/>
            </w:tcBorders>
            <w:shd w:val="clear" w:color="auto" w:fill="D9D9D9"/>
            <w:vAlign w:val="center"/>
            <w:hideMark/>
          </w:tcPr>
          <w:p w14:paraId="50860391"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w:t>
            </w:r>
          </w:p>
        </w:tc>
        <w:tc>
          <w:tcPr>
            <w:tcW w:w="328" w:type="pct"/>
            <w:tcBorders>
              <w:top w:val="nil"/>
              <w:left w:val="single" w:sz="4" w:space="0" w:color="auto"/>
              <w:bottom w:val="nil"/>
              <w:right w:val="single" w:sz="4" w:space="0" w:color="auto"/>
            </w:tcBorders>
            <w:shd w:val="clear" w:color="auto" w:fill="auto"/>
            <w:vAlign w:val="center"/>
            <w:hideMark/>
          </w:tcPr>
          <w:p w14:paraId="4043AC57"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0"/>
                <w:szCs w:val="20"/>
              </w:rPr>
              <w:t> </w:t>
            </w:r>
          </w:p>
        </w:tc>
        <w:tc>
          <w:tcPr>
            <w:tcW w:w="447" w:type="pct"/>
            <w:tcBorders>
              <w:top w:val="nil"/>
              <w:left w:val="nil"/>
              <w:bottom w:val="nil"/>
              <w:right w:val="single" w:sz="4" w:space="0" w:color="auto"/>
            </w:tcBorders>
            <w:shd w:val="clear" w:color="auto" w:fill="auto"/>
            <w:vAlign w:val="center"/>
            <w:hideMark/>
          </w:tcPr>
          <w:p w14:paraId="7F375733"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0"/>
                <w:szCs w:val="20"/>
              </w:rPr>
              <w:t> </w:t>
            </w:r>
          </w:p>
        </w:tc>
        <w:tc>
          <w:tcPr>
            <w:tcW w:w="403" w:type="pct"/>
            <w:tcBorders>
              <w:top w:val="nil"/>
              <w:left w:val="nil"/>
              <w:bottom w:val="nil"/>
              <w:right w:val="single" w:sz="4" w:space="0" w:color="auto"/>
            </w:tcBorders>
            <w:shd w:val="clear" w:color="auto" w:fill="auto"/>
            <w:vAlign w:val="center"/>
            <w:hideMark/>
          </w:tcPr>
          <w:p w14:paraId="09193851"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0"/>
                <w:szCs w:val="20"/>
              </w:rPr>
              <w:t> </w:t>
            </w:r>
          </w:p>
        </w:tc>
        <w:tc>
          <w:tcPr>
            <w:tcW w:w="380" w:type="pct"/>
            <w:tcBorders>
              <w:top w:val="nil"/>
              <w:left w:val="nil"/>
              <w:bottom w:val="nil"/>
              <w:right w:val="single" w:sz="4" w:space="0" w:color="auto"/>
            </w:tcBorders>
            <w:shd w:val="clear" w:color="auto" w:fill="auto"/>
            <w:vAlign w:val="center"/>
            <w:hideMark/>
          </w:tcPr>
          <w:p w14:paraId="27922769"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0"/>
                <w:szCs w:val="20"/>
              </w:rPr>
              <w:t> </w:t>
            </w:r>
          </w:p>
        </w:tc>
        <w:tc>
          <w:tcPr>
            <w:tcW w:w="353" w:type="pct"/>
            <w:tcBorders>
              <w:top w:val="nil"/>
              <w:left w:val="nil"/>
              <w:bottom w:val="nil"/>
              <w:right w:val="single" w:sz="4" w:space="0" w:color="auto"/>
            </w:tcBorders>
            <w:shd w:val="clear" w:color="auto" w:fill="auto"/>
            <w:vAlign w:val="center"/>
            <w:hideMark/>
          </w:tcPr>
          <w:p w14:paraId="2CFEB286"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0"/>
                <w:szCs w:val="20"/>
              </w:rPr>
              <w:t> </w:t>
            </w:r>
          </w:p>
        </w:tc>
        <w:tc>
          <w:tcPr>
            <w:tcW w:w="447" w:type="pct"/>
            <w:tcBorders>
              <w:top w:val="nil"/>
              <w:left w:val="nil"/>
              <w:bottom w:val="nil"/>
              <w:right w:val="single" w:sz="4" w:space="0" w:color="auto"/>
            </w:tcBorders>
            <w:shd w:val="clear" w:color="auto" w:fill="auto"/>
            <w:vAlign w:val="center"/>
            <w:hideMark/>
          </w:tcPr>
          <w:p w14:paraId="42138E2E"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0"/>
                <w:szCs w:val="20"/>
              </w:rPr>
              <w:t> </w:t>
            </w:r>
          </w:p>
        </w:tc>
        <w:tc>
          <w:tcPr>
            <w:tcW w:w="162" w:type="pct"/>
            <w:tcBorders>
              <w:top w:val="nil"/>
              <w:left w:val="nil"/>
              <w:bottom w:val="nil"/>
              <w:right w:val="single" w:sz="4" w:space="0" w:color="auto"/>
            </w:tcBorders>
            <w:shd w:val="clear" w:color="auto" w:fill="auto"/>
            <w:vAlign w:val="center"/>
            <w:hideMark/>
          </w:tcPr>
          <w:p w14:paraId="034249D7"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0"/>
                <w:szCs w:val="20"/>
              </w:rPr>
              <w:t> </w:t>
            </w:r>
          </w:p>
        </w:tc>
        <w:tc>
          <w:tcPr>
            <w:tcW w:w="168" w:type="pct"/>
            <w:tcBorders>
              <w:top w:val="nil"/>
              <w:left w:val="nil"/>
              <w:bottom w:val="nil"/>
              <w:right w:val="single" w:sz="4" w:space="0" w:color="auto"/>
            </w:tcBorders>
            <w:shd w:val="clear" w:color="auto" w:fill="auto"/>
            <w:vAlign w:val="center"/>
            <w:hideMark/>
          </w:tcPr>
          <w:p w14:paraId="21176964"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0"/>
                <w:szCs w:val="20"/>
              </w:rPr>
              <w:t> </w:t>
            </w:r>
          </w:p>
        </w:tc>
        <w:tc>
          <w:tcPr>
            <w:tcW w:w="168" w:type="pct"/>
            <w:tcBorders>
              <w:top w:val="nil"/>
              <w:left w:val="nil"/>
              <w:bottom w:val="nil"/>
              <w:right w:val="single" w:sz="4" w:space="0" w:color="auto"/>
            </w:tcBorders>
            <w:shd w:val="clear" w:color="auto" w:fill="auto"/>
            <w:vAlign w:val="center"/>
            <w:hideMark/>
          </w:tcPr>
          <w:p w14:paraId="1A32E239"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0"/>
                <w:szCs w:val="20"/>
              </w:rPr>
              <w:t> </w:t>
            </w:r>
          </w:p>
        </w:tc>
        <w:tc>
          <w:tcPr>
            <w:tcW w:w="168" w:type="pct"/>
            <w:tcBorders>
              <w:top w:val="nil"/>
              <w:left w:val="nil"/>
              <w:bottom w:val="nil"/>
              <w:right w:val="single" w:sz="4" w:space="0" w:color="auto"/>
            </w:tcBorders>
            <w:shd w:val="clear" w:color="auto" w:fill="auto"/>
            <w:vAlign w:val="center"/>
            <w:hideMark/>
          </w:tcPr>
          <w:p w14:paraId="2D1D545D"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0"/>
                <w:szCs w:val="20"/>
              </w:rPr>
              <w:t> </w:t>
            </w:r>
          </w:p>
        </w:tc>
        <w:tc>
          <w:tcPr>
            <w:tcW w:w="169" w:type="pct"/>
            <w:tcBorders>
              <w:top w:val="nil"/>
              <w:left w:val="nil"/>
              <w:bottom w:val="nil"/>
              <w:right w:val="single" w:sz="4" w:space="0" w:color="auto"/>
            </w:tcBorders>
            <w:shd w:val="clear" w:color="auto" w:fill="auto"/>
            <w:vAlign w:val="center"/>
            <w:hideMark/>
          </w:tcPr>
          <w:p w14:paraId="593A3B57"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335" w:type="pct"/>
            <w:tcBorders>
              <w:top w:val="nil"/>
              <w:left w:val="nil"/>
              <w:bottom w:val="nil"/>
              <w:right w:val="single" w:sz="4" w:space="0" w:color="auto"/>
            </w:tcBorders>
            <w:shd w:val="clear" w:color="auto" w:fill="D9D9D9"/>
            <w:vAlign w:val="center"/>
            <w:hideMark/>
          </w:tcPr>
          <w:p w14:paraId="2A03645B"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w:t>
            </w:r>
          </w:p>
        </w:tc>
      </w:tr>
      <w:tr w:rsidR="00FE4A4E" w:rsidRPr="00FE4A4E" w14:paraId="0CC9525D" w14:textId="77777777" w:rsidTr="00C50B0C">
        <w:trPr>
          <w:trHeight w:val="480"/>
          <w:jc w:val="center"/>
        </w:trPr>
        <w:tc>
          <w:tcPr>
            <w:tcW w:w="961" w:type="pct"/>
            <w:vMerge/>
            <w:tcBorders>
              <w:top w:val="nil"/>
              <w:left w:val="single" w:sz="4" w:space="0" w:color="auto"/>
              <w:bottom w:val="single" w:sz="4" w:space="0" w:color="000000"/>
              <w:right w:val="single" w:sz="4" w:space="0" w:color="auto"/>
            </w:tcBorders>
            <w:vAlign w:val="center"/>
            <w:hideMark/>
          </w:tcPr>
          <w:p w14:paraId="77194E3F" w14:textId="77777777" w:rsidR="00FE4A4E" w:rsidRPr="00FE4A4E" w:rsidRDefault="00FE4A4E" w:rsidP="00FE4A4E">
            <w:pPr>
              <w:spacing w:after="0" w:line="240" w:lineRule="auto"/>
              <w:rPr>
                <w:rFonts w:ascii="Garamond" w:eastAsia="Times New Roman" w:hAnsi="Garamond" w:cs="Calibri"/>
                <w:b/>
                <w:color w:val="000000"/>
                <w:sz w:val="24"/>
                <w:szCs w:val="24"/>
                <w:lang w:eastAsia="pt-BR"/>
              </w:rPr>
            </w:pPr>
          </w:p>
        </w:tc>
        <w:tc>
          <w:tcPr>
            <w:tcW w:w="176" w:type="pct"/>
            <w:tcBorders>
              <w:top w:val="nil"/>
              <w:left w:val="nil"/>
              <w:bottom w:val="single" w:sz="4" w:space="0" w:color="auto"/>
              <w:right w:val="single" w:sz="4" w:space="0" w:color="auto"/>
            </w:tcBorders>
            <w:shd w:val="clear" w:color="auto" w:fill="auto"/>
            <w:vAlign w:val="center"/>
            <w:hideMark/>
          </w:tcPr>
          <w:p w14:paraId="20DBC84A"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P2</w:t>
            </w:r>
          </w:p>
        </w:tc>
        <w:tc>
          <w:tcPr>
            <w:tcW w:w="335" w:type="pct"/>
            <w:tcBorders>
              <w:top w:val="nil"/>
              <w:left w:val="nil"/>
              <w:bottom w:val="nil"/>
              <w:right w:val="single" w:sz="4" w:space="0" w:color="auto"/>
            </w:tcBorders>
            <w:shd w:val="clear" w:color="auto" w:fill="D9D9D9"/>
            <w:vAlign w:val="center"/>
            <w:hideMark/>
          </w:tcPr>
          <w:p w14:paraId="2A9F8D09"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w:t>
            </w:r>
          </w:p>
        </w:tc>
        <w:tc>
          <w:tcPr>
            <w:tcW w:w="328" w:type="pct"/>
            <w:tcBorders>
              <w:top w:val="nil"/>
              <w:left w:val="nil"/>
              <w:bottom w:val="nil"/>
              <w:right w:val="single" w:sz="4" w:space="0" w:color="auto"/>
            </w:tcBorders>
            <w:shd w:val="clear" w:color="auto" w:fill="auto"/>
            <w:vAlign w:val="center"/>
            <w:hideMark/>
          </w:tcPr>
          <w:p w14:paraId="45F2570E"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447" w:type="pct"/>
            <w:tcBorders>
              <w:top w:val="nil"/>
              <w:left w:val="nil"/>
              <w:bottom w:val="nil"/>
              <w:right w:val="single" w:sz="4" w:space="0" w:color="auto"/>
            </w:tcBorders>
            <w:shd w:val="clear" w:color="auto" w:fill="auto"/>
            <w:vAlign w:val="center"/>
            <w:hideMark/>
          </w:tcPr>
          <w:p w14:paraId="7D02842E"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403" w:type="pct"/>
            <w:tcBorders>
              <w:top w:val="nil"/>
              <w:left w:val="nil"/>
              <w:bottom w:val="nil"/>
              <w:right w:val="single" w:sz="4" w:space="0" w:color="auto"/>
            </w:tcBorders>
            <w:shd w:val="clear" w:color="auto" w:fill="auto"/>
            <w:vAlign w:val="center"/>
            <w:hideMark/>
          </w:tcPr>
          <w:p w14:paraId="6495DF94"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380" w:type="pct"/>
            <w:tcBorders>
              <w:top w:val="nil"/>
              <w:left w:val="nil"/>
              <w:bottom w:val="nil"/>
              <w:right w:val="single" w:sz="4" w:space="0" w:color="auto"/>
            </w:tcBorders>
            <w:shd w:val="clear" w:color="auto" w:fill="auto"/>
            <w:vAlign w:val="center"/>
            <w:hideMark/>
          </w:tcPr>
          <w:p w14:paraId="64AF2F2B"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353" w:type="pct"/>
            <w:tcBorders>
              <w:top w:val="nil"/>
              <w:left w:val="nil"/>
              <w:bottom w:val="nil"/>
              <w:right w:val="single" w:sz="4" w:space="0" w:color="auto"/>
            </w:tcBorders>
            <w:shd w:val="clear" w:color="auto" w:fill="auto"/>
            <w:vAlign w:val="center"/>
            <w:hideMark/>
          </w:tcPr>
          <w:p w14:paraId="2FB16EDF"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447" w:type="pct"/>
            <w:tcBorders>
              <w:top w:val="nil"/>
              <w:left w:val="nil"/>
              <w:bottom w:val="nil"/>
              <w:right w:val="single" w:sz="4" w:space="0" w:color="auto"/>
            </w:tcBorders>
            <w:shd w:val="clear" w:color="auto" w:fill="auto"/>
            <w:vAlign w:val="center"/>
            <w:hideMark/>
          </w:tcPr>
          <w:p w14:paraId="44F72A37"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2" w:type="pct"/>
            <w:tcBorders>
              <w:top w:val="nil"/>
              <w:left w:val="nil"/>
              <w:bottom w:val="nil"/>
              <w:right w:val="single" w:sz="4" w:space="0" w:color="auto"/>
            </w:tcBorders>
            <w:shd w:val="clear" w:color="auto" w:fill="auto"/>
            <w:vAlign w:val="center"/>
            <w:hideMark/>
          </w:tcPr>
          <w:p w14:paraId="591B6B94"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8" w:type="pct"/>
            <w:tcBorders>
              <w:top w:val="nil"/>
              <w:left w:val="nil"/>
              <w:bottom w:val="nil"/>
              <w:right w:val="single" w:sz="4" w:space="0" w:color="auto"/>
            </w:tcBorders>
            <w:shd w:val="clear" w:color="auto" w:fill="auto"/>
            <w:vAlign w:val="center"/>
            <w:hideMark/>
          </w:tcPr>
          <w:p w14:paraId="0BFAE050"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8" w:type="pct"/>
            <w:tcBorders>
              <w:top w:val="nil"/>
              <w:left w:val="nil"/>
              <w:bottom w:val="nil"/>
              <w:right w:val="single" w:sz="4" w:space="0" w:color="auto"/>
            </w:tcBorders>
            <w:shd w:val="clear" w:color="auto" w:fill="auto"/>
            <w:vAlign w:val="center"/>
            <w:hideMark/>
          </w:tcPr>
          <w:p w14:paraId="327C24D8"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8" w:type="pct"/>
            <w:tcBorders>
              <w:top w:val="nil"/>
              <w:left w:val="nil"/>
              <w:bottom w:val="nil"/>
              <w:right w:val="single" w:sz="4" w:space="0" w:color="auto"/>
            </w:tcBorders>
            <w:shd w:val="clear" w:color="auto" w:fill="auto"/>
            <w:vAlign w:val="center"/>
            <w:hideMark/>
          </w:tcPr>
          <w:p w14:paraId="5F9E4CC1"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9" w:type="pct"/>
            <w:tcBorders>
              <w:top w:val="nil"/>
              <w:left w:val="nil"/>
              <w:bottom w:val="nil"/>
              <w:right w:val="single" w:sz="4" w:space="0" w:color="auto"/>
            </w:tcBorders>
            <w:shd w:val="clear" w:color="auto" w:fill="auto"/>
            <w:vAlign w:val="center"/>
            <w:hideMark/>
          </w:tcPr>
          <w:p w14:paraId="56F38398"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335" w:type="pct"/>
            <w:tcBorders>
              <w:top w:val="nil"/>
              <w:left w:val="nil"/>
              <w:bottom w:val="nil"/>
              <w:right w:val="single" w:sz="4" w:space="0" w:color="auto"/>
            </w:tcBorders>
            <w:shd w:val="clear" w:color="auto" w:fill="D9D9D9"/>
            <w:vAlign w:val="center"/>
            <w:hideMark/>
          </w:tcPr>
          <w:p w14:paraId="570C453E"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w:t>
            </w:r>
          </w:p>
        </w:tc>
      </w:tr>
      <w:tr w:rsidR="00FE4A4E" w:rsidRPr="00FE4A4E" w14:paraId="7A4A465E" w14:textId="77777777" w:rsidTr="00C50B0C">
        <w:trPr>
          <w:trHeight w:val="480"/>
          <w:jc w:val="center"/>
        </w:trPr>
        <w:tc>
          <w:tcPr>
            <w:tcW w:w="961" w:type="pct"/>
            <w:vMerge/>
            <w:tcBorders>
              <w:top w:val="nil"/>
              <w:left w:val="single" w:sz="4" w:space="0" w:color="auto"/>
              <w:bottom w:val="single" w:sz="4" w:space="0" w:color="000000"/>
              <w:right w:val="single" w:sz="4" w:space="0" w:color="auto"/>
            </w:tcBorders>
            <w:vAlign w:val="center"/>
            <w:hideMark/>
          </w:tcPr>
          <w:p w14:paraId="22697069" w14:textId="77777777" w:rsidR="00FE4A4E" w:rsidRPr="00FE4A4E" w:rsidRDefault="00FE4A4E" w:rsidP="00FE4A4E">
            <w:pPr>
              <w:spacing w:after="0" w:line="240" w:lineRule="auto"/>
              <w:rPr>
                <w:rFonts w:ascii="Garamond" w:eastAsia="Times New Roman" w:hAnsi="Garamond" w:cs="Calibri"/>
                <w:b/>
                <w:color w:val="000000"/>
                <w:sz w:val="24"/>
                <w:szCs w:val="24"/>
                <w:lang w:eastAsia="pt-BR"/>
              </w:rPr>
            </w:pPr>
          </w:p>
        </w:tc>
        <w:tc>
          <w:tcPr>
            <w:tcW w:w="176" w:type="pct"/>
            <w:tcBorders>
              <w:top w:val="nil"/>
              <w:left w:val="nil"/>
              <w:bottom w:val="single" w:sz="4" w:space="0" w:color="auto"/>
              <w:right w:val="single" w:sz="4" w:space="0" w:color="auto"/>
            </w:tcBorders>
            <w:shd w:val="clear" w:color="auto" w:fill="auto"/>
            <w:vAlign w:val="center"/>
            <w:hideMark/>
          </w:tcPr>
          <w:p w14:paraId="420A2F95"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P3</w:t>
            </w:r>
          </w:p>
        </w:tc>
        <w:tc>
          <w:tcPr>
            <w:tcW w:w="335" w:type="pct"/>
            <w:tcBorders>
              <w:top w:val="nil"/>
              <w:left w:val="nil"/>
              <w:bottom w:val="nil"/>
              <w:right w:val="single" w:sz="4" w:space="0" w:color="auto"/>
            </w:tcBorders>
            <w:shd w:val="clear" w:color="000000" w:fill="D9D9D9"/>
            <w:vAlign w:val="center"/>
            <w:hideMark/>
          </w:tcPr>
          <w:p w14:paraId="1BD02CE4"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w:t>
            </w:r>
          </w:p>
        </w:tc>
        <w:tc>
          <w:tcPr>
            <w:tcW w:w="328" w:type="pct"/>
            <w:tcBorders>
              <w:top w:val="nil"/>
              <w:left w:val="nil"/>
              <w:bottom w:val="nil"/>
              <w:right w:val="single" w:sz="4" w:space="0" w:color="auto"/>
            </w:tcBorders>
            <w:shd w:val="clear" w:color="auto" w:fill="auto"/>
            <w:vAlign w:val="center"/>
            <w:hideMark/>
          </w:tcPr>
          <w:p w14:paraId="1C56DE6D"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447" w:type="pct"/>
            <w:tcBorders>
              <w:top w:val="nil"/>
              <w:left w:val="nil"/>
              <w:bottom w:val="nil"/>
              <w:right w:val="single" w:sz="4" w:space="0" w:color="auto"/>
            </w:tcBorders>
            <w:shd w:val="clear" w:color="auto" w:fill="auto"/>
            <w:vAlign w:val="center"/>
            <w:hideMark/>
          </w:tcPr>
          <w:p w14:paraId="4B9FCCE5"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403" w:type="pct"/>
            <w:tcBorders>
              <w:top w:val="nil"/>
              <w:left w:val="nil"/>
              <w:bottom w:val="nil"/>
              <w:right w:val="single" w:sz="4" w:space="0" w:color="auto"/>
            </w:tcBorders>
            <w:shd w:val="clear" w:color="auto" w:fill="auto"/>
            <w:vAlign w:val="center"/>
            <w:hideMark/>
          </w:tcPr>
          <w:p w14:paraId="4C844A1A"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380" w:type="pct"/>
            <w:tcBorders>
              <w:top w:val="nil"/>
              <w:left w:val="nil"/>
              <w:bottom w:val="nil"/>
              <w:right w:val="single" w:sz="4" w:space="0" w:color="auto"/>
            </w:tcBorders>
            <w:shd w:val="clear" w:color="auto" w:fill="auto"/>
            <w:vAlign w:val="center"/>
            <w:hideMark/>
          </w:tcPr>
          <w:p w14:paraId="0A1BAA48"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353" w:type="pct"/>
            <w:tcBorders>
              <w:top w:val="nil"/>
              <w:left w:val="nil"/>
              <w:bottom w:val="nil"/>
              <w:right w:val="single" w:sz="4" w:space="0" w:color="auto"/>
            </w:tcBorders>
            <w:shd w:val="clear" w:color="auto" w:fill="auto"/>
            <w:vAlign w:val="center"/>
            <w:hideMark/>
          </w:tcPr>
          <w:p w14:paraId="62602FAC"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447" w:type="pct"/>
            <w:tcBorders>
              <w:top w:val="nil"/>
              <w:left w:val="nil"/>
              <w:bottom w:val="nil"/>
              <w:right w:val="single" w:sz="4" w:space="0" w:color="auto"/>
            </w:tcBorders>
            <w:shd w:val="clear" w:color="auto" w:fill="auto"/>
            <w:vAlign w:val="center"/>
            <w:hideMark/>
          </w:tcPr>
          <w:p w14:paraId="1F11B712"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2" w:type="pct"/>
            <w:tcBorders>
              <w:top w:val="nil"/>
              <w:left w:val="nil"/>
              <w:bottom w:val="nil"/>
              <w:right w:val="single" w:sz="4" w:space="0" w:color="auto"/>
            </w:tcBorders>
            <w:shd w:val="clear" w:color="auto" w:fill="auto"/>
            <w:vAlign w:val="center"/>
            <w:hideMark/>
          </w:tcPr>
          <w:p w14:paraId="05A9025D"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8" w:type="pct"/>
            <w:tcBorders>
              <w:top w:val="nil"/>
              <w:left w:val="nil"/>
              <w:bottom w:val="nil"/>
              <w:right w:val="single" w:sz="4" w:space="0" w:color="auto"/>
            </w:tcBorders>
            <w:shd w:val="clear" w:color="auto" w:fill="auto"/>
            <w:vAlign w:val="center"/>
            <w:hideMark/>
          </w:tcPr>
          <w:p w14:paraId="3FCC4E93"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8" w:type="pct"/>
            <w:tcBorders>
              <w:top w:val="nil"/>
              <w:left w:val="nil"/>
              <w:bottom w:val="nil"/>
              <w:right w:val="single" w:sz="4" w:space="0" w:color="auto"/>
            </w:tcBorders>
            <w:shd w:val="clear" w:color="auto" w:fill="auto"/>
            <w:vAlign w:val="center"/>
            <w:hideMark/>
          </w:tcPr>
          <w:p w14:paraId="1BEF3E5D"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8" w:type="pct"/>
            <w:tcBorders>
              <w:top w:val="nil"/>
              <w:left w:val="nil"/>
              <w:bottom w:val="nil"/>
              <w:right w:val="single" w:sz="4" w:space="0" w:color="auto"/>
            </w:tcBorders>
            <w:shd w:val="clear" w:color="auto" w:fill="auto"/>
            <w:vAlign w:val="center"/>
            <w:hideMark/>
          </w:tcPr>
          <w:p w14:paraId="44382AE9"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9" w:type="pct"/>
            <w:tcBorders>
              <w:top w:val="nil"/>
              <w:left w:val="nil"/>
              <w:bottom w:val="nil"/>
              <w:right w:val="single" w:sz="4" w:space="0" w:color="auto"/>
            </w:tcBorders>
            <w:shd w:val="clear" w:color="auto" w:fill="auto"/>
            <w:vAlign w:val="center"/>
            <w:hideMark/>
          </w:tcPr>
          <w:p w14:paraId="39D2FE2B"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335" w:type="pct"/>
            <w:tcBorders>
              <w:top w:val="nil"/>
              <w:left w:val="nil"/>
              <w:bottom w:val="nil"/>
              <w:right w:val="single" w:sz="4" w:space="0" w:color="auto"/>
            </w:tcBorders>
            <w:shd w:val="clear" w:color="auto" w:fill="D9D9D9"/>
            <w:vAlign w:val="center"/>
            <w:hideMark/>
          </w:tcPr>
          <w:p w14:paraId="6E6D8312"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w:t>
            </w:r>
          </w:p>
        </w:tc>
      </w:tr>
      <w:tr w:rsidR="00FE4A4E" w:rsidRPr="00FE4A4E" w14:paraId="7E904B46" w14:textId="77777777" w:rsidTr="00C50B0C">
        <w:trPr>
          <w:trHeight w:val="480"/>
          <w:jc w:val="center"/>
        </w:trPr>
        <w:tc>
          <w:tcPr>
            <w:tcW w:w="961" w:type="pct"/>
            <w:vMerge/>
            <w:tcBorders>
              <w:top w:val="nil"/>
              <w:left w:val="single" w:sz="4" w:space="0" w:color="auto"/>
              <w:bottom w:val="single" w:sz="4" w:space="0" w:color="000000"/>
              <w:right w:val="single" w:sz="4" w:space="0" w:color="auto"/>
            </w:tcBorders>
            <w:vAlign w:val="center"/>
            <w:hideMark/>
          </w:tcPr>
          <w:p w14:paraId="0E7A75AB" w14:textId="77777777" w:rsidR="00FE4A4E" w:rsidRPr="00FE4A4E" w:rsidRDefault="00FE4A4E" w:rsidP="00FE4A4E">
            <w:pPr>
              <w:spacing w:after="0" w:line="240" w:lineRule="auto"/>
              <w:rPr>
                <w:rFonts w:ascii="Garamond" w:eastAsia="Times New Roman" w:hAnsi="Garamond" w:cs="Calibri"/>
                <w:b/>
                <w:color w:val="000000"/>
                <w:sz w:val="24"/>
                <w:szCs w:val="24"/>
                <w:lang w:eastAsia="pt-BR"/>
              </w:rPr>
            </w:pPr>
          </w:p>
        </w:tc>
        <w:tc>
          <w:tcPr>
            <w:tcW w:w="176" w:type="pct"/>
            <w:tcBorders>
              <w:top w:val="nil"/>
              <w:left w:val="nil"/>
              <w:bottom w:val="single" w:sz="4" w:space="0" w:color="auto"/>
              <w:right w:val="single" w:sz="4" w:space="0" w:color="auto"/>
            </w:tcBorders>
            <w:shd w:val="clear" w:color="auto" w:fill="auto"/>
            <w:vAlign w:val="center"/>
            <w:hideMark/>
          </w:tcPr>
          <w:p w14:paraId="0B00DBCB"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P4</w:t>
            </w:r>
          </w:p>
        </w:tc>
        <w:tc>
          <w:tcPr>
            <w:tcW w:w="335" w:type="pct"/>
            <w:tcBorders>
              <w:top w:val="nil"/>
              <w:left w:val="nil"/>
              <w:bottom w:val="nil"/>
              <w:right w:val="single" w:sz="4" w:space="0" w:color="auto"/>
            </w:tcBorders>
            <w:shd w:val="clear" w:color="000000" w:fill="D9D9D9"/>
            <w:vAlign w:val="center"/>
            <w:hideMark/>
          </w:tcPr>
          <w:p w14:paraId="3AFCB6D7"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w:t>
            </w:r>
          </w:p>
        </w:tc>
        <w:tc>
          <w:tcPr>
            <w:tcW w:w="328" w:type="pct"/>
            <w:tcBorders>
              <w:top w:val="nil"/>
              <w:left w:val="nil"/>
              <w:bottom w:val="nil"/>
              <w:right w:val="single" w:sz="4" w:space="0" w:color="auto"/>
            </w:tcBorders>
            <w:shd w:val="clear" w:color="auto" w:fill="auto"/>
            <w:vAlign w:val="center"/>
            <w:hideMark/>
          </w:tcPr>
          <w:p w14:paraId="0BFF2383"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447" w:type="pct"/>
            <w:tcBorders>
              <w:top w:val="nil"/>
              <w:left w:val="nil"/>
              <w:bottom w:val="nil"/>
              <w:right w:val="single" w:sz="4" w:space="0" w:color="auto"/>
            </w:tcBorders>
            <w:shd w:val="clear" w:color="auto" w:fill="auto"/>
            <w:vAlign w:val="center"/>
            <w:hideMark/>
          </w:tcPr>
          <w:p w14:paraId="5601FE0E"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403" w:type="pct"/>
            <w:tcBorders>
              <w:top w:val="nil"/>
              <w:left w:val="nil"/>
              <w:bottom w:val="nil"/>
              <w:right w:val="single" w:sz="4" w:space="0" w:color="auto"/>
            </w:tcBorders>
            <w:shd w:val="clear" w:color="auto" w:fill="auto"/>
            <w:vAlign w:val="center"/>
            <w:hideMark/>
          </w:tcPr>
          <w:p w14:paraId="257C3209"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380" w:type="pct"/>
            <w:tcBorders>
              <w:top w:val="nil"/>
              <w:left w:val="nil"/>
              <w:bottom w:val="nil"/>
              <w:right w:val="single" w:sz="4" w:space="0" w:color="auto"/>
            </w:tcBorders>
            <w:shd w:val="clear" w:color="auto" w:fill="auto"/>
            <w:vAlign w:val="center"/>
            <w:hideMark/>
          </w:tcPr>
          <w:p w14:paraId="289839AB"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353" w:type="pct"/>
            <w:tcBorders>
              <w:top w:val="nil"/>
              <w:left w:val="nil"/>
              <w:bottom w:val="nil"/>
              <w:right w:val="single" w:sz="4" w:space="0" w:color="auto"/>
            </w:tcBorders>
            <w:shd w:val="clear" w:color="auto" w:fill="auto"/>
            <w:vAlign w:val="center"/>
            <w:hideMark/>
          </w:tcPr>
          <w:p w14:paraId="72E92A03"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447" w:type="pct"/>
            <w:tcBorders>
              <w:top w:val="nil"/>
              <w:left w:val="nil"/>
              <w:bottom w:val="nil"/>
              <w:right w:val="single" w:sz="4" w:space="0" w:color="auto"/>
            </w:tcBorders>
            <w:shd w:val="clear" w:color="auto" w:fill="auto"/>
            <w:vAlign w:val="center"/>
            <w:hideMark/>
          </w:tcPr>
          <w:p w14:paraId="75FDAD92"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2" w:type="pct"/>
            <w:tcBorders>
              <w:top w:val="nil"/>
              <w:left w:val="nil"/>
              <w:bottom w:val="nil"/>
              <w:right w:val="single" w:sz="4" w:space="0" w:color="auto"/>
            </w:tcBorders>
            <w:shd w:val="clear" w:color="auto" w:fill="auto"/>
            <w:vAlign w:val="center"/>
            <w:hideMark/>
          </w:tcPr>
          <w:p w14:paraId="1FF8BD3E"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8" w:type="pct"/>
            <w:tcBorders>
              <w:top w:val="nil"/>
              <w:left w:val="nil"/>
              <w:bottom w:val="nil"/>
              <w:right w:val="single" w:sz="4" w:space="0" w:color="auto"/>
            </w:tcBorders>
            <w:shd w:val="clear" w:color="auto" w:fill="auto"/>
            <w:vAlign w:val="center"/>
            <w:hideMark/>
          </w:tcPr>
          <w:p w14:paraId="2480A919"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8" w:type="pct"/>
            <w:tcBorders>
              <w:top w:val="nil"/>
              <w:left w:val="nil"/>
              <w:bottom w:val="nil"/>
              <w:right w:val="single" w:sz="4" w:space="0" w:color="auto"/>
            </w:tcBorders>
            <w:shd w:val="clear" w:color="auto" w:fill="auto"/>
            <w:vAlign w:val="center"/>
            <w:hideMark/>
          </w:tcPr>
          <w:p w14:paraId="76E3F90C"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8" w:type="pct"/>
            <w:tcBorders>
              <w:top w:val="nil"/>
              <w:left w:val="nil"/>
              <w:bottom w:val="nil"/>
              <w:right w:val="single" w:sz="4" w:space="0" w:color="auto"/>
            </w:tcBorders>
            <w:shd w:val="clear" w:color="auto" w:fill="auto"/>
            <w:vAlign w:val="center"/>
            <w:hideMark/>
          </w:tcPr>
          <w:p w14:paraId="22D640D1"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9" w:type="pct"/>
            <w:tcBorders>
              <w:top w:val="nil"/>
              <w:left w:val="nil"/>
              <w:bottom w:val="nil"/>
              <w:right w:val="single" w:sz="4" w:space="0" w:color="auto"/>
            </w:tcBorders>
            <w:shd w:val="clear" w:color="auto" w:fill="auto"/>
            <w:vAlign w:val="center"/>
            <w:hideMark/>
          </w:tcPr>
          <w:p w14:paraId="1081445B"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335" w:type="pct"/>
            <w:tcBorders>
              <w:top w:val="nil"/>
              <w:left w:val="nil"/>
              <w:bottom w:val="nil"/>
              <w:right w:val="single" w:sz="4" w:space="0" w:color="auto"/>
            </w:tcBorders>
            <w:shd w:val="clear" w:color="auto" w:fill="D9D9D9"/>
            <w:vAlign w:val="center"/>
            <w:hideMark/>
          </w:tcPr>
          <w:p w14:paraId="4A2813E6"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w:t>
            </w:r>
          </w:p>
        </w:tc>
      </w:tr>
      <w:tr w:rsidR="00FE4A4E" w:rsidRPr="00FE4A4E" w14:paraId="2C1BC0DF" w14:textId="77777777" w:rsidTr="00C50B0C">
        <w:trPr>
          <w:trHeight w:val="480"/>
          <w:jc w:val="center"/>
        </w:trPr>
        <w:tc>
          <w:tcPr>
            <w:tcW w:w="961" w:type="pct"/>
            <w:vMerge/>
            <w:tcBorders>
              <w:top w:val="nil"/>
              <w:left w:val="single" w:sz="4" w:space="0" w:color="auto"/>
              <w:bottom w:val="single" w:sz="4" w:space="0" w:color="000000"/>
              <w:right w:val="single" w:sz="4" w:space="0" w:color="auto"/>
            </w:tcBorders>
            <w:vAlign w:val="center"/>
            <w:hideMark/>
          </w:tcPr>
          <w:p w14:paraId="00A4ABC7" w14:textId="77777777" w:rsidR="00FE4A4E" w:rsidRPr="00FE4A4E" w:rsidRDefault="00FE4A4E" w:rsidP="00FE4A4E">
            <w:pPr>
              <w:spacing w:after="0" w:line="240" w:lineRule="auto"/>
              <w:rPr>
                <w:rFonts w:ascii="Garamond" w:eastAsia="Times New Roman" w:hAnsi="Garamond" w:cs="Calibri"/>
                <w:b/>
                <w:color w:val="000000"/>
                <w:sz w:val="24"/>
                <w:szCs w:val="24"/>
                <w:lang w:eastAsia="pt-BR"/>
              </w:rPr>
            </w:pPr>
          </w:p>
        </w:tc>
        <w:tc>
          <w:tcPr>
            <w:tcW w:w="176" w:type="pct"/>
            <w:tcBorders>
              <w:top w:val="nil"/>
              <w:left w:val="nil"/>
              <w:bottom w:val="single" w:sz="4" w:space="0" w:color="auto"/>
              <w:right w:val="single" w:sz="4" w:space="0" w:color="auto"/>
            </w:tcBorders>
            <w:shd w:val="clear" w:color="auto" w:fill="auto"/>
            <w:vAlign w:val="center"/>
            <w:hideMark/>
          </w:tcPr>
          <w:p w14:paraId="485EA1C5"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P5</w:t>
            </w:r>
          </w:p>
        </w:tc>
        <w:tc>
          <w:tcPr>
            <w:tcW w:w="335" w:type="pct"/>
            <w:tcBorders>
              <w:top w:val="nil"/>
              <w:left w:val="nil"/>
              <w:bottom w:val="single" w:sz="4" w:space="0" w:color="auto"/>
              <w:right w:val="single" w:sz="4" w:space="0" w:color="auto"/>
            </w:tcBorders>
            <w:shd w:val="clear" w:color="000000" w:fill="D9D9D9"/>
            <w:vAlign w:val="center"/>
            <w:hideMark/>
          </w:tcPr>
          <w:p w14:paraId="7170F069"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w:t>
            </w:r>
          </w:p>
        </w:tc>
        <w:tc>
          <w:tcPr>
            <w:tcW w:w="328" w:type="pct"/>
            <w:tcBorders>
              <w:top w:val="nil"/>
              <w:left w:val="nil"/>
              <w:bottom w:val="single" w:sz="4" w:space="0" w:color="auto"/>
              <w:right w:val="single" w:sz="4" w:space="0" w:color="auto"/>
            </w:tcBorders>
            <w:shd w:val="clear" w:color="auto" w:fill="auto"/>
            <w:vAlign w:val="center"/>
            <w:hideMark/>
          </w:tcPr>
          <w:p w14:paraId="14C3DC64"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447" w:type="pct"/>
            <w:tcBorders>
              <w:top w:val="nil"/>
              <w:left w:val="nil"/>
              <w:bottom w:val="single" w:sz="4" w:space="0" w:color="auto"/>
              <w:right w:val="single" w:sz="4" w:space="0" w:color="auto"/>
            </w:tcBorders>
            <w:shd w:val="clear" w:color="auto" w:fill="auto"/>
            <w:vAlign w:val="center"/>
            <w:hideMark/>
          </w:tcPr>
          <w:p w14:paraId="38EA9FB3"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403" w:type="pct"/>
            <w:tcBorders>
              <w:top w:val="nil"/>
              <w:left w:val="nil"/>
              <w:bottom w:val="single" w:sz="4" w:space="0" w:color="auto"/>
              <w:right w:val="single" w:sz="4" w:space="0" w:color="auto"/>
            </w:tcBorders>
            <w:shd w:val="clear" w:color="auto" w:fill="auto"/>
            <w:vAlign w:val="center"/>
            <w:hideMark/>
          </w:tcPr>
          <w:p w14:paraId="1BFD78C9"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380" w:type="pct"/>
            <w:tcBorders>
              <w:top w:val="nil"/>
              <w:left w:val="nil"/>
              <w:bottom w:val="single" w:sz="4" w:space="0" w:color="auto"/>
              <w:right w:val="single" w:sz="4" w:space="0" w:color="auto"/>
            </w:tcBorders>
            <w:shd w:val="clear" w:color="auto" w:fill="auto"/>
            <w:vAlign w:val="center"/>
            <w:hideMark/>
          </w:tcPr>
          <w:p w14:paraId="660F79EE"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353" w:type="pct"/>
            <w:tcBorders>
              <w:top w:val="nil"/>
              <w:left w:val="nil"/>
              <w:bottom w:val="single" w:sz="4" w:space="0" w:color="auto"/>
              <w:right w:val="single" w:sz="4" w:space="0" w:color="auto"/>
            </w:tcBorders>
            <w:shd w:val="clear" w:color="auto" w:fill="auto"/>
            <w:vAlign w:val="center"/>
            <w:hideMark/>
          </w:tcPr>
          <w:p w14:paraId="7AC5812A"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447" w:type="pct"/>
            <w:tcBorders>
              <w:top w:val="nil"/>
              <w:left w:val="nil"/>
              <w:bottom w:val="single" w:sz="4" w:space="0" w:color="auto"/>
              <w:right w:val="single" w:sz="4" w:space="0" w:color="auto"/>
            </w:tcBorders>
            <w:shd w:val="clear" w:color="auto" w:fill="auto"/>
            <w:vAlign w:val="center"/>
            <w:hideMark/>
          </w:tcPr>
          <w:p w14:paraId="05F92312"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2" w:type="pct"/>
            <w:tcBorders>
              <w:top w:val="nil"/>
              <w:left w:val="nil"/>
              <w:bottom w:val="single" w:sz="4" w:space="0" w:color="auto"/>
              <w:right w:val="single" w:sz="4" w:space="0" w:color="auto"/>
            </w:tcBorders>
            <w:shd w:val="clear" w:color="auto" w:fill="auto"/>
            <w:vAlign w:val="center"/>
            <w:hideMark/>
          </w:tcPr>
          <w:p w14:paraId="41C311ED"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8" w:type="pct"/>
            <w:tcBorders>
              <w:top w:val="nil"/>
              <w:left w:val="nil"/>
              <w:bottom w:val="single" w:sz="4" w:space="0" w:color="auto"/>
              <w:right w:val="single" w:sz="4" w:space="0" w:color="auto"/>
            </w:tcBorders>
            <w:shd w:val="clear" w:color="auto" w:fill="auto"/>
            <w:vAlign w:val="center"/>
            <w:hideMark/>
          </w:tcPr>
          <w:p w14:paraId="73938743"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8" w:type="pct"/>
            <w:tcBorders>
              <w:top w:val="nil"/>
              <w:left w:val="nil"/>
              <w:bottom w:val="single" w:sz="4" w:space="0" w:color="auto"/>
              <w:right w:val="single" w:sz="4" w:space="0" w:color="auto"/>
            </w:tcBorders>
            <w:shd w:val="clear" w:color="auto" w:fill="auto"/>
            <w:vAlign w:val="center"/>
            <w:hideMark/>
          </w:tcPr>
          <w:p w14:paraId="7DB91131"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8" w:type="pct"/>
            <w:tcBorders>
              <w:top w:val="nil"/>
              <w:left w:val="nil"/>
              <w:bottom w:val="single" w:sz="4" w:space="0" w:color="auto"/>
              <w:right w:val="single" w:sz="4" w:space="0" w:color="auto"/>
            </w:tcBorders>
            <w:shd w:val="clear" w:color="auto" w:fill="auto"/>
            <w:vAlign w:val="center"/>
            <w:hideMark/>
          </w:tcPr>
          <w:p w14:paraId="3FD58EBE"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169" w:type="pct"/>
            <w:tcBorders>
              <w:top w:val="nil"/>
              <w:left w:val="nil"/>
              <w:bottom w:val="single" w:sz="4" w:space="0" w:color="auto"/>
              <w:right w:val="single" w:sz="4" w:space="0" w:color="auto"/>
            </w:tcBorders>
            <w:shd w:val="clear" w:color="auto" w:fill="auto"/>
            <w:vAlign w:val="center"/>
            <w:hideMark/>
          </w:tcPr>
          <w:p w14:paraId="7ED1F84B"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p>
        </w:tc>
        <w:tc>
          <w:tcPr>
            <w:tcW w:w="335" w:type="pct"/>
            <w:tcBorders>
              <w:top w:val="nil"/>
              <w:left w:val="nil"/>
              <w:bottom w:val="single" w:sz="4" w:space="0" w:color="auto"/>
              <w:right w:val="single" w:sz="4" w:space="0" w:color="auto"/>
            </w:tcBorders>
            <w:shd w:val="clear" w:color="auto" w:fill="D9D9D9"/>
            <w:vAlign w:val="center"/>
            <w:hideMark/>
          </w:tcPr>
          <w:p w14:paraId="582F5D51" w14:textId="77777777" w:rsidR="00FE4A4E" w:rsidRPr="00FE4A4E" w:rsidRDefault="00FE4A4E" w:rsidP="00FE4A4E">
            <w:pPr>
              <w:spacing w:after="0" w:line="240" w:lineRule="auto"/>
              <w:jc w:val="center"/>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w:t>
            </w:r>
          </w:p>
        </w:tc>
      </w:tr>
    </w:tbl>
    <w:p w14:paraId="3FC2F9B0" w14:textId="77777777" w:rsidR="00FE4A4E" w:rsidRPr="00FE4A4E" w:rsidRDefault="00FE4A4E" w:rsidP="00FE4A4E">
      <w:pPr>
        <w:spacing w:after="0" w:line="240" w:lineRule="auto"/>
        <w:jc w:val="center"/>
        <w:rPr>
          <w:rFonts w:ascii="Garamond" w:eastAsia="Calibri" w:hAnsi="Garamond" w:cs="Calibri"/>
          <w:sz w:val="24"/>
          <w:szCs w:val="24"/>
        </w:rPr>
      </w:pPr>
    </w:p>
    <w:p w14:paraId="56373DF6" w14:textId="5E040D99" w:rsidR="00BF6E08" w:rsidRPr="005C5CBD" w:rsidRDefault="00FE4A4E" w:rsidP="00FE4A4E">
      <w:pPr>
        <w:spacing w:after="0" w:line="240" w:lineRule="auto"/>
        <w:jc w:val="both"/>
        <w:rPr>
          <w:rFonts w:ascii="Garamond" w:hAnsi="Garamond"/>
        </w:rPr>
        <w:sectPr w:rsidR="00BF6E08" w:rsidRPr="005C5CBD" w:rsidSect="00E15FBB">
          <w:pgSz w:w="15840" w:h="12240" w:orient="landscape"/>
          <w:pgMar w:top="1418" w:right="1500" w:bottom="1580" w:left="1418" w:header="720" w:footer="968" w:gutter="0"/>
          <w:cols w:space="720"/>
          <w:docGrid w:linePitch="299"/>
        </w:sectPr>
      </w:pPr>
      <w:r w:rsidRPr="00FE4A4E">
        <w:rPr>
          <w:rFonts w:ascii="Garamond" w:eastAsia="Times New Roman" w:hAnsi="Garamond" w:cs="Calibri"/>
          <w:sz w:val="24"/>
          <w:szCs w:val="24"/>
          <w:lang w:eastAsia="pt-BR"/>
        </w:rPr>
        <w:t>Obs.: Apresentar uma versão em unidades de peso (kg ou t) e outra em unidades de comercialização (unidade, peça, litros)</w:t>
      </w:r>
    </w:p>
    <w:tbl>
      <w:tblPr>
        <w:tblW w:w="6176" w:type="dxa"/>
        <w:jc w:val="center"/>
        <w:tblCellMar>
          <w:left w:w="70" w:type="dxa"/>
          <w:right w:w="70" w:type="dxa"/>
        </w:tblCellMar>
        <w:tblLook w:val="04A0" w:firstRow="1" w:lastRow="0" w:firstColumn="1" w:lastColumn="0" w:noHBand="0" w:noVBand="1"/>
      </w:tblPr>
      <w:tblGrid>
        <w:gridCol w:w="6176"/>
      </w:tblGrid>
      <w:tr w:rsidR="00FE4A4E" w:rsidRPr="00FE4A4E" w14:paraId="28EDC01F" w14:textId="77777777" w:rsidTr="00916A6C">
        <w:trPr>
          <w:trHeight w:val="300"/>
          <w:jc w:val="center"/>
        </w:trPr>
        <w:tc>
          <w:tcPr>
            <w:tcW w:w="6176" w:type="dxa"/>
            <w:tcBorders>
              <w:top w:val="nil"/>
              <w:left w:val="nil"/>
              <w:bottom w:val="nil"/>
              <w:right w:val="nil"/>
            </w:tcBorders>
            <w:shd w:val="clear" w:color="auto" w:fill="auto"/>
            <w:noWrap/>
            <w:vAlign w:val="bottom"/>
            <w:hideMark/>
          </w:tcPr>
          <w:p w14:paraId="1CC411DB"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APÊNDICE X</w:t>
            </w:r>
          </w:p>
        </w:tc>
      </w:tr>
      <w:tr w:rsidR="00FE4A4E" w:rsidRPr="00FE4A4E" w14:paraId="7252BE62" w14:textId="77777777" w:rsidTr="00916A6C">
        <w:trPr>
          <w:trHeight w:val="300"/>
          <w:jc w:val="center"/>
        </w:trPr>
        <w:tc>
          <w:tcPr>
            <w:tcW w:w="6176" w:type="dxa"/>
            <w:tcBorders>
              <w:top w:val="nil"/>
              <w:left w:val="nil"/>
              <w:bottom w:val="nil"/>
              <w:right w:val="nil"/>
            </w:tcBorders>
            <w:shd w:val="clear" w:color="auto" w:fill="auto"/>
            <w:noWrap/>
            <w:vAlign w:val="bottom"/>
            <w:hideMark/>
          </w:tcPr>
          <w:p w14:paraId="43F03CA1"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VALOR DE ESTOQUE</w:t>
            </w:r>
          </w:p>
        </w:tc>
      </w:tr>
    </w:tbl>
    <w:p w14:paraId="6B5EA3E5" w14:textId="77777777" w:rsidR="00FE4A4E" w:rsidRPr="00FE4A4E" w:rsidRDefault="00FE4A4E" w:rsidP="00FE4A4E">
      <w:pPr>
        <w:spacing w:after="0" w:line="240" w:lineRule="auto"/>
        <w:jc w:val="center"/>
        <w:rPr>
          <w:rFonts w:ascii="Garamond" w:eastAsia="Times New Roman" w:hAnsi="Garamond" w:cs="Calibri"/>
          <w:sz w:val="24"/>
          <w:szCs w:val="24"/>
          <w:lang w:eastAsia="pt-BR"/>
        </w:rPr>
      </w:pPr>
    </w:p>
    <w:tbl>
      <w:tblPr>
        <w:tblW w:w="5000" w:type="pct"/>
        <w:jc w:val="center"/>
        <w:tblCellMar>
          <w:left w:w="70" w:type="dxa"/>
          <w:right w:w="70" w:type="dxa"/>
        </w:tblCellMar>
        <w:tblLook w:val="04A0" w:firstRow="1" w:lastRow="0" w:firstColumn="1" w:lastColumn="0" w:noHBand="0" w:noVBand="1"/>
      </w:tblPr>
      <w:tblGrid>
        <w:gridCol w:w="645"/>
        <w:gridCol w:w="1542"/>
        <w:gridCol w:w="1409"/>
        <w:gridCol w:w="1409"/>
        <w:gridCol w:w="1409"/>
        <w:gridCol w:w="1409"/>
        <w:gridCol w:w="1409"/>
      </w:tblGrid>
      <w:tr w:rsidR="00FE4A4E" w:rsidRPr="00FE4A4E" w14:paraId="7C937B96" w14:textId="77777777" w:rsidTr="00916A6C">
        <w:trPr>
          <w:trHeight w:val="540"/>
          <w:jc w:val="center"/>
        </w:trPr>
        <w:tc>
          <w:tcPr>
            <w:tcW w:w="118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8C2706B" w14:textId="77777777" w:rsidR="00FE4A4E" w:rsidRPr="00FE4A4E" w:rsidRDefault="00FE4A4E" w:rsidP="00FE4A4E">
            <w:pPr>
              <w:spacing w:after="0" w:line="240" w:lineRule="auto"/>
              <w:jc w:val="center"/>
              <w:rPr>
                <w:rFonts w:ascii="Garamond" w:eastAsia="Times New Roman" w:hAnsi="Garamond" w:cs="Calibri"/>
                <w:b/>
                <w:color w:val="FF0000"/>
                <w:sz w:val="24"/>
                <w:szCs w:val="24"/>
                <w:lang w:eastAsia="pt-BR"/>
              </w:rPr>
            </w:pPr>
            <w:r w:rsidRPr="00FE4A4E">
              <w:rPr>
                <w:rFonts w:ascii="Garamond" w:eastAsia="Times New Roman" w:hAnsi="Garamond" w:cs="Calibri"/>
                <w:b/>
                <w:color w:val="FF0000"/>
                <w:sz w:val="24"/>
                <w:szCs w:val="24"/>
                <w:lang w:eastAsia="pt-BR"/>
              </w:rPr>
              <w:t xml:space="preserve">Empresa </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465F85D3"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P1</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599DB808"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P2</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12A9F695"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P3</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1D656648"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P4</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56119BD1"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P5</w:t>
            </w:r>
          </w:p>
        </w:tc>
      </w:tr>
      <w:tr w:rsidR="00FE4A4E" w:rsidRPr="00FE4A4E" w14:paraId="7DF2ACEE" w14:textId="77777777" w:rsidTr="00916A6C">
        <w:trPr>
          <w:trHeight w:val="510"/>
          <w:jc w:val="center"/>
        </w:trPr>
        <w:tc>
          <w:tcPr>
            <w:tcW w:w="350"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40F92174"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Mês</w:t>
            </w:r>
          </w:p>
        </w:tc>
        <w:tc>
          <w:tcPr>
            <w:tcW w:w="835" w:type="pct"/>
            <w:tcBorders>
              <w:top w:val="nil"/>
              <w:left w:val="nil"/>
              <w:bottom w:val="single" w:sz="4" w:space="0" w:color="auto"/>
              <w:right w:val="single" w:sz="4" w:space="0" w:color="auto"/>
            </w:tcBorders>
            <w:shd w:val="clear" w:color="auto" w:fill="auto"/>
            <w:vAlign w:val="center"/>
            <w:hideMark/>
          </w:tcPr>
          <w:p w14:paraId="308531A3"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Mês 1</w:t>
            </w:r>
          </w:p>
        </w:tc>
        <w:tc>
          <w:tcPr>
            <w:tcW w:w="763" w:type="pct"/>
            <w:tcBorders>
              <w:top w:val="nil"/>
              <w:left w:val="nil"/>
              <w:bottom w:val="nil"/>
              <w:right w:val="nil"/>
            </w:tcBorders>
            <w:shd w:val="clear" w:color="auto" w:fill="auto"/>
            <w:vAlign w:val="center"/>
            <w:hideMark/>
          </w:tcPr>
          <w:p w14:paraId="00CE1389"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single" w:sz="4" w:space="0" w:color="auto"/>
              <w:bottom w:val="nil"/>
              <w:right w:val="single" w:sz="4" w:space="0" w:color="auto"/>
            </w:tcBorders>
            <w:shd w:val="clear" w:color="auto" w:fill="auto"/>
            <w:vAlign w:val="center"/>
            <w:hideMark/>
          </w:tcPr>
          <w:p w14:paraId="7CD00FA9"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54F5BCA2"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725269FE"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5EB918A0"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r>
      <w:tr w:rsidR="00FE4A4E" w:rsidRPr="00FE4A4E" w14:paraId="3160AA1E" w14:textId="77777777" w:rsidTr="00916A6C">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61E11B7F" w14:textId="77777777" w:rsidR="00FE4A4E" w:rsidRPr="00FE4A4E" w:rsidRDefault="00FE4A4E" w:rsidP="00FE4A4E">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13E8CCDA"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Mês 2</w:t>
            </w:r>
          </w:p>
        </w:tc>
        <w:tc>
          <w:tcPr>
            <w:tcW w:w="763" w:type="pct"/>
            <w:tcBorders>
              <w:top w:val="nil"/>
              <w:left w:val="nil"/>
              <w:bottom w:val="nil"/>
              <w:right w:val="nil"/>
            </w:tcBorders>
            <w:shd w:val="clear" w:color="auto" w:fill="auto"/>
            <w:vAlign w:val="center"/>
            <w:hideMark/>
          </w:tcPr>
          <w:p w14:paraId="65078862"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6D07F27D"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64EE8BE9"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2E7A5611"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26449DA6"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r>
      <w:tr w:rsidR="00FE4A4E" w:rsidRPr="00FE4A4E" w14:paraId="377794F5" w14:textId="77777777" w:rsidTr="00916A6C">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646B1F4E" w14:textId="77777777" w:rsidR="00FE4A4E" w:rsidRPr="00FE4A4E" w:rsidRDefault="00FE4A4E" w:rsidP="00FE4A4E">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7C9CEE71"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Mês 3</w:t>
            </w:r>
          </w:p>
        </w:tc>
        <w:tc>
          <w:tcPr>
            <w:tcW w:w="763" w:type="pct"/>
            <w:tcBorders>
              <w:top w:val="nil"/>
              <w:left w:val="nil"/>
              <w:bottom w:val="nil"/>
              <w:right w:val="nil"/>
            </w:tcBorders>
            <w:shd w:val="clear" w:color="auto" w:fill="auto"/>
            <w:vAlign w:val="center"/>
            <w:hideMark/>
          </w:tcPr>
          <w:p w14:paraId="2B744F9A"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281E85D0"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36003F40"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4287470D"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5ABD9E87"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r>
      <w:tr w:rsidR="00FE4A4E" w:rsidRPr="00FE4A4E" w14:paraId="054C764B" w14:textId="77777777" w:rsidTr="00916A6C">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019A54C6" w14:textId="77777777" w:rsidR="00FE4A4E" w:rsidRPr="00FE4A4E" w:rsidRDefault="00FE4A4E" w:rsidP="00FE4A4E">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18B2D446"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Mês 4</w:t>
            </w:r>
          </w:p>
        </w:tc>
        <w:tc>
          <w:tcPr>
            <w:tcW w:w="763" w:type="pct"/>
            <w:tcBorders>
              <w:top w:val="nil"/>
              <w:left w:val="nil"/>
              <w:bottom w:val="nil"/>
              <w:right w:val="nil"/>
            </w:tcBorders>
            <w:shd w:val="clear" w:color="auto" w:fill="auto"/>
            <w:vAlign w:val="center"/>
            <w:hideMark/>
          </w:tcPr>
          <w:p w14:paraId="1F863895"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7B355F1D"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498EDFD2"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092D5C53"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2C3B983F"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r>
      <w:tr w:rsidR="00FE4A4E" w:rsidRPr="00FE4A4E" w14:paraId="7DE2E8F5" w14:textId="77777777" w:rsidTr="00916A6C">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6162C0B5" w14:textId="77777777" w:rsidR="00FE4A4E" w:rsidRPr="00FE4A4E" w:rsidRDefault="00FE4A4E" w:rsidP="00FE4A4E">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2487D911"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Mês 5</w:t>
            </w:r>
          </w:p>
        </w:tc>
        <w:tc>
          <w:tcPr>
            <w:tcW w:w="763" w:type="pct"/>
            <w:tcBorders>
              <w:top w:val="nil"/>
              <w:left w:val="nil"/>
              <w:bottom w:val="nil"/>
              <w:right w:val="nil"/>
            </w:tcBorders>
            <w:shd w:val="clear" w:color="auto" w:fill="auto"/>
            <w:vAlign w:val="center"/>
            <w:hideMark/>
          </w:tcPr>
          <w:p w14:paraId="0A9F1794"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1458374D"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174E30BC"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2DB052C5"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60642B6D"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r>
      <w:tr w:rsidR="00FE4A4E" w:rsidRPr="00FE4A4E" w14:paraId="008F2D93" w14:textId="77777777" w:rsidTr="00916A6C">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05100295" w14:textId="77777777" w:rsidR="00FE4A4E" w:rsidRPr="00FE4A4E" w:rsidRDefault="00FE4A4E" w:rsidP="00FE4A4E">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523FC01B"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Mês 6</w:t>
            </w:r>
          </w:p>
        </w:tc>
        <w:tc>
          <w:tcPr>
            <w:tcW w:w="763" w:type="pct"/>
            <w:tcBorders>
              <w:top w:val="nil"/>
              <w:left w:val="nil"/>
              <w:bottom w:val="nil"/>
              <w:right w:val="nil"/>
            </w:tcBorders>
            <w:shd w:val="clear" w:color="auto" w:fill="auto"/>
            <w:vAlign w:val="center"/>
            <w:hideMark/>
          </w:tcPr>
          <w:p w14:paraId="72B9AB90"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57F7B8C2"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5577D7A5"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7198C7BB"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0D333544"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r>
      <w:tr w:rsidR="00FE4A4E" w:rsidRPr="00FE4A4E" w14:paraId="23ABD293" w14:textId="77777777" w:rsidTr="00916A6C">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0FD418E7" w14:textId="77777777" w:rsidR="00FE4A4E" w:rsidRPr="00FE4A4E" w:rsidRDefault="00FE4A4E" w:rsidP="00FE4A4E">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56CC07BF"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Mês 7</w:t>
            </w:r>
          </w:p>
        </w:tc>
        <w:tc>
          <w:tcPr>
            <w:tcW w:w="763" w:type="pct"/>
            <w:tcBorders>
              <w:top w:val="nil"/>
              <w:left w:val="nil"/>
              <w:bottom w:val="nil"/>
              <w:right w:val="nil"/>
            </w:tcBorders>
            <w:shd w:val="clear" w:color="auto" w:fill="auto"/>
            <w:vAlign w:val="center"/>
            <w:hideMark/>
          </w:tcPr>
          <w:p w14:paraId="6C5207B5"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21FEA0B1"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40677C8B"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5D21BCF5"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725AE263"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r>
      <w:tr w:rsidR="00FE4A4E" w:rsidRPr="00FE4A4E" w14:paraId="0C6D8567" w14:textId="77777777" w:rsidTr="00916A6C">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11BA0661" w14:textId="77777777" w:rsidR="00FE4A4E" w:rsidRPr="00FE4A4E" w:rsidRDefault="00FE4A4E" w:rsidP="00FE4A4E">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28937AD3"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Mês 8</w:t>
            </w:r>
          </w:p>
        </w:tc>
        <w:tc>
          <w:tcPr>
            <w:tcW w:w="763" w:type="pct"/>
            <w:tcBorders>
              <w:top w:val="nil"/>
              <w:left w:val="nil"/>
              <w:bottom w:val="nil"/>
              <w:right w:val="nil"/>
            </w:tcBorders>
            <w:shd w:val="clear" w:color="auto" w:fill="auto"/>
            <w:vAlign w:val="center"/>
            <w:hideMark/>
          </w:tcPr>
          <w:p w14:paraId="3CDBC459"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5608600D"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1A59A4C6"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7C12EF6E"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7D78554E"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r>
      <w:tr w:rsidR="00FE4A4E" w:rsidRPr="00FE4A4E" w14:paraId="6AED30EC" w14:textId="77777777" w:rsidTr="00916A6C">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60A381D4" w14:textId="77777777" w:rsidR="00FE4A4E" w:rsidRPr="00FE4A4E" w:rsidRDefault="00FE4A4E" w:rsidP="00FE4A4E">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7BB891CE"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Mês 9</w:t>
            </w:r>
          </w:p>
        </w:tc>
        <w:tc>
          <w:tcPr>
            <w:tcW w:w="763" w:type="pct"/>
            <w:tcBorders>
              <w:top w:val="nil"/>
              <w:left w:val="nil"/>
              <w:bottom w:val="nil"/>
              <w:right w:val="nil"/>
            </w:tcBorders>
            <w:shd w:val="clear" w:color="auto" w:fill="auto"/>
            <w:vAlign w:val="center"/>
            <w:hideMark/>
          </w:tcPr>
          <w:p w14:paraId="72BE8C56"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131AACDE"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01666A3D"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5106525E"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7A92C06E"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r>
      <w:tr w:rsidR="00FE4A4E" w:rsidRPr="00FE4A4E" w14:paraId="34DDA606" w14:textId="77777777" w:rsidTr="00916A6C">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287ABC68" w14:textId="77777777" w:rsidR="00FE4A4E" w:rsidRPr="00FE4A4E" w:rsidRDefault="00FE4A4E" w:rsidP="00FE4A4E">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079AA033"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Mês 10</w:t>
            </w:r>
          </w:p>
        </w:tc>
        <w:tc>
          <w:tcPr>
            <w:tcW w:w="763" w:type="pct"/>
            <w:tcBorders>
              <w:top w:val="nil"/>
              <w:left w:val="nil"/>
              <w:bottom w:val="nil"/>
              <w:right w:val="nil"/>
            </w:tcBorders>
            <w:shd w:val="clear" w:color="auto" w:fill="auto"/>
            <w:vAlign w:val="center"/>
            <w:hideMark/>
          </w:tcPr>
          <w:p w14:paraId="520083C4"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78CBDBBA"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3FB9737E"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48908B9B"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6C48832F"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r>
      <w:tr w:rsidR="00FE4A4E" w:rsidRPr="00FE4A4E" w14:paraId="45DE2143" w14:textId="77777777" w:rsidTr="00916A6C">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36370913" w14:textId="77777777" w:rsidR="00FE4A4E" w:rsidRPr="00FE4A4E" w:rsidRDefault="00FE4A4E" w:rsidP="00FE4A4E">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7863F005"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Mês 11</w:t>
            </w:r>
          </w:p>
        </w:tc>
        <w:tc>
          <w:tcPr>
            <w:tcW w:w="763" w:type="pct"/>
            <w:tcBorders>
              <w:top w:val="nil"/>
              <w:left w:val="nil"/>
              <w:bottom w:val="nil"/>
              <w:right w:val="nil"/>
            </w:tcBorders>
            <w:shd w:val="clear" w:color="auto" w:fill="auto"/>
            <w:vAlign w:val="center"/>
            <w:hideMark/>
          </w:tcPr>
          <w:p w14:paraId="2CFBF304"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58A6BC64"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0F961D4D"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0CEEC5B4"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3F233CBE"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r>
      <w:tr w:rsidR="00FE4A4E" w:rsidRPr="00FE4A4E" w14:paraId="1A9EA1DB" w14:textId="77777777" w:rsidTr="00916A6C">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75AED1D1" w14:textId="77777777" w:rsidR="00FE4A4E" w:rsidRPr="00FE4A4E" w:rsidRDefault="00FE4A4E" w:rsidP="00FE4A4E">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4EB42DE5" w14:textId="77777777" w:rsidR="00FE4A4E" w:rsidRPr="00FE4A4E" w:rsidRDefault="00FE4A4E" w:rsidP="00FE4A4E">
            <w:pPr>
              <w:spacing w:after="0" w:line="240" w:lineRule="auto"/>
              <w:jc w:val="center"/>
              <w:rPr>
                <w:rFonts w:ascii="Garamond" w:eastAsia="Times New Roman" w:hAnsi="Garamond" w:cs="Calibri"/>
                <w:b/>
                <w:color w:val="000000"/>
                <w:sz w:val="24"/>
                <w:szCs w:val="24"/>
                <w:lang w:eastAsia="pt-BR"/>
              </w:rPr>
            </w:pPr>
            <w:r w:rsidRPr="00FE4A4E">
              <w:rPr>
                <w:rFonts w:ascii="Garamond" w:eastAsia="Times New Roman" w:hAnsi="Garamond" w:cs="Calibri"/>
                <w:b/>
                <w:color w:val="000000"/>
                <w:sz w:val="24"/>
                <w:szCs w:val="24"/>
                <w:lang w:eastAsia="pt-BR"/>
              </w:rPr>
              <w:t>Mês 12</w:t>
            </w:r>
          </w:p>
        </w:tc>
        <w:tc>
          <w:tcPr>
            <w:tcW w:w="763" w:type="pct"/>
            <w:tcBorders>
              <w:top w:val="nil"/>
              <w:left w:val="nil"/>
              <w:bottom w:val="single" w:sz="4" w:space="0" w:color="auto"/>
              <w:right w:val="nil"/>
            </w:tcBorders>
            <w:shd w:val="clear" w:color="auto" w:fill="auto"/>
            <w:vAlign w:val="center"/>
            <w:hideMark/>
          </w:tcPr>
          <w:p w14:paraId="7151847A"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single" w:sz="4" w:space="0" w:color="auto"/>
              <w:bottom w:val="single" w:sz="4" w:space="0" w:color="auto"/>
              <w:right w:val="single" w:sz="4" w:space="0" w:color="auto"/>
            </w:tcBorders>
            <w:shd w:val="clear" w:color="auto" w:fill="auto"/>
            <w:vAlign w:val="center"/>
            <w:hideMark/>
          </w:tcPr>
          <w:p w14:paraId="5F5437CD"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single" w:sz="4" w:space="0" w:color="auto"/>
              <w:right w:val="single" w:sz="4" w:space="0" w:color="auto"/>
            </w:tcBorders>
            <w:shd w:val="clear" w:color="auto" w:fill="auto"/>
            <w:vAlign w:val="center"/>
            <w:hideMark/>
          </w:tcPr>
          <w:p w14:paraId="3CED9A80"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single" w:sz="4" w:space="0" w:color="auto"/>
              <w:right w:val="single" w:sz="4" w:space="0" w:color="auto"/>
            </w:tcBorders>
            <w:shd w:val="clear" w:color="auto" w:fill="auto"/>
            <w:vAlign w:val="center"/>
            <w:hideMark/>
          </w:tcPr>
          <w:p w14:paraId="024CF0FA"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c>
          <w:tcPr>
            <w:tcW w:w="763" w:type="pct"/>
            <w:tcBorders>
              <w:top w:val="nil"/>
              <w:left w:val="nil"/>
              <w:bottom w:val="single" w:sz="4" w:space="0" w:color="auto"/>
              <w:right w:val="single" w:sz="4" w:space="0" w:color="auto"/>
            </w:tcBorders>
            <w:shd w:val="clear" w:color="auto" w:fill="auto"/>
            <w:vAlign w:val="center"/>
            <w:hideMark/>
          </w:tcPr>
          <w:p w14:paraId="5CC55D71" w14:textId="77777777" w:rsidR="00FE4A4E" w:rsidRPr="00FE4A4E" w:rsidRDefault="00FE4A4E" w:rsidP="00FE4A4E">
            <w:pPr>
              <w:spacing w:after="0" w:line="240" w:lineRule="auto"/>
              <w:jc w:val="right"/>
              <w:rPr>
                <w:rFonts w:ascii="Garamond" w:eastAsia="Times New Roman" w:hAnsi="Garamond" w:cs="Calibri"/>
                <w:color w:val="000000"/>
                <w:sz w:val="24"/>
                <w:szCs w:val="24"/>
                <w:lang w:eastAsia="pt-BR"/>
              </w:rPr>
            </w:pPr>
            <w:r w:rsidRPr="00FE4A4E">
              <w:rPr>
                <w:rFonts w:ascii="Garamond" w:eastAsia="Times New Roman" w:hAnsi="Garamond" w:cs="Calibri"/>
                <w:color w:val="000000"/>
                <w:sz w:val="24"/>
                <w:szCs w:val="24"/>
                <w:lang w:eastAsia="pt-BR"/>
              </w:rPr>
              <w:t> </w:t>
            </w:r>
          </w:p>
        </w:tc>
      </w:tr>
    </w:tbl>
    <w:p w14:paraId="54F6B46D" w14:textId="0E035FA9" w:rsidR="003F035B" w:rsidRDefault="003F035B" w:rsidP="000E73BB">
      <w:pPr>
        <w:rPr>
          <w:rFonts w:ascii="Garamond" w:hAnsi="Garamond" w:cs="Calibri"/>
          <w:color w:val="000000"/>
          <w:sz w:val="18"/>
          <w:szCs w:val="18"/>
        </w:rPr>
      </w:pPr>
      <w:r w:rsidRPr="00395593">
        <w:rPr>
          <w:rFonts w:ascii="Garamond" w:hAnsi="Garamond" w:cs="Calibri"/>
          <w:color w:val="000000"/>
          <w:sz w:val="18"/>
          <w:szCs w:val="18"/>
        </w:rPr>
        <w:br w:type="page"/>
      </w:r>
    </w:p>
    <w:tbl>
      <w:tblPr>
        <w:tblW w:w="5000" w:type="pct"/>
        <w:jc w:val="center"/>
        <w:tblCellMar>
          <w:left w:w="70" w:type="dxa"/>
          <w:right w:w="70" w:type="dxa"/>
        </w:tblCellMar>
        <w:tblLook w:val="04A0" w:firstRow="1" w:lastRow="0" w:firstColumn="1" w:lastColumn="0" w:noHBand="0" w:noVBand="1"/>
      </w:tblPr>
      <w:tblGrid>
        <w:gridCol w:w="3824"/>
        <w:gridCol w:w="750"/>
        <w:gridCol w:w="750"/>
        <w:gridCol w:w="750"/>
        <w:gridCol w:w="749"/>
        <w:gridCol w:w="690"/>
        <w:gridCol w:w="54"/>
        <w:gridCol w:w="1675"/>
      </w:tblGrid>
      <w:tr w:rsidR="000E73BB" w:rsidRPr="009827E4" w14:paraId="6D213ED4" w14:textId="77777777" w:rsidTr="000E73BB">
        <w:trPr>
          <w:trHeight w:val="345"/>
          <w:jc w:val="center"/>
        </w:trPr>
        <w:tc>
          <w:tcPr>
            <w:tcW w:w="5000" w:type="pct"/>
            <w:gridSpan w:val="8"/>
            <w:tcBorders>
              <w:top w:val="nil"/>
              <w:left w:val="nil"/>
              <w:bottom w:val="nil"/>
              <w:right w:val="nil"/>
            </w:tcBorders>
            <w:shd w:val="clear" w:color="auto" w:fill="auto"/>
            <w:noWrap/>
            <w:vAlign w:val="bottom"/>
            <w:hideMark/>
          </w:tcPr>
          <w:p w14:paraId="6C2F4970" w14:textId="77777777" w:rsidR="000E73BB" w:rsidRPr="009827E4" w:rsidRDefault="000E73BB" w:rsidP="00916A6C">
            <w:pPr>
              <w:spacing w:after="0" w:line="240" w:lineRule="auto"/>
              <w:jc w:val="center"/>
              <w:rPr>
                <w:rFonts w:ascii="Garamond" w:eastAsia="Times New Roman" w:hAnsi="Garamond" w:cs="Calibri"/>
                <w:b/>
                <w:color w:val="000000"/>
                <w:sz w:val="24"/>
                <w:szCs w:val="24"/>
                <w:lang w:eastAsia="pt-BR"/>
              </w:rPr>
            </w:pPr>
            <w:r w:rsidRPr="009827E4">
              <w:rPr>
                <w:rFonts w:ascii="Garamond" w:eastAsia="Times New Roman" w:hAnsi="Garamond" w:cs="Calibri"/>
                <w:b/>
                <w:color w:val="000000"/>
                <w:sz w:val="24"/>
                <w:szCs w:val="24"/>
                <w:lang w:eastAsia="pt-BR"/>
              </w:rPr>
              <w:t>APÊNDICE XI</w:t>
            </w:r>
          </w:p>
        </w:tc>
      </w:tr>
      <w:tr w:rsidR="000E73BB" w:rsidRPr="005C5CBD" w14:paraId="79BA8A43" w14:textId="77777777" w:rsidTr="000E73BB">
        <w:trPr>
          <w:trHeight w:val="345"/>
          <w:jc w:val="center"/>
        </w:trPr>
        <w:tc>
          <w:tcPr>
            <w:tcW w:w="5000" w:type="pct"/>
            <w:gridSpan w:val="8"/>
            <w:tcBorders>
              <w:top w:val="nil"/>
              <w:left w:val="nil"/>
              <w:bottom w:val="nil"/>
              <w:right w:val="nil"/>
            </w:tcBorders>
            <w:shd w:val="clear" w:color="auto" w:fill="auto"/>
            <w:noWrap/>
            <w:vAlign w:val="bottom"/>
            <w:hideMark/>
          </w:tcPr>
          <w:p w14:paraId="2F742FA5" w14:textId="77777777" w:rsidR="000E73BB" w:rsidRDefault="000E73BB" w:rsidP="00916A6C">
            <w:pPr>
              <w:spacing w:after="0" w:line="240" w:lineRule="auto"/>
              <w:jc w:val="center"/>
              <w:rPr>
                <w:rFonts w:ascii="Garamond" w:eastAsia="Times New Roman" w:hAnsi="Garamond" w:cs="Calibri"/>
                <w:b/>
                <w:color w:val="000000"/>
                <w:sz w:val="24"/>
                <w:szCs w:val="24"/>
                <w:lang w:eastAsia="pt-BR"/>
              </w:rPr>
            </w:pPr>
            <w:r w:rsidRPr="009827E4">
              <w:rPr>
                <w:rFonts w:ascii="Garamond" w:eastAsia="Times New Roman" w:hAnsi="Garamond" w:cs="Calibri"/>
                <w:b/>
                <w:color w:val="000000"/>
                <w:sz w:val="24"/>
                <w:szCs w:val="24"/>
                <w:lang w:eastAsia="pt-BR"/>
              </w:rPr>
              <w:t>DEMONSTRAÇÃO DE RESULTADOS - VENDAS DO PRODUTO SIMILAR DOMÉSTICO NO MERCADO INTERNO</w:t>
            </w:r>
          </w:p>
          <w:p w14:paraId="1754A4AF" w14:textId="77777777" w:rsidR="000E73BB" w:rsidRDefault="000E73BB" w:rsidP="00916A6C">
            <w:pPr>
              <w:spacing w:after="0" w:line="240" w:lineRule="auto"/>
              <w:jc w:val="center"/>
              <w:rPr>
                <w:rFonts w:ascii="Garamond" w:eastAsia="Times New Roman" w:hAnsi="Garamond" w:cs="Calibri"/>
                <w:b/>
                <w:color w:val="000000"/>
                <w:sz w:val="24"/>
                <w:szCs w:val="24"/>
                <w:lang w:eastAsia="pt-BR"/>
              </w:rPr>
            </w:pPr>
          </w:p>
          <w:tbl>
            <w:tblPr>
              <w:tblW w:w="5000" w:type="pct"/>
              <w:tblCellMar>
                <w:left w:w="70" w:type="dxa"/>
                <w:right w:w="70" w:type="dxa"/>
              </w:tblCellMar>
              <w:tblLook w:val="04A0" w:firstRow="1" w:lastRow="0" w:firstColumn="1" w:lastColumn="0" w:noHBand="0" w:noVBand="1"/>
            </w:tblPr>
            <w:tblGrid>
              <w:gridCol w:w="2789"/>
              <w:gridCol w:w="1258"/>
              <w:gridCol w:w="1258"/>
              <w:gridCol w:w="1258"/>
              <w:gridCol w:w="1258"/>
              <w:gridCol w:w="1271"/>
            </w:tblGrid>
            <w:tr w:rsidR="000E73BB" w:rsidRPr="000E73BB" w14:paraId="19A869B6" w14:textId="77777777" w:rsidTr="00916A6C">
              <w:trPr>
                <w:trHeight w:val="345"/>
              </w:trPr>
              <w:tc>
                <w:tcPr>
                  <w:tcW w:w="1533" w:type="pct"/>
                  <w:tcBorders>
                    <w:top w:val="single" w:sz="4" w:space="0" w:color="auto"/>
                    <w:left w:val="single" w:sz="4" w:space="0" w:color="auto"/>
                    <w:bottom w:val="single" w:sz="4" w:space="0" w:color="auto"/>
                    <w:right w:val="nil"/>
                  </w:tcBorders>
                  <w:shd w:val="clear" w:color="auto" w:fill="auto"/>
                  <w:vAlign w:val="center"/>
                  <w:hideMark/>
                </w:tcPr>
                <w:p w14:paraId="253E9BF4" w14:textId="77777777" w:rsidR="000E73BB" w:rsidRPr="000E73BB" w:rsidRDefault="000E73BB" w:rsidP="00916A6C">
                  <w:pPr>
                    <w:spacing w:after="0" w:line="240" w:lineRule="auto"/>
                    <w:rPr>
                      <w:rFonts w:ascii="Garamond" w:eastAsia="Times New Roman" w:hAnsi="Garamond" w:cs="Calibri"/>
                      <w:b/>
                      <w:color w:val="FF0000"/>
                      <w:sz w:val="24"/>
                      <w:szCs w:val="24"/>
                      <w:lang w:eastAsia="pt-BR"/>
                    </w:rPr>
                  </w:pPr>
                  <w:r w:rsidRPr="000E73BB">
                    <w:rPr>
                      <w:rFonts w:ascii="Garamond" w:eastAsia="Times New Roman" w:hAnsi="Garamond" w:cs="Calibri"/>
                      <w:b/>
                      <w:color w:val="FF0000"/>
                      <w:sz w:val="24"/>
                      <w:szCs w:val="24"/>
                      <w:lang w:eastAsia="pt-BR"/>
                    </w:rPr>
                    <w:t xml:space="preserve">Empresa </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192F7"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 xml:space="preserve"> P1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679FF7D4"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 xml:space="preserve"> P2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7EF361A5"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 xml:space="preserve"> P3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59F5EAC8"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 xml:space="preserve"> P4 </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4A3CCD9A"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 xml:space="preserve"> P5 </w:t>
                  </w:r>
                </w:p>
              </w:tc>
            </w:tr>
            <w:tr w:rsidR="000E73BB" w:rsidRPr="000E73BB" w14:paraId="715EDAC3" w14:textId="77777777" w:rsidTr="00916A6C">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6CEC19A5"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1- Faturamento Bruto</w:t>
                  </w:r>
                </w:p>
              </w:tc>
              <w:tc>
                <w:tcPr>
                  <w:tcW w:w="692" w:type="pct"/>
                  <w:tcBorders>
                    <w:top w:val="nil"/>
                    <w:left w:val="nil"/>
                    <w:bottom w:val="single" w:sz="4" w:space="0" w:color="auto"/>
                    <w:right w:val="nil"/>
                  </w:tcBorders>
                  <w:shd w:val="clear" w:color="auto" w:fill="auto"/>
                  <w:vAlign w:val="center"/>
                  <w:hideMark/>
                </w:tcPr>
                <w:p w14:paraId="38A0C76D"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p>
              </w:tc>
              <w:tc>
                <w:tcPr>
                  <w:tcW w:w="692" w:type="pct"/>
                  <w:tcBorders>
                    <w:top w:val="nil"/>
                    <w:left w:val="single" w:sz="4" w:space="0" w:color="auto"/>
                    <w:bottom w:val="single" w:sz="4" w:space="0" w:color="auto"/>
                    <w:right w:val="single" w:sz="4" w:space="0" w:color="auto"/>
                  </w:tcBorders>
                  <w:shd w:val="clear" w:color="auto" w:fill="auto"/>
                  <w:vAlign w:val="center"/>
                  <w:hideMark/>
                </w:tcPr>
                <w:p w14:paraId="0B0F7D70"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p>
              </w:tc>
              <w:tc>
                <w:tcPr>
                  <w:tcW w:w="692" w:type="pct"/>
                  <w:tcBorders>
                    <w:top w:val="nil"/>
                    <w:left w:val="nil"/>
                    <w:bottom w:val="single" w:sz="4" w:space="0" w:color="auto"/>
                    <w:right w:val="single" w:sz="4" w:space="0" w:color="auto"/>
                  </w:tcBorders>
                  <w:shd w:val="clear" w:color="auto" w:fill="auto"/>
                  <w:vAlign w:val="center"/>
                  <w:hideMark/>
                </w:tcPr>
                <w:p w14:paraId="6C4BE72F"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p>
              </w:tc>
              <w:tc>
                <w:tcPr>
                  <w:tcW w:w="692" w:type="pct"/>
                  <w:tcBorders>
                    <w:top w:val="nil"/>
                    <w:left w:val="nil"/>
                    <w:bottom w:val="single" w:sz="4" w:space="0" w:color="auto"/>
                    <w:right w:val="single" w:sz="4" w:space="0" w:color="auto"/>
                  </w:tcBorders>
                  <w:shd w:val="clear" w:color="auto" w:fill="auto"/>
                  <w:vAlign w:val="center"/>
                  <w:hideMark/>
                </w:tcPr>
                <w:p w14:paraId="36F0EA70"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p>
              </w:tc>
              <w:tc>
                <w:tcPr>
                  <w:tcW w:w="699" w:type="pct"/>
                  <w:tcBorders>
                    <w:top w:val="nil"/>
                    <w:left w:val="nil"/>
                    <w:bottom w:val="single" w:sz="4" w:space="0" w:color="auto"/>
                    <w:right w:val="single" w:sz="4" w:space="0" w:color="auto"/>
                  </w:tcBorders>
                  <w:shd w:val="clear" w:color="auto" w:fill="auto"/>
                  <w:vAlign w:val="center"/>
                  <w:hideMark/>
                </w:tcPr>
                <w:p w14:paraId="535EA7F9"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p>
              </w:tc>
            </w:tr>
            <w:tr w:rsidR="000E73BB" w:rsidRPr="000E73BB" w14:paraId="6147BD3A" w14:textId="77777777" w:rsidTr="00916A6C">
              <w:trPr>
                <w:trHeight w:val="345"/>
              </w:trPr>
              <w:tc>
                <w:tcPr>
                  <w:tcW w:w="1533" w:type="pct"/>
                  <w:tcBorders>
                    <w:top w:val="nil"/>
                    <w:left w:val="single" w:sz="4" w:space="0" w:color="auto"/>
                    <w:bottom w:val="nil"/>
                    <w:right w:val="single" w:sz="4" w:space="0" w:color="auto"/>
                  </w:tcBorders>
                  <w:shd w:val="clear" w:color="auto" w:fill="auto"/>
                  <w:vAlign w:val="center"/>
                  <w:hideMark/>
                </w:tcPr>
                <w:p w14:paraId="5EFB6CD7"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1.1- IPI</w:t>
                  </w:r>
                </w:p>
              </w:tc>
              <w:tc>
                <w:tcPr>
                  <w:tcW w:w="692" w:type="pct"/>
                  <w:tcBorders>
                    <w:top w:val="nil"/>
                    <w:left w:val="nil"/>
                    <w:bottom w:val="nil"/>
                    <w:right w:val="nil"/>
                  </w:tcBorders>
                  <w:shd w:val="clear" w:color="auto" w:fill="auto"/>
                  <w:vAlign w:val="center"/>
                  <w:hideMark/>
                </w:tcPr>
                <w:p w14:paraId="6E8B53A3"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single" w:sz="4" w:space="0" w:color="auto"/>
                  </w:tcBorders>
                  <w:shd w:val="clear" w:color="auto" w:fill="auto"/>
                  <w:vAlign w:val="center"/>
                  <w:hideMark/>
                </w:tcPr>
                <w:p w14:paraId="721484C1"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1835D9BA"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64EE608D"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nil"/>
                    <w:bottom w:val="nil"/>
                    <w:right w:val="single" w:sz="4" w:space="0" w:color="auto"/>
                  </w:tcBorders>
                  <w:shd w:val="clear" w:color="auto" w:fill="auto"/>
                  <w:vAlign w:val="center"/>
                  <w:hideMark/>
                </w:tcPr>
                <w:p w14:paraId="27FAF2F7"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r>
            <w:tr w:rsidR="000E73BB" w:rsidRPr="000E73BB" w14:paraId="2FF662FF" w14:textId="77777777" w:rsidTr="00916A6C">
              <w:trPr>
                <w:trHeight w:val="345"/>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34F90"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2-Receita Operacional Bruta (1-1.1)</w:t>
                  </w:r>
                </w:p>
              </w:tc>
              <w:tc>
                <w:tcPr>
                  <w:tcW w:w="692" w:type="pct"/>
                  <w:tcBorders>
                    <w:top w:val="single" w:sz="4" w:space="0" w:color="auto"/>
                    <w:left w:val="nil"/>
                    <w:bottom w:val="single" w:sz="4" w:space="0" w:color="auto"/>
                    <w:right w:val="nil"/>
                  </w:tcBorders>
                  <w:shd w:val="clear" w:color="000000" w:fill="D9D9D9"/>
                  <w:vAlign w:val="center"/>
                  <w:hideMark/>
                </w:tcPr>
                <w:p w14:paraId="037FF399"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5EB0F578"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45C5E1F9"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537ADE14"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BA69031"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r>
            <w:tr w:rsidR="000E73BB" w:rsidRPr="000E73BB" w14:paraId="051F2650" w14:textId="77777777" w:rsidTr="00916A6C">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1A409726"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3-Deduções da Receita Bruta</w:t>
                  </w:r>
                </w:p>
              </w:tc>
              <w:tc>
                <w:tcPr>
                  <w:tcW w:w="692" w:type="pct"/>
                  <w:tcBorders>
                    <w:top w:val="nil"/>
                    <w:left w:val="nil"/>
                    <w:bottom w:val="single" w:sz="4" w:space="0" w:color="auto"/>
                    <w:right w:val="nil"/>
                  </w:tcBorders>
                  <w:shd w:val="clear" w:color="000000" w:fill="D9D9D9"/>
                  <w:vAlign w:val="center"/>
                  <w:hideMark/>
                </w:tcPr>
                <w:p w14:paraId="3AF33D5C"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2085C0E0"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46450BAB"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61DD8519"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9" w:type="pct"/>
                  <w:tcBorders>
                    <w:top w:val="nil"/>
                    <w:left w:val="single" w:sz="4" w:space="0" w:color="auto"/>
                    <w:bottom w:val="single" w:sz="4" w:space="0" w:color="auto"/>
                    <w:right w:val="nil"/>
                  </w:tcBorders>
                  <w:shd w:val="clear" w:color="000000" w:fill="D9D9D9"/>
                  <w:vAlign w:val="center"/>
                  <w:hideMark/>
                </w:tcPr>
                <w:p w14:paraId="0A47F218"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r>
            <w:tr w:rsidR="000E73BB" w:rsidRPr="000E73BB" w14:paraId="5943998D" w14:textId="77777777" w:rsidTr="00916A6C">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170D8941"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3.1-Tributos sobre Vendas (informar alíquotas)</w:t>
                  </w:r>
                </w:p>
              </w:tc>
              <w:tc>
                <w:tcPr>
                  <w:tcW w:w="692" w:type="pct"/>
                  <w:tcBorders>
                    <w:top w:val="nil"/>
                    <w:left w:val="nil"/>
                    <w:bottom w:val="single" w:sz="4" w:space="0" w:color="auto"/>
                    <w:right w:val="nil"/>
                  </w:tcBorders>
                  <w:shd w:val="clear" w:color="000000" w:fill="D9D9D9"/>
                  <w:vAlign w:val="center"/>
                  <w:hideMark/>
                </w:tcPr>
                <w:p w14:paraId="7D57534F"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1A23EF98"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6FAB514A"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1A5A7122"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w:t>
                  </w:r>
                </w:p>
              </w:tc>
              <w:tc>
                <w:tcPr>
                  <w:tcW w:w="699" w:type="pct"/>
                  <w:tcBorders>
                    <w:top w:val="nil"/>
                    <w:left w:val="single" w:sz="4" w:space="0" w:color="auto"/>
                    <w:bottom w:val="single" w:sz="4" w:space="0" w:color="auto"/>
                    <w:right w:val="single" w:sz="4" w:space="0" w:color="auto"/>
                  </w:tcBorders>
                  <w:shd w:val="clear" w:color="000000" w:fill="D9D9D9"/>
                  <w:vAlign w:val="center"/>
                  <w:hideMark/>
                </w:tcPr>
                <w:p w14:paraId="1AB2D289"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w:t>
                  </w:r>
                </w:p>
              </w:tc>
            </w:tr>
            <w:tr w:rsidR="000E73BB" w:rsidRPr="000E73BB" w14:paraId="2EB09ABC" w14:textId="77777777" w:rsidTr="00916A6C">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11669084"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3.1.1 - ICMS</w:t>
                  </w:r>
                </w:p>
              </w:tc>
              <w:tc>
                <w:tcPr>
                  <w:tcW w:w="692" w:type="pct"/>
                  <w:tcBorders>
                    <w:top w:val="nil"/>
                    <w:left w:val="nil"/>
                    <w:bottom w:val="nil"/>
                    <w:right w:val="nil"/>
                  </w:tcBorders>
                  <w:shd w:val="clear" w:color="auto" w:fill="auto"/>
                  <w:vAlign w:val="center"/>
                  <w:hideMark/>
                </w:tcPr>
                <w:p w14:paraId="26C2C6B6"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single" w:sz="4" w:space="0" w:color="auto"/>
                  </w:tcBorders>
                  <w:shd w:val="clear" w:color="auto" w:fill="auto"/>
                  <w:vAlign w:val="center"/>
                  <w:hideMark/>
                </w:tcPr>
                <w:p w14:paraId="194DF4C8"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5EB46D21"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4ACB67F9"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nil"/>
                    <w:bottom w:val="nil"/>
                    <w:right w:val="single" w:sz="4" w:space="0" w:color="auto"/>
                  </w:tcBorders>
                  <w:shd w:val="clear" w:color="auto" w:fill="auto"/>
                  <w:vAlign w:val="center"/>
                  <w:hideMark/>
                </w:tcPr>
                <w:p w14:paraId="7860A541"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r>
            <w:tr w:rsidR="000E73BB" w:rsidRPr="000E73BB" w14:paraId="1BC6AA9E" w14:textId="77777777" w:rsidTr="00916A6C">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482CFC55"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 xml:space="preserve">3.1.2 - PIS </w:t>
                  </w:r>
                </w:p>
              </w:tc>
              <w:tc>
                <w:tcPr>
                  <w:tcW w:w="692" w:type="pct"/>
                  <w:tcBorders>
                    <w:top w:val="nil"/>
                    <w:left w:val="nil"/>
                    <w:bottom w:val="nil"/>
                    <w:right w:val="nil"/>
                  </w:tcBorders>
                  <w:shd w:val="clear" w:color="auto" w:fill="auto"/>
                  <w:vAlign w:val="center"/>
                  <w:hideMark/>
                </w:tcPr>
                <w:p w14:paraId="00D92126"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single" w:sz="4" w:space="0" w:color="auto"/>
                  </w:tcBorders>
                  <w:shd w:val="clear" w:color="auto" w:fill="auto"/>
                  <w:vAlign w:val="center"/>
                  <w:hideMark/>
                </w:tcPr>
                <w:p w14:paraId="24D9613C"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4273F7A4"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75F0206F"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nil"/>
                    <w:bottom w:val="nil"/>
                    <w:right w:val="single" w:sz="4" w:space="0" w:color="auto"/>
                  </w:tcBorders>
                  <w:shd w:val="clear" w:color="auto" w:fill="auto"/>
                  <w:vAlign w:val="center"/>
                  <w:hideMark/>
                </w:tcPr>
                <w:p w14:paraId="1819405B"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r>
            <w:tr w:rsidR="000E73BB" w:rsidRPr="000E73BB" w14:paraId="21DE3EEE" w14:textId="77777777" w:rsidTr="00916A6C">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2F8C34C9"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3.1.3 - COFINS</w:t>
                  </w:r>
                </w:p>
              </w:tc>
              <w:tc>
                <w:tcPr>
                  <w:tcW w:w="692" w:type="pct"/>
                  <w:tcBorders>
                    <w:top w:val="nil"/>
                    <w:left w:val="nil"/>
                    <w:bottom w:val="nil"/>
                    <w:right w:val="nil"/>
                  </w:tcBorders>
                  <w:shd w:val="clear" w:color="auto" w:fill="auto"/>
                  <w:vAlign w:val="center"/>
                  <w:hideMark/>
                </w:tcPr>
                <w:p w14:paraId="30D1BE24"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single" w:sz="4" w:space="0" w:color="auto"/>
                  </w:tcBorders>
                  <w:shd w:val="clear" w:color="auto" w:fill="auto"/>
                  <w:vAlign w:val="center"/>
                  <w:hideMark/>
                </w:tcPr>
                <w:p w14:paraId="79782A9D"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1207CA70"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4FEDF8D6"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nil"/>
                    <w:bottom w:val="nil"/>
                    <w:right w:val="single" w:sz="4" w:space="0" w:color="auto"/>
                  </w:tcBorders>
                  <w:shd w:val="clear" w:color="auto" w:fill="auto"/>
                  <w:vAlign w:val="center"/>
                  <w:hideMark/>
                </w:tcPr>
                <w:p w14:paraId="777014E3"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r>
            <w:tr w:rsidR="000E73BB" w:rsidRPr="000E73BB" w14:paraId="4F37D895" w14:textId="77777777" w:rsidTr="00916A6C">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6620EAAE"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3.2-Descontos e abatimentos</w:t>
                  </w:r>
                </w:p>
              </w:tc>
              <w:tc>
                <w:tcPr>
                  <w:tcW w:w="692" w:type="pct"/>
                  <w:tcBorders>
                    <w:top w:val="nil"/>
                    <w:left w:val="nil"/>
                    <w:bottom w:val="nil"/>
                    <w:right w:val="nil"/>
                  </w:tcBorders>
                  <w:shd w:val="clear" w:color="auto" w:fill="auto"/>
                  <w:vAlign w:val="center"/>
                  <w:hideMark/>
                </w:tcPr>
                <w:p w14:paraId="17D7F439"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single" w:sz="4" w:space="0" w:color="auto"/>
                  </w:tcBorders>
                  <w:shd w:val="clear" w:color="auto" w:fill="auto"/>
                  <w:vAlign w:val="center"/>
                  <w:hideMark/>
                </w:tcPr>
                <w:p w14:paraId="52C0EE78"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4E896189"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076FACD9"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nil"/>
                    <w:bottom w:val="nil"/>
                    <w:right w:val="single" w:sz="4" w:space="0" w:color="auto"/>
                  </w:tcBorders>
                  <w:shd w:val="clear" w:color="auto" w:fill="auto"/>
                  <w:vAlign w:val="center"/>
                  <w:hideMark/>
                </w:tcPr>
                <w:p w14:paraId="6246BFC5"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r>
            <w:tr w:rsidR="000E73BB" w:rsidRPr="000E73BB" w14:paraId="34A1292D" w14:textId="77777777" w:rsidTr="00916A6C">
              <w:trPr>
                <w:trHeight w:val="345"/>
              </w:trPr>
              <w:tc>
                <w:tcPr>
                  <w:tcW w:w="1533" w:type="pct"/>
                  <w:tcBorders>
                    <w:top w:val="nil"/>
                    <w:left w:val="single" w:sz="4" w:space="0" w:color="auto"/>
                    <w:bottom w:val="nil"/>
                    <w:right w:val="single" w:sz="4" w:space="0" w:color="auto"/>
                  </w:tcBorders>
                  <w:shd w:val="clear" w:color="auto" w:fill="auto"/>
                  <w:vAlign w:val="center"/>
                  <w:hideMark/>
                </w:tcPr>
                <w:p w14:paraId="2C7CBB2D"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3.3-Devoluções</w:t>
                  </w:r>
                </w:p>
              </w:tc>
              <w:tc>
                <w:tcPr>
                  <w:tcW w:w="692" w:type="pct"/>
                  <w:tcBorders>
                    <w:top w:val="nil"/>
                    <w:left w:val="nil"/>
                    <w:bottom w:val="nil"/>
                    <w:right w:val="nil"/>
                  </w:tcBorders>
                  <w:shd w:val="clear" w:color="auto" w:fill="auto"/>
                  <w:vAlign w:val="center"/>
                  <w:hideMark/>
                </w:tcPr>
                <w:p w14:paraId="4825682B"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single" w:sz="4" w:space="0" w:color="auto"/>
                  </w:tcBorders>
                  <w:shd w:val="clear" w:color="auto" w:fill="auto"/>
                  <w:vAlign w:val="center"/>
                  <w:hideMark/>
                </w:tcPr>
                <w:p w14:paraId="5E1A03A6"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270AE2D4"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67ACAB97"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nil"/>
                    <w:bottom w:val="nil"/>
                    <w:right w:val="single" w:sz="4" w:space="0" w:color="auto"/>
                  </w:tcBorders>
                  <w:shd w:val="clear" w:color="auto" w:fill="auto"/>
                  <w:vAlign w:val="center"/>
                  <w:hideMark/>
                </w:tcPr>
                <w:p w14:paraId="663FB21E"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r>
            <w:tr w:rsidR="000E73BB" w:rsidRPr="000E73BB" w14:paraId="68E73F76" w14:textId="77777777" w:rsidTr="00916A6C">
              <w:trPr>
                <w:trHeight w:val="345"/>
              </w:trPr>
              <w:tc>
                <w:tcPr>
                  <w:tcW w:w="1533" w:type="pct"/>
                  <w:tcBorders>
                    <w:top w:val="single" w:sz="4" w:space="0" w:color="auto"/>
                    <w:left w:val="single" w:sz="4" w:space="0" w:color="auto"/>
                    <w:bottom w:val="nil"/>
                    <w:right w:val="single" w:sz="4" w:space="0" w:color="auto"/>
                  </w:tcBorders>
                  <w:shd w:val="clear" w:color="auto" w:fill="auto"/>
                  <w:vAlign w:val="center"/>
                  <w:hideMark/>
                </w:tcPr>
                <w:p w14:paraId="25B57BFD"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3.4-Frete sobre venda</w:t>
                  </w:r>
                </w:p>
              </w:tc>
              <w:tc>
                <w:tcPr>
                  <w:tcW w:w="692" w:type="pct"/>
                  <w:tcBorders>
                    <w:top w:val="nil"/>
                    <w:left w:val="nil"/>
                    <w:bottom w:val="nil"/>
                    <w:right w:val="nil"/>
                  </w:tcBorders>
                  <w:shd w:val="clear" w:color="auto" w:fill="auto"/>
                  <w:vAlign w:val="center"/>
                  <w:hideMark/>
                </w:tcPr>
                <w:p w14:paraId="3E626E2E"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6129A94F"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16512A4C"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42D05CFB"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4E8BEBF0"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r>
            <w:tr w:rsidR="000E73BB" w:rsidRPr="000E73BB" w14:paraId="55D66D37" w14:textId="77777777" w:rsidTr="00916A6C">
              <w:trPr>
                <w:trHeight w:val="345"/>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A7394"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4-Receita Operacional Líquida (2-3)</w:t>
                  </w:r>
                </w:p>
              </w:tc>
              <w:tc>
                <w:tcPr>
                  <w:tcW w:w="692" w:type="pct"/>
                  <w:tcBorders>
                    <w:top w:val="single" w:sz="4" w:space="0" w:color="auto"/>
                    <w:left w:val="nil"/>
                    <w:bottom w:val="single" w:sz="4" w:space="0" w:color="auto"/>
                    <w:right w:val="nil"/>
                  </w:tcBorders>
                  <w:shd w:val="clear" w:color="000000" w:fill="D9D9D9"/>
                  <w:vAlign w:val="center"/>
                  <w:hideMark/>
                </w:tcPr>
                <w:p w14:paraId="16B0A2D9"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11642D83"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4B32A36D"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70B46636"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3C208BF"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r>
            <w:tr w:rsidR="000E73BB" w:rsidRPr="000E73BB" w14:paraId="5D5320DC" w14:textId="77777777" w:rsidTr="00916A6C">
              <w:trPr>
                <w:trHeight w:val="345"/>
              </w:trPr>
              <w:tc>
                <w:tcPr>
                  <w:tcW w:w="1533" w:type="pct"/>
                  <w:tcBorders>
                    <w:top w:val="nil"/>
                    <w:left w:val="single" w:sz="4" w:space="0" w:color="auto"/>
                    <w:bottom w:val="nil"/>
                    <w:right w:val="single" w:sz="4" w:space="0" w:color="auto"/>
                  </w:tcBorders>
                  <w:shd w:val="clear" w:color="auto" w:fill="auto"/>
                  <w:vAlign w:val="center"/>
                  <w:hideMark/>
                </w:tcPr>
                <w:p w14:paraId="1E28AB0D"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5-Custo dos Produtos Vendidos</w:t>
                  </w:r>
                </w:p>
              </w:tc>
              <w:tc>
                <w:tcPr>
                  <w:tcW w:w="692" w:type="pct"/>
                  <w:tcBorders>
                    <w:top w:val="nil"/>
                    <w:left w:val="nil"/>
                    <w:bottom w:val="nil"/>
                    <w:right w:val="nil"/>
                  </w:tcBorders>
                  <w:shd w:val="clear" w:color="auto" w:fill="auto"/>
                  <w:vAlign w:val="center"/>
                  <w:hideMark/>
                </w:tcPr>
                <w:p w14:paraId="1936E3EC"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69D2922C"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4E3EA017"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539060BB"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64DBBF9F"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r>
            <w:tr w:rsidR="000E73BB" w:rsidRPr="000E73BB" w14:paraId="3B29A45A" w14:textId="77777777" w:rsidTr="00916A6C">
              <w:trPr>
                <w:trHeight w:val="345"/>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0798D"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6- Resultado Bruto (4-5)</w:t>
                  </w:r>
                </w:p>
              </w:tc>
              <w:tc>
                <w:tcPr>
                  <w:tcW w:w="692" w:type="pct"/>
                  <w:tcBorders>
                    <w:top w:val="single" w:sz="4" w:space="0" w:color="auto"/>
                    <w:left w:val="nil"/>
                    <w:bottom w:val="single" w:sz="4" w:space="0" w:color="auto"/>
                    <w:right w:val="nil"/>
                  </w:tcBorders>
                  <w:shd w:val="clear" w:color="000000" w:fill="D9D9D9"/>
                  <w:vAlign w:val="center"/>
                  <w:hideMark/>
                </w:tcPr>
                <w:p w14:paraId="4DE40A10"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4062DA9C"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2B69617F"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04CE2247"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305A8CD"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r>
            <w:tr w:rsidR="000E73BB" w:rsidRPr="000E73BB" w14:paraId="4B8E1A05" w14:textId="77777777" w:rsidTr="00916A6C">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4792EF7B"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7-Despesas/Receitas Operacionais</w:t>
                  </w:r>
                </w:p>
              </w:tc>
              <w:tc>
                <w:tcPr>
                  <w:tcW w:w="692" w:type="pct"/>
                  <w:tcBorders>
                    <w:top w:val="nil"/>
                    <w:left w:val="nil"/>
                    <w:bottom w:val="single" w:sz="4" w:space="0" w:color="auto"/>
                    <w:right w:val="nil"/>
                  </w:tcBorders>
                  <w:shd w:val="clear" w:color="000000" w:fill="D9D9D9"/>
                  <w:vAlign w:val="center"/>
                  <w:hideMark/>
                </w:tcPr>
                <w:p w14:paraId="6AFA12E7"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16B4243A"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17DE85BC"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4EBD4DC5"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9" w:type="pct"/>
                  <w:tcBorders>
                    <w:top w:val="nil"/>
                    <w:left w:val="single" w:sz="4" w:space="0" w:color="auto"/>
                    <w:bottom w:val="single" w:sz="4" w:space="0" w:color="auto"/>
                    <w:right w:val="single" w:sz="4" w:space="0" w:color="auto"/>
                  </w:tcBorders>
                  <w:shd w:val="clear" w:color="000000" w:fill="D9D9D9"/>
                  <w:vAlign w:val="center"/>
                  <w:hideMark/>
                </w:tcPr>
                <w:p w14:paraId="4F5D5B8D"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r>
            <w:tr w:rsidR="000E73BB" w:rsidRPr="000E73BB" w14:paraId="6DBCD156" w14:textId="77777777" w:rsidTr="00916A6C">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25891DF1"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7.1-Despesas Gerais e Administrativas</w:t>
                  </w:r>
                </w:p>
              </w:tc>
              <w:tc>
                <w:tcPr>
                  <w:tcW w:w="692" w:type="pct"/>
                  <w:tcBorders>
                    <w:top w:val="nil"/>
                    <w:left w:val="nil"/>
                    <w:bottom w:val="nil"/>
                    <w:right w:val="nil"/>
                  </w:tcBorders>
                  <w:shd w:val="clear" w:color="auto" w:fill="auto"/>
                  <w:vAlign w:val="center"/>
                  <w:hideMark/>
                </w:tcPr>
                <w:p w14:paraId="184E5E26"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117EA91B"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432A275B"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4334B0E4"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5772E4B5"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r>
            <w:tr w:rsidR="000E73BB" w:rsidRPr="000E73BB" w14:paraId="718F9065" w14:textId="77777777" w:rsidTr="00916A6C">
              <w:trPr>
                <w:trHeight w:val="450"/>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7FB7CB6C"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7.2-Despesas com Vendas (exceto frete sobre venda)</w:t>
                  </w:r>
                </w:p>
              </w:tc>
              <w:tc>
                <w:tcPr>
                  <w:tcW w:w="692" w:type="pct"/>
                  <w:tcBorders>
                    <w:top w:val="nil"/>
                    <w:left w:val="nil"/>
                    <w:bottom w:val="nil"/>
                    <w:right w:val="nil"/>
                  </w:tcBorders>
                  <w:shd w:val="clear" w:color="auto" w:fill="auto"/>
                  <w:vAlign w:val="center"/>
                  <w:hideMark/>
                </w:tcPr>
                <w:p w14:paraId="4903DFC0"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34ABA9C8"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389D401D"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03B165F1"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47A07404"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r>
            <w:tr w:rsidR="000E73BB" w:rsidRPr="000E73BB" w14:paraId="3A121C72" w14:textId="77777777" w:rsidTr="00916A6C">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2BA375D1"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7.3-Despesas Financeiras</w:t>
                  </w:r>
                </w:p>
              </w:tc>
              <w:tc>
                <w:tcPr>
                  <w:tcW w:w="692" w:type="pct"/>
                  <w:tcBorders>
                    <w:top w:val="nil"/>
                    <w:left w:val="nil"/>
                    <w:bottom w:val="nil"/>
                    <w:right w:val="nil"/>
                  </w:tcBorders>
                  <w:shd w:val="clear" w:color="auto" w:fill="auto"/>
                  <w:vAlign w:val="center"/>
                  <w:hideMark/>
                </w:tcPr>
                <w:p w14:paraId="38EBA7F8" w14:textId="77777777" w:rsidR="000E73BB" w:rsidRPr="000E73BB" w:rsidRDefault="000E73BB" w:rsidP="00916A6C">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4397B527" w14:textId="77777777" w:rsidR="000E73BB" w:rsidRPr="000E73BB" w:rsidRDefault="000E73BB" w:rsidP="00916A6C">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2E0D6DC3" w14:textId="77777777" w:rsidR="000E73BB" w:rsidRPr="000E73BB" w:rsidRDefault="000E73BB" w:rsidP="00916A6C">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5438AE73" w14:textId="77777777" w:rsidR="000E73BB" w:rsidRPr="000E73BB" w:rsidRDefault="000E73BB" w:rsidP="00916A6C">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c>
                <w:tcPr>
                  <w:tcW w:w="699" w:type="pct"/>
                  <w:tcBorders>
                    <w:top w:val="nil"/>
                    <w:left w:val="single" w:sz="4" w:space="0" w:color="auto"/>
                    <w:bottom w:val="nil"/>
                    <w:right w:val="single" w:sz="4" w:space="0" w:color="auto"/>
                  </w:tcBorders>
                  <w:shd w:val="clear" w:color="auto" w:fill="auto"/>
                  <w:vAlign w:val="center"/>
                  <w:hideMark/>
                </w:tcPr>
                <w:p w14:paraId="1D895F1A" w14:textId="77777777" w:rsidR="000E73BB" w:rsidRPr="000E73BB" w:rsidRDefault="000E73BB" w:rsidP="00916A6C">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r>
            <w:tr w:rsidR="000E73BB" w:rsidRPr="000E73BB" w14:paraId="0378063B" w14:textId="77777777" w:rsidTr="00916A6C">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63DA1D80"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7.4-Receitas Financeiras</w:t>
                  </w:r>
                </w:p>
              </w:tc>
              <w:tc>
                <w:tcPr>
                  <w:tcW w:w="692" w:type="pct"/>
                  <w:tcBorders>
                    <w:top w:val="nil"/>
                    <w:left w:val="nil"/>
                    <w:bottom w:val="nil"/>
                    <w:right w:val="nil"/>
                  </w:tcBorders>
                  <w:shd w:val="clear" w:color="auto" w:fill="auto"/>
                  <w:vAlign w:val="center"/>
                  <w:hideMark/>
                </w:tcPr>
                <w:p w14:paraId="41AA9A68" w14:textId="77777777" w:rsidR="000E73BB" w:rsidRPr="000E73BB" w:rsidRDefault="000E73BB" w:rsidP="00916A6C">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48F258A1" w14:textId="77777777" w:rsidR="000E73BB" w:rsidRPr="000E73BB" w:rsidRDefault="000E73BB" w:rsidP="00916A6C">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143EF1F5" w14:textId="77777777" w:rsidR="000E73BB" w:rsidRPr="000E73BB" w:rsidRDefault="000E73BB" w:rsidP="00916A6C">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4DD4F2D5" w14:textId="77777777" w:rsidR="000E73BB" w:rsidRPr="000E73BB" w:rsidRDefault="000E73BB" w:rsidP="00916A6C">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c>
                <w:tcPr>
                  <w:tcW w:w="699" w:type="pct"/>
                  <w:tcBorders>
                    <w:top w:val="nil"/>
                    <w:left w:val="single" w:sz="4" w:space="0" w:color="auto"/>
                    <w:bottom w:val="nil"/>
                    <w:right w:val="single" w:sz="4" w:space="0" w:color="auto"/>
                  </w:tcBorders>
                  <w:shd w:val="clear" w:color="auto" w:fill="auto"/>
                  <w:vAlign w:val="center"/>
                  <w:hideMark/>
                </w:tcPr>
                <w:p w14:paraId="7D74C35F" w14:textId="77777777" w:rsidR="000E73BB" w:rsidRPr="000E73BB" w:rsidRDefault="000E73BB" w:rsidP="00916A6C">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r>
            <w:tr w:rsidR="000E73BB" w:rsidRPr="000E73BB" w14:paraId="12BABE9F" w14:textId="77777777" w:rsidTr="00916A6C">
              <w:trPr>
                <w:trHeight w:val="345"/>
              </w:trPr>
              <w:tc>
                <w:tcPr>
                  <w:tcW w:w="1533" w:type="pct"/>
                  <w:tcBorders>
                    <w:top w:val="nil"/>
                    <w:left w:val="single" w:sz="4" w:space="0" w:color="auto"/>
                    <w:bottom w:val="nil"/>
                    <w:right w:val="single" w:sz="4" w:space="0" w:color="auto"/>
                  </w:tcBorders>
                  <w:shd w:val="clear" w:color="auto" w:fill="auto"/>
                  <w:vAlign w:val="center"/>
                  <w:hideMark/>
                </w:tcPr>
                <w:p w14:paraId="2E93BC82"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7.5-Outras despesas operacionais</w:t>
                  </w:r>
                </w:p>
              </w:tc>
              <w:tc>
                <w:tcPr>
                  <w:tcW w:w="692" w:type="pct"/>
                  <w:tcBorders>
                    <w:top w:val="nil"/>
                    <w:left w:val="nil"/>
                    <w:bottom w:val="nil"/>
                    <w:right w:val="nil"/>
                  </w:tcBorders>
                  <w:shd w:val="clear" w:color="auto" w:fill="auto"/>
                  <w:vAlign w:val="center"/>
                  <w:hideMark/>
                </w:tcPr>
                <w:p w14:paraId="74B38E1B"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275F9B92"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19DFE9F6"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3E1F4581"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50BA361C"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r>
            <w:tr w:rsidR="000E73BB" w:rsidRPr="000E73BB" w14:paraId="1C0DCE82" w14:textId="77777777" w:rsidTr="00916A6C">
              <w:trPr>
                <w:trHeight w:val="345"/>
              </w:trPr>
              <w:tc>
                <w:tcPr>
                  <w:tcW w:w="1533" w:type="pct"/>
                  <w:tcBorders>
                    <w:top w:val="single" w:sz="4" w:space="0" w:color="auto"/>
                    <w:left w:val="single" w:sz="4" w:space="0" w:color="auto"/>
                    <w:bottom w:val="nil"/>
                    <w:right w:val="single" w:sz="4" w:space="0" w:color="auto"/>
                  </w:tcBorders>
                  <w:shd w:val="clear" w:color="auto" w:fill="auto"/>
                  <w:vAlign w:val="center"/>
                  <w:hideMark/>
                </w:tcPr>
                <w:p w14:paraId="212F8333"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7.6-Outras receitas operacionais</w:t>
                  </w:r>
                </w:p>
              </w:tc>
              <w:tc>
                <w:tcPr>
                  <w:tcW w:w="692" w:type="pct"/>
                  <w:tcBorders>
                    <w:top w:val="nil"/>
                    <w:left w:val="nil"/>
                    <w:bottom w:val="nil"/>
                    <w:right w:val="nil"/>
                  </w:tcBorders>
                  <w:shd w:val="clear" w:color="auto" w:fill="auto"/>
                  <w:vAlign w:val="center"/>
                  <w:hideMark/>
                </w:tcPr>
                <w:p w14:paraId="36C9002A"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58180D6B"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2DC7AA9F"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5FE96D0D"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19097D04" w14:textId="77777777" w:rsidR="000E73BB" w:rsidRPr="000E73BB" w:rsidRDefault="000E73BB" w:rsidP="00916A6C">
                  <w:pPr>
                    <w:spacing w:after="0" w:line="240" w:lineRule="auto"/>
                    <w:jc w:val="center"/>
                    <w:rPr>
                      <w:rFonts w:ascii="Garamond" w:eastAsia="Times New Roman" w:hAnsi="Garamond" w:cs="Calibri"/>
                      <w:color w:val="000000"/>
                      <w:sz w:val="24"/>
                      <w:szCs w:val="24"/>
                      <w:lang w:eastAsia="pt-BR"/>
                    </w:rPr>
                  </w:pPr>
                </w:p>
              </w:tc>
            </w:tr>
            <w:tr w:rsidR="000E73BB" w:rsidRPr="000E73BB" w14:paraId="1190849A" w14:textId="77777777" w:rsidTr="00916A6C">
              <w:trPr>
                <w:trHeight w:val="345"/>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812B6" w14:textId="77777777" w:rsidR="000E73BB" w:rsidRPr="000E73BB" w:rsidRDefault="000E73BB" w:rsidP="00916A6C">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8-Resultado Operacional (6-7)</w:t>
                  </w:r>
                </w:p>
              </w:tc>
              <w:tc>
                <w:tcPr>
                  <w:tcW w:w="692" w:type="pct"/>
                  <w:tcBorders>
                    <w:top w:val="single" w:sz="4" w:space="0" w:color="auto"/>
                    <w:left w:val="nil"/>
                    <w:bottom w:val="single" w:sz="4" w:space="0" w:color="auto"/>
                    <w:right w:val="nil"/>
                  </w:tcBorders>
                  <w:shd w:val="clear" w:color="000000" w:fill="D9D9D9"/>
                  <w:vAlign w:val="center"/>
                  <w:hideMark/>
                </w:tcPr>
                <w:p w14:paraId="28B2C6E1"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6D847BC1"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0E8C8909"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4071E3BA"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C3A3F05" w14:textId="77777777" w:rsidR="000E73BB" w:rsidRPr="000E73BB" w:rsidRDefault="000E73BB" w:rsidP="00916A6C">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r>
          </w:tbl>
          <w:p w14:paraId="703BBD11" w14:textId="77777777" w:rsidR="000E73BB" w:rsidRPr="005C5CBD" w:rsidRDefault="000E73BB" w:rsidP="00916A6C">
            <w:pPr>
              <w:spacing w:after="0" w:line="240" w:lineRule="auto"/>
              <w:jc w:val="center"/>
              <w:rPr>
                <w:rFonts w:ascii="Garamond" w:eastAsia="Times New Roman" w:hAnsi="Garamond" w:cs="Calibri"/>
                <w:b/>
                <w:color w:val="000000"/>
                <w:sz w:val="16"/>
                <w:szCs w:val="16"/>
                <w:lang w:eastAsia="pt-BR"/>
              </w:rPr>
            </w:pPr>
          </w:p>
          <w:p w14:paraId="3ED12D10" w14:textId="77777777" w:rsidR="000E73BB" w:rsidRPr="005C5CBD" w:rsidRDefault="000E73BB" w:rsidP="00916A6C">
            <w:pPr>
              <w:spacing w:after="0" w:line="240" w:lineRule="auto"/>
              <w:jc w:val="center"/>
              <w:rPr>
                <w:rFonts w:ascii="Garamond" w:eastAsia="Times New Roman" w:hAnsi="Garamond" w:cs="Calibri"/>
                <w:b/>
                <w:color w:val="000000"/>
                <w:sz w:val="16"/>
                <w:szCs w:val="16"/>
                <w:lang w:eastAsia="pt-BR"/>
              </w:rPr>
            </w:pPr>
          </w:p>
        </w:tc>
      </w:tr>
      <w:tr w:rsidR="000E73BB" w:rsidRPr="00395593" w14:paraId="72B44B58" w14:textId="77777777" w:rsidTr="000E73BB">
        <w:tblPrEx>
          <w:tblCellMar>
            <w:top w:w="57" w:type="dxa"/>
            <w:bottom w:w="57" w:type="dxa"/>
          </w:tblCellMar>
        </w:tblPrEx>
        <w:trPr>
          <w:gridAfter w:val="1"/>
          <w:wAfter w:w="964" w:type="pct"/>
          <w:cantSplit/>
          <w:jc w:val="center"/>
        </w:trPr>
        <w:tc>
          <w:tcPr>
            <w:tcW w:w="4036" w:type="pct"/>
            <w:gridSpan w:val="7"/>
            <w:tcBorders>
              <w:top w:val="nil"/>
              <w:left w:val="nil"/>
              <w:right w:val="nil"/>
            </w:tcBorders>
            <w:shd w:val="clear" w:color="auto" w:fill="auto"/>
            <w:noWrap/>
            <w:vAlign w:val="center"/>
          </w:tcPr>
          <w:p w14:paraId="56E0373F" w14:textId="77777777" w:rsidR="000E73BB" w:rsidRPr="005C5CBD" w:rsidRDefault="000E73BB" w:rsidP="000A4B75">
            <w:pPr>
              <w:spacing w:after="0" w:line="240" w:lineRule="auto"/>
              <w:jc w:val="center"/>
              <w:rPr>
                <w:rFonts w:ascii="Garamond" w:hAnsi="Garamond" w:cs="Calibri"/>
                <w:color w:val="000000"/>
                <w:sz w:val="16"/>
                <w:szCs w:val="16"/>
              </w:rPr>
            </w:pPr>
          </w:p>
        </w:tc>
      </w:tr>
      <w:tr w:rsidR="000E73BB" w:rsidRPr="000E73BB" w14:paraId="52BF1629" w14:textId="77777777" w:rsidTr="000E73BB">
        <w:tblPrEx>
          <w:tblCellMar>
            <w:top w:w="57" w:type="dxa"/>
            <w:bottom w:w="57" w:type="dxa"/>
          </w:tblCellMar>
        </w:tblPrEx>
        <w:trPr>
          <w:gridAfter w:val="2"/>
          <w:wAfter w:w="997" w:type="pct"/>
          <w:cantSplit/>
          <w:jc w:val="center"/>
        </w:trPr>
        <w:tc>
          <w:tcPr>
            <w:tcW w:w="4003" w:type="pct"/>
            <w:gridSpan w:val="6"/>
            <w:tcBorders>
              <w:top w:val="nil"/>
              <w:left w:val="nil"/>
              <w:right w:val="nil"/>
            </w:tcBorders>
            <w:shd w:val="clear" w:color="auto" w:fill="auto"/>
            <w:noWrap/>
            <w:vAlign w:val="center"/>
            <w:hideMark/>
          </w:tcPr>
          <w:p w14:paraId="02AA0FFD"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color w:val="000000"/>
                <w:sz w:val="24"/>
                <w:szCs w:val="24"/>
              </w:rPr>
              <w:br w:type="page"/>
            </w:r>
            <w:r w:rsidRPr="000E73BB">
              <w:rPr>
                <w:rFonts w:ascii="Garamond" w:hAnsi="Garamond" w:cs="Calibri"/>
                <w:b/>
                <w:color w:val="000000"/>
                <w:sz w:val="24"/>
                <w:szCs w:val="24"/>
              </w:rPr>
              <w:t>APÊNDICE XII</w:t>
            </w:r>
          </w:p>
          <w:p w14:paraId="5133FEB4"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DEMONSTRAÇÃO DE RESULTADOS - EXPORTAÇÕES DE PRODUTO SIMILAR</w:t>
            </w:r>
          </w:p>
        </w:tc>
      </w:tr>
      <w:tr w:rsidR="000E73BB" w:rsidRPr="000E73BB" w14:paraId="414631D1" w14:textId="77777777" w:rsidTr="000E73BB">
        <w:tblPrEx>
          <w:tblCellMar>
            <w:top w:w="57" w:type="dxa"/>
            <w:bottom w:w="57" w:type="dxa"/>
          </w:tblCellMar>
        </w:tblPrEx>
        <w:trPr>
          <w:gridAfter w:val="2"/>
          <w:wAfter w:w="997" w:type="pct"/>
          <w:cantSplit/>
          <w:jc w:val="center"/>
        </w:trPr>
        <w:tc>
          <w:tcPr>
            <w:tcW w:w="2014" w:type="pct"/>
            <w:tcBorders>
              <w:top w:val="single" w:sz="4" w:space="0" w:color="auto"/>
              <w:left w:val="single" w:sz="4" w:space="0" w:color="auto"/>
              <w:bottom w:val="single" w:sz="4" w:space="0" w:color="auto"/>
              <w:right w:val="nil"/>
            </w:tcBorders>
            <w:shd w:val="clear" w:color="auto" w:fill="auto"/>
            <w:vAlign w:val="center"/>
            <w:hideMark/>
          </w:tcPr>
          <w:p w14:paraId="07C1FA6A"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Empresa</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06DFB"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P1</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0677F5E0"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P2</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432054FD"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P3</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4A6933BE"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P4</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40F2E4F4"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P5</w:t>
            </w:r>
          </w:p>
        </w:tc>
      </w:tr>
      <w:tr w:rsidR="000E73BB" w:rsidRPr="000E73BB" w14:paraId="45221A7E" w14:textId="77777777" w:rsidTr="000E73BB">
        <w:tblPrEx>
          <w:tblCellMar>
            <w:top w:w="57" w:type="dxa"/>
            <w:bottom w:w="57" w:type="dxa"/>
          </w:tblCellMar>
        </w:tblPrEx>
        <w:trPr>
          <w:gridAfter w:val="2"/>
          <w:wAfter w:w="997" w:type="pct"/>
          <w:cantSplit/>
          <w:jc w:val="center"/>
        </w:trPr>
        <w:tc>
          <w:tcPr>
            <w:tcW w:w="2014" w:type="pct"/>
            <w:tcBorders>
              <w:top w:val="nil"/>
              <w:left w:val="single" w:sz="4" w:space="0" w:color="auto"/>
              <w:bottom w:val="single" w:sz="4" w:space="0" w:color="auto"/>
              <w:right w:val="single" w:sz="4" w:space="0" w:color="auto"/>
            </w:tcBorders>
            <w:shd w:val="clear" w:color="auto" w:fill="auto"/>
            <w:vAlign w:val="center"/>
            <w:hideMark/>
          </w:tcPr>
          <w:p w14:paraId="3CF1FC36" w14:textId="77777777" w:rsidR="000E73BB" w:rsidRPr="000E73BB" w:rsidRDefault="000E73BB" w:rsidP="000E73BB">
            <w:pPr>
              <w:spacing w:after="0" w:line="240" w:lineRule="auto"/>
              <w:rPr>
                <w:rFonts w:ascii="Garamond" w:hAnsi="Garamond" w:cs="Calibri"/>
                <w:b/>
                <w:color w:val="000000"/>
                <w:sz w:val="24"/>
                <w:szCs w:val="24"/>
              </w:rPr>
            </w:pPr>
            <w:r w:rsidRPr="000E73BB">
              <w:rPr>
                <w:rFonts w:ascii="Garamond" w:hAnsi="Garamond" w:cs="Calibri"/>
                <w:b/>
                <w:color w:val="000000"/>
                <w:sz w:val="24"/>
                <w:szCs w:val="24"/>
              </w:rPr>
              <w:t>1 - Receita Operacional Bruta</w:t>
            </w:r>
          </w:p>
        </w:tc>
        <w:tc>
          <w:tcPr>
            <w:tcW w:w="405" w:type="pct"/>
            <w:tcBorders>
              <w:top w:val="nil"/>
              <w:left w:val="nil"/>
              <w:bottom w:val="single" w:sz="4" w:space="0" w:color="auto"/>
              <w:right w:val="nil"/>
            </w:tcBorders>
            <w:shd w:val="clear" w:color="auto" w:fill="auto"/>
            <w:vAlign w:val="center"/>
            <w:hideMark/>
          </w:tcPr>
          <w:p w14:paraId="2A6582ED" w14:textId="77777777" w:rsidR="000E73BB" w:rsidRPr="000E73BB" w:rsidRDefault="000E73BB" w:rsidP="000E73BB">
            <w:pPr>
              <w:spacing w:after="0" w:line="240" w:lineRule="auto"/>
              <w:jc w:val="center"/>
              <w:rPr>
                <w:rFonts w:ascii="Garamond" w:hAnsi="Garamond" w:cs="Calibri"/>
                <w:b/>
                <w:color w:val="000000"/>
                <w:sz w:val="24"/>
                <w:szCs w:val="24"/>
              </w:rPr>
            </w:pPr>
          </w:p>
        </w:tc>
        <w:tc>
          <w:tcPr>
            <w:tcW w:w="405" w:type="pct"/>
            <w:tcBorders>
              <w:top w:val="nil"/>
              <w:left w:val="single" w:sz="4" w:space="0" w:color="auto"/>
              <w:bottom w:val="single" w:sz="4" w:space="0" w:color="auto"/>
              <w:right w:val="nil"/>
            </w:tcBorders>
            <w:shd w:val="clear" w:color="auto" w:fill="auto"/>
            <w:vAlign w:val="center"/>
            <w:hideMark/>
          </w:tcPr>
          <w:p w14:paraId="135C99BD" w14:textId="77777777" w:rsidR="000E73BB" w:rsidRPr="000E73BB" w:rsidRDefault="000E73BB" w:rsidP="000E73BB">
            <w:pPr>
              <w:spacing w:after="0" w:line="240" w:lineRule="auto"/>
              <w:jc w:val="center"/>
              <w:rPr>
                <w:rFonts w:ascii="Garamond" w:hAnsi="Garamond" w:cs="Calibri"/>
                <w:b/>
                <w:color w:val="000000"/>
                <w:sz w:val="24"/>
                <w:szCs w:val="24"/>
              </w:rPr>
            </w:pPr>
          </w:p>
        </w:tc>
        <w:tc>
          <w:tcPr>
            <w:tcW w:w="405" w:type="pct"/>
            <w:tcBorders>
              <w:top w:val="nil"/>
              <w:left w:val="single" w:sz="4" w:space="0" w:color="auto"/>
              <w:bottom w:val="single" w:sz="4" w:space="0" w:color="auto"/>
              <w:right w:val="nil"/>
            </w:tcBorders>
            <w:shd w:val="clear" w:color="auto" w:fill="auto"/>
            <w:vAlign w:val="center"/>
            <w:hideMark/>
          </w:tcPr>
          <w:p w14:paraId="6282A0C1" w14:textId="77777777" w:rsidR="000E73BB" w:rsidRPr="000E73BB" w:rsidRDefault="000E73BB" w:rsidP="000E73BB">
            <w:pPr>
              <w:spacing w:after="0" w:line="240" w:lineRule="auto"/>
              <w:jc w:val="center"/>
              <w:rPr>
                <w:rFonts w:ascii="Garamond" w:hAnsi="Garamond" w:cs="Calibri"/>
                <w:b/>
                <w:color w:val="000000"/>
                <w:sz w:val="24"/>
                <w:szCs w:val="24"/>
              </w:rPr>
            </w:pPr>
          </w:p>
        </w:tc>
        <w:tc>
          <w:tcPr>
            <w:tcW w:w="405" w:type="pct"/>
            <w:tcBorders>
              <w:top w:val="nil"/>
              <w:left w:val="single" w:sz="4" w:space="0" w:color="auto"/>
              <w:bottom w:val="single" w:sz="4" w:space="0" w:color="auto"/>
              <w:right w:val="nil"/>
            </w:tcBorders>
            <w:shd w:val="clear" w:color="auto" w:fill="auto"/>
            <w:vAlign w:val="center"/>
            <w:hideMark/>
          </w:tcPr>
          <w:p w14:paraId="485DF5B0" w14:textId="77777777" w:rsidR="000E73BB" w:rsidRPr="000E73BB" w:rsidRDefault="000E73BB" w:rsidP="000E73BB">
            <w:pPr>
              <w:spacing w:after="0" w:line="240" w:lineRule="auto"/>
              <w:jc w:val="center"/>
              <w:rPr>
                <w:rFonts w:ascii="Garamond" w:hAnsi="Garamond" w:cs="Calibri"/>
                <w:b/>
                <w:color w:val="000000"/>
                <w:sz w:val="24"/>
                <w:szCs w:val="24"/>
              </w:rPr>
            </w:pPr>
          </w:p>
        </w:tc>
        <w:tc>
          <w:tcPr>
            <w:tcW w:w="371" w:type="pct"/>
            <w:tcBorders>
              <w:top w:val="nil"/>
              <w:left w:val="single" w:sz="4" w:space="0" w:color="auto"/>
              <w:bottom w:val="single" w:sz="4" w:space="0" w:color="auto"/>
              <w:right w:val="single" w:sz="4" w:space="0" w:color="auto"/>
            </w:tcBorders>
            <w:shd w:val="clear" w:color="auto" w:fill="auto"/>
            <w:vAlign w:val="center"/>
            <w:hideMark/>
          </w:tcPr>
          <w:p w14:paraId="57A73827" w14:textId="77777777" w:rsidR="000E73BB" w:rsidRPr="000E73BB" w:rsidRDefault="000E73BB" w:rsidP="000E73BB">
            <w:pPr>
              <w:spacing w:after="0" w:line="240" w:lineRule="auto"/>
              <w:jc w:val="center"/>
              <w:rPr>
                <w:rFonts w:ascii="Garamond" w:hAnsi="Garamond" w:cs="Calibri"/>
                <w:b/>
                <w:color w:val="000000"/>
                <w:sz w:val="24"/>
                <w:szCs w:val="24"/>
              </w:rPr>
            </w:pPr>
          </w:p>
        </w:tc>
      </w:tr>
      <w:tr w:rsidR="000E73BB" w:rsidRPr="000E73BB" w14:paraId="4990A28B" w14:textId="77777777" w:rsidTr="000E73BB">
        <w:tblPrEx>
          <w:tblCellMar>
            <w:top w:w="57" w:type="dxa"/>
            <w:bottom w:w="57" w:type="dxa"/>
          </w:tblCellMar>
        </w:tblPrEx>
        <w:trPr>
          <w:gridAfter w:val="2"/>
          <w:wAfter w:w="997" w:type="pct"/>
          <w:cantSplit/>
          <w:jc w:val="center"/>
        </w:trPr>
        <w:tc>
          <w:tcPr>
            <w:tcW w:w="2014" w:type="pct"/>
            <w:tcBorders>
              <w:top w:val="nil"/>
              <w:left w:val="single" w:sz="4" w:space="0" w:color="auto"/>
              <w:bottom w:val="single" w:sz="4" w:space="0" w:color="auto"/>
              <w:right w:val="single" w:sz="4" w:space="0" w:color="auto"/>
            </w:tcBorders>
            <w:shd w:val="clear" w:color="000000" w:fill="D9D9D9"/>
            <w:vAlign w:val="center"/>
            <w:hideMark/>
          </w:tcPr>
          <w:p w14:paraId="485F23F2" w14:textId="77777777" w:rsidR="000E73BB" w:rsidRPr="000E73BB" w:rsidRDefault="000E73BB" w:rsidP="000E73BB">
            <w:pPr>
              <w:spacing w:after="0" w:line="240" w:lineRule="auto"/>
              <w:rPr>
                <w:rFonts w:ascii="Garamond" w:hAnsi="Garamond" w:cs="Calibri"/>
                <w:b/>
                <w:color w:val="000000"/>
                <w:sz w:val="24"/>
                <w:szCs w:val="24"/>
              </w:rPr>
            </w:pPr>
            <w:r w:rsidRPr="000E73BB">
              <w:rPr>
                <w:rFonts w:ascii="Garamond" w:hAnsi="Garamond" w:cs="Calibri"/>
                <w:b/>
                <w:color w:val="000000"/>
                <w:sz w:val="24"/>
                <w:szCs w:val="24"/>
              </w:rPr>
              <w:t>2 - Deduções da Receita Bruta</w:t>
            </w:r>
          </w:p>
        </w:tc>
        <w:tc>
          <w:tcPr>
            <w:tcW w:w="405" w:type="pct"/>
            <w:tcBorders>
              <w:top w:val="nil"/>
              <w:left w:val="nil"/>
              <w:bottom w:val="single" w:sz="4" w:space="0" w:color="auto"/>
              <w:right w:val="nil"/>
            </w:tcBorders>
            <w:shd w:val="clear" w:color="000000" w:fill="D9D9D9"/>
            <w:vAlign w:val="center"/>
            <w:hideMark/>
          </w:tcPr>
          <w:p w14:paraId="04F2E265"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c>
          <w:tcPr>
            <w:tcW w:w="405" w:type="pct"/>
            <w:tcBorders>
              <w:top w:val="nil"/>
              <w:left w:val="single" w:sz="4" w:space="0" w:color="auto"/>
              <w:bottom w:val="single" w:sz="4" w:space="0" w:color="auto"/>
              <w:right w:val="nil"/>
            </w:tcBorders>
            <w:shd w:val="clear" w:color="000000" w:fill="D9D9D9"/>
            <w:vAlign w:val="center"/>
            <w:hideMark/>
          </w:tcPr>
          <w:p w14:paraId="74E3EA3F"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c>
          <w:tcPr>
            <w:tcW w:w="405" w:type="pct"/>
            <w:tcBorders>
              <w:top w:val="nil"/>
              <w:left w:val="single" w:sz="4" w:space="0" w:color="auto"/>
              <w:bottom w:val="single" w:sz="4" w:space="0" w:color="auto"/>
              <w:right w:val="nil"/>
            </w:tcBorders>
            <w:shd w:val="clear" w:color="000000" w:fill="D9D9D9"/>
            <w:vAlign w:val="center"/>
            <w:hideMark/>
          </w:tcPr>
          <w:p w14:paraId="669E5D82"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c>
          <w:tcPr>
            <w:tcW w:w="405" w:type="pct"/>
            <w:tcBorders>
              <w:top w:val="nil"/>
              <w:left w:val="single" w:sz="4" w:space="0" w:color="auto"/>
              <w:bottom w:val="single" w:sz="4" w:space="0" w:color="auto"/>
              <w:right w:val="nil"/>
            </w:tcBorders>
            <w:shd w:val="clear" w:color="000000" w:fill="D9D9D9"/>
            <w:vAlign w:val="center"/>
            <w:hideMark/>
          </w:tcPr>
          <w:p w14:paraId="64763059"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c>
          <w:tcPr>
            <w:tcW w:w="371" w:type="pct"/>
            <w:tcBorders>
              <w:top w:val="nil"/>
              <w:left w:val="single" w:sz="4" w:space="0" w:color="auto"/>
              <w:bottom w:val="single" w:sz="4" w:space="0" w:color="auto"/>
              <w:right w:val="single" w:sz="4" w:space="0" w:color="auto"/>
            </w:tcBorders>
            <w:shd w:val="clear" w:color="000000" w:fill="D9D9D9"/>
            <w:vAlign w:val="center"/>
            <w:hideMark/>
          </w:tcPr>
          <w:p w14:paraId="2529A44B"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r>
      <w:tr w:rsidR="000E73BB" w:rsidRPr="000E73BB" w14:paraId="2B9EFEFA" w14:textId="77777777" w:rsidTr="000E73BB">
        <w:tblPrEx>
          <w:tblCellMar>
            <w:top w:w="57" w:type="dxa"/>
            <w:bottom w:w="57" w:type="dxa"/>
          </w:tblCellMar>
        </w:tblPrEx>
        <w:trPr>
          <w:gridAfter w:val="2"/>
          <w:wAfter w:w="997" w:type="pct"/>
          <w:cantSplit/>
          <w:jc w:val="center"/>
        </w:trPr>
        <w:tc>
          <w:tcPr>
            <w:tcW w:w="2014" w:type="pct"/>
            <w:tcBorders>
              <w:top w:val="nil"/>
              <w:left w:val="single" w:sz="4" w:space="0" w:color="auto"/>
              <w:bottom w:val="single" w:sz="4" w:space="0" w:color="auto"/>
              <w:right w:val="single" w:sz="4" w:space="0" w:color="auto"/>
            </w:tcBorders>
            <w:shd w:val="clear" w:color="auto" w:fill="auto"/>
            <w:vAlign w:val="center"/>
            <w:hideMark/>
          </w:tcPr>
          <w:p w14:paraId="4CB88B68" w14:textId="77777777" w:rsidR="000E73BB" w:rsidRPr="000E73BB" w:rsidRDefault="000E73BB" w:rsidP="000E73BB">
            <w:pPr>
              <w:spacing w:after="0" w:line="240" w:lineRule="auto"/>
              <w:rPr>
                <w:rFonts w:ascii="Garamond" w:hAnsi="Garamond" w:cs="Calibri"/>
                <w:b/>
                <w:color w:val="000000"/>
                <w:sz w:val="24"/>
                <w:szCs w:val="24"/>
              </w:rPr>
            </w:pPr>
            <w:r w:rsidRPr="000E73BB">
              <w:rPr>
                <w:rFonts w:ascii="Garamond" w:hAnsi="Garamond" w:cs="Calibri"/>
                <w:b/>
                <w:color w:val="000000"/>
                <w:sz w:val="24"/>
                <w:szCs w:val="24"/>
              </w:rPr>
              <w:t>2.1 - Descontos e abatimentos</w:t>
            </w:r>
          </w:p>
        </w:tc>
        <w:tc>
          <w:tcPr>
            <w:tcW w:w="405" w:type="pct"/>
            <w:tcBorders>
              <w:top w:val="nil"/>
              <w:left w:val="nil"/>
              <w:bottom w:val="nil"/>
              <w:right w:val="nil"/>
            </w:tcBorders>
            <w:shd w:val="clear" w:color="auto" w:fill="auto"/>
            <w:vAlign w:val="center"/>
            <w:hideMark/>
          </w:tcPr>
          <w:p w14:paraId="5EC8F79C"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single" w:sz="4" w:space="0" w:color="auto"/>
            </w:tcBorders>
            <w:shd w:val="clear" w:color="auto" w:fill="auto"/>
            <w:vAlign w:val="center"/>
            <w:hideMark/>
          </w:tcPr>
          <w:p w14:paraId="5ED00BEA"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nil"/>
              <w:bottom w:val="nil"/>
              <w:right w:val="single" w:sz="4" w:space="0" w:color="auto"/>
            </w:tcBorders>
            <w:shd w:val="clear" w:color="auto" w:fill="auto"/>
            <w:vAlign w:val="center"/>
            <w:hideMark/>
          </w:tcPr>
          <w:p w14:paraId="6E65ED97"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nil"/>
              <w:bottom w:val="nil"/>
              <w:right w:val="single" w:sz="4" w:space="0" w:color="auto"/>
            </w:tcBorders>
            <w:shd w:val="clear" w:color="auto" w:fill="auto"/>
            <w:vAlign w:val="center"/>
            <w:hideMark/>
          </w:tcPr>
          <w:p w14:paraId="5758B509" w14:textId="77777777" w:rsidR="000E73BB" w:rsidRPr="000E73BB" w:rsidRDefault="000E73BB" w:rsidP="000E73BB">
            <w:pPr>
              <w:spacing w:after="0" w:line="240" w:lineRule="auto"/>
              <w:jc w:val="center"/>
              <w:rPr>
                <w:rFonts w:ascii="Garamond" w:hAnsi="Garamond" w:cs="Calibri"/>
                <w:color w:val="000000"/>
                <w:sz w:val="24"/>
                <w:szCs w:val="24"/>
              </w:rPr>
            </w:pPr>
          </w:p>
        </w:tc>
        <w:tc>
          <w:tcPr>
            <w:tcW w:w="371" w:type="pct"/>
            <w:tcBorders>
              <w:top w:val="nil"/>
              <w:left w:val="nil"/>
              <w:bottom w:val="nil"/>
              <w:right w:val="single" w:sz="4" w:space="0" w:color="auto"/>
            </w:tcBorders>
            <w:shd w:val="clear" w:color="auto" w:fill="auto"/>
            <w:vAlign w:val="center"/>
            <w:hideMark/>
          </w:tcPr>
          <w:p w14:paraId="01260BCA" w14:textId="77777777" w:rsidR="000E73BB" w:rsidRPr="000E73BB" w:rsidRDefault="000E73BB" w:rsidP="000E73BB">
            <w:pPr>
              <w:spacing w:after="0" w:line="240" w:lineRule="auto"/>
              <w:jc w:val="center"/>
              <w:rPr>
                <w:rFonts w:ascii="Garamond" w:hAnsi="Garamond" w:cs="Calibri"/>
                <w:color w:val="000000"/>
                <w:sz w:val="24"/>
                <w:szCs w:val="24"/>
              </w:rPr>
            </w:pPr>
          </w:p>
        </w:tc>
      </w:tr>
      <w:tr w:rsidR="000E73BB" w:rsidRPr="000E73BB" w14:paraId="33767B58" w14:textId="77777777" w:rsidTr="000E73BB">
        <w:tblPrEx>
          <w:tblCellMar>
            <w:top w:w="57" w:type="dxa"/>
            <w:bottom w:w="57" w:type="dxa"/>
          </w:tblCellMar>
        </w:tblPrEx>
        <w:trPr>
          <w:gridAfter w:val="2"/>
          <w:wAfter w:w="997" w:type="pct"/>
          <w:cantSplit/>
          <w:jc w:val="center"/>
        </w:trPr>
        <w:tc>
          <w:tcPr>
            <w:tcW w:w="2014" w:type="pct"/>
            <w:tcBorders>
              <w:top w:val="nil"/>
              <w:left w:val="single" w:sz="4" w:space="0" w:color="auto"/>
              <w:bottom w:val="single" w:sz="4" w:space="0" w:color="auto"/>
              <w:right w:val="single" w:sz="4" w:space="0" w:color="auto"/>
            </w:tcBorders>
            <w:shd w:val="clear" w:color="auto" w:fill="auto"/>
            <w:vAlign w:val="center"/>
            <w:hideMark/>
          </w:tcPr>
          <w:p w14:paraId="0DA89850" w14:textId="77777777" w:rsidR="000E73BB" w:rsidRPr="000E73BB" w:rsidRDefault="000E73BB" w:rsidP="000E73BB">
            <w:pPr>
              <w:spacing w:after="0" w:line="240" w:lineRule="auto"/>
              <w:rPr>
                <w:rFonts w:ascii="Garamond" w:hAnsi="Garamond" w:cs="Calibri"/>
                <w:b/>
                <w:color w:val="000000"/>
                <w:sz w:val="24"/>
                <w:szCs w:val="24"/>
              </w:rPr>
            </w:pPr>
            <w:r w:rsidRPr="000E73BB">
              <w:rPr>
                <w:rFonts w:ascii="Garamond" w:hAnsi="Garamond" w:cs="Calibri"/>
                <w:b/>
                <w:color w:val="000000"/>
                <w:sz w:val="24"/>
                <w:szCs w:val="24"/>
              </w:rPr>
              <w:t>2.2 - Devoluções</w:t>
            </w:r>
          </w:p>
        </w:tc>
        <w:tc>
          <w:tcPr>
            <w:tcW w:w="405" w:type="pct"/>
            <w:tcBorders>
              <w:top w:val="nil"/>
              <w:left w:val="nil"/>
              <w:bottom w:val="nil"/>
              <w:right w:val="nil"/>
            </w:tcBorders>
            <w:shd w:val="clear" w:color="auto" w:fill="auto"/>
            <w:vAlign w:val="center"/>
            <w:hideMark/>
          </w:tcPr>
          <w:p w14:paraId="17E7EBBA"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single" w:sz="4" w:space="0" w:color="auto"/>
            </w:tcBorders>
            <w:shd w:val="clear" w:color="auto" w:fill="auto"/>
            <w:vAlign w:val="center"/>
            <w:hideMark/>
          </w:tcPr>
          <w:p w14:paraId="374AF24F"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nil"/>
              <w:bottom w:val="nil"/>
              <w:right w:val="single" w:sz="4" w:space="0" w:color="auto"/>
            </w:tcBorders>
            <w:shd w:val="clear" w:color="auto" w:fill="auto"/>
            <w:vAlign w:val="center"/>
            <w:hideMark/>
          </w:tcPr>
          <w:p w14:paraId="513E9794"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nil"/>
              <w:bottom w:val="nil"/>
              <w:right w:val="single" w:sz="4" w:space="0" w:color="auto"/>
            </w:tcBorders>
            <w:shd w:val="clear" w:color="auto" w:fill="auto"/>
            <w:vAlign w:val="center"/>
            <w:hideMark/>
          </w:tcPr>
          <w:p w14:paraId="6949E6E0" w14:textId="77777777" w:rsidR="000E73BB" w:rsidRPr="000E73BB" w:rsidRDefault="000E73BB" w:rsidP="000E73BB">
            <w:pPr>
              <w:spacing w:after="0" w:line="240" w:lineRule="auto"/>
              <w:jc w:val="center"/>
              <w:rPr>
                <w:rFonts w:ascii="Garamond" w:hAnsi="Garamond" w:cs="Calibri"/>
                <w:color w:val="000000"/>
                <w:sz w:val="24"/>
                <w:szCs w:val="24"/>
              </w:rPr>
            </w:pPr>
          </w:p>
        </w:tc>
        <w:tc>
          <w:tcPr>
            <w:tcW w:w="371" w:type="pct"/>
            <w:tcBorders>
              <w:top w:val="nil"/>
              <w:left w:val="nil"/>
              <w:bottom w:val="nil"/>
              <w:right w:val="single" w:sz="4" w:space="0" w:color="auto"/>
            </w:tcBorders>
            <w:shd w:val="clear" w:color="auto" w:fill="auto"/>
            <w:vAlign w:val="center"/>
            <w:hideMark/>
          </w:tcPr>
          <w:p w14:paraId="532AFE9C" w14:textId="77777777" w:rsidR="000E73BB" w:rsidRPr="000E73BB" w:rsidRDefault="000E73BB" w:rsidP="000E73BB">
            <w:pPr>
              <w:spacing w:after="0" w:line="240" w:lineRule="auto"/>
              <w:jc w:val="center"/>
              <w:rPr>
                <w:rFonts w:ascii="Garamond" w:hAnsi="Garamond" w:cs="Calibri"/>
                <w:color w:val="000000"/>
                <w:sz w:val="24"/>
                <w:szCs w:val="24"/>
              </w:rPr>
            </w:pPr>
          </w:p>
        </w:tc>
      </w:tr>
      <w:tr w:rsidR="000E73BB" w:rsidRPr="000E73BB" w14:paraId="28E3D9AA" w14:textId="77777777" w:rsidTr="000E73BB">
        <w:tblPrEx>
          <w:tblCellMar>
            <w:top w:w="57" w:type="dxa"/>
            <w:bottom w:w="57" w:type="dxa"/>
          </w:tblCellMar>
        </w:tblPrEx>
        <w:trPr>
          <w:gridAfter w:val="2"/>
          <w:wAfter w:w="997" w:type="pct"/>
          <w:cantSplit/>
          <w:jc w:val="center"/>
        </w:trPr>
        <w:tc>
          <w:tcPr>
            <w:tcW w:w="2014" w:type="pct"/>
            <w:tcBorders>
              <w:top w:val="nil"/>
              <w:left w:val="single" w:sz="4" w:space="0" w:color="auto"/>
              <w:bottom w:val="single" w:sz="4" w:space="0" w:color="auto"/>
              <w:right w:val="single" w:sz="4" w:space="0" w:color="auto"/>
            </w:tcBorders>
            <w:shd w:val="clear" w:color="auto" w:fill="auto"/>
            <w:vAlign w:val="center"/>
            <w:hideMark/>
          </w:tcPr>
          <w:p w14:paraId="63669C2F" w14:textId="77777777" w:rsidR="000E73BB" w:rsidRPr="000E73BB" w:rsidRDefault="000E73BB" w:rsidP="000E73BB">
            <w:pPr>
              <w:spacing w:after="0" w:line="240" w:lineRule="auto"/>
              <w:rPr>
                <w:rFonts w:ascii="Garamond" w:hAnsi="Garamond" w:cs="Calibri"/>
                <w:b/>
                <w:color w:val="000000"/>
                <w:sz w:val="24"/>
                <w:szCs w:val="24"/>
              </w:rPr>
            </w:pPr>
            <w:r w:rsidRPr="000E73BB">
              <w:rPr>
                <w:rFonts w:ascii="Garamond" w:hAnsi="Garamond" w:cs="Calibri"/>
                <w:b/>
                <w:color w:val="000000"/>
                <w:sz w:val="24"/>
                <w:szCs w:val="24"/>
              </w:rPr>
              <w:t>2.3 - Frete sobre vendas</w:t>
            </w:r>
          </w:p>
        </w:tc>
        <w:tc>
          <w:tcPr>
            <w:tcW w:w="405" w:type="pct"/>
            <w:tcBorders>
              <w:top w:val="nil"/>
              <w:left w:val="nil"/>
              <w:bottom w:val="nil"/>
              <w:right w:val="nil"/>
            </w:tcBorders>
            <w:shd w:val="clear" w:color="auto" w:fill="auto"/>
            <w:vAlign w:val="center"/>
            <w:hideMark/>
          </w:tcPr>
          <w:p w14:paraId="7282A045"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single" w:sz="4" w:space="0" w:color="auto"/>
            </w:tcBorders>
            <w:shd w:val="clear" w:color="auto" w:fill="auto"/>
            <w:vAlign w:val="center"/>
            <w:hideMark/>
          </w:tcPr>
          <w:p w14:paraId="184B782C"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nil"/>
              <w:bottom w:val="nil"/>
              <w:right w:val="single" w:sz="4" w:space="0" w:color="auto"/>
            </w:tcBorders>
            <w:shd w:val="clear" w:color="auto" w:fill="auto"/>
            <w:vAlign w:val="center"/>
            <w:hideMark/>
          </w:tcPr>
          <w:p w14:paraId="224DE243"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nil"/>
              <w:bottom w:val="nil"/>
              <w:right w:val="single" w:sz="4" w:space="0" w:color="auto"/>
            </w:tcBorders>
            <w:shd w:val="clear" w:color="auto" w:fill="auto"/>
            <w:vAlign w:val="center"/>
            <w:hideMark/>
          </w:tcPr>
          <w:p w14:paraId="20EDF99C" w14:textId="77777777" w:rsidR="000E73BB" w:rsidRPr="000E73BB" w:rsidRDefault="000E73BB" w:rsidP="000E73BB">
            <w:pPr>
              <w:spacing w:after="0" w:line="240" w:lineRule="auto"/>
              <w:jc w:val="center"/>
              <w:rPr>
                <w:rFonts w:ascii="Garamond" w:hAnsi="Garamond" w:cs="Calibri"/>
                <w:color w:val="000000"/>
                <w:sz w:val="24"/>
                <w:szCs w:val="24"/>
              </w:rPr>
            </w:pPr>
          </w:p>
        </w:tc>
        <w:tc>
          <w:tcPr>
            <w:tcW w:w="371" w:type="pct"/>
            <w:tcBorders>
              <w:top w:val="nil"/>
              <w:left w:val="nil"/>
              <w:bottom w:val="nil"/>
              <w:right w:val="single" w:sz="4" w:space="0" w:color="auto"/>
            </w:tcBorders>
            <w:shd w:val="clear" w:color="auto" w:fill="auto"/>
            <w:vAlign w:val="center"/>
            <w:hideMark/>
          </w:tcPr>
          <w:p w14:paraId="648DA445" w14:textId="77777777" w:rsidR="000E73BB" w:rsidRPr="000E73BB" w:rsidRDefault="000E73BB" w:rsidP="000E73BB">
            <w:pPr>
              <w:spacing w:after="0" w:line="240" w:lineRule="auto"/>
              <w:jc w:val="center"/>
              <w:rPr>
                <w:rFonts w:ascii="Garamond" w:hAnsi="Garamond" w:cs="Calibri"/>
                <w:color w:val="000000"/>
                <w:sz w:val="24"/>
                <w:szCs w:val="24"/>
              </w:rPr>
            </w:pPr>
          </w:p>
        </w:tc>
      </w:tr>
      <w:tr w:rsidR="000E73BB" w:rsidRPr="000E73BB" w14:paraId="52590823" w14:textId="77777777" w:rsidTr="000E73BB">
        <w:tblPrEx>
          <w:tblCellMar>
            <w:top w:w="57" w:type="dxa"/>
            <w:bottom w:w="57" w:type="dxa"/>
          </w:tblCellMar>
        </w:tblPrEx>
        <w:trPr>
          <w:gridAfter w:val="2"/>
          <w:wAfter w:w="997" w:type="pct"/>
          <w:cantSplit/>
          <w:jc w:val="center"/>
        </w:trPr>
        <w:tc>
          <w:tcPr>
            <w:tcW w:w="2014" w:type="pct"/>
            <w:tcBorders>
              <w:top w:val="nil"/>
              <w:left w:val="single" w:sz="4" w:space="0" w:color="auto"/>
              <w:bottom w:val="nil"/>
              <w:right w:val="single" w:sz="4" w:space="0" w:color="auto"/>
            </w:tcBorders>
            <w:shd w:val="clear" w:color="auto" w:fill="auto"/>
            <w:vAlign w:val="center"/>
            <w:hideMark/>
          </w:tcPr>
          <w:p w14:paraId="48220621" w14:textId="77777777" w:rsidR="000E73BB" w:rsidRPr="000E73BB" w:rsidRDefault="000E73BB" w:rsidP="000E73BB">
            <w:pPr>
              <w:spacing w:after="0" w:line="240" w:lineRule="auto"/>
              <w:rPr>
                <w:rFonts w:ascii="Garamond" w:hAnsi="Garamond" w:cs="Calibri"/>
                <w:b/>
                <w:color w:val="000000"/>
                <w:sz w:val="24"/>
                <w:szCs w:val="24"/>
              </w:rPr>
            </w:pPr>
            <w:r w:rsidRPr="000E73BB">
              <w:rPr>
                <w:rFonts w:ascii="Garamond" w:hAnsi="Garamond" w:cs="Calibri"/>
                <w:b/>
                <w:color w:val="000000"/>
                <w:sz w:val="24"/>
                <w:szCs w:val="24"/>
              </w:rPr>
              <w:t>3-Custo dos Produtos Vendidos</w:t>
            </w:r>
          </w:p>
        </w:tc>
        <w:tc>
          <w:tcPr>
            <w:tcW w:w="405" w:type="pct"/>
            <w:tcBorders>
              <w:top w:val="nil"/>
              <w:left w:val="nil"/>
              <w:bottom w:val="nil"/>
              <w:right w:val="nil"/>
            </w:tcBorders>
            <w:shd w:val="clear" w:color="auto" w:fill="auto"/>
            <w:vAlign w:val="center"/>
            <w:hideMark/>
          </w:tcPr>
          <w:p w14:paraId="5C5202BE"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51401C4C"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238A7151"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112A04E0" w14:textId="77777777" w:rsidR="000E73BB" w:rsidRPr="000E73BB" w:rsidRDefault="000E73BB" w:rsidP="000E73BB">
            <w:pPr>
              <w:spacing w:after="0" w:line="240" w:lineRule="auto"/>
              <w:jc w:val="center"/>
              <w:rPr>
                <w:rFonts w:ascii="Garamond" w:hAnsi="Garamond" w:cs="Calibri"/>
                <w:color w:val="000000"/>
                <w:sz w:val="24"/>
                <w:szCs w:val="24"/>
              </w:rPr>
            </w:pPr>
          </w:p>
        </w:tc>
        <w:tc>
          <w:tcPr>
            <w:tcW w:w="371" w:type="pct"/>
            <w:tcBorders>
              <w:top w:val="nil"/>
              <w:left w:val="single" w:sz="4" w:space="0" w:color="auto"/>
              <w:bottom w:val="single" w:sz="4" w:space="0" w:color="auto"/>
              <w:right w:val="single" w:sz="4" w:space="0" w:color="auto"/>
            </w:tcBorders>
            <w:shd w:val="clear" w:color="auto" w:fill="auto"/>
            <w:vAlign w:val="center"/>
            <w:hideMark/>
          </w:tcPr>
          <w:p w14:paraId="1409ADB0" w14:textId="77777777" w:rsidR="000E73BB" w:rsidRPr="000E73BB" w:rsidRDefault="000E73BB" w:rsidP="000E73BB">
            <w:pPr>
              <w:spacing w:after="0" w:line="240" w:lineRule="auto"/>
              <w:jc w:val="center"/>
              <w:rPr>
                <w:rFonts w:ascii="Garamond" w:hAnsi="Garamond" w:cs="Calibri"/>
                <w:color w:val="000000"/>
                <w:sz w:val="24"/>
                <w:szCs w:val="24"/>
              </w:rPr>
            </w:pPr>
          </w:p>
        </w:tc>
      </w:tr>
      <w:tr w:rsidR="000E73BB" w:rsidRPr="000E73BB" w14:paraId="41E34E5A" w14:textId="77777777" w:rsidTr="000E73BB">
        <w:tblPrEx>
          <w:tblCellMar>
            <w:top w:w="57" w:type="dxa"/>
            <w:bottom w:w="57" w:type="dxa"/>
          </w:tblCellMar>
        </w:tblPrEx>
        <w:trPr>
          <w:gridAfter w:val="2"/>
          <w:wAfter w:w="997" w:type="pct"/>
          <w:cantSplit/>
          <w:jc w:val="center"/>
        </w:trPr>
        <w:tc>
          <w:tcPr>
            <w:tcW w:w="201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C9A0054" w14:textId="77777777" w:rsidR="000E73BB" w:rsidRPr="000E73BB" w:rsidRDefault="000E73BB" w:rsidP="000E73BB">
            <w:pPr>
              <w:spacing w:after="0" w:line="240" w:lineRule="auto"/>
              <w:rPr>
                <w:rFonts w:ascii="Garamond" w:hAnsi="Garamond" w:cs="Calibri"/>
                <w:b/>
                <w:color w:val="000000"/>
                <w:sz w:val="24"/>
                <w:szCs w:val="24"/>
              </w:rPr>
            </w:pPr>
            <w:r w:rsidRPr="000E73BB">
              <w:rPr>
                <w:rFonts w:ascii="Garamond" w:hAnsi="Garamond" w:cs="Calibri"/>
                <w:b/>
                <w:color w:val="000000"/>
                <w:sz w:val="24"/>
                <w:szCs w:val="24"/>
              </w:rPr>
              <w:t>4- Resultado Bruto (1-2-3)</w:t>
            </w:r>
          </w:p>
        </w:tc>
        <w:tc>
          <w:tcPr>
            <w:tcW w:w="405" w:type="pct"/>
            <w:tcBorders>
              <w:top w:val="single" w:sz="4" w:space="0" w:color="auto"/>
              <w:left w:val="nil"/>
              <w:bottom w:val="single" w:sz="4" w:space="0" w:color="auto"/>
              <w:right w:val="nil"/>
            </w:tcBorders>
            <w:shd w:val="clear" w:color="000000" w:fill="D9D9D9"/>
            <w:vAlign w:val="center"/>
            <w:hideMark/>
          </w:tcPr>
          <w:p w14:paraId="7B0B79A4"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c>
          <w:tcPr>
            <w:tcW w:w="405" w:type="pct"/>
            <w:tcBorders>
              <w:top w:val="single" w:sz="4" w:space="0" w:color="auto"/>
              <w:left w:val="single" w:sz="4" w:space="0" w:color="auto"/>
              <w:bottom w:val="single" w:sz="4" w:space="0" w:color="auto"/>
              <w:right w:val="nil"/>
            </w:tcBorders>
            <w:shd w:val="clear" w:color="000000" w:fill="D9D9D9"/>
            <w:vAlign w:val="center"/>
            <w:hideMark/>
          </w:tcPr>
          <w:p w14:paraId="024694B3"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c>
          <w:tcPr>
            <w:tcW w:w="405" w:type="pct"/>
            <w:tcBorders>
              <w:top w:val="single" w:sz="4" w:space="0" w:color="auto"/>
              <w:left w:val="single" w:sz="4" w:space="0" w:color="auto"/>
              <w:bottom w:val="single" w:sz="4" w:space="0" w:color="auto"/>
              <w:right w:val="nil"/>
            </w:tcBorders>
            <w:shd w:val="clear" w:color="000000" w:fill="D9D9D9"/>
            <w:vAlign w:val="center"/>
            <w:hideMark/>
          </w:tcPr>
          <w:p w14:paraId="68C33DEA"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c>
          <w:tcPr>
            <w:tcW w:w="405" w:type="pct"/>
            <w:tcBorders>
              <w:top w:val="single" w:sz="4" w:space="0" w:color="auto"/>
              <w:left w:val="single" w:sz="4" w:space="0" w:color="auto"/>
              <w:bottom w:val="single" w:sz="4" w:space="0" w:color="auto"/>
              <w:right w:val="nil"/>
            </w:tcBorders>
            <w:shd w:val="clear" w:color="000000" w:fill="D9D9D9"/>
            <w:vAlign w:val="center"/>
            <w:hideMark/>
          </w:tcPr>
          <w:p w14:paraId="252B1E44"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c>
          <w:tcPr>
            <w:tcW w:w="37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234E289"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r>
      <w:tr w:rsidR="000E73BB" w:rsidRPr="000E73BB" w14:paraId="786793CB" w14:textId="77777777" w:rsidTr="000E73BB">
        <w:tblPrEx>
          <w:tblCellMar>
            <w:top w:w="57" w:type="dxa"/>
            <w:bottom w:w="57" w:type="dxa"/>
          </w:tblCellMar>
        </w:tblPrEx>
        <w:trPr>
          <w:gridAfter w:val="2"/>
          <w:wAfter w:w="997" w:type="pct"/>
          <w:cantSplit/>
          <w:jc w:val="center"/>
        </w:trPr>
        <w:tc>
          <w:tcPr>
            <w:tcW w:w="2014" w:type="pct"/>
            <w:tcBorders>
              <w:top w:val="nil"/>
              <w:left w:val="single" w:sz="4" w:space="0" w:color="auto"/>
              <w:bottom w:val="single" w:sz="4" w:space="0" w:color="auto"/>
              <w:right w:val="single" w:sz="4" w:space="0" w:color="auto"/>
            </w:tcBorders>
            <w:shd w:val="clear" w:color="000000" w:fill="D9D9D9"/>
            <w:vAlign w:val="center"/>
            <w:hideMark/>
          </w:tcPr>
          <w:p w14:paraId="4841AF75" w14:textId="77777777" w:rsidR="000E73BB" w:rsidRPr="000E73BB" w:rsidRDefault="000E73BB" w:rsidP="000E73BB">
            <w:pPr>
              <w:spacing w:after="0" w:line="240" w:lineRule="auto"/>
              <w:rPr>
                <w:rFonts w:ascii="Garamond" w:hAnsi="Garamond" w:cs="Calibri"/>
                <w:b/>
                <w:color w:val="000000"/>
                <w:sz w:val="24"/>
                <w:szCs w:val="24"/>
              </w:rPr>
            </w:pPr>
            <w:r w:rsidRPr="000E73BB">
              <w:rPr>
                <w:rFonts w:ascii="Garamond" w:hAnsi="Garamond" w:cs="Calibri"/>
                <w:b/>
                <w:color w:val="000000"/>
                <w:sz w:val="24"/>
                <w:szCs w:val="24"/>
              </w:rPr>
              <w:t>5-Despesas/Receitas Operacionais</w:t>
            </w:r>
          </w:p>
        </w:tc>
        <w:tc>
          <w:tcPr>
            <w:tcW w:w="405" w:type="pct"/>
            <w:tcBorders>
              <w:top w:val="nil"/>
              <w:left w:val="nil"/>
              <w:bottom w:val="single" w:sz="4" w:space="0" w:color="auto"/>
              <w:right w:val="nil"/>
            </w:tcBorders>
            <w:shd w:val="clear" w:color="000000" w:fill="D9D9D9"/>
            <w:vAlign w:val="center"/>
            <w:hideMark/>
          </w:tcPr>
          <w:p w14:paraId="1AF50767"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c>
          <w:tcPr>
            <w:tcW w:w="405" w:type="pct"/>
            <w:tcBorders>
              <w:top w:val="nil"/>
              <w:left w:val="single" w:sz="4" w:space="0" w:color="auto"/>
              <w:bottom w:val="single" w:sz="4" w:space="0" w:color="auto"/>
              <w:right w:val="nil"/>
            </w:tcBorders>
            <w:shd w:val="clear" w:color="000000" w:fill="D9D9D9"/>
            <w:vAlign w:val="center"/>
            <w:hideMark/>
          </w:tcPr>
          <w:p w14:paraId="4529C379"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c>
          <w:tcPr>
            <w:tcW w:w="405" w:type="pct"/>
            <w:tcBorders>
              <w:top w:val="nil"/>
              <w:left w:val="single" w:sz="4" w:space="0" w:color="auto"/>
              <w:bottom w:val="single" w:sz="4" w:space="0" w:color="auto"/>
              <w:right w:val="nil"/>
            </w:tcBorders>
            <w:shd w:val="clear" w:color="000000" w:fill="D9D9D9"/>
            <w:vAlign w:val="center"/>
            <w:hideMark/>
          </w:tcPr>
          <w:p w14:paraId="6E3CD69D"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c>
          <w:tcPr>
            <w:tcW w:w="405" w:type="pct"/>
            <w:tcBorders>
              <w:top w:val="nil"/>
              <w:left w:val="single" w:sz="4" w:space="0" w:color="auto"/>
              <w:bottom w:val="single" w:sz="4" w:space="0" w:color="auto"/>
              <w:right w:val="nil"/>
            </w:tcBorders>
            <w:shd w:val="clear" w:color="000000" w:fill="D9D9D9"/>
            <w:vAlign w:val="center"/>
            <w:hideMark/>
          </w:tcPr>
          <w:p w14:paraId="2F024730"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c>
          <w:tcPr>
            <w:tcW w:w="37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571C38C"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r>
      <w:tr w:rsidR="000E73BB" w:rsidRPr="000E73BB" w14:paraId="6B11B26A" w14:textId="77777777" w:rsidTr="000E73BB">
        <w:tblPrEx>
          <w:tblCellMar>
            <w:top w:w="57" w:type="dxa"/>
            <w:bottom w:w="57" w:type="dxa"/>
          </w:tblCellMar>
        </w:tblPrEx>
        <w:trPr>
          <w:gridAfter w:val="2"/>
          <w:wAfter w:w="997" w:type="pct"/>
          <w:cantSplit/>
          <w:jc w:val="center"/>
        </w:trPr>
        <w:tc>
          <w:tcPr>
            <w:tcW w:w="2014" w:type="pct"/>
            <w:tcBorders>
              <w:top w:val="nil"/>
              <w:left w:val="single" w:sz="4" w:space="0" w:color="auto"/>
              <w:bottom w:val="single" w:sz="4" w:space="0" w:color="auto"/>
              <w:right w:val="single" w:sz="4" w:space="0" w:color="auto"/>
            </w:tcBorders>
            <w:shd w:val="clear" w:color="auto" w:fill="auto"/>
            <w:vAlign w:val="center"/>
            <w:hideMark/>
          </w:tcPr>
          <w:p w14:paraId="389DCCF4" w14:textId="77777777" w:rsidR="000E73BB" w:rsidRPr="000E73BB" w:rsidRDefault="000E73BB" w:rsidP="000E73BB">
            <w:pPr>
              <w:spacing w:after="0" w:line="240" w:lineRule="auto"/>
              <w:rPr>
                <w:rFonts w:ascii="Garamond" w:hAnsi="Garamond" w:cs="Calibri"/>
                <w:b/>
                <w:color w:val="000000"/>
                <w:sz w:val="24"/>
                <w:szCs w:val="24"/>
              </w:rPr>
            </w:pPr>
            <w:r w:rsidRPr="000E73BB">
              <w:rPr>
                <w:rFonts w:ascii="Garamond" w:hAnsi="Garamond" w:cs="Calibri"/>
                <w:b/>
                <w:color w:val="000000"/>
                <w:sz w:val="24"/>
                <w:szCs w:val="24"/>
              </w:rPr>
              <w:t>5.1-Despesas Gerais e Administrativas</w:t>
            </w:r>
          </w:p>
        </w:tc>
        <w:tc>
          <w:tcPr>
            <w:tcW w:w="405" w:type="pct"/>
            <w:tcBorders>
              <w:top w:val="nil"/>
              <w:left w:val="nil"/>
              <w:bottom w:val="nil"/>
              <w:right w:val="nil"/>
            </w:tcBorders>
            <w:shd w:val="clear" w:color="auto" w:fill="auto"/>
            <w:vAlign w:val="center"/>
            <w:hideMark/>
          </w:tcPr>
          <w:p w14:paraId="18CC905F"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7ACB5D48"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66C68C03"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69F64ED7" w14:textId="77777777" w:rsidR="000E73BB" w:rsidRPr="000E73BB" w:rsidRDefault="000E73BB" w:rsidP="000E73BB">
            <w:pPr>
              <w:spacing w:after="0" w:line="240" w:lineRule="auto"/>
              <w:jc w:val="center"/>
              <w:rPr>
                <w:rFonts w:ascii="Garamond" w:hAnsi="Garamond" w:cs="Calibri"/>
                <w:color w:val="000000"/>
                <w:sz w:val="24"/>
                <w:szCs w:val="24"/>
              </w:rPr>
            </w:pPr>
          </w:p>
        </w:tc>
        <w:tc>
          <w:tcPr>
            <w:tcW w:w="371" w:type="pct"/>
            <w:tcBorders>
              <w:top w:val="nil"/>
              <w:left w:val="single" w:sz="4" w:space="0" w:color="auto"/>
              <w:bottom w:val="nil"/>
              <w:right w:val="single" w:sz="4" w:space="0" w:color="auto"/>
            </w:tcBorders>
            <w:shd w:val="clear" w:color="auto" w:fill="auto"/>
            <w:vAlign w:val="center"/>
            <w:hideMark/>
          </w:tcPr>
          <w:p w14:paraId="293B82B2" w14:textId="77777777" w:rsidR="000E73BB" w:rsidRPr="000E73BB" w:rsidRDefault="000E73BB" w:rsidP="000E73BB">
            <w:pPr>
              <w:spacing w:after="0" w:line="240" w:lineRule="auto"/>
              <w:jc w:val="center"/>
              <w:rPr>
                <w:rFonts w:ascii="Garamond" w:hAnsi="Garamond" w:cs="Calibri"/>
                <w:color w:val="000000"/>
                <w:sz w:val="24"/>
                <w:szCs w:val="24"/>
              </w:rPr>
            </w:pPr>
          </w:p>
        </w:tc>
      </w:tr>
      <w:tr w:rsidR="000E73BB" w:rsidRPr="000E73BB" w14:paraId="77964F54" w14:textId="77777777" w:rsidTr="000E73BB">
        <w:tblPrEx>
          <w:tblCellMar>
            <w:top w:w="57" w:type="dxa"/>
            <w:bottom w:w="57" w:type="dxa"/>
          </w:tblCellMar>
        </w:tblPrEx>
        <w:trPr>
          <w:gridAfter w:val="2"/>
          <w:wAfter w:w="997" w:type="pct"/>
          <w:cantSplit/>
          <w:jc w:val="center"/>
        </w:trPr>
        <w:tc>
          <w:tcPr>
            <w:tcW w:w="2014" w:type="pct"/>
            <w:tcBorders>
              <w:top w:val="nil"/>
              <w:left w:val="single" w:sz="4" w:space="0" w:color="auto"/>
              <w:bottom w:val="single" w:sz="4" w:space="0" w:color="auto"/>
              <w:right w:val="single" w:sz="4" w:space="0" w:color="auto"/>
            </w:tcBorders>
            <w:shd w:val="clear" w:color="auto" w:fill="auto"/>
            <w:vAlign w:val="center"/>
            <w:hideMark/>
          </w:tcPr>
          <w:p w14:paraId="20F67EDA" w14:textId="77777777" w:rsidR="000E73BB" w:rsidRPr="000E73BB" w:rsidRDefault="000E73BB" w:rsidP="000E73BB">
            <w:pPr>
              <w:spacing w:after="0" w:line="240" w:lineRule="auto"/>
              <w:rPr>
                <w:rFonts w:ascii="Garamond" w:hAnsi="Garamond" w:cs="Calibri"/>
                <w:b/>
                <w:color w:val="000000"/>
                <w:sz w:val="24"/>
                <w:szCs w:val="24"/>
              </w:rPr>
            </w:pPr>
            <w:r w:rsidRPr="000E73BB">
              <w:rPr>
                <w:rFonts w:ascii="Garamond" w:hAnsi="Garamond" w:cs="Calibri"/>
                <w:b/>
                <w:color w:val="000000"/>
                <w:sz w:val="24"/>
                <w:szCs w:val="24"/>
              </w:rPr>
              <w:t>5.2-Despesas com Vendas (exceto frete sobre vendas)</w:t>
            </w:r>
          </w:p>
        </w:tc>
        <w:tc>
          <w:tcPr>
            <w:tcW w:w="405" w:type="pct"/>
            <w:tcBorders>
              <w:top w:val="nil"/>
              <w:left w:val="nil"/>
              <w:bottom w:val="nil"/>
              <w:right w:val="nil"/>
            </w:tcBorders>
            <w:shd w:val="clear" w:color="auto" w:fill="auto"/>
            <w:vAlign w:val="center"/>
            <w:hideMark/>
          </w:tcPr>
          <w:p w14:paraId="2B6D2BDE"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16389FBE"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1555096D"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7A57666C" w14:textId="77777777" w:rsidR="000E73BB" w:rsidRPr="000E73BB" w:rsidRDefault="000E73BB" w:rsidP="000E73BB">
            <w:pPr>
              <w:spacing w:after="0" w:line="240" w:lineRule="auto"/>
              <w:jc w:val="center"/>
              <w:rPr>
                <w:rFonts w:ascii="Garamond" w:hAnsi="Garamond" w:cs="Calibri"/>
                <w:color w:val="000000"/>
                <w:sz w:val="24"/>
                <w:szCs w:val="24"/>
              </w:rPr>
            </w:pPr>
          </w:p>
        </w:tc>
        <w:tc>
          <w:tcPr>
            <w:tcW w:w="371" w:type="pct"/>
            <w:tcBorders>
              <w:top w:val="nil"/>
              <w:left w:val="single" w:sz="4" w:space="0" w:color="auto"/>
              <w:bottom w:val="nil"/>
              <w:right w:val="single" w:sz="4" w:space="0" w:color="auto"/>
            </w:tcBorders>
            <w:shd w:val="clear" w:color="auto" w:fill="auto"/>
            <w:vAlign w:val="center"/>
            <w:hideMark/>
          </w:tcPr>
          <w:p w14:paraId="0601368C" w14:textId="77777777" w:rsidR="000E73BB" w:rsidRPr="000E73BB" w:rsidRDefault="000E73BB" w:rsidP="000E73BB">
            <w:pPr>
              <w:spacing w:after="0" w:line="240" w:lineRule="auto"/>
              <w:jc w:val="center"/>
              <w:rPr>
                <w:rFonts w:ascii="Garamond" w:hAnsi="Garamond" w:cs="Calibri"/>
                <w:color w:val="000000"/>
                <w:sz w:val="24"/>
                <w:szCs w:val="24"/>
              </w:rPr>
            </w:pPr>
          </w:p>
        </w:tc>
      </w:tr>
      <w:tr w:rsidR="000E73BB" w:rsidRPr="000E73BB" w14:paraId="47128533" w14:textId="77777777" w:rsidTr="000E73BB">
        <w:tblPrEx>
          <w:tblCellMar>
            <w:top w:w="57" w:type="dxa"/>
            <w:bottom w:w="57" w:type="dxa"/>
          </w:tblCellMar>
        </w:tblPrEx>
        <w:trPr>
          <w:gridAfter w:val="2"/>
          <w:wAfter w:w="997" w:type="pct"/>
          <w:cantSplit/>
          <w:jc w:val="center"/>
        </w:trPr>
        <w:tc>
          <w:tcPr>
            <w:tcW w:w="2014" w:type="pct"/>
            <w:tcBorders>
              <w:top w:val="nil"/>
              <w:left w:val="single" w:sz="4" w:space="0" w:color="auto"/>
              <w:bottom w:val="single" w:sz="4" w:space="0" w:color="auto"/>
              <w:right w:val="single" w:sz="4" w:space="0" w:color="auto"/>
            </w:tcBorders>
            <w:shd w:val="clear" w:color="auto" w:fill="auto"/>
            <w:vAlign w:val="center"/>
            <w:hideMark/>
          </w:tcPr>
          <w:p w14:paraId="5C6E4BBD" w14:textId="77777777" w:rsidR="000E73BB" w:rsidRPr="000E73BB" w:rsidRDefault="000E73BB" w:rsidP="000E73BB">
            <w:pPr>
              <w:spacing w:after="0" w:line="240" w:lineRule="auto"/>
              <w:rPr>
                <w:rFonts w:ascii="Garamond" w:hAnsi="Garamond" w:cs="Calibri"/>
                <w:b/>
                <w:color w:val="000000"/>
                <w:sz w:val="24"/>
                <w:szCs w:val="24"/>
              </w:rPr>
            </w:pPr>
            <w:r w:rsidRPr="000E73BB">
              <w:rPr>
                <w:rFonts w:ascii="Garamond" w:hAnsi="Garamond" w:cs="Calibri"/>
                <w:b/>
                <w:color w:val="000000"/>
                <w:sz w:val="24"/>
                <w:szCs w:val="24"/>
              </w:rPr>
              <w:t>5.3-Despesas Financeiras</w:t>
            </w:r>
          </w:p>
        </w:tc>
        <w:tc>
          <w:tcPr>
            <w:tcW w:w="405" w:type="pct"/>
            <w:tcBorders>
              <w:top w:val="nil"/>
              <w:left w:val="nil"/>
              <w:bottom w:val="nil"/>
              <w:right w:val="nil"/>
            </w:tcBorders>
            <w:shd w:val="clear" w:color="auto" w:fill="auto"/>
            <w:vAlign w:val="center"/>
            <w:hideMark/>
          </w:tcPr>
          <w:p w14:paraId="0E5C862D"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0E943123"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662DB573"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0296DD4A" w14:textId="77777777" w:rsidR="000E73BB" w:rsidRPr="000E73BB" w:rsidRDefault="000E73BB" w:rsidP="000E73BB">
            <w:pPr>
              <w:spacing w:after="0" w:line="240" w:lineRule="auto"/>
              <w:jc w:val="center"/>
              <w:rPr>
                <w:rFonts w:ascii="Garamond" w:hAnsi="Garamond" w:cs="Calibri"/>
                <w:color w:val="000000"/>
                <w:sz w:val="24"/>
                <w:szCs w:val="24"/>
              </w:rPr>
            </w:pPr>
          </w:p>
        </w:tc>
        <w:tc>
          <w:tcPr>
            <w:tcW w:w="371" w:type="pct"/>
            <w:tcBorders>
              <w:top w:val="nil"/>
              <w:left w:val="single" w:sz="4" w:space="0" w:color="auto"/>
              <w:bottom w:val="nil"/>
              <w:right w:val="single" w:sz="4" w:space="0" w:color="auto"/>
            </w:tcBorders>
            <w:shd w:val="clear" w:color="auto" w:fill="auto"/>
            <w:vAlign w:val="center"/>
            <w:hideMark/>
          </w:tcPr>
          <w:p w14:paraId="70B4118F" w14:textId="77777777" w:rsidR="000E73BB" w:rsidRPr="000E73BB" w:rsidRDefault="000E73BB" w:rsidP="000E73BB">
            <w:pPr>
              <w:spacing w:after="0" w:line="240" w:lineRule="auto"/>
              <w:jc w:val="center"/>
              <w:rPr>
                <w:rFonts w:ascii="Garamond" w:hAnsi="Garamond" w:cs="Calibri"/>
                <w:color w:val="000000"/>
                <w:sz w:val="24"/>
                <w:szCs w:val="24"/>
              </w:rPr>
            </w:pPr>
          </w:p>
        </w:tc>
      </w:tr>
      <w:tr w:rsidR="000E73BB" w:rsidRPr="000E73BB" w14:paraId="6ADE35B5" w14:textId="77777777" w:rsidTr="000E73BB">
        <w:tblPrEx>
          <w:tblCellMar>
            <w:top w:w="57" w:type="dxa"/>
            <w:bottom w:w="57" w:type="dxa"/>
          </w:tblCellMar>
        </w:tblPrEx>
        <w:trPr>
          <w:gridAfter w:val="2"/>
          <w:wAfter w:w="997" w:type="pct"/>
          <w:cantSplit/>
          <w:jc w:val="center"/>
        </w:trPr>
        <w:tc>
          <w:tcPr>
            <w:tcW w:w="2014" w:type="pct"/>
            <w:tcBorders>
              <w:top w:val="nil"/>
              <w:left w:val="single" w:sz="4" w:space="0" w:color="auto"/>
              <w:bottom w:val="single" w:sz="4" w:space="0" w:color="auto"/>
              <w:right w:val="single" w:sz="4" w:space="0" w:color="auto"/>
            </w:tcBorders>
            <w:shd w:val="clear" w:color="auto" w:fill="auto"/>
            <w:vAlign w:val="center"/>
            <w:hideMark/>
          </w:tcPr>
          <w:p w14:paraId="2C8CD5D0" w14:textId="77777777" w:rsidR="000E73BB" w:rsidRPr="000E73BB" w:rsidRDefault="000E73BB" w:rsidP="000E73BB">
            <w:pPr>
              <w:spacing w:after="0" w:line="240" w:lineRule="auto"/>
              <w:rPr>
                <w:rFonts w:ascii="Garamond" w:hAnsi="Garamond" w:cs="Calibri"/>
                <w:b/>
                <w:color w:val="000000"/>
                <w:sz w:val="24"/>
                <w:szCs w:val="24"/>
              </w:rPr>
            </w:pPr>
            <w:r w:rsidRPr="000E73BB">
              <w:rPr>
                <w:rFonts w:ascii="Garamond" w:hAnsi="Garamond" w:cs="Calibri"/>
                <w:b/>
                <w:color w:val="000000"/>
                <w:sz w:val="24"/>
                <w:szCs w:val="24"/>
              </w:rPr>
              <w:t>5.4-Receitas Financeiras</w:t>
            </w:r>
          </w:p>
        </w:tc>
        <w:tc>
          <w:tcPr>
            <w:tcW w:w="405" w:type="pct"/>
            <w:tcBorders>
              <w:top w:val="nil"/>
              <w:left w:val="nil"/>
              <w:bottom w:val="nil"/>
              <w:right w:val="nil"/>
            </w:tcBorders>
            <w:shd w:val="clear" w:color="auto" w:fill="auto"/>
            <w:vAlign w:val="center"/>
            <w:hideMark/>
          </w:tcPr>
          <w:p w14:paraId="31F34FB3"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5E455646"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250BA9E0"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4B80C62C" w14:textId="77777777" w:rsidR="000E73BB" w:rsidRPr="000E73BB" w:rsidRDefault="000E73BB" w:rsidP="000E73BB">
            <w:pPr>
              <w:spacing w:after="0" w:line="240" w:lineRule="auto"/>
              <w:jc w:val="center"/>
              <w:rPr>
                <w:rFonts w:ascii="Garamond" w:hAnsi="Garamond" w:cs="Calibri"/>
                <w:color w:val="000000"/>
                <w:sz w:val="24"/>
                <w:szCs w:val="24"/>
              </w:rPr>
            </w:pPr>
          </w:p>
        </w:tc>
        <w:tc>
          <w:tcPr>
            <w:tcW w:w="371" w:type="pct"/>
            <w:tcBorders>
              <w:top w:val="nil"/>
              <w:left w:val="single" w:sz="4" w:space="0" w:color="auto"/>
              <w:bottom w:val="nil"/>
              <w:right w:val="single" w:sz="4" w:space="0" w:color="auto"/>
            </w:tcBorders>
            <w:shd w:val="clear" w:color="auto" w:fill="auto"/>
            <w:vAlign w:val="center"/>
            <w:hideMark/>
          </w:tcPr>
          <w:p w14:paraId="263F70FC" w14:textId="77777777" w:rsidR="000E73BB" w:rsidRPr="000E73BB" w:rsidRDefault="000E73BB" w:rsidP="000E73BB">
            <w:pPr>
              <w:spacing w:after="0" w:line="240" w:lineRule="auto"/>
              <w:jc w:val="center"/>
              <w:rPr>
                <w:rFonts w:ascii="Garamond" w:hAnsi="Garamond" w:cs="Calibri"/>
                <w:color w:val="000000"/>
                <w:sz w:val="24"/>
                <w:szCs w:val="24"/>
              </w:rPr>
            </w:pPr>
          </w:p>
        </w:tc>
      </w:tr>
      <w:tr w:rsidR="000E73BB" w:rsidRPr="000E73BB" w14:paraId="1C478F88" w14:textId="77777777" w:rsidTr="000E73BB">
        <w:tblPrEx>
          <w:tblCellMar>
            <w:top w:w="57" w:type="dxa"/>
            <w:bottom w:w="57" w:type="dxa"/>
          </w:tblCellMar>
        </w:tblPrEx>
        <w:trPr>
          <w:gridAfter w:val="2"/>
          <w:wAfter w:w="997" w:type="pct"/>
          <w:cantSplit/>
          <w:jc w:val="center"/>
        </w:trPr>
        <w:tc>
          <w:tcPr>
            <w:tcW w:w="2014" w:type="pct"/>
            <w:tcBorders>
              <w:top w:val="nil"/>
              <w:left w:val="single" w:sz="4" w:space="0" w:color="auto"/>
              <w:bottom w:val="nil"/>
              <w:right w:val="single" w:sz="4" w:space="0" w:color="auto"/>
            </w:tcBorders>
            <w:shd w:val="clear" w:color="auto" w:fill="auto"/>
            <w:vAlign w:val="center"/>
            <w:hideMark/>
          </w:tcPr>
          <w:p w14:paraId="69BF4980" w14:textId="77777777" w:rsidR="000E73BB" w:rsidRPr="000E73BB" w:rsidRDefault="000E73BB" w:rsidP="000E73BB">
            <w:pPr>
              <w:spacing w:after="0" w:line="240" w:lineRule="auto"/>
              <w:rPr>
                <w:rFonts w:ascii="Garamond" w:hAnsi="Garamond" w:cs="Calibri"/>
                <w:b/>
                <w:color w:val="000000"/>
                <w:sz w:val="24"/>
                <w:szCs w:val="24"/>
              </w:rPr>
            </w:pPr>
            <w:r w:rsidRPr="000E73BB">
              <w:rPr>
                <w:rFonts w:ascii="Garamond" w:hAnsi="Garamond" w:cs="Calibri"/>
                <w:b/>
                <w:color w:val="000000"/>
                <w:sz w:val="24"/>
                <w:szCs w:val="24"/>
              </w:rPr>
              <w:t>5.5-Outras despesas operacionais</w:t>
            </w:r>
          </w:p>
        </w:tc>
        <w:tc>
          <w:tcPr>
            <w:tcW w:w="405" w:type="pct"/>
            <w:tcBorders>
              <w:top w:val="nil"/>
              <w:left w:val="nil"/>
              <w:bottom w:val="nil"/>
              <w:right w:val="nil"/>
            </w:tcBorders>
            <w:shd w:val="clear" w:color="auto" w:fill="auto"/>
            <w:vAlign w:val="center"/>
            <w:hideMark/>
          </w:tcPr>
          <w:p w14:paraId="6A73B14D"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7365D633"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24D74CB4"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72A657B3" w14:textId="77777777" w:rsidR="000E73BB" w:rsidRPr="000E73BB" w:rsidRDefault="000E73BB" w:rsidP="000E73BB">
            <w:pPr>
              <w:spacing w:after="0" w:line="240" w:lineRule="auto"/>
              <w:jc w:val="center"/>
              <w:rPr>
                <w:rFonts w:ascii="Garamond" w:hAnsi="Garamond" w:cs="Calibri"/>
                <w:color w:val="000000"/>
                <w:sz w:val="24"/>
                <w:szCs w:val="24"/>
              </w:rPr>
            </w:pPr>
          </w:p>
        </w:tc>
        <w:tc>
          <w:tcPr>
            <w:tcW w:w="371" w:type="pct"/>
            <w:tcBorders>
              <w:top w:val="nil"/>
              <w:left w:val="single" w:sz="4" w:space="0" w:color="auto"/>
              <w:bottom w:val="nil"/>
              <w:right w:val="single" w:sz="4" w:space="0" w:color="auto"/>
            </w:tcBorders>
            <w:shd w:val="clear" w:color="auto" w:fill="auto"/>
            <w:vAlign w:val="center"/>
            <w:hideMark/>
          </w:tcPr>
          <w:p w14:paraId="727F64B6" w14:textId="77777777" w:rsidR="000E73BB" w:rsidRPr="000E73BB" w:rsidRDefault="000E73BB" w:rsidP="000E73BB">
            <w:pPr>
              <w:spacing w:after="0" w:line="240" w:lineRule="auto"/>
              <w:jc w:val="center"/>
              <w:rPr>
                <w:rFonts w:ascii="Garamond" w:hAnsi="Garamond" w:cs="Calibri"/>
                <w:color w:val="000000"/>
                <w:sz w:val="24"/>
                <w:szCs w:val="24"/>
              </w:rPr>
            </w:pPr>
          </w:p>
        </w:tc>
      </w:tr>
      <w:tr w:rsidR="000E73BB" w:rsidRPr="000E73BB" w14:paraId="4AF1A629" w14:textId="77777777" w:rsidTr="000E73BB">
        <w:tblPrEx>
          <w:tblCellMar>
            <w:top w:w="57" w:type="dxa"/>
            <w:bottom w:w="57" w:type="dxa"/>
          </w:tblCellMar>
        </w:tblPrEx>
        <w:trPr>
          <w:gridAfter w:val="2"/>
          <w:wAfter w:w="997" w:type="pct"/>
          <w:cantSplit/>
          <w:jc w:val="center"/>
        </w:trPr>
        <w:tc>
          <w:tcPr>
            <w:tcW w:w="2014" w:type="pct"/>
            <w:tcBorders>
              <w:top w:val="single" w:sz="4" w:space="0" w:color="auto"/>
              <w:left w:val="single" w:sz="4" w:space="0" w:color="auto"/>
              <w:bottom w:val="nil"/>
              <w:right w:val="single" w:sz="4" w:space="0" w:color="auto"/>
            </w:tcBorders>
            <w:shd w:val="clear" w:color="auto" w:fill="auto"/>
            <w:vAlign w:val="center"/>
            <w:hideMark/>
          </w:tcPr>
          <w:p w14:paraId="005A202A" w14:textId="77777777" w:rsidR="000E73BB" w:rsidRPr="000E73BB" w:rsidRDefault="000E73BB" w:rsidP="000E73BB">
            <w:pPr>
              <w:spacing w:after="0" w:line="240" w:lineRule="auto"/>
              <w:rPr>
                <w:rFonts w:ascii="Garamond" w:hAnsi="Garamond" w:cs="Calibri"/>
                <w:b/>
                <w:color w:val="000000"/>
                <w:sz w:val="24"/>
                <w:szCs w:val="24"/>
              </w:rPr>
            </w:pPr>
            <w:r w:rsidRPr="000E73BB">
              <w:rPr>
                <w:rFonts w:ascii="Garamond" w:hAnsi="Garamond" w:cs="Calibri"/>
                <w:b/>
                <w:color w:val="000000"/>
                <w:sz w:val="24"/>
                <w:szCs w:val="24"/>
              </w:rPr>
              <w:t>5.6-Outras receitas operacionais</w:t>
            </w:r>
          </w:p>
        </w:tc>
        <w:tc>
          <w:tcPr>
            <w:tcW w:w="405" w:type="pct"/>
            <w:tcBorders>
              <w:top w:val="nil"/>
              <w:left w:val="nil"/>
              <w:bottom w:val="nil"/>
              <w:right w:val="nil"/>
            </w:tcBorders>
            <w:shd w:val="clear" w:color="auto" w:fill="auto"/>
            <w:vAlign w:val="center"/>
            <w:hideMark/>
          </w:tcPr>
          <w:p w14:paraId="1C9090E0"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71129BE5"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71F38318" w14:textId="77777777" w:rsidR="000E73BB" w:rsidRPr="000E73BB" w:rsidRDefault="000E73BB" w:rsidP="000E73BB">
            <w:pPr>
              <w:spacing w:after="0" w:line="240" w:lineRule="auto"/>
              <w:jc w:val="center"/>
              <w:rPr>
                <w:rFonts w:ascii="Garamond" w:hAnsi="Garamond" w:cs="Calibri"/>
                <w:color w:val="000000"/>
                <w:sz w:val="24"/>
                <w:szCs w:val="24"/>
              </w:rPr>
            </w:pPr>
          </w:p>
        </w:tc>
        <w:tc>
          <w:tcPr>
            <w:tcW w:w="405" w:type="pct"/>
            <w:tcBorders>
              <w:top w:val="nil"/>
              <w:left w:val="single" w:sz="4" w:space="0" w:color="auto"/>
              <w:bottom w:val="nil"/>
              <w:right w:val="nil"/>
            </w:tcBorders>
            <w:shd w:val="clear" w:color="auto" w:fill="auto"/>
            <w:vAlign w:val="center"/>
            <w:hideMark/>
          </w:tcPr>
          <w:p w14:paraId="25F926EE" w14:textId="77777777" w:rsidR="000E73BB" w:rsidRPr="000E73BB" w:rsidRDefault="000E73BB" w:rsidP="000E73BB">
            <w:pPr>
              <w:spacing w:after="0" w:line="240" w:lineRule="auto"/>
              <w:jc w:val="center"/>
              <w:rPr>
                <w:rFonts w:ascii="Garamond" w:hAnsi="Garamond" w:cs="Calibri"/>
                <w:color w:val="000000"/>
                <w:sz w:val="24"/>
                <w:szCs w:val="24"/>
              </w:rPr>
            </w:pPr>
          </w:p>
        </w:tc>
        <w:tc>
          <w:tcPr>
            <w:tcW w:w="371" w:type="pct"/>
            <w:tcBorders>
              <w:top w:val="nil"/>
              <w:left w:val="single" w:sz="4" w:space="0" w:color="auto"/>
              <w:bottom w:val="nil"/>
              <w:right w:val="single" w:sz="4" w:space="0" w:color="auto"/>
            </w:tcBorders>
            <w:shd w:val="clear" w:color="auto" w:fill="auto"/>
            <w:vAlign w:val="center"/>
            <w:hideMark/>
          </w:tcPr>
          <w:p w14:paraId="62575200" w14:textId="77777777" w:rsidR="000E73BB" w:rsidRPr="000E73BB" w:rsidRDefault="000E73BB" w:rsidP="000E73BB">
            <w:pPr>
              <w:spacing w:after="0" w:line="240" w:lineRule="auto"/>
              <w:jc w:val="center"/>
              <w:rPr>
                <w:rFonts w:ascii="Garamond" w:hAnsi="Garamond" w:cs="Calibri"/>
                <w:color w:val="000000"/>
                <w:sz w:val="24"/>
                <w:szCs w:val="24"/>
              </w:rPr>
            </w:pPr>
          </w:p>
        </w:tc>
      </w:tr>
      <w:tr w:rsidR="000E73BB" w:rsidRPr="000E73BB" w14:paraId="02B7E7AA" w14:textId="77777777" w:rsidTr="000E73BB">
        <w:tblPrEx>
          <w:tblCellMar>
            <w:top w:w="57" w:type="dxa"/>
            <w:bottom w:w="57" w:type="dxa"/>
          </w:tblCellMar>
        </w:tblPrEx>
        <w:trPr>
          <w:gridAfter w:val="2"/>
          <w:wAfter w:w="997" w:type="pct"/>
          <w:cantSplit/>
          <w:jc w:val="center"/>
        </w:trPr>
        <w:tc>
          <w:tcPr>
            <w:tcW w:w="201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3805CC5" w14:textId="77777777" w:rsidR="000E73BB" w:rsidRPr="000E73BB" w:rsidRDefault="000E73BB" w:rsidP="000E73BB">
            <w:pPr>
              <w:spacing w:after="0" w:line="240" w:lineRule="auto"/>
              <w:rPr>
                <w:rFonts w:ascii="Garamond" w:hAnsi="Garamond" w:cs="Calibri"/>
                <w:b/>
                <w:color w:val="000000"/>
                <w:sz w:val="24"/>
                <w:szCs w:val="24"/>
              </w:rPr>
            </w:pPr>
            <w:r w:rsidRPr="000E73BB">
              <w:rPr>
                <w:rFonts w:ascii="Garamond" w:hAnsi="Garamond" w:cs="Calibri"/>
                <w:b/>
                <w:color w:val="000000"/>
                <w:sz w:val="24"/>
                <w:szCs w:val="24"/>
              </w:rPr>
              <w:t>6-Resultado Operacional (4-5)</w:t>
            </w:r>
          </w:p>
        </w:tc>
        <w:tc>
          <w:tcPr>
            <w:tcW w:w="405" w:type="pct"/>
            <w:tcBorders>
              <w:top w:val="single" w:sz="4" w:space="0" w:color="auto"/>
              <w:left w:val="nil"/>
              <w:bottom w:val="single" w:sz="4" w:space="0" w:color="auto"/>
              <w:right w:val="nil"/>
            </w:tcBorders>
            <w:shd w:val="clear" w:color="000000" w:fill="D9D9D9"/>
            <w:vAlign w:val="center"/>
            <w:hideMark/>
          </w:tcPr>
          <w:p w14:paraId="5E73BE4B"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c>
          <w:tcPr>
            <w:tcW w:w="405" w:type="pct"/>
            <w:tcBorders>
              <w:top w:val="single" w:sz="4" w:space="0" w:color="auto"/>
              <w:left w:val="single" w:sz="4" w:space="0" w:color="auto"/>
              <w:bottom w:val="single" w:sz="4" w:space="0" w:color="auto"/>
              <w:right w:val="nil"/>
            </w:tcBorders>
            <w:shd w:val="clear" w:color="000000" w:fill="D9D9D9"/>
            <w:vAlign w:val="center"/>
            <w:hideMark/>
          </w:tcPr>
          <w:p w14:paraId="19581D16"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c>
          <w:tcPr>
            <w:tcW w:w="405" w:type="pct"/>
            <w:tcBorders>
              <w:top w:val="single" w:sz="4" w:space="0" w:color="auto"/>
              <w:left w:val="single" w:sz="4" w:space="0" w:color="auto"/>
              <w:bottom w:val="single" w:sz="4" w:space="0" w:color="auto"/>
              <w:right w:val="nil"/>
            </w:tcBorders>
            <w:shd w:val="clear" w:color="000000" w:fill="D9D9D9"/>
            <w:vAlign w:val="center"/>
            <w:hideMark/>
          </w:tcPr>
          <w:p w14:paraId="6460A6AA"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c>
          <w:tcPr>
            <w:tcW w:w="405" w:type="pct"/>
            <w:tcBorders>
              <w:top w:val="single" w:sz="4" w:space="0" w:color="auto"/>
              <w:left w:val="single" w:sz="4" w:space="0" w:color="auto"/>
              <w:bottom w:val="single" w:sz="4" w:space="0" w:color="auto"/>
              <w:right w:val="nil"/>
            </w:tcBorders>
            <w:shd w:val="clear" w:color="000000" w:fill="D9D9D9"/>
            <w:vAlign w:val="center"/>
            <w:hideMark/>
          </w:tcPr>
          <w:p w14:paraId="6AE6A125"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c>
          <w:tcPr>
            <w:tcW w:w="37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CC0FD08" w14:textId="77777777" w:rsidR="000E73BB" w:rsidRPr="000E73BB" w:rsidRDefault="000E73BB" w:rsidP="000E73BB">
            <w:pPr>
              <w:spacing w:after="0" w:line="240" w:lineRule="auto"/>
              <w:jc w:val="center"/>
              <w:rPr>
                <w:rFonts w:ascii="Garamond" w:hAnsi="Garamond" w:cs="Calibri"/>
                <w:b/>
                <w:color w:val="000000"/>
                <w:sz w:val="24"/>
                <w:szCs w:val="24"/>
              </w:rPr>
            </w:pPr>
            <w:r w:rsidRPr="000E73BB">
              <w:rPr>
                <w:rFonts w:ascii="Garamond" w:hAnsi="Garamond" w:cs="Calibri"/>
                <w:b/>
                <w:color w:val="000000"/>
                <w:sz w:val="24"/>
                <w:szCs w:val="24"/>
              </w:rPr>
              <w:t>-</w:t>
            </w:r>
          </w:p>
        </w:tc>
      </w:tr>
    </w:tbl>
    <w:p w14:paraId="7D6A2C97" w14:textId="77777777" w:rsidR="003F035B" w:rsidRPr="000E73BB" w:rsidRDefault="003F035B" w:rsidP="00E33E26">
      <w:pPr>
        <w:pStyle w:val="TextosemFormatao"/>
        <w:jc w:val="center"/>
        <w:rPr>
          <w:rFonts w:ascii="Garamond" w:hAnsi="Garamond" w:cs="Calibri"/>
          <w:color w:val="000000"/>
          <w:sz w:val="24"/>
          <w:szCs w:val="24"/>
        </w:rPr>
      </w:pPr>
    </w:p>
    <w:p w14:paraId="1AB43074" w14:textId="77777777" w:rsidR="00FC627D" w:rsidRPr="005C5CBD" w:rsidRDefault="00FC627D">
      <w:pPr>
        <w:rPr>
          <w:rFonts w:ascii="Garamond" w:hAnsi="Garamond"/>
        </w:rPr>
      </w:pPr>
      <w:r w:rsidRPr="005C5CBD">
        <w:rPr>
          <w:rFonts w:ascii="Garamond" w:hAnsi="Garamond"/>
        </w:rPr>
        <w:br w:type="page"/>
      </w:r>
    </w:p>
    <w:tbl>
      <w:tblPr>
        <w:tblW w:w="6804" w:type="dxa"/>
        <w:jc w:val="center"/>
        <w:tblLayout w:type="fixed"/>
        <w:tblCellMar>
          <w:top w:w="57" w:type="dxa"/>
          <w:left w:w="70" w:type="dxa"/>
          <w:bottom w:w="57" w:type="dxa"/>
          <w:right w:w="70" w:type="dxa"/>
        </w:tblCellMar>
        <w:tblLook w:val="04A0" w:firstRow="1" w:lastRow="0" w:firstColumn="1" w:lastColumn="0" w:noHBand="0" w:noVBand="1"/>
      </w:tblPr>
      <w:tblGrid>
        <w:gridCol w:w="3331"/>
        <w:gridCol w:w="708"/>
        <w:gridCol w:w="709"/>
        <w:gridCol w:w="709"/>
        <w:gridCol w:w="709"/>
        <w:gridCol w:w="638"/>
      </w:tblGrid>
      <w:tr w:rsidR="003F035B" w:rsidRPr="00395593" w14:paraId="13C02917" w14:textId="77777777" w:rsidTr="00BF6E08">
        <w:trPr>
          <w:cantSplit/>
          <w:jc w:val="center"/>
        </w:trPr>
        <w:tc>
          <w:tcPr>
            <w:tcW w:w="6804" w:type="dxa"/>
            <w:gridSpan w:val="6"/>
            <w:tcBorders>
              <w:top w:val="nil"/>
              <w:left w:val="nil"/>
              <w:right w:val="nil"/>
            </w:tcBorders>
            <w:shd w:val="clear" w:color="auto" w:fill="auto"/>
            <w:noWrap/>
            <w:vAlign w:val="center"/>
            <w:hideMark/>
          </w:tcPr>
          <w:p w14:paraId="6D3D8C45" w14:textId="6FDD5FE1" w:rsidR="003F035B" w:rsidRPr="00A07F88" w:rsidRDefault="003F035B" w:rsidP="000A4B75">
            <w:pPr>
              <w:spacing w:after="0" w:line="240" w:lineRule="auto"/>
              <w:jc w:val="center"/>
              <w:rPr>
                <w:rFonts w:ascii="Garamond" w:hAnsi="Garamond" w:cs="Calibri"/>
                <w:b/>
                <w:color w:val="000000"/>
                <w:sz w:val="24"/>
                <w:szCs w:val="24"/>
              </w:rPr>
            </w:pPr>
            <w:r w:rsidRPr="00A07F88">
              <w:rPr>
                <w:rFonts w:ascii="Garamond" w:hAnsi="Garamond" w:cs="Calibri"/>
                <w:b/>
                <w:color w:val="000000"/>
                <w:sz w:val="24"/>
                <w:szCs w:val="24"/>
              </w:rPr>
              <w:t>APÊNDICE XIII</w:t>
            </w:r>
          </w:p>
          <w:p w14:paraId="6D3B372A" w14:textId="77777777" w:rsidR="003F035B" w:rsidRPr="005C5CBD" w:rsidRDefault="003F035B" w:rsidP="000A4B75">
            <w:pPr>
              <w:spacing w:after="0" w:line="240" w:lineRule="auto"/>
              <w:jc w:val="center"/>
              <w:rPr>
                <w:rFonts w:ascii="Garamond" w:hAnsi="Garamond" w:cs="Calibri"/>
                <w:b/>
                <w:color w:val="000000"/>
                <w:sz w:val="16"/>
                <w:szCs w:val="16"/>
              </w:rPr>
            </w:pPr>
            <w:r w:rsidRPr="00A07F88">
              <w:rPr>
                <w:rFonts w:ascii="Garamond" w:hAnsi="Garamond" w:cs="Calibri"/>
                <w:b/>
                <w:color w:val="000000"/>
                <w:sz w:val="24"/>
                <w:szCs w:val="24"/>
              </w:rPr>
              <w:t>DEMONSTRAÇÃO DE RESULTADOS - REVENDAS DO PRODUTO NO MERCADO INTERNO E EXTERNO</w:t>
            </w:r>
          </w:p>
        </w:tc>
      </w:tr>
      <w:tr w:rsidR="003F035B" w:rsidRPr="00395593" w14:paraId="7A885561" w14:textId="77777777" w:rsidTr="00BF6E08">
        <w:trPr>
          <w:cantSplit/>
          <w:jc w:val="center"/>
        </w:trPr>
        <w:tc>
          <w:tcPr>
            <w:tcW w:w="3331" w:type="dxa"/>
            <w:tcBorders>
              <w:top w:val="single" w:sz="4" w:space="0" w:color="auto"/>
              <w:left w:val="single" w:sz="4" w:space="0" w:color="auto"/>
              <w:bottom w:val="single" w:sz="4" w:space="0" w:color="auto"/>
              <w:right w:val="nil"/>
            </w:tcBorders>
            <w:shd w:val="clear" w:color="auto" w:fill="auto"/>
            <w:vAlign w:val="center"/>
            <w:hideMark/>
          </w:tcPr>
          <w:p w14:paraId="4DF5214F" w14:textId="77777777" w:rsidR="003F035B" w:rsidRPr="00916A6C" w:rsidRDefault="003F035B" w:rsidP="000A4B75">
            <w:pPr>
              <w:spacing w:after="0" w:line="240" w:lineRule="auto"/>
              <w:jc w:val="center"/>
              <w:rPr>
                <w:rFonts w:ascii="Garamond" w:hAnsi="Garamond" w:cs="Calibri"/>
                <w:b/>
                <w:color w:val="000000"/>
                <w:sz w:val="24"/>
                <w:szCs w:val="24"/>
              </w:rPr>
            </w:pPr>
            <w:r w:rsidRPr="00916A6C">
              <w:rPr>
                <w:rFonts w:ascii="Garamond" w:hAnsi="Garamond" w:cs="Calibri"/>
                <w:b/>
                <w:color w:val="000000"/>
                <w:sz w:val="24"/>
                <w:szCs w:val="24"/>
              </w:rPr>
              <w:t>Empresa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BB841" w14:textId="77777777" w:rsidR="003F035B" w:rsidRPr="00916A6C" w:rsidRDefault="003F035B" w:rsidP="000A4B75">
            <w:pPr>
              <w:spacing w:after="0" w:line="240" w:lineRule="auto"/>
              <w:jc w:val="center"/>
              <w:rPr>
                <w:rFonts w:ascii="Garamond" w:hAnsi="Garamond" w:cs="Calibri"/>
                <w:b/>
                <w:color w:val="000000"/>
                <w:sz w:val="24"/>
                <w:szCs w:val="24"/>
              </w:rPr>
            </w:pPr>
            <w:r w:rsidRPr="00916A6C">
              <w:rPr>
                <w:rFonts w:ascii="Garamond" w:hAnsi="Garamond" w:cs="Calibri"/>
                <w:b/>
                <w:color w:val="000000"/>
                <w:sz w:val="24"/>
                <w:szCs w:val="24"/>
              </w:rPr>
              <w:t>P1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CA8664F" w14:textId="77777777" w:rsidR="003F035B" w:rsidRPr="00916A6C" w:rsidRDefault="003F035B" w:rsidP="000A4B75">
            <w:pPr>
              <w:spacing w:after="0" w:line="240" w:lineRule="auto"/>
              <w:jc w:val="center"/>
              <w:rPr>
                <w:rFonts w:ascii="Garamond" w:hAnsi="Garamond" w:cs="Calibri"/>
                <w:b/>
                <w:color w:val="000000"/>
                <w:sz w:val="24"/>
                <w:szCs w:val="24"/>
              </w:rPr>
            </w:pPr>
            <w:r w:rsidRPr="00916A6C">
              <w:rPr>
                <w:rFonts w:ascii="Garamond" w:hAnsi="Garamond" w:cs="Calibri"/>
                <w:b/>
                <w:color w:val="000000"/>
                <w:sz w:val="24"/>
                <w:szCs w:val="24"/>
              </w:rPr>
              <w:t>P2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369D698" w14:textId="77777777" w:rsidR="003F035B" w:rsidRPr="00916A6C" w:rsidRDefault="003F035B" w:rsidP="000A4B75">
            <w:pPr>
              <w:spacing w:after="0" w:line="240" w:lineRule="auto"/>
              <w:jc w:val="center"/>
              <w:rPr>
                <w:rFonts w:ascii="Garamond" w:hAnsi="Garamond" w:cs="Calibri"/>
                <w:b/>
                <w:color w:val="000000"/>
                <w:sz w:val="24"/>
                <w:szCs w:val="24"/>
              </w:rPr>
            </w:pPr>
            <w:r w:rsidRPr="00916A6C">
              <w:rPr>
                <w:rFonts w:ascii="Garamond" w:hAnsi="Garamond" w:cs="Calibri"/>
                <w:b/>
                <w:color w:val="000000"/>
                <w:sz w:val="24"/>
                <w:szCs w:val="24"/>
              </w:rPr>
              <w:t>P3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E5A3C4A" w14:textId="77777777" w:rsidR="003F035B" w:rsidRPr="00916A6C" w:rsidRDefault="003F035B" w:rsidP="000A4B75">
            <w:pPr>
              <w:spacing w:after="0" w:line="240" w:lineRule="auto"/>
              <w:jc w:val="center"/>
              <w:rPr>
                <w:rFonts w:ascii="Garamond" w:hAnsi="Garamond" w:cs="Calibri"/>
                <w:b/>
                <w:color w:val="000000"/>
                <w:sz w:val="24"/>
                <w:szCs w:val="24"/>
              </w:rPr>
            </w:pPr>
            <w:r w:rsidRPr="00916A6C">
              <w:rPr>
                <w:rFonts w:ascii="Garamond" w:hAnsi="Garamond" w:cs="Calibri"/>
                <w:b/>
                <w:color w:val="000000"/>
                <w:sz w:val="24"/>
                <w:szCs w:val="24"/>
              </w:rPr>
              <w:t>P4</w:t>
            </w:r>
          </w:p>
        </w:tc>
        <w:tc>
          <w:tcPr>
            <w:tcW w:w="638" w:type="dxa"/>
            <w:tcBorders>
              <w:top w:val="single" w:sz="4" w:space="0" w:color="auto"/>
              <w:left w:val="nil"/>
              <w:bottom w:val="single" w:sz="4" w:space="0" w:color="auto"/>
              <w:right w:val="single" w:sz="4" w:space="0" w:color="auto"/>
            </w:tcBorders>
            <w:shd w:val="clear" w:color="auto" w:fill="auto"/>
            <w:vAlign w:val="center"/>
            <w:hideMark/>
          </w:tcPr>
          <w:p w14:paraId="46C7D021" w14:textId="77777777" w:rsidR="003F035B" w:rsidRPr="00916A6C" w:rsidRDefault="003F035B" w:rsidP="000A4B75">
            <w:pPr>
              <w:spacing w:after="0" w:line="240" w:lineRule="auto"/>
              <w:jc w:val="center"/>
              <w:rPr>
                <w:rFonts w:ascii="Garamond" w:hAnsi="Garamond" w:cs="Calibri"/>
                <w:b/>
                <w:color w:val="000000"/>
                <w:sz w:val="24"/>
                <w:szCs w:val="24"/>
              </w:rPr>
            </w:pPr>
            <w:r w:rsidRPr="00916A6C">
              <w:rPr>
                <w:rFonts w:ascii="Garamond" w:hAnsi="Garamond" w:cs="Calibri"/>
                <w:b/>
                <w:color w:val="000000"/>
                <w:sz w:val="24"/>
                <w:szCs w:val="24"/>
              </w:rPr>
              <w:t>P5</w:t>
            </w:r>
          </w:p>
        </w:tc>
      </w:tr>
      <w:tr w:rsidR="003F035B" w:rsidRPr="00395593" w14:paraId="22320A69" w14:textId="77777777" w:rsidTr="00BF6E08">
        <w:trPr>
          <w:cantSplit/>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5B4070CF"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1- Faturamento Bruto</w:t>
            </w:r>
          </w:p>
        </w:tc>
        <w:tc>
          <w:tcPr>
            <w:tcW w:w="708" w:type="dxa"/>
            <w:tcBorders>
              <w:top w:val="nil"/>
              <w:left w:val="nil"/>
              <w:bottom w:val="single" w:sz="4" w:space="0" w:color="auto"/>
              <w:right w:val="nil"/>
            </w:tcBorders>
            <w:shd w:val="clear" w:color="auto" w:fill="auto"/>
            <w:vAlign w:val="center"/>
            <w:hideMark/>
          </w:tcPr>
          <w:p w14:paraId="523497BB" w14:textId="77777777" w:rsidR="003F035B" w:rsidRPr="00916A6C" w:rsidRDefault="003F035B" w:rsidP="000A4B75">
            <w:pPr>
              <w:spacing w:after="0" w:line="240" w:lineRule="auto"/>
              <w:jc w:val="right"/>
              <w:rPr>
                <w:rFonts w:ascii="Garamond" w:hAnsi="Garamond" w:cs="Calibri"/>
                <w:b/>
                <w:color w:val="000000"/>
                <w:sz w:val="24"/>
                <w:szCs w:val="24"/>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6ADB54E" w14:textId="77777777" w:rsidR="003F035B" w:rsidRPr="00916A6C" w:rsidRDefault="003F035B" w:rsidP="000A4B75">
            <w:pPr>
              <w:spacing w:after="0" w:line="240" w:lineRule="auto"/>
              <w:jc w:val="right"/>
              <w:rPr>
                <w:rFonts w:ascii="Garamond" w:hAnsi="Garamond" w:cs="Calibri"/>
                <w:b/>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1111390C" w14:textId="77777777" w:rsidR="003F035B" w:rsidRPr="00916A6C" w:rsidRDefault="003F035B" w:rsidP="000A4B75">
            <w:pPr>
              <w:spacing w:after="0" w:line="240" w:lineRule="auto"/>
              <w:jc w:val="right"/>
              <w:rPr>
                <w:rFonts w:ascii="Garamond" w:hAnsi="Garamond" w:cs="Calibri"/>
                <w:b/>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5CC62E51" w14:textId="77777777" w:rsidR="003F035B" w:rsidRPr="00916A6C" w:rsidRDefault="003F035B" w:rsidP="000A4B75">
            <w:pPr>
              <w:spacing w:after="0" w:line="240" w:lineRule="auto"/>
              <w:jc w:val="right"/>
              <w:rPr>
                <w:rFonts w:ascii="Garamond" w:hAnsi="Garamond" w:cs="Calibri"/>
                <w:b/>
                <w:color w:val="000000"/>
                <w:sz w:val="24"/>
                <w:szCs w:val="24"/>
              </w:rPr>
            </w:pPr>
          </w:p>
        </w:tc>
        <w:tc>
          <w:tcPr>
            <w:tcW w:w="638" w:type="dxa"/>
            <w:tcBorders>
              <w:top w:val="nil"/>
              <w:left w:val="nil"/>
              <w:bottom w:val="single" w:sz="4" w:space="0" w:color="auto"/>
              <w:right w:val="single" w:sz="4" w:space="0" w:color="auto"/>
            </w:tcBorders>
            <w:shd w:val="clear" w:color="auto" w:fill="auto"/>
            <w:vAlign w:val="center"/>
            <w:hideMark/>
          </w:tcPr>
          <w:p w14:paraId="39EBB2AB" w14:textId="77777777" w:rsidR="003F035B" w:rsidRPr="00916A6C" w:rsidRDefault="003F035B" w:rsidP="000A4B75">
            <w:pPr>
              <w:spacing w:after="0" w:line="240" w:lineRule="auto"/>
              <w:jc w:val="right"/>
              <w:rPr>
                <w:rFonts w:ascii="Garamond" w:hAnsi="Garamond" w:cs="Calibri"/>
                <w:b/>
                <w:color w:val="000000"/>
                <w:sz w:val="24"/>
                <w:szCs w:val="24"/>
              </w:rPr>
            </w:pPr>
          </w:p>
        </w:tc>
      </w:tr>
      <w:tr w:rsidR="003F035B" w:rsidRPr="00395593" w14:paraId="77DA4DC5" w14:textId="77777777" w:rsidTr="00BF6E08">
        <w:trPr>
          <w:cantSplit/>
          <w:jc w:val="center"/>
        </w:trPr>
        <w:tc>
          <w:tcPr>
            <w:tcW w:w="3331" w:type="dxa"/>
            <w:tcBorders>
              <w:top w:val="nil"/>
              <w:left w:val="single" w:sz="4" w:space="0" w:color="auto"/>
              <w:bottom w:val="nil"/>
              <w:right w:val="single" w:sz="4" w:space="0" w:color="auto"/>
            </w:tcBorders>
            <w:shd w:val="clear" w:color="auto" w:fill="auto"/>
            <w:vAlign w:val="center"/>
            <w:hideMark/>
          </w:tcPr>
          <w:p w14:paraId="74C63223"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1.1- IPI</w:t>
            </w:r>
          </w:p>
        </w:tc>
        <w:tc>
          <w:tcPr>
            <w:tcW w:w="708" w:type="dxa"/>
            <w:tcBorders>
              <w:top w:val="nil"/>
              <w:left w:val="nil"/>
              <w:bottom w:val="nil"/>
              <w:right w:val="nil"/>
            </w:tcBorders>
            <w:shd w:val="clear" w:color="auto" w:fill="auto"/>
            <w:vAlign w:val="center"/>
            <w:hideMark/>
          </w:tcPr>
          <w:p w14:paraId="727E5A4E"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single" w:sz="4" w:space="0" w:color="auto"/>
            </w:tcBorders>
            <w:shd w:val="clear" w:color="auto" w:fill="auto"/>
            <w:vAlign w:val="center"/>
            <w:hideMark/>
          </w:tcPr>
          <w:p w14:paraId="745B4A42"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nil"/>
              <w:bottom w:val="nil"/>
              <w:right w:val="single" w:sz="4" w:space="0" w:color="auto"/>
            </w:tcBorders>
            <w:shd w:val="clear" w:color="auto" w:fill="auto"/>
            <w:vAlign w:val="center"/>
            <w:hideMark/>
          </w:tcPr>
          <w:p w14:paraId="6D3CC3C7"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14:paraId="4F2FA898" w14:textId="77777777" w:rsidR="003F035B" w:rsidRPr="00916A6C" w:rsidRDefault="003F035B" w:rsidP="000A4B75">
            <w:pPr>
              <w:spacing w:after="0" w:line="240" w:lineRule="auto"/>
              <w:jc w:val="right"/>
              <w:rPr>
                <w:rFonts w:ascii="Garamond" w:hAnsi="Garamond" w:cs="Calibri"/>
                <w:color w:val="000000"/>
                <w:sz w:val="24"/>
                <w:szCs w:val="24"/>
              </w:rPr>
            </w:pPr>
          </w:p>
        </w:tc>
        <w:tc>
          <w:tcPr>
            <w:tcW w:w="638" w:type="dxa"/>
            <w:tcBorders>
              <w:top w:val="nil"/>
              <w:left w:val="nil"/>
              <w:bottom w:val="single" w:sz="4" w:space="0" w:color="auto"/>
              <w:right w:val="single" w:sz="4" w:space="0" w:color="auto"/>
            </w:tcBorders>
            <w:shd w:val="clear" w:color="auto" w:fill="auto"/>
            <w:vAlign w:val="center"/>
            <w:hideMark/>
          </w:tcPr>
          <w:p w14:paraId="7263C06F" w14:textId="77777777" w:rsidR="003F035B" w:rsidRPr="00916A6C" w:rsidRDefault="003F035B" w:rsidP="000A4B75">
            <w:pPr>
              <w:spacing w:after="0" w:line="240" w:lineRule="auto"/>
              <w:jc w:val="right"/>
              <w:rPr>
                <w:rFonts w:ascii="Garamond" w:hAnsi="Garamond" w:cs="Calibri"/>
                <w:color w:val="000000"/>
                <w:sz w:val="24"/>
                <w:szCs w:val="24"/>
              </w:rPr>
            </w:pPr>
          </w:p>
        </w:tc>
      </w:tr>
      <w:tr w:rsidR="003F035B" w:rsidRPr="00395593" w14:paraId="02F43368" w14:textId="77777777" w:rsidTr="00BF6E08">
        <w:trPr>
          <w:cantSplit/>
          <w:jc w:val="center"/>
        </w:trPr>
        <w:tc>
          <w:tcPr>
            <w:tcW w:w="33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66AB1"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2-Receita Operacional Bruta (1-1.1)</w:t>
            </w:r>
          </w:p>
        </w:tc>
        <w:tc>
          <w:tcPr>
            <w:tcW w:w="708" w:type="dxa"/>
            <w:tcBorders>
              <w:top w:val="single" w:sz="4" w:space="0" w:color="auto"/>
              <w:left w:val="nil"/>
              <w:bottom w:val="single" w:sz="4" w:space="0" w:color="auto"/>
              <w:right w:val="nil"/>
            </w:tcBorders>
            <w:shd w:val="clear" w:color="000000" w:fill="D9D9D9"/>
            <w:vAlign w:val="center"/>
            <w:hideMark/>
          </w:tcPr>
          <w:p w14:paraId="7E97BFF8"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single" w:sz="4" w:space="0" w:color="auto"/>
              <w:left w:val="single" w:sz="4" w:space="0" w:color="auto"/>
              <w:bottom w:val="single" w:sz="4" w:space="0" w:color="auto"/>
              <w:right w:val="nil"/>
            </w:tcBorders>
            <w:shd w:val="clear" w:color="000000" w:fill="D9D9D9"/>
            <w:vAlign w:val="center"/>
            <w:hideMark/>
          </w:tcPr>
          <w:p w14:paraId="1EAC8BBA"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single" w:sz="4" w:space="0" w:color="auto"/>
              <w:left w:val="single" w:sz="4" w:space="0" w:color="auto"/>
              <w:bottom w:val="single" w:sz="4" w:space="0" w:color="auto"/>
              <w:right w:val="nil"/>
            </w:tcBorders>
            <w:shd w:val="clear" w:color="000000" w:fill="D9D9D9"/>
            <w:vAlign w:val="center"/>
            <w:hideMark/>
          </w:tcPr>
          <w:p w14:paraId="5C791125"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single" w:sz="4" w:space="0" w:color="auto"/>
              <w:left w:val="single" w:sz="4" w:space="0" w:color="auto"/>
              <w:bottom w:val="single" w:sz="4" w:space="0" w:color="auto"/>
              <w:right w:val="nil"/>
            </w:tcBorders>
            <w:shd w:val="clear" w:color="000000" w:fill="D9D9D9"/>
            <w:vAlign w:val="center"/>
            <w:hideMark/>
          </w:tcPr>
          <w:p w14:paraId="2B93A996"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6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DD9D9B"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r>
      <w:tr w:rsidR="003F035B" w:rsidRPr="00395593" w14:paraId="24A8077D" w14:textId="77777777" w:rsidTr="00BF6E08">
        <w:trPr>
          <w:cantSplit/>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6D64C610"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3-Deduções da Receita Bruta</w:t>
            </w:r>
          </w:p>
        </w:tc>
        <w:tc>
          <w:tcPr>
            <w:tcW w:w="708" w:type="dxa"/>
            <w:tcBorders>
              <w:top w:val="nil"/>
              <w:left w:val="nil"/>
              <w:bottom w:val="single" w:sz="4" w:space="0" w:color="auto"/>
              <w:right w:val="nil"/>
            </w:tcBorders>
            <w:shd w:val="clear" w:color="000000" w:fill="D9D9D9"/>
            <w:vAlign w:val="center"/>
            <w:hideMark/>
          </w:tcPr>
          <w:p w14:paraId="4E0F573D"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nil"/>
              <w:left w:val="single" w:sz="4" w:space="0" w:color="auto"/>
              <w:bottom w:val="single" w:sz="4" w:space="0" w:color="auto"/>
              <w:right w:val="nil"/>
            </w:tcBorders>
            <w:shd w:val="clear" w:color="000000" w:fill="D9D9D9"/>
            <w:vAlign w:val="center"/>
            <w:hideMark/>
          </w:tcPr>
          <w:p w14:paraId="3D92A0A4"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nil"/>
              <w:left w:val="single" w:sz="4" w:space="0" w:color="auto"/>
              <w:bottom w:val="single" w:sz="4" w:space="0" w:color="auto"/>
              <w:right w:val="nil"/>
            </w:tcBorders>
            <w:shd w:val="clear" w:color="000000" w:fill="D9D9D9"/>
            <w:vAlign w:val="center"/>
            <w:hideMark/>
          </w:tcPr>
          <w:p w14:paraId="3D29997B"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single" w:sz="4" w:space="0" w:color="auto"/>
              <w:left w:val="single" w:sz="4" w:space="0" w:color="auto"/>
              <w:bottom w:val="single" w:sz="4" w:space="0" w:color="auto"/>
              <w:right w:val="nil"/>
            </w:tcBorders>
            <w:shd w:val="clear" w:color="000000" w:fill="D9D9D9"/>
            <w:vAlign w:val="center"/>
            <w:hideMark/>
          </w:tcPr>
          <w:p w14:paraId="7FF1DEB8"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6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FA2D47"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r>
      <w:tr w:rsidR="003F035B" w:rsidRPr="00395593" w14:paraId="12A9BD01" w14:textId="77777777" w:rsidTr="00BF6E08">
        <w:trPr>
          <w:cantSplit/>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5D340247"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3.1-Tributos sobre Vendas (informar alíquotas)</w:t>
            </w:r>
          </w:p>
        </w:tc>
        <w:tc>
          <w:tcPr>
            <w:tcW w:w="708" w:type="dxa"/>
            <w:tcBorders>
              <w:top w:val="nil"/>
              <w:left w:val="nil"/>
              <w:bottom w:val="single" w:sz="4" w:space="0" w:color="auto"/>
              <w:right w:val="nil"/>
            </w:tcBorders>
            <w:shd w:val="clear" w:color="000000" w:fill="D9D9D9"/>
            <w:vAlign w:val="center"/>
            <w:hideMark/>
          </w:tcPr>
          <w:p w14:paraId="2F483CA7" w14:textId="77777777" w:rsidR="003F035B" w:rsidRPr="00916A6C" w:rsidRDefault="003F035B" w:rsidP="000A4B75">
            <w:pPr>
              <w:spacing w:after="0" w:line="240" w:lineRule="auto"/>
              <w:jc w:val="right"/>
              <w:rPr>
                <w:rFonts w:ascii="Garamond" w:hAnsi="Garamond" w:cs="Calibri"/>
                <w:color w:val="000000"/>
                <w:sz w:val="24"/>
                <w:szCs w:val="24"/>
              </w:rPr>
            </w:pPr>
            <w:r w:rsidRPr="00916A6C">
              <w:rPr>
                <w:rFonts w:ascii="Garamond" w:hAnsi="Garamond" w:cs="Calibri"/>
                <w:color w:val="000000"/>
                <w:sz w:val="24"/>
                <w:szCs w:val="24"/>
              </w:rPr>
              <w:t>-</w:t>
            </w:r>
          </w:p>
        </w:tc>
        <w:tc>
          <w:tcPr>
            <w:tcW w:w="709" w:type="dxa"/>
            <w:tcBorders>
              <w:top w:val="nil"/>
              <w:left w:val="single" w:sz="4" w:space="0" w:color="auto"/>
              <w:bottom w:val="single" w:sz="4" w:space="0" w:color="auto"/>
              <w:right w:val="nil"/>
            </w:tcBorders>
            <w:shd w:val="clear" w:color="000000" w:fill="D9D9D9"/>
            <w:vAlign w:val="center"/>
            <w:hideMark/>
          </w:tcPr>
          <w:p w14:paraId="014BAADD" w14:textId="77777777" w:rsidR="003F035B" w:rsidRPr="00916A6C" w:rsidRDefault="003F035B" w:rsidP="000A4B75">
            <w:pPr>
              <w:spacing w:after="0" w:line="240" w:lineRule="auto"/>
              <w:jc w:val="right"/>
              <w:rPr>
                <w:rFonts w:ascii="Garamond" w:hAnsi="Garamond" w:cs="Calibri"/>
                <w:color w:val="000000"/>
                <w:sz w:val="24"/>
                <w:szCs w:val="24"/>
              </w:rPr>
            </w:pPr>
            <w:r w:rsidRPr="00916A6C">
              <w:rPr>
                <w:rFonts w:ascii="Garamond" w:hAnsi="Garamond" w:cs="Calibri"/>
                <w:color w:val="000000"/>
                <w:sz w:val="24"/>
                <w:szCs w:val="24"/>
              </w:rPr>
              <w:t>-</w:t>
            </w:r>
          </w:p>
        </w:tc>
        <w:tc>
          <w:tcPr>
            <w:tcW w:w="709" w:type="dxa"/>
            <w:tcBorders>
              <w:top w:val="nil"/>
              <w:left w:val="single" w:sz="4" w:space="0" w:color="auto"/>
              <w:bottom w:val="single" w:sz="4" w:space="0" w:color="auto"/>
              <w:right w:val="nil"/>
            </w:tcBorders>
            <w:shd w:val="clear" w:color="000000" w:fill="D9D9D9"/>
            <w:vAlign w:val="center"/>
            <w:hideMark/>
          </w:tcPr>
          <w:p w14:paraId="4EE68BBE" w14:textId="77777777" w:rsidR="003F035B" w:rsidRPr="00916A6C" w:rsidRDefault="003F035B" w:rsidP="000A4B75">
            <w:pPr>
              <w:spacing w:after="0" w:line="240" w:lineRule="auto"/>
              <w:jc w:val="right"/>
              <w:rPr>
                <w:rFonts w:ascii="Garamond" w:hAnsi="Garamond" w:cs="Calibri"/>
                <w:color w:val="000000"/>
                <w:sz w:val="24"/>
                <w:szCs w:val="24"/>
              </w:rPr>
            </w:pPr>
            <w:r w:rsidRPr="00916A6C">
              <w:rPr>
                <w:rFonts w:ascii="Garamond" w:hAnsi="Garamond" w:cs="Calibri"/>
                <w:color w:val="000000"/>
                <w:sz w:val="24"/>
                <w:szCs w:val="24"/>
              </w:rPr>
              <w:t>-</w:t>
            </w:r>
          </w:p>
        </w:tc>
        <w:tc>
          <w:tcPr>
            <w:tcW w:w="709" w:type="dxa"/>
            <w:tcBorders>
              <w:top w:val="single" w:sz="4" w:space="0" w:color="auto"/>
              <w:left w:val="single" w:sz="4" w:space="0" w:color="auto"/>
              <w:bottom w:val="single" w:sz="4" w:space="0" w:color="auto"/>
              <w:right w:val="nil"/>
            </w:tcBorders>
            <w:shd w:val="clear" w:color="000000" w:fill="D9D9D9"/>
            <w:vAlign w:val="center"/>
            <w:hideMark/>
          </w:tcPr>
          <w:p w14:paraId="7D8BDF59" w14:textId="77777777" w:rsidR="003F035B" w:rsidRPr="00916A6C" w:rsidRDefault="003F035B" w:rsidP="000A4B75">
            <w:pPr>
              <w:spacing w:after="0" w:line="240" w:lineRule="auto"/>
              <w:jc w:val="right"/>
              <w:rPr>
                <w:rFonts w:ascii="Garamond" w:hAnsi="Garamond" w:cs="Calibri"/>
                <w:color w:val="000000"/>
                <w:sz w:val="24"/>
                <w:szCs w:val="24"/>
              </w:rPr>
            </w:pPr>
            <w:r w:rsidRPr="00916A6C">
              <w:rPr>
                <w:rFonts w:ascii="Garamond" w:hAnsi="Garamond" w:cs="Calibri"/>
                <w:color w:val="000000"/>
                <w:sz w:val="24"/>
                <w:szCs w:val="24"/>
              </w:rPr>
              <w:t>-</w:t>
            </w:r>
          </w:p>
        </w:tc>
        <w:tc>
          <w:tcPr>
            <w:tcW w:w="6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A045124" w14:textId="77777777" w:rsidR="003F035B" w:rsidRPr="00916A6C" w:rsidRDefault="003F035B" w:rsidP="000A4B75">
            <w:pPr>
              <w:spacing w:after="0" w:line="240" w:lineRule="auto"/>
              <w:jc w:val="right"/>
              <w:rPr>
                <w:rFonts w:ascii="Garamond" w:hAnsi="Garamond" w:cs="Calibri"/>
                <w:color w:val="000000"/>
                <w:sz w:val="24"/>
                <w:szCs w:val="24"/>
              </w:rPr>
            </w:pPr>
            <w:r w:rsidRPr="00916A6C">
              <w:rPr>
                <w:rFonts w:ascii="Garamond" w:hAnsi="Garamond" w:cs="Calibri"/>
                <w:color w:val="000000"/>
                <w:sz w:val="24"/>
                <w:szCs w:val="24"/>
              </w:rPr>
              <w:t>-</w:t>
            </w:r>
          </w:p>
        </w:tc>
      </w:tr>
      <w:tr w:rsidR="003F035B" w:rsidRPr="00395593" w14:paraId="2B738F4F" w14:textId="77777777" w:rsidTr="00BF6E08">
        <w:trPr>
          <w:cantSplit/>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14C48AA2"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3.1.1 - ICMS</w:t>
            </w:r>
          </w:p>
        </w:tc>
        <w:tc>
          <w:tcPr>
            <w:tcW w:w="708" w:type="dxa"/>
            <w:tcBorders>
              <w:top w:val="nil"/>
              <w:left w:val="nil"/>
              <w:bottom w:val="nil"/>
              <w:right w:val="nil"/>
            </w:tcBorders>
            <w:shd w:val="clear" w:color="auto" w:fill="auto"/>
            <w:vAlign w:val="center"/>
            <w:hideMark/>
          </w:tcPr>
          <w:p w14:paraId="53073654"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single" w:sz="4" w:space="0" w:color="auto"/>
            </w:tcBorders>
            <w:shd w:val="clear" w:color="auto" w:fill="auto"/>
            <w:vAlign w:val="center"/>
            <w:hideMark/>
          </w:tcPr>
          <w:p w14:paraId="56BC074F"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nil"/>
              <w:bottom w:val="nil"/>
              <w:right w:val="single" w:sz="4" w:space="0" w:color="auto"/>
            </w:tcBorders>
            <w:shd w:val="clear" w:color="auto" w:fill="auto"/>
            <w:vAlign w:val="center"/>
            <w:hideMark/>
          </w:tcPr>
          <w:p w14:paraId="067156E4"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nil"/>
              <w:bottom w:val="nil"/>
              <w:right w:val="single" w:sz="4" w:space="0" w:color="auto"/>
            </w:tcBorders>
            <w:shd w:val="clear" w:color="auto" w:fill="auto"/>
            <w:vAlign w:val="center"/>
            <w:hideMark/>
          </w:tcPr>
          <w:p w14:paraId="451F1F9A" w14:textId="77777777" w:rsidR="003F035B" w:rsidRPr="00916A6C" w:rsidRDefault="003F035B" w:rsidP="000A4B75">
            <w:pPr>
              <w:spacing w:after="0" w:line="240" w:lineRule="auto"/>
              <w:jc w:val="right"/>
              <w:rPr>
                <w:rFonts w:ascii="Garamond" w:hAnsi="Garamond" w:cs="Calibri"/>
                <w:color w:val="000000"/>
                <w:sz w:val="24"/>
                <w:szCs w:val="24"/>
              </w:rPr>
            </w:pPr>
          </w:p>
        </w:tc>
        <w:tc>
          <w:tcPr>
            <w:tcW w:w="638" w:type="dxa"/>
            <w:tcBorders>
              <w:top w:val="nil"/>
              <w:left w:val="nil"/>
              <w:bottom w:val="nil"/>
              <w:right w:val="single" w:sz="4" w:space="0" w:color="auto"/>
            </w:tcBorders>
            <w:shd w:val="clear" w:color="auto" w:fill="auto"/>
            <w:vAlign w:val="center"/>
            <w:hideMark/>
          </w:tcPr>
          <w:p w14:paraId="560C2851" w14:textId="77777777" w:rsidR="003F035B" w:rsidRPr="00916A6C" w:rsidRDefault="003F035B" w:rsidP="000A4B75">
            <w:pPr>
              <w:spacing w:after="0" w:line="240" w:lineRule="auto"/>
              <w:jc w:val="right"/>
              <w:rPr>
                <w:rFonts w:ascii="Garamond" w:hAnsi="Garamond" w:cs="Calibri"/>
                <w:color w:val="000000"/>
                <w:sz w:val="24"/>
                <w:szCs w:val="24"/>
              </w:rPr>
            </w:pPr>
          </w:p>
        </w:tc>
      </w:tr>
      <w:tr w:rsidR="003F035B" w:rsidRPr="00395593" w14:paraId="60BE9BAE" w14:textId="77777777" w:rsidTr="00BF6E08">
        <w:trPr>
          <w:cantSplit/>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0B4D820D"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 xml:space="preserve">3.1.2 - PIS </w:t>
            </w:r>
          </w:p>
        </w:tc>
        <w:tc>
          <w:tcPr>
            <w:tcW w:w="708" w:type="dxa"/>
            <w:tcBorders>
              <w:top w:val="nil"/>
              <w:left w:val="nil"/>
              <w:bottom w:val="nil"/>
              <w:right w:val="nil"/>
            </w:tcBorders>
            <w:shd w:val="clear" w:color="auto" w:fill="auto"/>
            <w:vAlign w:val="center"/>
            <w:hideMark/>
          </w:tcPr>
          <w:p w14:paraId="3782D09D"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single" w:sz="4" w:space="0" w:color="auto"/>
            </w:tcBorders>
            <w:shd w:val="clear" w:color="auto" w:fill="auto"/>
            <w:vAlign w:val="center"/>
            <w:hideMark/>
          </w:tcPr>
          <w:p w14:paraId="3089F11A"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nil"/>
              <w:bottom w:val="nil"/>
              <w:right w:val="single" w:sz="4" w:space="0" w:color="auto"/>
            </w:tcBorders>
            <w:shd w:val="clear" w:color="auto" w:fill="auto"/>
            <w:vAlign w:val="center"/>
            <w:hideMark/>
          </w:tcPr>
          <w:p w14:paraId="36F332A9"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nil"/>
              <w:bottom w:val="nil"/>
              <w:right w:val="single" w:sz="4" w:space="0" w:color="auto"/>
            </w:tcBorders>
            <w:shd w:val="clear" w:color="auto" w:fill="auto"/>
            <w:vAlign w:val="center"/>
            <w:hideMark/>
          </w:tcPr>
          <w:p w14:paraId="2AEB4A6C" w14:textId="77777777" w:rsidR="003F035B" w:rsidRPr="00916A6C" w:rsidRDefault="003F035B" w:rsidP="000A4B75">
            <w:pPr>
              <w:spacing w:after="0" w:line="240" w:lineRule="auto"/>
              <w:jc w:val="right"/>
              <w:rPr>
                <w:rFonts w:ascii="Garamond" w:hAnsi="Garamond" w:cs="Calibri"/>
                <w:color w:val="000000"/>
                <w:sz w:val="24"/>
                <w:szCs w:val="24"/>
              </w:rPr>
            </w:pPr>
          </w:p>
        </w:tc>
        <w:tc>
          <w:tcPr>
            <w:tcW w:w="638" w:type="dxa"/>
            <w:tcBorders>
              <w:top w:val="nil"/>
              <w:left w:val="nil"/>
              <w:bottom w:val="nil"/>
              <w:right w:val="single" w:sz="4" w:space="0" w:color="auto"/>
            </w:tcBorders>
            <w:shd w:val="clear" w:color="auto" w:fill="auto"/>
            <w:vAlign w:val="center"/>
            <w:hideMark/>
          </w:tcPr>
          <w:p w14:paraId="1F92E096" w14:textId="77777777" w:rsidR="003F035B" w:rsidRPr="00916A6C" w:rsidRDefault="003F035B" w:rsidP="000A4B75">
            <w:pPr>
              <w:spacing w:after="0" w:line="240" w:lineRule="auto"/>
              <w:jc w:val="right"/>
              <w:rPr>
                <w:rFonts w:ascii="Garamond" w:hAnsi="Garamond" w:cs="Calibri"/>
                <w:color w:val="000000"/>
                <w:sz w:val="24"/>
                <w:szCs w:val="24"/>
              </w:rPr>
            </w:pPr>
          </w:p>
        </w:tc>
      </w:tr>
      <w:tr w:rsidR="003F035B" w:rsidRPr="00395593" w14:paraId="7398D78C" w14:textId="77777777" w:rsidTr="00BF6E08">
        <w:trPr>
          <w:cantSplit/>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0B673D1A"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3.1.3 - COFINS</w:t>
            </w:r>
          </w:p>
        </w:tc>
        <w:tc>
          <w:tcPr>
            <w:tcW w:w="708" w:type="dxa"/>
            <w:tcBorders>
              <w:top w:val="nil"/>
              <w:left w:val="nil"/>
              <w:bottom w:val="nil"/>
              <w:right w:val="nil"/>
            </w:tcBorders>
            <w:shd w:val="clear" w:color="auto" w:fill="auto"/>
            <w:vAlign w:val="center"/>
            <w:hideMark/>
          </w:tcPr>
          <w:p w14:paraId="129FCE96"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single" w:sz="4" w:space="0" w:color="auto"/>
            </w:tcBorders>
            <w:shd w:val="clear" w:color="auto" w:fill="auto"/>
            <w:vAlign w:val="center"/>
            <w:hideMark/>
          </w:tcPr>
          <w:p w14:paraId="17C5168E"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nil"/>
              <w:bottom w:val="nil"/>
              <w:right w:val="single" w:sz="4" w:space="0" w:color="auto"/>
            </w:tcBorders>
            <w:shd w:val="clear" w:color="auto" w:fill="auto"/>
            <w:vAlign w:val="center"/>
            <w:hideMark/>
          </w:tcPr>
          <w:p w14:paraId="7EFEF2B0"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nil"/>
              <w:bottom w:val="nil"/>
              <w:right w:val="single" w:sz="4" w:space="0" w:color="auto"/>
            </w:tcBorders>
            <w:shd w:val="clear" w:color="auto" w:fill="auto"/>
            <w:vAlign w:val="center"/>
            <w:hideMark/>
          </w:tcPr>
          <w:p w14:paraId="15B1577B" w14:textId="77777777" w:rsidR="003F035B" w:rsidRPr="00916A6C" w:rsidRDefault="003F035B" w:rsidP="000A4B75">
            <w:pPr>
              <w:spacing w:after="0" w:line="240" w:lineRule="auto"/>
              <w:jc w:val="right"/>
              <w:rPr>
                <w:rFonts w:ascii="Garamond" w:hAnsi="Garamond" w:cs="Calibri"/>
                <w:color w:val="000000"/>
                <w:sz w:val="24"/>
                <w:szCs w:val="24"/>
              </w:rPr>
            </w:pPr>
          </w:p>
        </w:tc>
        <w:tc>
          <w:tcPr>
            <w:tcW w:w="638" w:type="dxa"/>
            <w:tcBorders>
              <w:top w:val="nil"/>
              <w:left w:val="nil"/>
              <w:bottom w:val="nil"/>
              <w:right w:val="single" w:sz="4" w:space="0" w:color="auto"/>
            </w:tcBorders>
            <w:shd w:val="clear" w:color="auto" w:fill="auto"/>
            <w:vAlign w:val="center"/>
            <w:hideMark/>
          </w:tcPr>
          <w:p w14:paraId="4F75C1CE" w14:textId="77777777" w:rsidR="003F035B" w:rsidRPr="00916A6C" w:rsidRDefault="003F035B" w:rsidP="000A4B75">
            <w:pPr>
              <w:spacing w:after="0" w:line="240" w:lineRule="auto"/>
              <w:jc w:val="right"/>
              <w:rPr>
                <w:rFonts w:ascii="Garamond" w:hAnsi="Garamond" w:cs="Calibri"/>
                <w:color w:val="000000"/>
                <w:sz w:val="24"/>
                <w:szCs w:val="24"/>
              </w:rPr>
            </w:pPr>
          </w:p>
        </w:tc>
      </w:tr>
      <w:tr w:rsidR="003F035B" w:rsidRPr="00395593" w14:paraId="470F4BDD" w14:textId="77777777" w:rsidTr="00BF6E08">
        <w:trPr>
          <w:cantSplit/>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4991FC49"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3.2-Decontos e abatimentos</w:t>
            </w:r>
          </w:p>
        </w:tc>
        <w:tc>
          <w:tcPr>
            <w:tcW w:w="708" w:type="dxa"/>
            <w:tcBorders>
              <w:top w:val="nil"/>
              <w:left w:val="nil"/>
              <w:bottom w:val="nil"/>
              <w:right w:val="nil"/>
            </w:tcBorders>
            <w:shd w:val="clear" w:color="auto" w:fill="auto"/>
            <w:vAlign w:val="center"/>
            <w:hideMark/>
          </w:tcPr>
          <w:p w14:paraId="0088620D"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single" w:sz="4" w:space="0" w:color="auto"/>
            </w:tcBorders>
            <w:shd w:val="clear" w:color="auto" w:fill="auto"/>
            <w:vAlign w:val="center"/>
            <w:hideMark/>
          </w:tcPr>
          <w:p w14:paraId="0B2644EC"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nil"/>
              <w:bottom w:val="nil"/>
              <w:right w:val="single" w:sz="4" w:space="0" w:color="auto"/>
            </w:tcBorders>
            <w:shd w:val="clear" w:color="auto" w:fill="auto"/>
            <w:vAlign w:val="center"/>
            <w:hideMark/>
          </w:tcPr>
          <w:p w14:paraId="562ECE0D"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nil"/>
              <w:bottom w:val="nil"/>
              <w:right w:val="single" w:sz="4" w:space="0" w:color="auto"/>
            </w:tcBorders>
            <w:shd w:val="clear" w:color="auto" w:fill="auto"/>
            <w:vAlign w:val="center"/>
            <w:hideMark/>
          </w:tcPr>
          <w:p w14:paraId="5CA3B687" w14:textId="77777777" w:rsidR="003F035B" w:rsidRPr="00916A6C" w:rsidRDefault="003F035B" w:rsidP="000A4B75">
            <w:pPr>
              <w:spacing w:after="0" w:line="240" w:lineRule="auto"/>
              <w:jc w:val="right"/>
              <w:rPr>
                <w:rFonts w:ascii="Garamond" w:hAnsi="Garamond" w:cs="Calibri"/>
                <w:color w:val="000000"/>
                <w:sz w:val="24"/>
                <w:szCs w:val="24"/>
              </w:rPr>
            </w:pPr>
          </w:p>
        </w:tc>
        <w:tc>
          <w:tcPr>
            <w:tcW w:w="638" w:type="dxa"/>
            <w:tcBorders>
              <w:top w:val="nil"/>
              <w:left w:val="nil"/>
              <w:bottom w:val="nil"/>
              <w:right w:val="single" w:sz="4" w:space="0" w:color="auto"/>
            </w:tcBorders>
            <w:shd w:val="clear" w:color="auto" w:fill="auto"/>
            <w:vAlign w:val="center"/>
            <w:hideMark/>
          </w:tcPr>
          <w:p w14:paraId="0F9E4D7C" w14:textId="77777777" w:rsidR="003F035B" w:rsidRPr="00916A6C" w:rsidRDefault="003F035B" w:rsidP="000A4B75">
            <w:pPr>
              <w:spacing w:after="0" w:line="240" w:lineRule="auto"/>
              <w:jc w:val="right"/>
              <w:rPr>
                <w:rFonts w:ascii="Garamond" w:hAnsi="Garamond" w:cs="Calibri"/>
                <w:color w:val="000000"/>
                <w:sz w:val="24"/>
                <w:szCs w:val="24"/>
              </w:rPr>
            </w:pPr>
          </w:p>
        </w:tc>
      </w:tr>
      <w:tr w:rsidR="003F035B" w:rsidRPr="00395593" w14:paraId="12DC1EDD" w14:textId="77777777" w:rsidTr="00BF6E08">
        <w:trPr>
          <w:cantSplit/>
          <w:jc w:val="center"/>
        </w:trPr>
        <w:tc>
          <w:tcPr>
            <w:tcW w:w="3331" w:type="dxa"/>
            <w:tcBorders>
              <w:top w:val="nil"/>
              <w:left w:val="single" w:sz="4" w:space="0" w:color="auto"/>
              <w:bottom w:val="nil"/>
              <w:right w:val="single" w:sz="4" w:space="0" w:color="auto"/>
            </w:tcBorders>
            <w:shd w:val="clear" w:color="auto" w:fill="auto"/>
            <w:vAlign w:val="center"/>
            <w:hideMark/>
          </w:tcPr>
          <w:p w14:paraId="30DE3181"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3.3-Devoluções</w:t>
            </w:r>
          </w:p>
        </w:tc>
        <w:tc>
          <w:tcPr>
            <w:tcW w:w="708" w:type="dxa"/>
            <w:tcBorders>
              <w:top w:val="nil"/>
              <w:left w:val="nil"/>
              <w:bottom w:val="nil"/>
              <w:right w:val="nil"/>
            </w:tcBorders>
            <w:shd w:val="clear" w:color="auto" w:fill="auto"/>
            <w:vAlign w:val="center"/>
            <w:hideMark/>
          </w:tcPr>
          <w:p w14:paraId="571E01FF"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single" w:sz="4" w:space="0" w:color="auto"/>
            </w:tcBorders>
            <w:shd w:val="clear" w:color="auto" w:fill="auto"/>
            <w:vAlign w:val="center"/>
            <w:hideMark/>
          </w:tcPr>
          <w:p w14:paraId="353F6F33"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nil"/>
              <w:bottom w:val="nil"/>
              <w:right w:val="single" w:sz="4" w:space="0" w:color="auto"/>
            </w:tcBorders>
            <w:shd w:val="clear" w:color="auto" w:fill="auto"/>
            <w:vAlign w:val="center"/>
            <w:hideMark/>
          </w:tcPr>
          <w:p w14:paraId="5D99D004"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nil"/>
              <w:bottom w:val="nil"/>
              <w:right w:val="single" w:sz="4" w:space="0" w:color="auto"/>
            </w:tcBorders>
            <w:shd w:val="clear" w:color="auto" w:fill="auto"/>
            <w:vAlign w:val="center"/>
            <w:hideMark/>
          </w:tcPr>
          <w:p w14:paraId="70CE1725" w14:textId="77777777" w:rsidR="003F035B" w:rsidRPr="00916A6C" w:rsidRDefault="003F035B" w:rsidP="000A4B75">
            <w:pPr>
              <w:spacing w:after="0" w:line="240" w:lineRule="auto"/>
              <w:jc w:val="right"/>
              <w:rPr>
                <w:rFonts w:ascii="Garamond" w:hAnsi="Garamond" w:cs="Calibri"/>
                <w:color w:val="000000"/>
                <w:sz w:val="24"/>
                <w:szCs w:val="24"/>
              </w:rPr>
            </w:pPr>
          </w:p>
        </w:tc>
        <w:tc>
          <w:tcPr>
            <w:tcW w:w="638" w:type="dxa"/>
            <w:tcBorders>
              <w:top w:val="nil"/>
              <w:left w:val="nil"/>
              <w:bottom w:val="nil"/>
              <w:right w:val="single" w:sz="4" w:space="0" w:color="auto"/>
            </w:tcBorders>
            <w:shd w:val="clear" w:color="auto" w:fill="auto"/>
            <w:vAlign w:val="center"/>
            <w:hideMark/>
          </w:tcPr>
          <w:p w14:paraId="2D5AE3A6" w14:textId="77777777" w:rsidR="003F035B" w:rsidRPr="00916A6C" w:rsidRDefault="003F035B" w:rsidP="000A4B75">
            <w:pPr>
              <w:spacing w:after="0" w:line="240" w:lineRule="auto"/>
              <w:jc w:val="right"/>
              <w:rPr>
                <w:rFonts w:ascii="Garamond" w:hAnsi="Garamond" w:cs="Calibri"/>
                <w:color w:val="000000"/>
                <w:sz w:val="24"/>
                <w:szCs w:val="24"/>
              </w:rPr>
            </w:pPr>
          </w:p>
        </w:tc>
      </w:tr>
      <w:tr w:rsidR="003F035B" w:rsidRPr="00395593" w14:paraId="4DBF8EF2" w14:textId="77777777" w:rsidTr="00BF6E08">
        <w:trPr>
          <w:cantSplit/>
          <w:jc w:val="center"/>
        </w:trPr>
        <w:tc>
          <w:tcPr>
            <w:tcW w:w="3331" w:type="dxa"/>
            <w:tcBorders>
              <w:top w:val="single" w:sz="4" w:space="0" w:color="auto"/>
              <w:left w:val="single" w:sz="4" w:space="0" w:color="auto"/>
              <w:bottom w:val="nil"/>
              <w:right w:val="single" w:sz="4" w:space="0" w:color="auto"/>
            </w:tcBorders>
            <w:shd w:val="clear" w:color="auto" w:fill="auto"/>
            <w:vAlign w:val="center"/>
            <w:hideMark/>
          </w:tcPr>
          <w:p w14:paraId="2198C9AC"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3.4-Fretes sobre vendas</w:t>
            </w:r>
          </w:p>
        </w:tc>
        <w:tc>
          <w:tcPr>
            <w:tcW w:w="708" w:type="dxa"/>
            <w:tcBorders>
              <w:top w:val="nil"/>
              <w:left w:val="nil"/>
              <w:bottom w:val="nil"/>
              <w:right w:val="nil"/>
            </w:tcBorders>
            <w:shd w:val="clear" w:color="auto" w:fill="auto"/>
            <w:vAlign w:val="center"/>
            <w:hideMark/>
          </w:tcPr>
          <w:p w14:paraId="7D7D8699"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53A1A7D9"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7BB10ADE"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51FADB16" w14:textId="77777777" w:rsidR="003F035B" w:rsidRPr="00916A6C" w:rsidRDefault="003F035B" w:rsidP="000A4B75">
            <w:pPr>
              <w:spacing w:after="0" w:line="240" w:lineRule="auto"/>
              <w:jc w:val="right"/>
              <w:rPr>
                <w:rFonts w:ascii="Garamond" w:hAnsi="Garamond" w:cs="Calibri"/>
                <w:color w:val="000000"/>
                <w:sz w:val="24"/>
                <w:szCs w:val="24"/>
              </w:rPr>
            </w:pPr>
          </w:p>
        </w:tc>
        <w:tc>
          <w:tcPr>
            <w:tcW w:w="638" w:type="dxa"/>
            <w:tcBorders>
              <w:top w:val="nil"/>
              <w:left w:val="single" w:sz="4" w:space="0" w:color="auto"/>
              <w:bottom w:val="nil"/>
              <w:right w:val="single" w:sz="4" w:space="0" w:color="auto"/>
            </w:tcBorders>
            <w:shd w:val="clear" w:color="auto" w:fill="auto"/>
            <w:vAlign w:val="center"/>
            <w:hideMark/>
          </w:tcPr>
          <w:p w14:paraId="1FB3BF53" w14:textId="77777777" w:rsidR="003F035B" w:rsidRPr="00916A6C" w:rsidRDefault="003F035B" w:rsidP="000A4B75">
            <w:pPr>
              <w:spacing w:after="0" w:line="240" w:lineRule="auto"/>
              <w:jc w:val="right"/>
              <w:rPr>
                <w:rFonts w:ascii="Garamond" w:hAnsi="Garamond" w:cs="Calibri"/>
                <w:color w:val="000000"/>
                <w:sz w:val="24"/>
                <w:szCs w:val="24"/>
              </w:rPr>
            </w:pPr>
          </w:p>
        </w:tc>
      </w:tr>
      <w:tr w:rsidR="003F035B" w:rsidRPr="00395593" w14:paraId="570AB5DC" w14:textId="77777777" w:rsidTr="00BF6E08">
        <w:trPr>
          <w:cantSplit/>
          <w:jc w:val="center"/>
        </w:trPr>
        <w:tc>
          <w:tcPr>
            <w:tcW w:w="33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BB1CE"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4-Receita Operacional Líquida (2-3)</w:t>
            </w:r>
          </w:p>
        </w:tc>
        <w:tc>
          <w:tcPr>
            <w:tcW w:w="708" w:type="dxa"/>
            <w:tcBorders>
              <w:top w:val="single" w:sz="4" w:space="0" w:color="auto"/>
              <w:left w:val="nil"/>
              <w:bottom w:val="single" w:sz="4" w:space="0" w:color="auto"/>
              <w:right w:val="nil"/>
            </w:tcBorders>
            <w:shd w:val="clear" w:color="000000" w:fill="D9D9D9"/>
            <w:vAlign w:val="center"/>
            <w:hideMark/>
          </w:tcPr>
          <w:p w14:paraId="2F410826"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single" w:sz="4" w:space="0" w:color="auto"/>
              <w:left w:val="single" w:sz="4" w:space="0" w:color="auto"/>
              <w:bottom w:val="single" w:sz="4" w:space="0" w:color="auto"/>
              <w:right w:val="nil"/>
            </w:tcBorders>
            <w:shd w:val="clear" w:color="000000" w:fill="D9D9D9"/>
            <w:vAlign w:val="center"/>
            <w:hideMark/>
          </w:tcPr>
          <w:p w14:paraId="6CE26B40"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single" w:sz="4" w:space="0" w:color="auto"/>
              <w:left w:val="single" w:sz="4" w:space="0" w:color="auto"/>
              <w:bottom w:val="single" w:sz="4" w:space="0" w:color="auto"/>
              <w:right w:val="nil"/>
            </w:tcBorders>
            <w:shd w:val="clear" w:color="000000" w:fill="D9D9D9"/>
            <w:vAlign w:val="center"/>
            <w:hideMark/>
          </w:tcPr>
          <w:p w14:paraId="45396119"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single" w:sz="4" w:space="0" w:color="auto"/>
              <w:left w:val="single" w:sz="4" w:space="0" w:color="auto"/>
              <w:bottom w:val="single" w:sz="4" w:space="0" w:color="auto"/>
              <w:right w:val="nil"/>
            </w:tcBorders>
            <w:shd w:val="clear" w:color="000000" w:fill="D9D9D9"/>
            <w:vAlign w:val="center"/>
            <w:hideMark/>
          </w:tcPr>
          <w:p w14:paraId="454ED6D2"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6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940EDA"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r>
      <w:tr w:rsidR="003F035B" w:rsidRPr="00395593" w14:paraId="2C2A1EA4" w14:textId="77777777" w:rsidTr="00BF6E08">
        <w:trPr>
          <w:cantSplit/>
          <w:jc w:val="center"/>
        </w:trPr>
        <w:tc>
          <w:tcPr>
            <w:tcW w:w="3331" w:type="dxa"/>
            <w:tcBorders>
              <w:top w:val="nil"/>
              <w:left w:val="single" w:sz="4" w:space="0" w:color="auto"/>
              <w:bottom w:val="nil"/>
              <w:right w:val="single" w:sz="4" w:space="0" w:color="auto"/>
            </w:tcBorders>
            <w:shd w:val="clear" w:color="auto" w:fill="auto"/>
            <w:vAlign w:val="center"/>
            <w:hideMark/>
          </w:tcPr>
          <w:p w14:paraId="50EF8BB8"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5-Custo da Mercadoria Vendida</w:t>
            </w:r>
          </w:p>
        </w:tc>
        <w:tc>
          <w:tcPr>
            <w:tcW w:w="708" w:type="dxa"/>
            <w:tcBorders>
              <w:top w:val="nil"/>
              <w:left w:val="nil"/>
              <w:bottom w:val="nil"/>
              <w:right w:val="nil"/>
            </w:tcBorders>
            <w:shd w:val="clear" w:color="auto" w:fill="auto"/>
            <w:vAlign w:val="center"/>
            <w:hideMark/>
          </w:tcPr>
          <w:p w14:paraId="10CFE0AC"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11EADD43"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7A36FE58"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2AC88037" w14:textId="77777777" w:rsidR="003F035B" w:rsidRPr="00916A6C" w:rsidRDefault="003F035B" w:rsidP="000A4B75">
            <w:pPr>
              <w:spacing w:after="0" w:line="240" w:lineRule="auto"/>
              <w:jc w:val="right"/>
              <w:rPr>
                <w:rFonts w:ascii="Garamond" w:hAnsi="Garamond" w:cs="Calibri"/>
                <w:color w:val="000000"/>
                <w:sz w:val="24"/>
                <w:szCs w:val="24"/>
              </w:rPr>
            </w:pPr>
          </w:p>
        </w:tc>
        <w:tc>
          <w:tcPr>
            <w:tcW w:w="638" w:type="dxa"/>
            <w:tcBorders>
              <w:top w:val="nil"/>
              <w:left w:val="single" w:sz="4" w:space="0" w:color="auto"/>
              <w:bottom w:val="nil"/>
              <w:right w:val="single" w:sz="4" w:space="0" w:color="auto"/>
            </w:tcBorders>
            <w:shd w:val="clear" w:color="auto" w:fill="auto"/>
            <w:vAlign w:val="center"/>
            <w:hideMark/>
          </w:tcPr>
          <w:p w14:paraId="68EB7666" w14:textId="77777777" w:rsidR="003F035B" w:rsidRPr="00916A6C" w:rsidRDefault="003F035B" w:rsidP="000A4B75">
            <w:pPr>
              <w:spacing w:after="0" w:line="240" w:lineRule="auto"/>
              <w:jc w:val="right"/>
              <w:rPr>
                <w:rFonts w:ascii="Garamond" w:hAnsi="Garamond" w:cs="Calibri"/>
                <w:color w:val="000000"/>
                <w:sz w:val="24"/>
                <w:szCs w:val="24"/>
              </w:rPr>
            </w:pPr>
          </w:p>
        </w:tc>
      </w:tr>
      <w:tr w:rsidR="003F035B" w:rsidRPr="00395593" w14:paraId="767815A9" w14:textId="77777777" w:rsidTr="00BF6E08">
        <w:trPr>
          <w:cantSplit/>
          <w:jc w:val="center"/>
        </w:trPr>
        <w:tc>
          <w:tcPr>
            <w:tcW w:w="33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64F85"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6- Resultado Bruto (4-5)</w:t>
            </w:r>
          </w:p>
        </w:tc>
        <w:tc>
          <w:tcPr>
            <w:tcW w:w="708" w:type="dxa"/>
            <w:tcBorders>
              <w:top w:val="single" w:sz="4" w:space="0" w:color="auto"/>
              <w:left w:val="nil"/>
              <w:bottom w:val="single" w:sz="4" w:space="0" w:color="auto"/>
              <w:right w:val="nil"/>
            </w:tcBorders>
            <w:shd w:val="clear" w:color="000000" w:fill="D9D9D9"/>
            <w:vAlign w:val="center"/>
            <w:hideMark/>
          </w:tcPr>
          <w:p w14:paraId="2C858845"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single" w:sz="4" w:space="0" w:color="auto"/>
              <w:left w:val="single" w:sz="4" w:space="0" w:color="auto"/>
              <w:bottom w:val="single" w:sz="4" w:space="0" w:color="auto"/>
              <w:right w:val="nil"/>
            </w:tcBorders>
            <w:shd w:val="clear" w:color="000000" w:fill="D9D9D9"/>
            <w:vAlign w:val="center"/>
            <w:hideMark/>
          </w:tcPr>
          <w:p w14:paraId="19C98893"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single" w:sz="4" w:space="0" w:color="auto"/>
              <w:left w:val="single" w:sz="4" w:space="0" w:color="auto"/>
              <w:bottom w:val="single" w:sz="4" w:space="0" w:color="auto"/>
              <w:right w:val="nil"/>
            </w:tcBorders>
            <w:shd w:val="clear" w:color="000000" w:fill="D9D9D9"/>
            <w:vAlign w:val="center"/>
            <w:hideMark/>
          </w:tcPr>
          <w:p w14:paraId="63892A25"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single" w:sz="4" w:space="0" w:color="auto"/>
              <w:left w:val="single" w:sz="4" w:space="0" w:color="auto"/>
              <w:bottom w:val="single" w:sz="4" w:space="0" w:color="auto"/>
              <w:right w:val="nil"/>
            </w:tcBorders>
            <w:shd w:val="clear" w:color="000000" w:fill="D9D9D9"/>
            <w:vAlign w:val="center"/>
            <w:hideMark/>
          </w:tcPr>
          <w:p w14:paraId="2022B6DE"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6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CE2BED"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r>
      <w:tr w:rsidR="003F035B" w:rsidRPr="00395593" w14:paraId="1073105A" w14:textId="77777777" w:rsidTr="00BF6E08">
        <w:trPr>
          <w:cantSplit/>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77E3EA41"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7-Despesas/Receitas Operacionais</w:t>
            </w:r>
          </w:p>
        </w:tc>
        <w:tc>
          <w:tcPr>
            <w:tcW w:w="708" w:type="dxa"/>
            <w:tcBorders>
              <w:top w:val="nil"/>
              <w:left w:val="nil"/>
              <w:bottom w:val="single" w:sz="4" w:space="0" w:color="auto"/>
              <w:right w:val="nil"/>
            </w:tcBorders>
            <w:shd w:val="clear" w:color="000000" w:fill="D9D9D9"/>
            <w:vAlign w:val="center"/>
            <w:hideMark/>
          </w:tcPr>
          <w:p w14:paraId="7D9EB52C"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nil"/>
              <w:left w:val="single" w:sz="4" w:space="0" w:color="auto"/>
              <w:bottom w:val="single" w:sz="4" w:space="0" w:color="auto"/>
              <w:right w:val="nil"/>
            </w:tcBorders>
            <w:shd w:val="clear" w:color="000000" w:fill="D9D9D9"/>
            <w:vAlign w:val="center"/>
            <w:hideMark/>
          </w:tcPr>
          <w:p w14:paraId="4C995909"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nil"/>
              <w:left w:val="single" w:sz="4" w:space="0" w:color="auto"/>
              <w:bottom w:val="single" w:sz="4" w:space="0" w:color="auto"/>
              <w:right w:val="nil"/>
            </w:tcBorders>
            <w:shd w:val="clear" w:color="000000" w:fill="D9D9D9"/>
            <w:vAlign w:val="center"/>
            <w:hideMark/>
          </w:tcPr>
          <w:p w14:paraId="31F99872"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nil"/>
              <w:left w:val="single" w:sz="4" w:space="0" w:color="auto"/>
              <w:bottom w:val="single" w:sz="4" w:space="0" w:color="auto"/>
              <w:right w:val="nil"/>
            </w:tcBorders>
            <w:shd w:val="clear" w:color="000000" w:fill="D9D9D9"/>
            <w:vAlign w:val="center"/>
            <w:hideMark/>
          </w:tcPr>
          <w:p w14:paraId="4F5A0FA6"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638" w:type="dxa"/>
            <w:tcBorders>
              <w:top w:val="nil"/>
              <w:left w:val="single" w:sz="4" w:space="0" w:color="auto"/>
              <w:bottom w:val="single" w:sz="4" w:space="0" w:color="auto"/>
              <w:right w:val="single" w:sz="4" w:space="0" w:color="auto"/>
            </w:tcBorders>
            <w:shd w:val="clear" w:color="000000" w:fill="D9D9D9"/>
            <w:vAlign w:val="center"/>
            <w:hideMark/>
          </w:tcPr>
          <w:p w14:paraId="4D174306"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r>
      <w:tr w:rsidR="003F035B" w:rsidRPr="00395593" w14:paraId="6E887DA8" w14:textId="77777777" w:rsidTr="00BF6E08">
        <w:trPr>
          <w:cantSplit/>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29471800"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7.1-Despesas Gerais e Administrativas</w:t>
            </w:r>
          </w:p>
        </w:tc>
        <w:tc>
          <w:tcPr>
            <w:tcW w:w="708" w:type="dxa"/>
            <w:tcBorders>
              <w:top w:val="single" w:sz="4" w:space="0" w:color="auto"/>
              <w:left w:val="nil"/>
              <w:bottom w:val="single" w:sz="4" w:space="0" w:color="auto"/>
              <w:right w:val="nil"/>
            </w:tcBorders>
            <w:shd w:val="clear" w:color="auto" w:fill="auto"/>
            <w:vAlign w:val="center"/>
            <w:hideMark/>
          </w:tcPr>
          <w:p w14:paraId="27708088"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21FFB4A7"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69C23CF0"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5BA8ADF5" w14:textId="77777777" w:rsidR="003F035B" w:rsidRPr="00916A6C" w:rsidRDefault="003F035B" w:rsidP="000A4B75">
            <w:pPr>
              <w:spacing w:after="0" w:line="240" w:lineRule="auto"/>
              <w:jc w:val="right"/>
              <w:rPr>
                <w:rFonts w:ascii="Garamond" w:hAnsi="Garamond" w:cs="Calibri"/>
                <w:color w:val="000000"/>
                <w:sz w:val="24"/>
                <w:szCs w:val="24"/>
              </w:rPr>
            </w:pP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689FC" w14:textId="77777777" w:rsidR="003F035B" w:rsidRPr="00916A6C" w:rsidRDefault="003F035B" w:rsidP="000A4B75">
            <w:pPr>
              <w:spacing w:after="0" w:line="240" w:lineRule="auto"/>
              <w:jc w:val="right"/>
              <w:rPr>
                <w:rFonts w:ascii="Garamond" w:hAnsi="Garamond" w:cs="Calibri"/>
                <w:color w:val="000000"/>
                <w:sz w:val="24"/>
                <w:szCs w:val="24"/>
              </w:rPr>
            </w:pPr>
          </w:p>
        </w:tc>
      </w:tr>
      <w:tr w:rsidR="003F035B" w:rsidRPr="00395593" w14:paraId="125A5002" w14:textId="77777777" w:rsidTr="00BF6E08">
        <w:trPr>
          <w:cantSplit/>
          <w:jc w:val="center"/>
        </w:trPr>
        <w:tc>
          <w:tcPr>
            <w:tcW w:w="33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992A4"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7.2-Despesas com Vendas (exceto frete sobre vendas)</w:t>
            </w:r>
          </w:p>
        </w:tc>
        <w:tc>
          <w:tcPr>
            <w:tcW w:w="708" w:type="dxa"/>
            <w:tcBorders>
              <w:top w:val="single" w:sz="4" w:space="0" w:color="auto"/>
              <w:left w:val="nil"/>
              <w:bottom w:val="nil"/>
              <w:right w:val="nil"/>
            </w:tcBorders>
            <w:shd w:val="clear" w:color="auto" w:fill="auto"/>
            <w:vAlign w:val="center"/>
            <w:hideMark/>
          </w:tcPr>
          <w:p w14:paraId="728B53C0"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single" w:sz="4" w:space="0" w:color="auto"/>
              <w:left w:val="single" w:sz="4" w:space="0" w:color="auto"/>
              <w:bottom w:val="nil"/>
              <w:right w:val="nil"/>
            </w:tcBorders>
            <w:shd w:val="clear" w:color="auto" w:fill="auto"/>
            <w:vAlign w:val="center"/>
            <w:hideMark/>
          </w:tcPr>
          <w:p w14:paraId="6618D31A"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single" w:sz="4" w:space="0" w:color="auto"/>
              <w:left w:val="single" w:sz="4" w:space="0" w:color="auto"/>
              <w:bottom w:val="nil"/>
              <w:right w:val="nil"/>
            </w:tcBorders>
            <w:shd w:val="clear" w:color="auto" w:fill="auto"/>
            <w:vAlign w:val="center"/>
            <w:hideMark/>
          </w:tcPr>
          <w:p w14:paraId="61676B14"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single" w:sz="4" w:space="0" w:color="auto"/>
              <w:left w:val="single" w:sz="4" w:space="0" w:color="auto"/>
              <w:bottom w:val="nil"/>
              <w:right w:val="nil"/>
            </w:tcBorders>
            <w:shd w:val="clear" w:color="auto" w:fill="auto"/>
            <w:vAlign w:val="center"/>
            <w:hideMark/>
          </w:tcPr>
          <w:p w14:paraId="5783C7EA" w14:textId="77777777" w:rsidR="003F035B" w:rsidRPr="00916A6C" w:rsidRDefault="003F035B" w:rsidP="000A4B75">
            <w:pPr>
              <w:spacing w:after="0" w:line="240" w:lineRule="auto"/>
              <w:jc w:val="right"/>
              <w:rPr>
                <w:rFonts w:ascii="Garamond" w:hAnsi="Garamond" w:cs="Calibri"/>
                <w:color w:val="000000"/>
                <w:sz w:val="24"/>
                <w:szCs w:val="24"/>
              </w:rPr>
            </w:pPr>
          </w:p>
        </w:tc>
        <w:tc>
          <w:tcPr>
            <w:tcW w:w="638" w:type="dxa"/>
            <w:tcBorders>
              <w:top w:val="single" w:sz="4" w:space="0" w:color="auto"/>
              <w:left w:val="single" w:sz="4" w:space="0" w:color="auto"/>
              <w:bottom w:val="nil"/>
              <w:right w:val="single" w:sz="4" w:space="0" w:color="auto"/>
            </w:tcBorders>
            <w:shd w:val="clear" w:color="auto" w:fill="auto"/>
            <w:vAlign w:val="center"/>
            <w:hideMark/>
          </w:tcPr>
          <w:p w14:paraId="75993A31" w14:textId="77777777" w:rsidR="003F035B" w:rsidRPr="00916A6C" w:rsidRDefault="003F035B" w:rsidP="000A4B75">
            <w:pPr>
              <w:spacing w:after="0" w:line="240" w:lineRule="auto"/>
              <w:jc w:val="right"/>
              <w:rPr>
                <w:rFonts w:ascii="Garamond" w:hAnsi="Garamond" w:cs="Calibri"/>
                <w:color w:val="000000"/>
                <w:sz w:val="24"/>
                <w:szCs w:val="24"/>
              </w:rPr>
            </w:pPr>
          </w:p>
        </w:tc>
      </w:tr>
      <w:tr w:rsidR="003F035B" w:rsidRPr="00395593" w14:paraId="2D51CA53" w14:textId="77777777" w:rsidTr="00BF6E08">
        <w:trPr>
          <w:cantSplit/>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2DBC06EA"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7.3-Despesas Financeiras</w:t>
            </w:r>
          </w:p>
        </w:tc>
        <w:tc>
          <w:tcPr>
            <w:tcW w:w="708" w:type="dxa"/>
            <w:tcBorders>
              <w:top w:val="nil"/>
              <w:left w:val="nil"/>
              <w:bottom w:val="nil"/>
              <w:right w:val="nil"/>
            </w:tcBorders>
            <w:shd w:val="clear" w:color="auto" w:fill="auto"/>
            <w:vAlign w:val="center"/>
            <w:hideMark/>
          </w:tcPr>
          <w:p w14:paraId="2161FC9A"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47245F42"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59675379"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6BFA2365" w14:textId="77777777" w:rsidR="003F035B" w:rsidRPr="00916A6C" w:rsidRDefault="003F035B" w:rsidP="000A4B75">
            <w:pPr>
              <w:spacing w:after="0" w:line="240" w:lineRule="auto"/>
              <w:jc w:val="right"/>
              <w:rPr>
                <w:rFonts w:ascii="Garamond" w:hAnsi="Garamond" w:cs="Calibri"/>
                <w:color w:val="000000"/>
                <w:sz w:val="24"/>
                <w:szCs w:val="24"/>
              </w:rPr>
            </w:pPr>
          </w:p>
        </w:tc>
        <w:tc>
          <w:tcPr>
            <w:tcW w:w="638" w:type="dxa"/>
            <w:tcBorders>
              <w:top w:val="nil"/>
              <w:left w:val="single" w:sz="4" w:space="0" w:color="auto"/>
              <w:bottom w:val="nil"/>
              <w:right w:val="single" w:sz="4" w:space="0" w:color="auto"/>
            </w:tcBorders>
            <w:shd w:val="clear" w:color="auto" w:fill="auto"/>
            <w:vAlign w:val="center"/>
            <w:hideMark/>
          </w:tcPr>
          <w:p w14:paraId="762CBCBE" w14:textId="77777777" w:rsidR="003F035B" w:rsidRPr="00916A6C" w:rsidRDefault="003F035B" w:rsidP="000A4B75">
            <w:pPr>
              <w:spacing w:after="0" w:line="240" w:lineRule="auto"/>
              <w:jc w:val="right"/>
              <w:rPr>
                <w:rFonts w:ascii="Garamond" w:hAnsi="Garamond" w:cs="Calibri"/>
                <w:color w:val="000000"/>
                <w:sz w:val="24"/>
                <w:szCs w:val="24"/>
              </w:rPr>
            </w:pPr>
          </w:p>
        </w:tc>
      </w:tr>
      <w:tr w:rsidR="003F035B" w:rsidRPr="00395593" w14:paraId="1FC0FB8E" w14:textId="77777777" w:rsidTr="00BF6E08">
        <w:trPr>
          <w:cantSplit/>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35CB8B06"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7.4-Receitas Financeiras</w:t>
            </w:r>
          </w:p>
        </w:tc>
        <w:tc>
          <w:tcPr>
            <w:tcW w:w="708" w:type="dxa"/>
            <w:tcBorders>
              <w:top w:val="nil"/>
              <w:left w:val="nil"/>
              <w:bottom w:val="nil"/>
              <w:right w:val="nil"/>
            </w:tcBorders>
            <w:shd w:val="clear" w:color="auto" w:fill="auto"/>
            <w:vAlign w:val="center"/>
            <w:hideMark/>
          </w:tcPr>
          <w:p w14:paraId="5CA139D9"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30351D6A"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00B62E59"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681CC0B4" w14:textId="77777777" w:rsidR="003F035B" w:rsidRPr="00916A6C" w:rsidRDefault="003F035B" w:rsidP="000A4B75">
            <w:pPr>
              <w:spacing w:after="0" w:line="240" w:lineRule="auto"/>
              <w:jc w:val="right"/>
              <w:rPr>
                <w:rFonts w:ascii="Garamond" w:hAnsi="Garamond" w:cs="Calibri"/>
                <w:color w:val="000000"/>
                <w:sz w:val="24"/>
                <w:szCs w:val="24"/>
              </w:rPr>
            </w:pPr>
          </w:p>
        </w:tc>
        <w:tc>
          <w:tcPr>
            <w:tcW w:w="638" w:type="dxa"/>
            <w:tcBorders>
              <w:top w:val="nil"/>
              <w:left w:val="single" w:sz="4" w:space="0" w:color="auto"/>
              <w:bottom w:val="nil"/>
              <w:right w:val="single" w:sz="4" w:space="0" w:color="auto"/>
            </w:tcBorders>
            <w:shd w:val="clear" w:color="auto" w:fill="auto"/>
            <w:vAlign w:val="center"/>
            <w:hideMark/>
          </w:tcPr>
          <w:p w14:paraId="3219B852" w14:textId="77777777" w:rsidR="003F035B" w:rsidRPr="00916A6C" w:rsidRDefault="003F035B" w:rsidP="000A4B75">
            <w:pPr>
              <w:spacing w:after="0" w:line="240" w:lineRule="auto"/>
              <w:jc w:val="right"/>
              <w:rPr>
                <w:rFonts w:ascii="Garamond" w:hAnsi="Garamond" w:cs="Calibri"/>
                <w:color w:val="000000"/>
                <w:sz w:val="24"/>
                <w:szCs w:val="24"/>
              </w:rPr>
            </w:pPr>
          </w:p>
        </w:tc>
      </w:tr>
      <w:tr w:rsidR="003F035B" w:rsidRPr="00395593" w14:paraId="50DBD3B0" w14:textId="77777777" w:rsidTr="00BF6E08">
        <w:trPr>
          <w:cantSplit/>
          <w:jc w:val="center"/>
        </w:trPr>
        <w:tc>
          <w:tcPr>
            <w:tcW w:w="3331" w:type="dxa"/>
            <w:tcBorders>
              <w:top w:val="nil"/>
              <w:left w:val="single" w:sz="4" w:space="0" w:color="auto"/>
              <w:bottom w:val="nil"/>
              <w:right w:val="single" w:sz="4" w:space="0" w:color="auto"/>
            </w:tcBorders>
            <w:shd w:val="clear" w:color="auto" w:fill="auto"/>
            <w:vAlign w:val="center"/>
            <w:hideMark/>
          </w:tcPr>
          <w:p w14:paraId="497F414A"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7.5-Outras despesas operacionais</w:t>
            </w:r>
          </w:p>
        </w:tc>
        <w:tc>
          <w:tcPr>
            <w:tcW w:w="708" w:type="dxa"/>
            <w:tcBorders>
              <w:top w:val="nil"/>
              <w:left w:val="nil"/>
              <w:bottom w:val="nil"/>
              <w:right w:val="nil"/>
            </w:tcBorders>
            <w:shd w:val="clear" w:color="auto" w:fill="auto"/>
            <w:vAlign w:val="center"/>
            <w:hideMark/>
          </w:tcPr>
          <w:p w14:paraId="31F89165"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27EE9D8B"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081EACC6"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1BD6E227" w14:textId="77777777" w:rsidR="003F035B" w:rsidRPr="00916A6C" w:rsidRDefault="003F035B" w:rsidP="000A4B75">
            <w:pPr>
              <w:spacing w:after="0" w:line="240" w:lineRule="auto"/>
              <w:jc w:val="right"/>
              <w:rPr>
                <w:rFonts w:ascii="Garamond" w:hAnsi="Garamond" w:cs="Calibri"/>
                <w:color w:val="000000"/>
                <w:sz w:val="24"/>
                <w:szCs w:val="24"/>
              </w:rPr>
            </w:pPr>
          </w:p>
        </w:tc>
        <w:tc>
          <w:tcPr>
            <w:tcW w:w="638" w:type="dxa"/>
            <w:tcBorders>
              <w:top w:val="nil"/>
              <w:left w:val="single" w:sz="4" w:space="0" w:color="auto"/>
              <w:bottom w:val="nil"/>
              <w:right w:val="single" w:sz="4" w:space="0" w:color="auto"/>
            </w:tcBorders>
            <w:shd w:val="clear" w:color="auto" w:fill="auto"/>
            <w:vAlign w:val="center"/>
            <w:hideMark/>
          </w:tcPr>
          <w:p w14:paraId="1DAEAAD1" w14:textId="77777777" w:rsidR="003F035B" w:rsidRPr="00916A6C" w:rsidRDefault="003F035B" w:rsidP="000A4B75">
            <w:pPr>
              <w:spacing w:after="0" w:line="240" w:lineRule="auto"/>
              <w:jc w:val="right"/>
              <w:rPr>
                <w:rFonts w:ascii="Garamond" w:hAnsi="Garamond" w:cs="Calibri"/>
                <w:color w:val="000000"/>
                <w:sz w:val="24"/>
                <w:szCs w:val="24"/>
              </w:rPr>
            </w:pPr>
          </w:p>
        </w:tc>
      </w:tr>
      <w:tr w:rsidR="003F035B" w:rsidRPr="00395593" w14:paraId="557C15AD" w14:textId="77777777" w:rsidTr="00BF6E08">
        <w:trPr>
          <w:cantSplit/>
          <w:jc w:val="center"/>
        </w:trPr>
        <w:tc>
          <w:tcPr>
            <w:tcW w:w="3331" w:type="dxa"/>
            <w:tcBorders>
              <w:top w:val="single" w:sz="4" w:space="0" w:color="auto"/>
              <w:left w:val="single" w:sz="4" w:space="0" w:color="auto"/>
              <w:bottom w:val="nil"/>
              <w:right w:val="single" w:sz="4" w:space="0" w:color="auto"/>
            </w:tcBorders>
            <w:shd w:val="clear" w:color="auto" w:fill="auto"/>
            <w:vAlign w:val="center"/>
            <w:hideMark/>
          </w:tcPr>
          <w:p w14:paraId="1C54F6E2"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7.6-Outras receitas operacionais</w:t>
            </w:r>
          </w:p>
        </w:tc>
        <w:tc>
          <w:tcPr>
            <w:tcW w:w="708" w:type="dxa"/>
            <w:tcBorders>
              <w:top w:val="nil"/>
              <w:left w:val="nil"/>
              <w:bottom w:val="nil"/>
              <w:right w:val="nil"/>
            </w:tcBorders>
            <w:shd w:val="clear" w:color="auto" w:fill="auto"/>
            <w:vAlign w:val="center"/>
            <w:hideMark/>
          </w:tcPr>
          <w:p w14:paraId="028FFDD1"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6908F9DD"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1866834F" w14:textId="77777777" w:rsidR="003F035B" w:rsidRPr="00916A6C" w:rsidRDefault="003F035B" w:rsidP="000A4B75">
            <w:pPr>
              <w:spacing w:after="0" w:line="240" w:lineRule="auto"/>
              <w:jc w:val="right"/>
              <w:rPr>
                <w:rFonts w:ascii="Garamond" w:hAnsi="Garamond" w:cs="Calibri"/>
                <w:color w:val="000000"/>
                <w:sz w:val="24"/>
                <w:szCs w:val="24"/>
              </w:rPr>
            </w:pPr>
          </w:p>
        </w:tc>
        <w:tc>
          <w:tcPr>
            <w:tcW w:w="709" w:type="dxa"/>
            <w:tcBorders>
              <w:top w:val="nil"/>
              <w:left w:val="single" w:sz="4" w:space="0" w:color="auto"/>
              <w:bottom w:val="nil"/>
              <w:right w:val="nil"/>
            </w:tcBorders>
            <w:shd w:val="clear" w:color="auto" w:fill="auto"/>
            <w:vAlign w:val="center"/>
            <w:hideMark/>
          </w:tcPr>
          <w:p w14:paraId="2FC82705" w14:textId="77777777" w:rsidR="003F035B" w:rsidRPr="00916A6C" w:rsidRDefault="003F035B" w:rsidP="000A4B75">
            <w:pPr>
              <w:spacing w:after="0" w:line="240" w:lineRule="auto"/>
              <w:jc w:val="right"/>
              <w:rPr>
                <w:rFonts w:ascii="Garamond" w:hAnsi="Garamond" w:cs="Calibri"/>
                <w:color w:val="000000"/>
                <w:sz w:val="24"/>
                <w:szCs w:val="24"/>
              </w:rPr>
            </w:pPr>
          </w:p>
        </w:tc>
        <w:tc>
          <w:tcPr>
            <w:tcW w:w="638" w:type="dxa"/>
            <w:tcBorders>
              <w:top w:val="nil"/>
              <w:left w:val="single" w:sz="4" w:space="0" w:color="auto"/>
              <w:bottom w:val="nil"/>
              <w:right w:val="single" w:sz="4" w:space="0" w:color="auto"/>
            </w:tcBorders>
            <w:shd w:val="clear" w:color="auto" w:fill="auto"/>
            <w:vAlign w:val="center"/>
            <w:hideMark/>
          </w:tcPr>
          <w:p w14:paraId="2C8DC2EF" w14:textId="77777777" w:rsidR="003F035B" w:rsidRPr="00916A6C" w:rsidRDefault="003F035B" w:rsidP="000A4B75">
            <w:pPr>
              <w:spacing w:after="0" w:line="240" w:lineRule="auto"/>
              <w:jc w:val="right"/>
              <w:rPr>
                <w:rFonts w:ascii="Garamond" w:hAnsi="Garamond" w:cs="Calibri"/>
                <w:color w:val="000000"/>
                <w:sz w:val="24"/>
                <w:szCs w:val="24"/>
              </w:rPr>
            </w:pPr>
          </w:p>
        </w:tc>
      </w:tr>
      <w:tr w:rsidR="003F035B" w:rsidRPr="00395593" w14:paraId="17308CBC" w14:textId="77777777" w:rsidTr="00BF6E08">
        <w:trPr>
          <w:cantSplit/>
          <w:jc w:val="center"/>
        </w:trPr>
        <w:tc>
          <w:tcPr>
            <w:tcW w:w="33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8794C" w14:textId="77777777" w:rsidR="003F035B" w:rsidRPr="00916A6C" w:rsidRDefault="003F035B" w:rsidP="000A4B75">
            <w:pPr>
              <w:spacing w:after="0" w:line="240" w:lineRule="auto"/>
              <w:rPr>
                <w:rFonts w:ascii="Garamond" w:hAnsi="Garamond" w:cs="Calibri"/>
                <w:b/>
                <w:color w:val="000000"/>
                <w:sz w:val="24"/>
                <w:szCs w:val="24"/>
              </w:rPr>
            </w:pPr>
            <w:r w:rsidRPr="00916A6C">
              <w:rPr>
                <w:rFonts w:ascii="Garamond" w:hAnsi="Garamond" w:cs="Calibri"/>
                <w:b/>
                <w:color w:val="000000"/>
                <w:sz w:val="24"/>
                <w:szCs w:val="24"/>
              </w:rPr>
              <w:t>8-Resultado Operacional (6-7)</w:t>
            </w:r>
          </w:p>
        </w:tc>
        <w:tc>
          <w:tcPr>
            <w:tcW w:w="708" w:type="dxa"/>
            <w:tcBorders>
              <w:top w:val="single" w:sz="4" w:space="0" w:color="auto"/>
              <w:left w:val="nil"/>
              <w:bottom w:val="single" w:sz="4" w:space="0" w:color="auto"/>
              <w:right w:val="nil"/>
            </w:tcBorders>
            <w:shd w:val="clear" w:color="000000" w:fill="D9D9D9"/>
            <w:vAlign w:val="center"/>
            <w:hideMark/>
          </w:tcPr>
          <w:p w14:paraId="21321E38"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single" w:sz="4" w:space="0" w:color="auto"/>
              <w:left w:val="single" w:sz="4" w:space="0" w:color="auto"/>
              <w:bottom w:val="single" w:sz="4" w:space="0" w:color="auto"/>
              <w:right w:val="nil"/>
            </w:tcBorders>
            <w:shd w:val="clear" w:color="000000" w:fill="D9D9D9"/>
            <w:vAlign w:val="center"/>
            <w:hideMark/>
          </w:tcPr>
          <w:p w14:paraId="1ABE1A5F"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single" w:sz="4" w:space="0" w:color="auto"/>
              <w:left w:val="single" w:sz="4" w:space="0" w:color="auto"/>
              <w:bottom w:val="single" w:sz="4" w:space="0" w:color="auto"/>
              <w:right w:val="nil"/>
            </w:tcBorders>
            <w:shd w:val="clear" w:color="000000" w:fill="D9D9D9"/>
            <w:vAlign w:val="center"/>
            <w:hideMark/>
          </w:tcPr>
          <w:p w14:paraId="0A0661B1"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709" w:type="dxa"/>
            <w:tcBorders>
              <w:top w:val="single" w:sz="4" w:space="0" w:color="auto"/>
              <w:left w:val="single" w:sz="4" w:space="0" w:color="auto"/>
              <w:bottom w:val="single" w:sz="4" w:space="0" w:color="auto"/>
              <w:right w:val="nil"/>
            </w:tcBorders>
            <w:shd w:val="clear" w:color="000000" w:fill="D9D9D9"/>
            <w:vAlign w:val="center"/>
            <w:hideMark/>
          </w:tcPr>
          <w:p w14:paraId="31DE791A"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c>
          <w:tcPr>
            <w:tcW w:w="6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ED89DF5" w14:textId="77777777" w:rsidR="003F035B" w:rsidRPr="00916A6C" w:rsidRDefault="003F035B" w:rsidP="000A4B75">
            <w:pPr>
              <w:spacing w:after="0" w:line="240" w:lineRule="auto"/>
              <w:jc w:val="right"/>
              <w:rPr>
                <w:rFonts w:ascii="Garamond" w:hAnsi="Garamond" w:cs="Calibri"/>
                <w:b/>
                <w:color w:val="000000"/>
                <w:sz w:val="24"/>
                <w:szCs w:val="24"/>
              </w:rPr>
            </w:pPr>
            <w:r w:rsidRPr="00916A6C">
              <w:rPr>
                <w:rFonts w:ascii="Garamond" w:hAnsi="Garamond" w:cs="Calibri"/>
                <w:b/>
                <w:color w:val="000000"/>
                <w:sz w:val="24"/>
                <w:szCs w:val="24"/>
              </w:rPr>
              <w:t>-</w:t>
            </w:r>
          </w:p>
        </w:tc>
      </w:tr>
    </w:tbl>
    <w:p w14:paraId="3BC95074" w14:textId="77777777" w:rsidR="00BF6E08" w:rsidRPr="005C5CBD" w:rsidRDefault="00BF6E08" w:rsidP="000A4B75">
      <w:pPr>
        <w:spacing w:after="0" w:line="240" w:lineRule="auto"/>
        <w:jc w:val="center"/>
        <w:rPr>
          <w:rFonts w:ascii="Garamond" w:hAnsi="Garamond" w:cs="Calibri"/>
          <w:color w:val="000000"/>
          <w:sz w:val="16"/>
          <w:szCs w:val="16"/>
        </w:rPr>
        <w:sectPr w:rsidR="00BF6E08" w:rsidRPr="005C5CBD" w:rsidSect="00E15FBB">
          <w:pgSz w:w="12240" w:h="15840"/>
          <w:pgMar w:top="1418" w:right="1580" w:bottom="280" w:left="1418" w:header="720" w:footer="968" w:gutter="0"/>
          <w:cols w:space="720"/>
          <w:docGrid w:linePitch="299"/>
        </w:sectPr>
      </w:pPr>
    </w:p>
    <w:tbl>
      <w:tblPr>
        <w:tblW w:w="9660" w:type="dxa"/>
        <w:jc w:val="center"/>
        <w:tblLayout w:type="fixed"/>
        <w:tblCellMar>
          <w:top w:w="57" w:type="dxa"/>
          <w:left w:w="70" w:type="dxa"/>
          <w:bottom w:w="57" w:type="dxa"/>
          <w:right w:w="70" w:type="dxa"/>
        </w:tblCellMar>
        <w:tblLook w:val="04A0" w:firstRow="1" w:lastRow="0" w:firstColumn="1" w:lastColumn="0" w:noHBand="0" w:noVBand="1"/>
      </w:tblPr>
      <w:tblGrid>
        <w:gridCol w:w="421"/>
        <w:gridCol w:w="997"/>
        <w:gridCol w:w="850"/>
        <w:gridCol w:w="851"/>
        <w:gridCol w:w="992"/>
        <w:gridCol w:w="1276"/>
        <w:gridCol w:w="709"/>
        <w:gridCol w:w="992"/>
        <w:gridCol w:w="1276"/>
        <w:gridCol w:w="709"/>
        <w:gridCol w:w="20"/>
        <w:gridCol w:w="547"/>
        <w:gridCol w:w="20"/>
      </w:tblGrid>
      <w:tr w:rsidR="003F035B" w:rsidRPr="00395593" w14:paraId="569A3362" w14:textId="77777777" w:rsidTr="001419E1">
        <w:trPr>
          <w:jc w:val="center"/>
        </w:trPr>
        <w:tc>
          <w:tcPr>
            <w:tcW w:w="9660" w:type="dxa"/>
            <w:gridSpan w:val="13"/>
            <w:tcBorders>
              <w:top w:val="nil"/>
              <w:left w:val="nil"/>
              <w:right w:val="nil"/>
            </w:tcBorders>
            <w:shd w:val="clear" w:color="auto" w:fill="auto"/>
            <w:noWrap/>
            <w:vAlign w:val="center"/>
            <w:hideMark/>
          </w:tcPr>
          <w:p w14:paraId="7BF49677" w14:textId="5101593D" w:rsidR="003F035B" w:rsidRPr="00A07F88" w:rsidRDefault="003F035B" w:rsidP="000A4B75">
            <w:pPr>
              <w:spacing w:after="0" w:line="240" w:lineRule="auto"/>
              <w:jc w:val="center"/>
              <w:rPr>
                <w:rFonts w:ascii="Garamond" w:hAnsi="Garamond" w:cs="Calibri"/>
                <w:b/>
                <w:color w:val="000000"/>
                <w:sz w:val="24"/>
                <w:szCs w:val="24"/>
              </w:rPr>
            </w:pPr>
            <w:r w:rsidRPr="005C5CBD">
              <w:rPr>
                <w:rFonts w:ascii="Garamond" w:hAnsi="Garamond" w:cs="Calibri"/>
                <w:color w:val="000000"/>
                <w:sz w:val="16"/>
                <w:szCs w:val="16"/>
              </w:rPr>
              <w:br w:type="page"/>
            </w:r>
            <w:r w:rsidRPr="005C5CBD">
              <w:rPr>
                <w:rFonts w:ascii="Garamond" w:hAnsi="Garamond" w:cs="Calibri"/>
                <w:color w:val="000000"/>
                <w:sz w:val="16"/>
                <w:szCs w:val="16"/>
              </w:rPr>
              <w:br w:type="page"/>
            </w:r>
            <w:r w:rsidRPr="00A07F88">
              <w:rPr>
                <w:rFonts w:ascii="Garamond" w:hAnsi="Garamond" w:cs="Calibri"/>
                <w:b/>
                <w:color w:val="000000"/>
                <w:sz w:val="24"/>
                <w:szCs w:val="24"/>
              </w:rPr>
              <w:t>APÊNDICE XIV</w:t>
            </w:r>
          </w:p>
          <w:p w14:paraId="713D4558" w14:textId="77777777" w:rsidR="003F035B" w:rsidRPr="005C5CBD" w:rsidRDefault="003F035B" w:rsidP="000A4B75">
            <w:pPr>
              <w:spacing w:after="0" w:line="240" w:lineRule="auto"/>
              <w:jc w:val="center"/>
              <w:rPr>
                <w:rFonts w:ascii="Garamond" w:hAnsi="Garamond" w:cs="Calibri"/>
                <w:b/>
                <w:color w:val="000000"/>
                <w:sz w:val="16"/>
                <w:szCs w:val="16"/>
              </w:rPr>
            </w:pPr>
            <w:r w:rsidRPr="00A07F88">
              <w:rPr>
                <w:rFonts w:ascii="Garamond" w:hAnsi="Garamond" w:cs="Calibri"/>
                <w:b/>
                <w:color w:val="000000"/>
                <w:sz w:val="24"/>
                <w:szCs w:val="24"/>
              </w:rPr>
              <w:t>EMPREGO</w:t>
            </w:r>
          </w:p>
        </w:tc>
      </w:tr>
      <w:tr w:rsidR="003F035B" w:rsidRPr="001419E1" w14:paraId="49184F00" w14:textId="77777777" w:rsidTr="001419E1">
        <w:trPr>
          <w:jc w:val="center"/>
        </w:trPr>
        <w:tc>
          <w:tcPr>
            <w:tcW w:w="1418" w:type="dxa"/>
            <w:gridSpan w:val="2"/>
            <w:vMerge w:val="restart"/>
            <w:tcBorders>
              <w:bottom w:val="single" w:sz="4" w:space="0" w:color="auto"/>
              <w:right w:val="nil"/>
            </w:tcBorders>
            <w:shd w:val="clear" w:color="auto" w:fill="auto"/>
            <w:noWrap/>
            <w:vAlign w:val="center"/>
            <w:hideMark/>
          </w:tcPr>
          <w:p w14:paraId="60CBA630" w14:textId="77777777" w:rsidR="003F035B" w:rsidRPr="001419E1" w:rsidRDefault="003F035B" w:rsidP="000A4B75">
            <w:pPr>
              <w:spacing w:after="0" w:line="240" w:lineRule="auto"/>
              <w:jc w:val="center"/>
              <w:rPr>
                <w:rFonts w:ascii="Garamond" w:hAnsi="Garamond" w:cs="Calibri"/>
                <w:color w:val="000000"/>
                <w:sz w:val="18"/>
                <w:szCs w:val="18"/>
              </w:rPr>
            </w:pPr>
          </w:p>
        </w:tc>
        <w:tc>
          <w:tcPr>
            <w:tcW w:w="467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37BBD"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Produto</w:t>
            </w:r>
          </w:p>
        </w:tc>
        <w:tc>
          <w:tcPr>
            <w:tcW w:w="2997" w:type="dxa"/>
            <w:gridSpan w:val="4"/>
            <w:tcBorders>
              <w:top w:val="single" w:sz="4" w:space="0" w:color="auto"/>
              <w:left w:val="nil"/>
              <w:bottom w:val="single" w:sz="4" w:space="0" w:color="auto"/>
              <w:right w:val="single" w:sz="4" w:space="0" w:color="auto"/>
            </w:tcBorders>
            <w:shd w:val="clear" w:color="auto" w:fill="auto"/>
            <w:noWrap/>
            <w:vAlign w:val="center"/>
            <w:hideMark/>
          </w:tcPr>
          <w:p w14:paraId="239F0EFA"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Demais Linhas</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E567A"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Total</w:t>
            </w:r>
          </w:p>
        </w:tc>
      </w:tr>
      <w:tr w:rsidR="003F035B" w:rsidRPr="001419E1" w14:paraId="70EF3D62" w14:textId="77777777" w:rsidTr="001419E1">
        <w:trPr>
          <w:jc w:val="center"/>
        </w:trPr>
        <w:tc>
          <w:tcPr>
            <w:tcW w:w="1418" w:type="dxa"/>
            <w:gridSpan w:val="2"/>
            <w:vMerge/>
            <w:tcBorders>
              <w:top w:val="single" w:sz="4" w:space="0" w:color="auto"/>
              <w:bottom w:val="single" w:sz="4" w:space="0" w:color="auto"/>
              <w:right w:val="nil"/>
            </w:tcBorders>
            <w:shd w:val="clear" w:color="auto" w:fill="auto"/>
            <w:noWrap/>
            <w:vAlign w:val="center"/>
            <w:hideMark/>
          </w:tcPr>
          <w:p w14:paraId="449B942F" w14:textId="77777777" w:rsidR="003F035B" w:rsidRPr="001419E1" w:rsidRDefault="003F035B" w:rsidP="000A4B75">
            <w:pPr>
              <w:spacing w:after="0" w:line="240" w:lineRule="auto"/>
              <w:jc w:val="center"/>
              <w:rPr>
                <w:rFonts w:ascii="Garamond" w:hAnsi="Garamond" w:cs="Calibri"/>
                <w:color w:val="000000"/>
                <w:sz w:val="18"/>
                <w:szCs w:val="18"/>
              </w:rPr>
            </w:pPr>
          </w:p>
        </w:tc>
        <w:tc>
          <w:tcPr>
            <w:tcW w:w="467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0991B"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Número de empregados contratados</w:t>
            </w:r>
          </w:p>
        </w:tc>
        <w:tc>
          <w:tcPr>
            <w:tcW w:w="2997" w:type="dxa"/>
            <w:gridSpan w:val="4"/>
            <w:tcBorders>
              <w:top w:val="single" w:sz="4" w:space="0" w:color="auto"/>
              <w:left w:val="nil"/>
              <w:bottom w:val="single" w:sz="4" w:space="0" w:color="auto"/>
              <w:right w:val="single" w:sz="4" w:space="0" w:color="auto"/>
            </w:tcBorders>
            <w:shd w:val="clear" w:color="auto" w:fill="auto"/>
            <w:noWrap/>
            <w:vAlign w:val="center"/>
            <w:hideMark/>
          </w:tcPr>
          <w:p w14:paraId="094E65F9"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Número de empregados contratados</w:t>
            </w: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1FAAA7AC" w14:textId="77777777" w:rsidR="003F035B" w:rsidRPr="001419E1" w:rsidRDefault="003F035B" w:rsidP="000A4B75">
            <w:pPr>
              <w:spacing w:after="0" w:line="240" w:lineRule="auto"/>
              <w:jc w:val="center"/>
              <w:rPr>
                <w:rFonts w:ascii="Garamond" w:hAnsi="Garamond" w:cs="Calibri"/>
                <w:b/>
                <w:color w:val="000000"/>
                <w:sz w:val="18"/>
                <w:szCs w:val="18"/>
              </w:rPr>
            </w:pPr>
          </w:p>
        </w:tc>
      </w:tr>
      <w:tr w:rsidR="003F035B" w:rsidRPr="001419E1" w14:paraId="0FD39385" w14:textId="77777777" w:rsidTr="001419E1">
        <w:trPr>
          <w:gridAfter w:val="1"/>
          <w:wAfter w:w="20" w:type="dxa"/>
          <w:jc w:val="center"/>
        </w:trPr>
        <w:tc>
          <w:tcPr>
            <w:tcW w:w="1418" w:type="dxa"/>
            <w:gridSpan w:val="2"/>
            <w:vMerge/>
            <w:tcBorders>
              <w:top w:val="single" w:sz="4" w:space="0" w:color="auto"/>
              <w:bottom w:val="single" w:sz="4" w:space="0" w:color="auto"/>
              <w:right w:val="nil"/>
            </w:tcBorders>
            <w:shd w:val="clear" w:color="auto" w:fill="auto"/>
            <w:noWrap/>
            <w:vAlign w:val="center"/>
            <w:hideMark/>
          </w:tcPr>
          <w:p w14:paraId="2512D8E1" w14:textId="77777777" w:rsidR="003F035B" w:rsidRPr="001419E1" w:rsidRDefault="003F035B" w:rsidP="000A4B75">
            <w:pPr>
              <w:spacing w:after="0" w:line="240" w:lineRule="auto"/>
              <w:jc w:val="center"/>
              <w:rPr>
                <w:rFonts w:ascii="Garamond" w:hAnsi="Garamond" w:cs="Calibri"/>
                <w:color w:val="000000"/>
                <w:sz w:val="18"/>
                <w:szCs w:val="18"/>
              </w:rPr>
            </w:pPr>
          </w:p>
        </w:tc>
        <w:tc>
          <w:tcPr>
            <w:tcW w:w="269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F170860"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Produção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11A94683"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Administração</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602B7D4"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Vendas</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153083F"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Produção</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7970369E"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Administração</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0EC5484"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Vendas</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5733560" w14:textId="77777777" w:rsidR="003F035B" w:rsidRPr="001419E1" w:rsidRDefault="003F035B" w:rsidP="000A4B75">
            <w:pPr>
              <w:spacing w:after="0" w:line="240" w:lineRule="auto"/>
              <w:jc w:val="center"/>
              <w:rPr>
                <w:rFonts w:ascii="Garamond" w:hAnsi="Garamond" w:cs="Calibri"/>
                <w:b/>
                <w:color w:val="000000"/>
                <w:sz w:val="18"/>
                <w:szCs w:val="18"/>
              </w:rPr>
            </w:pPr>
          </w:p>
        </w:tc>
      </w:tr>
      <w:tr w:rsidR="003F035B" w:rsidRPr="001419E1" w14:paraId="4944CC64" w14:textId="77777777" w:rsidTr="001419E1">
        <w:trPr>
          <w:gridAfter w:val="1"/>
          <w:wAfter w:w="20" w:type="dxa"/>
          <w:jc w:val="center"/>
        </w:trPr>
        <w:tc>
          <w:tcPr>
            <w:tcW w:w="421" w:type="dxa"/>
            <w:tcBorders>
              <w:top w:val="single" w:sz="4" w:space="0" w:color="auto"/>
              <w:left w:val="single" w:sz="4" w:space="0" w:color="auto"/>
              <w:bottom w:val="single" w:sz="4" w:space="0" w:color="auto"/>
              <w:right w:val="nil"/>
            </w:tcBorders>
            <w:shd w:val="clear" w:color="auto" w:fill="auto"/>
            <w:noWrap/>
            <w:vAlign w:val="center"/>
            <w:hideMark/>
          </w:tcPr>
          <w:p w14:paraId="42CF2185" w14:textId="77777777" w:rsidR="003F035B" w:rsidRPr="001419E1" w:rsidRDefault="003F035B" w:rsidP="000A4B75">
            <w:pPr>
              <w:spacing w:after="0" w:line="240" w:lineRule="auto"/>
              <w:jc w:val="center"/>
              <w:rPr>
                <w:rFonts w:ascii="Garamond" w:hAnsi="Garamond" w:cs="Calibri"/>
                <w:color w:val="000000"/>
                <w:sz w:val="18"/>
                <w:szCs w:val="18"/>
              </w:rPr>
            </w:pPr>
          </w:p>
        </w:tc>
        <w:tc>
          <w:tcPr>
            <w:tcW w:w="997" w:type="dxa"/>
            <w:tcBorders>
              <w:top w:val="single" w:sz="4" w:space="0" w:color="auto"/>
              <w:left w:val="single" w:sz="4" w:space="0" w:color="auto"/>
              <w:bottom w:val="single" w:sz="4" w:space="0" w:color="auto"/>
              <w:right w:val="nil"/>
            </w:tcBorders>
            <w:shd w:val="clear" w:color="auto" w:fill="auto"/>
            <w:vAlign w:val="center"/>
            <w:hideMark/>
          </w:tcPr>
          <w:p w14:paraId="1F45BABE"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Empresa</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119D32E"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Direta</w:t>
            </w:r>
          </w:p>
        </w:tc>
        <w:tc>
          <w:tcPr>
            <w:tcW w:w="851" w:type="dxa"/>
            <w:tcBorders>
              <w:top w:val="nil"/>
              <w:left w:val="nil"/>
              <w:bottom w:val="single" w:sz="4" w:space="0" w:color="auto"/>
              <w:right w:val="single" w:sz="4" w:space="0" w:color="auto"/>
            </w:tcBorders>
            <w:shd w:val="clear" w:color="auto" w:fill="auto"/>
            <w:vAlign w:val="center"/>
            <w:hideMark/>
          </w:tcPr>
          <w:p w14:paraId="66C7627A"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Indireta</w:t>
            </w:r>
          </w:p>
        </w:tc>
        <w:tc>
          <w:tcPr>
            <w:tcW w:w="992" w:type="dxa"/>
            <w:tcBorders>
              <w:top w:val="nil"/>
              <w:left w:val="nil"/>
              <w:bottom w:val="single" w:sz="4" w:space="0" w:color="auto"/>
              <w:right w:val="single" w:sz="4" w:space="0" w:color="auto"/>
            </w:tcBorders>
            <w:shd w:val="clear" w:color="auto" w:fill="auto"/>
            <w:vAlign w:val="center"/>
            <w:hideMark/>
          </w:tcPr>
          <w:p w14:paraId="0A19C933"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Sub Total</w:t>
            </w:r>
          </w:p>
        </w:tc>
        <w:tc>
          <w:tcPr>
            <w:tcW w:w="1276" w:type="dxa"/>
            <w:vMerge/>
            <w:tcBorders>
              <w:top w:val="nil"/>
              <w:left w:val="single" w:sz="4" w:space="0" w:color="auto"/>
              <w:bottom w:val="single" w:sz="4" w:space="0" w:color="auto"/>
              <w:right w:val="single" w:sz="4" w:space="0" w:color="auto"/>
            </w:tcBorders>
            <w:vAlign w:val="center"/>
            <w:hideMark/>
          </w:tcPr>
          <w:p w14:paraId="1A486C11" w14:textId="77777777" w:rsidR="003F035B" w:rsidRPr="001419E1" w:rsidRDefault="003F035B" w:rsidP="000A4B75">
            <w:pPr>
              <w:spacing w:after="0" w:line="240" w:lineRule="auto"/>
              <w:jc w:val="center"/>
              <w:rPr>
                <w:rFonts w:ascii="Garamond" w:hAnsi="Garamond" w:cs="Calibri"/>
                <w:b/>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6766870A" w14:textId="77777777" w:rsidR="003F035B" w:rsidRPr="001419E1" w:rsidRDefault="003F035B" w:rsidP="000A4B75">
            <w:pPr>
              <w:spacing w:after="0" w:line="240" w:lineRule="auto"/>
              <w:jc w:val="center"/>
              <w:rPr>
                <w:rFonts w:ascii="Garamond" w:hAnsi="Garamond" w:cs="Calibri"/>
                <w:b/>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635773AE" w14:textId="77777777" w:rsidR="003F035B" w:rsidRPr="001419E1" w:rsidRDefault="003F035B" w:rsidP="000A4B75">
            <w:pPr>
              <w:spacing w:after="0" w:line="240" w:lineRule="auto"/>
              <w:jc w:val="center"/>
              <w:rPr>
                <w:rFonts w:ascii="Garamond" w:hAnsi="Garamond" w:cs="Calibri"/>
                <w:b/>
                <w:color w:val="000000"/>
                <w:sz w:val="18"/>
                <w:szCs w:val="18"/>
              </w:rPr>
            </w:pPr>
          </w:p>
        </w:tc>
        <w:tc>
          <w:tcPr>
            <w:tcW w:w="1276" w:type="dxa"/>
            <w:vMerge/>
            <w:tcBorders>
              <w:top w:val="nil"/>
              <w:left w:val="single" w:sz="4" w:space="0" w:color="auto"/>
              <w:bottom w:val="single" w:sz="4" w:space="0" w:color="auto"/>
              <w:right w:val="single" w:sz="4" w:space="0" w:color="auto"/>
            </w:tcBorders>
            <w:vAlign w:val="center"/>
            <w:hideMark/>
          </w:tcPr>
          <w:p w14:paraId="2CFDCD61" w14:textId="77777777" w:rsidR="003F035B" w:rsidRPr="001419E1" w:rsidRDefault="003F035B" w:rsidP="000A4B75">
            <w:pPr>
              <w:spacing w:after="0" w:line="240" w:lineRule="auto"/>
              <w:jc w:val="center"/>
              <w:rPr>
                <w:rFonts w:ascii="Garamond" w:hAnsi="Garamond" w:cs="Calibri"/>
                <w:b/>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1FBCBCAF" w14:textId="77777777" w:rsidR="003F035B" w:rsidRPr="001419E1" w:rsidRDefault="003F035B" w:rsidP="000A4B75">
            <w:pPr>
              <w:spacing w:after="0" w:line="240" w:lineRule="auto"/>
              <w:jc w:val="center"/>
              <w:rPr>
                <w:rFonts w:ascii="Garamond" w:hAnsi="Garamond" w:cs="Calibri"/>
                <w:b/>
                <w:color w:val="000000"/>
                <w:sz w:val="18"/>
                <w:szCs w:val="18"/>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14:paraId="269F5320" w14:textId="77777777" w:rsidR="003F035B" w:rsidRPr="001419E1" w:rsidRDefault="003F035B" w:rsidP="000A4B75">
            <w:pPr>
              <w:spacing w:after="0" w:line="240" w:lineRule="auto"/>
              <w:jc w:val="center"/>
              <w:rPr>
                <w:rFonts w:ascii="Garamond" w:hAnsi="Garamond" w:cs="Calibri"/>
                <w:b/>
                <w:color w:val="000000"/>
                <w:sz w:val="18"/>
                <w:szCs w:val="18"/>
              </w:rPr>
            </w:pPr>
          </w:p>
        </w:tc>
      </w:tr>
      <w:tr w:rsidR="003F035B" w:rsidRPr="001419E1" w14:paraId="69D1145E" w14:textId="77777777" w:rsidTr="001419E1">
        <w:trPr>
          <w:gridAfter w:val="1"/>
          <w:wAfter w:w="20" w:type="dxa"/>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F61E307"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Período</w:t>
            </w:r>
          </w:p>
        </w:tc>
        <w:tc>
          <w:tcPr>
            <w:tcW w:w="997" w:type="dxa"/>
            <w:tcBorders>
              <w:top w:val="nil"/>
              <w:left w:val="nil"/>
              <w:bottom w:val="single" w:sz="4" w:space="0" w:color="auto"/>
              <w:right w:val="single" w:sz="4" w:space="0" w:color="auto"/>
            </w:tcBorders>
            <w:shd w:val="clear" w:color="auto" w:fill="auto"/>
            <w:vAlign w:val="center"/>
            <w:hideMark/>
          </w:tcPr>
          <w:p w14:paraId="194F876B"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P1</w:t>
            </w:r>
          </w:p>
        </w:tc>
        <w:tc>
          <w:tcPr>
            <w:tcW w:w="850" w:type="dxa"/>
            <w:tcBorders>
              <w:top w:val="nil"/>
              <w:left w:val="nil"/>
              <w:bottom w:val="nil"/>
              <w:right w:val="nil"/>
            </w:tcBorders>
            <w:shd w:val="clear" w:color="auto" w:fill="auto"/>
            <w:vAlign w:val="center"/>
            <w:hideMark/>
          </w:tcPr>
          <w:p w14:paraId="1B0AE1B9"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851" w:type="dxa"/>
            <w:tcBorders>
              <w:top w:val="nil"/>
              <w:left w:val="single" w:sz="4" w:space="0" w:color="auto"/>
              <w:bottom w:val="nil"/>
              <w:right w:val="single" w:sz="4" w:space="0" w:color="auto"/>
            </w:tcBorders>
            <w:shd w:val="clear" w:color="auto" w:fill="auto"/>
            <w:vAlign w:val="center"/>
            <w:hideMark/>
          </w:tcPr>
          <w:p w14:paraId="0B82457C"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992" w:type="dxa"/>
            <w:tcBorders>
              <w:top w:val="nil"/>
              <w:left w:val="nil"/>
              <w:bottom w:val="nil"/>
              <w:right w:val="single" w:sz="4" w:space="0" w:color="auto"/>
            </w:tcBorders>
            <w:shd w:val="clear" w:color="000000" w:fill="D9D9D9"/>
            <w:vAlign w:val="center"/>
            <w:hideMark/>
          </w:tcPr>
          <w:p w14:paraId="1FB06045" w14:textId="77777777" w:rsidR="003F035B" w:rsidRPr="001419E1" w:rsidRDefault="003F035B" w:rsidP="000A4B75">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c>
          <w:tcPr>
            <w:tcW w:w="1276" w:type="dxa"/>
            <w:tcBorders>
              <w:top w:val="nil"/>
              <w:left w:val="nil"/>
              <w:bottom w:val="nil"/>
              <w:right w:val="single" w:sz="4" w:space="0" w:color="auto"/>
            </w:tcBorders>
            <w:shd w:val="clear" w:color="auto" w:fill="auto"/>
            <w:vAlign w:val="center"/>
            <w:hideMark/>
          </w:tcPr>
          <w:p w14:paraId="4C69EFB6"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709" w:type="dxa"/>
            <w:tcBorders>
              <w:top w:val="nil"/>
              <w:left w:val="nil"/>
              <w:bottom w:val="nil"/>
              <w:right w:val="single" w:sz="4" w:space="0" w:color="auto"/>
            </w:tcBorders>
            <w:shd w:val="clear" w:color="auto" w:fill="auto"/>
            <w:vAlign w:val="center"/>
            <w:hideMark/>
          </w:tcPr>
          <w:p w14:paraId="171DFF3F"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992" w:type="dxa"/>
            <w:tcBorders>
              <w:top w:val="nil"/>
              <w:left w:val="nil"/>
              <w:bottom w:val="nil"/>
              <w:right w:val="single" w:sz="4" w:space="0" w:color="auto"/>
            </w:tcBorders>
            <w:shd w:val="clear" w:color="auto" w:fill="auto"/>
            <w:vAlign w:val="center"/>
            <w:hideMark/>
          </w:tcPr>
          <w:p w14:paraId="74D5DD77"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1276" w:type="dxa"/>
            <w:tcBorders>
              <w:top w:val="nil"/>
              <w:left w:val="nil"/>
              <w:bottom w:val="nil"/>
              <w:right w:val="single" w:sz="4" w:space="0" w:color="auto"/>
            </w:tcBorders>
            <w:shd w:val="clear" w:color="auto" w:fill="auto"/>
            <w:vAlign w:val="center"/>
            <w:hideMark/>
          </w:tcPr>
          <w:p w14:paraId="4B9E064E"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709" w:type="dxa"/>
            <w:tcBorders>
              <w:top w:val="nil"/>
              <w:left w:val="nil"/>
              <w:bottom w:val="nil"/>
              <w:right w:val="single" w:sz="4" w:space="0" w:color="auto"/>
            </w:tcBorders>
            <w:shd w:val="clear" w:color="auto" w:fill="auto"/>
            <w:vAlign w:val="center"/>
            <w:hideMark/>
          </w:tcPr>
          <w:p w14:paraId="0864C3B8"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567" w:type="dxa"/>
            <w:gridSpan w:val="2"/>
            <w:tcBorders>
              <w:top w:val="nil"/>
              <w:left w:val="nil"/>
              <w:bottom w:val="nil"/>
              <w:right w:val="single" w:sz="4" w:space="0" w:color="auto"/>
            </w:tcBorders>
            <w:shd w:val="clear" w:color="000000" w:fill="F2F2F2"/>
            <w:vAlign w:val="center"/>
            <w:hideMark/>
          </w:tcPr>
          <w:p w14:paraId="1CB5141B" w14:textId="77777777" w:rsidR="003F035B" w:rsidRPr="001419E1" w:rsidRDefault="003F035B" w:rsidP="000A4B75">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r>
      <w:tr w:rsidR="003F035B" w:rsidRPr="001419E1" w14:paraId="7030C598" w14:textId="77777777" w:rsidTr="001419E1">
        <w:trPr>
          <w:gridAfter w:val="1"/>
          <w:wAfter w:w="20" w:type="dxa"/>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15073BB5" w14:textId="77777777" w:rsidR="003F035B" w:rsidRPr="001419E1" w:rsidRDefault="003F035B" w:rsidP="000A4B75">
            <w:pPr>
              <w:spacing w:after="0" w:line="240" w:lineRule="auto"/>
              <w:rPr>
                <w:rFonts w:ascii="Garamond" w:hAnsi="Garamond" w:cs="Calibri"/>
                <w:b/>
                <w:color w:val="000000"/>
                <w:sz w:val="18"/>
                <w:szCs w:val="18"/>
              </w:rPr>
            </w:pPr>
          </w:p>
        </w:tc>
        <w:tc>
          <w:tcPr>
            <w:tcW w:w="997" w:type="dxa"/>
            <w:tcBorders>
              <w:top w:val="nil"/>
              <w:left w:val="nil"/>
              <w:bottom w:val="single" w:sz="4" w:space="0" w:color="auto"/>
              <w:right w:val="single" w:sz="4" w:space="0" w:color="auto"/>
            </w:tcBorders>
            <w:shd w:val="clear" w:color="auto" w:fill="auto"/>
            <w:vAlign w:val="center"/>
            <w:hideMark/>
          </w:tcPr>
          <w:p w14:paraId="518A5543"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P2</w:t>
            </w:r>
          </w:p>
        </w:tc>
        <w:tc>
          <w:tcPr>
            <w:tcW w:w="850" w:type="dxa"/>
            <w:tcBorders>
              <w:top w:val="nil"/>
              <w:left w:val="nil"/>
              <w:bottom w:val="nil"/>
              <w:right w:val="nil"/>
            </w:tcBorders>
            <w:shd w:val="clear" w:color="auto" w:fill="auto"/>
            <w:vAlign w:val="center"/>
            <w:hideMark/>
          </w:tcPr>
          <w:p w14:paraId="42F5C242"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851" w:type="dxa"/>
            <w:tcBorders>
              <w:top w:val="nil"/>
              <w:left w:val="single" w:sz="4" w:space="0" w:color="auto"/>
              <w:bottom w:val="nil"/>
              <w:right w:val="single" w:sz="4" w:space="0" w:color="auto"/>
            </w:tcBorders>
            <w:shd w:val="clear" w:color="auto" w:fill="auto"/>
            <w:vAlign w:val="center"/>
            <w:hideMark/>
          </w:tcPr>
          <w:p w14:paraId="692A2C6D"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992" w:type="dxa"/>
            <w:tcBorders>
              <w:top w:val="nil"/>
              <w:left w:val="nil"/>
              <w:bottom w:val="nil"/>
              <w:right w:val="single" w:sz="4" w:space="0" w:color="auto"/>
            </w:tcBorders>
            <w:shd w:val="clear" w:color="000000" w:fill="D9D9D9"/>
            <w:vAlign w:val="center"/>
            <w:hideMark/>
          </w:tcPr>
          <w:p w14:paraId="11F73242" w14:textId="77777777" w:rsidR="003F035B" w:rsidRPr="001419E1" w:rsidRDefault="003F035B" w:rsidP="000A4B75">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c>
          <w:tcPr>
            <w:tcW w:w="1276" w:type="dxa"/>
            <w:tcBorders>
              <w:top w:val="nil"/>
              <w:left w:val="nil"/>
              <w:bottom w:val="nil"/>
              <w:right w:val="single" w:sz="4" w:space="0" w:color="auto"/>
            </w:tcBorders>
            <w:shd w:val="clear" w:color="auto" w:fill="auto"/>
            <w:vAlign w:val="center"/>
            <w:hideMark/>
          </w:tcPr>
          <w:p w14:paraId="534FCD97"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709" w:type="dxa"/>
            <w:tcBorders>
              <w:top w:val="nil"/>
              <w:left w:val="nil"/>
              <w:bottom w:val="nil"/>
              <w:right w:val="single" w:sz="4" w:space="0" w:color="auto"/>
            </w:tcBorders>
            <w:shd w:val="clear" w:color="auto" w:fill="auto"/>
            <w:vAlign w:val="center"/>
            <w:hideMark/>
          </w:tcPr>
          <w:p w14:paraId="378EFBDD"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992" w:type="dxa"/>
            <w:tcBorders>
              <w:top w:val="nil"/>
              <w:left w:val="nil"/>
              <w:bottom w:val="nil"/>
              <w:right w:val="single" w:sz="4" w:space="0" w:color="auto"/>
            </w:tcBorders>
            <w:shd w:val="clear" w:color="auto" w:fill="auto"/>
            <w:vAlign w:val="center"/>
            <w:hideMark/>
          </w:tcPr>
          <w:p w14:paraId="0361173E"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1276" w:type="dxa"/>
            <w:tcBorders>
              <w:top w:val="nil"/>
              <w:left w:val="nil"/>
              <w:bottom w:val="nil"/>
              <w:right w:val="single" w:sz="4" w:space="0" w:color="auto"/>
            </w:tcBorders>
            <w:shd w:val="clear" w:color="auto" w:fill="auto"/>
            <w:vAlign w:val="center"/>
            <w:hideMark/>
          </w:tcPr>
          <w:p w14:paraId="3EC563B7"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709" w:type="dxa"/>
            <w:tcBorders>
              <w:top w:val="nil"/>
              <w:left w:val="nil"/>
              <w:bottom w:val="nil"/>
              <w:right w:val="single" w:sz="4" w:space="0" w:color="auto"/>
            </w:tcBorders>
            <w:shd w:val="clear" w:color="auto" w:fill="auto"/>
            <w:vAlign w:val="center"/>
            <w:hideMark/>
          </w:tcPr>
          <w:p w14:paraId="358F342E"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567" w:type="dxa"/>
            <w:gridSpan w:val="2"/>
            <w:tcBorders>
              <w:top w:val="nil"/>
              <w:left w:val="nil"/>
              <w:bottom w:val="nil"/>
              <w:right w:val="single" w:sz="4" w:space="0" w:color="auto"/>
            </w:tcBorders>
            <w:shd w:val="clear" w:color="000000" w:fill="F2F2F2"/>
            <w:vAlign w:val="center"/>
            <w:hideMark/>
          </w:tcPr>
          <w:p w14:paraId="51D1943D" w14:textId="77777777" w:rsidR="003F035B" w:rsidRPr="001419E1" w:rsidRDefault="003F035B" w:rsidP="000A4B75">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r>
      <w:tr w:rsidR="003F035B" w:rsidRPr="001419E1" w14:paraId="641A369C" w14:textId="77777777" w:rsidTr="001419E1">
        <w:trPr>
          <w:gridAfter w:val="1"/>
          <w:wAfter w:w="20" w:type="dxa"/>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1A194578" w14:textId="77777777" w:rsidR="003F035B" w:rsidRPr="001419E1" w:rsidRDefault="003F035B" w:rsidP="000A4B75">
            <w:pPr>
              <w:spacing w:after="0" w:line="240" w:lineRule="auto"/>
              <w:rPr>
                <w:rFonts w:ascii="Garamond" w:hAnsi="Garamond" w:cs="Calibri"/>
                <w:b/>
                <w:color w:val="000000"/>
                <w:sz w:val="18"/>
                <w:szCs w:val="18"/>
              </w:rPr>
            </w:pPr>
          </w:p>
        </w:tc>
        <w:tc>
          <w:tcPr>
            <w:tcW w:w="997" w:type="dxa"/>
            <w:tcBorders>
              <w:top w:val="nil"/>
              <w:left w:val="nil"/>
              <w:bottom w:val="single" w:sz="4" w:space="0" w:color="auto"/>
              <w:right w:val="single" w:sz="4" w:space="0" w:color="auto"/>
            </w:tcBorders>
            <w:shd w:val="clear" w:color="auto" w:fill="auto"/>
            <w:vAlign w:val="center"/>
            <w:hideMark/>
          </w:tcPr>
          <w:p w14:paraId="568AB9C6"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P3</w:t>
            </w:r>
          </w:p>
        </w:tc>
        <w:tc>
          <w:tcPr>
            <w:tcW w:w="850" w:type="dxa"/>
            <w:tcBorders>
              <w:top w:val="nil"/>
              <w:left w:val="nil"/>
              <w:bottom w:val="nil"/>
              <w:right w:val="nil"/>
            </w:tcBorders>
            <w:shd w:val="clear" w:color="auto" w:fill="auto"/>
            <w:vAlign w:val="center"/>
            <w:hideMark/>
          </w:tcPr>
          <w:p w14:paraId="2305CF14"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851" w:type="dxa"/>
            <w:tcBorders>
              <w:top w:val="nil"/>
              <w:left w:val="single" w:sz="4" w:space="0" w:color="auto"/>
              <w:bottom w:val="nil"/>
              <w:right w:val="single" w:sz="4" w:space="0" w:color="auto"/>
            </w:tcBorders>
            <w:shd w:val="clear" w:color="auto" w:fill="auto"/>
            <w:vAlign w:val="center"/>
            <w:hideMark/>
          </w:tcPr>
          <w:p w14:paraId="30E5E631"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992" w:type="dxa"/>
            <w:tcBorders>
              <w:top w:val="nil"/>
              <w:left w:val="nil"/>
              <w:bottom w:val="nil"/>
              <w:right w:val="single" w:sz="4" w:space="0" w:color="auto"/>
            </w:tcBorders>
            <w:shd w:val="clear" w:color="000000" w:fill="D9D9D9"/>
            <w:vAlign w:val="center"/>
            <w:hideMark/>
          </w:tcPr>
          <w:p w14:paraId="7EBCBAEA" w14:textId="77777777" w:rsidR="003F035B" w:rsidRPr="001419E1" w:rsidRDefault="003F035B" w:rsidP="000A4B75">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c>
          <w:tcPr>
            <w:tcW w:w="1276" w:type="dxa"/>
            <w:tcBorders>
              <w:top w:val="nil"/>
              <w:left w:val="nil"/>
              <w:bottom w:val="nil"/>
              <w:right w:val="single" w:sz="4" w:space="0" w:color="auto"/>
            </w:tcBorders>
            <w:shd w:val="clear" w:color="auto" w:fill="auto"/>
            <w:vAlign w:val="center"/>
            <w:hideMark/>
          </w:tcPr>
          <w:p w14:paraId="295BB066"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709" w:type="dxa"/>
            <w:tcBorders>
              <w:top w:val="nil"/>
              <w:left w:val="nil"/>
              <w:bottom w:val="nil"/>
              <w:right w:val="single" w:sz="4" w:space="0" w:color="auto"/>
            </w:tcBorders>
            <w:shd w:val="clear" w:color="auto" w:fill="auto"/>
            <w:vAlign w:val="center"/>
            <w:hideMark/>
          </w:tcPr>
          <w:p w14:paraId="3D8B099A"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992" w:type="dxa"/>
            <w:tcBorders>
              <w:top w:val="nil"/>
              <w:left w:val="nil"/>
              <w:bottom w:val="nil"/>
              <w:right w:val="single" w:sz="4" w:space="0" w:color="auto"/>
            </w:tcBorders>
            <w:shd w:val="clear" w:color="auto" w:fill="auto"/>
            <w:vAlign w:val="center"/>
            <w:hideMark/>
          </w:tcPr>
          <w:p w14:paraId="19FC3CE7"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1276" w:type="dxa"/>
            <w:tcBorders>
              <w:top w:val="nil"/>
              <w:left w:val="nil"/>
              <w:bottom w:val="nil"/>
              <w:right w:val="single" w:sz="4" w:space="0" w:color="auto"/>
            </w:tcBorders>
            <w:shd w:val="clear" w:color="auto" w:fill="auto"/>
            <w:vAlign w:val="center"/>
            <w:hideMark/>
          </w:tcPr>
          <w:p w14:paraId="7CB9293B"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709" w:type="dxa"/>
            <w:tcBorders>
              <w:top w:val="nil"/>
              <w:left w:val="nil"/>
              <w:bottom w:val="nil"/>
              <w:right w:val="single" w:sz="4" w:space="0" w:color="auto"/>
            </w:tcBorders>
            <w:shd w:val="clear" w:color="auto" w:fill="auto"/>
            <w:vAlign w:val="center"/>
            <w:hideMark/>
          </w:tcPr>
          <w:p w14:paraId="666FA8EE"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567" w:type="dxa"/>
            <w:gridSpan w:val="2"/>
            <w:tcBorders>
              <w:top w:val="nil"/>
              <w:left w:val="nil"/>
              <w:bottom w:val="nil"/>
              <w:right w:val="single" w:sz="4" w:space="0" w:color="auto"/>
            </w:tcBorders>
            <w:shd w:val="clear" w:color="000000" w:fill="F2F2F2"/>
            <w:vAlign w:val="center"/>
            <w:hideMark/>
          </w:tcPr>
          <w:p w14:paraId="64B08CE6" w14:textId="77777777" w:rsidR="003F035B" w:rsidRPr="001419E1" w:rsidRDefault="003F035B" w:rsidP="000A4B75">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r>
      <w:tr w:rsidR="003F035B" w:rsidRPr="001419E1" w14:paraId="3C669FA4" w14:textId="77777777" w:rsidTr="001419E1">
        <w:trPr>
          <w:gridAfter w:val="1"/>
          <w:wAfter w:w="20" w:type="dxa"/>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5CADDD74" w14:textId="77777777" w:rsidR="003F035B" w:rsidRPr="001419E1" w:rsidRDefault="003F035B" w:rsidP="000A4B75">
            <w:pPr>
              <w:spacing w:after="0" w:line="240" w:lineRule="auto"/>
              <w:rPr>
                <w:rFonts w:ascii="Garamond" w:hAnsi="Garamond" w:cs="Calibri"/>
                <w:b/>
                <w:color w:val="000000"/>
                <w:sz w:val="18"/>
                <w:szCs w:val="18"/>
              </w:rPr>
            </w:pPr>
          </w:p>
        </w:tc>
        <w:tc>
          <w:tcPr>
            <w:tcW w:w="997" w:type="dxa"/>
            <w:tcBorders>
              <w:top w:val="nil"/>
              <w:left w:val="nil"/>
              <w:bottom w:val="single" w:sz="4" w:space="0" w:color="auto"/>
              <w:right w:val="single" w:sz="4" w:space="0" w:color="auto"/>
            </w:tcBorders>
            <w:shd w:val="clear" w:color="auto" w:fill="auto"/>
            <w:vAlign w:val="center"/>
            <w:hideMark/>
          </w:tcPr>
          <w:p w14:paraId="1515A2BB"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P4</w:t>
            </w:r>
          </w:p>
        </w:tc>
        <w:tc>
          <w:tcPr>
            <w:tcW w:w="850" w:type="dxa"/>
            <w:tcBorders>
              <w:top w:val="nil"/>
              <w:left w:val="nil"/>
              <w:bottom w:val="nil"/>
              <w:right w:val="nil"/>
            </w:tcBorders>
            <w:shd w:val="clear" w:color="auto" w:fill="auto"/>
            <w:vAlign w:val="center"/>
            <w:hideMark/>
          </w:tcPr>
          <w:p w14:paraId="7A108F83"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851" w:type="dxa"/>
            <w:tcBorders>
              <w:top w:val="nil"/>
              <w:left w:val="single" w:sz="4" w:space="0" w:color="auto"/>
              <w:bottom w:val="nil"/>
              <w:right w:val="single" w:sz="4" w:space="0" w:color="auto"/>
            </w:tcBorders>
            <w:shd w:val="clear" w:color="auto" w:fill="auto"/>
            <w:vAlign w:val="center"/>
            <w:hideMark/>
          </w:tcPr>
          <w:p w14:paraId="685E7B8A"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992" w:type="dxa"/>
            <w:tcBorders>
              <w:top w:val="nil"/>
              <w:left w:val="nil"/>
              <w:bottom w:val="nil"/>
              <w:right w:val="single" w:sz="4" w:space="0" w:color="auto"/>
            </w:tcBorders>
            <w:shd w:val="clear" w:color="000000" w:fill="D9D9D9"/>
            <w:vAlign w:val="center"/>
            <w:hideMark/>
          </w:tcPr>
          <w:p w14:paraId="0BB64D27" w14:textId="77777777" w:rsidR="003F035B" w:rsidRPr="001419E1" w:rsidRDefault="003F035B" w:rsidP="000A4B75">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c>
          <w:tcPr>
            <w:tcW w:w="1276" w:type="dxa"/>
            <w:tcBorders>
              <w:top w:val="nil"/>
              <w:left w:val="nil"/>
              <w:bottom w:val="nil"/>
              <w:right w:val="single" w:sz="4" w:space="0" w:color="auto"/>
            </w:tcBorders>
            <w:shd w:val="clear" w:color="auto" w:fill="auto"/>
            <w:vAlign w:val="center"/>
            <w:hideMark/>
          </w:tcPr>
          <w:p w14:paraId="6BBA99D9"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709" w:type="dxa"/>
            <w:tcBorders>
              <w:top w:val="nil"/>
              <w:left w:val="nil"/>
              <w:bottom w:val="nil"/>
              <w:right w:val="single" w:sz="4" w:space="0" w:color="auto"/>
            </w:tcBorders>
            <w:shd w:val="clear" w:color="auto" w:fill="auto"/>
            <w:vAlign w:val="center"/>
            <w:hideMark/>
          </w:tcPr>
          <w:p w14:paraId="70ACFB03"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992" w:type="dxa"/>
            <w:tcBorders>
              <w:top w:val="nil"/>
              <w:left w:val="nil"/>
              <w:bottom w:val="nil"/>
              <w:right w:val="single" w:sz="4" w:space="0" w:color="auto"/>
            </w:tcBorders>
            <w:shd w:val="clear" w:color="auto" w:fill="auto"/>
            <w:vAlign w:val="center"/>
            <w:hideMark/>
          </w:tcPr>
          <w:p w14:paraId="3726928F"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1276" w:type="dxa"/>
            <w:tcBorders>
              <w:top w:val="nil"/>
              <w:left w:val="nil"/>
              <w:bottom w:val="nil"/>
              <w:right w:val="single" w:sz="4" w:space="0" w:color="auto"/>
            </w:tcBorders>
            <w:shd w:val="clear" w:color="auto" w:fill="auto"/>
            <w:vAlign w:val="center"/>
            <w:hideMark/>
          </w:tcPr>
          <w:p w14:paraId="5DD14426"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709" w:type="dxa"/>
            <w:tcBorders>
              <w:top w:val="nil"/>
              <w:left w:val="nil"/>
              <w:bottom w:val="nil"/>
              <w:right w:val="single" w:sz="4" w:space="0" w:color="auto"/>
            </w:tcBorders>
            <w:shd w:val="clear" w:color="auto" w:fill="auto"/>
            <w:vAlign w:val="center"/>
            <w:hideMark/>
          </w:tcPr>
          <w:p w14:paraId="40305B98"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567" w:type="dxa"/>
            <w:gridSpan w:val="2"/>
            <w:tcBorders>
              <w:top w:val="nil"/>
              <w:left w:val="nil"/>
              <w:bottom w:val="nil"/>
              <w:right w:val="single" w:sz="4" w:space="0" w:color="auto"/>
            </w:tcBorders>
            <w:shd w:val="clear" w:color="000000" w:fill="F2F2F2"/>
            <w:vAlign w:val="center"/>
            <w:hideMark/>
          </w:tcPr>
          <w:p w14:paraId="1A369E61" w14:textId="77777777" w:rsidR="003F035B" w:rsidRPr="001419E1" w:rsidRDefault="003F035B" w:rsidP="000A4B75">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r>
      <w:tr w:rsidR="003F035B" w:rsidRPr="001419E1" w14:paraId="6914D905" w14:textId="77777777" w:rsidTr="001419E1">
        <w:trPr>
          <w:gridAfter w:val="1"/>
          <w:wAfter w:w="20" w:type="dxa"/>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48073D74" w14:textId="77777777" w:rsidR="003F035B" w:rsidRPr="001419E1" w:rsidRDefault="003F035B" w:rsidP="000A4B75">
            <w:pPr>
              <w:spacing w:after="0" w:line="240" w:lineRule="auto"/>
              <w:rPr>
                <w:rFonts w:ascii="Garamond" w:hAnsi="Garamond" w:cs="Calibri"/>
                <w:b/>
                <w:color w:val="000000"/>
                <w:sz w:val="18"/>
                <w:szCs w:val="18"/>
              </w:rPr>
            </w:pPr>
          </w:p>
        </w:tc>
        <w:tc>
          <w:tcPr>
            <w:tcW w:w="997" w:type="dxa"/>
            <w:tcBorders>
              <w:top w:val="nil"/>
              <w:left w:val="nil"/>
              <w:bottom w:val="single" w:sz="4" w:space="0" w:color="auto"/>
              <w:right w:val="single" w:sz="4" w:space="0" w:color="auto"/>
            </w:tcBorders>
            <w:shd w:val="clear" w:color="auto" w:fill="auto"/>
            <w:vAlign w:val="center"/>
            <w:hideMark/>
          </w:tcPr>
          <w:p w14:paraId="58CD740A" w14:textId="77777777" w:rsidR="003F035B" w:rsidRPr="001419E1" w:rsidRDefault="003F035B" w:rsidP="000A4B75">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P5</w:t>
            </w:r>
          </w:p>
        </w:tc>
        <w:tc>
          <w:tcPr>
            <w:tcW w:w="850" w:type="dxa"/>
            <w:tcBorders>
              <w:top w:val="nil"/>
              <w:left w:val="nil"/>
              <w:bottom w:val="single" w:sz="4" w:space="0" w:color="auto"/>
              <w:right w:val="nil"/>
            </w:tcBorders>
            <w:shd w:val="clear" w:color="auto" w:fill="auto"/>
            <w:vAlign w:val="center"/>
            <w:hideMark/>
          </w:tcPr>
          <w:p w14:paraId="5CE988DC"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63448FA"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992" w:type="dxa"/>
            <w:tcBorders>
              <w:top w:val="nil"/>
              <w:left w:val="nil"/>
              <w:bottom w:val="single" w:sz="4" w:space="0" w:color="auto"/>
              <w:right w:val="single" w:sz="4" w:space="0" w:color="auto"/>
            </w:tcBorders>
            <w:shd w:val="clear" w:color="000000" w:fill="D9D9D9"/>
            <w:vAlign w:val="center"/>
            <w:hideMark/>
          </w:tcPr>
          <w:p w14:paraId="1EE04543" w14:textId="77777777" w:rsidR="003F035B" w:rsidRPr="001419E1" w:rsidRDefault="003F035B" w:rsidP="000A4B75">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14:paraId="1CCDD5C9"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14:paraId="1F8F4D93"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579FB3CD"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14:paraId="24C1B08B"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14:paraId="359E7BA5" w14:textId="77777777" w:rsidR="003F035B" w:rsidRPr="001419E1" w:rsidRDefault="003F035B" w:rsidP="000A4B75">
            <w:pPr>
              <w:spacing w:after="0" w:line="240" w:lineRule="auto"/>
              <w:jc w:val="right"/>
              <w:rPr>
                <w:rFonts w:ascii="Garamond" w:hAnsi="Garamond" w:cs="Calibri"/>
                <w:b/>
                <w:color w:val="000000"/>
                <w:sz w:val="18"/>
                <w:szCs w:val="18"/>
              </w:rPr>
            </w:pPr>
          </w:p>
        </w:tc>
        <w:tc>
          <w:tcPr>
            <w:tcW w:w="567" w:type="dxa"/>
            <w:gridSpan w:val="2"/>
            <w:tcBorders>
              <w:top w:val="nil"/>
              <w:left w:val="nil"/>
              <w:bottom w:val="single" w:sz="4" w:space="0" w:color="auto"/>
              <w:right w:val="single" w:sz="4" w:space="0" w:color="auto"/>
            </w:tcBorders>
            <w:shd w:val="clear" w:color="000000" w:fill="F2F2F2"/>
            <w:vAlign w:val="center"/>
            <w:hideMark/>
          </w:tcPr>
          <w:p w14:paraId="1BFA36CB" w14:textId="77777777" w:rsidR="003F035B" w:rsidRPr="001419E1" w:rsidRDefault="003F035B" w:rsidP="000A4B75">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r>
    </w:tbl>
    <w:p w14:paraId="5FD67566" w14:textId="77777777" w:rsidR="003F035B" w:rsidRPr="001419E1" w:rsidRDefault="003F035B" w:rsidP="00E33E26">
      <w:pPr>
        <w:rPr>
          <w:rFonts w:ascii="Garamond" w:hAnsi="Garamond" w:cs="Calibri"/>
          <w:color w:val="000000"/>
          <w:sz w:val="18"/>
          <w:szCs w:val="18"/>
        </w:rPr>
      </w:pPr>
    </w:p>
    <w:tbl>
      <w:tblPr>
        <w:tblW w:w="9923" w:type="dxa"/>
        <w:jc w:val="center"/>
        <w:tblLayout w:type="fixed"/>
        <w:tblCellMar>
          <w:top w:w="57" w:type="dxa"/>
          <w:left w:w="70" w:type="dxa"/>
          <w:bottom w:w="57" w:type="dxa"/>
          <w:right w:w="70" w:type="dxa"/>
        </w:tblCellMar>
        <w:tblLook w:val="04A0" w:firstRow="1" w:lastRow="0" w:firstColumn="1" w:lastColumn="0" w:noHBand="0" w:noVBand="1"/>
      </w:tblPr>
      <w:tblGrid>
        <w:gridCol w:w="309"/>
        <w:gridCol w:w="1303"/>
        <w:gridCol w:w="798"/>
        <w:gridCol w:w="851"/>
        <w:gridCol w:w="992"/>
        <w:gridCol w:w="1134"/>
        <w:gridCol w:w="709"/>
        <w:gridCol w:w="1134"/>
        <w:gridCol w:w="1275"/>
        <w:gridCol w:w="709"/>
        <w:gridCol w:w="709"/>
      </w:tblGrid>
      <w:tr w:rsidR="003F035B" w:rsidRPr="001419E1" w14:paraId="624757BA" w14:textId="77777777" w:rsidTr="0098716C">
        <w:trPr>
          <w:jc w:val="center"/>
        </w:trPr>
        <w:tc>
          <w:tcPr>
            <w:tcW w:w="1612" w:type="dxa"/>
            <w:gridSpan w:val="2"/>
            <w:vMerge w:val="restart"/>
            <w:tcBorders>
              <w:bottom w:val="single" w:sz="4" w:space="0" w:color="auto"/>
              <w:right w:val="nil"/>
            </w:tcBorders>
            <w:shd w:val="clear" w:color="auto" w:fill="auto"/>
            <w:noWrap/>
            <w:vAlign w:val="center"/>
            <w:hideMark/>
          </w:tcPr>
          <w:p w14:paraId="4162A910" w14:textId="77777777" w:rsidR="003F035B" w:rsidRPr="001419E1" w:rsidRDefault="003F035B" w:rsidP="0098716C">
            <w:pPr>
              <w:spacing w:after="0" w:line="240" w:lineRule="auto"/>
              <w:jc w:val="center"/>
              <w:rPr>
                <w:rFonts w:ascii="Garamond" w:hAnsi="Garamond" w:cs="Calibri"/>
                <w:color w:val="000000"/>
                <w:sz w:val="18"/>
                <w:szCs w:val="18"/>
              </w:rPr>
            </w:pPr>
          </w:p>
        </w:tc>
        <w:tc>
          <w:tcPr>
            <w:tcW w:w="448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FCB0F2"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Produto</w:t>
            </w:r>
          </w:p>
        </w:tc>
        <w:tc>
          <w:tcPr>
            <w:tcW w:w="3118" w:type="dxa"/>
            <w:gridSpan w:val="3"/>
            <w:tcBorders>
              <w:top w:val="single" w:sz="4" w:space="0" w:color="auto"/>
              <w:left w:val="nil"/>
              <w:bottom w:val="single" w:sz="4" w:space="0" w:color="auto"/>
              <w:right w:val="single" w:sz="4" w:space="0" w:color="auto"/>
            </w:tcBorders>
            <w:shd w:val="clear" w:color="auto" w:fill="auto"/>
            <w:noWrap/>
            <w:vAlign w:val="bottom"/>
            <w:hideMark/>
          </w:tcPr>
          <w:p w14:paraId="791CD721"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Demais Linhas</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275F510"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Total</w:t>
            </w:r>
          </w:p>
        </w:tc>
      </w:tr>
      <w:tr w:rsidR="003F035B" w:rsidRPr="001419E1" w14:paraId="2057F2CC" w14:textId="77777777" w:rsidTr="0098716C">
        <w:trPr>
          <w:jc w:val="center"/>
        </w:trPr>
        <w:tc>
          <w:tcPr>
            <w:tcW w:w="1612" w:type="dxa"/>
            <w:gridSpan w:val="2"/>
            <w:vMerge/>
            <w:tcBorders>
              <w:top w:val="single" w:sz="4" w:space="0" w:color="auto"/>
              <w:bottom w:val="single" w:sz="4" w:space="0" w:color="auto"/>
              <w:right w:val="nil"/>
            </w:tcBorders>
            <w:shd w:val="clear" w:color="auto" w:fill="auto"/>
            <w:noWrap/>
            <w:vAlign w:val="center"/>
            <w:hideMark/>
          </w:tcPr>
          <w:p w14:paraId="65FD7081" w14:textId="77777777" w:rsidR="003F035B" w:rsidRPr="001419E1" w:rsidRDefault="003F035B" w:rsidP="0098716C">
            <w:pPr>
              <w:spacing w:after="0" w:line="240" w:lineRule="auto"/>
              <w:jc w:val="center"/>
              <w:rPr>
                <w:rFonts w:ascii="Garamond" w:hAnsi="Garamond" w:cs="Calibri"/>
                <w:color w:val="000000"/>
                <w:sz w:val="18"/>
                <w:szCs w:val="18"/>
              </w:rPr>
            </w:pPr>
          </w:p>
        </w:tc>
        <w:tc>
          <w:tcPr>
            <w:tcW w:w="448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D20152"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Número de terceirizados contratados</w:t>
            </w:r>
          </w:p>
        </w:tc>
        <w:tc>
          <w:tcPr>
            <w:tcW w:w="3118" w:type="dxa"/>
            <w:gridSpan w:val="3"/>
            <w:tcBorders>
              <w:top w:val="single" w:sz="4" w:space="0" w:color="auto"/>
              <w:left w:val="nil"/>
              <w:bottom w:val="single" w:sz="4" w:space="0" w:color="auto"/>
              <w:right w:val="single" w:sz="4" w:space="0" w:color="auto"/>
            </w:tcBorders>
            <w:shd w:val="clear" w:color="auto" w:fill="auto"/>
            <w:noWrap/>
            <w:vAlign w:val="bottom"/>
            <w:hideMark/>
          </w:tcPr>
          <w:p w14:paraId="01897551"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Número de terceirizados contratados</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16665B1" w14:textId="77777777" w:rsidR="003F035B" w:rsidRPr="001419E1" w:rsidRDefault="003F035B" w:rsidP="0098716C">
            <w:pPr>
              <w:spacing w:after="0" w:line="240" w:lineRule="auto"/>
              <w:jc w:val="center"/>
              <w:rPr>
                <w:rFonts w:ascii="Garamond" w:hAnsi="Garamond" w:cs="Calibri"/>
                <w:b/>
                <w:color w:val="000000"/>
                <w:sz w:val="18"/>
                <w:szCs w:val="18"/>
              </w:rPr>
            </w:pPr>
          </w:p>
        </w:tc>
      </w:tr>
      <w:tr w:rsidR="003F035B" w:rsidRPr="001419E1" w14:paraId="6574ABE7" w14:textId="77777777" w:rsidTr="0098716C">
        <w:trPr>
          <w:jc w:val="center"/>
        </w:trPr>
        <w:tc>
          <w:tcPr>
            <w:tcW w:w="1612" w:type="dxa"/>
            <w:gridSpan w:val="2"/>
            <w:vMerge/>
            <w:tcBorders>
              <w:top w:val="single" w:sz="4" w:space="0" w:color="auto"/>
              <w:bottom w:val="single" w:sz="4" w:space="0" w:color="auto"/>
              <w:right w:val="nil"/>
            </w:tcBorders>
            <w:shd w:val="clear" w:color="auto" w:fill="auto"/>
            <w:noWrap/>
            <w:vAlign w:val="center"/>
            <w:hideMark/>
          </w:tcPr>
          <w:p w14:paraId="690A43A0" w14:textId="77777777" w:rsidR="003F035B" w:rsidRPr="001419E1" w:rsidRDefault="003F035B" w:rsidP="0098716C">
            <w:pPr>
              <w:spacing w:after="0" w:line="240" w:lineRule="auto"/>
              <w:jc w:val="center"/>
              <w:rPr>
                <w:rFonts w:ascii="Garamond" w:hAnsi="Garamond" w:cs="Calibri"/>
                <w:color w:val="000000"/>
                <w:sz w:val="18"/>
                <w:szCs w:val="18"/>
              </w:rPr>
            </w:pPr>
          </w:p>
        </w:tc>
        <w:tc>
          <w:tcPr>
            <w:tcW w:w="264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9D14C92"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Produção</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D734D5C"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Administração</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4B6BB7D6"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Vendas</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E78587E"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Produção</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69E7CC1D"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Administração</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C8E5590"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Vendas</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B757E21" w14:textId="77777777" w:rsidR="003F035B" w:rsidRPr="001419E1" w:rsidRDefault="003F035B" w:rsidP="0098716C">
            <w:pPr>
              <w:spacing w:after="0" w:line="240" w:lineRule="auto"/>
              <w:jc w:val="center"/>
              <w:rPr>
                <w:rFonts w:ascii="Garamond" w:hAnsi="Garamond" w:cs="Calibri"/>
                <w:b/>
                <w:color w:val="000000"/>
                <w:sz w:val="18"/>
                <w:szCs w:val="18"/>
              </w:rPr>
            </w:pPr>
          </w:p>
        </w:tc>
      </w:tr>
      <w:tr w:rsidR="003F035B" w:rsidRPr="001419E1" w14:paraId="5F57E363" w14:textId="77777777" w:rsidTr="0098716C">
        <w:trPr>
          <w:jc w:val="center"/>
        </w:trPr>
        <w:tc>
          <w:tcPr>
            <w:tcW w:w="309" w:type="dxa"/>
            <w:tcBorders>
              <w:top w:val="single" w:sz="4" w:space="0" w:color="auto"/>
              <w:left w:val="single" w:sz="4" w:space="0" w:color="auto"/>
              <w:bottom w:val="single" w:sz="4" w:space="0" w:color="auto"/>
              <w:right w:val="nil"/>
            </w:tcBorders>
            <w:shd w:val="clear" w:color="auto" w:fill="auto"/>
            <w:noWrap/>
            <w:vAlign w:val="center"/>
            <w:hideMark/>
          </w:tcPr>
          <w:p w14:paraId="47F396C2" w14:textId="77777777" w:rsidR="003F035B" w:rsidRPr="001419E1" w:rsidRDefault="003F035B" w:rsidP="0098716C">
            <w:pPr>
              <w:spacing w:after="0" w:line="240" w:lineRule="auto"/>
              <w:jc w:val="center"/>
              <w:rPr>
                <w:rFonts w:ascii="Garamond" w:hAnsi="Garamond" w:cs="Calibri"/>
                <w:color w:val="000000"/>
                <w:sz w:val="18"/>
                <w:szCs w:val="18"/>
              </w:rPr>
            </w:pPr>
          </w:p>
        </w:tc>
        <w:tc>
          <w:tcPr>
            <w:tcW w:w="1303" w:type="dxa"/>
            <w:tcBorders>
              <w:top w:val="single" w:sz="4" w:space="0" w:color="auto"/>
              <w:left w:val="single" w:sz="4" w:space="0" w:color="auto"/>
              <w:bottom w:val="single" w:sz="4" w:space="0" w:color="auto"/>
              <w:right w:val="nil"/>
            </w:tcBorders>
            <w:shd w:val="clear" w:color="auto" w:fill="auto"/>
            <w:vAlign w:val="center"/>
            <w:hideMark/>
          </w:tcPr>
          <w:p w14:paraId="66EB6225"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Empresa</w:t>
            </w:r>
          </w:p>
        </w:tc>
        <w:tc>
          <w:tcPr>
            <w:tcW w:w="798" w:type="dxa"/>
            <w:tcBorders>
              <w:top w:val="nil"/>
              <w:left w:val="single" w:sz="4" w:space="0" w:color="auto"/>
              <w:bottom w:val="single" w:sz="4" w:space="0" w:color="auto"/>
              <w:right w:val="single" w:sz="4" w:space="0" w:color="auto"/>
            </w:tcBorders>
            <w:shd w:val="clear" w:color="auto" w:fill="auto"/>
            <w:vAlign w:val="center"/>
            <w:hideMark/>
          </w:tcPr>
          <w:p w14:paraId="6F212531"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Direta</w:t>
            </w:r>
          </w:p>
        </w:tc>
        <w:tc>
          <w:tcPr>
            <w:tcW w:w="851" w:type="dxa"/>
            <w:tcBorders>
              <w:top w:val="nil"/>
              <w:left w:val="nil"/>
              <w:bottom w:val="single" w:sz="4" w:space="0" w:color="auto"/>
              <w:right w:val="single" w:sz="4" w:space="0" w:color="auto"/>
            </w:tcBorders>
            <w:shd w:val="clear" w:color="auto" w:fill="auto"/>
            <w:vAlign w:val="center"/>
            <w:hideMark/>
          </w:tcPr>
          <w:p w14:paraId="659CBD63"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Indireta</w:t>
            </w:r>
          </w:p>
        </w:tc>
        <w:tc>
          <w:tcPr>
            <w:tcW w:w="992" w:type="dxa"/>
            <w:tcBorders>
              <w:top w:val="nil"/>
              <w:left w:val="nil"/>
              <w:bottom w:val="single" w:sz="4" w:space="0" w:color="auto"/>
              <w:right w:val="single" w:sz="4" w:space="0" w:color="auto"/>
            </w:tcBorders>
            <w:shd w:val="clear" w:color="auto" w:fill="auto"/>
            <w:vAlign w:val="center"/>
            <w:hideMark/>
          </w:tcPr>
          <w:p w14:paraId="491A7115"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Sub Total</w:t>
            </w:r>
          </w:p>
        </w:tc>
        <w:tc>
          <w:tcPr>
            <w:tcW w:w="1134" w:type="dxa"/>
            <w:vMerge/>
            <w:tcBorders>
              <w:top w:val="nil"/>
              <w:left w:val="single" w:sz="4" w:space="0" w:color="auto"/>
              <w:bottom w:val="single" w:sz="4" w:space="0" w:color="000000"/>
              <w:right w:val="single" w:sz="4" w:space="0" w:color="auto"/>
            </w:tcBorders>
            <w:vAlign w:val="center"/>
            <w:hideMark/>
          </w:tcPr>
          <w:p w14:paraId="1670FE9C" w14:textId="77777777" w:rsidR="003F035B" w:rsidRPr="001419E1" w:rsidRDefault="003F035B" w:rsidP="0098716C">
            <w:pPr>
              <w:spacing w:after="0" w:line="240" w:lineRule="auto"/>
              <w:jc w:val="center"/>
              <w:rPr>
                <w:rFonts w:ascii="Garamond" w:hAnsi="Garamond" w:cs="Calibri"/>
                <w:b/>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14:paraId="07E46132" w14:textId="77777777" w:rsidR="003F035B" w:rsidRPr="001419E1" w:rsidRDefault="003F035B" w:rsidP="0098716C">
            <w:pPr>
              <w:spacing w:after="0" w:line="240" w:lineRule="auto"/>
              <w:jc w:val="center"/>
              <w:rPr>
                <w:rFonts w:ascii="Garamond" w:hAnsi="Garamond" w:cs="Calibri"/>
                <w:b/>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5F716951" w14:textId="77777777" w:rsidR="003F035B" w:rsidRPr="001419E1" w:rsidRDefault="003F035B" w:rsidP="0098716C">
            <w:pPr>
              <w:spacing w:after="0" w:line="240" w:lineRule="auto"/>
              <w:jc w:val="center"/>
              <w:rPr>
                <w:rFonts w:ascii="Garamond" w:hAnsi="Garamond" w:cs="Calibri"/>
                <w:b/>
                <w:color w:val="000000"/>
                <w:sz w:val="18"/>
                <w:szCs w:val="18"/>
              </w:rPr>
            </w:pPr>
          </w:p>
        </w:tc>
        <w:tc>
          <w:tcPr>
            <w:tcW w:w="1275" w:type="dxa"/>
            <w:vMerge/>
            <w:tcBorders>
              <w:top w:val="nil"/>
              <w:left w:val="single" w:sz="4" w:space="0" w:color="auto"/>
              <w:bottom w:val="single" w:sz="4" w:space="0" w:color="auto"/>
              <w:right w:val="single" w:sz="4" w:space="0" w:color="auto"/>
            </w:tcBorders>
            <w:vAlign w:val="center"/>
            <w:hideMark/>
          </w:tcPr>
          <w:p w14:paraId="1CE2446F" w14:textId="77777777" w:rsidR="003F035B" w:rsidRPr="001419E1" w:rsidRDefault="003F035B" w:rsidP="0098716C">
            <w:pPr>
              <w:spacing w:after="0" w:line="240" w:lineRule="auto"/>
              <w:jc w:val="center"/>
              <w:rPr>
                <w:rFonts w:ascii="Garamond" w:hAnsi="Garamond" w:cs="Calibri"/>
                <w:b/>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2F682167" w14:textId="77777777" w:rsidR="003F035B" w:rsidRPr="001419E1" w:rsidRDefault="003F035B" w:rsidP="0098716C">
            <w:pPr>
              <w:spacing w:after="0" w:line="240" w:lineRule="auto"/>
              <w:jc w:val="center"/>
              <w:rPr>
                <w:rFonts w:ascii="Garamond" w:hAnsi="Garamond" w:cs="Calibri"/>
                <w:b/>
                <w:color w:val="000000"/>
                <w:sz w:val="18"/>
                <w:szCs w:val="18"/>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8D64668" w14:textId="77777777" w:rsidR="003F035B" w:rsidRPr="001419E1" w:rsidRDefault="003F035B" w:rsidP="0098716C">
            <w:pPr>
              <w:spacing w:after="0" w:line="240" w:lineRule="auto"/>
              <w:jc w:val="center"/>
              <w:rPr>
                <w:rFonts w:ascii="Garamond" w:hAnsi="Garamond" w:cs="Calibri"/>
                <w:b/>
                <w:color w:val="000000"/>
                <w:sz w:val="18"/>
                <w:szCs w:val="18"/>
              </w:rPr>
            </w:pPr>
          </w:p>
        </w:tc>
      </w:tr>
      <w:tr w:rsidR="003F035B" w:rsidRPr="001419E1" w14:paraId="1FC128A7" w14:textId="77777777" w:rsidTr="0098716C">
        <w:trPr>
          <w:jc w:val="center"/>
        </w:trPr>
        <w:tc>
          <w:tcPr>
            <w:tcW w:w="30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49BB447A"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Período</w:t>
            </w:r>
          </w:p>
        </w:tc>
        <w:tc>
          <w:tcPr>
            <w:tcW w:w="1303" w:type="dxa"/>
            <w:tcBorders>
              <w:top w:val="nil"/>
              <w:left w:val="nil"/>
              <w:bottom w:val="single" w:sz="4" w:space="0" w:color="auto"/>
              <w:right w:val="single" w:sz="4" w:space="0" w:color="auto"/>
            </w:tcBorders>
            <w:shd w:val="clear" w:color="auto" w:fill="auto"/>
            <w:vAlign w:val="center"/>
            <w:hideMark/>
          </w:tcPr>
          <w:p w14:paraId="303ECB4C"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P1</w:t>
            </w:r>
          </w:p>
        </w:tc>
        <w:tc>
          <w:tcPr>
            <w:tcW w:w="798" w:type="dxa"/>
            <w:tcBorders>
              <w:top w:val="nil"/>
              <w:left w:val="nil"/>
              <w:right w:val="nil"/>
            </w:tcBorders>
            <w:shd w:val="clear" w:color="auto" w:fill="auto"/>
            <w:vAlign w:val="center"/>
            <w:hideMark/>
          </w:tcPr>
          <w:p w14:paraId="7409E751"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851" w:type="dxa"/>
            <w:tcBorders>
              <w:top w:val="nil"/>
              <w:left w:val="single" w:sz="4" w:space="0" w:color="auto"/>
              <w:right w:val="single" w:sz="4" w:space="0" w:color="auto"/>
            </w:tcBorders>
            <w:shd w:val="clear" w:color="auto" w:fill="auto"/>
            <w:vAlign w:val="center"/>
            <w:hideMark/>
          </w:tcPr>
          <w:p w14:paraId="3AFBFDEB"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992" w:type="dxa"/>
            <w:tcBorders>
              <w:top w:val="nil"/>
              <w:left w:val="nil"/>
              <w:right w:val="single" w:sz="4" w:space="0" w:color="auto"/>
            </w:tcBorders>
            <w:shd w:val="clear" w:color="000000" w:fill="D9D9D9"/>
            <w:vAlign w:val="center"/>
            <w:hideMark/>
          </w:tcPr>
          <w:p w14:paraId="704904FF" w14:textId="77777777" w:rsidR="003F035B" w:rsidRPr="001419E1" w:rsidRDefault="003F035B" w:rsidP="0098716C">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c>
          <w:tcPr>
            <w:tcW w:w="1134" w:type="dxa"/>
            <w:tcBorders>
              <w:top w:val="nil"/>
              <w:left w:val="nil"/>
              <w:right w:val="single" w:sz="4" w:space="0" w:color="auto"/>
            </w:tcBorders>
            <w:shd w:val="clear" w:color="auto" w:fill="auto"/>
            <w:vAlign w:val="center"/>
            <w:hideMark/>
          </w:tcPr>
          <w:p w14:paraId="3C51A8AB"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709" w:type="dxa"/>
            <w:tcBorders>
              <w:top w:val="nil"/>
              <w:left w:val="nil"/>
              <w:right w:val="single" w:sz="4" w:space="0" w:color="auto"/>
            </w:tcBorders>
            <w:shd w:val="clear" w:color="auto" w:fill="auto"/>
            <w:vAlign w:val="center"/>
            <w:hideMark/>
          </w:tcPr>
          <w:p w14:paraId="23C06FAE"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1134" w:type="dxa"/>
            <w:tcBorders>
              <w:top w:val="nil"/>
              <w:left w:val="nil"/>
              <w:right w:val="single" w:sz="4" w:space="0" w:color="auto"/>
            </w:tcBorders>
            <w:shd w:val="clear" w:color="auto" w:fill="auto"/>
            <w:vAlign w:val="center"/>
            <w:hideMark/>
          </w:tcPr>
          <w:p w14:paraId="28892B99"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1275" w:type="dxa"/>
            <w:tcBorders>
              <w:top w:val="nil"/>
              <w:left w:val="nil"/>
              <w:right w:val="single" w:sz="4" w:space="0" w:color="auto"/>
            </w:tcBorders>
            <w:shd w:val="clear" w:color="auto" w:fill="auto"/>
            <w:vAlign w:val="center"/>
            <w:hideMark/>
          </w:tcPr>
          <w:p w14:paraId="315A47B4"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709" w:type="dxa"/>
            <w:tcBorders>
              <w:top w:val="nil"/>
              <w:left w:val="nil"/>
              <w:right w:val="single" w:sz="4" w:space="0" w:color="auto"/>
            </w:tcBorders>
            <w:shd w:val="clear" w:color="auto" w:fill="auto"/>
            <w:vAlign w:val="center"/>
            <w:hideMark/>
          </w:tcPr>
          <w:p w14:paraId="6F7D83ED"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709" w:type="dxa"/>
            <w:tcBorders>
              <w:top w:val="nil"/>
              <w:left w:val="nil"/>
              <w:right w:val="single" w:sz="4" w:space="0" w:color="auto"/>
            </w:tcBorders>
            <w:shd w:val="clear" w:color="000000" w:fill="F2F2F2"/>
            <w:vAlign w:val="center"/>
            <w:hideMark/>
          </w:tcPr>
          <w:p w14:paraId="3D3B1C80" w14:textId="77777777" w:rsidR="003F035B" w:rsidRPr="001419E1" w:rsidRDefault="003F035B" w:rsidP="0098716C">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r>
      <w:tr w:rsidR="003F035B" w:rsidRPr="001419E1" w14:paraId="67AA01EE" w14:textId="77777777" w:rsidTr="0098716C">
        <w:trPr>
          <w:jc w:val="center"/>
        </w:trPr>
        <w:tc>
          <w:tcPr>
            <w:tcW w:w="309" w:type="dxa"/>
            <w:vMerge/>
            <w:tcBorders>
              <w:top w:val="single" w:sz="4" w:space="0" w:color="auto"/>
              <w:left w:val="single" w:sz="4" w:space="0" w:color="auto"/>
              <w:bottom w:val="single" w:sz="4" w:space="0" w:color="000000"/>
              <w:right w:val="single" w:sz="4" w:space="0" w:color="auto"/>
            </w:tcBorders>
            <w:vAlign w:val="center"/>
            <w:hideMark/>
          </w:tcPr>
          <w:p w14:paraId="50415374" w14:textId="77777777" w:rsidR="003F035B" w:rsidRPr="001419E1" w:rsidRDefault="003F035B" w:rsidP="0098716C">
            <w:pPr>
              <w:spacing w:after="0" w:line="240" w:lineRule="auto"/>
              <w:rPr>
                <w:rFonts w:ascii="Garamond" w:hAnsi="Garamond" w:cs="Calibri"/>
                <w:b/>
                <w:color w:val="000000"/>
                <w:sz w:val="18"/>
                <w:szCs w:val="18"/>
              </w:rPr>
            </w:pP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752B593C"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P2</w:t>
            </w:r>
          </w:p>
        </w:tc>
        <w:tc>
          <w:tcPr>
            <w:tcW w:w="798" w:type="dxa"/>
            <w:tcBorders>
              <w:top w:val="nil"/>
              <w:left w:val="nil"/>
              <w:bottom w:val="single" w:sz="4" w:space="0" w:color="auto"/>
              <w:right w:val="nil"/>
            </w:tcBorders>
            <w:shd w:val="clear" w:color="auto" w:fill="auto"/>
            <w:vAlign w:val="center"/>
            <w:hideMark/>
          </w:tcPr>
          <w:p w14:paraId="1B0B59AC"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D7BCD2A"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992" w:type="dxa"/>
            <w:tcBorders>
              <w:top w:val="nil"/>
              <w:left w:val="nil"/>
              <w:bottom w:val="single" w:sz="4" w:space="0" w:color="auto"/>
              <w:right w:val="single" w:sz="4" w:space="0" w:color="auto"/>
            </w:tcBorders>
            <w:shd w:val="clear" w:color="000000" w:fill="D9D9D9"/>
            <w:vAlign w:val="center"/>
            <w:hideMark/>
          </w:tcPr>
          <w:p w14:paraId="317A8825" w14:textId="77777777" w:rsidR="003F035B" w:rsidRPr="001419E1" w:rsidRDefault="003F035B" w:rsidP="0098716C">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c>
          <w:tcPr>
            <w:tcW w:w="1134" w:type="dxa"/>
            <w:tcBorders>
              <w:top w:val="nil"/>
              <w:left w:val="nil"/>
              <w:bottom w:val="single" w:sz="4" w:space="0" w:color="auto"/>
              <w:right w:val="single" w:sz="4" w:space="0" w:color="auto"/>
            </w:tcBorders>
            <w:shd w:val="clear" w:color="auto" w:fill="auto"/>
            <w:vAlign w:val="center"/>
            <w:hideMark/>
          </w:tcPr>
          <w:p w14:paraId="44C5BCA5"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14:paraId="70E2F189"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4D590EAD"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6C94F111"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14:paraId="28F0FA6F"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709" w:type="dxa"/>
            <w:tcBorders>
              <w:top w:val="nil"/>
              <w:left w:val="nil"/>
              <w:bottom w:val="single" w:sz="4" w:space="0" w:color="auto"/>
              <w:right w:val="single" w:sz="4" w:space="0" w:color="auto"/>
            </w:tcBorders>
            <w:shd w:val="clear" w:color="000000" w:fill="F2F2F2"/>
            <w:vAlign w:val="center"/>
            <w:hideMark/>
          </w:tcPr>
          <w:p w14:paraId="3FC44579" w14:textId="77777777" w:rsidR="003F035B" w:rsidRPr="001419E1" w:rsidRDefault="003F035B" w:rsidP="0098716C">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r>
      <w:tr w:rsidR="003F035B" w:rsidRPr="001419E1" w14:paraId="6462F865" w14:textId="77777777" w:rsidTr="0098716C">
        <w:trPr>
          <w:jc w:val="center"/>
        </w:trPr>
        <w:tc>
          <w:tcPr>
            <w:tcW w:w="309" w:type="dxa"/>
            <w:vMerge/>
            <w:tcBorders>
              <w:top w:val="single" w:sz="4" w:space="0" w:color="auto"/>
              <w:left w:val="single" w:sz="4" w:space="0" w:color="auto"/>
              <w:bottom w:val="single" w:sz="4" w:space="0" w:color="000000"/>
              <w:right w:val="single" w:sz="4" w:space="0" w:color="auto"/>
            </w:tcBorders>
            <w:vAlign w:val="center"/>
            <w:hideMark/>
          </w:tcPr>
          <w:p w14:paraId="0018F28A" w14:textId="77777777" w:rsidR="003F035B" w:rsidRPr="001419E1" w:rsidRDefault="003F035B" w:rsidP="0098716C">
            <w:pPr>
              <w:spacing w:after="0" w:line="240" w:lineRule="auto"/>
              <w:rPr>
                <w:rFonts w:ascii="Garamond" w:hAnsi="Garamond" w:cs="Calibri"/>
                <w:b/>
                <w:color w:val="000000"/>
                <w:sz w:val="18"/>
                <w:szCs w:val="18"/>
              </w:rPr>
            </w:pP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581D3AE6"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P3</w:t>
            </w:r>
          </w:p>
        </w:tc>
        <w:tc>
          <w:tcPr>
            <w:tcW w:w="798" w:type="dxa"/>
            <w:tcBorders>
              <w:top w:val="single" w:sz="4" w:space="0" w:color="auto"/>
              <w:left w:val="nil"/>
              <w:bottom w:val="nil"/>
              <w:right w:val="nil"/>
            </w:tcBorders>
            <w:shd w:val="clear" w:color="auto" w:fill="auto"/>
            <w:vAlign w:val="center"/>
            <w:hideMark/>
          </w:tcPr>
          <w:p w14:paraId="74696E2F"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851" w:type="dxa"/>
            <w:tcBorders>
              <w:top w:val="single" w:sz="4" w:space="0" w:color="auto"/>
              <w:left w:val="single" w:sz="4" w:space="0" w:color="auto"/>
              <w:bottom w:val="nil"/>
              <w:right w:val="single" w:sz="4" w:space="0" w:color="auto"/>
            </w:tcBorders>
            <w:shd w:val="clear" w:color="auto" w:fill="auto"/>
            <w:vAlign w:val="center"/>
            <w:hideMark/>
          </w:tcPr>
          <w:p w14:paraId="0BB4E661"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992" w:type="dxa"/>
            <w:tcBorders>
              <w:top w:val="single" w:sz="4" w:space="0" w:color="auto"/>
              <w:left w:val="nil"/>
              <w:bottom w:val="nil"/>
              <w:right w:val="single" w:sz="4" w:space="0" w:color="auto"/>
            </w:tcBorders>
            <w:shd w:val="clear" w:color="000000" w:fill="D9D9D9"/>
            <w:vAlign w:val="center"/>
            <w:hideMark/>
          </w:tcPr>
          <w:p w14:paraId="35F6E0E5" w14:textId="77777777" w:rsidR="003F035B" w:rsidRPr="001419E1" w:rsidRDefault="003F035B" w:rsidP="0098716C">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c>
          <w:tcPr>
            <w:tcW w:w="1134" w:type="dxa"/>
            <w:tcBorders>
              <w:top w:val="single" w:sz="4" w:space="0" w:color="auto"/>
              <w:left w:val="nil"/>
              <w:bottom w:val="nil"/>
              <w:right w:val="single" w:sz="4" w:space="0" w:color="auto"/>
            </w:tcBorders>
            <w:shd w:val="clear" w:color="auto" w:fill="auto"/>
            <w:vAlign w:val="center"/>
            <w:hideMark/>
          </w:tcPr>
          <w:p w14:paraId="5B1E79DF"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709" w:type="dxa"/>
            <w:tcBorders>
              <w:top w:val="single" w:sz="4" w:space="0" w:color="auto"/>
              <w:left w:val="nil"/>
              <w:bottom w:val="nil"/>
              <w:right w:val="single" w:sz="4" w:space="0" w:color="auto"/>
            </w:tcBorders>
            <w:shd w:val="clear" w:color="auto" w:fill="auto"/>
            <w:vAlign w:val="center"/>
            <w:hideMark/>
          </w:tcPr>
          <w:p w14:paraId="3B364132"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1134" w:type="dxa"/>
            <w:tcBorders>
              <w:top w:val="single" w:sz="4" w:space="0" w:color="auto"/>
              <w:left w:val="nil"/>
              <w:bottom w:val="nil"/>
              <w:right w:val="single" w:sz="4" w:space="0" w:color="auto"/>
            </w:tcBorders>
            <w:shd w:val="clear" w:color="auto" w:fill="auto"/>
            <w:vAlign w:val="center"/>
            <w:hideMark/>
          </w:tcPr>
          <w:p w14:paraId="2B6FE532"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1275" w:type="dxa"/>
            <w:tcBorders>
              <w:top w:val="single" w:sz="4" w:space="0" w:color="auto"/>
              <w:left w:val="nil"/>
              <w:bottom w:val="nil"/>
              <w:right w:val="single" w:sz="4" w:space="0" w:color="auto"/>
            </w:tcBorders>
            <w:shd w:val="clear" w:color="auto" w:fill="auto"/>
            <w:vAlign w:val="center"/>
            <w:hideMark/>
          </w:tcPr>
          <w:p w14:paraId="7EB87452"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709" w:type="dxa"/>
            <w:tcBorders>
              <w:top w:val="single" w:sz="4" w:space="0" w:color="auto"/>
              <w:left w:val="nil"/>
              <w:bottom w:val="nil"/>
              <w:right w:val="single" w:sz="4" w:space="0" w:color="auto"/>
            </w:tcBorders>
            <w:shd w:val="clear" w:color="auto" w:fill="auto"/>
            <w:vAlign w:val="center"/>
            <w:hideMark/>
          </w:tcPr>
          <w:p w14:paraId="055360BC"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709" w:type="dxa"/>
            <w:tcBorders>
              <w:top w:val="single" w:sz="4" w:space="0" w:color="auto"/>
              <w:left w:val="nil"/>
              <w:bottom w:val="nil"/>
              <w:right w:val="single" w:sz="4" w:space="0" w:color="auto"/>
            </w:tcBorders>
            <w:shd w:val="clear" w:color="000000" w:fill="F2F2F2"/>
            <w:vAlign w:val="center"/>
            <w:hideMark/>
          </w:tcPr>
          <w:p w14:paraId="6AB2B1FC" w14:textId="77777777" w:rsidR="003F035B" w:rsidRPr="001419E1" w:rsidRDefault="003F035B" w:rsidP="0098716C">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r>
      <w:tr w:rsidR="003F035B" w:rsidRPr="001419E1" w14:paraId="6A218FD4" w14:textId="77777777" w:rsidTr="0098716C">
        <w:trPr>
          <w:jc w:val="center"/>
        </w:trPr>
        <w:tc>
          <w:tcPr>
            <w:tcW w:w="309" w:type="dxa"/>
            <w:vMerge/>
            <w:tcBorders>
              <w:top w:val="single" w:sz="4" w:space="0" w:color="auto"/>
              <w:left w:val="single" w:sz="4" w:space="0" w:color="auto"/>
              <w:bottom w:val="single" w:sz="4" w:space="0" w:color="000000"/>
              <w:right w:val="single" w:sz="4" w:space="0" w:color="auto"/>
            </w:tcBorders>
            <w:vAlign w:val="center"/>
            <w:hideMark/>
          </w:tcPr>
          <w:p w14:paraId="43E03174" w14:textId="77777777" w:rsidR="003F035B" w:rsidRPr="001419E1" w:rsidRDefault="003F035B" w:rsidP="0098716C">
            <w:pPr>
              <w:spacing w:after="0" w:line="240" w:lineRule="auto"/>
              <w:rPr>
                <w:rFonts w:ascii="Garamond" w:hAnsi="Garamond" w:cs="Calibri"/>
                <w:b/>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14:paraId="0AD60529"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P4</w:t>
            </w:r>
          </w:p>
        </w:tc>
        <w:tc>
          <w:tcPr>
            <w:tcW w:w="798" w:type="dxa"/>
            <w:tcBorders>
              <w:top w:val="nil"/>
              <w:left w:val="nil"/>
              <w:bottom w:val="nil"/>
              <w:right w:val="nil"/>
            </w:tcBorders>
            <w:shd w:val="clear" w:color="auto" w:fill="auto"/>
            <w:vAlign w:val="center"/>
            <w:hideMark/>
          </w:tcPr>
          <w:p w14:paraId="4F90BD73"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851" w:type="dxa"/>
            <w:tcBorders>
              <w:top w:val="nil"/>
              <w:left w:val="single" w:sz="4" w:space="0" w:color="auto"/>
              <w:bottom w:val="nil"/>
              <w:right w:val="single" w:sz="4" w:space="0" w:color="auto"/>
            </w:tcBorders>
            <w:shd w:val="clear" w:color="auto" w:fill="auto"/>
            <w:vAlign w:val="center"/>
            <w:hideMark/>
          </w:tcPr>
          <w:p w14:paraId="7EC0D085"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992" w:type="dxa"/>
            <w:tcBorders>
              <w:top w:val="nil"/>
              <w:left w:val="nil"/>
              <w:bottom w:val="nil"/>
              <w:right w:val="single" w:sz="4" w:space="0" w:color="auto"/>
            </w:tcBorders>
            <w:shd w:val="clear" w:color="000000" w:fill="D9D9D9"/>
            <w:vAlign w:val="center"/>
            <w:hideMark/>
          </w:tcPr>
          <w:p w14:paraId="460C8629" w14:textId="77777777" w:rsidR="003F035B" w:rsidRPr="001419E1" w:rsidRDefault="003F035B" w:rsidP="0098716C">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c>
          <w:tcPr>
            <w:tcW w:w="1134" w:type="dxa"/>
            <w:tcBorders>
              <w:top w:val="nil"/>
              <w:left w:val="nil"/>
              <w:bottom w:val="nil"/>
              <w:right w:val="single" w:sz="4" w:space="0" w:color="auto"/>
            </w:tcBorders>
            <w:shd w:val="clear" w:color="auto" w:fill="auto"/>
            <w:vAlign w:val="center"/>
            <w:hideMark/>
          </w:tcPr>
          <w:p w14:paraId="6983B8DF"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709" w:type="dxa"/>
            <w:tcBorders>
              <w:top w:val="nil"/>
              <w:left w:val="nil"/>
              <w:bottom w:val="nil"/>
              <w:right w:val="single" w:sz="4" w:space="0" w:color="auto"/>
            </w:tcBorders>
            <w:shd w:val="clear" w:color="auto" w:fill="auto"/>
            <w:vAlign w:val="center"/>
            <w:hideMark/>
          </w:tcPr>
          <w:p w14:paraId="7D582504"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1134" w:type="dxa"/>
            <w:tcBorders>
              <w:top w:val="nil"/>
              <w:left w:val="nil"/>
              <w:bottom w:val="nil"/>
              <w:right w:val="single" w:sz="4" w:space="0" w:color="auto"/>
            </w:tcBorders>
            <w:shd w:val="clear" w:color="auto" w:fill="auto"/>
            <w:vAlign w:val="center"/>
            <w:hideMark/>
          </w:tcPr>
          <w:p w14:paraId="3990FAC5"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1275" w:type="dxa"/>
            <w:tcBorders>
              <w:top w:val="nil"/>
              <w:left w:val="nil"/>
              <w:bottom w:val="nil"/>
              <w:right w:val="single" w:sz="4" w:space="0" w:color="auto"/>
            </w:tcBorders>
            <w:shd w:val="clear" w:color="auto" w:fill="auto"/>
            <w:vAlign w:val="center"/>
            <w:hideMark/>
          </w:tcPr>
          <w:p w14:paraId="09F13C33"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709" w:type="dxa"/>
            <w:tcBorders>
              <w:top w:val="nil"/>
              <w:left w:val="nil"/>
              <w:bottom w:val="nil"/>
              <w:right w:val="single" w:sz="4" w:space="0" w:color="auto"/>
            </w:tcBorders>
            <w:shd w:val="clear" w:color="auto" w:fill="auto"/>
            <w:vAlign w:val="center"/>
            <w:hideMark/>
          </w:tcPr>
          <w:p w14:paraId="069F21D6"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709" w:type="dxa"/>
            <w:tcBorders>
              <w:top w:val="nil"/>
              <w:left w:val="nil"/>
              <w:bottom w:val="nil"/>
              <w:right w:val="single" w:sz="4" w:space="0" w:color="auto"/>
            </w:tcBorders>
            <w:shd w:val="clear" w:color="000000" w:fill="F2F2F2"/>
            <w:vAlign w:val="center"/>
            <w:hideMark/>
          </w:tcPr>
          <w:p w14:paraId="21E1AFCA" w14:textId="77777777" w:rsidR="003F035B" w:rsidRPr="001419E1" w:rsidRDefault="003F035B" w:rsidP="0098716C">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r>
      <w:tr w:rsidR="003F035B" w:rsidRPr="001419E1" w14:paraId="23DAD044" w14:textId="77777777" w:rsidTr="0098716C">
        <w:trPr>
          <w:jc w:val="center"/>
        </w:trPr>
        <w:tc>
          <w:tcPr>
            <w:tcW w:w="309" w:type="dxa"/>
            <w:vMerge/>
            <w:tcBorders>
              <w:top w:val="single" w:sz="4" w:space="0" w:color="auto"/>
              <w:left w:val="single" w:sz="4" w:space="0" w:color="auto"/>
              <w:bottom w:val="single" w:sz="4" w:space="0" w:color="000000"/>
              <w:right w:val="single" w:sz="4" w:space="0" w:color="auto"/>
            </w:tcBorders>
            <w:vAlign w:val="center"/>
            <w:hideMark/>
          </w:tcPr>
          <w:p w14:paraId="2497A1BE" w14:textId="77777777" w:rsidR="003F035B" w:rsidRPr="001419E1" w:rsidRDefault="003F035B" w:rsidP="0098716C">
            <w:pPr>
              <w:spacing w:after="0" w:line="240" w:lineRule="auto"/>
              <w:rPr>
                <w:rFonts w:ascii="Garamond" w:hAnsi="Garamond" w:cs="Calibri"/>
                <w:b/>
                <w:color w:val="000000"/>
                <w:sz w:val="18"/>
                <w:szCs w:val="18"/>
              </w:rPr>
            </w:pPr>
          </w:p>
        </w:tc>
        <w:tc>
          <w:tcPr>
            <w:tcW w:w="1303" w:type="dxa"/>
            <w:tcBorders>
              <w:top w:val="nil"/>
              <w:left w:val="nil"/>
              <w:bottom w:val="single" w:sz="4" w:space="0" w:color="auto"/>
              <w:right w:val="single" w:sz="4" w:space="0" w:color="auto"/>
            </w:tcBorders>
            <w:shd w:val="clear" w:color="auto" w:fill="auto"/>
            <w:vAlign w:val="center"/>
            <w:hideMark/>
          </w:tcPr>
          <w:p w14:paraId="6824B4D0" w14:textId="77777777" w:rsidR="003F035B" w:rsidRPr="001419E1" w:rsidRDefault="003F035B" w:rsidP="0098716C">
            <w:pPr>
              <w:spacing w:after="0" w:line="240" w:lineRule="auto"/>
              <w:jc w:val="center"/>
              <w:rPr>
                <w:rFonts w:ascii="Garamond" w:hAnsi="Garamond" w:cs="Calibri"/>
                <w:b/>
                <w:color w:val="000000"/>
                <w:sz w:val="18"/>
                <w:szCs w:val="18"/>
              </w:rPr>
            </w:pPr>
            <w:r w:rsidRPr="001419E1">
              <w:rPr>
                <w:rFonts w:ascii="Garamond" w:hAnsi="Garamond" w:cs="Calibri"/>
                <w:b/>
                <w:color w:val="000000"/>
                <w:sz w:val="18"/>
                <w:szCs w:val="18"/>
              </w:rPr>
              <w:t>P5</w:t>
            </w:r>
          </w:p>
        </w:tc>
        <w:tc>
          <w:tcPr>
            <w:tcW w:w="798" w:type="dxa"/>
            <w:tcBorders>
              <w:top w:val="nil"/>
              <w:left w:val="nil"/>
              <w:bottom w:val="single" w:sz="4" w:space="0" w:color="auto"/>
              <w:right w:val="nil"/>
            </w:tcBorders>
            <w:shd w:val="clear" w:color="auto" w:fill="auto"/>
            <w:vAlign w:val="center"/>
            <w:hideMark/>
          </w:tcPr>
          <w:p w14:paraId="633971A4"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DC997DE"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992" w:type="dxa"/>
            <w:tcBorders>
              <w:top w:val="nil"/>
              <w:left w:val="nil"/>
              <w:bottom w:val="single" w:sz="4" w:space="0" w:color="auto"/>
              <w:right w:val="single" w:sz="4" w:space="0" w:color="auto"/>
            </w:tcBorders>
            <w:shd w:val="clear" w:color="000000" w:fill="D9D9D9"/>
            <w:vAlign w:val="center"/>
            <w:hideMark/>
          </w:tcPr>
          <w:p w14:paraId="29D3D9B8" w14:textId="77777777" w:rsidR="003F035B" w:rsidRPr="001419E1" w:rsidRDefault="003F035B" w:rsidP="0098716C">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c>
          <w:tcPr>
            <w:tcW w:w="1134" w:type="dxa"/>
            <w:tcBorders>
              <w:top w:val="nil"/>
              <w:left w:val="nil"/>
              <w:bottom w:val="single" w:sz="4" w:space="0" w:color="auto"/>
              <w:right w:val="single" w:sz="4" w:space="0" w:color="auto"/>
            </w:tcBorders>
            <w:shd w:val="clear" w:color="auto" w:fill="auto"/>
            <w:vAlign w:val="center"/>
            <w:hideMark/>
          </w:tcPr>
          <w:p w14:paraId="3F5438EB"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14:paraId="1D185761"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49DCED11"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3B7F944C"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14:paraId="2868E966" w14:textId="77777777" w:rsidR="003F035B" w:rsidRPr="001419E1" w:rsidRDefault="003F035B" w:rsidP="0098716C">
            <w:pPr>
              <w:spacing w:after="0" w:line="240" w:lineRule="auto"/>
              <w:jc w:val="right"/>
              <w:rPr>
                <w:rFonts w:ascii="Garamond" w:hAnsi="Garamond" w:cs="Calibri"/>
                <w:b/>
                <w:color w:val="000000"/>
                <w:sz w:val="18"/>
                <w:szCs w:val="18"/>
              </w:rPr>
            </w:pPr>
          </w:p>
        </w:tc>
        <w:tc>
          <w:tcPr>
            <w:tcW w:w="709" w:type="dxa"/>
            <w:tcBorders>
              <w:top w:val="nil"/>
              <w:left w:val="nil"/>
              <w:bottom w:val="single" w:sz="4" w:space="0" w:color="auto"/>
              <w:right w:val="single" w:sz="4" w:space="0" w:color="auto"/>
            </w:tcBorders>
            <w:shd w:val="clear" w:color="000000" w:fill="F2F2F2"/>
            <w:vAlign w:val="center"/>
            <w:hideMark/>
          </w:tcPr>
          <w:p w14:paraId="5BCEB3F6" w14:textId="77777777" w:rsidR="003F035B" w:rsidRPr="001419E1" w:rsidRDefault="003F035B" w:rsidP="0098716C">
            <w:pPr>
              <w:spacing w:after="0" w:line="240" w:lineRule="auto"/>
              <w:jc w:val="right"/>
              <w:rPr>
                <w:rFonts w:ascii="Garamond" w:hAnsi="Garamond" w:cs="Calibri"/>
                <w:b/>
                <w:color w:val="000000"/>
                <w:sz w:val="18"/>
                <w:szCs w:val="18"/>
              </w:rPr>
            </w:pPr>
            <w:r w:rsidRPr="001419E1">
              <w:rPr>
                <w:rFonts w:ascii="Garamond" w:hAnsi="Garamond" w:cs="Calibri"/>
                <w:b/>
                <w:color w:val="000000"/>
                <w:sz w:val="18"/>
                <w:szCs w:val="18"/>
              </w:rPr>
              <w:t>-</w:t>
            </w:r>
          </w:p>
        </w:tc>
      </w:tr>
    </w:tbl>
    <w:p w14:paraId="78D8A614" w14:textId="77777777" w:rsidR="00BF6E08" w:rsidRPr="005C5CBD" w:rsidRDefault="00BF6E08" w:rsidP="00E33E26">
      <w:pPr>
        <w:rPr>
          <w:rFonts w:ascii="Garamond" w:hAnsi="Garamond"/>
        </w:rPr>
        <w:sectPr w:rsidR="00BF6E08" w:rsidRPr="005C5CBD" w:rsidSect="00E15FBB">
          <w:pgSz w:w="15840" w:h="12240" w:orient="landscape"/>
          <w:pgMar w:top="1418" w:right="1500" w:bottom="1580" w:left="1418" w:header="720" w:footer="968" w:gutter="0"/>
          <w:cols w:space="720"/>
          <w:docGrid w:linePitch="299"/>
        </w:sectPr>
      </w:pPr>
    </w:p>
    <w:tbl>
      <w:tblPr>
        <w:tblW w:w="9923" w:type="dxa"/>
        <w:jc w:val="center"/>
        <w:tblLayout w:type="fixed"/>
        <w:tblCellMar>
          <w:top w:w="57" w:type="dxa"/>
          <w:left w:w="70" w:type="dxa"/>
          <w:bottom w:w="57" w:type="dxa"/>
          <w:right w:w="70" w:type="dxa"/>
        </w:tblCellMar>
        <w:tblLook w:val="04A0" w:firstRow="1" w:lastRow="0" w:firstColumn="1" w:lastColumn="0" w:noHBand="0" w:noVBand="1"/>
      </w:tblPr>
      <w:tblGrid>
        <w:gridCol w:w="333"/>
        <w:gridCol w:w="700"/>
        <w:gridCol w:w="541"/>
        <w:gridCol w:w="651"/>
        <w:gridCol w:w="894"/>
        <w:gridCol w:w="567"/>
        <w:gridCol w:w="709"/>
        <w:gridCol w:w="567"/>
        <w:gridCol w:w="992"/>
        <w:gridCol w:w="709"/>
        <w:gridCol w:w="691"/>
        <w:gridCol w:w="651"/>
        <w:gridCol w:w="926"/>
        <w:gridCol w:w="567"/>
        <w:gridCol w:w="425"/>
      </w:tblGrid>
      <w:tr w:rsidR="003F035B" w:rsidRPr="00395593" w14:paraId="17D7F487" w14:textId="77777777" w:rsidTr="0098716C">
        <w:trPr>
          <w:jc w:val="center"/>
        </w:trPr>
        <w:tc>
          <w:tcPr>
            <w:tcW w:w="9923" w:type="dxa"/>
            <w:gridSpan w:val="15"/>
            <w:tcBorders>
              <w:top w:val="nil"/>
              <w:left w:val="nil"/>
            </w:tcBorders>
            <w:shd w:val="clear" w:color="auto" w:fill="auto"/>
            <w:noWrap/>
            <w:vAlign w:val="center"/>
          </w:tcPr>
          <w:p w14:paraId="4A92DB80" w14:textId="77777777" w:rsidR="003F035B" w:rsidRPr="00A07F88" w:rsidRDefault="003F035B" w:rsidP="0098716C">
            <w:pPr>
              <w:spacing w:after="0" w:line="240" w:lineRule="auto"/>
              <w:jc w:val="center"/>
              <w:rPr>
                <w:rFonts w:ascii="Garamond" w:hAnsi="Garamond" w:cs="Calibri"/>
                <w:b/>
                <w:color w:val="000000"/>
                <w:sz w:val="24"/>
                <w:szCs w:val="24"/>
              </w:rPr>
            </w:pPr>
            <w:r w:rsidRPr="00A07F88">
              <w:rPr>
                <w:rFonts w:ascii="Garamond" w:hAnsi="Garamond" w:cs="Calibri"/>
                <w:b/>
                <w:color w:val="000000"/>
                <w:sz w:val="24"/>
                <w:szCs w:val="24"/>
              </w:rPr>
              <w:t>APÊNDICE XV</w:t>
            </w:r>
          </w:p>
          <w:p w14:paraId="7EFBAAE4" w14:textId="77777777" w:rsidR="003F035B" w:rsidRPr="00395593" w:rsidRDefault="003F035B" w:rsidP="0098716C">
            <w:pPr>
              <w:spacing w:after="0" w:line="240" w:lineRule="auto"/>
              <w:jc w:val="center"/>
              <w:rPr>
                <w:rFonts w:ascii="Garamond" w:hAnsi="Garamond" w:cs="Calibri"/>
                <w:b/>
                <w:color w:val="000000"/>
                <w:sz w:val="18"/>
                <w:szCs w:val="18"/>
              </w:rPr>
            </w:pPr>
            <w:r w:rsidRPr="00A07F88">
              <w:rPr>
                <w:rFonts w:ascii="Garamond" w:hAnsi="Garamond" w:cs="Calibri"/>
                <w:b/>
                <w:color w:val="000000"/>
                <w:sz w:val="24"/>
                <w:szCs w:val="24"/>
              </w:rPr>
              <w:t>MASSA SALARIAL</w:t>
            </w:r>
          </w:p>
        </w:tc>
      </w:tr>
      <w:tr w:rsidR="003F035B" w:rsidRPr="00395593" w14:paraId="74573F6C" w14:textId="77777777" w:rsidTr="0098716C">
        <w:trPr>
          <w:jc w:val="center"/>
        </w:trPr>
        <w:tc>
          <w:tcPr>
            <w:tcW w:w="1033" w:type="dxa"/>
            <w:gridSpan w:val="2"/>
            <w:vMerge w:val="restart"/>
            <w:tcBorders>
              <w:left w:val="nil"/>
              <w:right w:val="nil"/>
            </w:tcBorders>
            <w:shd w:val="clear" w:color="auto" w:fill="auto"/>
            <w:noWrap/>
            <w:vAlign w:val="center"/>
            <w:hideMark/>
          </w:tcPr>
          <w:p w14:paraId="7440DAEC" w14:textId="77777777" w:rsidR="003F035B" w:rsidRPr="00395593" w:rsidRDefault="003F035B" w:rsidP="0098716C">
            <w:pPr>
              <w:spacing w:after="0" w:line="240" w:lineRule="auto"/>
              <w:jc w:val="center"/>
              <w:rPr>
                <w:rFonts w:ascii="Garamond" w:hAnsi="Garamond" w:cs="Calibri"/>
                <w:color w:val="000000"/>
                <w:sz w:val="12"/>
                <w:szCs w:val="12"/>
              </w:rPr>
            </w:pPr>
          </w:p>
        </w:tc>
        <w:tc>
          <w:tcPr>
            <w:tcW w:w="8890"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1B7B54"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EMPREGADOS - PRODUTO</w:t>
            </w:r>
          </w:p>
        </w:tc>
      </w:tr>
      <w:tr w:rsidR="003F035B" w:rsidRPr="00395593" w14:paraId="35CE6484" w14:textId="77777777" w:rsidTr="0098716C">
        <w:trPr>
          <w:jc w:val="center"/>
        </w:trPr>
        <w:tc>
          <w:tcPr>
            <w:tcW w:w="1033" w:type="dxa"/>
            <w:gridSpan w:val="2"/>
            <w:vMerge/>
            <w:tcBorders>
              <w:left w:val="nil"/>
              <w:right w:val="nil"/>
            </w:tcBorders>
            <w:shd w:val="clear" w:color="auto" w:fill="auto"/>
            <w:noWrap/>
            <w:vAlign w:val="center"/>
            <w:hideMark/>
          </w:tcPr>
          <w:p w14:paraId="52290074" w14:textId="77777777" w:rsidR="003F035B" w:rsidRPr="00395593" w:rsidRDefault="003F035B" w:rsidP="0098716C">
            <w:pPr>
              <w:spacing w:after="0" w:line="240" w:lineRule="auto"/>
              <w:jc w:val="center"/>
              <w:rPr>
                <w:rFonts w:ascii="Garamond" w:hAnsi="Garamond" w:cs="Calibri"/>
                <w:color w:val="000000"/>
                <w:sz w:val="12"/>
                <w:szCs w:val="12"/>
              </w:rPr>
            </w:pPr>
          </w:p>
        </w:tc>
        <w:tc>
          <w:tcPr>
            <w:tcW w:w="26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3437A"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Salários</w:t>
            </w:r>
          </w:p>
        </w:tc>
        <w:tc>
          <w:tcPr>
            <w:tcW w:w="2977"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4050EC"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Encargos</w:t>
            </w:r>
          </w:p>
        </w:tc>
        <w:tc>
          <w:tcPr>
            <w:tcW w:w="2835" w:type="dxa"/>
            <w:gridSpan w:val="4"/>
            <w:tcBorders>
              <w:top w:val="single" w:sz="4" w:space="0" w:color="auto"/>
              <w:left w:val="nil"/>
              <w:bottom w:val="single" w:sz="4" w:space="0" w:color="auto"/>
              <w:right w:val="single" w:sz="4" w:space="0" w:color="auto"/>
            </w:tcBorders>
            <w:shd w:val="clear" w:color="auto" w:fill="auto"/>
            <w:noWrap/>
            <w:vAlign w:val="center"/>
            <w:hideMark/>
          </w:tcPr>
          <w:p w14:paraId="506D5104"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Benefícios</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C9D3C8"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Total</w:t>
            </w:r>
          </w:p>
        </w:tc>
      </w:tr>
      <w:tr w:rsidR="003F035B" w:rsidRPr="00395593" w14:paraId="1C4666E7" w14:textId="77777777" w:rsidTr="0098716C">
        <w:trPr>
          <w:jc w:val="center"/>
        </w:trPr>
        <w:tc>
          <w:tcPr>
            <w:tcW w:w="1033" w:type="dxa"/>
            <w:gridSpan w:val="2"/>
            <w:vMerge/>
            <w:tcBorders>
              <w:left w:val="nil"/>
              <w:bottom w:val="nil"/>
              <w:right w:val="nil"/>
            </w:tcBorders>
            <w:shd w:val="clear" w:color="auto" w:fill="auto"/>
            <w:noWrap/>
            <w:vAlign w:val="center"/>
            <w:hideMark/>
          </w:tcPr>
          <w:p w14:paraId="49F2F305" w14:textId="77777777" w:rsidR="003F035B" w:rsidRPr="00395593" w:rsidRDefault="003F035B" w:rsidP="0098716C">
            <w:pPr>
              <w:spacing w:after="0" w:line="240" w:lineRule="auto"/>
              <w:jc w:val="center"/>
              <w:rPr>
                <w:rFonts w:ascii="Garamond" w:hAnsi="Garamond" w:cs="Calibri"/>
                <w:color w:val="000000"/>
                <w:sz w:val="12"/>
                <w:szCs w:val="12"/>
              </w:rPr>
            </w:pPr>
          </w:p>
        </w:tc>
        <w:tc>
          <w:tcPr>
            <w:tcW w:w="11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61E335"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Produção</w:t>
            </w:r>
          </w:p>
        </w:tc>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14:paraId="2E561A4F"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Administração</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83C0910"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Vendas</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723485C6"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Produção</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3FCEA66"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Administração</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8B9336D"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Vendas</w:t>
            </w:r>
          </w:p>
        </w:tc>
        <w:tc>
          <w:tcPr>
            <w:tcW w:w="1342" w:type="dxa"/>
            <w:gridSpan w:val="2"/>
            <w:tcBorders>
              <w:top w:val="single" w:sz="4" w:space="0" w:color="auto"/>
              <w:left w:val="nil"/>
              <w:bottom w:val="single" w:sz="4" w:space="0" w:color="auto"/>
              <w:right w:val="single" w:sz="4" w:space="0" w:color="auto"/>
            </w:tcBorders>
            <w:shd w:val="clear" w:color="auto" w:fill="auto"/>
            <w:vAlign w:val="center"/>
            <w:hideMark/>
          </w:tcPr>
          <w:p w14:paraId="73F6DDC5"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Produção</w:t>
            </w:r>
          </w:p>
        </w:tc>
        <w:tc>
          <w:tcPr>
            <w:tcW w:w="926" w:type="dxa"/>
            <w:vMerge w:val="restart"/>
            <w:tcBorders>
              <w:top w:val="nil"/>
              <w:left w:val="single" w:sz="4" w:space="0" w:color="auto"/>
              <w:bottom w:val="single" w:sz="4" w:space="0" w:color="auto"/>
              <w:right w:val="single" w:sz="4" w:space="0" w:color="auto"/>
            </w:tcBorders>
            <w:shd w:val="clear" w:color="auto" w:fill="auto"/>
            <w:vAlign w:val="center"/>
            <w:hideMark/>
          </w:tcPr>
          <w:p w14:paraId="60A6D476"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Administração</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7B31A37B"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Vendas</w:t>
            </w:r>
          </w:p>
        </w:tc>
        <w:tc>
          <w:tcPr>
            <w:tcW w:w="425" w:type="dxa"/>
            <w:vMerge/>
            <w:tcBorders>
              <w:top w:val="nil"/>
              <w:left w:val="single" w:sz="4" w:space="0" w:color="auto"/>
              <w:bottom w:val="single" w:sz="4" w:space="0" w:color="auto"/>
              <w:right w:val="single" w:sz="4" w:space="0" w:color="auto"/>
            </w:tcBorders>
            <w:vAlign w:val="center"/>
            <w:hideMark/>
          </w:tcPr>
          <w:p w14:paraId="3A59A61D" w14:textId="77777777" w:rsidR="003F035B" w:rsidRPr="00395593" w:rsidRDefault="003F035B" w:rsidP="0098716C">
            <w:pPr>
              <w:spacing w:after="0" w:line="240" w:lineRule="auto"/>
              <w:jc w:val="center"/>
              <w:rPr>
                <w:rFonts w:ascii="Garamond" w:hAnsi="Garamond" w:cs="Calibri"/>
                <w:b/>
                <w:color w:val="000000"/>
                <w:sz w:val="12"/>
                <w:szCs w:val="12"/>
              </w:rPr>
            </w:pPr>
          </w:p>
        </w:tc>
      </w:tr>
      <w:tr w:rsidR="00372971" w:rsidRPr="00395593" w14:paraId="5943EF09" w14:textId="77777777" w:rsidTr="0098716C">
        <w:trPr>
          <w:jc w:val="center"/>
        </w:trPr>
        <w:tc>
          <w:tcPr>
            <w:tcW w:w="333" w:type="dxa"/>
            <w:tcBorders>
              <w:top w:val="single" w:sz="4" w:space="0" w:color="auto"/>
              <w:left w:val="single" w:sz="4" w:space="0" w:color="auto"/>
              <w:bottom w:val="single" w:sz="4" w:space="0" w:color="auto"/>
              <w:right w:val="nil"/>
            </w:tcBorders>
            <w:shd w:val="clear" w:color="auto" w:fill="auto"/>
            <w:noWrap/>
            <w:vAlign w:val="center"/>
            <w:hideMark/>
          </w:tcPr>
          <w:p w14:paraId="53E66084" w14:textId="77777777" w:rsidR="003F035B" w:rsidRPr="00395593" w:rsidRDefault="003F035B" w:rsidP="0098716C">
            <w:pPr>
              <w:spacing w:after="0" w:line="240" w:lineRule="auto"/>
              <w:jc w:val="center"/>
              <w:rPr>
                <w:rFonts w:ascii="Garamond" w:hAnsi="Garamond" w:cs="Calibri"/>
                <w:color w:val="000000"/>
                <w:sz w:val="12"/>
                <w:szCs w:val="12"/>
              </w:rPr>
            </w:pPr>
          </w:p>
        </w:tc>
        <w:tc>
          <w:tcPr>
            <w:tcW w:w="700" w:type="dxa"/>
            <w:tcBorders>
              <w:top w:val="single" w:sz="4" w:space="0" w:color="auto"/>
              <w:left w:val="single" w:sz="4" w:space="0" w:color="auto"/>
              <w:bottom w:val="single" w:sz="4" w:space="0" w:color="auto"/>
              <w:right w:val="nil"/>
            </w:tcBorders>
            <w:shd w:val="clear" w:color="auto" w:fill="auto"/>
            <w:vAlign w:val="center"/>
            <w:hideMark/>
          </w:tcPr>
          <w:p w14:paraId="4811956C"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Empresa</w:t>
            </w:r>
          </w:p>
        </w:tc>
        <w:tc>
          <w:tcPr>
            <w:tcW w:w="541" w:type="dxa"/>
            <w:tcBorders>
              <w:top w:val="nil"/>
              <w:left w:val="single" w:sz="4" w:space="0" w:color="auto"/>
              <w:bottom w:val="single" w:sz="4" w:space="0" w:color="auto"/>
              <w:right w:val="single" w:sz="4" w:space="0" w:color="auto"/>
            </w:tcBorders>
            <w:shd w:val="clear" w:color="auto" w:fill="auto"/>
            <w:vAlign w:val="center"/>
            <w:hideMark/>
          </w:tcPr>
          <w:p w14:paraId="659E3888"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Direta</w:t>
            </w:r>
          </w:p>
        </w:tc>
        <w:tc>
          <w:tcPr>
            <w:tcW w:w="651" w:type="dxa"/>
            <w:tcBorders>
              <w:top w:val="nil"/>
              <w:left w:val="nil"/>
              <w:bottom w:val="single" w:sz="4" w:space="0" w:color="auto"/>
              <w:right w:val="single" w:sz="4" w:space="0" w:color="auto"/>
            </w:tcBorders>
            <w:shd w:val="clear" w:color="auto" w:fill="auto"/>
            <w:vAlign w:val="center"/>
            <w:hideMark/>
          </w:tcPr>
          <w:p w14:paraId="01EBB39E"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Indireta</w:t>
            </w:r>
          </w:p>
        </w:tc>
        <w:tc>
          <w:tcPr>
            <w:tcW w:w="894" w:type="dxa"/>
            <w:vMerge/>
            <w:tcBorders>
              <w:top w:val="nil"/>
              <w:left w:val="single" w:sz="4" w:space="0" w:color="auto"/>
              <w:bottom w:val="single" w:sz="4" w:space="0" w:color="auto"/>
              <w:right w:val="single" w:sz="4" w:space="0" w:color="auto"/>
            </w:tcBorders>
            <w:vAlign w:val="center"/>
            <w:hideMark/>
          </w:tcPr>
          <w:p w14:paraId="4A5671B1" w14:textId="77777777" w:rsidR="003F035B" w:rsidRPr="00395593" w:rsidRDefault="003F035B" w:rsidP="0098716C">
            <w:pPr>
              <w:spacing w:after="0" w:line="240" w:lineRule="auto"/>
              <w:jc w:val="center"/>
              <w:rPr>
                <w:rFonts w:ascii="Garamond" w:hAnsi="Garamond" w:cs="Calibri"/>
                <w:b/>
                <w:color w:val="000000"/>
                <w:sz w:val="12"/>
                <w:szCs w:val="12"/>
              </w:rPr>
            </w:pPr>
          </w:p>
        </w:tc>
        <w:tc>
          <w:tcPr>
            <w:tcW w:w="567" w:type="dxa"/>
            <w:vMerge/>
            <w:tcBorders>
              <w:top w:val="nil"/>
              <w:left w:val="single" w:sz="4" w:space="0" w:color="auto"/>
              <w:bottom w:val="single" w:sz="4" w:space="0" w:color="auto"/>
              <w:right w:val="single" w:sz="4" w:space="0" w:color="auto"/>
            </w:tcBorders>
            <w:vAlign w:val="center"/>
            <w:hideMark/>
          </w:tcPr>
          <w:p w14:paraId="71545D1B" w14:textId="77777777" w:rsidR="003F035B" w:rsidRPr="00395593" w:rsidRDefault="003F035B" w:rsidP="0098716C">
            <w:pPr>
              <w:spacing w:after="0" w:line="240" w:lineRule="auto"/>
              <w:jc w:val="center"/>
              <w:rPr>
                <w:rFonts w:ascii="Garamond" w:hAnsi="Garamond" w:cs="Calibri"/>
                <w:b/>
                <w:color w:val="000000"/>
                <w:sz w:val="12"/>
                <w:szCs w:val="12"/>
              </w:rPr>
            </w:pPr>
          </w:p>
        </w:tc>
        <w:tc>
          <w:tcPr>
            <w:tcW w:w="709" w:type="dxa"/>
            <w:tcBorders>
              <w:top w:val="nil"/>
              <w:left w:val="nil"/>
              <w:bottom w:val="single" w:sz="4" w:space="0" w:color="auto"/>
              <w:right w:val="single" w:sz="4" w:space="0" w:color="auto"/>
            </w:tcBorders>
            <w:shd w:val="clear" w:color="auto" w:fill="auto"/>
            <w:vAlign w:val="center"/>
            <w:hideMark/>
          </w:tcPr>
          <w:p w14:paraId="4C84C26E"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Direta</w:t>
            </w:r>
          </w:p>
        </w:tc>
        <w:tc>
          <w:tcPr>
            <w:tcW w:w="567" w:type="dxa"/>
            <w:tcBorders>
              <w:top w:val="nil"/>
              <w:left w:val="nil"/>
              <w:bottom w:val="single" w:sz="4" w:space="0" w:color="auto"/>
              <w:right w:val="single" w:sz="4" w:space="0" w:color="auto"/>
            </w:tcBorders>
            <w:shd w:val="clear" w:color="auto" w:fill="auto"/>
            <w:vAlign w:val="center"/>
            <w:hideMark/>
          </w:tcPr>
          <w:p w14:paraId="1C23C5E9"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Indireta</w:t>
            </w:r>
          </w:p>
        </w:tc>
        <w:tc>
          <w:tcPr>
            <w:tcW w:w="992" w:type="dxa"/>
            <w:vMerge/>
            <w:tcBorders>
              <w:top w:val="nil"/>
              <w:left w:val="single" w:sz="4" w:space="0" w:color="auto"/>
              <w:bottom w:val="single" w:sz="4" w:space="0" w:color="auto"/>
              <w:right w:val="single" w:sz="4" w:space="0" w:color="auto"/>
            </w:tcBorders>
            <w:vAlign w:val="center"/>
            <w:hideMark/>
          </w:tcPr>
          <w:p w14:paraId="236C4E38" w14:textId="77777777" w:rsidR="003F035B" w:rsidRPr="00395593" w:rsidRDefault="003F035B" w:rsidP="0098716C">
            <w:pPr>
              <w:spacing w:after="0" w:line="240" w:lineRule="auto"/>
              <w:jc w:val="center"/>
              <w:rPr>
                <w:rFonts w:ascii="Garamond" w:hAnsi="Garamond" w:cs="Calibri"/>
                <w:b/>
                <w:color w:val="000000"/>
                <w:sz w:val="12"/>
                <w:szCs w:val="12"/>
              </w:rPr>
            </w:pPr>
          </w:p>
        </w:tc>
        <w:tc>
          <w:tcPr>
            <w:tcW w:w="709" w:type="dxa"/>
            <w:vMerge/>
            <w:tcBorders>
              <w:top w:val="nil"/>
              <w:left w:val="single" w:sz="4" w:space="0" w:color="auto"/>
              <w:bottom w:val="single" w:sz="4" w:space="0" w:color="auto"/>
              <w:right w:val="single" w:sz="4" w:space="0" w:color="auto"/>
            </w:tcBorders>
            <w:vAlign w:val="center"/>
            <w:hideMark/>
          </w:tcPr>
          <w:p w14:paraId="0D017444" w14:textId="77777777" w:rsidR="003F035B" w:rsidRPr="00395593" w:rsidRDefault="003F035B" w:rsidP="0098716C">
            <w:pPr>
              <w:spacing w:after="0" w:line="240" w:lineRule="auto"/>
              <w:jc w:val="center"/>
              <w:rPr>
                <w:rFonts w:ascii="Garamond" w:hAnsi="Garamond" w:cs="Calibri"/>
                <w:b/>
                <w:color w:val="000000"/>
                <w:sz w:val="12"/>
                <w:szCs w:val="12"/>
              </w:rPr>
            </w:pPr>
          </w:p>
        </w:tc>
        <w:tc>
          <w:tcPr>
            <w:tcW w:w="691" w:type="dxa"/>
            <w:tcBorders>
              <w:top w:val="nil"/>
              <w:left w:val="nil"/>
              <w:bottom w:val="single" w:sz="4" w:space="0" w:color="auto"/>
              <w:right w:val="single" w:sz="4" w:space="0" w:color="auto"/>
            </w:tcBorders>
            <w:shd w:val="clear" w:color="auto" w:fill="auto"/>
            <w:vAlign w:val="center"/>
            <w:hideMark/>
          </w:tcPr>
          <w:p w14:paraId="0BD617D8"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Direta</w:t>
            </w:r>
          </w:p>
        </w:tc>
        <w:tc>
          <w:tcPr>
            <w:tcW w:w="651" w:type="dxa"/>
            <w:tcBorders>
              <w:top w:val="nil"/>
              <w:left w:val="nil"/>
              <w:bottom w:val="single" w:sz="4" w:space="0" w:color="auto"/>
              <w:right w:val="single" w:sz="4" w:space="0" w:color="auto"/>
            </w:tcBorders>
            <w:shd w:val="clear" w:color="auto" w:fill="auto"/>
            <w:vAlign w:val="center"/>
            <w:hideMark/>
          </w:tcPr>
          <w:p w14:paraId="2F5D635B"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Indireta</w:t>
            </w:r>
          </w:p>
        </w:tc>
        <w:tc>
          <w:tcPr>
            <w:tcW w:w="926" w:type="dxa"/>
            <w:vMerge/>
            <w:tcBorders>
              <w:top w:val="nil"/>
              <w:left w:val="single" w:sz="4" w:space="0" w:color="auto"/>
              <w:bottom w:val="single" w:sz="4" w:space="0" w:color="auto"/>
              <w:right w:val="single" w:sz="4" w:space="0" w:color="auto"/>
            </w:tcBorders>
            <w:vAlign w:val="center"/>
            <w:hideMark/>
          </w:tcPr>
          <w:p w14:paraId="2CB96224" w14:textId="77777777" w:rsidR="003F035B" w:rsidRPr="00395593" w:rsidRDefault="003F035B" w:rsidP="0098716C">
            <w:pPr>
              <w:spacing w:after="0" w:line="240" w:lineRule="auto"/>
              <w:jc w:val="center"/>
              <w:rPr>
                <w:rFonts w:ascii="Garamond" w:hAnsi="Garamond" w:cs="Calibri"/>
                <w:b/>
                <w:color w:val="000000"/>
                <w:sz w:val="12"/>
                <w:szCs w:val="12"/>
              </w:rPr>
            </w:pPr>
          </w:p>
        </w:tc>
        <w:tc>
          <w:tcPr>
            <w:tcW w:w="567" w:type="dxa"/>
            <w:vMerge/>
            <w:tcBorders>
              <w:top w:val="nil"/>
              <w:left w:val="single" w:sz="4" w:space="0" w:color="auto"/>
              <w:bottom w:val="single" w:sz="4" w:space="0" w:color="auto"/>
              <w:right w:val="single" w:sz="4" w:space="0" w:color="auto"/>
            </w:tcBorders>
            <w:vAlign w:val="center"/>
            <w:hideMark/>
          </w:tcPr>
          <w:p w14:paraId="5EF6CEE0" w14:textId="77777777" w:rsidR="003F035B" w:rsidRPr="00395593" w:rsidRDefault="003F035B" w:rsidP="0098716C">
            <w:pPr>
              <w:spacing w:after="0" w:line="240" w:lineRule="auto"/>
              <w:jc w:val="center"/>
              <w:rPr>
                <w:rFonts w:ascii="Garamond" w:hAnsi="Garamond" w:cs="Calibri"/>
                <w:b/>
                <w:color w:val="000000"/>
                <w:sz w:val="12"/>
                <w:szCs w:val="12"/>
              </w:rPr>
            </w:pPr>
          </w:p>
        </w:tc>
        <w:tc>
          <w:tcPr>
            <w:tcW w:w="425" w:type="dxa"/>
            <w:vMerge/>
            <w:tcBorders>
              <w:top w:val="nil"/>
              <w:left w:val="single" w:sz="4" w:space="0" w:color="auto"/>
              <w:bottom w:val="single" w:sz="4" w:space="0" w:color="auto"/>
              <w:right w:val="single" w:sz="4" w:space="0" w:color="auto"/>
            </w:tcBorders>
            <w:vAlign w:val="center"/>
            <w:hideMark/>
          </w:tcPr>
          <w:p w14:paraId="3D6B5260" w14:textId="77777777" w:rsidR="003F035B" w:rsidRPr="00395593" w:rsidRDefault="003F035B" w:rsidP="0098716C">
            <w:pPr>
              <w:spacing w:after="0" w:line="240" w:lineRule="auto"/>
              <w:jc w:val="center"/>
              <w:rPr>
                <w:rFonts w:ascii="Garamond" w:hAnsi="Garamond" w:cs="Calibri"/>
                <w:b/>
                <w:color w:val="000000"/>
                <w:sz w:val="12"/>
                <w:szCs w:val="12"/>
              </w:rPr>
            </w:pPr>
          </w:p>
        </w:tc>
      </w:tr>
      <w:tr w:rsidR="003F035B" w:rsidRPr="00395593" w14:paraId="228C1D17" w14:textId="77777777" w:rsidTr="0098716C">
        <w:trPr>
          <w:jc w:val="center"/>
        </w:trPr>
        <w:tc>
          <w:tcPr>
            <w:tcW w:w="33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1E361506"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Período</w:t>
            </w:r>
          </w:p>
        </w:tc>
        <w:tc>
          <w:tcPr>
            <w:tcW w:w="700" w:type="dxa"/>
            <w:tcBorders>
              <w:top w:val="nil"/>
              <w:left w:val="nil"/>
              <w:bottom w:val="single" w:sz="4" w:space="0" w:color="auto"/>
              <w:right w:val="single" w:sz="4" w:space="0" w:color="auto"/>
            </w:tcBorders>
            <w:shd w:val="clear" w:color="auto" w:fill="auto"/>
            <w:vAlign w:val="center"/>
            <w:hideMark/>
          </w:tcPr>
          <w:p w14:paraId="1BD1381C"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P1</w:t>
            </w:r>
          </w:p>
        </w:tc>
        <w:tc>
          <w:tcPr>
            <w:tcW w:w="541" w:type="dxa"/>
            <w:tcBorders>
              <w:top w:val="nil"/>
              <w:left w:val="nil"/>
              <w:bottom w:val="nil"/>
              <w:right w:val="nil"/>
            </w:tcBorders>
            <w:shd w:val="clear" w:color="auto" w:fill="auto"/>
            <w:vAlign w:val="center"/>
            <w:hideMark/>
          </w:tcPr>
          <w:p w14:paraId="4462551A"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651" w:type="dxa"/>
            <w:tcBorders>
              <w:top w:val="nil"/>
              <w:left w:val="single" w:sz="4" w:space="0" w:color="auto"/>
              <w:bottom w:val="nil"/>
              <w:right w:val="single" w:sz="4" w:space="0" w:color="auto"/>
            </w:tcBorders>
            <w:shd w:val="clear" w:color="auto" w:fill="auto"/>
            <w:vAlign w:val="center"/>
            <w:hideMark/>
          </w:tcPr>
          <w:p w14:paraId="0B679280"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894" w:type="dxa"/>
            <w:tcBorders>
              <w:top w:val="nil"/>
              <w:left w:val="nil"/>
              <w:bottom w:val="nil"/>
              <w:right w:val="single" w:sz="4" w:space="0" w:color="auto"/>
            </w:tcBorders>
            <w:shd w:val="clear" w:color="auto" w:fill="auto"/>
            <w:vAlign w:val="center"/>
            <w:hideMark/>
          </w:tcPr>
          <w:p w14:paraId="1F6BF9FD"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567" w:type="dxa"/>
            <w:tcBorders>
              <w:top w:val="nil"/>
              <w:left w:val="nil"/>
              <w:bottom w:val="nil"/>
              <w:right w:val="single" w:sz="4" w:space="0" w:color="auto"/>
            </w:tcBorders>
            <w:shd w:val="clear" w:color="auto" w:fill="auto"/>
            <w:vAlign w:val="center"/>
            <w:hideMark/>
          </w:tcPr>
          <w:p w14:paraId="0C622F50"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709" w:type="dxa"/>
            <w:tcBorders>
              <w:top w:val="nil"/>
              <w:left w:val="nil"/>
              <w:bottom w:val="nil"/>
              <w:right w:val="single" w:sz="4" w:space="0" w:color="auto"/>
            </w:tcBorders>
            <w:shd w:val="clear" w:color="auto" w:fill="auto"/>
            <w:vAlign w:val="center"/>
            <w:hideMark/>
          </w:tcPr>
          <w:p w14:paraId="2DBDBFB8"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567" w:type="dxa"/>
            <w:tcBorders>
              <w:top w:val="nil"/>
              <w:left w:val="nil"/>
              <w:bottom w:val="nil"/>
              <w:right w:val="single" w:sz="4" w:space="0" w:color="auto"/>
            </w:tcBorders>
            <w:shd w:val="clear" w:color="auto" w:fill="auto"/>
            <w:vAlign w:val="center"/>
            <w:hideMark/>
          </w:tcPr>
          <w:p w14:paraId="6370BD66"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92" w:type="dxa"/>
            <w:tcBorders>
              <w:top w:val="nil"/>
              <w:left w:val="nil"/>
              <w:bottom w:val="nil"/>
              <w:right w:val="single" w:sz="4" w:space="0" w:color="auto"/>
            </w:tcBorders>
            <w:shd w:val="clear" w:color="auto" w:fill="auto"/>
            <w:vAlign w:val="center"/>
            <w:hideMark/>
          </w:tcPr>
          <w:p w14:paraId="771EDDCC"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709" w:type="dxa"/>
            <w:tcBorders>
              <w:top w:val="nil"/>
              <w:left w:val="nil"/>
              <w:bottom w:val="nil"/>
              <w:right w:val="single" w:sz="4" w:space="0" w:color="auto"/>
            </w:tcBorders>
            <w:shd w:val="clear" w:color="auto" w:fill="auto"/>
            <w:vAlign w:val="center"/>
            <w:hideMark/>
          </w:tcPr>
          <w:p w14:paraId="762FE2F4"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691" w:type="dxa"/>
            <w:tcBorders>
              <w:top w:val="nil"/>
              <w:left w:val="nil"/>
              <w:bottom w:val="nil"/>
              <w:right w:val="single" w:sz="4" w:space="0" w:color="auto"/>
            </w:tcBorders>
            <w:shd w:val="clear" w:color="auto" w:fill="auto"/>
            <w:vAlign w:val="center"/>
            <w:hideMark/>
          </w:tcPr>
          <w:p w14:paraId="2622909F"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651" w:type="dxa"/>
            <w:tcBorders>
              <w:top w:val="nil"/>
              <w:left w:val="nil"/>
              <w:bottom w:val="nil"/>
              <w:right w:val="single" w:sz="4" w:space="0" w:color="auto"/>
            </w:tcBorders>
            <w:shd w:val="clear" w:color="auto" w:fill="auto"/>
            <w:vAlign w:val="center"/>
            <w:hideMark/>
          </w:tcPr>
          <w:p w14:paraId="1712DF7B"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26" w:type="dxa"/>
            <w:tcBorders>
              <w:top w:val="nil"/>
              <w:left w:val="nil"/>
              <w:bottom w:val="nil"/>
              <w:right w:val="single" w:sz="4" w:space="0" w:color="auto"/>
            </w:tcBorders>
            <w:shd w:val="clear" w:color="auto" w:fill="auto"/>
            <w:vAlign w:val="center"/>
            <w:hideMark/>
          </w:tcPr>
          <w:p w14:paraId="4A14429B"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567" w:type="dxa"/>
            <w:tcBorders>
              <w:top w:val="nil"/>
              <w:left w:val="nil"/>
              <w:bottom w:val="nil"/>
              <w:right w:val="single" w:sz="4" w:space="0" w:color="auto"/>
            </w:tcBorders>
            <w:shd w:val="clear" w:color="auto" w:fill="auto"/>
            <w:vAlign w:val="center"/>
            <w:hideMark/>
          </w:tcPr>
          <w:p w14:paraId="064C14BF"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425" w:type="dxa"/>
            <w:tcBorders>
              <w:top w:val="nil"/>
              <w:left w:val="nil"/>
              <w:bottom w:val="nil"/>
              <w:right w:val="single" w:sz="4" w:space="0" w:color="auto"/>
            </w:tcBorders>
            <w:shd w:val="clear" w:color="000000" w:fill="F2F2F2"/>
            <w:vAlign w:val="center"/>
            <w:hideMark/>
          </w:tcPr>
          <w:p w14:paraId="2FC48E19" w14:textId="77777777" w:rsidR="003F035B" w:rsidRPr="00395593" w:rsidRDefault="003F035B" w:rsidP="0098716C">
            <w:pPr>
              <w:spacing w:after="0" w:line="240" w:lineRule="auto"/>
              <w:jc w:val="right"/>
              <w:rPr>
                <w:rFonts w:ascii="Garamond" w:hAnsi="Garamond" w:cs="Calibri"/>
                <w:b/>
                <w:color w:val="000000"/>
                <w:sz w:val="12"/>
                <w:szCs w:val="12"/>
              </w:rPr>
            </w:pPr>
            <w:r w:rsidRPr="00395593">
              <w:rPr>
                <w:rFonts w:ascii="Garamond" w:hAnsi="Garamond" w:cs="Calibri"/>
                <w:b/>
                <w:color w:val="000000"/>
                <w:sz w:val="12"/>
                <w:szCs w:val="12"/>
              </w:rPr>
              <w:t>-</w:t>
            </w:r>
          </w:p>
        </w:tc>
      </w:tr>
      <w:tr w:rsidR="003F035B" w:rsidRPr="00395593" w14:paraId="414EE77C" w14:textId="77777777" w:rsidTr="0098716C">
        <w:trPr>
          <w:jc w:val="center"/>
        </w:trPr>
        <w:tc>
          <w:tcPr>
            <w:tcW w:w="333" w:type="dxa"/>
            <w:vMerge/>
            <w:tcBorders>
              <w:top w:val="single" w:sz="4" w:space="0" w:color="auto"/>
              <w:left w:val="single" w:sz="4" w:space="0" w:color="auto"/>
              <w:bottom w:val="single" w:sz="4" w:space="0" w:color="000000"/>
              <w:right w:val="single" w:sz="4" w:space="0" w:color="auto"/>
            </w:tcBorders>
            <w:vAlign w:val="center"/>
            <w:hideMark/>
          </w:tcPr>
          <w:p w14:paraId="7444C42F" w14:textId="77777777" w:rsidR="003F035B" w:rsidRPr="00395593" w:rsidRDefault="003F035B" w:rsidP="0098716C">
            <w:pPr>
              <w:spacing w:after="0" w:line="240" w:lineRule="auto"/>
              <w:rPr>
                <w:rFonts w:ascii="Garamond" w:hAnsi="Garamond" w:cs="Calibri"/>
                <w:b/>
                <w:color w:val="000000"/>
                <w:sz w:val="12"/>
                <w:szCs w:val="12"/>
              </w:rPr>
            </w:pPr>
          </w:p>
        </w:tc>
        <w:tc>
          <w:tcPr>
            <w:tcW w:w="700" w:type="dxa"/>
            <w:tcBorders>
              <w:top w:val="nil"/>
              <w:left w:val="nil"/>
              <w:bottom w:val="single" w:sz="4" w:space="0" w:color="auto"/>
              <w:right w:val="single" w:sz="4" w:space="0" w:color="auto"/>
            </w:tcBorders>
            <w:shd w:val="clear" w:color="auto" w:fill="auto"/>
            <w:vAlign w:val="center"/>
            <w:hideMark/>
          </w:tcPr>
          <w:p w14:paraId="0D272E32"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P2</w:t>
            </w:r>
          </w:p>
        </w:tc>
        <w:tc>
          <w:tcPr>
            <w:tcW w:w="541" w:type="dxa"/>
            <w:tcBorders>
              <w:top w:val="nil"/>
              <w:left w:val="nil"/>
              <w:bottom w:val="nil"/>
              <w:right w:val="nil"/>
            </w:tcBorders>
            <w:shd w:val="clear" w:color="auto" w:fill="auto"/>
            <w:vAlign w:val="center"/>
            <w:hideMark/>
          </w:tcPr>
          <w:p w14:paraId="3323F607"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651" w:type="dxa"/>
            <w:tcBorders>
              <w:top w:val="nil"/>
              <w:left w:val="single" w:sz="4" w:space="0" w:color="auto"/>
              <w:bottom w:val="nil"/>
              <w:right w:val="single" w:sz="4" w:space="0" w:color="auto"/>
            </w:tcBorders>
            <w:shd w:val="clear" w:color="auto" w:fill="auto"/>
            <w:vAlign w:val="center"/>
            <w:hideMark/>
          </w:tcPr>
          <w:p w14:paraId="05A2376C"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894" w:type="dxa"/>
            <w:tcBorders>
              <w:top w:val="nil"/>
              <w:left w:val="nil"/>
              <w:bottom w:val="nil"/>
              <w:right w:val="single" w:sz="4" w:space="0" w:color="auto"/>
            </w:tcBorders>
            <w:shd w:val="clear" w:color="auto" w:fill="auto"/>
            <w:vAlign w:val="center"/>
            <w:hideMark/>
          </w:tcPr>
          <w:p w14:paraId="3B34EBA6"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567" w:type="dxa"/>
            <w:tcBorders>
              <w:top w:val="nil"/>
              <w:left w:val="nil"/>
              <w:bottom w:val="nil"/>
              <w:right w:val="single" w:sz="4" w:space="0" w:color="auto"/>
            </w:tcBorders>
            <w:shd w:val="clear" w:color="auto" w:fill="auto"/>
            <w:vAlign w:val="center"/>
            <w:hideMark/>
          </w:tcPr>
          <w:p w14:paraId="784108BB"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709" w:type="dxa"/>
            <w:tcBorders>
              <w:top w:val="nil"/>
              <w:left w:val="nil"/>
              <w:bottom w:val="nil"/>
              <w:right w:val="single" w:sz="4" w:space="0" w:color="auto"/>
            </w:tcBorders>
            <w:shd w:val="clear" w:color="auto" w:fill="auto"/>
            <w:vAlign w:val="center"/>
            <w:hideMark/>
          </w:tcPr>
          <w:p w14:paraId="71F8EE6F"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567" w:type="dxa"/>
            <w:tcBorders>
              <w:top w:val="nil"/>
              <w:left w:val="nil"/>
              <w:bottom w:val="nil"/>
              <w:right w:val="single" w:sz="4" w:space="0" w:color="auto"/>
            </w:tcBorders>
            <w:shd w:val="clear" w:color="auto" w:fill="auto"/>
            <w:vAlign w:val="center"/>
            <w:hideMark/>
          </w:tcPr>
          <w:p w14:paraId="75E005F1"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92" w:type="dxa"/>
            <w:tcBorders>
              <w:top w:val="nil"/>
              <w:left w:val="nil"/>
              <w:bottom w:val="nil"/>
              <w:right w:val="single" w:sz="4" w:space="0" w:color="auto"/>
            </w:tcBorders>
            <w:shd w:val="clear" w:color="auto" w:fill="auto"/>
            <w:vAlign w:val="center"/>
            <w:hideMark/>
          </w:tcPr>
          <w:p w14:paraId="2E50E4DD"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709" w:type="dxa"/>
            <w:tcBorders>
              <w:top w:val="nil"/>
              <w:left w:val="nil"/>
              <w:bottom w:val="nil"/>
              <w:right w:val="single" w:sz="4" w:space="0" w:color="auto"/>
            </w:tcBorders>
            <w:shd w:val="clear" w:color="auto" w:fill="auto"/>
            <w:vAlign w:val="center"/>
            <w:hideMark/>
          </w:tcPr>
          <w:p w14:paraId="7068C4EE"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691" w:type="dxa"/>
            <w:tcBorders>
              <w:top w:val="nil"/>
              <w:left w:val="nil"/>
              <w:bottom w:val="nil"/>
              <w:right w:val="single" w:sz="4" w:space="0" w:color="auto"/>
            </w:tcBorders>
            <w:shd w:val="clear" w:color="auto" w:fill="auto"/>
            <w:vAlign w:val="center"/>
            <w:hideMark/>
          </w:tcPr>
          <w:p w14:paraId="7E57C5B5"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651" w:type="dxa"/>
            <w:tcBorders>
              <w:top w:val="nil"/>
              <w:left w:val="nil"/>
              <w:bottom w:val="nil"/>
              <w:right w:val="single" w:sz="4" w:space="0" w:color="auto"/>
            </w:tcBorders>
            <w:shd w:val="clear" w:color="auto" w:fill="auto"/>
            <w:vAlign w:val="center"/>
            <w:hideMark/>
          </w:tcPr>
          <w:p w14:paraId="0848BCA6"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26" w:type="dxa"/>
            <w:tcBorders>
              <w:top w:val="nil"/>
              <w:left w:val="nil"/>
              <w:bottom w:val="nil"/>
              <w:right w:val="single" w:sz="4" w:space="0" w:color="auto"/>
            </w:tcBorders>
            <w:shd w:val="clear" w:color="auto" w:fill="auto"/>
            <w:vAlign w:val="center"/>
            <w:hideMark/>
          </w:tcPr>
          <w:p w14:paraId="6979E493"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567" w:type="dxa"/>
            <w:tcBorders>
              <w:top w:val="nil"/>
              <w:left w:val="nil"/>
              <w:bottom w:val="nil"/>
              <w:right w:val="single" w:sz="4" w:space="0" w:color="auto"/>
            </w:tcBorders>
            <w:shd w:val="clear" w:color="auto" w:fill="auto"/>
            <w:vAlign w:val="center"/>
            <w:hideMark/>
          </w:tcPr>
          <w:p w14:paraId="0442C50E"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425" w:type="dxa"/>
            <w:tcBorders>
              <w:top w:val="nil"/>
              <w:left w:val="nil"/>
              <w:bottom w:val="nil"/>
              <w:right w:val="single" w:sz="4" w:space="0" w:color="auto"/>
            </w:tcBorders>
            <w:shd w:val="clear" w:color="000000" w:fill="F2F2F2"/>
            <w:vAlign w:val="center"/>
            <w:hideMark/>
          </w:tcPr>
          <w:p w14:paraId="108E61E9" w14:textId="77777777" w:rsidR="003F035B" w:rsidRPr="00395593" w:rsidRDefault="003F035B" w:rsidP="0098716C">
            <w:pPr>
              <w:spacing w:after="0" w:line="240" w:lineRule="auto"/>
              <w:jc w:val="right"/>
              <w:rPr>
                <w:rFonts w:ascii="Garamond" w:hAnsi="Garamond" w:cs="Calibri"/>
                <w:b/>
                <w:color w:val="000000"/>
                <w:sz w:val="12"/>
                <w:szCs w:val="12"/>
              </w:rPr>
            </w:pPr>
            <w:r w:rsidRPr="00395593">
              <w:rPr>
                <w:rFonts w:ascii="Garamond" w:hAnsi="Garamond" w:cs="Calibri"/>
                <w:b/>
                <w:color w:val="000000"/>
                <w:sz w:val="12"/>
                <w:szCs w:val="12"/>
              </w:rPr>
              <w:t>-</w:t>
            </w:r>
          </w:p>
        </w:tc>
      </w:tr>
      <w:tr w:rsidR="003F035B" w:rsidRPr="00395593" w14:paraId="65F897B7" w14:textId="77777777" w:rsidTr="0098716C">
        <w:trPr>
          <w:jc w:val="center"/>
        </w:trPr>
        <w:tc>
          <w:tcPr>
            <w:tcW w:w="333" w:type="dxa"/>
            <w:vMerge/>
            <w:tcBorders>
              <w:top w:val="single" w:sz="4" w:space="0" w:color="auto"/>
              <w:left w:val="single" w:sz="4" w:space="0" w:color="auto"/>
              <w:bottom w:val="single" w:sz="4" w:space="0" w:color="000000"/>
              <w:right w:val="single" w:sz="4" w:space="0" w:color="auto"/>
            </w:tcBorders>
            <w:vAlign w:val="center"/>
            <w:hideMark/>
          </w:tcPr>
          <w:p w14:paraId="0B135099" w14:textId="77777777" w:rsidR="003F035B" w:rsidRPr="00395593" w:rsidRDefault="003F035B" w:rsidP="0098716C">
            <w:pPr>
              <w:spacing w:after="0" w:line="240" w:lineRule="auto"/>
              <w:rPr>
                <w:rFonts w:ascii="Garamond" w:hAnsi="Garamond" w:cs="Calibri"/>
                <w:b/>
                <w:color w:val="000000"/>
                <w:sz w:val="12"/>
                <w:szCs w:val="12"/>
              </w:rPr>
            </w:pPr>
          </w:p>
        </w:tc>
        <w:tc>
          <w:tcPr>
            <w:tcW w:w="700" w:type="dxa"/>
            <w:tcBorders>
              <w:top w:val="nil"/>
              <w:left w:val="nil"/>
              <w:bottom w:val="single" w:sz="4" w:space="0" w:color="auto"/>
              <w:right w:val="single" w:sz="4" w:space="0" w:color="auto"/>
            </w:tcBorders>
            <w:shd w:val="clear" w:color="auto" w:fill="auto"/>
            <w:vAlign w:val="center"/>
            <w:hideMark/>
          </w:tcPr>
          <w:p w14:paraId="7F07BB2B"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P3</w:t>
            </w:r>
          </w:p>
        </w:tc>
        <w:tc>
          <w:tcPr>
            <w:tcW w:w="541" w:type="dxa"/>
            <w:tcBorders>
              <w:top w:val="nil"/>
              <w:left w:val="nil"/>
              <w:bottom w:val="nil"/>
              <w:right w:val="nil"/>
            </w:tcBorders>
            <w:shd w:val="clear" w:color="auto" w:fill="auto"/>
            <w:vAlign w:val="center"/>
            <w:hideMark/>
          </w:tcPr>
          <w:p w14:paraId="66A46CA9"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651" w:type="dxa"/>
            <w:tcBorders>
              <w:top w:val="nil"/>
              <w:left w:val="single" w:sz="4" w:space="0" w:color="auto"/>
              <w:bottom w:val="nil"/>
              <w:right w:val="single" w:sz="4" w:space="0" w:color="auto"/>
            </w:tcBorders>
            <w:shd w:val="clear" w:color="auto" w:fill="auto"/>
            <w:vAlign w:val="center"/>
            <w:hideMark/>
          </w:tcPr>
          <w:p w14:paraId="4CE97BF7"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894" w:type="dxa"/>
            <w:tcBorders>
              <w:top w:val="nil"/>
              <w:left w:val="nil"/>
              <w:bottom w:val="nil"/>
              <w:right w:val="single" w:sz="4" w:space="0" w:color="auto"/>
            </w:tcBorders>
            <w:shd w:val="clear" w:color="auto" w:fill="auto"/>
            <w:vAlign w:val="center"/>
            <w:hideMark/>
          </w:tcPr>
          <w:p w14:paraId="34459423"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567" w:type="dxa"/>
            <w:tcBorders>
              <w:top w:val="nil"/>
              <w:left w:val="nil"/>
              <w:bottom w:val="nil"/>
              <w:right w:val="single" w:sz="4" w:space="0" w:color="auto"/>
            </w:tcBorders>
            <w:shd w:val="clear" w:color="auto" w:fill="auto"/>
            <w:vAlign w:val="center"/>
            <w:hideMark/>
          </w:tcPr>
          <w:p w14:paraId="6C50E1A6"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709" w:type="dxa"/>
            <w:tcBorders>
              <w:top w:val="nil"/>
              <w:left w:val="nil"/>
              <w:bottom w:val="nil"/>
              <w:right w:val="single" w:sz="4" w:space="0" w:color="auto"/>
            </w:tcBorders>
            <w:shd w:val="clear" w:color="auto" w:fill="auto"/>
            <w:vAlign w:val="center"/>
            <w:hideMark/>
          </w:tcPr>
          <w:p w14:paraId="75ED7C76"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567" w:type="dxa"/>
            <w:tcBorders>
              <w:top w:val="nil"/>
              <w:left w:val="nil"/>
              <w:bottom w:val="nil"/>
              <w:right w:val="single" w:sz="4" w:space="0" w:color="auto"/>
            </w:tcBorders>
            <w:shd w:val="clear" w:color="auto" w:fill="auto"/>
            <w:vAlign w:val="center"/>
            <w:hideMark/>
          </w:tcPr>
          <w:p w14:paraId="32CCAF15"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92" w:type="dxa"/>
            <w:tcBorders>
              <w:top w:val="nil"/>
              <w:left w:val="nil"/>
              <w:bottom w:val="nil"/>
              <w:right w:val="single" w:sz="4" w:space="0" w:color="auto"/>
            </w:tcBorders>
            <w:shd w:val="clear" w:color="auto" w:fill="auto"/>
            <w:vAlign w:val="center"/>
            <w:hideMark/>
          </w:tcPr>
          <w:p w14:paraId="716587FA"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709" w:type="dxa"/>
            <w:tcBorders>
              <w:top w:val="nil"/>
              <w:left w:val="nil"/>
              <w:bottom w:val="nil"/>
              <w:right w:val="single" w:sz="4" w:space="0" w:color="auto"/>
            </w:tcBorders>
            <w:shd w:val="clear" w:color="auto" w:fill="auto"/>
            <w:vAlign w:val="center"/>
            <w:hideMark/>
          </w:tcPr>
          <w:p w14:paraId="5F1E695F"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691" w:type="dxa"/>
            <w:tcBorders>
              <w:top w:val="nil"/>
              <w:left w:val="nil"/>
              <w:bottom w:val="nil"/>
              <w:right w:val="single" w:sz="4" w:space="0" w:color="auto"/>
            </w:tcBorders>
            <w:shd w:val="clear" w:color="auto" w:fill="auto"/>
            <w:vAlign w:val="center"/>
            <w:hideMark/>
          </w:tcPr>
          <w:p w14:paraId="2CBD3C8D"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651" w:type="dxa"/>
            <w:tcBorders>
              <w:top w:val="nil"/>
              <w:left w:val="nil"/>
              <w:bottom w:val="nil"/>
              <w:right w:val="single" w:sz="4" w:space="0" w:color="auto"/>
            </w:tcBorders>
            <w:shd w:val="clear" w:color="auto" w:fill="auto"/>
            <w:vAlign w:val="center"/>
            <w:hideMark/>
          </w:tcPr>
          <w:p w14:paraId="72C8BB4C"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26" w:type="dxa"/>
            <w:tcBorders>
              <w:top w:val="nil"/>
              <w:left w:val="nil"/>
              <w:bottom w:val="nil"/>
              <w:right w:val="single" w:sz="4" w:space="0" w:color="auto"/>
            </w:tcBorders>
            <w:shd w:val="clear" w:color="auto" w:fill="auto"/>
            <w:vAlign w:val="center"/>
            <w:hideMark/>
          </w:tcPr>
          <w:p w14:paraId="19C636CB"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567" w:type="dxa"/>
            <w:tcBorders>
              <w:top w:val="nil"/>
              <w:left w:val="nil"/>
              <w:bottom w:val="nil"/>
              <w:right w:val="single" w:sz="4" w:space="0" w:color="auto"/>
            </w:tcBorders>
            <w:shd w:val="clear" w:color="auto" w:fill="auto"/>
            <w:vAlign w:val="center"/>
            <w:hideMark/>
          </w:tcPr>
          <w:p w14:paraId="6430B7AD"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425" w:type="dxa"/>
            <w:tcBorders>
              <w:top w:val="nil"/>
              <w:left w:val="nil"/>
              <w:bottom w:val="nil"/>
              <w:right w:val="single" w:sz="4" w:space="0" w:color="auto"/>
            </w:tcBorders>
            <w:shd w:val="clear" w:color="000000" w:fill="F2F2F2"/>
            <w:vAlign w:val="center"/>
            <w:hideMark/>
          </w:tcPr>
          <w:p w14:paraId="3C034EF3" w14:textId="77777777" w:rsidR="003F035B" w:rsidRPr="00395593" w:rsidRDefault="003F035B" w:rsidP="0098716C">
            <w:pPr>
              <w:spacing w:after="0" w:line="240" w:lineRule="auto"/>
              <w:jc w:val="right"/>
              <w:rPr>
                <w:rFonts w:ascii="Garamond" w:hAnsi="Garamond" w:cs="Calibri"/>
                <w:b/>
                <w:color w:val="000000"/>
                <w:sz w:val="12"/>
                <w:szCs w:val="12"/>
              </w:rPr>
            </w:pPr>
            <w:r w:rsidRPr="00395593">
              <w:rPr>
                <w:rFonts w:ascii="Garamond" w:hAnsi="Garamond" w:cs="Calibri"/>
                <w:b/>
                <w:color w:val="000000"/>
                <w:sz w:val="12"/>
                <w:szCs w:val="12"/>
              </w:rPr>
              <w:t>-</w:t>
            </w:r>
          </w:p>
        </w:tc>
      </w:tr>
      <w:tr w:rsidR="003F035B" w:rsidRPr="00395593" w14:paraId="449A98A9" w14:textId="77777777" w:rsidTr="0098716C">
        <w:trPr>
          <w:jc w:val="center"/>
        </w:trPr>
        <w:tc>
          <w:tcPr>
            <w:tcW w:w="333" w:type="dxa"/>
            <w:vMerge/>
            <w:tcBorders>
              <w:top w:val="single" w:sz="4" w:space="0" w:color="auto"/>
              <w:left w:val="single" w:sz="4" w:space="0" w:color="auto"/>
              <w:bottom w:val="single" w:sz="4" w:space="0" w:color="000000"/>
              <w:right w:val="single" w:sz="4" w:space="0" w:color="auto"/>
            </w:tcBorders>
            <w:vAlign w:val="center"/>
            <w:hideMark/>
          </w:tcPr>
          <w:p w14:paraId="0CE146B6" w14:textId="77777777" w:rsidR="003F035B" w:rsidRPr="00395593" w:rsidRDefault="003F035B" w:rsidP="0098716C">
            <w:pPr>
              <w:spacing w:after="0" w:line="240" w:lineRule="auto"/>
              <w:rPr>
                <w:rFonts w:ascii="Garamond" w:hAnsi="Garamond" w:cs="Calibri"/>
                <w:b/>
                <w:color w:val="000000"/>
                <w:sz w:val="12"/>
                <w:szCs w:val="12"/>
              </w:rPr>
            </w:pPr>
          </w:p>
        </w:tc>
        <w:tc>
          <w:tcPr>
            <w:tcW w:w="700" w:type="dxa"/>
            <w:tcBorders>
              <w:top w:val="nil"/>
              <w:left w:val="nil"/>
              <w:bottom w:val="single" w:sz="4" w:space="0" w:color="auto"/>
              <w:right w:val="single" w:sz="4" w:space="0" w:color="auto"/>
            </w:tcBorders>
            <w:shd w:val="clear" w:color="auto" w:fill="auto"/>
            <w:vAlign w:val="center"/>
            <w:hideMark/>
          </w:tcPr>
          <w:p w14:paraId="396277EE"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P4</w:t>
            </w:r>
          </w:p>
        </w:tc>
        <w:tc>
          <w:tcPr>
            <w:tcW w:w="541" w:type="dxa"/>
            <w:tcBorders>
              <w:top w:val="nil"/>
              <w:left w:val="nil"/>
              <w:bottom w:val="nil"/>
              <w:right w:val="nil"/>
            </w:tcBorders>
            <w:shd w:val="clear" w:color="auto" w:fill="auto"/>
            <w:vAlign w:val="center"/>
            <w:hideMark/>
          </w:tcPr>
          <w:p w14:paraId="119FA7B3"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651" w:type="dxa"/>
            <w:tcBorders>
              <w:top w:val="nil"/>
              <w:left w:val="single" w:sz="4" w:space="0" w:color="auto"/>
              <w:bottom w:val="nil"/>
              <w:right w:val="single" w:sz="4" w:space="0" w:color="auto"/>
            </w:tcBorders>
            <w:shd w:val="clear" w:color="auto" w:fill="auto"/>
            <w:vAlign w:val="center"/>
            <w:hideMark/>
          </w:tcPr>
          <w:p w14:paraId="34F14762"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894" w:type="dxa"/>
            <w:tcBorders>
              <w:top w:val="nil"/>
              <w:left w:val="nil"/>
              <w:bottom w:val="nil"/>
              <w:right w:val="single" w:sz="4" w:space="0" w:color="auto"/>
            </w:tcBorders>
            <w:shd w:val="clear" w:color="auto" w:fill="auto"/>
            <w:vAlign w:val="center"/>
            <w:hideMark/>
          </w:tcPr>
          <w:p w14:paraId="274C4DC6"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567" w:type="dxa"/>
            <w:tcBorders>
              <w:top w:val="nil"/>
              <w:left w:val="nil"/>
              <w:bottom w:val="nil"/>
              <w:right w:val="single" w:sz="4" w:space="0" w:color="auto"/>
            </w:tcBorders>
            <w:shd w:val="clear" w:color="auto" w:fill="auto"/>
            <w:vAlign w:val="center"/>
            <w:hideMark/>
          </w:tcPr>
          <w:p w14:paraId="3550703C"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709" w:type="dxa"/>
            <w:tcBorders>
              <w:top w:val="nil"/>
              <w:left w:val="nil"/>
              <w:bottom w:val="nil"/>
              <w:right w:val="single" w:sz="4" w:space="0" w:color="auto"/>
            </w:tcBorders>
            <w:shd w:val="clear" w:color="auto" w:fill="auto"/>
            <w:vAlign w:val="center"/>
            <w:hideMark/>
          </w:tcPr>
          <w:p w14:paraId="69EE7653"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567" w:type="dxa"/>
            <w:tcBorders>
              <w:top w:val="nil"/>
              <w:left w:val="nil"/>
              <w:bottom w:val="nil"/>
              <w:right w:val="single" w:sz="4" w:space="0" w:color="auto"/>
            </w:tcBorders>
            <w:shd w:val="clear" w:color="auto" w:fill="auto"/>
            <w:vAlign w:val="center"/>
            <w:hideMark/>
          </w:tcPr>
          <w:p w14:paraId="7C3E47C2"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92" w:type="dxa"/>
            <w:tcBorders>
              <w:top w:val="nil"/>
              <w:left w:val="nil"/>
              <w:bottom w:val="nil"/>
              <w:right w:val="single" w:sz="4" w:space="0" w:color="auto"/>
            </w:tcBorders>
            <w:shd w:val="clear" w:color="auto" w:fill="auto"/>
            <w:vAlign w:val="center"/>
            <w:hideMark/>
          </w:tcPr>
          <w:p w14:paraId="7C53D61C"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709" w:type="dxa"/>
            <w:tcBorders>
              <w:top w:val="nil"/>
              <w:left w:val="nil"/>
              <w:bottom w:val="nil"/>
              <w:right w:val="single" w:sz="4" w:space="0" w:color="auto"/>
            </w:tcBorders>
            <w:shd w:val="clear" w:color="auto" w:fill="auto"/>
            <w:vAlign w:val="center"/>
            <w:hideMark/>
          </w:tcPr>
          <w:p w14:paraId="3749DB18"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691" w:type="dxa"/>
            <w:tcBorders>
              <w:top w:val="nil"/>
              <w:left w:val="nil"/>
              <w:bottom w:val="nil"/>
              <w:right w:val="single" w:sz="4" w:space="0" w:color="auto"/>
            </w:tcBorders>
            <w:shd w:val="clear" w:color="auto" w:fill="auto"/>
            <w:vAlign w:val="center"/>
            <w:hideMark/>
          </w:tcPr>
          <w:p w14:paraId="2767095A"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651" w:type="dxa"/>
            <w:tcBorders>
              <w:top w:val="nil"/>
              <w:left w:val="nil"/>
              <w:bottom w:val="nil"/>
              <w:right w:val="single" w:sz="4" w:space="0" w:color="auto"/>
            </w:tcBorders>
            <w:shd w:val="clear" w:color="auto" w:fill="auto"/>
            <w:vAlign w:val="center"/>
            <w:hideMark/>
          </w:tcPr>
          <w:p w14:paraId="36DE8F2C"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26" w:type="dxa"/>
            <w:tcBorders>
              <w:top w:val="nil"/>
              <w:left w:val="nil"/>
              <w:bottom w:val="nil"/>
              <w:right w:val="single" w:sz="4" w:space="0" w:color="auto"/>
            </w:tcBorders>
            <w:shd w:val="clear" w:color="auto" w:fill="auto"/>
            <w:vAlign w:val="center"/>
            <w:hideMark/>
          </w:tcPr>
          <w:p w14:paraId="13275DC8"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567" w:type="dxa"/>
            <w:tcBorders>
              <w:top w:val="nil"/>
              <w:left w:val="nil"/>
              <w:bottom w:val="nil"/>
              <w:right w:val="single" w:sz="4" w:space="0" w:color="auto"/>
            </w:tcBorders>
            <w:shd w:val="clear" w:color="auto" w:fill="auto"/>
            <w:vAlign w:val="center"/>
            <w:hideMark/>
          </w:tcPr>
          <w:p w14:paraId="6845907B"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425" w:type="dxa"/>
            <w:tcBorders>
              <w:top w:val="nil"/>
              <w:left w:val="nil"/>
              <w:bottom w:val="nil"/>
              <w:right w:val="single" w:sz="4" w:space="0" w:color="auto"/>
            </w:tcBorders>
            <w:shd w:val="clear" w:color="000000" w:fill="F2F2F2"/>
            <w:vAlign w:val="center"/>
            <w:hideMark/>
          </w:tcPr>
          <w:p w14:paraId="4FC49BD2" w14:textId="77777777" w:rsidR="003F035B" w:rsidRPr="00395593" w:rsidRDefault="003F035B" w:rsidP="0098716C">
            <w:pPr>
              <w:spacing w:after="0" w:line="240" w:lineRule="auto"/>
              <w:jc w:val="right"/>
              <w:rPr>
                <w:rFonts w:ascii="Garamond" w:hAnsi="Garamond" w:cs="Calibri"/>
                <w:b/>
                <w:color w:val="000000"/>
                <w:sz w:val="12"/>
                <w:szCs w:val="12"/>
              </w:rPr>
            </w:pPr>
            <w:r w:rsidRPr="00395593">
              <w:rPr>
                <w:rFonts w:ascii="Garamond" w:hAnsi="Garamond" w:cs="Calibri"/>
                <w:b/>
                <w:color w:val="000000"/>
                <w:sz w:val="12"/>
                <w:szCs w:val="12"/>
              </w:rPr>
              <w:t>-</w:t>
            </w:r>
          </w:p>
        </w:tc>
      </w:tr>
      <w:tr w:rsidR="003F035B" w:rsidRPr="00395593" w14:paraId="51F5F125" w14:textId="77777777" w:rsidTr="0098716C">
        <w:trPr>
          <w:jc w:val="center"/>
        </w:trPr>
        <w:tc>
          <w:tcPr>
            <w:tcW w:w="333" w:type="dxa"/>
            <w:vMerge/>
            <w:tcBorders>
              <w:top w:val="single" w:sz="4" w:space="0" w:color="auto"/>
              <w:left w:val="single" w:sz="4" w:space="0" w:color="auto"/>
              <w:bottom w:val="single" w:sz="4" w:space="0" w:color="000000"/>
              <w:right w:val="single" w:sz="4" w:space="0" w:color="auto"/>
            </w:tcBorders>
            <w:vAlign w:val="center"/>
            <w:hideMark/>
          </w:tcPr>
          <w:p w14:paraId="79DF6F45" w14:textId="77777777" w:rsidR="003F035B" w:rsidRPr="00395593" w:rsidRDefault="003F035B" w:rsidP="0098716C">
            <w:pPr>
              <w:spacing w:after="0" w:line="240" w:lineRule="auto"/>
              <w:rPr>
                <w:rFonts w:ascii="Garamond" w:hAnsi="Garamond" w:cs="Calibri"/>
                <w:b/>
                <w:color w:val="000000"/>
                <w:sz w:val="12"/>
                <w:szCs w:val="12"/>
              </w:rPr>
            </w:pPr>
          </w:p>
        </w:tc>
        <w:tc>
          <w:tcPr>
            <w:tcW w:w="700" w:type="dxa"/>
            <w:tcBorders>
              <w:top w:val="nil"/>
              <w:left w:val="nil"/>
              <w:bottom w:val="single" w:sz="4" w:space="0" w:color="auto"/>
              <w:right w:val="single" w:sz="4" w:space="0" w:color="auto"/>
            </w:tcBorders>
            <w:shd w:val="clear" w:color="auto" w:fill="auto"/>
            <w:vAlign w:val="center"/>
            <w:hideMark/>
          </w:tcPr>
          <w:p w14:paraId="0BBCAF24"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P5</w:t>
            </w:r>
          </w:p>
        </w:tc>
        <w:tc>
          <w:tcPr>
            <w:tcW w:w="541" w:type="dxa"/>
            <w:tcBorders>
              <w:top w:val="nil"/>
              <w:left w:val="nil"/>
              <w:bottom w:val="single" w:sz="4" w:space="0" w:color="auto"/>
              <w:right w:val="nil"/>
            </w:tcBorders>
            <w:shd w:val="clear" w:color="auto" w:fill="auto"/>
            <w:vAlign w:val="center"/>
            <w:hideMark/>
          </w:tcPr>
          <w:p w14:paraId="6097C255"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651" w:type="dxa"/>
            <w:tcBorders>
              <w:top w:val="nil"/>
              <w:left w:val="single" w:sz="4" w:space="0" w:color="auto"/>
              <w:bottom w:val="single" w:sz="4" w:space="0" w:color="auto"/>
              <w:right w:val="single" w:sz="4" w:space="0" w:color="auto"/>
            </w:tcBorders>
            <w:shd w:val="clear" w:color="auto" w:fill="auto"/>
            <w:vAlign w:val="center"/>
            <w:hideMark/>
          </w:tcPr>
          <w:p w14:paraId="390710F2"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hideMark/>
          </w:tcPr>
          <w:p w14:paraId="5F21D420"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567" w:type="dxa"/>
            <w:tcBorders>
              <w:top w:val="nil"/>
              <w:left w:val="nil"/>
              <w:bottom w:val="single" w:sz="4" w:space="0" w:color="auto"/>
              <w:right w:val="single" w:sz="4" w:space="0" w:color="auto"/>
            </w:tcBorders>
            <w:shd w:val="clear" w:color="auto" w:fill="auto"/>
            <w:vAlign w:val="center"/>
            <w:hideMark/>
          </w:tcPr>
          <w:p w14:paraId="2FD3C304"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709" w:type="dxa"/>
            <w:tcBorders>
              <w:top w:val="nil"/>
              <w:left w:val="nil"/>
              <w:bottom w:val="single" w:sz="4" w:space="0" w:color="auto"/>
              <w:right w:val="single" w:sz="4" w:space="0" w:color="auto"/>
            </w:tcBorders>
            <w:shd w:val="clear" w:color="auto" w:fill="auto"/>
            <w:vAlign w:val="center"/>
            <w:hideMark/>
          </w:tcPr>
          <w:p w14:paraId="69ED3FCD"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567" w:type="dxa"/>
            <w:tcBorders>
              <w:top w:val="nil"/>
              <w:left w:val="nil"/>
              <w:bottom w:val="single" w:sz="4" w:space="0" w:color="auto"/>
              <w:right w:val="single" w:sz="4" w:space="0" w:color="auto"/>
            </w:tcBorders>
            <w:shd w:val="clear" w:color="auto" w:fill="auto"/>
            <w:vAlign w:val="center"/>
            <w:hideMark/>
          </w:tcPr>
          <w:p w14:paraId="4DB58306"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92" w:type="dxa"/>
            <w:tcBorders>
              <w:top w:val="nil"/>
              <w:left w:val="nil"/>
              <w:bottom w:val="single" w:sz="4" w:space="0" w:color="auto"/>
              <w:right w:val="single" w:sz="4" w:space="0" w:color="auto"/>
            </w:tcBorders>
            <w:shd w:val="clear" w:color="auto" w:fill="auto"/>
            <w:vAlign w:val="center"/>
            <w:hideMark/>
          </w:tcPr>
          <w:p w14:paraId="47705811"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709" w:type="dxa"/>
            <w:tcBorders>
              <w:top w:val="nil"/>
              <w:left w:val="nil"/>
              <w:bottom w:val="single" w:sz="4" w:space="0" w:color="auto"/>
              <w:right w:val="single" w:sz="4" w:space="0" w:color="auto"/>
            </w:tcBorders>
            <w:shd w:val="clear" w:color="auto" w:fill="auto"/>
            <w:vAlign w:val="center"/>
            <w:hideMark/>
          </w:tcPr>
          <w:p w14:paraId="3BEF6AAE"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691" w:type="dxa"/>
            <w:tcBorders>
              <w:top w:val="nil"/>
              <w:left w:val="nil"/>
              <w:bottom w:val="single" w:sz="4" w:space="0" w:color="auto"/>
              <w:right w:val="single" w:sz="4" w:space="0" w:color="auto"/>
            </w:tcBorders>
            <w:shd w:val="clear" w:color="auto" w:fill="auto"/>
            <w:vAlign w:val="center"/>
            <w:hideMark/>
          </w:tcPr>
          <w:p w14:paraId="6ADC5B44"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651" w:type="dxa"/>
            <w:tcBorders>
              <w:top w:val="nil"/>
              <w:left w:val="nil"/>
              <w:bottom w:val="single" w:sz="4" w:space="0" w:color="auto"/>
              <w:right w:val="single" w:sz="4" w:space="0" w:color="auto"/>
            </w:tcBorders>
            <w:shd w:val="clear" w:color="auto" w:fill="auto"/>
            <w:vAlign w:val="center"/>
            <w:hideMark/>
          </w:tcPr>
          <w:p w14:paraId="22A6398A"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26" w:type="dxa"/>
            <w:tcBorders>
              <w:top w:val="nil"/>
              <w:left w:val="nil"/>
              <w:bottom w:val="single" w:sz="4" w:space="0" w:color="auto"/>
              <w:right w:val="single" w:sz="4" w:space="0" w:color="auto"/>
            </w:tcBorders>
            <w:shd w:val="clear" w:color="auto" w:fill="auto"/>
            <w:vAlign w:val="center"/>
            <w:hideMark/>
          </w:tcPr>
          <w:p w14:paraId="5DFA2418"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567" w:type="dxa"/>
            <w:tcBorders>
              <w:top w:val="nil"/>
              <w:left w:val="nil"/>
              <w:bottom w:val="single" w:sz="4" w:space="0" w:color="auto"/>
              <w:right w:val="single" w:sz="4" w:space="0" w:color="auto"/>
            </w:tcBorders>
            <w:shd w:val="clear" w:color="auto" w:fill="auto"/>
            <w:vAlign w:val="center"/>
            <w:hideMark/>
          </w:tcPr>
          <w:p w14:paraId="60479910"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425" w:type="dxa"/>
            <w:tcBorders>
              <w:top w:val="nil"/>
              <w:left w:val="nil"/>
              <w:bottom w:val="single" w:sz="4" w:space="0" w:color="auto"/>
              <w:right w:val="single" w:sz="4" w:space="0" w:color="auto"/>
            </w:tcBorders>
            <w:shd w:val="clear" w:color="000000" w:fill="F2F2F2"/>
            <w:vAlign w:val="center"/>
            <w:hideMark/>
          </w:tcPr>
          <w:p w14:paraId="35C7EDAE" w14:textId="77777777" w:rsidR="003F035B" w:rsidRPr="00395593" w:rsidRDefault="003F035B" w:rsidP="0098716C">
            <w:pPr>
              <w:spacing w:after="0" w:line="240" w:lineRule="auto"/>
              <w:jc w:val="right"/>
              <w:rPr>
                <w:rFonts w:ascii="Garamond" w:hAnsi="Garamond" w:cs="Calibri"/>
                <w:b/>
                <w:color w:val="000000"/>
                <w:sz w:val="12"/>
                <w:szCs w:val="12"/>
              </w:rPr>
            </w:pPr>
            <w:r w:rsidRPr="00395593">
              <w:rPr>
                <w:rFonts w:ascii="Garamond" w:hAnsi="Garamond" w:cs="Calibri"/>
                <w:b/>
                <w:color w:val="000000"/>
                <w:sz w:val="12"/>
                <w:szCs w:val="12"/>
              </w:rPr>
              <w:t>-</w:t>
            </w:r>
          </w:p>
        </w:tc>
      </w:tr>
    </w:tbl>
    <w:p w14:paraId="6330F679" w14:textId="77777777" w:rsidR="003F035B" w:rsidRPr="00395593" w:rsidRDefault="003F035B" w:rsidP="00E33E26">
      <w:pPr>
        <w:rPr>
          <w:rFonts w:ascii="Garamond" w:hAnsi="Garamond"/>
          <w:color w:val="000000"/>
        </w:rPr>
      </w:pPr>
    </w:p>
    <w:tbl>
      <w:tblPr>
        <w:tblW w:w="7230" w:type="dxa"/>
        <w:jc w:val="center"/>
        <w:tblLayout w:type="fixed"/>
        <w:tblCellMar>
          <w:top w:w="57" w:type="dxa"/>
          <w:left w:w="70" w:type="dxa"/>
          <w:bottom w:w="57" w:type="dxa"/>
          <w:right w:w="70" w:type="dxa"/>
        </w:tblCellMar>
        <w:tblLook w:val="04A0" w:firstRow="1" w:lastRow="0" w:firstColumn="1" w:lastColumn="0" w:noHBand="0" w:noVBand="1"/>
      </w:tblPr>
      <w:tblGrid>
        <w:gridCol w:w="565"/>
        <w:gridCol w:w="1388"/>
        <w:gridCol w:w="882"/>
        <w:gridCol w:w="993"/>
        <w:gridCol w:w="1275"/>
        <w:gridCol w:w="1134"/>
        <w:gridCol w:w="993"/>
      </w:tblGrid>
      <w:tr w:rsidR="003F035B" w:rsidRPr="00395593" w14:paraId="4D73C25C" w14:textId="77777777" w:rsidTr="0098716C">
        <w:trPr>
          <w:jc w:val="center"/>
        </w:trPr>
        <w:tc>
          <w:tcPr>
            <w:tcW w:w="1953" w:type="dxa"/>
            <w:gridSpan w:val="2"/>
            <w:vMerge w:val="restart"/>
            <w:tcBorders>
              <w:top w:val="nil"/>
              <w:left w:val="nil"/>
              <w:right w:val="nil"/>
            </w:tcBorders>
            <w:shd w:val="clear" w:color="auto" w:fill="auto"/>
            <w:noWrap/>
            <w:vAlign w:val="center"/>
            <w:hideMark/>
          </w:tcPr>
          <w:p w14:paraId="686C7E95" w14:textId="77777777" w:rsidR="003F035B" w:rsidRPr="00395593" w:rsidRDefault="003F035B" w:rsidP="0098716C">
            <w:pPr>
              <w:spacing w:after="0" w:line="240" w:lineRule="auto"/>
              <w:jc w:val="center"/>
              <w:rPr>
                <w:rFonts w:ascii="Garamond" w:hAnsi="Garamond" w:cs="Calibri"/>
                <w:color w:val="000000"/>
                <w:sz w:val="12"/>
                <w:szCs w:val="12"/>
              </w:rPr>
            </w:pPr>
            <w:r w:rsidRPr="00395593">
              <w:rPr>
                <w:rFonts w:ascii="Garamond" w:hAnsi="Garamond" w:cs="Calibri"/>
                <w:color w:val="000000"/>
                <w:sz w:val="12"/>
                <w:szCs w:val="12"/>
              </w:rPr>
              <w:br w:type="page"/>
            </w:r>
          </w:p>
        </w:tc>
        <w:tc>
          <w:tcPr>
            <w:tcW w:w="527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411949"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TERCEIRIZADOS - PRODUTO</w:t>
            </w:r>
          </w:p>
        </w:tc>
      </w:tr>
      <w:tr w:rsidR="003F035B" w:rsidRPr="00395593" w14:paraId="2F2BD8D3" w14:textId="77777777" w:rsidTr="0098716C">
        <w:trPr>
          <w:jc w:val="center"/>
        </w:trPr>
        <w:tc>
          <w:tcPr>
            <w:tcW w:w="1953" w:type="dxa"/>
            <w:gridSpan w:val="2"/>
            <w:vMerge/>
            <w:tcBorders>
              <w:left w:val="nil"/>
              <w:right w:val="nil"/>
            </w:tcBorders>
            <w:shd w:val="clear" w:color="auto" w:fill="auto"/>
            <w:noWrap/>
            <w:vAlign w:val="center"/>
            <w:hideMark/>
          </w:tcPr>
          <w:p w14:paraId="6CF43024" w14:textId="77777777" w:rsidR="003F035B" w:rsidRPr="00395593" w:rsidRDefault="003F035B" w:rsidP="0098716C">
            <w:pPr>
              <w:spacing w:after="0" w:line="240" w:lineRule="auto"/>
              <w:jc w:val="center"/>
              <w:rPr>
                <w:rFonts w:ascii="Garamond" w:hAnsi="Garamond" w:cs="Calibri"/>
                <w:color w:val="000000"/>
                <w:sz w:val="12"/>
                <w:szCs w:val="12"/>
              </w:rPr>
            </w:pPr>
          </w:p>
        </w:tc>
        <w:tc>
          <w:tcPr>
            <w:tcW w:w="428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7C46B"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Despesas com Mão de Obra terceirizada</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673A13"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Total</w:t>
            </w:r>
          </w:p>
        </w:tc>
      </w:tr>
      <w:tr w:rsidR="003F035B" w:rsidRPr="00395593" w14:paraId="4F65A824" w14:textId="77777777" w:rsidTr="0098716C">
        <w:trPr>
          <w:cantSplit/>
          <w:jc w:val="center"/>
        </w:trPr>
        <w:tc>
          <w:tcPr>
            <w:tcW w:w="1953" w:type="dxa"/>
            <w:gridSpan w:val="2"/>
            <w:vMerge/>
            <w:tcBorders>
              <w:left w:val="nil"/>
              <w:bottom w:val="nil"/>
              <w:right w:val="nil"/>
            </w:tcBorders>
            <w:shd w:val="clear" w:color="auto" w:fill="auto"/>
            <w:noWrap/>
            <w:vAlign w:val="center"/>
            <w:hideMark/>
          </w:tcPr>
          <w:p w14:paraId="4029DC09" w14:textId="77777777" w:rsidR="003F035B" w:rsidRPr="00395593" w:rsidRDefault="003F035B" w:rsidP="0098716C">
            <w:pPr>
              <w:spacing w:after="0" w:line="240" w:lineRule="auto"/>
              <w:jc w:val="center"/>
              <w:rPr>
                <w:rFonts w:ascii="Garamond" w:hAnsi="Garamond" w:cs="Calibri"/>
                <w:color w:val="000000"/>
                <w:sz w:val="12"/>
                <w:szCs w:val="12"/>
              </w:rPr>
            </w:pPr>
          </w:p>
        </w:tc>
        <w:tc>
          <w:tcPr>
            <w:tcW w:w="18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EB26C1"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Produção</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783A79A6"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Administração</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659D6B4"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Vendas</w:t>
            </w:r>
          </w:p>
        </w:tc>
        <w:tc>
          <w:tcPr>
            <w:tcW w:w="993" w:type="dxa"/>
            <w:vMerge/>
            <w:tcBorders>
              <w:top w:val="nil"/>
              <w:left w:val="single" w:sz="4" w:space="0" w:color="auto"/>
              <w:bottom w:val="single" w:sz="4" w:space="0" w:color="auto"/>
              <w:right w:val="single" w:sz="4" w:space="0" w:color="auto"/>
            </w:tcBorders>
            <w:vAlign w:val="center"/>
            <w:hideMark/>
          </w:tcPr>
          <w:p w14:paraId="6F8EABE7" w14:textId="77777777" w:rsidR="003F035B" w:rsidRPr="00395593" w:rsidRDefault="003F035B" w:rsidP="0098716C">
            <w:pPr>
              <w:spacing w:after="0" w:line="240" w:lineRule="auto"/>
              <w:jc w:val="center"/>
              <w:rPr>
                <w:rFonts w:ascii="Garamond" w:hAnsi="Garamond" w:cs="Calibri"/>
                <w:b/>
                <w:color w:val="000000"/>
                <w:sz w:val="12"/>
                <w:szCs w:val="12"/>
              </w:rPr>
            </w:pPr>
          </w:p>
        </w:tc>
      </w:tr>
      <w:tr w:rsidR="003F035B" w:rsidRPr="00395593" w14:paraId="5AD43273" w14:textId="77777777" w:rsidTr="0098716C">
        <w:trPr>
          <w:jc w:val="center"/>
        </w:trPr>
        <w:tc>
          <w:tcPr>
            <w:tcW w:w="565" w:type="dxa"/>
            <w:tcBorders>
              <w:top w:val="single" w:sz="4" w:space="0" w:color="auto"/>
              <w:left w:val="single" w:sz="4" w:space="0" w:color="auto"/>
              <w:bottom w:val="single" w:sz="4" w:space="0" w:color="auto"/>
              <w:right w:val="nil"/>
            </w:tcBorders>
            <w:shd w:val="clear" w:color="auto" w:fill="auto"/>
            <w:noWrap/>
            <w:vAlign w:val="center"/>
            <w:hideMark/>
          </w:tcPr>
          <w:p w14:paraId="09F04439" w14:textId="77777777" w:rsidR="003F035B" w:rsidRPr="00395593" w:rsidRDefault="003F035B" w:rsidP="0098716C">
            <w:pPr>
              <w:spacing w:after="0" w:line="240" w:lineRule="auto"/>
              <w:jc w:val="center"/>
              <w:rPr>
                <w:rFonts w:ascii="Garamond" w:hAnsi="Garamond" w:cs="Calibri"/>
                <w:color w:val="000000"/>
                <w:sz w:val="12"/>
                <w:szCs w:val="12"/>
              </w:rPr>
            </w:pPr>
          </w:p>
        </w:tc>
        <w:tc>
          <w:tcPr>
            <w:tcW w:w="1388" w:type="dxa"/>
            <w:tcBorders>
              <w:top w:val="single" w:sz="4" w:space="0" w:color="auto"/>
              <w:left w:val="single" w:sz="4" w:space="0" w:color="auto"/>
              <w:bottom w:val="single" w:sz="4" w:space="0" w:color="auto"/>
              <w:right w:val="nil"/>
            </w:tcBorders>
            <w:shd w:val="clear" w:color="auto" w:fill="auto"/>
            <w:vAlign w:val="center"/>
            <w:hideMark/>
          </w:tcPr>
          <w:p w14:paraId="6175FBB2"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Empresa</w:t>
            </w:r>
          </w:p>
        </w:tc>
        <w:tc>
          <w:tcPr>
            <w:tcW w:w="882" w:type="dxa"/>
            <w:tcBorders>
              <w:top w:val="nil"/>
              <w:left w:val="single" w:sz="4" w:space="0" w:color="auto"/>
              <w:bottom w:val="single" w:sz="4" w:space="0" w:color="auto"/>
              <w:right w:val="single" w:sz="4" w:space="0" w:color="auto"/>
            </w:tcBorders>
            <w:shd w:val="clear" w:color="auto" w:fill="auto"/>
            <w:vAlign w:val="center"/>
            <w:hideMark/>
          </w:tcPr>
          <w:p w14:paraId="0645D653"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Direta</w:t>
            </w:r>
          </w:p>
        </w:tc>
        <w:tc>
          <w:tcPr>
            <w:tcW w:w="993" w:type="dxa"/>
            <w:tcBorders>
              <w:top w:val="nil"/>
              <w:left w:val="nil"/>
              <w:bottom w:val="single" w:sz="4" w:space="0" w:color="auto"/>
              <w:right w:val="single" w:sz="4" w:space="0" w:color="auto"/>
            </w:tcBorders>
            <w:shd w:val="clear" w:color="auto" w:fill="auto"/>
            <w:vAlign w:val="center"/>
            <w:hideMark/>
          </w:tcPr>
          <w:p w14:paraId="403BEEE4"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Indireta</w:t>
            </w:r>
          </w:p>
        </w:tc>
        <w:tc>
          <w:tcPr>
            <w:tcW w:w="1275" w:type="dxa"/>
            <w:vMerge/>
            <w:tcBorders>
              <w:top w:val="nil"/>
              <w:left w:val="single" w:sz="4" w:space="0" w:color="auto"/>
              <w:bottom w:val="single" w:sz="4" w:space="0" w:color="auto"/>
              <w:right w:val="single" w:sz="4" w:space="0" w:color="auto"/>
            </w:tcBorders>
            <w:vAlign w:val="center"/>
            <w:hideMark/>
          </w:tcPr>
          <w:p w14:paraId="56487845" w14:textId="77777777" w:rsidR="003F035B" w:rsidRPr="00395593" w:rsidRDefault="003F035B" w:rsidP="0098716C">
            <w:pPr>
              <w:spacing w:after="0" w:line="240" w:lineRule="auto"/>
              <w:jc w:val="center"/>
              <w:rPr>
                <w:rFonts w:ascii="Garamond" w:hAnsi="Garamond" w:cs="Calibri"/>
                <w:b/>
                <w:color w:val="000000"/>
                <w:sz w:val="12"/>
                <w:szCs w:val="12"/>
              </w:rPr>
            </w:pPr>
          </w:p>
        </w:tc>
        <w:tc>
          <w:tcPr>
            <w:tcW w:w="1134" w:type="dxa"/>
            <w:vMerge/>
            <w:tcBorders>
              <w:top w:val="nil"/>
              <w:left w:val="single" w:sz="4" w:space="0" w:color="auto"/>
              <w:bottom w:val="single" w:sz="4" w:space="0" w:color="auto"/>
              <w:right w:val="single" w:sz="4" w:space="0" w:color="auto"/>
            </w:tcBorders>
            <w:vAlign w:val="center"/>
            <w:hideMark/>
          </w:tcPr>
          <w:p w14:paraId="353AC7EF" w14:textId="77777777" w:rsidR="003F035B" w:rsidRPr="00395593" w:rsidRDefault="003F035B" w:rsidP="0098716C">
            <w:pPr>
              <w:spacing w:after="0" w:line="240" w:lineRule="auto"/>
              <w:jc w:val="center"/>
              <w:rPr>
                <w:rFonts w:ascii="Garamond" w:hAnsi="Garamond" w:cs="Calibri"/>
                <w:b/>
                <w:color w:val="000000"/>
                <w:sz w:val="12"/>
                <w:szCs w:val="12"/>
              </w:rPr>
            </w:pPr>
          </w:p>
        </w:tc>
        <w:tc>
          <w:tcPr>
            <w:tcW w:w="993" w:type="dxa"/>
            <w:vMerge/>
            <w:tcBorders>
              <w:top w:val="nil"/>
              <w:left w:val="single" w:sz="4" w:space="0" w:color="auto"/>
              <w:bottom w:val="single" w:sz="4" w:space="0" w:color="auto"/>
              <w:right w:val="single" w:sz="4" w:space="0" w:color="auto"/>
            </w:tcBorders>
            <w:vAlign w:val="center"/>
            <w:hideMark/>
          </w:tcPr>
          <w:p w14:paraId="2B14DFA3" w14:textId="77777777" w:rsidR="003F035B" w:rsidRPr="00395593" w:rsidRDefault="003F035B" w:rsidP="0098716C">
            <w:pPr>
              <w:spacing w:after="0" w:line="240" w:lineRule="auto"/>
              <w:jc w:val="center"/>
              <w:rPr>
                <w:rFonts w:ascii="Garamond" w:hAnsi="Garamond" w:cs="Calibri"/>
                <w:b/>
                <w:color w:val="000000"/>
                <w:sz w:val="12"/>
                <w:szCs w:val="12"/>
              </w:rPr>
            </w:pPr>
          </w:p>
        </w:tc>
      </w:tr>
      <w:tr w:rsidR="003F035B" w:rsidRPr="00395593" w14:paraId="229864EA" w14:textId="77777777" w:rsidTr="0098716C">
        <w:trPr>
          <w:jc w:val="center"/>
        </w:trPr>
        <w:tc>
          <w:tcPr>
            <w:tcW w:w="565"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19A05580"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Período</w:t>
            </w:r>
          </w:p>
        </w:tc>
        <w:tc>
          <w:tcPr>
            <w:tcW w:w="1388" w:type="dxa"/>
            <w:tcBorders>
              <w:top w:val="nil"/>
              <w:left w:val="nil"/>
              <w:bottom w:val="single" w:sz="4" w:space="0" w:color="auto"/>
              <w:right w:val="single" w:sz="4" w:space="0" w:color="auto"/>
            </w:tcBorders>
            <w:shd w:val="clear" w:color="auto" w:fill="auto"/>
            <w:vAlign w:val="center"/>
            <w:hideMark/>
          </w:tcPr>
          <w:p w14:paraId="36FCBC4F"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P1</w:t>
            </w:r>
          </w:p>
        </w:tc>
        <w:tc>
          <w:tcPr>
            <w:tcW w:w="882" w:type="dxa"/>
            <w:tcBorders>
              <w:top w:val="single" w:sz="4" w:space="0" w:color="auto"/>
              <w:left w:val="nil"/>
              <w:bottom w:val="single" w:sz="4" w:space="0" w:color="auto"/>
              <w:right w:val="nil"/>
            </w:tcBorders>
            <w:shd w:val="clear" w:color="auto" w:fill="auto"/>
            <w:vAlign w:val="center"/>
            <w:hideMark/>
          </w:tcPr>
          <w:p w14:paraId="18D0EE01"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764E5"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7F67870"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7732F6"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93" w:type="dxa"/>
            <w:tcBorders>
              <w:top w:val="single" w:sz="4" w:space="0" w:color="auto"/>
              <w:left w:val="nil"/>
              <w:bottom w:val="single" w:sz="4" w:space="0" w:color="auto"/>
              <w:right w:val="single" w:sz="4" w:space="0" w:color="auto"/>
            </w:tcBorders>
            <w:shd w:val="clear" w:color="000000" w:fill="F2F2F2"/>
            <w:vAlign w:val="center"/>
            <w:hideMark/>
          </w:tcPr>
          <w:p w14:paraId="38EACBC7" w14:textId="77777777" w:rsidR="003F035B" w:rsidRPr="00395593" w:rsidRDefault="003F035B" w:rsidP="0098716C">
            <w:pPr>
              <w:spacing w:after="0" w:line="240" w:lineRule="auto"/>
              <w:jc w:val="right"/>
              <w:rPr>
                <w:rFonts w:ascii="Garamond" w:hAnsi="Garamond" w:cs="Calibri"/>
                <w:b/>
                <w:color w:val="000000"/>
                <w:sz w:val="12"/>
                <w:szCs w:val="12"/>
              </w:rPr>
            </w:pPr>
            <w:r w:rsidRPr="00395593">
              <w:rPr>
                <w:rFonts w:ascii="Garamond" w:hAnsi="Garamond" w:cs="Calibri"/>
                <w:b/>
                <w:color w:val="000000"/>
                <w:sz w:val="12"/>
                <w:szCs w:val="12"/>
              </w:rPr>
              <w:t>-</w:t>
            </w:r>
          </w:p>
        </w:tc>
      </w:tr>
      <w:tr w:rsidR="003F035B" w:rsidRPr="00395593" w14:paraId="40FE5396" w14:textId="77777777" w:rsidTr="0098716C">
        <w:trPr>
          <w:jc w:val="center"/>
        </w:trPr>
        <w:tc>
          <w:tcPr>
            <w:tcW w:w="565" w:type="dxa"/>
            <w:vMerge/>
            <w:tcBorders>
              <w:top w:val="single" w:sz="4" w:space="0" w:color="auto"/>
              <w:left w:val="single" w:sz="4" w:space="0" w:color="auto"/>
              <w:bottom w:val="single" w:sz="4" w:space="0" w:color="000000"/>
              <w:right w:val="single" w:sz="4" w:space="0" w:color="auto"/>
            </w:tcBorders>
            <w:vAlign w:val="center"/>
            <w:hideMark/>
          </w:tcPr>
          <w:p w14:paraId="4B6433C2" w14:textId="77777777" w:rsidR="003F035B" w:rsidRPr="00395593" w:rsidRDefault="003F035B" w:rsidP="0098716C">
            <w:pPr>
              <w:spacing w:after="0" w:line="240" w:lineRule="auto"/>
              <w:rPr>
                <w:rFonts w:ascii="Garamond" w:hAnsi="Garamond" w:cs="Calibri"/>
                <w:b/>
                <w:color w:val="000000"/>
                <w:sz w:val="12"/>
                <w:szCs w:val="12"/>
              </w:rP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26FA5"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P2</w:t>
            </w:r>
          </w:p>
        </w:tc>
        <w:tc>
          <w:tcPr>
            <w:tcW w:w="882" w:type="dxa"/>
            <w:tcBorders>
              <w:top w:val="single" w:sz="4" w:space="0" w:color="auto"/>
              <w:left w:val="single" w:sz="4" w:space="0" w:color="auto"/>
              <w:bottom w:val="single" w:sz="4" w:space="0" w:color="auto"/>
              <w:right w:val="nil"/>
            </w:tcBorders>
            <w:shd w:val="clear" w:color="auto" w:fill="auto"/>
            <w:vAlign w:val="center"/>
            <w:hideMark/>
          </w:tcPr>
          <w:p w14:paraId="6A21E26F"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89FD5"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D186A3F"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CB0D1BF"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93" w:type="dxa"/>
            <w:tcBorders>
              <w:top w:val="single" w:sz="4" w:space="0" w:color="auto"/>
              <w:left w:val="nil"/>
              <w:bottom w:val="single" w:sz="4" w:space="0" w:color="auto"/>
              <w:right w:val="single" w:sz="4" w:space="0" w:color="auto"/>
            </w:tcBorders>
            <w:shd w:val="clear" w:color="000000" w:fill="F2F2F2"/>
            <w:vAlign w:val="center"/>
            <w:hideMark/>
          </w:tcPr>
          <w:p w14:paraId="666B6493" w14:textId="77777777" w:rsidR="003F035B" w:rsidRPr="00395593" w:rsidRDefault="003F035B" w:rsidP="0098716C">
            <w:pPr>
              <w:spacing w:after="0" w:line="240" w:lineRule="auto"/>
              <w:jc w:val="right"/>
              <w:rPr>
                <w:rFonts w:ascii="Garamond" w:hAnsi="Garamond" w:cs="Calibri"/>
                <w:b/>
                <w:color w:val="000000"/>
                <w:sz w:val="12"/>
                <w:szCs w:val="12"/>
              </w:rPr>
            </w:pPr>
            <w:r w:rsidRPr="00395593">
              <w:rPr>
                <w:rFonts w:ascii="Garamond" w:hAnsi="Garamond" w:cs="Calibri"/>
                <w:b/>
                <w:color w:val="000000"/>
                <w:sz w:val="12"/>
                <w:szCs w:val="12"/>
              </w:rPr>
              <w:t>-</w:t>
            </w:r>
          </w:p>
        </w:tc>
      </w:tr>
      <w:tr w:rsidR="003F035B" w:rsidRPr="00395593" w14:paraId="71C979B7" w14:textId="77777777" w:rsidTr="0098716C">
        <w:trPr>
          <w:jc w:val="center"/>
        </w:trPr>
        <w:tc>
          <w:tcPr>
            <w:tcW w:w="565" w:type="dxa"/>
            <w:vMerge/>
            <w:tcBorders>
              <w:top w:val="single" w:sz="4" w:space="0" w:color="auto"/>
              <w:left w:val="single" w:sz="4" w:space="0" w:color="auto"/>
              <w:bottom w:val="single" w:sz="4" w:space="0" w:color="000000"/>
              <w:right w:val="single" w:sz="4" w:space="0" w:color="auto"/>
            </w:tcBorders>
            <w:vAlign w:val="center"/>
            <w:hideMark/>
          </w:tcPr>
          <w:p w14:paraId="77D988D1" w14:textId="77777777" w:rsidR="003F035B" w:rsidRPr="00395593" w:rsidRDefault="003F035B" w:rsidP="0098716C">
            <w:pPr>
              <w:spacing w:after="0" w:line="240" w:lineRule="auto"/>
              <w:rPr>
                <w:rFonts w:ascii="Garamond" w:hAnsi="Garamond" w:cs="Calibri"/>
                <w:b/>
                <w:color w:val="000000"/>
                <w:sz w:val="12"/>
                <w:szCs w:val="12"/>
              </w:rPr>
            </w:pP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F62A645"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P3</w:t>
            </w:r>
          </w:p>
        </w:tc>
        <w:tc>
          <w:tcPr>
            <w:tcW w:w="882" w:type="dxa"/>
            <w:tcBorders>
              <w:top w:val="single" w:sz="4" w:space="0" w:color="auto"/>
              <w:left w:val="nil"/>
              <w:bottom w:val="nil"/>
              <w:right w:val="nil"/>
            </w:tcBorders>
            <w:shd w:val="clear" w:color="auto" w:fill="auto"/>
            <w:vAlign w:val="center"/>
            <w:hideMark/>
          </w:tcPr>
          <w:p w14:paraId="36919815"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93" w:type="dxa"/>
            <w:tcBorders>
              <w:top w:val="single" w:sz="4" w:space="0" w:color="auto"/>
              <w:left w:val="single" w:sz="4" w:space="0" w:color="auto"/>
              <w:bottom w:val="nil"/>
              <w:right w:val="single" w:sz="4" w:space="0" w:color="auto"/>
            </w:tcBorders>
            <w:shd w:val="clear" w:color="auto" w:fill="auto"/>
            <w:vAlign w:val="center"/>
            <w:hideMark/>
          </w:tcPr>
          <w:p w14:paraId="0A843094"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1275" w:type="dxa"/>
            <w:tcBorders>
              <w:top w:val="single" w:sz="4" w:space="0" w:color="auto"/>
              <w:left w:val="nil"/>
              <w:bottom w:val="nil"/>
              <w:right w:val="single" w:sz="4" w:space="0" w:color="auto"/>
            </w:tcBorders>
            <w:shd w:val="clear" w:color="auto" w:fill="auto"/>
            <w:vAlign w:val="center"/>
            <w:hideMark/>
          </w:tcPr>
          <w:p w14:paraId="0C48542B"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1134" w:type="dxa"/>
            <w:tcBorders>
              <w:top w:val="single" w:sz="4" w:space="0" w:color="auto"/>
              <w:left w:val="nil"/>
              <w:bottom w:val="nil"/>
              <w:right w:val="single" w:sz="4" w:space="0" w:color="auto"/>
            </w:tcBorders>
            <w:shd w:val="clear" w:color="auto" w:fill="auto"/>
            <w:vAlign w:val="center"/>
            <w:hideMark/>
          </w:tcPr>
          <w:p w14:paraId="4DD1A427"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93" w:type="dxa"/>
            <w:tcBorders>
              <w:top w:val="single" w:sz="4" w:space="0" w:color="auto"/>
              <w:left w:val="nil"/>
              <w:bottom w:val="nil"/>
              <w:right w:val="single" w:sz="4" w:space="0" w:color="auto"/>
            </w:tcBorders>
            <w:shd w:val="clear" w:color="000000" w:fill="F2F2F2"/>
            <w:vAlign w:val="center"/>
            <w:hideMark/>
          </w:tcPr>
          <w:p w14:paraId="7E933E49" w14:textId="77777777" w:rsidR="003F035B" w:rsidRPr="00395593" w:rsidRDefault="003F035B" w:rsidP="0098716C">
            <w:pPr>
              <w:spacing w:after="0" w:line="240" w:lineRule="auto"/>
              <w:jc w:val="right"/>
              <w:rPr>
                <w:rFonts w:ascii="Garamond" w:hAnsi="Garamond" w:cs="Calibri"/>
                <w:b/>
                <w:color w:val="000000"/>
                <w:sz w:val="12"/>
                <w:szCs w:val="12"/>
              </w:rPr>
            </w:pPr>
            <w:r w:rsidRPr="00395593">
              <w:rPr>
                <w:rFonts w:ascii="Garamond" w:hAnsi="Garamond" w:cs="Calibri"/>
                <w:b/>
                <w:color w:val="000000"/>
                <w:sz w:val="12"/>
                <w:szCs w:val="12"/>
              </w:rPr>
              <w:t>-</w:t>
            </w:r>
          </w:p>
        </w:tc>
      </w:tr>
      <w:tr w:rsidR="003F035B" w:rsidRPr="00395593" w14:paraId="3F302BF7" w14:textId="77777777" w:rsidTr="0098716C">
        <w:trPr>
          <w:jc w:val="center"/>
        </w:trPr>
        <w:tc>
          <w:tcPr>
            <w:tcW w:w="565" w:type="dxa"/>
            <w:vMerge/>
            <w:tcBorders>
              <w:top w:val="single" w:sz="4" w:space="0" w:color="auto"/>
              <w:left w:val="single" w:sz="4" w:space="0" w:color="auto"/>
              <w:bottom w:val="single" w:sz="4" w:space="0" w:color="000000"/>
              <w:right w:val="single" w:sz="4" w:space="0" w:color="auto"/>
            </w:tcBorders>
            <w:vAlign w:val="center"/>
            <w:hideMark/>
          </w:tcPr>
          <w:p w14:paraId="594F63C8" w14:textId="77777777" w:rsidR="003F035B" w:rsidRPr="00395593" w:rsidRDefault="003F035B" w:rsidP="0098716C">
            <w:pPr>
              <w:spacing w:after="0" w:line="240" w:lineRule="auto"/>
              <w:rPr>
                <w:rFonts w:ascii="Garamond" w:hAnsi="Garamond" w:cs="Calibri"/>
                <w:b/>
                <w:color w:val="000000"/>
                <w:sz w:val="12"/>
                <w:szCs w:val="12"/>
              </w:rPr>
            </w:pPr>
          </w:p>
        </w:tc>
        <w:tc>
          <w:tcPr>
            <w:tcW w:w="1388" w:type="dxa"/>
            <w:tcBorders>
              <w:top w:val="nil"/>
              <w:left w:val="nil"/>
              <w:bottom w:val="single" w:sz="4" w:space="0" w:color="auto"/>
              <w:right w:val="single" w:sz="4" w:space="0" w:color="auto"/>
            </w:tcBorders>
            <w:shd w:val="clear" w:color="auto" w:fill="auto"/>
            <w:vAlign w:val="center"/>
            <w:hideMark/>
          </w:tcPr>
          <w:p w14:paraId="55B3C4B3"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P4</w:t>
            </w:r>
          </w:p>
        </w:tc>
        <w:tc>
          <w:tcPr>
            <w:tcW w:w="882" w:type="dxa"/>
            <w:tcBorders>
              <w:top w:val="nil"/>
              <w:left w:val="nil"/>
              <w:bottom w:val="nil"/>
              <w:right w:val="nil"/>
            </w:tcBorders>
            <w:shd w:val="clear" w:color="auto" w:fill="auto"/>
            <w:vAlign w:val="center"/>
            <w:hideMark/>
          </w:tcPr>
          <w:p w14:paraId="6C8DE715"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93" w:type="dxa"/>
            <w:tcBorders>
              <w:top w:val="nil"/>
              <w:left w:val="single" w:sz="4" w:space="0" w:color="auto"/>
              <w:bottom w:val="nil"/>
              <w:right w:val="single" w:sz="4" w:space="0" w:color="auto"/>
            </w:tcBorders>
            <w:shd w:val="clear" w:color="auto" w:fill="auto"/>
            <w:vAlign w:val="center"/>
            <w:hideMark/>
          </w:tcPr>
          <w:p w14:paraId="1AE70B97"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1275" w:type="dxa"/>
            <w:tcBorders>
              <w:top w:val="nil"/>
              <w:left w:val="nil"/>
              <w:bottom w:val="nil"/>
              <w:right w:val="single" w:sz="4" w:space="0" w:color="auto"/>
            </w:tcBorders>
            <w:shd w:val="clear" w:color="auto" w:fill="auto"/>
            <w:vAlign w:val="center"/>
            <w:hideMark/>
          </w:tcPr>
          <w:p w14:paraId="2CB4562E"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1134" w:type="dxa"/>
            <w:tcBorders>
              <w:top w:val="nil"/>
              <w:left w:val="nil"/>
              <w:bottom w:val="nil"/>
              <w:right w:val="single" w:sz="4" w:space="0" w:color="auto"/>
            </w:tcBorders>
            <w:shd w:val="clear" w:color="auto" w:fill="auto"/>
            <w:vAlign w:val="center"/>
            <w:hideMark/>
          </w:tcPr>
          <w:p w14:paraId="1D5AF0A4"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93" w:type="dxa"/>
            <w:tcBorders>
              <w:top w:val="nil"/>
              <w:left w:val="nil"/>
              <w:bottom w:val="nil"/>
              <w:right w:val="single" w:sz="4" w:space="0" w:color="auto"/>
            </w:tcBorders>
            <w:shd w:val="clear" w:color="000000" w:fill="F2F2F2"/>
            <w:vAlign w:val="center"/>
            <w:hideMark/>
          </w:tcPr>
          <w:p w14:paraId="44CE7375" w14:textId="77777777" w:rsidR="003F035B" w:rsidRPr="00395593" w:rsidRDefault="003F035B" w:rsidP="0098716C">
            <w:pPr>
              <w:spacing w:after="0" w:line="240" w:lineRule="auto"/>
              <w:jc w:val="right"/>
              <w:rPr>
                <w:rFonts w:ascii="Garamond" w:hAnsi="Garamond" w:cs="Calibri"/>
                <w:b/>
                <w:color w:val="000000"/>
                <w:sz w:val="12"/>
                <w:szCs w:val="12"/>
              </w:rPr>
            </w:pPr>
            <w:r w:rsidRPr="00395593">
              <w:rPr>
                <w:rFonts w:ascii="Garamond" w:hAnsi="Garamond" w:cs="Calibri"/>
                <w:b/>
                <w:color w:val="000000"/>
                <w:sz w:val="12"/>
                <w:szCs w:val="12"/>
              </w:rPr>
              <w:t>-</w:t>
            </w:r>
          </w:p>
        </w:tc>
      </w:tr>
      <w:tr w:rsidR="003F035B" w:rsidRPr="00395593" w14:paraId="2A826FB2" w14:textId="77777777" w:rsidTr="0098716C">
        <w:trPr>
          <w:jc w:val="center"/>
        </w:trPr>
        <w:tc>
          <w:tcPr>
            <w:tcW w:w="565" w:type="dxa"/>
            <w:vMerge/>
            <w:tcBorders>
              <w:top w:val="single" w:sz="4" w:space="0" w:color="auto"/>
              <w:left w:val="single" w:sz="4" w:space="0" w:color="auto"/>
              <w:bottom w:val="single" w:sz="4" w:space="0" w:color="000000"/>
              <w:right w:val="single" w:sz="4" w:space="0" w:color="auto"/>
            </w:tcBorders>
            <w:vAlign w:val="center"/>
            <w:hideMark/>
          </w:tcPr>
          <w:p w14:paraId="3613821D" w14:textId="77777777" w:rsidR="003F035B" w:rsidRPr="00395593" w:rsidRDefault="003F035B" w:rsidP="0098716C">
            <w:pPr>
              <w:spacing w:after="0" w:line="240" w:lineRule="auto"/>
              <w:rPr>
                <w:rFonts w:ascii="Garamond" w:hAnsi="Garamond" w:cs="Calibri"/>
                <w:b/>
                <w:color w:val="000000"/>
                <w:sz w:val="12"/>
                <w:szCs w:val="12"/>
              </w:rPr>
            </w:pPr>
          </w:p>
        </w:tc>
        <w:tc>
          <w:tcPr>
            <w:tcW w:w="1388" w:type="dxa"/>
            <w:tcBorders>
              <w:top w:val="nil"/>
              <w:left w:val="nil"/>
              <w:bottom w:val="single" w:sz="4" w:space="0" w:color="auto"/>
              <w:right w:val="single" w:sz="4" w:space="0" w:color="auto"/>
            </w:tcBorders>
            <w:shd w:val="clear" w:color="auto" w:fill="auto"/>
            <w:vAlign w:val="center"/>
            <w:hideMark/>
          </w:tcPr>
          <w:p w14:paraId="25737525" w14:textId="77777777" w:rsidR="003F035B" w:rsidRPr="00395593" w:rsidRDefault="003F035B" w:rsidP="0098716C">
            <w:pPr>
              <w:spacing w:after="0" w:line="240" w:lineRule="auto"/>
              <w:jc w:val="center"/>
              <w:rPr>
                <w:rFonts w:ascii="Garamond" w:hAnsi="Garamond" w:cs="Calibri"/>
                <w:b/>
                <w:color w:val="000000"/>
                <w:sz w:val="12"/>
                <w:szCs w:val="12"/>
              </w:rPr>
            </w:pPr>
            <w:r w:rsidRPr="00395593">
              <w:rPr>
                <w:rFonts w:ascii="Garamond" w:hAnsi="Garamond" w:cs="Calibri"/>
                <w:b/>
                <w:color w:val="000000"/>
                <w:sz w:val="12"/>
                <w:szCs w:val="12"/>
              </w:rPr>
              <w:t>P5</w:t>
            </w:r>
          </w:p>
        </w:tc>
        <w:tc>
          <w:tcPr>
            <w:tcW w:w="882" w:type="dxa"/>
            <w:tcBorders>
              <w:top w:val="nil"/>
              <w:left w:val="nil"/>
              <w:bottom w:val="single" w:sz="4" w:space="0" w:color="auto"/>
              <w:right w:val="nil"/>
            </w:tcBorders>
            <w:shd w:val="clear" w:color="auto" w:fill="auto"/>
            <w:vAlign w:val="center"/>
            <w:hideMark/>
          </w:tcPr>
          <w:p w14:paraId="5961C16A"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645E976"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1275" w:type="dxa"/>
            <w:tcBorders>
              <w:top w:val="nil"/>
              <w:left w:val="nil"/>
              <w:bottom w:val="single" w:sz="4" w:space="0" w:color="auto"/>
              <w:right w:val="single" w:sz="4" w:space="0" w:color="auto"/>
            </w:tcBorders>
            <w:shd w:val="clear" w:color="auto" w:fill="auto"/>
            <w:vAlign w:val="center"/>
            <w:hideMark/>
          </w:tcPr>
          <w:p w14:paraId="131A0134"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1134" w:type="dxa"/>
            <w:tcBorders>
              <w:top w:val="nil"/>
              <w:left w:val="nil"/>
              <w:bottom w:val="single" w:sz="4" w:space="0" w:color="auto"/>
              <w:right w:val="single" w:sz="4" w:space="0" w:color="auto"/>
            </w:tcBorders>
            <w:shd w:val="clear" w:color="auto" w:fill="auto"/>
            <w:vAlign w:val="center"/>
            <w:hideMark/>
          </w:tcPr>
          <w:p w14:paraId="67ACD73E" w14:textId="77777777" w:rsidR="003F035B" w:rsidRPr="00395593" w:rsidRDefault="003F035B" w:rsidP="0098716C">
            <w:pPr>
              <w:spacing w:after="0" w:line="240" w:lineRule="auto"/>
              <w:jc w:val="right"/>
              <w:rPr>
                <w:rFonts w:ascii="Garamond" w:hAnsi="Garamond" w:cs="Calibri"/>
                <w:b/>
                <w:color w:val="000000"/>
                <w:sz w:val="12"/>
                <w:szCs w:val="12"/>
              </w:rPr>
            </w:pPr>
          </w:p>
        </w:tc>
        <w:tc>
          <w:tcPr>
            <w:tcW w:w="993" w:type="dxa"/>
            <w:tcBorders>
              <w:top w:val="nil"/>
              <w:left w:val="nil"/>
              <w:bottom w:val="single" w:sz="4" w:space="0" w:color="auto"/>
              <w:right w:val="single" w:sz="4" w:space="0" w:color="auto"/>
            </w:tcBorders>
            <w:shd w:val="clear" w:color="000000" w:fill="F2F2F2"/>
            <w:vAlign w:val="center"/>
            <w:hideMark/>
          </w:tcPr>
          <w:p w14:paraId="6CCA5DEE" w14:textId="77777777" w:rsidR="003F035B" w:rsidRPr="00395593" w:rsidRDefault="003F035B" w:rsidP="0098716C">
            <w:pPr>
              <w:spacing w:after="0" w:line="240" w:lineRule="auto"/>
              <w:jc w:val="right"/>
              <w:rPr>
                <w:rFonts w:ascii="Garamond" w:hAnsi="Garamond" w:cs="Calibri"/>
                <w:b/>
                <w:color w:val="000000"/>
                <w:sz w:val="12"/>
                <w:szCs w:val="12"/>
              </w:rPr>
            </w:pPr>
            <w:r w:rsidRPr="00395593">
              <w:rPr>
                <w:rFonts w:ascii="Garamond" w:hAnsi="Garamond" w:cs="Calibri"/>
                <w:b/>
                <w:color w:val="000000"/>
                <w:sz w:val="12"/>
                <w:szCs w:val="12"/>
              </w:rPr>
              <w:t>-</w:t>
            </w:r>
          </w:p>
        </w:tc>
      </w:tr>
    </w:tbl>
    <w:p w14:paraId="6903B96E" w14:textId="77777777" w:rsidR="003F035B" w:rsidRPr="00395593" w:rsidRDefault="003F035B" w:rsidP="00E33E26">
      <w:pPr>
        <w:jc w:val="center"/>
        <w:rPr>
          <w:rFonts w:ascii="Garamond" w:hAnsi="Garamond" w:cs="Calibri"/>
          <w:color w:val="000000"/>
          <w:sz w:val="18"/>
          <w:szCs w:val="18"/>
        </w:rPr>
      </w:pPr>
    </w:p>
    <w:p w14:paraId="4EEDB2E3" w14:textId="675142B7" w:rsidR="003F035B" w:rsidRPr="00395593" w:rsidRDefault="00FC627D">
      <w:pPr>
        <w:rPr>
          <w:rFonts w:ascii="Garamond" w:hAnsi="Garamond" w:cs="Calibri"/>
          <w:color w:val="000000"/>
          <w:sz w:val="18"/>
          <w:szCs w:val="18"/>
        </w:rPr>
      </w:pPr>
      <w:r w:rsidRPr="005C5CBD">
        <w:rPr>
          <w:rFonts w:ascii="Garamond" w:hAnsi="Garamond" w:cs="Calibri"/>
          <w:color w:val="000000"/>
          <w:sz w:val="18"/>
          <w:szCs w:val="18"/>
        </w:rPr>
        <w:br w:type="page"/>
      </w:r>
    </w:p>
    <w:tbl>
      <w:tblPr>
        <w:tblW w:w="6804" w:type="dxa"/>
        <w:jc w:val="center"/>
        <w:tblLayout w:type="fixed"/>
        <w:tblCellMar>
          <w:top w:w="57" w:type="dxa"/>
          <w:left w:w="70" w:type="dxa"/>
          <w:bottom w:w="57" w:type="dxa"/>
          <w:right w:w="70" w:type="dxa"/>
        </w:tblCellMar>
        <w:tblLook w:val="04A0" w:firstRow="1" w:lastRow="0" w:firstColumn="1" w:lastColumn="0" w:noHBand="0" w:noVBand="1"/>
      </w:tblPr>
      <w:tblGrid>
        <w:gridCol w:w="3898"/>
        <w:gridCol w:w="708"/>
        <w:gridCol w:w="567"/>
        <w:gridCol w:w="567"/>
        <w:gridCol w:w="567"/>
        <w:gridCol w:w="497"/>
      </w:tblGrid>
      <w:tr w:rsidR="003F035B" w:rsidRPr="00395593" w14:paraId="755D3179" w14:textId="77777777" w:rsidTr="0098716C">
        <w:trPr>
          <w:cantSplit/>
          <w:jc w:val="center"/>
        </w:trPr>
        <w:tc>
          <w:tcPr>
            <w:tcW w:w="6804" w:type="dxa"/>
            <w:gridSpan w:val="6"/>
            <w:tcBorders>
              <w:bottom w:val="single" w:sz="4" w:space="0" w:color="auto"/>
            </w:tcBorders>
            <w:shd w:val="clear" w:color="auto" w:fill="auto"/>
            <w:vAlign w:val="center"/>
          </w:tcPr>
          <w:p w14:paraId="0FF486F5" w14:textId="77777777" w:rsidR="003F035B" w:rsidRPr="00A07F88" w:rsidRDefault="003F035B" w:rsidP="0098716C">
            <w:pPr>
              <w:spacing w:after="0" w:line="240" w:lineRule="auto"/>
              <w:jc w:val="center"/>
              <w:rPr>
                <w:rFonts w:ascii="Garamond" w:hAnsi="Garamond" w:cs="Calibri"/>
                <w:b/>
                <w:color w:val="000000"/>
                <w:sz w:val="24"/>
                <w:szCs w:val="24"/>
              </w:rPr>
            </w:pPr>
            <w:r w:rsidRPr="00A07F88">
              <w:rPr>
                <w:rFonts w:ascii="Garamond" w:hAnsi="Garamond" w:cs="Calibri"/>
                <w:b/>
                <w:color w:val="000000"/>
                <w:sz w:val="24"/>
                <w:szCs w:val="24"/>
              </w:rPr>
              <w:t>APÊNDICE XVI</w:t>
            </w:r>
          </w:p>
          <w:p w14:paraId="32EA2C56" w14:textId="77777777" w:rsidR="003F035B" w:rsidRPr="00A07F88" w:rsidRDefault="003F035B" w:rsidP="0098716C">
            <w:pPr>
              <w:spacing w:after="0" w:line="240" w:lineRule="auto"/>
              <w:jc w:val="center"/>
              <w:rPr>
                <w:rFonts w:ascii="Garamond" w:hAnsi="Garamond" w:cs="Calibri"/>
                <w:b/>
                <w:color w:val="000000"/>
                <w:sz w:val="24"/>
                <w:szCs w:val="24"/>
              </w:rPr>
            </w:pPr>
            <w:r w:rsidRPr="00A07F88">
              <w:rPr>
                <w:rFonts w:ascii="Garamond" w:hAnsi="Garamond" w:cs="Calibri"/>
                <w:b/>
                <w:color w:val="000000"/>
                <w:sz w:val="24"/>
                <w:szCs w:val="24"/>
              </w:rPr>
              <w:t>RETORNO SOBRE O INVESTIMENTO</w:t>
            </w:r>
          </w:p>
          <w:p w14:paraId="5CB3B615" w14:textId="77777777" w:rsidR="003F035B" w:rsidRPr="00395593" w:rsidRDefault="003F035B" w:rsidP="0098716C">
            <w:pPr>
              <w:spacing w:after="0" w:line="240" w:lineRule="auto"/>
              <w:jc w:val="right"/>
              <w:rPr>
                <w:rFonts w:ascii="Garamond" w:hAnsi="Garamond" w:cs="Calibri"/>
                <w:b/>
                <w:color w:val="000000"/>
                <w:sz w:val="18"/>
                <w:szCs w:val="18"/>
              </w:rPr>
            </w:pPr>
            <w:r w:rsidRPr="00395593">
              <w:rPr>
                <w:rFonts w:ascii="Garamond" w:hAnsi="Garamond" w:cs="Calibri"/>
                <w:color w:val="000000"/>
                <w:sz w:val="18"/>
                <w:szCs w:val="18"/>
              </w:rPr>
              <w:t>Em R$</w:t>
            </w:r>
          </w:p>
        </w:tc>
      </w:tr>
      <w:tr w:rsidR="003F035B" w:rsidRPr="00395593" w14:paraId="3C70FD71" w14:textId="77777777" w:rsidTr="0098716C">
        <w:trPr>
          <w:cantSplit/>
          <w:jc w:val="center"/>
        </w:trPr>
        <w:tc>
          <w:tcPr>
            <w:tcW w:w="3898" w:type="dxa"/>
            <w:tcBorders>
              <w:top w:val="single" w:sz="4" w:space="0" w:color="auto"/>
              <w:left w:val="single" w:sz="4" w:space="0" w:color="auto"/>
              <w:bottom w:val="single" w:sz="4" w:space="0" w:color="auto"/>
              <w:right w:val="nil"/>
            </w:tcBorders>
            <w:shd w:val="clear" w:color="auto" w:fill="auto"/>
            <w:vAlign w:val="center"/>
            <w:hideMark/>
          </w:tcPr>
          <w:p w14:paraId="133FD3BD" w14:textId="77777777" w:rsidR="003F035B" w:rsidRPr="001419E1" w:rsidRDefault="003F035B" w:rsidP="00E33E26">
            <w:pPr>
              <w:rPr>
                <w:rFonts w:ascii="Garamond" w:hAnsi="Garamond" w:cs="Calibri"/>
                <w:b/>
                <w:color w:val="000000"/>
                <w:sz w:val="24"/>
                <w:szCs w:val="24"/>
              </w:rPr>
            </w:pPr>
            <w:r w:rsidRPr="001419E1">
              <w:rPr>
                <w:rFonts w:ascii="Garamond" w:hAnsi="Garamond" w:cs="Calibri"/>
                <w:color w:val="000000"/>
                <w:sz w:val="24"/>
                <w:szCs w:val="24"/>
              </w:rPr>
              <w:br w:type="page"/>
            </w:r>
            <w:r w:rsidRPr="001419E1">
              <w:rPr>
                <w:rFonts w:ascii="Garamond" w:hAnsi="Garamond" w:cs="Calibri"/>
                <w:b/>
                <w:color w:val="000000"/>
                <w:sz w:val="24"/>
                <w:szCs w:val="24"/>
              </w:rPr>
              <w:t xml:space="preserve">Empresa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AB8FA" w14:textId="77777777" w:rsidR="003F035B" w:rsidRPr="001419E1" w:rsidRDefault="003F035B" w:rsidP="00E33E26">
            <w:pPr>
              <w:jc w:val="center"/>
              <w:rPr>
                <w:rFonts w:ascii="Garamond" w:hAnsi="Garamond" w:cs="Calibri"/>
                <w:b/>
                <w:color w:val="000000"/>
                <w:sz w:val="24"/>
                <w:szCs w:val="24"/>
              </w:rPr>
            </w:pPr>
            <w:r w:rsidRPr="001419E1">
              <w:rPr>
                <w:rFonts w:ascii="Garamond" w:hAnsi="Garamond" w:cs="Calibri"/>
                <w:b/>
                <w:color w:val="000000"/>
                <w:sz w:val="24"/>
                <w:szCs w:val="24"/>
              </w:rPr>
              <w:t>P1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A8714F4" w14:textId="77777777" w:rsidR="003F035B" w:rsidRPr="001419E1" w:rsidRDefault="003F035B" w:rsidP="00E33E26">
            <w:pPr>
              <w:jc w:val="center"/>
              <w:rPr>
                <w:rFonts w:ascii="Garamond" w:hAnsi="Garamond" w:cs="Calibri"/>
                <w:b/>
                <w:color w:val="000000"/>
                <w:sz w:val="24"/>
                <w:szCs w:val="24"/>
              </w:rPr>
            </w:pPr>
            <w:r w:rsidRPr="001419E1">
              <w:rPr>
                <w:rFonts w:ascii="Garamond" w:hAnsi="Garamond" w:cs="Calibri"/>
                <w:b/>
                <w:color w:val="000000"/>
                <w:sz w:val="24"/>
                <w:szCs w:val="24"/>
              </w:rPr>
              <w:t>P2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B3BAF14" w14:textId="77777777" w:rsidR="003F035B" w:rsidRPr="001419E1" w:rsidRDefault="003F035B" w:rsidP="00E33E26">
            <w:pPr>
              <w:jc w:val="center"/>
              <w:rPr>
                <w:rFonts w:ascii="Garamond" w:hAnsi="Garamond" w:cs="Calibri"/>
                <w:b/>
                <w:color w:val="000000"/>
                <w:sz w:val="24"/>
                <w:szCs w:val="24"/>
              </w:rPr>
            </w:pPr>
            <w:r w:rsidRPr="001419E1">
              <w:rPr>
                <w:rFonts w:ascii="Garamond" w:hAnsi="Garamond" w:cs="Calibri"/>
                <w:b/>
                <w:color w:val="000000"/>
                <w:sz w:val="24"/>
                <w:szCs w:val="24"/>
              </w:rPr>
              <w:t>P3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BB87552" w14:textId="77777777" w:rsidR="003F035B" w:rsidRPr="001419E1" w:rsidRDefault="003F035B" w:rsidP="00E33E26">
            <w:pPr>
              <w:jc w:val="center"/>
              <w:rPr>
                <w:rFonts w:ascii="Garamond" w:hAnsi="Garamond" w:cs="Calibri"/>
                <w:b/>
                <w:color w:val="000000"/>
                <w:sz w:val="24"/>
                <w:szCs w:val="24"/>
              </w:rPr>
            </w:pPr>
            <w:r w:rsidRPr="001419E1">
              <w:rPr>
                <w:rFonts w:ascii="Garamond" w:hAnsi="Garamond" w:cs="Calibri"/>
                <w:b/>
                <w:color w:val="000000"/>
                <w:sz w:val="24"/>
                <w:szCs w:val="24"/>
              </w:rPr>
              <w:t>P4</w:t>
            </w:r>
          </w:p>
        </w:tc>
        <w:tc>
          <w:tcPr>
            <w:tcW w:w="497" w:type="dxa"/>
            <w:tcBorders>
              <w:top w:val="single" w:sz="4" w:space="0" w:color="auto"/>
              <w:left w:val="nil"/>
              <w:bottom w:val="single" w:sz="4" w:space="0" w:color="auto"/>
              <w:right w:val="single" w:sz="4" w:space="0" w:color="auto"/>
            </w:tcBorders>
            <w:shd w:val="clear" w:color="auto" w:fill="auto"/>
            <w:vAlign w:val="center"/>
            <w:hideMark/>
          </w:tcPr>
          <w:p w14:paraId="1E79A9BA" w14:textId="77777777" w:rsidR="003F035B" w:rsidRPr="001419E1" w:rsidRDefault="003F035B" w:rsidP="00E33E26">
            <w:pPr>
              <w:jc w:val="center"/>
              <w:rPr>
                <w:rFonts w:ascii="Garamond" w:hAnsi="Garamond" w:cs="Calibri"/>
                <w:b/>
                <w:color w:val="000000"/>
                <w:sz w:val="24"/>
                <w:szCs w:val="24"/>
              </w:rPr>
            </w:pPr>
            <w:r w:rsidRPr="001419E1">
              <w:rPr>
                <w:rFonts w:ascii="Garamond" w:hAnsi="Garamond" w:cs="Calibri"/>
                <w:b/>
                <w:color w:val="000000"/>
                <w:sz w:val="24"/>
                <w:szCs w:val="24"/>
              </w:rPr>
              <w:t>P5</w:t>
            </w:r>
          </w:p>
        </w:tc>
      </w:tr>
      <w:tr w:rsidR="003F035B" w:rsidRPr="00395593" w14:paraId="789CB928" w14:textId="77777777" w:rsidTr="0098716C">
        <w:trPr>
          <w:cantSplit/>
          <w:jc w:val="center"/>
        </w:trPr>
        <w:tc>
          <w:tcPr>
            <w:tcW w:w="3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7ACB8" w14:textId="77777777" w:rsidR="003F035B" w:rsidRPr="001419E1" w:rsidRDefault="003F035B" w:rsidP="00E33E26">
            <w:pPr>
              <w:rPr>
                <w:rFonts w:ascii="Garamond" w:hAnsi="Garamond" w:cs="Calibri"/>
                <w:b/>
                <w:color w:val="000000"/>
                <w:sz w:val="24"/>
                <w:szCs w:val="24"/>
              </w:rPr>
            </w:pPr>
            <w:r w:rsidRPr="001419E1">
              <w:rPr>
                <w:rFonts w:ascii="Garamond" w:hAnsi="Garamond" w:cs="Calibri"/>
                <w:b/>
                <w:color w:val="000000"/>
                <w:sz w:val="24"/>
                <w:szCs w:val="24"/>
              </w:rPr>
              <w:t>Lucro Líquido (A)</w:t>
            </w:r>
          </w:p>
        </w:tc>
        <w:tc>
          <w:tcPr>
            <w:tcW w:w="708" w:type="dxa"/>
            <w:tcBorders>
              <w:top w:val="single" w:sz="4" w:space="0" w:color="auto"/>
              <w:left w:val="nil"/>
              <w:bottom w:val="single" w:sz="4" w:space="0" w:color="auto"/>
              <w:right w:val="nil"/>
            </w:tcBorders>
            <w:shd w:val="clear" w:color="auto" w:fill="auto"/>
            <w:vAlign w:val="center"/>
            <w:hideMark/>
          </w:tcPr>
          <w:p w14:paraId="0269F26D" w14:textId="77777777" w:rsidR="003F035B" w:rsidRPr="001419E1" w:rsidRDefault="003F035B" w:rsidP="00E33E26">
            <w:pPr>
              <w:jc w:val="center"/>
              <w:rPr>
                <w:rFonts w:ascii="Garamond" w:hAnsi="Garamond" w:cs="Calibri"/>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6026F" w14:textId="77777777" w:rsidR="003F035B" w:rsidRPr="001419E1" w:rsidRDefault="003F035B" w:rsidP="00E33E26">
            <w:pPr>
              <w:jc w:val="center"/>
              <w:rPr>
                <w:rFonts w:ascii="Garamond" w:hAnsi="Garamond" w:cs="Calibri"/>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1183710" w14:textId="77777777" w:rsidR="003F035B" w:rsidRPr="001419E1" w:rsidRDefault="003F035B" w:rsidP="00E33E26">
            <w:pPr>
              <w:jc w:val="center"/>
              <w:rPr>
                <w:rFonts w:ascii="Garamond" w:hAnsi="Garamond" w:cs="Calibri"/>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9055061" w14:textId="77777777" w:rsidR="003F035B" w:rsidRPr="001419E1" w:rsidRDefault="003F035B" w:rsidP="00E33E26">
            <w:pPr>
              <w:jc w:val="center"/>
              <w:rPr>
                <w:rFonts w:ascii="Garamond" w:hAnsi="Garamond" w:cs="Calibri"/>
                <w:color w:val="000000"/>
                <w:sz w:val="24"/>
                <w:szCs w:val="24"/>
              </w:rPr>
            </w:pPr>
          </w:p>
        </w:tc>
        <w:tc>
          <w:tcPr>
            <w:tcW w:w="497" w:type="dxa"/>
            <w:tcBorders>
              <w:top w:val="single" w:sz="4" w:space="0" w:color="auto"/>
              <w:left w:val="nil"/>
              <w:bottom w:val="single" w:sz="4" w:space="0" w:color="auto"/>
              <w:right w:val="single" w:sz="4" w:space="0" w:color="auto"/>
            </w:tcBorders>
            <w:shd w:val="clear" w:color="auto" w:fill="auto"/>
            <w:vAlign w:val="center"/>
            <w:hideMark/>
          </w:tcPr>
          <w:p w14:paraId="6BE984E8" w14:textId="77777777" w:rsidR="003F035B" w:rsidRPr="001419E1" w:rsidRDefault="003F035B" w:rsidP="00E33E26">
            <w:pPr>
              <w:jc w:val="center"/>
              <w:rPr>
                <w:rFonts w:ascii="Garamond" w:hAnsi="Garamond" w:cs="Calibri"/>
                <w:color w:val="000000"/>
                <w:sz w:val="24"/>
                <w:szCs w:val="24"/>
              </w:rPr>
            </w:pPr>
          </w:p>
        </w:tc>
      </w:tr>
      <w:tr w:rsidR="003F035B" w:rsidRPr="00395593" w14:paraId="21ACEACB" w14:textId="77777777" w:rsidTr="0098716C">
        <w:trPr>
          <w:cantSplit/>
          <w:jc w:val="center"/>
        </w:trPr>
        <w:tc>
          <w:tcPr>
            <w:tcW w:w="3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81D8E" w14:textId="77777777" w:rsidR="003F035B" w:rsidRPr="001419E1" w:rsidRDefault="003F035B" w:rsidP="00E33E26">
            <w:pPr>
              <w:rPr>
                <w:rFonts w:ascii="Garamond" w:hAnsi="Garamond" w:cs="Calibri"/>
                <w:b/>
                <w:color w:val="000000"/>
                <w:sz w:val="24"/>
                <w:szCs w:val="24"/>
              </w:rPr>
            </w:pPr>
            <w:r w:rsidRPr="001419E1">
              <w:rPr>
                <w:rFonts w:ascii="Garamond" w:hAnsi="Garamond" w:cs="Calibri"/>
                <w:b/>
                <w:color w:val="000000"/>
                <w:sz w:val="24"/>
                <w:szCs w:val="24"/>
              </w:rPr>
              <w:t>Ativo Total (B)</w:t>
            </w:r>
          </w:p>
        </w:tc>
        <w:tc>
          <w:tcPr>
            <w:tcW w:w="708" w:type="dxa"/>
            <w:tcBorders>
              <w:top w:val="single" w:sz="4" w:space="0" w:color="auto"/>
              <w:left w:val="nil"/>
              <w:bottom w:val="single" w:sz="4" w:space="0" w:color="auto"/>
              <w:right w:val="nil"/>
            </w:tcBorders>
            <w:shd w:val="clear" w:color="auto" w:fill="auto"/>
            <w:vAlign w:val="center"/>
            <w:hideMark/>
          </w:tcPr>
          <w:p w14:paraId="2E12AB53" w14:textId="77777777" w:rsidR="003F035B" w:rsidRPr="001419E1" w:rsidRDefault="003F035B" w:rsidP="00E33E26">
            <w:pPr>
              <w:jc w:val="center"/>
              <w:rPr>
                <w:rFonts w:ascii="Garamond" w:hAnsi="Garamond" w:cs="Calibri"/>
                <w:color w:val="000000"/>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367B8" w14:textId="77777777" w:rsidR="003F035B" w:rsidRPr="001419E1" w:rsidRDefault="003F035B" w:rsidP="00E33E26">
            <w:pPr>
              <w:jc w:val="center"/>
              <w:rPr>
                <w:rFonts w:ascii="Garamond" w:hAnsi="Garamond" w:cs="Calibri"/>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DEECC25" w14:textId="77777777" w:rsidR="003F035B" w:rsidRPr="001419E1" w:rsidRDefault="003F035B" w:rsidP="00E33E26">
            <w:pPr>
              <w:jc w:val="center"/>
              <w:rPr>
                <w:rFonts w:ascii="Garamond" w:hAnsi="Garamond" w:cs="Calibri"/>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D1A7A2A" w14:textId="77777777" w:rsidR="003F035B" w:rsidRPr="001419E1" w:rsidRDefault="003F035B" w:rsidP="00E33E26">
            <w:pPr>
              <w:jc w:val="center"/>
              <w:rPr>
                <w:rFonts w:ascii="Garamond" w:hAnsi="Garamond" w:cs="Calibri"/>
                <w:color w:val="000000"/>
                <w:sz w:val="24"/>
                <w:szCs w:val="24"/>
              </w:rPr>
            </w:pPr>
          </w:p>
        </w:tc>
        <w:tc>
          <w:tcPr>
            <w:tcW w:w="497" w:type="dxa"/>
            <w:tcBorders>
              <w:top w:val="single" w:sz="4" w:space="0" w:color="auto"/>
              <w:left w:val="nil"/>
              <w:bottom w:val="single" w:sz="4" w:space="0" w:color="auto"/>
              <w:right w:val="single" w:sz="4" w:space="0" w:color="auto"/>
            </w:tcBorders>
            <w:shd w:val="clear" w:color="auto" w:fill="auto"/>
            <w:vAlign w:val="center"/>
            <w:hideMark/>
          </w:tcPr>
          <w:p w14:paraId="4BCD651D" w14:textId="77777777" w:rsidR="003F035B" w:rsidRPr="001419E1" w:rsidRDefault="003F035B" w:rsidP="00E33E26">
            <w:pPr>
              <w:jc w:val="center"/>
              <w:rPr>
                <w:rFonts w:ascii="Garamond" w:hAnsi="Garamond" w:cs="Calibri"/>
                <w:color w:val="000000"/>
                <w:sz w:val="24"/>
                <w:szCs w:val="24"/>
              </w:rPr>
            </w:pPr>
          </w:p>
        </w:tc>
      </w:tr>
      <w:tr w:rsidR="003F035B" w:rsidRPr="00395593" w14:paraId="02DD81FF" w14:textId="77777777" w:rsidTr="0098716C">
        <w:trPr>
          <w:cantSplit/>
          <w:jc w:val="center"/>
        </w:trPr>
        <w:tc>
          <w:tcPr>
            <w:tcW w:w="3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83EBF" w14:textId="77777777" w:rsidR="003F035B" w:rsidRPr="001419E1" w:rsidRDefault="003F035B" w:rsidP="00E33E26">
            <w:pPr>
              <w:rPr>
                <w:rFonts w:ascii="Garamond" w:hAnsi="Garamond" w:cs="Calibri"/>
                <w:b/>
                <w:color w:val="000000"/>
                <w:sz w:val="24"/>
                <w:szCs w:val="24"/>
              </w:rPr>
            </w:pPr>
            <w:r w:rsidRPr="001419E1">
              <w:rPr>
                <w:rFonts w:ascii="Garamond" w:hAnsi="Garamond" w:cs="Calibri"/>
                <w:b/>
                <w:color w:val="000000"/>
                <w:sz w:val="24"/>
                <w:szCs w:val="24"/>
              </w:rPr>
              <w:t>Retorno sobre o Investimento Total (A/B) (%)</w:t>
            </w:r>
          </w:p>
        </w:tc>
        <w:tc>
          <w:tcPr>
            <w:tcW w:w="708" w:type="dxa"/>
            <w:tcBorders>
              <w:top w:val="single" w:sz="4" w:space="0" w:color="auto"/>
              <w:left w:val="nil"/>
              <w:bottom w:val="single" w:sz="4" w:space="0" w:color="auto"/>
              <w:right w:val="single" w:sz="4" w:space="0" w:color="auto"/>
            </w:tcBorders>
            <w:shd w:val="clear" w:color="000000" w:fill="D9D9D9"/>
            <w:vAlign w:val="center"/>
          </w:tcPr>
          <w:p w14:paraId="144BE66D" w14:textId="77777777" w:rsidR="003F035B" w:rsidRPr="001419E1" w:rsidRDefault="003F035B" w:rsidP="00E33E26">
            <w:pPr>
              <w:jc w:val="center"/>
              <w:rPr>
                <w:rFonts w:ascii="Garamond" w:hAnsi="Garamond" w:cs="Calibri"/>
                <w:color w:val="000000"/>
                <w:sz w:val="24"/>
                <w:szCs w:val="24"/>
              </w:rPr>
            </w:pPr>
          </w:p>
        </w:tc>
        <w:tc>
          <w:tcPr>
            <w:tcW w:w="567" w:type="dxa"/>
            <w:tcBorders>
              <w:top w:val="single" w:sz="4" w:space="0" w:color="auto"/>
              <w:left w:val="nil"/>
              <w:bottom w:val="single" w:sz="4" w:space="0" w:color="auto"/>
              <w:right w:val="single" w:sz="4" w:space="0" w:color="auto"/>
            </w:tcBorders>
            <w:shd w:val="clear" w:color="000000" w:fill="D9D9D9"/>
            <w:vAlign w:val="center"/>
          </w:tcPr>
          <w:p w14:paraId="3ED3B08D" w14:textId="77777777" w:rsidR="003F035B" w:rsidRPr="001419E1" w:rsidRDefault="003F035B" w:rsidP="00E33E26">
            <w:pPr>
              <w:jc w:val="center"/>
              <w:rPr>
                <w:rFonts w:ascii="Garamond" w:hAnsi="Garamond" w:cs="Calibri"/>
                <w:color w:val="000000"/>
                <w:sz w:val="24"/>
                <w:szCs w:val="24"/>
              </w:rPr>
            </w:pPr>
          </w:p>
        </w:tc>
        <w:tc>
          <w:tcPr>
            <w:tcW w:w="567" w:type="dxa"/>
            <w:tcBorders>
              <w:top w:val="single" w:sz="4" w:space="0" w:color="auto"/>
              <w:left w:val="nil"/>
              <w:bottom w:val="single" w:sz="4" w:space="0" w:color="auto"/>
              <w:right w:val="single" w:sz="4" w:space="0" w:color="auto"/>
            </w:tcBorders>
            <w:shd w:val="clear" w:color="000000" w:fill="D9D9D9"/>
            <w:vAlign w:val="center"/>
          </w:tcPr>
          <w:p w14:paraId="5A28F09B" w14:textId="77777777" w:rsidR="003F035B" w:rsidRPr="001419E1" w:rsidRDefault="003F035B" w:rsidP="00E33E26">
            <w:pPr>
              <w:jc w:val="center"/>
              <w:rPr>
                <w:rFonts w:ascii="Garamond" w:hAnsi="Garamond" w:cs="Calibri"/>
                <w:color w:val="000000"/>
                <w:sz w:val="24"/>
                <w:szCs w:val="24"/>
              </w:rPr>
            </w:pPr>
          </w:p>
        </w:tc>
        <w:tc>
          <w:tcPr>
            <w:tcW w:w="567" w:type="dxa"/>
            <w:tcBorders>
              <w:top w:val="single" w:sz="4" w:space="0" w:color="auto"/>
              <w:left w:val="nil"/>
              <w:bottom w:val="single" w:sz="4" w:space="0" w:color="auto"/>
              <w:right w:val="single" w:sz="4" w:space="0" w:color="auto"/>
            </w:tcBorders>
            <w:shd w:val="clear" w:color="000000" w:fill="D9D9D9"/>
            <w:vAlign w:val="center"/>
          </w:tcPr>
          <w:p w14:paraId="6FA34CE9" w14:textId="77777777" w:rsidR="003F035B" w:rsidRPr="001419E1" w:rsidRDefault="003F035B" w:rsidP="00E33E26">
            <w:pPr>
              <w:jc w:val="center"/>
              <w:rPr>
                <w:rFonts w:ascii="Garamond" w:hAnsi="Garamond" w:cs="Calibri"/>
                <w:color w:val="000000"/>
                <w:sz w:val="24"/>
                <w:szCs w:val="24"/>
              </w:rPr>
            </w:pPr>
          </w:p>
        </w:tc>
        <w:tc>
          <w:tcPr>
            <w:tcW w:w="497" w:type="dxa"/>
            <w:tcBorders>
              <w:top w:val="single" w:sz="4" w:space="0" w:color="auto"/>
              <w:left w:val="nil"/>
              <w:bottom w:val="single" w:sz="4" w:space="0" w:color="auto"/>
              <w:right w:val="single" w:sz="4" w:space="0" w:color="auto"/>
            </w:tcBorders>
            <w:shd w:val="clear" w:color="000000" w:fill="D9D9D9"/>
            <w:vAlign w:val="center"/>
          </w:tcPr>
          <w:p w14:paraId="66CA8858" w14:textId="77777777" w:rsidR="003F035B" w:rsidRPr="001419E1" w:rsidRDefault="003F035B" w:rsidP="00E33E26">
            <w:pPr>
              <w:jc w:val="center"/>
              <w:rPr>
                <w:rFonts w:ascii="Garamond" w:hAnsi="Garamond" w:cs="Calibri"/>
                <w:color w:val="000000"/>
                <w:sz w:val="24"/>
                <w:szCs w:val="24"/>
              </w:rPr>
            </w:pPr>
          </w:p>
        </w:tc>
      </w:tr>
    </w:tbl>
    <w:p w14:paraId="06D0C7F1" w14:textId="77777777" w:rsidR="003F035B" w:rsidRPr="00395593" w:rsidRDefault="003F035B" w:rsidP="00E33E26">
      <w:pPr>
        <w:pStyle w:val="TextosemFormatao"/>
        <w:rPr>
          <w:rFonts w:ascii="Garamond" w:hAnsi="Garamond" w:cs="Calibri"/>
          <w:color w:val="000000"/>
          <w:sz w:val="18"/>
          <w:szCs w:val="18"/>
        </w:rPr>
      </w:pPr>
    </w:p>
    <w:p w14:paraId="03FEB739" w14:textId="77777777" w:rsidR="00FC627D" w:rsidRPr="005C5CBD" w:rsidRDefault="00FC627D">
      <w:pPr>
        <w:rPr>
          <w:rFonts w:ascii="Garamond" w:hAnsi="Garamond"/>
        </w:rPr>
      </w:pPr>
      <w:r w:rsidRPr="005C5CBD">
        <w:rPr>
          <w:rFonts w:ascii="Garamond" w:hAnsi="Garamond"/>
        </w:rPr>
        <w:br w:type="page"/>
      </w:r>
    </w:p>
    <w:tbl>
      <w:tblPr>
        <w:tblW w:w="7559" w:type="dxa"/>
        <w:jc w:val="center"/>
        <w:tblLayout w:type="fixed"/>
        <w:tblCellMar>
          <w:left w:w="57" w:type="dxa"/>
          <w:right w:w="57" w:type="dxa"/>
        </w:tblCellMar>
        <w:tblLook w:val="04A0" w:firstRow="1" w:lastRow="0" w:firstColumn="1" w:lastColumn="0" w:noHBand="0" w:noVBand="1"/>
      </w:tblPr>
      <w:tblGrid>
        <w:gridCol w:w="1204"/>
        <w:gridCol w:w="2356"/>
        <w:gridCol w:w="1118"/>
        <w:gridCol w:w="567"/>
        <w:gridCol w:w="567"/>
        <w:gridCol w:w="567"/>
        <w:gridCol w:w="567"/>
        <w:gridCol w:w="567"/>
        <w:gridCol w:w="46"/>
      </w:tblGrid>
      <w:tr w:rsidR="003F035B" w:rsidRPr="00395593" w14:paraId="7FDBE848" w14:textId="77777777" w:rsidTr="00AA7216">
        <w:trPr>
          <w:tblHeader/>
          <w:jc w:val="center"/>
        </w:trPr>
        <w:tc>
          <w:tcPr>
            <w:tcW w:w="7559" w:type="dxa"/>
            <w:gridSpan w:val="9"/>
            <w:tcBorders>
              <w:top w:val="nil"/>
              <w:left w:val="nil"/>
              <w:right w:val="nil"/>
            </w:tcBorders>
            <w:shd w:val="clear" w:color="auto" w:fill="auto"/>
            <w:noWrap/>
            <w:vAlign w:val="center"/>
            <w:hideMark/>
          </w:tcPr>
          <w:p w14:paraId="2F6AEF70" w14:textId="572A11EE" w:rsidR="003F035B" w:rsidRPr="00A07F88" w:rsidRDefault="003F035B" w:rsidP="0098716C">
            <w:pPr>
              <w:spacing w:after="0" w:line="240" w:lineRule="auto"/>
              <w:jc w:val="center"/>
              <w:rPr>
                <w:rFonts w:ascii="Garamond" w:hAnsi="Garamond" w:cs="Calibri"/>
                <w:b/>
                <w:color w:val="000000"/>
                <w:sz w:val="24"/>
                <w:szCs w:val="24"/>
              </w:rPr>
            </w:pPr>
            <w:r w:rsidRPr="00395593">
              <w:rPr>
                <w:rFonts w:ascii="Garamond" w:hAnsi="Garamond" w:cs="Calibri"/>
                <w:color w:val="000000"/>
                <w:sz w:val="18"/>
                <w:szCs w:val="18"/>
              </w:rPr>
              <w:br w:type="page"/>
            </w:r>
            <w:r w:rsidRPr="00395593">
              <w:rPr>
                <w:rFonts w:ascii="Garamond" w:hAnsi="Garamond" w:cs="Calibri"/>
                <w:color w:val="000000"/>
                <w:sz w:val="18"/>
                <w:szCs w:val="18"/>
              </w:rPr>
              <w:br w:type="page"/>
            </w:r>
            <w:r w:rsidRPr="00395593">
              <w:rPr>
                <w:rFonts w:ascii="Garamond" w:hAnsi="Garamond" w:cs="Calibri"/>
                <w:color w:val="000000"/>
                <w:sz w:val="18"/>
                <w:szCs w:val="18"/>
              </w:rPr>
              <w:br w:type="page"/>
            </w:r>
            <w:r w:rsidRPr="00A07F88">
              <w:rPr>
                <w:rFonts w:ascii="Garamond" w:hAnsi="Garamond" w:cs="Calibri"/>
                <w:b/>
                <w:color w:val="000000"/>
                <w:sz w:val="24"/>
                <w:szCs w:val="24"/>
              </w:rPr>
              <w:t>APÊNDICE XVII</w:t>
            </w:r>
          </w:p>
          <w:p w14:paraId="347055B8" w14:textId="77777777" w:rsidR="003F035B" w:rsidRPr="00A07F88" w:rsidRDefault="003F035B" w:rsidP="0098716C">
            <w:pPr>
              <w:spacing w:after="0" w:line="240" w:lineRule="auto"/>
              <w:jc w:val="center"/>
              <w:rPr>
                <w:rFonts w:ascii="Garamond" w:hAnsi="Garamond" w:cs="Calibri"/>
                <w:b/>
                <w:color w:val="000000"/>
                <w:sz w:val="24"/>
                <w:szCs w:val="24"/>
              </w:rPr>
            </w:pPr>
            <w:r w:rsidRPr="00A07F88">
              <w:rPr>
                <w:rFonts w:ascii="Garamond" w:hAnsi="Garamond" w:cs="Calibri"/>
                <w:b/>
                <w:color w:val="000000"/>
                <w:sz w:val="24"/>
                <w:szCs w:val="24"/>
              </w:rPr>
              <w:t>FLUXO DE CAIXA</w:t>
            </w:r>
          </w:p>
          <w:p w14:paraId="5495549D" w14:textId="77777777" w:rsidR="003F035B" w:rsidRPr="00395593" w:rsidRDefault="003F035B" w:rsidP="0098716C">
            <w:pPr>
              <w:spacing w:after="0" w:line="240" w:lineRule="auto"/>
              <w:jc w:val="right"/>
              <w:rPr>
                <w:rFonts w:ascii="Garamond" w:hAnsi="Garamond" w:cs="Calibri"/>
                <w:b/>
                <w:color w:val="000000"/>
                <w:sz w:val="18"/>
                <w:szCs w:val="18"/>
              </w:rPr>
            </w:pPr>
            <w:r w:rsidRPr="00395593">
              <w:rPr>
                <w:rFonts w:ascii="Garamond" w:hAnsi="Garamond" w:cs="Calibri"/>
                <w:b/>
                <w:color w:val="000000"/>
                <w:sz w:val="18"/>
                <w:szCs w:val="18"/>
              </w:rPr>
              <w:t>Em R$</w:t>
            </w:r>
          </w:p>
        </w:tc>
      </w:tr>
      <w:tr w:rsidR="003F035B" w:rsidRPr="00395593" w14:paraId="4E19E2DC" w14:textId="77777777" w:rsidTr="00AA7216">
        <w:trPr>
          <w:tblHeader/>
          <w:jc w:val="center"/>
        </w:trPr>
        <w:tc>
          <w:tcPr>
            <w:tcW w:w="7559" w:type="dxa"/>
            <w:gridSpan w:val="9"/>
            <w:tcBorders>
              <w:left w:val="nil"/>
              <w:right w:val="nil"/>
            </w:tcBorders>
            <w:shd w:val="clear" w:color="auto" w:fill="auto"/>
            <w:noWrap/>
            <w:vAlign w:val="center"/>
          </w:tcPr>
          <w:p w14:paraId="326B0133" w14:textId="77777777" w:rsidR="003F035B" w:rsidRPr="00395593" w:rsidRDefault="003F035B" w:rsidP="0098716C">
            <w:pPr>
              <w:spacing w:after="0" w:line="240" w:lineRule="auto"/>
              <w:jc w:val="center"/>
              <w:rPr>
                <w:rFonts w:ascii="Garamond" w:hAnsi="Garamond" w:cs="Calibri"/>
                <w:color w:val="000000"/>
                <w:sz w:val="18"/>
                <w:szCs w:val="18"/>
              </w:rPr>
            </w:pPr>
          </w:p>
        </w:tc>
      </w:tr>
      <w:tr w:rsidR="003F035B" w:rsidRPr="00395593" w14:paraId="075CCE54" w14:textId="77777777" w:rsidTr="00AA7216">
        <w:trPr>
          <w:gridAfter w:val="1"/>
          <w:wAfter w:w="46" w:type="dxa"/>
          <w:tblHeader/>
          <w:jc w:val="center"/>
        </w:trPr>
        <w:tc>
          <w:tcPr>
            <w:tcW w:w="1204" w:type="dxa"/>
            <w:tcBorders>
              <w:bottom w:val="single" w:sz="4" w:space="0" w:color="auto"/>
              <w:right w:val="single" w:sz="4" w:space="0" w:color="auto"/>
            </w:tcBorders>
            <w:shd w:val="clear" w:color="auto" w:fill="auto"/>
            <w:vAlign w:val="center"/>
            <w:hideMark/>
          </w:tcPr>
          <w:p w14:paraId="5220E9E3" w14:textId="77777777" w:rsidR="003F035B" w:rsidRPr="00395593" w:rsidRDefault="003F035B" w:rsidP="00E33E26">
            <w:pPr>
              <w:jc w:val="center"/>
              <w:rPr>
                <w:rFonts w:ascii="Garamond" w:hAnsi="Garamond" w:cs="Calibri"/>
                <w:color w:val="000000"/>
                <w:sz w:val="18"/>
                <w:szCs w:val="18"/>
              </w:rPr>
            </w:pPr>
          </w:p>
        </w:tc>
        <w:tc>
          <w:tcPr>
            <w:tcW w:w="34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B98CBE" w14:textId="77777777" w:rsidR="003F035B" w:rsidRPr="00395593" w:rsidRDefault="003F035B" w:rsidP="00E33E26">
            <w:pPr>
              <w:jc w:val="center"/>
              <w:rPr>
                <w:rFonts w:ascii="Garamond" w:hAnsi="Garamond" w:cs="Calibri"/>
                <w:b/>
                <w:color w:val="000000"/>
                <w:sz w:val="18"/>
                <w:szCs w:val="18"/>
              </w:rPr>
            </w:pPr>
            <w:r w:rsidRPr="00395593">
              <w:rPr>
                <w:rFonts w:ascii="Garamond" w:hAnsi="Garamond" w:cs="Calibri"/>
                <w:b/>
                <w:color w:val="000000"/>
                <w:sz w:val="18"/>
                <w:szCs w:val="18"/>
              </w:rPr>
              <w:t>Empresa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948B7" w14:textId="77777777" w:rsidR="003F035B" w:rsidRPr="00395593" w:rsidRDefault="003F035B" w:rsidP="00E33E26">
            <w:pPr>
              <w:jc w:val="center"/>
              <w:rPr>
                <w:rFonts w:ascii="Garamond" w:hAnsi="Garamond" w:cs="Calibri"/>
                <w:b/>
                <w:color w:val="000000"/>
                <w:sz w:val="18"/>
                <w:szCs w:val="18"/>
              </w:rPr>
            </w:pPr>
            <w:r w:rsidRPr="00395593">
              <w:rPr>
                <w:rFonts w:ascii="Garamond" w:hAnsi="Garamond" w:cs="Calibri"/>
                <w:b/>
                <w:color w:val="000000"/>
                <w:sz w:val="18"/>
                <w:szCs w:val="18"/>
              </w:rPr>
              <w:t>P1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75957" w14:textId="77777777" w:rsidR="003F035B" w:rsidRPr="00395593" w:rsidRDefault="003F035B" w:rsidP="00E33E26">
            <w:pPr>
              <w:jc w:val="center"/>
              <w:rPr>
                <w:rFonts w:ascii="Garamond" w:hAnsi="Garamond" w:cs="Calibri"/>
                <w:b/>
                <w:color w:val="000000"/>
                <w:sz w:val="18"/>
                <w:szCs w:val="18"/>
              </w:rPr>
            </w:pPr>
            <w:r w:rsidRPr="00395593">
              <w:rPr>
                <w:rFonts w:ascii="Garamond" w:hAnsi="Garamond" w:cs="Calibri"/>
                <w:b/>
                <w:color w:val="000000"/>
                <w:sz w:val="18"/>
                <w:szCs w:val="18"/>
              </w:rPr>
              <w:t>P2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B35AC" w14:textId="77777777" w:rsidR="003F035B" w:rsidRPr="00395593" w:rsidRDefault="003F035B" w:rsidP="00E33E26">
            <w:pPr>
              <w:jc w:val="center"/>
              <w:rPr>
                <w:rFonts w:ascii="Garamond" w:hAnsi="Garamond" w:cs="Calibri"/>
                <w:b/>
                <w:color w:val="000000"/>
                <w:sz w:val="18"/>
                <w:szCs w:val="18"/>
              </w:rPr>
            </w:pPr>
            <w:r w:rsidRPr="00395593">
              <w:rPr>
                <w:rFonts w:ascii="Garamond" w:hAnsi="Garamond" w:cs="Calibri"/>
                <w:b/>
                <w:color w:val="000000"/>
                <w:sz w:val="18"/>
                <w:szCs w:val="18"/>
              </w:rPr>
              <w:t>P3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6E3DF" w14:textId="77777777" w:rsidR="003F035B" w:rsidRPr="00395593" w:rsidRDefault="003F035B" w:rsidP="00E33E26">
            <w:pPr>
              <w:jc w:val="center"/>
              <w:rPr>
                <w:rFonts w:ascii="Garamond" w:hAnsi="Garamond" w:cs="Calibri"/>
                <w:b/>
                <w:color w:val="000000"/>
                <w:sz w:val="18"/>
                <w:szCs w:val="18"/>
              </w:rPr>
            </w:pPr>
            <w:r w:rsidRPr="00395593">
              <w:rPr>
                <w:rFonts w:ascii="Garamond" w:hAnsi="Garamond" w:cs="Calibri"/>
                <w:b/>
                <w:color w:val="000000"/>
                <w:sz w:val="18"/>
                <w:szCs w:val="18"/>
              </w:rPr>
              <w:t>P4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0BA6D" w14:textId="77777777" w:rsidR="003F035B" w:rsidRPr="00395593" w:rsidRDefault="003F035B" w:rsidP="00E33E26">
            <w:pPr>
              <w:jc w:val="center"/>
              <w:rPr>
                <w:rFonts w:ascii="Garamond" w:hAnsi="Garamond" w:cs="Calibri"/>
                <w:b/>
                <w:color w:val="000000"/>
                <w:sz w:val="18"/>
                <w:szCs w:val="18"/>
              </w:rPr>
            </w:pPr>
            <w:r w:rsidRPr="00395593">
              <w:rPr>
                <w:rFonts w:ascii="Garamond" w:hAnsi="Garamond" w:cs="Calibri"/>
                <w:b/>
                <w:color w:val="000000"/>
                <w:sz w:val="18"/>
                <w:szCs w:val="18"/>
              </w:rPr>
              <w:t>P5</w:t>
            </w:r>
          </w:p>
        </w:tc>
      </w:tr>
      <w:tr w:rsidR="003F035B" w:rsidRPr="00395593" w14:paraId="00F15118" w14:textId="77777777" w:rsidTr="00AA7216">
        <w:trPr>
          <w:gridAfter w:val="1"/>
          <w:wAfter w:w="46" w:type="dxa"/>
          <w:jc w:val="center"/>
        </w:trPr>
        <w:tc>
          <w:tcPr>
            <w:tcW w:w="120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E64211E" w14:textId="77777777" w:rsidR="003F035B" w:rsidRPr="00395593" w:rsidRDefault="003F035B" w:rsidP="00E33E26">
            <w:pPr>
              <w:jc w:val="center"/>
              <w:rPr>
                <w:rFonts w:ascii="Garamond" w:hAnsi="Garamond" w:cs="Calibri"/>
                <w:b/>
                <w:color w:val="000000"/>
                <w:sz w:val="18"/>
                <w:szCs w:val="18"/>
              </w:rPr>
            </w:pPr>
            <w:r w:rsidRPr="00395593">
              <w:rPr>
                <w:rFonts w:ascii="Garamond" w:hAnsi="Garamond" w:cs="Calibri"/>
                <w:b/>
                <w:color w:val="000000"/>
                <w:sz w:val="18"/>
                <w:szCs w:val="18"/>
              </w:rPr>
              <w:t>Atividades Operacionais</w:t>
            </w:r>
          </w:p>
        </w:tc>
        <w:tc>
          <w:tcPr>
            <w:tcW w:w="3474" w:type="dxa"/>
            <w:gridSpan w:val="2"/>
            <w:tcBorders>
              <w:top w:val="single" w:sz="4" w:space="0" w:color="auto"/>
              <w:left w:val="nil"/>
              <w:bottom w:val="single" w:sz="4" w:space="0" w:color="auto"/>
              <w:right w:val="single" w:sz="4" w:space="0" w:color="auto"/>
            </w:tcBorders>
            <w:shd w:val="clear" w:color="auto" w:fill="auto"/>
            <w:vAlign w:val="center"/>
            <w:hideMark/>
          </w:tcPr>
          <w:p w14:paraId="32574302"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Lucro Líquido</w:t>
            </w:r>
          </w:p>
        </w:tc>
        <w:tc>
          <w:tcPr>
            <w:tcW w:w="567" w:type="dxa"/>
            <w:tcBorders>
              <w:top w:val="single" w:sz="4" w:space="0" w:color="auto"/>
              <w:left w:val="nil"/>
              <w:bottom w:val="nil"/>
              <w:right w:val="nil"/>
            </w:tcBorders>
            <w:shd w:val="clear" w:color="000000" w:fill="FFFFFF"/>
            <w:vAlign w:val="center"/>
            <w:hideMark/>
          </w:tcPr>
          <w:p w14:paraId="58B265AA" w14:textId="77777777" w:rsidR="003F035B" w:rsidRPr="00395593" w:rsidRDefault="003F035B" w:rsidP="00E33E26">
            <w:pPr>
              <w:jc w:val="right"/>
              <w:rPr>
                <w:rFonts w:ascii="Garamond" w:hAnsi="Garamond" w:cs="Calibri"/>
                <w:color w:val="000000"/>
                <w:sz w:val="18"/>
                <w:szCs w:val="18"/>
              </w:rPr>
            </w:pPr>
          </w:p>
        </w:tc>
        <w:tc>
          <w:tcPr>
            <w:tcW w:w="567" w:type="dxa"/>
            <w:tcBorders>
              <w:top w:val="single" w:sz="4" w:space="0" w:color="auto"/>
              <w:left w:val="single" w:sz="4" w:space="0" w:color="auto"/>
              <w:bottom w:val="nil"/>
              <w:right w:val="single" w:sz="4" w:space="0" w:color="auto"/>
            </w:tcBorders>
            <w:shd w:val="clear" w:color="000000" w:fill="FFFFFF"/>
            <w:vAlign w:val="center"/>
            <w:hideMark/>
          </w:tcPr>
          <w:p w14:paraId="4EF2FE9A" w14:textId="77777777" w:rsidR="003F035B" w:rsidRPr="00395593" w:rsidRDefault="003F035B" w:rsidP="00E33E26">
            <w:pPr>
              <w:jc w:val="right"/>
              <w:rPr>
                <w:rFonts w:ascii="Garamond" w:hAnsi="Garamond" w:cs="Calibri"/>
                <w:color w:val="000000"/>
                <w:sz w:val="18"/>
                <w:szCs w:val="18"/>
              </w:rPr>
            </w:pPr>
          </w:p>
        </w:tc>
        <w:tc>
          <w:tcPr>
            <w:tcW w:w="567" w:type="dxa"/>
            <w:tcBorders>
              <w:top w:val="single" w:sz="4" w:space="0" w:color="auto"/>
              <w:left w:val="nil"/>
              <w:bottom w:val="nil"/>
              <w:right w:val="single" w:sz="4" w:space="0" w:color="auto"/>
            </w:tcBorders>
            <w:shd w:val="clear" w:color="000000" w:fill="FFFFFF"/>
            <w:vAlign w:val="center"/>
            <w:hideMark/>
          </w:tcPr>
          <w:p w14:paraId="5B1E3D99" w14:textId="77777777" w:rsidR="003F035B" w:rsidRPr="00395593" w:rsidRDefault="003F035B" w:rsidP="00E33E26">
            <w:pPr>
              <w:jc w:val="right"/>
              <w:rPr>
                <w:rFonts w:ascii="Garamond" w:hAnsi="Garamond" w:cs="Calibri"/>
                <w:color w:val="000000"/>
                <w:sz w:val="18"/>
                <w:szCs w:val="18"/>
              </w:rPr>
            </w:pPr>
          </w:p>
        </w:tc>
        <w:tc>
          <w:tcPr>
            <w:tcW w:w="567" w:type="dxa"/>
            <w:tcBorders>
              <w:top w:val="single" w:sz="4" w:space="0" w:color="auto"/>
              <w:left w:val="nil"/>
              <w:bottom w:val="nil"/>
              <w:right w:val="single" w:sz="4" w:space="0" w:color="auto"/>
            </w:tcBorders>
            <w:shd w:val="clear" w:color="000000" w:fill="FFFFFF"/>
            <w:vAlign w:val="center"/>
            <w:hideMark/>
          </w:tcPr>
          <w:p w14:paraId="322E06C0" w14:textId="77777777" w:rsidR="003F035B" w:rsidRPr="00395593" w:rsidRDefault="003F035B" w:rsidP="00E33E26">
            <w:pPr>
              <w:jc w:val="right"/>
              <w:rPr>
                <w:rFonts w:ascii="Garamond" w:hAnsi="Garamond" w:cs="Calibri"/>
                <w:color w:val="000000"/>
                <w:sz w:val="18"/>
                <w:szCs w:val="18"/>
              </w:rPr>
            </w:pPr>
          </w:p>
        </w:tc>
        <w:tc>
          <w:tcPr>
            <w:tcW w:w="567" w:type="dxa"/>
            <w:tcBorders>
              <w:top w:val="single" w:sz="4" w:space="0" w:color="auto"/>
              <w:left w:val="nil"/>
              <w:bottom w:val="nil"/>
              <w:right w:val="single" w:sz="4" w:space="0" w:color="auto"/>
            </w:tcBorders>
            <w:shd w:val="clear" w:color="000000" w:fill="FFFFFF"/>
            <w:vAlign w:val="center"/>
            <w:hideMark/>
          </w:tcPr>
          <w:p w14:paraId="2AC5CA5E" w14:textId="77777777" w:rsidR="003F035B" w:rsidRPr="00395593" w:rsidRDefault="003F035B" w:rsidP="00E33E26">
            <w:pPr>
              <w:jc w:val="right"/>
              <w:rPr>
                <w:rFonts w:ascii="Garamond" w:hAnsi="Garamond" w:cs="Calibri"/>
                <w:color w:val="000000"/>
                <w:sz w:val="18"/>
                <w:szCs w:val="18"/>
              </w:rPr>
            </w:pPr>
          </w:p>
        </w:tc>
      </w:tr>
      <w:tr w:rsidR="003F035B" w:rsidRPr="00395593" w14:paraId="02E6AAEC"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44C0AA22" w14:textId="77777777" w:rsidR="003F035B" w:rsidRPr="00395593" w:rsidRDefault="003F035B" w:rsidP="00E33E26">
            <w:pPr>
              <w:rPr>
                <w:rFonts w:ascii="Garamond" w:hAnsi="Garamond" w:cs="Calibri"/>
                <w:b/>
                <w:color w:val="000000"/>
                <w:sz w:val="18"/>
                <w:szCs w:val="18"/>
              </w:rPr>
            </w:pPr>
          </w:p>
        </w:tc>
        <w:tc>
          <w:tcPr>
            <w:tcW w:w="2356" w:type="dxa"/>
            <w:vMerge w:val="restart"/>
            <w:tcBorders>
              <w:top w:val="nil"/>
              <w:left w:val="single" w:sz="4" w:space="0" w:color="auto"/>
              <w:bottom w:val="single" w:sz="4" w:space="0" w:color="auto"/>
              <w:right w:val="single" w:sz="4" w:space="0" w:color="auto"/>
            </w:tcBorders>
            <w:shd w:val="clear" w:color="auto" w:fill="auto"/>
            <w:vAlign w:val="center"/>
            <w:hideMark/>
          </w:tcPr>
          <w:p w14:paraId="2E4BBED5"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Ajustes para reconciliar o lucro líquido ao caixa gerado pelas atividades operacionais</w:t>
            </w:r>
          </w:p>
        </w:tc>
        <w:tc>
          <w:tcPr>
            <w:tcW w:w="1118" w:type="dxa"/>
            <w:tcBorders>
              <w:top w:val="nil"/>
              <w:left w:val="nil"/>
              <w:bottom w:val="single" w:sz="4" w:space="0" w:color="auto"/>
              <w:right w:val="single" w:sz="4" w:space="0" w:color="auto"/>
            </w:tcBorders>
            <w:shd w:val="clear" w:color="auto" w:fill="auto"/>
            <w:vAlign w:val="center"/>
            <w:hideMark/>
          </w:tcPr>
          <w:p w14:paraId="2AE4C693"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especificar</w:t>
            </w:r>
          </w:p>
        </w:tc>
        <w:tc>
          <w:tcPr>
            <w:tcW w:w="567" w:type="dxa"/>
            <w:tcBorders>
              <w:top w:val="nil"/>
              <w:left w:val="nil"/>
              <w:bottom w:val="nil"/>
              <w:right w:val="nil"/>
            </w:tcBorders>
            <w:shd w:val="clear" w:color="000000" w:fill="FFFFFF"/>
            <w:vAlign w:val="center"/>
            <w:hideMark/>
          </w:tcPr>
          <w:p w14:paraId="25A2BD09"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6F3ACE9E"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3E15871F"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5AED96B0"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67BAC363"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 xml:space="preserve"> </w:t>
            </w:r>
          </w:p>
        </w:tc>
      </w:tr>
      <w:tr w:rsidR="003F035B" w:rsidRPr="00395593" w14:paraId="59CBE3D4"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6637E02C" w14:textId="77777777" w:rsidR="003F035B" w:rsidRPr="00395593" w:rsidRDefault="003F035B" w:rsidP="00E33E26">
            <w:pP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089FD9EC" w14:textId="77777777" w:rsidR="003F035B" w:rsidRPr="00395593" w:rsidRDefault="003F035B" w:rsidP="00E33E26">
            <w:pPr>
              <w:rPr>
                <w:rFonts w:ascii="Garamond" w:hAnsi="Garamond" w:cs="Calibri"/>
                <w:b/>
                <w:color w:val="000000"/>
                <w:sz w:val="18"/>
                <w:szCs w:val="18"/>
              </w:rPr>
            </w:pPr>
          </w:p>
        </w:tc>
        <w:tc>
          <w:tcPr>
            <w:tcW w:w="1118" w:type="dxa"/>
            <w:tcBorders>
              <w:top w:val="nil"/>
              <w:left w:val="nil"/>
              <w:bottom w:val="single" w:sz="4" w:space="0" w:color="auto"/>
              <w:right w:val="single" w:sz="4" w:space="0" w:color="auto"/>
            </w:tcBorders>
            <w:shd w:val="clear" w:color="auto" w:fill="auto"/>
            <w:vAlign w:val="center"/>
            <w:hideMark/>
          </w:tcPr>
          <w:p w14:paraId="7777E65B"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especificar</w:t>
            </w:r>
          </w:p>
        </w:tc>
        <w:tc>
          <w:tcPr>
            <w:tcW w:w="567" w:type="dxa"/>
            <w:tcBorders>
              <w:top w:val="nil"/>
              <w:left w:val="nil"/>
              <w:bottom w:val="nil"/>
              <w:right w:val="nil"/>
            </w:tcBorders>
            <w:shd w:val="clear" w:color="000000" w:fill="FFFFFF"/>
            <w:vAlign w:val="center"/>
            <w:hideMark/>
          </w:tcPr>
          <w:p w14:paraId="4DCD3708"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54C4FF0D"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24798B10"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65D8A985"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43EC42CF"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 xml:space="preserve"> </w:t>
            </w:r>
          </w:p>
        </w:tc>
      </w:tr>
      <w:tr w:rsidR="003F035B" w:rsidRPr="00395593" w14:paraId="539705D2"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7DF013AE" w14:textId="77777777" w:rsidR="003F035B" w:rsidRPr="00395593" w:rsidRDefault="003F035B" w:rsidP="00E33E26">
            <w:pP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7E2FE7FA" w14:textId="77777777" w:rsidR="003F035B" w:rsidRPr="00395593" w:rsidRDefault="003F035B" w:rsidP="00E33E26">
            <w:pPr>
              <w:rPr>
                <w:rFonts w:ascii="Garamond" w:hAnsi="Garamond" w:cs="Calibri"/>
                <w:b/>
                <w:color w:val="000000"/>
                <w:sz w:val="18"/>
                <w:szCs w:val="18"/>
              </w:rPr>
            </w:pPr>
          </w:p>
        </w:tc>
        <w:tc>
          <w:tcPr>
            <w:tcW w:w="1118" w:type="dxa"/>
            <w:tcBorders>
              <w:top w:val="nil"/>
              <w:left w:val="nil"/>
              <w:bottom w:val="single" w:sz="4" w:space="0" w:color="auto"/>
              <w:right w:val="single" w:sz="4" w:space="0" w:color="auto"/>
            </w:tcBorders>
            <w:shd w:val="clear" w:color="auto" w:fill="auto"/>
            <w:vAlign w:val="center"/>
            <w:hideMark/>
          </w:tcPr>
          <w:p w14:paraId="0EE36612"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especificar</w:t>
            </w:r>
          </w:p>
        </w:tc>
        <w:tc>
          <w:tcPr>
            <w:tcW w:w="567" w:type="dxa"/>
            <w:tcBorders>
              <w:top w:val="nil"/>
              <w:left w:val="nil"/>
              <w:bottom w:val="nil"/>
              <w:right w:val="nil"/>
            </w:tcBorders>
            <w:shd w:val="clear" w:color="000000" w:fill="FFFFFF"/>
            <w:vAlign w:val="center"/>
            <w:hideMark/>
          </w:tcPr>
          <w:p w14:paraId="44CF8AF1"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6912278D"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78842A8E"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01617DBB"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14211107"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 xml:space="preserve"> </w:t>
            </w:r>
          </w:p>
        </w:tc>
      </w:tr>
      <w:tr w:rsidR="003F035B" w:rsidRPr="00395593" w14:paraId="52554CD0"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63C72B2E" w14:textId="77777777" w:rsidR="003F035B" w:rsidRPr="00395593" w:rsidRDefault="003F035B" w:rsidP="00E33E26">
            <w:pP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6AD07CCB" w14:textId="77777777" w:rsidR="003F035B" w:rsidRPr="00395593" w:rsidRDefault="003F035B" w:rsidP="00E33E26">
            <w:pPr>
              <w:rPr>
                <w:rFonts w:ascii="Garamond" w:hAnsi="Garamond" w:cs="Calibri"/>
                <w:b/>
                <w:color w:val="000000"/>
                <w:sz w:val="18"/>
                <w:szCs w:val="18"/>
              </w:rPr>
            </w:pPr>
          </w:p>
        </w:tc>
        <w:tc>
          <w:tcPr>
            <w:tcW w:w="1118" w:type="dxa"/>
            <w:tcBorders>
              <w:top w:val="nil"/>
              <w:left w:val="nil"/>
              <w:bottom w:val="single" w:sz="4" w:space="0" w:color="auto"/>
              <w:right w:val="single" w:sz="4" w:space="0" w:color="auto"/>
            </w:tcBorders>
            <w:shd w:val="clear" w:color="auto" w:fill="auto"/>
            <w:vAlign w:val="center"/>
            <w:hideMark/>
          </w:tcPr>
          <w:p w14:paraId="5B5065F7"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especificar</w:t>
            </w:r>
          </w:p>
        </w:tc>
        <w:tc>
          <w:tcPr>
            <w:tcW w:w="567" w:type="dxa"/>
            <w:tcBorders>
              <w:top w:val="nil"/>
              <w:left w:val="nil"/>
              <w:bottom w:val="nil"/>
              <w:right w:val="nil"/>
            </w:tcBorders>
            <w:shd w:val="clear" w:color="000000" w:fill="FFFFFF"/>
            <w:vAlign w:val="center"/>
            <w:hideMark/>
          </w:tcPr>
          <w:p w14:paraId="36649610"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4BDDBBC7"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1479A493"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19AB68BB"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5FDD92CB"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 xml:space="preserve"> </w:t>
            </w:r>
          </w:p>
        </w:tc>
      </w:tr>
      <w:tr w:rsidR="003F035B" w:rsidRPr="00395593" w14:paraId="00912B3F"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2D70A3F3" w14:textId="77777777" w:rsidR="003F035B" w:rsidRPr="00395593" w:rsidRDefault="003F035B" w:rsidP="00E33E26">
            <w:pPr>
              <w:rPr>
                <w:rFonts w:ascii="Garamond" w:hAnsi="Garamond" w:cs="Calibri"/>
                <w:b/>
                <w:color w:val="000000"/>
                <w:sz w:val="18"/>
                <w:szCs w:val="18"/>
              </w:rPr>
            </w:pPr>
          </w:p>
        </w:tc>
        <w:tc>
          <w:tcPr>
            <w:tcW w:w="3474" w:type="dxa"/>
            <w:gridSpan w:val="2"/>
            <w:tcBorders>
              <w:top w:val="single" w:sz="4" w:space="0" w:color="auto"/>
              <w:left w:val="nil"/>
              <w:bottom w:val="single" w:sz="4" w:space="0" w:color="auto"/>
              <w:right w:val="single" w:sz="4" w:space="0" w:color="000000"/>
            </w:tcBorders>
            <w:shd w:val="clear" w:color="000000" w:fill="D9D9D9"/>
            <w:vAlign w:val="center"/>
            <w:hideMark/>
          </w:tcPr>
          <w:p w14:paraId="554E79B1"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(Aumento) Redução dos Ativos</w:t>
            </w:r>
          </w:p>
        </w:tc>
        <w:tc>
          <w:tcPr>
            <w:tcW w:w="567" w:type="dxa"/>
            <w:tcBorders>
              <w:top w:val="single" w:sz="4" w:space="0" w:color="auto"/>
              <w:left w:val="nil"/>
              <w:bottom w:val="single" w:sz="4" w:space="0" w:color="auto"/>
              <w:right w:val="nil"/>
            </w:tcBorders>
            <w:shd w:val="clear" w:color="000000" w:fill="D9D9D9"/>
            <w:vAlign w:val="center"/>
            <w:hideMark/>
          </w:tcPr>
          <w:p w14:paraId="3E9F6207"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0,00</w:t>
            </w:r>
          </w:p>
        </w:tc>
        <w:tc>
          <w:tcPr>
            <w:tcW w:w="567" w:type="dxa"/>
            <w:tcBorders>
              <w:top w:val="single" w:sz="4" w:space="0" w:color="auto"/>
              <w:left w:val="single" w:sz="4" w:space="0" w:color="auto"/>
              <w:bottom w:val="single" w:sz="4" w:space="0" w:color="auto"/>
              <w:right w:val="nil"/>
            </w:tcBorders>
            <w:shd w:val="clear" w:color="000000" w:fill="D9D9D9"/>
            <w:vAlign w:val="center"/>
            <w:hideMark/>
          </w:tcPr>
          <w:p w14:paraId="03808183"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0,00</w:t>
            </w:r>
          </w:p>
        </w:tc>
        <w:tc>
          <w:tcPr>
            <w:tcW w:w="567" w:type="dxa"/>
            <w:tcBorders>
              <w:top w:val="single" w:sz="4" w:space="0" w:color="auto"/>
              <w:left w:val="single" w:sz="4" w:space="0" w:color="auto"/>
              <w:bottom w:val="single" w:sz="4" w:space="0" w:color="auto"/>
              <w:right w:val="nil"/>
            </w:tcBorders>
            <w:shd w:val="clear" w:color="000000" w:fill="D9D9D9"/>
            <w:vAlign w:val="center"/>
            <w:hideMark/>
          </w:tcPr>
          <w:p w14:paraId="73F51F55"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0,00</w:t>
            </w:r>
          </w:p>
        </w:tc>
        <w:tc>
          <w:tcPr>
            <w:tcW w:w="567" w:type="dxa"/>
            <w:tcBorders>
              <w:top w:val="single" w:sz="4" w:space="0" w:color="auto"/>
              <w:left w:val="single" w:sz="4" w:space="0" w:color="auto"/>
              <w:bottom w:val="single" w:sz="4" w:space="0" w:color="auto"/>
              <w:right w:val="nil"/>
            </w:tcBorders>
            <w:shd w:val="clear" w:color="000000" w:fill="D9D9D9"/>
            <w:vAlign w:val="center"/>
            <w:hideMark/>
          </w:tcPr>
          <w:p w14:paraId="1DBFE82E"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3B008E"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0,00</w:t>
            </w:r>
          </w:p>
        </w:tc>
      </w:tr>
      <w:tr w:rsidR="003F035B" w:rsidRPr="00395593" w14:paraId="289E29F6"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5C34B354" w14:textId="77777777" w:rsidR="003F035B" w:rsidRPr="00395593" w:rsidRDefault="003F035B" w:rsidP="00E33E26">
            <w:pPr>
              <w:rPr>
                <w:rFonts w:ascii="Garamond" w:hAnsi="Garamond" w:cs="Calibri"/>
                <w:b/>
                <w:color w:val="000000"/>
                <w:sz w:val="18"/>
                <w:szCs w:val="18"/>
              </w:rPr>
            </w:pPr>
          </w:p>
        </w:tc>
        <w:tc>
          <w:tcPr>
            <w:tcW w:w="3474" w:type="dxa"/>
            <w:gridSpan w:val="2"/>
            <w:tcBorders>
              <w:top w:val="single" w:sz="4" w:space="0" w:color="auto"/>
              <w:left w:val="nil"/>
              <w:bottom w:val="single" w:sz="4" w:space="0" w:color="auto"/>
              <w:right w:val="single" w:sz="4" w:space="0" w:color="auto"/>
            </w:tcBorders>
            <w:shd w:val="clear" w:color="auto" w:fill="auto"/>
            <w:vAlign w:val="center"/>
            <w:hideMark/>
          </w:tcPr>
          <w:p w14:paraId="6CD07422"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Contas a receber de clientes</w:t>
            </w:r>
          </w:p>
        </w:tc>
        <w:tc>
          <w:tcPr>
            <w:tcW w:w="567" w:type="dxa"/>
            <w:tcBorders>
              <w:top w:val="nil"/>
              <w:left w:val="nil"/>
              <w:bottom w:val="nil"/>
              <w:right w:val="nil"/>
            </w:tcBorders>
            <w:shd w:val="clear" w:color="000000" w:fill="FFFFFF"/>
            <w:vAlign w:val="center"/>
            <w:hideMark/>
          </w:tcPr>
          <w:p w14:paraId="140420C2"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7D69753C"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51C378EE"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53031F4C"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39D48279" w14:textId="77777777" w:rsidR="003F035B" w:rsidRPr="00395593" w:rsidRDefault="003F035B" w:rsidP="00E33E26">
            <w:pPr>
              <w:jc w:val="right"/>
              <w:rPr>
                <w:rFonts w:ascii="Garamond" w:hAnsi="Garamond" w:cs="Calibri"/>
                <w:color w:val="000000"/>
                <w:sz w:val="18"/>
                <w:szCs w:val="18"/>
              </w:rPr>
            </w:pPr>
          </w:p>
        </w:tc>
      </w:tr>
      <w:tr w:rsidR="003F035B" w:rsidRPr="00395593" w14:paraId="5584E5AA"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56BC7937" w14:textId="77777777" w:rsidR="003F035B" w:rsidRPr="00395593" w:rsidRDefault="003F035B" w:rsidP="00E33E26">
            <w:pPr>
              <w:rPr>
                <w:rFonts w:ascii="Garamond" w:hAnsi="Garamond" w:cs="Calibri"/>
                <w:b/>
                <w:color w:val="000000"/>
                <w:sz w:val="18"/>
                <w:szCs w:val="18"/>
              </w:rPr>
            </w:pPr>
          </w:p>
        </w:tc>
        <w:tc>
          <w:tcPr>
            <w:tcW w:w="3474" w:type="dxa"/>
            <w:gridSpan w:val="2"/>
            <w:tcBorders>
              <w:top w:val="single" w:sz="4" w:space="0" w:color="auto"/>
              <w:left w:val="nil"/>
              <w:bottom w:val="single" w:sz="4" w:space="0" w:color="auto"/>
              <w:right w:val="single" w:sz="4" w:space="0" w:color="auto"/>
            </w:tcBorders>
            <w:shd w:val="clear" w:color="auto" w:fill="auto"/>
            <w:vAlign w:val="center"/>
            <w:hideMark/>
          </w:tcPr>
          <w:p w14:paraId="17830B53"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Estoques</w:t>
            </w:r>
          </w:p>
        </w:tc>
        <w:tc>
          <w:tcPr>
            <w:tcW w:w="567" w:type="dxa"/>
            <w:tcBorders>
              <w:top w:val="nil"/>
              <w:left w:val="nil"/>
              <w:bottom w:val="nil"/>
              <w:right w:val="nil"/>
            </w:tcBorders>
            <w:shd w:val="clear" w:color="000000" w:fill="FFFFFF"/>
            <w:vAlign w:val="center"/>
            <w:hideMark/>
          </w:tcPr>
          <w:p w14:paraId="1956288D"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195E61F2"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54E047A5"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3B2970C4"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3FD7D14A" w14:textId="77777777" w:rsidR="003F035B" w:rsidRPr="00395593" w:rsidRDefault="003F035B" w:rsidP="00E33E26">
            <w:pPr>
              <w:jc w:val="right"/>
              <w:rPr>
                <w:rFonts w:ascii="Garamond" w:hAnsi="Garamond" w:cs="Calibri"/>
                <w:color w:val="000000"/>
                <w:sz w:val="18"/>
                <w:szCs w:val="18"/>
              </w:rPr>
            </w:pPr>
          </w:p>
        </w:tc>
      </w:tr>
      <w:tr w:rsidR="003F035B" w:rsidRPr="00395593" w14:paraId="2F5A1A7A"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666B862B" w14:textId="77777777" w:rsidR="003F035B" w:rsidRPr="00395593" w:rsidRDefault="003F035B" w:rsidP="00E33E26">
            <w:pPr>
              <w:rPr>
                <w:rFonts w:ascii="Garamond" w:hAnsi="Garamond" w:cs="Calibri"/>
                <w:b/>
                <w:color w:val="000000"/>
                <w:sz w:val="18"/>
                <w:szCs w:val="18"/>
              </w:rPr>
            </w:pPr>
          </w:p>
        </w:tc>
        <w:tc>
          <w:tcPr>
            <w:tcW w:w="2356" w:type="dxa"/>
            <w:vMerge w:val="restart"/>
            <w:tcBorders>
              <w:top w:val="nil"/>
              <w:left w:val="single" w:sz="4" w:space="0" w:color="auto"/>
              <w:bottom w:val="single" w:sz="4" w:space="0" w:color="auto"/>
              <w:right w:val="single" w:sz="4" w:space="0" w:color="auto"/>
            </w:tcBorders>
            <w:shd w:val="clear" w:color="auto" w:fill="auto"/>
            <w:vAlign w:val="center"/>
            <w:hideMark/>
          </w:tcPr>
          <w:p w14:paraId="4607108A"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Outras contas</w:t>
            </w:r>
          </w:p>
        </w:tc>
        <w:tc>
          <w:tcPr>
            <w:tcW w:w="1118" w:type="dxa"/>
            <w:tcBorders>
              <w:top w:val="nil"/>
              <w:left w:val="nil"/>
              <w:bottom w:val="single" w:sz="4" w:space="0" w:color="auto"/>
              <w:right w:val="single" w:sz="4" w:space="0" w:color="auto"/>
            </w:tcBorders>
            <w:shd w:val="clear" w:color="auto" w:fill="auto"/>
            <w:vAlign w:val="center"/>
            <w:hideMark/>
          </w:tcPr>
          <w:p w14:paraId="18124DB6"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especificar</w:t>
            </w:r>
          </w:p>
        </w:tc>
        <w:tc>
          <w:tcPr>
            <w:tcW w:w="567" w:type="dxa"/>
            <w:tcBorders>
              <w:top w:val="nil"/>
              <w:left w:val="nil"/>
              <w:bottom w:val="nil"/>
              <w:right w:val="nil"/>
            </w:tcBorders>
            <w:shd w:val="clear" w:color="000000" w:fill="FFFFFF"/>
            <w:vAlign w:val="center"/>
            <w:hideMark/>
          </w:tcPr>
          <w:p w14:paraId="113BEEDA"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4346C95B"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0DA78FB0"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70400E6E"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64767457"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 xml:space="preserve"> </w:t>
            </w:r>
          </w:p>
        </w:tc>
      </w:tr>
      <w:tr w:rsidR="003F035B" w:rsidRPr="00395593" w14:paraId="1EFA882C"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2EB6913D" w14:textId="77777777" w:rsidR="003F035B" w:rsidRPr="00395593" w:rsidRDefault="003F035B" w:rsidP="00E33E26">
            <w:pP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2CEE9F9D" w14:textId="77777777" w:rsidR="003F035B" w:rsidRPr="00395593" w:rsidRDefault="003F035B" w:rsidP="00E33E26">
            <w:pPr>
              <w:rPr>
                <w:rFonts w:ascii="Garamond" w:hAnsi="Garamond" w:cs="Calibri"/>
                <w:b/>
                <w:color w:val="000000"/>
                <w:sz w:val="18"/>
                <w:szCs w:val="18"/>
              </w:rPr>
            </w:pPr>
          </w:p>
        </w:tc>
        <w:tc>
          <w:tcPr>
            <w:tcW w:w="1118" w:type="dxa"/>
            <w:tcBorders>
              <w:top w:val="nil"/>
              <w:left w:val="nil"/>
              <w:bottom w:val="single" w:sz="4" w:space="0" w:color="auto"/>
              <w:right w:val="single" w:sz="4" w:space="0" w:color="auto"/>
            </w:tcBorders>
            <w:shd w:val="clear" w:color="auto" w:fill="auto"/>
            <w:vAlign w:val="center"/>
            <w:hideMark/>
          </w:tcPr>
          <w:p w14:paraId="596E0454"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especificar</w:t>
            </w:r>
          </w:p>
        </w:tc>
        <w:tc>
          <w:tcPr>
            <w:tcW w:w="567" w:type="dxa"/>
            <w:tcBorders>
              <w:top w:val="nil"/>
              <w:left w:val="nil"/>
              <w:bottom w:val="nil"/>
              <w:right w:val="nil"/>
            </w:tcBorders>
            <w:shd w:val="clear" w:color="000000" w:fill="FFFFFF"/>
            <w:vAlign w:val="center"/>
            <w:hideMark/>
          </w:tcPr>
          <w:p w14:paraId="6CA8F07E"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281EF3C8"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467B099C"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792C8A39"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3CBFA3C5"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 xml:space="preserve"> </w:t>
            </w:r>
          </w:p>
        </w:tc>
      </w:tr>
      <w:tr w:rsidR="003F035B" w:rsidRPr="00395593" w14:paraId="55670CE4"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0C46BE07" w14:textId="77777777" w:rsidR="003F035B" w:rsidRPr="00395593" w:rsidRDefault="003F035B" w:rsidP="00E33E26">
            <w:pP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10F4D54F" w14:textId="77777777" w:rsidR="003F035B" w:rsidRPr="00395593" w:rsidRDefault="003F035B" w:rsidP="00E33E26">
            <w:pPr>
              <w:rPr>
                <w:rFonts w:ascii="Garamond" w:hAnsi="Garamond" w:cs="Calibri"/>
                <w:b/>
                <w:color w:val="000000"/>
                <w:sz w:val="18"/>
                <w:szCs w:val="18"/>
              </w:rPr>
            </w:pPr>
          </w:p>
        </w:tc>
        <w:tc>
          <w:tcPr>
            <w:tcW w:w="1118" w:type="dxa"/>
            <w:tcBorders>
              <w:top w:val="nil"/>
              <w:left w:val="nil"/>
              <w:bottom w:val="single" w:sz="4" w:space="0" w:color="auto"/>
              <w:right w:val="single" w:sz="4" w:space="0" w:color="auto"/>
            </w:tcBorders>
            <w:shd w:val="clear" w:color="auto" w:fill="auto"/>
            <w:vAlign w:val="center"/>
            <w:hideMark/>
          </w:tcPr>
          <w:p w14:paraId="1BA7E51C"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especificar</w:t>
            </w:r>
          </w:p>
        </w:tc>
        <w:tc>
          <w:tcPr>
            <w:tcW w:w="567" w:type="dxa"/>
            <w:tcBorders>
              <w:top w:val="nil"/>
              <w:left w:val="nil"/>
              <w:bottom w:val="nil"/>
              <w:right w:val="nil"/>
            </w:tcBorders>
            <w:shd w:val="clear" w:color="000000" w:fill="FFFFFF"/>
            <w:vAlign w:val="center"/>
            <w:hideMark/>
          </w:tcPr>
          <w:p w14:paraId="130D197F"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7897EB0F"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77219B0D"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5F46449F"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25C36E31"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 xml:space="preserve"> </w:t>
            </w:r>
          </w:p>
        </w:tc>
      </w:tr>
      <w:tr w:rsidR="003F035B" w:rsidRPr="00395593" w14:paraId="1290C9E8"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6D665E6B" w14:textId="77777777" w:rsidR="003F035B" w:rsidRPr="00395593" w:rsidRDefault="003F035B" w:rsidP="00E33E26">
            <w:pP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0B4115AD" w14:textId="77777777" w:rsidR="003F035B" w:rsidRPr="00395593" w:rsidRDefault="003F035B" w:rsidP="00E33E26">
            <w:pPr>
              <w:rPr>
                <w:rFonts w:ascii="Garamond" w:hAnsi="Garamond" w:cs="Calibri"/>
                <w:b/>
                <w:color w:val="000000"/>
                <w:sz w:val="18"/>
                <w:szCs w:val="18"/>
              </w:rPr>
            </w:pPr>
          </w:p>
        </w:tc>
        <w:tc>
          <w:tcPr>
            <w:tcW w:w="1118" w:type="dxa"/>
            <w:tcBorders>
              <w:top w:val="nil"/>
              <w:left w:val="nil"/>
              <w:bottom w:val="single" w:sz="4" w:space="0" w:color="auto"/>
              <w:right w:val="single" w:sz="4" w:space="0" w:color="auto"/>
            </w:tcBorders>
            <w:shd w:val="clear" w:color="auto" w:fill="auto"/>
            <w:vAlign w:val="center"/>
            <w:hideMark/>
          </w:tcPr>
          <w:p w14:paraId="5AE9496A"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especificar</w:t>
            </w:r>
          </w:p>
        </w:tc>
        <w:tc>
          <w:tcPr>
            <w:tcW w:w="567" w:type="dxa"/>
            <w:tcBorders>
              <w:top w:val="nil"/>
              <w:left w:val="nil"/>
              <w:bottom w:val="nil"/>
              <w:right w:val="nil"/>
            </w:tcBorders>
            <w:shd w:val="clear" w:color="000000" w:fill="FFFFFF"/>
            <w:vAlign w:val="center"/>
            <w:hideMark/>
          </w:tcPr>
          <w:p w14:paraId="42B250DB"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4DD4CA3C"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775F301E"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19C5E450"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57D49CD0"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 xml:space="preserve"> </w:t>
            </w:r>
          </w:p>
        </w:tc>
      </w:tr>
      <w:tr w:rsidR="003F035B" w:rsidRPr="00395593" w14:paraId="6D6557B4"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579E83CD" w14:textId="77777777" w:rsidR="003F035B" w:rsidRPr="00395593" w:rsidRDefault="003F035B" w:rsidP="00E33E26">
            <w:pPr>
              <w:rPr>
                <w:rFonts w:ascii="Garamond" w:hAnsi="Garamond" w:cs="Calibri"/>
                <w:b/>
                <w:color w:val="000000"/>
                <w:sz w:val="18"/>
                <w:szCs w:val="18"/>
              </w:rPr>
            </w:pPr>
          </w:p>
        </w:tc>
        <w:tc>
          <w:tcPr>
            <w:tcW w:w="3474" w:type="dxa"/>
            <w:gridSpan w:val="2"/>
            <w:tcBorders>
              <w:top w:val="single" w:sz="4" w:space="0" w:color="auto"/>
              <w:left w:val="nil"/>
              <w:bottom w:val="single" w:sz="4" w:space="0" w:color="auto"/>
              <w:right w:val="single" w:sz="4" w:space="0" w:color="000000"/>
            </w:tcBorders>
            <w:shd w:val="clear" w:color="000000" w:fill="D9D9D9"/>
            <w:vAlign w:val="center"/>
            <w:hideMark/>
          </w:tcPr>
          <w:p w14:paraId="773323FD"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Aumento (Redução) dos Passivos</w:t>
            </w:r>
          </w:p>
        </w:tc>
        <w:tc>
          <w:tcPr>
            <w:tcW w:w="567" w:type="dxa"/>
            <w:tcBorders>
              <w:top w:val="single" w:sz="4" w:space="0" w:color="auto"/>
              <w:left w:val="nil"/>
              <w:bottom w:val="single" w:sz="4" w:space="0" w:color="auto"/>
              <w:right w:val="nil"/>
            </w:tcBorders>
            <w:shd w:val="clear" w:color="000000" w:fill="D9D9D9"/>
            <w:vAlign w:val="center"/>
            <w:hideMark/>
          </w:tcPr>
          <w:p w14:paraId="7FF89CEA"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0,00</w:t>
            </w:r>
          </w:p>
        </w:tc>
        <w:tc>
          <w:tcPr>
            <w:tcW w:w="567" w:type="dxa"/>
            <w:tcBorders>
              <w:top w:val="single" w:sz="4" w:space="0" w:color="auto"/>
              <w:left w:val="single" w:sz="4" w:space="0" w:color="auto"/>
              <w:bottom w:val="single" w:sz="4" w:space="0" w:color="auto"/>
              <w:right w:val="nil"/>
            </w:tcBorders>
            <w:shd w:val="clear" w:color="000000" w:fill="D9D9D9"/>
            <w:vAlign w:val="center"/>
            <w:hideMark/>
          </w:tcPr>
          <w:p w14:paraId="7FA8AE85"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0,00</w:t>
            </w:r>
          </w:p>
        </w:tc>
        <w:tc>
          <w:tcPr>
            <w:tcW w:w="567" w:type="dxa"/>
            <w:tcBorders>
              <w:top w:val="single" w:sz="4" w:space="0" w:color="auto"/>
              <w:left w:val="single" w:sz="4" w:space="0" w:color="auto"/>
              <w:bottom w:val="single" w:sz="4" w:space="0" w:color="auto"/>
              <w:right w:val="nil"/>
            </w:tcBorders>
            <w:shd w:val="clear" w:color="000000" w:fill="D9D9D9"/>
            <w:vAlign w:val="center"/>
            <w:hideMark/>
          </w:tcPr>
          <w:p w14:paraId="053C2BB7"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0,00</w:t>
            </w:r>
          </w:p>
        </w:tc>
        <w:tc>
          <w:tcPr>
            <w:tcW w:w="567" w:type="dxa"/>
            <w:tcBorders>
              <w:top w:val="single" w:sz="4" w:space="0" w:color="auto"/>
              <w:left w:val="single" w:sz="4" w:space="0" w:color="auto"/>
              <w:bottom w:val="single" w:sz="4" w:space="0" w:color="auto"/>
              <w:right w:val="nil"/>
            </w:tcBorders>
            <w:shd w:val="clear" w:color="000000" w:fill="D9D9D9"/>
            <w:vAlign w:val="center"/>
            <w:hideMark/>
          </w:tcPr>
          <w:p w14:paraId="7065C7A5"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BA8FFAD"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0,00</w:t>
            </w:r>
          </w:p>
        </w:tc>
      </w:tr>
      <w:tr w:rsidR="003F035B" w:rsidRPr="00395593" w14:paraId="5C0B6515"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63E275A5" w14:textId="77777777" w:rsidR="003F035B" w:rsidRPr="00395593" w:rsidRDefault="003F035B" w:rsidP="00E33E26">
            <w:pPr>
              <w:rPr>
                <w:rFonts w:ascii="Garamond" w:hAnsi="Garamond" w:cs="Calibri"/>
                <w:b/>
                <w:color w:val="000000"/>
                <w:sz w:val="18"/>
                <w:szCs w:val="18"/>
              </w:rPr>
            </w:pPr>
          </w:p>
        </w:tc>
        <w:tc>
          <w:tcPr>
            <w:tcW w:w="3474" w:type="dxa"/>
            <w:gridSpan w:val="2"/>
            <w:tcBorders>
              <w:top w:val="single" w:sz="4" w:space="0" w:color="auto"/>
              <w:left w:val="nil"/>
              <w:bottom w:val="single" w:sz="4" w:space="0" w:color="auto"/>
              <w:right w:val="single" w:sz="4" w:space="0" w:color="auto"/>
            </w:tcBorders>
            <w:shd w:val="clear" w:color="auto" w:fill="auto"/>
            <w:vAlign w:val="center"/>
            <w:hideMark/>
          </w:tcPr>
          <w:p w14:paraId="01C83275"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Fornecedores</w:t>
            </w:r>
          </w:p>
        </w:tc>
        <w:tc>
          <w:tcPr>
            <w:tcW w:w="567" w:type="dxa"/>
            <w:tcBorders>
              <w:top w:val="nil"/>
              <w:left w:val="nil"/>
              <w:bottom w:val="nil"/>
              <w:right w:val="nil"/>
            </w:tcBorders>
            <w:shd w:val="clear" w:color="000000" w:fill="FFFFFF"/>
            <w:vAlign w:val="center"/>
            <w:hideMark/>
          </w:tcPr>
          <w:p w14:paraId="78445B1D"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7168529B"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4A360ACE"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16495C7A"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176D6D6B" w14:textId="77777777" w:rsidR="003F035B" w:rsidRPr="00395593" w:rsidRDefault="003F035B" w:rsidP="00E33E26">
            <w:pPr>
              <w:jc w:val="right"/>
              <w:rPr>
                <w:rFonts w:ascii="Garamond" w:hAnsi="Garamond" w:cs="Calibri"/>
                <w:color w:val="000000"/>
                <w:sz w:val="18"/>
                <w:szCs w:val="18"/>
              </w:rPr>
            </w:pPr>
          </w:p>
        </w:tc>
      </w:tr>
      <w:tr w:rsidR="003F035B" w:rsidRPr="00395593" w14:paraId="433494F8"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3C31ADD9" w14:textId="77777777" w:rsidR="003F035B" w:rsidRPr="00395593" w:rsidRDefault="003F035B" w:rsidP="00E33E26">
            <w:pPr>
              <w:rPr>
                <w:rFonts w:ascii="Garamond" w:hAnsi="Garamond" w:cs="Calibri"/>
                <w:b/>
                <w:color w:val="000000"/>
                <w:sz w:val="18"/>
                <w:szCs w:val="18"/>
              </w:rPr>
            </w:pPr>
          </w:p>
        </w:tc>
        <w:tc>
          <w:tcPr>
            <w:tcW w:w="2356" w:type="dxa"/>
            <w:vMerge w:val="restart"/>
            <w:tcBorders>
              <w:top w:val="nil"/>
              <w:left w:val="single" w:sz="4" w:space="0" w:color="auto"/>
              <w:bottom w:val="single" w:sz="4" w:space="0" w:color="auto"/>
              <w:right w:val="single" w:sz="4" w:space="0" w:color="auto"/>
            </w:tcBorders>
            <w:shd w:val="clear" w:color="auto" w:fill="auto"/>
            <w:vAlign w:val="center"/>
            <w:hideMark/>
          </w:tcPr>
          <w:p w14:paraId="58E721CA"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Outras contas</w:t>
            </w:r>
          </w:p>
        </w:tc>
        <w:tc>
          <w:tcPr>
            <w:tcW w:w="1118" w:type="dxa"/>
            <w:tcBorders>
              <w:top w:val="nil"/>
              <w:left w:val="nil"/>
              <w:bottom w:val="single" w:sz="4" w:space="0" w:color="auto"/>
              <w:right w:val="single" w:sz="4" w:space="0" w:color="auto"/>
            </w:tcBorders>
            <w:shd w:val="clear" w:color="auto" w:fill="auto"/>
            <w:vAlign w:val="center"/>
            <w:hideMark/>
          </w:tcPr>
          <w:p w14:paraId="360838EC"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especificar</w:t>
            </w:r>
          </w:p>
        </w:tc>
        <w:tc>
          <w:tcPr>
            <w:tcW w:w="567" w:type="dxa"/>
            <w:tcBorders>
              <w:top w:val="nil"/>
              <w:left w:val="nil"/>
              <w:bottom w:val="nil"/>
              <w:right w:val="nil"/>
            </w:tcBorders>
            <w:shd w:val="clear" w:color="000000" w:fill="FFFFFF"/>
            <w:vAlign w:val="center"/>
            <w:hideMark/>
          </w:tcPr>
          <w:p w14:paraId="747C76D8"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65E836C0"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18894E60"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66907E8E"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50540AF1"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 xml:space="preserve"> </w:t>
            </w:r>
          </w:p>
        </w:tc>
      </w:tr>
      <w:tr w:rsidR="003F035B" w:rsidRPr="00395593" w14:paraId="5C875A54"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5343CAA1" w14:textId="77777777" w:rsidR="003F035B" w:rsidRPr="00395593" w:rsidRDefault="003F035B" w:rsidP="00E33E26">
            <w:pP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6AC168D7" w14:textId="77777777" w:rsidR="003F035B" w:rsidRPr="00395593" w:rsidRDefault="003F035B" w:rsidP="00E33E26">
            <w:pPr>
              <w:rPr>
                <w:rFonts w:ascii="Garamond" w:hAnsi="Garamond" w:cs="Calibri"/>
                <w:b/>
                <w:color w:val="000000"/>
                <w:sz w:val="18"/>
                <w:szCs w:val="18"/>
              </w:rPr>
            </w:pPr>
          </w:p>
        </w:tc>
        <w:tc>
          <w:tcPr>
            <w:tcW w:w="1118" w:type="dxa"/>
            <w:tcBorders>
              <w:top w:val="nil"/>
              <w:left w:val="nil"/>
              <w:bottom w:val="single" w:sz="4" w:space="0" w:color="auto"/>
              <w:right w:val="single" w:sz="4" w:space="0" w:color="auto"/>
            </w:tcBorders>
            <w:shd w:val="clear" w:color="auto" w:fill="auto"/>
            <w:vAlign w:val="center"/>
            <w:hideMark/>
          </w:tcPr>
          <w:p w14:paraId="18DFDE98"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especificar</w:t>
            </w:r>
          </w:p>
        </w:tc>
        <w:tc>
          <w:tcPr>
            <w:tcW w:w="567" w:type="dxa"/>
            <w:tcBorders>
              <w:top w:val="nil"/>
              <w:left w:val="nil"/>
              <w:bottom w:val="nil"/>
              <w:right w:val="nil"/>
            </w:tcBorders>
            <w:shd w:val="clear" w:color="000000" w:fill="FFFFFF"/>
            <w:vAlign w:val="center"/>
            <w:hideMark/>
          </w:tcPr>
          <w:p w14:paraId="5F6B2291"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2C19FB1B"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7BC2F9E5"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01F9C426"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65E6A651"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 xml:space="preserve"> </w:t>
            </w:r>
          </w:p>
        </w:tc>
      </w:tr>
      <w:tr w:rsidR="003F035B" w:rsidRPr="00395593" w14:paraId="62C5945E"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4FA11E62" w14:textId="77777777" w:rsidR="003F035B" w:rsidRPr="00395593" w:rsidRDefault="003F035B" w:rsidP="00E33E26">
            <w:pP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73177595" w14:textId="77777777" w:rsidR="003F035B" w:rsidRPr="00395593" w:rsidRDefault="003F035B" w:rsidP="00E33E26">
            <w:pPr>
              <w:rPr>
                <w:rFonts w:ascii="Garamond" w:hAnsi="Garamond" w:cs="Calibri"/>
                <w:b/>
                <w:color w:val="000000"/>
                <w:sz w:val="18"/>
                <w:szCs w:val="18"/>
              </w:rPr>
            </w:pPr>
          </w:p>
        </w:tc>
        <w:tc>
          <w:tcPr>
            <w:tcW w:w="1118" w:type="dxa"/>
            <w:tcBorders>
              <w:top w:val="nil"/>
              <w:left w:val="nil"/>
              <w:bottom w:val="single" w:sz="4" w:space="0" w:color="auto"/>
              <w:right w:val="single" w:sz="4" w:space="0" w:color="auto"/>
            </w:tcBorders>
            <w:shd w:val="clear" w:color="auto" w:fill="auto"/>
            <w:vAlign w:val="center"/>
            <w:hideMark/>
          </w:tcPr>
          <w:p w14:paraId="6606C91E"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especificar</w:t>
            </w:r>
          </w:p>
        </w:tc>
        <w:tc>
          <w:tcPr>
            <w:tcW w:w="567" w:type="dxa"/>
            <w:tcBorders>
              <w:top w:val="nil"/>
              <w:left w:val="nil"/>
              <w:bottom w:val="nil"/>
              <w:right w:val="nil"/>
            </w:tcBorders>
            <w:shd w:val="clear" w:color="000000" w:fill="FFFFFF"/>
            <w:vAlign w:val="center"/>
            <w:hideMark/>
          </w:tcPr>
          <w:p w14:paraId="2D5E64A2"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19476170"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6271BD35"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40748AF2"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520346F2"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 xml:space="preserve"> </w:t>
            </w:r>
          </w:p>
        </w:tc>
      </w:tr>
      <w:tr w:rsidR="003F035B" w:rsidRPr="00395593" w14:paraId="1A5604BD"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50D9CDE9" w14:textId="77777777" w:rsidR="003F035B" w:rsidRPr="00395593" w:rsidRDefault="003F035B" w:rsidP="00E33E26">
            <w:pP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4EBD55D6" w14:textId="77777777" w:rsidR="003F035B" w:rsidRPr="00395593" w:rsidRDefault="003F035B" w:rsidP="00E33E26">
            <w:pPr>
              <w:rPr>
                <w:rFonts w:ascii="Garamond" w:hAnsi="Garamond" w:cs="Calibri"/>
                <w:b/>
                <w:color w:val="000000"/>
                <w:sz w:val="18"/>
                <w:szCs w:val="18"/>
              </w:rPr>
            </w:pPr>
          </w:p>
        </w:tc>
        <w:tc>
          <w:tcPr>
            <w:tcW w:w="1118" w:type="dxa"/>
            <w:tcBorders>
              <w:top w:val="nil"/>
              <w:left w:val="nil"/>
              <w:bottom w:val="single" w:sz="4" w:space="0" w:color="auto"/>
              <w:right w:val="single" w:sz="4" w:space="0" w:color="auto"/>
            </w:tcBorders>
            <w:shd w:val="clear" w:color="auto" w:fill="auto"/>
            <w:vAlign w:val="center"/>
            <w:hideMark/>
          </w:tcPr>
          <w:p w14:paraId="5092C5B0"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especificar</w:t>
            </w:r>
          </w:p>
        </w:tc>
        <w:tc>
          <w:tcPr>
            <w:tcW w:w="567" w:type="dxa"/>
            <w:tcBorders>
              <w:top w:val="nil"/>
              <w:left w:val="nil"/>
              <w:bottom w:val="nil"/>
              <w:right w:val="nil"/>
            </w:tcBorders>
            <w:shd w:val="clear" w:color="000000" w:fill="FFFFFF"/>
            <w:vAlign w:val="center"/>
            <w:hideMark/>
          </w:tcPr>
          <w:p w14:paraId="29B6CDB3"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64FE20EB"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0441CFDC"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6BCFE164"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2106BB8E"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 xml:space="preserve"> </w:t>
            </w:r>
          </w:p>
        </w:tc>
      </w:tr>
      <w:tr w:rsidR="003F035B" w:rsidRPr="00395593" w14:paraId="74B64B6B" w14:textId="77777777" w:rsidTr="00AA7216">
        <w:trPr>
          <w:gridAfter w:val="1"/>
          <w:wAfter w:w="46" w:type="dxa"/>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14:paraId="71008B71" w14:textId="77777777" w:rsidR="003F035B" w:rsidRPr="00395593" w:rsidRDefault="003F035B" w:rsidP="00E33E26">
            <w:pPr>
              <w:rPr>
                <w:rFonts w:ascii="Garamond" w:hAnsi="Garamond" w:cs="Calibri"/>
                <w:b/>
                <w:color w:val="000000"/>
                <w:sz w:val="18"/>
                <w:szCs w:val="18"/>
              </w:rPr>
            </w:pPr>
          </w:p>
        </w:tc>
        <w:tc>
          <w:tcPr>
            <w:tcW w:w="3474" w:type="dxa"/>
            <w:gridSpan w:val="2"/>
            <w:tcBorders>
              <w:top w:val="single" w:sz="4" w:space="0" w:color="auto"/>
              <w:left w:val="nil"/>
              <w:bottom w:val="single" w:sz="4" w:space="0" w:color="auto"/>
              <w:right w:val="single" w:sz="4" w:space="0" w:color="000000"/>
            </w:tcBorders>
            <w:shd w:val="clear" w:color="000000" w:fill="D9D9D9"/>
            <w:vAlign w:val="center"/>
            <w:hideMark/>
          </w:tcPr>
          <w:p w14:paraId="3CF26483"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Caixa Líquido Gerado nas Atividades Operacionais</w:t>
            </w:r>
          </w:p>
        </w:tc>
        <w:tc>
          <w:tcPr>
            <w:tcW w:w="567" w:type="dxa"/>
            <w:tcBorders>
              <w:top w:val="single" w:sz="4" w:space="0" w:color="auto"/>
              <w:left w:val="nil"/>
              <w:bottom w:val="single" w:sz="4" w:space="0" w:color="auto"/>
              <w:right w:val="nil"/>
            </w:tcBorders>
            <w:shd w:val="clear" w:color="000000" w:fill="D9D9D9"/>
            <w:vAlign w:val="center"/>
            <w:hideMark/>
          </w:tcPr>
          <w:p w14:paraId="3A06D62C"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0,00</w:t>
            </w:r>
          </w:p>
        </w:tc>
        <w:tc>
          <w:tcPr>
            <w:tcW w:w="567" w:type="dxa"/>
            <w:tcBorders>
              <w:top w:val="single" w:sz="4" w:space="0" w:color="auto"/>
              <w:left w:val="single" w:sz="4" w:space="0" w:color="auto"/>
              <w:bottom w:val="single" w:sz="4" w:space="0" w:color="auto"/>
              <w:right w:val="nil"/>
            </w:tcBorders>
            <w:shd w:val="clear" w:color="000000" w:fill="D9D9D9"/>
            <w:vAlign w:val="center"/>
            <w:hideMark/>
          </w:tcPr>
          <w:p w14:paraId="335334FF"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0,00</w:t>
            </w:r>
          </w:p>
        </w:tc>
        <w:tc>
          <w:tcPr>
            <w:tcW w:w="567" w:type="dxa"/>
            <w:tcBorders>
              <w:top w:val="single" w:sz="4" w:space="0" w:color="auto"/>
              <w:left w:val="single" w:sz="4" w:space="0" w:color="auto"/>
              <w:bottom w:val="single" w:sz="4" w:space="0" w:color="auto"/>
              <w:right w:val="nil"/>
            </w:tcBorders>
            <w:shd w:val="clear" w:color="000000" w:fill="D9D9D9"/>
            <w:vAlign w:val="center"/>
            <w:hideMark/>
          </w:tcPr>
          <w:p w14:paraId="1A24DA67"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0,00</w:t>
            </w:r>
          </w:p>
        </w:tc>
        <w:tc>
          <w:tcPr>
            <w:tcW w:w="567" w:type="dxa"/>
            <w:tcBorders>
              <w:top w:val="single" w:sz="4" w:space="0" w:color="auto"/>
              <w:left w:val="single" w:sz="4" w:space="0" w:color="auto"/>
              <w:bottom w:val="single" w:sz="4" w:space="0" w:color="auto"/>
              <w:right w:val="nil"/>
            </w:tcBorders>
            <w:shd w:val="clear" w:color="000000" w:fill="D9D9D9"/>
            <w:vAlign w:val="center"/>
            <w:hideMark/>
          </w:tcPr>
          <w:p w14:paraId="12DB6B00"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A4A0B7"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0,00</w:t>
            </w:r>
          </w:p>
        </w:tc>
      </w:tr>
      <w:tr w:rsidR="003F035B" w:rsidRPr="00395593" w14:paraId="19A87B78" w14:textId="77777777" w:rsidTr="00AA7216">
        <w:trPr>
          <w:gridAfter w:val="1"/>
          <w:wAfter w:w="46" w:type="dxa"/>
          <w:jc w:val="center"/>
        </w:trPr>
        <w:tc>
          <w:tcPr>
            <w:tcW w:w="120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07837E4" w14:textId="77777777" w:rsidR="003F035B" w:rsidRPr="00395593" w:rsidRDefault="003F035B" w:rsidP="00E33E26">
            <w:pPr>
              <w:jc w:val="center"/>
              <w:rPr>
                <w:rFonts w:ascii="Garamond" w:hAnsi="Garamond" w:cs="Calibri"/>
                <w:b/>
                <w:color w:val="000000"/>
                <w:sz w:val="18"/>
                <w:szCs w:val="18"/>
              </w:rPr>
            </w:pPr>
            <w:r w:rsidRPr="00395593">
              <w:rPr>
                <w:rFonts w:ascii="Garamond" w:hAnsi="Garamond" w:cs="Calibri"/>
                <w:b/>
                <w:color w:val="000000"/>
                <w:sz w:val="18"/>
                <w:szCs w:val="18"/>
              </w:rPr>
              <w:t>Atividades de Investimento</w:t>
            </w:r>
          </w:p>
        </w:tc>
        <w:tc>
          <w:tcPr>
            <w:tcW w:w="3474" w:type="dxa"/>
            <w:gridSpan w:val="2"/>
            <w:tcBorders>
              <w:top w:val="single" w:sz="4" w:space="0" w:color="auto"/>
              <w:left w:val="nil"/>
              <w:bottom w:val="single" w:sz="4" w:space="0" w:color="auto"/>
              <w:right w:val="single" w:sz="4" w:space="0" w:color="auto"/>
            </w:tcBorders>
            <w:shd w:val="clear" w:color="auto" w:fill="auto"/>
            <w:vAlign w:val="center"/>
            <w:hideMark/>
          </w:tcPr>
          <w:p w14:paraId="6F04EE95"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Imobilizado</w:t>
            </w:r>
          </w:p>
        </w:tc>
        <w:tc>
          <w:tcPr>
            <w:tcW w:w="567" w:type="dxa"/>
            <w:tcBorders>
              <w:top w:val="nil"/>
              <w:left w:val="nil"/>
              <w:bottom w:val="nil"/>
              <w:right w:val="nil"/>
            </w:tcBorders>
            <w:shd w:val="clear" w:color="000000" w:fill="FFFFFF"/>
            <w:vAlign w:val="center"/>
            <w:hideMark/>
          </w:tcPr>
          <w:p w14:paraId="2B41B248"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12613A38"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37032374"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0E73D9F5"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0D7D440E" w14:textId="77777777" w:rsidR="003F035B" w:rsidRPr="00395593" w:rsidRDefault="003F035B" w:rsidP="00E33E26">
            <w:pPr>
              <w:jc w:val="right"/>
              <w:rPr>
                <w:rFonts w:ascii="Garamond" w:hAnsi="Garamond" w:cs="Calibri"/>
                <w:b/>
                <w:color w:val="000000"/>
                <w:sz w:val="18"/>
                <w:szCs w:val="18"/>
              </w:rPr>
            </w:pPr>
          </w:p>
        </w:tc>
      </w:tr>
      <w:tr w:rsidR="003F035B" w:rsidRPr="00395593" w14:paraId="1D8CD89D" w14:textId="77777777" w:rsidTr="00AA7216">
        <w:trPr>
          <w:gridAfter w:val="1"/>
          <w:wAfter w:w="46" w:type="dxa"/>
          <w:jc w:val="center"/>
        </w:trPr>
        <w:tc>
          <w:tcPr>
            <w:tcW w:w="1204" w:type="dxa"/>
            <w:vMerge/>
            <w:tcBorders>
              <w:top w:val="nil"/>
              <w:left w:val="single" w:sz="4" w:space="0" w:color="auto"/>
              <w:bottom w:val="single" w:sz="4" w:space="0" w:color="000000"/>
              <w:right w:val="single" w:sz="4" w:space="0" w:color="auto"/>
            </w:tcBorders>
            <w:vAlign w:val="center"/>
            <w:hideMark/>
          </w:tcPr>
          <w:p w14:paraId="6F956EC7" w14:textId="77777777" w:rsidR="003F035B" w:rsidRPr="00395593" w:rsidRDefault="003F035B" w:rsidP="00E33E26">
            <w:pPr>
              <w:rPr>
                <w:rFonts w:ascii="Garamond" w:hAnsi="Garamond" w:cs="Calibri"/>
                <w:b/>
                <w:color w:val="000000"/>
                <w:sz w:val="18"/>
                <w:szCs w:val="18"/>
              </w:rPr>
            </w:pPr>
          </w:p>
        </w:tc>
        <w:tc>
          <w:tcPr>
            <w:tcW w:w="3474" w:type="dxa"/>
            <w:gridSpan w:val="2"/>
            <w:tcBorders>
              <w:top w:val="single" w:sz="4" w:space="0" w:color="auto"/>
              <w:left w:val="nil"/>
              <w:bottom w:val="single" w:sz="4" w:space="0" w:color="auto"/>
              <w:right w:val="single" w:sz="4" w:space="0" w:color="auto"/>
            </w:tcBorders>
            <w:shd w:val="clear" w:color="auto" w:fill="auto"/>
            <w:vAlign w:val="center"/>
            <w:hideMark/>
          </w:tcPr>
          <w:p w14:paraId="52C7AD5F"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Investimentos</w:t>
            </w:r>
          </w:p>
        </w:tc>
        <w:tc>
          <w:tcPr>
            <w:tcW w:w="567" w:type="dxa"/>
            <w:tcBorders>
              <w:top w:val="nil"/>
              <w:left w:val="nil"/>
              <w:bottom w:val="nil"/>
              <w:right w:val="nil"/>
            </w:tcBorders>
            <w:shd w:val="clear" w:color="000000" w:fill="FFFFFF"/>
            <w:vAlign w:val="center"/>
            <w:hideMark/>
          </w:tcPr>
          <w:p w14:paraId="5152F0B3"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75E8DF09"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01C15E93"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7255DC14"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62E8F1B0" w14:textId="77777777" w:rsidR="003F035B" w:rsidRPr="00395593" w:rsidRDefault="003F035B" w:rsidP="00E33E26">
            <w:pPr>
              <w:jc w:val="right"/>
              <w:rPr>
                <w:rFonts w:ascii="Garamond" w:hAnsi="Garamond" w:cs="Calibri"/>
                <w:b/>
                <w:color w:val="000000"/>
                <w:sz w:val="18"/>
                <w:szCs w:val="18"/>
              </w:rPr>
            </w:pPr>
          </w:p>
        </w:tc>
      </w:tr>
      <w:tr w:rsidR="003F035B" w:rsidRPr="00395593" w14:paraId="7706A4FD" w14:textId="77777777" w:rsidTr="00AA7216">
        <w:trPr>
          <w:gridAfter w:val="1"/>
          <w:wAfter w:w="46" w:type="dxa"/>
          <w:jc w:val="center"/>
        </w:trPr>
        <w:tc>
          <w:tcPr>
            <w:tcW w:w="1204" w:type="dxa"/>
            <w:vMerge/>
            <w:tcBorders>
              <w:top w:val="nil"/>
              <w:left w:val="single" w:sz="4" w:space="0" w:color="auto"/>
              <w:bottom w:val="single" w:sz="4" w:space="0" w:color="000000"/>
              <w:right w:val="single" w:sz="4" w:space="0" w:color="auto"/>
            </w:tcBorders>
            <w:vAlign w:val="center"/>
            <w:hideMark/>
          </w:tcPr>
          <w:p w14:paraId="3F5EB330" w14:textId="77777777" w:rsidR="003F035B" w:rsidRPr="00395593" w:rsidRDefault="003F035B" w:rsidP="00E33E26">
            <w:pPr>
              <w:rPr>
                <w:rFonts w:ascii="Garamond" w:hAnsi="Garamond" w:cs="Calibri"/>
                <w:b/>
                <w:color w:val="000000"/>
                <w:sz w:val="18"/>
                <w:szCs w:val="18"/>
              </w:rPr>
            </w:pPr>
          </w:p>
        </w:tc>
        <w:tc>
          <w:tcPr>
            <w:tcW w:w="2356" w:type="dxa"/>
            <w:vMerge w:val="restart"/>
            <w:tcBorders>
              <w:top w:val="nil"/>
              <w:left w:val="single" w:sz="4" w:space="0" w:color="auto"/>
              <w:bottom w:val="single" w:sz="4" w:space="0" w:color="auto"/>
              <w:right w:val="single" w:sz="4" w:space="0" w:color="auto"/>
            </w:tcBorders>
            <w:shd w:val="clear" w:color="auto" w:fill="auto"/>
            <w:vAlign w:val="center"/>
            <w:hideMark/>
          </w:tcPr>
          <w:p w14:paraId="2F0CFC19"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Outras contas</w:t>
            </w:r>
          </w:p>
        </w:tc>
        <w:tc>
          <w:tcPr>
            <w:tcW w:w="1118" w:type="dxa"/>
            <w:tcBorders>
              <w:top w:val="nil"/>
              <w:left w:val="nil"/>
              <w:bottom w:val="single" w:sz="4" w:space="0" w:color="auto"/>
              <w:right w:val="single" w:sz="4" w:space="0" w:color="auto"/>
            </w:tcBorders>
            <w:shd w:val="clear" w:color="auto" w:fill="auto"/>
            <w:vAlign w:val="center"/>
            <w:hideMark/>
          </w:tcPr>
          <w:p w14:paraId="203025BF"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especificar</w:t>
            </w:r>
          </w:p>
        </w:tc>
        <w:tc>
          <w:tcPr>
            <w:tcW w:w="567" w:type="dxa"/>
            <w:tcBorders>
              <w:top w:val="nil"/>
              <w:left w:val="nil"/>
              <w:bottom w:val="nil"/>
              <w:right w:val="nil"/>
            </w:tcBorders>
            <w:shd w:val="clear" w:color="000000" w:fill="FFFFFF"/>
            <w:vAlign w:val="center"/>
            <w:hideMark/>
          </w:tcPr>
          <w:p w14:paraId="7224E1FB"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0BFE52F9"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36C1C671"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42E6A86E"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25D85376"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 xml:space="preserve"> </w:t>
            </w:r>
          </w:p>
        </w:tc>
      </w:tr>
      <w:tr w:rsidR="003F035B" w:rsidRPr="00395593" w14:paraId="6E272A0B" w14:textId="77777777" w:rsidTr="00AA7216">
        <w:trPr>
          <w:gridAfter w:val="1"/>
          <w:wAfter w:w="46" w:type="dxa"/>
          <w:jc w:val="center"/>
        </w:trPr>
        <w:tc>
          <w:tcPr>
            <w:tcW w:w="1204" w:type="dxa"/>
            <w:vMerge/>
            <w:tcBorders>
              <w:top w:val="nil"/>
              <w:left w:val="single" w:sz="4" w:space="0" w:color="auto"/>
              <w:bottom w:val="single" w:sz="4" w:space="0" w:color="000000"/>
              <w:right w:val="single" w:sz="4" w:space="0" w:color="auto"/>
            </w:tcBorders>
            <w:vAlign w:val="center"/>
            <w:hideMark/>
          </w:tcPr>
          <w:p w14:paraId="54F476EB" w14:textId="77777777" w:rsidR="003F035B" w:rsidRPr="00395593" w:rsidRDefault="003F035B" w:rsidP="00E33E26">
            <w:pP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4182FCB3" w14:textId="77777777" w:rsidR="003F035B" w:rsidRPr="00395593" w:rsidRDefault="003F035B" w:rsidP="00E33E26">
            <w:pPr>
              <w:rPr>
                <w:rFonts w:ascii="Garamond" w:hAnsi="Garamond" w:cs="Calibri"/>
                <w:b/>
                <w:color w:val="000000"/>
                <w:sz w:val="18"/>
                <w:szCs w:val="18"/>
              </w:rPr>
            </w:pPr>
          </w:p>
        </w:tc>
        <w:tc>
          <w:tcPr>
            <w:tcW w:w="1118" w:type="dxa"/>
            <w:tcBorders>
              <w:top w:val="nil"/>
              <w:left w:val="nil"/>
              <w:bottom w:val="single" w:sz="4" w:space="0" w:color="auto"/>
              <w:right w:val="single" w:sz="4" w:space="0" w:color="auto"/>
            </w:tcBorders>
            <w:shd w:val="clear" w:color="auto" w:fill="auto"/>
            <w:vAlign w:val="center"/>
            <w:hideMark/>
          </w:tcPr>
          <w:p w14:paraId="59252502"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especificar</w:t>
            </w:r>
          </w:p>
        </w:tc>
        <w:tc>
          <w:tcPr>
            <w:tcW w:w="567" w:type="dxa"/>
            <w:tcBorders>
              <w:top w:val="nil"/>
              <w:left w:val="nil"/>
              <w:bottom w:val="nil"/>
              <w:right w:val="nil"/>
            </w:tcBorders>
            <w:shd w:val="clear" w:color="000000" w:fill="FFFFFF"/>
            <w:vAlign w:val="center"/>
            <w:hideMark/>
          </w:tcPr>
          <w:p w14:paraId="0109B099"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6BC87C27"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054FC235"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5FDA28C5"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4F5AEC46"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 xml:space="preserve"> </w:t>
            </w:r>
          </w:p>
        </w:tc>
      </w:tr>
      <w:tr w:rsidR="003F035B" w:rsidRPr="00395593" w14:paraId="75919FE4" w14:textId="77777777" w:rsidTr="00AA7216">
        <w:trPr>
          <w:gridAfter w:val="1"/>
          <w:wAfter w:w="46" w:type="dxa"/>
          <w:jc w:val="center"/>
        </w:trPr>
        <w:tc>
          <w:tcPr>
            <w:tcW w:w="1204" w:type="dxa"/>
            <w:vMerge/>
            <w:tcBorders>
              <w:top w:val="nil"/>
              <w:left w:val="single" w:sz="4" w:space="0" w:color="auto"/>
              <w:bottom w:val="single" w:sz="4" w:space="0" w:color="000000"/>
              <w:right w:val="single" w:sz="4" w:space="0" w:color="auto"/>
            </w:tcBorders>
            <w:vAlign w:val="center"/>
            <w:hideMark/>
          </w:tcPr>
          <w:p w14:paraId="6F84E86C" w14:textId="77777777" w:rsidR="003F035B" w:rsidRPr="00395593" w:rsidRDefault="003F035B" w:rsidP="00E33E26">
            <w:pP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58D55DF6" w14:textId="77777777" w:rsidR="003F035B" w:rsidRPr="00395593" w:rsidRDefault="003F035B" w:rsidP="00E33E26">
            <w:pPr>
              <w:rPr>
                <w:rFonts w:ascii="Garamond" w:hAnsi="Garamond" w:cs="Calibri"/>
                <w:b/>
                <w:color w:val="000000"/>
                <w:sz w:val="18"/>
                <w:szCs w:val="18"/>
              </w:rPr>
            </w:pPr>
          </w:p>
        </w:tc>
        <w:tc>
          <w:tcPr>
            <w:tcW w:w="1118" w:type="dxa"/>
            <w:tcBorders>
              <w:top w:val="nil"/>
              <w:left w:val="nil"/>
              <w:bottom w:val="single" w:sz="4" w:space="0" w:color="auto"/>
              <w:right w:val="single" w:sz="4" w:space="0" w:color="auto"/>
            </w:tcBorders>
            <w:shd w:val="clear" w:color="auto" w:fill="auto"/>
            <w:vAlign w:val="center"/>
            <w:hideMark/>
          </w:tcPr>
          <w:p w14:paraId="0C828169"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especificar</w:t>
            </w:r>
          </w:p>
        </w:tc>
        <w:tc>
          <w:tcPr>
            <w:tcW w:w="567" w:type="dxa"/>
            <w:tcBorders>
              <w:top w:val="nil"/>
              <w:left w:val="nil"/>
              <w:bottom w:val="nil"/>
              <w:right w:val="nil"/>
            </w:tcBorders>
            <w:shd w:val="clear" w:color="000000" w:fill="FFFFFF"/>
            <w:vAlign w:val="center"/>
            <w:hideMark/>
          </w:tcPr>
          <w:p w14:paraId="05AB40DC"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15E3F5BE"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655727E1"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5BA1C2DF"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67BDC092"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 xml:space="preserve"> </w:t>
            </w:r>
          </w:p>
        </w:tc>
      </w:tr>
      <w:tr w:rsidR="003F035B" w:rsidRPr="00395593" w14:paraId="7CCB39B0" w14:textId="77777777" w:rsidTr="00AA7216">
        <w:trPr>
          <w:gridAfter w:val="1"/>
          <w:wAfter w:w="46" w:type="dxa"/>
          <w:jc w:val="center"/>
        </w:trPr>
        <w:tc>
          <w:tcPr>
            <w:tcW w:w="1204" w:type="dxa"/>
            <w:vMerge/>
            <w:tcBorders>
              <w:top w:val="nil"/>
              <w:left w:val="single" w:sz="4" w:space="0" w:color="auto"/>
              <w:bottom w:val="single" w:sz="4" w:space="0" w:color="000000"/>
              <w:right w:val="single" w:sz="4" w:space="0" w:color="auto"/>
            </w:tcBorders>
            <w:vAlign w:val="center"/>
            <w:hideMark/>
          </w:tcPr>
          <w:p w14:paraId="6EAFDB85" w14:textId="77777777" w:rsidR="003F035B" w:rsidRPr="00395593" w:rsidRDefault="003F035B" w:rsidP="00E33E26">
            <w:pP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6B857A85" w14:textId="77777777" w:rsidR="003F035B" w:rsidRPr="00395593" w:rsidRDefault="003F035B" w:rsidP="00E33E26">
            <w:pPr>
              <w:rPr>
                <w:rFonts w:ascii="Garamond" w:hAnsi="Garamond" w:cs="Calibri"/>
                <w:b/>
                <w:color w:val="000000"/>
                <w:sz w:val="18"/>
                <w:szCs w:val="18"/>
              </w:rPr>
            </w:pPr>
          </w:p>
        </w:tc>
        <w:tc>
          <w:tcPr>
            <w:tcW w:w="1118" w:type="dxa"/>
            <w:tcBorders>
              <w:top w:val="nil"/>
              <w:left w:val="nil"/>
              <w:bottom w:val="single" w:sz="4" w:space="0" w:color="auto"/>
              <w:right w:val="single" w:sz="4" w:space="0" w:color="auto"/>
            </w:tcBorders>
            <w:shd w:val="clear" w:color="auto" w:fill="auto"/>
            <w:vAlign w:val="center"/>
            <w:hideMark/>
          </w:tcPr>
          <w:p w14:paraId="7ABA2E3C"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especificar</w:t>
            </w:r>
          </w:p>
        </w:tc>
        <w:tc>
          <w:tcPr>
            <w:tcW w:w="567" w:type="dxa"/>
            <w:tcBorders>
              <w:top w:val="nil"/>
              <w:left w:val="nil"/>
              <w:bottom w:val="nil"/>
              <w:right w:val="nil"/>
            </w:tcBorders>
            <w:shd w:val="clear" w:color="000000" w:fill="FFFFFF"/>
            <w:vAlign w:val="center"/>
            <w:hideMark/>
          </w:tcPr>
          <w:p w14:paraId="538C9F9E"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54D458EC"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71643E7B"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nil"/>
            </w:tcBorders>
            <w:shd w:val="clear" w:color="000000" w:fill="FFFFFF"/>
            <w:vAlign w:val="center"/>
            <w:hideMark/>
          </w:tcPr>
          <w:p w14:paraId="2DBDF257"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single" w:sz="4" w:space="0" w:color="auto"/>
              <w:bottom w:val="nil"/>
              <w:right w:val="single" w:sz="4" w:space="0" w:color="auto"/>
            </w:tcBorders>
            <w:shd w:val="clear" w:color="000000" w:fill="FFFFFF"/>
            <w:vAlign w:val="center"/>
            <w:hideMark/>
          </w:tcPr>
          <w:p w14:paraId="6B06BE9B" w14:textId="77777777" w:rsidR="003F035B" w:rsidRPr="00395593" w:rsidRDefault="003F035B" w:rsidP="00E33E26">
            <w:pPr>
              <w:jc w:val="right"/>
              <w:rPr>
                <w:rFonts w:ascii="Garamond" w:hAnsi="Garamond" w:cs="Calibri"/>
                <w:color w:val="000000"/>
                <w:sz w:val="18"/>
                <w:szCs w:val="18"/>
              </w:rPr>
            </w:pPr>
            <w:r w:rsidRPr="00395593">
              <w:rPr>
                <w:rFonts w:ascii="Garamond" w:hAnsi="Garamond" w:cs="Calibri"/>
                <w:color w:val="000000"/>
                <w:sz w:val="18"/>
                <w:szCs w:val="18"/>
              </w:rPr>
              <w:t xml:space="preserve"> </w:t>
            </w:r>
          </w:p>
        </w:tc>
      </w:tr>
      <w:tr w:rsidR="003F035B" w:rsidRPr="00395593" w14:paraId="04E6EF5E" w14:textId="77777777" w:rsidTr="00AA7216">
        <w:trPr>
          <w:gridAfter w:val="1"/>
          <w:wAfter w:w="46" w:type="dxa"/>
          <w:jc w:val="center"/>
        </w:trPr>
        <w:tc>
          <w:tcPr>
            <w:tcW w:w="1204" w:type="dxa"/>
            <w:vMerge/>
            <w:tcBorders>
              <w:top w:val="nil"/>
              <w:left w:val="single" w:sz="4" w:space="0" w:color="auto"/>
              <w:bottom w:val="single" w:sz="4" w:space="0" w:color="000000"/>
              <w:right w:val="single" w:sz="4" w:space="0" w:color="auto"/>
            </w:tcBorders>
            <w:vAlign w:val="center"/>
            <w:hideMark/>
          </w:tcPr>
          <w:p w14:paraId="1B711F08" w14:textId="77777777" w:rsidR="003F035B" w:rsidRPr="00395593" w:rsidRDefault="003F035B" w:rsidP="00E33E26">
            <w:pPr>
              <w:rPr>
                <w:rFonts w:ascii="Garamond" w:hAnsi="Garamond" w:cs="Calibri"/>
                <w:b/>
                <w:color w:val="000000"/>
                <w:sz w:val="18"/>
                <w:szCs w:val="18"/>
              </w:rPr>
            </w:pPr>
          </w:p>
        </w:tc>
        <w:tc>
          <w:tcPr>
            <w:tcW w:w="3474" w:type="dxa"/>
            <w:gridSpan w:val="2"/>
            <w:tcBorders>
              <w:top w:val="single" w:sz="4" w:space="0" w:color="auto"/>
              <w:left w:val="nil"/>
              <w:bottom w:val="single" w:sz="4" w:space="0" w:color="auto"/>
              <w:right w:val="single" w:sz="4" w:space="0" w:color="000000"/>
            </w:tcBorders>
            <w:shd w:val="clear" w:color="000000" w:fill="D9D9D9"/>
            <w:vAlign w:val="center"/>
            <w:hideMark/>
          </w:tcPr>
          <w:p w14:paraId="5DC046C1"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Caixa Líquido Utilizado nas Atividades de Investimentos</w:t>
            </w:r>
          </w:p>
        </w:tc>
        <w:tc>
          <w:tcPr>
            <w:tcW w:w="567" w:type="dxa"/>
            <w:tcBorders>
              <w:top w:val="single" w:sz="4" w:space="0" w:color="auto"/>
              <w:left w:val="nil"/>
              <w:bottom w:val="single" w:sz="4" w:space="0" w:color="auto"/>
              <w:right w:val="nil"/>
            </w:tcBorders>
            <w:shd w:val="clear" w:color="000000" w:fill="D9D9D9"/>
            <w:vAlign w:val="center"/>
            <w:hideMark/>
          </w:tcPr>
          <w:p w14:paraId="34673394"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0,00</w:t>
            </w:r>
          </w:p>
        </w:tc>
        <w:tc>
          <w:tcPr>
            <w:tcW w:w="567" w:type="dxa"/>
            <w:tcBorders>
              <w:top w:val="single" w:sz="4" w:space="0" w:color="auto"/>
              <w:left w:val="single" w:sz="4" w:space="0" w:color="auto"/>
              <w:bottom w:val="single" w:sz="4" w:space="0" w:color="auto"/>
              <w:right w:val="nil"/>
            </w:tcBorders>
            <w:shd w:val="clear" w:color="000000" w:fill="D9D9D9"/>
            <w:vAlign w:val="center"/>
            <w:hideMark/>
          </w:tcPr>
          <w:p w14:paraId="763289F5"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0,00</w:t>
            </w:r>
          </w:p>
        </w:tc>
        <w:tc>
          <w:tcPr>
            <w:tcW w:w="567" w:type="dxa"/>
            <w:tcBorders>
              <w:top w:val="single" w:sz="4" w:space="0" w:color="auto"/>
              <w:left w:val="single" w:sz="4" w:space="0" w:color="auto"/>
              <w:bottom w:val="single" w:sz="4" w:space="0" w:color="auto"/>
              <w:right w:val="nil"/>
            </w:tcBorders>
            <w:shd w:val="clear" w:color="000000" w:fill="D9D9D9"/>
            <w:vAlign w:val="center"/>
            <w:hideMark/>
          </w:tcPr>
          <w:p w14:paraId="0BE36A01"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0,00</w:t>
            </w:r>
          </w:p>
        </w:tc>
        <w:tc>
          <w:tcPr>
            <w:tcW w:w="567" w:type="dxa"/>
            <w:tcBorders>
              <w:top w:val="single" w:sz="4" w:space="0" w:color="auto"/>
              <w:left w:val="single" w:sz="4" w:space="0" w:color="auto"/>
              <w:bottom w:val="single" w:sz="4" w:space="0" w:color="auto"/>
              <w:right w:val="nil"/>
            </w:tcBorders>
            <w:shd w:val="clear" w:color="000000" w:fill="D9D9D9"/>
            <w:vAlign w:val="center"/>
            <w:hideMark/>
          </w:tcPr>
          <w:p w14:paraId="2E664E5A"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0,00</w:t>
            </w:r>
          </w:p>
        </w:tc>
        <w:tc>
          <w:tcPr>
            <w:tcW w:w="5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D8B00F" w14:textId="77777777" w:rsidR="003F035B" w:rsidRPr="00395593" w:rsidRDefault="003F035B" w:rsidP="00E33E26">
            <w:pPr>
              <w:jc w:val="right"/>
              <w:rPr>
                <w:rFonts w:ascii="Garamond" w:hAnsi="Garamond" w:cs="Calibri"/>
                <w:b/>
                <w:color w:val="000000"/>
                <w:sz w:val="18"/>
                <w:szCs w:val="18"/>
              </w:rPr>
            </w:pPr>
            <w:r w:rsidRPr="00395593">
              <w:rPr>
                <w:rFonts w:ascii="Garamond" w:hAnsi="Garamond" w:cs="Calibri"/>
                <w:b/>
                <w:color w:val="000000"/>
                <w:sz w:val="18"/>
                <w:szCs w:val="18"/>
              </w:rPr>
              <w:t>0,00</w:t>
            </w:r>
          </w:p>
        </w:tc>
      </w:tr>
      <w:tr w:rsidR="003F035B" w:rsidRPr="00395593" w14:paraId="365975EA" w14:textId="77777777" w:rsidTr="00AA7216">
        <w:trPr>
          <w:gridAfter w:val="1"/>
          <w:wAfter w:w="46" w:type="dxa"/>
          <w:jc w:val="center"/>
        </w:trPr>
        <w:tc>
          <w:tcPr>
            <w:tcW w:w="1204" w:type="dxa"/>
            <w:vMerge w:val="restart"/>
            <w:tcBorders>
              <w:top w:val="nil"/>
              <w:left w:val="single" w:sz="4" w:space="0" w:color="auto"/>
              <w:bottom w:val="single" w:sz="4" w:space="0" w:color="000000"/>
              <w:right w:val="nil"/>
            </w:tcBorders>
            <w:shd w:val="clear" w:color="auto" w:fill="auto"/>
            <w:textDirection w:val="btLr"/>
            <w:vAlign w:val="center"/>
            <w:hideMark/>
          </w:tcPr>
          <w:p w14:paraId="2A799A4E" w14:textId="77777777" w:rsidR="003F035B" w:rsidRPr="00395593" w:rsidRDefault="003F035B" w:rsidP="00E33E26">
            <w:pPr>
              <w:jc w:val="center"/>
              <w:rPr>
                <w:rFonts w:ascii="Garamond" w:hAnsi="Garamond" w:cs="Calibri"/>
                <w:b/>
                <w:color w:val="000000"/>
                <w:sz w:val="18"/>
                <w:szCs w:val="18"/>
              </w:rPr>
            </w:pPr>
            <w:r w:rsidRPr="00395593">
              <w:rPr>
                <w:rFonts w:ascii="Garamond" w:hAnsi="Garamond" w:cs="Calibri"/>
                <w:b/>
                <w:color w:val="000000"/>
                <w:sz w:val="18"/>
                <w:szCs w:val="18"/>
              </w:rPr>
              <w:t>Atividades de Financiamento</w:t>
            </w:r>
          </w:p>
        </w:tc>
        <w:tc>
          <w:tcPr>
            <w:tcW w:w="34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215BCF"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Empréstimos e financiamentos</w:t>
            </w:r>
          </w:p>
        </w:tc>
        <w:tc>
          <w:tcPr>
            <w:tcW w:w="567" w:type="dxa"/>
            <w:tcBorders>
              <w:top w:val="nil"/>
              <w:left w:val="nil"/>
              <w:bottom w:val="nil"/>
              <w:right w:val="single" w:sz="4" w:space="0" w:color="auto"/>
            </w:tcBorders>
            <w:shd w:val="clear" w:color="000000" w:fill="FFFFFF"/>
            <w:vAlign w:val="center"/>
            <w:hideMark/>
          </w:tcPr>
          <w:p w14:paraId="18CBD3E4"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nil"/>
              <w:bottom w:val="nil"/>
              <w:right w:val="single" w:sz="4" w:space="0" w:color="auto"/>
            </w:tcBorders>
            <w:shd w:val="clear" w:color="000000" w:fill="FFFFFF"/>
            <w:vAlign w:val="center"/>
            <w:hideMark/>
          </w:tcPr>
          <w:p w14:paraId="5E8C9470"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nil"/>
              <w:bottom w:val="nil"/>
              <w:right w:val="single" w:sz="4" w:space="0" w:color="auto"/>
            </w:tcBorders>
            <w:shd w:val="clear" w:color="000000" w:fill="FFFFFF"/>
            <w:vAlign w:val="center"/>
            <w:hideMark/>
          </w:tcPr>
          <w:p w14:paraId="522778E2"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nil"/>
              <w:bottom w:val="nil"/>
              <w:right w:val="single" w:sz="4" w:space="0" w:color="auto"/>
            </w:tcBorders>
            <w:shd w:val="clear" w:color="000000" w:fill="FFFFFF"/>
            <w:vAlign w:val="center"/>
            <w:hideMark/>
          </w:tcPr>
          <w:p w14:paraId="4F555B08"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nil"/>
              <w:bottom w:val="nil"/>
              <w:right w:val="single" w:sz="4" w:space="0" w:color="auto"/>
            </w:tcBorders>
            <w:shd w:val="clear" w:color="000000" w:fill="FFFFFF"/>
            <w:vAlign w:val="center"/>
            <w:hideMark/>
          </w:tcPr>
          <w:p w14:paraId="18920F16" w14:textId="77777777" w:rsidR="003F035B" w:rsidRPr="00395593" w:rsidRDefault="003F035B" w:rsidP="00E33E26">
            <w:pPr>
              <w:jc w:val="right"/>
              <w:rPr>
                <w:rFonts w:ascii="Garamond" w:hAnsi="Garamond" w:cs="Calibri"/>
                <w:color w:val="000000"/>
                <w:sz w:val="18"/>
                <w:szCs w:val="18"/>
              </w:rPr>
            </w:pPr>
          </w:p>
        </w:tc>
      </w:tr>
      <w:tr w:rsidR="003F035B" w:rsidRPr="00395593" w14:paraId="494A4C98" w14:textId="77777777" w:rsidTr="00AA7216">
        <w:trPr>
          <w:gridAfter w:val="1"/>
          <w:wAfter w:w="46" w:type="dxa"/>
          <w:jc w:val="center"/>
        </w:trPr>
        <w:tc>
          <w:tcPr>
            <w:tcW w:w="1204" w:type="dxa"/>
            <w:vMerge/>
            <w:tcBorders>
              <w:top w:val="nil"/>
              <w:left w:val="single" w:sz="4" w:space="0" w:color="auto"/>
              <w:bottom w:val="single" w:sz="4" w:space="0" w:color="000000"/>
              <w:right w:val="nil"/>
            </w:tcBorders>
            <w:vAlign w:val="center"/>
            <w:hideMark/>
          </w:tcPr>
          <w:p w14:paraId="210D7152" w14:textId="77777777" w:rsidR="003F035B" w:rsidRPr="00395593" w:rsidRDefault="003F035B" w:rsidP="00E33E26">
            <w:pPr>
              <w:rPr>
                <w:rFonts w:ascii="Garamond" w:hAnsi="Garamond" w:cs="Calibri"/>
                <w:b/>
                <w:color w:val="000000"/>
                <w:sz w:val="18"/>
                <w:szCs w:val="18"/>
              </w:rPr>
            </w:pPr>
          </w:p>
        </w:tc>
        <w:tc>
          <w:tcPr>
            <w:tcW w:w="34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C10C11"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Capital</w:t>
            </w:r>
          </w:p>
        </w:tc>
        <w:tc>
          <w:tcPr>
            <w:tcW w:w="567" w:type="dxa"/>
            <w:tcBorders>
              <w:top w:val="nil"/>
              <w:left w:val="nil"/>
              <w:bottom w:val="nil"/>
              <w:right w:val="single" w:sz="4" w:space="0" w:color="auto"/>
            </w:tcBorders>
            <w:shd w:val="clear" w:color="000000" w:fill="FFFFFF"/>
            <w:vAlign w:val="center"/>
            <w:hideMark/>
          </w:tcPr>
          <w:p w14:paraId="57F8A145"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nil"/>
              <w:bottom w:val="nil"/>
              <w:right w:val="single" w:sz="4" w:space="0" w:color="auto"/>
            </w:tcBorders>
            <w:shd w:val="clear" w:color="000000" w:fill="FFFFFF"/>
            <w:vAlign w:val="center"/>
            <w:hideMark/>
          </w:tcPr>
          <w:p w14:paraId="784FBDA3"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nil"/>
              <w:bottom w:val="nil"/>
              <w:right w:val="single" w:sz="4" w:space="0" w:color="auto"/>
            </w:tcBorders>
            <w:shd w:val="clear" w:color="000000" w:fill="FFFFFF"/>
            <w:vAlign w:val="center"/>
            <w:hideMark/>
          </w:tcPr>
          <w:p w14:paraId="262B13CC"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nil"/>
              <w:bottom w:val="nil"/>
              <w:right w:val="single" w:sz="4" w:space="0" w:color="auto"/>
            </w:tcBorders>
            <w:shd w:val="clear" w:color="000000" w:fill="FFFFFF"/>
            <w:vAlign w:val="center"/>
            <w:hideMark/>
          </w:tcPr>
          <w:p w14:paraId="5DA33D11" w14:textId="77777777" w:rsidR="003F035B" w:rsidRPr="00395593" w:rsidRDefault="003F035B" w:rsidP="00E33E26">
            <w:pPr>
              <w:jc w:val="right"/>
              <w:rPr>
                <w:rFonts w:ascii="Garamond" w:hAnsi="Garamond" w:cs="Calibri"/>
                <w:color w:val="000000"/>
                <w:sz w:val="18"/>
                <w:szCs w:val="18"/>
              </w:rPr>
            </w:pPr>
          </w:p>
        </w:tc>
        <w:tc>
          <w:tcPr>
            <w:tcW w:w="567" w:type="dxa"/>
            <w:tcBorders>
              <w:top w:val="nil"/>
              <w:left w:val="nil"/>
              <w:bottom w:val="nil"/>
              <w:right w:val="single" w:sz="4" w:space="0" w:color="auto"/>
            </w:tcBorders>
            <w:shd w:val="clear" w:color="000000" w:fill="FFFFFF"/>
            <w:vAlign w:val="center"/>
            <w:hideMark/>
          </w:tcPr>
          <w:p w14:paraId="5A6AABB6" w14:textId="77777777" w:rsidR="003F035B" w:rsidRPr="00395593" w:rsidRDefault="003F035B" w:rsidP="00E33E26">
            <w:pPr>
              <w:jc w:val="right"/>
              <w:rPr>
                <w:rFonts w:ascii="Garamond" w:hAnsi="Garamond" w:cs="Calibri"/>
                <w:color w:val="000000"/>
                <w:sz w:val="18"/>
                <w:szCs w:val="18"/>
              </w:rPr>
            </w:pPr>
          </w:p>
        </w:tc>
      </w:tr>
      <w:tr w:rsidR="003F035B" w:rsidRPr="00395593" w14:paraId="0E5FC3EB" w14:textId="77777777" w:rsidTr="00AA7216">
        <w:trPr>
          <w:gridAfter w:val="1"/>
          <w:wAfter w:w="46" w:type="dxa"/>
          <w:jc w:val="center"/>
        </w:trPr>
        <w:tc>
          <w:tcPr>
            <w:tcW w:w="1204" w:type="dxa"/>
            <w:vMerge/>
            <w:tcBorders>
              <w:top w:val="nil"/>
              <w:left w:val="single" w:sz="4" w:space="0" w:color="auto"/>
              <w:bottom w:val="single" w:sz="4" w:space="0" w:color="000000"/>
              <w:right w:val="nil"/>
            </w:tcBorders>
            <w:vAlign w:val="center"/>
            <w:hideMark/>
          </w:tcPr>
          <w:p w14:paraId="42693723" w14:textId="77777777" w:rsidR="003F035B" w:rsidRPr="00395593" w:rsidRDefault="003F035B" w:rsidP="00E33E26">
            <w:pPr>
              <w:rPr>
                <w:rFonts w:ascii="Garamond" w:hAnsi="Garamond" w:cs="Calibri"/>
                <w:b/>
                <w:color w:val="000000"/>
                <w:sz w:val="18"/>
                <w:szCs w:val="18"/>
              </w:rPr>
            </w:pPr>
          </w:p>
        </w:tc>
        <w:tc>
          <w:tcPr>
            <w:tcW w:w="34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752456" w14:textId="77777777" w:rsidR="003F035B" w:rsidRPr="00395593" w:rsidRDefault="003F035B" w:rsidP="00E33E26">
            <w:pPr>
              <w:rPr>
                <w:rFonts w:ascii="Garamond" w:hAnsi="Garamond" w:cs="Calibri"/>
                <w:b/>
                <w:color w:val="000000"/>
                <w:sz w:val="18"/>
                <w:szCs w:val="18"/>
              </w:rPr>
            </w:pPr>
            <w:r w:rsidRPr="00395593">
              <w:rPr>
                <w:rFonts w:ascii="Garamond" w:hAnsi="Garamond" w:cs="Calibri"/>
                <w:b/>
                <w:color w:val="000000"/>
                <w:sz w:val="18"/>
                <w:szCs w:val="18"/>
              </w:rPr>
              <w:t>Dividendos</w:t>
            </w:r>
          </w:p>
        </w:tc>
        <w:tc>
          <w:tcPr>
            <w:tcW w:w="567" w:type="dxa"/>
            <w:tcBorders>
              <w:top w:val="nil"/>
              <w:left w:val="nil"/>
              <w:bottom w:val="nil"/>
              <w:right w:val="single" w:sz="4" w:space="0" w:color="auto"/>
            </w:tcBorders>
            <w:shd w:val="clear" w:color="000000" w:fill="FFFFFF"/>
            <w:vAlign w:val="center"/>
            <w:hideMark/>
          </w:tcPr>
          <w:p w14:paraId="7DFFE349"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nil"/>
              <w:bottom w:val="nil"/>
              <w:right w:val="single" w:sz="4" w:space="0" w:color="auto"/>
            </w:tcBorders>
            <w:shd w:val="clear" w:color="000000" w:fill="FFFFFF"/>
            <w:vAlign w:val="center"/>
            <w:hideMark/>
          </w:tcPr>
          <w:p w14:paraId="5CBF64E0"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nil"/>
              <w:bottom w:val="nil"/>
              <w:right w:val="single" w:sz="4" w:space="0" w:color="auto"/>
            </w:tcBorders>
            <w:shd w:val="clear" w:color="000000" w:fill="FFFFFF"/>
            <w:vAlign w:val="center"/>
            <w:hideMark/>
          </w:tcPr>
          <w:p w14:paraId="358DBADF"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nil"/>
              <w:bottom w:val="nil"/>
              <w:right w:val="single" w:sz="4" w:space="0" w:color="auto"/>
            </w:tcBorders>
            <w:shd w:val="clear" w:color="000000" w:fill="FFFFFF"/>
            <w:vAlign w:val="center"/>
            <w:hideMark/>
          </w:tcPr>
          <w:p w14:paraId="1946BA28" w14:textId="77777777" w:rsidR="003F035B" w:rsidRPr="00395593" w:rsidRDefault="003F035B" w:rsidP="00E33E26">
            <w:pPr>
              <w:jc w:val="right"/>
              <w:rPr>
                <w:rFonts w:ascii="Garamond" w:hAnsi="Garamond" w:cs="Calibri"/>
                <w:b/>
                <w:color w:val="000000"/>
                <w:sz w:val="18"/>
                <w:szCs w:val="18"/>
              </w:rPr>
            </w:pPr>
          </w:p>
        </w:tc>
        <w:tc>
          <w:tcPr>
            <w:tcW w:w="567" w:type="dxa"/>
            <w:tcBorders>
              <w:top w:val="nil"/>
              <w:left w:val="nil"/>
              <w:bottom w:val="nil"/>
              <w:right w:val="single" w:sz="4" w:space="0" w:color="auto"/>
            </w:tcBorders>
            <w:shd w:val="clear" w:color="000000" w:fill="FFFFFF"/>
            <w:vAlign w:val="center"/>
            <w:hideMark/>
          </w:tcPr>
          <w:p w14:paraId="49604C66" w14:textId="77777777" w:rsidR="003F035B" w:rsidRPr="00395593" w:rsidRDefault="003F035B" w:rsidP="00E33E26">
            <w:pPr>
              <w:jc w:val="right"/>
              <w:rPr>
                <w:rFonts w:ascii="Garamond" w:hAnsi="Garamond" w:cs="Calibri"/>
                <w:b/>
                <w:color w:val="000000"/>
                <w:sz w:val="18"/>
                <w:szCs w:val="18"/>
              </w:rPr>
            </w:pPr>
          </w:p>
        </w:tc>
      </w:tr>
      <w:tr w:rsidR="003F035B" w:rsidRPr="00395593" w14:paraId="4B540658" w14:textId="77777777" w:rsidTr="00AA7216">
        <w:trPr>
          <w:gridAfter w:val="1"/>
          <w:wAfter w:w="46" w:type="dxa"/>
          <w:jc w:val="center"/>
        </w:trPr>
        <w:tc>
          <w:tcPr>
            <w:tcW w:w="1204" w:type="dxa"/>
            <w:vMerge/>
            <w:tcBorders>
              <w:top w:val="nil"/>
              <w:left w:val="single" w:sz="4" w:space="0" w:color="auto"/>
              <w:bottom w:val="single" w:sz="4" w:space="0" w:color="000000"/>
              <w:right w:val="nil"/>
            </w:tcBorders>
            <w:vAlign w:val="center"/>
            <w:hideMark/>
          </w:tcPr>
          <w:p w14:paraId="0AEBC034" w14:textId="77777777" w:rsidR="003F035B" w:rsidRPr="00395593" w:rsidRDefault="003F035B" w:rsidP="00E33E26">
            <w:pPr>
              <w:rPr>
                <w:rFonts w:ascii="Garamond" w:hAnsi="Garamond" w:cs="Calibri"/>
                <w:b/>
                <w:color w:val="000000"/>
                <w:sz w:val="18"/>
                <w:szCs w:val="18"/>
              </w:rPr>
            </w:pPr>
          </w:p>
        </w:tc>
        <w:tc>
          <w:tcPr>
            <w:tcW w:w="2356" w:type="dxa"/>
            <w:vMerge w:val="restart"/>
            <w:tcBorders>
              <w:top w:val="nil"/>
              <w:left w:val="single" w:sz="4" w:space="0" w:color="auto"/>
              <w:bottom w:val="single" w:sz="4" w:space="0" w:color="auto"/>
              <w:right w:val="single" w:sz="4" w:space="0" w:color="auto"/>
            </w:tcBorders>
            <w:shd w:val="clear" w:color="auto" w:fill="auto"/>
            <w:vAlign w:val="center"/>
            <w:hideMark/>
          </w:tcPr>
          <w:p w14:paraId="1139365A" w14:textId="77777777" w:rsidR="003F035B" w:rsidRPr="001419E1" w:rsidRDefault="003F035B" w:rsidP="00E33E26">
            <w:pPr>
              <w:rPr>
                <w:rFonts w:ascii="Garamond" w:hAnsi="Garamond" w:cs="Calibri"/>
                <w:b/>
                <w:color w:val="000000"/>
              </w:rPr>
            </w:pPr>
            <w:r w:rsidRPr="001419E1">
              <w:rPr>
                <w:rFonts w:ascii="Garamond" w:hAnsi="Garamond" w:cs="Calibri"/>
                <w:b/>
                <w:color w:val="000000"/>
              </w:rPr>
              <w:t>Outras contas</w:t>
            </w:r>
          </w:p>
        </w:tc>
        <w:tc>
          <w:tcPr>
            <w:tcW w:w="1118" w:type="dxa"/>
            <w:tcBorders>
              <w:top w:val="nil"/>
              <w:left w:val="nil"/>
              <w:bottom w:val="single" w:sz="4" w:space="0" w:color="auto"/>
              <w:right w:val="single" w:sz="4" w:space="0" w:color="auto"/>
            </w:tcBorders>
            <w:shd w:val="clear" w:color="auto" w:fill="auto"/>
            <w:vAlign w:val="center"/>
            <w:hideMark/>
          </w:tcPr>
          <w:p w14:paraId="5AE6DBA8" w14:textId="77777777" w:rsidR="003F035B" w:rsidRPr="001419E1" w:rsidRDefault="003F035B" w:rsidP="00E33E26">
            <w:pPr>
              <w:rPr>
                <w:rFonts w:ascii="Garamond" w:hAnsi="Garamond" w:cs="Calibri"/>
                <w:b/>
                <w:color w:val="000000"/>
              </w:rPr>
            </w:pPr>
            <w:r w:rsidRPr="001419E1">
              <w:rPr>
                <w:rFonts w:ascii="Garamond" w:hAnsi="Garamond" w:cs="Calibri"/>
                <w:b/>
                <w:color w:val="000000"/>
              </w:rPr>
              <w:t>especificar</w:t>
            </w:r>
          </w:p>
        </w:tc>
        <w:tc>
          <w:tcPr>
            <w:tcW w:w="567" w:type="dxa"/>
            <w:tcBorders>
              <w:top w:val="nil"/>
              <w:left w:val="nil"/>
              <w:bottom w:val="nil"/>
              <w:right w:val="single" w:sz="4" w:space="0" w:color="auto"/>
            </w:tcBorders>
            <w:shd w:val="clear" w:color="000000" w:fill="FFFFFF"/>
            <w:vAlign w:val="center"/>
            <w:hideMark/>
          </w:tcPr>
          <w:p w14:paraId="6585A860"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53995DBD"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3DAE06F5"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584DC30A"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3A402EE6"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 xml:space="preserve"> </w:t>
            </w:r>
          </w:p>
        </w:tc>
      </w:tr>
      <w:tr w:rsidR="003F035B" w:rsidRPr="00395593" w14:paraId="705D2749" w14:textId="77777777" w:rsidTr="00AA7216">
        <w:trPr>
          <w:gridAfter w:val="1"/>
          <w:wAfter w:w="46" w:type="dxa"/>
          <w:jc w:val="center"/>
        </w:trPr>
        <w:tc>
          <w:tcPr>
            <w:tcW w:w="1204" w:type="dxa"/>
            <w:vMerge/>
            <w:tcBorders>
              <w:top w:val="nil"/>
              <w:left w:val="single" w:sz="4" w:space="0" w:color="auto"/>
              <w:bottom w:val="single" w:sz="4" w:space="0" w:color="000000"/>
              <w:right w:val="nil"/>
            </w:tcBorders>
            <w:vAlign w:val="center"/>
            <w:hideMark/>
          </w:tcPr>
          <w:p w14:paraId="7184412C" w14:textId="77777777" w:rsidR="003F035B" w:rsidRPr="00395593" w:rsidRDefault="003F035B" w:rsidP="00E33E26">
            <w:pP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79C521B4" w14:textId="77777777" w:rsidR="003F035B" w:rsidRPr="001419E1" w:rsidRDefault="003F035B" w:rsidP="00E33E26">
            <w:pPr>
              <w:rPr>
                <w:rFonts w:ascii="Garamond" w:hAnsi="Garamond" w:cs="Calibri"/>
                <w:b/>
                <w:color w:val="000000"/>
              </w:rPr>
            </w:pPr>
          </w:p>
        </w:tc>
        <w:tc>
          <w:tcPr>
            <w:tcW w:w="1118" w:type="dxa"/>
            <w:tcBorders>
              <w:top w:val="nil"/>
              <w:left w:val="nil"/>
              <w:bottom w:val="single" w:sz="4" w:space="0" w:color="auto"/>
              <w:right w:val="single" w:sz="4" w:space="0" w:color="auto"/>
            </w:tcBorders>
            <w:shd w:val="clear" w:color="auto" w:fill="auto"/>
            <w:vAlign w:val="center"/>
            <w:hideMark/>
          </w:tcPr>
          <w:p w14:paraId="1AAAE5D0" w14:textId="77777777" w:rsidR="003F035B" w:rsidRPr="001419E1" w:rsidRDefault="003F035B" w:rsidP="00E33E26">
            <w:pPr>
              <w:rPr>
                <w:rFonts w:ascii="Garamond" w:hAnsi="Garamond" w:cs="Calibri"/>
                <w:b/>
                <w:color w:val="000000"/>
              </w:rPr>
            </w:pPr>
            <w:r w:rsidRPr="001419E1">
              <w:rPr>
                <w:rFonts w:ascii="Garamond" w:hAnsi="Garamond" w:cs="Calibri"/>
                <w:b/>
                <w:color w:val="000000"/>
              </w:rPr>
              <w:t>especificar</w:t>
            </w:r>
          </w:p>
        </w:tc>
        <w:tc>
          <w:tcPr>
            <w:tcW w:w="567" w:type="dxa"/>
            <w:tcBorders>
              <w:top w:val="nil"/>
              <w:left w:val="nil"/>
              <w:bottom w:val="nil"/>
              <w:right w:val="single" w:sz="4" w:space="0" w:color="auto"/>
            </w:tcBorders>
            <w:shd w:val="clear" w:color="000000" w:fill="FFFFFF"/>
            <w:vAlign w:val="center"/>
            <w:hideMark/>
          </w:tcPr>
          <w:p w14:paraId="293F13F0"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73EC9A94"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56F3090A"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44AEA66A"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7B330BEB"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 xml:space="preserve"> </w:t>
            </w:r>
          </w:p>
        </w:tc>
      </w:tr>
      <w:tr w:rsidR="003F035B" w:rsidRPr="00395593" w14:paraId="35DFE431" w14:textId="77777777" w:rsidTr="00AA7216">
        <w:trPr>
          <w:gridAfter w:val="1"/>
          <w:wAfter w:w="46" w:type="dxa"/>
          <w:jc w:val="center"/>
        </w:trPr>
        <w:tc>
          <w:tcPr>
            <w:tcW w:w="1204" w:type="dxa"/>
            <w:vMerge/>
            <w:tcBorders>
              <w:top w:val="nil"/>
              <w:left w:val="single" w:sz="4" w:space="0" w:color="auto"/>
              <w:bottom w:val="single" w:sz="4" w:space="0" w:color="000000"/>
              <w:right w:val="nil"/>
            </w:tcBorders>
            <w:vAlign w:val="center"/>
            <w:hideMark/>
          </w:tcPr>
          <w:p w14:paraId="40B91188" w14:textId="77777777" w:rsidR="003F035B" w:rsidRPr="00395593" w:rsidRDefault="003F035B" w:rsidP="00E33E26">
            <w:pP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16E26B8C" w14:textId="77777777" w:rsidR="003F035B" w:rsidRPr="001419E1" w:rsidRDefault="003F035B" w:rsidP="00E33E26">
            <w:pPr>
              <w:rPr>
                <w:rFonts w:ascii="Garamond" w:hAnsi="Garamond" w:cs="Calibri"/>
                <w:b/>
                <w:color w:val="000000"/>
              </w:rPr>
            </w:pPr>
          </w:p>
        </w:tc>
        <w:tc>
          <w:tcPr>
            <w:tcW w:w="1118" w:type="dxa"/>
            <w:tcBorders>
              <w:top w:val="nil"/>
              <w:left w:val="nil"/>
              <w:bottom w:val="single" w:sz="4" w:space="0" w:color="auto"/>
              <w:right w:val="single" w:sz="4" w:space="0" w:color="auto"/>
            </w:tcBorders>
            <w:shd w:val="clear" w:color="auto" w:fill="auto"/>
            <w:vAlign w:val="center"/>
            <w:hideMark/>
          </w:tcPr>
          <w:p w14:paraId="074484DF" w14:textId="77777777" w:rsidR="003F035B" w:rsidRPr="001419E1" w:rsidRDefault="003F035B" w:rsidP="00E33E26">
            <w:pPr>
              <w:rPr>
                <w:rFonts w:ascii="Garamond" w:hAnsi="Garamond" w:cs="Calibri"/>
                <w:b/>
                <w:color w:val="000000"/>
              </w:rPr>
            </w:pPr>
            <w:r w:rsidRPr="001419E1">
              <w:rPr>
                <w:rFonts w:ascii="Garamond" w:hAnsi="Garamond" w:cs="Calibri"/>
                <w:b/>
                <w:color w:val="000000"/>
              </w:rPr>
              <w:t>especificar</w:t>
            </w:r>
          </w:p>
        </w:tc>
        <w:tc>
          <w:tcPr>
            <w:tcW w:w="567" w:type="dxa"/>
            <w:tcBorders>
              <w:top w:val="nil"/>
              <w:left w:val="nil"/>
              <w:bottom w:val="nil"/>
              <w:right w:val="single" w:sz="4" w:space="0" w:color="auto"/>
            </w:tcBorders>
            <w:shd w:val="clear" w:color="000000" w:fill="FFFFFF"/>
            <w:vAlign w:val="center"/>
            <w:hideMark/>
          </w:tcPr>
          <w:p w14:paraId="6AAA1C87"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1B1545C1"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1A21C75F"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1CEA3B37"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60EE6D31"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 xml:space="preserve"> </w:t>
            </w:r>
          </w:p>
        </w:tc>
      </w:tr>
      <w:tr w:rsidR="003F035B" w:rsidRPr="00395593" w14:paraId="3C9E4E24" w14:textId="77777777" w:rsidTr="00AA7216">
        <w:trPr>
          <w:gridAfter w:val="1"/>
          <w:wAfter w:w="46" w:type="dxa"/>
          <w:jc w:val="center"/>
        </w:trPr>
        <w:tc>
          <w:tcPr>
            <w:tcW w:w="1204" w:type="dxa"/>
            <w:vMerge/>
            <w:tcBorders>
              <w:top w:val="nil"/>
              <w:left w:val="single" w:sz="4" w:space="0" w:color="auto"/>
              <w:bottom w:val="single" w:sz="4" w:space="0" w:color="000000"/>
              <w:right w:val="nil"/>
            </w:tcBorders>
            <w:vAlign w:val="center"/>
            <w:hideMark/>
          </w:tcPr>
          <w:p w14:paraId="6941FB26" w14:textId="77777777" w:rsidR="003F035B" w:rsidRPr="00395593" w:rsidRDefault="003F035B" w:rsidP="00E33E26">
            <w:pP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234CC85C" w14:textId="77777777" w:rsidR="003F035B" w:rsidRPr="001419E1" w:rsidRDefault="003F035B" w:rsidP="00E33E26">
            <w:pPr>
              <w:rPr>
                <w:rFonts w:ascii="Garamond" w:hAnsi="Garamond" w:cs="Calibri"/>
                <w:b/>
                <w:color w:val="000000"/>
              </w:rPr>
            </w:pPr>
          </w:p>
        </w:tc>
        <w:tc>
          <w:tcPr>
            <w:tcW w:w="1118" w:type="dxa"/>
            <w:tcBorders>
              <w:top w:val="nil"/>
              <w:left w:val="nil"/>
              <w:bottom w:val="single" w:sz="4" w:space="0" w:color="auto"/>
              <w:right w:val="single" w:sz="4" w:space="0" w:color="auto"/>
            </w:tcBorders>
            <w:shd w:val="clear" w:color="auto" w:fill="auto"/>
            <w:vAlign w:val="center"/>
            <w:hideMark/>
          </w:tcPr>
          <w:p w14:paraId="53AF25F2" w14:textId="77777777" w:rsidR="003F035B" w:rsidRPr="001419E1" w:rsidRDefault="003F035B" w:rsidP="00E33E26">
            <w:pPr>
              <w:rPr>
                <w:rFonts w:ascii="Garamond" w:hAnsi="Garamond" w:cs="Calibri"/>
                <w:b/>
                <w:color w:val="000000"/>
              </w:rPr>
            </w:pPr>
            <w:r w:rsidRPr="001419E1">
              <w:rPr>
                <w:rFonts w:ascii="Garamond" w:hAnsi="Garamond" w:cs="Calibri"/>
                <w:b/>
                <w:color w:val="000000"/>
              </w:rPr>
              <w:t>especificar</w:t>
            </w:r>
          </w:p>
        </w:tc>
        <w:tc>
          <w:tcPr>
            <w:tcW w:w="567" w:type="dxa"/>
            <w:tcBorders>
              <w:top w:val="nil"/>
              <w:left w:val="nil"/>
              <w:bottom w:val="nil"/>
              <w:right w:val="single" w:sz="4" w:space="0" w:color="auto"/>
            </w:tcBorders>
            <w:shd w:val="clear" w:color="000000" w:fill="FFFFFF"/>
            <w:vAlign w:val="center"/>
            <w:hideMark/>
          </w:tcPr>
          <w:p w14:paraId="014F9B6C"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660A1DED"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2D2B06EF"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66B5CB19"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673D7AD6"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 xml:space="preserve"> </w:t>
            </w:r>
          </w:p>
        </w:tc>
      </w:tr>
      <w:tr w:rsidR="003F035B" w:rsidRPr="00395593" w14:paraId="7BCB0257" w14:textId="77777777" w:rsidTr="00AA7216">
        <w:trPr>
          <w:gridAfter w:val="1"/>
          <w:wAfter w:w="46" w:type="dxa"/>
          <w:jc w:val="center"/>
        </w:trPr>
        <w:tc>
          <w:tcPr>
            <w:tcW w:w="1204" w:type="dxa"/>
            <w:vMerge/>
            <w:tcBorders>
              <w:top w:val="nil"/>
              <w:left w:val="single" w:sz="4" w:space="0" w:color="auto"/>
              <w:bottom w:val="single" w:sz="4" w:space="0" w:color="000000"/>
              <w:right w:val="nil"/>
            </w:tcBorders>
            <w:vAlign w:val="center"/>
            <w:hideMark/>
          </w:tcPr>
          <w:p w14:paraId="20289239" w14:textId="77777777" w:rsidR="003F035B" w:rsidRPr="00395593" w:rsidRDefault="003F035B" w:rsidP="00E33E26">
            <w:pPr>
              <w:rPr>
                <w:rFonts w:ascii="Garamond" w:hAnsi="Garamond" w:cs="Calibri"/>
                <w:b/>
                <w:color w:val="000000"/>
                <w:sz w:val="18"/>
                <w:szCs w:val="18"/>
              </w:rPr>
            </w:pPr>
          </w:p>
        </w:tc>
        <w:tc>
          <w:tcPr>
            <w:tcW w:w="347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4F7E51B3" w14:textId="77777777" w:rsidR="003F035B" w:rsidRPr="001419E1" w:rsidRDefault="003F035B" w:rsidP="00E33E26">
            <w:pPr>
              <w:rPr>
                <w:rFonts w:ascii="Garamond" w:hAnsi="Garamond" w:cs="Calibri"/>
                <w:b/>
                <w:color w:val="000000"/>
              </w:rPr>
            </w:pPr>
            <w:r w:rsidRPr="001419E1">
              <w:rPr>
                <w:rFonts w:ascii="Garamond" w:hAnsi="Garamond" w:cs="Calibri"/>
                <w:b/>
                <w:color w:val="000000"/>
              </w:rPr>
              <w:t>Caixa Líquido Utilizado nas Atividades de Financiamento</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14:paraId="3C111452"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0,00</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14:paraId="764574E3"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0,00</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14:paraId="61A22645"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0,00</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14:paraId="24A2FE02"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0,00</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14:paraId="1BF75D82"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0,00</w:t>
            </w:r>
          </w:p>
        </w:tc>
      </w:tr>
      <w:tr w:rsidR="003F035B" w:rsidRPr="00395593" w14:paraId="06F39327" w14:textId="77777777" w:rsidTr="00AA7216">
        <w:trPr>
          <w:gridAfter w:val="1"/>
          <w:wAfter w:w="46" w:type="dxa"/>
          <w:jc w:val="center"/>
        </w:trPr>
        <w:tc>
          <w:tcPr>
            <w:tcW w:w="1204" w:type="dxa"/>
            <w:tcBorders>
              <w:top w:val="nil"/>
              <w:left w:val="nil"/>
              <w:bottom w:val="nil"/>
              <w:right w:val="nil"/>
            </w:tcBorders>
            <w:shd w:val="clear" w:color="auto" w:fill="auto"/>
            <w:textDirection w:val="btLr"/>
            <w:vAlign w:val="center"/>
            <w:hideMark/>
          </w:tcPr>
          <w:p w14:paraId="3625B3B3" w14:textId="77777777" w:rsidR="003F035B" w:rsidRPr="00395593" w:rsidRDefault="003F035B" w:rsidP="00E33E26">
            <w:pPr>
              <w:jc w:val="center"/>
              <w:rPr>
                <w:rFonts w:ascii="Garamond" w:hAnsi="Garamond" w:cs="Calibri"/>
                <w:b/>
                <w:color w:val="000000"/>
                <w:sz w:val="18"/>
                <w:szCs w:val="18"/>
              </w:rPr>
            </w:pPr>
          </w:p>
        </w:tc>
        <w:tc>
          <w:tcPr>
            <w:tcW w:w="2356" w:type="dxa"/>
            <w:vMerge w:val="restart"/>
            <w:tcBorders>
              <w:top w:val="nil"/>
              <w:left w:val="single" w:sz="4" w:space="0" w:color="auto"/>
              <w:bottom w:val="single" w:sz="4" w:space="0" w:color="auto"/>
              <w:right w:val="single" w:sz="4" w:space="0" w:color="auto"/>
            </w:tcBorders>
            <w:shd w:val="clear" w:color="auto" w:fill="auto"/>
            <w:vAlign w:val="center"/>
            <w:hideMark/>
          </w:tcPr>
          <w:p w14:paraId="5F6BA9AD" w14:textId="77777777" w:rsidR="003F035B" w:rsidRPr="001419E1" w:rsidRDefault="003F035B" w:rsidP="00E33E26">
            <w:pPr>
              <w:rPr>
                <w:rFonts w:ascii="Garamond" w:hAnsi="Garamond" w:cs="Calibri"/>
                <w:b/>
                <w:color w:val="000000"/>
              </w:rPr>
            </w:pPr>
            <w:r w:rsidRPr="001419E1">
              <w:rPr>
                <w:rFonts w:ascii="Garamond" w:hAnsi="Garamond" w:cs="Calibri"/>
                <w:b/>
                <w:color w:val="000000"/>
              </w:rPr>
              <w:t>Outras contas</w:t>
            </w:r>
          </w:p>
        </w:tc>
        <w:tc>
          <w:tcPr>
            <w:tcW w:w="1118" w:type="dxa"/>
            <w:tcBorders>
              <w:top w:val="nil"/>
              <w:left w:val="nil"/>
              <w:bottom w:val="single" w:sz="4" w:space="0" w:color="auto"/>
              <w:right w:val="single" w:sz="4" w:space="0" w:color="auto"/>
            </w:tcBorders>
            <w:shd w:val="clear" w:color="auto" w:fill="auto"/>
            <w:vAlign w:val="center"/>
            <w:hideMark/>
          </w:tcPr>
          <w:p w14:paraId="40592EE9" w14:textId="77777777" w:rsidR="003F035B" w:rsidRPr="001419E1" w:rsidRDefault="003F035B" w:rsidP="00E33E26">
            <w:pPr>
              <w:rPr>
                <w:rFonts w:ascii="Garamond" w:hAnsi="Garamond" w:cs="Calibri"/>
                <w:b/>
                <w:color w:val="000000"/>
              </w:rPr>
            </w:pPr>
            <w:r w:rsidRPr="001419E1">
              <w:rPr>
                <w:rFonts w:ascii="Garamond" w:hAnsi="Garamond" w:cs="Calibri"/>
                <w:b/>
                <w:color w:val="000000"/>
              </w:rPr>
              <w:t>especificar</w:t>
            </w:r>
          </w:p>
        </w:tc>
        <w:tc>
          <w:tcPr>
            <w:tcW w:w="567" w:type="dxa"/>
            <w:tcBorders>
              <w:top w:val="nil"/>
              <w:left w:val="nil"/>
              <w:bottom w:val="nil"/>
              <w:right w:val="single" w:sz="4" w:space="0" w:color="auto"/>
            </w:tcBorders>
            <w:shd w:val="clear" w:color="000000" w:fill="FFFFFF"/>
            <w:vAlign w:val="center"/>
            <w:hideMark/>
          </w:tcPr>
          <w:p w14:paraId="38696B0D"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3F3C935C"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11EE0EC2"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74B8F640"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76CBE3EB"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 xml:space="preserve"> </w:t>
            </w:r>
          </w:p>
        </w:tc>
      </w:tr>
      <w:tr w:rsidR="003F035B" w:rsidRPr="00395593" w14:paraId="40744A1F" w14:textId="77777777" w:rsidTr="00AA7216">
        <w:trPr>
          <w:gridAfter w:val="1"/>
          <w:wAfter w:w="46" w:type="dxa"/>
          <w:jc w:val="center"/>
        </w:trPr>
        <w:tc>
          <w:tcPr>
            <w:tcW w:w="1204" w:type="dxa"/>
            <w:tcBorders>
              <w:top w:val="nil"/>
              <w:left w:val="nil"/>
              <w:bottom w:val="nil"/>
              <w:right w:val="nil"/>
            </w:tcBorders>
            <w:shd w:val="clear" w:color="auto" w:fill="auto"/>
            <w:textDirection w:val="btLr"/>
            <w:vAlign w:val="center"/>
            <w:hideMark/>
          </w:tcPr>
          <w:p w14:paraId="4960FE7B" w14:textId="77777777" w:rsidR="003F035B" w:rsidRPr="00395593" w:rsidRDefault="003F035B" w:rsidP="00E33E26">
            <w:pPr>
              <w:jc w:val="cente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290FA12E" w14:textId="77777777" w:rsidR="003F035B" w:rsidRPr="001419E1" w:rsidRDefault="003F035B" w:rsidP="00E33E26">
            <w:pPr>
              <w:rPr>
                <w:rFonts w:ascii="Garamond" w:hAnsi="Garamond" w:cs="Calibri"/>
                <w:b/>
                <w:color w:val="000000"/>
              </w:rPr>
            </w:pPr>
          </w:p>
        </w:tc>
        <w:tc>
          <w:tcPr>
            <w:tcW w:w="1118" w:type="dxa"/>
            <w:tcBorders>
              <w:top w:val="nil"/>
              <w:left w:val="nil"/>
              <w:bottom w:val="single" w:sz="4" w:space="0" w:color="auto"/>
              <w:right w:val="single" w:sz="4" w:space="0" w:color="auto"/>
            </w:tcBorders>
            <w:shd w:val="clear" w:color="auto" w:fill="auto"/>
            <w:vAlign w:val="center"/>
            <w:hideMark/>
          </w:tcPr>
          <w:p w14:paraId="57A73C26" w14:textId="77777777" w:rsidR="003F035B" w:rsidRPr="001419E1" w:rsidRDefault="003F035B" w:rsidP="00E33E26">
            <w:pPr>
              <w:rPr>
                <w:rFonts w:ascii="Garamond" w:hAnsi="Garamond" w:cs="Calibri"/>
                <w:b/>
                <w:color w:val="000000"/>
              </w:rPr>
            </w:pPr>
            <w:r w:rsidRPr="001419E1">
              <w:rPr>
                <w:rFonts w:ascii="Garamond" w:hAnsi="Garamond" w:cs="Calibri"/>
                <w:b/>
                <w:color w:val="000000"/>
              </w:rPr>
              <w:t>especificar</w:t>
            </w:r>
          </w:p>
        </w:tc>
        <w:tc>
          <w:tcPr>
            <w:tcW w:w="567" w:type="dxa"/>
            <w:tcBorders>
              <w:top w:val="nil"/>
              <w:left w:val="nil"/>
              <w:bottom w:val="nil"/>
              <w:right w:val="single" w:sz="4" w:space="0" w:color="auto"/>
            </w:tcBorders>
            <w:shd w:val="clear" w:color="000000" w:fill="FFFFFF"/>
            <w:vAlign w:val="center"/>
            <w:hideMark/>
          </w:tcPr>
          <w:p w14:paraId="45BB60DC"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407FB6B5"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7E910EF9"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1DF862C4"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5CF1B9DD"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 xml:space="preserve"> </w:t>
            </w:r>
          </w:p>
        </w:tc>
      </w:tr>
      <w:tr w:rsidR="003F035B" w:rsidRPr="00395593" w14:paraId="3F497949" w14:textId="77777777" w:rsidTr="00AA7216">
        <w:trPr>
          <w:gridAfter w:val="1"/>
          <w:wAfter w:w="46" w:type="dxa"/>
          <w:jc w:val="center"/>
        </w:trPr>
        <w:tc>
          <w:tcPr>
            <w:tcW w:w="1204" w:type="dxa"/>
            <w:tcBorders>
              <w:top w:val="nil"/>
              <w:left w:val="nil"/>
              <w:bottom w:val="nil"/>
              <w:right w:val="nil"/>
            </w:tcBorders>
            <w:shd w:val="clear" w:color="auto" w:fill="auto"/>
            <w:textDirection w:val="btLr"/>
            <w:vAlign w:val="center"/>
            <w:hideMark/>
          </w:tcPr>
          <w:p w14:paraId="484C643F" w14:textId="77777777" w:rsidR="003F035B" w:rsidRPr="00395593" w:rsidRDefault="003F035B" w:rsidP="00E33E26">
            <w:pPr>
              <w:jc w:val="cente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35AEAEB0" w14:textId="77777777" w:rsidR="003F035B" w:rsidRPr="001419E1" w:rsidRDefault="003F035B" w:rsidP="00E33E26">
            <w:pPr>
              <w:rPr>
                <w:rFonts w:ascii="Garamond" w:hAnsi="Garamond" w:cs="Calibri"/>
                <w:b/>
                <w:color w:val="000000"/>
              </w:rPr>
            </w:pPr>
          </w:p>
        </w:tc>
        <w:tc>
          <w:tcPr>
            <w:tcW w:w="1118" w:type="dxa"/>
            <w:tcBorders>
              <w:top w:val="nil"/>
              <w:left w:val="nil"/>
              <w:bottom w:val="single" w:sz="4" w:space="0" w:color="auto"/>
              <w:right w:val="single" w:sz="4" w:space="0" w:color="auto"/>
            </w:tcBorders>
            <w:shd w:val="clear" w:color="auto" w:fill="auto"/>
            <w:vAlign w:val="center"/>
            <w:hideMark/>
          </w:tcPr>
          <w:p w14:paraId="09705BB3" w14:textId="77777777" w:rsidR="003F035B" w:rsidRPr="001419E1" w:rsidRDefault="003F035B" w:rsidP="00E33E26">
            <w:pPr>
              <w:rPr>
                <w:rFonts w:ascii="Garamond" w:hAnsi="Garamond" w:cs="Calibri"/>
                <w:b/>
                <w:color w:val="000000"/>
              </w:rPr>
            </w:pPr>
            <w:r w:rsidRPr="001419E1">
              <w:rPr>
                <w:rFonts w:ascii="Garamond" w:hAnsi="Garamond" w:cs="Calibri"/>
                <w:b/>
                <w:color w:val="000000"/>
              </w:rPr>
              <w:t>especificar</w:t>
            </w:r>
          </w:p>
        </w:tc>
        <w:tc>
          <w:tcPr>
            <w:tcW w:w="567" w:type="dxa"/>
            <w:tcBorders>
              <w:top w:val="nil"/>
              <w:left w:val="nil"/>
              <w:bottom w:val="nil"/>
              <w:right w:val="single" w:sz="4" w:space="0" w:color="auto"/>
            </w:tcBorders>
            <w:shd w:val="clear" w:color="000000" w:fill="FFFFFF"/>
            <w:vAlign w:val="center"/>
            <w:hideMark/>
          </w:tcPr>
          <w:p w14:paraId="367A99A0"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1864606D"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5DD3EC25"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26172A46"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61BD894F"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 xml:space="preserve"> </w:t>
            </w:r>
          </w:p>
        </w:tc>
      </w:tr>
      <w:tr w:rsidR="003F035B" w:rsidRPr="00395593" w14:paraId="1564FA06" w14:textId="77777777" w:rsidTr="00AA7216">
        <w:trPr>
          <w:gridAfter w:val="1"/>
          <w:wAfter w:w="46" w:type="dxa"/>
          <w:jc w:val="center"/>
        </w:trPr>
        <w:tc>
          <w:tcPr>
            <w:tcW w:w="1204" w:type="dxa"/>
            <w:tcBorders>
              <w:top w:val="nil"/>
              <w:left w:val="nil"/>
              <w:bottom w:val="nil"/>
              <w:right w:val="nil"/>
            </w:tcBorders>
            <w:shd w:val="clear" w:color="auto" w:fill="auto"/>
            <w:textDirection w:val="btLr"/>
            <w:vAlign w:val="center"/>
            <w:hideMark/>
          </w:tcPr>
          <w:p w14:paraId="00BEBA58" w14:textId="77777777" w:rsidR="003F035B" w:rsidRPr="00395593" w:rsidRDefault="003F035B" w:rsidP="00E33E26">
            <w:pPr>
              <w:rPr>
                <w:rFonts w:ascii="Garamond" w:hAnsi="Garamond" w:cs="Calibri"/>
                <w:b/>
                <w:color w:val="000000"/>
                <w:sz w:val="18"/>
                <w:szCs w:val="18"/>
              </w:rPr>
            </w:pPr>
          </w:p>
        </w:tc>
        <w:tc>
          <w:tcPr>
            <w:tcW w:w="2356" w:type="dxa"/>
            <w:vMerge/>
            <w:tcBorders>
              <w:top w:val="nil"/>
              <w:left w:val="single" w:sz="4" w:space="0" w:color="auto"/>
              <w:bottom w:val="single" w:sz="4" w:space="0" w:color="auto"/>
              <w:right w:val="single" w:sz="4" w:space="0" w:color="auto"/>
            </w:tcBorders>
            <w:vAlign w:val="center"/>
            <w:hideMark/>
          </w:tcPr>
          <w:p w14:paraId="2FFF66C3" w14:textId="77777777" w:rsidR="003F035B" w:rsidRPr="001419E1" w:rsidRDefault="003F035B" w:rsidP="00E33E26">
            <w:pPr>
              <w:rPr>
                <w:rFonts w:ascii="Garamond" w:hAnsi="Garamond" w:cs="Calibri"/>
                <w:b/>
                <w:color w:val="000000"/>
              </w:rPr>
            </w:pPr>
          </w:p>
        </w:tc>
        <w:tc>
          <w:tcPr>
            <w:tcW w:w="1118" w:type="dxa"/>
            <w:tcBorders>
              <w:top w:val="nil"/>
              <w:left w:val="nil"/>
              <w:bottom w:val="single" w:sz="4" w:space="0" w:color="auto"/>
              <w:right w:val="single" w:sz="4" w:space="0" w:color="auto"/>
            </w:tcBorders>
            <w:shd w:val="clear" w:color="auto" w:fill="auto"/>
            <w:vAlign w:val="center"/>
            <w:hideMark/>
          </w:tcPr>
          <w:p w14:paraId="7416016F" w14:textId="77777777" w:rsidR="003F035B" w:rsidRPr="001419E1" w:rsidRDefault="003F035B" w:rsidP="00E33E26">
            <w:pPr>
              <w:rPr>
                <w:rFonts w:ascii="Garamond" w:hAnsi="Garamond" w:cs="Calibri"/>
                <w:b/>
                <w:color w:val="000000"/>
              </w:rPr>
            </w:pPr>
            <w:r w:rsidRPr="001419E1">
              <w:rPr>
                <w:rFonts w:ascii="Garamond" w:hAnsi="Garamond" w:cs="Calibri"/>
                <w:b/>
                <w:color w:val="000000"/>
              </w:rPr>
              <w:t>especificar</w:t>
            </w:r>
          </w:p>
        </w:tc>
        <w:tc>
          <w:tcPr>
            <w:tcW w:w="567" w:type="dxa"/>
            <w:tcBorders>
              <w:top w:val="nil"/>
              <w:left w:val="nil"/>
              <w:bottom w:val="nil"/>
              <w:right w:val="single" w:sz="4" w:space="0" w:color="auto"/>
            </w:tcBorders>
            <w:shd w:val="clear" w:color="000000" w:fill="FFFFFF"/>
            <w:vAlign w:val="center"/>
            <w:hideMark/>
          </w:tcPr>
          <w:p w14:paraId="0B41E651"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7A2D6B58"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3B7BF878"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1DF7E3D8" w14:textId="77777777" w:rsidR="003F035B" w:rsidRPr="001419E1" w:rsidRDefault="003F035B" w:rsidP="00E33E26">
            <w:pPr>
              <w:jc w:val="right"/>
              <w:rPr>
                <w:rFonts w:ascii="Garamond" w:hAnsi="Garamond" w:cs="Calibri"/>
                <w:b/>
                <w:color w:val="000000"/>
              </w:rPr>
            </w:pPr>
          </w:p>
        </w:tc>
        <w:tc>
          <w:tcPr>
            <w:tcW w:w="567" w:type="dxa"/>
            <w:tcBorders>
              <w:top w:val="nil"/>
              <w:left w:val="nil"/>
              <w:bottom w:val="nil"/>
              <w:right w:val="single" w:sz="4" w:space="0" w:color="auto"/>
            </w:tcBorders>
            <w:shd w:val="clear" w:color="000000" w:fill="FFFFFF"/>
            <w:vAlign w:val="center"/>
            <w:hideMark/>
          </w:tcPr>
          <w:p w14:paraId="49EC9D8D"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 xml:space="preserve"> </w:t>
            </w:r>
          </w:p>
        </w:tc>
      </w:tr>
      <w:tr w:rsidR="003F035B" w:rsidRPr="00395593" w14:paraId="36EF8994" w14:textId="77777777" w:rsidTr="00AA7216">
        <w:trPr>
          <w:gridAfter w:val="1"/>
          <w:wAfter w:w="46" w:type="dxa"/>
          <w:jc w:val="center"/>
        </w:trPr>
        <w:tc>
          <w:tcPr>
            <w:tcW w:w="1204" w:type="dxa"/>
            <w:tcBorders>
              <w:top w:val="nil"/>
              <w:left w:val="nil"/>
              <w:bottom w:val="nil"/>
              <w:right w:val="nil"/>
            </w:tcBorders>
            <w:shd w:val="clear" w:color="auto" w:fill="auto"/>
            <w:textDirection w:val="btLr"/>
            <w:vAlign w:val="center"/>
            <w:hideMark/>
          </w:tcPr>
          <w:p w14:paraId="5DD87CD0" w14:textId="77777777" w:rsidR="003F035B" w:rsidRPr="00395593" w:rsidRDefault="003F035B" w:rsidP="00E33E26">
            <w:pPr>
              <w:rPr>
                <w:rFonts w:ascii="Garamond" w:hAnsi="Garamond" w:cs="Calibri"/>
                <w:b/>
                <w:color w:val="000000"/>
                <w:sz w:val="18"/>
                <w:szCs w:val="18"/>
              </w:rPr>
            </w:pPr>
          </w:p>
        </w:tc>
        <w:tc>
          <w:tcPr>
            <w:tcW w:w="347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55392016" w14:textId="77777777" w:rsidR="003F035B" w:rsidRPr="001419E1" w:rsidRDefault="003F035B" w:rsidP="00E33E26">
            <w:pPr>
              <w:rPr>
                <w:rFonts w:ascii="Garamond" w:hAnsi="Garamond" w:cs="Calibri"/>
                <w:b/>
                <w:color w:val="000000"/>
              </w:rPr>
            </w:pPr>
            <w:r w:rsidRPr="001419E1">
              <w:rPr>
                <w:rFonts w:ascii="Garamond" w:hAnsi="Garamond" w:cs="Calibri"/>
                <w:b/>
                <w:color w:val="000000"/>
              </w:rPr>
              <w:t>Aumento Líquido nas Disponibilidades</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14:paraId="0B90D4BF"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0,00</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14:paraId="4E3E5450"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0,00</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14:paraId="4835725B"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0,00</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14:paraId="4570D91C"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0,00</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14:paraId="1545EF07" w14:textId="77777777" w:rsidR="003F035B" w:rsidRPr="001419E1" w:rsidRDefault="003F035B" w:rsidP="00E33E26">
            <w:pPr>
              <w:jc w:val="right"/>
              <w:rPr>
                <w:rFonts w:ascii="Garamond" w:hAnsi="Garamond" w:cs="Calibri"/>
                <w:b/>
                <w:color w:val="000000"/>
              </w:rPr>
            </w:pPr>
            <w:r w:rsidRPr="001419E1">
              <w:rPr>
                <w:rFonts w:ascii="Garamond" w:hAnsi="Garamond" w:cs="Calibri"/>
                <w:b/>
                <w:color w:val="000000"/>
              </w:rPr>
              <w:t>0,00</w:t>
            </w:r>
          </w:p>
        </w:tc>
      </w:tr>
    </w:tbl>
    <w:p w14:paraId="5EC94805" w14:textId="77777777" w:rsidR="00BF6E08" w:rsidRPr="005C5CBD" w:rsidRDefault="00BF6E08">
      <w:pPr>
        <w:rPr>
          <w:rFonts w:ascii="Garamond" w:hAnsi="Garamond"/>
        </w:rPr>
        <w:sectPr w:rsidR="00BF6E08" w:rsidRPr="005C5CBD" w:rsidSect="00E15FBB">
          <w:pgSz w:w="12240" w:h="15840"/>
          <w:pgMar w:top="1418" w:right="1580" w:bottom="280" w:left="1418" w:header="720" w:footer="968" w:gutter="0"/>
          <w:cols w:space="720"/>
          <w:docGrid w:linePitch="299"/>
        </w:sectPr>
      </w:pPr>
    </w:p>
    <w:tbl>
      <w:tblPr>
        <w:tblW w:w="13337" w:type="dxa"/>
        <w:jc w:val="center"/>
        <w:tblLayout w:type="fixed"/>
        <w:tblCellMar>
          <w:top w:w="57" w:type="dxa"/>
          <w:left w:w="57" w:type="dxa"/>
          <w:bottom w:w="57" w:type="dxa"/>
          <w:right w:w="57" w:type="dxa"/>
        </w:tblCellMar>
        <w:tblLook w:val="04A0" w:firstRow="1" w:lastRow="0" w:firstColumn="1" w:lastColumn="0" w:noHBand="0" w:noVBand="1"/>
      </w:tblPr>
      <w:tblGrid>
        <w:gridCol w:w="993"/>
        <w:gridCol w:w="916"/>
        <w:gridCol w:w="1210"/>
        <w:gridCol w:w="992"/>
        <w:gridCol w:w="992"/>
        <w:gridCol w:w="1086"/>
        <w:gridCol w:w="1063"/>
        <w:gridCol w:w="1022"/>
        <w:gridCol w:w="1387"/>
        <w:gridCol w:w="992"/>
        <w:gridCol w:w="1276"/>
        <w:gridCol w:w="1396"/>
        <w:gridCol w:w="12"/>
      </w:tblGrid>
      <w:tr w:rsidR="003F035B" w:rsidRPr="00395593" w14:paraId="392FCE6C" w14:textId="77777777" w:rsidTr="00AA7216">
        <w:trPr>
          <w:cantSplit/>
          <w:jc w:val="center"/>
        </w:trPr>
        <w:tc>
          <w:tcPr>
            <w:tcW w:w="13337" w:type="dxa"/>
            <w:gridSpan w:val="13"/>
            <w:tcBorders>
              <w:bottom w:val="single" w:sz="4" w:space="0" w:color="auto"/>
            </w:tcBorders>
            <w:shd w:val="clear" w:color="auto" w:fill="auto"/>
            <w:noWrap/>
            <w:vAlign w:val="center"/>
          </w:tcPr>
          <w:p w14:paraId="5D468926" w14:textId="3425DCD7" w:rsidR="003F035B" w:rsidRPr="00A07F88" w:rsidRDefault="003F035B" w:rsidP="00E33E26">
            <w:pPr>
              <w:pStyle w:val="TextosemFormatao"/>
              <w:jc w:val="center"/>
              <w:rPr>
                <w:rFonts w:ascii="Garamond" w:hAnsi="Garamond" w:cs="Calibri"/>
                <w:b/>
                <w:color w:val="000000"/>
                <w:sz w:val="24"/>
                <w:szCs w:val="24"/>
              </w:rPr>
            </w:pPr>
            <w:r w:rsidRPr="00A07F88">
              <w:rPr>
                <w:rFonts w:ascii="Garamond" w:hAnsi="Garamond" w:cs="Calibri"/>
                <w:b/>
                <w:color w:val="000000"/>
                <w:sz w:val="24"/>
                <w:szCs w:val="24"/>
              </w:rPr>
              <w:t>APÊNDICE XVIII</w:t>
            </w:r>
          </w:p>
          <w:p w14:paraId="76085849" w14:textId="77777777" w:rsidR="003F035B" w:rsidRPr="00395593" w:rsidRDefault="003F035B" w:rsidP="00E33E26">
            <w:pPr>
              <w:jc w:val="center"/>
              <w:rPr>
                <w:rFonts w:ascii="Garamond" w:hAnsi="Garamond" w:cs="Calibri"/>
                <w:b/>
                <w:color w:val="000000"/>
                <w:sz w:val="18"/>
                <w:szCs w:val="18"/>
              </w:rPr>
            </w:pPr>
            <w:r w:rsidRPr="00A07F88">
              <w:rPr>
                <w:rFonts w:ascii="Garamond" w:hAnsi="Garamond" w:cs="Calibri"/>
                <w:b/>
                <w:color w:val="000000"/>
                <w:sz w:val="24"/>
                <w:szCs w:val="24"/>
              </w:rPr>
              <w:t>CUSTO DE PRODUÇÃO DO PRODUTO POR PERÍODO</w:t>
            </w:r>
          </w:p>
        </w:tc>
      </w:tr>
      <w:tr w:rsidR="003F035B" w:rsidRPr="00395593" w14:paraId="4DF16143" w14:textId="77777777" w:rsidTr="00102D95">
        <w:trPr>
          <w:gridAfter w:val="1"/>
          <w:wAfter w:w="12" w:type="dxa"/>
          <w:cantSplit/>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EE045" w14:textId="77777777" w:rsidR="003F035B" w:rsidRPr="00680017" w:rsidRDefault="003F035B" w:rsidP="00E33E26">
            <w:pPr>
              <w:jc w:val="center"/>
              <w:rPr>
                <w:rFonts w:ascii="Garamond" w:hAnsi="Garamond" w:cs="Calibri"/>
                <w:b/>
                <w:color w:val="000000"/>
                <w:sz w:val="24"/>
                <w:szCs w:val="24"/>
              </w:rPr>
            </w:pPr>
            <w:r w:rsidRPr="00680017">
              <w:rPr>
                <w:rFonts w:ascii="Garamond" w:hAnsi="Garamond" w:cs="Calibri"/>
                <w:b/>
                <w:color w:val="000000"/>
                <w:sz w:val="24"/>
                <w:szCs w:val="24"/>
              </w:rPr>
              <w:t>1</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14:paraId="27BEAB82" w14:textId="77777777" w:rsidR="003F035B" w:rsidRPr="00680017" w:rsidRDefault="003F035B" w:rsidP="00E33E26">
            <w:pPr>
              <w:jc w:val="center"/>
              <w:rPr>
                <w:rFonts w:ascii="Garamond" w:hAnsi="Garamond" w:cs="Calibri"/>
                <w:b/>
                <w:color w:val="000000"/>
                <w:sz w:val="24"/>
                <w:szCs w:val="24"/>
              </w:rPr>
            </w:pPr>
            <w:r w:rsidRPr="00680017">
              <w:rPr>
                <w:rFonts w:ascii="Garamond" w:hAnsi="Garamond" w:cs="Calibri"/>
                <w:b/>
                <w:color w:val="000000"/>
                <w:sz w:val="24"/>
                <w:szCs w:val="24"/>
              </w:rPr>
              <w:t>2</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58C65831" w14:textId="77777777" w:rsidR="003F035B" w:rsidRPr="00680017" w:rsidRDefault="003F035B" w:rsidP="00E33E26">
            <w:pPr>
              <w:jc w:val="center"/>
              <w:rPr>
                <w:rFonts w:ascii="Garamond" w:hAnsi="Garamond" w:cs="Calibri"/>
                <w:b/>
                <w:color w:val="000000"/>
                <w:sz w:val="24"/>
                <w:szCs w:val="24"/>
              </w:rPr>
            </w:pPr>
            <w:r w:rsidRPr="00680017">
              <w:rPr>
                <w:rFonts w:ascii="Garamond" w:hAnsi="Garamond" w:cs="Calibri"/>
                <w:b/>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C3231F5" w14:textId="77777777" w:rsidR="003F035B" w:rsidRPr="00680017" w:rsidRDefault="003F035B" w:rsidP="00E33E26">
            <w:pPr>
              <w:jc w:val="center"/>
              <w:rPr>
                <w:rFonts w:ascii="Garamond" w:hAnsi="Garamond" w:cs="Calibri"/>
                <w:b/>
                <w:color w:val="000000"/>
                <w:sz w:val="24"/>
                <w:szCs w:val="24"/>
              </w:rPr>
            </w:pPr>
            <w:r w:rsidRPr="00680017">
              <w:rPr>
                <w:rFonts w:ascii="Garamond" w:hAnsi="Garamond" w:cs="Calibri"/>
                <w:b/>
                <w:color w:val="000000"/>
                <w:sz w:val="24"/>
                <w:szCs w:val="24"/>
              </w:rPr>
              <w:t>4.0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CB35BE5" w14:textId="77777777" w:rsidR="003F035B" w:rsidRPr="00680017" w:rsidRDefault="003F035B" w:rsidP="00E33E26">
            <w:pPr>
              <w:jc w:val="center"/>
              <w:rPr>
                <w:rFonts w:ascii="Garamond" w:hAnsi="Garamond" w:cs="Calibri"/>
                <w:b/>
                <w:color w:val="000000"/>
                <w:sz w:val="24"/>
                <w:szCs w:val="24"/>
              </w:rPr>
            </w:pPr>
            <w:r w:rsidRPr="00680017">
              <w:rPr>
                <w:rFonts w:ascii="Garamond" w:hAnsi="Garamond" w:cs="Calibri"/>
                <w:b/>
                <w:color w:val="000000"/>
                <w:sz w:val="24"/>
                <w:szCs w:val="24"/>
              </w:rPr>
              <w:t>5.0</w:t>
            </w:r>
          </w:p>
        </w:tc>
        <w:tc>
          <w:tcPr>
            <w:tcW w:w="1086" w:type="dxa"/>
            <w:tcBorders>
              <w:top w:val="single" w:sz="4" w:space="0" w:color="auto"/>
              <w:left w:val="nil"/>
              <w:bottom w:val="single" w:sz="4" w:space="0" w:color="auto"/>
              <w:right w:val="single" w:sz="4" w:space="0" w:color="auto"/>
            </w:tcBorders>
            <w:shd w:val="clear" w:color="auto" w:fill="auto"/>
            <w:noWrap/>
            <w:vAlign w:val="center"/>
            <w:hideMark/>
          </w:tcPr>
          <w:p w14:paraId="47D93C81" w14:textId="77777777" w:rsidR="003F035B" w:rsidRPr="00680017" w:rsidRDefault="003F035B" w:rsidP="00E33E26">
            <w:pPr>
              <w:jc w:val="center"/>
              <w:rPr>
                <w:rFonts w:ascii="Garamond" w:hAnsi="Garamond" w:cs="Calibri"/>
                <w:b/>
                <w:color w:val="000000"/>
                <w:sz w:val="24"/>
                <w:szCs w:val="24"/>
              </w:rPr>
            </w:pPr>
            <w:r w:rsidRPr="00680017">
              <w:rPr>
                <w:rFonts w:ascii="Garamond" w:hAnsi="Garamond" w:cs="Calibri"/>
                <w:b/>
                <w:color w:val="000000"/>
                <w:sz w:val="24"/>
                <w:szCs w:val="24"/>
              </w:rPr>
              <w:t>6.0</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73F2F24F" w14:textId="77777777" w:rsidR="003F035B" w:rsidRPr="00680017" w:rsidRDefault="003F035B" w:rsidP="00E33E26">
            <w:pPr>
              <w:jc w:val="center"/>
              <w:rPr>
                <w:rFonts w:ascii="Garamond" w:hAnsi="Garamond" w:cs="Calibri"/>
                <w:b/>
                <w:color w:val="000000"/>
                <w:sz w:val="24"/>
                <w:szCs w:val="24"/>
              </w:rPr>
            </w:pPr>
            <w:r w:rsidRPr="00680017">
              <w:rPr>
                <w:rFonts w:ascii="Garamond" w:hAnsi="Garamond" w:cs="Calibri"/>
                <w:b/>
                <w:color w:val="000000"/>
                <w:sz w:val="24"/>
                <w:szCs w:val="24"/>
              </w:rPr>
              <w:t>7.0</w:t>
            </w:r>
          </w:p>
        </w:tc>
        <w:tc>
          <w:tcPr>
            <w:tcW w:w="1022" w:type="dxa"/>
            <w:tcBorders>
              <w:top w:val="single" w:sz="4" w:space="0" w:color="auto"/>
              <w:left w:val="nil"/>
              <w:bottom w:val="single" w:sz="4" w:space="0" w:color="auto"/>
              <w:right w:val="single" w:sz="4" w:space="0" w:color="auto"/>
            </w:tcBorders>
            <w:shd w:val="clear" w:color="auto" w:fill="auto"/>
            <w:noWrap/>
            <w:vAlign w:val="center"/>
            <w:hideMark/>
          </w:tcPr>
          <w:p w14:paraId="4A46AB8C" w14:textId="77777777" w:rsidR="003F035B" w:rsidRPr="00680017" w:rsidRDefault="003F035B" w:rsidP="00E33E26">
            <w:pPr>
              <w:jc w:val="center"/>
              <w:rPr>
                <w:rFonts w:ascii="Garamond" w:hAnsi="Garamond" w:cs="Calibri"/>
                <w:b/>
                <w:color w:val="000000"/>
                <w:sz w:val="24"/>
                <w:szCs w:val="24"/>
              </w:rPr>
            </w:pPr>
            <w:r w:rsidRPr="00680017">
              <w:rPr>
                <w:rFonts w:ascii="Garamond" w:hAnsi="Garamond" w:cs="Calibri"/>
                <w:b/>
                <w:color w:val="000000"/>
                <w:sz w:val="24"/>
                <w:szCs w:val="24"/>
              </w:rPr>
              <w:t>8.0</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14:paraId="142FF49A" w14:textId="77777777" w:rsidR="003F035B" w:rsidRPr="00680017" w:rsidRDefault="003F035B" w:rsidP="00E33E26">
            <w:pPr>
              <w:jc w:val="center"/>
              <w:rPr>
                <w:rFonts w:ascii="Garamond" w:hAnsi="Garamond" w:cs="Calibri"/>
                <w:b/>
                <w:color w:val="000000"/>
                <w:sz w:val="24"/>
                <w:szCs w:val="24"/>
              </w:rPr>
            </w:pPr>
            <w:r w:rsidRPr="00680017">
              <w:rPr>
                <w:rFonts w:ascii="Garamond" w:hAnsi="Garamond" w:cs="Calibri"/>
                <w:b/>
                <w:color w:val="000000"/>
                <w:sz w:val="24"/>
                <w:szCs w:val="24"/>
              </w:rPr>
              <w:t>9.0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EC76A27" w14:textId="77777777" w:rsidR="003F035B" w:rsidRPr="00680017" w:rsidRDefault="003F035B" w:rsidP="00E33E26">
            <w:pPr>
              <w:jc w:val="center"/>
              <w:rPr>
                <w:rFonts w:ascii="Garamond" w:hAnsi="Garamond" w:cs="Calibri"/>
                <w:b/>
                <w:color w:val="000000"/>
                <w:sz w:val="24"/>
                <w:szCs w:val="24"/>
              </w:rPr>
            </w:pPr>
            <w:r w:rsidRPr="00680017">
              <w:rPr>
                <w:rFonts w:ascii="Garamond" w:hAnsi="Garamond" w:cs="Calibri"/>
                <w:b/>
                <w:color w:val="000000"/>
                <w:sz w:val="24"/>
                <w:szCs w:val="24"/>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340021C" w14:textId="77777777" w:rsidR="003F035B" w:rsidRPr="00680017" w:rsidRDefault="003F035B" w:rsidP="00E33E26">
            <w:pPr>
              <w:jc w:val="center"/>
              <w:rPr>
                <w:rFonts w:ascii="Garamond" w:hAnsi="Garamond" w:cs="Calibri"/>
                <w:b/>
                <w:color w:val="000000"/>
                <w:sz w:val="24"/>
                <w:szCs w:val="24"/>
              </w:rPr>
            </w:pPr>
            <w:r w:rsidRPr="00680017">
              <w:rPr>
                <w:rFonts w:ascii="Garamond" w:hAnsi="Garamond" w:cs="Calibri"/>
                <w:b/>
                <w:color w:val="000000"/>
                <w:sz w:val="24"/>
                <w:szCs w:val="24"/>
              </w:rPr>
              <w:t>11</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199D9888" w14:textId="77777777" w:rsidR="003F035B" w:rsidRPr="00680017" w:rsidRDefault="003F035B" w:rsidP="00E33E26">
            <w:pPr>
              <w:jc w:val="center"/>
              <w:rPr>
                <w:rFonts w:ascii="Garamond" w:hAnsi="Garamond" w:cs="Calibri"/>
                <w:b/>
                <w:color w:val="000000"/>
                <w:sz w:val="24"/>
                <w:szCs w:val="24"/>
              </w:rPr>
            </w:pPr>
            <w:r w:rsidRPr="00680017">
              <w:rPr>
                <w:rFonts w:ascii="Garamond" w:hAnsi="Garamond" w:cs="Calibri"/>
                <w:b/>
                <w:color w:val="000000"/>
                <w:sz w:val="24"/>
                <w:szCs w:val="24"/>
              </w:rPr>
              <w:t>12</w:t>
            </w:r>
          </w:p>
        </w:tc>
      </w:tr>
      <w:tr w:rsidR="003F035B" w:rsidRPr="00395593" w14:paraId="71329685" w14:textId="77777777" w:rsidTr="00102D95">
        <w:trPr>
          <w:gridAfter w:val="1"/>
          <w:wAfter w:w="12" w:type="dxa"/>
          <w:cantSplit/>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02D2899" w14:textId="77777777" w:rsidR="003F035B" w:rsidRPr="00680017" w:rsidRDefault="003F035B" w:rsidP="00E33E26">
            <w:pPr>
              <w:jc w:val="center"/>
              <w:rPr>
                <w:rFonts w:ascii="Garamond" w:hAnsi="Garamond" w:cs="Calibri"/>
                <w:color w:val="000000"/>
              </w:rPr>
            </w:pPr>
            <w:r w:rsidRPr="00680017">
              <w:rPr>
                <w:rFonts w:ascii="Garamond" w:hAnsi="Garamond" w:cs="Calibri"/>
                <w:color w:val="000000"/>
              </w:rPr>
              <w:t>Empresa</w:t>
            </w:r>
          </w:p>
        </w:tc>
        <w:tc>
          <w:tcPr>
            <w:tcW w:w="916" w:type="dxa"/>
            <w:tcBorders>
              <w:top w:val="nil"/>
              <w:left w:val="nil"/>
              <w:bottom w:val="single" w:sz="4" w:space="0" w:color="auto"/>
              <w:right w:val="single" w:sz="4" w:space="0" w:color="auto"/>
            </w:tcBorders>
            <w:shd w:val="clear" w:color="auto" w:fill="auto"/>
            <w:vAlign w:val="center"/>
            <w:hideMark/>
          </w:tcPr>
          <w:p w14:paraId="1F7B4695" w14:textId="77777777" w:rsidR="003F035B" w:rsidRPr="00680017" w:rsidRDefault="003F035B" w:rsidP="00E33E26">
            <w:pPr>
              <w:jc w:val="center"/>
              <w:rPr>
                <w:rFonts w:ascii="Garamond" w:hAnsi="Garamond" w:cs="Calibri"/>
                <w:color w:val="000000"/>
              </w:rPr>
            </w:pPr>
            <w:r w:rsidRPr="00680017">
              <w:rPr>
                <w:rFonts w:ascii="Garamond" w:hAnsi="Garamond" w:cs="Calibri"/>
                <w:color w:val="000000"/>
              </w:rPr>
              <w:t>CODIP</w:t>
            </w:r>
          </w:p>
        </w:tc>
        <w:tc>
          <w:tcPr>
            <w:tcW w:w="1210" w:type="dxa"/>
            <w:tcBorders>
              <w:top w:val="nil"/>
              <w:left w:val="nil"/>
              <w:bottom w:val="single" w:sz="4" w:space="0" w:color="auto"/>
              <w:right w:val="single" w:sz="4" w:space="0" w:color="auto"/>
            </w:tcBorders>
            <w:shd w:val="clear" w:color="auto" w:fill="auto"/>
            <w:vAlign w:val="center"/>
            <w:hideMark/>
          </w:tcPr>
          <w:p w14:paraId="574F832A" w14:textId="77777777" w:rsidR="003F035B" w:rsidRPr="00680017" w:rsidRDefault="003F035B" w:rsidP="00E33E26">
            <w:pPr>
              <w:jc w:val="center"/>
              <w:rPr>
                <w:rFonts w:ascii="Garamond" w:hAnsi="Garamond" w:cs="Calibri"/>
                <w:color w:val="000000"/>
              </w:rPr>
            </w:pPr>
            <w:r w:rsidRPr="00680017">
              <w:rPr>
                <w:rFonts w:ascii="Garamond" w:hAnsi="Garamond" w:cs="Calibri"/>
                <w:color w:val="000000"/>
              </w:rPr>
              <w:t>PERÍODO</w:t>
            </w:r>
          </w:p>
        </w:tc>
        <w:tc>
          <w:tcPr>
            <w:tcW w:w="992" w:type="dxa"/>
            <w:tcBorders>
              <w:top w:val="nil"/>
              <w:left w:val="nil"/>
              <w:bottom w:val="single" w:sz="4" w:space="0" w:color="auto"/>
              <w:right w:val="single" w:sz="4" w:space="0" w:color="auto"/>
            </w:tcBorders>
            <w:shd w:val="clear" w:color="auto" w:fill="auto"/>
            <w:vAlign w:val="center"/>
            <w:hideMark/>
          </w:tcPr>
          <w:p w14:paraId="2067D593" w14:textId="77777777" w:rsidR="003F035B" w:rsidRPr="00680017" w:rsidRDefault="003F035B" w:rsidP="00E33E26">
            <w:pPr>
              <w:jc w:val="center"/>
              <w:rPr>
                <w:rFonts w:ascii="Garamond" w:hAnsi="Garamond" w:cs="Calibri"/>
                <w:color w:val="000000"/>
              </w:rPr>
            </w:pPr>
            <w:r w:rsidRPr="00680017">
              <w:rPr>
                <w:rFonts w:ascii="Garamond" w:hAnsi="Garamond" w:cs="Calibri"/>
                <w:color w:val="000000"/>
              </w:rPr>
              <w:t>Matéria-prima 1</w:t>
            </w:r>
          </w:p>
        </w:tc>
        <w:tc>
          <w:tcPr>
            <w:tcW w:w="992" w:type="dxa"/>
            <w:tcBorders>
              <w:top w:val="nil"/>
              <w:left w:val="nil"/>
              <w:bottom w:val="single" w:sz="4" w:space="0" w:color="auto"/>
              <w:right w:val="single" w:sz="4" w:space="0" w:color="auto"/>
            </w:tcBorders>
            <w:shd w:val="clear" w:color="auto" w:fill="auto"/>
            <w:vAlign w:val="center"/>
            <w:hideMark/>
          </w:tcPr>
          <w:p w14:paraId="4A7930C8" w14:textId="77777777" w:rsidR="003F035B" w:rsidRPr="00680017" w:rsidRDefault="003F035B" w:rsidP="00E33E26">
            <w:pPr>
              <w:jc w:val="center"/>
              <w:rPr>
                <w:rFonts w:ascii="Garamond" w:hAnsi="Garamond" w:cs="Calibri"/>
                <w:color w:val="000000"/>
              </w:rPr>
            </w:pPr>
            <w:r w:rsidRPr="00680017">
              <w:rPr>
                <w:rFonts w:ascii="Garamond" w:hAnsi="Garamond" w:cs="Calibri"/>
                <w:color w:val="000000"/>
              </w:rPr>
              <w:t>Outros insumos 1</w:t>
            </w:r>
          </w:p>
        </w:tc>
        <w:tc>
          <w:tcPr>
            <w:tcW w:w="1086" w:type="dxa"/>
            <w:tcBorders>
              <w:top w:val="nil"/>
              <w:left w:val="nil"/>
              <w:bottom w:val="single" w:sz="4" w:space="0" w:color="auto"/>
              <w:right w:val="single" w:sz="4" w:space="0" w:color="auto"/>
            </w:tcBorders>
            <w:shd w:val="clear" w:color="auto" w:fill="auto"/>
            <w:vAlign w:val="center"/>
            <w:hideMark/>
          </w:tcPr>
          <w:p w14:paraId="26515455" w14:textId="77777777" w:rsidR="003F035B" w:rsidRPr="00680017" w:rsidRDefault="003F035B" w:rsidP="00E33E26">
            <w:pPr>
              <w:jc w:val="center"/>
              <w:rPr>
                <w:rFonts w:ascii="Garamond" w:hAnsi="Garamond" w:cs="Calibri"/>
                <w:color w:val="000000"/>
              </w:rPr>
            </w:pPr>
            <w:r w:rsidRPr="00680017">
              <w:rPr>
                <w:rFonts w:ascii="Garamond" w:hAnsi="Garamond" w:cs="Calibri"/>
                <w:color w:val="000000"/>
              </w:rPr>
              <w:t>Utilidades 1</w:t>
            </w:r>
          </w:p>
        </w:tc>
        <w:tc>
          <w:tcPr>
            <w:tcW w:w="1063" w:type="dxa"/>
            <w:tcBorders>
              <w:top w:val="nil"/>
              <w:left w:val="nil"/>
              <w:bottom w:val="single" w:sz="4" w:space="0" w:color="auto"/>
              <w:right w:val="single" w:sz="4" w:space="0" w:color="auto"/>
            </w:tcBorders>
            <w:shd w:val="clear" w:color="auto" w:fill="auto"/>
            <w:vAlign w:val="center"/>
            <w:hideMark/>
          </w:tcPr>
          <w:p w14:paraId="191CF508" w14:textId="77777777" w:rsidR="003F035B" w:rsidRPr="00680017" w:rsidRDefault="003F035B" w:rsidP="00E33E26">
            <w:pPr>
              <w:jc w:val="center"/>
              <w:rPr>
                <w:rFonts w:ascii="Garamond" w:hAnsi="Garamond" w:cs="Calibri"/>
                <w:color w:val="000000"/>
              </w:rPr>
            </w:pPr>
            <w:r w:rsidRPr="00680017">
              <w:rPr>
                <w:rFonts w:ascii="Garamond" w:hAnsi="Garamond" w:cs="Calibri"/>
                <w:color w:val="000000"/>
              </w:rPr>
              <w:t>Outros custos variáveis 1</w:t>
            </w:r>
          </w:p>
        </w:tc>
        <w:tc>
          <w:tcPr>
            <w:tcW w:w="1022" w:type="dxa"/>
            <w:tcBorders>
              <w:top w:val="nil"/>
              <w:left w:val="nil"/>
              <w:bottom w:val="single" w:sz="4" w:space="0" w:color="auto"/>
              <w:right w:val="single" w:sz="4" w:space="0" w:color="auto"/>
            </w:tcBorders>
            <w:shd w:val="clear" w:color="auto" w:fill="auto"/>
            <w:vAlign w:val="center"/>
            <w:hideMark/>
          </w:tcPr>
          <w:p w14:paraId="06F0F792" w14:textId="77777777" w:rsidR="003F035B" w:rsidRPr="00680017" w:rsidRDefault="003F035B" w:rsidP="00E33E26">
            <w:pPr>
              <w:jc w:val="center"/>
              <w:rPr>
                <w:rFonts w:ascii="Garamond" w:hAnsi="Garamond" w:cs="Calibri"/>
                <w:color w:val="000000"/>
              </w:rPr>
            </w:pPr>
            <w:r w:rsidRPr="00680017">
              <w:rPr>
                <w:rFonts w:ascii="Garamond" w:hAnsi="Garamond" w:cs="Calibri"/>
                <w:color w:val="000000"/>
              </w:rPr>
              <w:t>Mão de obra direta</w:t>
            </w:r>
          </w:p>
        </w:tc>
        <w:tc>
          <w:tcPr>
            <w:tcW w:w="1387" w:type="dxa"/>
            <w:tcBorders>
              <w:top w:val="nil"/>
              <w:left w:val="nil"/>
              <w:bottom w:val="single" w:sz="4" w:space="0" w:color="auto"/>
              <w:right w:val="single" w:sz="4" w:space="0" w:color="auto"/>
            </w:tcBorders>
            <w:shd w:val="clear" w:color="auto" w:fill="auto"/>
            <w:vAlign w:val="center"/>
            <w:hideMark/>
          </w:tcPr>
          <w:p w14:paraId="65565056" w14:textId="77777777" w:rsidR="003F035B" w:rsidRPr="00680017" w:rsidRDefault="003F035B" w:rsidP="00E33E26">
            <w:pPr>
              <w:jc w:val="center"/>
              <w:rPr>
                <w:rFonts w:ascii="Garamond" w:hAnsi="Garamond" w:cs="Calibri"/>
                <w:color w:val="000000"/>
              </w:rPr>
            </w:pPr>
            <w:r w:rsidRPr="00680017">
              <w:rPr>
                <w:rFonts w:ascii="Garamond" w:hAnsi="Garamond" w:cs="Calibri"/>
                <w:color w:val="000000"/>
              </w:rPr>
              <w:t>Depreciação</w:t>
            </w:r>
          </w:p>
        </w:tc>
        <w:tc>
          <w:tcPr>
            <w:tcW w:w="992" w:type="dxa"/>
            <w:tcBorders>
              <w:top w:val="nil"/>
              <w:left w:val="nil"/>
              <w:bottom w:val="single" w:sz="4" w:space="0" w:color="auto"/>
              <w:right w:val="single" w:sz="4" w:space="0" w:color="auto"/>
            </w:tcBorders>
            <w:shd w:val="clear" w:color="auto" w:fill="auto"/>
            <w:vAlign w:val="center"/>
            <w:hideMark/>
          </w:tcPr>
          <w:p w14:paraId="3B54EB34" w14:textId="77777777" w:rsidR="003F035B" w:rsidRPr="00680017" w:rsidRDefault="003F035B" w:rsidP="00E33E26">
            <w:pPr>
              <w:jc w:val="center"/>
              <w:rPr>
                <w:rFonts w:ascii="Garamond" w:hAnsi="Garamond" w:cs="Calibri"/>
                <w:color w:val="000000"/>
              </w:rPr>
            </w:pPr>
            <w:r w:rsidRPr="00680017">
              <w:rPr>
                <w:rFonts w:ascii="Garamond" w:hAnsi="Garamond" w:cs="Calibri"/>
                <w:color w:val="000000"/>
              </w:rPr>
              <w:t>Outros custos fixos 1</w:t>
            </w:r>
          </w:p>
        </w:tc>
        <w:tc>
          <w:tcPr>
            <w:tcW w:w="1276" w:type="dxa"/>
            <w:tcBorders>
              <w:top w:val="nil"/>
              <w:left w:val="nil"/>
              <w:bottom w:val="single" w:sz="4" w:space="0" w:color="auto"/>
              <w:right w:val="single" w:sz="4" w:space="0" w:color="auto"/>
            </w:tcBorders>
            <w:shd w:val="clear" w:color="auto" w:fill="auto"/>
            <w:vAlign w:val="center"/>
            <w:hideMark/>
          </w:tcPr>
          <w:p w14:paraId="43CFFC50" w14:textId="77777777" w:rsidR="003F035B" w:rsidRPr="00680017" w:rsidRDefault="003F035B" w:rsidP="00E33E26">
            <w:pPr>
              <w:jc w:val="center"/>
              <w:rPr>
                <w:rFonts w:ascii="Garamond" w:hAnsi="Garamond" w:cs="Calibri"/>
                <w:color w:val="000000"/>
              </w:rPr>
            </w:pPr>
            <w:r w:rsidRPr="00680017">
              <w:rPr>
                <w:rFonts w:ascii="Garamond" w:hAnsi="Garamond" w:cs="Calibri"/>
                <w:color w:val="000000"/>
              </w:rPr>
              <w:t>Quantidade produzida em unidades de comercialização</w:t>
            </w:r>
          </w:p>
        </w:tc>
        <w:tc>
          <w:tcPr>
            <w:tcW w:w="1396" w:type="dxa"/>
            <w:tcBorders>
              <w:top w:val="nil"/>
              <w:left w:val="nil"/>
              <w:bottom w:val="single" w:sz="4" w:space="0" w:color="auto"/>
              <w:right w:val="single" w:sz="4" w:space="0" w:color="auto"/>
            </w:tcBorders>
            <w:shd w:val="clear" w:color="auto" w:fill="auto"/>
            <w:vAlign w:val="center"/>
            <w:hideMark/>
          </w:tcPr>
          <w:p w14:paraId="1D0F5B69" w14:textId="77777777" w:rsidR="003F035B" w:rsidRPr="00680017" w:rsidRDefault="003F035B" w:rsidP="00E33E26">
            <w:pPr>
              <w:jc w:val="center"/>
              <w:rPr>
                <w:rFonts w:ascii="Garamond" w:hAnsi="Garamond" w:cs="Calibri"/>
                <w:color w:val="000000"/>
              </w:rPr>
            </w:pPr>
            <w:r w:rsidRPr="00680017">
              <w:rPr>
                <w:rFonts w:ascii="Garamond" w:hAnsi="Garamond" w:cs="Calibri"/>
                <w:color w:val="000000"/>
              </w:rPr>
              <w:t>Quantidade produzida em kg</w:t>
            </w:r>
          </w:p>
        </w:tc>
      </w:tr>
    </w:tbl>
    <w:p w14:paraId="6025DF44" w14:textId="77777777" w:rsidR="00BF6E08" w:rsidRPr="005C5CBD" w:rsidRDefault="00BF6E08">
      <w:pPr>
        <w:rPr>
          <w:rFonts w:ascii="Garamond" w:hAnsi="Garamond"/>
        </w:rPr>
      </w:pPr>
      <w:r w:rsidRPr="005C5CBD">
        <w:rPr>
          <w:rFonts w:ascii="Garamond" w:hAnsi="Garamond"/>
        </w:rPr>
        <w:br w:type="page"/>
      </w:r>
    </w:p>
    <w:tbl>
      <w:tblPr>
        <w:tblW w:w="13608" w:type="dxa"/>
        <w:jc w:val="center"/>
        <w:tblLayout w:type="fixed"/>
        <w:tblCellMar>
          <w:top w:w="57" w:type="dxa"/>
          <w:left w:w="70" w:type="dxa"/>
          <w:bottom w:w="57" w:type="dxa"/>
          <w:right w:w="70" w:type="dxa"/>
        </w:tblCellMar>
        <w:tblLook w:val="04A0" w:firstRow="1" w:lastRow="0" w:firstColumn="1" w:lastColumn="0" w:noHBand="0" w:noVBand="1"/>
      </w:tblPr>
      <w:tblGrid>
        <w:gridCol w:w="994"/>
        <w:gridCol w:w="917"/>
        <w:gridCol w:w="1345"/>
        <w:gridCol w:w="992"/>
        <w:gridCol w:w="992"/>
        <w:gridCol w:w="1276"/>
        <w:gridCol w:w="1134"/>
        <w:gridCol w:w="850"/>
        <w:gridCol w:w="1418"/>
        <w:gridCol w:w="850"/>
        <w:gridCol w:w="431"/>
        <w:gridCol w:w="987"/>
        <w:gridCol w:w="1422"/>
      </w:tblGrid>
      <w:tr w:rsidR="003F035B" w:rsidRPr="008F2082" w14:paraId="67E3A1A2" w14:textId="77777777" w:rsidTr="00680017">
        <w:trPr>
          <w:gridAfter w:val="2"/>
          <w:wAfter w:w="2409" w:type="dxa"/>
          <w:cantSplit/>
          <w:jc w:val="center"/>
        </w:trPr>
        <w:tc>
          <w:tcPr>
            <w:tcW w:w="11199" w:type="dxa"/>
            <w:gridSpan w:val="11"/>
            <w:tcBorders>
              <w:top w:val="nil"/>
              <w:left w:val="nil"/>
              <w:bottom w:val="nil"/>
              <w:right w:val="nil"/>
            </w:tcBorders>
            <w:shd w:val="clear" w:color="auto" w:fill="auto"/>
            <w:noWrap/>
            <w:vAlign w:val="center"/>
            <w:hideMark/>
          </w:tcPr>
          <w:p w14:paraId="6C3DBD42" w14:textId="50A4DFAD" w:rsidR="003F035B" w:rsidRPr="008F2082" w:rsidRDefault="003F035B" w:rsidP="00680017">
            <w:pPr>
              <w:pStyle w:val="TextosemFormatao"/>
              <w:jc w:val="center"/>
              <w:rPr>
                <w:rFonts w:ascii="Garamond" w:hAnsi="Garamond" w:cs="Calibri"/>
                <w:b/>
                <w:color w:val="000000"/>
                <w:sz w:val="24"/>
                <w:szCs w:val="24"/>
              </w:rPr>
            </w:pPr>
            <w:r w:rsidRPr="008F2082">
              <w:rPr>
                <w:rFonts w:ascii="Garamond" w:hAnsi="Garamond" w:cs="Calibri"/>
                <w:b/>
                <w:color w:val="000000"/>
                <w:sz w:val="24"/>
                <w:szCs w:val="24"/>
              </w:rPr>
              <w:t>APÊNDICE XIX</w:t>
            </w:r>
          </w:p>
          <w:p w14:paraId="3AFEA1B3" w14:textId="77777777" w:rsidR="003F035B" w:rsidRDefault="003F035B" w:rsidP="00680017">
            <w:pPr>
              <w:pStyle w:val="TextosemFormatao"/>
              <w:jc w:val="center"/>
              <w:rPr>
                <w:rFonts w:ascii="Garamond" w:hAnsi="Garamond" w:cs="Calibri"/>
                <w:b/>
                <w:color w:val="000000"/>
                <w:sz w:val="24"/>
                <w:szCs w:val="24"/>
              </w:rPr>
            </w:pPr>
            <w:r w:rsidRPr="008F2082">
              <w:rPr>
                <w:rFonts w:ascii="Garamond" w:hAnsi="Garamond" w:cs="Calibri"/>
                <w:b/>
                <w:color w:val="000000"/>
                <w:sz w:val="24"/>
                <w:szCs w:val="24"/>
              </w:rPr>
              <w:t>CUSTO DE PRODUÇÃO MENSAL (P5)</w:t>
            </w:r>
          </w:p>
          <w:p w14:paraId="1792701C" w14:textId="01DDF4A2" w:rsidR="00680017" w:rsidRPr="008F2082" w:rsidRDefault="00680017" w:rsidP="00680017">
            <w:pPr>
              <w:pStyle w:val="TextosemFormatao"/>
              <w:jc w:val="center"/>
              <w:rPr>
                <w:rFonts w:ascii="Garamond" w:hAnsi="Garamond" w:cs="Calibri"/>
                <w:b/>
                <w:color w:val="000000"/>
                <w:sz w:val="24"/>
                <w:szCs w:val="24"/>
              </w:rPr>
            </w:pPr>
          </w:p>
        </w:tc>
      </w:tr>
      <w:tr w:rsidR="00102D95" w:rsidRPr="00102D95" w14:paraId="393D41B7" w14:textId="77777777" w:rsidTr="00680017">
        <w:tblPrEx>
          <w:tblCellMar>
            <w:left w:w="57" w:type="dxa"/>
            <w:right w:w="57" w:type="dxa"/>
          </w:tblCellMar>
        </w:tblPrEx>
        <w:trPr>
          <w:cantSplit/>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38F1B" w14:textId="77777777" w:rsidR="00102D95" w:rsidRPr="00680017" w:rsidRDefault="00102D95" w:rsidP="00102D95">
            <w:pPr>
              <w:pStyle w:val="TableParagraph"/>
              <w:jc w:val="center"/>
              <w:rPr>
                <w:rFonts w:ascii="Garamond" w:hAnsi="Garamond" w:cs="Calibri"/>
                <w:b/>
                <w:color w:val="000000"/>
                <w:sz w:val="24"/>
                <w:szCs w:val="24"/>
              </w:rPr>
            </w:pPr>
            <w:r w:rsidRPr="00680017">
              <w:rPr>
                <w:rFonts w:ascii="Garamond" w:hAnsi="Garamond" w:cs="Calibri"/>
                <w:b/>
                <w:color w:val="000000"/>
                <w:sz w:val="24"/>
                <w:szCs w:val="24"/>
              </w:rPr>
              <w:t>1</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2075E35D" w14:textId="77777777" w:rsidR="00102D95" w:rsidRPr="00680017" w:rsidRDefault="00102D95" w:rsidP="00102D95">
            <w:pPr>
              <w:pStyle w:val="TableParagraph"/>
              <w:jc w:val="center"/>
              <w:rPr>
                <w:rFonts w:ascii="Garamond" w:hAnsi="Garamond" w:cs="Calibri"/>
                <w:b/>
                <w:color w:val="000000"/>
                <w:sz w:val="24"/>
                <w:szCs w:val="24"/>
              </w:rPr>
            </w:pPr>
            <w:r w:rsidRPr="00680017">
              <w:rPr>
                <w:rFonts w:ascii="Garamond" w:hAnsi="Garamond" w:cs="Calibri"/>
                <w:b/>
                <w:color w:val="000000"/>
                <w:sz w:val="24"/>
                <w:szCs w:val="24"/>
              </w:rPr>
              <w:t>2</w:t>
            </w: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65A0377B" w14:textId="77777777" w:rsidR="00102D95" w:rsidRPr="00680017" w:rsidRDefault="00102D95" w:rsidP="00102D95">
            <w:pPr>
              <w:pStyle w:val="TableParagraph"/>
              <w:jc w:val="center"/>
              <w:rPr>
                <w:rFonts w:ascii="Garamond" w:hAnsi="Garamond" w:cs="Calibri"/>
                <w:b/>
                <w:color w:val="000000"/>
                <w:sz w:val="24"/>
                <w:szCs w:val="24"/>
              </w:rPr>
            </w:pPr>
            <w:r w:rsidRPr="00680017">
              <w:rPr>
                <w:rFonts w:ascii="Garamond" w:hAnsi="Garamond" w:cs="Calibri"/>
                <w:b/>
                <w:color w:val="000000"/>
                <w:sz w:val="24"/>
                <w:szCs w:val="24"/>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E7D5B93" w14:textId="77777777" w:rsidR="00102D95" w:rsidRPr="00680017" w:rsidRDefault="00102D95" w:rsidP="00102D95">
            <w:pPr>
              <w:pStyle w:val="TableParagraph"/>
              <w:jc w:val="center"/>
              <w:rPr>
                <w:rFonts w:ascii="Garamond" w:hAnsi="Garamond" w:cs="Calibri"/>
                <w:b/>
                <w:color w:val="000000"/>
                <w:sz w:val="24"/>
                <w:szCs w:val="24"/>
              </w:rPr>
            </w:pPr>
            <w:r w:rsidRPr="00680017">
              <w:rPr>
                <w:rFonts w:ascii="Garamond" w:hAnsi="Garamond" w:cs="Calibri"/>
                <w:b/>
                <w:color w:val="000000"/>
                <w:sz w:val="24"/>
                <w:szCs w:val="24"/>
              </w:rPr>
              <w:t>4.0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A2EF3D7" w14:textId="77777777" w:rsidR="00102D95" w:rsidRPr="00680017" w:rsidRDefault="00102D95" w:rsidP="00102D95">
            <w:pPr>
              <w:pStyle w:val="TableParagraph"/>
              <w:jc w:val="center"/>
              <w:rPr>
                <w:rFonts w:ascii="Garamond" w:hAnsi="Garamond" w:cs="Calibri"/>
                <w:b/>
                <w:color w:val="000000"/>
                <w:sz w:val="24"/>
                <w:szCs w:val="24"/>
              </w:rPr>
            </w:pPr>
            <w:r w:rsidRPr="00680017">
              <w:rPr>
                <w:rFonts w:ascii="Garamond" w:hAnsi="Garamond" w:cs="Calibri"/>
                <w:b/>
                <w:color w:val="000000"/>
                <w:sz w:val="24"/>
                <w:szCs w:val="24"/>
              </w:rPr>
              <w:t>5.0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64D45FD" w14:textId="77777777" w:rsidR="00102D95" w:rsidRPr="00680017" w:rsidRDefault="00102D95" w:rsidP="00102D95">
            <w:pPr>
              <w:pStyle w:val="TableParagraph"/>
              <w:jc w:val="center"/>
              <w:rPr>
                <w:rFonts w:ascii="Garamond" w:hAnsi="Garamond" w:cs="Calibri"/>
                <w:b/>
                <w:color w:val="000000"/>
                <w:sz w:val="24"/>
                <w:szCs w:val="24"/>
              </w:rPr>
            </w:pPr>
            <w:r w:rsidRPr="00680017">
              <w:rPr>
                <w:rFonts w:ascii="Garamond" w:hAnsi="Garamond" w:cs="Calibri"/>
                <w:b/>
                <w:color w:val="000000"/>
                <w:sz w:val="24"/>
                <w:szCs w:val="24"/>
              </w:rPr>
              <w:t>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D82CE4E" w14:textId="77777777" w:rsidR="00102D95" w:rsidRPr="00680017" w:rsidRDefault="00102D95" w:rsidP="00102D95">
            <w:pPr>
              <w:pStyle w:val="TableParagraph"/>
              <w:jc w:val="center"/>
              <w:rPr>
                <w:rFonts w:ascii="Garamond" w:hAnsi="Garamond" w:cs="Calibri"/>
                <w:b/>
                <w:color w:val="000000"/>
                <w:sz w:val="24"/>
                <w:szCs w:val="24"/>
              </w:rPr>
            </w:pPr>
            <w:r w:rsidRPr="00680017">
              <w:rPr>
                <w:rFonts w:ascii="Garamond" w:hAnsi="Garamond" w:cs="Calibri"/>
                <w:b/>
                <w:color w:val="000000"/>
                <w:sz w:val="24"/>
                <w:szCs w:val="24"/>
              </w:rPr>
              <w:t>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E31668C" w14:textId="77777777" w:rsidR="00102D95" w:rsidRPr="00680017" w:rsidRDefault="00102D95" w:rsidP="00102D95">
            <w:pPr>
              <w:pStyle w:val="TableParagraph"/>
              <w:jc w:val="center"/>
              <w:rPr>
                <w:rFonts w:ascii="Garamond" w:hAnsi="Garamond" w:cs="Calibri"/>
                <w:b/>
                <w:color w:val="000000"/>
                <w:sz w:val="24"/>
                <w:szCs w:val="24"/>
              </w:rPr>
            </w:pPr>
            <w:r w:rsidRPr="00680017">
              <w:rPr>
                <w:rFonts w:ascii="Garamond" w:hAnsi="Garamond" w:cs="Calibri"/>
                <w:b/>
                <w:color w:val="000000"/>
                <w:sz w:val="24"/>
                <w:szCs w:val="24"/>
              </w:rPr>
              <w:t>8.0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837C507" w14:textId="77777777" w:rsidR="00102D95" w:rsidRPr="00680017" w:rsidRDefault="00102D95" w:rsidP="00102D95">
            <w:pPr>
              <w:pStyle w:val="TableParagraph"/>
              <w:jc w:val="center"/>
              <w:rPr>
                <w:rFonts w:ascii="Garamond" w:hAnsi="Garamond" w:cs="Calibri"/>
                <w:b/>
                <w:color w:val="000000"/>
                <w:sz w:val="24"/>
                <w:szCs w:val="24"/>
              </w:rPr>
            </w:pPr>
            <w:r w:rsidRPr="00680017">
              <w:rPr>
                <w:rFonts w:ascii="Garamond" w:hAnsi="Garamond" w:cs="Calibri"/>
                <w:b/>
                <w:color w:val="000000"/>
                <w:sz w:val="24"/>
                <w:szCs w:val="24"/>
              </w:rPr>
              <w:t>9.0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E8E71E9" w14:textId="77777777" w:rsidR="00102D95" w:rsidRPr="00680017" w:rsidRDefault="00102D95" w:rsidP="00102D95">
            <w:pPr>
              <w:pStyle w:val="TableParagraph"/>
              <w:jc w:val="center"/>
              <w:rPr>
                <w:rFonts w:ascii="Garamond" w:hAnsi="Garamond" w:cs="Calibri"/>
                <w:b/>
                <w:color w:val="000000"/>
                <w:sz w:val="24"/>
                <w:szCs w:val="24"/>
              </w:rPr>
            </w:pPr>
            <w:r w:rsidRPr="00680017">
              <w:rPr>
                <w:rFonts w:ascii="Garamond" w:hAnsi="Garamond" w:cs="Calibri"/>
                <w:b/>
                <w:color w:val="000000"/>
                <w:sz w:val="24"/>
                <w:szCs w:val="24"/>
              </w:rPr>
              <w:t>10.0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B4E5B7" w14:textId="77777777" w:rsidR="00102D95" w:rsidRPr="00680017" w:rsidRDefault="00102D95" w:rsidP="00102D95">
            <w:pPr>
              <w:pStyle w:val="TableParagraph"/>
              <w:jc w:val="center"/>
              <w:rPr>
                <w:rFonts w:ascii="Garamond" w:hAnsi="Garamond" w:cs="Calibri"/>
                <w:b/>
                <w:color w:val="000000"/>
                <w:sz w:val="24"/>
                <w:szCs w:val="24"/>
              </w:rPr>
            </w:pPr>
            <w:r w:rsidRPr="00680017">
              <w:rPr>
                <w:rFonts w:ascii="Garamond" w:hAnsi="Garamond" w:cs="Calibri"/>
                <w:b/>
                <w:color w:val="000000"/>
                <w:sz w:val="24"/>
                <w:szCs w:val="24"/>
              </w:rPr>
              <w:t>11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BDD70CD" w14:textId="77777777" w:rsidR="00102D95" w:rsidRPr="00680017" w:rsidRDefault="00102D95" w:rsidP="00102D95">
            <w:pPr>
              <w:pStyle w:val="TableParagraph"/>
              <w:jc w:val="center"/>
              <w:rPr>
                <w:rFonts w:ascii="Garamond" w:hAnsi="Garamond" w:cs="Calibri"/>
                <w:b/>
                <w:color w:val="000000"/>
                <w:sz w:val="24"/>
                <w:szCs w:val="24"/>
              </w:rPr>
            </w:pPr>
            <w:r w:rsidRPr="00680017">
              <w:rPr>
                <w:rFonts w:ascii="Garamond" w:hAnsi="Garamond" w:cs="Calibri"/>
                <w:b/>
                <w:color w:val="000000"/>
                <w:sz w:val="24"/>
                <w:szCs w:val="24"/>
              </w:rPr>
              <w:t>12</w:t>
            </w:r>
          </w:p>
        </w:tc>
      </w:tr>
      <w:tr w:rsidR="00102D95" w:rsidRPr="00102D95" w14:paraId="3F72A0A4" w14:textId="77777777" w:rsidTr="00680017">
        <w:tblPrEx>
          <w:tblCellMar>
            <w:left w:w="57" w:type="dxa"/>
            <w:right w:w="57" w:type="dxa"/>
          </w:tblCellMar>
        </w:tblPrEx>
        <w:trPr>
          <w:cantSplit/>
          <w:jc w:val="center"/>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7E0EC9C4" w14:textId="77777777" w:rsidR="00102D95" w:rsidRPr="00680017" w:rsidRDefault="00102D95" w:rsidP="00102D95">
            <w:pPr>
              <w:pStyle w:val="TableParagraph"/>
              <w:jc w:val="center"/>
              <w:rPr>
                <w:rFonts w:ascii="Garamond" w:hAnsi="Garamond" w:cs="Calibri"/>
                <w:color w:val="000000"/>
              </w:rPr>
            </w:pPr>
            <w:r w:rsidRPr="00680017">
              <w:rPr>
                <w:rFonts w:ascii="Garamond" w:hAnsi="Garamond" w:cs="Calibri"/>
                <w:color w:val="000000"/>
              </w:rPr>
              <w:t>Empresa</w:t>
            </w:r>
          </w:p>
        </w:tc>
        <w:tc>
          <w:tcPr>
            <w:tcW w:w="917" w:type="dxa"/>
            <w:tcBorders>
              <w:top w:val="nil"/>
              <w:left w:val="nil"/>
              <w:bottom w:val="single" w:sz="4" w:space="0" w:color="auto"/>
              <w:right w:val="single" w:sz="4" w:space="0" w:color="auto"/>
            </w:tcBorders>
            <w:shd w:val="clear" w:color="auto" w:fill="auto"/>
            <w:vAlign w:val="center"/>
            <w:hideMark/>
          </w:tcPr>
          <w:p w14:paraId="185F5E90" w14:textId="77777777" w:rsidR="00102D95" w:rsidRPr="00680017" w:rsidRDefault="00102D95" w:rsidP="00102D95">
            <w:pPr>
              <w:pStyle w:val="TableParagraph"/>
              <w:jc w:val="center"/>
              <w:rPr>
                <w:rFonts w:ascii="Garamond" w:hAnsi="Garamond" w:cs="Calibri"/>
                <w:color w:val="000000"/>
              </w:rPr>
            </w:pPr>
            <w:r w:rsidRPr="00680017">
              <w:rPr>
                <w:rFonts w:ascii="Garamond" w:hAnsi="Garamond" w:cs="Calibri"/>
                <w:color w:val="000000"/>
              </w:rPr>
              <w:t>CODIP</w:t>
            </w:r>
          </w:p>
        </w:tc>
        <w:tc>
          <w:tcPr>
            <w:tcW w:w="1345" w:type="dxa"/>
            <w:tcBorders>
              <w:top w:val="nil"/>
              <w:left w:val="nil"/>
              <w:bottom w:val="single" w:sz="4" w:space="0" w:color="auto"/>
              <w:right w:val="single" w:sz="4" w:space="0" w:color="auto"/>
            </w:tcBorders>
            <w:shd w:val="clear" w:color="auto" w:fill="auto"/>
            <w:vAlign w:val="center"/>
            <w:hideMark/>
          </w:tcPr>
          <w:p w14:paraId="1DBB859E" w14:textId="77777777" w:rsidR="00102D95" w:rsidRPr="00680017" w:rsidRDefault="00102D95" w:rsidP="00102D95">
            <w:pPr>
              <w:pStyle w:val="TableParagraph"/>
              <w:jc w:val="center"/>
              <w:rPr>
                <w:rFonts w:ascii="Garamond" w:hAnsi="Garamond" w:cs="Calibri"/>
                <w:color w:val="000000"/>
              </w:rPr>
            </w:pPr>
            <w:r w:rsidRPr="00680017">
              <w:rPr>
                <w:rFonts w:ascii="Garamond" w:hAnsi="Garamond" w:cs="Calibri"/>
                <w:color w:val="000000"/>
              </w:rPr>
              <w:t>PERÍODO</w:t>
            </w:r>
          </w:p>
        </w:tc>
        <w:tc>
          <w:tcPr>
            <w:tcW w:w="992" w:type="dxa"/>
            <w:tcBorders>
              <w:top w:val="nil"/>
              <w:left w:val="nil"/>
              <w:bottom w:val="single" w:sz="4" w:space="0" w:color="auto"/>
              <w:right w:val="single" w:sz="4" w:space="0" w:color="auto"/>
            </w:tcBorders>
            <w:shd w:val="clear" w:color="auto" w:fill="auto"/>
            <w:vAlign w:val="center"/>
            <w:hideMark/>
          </w:tcPr>
          <w:p w14:paraId="3E01C6EE" w14:textId="77777777" w:rsidR="00102D95" w:rsidRPr="00680017" w:rsidRDefault="00102D95" w:rsidP="00102D95">
            <w:pPr>
              <w:pStyle w:val="TableParagraph"/>
              <w:jc w:val="center"/>
              <w:rPr>
                <w:rFonts w:ascii="Garamond" w:hAnsi="Garamond" w:cs="Calibri"/>
                <w:color w:val="000000"/>
              </w:rPr>
            </w:pPr>
            <w:r w:rsidRPr="00680017">
              <w:rPr>
                <w:rFonts w:ascii="Garamond" w:hAnsi="Garamond" w:cs="Calibri"/>
                <w:color w:val="000000"/>
              </w:rPr>
              <w:t>Matéria-prima 1</w:t>
            </w:r>
          </w:p>
        </w:tc>
        <w:tc>
          <w:tcPr>
            <w:tcW w:w="992" w:type="dxa"/>
            <w:tcBorders>
              <w:top w:val="nil"/>
              <w:left w:val="nil"/>
              <w:bottom w:val="single" w:sz="4" w:space="0" w:color="auto"/>
              <w:right w:val="single" w:sz="4" w:space="0" w:color="auto"/>
            </w:tcBorders>
            <w:shd w:val="clear" w:color="auto" w:fill="auto"/>
            <w:vAlign w:val="center"/>
            <w:hideMark/>
          </w:tcPr>
          <w:p w14:paraId="65396BB4" w14:textId="77777777" w:rsidR="00102D95" w:rsidRPr="00680017" w:rsidRDefault="00102D95" w:rsidP="00102D95">
            <w:pPr>
              <w:pStyle w:val="TableParagraph"/>
              <w:jc w:val="center"/>
              <w:rPr>
                <w:rFonts w:ascii="Garamond" w:hAnsi="Garamond" w:cs="Calibri"/>
                <w:color w:val="000000"/>
              </w:rPr>
            </w:pPr>
            <w:r w:rsidRPr="00680017">
              <w:rPr>
                <w:rFonts w:ascii="Garamond" w:hAnsi="Garamond" w:cs="Calibri"/>
                <w:color w:val="000000"/>
              </w:rPr>
              <w:t>Outros insumos 1</w:t>
            </w:r>
          </w:p>
        </w:tc>
        <w:tc>
          <w:tcPr>
            <w:tcW w:w="1276" w:type="dxa"/>
            <w:tcBorders>
              <w:top w:val="nil"/>
              <w:left w:val="nil"/>
              <w:bottom w:val="single" w:sz="4" w:space="0" w:color="auto"/>
              <w:right w:val="single" w:sz="4" w:space="0" w:color="auto"/>
            </w:tcBorders>
            <w:shd w:val="clear" w:color="auto" w:fill="auto"/>
            <w:vAlign w:val="center"/>
            <w:hideMark/>
          </w:tcPr>
          <w:p w14:paraId="66E5D106" w14:textId="77777777" w:rsidR="00102D95" w:rsidRPr="00680017" w:rsidRDefault="00102D95" w:rsidP="00102D95">
            <w:pPr>
              <w:pStyle w:val="TableParagraph"/>
              <w:jc w:val="center"/>
              <w:rPr>
                <w:rFonts w:ascii="Garamond" w:hAnsi="Garamond" w:cs="Calibri"/>
                <w:color w:val="000000"/>
              </w:rPr>
            </w:pPr>
            <w:r w:rsidRPr="00680017">
              <w:rPr>
                <w:rFonts w:ascii="Garamond" w:hAnsi="Garamond" w:cs="Calibri"/>
                <w:color w:val="000000"/>
              </w:rPr>
              <w:t>Utilidades 1</w:t>
            </w:r>
          </w:p>
        </w:tc>
        <w:tc>
          <w:tcPr>
            <w:tcW w:w="1134" w:type="dxa"/>
            <w:tcBorders>
              <w:top w:val="nil"/>
              <w:left w:val="nil"/>
              <w:bottom w:val="single" w:sz="4" w:space="0" w:color="auto"/>
              <w:right w:val="single" w:sz="4" w:space="0" w:color="auto"/>
            </w:tcBorders>
            <w:shd w:val="clear" w:color="auto" w:fill="auto"/>
            <w:vAlign w:val="center"/>
            <w:hideMark/>
          </w:tcPr>
          <w:p w14:paraId="1990BDF5" w14:textId="77777777" w:rsidR="00102D95" w:rsidRPr="00680017" w:rsidRDefault="00102D95" w:rsidP="00102D95">
            <w:pPr>
              <w:pStyle w:val="TableParagraph"/>
              <w:jc w:val="center"/>
              <w:rPr>
                <w:rFonts w:ascii="Garamond" w:hAnsi="Garamond" w:cs="Calibri"/>
                <w:color w:val="000000"/>
              </w:rPr>
            </w:pPr>
            <w:r w:rsidRPr="00680017">
              <w:rPr>
                <w:rFonts w:ascii="Garamond" w:hAnsi="Garamond" w:cs="Calibri"/>
                <w:color w:val="000000"/>
              </w:rPr>
              <w:t>Outros custos variáveis 1</w:t>
            </w:r>
          </w:p>
        </w:tc>
        <w:tc>
          <w:tcPr>
            <w:tcW w:w="850" w:type="dxa"/>
            <w:tcBorders>
              <w:top w:val="nil"/>
              <w:left w:val="nil"/>
              <w:bottom w:val="single" w:sz="4" w:space="0" w:color="auto"/>
              <w:right w:val="single" w:sz="4" w:space="0" w:color="auto"/>
            </w:tcBorders>
            <w:shd w:val="clear" w:color="auto" w:fill="auto"/>
            <w:vAlign w:val="center"/>
            <w:hideMark/>
          </w:tcPr>
          <w:p w14:paraId="60D40D42" w14:textId="77777777" w:rsidR="00102D95" w:rsidRPr="00680017" w:rsidRDefault="00102D95" w:rsidP="00102D95">
            <w:pPr>
              <w:pStyle w:val="TableParagraph"/>
              <w:jc w:val="center"/>
              <w:rPr>
                <w:rFonts w:ascii="Garamond" w:hAnsi="Garamond" w:cs="Calibri"/>
                <w:color w:val="000000"/>
              </w:rPr>
            </w:pPr>
            <w:r w:rsidRPr="00680017">
              <w:rPr>
                <w:rFonts w:ascii="Garamond" w:hAnsi="Garamond" w:cs="Calibri"/>
                <w:color w:val="000000"/>
              </w:rPr>
              <w:t>Mão de obra direta</w:t>
            </w:r>
          </w:p>
        </w:tc>
        <w:tc>
          <w:tcPr>
            <w:tcW w:w="1418" w:type="dxa"/>
            <w:tcBorders>
              <w:top w:val="nil"/>
              <w:left w:val="nil"/>
              <w:bottom w:val="single" w:sz="4" w:space="0" w:color="auto"/>
              <w:right w:val="single" w:sz="4" w:space="0" w:color="auto"/>
            </w:tcBorders>
            <w:shd w:val="clear" w:color="auto" w:fill="auto"/>
            <w:vAlign w:val="center"/>
            <w:hideMark/>
          </w:tcPr>
          <w:p w14:paraId="420D9217" w14:textId="77777777" w:rsidR="00102D95" w:rsidRPr="00680017" w:rsidRDefault="00102D95" w:rsidP="00102D95">
            <w:pPr>
              <w:pStyle w:val="TableParagraph"/>
              <w:jc w:val="center"/>
              <w:rPr>
                <w:rFonts w:ascii="Garamond" w:hAnsi="Garamond" w:cs="Calibri"/>
                <w:color w:val="000000"/>
              </w:rPr>
            </w:pPr>
            <w:r w:rsidRPr="00680017">
              <w:rPr>
                <w:rFonts w:ascii="Garamond" w:hAnsi="Garamond" w:cs="Calibri"/>
                <w:color w:val="000000"/>
              </w:rPr>
              <w:t>Depreciação</w:t>
            </w:r>
          </w:p>
        </w:tc>
        <w:tc>
          <w:tcPr>
            <w:tcW w:w="850" w:type="dxa"/>
            <w:tcBorders>
              <w:top w:val="nil"/>
              <w:left w:val="nil"/>
              <w:bottom w:val="single" w:sz="4" w:space="0" w:color="auto"/>
              <w:right w:val="single" w:sz="4" w:space="0" w:color="auto"/>
            </w:tcBorders>
            <w:shd w:val="clear" w:color="auto" w:fill="auto"/>
            <w:vAlign w:val="center"/>
            <w:hideMark/>
          </w:tcPr>
          <w:p w14:paraId="1DAA5287" w14:textId="77777777" w:rsidR="00102D95" w:rsidRPr="00680017" w:rsidRDefault="00102D95" w:rsidP="00102D95">
            <w:pPr>
              <w:pStyle w:val="TableParagraph"/>
              <w:jc w:val="center"/>
              <w:rPr>
                <w:rFonts w:ascii="Garamond" w:hAnsi="Garamond" w:cs="Calibri"/>
                <w:color w:val="000000"/>
              </w:rPr>
            </w:pPr>
            <w:r w:rsidRPr="00680017">
              <w:rPr>
                <w:rFonts w:ascii="Garamond" w:hAnsi="Garamond" w:cs="Calibri"/>
                <w:color w:val="000000"/>
              </w:rPr>
              <w:t>Outros custos fixos 1</w:t>
            </w:r>
          </w:p>
        </w:tc>
        <w:tc>
          <w:tcPr>
            <w:tcW w:w="1418" w:type="dxa"/>
            <w:gridSpan w:val="2"/>
            <w:tcBorders>
              <w:top w:val="nil"/>
              <w:left w:val="nil"/>
              <w:bottom w:val="single" w:sz="4" w:space="0" w:color="auto"/>
              <w:right w:val="single" w:sz="4" w:space="0" w:color="auto"/>
            </w:tcBorders>
            <w:shd w:val="clear" w:color="auto" w:fill="auto"/>
            <w:vAlign w:val="center"/>
            <w:hideMark/>
          </w:tcPr>
          <w:p w14:paraId="2A2CB42D" w14:textId="77777777" w:rsidR="00102D95" w:rsidRPr="00680017" w:rsidRDefault="00102D95" w:rsidP="00102D95">
            <w:pPr>
              <w:pStyle w:val="TableParagraph"/>
              <w:jc w:val="center"/>
              <w:rPr>
                <w:rFonts w:ascii="Garamond" w:hAnsi="Garamond" w:cs="Calibri"/>
                <w:color w:val="000000"/>
              </w:rPr>
            </w:pPr>
            <w:r w:rsidRPr="00680017">
              <w:rPr>
                <w:rFonts w:ascii="Garamond" w:hAnsi="Garamond" w:cs="Calibri"/>
                <w:color w:val="000000"/>
              </w:rPr>
              <w:t>Quantidade produzida em unidades de comercialização</w:t>
            </w:r>
          </w:p>
        </w:tc>
        <w:tc>
          <w:tcPr>
            <w:tcW w:w="1417" w:type="dxa"/>
            <w:tcBorders>
              <w:top w:val="nil"/>
              <w:left w:val="nil"/>
              <w:bottom w:val="single" w:sz="4" w:space="0" w:color="auto"/>
              <w:right w:val="single" w:sz="4" w:space="0" w:color="auto"/>
            </w:tcBorders>
            <w:shd w:val="clear" w:color="auto" w:fill="auto"/>
            <w:vAlign w:val="center"/>
            <w:hideMark/>
          </w:tcPr>
          <w:p w14:paraId="1008DF7E" w14:textId="3216A9D0" w:rsidR="00102D95" w:rsidRPr="00680017" w:rsidRDefault="00102D95" w:rsidP="00102D95">
            <w:pPr>
              <w:pStyle w:val="TableParagraph"/>
              <w:jc w:val="center"/>
              <w:rPr>
                <w:rFonts w:ascii="Garamond" w:hAnsi="Garamond" w:cs="Calibri"/>
                <w:color w:val="000000"/>
              </w:rPr>
            </w:pPr>
            <w:r w:rsidRPr="00680017">
              <w:rPr>
                <w:rFonts w:ascii="Garamond" w:hAnsi="Garamond" w:cs="Calibri"/>
                <w:color w:val="000000"/>
              </w:rPr>
              <w:t>Quantidade produzida em kg</w:t>
            </w:r>
          </w:p>
        </w:tc>
      </w:tr>
    </w:tbl>
    <w:p w14:paraId="41E558B6" w14:textId="77777777" w:rsidR="00BF6E08" w:rsidRPr="005C5CBD" w:rsidRDefault="00BF6E08" w:rsidP="00E33E26">
      <w:pPr>
        <w:pStyle w:val="TableParagraph"/>
        <w:widowControl/>
        <w:jc w:val="center"/>
        <w:rPr>
          <w:rFonts w:ascii="Garamond" w:hAnsi="Garamond" w:cs="Calibri"/>
          <w:b/>
          <w:color w:val="000000"/>
          <w:sz w:val="18"/>
          <w:szCs w:val="18"/>
        </w:rPr>
        <w:sectPr w:rsidR="00BF6E08" w:rsidRPr="005C5CBD" w:rsidSect="00E15FBB">
          <w:pgSz w:w="15840" w:h="12240" w:orient="landscape"/>
          <w:pgMar w:top="1418" w:right="1500" w:bottom="1580" w:left="1418" w:header="720" w:footer="968" w:gutter="0"/>
          <w:cols w:space="720"/>
          <w:docGrid w:linePitch="299"/>
        </w:sectPr>
      </w:pPr>
    </w:p>
    <w:tbl>
      <w:tblPr>
        <w:tblW w:w="7148"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top w:w="57" w:type="dxa"/>
          <w:left w:w="57" w:type="dxa"/>
          <w:bottom w:w="57" w:type="dxa"/>
          <w:right w:w="57" w:type="dxa"/>
        </w:tblCellMar>
        <w:tblLook w:val="01E0" w:firstRow="1" w:lastRow="1" w:firstColumn="1" w:lastColumn="1" w:noHBand="0" w:noVBand="0"/>
      </w:tblPr>
      <w:tblGrid>
        <w:gridCol w:w="1340"/>
        <w:gridCol w:w="1042"/>
        <w:gridCol w:w="1639"/>
        <w:gridCol w:w="1508"/>
        <w:gridCol w:w="1619"/>
      </w:tblGrid>
      <w:tr w:rsidR="003F035B" w:rsidRPr="008F2082" w14:paraId="4D893A89" w14:textId="77777777" w:rsidTr="00680017">
        <w:trPr>
          <w:cantSplit/>
          <w:trHeight w:val="876"/>
          <w:jc w:val="center"/>
        </w:trPr>
        <w:tc>
          <w:tcPr>
            <w:tcW w:w="7148" w:type="dxa"/>
            <w:gridSpan w:val="5"/>
            <w:tcBorders>
              <w:top w:val="nil"/>
              <w:left w:val="nil"/>
              <w:bottom w:val="nil"/>
              <w:right w:val="nil"/>
            </w:tcBorders>
            <w:shd w:val="clear" w:color="auto" w:fill="auto"/>
            <w:vAlign w:val="center"/>
          </w:tcPr>
          <w:p w14:paraId="1D5FAD62" w14:textId="6D03B28A"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APÊNDICE XX</w:t>
            </w:r>
          </w:p>
          <w:p w14:paraId="1980F007" w14:textId="77777777" w:rsidR="003F035B"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REPRESENTATIVIDADE</w:t>
            </w:r>
          </w:p>
          <w:p w14:paraId="7A8B5001" w14:textId="170442BC" w:rsidR="00102D95" w:rsidRPr="008F2082" w:rsidRDefault="00102D95" w:rsidP="00E33E26">
            <w:pPr>
              <w:pStyle w:val="TableParagraph"/>
              <w:widowControl/>
              <w:jc w:val="center"/>
              <w:rPr>
                <w:rFonts w:ascii="Garamond" w:hAnsi="Garamond" w:cs="Calibri"/>
                <w:b/>
                <w:color w:val="000000"/>
                <w:sz w:val="24"/>
                <w:szCs w:val="24"/>
              </w:rPr>
            </w:pPr>
          </w:p>
        </w:tc>
      </w:tr>
      <w:tr w:rsidR="003F035B" w:rsidRPr="008F2082" w14:paraId="26A53195" w14:textId="77777777" w:rsidTr="00680017">
        <w:trPr>
          <w:cantSplit/>
          <w:trHeight w:val="1753"/>
          <w:jc w:val="center"/>
        </w:trPr>
        <w:tc>
          <w:tcPr>
            <w:tcW w:w="1340" w:type="dxa"/>
            <w:tcBorders>
              <w:top w:val="nil"/>
              <w:left w:val="nil"/>
              <w:bottom w:val="single" w:sz="4" w:space="0" w:color="auto"/>
              <w:right w:val="single" w:sz="4" w:space="0" w:color="auto"/>
            </w:tcBorders>
            <w:shd w:val="clear" w:color="auto" w:fill="auto"/>
            <w:vAlign w:val="center"/>
          </w:tcPr>
          <w:p w14:paraId="00CC2F2F"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43AC8A2"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Período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4E2FCF49"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das empresas que manifestaram apoio à petição</w:t>
            </w:r>
          </w:p>
          <w:p w14:paraId="1B300019"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(A)</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1B806F57"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das demais empresas produtoras no Brasil</w:t>
            </w:r>
          </w:p>
          <w:p w14:paraId="293C0F2F"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(B)</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01F48DB"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Produção Nacional</w:t>
            </w:r>
          </w:p>
          <w:p w14:paraId="4B3AB7AC"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(A+B)</w:t>
            </w:r>
          </w:p>
        </w:tc>
      </w:tr>
      <w:tr w:rsidR="003F035B" w:rsidRPr="008F2082" w14:paraId="060A3F44" w14:textId="77777777" w:rsidTr="00680017">
        <w:trPr>
          <w:cantSplit/>
          <w:trHeight w:val="876"/>
          <w:jc w:val="center"/>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14:paraId="2A6BD8CD" w14:textId="77777777" w:rsidR="003F035B" w:rsidRPr="008F2082" w:rsidRDefault="003F035B" w:rsidP="00E33E26">
            <w:pPr>
              <w:pStyle w:val="TableParagraph"/>
              <w:widowControl/>
              <w:rPr>
                <w:rFonts w:ascii="Garamond" w:hAnsi="Garamond" w:cs="Calibri"/>
                <w:b/>
                <w:color w:val="000000"/>
                <w:sz w:val="24"/>
                <w:szCs w:val="24"/>
              </w:rPr>
            </w:pPr>
            <w:r w:rsidRPr="008F2082">
              <w:rPr>
                <w:rFonts w:ascii="Garamond" w:hAnsi="Garamond" w:cs="Calibri"/>
                <w:b/>
                <w:color w:val="000000"/>
                <w:sz w:val="24"/>
                <w:szCs w:val="24"/>
              </w:rPr>
              <w:t>Volume da Produção (t)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66908BE"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PVn</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06811374" w14:textId="77777777" w:rsidR="003F035B" w:rsidRPr="008F2082" w:rsidRDefault="003F035B" w:rsidP="00E33E26">
            <w:pPr>
              <w:pStyle w:val="TableParagraph"/>
              <w:widowControl/>
              <w:rPr>
                <w:rFonts w:ascii="Garamond" w:hAnsi="Garamond" w:cs="Calibri"/>
                <w:color w:val="000000"/>
                <w:sz w:val="24"/>
                <w:szCs w:val="24"/>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20D405FC" w14:textId="77777777" w:rsidR="003F035B" w:rsidRPr="008F2082" w:rsidRDefault="003F035B" w:rsidP="00E33E26">
            <w:pPr>
              <w:pStyle w:val="TableParagraph"/>
              <w:widowControl/>
              <w:rPr>
                <w:rFonts w:ascii="Garamond" w:hAnsi="Garamond" w:cs="Calibri"/>
                <w:color w:val="000000"/>
                <w:sz w:val="24"/>
                <w:szCs w:val="24"/>
              </w:rPr>
            </w:pP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0F65AE9" w14:textId="77777777" w:rsidR="003F035B" w:rsidRPr="008F2082" w:rsidRDefault="003F035B" w:rsidP="00E33E26">
            <w:pPr>
              <w:pStyle w:val="TableParagraph"/>
              <w:widowControl/>
              <w:rPr>
                <w:rFonts w:ascii="Garamond" w:hAnsi="Garamond" w:cs="Calibri"/>
                <w:color w:val="000000"/>
                <w:sz w:val="24"/>
                <w:szCs w:val="24"/>
              </w:rPr>
            </w:pPr>
          </w:p>
        </w:tc>
      </w:tr>
      <w:tr w:rsidR="003F035B" w:rsidRPr="008F2082" w14:paraId="1CDB1757" w14:textId="77777777" w:rsidTr="00680017">
        <w:trPr>
          <w:cantSplit/>
          <w:trHeight w:val="876"/>
          <w:jc w:val="center"/>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14:paraId="5229C408" w14:textId="77777777" w:rsidR="003F035B" w:rsidRPr="008F2082" w:rsidRDefault="003F035B" w:rsidP="00E33E26">
            <w:pPr>
              <w:pStyle w:val="TableParagraph"/>
              <w:widowControl/>
              <w:rPr>
                <w:rFonts w:ascii="Garamond" w:hAnsi="Garamond" w:cs="Calibri"/>
                <w:b/>
                <w:color w:val="000000"/>
                <w:sz w:val="24"/>
                <w:szCs w:val="24"/>
              </w:rPr>
            </w:pPr>
            <w:r w:rsidRPr="008F2082">
              <w:rPr>
                <w:rFonts w:ascii="Garamond" w:hAnsi="Garamond" w:cs="Calibri"/>
                <w:b/>
                <w:color w:val="000000"/>
                <w:sz w:val="24"/>
                <w:szCs w:val="24"/>
              </w:rPr>
              <w:t>Valor da Produção (R$)</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7525250"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PVn</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1C2C94C4" w14:textId="77777777" w:rsidR="003F035B" w:rsidRPr="008F2082" w:rsidRDefault="003F035B" w:rsidP="00E33E26">
            <w:pPr>
              <w:pStyle w:val="TableParagraph"/>
              <w:widowControl/>
              <w:rPr>
                <w:rFonts w:ascii="Garamond" w:hAnsi="Garamond" w:cs="Calibri"/>
                <w:color w:val="000000"/>
                <w:sz w:val="24"/>
                <w:szCs w:val="24"/>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7553E48A" w14:textId="77777777" w:rsidR="003F035B" w:rsidRPr="008F2082" w:rsidRDefault="003F035B" w:rsidP="00E33E26">
            <w:pPr>
              <w:pStyle w:val="TableParagraph"/>
              <w:widowControl/>
              <w:rPr>
                <w:rFonts w:ascii="Garamond" w:hAnsi="Garamond" w:cs="Calibri"/>
                <w:color w:val="000000"/>
                <w:sz w:val="24"/>
                <w:szCs w:val="24"/>
              </w:rPr>
            </w:pP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2E736AF5" w14:textId="77777777" w:rsidR="003F035B" w:rsidRPr="008F2082" w:rsidRDefault="003F035B" w:rsidP="00E33E26">
            <w:pPr>
              <w:pStyle w:val="TableParagraph"/>
              <w:widowControl/>
              <w:rPr>
                <w:rFonts w:ascii="Garamond" w:hAnsi="Garamond" w:cs="Calibri"/>
                <w:color w:val="000000"/>
                <w:sz w:val="24"/>
                <w:szCs w:val="24"/>
              </w:rPr>
            </w:pPr>
          </w:p>
        </w:tc>
      </w:tr>
      <w:tr w:rsidR="003F035B" w:rsidRPr="008F2082" w14:paraId="7B1825FB" w14:textId="77777777" w:rsidTr="00680017">
        <w:trPr>
          <w:cantSplit/>
          <w:trHeight w:val="308"/>
          <w:jc w:val="center"/>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14:paraId="1C1B3262" w14:textId="77777777" w:rsidR="003F035B" w:rsidRPr="008F2082" w:rsidRDefault="003F035B" w:rsidP="00E33E26">
            <w:pPr>
              <w:pStyle w:val="TableParagraph"/>
              <w:widowControl/>
              <w:rPr>
                <w:rFonts w:ascii="Garamond" w:hAnsi="Garamond" w:cs="Calibri"/>
                <w:b/>
                <w:color w:val="000000"/>
                <w:sz w:val="24"/>
                <w:szCs w:val="24"/>
              </w:rPr>
            </w:pPr>
            <w:r w:rsidRPr="008F2082">
              <w:rPr>
                <w:rFonts w:ascii="Garamond" w:hAnsi="Garamond" w:cs="Calibri"/>
                <w:b/>
                <w:color w:val="000000"/>
                <w:sz w:val="24"/>
                <w:szCs w:val="24"/>
              </w:rPr>
              <w:t>Somatório</w:t>
            </w:r>
          </w:p>
        </w:tc>
        <w:tc>
          <w:tcPr>
            <w:tcW w:w="5808" w:type="dxa"/>
            <w:gridSpan w:val="4"/>
            <w:tcBorders>
              <w:top w:val="single" w:sz="4" w:space="0" w:color="auto"/>
              <w:left w:val="single" w:sz="4" w:space="0" w:color="auto"/>
              <w:bottom w:val="nil"/>
              <w:right w:val="nil"/>
            </w:tcBorders>
            <w:shd w:val="clear" w:color="auto" w:fill="auto"/>
            <w:vAlign w:val="center"/>
          </w:tcPr>
          <w:p w14:paraId="5A68A1E8" w14:textId="77777777" w:rsidR="003F035B" w:rsidRPr="008F2082" w:rsidRDefault="003F035B" w:rsidP="00E33E26">
            <w:pPr>
              <w:pStyle w:val="TableParagraph"/>
              <w:widowControl/>
              <w:rPr>
                <w:rFonts w:ascii="Garamond" w:hAnsi="Garamond" w:cs="Calibri"/>
                <w:color w:val="000000"/>
                <w:sz w:val="24"/>
                <w:szCs w:val="24"/>
              </w:rPr>
            </w:pPr>
          </w:p>
        </w:tc>
      </w:tr>
    </w:tbl>
    <w:p w14:paraId="6876132E" w14:textId="77777777" w:rsidR="003F035B" w:rsidRPr="00395593" w:rsidRDefault="003F035B" w:rsidP="00E33E26">
      <w:pPr>
        <w:pStyle w:val="Corpodetexto"/>
        <w:tabs>
          <w:tab w:val="left" w:pos="2175"/>
        </w:tabs>
        <w:rPr>
          <w:rFonts w:ascii="Garamond" w:hAnsi="Garamond" w:cs="Calibri"/>
          <w:color w:val="000000"/>
          <w:sz w:val="18"/>
          <w:szCs w:val="18"/>
        </w:rPr>
      </w:pPr>
      <w:r w:rsidRPr="00395593">
        <w:rPr>
          <w:rFonts w:ascii="Garamond" w:hAnsi="Garamond" w:cs="Calibri"/>
          <w:color w:val="000000"/>
          <w:sz w:val="18"/>
          <w:szCs w:val="18"/>
        </w:rPr>
        <w:tab/>
      </w:r>
    </w:p>
    <w:p w14:paraId="53DA52DF" w14:textId="77777777" w:rsidR="00FC627D" w:rsidRPr="005C5CBD" w:rsidRDefault="00FC627D">
      <w:pPr>
        <w:rPr>
          <w:rFonts w:ascii="Garamond" w:hAnsi="Garamond"/>
        </w:rPr>
      </w:pPr>
      <w:r w:rsidRPr="005C5CBD">
        <w:rPr>
          <w:rFonts w:ascii="Garamond" w:hAnsi="Garamond"/>
        </w:rPr>
        <w:br w:type="page"/>
      </w:r>
    </w:p>
    <w:tbl>
      <w:tblPr>
        <w:tblW w:w="6946"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top w:w="57" w:type="dxa"/>
          <w:left w:w="57" w:type="dxa"/>
          <w:bottom w:w="57" w:type="dxa"/>
          <w:right w:w="57" w:type="dxa"/>
        </w:tblCellMar>
        <w:tblLook w:val="01E0" w:firstRow="1" w:lastRow="1" w:firstColumn="1" w:lastColumn="1" w:noHBand="0" w:noVBand="0"/>
      </w:tblPr>
      <w:tblGrid>
        <w:gridCol w:w="908"/>
        <w:gridCol w:w="1134"/>
        <w:gridCol w:w="992"/>
        <w:gridCol w:w="1134"/>
        <w:gridCol w:w="843"/>
        <w:gridCol w:w="1085"/>
        <w:gridCol w:w="850"/>
      </w:tblGrid>
      <w:tr w:rsidR="003F035B" w:rsidRPr="008F2082" w14:paraId="5CAC5266" w14:textId="77777777" w:rsidTr="005D0A4D">
        <w:trPr>
          <w:cantSplit/>
          <w:jc w:val="center"/>
        </w:trPr>
        <w:tc>
          <w:tcPr>
            <w:tcW w:w="6946" w:type="dxa"/>
            <w:gridSpan w:val="7"/>
            <w:tcBorders>
              <w:top w:val="nil"/>
              <w:left w:val="nil"/>
              <w:bottom w:val="single" w:sz="4" w:space="0" w:color="auto"/>
              <w:right w:val="nil"/>
            </w:tcBorders>
            <w:shd w:val="clear" w:color="auto" w:fill="auto"/>
            <w:vAlign w:val="center"/>
          </w:tcPr>
          <w:p w14:paraId="14CAB570" w14:textId="0EBF16CC"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APÊNDICE XXI</w:t>
            </w:r>
          </w:p>
          <w:p w14:paraId="576208A4" w14:textId="77777777" w:rsidR="003F035B"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EVOLUÇÃO DAS IMPORTAÇÕES</w:t>
            </w:r>
          </w:p>
          <w:p w14:paraId="3F9F487A" w14:textId="31745808" w:rsidR="00102D95" w:rsidRPr="008F2082" w:rsidRDefault="00102D95" w:rsidP="00E33E26">
            <w:pPr>
              <w:pStyle w:val="TableParagraph"/>
              <w:widowControl/>
              <w:jc w:val="center"/>
              <w:rPr>
                <w:rFonts w:ascii="Garamond" w:hAnsi="Garamond" w:cs="Calibri"/>
                <w:color w:val="000000"/>
                <w:sz w:val="24"/>
                <w:szCs w:val="24"/>
              </w:rPr>
            </w:pPr>
          </w:p>
        </w:tc>
      </w:tr>
      <w:tr w:rsidR="003F035B" w:rsidRPr="008F2082" w14:paraId="4B1F273D" w14:textId="77777777" w:rsidTr="005D0A4D">
        <w:trPr>
          <w:cantSplit/>
          <w:jc w:val="center"/>
        </w:trPr>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59E20A57"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B38C0A"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PV1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102CB5"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8FE3C3"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PVn</w:t>
            </w:r>
          </w:p>
        </w:tc>
        <w:tc>
          <w:tcPr>
            <w:tcW w:w="27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2178AC" w14:textId="77777777" w:rsidR="003F035B" w:rsidRPr="008F2082" w:rsidRDefault="003F035B" w:rsidP="00E33E26">
            <w:pPr>
              <w:pStyle w:val="TableParagraph"/>
              <w:widowControl/>
              <w:jc w:val="center"/>
              <w:rPr>
                <w:rFonts w:ascii="Garamond" w:hAnsi="Garamond" w:cs="Calibri"/>
                <w:color w:val="000000"/>
                <w:sz w:val="24"/>
                <w:szCs w:val="24"/>
              </w:rPr>
            </w:pPr>
          </w:p>
        </w:tc>
      </w:tr>
      <w:tr w:rsidR="003F035B" w:rsidRPr="008F2082" w14:paraId="3F0D43C0" w14:textId="77777777" w:rsidTr="00102D95">
        <w:trPr>
          <w:cantSplit/>
          <w:jc w:val="center"/>
        </w:trPr>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05313750" w14:textId="77777777" w:rsidR="003F035B" w:rsidRPr="008F2082" w:rsidRDefault="003F035B" w:rsidP="00102D95">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Origem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23BDF8"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Quantidade (informar unidade)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3BBEFE"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Valor CIF</w:t>
            </w:r>
          </w:p>
          <w:p w14:paraId="191ADF55"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F6772D"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Quantidade (informar unidade)</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2846D523"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Valor CIF</w:t>
            </w:r>
          </w:p>
          <w:p w14:paraId="406B66BF"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(R$)</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73518EB7"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Quantidade (informar unidade)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DD00D0"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Valor CIF</w:t>
            </w:r>
          </w:p>
          <w:p w14:paraId="2B74E8A1" w14:textId="7777777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(R$)</w:t>
            </w:r>
          </w:p>
        </w:tc>
      </w:tr>
      <w:tr w:rsidR="003F035B" w:rsidRPr="008F2082" w14:paraId="561240C7" w14:textId="77777777" w:rsidTr="00102D95">
        <w:trPr>
          <w:cantSplit/>
          <w:jc w:val="center"/>
        </w:trPr>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7AECFFBA" w14:textId="77777777" w:rsidR="003F035B" w:rsidRPr="008F2082" w:rsidRDefault="003F035B" w:rsidP="00102D95">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Origem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1B80BF" w14:textId="77777777" w:rsidR="003F035B" w:rsidRPr="008F2082" w:rsidRDefault="003F035B" w:rsidP="00E33E26">
            <w:pPr>
              <w:pStyle w:val="TableParagraph"/>
              <w:widowControl/>
              <w:rPr>
                <w:rFonts w:ascii="Garamond" w:hAnsi="Garamond" w:cs="Calibri"/>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7271B18" w14:textId="77777777" w:rsidR="003F035B" w:rsidRPr="008F2082" w:rsidRDefault="003F035B" w:rsidP="00E33E26">
            <w:pPr>
              <w:pStyle w:val="TableParagraph"/>
              <w:widowControl/>
              <w:rPr>
                <w:rFonts w:ascii="Garamond" w:hAnsi="Garamond" w:cs="Calibri"/>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473D5D" w14:textId="77777777" w:rsidR="003F035B" w:rsidRPr="008F2082" w:rsidRDefault="003F035B" w:rsidP="00E33E26">
            <w:pPr>
              <w:pStyle w:val="TableParagraph"/>
              <w:widowControl/>
              <w:rPr>
                <w:rFonts w:ascii="Garamond" w:hAnsi="Garamond" w:cs="Calibri"/>
                <w:color w:val="000000"/>
                <w:sz w:val="24"/>
                <w:szCs w:val="24"/>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4209E3DD" w14:textId="77777777" w:rsidR="003F035B" w:rsidRPr="008F2082" w:rsidRDefault="003F035B" w:rsidP="00E33E26">
            <w:pPr>
              <w:pStyle w:val="TableParagraph"/>
              <w:widowControl/>
              <w:rPr>
                <w:rFonts w:ascii="Garamond" w:hAnsi="Garamond" w:cs="Calibri"/>
                <w:color w:val="000000"/>
                <w:sz w:val="24"/>
                <w:szCs w:val="24"/>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10776F47" w14:textId="77777777" w:rsidR="003F035B" w:rsidRPr="008F2082" w:rsidRDefault="003F035B" w:rsidP="00E33E26">
            <w:pPr>
              <w:pStyle w:val="TableParagraph"/>
              <w:widowControl/>
              <w:rPr>
                <w:rFonts w:ascii="Garamond" w:hAnsi="Garamond" w:cs="Calibr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0F4B00A" w14:textId="77777777" w:rsidR="003F035B" w:rsidRPr="008F2082" w:rsidRDefault="003F035B" w:rsidP="00E33E26">
            <w:pPr>
              <w:pStyle w:val="TableParagraph"/>
              <w:widowControl/>
              <w:rPr>
                <w:rFonts w:ascii="Garamond" w:hAnsi="Garamond" w:cs="Calibri"/>
                <w:color w:val="000000"/>
                <w:sz w:val="24"/>
                <w:szCs w:val="24"/>
              </w:rPr>
            </w:pPr>
          </w:p>
        </w:tc>
      </w:tr>
      <w:tr w:rsidR="003F035B" w:rsidRPr="008F2082" w14:paraId="2581F0FA" w14:textId="77777777" w:rsidTr="00102D95">
        <w:trPr>
          <w:cantSplit/>
          <w:jc w:val="center"/>
        </w:trPr>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154C07A2" w14:textId="77777777" w:rsidR="003F035B" w:rsidRPr="008F2082" w:rsidRDefault="003F035B" w:rsidP="00102D95">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Origem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CD9690" w14:textId="77777777" w:rsidR="003F035B" w:rsidRPr="008F2082" w:rsidRDefault="003F035B" w:rsidP="00E33E26">
            <w:pPr>
              <w:pStyle w:val="TableParagraph"/>
              <w:widowControl/>
              <w:rPr>
                <w:rFonts w:ascii="Garamond" w:hAnsi="Garamond" w:cs="Calibri"/>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15DB72" w14:textId="77777777" w:rsidR="003F035B" w:rsidRPr="008F2082" w:rsidRDefault="003F035B" w:rsidP="00E33E26">
            <w:pPr>
              <w:pStyle w:val="TableParagraph"/>
              <w:widowControl/>
              <w:rPr>
                <w:rFonts w:ascii="Garamond" w:hAnsi="Garamond" w:cs="Calibri"/>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9062AF" w14:textId="77777777" w:rsidR="003F035B" w:rsidRPr="008F2082" w:rsidRDefault="003F035B" w:rsidP="00E33E26">
            <w:pPr>
              <w:pStyle w:val="TableParagraph"/>
              <w:widowControl/>
              <w:rPr>
                <w:rFonts w:ascii="Garamond" w:hAnsi="Garamond" w:cs="Calibri"/>
                <w:color w:val="000000"/>
                <w:sz w:val="24"/>
                <w:szCs w:val="24"/>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552684E0" w14:textId="77777777" w:rsidR="003F035B" w:rsidRPr="008F2082" w:rsidRDefault="003F035B" w:rsidP="00E33E26">
            <w:pPr>
              <w:pStyle w:val="TableParagraph"/>
              <w:widowControl/>
              <w:rPr>
                <w:rFonts w:ascii="Garamond" w:hAnsi="Garamond" w:cs="Calibri"/>
                <w:color w:val="000000"/>
                <w:sz w:val="24"/>
                <w:szCs w:val="24"/>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41C47325" w14:textId="77777777" w:rsidR="003F035B" w:rsidRPr="008F2082" w:rsidRDefault="003F035B" w:rsidP="00E33E26">
            <w:pPr>
              <w:pStyle w:val="TableParagraph"/>
              <w:widowControl/>
              <w:rPr>
                <w:rFonts w:ascii="Garamond" w:hAnsi="Garamond" w:cs="Calibr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8823041" w14:textId="77777777" w:rsidR="003F035B" w:rsidRPr="008F2082" w:rsidRDefault="003F035B" w:rsidP="00E33E26">
            <w:pPr>
              <w:pStyle w:val="TableParagraph"/>
              <w:widowControl/>
              <w:rPr>
                <w:rFonts w:ascii="Garamond" w:hAnsi="Garamond" w:cs="Calibri"/>
                <w:color w:val="000000"/>
                <w:sz w:val="24"/>
                <w:szCs w:val="24"/>
              </w:rPr>
            </w:pPr>
          </w:p>
        </w:tc>
      </w:tr>
      <w:tr w:rsidR="003F035B" w:rsidRPr="008F2082" w14:paraId="51920907" w14:textId="77777777" w:rsidTr="00102D95">
        <w:trPr>
          <w:cantSplit/>
          <w:jc w:val="center"/>
        </w:trPr>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0506659D" w14:textId="77777777" w:rsidR="003F035B" w:rsidRPr="008F2082" w:rsidRDefault="003F035B" w:rsidP="00102D95">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Origem 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74F3C0" w14:textId="77777777" w:rsidR="003F035B" w:rsidRPr="008F2082" w:rsidRDefault="003F035B" w:rsidP="00E33E26">
            <w:pPr>
              <w:pStyle w:val="TableParagraph"/>
              <w:widowControl/>
              <w:rPr>
                <w:rFonts w:ascii="Garamond" w:hAnsi="Garamond" w:cs="Calibri"/>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B80409" w14:textId="77777777" w:rsidR="003F035B" w:rsidRPr="008F2082" w:rsidRDefault="003F035B" w:rsidP="00E33E26">
            <w:pPr>
              <w:pStyle w:val="TableParagraph"/>
              <w:widowControl/>
              <w:rPr>
                <w:rFonts w:ascii="Garamond" w:hAnsi="Garamond" w:cs="Calibri"/>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7FADB4" w14:textId="77777777" w:rsidR="003F035B" w:rsidRPr="008F2082" w:rsidRDefault="003F035B" w:rsidP="00E33E26">
            <w:pPr>
              <w:pStyle w:val="TableParagraph"/>
              <w:widowControl/>
              <w:rPr>
                <w:rFonts w:ascii="Garamond" w:hAnsi="Garamond" w:cs="Calibri"/>
                <w:color w:val="000000"/>
                <w:sz w:val="24"/>
                <w:szCs w:val="24"/>
              </w:rPr>
            </w:pP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4137A377" w14:textId="77777777" w:rsidR="003F035B" w:rsidRPr="008F2082" w:rsidRDefault="003F035B" w:rsidP="00E33E26">
            <w:pPr>
              <w:pStyle w:val="TableParagraph"/>
              <w:widowControl/>
              <w:rPr>
                <w:rFonts w:ascii="Garamond" w:hAnsi="Garamond" w:cs="Calibri"/>
                <w:color w:val="000000"/>
                <w:sz w:val="24"/>
                <w:szCs w:val="24"/>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0E86D43D" w14:textId="77777777" w:rsidR="003F035B" w:rsidRPr="008F2082" w:rsidRDefault="003F035B" w:rsidP="00E33E26">
            <w:pPr>
              <w:pStyle w:val="TableParagraph"/>
              <w:widowControl/>
              <w:rPr>
                <w:rFonts w:ascii="Garamond" w:hAnsi="Garamond" w:cs="Calibri"/>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588F0FD" w14:textId="77777777" w:rsidR="003F035B" w:rsidRPr="008F2082" w:rsidRDefault="003F035B" w:rsidP="00E33E26">
            <w:pPr>
              <w:pStyle w:val="TableParagraph"/>
              <w:widowControl/>
              <w:rPr>
                <w:rFonts w:ascii="Garamond" w:hAnsi="Garamond" w:cs="Calibri"/>
                <w:color w:val="000000"/>
                <w:sz w:val="24"/>
                <w:szCs w:val="24"/>
              </w:rPr>
            </w:pPr>
          </w:p>
        </w:tc>
      </w:tr>
    </w:tbl>
    <w:p w14:paraId="6A7139B1" w14:textId="77777777" w:rsidR="003F035B" w:rsidRPr="008F2082" w:rsidRDefault="003F035B" w:rsidP="00E33E26">
      <w:pPr>
        <w:pStyle w:val="Corpodetexto"/>
        <w:tabs>
          <w:tab w:val="left" w:pos="1125"/>
        </w:tabs>
        <w:rPr>
          <w:rFonts w:ascii="Garamond" w:hAnsi="Garamond" w:cs="Calibri"/>
          <w:color w:val="000000"/>
        </w:rPr>
      </w:pPr>
    </w:p>
    <w:p w14:paraId="54D0D509" w14:textId="77777777" w:rsidR="00FC627D" w:rsidRPr="005C5CBD" w:rsidRDefault="00FC627D">
      <w:pPr>
        <w:rPr>
          <w:rFonts w:ascii="Garamond" w:hAnsi="Garamond"/>
        </w:rPr>
      </w:pPr>
      <w:r w:rsidRPr="005C5CBD">
        <w:rPr>
          <w:rFonts w:ascii="Garamond" w:hAnsi="Garamond"/>
        </w:rPr>
        <w:br w:type="page"/>
      </w:r>
    </w:p>
    <w:tbl>
      <w:tblPr>
        <w:tblW w:w="6804"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top w:w="57" w:type="dxa"/>
          <w:left w:w="57" w:type="dxa"/>
          <w:bottom w:w="57" w:type="dxa"/>
          <w:right w:w="57" w:type="dxa"/>
        </w:tblCellMar>
        <w:tblLook w:val="01E0" w:firstRow="1" w:lastRow="1" w:firstColumn="1" w:lastColumn="1" w:noHBand="0" w:noVBand="0"/>
      </w:tblPr>
      <w:tblGrid>
        <w:gridCol w:w="2923"/>
        <w:gridCol w:w="1744"/>
        <w:gridCol w:w="2137"/>
      </w:tblGrid>
      <w:tr w:rsidR="003F035B" w:rsidRPr="008F2082" w14:paraId="23FD7B3F" w14:textId="77777777" w:rsidTr="00BF6E08">
        <w:trPr>
          <w:cantSplit/>
          <w:jc w:val="center"/>
        </w:trPr>
        <w:tc>
          <w:tcPr>
            <w:tcW w:w="6804" w:type="dxa"/>
            <w:gridSpan w:val="3"/>
            <w:tcBorders>
              <w:top w:val="nil"/>
              <w:left w:val="nil"/>
              <w:bottom w:val="single" w:sz="4" w:space="0" w:color="auto"/>
              <w:right w:val="nil"/>
            </w:tcBorders>
            <w:shd w:val="clear" w:color="auto" w:fill="auto"/>
            <w:vAlign w:val="center"/>
          </w:tcPr>
          <w:p w14:paraId="14BF2793" w14:textId="73BA8017" w:rsidR="003F035B" w:rsidRPr="008F2082" w:rsidRDefault="003F035B" w:rsidP="00BF6E08">
            <w:pPr>
              <w:autoSpaceDE w:val="0"/>
              <w:autoSpaceDN w:val="0"/>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APÊNDICE XXII</w:t>
            </w:r>
          </w:p>
          <w:p w14:paraId="045DF7F1" w14:textId="77777777" w:rsidR="003F035B" w:rsidRPr="008F2082" w:rsidRDefault="003F035B" w:rsidP="00BF6E08">
            <w:pPr>
              <w:autoSpaceDE w:val="0"/>
              <w:autoSpaceDN w:val="0"/>
              <w:spacing w:after="0" w:line="240" w:lineRule="auto"/>
              <w:jc w:val="center"/>
              <w:rPr>
                <w:rFonts w:ascii="Garamond" w:hAnsi="Garamond" w:cs="Calibri"/>
                <w:color w:val="000000"/>
                <w:sz w:val="24"/>
                <w:szCs w:val="24"/>
                <w:lang w:val="en-US"/>
              </w:rPr>
            </w:pPr>
            <w:r w:rsidRPr="008F2082">
              <w:rPr>
                <w:rFonts w:ascii="Garamond" w:hAnsi="Garamond" w:cs="Calibri"/>
                <w:b/>
                <w:color w:val="000000"/>
                <w:sz w:val="24"/>
                <w:szCs w:val="24"/>
              </w:rPr>
              <w:t>PREÇO EXPORTAÇÃO</w:t>
            </w:r>
          </w:p>
        </w:tc>
      </w:tr>
      <w:tr w:rsidR="003F035B" w:rsidRPr="008F2082" w14:paraId="7A854250" w14:textId="77777777" w:rsidTr="00BF6E08">
        <w:trPr>
          <w:cantSplit/>
          <w:jc w:val="center"/>
        </w:trPr>
        <w:tc>
          <w:tcPr>
            <w:tcW w:w="2923" w:type="dxa"/>
            <w:tcBorders>
              <w:top w:val="single" w:sz="4" w:space="0" w:color="auto"/>
              <w:left w:val="single" w:sz="4" w:space="0" w:color="auto"/>
              <w:bottom w:val="single" w:sz="4" w:space="0" w:color="auto"/>
              <w:right w:val="single" w:sz="4" w:space="0" w:color="auto"/>
            </w:tcBorders>
            <w:shd w:val="clear" w:color="auto" w:fill="auto"/>
            <w:vAlign w:val="center"/>
          </w:tcPr>
          <w:p w14:paraId="4E6DD72F" w14:textId="77777777" w:rsidR="003F035B" w:rsidRPr="008F2082" w:rsidRDefault="003F035B" w:rsidP="00BF6E08">
            <w:pPr>
              <w:pStyle w:val="TableParagraph"/>
              <w:widowControl/>
              <w:rPr>
                <w:rFonts w:ascii="Garamond" w:hAnsi="Garamond" w:cs="Calibri"/>
                <w:color w:val="000000"/>
                <w:sz w:val="24"/>
                <w:szCs w:val="24"/>
              </w:rPr>
            </w:pPr>
            <w:r w:rsidRPr="008F2082">
              <w:rPr>
                <w:rFonts w:ascii="Garamond" w:hAnsi="Garamond" w:cs="Calibri"/>
                <w:color w:val="000000"/>
                <w:sz w:val="24"/>
                <w:szCs w:val="24"/>
              </w:rPr>
              <w:t>[Origem sujeita à medida]</w:t>
            </w:r>
          </w:p>
        </w:tc>
        <w:tc>
          <w:tcPr>
            <w:tcW w:w="3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E501DC" w14:textId="77777777" w:rsidR="003F035B" w:rsidRPr="008F2082" w:rsidRDefault="003F035B" w:rsidP="00BF6E08">
            <w:pPr>
              <w:autoSpaceDE w:val="0"/>
              <w:autoSpaceDN w:val="0"/>
              <w:rPr>
                <w:rFonts w:ascii="Garamond" w:hAnsi="Garamond" w:cs="Calibri"/>
                <w:color w:val="000000"/>
                <w:sz w:val="24"/>
                <w:szCs w:val="24"/>
                <w:lang w:val="en-US"/>
              </w:rPr>
            </w:pPr>
          </w:p>
        </w:tc>
      </w:tr>
      <w:tr w:rsidR="003F035B" w:rsidRPr="008F2082" w14:paraId="6F01EE3E" w14:textId="77777777" w:rsidTr="00BF6E08">
        <w:trPr>
          <w:cantSplit/>
          <w:jc w:val="center"/>
        </w:trPr>
        <w:tc>
          <w:tcPr>
            <w:tcW w:w="2923" w:type="dxa"/>
            <w:tcBorders>
              <w:top w:val="single" w:sz="4" w:space="0" w:color="auto"/>
              <w:left w:val="single" w:sz="4" w:space="0" w:color="auto"/>
              <w:bottom w:val="single" w:sz="4" w:space="0" w:color="auto"/>
              <w:right w:val="single" w:sz="4" w:space="0" w:color="auto"/>
            </w:tcBorders>
            <w:shd w:val="clear" w:color="auto" w:fill="auto"/>
            <w:vAlign w:val="center"/>
          </w:tcPr>
          <w:p w14:paraId="654DFEC1" w14:textId="77777777" w:rsidR="003F035B" w:rsidRPr="008F2082" w:rsidRDefault="003F035B" w:rsidP="00BF6E08">
            <w:pPr>
              <w:pStyle w:val="TableParagraph"/>
              <w:widowControl/>
              <w:rPr>
                <w:rFonts w:ascii="Garamond" w:hAnsi="Garamond" w:cs="Calibri"/>
                <w:b/>
                <w:color w:val="000000"/>
                <w:sz w:val="24"/>
                <w:szCs w:val="24"/>
              </w:rPr>
            </w:pPr>
            <w:r w:rsidRPr="008F2082">
              <w:rPr>
                <w:rFonts w:ascii="Garamond" w:hAnsi="Garamond" w:cs="Calibri"/>
                <w:b/>
                <w:color w:val="000000"/>
                <w:sz w:val="24"/>
                <w:szCs w:val="24"/>
              </w:rPr>
              <w:t>Rubricas</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7C333084" w14:textId="77777777" w:rsidR="003F035B" w:rsidRPr="008F2082" w:rsidRDefault="003F035B" w:rsidP="00BF6E08">
            <w:pPr>
              <w:pStyle w:val="TableParagraph"/>
              <w:widowControl/>
              <w:rPr>
                <w:rFonts w:ascii="Garamond" w:hAnsi="Garamond" w:cs="Calibri"/>
                <w:b/>
                <w:color w:val="000000"/>
                <w:sz w:val="24"/>
                <w:szCs w:val="24"/>
              </w:rPr>
            </w:pPr>
            <w:r w:rsidRPr="008F2082">
              <w:rPr>
                <w:rFonts w:ascii="Garamond" w:hAnsi="Garamond" w:cs="Calibri"/>
                <w:b/>
                <w:color w:val="000000"/>
                <w:sz w:val="24"/>
                <w:szCs w:val="24"/>
              </w:rPr>
              <w:t>Mês (De PV1 a PVn)</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14:paraId="52D92233" w14:textId="77777777" w:rsidR="003F035B" w:rsidRPr="008F2082" w:rsidRDefault="003F035B" w:rsidP="00BF6E08">
            <w:pPr>
              <w:pStyle w:val="TableParagraph"/>
              <w:widowControl/>
              <w:rPr>
                <w:rFonts w:ascii="Garamond" w:hAnsi="Garamond" w:cs="Calibri"/>
                <w:b/>
                <w:color w:val="000000"/>
                <w:sz w:val="24"/>
                <w:szCs w:val="24"/>
              </w:rPr>
            </w:pPr>
            <w:r w:rsidRPr="008F2082">
              <w:rPr>
                <w:rFonts w:ascii="Garamond" w:hAnsi="Garamond" w:cs="Calibri"/>
                <w:b/>
                <w:color w:val="000000"/>
                <w:sz w:val="24"/>
                <w:szCs w:val="24"/>
              </w:rPr>
              <w:t>Valor Unitário</w:t>
            </w:r>
          </w:p>
        </w:tc>
      </w:tr>
      <w:tr w:rsidR="003F035B" w:rsidRPr="008F2082" w14:paraId="75A640F7" w14:textId="77777777" w:rsidTr="00BF6E08">
        <w:trPr>
          <w:cantSplit/>
          <w:jc w:val="center"/>
        </w:trPr>
        <w:tc>
          <w:tcPr>
            <w:tcW w:w="2923" w:type="dxa"/>
            <w:tcBorders>
              <w:top w:val="single" w:sz="4" w:space="0" w:color="auto"/>
              <w:left w:val="single" w:sz="4" w:space="0" w:color="auto"/>
              <w:bottom w:val="single" w:sz="4" w:space="0" w:color="auto"/>
              <w:right w:val="single" w:sz="4" w:space="0" w:color="auto"/>
            </w:tcBorders>
            <w:shd w:val="clear" w:color="auto" w:fill="auto"/>
            <w:vAlign w:val="center"/>
          </w:tcPr>
          <w:p w14:paraId="381DBA0F" w14:textId="77777777" w:rsidR="003F035B" w:rsidRPr="008F2082" w:rsidRDefault="003F035B" w:rsidP="00BF6E08">
            <w:pPr>
              <w:pStyle w:val="TableParagraph"/>
              <w:widowControl/>
              <w:rPr>
                <w:rFonts w:ascii="Garamond" w:hAnsi="Garamond" w:cs="Calibri"/>
                <w:color w:val="000000"/>
                <w:sz w:val="24"/>
                <w:szCs w:val="24"/>
              </w:rPr>
            </w:pP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67779CE6" w14:textId="77777777" w:rsidR="003F035B" w:rsidRPr="008F2082" w:rsidRDefault="003F035B" w:rsidP="00BF6E08">
            <w:pPr>
              <w:pStyle w:val="TableParagraph"/>
              <w:widowControl/>
              <w:rPr>
                <w:rFonts w:ascii="Garamond" w:hAnsi="Garamond" w:cs="Calibri"/>
                <w:color w:val="000000"/>
                <w:sz w:val="24"/>
                <w:szCs w:val="24"/>
              </w:rPr>
            </w:pP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14:paraId="72CB2062" w14:textId="77777777" w:rsidR="003F035B" w:rsidRPr="008F2082" w:rsidRDefault="003F035B" w:rsidP="00BF6E08">
            <w:pPr>
              <w:pStyle w:val="TableParagraph"/>
              <w:widowControl/>
              <w:rPr>
                <w:rFonts w:ascii="Garamond" w:hAnsi="Garamond" w:cs="Calibri"/>
                <w:color w:val="000000"/>
                <w:sz w:val="24"/>
                <w:szCs w:val="24"/>
              </w:rPr>
            </w:pPr>
            <w:r w:rsidRPr="008F2082">
              <w:rPr>
                <w:rFonts w:ascii="Garamond" w:hAnsi="Garamond" w:cs="Calibri"/>
                <w:color w:val="000000"/>
                <w:sz w:val="24"/>
                <w:szCs w:val="24"/>
              </w:rPr>
              <w:t>Informar moeda / unidade</w:t>
            </w:r>
          </w:p>
        </w:tc>
      </w:tr>
      <w:tr w:rsidR="003F035B" w:rsidRPr="008F2082" w14:paraId="19237EEA" w14:textId="77777777" w:rsidTr="00BF6E08">
        <w:trPr>
          <w:cantSplit/>
          <w:jc w:val="center"/>
        </w:trPr>
        <w:tc>
          <w:tcPr>
            <w:tcW w:w="2923" w:type="dxa"/>
            <w:tcBorders>
              <w:top w:val="single" w:sz="4" w:space="0" w:color="auto"/>
              <w:left w:val="single" w:sz="4" w:space="0" w:color="auto"/>
              <w:bottom w:val="single" w:sz="4" w:space="0" w:color="auto"/>
              <w:right w:val="single" w:sz="4" w:space="0" w:color="auto"/>
            </w:tcBorders>
            <w:shd w:val="clear" w:color="auto" w:fill="auto"/>
            <w:vAlign w:val="center"/>
          </w:tcPr>
          <w:p w14:paraId="06173D31" w14:textId="77777777" w:rsidR="003F035B" w:rsidRPr="008F2082" w:rsidRDefault="003F035B" w:rsidP="00BF6E08">
            <w:pPr>
              <w:pStyle w:val="TableParagraph"/>
              <w:widowControl/>
              <w:rPr>
                <w:rFonts w:ascii="Garamond" w:hAnsi="Garamond" w:cs="Calibri"/>
                <w:color w:val="000000"/>
                <w:sz w:val="24"/>
                <w:szCs w:val="24"/>
              </w:rPr>
            </w:pPr>
            <w:r w:rsidRPr="008F2082">
              <w:rPr>
                <w:rFonts w:ascii="Garamond" w:hAnsi="Garamond" w:cs="Calibri"/>
                <w:color w:val="000000"/>
                <w:sz w:val="24"/>
                <w:szCs w:val="24"/>
              </w:rPr>
              <w:t>(A) Preço FOB mensal para o Brasil</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14:paraId="44934536" w14:textId="77777777" w:rsidR="003F035B" w:rsidRPr="008F2082" w:rsidRDefault="003F035B" w:rsidP="00BF6E08">
            <w:pPr>
              <w:pStyle w:val="TableParagraph"/>
              <w:widowControl/>
              <w:rPr>
                <w:rFonts w:ascii="Garamond" w:hAnsi="Garamond" w:cs="Calibri"/>
                <w:color w:val="000000"/>
                <w:sz w:val="24"/>
                <w:szCs w:val="24"/>
              </w:rPr>
            </w:pP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14:paraId="60D2FC3C" w14:textId="77777777" w:rsidR="003F035B" w:rsidRPr="008F2082" w:rsidRDefault="003F035B" w:rsidP="00BF6E08">
            <w:pPr>
              <w:pStyle w:val="TableParagraph"/>
              <w:widowControl/>
              <w:rPr>
                <w:rFonts w:ascii="Garamond" w:hAnsi="Garamond" w:cs="Calibri"/>
                <w:color w:val="000000"/>
                <w:sz w:val="24"/>
                <w:szCs w:val="24"/>
              </w:rPr>
            </w:pPr>
          </w:p>
        </w:tc>
      </w:tr>
    </w:tbl>
    <w:p w14:paraId="09FDF6F1" w14:textId="2A299142" w:rsidR="00FC627D" w:rsidRPr="005C5CBD" w:rsidRDefault="00FC627D">
      <w:pPr>
        <w:rPr>
          <w:rFonts w:ascii="Garamond" w:hAnsi="Garamond"/>
        </w:rPr>
      </w:pPr>
      <w:r w:rsidRPr="005C5CBD">
        <w:rPr>
          <w:rFonts w:ascii="Garamond" w:hAnsi="Garamond"/>
        </w:rPr>
        <w:br w:type="page"/>
      </w:r>
    </w:p>
    <w:tbl>
      <w:tblPr>
        <w:tblW w:w="6804"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top w:w="57" w:type="dxa"/>
          <w:left w:w="57" w:type="dxa"/>
          <w:bottom w:w="57" w:type="dxa"/>
          <w:right w:w="57" w:type="dxa"/>
        </w:tblCellMar>
        <w:tblLook w:val="01E0" w:firstRow="1" w:lastRow="1" w:firstColumn="1" w:lastColumn="1" w:noHBand="0" w:noVBand="0"/>
      </w:tblPr>
      <w:tblGrid>
        <w:gridCol w:w="3343"/>
        <w:gridCol w:w="2236"/>
        <w:gridCol w:w="626"/>
        <w:gridCol w:w="599"/>
      </w:tblGrid>
      <w:tr w:rsidR="003F035B" w:rsidRPr="008F2082" w14:paraId="30EE254A" w14:textId="77777777" w:rsidTr="00BF6E08">
        <w:trPr>
          <w:cantSplit/>
          <w:jc w:val="center"/>
        </w:trPr>
        <w:tc>
          <w:tcPr>
            <w:tcW w:w="6804" w:type="dxa"/>
            <w:gridSpan w:val="4"/>
            <w:tcBorders>
              <w:top w:val="nil"/>
              <w:left w:val="nil"/>
              <w:bottom w:val="single" w:sz="4" w:space="0" w:color="auto"/>
              <w:right w:val="nil"/>
            </w:tcBorders>
            <w:shd w:val="clear" w:color="auto" w:fill="auto"/>
            <w:vAlign w:val="center"/>
          </w:tcPr>
          <w:p w14:paraId="6D908F97" w14:textId="16654A17" w:rsidR="003F035B" w:rsidRPr="008F2082" w:rsidRDefault="003F035B" w:rsidP="00E33E26">
            <w:pPr>
              <w:pStyle w:val="TableParagraph"/>
              <w:widowControl/>
              <w:jc w:val="center"/>
              <w:rPr>
                <w:rFonts w:ascii="Garamond" w:hAnsi="Garamond" w:cs="Calibri"/>
                <w:b/>
                <w:color w:val="000000"/>
                <w:sz w:val="24"/>
                <w:szCs w:val="24"/>
              </w:rPr>
            </w:pPr>
            <w:r w:rsidRPr="008F2082">
              <w:rPr>
                <w:rFonts w:ascii="Garamond" w:hAnsi="Garamond" w:cs="Calibri"/>
                <w:b/>
                <w:color w:val="000000"/>
                <w:sz w:val="24"/>
                <w:szCs w:val="24"/>
              </w:rPr>
              <w:t>APÊNDICE XXIII</w:t>
            </w:r>
          </w:p>
          <w:p w14:paraId="5DE18D14" w14:textId="77777777" w:rsidR="003F035B" w:rsidRPr="008F2082" w:rsidRDefault="003F035B" w:rsidP="00E33E26">
            <w:pPr>
              <w:jc w:val="center"/>
              <w:rPr>
                <w:rFonts w:ascii="Garamond" w:hAnsi="Garamond" w:cs="Calibri"/>
                <w:b/>
                <w:color w:val="000000"/>
                <w:sz w:val="24"/>
                <w:szCs w:val="24"/>
              </w:rPr>
            </w:pPr>
            <w:r w:rsidRPr="008F2082">
              <w:rPr>
                <w:rFonts w:ascii="Garamond" w:hAnsi="Garamond" w:cs="Calibri"/>
                <w:b/>
                <w:color w:val="000000"/>
                <w:sz w:val="24"/>
                <w:szCs w:val="24"/>
              </w:rPr>
              <w:t>PREÇO CIF INTERNADO</w:t>
            </w:r>
          </w:p>
        </w:tc>
      </w:tr>
      <w:tr w:rsidR="003F035B" w:rsidRPr="008F2082" w14:paraId="55B15234" w14:textId="77777777" w:rsidTr="00BF6E08">
        <w:trPr>
          <w:cantSplit/>
          <w:jc w:val="center"/>
        </w:trPr>
        <w:tc>
          <w:tcPr>
            <w:tcW w:w="3343" w:type="dxa"/>
            <w:tcBorders>
              <w:top w:val="single" w:sz="4" w:space="0" w:color="auto"/>
              <w:left w:val="single" w:sz="4" w:space="0" w:color="auto"/>
              <w:bottom w:val="single" w:sz="4" w:space="0" w:color="auto"/>
              <w:right w:val="single" w:sz="4" w:space="0" w:color="auto"/>
            </w:tcBorders>
            <w:shd w:val="clear" w:color="auto" w:fill="auto"/>
            <w:vAlign w:val="center"/>
          </w:tcPr>
          <w:p w14:paraId="3B194660" w14:textId="77777777" w:rsidR="003F035B" w:rsidRPr="008F2082" w:rsidRDefault="003F035B" w:rsidP="00E33E26">
            <w:pPr>
              <w:pStyle w:val="TableParagraph"/>
              <w:widowControl/>
              <w:jc w:val="center"/>
              <w:rPr>
                <w:rFonts w:ascii="Garamond" w:hAnsi="Garamond" w:cs="Calibri"/>
                <w:color w:val="000000"/>
                <w:sz w:val="24"/>
                <w:szCs w:val="24"/>
              </w:rPr>
            </w:pPr>
          </w:p>
        </w:tc>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14:paraId="53AD9715"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Preço CIF internado</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89E209" w14:textId="77777777" w:rsidR="003F035B" w:rsidRPr="008F2082" w:rsidRDefault="003F035B" w:rsidP="00E33E26">
            <w:pPr>
              <w:pStyle w:val="TableParagraph"/>
              <w:widowControl/>
              <w:jc w:val="center"/>
              <w:rPr>
                <w:rFonts w:ascii="Garamond" w:hAnsi="Garamond" w:cs="Calibri"/>
                <w:color w:val="000000"/>
                <w:sz w:val="24"/>
                <w:szCs w:val="24"/>
              </w:rPr>
            </w:pPr>
          </w:p>
        </w:tc>
      </w:tr>
      <w:tr w:rsidR="003F035B" w:rsidRPr="008F2082" w14:paraId="2752AD91" w14:textId="77777777" w:rsidTr="00BF6E08">
        <w:trPr>
          <w:cantSplit/>
          <w:jc w:val="center"/>
        </w:trPr>
        <w:tc>
          <w:tcPr>
            <w:tcW w:w="3343" w:type="dxa"/>
            <w:tcBorders>
              <w:top w:val="single" w:sz="4" w:space="0" w:color="auto"/>
              <w:left w:val="single" w:sz="4" w:space="0" w:color="auto"/>
              <w:bottom w:val="single" w:sz="4" w:space="0" w:color="auto"/>
              <w:right w:val="single" w:sz="4" w:space="0" w:color="auto"/>
            </w:tcBorders>
            <w:shd w:val="clear" w:color="auto" w:fill="auto"/>
            <w:vAlign w:val="center"/>
          </w:tcPr>
          <w:p w14:paraId="0EAB740E"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[Origem sujeita à medida]</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14:paraId="628FE46C"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PV1</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453AEAEF"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0053BBA7"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PVn</w:t>
            </w:r>
          </w:p>
        </w:tc>
      </w:tr>
      <w:tr w:rsidR="003F035B" w:rsidRPr="008F2082" w14:paraId="7E0D4AAB" w14:textId="77777777" w:rsidTr="00BF6E08">
        <w:trPr>
          <w:cantSplit/>
          <w:jc w:val="center"/>
        </w:trPr>
        <w:tc>
          <w:tcPr>
            <w:tcW w:w="3343" w:type="dxa"/>
            <w:tcBorders>
              <w:top w:val="single" w:sz="4" w:space="0" w:color="auto"/>
              <w:left w:val="single" w:sz="4" w:space="0" w:color="auto"/>
              <w:bottom w:val="single" w:sz="4" w:space="0" w:color="auto"/>
              <w:right w:val="single" w:sz="4" w:space="0" w:color="auto"/>
            </w:tcBorders>
            <w:shd w:val="clear" w:color="auto" w:fill="auto"/>
            <w:vAlign w:val="center"/>
          </w:tcPr>
          <w:p w14:paraId="29D95A7C"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CIF R$/(t)</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14:paraId="127121DD" w14:textId="77777777" w:rsidR="003F035B" w:rsidRPr="008F2082" w:rsidRDefault="003F035B" w:rsidP="00E33E26">
            <w:pPr>
              <w:pStyle w:val="TableParagraph"/>
              <w:widowControl/>
              <w:rPr>
                <w:rFonts w:ascii="Garamond" w:hAnsi="Garamond" w:cs="Calibri"/>
                <w:color w:val="000000"/>
                <w:sz w:val="24"/>
                <w:szCs w:val="24"/>
              </w:rPr>
            </w:pP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192CD475" w14:textId="77777777" w:rsidR="003F035B" w:rsidRPr="008F2082" w:rsidRDefault="003F035B" w:rsidP="00E33E26">
            <w:pPr>
              <w:pStyle w:val="TableParagraph"/>
              <w:widowControl/>
              <w:rPr>
                <w:rFonts w:ascii="Garamond" w:hAnsi="Garamond" w:cs="Calibri"/>
                <w:color w:val="000000"/>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67DF56AE" w14:textId="77777777" w:rsidR="003F035B" w:rsidRPr="008F2082" w:rsidRDefault="003F035B" w:rsidP="00E33E26">
            <w:pPr>
              <w:pStyle w:val="TableParagraph"/>
              <w:widowControl/>
              <w:rPr>
                <w:rFonts w:ascii="Garamond" w:hAnsi="Garamond" w:cs="Calibri"/>
                <w:color w:val="000000"/>
                <w:sz w:val="24"/>
                <w:szCs w:val="24"/>
              </w:rPr>
            </w:pPr>
          </w:p>
        </w:tc>
      </w:tr>
      <w:tr w:rsidR="003F035B" w:rsidRPr="008F2082" w14:paraId="2392A68F" w14:textId="77777777" w:rsidTr="00BF6E08">
        <w:trPr>
          <w:cantSplit/>
          <w:jc w:val="center"/>
        </w:trPr>
        <w:tc>
          <w:tcPr>
            <w:tcW w:w="3343" w:type="dxa"/>
            <w:tcBorders>
              <w:top w:val="single" w:sz="4" w:space="0" w:color="auto"/>
              <w:left w:val="single" w:sz="4" w:space="0" w:color="auto"/>
              <w:bottom w:val="single" w:sz="4" w:space="0" w:color="auto"/>
              <w:right w:val="single" w:sz="4" w:space="0" w:color="auto"/>
            </w:tcBorders>
            <w:shd w:val="clear" w:color="auto" w:fill="auto"/>
            <w:vAlign w:val="center"/>
          </w:tcPr>
          <w:p w14:paraId="5EF66CD1"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Imposto de Importação R$/(t)</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14:paraId="2EB980F1" w14:textId="77777777" w:rsidR="003F035B" w:rsidRPr="008F2082" w:rsidRDefault="003F035B" w:rsidP="00E33E26">
            <w:pPr>
              <w:pStyle w:val="TableParagraph"/>
              <w:widowControl/>
              <w:rPr>
                <w:rFonts w:ascii="Garamond" w:hAnsi="Garamond" w:cs="Calibri"/>
                <w:color w:val="000000"/>
                <w:sz w:val="24"/>
                <w:szCs w:val="24"/>
              </w:rPr>
            </w:pP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1D94706D" w14:textId="77777777" w:rsidR="003F035B" w:rsidRPr="008F2082" w:rsidRDefault="003F035B" w:rsidP="00E33E26">
            <w:pPr>
              <w:pStyle w:val="TableParagraph"/>
              <w:widowControl/>
              <w:rPr>
                <w:rFonts w:ascii="Garamond" w:hAnsi="Garamond" w:cs="Calibri"/>
                <w:color w:val="000000"/>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62A9B507" w14:textId="77777777" w:rsidR="003F035B" w:rsidRPr="008F2082" w:rsidRDefault="003F035B" w:rsidP="00E33E26">
            <w:pPr>
              <w:pStyle w:val="TableParagraph"/>
              <w:widowControl/>
              <w:rPr>
                <w:rFonts w:ascii="Garamond" w:hAnsi="Garamond" w:cs="Calibri"/>
                <w:color w:val="000000"/>
                <w:sz w:val="24"/>
                <w:szCs w:val="24"/>
              </w:rPr>
            </w:pPr>
          </w:p>
        </w:tc>
      </w:tr>
      <w:tr w:rsidR="003F035B" w:rsidRPr="008F2082" w14:paraId="094402C4" w14:textId="77777777" w:rsidTr="00BF6E08">
        <w:trPr>
          <w:cantSplit/>
          <w:jc w:val="center"/>
        </w:trPr>
        <w:tc>
          <w:tcPr>
            <w:tcW w:w="3343" w:type="dxa"/>
            <w:tcBorders>
              <w:top w:val="single" w:sz="4" w:space="0" w:color="auto"/>
              <w:left w:val="single" w:sz="4" w:space="0" w:color="auto"/>
              <w:bottom w:val="single" w:sz="4" w:space="0" w:color="auto"/>
              <w:right w:val="single" w:sz="4" w:space="0" w:color="auto"/>
            </w:tcBorders>
            <w:shd w:val="clear" w:color="auto" w:fill="auto"/>
            <w:vAlign w:val="center"/>
          </w:tcPr>
          <w:p w14:paraId="4C0C8DB2"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AFRMM R$/(t)</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14:paraId="18A4C606" w14:textId="77777777" w:rsidR="003F035B" w:rsidRPr="008F2082" w:rsidRDefault="003F035B" w:rsidP="00E33E26">
            <w:pPr>
              <w:pStyle w:val="TableParagraph"/>
              <w:widowControl/>
              <w:rPr>
                <w:rFonts w:ascii="Garamond" w:hAnsi="Garamond" w:cs="Calibri"/>
                <w:color w:val="000000"/>
                <w:sz w:val="24"/>
                <w:szCs w:val="24"/>
              </w:rPr>
            </w:pP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044D9E4A" w14:textId="77777777" w:rsidR="003F035B" w:rsidRPr="008F2082" w:rsidRDefault="003F035B" w:rsidP="00E33E26">
            <w:pPr>
              <w:pStyle w:val="TableParagraph"/>
              <w:widowControl/>
              <w:rPr>
                <w:rFonts w:ascii="Garamond" w:hAnsi="Garamond" w:cs="Calibri"/>
                <w:color w:val="000000"/>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30BE22A6" w14:textId="77777777" w:rsidR="003F035B" w:rsidRPr="008F2082" w:rsidRDefault="003F035B" w:rsidP="00E33E26">
            <w:pPr>
              <w:pStyle w:val="TableParagraph"/>
              <w:widowControl/>
              <w:rPr>
                <w:rFonts w:ascii="Garamond" w:hAnsi="Garamond" w:cs="Calibri"/>
                <w:color w:val="000000"/>
                <w:sz w:val="24"/>
                <w:szCs w:val="24"/>
              </w:rPr>
            </w:pPr>
          </w:p>
        </w:tc>
      </w:tr>
      <w:tr w:rsidR="003F035B" w:rsidRPr="008F2082" w14:paraId="69A724F6" w14:textId="77777777" w:rsidTr="00BF6E08">
        <w:trPr>
          <w:cantSplit/>
          <w:jc w:val="center"/>
        </w:trPr>
        <w:tc>
          <w:tcPr>
            <w:tcW w:w="3343" w:type="dxa"/>
            <w:tcBorders>
              <w:top w:val="single" w:sz="4" w:space="0" w:color="auto"/>
              <w:left w:val="single" w:sz="4" w:space="0" w:color="auto"/>
              <w:bottom w:val="single" w:sz="4" w:space="0" w:color="auto"/>
              <w:right w:val="single" w:sz="4" w:space="0" w:color="auto"/>
            </w:tcBorders>
            <w:shd w:val="clear" w:color="auto" w:fill="auto"/>
            <w:vAlign w:val="center"/>
          </w:tcPr>
          <w:p w14:paraId="112ABF1F"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Despesas de Internação R$/(t)</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14:paraId="2FF2B84B" w14:textId="77777777" w:rsidR="003F035B" w:rsidRPr="008F2082" w:rsidRDefault="003F035B" w:rsidP="00E33E26">
            <w:pPr>
              <w:pStyle w:val="TableParagraph"/>
              <w:widowControl/>
              <w:rPr>
                <w:rFonts w:ascii="Garamond" w:hAnsi="Garamond" w:cs="Calibri"/>
                <w:color w:val="000000"/>
                <w:sz w:val="24"/>
                <w:szCs w:val="24"/>
              </w:rPr>
            </w:pP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0D94D949" w14:textId="77777777" w:rsidR="003F035B" w:rsidRPr="008F2082" w:rsidRDefault="003F035B" w:rsidP="00E33E26">
            <w:pPr>
              <w:pStyle w:val="TableParagraph"/>
              <w:widowControl/>
              <w:rPr>
                <w:rFonts w:ascii="Garamond" w:hAnsi="Garamond" w:cs="Calibri"/>
                <w:color w:val="000000"/>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2260764D" w14:textId="77777777" w:rsidR="003F035B" w:rsidRPr="008F2082" w:rsidRDefault="003F035B" w:rsidP="00E33E26">
            <w:pPr>
              <w:pStyle w:val="TableParagraph"/>
              <w:widowControl/>
              <w:rPr>
                <w:rFonts w:ascii="Garamond" w:hAnsi="Garamond" w:cs="Calibri"/>
                <w:color w:val="000000"/>
                <w:sz w:val="24"/>
                <w:szCs w:val="24"/>
              </w:rPr>
            </w:pPr>
          </w:p>
        </w:tc>
      </w:tr>
      <w:tr w:rsidR="003F035B" w:rsidRPr="008F2082" w14:paraId="2B1E0397" w14:textId="77777777" w:rsidTr="00BF6E08">
        <w:trPr>
          <w:cantSplit/>
          <w:jc w:val="center"/>
        </w:trPr>
        <w:tc>
          <w:tcPr>
            <w:tcW w:w="3343" w:type="dxa"/>
            <w:tcBorders>
              <w:top w:val="single" w:sz="4" w:space="0" w:color="auto"/>
              <w:left w:val="single" w:sz="4" w:space="0" w:color="auto"/>
              <w:bottom w:val="single" w:sz="4" w:space="0" w:color="auto"/>
              <w:right w:val="single" w:sz="4" w:space="0" w:color="auto"/>
            </w:tcBorders>
            <w:shd w:val="clear" w:color="auto" w:fill="auto"/>
            <w:vAlign w:val="center"/>
          </w:tcPr>
          <w:p w14:paraId="4C41EC06"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Antidumping R$/(t)</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14:paraId="18088949" w14:textId="77777777" w:rsidR="003F035B" w:rsidRPr="008F2082" w:rsidRDefault="003F035B" w:rsidP="00E33E26">
            <w:pPr>
              <w:pStyle w:val="TableParagraph"/>
              <w:widowControl/>
              <w:rPr>
                <w:rFonts w:ascii="Garamond" w:hAnsi="Garamond" w:cs="Calibri"/>
                <w:color w:val="000000"/>
                <w:sz w:val="24"/>
                <w:szCs w:val="24"/>
              </w:rPr>
            </w:pP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1A87669A" w14:textId="77777777" w:rsidR="003F035B" w:rsidRPr="008F2082" w:rsidRDefault="003F035B" w:rsidP="00E33E26">
            <w:pPr>
              <w:pStyle w:val="TableParagraph"/>
              <w:widowControl/>
              <w:rPr>
                <w:rFonts w:ascii="Garamond" w:hAnsi="Garamond" w:cs="Calibri"/>
                <w:color w:val="000000"/>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5777D472" w14:textId="77777777" w:rsidR="003F035B" w:rsidRPr="008F2082" w:rsidRDefault="003F035B" w:rsidP="00E33E26">
            <w:pPr>
              <w:pStyle w:val="TableParagraph"/>
              <w:widowControl/>
              <w:rPr>
                <w:rFonts w:ascii="Garamond" w:hAnsi="Garamond" w:cs="Calibri"/>
                <w:color w:val="000000"/>
                <w:sz w:val="24"/>
                <w:szCs w:val="24"/>
              </w:rPr>
            </w:pPr>
          </w:p>
        </w:tc>
      </w:tr>
      <w:tr w:rsidR="003F035B" w:rsidRPr="008F2082" w14:paraId="45029D9A" w14:textId="77777777" w:rsidTr="00BF6E08">
        <w:trPr>
          <w:cantSplit/>
          <w:jc w:val="center"/>
        </w:trPr>
        <w:tc>
          <w:tcPr>
            <w:tcW w:w="3343" w:type="dxa"/>
            <w:tcBorders>
              <w:top w:val="single" w:sz="4" w:space="0" w:color="auto"/>
              <w:left w:val="single" w:sz="4" w:space="0" w:color="auto"/>
              <w:bottom w:val="single" w:sz="4" w:space="0" w:color="auto"/>
              <w:right w:val="single" w:sz="4" w:space="0" w:color="auto"/>
            </w:tcBorders>
            <w:shd w:val="clear" w:color="auto" w:fill="auto"/>
            <w:vAlign w:val="center"/>
          </w:tcPr>
          <w:p w14:paraId="397C7A18"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CIF Internado R$/(t)</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14:paraId="7764B412" w14:textId="77777777" w:rsidR="003F035B" w:rsidRPr="008F2082" w:rsidRDefault="003F035B" w:rsidP="00E33E26">
            <w:pPr>
              <w:pStyle w:val="TableParagraph"/>
              <w:widowControl/>
              <w:rPr>
                <w:rFonts w:ascii="Garamond" w:hAnsi="Garamond" w:cs="Calibri"/>
                <w:color w:val="000000"/>
                <w:sz w:val="24"/>
                <w:szCs w:val="24"/>
              </w:rPr>
            </w:pP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6D5D1012" w14:textId="77777777" w:rsidR="003F035B" w:rsidRPr="008F2082" w:rsidRDefault="003F035B" w:rsidP="00E33E26">
            <w:pPr>
              <w:pStyle w:val="TableParagraph"/>
              <w:widowControl/>
              <w:rPr>
                <w:rFonts w:ascii="Garamond" w:hAnsi="Garamond" w:cs="Calibri"/>
                <w:color w:val="000000"/>
                <w:sz w:val="24"/>
                <w:szCs w:val="24"/>
              </w:rPr>
            </w:pP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263E745B" w14:textId="77777777" w:rsidR="003F035B" w:rsidRPr="008F2082" w:rsidRDefault="003F035B" w:rsidP="00E33E26">
            <w:pPr>
              <w:pStyle w:val="TableParagraph"/>
              <w:widowControl/>
              <w:rPr>
                <w:rFonts w:ascii="Garamond" w:hAnsi="Garamond" w:cs="Calibri"/>
                <w:color w:val="000000"/>
                <w:sz w:val="24"/>
                <w:szCs w:val="24"/>
              </w:rPr>
            </w:pPr>
          </w:p>
        </w:tc>
      </w:tr>
    </w:tbl>
    <w:p w14:paraId="1064EEEC" w14:textId="77777777" w:rsidR="003F035B" w:rsidRPr="00395593" w:rsidRDefault="003F035B" w:rsidP="00E33E26">
      <w:pPr>
        <w:tabs>
          <w:tab w:val="left" w:pos="6120"/>
        </w:tabs>
        <w:rPr>
          <w:rFonts w:ascii="Garamond" w:hAnsi="Garamond" w:cs="Calibri"/>
          <w:color w:val="000000"/>
          <w:sz w:val="18"/>
          <w:szCs w:val="18"/>
        </w:rPr>
      </w:pPr>
    </w:p>
    <w:p w14:paraId="29F194B6" w14:textId="77777777" w:rsidR="00FC627D" w:rsidRPr="005C5CBD" w:rsidRDefault="00FC627D">
      <w:pPr>
        <w:rPr>
          <w:rFonts w:ascii="Garamond" w:hAnsi="Garamond"/>
        </w:rPr>
      </w:pPr>
      <w:r w:rsidRPr="005C5CBD">
        <w:rPr>
          <w:rFonts w:ascii="Garamond" w:hAnsi="Garamond"/>
        </w:rPr>
        <w:br w:type="page"/>
      </w:r>
    </w:p>
    <w:tbl>
      <w:tblPr>
        <w:tblW w:w="6804"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top w:w="57" w:type="dxa"/>
          <w:left w:w="57" w:type="dxa"/>
          <w:bottom w:w="57" w:type="dxa"/>
          <w:right w:w="57" w:type="dxa"/>
        </w:tblCellMar>
        <w:tblLook w:val="01E0" w:firstRow="1" w:lastRow="1" w:firstColumn="1" w:lastColumn="1" w:noHBand="0" w:noVBand="0"/>
      </w:tblPr>
      <w:tblGrid>
        <w:gridCol w:w="3528"/>
        <w:gridCol w:w="1123"/>
        <w:gridCol w:w="1082"/>
        <w:gridCol w:w="1071"/>
      </w:tblGrid>
      <w:tr w:rsidR="003F035B" w:rsidRPr="008F2082" w14:paraId="7FB4520C" w14:textId="77777777" w:rsidTr="00BF6E08">
        <w:trPr>
          <w:cantSplit/>
          <w:jc w:val="center"/>
        </w:trPr>
        <w:tc>
          <w:tcPr>
            <w:tcW w:w="6804" w:type="dxa"/>
            <w:gridSpan w:val="4"/>
            <w:tcBorders>
              <w:top w:val="nil"/>
              <w:left w:val="nil"/>
              <w:bottom w:val="single" w:sz="4" w:space="0" w:color="auto"/>
              <w:right w:val="nil"/>
            </w:tcBorders>
            <w:shd w:val="clear" w:color="auto" w:fill="auto"/>
            <w:vAlign w:val="center"/>
          </w:tcPr>
          <w:p w14:paraId="1162472C" w14:textId="3A715C60" w:rsidR="003F035B" w:rsidRPr="008F2082" w:rsidRDefault="003F035B" w:rsidP="00E33E26">
            <w:pPr>
              <w:pStyle w:val="TextosemFormatao"/>
              <w:jc w:val="center"/>
              <w:rPr>
                <w:rFonts w:ascii="Garamond" w:hAnsi="Garamond" w:cs="Calibri"/>
                <w:b/>
                <w:color w:val="000000"/>
                <w:sz w:val="24"/>
                <w:szCs w:val="24"/>
              </w:rPr>
            </w:pPr>
            <w:r w:rsidRPr="008F2082">
              <w:rPr>
                <w:rFonts w:ascii="Garamond" w:hAnsi="Garamond" w:cs="Calibri"/>
                <w:color w:val="000000"/>
                <w:sz w:val="24"/>
                <w:szCs w:val="24"/>
              </w:rPr>
              <w:br w:type="page"/>
            </w:r>
            <w:r w:rsidRPr="008F2082">
              <w:rPr>
                <w:rFonts w:ascii="Garamond" w:hAnsi="Garamond" w:cs="Calibri"/>
                <w:b/>
                <w:color w:val="000000"/>
                <w:sz w:val="24"/>
                <w:szCs w:val="24"/>
              </w:rPr>
              <w:t>APÊNDICE XXIV</w:t>
            </w:r>
          </w:p>
          <w:p w14:paraId="6D7993AD" w14:textId="77777777" w:rsidR="003F035B" w:rsidRDefault="003F035B" w:rsidP="00E33E26">
            <w:pPr>
              <w:pStyle w:val="TextosemFormatao"/>
              <w:jc w:val="center"/>
              <w:rPr>
                <w:rFonts w:ascii="Garamond" w:hAnsi="Garamond" w:cs="Calibri"/>
                <w:b/>
                <w:color w:val="000000"/>
                <w:sz w:val="24"/>
                <w:szCs w:val="24"/>
              </w:rPr>
            </w:pPr>
            <w:r w:rsidRPr="008F2082">
              <w:rPr>
                <w:rFonts w:ascii="Garamond" w:hAnsi="Garamond" w:cs="Calibri"/>
                <w:b/>
                <w:color w:val="000000"/>
                <w:sz w:val="24"/>
                <w:szCs w:val="24"/>
              </w:rPr>
              <w:t>PREÇO DE EXPORTAÇÃO CONSTRUÍDO</w:t>
            </w:r>
          </w:p>
          <w:p w14:paraId="0251303D" w14:textId="24D72A2C" w:rsidR="00102D95" w:rsidRPr="008F2082" w:rsidRDefault="00102D95" w:rsidP="00E33E26">
            <w:pPr>
              <w:pStyle w:val="TextosemFormatao"/>
              <w:jc w:val="center"/>
              <w:rPr>
                <w:rFonts w:ascii="Garamond" w:hAnsi="Garamond" w:cs="Calibri"/>
                <w:color w:val="000000"/>
                <w:sz w:val="24"/>
                <w:szCs w:val="24"/>
              </w:rPr>
            </w:pPr>
          </w:p>
        </w:tc>
      </w:tr>
      <w:tr w:rsidR="003F035B" w:rsidRPr="008F2082" w14:paraId="29E4FE44"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43BC97EA"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[Origem sujeita à medida]</w:t>
            </w:r>
          </w:p>
        </w:tc>
        <w:tc>
          <w:tcPr>
            <w:tcW w:w="32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1CB8A9" w14:textId="77777777" w:rsidR="003F035B" w:rsidRPr="008F2082" w:rsidRDefault="003F035B" w:rsidP="00E33E26">
            <w:pPr>
              <w:autoSpaceDE w:val="0"/>
              <w:autoSpaceDN w:val="0"/>
              <w:jc w:val="center"/>
              <w:rPr>
                <w:rFonts w:ascii="Garamond" w:hAnsi="Garamond" w:cs="Calibri"/>
                <w:color w:val="000000"/>
                <w:sz w:val="24"/>
                <w:szCs w:val="24"/>
                <w:lang w:val="en-US"/>
              </w:rPr>
            </w:pPr>
          </w:p>
        </w:tc>
      </w:tr>
      <w:tr w:rsidR="003F035B" w:rsidRPr="008F2082" w14:paraId="53DB8F41"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50FB4C7F"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Rubricas</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53B27D27"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PV1</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017812EB"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767A7B5D"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PVn</w:t>
            </w:r>
          </w:p>
        </w:tc>
      </w:tr>
      <w:tr w:rsidR="003F035B" w:rsidRPr="008F2082" w14:paraId="34E854F1" w14:textId="77777777" w:rsidTr="00BF6E08">
        <w:trPr>
          <w:cantSplit/>
          <w:jc w:val="center"/>
        </w:trPr>
        <w:tc>
          <w:tcPr>
            <w:tcW w:w="3528" w:type="dxa"/>
            <w:vMerge w:val="restart"/>
            <w:tcBorders>
              <w:top w:val="single" w:sz="4" w:space="0" w:color="auto"/>
              <w:left w:val="single" w:sz="4" w:space="0" w:color="auto"/>
              <w:right w:val="single" w:sz="4" w:space="0" w:color="auto"/>
            </w:tcBorders>
            <w:shd w:val="clear" w:color="auto" w:fill="auto"/>
            <w:vAlign w:val="center"/>
          </w:tcPr>
          <w:p w14:paraId="2913885B"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6D62D96E"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b/>
                <w:color w:val="000000"/>
                <w:sz w:val="24"/>
                <w:szCs w:val="24"/>
              </w:rPr>
              <w:t>Preço Unitário</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043C5104"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b/>
                <w:color w:val="000000"/>
                <w:sz w:val="24"/>
                <w:szCs w:val="24"/>
              </w:rPr>
              <w:t>Preço Unitário</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18FCCA44"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b/>
                <w:color w:val="000000"/>
                <w:sz w:val="24"/>
                <w:szCs w:val="24"/>
              </w:rPr>
              <w:t>Preço Unitário</w:t>
            </w:r>
          </w:p>
        </w:tc>
      </w:tr>
      <w:tr w:rsidR="003F035B" w:rsidRPr="008F2082" w14:paraId="03E71209" w14:textId="77777777" w:rsidTr="00BF6E08">
        <w:trPr>
          <w:cantSplit/>
          <w:jc w:val="center"/>
        </w:trPr>
        <w:tc>
          <w:tcPr>
            <w:tcW w:w="3528" w:type="dxa"/>
            <w:vMerge/>
            <w:tcBorders>
              <w:left w:val="single" w:sz="4" w:space="0" w:color="auto"/>
              <w:bottom w:val="single" w:sz="4" w:space="0" w:color="auto"/>
              <w:right w:val="single" w:sz="4" w:space="0" w:color="auto"/>
            </w:tcBorders>
            <w:shd w:val="clear" w:color="auto" w:fill="auto"/>
            <w:vAlign w:val="center"/>
          </w:tcPr>
          <w:p w14:paraId="500F6AE8"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7A851973"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Informar moeda / unidade</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5F2E4271"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Informar moeda / unidade</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0CB7D806"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Informar moeda / unidade</w:t>
            </w:r>
          </w:p>
        </w:tc>
      </w:tr>
      <w:tr w:rsidR="003F035B" w:rsidRPr="008F2082" w14:paraId="3D6DFC12"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52AB8B0E"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(A) Preço de revenda do produto objeto da investigação ao primeiro comprador interno independente</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1A02833C"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6D7164E5"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323885B3" w14:textId="77777777" w:rsidR="003F035B" w:rsidRPr="008F2082" w:rsidRDefault="003F035B" w:rsidP="00E33E26">
            <w:pPr>
              <w:pStyle w:val="TableParagraph"/>
              <w:widowControl/>
              <w:jc w:val="center"/>
              <w:rPr>
                <w:rFonts w:ascii="Garamond" w:hAnsi="Garamond" w:cs="Calibri"/>
                <w:color w:val="000000"/>
                <w:sz w:val="24"/>
                <w:szCs w:val="24"/>
              </w:rPr>
            </w:pPr>
          </w:p>
        </w:tc>
      </w:tr>
      <w:tr w:rsidR="003F035B" w:rsidRPr="008F2082" w14:paraId="23ECBDC7"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3F6C026D"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(B) Tributos sobre venda 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2DA5D8CE"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especificar</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4E7B1C12"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63F0B215" w14:textId="77777777" w:rsidR="003F035B" w:rsidRPr="008F2082" w:rsidRDefault="003F035B" w:rsidP="00E33E26">
            <w:pPr>
              <w:pStyle w:val="TableParagraph"/>
              <w:widowControl/>
              <w:jc w:val="center"/>
              <w:rPr>
                <w:rFonts w:ascii="Garamond" w:hAnsi="Garamond" w:cs="Calibri"/>
                <w:color w:val="000000"/>
                <w:sz w:val="24"/>
                <w:szCs w:val="24"/>
              </w:rPr>
            </w:pPr>
          </w:p>
        </w:tc>
      </w:tr>
      <w:tr w:rsidR="003F035B" w:rsidRPr="008F2082" w14:paraId="37B9CCBF"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4C392F38"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(B) Tributos sobre venda 2</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48D54C76"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especificar</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39E331E5"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5BFDEEAA" w14:textId="77777777" w:rsidR="003F035B" w:rsidRPr="008F2082" w:rsidRDefault="003F035B" w:rsidP="00E33E26">
            <w:pPr>
              <w:pStyle w:val="TableParagraph"/>
              <w:widowControl/>
              <w:jc w:val="center"/>
              <w:rPr>
                <w:rFonts w:ascii="Garamond" w:hAnsi="Garamond" w:cs="Calibri"/>
                <w:color w:val="000000"/>
                <w:sz w:val="24"/>
                <w:szCs w:val="24"/>
              </w:rPr>
            </w:pPr>
          </w:p>
        </w:tc>
      </w:tr>
      <w:tr w:rsidR="003F035B" w:rsidRPr="008F2082" w14:paraId="127357C3"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6DF07ED2"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(C) Lucro com a revenda</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3E3E2A69"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71EDDC2D"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4D24A8FA" w14:textId="77777777" w:rsidR="003F035B" w:rsidRPr="008F2082" w:rsidRDefault="003F035B" w:rsidP="00E33E26">
            <w:pPr>
              <w:pStyle w:val="TableParagraph"/>
              <w:widowControl/>
              <w:jc w:val="center"/>
              <w:rPr>
                <w:rFonts w:ascii="Garamond" w:hAnsi="Garamond" w:cs="Calibri"/>
                <w:color w:val="000000"/>
                <w:sz w:val="24"/>
                <w:szCs w:val="24"/>
              </w:rPr>
            </w:pPr>
          </w:p>
        </w:tc>
      </w:tr>
      <w:tr w:rsidR="003F035B" w:rsidRPr="008F2082" w14:paraId="5C9A6C79"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6DFA9E9E"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(D) Despesas do importador com a revenda 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42A3F7E1"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especificar</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27693C8B"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0B44771E" w14:textId="77777777" w:rsidR="003F035B" w:rsidRPr="008F2082" w:rsidRDefault="003F035B" w:rsidP="00E33E26">
            <w:pPr>
              <w:pStyle w:val="TableParagraph"/>
              <w:widowControl/>
              <w:jc w:val="center"/>
              <w:rPr>
                <w:rFonts w:ascii="Garamond" w:hAnsi="Garamond" w:cs="Calibri"/>
                <w:color w:val="000000"/>
                <w:sz w:val="24"/>
                <w:szCs w:val="24"/>
              </w:rPr>
            </w:pPr>
          </w:p>
        </w:tc>
      </w:tr>
      <w:tr w:rsidR="003F035B" w:rsidRPr="008F2082" w14:paraId="531A9400"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2B404F1A"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(D) Despesas do importador com a revenda 2</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5D27568F"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especificar</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49309C0B"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68DF21A5" w14:textId="77777777" w:rsidR="003F035B" w:rsidRPr="008F2082" w:rsidRDefault="003F035B" w:rsidP="00E33E26">
            <w:pPr>
              <w:pStyle w:val="TableParagraph"/>
              <w:widowControl/>
              <w:jc w:val="center"/>
              <w:rPr>
                <w:rFonts w:ascii="Garamond" w:hAnsi="Garamond" w:cs="Calibri"/>
                <w:color w:val="000000"/>
                <w:sz w:val="24"/>
                <w:szCs w:val="24"/>
              </w:rPr>
            </w:pPr>
          </w:p>
        </w:tc>
      </w:tr>
      <w:tr w:rsidR="003F035B" w:rsidRPr="008F2082" w14:paraId="28641B4A"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3DACB4C4"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(E) Preço do produto objeto da investigação no revendedor (A-B- C-D)</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259FAB35"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7977C839"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034926DA"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w:t>
            </w:r>
          </w:p>
        </w:tc>
      </w:tr>
      <w:tr w:rsidR="003F035B" w:rsidRPr="008F2082" w14:paraId="33A72C32"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2377B22A"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(F) Frete, no Brasil, do porto ao revendedor</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41FABC4A"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4B164437"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3043C9F3" w14:textId="77777777" w:rsidR="003F035B" w:rsidRPr="008F2082" w:rsidRDefault="003F035B" w:rsidP="00E33E26">
            <w:pPr>
              <w:pStyle w:val="TableParagraph"/>
              <w:widowControl/>
              <w:jc w:val="center"/>
              <w:rPr>
                <w:rFonts w:ascii="Garamond" w:hAnsi="Garamond" w:cs="Calibri"/>
                <w:color w:val="000000"/>
                <w:sz w:val="24"/>
                <w:szCs w:val="24"/>
              </w:rPr>
            </w:pPr>
          </w:p>
        </w:tc>
      </w:tr>
      <w:tr w:rsidR="003F035B" w:rsidRPr="008F2082" w14:paraId="2F1FCBE5"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2F57477E"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(G) Custos de internação 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425E71A2"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especificar</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3C3A2AEB"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1E8D55C3" w14:textId="77777777" w:rsidR="003F035B" w:rsidRPr="008F2082" w:rsidRDefault="003F035B" w:rsidP="00E33E26">
            <w:pPr>
              <w:pStyle w:val="TableParagraph"/>
              <w:widowControl/>
              <w:jc w:val="center"/>
              <w:rPr>
                <w:rFonts w:ascii="Garamond" w:hAnsi="Garamond" w:cs="Calibri"/>
                <w:color w:val="000000"/>
                <w:sz w:val="24"/>
                <w:szCs w:val="24"/>
              </w:rPr>
            </w:pPr>
          </w:p>
        </w:tc>
      </w:tr>
      <w:tr w:rsidR="003F035B" w:rsidRPr="008F2082" w14:paraId="7398618D"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71DDD08D"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(G) Custos de internação 2</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6596B28C"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especificar</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614C927A"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519C488E" w14:textId="77777777" w:rsidR="003F035B" w:rsidRPr="008F2082" w:rsidRDefault="003F035B" w:rsidP="00E33E26">
            <w:pPr>
              <w:pStyle w:val="TableParagraph"/>
              <w:widowControl/>
              <w:jc w:val="center"/>
              <w:rPr>
                <w:rFonts w:ascii="Garamond" w:hAnsi="Garamond" w:cs="Calibri"/>
                <w:color w:val="000000"/>
                <w:sz w:val="24"/>
                <w:szCs w:val="24"/>
              </w:rPr>
            </w:pPr>
          </w:p>
        </w:tc>
      </w:tr>
      <w:tr w:rsidR="003F035B" w:rsidRPr="008F2082" w14:paraId="5CFA22CA"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37E342A1"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(H) AFRMM (25% s/ frete)</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247FDD40"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5857B405"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37A20081"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w:t>
            </w:r>
          </w:p>
        </w:tc>
      </w:tr>
      <w:tr w:rsidR="003F035B" w:rsidRPr="008F2082" w14:paraId="298C4BE5"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031575A1"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(I) Direito Antidumping aplicado</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694E5796"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7D82F4E0"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23F92EFC" w14:textId="77777777" w:rsidR="003F035B" w:rsidRPr="008F2082" w:rsidRDefault="003F035B" w:rsidP="00E33E26">
            <w:pPr>
              <w:pStyle w:val="TableParagraph"/>
              <w:widowControl/>
              <w:jc w:val="center"/>
              <w:rPr>
                <w:rFonts w:ascii="Garamond" w:hAnsi="Garamond" w:cs="Calibri"/>
                <w:color w:val="000000"/>
                <w:sz w:val="24"/>
                <w:szCs w:val="24"/>
              </w:rPr>
            </w:pPr>
          </w:p>
        </w:tc>
      </w:tr>
      <w:tr w:rsidR="003F035B" w:rsidRPr="008F2082" w14:paraId="69D9B903"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06485B93"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(J) Imposto de Importação</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20EDBF8A"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5BD9E041"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507D169F" w14:textId="77777777" w:rsidR="003F035B" w:rsidRPr="008F2082" w:rsidRDefault="003F035B" w:rsidP="00E33E26">
            <w:pPr>
              <w:pStyle w:val="TableParagraph"/>
              <w:widowControl/>
              <w:jc w:val="center"/>
              <w:rPr>
                <w:rFonts w:ascii="Garamond" w:hAnsi="Garamond" w:cs="Calibri"/>
                <w:color w:val="000000"/>
                <w:sz w:val="24"/>
                <w:szCs w:val="24"/>
              </w:rPr>
            </w:pPr>
          </w:p>
        </w:tc>
      </w:tr>
      <w:tr w:rsidR="003F035B" w:rsidRPr="008F2082" w14:paraId="1211B2FB"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609B8D77"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(K) Preço CIF para o Brasil (E-F-G-H-I)</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4A8F0537"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6BC7F9E7"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71CAF479"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w:t>
            </w:r>
          </w:p>
        </w:tc>
      </w:tr>
      <w:tr w:rsidR="003F035B" w:rsidRPr="008F2082" w14:paraId="5E927448"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4C0C05C0"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(L) Frete para o Brasil</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044563EE"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75175861"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1BA686EA" w14:textId="77777777" w:rsidR="003F035B" w:rsidRPr="008F2082" w:rsidRDefault="003F035B" w:rsidP="00E33E26">
            <w:pPr>
              <w:pStyle w:val="TableParagraph"/>
              <w:widowControl/>
              <w:jc w:val="center"/>
              <w:rPr>
                <w:rFonts w:ascii="Garamond" w:hAnsi="Garamond" w:cs="Calibri"/>
                <w:color w:val="000000"/>
                <w:sz w:val="24"/>
                <w:szCs w:val="24"/>
              </w:rPr>
            </w:pPr>
          </w:p>
        </w:tc>
      </w:tr>
      <w:tr w:rsidR="003F035B" w:rsidRPr="008F2082" w14:paraId="0CE1478F"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3383CD9E"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(M) Seguro</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6273E99B"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13D5DCE4" w14:textId="77777777" w:rsidR="003F035B" w:rsidRPr="008F2082" w:rsidRDefault="003F035B" w:rsidP="00E33E26">
            <w:pPr>
              <w:pStyle w:val="TableParagraph"/>
              <w:widowControl/>
              <w:jc w:val="center"/>
              <w:rPr>
                <w:rFonts w:ascii="Garamond" w:hAnsi="Garamond" w:cs="Calibri"/>
                <w:color w:val="000000"/>
                <w:sz w:val="24"/>
                <w:szCs w:val="24"/>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0E87DACB" w14:textId="77777777" w:rsidR="003F035B" w:rsidRPr="008F2082" w:rsidRDefault="003F035B" w:rsidP="00E33E26">
            <w:pPr>
              <w:pStyle w:val="TableParagraph"/>
              <w:widowControl/>
              <w:jc w:val="center"/>
              <w:rPr>
                <w:rFonts w:ascii="Garamond" w:hAnsi="Garamond" w:cs="Calibri"/>
                <w:color w:val="000000"/>
                <w:sz w:val="24"/>
                <w:szCs w:val="24"/>
              </w:rPr>
            </w:pPr>
          </w:p>
        </w:tc>
      </w:tr>
      <w:tr w:rsidR="003F035B" w:rsidRPr="008F2082" w14:paraId="73D32BB6" w14:textId="77777777" w:rsidTr="00BF6E08">
        <w:trPr>
          <w:cantSplit/>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14:paraId="3982FA10" w14:textId="77777777" w:rsidR="003F035B" w:rsidRPr="008F2082" w:rsidRDefault="003F035B" w:rsidP="00E33E26">
            <w:pPr>
              <w:pStyle w:val="TableParagraph"/>
              <w:widowControl/>
              <w:rPr>
                <w:rFonts w:ascii="Garamond" w:hAnsi="Garamond" w:cs="Calibri"/>
                <w:color w:val="000000"/>
                <w:sz w:val="24"/>
                <w:szCs w:val="24"/>
              </w:rPr>
            </w:pPr>
            <w:r w:rsidRPr="008F2082">
              <w:rPr>
                <w:rFonts w:ascii="Garamond" w:hAnsi="Garamond" w:cs="Calibri"/>
                <w:color w:val="000000"/>
                <w:sz w:val="24"/>
                <w:szCs w:val="24"/>
              </w:rPr>
              <w:t>(N) Preço FOB para o Brasil (J-K-L)</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70C00BBB"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128EEF8F" w14:textId="77777777" w:rsidR="003F035B" w:rsidRPr="008F2082" w:rsidRDefault="003F035B" w:rsidP="00E33E26">
            <w:pPr>
              <w:pStyle w:val="TableParagraph"/>
              <w:widowControl/>
              <w:jc w:val="center"/>
              <w:rPr>
                <w:rFonts w:ascii="Garamond" w:hAnsi="Garamond" w:cs="Calibri"/>
                <w:color w:val="000000"/>
                <w:sz w:val="24"/>
                <w:szCs w:val="24"/>
              </w:rPr>
            </w:pPr>
            <w:r w:rsidRPr="008F2082">
              <w:rPr>
                <w:rFonts w:ascii="Garamond" w:hAnsi="Garamond" w:cs="Calibri"/>
                <w:color w:val="000000"/>
                <w:sz w:val="24"/>
                <w:szCs w:val="24"/>
              </w:rPr>
              <w:t>-</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108906B6" w14:textId="77777777" w:rsidR="003F035B" w:rsidRPr="008F2082" w:rsidRDefault="003F035B" w:rsidP="00E33E26">
            <w:pPr>
              <w:pStyle w:val="TableParagraph"/>
              <w:widowControl/>
              <w:tabs>
                <w:tab w:val="center" w:pos="750"/>
              </w:tabs>
              <w:jc w:val="center"/>
              <w:rPr>
                <w:rFonts w:ascii="Garamond" w:hAnsi="Garamond" w:cs="Calibri"/>
                <w:color w:val="000000"/>
                <w:sz w:val="24"/>
                <w:szCs w:val="24"/>
              </w:rPr>
            </w:pPr>
            <w:r w:rsidRPr="008F2082">
              <w:rPr>
                <w:rFonts w:ascii="Garamond" w:hAnsi="Garamond" w:cs="Calibri"/>
                <w:color w:val="000000"/>
                <w:sz w:val="24"/>
                <w:szCs w:val="24"/>
              </w:rPr>
              <w:t>-</w:t>
            </w:r>
          </w:p>
        </w:tc>
      </w:tr>
    </w:tbl>
    <w:p w14:paraId="07EBDC98" w14:textId="39490BE6" w:rsidR="003F035B" w:rsidRPr="00395593" w:rsidRDefault="003F035B" w:rsidP="00E33E26">
      <w:pPr>
        <w:tabs>
          <w:tab w:val="left" w:pos="1395"/>
        </w:tabs>
        <w:rPr>
          <w:rFonts w:ascii="Garamond" w:hAnsi="Garamond" w:cs="Calibri"/>
          <w:color w:val="000000"/>
          <w:sz w:val="18"/>
          <w:szCs w:val="18"/>
        </w:rPr>
      </w:pPr>
      <w:r w:rsidRPr="00395593">
        <w:rPr>
          <w:rFonts w:ascii="Garamond" w:hAnsi="Garamond" w:cs="Calibri"/>
          <w:sz w:val="18"/>
          <w:szCs w:val="18"/>
        </w:rPr>
        <w:br w:type="page"/>
      </w:r>
    </w:p>
    <w:tbl>
      <w:tblPr>
        <w:tblW w:w="6804" w:type="dxa"/>
        <w:jc w:val="center"/>
        <w:tblLayout w:type="fixed"/>
        <w:tblCellMar>
          <w:top w:w="57" w:type="dxa"/>
          <w:left w:w="70" w:type="dxa"/>
          <w:bottom w:w="57" w:type="dxa"/>
          <w:right w:w="70" w:type="dxa"/>
        </w:tblCellMar>
        <w:tblLook w:val="04A0" w:firstRow="1" w:lastRow="0" w:firstColumn="1" w:lastColumn="0" w:noHBand="0" w:noVBand="1"/>
      </w:tblPr>
      <w:tblGrid>
        <w:gridCol w:w="4606"/>
        <w:gridCol w:w="2198"/>
      </w:tblGrid>
      <w:tr w:rsidR="003F035B" w:rsidRPr="008F2082" w14:paraId="35AB861B" w14:textId="77777777" w:rsidTr="00BF6E08">
        <w:trPr>
          <w:cantSplit/>
          <w:jc w:val="center"/>
        </w:trPr>
        <w:tc>
          <w:tcPr>
            <w:tcW w:w="6804" w:type="dxa"/>
            <w:gridSpan w:val="2"/>
            <w:tcBorders>
              <w:bottom w:val="single" w:sz="4" w:space="0" w:color="auto"/>
            </w:tcBorders>
            <w:shd w:val="clear" w:color="auto" w:fill="auto"/>
            <w:noWrap/>
            <w:vAlign w:val="center"/>
          </w:tcPr>
          <w:p w14:paraId="7E7A78F9" w14:textId="77777777" w:rsidR="003F035B" w:rsidRPr="008F2082" w:rsidRDefault="003F035B" w:rsidP="00E33E26">
            <w:pPr>
              <w:pStyle w:val="TextosemFormatao"/>
              <w:jc w:val="center"/>
              <w:rPr>
                <w:rFonts w:ascii="Garamond" w:hAnsi="Garamond" w:cs="Calibri"/>
                <w:b/>
                <w:color w:val="000000"/>
                <w:sz w:val="24"/>
                <w:szCs w:val="24"/>
              </w:rPr>
            </w:pPr>
            <w:r w:rsidRPr="008F2082">
              <w:rPr>
                <w:rFonts w:ascii="Garamond" w:hAnsi="Garamond" w:cs="Calibri"/>
                <w:b/>
                <w:color w:val="000000"/>
                <w:sz w:val="24"/>
                <w:szCs w:val="24"/>
              </w:rPr>
              <w:t>APÊNDICE XXV</w:t>
            </w:r>
          </w:p>
          <w:p w14:paraId="7FFCA9B3" w14:textId="77777777" w:rsidR="003F035B" w:rsidRDefault="003F035B" w:rsidP="00E33E26">
            <w:pPr>
              <w:pStyle w:val="TextosemFormatao"/>
              <w:jc w:val="center"/>
              <w:rPr>
                <w:rFonts w:ascii="Garamond" w:hAnsi="Garamond" w:cs="Calibri"/>
                <w:b/>
                <w:color w:val="000000"/>
                <w:sz w:val="24"/>
                <w:szCs w:val="24"/>
              </w:rPr>
            </w:pPr>
            <w:r w:rsidRPr="008F2082">
              <w:rPr>
                <w:rFonts w:ascii="Garamond" w:hAnsi="Garamond" w:cs="Calibri"/>
                <w:b/>
                <w:color w:val="000000"/>
                <w:sz w:val="24"/>
                <w:szCs w:val="24"/>
              </w:rPr>
              <w:t>VALOR NORMAL MÉDIO INTERNALIZADO NO MERCADO BRASILEIRO</w:t>
            </w:r>
          </w:p>
          <w:p w14:paraId="3B7FECC8" w14:textId="441F4DE9" w:rsidR="00102D95" w:rsidRPr="008F2082" w:rsidRDefault="00102D95" w:rsidP="00E33E26">
            <w:pPr>
              <w:pStyle w:val="TextosemFormatao"/>
              <w:jc w:val="center"/>
              <w:rPr>
                <w:rFonts w:ascii="Garamond" w:hAnsi="Garamond" w:cs="Calibri"/>
                <w:b/>
                <w:color w:val="000000"/>
                <w:sz w:val="24"/>
                <w:szCs w:val="24"/>
              </w:rPr>
            </w:pPr>
          </w:p>
        </w:tc>
      </w:tr>
      <w:tr w:rsidR="003F035B" w:rsidRPr="008F2082" w14:paraId="08BA840F" w14:textId="77777777" w:rsidTr="00BF6E08">
        <w:trPr>
          <w:cantSplit/>
          <w:jc w:val="center"/>
        </w:trPr>
        <w:tc>
          <w:tcPr>
            <w:tcW w:w="4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47E4C" w14:textId="77777777" w:rsidR="003F035B" w:rsidRPr="008F2082" w:rsidRDefault="003F035B" w:rsidP="00BF6E08">
            <w:pPr>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Rubrica</w:t>
            </w:r>
          </w:p>
        </w:tc>
        <w:tc>
          <w:tcPr>
            <w:tcW w:w="2198" w:type="dxa"/>
            <w:tcBorders>
              <w:top w:val="single" w:sz="4" w:space="0" w:color="auto"/>
              <w:left w:val="nil"/>
              <w:bottom w:val="single" w:sz="4" w:space="0" w:color="auto"/>
              <w:right w:val="single" w:sz="4" w:space="0" w:color="auto"/>
            </w:tcBorders>
            <w:shd w:val="clear" w:color="auto" w:fill="auto"/>
            <w:noWrap/>
            <w:vAlign w:val="center"/>
            <w:hideMark/>
          </w:tcPr>
          <w:p w14:paraId="2EADDDD6" w14:textId="77777777" w:rsidR="003F035B" w:rsidRPr="008F2082" w:rsidRDefault="003F035B" w:rsidP="00BF6E08">
            <w:pPr>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Preço Unitário</w:t>
            </w:r>
          </w:p>
          <w:p w14:paraId="5F24255F" w14:textId="77777777" w:rsidR="003F035B" w:rsidRPr="008F2082" w:rsidRDefault="003F035B" w:rsidP="00BF6E08">
            <w:pPr>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(indicar moeda/unidade)</w:t>
            </w:r>
          </w:p>
        </w:tc>
      </w:tr>
      <w:tr w:rsidR="003F035B" w:rsidRPr="008F2082" w14:paraId="71A06782" w14:textId="77777777" w:rsidTr="00BF6E08">
        <w:trPr>
          <w:cantSplit/>
          <w:jc w:val="center"/>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14:paraId="7668DF0E" w14:textId="77777777" w:rsidR="003F035B" w:rsidRPr="008F2082" w:rsidRDefault="003F035B" w:rsidP="00BF6E08">
            <w:pPr>
              <w:spacing w:after="0" w:line="240" w:lineRule="auto"/>
              <w:rPr>
                <w:rFonts w:ascii="Garamond" w:hAnsi="Garamond" w:cs="Calibri"/>
                <w:b/>
                <w:color w:val="000000"/>
                <w:sz w:val="24"/>
                <w:szCs w:val="24"/>
              </w:rPr>
            </w:pPr>
            <w:r w:rsidRPr="008F2082">
              <w:rPr>
                <w:rFonts w:ascii="Garamond" w:hAnsi="Garamond" w:cs="Calibri"/>
                <w:b/>
                <w:color w:val="000000"/>
                <w:sz w:val="24"/>
                <w:szCs w:val="24"/>
              </w:rPr>
              <w:t>(A) Preço ex fabrica de venda do produto no mercado do país exportador</w:t>
            </w:r>
          </w:p>
        </w:tc>
        <w:tc>
          <w:tcPr>
            <w:tcW w:w="2198" w:type="dxa"/>
            <w:tcBorders>
              <w:top w:val="nil"/>
              <w:left w:val="nil"/>
              <w:bottom w:val="single" w:sz="4" w:space="0" w:color="auto"/>
              <w:right w:val="single" w:sz="4" w:space="0" w:color="auto"/>
            </w:tcBorders>
            <w:shd w:val="clear" w:color="auto" w:fill="auto"/>
            <w:noWrap/>
            <w:vAlign w:val="center"/>
            <w:hideMark/>
          </w:tcPr>
          <w:p w14:paraId="3042115A" w14:textId="77777777" w:rsidR="003F035B" w:rsidRPr="008F2082" w:rsidRDefault="003F035B" w:rsidP="00BF6E08">
            <w:pPr>
              <w:spacing w:after="0" w:line="240" w:lineRule="auto"/>
              <w:jc w:val="center"/>
              <w:rPr>
                <w:rFonts w:ascii="Garamond" w:hAnsi="Garamond" w:cs="Calibri"/>
                <w:b/>
                <w:color w:val="000000"/>
                <w:sz w:val="24"/>
                <w:szCs w:val="24"/>
              </w:rPr>
            </w:pPr>
          </w:p>
        </w:tc>
      </w:tr>
      <w:tr w:rsidR="003F035B" w:rsidRPr="008F2082" w14:paraId="7980A970" w14:textId="77777777" w:rsidTr="00BF6E08">
        <w:trPr>
          <w:cantSplit/>
          <w:jc w:val="center"/>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14:paraId="31AFE0CF" w14:textId="77777777" w:rsidR="003F035B" w:rsidRPr="008F2082" w:rsidRDefault="003F035B" w:rsidP="00BF6E08">
            <w:pPr>
              <w:spacing w:after="0" w:line="240" w:lineRule="auto"/>
              <w:rPr>
                <w:rFonts w:ascii="Garamond" w:hAnsi="Garamond" w:cs="Calibri"/>
                <w:b/>
                <w:color w:val="000000"/>
                <w:sz w:val="24"/>
                <w:szCs w:val="24"/>
              </w:rPr>
            </w:pPr>
            <w:r w:rsidRPr="008F2082">
              <w:rPr>
                <w:rFonts w:ascii="Garamond" w:hAnsi="Garamond" w:cs="Calibri"/>
                <w:b/>
                <w:color w:val="000000"/>
                <w:sz w:val="24"/>
                <w:szCs w:val="24"/>
              </w:rPr>
              <w:t>(B) Frete interno no país exportador</w:t>
            </w:r>
          </w:p>
        </w:tc>
        <w:tc>
          <w:tcPr>
            <w:tcW w:w="2198" w:type="dxa"/>
            <w:tcBorders>
              <w:top w:val="nil"/>
              <w:left w:val="nil"/>
              <w:bottom w:val="single" w:sz="4" w:space="0" w:color="auto"/>
              <w:right w:val="single" w:sz="4" w:space="0" w:color="auto"/>
            </w:tcBorders>
            <w:shd w:val="clear" w:color="auto" w:fill="auto"/>
            <w:noWrap/>
            <w:vAlign w:val="center"/>
            <w:hideMark/>
          </w:tcPr>
          <w:p w14:paraId="43504555" w14:textId="77777777" w:rsidR="003F035B" w:rsidRPr="008F2082" w:rsidRDefault="003F035B" w:rsidP="00BF6E08">
            <w:pPr>
              <w:spacing w:after="0" w:line="240" w:lineRule="auto"/>
              <w:jc w:val="center"/>
              <w:rPr>
                <w:rFonts w:ascii="Garamond" w:hAnsi="Garamond" w:cs="Calibri"/>
                <w:b/>
                <w:color w:val="000000"/>
                <w:sz w:val="24"/>
                <w:szCs w:val="24"/>
              </w:rPr>
            </w:pPr>
          </w:p>
        </w:tc>
      </w:tr>
      <w:tr w:rsidR="003F035B" w:rsidRPr="008F2082" w14:paraId="613E56BA" w14:textId="77777777" w:rsidTr="00BF6E08">
        <w:trPr>
          <w:cantSplit/>
          <w:jc w:val="center"/>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14:paraId="57F12C8A" w14:textId="77777777" w:rsidR="003F035B" w:rsidRPr="008F2082" w:rsidRDefault="003F035B" w:rsidP="00BF6E08">
            <w:pPr>
              <w:spacing w:after="0" w:line="240" w:lineRule="auto"/>
              <w:rPr>
                <w:rFonts w:ascii="Garamond" w:hAnsi="Garamond" w:cs="Calibri"/>
                <w:b/>
                <w:color w:val="000000"/>
                <w:sz w:val="24"/>
                <w:szCs w:val="24"/>
              </w:rPr>
            </w:pPr>
            <w:r w:rsidRPr="008F2082">
              <w:rPr>
                <w:rFonts w:ascii="Garamond" w:hAnsi="Garamond" w:cs="Calibri"/>
                <w:b/>
                <w:color w:val="000000"/>
                <w:sz w:val="24"/>
                <w:szCs w:val="24"/>
              </w:rPr>
              <w:t>(C) Preço FOB (A+B)</w:t>
            </w:r>
          </w:p>
        </w:tc>
        <w:tc>
          <w:tcPr>
            <w:tcW w:w="2198" w:type="dxa"/>
            <w:tcBorders>
              <w:top w:val="nil"/>
              <w:left w:val="nil"/>
              <w:bottom w:val="single" w:sz="4" w:space="0" w:color="auto"/>
              <w:right w:val="single" w:sz="4" w:space="0" w:color="auto"/>
            </w:tcBorders>
            <w:shd w:val="clear" w:color="000000" w:fill="D9D9D9"/>
            <w:noWrap/>
            <w:vAlign w:val="center"/>
            <w:hideMark/>
          </w:tcPr>
          <w:p w14:paraId="5A4697E7" w14:textId="77777777" w:rsidR="003F035B" w:rsidRPr="008F2082" w:rsidRDefault="003F035B" w:rsidP="00BF6E08">
            <w:pPr>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0</w:t>
            </w:r>
          </w:p>
        </w:tc>
      </w:tr>
      <w:tr w:rsidR="003F035B" w:rsidRPr="008F2082" w14:paraId="69BF0422" w14:textId="77777777" w:rsidTr="00BF6E08">
        <w:trPr>
          <w:cantSplit/>
          <w:jc w:val="center"/>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14:paraId="2F92074C" w14:textId="77777777" w:rsidR="003F035B" w:rsidRPr="008F2082" w:rsidRDefault="003F035B" w:rsidP="00BF6E08">
            <w:pPr>
              <w:spacing w:after="0" w:line="240" w:lineRule="auto"/>
              <w:rPr>
                <w:rFonts w:ascii="Garamond" w:hAnsi="Garamond" w:cs="Calibri"/>
                <w:b/>
                <w:color w:val="000000"/>
                <w:sz w:val="24"/>
                <w:szCs w:val="24"/>
              </w:rPr>
            </w:pPr>
            <w:r w:rsidRPr="008F2082">
              <w:rPr>
                <w:rFonts w:ascii="Garamond" w:hAnsi="Garamond" w:cs="Calibri"/>
                <w:b/>
                <w:color w:val="000000"/>
                <w:sz w:val="24"/>
                <w:szCs w:val="24"/>
              </w:rPr>
              <w:t>(D) Frete internacional</w:t>
            </w:r>
          </w:p>
        </w:tc>
        <w:tc>
          <w:tcPr>
            <w:tcW w:w="2198" w:type="dxa"/>
            <w:tcBorders>
              <w:top w:val="nil"/>
              <w:left w:val="nil"/>
              <w:bottom w:val="single" w:sz="4" w:space="0" w:color="auto"/>
              <w:right w:val="single" w:sz="4" w:space="0" w:color="auto"/>
            </w:tcBorders>
            <w:shd w:val="clear" w:color="auto" w:fill="auto"/>
            <w:noWrap/>
            <w:vAlign w:val="center"/>
            <w:hideMark/>
          </w:tcPr>
          <w:p w14:paraId="102EAD67" w14:textId="77777777" w:rsidR="003F035B" w:rsidRPr="008F2082" w:rsidRDefault="003F035B" w:rsidP="00BF6E08">
            <w:pPr>
              <w:spacing w:after="0" w:line="240" w:lineRule="auto"/>
              <w:jc w:val="center"/>
              <w:rPr>
                <w:rFonts w:ascii="Garamond" w:hAnsi="Garamond" w:cs="Calibri"/>
                <w:b/>
                <w:color w:val="000000"/>
                <w:sz w:val="24"/>
                <w:szCs w:val="24"/>
              </w:rPr>
            </w:pPr>
          </w:p>
        </w:tc>
      </w:tr>
      <w:tr w:rsidR="003F035B" w:rsidRPr="008F2082" w14:paraId="603C8560" w14:textId="77777777" w:rsidTr="00BF6E08">
        <w:trPr>
          <w:cantSplit/>
          <w:jc w:val="center"/>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14:paraId="600E83A3" w14:textId="77777777" w:rsidR="003F035B" w:rsidRPr="008F2082" w:rsidRDefault="003F035B" w:rsidP="00BF6E08">
            <w:pPr>
              <w:spacing w:after="0" w:line="240" w:lineRule="auto"/>
              <w:rPr>
                <w:rFonts w:ascii="Garamond" w:hAnsi="Garamond" w:cs="Calibri"/>
                <w:b/>
                <w:color w:val="000000"/>
                <w:sz w:val="24"/>
                <w:szCs w:val="24"/>
              </w:rPr>
            </w:pPr>
            <w:r w:rsidRPr="008F2082">
              <w:rPr>
                <w:rFonts w:ascii="Garamond" w:hAnsi="Garamond" w:cs="Calibri"/>
                <w:b/>
                <w:color w:val="000000"/>
                <w:sz w:val="24"/>
                <w:szCs w:val="24"/>
              </w:rPr>
              <w:t>(E) Seguro internacional</w:t>
            </w:r>
          </w:p>
        </w:tc>
        <w:tc>
          <w:tcPr>
            <w:tcW w:w="2198" w:type="dxa"/>
            <w:tcBorders>
              <w:top w:val="nil"/>
              <w:left w:val="nil"/>
              <w:bottom w:val="single" w:sz="4" w:space="0" w:color="auto"/>
              <w:right w:val="single" w:sz="4" w:space="0" w:color="auto"/>
            </w:tcBorders>
            <w:shd w:val="clear" w:color="auto" w:fill="auto"/>
            <w:noWrap/>
            <w:vAlign w:val="center"/>
            <w:hideMark/>
          </w:tcPr>
          <w:p w14:paraId="27DCE4A6" w14:textId="77777777" w:rsidR="003F035B" w:rsidRPr="008F2082" w:rsidRDefault="003F035B" w:rsidP="00BF6E08">
            <w:pPr>
              <w:spacing w:after="0" w:line="240" w:lineRule="auto"/>
              <w:jc w:val="center"/>
              <w:rPr>
                <w:rFonts w:ascii="Garamond" w:hAnsi="Garamond" w:cs="Calibri"/>
                <w:b/>
                <w:color w:val="000000"/>
                <w:sz w:val="24"/>
                <w:szCs w:val="24"/>
              </w:rPr>
            </w:pPr>
          </w:p>
        </w:tc>
      </w:tr>
      <w:tr w:rsidR="003F035B" w:rsidRPr="008F2082" w14:paraId="69074299" w14:textId="77777777" w:rsidTr="00BF6E08">
        <w:trPr>
          <w:cantSplit/>
          <w:jc w:val="center"/>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14:paraId="0CD5A23F" w14:textId="77777777" w:rsidR="003F035B" w:rsidRPr="008F2082" w:rsidRDefault="003F035B" w:rsidP="00BF6E08">
            <w:pPr>
              <w:spacing w:after="0" w:line="240" w:lineRule="auto"/>
              <w:rPr>
                <w:rFonts w:ascii="Garamond" w:hAnsi="Garamond" w:cs="Calibri"/>
                <w:b/>
                <w:color w:val="000000"/>
                <w:sz w:val="24"/>
                <w:szCs w:val="24"/>
              </w:rPr>
            </w:pPr>
            <w:r w:rsidRPr="008F2082">
              <w:rPr>
                <w:rFonts w:ascii="Garamond" w:hAnsi="Garamond" w:cs="Calibri"/>
                <w:b/>
                <w:color w:val="000000"/>
                <w:sz w:val="24"/>
                <w:szCs w:val="24"/>
              </w:rPr>
              <w:t>(F) Preço CIF (C+D+E)</w:t>
            </w:r>
          </w:p>
        </w:tc>
        <w:tc>
          <w:tcPr>
            <w:tcW w:w="2198" w:type="dxa"/>
            <w:tcBorders>
              <w:top w:val="nil"/>
              <w:left w:val="nil"/>
              <w:bottom w:val="single" w:sz="4" w:space="0" w:color="auto"/>
              <w:right w:val="single" w:sz="4" w:space="0" w:color="auto"/>
            </w:tcBorders>
            <w:shd w:val="clear" w:color="000000" w:fill="D9D9D9"/>
            <w:noWrap/>
            <w:vAlign w:val="center"/>
            <w:hideMark/>
          </w:tcPr>
          <w:p w14:paraId="7ABE13B7" w14:textId="77777777" w:rsidR="003F035B" w:rsidRPr="008F2082" w:rsidRDefault="003F035B" w:rsidP="00BF6E08">
            <w:pPr>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0</w:t>
            </w:r>
          </w:p>
        </w:tc>
      </w:tr>
      <w:tr w:rsidR="003F035B" w:rsidRPr="008F2082" w14:paraId="483E91AE" w14:textId="77777777" w:rsidTr="00BF6E08">
        <w:trPr>
          <w:cantSplit/>
          <w:jc w:val="center"/>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14:paraId="5692CFCE" w14:textId="77777777" w:rsidR="003F035B" w:rsidRPr="008F2082" w:rsidRDefault="003F035B" w:rsidP="00BF6E08">
            <w:pPr>
              <w:spacing w:after="0" w:line="240" w:lineRule="auto"/>
              <w:rPr>
                <w:rFonts w:ascii="Garamond" w:hAnsi="Garamond" w:cs="Calibri"/>
                <w:b/>
                <w:color w:val="000000"/>
                <w:sz w:val="24"/>
                <w:szCs w:val="24"/>
              </w:rPr>
            </w:pPr>
            <w:r w:rsidRPr="008F2082">
              <w:rPr>
                <w:rFonts w:ascii="Garamond" w:hAnsi="Garamond" w:cs="Calibri"/>
                <w:b/>
                <w:color w:val="000000"/>
                <w:sz w:val="24"/>
                <w:szCs w:val="24"/>
              </w:rPr>
              <w:t>(G) Imposto de Importação</w:t>
            </w:r>
          </w:p>
        </w:tc>
        <w:tc>
          <w:tcPr>
            <w:tcW w:w="2198" w:type="dxa"/>
            <w:tcBorders>
              <w:top w:val="nil"/>
              <w:left w:val="nil"/>
              <w:bottom w:val="single" w:sz="4" w:space="0" w:color="auto"/>
              <w:right w:val="single" w:sz="4" w:space="0" w:color="auto"/>
            </w:tcBorders>
            <w:shd w:val="clear" w:color="auto" w:fill="auto"/>
            <w:noWrap/>
            <w:vAlign w:val="center"/>
            <w:hideMark/>
          </w:tcPr>
          <w:p w14:paraId="593B0513" w14:textId="77777777" w:rsidR="003F035B" w:rsidRPr="008F2082" w:rsidRDefault="003F035B" w:rsidP="00BF6E08">
            <w:pPr>
              <w:spacing w:after="0" w:line="240" w:lineRule="auto"/>
              <w:jc w:val="center"/>
              <w:rPr>
                <w:rFonts w:ascii="Garamond" w:hAnsi="Garamond" w:cs="Calibri"/>
                <w:b/>
                <w:color w:val="000000"/>
                <w:sz w:val="24"/>
                <w:szCs w:val="24"/>
              </w:rPr>
            </w:pPr>
          </w:p>
        </w:tc>
      </w:tr>
      <w:tr w:rsidR="003F035B" w:rsidRPr="008F2082" w14:paraId="795E8406" w14:textId="77777777" w:rsidTr="00BF6E08">
        <w:trPr>
          <w:cantSplit/>
          <w:jc w:val="center"/>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14:paraId="236789A5" w14:textId="77777777" w:rsidR="003F035B" w:rsidRPr="008F2082" w:rsidRDefault="003F035B" w:rsidP="00BF6E08">
            <w:pPr>
              <w:spacing w:after="0" w:line="240" w:lineRule="auto"/>
              <w:rPr>
                <w:rFonts w:ascii="Garamond" w:hAnsi="Garamond" w:cs="Calibri"/>
                <w:b/>
                <w:color w:val="000000"/>
                <w:sz w:val="24"/>
                <w:szCs w:val="24"/>
              </w:rPr>
            </w:pPr>
            <w:r w:rsidRPr="008F2082">
              <w:rPr>
                <w:rFonts w:ascii="Garamond" w:hAnsi="Garamond" w:cs="Calibri"/>
                <w:b/>
                <w:color w:val="000000"/>
                <w:sz w:val="24"/>
                <w:szCs w:val="24"/>
              </w:rPr>
              <w:t>(H) AFRMM (25% s/ frete marítimo)</w:t>
            </w:r>
          </w:p>
        </w:tc>
        <w:tc>
          <w:tcPr>
            <w:tcW w:w="2198" w:type="dxa"/>
            <w:tcBorders>
              <w:top w:val="nil"/>
              <w:left w:val="nil"/>
              <w:bottom w:val="single" w:sz="4" w:space="0" w:color="auto"/>
              <w:right w:val="single" w:sz="4" w:space="0" w:color="auto"/>
            </w:tcBorders>
            <w:shd w:val="clear" w:color="auto" w:fill="auto"/>
            <w:noWrap/>
            <w:vAlign w:val="center"/>
            <w:hideMark/>
          </w:tcPr>
          <w:p w14:paraId="561832B7" w14:textId="77777777" w:rsidR="003F035B" w:rsidRPr="008F2082" w:rsidRDefault="003F035B" w:rsidP="00BF6E08">
            <w:pPr>
              <w:spacing w:after="0" w:line="240" w:lineRule="auto"/>
              <w:jc w:val="center"/>
              <w:rPr>
                <w:rFonts w:ascii="Garamond" w:hAnsi="Garamond" w:cs="Calibri"/>
                <w:b/>
                <w:color w:val="000000"/>
                <w:sz w:val="24"/>
                <w:szCs w:val="24"/>
              </w:rPr>
            </w:pPr>
          </w:p>
        </w:tc>
      </w:tr>
      <w:tr w:rsidR="003F035B" w:rsidRPr="008F2082" w14:paraId="4BC4C266" w14:textId="77777777" w:rsidTr="00BF6E08">
        <w:trPr>
          <w:cantSplit/>
          <w:jc w:val="center"/>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14:paraId="39FBC973" w14:textId="77777777" w:rsidR="003F035B" w:rsidRPr="008F2082" w:rsidRDefault="003F035B" w:rsidP="00BF6E08">
            <w:pPr>
              <w:spacing w:after="0" w:line="240" w:lineRule="auto"/>
              <w:rPr>
                <w:rFonts w:ascii="Garamond" w:hAnsi="Garamond" w:cs="Calibri"/>
                <w:b/>
                <w:color w:val="000000"/>
                <w:sz w:val="24"/>
                <w:szCs w:val="24"/>
              </w:rPr>
            </w:pPr>
            <w:r w:rsidRPr="008F2082">
              <w:rPr>
                <w:rFonts w:ascii="Garamond" w:hAnsi="Garamond" w:cs="Calibri"/>
                <w:b/>
                <w:color w:val="000000"/>
                <w:sz w:val="24"/>
                <w:szCs w:val="24"/>
              </w:rPr>
              <w:t>(I) Despesas de Internação</w:t>
            </w:r>
          </w:p>
        </w:tc>
        <w:tc>
          <w:tcPr>
            <w:tcW w:w="2198" w:type="dxa"/>
            <w:tcBorders>
              <w:top w:val="nil"/>
              <w:left w:val="nil"/>
              <w:bottom w:val="single" w:sz="4" w:space="0" w:color="auto"/>
              <w:right w:val="single" w:sz="4" w:space="0" w:color="auto"/>
            </w:tcBorders>
            <w:shd w:val="clear" w:color="auto" w:fill="auto"/>
            <w:noWrap/>
            <w:vAlign w:val="center"/>
            <w:hideMark/>
          </w:tcPr>
          <w:p w14:paraId="0B6C1094" w14:textId="77777777" w:rsidR="003F035B" w:rsidRPr="008F2082" w:rsidRDefault="003F035B" w:rsidP="00BF6E08">
            <w:pPr>
              <w:spacing w:after="0" w:line="240" w:lineRule="auto"/>
              <w:jc w:val="center"/>
              <w:rPr>
                <w:rFonts w:ascii="Garamond" w:hAnsi="Garamond" w:cs="Calibri"/>
                <w:b/>
                <w:color w:val="000000"/>
                <w:sz w:val="24"/>
                <w:szCs w:val="24"/>
              </w:rPr>
            </w:pPr>
          </w:p>
        </w:tc>
      </w:tr>
      <w:tr w:rsidR="003F035B" w:rsidRPr="008F2082" w14:paraId="6CDAE03E" w14:textId="77777777" w:rsidTr="00BF6E08">
        <w:trPr>
          <w:cantSplit/>
          <w:jc w:val="center"/>
        </w:trPr>
        <w:tc>
          <w:tcPr>
            <w:tcW w:w="4606" w:type="dxa"/>
            <w:tcBorders>
              <w:top w:val="nil"/>
              <w:left w:val="single" w:sz="4" w:space="0" w:color="auto"/>
              <w:bottom w:val="single" w:sz="4" w:space="0" w:color="auto"/>
              <w:right w:val="single" w:sz="4" w:space="0" w:color="auto"/>
            </w:tcBorders>
            <w:shd w:val="clear" w:color="auto" w:fill="auto"/>
            <w:noWrap/>
            <w:vAlign w:val="center"/>
            <w:hideMark/>
          </w:tcPr>
          <w:p w14:paraId="5662AB94" w14:textId="77777777" w:rsidR="003F035B" w:rsidRPr="008F2082" w:rsidRDefault="003F035B" w:rsidP="00BF6E08">
            <w:pPr>
              <w:spacing w:after="0" w:line="240" w:lineRule="auto"/>
              <w:rPr>
                <w:rFonts w:ascii="Garamond" w:hAnsi="Garamond" w:cs="Calibri"/>
                <w:b/>
                <w:color w:val="000000"/>
                <w:sz w:val="24"/>
                <w:szCs w:val="24"/>
              </w:rPr>
            </w:pPr>
            <w:r w:rsidRPr="008F2082">
              <w:rPr>
                <w:rFonts w:ascii="Garamond" w:hAnsi="Garamond" w:cs="Calibri"/>
                <w:b/>
                <w:color w:val="000000"/>
                <w:sz w:val="24"/>
                <w:szCs w:val="24"/>
              </w:rPr>
              <w:t>(J) Preço CIF Internado (F+G+H+I)</w:t>
            </w:r>
          </w:p>
        </w:tc>
        <w:tc>
          <w:tcPr>
            <w:tcW w:w="2198" w:type="dxa"/>
            <w:tcBorders>
              <w:top w:val="nil"/>
              <w:left w:val="nil"/>
              <w:bottom w:val="single" w:sz="4" w:space="0" w:color="auto"/>
              <w:right w:val="single" w:sz="4" w:space="0" w:color="auto"/>
            </w:tcBorders>
            <w:shd w:val="clear" w:color="000000" w:fill="D9D9D9"/>
            <w:noWrap/>
            <w:vAlign w:val="center"/>
            <w:hideMark/>
          </w:tcPr>
          <w:p w14:paraId="225D3584" w14:textId="77777777" w:rsidR="003F035B" w:rsidRPr="008F2082" w:rsidRDefault="003F035B" w:rsidP="00BF6E08">
            <w:pPr>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0</w:t>
            </w:r>
          </w:p>
        </w:tc>
      </w:tr>
    </w:tbl>
    <w:p w14:paraId="23D99BD1" w14:textId="77777777" w:rsidR="003F035B" w:rsidRPr="00395593" w:rsidRDefault="003F035B" w:rsidP="00E33E26">
      <w:pPr>
        <w:rPr>
          <w:rFonts w:ascii="Garamond" w:hAnsi="Garamond" w:cs="Calibri"/>
          <w:color w:val="000000"/>
          <w:sz w:val="18"/>
          <w:szCs w:val="18"/>
        </w:rPr>
      </w:pPr>
    </w:p>
    <w:p w14:paraId="0973C512" w14:textId="77777777" w:rsidR="00FC627D" w:rsidRPr="005C5CBD" w:rsidRDefault="00FC627D">
      <w:pPr>
        <w:rPr>
          <w:rFonts w:ascii="Garamond" w:hAnsi="Garamond"/>
        </w:rPr>
      </w:pPr>
      <w:r w:rsidRPr="005C5CBD">
        <w:rPr>
          <w:rFonts w:ascii="Garamond" w:hAnsi="Garamond"/>
        </w:rPr>
        <w:br w:type="page"/>
      </w:r>
    </w:p>
    <w:tbl>
      <w:tblPr>
        <w:tblW w:w="6804" w:type="dxa"/>
        <w:jc w:val="center"/>
        <w:tblLayout w:type="fixed"/>
        <w:tblCellMar>
          <w:top w:w="57" w:type="dxa"/>
          <w:left w:w="70" w:type="dxa"/>
          <w:bottom w:w="57" w:type="dxa"/>
          <w:right w:w="70" w:type="dxa"/>
        </w:tblCellMar>
        <w:tblLook w:val="04A0" w:firstRow="1" w:lastRow="0" w:firstColumn="1" w:lastColumn="0" w:noHBand="0" w:noVBand="1"/>
      </w:tblPr>
      <w:tblGrid>
        <w:gridCol w:w="1153"/>
        <w:gridCol w:w="1153"/>
        <w:gridCol w:w="2249"/>
        <w:gridCol w:w="2249"/>
      </w:tblGrid>
      <w:tr w:rsidR="003F035B" w:rsidRPr="008F2082" w14:paraId="75CA8908" w14:textId="77777777" w:rsidTr="00BF6E08">
        <w:trPr>
          <w:jc w:val="center"/>
        </w:trPr>
        <w:tc>
          <w:tcPr>
            <w:tcW w:w="6804" w:type="dxa"/>
            <w:gridSpan w:val="4"/>
            <w:tcBorders>
              <w:top w:val="nil"/>
              <w:left w:val="nil"/>
              <w:bottom w:val="single" w:sz="4" w:space="0" w:color="auto"/>
            </w:tcBorders>
            <w:shd w:val="clear" w:color="auto" w:fill="auto"/>
            <w:noWrap/>
            <w:vAlign w:val="center"/>
          </w:tcPr>
          <w:p w14:paraId="6E3B6CFA" w14:textId="31E06AF3" w:rsidR="003F035B" w:rsidRPr="008F2082" w:rsidRDefault="003F035B" w:rsidP="00E33E26">
            <w:pPr>
              <w:pStyle w:val="TextosemFormatao"/>
              <w:tabs>
                <w:tab w:val="center" w:pos="4252"/>
                <w:tab w:val="left" w:pos="6435"/>
              </w:tabs>
              <w:jc w:val="center"/>
              <w:rPr>
                <w:rFonts w:ascii="Garamond" w:hAnsi="Garamond" w:cs="Calibri"/>
                <w:b/>
                <w:color w:val="000000"/>
                <w:sz w:val="24"/>
                <w:szCs w:val="24"/>
              </w:rPr>
            </w:pPr>
            <w:r w:rsidRPr="008F2082">
              <w:rPr>
                <w:rFonts w:ascii="Garamond" w:hAnsi="Garamond" w:cs="Calibri"/>
                <w:b/>
                <w:color w:val="000000"/>
                <w:sz w:val="24"/>
                <w:szCs w:val="24"/>
              </w:rPr>
              <w:t>APÊNDICE XXVI</w:t>
            </w:r>
          </w:p>
          <w:p w14:paraId="5D02C62C" w14:textId="77777777" w:rsidR="003F035B" w:rsidRDefault="003F035B" w:rsidP="00BF6E08">
            <w:pPr>
              <w:tabs>
                <w:tab w:val="left" w:pos="2070"/>
                <w:tab w:val="center" w:pos="4252"/>
                <w:tab w:val="left" w:pos="7110"/>
              </w:tabs>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CAPACIDADE INSTALADA E PRODUÇÃO</w:t>
            </w:r>
          </w:p>
          <w:p w14:paraId="78D09AAB" w14:textId="469BAB2D" w:rsidR="00102D95" w:rsidRPr="008F2082" w:rsidRDefault="00102D95" w:rsidP="00BF6E08">
            <w:pPr>
              <w:tabs>
                <w:tab w:val="left" w:pos="2070"/>
                <w:tab w:val="center" w:pos="4252"/>
                <w:tab w:val="left" w:pos="7110"/>
              </w:tabs>
              <w:spacing w:after="0" w:line="240" w:lineRule="auto"/>
              <w:jc w:val="center"/>
              <w:rPr>
                <w:rFonts w:ascii="Garamond" w:hAnsi="Garamond" w:cs="Calibri"/>
                <w:b/>
                <w:color w:val="000000"/>
                <w:sz w:val="24"/>
                <w:szCs w:val="24"/>
              </w:rPr>
            </w:pPr>
          </w:p>
        </w:tc>
      </w:tr>
      <w:tr w:rsidR="003F035B" w:rsidRPr="008F2082" w14:paraId="1B6F88E9" w14:textId="77777777" w:rsidTr="00BF6E08">
        <w:trPr>
          <w:jc w:val="center"/>
        </w:trPr>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7DBEF" w14:textId="77777777" w:rsidR="003F035B" w:rsidRPr="008F2082" w:rsidRDefault="003F035B" w:rsidP="00BF6E08">
            <w:pPr>
              <w:spacing w:after="0" w:line="240" w:lineRule="auto"/>
              <w:jc w:val="center"/>
              <w:rPr>
                <w:rFonts w:ascii="Garamond" w:hAnsi="Garamond" w:cs="Calibri"/>
                <w:b/>
                <w:color w:val="000000"/>
                <w:sz w:val="24"/>
                <w:szCs w:val="24"/>
              </w:rPr>
            </w:pP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D4C8C" w14:textId="77777777" w:rsidR="003F035B" w:rsidRPr="008F2082" w:rsidRDefault="003F035B" w:rsidP="00BF6E08">
            <w:pPr>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Informar a unidade de medida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E5FEA" w14:textId="77777777" w:rsidR="003F035B" w:rsidRPr="008F2082" w:rsidRDefault="003F035B" w:rsidP="00BF6E08">
            <w:pPr>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Capacidade Instalada</w:t>
            </w:r>
          </w:p>
        </w:tc>
        <w:tc>
          <w:tcPr>
            <w:tcW w:w="22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271AB" w14:textId="77777777" w:rsidR="003F035B" w:rsidRPr="008F2082" w:rsidRDefault="003F035B" w:rsidP="00BF6E08">
            <w:pPr>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Produção</w:t>
            </w:r>
          </w:p>
        </w:tc>
      </w:tr>
      <w:tr w:rsidR="003F035B" w:rsidRPr="008F2082" w14:paraId="364F5A51" w14:textId="77777777" w:rsidTr="00BF6E08">
        <w:trPr>
          <w:jc w:val="center"/>
        </w:trPr>
        <w:tc>
          <w:tcPr>
            <w:tcW w:w="115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0E419AE" w14:textId="77777777" w:rsidR="003F035B" w:rsidRPr="008F2082" w:rsidRDefault="003F035B" w:rsidP="00BF6E08">
            <w:pPr>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Período</w:t>
            </w:r>
          </w:p>
        </w:tc>
        <w:tc>
          <w:tcPr>
            <w:tcW w:w="1153" w:type="dxa"/>
            <w:tcBorders>
              <w:top w:val="single" w:sz="4" w:space="0" w:color="auto"/>
              <w:left w:val="nil"/>
              <w:bottom w:val="single" w:sz="4" w:space="0" w:color="auto"/>
              <w:right w:val="nil"/>
            </w:tcBorders>
            <w:shd w:val="clear" w:color="auto" w:fill="auto"/>
            <w:vAlign w:val="center"/>
            <w:hideMark/>
          </w:tcPr>
          <w:p w14:paraId="69B9E32D" w14:textId="77777777" w:rsidR="003F035B" w:rsidRPr="008F2082" w:rsidRDefault="003F035B" w:rsidP="00BF6E08">
            <w:pPr>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P1</w:t>
            </w:r>
          </w:p>
        </w:tc>
        <w:tc>
          <w:tcPr>
            <w:tcW w:w="2249" w:type="dxa"/>
            <w:tcBorders>
              <w:top w:val="single" w:sz="4" w:space="0" w:color="auto"/>
              <w:left w:val="single" w:sz="4" w:space="0" w:color="auto"/>
              <w:bottom w:val="nil"/>
              <w:right w:val="nil"/>
            </w:tcBorders>
            <w:shd w:val="clear" w:color="auto" w:fill="auto"/>
            <w:vAlign w:val="center"/>
            <w:hideMark/>
          </w:tcPr>
          <w:p w14:paraId="1B4D33AE" w14:textId="77777777" w:rsidR="003F035B" w:rsidRPr="008F2082" w:rsidRDefault="003F035B" w:rsidP="00BF6E08">
            <w:pPr>
              <w:spacing w:after="0" w:line="240" w:lineRule="auto"/>
              <w:jc w:val="center"/>
              <w:rPr>
                <w:rFonts w:ascii="Garamond" w:hAnsi="Garamond" w:cs="Calibri"/>
                <w:b/>
                <w:color w:val="000000"/>
                <w:sz w:val="24"/>
                <w:szCs w:val="24"/>
              </w:rPr>
            </w:pPr>
          </w:p>
        </w:tc>
        <w:tc>
          <w:tcPr>
            <w:tcW w:w="2249" w:type="dxa"/>
            <w:tcBorders>
              <w:top w:val="single" w:sz="4" w:space="0" w:color="auto"/>
              <w:left w:val="single" w:sz="4" w:space="0" w:color="auto"/>
              <w:bottom w:val="nil"/>
              <w:right w:val="single" w:sz="4" w:space="0" w:color="000000"/>
            </w:tcBorders>
            <w:shd w:val="clear" w:color="auto" w:fill="auto"/>
            <w:vAlign w:val="center"/>
            <w:hideMark/>
          </w:tcPr>
          <w:p w14:paraId="7BC45720" w14:textId="77777777" w:rsidR="003F035B" w:rsidRPr="008F2082" w:rsidRDefault="003F035B" w:rsidP="00BF6E08">
            <w:pPr>
              <w:spacing w:after="0" w:line="240" w:lineRule="auto"/>
              <w:jc w:val="center"/>
              <w:rPr>
                <w:rFonts w:ascii="Garamond" w:hAnsi="Garamond" w:cs="Calibri"/>
                <w:b/>
                <w:color w:val="000000"/>
                <w:sz w:val="24"/>
                <w:szCs w:val="24"/>
              </w:rPr>
            </w:pPr>
          </w:p>
        </w:tc>
      </w:tr>
      <w:tr w:rsidR="003F035B" w:rsidRPr="008F2082" w14:paraId="71C431E4" w14:textId="77777777" w:rsidTr="00BF6E08">
        <w:trPr>
          <w:jc w:val="center"/>
        </w:trPr>
        <w:tc>
          <w:tcPr>
            <w:tcW w:w="1153" w:type="dxa"/>
            <w:vMerge/>
            <w:tcBorders>
              <w:top w:val="single" w:sz="4" w:space="0" w:color="auto"/>
              <w:left w:val="single" w:sz="4" w:space="0" w:color="auto"/>
              <w:bottom w:val="single" w:sz="4" w:space="0" w:color="000000"/>
              <w:right w:val="single" w:sz="4" w:space="0" w:color="auto"/>
            </w:tcBorders>
            <w:vAlign w:val="center"/>
            <w:hideMark/>
          </w:tcPr>
          <w:p w14:paraId="1D489A4A" w14:textId="77777777" w:rsidR="003F035B" w:rsidRPr="008F2082" w:rsidRDefault="003F035B" w:rsidP="00BF6E08">
            <w:pPr>
              <w:spacing w:after="0" w:line="240" w:lineRule="auto"/>
              <w:rPr>
                <w:rFonts w:ascii="Garamond" w:hAnsi="Garamond" w:cs="Calibri"/>
                <w:b/>
                <w:color w:val="000000"/>
                <w:sz w:val="24"/>
                <w:szCs w:val="24"/>
              </w:rPr>
            </w:pPr>
          </w:p>
        </w:tc>
        <w:tc>
          <w:tcPr>
            <w:tcW w:w="1153" w:type="dxa"/>
            <w:tcBorders>
              <w:top w:val="nil"/>
              <w:left w:val="nil"/>
              <w:bottom w:val="single" w:sz="4" w:space="0" w:color="auto"/>
              <w:right w:val="nil"/>
            </w:tcBorders>
            <w:shd w:val="clear" w:color="auto" w:fill="auto"/>
            <w:vAlign w:val="center"/>
            <w:hideMark/>
          </w:tcPr>
          <w:p w14:paraId="0553B997" w14:textId="77777777" w:rsidR="003F035B" w:rsidRPr="008F2082" w:rsidRDefault="003F035B" w:rsidP="00BF6E08">
            <w:pPr>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P2</w:t>
            </w:r>
          </w:p>
        </w:tc>
        <w:tc>
          <w:tcPr>
            <w:tcW w:w="2249" w:type="dxa"/>
            <w:tcBorders>
              <w:top w:val="nil"/>
              <w:left w:val="single" w:sz="4" w:space="0" w:color="auto"/>
              <w:bottom w:val="nil"/>
              <w:right w:val="nil"/>
            </w:tcBorders>
            <w:shd w:val="clear" w:color="auto" w:fill="auto"/>
            <w:vAlign w:val="center"/>
            <w:hideMark/>
          </w:tcPr>
          <w:p w14:paraId="78038BE0" w14:textId="77777777" w:rsidR="003F035B" w:rsidRPr="008F2082" w:rsidRDefault="003F035B" w:rsidP="00BF6E08">
            <w:pPr>
              <w:spacing w:after="0" w:line="240" w:lineRule="auto"/>
              <w:jc w:val="center"/>
              <w:rPr>
                <w:rFonts w:ascii="Garamond" w:hAnsi="Garamond" w:cs="Calibri"/>
                <w:b/>
                <w:color w:val="000000"/>
                <w:sz w:val="24"/>
                <w:szCs w:val="24"/>
              </w:rPr>
            </w:pPr>
          </w:p>
        </w:tc>
        <w:tc>
          <w:tcPr>
            <w:tcW w:w="2249" w:type="dxa"/>
            <w:tcBorders>
              <w:top w:val="nil"/>
              <w:left w:val="single" w:sz="4" w:space="0" w:color="auto"/>
              <w:bottom w:val="nil"/>
              <w:right w:val="single" w:sz="4" w:space="0" w:color="000000"/>
            </w:tcBorders>
            <w:shd w:val="clear" w:color="auto" w:fill="auto"/>
            <w:vAlign w:val="center"/>
            <w:hideMark/>
          </w:tcPr>
          <w:p w14:paraId="3B1A0F27" w14:textId="77777777" w:rsidR="003F035B" w:rsidRPr="008F2082" w:rsidRDefault="003F035B" w:rsidP="00BF6E08">
            <w:pPr>
              <w:spacing w:after="0" w:line="240" w:lineRule="auto"/>
              <w:jc w:val="center"/>
              <w:rPr>
                <w:rFonts w:ascii="Garamond" w:hAnsi="Garamond" w:cs="Calibri"/>
                <w:b/>
                <w:color w:val="000000"/>
                <w:sz w:val="24"/>
                <w:szCs w:val="24"/>
              </w:rPr>
            </w:pPr>
          </w:p>
        </w:tc>
      </w:tr>
      <w:tr w:rsidR="003F035B" w:rsidRPr="008F2082" w14:paraId="0FC9442C" w14:textId="77777777" w:rsidTr="00BF6E08">
        <w:trPr>
          <w:jc w:val="center"/>
        </w:trPr>
        <w:tc>
          <w:tcPr>
            <w:tcW w:w="1153" w:type="dxa"/>
            <w:vMerge/>
            <w:tcBorders>
              <w:top w:val="single" w:sz="4" w:space="0" w:color="auto"/>
              <w:left w:val="single" w:sz="4" w:space="0" w:color="auto"/>
              <w:bottom w:val="single" w:sz="4" w:space="0" w:color="000000"/>
              <w:right w:val="single" w:sz="4" w:space="0" w:color="auto"/>
            </w:tcBorders>
            <w:vAlign w:val="center"/>
            <w:hideMark/>
          </w:tcPr>
          <w:p w14:paraId="0EBAF928" w14:textId="77777777" w:rsidR="003F035B" w:rsidRPr="008F2082" w:rsidRDefault="003F035B" w:rsidP="00BF6E08">
            <w:pPr>
              <w:spacing w:after="0" w:line="240" w:lineRule="auto"/>
              <w:rPr>
                <w:rFonts w:ascii="Garamond" w:hAnsi="Garamond" w:cs="Calibri"/>
                <w:b/>
                <w:color w:val="000000"/>
                <w:sz w:val="24"/>
                <w:szCs w:val="24"/>
              </w:rPr>
            </w:pPr>
          </w:p>
        </w:tc>
        <w:tc>
          <w:tcPr>
            <w:tcW w:w="1153" w:type="dxa"/>
            <w:tcBorders>
              <w:top w:val="nil"/>
              <w:left w:val="nil"/>
              <w:bottom w:val="single" w:sz="4" w:space="0" w:color="auto"/>
              <w:right w:val="nil"/>
            </w:tcBorders>
            <w:shd w:val="clear" w:color="auto" w:fill="auto"/>
            <w:vAlign w:val="center"/>
            <w:hideMark/>
          </w:tcPr>
          <w:p w14:paraId="35F53ACA" w14:textId="77777777" w:rsidR="003F035B" w:rsidRPr="008F2082" w:rsidRDefault="003F035B" w:rsidP="00BF6E08">
            <w:pPr>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P3</w:t>
            </w:r>
          </w:p>
        </w:tc>
        <w:tc>
          <w:tcPr>
            <w:tcW w:w="2249" w:type="dxa"/>
            <w:tcBorders>
              <w:top w:val="nil"/>
              <w:left w:val="single" w:sz="4" w:space="0" w:color="auto"/>
              <w:bottom w:val="nil"/>
              <w:right w:val="nil"/>
            </w:tcBorders>
            <w:shd w:val="clear" w:color="auto" w:fill="auto"/>
            <w:vAlign w:val="center"/>
            <w:hideMark/>
          </w:tcPr>
          <w:p w14:paraId="1BDD2742" w14:textId="77777777" w:rsidR="003F035B" w:rsidRPr="008F2082" w:rsidRDefault="003F035B" w:rsidP="00BF6E08">
            <w:pPr>
              <w:spacing w:after="0" w:line="240" w:lineRule="auto"/>
              <w:jc w:val="center"/>
              <w:rPr>
                <w:rFonts w:ascii="Garamond" w:hAnsi="Garamond" w:cs="Calibri"/>
                <w:b/>
                <w:color w:val="000000"/>
                <w:sz w:val="24"/>
                <w:szCs w:val="24"/>
              </w:rPr>
            </w:pPr>
          </w:p>
        </w:tc>
        <w:tc>
          <w:tcPr>
            <w:tcW w:w="2249" w:type="dxa"/>
            <w:tcBorders>
              <w:top w:val="nil"/>
              <w:left w:val="single" w:sz="4" w:space="0" w:color="auto"/>
              <w:bottom w:val="nil"/>
              <w:right w:val="single" w:sz="4" w:space="0" w:color="000000"/>
            </w:tcBorders>
            <w:shd w:val="clear" w:color="auto" w:fill="auto"/>
            <w:vAlign w:val="center"/>
            <w:hideMark/>
          </w:tcPr>
          <w:p w14:paraId="0E37DA95" w14:textId="77777777" w:rsidR="003F035B" w:rsidRPr="008F2082" w:rsidRDefault="003F035B" w:rsidP="00BF6E08">
            <w:pPr>
              <w:spacing w:after="0" w:line="240" w:lineRule="auto"/>
              <w:jc w:val="center"/>
              <w:rPr>
                <w:rFonts w:ascii="Garamond" w:hAnsi="Garamond" w:cs="Calibri"/>
                <w:b/>
                <w:color w:val="000000"/>
                <w:sz w:val="24"/>
                <w:szCs w:val="24"/>
              </w:rPr>
            </w:pPr>
          </w:p>
        </w:tc>
      </w:tr>
      <w:tr w:rsidR="003F035B" w:rsidRPr="008F2082" w14:paraId="23A0F750" w14:textId="77777777" w:rsidTr="00BF6E08">
        <w:trPr>
          <w:jc w:val="center"/>
        </w:trPr>
        <w:tc>
          <w:tcPr>
            <w:tcW w:w="1153" w:type="dxa"/>
            <w:vMerge/>
            <w:tcBorders>
              <w:top w:val="single" w:sz="4" w:space="0" w:color="auto"/>
              <w:left w:val="single" w:sz="4" w:space="0" w:color="auto"/>
              <w:bottom w:val="single" w:sz="4" w:space="0" w:color="000000"/>
              <w:right w:val="single" w:sz="4" w:space="0" w:color="auto"/>
            </w:tcBorders>
            <w:vAlign w:val="center"/>
            <w:hideMark/>
          </w:tcPr>
          <w:p w14:paraId="37490EBF" w14:textId="77777777" w:rsidR="003F035B" w:rsidRPr="008F2082" w:rsidRDefault="003F035B" w:rsidP="00BF6E08">
            <w:pPr>
              <w:spacing w:after="0" w:line="240" w:lineRule="auto"/>
              <w:rPr>
                <w:rFonts w:ascii="Garamond" w:hAnsi="Garamond" w:cs="Calibri"/>
                <w:b/>
                <w:color w:val="000000"/>
                <w:sz w:val="24"/>
                <w:szCs w:val="24"/>
              </w:rPr>
            </w:pPr>
          </w:p>
        </w:tc>
        <w:tc>
          <w:tcPr>
            <w:tcW w:w="1153" w:type="dxa"/>
            <w:tcBorders>
              <w:top w:val="nil"/>
              <w:left w:val="nil"/>
              <w:bottom w:val="single" w:sz="4" w:space="0" w:color="auto"/>
              <w:right w:val="nil"/>
            </w:tcBorders>
            <w:shd w:val="clear" w:color="auto" w:fill="auto"/>
            <w:vAlign w:val="center"/>
            <w:hideMark/>
          </w:tcPr>
          <w:p w14:paraId="08C78929" w14:textId="77777777" w:rsidR="003F035B" w:rsidRPr="008F2082" w:rsidRDefault="003F035B" w:rsidP="00BF6E08">
            <w:pPr>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P4</w:t>
            </w:r>
          </w:p>
        </w:tc>
        <w:tc>
          <w:tcPr>
            <w:tcW w:w="2249" w:type="dxa"/>
            <w:tcBorders>
              <w:top w:val="nil"/>
              <w:left w:val="single" w:sz="4" w:space="0" w:color="auto"/>
              <w:bottom w:val="nil"/>
              <w:right w:val="nil"/>
            </w:tcBorders>
            <w:shd w:val="clear" w:color="auto" w:fill="auto"/>
            <w:vAlign w:val="center"/>
            <w:hideMark/>
          </w:tcPr>
          <w:p w14:paraId="69E5A037" w14:textId="77777777" w:rsidR="003F035B" w:rsidRPr="008F2082" w:rsidRDefault="003F035B" w:rsidP="00BF6E08">
            <w:pPr>
              <w:spacing w:after="0" w:line="240" w:lineRule="auto"/>
              <w:jc w:val="center"/>
              <w:rPr>
                <w:rFonts w:ascii="Garamond" w:hAnsi="Garamond" w:cs="Calibri"/>
                <w:b/>
                <w:color w:val="000000"/>
                <w:sz w:val="24"/>
                <w:szCs w:val="24"/>
              </w:rPr>
            </w:pPr>
          </w:p>
        </w:tc>
        <w:tc>
          <w:tcPr>
            <w:tcW w:w="2249" w:type="dxa"/>
            <w:tcBorders>
              <w:top w:val="nil"/>
              <w:left w:val="single" w:sz="4" w:space="0" w:color="auto"/>
              <w:bottom w:val="nil"/>
              <w:right w:val="single" w:sz="4" w:space="0" w:color="000000"/>
            </w:tcBorders>
            <w:shd w:val="clear" w:color="auto" w:fill="auto"/>
            <w:vAlign w:val="center"/>
            <w:hideMark/>
          </w:tcPr>
          <w:p w14:paraId="29405245" w14:textId="77777777" w:rsidR="003F035B" w:rsidRPr="008F2082" w:rsidRDefault="003F035B" w:rsidP="00BF6E08">
            <w:pPr>
              <w:spacing w:after="0" w:line="240" w:lineRule="auto"/>
              <w:jc w:val="center"/>
              <w:rPr>
                <w:rFonts w:ascii="Garamond" w:hAnsi="Garamond" w:cs="Calibri"/>
                <w:b/>
                <w:color w:val="000000"/>
                <w:sz w:val="24"/>
                <w:szCs w:val="24"/>
              </w:rPr>
            </w:pPr>
          </w:p>
        </w:tc>
      </w:tr>
      <w:tr w:rsidR="003F035B" w:rsidRPr="008F2082" w14:paraId="5E707C2A" w14:textId="77777777" w:rsidTr="00BF6E08">
        <w:trPr>
          <w:jc w:val="center"/>
        </w:trPr>
        <w:tc>
          <w:tcPr>
            <w:tcW w:w="1153" w:type="dxa"/>
            <w:vMerge/>
            <w:tcBorders>
              <w:top w:val="single" w:sz="4" w:space="0" w:color="auto"/>
              <w:left w:val="single" w:sz="4" w:space="0" w:color="auto"/>
              <w:bottom w:val="single" w:sz="4" w:space="0" w:color="000000"/>
              <w:right w:val="single" w:sz="4" w:space="0" w:color="auto"/>
            </w:tcBorders>
            <w:vAlign w:val="center"/>
            <w:hideMark/>
          </w:tcPr>
          <w:p w14:paraId="713C6E28" w14:textId="77777777" w:rsidR="003F035B" w:rsidRPr="008F2082" w:rsidRDefault="003F035B" w:rsidP="00BF6E08">
            <w:pPr>
              <w:spacing w:after="0" w:line="240" w:lineRule="auto"/>
              <w:rPr>
                <w:rFonts w:ascii="Garamond" w:hAnsi="Garamond" w:cs="Calibri"/>
                <w:b/>
                <w:color w:val="000000"/>
                <w:sz w:val="24"/>
                <w:szCs w:val="24"/>
              </w:rPr>
            </w:pPr>
          </w:p>
        </w:tc>
        <w:tc>
          <w:tcPr>
            <w:tcW w:w="1153" w:type="dxa"/>
            <w:tcBorders>
              <w:top w:val="nil"/>
              <w:left w:val="nil"/>
              <w:bottom w:val="single" w:sz="4" w:space="0" w:color="auto"/>
              <w:right w:val="nil"/>
            </w:tcBorders>
            <w:shd w:val="clear" w:color="auto" w:fill="auto"/>
            <w:vAlign w:val="center"/>
            <w:hideMark/>
          </w:tcPr>
          <w:p w14:paraId="365AFA47" w14:textId="77777777" w:rsidR="003F035B" w:rsidRPr="008F2082" w:rsidRDefault="003F035B" w:rsidP="00BF6E08">
            <w:pPr>
              <w:spacing w:after="0" w:line="240" w:lineRule="auto"/>
              <w:jc w:val="center"/>
              <w:rPr>
                <w:rFonts w:ascii="Garamond" w:hAnsi="Garamond" w:cs="Calibri"/>
                <w:b/>
                <w:color w:val="000000"/>
                <w:sz w:val="24"/>
                <w:szCs w:val="24"/>
              </w:rPr>
            </w:pPr>
            <w:r w:rsidRPr="008F2082">
              <w:rPr>
                <w:rFonts w:ascii="Garamond" w:hAnsi="Garamond" w:cs="Calibri"/>
                <w:b/>
                <w:color w:val="000000"/>
                <w:sz w:val="24"/>
                <w:szCs w:val="24"/>
              </w:rPr>
              <w:t>P5</w:t>
            </w:r>
          </w:p>
        </w:tc>
        <w:tc>
          <w:tcPr>
            <w:tcW w:w="2249" w:type="dxa"/>
            <w:tcBorders>
              <w:top w:val="nil"/>
              <w:left w:val="single" w:sz="4" w:space="0" w:color="auto"/>
              <w:bottom w:val="single" w:sz="4" w:space="0" w:color="auto"/>
              <w:right w:val="nil"/>
            </w:tcBorders>
            <w:shd w:val="clear" w:color="auto" w:fill="auto"/>
            <w:vAlign w:val="center"/>
            <w:hideMark/>
          </w:tcPr>
          <w:p w14:paraId="5B405879" w14:textId="77777777" w:rsidR="003F035B" w:rsidRPr="008F2082" w:rsidRDefault="003F035B" w:rsidP="00BF6E08">
            <w:pPr>
              <w:spacing w:after="0" w:line="240" w:lineRule="auto"/>
              <w:jc w:val="center"/>
              <w:rPr>
                <w:rFonts w:ascii="Garamond" w:hAnsi="Garamond" w:cs="Calibri"/>
                <w:b/>
                <w:color w:val="000000"/>
                <w:sz w:val="24"/>
                <w:szCs w:val="24"/>
              </w:rPr>
            </w:pPr>
          </w:p>
        </w:tc>
        <w:tc>
          <w:tcPr>
            <w:tcW w:w="2249" w:type="dxa"/>
            <w:tcBorders>
              <w:top w:val="nil"/>
              <w:left w:val="single" w:sz="4" w:space="0" w:color="auto"/>
              <w:bottom w:val="single" w:sz="4" w:space="0" w:color="auto"/>
              <w:right w:val="single" w:sz="4" w:space="0" w:color="000000"/>
            </w:tcBorders>
            <w:shd w:val="clear" w:color="auto" w:fill="auto"/>
            <w:vAlign w:val="center"/>
            <w:hideMark/>
          </w:tcPr>
          <w:p w14:paraId="4E8EFC43" w14:textId="77777777" w:rsidR="003F035B" w:rsidRPr="008F2082" w:rsidRDefault="003F035B" w:rsidP="00BF6E08">
            <w:pPr>
              <w:spacing w:after="0" w:line="240" w:lineRule="auto"/>
              <w:jc w:val="center"/>
              <w:rPr>
                <w:rFonts w:ascii="Garamond" w:hAnsi="Garamond" w:cs="Calibri"/>
                <w:b/>
                <w:color w:val="000000"/>
                <w:sz w:val="24"/>
                <w:szCs w:val="24"/>
              </w:rPr>
            </w:pPr>
          </w:p>
        </w:tc>
      </w:tr>
    </w:tbl>
    <w:p w14:paraId="6CAFC4AD" w14:textId="77777777" w:rsidR="00BF6E08" w:rsidRPr="005C5CBD" w:rsidRDefault="00BF6E08" w:rsidP="00E33E26">
      <w:pPr>
        <w:rPr>
          <w:rFonts w:ascii="Garamond" w:hAnsi="Garamond"/>
        </w:rPr>
        <w:sectPr w:rsidR="00BF6E08" w:rsidRPr="005C5CBD" w:rsidSect="00E15FBB">
          <w:pgSz w:w="12240" w:h="15840"/>
          <w:pgMar w:top="1418" w:right="1580" w:bottom="280" w:left="1418" w:header="720" w:footer="968" w:gutter="0"/>
          <w:cols w:space="720"/>
          <w:docGrid w:linePitch="299"/>
        </w:sectPr>
      </w:pPr>
    </w:p>
    <w:tbl>
      <w:tblPr>
        <w:tblW w:w="12780" w:type="dxa"/>
        <w:jc w:val="center"/>
        <w:tblLayout w:type="fixed"/>
        <w:tblCellMar>
          <w:top w:w="57" w:type="dxa"/>
          <w:left w:w="70" w:type="dxa"/>
          <w:bottom w:w="57" w:type="dxa"/>
          <w:right w:w="70" w:type="dxa"/>
        </w:tblCellMar>
        <w:tblLook w:val="04A0" w:firstRow="1" w:lastRow="0" w:firstColumn="1" w:lastColumn="0" w:noHBand="0" w:noVBand="1"/>
      </w:tblPr>
      <w:tblGrid>
        <w:gridCol w:w="85"/>
        <w:gridCol w:w="956"/>
        <w:gridCol w:w="1231"/>
        <w:gridCol w:w="1099"/>
        <w:gridCol w:w="1229"/>
        <w:gridCol w:w="1100"/>
        <w:gridCol w:w="1229"/>
        <w:gridCol w:w="1100"/>
        <w:gridCol w:w="1229"/>
        <w:gridCol w:w="1100"/>
        <w:gridCol w:w="1229"/>
        <w:gridCol w:w="1096"/>
        <w:gridCol w:w="97"/>
      </w:tblGrid>
      <w:tr w:rsidR="003F035B" w:rsidRPr="00DF496D" w14:paraId="0889014C" w14:textId="77777777" w:rsidTr="00680017">
        <w:trPr>
          <w:gridBefore w:val="1"/>
          <w:wBefore w:w="85" w:type="dxa"/>
          <w:cantSplit/>
          <w:trHeight w:val="1433"/>
          <w:jc w:val="center"/>
        </w:trPr>
        <w:tc>
          <w:tcPr>
            <w:tcW w:w="12695" w:type="dxa"/>
            <w:gridSpan w:val="12"/>
            <w:tcBorders>
              <w:top w:val="nil"/>
              <w:left w:val="nil"/>
              <w:bottom w:val="single" w:sz="4" w:space="0" w:color="auto"/>
            </w:tcBorders>
            <w:shd w:val="clear" w:color="auto" w:fill="auto"/>
            <w:noWrap/>
            <w:vAlign w:val="center"/>
          </w:tcPr>
          <w:p w14:paraId="0342C580" w14:textId="0F45C714" w:rsidR="003F035B" w:rsidRPr="00DF496D" w:rsidRDefault="003F035B" w:rsidP="00E33E26">
            <w:pPr>
              <w:pStyle w:val="TextosemFormatao"/>
              <w:tabs>
                <w:tab w:val="center" w:pos="4252"/>
                <w:tab w:val="left" w:pos="6435"/>
              </w:tabs>
              <w:jc w:val="center"/>
              <w:rPr>
                <w:rFonts w:ascii="Garamond" w:hAnsi="Garamond" w:cs="Calibri"/>
                <w:b/>
                <w:color w:val="000000"/>
                <w:sz w:val="24"/>
                <w:szCs w:val="24"/>
              </w:rPr>
            </w:pPr>
            <w:r w:rsidRPr="00DF496D">
              <w:rPr>
                <w:rFonts w:ascii="Garamond" w:hAnsi="Garamond" w:cs="Calibri"/>
                <w:b/>
                <w:color w:val="000000"/>
                <w:sz w:val="24"/>
                <w:szCs w:val="24"/>
              </w:rPr>
              <w:t>APÊNDICE XXVII</w:t>
            </w:r>
          </w:p>
          <w:p w14:paraId="339F7CF1" w14:textId="77777777" w:rsidR="003F035B" w:rsidRPr="00DF496D" w:rsidRDefault="003F035B" w:rsidP="00BF6E08">
            <w:pPr>
              <w:tabs>
                <w:tab w:val="center" w:pos="4252"/>
                <w:tab w:val="left" w:pos="7110"/>
              </w:tabs>
              <w:spacing w:after="0" w:line="240" w:lineRule="auto"/>
              <w:jc w:val="center"/>
              <w:rPr>
                <w:rFonts w:ascii="Garamond" w:hAnsi="Garamond" w:cs="Calibri"/>
                <w:b/>
                <w:color w:val="000000"/>
                <w:sz w:val="24"/>
                <w:szCs w:val="24"/>
              </w:rPr>
            </w:pPr>
            <w:r w:rsidRPr="00DF496D">
              <w:rPr>
                <w:rFonts w:ascii="Garamond" w:hAnsi="Garamond" w:cs="Calibri"/>
                <w:b/>
                <w:color w:val="000000"/>
                <w:sz w:val="24"/>
                <w:szCs w:val="24"/>
              </w:rPr>
              <w:t>EXPORTAÇÕES DO(S) PAÍS(ES) SUJEITO(S) À MEDIDA</w:t>
            </w:r>
          </w:p>
        </w:tc>
      </w:tr>
      <w:tr w:rsidR="00680017" w:rsidRPr="00680017" w14:paraId="29C76698" w14:textId="77777777" w:rsidTr="00680017">
        <w:trPr>
          <w:gridAfter w:val="1"/>
          <w:wAfter w:w="97" w:type="dxa"/>
          <w:cantSplit/>
          <w:trHeight w:val="716"/>
          <w:jc w:val="center"/>
        </w:trPr>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35B00" w14:textId="77777777" w:rsidR="00680017" w:rsidRPr="00680017" w:rsidRDefault="00680017" w:rsidP="00680017">
            <w:pPr>
              <w:spacing w:after="0" w:line="240" w:lineRule="auto"/>
              <w:jc w:val="center"/>
              <w:rPr>
                <w:rFonts w:ascii="Garamond" w:eastAsia="Times New Roman" w:hAnsi="Garamond" w:cs="Calibri"/>
                <w:b/>
                <w:color w:val="000000"/>
                <w:sz w:val="24"/>
                <w:szCs w:val="24"/>
                <w:lang w:eastAsia="pt-BR"/>
              </w:rPr>
            </w:pPr>
          </w:p>
        </w:tc>
        <w:tc>
          <w:tcPr>
            <w:tcW w:w="23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714C0" w14:textId="77777777" w:rsidR="00680017" w:rsidRPr="00680017" w:rsidRDefault="00680017" w:rsidP="00680017">
            <w:pPr>
              <w:spacing w:after="0" w:line="240" w:lineRule="auto"/>
              <w:jc w:val="center"/>
              <w:rPr>
                <w:rFonts w:ascii="Garamond" w:eastAsia="Times New Roman" w:hAnsi="Garamond" w:cs="Calibri"/>
                <w:b/>
                <w:color w:val="000000"/>
                <w:sz w:val="24"/>
                <w:szCs w:val="24"/>
                <w:lang w:eastAsia="pt-BR"/>
              </w:rPr>
            </w:pPr>
            <w:r w:rsidRPr="00680017">
              <w:rPr>
                <w:rFonts w:ascii="Garamond" w:eastAsia="Times New Roman" w:hAnsi="Garamond" w:cs="Calibri"/>
                <w:b/>
                <w:color w:val="000000"/>
                <w:sz w:val="24"/>
                <w:szCs w:val="24"/>
                <w:lang w:eastAsia="pt-BR"/>
              </w:rPr>
              <w:t>P1</w:t>
            </w:r>
          </w:p>
        </w:tc>
        <w:tc>
          <w:tcPr>
            <w:tcW w:w="23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3C612" w14:textId="77777777" w:rsidR="00680017" w:rsidRPr="00680017" w:rsidRDefault="00680017" w:rsidP="00680017">
            <w:pPr>
              <w:spacing w:after="0" w:line="240" w:lineRule="auto"/>
              <w:jc w:val="center"/>
              <w:rPr>
                <w:rFonts w:ascii="Garamond" w:eastAsia="Times New Roman" w:hAnsi="Garamond" w:cs="Calibri"/>
                <w:b/>
                <w:color w:val="000000"/>
                <w:sz w:val="24"/>
                <w:szCs w:val="24"/>
                <w:lang w:eastAsia="pt-BR"/>
              </w:rPr>
            </w:pPr>
            <w:r w:rsidRPr="00680017">
              <w:rPr>
                <w:rFonts w:ascii="Garamond" w:eastAsia="Times New Roman" w:hAnsi="Garamond" w:cs="Calibri"/>
                <w:b/>
                <w:color w:val="000000"/>
                <w:sz w:val="24"/>
                <w:szCs w:val="24"/>
                <w:lang w:eastAsia="pt-BR"/>
              </w:rPr>
              <w:t>P2</w:t>
            </w:r>
          </w:p>
        </w:tc>
        <w:tc>
          <w:tcPr>
            <w:tcW w:w="23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25C7C" w14:textId="77777777" w:rsidR="00680017" w:rsidRPr="00680017" w:rsidRDefault="00680017" w:rsidP="00680017">
            <w:pPr>
              <w:spacing w:after="0" w:line="240" w:lineRule="auto"/>
              <w:jc w:val="center"/>
              <w:rPr>
                <w:rFonts w:ascii="Garamond" w:eastAsia="Times New Roman" w:hAnsi="Garamond" w:cs="Calibri"/>
                <w:b/>
                <w:color w:val="000000"/>
                <w:sz w:val="24"/>
                <w:szCs w:val="24"/>
                <w:lang w:eastAsia="pt-BR"/>
              </w:rPr>
            </w:pPr>
            <w:r w:rsidRPr="00680017">
              <w:rPr>
                <w:rFonts w:ascii="Garamond" w:eastAsia="Times New Roman" w:hAnsi="Garamond" w:cs="Calibri"/>
                <w:b/>
                <w:color w:val="000000"/>
                <w:sz w:val="24"/>
                <w:szCs w:val="24"/>
                <w:lang w:eastAsia="pt-BR"/>
              </w:rPr>
              <w:t>P3</w:t>
            </w:r>
          </w:p>
        </w:tc>
        <w:tc>
          <w:tcPr>
            <w:tcW w:w="23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2C082" w14:textId="77777777" w:rsidR="00680017" w:rsidRPr="00680017" w:rsidRDefault="00680017" w:rsidP="00680017">
            <w:pPr>
              <w:spacing w:after="0" w:line="240" w:lineRule="auto"/>
              <w:jc w:val="center"/>
              <w:rPr>
                <w:rFonts w:ascii="Garamond" w:eastAsia="Times New Roman" w:hAnsi="Garamond" w:cs="Calibri"/>
                <w:b/>
                <w:color w:val="000000"/>
                <w:sz w:val="24"/>
                <w:szCs w:val="24"/>
                <w:lang w:eastAsia="pt-BR"/>
              </w:rPr>
            </w:pPr>
            <w:r w:rsidRPr="00680017">
              <w:rPr>
                <w:rFonts w:ascii="Garamond" w:eastAsia="Times New Roman" w:hAnsi="Garamond" w:cs="Calibri"/>
                <w:b/>
                <w:color w:val="000000"/>
                <w:sz w:val="24"/>
                <w:szCs w:val="24"/>
                <w:lang w:eastAsia="pt-BR"/>
              </w:rPr>
              <w:t>P4</w:t>
            </w:r>
          </w:p>
        </w:tc>
        <w:tc>
          <w:tcPr>
            <w:tcW w:w="23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035A9" w14:textId="77777777" w:rsidR="00680017" w:rsidRPr="00680017" w:rsidRDefault="00680017" w:rsidP="00680017">
            <w:pPr>
              <w:spacing w:after="0" w:line="240" w:lineRule="auto"/>
              <w:jc w:val="center"/>
              <w:rPr>
                <w:rFonts w:ascii="Garamond" w:eastAsia="Times New Roman" w:hAnsi="Garamond" w:cs="Calibri"/>
                <w:b/>
                <w:color w:val="000000"/>
                <w:sz w:val="24"/>
                <w:szCs w:val="24"/>
                <w:lang w:eastAsia="pt-BR"/>
              </w:rPr>
            </w:pPr>
            <w:r w:rsidRPr="00680017">
              <w:rPr>
                <w:rFonts w:ascii="Garamond" w:eastAsia="Times New Roman" w:hAnsi="Garamond" w:cs="Calibri"/>
                <w:b/>
                <w:color w:val="000000"/>
                <w:sz w:val="24"/>
                <w:szCs w:val="24"/>
                <w:lang w:eastAsia="pt-BR"/>
              </w:rPr>
              <w:t>P5</w:t>
            </w:r>
          </w:p>
        </w:tc>
      </w:tr>
      <w:tr w:rsidR="00680017" w:rsidRPr="00680017" w14:paraId="7C7F0A24" w14:textId="77777777" w:rsidTr="00680017">
        <w:trPr>
          <w:gridAfter w:val="1"/>
          <w:wAfter w:w="97" w:type="dxa"/>
          <w:cantSplit/>
          <w:trHeight w:val="1990"/>
          <w:jc w:val="center"/>
        </w:trPr>
        <w:tc>
          <w:tcPr>
            <w:tcW w:w="10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B792A9" w14:textId="77777777" w:rsidR="00680017" w:rsidRPr="00680017" w:rsidRDefault="00680017" w:rsidP="00680017">
            <w:pPr>
              <w:spacing w:after="0" w:line="240" w:lineRule="auto"/>
              <w:rPr>
                <w:rFonts w:ascii="Garamond" w:eastAsia="Times New Roman" w:hAnsi="Garamond" w:cs="Calibri"/>
                <w:color w:val="000000"/>
                <w:sz w:val="24"/>
                <w:szCs w:val="24"/>
                <w:lang w:eastAsia="pt-BR"/>
              </w:rPr>
            </w:pPr>
            <w:r w:rsidRPr="00680017">
              <w:rPr>
                <w:rFonts w:ascii="Garamond" w:eastAsia="Times New Roman" w:hAnsi="Garamond" w:cs="Calibri"/>
                <w:color w:val="000000"/>
                <w:sz w:val="24"/>
                <w:szCs w:val="24"/>
                <w:lang w:eastAsia="pt-BR"/>
              </w:rPr>
              <w:t>País(es) sujeito(s) à medida</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5A823522" w14:textId="77777777" w:rsidR="00680017" w:rsidRPr="00680017" w:rsidRDefault="00680017" w:rsidP="00680017">
            <w:pPr>
              <w:spacing w:after="0" w:line="240" w:lineRule="auto"/>
              <w:jc w:val="center"/>
              <w:rPr>
                <w:rFonts w:ascii="Garamond" w:eastAsia="Times New Roman" w:hAnsi="Garamond" w:cs="Calibri"/>
                <w:color w:val="000000"/>
                <w:sz w:val="24"/>
                <w:szCs w:val="24"/>
                <w:lang w:eastAsia="pt-BR"/>
              </w:rPr>
            </w:pPr>
            <w:r w:rsidRPr="00680017">
              <w:rPr>
                <w:rFonts w:ascii="Garamond" w:eastAsia="Times New Roman" w:hAnsi="Garamond" w:cs="Calibri"/>
                <w:color w:val="000000"/>
                <w:sz w:val="24"/>
                <w:szCs w:val="24"/>
                <w:lang w:eastAsia="pt-BR"/>
              </w:rPr>
              <w:t>Quantidade exportada (informar unidade de medida)</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503D4E17" w14:textId="77777777" w:rsidR="00680017" w:rsidRPr="00680017" w:rsidRDefault="00680017" w:rsidP="00680017">
            <w:pPr>
              <w:spacing w:after="0" w:line="240" w:lineRule="auto"/>
              <w:jc w:val="center"/>
              <w:rPr>
                <w:rFonts w:ascii="Garamond" w:eastAsia="Times New Roman" w:hAnsi="Garamond" w:cs="Calibri"/>
                <w:color w:val="000000"/>
                <w:sz w:val="24"/>
                <w:szCs w:val="24"/>
                <w:lang w:eastAsia="pt-BR"/>
              </w:rPr>
            </w:pPr>
            <w:r w:rsidRPr="00680017">
              <w:rPr>
                <w:rFonts w:ascii="Garamond" w:eastAsia="Times New Roman" w:hAnsi="Garamond" w:cs="Calibri"/>
                <w:color w:val="000000"/>
                <w:sz w:val="24"/>
                <w:szCs w:val="24"/>
                <w:lang w:eastAsia="pt-BR"/>
              </w:rPr>
              <w:t>Valor exportado (informar moeda)</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5AE9A20B" w14:textId="77777777" w:rsidR="00680017" w:rsidRPr="00680017" w:rsidRDefault="00680017" w:rsidP="00680017">
            <w:pPr>
              <w:spacing w:after="0" w:line="240" w:lineRule="auto"/>
              <w:jc w:val="center"/>
              <w:rPr>
                <w:rFonts w:ascii="Garamond" w:eastAsia="Times New Roman" w:hAnsi="Garamond" w:cs="Calibri"/>
                <w:color w:val="000000"/>
                <w:sz w:val="24"/>
                <w:szCs w:val="24"/>
                <w:lang w:eastAsia="pt-BR"/>
              </w:rPr>
            </w:pPr>
            <w:r w:rsidRPr="00680017">
              <w:rPr>
                <w:rFonts w:ascii="Garamond" w:eastAsia="Times New Roman" w:hAnsi="Garamond" w:cs="Calibri"/>
                <w:color w:val="000000"/>
                <w:sz w:val="24"/>
                <w:szCs w:val="24"/>
                <w:lang w:eastAsia="pt-BR"/>
              </w:rPr>
              <w:t>Quantidade exportada (informar unidade de medida)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FFA6A18" w14:textId="77777777" w:rsidR="00680017" w:rsidRPr="00680017" w:rsidRDefault="00680017" w:rsidP="00680017">
            <w:pPr>
              <w:spacing w:after="0" w:line="240" w:lineRule="auto"/>
              <w:jc w:val="center"/>
              <w:rPr>
                <w:rFonts w:ascii="Garamond" w:eastAsia="Times New Roman" w:hAnsi="Garamond" w:cs="Calibri"/>
                <w:color w:val="000000"/>
                <w:sz w:val="24"/>
                <w:szCs w:val="24"/>
                <w:lang w:eastAsia="pt-BR"/>
              </w:rPr>
            </w:pPr>
            <w:r w:rsidRPr="00680017">
              <w:rPr>
                <w:rFonts w:ascii="Garamond" w:eastAsia="Times New Roman" w:hAnsi="Garamond" w:cs="Calibri"/>
                <w:color w:val="000000"/>
                <w:sz w:val="24"/>
                <w:szCs w:val="24"/>
                <w:lang w:eastAsia="pt-BR"/>
              </w:rPr>
              <w:t>Valor exportado (informar moeda)</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54C4FC59" w14:textId="77777777" w:rsidR="00680017" w:rsidRPr="00680017" w:rsidRDefault="00680017" w:rsidP="00680017">
            <w:pPr>
              <w:spacing w:after="0" w:line="240" w:lineRule="auto"/>
              <w:jc w:val="center"/>
              <w:rPr>
                <w:rFonts w:ascii="Garamond" w:eastAsia="Times New Roman" w:hAnsi="Garamond" w:cs="Calibri"/>
                <w:color w:val="000000"/>
                <w:sz w:val="24"/>
                <w:szCs w:val="24"/>
                <w:lang w:eastAsia="pt-BR"/>
              </w:rPr>
            </w:pPr>
            <w:r w:rsidRPr="00680017">
              <w:rPr>
                <w:rFonts w:ascii="Garamond" w:eastAsia="Times New Roman" w:hAnsi="Garamond" w:cs="Calibri"/>
                <w:color w:val="000000"/>
                <w:sz w:val="24"/>
                <w:szCs w:val="24"/>
                <w:lang w:eastAsia="pt-BR"/>
              </w:rPr>
              <w:t>Quantidade exportada (informar unidade de medida)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411D62C" w14:textId="77777777" w:rsidR="00680017" w:rsidRPr="00680017" w:rsidRDefault="00680017" w:rsidP="00680017">
            <w:pPr>
              <w:spacing w:after="0" w:line="240" w:lineRule="auto"/>
              <w:jc w:val="center"/>
              <w:rPr>
                <w:rFonts w:ascii="Garamond" w:eastAsia="Times New Roman" w:hAnsi="Garamond" w:cs="Calibri"/>
                <w:color w:val="000000"/>
                <w:sz w:val="24"/>
                <w:szCs w:val="24"/>
                <w:lang w:eastAsia="pt-BR"/>
              </w:rPr>
            </w:pPr>
            <w:r w:rsidRPr="00680017">
              <w:rPr>
                <w:rFonts w:ascii="Garamond" w:eastAsia="Times New Roman" w:hAnsi="Garamond" w:cs="Calibri"/>
                <w:color w:val="000000"/>
                <w:sz w:val="24"/>
                <w:szCs w:val="24"/>
                <w:lang w:eastAsia="pt-BR"/>
              </w:rPr>
              <w:t>Valor exportado (informar moeda)</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5B5228C7" w14:textId="77777777" w:rsidR="00680017" w:rsidRPr="00680017" w:rsidRDefault="00680017" w:rsidP="00680017">
            <w:pPr>
              <w:spacing w:after="0" w:line="240" w:lineRule="auto"/>
              <w:jc w:val="center"/>
              <w:rPr>
                <w:rFonts w:ascii="Garamond" w:eastAsia="Times New Roman" w:hAnsi="Garamond" w:cs="Calibri"/>
                <w:color w:val="000000"/>
                <w:sz w:val="24"/>
                <w:szCs w:val="24"/>
                <w:lang w:eastAsia="pt-BR"/>
              </w:rPr>
            </w:pPr>
            <w:r w:rsidRPr="00680017">
              <w:rPr>
                <w:rFonts w:ascii="Garamond" w:eastAsia="Times New Roman" w:hAnsi="Garamond" w:cs="Calibri"/>
                <w:color w:val="000000"/>
                <w:sz w:val="24"/>
                <w:szCs w:val="24"/>
                <w:lang w:eastAsia="pt-BR"/>
              </w:rPr>
              <w:t>Quantidade exportada (informar unidade de medida)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9F34F7A" w14:textId="77777777" w:rsidR="00680017" w:rsidRPr="00680017" w:rsidRDefault="00680017" w:rsidP="00680017">
            <w:pPr>
              <w:spacing w:after="0" w:line="240" w:lineRule="auto"/>
              <w:jc w:val="center"/>
              <w:rPr>
                <w:rFonts w:ascii="Garamond" w:eastAsia="Times New Roman" w:hAnsi="Garamond" w:cs="Calibri"/>
                <w:color w:val="000000"/>
                <w:sz w:val="24"/>
                <w:szCs w:val="24"/>
                <w:lang w:eastAsia="pt-BR"/>
              </w:rPr>
            </w:pPr>
            <w:r w:rsidRPr="00680017">
              <w:rPr>
                <w:rFonts w:ascii="Garamond" w:eastAsia="Times New Roman" w:hAnsi="Garamond" w:cs="Calibri"/>
                <w:color w:val="000000"/>
                <w:sz w:val="24"/>
                <w:szCs w:val="24"/>
                <w:lang w:eastAsia="pt-BR"/>
              </w:rPr>
              <w:t>Valor exportado (informar moeda)</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063CFED3" w14:textId="77777777" w:rsidR="00680017" w:rsidRPr="00680017" w:rsidRDefault="00680017" w:rsidP="00680017">
            <w:pPr>
              <w:spacing w:after="0" w:line="240" w:lineRule="auto"/>
              <w:jc w:val="center"/>
              <w:rPr>
                <w:rFonts w:ascii="Garamond" w:eastAsia="Times New Roman" w:hAnsi="Garamond" w:cs="Calibri"/>
                <w:color w:val="000000"/>
                <w:sz w:val="24"/>
                <w:szCs w:val="24"/>
                <w:lang w:eastAsia="pt-BR"/>
              </w:rPr>
            </w:pPr>
            <w:r w:rsidRPr="00680017">
              <w:rPr>
                <w:rFonts w:ascii="Garamond" w:eastAsia="Times New Roman" w:hAnsi="Garamond" w:cs="Calibri"/>
                <w:color w:val="000000"/>
                <w:sz w:val="24"/>
                <w:szCs w:val="24"/>
                <w:lang w:eastAsia="pt-BR"/>
              </w:rPr>
              <w:t>Quantidade exportada (informar unidade de medida)</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6D088FBC" w14:textId="77777777" w:rsidR="00680017" w:rsidRPr="00680017" w:rsidRDefault="00680017" w:rsidP="00680017">
            <w:pPr>
              <w:spacing w:after="0" w:line="240" w:lineRule="auto"/>
              <w:jc w:val="center"/>
              <w:rPr>
                <w:rFonts w:ascii="Garamond" w:eastAsia="Times New Roman" w:hAnsi="Garamond" w:cs="Calibri"/>
                <w:color w:val="000000"/>
                <w:sz w:val="24"/>
                <w:szCs w:val="24"/>
                <w:lang w:eastAsia="pt-BR"/>
              </w:rPr>
            </w:pPr>
            <w:r w:rsidRPr="00680017">
              <w:rPr>
                <w:rFonts w:ascii="Garamond" w:eastAsia="Times New Roman" w:hAnsi="Garamond" w:cs="Calibri"/>
                <w:color w:val="000000"/>
                <w:sz w:val="24"/>
                <w:szCs w:val="24"/>
                <w:lang w:eastAsia="pt-BR"/>
              </w:rPr>
              <w:t>Valor exportado (informar moeda)</w:t>
            </w:r>
          </w:p>
        </w:tc>
      </w:tr>
    </w:tbl>
    <w:p w14:paraId="6677D557" w14:textId="77777777" w:rsidR="003F035B" w:rsidRPr="00395593" w:rsidRDefault="003F035B" w:rsidP="00E33E26">
      <w:pPr>
        <w:pStyle w:val="TextosemFormatao"/>
        <w:jc w:val="center"/>
        <w:rPr>
          <w:rFonts w:ascii="Garamond" w:hAnsi="Garamond" w:cs="Calibri"/>
          <w:color w:val="000000"/>
          <w:sz w:val="18"/>
          <w:szCs w:val="18"/>
        </w:rPr>
      </w:pPr>
    </w:p>
    <w:p w14:paraId="6CC73228" w14:textId="77777777" w:rsidR="00FC627D" w:rsidRPr="005C5CBD" w:rsidRDefault="00FC627D">
      <w:pPr>
        <w:rPr>
          <w:rFonts w:ascii="Garamond" w:hAnsi="Garamond"/>
        </w:rPr>
      </w:pPr>
      <w:r w:rsidRPr="005C5CBD">
        <w:rPr>
          <w:rFonts w:ascii="Garamond" w:hAnsi="Garamond"/>
        </w:rPr>
        <w:br w:type="page"/>
      </w:r>
    </w:p>
    <w:tbl>
      <w:tblPr>
        <w:tblW w:w="14138" w:type="dxa"/>
        <w:jc w:val="center"/>
        <w:tblLayout w:type="fixed"/>
        <w:tblCellMar>
          <w:left w:w="28" w:type="dxa"/>
          <w:right w:w="28" w:type="dxa"/>
        </w:tblCellMar>
        <w:tblLook w:val="04A0" w:firstRow="1" w:lastRow="0" w:firstColumn="1" w:lastColumn="0" w:noHBand="0" w:noVBand="1"/>
      </w:tblPr>
      <w:tblGrid>
        <w:gridCol w:w="1021"/>
        <w:gridCol w:w="1020"/>
        <w:gridCol w:w="1020"/>
        <w:gridCol w:w="1166"/>
        <w:gridCol w:w="875"/>
        <w:gridCol w:w="874"/>
        <w:gridCol w:w="1020"/>
        <w:gridCol w:w="1021"/>
        <w:gridCol w:w="1020"/>
        <w:gridCol w:w="729"/>
        <w:gridCol w:w="1020"/>
        <w:gridCol w:w="1020"/>
        <w:gridCol w:w="729"/>
        <w:gridCol w:w="729"/>
        <w:gridCol w:w="625"/>
        <w:gridCol w:w="249"/>
      </w:tblGrid>
      <w:tr w:rsidR="00B22A98" w:rsidRPr="00B22A98" w14:paraId="0D3ECA7D" w14:textId="77777777" w:rsidTr="00680017">
        <w:trPr>
          <w:gridAfter w:val="1"/>
          <w:wAfter w:w="249" w:type="dxa"/>
          <w:cantSplit/>
          <w:trHeight w:val="620"/>
          <w:jc w:val="center"/>
        </w:trPr>
        <w:tc>
          <w:tcPr>
            <w:tcW w:w="13889" w:type="dxa"/>
            <w:gridSpan w:val="15"/>
            <w:vMerge w:val="restart"/>
            <w:tcBorders>
              <w:top w:val="nil"/>
              <w:left w:val="nil"/>
              <w:bottom w:val="single" w:sz="4" w:space="0" w:color="auto"/>
              <w:right w:val="nil"/>
            </w:tcBorders>
            <w:shd w:val="clear" w:color="auto" w:fill="auto"/>
            <w:noWrap/>
            <w:vAlign w:val="center"/>
            <w:hideMark/>
          </w:tcPr>
          <w:p w14:paraId="23F68D22" w14:textId="77777777" w:rsidR="00B22A98" w:rsidRPr="00680017" w:rsidRDefault="00B22A98" w:rsidP="00B22A98">
            <w:pPr>
              <w:spacing w:after="0" w:line="240" w:lineRule="auto"/>
              <w:jc w:val="center"/>
              <w:rPr>
                <w:rFonts w:ascii="Garamond" w:eastAsia="Times New Roman" w:hAnsi="Garamond" w:cs="Calibri"/>
                <w:b/>
                <w:color w:val="000000"/>
                <w:sz w:val="24"/>
                <w:szCs w:val="24"/>
                <w:lang w:eastAsia="pt-BR"/>
              </w:rPr>
            </w:pPr>
            <w:r w:rsidRPr="00680017">
              <w:rPr>
                <w:rFonts w:ascii="Garamond" w:eastAsia="Times New Roman" w:hAnsi="Garamond" w:cs="Calibri"/>
                <w:b/>
                <w:color w:val="000000"/>
                <w:sz w:val="24"/>
                <w:szCs w:val="24"/>
                <w:lang w:eastAsia="pt-BR"/>
              </w:rPr>
              <w:t>APÊNDICE XXVIII</w:t>
            </w:r>
          </w:p>
          <w:p w14:paraId="4491177C" w14:textId="77777777" w:rsidR="00B22A98" w:rsidRPr="00B22A98" w:rsidRDefault="00B22A98" w:rsidP="00B22A98">
            <w:pPr>
              <w:spacing w:after="0" w:line="240" w:lineRule="auto"/>
              <w:jc w:val="center"/>
              <w:rPr>
                <w:rFonts w:ascii="Calibri" w:eastAsia="Times New Roman" w:hAnsi="Calibri" w:cs="Calibri"/>
                <w:b/>
                <w:color w:val="000000"/>
                <w:sz w:val="18"/>
                <w:szCs w:val="18"/>
                <w:lang w:eastAsia="pt-BR"/>
              </w:rPr>
            </w:pPr>
            <w:r w:rsidRPr="00680017">
              <w:rPr>
                <w:rFonts w:ascii="Garamond" w:eastAsia="Times New Roman" w:hAnsi="Garamond" w:cs="Calibri"/>
                <w:b/>
                <w:color w:val="000000"/>
                <w:sz w:val="24"/>
                <w:szCs w:val="24"/>
                <w:lang w:eastAsia="pt-BR"/>
              </w:rPr>
              <w:t>IMPORTAÇÕES DO PRODUTO OBJETO</w:t>
            </w:r>
          </w:p>
        </w:tc>
      </w:tr>
      <w:tr w:rsidR="00B22A98" w:rsidRPr="00B22A98" w14:paraId="18BDF63B" w14:textId="77777777" w:rsidTr="00680017">
        <w:trPr>
          <w:gridAfter w:val="1"/>
          <w:wAfter w:w="249" w:type="dxa"/>
          <w:cantSplit/>
          <w:trHeight w:val="620"/>
          <w:jc w:val="center"/>
        </w:trPr>
        <w:tc>
          <w:tcPr>
            <w:tcW w:w="13889" w:type="dxa"/>
            <w:gridSpan w:val="15"/>
            <w:vMerge/>
            <w:tcBorders>
              <w:top w:val="nil"/>
              <w:left w:val="nil"/>
              <w:bottom w:val="single" w:sz="4" w:space="0" w:color="auto"/>
              <w:right w:val="nil"/>
            </w:tcBorders>
            <w:vAlign w:val="center"/>
            <w:hideMark/>
          </w:tcPr>
          <w:p w14:paraId="3CEADA1A" w14:textId="77777777" w:rsidR="00B22A98" w:rsidRPr="00B22A98" w:rsidRDefault="00B22A98" w:rsidP="00B22A98">
            <w:pPr>
              <w:spacing w:after="0" w:line="240" w:lineRule="auto"/>
              <w:jc w:val="center"/>
              <w:rPr>
                <w:rFonts w:ascii="Calibri" w:eastAsia="Times New Roman" w:hAnsi="Calibri" w:cs="Calibri"/>
                <w:b/>
                <w:color w:val="000000"/>
                <w:sz w:val="18"/>
                <w:szCs w:val="18"/>
                <w:lang w:eastAsia="pt-BR"/>
              </w:rPr>
            </w:pPr>
          </w:p>
        </w:tc>
      </w:tr>
      <w:tr w:rsidR="00680017" w:rsidRPr="00B22A98" w14:paraId="798E35F2" w14:textId="77777777" w:rsidTr="00680017">
        <w:trPr>
          <w:cantSplit/>
          <w:trHeight w:val="592"/>
          <w:jc w:val="center"/>
        </w:trPr>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9C06A8" w14:textId="77777777" w:rsidR="00B22A98" w:rsidRPr="00B22A98" w:rsidRDefault="00B22A98" w:rsidP="00B22A98">
            <w:pPr>
              <w:spacing w:after="0" w:line="240" w:lineRule="auto"/>
              <w:jc w:val="center"/>
              <w:rPr>
                <w:rFonts w:ascii="Calibri" w:eastAsia="Times New Roman" w:hAnsi="Calibri" w:cs="Calibri"/>
                <w:b/>
                <w:color w:val="000000"/>
                <w:sz w:val="24"/>
                <w:szCs w:val="24"/>
                <w:lang w:eastAsia="pt-BR"/>
              </w:rPr>
            </w:pPr>
            <w:r w:rsidRPr="00B22A98">
              <w:rPr>
                <w:rFonts w:ascii="Calibri" w:eastAsia="Times New Roman" w:hAnsi="Calibri" w:cs="Calibri"/>
                <w:b/>
                <w:color w:val="000000"/>
                <w:sz w:val="24"/>
                <w:szCs w:val="24"/>
                <w:lang w:eastAsia="pt-BR"/>
              </w:rPr>
              <w:t>1</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B830F9" w14:textId="77777777" w:rsidR="00B22A98" w:rsidRPr="00B22A98" w:rsidRDefault="00B22A98" w:rsidP="00B22A98">
            <w:pPr>
              <w:spacing w:after="0" w:line="240" w:lineRule="auto"/>
              <w:jc w:val="center"/>
              <w:rPr>
                <w:rFonts w:ascii="Calibri" w:eastAsia="Times New Roman" w:hAnsi="Calibri" w:cs="Calibri"/>
                <w:b/>
                <w:color w:val="000000"/>
                <w:sz w:val="24"/>
                <w:szCs w:val="24"/>
                <w:lang w:eastAsia="pt-BR"/>
              </w:rPr>
            </w:pPr>
            <w:r w:rsidRPr="00B22A98">
              <w:rPr>
                <w:rFonts w:ascii="Calibri" w:eastAsia="Times New Roman" w:hAnsi="Calibri" w:cs="Calibri"/>
                <w:b/>
                <w:color w:val="000000"/>
                <w:sz w:val="24"/>
                <w:szCs w:val="24"/>
                <w:lang w:eastAsia="pt-BR"/>
              </w:rPr>
              <w:t>2</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3BA768" w14:textId="77777777" w:rsidR="00B22A98" w:rsidRPr="00B22A98" w:rsidRDefault="00B22A98" w:rsidP="00B22A98">
            <w:pPr>
              <w:spacing w:after="0" w:line="240" w:lineRule="auto"/>
              <w:jc w:val="center"/>
              <w:rPr>
                <w:rFonts w:ascii="Calibri" w:eastAsia="Times New Roman" w:hAnsi="Calibri" w:cs="Calibri"/>
                <w:b/>
                <w:color w:val="000000"/>
                <w:sz w:val="24"/>
                <w:szCs w:val="24"/>
                <w:lang w:eastAsia="pt-BR"/>
              </w:rPr>
            </w:pPr>
            <w:r w:rsidRPr="00B22A98">
              <w:rPr>
                <w:rFonts w:ascii="Calibri" w:eastAsia="Times New Roman" w:hAnsi="Calibri" w:cs="Calibri"/>
                <w:b/>
                <w:color w:val="000000"/>
                <w:sz w:val="24"/>
                <w:szCs w:val="24"/>
                <w:lang w:eastAsia="pt-BR"/>
              </w:rPr>
              <w:t>3</w:t>
            </w:r>
          </w:p>
        </w:tc>
        <w:tc>
          <w:tcPr>
            <w:tcW w:w="11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9230A7" w14:textId="77777777" w:rsidR="00B22A98" w:rsidRPr="00B22A98" w:rsidRDefault="00B22A98" w:rsidP="00B22A98">
            <w:pPr>
              <w:spacing w:after="0" w:line="240" w:lineRule="auto"/>
              <w:jc w:val="center"/>
              <w:rPr>
                <w:rFonts w:ascii="Calibri" w:eastAsia="Times New Roman" w:hAnsi="Calibri" w:cs="Calibri"/>
                <w:b/>
                <w:color w:val="000000"/>
                <w:sz w:val="24"/>
                <w:szCs w:val="24"/>
                <w:lang w:eastAsia="pt-BR"/>
              </w:rPr>
            </w:pPr>
            <w:r w:rsidRPr="00B22A98">
              <w:rPr>
                <w:rFonts w:ascii="Calibri" w:eastAsia="Times New Roman" w:hAnsi="Calibri" w:cs="Calibri"/>
                <w:b/>
                <w:color w:val="000000"/>
                <w:sz w:val="24"/>
                <w:szCs w:val="24"/>
                <w:lang w:eastAsia="pt-BR"/>
              </w:rPr>
              <w:t>4</w:t>
            </w:r>
          </w:p>
        </w:tc>
        <w:tc>
          <w:tcPr>
            <w:tcW w:w="8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613169" w14:textId="77777777" w:rsidR="00B22A98" w:rsidRPr="00B22A98" w:rsidRDefault="00B22A98" w:rsidP="00B22A98">
            <w:pPr>
              <w:spacing w:after="0" w:line="240" w:lineRule="auto"/>
              <w:jc w:val="center"/>
              <w:rPr>
                <w:rFonts w:ascii="Calibri" w:eastAsia="Times New Roman" w:hAnsi="Calibri" w:cs="Calibri"/>
                <w:b/>
                <w:color w:val="000000"/>
                <w:sz w:val="24"/>
                <w:szCs w:val="24"/>
                <w:lang w:eastAsia="pt-BR"/>
              </w:rPr>
            </w:pPr>
            <w:r w:rsidRPr="00B22A98">
              <w:rPr>
                <w:rFonts w:ascii="Calibri" w:eastAsia="Times New Roman" w:hAnsi="Calibri" w:cs="Calibri"/>
                <w:b/>
                <w:color w:val="000000"/>
                <w:sz w:val="24"/>
                <w:szCs w:val="24"/>
                <w:lang w:eastAsia="pt-BR"/>
              </w:rPr>
              <w:t>5</w:t>
            </w:r>
          </w:p>
        </w:tc>
        <w:tc>
          <w:tcPr>
            <w:tcW w:w="8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17292" w14:textId="77777777" w:rsidR="00B22A98" w:rsidRPr="00B22A98" w:rsidRDefault="00B22A98" w:rsidP="00B22A98">
            <w:pPr>
              <w:spacing w:after="0" w:line="240" w:lineRule="auto"/>
              <w:jc w:val="center"/>
              <w:rPr>
                <w:rFonts w:ascii="Calibri" w:eastAsia="Times New Roman" w:hAnsi="Calibri" w:cs="Calibri"/>
                <w:b/>
                <w:color w:val="000000"/>
                <w:sz w:val="24"/>
                <w:szCs w:val="24"/>
                <w:lang w:eastAsia="pt-BR"/>
              </w:rPr>
            </w:pPr>
            <w:r w:rsidRPr="00B22A98">
              <w:rPr>
                <w:rFonts w:ascii="Calibri" w:eastAsia="Times New Roman" w:hAnsi="Calibri" w:cs="Calibri"/>
                <w:b/>
                <w:color w:val="000000"/>
                <w:sz w:val="24"/>
                <w:szCs w:val="24"/>
                <w:lang w:eastAsia="pt-BR"/>
              </w:rPr>
              <w:t>6</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851465" w14:textId="77777777" w:rsidR="00B22A98" w:rsidRPr="00B22A98" w:rsidRDefault="00B22A98" w:rsidP="00B22A98">
            <w:pPr>
              <w:spacing w:after="0" w:line="240" w:lineRule="auto"/>
              <w:jc w:val="center"/>
              <w:rPr>
                <w:rFonts w:ascii="Calibri" w:eastAsia="Times New Roman" w:hAnsi="Calibri" w:cs="Calibri"/>
                <w:b/>
                <w:color w:val="000000"/>
                <w:sz w:val="24"/>
                <w:szCs w:val="24"/>
                <w:lang w:eastAsia="pt-BR"/>
              </w:rPr>
            </w:pPr>
            <w:r w:rsidRPr="00B22A98">
              <w:rPr>
                <w:rFonts w:ascii="Calibri" w:eastAsia="Times New Roman" w:hAnsi="Calibri" w:cs="Calibri"/>
                <w:b/>
                <w:color w:val="000000"/>
                <w:sz w:val="24"/>
                <w:szCs w:val="24"/>
                <w:lang w:eastAsia="pt-BR"/>
              </w:rPr>
              <w:t>7</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6C39DD" w14:textId="77777777" w:rsidR="00B22A98" w:rsidRPr="00B22A98" w:rsidRDefault="00B22A98" w:rsidP="00B22A98">
            <w:pPr>
              <w:spacing w:after="0" w:line="240" w:lineRule="auto"/>
              <w:jc w:val="center"/>
              <w:rPr>
                <w:rFonts w:ascii="Calibri" w:eastAsia="Times New Roman" w:hAnsi="Calibri" w:cs="Calibri"/>
                <w:b/>
                <w:color w:val="000000"/>
                <w:sz w:val="24"/>
                <w:szCs w:val="24"/>
                <w:lang w:eastAsia="pt-BR"/>
              </w:rPr>
            </w:pPr>
            <w:r w:rsidRPr="00B22A98">
              <w:rPr>
                <w:rFonts w:ascii="Calibri" w:eastAsia="Times New Roman" w:hAnsi="Calibri" w:cs="Calibri"/>
                <w:b/>
                <w:color w:val="000000"/>
                <w:sz w:val="24"/>
                <w:szCs w:val="24"/>
                <w:lang w:eastAsia="pt-BR"/>
              </w:rPr>
              <w:t>8</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F49E96" w14:textId="77777777" w:rsidR="00B22A98" w:rsidRPr="00B22A98" w:rsidRDefault="00B22A98" w:rsidP="00B22A98">
            <w:pPr>
              <w:spacing w:after="0" w:line="240" w:lineRule="auto"/>
              <w:jc w:val="center"/>
              <w:rPr>
                <w:rFonts w:ascii="Calibri" w:eastAsia="Times New Roman" w:hAnsi="Calibri" w:cs="Calibri"/>
                <w:b/>
                <w:color w:val="000000"/>
                <w:sz w:val="24"/>
                <w:szCs w:val="24"/>
                <w:lang w:eastAsia="pt-BR"/>
              </w:rPr>
            </w:pPr>
            <w:r w:rsidRPr="00B22A98">
              <w:rPr>
                <w:rFonts w:ascii="Calibri" w:eastAsia="Times New Roman" w:hAnsi="Calibri" w:cs="Calibri"/>
                <w:b/>
                <w:color w:val="000000"/>
                <w:sz w:val="24"/>
                <w:szCs w:val="24"/>
                <w:lang w:eastAsia="pt-BR"/>
              </w:rPr>
              <w:t>9</w:t>
            </w:r>
          </w:p>
        </w:tc>
        <w:tc>
          <w:tcPr>
            <w:tcW w:w="7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74CF62" w14:textId="77777777" w:rsidR="00B22A98" w:rsidRPr="00B22A98" w:rsidRDefault="00B22A98" w:rsidP="00B22A98">
            <w:pPr>
              <w:spacing w:after="0" w:line="240" w:lineRule="auto"/>
              <w:jc w:val="center"/>
              <w:rPr>
                <w:rFonts w:ascii="Calibri" w:eastAsia="Times New Roman" w:hAnsi="Calibri" w:cs="Calibri"/>
                <w:b/>
                <w:color w:val="000000"/>
                <w:sz w:val="24"/>
                <w:szCs w:val="24"/>
                <w:lang w:eastAsia="pt-BR"/>
              </w:rPr>
            </w:pPr>
            <w:r w:rsidRPr="00B22A98">
              <w:rPr>
                <w:rFonts w:ascii="Calibri" w:eastAsia="Times New Roman" w:hAnsi="Calibri" w:cs="Calibri"/>
                <w:b/>
                <w:color w:val="000000"/>
                <w:sz w:val="24"/>
                <w:szCs w:val="24"/>
                <w:lang w:eastAsia="pt-BR"/>
              </w:rPr>
              <w:t>10</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4DC36" w14:textId="77777777" w:rsidR="00B22A98" w:rsidRPr="00B22A98" w:rsidRDefault="00B22A98" w:rsidP="00B22A98">
            <w:pPr>
              <w:spacing w:after="0" w:line="240" w:lineRule="auto"/>
              <w:jc w:val="center"/>
              <w:rPr>
                <w:rFonts w:ascii="Calibri" w:eastAsia="Times New Roman" w:hAnsi="Calibri" w:cs="Calibri"/>
                <w:b/>
                <w:color w:val="000000"/>
                <w:sz w:val="24"/>
                <w:szCs w:val="24"/>
                <w:lang w:eastAsia="pt-BR"/>
              </w:rPr>
            </w:pPr>
            <w:r w:rsidRPr="00B22A98">
              <w:rPr>
                <w:rFonts w:ascii="Calibri" w:eastAsia="Times New Roman" w:hAnsi="Calibri" w:cs="Calibri"/>
                <w:b/>
                <w:color w:val="000000"/>
                <w:sz w:val="24"/>
                <w:szCs w:val="24"/>
                <w:lang w:eastAsia="pt-BR"/>
              </w:rPr>
              <w:t>11</w:t>
            </w:r>
          </w:p>
        </w:tc>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C0D5E4" w14:textId="77777777" w:rsidR="00B22A98" w:rsidRPr="00B22A98" w:rsidRDefault="00B22A98" w:rsidP="00B22A98">
            <w:pPr>
              <w:spacing w:after="0" w:line="240" w:lineRule="auto"/>
              <w:jc w:val="center"/>
              <w:rPr>
                <w:rFonts w:ascii="Calibri" w:eastAsia="Times New Roman" w:hAnsi="Calibri" w:cs="Calibri"/>
                <w:b/>
                <w:color w:val="000000"/>
                <w:sz w:val="24"/>
                <w:szCs w:val="24"/>
                <w:lang w:eastAsia="pt-BR"/>
              </w:rPr>
            </w:pPr>
            <w:r w:rsidRPr="00B22A98">
              <w:rPr>
                <w:rFonts w:ascii="Calibri" w:eastAsia="Times New Roman" w:hAnsi="Calibri" w:cs="Calibri"/>
                <w:b/>
                <w:color w:val="000000"/>
                <w:sz w:val="24"/>
                <w:szCs w:val="24"/>
                <w:lang w:eastAsia="pt-BR"/>
              </w:rPr>
              <w:t>12</w:t>
            </w:r>
          </w:p>
        </w:tc>
        <w:tc>
          <w:tcPr>
            <w:tcW w:w="7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DA503E" w14:textId="77777777" w:rsidR="00B22A98" w:rsidRPr="00B22A98" w:rsidRDefault="00B22A98" w:rsidP="00B22A98">
            <w:pPr>
              <w:spacing w:after="0" w:line="240" w:lineRule="auto"/>
              <w:jc w:val="center"/>
              <w:rPr>
                <w:rFonts w:ascii="Calibri" w:eastAsia="Times New Roman" w:hAnsi="Calibri" w:cs="Calibri"/>
                <w:b/>
                <w:color w:val="000000"/>
                <w:sz w:val="24"/>
                <w:szCs w:val="24"/>
                <w:lang w:eastAsia="pt-BR"/>
              </w:rPr>
            </w:pPr>
            <w:r w:rsidRPr="00B22A98">
              <w:rPr>
                <w:rFonts w:ascii="Calibri" w:eastAsia="Times New Roman" w:hAnsi="Calibri" w:cs="Calibri"/>
                <w:b/>
                <w:color w:val="000000"/>
                <w:sz w:val="24"/>
                <w:szCs w:val="24"/>
                <w:lang w:eastAsia="pt-BR"/>
              </w:rPr>
              <w:t>13</w:t>
            </w:r>
          </w:p>
        </w:tc>
        <w:tc>
          <w:tcPr>
            <w:tcW w:w="7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4507C8" w14:textId="77777777" w:rsidR="00B22A98" w:rsidRPr="00B22A98" w:rsidRDefault="00B22A98" w:rsidP="00B22A98">
            <w:pPr>
              <w:spacing w:after="0" w:line="240" w:lineRule="auto"/>
              <w:jc w:val="center"/>
              <w:rPr>
                <w:rFonts w:ascii="Calibri" w:eastAsia="Times New Roman" w:hAnsi="Calibri" w:cs="Calibri"/>
                <w:b/>
                <w:color w:val="000000"/>
                <w:sz w:val="24"/>
                <w:szCs w:val="24"/>
                <w:lang w:eastAsia="pt-BR"/>
              </w:rPr>
            </w:pPr>
            <w:r w:rsidRPr="00B22A98">
              <w:rPr>
                <w:rFonts w:ascii="Calibri" w:eastAsia="Times New Roman" w:hAnsi="Calibri" w:cs="Calibri"/>
                <w:b/>
                <w:color w:val="000000"/>
                <w:sz w:val="24"/>
                <w:szCs w:val="24"/>
                <w:lang w:eastAsia="pt-BR"/>
              </w:rPr>
              <w:t>14</w:t>
            </w:r>
          </w:p>
        </w:tc>
        <w:tc>
          <w:tcPr>
            <w:tcW w:w="87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8485268" w14:textId="77777777" w:rsidR="00B22A98" w:rsidRPr="00B22A98" w:rsidRDefault="00B22A98" w:rsidP="00B22A98">
            <w:pPr>
              <w:spacing w:after="0" w:line="240" w:lineRule="auto"/>
              <w:jc w:val="center"/>
              <w:rPr>
                <w:rFonts w:ascii="Calibri" w:eastAsia="Times New Roman" w:hAnsi="Calibri" w:cs="Calibri"/>
                <w:b/>
                <w:color w:val="000000"/>
                <w:sz w:val="24"/>
                <w:szCs w:val="24"/>
                <w:lang w:eastAsia="pt-BR"/>
              </w:rPr>
            </w:pPr>
            <w:r w:rsidRPr="00B22A98">
              <w:rPr>
                <w:rFonts w:ascii="Calibri" w:eastAsia="Times New Roman" w:hAnsi="Calibri" w:cs="Calibri"/>
                <w:b/>
                <w:color w:val="000000"/>
                <w:sz w:val="24"/>
                <w:szCs w:val="24"/>
                <w:lang w:eastAsia="pt-BR"/>
              </w:rPr>
              <w:t>15</w:t>
            </w:r>
          </w:p>
        </w:tc>
      </w:tr>
      <w:tr w:rsidR="00680017" w:rsidRPr="00B22A98" w14:paraId="2FA3A7C5" w14:textId="77777777" w:rsidTr="00680017">
        <w:trPr>
          <w:cantSplit/>
          <w:trHeight w:val="1653"/>
          <w:jc w:val="center"/>
        </w:trPr>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B880C5" w14:textId="77777777" w:rsidR="00B22A98" w:rsidRPr="00680017" w:rsidRDefault="00B22A98" w:rsidP="00B22A98">
            <w:pPr>
              <w:spacing w:after="0" w:line="240" w:lineRule="auto"/>
              <w:jc w:val="center"/>
              <w:rPr>
                <w:rFonts w:ascii="Garamond" w:eastAsia="Times New Roman" w:hAnsi="Garamond" w:cs="Calibri"/>
                <w:color w:val="000000"/>
                <w:sz w:val="20"/>
                <w:szCs w:val="20"/>
                <w:lang w:eastAsia="pt-BR"/>
              </w:rPr>
            </w:pPr>
            <w:r w:rsidRPr="00680017">
              <w:rPr>
                <w:rFonts w:ascii="Garamond" w:eastAsia="Times New Roman" w:hAnsi="Garamond" w:cs="Calibri"/>
                <w:color w:val="000000"/>
                <w:sz w:val="20"/>
                <w:szCs w:val="20"/>
                <w:lang w:eastAsia="pt-BR"/>
              </w:rPr>
              <w:t>Declaração de Importação (DI)</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4430E925" w14:textId="77777777" w:rsidR="00B22A98" w:rsidRPr="00680017" w:rsidRDefault="00B22A98" w:rsidP="00B22A98">
            <w:pPr>
              <w:spacing w:after="0" w:line="240" w:lineRule="auto"/>
              <w:jc w:val="center"/>
              <w:rPr>
                <w:rFonts w:ascii="Garamond" w:eastAsia="Times New Roman" w:hAnsi="Garamond" w:cs="Calibri"/>
                <w:color w:val="000000"/>
                <w:sz w:val="20"/>
                <w:szCs w:val="20"/>
                <w:lang w:eastAsia="pt-BR"/>
              </w:rPr>
            </w:pPr>
            <w:r w:rsidRPr="00680017">
              <w:rPr>
                <w:rFonts w:ascii="Garamond" w:eastAsia="Times New Roman" w:hAnsi="Garamond" w:cs="Calibri"/>
                <w:color w:val="000000"/>
                <w:sz w:val="20"/>
                <w:szCs w:val="20"/>
                <w:lang w:eastAsia="pt-BR"/>
              </w:rPr>
              <w:t>Data do Embarque</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236D19A5" w14:textId="77777777" w:rsidR="00B22A98" w:rsidRPr="00680017" w:rsidRDefault="00B22A98" w:rsidP="00B22A98">
            <w:pPr>
              <w:spacing w:after="0" w:line="240" w:lineRule="auto"/>
              <w:jc w:val="center"/>
              <w:rPr>
                <w:rFonts w:ascii="Garamond" w:eastAsia="Times New Roman" w:hAnsi="Garamond" w:cs="Calibri"/>
                <w:color w:val="000000"/>
                <w:sz w:val="20"/>
                <w:szCs w:val="20"/>
                <w:lang w:eastAsia="pt-BR"/>
              </w:rPr>
            </w:pPr>
            <w:r w:rsidRPr="00680017">
              <w:rPr>
                <w:rFonts w:ascii="Garamond" w:eastAsia="Times New Roman" w:hAnsi="Garamond" w:cs="Calibri"/>
                <w:color w:val="000000"/>
                <w:sz w:val="20"/>
                <w:szCs w:val="20"/>
                <w:lang w:eastAsia="pt-BR"/>
              </w:rPr>
              <w:t>Data de Chegada no Brasil</w:t>
            </w:r>
          </w:p>
        </w:tc>
        <w:tc>
          <w:tcPr>
            <w:tcW w:w="1166" w:type="dxa"/>
            <w:tcBorders>
              <w:top w:val="single" w:sz="4" w:space="0" w:color="auto"/>
              <w:left w:val="nil"/>
              <w:bottom w:val="single" w:sz="4" w:space="0" w:color="auto"/>
              <w:right w:val="single" w:sz="4" w:space="0" w:color="auto"/>
            </w:tcBorders>
            <w:shd w:val="clear" w:color="000000" w:fill="FFFFFF"/>
            <w:vAlign w:val="center"/>
            <w:hideMark/>
          </w:tcPr>
          <w:p w14:paraId="2B7D8351" w14:textId="77777777" w:rsidR="00B22A98" w:rsidRPr="00680017" w:rsidRDefault="00B22A98" w:rsidP="00B22A98">
            <w:pPr>
              <w:spacing w:after="0" w:line="240" w:lineRule="auto"/>
              <w:jc w:val="center"/>
              <w:rPr>
                <w:rFonts w:ascii="Garamond" w:eastAsia="Times New Roman" w:hAnsi="Garamond" w:cs="Calibri"/>
                <w:color w:val="000000"/>
                <w:sz w:val="20"/>
                <w:szCs w:val="20"/>
                <w:lang w:eastAsia="pt-BR"/>
              </w:rPr>
            </w:pPr>
            <w:r w:rsidRPr="00680017">
              <w:rPr>
                <w:rFonts w:ascii="Garamond" w:eastAsia="Times New Roman" w:hAnsi="Garamond" w:cs="Calibri"/>
                <w:color w:val="000000"/>
                <w:sz w:val="20"/>
                <w:szCs w:val="20"/>
                <w:lang w:eastAsia="pt-BR"/>
              </w:rPr>
              <w:t>Data do Desembaraço</w:t>
            </w:r>
          </w:p>
        </w:tc>
        <w:tc>
          <w:tcPr>
            <w:tcW w:w="875" w:type="dxa"/>
            <w:tcBorders>
              <w:top w:val="single" w:sz="4" w:space="0" w:color="auto"/>
              <w:left w:val="nil"/>
              <w:bottom w:val="single" w:sz="4" w:space="0" w:color="auto"/>
              <w:right w:val="single" w:sz="4" w:space="0" w:color="auto"/>
            </w:tcBorders>
            <w:shd w:val="clear" w:color="000000" w:fill="FFFFFF"/>
            <w:vAlign w:val="center"/>
            <w:hideMark/>
          </w:tcPr>
          <w:p w14:paraId="092392FF" w14:textId="77777777" w:rsidR="00B22A98" w:rsidRPr="00680017" w:rsidRDefault="00B22A98" w:rsidP="00B22A98">
            <w:pPr>
              <w:spacing w:after="0" w:line="240" w:lineRule="auto"/>
              <w:jc w:val="center"/>
              <w:rPr>
                <w:rFonts w:ascii="Garamond" w:eastAsia="Times New Roman" w:hAnsi="Garamond" w:cs="Calibri"/>
                <w:color w:val="000000"/>
                <w:sz w:val="20"/>
                <w:szCs w:val="20"/>
                <w:lang w:eastAsia="pt-BR"/>
              </w:rPr>
            </w:pPr>
            <w:r w:rsidRPr="00680017">
              <w:rPr>
                <w:rFonts w:ascii="Garamond" w:eastAsia="Times New Roman" w:hAnsi="Garamond" w:cs="Calibri"/>
                <w:color w:val="000000"/>
                <w:sz w:val="20"/>
                <w:szCs w:val="20"/>
                <w:lang w:eastAsia="pt-BR"/>
              </w:rPr>
              <w:t>Número da fatura comercial (invoice)</w:t>
            </w:r>
          </w:p>
        </w:tc>
        <w:tc>
          <w:tcPr>
            <w:tcW w:w="874" w:type="dxa"/>
            <w:tcBorders>
              <w:top w:val="single" w:sz="4" w:space="0" w:color="auto"/>
              <w:left w:val="nil"/>
              <w:bottom w:val="single" w:sz="4" w:space="0" w:color="auto"/>
              <w:right w:val="single" w:sz="4" w:space="0" w:color="auto"/>
            </w:tcBorders>
            <w:shd w:val="clear" w:color="000000" w:fill="FFFFFF"/>
            <w:vAlign w:val="center"/>
            <w:hideMark/>
          </w:tcPr>
          <w:p w14:paraId="34CAE893" w14:textId="77777777" w:rsidR="00B22A98" w:rsidRPr="00680017" w:rsidRDefault="00B22A98" w:rsidP="00B22A98">
            <w:pPr>
              <w:spacing w:after="0" w:line="240" w:lineRule="auto"/>
              <w:jc w:val="center"/>
              <w:rPr>
                <w:rFonts w:ascii="Garamond" w:eastAsia="Times New Roman" w:hAnsi="Garamond" w:cs="Calibri"/>
                <w:color w:val="000000"/>
                <w:sz w:val="20"/>
                <w:szCs w:val="20"/>
                <w:lang w:eastAsia="pt-BR"/>
              </w:rPr>
            </w:pPr>
            <w:r w:rsidRPr="00680017">
              <w:rPr>
                <w:rFonts w:ascii="Garamond" w:eastAsia="Times New Roman" w:hAnsi="Garamond" w:cs="Calibri"/>
                <w:color w:val="000000"/>
                <w:sz w:val="20"/>
                <w:szCs w:val="20"/>
                <w:lang w:eastAsia="pt-BR"/>
              </w:rPr>
              <w:t>Data da fatura comercial (invoice)</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6749221F" w14:textId="77777777" w:rsidR="00B22A98" w:rsidRPr="00680017" w:rsidRDefault="00B22A98" w:rsidP="00B22A98">
            <w:pPr>
              <w:spacing w:after="0" w:line="240" w:lineRule="auto"/>
              <w:jc w:val="center"/>
              <w:rPr>
                <w:rFonts w:ascii="Garamond" w:eastAsia="Times New Roman" w:hAnsi="Garamond" w:cs="Calibri"/>
                <w:color w:val="000000"/>
                <w:sz w:val="20"/>
                <w:szCs w:val="20"/>
                <w:lang w:eastAsia="pt-BR"/>
              </w:rPr>
            </w:pPr>
            <w:r w:rsidRPr="00680017">
              <w:rPr>
                <w:rFonts w:ascii="Garamond" w:eastAsia="Times New Roman" w:hAnsi="Garamond" w:cs="Calibri"/>
                <w:color w:val="000000"/>
                <w:sz w:val="20"/>
                <w:szCs w:val="20"/>
                <w:lang w:eastAsia="pt-BR"/>
              </w:rPr>
              <w:t>Exportador</w:t>
            </w:r>
          </w:p>
        </w:tc>
        <w:tc>
          <w:tcPr>
            <w:tcW w:w="1021" w:type="dxa"/>
            <w:tcBorders>
              <w:top w:val="single" w:sz="4" w:space="0" w:color="auto"/>
              <w:left w:val="nil"/>
              <w:bottom w:val="single" w:sz="4" w:space="0" w:color="auto"/>
              <w:right w:val="single" w:sz="4" w:space="0" w:color="auto"/>
            </w:tcBorders>
            <w:shd w:val="clear" w:color="000000" w:fill="FFFFFF"/>
            <w:vAlign w:val="center"/>
            <w:hideMark/>
          </w:tcPr>
          <w:p w14:paraId="7BAEED7A" w14:textId="77777777" w:rsidR="00B22A98" w:rsidRPr="00680017" w:rsidRDefault="00B22A98" w:rsidP="00B22A98">
            <w:pPr>
              <w:spacing w:after="0" w:line="240" w:lineRule="auto"/>
              <w:jc w:val="center"/>
              <w:rPr>
                <w:rFonts w:ascii="Garamond" w:eastAsia="Times New Roman" w:hAnsi="Garamond" w:cs="Calibri"/>
                <w:color w:val="000000"/>
                <w:sz w:val="20"/>
                <w:szCs w:val="20"/>
                <w:lang w:eastAsia="pt-BR"/>
              </w:rPr>
            </w:pPr>
            <w:r w:rsidRPr="00680017">
              <w:rPr>
                <w:rFonts w:ascii="Garamond" w:eastAsia="Times New Roman" w:hAnsi="Garamond" w:cs="Calibri"/>
                <w:color w:val="000000"/>
                <w:sz w:val="20"/>
                <w:szCs w:val="20"/>
                <w:lang w:eastAsia="pt-BR"/>
              </w:rPr>
              <w:t>País de Exportação</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00D968F2" w14:textId="77777777" w:rsidR="00B22A98" w:rsidRPr="00680017" w:rsidRDefault="00B22A98" w:rsidP="00B22A98">
            <w:pPr>
              <w:spacing w:after="0" w:line="240" w:lineRule="auto"/>
              <w:jc w:val="center"/>
              <w:rPr>
                <w:rFonts w:ascii="Garamond" w:eastAsia="Times New Roman" w:hAnsi="Garamond" w:cs="Calibri"/>
                <w:color w:val="000000"/>
                <w:sz w:val="20"/>
                <w:szCs w:val="20"/>
                <w:lang w:eastAsia="pt-BR"/>
              </w:rPr>
            </w:pPr>
            <w:r w:rsidRPr="00680017">
              <w:rPr>
                <w:rFonts w:ascii="Garamond" w:eastAsia="Times New Roman" w:hAnsi="Garamond" w:cs="Calibri"/>
                <w:color w:val="000000"/>
                <w:sz w:val="20"/>
                <w:szCs w:val="20"/>
                <w:lang w:eastAsia="pt-BR"/>
              </w:rPr>
              <w:t>Fabricante</w:t>
            </w:r>
          </w:p>
        </w:tc>
        <w:tc>
          <w:tcPr>
            <w:tcW w:w="729" w:type="dxa"/>
            <w:tcBorders>
              <w:top w:val="single" w:sz="4" w:space="0" w:color="auto"/>
              <w:left w:val="nil"/>
              <w:bottom w:val="single" w:sz="4" w:space="0" w:color="auto"/>
              <w:right w:val="single" w:sz="4" w:space="0" w:color="auto"/>
            </w:tcBorders>
            <w:shd w:val="clear" w:color="000000" w:fill="FFFFFF"/>
            <w:vAlign w:val="center"/>
            <w:hideMark/>
          </w:tcPr>
          <w:p w14:paraId="2F9BB6B3" w14:textId="77777777" w:rsidR="00B22A98" w:rsidRPr="00680017" w:rsidRDefault="00B22A98" w:rsidP="00B22A98">
            <w:pPr>
              <w:spacing w:after="0" w:line="240" w:lineRule="auto"/>
              <w:jc w:val="center"/>
              <w:rPr>
                <w:rFonts w:ascii="Garamond" w:eastAsia="Times New Roman" w:hAnsi="Garamond" w:cs="Calibri"/>
                <w:color w:val="000000"/>
                <w:sz w:val="20"/>
                <w:szCs w:val="20"/>
                <w:lang w:eastAsia="pt-BR"/>
              </w:rPr>
            </w:pPr>
            <w:r w:rsidRPr="00680017">
              <w:rPr>
                <w:rFonts w:ascii="Garamond" w:eastAsia="Times New Roman" w:hAnsi="Garamond" w:cs="Calibri"/>
                <w:color w:val="000000"/>
                <w:sz w:val="20"/>
                <w:szCs w:val="20"/>
                <w:lang w:eastAsia="pt-BR"/>
              </w:rPr>
              <w:t>País de Origem</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03BCC002" w14:textId="77777777" w:rsidR="00B22A98" w:rsidRPr="00680017" w:rsidRDefault="00B22A98" w:rsidP="00B22A98">
            <w:pPr>
              <w:spacing w:after="0" w:line="240" w:lineRule="auto"/>
              <w:jc w:val="center"/>
              <w:rPr>
                <w:rFonts w:ascii="Garamond" w:eastAsia="Times New Roman" w:hAnsi="Garamond" w:cs="Calibri"/>
                <w:color w:val="000000"/>
                <w:sz w:val="20"/>
                <w:szCs w:val="20"/>
                <w:lang w:eastAsia="pt-BR"/>
              </w:rPr>
            </w:pPr>
            <w:r w:rsidRPr="00680017">
              <w:rPr>
                <w:rFonts w:ascii="Garamond" w:eastAsia="Times New Roman" w:hAnsi="Garamond" w:cs="Calibri"/>
                <w:color w:val="000000"/>
                <w:sz w:val="20"/>
                <w:szCs w:val="20"/>
                <w:lang w:eastAsia="pt-BR"/>
              </w:rPr>
              <w:t>Quantidade (informar unidade)</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14:paraId="7B1EB692" w14:textId="77777777" w:rsidR="00B22A98" w:rsidRPr="00680017" w:rsidRDefault="00B22A98" w:rsidP="00B22A98">
            <w:pPr>
              <w:spacing w:after="0" w:line="240" w:lineRule="auto"/>
              <w:jc w:val="center"/>
              <w:rPr>
                <w:rFonts w:ascii="Garamond" w:eastAsia="Times New Roman" w:hAnsi="Garamond" w:cs="Calibri"/>
                <w:color w:val="000000"/>
                <w:sz w:val="20"/>
                <w:szCs w:val="20"/>
                <w:lang w:eastAsia="pt-BR"/>
              </w:rPr>
            </w:pPr>
            <w:r w:rsidRPr="00680017">
              <w:rPr>
                <w:rFonts w:ascii="Garamond" w:eastAsia="Times New Roman" w:hAnsi="Garamond" w:cs="Calibri"/>
                <w:color w:val="000000"/>
                <w:sz w:val="20"/>
                <w:szCs w:val="20"/>
                <w:lang w:eastAsia="pt-BR"/>
              </w:rPr>
              <w:t>Quantidade</w:t>
            </w:r>
          </w:p>
          <w:p w14:paraId="644EFD2E" w14:textId="77777777" w:rsidR="00B22A98" w:rsidRPr="00680017" w:rsidRDefault="00B22A98" w:rsidP="00B22A98">
            <w:pPr>
              <w:spacing w:after="0" w:line="240" w:lineRule="auto"/>
              <w:jc w:val="center"/>
              <w:rPr>
                <w:rFonts w:ascii="Garamond" w:eastAsia="Times New Roman" w:hAnsi="Garamond" w:cs="Calibri"/>
                <w:color w:val="000000"/>
                <w:sz w:val="20"/>
                <w:szCs w:val="20"/>
                <w:lang w:eastAsia="pt-BR"/>
              </w:rPr>
            </w:pPr>
            <w:r w:rsidRPr="00680017">
              <w:rPr>
                <w:rFonts w:ascii="Garamond" w:eastAsia="Times New Roman" w:hAnsi="Garamond" w:cs="Calibri"/>
                <w:color w:val="000000"/>
                <w:sz w:val="20"/>
                <w:szCs w:val="20"/>
                <w:lang w:eastAsia="pt-BR"/>
              </w:rPr>
              <w:t>(informar unidade de comercialização)</w:t>
            </w:r>
          </w:p>
        </w:tc>
        <w:tc>
          <w:tcPr>
            <w:tcW w:w="729" w:type="dxa"/>
            <w:tcBorders>
              <w:top w:val="single" w:sz="4" w:space="0" w:color="auto"/>
              <w:left w:val="nil"/>
              <w:bottom w:val="single" w:sz="4" w:space="0" w:color="auto"/>
              <w:right w:val="single" w:sz="4" w:space="0" w:color="auto"/>
            </w:tcBorders>
            <w:shd w:val="clear" w:color="000000" w:fill="FFFFFF"/>
            <w:vAlign w:val="center"/>
            <w:hideMark/>
          </w:tcPr>
          <w:p w14:paraId="4553B2CA" w14:textId="77777777" w:rsidR="00B22A98" w:rsidRPr="00680017" w:rsidRDefault="00B22A98" w:rsidP="00B22A98">
            <w:pPr>
              <w:spacing w:after="0" w:line="240" w:lineRule="auto"/>
              <w:jc w:val="center"/>
              <w:rPr>
                <w:rFonts w:ascii="Garamond" w:eastAsia="Times New Roman" w:hAnsi="Garamond" w:cs="Calibri"/>
                <w:color w:val="000000"/>
                <w:sz w:val="20"/>
                <w:szCs w:val="20"/>
                <w:lang w:eastAsia="pt-BR"/>
              </w:rPr>
            </w:pPr>
            <w:r w:rsidRPr="00680017">
              <w:rPr>
                <w:rFonts w:ascii="Garamond" w:eastAsia="Times New Roman" w:hAnsi="Garamond" w:cs="Calibri"/>
                <w:color w:val="000000"/>
                <w:sz w:val="20"/>
                <w:szCs w:val="20"/>
                <w:lang w:eastAsia="pt-BR"/>
              </w:rPr>
              <w:t>Preço unitário CIF [DI] (US$)</w:t>
            </w:r>
          </w:p>
        </w:tc>
        <w:tc>
          <w:tcPr>
            <w:tcW w:w="729" w:type="dxa"/>
            <w:tcBorders>
              <w:top w:val="single" w:sz="4" w:space="0" w:color="auto"/>
              <w:left w:val="nil"/>
              <w:bottom w:val="single" w:sz="4" w:space="0" w:color="auto"/>
              <w:right w:val="single" w:sz="4" w:space="0" w:color="auto"/>
            </w:tcBorders>
            <w:shd w:val="clear" w:color="000000" w:fill="FFFFFF"/>
            <w:vAlign w:val="center"/>
            <w:hideMark/>
          </w:tcPr>
          <w:p w14:paraId="36FECA7F" w14:textId="77777777" w:rsidR="00B22A98" w:rsidRPr="00680017" w:rsidRDefault="00B22A98" w:rsidP="00B22A98">
            <w:pPr>
              <w:spacing w:after="0" w:line="240" w:lineRule="auto"/>
              <w:jc w:val="center"/>
              <w:rPr>
                <w:rFonts w:ascii="Garamond" w:eastAsia="Times New Roman" w:hAnsi="Garamond" w:cs="Calibri"/>
                <w:color w:val="000000"/>
                <w:sz w:val="20"/>
                <w:szCs w:val="20"/>
                <w:lang w:eastAsia="pt-BR"/>
              </w:rPr>
            </w:pPr>
            <w:r w:rsidRPr="00680017">
              <w:rPr>
                <w:rFonts w:ascii="Garamond" w:eastAsia="Times New Roman" w:hAnsi="Garamond" w:cs="Calibri"/>
                <w:color w:val="000000"/>
                <w:sz w:val="20"/>
                <w:szCs w:val="20"/>
                <w:lang w:eastAsia="pt-BR"/>
              </w:rPr>
              <w:t>Nota Fiscal de Entrada</w:t>
            </w:r>
          </w:p>
        </w:tc>
        <w:tc>
          <w:tcPr>
            <w:tcW w:w="874" w:type="dxa"/>
            <w:gridSpan w:val="2"/>
            <w:tcBorders>
              <w:top w:val="single" w:sz="4" w:space="0" w:color="auto"/>
              <w:left w:val="nil"/>
              <w:bottom w:val="single" w:sz="4" w:space="0" w:color="auto"/>
              <w:right w:val="single" w:sz="4" w:space="0" w:color="auto"/>
            </w:tcBorders>
            <w:shd w:val="clear" w:color="000000" w:fill="FFFFFF"/>
            <w:vAlign w:val="center"/>
            <w:hideMark/>
          </w:tcPr>
          <w:p w14:paraId="67AB3F2E" w14:textId="00078FE1" w:rsidR="00B22A98" w:rsidRPr="00680017" w:rsidRDefault="00B22A98" w:rsidP="00B22A98">
            <w:pPr>
              <w:spacing w:after="0" w:line="240" w:lineRule="auto"/>
              <w:jc w:val="center"/>
              <w:rPr>
                <w:rFonts w:ascii="Garamond" w:eastAsia="Times New Roman" w:hAnsi="Garamond" w:cs="Calibri"/>
                <w:color w:val="000000"/>
                <w:sz w:val="20"/>
                <w:szCs w:val="20"/>
                <w:lang w:eastAsia="pt-BR"/>
              </w:rPr>
            </w:pPr>
            <w:r w:rsidRPr="00680017">
              <w:rPr>
                <w:rFonts w:ascii="Garamond" w:eastAsia="Times New Roman" w:hAnsi="Garamond" w:cs="Calibri"/>
                <w:color w:val="000000"/>
                <w:sz w:val="20"/>
                <w:szCs w:val="20"/>
                <w:lang w:eastAsia="pt-BR"/>
              </w:rPr>
              <w:t>Data da Nota Fiscal de Entrada</w:t>
            </w:r>
          </w:p>
        </w:tc>
      </w:tr>
    </w:tbl>
    <w:p w14:paraId="7BD783D5" w14:textId="08E4908F" w:rsidR="00032ACD" w:rsidRDefault="00032ACD" w:rsidP="00E33E26">
      <w:pPr>
        <w:rPr>
          <w:rFonts w:ascii="Garamond" w:hAnsi="Garamond"/>
        </w:rPr>
      </w:pPr>
    </w:p>
    <w:p w14:paraId="438A80B6" w14:textId="77777777" w:rsidR="00B22A98" w:rsidRPr="005C5CBD" w:rsidRDefault="00B22A98" w:rsidP="00E33E26">
      <w:pPr>
        <w:rPr>
          <w:rFonts w:ascii="Garamond" w:hAnsi="Garamond"/>
        </w:rPr>
        <w:sectPr w:rsidR="00B22A98" w:rsidRPr="005C5CBD" w:rsidSect="00E15FBB">
          <w:pgSz w:w="15840" w:h="12240" w:orient="landscape"/>
          <w:pgMar w:top="1418" w:right="1500" w:bottom="1580" w:left="1418" w:header="720" w:footer="968" w:gutter="0"/>
          <w:cols w:space="720"/>
          <w:docGrid w:linePitch="299"/>
        </w:sectPr>
      </w:pPr>
    </w:p>
    <w:p w14:paraId="0A0865F1" w14:textId="0150CB0D" w:rsidR="00AF5004" w:rsidRPr="00395593" w:rsidRDefault="00112608" w:rsidP="003775F1">
      <w:pPr>
        <w:jc w:val="both"/>
        <w:rPr>
          <w:rFonts w:ascii="Garamond" w:hAnsi="Garamond"/>
        </w:rPr>
      </w:pPr>
      <w:r>
        <w:rPr>
          <w:rFonts w:ascii="Garamond" w:hAnsi="Garamond"/>
          <w:noProof/>
          <w:lang w:eastAsia="pt-BR"/>
        </w:rPr>
        <w:drawing>
          <wp:inline distT="0" distB="0" distL="0" distR="0" wp14:anchorId="138A5BAF" wp14:editId="636FA1F9">
            <wp:extent cx="5868670" cy="8300720"/>
            <wp:effectExtent l="0" t="0" r="0" b="508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RTE C.png"/>
                    <pic:cNvPicPr/>
                  </pic:nvPicPr>
                  <pic:blipFill>
                    <a:blip r:embed="rId232">
                      <a:extLst>
                        <a:ext uri="{28A0092B-C50C-407E-A947-70E740481C1C}">
                          <a14:useLocalDpi xmlns:a14="http://schemas.microsoft.com/office/drawing/2010/main" val="0"/>
                        </a:ext>
                      </a:extLst>
                    </a:blip>
                    <a:stretch>
                      <a:fillRect/>
                    </a:stretch>
                  </pic:blipFill>
                  <pic:spPr>
                    <a:xfrm>
                      <a:off x="0" y="0"/>
                      <a:ext cx="5868670" cy="8300720"/>
                    </a:xfrm>
                    <a:prstGeom prst="rect">
                      <a:avLst/>
                    </a:prstGeom>
                  </pic:spPr>
                </pic:pic>
              </a:graphicData>
            </a:graphic>
          </wp:inline>
        </w:drawing>
      </w:r>
    </w:p>
    <w:p w14:paraId="03104E78" w14:textId="49FE7F9E" w:rsidR="00B478ED" w:rsidRPr="00B478ED" w:rsidRDefault="00AF5004" w:rsidP="00B11984">
      <w:pPr>
        <w:ind w:left="284"/>
        <w:jc w:val="center"/>
        <w:outlineLvl w:val="0"/>
        <w:rPr>
          <w:rFonts w:ascii="Garamond" w:hAnsi="Garamond"/>
        </w:rPr>
      </w:pPr>
      <w:r w:rsidRPr="00395593">
        <w:rPr>
          <w:rFonts w:ascii="Garamond" w:hAnsi="Garamond"/>
        </w:rPr>
        <w:br w:type="page"/>
      </w:r>
      <w:bookmarkStart w:id="143" w:name="_Toc95916109"/>
      <w:bookmarkStart w:id="144" w:name="_Toc96003812"/>
      <w:r w:rsidR="00B478ED" w:rsidRPr="001212FB">
        <w:rPr>
          <w:rFonts w:ascii="Garamond" w:hAnsi="Garamond" w:cstheme="majorHAnsi"/>
          <w:b/>
          <w:smallCaps/>
          <w:sz w:val="28"/>
          <w:szCs w:val="28"/>
        </w:rPr>
        <w:t xml:space="preserve">Parte </w:t>
      </w:r>
      <w:r w:rsidR="00B478ED">
        <w:rPr>
          <w:rFonts w:ascii="Garamond" w:hAnsi="Garamond" w:cstheme="majorHAnsi"/>
          <w:b/>
          <w:smallCaps/>
          <w:sz w:val="28"/>
          <w:szCs w:val="28"/>
        </w:rPr>
        <w:t>C</w:t>
      </w:r>
      <w:r w:rsidR="00B478ED" w:rsidRPr="001212FB">
        <w:rPr>
          <w:rFonts w:ascii="Garamond" w:hAnsi="Garamond" w:cstheme="majorHAnsi"/>
          <w:b/>
          <w:smallCaps/>
          <w:sz w:val="28"/>
          <w:szCs w:val="28"/>
        </w:rPr>
        <w:t xml:space="preserve"> – Normas </w:t>
      </w:r>
      <w:r w:rsidR="00B478ED">
        <w:rPr>
          <w:rFonts w:ascii="Garamond" w:hAnsi="Garamond" w:cstheme="majorHAnsi"/>
          <w:b/>
          <w:smallCaps/>
          <w:sz w:val="28"/>
          <w:szCs w:val="28"/>
        </w:rPr>
        <w:t>Específicas de Subsídios e Medidas Compensatórias</w:t>
      </w:r>
      <w:bookmarkEnd w:id="143"/>
      <w:bookmarkEnd w:id="144"/>
    </w:p>
    <w:p w14:paraId="6096657A" w14:textId="7144F7CA" w:rsidR="00B73003" w:rsidRPr="005C26A4" w:rsidRDefault="00CB6C86" w:rsidP="007F0BE9">
      <w:pPr>
        <w:pStyle w:val="Ttulo"/>
        <w:outlineLvl w:val="1"/>
      </w:pPr>
      <w:bookmarkStart w:id="145" w:name="_Toc96003813"/>
      <w:r w:rsidRPr="00395593">
        <w:t>A</w:t>
      </w:r>
      <w:r w:rsidR="00983075" w:rsidRPr="00395593">
        <w:t xml:space="preserve">cordo de </w:t>
      </w:r>
      <w:r w:rsidR="000538FD">
        <w:t>S</w:t>
      </w:r>
      <w:r w:rsidR="00983075" w:rsidRPr="00395593">
        <w:t xml:space="preserve">ubsídios e </w:t>
      </w:r>
      <w:r w:rsidR="000538FD">
        <w:t>M</w:t>
      </w:r>
      <w:r w:rsidR="00983075" w:rsidRPr="00395593">
        <w:t xml:space="preserve">edidas </w:t>
      </w:r>
      <w:r w:rsidR="000538FD">
        <w:t>C</w:t>
      </w:r>
      <w:r w:rsidR="00983075" w:rsidRPr="00395593">
        <w:t>ompensatórias</w:t>
      </w:r>
      <w:bookmarkEnd w:id="145"/>
    </w:p>
    <w:p w14:paraId="04BFF40F" w14:textId="64A9A26D" w:rsidR="00B73003" w:rsidRDefault="00B73003" w:rsidP="00B73003">
      <w:pPr>
        <w:jc w:val="both"/>
        <w:rPr>
          <w:rFonts w:ascii="Garamond" w:hAnsi="Garamond" w:cstheme="majorHAnsi"/>
        </w:rPr>
      </w:pPr>
    </w:p>
    <w:p w14:paraId="2CED33B0" w14:textId="77777777" w:rsidR="00CB6C86" w:rsidRPr="00395593" w:rsidRDefault="00CB6C86" w:rsidP="00CB6C86">
      <w:pPr>
        <w:pStyle w:val="Corpodetexto"/>
        <w:spacing w:before="1"/>
        <w:rPr>
          <w:rFonts w:ascii="Garamond" w:hAnsi="Garamond"/>
        </w:rPr>
      </w:pPr>
      <w:r w:rsidRPr="00395593">
        <w:rPr>
          <w:rFonts w:ascii="Garamond" w:hAnsi="Garamond"/>
        </w:rPr>
        <w:t>Os</w:t>
      </w:r>
      <w:r w:rsidRPr="00395593">
        <w:rPr>
          <w:rFonts w:ascii="Garamond" w:hAnsi="Garamond"/>
          <w:spacing w:val="-1"/>
        </w:rPr>
        <w:t xml:space="preserve"> </w:t>
      </w:r>
      <w:r w:rsidRPr="00395593">
        <w:rPr>
          <w:rFonts w:ascii="Garamond" w:hAnsi="Garamond"/>
        </w:rPr>
        <w:t>Membros, por</w:t>
      </w:r>
      <w:r w:rsidRPr="00395593">
        <w:rPr>
          <w:rFonts w:ascii="Garamond" w:hAnsi="Garamond"/>
          <w:spacing w:val="-1"/>
        </w:rPr>
        <w:t xml:space="preserve"> </w:t>
      </w:r>
      <w:r w:rsidRPr="00395593">
        <w:rPr>
          <w:rFonts w:ascii="Garamond" w:hAnsi="Garamond"/>
        </w:rPr>
        <w:t>meio</w:t>
      </w:r>
      <w:r w:rsidRPr="00395593">
        <w:rPr>
          <w:rFonts w:ascii="Garamond" w:hAnsi="Garamond"/>
          <w:spacing w:val="-1"/>
        </w:rPr>
        <w:t xml:space="preserve"> </w:t>
      </w:r>
      <w:r w:rsidRPr="00395593">
        <w:rPr>
          <w:rFonts w:ascii="Garamond" w:hAnsi="Garamond"/>
        </w:rPr>
        <w:t>deste instrumento, acordam:</w:t>
      </w:r>
    </w:p>
    <w:p w14:paraId="22E4AFB2"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6"/>
          <w:szCs w:val="24"/>
        </w:rPr>
      </w:pPr>
    </w:p>
    <w:p w14:paraId="6EF5FD4B" w14:textId="5C240D76" w:rsidR="00ED7102" w:rsidRPr="00395593" w:rsidRDefault="00CB6C86" w:rsidP="00E33E26">
      <w:pPr>
        <w:widowControl w:val="0"/>
        <w:autoSpaceDE w:val="0"/>
        <w:autoSpaceDN w:val="0"/>
        <w:spacing w:before="230"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PARTE I : DISPOSIÇÕES GERAIS</w:t>
      </w:r>
    </w:p>
    <w:p w14:paraId="1E85850D" w14:textId="6B8F2E74" w:rsidR="00CB6C86" w:rsidRPr="00395593" w:rsidRDefault="00CB6C86" w:rsidP="00E33E26">
      <w:pPr>
        <w:widowControl w:val="0"/>
        <w:autoSpaceDE w:val="0"/>
        <w:autoSpaceDN w:val="0"/>
        <w:spacing w:before="230"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 1</w:t>
      </w:r>
    </w:p>
    <w:p w14:paraId="034E0943" w14:textId="77777777" w:rsidR="00CB6C86" w:rsidRPr="00395593" w:rsidRDefault="00CB6C86" w:rsidP="00E33E26">
      <w:pPr>
        <w:widowControl w:val="0"/>
        <w:autoSpaceDE w:val="0"/>
        <w:autoSpaceDN w:val="0"/>
        <w:spacing w:before="230"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Definição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de</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subsídio</w:t>
      </w:r>
    </w:p>
    <w:p w14:paraId="63C5F208"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3BE2FA92" w14:textId="77777777" w:rsidR="00CB6C86" w:rsidRPr="00395593" w:rsidRDefault="00CB6C86" w:rsidP="002C4340">
      <w:pPr>
        <w:widowControl w:val="0"/>
        <w:numPr>
          <w:ilvl w:val="0"/>
          <w:numId w:val="64"/>
        </w:numPr>
        <w:tabs>
          <w:tab w:val="left" w:pos="809"/>
          <w:tab w:val="left" w:pos="810"/>
        </w:tabs>
        <w:autoSpaceDE w:val="0"/>
        <w:autoSpaceDN w:val="0"/>
        <w:spacing w:after="0" w:line="240" w:lineRule="auto"/>
        <w:jc w:val="both"/>
        <w:rPr>
          <w:rFonts w:ascii="Garamond" w:eastAsia="Times New Roman" w:hAnsi="Garamond" w:cs="Times New Roman"/>
          <w:sz w:val="24"/>
        </w:rPr>
      </w:pPr>
      <w:r w:rsidRPr="00395593">
        <w:rPr>
          <w:rFonts w:ascii="Garamond" w:eastAsia="Times New Roman" w:hAnsi="Garamond" w:cs="Times New Roman"/>
          <w:sz w:val="24"/>
        </w:rPr>
        <w:t>Para</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os fins deste Acordo,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considerar-se-á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ocorrência 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quando:</w:t>
      </w:r>
    </w:p>
    <w:p w14:paraId="0DB37F78" w14:textId="77777777" w:rsidR="00CB6C86" w:rsidRPr="00395593" w:rsidRDefault="00CB6C86" w:rsidP="00ED7102">
      <w:pPr>
        <w:widowControl w:val="0"/>
        <w:autoSpaceDE w:val="0"/>
        <w:autoSpaceDN w:val="0"/>
        <w:spacing w:before="1" w:after="0" w:line="240" w:lineRule="auto"/>
        <w:jc w:val="both"/>
        <w:rPr>
          <w:rFonts w:ascii="Garamond" w:eastAsia="Times New Roman" w:hAnsi="Garamond" w:cs="Times New Roman"/>
          <w:sz w:val="24"/>
          <w:szCs w:val="24"/>
        </w:rPr>
      </w:pPr>
    </w:p>
    <w:p w14:paraId="3A2DDC8F" w14:textId="77777777" w:rsidR="00CB6C86" w:rsidRPr="00395593" w:rsidRDefault="00CB6C86" w:rsidP="002C4340">
      <w:pPr>
        <w:widowControl w:val="0"/>
        <w:numPr>
          <w:ilvl w:val="1"/>
          <w:numId w:val="64"/>
        </w:numPr>
        <w:tabs>
          <w:tab w:val="left" w:pos="967"/>
          <w:tab w:val="left" w:pos="1541"/>
        </w:tabs>
        <w:autoSpaceDE w:val="0"/>
        <w:autoSpaceDN w:val="0"/>
        <w:spacing w:after="0" w:line="240" w:lineRule="auto"/>
        <w:ind w:right="121" w:hanging="900"/>
        <w:jc w:val="both"/>
        <w:rPr>
          <w:rFonts w:ascii="Garamond" w:eastAsia="Times New Roman" w:hAnsi="Garamond" w:cs="Times New Roman"/>
          <w:sz w:val="24"/>
        </w:rPr>
      </w:pPr>
      <w:r w:rsidRPr="00395593">
        <w:rPr>
          <w:rFonts w:ascii="Garamond" w:eastAsia="Times New Roman" w:hAnsi="Garamond" w:cs="Times New Roman"/>
          <w:sz w:val="24"/>
        </w:rPr>
        <w:t>(1)</w:t>
      </w:r>
      <w:r w:rsidRPr="00395593">
        <w:rPr>
          <w:rFonts w:ascii="Garamond" w:eastAsia="Times New Roman" w:hAnsi="Garamond" w:cs="Times New Roman"/>
          <w:sz w:val="24"/>
        </w:rPr>
        <w:tab/>
        <w:t>haja</w:t>
      </w:r>
      <w:r w:rsidRPr="00395593">
        <w:rPr>
          <w:rFonts w:ascii="Garamond" w:eastAsia="Times New Roman" w:hAnsi="Garamond" w:cs="Times New Roman"/>
          <w:spacing w:val="5"/>
          <w:sz w:val="24"/>
        </w:rPr>
        <w:t xml:space="preserve"> </w:t>
      </w:r>
      <w:r w:rsidRPr="00395593">
        <w:rPr>
          <w:rFonts w:ascii="Garamond" w:eastAsia="Times New Roman" w:hAnsi="Garamond" w:cs="Times New Roman"/>
          <w:sz w:val="24"/>
        </w:rPr>
        <w:t>contribuição</w:t>
      </w:r>
      <w:r w:rsidRPr="00395593">
        <w:rPr>
          <w:rFonts w:ascii="Garamond" w:eastAsia="Times New Roman" w:hAnsi="Garamond" w:cs="Times New Roman"/>
          <w:spacing w:val="5"/>
          <w:sz w:val="24"/>
        </w:rPr>
        <w:t xml:space="preserve"> </w:t>
      </w:r>
      <w:r w:rsidRPr="00395593">
        <w:rPr>
          <w:rFonts w:ascii="Garamond" w:eastAsia="Times New Roman" w:hAnsi="Garamond" w:cs="Times New Roman"/>
          <w:sz w:val="24"/>
        </w:rPr>
        <w:t>financeira</w:t>
      </w:r>
      <w:r w:rsidRPr="00395593">
        <w:rPr>
          <w:rFonts w:ascii="Garamond" w:eastAsia="Times New Roman" w:hAnsi="Garamond" w:cs="Times New Roman"/>
          <w:spacing w:val="4"/>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5"/>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6"/>
          <w:sz w:val="24"/>
        </w:rPr>
        <w:t xml:space="preserve"> </w:t>
      </w:r>
      <w:r w:rsidRPr="00395593">
        <w:rPr>
          <w:rFonts w:ascii="Garamond" w:eastAsia="Times New Roman" w:hAnsi="Garamond" w:cs="Times New Roman"/>
          <w:sz w:val="24"/>
        </w:rPr>
        <w:t>governo</w:t>
      </w:r>
      <w:r w:rsidRPr="00395593">
        <w:rPr>
          <w:rFonts w:ascii="Garamond" w:eastAsia="Times New Roman" w:hAnsi="Garamond" w:cs="Times New Roman"/>
          <w:spacing w:val="6"/>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5"/>
          <w:sz w:val="24"/>
        </w:rPr>
        <w:t xml:space="preserve"> </w:t>
      </w:r>
      <w:r w:rsidRPr="00395593">
        <w:rPr>
          <w:rFonts w:ascii="Garamond" w:eastAsia="Times New Roman" w:hAnsi="Garamond" w:cs="Times New Roman"/>
          <w:sz w:val="24"/>
        </w:rPr>
        <w:t>órgão</w:t>
      </w:r>
      <w:r w:rsidRPr="00395593">
        <w:rPr>
          <w:rFonts w:ascii="Garamond" w:eastAsia="Times New Roman" w:hAnsi="Garamond" w:cs="Times New Roman"/>
          <w:spacing w:val="5"/>
          <w:sz w:val="24"/>
        </w:rPr>
        <w:t xml:space="preserve"> </w:t>
      </w:r>
      <w:r w:rsidRPr="00395593">
        <w:rPr>
          <w:rFonts w:ascii="Garamond" w:eastAsia="Times New Roman" w:hAnsi="Garamond" w:cs="Times New Roman"/>
          <w:sz w:val="24"/>
        </w:rPr>
        <w:t>público</w:t>
      </w:r>
      <w:r w:rsidRPr="00395593">
        <w:rPr>
          <w:rFonts w:ascii="Garamond" w:eastAsia="Times New Roman" w:hAnsi="Garamond" w:cs="Times New Roman"/>
          <w:spacing w:val="5"/>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5"/>
          <w:sz w:val="24"/>
        </w:rPr>
        <w:t xml:space="preserve"> </w:t>
      </w:r>
      <w:r w:rsidRPr="00395593">
        <w:rPr>
          <w:rFonts w:ascii="Garamond" w:eastAsia="Times New Roman" w:hAnsi="Garamond" w:cs="Times New Roman"/>
          <w:sz w:val="24"/>
        </w:rPr>
        <w:t>interior</w:t>
      </w:r>
      <w:r w:rsidRPr="00395593">
        <w:rPr>
          <w:rFonts w:ascii="Garamond" w:eastAsia="Times New Roman" w:hAnsi="Garamond" w:cs="Times New Roman"/>
          <w:spacing w:val="6"/>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território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um Membro (denominado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daqui “governo”),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i.e.:</w:t>
      </w:r>
    </w:p>
    <w:p w14:paraId="0C733C1C"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3BD5AFB3" w14:textId="77777777" w:rsidR="00CB6C86" w:rsidRPr="00395593" w:rsidRDefault="00CB6C86" w:rsidP="002C4340">
      <w:pPr>
        <w:widowControl w:val="0"/>
        <w:numPr>
          <w:ilvl w:val="2"/>
          <w:numId w:val="64"/>
        </w:numPr>
        <w:tabs>
          <w:tab w:val="left" w:pos="1509"/>
        </w:tabs>
        <w:autoSpaceDE w:val="0"/>
        <w:autoSpaceDN w:val="0"/>
        <w:spacing w:after="0" w:line="240" w:lineRule="auto"/>
        <w:ind w:right="119" w:hanging="360"/>
        <w:jc w:val="both"/>
        <w:rPr>
          <w:rFonts w:ascii="Garamond" w:eastAsia="Times New Roman" w:hAnsi="Garamond" w:cs="Times New Roman"/>
          <w:sz w:val="24"/>
        </w:rPr>
      </w:pPr>
      <w:r w:rsidRPr="00395593">
        <w:rPr>
          <w:rFonts w:ascii="Garamond" w:eastAsia="Times New Roman" w:hAnsi="Garamond" w:cs="Times New Roman"/>
          <w:sz w:val="24"/>
        </w:rPr>
        <w:t>quando a prática do governo implique transferência direta de fundos (por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exemplo,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doações,</w:t>
      </w:r>
      <w:r w:rsidRPr="00395593">
        <w:rPr>
          <w:rFonts w:ascii="Garamond" w:eastAsia="Times New Roman" w:hAnsi="Garamond" w:cs="Times New Roman"/>
          <w:spacing w:val="59"/>
          <w:sz w:val="24"/>
        </w:rPr>
        <w:t xml:space="preserve"> </w:t>
      </w:r>
      <w:r w:rsidRPr="00395593">
        <w:rPr>
          <w:rFonts w:ascii="Garamond" w:eastAsia="Times New Roman" w:hAnsi="Garamond" w:cs="Times New Roman"/>
          <w:sz w:val="24"/>
        </w:rPr>
        <w:t>empréstimos</w:t>
      </w:r>
      <w:r w:rsidRPr="00395593">
        <w:rPr>
          <w:rFonts w:ascii="Garamond" w:eastAsia="Times New Roman" w:hAnsi="Garamond" w:cs="Times New Roman"/>
          <w:spacing w:val="59"/>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aportes</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capital),</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potenciais</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transferências diretas de fundos ou obrigações (por exemplo garantias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empréstimos);</w:t>
      </w:r>
    </w:p>
    <w:p w14:paraId="0FC24258"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2A77D50E" w14:textId="77777777" w:rsidR="00CB6C86" w:rsidRPr="00395593" w:rsidRDefault="00CB6C86" w:rsidP="002C4340">
      <w:pPr>
        <w:widowControl w:val="0"/>
        <w:numPr>
          <w:ilvl w:val="2"/>
          <w:numId w:val="64"/>
        </w:numPr>
        <w:tabs>
          <w:tab w:val="left" w:pos="1545"/>
        </w:tabs>
        <w:autoSpaceDE w:val="0"/>
        <w:autoSpaceDN w:val="0"/>
        <w:spacing w:after="0" w:line="240" w:lineRule="auto"/>
        <w:ind w:right="124" w:hanging="360"/>
        <w:jc w:val="both"/>
        <w:rPr>
          <w:rFonts w:ascii="Garamond" w:eastAsia="Times New Roman" w:hAnsi="Garamond" w:cs="Times New Roman"/>
          <w:sz w:val="24"/>
        </w:rPr>
      </w:pPr>
      <w:r w:rsidRPr="00395593">
        <w:rPr>
          <w:rFonts w:ascii="Garamond" w:eastAsia="Times New Roman" w:hAnsi="Garamond" w:cs="Times New Roman"/>
          <w:sz w:val="24"/>
        </w:rPr>
        <w:t>quando receitas públicas devidas são perdoadas ou deixam de ser recolhidas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exemplo, incentivos fiscais tais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como bonificações fiscais)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1</w:t>
      </w:r>
      <w:r w:rsidRPr="00395593">
        <w:rPr>
          <w:rFonts w:ascii="Garamond" w:eastAsia="Times New Roman" w:hAnsi="Garamond" w:cs="Times New Roman"/>
          <w:sz w:val="24"/>
        </w:rPr>
        <w:t>;</w:t>
      </w:r>
    </w:p>
    <w:p w14:paraId="52353E92"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5FAE41A0" w14:textId="77777777" w:rsidR="00CB6C86" w:rsidRPr="00395593" w:rsidRDefault="00CB6C86" w:rsidP="002C4340">
      <w:pPr>
        <w:widowControl w:val="0"/>
        <w:numPr>
          <w:ilvl w:val="2"/>
          <w:numId w:val="64"/>
        </w:numPr>
        <w:tabs>
          <w:tab w:val="left" w:pos="1648"/>
        </w:tabs>
        <w:autoSpaceDE w:val="0"/>
        <w:autoSpaceDN w:val="0"/>
        <w:spacing w:after="0" w:line="240" w:lineRule="auto"/>
        <w:ind w:right="123" w:hanging="360"/>
        <w:jc w:val="both"/>
        <w:rPr>
          <w:rFonts w:ascii="Garamond" w:eastAsia="Times New Roman" w:hAnsi="Garamond" w:cs="Times New Roman"/>
          <w:sz w:val="24"/>
        </w:rPr>
      </w:pPr>
      <w:r w:rsidRPr="00395593">
        <w:rPr>
          <w:rFonts w:ascii="Garamond" w:eastAsia="Times New Roman" w:hAnsi="Garamond" w:cs="Times New Roman"/>
          <w:sz w:val="24"/>
        </w:rPr>
        <w:t>quando o governo forneça bens ou serviços além daqueles destinados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infra-estrutura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geral ou quando adquire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bens;</w:t>
      </w:r>
    </w:p>
    <w:p w14:paraId="3B18881E"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372ABD71" w14:textId="77777777" w:rsidR="00CB6C86" w:rsidRPr="00395593" w:rsidRDefault="00CB6C86" w:rsidP="002C4340">
      <w:pPr>
        <w:widowControl w:val="0"/>
        <w:numPr>
          <w:ilvl w:val="2"/>
          <w:numId w:val="64"/>
        </w:numPr>
        <w:tabs>
          <w:tab w:val="left" w:pos="1612"/>
        </w:tabs>
        <w:autoSpaceDE w:val="0"/>
        <w:autoSpaceDN w:val="0"/>
        <w:spacing w:before="1" w:after="0" w:line="240" w:lineRule="auto"/>
        <w:ind w:right="117" w:hanging="360"/>
        <w:jc w:val="both"/>
        <w:rPr>
          <w:rFonts w:ascii="Garamond" w:eastAsia="Times New Roman" w:hAnsi="Garamond" w:cs="Times New Roman"/>
          <w:sz w:val="24"/>
        </w:rPr>
      </w:pPr>
      <w:r w:rsidRPr="00395593">
        <w:rPr>
          <w:rFonts w:ascii="Garamond" w:eastAsia="Times New Roman" w:hAnsi="Garamond" w:cs="Times New Roman"/>
          <w:sz w:val="24"/>
        </w:rPr>
        <w:t>quando o Governo faça pagamentos a um sistema de fundos ou confie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instrua órgão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privado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realizar uma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funções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descritas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incisos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(iii)</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acima,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seriam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normalmente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incumbência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Governo e cuja prática não difira de nenhum modo significativo da prática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habitualmente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seguida pelos governos;</w:t>
      </w:r>
    </w:p>
    <w:p w14:paraId="7DB26A05"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409A3714" w14:textId="77777777" w:rsidR="00CB6C86" w:rsidRPr="00395593" w:rsidRDefault="00CB6C86" w:rsidP="00CB6C86">
      <w:pPr>
        <w:widowControl w:val="0"/>
        <w:autoSpaceDE w:val="0"/>
        <w:autoSpaceDN w:val="0"/>
        <w:spacing w:after="0" w:line="240" w:lineRule="auto"/>
        <w:ind w:right="145"/>
        <w:jc w:val="center"/>
        <w:rPr>
          <w:rFonts w:ascii="Garamond" w:eastAsia="Times New Roman" w:hAnsi="Garamond" w:cs="Times New Roman"/>
          <w:sz w:val="24"/>
          <w:szCs w:val="24"/>
        </w:rPr>
      </w:pPr>
      <w:r w:rsidRPr="00395593">
        <w:rPr>
          <w:rFonts w:ascii="Garamond" w:eastAsia="Times New Roman" w:hAnsi="Garamond" w:cs="Times New Roman"/>
          <w:sz w:val="24"/>
          <w:szCs w:val="24"/>
        </w:rPr>
        <w:t>ou</w:t>
      </w:r>
    </w:p>
    <w:p w14:paraId="773FDE71"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68458FA2" w14:textId="77777777" w:rsidR="00CB6C86" w:rsidRPr="00395593" w:rsidRDefault="00CB6C86" w:rsidP="002C4340">
      <w:pPr>
        <w:widowControl w:val="0"/>
        <w:numPr>
          <w:ilvl w:val="0"/>
          <w:numId w:val="63"/>
        </w:numPr>
        <w:tabs>
          <w:tab w:val="left" w:pos="943"/>
          <w:tab w:val="left" w:pos="1517"/>
        </w:tabs>
        <w:autoSpaceDE w:val="0"/>
        <w:autoSpaceDN w:val="0"/>
        <w:spacing w:after="0" w:line="240" w:lineRule="auto"/>
        <w:ind w:right="123" w:hanging="900"/>
        <w:rPr>
          <w:rFonts w:ascii="Garamond" w:eastAsia="Times New Roman" w:hAnsi="Garamond" w:cs="Times New Roman"/>
          <w:sz w:val="24"/>
        </w:rPr>
      </w:pPr>
      <w:r w:rsidRPr="00395593">
        <w:rPr>
          <w:rFonts w:ascii="Garamond" w:eastAsia="Times New Roman" w:hAnsi="Garamond" w:cs="Times New Roman"/>
          <w:sz w:val="24"/>
        </w:rPr>
        <w:t>(2)</w:t>
      </w:r>
      <w:r w:rsidRPr="00395593">
        <w:rPr>
          <w:rFonts w:ascii="Garamond" w:eastAsia="Times New Roman" w:hAnsi="Garamond" w:cs="Times New Roman"/>
          <w:sz w:val="24"/>
        </w:rPr>
        <w:tab/>
        <w:t>haja qualquer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receita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sustentação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preços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sentido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Artigo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XVI</w:t>
      </w:r>
      <w:r w:rsidRPr="00395593">
        <w:rPr>
          <w:rFonts w:ascii="Garamond" w:eastAsia="Times New Roman" w:hAnsi="Garamond" w:cs="Times New Roman"/>
          <w:spacing w:val="-4"/>
          <w:sz w:val="24"/>
        </w:rPr>
        <w:t xml:space="preserve"> </w:t>
      </w:r>
      <w:r w:rsidRPr="00395593">
        <w:rPr>
          <w:rFonts w:ascii="Garamond" w:eastAsia="Times New Roman" w:hAnsi="Garamond" w:cs="Times New Roman"/>
          <w:sz w:val="24"/>
        </w:rPr>
        <w:t>do GATT 1994;</w:t>
      </w:r>
    </w:p>
    <w:p w14:paraId="4FA419FC"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6585B41B" w14:textId="77777777" w:rsidR="00CB6C86" w:rsidRPr="00395593" w:rsidRDefault="00CB6C86" w:rsidP="00CB6C86">
      <w:pPr>
        <w:widowControl w:val="0"/>
        <w:autoSpaceDE w:val="0"/>
        <w:autoSpaceDN w:val="0"/>
        <w:spacing w:before="1" w:after="0" w:line="240" w:lineRule="auto"/>
        <w:ind w:right="15"/>
        <w:jc w:val="center"/>
        <w:rPr>
          <w:rFonts w:ascii="Garamond" w:eastAsia="Times New Roman" w:hAnsi="Garamond" w:cs="Times New Roman"/>
          <w:sz w:val="24"/>
          <w:szCs w:val="24"/>
        </w:rPr>
      </w:pPr>
      <w:r w:rsidRPr="00395593">
        <w:rPr>
          <w:rFonts w:ascii="Garamond" w:eastAsia="Times New Roman" w:hAnsi="Garamond" w:cs="Times New Roman"/>
          <w:sz w:val="24"/>
          <w:szCs w:val="24"/>
        </w:rPr>
        <w:t>e</w:t>
      </w:r>
    </w:p>
    <w:p w14:paraId="555B6EA9" w14:textId="77777777" w:rsidR="00CB6C86" w:rsidRPr="00395593" w:rsidRDefault="00CB6C86" w:rsidP="00CB6C86">
      <w:pPr>
        <w:widowControl w:val="0"/>
        <w:autoSpaceDE w:val="0"/>
        <w:autoSpaceDN w:val="0"/>
        <w:spacing w:before="11" w:after="0" w:line="240" w:lineRule="auto"/>
        <w:rPr>
          <w:rFonts w:ascii="Garamond" w:eastAsia="Times New Roman" w:hAnsi="Garamond" w:cs="Times New Roman"/>
          <w:sz w:val="23"/>
          <w:szCs w:val="24"/>
        </w:rPr>
      </w:pPr>
    </w:p>
    <w:p w14:paraId="2FB13717" w14:textId="77777777" w:rsidR="00CB6C86" w:rsidRPr="00395593" w:rsidRDefault="00CB6C86" w:rsidP="002C4340">
      <w:pPr>
        <w:widowControl w:val="0"/>
        <w:numPr>
          <w:ilvl w:val="0"/>
          <w:numId w:val="63"/>
        </w:numPr>
        <w:tabs>
          <w:tab w:val="left" w:pos="981"/>
        </w:tabs>
        <w:autoSpaceDE w:val="0"/>
        <w:autoSpaceDN w:val="0"/>
        <w:spacing w:after="0" w:line="240" w:lineRule="auto"/>
        <w:ind w:left="980" w:hanging="340"/>
        <w:rPr>
          <w:rFonts w:ascii="Garamond" w:eastAsia="Times New Roman" w:hAnsi="Garamond" w:cs="Times New Roman"/>
          <w:sz w:val="24"/>
        </w:rPr>
      </w:pP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isso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confira</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vantagem.</w:t>
      </w:r>
    </w:p>
    <w:p w14:paraId="2B942003" w14:textId="74FA0EC0" w:rsidR="00CB6C86" w:rsidRPr="00395593" w:rsidRDefault="00CB6C86" w:rsidP="00CB6C86">
      <w:pPr>
        <w:widowControl w:val="0"/>
        <w:autoSpaceDE w:val="0"/>
        <w:autoSpaceDN w:val="0"/>
        <w:spacing w:before="11" w:after="0" w:line="240" w:lineRule="auto"/>
        <w:rPr>
          <w:rFonts w:ascii="Garamond" w:eastAsia="Times New Roman" w:hAnsi="Garamond" w:cs="Times New Roman"/>
          <w:sz w:val="14"/>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55" behindDoc="1" locked="0" layoutInCell="1" allowOverlap="1" wp14:anchorId="521DB6F8" wp14:editId="6940C608">
                <wp:simplePos x="0" y="0"/>
                <wp:positionH relativeFrom="page">
                  <wp:posOffset>1080770</wp:posOffset>
                </wp:positionH>
                <wp:positionV relativeFrom="paragraph">
                  <wp:posOffset>124460</wp:posOffset>
                </wp:positionV>
                <wp:extent cx="1828800" cy="7620"/>
                <wp:effectExtent l="4445" t="0" r="0" b="3810"/>
                <wp:wrapTopAndBottom/>
                <wp:docPr id="438" name="Retângulo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F9FEF" id="Retângulo 438" o:spid="_x0000_s1026" style="position:absolute;margin-left:85.1pt;margin-top:9.8pt;width:2in;height:.6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" fillcolor="black" stroked="f">
                <w10:wrap type="topAndBottom" anchorx="page"/>
              </v:rect>
            </w:pict>
          </mc:Fallback>
        </mc:AlternateContent>
      </w:r>
    </w:p>
    <w:p w14:paraId="6C9CD181" w14:textId="77777777" w:rsidR="00CB6C86" w:rsidRPr="00395593" w:rsidRDefault="00CB6C86" w:rsidP="00CB6C86">
      <w:pPr>
        <w:widowControl w:val="0"/>
        <w:autoSpaceDE w:val="0"/>
        <w:autoSpaceDN w:val="0"/>
        <w:spacing w:before="103" w:after="0" w:line="240" w:lineRule="auto"/>
        <w:ind w:right="118"/>
        <w:jc w:val="both"/>
        <w:rPr>
          <w:rFonts w:ascii="Garamond" w:eastAsia="Times New Roman" w:hAnsi="Garamond" w:cs="Times New Roman"/>
          <w:sz w:val="20"/>
        </w:rPr>
      </w:pPr>
      <w:r w:rsidRPr="00395593">
        <w:rPr>
          <w:rFonts w:ascii="Garamond" w:eastAsia="Times New Roman" w:hAnsi="Garamond" w:cs="Times New Roman"/>
          <w:sz w:val="20"/>
          <w:vertAlign w:val="superscript"/>
        </w:rPr>
        <w:t>1</w:t>
      </w:r>
      <w:r w:rsidRPr="00395593">
        <w:rPr>
          <w:rFonts w:ascii="Garamond" w:eastAsia="Times New Roman" w:hAnsi="Garamond" w:cs="Times New Roman"/>
          <w:sz w:val="20"/>
        </w:rPr>
        <w:t xml:space="preserve"> De acordo com as disposições do Artigo XVI do GATT 1994 (nota do Artigo XVI) e de acordo com 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anexos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III</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deste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acordo, não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serão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consideradas como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subsídios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isenções em</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favor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produtos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destinados a exportação, de impostos ou taxas habitualmente aplicados sobre o produto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similar quando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destinado ao consumo interno, nem a remissão de tais impostos ou taxas em valor que não exceda os totais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devidos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abonados.</w:t>
      </w:r>
    </w:p>
    <w:p w14:paraId="3ADCE5C2" w14:textId="77777777" w:rsidR="00CB6C86" w:rsidRPr="00395593" w:rsidRDefault="00CB6C86" w:rsidP="002C4340">
      <w:pPr>
        <w:widowControl w:val="0"/>
        <w:numPr>
          <w:ilvl w:val="0"/>
          <w:numId w:val="64"/>
        </w:numPr>
        <w:tabs>
          <w:tab w:val="left" w:pos="870"/>
        </w:tabs>
        <w:autoSpaceDE w:val="0"/>
        <w:autoSpaceDN w:val="0"/>
        <w:spacing w:before="184" w:after="0" w:line="240" w:lineRule="auto"/>
        <w:ind w:left="102" w:right="118" w:firstLine="0"/>
        <w:rPr>
          <w:rFonts w:ascii="Garamond" w:eastAsia="Times New Roman" w:hAnsi="Garamond" w:cs="Times New Roman"/>
          <w:sz w:val="24"/>
        </w:rPr>
      </w:pPr>
      <w:r w:rsidRPr="00395593">
        <w:rPr>
          <w:rFonts w:ascii="Garamond" w:eastAsia="Times New Roman" w:hAnsi="Garamond" w:cs="Times New Roman"/>
          <w:sz w:val="24"/>
        </w:rPr>
        <w:t>Um subsídio, tal como definido no parágrafo 1, apenas estará sujeito às disposições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 PARTE II ou às disposições das PARTES III ou V se o mesmo for específico, de acordo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 disposições do Artigo 2.</w:t>
      </w:r>
    </w:p>
    <w:p w14:paraId="47672209"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6"/>
          <w:szCs w:val="24"/>
        </w:rPr>
      </w:pPr>
    </w:p>
    <w:p w14:paraId="1E326D96" w14:textId="77777777" w:rsidR="00CB6C86" w:rsidRPr="00395593" w:rsidRDefault="00CB6C86" w:rsidP="00E33E26">
      <w:pPr>
        <w:widowControl w:val="0"/>
        <w:autoSpaceDE w:val="0"/>
        <w:autoSpaceDN w:val="0"/>
        <w:spacing w:before="230"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2</w:t>
      </w:r>
    </w:p>
    <w:p w14:paraId="0FA2D2F6"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7483D512" w14:textId="77777777" w:rsidR="00CB6C86" w:rsidRPr="00395593" w:rsidRDefault="00CB6C86" w:rsidP="00CB6C8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Especificidade</w:t>
      </w:r>
    </w:p>
    <w:p w14:paraId="00920C1A"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7DE6FEF5" w14:textId="77777777" w:rsidR="00CB6C86" w:rsidRPr="00395593" w:rsidRDefault="00CB6C86" w:rsidP="002C4340">
      <w:pPr>
        <w:widowControl w:val="0"/>
        <w:numPr>
          <w:ilvl w:val="0"/>
          <w:numId w:val="62"/>
        </w:numPr>
        <w:tabs>
          <w:tab w:val="left" w:pos="810"/>
        </w:tabs>
        <w:autoSpaceDE w:val="0"/>
        <w:autoSpaceDN w:val="0"/>
        <w:spacing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Com vistas a determinar se um subsidio, tal como definido no parágrafo 1 do Artigo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1, destina-se especificamente a uma empresa ou produção, ou a um grupo de empresas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produções</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(denominadas</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neste</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"determinadas</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empresas"),</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dentro</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jurisdição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autoridade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outorgante,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serão aplicados os seguintes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princípios:</w:t>
      </w:r>
    </w:p>
    <w:p w14:paraId="21D00214" w14:textId="77777777" w:rsidR="00CB6C86" w:rsidRPr="00395593" w:rsidRDefault="00CB6C86" w:rsidP="00ED7102">
      <w:pPr>
        <w:widowControl w:val="0"/>
        <w:autoSpaceDE w:val="0"/>
        <w:autoSpaceDN w:val="0"/>
        <w:spacing w:before="1" w:after="0" w:line="240" w:lineRule="auto"/>
        <w:jc w:val="both"/>
        <w:rPr>
          <w:rFonts w:ascii="Garamond" w:eastAsia="Times New Roman" w:hAnsi="Garamond" w:cs="Times New Roman"/>
          <w:sz w:val="24"/>
          <w:szCs w:val="24"/>
        </w:rPr>
      </w:pPr>
    </w:p>
    <w:p w14:paraId="43EC8F0F" w14:textId="77777777" w:rsidR="00CB6C86" w:rsidRPr="00395593" w:rsidRDefault="00CB6C86" w:rsidP="002C4340">
      <w:pPr>
        <w:widowControl w:val="0"/>
        <w:numPr>
          <w:ilvl w:val="1"/>
          <w:numId w:val="62"/>
        </w:numPr>
        <w:tabs>
          <w:tab w:val="left" w:pos="1029"/>
        </w:tabs>
        <w:autoSpaceDE w:val="0"/>
        <w:autoSpaceDN w:val="0"/>
        <w:spacing w:after="0" w:line="240" w:lineRule="auto"/>
        <w:ind w:left="1001" w:right="119" w:hanging="360"/>
        <w:jc w:val="both"/>
        <w:rPr>
          <w:rFonts w:ascii="Garamond" w:eastAsia="Times New Roman" w:hAnsi="Garamond" w:cs="Times New Roman"/>
          <w:sz w:val="24"/>
        </w:rPr>
      </w:pP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específico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quando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outorgante,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legislação pela qual essa autoridade deve reger-se, explicitamente limitar o acesso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 a apenas determinadas empresas;</w:t>
      </w:r>
    </w:p>
    <w:p w14:paraId="65390B76"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5879A5FA" w14:textId="77777777" w:rsidR="00CB6C86" w:rsidRPr="00395593" w:rsidRDefault="00CB6C86" w:rsidP="002C4340">
      <w:pPr>
        <w:widowControl w:val="0"/>
        <w:numPr>
          <w:ilvl w:val="1"/>
          <w:numId w:val="62"/>
        </w:numPr>
        <w:tabs>
          <w:tab w:val="left" w:pos="1000"/>
        </w:tabs>
        <w:autoSpaceDE w:val="0"/>
        <w:autoSpaceDN w:val="0"/>
        <w:spacing w:after="0" w:line="240" w:lineRule="auto"/>
        <w:ind w:left="1001" w:right="116" w:hanging="360"/>
        <w:jc w:val="both"/>
        <w:rPr>
          <w:rFonts w:ascii="Garamond" w:eastAsia="Times New Roman" w:hAnsi="Garamond" w:cs="Times New Roman"/>
          <w:sz w:val="24"/>
        </w:rPr>
      </w:pPr>
      <w:r w:rsidRPr="00395593">
        <w:rPr>
          <w:rFonts w:ascii="Garamond" w:eastAsia="Times New Roman" w:hAnsi="Garamond" w:cs="Times New Roman"/>
          <w:sz w:val="24"/>
        </w:rPr>
        <w:t>não ocorrerá especificidade quando a autoridade outorgante, ou a legislação pela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qual essa autoridade deve reger-se, estabelecer condições ou critérios objetivos </w:t>
      </w:r>
      <w:r w:rsidRPr="00395593">
        <w:rPr>
          <w:rFonts w:ascii="Garamond" w:eastAsia="Times New Roman" w:hAnsi="Garamond" w:cs="Times New Roman"/>
          <w:sz w:val="24"/>
          <w:vertAlign w:val="superscript"/>
        </w:rPr>
        <w:t>2</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 disponham sobre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 de acesso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 o montante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concedido,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automático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condições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critérios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estritamente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respeitados.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condições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critérios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claramente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estipulados em lei, regulamento ou qualquer outro documento oficial, de tal forma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possa proceder à</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verificação;</w:t>
      </w:r>
    </w:p>
    <w:p w14:paraId="4DE1482D"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569AD6D0" w14:textId="77777777" w:rsidR="00CB6C86" w:rsidRPr="00395593" w:rsidRDefault="00CB6C86" w:rsidP="002C4340">
      <w:pPr>
        <w:widowControl w:val="0"/>
        <w:numPr>
          <w:ilvl w:val="1"/>
          <w:numId w:val="62"/>
        </w:numPr>
        <w:tabs>
          <w:tab w:val="left" w:pos="1007"/>
        </w:tabs>
        <w:autoSpaceDE w:val="0"/>
        <w:autoSpaceDN w:val="0"/>
        <w:spacing w:before="1" w:after="0" w:line="240" w:lineRule="auto"/>
        <w:ind w:left="1001" w:right="115" w:hanging="360"/>
        <w:jc w:val="both"/>
        <w:rPr>
          <w:rFonts w:ascii="Garamond" w:eastAsia="Times New Roman" w:hAnsi="Garamond" w:cs="Times New Roman"/>
          <w:sz w:val="24"/>
        </w:rPr>
      </w:pPr>
      <w:r w:rsidRPr="00395593">
        <w:rPr>
          <w:rFonts w:ascii="Garamond" w:eastAsia="Times New Roman" w:hAnsi="Garamond" w:cs="Times New Roman"/>
          <w:sz w:val="24"/>
        </w:rPr>
        <w:t>se apesar de haver aparência de não-especificidade resultante da aplicação 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princípios estabelecidos nos subparágrafos (a) e (b), houver razoes para acreditar-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 que o subsídio em consideração seja de fato específico, poder-se-ão considerar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outros fatores como: uso predominante de um programa de subsídios por número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limitado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concessão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parcela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desproporcionalmente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grande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apenas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modo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outorgante exerceu seu poder discricionário na decisão de conceder um subsídio </w:t>
      </w:r>
      <w:r w:rsidRPr="00395593">
        <w:rPr>
          <w:rFonts w:ascii="Garamond" w:eastAsia="Times New Roman" w:hAnsi="Garamond" w:cs="Times New Roman"/>
          <w:sz w:val="24"/>
          <w:vertAlign w:val="superscript"/>
        </w:rPr>
        <w:t>3</w:t>
      </w:r>
      <w:r w:rsidRPr="00395593">
        <w:rPr>
          <w:rFonts w:ascii="Garamond" w:eastAsia="Times New Roman" w:hAnsi="Garamond" w:cs="Times New Roman"/>
          <w:sz w:val="24"/>
        </w:rPr>
        <w:t>.</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Na aplicação deste subparágrafo será levada em conta a diversidade das atividades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econômicas dentro da jurisdição da autoridade outorgante, bem como o período de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tempo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durante o qual o programa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subsídios esteve</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em vigor;</w:t>
      </w:r>
    </w:p>
    <w:p w14:paraId="0D2FDC0E"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0019CD8C" w14:textId="77777777" w:rsidR="00CB6C86" w:rsidRPr="00395593" w:rsidRDefault="00CB6C86" w:rsidP="002C4340">
      <w:pPr>
        <w:widowControl w:val="0"/>
        <w:numPr>
          <w:ilvl w:val="0"/>
          <w:numId w:val="62"/>
        </w:numPr>
        <w:tabs>
          <w:tab w:val="left" w:pos="810"/>
        </w:tabs>
        <w:autoSpaceDE w:val="0"/>
        <w:autoSpaceDN w:val="0"/>
        <w:spacing w:before="1"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Será considerado específico o subsídio que seja limitado a determinadas empresas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localizadas</w:t>
      </w:r>
      <w:r w:rsidRPr="00395593">
        <w:rPr>
          <w:rFonts w:ascii="Garamond" w:eastAsia="Times New Roman" w:hAnsi="Garamond" w:cs="Times New Roman"/>
          <w:spacing w:val="11"/>
          <w:sz w:val="24"/>
        </w:rPr>
        <w:t xml:space="preserve"> </w:t>
      </w:r>
      <w:r w:rsidRPr="00395593">
        <w:rPr>
          <w:rFonts w:ascii="Garamond" w:eastAsia="Times New Roman" w:hAnsi="Garamond" w:cs="Times New Roman"/>
          <w:sz w:val="24"/>
        </w:rPr>
        <w:t>dentro</w:t>
      </w:r>
      <w:r w:rsidRPr="00395593">
        <w:rPr>
          <w:rFonts w:ascii="Garamond" w:eastAsia="Times New Roman" w:hAnsi="Garamond" w:cs="Times New Roman"/>
          <w:spacing w:val="1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1"/>
          <w:sz w:val="24"/>
        </w:rPr>
        <w:t xml:space="preserve"> </w:t>
      </w:r>
      <w:r w:rsidRPr="00395593">
        <w:rPr>
          <w:rFonts w:ascii="Garamond" w:eastAsia="Times New Roman" w:hAnsi="Garamond" w:cs="Times New Roman"/>
          <w:sz w:val="24"/>
        </w:rPr>
        <w:t>uma</w:t>
      </w:r>
      <w:r w:rsidRPr="00395593">
        <w:rPr>
          <w:rFonts w:ascii="Garamond" w:eastAsia="Times New Roman" w:hAnsi="Garamond" w:cs="Times New Roman"/>
          <w:spacing w:val="11"/>
          <w:sz w:val="24"/>
        </w:rPr>
        <w:t xml:space="preserve"> </w:t>
      </w:r>
      <w:r w:rsidRPr="00395593">
        <w:rPr>
          <w:rFonts w:ascii="Garamond" w:eastAsia="Times New Roman" w:hAnsi="Garamond" w:cs="Times New Roman"/>
          <w:sz w:val="24"/>
        </w:rPr>
        <w:t>região</w:t>
      </w:r>
      <w:r w:rsidRPr="00395593">
        <w:rPr>
          <w:rFonts w:ascii="Garamond" w:eastAsia="Times New Roman" w:hAnsi="Garamond" w:cs="Times New Roman"/>
          <w:spacing w:val="14"/>
          <w:sz w:val="24"/>
        </w:rPr>
        <w:t xml:space="preserve"> </w:t>
      </w:r>
      <w:r w:rsidRPr="00395593">
        <w:rPr>
          <w:rFonts w:ascii="Garamond" w:eastAsia="Times New Roman" w:hAnsi="Garamond" w:cs="Times New Roman"/>
          <w:sz w:val="24"/>
        </w:rPr>
        <w:t>geográfica</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situada</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interior</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jurisdição</w:t>
      </w:r>
      <w:r w:rsidRPr="00395593">
        <w:rPr>
          <w:rFonts w:ascii="Garamond" w:eastAsia="Times New Roman" w:hAnsi="Garamond" w:cs="Times New Roman"/>
          <w:spacing w:val="1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autoridade</w:t>
      </w:r>
    </w:p>
    <w:p w14:paraId="78EF19C5"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07BC9754" w14:textId="14E8A9F3" w:rsidR="00CB6C86" w:rsidRPr="00395593" w:rsidRDefault="00CB6C86" w:rsidP="00CB6C86">
      <w:pPr>
        <w:widowControl w:val="0"/>
        <w:autoSpaceDE w:val="0"/>
        <w:autoSpaceDN w:val="0"/>
        <w:spacing w:before="10" w:after="0" w:line="240" w:lineRule="auto"/>
        <w:rPr>
          <w:rFonts w:ascii="Garamond" w:eastAsia="Times New Roman" w:hAnsi="Garamond" w:cs="Times New Roman"/>
          <w:sz w:val="14"/>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56" behindDoc="1" locked="0" layoutInCell="1" allowOverlap="1" wp14:anchorId="590139D5" wp14:editId="2C60B411">
                <wp:simplePos x="0" y="0"/>
                <wp:positionH relativeFrom="page">
                  <wp:posOffset>1080770</wp:posOffset>
                </wp:positionH>
                <wp:positionV relativeFrom="paragraph">
                  <wp:posOffset>124460</wp:posOffset>
                </wp:positionV>
                <wp:extent cx="1828800" cy="7620"/>
                <wp:effectExtent l="4445" t="0" r="0" b="3810"/>
                <wp:wrapTopAndBottom/>
                <wp:docPr id="437" name="Retângulo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9D10A" id="Retângulo 437" o:spid="_x0000_s1026" style="position:absolute;margin-left:85.1pt;margin-top:9.8pt;width:2in;height:.6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" fillcolor="black" stroked="f">
                <w10:wrap type="topAndBottom" anchorx="page"/>
              </v:rect>
            </w:pict>
          </mc:Fallback>
        </mc:AlternateContent>
      </w:r>
    </w:p>
    <w:p w14:paraId="69061CE6" w14:textId="77777777" w:rsidR="00CB6C86" w:rsidRPr="00395593" w:rsidRDefault="00CB6C86" w:rsidP="00CB6C86">
      <w:pPr>
        <w:widowControl w:val="0"/>
        <w:autoSpaceDE w:val="0"/>
        <w:autoSpaceDN w:val="0"/>
        <w:spacing w:before="103" w:after="0" w:line="240" w:lineRule="auto"/>
        <w:ind w:right="123"/>
        <w:jc w:val="both"/>
        <w:rPr>
          <w:rFonts w:ascii="Garamond" w:eastAsia="Times New Roman" w:hAnsi="Garamond" w:cs="Times New Roman"/>
          <w:sz w:val="20"/>
        </w:rPr>
      </w:pPr>
      <w:r w:rsidRPr="00395593">
        <w:rPr>
          <w:rFonts w:ascii="Garamond" w:eastAsia="Times New Roman" w:hAnsi="Garamond" w:cs="Times New Roman"/>
          <w:sz w:val="20"/>
          <w:vertAlign w:val="superscript"/>
        </w:rPr>
        <w:t>2</w:t>
      </w:r>
      <w:r w:rsidRPr="00395593">
        <w:rPr>
          <w:rFonts w:ascii="Garamond" w:eastAsia="Times New Roman" w:hAnsi="Garamond" w:cs="Times New Roman"/>
          <w:sz w:val="20"/>
        </w:rPr>
        <w:t xml:space="preserve"> A expressão “condições ou critérios objetivos”, tal como usada neste acordo, significa condições ou critérios</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neutros, isto é, que não favorecem determinadas empresas em detrimento de outras e que são de natureza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econômica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aplicação horizontal,</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tais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como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número</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empregados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e dimensão da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empresa.</w:t>
      </w:r>
    </w:p>
    <w:p w14:paraId="2A8F83EA" w14:textId="77777777" w:rsidR="00CB6C86" w:rsidRPr="00395593" w:rsidRDefault="00CB6C86" w:rsidP="00CB6C86">
      <w:pPr>
        <w:widowControl w:val="0"/>
        <w:autoSpaceDE w:val="0"/>
        <w:autoSpaceDN w:val="0"/>
        <w:spacing w:before="2" w:after="0" w:line="240" w:lineRule="auto"/>
        <w:ind w:right="124"/>
        <w:jc w:val="both"/>
        <w:rPr>
          <w:rFonts w:ascii="Garamond" w:eastAsia="Times New Roman" w:hAnsi="Garamond" w:cs="Times New Roman"/>
          <w:sz w:val="20"/>
        </w:rPr>
      </w:pPr>
      <w:r w:rsidRPr="00395593">
        <w:rPr>
          <w:rFonts w:ascii="Garamond" w:eastAsia="Times New Roman" w:hAnsi="Garamond" w:cs="Times New Roman"/>
          <w:sz w:val="20"/>
          <w:vertAlign w:val="superscript"/>
        </w:rPr>
        <w:t>3</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 esse respeito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deverão ser levadas em consideração informações sobre a freqüência com que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sejam</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recusados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aprovados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pedidos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subsídios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sobre 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motivos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levaram</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tais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decisões.</w:t>
      </w:r>
    </w:p>
    <w:p w14:paraId="5EC4721C" w14:textId="77777777" w:rsidR="00CB6C86" w:rsidRPr="00395593" w:rsidRDefault="00CB6C86" w:rsidP="00CB6C86">
      <w:pPr>
        <w:widowControl w:val="0"/>
        <w:autoSpaceDE w:val="0"/>
        <w:autoSpaceDN w:val="0"/>
        <w:spacing w:after="0" w:line="240" w:lineRule="auto"/>
        <w:jc w:val="both"/>
        <w:rPr>
          <w:rFonts w:ascii="Garamond" w:eastAsia="Times New Roman" w:hAnsi="Garamond" w:cs="Times New Roman"/>
          <w:sz w:val="20"/>
        </w:rPr>
        <w:sectPr w:rsidR="00CB6C86" w:rsidRPr="00395593" w:rsidSect="00E15FBB">
          <w:pgSz w:w="12240" w:h="15840"/>
          <w:pgMar w:top="1418" w:right="1580" w:bottom="280" w:left="1418" w:header="720" w:footer="968" w:gutter="0"/>
          <w:cols w:space="720"/>
          <w:docGrid w:linePitch="299"/>
        </w:sectPr>
      </w:pPr>
    </w:p>
    <w:p w14:paraId="315A8EAA" w14:textId="77777777" w:rsidR="00CB6C86" w:rsidRPr="00395593" w:rsidRDefault="00CB6C86" w:rsidP="00CB6C86">
      <w:pPr>
        <w:widowControl w:val="0"/>
        <w:autoSpaceDE w:val="0"/>
        <w:autoSpaceDN w:val="0"/>
        <w:spacing w:before="68" w:after="0" w:line="240" w:lineRule="auto"/>
        <w:ind w:right="122"/>
        <w:jc w:val="both"/>
        <w:rPr>
          <w:rFonts w:ascii="Garamond" w:eastAsia="Times New Roman" w:hAnsi="Garamond" w:cs="Times New Roman"/>
          <w:sz w:val="24"/>
          <w:szCs w:val="24"/>
        </w:rPr>
      </w:pPr>
      <w:r w:rsidRPr="00395593">
        <w:rPr>
          <w:rFonts w:ascii="Garamond" w:eastAsia="Times New Roman" w:hAnsi="Garamond" w:cs="Times New Roman"/>
          <w:sz w:val="24"/>
          <w:szCs w:val="24"/>
        </w:rPr>
        <w:t>outorgante. Fica entendido que não se considerara subsídio específico para os propósitos do</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presente Acordo o estabelecimento ou a alteração de taxas geralmente aplicáveis por todo e</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qualquer</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sz w:val="24"/>
          <w:szCs w:val="24"/>
        </w:rPr>
        <w:t>nível 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governo com competência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para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fazê-lo.</w:t>
      </w:r>
    </w:p>
    <w:p w14:paraId="7A1FD836"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32B68242" w14:textId="77777777" w:rsidR="00CB6C86" w:rsidRPr="00395593" w:rsidRDefault="00CB6C86" w:rsidP="002C4340">
      <w:pPr>
        <w:widowControl w:val="0"/>
        <w:numPr>
          <w:ilvl w:val="0"/>
          <w:numId w:val="62"/>
        </w:numPr>
        <w:tabs>
          <w:tab w:val="left" w:pos="810"/>
        </w:tabs>
        <w:autoSpaceDE w:val="0"/>
        <w:autoSpaceDN w:val="0"/>
        <w:spacing w:after="0" w:line="240" w:lineRule="auto"/>
        <w:ind w:right="124" w:firstLine="0"/>
        <w:rPr>
          <w:rFonts w:ascii="Garamond" w:eastAsia="Times New Roman" w:hAnsi="Garamond" w:cs="Times New Roman"/>
          <w:sz w:val="24"/>
        </w:rPr>
      </w:pPr>
      <w:r w:rsidRPr="00395593">
        <w:rPr>
          <w:rFonts w:ascii="Garamond" w:eastAsia="Times New Roman" w:hAnsi="Garamond" w:cs="Times New Roman"/>
          <w:sz w:val="24"/>
        </w:rPr>
        <w:t>Quaisquer subsídios compreendidos nas disposições do Artigo 3 serão considerados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específicos.</w:t>
      </w:r>
    </w:p>
    <w:p w14:paraId="1EAFF485"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5F446449" w14:textId="77777777" w:rsidR="00CB6C86" w:rsidRPr="00395593" w:rsidRDefault="00CB6C86" w:rsidP="002C4340">
      <w:pPr>
        <w:widowControl w:val="0"/>
        <w:numPr>
          <w:ilvl w:val="0"/>
          <w:numId w:val="62"/>
        </w:numPr>
        <w:tabs>
          <w:tab w:val="left" w:pos="810"/>
        </w:tabs>
        <w:autoSpaceDE w:val="0"/>
        <w:autoSpaceDN w:val="0"/>
        <w:spacing w:after="0" w:line="240" w:lineRule="auto"/>
        <w:ind w:right="123" w:firstLine="0"/>
        <w:rPr>
          <w:rFonts w:ascii="Garamond" w:eastAsia="Times New Roman" w:hAnsi="Garamond" w:cs="Times New Roman"/>
          <w:sz w:val="24"/>
        </w:rPr>
      </w:pPr>
      <w:r w:rsidRPr="00395593">
        <w:rPr>
          <w:rFonts w:ascii="Garamond" w:eastAsia="Times New Roman" w:hAnsi="Garamond" w:cs="Times New Roman"/>
          <w:sz w:val="24"/>
        </w:rPr>
        <w:t>Qualquer determinação de especificidade ao abrigo do disposto neste Artigo deverá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estar</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claramente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fundamentada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em provas positivas.</w:t>
      </w:r>
    </w:p>
    <w:p w14:paraId="5DC839C8"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6"/>
          <w:szCs w:val="24"/>
        </w:rPr>
      </w:pPr>
    </w:p>
    <w:p w14:paraId="32C872C3" w14:textId="77777777" w:rsidR="00ED7102" w:rsidRPr="005C5CBD" w:rsidRDefault="00CB6C86" w:rsidP="00E33E26">
      <w:pPr>
        <w:widowControl w:val="0"/>
        <w:autoSpaceDE w:val="0"/>
        <w:autoSpaceDN w:val="0"/>
        <w:spacing w:before="230" w:after="0" w:line="240" w:lineRule="auto"/>
        <w:ind w:right="146"/>
        <w:jc w:val="center"/>
        <w:rPr>
          <w:rFonts w:ascii="Garamond" w:eastAsia="Times New Roman" w:hAnsi="Garamond" w:cs="Times New Roman"/>
          <w:b/>
          <w:bCs/>
          <w:spacing w:val="-57"/>
          <w:sz w:val="24"/>
          <w:szCs w:val="24"/>
        </w:rPr>
      </w:pPr>
      <w:r w:rsidRPr="005C5CBD">
        <w:rPr>
          <w:rFonts w:ascii="Garamond" w:eastAsia="Times New Roman" w:hAnsi="Garamond" w:cs="Times New Roman"/>
          <w:b/>
          <w:bCs/>
          <w:sz w:val="24"/>
          <w:szCs w:val="24"/>
        </w:rPr>
        <w:t>PARTE</w:t>
      </w:r>
      <w:r w:rsidRPr="005C5CBD">
        <w:rPr>
          <w:rFonts w:ascii="Garamond" w:eastAsia="Times New Roman" w:hAnsi="Garamond" w:cs="Times New Roman"/>
          <w:b/>
          <w:bCs/>
          <w:spacing w:val="-4"/>
          <w:sz w:val="24"/>
          <w:szCs w:val="24"/>
        </w:rPr>
        <w:t xml:space="preserve"> </w:t>
      </w:r>
      <w:r w:rsidRPr="005C5CBD">
        <w:rPr>
          <w:rFonts w:ascii="Garamond" w:eastAsia="Times New Roman" w:hAnsi="Garamond" w:cs="Times New Roman"/>
          <w:b/>
          <w:bCs/>
          <w:sz w:val="24"/>
          <w:szCs w:val="24"/>
        </w:rPr>
        <w:t>II</w:t>
      </w:r>
      <w:r w:rsidRPr="005C5CBD">
        <w:rPr>
          <w:rFonts w:ascii="Garamond" w:eastAsia="Times New Roman" w:hAnsi="Garamond" w:cs="Times New Roman"/>
          <w:b/>
          <w:bCs/>
          <w:spacing w:val="-8"/>
          <w:sz w:val="24"/>
          <w:szCs w:val="24"/>
        </w:rPr>
        <w:t xml:space="preserve"> </w:t>
      </w:r>
      <w:r w:rsidRPr="005C5CBD">
        <w:rPr>
          <w:rFonts w:ascii="Garamond" w:eastAsia="Times New Roman" w:hAnsi="Garamond" w:cs="Times New Roman"/>
          <w:b/>
          <w:bCs/>
          <w:sz w:val="24"/>
          <w:szCs w:val="24"/>
        </w:rPr>
        <w:t>:</w:t>
      </w:r>
      <w:r w:rsidRPr="005C5CBD">
        <w:rPr>
          <w:rFonts w:ascii="Garamond" w:eastAsia="Times New Roman" w:hAnsi="Garamond" w:cs="Times New Roman"/>
          <w:b/>
          <w:bCs/>
          <w:spacing w:val="-4"/>
          <w:sz w:val="24"/>
          <w:szCs w:val="24"/>
        </w:rPr>
        <w:t xml:space="preserve"> </w:t>
      </w:r>
      <w:r w:rsidRPr="005C5CBD">
        <w:rPr>
          <w:rFonts w:ascii="Garamond" w:eastAsia="Times New Roman" w:hAnsi="Garamond" w:cs="Times New Roman"/>
          <w:b/>
          <w:bCs/>
          <w:sz w:val="24"/>
          <w:szCs w:val="24"/>
        </w:rPr>
        <w:t>SUBSÍDIOS</w:t>
      </w:r>
      <w:r w:rsidRPr="005C5CBD">
        <w:rPr>
          <w:rFonts w:ascii="Garamond" w:eastAsia="Times New Roman" w:hAnsi="Garamond" w:cs="Times New Roman"/>
          <w:b/>
          <w:bCs/>
          <w:spacing w:val="-2"/>
          <w:sz w:val="24"/>
          <w:szCs w:val="24"/>
        </w:rPr>
        <w:t xml:space="preserve"> </w:t>
      </w:r>
      <w:r w:rsidRPr="005C5CBD">
        <w:rPr>
          <w:rFonts w:ascii="Garamond" w:eastAsia="Times New Roman" w:hAnsi="Garamond" w:cs="Times New Roman"/>
          <w:b/>
          <w:bCs/>
          <w:sz w:val="24"/>
          <w:szCs w:val="24"/>
        </w:rPr>
        <w:t>PROIBIDOS</w:t>
      </w:r>
      <w:r w:rsidRPr="005C5CBD">
        <w:rPr>
          <w:rFonts w:ascii="Garamond" w:eastAsia="Times New Roman" w:hAnsi="Garamond" w:cs="Times New Roman"/>
          <w:b/>
          <w:bCs/>
          <w:spacing w:val="-57"/>
          <w:sz w:val="24"/>
          <w:szCs w:val="24"/>
        </w:rPr>
        <w:t xml:space="preserve"> </w:t>
      </w:r>
    </w:p>
    <w:p w14:paraId="51ADB317" w14:textId="51728E43" w:rsidR="00CB6C86" w:rsidRPr="005C5CBD" w:rsidRDefault="00CB6C86" w:rsidP="00E33E26">
      <w:pPr>
        <w:widowControl w:val="0"/>
        <w:autoSpaceDE w:val="0"/>
        <w:autoSpaceDN w:val="0"/>
        <w:spacing w:before="230" w:after="0" w:line="240" w:lineRule="auto"/>
        <w:ind w:right="146"/>
        <w:jc w:val="center"/>
        <w:rPr>
          <w:rFonts w:ascii="Garamond" w:eastAsia="Times New Roman" w:hAnsi="Garamond" w:cs="Times New Roman"/>
          <w:b/>
          <w:bCs/>
          <w:sz w:val="24"/>
          <w:szCs w:val="24"/>
        </w:rPr>
      </w:pPr>
      <w:r w:rsidRPr="005C5CBD">
        <w:rPr>
          <w:rFonts w:ascii="Garamond" w:eastAsia="Times New Roman" w:hAnsi="Garamond" w:cs="Times New Roman"/>
          <w:b/>
          <w:bCs/>
          <w:sz w:val="24"/>
          <w:szCs w:val="24"/>
        </w:rPr>
        <w:t>ARTIGO</w:t>
      </w:r>
      <w:r w:rsidRPr="005C5CBD">
        <w:rPr>
          <w:rFonts w:ascii="Garamond" w:eastAsia="Times New Roman" w:hAnsi="Garamond" w:cs="Times New Roman"/>
          <w:b/>
          <w:bCs/>
          <w:spacing w:val="-2"/>
          <w:sz w:val="24"/>
          <w:szCs w:val="24"/>
        </w:rPr>
        <w:t xml:space="preserve"> </w:t>
      </w:r>
      <w:r w:rsidRPr="005C5CBD">
        <w:rPr>
          <w:rFonts w:ascii="Garamond" w:eastAsia="Times New Roman" w:hAnsi="Garamond" w:cs="Times New Roman"/>
          <w:b/>
          <w:bCs/>
          <w:sz w:val="24"/>
          <w:szCs w:val="24"/>
        </w:rPr>
        <w:t>3</w:t>
      </w:r>
    </w:p>
    <w:p w14:paraId="0FBC5D9D" w14:textId="77777777" w:rsidR="00CB6C86" w:rsidRPr="005C5CBD" w:rsidRDefault="00CB6C86" w:rsidP="00E33E26">
      <w:pPr>
        <w:widowControl w:val="0"/>
        <w:autoSpaceDE w:val="0"/>
        <w:autoSpaceDN w:val="0"/>
        <w:spacing w:before="230" w:after="0" w:line="240" w:lineRule="auto"/>
        <w:ind w:right="146"/>
        <w:jc w:val="center"/>
        <w:rPr>
          <w:rFonts w:ascii="Garamond" w:eastAsia="Times New Roman" w:hAnsi="Garamond" w:cs="Times New Roman"/>
          <w:b/>
          <w:bCs/>
          <w:sz w:val="24"/>
          <w:szCs w:val="24"/>
        </w:rPr>
      </w:pPr>
      <w:r w:rsidRPr="005C5CBD">
        <w:rPr>
          <w:rFonts w:ascii="Garamond" w:eastAsia="Times New Roman" w:hAnsi="Garamond" w:cs="Times New Roman"/>
          <w:b/>
          <w:bCs/>
          <w:sz w:val="24"/>
          <w:szCs w:val="24"/>
        </w:rPr>
        <w:t>PROIBIÇÃO</w:t>
      </w:r>
    </w:p>
    <w:p w14:paraId="486004DC"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26A747F0" w14:textId="77777777" w:rsidR="00CB6C86" w:rsidRPr="00395593" w:rsidRDefault="00CB6C86" w:rsidP="002C4340">
      <w:pPr>
        <w:widowControl w:val="0"/>
        <w:numPr>
          <w:ilvl w:val="0"/>
          <w:numId w:val="61"/>
        </w:numPr>
        <w:tabs>
          <w:tab w:val="left" w:pos="810"/>
        </w:tabs>
        <w:autoSpaceDE w:val="0"/>
        <w:autoSpaceDN w:val="0"/>
        <w:spacing w:after="0" w:line="240" w:lineRule="auto"/>
        <w:ind w:right="116" w:firstLine="0"/>
        <w:jc w:val="both"/>
        <w:rPr>
          <w:rFonts w:ascii="Garamond" w:eastAsia="Times New Roman" w:hAnsi="Garamond" w:cs="Times New Roman"/>
          <w:sz w:val="24"/>
        </w:rPr>
      </w:pPr>
      <w:r w:rsidRPr="00395593">
        <w:rPr>
          <w:rFonts w:ascii="Garamond" w:eastAsia="Times New Roman" w:hAnsi="Garamond" w:cs="Times New Roman"/>
          <w:sz w:val="24"/>
        </w:rPr>
        <w:t>Com exceção do disposto no Acordo sobre Agricultura,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serão</w:t>
      </w:r>
      <w:r w:rsidRPr="00395593">
        <w:rPr>
          <w:rFonts w:ascii="Garamond" w:eastAsia="Times New Roman" w:hAnsi="Garamond" w:cs="Times New Roman"/>
          <w:spacing w:val="61"/>
          <w:sz w:val="24"/>
        </w:rPr>
        <w:t xml:space="preserve"> </w:t>
      </w:r>
      <w:r w:rsidRPr="00395593">
        <w:rPr>
          <w:rFonts w:ascii="Garamond" w:eastAsia="Times New Roman" w:hAnsi="Garamond" w:cs="Times New Roman"/>
          <w:sz w:val="24"/>
        </w:rPr>
        <w:t>proibidos</w:t>
      </w:r>
      <w:r w:rsidRPr="00395593">
        <w:rPr>
          <w:rFonts w:ascii="Garamond" w:eastAsia="Times New Roman" w:hAnsi="Garamond" w:cs="Times New Roman"/>
          <w:spacing w:val="6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seguintes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subsídios, conforme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definidos no Artigo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1:</w:t>
      </w:r>
    </w:p>
    <w:p w14:paraId="7A7F77C2"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072248D0" w14:textId="77777777" w:rsidR="00CB6C86" w:rsidRPr="00395593" w:rsidRDefault="00CB6C86" w:rsidP="002C4340">
      <w:pPr>
        <w:widowControl w:val="0"/>
        <w:numPr>
          <w:ilvl w:val="1"/>
          <w:numId w:val="61"/>
        </w:numPr>
        <w:tabs>
          <w:tab w:val="left" w:pos="856"/>
        </w:tabs>
        <w:autoSpaceDE w:val="0"/>
        <w:autoSpaceDN w:val="0"/>
        <w:spacing w:after="0" w:line="240" w:lineRule="auto"/>
        <w:ind w:left="821" w:right="116" w:hanging="360"/>
        <w:jc w:val="both"/>
        <w:rPr>
          <w:rFonts w:ascii="Garamond" w:eastAsia="Times New Roman" w:hAnsi="Garamond" w:cs="Times New Roman"/>
          <w:sz w:val="24"/>
        </w:rPr>
      </w:pPr>
      <w:r w:rsidRPr="00395593">
        <w:rPr>
          <w:rFonts w:ascii="Garamond" w:eastAsia="Times New Roman" w:hAnsi="Garamond" w:cs="Times New Roman"/>
          <w:sz w:val="24"/>
        </w:rPr>
        <w:t>subsídios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vinculados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4</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desempenho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individualmente, quer como parte de um conjunto de condições, inclusive aqueles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indicados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título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exemplo no Anexo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I</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vertAlign w:val="superscript"/>
        </w:rPr>
        <w:t>5</w:t>
      </w:r>
      <w:r w:rsidRPr="00395593">
        <w:rPr>
          <w:rFonts w:ascii="Garamond" w:eastAsia="Times New Roman" w:hAnsi="Garamond" w:cs="Times New Roman"/>
          <w:sz w:val="24"/>
        </w:rPr>
        <w:t>;</w:t>
      </w:r>
    </w:p>
    <w:p w14:paraId="49500670"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1E13DD57" w14:textId="77777777" w:rsidR="00CB6C86" w:rsidRPr="00395593" w:rsidRDefault="00CB6C86" w:rsidP="002C4340">
      <w:pPr>
        <w:widowControl w:val="0"/>
        <w:numPr>
          <w:ilvl w:val="1"/>
          <w:numId w:val="61"/>
        </w:numPr>
        <w:tabs>
          <w:tab w:val="left" w:pos="810"/>
        </w:tabs>
        <w:autoSpaceDE w:val="0"/>
        <w:autoSpaceDN w:val="0"/>
        <w:spacing w:after="0" w:line="240" w:lineRule="auto"/>
        <w:ind w:left="821" w:right="120" w:hanging="360"/>
        <w:jc w:val="both"/>
        <w:rPr>
          <w:rFonts w:ascii="Garamond" w:eastAsia="Times New Roman" w:hAnsi="Garamond" w:cs="Times New Roman"/>
          <w:sz w:val="24"/>
        </w:rPr>
      </w:pPr>
      <w:r w:rsidRPr="00395593">
        <w:rPr>
          <w:rFonts w:ascii="Garamond" w:eastAsia="Times New Roman" w:hAnsi="Garamond" w:cs="Times New Roman"/>
          <w:sz w:val="24"/>
        </w:rPr>
        <w:t>subsídios vinculados de fato ou de direito ao uso preferencial de produtos nacionais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detrimento de produtos estrangeiros, quer individualmente, quer como parte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conjunto de condições;</w:t>
      </w:r>
    </w:p>
    <w:p w14:paraId="7B1F2699" w14:textId="77777777" w:rsidR="00CB6C86" w:rsidRPr="00395593" w:rsidRDefault="00CB6C86" w:rsidP="00ED7102">
      <w:pPr>
        <w:widowControl w:val="0"/>
        <w:autoSpaceDE w:val="0"/>
        <w:autoSpaceDN w:val="0"/>
        <w:spacing w:before="1" w:after="0" w:line="240" w:lineRule="auto"/>
        <w:jc w:val="both"/>
        <w:rPr>
          <w:rFonts w:ascii="Garamond" w:eastAsia="Times New Roman" w:hAnsi="Garamond" w:cs="Times New Roman"/>
          <w:sz w:val="24"/>
          <w:szCs w:val="24"/>
        </w:rPr>
      </w:pPr>
    </w:p>
    <w:p w14:paraId="7518AD2C" w14:textId="77777777" w:rsidR="00CB6C86" w:rsidRPr="00395593" w:rsidRDefault="00CB6C86" w:rsidP="002C4340">
      <w:pPr>
        <w:widowControl w:val="0"/>
        <w:numPr>
          <w:ilvl w:val="0"/>
          <w:numId w:val="61"/>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O Membro deste Acordo não concederá ou manterá os subsídios mencionados 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1.</w:t>
      </w:r>
    </w:p>
    <w:p w14:paraId="4EB858E9"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1137BA17"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4</w:t>
      </w:r>
    </w:p>
    <w:p w14:paraId="21EAB6DC"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4475D9BB" w14:textId="77777777" w:rsidR="00CB6C86" w:rsidRPr="00395593" w:rsidRDefault="00CB6C86" w:rsidP="00CB6C86">
      <w:pPr>
        <w:widowControl w:val="0"/>
        <w:autoSpaceDE w:val="0"/>
        <w:autoSpaceDN w:val="0"/>
        <w:spacing w:after="0" w:line="240" w:lineRule="auto"/>
        <w:ind w:right="146"/>
        <w:jc w:val="center"/>
        <w:rPr>
          <w:rFonts w:ascii="Garamond" w:eastAsia="Times New Roman" w:hAnsi="Garamond" w:cs="Times New Roman"/>
          <w:sz w:val="24"/>
          <w:szCs w:val="24"/>
        </w:rPr>
      </w:pPr>
      <w:r w:rsidRPr="00395593">
        <w:rPr>
          <w:rFonts w:ascii="Garamond" w:eastAsia="Times New Roman" w:hAnsi="Garamond" w:cs="Times New Roman"/>
          <w:b/>
          <w:sz w:val="24"/>
          <w:szCs w:val="24"/>
        </w:rPr>
        <w:t>Recursos</w:t>
      </w:r>
    </w:p>
    <w:p w14:paraId="782EC388"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35102820" w14:textId="77777777" w:rsidR="00CB6C86" w:rsidRPr="00395593" w:rsidRDefault="00CB6C86" w:rsidP="002C4340">
      <w:pPr>
        <w:widowControl w:val="0"/>
        <w:numPr>
          <w:ilvl w:val="0"/>
          <w:numId w:val="60"/>
        </w:numPr>
        <w:tabs>
          <w:tab w:val="left" w:pos="810"/>
        </w:tabs>
        <w:autoSpaceDE w:val="0"/>
        <w:autoSpaceDN w:val="0"/>
        <w:spacing w:after="0" w:line="240" w:lineRule="auto"/>
        <w:ind w:right="114" w:firstLine="0"/>
        <w:rPr>
          <w:rFonts w:ascii="Garamond" w:eastAsia="Times New Roman" w:hAnsi="Garamond" w:cs="Times New Roman"/>
          <w:sz w:val="24"/>
        </w:rPr>
      </w:pPr>
      <w:r w:rsidRPr="00395593">
        <w:rPr>
          <w:rFonts w:ascii="Garamond" w:eastAsia="Times New Roman" w:hAnsi="Garamond" w:cs="Times New Roman"/>
          <w:sz w:val="24"/>
        </w:rPr>
        <w:t>Sempre que um Membro tenha motivos para crer que um subsídio proibido esteja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sendo concedido ou mantido por outro Membro, poderá o primeiro pedir a realização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consultas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 segundo.</w:t>
      </w:r>
    </w:p>
    <w:p w14:paraId="47E026DF"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7D400B48"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1CFDB3EE" w14:textId="4A9111F5" w:rsidR="00CB6C86" w:rsidRPr="00395593" w:rsidRDefault="00CB6C86" w:rsidP="00CB6C86">
      <w:pPr>
        <w:widowControl w:val="0"/>
        <w:autoSpaceDE w:val="0"/>
        <w:autoSpaceDN w:val="0"/>
        <w:spacing w:before="2" w:after="0" w:line="240" w:lineRule="auto"/>
        <w:rPr>
          <w:rFonts w:ascii="Garamond" w:eastAsia="Times New Roman" w:hAnsi="Garamond" w:cs="Times New Roman"/>
          <w:sz w:val="23"/>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57" behindDoc="1" locked="0" layoutInCell="1" allowOverlap="1" wp14:anchorId="1F14963E" wp14:editId="55D43F66">
                <wp:simplePos x="0" y="0"/>
                <wp:positionH relativeFrom="page">
                  <wp:posOffset>1080770</wp:posOffset>
                </wp:positionH>
                <wp:positionV relativeFrom="paragraph">
                  <wp:posOffset>184785</wp:posOffset>
                </wp:positionV>
                <wp:extent cx="1828800" cy="7620"/>
                <wp:effectExtent l="4445" t="0" r="0" b="0"/>
                <wp:wrapTopAndBottom/>
                <wp:docPr id="436" name="Retângulo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8A9DA" id="Retângulo 436" o:spid="_x0000_s1026" style="position:absolute;margin-left:85.1pt;margin-top:14.55pt;width:2in;height:.6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" fillcolor="black" stroked="f">
                <w10:wrap type="topAndBottom" anchorx="page"/>
              </v:rect>
            </w:pict>
          </mc:Fallback>
        </mc:AlternateContent>
      </w:r>
    </w:p>
    <w:p w14:paraId="4BEC8528" w14:textId="77777777" w:rsidR="00CB6C86" w:rsidRPr="00395593" w:rsidRDefault="00CB6C86" w:rsidP="00CB6C86">
      <w:pPr>
        <w:widowControl w:val="0"/>
        <w:autoSpaceDE w:val="0"/>
        <w:autoSpaceDN w:val="0"/>
        <w:spacing w:before="103" w:after="0" w:line="240" w:lineRule="auto"/>
        <w:ind w:right="118"/>
        <w:jc w:val="both"/>
        <w:rPr>
          <w:rFonts w:ascii="Garamond" w:eastAsia="Times New Roman" w:hAnsi="Garamond" w:cs="Times New Roman"/>
          <w:sz w:val="20"/>
        </w:rPr>
      </w:pPr>
      <w:r w:rsidRPr="00395593">
        <w:rPr>
          <w:rFonts w:ascii="Garamond" w:eastAsia="Times New Roman" w:hAnsi="Garamond" w:cs="Times New Roman"/>
          <w:sz w:val="20"/>
          <w:vertAlign w:val="superscript"/>
        </w:rPr>
        <w:t>4</w:t>
      </w:r>
      <w:r w:rsidRPr="00395593">
        <w:rPr>
          <w:rFonts w:ascii="Garamond" w:eastAsia="Times New Roman" w:hAnsi="Garamond" w:cs="Times New Roman"/>
          <w:sz w:val="20"/>
        </w:rPr>
        <w:t xml:space="preserve"> Esta norma será satisfeita quando os fatos demonstrarem que a concessão de um subsídio, ainda que não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esteja vinculada de direito ao desempenho exportador, está de fato vinculada a exportações ou ganhos com</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exportações reais ou previstos. O simples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fato de que</w:t>
      </w:r>
      <w:r w:rsidRPr="00395593">
        <w:rPr>
          <w:rFonts w:ascii="Garamond" w:eastAsia="Times New Roman" w:hAnsi="Garamond" w:cs="Times New Roman"/>
          <w:spacing w:val="50"/>
          <w:sz w:val="20"/>
        </w:rPr>
        <w:t xml:space="preserve"> </w:t>
      </w:r>
      <w:r w:rsidRPr="00395593">
        <w:rPr>
          <w:rFonts w:ascii="Garamond" w:eastAsia="Times New Roman" w:hAnsi="Garamond" w:cs="Times New Roman"/>
          <w:sz w:val="20"/>
        </w:rPr>
        <w:t>subsídios sejam concedidos a empresas exportadoras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deverá, por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si</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só,</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considerado como subsídio 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exportação,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no sentido definido neste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artigo.</w:t>
      </w:r>
    </w:p>
    <w:p w14:paraId="4BBD2540" w14:textId="77777777" w:rsidR="00CB6C86" w:rsidRPr="00395593" w:rsidRDefault="00CB6C86" w:rsidP="00CB6C86">
      <w:pPr>
        <w:widowControl w:val="0"/>
        <w:autoSpaceDE w:val="0"/>
        <w:autoSpaceDN w:val="0"/>
        <w:spacing w:after="0" w:line="240" w:lineRule="auto"/>
        <w:ind w:right="126"/>
        <w:jc w:val="both"/>
        <w:rPr>
          <w:rFonts w:ascii="Garamond" w:eastAsia="Times New Roman" w:hAnsi="Garamond" w:cs="Times New Roman"/>
          <w:sz w:val="20"/>
        </w:rPr>
      </w:pPr>
      <w:r w:rsidRPr="00395593">
        <w:rPr>
          <w:rFonts w:ascii="Garamond" w:eastAsia="Times New Roman" w:hAnsi="Garamond" w:cs="Times New Roman"/>
          <w:sz w:val="20"/>
          <w:vertAlign w:val="superscript"/>
        </w:rPr>
        <w:t>5</w:t>
      </w:r>
      <w:r w:rsidRPr="00395593">
        <w:rPr>
          <w:rFonts w:ascii="Garamond" w:eastAsia="Times New Roman" w:hAnsi="Garamond" w:cs="Times New Roman"/>
          <w:sz w:val="20"/>
        </w:rPr>
        <w:t xml:space="preserve"> Aquelas medidas que estejam indicadas no ANEXO I como não caracterizadoras de subsídios à exportação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não serão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proibidas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por este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Artigo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nenhum</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outro deste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Acordo.</w:t>
      </w:r>
    </w:p>
    <w:p w14:paraId="7CA56B79" w14:textId="77777777" w:rsidR="00CB6C86" w:rsidRPr="00395593" w:rsidRDefault="00CB6C86" w:rsidP="002C4340">
      <w:pPr>
        <w:widowControl w:val="0"/>
        <w:numPr>
          <w:ilvl w:val="0"/>
          <w:numId w:val="60"/>
        </w:numPr>
        <w:tabs>
          <w:tab w:val="left" w:pos="810"/>
        </w:tabs>
        <w:autoSpaceDE w:val="0"/>
        <w:autoSpaceDN w:val="0"/>
        <w:spacing w:before="68" w:after="0" w:line="240" w:lineRule="auto"/>
        <w:ind w:right="125" w:firstLine="0"/>
        <w:jc w:val="both"/>
        <w:rPr>
          <w:rFonts w:ascii="Garamond" w:eastAsia="Times New Roman" w:hAnsi="Garamond" w:cs="Times New Roman"/>
          <w:sz w:val="24"/>
        </w:rPr>
      </w:pPr>
      <w:r w:rsidRPr="00395593">
        <w:rPr>
          <w:rFonts w:ascii="Garamond" w:eastAsia="Times New Roman" w:hAnsi="Garamond" w:cs="Times New Roman"/>
          <w:sz w:val="24"/>
        </w:rPr>
        <w:t>A solicitação de consultas sob o disposto no parágrafo 1 deverá incluir relação 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disponíveis relativas â</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existência 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natureza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do subsídio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questão.</w:t>
      </w:r>
    </w:p>
    <w:p w14:paraId="683A0909" w14:textId="77777777" w:rsidR="00CB6C86" w:rsidRPr="00395593" w:rsidRDefault="00CB6C86" w:rsidP="002C4340">
      <w:pPr>
        <w:widowControl w:val="0"/>
        <w:numPr>
          <w:ilvl w:val="0"/>
          <w:numId w:val="60"/>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Ao receber solicitação de consulta sob o disposto no parágrafo 1, o Membro que 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acredita conceda ou mantenha o subsídio em apreço deverá entabular consultas o mais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rapidamente</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possível.</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propósito</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consultas</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será</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esclarecer</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fatos</w:t>
      </w:r>
      <w:r w:rsidRPr="00395593">
        <w:rPr>
          <w:rFonts w:ascii="Garamond" w:eastAsia="Times New Roman" w:hAnsi="Garamond" w:cs="Times New Roman"/>
          <w:spacing w:val="1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causa</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chegar</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solução mutuamente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aceitável.</w:t>
      </w:r>
    </w:p>
    <w:p w14:paraId="1579860C"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721843C9" w14:textId="77777777" w:rsidR="00CB6C86" w:rsidRPr="00395593" w:rsidRDefault="00CB6C86" w:rsidP="002C4340">
      <w:pPr>
        <w:widowControl w:val="0"/>
        <w:numPr>
          <w:ilvl w:val="0"/>
          <w:numId w:val="60"/>
        </w:numPr>
        <w:tabs>
          <w:tab w:val="left" w:pos="810"/>
        </w:tabs>
        <w:autoSpaceDE w:val="0"/>
        <w:autoSpaceDN w:val="0"/>
        <w:spacing w:after="0" w:line="240" w:lineRule="auto"/>
        <w:ind w:right="118" w:firstLine="0"/>
        <w:jc w:val="both"/>
        <w:rPr>
          <w:rFonts w:ascii="Garamond" w:eastAsia="Times New Roman" w:hAnsi="Garamond" w:cs="Times New Roman"/>
          <w:sz w:val="24"/>
        </w:rPr>
      </w:pPr>
      <w:r w:rsidRPr="00395593">
        <w:rPr>
          <w:rFonts w:ascii="Garamond" w:eastAsia="Times New Roman" w:hAnsi="Garamond" w:cs="Times New Roman"/>
          <w:sz w:val="24"/>
        </w:rPr>
        <w:t xml:space="preserve">Se não se chegar a solução mutuamente aceitável no prazo de 30 dias </w:t>
      </w:r>
      <w:r w:rsidRPr="00395593">
        <w:rPr>
          <w:rFonts w:ascii="Garamond" w:eastAsia="Times New Roman" w:hAnsi="Garamond" w:cs="Times New Roman"/>
          <w:sz w:val="24"/>
          <w:vertAlign w:val="superscript"/>
        </w:rPr>
        <w:t>6</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 contar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pedido de consultas, qualquer Membro delas participante poderá elevar o assunto ao Órgão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Solução de Controvérsias (OSC) para imediato estabelecimento de grupo especial,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OSC decida por consenso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pelo 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estabelecimento de grupo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especial.</w:t>
      </w:r>
    </w:p>
    <w:p w14:paraId="27ED7686" w14:textId="77777777" w:rsidR="00CB6C86" w:rsidRPr="00395593" w:rsidRDefault="00CB6C86" w:rsidP="00ED7102">
      <w:pPr>
        <w:widowControl w:val="0"/>
        <w:autoSpaceDE w:val="0"/>
        <w:autoSpaceDN w:val="0"/>
        <w:spacing w:before="1" w:after="0" w:line="240" w:lineRule="auto"/>
        <w:jc w:val="both"/>
        <w:rPr>
          <w:rFonts w:ascii="Garamond" w:eastAsia="Times New Roman" w:hAnsi="Garamond" w:cs="Times New Roman"/>
          <w:sz w:val="24"/>
          <w:szCs w:val="24"/>
        </w:rPr>
      </w:pPr>
    </w:p>
    <w:p w14:paraId="5BE8B9EF" w14:textId="77777777" w:rsidR="00CB6C86" w:rsidRPr="00395593" w:rsidRDefault="00CB6C86" w:rsidP="002C4340">
      <w:pPr>
        <w:widowControl w:val="0"/>
        <w:numPr>
          <w:ilvl w:val="0"/>
          <w:numId w:val="60"/>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vez</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estabelecido,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grupo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especial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solicitar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assistência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Grupo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Permanente de Especialistas </w:t>
      </w:r>
      <w:r w:rsidRPr="00395593">
        <w:rPr>
          <w:rFonts w:ascii="Garamond" w:eastAsia="Times New Roman" w:hAnsi="Garamond" w:cs="Times New Roman"/>
          <w:sz w:val="24"/>
          <w:vertAlign w:val="superscript"/>
        </w:rPr>
        <w:t>7</w:t>
      </w:r>
      <w:r w:rsidRPr="00395593">
        <w:rPr>
          <w:rFonts w:ascii="Garamond" w:eastAsia="Times New Roman" w:hAnsi="Garamond" w:cs="Times New Roman"/>
          <w:sz w:val="24"/>
        </w:rPr>
        <w:t xml:space="preserve"> (GPE) com vistas a determinar se a medida em apreço é um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 proibido. Caso lhe seja solicitado, o GPE devera imediatamente analisar as provas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 determinar a existência e a natureza da medida em causa e devera oferecer ao Membro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que aplica ou mantém a medida, a oportunidade de demonstrar que a mesma não é um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 proibido. O GPE deverá apresentar suas conclusões ao grupo especial dentro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prazo por este ultimo estabelecido. As conclusões do GPE sobre se a medida em causa é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 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proibido deverão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 aceitas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pelo grupo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especial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sem modificação.</w:t>
      </w:r>
    </w:p>
    <w:p w14:paraId="0A31FC11"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3A9FBD6A" w14:textId="77777777" w:rsidR="00CB6C86" w:rsidRPr="00395593" w:rsidRDefault="00CB6C86" w:rsidP="002C4340">
      <w:pPr>
        <w:widowControl w:val="0"/>
        <w:numPr>
          <w:ilvl w:val="0"/>
          <w:numId w:val="60"/>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O grupo especial apresentará seu relatório final às partes litigantes. O relatório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deverá ser circulado entre todos os Membros dentro de 90 dias a contar da composição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grupo especial e do estabelecimento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seus termos 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referência.</w:t>
      </w:r>
    </w:p>
    <w:p w14:paraId="1D326FEA"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32FC26C5" w14:textId="77777777" w:rsidR="00CB6C86" w:rsidRPr="00395593" w:rsidRDefault="00CB6C86" w:rsidP="002C4340">
      <w:pPr>
        <w:widowControl w:val="0"/>
        <w:numPr>
          <w:ilvl w:val="0"/>
          <w:numId w:val="60"/>
        </w:numPr>
        <w:tabs>
          <w:tab w:val="left" w:pos="810"/>
        </w:tabs>
        <w:autoSpaceDE w:val="0"/>
        <w:autoSpaceDN w:val="0"/>
        <w:spacing w:before="1"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Se a medida em análise for considerada subsídio proibido, o grupo especial deverá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recomendar ao Membro outorgante que a retire sem demora. A esse respeito, o grupo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especial deverá especificar em sua recomendação o prazo em que a medida devera 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retirada.</w:t>
      </w:r>
    </w:p>
    <w:p w14:paraId="0E682757"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4CB9EAEE" w14:textId="77777777" w:rsidR="00CB6C86" w:rsidRPr="00395593" w:rsidRDefault="00CB6C86" w:rsidP="002C4340">
      <w:pPr>
        <w:widowControl w:val="0"/>
        <w:numPr>
          <w:ilvl w:val="0"/>
          <w:numId w:val="60"/>
        </w:numPr>
        <w:tabs>
          <w:tab w:val="left" w:pos="810"/>
        </w:tabs>
        <w:autoSpaceDE w:val="0"/>
        <w:autoSpaceDN w:val="0"/>
        <w:spacing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Dentro de 30 dias da divulgação do relatório do grupo especial a todos os Membros,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deverá o mesmo ser adotado pelo OSC, a menos que uma das partes litigantes notifique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formalmente o OSC sobre sua decisão de apelar ou que o OSC decida por consenso 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adotar</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relatório.</w:t>
      </w:r>
    </w:p>
    <w:p w14:paraId="13767A64"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4341FE35" w14:textId="77777777" w:rsidR="00CB6C86" w:rsidRPr="00395593" w:rsidRDefault="00CB6C86" w:rsidP="002C4340">
      <w:pPr>
        <w:widowControl w:val="0"/>
        <w:numPr>
          <w:ilvl w:val="0"/>
          <w:numId w:val="60"/>
        </w:numPr>
        <w:tabs>
          <w:tab w:val="left" w:pos="810"/>
        </w:tabs>
        <w:autoSpaceDE w:val="0"/>
        <w:autoSpaceDN w:val="0"/>
        <w:spacing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Quando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ocorrer</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apelação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56"/>
          <w:sz w:val="24"/>
        </w:rPr>
        <w:t xml:space="preserve"> </w:t>
      </w:r>
      <w:r w:rsidRPr="00395593">
        <w:rPr>
          <w:rFonts w:ascii="Garamond" w:eastAsia="Times New Roman" w:hAnsi="Garamond" w:cs="Times New Roman"/>
          <w:sz w:val="24"/>
        </w:rPr>
        <w:t>relatório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grupo</w:t>
      </w:r>
      <w:r w:rsidRPr="00395593">
        <w:rPr>
          <w:rFonts w:ascii="Garamond" w:eastAsia="Times New Roman" w:hAnsi="Garamond" w:cs="Times New Roman"/>
          <w:spacing w:val="59"/>
          <w:sz w:val="24"/>
        </w:rPr>
        <w:t xml:space="preserve"> </w:t>
      </w:r>
      <w:r w:rsidRPr="00395593">
        <w:rPr>
          <w:rFonts w:ascii="Garamond" w:eastAsia="Times New Roman" w:hAnsi="Garamond" w:cs="Times New Roman"/>
          <w:sz w:val="24"/>
        </w:rPr>
        <w:t>especial,</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Órgão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de  Apelação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deverá exarar sua decisão no prazo de 30 diaS contados a partir da data em que a parte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litigante tiver formalmente comunicado sua intenção de apelar. Caso o Órgão de Apelação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considere não poder apresentar relatório dentro de 30 dias, deverá informar o OSC 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escrito das razões pelas quais prevê o atraso e estimar o prazo dentro do qual apresentará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relatório.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nenhuma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hipótese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procedimentos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excederão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60</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relatório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apelação</w:t>
      </w:r>
      <w:r w:rsidRPr="00395593">
        <w:rPr>
          <w:rFonts w:ascii="Garamond" w:eastAsia="Times New Roman" w:hAnsi="Garamond" w:cs="Times New Roman"/>
          <w:spacing w:val="13"/>
          <w:sz w:val="24"/>
        </w:rPr>
        <w:t xml:space="preserve"> </w:t>
      </w:r>
      <w:r w:rsidRPr="00395593">
        <w:rPr>
          <w:rFonts w:ascii="Garamond" w:eastAsia="Times New Roman" w:hAnsi="Garamond" w:cs="Times New Roman"/>
          <w:sz w:val="24"/>
        </w:rPr>
        <w:t>deverá</w:t>
      </w:r>
      <w:r w:rsidRPr="00395593">
        <w:rPr>
          <w:rFonts w:ascii="Garamond" w:eastAsia="Times New Roman" w:hAnsi="Garamond" w:cs="Times New Roman"/>
          <w:spacing w:val="1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4"/>
          <w:sz w:val="24"/>
        </w:rPr>
        <w:t xml:space="preserve"> </w:t>
      </w:r>
      <w:r w:rsidRPr="00395593">
        <w:rPr>
          <w:rFonts w:ascii="Garamond" w:eastAsia="Times New Roman" w:hAnsi="Garamond" w:cs="Times New Roman"/>
          <w:sz w:val="24"/>
        </w:rPr>
        <w:t>adoçado</w:t>
      </w:r>
      <w:r w:rsidRPr="00395593">
        <w:rPr>
          <w:rFonts w:ascii="Garamond" w:eastAsia="Times New Roman" w:hAnsi="Garamond" w:cs="Times New Roman"/>
          <w:spacing w:val="13"/>
          <w:sz w:val="24"/>
        </w:rPr>
        <w:t xml:space="preserve"> </w:t>
      </w:r>
      <w:r w:rsidRPr="00395593">
        <w:rPr>
          <w:rFonts w:ascii="Garamond" w:eastAsia="Times New Roman" w:hAnsi="Garamond" w:cs="Times New Roman"/>
          <w:sz w:val="24"/>
        </w:rPr>
        <w:t>pelo</w:t>
      </w:r>
      <w:r w:rsidRPr="00395593">
        <w:rPr>
          <w:rFonts w:ascii="Garamond" w:eastAsia="Times New Roman" w:hAnsi="Garamond" w:cs="Times New Roman"/>
          <w:spacing w:val="13"/>
          <w:sz w:val="24"/>
        </w:rPr>
        <w:t xml:space="preserve"> </w:t>
      </w:r>
      <w:r w:rsidRPr="00395593">
        <w:rPr>
          <w:rFonts w:ascii="Garamond" w:eastAsia="Times New Roman" w:hAnsi="Garamond" w:cs="Times New Roman"/>
          <w:sz w:val="24"/>
        </w:rPr>
        <w:t>OSC</w:t>
      </w:r>
      <w:r w:rsidRPr="00395593">
        <w:rPr>
          <w:rFonts w:ascii="Garamond" w:eastAsia="Times New Roman" w:hAnsi="Garamond" w:cs="Times New Roman"/>
          <w:spacing w:val="14"/>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2"/>
          <w:sz w:val="24"/>
        </w:rPr>
        <w:t xml:space="preserve"> </w:t>
      </w:r>
      <w:r w:rsidRPr="00395593">
        <w:rPr>
          <w:rFonts w:ascii="Garamond" w:eastAsia="Times New Roman" w:hAnsi="Garamond" w:cs="Times New Roman"/>
          <w:sz w:val="24"/>
        </w:rPr>
        <w:t>aceito</w:t>
      </w:r>
      <w:r w:rsidRPr="00395593">
        <w:rPr>
          <w:rFonts w:ascii="Garamond" w:eastAsia="Times New Roman" w:hAnsi="Garamond" w:cs="Times New Roman"/>
          <w:spacing w:val="13"/>
          <w:sz w:val="24"/>
        </w:rPr>
        <w:t xml:space="preserve"> </w:t>
      </w:r>
      <w:r w:rsidRPr="00395593">
        <w:rPr>
          <w:rFonts w:ascii="Garamond" w:eastAsia="Times New Roman" w:hAnsi="Garamond" w:cs="Times New Roman"/>
          <w:sz w:val="24"/>
        </w:rPr>
        <w:t>incondicionalmente</w:t>
      </w:r>
      <w:r w:rsidRPr="00395593">
        <w:rPr>
          <w:rFonts w:ascii="Garamond" w:eastAsia="Times New Roman" w:hAnsi="Garamond" w:cs="Times New Roman"/>
          <w:spacing w:val="12"/>
          <w:sz w:val="24"/>
        </w:rPr>
        <w:t xml:space="preserve"> </w:t>
      </w:r>
      <w:r w:rsidRPr="00395593">
        <w:rPr>
          <w:rFonts w:ascii="Garamond" w:eastAsia="Times New Roman" w:hAnsi="Garamond" w:cs="Times New Roman"/>
          <w:sz w:val="24"/>
        </w:rPr>
        <w:t>pelas</w:t>
      </w:r>
      <w:r w:rsidRPr="00395593">
        <w:rPr>
          <w:rFonts w:ascii="Garamond" w:eastAsia="Times New Roman" w:hAnsi="Garamond" w:cs="Times New Roman"/>
          <w:spacing w:val="15"/>
          <w:sz w:val="24"/>
        </w:rPr>
        <w:t xml:space="preserve"> </w:t>
      </w:r>
      <w:r w:rsidRPr="00395593">
        <w:rPr>
          <w:rFonts w:ascii="Garamond" w:eastAsia="Times New Roman" w:hAnsi="Garamond" w:cs="Times New Roman"/>
          <w:sz w:val="24"/>
        </w:rPr>
        <w:t>partes</w:t>
      </w:r>
      <w:r w:rsidRPr="00395593">
        <w:rPr>
          <w:rFonts w:ascii="Garamond" w:eastAsia="Times New Roman" w:hAnsi="Garamond" w:cs="Times New Roman"/>
          <w:spacing w:val="14"/>
          <w:sz w:val="24"/>
        </w:rPr>
        <w:t xml:space="preserve"> </w:t>
      </w:r>
      <w:r w:rsidRPr="00395593">
        <w:rPr>
          <w:rFonts w:ascii="Garamond" w:eastAsia="Times New Roman" w:hAnsi="Garamond" w:cs="Times New Roman"/>
          <w:sz w:val="24"/>
        </w:rPr>
        <w:t>litigantes,</w:t>
      </w:r>
    </w:p>
    <w:p w14:paraId="55C213B7"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2845E3E2" w14:textId="77777777" w:rsidR="00D65665" w:rsidRDefault="00D65665" w:rsidP="00E33E26">
      <w:pPr>
        <w:widowControl w:val="0"/>
        <w:autoSpaceDE w:val="0"/>
        <w:autoSpaceDN w:val="0"/>
        <w:spacing w:before="1" w:after="0" w:line="240" w:lineRule="auto"/>
        <w:rPr>
          <w:rFonts w:ascii="Garamond" w:eastAsia="Times New Roman" w:hAnsi="Garamond" w:cs="Times New Roman"/>
          <w:sz w:val="27"/>
          <w:szCs w:val="24"/>
        </w:rPr>
      </w:pPr>
    </w:p>
    <w:p w14:paraId="143D90DE" w14:textId="77777777" w:rsidR="00D65665" w:rsidRDefault="00D65665" w:rsidP="00E33E26">
      <w:pPr>
        <w:widowControl w:val="0"/>
        <w:autoSpaceDE w:val="0"/>
        <w:autoSpaceDN w:val="0"/>
        <w:spacing w:before="1" w:after="0" w:line="240" w:lineRule="auto"/>
        <w:rPr>
          <w:rFonts w:ascii="Garamond" w:eastAsia="Times New Roman" w:hAnsi="Garamond" w:cs="Times New Roman"/>
          <w:sz w:val="27"/>
          <w:szCs w:val="24"/>
        </w:rPr>
      </w:pPr>
    </w:p>
    <w:p w14:paraId="2116B606" w14:textId="77777777" w:rsidR="00D65665" w:rsidRDefault="00D65665" w:rsidP="00E33E26">
      <w:pPr>
        <w:widowControl w:val="0"/>
        <w:autoSpaceDE w:val="0"/>
        <w:autoSpaceDN w:val="0"/>
        <w:spacing w:before="1" w:after="0" w:line="240" w:lineRule="auto"/>
        <w:rPr>
          <w:rFonts w:ascii="Garamond" w:eastAsia="Times New Roman" w:hAnsi="Garamond" w:cs="Times New Roman"/>
          <w:sz w:val="27"/>
          <w:szCs w:val="24"/>
        </w:rPr>
      </w:pPr>
    </w:p>
    <w:p w14:paraId="1430F31A" w14:textId="77777777" w:rsidR="00D65665" w:rsidRDefault="00D65665" w:rsidP="00E33E26">
      <w:pPr>
        <w:widowControl w:val="0"/>
        <w:autoSpaceDE w:val="0"/>
        <w:autoSpaceDN w:val="0"/>
        <w:spacing w:before="1" w:after="0" w:line="240" w:lineRule="auto"/>
        <w:rPr>
          <w:rFonts w:ascii="Garamond" w:eastAsia="Times New Roman" w:hAnsi="Garamond" w:cs="Times New Roman"/>
          <w:sz w:val="27"/>
          <w:szCs w:val="24"/>
        </w:rPr>
      </w:pPr>
    </w:p>
    <w:p w14:paraId="117B32DE" w14:textId="3AACD9EC" w:rsidR="00CB6C86" w:rsidRPr="00395593" w:rsidRDefault="00CB6C86" w:rsidP="00CB6C86">
      <w:pPr>
        <w:widowControl w:val="0"/>
        <w:autoSpaceDE w:val="0"/>
        <w:autoSpaceDN w:val="0"/>
        <w:spacing w:before="1" w:after="0" w:line="240" w:lineRule="auto"/>
        <w:rPr>
          <w:rFonts w:ascii="Garamond" w:eastAsia="Times New Roman" w:hAnsi="Garamond" w:cs="Times New Roman"/>
          <w:sz w:val="27"/>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58" behindDoc="1" locked="0" layoutInCell="1" allowOverlap="1" wp14:anchorId="73D497A5" wp14:editId="474CABF7">
                <wp:simplePos x="0" y="0"/>
                <wp:positionH relativeFrom="page">
                  <wp:posOffset>1080770</wp:posOffset>
                </wp:positionH>
                <wp:positionV relativeFrom="paragraph">
                  <wp:posOffset>213360</wp:posOffset>
                </wp:positionV>
                <wp:extent cx="1828800" cy="7620"/>
                <wp:effectExtent l="4445" t="0" r="0" b="3175"/>
                <wp:wrapTopAndBottom/>
                <wp:docPr id="435" name="Retângulo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B8406" id="Retângulo 435" o:spid="_x0000_s1026" style="position:absolute;margin-left:85.1pt;margin-top:16.8pt;width:2in;height:.6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" fillcolor="black" stroked="f">
                <w10:wrap type="topAndBottom" anchorx="page"/>
              </v:rect>
            </w:pict>
          </mc:Fallback>
        </mc:AlternateContent>
      </w:r>
    </w:p>
    <w:p w14:paraId="3E5B2AE4" w14:textId="77777777" w:rsidR="00CB6C86" w:rsidRPr="00395593" w:rsidRDefault="00CB6C86" w:rsidP="00CB6C86">
      <w:pPr>
        <w:widowControl w:val="0"/>
        <w:autoSpaceDE w:val="0"/>
        <w:autoSpaceDN w:val="0"/>
        <w:spacing w:before="103" w:after="0" w:line="240" w:lineRule="auto"/>
        <w:rPr>
          <w:rFonts w:ascii="Garamond" w:eastAsia="Times New Roman" w:hAnsi="Garamond" w:cs="Times New Roman"/>
          <w:sz w:val="20"/>
        </w:rPr>
      </w:pPr>
      <w:r w:rsidRPr="00395593">
        <w:rPr>
          <w:rFonts w:ascii="Garamond" w:eastAsia="Times New Roman" w:hAnsi="Garamond" w:cs="Times New Roman"/>
          <w:sz w:val="20"/>
          <w:vertAlign w:val="superscript"/>
        </w:rPr>
        <w:t>6</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Quaisquer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prazos</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mencionados</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neste Acordo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poderão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estendidos</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por</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acordo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entre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as</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partes.</w:t>
      </w:r>
    </w:p>
    <w:p w14:paraId="4A89482A"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0"/>
        </w:rPr>
      </w:pPr>
      <w:r w:rsidRPr="00395593">
        <w:rPr>
          <w:rFonts w:ascii="Garamond" w:eastAsia="Times New Roman" w:hAnsi="Garamond" w:cs="Times New Roman"/>
          <w:sz w:val="20"/>
          <w:vertAlign w:val="superscript"/>
        </w:rPr>
        <w:t>7</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Estabelecido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Artigo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24.</w:t>
      </w:r>
    </w:p>
    <w:p w14:paraId="01E35D55" w14:textId="77777777" w:rsidR="00D65665" w:rsidRDefault="00D65665">
      <w:pPr>
        <w:rPr>
          <w:rFonts w:ascii="Garamond" w:eastAsia="Times New Roman" w:hAnsi="Garamond" w:cs="Times New Roman"/>
          <w:sz w:val="24"/>
          <w:szCs w:val="24"/>
        </w:rPr>
      </w:pPr>
      <w:r>
        <w:rPr>
          <w:rFonts w:ascii="Garamond" w:eastAsia="Times New Roman" w:hAnsi="Garamond" w:cs="Times New Roman"/>
          <w:sz w:val="24"/>
          <w:szCs w:val="24"/>
        </w:rPr>
        <w:br w:type="page"/>
      </w:r>
    </w:p>
    <w:p w14:paraId="62DE8DF2" w14:textId="654ACE90" w:rsidR="00CB6C86" w:rsidRPr="00395593" w:rsidRDefault="00CB6C86" w:rsidP="00ED7102">
      <w:pPr>
        <w:widowControl w:val="0"/>
        <w:autoSpaceDE w:val="0"/>
        <w:autoSpaceDN w:val="0"/>
        <w:spacing w:before="68" w:after="0" w:line="240" w:lineRule="auto"/>
        <w:ind w:right="114"/>
        <w:jc w:val="both"/>
        <w:rPr>
          <w:rFonts w:ascii="Garamond" w:eastAsia="Times New Roman" w:hAnsi="Garamond" w:cs="Times New Roman"/>
          <w:sz w:val="24"/>
          <w:szCs w:val="24"/>
        </w:rPr>
      </w:pPr>
      <w:r w:rsidRPr="00395593">
        <w:rPr>
          <w:rFonts w:ascii="Garamond" w:eastAsia="Times New Roman" w:hAnsi="Garamond" w:cs="Times New Roman"/>
          <w:sz w:val="24"/>
          <w:szCs w:val="24"/>
        </w:rPr>
        <w:t>a</w:t>
      </w:r>
      <w:r w:rsidRPr="00395593">
        <w:rPr>
          <w:rFonts w:ascii="Garamond" w:eastAsia="Times New Roman" w:hAnsi="Garamond" w:cs="Times New Roman"/>
          <w:spacing w:val="41"/>
          <w:sz w:val="24"/>
          <w:szCs w:val="24"/>
        </w:rPr>
        <w:t xml:space="preserve"> </w:t>
      </w:r>
      <w:r w:rsidRPr="00395593">
        <w:rPr>
          <w:rFonts w:ascii="Garamond" w:eastAsia="Times New Roman" w:hAnsi="Garamond" w:cs="Times New Roman"/>
          <w:sz w:val="24"/>
          <w:szCs w:val="24"/>
        </w:rPr>
        <w:t>menos</w:t>
      </w:r>
      <w:r w:rsidRPr="00395593">
        <w:rPr>
          <w:rFonts w:ascii="Garamond" w:eastAsia="Times New Roman" w:hAnsi="Garamond" w:cs="Times New Roman"/>
          <w:spacing w:val="42"/>
          <w:sz w:val="24"/>
          <w:szCs w:val="24"/>
        </w:rPr>
        <w:t xml:space="preserve"> </w:t>
      </w:r>
      <w:r w:rsidRPr="00395593">
        <w:rPr>
          <w:rFonts w:ascii="Garamond" w:eastAsia="Times New Roman" w:hAnsi="Garamond" w:cs="Times New Roman"/>
          <w:sz w:val="24"/>
          <w:szCs w:val="24"/>
        </w:rPr>
        <w:t>que</w:t>
      </w:r>
      <w:r w:rsidRPr="00395593">
        <w:rPr>
          <w:rFonts w:ascii="Garamond" w:eastAsia="Times New Roman" w:hAnsi="Garamond" w:cs="Times New Roman"/>
          <w:spacing w:val="42"/>
          <w:sz w:val="24"/>
          <w:szCs w:val="24"/>
        </w:rPr>
        <w:t xml:space="preserve"> </w:t>
      </w:r>
      <w:r w:rsidRPr="00395593">
        <w:rPr>
          <w:rFonts w:ascii="Garamond" w:eastAsia="Times New Roman" w:hAnsi="Garamond" w:cs="Times New Roman"/>
          <w:sz w:val="24"/>
          <w:szCs w:val="24"/>
        </w:rPr>
        <w:t>o</w:t>
      </w:r>
      <w:r w:rsidRPr="00395593">
        <w:rPr>
          <w:rFonts w:ascii="Garamond" w:eastAsia="Times New Roman" w:hAnsi="Garamond" w:cs="Times New Roman"/>
          <w:spacing w:val="45"/>
          <w:sz w:val="24"/>
          <w:szCs w:val="24"/>
        </w:rPr>
        <w:t xml:space="preserve"> </w:t>
      </w:r>
      <w:r w:rsidRPr="00395593">
        <w:rPr>
          <w:rFonts w:ascii="Garamond" w:eastAsia="Times New Roman" w:hAnsi="Garamond" w:cs="Times New Roman"/>
          <w:sz w:val="24"/>
          <w:szCs w:val="24"/>
        </w:rPr>
        <w:t>OSC</w:t>
      </w:r>
      <w:r w:rsidRPr="00395593">
        <w:rPr>
          <w:rFonts w:ascii="Garamond" w:eastAsia="Times New Roman" w:hAnsi="Garamond" w:cs="Times New Roman"/>
          <w:spacing w:val="43"/>
          <w:sz w:val="24"/>
          <w:szCs w:val="24"/>
        </w:rPr>
        <w:t xml:space="preserve"> </w:t>
      </w:r>
      <w:r w:rsidRPr="00395593">
        <w:rPr>
          <w:rFonts w:ascii="Garamond" w:eastAsia="Times New Roman" w:hAnsi="Garamond" w:cs="Times New Roman"/>
          <w:sz w:val="24"/>
          <w:szCs w:val="24"/>
        </w:rPr>
        <w:t>decida</w:t>
      </w:r>
      <w:r w:rsidRPr="00395593">
        <w:rPr>
          <w:rFonts w:ascii="Garamond" w:eastAsia="Times New Roman" w:hAnsi="Garamond" w:cs="Times New Roman"/>
          <w:spacing w:val="42"/>
          <w:sz w:val="24"/>
          <w:szCs w:val="24"/>
        </w:rPr>
        <w:t xml:space="preserve"> </w:t>
      </w:r>
      <w:r w:rsidRPr="00395593">
        <w:rPr>
          <w:rFonts w:ascii="Garamond" w:eastAsia="Times New Roman" w:hAnsi="Garamond" w:cs="Times New Roman"/>
          <w:sz w:val="24"/>
          <w:szCs w:val="24"/>
        </w:rPr>
        <w:t>por</w:t>
      </w:r>
      <w:r w:rsidRPr="00395593">
        <w:rPr>
          <w:rFonts w:ascii="Garamond" w:eastAsia="Times New Roman" w:hAnsi="Garamond" w:cs="Times New Roman"/>
          <w:spacing w:val="44"/>
          <w:sz w:val="24"/>
          <w:szCs w:val="24"/>
        </w:rPr>
        <w:t xml:space="preserve"> </w:t>
      </w:r>
      <w:r w:rsidRPr="00395593">
        <w:rPr>
          <w:rFonts w:ascii="Garamond" w:eastAsia="Times New Roman" w:hAnsi="Garamond" w:cs="Times New Roman"/>
          <w:sz w:val="24"/>
          <w:szCs w:val="24"/>
        </w:rPr>
        <w:t>consenso</w:t>
      </w:r>
      <w:r w:rsidRPr="00395593">
        <w:rPr>
          <w:rFonts w:ascii="Garamond" w:eastAsia="Times New Roman" w:hAnsi="Garamond" w:cs="Times New Roman"/>
          <w:spacing w:val="43"/>
          <w:sz w:val="24"/>
          <w:szCs w:val="24"/>
        </w:rPr>
        <w:t xml:space="preserve"> </w:t>
      </w:r>
      <w:r w:rsidRPr="00395593">
        <w:rPr>
          <w:rFonts w:ascii="Garamond" w:eastAsia="Times New Roman" w:hAnsi="Garamond" w:cs="Times New Roman"/>
          <w:sz w:val="24"/>
          <w:szCs w:val="24"/>
        </w:rPr>
        <w:t>não</w:t>
      </w:r>
      <w:r w:rsidRPr="00395593">
        <w:rPr>
          <w:rFonts w:ascii="Garamond" w:eastAsia="Times New Roman" w:hAnsi="Garamond" w:cs="Times New Roman"/>
          <w:spacing w:val="45"/>
          <w:sz w:val="24"/>
          <w:szCs w:val="24"/>
        </w:rPr>
        <w:t xml:space="preserve"> </w:t>
      </w:r>
      <w:r w:rsidRPr="00395593">
        <w:rPr>
          <w:rFonts w:ascii="Garamond" w:eastAsia="Times New Roman" w:hAnsi="Garamond" w:cs="Times New Roman"/>
          <w:sz w:val="24"/>
          <w:szCs w:val="24"/>
        </w:rPr>
        <w:t>adotá-lo</w:t>
      </w:r>
      <w:r w:rsidRPr="00395593">
        <w:rPr>
          <w:rFonts w:ascii="Garamond" w:eastAsia="Times New Roman" w:hAnsi="Garamond" w:cs="Times New Roman"/>
          <w:spacing w:val="43"/>
          <w:sz w:val="24"/>
          <w:szCs w:val="24"/>
        </w:rPr>
        <w:t xml:space="preserve"> </w:t>
      </w:r>
      <w:r w:rsidRPr="00395593">
        <w:rPr>
          <w:rFonts w:ascii="Garamond" w:eastAsia="Times New Roman" w:hAnsi="Garamond" w:cs="Times New Roman"/>
          <w:sz w:val="24"/>
          <w:szCs w:val="24"/>
        </w:rPr>
        <w:t>no</w:t>
      </w:r>
      <w:r w:rsidRPr="00395593">
        <w:rPr>
          <w:rFonts w:ascii="Garamond" w:eastAsia="Times New Roman" w:hAnsi="Garamond" w:cs="Times New Roman"/>
          <w:spacing w:val="42"/>
          <w:sz w:val="24"/>
          <w:szCs w:val="24"/>
        </w:rPr>
        <w:t xml:space="preserve"> </w:t>
      </w:r>
      <w:r w:rsidRPr="00395593">
        <w:rPr>
          <w:rFonts w:ascii="Garamond" w:eastAsia="Times New Roman" w:hAnsi="Garamond" w:cs="Times New Roman"/>
          <w:sz w:val="24"/>
          <w:szCs w:val="24"/>
        </w:rPr>
        <w:t>prazo</w:t>
      </w:r>
      <w:r w:rsidRPr="00395593">
        <w:rPr>
          <w:rFonts w:ascii="Garamond" w:eastAsia="Times New Roman" w:hAnsi="Garamond" w:cs="Times New Roman"/>
          <w:spacing w:val="42"/>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42"/>
          <w:sz w:val="24"/>
          <w:szCs w:val="24"/>
        </w:rPr>
        <w:t xml:space="preserve"> </w:t>
      </w:r>
      <w:r w:rsidRPr="00395593">
        <w:rPr>
          <w:rFonts w:ascii="Garamond" w:eastAsia="Times New Roman" w:hAnsi="Garamond" w:cs="Times New Roman"/>
          <w:sz w:val="24"/>
          <w:szCs w:val="24"/>
        </w:rPr>
        <w:t>até</w:t>
      </w:r>
      <w:r w:rsidRPr="00395593">
        <w:rPr>
          <w:rFonts w:ascii="Garamond" w:eastAsia="Times New Roman" w:hAnsi="Garamond" w:cs="Times New Roman"/>
          <w:spacing w:val="42"/>
          <w:sz w:val="24"/>
          <w:szCs w:val="24"/>
        </w:rPr>
        <w:t xml:space="preserve"> </w:t>
      </w:r>
      <w:r w:rsidRPr="00395593">
        <w:rPr>
          <w:rFonts w:ascii="Garamond" w:eastAsia="Times New Roman" w:hAnsi="Garamond" w:cs="Times New Roman"/>
          <w:sz w:val="24"/>
          <w:szCs w:val="24"/>
        </w:rPr>
        <w:t>20</w:t>
      </w:r>
      <w:r w:rsidRPr="00395593">
        <w:rPr>
          <w:rFonts w:ascii="Garamond" w:eastAsia="Times New Roman" w:hAnsi="Garamond" w:cs="Times New Roman"/>
          <w:spacing w:val="41"/>
          <w:sz w:val="24"/>
          <w:szCs w:val="24"/>
        </w:rPr>
        <w:t xml:space="preserve"> </w:t>
      </w:r>
      <w:r w:rsidRPr="00395593">
        <w:rPr>
          <w:rFonts w:ascii="Garamond" w:eastAsia="Times New Roman" w:hAnsi="Garamond" w:cs="Times New Roman"/>
          <w:sz w:val="24"/>
          <w:szCs w:val="24"/>
        </w:rPr>
        <w:t>dias</w:t>
      </w:r>
      <w:r w:rsidRPr="00395593">
        <w:rPr>
          <w:rFonts w:ascii="Garamond" w:eastAsia="Times New Roman" w:hAnsi="Garamond" w:cs="Times New Roman"/>
          <w:spacing w:val="42"/>
          <w:sz w:val="24"/>
          <w:szCs w:val="24"/>
        </w:rPr>
        <w:t xml:space="preserve"> </w:t>
      </w:r>
      <w:r w:rsidRPr="00395593">
        <w:rPr>
          <w:rFonts w:ascii="Garamond" w:eastAsia="Times New Roman" w:hAnsi="Garamond" w:cs="Times New Roman"/>
          <w:sz w:val="24"/>
          <w:szCs w:val="24"/>
        </w:rPr>
        <w:t>após</w:t>
      </w:r>
      <w:r w:rsidRPr="00395593">
        <w:rPr>
          <w:rFonts w:ascii="Garamond" w:eastAsia="Times New Roman" w:hAnsi="Garamond" w:cs="Times New Roman"/>
          <w:spacing w:val="45"/>
          <w:sz w:val="24"/>
          <w:szCs w:val="24"/>
        </w:rPr>
        <w:t xml:space="preserve"> </w:t>
      </w:r>
      <w:r w:rsidRPr="00395593">
        <w:rPr>
          <w:rFonts w:ascii="Garamond" w:eastAsia="Times New Roman" w:hAnsi="Garamond" w:cs="Times New Roman"/>
          <w:sz w:val="24"/>
          <w:szCs w:val="24"/>
        </w:rPr>
        <w:t>a</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circulação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do relatório entre</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os Membros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vertAlign w:val="superscript"/>
        </w:rPr>
        <w:t>8</w:t>
      </w:r>
      <w:r w:rsidRPr="00395593">
        <w:rPr>
          <w:rFonts w:ascii="Garamond" w:eastAsia="Times New Roman" w:hAnsi="Garamond" w:cs="Times New Roman"/>
          <w:sz w:val="24"/>
          <w:szCs w:val="24"/>
        </w:rPr>
        <w:t>.</w:t>
      </w:r>
    </w:p>
    <w:p w14:paraId="0EF87900"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6D46A0AE" w14:textId="77777777" w:rsidR="00CB6C86" w:rsidRPr="00395593" w:rsidRDefault="00CB6C86" w:rsidP="002C4340">
      <w:pPr>
        <w:widowControl w:val="0"/>
        <w:numPr>
          <w:ilvl w:val="0"/>
          <w:numId w:val="60"/>
        </w:numPr>
        <w:tabs>
          <w:tab w:val="left" w:pos="810"/>
        </w:tabs>
        <w:autoSpaceDE w:val="0"/>
        <w:autoSpaceDN w:val="0"/>
        <w:spacing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hipótese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recomendação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OSC</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cumprida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dentro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prazo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especificado pelo grupo especial, que se começará a contar a partir da data de adoção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relatório do grupo especial ou do relatório do Órgão de Apelação, o OSC autorizará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Membro reclamante a adorar as contramedidas apropriadas </w:t>
      </w:r>
      <w:r w:rsidRPr="00395593">
        <w:rPr>
          <w:rFonts w:ascii="Garamond" w:eastAsia="Times New Roman" w:hAnsi="Garamond" w:cs="Times New Roman"/>
          <w:sz w:val="24"/>
          <w:vertAlign w:val="superscript"/>
        </w:rPr>
        <w:t>9</w:t>
      </w:r>
      <w:r w:rsidRPr="00395593">
        <w:rPr>
          <w:rFonts w:ascii="Garamond" w:eastAsia="Times New Roman" w:hAnsi="Garamond" w:cs="Times New Roman"/>
          <w:sz w:val="24"/>
        </w:rPr>
        <w:t>, a menos que o OSC decida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consenso rejeitar</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 pedido.</w:t>
      </w:r>
    </w:p>
    <w:p w14:paraId="498F2F71"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151BE230" w14:textId="77777777" w:rsidR="00CB6C86" w:rsidRPr="00395593" w:rsidRDefault="00CB6C86" w:rsidP="002C4340">
      <w:pPr>
        <w:widowControl w:val="0"/>
        <w:numPr>
          <w:ilvl w:val="0"/>
          <w:numId w:val="60"/>
        </w:numPr>
        <w:tabs>
          <w:tab w:val="left" w:pos="810"/>
        </w:tabs>
        <w:autoSpaceDE w:val="0"/>
        <w:autoSpaceDN w:val="0"/>
        <w:spacing w:after="0" w:line="240" w:lineRule="auto"/>
        <w:ind w:right="124" w:firstLine="0"/>
        <w:jc w:val="both"/>
        <w:rPr>
          <w:rFonts w:ascii="Garamond" w:eastAsia="Times New Roman" w:hAnsi="Garamond" w:cs="Times New Roman"/>
          <w:sz w:val="24"/>
        </w:rPr>
      </w:pPr>
      <w:r w:rsidRPr="00395593">
        <w:rPr>
          <w:rFonts w:ascii="Garamond" w:eastAsia="Times New Roman" w:hAnsi="Garamond" w:cs="Times New Roman"/>
          <w:sz w:val="24"/>
        </w:rPr>
        <w:t>Na hipótese de uma parte litigante requerer arbitragem á luz do parágrafo 6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 22 do Entendimento sobre Solução de Controvérsias (ESC), o árbitro determinará se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apropriadas as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contramedidas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10</w:t>
      </w:r>
      <w:r w:rsidRPr="00395593">
        <w:rPr>
          <w:rFonts w:ascii="Garamond" w:eastAsia="Times New Roman" w:hAnsi="Garamond" w:cs="Times New Roman"/>
          <w:sz w:val="24"/>
        </w:rPr>
        <w:t>.</w:t>
      </w:r>
    </w:p>
    <w:p w14:paraId="69C100A2" w14:textId="77777777" w:rsidR="00CB6C86" w:rsidRPr="00395593" w:rsidRDefault="00CB6C86" w:rsidP="00ED7102">
      <w:pPr>
        <w:widowControl w:val="0"/>
        <w:autoSpaceDE w:val="0"/>
        <w:autoSpaceDN w:val="0"/>
        <w:spacing w:before="1" w:after="0" w:line="240" w:lineRule="auto"/>
        <w:jc w:val="both"/>
        <w:rPr>
          <w:rFonts w:ascii="Garamond" w:eastAsia="Times New Roman" w:hAnsi="Garamond" w:cs="Times New Roman"/>
          <w:sz w:val="24"/>
          <w:szCs w:val="24"/>
        </w:rPr>
      </w:pPr>
    </w:p>
    <w:p w14:paraId="2C4245B5" w14:textId="77777777" w:rsidR="00CB6C86" w:rsidRPr="00395593" w:rsidRDefault="00CB6C86" w:rsidP="002C4340">
      <w:pPr>
        <w:widowControl w:val="0"/>
        <w:numPr>
          <w:ilvl w:val="0"/>
          <w:numId w:val="60"/>
        </w:numPr>
        <w:tabs>
          <w:tab w:val="left" w:pos="810"/>
        </w:tabs>
        <w:autoSpaceDE w:val="0"/>
        <w:autoSpaceDN w:val="0"/>
        <w:spacing w:after="0" w:line="240" w:lineRule="auto"/>
        <w:ind w:right="116" w:firstLine="0"/>
        <w:jc w:val="both"/>
        <w:rPr>
          <w:rFonts w:ascii="Garamond" w:eastAsia="Times New Roman" w:hAnsi="Garamond" w:cs="Times New Roman"/>
          <w:sz w:val="24"/>
        </w:rPr>
      </w:pPr>
      <w:r w:rsidRPr="00395593">
        <w:rPr>
          <w:rFonts w:ascii="Garamond" w:eastAsia="Times New Roman" w:hAnsi="Garamond" w:cs="Times New Roman"/>
          <w:sz w:val="24"/>
        </w:rPr>
        <w:t>Para os litígios regidos pelo disposto neste Artigo, serão reduzidos â metade 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prazos aplicáveis em obediência ao disposto no ESC acerca dos procedimentos de tais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litígios,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 exceção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daqueles prazos especificamente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previstos neste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w:t>
      </w:r>
    </w:p>
    <w:p w14:paraId="0578F817"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6"/>
          <w:szCs w:val="24"/>
        </w:rPr>
      </w:pPr>
    </w:p>
    <w:p w14:paraId="0D8C0773" w14:textId="77777777" w:rsidR="00ED7102" w:rsidRPr="00395593" w:rsidRDefault="00CB6C86" w:rsidP="00E33E26">
      <w:pPr>
        <w:widowControl w:val="0"/>
        <w:autoSpaceDE w:val="0"/>
        <w:autoSpaceDN w:val="0"/>
        <w:spacing w:before="230" w:after="0" w:line="240" w:lineRule="auto"/>
        <w:ind w:right="146"/>
        <w:jc w:val="center"/>
        <w:rPr>
          <w:rFonts w:ascii="Garamond" w:eastAsia="Times New Roman" w:hAnsi="Garamond" w:cs="Times New Roman"/>
          <w:b/>
          <w:spacing w:val="-57"/>
          <w:sz w:val="24"/>
          <w:szCs w:val="24"/>
        </w:rPr>
      </w:pPr>
      <w:r w:rsidRPr="00395593">
        <w:rPr>
          <w:rFonts w:ascii="Garamond" w:eastAsia="Times New Roman" w:hAnsi="Garamond" w:cs="Times New Roman"/>
          <w:b/>
          <w:sz w:val="24"/>
          <w:szCs w:val="24"/>
        </w:rPr>
        <w:t>PARTE</w:t>
      </w:r>
      <w:r w:rsidRPr="00395593">
        <w:rPr>
          <w:rFonts w:ascii="Garamond" w:eastAsia="Times New Roman" w:hAnsi="Garamond" w:cs="Times New Roman"/>
          <w:b/>
          <w:spacing w:val="-3"/>
          <w:sz w:val="24"/>
          <w:szCs w:val="24"/>
        </w:rPr>
        <w:t xml:space="preserve"> </w:t>
      </w:r>
      <w:r w:rsidRPr="00395593">
        <w:rPr>
          <w:rFonts w:ascii="Garamond" w:eastAsia="Times New Roman" w:hAnsi="Garamond" w:cs="Times New Roman"/>
          <w:b/>
          <w:sz w:val="24"/>
          <w:szCs w:val="24"/>
        </w:rPr>
        <w:t>III</w:t>
      </w:r>
      <w:r w:rsidRPr="00395593">
        <w:rPr>
          <w:rFonts w:ascii="Garamond" w:eastAsia="Times New Roman" w:hAnsi="Garamond" w:cs="Times New Roman"/>
          <w:b/>
          <w:spacing w:val="-7"/>
          <w:sz w:val="24"/>
          <w:szCs w:val="24"/>
        </w:rPr>
        <w:t xml:space="preserve"> </w:t>
      </w:r>
      <w:r w:rsidRPr="00395593">
        <w:rPr>
          <w:rFonts w:ascii="Garamond" w:eastAsia="Times New Roman" w:hAnsi="Garamond" w:cs="Times New Roman"/>
          <w:b/>
          <w:sz w:val="24"/>
          <w:szCs w:val="24"/>
        </w:rPr>
        <w:t>:</w:t>
      </w:r>
      <w:r w:rsidRPr="00395593">
        <w:rPr>
          <w:rFonts w:ascii="Garamond" w:eastAsia="Times New Roman" w:hAnsi="Garamond" w:cs="Times New Roman"/>
          <w:b/>
          <w:spacing w:val="-3"/>
          <w:sz w:val="24"/>
          <w:szCs w:val="24"/>
        </w:rPr>
        <w:t xml:space="preserve"> </w:t>
      </w:r>
      <w:r w:rsidRPr="00395593">
        <w:rPr>
          <w:rFonts w:ascii="Garamond" w:eastAsia="Times New Roman" w:hAnsi="Garamond" w:cs="Times New Roman"/>
          <w:b/>
          <w:sz w:val="24"/>
          <w:szCs w:val="24"/>
        </w:rPr>
        <w:t>SUBSÍDIOS</w:t>
      </w:r>
      <w:r w:rsidRPr="00395593">
        <w:rPr>
          <w:rFonts w:ascii="Garamond" w:eastAsia="Times New Roman" w:hAnsi="Garamond" w:cs="Times New Roman"/>
          <w:b/>
          <w:spacing w:val="-3"/>
          <w:sz w:val="24"/>
          <w:szCs w:val="24"/>
        </w:rPr>
        <w:t xml:space="preserve"> </w:t>
      </w:r>
      <w:r w:rsidRPr="00395593">
        <w:rPr>
          <w:rFonts w:ascii="Garamond" w:eastAsia="Times New Roman" w:hAnsi="Garamond" w:cs="Times New Roman"/>
          <w:b/>
          <w:sz w:val="24"/>
          <w:szCs w:val="24"/>
        </w:rPr>
        <w:t>RECORRÍVEIS</w:t>
      </w:r>
      <w:r w:rsidRPr="00395593">
        <w:rPr>
          <w:rFonts w:ascii="Garamond" w:eastAsia="Times New Roman" w:hAnsi="Garamond" w:cs="Times New Roman"/>
          <w:b/>
          <w:spacing w:val="-57"/>
          <w:sz w:val="24"/>
          <w:szCs w:val="24"/>
        </w:rPr>
        <w:t xml:space="preserve"> </w:t>
      </w:r>
    </w:p>
    <w:p w14:paraId="2E77CE7D" w14:textId="5466F9DA" w:rsidR="00CB6C86" w:rsidRPr="00395593" w:rsidRDefault="00CB6C86" w:rsidP="00E33E26">
      <w:pPr>
        <w:widowControl w:val="0"/>
        <w:autoSpaceDE w:val="0"/>
        <w:autoSpaceDN w:val="0"/>
        <w:spacing w:before="230"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5</w:t>
      </w:r>
    </w:p>
    <w:p w14:paraId="453950B9" w14:textId="77777777" w:rsidR="00CB6C86" w:rsidRPr="00395593" w:rsidRDefault="00CB6C86" w:rsidP="00E33E26">
      <w:pPr>
        <w:widowControl w:val="0"/>
        <w:autoSpaceDE w:val="0"/>
        <w:autoSpaceDN w:val="0"/>
        <w:spacing w:before="230"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Efeitos</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Danosos</w:t>
      </w:r>
    </w:p>
    <w:p w14:paraId="42DAB5B4" w14:textId="77777777" w:rsidR="00CB6C86" w:rsidRPr="00395593" w:rsidRDefault="00CB6C86" w:rsidP="00BF7B8D">
      <w:pPr>
        <w:widowControl w:val="0"/>
        <w:autoSpaceDE w:val="0"/>
        <w:autoSpaceDN w:val="0"/>
        <w:spacing w:after="0" w:line="240" w:lineRule="auto"/>
        <w:jc w:val="center"/>
        <w:rPr>
          <w:rFonts w:ascii="Garamond" w:eastAsia="Times New Roman" w:hAnsi="Garamond" w:cs="Times New Roman"/>
          <w:sz w:val="24"/>
          <w:szCs w:val="24"/>
        </w:rPr>
      </w:pPr>
    </w:p>
    <w:p w14:paraId="5B7994D4" w14:textId="77777777" w:rsidR="00CB6C86" w:rsidRPr="00395593" w:rsidRDefault="00CB6C86" w:rsidP="00ED7102">
      <w:pPr>
        <w:widowControl w:val="0"/>
        <w:autoSpaceDE w:val="0"/>
        <w:autoSpaceDN w:val="0"/>
        <w:spacing w:before="1" w:after="0" w:line="240" w:lineRule="auto"/>
        <w:ind w:right="122"/>
        <w:jc w:val="both"/>
        <w:rPr>
          <w:rFonts w:ascii="Garamond" w:eastAsia="Times New Roman" w:hAnsi="Garamond" w:cs="Times New Roman"/>
          <w:sz w:val="24"/>
          <w:szCs w:val="24"/>
        </w:rPr>
      </w:pPr>
      <w:r w:rsidRPr="00395593">
        <w:rPr>
          <w:rFonts w:ascii="Garamond" w:eastAsia="Times New Roman" w:hAnsi="Garamond" w:cs="Times New Roman"/>
          <w:sz w:val="24"/>
          <w:szCs w:val="24"/>
        </w:rPr>
        <w:t>Nenhum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Membro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deverá</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causar,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por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meio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aplicação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qualquer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subsídio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mencionado nos parágrafos 1 e 2 do Artigo 1, efeitos danosos aos interesses de outros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Membros, isto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é:</w:t>
      </w:r>
    </w:p>
    <w:p w14:paraId="624F6C12"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1BF1CD53" w14:textId="77777777" w:rsidR="00CB6C86" w:rsidRPr="00395593" w:rsidRDefault="00CB6C86" w:rsidP="002C4340">
      <w:pPr>
        <w:widowControl w:val="0"/>
        <w:numPr>
          <w:ilvl w:val="1"/>
          <w:numId w:val="60"/>
        </w:numPr>
        <w:tabs>
          <w:tab w:val="left" w:pos="1147"/>
        </w:tabs>
        <w:autoSpaceDE w:val="0"/>
        <w:autoSpaceDN w:val="0"/>
        <w:spacing w:after="0" w:line="240" w:lineRule="auto"/>
        <w:ind w:hanging="326"/>
        <w:jc w:val="both"/>
        <w:rPr>
          <w:rFonts w:ascii="Garamond" w:eastAsia="Times New Roman" w:hAnsi="Garamond" w:cs="Times New Roman"/>
          <w:sz w:val="24"/>
        </w:rPr>
      </w:pPr>
      <w:r w:rsidRPr="00395593">
        <w:rPr>
          <w:rFonts w:ascii="Garamond" w:eastAsia="Times New Roman" w:hAnsi="Garamond" w:cs="Times New Roman"/>
          <w:sz w:val="24"/>
        </w:rPr>
        <w:t>dano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indústria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nacional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outro 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11</w:t>
      </w:r>
      <w:r w:rsidRPr="00395593">
        <w:rPr>
          <w:rFonts w:ascii="Garamond" w:eastAsia="Times New Roman" w:hAnsi="Garamond" w:cs="Times New Roman"/>
          <w:sz w:val="24"/>
        </w:rPr>
        <w:t>;</w:t>
      </w:r>
    </w:p>
    <w:p w14:paraId="265EBA60"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1B20CAD2" w14:textId="77777777" w:rsidR="00CB6C86" w:rsidRPr="00395593" w:rsidRDefault="00CB6C86" w:rsidP="002C4340">
      <w:pPr>
        <w:widowControl w:val="0"/>
        <w:numPr>
          <w:ilvl w:val="1"/>
          <w:numId w:val="60"/>
        </w:numPr>
        <w:tabs>
          <w:tab w:val="left" w:pos="1189"/>
        </w:tabs>
        <w:autoSpaceDE w:val="0"/>
        <w:autoSpaceDN w:val="0"/>
        <w:spacing w:after="0" w:line="240" w:lineRule="auto"/>
        <w:ind w:left="1181" w:right="117" w:hanging="360"/>
        <w:jc w:val="both"/>
        <w:rPr>
          <w:rFonts w:ascii="Garamond" w:eastAsia="Times New Roman" w:hAnsi="Garamond" w:cs="Times New Roman"/>
          <w:sz w:val="24"/>
        </w:rPr>
      </w:pPr>
      <w:r w:rsidRPr="00395593">
        <w:rPr>
          <w:rFonts w:ascii="Garamond" w:eastAsia="Times New Roman" w:hAnsi="Garamond" w:cs="Times New Roman"/>
          <w:sz w:val="24"/>
        </w:rPr>
        <w:t>anulação ou prejuízo de vantagens resultantes para outros Membros, direta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indiretamente,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GATT</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1994,</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especial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vantagens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concessões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consolidadas sob o Artigo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II</w:t>
      </w:r>
      <w:r w:rsidRPr="00395593">
        <w:rPr>
          <w:rFonts w:ascii="Garamond" w:eastAsia="Times New Roman" w:hAnsi="Garamond" w:cs="Times New Roman"/>
          <w:spacing w:val="-4"/>
          <w:sz w:val="24"/>
        </w:rPr>
        <w:t xml:space="preserve"> </w:t>
      </w:r>
      <w:r w:rsidRPr="00395593">
        <w:rPr>
          <w:rFonts w:ascii="Garamond" w:eastAsia="Times New Roman" w:hAnsi="Garamond" w:cs="Times New Roman"/>
          <w:sz w:val="24"/>
        </w:rPr>
        <w:t>do GATT 1994</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12</w:t>
      </w:r>
      <w:r w:rsidRPr="00395593">
        <w:rPr>
          <w:rFonts w:ascii="Garamond" w:eastAsia="Times New Roman" w:hAnsi="Garamond" w:cs="Times New Roman"/>
          <w:sz w:val="24"/>
        </w:rPr>
        <w:t>;</w:t>
      </w:r>
    </w:p>
    <w:p w14:paraId="54119AE0"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426F733E" w14:textId="77777777" w:rsidR="00CB6C86" w:rsidRPr="00395593" w:rsidRDefault="00CB6C86" w:rsidP="002C4340">
      <w:pPr>
        <w:widowControl w:val="0"/>
        <w:numPr>
          <w:ilvl w:val="1"/>
          <w:numId w:val="60"/>
        </w:numPr>
        <w:tabs>
          <w:tab w:val="left" w:pos="1149"/>
        </w:tabs>
        <w:autoSpaceDE w:val="0"/>
        <w:autoSpaceDN w:val="0"/>
        <w:spacing w:after="0" w:line="240" w:lineRule="auto"/>
        <w:ind w:left="1148" w:hanging="328"/>
        <w:jc w:val="both"/>
        <w:rPr>
          <w:rFonts w:ascii="Garamond" w:eastAsia="Times New Roman" w:hAnsi="Garamond" w:cs="Times New Roman"/>
          <w:sz w:val="24"/>
        </w:rPr>
      </w:pPr>
      <w:r w:rsidRPr="00395593">
        <w:rPr>
          <w:rFonts w:ascii="Garamond" w:eastAsia="Times New Roman" w:hAnsi="Garamond" w:cs="Times New Roman"/>
          <w:sz w:val="24"/>
        </w:rPr>
        <w:t>grave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dano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interesses de</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outro 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13</w:t>
      </w:r>
      <w:r w:rsidRPr="00395593">
        <w:rPr>
          <w:rFonts w:ascii="Garamond" w:eastAsia="Times New Roman" w:hAnsi="Garamond" w:cs="Times New Roman"/>
          <w:sz w:val="24"/>
        </w:rPr>
        <w:t>.</w:t>
      </w:r>
    </w:p>
    <w:p w14:paraId="48A4F2A1" w14:textId="4A597C9B"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660E21A5" w14:textId="0470771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69955D3C" w14:textId="6B49C76C"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08747977" w14:textId="4DFEB427"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3F521F86" w14:textId="21D687DB"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3E26A517" w14:textId="46AD94AF"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09927545" w14:textId="627F94CF" w:rsidR="00D65665" w:rsidRPr="005C5CBD" w:rsidRDefault="00D65665" w:rsidP="00E33E26">
      <w:pPr>
        <w:widowControl w:val="0"/>
        <w:autoSpaceDE w:val="0"/>
        <w:autoSpaceDN w:val="0"/>
        <w:spacing w:after="0" w:line="240" w:lineRule="auto"/>
        <w:rPr>
          <w:rFonts w:ascii="Garamond" w:eastAsia="Times New Roman" w:hAnsi="Garamond" w:cs="Times New Roman"/>
          <w:sz w:val="20"/>
          <w:szCs w:val="24"/>
        </w:rPr>
      </w:pPr>
    </w:p>
    <w:p w14:paraId="7AFCF3E9" w14:textId="68763FDE" w:rsidR="00CB6C86" w:rsidRPr="00395593" w:rsidRDefault="00CB6C86" w:rsidP="00CB6C86">
      <w:pPr>
        <w:widowControl w:val="0"/>
        <w:autoSpaceDE w:val="0"/>
        <w:autoSpaceDN w:val="0"/>
        <w:spacing w:before="11" w:after="0" w:line="240" w:lineRule="auto"/>
        <w:rPr>
          <w:rFonts w:ascii="Garamond" w:eastAsia="Times New Roman" w:hAnsi="Garamond" w:cs="Times New Roman"/>
          <w:sz w:val="10"/>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59" behindDoc="1" locked="0" layoutInCell="1" allowOverlap="1" wp14:anchorId="3DCA8DF3" wp14:editId="254523AC">
                <wp:simplePos x="0" y="0"/>
                <wp:positionH relativeFrom="page">
                  <wp:posOffset>1080770</wp:posOffset>
                </wp:positionH>
                <wp:positionV relativeFrom="paragraph">
                  <wp:posOffset>95250</wp:posOffset>
                </wp:positionV>
                <wp:extent cx="1828800" cy="7620"/>
                <wp:effectExtent l="4445" t="635" r="0" b="1270"/>
                <wp:wrapTopAndBottom/>
                <wp:docPr id="434" name="Retângulo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22EF4" id="Retângulo 434" o:spid="_x0000_s1026" style="position:absolute;margin-left:85.1pt;margin-top:7.5pt;width:2in;height:.6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" fillcolor="black" stroked="f">
                <w10:wrap type="topAndBottom" anchorx="page"/>
              </v:rect>
            </w:pict>
          </mc:Fallback>
        </mc:AlternateContent>
      </w:r>
    </w:p>
    <w:p w14:paraId="55262149" w14:textId="77777777" w:rsidR="00CB6C86" w:rsidRPr="00395593" w:rsidRDefault="00CB6C86" w:rsidP="00CB6C86">
      <w:pPr>
        <w:widowControl w:val="0"/>
        <w:autoSpaceDE w:val="0"/>
        <w:autoSpaceDN w:val="0"/>
        <w:spacing w:before="104" w:after="0" w:line="240" w:lineRule="auto"/>
        <w:rPr>
          <w:rFonts w:ascii="Garamond" w:eastAsia="Times New Roman" w:hAnsi="Garamond" w:cs="Times New Roman"/>
          <w:sz w:val="20"/>
        </w:rPr>
      </w:pPr>
      <w:r w:rsidRPr="00395593">
        <w:rPr>
          <w:rFonts w:ascii="Garamond" w:eastAsia="Times New Roman" w:hAnsi="Garamond" w:cs="Times New Roman"/>
          <w:sz w:val="20"/>
          <w:vertAlign w:val="superscript"/>
        </w:rPr>
        <w:t>8</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Na</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hipótese</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não</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estar</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prevista</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reunião</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regular</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do</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OSC</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nesse</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período,</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deverá</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realizar-se</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reunião</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expressamente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para esse fim.</w:t>
      </w:r>
    </w:p>
    <w:p w14:paraId="32D7E03C"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0"/>
        </w:rPr>
      </w:pPr>
      <w:r w:rsidRPr="00395593">
        <w:rPr>
          <w:rFonts w:ascii="Garamond" w:eastAsia="Times New Roman" w:hAnsi="Garamond" w:cs="Times New Roman"/>
          <w:sz w:val="20"/>
          <w:vertAlign w:val="superscript"/>
        </w:rPr>
        <w:t>9</w:t>
      </w:r>
      <w:r w:rsidRPr="00395593">
        <w:rPr>
          <w:rFonts w:ascii="Garamond" w:eastAsia="Times New Roman" w:hAnsi="Garamond" w:cs="Times New Roman"/>
          <w:spacing w:val="34"/>
          <w:sz w:val="20"/>
        </w:rPr>
        <w:t xml:space="preserve"> </w:t>
      </w:r>
      <w:r w:rsidRPr="00395593">
        <w:rPr>
          <w:rFonts w:ascii="Garamond" w:eastAsia="Times New Roman" w:hAnsi="Garamond" w:cs="Times New Roman"/>
          <w:sz w:val="20"/>
        </w:rPr>
        <w:t>Essa</w:t>
      </w:r>
      <w:r w:rsidRPr="00395593">
        <w:rPr>
          <w:rFonts w:ascii="Garamond" w:eastAsia="Times New Roman" w:hAnsi="Garamond" w:cs="Times New Roman"/>
          <w:spacing w:val="36"/>
          <w:sz w:val="20"/>
        </w:rPr>
        <w:t xml:space="preserve"> </w:t>
      </w:r>
      <w:r w:rsidRPr="00395593">
        <w:rPr>
          <w:rFonts w:ascii="Garamond" w:eastAsia="Times New Roman" w:hAnsi="Garamond" w:cs="Times New Roman"/>
          <w:sz w:val="20"/>
        </w:rPr>
        <w:t>expressão</w:t>
      </w:r>
      <w:r w:rsidRPr="00395593">
        <w:rPr>
          <w:rFonts w:ascii="Garamond" w:eastAsia="Times New Roman" w:hAnsi="Garamond" w:cs="Times New Roman"/>
          <w:spacing w:val="36"/>
          <w:sz w:val="20"/>
        </w:rPr>
        <w:t xml:space="preserve"> </w:t>
      </w:r>
      <w:r w:rsidRPr="00395593">
        <w:rPr>
          <w:rFonts w:ascii="Garamond" w:eastAsia="Times New Roman" w:hAnsi="Garamond" w:cs="Times New Roman"/>
          <w:sz w:val="20"/>
        </w:rPr>
        <w:t>não</w:t>
      </w:r>
      <w:r w:rsidRPr="00395593">
        <w:rPr>
          <w:rFonts w:ascii="Garamond" w:eastAsia="Times New Roman" w:hAnsi="Garamond" w:cs="Times New Roman"/>
          <w:spacing w:val="38"/>
          <w:sz w:val="20"/>
        </w:rPr>
        <w:t xml:space="preserve"> </w:t>
      </w:r>
      <w:r w:rsidRPr="00395593">
        <w:rPr>
          <w:rFonts w:ascii="Garamond" w:eastAsia="Times New Roman" w:hAnsi="Garamond" w:cs="Times New Roman"/>
          <w:sz w:val="20"/>
        </w:rPr>
        <w:t>se</w:t>
      </w:r>
      <w:r w:rsidRPr="00395593">
        <w:rPr>
          <w:rFonts w:ascii="Garamond" w:eastAsia="Times New Roman" w:hAnsi="Garamond" w:cs="Times New Roman"/>
          <w:spacing w:val="34"/>
          <w:sz w:val="20"/>
        </w:rPr>
        <w:t xml:space="preserve"> </w:t>
      </w:r>
      <w:r w:rsidRPr="00395593">
        <w:rPr>
          <w:rFonts w:ascii="Garamond" w:eastAsia="Times New Roman" w:hAnsi="Garamond" w:cs="Times New Roman"/>
          <w:sz w:val="20"/>
        </w:rPr>
        <w:t>destina</w:t>
      </w:r>
      <w:r w:rsidRPr="00395593">
        <w:rPr>
          <w:rFonts w:ascii="Garamond" w:eastAsia="Times New Roman" w:hAnsi="Garamond" w:cs="Times New Roman"/>
          <w:spacing w:val="35"/>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36"/>
          <w:sz w:val="20"/>
        </w:rPr>
        <w:t xml:space="preserve"> </w:t>
      </w:r>
      <w:r w:rsidRPr="00395593">
        <w:rPr>
          <w:rFonts w:ascii="Garamond" w:eastAsia="Times New Roman" w:hAnsi="Garamond" w:cs="Times New Roman"/>
          <w:sz w:val="20"/>
        </w:rPr>
        <w:t>autorizar</w:t>
      </w:r>
      <w:r w:rsidRPr="00395593">
        <w:rPr>
          <w:rFonts w:ascii="Garamond" w:eastAsia="Times New Roman" w:hAnsi="Garamond" w:cs="Times New Roman"/>
          <w:spacing w:val="36"/>
          <w:sz w:val="20"/>
        </w:rPr>
        <w:t xml:space="preserve"> </w:t>
      </w:r>
      <w:r w:rsidRPr="00395593">
        <w:rPr>
          <w:rFonts w:ascii="Garamond" w:eastAsia="Times New Roman" w:hAnsi="Garamond" w:cs="Times New Roman"/>
          <w:sz w:val="20"/>
        </w:rPr>
        <w:t>contramedidas</w:t>
      </w:r>
      <w:r w:rsidRPr="00395593">
        <w:rPr>
          <w:rFonts w:ascii="Garamond" w:eastAsia="Times New Roman" w:hAnsi="Garamond" w:cs="Times New Roman"/>
          <w:spacing w:val="33"/>
          <w:sz w:val="20"/>
        </w:rPr>
        <w:t xml:space="preserve"> </w:t>
      </w:r>
      <w:r w:rsidRPr="00395593">
        <w:rPr>
          <w:rFonts w:ascii="Garamond" w:eastAsia="Times New Roman" w:hAnsi="Garamond" w:cs="Times New Roman"/>
          <w:sz w:val="20"/>
        </w:rPr>
        <w:t>desproporcionais</w:t>
      </w:r>
      <w:r w:rsidRPr="00395593">
        <w:rPr>
          <w:rFonts w:ascii="Garamond" w:eastAsia="Times New Roman" w:hAnsi="Garamond" w:cs="Times New Roman"/>
          <w:spacing w:val="33"/>
          <w:sz w:val="20"/>
        </w:rPr>
        <w:t xml:space="preserve"> </w:t>
      </w:r>
      <w:r w:rsidRPr="00395593">
        <w:rPr>
          <w:rFonts w:ascii="Garamond" w:eastAsia="Times New Roman" w:hAnsi="Garamond" w:cs="Times New Roman"/>
          <w:sz w:val="20"/>
        </w:rPr>
        <w:t>com</w:t>
      </w:r>
      <w:r w:rsidRPr="00395593">
        <w:rPr>
          <w:rFonts w:ascii="Garamond" w:eastAsia="Times New Roman" w:hAnsi="Garamond" w:cs="Times New Roman"/>
          <w:spacing w:val="31"/>
          <w:sz w:val="20"/>
        </w:rPr>
        <w:t xml:space="preserve"> </w:t>
      </w:r>
      <w:r w:rsidRPr="00395593">
        <w:rPr>
          <w:rFonts w:ascii="Garamond" w:eastAsia="Times New Roman" w:hAnsi="Garamond" w:cs="Times New Roman"/>
          <w:sz w:val="20"/>
        </w:rPr>
        <w:t>base</w:t>
      </w:r>
      <w:r w:rsidRPr="00395593">
        <w:rPr>
          <w:rFonts w:ascii="Garamond" w:eastAsia="Times New Roman" w:hAnsi="Garamond" w:cs="Times New Roman"/>
          <w:spacing w:val="36"/>
          <w:sz w:val="20"/>
        </w:rPr>
        <w:t xml:space="preserve"> </w:t>
      </w:r>
      <w:r w:rsidRPr="00395593">
        <w:rPr>
          <w:rFonts w:ascii="Garamond" w:eastAsia="Times New Roman" w:hAnsi="Garamond" w:cs="Times New Roman"/>
          <w:sz w:val="20"/>
        </w:rPr>
        <w:t>no</w:t>
      </w:r>
      <w:r w:rsidRPr="00395593">
        <w:rPr>
          <w:rFonts w:ascii="Garamond" w:eastAsia="Times New Roman" w:hAnsi="Garamond" w:cs="Times New Roman"/>
          <w:spacing w:val="38"/>
          <w:sz w:val="20"/>
        </w:rPr>
        <w:t xml:space="preserve"> </w:t>
      </w:r>
      <w:r w:rsidRPr="00395593">
        <w:rPr>
          <w:rFonts w:ascii="Garamond" w:eastAsia="Times New Roman" w:hAnsi="Garamond" w:cs="Times New Roman"/>
          <w:sz w:val="20"/>
        </w:rPr>
        <w:t>fato</w:t>
      </w:r>
      <w:r w:rsidRPr="00395593">
        <w:rPr>
          <w:rFonts w:ascii="Garamond" w:eastAsia="Times New Roman" w:hAnsi="Garamond" w:cs="Times New Roman"/>
          <w:spacing w:val="35"/>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34"/>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35"/>
          <w:sz w:val="20"/>
        </w:rPr>
        <w:t xml:space="preserve"> </w:t>
      </w:r>
      <w:r w:rsidRPr="00395593">
        <w:rPr>
          <w:rFonts w:ascii="Garamond" w:eastAsia="Times New Roman" w:hAnsi="Garamond" w:cs="Times New Roman"/>
          <w:sz w:val="20"/>
        </w:rPr>
        <w:t>os</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subsídios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de que tratam</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essas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disposições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são proibidos.</w:t>
      </w:r>
    </w:p>
    <w:p w14:paraId="1EC23B29"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0"/>
        </w:rPr>
      </w:pPr>
      <w:r w:rsidRPr="00395593">
        <w:rPr>
          <w:rFonts w:ascii="Garamond" w:eastAsia="Times New Roman" w:hAnsi="Garamond" w:cs="Times New Roman"/>
          <w:sz w:val="20"/>
          <w:vertAlign w:val="superscript"/>
        </w:rPr>
        <w:t>10</w:t>
      </w:r>
      <w:r w:rsidRPr="00395593">
        <w:rPr>
          <w:rFonts w:ascii="Garamond" w:eastAsia="Times New Roman" w:hAnsi="Garamond" w:cs="Times New Roman"/>
          <w:spacing w:val="32"/>
          <w:sz w:val="20"/>
        </w:rPr>
        <w:t xml:space="preserve"> </w:t>
      </w:r>
      <w:r w:rsidRPr="00395593">
        <w:rPr>
          <w:rFonts w:ascii="Garamond" w:eastAsia="Times New Roman" w:hAnsi="Garamond" w:cs="Times New Roman"/>
          <w:sz w:val="20"/>
        </w:rPr>
        <w:t>Essa</w:t>
      </w:r>
      <w:r w:rsidRPr="00395593">
        <w:rPr>
          <w:rFonts w:ascii="Garamond" w:eastAsia="Times New Roman" w:hAnsi="Garamond" w:cs="Times New Roman"/>
          <w:spacing w:val="32"/>
          <w:sz w:val="20"/>
        </w:rPr>
        <w:t xml:space="preserve"> </w:t>
      </w:r>
      <w:r w:rsidRPr="00395593">
        <w:rPr>
          <w:rFonts w:ascii="Garamond" w:eastAsia="Times New Roman" w:hAnsi="Garamond" w:cs="Times New Roman"/>
          <w:sz w:val="20"/>
        </w:rPr>
        <w:t>expressão</w:t>
      </w:r>
      <w:r w:rsidRPr="00395593">
        <w:rPr>
          <w:rFonts w:ascii="Garamond" w:eastAsia="Times New Roman" w:hAnsi="Garamond" w:cs="Times New Roman"/>
          <w:spacing w:val="33"/>
          <w:sz w:val="20"/>
        </w:rPr>
        <w:t xml:space="preserve"> </w:t>
      </w:r>
      <w:r w:rsidRPr="00395593">
        <w:rPr>
          <w:rFonts w:ascii="Garamond" w:eastAsia="Times New Roman" w:hAnsi="Garamond" w:cs="Times New Roman"/>
          <w:sz w:val="20"/>
        </w:rPr>
        <w:t>não</w:t>
      </w:r>
      <w:r w:rsidRPr="00395593">
        <w:rPr>
          <w:rFonts w:ascii="Garamond" w:eastAsia="Times New Roman" w:hAnsi="Garamond" w:cs="Times New Roman"/>
          <w:spacing w:val="33"/>
          <w:sz w:val="20"/>
        </w:rPr>
        <w:t xml:space="preserve"> </w:t>
      </w:r>
      <w:r w:rsidRPr="00395593">
        <w:rPr>
          <w:rFonts w:ascii="Garamond" w:eastAsia="Times New Roman" w:hAnsi="Garamond" w:cs="Times New Roman"/>
          <w:sz w:val="20"/>
        </w:rPr>
        <w:t>se</w:t>
      </w:r>
      <w:r w:rsidRPr="00395593">
        <w:rPr>
          <w:rFonts w:ascii="Garamond" w:eastAsia="Times New Roman" w:hAnsi="Garamond" w:cs="Times New Roman"/>
          <w:spacing w:val="32"/>
          <w:sz w:val="20"/>
        </w:rPr>
        <w:t xml:space="preserve"> </w:t>
      </w:r>
      <w:r w:rsidRPr="00395593">
        <w:rPr>
          <w:rFonts w:ascii="Garamond" w:eastAsia="Times New Roman" w:hAnsi="Garamond" w:cs="Times New Roman"/>
          <w:sz w:val="20"/>
        </w:rPr>
        <w:t>destina</w:t>
      </w:r>
      <w:r w:rsidRPr="00395593">
        <w:rPr>
          <w:rFonts w:ascii="Garamond" w:eastAsia="Times New Roman" w:hAnsi="Garamond" w:cs="Times New Roman"/>
          <w:spacing w:val="32"/>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32"/>
          <w:sz w:val="20"/>
        </w:rPr>
        <w:t xml:space="preserve"> </w:t>
      </w:r>
      <w:r w:rsidRPr="00395593">
        <w:rPr>
          <w:rFonts w:ascii="Garamond" w:eastAsia="Times New Roman" w:hAnsi="Garamond" w:cs="Times New Roman"/>
          <w:sz w:val="20"/>
        </w:rPr>
        <w:t>autorizar</w:t>
      </w:r>
      <w:r w:rsidRPr="00395593">
        <w:rPr>
          <w:rFonts w:ascii="Garamond" w:eastAsia="Times New Roman" w:hAnsi="Garamond" w:cs="Times New Roman"/>
          <w:spacing w:val="33"/>
          <w:sz w:val="20"/>
        </w:rPr>
        <w:t xml:space="preserve"> </w:t>
      </w:r>
      <w:r w:rsidRPr="00395593">
        <w:rPr>
          <w:rFonts w:ascii="Garamond" w:eastAsia="Times New Roman" w:hAnsi="Garamond" w:cs="Times New Roman"/>
          <w:sz w:val="20"/>
        </w:rPr>
        <w:t>contramedidas</w:t>
      </w:r>
      <w:r w:rsidRPr="00395593">
        <w:rPr>
          <w:rFonts w:ascii="Garamond" w:eastAsia="Times New Roman" w:hAnsi="Garamond" w:cs="Times New Roman"/>
          <w:spacing w:val="31"/>
          <w:sz w:val="20"/>
        </w:rPr>
        <w:t xml:space="preserve"> </w:t>
      </w:r>
      <w:r w:rsidRPr="00395593">
        <w:rPr>
          <w:rFonts w:ascii="Garamond" w:eastAsia="Times New Roman" w:hAnsi="Garamond" w:cs="Times New Roman"/>
          <w:sz w:val="20"/>
        </w:rPr>
        <w:t>desproporcionais</w:t>
      </w:r>
      <w:r w:rsidRPr="00395593">
        <w:rPr>
          <w:rFonts w:ascii="Garamond" w:eastAsia="Times New Roman" w:hAnsi="Garamond" w:cs="Times New Roman"/>
          <w:spacing w:val="31"/>
          <w:sz w:val="20"/>
        </w:rPr>
        <w:t xml:space="preserve"> </w:t>
      </w:r>
      <w:r w:rsidRPr="00395593">
        <w:rPr>
          <w:rFonts w:ascii="Garamond" w:eastAsia="Times New Roman" w:hAnsi="Garamond" w:cs="Times New Roman"/>
          <w:sz w:val="20"/>
        </w:rPr>
        <w:t>com</w:t>
      </w:r>
      <w:r w:rsidRPr="00395593">
        <w:rPr>
          <w:rFonts w:ascii="Garamond" w:eastAsia="Times New Roman" w:hAnsi="Garamond" w:cs="Times New Roman"/>
          <w:spacing w:val="28"/>
          <w:sz w:val="20"/>
        </w:rPr>
        <w:t xml:space="preserve"> </w:t>
      </w:r>
      <w:r w:rsidRPr="00395593">
        <w:rPr>
          <w:rFonts w:ascii="Garamond" w:eastAsia="Times New Roman" w:hAnsi="Garamond" w:cs="Times New Roman"/>
          <w:sz w:val="20"/>
        </w:rPr>
        <w:t>base</w:t>
      </w:r>
      <w:r w:rsidRPr="00395593">
        <w:rPr>
          <w:rFonts w:ascii="Garamond" w:eastAsia="Times New Roman" w:hAnsi="Garamond" w:cs="Times New Roman"/>
          <w:spacing w:val="31"/>
          <w:sz w:val="20"/>
        </w:rPr>
        <w:t xml:space="preserve"> </w:t>
      </w:r>
      <w:r w:rsidRPr="00395593">
        <w:rPr>
          <w:rFonts w:ascii="Garamond" w:eastAsia="Times New Roman" w:hAnsi="Garamond" w:cs="Times New Roman"/>
          <w:sz w:val="20"/>
        </w:rPr>
        <w:t>no</w:t>
      </w:r>
      <w:r w:rsidRPr="00395593">
        <w:rPr>
          <w:rFonts w:ascii="Garamond" w:eastAsia="Times New Roman" w:hAnsi="Garamond" w:cs="Times New Roman"/>
          <w:spacing w:val="32"/>
          <w:sz w:val="20"/>
        </w:rPr>
        <w:t xml:space="preserve"> </w:t>
      </w:r>
      <w:r w:rsidRPr="00395593">
        <w:rPr>
          <w:rFonts w:ascii="Garamond" w:eastAsia="Times New Roman" w:hAnsi="Garamond" w:cs="Times New Roman"/>
          <w:sz w:val="20"/>
        </w:rPr>
        <w:t>fato</w:t>
      </w:r>
      <w:r w:rsidRPr="00395593">
        <w:rPr>
          <w:rFonts w:ascii="Garamond" w:eastAsia="Times New Roman" w:hAnsi="Garamond" w:cs="Times New Roman"/>
          <w:spacing w:val="33"/>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32"/>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32"/>
          <w:sz w:val="20"/>
        </w:rPr>
        <w:t xml:space="preserve"> </w:t>
      </w:r>
      <w:r w:rsidRPr="00395593">
        <w:rPr>
          <w:rFonts w:ascii="Garamond" w:eastAsia="Times New Roman" w:hAnsi="Garamond" w:cs="Times New Roman"/>
          <w:sz w:val="20"/>
        </w:rPr>
        <w:t>os</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subsídios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de que tratam</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essas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disposições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são proibidos.</w:t>
      </w:r>
    </w:p>
    <w:p w14:paraId="1C6453D0" w14:textId="77777777" w:rsidR="00CB6C86" w:rsidRPr="00395593" w:rsidRDefault="00CB6C86" w:rsidP="00CB6C86">
      <w:pPr>
        <w:widowControl w:val="0"/>
        <w:autoSpaceDE w:val="0"/>
        <w:autoSpaceDN w:val="0"/>
        <w:spacing w:after="0" w:line="228" w:lineRule="exact"/>
        <w:rPr>
          <w:rFonts w:ascii="Garamond" w:eastAsia="Times New Roman" w:hAnsi="Garamond" w:cs="Times New Roman"/>
          <w:sz w:val="20"/>
        </w:rPr>
      </w:pPr>
      <w:r w:rsidRPr="00395593">
        <w:rPr>
          <w:rFonts w:ascii="Garamond" w:eastAsia="Times New Roman" w:hAnsi="Garamond" w:cs="Times New Roman"/>
          <w:sz w:val="20"/>
          <w:vertAlign w:val="superscript"/>
        </w:rPr>
        <w:t>11</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termo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“dano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à</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indústria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nacional”</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é</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aqui</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usado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mesmo sentido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em</w:t>
      </w:r>
      <w:r w:rsidRPr="00395593">
        <w:rPr>
          <w:rFonts w:ascii="Garamond" w:eastAsia="Times New Roman" w:hAnsi="Garamond" w:cs="Times New Roman"/>
          <w:spacing w:val="-6"/>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se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encontra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na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Parte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V.</w:t>
      </w:r>
    </w:p>
    <w:p w14:paraId="4FF003B7" w14:textId="77777777" w:rsidR="00CB6C86" w:rsidRPr="00395593" w:rsidRDefault="00CB6C86" w:rsidP="00CB6C86">
      <w:pPr>
        <w:widowControl w:val="0"/>
        <w:autoSpaceDE w:val="0"/>
        <w:autoSpaceDN w:val="0"/>
        <w:spacing w:after="0" w:line="240" w:lineRule="auto"/>
        <w:ind w:right="124"/>
        <w:jc w:val="both"/>
        <w:rPr>
          <w:rFonts w:ascii="Garamond" w:eastAsia="Times New Roman" w:hAnsi="Garamond" w:cs="Times New Roman"/>
          <w:sz w:val="20"/>
        </w:rPr>
      </w:pPr>
      <w:r w:rsidRPr="00395593">
        <w:rPr>
          <w:rFonts w:ascii="Garamond" w:eastAsia="Times New Roman" w:hAnsi="Garamond" w:cs="Times New Roman"/>
          <w:sz w:val="20"/>
          <w:vertAlign w:val="superscript"/>
        </w:rPr>
        <w:t>12</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termo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“anulação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prejuízo”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é</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usado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neste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Acordo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mesmo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sentido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em</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encontra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disposições pertinentes do GATT 1994 e a existência de tais anulação ou prejuízo será estabelecida de acordo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com</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a prática da aplicação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destas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disposições.</w:t>
      </w:r>
    </w:p>
    <w:p w14:paraId="3CE26BD4" w14:textId="77777777" w:rsidR="00D65665" w:rsidRDefault="00D65665">
      <w:pPr>
        <w:rPr>
          <w:rFonts w:ascii="Garamond" w:eastAsia="Times New Roman" w:hAnsi="Garamond" w:cs="Times New Roman"/>
          <w:sz w:val="24"/>
          <w:szCs w:val="24"/>
        </w:rPr>
      </w:pPr>
      <w:r>
        <w:rPr>
          <w:rFonts w:ascii="Garamond" w:eastAsia="Times New Roman" w:hAnsi="Garamond" w:cs="Times New Roman"/>
          <w:sz w:val="24"/>
          <w:szCs w:val="24"/>
        </w:rPr>
        <w:br w:type="page"/>
      </w:r>
    </w:p>
    <w:p w14:paraId="26ADDA1E" w14:textId="6C7AC4F2" w:rsidR="00CB6C86" w:rsidRPr="00395593" w:rsidRDefault="00CB6C86" w:rsidP="00CB6C86">
      <w:pPr>
        <w:widowControl w:val="0"/>
        <w:autoSpaceDE w:val="0"/>
        <w:autoSpaceDN w:val="0"/>
        <w:spacing w:before="184" w:after="0" w:line="240" w:lineRule="auto"/>
        <w:ind w:right="121"/>
        <w:rPr>
          <w:rFonts w:ascii="Garamond" w:eastAsia="Times New Roman" w:hAnsi="Garamond" w:cs="Times New Roman"/>
          <w:sz w:val="24"/>
          <w:szCs w:val="24"/>
        </w:rPr>
      </w:pPr>
      <w:r w:rsidRPr="00395593">
        <w:rPr>
          <w:rFonts w:ascii="Garamond" w:eastAsia="Times New Roman" w:hAnsi="Garamond" w:cs="Times New Roman"/>
          <w:sz w:val="24"/>
          <w:szCs w:val="24"/>
        </w:rPr>
        <w:t>Este</w:t>
      </w:r>
      <w:r w:rsidRPr="00395593">
        <w:rPr>
          <w:rFonts w:ascii="Garamond" w:eastAsia="Times New Roman" w:hAnsi="Garamond" w:cs="Times New Roman"/>
          <w:spacing w:val="6"/>
          <w:sz w:val="24"/>
          <w:szCs w:val="24"/>
        </w:rPr>
        <w:t xml:space="preserve"> </w:t>
      </w:r>
      <w:r w:rsidRPr="00395593">
        <w:rPr>
          <w:rFonts w:ascii="Garamond" w:eastAsia="Times New Roman" w:hAnsi="Garamond" w:cs="Times New Roman"/>
          <w:sz w:val="24"/>
          <w:szCs w:val="24"/>
        </w:rPr>
        <w:t>Artigo</w:t>
      </w:r>
      <w:r w:rsidRPr="00395593">
        <w:rPr>
          <w:rFonts w:ascii="Garamond" w:eastAsia="Times New Roman" w:hAnsi="Garamond" w:cs="Times New Roman"/>
          <w:spacing w:val="8"/>
          <w:sz w:val="24"/>
          <w:szCs w:val="24"/>
        </w:rPr>
        <w:t xml:space="preserve"> </w:t>
      </w:r>
      <w:r w:rsidRPr="00395593">
        <w:rPr>
          <w:rFonts w:ascii="Garamond" w:eastAsia="Times New Roman" w:hAnsi="Garamond" w:cs="Times New Roman"/>
          <w:sz w:val="24"/>
          <w:szCs w:val="24"/>
        </w:rPr>
        <w:t>não</w:t>
      </w:r>
      <w:r w:rsidRPr="00395593">
        <w:rPr>
          <w:rFonts w:ascii="Garamond" w:eastAsia="Times New Roman" w:hAnsi="Garamond" w:cs="Times New Roman"/>
          <w:spacing w:val="7"/>
          <w:sz w:val="24"/>
          <w:szCs w:val="24"/>
        </w:rPr>
        <w:t xml:space="preserve"> </w:t>
      </w:r>
      <w:r w:rsidRPr="00395593">
        <w:rPr>
          <w:rFonts w:ascii="Garamond" w:eastAsia="Times New Roman" w:hAnsi="Garamond" w:cs="Times New Roman"/>
          <w:sz w:val="24"/>
          <w:szCs w:val="24"/>
        </w:rPr>
        <w:t>se</w:t>
      </w:r>
      <w:r w:rsidRPr="00395593">
        <w:rPr>
          <w:rFonts w:ascii="Garamond" w:eastAsia="Times New Roman" w:hAnsi="Garamond" w:cs="Times New Roman"/>
          <w:spacing w:val="10"/>
          <w:sz w:val="24"/>
          <w:szCs w:val="24"/>
        </w:rPr>
        <w:t xml:space="preserve"> </w:t>
      </w:r>
      <w:r w:rsidRPr="00395593">
        <w:rPr>
          <w:rFonts w:ascii="Garamond" w:eastAsia="Times New Roman" w:hAnsi="Garamond" w:cs="Times New Roman"/>
          <w:sz w:val="24"/>
          <w:szCs w:val="24"/>
        </w:rPr>
        <w:t>aplica</w:t>
      </w:r>
      <w:r w:rsidRPr="00395593">
        <w:rPr>
          <w:rFonts w:ascii="Garamond" w:eastAsia="Times New Roman" w:hAnsi="Garamond" w:cs="Times New Roman"/>
          <w:spacing w:val="8"/>
          <w:sz w:val="24"/>
          <w:szCs w:val="24"/>
        </w:rPr>
        <w:t xml:space="preserve"> </w:t>
      </w:r>
      <w:r w:rsidRPr="00395593">
        <w:rPr>
          <w:rFonts w:ascii="Garamond" w:eastAsia="Times New Roman" w:hAnsi="Garamond" w:cs="Times New Roman"/>
          <w:sz w:val="24"/>
          <w:szCs w:val="24"/>
        </w:rPr>
        <w:t>aos</w:t>
      </w:r>
      <w:r w:rsidRPr="00395593">
        <w:rPr>
          <w:rFonts w:ascii="Garamond" w:eastAsia="Times New Roman" w:hAnsi="Garamond" w:cs="Times New Roman"/>
          <w:spacing w:val="8"/>
          <w:sz w:val="24"/>
          <w:szCs w:val="24"/>
        </w:rPr>
        <w:t xml:space="preserve"> </w:t>
      </w:r>
      <w:r w:rsidRPr="00395593">
        <w:rPr>
          <w:rFonts w:ascii="Garamond" w:eastAsia="Times New Roman" w:hAnsi="Garamond" w:cs="Times New Roman"/>
          <w:sz w:val="24"/>
          <w:szCs w:val="24"/>
        </w:rPr>
        <w:t>subsídios</w:t>
      </w:r>
      <w:r w:rsidRPr="00395593">
        <w:rPr>
          <w:rFonts w:ascii="Garamond" w:eastAsia="Times New Roman" w:hAnsi="Garamond" w:cs="Times New Roman"/>
          <w:spacing w:val="8"/>
          <w:sz w:val="24"/>
          <w:szCs w:val="24"/>
        </w:rPr>
        <w:t xml:space="preserve"> </w:t>
      </w:r>
      <w:r w:rsidRPr="00395593">
        <w:rPr>
          <w:rFonts w:ascii="Garamond" w:eastAsia="Times New Roman" w:hAnsi="Garamond" w:cs="Times New Roman"/>
          <w:sz w:val="24"/>
          <w:szCs w:val="24"/>
        </w:rPr>
        <w:t>mantidos</w:t>
      </w:r>
      <w:r w:rsidRPr="00395593">
        <w:rPr>
          <w:rFonts w:ascii="Garamond" w:eastAsia="Times New Roman" w:hAnsi="Garamond" w:cs="Times New Roman"/>
          <w:spacing w:val="6"/>
          <w:sz w:val="24"/>
          <w:szCs w:val="24"/>
        </w:rPr>
        <w:t xml:space="preserve"> </w:t>
      </w:r>
      <w:r w:rsidRPr="00395593">
        <w:rPr>
          <w:rFonts w:ascii="Garamond" w:eastAsia="Times New Roman" w:hAnsi="Garamond" w:cs="Times New Roman"/>
          <w:sz w:val="24"/>
          <w:szCs w:val="24"/>
        </w:rPr>
        <w:t>para</w:t>
      </w:r>
      <w:r w:rsidRPr="00395593">
        <w:rPr>
          <w:rFonts w:ascii="Garamond" w:eastAsia="Times New Roman" w:hAnsi="Garamond" w:cs="Times New Roman"/>
          <w:spacing w:val="5"/>
          <w:sz w:val="24"/>
          <w:szCs w:val="24"/>
        </w:rPr>
        <w:t xml:space="preserve"> </w:t>
      </w:r>
      <w:r w:rsidRPr="00395593">
        <w:rPr>
          <w:rFonts w:ascii="Garamond" w:eastAsia="Times New Roman" w:hAnsi="Garamond" w:cs="Times New Roman"/>
          <w:sz w:val="24"/>
          <w:szCs w:val="24"/>
        </w:rPr>
        <w:t>produtos</w:t>
      </w:r>
      <w:r w:rsidRPr="00395593">
        <w:rPr>
          <w:rFonts w:ascii="Garamond" w:eastAsia="Times New Roman" w:hAnsi="Garamond" w:cs="Times New Roman"/>
          <w:spacing w:val="11"/>
          <w:sz w:val="24"/>
          <w:szCs w:val="24"/>
        </w:rPr>
        <w:t xml:space="preserve"> </w:t>
      </w:r>
      <w:r w:rsidRPr="00395593">
        <w:rPr>
          <w:rFonts w:ascii="Garamond" w:eastAsia="Times New Roman" w:hAnsi="Garamond" w:cs="Times New Roman"/>
          <w:sz w:val="24"/>
          <w:szCs w:val="24"/>
        </w:rPr>
        <w:t>agrícolas,</w:t>
      </w:r>
      <w:r w:rsidRPr="00395593">
        <w:rPr>
          <w:rFonts w:ascii="Garamond" w:eastAsia="Times New Roman" w:hAnsi="Garamond" w:cs="Times New Roman"/>
          <w:spacing w:val="9"/>
          <w:sz w:val="24"/>
          <w:szCs w:val="24"/>
        </w:rPr>
        <w:t xml:space="preserve"> </w:t>
      </w:r>
      <w:r w:rsidRPr="00395593">
        <w:rPr>
          <w:rFonts w:ascii="Garamond" w:eastAsia="Times New Roman" w:hAnsi="Garamond" w:cs="Times New Roman"/>
          <w:sz w:val="24"/>
          <w:szCs w:val="24"/>
        </w:rPr>
        <w:t>conforme</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disposto no Artigo 13 do Acordo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sobre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Agricultura.</w:t>
      </w:r>
    </w:p>
    <w:p w14:paraId="76957382"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6"/>
          <w:szCs w:val="24"/>
        </w:rPr>
      </w:pPr>
    </w:p>
    <w:p w14:paraId="036ACA2B" w14:textId="13537F2F"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6</w:t>
      </w:r>
    </w:p>
    <w:p w14:paraId="0542E706"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p>
    <w:p w14:paraId="0297D19D" w14:textId="77777777" w:rsidR="00CB6C86" w:rsidRPr="00395593" w:rsidRDefault="00CB6C86" w:rsidP="00CB6C8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Grave</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Dano</w:t>
      </w:r>
    </w:p>
    <w:p w14:paraId="15512CFC"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663774D2" w14:textId="77777777" w:rsidR="00CB6C86" w:rsidRPr="00395593" w:rsidRDefault="00CB6C86" w:rsidP="002C4340">
      <w:pPr>
        <w:widowControl w:val="0"/>
        <w:numPr>
          <w:ilvl w:val="0"/>
          <w:numId w:val="59"/>
        </w:numPr>
        <w:tabs>
          <w:tab w:val="left" w:pos="810"/>
        </w:tabs>
        <w:autoSpaceDE w:val="0"/>
        <w:autoSpaceDN w:val="0"/>
        <w:spacing w:after="0" w:line="240" w:lineRule="auto"/>
        <w:jc w:val="both"/>
        <w:rPr>
          <w:rFonts w:ascii="Garamond" w:eastAsia="Times New Roman" w:hAnsi="Garamond" w:cs="Times New Roman"/>
          <w:sz w:val="24"/>
        </w:rPr>
      </w:pPr>
      <w:r w:rsidRPr="00395593">
        <w:rPr>
          <w:rFonts w:ascii="Garamond" w:eastAsia="Times New Roman" w:hAnsi="Garamond" w:cs="Times New Roman"/>
          <w:sz w:val="24"/>
        </w:rPr>
        <w:t>Ocorrerá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grave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dano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sentido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5 quando:</w:t>
      </w:r>
    </w:p>
    <w:p w14:paraId="788992BF"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50CFB042" w14:textId="77777777" w:rsidR="00CB6C86" w:rsidRPr="00395593" w:rsidRDefault="00CB6C86" w:rsidP="002C4340">
      <w:pPr>
        <w:widowControl w:val="0"/>
        <w:numPr>
          <w:ilvl w:val="1"/>
          <w:numId w:val="59"/>
        </w:numPr>
        <w:tabs>
          <w:tab w:val="left" w:pos="1147"/>
        </w:tabs>
        <w:autoSpaceDE w:val="0"/>
        <w:autoSpaceDN w:val="0"/>
        <w:spacing w:after="0" w:line="240" w:lineRule="auto"/>
        <w:ind w:hanging="326"/>
        <w:jc w:val="both"/>
        <w:rPr>
          <w:rFonts w:ascii="Garamond" w:eastAsia="Times New Roman" w:hAnsi="Garamond" w:cs="Times New Roman"/>
          <w:sz w:val="24"/>
        </w:rPr>
      </w:pP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subsídio total, calculado </w:t>
      </w:r>
      <w:r w:rsidRPr="00395593">
        <w:rPr>
          <w:rFonts w:ascii="Garamond" w:eastAsia="Times New Roman" w:hAnsi="Garamond" w:cs="Times New Roman"/>
          <w:i/>
          <w:sz w:val="24"/>
        </w:rPr>
        <w:t>ad valorem</w:t>
      </w:r>
      <w:r w:rsidRPr="00395593">
        <w:rPr>
          <w:rFonts w:ascii="Garamond" w:eastAsia="Times New Roman" w:hAnsi="Garamond" w:cs="Times New Roman"/>
          <w:i/>
          <w:spacing w:val="-1"/>
          <w:sz w:val="24"/>
        </w:rPr>
        <w:t xml:space="preserve"> </w:t>
      </w:r>
      <w:r w:rsidRPr="00395593">
        <w:rPr>
          <w:rFonts w:ascii="Garamond" w:eastAsia="Times New Roman" w:hAnsi="Garamond" w:cs="Times New Roman"/>
          <w:sz w:val="24"/>
          <w:vertAlign w:val="superscript"/>
        </w:rPr>
        <w:t>14</w:t>
      </w:r>
      <w:r w:rsidRPr="00395593">
        <w:rPr>
          <w:rFonts w:ascii="Garamond" w:eastAsia="Times New Roman" w:hAnsi="Garamond" w:cs="Times New Roman"/>
          <w:sz w:val="24"/>
        </w:rPr>
        <w:t>,  ultrapassar</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5 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15</w:t>
      </w:r>
      <w:r w:rsidRPr="00395593">
        <w:rPr>
          <w:rFonts w:ascii="Garamond" w:eastAsia="Times New Roman" w:hAnsi="Garamond" w:cs="Times New Roman"/>
          <w:sz w:val="24"/>
        </w:rPr>
        <w:t>;</w:t>
      </w:r>
    </w:p>
    <w:p w14:paraId="4AA9AC04" w14:textId="77777777" w:rsidR="00CB6C86" w:rsidRPr="00395593" w:rsidRDefault="00CB6C86" w:rsidP="00ED7102">
      <w:pPr>
        <w:widowControl w:val="0"/>
        <w:autoSpaceDE w:val="0"/>
        <w:autoSpaceDN w:val="0"/>
        <w:spacing w:before="1" w:after="0" w:line="240" w:lineRule="auto"/>
        <w:jc w:val="both"/>
        <w:rPr>
          <w:rFonts w:ascii="Garamond" w:eastAsia="Times New Roman" w:hAnsi="Garamond" w:cs="Times New Roman"/>
          <w:sz w:val="24"/>
          <w:szCs w:val="24"/>
        </w:rPr>
      </w:pPr>
    </w:p>
    <w:p w14:paraId="6A38FFB3" w14:textId="77777777" w:rsidR="00CB6C86" w:rsidRPr="00395593" w:rsidRDefault="00CB6C86" w:rsidP="002C4340">
      <w:pPr>
        <w:widowControl w:val="0"/>
        <w:numPr>
          <w:ilvl w:val="1"/>
          <w:numId w:val="59"/>
        </w:numPr>
        <w:tabs>
          <w:tab w:val="left" w:pos="1192"/>
        </w:tabs>
        <w:autoSpaceDE w:val="0"/>
        <w:autoSpaceDN w:val="0"/>
        <w:spacing w:after="0" w:line="240" w:lineRule="auto"/>
        <w:ind w:left="1181" w:right="121" w:hanging="360"/>
        <w:jc w:val="both"/>
        <w:rPr>
          <w:rFonts w:ascii="Garamond" w:eastAsia="Times New Roman" w:hAnsi="Garamond" w:cs="Times New Roman"/>
          <w:sz w:val="24"/>
        </w:rPr>
      </w:pPr>
      <w:r w:rsidRPr="00395593">
        <w:rPr>
          <w:rFonts w:ascii="Garamond" w:eastAsia="Times New Roman" w:hAnsi="Garamond" w:cs="Times New Roman"/>
          <w:sz w:val="24"/>
        </w:rPr>
        <w:t>os subsídios destinarem-se a cobrir prejuízos operacionais incorridos por 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indústria;</w:t>
      </w:r>
    </w:p>
    <w:p w14:paraId="27B66599"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1B6463D1" w14:textId="77777777" w:rsidR="00CB6C86" w:rsidRPr="00395593" w:rsidRDefault="00CB6C86" w:rsidP="002C4340">
      <w:pPr>
        <w:widowControl w:val="0"/>
        <w:numPr>
          <w:ilvl w:val="1"/>
          <w:numId w:val="59"/>
        </w:numPr>
        <w:tabs>
          <w:tab w:val="left" w:pos="1180"/>
        </w:tabs>
        <w:autoSpaceDE w:val="0"/>
        <w:autoSpaceDN w:val="0"/>
        <w:spacing w:after="0" w:line="240" w:lineRule="auto"/>
        <w:ind w:left="1181" w:right="115" w:hanging="360"/>
        <w:jc w:val="both"/>
        <w:rPr>
          <w:rFonts w:ascii="Garamond" w:eastAsia="Times New Roman" w:hAnsi="Garamond" w:cs="Times New Roman"/>
          <w:sz w:val="24"/>
        </w:rPr>
      </w:pPr>
      <w:r w:rsidRPr="00395593">
        <w:rPr>
          <w:rFonts w:ascii="Garamond" w:eastAsia="Times New Roman" w:hAnsi="Garamond" w:cs="Times New Roman"/>
          <w:sz w:val="24"/>
        </w:rPr>
        <w:t>os subsídios destinarem-se a cobrir prejuízos operacionais incorridos por 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empresa, salvo se se tratar de medida isolada, não recorrente, que não possa 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repetida para aquela empresa e que seja concedida apenas para dar-lhe o tempo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necessário para desenvolver soluções de longo prazo e evitar graves problemas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sociais;</w:t>
      </w:r>
    </w:p>
    <w:p w14:paraId="75561C78"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038F15BE" w14:textId="77777777" w:rsidR="00CB6C86" w:rsidRPr="00395593" w:rsidRDefault="00CB6C86" w:rsidP="002C4340">
      <w:pPr>
        <w:widowControl w:val="0"/>
        <w:numPr>
          <w:ilvl w:val="1"/>
          <w:numId w:val="59"/>
        </w:numPr>
        <w:tabs>
          <w:tab w:val="left" w:pos="1165"/>
        </w:tabs>
        <w:autoSpaceDE w:val="0"/>
        <w:autoSpaceDN w:val="0"/>
        <w:spacing w:after="0" w:line="240" w:lineRule="auto"/>
        <w:ind w:left="1181" w:right="124" w:hanging="360"/>
        <w:jc w:val="both"/>
        <w:rPr>
          <w:rFonts w:ascii="Garamond" w:eastAsia="Times New Roman" w:hAnsi="Garamond" w:cs="Times New Roman"/>
          <w:sz w:val="24"/>
        </w:rPr>
      </w:pPr>
      <w:r w:rsidRPr="00395593">
        <w:rPr>
          <w:rFonts w:ascii="Garamond" w:eastAsia="Times New Roman" w:hAnsi="Garamond" w:cs="Times New Roman"/>
          <w:sz w:val="24"/>
        </w:rPr>
        <w:t>ocorra perdão direto de dívida, isto é, perdão de dívida existente com o governo,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ou ocorra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doação 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cobrir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 reembolso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dívidas</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vertAlign w:val="superscript"/>
        </w:rPr>
        <w:t>16</w:t>
      </w:r>
      <w:r w:rsidRPr="00395593">
        <w:rPr>
          <w:rFonts w:ascii="Garamond" w:eastAsia="Times New Roman" w:hAnsi="Garamond" w:cs="Times New Roman"/>
          <w:sz w:val="24"/>
        </w:rPr>
        <w:t>.</w:t>
      </w:r>
    </w:p>
    <w:p w14:paraId="2341CE1A"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2E8C7823" w14:textId="77777777" w:rsidR="00CB6C86" w:rsidRPr="00395593" w:rsidRDefault="00CB6C86" w:rsidP="002C4340">
      <w:pPr>
        <w:widowControl w:val="0"/>
        <w:numPr>
          <w:ilvl w:val="0"/>
          <w:numId w:val="59"/>
        </w:numPr>
        <w:tabs>
          <w:tab w:val="left" w:pos="810"/>
        </w:tabs>
        <w:autoSpaceDE w:val="0"/>
        <w:autoSpaceDN w:val="0"/>
        <w:spacing w:after="0" w:line="240" w:lineRule="auto"/>
        <w:ind w:left="102" w:right="119" w:firstLine="0"/>
        <w:jc w:val="both"/>
        <w:rPr>
          <w:rFonts w:ascii="Garamond" w:eastAsia="Times New Roman" w:hAnsi="Garamond" w:cs="Times New Roman"/>
          <w:sz w:val="24"/>
        </w:rPr>
      </w:pPr>
      <w:r w:rsidRPr="00395593">
        <w:rPr>
          <w:rFonts w:ascii="Garamond" w:eastAsia="Times New Roman" w:hAnsi="Garamond" w:cs="Times New Roman"/>
          <w:sz w:val="24"/>
        </w:rPr>
        <w:t>Em que pese o disposto no parágrafo 1, não ocorrerá grave dano se o 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outorgante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demonstrar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mesmo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produziu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nenhum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efeitos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enumerados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3.</w:t>
      </w:r>
    </w:p>
    <w:p w14:paraId="5DE9B57F" w14:textId="77777777" w:rsidR="00CB6C86" w:rsidRPr="00395593" w:rsidRDefault="00CB6C86" w:rsidP="00ED7102">
      <w:pPr>
        <w:widowControl w:val="0"/>
        <w:autoSpaceDE w:val="0"/>
        <w:autoSpaceDN w:val="0"/>
        <w:spacing w:before="1" w:after="0" w:line="240" w:lineRule="auto"/>
        <w:jc w:val="both"/>
        <w:rPr>
          <w:rFonts w:ascii="Garamond" w:eastAsia="Times New Roman" w:hAnsi="Garamond" w:cs="Times New Roman"/>
          <w:sz w:val="24"/>
          <w:szCs w:val="24"/>
        </w:rPr>
      </w:pPr>
    </w:p>
    <w:p w14:paraId="69E4C0B8" w14:textId="77777777" w:rsidR="00CB6C86" w:rsidRPr="00395593" w:rsidRDefault="00CB6C86" w:rsidP="002C4340">
      <w:pPr>
        <w:widowControl w:val="0"/>
        <w:numPr>
          <w:ilvl w:val="0"/>
          <w:numId w:val="59"/>
        </w:numPr>
        <w:tabs>
          <w:tab w:val="left" w:pos="810"/>
        </w:tabs>
        <w:autoSpaceDE w:val="0"/>
        <w:autoSpaceDN w:val="0"/>
        <w:spacing w:after="0" w:line="240" w:lineRule="auto"/>
        <w:ind w:left="102" w:right="125" w:firstLine="0"/>
        <w:jc w:val="both"/>
        <w:rPr>
          <w:rFonts w:ascii="Garamond" w:eastAsia="Times New Roman" w:hAnsi="Garamond" w:cs="Times New Roman"/>
          <w:sz w:val="24"/>
        </w:rPr>
      </w:pPr>
      <w:r w:rsidRPr="00395593">
        <w:rPr>
          <w:rFonts w:ascii="Garamond" w:eastAsia="Times New Roman" w:hAnsi="Garamond" w:cs="Times New Roman"/>
          <w:sz w:val="24"/>
        </w:rPr>
        <w:t>Ocorrerá grave dano no sentido do parágrafo (c) do Artigo 5 sempre que ocorra um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combinação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vários dos seguintes efeitos:</w:t>
      </w:r>
    </w:p>
    <w:p w14:paraId="07C24F27"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44634BC2" w14:textId="77777777" w:rsidR="00CB6C86" w:rsidRPr="00395593" w:rsidRDefault="00CB6C86" w:rsidP="002C4340">
      <w:pPr>
        <w:widowControl w:val="0"/>
        <w:numPr>
          <w:ilvl w:val="1"/>
          <w:numId w:val="59"/>
        </w:numPr>
        <w:tabs>
          <w:tab w:val="left" w:pos="1218"/>
        </w:tabs>
        <w:autoSpaceDE w:val="0"/>
        <w:autoSpaceDN w:val="0"/>
        <w:spacing w:after="0" w:line="240" w:lineRule="auto"/>
        <w:ind w:left="1181" w:right="120" w:hanging="360"/>
        <w:jc w:val="both"/>
        <w:rPr>
          <w:rFonts w:ascii="Garamond" w:eastAsia="Times New Roman" w:hAnsi="Garamond" w:cs="Times New Roman"/>
          <w:sz w:val="24"/>
        </w:rPr>
      </w:pPr>
      <w:r w:rsidRPr="00395593">
        <w:rPr>
          <w:rFonts w:ascii="Garamond" w:eastAsia="Times New Roman" w:hAnsi="Garamond" w:cs="Times New Roman"/>
          <w:sz w:val="24"/>
        </w:rPr>
        <w:t>deslocar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impedir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similar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produzido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mercado do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Membro outorgante do subsídio;</w:t>
      </w:r>
    </w:p>
    <w:p w14:paraId="305E1AFC"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253DF04B" w14:textId="77777777" w:rsidR="00CB6C86" w:rsidRPr="00395593" w:rsidRDefault="00CB6C86" w:rsidP="002C4340">
      <w:pPr>
        <w:widowControl w:val="0"/>
        <w:numPr>
          <w:ilvl w:val="1"/>
          <w:numId w:val="59"/>
        </w:numPr>
        <w:tabs>
          <w:tab w:val="left" w:pos="1170"/>
        </w:tabs>
        <w:autoSpaceDE w:val="0"/>
        <w:autoSpaceDN w:val="0"/>
        <w:spacing w:after="0" w:line="240" w:lineRule="auto"/>
        <w:ind w:left="1181" w:right="123" w:hanging="360"/>
        <w:jc w:val="both"/>
        <w:rPr>
          <w:rFonts w:ascii="Garamond" w:eastAsia="Times New Roman" w:hAnsi="Garamond" w:cs="Times New Roman"/>
          <w:sz w:val="24"/>
        </w:rPr>
      </w:pPr>
      <w:r w:rsidRPr="00395593">
        <w:rPr>
          <w:rFonts w:ascii="Garamond" w:eastAsia="Times New Roman" w:hAnsi="Garamond" w:cs="Times New Roman"/>
          <w:sz w:val="24"/>
        </w:rPr>
        <w:t>deslocar ou impedir a exportação de produto similar produzido por um 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mercado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terceiro pais;</w:t>
      </w:r>
    </w:p>
    <w:p w14:paraId="5438304E"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0AA20FFC" w14:textId="290CC5F8"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6A137157" w14:textId="3DA11651"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67E2006C" w14:textId="7F625546"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7A6E5B1B" w14:textId="64337B8C"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261788DF" w14:textId="23C35277"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59816066" w14:textId="459E7FED" w:rsidR="00D65665" w:rsidRPr="005C5CBD" w:rsidRDefault="00D65665" w:rsidP="00E33E26">
      <w:pPr>
        <w:widowControl w:val="0"/>
        <w:autoSpaceDE w:val="0"/>
        <w:autoSpaceDN w:val="0"/>
        <w:spacing w:after="0" w:line="240" w:lineRule="auto"/>
        <w:rPr>
          <w:rFonts w:ascii="Garamond" w:eastAsia="Times New Roman" w:hAnsi="Garamond" w:cs="Times New Roman"/>
          <w:sz w:val="20"/>
          <w:szCs w:val="24"/>
        </w:rPr>
      </w:pPr>
    </w:p>
    <w:p w14:paraId="064BDC64" w14:textId="5D25B85C" w:rsidR="00CB6C86" w:rsidRPr="00395593" w:rsidRDefault="00CB6C86" w:rsidP="00CB6C86">
      <w:pPr>
        <w:widowControl w:val="0"/>
        <w:autoSpaceDE w:val="0"/>
        <w:autoSpaceDN w:val="0"/>
        <w:spacing w:before="2" w:after="0" w:line="240" w:lineRule="auto"/>
        <w:rPr>
          <w:rFonts w:ascii="Garamond" w:eastAsia="Times New Roman" w:hAnsi="Garamond" w:cs="Times New Roman"/>
          <w:sz w:val="23"/>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60" behindDoc="1" locked="0" layoutInCell="1" allowOverlap="1" wp14:anchorId="1EB48A9B" wp14:editId="2AB42CC1">
                <wp:simplePos x="0" y="0"/>
                <wp:positionH relativeFrom="page">
                  <wp:posOffset>1080770</wp:posOffset>
                </wp:positionH>
                <wp:positionV relativeFrom="paragraph">
                  <wp:posOffset>184150</wp:posOffset>
                </wp:positionV>
                <wp:extent cx="5614035" cy="7620"/>
                <wp:effectExtent l="4445" t="0" r="1270" b="4445"/>
                <wp:wrapTopAndBottom/>
                <wp:docPr id="433" name="Retângulo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AF778" id="Retângulo 433" o:spid="_x0000_s1026" style="position:absolute;margin-left:85.1pt;margin-top:14.5pt;width:442.05pt;height:.6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" fillcolor="black" stroked="f">
                <w10:wrap type="topAndBottom" anchorx="page"/>
              </v:rect>
            </w:pict>
          </mc:Fallback>
        </mc:AlternateContent>
      </w:r>
    </w:p>
    <w:p w14:paraId="27529164" w14:textId="77777777" w:rsidR="00CB6C86" w:rsidRPr="00395593" w:rsidRDefault="00CB6C86" w:rsidP="00CB6C86">
      <w:pPr>
        <w:widowControl w:val="0"/>
        <w:autoSpaceDE w:val="0"/>
        <w:autoSpaceDN w:val="0"/>
        <w:spacing w:before="103" w:after="0" w:line="240" w:lineRule="auto"/>
        <w:rPr>
          <w:rFonts w:ascii="Garamond" w:eastAsia="Times New Roman" w:hAnsi="Garamond" w:cs="Times New Roman"/>
          <w:sz w:val="20"/>
        </w:rPr>
      </w:pPr>
      <w:r w:rsidRPr="00395593">
        <w:rPr>
          <w:rFonts w:ascii="Garamond" w:eastAsia="Times New Roman" w:hAnsi="Garamond" w:cs="Times New Roman"/>
          <w:sz w:val="20"/>
          <w:vertAlign w:val="superscript"/>
        </w:rPr>
        <w:t>13</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O</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termo</w:t>
      </w:r>
      <w:r w:rsidRPr="00395593">
        <w:rPr>
          <w:rFonts w:ascii="Garamond" w:eastAsia="Times New Roman" w:hAnsi="Garamond" w:cs="Times New Roman"/>
          <w:spacing w:val="8"/>
          <w:sz w:val="20"/>
        </w:rPr>
        <w:t xml:space="preserve"> </w:t>
      </w:r>
      <w:r w:rsidRPr="00395593">
        <w:rPr>
          <w:rFonts w:ascii="Garamond" w:eastAsia="Times New Roman" w:hAnsi="Garamond" w:cs="Times New Roman"/>
          <w:sz w:val="20"/>
        </w:rPr>
        <w:t>“grave</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dano</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aos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interesses</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outro</w:t>
      </w:r>
      <w:r w:rsidRPr="00395593">
        <w:rPr>
          <w:rFonts w:ascii="Garamond" w:eastAsia="Times New Roman" w:hAnsi="Garamond" w:cs="Times New Roman"/>
          <w:spacing w:val="7"/>
          <w:sz w:val="20"/>
        </w:rPr>
        <w:t xml:space="preserve"> </w:t>
      </w:r>
      <w:r w:rsidRPr="00395593">
        <w:rPr>
          <w:rFonts w:ascii="Garamond" w:eastAsia="Times New Roman" w:hAnsi="Garamond" w:cs="Times New Roman"/>
          <w:sz w:val="20"/>
        </w:rPr>
        <w:t>Membro”</w:t>
      </w:r>
      <w:r w:rsidRPr="00395593">
        <w:rPr>
          <w:rFonts w:ascii="Garamond" w:eastAsia="Times New Roman" w:hAnsi="Garamond" w:cs="Times New Roman"/>
          <w:spacing w:val="9"/>
          <w:sz w:val="20"/>
        </w:rPr>
        <w:t xml:space="preserve"> </w:t>
      </w:r>
      <w:r w:rsidRPr="00395593">
        <w:rPr>
          <w:rFonts w:ascii="Garamond" w:eastAsia="Times New Roman" w:hAnsi="Garamond" w:cs="Times New Roman"/>
          <w:sz w:val="20"/>
        </w:rPr>
        <w:t>é</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usado</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neste</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Acordo</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no</w:t>
      </w:r>
      <w:r w:rsidRPr="00395593">
        <w:rPr>
          <w:rFonts w:ascii="Garamond" w:eastAsia="Times New Roman" w:hAnsi="Garamond" w:cs="Times New Roman"/>
          <w:spacing w:val="6"/>
          <w:sz w:val="20"/>
        </w:rPr>
        <w:t xml:space="preserve"> </w:t>
      </w:r>
      <w:r w:rsidRPr="00395593">
        <w:rPr>
          <w:rFonts w:ascii="Garamond" w:eastAsia="Times New Roman" w:hAnsi="Garamond" w:cs="Times New Roman"/>
          <w:sz w:val="20"/>
        </w:rPr>
        <w:t>mesmo</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sentido</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em</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se</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encontra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no parágrafo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1 do Artigo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XVI do GATT</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1994 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inclui</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ameaça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 dano grave.</w:t>
      </w:r>
    </w:p>
    <w:p w14:paraId="25A0717C" w14:textId="77777777" w:rsidR="00CB6C86" w:rsidRPr="00395593" w:rsidRDefault="00CB6C86" w:rsidP="00CB6C86">
      <w:pPr>
        <w:widowControl w:val="0"/>
        <w:autoSpaceDE w:val="0"/>
        <w:autoSpaceDN w:val="0"/>
        <w:spacing w:after="0" w:line="264" w:lineRule="exact"/>
        <w:rPr>
          <w:rFonts w:ascii="Garamond" w:eastAsia="Times New Roman" w:hAnsi="Garamond" w:cs="Times New Roman"/>
          <w:sz w:val="20"/>
        </w:rPr>
      </w:pPr>
      <w:r w:rsidRPr="00395593">
        <w:rPr>
          <w:rFonts w:ascii="Garamond" w:eastAsia="Times New Roman" w:hAnsi="Garamond" w:cs="Times New Roman"/>
          <w:position w:val="9"/>
          <w:sz w:val="16"/>
        </w:rPr>
        <w:t>14</w:t>
      </w:r>
      <w:r w:rsidRPr="00395593">
        <w:rPr>
          <w:rFonts w:ascii="Garamond" w:eastAsia="Times New Roman" w:hAnsi="Garamond" w:cs="Times New Roman"/>
          <w:spacing w:val="19"/>
          <w:position w:val="9"/>
          <w:sz w:val="16"/>
        </w:rPr>
        <w:t xml:space="preserve"> </w:t>
      </w:r>
      <w:r w:rsidRPr="00395593">
        <w:rPr>
          <w:rFonts w:ascii="Garamond" w:eastAsia="Times New Roman" w:hAnsi="Garamond" w:cs="Times New Roman"/>
          <w:sz w:val="20"/>
        </w:rPr>
        <w:t>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valor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total</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subsídio</w:t>
      </w:r>
      <w:r w:rsidRPr="00395593">
        <w:rPr>
          <w:rFonts w:ascii="Garamond" w:eastAsia="Times New Roman" w:hAnsi="Garamond" w:cs="Times New Roman"/>
          <w:spacing w:val="2"/>
          <w:sz w:val="20"/>
        </w:rPr>
        <w:t xml:space="preserve"> </w:t>
      </w:r>
      <w:r w:rsidRPr="00395593">
        <w:rPr>
          <w:rFonts w:ascii="Garamond" w:eastAsia="Times New Roman" w:hAnsi="Garamond" w:cs="Times New Roman"/>
          <w:i/>
          <w:sz w:val="20"/>
        </w:rPr>
        <w:t>ad</w:t>
      </w:r>
      <w:r w:rsidRPr="00395593">
        <w:rPr>
          <w:rFonts w:ascii="Garamond" w:eastAsia="Times New Roman" w:hAnsi="Garamond" w:cs="Times New Roman"/>
          <w:i/>
          <w:spacing w:val="-3"/>
          <w:sz w:val="20"/>
        </w:rPr>
        <w:t xml:space="preserve"> </w:t>
      </w:r>
      <w:r w:rsidRPr="00395593">
        <w:rPr>
          <w:rFonts w:ascii="Garamond" w:eastAsia="Times New Roman" w:hAnsi="Garamond" w:cs="Times New Roman"/>
          <w:i/>
          <w:sz w:val="20"/>
        </w:rPr>
        <w:t>valorem</w:t>
      </w:r>
      <w:r w:rsidRPr="00395593">
        <w:rPr>
          <w:rFonts w:ascii="Garamond" w:eastAsia="Times New Roman" w:hAnsi="Garamond" w:cs="Times New Roman"/>
          <w:i/>
          <w:spacing w:val="1"/>
          <w:sz w:val="20"/>
        </w:rPr>
        <w:t xml:space="preserve"> </w:t>
      </w:r>
      <w:r w:rsidRPr="00395593">
        <w:rPr>
          <w:rFonts w:ascii="Garamond" w:eastAsia="Times New Roman" w:hAnsi="Garamond" w:cs="Times New Roman"/>
          <w:sz w:val="20"/>
        </w:rPr>
        <w:t>será</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calculado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acordo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com</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o disposto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no Anexo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IV.</w:t>
      </w:r>
    </w:p>
    <w:p w14:paraId="172E78D1" w14:textId="77777777" w:rsidR="00CB6C86" w:rsidRPr="00395593" w:rsidRDefault="00CB6C86" w:rsidP="00CB6C86">
      <w:pPr>
        <w:widowControl w:val="0"/>
        <w:autoSpaceDE w:val="0"/>
        <w:autoSpaceDN w:val="0"/>
        <w:spacing w:before="10" w:after="0" w:line="240" w:lineRule="auto"/>
        <w:rPr>
          <w:rFonts w:ascii="Garamond" w:eastAsia="Times New Roman" w:hAnsi="Garamond" w:cs="Times New Roman"/>
          <w:sz w:val="20"/>
        </w:rPr>
      </w:pPr>
      <w:r w:rsidRPr="00395593">
        <w:rPr>
          <w:rFonts w:ascii="Garamond" w:eastAsia="Times New Roman" w:hAnsi="Garamond" w:cs="Times New Roman"/>
          <w:sz w:val="20"/>
          <w:vertAlign w:val="superscript"/>
        </w:rPr>
        <w:t>15</w:t>
      </w:r>
      <w:r w:rsidRPr="00395593">
        <w:rPr>
          <w:rFonts w:ascii="Garamond" w:eastAsia="Times New Roman" w:hAnsi="Garamond" w:cs="Times New Roman"/>
          <w:spacing w:val="24"/>
          <w:sz w:val="20"/>
        </w:rPr>
        <w:t xml:space="preserve"> </w:t>
      </w:r>
      <w:r w:rsidRPr="00395593">
        <w:rPr>
          <w:rFonts w:ascii="Garamond" w:eastAsia="Times New Roman" w:hAnsi="Garamond" w:cs="Times New Roman"/>
          <w:sz w:val="20"/>
        </w:rPr>
        <w:t>Como</w:t>
      </w:r>
      <w:r w:rsidRPr="00395593">
        <w:rPr>
          <w:rFonts w:ascii="Garamond" w:eastAsia="Times New Roman" w:hAnsi="Garamond" w:cs="Times New Roman"/>
          <w:spacing w:val="28"/>
          <w:sz w:val="20"/>
        </w:rPr>
        <w:t xml:space="preserve"> </w:t>
      </w:r>
      <w:r w:rsidRPr="00395593">
        <w:rPr>
          <w:rFonts w:ascii="Garamond" w:eastAsia="Times New Roman" w:hAnsi="Garamond" w:cs="Times New Roman"/>
          <w:sz w:val="20"/>
        </w:rPr>
        <w:t>se</w:t>
      </w:r>
      <w:r w:rsidRPr="00395593">
        <w:rPr>
          <w:rFonts w:ascii="Garamond" w:eastAsia="Times New Roman" w:hAnsi="Garamond" w:cs="Times New Roman"/>
          <w:spacing w:val="24"/>
          <w:sz w:val="20"/>
        </w:rPr>
        <w:t xml:space="preserve"> </w:t>
      </w:r>
      <w:r w:rsidRPr="00395593">
        <w:rPr>
          <w:rFonts w:ascii="Garamond" w:eastAsia="Times New Roman" w:hAnsi="Garamond" w:cs="Times New Roman"/>
          <w:sz w:val="20"/>
        </w:rPr>
        <w:t>prevê</w:t>
      </w:r>
      <w:r w:rsidRPr="00395593">
        <w:rPr>
          <w:rFonts w:ascii="Garamond" w:eastAsia="Times New Roman" w:hAnsi="Garamond" w:cs="Times New Roman"/>
          <w:spacing w:val="25"/>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24"/>
          <w:sz w:val="20"/>
        </w:rPr>
        <w:t xml:space="preserve"> </w:t>
      </w:r>
      <w:r w:rsidRPr="00395593">
        <w:rPr>
          <w:rFonts w:ascii="Garamond" w:eastAsia="Times New Roman" w:hAnsi="Garamond" w:cs="Times New Roman"/>
          <w:sz w:val="20"/>
        </w:rPr>
        <w:t>as</w:t>
      </w:r>
      <w:r w:rsidRPr="00395593">
        <w:rPr>
          <w:rFonts w:ascii="Garamond" w:eastAsia="Times New Roman" w:hAnsi="Garamond" w:cs="Times New Roman"/>
          <w:spacing w:val="26"/>
          <w:sz w:val="20"/>
        </w:rPr>
        <w:t xml:space="preserve"> </w:t>
      </w:r>
      <w:r w:rsidRPr="00395593">
        <w:rPr>
          <w:rFonts w:ascii="Garamond" w:eastAsia="Times New Roman" w:hAnsi="Garamond" w:cs="Times New Roman"/>
          <w:sz w:val="20"/>
        </w:rPr>
        <w:t>aeronaves</w:t>
      </w:r>
      <w:r w:rsidRPr="00395593">
        <w:rPr>
          <w:rFonts w:ascii="Garamond" w:eastAsia="Times New Roman" w:hAnsi="Garamond" w:cs="Times New Roman"/>
          <w:spacing w:val="27"/>
          <w:sz w:val="20"/>
        </w:rPr>
        <w:t xml:space="preserve"> </w:t>
      </w:r>
      <w:r w:rsidRPr="00395593">
        <w:rPr>
          <w:rFonts w:ascii="Garamond" w:eastAsia="Times New Roman" w:hAnsi="Garamond" w:cs="Times New Roman"/>
          <w:sz w:val="20"/>
        </w:rPr>
        <w:t>civis</w:t>
      </w:r>
      <w:r w:rsidRPr="00395593">
        <w:rPr>
          <w:rFonts w:ascii="Garamond" w:eastAsia="Times New Roman" w:hAnsi="Garamond" w:cs="Times New Roman"/>
          <w:spacing w:val="26"/>
          <w:sz w:val="20"/>
        </w:rPr>
        <w:t xml:space="preserve"> </w:t>
      </w:r>
      <w:r w:rsidRPr="00395593">
        <w:rPr>
          <w:rFonts w:ascii="Garamond" w:eastAsia="Times New Roman" w:hAnsi="Garamond" w:cs="Times New Roman"/>
          <w:sz w:val="20"/>
        </w:rPr>
        <w:t>serão</w:t>
      </w:r>
      <w:r w:rsidRPr="00395593">
        <w:rPr>
          <w:rFonts w:ascii="Garamond" w:eastAsia="Times New Roman" w:hAnsi="Garamond" w:cs="Times New Roman"/>
          <w:spacing w:val="26"/>
          <w:sz w:val="20"/>
        </w:rPr>
        <w:t xml:space="preserve"> </w:t>
      </w:r>
      <w:r w:rsidRPr="00395593">
        <w:rPr>
          <w:rFonts w:ascii="Garamond" w:eastAsia="Times New Roman" w:hAnsi="Garamond" w:cs="Times New Roman"/>
          <w:sz w:val="20"/>
        </w:rPr>
        <w:t>objeto</w:t>
      </w:r>
      <w:r w:rsidRPr="00395593">
        <w:rPr>
          <w:rFonts w:ascii="Garamond" w:eastAsia="Times New Roman" w:hAnsi="Garamond" w:cs="Times New Roman"/>
          <w:spacing w:val="25"/>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23"/>
          <w:sz w:val="20"/>
        </w:rPr>
        <w:t xml:space="preserve"> </w:t>
      </w:r>
      <w:r w:rsidRPr="00395593">
        <w:rPr>
          <w:rFonts w:ascii="Garamond" w:eastAsia="Times New Roman" w:hAnsi="Garamond" w:cs="Times New Roman"/>
          <w:sz w:val="20"/>
        </w:rPr>
        <w:t>regras</w:t>
      </w:r>
      <w:r w:rsidRPr="00395593">
        <w:rPr>
          <w:rFonts w:ascii="Garamond" w:eastAsia="Times New Roman" w:hAnsi="Garamond" w:cs="Times New Roman"/>
          <w:spacing w:val="26"/>
          <w:sz w:val="20"/>
        </w:rPr>
        <w:t xml:space="preserve"> </w:t>
      </w:r>
      <w:r w:rsidRPr="00395593">
        <w:rPr>
          <w:rFonts w:ascii="Garamond" w:eastAsia="Times New Roman" w:hAnsi="Garamond" w:cs="Times New Roman"/>
          <w:sz w:val="20"/>
        </w:rPr>
        <w:t>multilaterais</w:t>
      </w:r>
      <w:r w:rsidRPr="00395593">
        <w:rPr>
          <w:rFonts w:ascii="Garamond" w:eastAsia="Times New Roman" w:hAnsi="Garamond" w:cs="Times New Roman"/>
          <w:spacing w:val="26"/>
          <w:sz w:val="20"/>
        </w:rPr>
        <w:t xml:space="preserve"> </w:t>
      </w:r>
      <w:r w:rsidRPr="00395593">
        <w:rPr>
          <w:rFonts w:ascii="Garamond" w:eastAsia="Times New Roman" w:hAnsi="Garamond" w:cs="Times New Roman"/>
          <w:sz w:val="20"/>
        </w:rPr>
        <w:t>específicas,</w:t>
      </w:r>
      <w:r w:rsidRPr="00395593">
        <w:rPr>
          <w:rFonts w:ascii="Garamond" w:eastAsia="Times New Roman" w:hAnsi="Garamond" w:cs="Times New Roman"/>
          <w:spacing w:val="26"/>
          <w:sz w:val="20"/>
        </w:rPr>
        <w:t xml:space="preserve"> </w:t>
      </w:r>
      <w:r w:rsidRPr="00395593">
        <w:rPr>
          <w:rFonts w:ascii="Garamond" w:eastAsia="Times New Roman" w:hAnsi="Garamond" w:cs="Times New Roman"/>
          <w:sz w:val="20"/>
        </w:rPr>
        <w:t>o</w:t>
      </w:r>
      <w:r w:rsidRPr="00395593">
        <w:rPr>
          <w:rFonts w:ascii="Garamond" w:eastAsia="Times New Roman" w:hAnsi="Garamond" w:cs="Times New Roman"/>
          <w:spacing w:val="25"/>
          <w:sz w:val="20"/>
        </w:rPr>
        <w:t xml:space="preserve"> </w:t>
      </w:r>
      <w:r w:rsidRPr="00395593">
        <w:rPr>
          <w:rFonts w:ascii="Garamond" w:eastAsia="Times New Roman" w:hAnsi="Garamond" w:cs="Times New Roman"/>
          <w:sz w:val="20"/>
        </w:rPr>
        <w:t>limite</w:t>
      </w:r>
      <w:r w:rsidRPr="00395593">
        <w:rPr>
          <w:rFonts w:ascii="Garamond" w:eastAsia="Times New Roman" w:hAnsi="Garamond" w:cs="Times New Roman"/>
          <w:spacing w:val="24"/>
          <w:sz w:val="20"/>
        </w:rPr>
        <w:t xml:space="preserve"> </w:t>
      </w:r>
      <w:r w:rsidRPr="00395593">
        <w:rPr>
          <w:rFonts w:ascii="Garamond" w:eastAsia="Times New Roman" w:hAnsi="Garamond" w:cs="Times New Roman"/>
          <w:sz w:val="20"/>
        </w:rPr>
        <w:t>previsto</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neste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subparágrafo</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não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 aplica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 aeronaves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civis.</w:t>
      </w:r>
    </w:p>
    <w:p w14:paraId="6CDDAA70" w14:textId="77777777" w:rsidR="00CB6C86" w:rsidRPr="00395593" w:rsidRDefault="00CB6C86" w:rsidP="00CB6C86">
      <w:pPr>
        <w:widowControl w:val="0"/>
        <w:autoSpaceDE w:val="0"/>
        <w:autoSpaceDN w:val="0"/>
        <w:spacing w:after="0" w:line="267" w:lineRule="exact"/>
        <w:rPr>
          <w:rFonts w:ascii="Garamond" w:eastAsia="Times New Roman" w:hAnsi="Garamond" w:cs="Times New Roman"/>
          <w:sz w:val="20"/>
        </w:rPr>
      </w:pPr>
      <w:r w:rsidRPr="00395593">
        <w:rPr>
          <w:rFonts w:ascii="Garamond" w:eastAsia="Times New Roman" w:hAnsi="Garamond" w:cs="Times New Roman"/>
          <w:position w:val="9"/>
          <w:sz w:val="16"/>
        </w:rPr>
        <w:t>16</w:t>
      </w:r>
      <w:r w:rsidRPr="00395593">
        <w:rPr>
          <w:rFonts w:ascii="Garamond" w:eastAsia="Times New Roman" w:hAnsi="Garamond" w:cs="Times New Roman"/>
          <w:spacing w:val="31"/>
          <w:position w:val="9"/>
          <w:sz w:val="16"/>
        </w:rPr>
        <w:t xml:space="preserve"> </w:t>
      </w:r>
      <w:r w:rsidRPr="00395593">
        <w:rPr>
          <w:rFonts w:ascii="Garamond" w:eastAsia="Times New Roman" w:hAnsi="Garamond" w:cs="Times New Roman"/>
          <w:sz w:val="20"/>
        </w:rPr>
        <w:t>Os</w:t>
      </w:r>
      <w:r w:rsidRPr="00395593">
        <w:rPr>
          <w:rFonts w:ascii="Garamond" w:eastAsia="Times New Roman" w:hAnsi="Garamond" w:cs="Times New Roman"/>
          <w:spacing w:val="13"/>
          <w:sz w:val="20"/>
        </w:rPr>
        <w:t xml:space="preserve"> </w:t>
      </w:r>
      <w:r w:rsidRPr="00395593">
        <w:rPr>
          <w:rFonts w:ascii="Garamond" w:eastAsia="Times New Roman" w:hAnsi="Garamond" w:cs="Times New Roman"/>
          <w:sz w:val="20"/>
        </w:rPr>
        <w:t>Membros</w:t>
      </w:r>
      <w:r w:rsidRPr="00395593">
        <w:rPr>
          <w:rFonts w:ascii="Garamond" w:eastAsia="Times New Roman" w:hAnsi="Garamond" w:cs="Times New Roman"/>
          <w:spacing w:val="14"/>
          <w:sz w:val="20"/>
        </w:rPr>
        <w:t xml:space="preserve"> </w:t>
      </w:r>
      <w:r w:rsidRPr="00395593">
        <w:rPr>
          <w:rFonts w:ascii="Garamond" w:eastAsia="Times New Roman" w:hAnsi="Garamond" w:cs="Times New Roman"/>
          <w:sz w:val="20"/>
        </w:rPr>
        <w:t>reconhecem</w:t>
      </w:r>
      <w:r w:rsidRPr="00395593">
        <w:rPr>
          <w:rFonts w:ascii="Garamond" w:eastAsia="Times New Roman" w:hAnsi="Garamond" w:cs="Times New Roman"/>
          <w:spacing w:val="12"/>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14"/>
          <w:sz w:val="20"/>
        </w:rPr>
        <w:t xml:space="preserve"> </w:t>
      </w:r>
      <w:r w:rsidRPr="00395593">
        <w:rPr>
          <w:rFonts w:ascii="Garamond" w:eastAsia="Times New Roman" w:hAnsi="Garamond" w:cs="Times New Roman"/>
          <w:sz w:val="20"/>
        </w:rPr>
        <w:t>não</w:t>
      </w:r>
      <w:r w:rsidRPr="00395593">
        <w:rPr>
          <w:rFonts w:ascii="Garamond" w:eastAsia="Times New Roman" w:hAnsi="Garamond" w:cs="Times New Roman"/>
          <w:spacing w:val="15"/>
          <w:sz w:val="20"/>
        </w:rPr>
        <w:t xml:space="preserve"> </w:t>
      </w:r>
      <w:r w:rsidRPr="00395593">
        <w:rPr>
          <w:rFonts w:ascii="Garamond" w:eastAsia="Times New Roman" w:hAnsi="Garamond" w:cs="Times New Roman"/>
          <w:sz w:val="20"/>
        </w:rPr>
        <w:t>constitui</w:t>
      </w:r>
      <w:r w:rsidRPr="00395593">
        <w:rPr>
          <w:rFonts w:ascii="Garamond" w:eastAsia="Times New Roman" w:hAnsi="Garamond" w:cs="Times New Roman"/>
          <w:spacing w:val="13"/>
          <w:sz w:val="20"/>
        </w:rPr>
        <w:t xml:space="preserve"> </w:t>
      </w:r>
      <w:r w:rsidRPr="00395593">
        <w:rPr>
          <w:rFonts w:ascii="Garamond" w:eastAsia="Times New Roman" w:hAnsi="Garamond" w:cs="Times New Roman"/>
          <w:sz w:val="20"/>
        </w:rPr>
        <w:t>grave</w:t>
      </w:r>
      <w:r w:rsidRPr="00395593">
        <w:rPr>
          <w:rFonts w:ascii="Garamond" w:eastAsia="Times New Roman" w:hAnsi="Garamond" w:cs="Times New Roman"/>
          <w:spacing w:val="14"/>
          <w:sz w:val="20"/>
        </w:rPr>
        <w:t xml:space="preserve"> </w:t>
      </w:r>
      <w:r w:rsidRPr="00395593">
        <w:rPr>
          <w:rFonts w:ascii="Garamond" w:eastAsia="Times New Roman" w:hAnsi="Garamond" w:cs="Times New Roman"/>
          <w:sz w:val="20"/>
        </w:rPr>
        <w:t>dano</w:t>
      </w:r>
      <w:r w:rsidRPr="00395593">
        <w:rPr>
          <w:rFonts w:ascii="Garamond" w:eastAsia="Times New Roman" w:hAnsi="Garamond" w:cs="Times New Roman"/>
          <w:spacing w:val="14"/>
          <w:sz w:val="20"/>
        </w:rPr>
        <w:t xml:space="preserve"> </w:t>
      </w:r>
      <w:r w:rsidRPr="00395593">
        <w:rPr>
          <w:rFonts w:ascii="Garamond" w:eastAsia="Times New Roman" w:hAnsi="Garamond" w:cs="Times New Roman"/>
          <w:sz w:val="20"/>
        </w:rPr>
        <w:t>no</w:t>
      </w:r>
      <w:r w:rsidRPr="00395593">
        <w:rPr>
          <w:rFonts w:ascii="Garamond" w:eastAsia="Times New Roman" w:hAnsi="Garamond" w:cs="Times New Roman"/>
          <w:spacing w:val="14"/>
          <w:sz w:val="20"/>
        </w:rPr>
        <w:t xml:space="preserve"> </w:t>
      </w:r>
      <w:r w:rsidRPr="00395593">
        <w:rPr>
          <w:rFonts w:ascii="Garamond" w:eastAsia="Times New Roman" w:hAnsi="Garamond" w:cs="Times New Roman"/>
          <w:sz w:val="20"/>
        </w:rPr>
        <w:t>sentido</w:t>
      </w:r>
      <w:r w:rsidRPr="00395593">
        <w:rPr>
          <w:rFonts w:ascii="Garamond" w:eastAsia="Times New Roman" w:hAnsi="Garamond" w:cs="Times New Roman"/>
          <w:spacing w:val="14"/>
          <w:sz w:val="20"/>
        </w:rPr>
        <w:t xml:space="preserve"> </w:t>
      </w:r>
      <w:r w:rsidRPr="00395593">
        <w:rPr>
          <w:rFonts w:ascii="Garamond" w:eastAsia="Times New Roman" w:hAnsi="Garamond" w:cs="Times New Roman"/>
          <w:sz w:val="20"/>
        </w:rPr>
        <w:t>deste</w:t>
      </w:r>
      <w:r w:rsidRPr="00395593">
        <w:rPr>
          <w:rFonts w:ascii="Garamond" w:eastAsia="Times New Roman" w:hAnsi="Garamond" w:cs="Times New Roman"/>
          <w:spacing w:val="13"/>
          <w:sz w:val="20"/>
        </w:rPr>
        <w:t xml:space="preserve"> </w:t>
      </w:r>
      <w:r w:rsidRPr="00395593">
        <w:rPr>
          <w:rFonts w:ascii="Garamond" w:eastAsia="Times New Roman" w:hAnsi="Garamond" w:cs="Times New Roman"/>
          <w:sz w:val="20"/>
        </w:rPr>
        <w:t>subparágrafo</w:t>
      </w:r>
      <w:r w:rsidRPr="00395593">
        <w:rPr>
          <w:rFonts w:ascii="Garamond" w:eastAsia="Times New Roman" w:hAnsi="Garamond" w:cs="Times New Roman"/>
          <w:spacing w:val="17"/>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15"/>
          <w:sz w:val="20"/>
        </w:rPr>
        <w:t xml:space="preserve"> </w:t>
      </w:r>
      <w:r w:rsidRPr="00395593">
        <w:rPr>
          <w:rFonts w:ascii="Garamond" w:eastAsia="Times New Roman" w:hAnsi="Garamond" w:cs="Times New Roman"/>
          <w:sz w:val="20"/>
        </w:rPr>
        <w:t>circunstância</w:t>
      </w:r>
      <w:r w:rsidRPr="00395593">
        <w:rPr>
          <w:rFonts w:ascii="Garamond" w:eastAsia="Times New Roman" w:hAnsi="Garamond" w:cs="Times New Roman"/>
          <w:spacing w:val="14"/>
          <w:sz w:val="20"/>
        </w:rPr>
        <w:t xml:space="preserve"> </w:t>
      </w:r>
      <w:r w:rsidRPr="00395593">
        <w:rPr>
          <w:rFonts w:ascii="Garamond" w:eastAsia="Times New Roman" w:hAnsi="Garamond" w:cs="Times New Roman"/>
          <w:sz w:val="20"/>
        </w:rPr>
        <w:t>em</w:t>
      </w:r>
    </w:p>
    <w:p w14:paraId="0EE07397" w14:textId="73113D62" w:rsidR="00CB6C86" w:rsidRPr="00395593" w:rsidRDefault="00CB6C86" w:rsidP="00CB6C86">
      <w:pPr>
        <w:widowControl w:val="0"/>
        <w:autoSpaceDE w:val="0"/>
        <w:autoSpaceDN w:val="0"/>
        <w:spacing w:before="10" w:after="0" w:line="240" w:lineRule="auto"/>
        <w:rPr>
          <w:rFonts w:ascii="Garamond" w:eastAsia="Times New Roman" w:hAnsi="Garamond" w:cs="Times New Roman"/>
          <w:sz w:val="20"/>
        </w:rPr>
      </w:pPr>
      <w:r w:rsidRPr="00395593">
        <w:rPr>
          <w:rFonts w:ascii="Garamond" w:eastAsia="Times New Roman" w:hAnsi="Garamond" w:cs="Times New Roman"/>
          <w:sz w:val="20"/>
        </w:rPr>
        <w:t>que</w:t>
      </w:r>
      <w:r w:rsidRPr="00395593">
        <w:rPr>
          <w:rFonts w:ascii="Garamond" w:eastAsia="Times New Roman" w:hAnsi="Garamond" w:cs="Times New Roman"/>
          <w:spacing w:val="41"/>
          <w:sz w:val="20"/>
        </w:rPr>
        <w:t xml:space="preserve"> </w:t>
      </w:r>
      <w:r w:rsidRPr="00395593">
        <w:rPr>
          <w:rFonts w:ascii="Garamond" w:eastAsia="Times New Roman" w:hAnsi="Garamond" w:cs="Times New Roman"/>
          <w:sz w:val="20"/>
        </w:rPr>
        <w:t>financiamento</w:t>
      </w:r>
      <w:r w:rsidRPr="00395593">
        <w:rPr>
          <w:rFonts w:ascii="Garamond" w:eastAsia="Times New Roman" w:hAnsi="Garamond" w:cs="Times New Roman"/>
          <w:spacing w:val="42"/>
          <w:sz w:val="20"/>
        </w:rPr>
        <w:t xml:space="preserve"> </w:t>
      </w:r>
      <w:r w:rsidRPr="00395593">
        <w:rPr>
          <w:rFonts w:ascii="Garamond" w:eastAsia="Times New Roman" w:hAnsi="Garamond" w:cs="Times New Roman"/>
          <w:sz w:val="20"/>
        </w:rPr>
        <w:t>baseados</w:t>
      </w:r>
      <w:r w:rsidRPr="00395593">
        <w:rPr>
          <w:rFonts w:ascii="Garamond" w:eastAsia="Times New Roman" w:hAnsi="Garamond" w:cs="Times New Roman"/>
          <w:spacing w:val="43"/>
          <w:sz w:val="20"/>
        </w:rPr>
        <w:t xml:space="preserve"> </w:t>
      </w:r>
      <w:r w:rsidRPr="00395593">
        <w:rPr>
          <w:rFonts w:ascii="Garamond" w:eastAsia="Times New Roman" w:hAnsi="Garamond" w:cs="Times New Roman"/>
          <w:sz w:val="20"/>
        </w:rPr>
        <w:t>em</w:t>
      </w:r>
      <w:r w:rsidRPr="00395593">
        <w:rPr>
          <w:rFonts w:ascii="Garamond" w:eastAsia="Times New Roman" w:hAnsi="Garamond" w:cs="Times New Roman"/>
          <w:spacing w:val="38"/>
          <w:sz w:val="20"/>
        </w:rPr>
        <w:t xml:space="preserve"> </w:t>
      </w:r>
      <w:r w:rsidRPr="00395593">
        <w:rPr>
          <w:rFonts w:ascii="Garamond" w:eastAsia="Times New Roman" w:hAnsi="Garamond" w:cs="Times New Roman"/>
          <w:sz w:val="20"/>
        </w:rPr>
        <w:t>desempenho</w:t>
      </w:r>
      <w:r w:rsidRPr="00395593">
        <w:rPr>
          <w:rFonts w:ascii="Garamond" w:eastAsia="Times New Roman" w:hAnsi="Garamond" w:cs="Times New Roman"/>
          <w:spacing w:val="42"/>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41"/>
          <w:sz w:val="20"/>
        </w:rPr>
        <w:t xml:space="preserve"> </w:t>
      </w:r>
      <w:r w:rsidRPr="00395593">
        <w:rPr>
          <w:rFonts w:ascii="Garamond" w:eastAsia="Times New Roman" w:hAnsi="Garamond" w:cs="Times New Roman"/>
          <w:sz w:val="20"/>
        </w:rPr>
        <w:t>vendas</w:t>
      </w:r>
      <w:r w:rsidRPr="00395593">
        <w:rPr>
          <w:rFonts w:ascii="Garamond" w:eastAsia="Times New Roman" w:hAnsi="Garamond" w:cs="Times New Roman"/>
          <w:spacing w:val="43"/>
          <w:sz w:val="20"/>
        </w:rPr>
        <w:t xml:space="preserve"> </w:t>
      </w:r>
      <w:r w:rsidRPr="00395593">
        <w:rPr>
          <w:rFonts w:ascii="Garamond" w:eastAsia="Times New Roman" w:hAnsi="Garamond" w:cs="Times New Roman"/>
          <w:sz w:val="20"/>
        </w:rPr>
        <w:t>dentro</w:t>
      </w:r>
      <w:r w:rsidRPr="00395593">
        <w:rPr>
          <w:rFonts w:ascii="Garamond" w:eastAsia="Times New Roman" w:hAnsi="Garamond" w:cs="Times New Roman"/>
          <w:spacing w:val="42"/>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42"/>
          <w:sz w:val="20"/>
        </w:rPr>
        <w:t xml:space="preserve"> </w:t>
      </w:r>
      <w:r w:rsidRPr="00395593">
        <w:rPr>
          <w:rFonts w:ascii="Garamond" w:eastAsia="Times New Roman" w:hAnsi="Garamond" w:cs="Times New Roman"/>
          <w:sz w:val="20"/>
        </w:rPr>
        <w:t>um</w:t>
      </w:r>
      <w:r w:rsidRPr="00395593">
        <w:rPr>
          <w:rFonts w:ascii="Garamond" w:eastAsia="Times New Roman" w:hAnsi="Garamond" w:cs="Times New Roman"/>
          <w:spacing w:val="40"/>
          <w:sz w:val="20"/>
        </w:rPr>
        <w:t xml:space="preserve"> </w:t>
      </w:r>
      <w:r w:rsidRPr="00395593">
        <w:rPr>
          <w:rFonts w:ascii="Garamond" w:eastAsia="Times New Roman" w:hAnsi="Garamond" w:cs="Times New Roman"/>
          <w:sz w:val="20"/>
        </w:rPr>
        <w:t>programa</w:t>
      </w:r>
      <w:r w:rsidRPr="00395593">
        <w:rPr>
          <w:rFonts w:ascii="Garamond" w:eastAsia="Times New Roman" w:hAnsi="Garamond" w:cs="Times New Roman"/>
          <w:spacing w:val="4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44"/>
          <w:sz w:val="20"/>
        </w:rPr>
        <w:t xml:space="preserve"> </w:t>
      </w:r>
      <w:r w:rsidRPr="00395593">
        <w:rPr>
          <w:rFonts w:ascii="Garamond" w:eastAsia="Times New Roman" w:hAnsi="Garamond" w:cs="Times New Roman"/>
          <w:sz w:val="20"/>
        </w:rPr>
        <w:t>aeronaves</w:t>
      </w:r>
      <w:r w:rsidRPr="00395593">
        <w:rPr>
          <w:rFonts w:ascii="Garamond" w:eastAsia="Times New Roman" w:hAnsi="Garamond" w:cs="Times New Roman"/>
          <w:spacing w:val="42"/>
          <w:sz w:val="20"/>
        </w:rPr>
        <w:t xml:space="preserve"> </w:t>
      </w:r>
      <w:r w:rsidRPr="00395593">
        <w:rPr>
          <w:rFonts w:ascii="Garamond" w:eastAsia="Times New Roman" w:hAnsi="Garamond" w:cs="Times New Roman"/>
          <w:sz w:val="20"/>
        </w:rPr>
        <w:t>civis</w:t>
      </w:r>
      <w:r w:rsidRPr="00395593">
        <w:rPr>
          <w:rFonts w:ascii="Garamond" w:eastAsia="Times New Roman" w:hAnsi="Garamond" w:cs="Times New Roman"/>
          <w:spacing w:val="43"/>
          <w:sz w:val="20"/>
        </w:rPr>
        <w:t xml:space="preserve"> </w:t>
      </w:r>
      <w:r w:rsidRPr="00395593">
        <w:rPr>
          <w:rFonts w:ascii="Garamond" w:eastAsia="Times New Roman" w:hAnsi="Garamond" w:cs="Times New Roman"/>
          <w:sz w:val="20"/>
        </w:rPr>
        <w:t>não</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estejam</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sendo plenamente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reembolsados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em</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razão 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vendas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reais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serem</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inferiores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às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vendas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previstas.</w:t>
      </w:r>
    </w:p>
    <w:p w14:paraId="673D49E4" w14:textId="77777777" w:rsidR="00CB6C86" w:rsidRPr="00395593" w:rsidRDefault="00CB6C86" w:rsidP="002C4340">
      <w:pPr>
        <w:widowControl w:val="0"/>
        <w:numPr>
          <w:ilvl w:val="1"/>
          <w:numId w:val="59"/>
        </w:numPr>
        <w:tabs>
          <w:tab w:val="left" w:pos="1182"/>
        </w:tabs>
        <w:autoSpaceDE w:val="0"/>
        <w:autoSpaceDN w:val="0"/>
        <w:spacing w:before="68" w:after="0" w:line="240" w:lineRule="auto"/>
        <w:ind w:left="1181" w:right="122" w:hanging="360"/>
        <w:jc w:val="both"/>
        <w:rPr>
          <w:rFonts w:ascii="Garamond" w:eastAsia="Times New Roman" w:hAnsi="Garamond" w:cs="Times New Roman"/>
          <w:sz w:val="24"/>
        </w:rPr>
      </w:pPr>
      <w:r w:rsidRPr="00395593">
        <w:rPr>
          <w:rFonts w:ascii="Garamond" w:eastAsia="Times New Roman" w:hAnsi="Garamond" w:cs="Times New Roman"/>
          <w:sz w:val="24"/>
        </w:rPr>
        <w:t>provocar significativa redução do preço do produto subsidiado em relação 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preço do produto similar de outro Membro no mesmo mercado ou significativa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contenção de aumento de preços, redução de preços ou perda de vendas 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mesmo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mercado;</w:t>
      </w:r>
    </w:p>
    <w:p w14:paraId="3548A2FE"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3EA1CB15" w14:textId="77777777" w:rsidR="00CB6C86" w:rsidRPr="00395593" w:rsidRDefault="00CB6C86" w:rsidP="002C4340">
      <w:pPr>
        <w:widowControl w:val="0"/>
        <w:numPr>
          <w:ilvl w:val="1"/>
          <w:numId w:val="59"/>
        </w:numPr>
        <w:tabs>
          <w:tab w:val="left" w:pos="1182"/>
        </w:tabs>
        <w:autoSpaceDE w:val="0"/>
        <w:autoSpaceDN w:val="0"/>
        <w:spacing w:after="0" w:line="240" w:lineRule="auto"/>
        <w:ind w:left="1181" w:right="119" w:hanging="360"/>
        <w:jc w:val="both"/>
        <w:rPr>
          <w:rFonts w:ascii="Garamond" w:eastAsia="Times New Roman" w:hAnsi="Garamond" w:cs="Times New Roman"/>
          <w:sz w:val="24"/>
        </w:rPr>
      </w:pPr>
      <w:r w:rsidRPr="00395593">
        <w:rPr>
          <w:rFonts w:ascii="Garamond" w:eastAsia="Times New Roman" w:hAnsi="Garamond" w:cs="Times New Roman"/>
          <w:sz w:val="24"/>
        </w:rPr>
        <w:t>aumentar a participação no mercado mundial de determinado produto primário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ou de base </w:t>
      </w:r>
      <w:r w:rsidRPr="00395593">
        <w:rPr>
          <w:rFonts w:ascii="Garamond" w:eastAsia="Times New Roman" w:hAnsi="Garamond" w:cs="Times New Roman"/>
          <w:sz w:val="24"/>
          <w:vertAlign w:val="superscript"/>
        </w:rPr>
        <w:t>17</w:t>
      </w:r>
      <w:r w:rsidRPr="00395593">
        <w:rPr>
          <w:rFonts w:ascii="Garamond" w:eastAsia="Times New Roman" w:hAnsi="Garamond" w:cs="Times New Roman"/>
          <w:sz w:val="24"/>
        </w:rPr>
        <w:t xml:space="preserve"> subsidiado pelo Membro outorgante, quando se compara com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participação média que o Membro detinha no período de três anos anteriores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quando tal aumento se mantém como firme tendência durante algum tempo após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concessão dos subsídios.</w:t>
      </w:r>
    </w:p>
    <w:p w14:paraId="5FF8B22E"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62D86879" w14:textId="77777777" w:rsidR="00CB6C86" w:rsidRPr="00395593" w:rsidRDefault="00CB6C86" w:rsidP="002C4340">
      <w:pPr>
        <w:widowControl w:val="0"/>
        <w:numPr>
          <w:ilvl w:val="0"/>
          <w:numId w:val="59"/>
        </w:numPr>
        <w:tabs>
          <w:tab w:val="left" w:pos="810"/>
        </w:tabs>
        <w:autoSpaceDE w:val="0"/>
        <w:autoSpaceDN w:val="0"/>
        <w:spacing w:after="0" w:line="240" w:lineRule="auto"/>
        <w:ind w:left="102" w:right="120" w:firstLine="0"/>
        <w:jc w:val="both"/>
        <w:rPr>
          <w:rFonts w:ascii="Garamond" w:eastAsia="Times New Roman" w:hAnsi="Garamond" w:cs="Times New Roman"/>
          <w:sz w:val="24"/>
        </w:rPr>
      </w:pP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finalidades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3(b),</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deslocamento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impedimento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exportações deverão incluir todos os casos em que, com reserva do disposto no parágrafo 7,</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demonstre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havido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modificação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participações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proporcionais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mercado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prejuízo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similar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subsidiado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(durante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período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tempo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suficiente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demonstrar tendências claras de evolução do mercado no que diz respeito ao produto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causa, período esse que em circunstâncias normais deverá ser de pelo menos um ano).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Modificação nas participações proporcionais no mercado incluirá qualquer das seguintes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situações:</w:t>
      </w:r>
      <w:r w:rsidRPr="00395593">
        <w:rPr>
          <w:rFonts w:ascii="Garamond" w:eastAsia="Times New Roman" w:hAnsi="Garamond" w:cs="Times New Roman"/>
          <w:spacing w:val="12"/>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2"/>
          <w:sz w:val="24"/>
        </w:rPr>
        <w:t xml:space="preserve"> </w:t>
      </w:r>
      <w:r w:rsidRPr="00395593">
        <w:rPr>
          <w:rFonts w:ascii="Garamond" w:eastAsia="Times New Roman" w:hAnsi="Garamond" w:cs="Times New Roman"/>
          <w:sz w:val="24"/>
        </w:rPr>
        <w:t>aumento</w:t>
      </w:r>
      <w:r w:rsidRPr="00395593">
        <w:rPr>
          <w:rFonts w:ascii="Garamond" w:eastAsia="Times New Roman" w:hAnsi="Garamond" w:cs="Times New Roman"/>
          <w:spacing w:val="13"/>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1"/>
          <w:sz w:val="24"/>
        </w:rPr>
        <w:t xml:space="preserve"> </w:t>
      </w:r>
      <w:r w:rsidRPr="00395593">
        <w:rPr>
          <w:rFonts w:ascii="Garamond" w:eastAsia="Times New Roman" w:hAnsi="Garamond" w:cs="Times New Roman"/>
          <w:sz w:val="24"/>
        </w:rPr>
        <w:t>participação</w:t>
      </w:r>
      <w:r w:rsidRPr="00395593">
        <w:rPr>
          <w:rFonts w:ascii="Garamond" w:eastAsia="Times New Roman" w:hAnsi="Garamond" w:cs="Times New Roman"/>
          <w:spacing w:val="13"/>
          <w:sz w:val="24"/>
        </w:rPr>
        <w:t xml:space="preserve"> </w:t>
      </w:r>
      <w:r w:rsidRPr="00395593">
        <w:rPr>
          <w:rFonts w:ascii="Garamond" w:eastAsia="Times New Roman" w:hAnsi="Garamond" w:cs="Times New Roman"/>
          <w:sz w:val="24"/>
        </w:rPr>
        <w:t>proporcional</w:t>
      </w:r>
      <w:r w:rsidRPr="00395593">
        <w:rPr>
          <w:rFonts w:ascii="Garamond" w:eastAsia="Times New Roman" w:hAnsi="Garamond" w:cs="Times New Roman"/>
          <w:spacing w:val="13"/>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3"/>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2"/>
          <w:sz w:val="24"/>
        </w:rPr>
        <w:t xml:space="preserve"> </w:t>
      </w:r>
      <w:r w:rsidRPr="00395593">
        <w:rPr>
          <w:rFonts w:ascii="Garamond" w:eastAsia="Times New Roman" w:hAnsi="Garamond" w:cs="Times New Roman"/>
          <w:sz w:val="24"/>
        </w:rPr>
        <w:t>subsidiado</w:t>
      </w:r>
      <w:r w:rsidRPr="00395593">
        <w:rPr>
          <w:rFonts w:ascii="Garamond" w:eastAsia="Times New Roman" w:hAnsi="Garamond" w:cs="Times New Roman"/>
          <w:spacing w:val="12"/>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3"/>
          <w:sz w:val="24"/>
        </w:rPr>
        <w:t xml:space="preserve"> </w:t>
      </w:r>
      <w:r w:rsidRPr="00395593">
        <w:rPr>
          <w:rFonts w:ascii="Garamond" w:eastAsia="Times New Roman" w:hAnsi="Garamond" w:cs="Times New Roman"/>
          <w:sz w:val="24"/>
        </w:rPr>
        <w:t>mercado</w:t>
      </w:r>
      <w:r w:rsidRPr="00395593">
        <w:rPr>
          <w:rFonts w:ascii="Garamond" w:eastAsia="Times New Roman" w:hAnsi="Garamond" w:cs="Times New Roman"/>
          <w:spacing w:val="13"/>
          <w:sz w:val="24"/>
        </w:rPr>
        <w:t xml:space="preserve"> </w:t>
      </w:r>
      <w:r w:rsidRPr="00395593">
        <w:rPr>
          <w:rFonts w:ascii="Garamond" w:eastAsia="Times New Roman" w:hAnsi="Garamond" w:cs="Times New Roman"/>
          <w:sz w:val="24"/>
        </w:rPr>
        <w:t>(b)</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a participação proporcional do produto subsidiado no mercado permanece constante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circunstâncias nas quais ela teria, na ausência de subsídio, declinado (c) a participação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 subsidiado 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mercado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declina em ritmo mais lento do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teria ocorrido 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ausência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subsídio.</w:t>
      </w:r>
    </w:p>
    <w:p w14:paraId="232CDB07" w14:textId="77777777" w:rsidR="00CB6C86" w:rsidRPr="00395593" w:rsidRDefault="00CB6C86" w:rsidP="00ED7102">
      <w:pPr>
        <w:widowControl w:val="0"/>
        <w:autoSpaceDE w:val="0"/>
        <w:autoSpaceDN w:val="0"/>
        <w:spacing w:before="1" w:after="0" w:line="240" w:lineRule="auto"/>
        <w:jc w:val="both"/>
        <w:rPr>
          <w:rFonts w:ascii="Garamond" w:eastAsia="Times New Roman" w:hAnsi="Garamond" w:cs="Times New Roman"/>
          <w:sz w:val="24"/>
          <w:szCs w:val="24"/>
        </w:rPr>
      </w:pPr>
    </w:p>
    <w:p w14:paraId="0ADB52B2" w14:textId="77777777" w:rsidR="00CB6C86" w:rsidRPr="00395593" w:rsidRDefault="00CB6C86" w:rsidP="002C4340">
      <w:pPr>
        <w:widowControl w:val="0"/>
        <w:numPr>
          <w:ilvl w:val="0"/>
          <w:numId w:val="59"/>
        </w:numPr>
        <w:tabs>
          <w:tab w:val="left" w:pos="810"/>
        </w:tabs>
        <w:autoSpaceDE w:val="0"/>
        <w:autoSpaceDN w:val="0"/>
        <w:spacing w:after="0" w:line="240" w:lineRule="auto"/>
        <w:ind w:left="102" w:right="119" w:firstLine="0"/>
        <w:jc w:val="both"/>
        <w:rPr>
          <w:rFonts w:ascii="Garamond" w:eastAsia="Times New Roman" w:hAnsi="Garamond" w:cs="Times New Roman"/>
          <w:sz w:val="24"/>
        </w:rPr>
      </w:pPr>
      <w:r w:rsidRPr="00395593">
        <w:rPr>
          <w:rFonts w:ascii="Garamond" w:eastAsia="Times New Roman" w:hAnsi="Garamond" w:cs="Times New Roman"/>
          <w:sz w:val="24"/>
        </w:rPr>
        <w:t>Para as finalidades do parágrafo 3(c), a redução de preço incluirá todos os casos 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quais tal redução tenha sido demonstrada por meio da comparação de preços do 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subsidiado com os preços de produtos similares não subsidiados oferecidos no mesmo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mercado. A comparação deverá operar-se no mesmo nível de comércio e em momentos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comparáveis,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levando-se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todo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qualquer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fator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possa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afetar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comparação de preços.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 essa comparação direta 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é possível,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porém,</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a fixação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preços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inferiores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poderá 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demonstrada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com base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valores unitários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exportação.</w:t>
      </w:r>
    </w:p>
    <w:p w14:paraId="1B001E27" w14:textId="77777777" w:rsidR="00CB6C86" w:rsidRPr="00395593" w:rsidRDefault="00CB6C86" w:rsidP="00ED7102">
      <w:pPr>
        <w:widowControl w:val="0"/>
        <w:autoSpaceDE w:val="0"/>
        <w:autoSpaceDN w:val="0"/>
        <w:spacing w:before="1" w:after="0" w:line="240" w:lineRule="auto"/>
        <w:jc w:val="both"/>
        <w:rPr>
          <w:rFonts w:ascii="Garamond" w:eastAsia="Times New Roman" w:hAnsi="Garamond" w:cs="Times New Roman"/>
          <w:sz w:val="24"/>
          <w:szCs w:val="24"/>
        </w:rPr>
      </w:pPr>
    </w:p>
    <w:p w14:paraId="6E918D71" w14:textId="77777777" w:rsidR="00CB6C86" w:rsidRPr="00395593" w:rsidRDefault="00CB6C86" w:rsidP="002C4340">
      <w:pPr>
        <w:widowControl w:val="0"/>
        <w:numPr>
          <w:ilvl w:val="0"/>
          <w:numId w:val="59"/>
        </w:numPr>
        <w:tabs>
          <w:tab w:val="left" w:pos="810"/>
        </w:tabs>
        <w:autoSpaceDE w:val="0"/>
        <w:autoSpaceDN w:val="0"/>
        <w:spacing w:after="0" w:line="240" w:lineRule="auto"/>
        <w:ind w:left="102" w:right="117" w:firstLine="0"/>
        <w:jc w:val="both"/>
        <w:rPr>
          <w:rFonts w:ascii="Garamond" w:eastAsia="Times New Roman" w:hAnsi="Garamond" w:cs="Times New Roman"/>
          <w:sz w:val="24"/>
        </w:rPr>
      </w:pPr>
      <w:r w:rsidRPr="00395593">
        <w:rPr>
          <w:rFonts w:ascii="Garamond" w:eastAsia="Times New Roman" w:hAnsi="Garamond" w:cs="Times New Roman"/>
          <w:sz w:val="24"/>
        </w:rPr>
        <w:t>Aquele Membro que alega existir grave dano em seu mercado deverá, reservadas 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disposições do parágrafo 3 do Anexo V, facultar às partes em litígio disciplinado pelo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 7, assim como ao grupo especial estabelecido segundo o disposto no parágrafo 4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 7, todas as informações relevantes que possam ser obtidas acerca das participações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 partes litigantes no mercado, bem como aquelas relativas aos preços dos produtos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causa.</w:t>
      </w:r>
    </w:p>
    <w:p w14:paraId="60EC08A2"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5A140DEF"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4E6776EB"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724A0131"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1C1C9D41"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10C9822F"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1D940810" w14:textId="5B0FCAA3"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07DDBA5E" w14:textId="0F881E35"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73FB919F" w14:textId="1085EFD3"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7D4E2A5F" w14:textId="77777777" w:rsidR="00D65665" w:rsidRPr="005C5CBD" w:rsidRDefault="00D65665" w:rsidP="00E33E26">
      <w:pPr>
        <w:widowControl w:val="0"/>
        <w:autoSpaceDE w:val="0"/>
        <w:autoSpaceDN w:val="0"/>
        <w:spacing w:after="0" w:line="240" w:lineRule="auto"/>
        <w:rPr>
          <w:rFonts w:ascii="Garamond" w:eastAsia="Times New Roman" w:hAnsi="Garamond" w:cs="Times New Roman"/>
          <w:sz w:val="20"/>
          <w:szCs w:val="24"/>
        </w:rPr>
      </w:pPr>
    </w:p>
    <w:p w14:paraId="53061020" w14:textId="35E24B8F" w:rsidR="00CB6C86" w:rsidRPr="00395593" w:rsidRDefault="00CB6C86" w:rsidP="00CB6C86">
      <w:pPr>
        <w:widowControl w:val="0"/>
        <w:autoSpaceDE w:val="0"/>
        <w:autoSpaceDN w:val="0"/>
        <w:spacing w:before="1" w:after="0" w:line="240" w:lineRule="auto"/>
        <w:rPr>
          <w:rFonts w:ascii="Garamond" w:eastAsia="Times New Roman" w:hAnsi="Garamond" w:cs="Times New Roman"/>
          <w:sz w:val="27"/>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61" behindDoc="1" locked="0" layoutInCell="1" allowOverlap="1" wp14:anchorId="0F36224C" wp14:editId="524ED8DC">
                <wp:simplePos x="0" y="0"/>
                <wp:positionH relativeFrom="page">
                  <wp:posOffset>1080770</wp:posOffset>
                </wp:positionH>
                <wp:positionV relativeFrom="paragraph">
                  <wp:posOffset>213360</wp:posOffset>
                </wp:positionV>
                <wp:extent cx="1828800" cy="7620"/>
                <wp:effectExtent l="4445" t="0" r="0" b="3175"/>
                <wp:wrapTopAndBottom/>
                <wp:docPr id="432" name="Retângulo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33C66" id="Retângulo 432" o:spid="_x0000_s1026" style="position:absolute;margin-left:85.1pt;margin-top:16.8pt;width:2in;height:.6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" fillcolor="black" stroked="f">
                <w10:wrap type="topAndBottom" anchorx="page"/>
              </v:rect>
            </w:pict>
          </mc:Fallback>
        </mc:AlternateContent>
      </w:r>
    </w:p>
    <w:p w14:paraId="0AE1163D" w14:textId="77777777" w:rsidR="00CB6C86" w:rsidRPr="00395593" w:rsidRDefault="00CB6C86" w:rsidP="00CB6C86">
      <w:pPr>
        <w:widowControl w:val="0"/>
        <w:autoSpaceDE w:val="0"/>
        <w:autoSpaceDN w:val="0"/>
        <w:spacing w:before="103" w:after="0" w:line="240" w:lineRule="auto"/>
        <w:rPr>
          <w:rFonts w:ascii="Garamond" w:eastAsia="Times New Roman" w:hAnsi="Garamond" w:cs="Times New Roman"/>
          <w:sz w:val="20"/>
        </w:rPr>
      </w:pPr>
      <w:r w:rsidRPr="00395593">
        <w:rPr>
          <w:rFonts w:ascii="Garamond" w:eastAsia="Times New Roman" w:hAnsi="Garamond" w:cs="Times New Roman"/>
          <w:sz w:val="20"/>
          <w:vertAlign w:val="superscript"/>
        </w:rPr>
        <w:t>17</w:t>
      </w:r>
      <w:r w:rsidRPr="00395593">
        <w:rPr>
          <w:rFonts w:ascii="Garamond" w:eastAsia="Times New Roman" w:hAnsi="Garamond" w:cs="Times New Roman"/>
          <w:spacing w:val="17"/>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15"/>
          <w:sz w:val="20"/>
        </w:rPr>
        <w:t xml:space="preserve"> </w:t>
      </w:r>
      <w:r w:rsidRPr="00395593">
        <w:rPr>
          <w:rFonts w:ascii="Garamond" w:eastAsia="Times New Roman" w:hAnsi="Garamond" w:cs="Times New Roman"/>
          <w:sz w:val="20"/>
        </w:rPr>
        <w:t>menos</w:t>
      </w:r>
      <w:r w:rsidRPr="00395593">
        <w:rPr>
          <w:rFonts w:ascii="Garamond" w:eastAsia="Times New Roman" w:hAnsi="Garamond" w:cs="Times New Roman"/>
          <w:spacing w:val="15"/>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17"/>
          <w:sz w:val="20"/>
        </w:rPr>
        <w:t xml:space="preserve"> </w:t>
      </w:r>
      <w:r w:rsidRPr="00395593">
        <w:rPr>
          <w:rFonts w:ascii="Garamond" w:eastAsia="Times New Roman" w:hAnsi="Garamond" w:cs="Times New Roman"/>
          <w:sz w:val="20"/>
        </w:rPr>
        <w:t>outras</w:t>
      </w:r>
      <w:r w:rsidRPr="00395593">
        <w:rPr>
          <w:rFonts w:ascii="Garamond" w:eastAsia="Times New Roman" w:hAnsi="Garamond" w:cs="Times New Roman"/>
          <w:spacing w:val="16"/>
          <w:sz w:val="20"/>
        </w:rPr>
        <w:t xml:space="preserve"> </w:t>
      </w:r>
      <w:r w:rsidRPr="00395593">
        <w:rPr>
          <w:rFonts w:ascii="Garamond" w:eastAsia="Times New Roman" w:hAnsi="Garamond" w:cs="Times New Roman"/>
          <w:sz w:val="20"/>
        </w:rPr>
        <w:t>regras</w:t>
      </w:r>
      <w:r w:rsidRPr="00395593">
        <w:rPr>
          <w:rFonts w:ascii="Garamond" w:eastAsia="Times New Roman" w:hAnsi="Garamond" w:cs="Times New Roman"/>
          <w:spacing w:val="17"/>
          <w:sz w:val="20"/>
        </w:rPr>
        <w:t xml:space="preserve"> </w:t>
      </w:r>
      <w:r w:rsidRPr="00395593">
        <w:rPr>
          <w:rFonts w:ascii="Garamond" w:eastAsia="Times New Roman" w:hAnsi="Garamond" w:cs="Times New Roman"/>
          <w:sz w:val="20"/>
        </w:rPr>
        <w:t>acordadas</w:t>
      </w:r>
      <w:r w:rsidRPr="00395593">
        <w:rPr>
          <w:rFonts w:ascii="Garamond" w:eastAsia="Times New Roman" w:hAnsi="Garamond" w:cs="Times New Roman"/>
          <w:spacing w:val="14"/>
          <w:sz w:val="20"/>
        </w:rPr>
        <w:t xml:space="preserve"> </w:t>
      </w:r>
      <w:r w:rsidRPr="00395593">
        <w:rPr>
          <w:rFonts w:ascii="Garamond" w:eastAsia="Times New Roman" w:hAnsi="Garamond" w:cs="Times New Roman"/>
          <w:sz w:val="20"/>
        </w:rPr>
        <w:t>bilateralmente</w:t>
      </w:r>
      <w:r w:rsidRPr="00395593">
        <w:rPr>
          <w:rFonts w:ascii="Garamond" w:eastAsia="Times New Roman" w:hAnsi="Garamond" w:cs="Times New Roman"/>
          <w:spacing w:val="16"/>
          <w:sz w:val="20"/>
        </w:rPr>
        <w:t xml:space="preserve"> </w:t>
      </w:r>
      <w:r w:rsidRPr="00395593">
        <w:rPr>
          <w:rFonts w:ascii="Garamond" w:eastAsia="Times New Roman" w:hAnsi="Garamond" w:cs="Times New Roman"/>
          <w:sz w:val="20"/>
        </w:rPr>
        <w:t>se</w:t>
      </w:r>
      <w:r w:rsidRPr="00395593">
        <w:rPr>
          <w:rFonts w:ascii="Garamond" w:eastAsia="Times New Roman" w:hAnsi="Garamond" w:cs="Times New Roman"/>
          <w:spacing w:val="19"/>
          <w:sz w:val="20"/>
        </w:rPr>
        <w:t xml:space="preserve"> </w:t>
      </w:r>
      <w:r w:rsidRPr="00395593">
        <w:rPr>
          <w:rFonts w:ascii="Garamond" w:eastAsia="Times New Roman" w:hAnsi="Garamond" w:cs="Times New Roman"/>
          <w:sz w:val="20"/>
        </w:rPr>
        <w:t>apliquem</w:t>
      </w:r>
      <w:r w:rsidRPr="00395593">
        <w:rPr>
          <w:rFonts w:ascii="Garamond" w:eastAsia="Times New Roman" w:hAnsi="Garamond" w:cs="Times New Roman"/>
          <w:spacing w:val="12"/>
          <w:sz w:val="20"/>
        </w:rPr>
        <w:t xml:space="preserve"> </w:t>
      </w:r>
      <w:r w:rsidRPr="00395593">
        <w:rPr>
          <w:rFonts w:ascii="Garamond" w:eastAsia="Times New Roman" w:hAnsi="Garamond" w:cs="Times New Roman"/>
          <w:sz w:val="20"/>
        </w:rPr>
        <w:t>ao</w:t>
      </w:r>
      <w:r w:rsidRPr="00395593">
        <w:rPr>
          <w:rFonts w:ascii="Garamond" w:eastAsia="Times New Roman" w:hAnsi="Garamond" w:cs="Times New Roman"/>
          <w:spacing w:val="16"/>
          <w:sz w:val="20"/>
        </w:rPr>
        <w:t xml:space="preserve"> </w:t>
      </w:r>
      <w:r w:rsidRPr="00395593">
        <w:rPr>
          <w:rFonts w:ascii="Garamond" w:eastAsia="Times New Roman" w:hAnsi="Garamond" w:cs="Times New Roman"/>
          <w:sz w:val="20"/>
        </w:rPr>
        <w:t>comércio</w:t>
      </w:r>
      <w:r w:rsidRPr="00395593">
        <w:rPr>
          <w:rFonts w:ascii="Garamond" w:eastAsia="Times New Roman" w:hAnsi="Garamond" w:cs="Times New Roman"/>
          <w:spacing w:val="16"/>
          <w:sz w:val="20"/>
        </w:rPr>
        <w:t xml:space="preserve"> </w:t>
      </w:r>
      <w:r w:rsidRPr="00395593">
        <w:rPr>
          <w:rFonts w:ascii="Garamond" w:eastAsia="Times New Roman" w:hAnsi="Garamond" w:cs="Times New Roman"/>
          <w:sz w:val="20"/>
        </w:rPr>
        <w:t>do</w:t>
      </w:r>
      <w:r w:rsidRPr="00395593">
        <w:rPr>
          <w:rFonts w:ascii="Garamond" w:eastAsia="Times New Roman" w:hAnsi="Garamond" w:cs="Times New Roman"/>
          <w:spacing w:val="25"/>
          <w:sz w:val="20"/>
        </w:rPr>
        <w:t xml:space="preserve"> </w:t>
      </w:r>
      <w:r w:rsidRPr="00395593">
        <w:rPr>
          <w:rFonts w:ascii="Garamond" w:eastAsia="Times New Roman" w:hAnsi="Garamond" w:cs="Times New Roman"/>
          <w:sz w:val="20"/>
        </w:rPr>
        <w:t>produto</w:t>
      </w:r>
      <w:r w:rsidRPr="00395593">
        <w:rPr>
          <w:rFonts w:ascii="Garamond" w:eastAsia="Times New Roman" w:hAnsi="Garamond" w:cs="Times New Roman"/>
          <w:spacing w:val="16"/>
          <w:sz w:val="20"/>
        </w:rPr>
        <w:t xml:space="preserve"> </w:t>
      </w:r>
      <w:r w:rsidRPr="00395593">
        <w:rPr>
          <w:rFonts w:ascii="Garamond" w:eastAsia="Times New Roman" w:hAnsi="Garamond" w:cs="Times New Roman"/>
          <w:sz w:val="20"/>
        </w:rPr>
        <w:t>primário</w:t>
      </w:r>
      <w:r w:rsidRPr="00395593">
        <w:rPr>
          <w:rFonts w:ascii="Garamond" w:eastAsia="Times New Roman" w:hAnsi="Garamond" w:cs="Times New Roman"/>
          <w:spacing w:val="15"/>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6"/>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base em</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causa.</w:t>
      </w:r>
    </w:p>
    <w:p w14:paraId="73E87C94" w14:textId="77777777" w:rsidR="00D65665" w:rsidRDefault="00D65665">
      <w:pPr>
        <w:rPr>
          <w:rFonts w:ascii="Garamond" w:eastAsia="Times New Roman" w:hAnsi="Garamond" w:cs="Times New Roman"/>
          <w:sz w:val="24"/>
        </w:rPr>
      </w:pPr>
      <w:r>
        <w:rPr>
          <w:rFonts w:ascii="Garamond" w:eastAsia="Times New Roman" w:hAnsi="Garamond" w:cs="Times New Roman"/>
          <w:sz w:val="24"/>
        </w:rPr>
        <w:br w:type="page"/>
      </w:r>
    </w:p>
    <w:p w14:paraId="3B511A32" w14:textId="137112BC" w:rsidR="00CB6C86" w:rsidRPr="00395593" w:rsidRDefault="00CB6C86" w:rsidP="001B6931">
      <w:pPr>
        <w:widowControl w:val="0"/>
        <w:autoSpaceDE w:val="0"/>
        <w:autoSpaceDN w:val="0"/>
        <w:spacing w:before="103" w:after="0" w:line="240" w:lineRule="auto"/>
        <w:rPr>
          <w:rFonts w:ascii="Garamond" w:eastAsia="Times New Roman" w:hAnsi="Garamond" w:cs="Times New Roman"/>
          <w:sz w:val="24"/>
        </w:rPr>
      </w:pP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ocorre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deslocamento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obstrução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resulte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grave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luz</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parágrafo 3, sempre que uma das seguintes circunstâncias exista </w:t>
      </w:r>
      <w:r w:rsidRPr="00395593">
        <w:rPr>
          <w:rFonts w:ascii="Garamond" w:eastAsia="Times New Roman" w:hAnsi="Garamond" w:cs="Times New Roman"/>
          <w:sz w:val="24"/>
          <w:vertAlign w:val="superscript"/>
        </w:rPr>
        <w:t>18</w:t>
      </w:r>
      <w:r w:rsidRPr="00395593">
        <w:rPr>
          <w:rFonts w:ascii="Garamond" w:eastAsia="Times New Roman" w:hAnsi="Garamond" w:cs="Times New Roman"/>
          <w:sz w:val="24"/>
        </w:rPr>
        <w:t xml:space="preserve"> durante o período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questão:</w:t>
      </w:r>
    </w:p>
    <w:p w14:paraId="3166B52D"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4C413DFD" w14:textId="77777777" w:rsidR="00CB6C86" w:rsidRPr="00395593" w:rsidRDefault="00CB6C86" w:rsidP="002C4340">
      <w:pPr>
        <w:widowControl w:val="0"/>
        <w:numPr>
          <w:ilvl w:val="1"/>
          <w:numId w:val="59"/>
        </w:numPr>
        <w:tabs>
          <w:tab w:val="left" w:pos="1161"/>
        </w:tabs>
        <w:autoSpaceDE w:val="0"/>
        <w:autoSpaceDN w:val="0"/>
        <w:spacing w:after="0" w:line="240" w:lineRule="auto"/>
        <w:ind w:left="1181" w:right="119" w:hanging="360"/>
        <w:jc w:val="both"/>
        <w:rPr>
          <w:rFonts w:ascii="Garamond" w:eastAsia="Times New Roman" w:hAnsi="Garamond" w:cs="Times New Roman"/>
          <w:sz w:val="24"/>
        </w:rPr>
      </w:pPr>
      <w:r w:rsidRPr="00395593">
        <w:rPr>
          <w:rFonts w:ascii="Garamond" w:eastAsia="Times New Roman" w:hAnsi="Garamond" w:cs="Times New Roman"/>
          <w:sz w:val="24"/>
        </w:rPr>
        <w:t>proibição ou restrição das exportações do produto similar por parte do 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reclamante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terceiro pais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 partir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reclamante;</w:t>
      </w:r>
    </w:p>
    <w:p w14:paraId="7DF3E70D"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10F3DD41" w14:textId="77777777" w:rsidR="00CB6C86" w:rsidRPr="00395593" w:rsidRDefault="00CB6C86" w:rsidP="002C4340">
      <w:pPr>
        <w:widowControl w:val="0"/>
        <w:numPr>
          <w:ilvl w:val="1"/>
          <w:numId w:val="59"/>
        </w:numPr>
        <w:tabs>
          <w:tab w:val="left" w:pos="1213"/>
        </w:tabs>
        <w:autoSpaceDE w:val="0"/>
        <w:autoSpaceDN w:val="0"/>
        <w:spacing w:after="0" w:line="240" w:lineRule="auto"/>
        <w:ind w:left="1181" w:right="118" w:hanging="360"/>
        <w:jc w:val="both"/>
        <w:rPr>
          <w:rFonts w:ascii="Garamond" w:eastAsia="Times New Roman" w:hAnsi="Garamond" w:cs="Times New Roman"/>
          <w:sz w:val="24"/>
        </w:rPr>
      </w:pPr>
      <w:r w:rsidRPr="00395593">
        <w:rPr>
          <w:rFonts w:ascii="Garamond" w:eastAsia="Times New Roman" w:hAnsi="Garamond" w:cs="Times New Roman"/>
          <w:sz w:val="24"/>
        </w:rPr>
        <w:t>decisão tomada por governo importador que opere monopólio comercial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atividade comercial estatal do produto em causa no sentido de mudar, por razões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não comerciais, a fonte de suas importações do Membro reclamante para outro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país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 países;</w:t>
      </w:r>
    </w:p>
    <w:p w14:paraId="767BC015"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0484CBAF" w14:textId="77777777" w:rsidR="00CB6C86" w:rsidRPr="00395593" w:rsidRDefault="00CB6C86" w:rsidP="002C4340">
      <w:pPr>
        <w:widowControl w:val="0"/>
        <w:numPr>
          <w:ilvl w:val="1"/>
          <w:numId w:val="59"/>
        </w:numPr>
        <w:tabs>
          <w:tab w:val="left" w:pos="1161"/>
        </w:tabs>
        <w:autoSpaceDE w:val="0"/>
        <w:autoSpaceDN w:val="0"/>
        <w:spacing w:after="0" w:line="240" w:lineRule="auto"/>
        <w:ind w:left="1181" w:right="117" w:hanging="360"/>
        <w:jc w:val="both"/>
        <w:rPr>
          <w:rFonts w:ascii="Garamond" w:eastAsia="Times New Roman" w:hAnsi="Garamond" w:cs="Times New Roman"/>
          <w:sz w:val="24"/>
        </w:rPr>
      </w:pPr>
      <w:r w:rsidRPr="00395593">
        <w:rPr>
          <w:rFonts w:ascii="Garamond" w:eastAsia="Times New Roman" w:hAnsi="Garamond" w:cs="Times New Roman"/>
          <w:sz w:val="24"/>
        </w:rPr>
        <w:t>desastres naturais, greves, interrupções de transporte ou outros eventos de força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maior que afetem substancialmente a produção, as qualidades, as quantidades ou</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preços do 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disponível para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exportação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 reclamante;</w:t>
      </w:r>
    </w:p>
    <w:p w14:paraId="7586BB55" w14:textId="77777777" w:rsidR="00CB6C86" w:rsidRPr="00395593" w:rsidRDefault="00CB6C86" w:rsidP="00AE2332">
      <w:pPr>
        <w:widowControl w:val="0"/>
        <w:autoSpaceDE w:val="0"/>
        <w:autoSpaceDN w:val="0"/>
        <w:spacing w:before="1" w:after="0" w:line="240" w:lineRule="auto"/>
        <w:jc w:val="both"/>
        <w:rPr>
          <w:rFonts w:ascii="Garamond" w:eastAsia="Times New Roman" w:hAnsi="Garamond" w:cs="Times New Roman"/>
          <w:sz w:val="24"/>
          <w:szCs w:val="24"/>
        </w:rPr>
      </w:pPr>
    </w:p>
    <w:p w14:paraId="4CCDA603" w14:textId="77777777" w:rsidR="00CB6C86" w:rsidRPr="00395593" w:rsidRDefault="00CB6C86" w:rsidP="002C4340">
      <w:pPr>
        <w:widowControl w:val="0"/>
        <w:numPr>
          <w:ilvl w:val="1"/>
          <w:numId w:val="59"/>
        </w:numPr>
        <w:tabs>
          <w:tab w:val="left" w:pos="1161"/>
        </w:tabs>
        <w:autoSpaceDE w:val="0"/>
        <w:autoSpaceDN w:val="0"/>
        <w:spacing w:after="0" w:line="240" w:lineRule="auto"/>
        <w:ind w:left="1160" w:hanging="340"/>
        <w:jc w:val="both"/>
        <w:rPr>
          <w:rFonts w:ascii="Garamond" w:eastAsia="Times New Roman" w:hAnsi="Garamond" w:cs="Times New Roman"/>
          <w:sz w:val="24"/>
        </w:rPr>
      </w:pPr>
      <w:r w:rsidRPr="00395593">
        <w:rPr>
          <w:rFonts w:ascii="Garamond" w:eastAsia="Times New Roman" w:hAnsi="Garamond" w:cs="Times New Roman"/>
          <w:sz w:val="24"/>
        </w:rPr>
        <w:t>existência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acordos para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limitação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exportações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reclamante;</w:t>
      </w:r>
    </w:p>
    <w:p w14:paraId="08669DEE"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63C568F5" w14:textId="77777777" w:rsidR="00CB6C86" w:rsidRPr="00395593" w:rsidRDefault="00CB6C86" w:rsidP="002C4340">
      <w:pPr>
        <w:widowControl w:val="0"/>
        <w:numPr>
          <w:ilvl w:val="1"/>
          <w:numId w:val="59"/>
        </w:numPr>
        <w:tabs>
          <w:tab w:val="left" w:pos="1165"/>
        </w:tabs>
        <w:autoSpaceDE w:val="0"/>
        <w:autoSpaceDN w:val="0"/>
        <w:spacing w:after="0" w:line="240" w:lineRule="auto"/>
        <w:ind w:left="1181" w:right="122" w:hanging="360"/>
        <w:jc w:val="both"/>
        <w:rPr>
          <w:rFonts w:ascii="Garamond" w:eastAsia="Times New Roman" w:hAnsi="Garamond" w:cs="Times New Roman"/>
          <w:sz w:val="24"/>
        </w:rPr>
      </w:pPr>
      <w:r w:rsidRPr="00395593">
        <w:rPr>
          <w:rFonts w:ascii="Garamond" w:eastAsia="Times New Roman" w:hAnsi="Garamond" w:cs="Times New Roman"/>
          <w:sz w:val="24"/>
        </w:rPr>
        <w:t>redução voluntária, no Membro reclamante, da disponibilidade do produto 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exportação (o que inclui, </w:t>
      </w:r>
      <w:r w:rsidRPr="00395593">
        <w:rPr>
          <w:rFonts w:ascii="Garamond" w:eastAsia="Times New Roman" w:hAnsi="Garamond" w:cs="Times New Roman"/>
          <w:i/>
          <w:sz w:val="24"/>
        </w:rPr>
        <w:t>inter alia</w:t>
      </w:r>
      <w:r w:rsidRPr="00395593">
        <w:rPr>
          <w:rFonts w:ascii="Garamond" w:eastAsia="Times New Roman" w:hAnsi="Garamond" w:cs="Times New Roman"/>
          <w:sz w:val="24"/>
        </w:rPr>
        <w:t>, a situação em que empresas localizadas 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reclamante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tenham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independentemente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realocado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novos mercados);</w:t>
      </w:r>
    </w:p>
    <w:p w14:paraId="2758735F"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074EBA5D" w14:textId="77777777" w:rsidR="00CB6C86" w:rsidRPr="00395593" w:rsidRDefault="00CB6C86" w:rsidP="002C4340">
      <w:pPr>
        <w:widowControl w:val="0"/>
        <w:numPr>
          <w:ilvl w:val="1"/>
          <w:numId w:val="59"/>
        </w:numPr>
        <w:tabs>
          <w:tab w:val="left" w:pos="1182"/>
        </w:tabs>
        <w:autoSpaceDE w:val="0"/>
        <w:autoSpaceDN w:val="0"/>
        <w:spacing w:after="0" w:line="240" w:lineRule="auto"/>
        <w:ind w:left="1181" w:right="121" w:hanging="360"/>
        <w:jc w:val="both"/>
        <w:rPr>
          <w:rFonts w:ascii="Garamond" w:eastAsia="Times New Roman" w:hAnsi="Garamond" w:cs="Times New Roman"/>
          <w:sz w:val="24"/>
        </w:rPr>
      </w:pPr>
      <w:r w:rsidRPr="00395593">
        <w:rPr>
          <w:rFonts w:ascii="Garamond" w:eastAsia="Times New Roman" w:hAnsi="Garamond" w:cs="Times New Roman"/>
          <w:sz w:val="24"/>
        </w:rPr>
        <w:t>incapacidade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satisfazer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padrões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requisitos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técnicos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país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importador.</w:t>
      </w:r>
    </w:p>
    <w:p w14:paraId="725033C2"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09DE9F9A" w14:textId="77777777" w:rsidR="00CB6C86" w:rsidRPr="00395593" w:rsidRDefault="00CB6C86" w:rsidP="002C4340">
      <w:pPr>
        <w:widowControl w:val="0"/>
        <w:numPr>
          <w:ilvl w:val="0"/>
          <w:numId w:val="59"/>
        </w:numPr>
        <w:tabs>
          <w:tab w:val="left" w:pos="810"/>
        </w:tabs>
        <w:autoSpaceDE w:val="0"/>
        <w:autoSpaceDN w:val="0"/>
        <w:spacing w:before="1" w:after="0" w:line="240" w:lineRule="auto"/>
        <w:ind w:left="102" w:right="124" w:firstLine="0"/>
        <w:jc w:val="both"/>
        <w:rPr>
          <w:rFonts w:ascii="Garamond" w:eastAsia="Times New Roman" w:hAnsi="Garamond" w:cs="Times New Roman"/>
          <w:sz w:val="24"/>
        </w:rPr>
      </w:pPr>
      <w:r w:rsidRPr="00395593">
        <w:rPr>
          <w:rFonts w:ascii="Garamond" w:eastAsia="Times New Roman" w:hAnsi="Garamond" w:cs="Times New Roman"/>
          <w:sz w:val="24"/>
        </w:rPr>
        <w:t>Na ausência das circunstâncias a que se refere o parágrafo 7, a existência de grave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dano será determinada com base na informação submetida ao grupo especial ou por ele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obtida,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inclusive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nas informações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submetidas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com o disposto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Anexo V.</w:t>
      </w:r>
    </w:p>
    <w:p w14:paraId="3C9D8FD1"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03A31999" w14:textId="77777777" w:rsidR="00CB6C86" w:rsidRPr="00395593" w:rsidRDefault="00CB6C86" w:rsidP="002C4340">
      <w:pPr>
        <w:widowControl w:val="0"/>
        <w:numPr>
          <w:ilvl w:val="0"/>
          <w:numId w:val="59"/>
        </w:numPr>
        <w:tabs>
          <w:tab w:val="left" w:pos="810"/>
        </w:tabs>
        <w:autoSpaceDE w:val="0"/>
        <w:autoSpaceDN w:val="0"/>
        <w:spacing w:after="0" w:line="240" w:lineRule="auto"/>
        <w:ind w:left="102" w:right="127" w:firstLine="0"/>
        <w:jc w:val="both"/>
        <w:rPr>
          <w:rFonts w:ascii="Garamond" w:eastAsia="Times New Roman" w:hAnsi="Garamond" w:cs="Times New Roman"/>
          <w:sz w:val="24"/>
        </w:rPr>
      </w:pPr>
      <w:r w:rsidRPr="00395593">
        <w:rPr>
          <w:rFonts w:ascii="Garamond" w:eastAsia="Times New Roman" w:hAnsi="Garamond" w:cs="Times New Roman"/>
          <w:sz w:val="24"/>
        </w:rPr>
        <w:t>Este Artigo não se aplica aos subsídios outorgados a produtos agrícolas, tal como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Artigo 13 do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Agricultura.</w:t>
      </w:r>
    </w:p>
    <w:p w14:paraId="2319BFCD"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2DDFDE4F"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4"/>
          <w:sz w:val="24"/>
          <w:szCs w:val="24"/>
        </w:rPr>
        <w:t xml:space="preserve"> </w:t>
      </w:r>
      <w:r w:rsidRPr="00395593">
        <w:rPr>
          <w:rFonts w:ascii="Garamond" w:eastAsia="Times New Roman" w:hAnsi="Garamond" w:cs="Times New Roman"/>
          <w:b/>
          <w:sz w:val="24"/>
          <w:szCs w:val="24"/>
        </w:rPr>
        <w:t>7</w:t>
      </w:r>
    </w:p>
    <w:p w14:paraId="00605771"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0B073C42" w14:textId="77777777" w:rsidR="00CB6C86" w:rsidRPr="00395593" w:rsidRDefault="00CB6C86" w:rsidP="00CB6C8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Recursos</w:t>
      </w:r>
    </w:p>
    <w:p w14:paraId="2F9F57EB"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0EFC8D1C" w14:textId="77777777" w:rsidR="00CB6C86" w:rsidRPr="00395593" w:rsidRDefault="00CB6C86" w:rsidP="002C4340">
      <w:pPr>
        <w:widowControl w:val="0"/>
        <w:numPr>
          <w:ilvl w:val="0"/>
          <w:numId w:val="58"/>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Com exceção do disposto no Artigo 13 do Acordo sobre Agricultura, um 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poderá requerer consultas com outro Membro sempre que tenha motivos para acreditar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 subsídio mencionado no Artigo 1, concedido ou mantido pelo outro Membro, esteja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produzindo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dano, anulação ou prejuízo ou grave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dano 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indústria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nacional.</w:t>
      </w:r>
    </w:p>
    <w:p w14:paraId="09BE1EFD"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64D207B7" w14:textId="5CE59054"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6DDEDF39" w14:textId="40AC2B2F"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28017CDF" w14:textId="51BB9D04"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25837939" w14:textId="7685981D"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7E29868B" w14:textId="6E961ECB"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102839C0" w14:textId="49226BD9"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489045C4" w14:textId="77777777" w:rsidR="00D65665" w:rsidRPr="005C5CBD" w:rsidRDefault="00D65665" w:rsidP="00E33E26">
      <w:pPr>
        <w:widowControl w:val="0"/>
        <w:autoSpaceDE w:val="0"/>
        <w:autoSpaceDN w:val="0"/>
        <w:spacing w:after="0" w:line="240" w:lineRule="auto"/>
        <w:rPr>
          <w:rFonts w:ascii="Garamond" w:eastAsia="Times New Roman" w:hAnsi="Garamond" w:cs="Times New Roman"/>
          <w:sz w:val="20"/>
          <w:szCs w:val="24"/>
        </w:rPr>
      </w:pPr>
    </w:p>
    <w:p w14:paraId="687EEDB7" w14:textId="7371C844" w:rsidR="00CB6C86" w:rsidRPr="00395593" w:rsidRDefault="00CB6C86" w:rsidP="00CB6C86">
      <w:pPr>
        <w:widowControl w:val="0"/>
        <w:autoSpaceDE w:val="0"/>
        <w:autoSpaceDN w:val="0"/>
        <w:spacing w:after="0" w:line="240" w:lineRule="auto"/>
        <w:rPr>
          <w:rFonts w:ascii="Garamond" w:eastAsia="Times New Roman" w:hAnsi="Garamond" w:cs="Times New Roman"/>
          <w:sz w:val="15"/>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62" behindDoc="1" locked="0" layoutInCell="1" allowOverlap="1" wp14:anchorId="2ACE63C0" wp14:editId="0163F9C6">
                <wp:simplePos x="0" y="0"/>
                <wp:positionH relativeFrom="page">
                  <wp:posOffset>1080770</wp:posOffset>
                </wp:positionH>
                <wp:positionV relativeFrom="paragraph">
                  <wp:posOffset>125095</wp:posOffset>
                </wp:positionV>
                <wp:extent cx="1828800" cy="7620"/>
                <wp:effectExtent l="4445" t="4445" r="0" b="0"/>
                <wp:wrapTopAndBottom/>
                <wp:docPr id="431" name="Retângulo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C7ACB" id="Retângulo 431" o:spid="_x0000_s1026" style="position:absolute;margin-left:85.1pt;margin-top:9.85pt;width:2in;height:.6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" fillcolor="black" stroked="f">
                <w10:wrap type="topAndBottom" anchorx="page"/>
              </v:rect>
            </w:pict>
          </mc:Fallback>
        </mc:AlternateContent>
      </w:r>
    </w:p>
    <w:p w14:paraId="68727772" w14:textId="77777777" w:rsidR="00CB6C86" w:rsidRPr="00395593" w:rsidRDefault="00CB6C86" w:rsidP="00CB6C86">
      <w:pPr>
        <w:widowControl w:val="0"/>
        <w:autoSpaceDE w:val="0"/>
        <w:autoSpaceDN w:val="0"/>
        <w:spacing w:before="103" w:after="0" w:line="240" w:lineRule="auto"/>
        <w:rPr>
          <w:rFonts w:ascii="Garamond" w:eastAsia="Times New Roman" w:hAnsi="Garamond" w:cs="Times New Roman"/>
          <w:sz w:val="20"/>
        </w:rPr>
      </w:pPr>
      <w:r w:rsidRPr="00395593">
        <w:rPr>
          <w:rFonts w:ascii="Garamond" w:eastAsia="Times New Roman" w:hAnsi="Garamond" w:cs="Times New Roman"/>
          <w:sz w:val="20"/>
          <w:vertAlign w:val="superscript"/>
        </w:rPr>
        <w:t>18</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fato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determinadas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circunstâncias</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sejam</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mencionadas</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neste</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parágrafo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lhes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confere,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por</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si</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só,</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qualquer juridicidade, quer em termos do GATT 1994, quer deste Acordo. Tais circunstâncias não devem</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ocorrer</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isoladamente, 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forma esporádica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irrelevante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por qualquer</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motivo.</w:t>
      </w:r>
    </w:p>
    <w:p w14:paraId="34C01F0D" w14:textId="77777777" w:rsidR="00CB6C86" w:rsidRPr="00395593" w:rsidRDefault="00CB6C86" w:rsidP="002C4340">
      <w:pPr>
        <w:widowControl w:val="0"/>
        <w:numPr>
          <w:ilvl w:val="0"/>
          <w:numId w:val="58"/>
        </w:numPr>
        <w:tabs>
          <w:tab w:val="left" w:pos="810"/>
        </w:tabs>
        <w:autoSpaceDE w:val="0"/>
        <w:autoSpaceDN w:val="0"/>
        <w:spacing w:before="68" w:after="0" w:line="240" w:lineRule="auto"/>
        <w:ind w:right="118" w:firstLine="0"/>
        <w:jc w:val="both"/>
        <w:rPr>
          <w:rFonts w:ascii="Garamond" w:eastAsia="Times New Roman" w:hAnsi="Garamond" w:cs="Times New Roman"/>
          <w:sz w:val="24"/>
        </w:rPr>
      </w:pPr>
      <w:r w:rsidRPr="00395593">
        <w:rPr>
          <w:rFonts w:ascii="Garamond" w:eastAsia="Times New Roman" w:hAnsi="Garamond" w:cs="Times New Roman"/>
          <w:sz w:val="24"/>
        </w:rPr>
        <w:t>Um requerimento de consultas formulado de acordo com o disposto no parágrafo 1</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deverá incluir provas relativas a: (a) a existência e a natureza do subsídio em causa; e (b)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dano causado à indústria nacional ou anulação ou prejuízo ou grave dano </w:t>
      </w:r>
      <w:r w:rsidRPr="00395593">
        <w:rPr>
          <w:rFonts w:ascii="Garamond" w:eastAsia="Times New Roman" w:hAnsi="Garamond" w:cs="Times New Roman"/>
          <w:sz w:val="24"/>
          <w:vertAlign w:val="superscript"/>
        </w:rPr>
        <w:t>19</w:t>
      </w:r>
      <w:r w:rsidRPr="00395593">
        <w:rPr>
          <w:rFonts w:ascii="Garamond" w:eastAsia="Times New Roman" w:hAnsi="Garamond" w:cs="Times New Roman"/>
          <w:sz w:val="24"/>
        </w:rPr>
        <w:t xml:space="preserve"> causado aos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Membro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solicita 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consulta.</w:t>
      </w:r>
    </w:p>
    <w:p w14:paraId="4974097E"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039D0377" w14:textId="77777777" w:rsidR="00CB6C86" w:rsidRPr="00395593" w:rsidRDefault="00CB6C86" w:rsidP="002C4340">
      <w:pPr>
        <w:widowControl w:val="0"/>
        <w:numPr>
          <w:ilvl w:val="0"/>
          <w:numId w:val="58"/>
        </w:numPr>
        <w:tabs>
          <w:tab w:val="left" w:pos="810"/>
        </w:tabs>
        <w:autoSpaceDE w:val="0"/>
        <w:autoSpaceDN w:val="0"/>
        <w:spacing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Quando se solicitem consultas ao abrigo do parágrafo 1, o Membro que se acredita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concede ou mantém o subsídio em causa deverá iniciá-las o mais rapidamente possível.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propósito das consultas será esclarecer os fatos do caso e chegar a uma solução mutuamente</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satisfatória.</w:t>
      </w:r>
    </w:p>
    <w:p w14:paraId="399A93CB"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7A24A8FC" w14:textId="77777777" w:rsidR="00CB6C86" w:rsidRPr="00395593" w:rsidRDefault="00CB6C86" w:rsidP="002C4340">
      <w:pPr>
        <w:widowControl w:val="0"/>
        <w:numPr>
          <w:ilvl w:val="0"/>
          <w:numId w:val="58"/>
        </w:numPr>
        <w:tabs>
          <w:tab w:val="left" w:pos="810"/>
        </w:tabs>
        <w:autoSpaceDE w:val="0"/>
        <w:autoSpaceDN w:val="0"/>
        <w:spacing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Se as consultas não conduzirem a uma solução mutuamente satisfatória no prazo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60 dias </w:t>
      </w:r>
      <w:r w:rsidRPr="00395593">
        <w:rPr>
          <w:rFonts w:ascii="Garamond" w:eastAsia="Times New Roman" w:hAnsi="Garamond" w:cs="Times New Roman"/>
          <w:sz w:val="24"/>
          <w:vertAlign w:val="superscript"/>
        </w:rPr>
        <w:t>20</w:t>
      </w:r>
      <w:r w:rsidRPr="00395593">
        <w:rPr>
          <w:rFonts w:ascii="Garamond" w:eastAsia="Times New Roman" w:hAnsi="Garamond" w:cs="Times New Roman"/>
          <w:sz w:val="24"/>
        </w:rPr>
        <w:t>, qualquer Membro participante de tais consultas poderá submeter a matéria 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OSC para estabelecimento de grupo especial, a menos que o OSC decida por consenso 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estabelecer grupo especial. A composição do grupo especial e seus termos de referência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 determinados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prazo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15</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dias 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partir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data 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seu estabelecimento.</w:t>
      </w:r>
    </w:p>
    <w:p w14:paraId="6B73CE5F"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6"/>
          <w:szCs w:val="24"/>
        </w:rPr>
      </w:pPr>
    </w:p>
    <w:p w14:paraId="0912809E" w14:textId="77777777" w:rsidR="00CB6C86" w:rsidRPr="00395593" w:rsidRDefault="00CB6C86" w:rsidP="002C4340">
      <w:pPr>
        <w:widowControl w:val="0"/>
        <w:numPr>
          <w:ilvl w:val="0"/>
          <w:numId w:val="58"/>
        </w:numPr>
        <w:tabs>
          <w:tab w:val="left" w:pos="810"/>
        </w:tabs>
        <w:autoSpaceDE w:val="0"/>
        <w:autoSpaceDN w:val="0"/>
        <w:spacing w:before="231"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O grupo especial analisará a matéria e submeterá seu relatório final às partes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litígio. O relatório será circulado entre todos os Membros no prazo de 120 elas a contar 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composição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grupo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especial 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estabelecimento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seus termos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referencla.</w:t>
      </w:r>
    </w:p>
    <w:p w14:paraId="25DCE11A"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25B462A9" w14:textId="77777777" w:rsidR="00CB6C86" w:rsidRPr="00395593" w:rsidRDefault="00CB6C86" w:rsidP="002C4340">
      <w:pPr>
        <w:widowControl w:val="0"/>
        <w:numPr>
          <w:ilvl w:val="0"/>
          <w:numId w:val="58"/>
        </w:numPr>
        <w:tabs>
          <w:tab w:val="left" w:pos="810"/>
        </w:tabs>
        <w:autoSpaceDE w:val="0"/>
        <w:autoSpaceDN w:val="0"/>
        <w:spacing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No prazo de 30 dias a contar da divulgação do relatório do grupo especial pra todos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será este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adotado pelo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OSC</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21</w:t>
      </w:r>
      <w:r w:rsidRPr="00395593">
        <w:rPr>
          <w:rFonts w:ascii="Garamond" w:eastAsia="Times New Roman" w:hAnsi="Garamond" w:cs="Times New Roman"/>
          <w:sz w:val="24"/>
        </w:rPr>
        <w:t>,</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 menos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 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litígio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notifique formalmente o OSC de sua decisão de apelar ou que o OSC decida por consenso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adotar</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relatório.</w:t>
      </w:r>
    </w:p>
    <w:p w14:paraId="1439BA6C"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05B19096" w14:textId="77777777" w:rsidR="00CB6C86" w:rsidRPr="00395593" w:rsidRDefault="00CB6C86" w:rsidP="002C4340">
      <w:pPr>
        <w:widowControl w:val="0"/>
        <w:numPr>
          <w:ilvl w:val="0"/>
          <w:numId w:val="58"/>
        </w:numPr>
        <w:tabs>
          <w:tab w:val="left" w:pos="810"/>
        </w:tabs>
        <w:autoSpaceDE w:val="0"/>
        <w:autoSpaceDN w:val="0"/>
        <w:spacing w:before="1"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Quando haja apelação de relatório de grupo especial, o Órgão de Apelação emitirá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sua decisão no prazo de 60 dias a contar da data em que a parte litigante comunicar sua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decisão de apelar. Caso o Órgão de Apelação considere que não poderá emitir seu relatório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prazo</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60</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dias,</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deverá</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disso</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informar</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OSC,</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escrito,</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esclarecendo</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razoes</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o atraso previsto, bem como estimativa do prazo em que poderá apresentar o relatório.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nenhuma hipótese o procedimento excederá 90 dias. O relatório da apelação será adotado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pelo OSC e incondicionalmente aceito pelas partes litigantes, a menos que o OSC, 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consenso, no prazo de 20 dias contados a partir de sua divulgação para os Membros, decida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não adotá-lo </w:t>
      </w:r>
      <w:r w:rsidRPr="00395593">
        <w:rPr>
          <w:rFonts w:ascii="Garamond" w:eastAsia="Times New Roman" w:hAnsi="Garamond" w:cs="Times New Roman"/>
          <w:sz w:val="24"/>
          <w:vertAlign w:val="superscript"/>
        </w:rPr>
        <w:t>22</w:t>
      </w:r>
      <w:r w:rsidRPr="00395593">
        <w:rPr>
          <w:rFonts w:ascii="Garamond" w:eastAsia="Times New Roman" w:hAnsi="Garamond" w:cs="Times New Roman"/>
          <w:sz w:val="24"/>
        </w:rPr>
        <w:t>.</w:t>
      </w:r>
    </w:p>
    <w:p w14:paraId="08048BAF"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316F6D1A" w14:textId="77777777" w:rsidR="00CB6C86" w:rsidRPr="00395593" w:rsidRDefault="00CB6C86" w:rsidP="002C4340">
      <w:pPr>
        <w:widowControl w:val="0"/>
        <w:numPr>
          <w:ilvl w:val="0"/>
          <w:numId w:val="58"/>
        </w:numPr>
        <w:tabs>
          <w:tab w:val="left" w:pos="810"/>
        </w:tabs>
        <w:autoSpaceDE w:val="0"/>
        <w:autoSpaceDN w:val="0"/>
        <w:spacing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Sempre que seja adotado relatório de grupo especial ou de Órgão de Apelação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32"/>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34"/>
          <w:sz w:val="24"/>
        </w:rPr>
        <w:t xml:space="preserve"> </w:t>
      </w:r>
      <w:r w:rsidRPr="00395593">
        <w:rPr>
          <w:rFonts w:ascii="Garamond" w:eastAsia="Times New Roman" w:hAnsi="Garamond" w:cs="Times New Roman"/>
          <w:sz w:val="24"/>
        </w:rPr>
        <w:t>determine</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35"/>
          <w:sz w:val="24"/>
        </w:rPr>
        <w:t xml:space="preserve"> </w:t>
      </w:r>
      <w:r w:rsidRPr="00395593">
        <w:rPr>
          <w:rFonts w:ascii="Garamond" w:eastAsia="Times New Roman" w:hAnsi="Garamond" w:cs="Times New Roman"/>
          <w:sz w:val="24"/>
        </w:rPr>
        <w:t>subsidio</w:t>
      </w:r>
      <w:r w:rsidRPr="00395593">
        <w:rPr>
          <w:rFonts w:ascii="Garamond" w:eastAsia="Times New Roman" w:hAnsi="Garamond" w:cs="Times New Roman"/>
          <w:spacing w:val="35"/>
          <w:sz w:val="24"/>
        </w:rPr>
        <w:t xml:space="preserve"> </w:t>
      </w:r>
      <w:r w:rsidRPr="00395593">
        <w:rPr>
          <w:rFonts w:ascii="Garamond" w:eastAsia="Times New Roman" w:hAnsi="Garamond" w:cs="Times New Roman"/>
          <w:sz w:val="24"/>
        </w:rPr>
        <w:t>resultaram</w:t>
      </w:r>
      <w:r w:rsidRPr="00395593">
        <w:rPr>
          <w:rFonts w:ascii="Garamond" w:eastAsia="Times New Roman" w:hAnsi="Garamond" w:cs="Times New Roman"/>
          <w:spacing w:val="35"/>
          <w:sz w:val="24"/>
        </w:rPr>
        <w:t xml:space="preserve"> </w:t>
      </w:r>
      <w:r w:rsidRPr="00395593">
        <w:rPr>
          <w:rFonts w:ascii="Garamond" w:eastAsia="Times New Roman" w:hAnsi="Garamond" w:cs="Times New Roman"/>
          <w:sz w:val="24"/>
        </w:rPr>
        <w:t>efeitos</w:t>
      </w:r>
      <w:r w:rsidRPr="00395593">
        <w:rPr>
          <w:rFonts w:ascii="Garamond" w:eastAsia="Times New Roman" w:hAnsi="Garamond" w:cs="Times New Roman"/>
          <w:spacing w:val="35"/>
          <w:sz w:val="24"/>
        </w:rPr>
        <w:t xml:space="preserve"> </w:t>
      </w:r>
      <w:r w:rsidRPr="00395593">
        <w:rPr>
          <w:rFonts w:ascii="Garamond" w:eastAsia="Times New Roman" w:hAnsi="Garamond" w:cs="Times New Roman"/>
          <w:sz w:val="24"/>
        </w:rPr>
        <w:t>danosos</w:t>
      </w:r>
      <w:r w:rsidRPr="00395593">
        <w:rPr>
          <w:rFonts w:ascii="Garamond" w:eastAsia="Times New Roman" w:hAnsi="Garamond" w:cs="Times New Roman"/>
          <w:spacing w:val="35"/>
          <w:sz w:val="24"/>
        </w:rPr>
        <w:t xml:space="preserve"> </w:t>
      </w:r>
      <w:r w:rsidRPr="00395593">
        <w:rPr>
          <w:rFonts w:ascii="Garamond" w:eastAsia="Times New Roman" w:hAnsi="Garamond" w:cs="Times New Roman"/>
          <w:sz w:val="24"/>
        </w:rPr>
        <w:t>aos</w:t>
      </w:r>
      <w:r w:rsidRPr="00395593">
        <w:rPr>
          <w:rFonts w:ascii="Garamond" w:eastAsia="Times New Roman" w:hAnsi="Garamond" w:cs="Times New Roman"/>
          <w:spacing w:val="34"/>
          <w:sz w:val="24"/>
        </w:rPr>
        <w:t xml:space="preserve"> </w:t>
      </w:r>
      <w:r w:rsidRPr="00395593">
        <w:rPr>
          <w:rFonts w:ascii="Garamond" w:eastAsia="Times New Roman" w:hAnsi="Garamond" w:cs="Times New Roman"/>
          <w:sz w:val="24"/>
        </w:rPr>
        <w:t>interesses</w:t>
      </w:r>
      <w:r w:rsidRPr="00395593">
        <w:rPr>
          <w:rFonts w:ascii="Garamond" w:eastAsia="Times New Roman" w:hAnsi="Garamond" w:cs="Times New Roman"/>
          <w:spacing w:val="34"/>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outro</w:t>
      </w:r>
    </w:p>
    <w:p w14:paraId="1AB93E96"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4FA2C68D"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32A7E2B2" w14:textId="5BE21697" w:rsidR="00CB6C86" w:rsidRPr="00395593" w:rsidRDefault="00CB6C86" w:rsidP="00CB6C86">
      <w:pPr>
        <w:widowControl w:val="0"/>
        <w:autoSpaceDE w:val="0"/>
        <w:autoSpaceDN w:val="0"/>
        <w:spacing w:after="0" w:line="240" w:lineRule="auto"/>
        <w:rPr>
          <w:rFonts w:ascii="Garamond" w:eastAsia="Times New Roman" w:hAnsi="Garamond" w:cs="Times New Roman"/>
          <w:sz w:val="19"/>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63" behindDoc="1" locked="0" layoutInCell="1" allowOverlap="1" wp14:anchorId="4AD581AF" wp14:editId="72EBD1F2">
                <wp:simplePos x="0" y="0"/>
                <wp:positionH relativeFrom="page">
                  <wp:posOffset>1080770</wp:posOffset>
                </wp:positionH>
                <wp:positionV relativeFrom="paragraph">
                  <wp:posOffset>154305</wp:posOffset>
                </wp:positionV>
                <wp:extent cx="1828800" cy="7620"/>
                <wp:effectExtent l="4445" t="3810" r="0" b="0"/>
                <wp:wrapTopAndBottom/>
                <wp:docPr id="430" name="Retângulo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DC846" id="Retângulo 430" o:spid="_x0000_s1026" style="position:absolute;margin-left:85.1pt;margin-top:12.15pt;width:2in;height:.6pt;z-index:-2516582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" fillcolor="black" stroked="f">
                <w10:wrap type="topAndBottom" anchorx="page"/>
              </v:rect>
            </w:pict>
          </mc:Fallback>
        </mc:AlternateContent>
      </w:r>
    </w:p>
    <w:p w14:paraId="6DB08779" w14:textId="77777777" w:rsidR="00CB6C86" w:rsidRPr="00395593" w:rsidRDefault="00CB6C86" w:rsidP="00CB6C86">
      <w:pPr>
        <w:widowControl w:val="0"/>
        <w:autoSpaceDE w:val="0"/>
        <w:autoSpaceDN w:val="0"/>
        <w:spacing w:before="103" w:after="0" w:line="240" w:lineRule="auto"/>
        <w:rPr>
          <w:rFonts w:ascii="Garamond" w:eastAsia="Times New Roman" w:hAnsi="Garamond" w:cs="Times New Roman"/>
          <w:sz w:val="20"/>
        </w:rPr>
      </w:pPr>
      <w:r w:rsidRPr="00395593">
        <w:rPr>
          <w:rFonts w:ascii="Garamond" w:eastAsia="Times New Roman" w:hAnsi="Garamond" w:cs="Times New Roman"/>
          <w:sz w:val="20"/>
          <w:vertAlign w:val="superscript"/>
        </w:rPr>
        <w:t>19</w:t>
      </w:r>
      <w:r w:rsidRPr="00395593">
        <w:rPr>
          <w:rFonts w:ascii="Garamond" w:eastAsia="Times New Roman" w:hAnsi="Garamond" w:cs="Times New Roman"/>
          <w:sz w:val="20"/>
        </w:rPr>
        <w:t xml:space="preserve"> Quando a solicitação se refira a subsídio que se considere causa de grave dano, segundo o disposto no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parágrafo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1</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Artigo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6,</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as</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provas</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existência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grave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dano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poderão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limitar-se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àquelas</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disponha</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com</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vistas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estabelecer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foram</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não satisfeitas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condições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daquele parágrafo.</w:t>
      </w:r>
    </w:p>
    <w:p w14:paraId="284A31BB" w14:textId="77777777" w:rsidR="00CB6C86" w:rsidRPr="00395593" w:rsidRDefault="00CB6C86" w:rsidP="00CB6C86">
      <w:pPr>
        <w:widowControl w:val="0"/>
        <w:autoSpaceDE w:val="0"/>
        <w:autoSpaceDN w:val="0"/>
        <w:spacing w:after="0" w:line="267" w:lineRule="exact"/>
        <w:rPr>
          <w:rFonts w:ascii="Garamond" w:eastAsia="Times New Roman" w:hAnsi="Garamond" w:cs="Times New Roman"/>
          <w:sz w:val="20"/>
        </w:rPr>
      </w:pPr>
      <w:r w:rsidRPr="00395593">
        <w:rPr>
          <w:rFonts w:ascii="Garamond" w:eastAsia="Times New Roman" w:hAnsi="Garamond" w:cs="Times New Roman"/>
          <w:position w:val="9"/>
          <w:sz w:val="16"/>
        </w:rPr>
        <w:t>20</w:t>
      </w:r>
      <w:r w:rsidRPr="00395593">
        <w:rPr>
          <w:rFonts w:ascii="Garamond" w:eastAsia="Times New Roman" w:hAnsi="Garamond" w:cs="Times New Roman"/>
          <w:spacing w:val="18"/>
          <w:position w:val="9"/>
          <w:sz w:val="16"/>
        </w:rPr>
        <w:t xml:space="preserve"> </w:t>
      </w:r>
      <w:r w:rsidRPr="00395593">
        <w:rPr>
          <w:rFonts w:ascii="Garamond" w:eastAsia="Times New Roman" w:hAnsi="Garamond" w:cs="Times New Roman"/>
          <w:sz w:val="20"/>
        </w:rPr>
        <w:t>Quaisquer</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prazos</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mencionados</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neste Artigo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poderão</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ser</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estendidos</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por</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mútuo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acordo.</w:t>
      </w:r>
    </w:p>
    <w:p w14:paraId="4162A7AD" w14:textId="77777777" w:rsidR="00CB6C86" w:rsidRPr="00395593" w:rsidRDefault="00CB6C86" w:rsidP="00CB6C86">
      <w:pPr>
        <w:widowControl w:val="0"/>
        <w:autoSpaceDE w:val="0"/>
        <w:autoSpaceDN w:val="0"/>
        <w:spacing w:before="10" w:after="0" w:line="240" w:lineRule="auto"/>
        <w:rPr>
          <w:rFonts w:ascii="Garamond" w:eastAsia="Times New Roman" w:hAnsi="Garamond" w:cs="Times New Roman"/>
          <w:sz w:val="20"/>
        </w:rPr>
      </w:pPr>
      <w:r w:rsidRPr="00395593">
        <w:rPr>
          <w:rFonts w:ascii="Garamond" w:eastAsia="Times New Roman" w:hAnsi="Garamond" w:cs="Times New Roman"/>
          <w:sz w:val="20"/>
          <w:vertAlign w:val="superscript"/>
        </w:rPr>
        <w:t>21</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Se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não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estiver marcada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nenhuma</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reunião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OSC</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nesse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período,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será</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marcada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reunião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para</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essa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finalidade.</w:t>
      </w:r>
    </w:p>
    <w:p w14:paraId="00C78266"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0"/>
        </w:rPr>
      </w:pPr>
      <w:r w:rsidRPr="00395593">
        <w:rPr>
          <w:rFonts w:ascii="Garamond" w:eastAsia="Times New Roman" w:hAnsi="Garamond" w:cs="Times New Roman"/>
          <w:sz w:val="20"/>
          <w:vertAlign w:val="superscript"/>
        </w:rPr>
        <w:t>22</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Se</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não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estiver marcada</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nenhuma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reunião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OSC</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nesse</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período,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será</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marcada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reunião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para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essa</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finalidade.</w:t>
      </w:r>
    </w:p>
    <w:p w14:paraId="00E241C6"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rPr>
        <w:sectPr w:rsidR="00CB6C86" w:rsidRPr="00395593" w:rsidSect="00E15FBB">
          <w:pgSz w:w="12240" w:h="15840"/>
          <w:pgMar w:top="1418" w:right="1580" w:bottom="280" w:left="1418" w:header="720" w:footer="720" w:gutter="0"/>
          <w:cols w:space="720"/>
        </w:sectPr>
      </w:pPr>
    </w:p>
    <w:p w14:paraId="0301FDAF" w14:textId="77777777" w:rsidR="00CB6C86" w:rsidRPr="00395593" w:rsidRDefault="00CB6C86" w:rsidP="00AE2332">
      <w:pPr>
        <w:widowControl w:val="0"/>
        <w:autoSpaceDE w:val="0"/>
        <w:autoSpaceDN w:val="0"/>
        <w:spacing w:before="68" w:after="0" w:line="240" w:lineRule="auto"/>
        <w:ind w:right="117"/>
        <w:jc w:val="both"/>
        <w:rPr>
          <w:rFonts w:ascii="Garamond" w:eastAsia="Times New Roman" w:hAnsi="Garamond" w:cs="Times New Roman"/>
          <w:sz w:val="24"/>
          <w:szCs w:val="24"/>
        </w:rPr>
      </w:pPr>
      <w:r w:rsidRPr="00395593">
        <w:rPr>
          <w:rFonts w:ascii="Garamond" w:eastAsia="Times New Roman" w:hAnsi="Garamond" w:cs="Times New Roman"/>
          <w:sz w:val="24"/>
          <w:szCs w:val="24"/>
        </w:rPr>
        <w:t>Membro</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sz w:val="24"/>
          <w:szCs w:val="24"/>
        </w:rPr>
        <w:t>no</w:t>
      </w:r>
      <w:r w:rsidRPr="00395593">
        <w:rPr>
          <w:rFonts w:ascii="Garamond" w:eastAsia="Times New Roman" w:hAnsi="Garamond" w:cs="Times New Roman"/>
          <w:spacing w:val="4"/>
          <w:sz w:val="24"/>
          <w:szCs w:val="24"/>
        </w:rPr>
        <w:t xml:space="preserve"> </w:t>
      </w:r>
      <w:r w:rsidRPr="00395593">
        <w:rPr>
          <w:rFonts w:ascii="Garamond" w:eastAsia="Times New Roman" w:hAnsi="Garamond" w:cs="Times New Roman"/>
          <w:sz w:val="24"/>
          <w:szCs w:val="24"/>
        </w:rPr>
        <w:t>sentido</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sz w:val="24"/>
          <w:szCs w:val="24"/>
        </w:rPr>
        <w:t>definido</w:t>
      </w:r>
      <w:r w:rsidRPr="00395593">
        <w:rPr>
          <w:rFonts w:ascii="Garamond" w:eastAsia="Times New Roman" w:hAnsi="Garamond" w:cs="Times New Roman"/>
          <w:spacing w:val="5"/>
          <w:sz w:val="24"/>
          <w:szCs w:val="24"/>
        </w:rPr>
        <w:t xml:space="preserve"> </w:t>
      </w:r>
      <w:r w:rsidRPr="00395593">
        <w:rPr>
          <w:rFonts w:ascii="Garamond" w:eastAsia="Times New Roman" w:hAnsi="Garamond" w:cs="Times New Roman"/>
          <w:sz w:val="24"/>
          <w:szCs w:val="24"/>
        </w:rPr>
        <w:t>no</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sz w:val="24"/>
          <w:szCs w:val="24"/>
        </w:rPr>
        <w:t>Artigo</w:t>
      </w:r>
      <w:r w:rsidRPr="00395593">
        <w:rPr>
          <w:rFonts w:ascii="Garamond" w:eastAsia="Times New Roman" w:hAnsi="Garamond" w:cs="Times New Roman"/>
          <w:spacing w:val="4"/>
          <w:sz w:val="24"/>
          <w:szCs w:val="24"/>
        </w:rPr>
        <w:t xml:space="preserve"> </w:t>
      </w:r>
      <w:r w:rsidRPr="00395593">
        <w:rPr>
          <w:rFonts w:ascii="Garamond" w:eastAsia="Times New Roman" w:hAnsi="Garamond" w:cs="Times New Roman"/>
          <w:sz w:val="24"/>
          <w:szCs w:val="24"/>
        </w:rPr>
        <w:t>5,</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sz w:val="24"/>
          <w:szCs w:val="24"/>
        </w:rPr>
        <w:t>o</w:t>
      </w:r>
      <w:r w:rsidRPr="00395593">
        <w:rPr>
          <w:rFonts w:ascii="Garamond" w:eastAsia="Times New Roman" w:hAnsi="Garamond" w:cs="Times New Roman"/>
          <w:spacing w:val="4"/>
          <w:sz w:val="24"/>
          <w:szCs w:val="24"/>
        </w:rPr>
        <w:t xml:space="preserve"> </w:t>
      </w:r>
      <w:r w:rsidRPr="00395593">
        <w:rPr>
          <w:rFonts w:ascii="Garamond" w:eastAsia="Times New Roman" w:hAnsi="Garamond" w:cs="Times New Roman"/>
          <w:sz w:val="24"/>
          <w:szCs w:val="24"/>
        </w:rPr>
        <w:t>Membro</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outorgante</w:t>
      </w:r>
      <w:r w:rsidRPr="00395593">
        <w:rPr>
          <w:rFonts w:ascii="Garamond" w:eastAsia="Times New Roman" w:hAnsi="Garamond" w:cs="Times New Roman"/>
          <w:spacing w:val="4"/>
          <w:sz w:val="24"/>
          <w:szCs w:val="24"/>
        </w:rPr>
        <w:t xml:space="preserve"> </w:t>
      </w:r>
      <w:r w:rsidRPr="00395593">
        <w:rPr>
          <w:rFonts w:ascii="Garamond" w:eastAsia="Times New Roman" w:hAnsi="Garamond" w:cs="Times New Roman"/>
          <w:sz w:val="24"/>
          <w:szCs w:val="24"/>
        </w:rPr>
        <w:t>ou</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sz w:val="24"/>
          <w:szCs w:val="24"/>
        </w:rPr>
        <w:t>mantenedor</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sz w:val="24"/>
          <w:szCs w:val="24"/>
        </w:rPr>
        <w:t>do</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sz w:val="24"/>
          <w:szCs w:val="24"/>
        </w:rPr>
        <w:t>subsídio</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deverá</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sz w:val="24"/>
          <w:szCs w:val="24"/>
        </w:rPr>
        <w:t>tomar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medidas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adequadas para</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remover</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sz w:val="24"/>
          <w:szCs w:val="24"/>
        </w:rPr>
        <w:t>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efeitos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danosos ou</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eliminar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subsídio.</w:t>
      </w:r>
    </w:p>
    <w:p w14:paraId="7E6DDCC0"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57BAAFD3" w14:textId="77777777" w:rsidR="00CB6C86" w:rsidRPr="00395593" w:rsidRDefault="00CB6C86" w:rsidP="002C4340">
      <w:pPr>
        <w:widowControl w:val="0"/>
        <w:numPr>
          <w:ilvl w:val="0"/>
          <w:numId w:val="58"/>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No caso de o Membro não tomar as medidas adequadas para remover os efeitos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danosos</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eliminar</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prazo</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6</w:t>
      </w:r>
      <w:r w:rsidRPr="00395593">
        <w:rPr>
          <w:rFonts w:ascii="Garamond" w:eastAsia="Times New Roman" w:hAnsi="Garamond" w:cs="Times New Roman"/>
          <w:spacing w:val="5"/>
          <w:sz w:val="24"/>
        </w:rPr>
        <w:t xml:space="preserve"> </w:t>
      </w:r>
      <w:r w:rsidRPr="00395593">
        <w:rPr>
          <w:rFonts w:ascii="Garamond" w:eastAsia="Times New Roman" w:hAnsi="Garamond" w:cs="Times New Roman"/>
          <w:sz w:val="24"/>
        </w:rPr>
        <w:t>meses</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contar</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data</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OSC</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adotar</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o relatório do grupo especial ou o do Órgão de Apelação, e na eventualidade de ausência de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acordo sobre compensação, o OSC autorizará o Membro reclamante a tomar contramedidas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proporcionais ao grau e â natureza dos efeitos danosos que se tenham verificado, a menos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 OSC decida por consenso rejeitar o pedido.</w:t>
      </w:r>
    </w:p>
    <w:p w14:paraId="2FF81F20"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5CCED08F" w14:textId="77777777" w:rsidR="00CB6C86" w:rsidRPr="00395593" w:rsidRDefault="00CB6C86" w:rsidP="002C4340">
      <w:pPr>
        <w:widowControl w:val="0"/>
        <w:numPr>
          <w:ilvl w:val="0"/>
          <w:numId w:val="58"/>
        </w:numPr>
        <w:tabs>
          <w:tab w:val="left" w:pos="810"/>
        </w:tabs>
        <w:autoSpaceDE w:val="0"/>
        <w:autoSpaceDN w:val="0"/>
        <w:spacing w:after="0" w:line="240" w:lineRule="auto"/>
        <w:ind w:right="125" w:firstLine="0"/>
        <w:jc w:val="both"/>
        <w:rPr>
          <w:rFonts w:ascii="Garamond" w:eastAsia="Times New Roman" w:hAnsi="Garamond" w:cs="Times New Roman"/>
          <w:sz w:val="24"/>
        </w:rPr>
      </w:pPr>
      <w:r w:rsidRPr="00395593">
        <w:rPr>
          <w:rFonts w:ascii="Garamond" w:eastAsia="Times New Roman" w:hAnsi="Garamond" w:cs="Times New Roman"/>
          <w:sz w:val="24"/>
        </w:rPr>
        <w:t>No caso de uma parte litigante pedir arbitragem ao abrigo do parágrafo 6 do Artigo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22</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ESC,</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árbitro determinará se 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contramedidas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proporcionais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grau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 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natureza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dos efeitos danosos que se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tenham verificado.</w:t>
      </w:r>
    </w:p>
    <w:p w14:paraId="0523F829"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4"/>
          <w:szCs w:val="24"/>
        </w:rPr>
      </w:pPr>
    </w:p>
    <w:p w14:paraId="1DEA2868" w14:textId="3B1CF273" w:rsidR="00AE2332"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 xml:space="preserve">PARTE IV : SUBSÍDIOS IRRECORRÍVEIS </w:t>
      </w:r>
    </w:p>
    <w:p w14:paraId="608E095B" w14:textId="77777777" w:rsidR="00AE2332" w:rsidRPr="00395593" w:rsidRDefault="00AE2332" w:rsidP="00E33E26">
      <w:pPr>
        <w:widowControl w:val="0"/>
        <w:autoSpaceDE w:val="0"/>
        <w:autoSpaceDN w:val="0"/>
        <w:spacing w:after="0" w:line="240" w:lineRule="auto"/>
        <w:ind w:right="146"/>
        <w:jc w:val="center"/>
        <w:rPr>
          <w:rFonts w:ascii="Garamond" w:eastAsia="Times New Roman" w:hAnsi="Garamond" w:cs="Times New Roman"/>
          <w:b/>
          <w:sz w:val="24"/>
          <w:szCs w:val="24"/>
        </w:rPr>
      </w:pPr>
    </w:p>
    <w:p w14:paraId="2519A21D" w14:textId="4409D142" w:rsidR="00AE2332" w:rsidRPr="00395593" w:rsidRDefault="00AE2332"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b/>
      </w:r>
      <w:r w:rsidR="00CB6C86" w:rsidRPr="00395593">
        <w:rPr>
          <w:rFonts w:ascii="Garamond" w:eastAsia="Times New Roman" w:hAnsi="Garamond" w:cs="Times New Roman"/>
          <w:b/>
          <w:sz w:val="24"/>
          <w:szCs w:val="24"/>
        </w:rPr>
        <w:t>ARTIGO</w:t>
      </w:r>
      <w:r w:rsidR="00CB6C86" w:rsidRPr="00395593">
        <w:rPr>
          <w:rFonts w:ascii="Garamond" w:eastAsia="Times New Roman" w:hAnsi="Garamond" w:cs="Times New Roman"/>
          <w:b/>
          <w:spacing w:val="-2"/>
          <w:sz w:val="24"/>
          <w:szCs w:val="24"/>
        </w:rPr>
        <w:t xml:space="preserve"> </w:t>
      </w:r>
      <w:r w:rsidR="00CB6C86" w:rsidRPr="00395593">
        <w:rPr>
          <w:rFonts w:ascii="Garamond" w:eastAsia="Times New Roman" w:hAnsi="Garamond" w:cs="Times New Roman"/>
          <w:b/>
          <w:sz w:val="24"/>
          <w:szCs w:val="24"/>
        </w:rPr>
        <w:t>8</w:t>
      </w:r>
      <w:r w:rsidRPr="00395593">
        <w:rPr>
          <w:rFonts w:ascii="Garamond" w:eastAsia="Times New Roman" w:hAnsi="Garamond" w:cs="Times New Roman"/>
          <w:b/>
          <w:sz w:val="24"/>
          <w:szCs w:val="24"/>
        </w:rPr>
        <w:tab/>
      </w:r>
    </w:p>
    <w:p w14:paraId="47ADABB7" w14:textId="77777777" w:rsidR="00AE2332" w:rsidRPr="00395593" w:rsidRDefault="00AE2332" w:rsidP="00E33E26">
      <w:pPr>
        <w:widowControl w:val="0"/>
        <w:autoSpaceDE w:val="0"/>
        <w:autoSpaceDN w:val="0"/>
        <w:spacing w:after="0" w:line="240" w:lineRule="auto"/>
        <w:ind w:right="146"/>
        <w:jc w:val="center"/>
        <w:rPr>
          <w:rFonts w:ascii="Garamond" w:eastAsia="Times New Roman" w:hAnsi="Garamond" w:cs="Times New Roman"/>
          <w:b/>
          <w:sz w:val="24"/>
          <w:szCs w:val="24"/>
        </w:rPr>
      </w:pPr>
    </w:p>
    <w:p w14:paraId="5DD1CD3E"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Identificação</w:t>
      </w:r>
      <w:r w:rsidRPr="00395593">
        <w:rPr>
          <w:rFonts w:ascii="Garamond" w:eastAsia="Times New Roman" w:hAnsi="Garamond" w:cs="Times New Roman"/>
          <w:b/>
          <w:spacing w:val="-4"/>
          <w:sz w:val="24"/>
          <w:szCs w:val="24"/>
        </w:rPr>
        <w:t xml:space="preserve"> </w:t>
      </w:r>
      <w:r w:rsidRPr="00395593">
        <w:rPr>
          <w:rFonts w:ascii="Garamond" w:eastAsia="Times New Roman" w:hAnsi="Garamond" w:cs="Times New Roman"/>
          <w:b/>
          <w:sz w:val="24"/>
          <w:szCs w:val="24"/>
        </w:rPr>
        <w:t>de</w:t>
      </w:r>
      <w:r w:rsidRPr="00395593">
        <w:rPr>
          <w:rFonts w:ascii="Garamond" w:eastAsia="Times New Roman" w:hAnsi="Garamond" w:cs="Times New Roman"/>
          <w:b/>
          <w:spacing w:val="-4"/>
          <w:sz w:val="24"/>
          <w:szCs w:val="24"/>
        </w:rPr>
        <w:t xml:space="preserve"> </w:t>
      </w:r>
      <w:r w:rsidRPr="00395593">
        <w:rPr>
          <w:rFonts w:ascii="Garamond" w:eastAsia="Times New Roman" w:hAnsi="Garamond" w:cs="Times New Roman"/>
          <w:b/>
          <w:sz w:val="24"/>
          <w:szCs w:val="24"/>
        </w:rPr>
        <w:t>Subsídios</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Irrecorríveis</w:t>
      </w:r>
    </w:p>
    <w:p w14:paraId="54BB9A24"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3C153005" w14:textId="77777777" w:rsidR="00CB6C86" w:rsidRPr="00395593" w:rsidRDefault="00CB6C86" w:rsidP="002C4340">
      <w:pPr>
        <w:widowControl w:val="0"/>
        <w:numPr>
          <w:ilvl w:val="0"/>
          <w:numId w:val="57"/>
        </w:numPr>
        <w:tabs>
          <w:tab w:val="left" w:pos="810"/>
        </w:tabs>
        <w:autoSpaceDE w:val="0"/>
        <w:autoSpaceDN w:val="0"/>
        <w:spacing w:after="0" w:line="240" w:lineRule="auto"/>
        <w:jc w:val="both"/>
        <w:rPr>
          <w:rFonts w:ascii="Garamond" w:eastAsia="Times New Roman" w:hAnsi="Garamond" w:cs="Times New Roman"/>
          <w:sz w:val="24"/>
        </w:rPr>
      </w:pPr>
      <w:r w:rsidRPr="00395593">
        <w:rPr>
          <w:rFonts w:ascii="Garamond" w:eastAsia="Times New Roman" w:hAnsi="Garamond" w:cs="Times New Roman"/>
          <w:sz w:val="24"/>
        </w:rPr>
        <w:t>Serão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considerados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irrecorríveis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seguintes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subsídios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vertAlign w:val="superscript"/>
        </w:rPr>
        <w:t>23</w:t>
      </w:r>
      <w:r w:rsidRPr="00395593">
        <w:rPr>
          <w:rFonts w:ascii="Garamond" w:eastAsia="Times New Roman" w:hAnsi="Garamond" w:cs="Times New Roman"/>
          <w:sz w:val="24"/>
        </w:rPr>
        <w:t>:</w:t>
      </w:r>
    </w:p>
    <w:p w14:paraId="13DFFA99"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129D7DB3" w14:textId="77777777" w:rsidR="00CB6C86" w:rsidRPr="00395593" w:rsidRDefault="00CB6C86" w:rsidP="002C4340">
      <w:pPr>
        <w:widowControl w:val="0"/>
        <w:numPr>
          <w:ilvl w:val="1"/>
          <w:numId w:val="57"/>
        </w:numPr>
        <w:tabs>
          <w:tab w:val="left" w:pos="1147"/>
        </w:tabs>
        <w:autoSpaceDE w:val="0"/>
        <w:autoSpaceDN w:val="0"/>
        <w:spacing w:after="0" w:line="240" w:lineRule="auto"/>
        <w:ind w:hanging="326"/>
        <w:jc w:val="both"/>
        <w:rPr>
          <w:rFonts w:ascii="Garamond" w:eastAsia="Times New Roman" w:hAnsi="Garamond" w:cs="Times New Roman"/>
          <w:sz w:val="24"/>
        </w:rPr>
      </w:pP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não são específicos,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sentido do Artigo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2;</w:t>
      </w:r>
    </w:p>
    <w:p w14:paraId="3EEC05C2"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7FA5B31F" w14:textId="77777777" w:rsidR="00CB6C86" w:rsidRPr="00395593" w:rsidRDefault="00CB6C86" w:rsidP="002C4340">
      <w:pPr>
        <w:widowControl w:val="0"/>
        <w:numPr>
          <w:ilvl w:val="1"/>
          <w:numId w:val="57"/>
        </w:numPr>
        <w:tabs>
          <w:tab w:val="left" w:pos="1201"/>
        </w:tabs>
        <w:autoSpaceDE w:val="0"/>
        <w:autoSpaceDN w:val="0"/>
        <w:spacing w:after="0" w:line="240" w:lineRule="auto"/>
        <w:ind w:left="1181" w:right="119" w:hanging="360"/>
        <w:jc w:val="both"/>
        <w:rPr>
          <w:rFonts w:ascii="Garamond" w:eastAsia="Times New Roman" w:hAnsi="Garamond" w:cs="Times New Roman"/>
          <w:sz w:val="24"/>
        </w:rPr>
      </w:pPr>
      <w:r w:rsidRPr="00395593">
        <w:rPr>
          <w:rFonts w:ascii="Garamond" w:eastAsia="Times New Roman" w:hAnsi="Garamond" w:cs="Times New Roman"/>
          <w:sz w:val="24"/>
        </w:rPr>
        <w:t>os</w:t>
      </w:r>
      <w:r w:rsidRPr="00395593">
        <w:rPr>
          <w:rFonts w:ascii="Garamond" w:eastAsia="Times New Roman" w:hAnsi="Garamond" w:cs="Times New Roman"/>
          <w:spacing w:val="39"/>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41"/>
          <w:sz w:val="24"/>
        </w:rPr>
        <w:t xml:space="preserve"> </w:t>
      </w:r>
      <w:r w:rsidRPr="00395593">
        <w:rPr>
          <w:rFonts w:ascii="Garamond" w:eastAsia="Times New Roman" w:hAnsi="Garamond" w:cs="Times New Roman"/>
          <w:sz w:val="24"/>
        </w:rPr>
        <w:t>são</w:t>
      </w:r>
      <w:r w:rsidRPr="00395593">
        <w:rPr>
          <w:rFonts w:ascii="Garamond" w:eastAsia="Times New Roman" w:hAnsi="Garamond" w:cs="Times New Roman"/>
          <w:spacing w:val="42"/>
          <w:sz w:val="24"/>
        </w:rPr>
        <w:t xml:space="preserve"> </w:t>
      </w:r>
      <w:r w:rsidRPr="00395593">
        <w:rPr>
          <w:rFonts w:ascii="Garamond" w:eastAsia="Times New Roman" w:hAnsi="Garamond" w:cs="Times New Roman"/>
          <w:sz w:val="24"/>
        </w:rPr>
        <w:t>específicos</w:t>
      </w:r>
      <w:r w:rsidRPr="00395593">
        <w:rPr>
          <w:rFonts w:ascii="Garamond" w:eastAsia="Times New Roman" w:hAnsi="Garamond" w:cs="Times New Roman"/>
          <w:spacing w:val="40"/>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40"/>
          <w:sz w:val="24"/>
        </w:rPr>
        <w:t xml:space="preserve"> </w:t>
      </w:r>
      <w:r w:rsidRPr="00395593">
        <w:rPr>
          <w:rFonts w:ascii="Garamond" w:eastAsia="Times New Roman" w:hAnsi="Garamond" w:cs="Times New Roman"/>
          <w:sz w:val="24"/>
        </w:rPr>
        <w:t>sentido</w:t>
      </w:r>
      <w:r w:rsidRPr="00395593">
        <w:rPr>
          <w:rFonts w:ascii="Garamond" w:eastAsia="Times New Roman" w:hAnsi="Garamond" w:cs="Times New Roman"/>
          <w:spacing w:val="39"/>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40"/>
          <w:sz w:val="24"/>
        </w:rPr>
        <w:t xml:space="preserve"> </w:t>
      </w:r>
      <w:r w:rsidRPr="00395593">
        <w:rPr>
          <w:rFonts w:ascii="Garamond" w:eastAsia="Times New Roman" w:hAnsi="Garamond" w:cs="Times New Roman"/>
          <w:sz w:val="24"/>
        </w:rPr>
        <w:t>Artigo</w:t>
      </w:r>
      <w:r w:rsidRPr="00395593">
        <w:rPr>
          <w:rFonts w:ascii="Garamond" w:eastAsia="Times New Roman" w:hAnsi="Garamond" w:cs="Times New Roman"/>
          <w:spacing w:val="42"/>
          <w:sz w:val="24"/>
        </w:rPr>
        <w:t xml:space="preserve"> </w:t>
      </w:r>
      <w:r w:rsidRPr="00395593">
        <w:rPr>
          <w:rFonts w:ascii="Garamond" w:eastAsia="Times New Roman" w:hAnsi="Garamond" w:cs="Times New Roman"/>
          <w:sz w:val="24"/>
        </w:rPr>
        <w:t>2,</w:t>
      </w:r>
      <w:r w:rsidRPr="00395593">
        <w:rPr>
          <w:rFonts w:ascii="Garamond" w:eastAsia="Times New Roman" w:hAnsi="Garamond" w:cs="Times New Roman"/>
          <w:spacing w:val="40"/>
          <w:sz w:val="24"/>
        </w:rPr>
        <w:t xml:space="preserve"> </w:t>
      </w:r>
      <w:r w:rsidRPr="00395593">
        <w:rPr>
          <w:rFonts w:ascii="Garamond" w:eastAsia="Times New Roman" w:hAnsi="Garamond" w:cs="Times New Roman"/>
          <w:sz w:val="24"/>
        </w:rPr>
        <w:t>mas</w:t>
      </w:r>
      <w:r w:rsidRPr="00395593">
        <w:rPr>
          <w:rFonts w:ascii="Garamond" w:eastAsia="Times New Roman" w:hAnsi="Garamond" w:cs="Times New Roman"/>
          <w:spacing w:val="40"/>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41"/>
          <w:sz w:val="24"/>
        </w:rPr>
        <w:t xml:space="preserve"> </w:t>
      </w:r>
      <w:r w:rsidRPr="00395593">
        <w:rPr>
          <w:rFonts w:ascii="Garamond" w:eastAsia="Times New Roman" w:hAnsi="Garamond" w:cs="Times New Roman"/>
          <w:sz w:val="24"/>
        </w:rPr>
        <w:t>preenchem</w:t>
      </w:r>
      <w:r w:rsidRPr="00395593">
        <w:rPr>
          <w:rFonts w:ascii="Garamond" w:eastAsia="Times New Roman" w:hAnsi="Garamond" w:cs="Times New Roman"/>
          <w:spacing w:val="42"/>
          <w:sz w:val="24"/>
        </w:rPr>
        <w:t xml:space="preserve"> </w:t>
      </w:r>
      <w:r w:rsidRPr="00395593">
        <w:rPr>
          <w:rFonts w:ascii="Garamond" w:eastAsia="Times New Roman" w:hAnsi="Garamond" w:cs="Times New Roman"/>
          <w:sz w:val="24"/>
        </w:rPr>
        <w:t>todas</w:t>
      </w:r>
      <w:r w:rsidRPr="00395593">
        <w:rPr>
          <w:rFonts w:ascii="Garamond" w:eastAsia="Times New Roman" w:hAnsi="Garamond" w:cs="Times New Roman"/>
          <w:spacing w:val="40"/>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condições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enumeradas nos parágrafos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2(a), 2(b) e 2(c)</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abaixo.</w:t>
      </w:r>
    </w:p>
    <w:p w14:paraId="12D5AFB0"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2AC1BD7E" w14:textId="77777777" w:rsidR="00CB6C86" w:rsidRPr="00395593" w:rsidRDefault="00CB6C86" w:rsidP="002C4340">
      <w:pPr>
        <w:widowControl w:val="0"/>
        <w:numPr>
          <w:ilvl w:val="0"/>
          <w:numId w:val="57"/>
        </w:numPr>
        <w:tabs>
          <w:tab w:val="left" w:pos="810"/>
        </w:tabs>
        <w:autoSpaceDE w:val="0"/>
        <w:autoSpaceDN w:val="0"/>
        <w:spacing w:before="1" w:after="0" w:line="240" w:lineRule="auto"/>
        <w:ind w:left="102" w:right="126" w:firstLine="0"/>
        <w:jc w:val="both"/>
        <w:rPr>
          <w:rFonts w:ascii="Garamond" w:eastAsia="Times New Roman" w:hAnsi="Garamond" w:cs="Times New Roman"/>
          <w:sz w:val="24"/>
        </w:rPr>
      </w:pP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despeito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III</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seguintes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irrecorríveis:</w:t>
      </w:r>
    </w:p>
    <w:p w14:paraId="658F5A58"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4789DE6D" w14:textId="77777777" w:rsidR="00CB6C86" w:rsidRPr="00395593" w:rsidRDefault="00CB6C86" w:rsidP="002C4340">
      <w:pPr>
        <w:widowControl w:val="0"/>
        <w:numPr>
          <w:ilvl w:val="1"/>
          <w:numId w:val="57"/>
        </w:numPr>
        <w:tabs>
          <w:tab w:val="left" w:pos="1307"/>
        </w:tabs>
        <w:autoSpaceDE w:val="0"/>
        <w:autoSpaceDN w:val="0"/>
        <w:spacing w:after="0" w:line="240" w:lineRule="auto"/>
        <w:ind w:left="1362" w:right="117" w:hanging="540"/>
        <w:jc w:val="both"/>
        <w:rPr>
          <w:rFonts w:ascii="Garamond" w:eastAsia="Times New Roman" w:hAnsi="Garamond" w:cs="Times New Roman"/>
          <w:sz w:val="24"/>
        </w:rPr>
      </w:pPr>
      <w:r w:rsidRPr="00395593">
        <w:rPr>
          <w:rFonts w:ascii="Garamond" w:eastAsia="Times New Roman" w:hAnsi="Garamond" w:cs="Times New Roman"/>
          <w:sz w:val="24"/>
        </w:rPr>
        <w:t>assistência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atividades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pesquisa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realizadas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estabelecimentos de pesquisa ou estabelecimentos de pesquisa ou de educação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superior</w:t>
      </w:r>
      <w:r w:rsidRPr="00395593">
        <w:rPr>
          <w:rFonts w:ascii="Garamond" w:eastAsia="Times New Roman" w:hAnsi="Garamond" w:cs="Times New Roman"/>
          <w:spacing w:val="11"/>
          <w:sz w:val="24"/>
        </w:rPr>
        <w:t xml:space="preserve"> </w:t>
      </w:r>
      <w:r w:rsidRPr="00395593">
        <w:rPr>
          <w:rFonts w:ascii="Garamond" w:eastAsia="Times New Roman" w:hAnsi="Garamond" w:cs="Times New Roman"/>
          <w:sz w:val="24"/>
        </w:rPr>
        <w:t>vinculados</w:t>
      </w:r>
      <w:r w:rsidRPr="00395593">
        <w:rPr>
          <w:rFonts w:ascii="Garamond" w:eastAsia="Times New Roman" w:hAnsi="Garamond" w:cs="Times New Roman"/>
          <w:spacing w:val="13"/>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2"/>
          <w:sz w:val="24"/>
        </w:rPr>
        <w:t xml:space="preserve"> </w:t>
      </w:r>
      <w:r w:rsidRPr="00395593">
        <w:rPr>
          <w:rFonts w:ascii="Garamond" w:eastAsia="Times New Roman" w:hAnsi="Garamond" w:cs="Times New Roman"/>
          <w:sz w:val="24"/>
        </w:rPr>
        <w:t>relação</w:t>
      </w:r>
      <w:r w:rsidRPr="00395593">
        <w:rPr>
          <w:rFonts w:ascii="Garamond" w:eastAsia="Times New Roman" w:hAnsi="Garamond" w:cs="Times New Roman"/>
          <w:spacing w:val="13"/>
          <w:sz w:val="24"/>
        </w:rPr>
        <w:t xml:space="preserve"> </w:t>
      </w:r>
      <w:r w:rsidRPr="00395593">
        <w:rPr>
          <w:rFonts w:ascii="Garamond" w:eastAsia="Times New Roman" w:hAnsi="Garamond" w:cs="Times New Roman"/>
          <w:sz w:val="24"/>
        </w:rPr>
        <w:t>contratual</w:t>
      </w:r>
      <w:r w:rsidRPr="00395593">
        <w:rPr>
          <w:rFonts w:ascii="Garamond" w:eastAsia="Times New Roman" w:hAnsi="Garamond" w:cs="Times New Roman"/>
          <w:spacing w:val="13"/>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5"/>
          <w:sz w:val="24"/>
        </w:rPr>
        <w:t xml:space="preserve"> </w:t>
      </w:r>
      <w:r w:rsidRPr="00395593">
        <w:rPr>
          <w:rFonts w:ascii="Garamond" w:eastAsia="Times New Roman" w:hAnsi="Garamond" w:cs="Times New Roman"/>
          <w:sz w:val="24"/>
          <w:vertAlign w:val="superscript"/>
        </w:rPr>
        <w:t>24,</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vertAlign w:val="superscript"/>
        </w:rPr>
        <w:t>25,</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vertAlign w:val="superscript"/>
        </w:rPr>
        <w:t>26</w:t>
      </w:r>
      <w:r w:rsidRPr="00395593">
        <w:rPr>
          <w:rFonts w:ascii="Garamond" w:eastAsia="Times New Roman" w:hAnsi="Garamond" w:cs="Times New Roman"/>
          <w:spacing w:val="14"/>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assistência</w:t>
      </w:r>
      <w:r w:rsidRPr="00395593">
        <w:rPr>
          <w:rFonts w:ascii="Garamond" w:eastAsia="Times New Roman" w:hAnsi="Garamond" w:cs="Times New Roman"/>
          <w:spacing w:val="12"/>
          <w:sz w:val="24"/>
        </w:rPr>
        <w:t xml:space="preserve"> </w:t>
      </w:r>
      <w:r w:rsidRPr="00395593">
        <w:rPr>
          <w:rFonts w:ascii="Garamond" w:eastAsia="Times New Roman" w:hAnsi="Garamond" w:cs="Times New Roman"/>
          <w:sz w:val="24"/>
        </w:rPr>
        <w:t>cobre</w:t>
      </w:r>
      <w:r w:rsidRPr="00395593">
        <w:rPr>
          <w:rFonts w:ascii="Garamond" w:eastAsia="Times New Roman" w:hAnsi="Garamond" w:cs="Times New Roman"/>
          <w:spacing w:val="13"/>
          <w:sz w:val="24"/>
        </w:rPr>
        <w:t xml:space="preserve"> </w:t>
      </w:r>
      <w:r w:rsidRPr="00395593">
        <w:rPr>
          <w:rFonts w:ascii="Garamond" w:eastAsia="Times New Roman" w:hAnsi="Garamond" w:cs="Times New Roman"/>
          <w:sz w:val="24"/>
          <w:vertAlign w:val="superscript"/>
        </w:rPr>
        <w:t>27</w:t>
      </w:r>
      <w:r w:rsidRPr="00395593">
        <w:rPr>
          <w:rFonts w:ascii="Garamond" w:eastAsia="Times New Roman" w:hAnsi="Garamond" w:cs="Times New Roman"/>
          <w:spacing w:val="12"/>
          <w:sz w:val="24"/>
        </w:rPr>
        <w:t xml:space="preserve"> </w:t>
      </w:r>
      <w:r w:rsidRPr="00395593">
        <w:rPr>
          <w:rFonts w:ascii="Garamond" w:eastAsia="Times New Roman" w:hAnsi="Garamond" w:cs="Times New Roman"/>
          <w:sz w:val="24"/>
        </w:rPr>
        <w:t>até</w:t>
      </w:r>
    </w:p>
    <w:p w14:paraId="0F26CA20" w14:textId="7A6202C6" w:rsidR="00CB6C86" w:rsidRPr="00395593" w:rsidRDefault="00CB6C86" w:rsidP="00CB6C86">
      <w:pPr>
        <w:widowControl w:val="0"/>
        <w:autoSpaceDE w:val="0"/>
        <w:autoSpaceDN w:val="0"/>
        <w:spacing w:after="0" w:line="240" w:lineRule="auto"/>
        <w:rPr>
          <w:rFonts w:ascii="Garamond" w:eastAsia="Times New Roman" w:hAnsi="Garamond" w:cs="Times New Roman"/>
          <w:sz w:val="23"/>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64" behindDoc="1" locked="0" layoutInCell="1" allowOverlap="1" wp14:anchorId="7BDCF49B" wp14:editId="1C4043B2">
                <wp:simplePos x="0" y="0"/>
                <wp:positionH relativeFrom="page">
                  <wp:posOffset>1080770</wp:posOffset>
                </wp:positionH>
                <wp:positionV relativeFrom="paragraph">
                  <wp:posOffset>183515</wp:posOffset>
                </wp:positionV>
                <wp:extent cx="1828800" cy="7620"/>
                <wp:effectExtent l="4445" t="3810" r="0" b="0"/>
                <wp:wrapTopAndBottom/>
                <wp:docPr id="429" name="Retângulo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94CB3" id="Retângulo 429" o:spid="_x0000_s1026" style="position:absolute;margin-left:85.1pt;margin-top:14.45pt;width:2in;height:.6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pgA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" fillcolor="black" stroked="f">
                <w10:wrap type="topAndBottom" anchorx="page"/>
              </v:rect>
            </w:pict>
          </mc:Fallback>
        </mc:AlternateContent>
      </w:r>
    </w:p>
    <w:p w14:paraId="5E24EEE3" w14:textId="77777777" w:rsidR="00CB6C86" w:rsidRPr="00395593" w:rsidRDefault="00CB6C86" w:rsidP="00CB6C86">
      <w:pPr>
        <w:widowControl w:val="0"/>
        <w:autoSpaceDE w:val="0"/>
        <w:autoSpaceDN w:val="0"/>
        <w:spacing w:before="87" w:after="0" w:line="244" w:lineRule="auto"/>
        <w:ind w:right="118"/>
        <w:jc w:val="both"/>
        <w:rPr>
          <w:rFonts w:ascii="Garamond" w:eastAsia="Times New Roman" w:hAnsi="Garamond" w:cs="Times New Roman"/>
          <w:sz w:val="20"/>
        </w:rPr>
      </w:pPr>
      <w:r w:rsidRPr="00395593">
        <w:rPr>
          <w:rFonts w:ascii="Garamond" w:eastAsia="Times New Roman" w:hAnsi="Garamond" w:cs="Times New Roman"/>
          <w:position w:val="9"/>
          <w:sz w:val="16"/>
        </w:rPr>
        <w:t xml:space="preserve">23 </w:t>
      </w:r>
      <w:r w:rsidRPr="00395593">
        <w:rPr>
          <w:rFonts w:ascii="Garamond" w:eastAsia="Times New Roman" w:hAnsi="Garamond" w:cs="Times New Roman"/>
          <w:sz w:val="20"/>
        </w:rPr>
        <w:t>É reconhecido que os Membros concedem ampla assistência governamental com variadas finalidades e que</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o simples fato de que essa assistência possa não merecer tratamento irrecorrível à luz das disposições desse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Artigo não restringe por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si</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só a capacidade</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de 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Membros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fornecerem</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tal assistência.</w:t>
      </w:r>
    </w:p>
    <w:p w14:paraId="49ED5C52" w14:textId="77777777" w:rsidR="00CB6C86" w:rsidRPr="00395593" w:rsidRDefault="00CB6C86" w:rsidP="00CB6C86">
      <w:pPr>
        <w:widowControl w:val="0"/>
        <w:autoSpaceDE w:val="0"/>
        <w:autoSpaceDN w:val="0"/>
        <w:spacing w:after="0" w:line="240" w:lineRule="auto"/>
        <w:ind w:right="123"/>
        <w:jc w:val="both"/>
        <w:rPr>
          <w:rFonts w:ascii="Garamond" w:eastAsia="Times New Roman" w:hAnsi="Garamond" w:cs="Times New Roman"/>
          <w:sz w:val="20"/>
        </w:rPr>
      </w:pPr>
      <w:r w:rsidRPr="00395593">
        <w:rPr>
          <w:rFonts w:ascii="Garamond" w:eastAsia="Times New Roman" w:hAnsi="Garamond" w:cs="Times New Roman"/>
          <w:sz w:val="20"/>
          <w:vertAlign w:val="superscript"/>
        </w:rPr>
        <w:t>24</w:t>
      </w:r>
      <w:r w:rsidRPr="00395593">
        <w:rPr>
          <w:rFonts w:ascii="Garamond" w:eastAsia="Times New Roman" w:hAnsi="Garamond" w:cs="Times New Roman"/>
          <w:sz w:val="20"/>
        </w:rPr>
        <w:t xml:space="preserve"> Como se prevê que as aeronaves civis será disciplinadas por regras multilaterais específicas, o disposto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neste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parágrafo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 aplica a tais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produtos.</w:t>
      </w:r>
    </w:p>
    <w:p w14:paraId="31FB982C" w14:textId="77777777" w:rsidR="00CB6C86" w:rsidRPr="00395593" w:rsidRDefault="00CB6C86" w:rsidP="00CB6C86">
      <w:pPr>
        <w:widowControl w:val="0"/>
        <w:autoSpaceDE w:val="0"/>
        <w:autoSpaceDN w:val="0"/>
        <w:spacing w:after="0" w:line="240" w:lineRule="auto"/>
        <w:ind w:right="119"/>
        <w:jc w:val="both"/>
        <w:rPr>
          <w:rFonts w:ascii="Garamond" w:eastAsia="Times New Roman" w:hAnsi="Garamond" w:cs="Times New Roman"/>
          <w:sz w:val="20"/>
        </w:rPr>
      </w:pPr>
      <w:r w:rsidRPr="00395593">
        <w:rPr>
          <w:rFonts w:ascii="Garamond" w:eastAsia="Times New Roman" w:hAnsi="Garamond" w:cs="Times New Roman"/>
          <w:sz w:val="20"/>
          <w:vertAlign w:val="superscript"/>
        </w:rPr>
        <w:t>25</w:t>
      </w:r>
      <w:r w:rsidRPr="00395593">
        <w:rPr>
          <w:rFonts w:ascii="Garamond" w:eastAsia="Times New Roman" w:hAnsi="Garamond" w:cs="Times New Roman"/>
          <w:sz w:val="20"/>
        </w:rPr>
        <w:t xml:space="preserve"> No máximo até 18 meses após a entrada em vigor do Acordo Constitutivo da OMC, o Comitê para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Subsídios e Medidas Compensatórias (a que este Acordo se refere como “Comitê”) criado no Artigo 24,</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procederá à revisão da aplicação do subparágrafo 2(a) com vistas a realizar todas as modificações necessárias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ao aperfeiçoamento destas disposições. Ao analisar as possíveis alterações, o Comitê reverá cuidadosamente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as definições das categorias estabelecidas neste subparágrafo à luz da experiência dos Membros na aplicação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programas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pesquisa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do trabalho desenvolvido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em</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outras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instituições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internacionais pertinentes.</w:t>
      </w:r>
    </w:p>
    <w:p w14:paraId="1C09966B" w14:textId="77777777" w:rsidR="00CB6C86" w:rsidRPr="00395593" w:rsidRDefault="00CB6C86" w:rsidP="00CB6C86">
      <w:pPr>
        <w:widowControl w:val="0"/>
        <w:autoSpaceDE w:val="0"/>
        <w:autoSpaceDN w:val="0"/>
        <w:spacing w:after="0" w:line="240" w:lineRule="auto"/>
        <w:ind w:right="118"/>
        <w:jc w:val="both"/>
        <w:rPr>
          <w:rFonts w:ascii="Garamond" w:eastAsia="Times New Roman" w:hAnsi="Garamond" w:cs="Times New Roman"/>
          <w:sz w:val="20"/>
        </w:rPr>
      </w:pPr>
      <w:r w:rsidRPr="00395593">
        <w:rPr>
          <w:rFonts w:ascii="Garamond" w:eastAsia="Times New Roman" w:hAnsi="Garamond" w:cs="Times New Roman"/>
          <w:sz w:val="20"/>
          <w:vertAlign w:val="superscript"/>
        </w:rPr>
        <w:t>26</w:t>
      </w:r>
      <w:r w:rsidRPr="00395593">
        <w:rPr>
          <w:rFonts w:ascii="Garamond" w:eastAsia="Times New Roman" w:hAnsi="Garamond" w:cs="Times New Roman"/>
          <w:sz w:val="20"/>
        </w:rPr>
        <w:t xml:space="preserve"> O disposto neste Artigo não se aplica às atividades de pesquisa avançada realizadas independentemente por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estabelecimentos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altos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estudos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pesquisa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avançada.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termo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“pesquisa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avançada”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significa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ampliação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conhecimento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científico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técnico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mais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abrangente,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ligada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objetivos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industriais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comerciais.</w:t>
      </w:r>
    </w:p>
    <w:p w14:paraId="453575E3" w14:textId="77777777" w:rsidR="001B6931" w:rsidRPr="005C5CBD" w:rsidRDefault="001B6931" w:rsidP="00E33E26">
      <w:pPr>
        <w:widowControl w:val="0"/>
        <w:autoSpaceDE w:val="0"/>
        <w:autoSpaceDN w:val="0"/>
        <w:spacing w:before="88" w:after="0" w:line="240" w:lineRule="auto"/>
        <w:ind w:right="114"/>
        <w:jc w:val="both"/>
        <w:rPr>
          <w:rFonts w:ascii="Garamond" w:eastAsia="Times New Roman" w:hAnsi="Garamond" w:cs="Times New Roman"/>
          <w:sz w:val="24"/>
          <w:szCs w:val="24"/>
        </w:rPr>
      </w:pPr>
    </w:p>
    <w:p w14:paraId="145AC554" w14:textId="77777777" w:rsidR="00D65665" w:rsidRDefault="00D65665">
      <w:pPr>
        <w:rPr>
          <w:rFonts w:ascii="Garamond" w:eastAsia="Times New Roman" w:hAnsi="Garamond" w:cs="Times New Roman"/>
          <w:sz w:val="24"/>
          <w:szCs w:val="24"/>
        </w:rPr>
      </w:pPr>
      <w:r>
        <w:rPr>
          <w:rFonts w:ascii="Garamond" w:eastAsia="Times New Roman" w:hAnsi="Garamond" w:cs="Times New Roman"/>
          <w:sz w:val="24"/>
          <w:szCs w:val="24"/>
        </w:rPr>
        <w:br w:type="page"/>
      </w:r>
    </w:p>
    <w:p w14:paraId="3DFB88DC" w14:textId="61E11E78" w:rsidR="00CB6C86" w:rsidRPr="00395593" w:rsidRDefault="00CB6C86" w:rsidP="00AE2332">
      <w:pPr>
        <w:widowControl w:val="0"/>
        <w:autoSpaceDE w:val="0"/>
        <w:autoSpaceDN w:val="0"/>
        <w:spacing w:before="88" w:after="0" w:line="240" w:lineRule="auto"/>
        <w:ind w:right="114"/>
        <w:jc w:val="both"/>
        <w:rPr>
          <w:rFonts w:ascii="Garamond" w:eastAsia="Times New Roman" w:hAnsi="Garamond" w:cs="Times New Roman"/>
          <w:sz w:val="24"/>
          <w:szCs w:val="24"/>
        </w:rPr>
      </w:pPr>
      <w:r w:rsidRPr="00395593">
        <w:rPr>
          <w:rFonts w:ascii="Garamond" w:eastAsia="Times New Roman" w:hAnsi="Garamond" w:cs="Times New Roman"/>
          <w:sz w:val="24"/>
          <w:szCs w:val="24"/>
        </w:rPr>
        <w:t xml:space="preserve">o máximo de 75 por cento dos custos da pesquisa industrial </w:t>
      </w:r>
      <w:r w:rsidRPr="00395593">
        <w:rPr>
          <w:rFonts w:ascii="Garamond" w:eastAsia="Times New Roman" w:hAnsi="Garamond" w:cs="Times New Roman"/>
          <w:sz w:val="24"/>
          <w:szCs w:val="24"/>
          <w:vertAlign w:val="superscript"/>
        </w:rPr>
        <w:t>28</w:t>
      </w:r>
      <w:r w:rsidRPr="00395593">
        <w:rPr>
          <w:rFonts w:ascii="Garamond" w:eastAsia="Times New Roman" w:hAnsi="Garamond" w:cs="Times New Roman"/>
          <w:sz w:val="24"/>
          <w:szCs w:val="24"/>
        </w:rPr>
        <w:t xml:space="preserve"> ou de 50 por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 xml:space="preserve">cento dos custos das atividades pré-competitivas de desenvolvimento </w:t>
      </w:r>
      <w:r w:rsidRPr="00395593">
        <w:rPr>
          <w:rFonts w:ascii="Garamond" w:eastAsia="Times New Roman" w:hAnsi="Garamond" w:cs="Times New Roman"/>
          <w:sz w:val="24"/>
          <w:szCs w:val="24"/>
          <w:vertAlign w:val="superscript"/>
        </w:rPr>
        <w:t>29,</w:t>
      </w:r>
      <w:r w:rsidRPr="00395593">
        <w:rPr>
          <w:rFonts w:ascii="Garamond" w:eastAsia="Times New Roman" w:hAnsi="Garamond" w:cs="Times New Roman"/>
          <w:sz w:val="24"/>
          <w:szCs w:val="24"/>
        </w:rPr>
        <w:t xml:space="preserve"> </w:t>
      </w:r>
      <w:r w:rsidRPr="00395593">
        <w:rPr>
          <w:rFonts w:ascii="Garamond" w:eastAsia="Times New Roman" w:hAnsi="Garamond" w:cs="Times New Roman"/>
          <w:sz w:val="24"/>
          <w:szCs w:val="24"/>
          <w:vertAlign w:val="superscript"/>
        </w:rPr>
        <w:t>30</w:t>
      </w:r>
      <w:r w:rsidRPr="00395593">
        <w:rPr>
          <w:rFonts w:ascii="Garamond" w:eastAsia="Times New Roman" w:hAnsi="Garamond" w:cs="Times New Roman"/>
          <w:sz w:val="24"/>
          <w:szCs w:val="24"/>
        </w:rPr>
        <w:t xml:space="preserve"> 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desde</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que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tal assistência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seja limitada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exclusivamente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w:t>
      </w:r>
    </w:p>
    <w:p w14:paraId="75BE4034"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1EB1F464" w14:textId="77777777" w:rsidR="00CB6C86" w:rsidRPr="00395593" w:rsidRDefault="00CB6C86" w:rsidP="002C4340">
      <w:pPr>
        <w:widowControl w:val="0"/>
        <w:numPr>
          <w:ilvl w:val="0"/>
          <w:numId w:val="26"/>
        </w:numPr>
        <w:tabs>
          <w:tab w:val="left" w:pos="1873"/>
        </w:tabs>
        <w:autoSpaceDE w:val="0"/>
        <w:autoSpaceDN w:val="0"/>
        <w:spacing w:after="0" w:line="240" w:lineRule="auto"/>
        <w:ind w:right="120"/>
        <w:jc w:val="both"/>
        <w:rPr>
          <w:rFonts w:ascii="Garamond" w:eastAsia="Times New Roman" w:hAnsi="Garamond" w:cs="Times New Roman"/>
          <w:sz w:val="24"/>
        </w:rPr>
      </w:pPr>
      <w:r w:rsidRPr="00395593">
        <w:rPr>
          <w:rFonts w:ascii="Garamond" w:eastAsia="Times New Roman" w:hAnsi="Garamond" w:cs="Times New Roman"/>
          <w:sz w:val="24"/>
        </w:rPr>
        <w:t>despesas de pessoal (pesquisadores, técnicos e outro pessoal de apoio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empregado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exclusivamente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atividade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pesquisa);</w:t>
      </w:r>
    </w:p>
    <w:p w14:paraId="2BF97094"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1B60A5D9" w14:textId="77777777" w:rsidR="00CB6C86" w:rsidRPr="00395593" w:rsidRDefault="00CB6C86" w:rsidP="002C4340">
      <w:pPr>
        <w:widowControl w:val="0"/>
        <w:numPr>
          <w:ilvl w:val="0"/>
          <w:numId w:val="26"/>
        </w:numPr>
        <w:tabs>
          <w:tab w:val="left" w:pos="1912"/>
        </w:tabs>
        <w:autoSpaceDE w:val="0"/>
        <w:autoSpaceDN w:val="0"/>
        <w:spacing w:after="0" w:line="240" w:lineRule="auto"/>
        <w:ind w:right="120"/>
        <w:jc w:val="both"/>
        <w:rPr>
          <w:rFonts w:ascii="Garamond" w:eastAsia="Times New Roman" w:hAnsi="Garamond" w:cs="Times New Roman"/>
          <w:sz w:val="24"/>
        </w:rPr>
      </w:pPr>
      <w:r w:rsidRPr="00395593">
        <w:rPr>
          <w:rFonts w:ascii="Garamond" w:eastAsia="Times New Roman" w:hAnsi="Garamond" w:cs="Times New Roman"/>
          <w:sz w:val="24"/>
        </w:rPr>
        <w:t>despesas com instrumentos equipamento, terra e construções destinados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exclusiva e permanentemente â atividade de pesquisa (exceto quando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tenham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sido arrendados em base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comercial);</w:t>
      </w:r>
    </w:p>
    <w:p w14:paraId="65C745A1"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28C71C7D" w14:textId="77777777" w:rsidR="00CB6C86" w:rsidRPr="00395593" w:rsidRDefault="00CB6C86" w:rsidP="002C4340">
      <w:pPr>
        <w:widowControl w:val="0"/>
        <w:numPr>
          <w:ilvl w:val="0"/>
          <w:numId w:val="26"/>
        </w:numPr>
        <w:tabs>
          <w:tab w:val="left" w:pos="2171"/>
        </w:tabs>
        <w:autoSpaceDE w:val="0"/>
        <w:autoSpaceDN w:val="0"/>
        <w:spacing w:after="0" w:line="240" w:lineRule="auto"/>
        <w:ind w:right="120"/>
        <w:jc w:val="both"/>
        <w:rPr>
          <w:rFonts w:ascii="Garamond" w:eastAsia="Times New Roman" w:hAnsi="Garamond" w:cs="Times New Roman"/>
          <w:sz w:val="24"/>
        </w:rPr>
      </w:pPr>
      <w:r w:rsidRPr="00395593">
        <w:rPr>
          <w:rFonts w:ascii="Garamond" w:eastAsia="Times New Roman" w:hAnsi="Garamond" w:cs="Times New Roman"/>
          <w:sz w:val="24"/>
        </w:rPr>
        <w:t>despesas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consultorias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serviços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equivalentes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usados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exclusivamente na atividade de pesquisa, incluindo-se aí a aquisição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resultados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pesquisas,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conhecimentos técnicos,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patentes,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etc;</w:t>
      </w:r>
    </w:p>
    <w:p w14:paraId="799CA992" w14:textId="77777777" w:rsidR="00CB6C86" w:rsidRPr="00395593" w:rsidRDefault="00CB6C86" w:rsidP="00AE2332">
      <w:pPr>
        <w:widowControl w:val="0"/>
        <w:autoSpaceDE w:val="0"/>
        <w:autoSpaceDN w:val="0"/>
        <w:spacing w:before="1" w:after="0" w:line="240" w:lineRule="auto"/>
        <w:jc w:val="both"/>
        <w:rPr>
          <w:rFonts w:ascii="Garamond" w:eastAsia="Times New Roman" w:hAnsi="Garamond" w:cs="Times New Roman"/>
          <w:sz w:val="24"/>
          <w:szCs w:val="24"/>
        </w:rPr>
      </w:pPr>
    </w:p>
    <w:p w14:paraId="0A222ECB" w14:textId="77777777" w:rsidR="00CB6C86" w:rsidRPr="00395593" w:rsidRDefault="00CB6C86" w:rsidP="002C4340">
      <w:pPr>
        <w:widowControl w:val="0"/>
        <w:numPr>
          <w:ilvl w:val="0"/>
          <w:numId w:val="26"/>
        </w:numPr>
        <w:tabs>
          <w:tab w:val="left" w:pos="2080"/>
        </w:tabs>
        <w:autoSpaceDE w:val="0"/>
        <w:autoSpaceDN w:val="0"/>
        <w:spacing w:after="0" w:line="240" w:lineRule="auto"/>
        <w:ind w:right="122"/>
        <w:jc w:val="both"/>
        <w:rPr>
          <w:rFonts w:ascii="Garamond" w:eastAsia="Times New Roman" w:hAnsi="Garamond" w:cs="Times New Roman"/>
          <w:sz w:val="24"/>
        </w:rPr>
      </w:pPr>
      <w:r w:rsidRPr="00395593">
        <w:rPr>
          <w:rFonts w:ascii="Garamond" w:eastAsia="Times New Roman" w:hAnsi="Garamond" w:cs="Times New Roman"/>
          <w:sz w:val="24"/>
        </w:rPr>
        <w:t>despesas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gerais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adicionais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incorra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diretamente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conseqüência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das atividades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pesquisa;</w:t>
      </w:r>
    </w:p>
    <w:p w14:paraId="5C69D2D3"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62C9C184" w14:textId="77777777" w:rsidR="00CB6C86" w:rsidRPr="00395593" w:rsidRDefault="00CB6C86" w:rsidP="002C4340">
      <w:pPr>
        <w:widowControl w:val="0"/>
        <w:numPr>
          <w:ilvl w:val="0"/>
          <w:numId w:val="26"/>
        </w:numPr>
        <w:tabs>
          <w:tab w:val="left" w:pos="1993"/>
        </w:tabs>
        <w:autoSpaceDE w:val="0"/>
        <w:autoSpaceDN w:val="0"/>
        <w:spacing w:after="0" w:line="240" w:lineRule="auto"/>
        <w:ind w:right="119"/>
        <w:jc w:val="both"/>
        <w:rPr>
          <w:rFonts w:ascii="Garamond" w:eastAsia="Times New Roman" w:hAnsi="Garamond" w:cs="Times New Roman"/>
          <w:sz w:val="24"/>
        </w:rPr>
      </w:pPr>
      <w:r w:rsidRPr="00395593">
        <w:rPr>
          <w:rFonts w:ascii="Garamond" w:eastAsia="Times New Roman" w:hAnsi="Garamond" w:cs="Times New Roman"/>
        </w:rPr>
        <w:tab/>
      </w:r>
      <w:r w:rsidRPr="00395593">
        <w:rPr>
          <w:rFonts w:ascii="Garamond" w:eastAsia="Times New Roman" w:hAnsi="Garamond" w:cs="Times New Roman"/>
          <w:sz w:val="24"/>
        </w:rPr>
        <w:t>outras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despesas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correntes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materiais,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suprimentos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assemelhados)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incorra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diretamente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conseqüência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atividades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pesquisa;</w:t>
      </w:r>
    </w:p>
    <w:p w14:paraId="7111CF20"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5343E739" w14:textId="77777777" w:rsidR="00CB6C86" w:rsidRPr="00395593" w:rsidRDefault="00CB6C86" w:rsidP="002C4340">
      <w:pPr>
        <w:widowControl w:val="0"/>
        <w:numPr>
          <w:ilvl w:val="1"/>
          <w:numId w:val="57"/>
        </w:numPr>
        <w:tabs>
          <w:tab w:val="left" w:pos="1235"/>
        </w:tabs>
        <w:autoSpaceDE w:val="0"/>
        <w:autoSpaceDN w:val="0"/>
        <w:spacing w:after="0" w:line="240" w:lineRule="auto"/>
        <w:ind w:left="1181" w:right="116" w:hanging="300"/>
        <w:jc w:val="both"/>
        <w:rPr>
          <w:rFonts w:ascii="Garamond" w:eastAsia="Times New Roman" w:hAnsi="Garamond" w:cs="Times New Roman"/>
          <w:sz w:val="24"/>
        </w:rPr>
      </w:pPr>
      <w:r w:rsidRPr="00395593">
        <w:rPr>
          <w:rFonts w:ascii="Garamond" w:eastAsia="Times New Roman" w:hAnsi="Garamond" w:cs="Times New Roman"/>
          <w:sz w:val="24"/>
        </w:rPr>
        <w:t>assistência a uma região economicamente desfavorecida dentro do território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um membro, concedida no quadro geral do desenvolvimento regional </w:t>
      </w:r>
      <w:r w:rsidRPr="00395593">
        <w:rPr>
          <w:rFonts w:ascii="Garamond" w:eastAsia="Times New Roman" w:hAnsi="Garamond" w:cs="Times New Roman"/>
          <w:sz w:val="24"/>
          <w:vertAlign w:val="superscript"/>
        </w:rPr>
        <w:t>31</w:t>
      </w:r>
      <w:r w:rsidRPr="00395593">
        <w:rPr>
          <w:rFonts w:ascii="Garamond" w:eastAsia="Times New Roman" w:hAnsi="Garamond" w:cs="Times New Roman"/>
          <w:sz w:val="24"/>
        </w:rPr>
        <w:t xml:space="preserve"> e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sela inespecífica (no sentido do Artigo 2) no âmbito das regiões elegíveis, desde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p>
    <w:p w14:paraId="6F0A656C"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7CE1D9C4"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7F6C2604"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72FB645B" w14:textId="7146E27A" w:rsidR="00CB6C86" w:rsidRPr="00395593" w:rsidRDefault="00CB6C86" w:rsidP="00CB6C86">
      <w:pPr>
        <w:widowControl w:val="0"/>
        <w:autoSpaceDE w:val="0"/>
        <w:autoSpaceDN w:val="0"/>
        <w:spacing w:before="1" w:after="0" w:line="240" w:lineRule="auto"/>
        <w:rPr>
          <w:rFonts w:ascii="Garamond" w:eastAsia="Times New Roman" w:hAnsi="Garamond" w:cs="Times New Roman"/>
          <w:sz w:val="11"/>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65" behindDoc="1" locked="0" layoutInCell="1" allowOverlap="1" wp14:anchorId="66A0DCEF" wp14:editId="416C42AE">
                <wp:simplePos x="0" y="0"/>
                <wp:positionH relativeFrom="page">
                  <wp:posOffset>1080770</wp:posOffset>
                </wp:positionH>
                <wp:positionV relativeFrom="paragraph">
                  <wp:posOffset>96520</wp:posOffset>
                </wp:positionV>
                <wp:extent cx="5614035" cy="7620"/>
                <wp:effectExtent l="4445" t="3810" r="1270" b="0"/>
                <wp:wrapTopAndBottom/>
                <wp:docPr id="428" name="Retângulo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2FB1C" id="Retângulo 428" o:spid="_x0000_s1026" style="position:absolute;margin-left:85.1pt;margin-top:7.6pt;width:442.05pt;height:.6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" fillcolor="black" stroked="f">
                <w10:wrap type="topAndBottom" anchorx="page"/>
              </v:rect>
            </w:pict>
          </mc:Fallback>
        </mc:AlternateContent>
      </w:r>
    </w:p>
    <w:p w14:paraId="3145EF78" w14:textId="77777777" w:rsidR="00CB6C86" w:rsidRPr="00395593" w:rsidRDefault="00CB6C86" w:rsidP="00CB6C86">
      <w:pPr>
        <w:widowControl w:val="0"/>
        <w:autoSpaceDE w:val="0"/>
        <w:autoSpaceDN w:val="0"/>
        <w:spacing w:before="87" w:after="0" w:line="249" w:lineRule="auto"/>
        <w:ind w:right="124"/>
        <w:jc w:val="both"/>
        <w:rPr>
          <w:rFonts w:ascii="Garamond" w:eastAsia="Times New Roman" w:hAnsi="Garamond" w:cs="Times New Roman"/>
          <w:sz w:val="20"/>
        </w:rPr>
      </w:pPr>
      <w:r w:rsidRPr="00395593">
        <w:rPr>
          <w:rFonts w:ascii="Garamond" w:eastAsia="Times New Roman" w:hAnsi="Garamond" w:cs="Times New Roman"/>
          <w:position w:val="9"/>
          <w:sz w:val="16"/>
        </w:rPr>
        <w:t xml:space="preserve">27 </w:t>
      </w:r>
      <w:r w:rsidRPr="00395593">
        <w:rPr>
          <w:rFonts w:ascii="Garamond" w:eastAsia="Times New Roman" w:hAnsi="Garamond" w:cs="Times New Roman"/>
          <w:sz w:val="20"/>
        </w:rPr>
        <w:t>Os níveis permitidos da assistência irrecorrível mencionados neste subparágrafo serão estabelecidos com</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referência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total</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gastos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compatíveis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efetuados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durante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curso de um</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projeto.</w:t>
      </w:r>
    </w:p>
    <w:p w14:paraId="6300A489" w14:textId="77777777" w:rsidR="00CB6C86" w:rsidRPr="00395593" w:rsidRDefault="00CB6C86" w:rsidP="00CB6C86">
      <w:pPr>
        <w:widowControl w:val="0"/>
        <w:autoSpaceDE w:val="0"/>
        <w:autoSpaceDN w:val="0"/>
        <w:spacing w:after="0" w:line="240" w:lineRule="auto"/>
        <w:ind w:right="123"/>
        <w:jc w:val="both"/>
        <w:rPr>
          <w:rFonts w:ascii="Garamond" w:eastAsia="Times New Roman" w:hAnsi="Garamond" w:cs="Times New Roman"/>
          <w:sz w:val="20"/>
        </w:rPr>
      </w:pPr>
      <w:r w:rsidRPr="00395593">
        <w:rPr>
          <w:rFonts w:ascii="Garamond" w:eastAsia="Times New Roman" w:hAnsi="Garamond" w:cs="Times New Roman"/>
          <w:sz w:val="20"/>
          <w:vertAlign w:val="superscript"/>
        </w:rPr>
        <w:t>28</w:t>
      </w:r>
      <w:r w:rsidRPr="00395593">
        <w:rPr>
          <w:rFonts w:ascii="Garamond" w:eastAsia="Times New Roman" w:hAnsi="Garamond" w:cs="Times New Roman"/>
          <w:sz w:val="20"/>
        </w:rPr>
        <w:t xml:space="preserve"> O termo “pesquisa industrial” significa busca planejada ou investigação destinada à descoberta de novos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conhecimentos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sejam</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úteis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desenvolvimento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novos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produtos,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processos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serviços,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acréscimo de significativas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melhorias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em</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produtos, processos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serviços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existentes.</w:t>
      </w:r>
    </w:p>
    <w:p w14:paraId="2AB502B9" w14:textId="77777777" w:rsidR="00CB6C86" w:rsidRPr="00395593" w:rsidRDefault="00CB6C86" w:rsidP="00CB6C86">
      <w:pPr>
        <w:widowControl w:val="0"/>
        <w:autoSpaceDE w:val="0"/>
        <w:autoSpaceDN w:val="0"/>
        <w:spacing w:after="0" w:line="240" w:lineRule="auto"/>
        <w:ind w:right="118"/>
        <w:jc w:val="both"/>
        <w:rPr>
          <w:rFonts w:ascii="Garamond" w:eastAsia="Times New Roman" w:hAnsi="Garamond" w:cs="Times New Roman"/>
          <w:sz w:val="20"/>
        </w:rPr>
      </w:pPr>
      <w:r w:rsidRPr="00395593">
        <w:rPr>
          <w:rFonts w:ascii="Garamond" w:eastAsia="Times New Roman" w:hAnsi="Garamond" w:cs="Times New Roman"/>
          <w:sz w:val="20"/>
          <w:vertAlign w:val="superscript"/>
        </w:rPr>
        <w:t>29</w:t>
      </w:r>
      <w:r w:rsidRPr="00395593">
        <w:rPr>
          <w:rFonts w:ascii="Garamond" w:eastAsia="Times New Roman" w:hAnsi="Garamond" w:cs="Times New Roman"/>
          <w:sz w:val="20"/>
        </w:rPr>
        <w:t xml:space="preserve"> O termo “atividade pré-competitiva de desenvolvimento” significa a transposição de descobertas realizadas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pela pesquisa industrial a planos, projetos ou desenhos de produtos, processos ou serviços novos, modificados</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ou aperfeiçoados , destinados ou não à venda ou uso, inclusive a criação de protótipo insusceptível de uso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comercial. Poderá incluir ainda a formulação conceitual e o desenho de alternativas a produtos, processos 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serviços e a demonstração inicial ou projetos piloto, desde que tais projetos não possam ser convertidos 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usados em atividades industriais ou exploração comercial. Ele não inclui alterações rotineiras ou periódicas de</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produtos existentes, linhas de produção, processos, serviços ou outras atividades produtivas em curso, ainda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essas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alterações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possam</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representar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aperfeiçoamentos.</w:t>
      </w:r>
    </w:p>
    <w:p w14:paraId="7D363CB5" w14:textId="77777777" w:rsidR="00CB6C86" w:rsidRPr="00395593" w:rsidRDefault="00CB6C86" w:rsidP="00CB6C86">
      <w:pPr>
        <w:widowControl w:val="0"/>
        <w:autoSpaceDE w:val="0"/>
        <w:autoSpaceDN w:val="0"/>
        <w:spacing w:after="0" w:line="240" w:lineRule="auto"/>
        <w:ind w:right="120"/>
        <w:jc w:val="both"/>
        <w:rPr>
          <w:rFonts w:ascii="Garamond" w:eastAsia="Times New Roman" w:hAnsi="Garamond" w:cs="Times New Roman"/>
          <w:sz w:val="20"/>
        </w:rPr>
      </w:pPr>
      <w:r w:rsidRPr="00395593">
        <w:rPr>
          <w:rFonts w:ascii="Garamond" w:eastAsia="Times New Roman" w:hAnsi="Garamond" w:cs="Times New Roman"/>
          <w:sz w:val="20"/>
          <w:vertAlign w:val="superscript"/>
        </w:rPr>
        <w:t>30</w:t>
      </w:r>
      <w:r w:rsidRPr="00395593">
        <w:rPr>
          <w:rFonts w:ascii="Garamond" w:eastAsia="Times New Roman" w:hAnsi="Garamond" w:cs="Times New Roman"/>
          <w:sz w:val="20"/>
        </w:rPr>
        <w:t xml:space="preserve"> No caso de programas que abarcam pesquisa industrial e atividades pré-competitivas de desenvolvimento, o</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nível</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aceitável</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assistência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irrecorrível</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deverá</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exceder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média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simples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níveis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aceitáveis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da</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assistência irrecorrível aplicáveis a cada uma das duas categorias acima, calculados com base em todos 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custos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computáveis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estabelecidos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itens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(i) a (v) deste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subparágrafo.</w:t>
      </w:r>
    </w:p>
    <w:p w14:paraId="24C3F33A" w14:textId="39800850" w:rsidR="002C582E" w:rsidRDefault="00CB6C86" w:rsidP="00CB6C86">
      <w:pPr>
        <w:widowControl w:val="0"/>
        <w:autoSpaceDE w:val="0"/>
        <w:autoSpaceDN w:val="0"/>
        <w:spacing w:after="0" w:line="240" w:lineRule="auto"/>
        <w:ind w:right="118"/>
        <w:jc w:val="both"/>
        <w:rPr>
          <w:rFonts w:ascii="Garamond" w:eastAsia="Times New Roman" w:hAnsi="Garamond" w:cs="Times New Roman"/>
          <w:sz w:val="20"/>
        </w:rPr>
      </w:pPr>
      <w:r w:rsidRPr="00395593">
        <w:rPr>
          <w:rFonts w:ascii="Garamond" w:eastAsia="Times New Roman" w:hAnsi="Garamond" w:cs="Times New Roman"/>
          <w:sz w:val="20"/>
          <w:vertAlign w:val="superscript"/>
        </w:rPr>
        <w:t>31</w:t>
      </w:r>
      <w:r w:rsidRPr="00395593">
        <w:rPr>
          <w:rFonts w:ascii="Garamond" w:eastAsia="Times New Roman" w:hAnsi="Garamond" w:cs="Times New Roman"/>
          <w:sz w:val="20"/>
        </w:rPr>
        <w:t xml:space="preserve"> “Quadro Geral de Desenvolvimento Regional” significa que programas regionais</w:t>
      </w:r>
      <w:r w:rsidRPr="00395593">
        <w:rPr>
          <w:rFonts w:ascii="Garamond" w:eastAsia="Times New Roman" w:hAnsi="Garamond" w:cs="Times New Roman"/>
          <w:spacing w:val="50"/>
          <w:sz w:val="20"/>
        </w:rPr>
        <w:t xml:space="preserve"> </w:t>
      </w:r>
      <w:r w:rsidRPr="00395593">
        <w:rPr>
          <w:rFonts w:ascii="Garamond" w:eastAsia="Times New Roman" w:hAnsi="Garamond" w:cs="Times New Roman"/>
          <w:sz w:val="20"/>
        </w:rPr>
        <w:t>de subsídios formam</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parte integrante de uma política de desenvolvimento regional internamente coerente e aplicável de forma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geral, e que os subsídios regionais para o desenvolvimento não são concedidos a pontos geograficamente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isolados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sem</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nenhuma ou</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quase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nenhuma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importância para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 desenvolvimento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uma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região.</w:t>
      </w:r>
    </w:p>
    <w:p w14:paraId="7FCBB8C1" w14:textId="77777777" w:rsidR="002C582E" w:rsidRDefault="002C582E">
      <w:pPr>
        <w:rPr>
          <w:rFonts w:ascii="Garamond" w:eastAsia="Times New Roman" w:hAnsi="Garamond" w:cs="Times New Roman"/>
          <w:sz w:val="20"/>
        </w:rPr>
      </w:pPr>
      <w:r>
        <w:rPr>
          <w:rFonts w:ascii="Garamond" w:eastAsia="Times New Roman" w:hAnsi="Garamond" w:cs="Times New Roman"/>
          <w:sz w:val="20"/>
        </w:rPr>
        <w:br w:type="page"/>
      </w:r>
    </w:p>
    <w:p w14:paraId="5C1F5801" w14:textId="77777777" w:rsidR="00CB6C86" w:rsidRPr="00395593" w:rsidRDefault="00CB6C86" w:rsidP="00CB6C86">
      <w:pPr>
        <w:widowControl w:val="0"/>
        <w:autoSpaceDE w:val="0"/>
        <w:autoSpaceDN w:val="0"/>
        <w:spacing w:after="0" w:line="240" w:lineRule="auto"/>
        <w:ind w:right="118"/>
        <w:jc w:val="both"/>
        <w:rPr>
          <w:rFonts w:ascii="Garamond" w:eastAsia="Times New Roman" w:hAnsi="Garamond" w:cs="Times New Roman"/>
          <w:sz w:val="20"/>
        </w:rPr>
      </w:pPr>
    </w:p>
    <w:p w14:paraId="7655D0A1" w14:textId="77777777" w:rsidR="00CB6C86" w:rsidRPr="00395593" w:rsidRDefault="00CB6C86" w:rsidP="002C4340">
      <w:pPr>
        <w:widowControl w:val="0"/>
        <w:numPr>
          <w:ilvl w:val="0"/>
          <w:numId w:val="25"/>
        </w:numPr>
        <w:tabs>
          <w:tab w:val="left" w:pos="1139"/>
        </w:tabs>
        <w:autoSpaceDE w:val="0"/>
        <w:autoSpaceDN w:val="0"/>
        <w:spacing w:before="68" w:after="0" w:line="240" w:lineRule="auto"/>
        <w:ind w:left="1181" w:right="122"/>
        <w:jc w:val="both"/>
        <w:rPr>
          <w:rFonts w:ascii="Garamond" w:eastAsia="Times New Roman" w:hAnsi="Garamond" w:cs="Times New Roman"/>
          <w:sz w:val="24"/>
        </w:rPr>
      </w:pPr>
      <w:r w:rsidRPr="00395593">
        <w:rPr>
          <w:rFonts w:ascii="Garamond" w:eastAsia="Times New Roman" w:hAnsi="Garamond" w:cs="Times New Roman"/>
          <w:sz w:val="24"/>
        </w:rPr>
        <w:t>cada região economicamente desfavorecida constitua área geográfica continua,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claramente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identificada,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 identidade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econômica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 administrativa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definível;</w:t>
      </w:r>
    </w:p>
    <w:p w14:paraId="5531A30D"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6C491F95" w14:textId="77777777" w:rsidR="00CB6C86" w:rsidRPr="00395593" w:rsidRDefault="00CB6C86" w:rsidP="002C4340">
      <w:pPr>
        <w:widowControl w:val="0"/>
        <w:numPr>
          <w:ilvl w:val="0"/>
          <w:numId w:val="25"/>
        </w:numPr>
        <w:tabs>
          <w:tab w:val="left" w:pos="1216"/>
        </w:tabs>
        <w:autoSpaceDE w:val="0"/>
        <w:autoSpaceDN w:val="0"/>
        <w:spacing w:after="0" w:line="240" w:lineRule="auto"/>
        <w:ind w:left="1181" w:right="114"/>
        <w:jc w:val="both"/>
        <w:rPr>
          <w:rFonts w:ascii="Garamond" w:eastAsia="Times New Roman" w:hAnsi="Garamond" w:cs="Times New Roman"/>
          <w:sz w:val="24"/>
        </w:rPr>
      </w:pPr>
      <w:r w:rsidRPr="00395593">
        <w:rPr>
          <w:rFonts w:ascii="Garamond" w:eastAsia="Times New Roman" w:hAnsi="Garamond" w:cs="Times New Roman"/>
          <w:sz w:val="24"/>
        </w:rPr>
        <w:t>seja a região considerada economicamente desfavorecida a partir de critérios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neutros e objetivos </w:t>
      </w:r>
      <w:r w:rsidRPr="00395593">
        <w:rPr>
          <w:rFonts w:ascii="Garamond" w:eastAsia="Times New Roman" w:hAnsi="Garamond" w:cs="Times New Roman"/>
          <w:sz w:val="24"/>
          <w:vertAlign w:val="superscript"/>
        </w:rPr>
        <w:t>32</w:t>
      </w:r>
      <w:r w:rsidRPr="00395593">
        <w:rPr>
          <w:rFonts w:ascii="Garamond" w:eastAsia="Times New Roman" w:hAnsi="Garamond" w:cs="Times New Roman"/>
          <w:sz w:val="24"/>
        </w:rPr>
        <w:t xml:space="preserve"> que demonstrem serem suas dificuldades originárias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outros fatores além de circunstâncias temporárias; tais critérios serão claramente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expressos em lei, regulamento ou outro documento oficial, de forma ã permitir-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lhe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verificação;</w:t>
      </w:r>
    </w:p>
    <w:p w14:paraId="4C4D8C9E"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56185C0B" w14:textId="77777777" w:rsidR="00CB6C86" w:rsidRPr="00395593" w:rsidRDefault="00CB6C86" w:rsidP="002C4340">
      <w:pPr>
        <w:widowControl w:val="0"/>
        <w:numPr>
          <w:ilvl w:val="0"/>
          <w:numId w:val="25"/>
        </w:numPr>
        <w:tabs>
          <w:tab w:val="left" w:pos="1261"/>
        </w:tabs>
        <w:autoSpaceDE w:val="0"/>
        <w:autoSpaceDN w:val="0"/>
        <w:spacing w:after="0" w:line="240" w:lineRule="auto"/>
        <w:ind w:left="1181" w:right="125"/>
        <w:jc w:val="both"/>
        <w:rPr>
          <w:rFonts w:ascii="Garamond" w:eastAsia="Times New Roman" w:hAnsi="Garamond" w:cs="Times New Roman"/>
          <w:sz w:val="24"/>
        </w:rPr>
      </w:pPr>
      <w:r w:rsidRPr="00395593">
        <w:rPr>
          <w:rFonts w:ascii="Garamond" w:eastAsia="Times New Roman" w:hAnsi="Garamond" w:cs="Times New Roman"/>
          <w:sz w:val="24"/>
        </w:rPr>
        <w:t>os critérios incluirão medida do desenvolvimento econômico baseada em pelo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 dos seguintes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fatores</w:t>
      </w:r>
    </w:p>
    <w:p w14:paraId="7F8FF93E"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5159CB44" w14:textId="77777777" w:rsidR="00CB6C86" w:rsidRPr="00395593" w:rsidRDefault="00CB6C86" w:rsidP="002C4340">
      <w:pPr>
        <w:widowControl w:val="0"/>
        <w:numPr>
          <w:ilvl w:val="1"/>
          <w:numId w:val="25"/>
        </w:numPr>
        <w:tabs>
          <w:tab w:val="left" w:pos="1509"/>
        </w:tabs>
        <w:autoSpaceDE w:val="0"/>
        <w:autoSpaceDN w:val="0"/>
        <w:spacing w:after="0" w:line="240" w:lineRule="auto"/>
        <w:ind w:right="117" w:hanging="180"/>
        <w:jc w:val="both"/>
        <w:rPr>
          <w:rFonts w:ascii="Garamond" w:eastAsia="Times New Roman" w:hAnsi="Garamond" w:cs="Times New Roman"/>
          <w:sz w:val="24"/>
        </w:rPr>
      </w:pPr>
      <w:r w:rsidRPr="00395593">
        <w:rPr>
          <w:rFonts w:ascii="Garamond" w:eastAsia="Times New Roman" w:hAnsi="Garamond" w:cs="Times New Roman"/>
          <w:sz w:val="24"/>
        </w:rPr>
        <w:t xml:space="preserve">renda </w:t>
      </w:r>
      <w:r w:rsidRPr="00395593">
        <w:rPr>
          <w:rFonts w:ascii="Garamond" w:eastAsia="Times New Roman" w:hAnsi="Garamond" w:cs="Times New Roman"/>
          <w:i/>
          <w:sz w:val="24"/>
        </w:rPr>
        <w:t xml:space="preserve">per capita </w:t>
      </w:r>
      <w:r w:rsidRPr="00395593">
        <w:rPr>
          <w:rFonts w:ascii="Garamond" w:eastAsia="Times New Roman" w:hAnsi="Garamond" w:cs="Times New Roman"/>
          <w:sz w:val="24"/>
        </w:rPr>
        <w:t xml:space="preserve">ou renda familiar </w:t>
      </w:r>
      <w:r w:rsidRPr="00395593">
        <w:rPr>
          <w:rFonts w:ascii="Garamond" w:eastAsia="Times New Roman" w:hAnsi="Garamond" w:cs="Times New Roman"/>
          <w:i/>
          <w:sz w:val="24"/>
        </w:rPr>
        <w:t xml:space="preserve">per capita </w:t>
      </w:r>
      <w:r w:rsidRPr="00395593">
        <w:rPr>
          <w:rFonts w:ascii="Garamond" w:eastAsia="Times New Roman" w:hAnsi="Garamond" w:cs="Times New Roman"/>
          <w:sz w:val="24"/>
        </w:rPr>
        <w:t xml:space="preserve">ou Produto Nacional Bruto </w:t>
      </w:r>
      <w:r w:rsidRPr="00395593">
        <w:rPr>
          <w:rFonts w:ascii="Garamond" w:eastAsia="Times New Roman" w:hAnsi="Garamond" w:cs="Times New Roman"/>
          <w:i/>
          <w:sz w:val="24"/>
        </w:rPr>
        <w:t>per</w:t>
      </w:r>
      <w:r w:rsidRPr="00395593">
        <w:rPr>
          <w:rFonts w:ascii="Garamond" w:eastAsia="Times New Roman" w:hAnsi="Garamond" w:cs="Times New Roman"/>
          <w:i/>
          <w:spacing w:val="1"/>
          <w:sz w:val="24"/>
        </w:rPr>
        <w:t xml:space="preserve"> </w:t>
      </w:r>
      <w:r w:rsidRPr="00395593">
        <w:rPr>
          <w:rFonts w:ascii="Garamond" w:eastAsia="Times New Roman" w:hAnsi="Garamond" w:cs="Times New Roman"/>
          <w:i/>
          <w:sz w:val="24"/>
        </w:rPr>
        <w:t>capita</w:t>
      </w:r>
      <w:r w:rsidRPr="00395593">
        <w:rPr>
          <w:rFonts w:ascii="Garamond" w:eastAsia="Times New Roman" w:hAnsi="Garamond" w:cs="Times New Roman"/>
          <w:sz w:val="24"/>
        </w:rPr>
        <w:t>, que não deverá ultrapassar 85 por cento da média do território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causa;</w:t>
      </w:r>
    </w:p>
    <w:p w14:paraId="7CD7C066" w14:textId="77777777" w:rsidR="00CB6C86" w:rsidRPr="00395593" w:rsidRDefault="00CB6C86" w:rsidP="00AE2332">
      <w:pPr>
        <w:widowControl w:val="0"/>
        <w:autoSpaceDE w:val="0"/>
        <w:autoSpaceDN w:val="0"/>
        <w:spacing w:before="1" w:after="0" w:line="240" w:lineRule="auto"/>
        <w:jc w:val="both"/>
        <w:rPr>
          <w:rFonts w:ascii="Garamond" w:eastAsia="Times New Roman" w:hAnsi="Garamond" w:cs="Times New Roman"/>
          <w:sz w:val="24"/>
          <w:szCs w:val="24"/>
        </w:rPr>
      </w:pPr>
    </w:p>
    <w:p w14:paraId="6B0B8AA6" w14:textId="1F96B64D" w:rsidR="00CB6C86" w:rsidRPr="00395593" w:rsidRDefault="00CB6C86" w:rsidP="002C4340">
      <w:pPr>
        <w:widowControl w:val="0"/>
        <w:numPr>
          <w:ilvl w:val="1"/>
          <w:numId w:val="25"/>
        </w:numPr>
        <w:tabs>
          <w:tab w:val="left" w:pos="1521"/>
        </w:tabs>
        <w:autoSpaceDE w:val="0"/>
        <w:autoSpaceDN w:val="0"/>
        <w:spacing w:after="0" w:line="240" w:lineRule="auto"/>
        <w:ind w:right="118" w:hanging="180"/>
        <w:jc w:val="both"/>
        <w:rPr>
          <w:rFonts w:ascii="Garamond" w:eastAsia="Times New Roman" w:hAnsi="Garamond" w:cs="Times New Roman"/>
          <w:sz w:val="24"/>
          <w:szCs w:val="24"/>
        </w:rPr>
      </w:pPr>
      <w:r w:rsidRPr="00395593">
        <w:rPr>
          <w:rFonts w:ascii="Garamond" w:eastAsia="Times New Roman" w:hAnsi="Garamond" w:cs="Times New Roman"/>
          <w:sz w:val="24"/>
        </w:rPr>
        <w:t>taxa de desemprego, que deverá ser pelo menos 110 por cento da média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território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causa,</w:t>
      </w:r>
      <w:r w:rsidR="001F139A" w:rsidRPr="00395593">
        <w:rPr>
          <w:rFonts w:ascii="Garamond" w:eastAsia="Times New Roman" w:hAnsi="Garamond" w:cs="Times New Roman"/>
          <w:sz w:val="24"/>
        </w:rPr>
        <w:t xml:space="preserve"> </w:t>
      </w:r>
      <w:r w:rsidRPr="00395593">
        <w:rPr>
          <w:rFonts w:ascii="Garamond" w:eastAsia="Times New Roman" w:hAnsi="Garamond" w:cs="Times New Roman"/>
          <w:sz w:val="24"/>
          <w:szCs w:val="24"/>
        </w:rPr>
        <w:t>apurados</w:t>
      </w:r>
      <w:r w:rsidRPr="00395593">
        <w:rPr>
          <w:rFonts w:ascii="Garamond" w:eastAsia="Times New Roman" w:hAnsi="Garamond" w:cs="Times New Roman"/>
          <w:spacing w:val="37"/>
          <w:sz w:val="24"/>
          <w:szCs w:val="24"/>
        </w:rPr>
        <w:t xml:space="preserve"> </w:t>
      </w:r>
      <w:r w:rsidRPr="00395593">
        <w:rPr>
          <w:rFonts w:ascii="Garamond" w:eastAsia="Times New Roman" w:hAnsi="Garamond" w:cs="Times New Roman"/>
          <w:sz w:val="24"/>
          <w:szCs w:val="24"/>
        </w:rPr>
        <w:t>por</w:t>
      </w:r>
      <w:r w:rsidRPr="00395593">
        <w:rPr>
          <w:rFonts w:ascii="Garamond" w:eastAsia="Times New Roman" w:hAnsi="Garamond" w:cs="Times New Roman"/>
          <w:spacing w:val="36"/>
          <w:sz w:val="24"/>
          <w:szCs w:val="24"/>
        </w:rPr>
        <w:t xml:space="preserve"> </w:t>
      </w:r>
      <w:r w:rsidRPr="00395593">
        <w:rPr>
          <w:rFonts w:ascii="Garamond" w:eastAsia="Times New Roman" w:hAnsi="Garamond" w:cs="Times New Roman"/>
          <w:sz w:val="24"/>
          <w:szCs w:val="24"/>
        </w:rPr>
        <w:t>um</w:t>
      </w:r>
      <w:r w:rsidRPr="00395593">
        <w:rPr>
          <w:rFonts w:ascii="Garamond" w:eastAsia="Times New Roman" w:hAnsi="Garamond" w:cs="Times New Roman"/>
          <w:spacing w:val="37"/>
          <w:sz w:val="24"/>
          <w:szCs w:val="24"/>
        </w:rPr>
        <w:t xml:space="preserve"> </w:t>
      </w:r>
      <w:r w:rsidRPr="00395593">
        <w:rPr>
          <w:rFonts w:ascii="Garamond" w:eastAsia="Times New Roman" w:hAnsi="Garamond" w:cs="Times New Roman"/>
          <w:sz w:val="24"/>
          <w:szCs w:val="24"/>
        </w:rPr>
        <w:t>período</w:t>
      </w:r>
      <w:r w:rsidRPr="00395593">
        <w:rPr>
          <w:rFonts w:ascii="Garamond" w:eastAsia="Times New Roman" w:hAnsi="Garamond" w:cs="Times New Roman"/>
          <w:spacing w:val="37"/>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36"/>
          <w:sz w:val="24"/>
          <w:szCs w:val="24"/>
        </w:rPr>
        <w:t xml:space="preserve"> </w:t>
      </w:r>
      <w:r w:rsidRPr="00395593">
        <w:rPr>
          <w:rFonts w:ascii="Garamond" w:eastAsia="Times New Roman" w:hAnsi="Garamond" w:cs="Times New Roman"/>
          <w:sz w:val="24"/>
          <w:szCs w:val="24"/>
        </w:rPr>
        <w:t>três</w:t>
      </w:r>
      <w:r w:rsidRPr="00395593">
        <w:rPr>
          <w:rFonts w:ascii="Garamond" w:eastAsia="Times New Roman" w:hAnsi="Garamond" w:cs="Times New Roman"/>
          <w:spacing w:val="37"/>
          <w:sz w:val="24"/>
          <w:szCs w:val="24"/>
        </w:rPr>
        <w:t xml:space="preserve"> </w:t>
      </w:r>
      <w:r w:rsidRPr="00395593">
        <w:rPr>
          <w:rFonts w:ascii="Garamond" w:eastAsia="Times New Roman" w:hAnsi="Garamond" w:cs="Times New Roman"/>
          <w:sz w:val="24"/>
          <w:szCs w:val="24"/>
        </w:rPr>
        <w:t>anos;</w:t>
      </w:r>
      <w:r w:rsidRPr="00395593">
        <w:rPr>
          <w:rFonts w:ascii="Garamond" w:eastAsia="Times New Roman" w:hAnsi="Garamond" w:cs="Times New Roman"/>
          <w:spacing w:val="37"/>
          <w:sz w:val="24"/>
          <w:szCs w:val="24"/>
        </w:rPr>
        <w:t xml:space="preserve"> </w:t>
      </w:r>
      <w:r w:rsidRPr="00395593">
        <w:rPr>
          <w:rFonts w:ascii="Garamond" w:eastAsia="Times New Roman" w:hAnsi="Garamond" w:cs="Times New Roman"/>
          <w:sz w:val="24"/>
          <w:szCs w:val="24"/>
        </w:rPr>
        <w:t>tal</w:t>
      </w:r>
      <w:r w:rsidRPr="00395593">
        <w:rPr>
          <w:rFonts w:ascii="Garamond" w:eastAsia="Times New Roman" w:hAnsi="Garamond" w:cs="Times New Roman"/>
          <w:spacing w:val="37"/>
          <w:sz w:val="24"/>
          <w:szCs w:val="24"/>
        </w:rPr>
        <w:t xml:space="preserve"> </w:t>
      </w:r>
      <w:r w:rsidRPr="00395593">
        <w:rPr>
          <w:rFonts w:ascii="Garamond" w:eastAsia="Times New Roman" w:hAnsi="Garamond" w:cs="Times New Roman"/>
          <w:sz w:val="24"/>
          <w:szCs w:val="24"/>
        </w:rPr>
        <w:t>medida,</w:t>
      </w:r>
      <w:r w:rsidRPr="00395593">
        <w:rPr>
          <w:rFonts w:ascii="Garamond" w:eastAsia="Times New Roman" w:hAnsi="Garamond" w:cs="Times New Roman"/>
          <w:spacing w:val="37"/>
          <w:sz w:val="24"/>
          <w:szCs w:val="24"/>
        </w:rPr>
        <w:t xml:space="preserve"> </w:t>
      </w:r>
      <w:r w:rsidRPr="00395593">
        <w:rPr>
          <w:rFonts w:ascii="Garamond" w:eastAsia="Times New Roman" w:hAnsi="Garamond" w:cs="Times New Roman"/>
          <w:sz w:val="24"/>
          <w:szCs w:val="24"/>
        </w:rPr>
        <w:t>porém,</w:t>
      </w:r>
      <w:r w:rsidRPr="00395593">
        <w:rPr>
          <w:rFonts w:ascii="Garamond" w:eastAsia="Times New Roman" w:hAnsi="Garamond" w:cs="Times New Roman"/>
          <w:spacing w:val="37"/>
          <w:sz w:val="24"/>
          <w:szCs w:val="24"/>
        </w:rPr>
        <w:t xml:space="preserve"> </w:t>
      </w:r>
      <w:r w:rsidRPr="00395593">
        <w:rPr>
          <w:rFonts w:ascii="Garamond" w:eastAsia="Times New Roman" w:hAnsi="Garamond" w:cs="Times New Roman"/>
          <w:sz w:val="24"/>
          <w:szCs w:val="24"/>
        </w:rPr>
        <w:t>poderá</w:t>
      </w:r>
      <w:r w:rsidRPr="00395593">
        <w:rPr>
          <w:rFonts w:ascii="Garamond" w:eastAsia="Times New Roman" w:hAnsi="Garamond" w:cs="Times New Roman"/>
          <w:spacing w:val="37"/>
          <w:sz w:val="24"/>
          <w:szCs w:val="24"/>
        </w:rPr>
        <w:t xml:space="preserve"> </w:t>
      </w:r>
      <w:r w:rsidRPr="00395593">
        <w:rPr>
          <w:rFonts w:ascii="Garamond" w:eastAsia="Times New Roman" w:hAnsi="Garamond" w:cs="Times New Roman"/>
          <w:sz w:val="24"/>
          <w:szCs w:val="24"/>
        </w:rPr>
        <w:t>resultar</w:t>
      </w:r>
      <w:r w:rsidRPr="00395593">
        <w:rPr>
          <w:rFonts w:ascii="Garamond" w:eastAsia="Times New Roman" w:hAnsi="Garamond" w:cs="Times New Roman"/>
          <w:spacing w:val="37"/>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58"/>
          <w:sz w:val="24"/>
          <w:szCs w:val="24"/>
        </w:rPr>
        <w:t xml:space="preserve"> </w:t>
      </w:r>
      <w:r w:rsidRPr="00395593">
        <w:rPr>
          <w:rFonts w:ascii="Garamond" w:eastAsia="Times New Roman" w:hAnsi="Garamond" w:cs="Times New Roman"/>
          <w:sz w:val="24"/>
          <w:szCs w:val="24"/>
        </w:rPr>
        <w:t>uma composição de diferentes fatores e poderá incluir outros não indicados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acima.</w:t>
      </w:r>
    </w:p>
    <w:p w14:paraId="34D30308"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1E282625" w14:textId="77777777" w:rsidR="00CB6C86" w:rsidRPr="00395593" w:rsidRDefault="00CB6C86" w:rsidP="002C4340">
      <w:pPr>
        <w:widowControl w:val="0"/>
        <w:numPr>
          <w:ilvl w:val="1"/>
          <w:numId w:val="57"/>
        </w:numPr>
        <w:tabs>
          <w:tab w:val="left" w:pos="1211"/>
        </w:tabs>
        <w:autoSpaceDE w:val="0"/>
        <w:autoSpaceDN w:val="0"/>
        <w:spacing w:after="0" w:line="240" w:lineRule="auto"/>
        <w:ind w:left="1181" w:right="115" w:hanging="360"/>
        <w:jc w:val="both"/>
        <w:rPr>
          <w:rFonts w:ascii="Garamond" w:eastAsia="Times New Roman" w:hAnsi="Garamond" w:cs="Times New Roman"/>
          <w:sz w:val="24"/>
        </w:rPr>
      </w:pPr>
      <w:r w:rsidRPr="00395593">
        <w:rPr>
          <w:rFonts w:ascii="Garamond" w:eastAsia="Times New Roman" w:hAnsi="Garamond" w:cs="Times New Roman"/>
          <w:sz w:val="24"/>
        </w:rPr>
        <w:t>assistência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promover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adaptação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instalações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existentes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33</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novas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exigências ambientalistas impostas por lei e/ou regulamentos de que resultem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maiores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obrigações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carga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financeira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assistência:</w:t>
      </w:r>
    </w:p>
    <w:p w14:paraId="054C23ED" w14:textId="77777777" w:rsidR="00CB6C86" w:rsidRPr="00395593" w:rsidRDefault="00CB6C86" w:rsidP="00AE2332">
      <w:pPr>
        <w:widowControl w:val="0"/>
        <w:autoSpaceDE w:val="0"/>
        <w:autoSpaceDN w:val="0"/>
        <w:spacing w:before="1" w:after="0" w:line="240" w:lineRule="auto"/>
        <w:jc w:val="both"/>
        <w:rPr>
          <w:rFonts w:ascii="Garamond" w:eastAsia="Times New Roman" w:hAnsi="Garamond" w:cs="Times New Roman"/>
          <w:sz w:val="24"/>
          <w:szCs w:val="24"/>
        </w:rPr>
      </w:pPr>
    </w:p>
    <w:p w14:paraId="550ADD57" w14:textId="77777777" w:rsidR="00CB6C86" w:rsidRPr="00395593" w:rsidRDefault="00CB6C86" w:rsidP="002C4340">
      <w:pPr>
        <w:widowControl w:val="0"/>
        <w:numPr>
          <w:ilvl w:val="2"/>
          <w:numId w:val="57"/>
        </w:numPr>
        <w:tabs>
          <w:tab w:val="left" w:pos="1828"/>
        </w:tabs>
        <w:autoSpaceDE w:val="0"/>
        <w:autoSpaceDN w:val="0"/>
        <w:spacing w:after="0" w:line="240" w:lineRule="auto"/>
        <w:jc w:val="both"/>
        <w:rPr>
          <w:rFonts w:ascii="Garamond" w:eastAsia="Times New Roman" w:hAnsi="Garamond" w:cs="Times New Roman"/>
          <w:sz w:val="24"/>
        </w:rPr>
      </w:pPr>
      <w:r w:rsidRPr="00395593">
        <w:rPr>
          <w:rFonts w:ascii="Garamond" w:eastAsia="Times New Roman" w:hAnsi="Garamond" w:cs="Times New Roman"/>
          <w:sz w:val="24"/>
        </w:rPr>
        <w:t>seja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excepcional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não-recorrente;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p>
    <w:p w14:paraId="1CDA2CD2"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78F64270" w14:textId="77777777" w:rsidR="00CB6C86" w:rsidRPr="00395593" w:rsidRDefault="00CB6C86" w:rsidP="002C4340">
      <w:pPr>
        <w:widowControl w:val="0"/>
        <w:numPr>
          <w:ilvl w:val="2"/>
          <w:numId w:val="57"/>
        </w:numPr>
        <w:tabs>
          <w:tab w:val="left" w:pos="1896"/>
        </w:tabs>
        <w:autoSpaceDE w:val="0"/>
        <w:autoSpaceDN w:val="0"/>
        <w:spacing w:after="0" w:line="240" w:lineRule="auto"/>
        <w:ind w:left="1895" w:hanging="354"/>
        <w:jc w:val="both"/>
        <w:rPr>
          <w:rFonts w:ascii="Garamond" w:eastAsia="Times New Roman" w:hAnsi="Garamond" w:cs="Times New Roman"/>
          <w:sz w:val="24"/>
        </w:rPr>
      </w:pPr>
      <w:r w:rsidRPr="00395593">
        <w:rPr>
          <w:rFonts w:ascii="Garamond" w:eastAsia="Times New Roman" w:hAnsi="Garamond" w:cs="Times New Roman"/>
          <w:sz w:val="24"/>
        </w:rPr>
        <w:t>seja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limitada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20</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 cento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custo 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adaptação;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p>
    <w:p w14:paraId="1A5FADD6"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639CBAFD" w14:textId="77777777" w:rsidR="00CB6C86" w:rsidRPr="00395593" w:rsidRDefault="00CB6C86" w:rsidP="002C4340">
      <w:pPr>
        <w:widowControl w:val="0"/>
        <w:numPr>
          <w:ilvl w:val="2"/>
          <w:numId w:val="57"/>
        </w:numPr>
        <w:tabs>
          <w:tab w:val="left" w:pos="1991"/>
        </w:tabs>
        <w:autoSpaceDE w:val="0"/>
        <w:autoSpaceDN w:val="0"/>
        <w:spacing w:after="0" w:line="240" w:lineRule="auto"/>
        <w:ind w:left="1902" w:right="117" w:hanging="360"/>
        <w:jc w:val="both"/>
        <w:rPr>
          <w:rFonts w:ascii="Garamond" w:eastAsia="Times New Roman" w:hAnsi="Garamond" w:cs="Times New Roman"/>
          <w:sz w:val="24"/>
        </w:rPr>
      </w:pPr>
      <w:r w:rsidRPr="00395593">
        <w:rPr>
          <w:rFonts w:ascii="Garamond" w:eastAsia="Times New Roman" w:hAnsi="Garamond" w:cs="Times New Roman"/>
          <w:sz w:val="24"/>
        </w:rPr>
        <w:t>não</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cubra</w:t>
      </w:r>
      <w:r w:rsidRPr="00395593">
        <w:rPr>
          <w:rFonts w:ascii="Garamond" w:eastAsia="Times New Roman" w:hAnsi="Garamond" w:cs="Times New Roman"/>
          <w:spacing w:val="29"/>
          <w:sz w:val="24"/>
        </w:rPr>
        <w:t xml:space="preserve"> </w:t>
      </w:r>
      <w:r w:rsidRPr="00395593">
        <w:rPr>
          <w:rFonts w:ascii="Garamond" w:eastAsia="Times New Roman" w:hAnsi="Garamond" w:cs="Times New Roman"/>
          <w:sz w:val="24"/>
        </w:rPr>
        <w:t>custos</w:t>
      </w:r>
      <w:r w:rsidRPr="00395593">
        <w:rPr>
          <w:rFonts w:ascii="Garamond" w:eastAsia="Times New Roman" w:hAnsi="Garamond" w:cs="Times New Roman"/>
          <w:spacing w:val="29"/>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reposição</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operação</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investimento</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6"/>
          <w:sz w:val="24"/>
        </w:rPr>
        <w:t xml:space="preserve"> </w:t>
      </w:r>
      <w:r w:rsidRPr="00395593">
        <w:rPr>
          <w:rFonts w:ascii="Garamond" w:eastAsia="Times New Roman" w:hAnsi="Garamond" w:cs="Times New Roman"/>
          <w:sz w:val="24"/>
        </w:rPr>
        <w:t>devem</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recair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inteiramente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 as empresas;</w:t>
      </w:r>
    </w:p>
    <w:p w14:paraId="0EBE6A5C"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3A02F4DC" w14:textId="4DC3303A" w:rsidR="00CB6C86" w:rsidRDefault="00CB6C86" w:rsidP="00CB6C86">
      <w:pPr>
        <w:widowControl w:val="0"/>
        <w:autoSpaceDE w:val="0"/>
        <w:autoSpaceDN w:val="0"/>
        <w:spacing w:after="0" w:line="240" w:lineRule="auto"/>
        <w:rPr>
          <w:rFonts w:ascii="Garamond" w:eastAsia="Times New Roman" w:hAnsi="Garamond" w:cs="Times New Roman"/>
          <w:sz w:val="20"/>
          <w:szCs w:val="24"/>
        </w:rPr>
      </w:pPr>
    </w:p>
    <w:p w14:paraId="541DFA02" w14:textId="3365AA2E" w:rsidR="002C582E" w:rsidRDefault="002C582E" w:rsidP="00CB6C86">
      <w:pPr>
        <w:widowControl w:val="0"/>
        <w:autoSpaceDE w:val="0"/>
        <w:autoSpaceDN w:val="0"/>
        <w:spacing w:after="0" w:line="240" w:lineRule="auto"/>
        <w:rPr>
          <w:rFonts w:ascii="Garamond" w:eastAsia="Times New Roman" w:hAnsi="Garamond" w:cs="Times New Roman"/>
          <w:sz w:val="20"/>
          <w:szCs w:val="24"/>
        </w:rPr>
      </w:pPr>
    </w:p>
    <w:p w14:paraId="5E3E8305" w14:textId="0BBF899D" w:rsidR="002C582E" w:rsidRDefault="002C582E" w:rsidP="00CB6C86">
      <w:pPr>
        <w:widowControl w:val="0"/>
        <w:autoSpaceDE w:val="0"/>
        <w:autoSpaceDN w:val="0"/>
        <w:spacing w:after="0" w:line="240" w:lineRule="auto"/>
        <w:rPr>
          <w:rFonts w:ascii="Garamond" w:eastAsia="Times New Roman" w:hAnsi="Garamond" w:cs="Times New Roman"/>
          <w:sz w:val="20"/>
          <w:szCs w:val="24"/>
        </w:rPr>
      </w:pPr>
    </w:p>
    <w:p w14:paraId="4E0EFD6A" w14:textId="4215C227" w:rsidR="002C582E" w:rsidRDefault="002C582E" w:rsidP="00CB6C86">
      <w:pPr>
        <w:widowControl w:val="0"/>
        <w:autoSpaceDE w:val="0"/>
        <w:autoSpaceDN w:val="0"/>
        <w:spacing w:after="0" w:line="240" w:lineRule="auto"/>
        <w:rPr>
          <w:rFonts w:ascii="Garamond" w:eastAsia="Times New Roman" w:hAnsi="Garamond" w:cs="Times New Roman"/>
          <w:sz w:val="20"/>
          <w:szCs w:val="24"/>
        </w:rPr>
      </w:pPr>
    </w:p>
    <w:p w14:paraId="57C61D65" w14:textId="77777777" w:rsidR="002C582E" w:rsidRPr="00395593" w:rsidRDefault="002C582E" w:rsidP="00CB6C86">
      <w:pPr>
        <w:widowControl w:val="0"/>
        <w:autoSpaceDE w:val="0"/>
        <w:autoSpaceDN w:val="0"/>
        <w:spacing w:after="0" w:line="240" w:lineRule="auto"/>
        <w:rPr>
          <w:rFonts w:ascii="Garamond" w:eastAsia="Times New Roman" w:hAnsi="Garamond" w:cs="Times New Roman"/>
          <w:sz w:val="20"/>
          <w:szCs w:val="24"/>
        </w:rPr>
      </w:pPr>
    </w:p>
    <w:p w14:paraId="1E78608F"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0B1D101D" w14:textId="531BA9F0" w:rsidR="00CB6C86" w:rsidRPr="00395593" w:rsidRDefault="00CB6C86" w:rsidP="00CB6C86">
      <w:pPr>
        <w:widowControl w:val="0"/>
        <w:autoSpaceDE w:val="0"/>
        <w:autoSpaceDN w:val="0"/>
        <w:spacing w:before="1" w:after="0" w:line="240" w:lineRule="auto"/>
        <w:rPr>
          <w:rFonts w:ascii="Garamond" w:eastAsia="Times New Roman" w:hAnsi="Garamond" w:cs="Times New Roman"/>
          <w:sz w:val="23"/>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66" behindDoc="1" locked="0" layoutInCell="1" allowOverlap="1" wp14:anchorId="4448BC21" wp14:editId="1C5DBCAB">
                <wp:simplePos x="0" y="0"/>
                <wp:positionH relativeFrom="page">
                  <wp:posOffset>1080770</wp:posOffset>
                </wp:positionH>
                <wp:positionV relativeFrom="paragraph">
                  <wp:posOffset>184150</wp:posOffset>
                </wp:positionV>
                <wp:extent cx="1828800" cy="7620"/>
                <wp:effectExtent l="4445" t="0" r="0" b="3175"/>
                <wp:wrapTopAndBottom/>
                <wp:docPr id="427" name="Retângulo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17F4E" id="Retângulo 427" o:spid="_x0000_s1026" style="position:absolute;margin-left:85.1pt;margin-top:14.5pt;width:2in;height:.6pt;z-index:-2516582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pAgA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" fillcolor="black" stroked="f">
                <w10:wrap type="topAndBottom" anchorx="page"/>
              </v:rect>
            </w:pict>
          </mc:Fallback>
        </mc:AlternateContent>
      </w:r>
    </w:p>
    <w:p w14:paraId="74FFEAEB" w14:textId="77777777" w:rsidR="00CB6C86" w:rsidRPr="00395593" w:rsidRDefault="00CB6C86" w:rsidP="00CB6C86">
      <w:pPr>
        <w:widowControl w:val="0"/>
        <w:autoSpaceDE w:val="0"/>
        <w:autoSpaceDN w:val="0"/>
        <w:spacing w:before="103" w:after="0" w:line="240" w:lineRule="auto"/>
        <w:ind w:right="117"/>
        <w:jc w:val="both"/>
        <w:rPr>
          <w:rFonts w:ascii="Garamond" w:eastAsia="Times New Roman" w:hAnsi="Garamond" w:cs="Times New Roman"/>
          <w:sz w:val="20"/>
        </w:rPr>
      </w:pPr>
      <w:r w:rsidRPr="00395593">
        <w:rPr>
          <w:rFonts w:ascii="Garamond" w:eastAsia="Times New Roman" w:hAnsi="Garamond" w:cs="Times New Roman"/>
          <w:sz w:val="20"/>
          <w:vertAlign w:val="superscript"/>
        </w:rPr>
        <w:t>32</w:t>
      </w:r>
      <w:r w:rsidRPr="00395593">
        <w:rPr>
          <w:rFonts w:ascii="Garamond" w:eastAsia="Times New Roman" w:hAnsi="Garamond" w:cs="Times New Roman"/>
          <w:sz w:val="20"/>
        </w:rPr>
        <w:t xml:space="preserve"> “Critérios neutros e objetivos” significam critérios que não favoreçam certas regiões além do que seja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necessário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para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eliminar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reduzir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disparidades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regionais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quadro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uma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política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regional</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desenvolvimento. Nesse sentido, programas regionais de subsídios deverão incluir tetos para os montantes 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assistência a ser concedida a cada projeto subsidiado. Tais tetos deverão ser diferenciados de acordo com 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diferentes níveis de desenvolvimento de cada região assistida e deverão ser expressos em termos custos 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investimento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criação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empregos.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Dentro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cada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teto,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distribuição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assistência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será</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suficientemente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ampla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equânime,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molde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evitar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concessão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um</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subsídio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faça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predominantemente a favor de determinadas empresas, conforme disposto no Artigo 2, ou que lhes seja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atribuída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parcela desproporcionalmente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grande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subsídio.</w:t>
      </w:r>
    </w:p>
    <w:p w14:paraId="18E43707" w14:textId="04781199" w:rsidR="002C582E" w:rsidRDefault="00CB6C86" w:rsidP="00CB6C86">
      <w:pPr>
        <w:widowControl w:val="0"/>
        <w:autoSpaceDE w:val="0"/>
        <w:autoSpaceDN w:val="0"/>
        <w:spacing w:after="0" w:line="240" w:lineRule="auto"/>
        <w:ind w:right="120"/>
        <w:jc w:val="both"/>
        <w:rPr>
          <w:rFonts w:ascii="Garamond" w:eastAsia="Times New Roman" w:hAnsi="Garamond" w:cs="Times New Roman"/>
          <w:sz w:val="20"/>
        </w:rPr>
      </w:pPr>
      <w:r w:rsidRPr="00395593">
        <w:rPr>
          <w:rFonts w:ascii="Garamond" w:eastAsia="Times New Roman" w:hAnsi="Garamond" w:cs="Times New Roman"/>
          <w:sz w:val="20"/>
          <w:vertAlign w:val="superscript"/>
        </w:rPr>
        <w:t>33</w:t>
      </w:r>
      <w:r w:rsidRPr="00395593">
        <w:rPr>
          <w:rFonts w:ascii="Garamond" w:eastAsia="Times New Roman" w:hAnsi="Garamond" w:cs="Times New Roman"/>
          <w:sz w:val="20"/>
        </w:rPr>
        <w:t xml:space="preserve"> O termo “instalações existentes” significa instalações que tenham estado em uso por pelo menos 2 anos no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momento em</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que 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novas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exigências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ambientalistas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sejam</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estabelecidas.</w:t>
      </w:r>
    </w:p>
    <w:p w14:paraId="0D47CFA2" w14:textId="77777777" w:rsidR="002C582E" w:rsidRDefault="002C582E">
      <w:pPr>
        <w:rPr>
          <w:rFonts w:ascii="Garamond" w:eastAsia="Times New Roman" w:hAnsi="Garamond" w:cs="Times New Roman"/>
          <w:sz w:val="20"/>
        </w:rPr>
      </w:pPr>
      <w:r>
        <w:rPr>
          <w:rFonts w:ascii="Garamond" w:eastAsia="Times New Roman" w:hAnsi="Garamond" w:cs="Times New Roman"/>
          <w:sz w:val="20"/>
        </w:rPr>
        <w:br w:type="page"/>
      </w:r>
    </w:p>
    <w:p w14:paraId="61AB5210" w14:textId="77777777" w:rsidR="00CB6C86" w:rsidRPr="00395593" w:rsidRDefault="00CB6C86" w:rsidP="00CB6C86">
      <w:pPr>
        <w:widowControl w:val="0"/>
        <w:autoSpaceDE w:val="0"/>
        <w:autoSpaceDN w:val="0"/>
        <w:spacing w:after="0" w:line="240" w:lineRule="auto"/>
        <w:ind w:right="120"/>
        <w:jc w:val="both"/>
        <w:rPr>
          <w:rFonts w:ascii="Garamond" w:eastAsia="Times New Roman" w:hAnsi="Garamond" w:cs="Times New Roman"/>
          <w:sz w:val="20"/>
        </w:rPr>
      </w:pPr>
    </w:p>
    <w:p w14:paraId="0DDD17E2" w14:textId="77777777" w:rsidR="00CB6C86" w:rsidRPr="00395593" w:rsidRDefault="00CB6C86" w:rsidP="002C4340">
      <w:pPr>
        <w:widowControl w:val="0"/>
        <w:numPr>
          <w:ilvl w:val="2"/>
          <w:numId w:val="57"/>
        </w:numPr>
        <w:tabs>
          <w:tab w:val="left" w:pos="1950"/>
        </w:tabs>
        <w:autoSpaceDE w:val="0"/>
        <w:autoSpaceDN w:val="0"/>
        <w:spacing w:before="68" w:after="0" w:line="240" w:lineRule="auto"/>
        <w:ind w:left="1902" w:right="121" w:hanging="360"/>
        <w:jc w:val="both"/>
        <w:rPr>
          <w:rFonts w:ascii="Garamond" w:eastAsia="Times New Roman" w:hAnsi="Garamond" w:cs="Times New Roman"/>
          <w:sz w:val="24"/>
        </w:rPr>
      </w:pPr>
      <w:r w:rsidRPr="00395593">
        <w:rPr>
          <w:rFonts w:ascii="Garamond" w:eastAsia="Times New Roman" w:hAnsi="Garamond" w:cs="Times New Roman"/>
          <w:sz w:val="24"/>
        </w:rPr>
        <w:t>esteja diretamente vinculada e seja proporcional à redução de danos e de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poluição prevista pela empresa e que não cubra nenhuma economia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custos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eventualmente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verificada; e</w:t>
      </w:r>
    </w:p>
    <w:p w14:paraId="75E9F677"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2BA12A5E" w14:textId="77777777" w:rsidR="00CB6C86" w:rsidRPr="00395593" w:rsidRDefault="00CB6C86" w:rsidP="002C4340">
      <w:pPr>
        <w:widowControl w:val="0"/>
        <w:numPr>
          <w:ilvl w:val="2"/>
          <w:numId w:val="57"/>
        </w:numPr>
        <w:tabs>
          <w:tab w:val="left" w:pos="1979"/>
        </w:tabs>
        <w:autoSpaceDE w:val="0"/>
        <w:autoSpaceDN w:val="0"/>
        <w:spacing w:after="0" w:line="240" w:lineRule="auto"/>
        <w:ind w:left="1902" w:right="119" w:hanging="360"/>
        <w:jc w:val="both"/>
        <w:rPr>
          <w:rFonts w:ascii="Garamond" w:eastAsia="Times New Roman" w:hAnsi="Garamond" w:cs="Times New Roman"/>
          <w:sz w:val="24"/>
        </w:rPr>
      </w:pPr>
      <w:r w:rsidRPr="00395593">
        <w:rPr>
          <w:rFonts w:ascii="Garamond" w:eastAsia="Times New Roman" w:hAnsi="Garamond" w:cs="Times New Roman"/>
        </w:rPr>
        <w:tab/>
      </w:r>
      <w:r w:rsidRPr="00395593">
        <w:rPr>
          <w:rFonts w:ascii="Garamond" w:eastAsia="Times New Roman" w:hAnsi="Garamond" w:cs="Times New Roman"/>
          <w:sz w:val="24"/>
        </w:rPr>
        <w:t>seja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disponível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todas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firmas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possam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adotar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novo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equipamento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e/ou os novos processos produtivos.</w:t>
      </w:r>
    </w:p>
    <w:p w14:paraId="60E32ACB"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05ED9500" w14:textId="77777777" w:rsidR="00CB6C86" w:rsidRPr="00395593" w:rsidRDefault="00CB6C86" w:rsidP="002C4340">
      <w:pPr>
        <w:widowControl w:val="0"/>
        <w:numPr>
          <w:ilvl w:val="0"/>
          <w:numId w:val="57"/>
        </w:numPr>
        <w:tabs>
          <w:tab w:val="left" w:pos="870"/>
        </w:tabs>
        <w:autoSpaceDE w:val="0"/>
        <w:autoSpaceDN w:val="0"/>
        <w:spacing w:after="0" w:line="240" w:lineRule="auto"/>
        <w:ind w:left="102" w:right="116" w:firstLine="0"/>
        <w:jc w:val="both"/>
        <w:rPr>
          <w:rFonts w:ascii="Garamond" w:eastAsia="Times New Roman" w:hAnsi="Garamond" w:cs="Times New Roman"/>
          <w:sz w:val="24"/>
        </w:rPr>
      </w:pPr>
      <w:r w:rsidRPr="00395593">
        <w:rPr>
          <w:rFonts w:ascii="Garamond" w:eastAsia="Times New Roman" w:hAnsi="Garamond" w:cs="Times New Roman"/>
          <w:sz w:val="24"/>
        </w:rPr>
        <w:t>Um programa de subsídios para o qual seja invocado o disposto no parágrafo 2</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deverá ser objeto de notificação antecipada sobre sua aplicação, dirigida ao Comitê,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VII.</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notificações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suficientemente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precisas para permitir aos demais Membros avaliar a compatibilidade do programa com 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condições e os critérios previstos nas disposições pertinentes do parágrafo 2. Os Membros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fornecerão igualmente ao Comitê atualizações anuais de tais notificações, apresentando, em</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particular,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despesas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globais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programa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quaisquer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modificações introduzidas no programa. Os demais Membros terão o direito de solicitar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acerca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casos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individuais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concessão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âmbito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programa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objeto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notificação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34</w:t>
      </w:r>
      <w:r w:rsidRPr="00395593">
        <w:rPr>
          <w:rFonts w:ascii="Garamond" w:eastAsia="Times New Roman" w:hAnsi="Garamond" w:cs="Times New Roman"/>
          <w:sz w:val="24"/>
        </w:rPr>
        <w:t>.</w:t>
      </w:r>
    </w:p>
    <w:p w14:paraId="0679E005" w14:textId="77777777" w:rsidR="00CB6C86" w:rsidRPr="00395593" w:rsidRDefault="00CB6C86" w:rsidP="00AE2332">
      <w:pPr>
        <w:widowControl w:val="0"/>
        <w:autoSpaceDE w:val="0"/>
        <w:autoSpaceDN w:val="0"/>
        <w:spacing w:before="1" w:after="0" w:line="240" w:lineRule="auto"/>
        <w:jc w:val="both"/>
        <w:rPr>
          <w:rFonts w:ascii="Garamond" w:eastAsia="Times New Roman" w:hAnsi="Garamond" w:cs="Times New Roman"/>
          <w:sz w:val="24"/>
          <w:szCs w:val="24"/>
        </w:rPr>
      </w:pPr>
    </w:p>
    <w:p w14:paraId="0C93CA14" w14:textId="77777777" w:rsidR="00CB6C86" w:rsidRPr="00395593" w:rsidRDefault="00CB6C86" w:rsidP="002C4340">
      <w:pPr>
        <w:widowControl w:val="0"/>
        <w:numPr>
          <w:ilvl w:val="0"/>
          <w:numId w:val="57"/>
        </w:numPr>
        <w:tabs>
          <w:tab w:val="left" w:pos="810"/>
        </w:tabs>
        <w:autoSpaceDE w:val="0"/>
        <w:autoSpaceDN w:val="0"/>
        <w:spacing w:after="0" w:line="240" w:lineRule="auto"/>
        <w:ind w:left="102" w:right="120" w:firstLine="0"/>
        <w:jc w:val="both"/>
        <w:rPr>
          <w:rFonts w:ascii="Garamond" w:eastAsia="Times New Roman" w:hAnsi="Garamond" w:cs="Times New Roman"/>
          <w:sz w:val="24"/>
        </w:rPr>
      </w:pPr>
      <w:r w:rsidRPr="00395593">
        <w:rPr>
          <w:rFonts w:ascii="Garamond" w:eastAsia="Times New Roman" w:hAnsi="Garamond" w:cs="Times New Roman"/>
          <w:sz w:val="24"/>
        </w:rPr>
        <w:t>A pedido de um Membro, o Secretariado examinará notificação realizada ao abrigo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parágrafo 3 e, se necessário, requererá informação adicional ao Membro outorgante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 a respeito do programa objeto da notificação que esta em exame. O secretariado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relatará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conclusões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Comitê.</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Comitê,</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lhe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solicitado,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examinará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imediatamente as conclusões do Secretariado (ou, se o exame do Secretariado não tiver sido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solicitado, a própria notificação) com vistas a determinar se as condições estabelecidas 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 2 deixaram de ser satisfeitas. Os procedimentos estabelecidos neste 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deverão estar finalizados no máximo até a primeira sessão regular do comitê que se siga 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notificação do programa de subsídio, desde que pelo menos 2 meses se tenham passado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entre a notificação e a sessão regular do Comitê. O processo de exame descrito neste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aplicar-se-á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igualmente,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solicitado,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ocorrência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modificações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substanciais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introduzidas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programa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objeto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notificação,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verifiquem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atualizações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anuais a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refere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 parágrafo 3.</w:t>
      </w:r>
    </w:p>
    <w:p w14:paraId="1CBC25D4" w14:textId="77777777" w:rsidR="00CB6C86" w:rsidRPr="00395593" w:rsidRDefault="00CB6C86" w:rsidP="00AE2332">
      <w:pPr>
        <w:widowControl w:val="0"/>
        <w:autoSpaceDE w:val="0"/>
        <w:autoSpaceDN w:val="0"/>
        <w:spacing w:before="1" w:after="0" w:line="240" w:lineRule="auto"/>
        <w:jc w:val="both"/>
        <w:rPr>
          <w:rFonts w:ascii="Garamond" w:eastAsia="Times New Roman" w:hAnsi="Garamond" w:cs="Times New Roman"/>
          <w:sz w:val="24"/>
          <w:szCs w:val="24"/>
        </w:rPr>
      </w:pPr>
    </w:p>
    <w:p w14:paraId="7903F135" w14:textId="77777777" w:rsidR="00CB6C86" w:rsidRPr="00395593" w:rsidRDefault="00CB6C86" w:rsidP="002C4340">
      <w:pPr>
        <w:widowControl w:val="0"/>
        <w:numPr>
          <w:ilvl w:val="0"/>
          <w:numId w:val="57"/>
        </w:numPr>
        <w:tabs>
          <w:tab w:val="left" w:pos="810"/>
        </w:tabs>
        <w:autoSpaceDE w:val="0"/>
        <w:autoSpaceDN w:val="0"/>
        <w:spacing w:after="0" w:line="240" w:lineRule="auto"/>
        <w:ind w:left="102" w:right="119" w:firstLine="0"/>
        <w:jc w:val="both"/>
        <w:rPr>
          <w:rFonts w:ascii="Garamond" w:eastAsia="Times New Roman" w:hAnsi="Garamond" w:cs="Times New Roman"/>
          <w:sz w:val="24"/>
        </w:rPr>
      </w:pPr>
      <w:r w:rsidRPr="00395593">
        <w:rPr>
          <w:rFonts w:ascii="Garamond" w:eastAsia="Times New Roman" w:hAnsi="Garamond" w:cs="Times New Roman"/>
          <w:sz w:val="24"/>
        </w:rPr>
        <w:t>A pedido de um Membro, a decisão do Comitê a que alude o parágrafo 4, ou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ausência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decisão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Comitê,</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bem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violação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casos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individuais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condições estabelecidas no programa objeto de notificação serão submetidas a arbitragem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mandatória. O Órgão arbitral apresentará suas conclusões em 120 dias a contar da data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 a matéria lhe tiver sido apresentada. Salvo se disposto diversamente neste parágrafo,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ESC</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será</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aplicado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às arbitragens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realizadas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acordo 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neste parágrafo.</w:t>
      </w:r>
    </w:p>
    <w:p w14:paraId="27496B20"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469F819E" w14:textId="77777777" w:rsidR="00CB6C86" w:rsidRPr="00395593" w:rsidRDefault="00CB6C86" w:rsidP="00E33E26">
      <w:pPr>
        <w:widowControl w:val="0"/>
        <w:autoSpaceDE w:val="0"/>
        <w:autoSpaceDN w:val="0"/>
        <w:spacing w:before="1"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9</w:t>
      </w:r>
    </w:p>
    <w:p w14:paraId="703C5FD0" w14:textId="77777777" w:rsidR="00CB6C86" w:rsidRPr="00395593" w:rsidRDefault="00CB6C86" w:rsidP="00CB6C86">
      <w:pPr>
        <w:widowControl w:val="0"/>
        <w:autoSpaceDE w:val="0"/>
        <w:autoSpaceDN w:val="0"/>
        <w:spacing w:before="11" w:after="0" w:line="240" w:lineRule="auto"/>
        <w:rPr>
          <w:rFonts w:ascii="Garamond" w:eastAsia="Times New Roman" w:hAnsi="Garamond" w:cs="Times New Roman"/>
          <w:b/>
          <w:sz w:val="23"/>
          <w:szCs w:val="24"/>
        </w:rPr>
      </w:pPr>
    </w:p>
    <w:p w14:paraId="5734B176" w14:textId="77777777" w:rsidR="00CB6C86" w:rsidRPr="00395593" w:rsidRDefault="00CB6C86" w:rsidP="00CB6C86">
      <w:pPr>
        <w:widowControl w:val="0"/>
        <w:autoSpaceDE w:val="0"/>
        <w:autoSpaceDN w:val="0"/>
        <w:spacing w:after="0" w:line="240" w:lineRule="auto"/>
        <w:ind w:right="145"/>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Consultas</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e</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Recursos Autorizados</w:t>
      </w:r>
    </w:p>
    <w:p w14:paraId="1B88E24C"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6D5E3CB2"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11127247" w14:textId="60A1CAFF" w:rsidR="00CB6C86" w:rsidRPr="00395593" w:rsidRDefault="00CB6C86" w:rsidP="00CB6C86">
      <w:pPr>
        <w:widowControl w:val="0"/>
        <w:autoSpaceDE w:val="0"/>
        <w:autoSpaceDN w:val="0"/>
        <w:spacing w:after="0" w:line="240" w:lineRule="auto"/>
        <w:rPr>
          <w:rFonts w:ascii="Garamond" w:eastAsia="Times New Roman" w:hAnsi="Garamond" w:cs="Times New Roman"/>
          <w:sz w:val="11"/>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67" behindDoc="1" locked="0" layoutInCell="1" allowOverlap="1" wp14:anchorId="356608C5" wp14:editId="7049F751">
                <wp:simplePos x="0" y="0"/>
                <wp:positionH relativeFrom="page">
                  <wp:posOffset>1080770</wp:posOffset>
                </wp:positionH>
                <wp:positionV relativeFrom="paragraph">
                  <wp:posOffset>95885</wp:posOffset>
                </wp:positionV>
                <wp:extent cx="1828800" cy="7620"/>
                <wp:effectExtent l="4445" t="0" r="0" b="3810"/>
                <wp:wrapTopAndBottom/>
                <wp:docPr id="426" name="Retângulo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ACAA3" id="Retângulo 426" o:spid="_x0000_s1026" style="position:absolute;margin-left:85.1pt;margin-top:7.55pt;width:2in;height:.6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hRgA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" fillcolor="black" stroked="f">
                <w10:wrap type="topAndBottom" anchorx="page"/>
              </v:rect>
            </w:pict>
          </mc:Fallback>
        </mc:AlternateContent>
      </w:r>
    </w:p>
    <w:p w14:paraId="0BB6D055" w14:textId="1ED95C75" w:rsidR="002C582E" w:rsidRDefault="00CB6C86" w:rsidP="00CB6C86">
      <w:pPr>
        <w:widowControl w:val="0"/>
        <w:autoSpaceDE w:val="0"/>
        <w:autoSpaceDN w:val="0"/>
        <w:spacing w:before="103" w:after="0" w:line="240" w:lineRule="auto"/>
        <w:rPr>
          <w:rFonts w:ascii="Garamond" w:eastAsia="Times New Roman" w:hAnsi="Garamond" w:cs="Times New Roman"/>
          <w:sz w:val="20"/>
        </w:rPr>
      </w:pPr>
      <w:r w:rsidRPr="00395593">
        <w:rPr>
          <w:rFonts w:ascii="Garamond" w:eastAsia="Times New Roman" w:hAnsi="Garamond" w:cs="Times New Roman"/>
          <w:sz w:val="20"/>
          <w:vertAlign w:val="superscript"/>
        </w:rPr>
        <w:t>34</w:t>
      </w:r>
      <w:r w:rsidRPr="00395593">
        <w:rPr>
          <w:rFonts w:ascii="Garamond" w:eastAsia="Times New Roman" w:hAnsi="Garamond" w:cs="Times New Roman"/>
          <w:spacing w:val="34"/>
          <w:sz w:val="20"/>
        </w:rPr>
        <w:t xml:space="preserve"> </w:t>
      </w:r>
      <w:r w:rsidRPr="00395593">
        <w:rPr>
          <w:rFonts w:ascii="Garamond" w:eastAsia="Times New Roman" w:hAnsi="Garamond" w:cs="Times New Roman"/>
          <w:sz w:val="20"/>
        </w:rPr>
        <w:t>Fica</w:t>
      </w:r>
      <w:r w:rsidRPr="00395593">
        <w:rPr>
          <w:rFonts w:ascii="Garamond" w:eastAsia="Times New Roman" w:hAnsi="Garamond" w:cs="Times New Roman"/>
          <w:spacing w:val="37"/>
          <w:sz w:val="20"/>
        </w:rPr>
        <w:t xml:space="preserve"> </w:t>
      </w:r>
      <w:r w:rsidRPr="00395593">
        <w:rPr>
          <w:rFonts w:ascii="Garamond" w:eastAsia="Times New Roman" w:hAnsi="Garamond" w:cs="Times New Roman"/>
          <w:sz w:val="20"/>
        </w:rPr>
        <w:t>entendido</w:t>
      </w:r>
      <w:r w:rsidRPr="00395593">
        <w:rPr>
          <w:rFonts w:ascii="Garamond" w:eastAsia="Times New Roman" w:hAnsi="Garamond" w:cs="Times New Roman"/>
          <w:spacing w:val="35"/>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37"/>
          <w:sz w:val="20"/>
        </w:rPr>
        <w:t xml:space="preserve"> </w:t>
      </w:r>
      <w:r w:rsidRPr="00395593">
        <w:rPr>
          <w:rFonts w:ascii="Garamond" w:eastAsia="Times New Roman" w:hAnsi="Garamond" w:cs="Times New Roman"/>
          <w:sz w:val="20"/>
        </w:rPr>
        <w:t>nada</w:t>
      </w:r>
      <w:r w:rsidRPr="00395593">
        <w:rPr>
          <w:rFonts w:ascii="Garamond" w:eastAsia="Times New Roman" w:hAnsi="Garamond" w:cs="Times New Roman"/>
          <w:spacing w:val="35"/>
          <w:sz w:val="20"/>
        </w:rPr>
        <w:t xml:space="preserve"> </w:t>
      </w:r>
      <w:r w:rsidRPr="00395593">
        <w:rPr>
          <w:rFonts w:ascii="Garamond" w:eastAsia="Times New Roman" w:hAnsi="Garamond" w:cs="Times New Roman"/>
          <w:sz w:val="20"/>
        </w:rPr>
        <w:t>nesta</w:t>
      </w:r>
      <w:r w:rsidRPr="00395593">
        <w:rPr>
          <w:rFonts w:ascii="Garamond" w:eastAsia="Times New Roman" w:hAnsi="Garamond" w:cs="Times New Roman"/>
          <w:spacing w:val="34"/>
          <w:sz w:val="20"/>
        </w:rPr>
        <w:t xml:space="preserve"> </w:t>
      </w:r>
      <w:r w:rsidRPr="00395593">
        <w:rPr>
          <w:rFonts w:ascii="Garamond" w:eastAsia="Times New Roman" w:hAnsi="Garamond" w:cs="Times New Roman"/>
          <w:sz w:val="20"/>
        </w:rPr>
        <w:t>disposição</w:t>
      </w:r>
      <w:r w:rsidRPr="00395593">
        <w:rPr>
          <w:rFonts w:ascii="Garamond" w:eastAsia="Times New Roman" w:hAnsi="Garamond" w:cs="Times New Roman"/>
          <w:spacing w:val="38"/>
          <w:sz w:val="20"/>
        </w:rPr>
        <w:t xml:space="preserve"> </w:t>
      </w:r>
      <w:r w:rsidRPr="00395593">
        <w:rPr>
          <w:rFonts w:ascii="Garamond" w:eastAsia="Times New Roman" w:hAnsi="Garamond" w:cs="Times New Roman"/>
          <w:sz w:val="20"/>
        </w:rPr>
        <w:t>sobre</w:t>
      </w:r>
      <w:r w:rsidRPr="00395593">
        <w:rPr>
          <w:rFonts w:ascii="Garamond" w:eastAsia="Times New Roman" w:hAnsi="Garamond" w:cs="Times New Roman"/>
          <w:spacing w:val="35"/>
          <w:sz w:val="20"/>
        </w:rPr>
        <w:t xml:space="preserve"> </w:t>
      </w:r>
      <w:r w:rsidRPr="00395593">
        <w:rPr>
          <w:rFonts w:ascii="Garamond" w:eastAsia="Times New Roman" w:hAnsi="Garamond" w:cs="Times New Roman"/>
          <w:sz w:val="20"/>
        </w:rPr>
        <w:t>notificação</w:t>
      </w:r>
      <w:r w:rsidRPr="00395593">
        <w:rPr>
          <w:rFonts w:ascii="Garamond" w:eastAsia="Times New Roman" w:hAnsi="Garamond" w:cs="Times New Roman"/>
          <w:spacing w:val="36"/>
          <w:sz w:val="20"/>
        </w:rPr>
        <w:t xml:space="preserve"> </w:t>
      </w:r>
      <w:r w:rsidRPr="00395593">
        <w:rPr>
          <w:rFonts w:ascii="Garamond" w:eastAsia="Times New Roman" w:hAnsi="Garamond" w:cs="Times New Roman"/>
          <w:sz w:val="20"/>
        </w:rPr>
        <w:t>requer</w:t>
      </w:r>
      <w:r w:rsidRPr="00395593">
        <w:rPr>
          <w:rFonts w:ascii="Garamond" w:eastAsia="Times New Roman" w:hAnsi="Garamond" w:cs="Times New Roman"/>
          <w:spacing w:val="38"/>
          <w:sz w:val="20"/>
        </w:rPr>
        <w:t xml:space="preserve"> </w:t>
      </w:r>
      <w:r w:rsidRPr="00395593">
        <w:rPr>
          <w:rFonts w:ascii="Garamond" w:eastAsia="Times New Roman" w:hAnsi="Garamond" w:cs="Times New Roman"/>
          <w:sz w:val="20"/>
        </w:rPr>
        <w:t>fornecimento</w:t>
      </w:r>
      <w:r w:rsidRPr="00395593">
        <w:rPr>
          <w:rFonts w:ascii="Garamond" w:eastAsia="Times New Roman" w:hAnsi="Garamond" w:cs="Times New Roman"/>
          <w:spacing w:val="35"/>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35"/>
          <w:sz w:val="20"/>
        </w:rPr>
        <w:t xml:space="preserve"> </w:t>
      </w:r>
      <w:r w:rsidRPr="00395593">
        <w:rPr>
          <w:rFonts w:ascii="Garamond" w:eastAsia="Times New Roman" w:hAnsi="Garamond" w:cs="Times New Roman"/>
          <w:sz w:val="20"/>
        </w:rPr>
        <w:t>informação</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confidencial, inclusive de informação comercial confidencial.</w:t>
      </w:r>
    </w:p>
    <w:p w14:paraId="13BCC774" w14:textId="77777777" w:rsidR="002C582E" w:rsidRDefault="002C582E">
      <w:pPr>
        <w:rPr>
          <w:rFonts w:ascii="Garamond" w:eastAsia="Times New Roman" w:hAnsi="Garamond" w:cs="Times New Roman"/>
          <w:sz w:val="20"/>
        </w:rPr>
      </w:pPr>
      <w:r>
        <w:rPr>
          <w:rFonts w:ascii="Garamond" w:eastAsia="Times New Roman" w:hAnsi="Garamond" w:cs="Times New Roman"/>
          <w:sz w:val="20"/>
        </w:rPr>
        <w:br w:type="page"/>
      </w:r>
    </w:p>
    <w:p w14:paraId="15C66113" w14:textId="77777777" w:rsidR="00CB6C86" w:rsidRPr="00395593" w:rsidRDefault="00CB6C86" w:rsidP="002C4340">
      <w:pPr>
        <w:widowControl w:val="0"/>
        <w:numPr>
          <w:ilvl w:val="0"/>
          <w:numId w:val="56"/>
        </w:numPr>
        <w:tabs>
          <w:tab w:val="left" w:pos="810"/>
        </w:tabs>
        <w:autoSpaceDE w:val="0"/>
        <w:autoSpaceDN w:val="0"/>
        <w:spacing w:before="68"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Se no curso da implementação de um programa a que se refere o parágrafo 2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8</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obstante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programa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é</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compatível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critérios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estabelecidos naquele parágrafo, um Membro tem motivos para crer que o dito programa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provocou sérios efeitos danosos sobre sua indústria nacional, de difícil reparação, poderá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requerer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consultas 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 Membro que concede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ou mantêm o subsídio.</w:t>
      </w:r>
    </w:p>
    <w:p w14:paraId="7686E2DA"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2FB9B3F1" w14:textId="77777777" w:rsidR="00CB6C86" w:rsidRPr="00395593" w:rsidRDefault="00CB6C86" w:rsidP="002C4340">
      <w:pPr>
        <w:widowControl w:val="0"/>
        <w:numPr>
          <w:ilvl w:val="0"/>
          <w:numId w:val="56"/>
        </w:numPr>
        <w:tabs>
          <w:tab w:val="left" w:pos="810"/>
        </w:tabs>
        <w:autoSpaceDE w:val="0"/>
        <w:autoSpaceDN w:val="0"/>
        <w:spacing w:after="0" w:line="240" w:lineRule="auto"/>
        <w:ind w:right="118" w:firstLine="0"/>
        <w:jc w:val="both"/>
        <w:rPr>
          <w:rFonts w:ascii="Garamond" w:eastAsia="Times New Roman" w:hAnsi="Garamond" w:cs="Times New Roman"/>
          <w:sz w:val="24"/>
        </w:rPr>
      </w:pPr>
      <w:r w:rsidRPr="00395593">
        <w:rPr>
          <w:rFonts w:ascii="Garamond" w:eastAsia="Times New Roman" w:hAnsi="Garamond" w:cs="Times New Roman"/>
          <w:sz w:val="24"/>
        </w:rPr>
        <w:t>Ao ser-lhe formulado pedido de consultas ao abrigo do parágrafo l, o Membro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concede ou mantêm o programa de subsídios iniciará as consultas tão logo possível.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finalidade das consultas será esclarecer os fatos do caso e chegar a solução mutuamente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satisfatória.</w:t>
      </w:r>
    </w:p>
    <w:p w14:paraId="0238EA03" w14:textId="77777777" w:rsidR="00CB6C86" w:rsidRPr="00395593" w:rsidRDefault="00CB6C86" w:rsidP="00AE2332">
      <w:pPr>
        <w:widowControl w:val="0"/>
        <w:autoSpaceDE w:val="0"/>
        <w:autoSpaceDN w:val="0"/>
        <w:spacing w:after="0" w:line="240" w:lineRule="auto"/>
        <w:jc w:val="both"/>
        <w:rPr>
          <w:rFonts w:ascii="Garamond" w:eastAsia="Times New Roman" w:hAnsi="Garamond" w:cs="Times New Roman"/>
          <w:sz w:val="24"/>
          <w:szCs w:val="24"/>
        </w:rPr>
      </w:pPr>
    </w:p>
    <w:p w14:paraId="5C76372D" w14:textId="77777777" w:rsidR="00CB6C86" w:rsidRPr="00395593" w:rsidRDefault="00CB6C86" w:rsidP="002C4340">
      <w:pPr>
        <w:widowControl w:val="0"/>
        <w:numPr>
          <w:ilvl w:val="0"/>
          <w:numId w:val="56"/>
        </w:numPr>
        <w:tabs>
          <w:tab w:val="left" w:pos="810"/>
        </w:tabs>
        <w:autoSpaceDE w:val="0"/>
        <w:autoSpaceDN w:val="0"/>
        <w:spacing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Se, no prazo de 60 dias a contar do pedido de consultas formulado ao abrigo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2,</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solução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mutuamente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satisfatória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tiver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alcançada,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reclamante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poderá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apresentar</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 assunto ao Comitê.</w:t>
      </w:r>
    </w:p>
    <w:p w14:paraId="3E2F9B22" w14:textId="77777777" w:rsidR="00CB6C86" w:rsidRPr="00395593" w:rsidRDefault="00CB6C86" w:rsidP="00AE2332">
      <w:pPr>
        <w:widowControl w:val="0"/>
        <w:autoSpaceDE w:val="0"/>
        <w:autoSpaceDN w:val="0"/>
        <w:spacing w:before="1" w:after="0" w:line="240" w:lineRule="auto"/>
        <w:jc w:val="both"/>
        <w:rPr>
          <w:rFonts w:ascii="Garamond" w:eastAsia="Times New Roman" w:hAnsi="Garamond" w:cs="Times New Roman"/>
          <w:sz w:val="24"/>
          <w:szCs w:val="24"/>
        </w:rPr>
      </w:pPr>
    </w:p>
    <w:p w14:paraId="435F3367" w14:textId="77777777" w:rsidR="00CB6C86" w:rsidRPr="00395593" w:rsidRDefault="00CB6C86" w:rsidP="002C4340">
      <w:pPr>
        <w:widowControl w:val="0"/>
        <w:numPr>
          <w:ilvl w:val="0"/>
          <w:numId w:val="56"/>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Sempre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assunto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 apresentado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Comitê,</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deverá imediatamente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examinar os fatos em tela e as provas dos efeitos a que se refere o parágrafo 1. Se o Comitê</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concluir que tais efeitos existem, ele poderá recomendar ao Membro outorgante do subsídio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modifique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programa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efeitos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eliminados.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Comitê</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apresentará</w:t>
      </w:r>
      <w:r w:rsidRPr="00395593">
        <w:rPr>
          <w:rFonts w:ascii="Garamond" w:eastAsia="Times New Roman" w:hAnsi="Garamond" w:cs="Times New Roman"/>
          <w:spacing w:val="26"/>
          <w:sz w:val="24"/>
        </w:rPr>
        <w:t xml:space="preserve"> </w:t>
      </w:r>
      <w:r w:rsidRPr="00395593">
        <w:rPr>
          <w:rFonts w:ascii="Garamond" w:eastAsia="Times New Roman" w:hAnsi="Garamond" w:cs="Times New Roman"/>
          <w:sz w:val="24"/>
        </w:rPr>
        <w:t>suas</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conclusões</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prazo</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30"/>
          <w:sz w:val="24"/>
        </w:rPr>
        <w:t xml:space="preserve"> </w:t>
      </w:r>
      <w:r w:rsidRPr="00395593">
        <w:rPr>
          <w:rFonts w:ascii="Garamond" w:eastAsia="Times New Roman" w:hAnsi="Garamond" w:cs="Times New Roman"/>
          <w:sz w:val="24"/>
        </w:rPr>
        <w:t>120</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dias</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contar</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data</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30"/>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assunto</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lhe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tiver sido apresentado ao abrigo do parágrafo 3. Na hipótese de a recomendação não 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seguida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dentro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6</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meses,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Comitê</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autorizará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reclamante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tomar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contramedidas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apropriadas,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proporção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adequada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natureza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grau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efeitos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verificados.</w:t>
      </w:r>
    </w:p>
    <w:p w14:paraId="3643DE45"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4EBF4791" w14:textId="77777777" w:rsidR="00AE2332" w:rsidRPr="00395593" w:rsidRDefault="00CB6C86" w:rsidP="00E33E26">
      <w:pPr>
        <w:widowControl w:val="0"/>
        <w:autoSpaceDE w:val="0"/>
        <w:autoSpaceDN w:val="0"/>
        <w:spacing w:before="1" w:after="0" w:line="240" w:lineRule="auto"/>
        <w:ind w:right="146"/>
        <w:jc w:val="center"/>
        <w:rPr>
          <w:rFonts w:ascii="Garamond" w:eastAsia="Times New Roman" w:hAnsi="Garamond" w:cs="Times New Roman"/>
          <w:b/>
          <w:spacing w:val="-57"/>
          <w:sz w:val="24"/>
          <w:szCs w:val="24"/>
        </w:rPr>
      </w:pPr>
      <w:r w:rsidRPr="00395593">
        <w:rPr>
          <w:rFonts w:ascii="Garamond" w:eastAsia="Times New Roman" w:hAnsi="Garamond" w:cs="Times New Roman"/>
          <w:b/>
          <w:sz w:val="24"/>
          <w:szCs w:val="24"/>
        </w:rPr>
        <w:t>PARTE</w:t>
      </w:r>
      <w:r w:rsidRPr="00395593">
        <w:rPr>
          <w:rFonts w:ascii="Garamond" w:eastAsia="Times New Roman" w:hAnsi="Garamond" w:cs="Times New Roman"/>
          <w:b/>
          <w:spacing w:val="-5"/>
          <w:sz w:val="24"/>
          <w:szCs w:val="24"/>
        </w:rPr>
        <w:t xml:space="preserve"> </w:t>
      </w:r>
      <w:r w:rsidRPr="00395593">
        <w:rPr>
          <w:rFonts w:ascii="Garamond" w:eastAsia="Times New Roman" w:hAnsi="Garamond" w:cs="Times New Roman"/>
          <w:b/>
          <w:sz w:val="24"/>
          <w:szCs w:val="24"/>
        </w:rPr>
        <w:t>V</w:t>
      </w:r>
      <w:r w:rsidRPr="00395593">
        <w:rPr>
          <w:rFonts w:ascii="Garamond" w:eastAsia="Times New Roman" w:hAnsi="Garamond" w:cs="Times New Roman"/>
          <w:b/>
          <w:spacing w:val="-6"/>
          <w:sz w:val="24"/>
          <w:szCs w:val="24"/>
        </w:rPr>
        <w:t xml:space="preserve"> </w:t>
      </w:r>
      <w:r w:rsidRPr="00395593">
        <w:rPr>
          <w:rFonts w:ascii="Garamond" w:eastAsia="Times New Roman" w:hAnsi="Garamond" w:cs="Times New Roman"/>
          <w:b/>
          <w:sz w:val="24"/>
          <w:szCs w:val="24"/>
        </w:rPr>
        <w:t>:</w:t>
      </w:r>
      <w:r w:rsidRPr="00395593">
        <w:rPr>
          <w:rFonts w:ascii="Garamond" w:eastAsia="Times New Roman" w:hAnsi="Garamond" w:cs="Times New Roman"/>
          <w:b/>
          <w:spacing w:val="-4"/>
          <w:sz w:val="24"/>
          <w:szCs w:val="24"/>
        </w:rPr>
        <w:t xml:space="preserve"> </w:t>
      </w:r>
      <w:r w:rsidRPr="00395593">
        <w:rPr>
          <w:rFonts w:ascii="Garamond" w:eastAsia="Times New Roman" w:hAnsi="Garamond" w:cs="Times New Roman"/>
          <w:b/>
          <w:sz w:val="24"/>
          <w:szCs w:val="24"/>
        </w:rPr>
        <w:t>MEDIDAS</w:t>
      </w:r>
      <w:r w:rsidRPr="00395593">
        <w:rPr>
          <w:rFonts w:ascii="Garamond" w:eastAsia="Times New Roman" w:hAnsi="Garamond" w:cs="Times New Roman"/>
          <w:b/>
          <w:spacing w:val="-5"/>
          <w:sz w:val="24"/>
          <w:szCs w:val="24"/>
        </w:rPr>
        <w:t xml:space="preserve"> </w:t>
      </w:r>
      <w:r w:rsidRPr="00395593">
        <w:rPr>
          <w:rFonts w:ascii="Garamond" w:eastAsia="Times New Roman" w:hAnsi="Garamond" w:cs="Times New Roman"/>
          <w:b/>
          <w:sz w:val="24"/>
          <w:szCs w:val="24"/>
        </w:rPr>
        <w:t>COMPENSATÓRIAS</w:t>
      </w:r>
      <w:r w:rsidRPr="00395593">
        <w:rPr>
          <w:rFonts w:ascii="Garamond" w:eastAsia="Times New Roman" w:hAnsi="Garamond" w:cs="Times New Roman"/>
          <w:b/>
          <w:spacing w:val="-57"/>
          <w:sz w:val="24"/>
          <w:szCs w:val="24"/>
        </w:rPr>
        <w:t xml:space="preserve">        </w:t>
      </w:r>
    </w:p>
    <w:p w14:paraId="1D9E187D" w14:textId="77777777" w:rsidR="00AE2332" w:rsidRPr="00395593" w:rsidRDefault="00AE2332" w:rsidP="00E33E26">
      <w:pPr>
        <w:widowControl w:val="0"/>
        <w:autoSpaceDE w:val="0"/>
        <w:autoSpaceDN w:val="0"/>
        <w:spacing w:before="1" w:after="0" w:line="240" w:lineRule="auto"/>
        <w:ind w:right="146"/>
        <w:jc w:val="center"/>
        <w:rPr>
          <w:rFonts w:ascii="Garamond" w:eastAsia="Times New Roman" w:hAnsi="Garamond" w:cs="Times New Roman"/>
          <w:b/>
          <w:spacing w:val="-57"/>
          <w:sz w:val="24"/>
          <w:szCs w:val="24"/>
        </w:rPr>
      </w:pPr>
    </w:p>
    <w:p w14:paraId="64B2CD76" w14:textId="551E3C04" w:rsidR="00CB6C86" w:rsidRPr="00395593" w:rsidRDefault="00CB6C86" w:rsidP="00E33E26">
      <w:pPr>
        <w:widowControl w:val="0"/>
        <w:autoSpaceDE w:val="0"/>
        <w:autoSpaceDN w:val="0"/>
        <w:spacing w:before="1"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pacing w:val="-57"/>
          <w:sz w:val="24"/>
          <w:szCs w:val="24"/>
        </w:rPr>
        <w:t xml:space="preserve">A   </w:t>
      </w:r>
      <w:r w:rsidRPr="00395593">
        <w:rPr>
          <w:rFonts w:ascii="Garamond" w:eastAsia="Times New Roman" w:hAnsi="Garamond" w:cs="Times New Roman"/>
          <w:b/>
          <w:sz w:val="24"/>
          <w:szCs w:val="24"/>
        </w:rPr>
        <w:t>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10</w:t>
      </w:r>
    </w:p>
    <w:p w14:paraId="03F13FAC" w14:textId="77777777" w:rsidR="00AE2332" w:rsidRPr="00395593" w:rsidRDefault="00AE2332" w:rsidP="00E33E26">
      <w:pPr>
        <w:widowControl w:val="0"/>
        <w:autoSpaceDE w:val="0"/>
        <w:autoSpaceDN w:val="0"/>
        <w:spacing w:before="1" w:after="0" w:line="240" w:lineRule="auto"/>
        <w:ind w:right="146"/>
        <w:jc w:val="center"/>
        <w:rPr>
          <w:rFonts w:ascii="Garamond" w:eastAsia="Times New Roman" w:hAnsi="Garamond" w:cs="Times New Roman"/>
          <w:b/>
          <w:sz w:val="24"/>
          <w:szCs w:val="24"/>
        </w:rPr>
      </w:pPr>
    </w:p>
    <w:p w14:paraId="3A812440" w14:textId="04B20528" w:rsidR="00CB6C86" w:rsidRPr="00395593" w:rsidRDefault="00CB6C86" w:rsidP="00E33E26">
      <w:pPr>
        <w:widowControl w:val="0"/>
        <w:autoSpaceDE w:val="0"/>
        <w:autoSpaceDN w:val="0"/>
        <w:spacing w:before="1"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Aplicação do Artigo VI do GATT 1994 35</w:t>
      </w:r>
    </w:p>
    <w:p w14:paraId="075872CF"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67393495" w14:textId="77777777" w:rsidR="00CB6C86" w:rsidRPr="00395593" w:rsidRDefault="00CB6C86" w:rsidP="00CB6C86">
      <w:pPr>
        <w:widowControl w:val="0"/>
        <w:autoSpaceDE w:val="0"/>
        <w:autoSpaceDN w:val="0"/>
        <w:spacing w:after="0" w:line="240" w:lineRule="auto"/>
        <w:ind w:right="118"/>
        <w:jc w:val="both"/>
        <w:rPr>
          <w:rFonts w:ascii="Garamond" w:eastAsia="Times New Roman" w:hAnsi="Garamond" w:cs="Times New Roman"/>
          <w:sz w:val="24"/>
          <w:szCs w:val="24"/>
        </w:rPr>
      </w:pPr>
      <w:r w:rsidRPr="00395593">
        <w:rPr>
          <w:rFonts w:ascii="Garamond" w:eastAsia="Times New Roman" w:hAnsi="Garamond" w:cs="Times New Roman"/>
          <w:sz w:val="24"/>
          <w:szCs w:val="24"/>
        </w:rPr>
        <w:t>Os Membros tomarão todos as precauções para assegurar que a imposição de uma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 xml:space="preserve">medida compensatória </w:t>
      </w:r>
      <w:r w:rsidRPr="00395593">
        <w:rPr>
          <w:rFonts w:ascii="Garamond" w:eastAsia="Times New Roman" w:hAnsi="Garamond" w:cs="Times New Roman"/>
          <w:sz w:val="24"/>
          <w:szCs w:val="24"/>
          <w:vertAlign w:val="superscript"/>
        </w:rPr>
        <w:t>36</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sobre qualquer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produto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do</w:t>
      </w:r>
      <w:r w:rsidRPr="00395593">
        <w:rPr>
          <w:rFonts w:ascii="Garamond" w:eastAsia="Times New Roman" w:hAnsi="Garamond" w:cs="Times New Roman"/>
          <w:spacing w:val="60"/>
          <w:sz w:val="24"/>
          <w:szCs w:val="24"/>
        </w:rPr>
        <w:t xml:space="preserve"> </w:t>
      </w:r>
      <w:r w:rsidRPr="00395593">
        <w:rPr>
          <w:rFonts w:ascii="Garamond" w:eastAsia="Times New Roman" w:hAnsi="Garamond" w:cs="Times New Roman"/>
          <w:sz w:val="24"/>
          <w:szCs w:val="24"/>
        </w:rPr>
        <w:t>território de um Membro introduzido</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no</w:t>
      </w:r>
      <w:r w:rsidRPr="00395593">
        <w:rPr>
          <w:rFonts w:ascii="Garamond" w:eastAsia="Times New Roman" w:hAnsi="Garamond" w:cs="Times New Roman"/>
          <w:spacing w:val="25"/>
          <w:sz w:val="24"/>
          <w:szCs w:val="24"/>
        </w:rPr>
        <w:t xml:space="preserve"> </w:t>
      </w:r>
      <w:r w:rsidRPr="00395593">
        <w:rPr>
          <w:rFonts w:ascii="Garamond" w:eastAsia="Times New Roman" w:hAnsi="Garamond" w:cs="Times New Roman"/>
          <w:sz w:val="24"/>
          <w:szCs w:val="24"/>
        </w:rPr>
        <w:t>território</w:t>
      </w:r>
      <w:r w:rsidRPr="00395593">
        <w:rPr>
          <w:rFonts w:ascii="Garamond" w:eastAsia="Times New Roman" w:hAnsi="Garamond" w:cs="Times New Roman"/>
          <w:spacing w:val="26"/>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25"/>
          <w:sz w:val="24"/>
          <w:szCs w:val="24"/>
        </w:rPr>
        <w:t xml:space="preserve"> </w:t>
      </w:r>
      <w:r w:rsidRPr="00395593">
        <w:rPr>
          <w:rFonts w:ascii="Garamond" w:eastAsia="Times New Roman" w:hAnsi="Garamond" w:cs="Times New Roman"/>
          <w:sz w:val="24"/>
          <w:szCs w:val="24"/>
        </w:rPr>
        <w:t>outro</w:t>
      </w:r>
      <w:r w:rsidRPr="00395593">
        <w:rPr>
          <w:rFonts w:ascii="Garamond" w:eastAsia="Times New Roman" w:hAnsi="Garamond" w:cs="Times New Roman"/>
          <w:spacing w:val="28"/>
          <w:sz w:val="24"/>
          <w:szCs w:val="24"/>
        </w:rPr>
        <w:t xml:space="preserve"> </w:t>
      </w:r>
      <w:r w:rsidRPr="00395593">
        <w:rPr>
          <w:rFonts w:ascii="Garamond" w:eastAsia="Times New Roman" w:hAnsi="Garamond" w:cs="Times New Roman"/>
          <w:sz w:val="24"/>
          <w:szCs w:val="24"/>
        </w:rPr>
        <w:t>Membro</w:t>
      </w:r>
      <w:r w:rsidRPr="00395593">
        <w:rPr>
          <w:rFonts w:ascii="Garamond" w:eastAsia="Times New Roman" w:hAnsi="Garamond" w:cs="Times New Roman"/>
          <w:spacing w:val="25"/>
          <w:sz w:val="24"/>
          <w:szCs w:val="24"/>
        </w:rPr>
        <w:t xml:space="preserve"> </w:t>
      </w:r>
      <w:r w:rsidRPr="00395593">
        <w:rPr>
          <w:rFonts w:ascii="Garamond" w:eastAsia="Times New Roman" w:hAnsi="Garamond" w:cs="Times New Roman"/>
          <w:sz w:val="24"/>
          <w:szCs w:val="24"/>
        </w:rPr>
        <w:t>se</w:t>
      </w:r>
      <w:r w:rsidRPr="00395593">
        <w:rPr>
          <w:rFonts w:ascii="Garamond" w:eastAsia="Times New Roman" w:hAnsi="Garamond" w:cs="Times New Roman"/>
          <w:spacing w:val="27"/>
          <w:sz w:val="24"/>
          <w:szCs w:val="24"/>
        </w:rPr>
        <w:t xml:space="preserve"> </w:t>
      </w:r>
      <w:r w:rsidRPr="00395593">
        <w:rPr>
          <w:rFonts w:ascii="Garamond" w:eastAsia="Times New Roman" w:hAnsi="Garamond" w:cs="Times New Roman"/>
          <w:sz w:val="24"/>
          <w:szCs w:val="24"/>
        </w:rPr>
        <w:t>fará</w:t>
      </w:r>
      <w:r w:rsidRPr="00395593">
        <w:rPr>
          <w:rFonts w:ascii="Garamond" w:eastAsia="Times New Roman" w:hAnsi="Garamond" w:cs="Times New Roman"/>
          <w:spacing w:val="26"/>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26"/>
          <w:sz w:val="24"/>
          <w:szCs w:val="24"/>
        </w:rPr>
        <w:t xml:space="preserve"> </w:t>
      </w:r>
      <w:r w:rsidRPr="00395593">
        <w:rPr>
          <w:rFonts w:ascii="Garamond" w:eastAsia="Times New Roman" w:hAnsi="Garamond" w:cs="Times New Roman"/>
          <w:sz w:val="24"/>
          <w:szCs w:val="24"/>
        </w:rPr>
        <w:t>acordo</w:t>
      </w:r>
      <w:r w:rsidRPr="00395593">
        <w:rPr>
          <w:rFonts w:ascii="Garamond" w:eastAsia="Times New Roman" w:hAnsi="Garamond" w:cs="Times New Roman"/>
          <w:spacing w:val="28"/>
          <w:sz w:val="24"/>
          <w:szCs w:val="24"/>
        </w:rPr>
        <w:t xml:space="preserve"> </w:t>
      </w:r>
      <w:r w:rsidRPr="00395593">
        <w:rPr>
          <w:rFonts w:ascii="Garamond" w:eastAsia="Times New Roman" w:hAnsi="Garamond" w:cs="Times New Roman"/>
          <w:sz w:val="24"/>
          <w:szCs w:val="24"/>
        </w:rPr>
        <w:t>com</w:t>
      </w:r>
      <w:r w:rsidRPr="00395593">
        <w:rPr>
          <w:rFonts w:ascii="Garamond" w:eastAsia="Times New Roman" w:hAnsi="Garamond" w:cs="Times New Roman"/>
          <w:spacing w:val="26"/>
          <w:sz w:val="24"/>
          <w:szCs w:val="24"/>
        </w:rPr>
        <w:t xml:space="preserve"> </w:t>
      </w:r>
      <w:r w:rsidRPr="00395593">
        <w:rPr>
          <w:rFonts w:ascii="Garamond" w:eastAsia="Times New Roman" w:hAnsi="Garamond" w:cs="Times New Roman"/>
          <w:sz w:val="24"/>
          <w:szCs w:val="24"/>
        </w:rPr>
        <w:t>o</w:t>
      </w:r>
      <w:r w:rsidRPr="00395593">
        <w:rPr>
          <w:rFonts w:ascii="Garamond" w:eastAsia="Times New Roman" w:hAnsi="Garamond" w:cs="Times New Roman"/>
          <w:spacing w:val="28"/>
          <w:sz w:val="24"/>
          <w:szCs w:val="24"/>
        </w:rPr>
        <w:t xml:space="preserve"> </w:t>
      </w:r>
      <w:r w:rsidRPr="00395593">
        <w:rPr>
          <w:rFonts w:ascii="Garamond" w:eastAsia="Times New Roman" w:hAnsi="Garamond" w:cs="Times New Roman"/>
          <w:sz w:val="24"/>
          <w:szCs w:val="24"/>
        </w:rPr>
        <w:t>disposto</w:t>
      </w:r>
      <w:r w:rsidRPr="00395593">
        <w:rPr>
          <w:rFonts w:ascii="Garamond" w:eastAsia="Times New Roman" w:hAnsi="Garamond" w:cs="Times New Roman"/>
          <w:spacing w:val="26"/>
          <w:sz w:val="24"/>
          <w:szCs w:val="24"/>
        </w:rPr>
        <w:t xml:space="preserve"> </w:t>
      </w:r>
      <w:r w:rsidRPr="00395593">
        <w:rPr>
          <w:rFonts w:ascii="Garamond" w:eastAsia="Times New Roman" w:hAnsi="Garamond" w:cs="Times New Roman"/>
          <w:sz w:val="24"/>
          <w:szCs w:val="24"/>
        </w:rPr>
        <w:t>no</w:t>
      </w:r>
      <w:r w:rsidRPr="00395593">
        <w:rPr>
          <w:rFonts w:ascii="Garamond" w:eastAsia="Times New Roman" w:hAnsi="Garamond" w:cs="Times New Roman"/>
          <w:spacing w:val="26"/>
          <w:sz w:val="24"/>
          <w:szCs w:val="24"/>
        </w:rPr>
        <w:t xml:space="preserve"> </w:t>
      </w:r>
      <w:r w:rsidRPr="00395593">
        <w:rPr>
          <w:rFonts w:ascii="Garamond" w:eastAsia="Times New Roman" w:hAnsi="Garamond" w:cs="Times New Roman"/>
          <w:sz w:val="24"/>
          <w:szCs w:val="24"/>
        </w:rPr>
        <w:t>Artigo</w:t>
      </w:r>
      <w:r w:rsidRPr="00395593">
        <w:rPr>
          <w:rFonts w:ascii="Garamond" w:eastAsia="Times New Roman" w:hAnsi="Garamond" w:cs="Times New Roman"/>
          <w:spacing w:val="28"/>
          <w:sz w:val="24"/>
          <w:szCs w:val="24"/>
        </w:rPr>
        <w:t xml:space="preserve"> </w:t>
      </w:r>
      <w:r w:rsidRPr="00395593">
        <w:rPr>
          <w:rFonts w:ascii="Garamond" w:eastAsia="Times New Roman" w:hAnsi="Garamond" w:cs="Times New Roman"/>
          <w:sz w:val="24"/>
          <w:szCs w:val="24"/>
        </w:rPr>
        <w:t>VI</w:t>
      </w:r>
      <w:r w:rsidRPr="00395593">
        <w:rPr>
          <w:rFonts w:ascii="Garamond" w:eastAsia="Times New Roman" w:hAnsi="Garamond" w:cs="Times New Roman"/>
          <w:spacing w:val="22"/>
          <w:sz w:val="24"/>
          <w:szCs w:val="24"/>
        </w:rPr>
        <w:t xml:space="preserve"> </w:t>
      </w:r>
      <w:r w:rsidRPr="00395593">
        <w:rPr>
          <w:rFonts w:ascii="Garamond" w:eastAsia="Times New Roman" w:hAnsi="Garamond" w:cs="Times New Roman"/>
          <w:sz w:val="24"/>
          <w:szCs w:val="24"/>
        </w:rPr>
        <w:t>do</w:t>
      </w:r>
      <w:r w:rsidRPr="00395593">
        <w:rPr>
          <w:rFonts w:ascii="Garamond" w:eastAsia="Times New Roman" w:hAnsi="Garamond" w:cs="Times New Roman"/>
          <w:spacing w:val="28"/>
          <w:sz w:val="24"/>
          <w:szCs w:val="24"/>
        </w:rPr>
        <w:t xml:space="preserve"> </w:t>
      </w:r>
      <w:r w:rsidRPr="00395593">
        <w:rPr>
          <w:rFonts w:ascii="Garamond" w:eastAsia="Times New Roman" w:hAnsi="Garamond" w:cs="Times New Roman"/>
          <w:sz w:val="24"/>
          <w:szCs w:val="24"/>
        </w:rPr>
        <w:t>GATT</w:t>
      </w:r>
    </w:p>
    <w:p w14:paraId="18A3199D" w14:textId="6EEB2321" w:rsidR="00CB6C86" w:rsidRPr="00395593" w:rsidRDefault="00CB6C86" w:rsidP="00CB6C86">
      <w:pPr>
        <w:widowControl w:val="0"/>
        <w:autoSpaceDE w:val="0"/>
        <w:autoSpaceDN w:val="0"/>
        <w:spacing w:after="0" w:line="240" w:lineRule="auto"/>
        <w:rPr>
          <w:rFonts w:ascii="Garamond" w:eastAsia="Times New Roman" w:hAnsi="Garamond" w:cs="Times New Roman"/>
          <w:sz w:val="23"/>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68" behindDoc="1" locked="0" layoutInCell="1" allowOverlap="1" wp14:anchorId="266B2BAF" wp14:editId="70685E00">
                <wp:simplePos x="0" y="0"/>
                <wp:positionH relativeFrom="page">
                  <wp:posOffset>1080770</wp:posOffset>
                </wp:positionH>
                <wp:positionV relativeFrom="paragraph">
                  <wp:posOffset>183515</wp:posOffset>
                </wp:positionV>
                <wp:extent cx="1828800" cy="7620"/>
                <wp:effectExtent l="4445" t="0" r="0" b="3810"/>
                <wp:wrapTopAndBottom/>
                <wp:docPr id="425" name="Retângulo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1F097" id="Retângulo 425" o:spid="_x0000_s1026" style="position:absolute;margin-left:85.1pt;margin-top:14.45pt;width:2in;height:.6pt;z-index:-2516582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" fillcolor="black" stroked="f">
                <w10:wrap type="topAndBottom" anchorx="page"/>
              </v:rect>
            </w:pict>
          </mc:Fallback>
        </mc:AlternateContent>
      </w:r>
    </w:p>
    <w:p w14:paraId="441A5B93" w14:textId="77777777" w:rsidR="00CB6C86" w:rsidRPr="00395593" w:rsidRDefault="00CB6C86" w:rsidP="00CB6C86">
      <w:pPr>
        <w:widowControl w:val="0"/>
        <w:autoSpaceDE w:val="0"/>
        <w:autoSpaceDN w:val="0"/>
        <w:spacing w:before="103" w:after="0" w:line="240" w:lineRule="auto"/>
        <w:ind w:right="121"/>
        <w:jc w:val="both"/>
        <w:rPr>
          <w:rFonts w:ascii="Garamond" w:eastAsia="Times New Roman" w:hAnsi="Garamond" w:cs="Times New Roman"/>
          <w:sz w:val="20"/>
        </w:rPr>
      </w:pPr>
      <w:r w:rsidRPr="00395593">
        <w:rPr>
          <w:rFonts w:ascii="Garamond" w:eastAsia="Times New Roman" w:hAnsi="Garamond" w:cs="Times New Roman"/>
          <w:sz w:val="20"/>
          <w:vertAlign w:val="superscript"/>
        </w:rPr>
        <w:t>35</w:t>
      </w:r>
      <w:r w:rsidRPr="00395593">
        <w:rPr>
          <w:rFonts w:ascii="Garamond" w:eastAsia="Times New Roman" w:hAnsi="Garamond" w:cs="Times New Roman"/>
          <w:sz w:val="20"/>
        </w:rPr>
        <w:t xml:space="preserve"> O disposto nas PARTES II ou III poderá ser invocado simultaneamente com o disposto na PARTE V; no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tocante aos efeitos de um subsídio em particular sobre o mercado nacional do Membro importador, porém,</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apenas uma forma de compensação (ou uma medida compensatória se forem preenchidos os requisitos da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PARTE V ou uma contramedida ao abrigo dos artigos 4 ou 7) poderá ser aplicada. O disposto nas partes III 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V</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não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poderá</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invocado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em</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relação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medidas que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considerem</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irrecorríveis à</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luz</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disposto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PARTE</w:t>
      </w:r>
    </w:p>
    <w:p w14:paraId="4237F171" w14:textId="77777777" w:rsidR="00CB6C86" w:rsidRPr="00395593" w:rsidRDefault="00CB6C86" w:rsidP="00CB6C86">
      <w:pPr>
        <w:widowControl w:val="0"/>
        <w:autoSpaceDE w:val="0"/>
        <w:autoSpaceDN w:val="0"/>
        <w:spacing w:before="1" w:after="0" w:line="240" w:lineRule="auto"/>
        <w:ind w:right="117"/>
        <w:jc w:val="both"/>
        <w:rPr>
          <w:rFonts w:ascii="Garamond" w:eastAsia="Times New Roman" w:hAnsi="Garamond" w:cs="Times New Roman"/>
          <w:sz w:val="20"/>
        </w:rPr>
      </w:pPr>
      <w:r w:rsidRPr="00395593">
        <w:rPr>
          <w:rFonts w:ascii="Garamond" w:eastAsia="Times New Roman" w:hAnsi="Garamond" w:cs="Times New Roman"/>
          <w:sz w:val="20"/>
        </w:rPr>
        <w:t>V.</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Poderão</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ser</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investigadas,</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não</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obstante,</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as</w:t>
      </w:r>
      <w:r w:rsidRPr="00395593">
        <w:rPr>
          <w:rFonts w:ascii="Garamond" w:eastAsia="Times New Roman" w:hAnsi="Garamond" w:cs="Times New Roman"/>
          <w:spacing w:val="7"/>
          <w:sz w:val="20"/>
        </w:rPr>
        <w:t xml:space="preserve"> </w:t>
      </w:r>
      <w:r w:rsidRPr="00395593">
        <w:rPr>
          <w:rFonts w:ascii="Garamond" w:eastAsia="Times New Roman" w:hAnsi="Garamond" w:cs="Times New Roman"/>
          <w:sz w:val="20"/>
        </w:rPr>
        <w:t>medidas</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7"/>
          <w:sz w:val="20"/>
        </w:rPr>
        <w:t xml:space="preserve"> </w:t>
      </w:r>
      <w:r w:rsidRPr="00395593">
        <w:rPr>
          <w:rFonts w:ascii="Garamond" w:eastAsia="Times New Roman" w:hAnsi="Garamond" w:cs="Times New Roman"/>
          <w:sz w:val="20"/>
        </w:rPr>
        <w:t>se</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refere</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o</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parágrafo</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1(a)</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do</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artigo</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8,</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com</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vistas</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a determinar se são específicas no sentido previsto no Artigo 2. Adicionalmente, no caso do subsídio a que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alude o parágrafo 2 do Artigo 8, concedido no âmbito de um programa que não tenha sido notificado 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acordo</w:t>
      </w:r>
      <w:r w:rsidRPr="00395593">
        <w:rPr>
          <w:rFonts w:ascii="Garamond" w:eastAsia="Times New Roman" w:hAnsi="Garamond" w:cs="Times New Roman"/>
          <w:spacing w:val="7"/>
          <w:sz w:val="20"/>
        </w:rPr>
        <w:t xml:space="preserve"> </w:t>
      </w:r>
      <w:r w:rsidRPr="00395593">
        <w:rPr>
          <w:rFonts w:ascii="Garamond" w:eastAsia="Times New Roman" w:hAnsi="Garamond" w:cs="Times New Roman"/>
          <w:sz w:val="20"/>
        </w:rPr>
        <w:t>com</w:t>
      </w:r>
      <w:r w:rsidRPr="00395593">
        <w:rPr>
          <w:rFonts w:ascii="Garamond" w:eastAsia="Times New Roman" w:hAnsi="Garamond" w:cs="Times New Roman"/>
          <w:spacing w:val="6"/>
          <w:sz w:val="20"/>
        </w:rPr>
        <w:t xml:space="preserve"> </w:t>
      </w:r>
      <w:r w:rsidRPr="00395593">
        <w:rPr>
          <w:rFonts w:ascii="Garamond" w:eastAsia="Times New Roman" w:hAnsi="Garamond" w:cs="Times New Roman"/>
          <w:sz w:val="20"/>
        </w:rPr>
        <w:t>o</w:t>
      </w:r>
      <w:r w:rsidRPr="00395593">
        <w:rPr>
          <w:rFonts w:ascii="Garamond" w:eastAsia="Times New Roman" w:hAnsi="Garamond" w:cs="Times New Roman"/>
          <w:spacing w:val="11"/>
          <w:sz w:val="20"/>
        </w:rPr>
        <w:t xml:space="preserve"> </w:t>
      </w:r>
      <w:r w:rsidRPr="00395593">
        <w:rPr>
          <w:rFonts w:ascii="Garamond" w:eastAsia="Times New Roman" w:hAnsi="Garamond" w:cs="Times New Roman"/>
          <w:sz w:val="20"/>
        </w:rPr>
        <w:t>disposto</w:t>
      </w:r>
      <w:r w:rsidRPr="00395593">
        <w:rPr>
          <w:rFonts w:ascii="Garamond" w:eastAsia="Times New Roman" w:hAnsi="Garamond" w:cs="Times New Roman"/>
          <w:spacing w:val="10"/>
          <w:sz w:val="20"/>
        </w:rPr>
        <w:t xml:space="preserve"> </w:t>
      </w:r>
      <w:r w:rsidRPr="00395593">
        <w:rPr>
          <w:rFonts w:ascii="Garamond" w:eastAsia="Times New Roman" w:hAnsi="Garamond" w:cs="Times New Roman"/>
          <w:sz w:val="20"/>
        </w:rPr>
        <w:t>no</w:t>
      </w:r>
      <w:r w:rsidRPr="00395593">
        <w:rPr>
          <w:rFonts w:ascii="Garamond" w:eastAsia="Times New Roman" w:hAnsi="Garamond" w:cs="Times New Roman"/>
          <w:spacing w:val="10"/>
          <w:sz w:val="20"/>
        </w:rPr>
        <w:t xml:space="preserve"> </w:t>
      </w:r>
      <w:r w:rsidRPr="00395593">
        <w:rPr>
          <w:rFonts w:ascii="Garamond" w:eastAsia="Times New Roman" w:hAnsi="Garamond" w:cs="Times New Roman"/>
          <w:sz w:val="20"/>
        </w:rPr>
        <w:t>parágrafo</w:t>
      </w:r>
      <w:r w:rsidRPr="00395593">
        <w:rPr>
          <w:rFonts w:ascii="Garamond" w:eastAsia="Times New Roman" w:hAnsi="Garamond" w:cs="Times New Roman"/>
          <w:spacing w:val="11"/>
          <w:sz w:val="20"/>
        </w:rPr>
        <w:t xml:space="preserve"> </w:t>
      </w:r>
      <w:r w:rsidRPr="00395593">
        <w:rPr>
          <w:rFonts w:ascii="Garamond" w:eastAsia="Times New Roman" w:hAnsi="Garamond" w:cs="Times New Roman"/>
          <w:sz w:val="20"/>
        </w:rPr>
        <w:t>3</w:t>
      </w:r>
      <w:r w:rsidRPr="00395593">
        <w:rPr>
          <w:rFonts w:ascii="Garamond" w:eastAsia="Times New Roman" w:hAnsi="Garamond" w:cs="Times New Roman"/>
          <w:spacing w:val="11"/>
          <w:sz w:val="20"/>
        </w:rPr>
        <w:t xml:space="preserve"> </w:t>
      </w:r>
      <w:r w:rsidRPr="00395593">
        <w:rPr>
          <w:rFonts w:ascii="Garamond" w:eastAsia="Times New Roman" w:hAnsi="Garamond" w:cs="Times New Roman"/>
          <w:sz w:val="20"/>
        </w:rPr>
        <w:t>do</w:t>
      </w:r>
      <w:r w:rsidRPr="00395593">
        <w:rPr>
          <w:rFonts w:ascii="Garamond" w:eastAsia="Times New Roman" w:hAnsi="Garamond" w:cs="Times New Roman"/>
          <w:spacing w:val="10"/>
          <w:sz w:val="20"/>
        </w:rPr>
        <w:t xml:space="preserve"> </w:t>
      </w:r>
      <w:r w:rsidRPr="00395593">
        <w:rPr>
          <w:rFonts w:ascii="Garamond" w:eastAsia="Times New Roman" w:hAnsi="Garamond" w:cs="Times New Roman"/>
          <w:sz w:val="20"/>
        </w:rPr>
        <w:t>Artigo</w:t>
      </w:r>
      <w:r w:rsidRPr="00395593">
        <w:rPr>
          <w:rFonts w:ascii="Garamond" w:eastAsia="Times New Roman" w:hAnsi="Garamond" w:cs="Times New Roman"/>
          <w:spacing w:val="11"/>
          <w:sz w:val="20"/>
        </w:rPr>
        <w:t xml:space="preserve"> </w:t>
      </w:r>
      <w:r w:rsidRPr="00395593">
        <w:rPr>
          <w:rFonts w:ascii="Garamond" w:eastAsia="Times New Roman" w:hAnsi="Garamond" w:cs="Times New Roman"/>
          <w:sz w:val="20"/>
        </w:rPr>
        <w:t>8,</w:t>
      </w:r>
      <w:r w:rsidRPr="00395593">
        <w:rPr>
          <w:rFonts w:ascii="Garamond" w:eastAsia="Times New Roman" w:hAnsi="Garamond" w:cs="Times New Roman"/>
          <w:spacing w:val="10"/>
          <w:sz w:val="20"/>
        </w:rPr>
        <w:t xml:space="preserve"> </w:t>
      </w:r>
      <w:r w:rsidRPr="00395593">
        <w:rPr>
          <w:rFonts w:ascii="Garamond" w:eastAsia="Times New Roman" w:hAnsi="Garamond" w:cs="Times New Roman"/>
          <w:sz w:val="20"/>
        </w:rPr>
        <w:t>o</w:t>
      </w:r>
      <w:r w:rsidRPr="00395593">
        <w:rPr>
          <w:rFonts w:ascii="Garamond" w:eastAsia="Times New Roman" w:hAnsi="Garamond" w:cs="Times New Roman"/>
          <w:spacing w:val="8"/>
          <w:sz w:val="20"/>
        </w:rPr>
        <w:t xml:space="preserve"> </w:t>
      </w:r>
      <w:r w:rsidRPr="00395593">
        <w:rPr>
          <w:rFonts w:ascii="Garamond" w:eastAsia="Times New Roman" w:hAnsi="Garamond" w:cs="Times New Roman"/>
          <w:sz w:val="20"/>
        </w:rPr>
        <w:t>disposto</w:t>
      </w:r>
      <w:r w:rsidRPr="00395593">
        <w:rPr>
          <w:rFonts w:ascii="Garamond" w:eastAsia="Times New Roman" w:hAnsi="Garamond" w:cs="Times New Roman"/>
          <w:spacing w:val="9"/>
          <w:sz w:val="20"/>
        </w:rPr>
        <w:t xml:space="preserve"> </w:t>
      </w:r>
      <w:r w:rsidRPr="00395593">
        <w:rPr>
          <w:rFonts w:ascii="Garamond" w:eastAsia="Times New Roman" w:hAnsi="Garamond" w:cs="Times New Roman"/>
          <w:sz w:val="20"/>
        </w:rPr>
        <w:t>na</w:t>
      </w:r>
      <w:r w:rsidRPr="00395593">
        <w:rPr>
          <w:rFonts w:ascii="Garamond" w:eastAsia="Times New Roman" w:hAnsi="Garamond" w:cs="Times New Roman"/>
          <w:spacing w:val="10"/>
          <w:sz w:val="20"/>
        </w:rPr>
        <w:t xml:space="preserve"> </w:t>
      </w:r>
      <w:r w:rsidRPr="00395593">
        <w:rPr>
          <w:rFonts w:ascii="Garamond" w:eastAsia="Times New Roman" w:hAnsi="Garamond" w:cs="Times New Roman"/>
          <w:sz w:val="20"/>
        </w:rPr>
        <w:t>PARTE</w:t>
      </w:r>
      <w:r w:rsidRPr="00395593">
        <w:rPr>
          <w:rFonts w:ascii="Garamond" w:eastAsia="Times New Roman" w:hAnsi="Garamond" w:cs="Times New Roman"/>
          <w:spacing w:val="10"/>
          <w:sz w:val="20"/>
        </w:rPr>
        <w:t xml:space="preserve"> </w:t>
      </w:r>
      <w:r w:rsidRPr="00395593">
        <w:rPr>
          <w:rFonts w:ascii="Garamond" w:eastAsia="Times New Roman" w:hAnsi="Garamond" w:cs="Times New Roman"/>
          <w:sz w:val="20"/>
        </w:rPr>
        <w:t>III</w:t>
      </w:r>
      <w:r w:rsidRPr="00395593">
        <w:rPr>
          <w:rFonts w:ascii="Garamond" w:eastAsia="Times New Roman" w:hAnsi="Garamond" w:cs="Times New Roman"/>
          <w:spacing w:val="8"/>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7"/>
          <w:sz w:val="20"/>
        </w:rPr>
        <w:t xml:space="preserve"> </w:t>
      </w:r>
      <w:r w:rsidRPr="00395593">
        <w:rPr>
          <w:rFonts w:ascii="Garamond" w:eastAsia="Times New Roman" w:hAnsi="Garamond" w:cs="Times New Roman"/>
          <w:sz w:val="20"/>
        </w:rPr>
        <w:t>V</w:t>
      </w:r>
      <w:r w:rsidRPr="00395593">
        <w:rPr>
          <w:rFonts w:ascii="Garamond" w:eastAsia="Times New Roman" w:hAnsi="Garamond" w:cs="Times New Roman"/>
          <w:spacing w:val="10"/>
          <w:sz w:val="20"/>
        </w:rPr>
        <w:t xml:space="preserve"> </w:t>
      </w:r>
      <w:r w:rsidRPr="00395593">
        <w:rPr>
          <w:rFonts w:ascii="Garamond" w:eastAsia="Times New Roman" w:hAnsi="Garamond" w:cs="Times New Roman"/>
          <w:sz w:val="20"/>
        </w:rPr>
        <w:t>poderá</w:t>
      </w:r>
      <w:r w:rsidRPr="00395593">
        <w:rPr>
          <w:rFonts w:ascii="Garamond" w:eastAsia="Times New Roman" w:hAnsi="Garamond" w:cs="Times New Roman"/>
          <w:spacing w:val="10"/>
          <w:sz w:val="20"/>
        </w:rPr>
        <w:t xml:space="preserve"> </w:t>
      </w:r>
      <w:r w:rsidRPr="00395593">
        <w:rPr>
          <w:rFonts w:ascii="Garamond" w:eastAsia="Times New Roman" w:hAnsi="Garamond" w:cs="Times New Roman"/>
          <w:sz w:val="20"/>
        </w:rPr>
        <w:t>ser</w:t>
      </w:r>
      <w:r w:rsidRPr="00395593">
        <w:rPr>
          <w:rFonts w:ascii="Garamond" w:eastAsia="Times New Roman" w:hAnsi="Garamond" w:cs="Times New Roman"/>
          <w:spacing w:val="11"/>
          <w:sz w:val="20"/>
        </w:rPr>
        <w:t xml:space="preserve"> </w:t>
      </w:r>
      <w:r w:rsidRPr="00395593">
        <w:rPr>
          <w:rFonts w:ascii="Garamond" w:eastAsia="Times New Roman" w:hAnsi="Garamond" w:cs="Times New Roman"/>
          <w:sz w:val="20"/>
        </w:rPr>
        <w:t>invocado,</w:t>
      </w:r>
      <w:r w:rsidRPr="00395593">
        <w:rPr>
          <w:rFonts w:ascii="Garamond" w:eastAsia="Times New Roman" w:hAnsi="Garamond" w:cs="Times New Roman"/>
          <w:spacing w:val="9"/>
          <w:sz w:val="20"/>
        </w:rPr>
        <w:t xml:space="preserve"> </w:t>
      </w:r>
      <w:r w:rsidRPr="00395593">
        <w:rPr>
          <w:rFonts w:ascii="Garamond" w:eastAsia="Times New Roman" w:hAnsi="Garamond" w:cs="Times New Roman"/>
          <w:sz w:val="20"/>
        </w:rPr>
        <w:t>mas</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tal subsídio será tratado como irrecorrível se se determinar que atende aos critérios estabelecidos no parágrafo</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2 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Artigo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8.</w:t>
      </w:r>
    </w:p>
    <w:p w14:paraId="77364A1F" w14:textId="77777777" w:rsidR="00CB6C86" w:rsidRPr="00395593" w:rsidRDefault="00CB6C86" w:rsidP="00CB6C86">
      <w:pPr>
        <w:widowControl w:val="0"/>
        <w:autoSpaceDE w:val="0"/>
        <w:autoSpaceDN w:val="0"/>
        <w:spacing w:after="0" w:line="240" w:lineRule="auto"/>
        <w:ind w:right="125"/>
        <w:jc w:val="both"/>
        <w:rPr>
          <w:rFonts w:ascii="Garamond" w:eastAsia="Times New Roman" w:hAnsi="Garamond" w:cs="Times New Roman"/>
          <w:sz w:val="20"/>
        </w:rPr>
      </w:pPr>
      <w:r w:rsidRPr="00395593">
        <w:rPr>
          <w:rFonts w:ascii="Garamond" w:eastAsia="Times New Roman" w:hAnsi="Garamond" w:cs="Times New Roman"/>
          <w:sz w:val="20"/>
          <w:vertAlign w:val="superscript"/>
        </w:rPr>
        <w:t>36</w:t>
      </w:r>
      <w:r w:rsidRPr="00395593">
        <w:rPr>
          <w:rFonts w:ascii="Garamond" w:eastAsia="Times New Roman" w:hAnsi="Garamond" w:cs="Times New Roman"/>
          <w:sz w:val="20"/>
        </w:rPr>
        <w:t xml:space="preserve"> O termo “medida compensatória” será compreendido como o direito especial percebido com a finalidade de</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contrabalançar qualquer subsídio concedido direta ou indiretamente ao fabrico, à produção ou à exportação de</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qualquer</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mercadoria,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tal como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previsto no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parágrafo 3 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Artigo VI 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GATT</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1994.</w:t>
      </w:r>
    </w:p>
    <w:p w14:paraId="78C691CD" w14:textId="77777777" w:rsidR="00CB6C86" w:rsidRPr="00395593" w:rsidRDefault="00CB6C86" w:rsidP="00CB6C86">
      <w:pPr>
        <w:widowControl w:val="0"/>
        <w:autoSpaceDE w:val="0"/>
        <w:autoSpaceDN w:val="0"/>
        <w:spacing w:after="0" w:line="240" w:lineRule="auto"/>
        <w:jc w:val="both"/>
        <w:rPr>
          <w:rFonts w:ascii="Garamond" w:eastAsia="Times New Roman" w:hAnsi="Garamond" w:cs="Times New Roman"/>
          <w:sz w:val="20"/>
        </w:rPr>
        <w:sectPr w:rsidR="00CB6C86" w:rsidRPr="00395593" w:rsidSect="00E15FBB">
          <w:pgSz w:w="12240" w:h="15840"/>
          <w:pgMar w:top="1418" w:right="1580" w:bottom="280" w:left="1418" w:header="720" w:footer="720" w:gutter="0"/>
          <w:cols w:space="720"/>
        </w:sectPr>
      </w:pPr>
    </w:p>
    <w:p w14:paraId="74D46021" w14:textId="77777777" w:rsidR="00CB6C86" w:rsidRPr="00395593" w:rsidRDefault="00CB6C86" w:rsidP="00CB6C86">
      <w:pPr>
        <w:widowControl w:val="0"/>
        <w:autoSpaceDE w:val="0"/>
        <w:autoSpaceDN w:val="0"/>
        <w:spacing w:before="68" w:after="0" w:line="240" w:lineRule="auto"/>
        <w:ind w:right="118"/>
        <w:jc w:val="both"/>
        <w:rPr>
          <w:rFonts w:ascii="Garamond" w:eastAsia="Times New Roman" w:hAnsi="Garamond" w:cs="Times New Roman"/>
          <w:sz w:val="24"/>
          <w:szCs w:val="24"/>
        </w:rPr>
      </w:pPr>
      <w:r w:rsidRPr="00395593">
        <w:rPr>
          <w:rFonts w:ascii="Garamond" w:eastAsia="Times New Roman" w:hAnsi="Garamond" w:cs="Times New Roman"/>
          <w:sz w:val="24"/>
          <w:szCs w:val="24"/>
        </w:rPr>
        <w:t>1994</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nos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termos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deste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Acordo.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Só</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poderão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impor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medidas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compensatórias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após</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 xml:space="preserve">investigações iniciadas </w:t>
      </w:r>
      <w:r w:rsidRPr="00395593">
        <w:rPr>
          <w:rFonts w:ascii="Garamond" w:eastAsia="Times New Roman" w:hAnsi="Garamond" w:cs="Times New Roman"/>
          <w:sz w:val="24"/>
          <w:szCs w:val="24"/>
          <w:vertAlign w:val="superscript"/>
        </w:rPr>
        <w:t>37</w:t>
      </w:r>
      <w:r w:rsidRPr="00395593">
        <w:rPr>
          <w:rFonts w:ascii="Garamond" w:eastAsia="Times New Roman" w:hAnsi="Garamond" w:cs="Times New Roman"/>
          <w:sz w:val="24"/>
          <w:szCs w:val="24"/>
        </w:rPr>
        <w:t xml:space="preserve"> e conduzidas de acordo com o disposto neste Acordo e no Acordo</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sobre</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sz w:val="24"/>
          <w:szCs w:val="24"/>
        </w:rPr>
        <w:t>Agricultura.</w:t>
      </w:r>
    </w:p>
    <w:p w14:paraId="1278B92B"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6"/>
          <w:szCs w:val="24"/>
        </w:rPr>
      </w:pPr>
    </w:p>
    <w:p w14:paraId="71937ABC"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11</w:t>
      </w:r>
    </w:p>
    <w:p w14:paraId="41D864B9"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259CF2BD" w14:textId="77777777" w:rsidR="00CB6C86" w:rsidRPr="00395593" w:rsidRDefault="00CB6C86" w:rsidP="00CB6C8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Início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e</w:t>
      </w:r>
      <w:r w:rsidRPr="00395593">
        <w:rPr>
          <w:rFonts w:ascii="Garamond" w:eastAsia="Times New Roman" w:hAnsi="Garamond" w:cs="Times New Roman"/>
          <w:b/>
          <w:spacing w:val="-3"/>
          <w:sz w:val="24"/>
          <w:szCs w:val="24"/>
        </w:rPr>
        <w:t xml:space="preserve"> </w:t>
      </w:r>
      <w:r w:rsidRPr="00395593">
        <w:rPr>
          <w:rFonts w:ascii="Garamond" w:eastAsia="Times New Roman" w:hAnsi="Garamond" w:cs="Times New Roman"/>
          <w:b/>
          <w:sz w:val="24"/>
          <w:szCs w:val="24"/>
        </w:rPr>
        <w:t>Procedimentos</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de</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Investigação</w:t>
      </w:r>
    </w:p>
    <w:p w14:paraId="1118F4DC"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0576583E" w14:textId="77777777" w:rsidR="00CB6C86" w:rsidRPr="00395593" w:rsidRDefault="00CB6C86" w:rsidP="002C4340">
      <w:pPr>
        <w:widowControl w:val="0"/>
        <w:numPr>
          <w:ilvl w:val="0"/>
          <w:numId w:val="55"/>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exceção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6,</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existência, o grau e o efeito de qualquer subsídio será iniciada a partir de petição escrita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apresentada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pela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indústria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nacional ou</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em seu nome.</w:t>
      </w:r>
    </w:p>
    <w:p w14:paraId="2823FE78" w14:textId="77777777" w:rsidR="00CB6C86" w:rsidRPr="00395593" w:rsidRDefault="00CB6C86" w:rsidP="00655FD9">
      <w:pPr>
        <w:widowControl w:val="0"/>
        <w:autoSpaceDE w:val="0"/>
        <w:autoSpaceDN w:val="0"/>
        <w:spacing w:before="1" w:after="0" w:line="240" w:lineRule="auto"/>
        <w:jc w:val="both"/>
        <w:rPr>
          <w:rFonts w:ascii="Garamond" w:eastAsia="Times New Roman" w:hAnsi="Garamond" w:cs="Times New Roman"/>
          <w:sz w:val="24"/>
          <w:szCs w:val="24"/>
        </w:rPr>
      </w:pPr>
    </w:p>
    <w:p w14:paraId="07E60110" w14:textId="77777777" w:rsidR="00CB6C86" w:rsidRPr="00395593" w:rsidRDefault="00CB6C86" w:rsidP="002C4340">
      <w:pPr>
        <w:widowControl w:val="0"/>
        <w:numPr>
          <w:ilvl w:val="0"/>
          <w:numId w:val="55"/>
        </w:numPr>
        <w:tabs>
          <w:tab w:val="left" w:pos="810"/>
        </w:tabs>
        <w:autoSpaceDE w:val="0"/>
        <w:autoSpaceDN w:val="0"/>
        <w:spacing w:after="0" w:line="240" w:lineRule="auto"/>
        <w:ind w:left="810"/>
        <w:jc w:val="both"/>
        <w:rPr>
          <w:rFonts w:ascii="Garamond" w:eastAsia="Times New Roman" w:hAnsi="Garamond" w:cs="Times New Roman"/>
          <w:sz w:val="24"/>
        </w:rPr>
      </w:pPr>
      <w:r w:rsidRPr="00395593">
        <w:rPr>
          <w:rFonts w:ascii="Garamond" w:eastAsia="Times New Roman" w:hAnsi="Garamond" w:cs="Times New Roman"/>
          <w:sz w:val="24"/>
        </w:rPr>
        <w:t>Uma</w:t>
      </w:r>
      <w:r w:rsidRPr="00395593">
        <w:rPr>
          <w:rFonts w:ascii="Garamond" w:eastAsia="Times New Roman" w:hAnsi="Garamond" w:cs="Times New Roman"/>
          <w:spacing w:val="6"/>
          <w:sz w:val="24"/>
        </w:rPr>
        <w:t xml:space="preserve"> </w:t>
      </w:r>
      <w:r w:rsidRPr="00395593">
        <w:rPr>
          <w:rFonts w:ascii="Garamond" w:eastAsia="Times New Roman" w:hAnsi="Garamond" w:cs="Times New Roman"/>
          <w:sz w:val="24"/>
        </w:rPr>
        <w:t>petição</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nos</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termos</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1</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incluirá</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provas</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suficientes</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existência</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de:</w:t>
      </w:r>
    </w:p>
    <w:p w14:paraId="1DC37085" w14:textId="77777777" w:rsidR="00CB6C86" w:rsidRPr="00395593" w:rsidRDefault="00CB6C86" w:rsidP="002C4340">
      <w:pPr>
        <w:widowControl w:val="0"/>
        <w:numPr>
          <w:ilvl w:val="0"/>
          <w:numId w:val="54"/>
        </w:numPr>
        <w:tabs>
          <w:tab w:val="left" w:pos="438"/>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subsídio e, se possível, seu valor; (b) dano no sentido do Artigo VI do GATT 1994, 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como interpretado por este Acordo; e (c) nexo causal entre as importações subsidiadas e 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danos alegados. A simples alegação, sem acompanhamento das provas pertinentes, 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poderá ser considerada suficiente para preencher os requisitos deste parágrafo. A petição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conterá, no nível que se possa razoavelmente esperar do reclamante, informações sobre 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seguintes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pontos:</w:t>
      </w:r>
    </w:p>
    <w:p w14:paraId="6DC07083"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0AA93566" w14:textId="77777777" w:rsidR="00CB6C86" w:rsidRPr="00395593" w:rsidRDefault="00CB6C86" w:rsidP="002C4340">
      <w:pPr>
        <w:widowControl w:val="0"/>
        <w:numPr>
          <w:ilvl w:val="1"/>
          <w:numId w:val="54"/>
        </w:numPr>
        <w:tabs>
          <w:tab w:val="left" w:pos="1149"/>
        </w:tabs>
        <w:autoSpaceDE w:val="0"/>
        <w:autoSpaceDN w:val="0"/>
        <w:spacing w:after="0" w:line="240" w:lineRule="auto"/>
        <w:ind w:left="1181" w:right="119" w:hanging="360"/>
        <w:jc w:val="both"/>
        <w:rPr>
          <w:rFonts w:ascii="Garamond" w:eastAsia="Times New Roman" w:hAnsi="Garamond" w:cs="Times New Roman"/>
          <w:sz w:val="24"/>
        </w:rPr>
      </w:pPr>
      <w:r w:rsidRPr="00395593">
        <w:rPr>
          <w:rFonts w:ascii="Garamond" w:eastAsia="Times New Roman" w:hAnsi="Garamond" w:cs="Times New Roman"/>
          <w:sz w:val="24"/>
        </w:rPr>
        <w:t>identidade do reclamante e descrição do volume e do valor da produção nacional</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do produto similar, a cargo do reclamante. No caso de se tratar de petição escrita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em nome da indústria nacional, dela constara identificação da indústria em nome</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da qual se está apresentando a petição por meio de lista de todos os produtores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conhecidos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similar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associações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nacionais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 similar) e, na medida do possível, descrição do volume e dos valores 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nacional do produto similar,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cargo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produtores;</w:t>
      </w:r>
    </w:p>
    <w:p w14:paraId="18723B6F" w14:textId="77777777" w:rsidR="00CB6C86" w:rsidRPr="00395593" w:rsidRDefault="00CB6C86" w:rsidP="00655FD9">
      <w:pPr>
        <w:widowControl w:val="0"/>
        <w:autoSpaceDE w:val="0"/>
        <w:autoSpaceDN w:val="0"/>
        <w:spacing w:before="1" w:after="0" w:line="240" w:lineRule="auto"/>
        <w:jc w:val="both"/>
        <w:rPr>
          <w:rFonts w:ascii="Garamond" w:eastAsia="Times New Roman" w:hAnsi="Garamond" w:cs="Times New Roman"/>
          <w:sz w:val="24"/>
          <w:szCs w:val="24"/>
        </w:rPr>
      </w:pPr>
    </w:p>
    <w:p w14:paraId="715EDFB2" w14:textId="77777777" w:rsidR="00CB6C86" w:rsidRPr="00395593" w:rsidRDefault="00CB6C86" w:rsidP="002C4340">
      <w:pPr>
        <w:widowControl w:val="0"/>
        <w:numPr>
          <w:ilvl w:val="1"/>
          <w:numId w:val="54"/>
        </w:numPr>
        <w:tabs>
          <w:tab w:val="left" w:pos="1168"/>
        </w:tabs>
        <w:autoSpaceDE w:val="0"/>
        <w:autoSpaceDN w:val="0"/>
        <w:spacing w:after="0" w:line="240" w:lineRule="auto"/>
        <w:ind w:left="1181" w:right="121" w:hanging="360"/>
        <w:jc w:val="both"/>
        <w:rPr>
          <w:rFonts w:ascii="Garamond" w:eastAsia="Times New Roman" w:hAnsi="Garamond" w:cs="Times New Roman"/>
          <w:sz w:val="24"/>
        </w:rPr>
      </w:pPr>
      <w:r w:rsidRPr="00395593">
        <w:rPr>
          <w:rFonts w:ascii="Garamond" w:eastAsia="Times New Roman" w:hAnsi="Garamond" w:cs="Times New Roman"/>
          <w:sz w:val="24"/>
        </w:rPr>
        <w:t>descrição completa do produto alegadamente subsidiado, o nome do país ou 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países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origem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causa,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identidade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estrangeiros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conhecidos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lista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pessoas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conhecidas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importam o produto em causa;</w:t>
      </w:r>
    </w:p>
    <w:p w14:paraId="5FB8AFB7"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4B39E9A7" w14:textId="77777777" w:rsidR="00CB6C86" w:rsidRPr="00395593" w:rsidRDefault="00CB6C86" w:rsidP="002C4340">
      <w:pPr>
        <w:widowControl w:val="0"/>
        <w:numPr>
          <w:ilvl w:val="1"/>
          <w:numId w:val="54"/>
        </w:numPr>
        <w:tabs>
          <w:tab w:val="left" w:pos="1189"/>
        </w:tabs>
        <w:autoSpaceDE w:val="0"/>
        <w:autoSpaceDN w:val="0"/>
        <w:spacing w:after="0" w:line="240" w:lineRule="auto"/>
        <w:ind w:left="1181" w:right="124" w:hanging="360"/>
        <w:jc w:val="both"/>
        <w:rPr>
          <w:rFonts w:ascii="Garamond" w:eastAsia="Times New Roman" w:hAnsi="Garamond" w:cs="Times New Roman"/>
          <w:sz w:val="24"/>
        </w:rPr>
      </w:pPr>
      <w:r w:rsidRPr="00395593">
        <w:rPr>
          <w:rFonts w:ascii="Garamond" w:eastAsia="Times New Roman" w:hAnsi="Garamond" w:cs="Times New Roman"/>
          <w:sz w:val="24"/>
        </w:rPr>
        <w:t>provas que demonstrem a existência, o volume e a natureza do subsídio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questão;</w:t>
      </w:r>
    </w:p>
    <w:p w14:paraId="07C59446"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41D5E46C" w14:textId="1D94FF8E" w:rsidR="00CB6C86" w:rsidRPr="00395593" w:rsidRDefault="00CB6C86" w:rsidP="002C4340">
      <w:pPr>
        <w:widowControl w:val="0"/>
        <w:numPr>
          <w:ilvl w:val="1"/>
          <w:numId w:val="54"/>
        </w:numPr>
        <w:tabs>
          <w:tab w:val="left" w:pos="1180"/>
        </w:tabs>
        <w:autoSpaceDE w:val="0"/>
        <w:autoSpaceDN w:val="0"/>
        <w:spacing w:after="0" w:line="240" w:lineRule="auto"/>
        <w:ind w:left="1181" w:right="118" w:hanging="360"/>
        <w:jc w:val="both"/>
        <w:rPr>
          <w:rFonts w:ascii="Garamond" w:eastAsia="Times New Roman" w:hAnsi="Garamond" w:cs="Times New Roman"/>
          <w:sz w:val="24"/>
        </w:rPr>
      </w:pPr>
      <w:r w:rsidRPr="00395593">
        <w:rPr>
          <w:rFonts w:ascii="Garamond" w:eastAsia="Times New Roman" w:hAnsi="Garamond" w:cs="Times New Roman"/>
          <w:sz w:val="24"/>
        </w:rPr>
        <w:t>provas que demonstrem sejam os alegados danos à indústria nacional causados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subsidiadas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resultado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incluem informação sobre a evolução do volume das importações alegadamente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subsidiadas,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efeito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preços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similar no mercado nacional e o conseqüente impacto das importações sobre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indústria</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nacional,</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tal</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como</w:t>
      </w:r>
      <w:r w:rsidRPr="00395593">
        <w:rPr>
          <w:rFonts w:ascii="Garamond" w:eastAsia="Times New Roman" w:hAnsi="Garamond" w:cs="Times New Roman"/>
          <w:spacing w:val="26"/>
          <w:sz w:val="24"/>
        </w:rPr>
        <w:t xml:space="preserve"> </w:t>
      </w:r>
      <w:r w:rsidRPr="00395593">
        <w:rPr>
          <w:rFonts w:ascii="Garamond" w:eastAsia="Times New Roman" w:hAnsi="Garamond" w:cs="Times New Roman"/>
          <w:sz w:val="24"/>
        </w:rPr>
        <w:t>demonstrado</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fatores</w:t>
      </w:r>
      <w:r w:rsidRPr="00395593">
        <w:rPr>
          <w:rFonts w:ascii="Garamond" w:eastAsia="Times New Roman" w:hAnsi="Garamond" w:cs="Times New Roman"/>
          <w:spacing w:val="26"/>
          <w:sz w:val="24"/>
        </w:rPr>
        <w:t xml:space="preserve"> </w:t>
      </w:r>
      <w:r w:rsidRPr="00395593">
        <w:rPr>
          <w:rFonts w:ascii="Garamond" w:eastAsia="Times New Roman" w:hAnsi="Garamond" w:cs="Times New Roman"/>
          <w:sz w:val="24"/>
        </w:rPr>
        <w:t>relevantes</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26"/>
          <w:sz w:val="24"/>
        </w:rPr>
        <w:t xml:space="preserve"> </w:t>
      </w:r>
      <w:r w:rsidRPr="00395593">
        <w:rPr>
          <w:rFonts w:ascii="Garamond" w:eastAsia="Times New Roman" w:hAnsi="Garamond" w:cs="Times New Roman"/>
          <w:sz w:val="24"/>
        </w:rPr>
        <w:t>indícios</w:t>
      </w:r>
      <w:r w:rsidRPr="00395593">
        <w:rPr>
          <w:rFonts w:ascii="Garamond" w:eastAsia="Times New Roman" w:hAnsi="Garamond" w:cs="Times New Roman"/>
          <w:spacing w:val="26"/>
          <w:sz w:val="24"/>
        </w:rPr>
        <w:t xml:space="preserve"> </w:t>
      </w:r>
      <w:r w:rsidRPr="00395593">
        <w:rPr>
          <w:rFonts w:ascii="Garamond" w:eastAsia="Times New Roman" w:hAnsi="Garamond" w:cs="Times New Roman"/>
          <w:sz w:val="24"/>
        </w:rPr>
        <w:t>que</w:t>
      </w:r>
    </w:p>
    <w:p w14:paraId="0E87E827" w14:textId="77777777" w:rsidR="00F96CD9" w:rsidRDefault="00F96CD9" w:rsidP="00F96CD9">
      <w:pPr>
        <w:pStyle w:val="PargrafodaLista"/>
        <w:rPr>
          <w:rFonts w:ascii="Garamond" w:eastAsia="Times New Roman" w:hAnsi="Garamond" w:cs="Times New Roman"/>
          <w:sz w:val="24"/>
        </w:rPr>
      </w:pPr>
    </w:p>
    <w:p w14:paraId="781CA7A6" w14:textId="77777777" w:rsidR="00F96CD9" w:rsidRPr="005C5CBD" w:rsidRDefault="00F96CD9" w:rsidP="00F96CD9">
      <w:pPr>
        <w:widowControl w:val="0"/>
        <w:tabs>
          <w:tab w:val="left" w:pos="1180"/>
        </w:tabs>
        <w:autoSpaceDE w:val="0"/>
        <w:autoSpaceDN w:val="0"/>
        <w:spacing w:after="0" w:line="240" w:lineRule="auto"/>
        <w:ind w:left="1181" w:right="118"/>
        <w:jc w:val="center"/>
        <w:rPr>
          <w:rFonts w:ascii="Garamond" w:eastAsia="Times New Roman" w:hAnsi="Garamond" w:cs="Times New Roman"/>
          <w:sz w:val="24"/>
        </w:rPr>
      </w:pPr>
    </w:p>
    <w:p w14:paraId="79361F15" w14:textId="32F369E1" w:rsidR="00CB6C86" w:rsidRPr="00395593" w:rsidRDefault="00CB6C86" w:rsidP="00CB6C86">
      <w:pPr>
        <w:widowControl w:val="0"/>
        <w:autoSpaceDE w:val="0"/>
        <w:autoSpaceDN w:val="0"/>
        <w:spacing w:before="1" w:after="0" w:line="240" w:lineRule="auto"/>
        <w:rPr>
          <w:rFonts w:ascii="Garamond" w:eastAsia="Times New Roman" w:hAnsi="Garamond" w:cs="Times New Roman"/>
          <w:sz w:val="27"/>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69" behindDoc="1" locked="0" layoutInCell="1" allowOverlap="1" wp14:anchorId="7877A24D" wp14:editId="09BD019C">
                <wp:simplePos x="0" y="0"/>
                <wp:positionH relativeFrom="page">
                  <wp:posOffset>1080770</wp:posOffset>
                </wp:positionH>
                <wp:positionV relativeFrom="paragraph">
                  <wp:posOffset>213360</wp:posOffset>
                </wp:positionV>
                <wp:extent cx="1828800" cy="7620"/>
                <wp:effectExtent l="4445" t="0" r="0" b="3175"/>
                <wp:wrapTopAndBottom/>
                <wp:docPr id="424" name="Retângulo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73510" id="Retângulo 424" o:spid="_x0000_s1026" style="position:absolute;margin-left:85.1pt;margin-top:16.8pt;width:2in;height:.6pt;z-index:-25165821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xygA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" fillcolor="black" stroked="f">
                <w10:wrap type="topAndBottom" anchorx="page"/>
              </v:rect>
            </w:pict>
          </mc:Fallback>
        </mc:AlternateContent>
      </w:r>
    </w:p>
    <w:p w14:paraId="2C535786" w14:textId="77777777" w:rsidR="00CB6C86" w:rsidRPr="00395593" w:rsidRDefault="00CB6C86" w:rsidP="00CB6C86">
      <w:pPr>
        <w:widowControl w:val="0"/>
        <w:autoSpaceDE w:val="0"/>
        <w:autoSpaceDN w:val="0"/>
        <w:spacing w:before="103" w:after="0" w:line="240" w:lineRule="auto"/>
        <w:rPr>
          <w:rFonts w:ascii="Garamond" w:eastAsia="Times New Roman" w:hAnsi="Garamond" w:cs="Times New Roman"/>
          <w:sz w:val="20"/>
        </w:rPr>
      </w:pPr>
      <w:r w:rsidRPr="00395593">
        <w:rPr>
          <w:rFonts w:ascii="Garamond" w:eastAsia="Times New Roman" w:hAnsi="Garamond" w:cs="Times New Roman"/>
          <w:sz w:val="20"/>
          <w:vertAlign w:val="superscript"/>
        </w:rPr>
        <w:t>37</w:t>
      </w:r>
      <w:r w:rsidRPr="00395593">
        <w:rPr>
          <w:rFonts w:ascii="Garamond" w:eastAsia="Times New Roman" w:hAnsi="Garamond" w:cs="Times New Roman"/>
          <w:sz w:val="20"/>
        </w:rPr>
        <w:t xml:space="preserve"> O termo</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“iniciadas”,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tal</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como</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usado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daqui para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diante,</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significa</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procedimental pelo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qual</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um Membro</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inicia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formalmente uma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investigação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conforme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disposto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no Artigo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11.</w:t>
      </w:r>
    </w:p>
    <w:p w14:paraId="2CD00322" w14:textId="77777777" w:rsidR="002C582E" w:rsidRDefault="002C582E">
      <w:pPr>
        <w:rPr>
          <w:rFonts w:ascii="Garamond" w:eastAsia="Times New Roman" w:hAnsi="Garamond" w:cs="Times New Roman"/>
          <w:sz w:val="24"/>
          <w:szCs w:val="24"/>
        </w:rPr>
      </w:pPr>
      <w:r>
        <w:rPr>
          <w:rFonts w:ascii="Garamond" w:eastAsia="Times New Roman" w:hAnsi="Garamond" w:cs="Times New Roman"/>
          <w:sz w:val="24"/>
          <w:szCs w:val="24"/>
        </w:rPr>
        <w:br w:type="page"/>
      </w:r>
    </w:p>
    <w:p w14:paraId="1618905F" w14:textId="6DC15468" w:rsidR="00CB6C86" w:rsidRPr="00395593" w:rsidRDefault="00CB6C86" w:rsidP="00655FD9">
      <w:pPr>
        <w:widowControl w:val="0"/>
        <w:autoSpaceDE w:val="0"/>
        <w:autoSpaceDN w:val="0"/>
        <w:spacing w:before="68" w:after="0" w:line="240" w:lineRule="auto"/>
        <w:ind w:right="110"/>
        <w:jc w:val="both"/>
        <w:rPr>
          <w:rFonts w:ascii="Garamond" w:eastAsia="Times New Roman" w:hAnsi="Garamond" w:cs="Times New Roman"/>
          <w:sz w:val="24"/>
          <w:szCs w:val="24"/>
        </w:rPr>
      </w:pPr>
      <w:r w:rsidRPr="00395593">
        <w:rPr>
          <w:rFonts w:ascii="Garamond" w:eastAsia="Times New Roman" w:hAnsi="Garamond" w:cs="Times New Roman"/>
          <w:sz w:val="24"/>
          <w:szCs w:val="24"/>
        </w:rPr>
        <w:t>tenham</w:t>
      </w:r>
      <w:r w:rsidRPr="00395593">
        <w:rPr>
          <w:rFonts w:ascii="Garamond" w:eastAsia="Times New Roman" w:hAnsi="Garamond" w:cs="Times New Roman"/>
          <w:spacing w:val="11"/>
          <w:sz w:val="24"/>
          <w:szCs w:val="24"/>
        </w:rPr>
        <w:t xml:space="preserve"> </w:t>
      </w:r>
      <w:r w:rsidRPr="00395593">
        <w:rPr>
          <w:rFonts w:ascii="Garamond" w:eastAsia="Times New Roman" w:hAnsi="Garamond" w:cs="Times New Roman"/>
          <w:sz w:val="24"/>
          <w:szCs w:val="24"/>
        </w:rPr>
        <w:t>relação</w:t>
      </w:r>
      <w:r w:rsidRPr="00395593">
        <w:rPr>
          <w:rFonts w:ascii="Garamond" w:eastAsia="Times New Roman" w:hAnsi="Garamond" w:cs="Times New Roman"/>
          <w:spacing w:val="14"/>
          <w:sz w:val="24"/>
          <w:szCs w:val="24"/>
        </w:rPr>
        <w:t xml:space="preserve"> </w:t>
      </w:r>
      <w:r w:rsidRPr="00395593">
        <w:rPr>
          <w:rFonts w:ascii="Garamond" w:eastAsia="Times New Roman" w:hAnsi="Garamond" w:cs="Times New Roman"/>
          <w:sz w:val="24"/>
          <w:szCs w:val="24"/>
        </w:rPr>
        <w:t>com</w:t>
      </w:r>
      <w:r w:rsidRPr="00395593">
        <w:rPr>
          <w:rFonts w:ascii="Garamond" w:eastAsia="Times New Roman" w:hAnsi="Garamond" w:cs="Times New Roman"/>
          <w:spacing w:val="12"/>
          <w:sz w:val="24"/>
          <w:szCs w:val="24"/>
        </w:rPr>
        <w:t xml:space="preserve"> </w:t>
      </w:r>
      <w:r w:rsidRPr="00395593">
        <w:rPr>
          <w:rFonts w:ascii="Garamond" w:eastAsia="Times New Roman" w:hAnsi="Garamond" w:cs="Times New Roman"/>
          <w:sz w:val="24"/>
          <w:szCs w:val="24"/>
        </w:rPr>
        <w:t>o</w:t>
      </w:r>
      <w:r w:rsidRPr="00395593">
        <w:rPr>
          <w:rFonts w:ascii="Garamond" w:eastAsia="Times New Roman" w:hAnsi="Garamond" w:cs="Times New Roman"/>
          <w:spacing w:val="10"/>
          <w:sz w:val="24"/>
          <w:szCs w:val="24"/>
        </w:rPr>
        <w:t xml:space="preserve"> </w:t>
      </w:r>
      <w:r w:rsidRPr="00395593">
        <w:rPr>
          <w:rFonts w:ascii="Garamond" w:eastAsia="Times New Roman" w:hAnsi="Garamond" w:cs="Times New Roman"/>
          <w:sz w:val="24"/>
          <w:szCs w:val="24"/>
        </w:rPr>
        <w:t>estado</w:t>
      </w:r>
      <w:r w:rsidRPr="00395593">
        <w:rPr>
          <w:rFonts w:ascii="Garamond" w:eastAsia="Times New Roman" w:hAnsi="Garamond" w:cs="Times New Roman"/>
          <w:spacing w:val="11"/>
          <w:sz w:val="24"/>
          <w:szCs w:val="24"/>
        </w:rPr>
        <w:t xml:space="preserve"> </w:t>
      </w:r>
      <w:r w:rsidRPr="00395593">
        <w:rPr>
          <w:rFonts w:ascii="Garamond" w:eastAsia="Times New Roman" w:hAnsi="Garamond" w:cs="Times New Roman"/>
          <w:sz w:val="24"/>
          <w:szCs w:val="24"/>
        </w:rPr>
        <w:t>da</w:t>
      </w:r>
      <w:r w:rsidRPr="00395593">
        <w:rPr>
          <w:rFonts w:ascii="Garamond" w:eastAsia="Times New Roman" w:hAnsi="Garamond" w:cs="Times New Roman"/>
          <w:spacing w:val="10"/>
          <w:sz w:val="24"/>
          <w:szCs w:val="24"/>
        </w:rPr>
        <w:t xml:space="preserve"> </w:t>
      </w:r>
      <w:r w:rsidRPr="00395593">
        <w:rPr>
          <w:rFonts w:ascii="Garamond" w:eastAsia="Times New Roman" w:hAnsi="Garamond" w:cs="Times New Roman"/>
          <w:sz w:val="24"/>
          <w:szCs w:val="24"/>
        </w:rPr>
        <w:t>industria</w:t>
      </w:r>
      <w:r w:rsidRPr="00395593">
        <w:rPr>
          <w:rFonts w:ascii="Garamond" w:eastAsia="Times New Roman" w:hAnsi="Garamond" w:cs="Times New Roman"/>
          <w:spacing w:val="11"/>
          <w:sz w:val="24"/>
          <w:szCs w:val="24"/>
        </w:rPr>
        <w:t xml:space="preserve"> </w:t>
      </w:r>
      <w:r w:rsidRPr="00395593">
        <w:rPr>
          <w:rFonts w:ascii="Garamond" w:eastAsia="Times New Roman" w:hAnsi="Garamond" w:cs="Times New Roman"/>
          <w:sz w:val="24"/>
          <w:szCs w:val="24"/>
        </w:rPr>
        <w:t>nacional,</w:t>
      </w:r>
      <w:r w:rsidRPr="00395593">
        <w:rPr>
          <w:rFonts w:ascii="Garamond" w:eastAsia="Times New Roman" w:hAnsi="Garamond" w:cs="Times New Roman"/>
          <w:spacing w:val="11"/>
          <w:sz w:val="24"/>
          <w:szCs w:val="24"/>
        </w:rPr>
        <w:t xml:space="preserve"> </w:t>
      </w:r>
      <w:r w:rsidRPr="00395593">
        <w:rPr>
          <w:rFonts w:ascii="Garamond" w:eastAsia="Times New Roman" w:hAnsi="Garamond" w:cs="Times New Roman"/>
          <w:sz w:val="24"/>
          <w:szCs w:val="24"/>
        </w:rPr>
        <w:t>tais</w:t>
      </w:r>
      <w:r w:rsidRPr="00395593">
        <w:rPr>
          <w:rFonts w:ascii="Garamond" w:eastAsia="Times New Roman" w:hAnsi="Garamond" w:cs="Times New Roman"/>
          <w:spacing w:val="12"/>
          <w:sz w:val="24"/>
          <w:szCs w:val="24"/>
        </w:rPr>
        <w:t xml:space="preserve"> </w:t>
      </w:r>
      <w:r w:rsidRPr="00395593">
        <w:rPr>
          <w:rFonts w:ascii="Garamond" w:eastAsia="Times New Roman" w:hAnsi="Garamond" w:cs="Times New Roman"/>
          <w:sz w:val="24"/>
          <w:szCs w:val="24"/>
        </w:rPr>
        <w:t>como</w:t>
      </w:r>
      <w:r w:rsidRPr="00395593">
        <w:rPr>
          <w:rFonts w:ascii="Garamond" w:eastAsia="Times New Roman" w:hAnsi="Garamond" w:cs="Times New Roman"/>
          <w:spacing w:val="12"/>
          <w:sz w:val="24"/>
          <w:szCs w:val="24"/>
        </w:rPr>
        <w:t xml:space="preserve"> </w:t>
      </w:r>
      <w:r w:rsidRPr="00395593">
        <w:rPr>
          <w:rFonts w:ascii="Garamond" w:eastAsia="Times New Roman" w:hAnsi="Garamond" w:cs="Times New Roman"/>
          <w:sz w:val="24"/>
          <w:szCs w:val="24"/>
        </w:rPr>
        <w:t>aqueles</w:t>
      </w:r>
      <w:r w:rsidRPr="00395593">
        <w:rPr>
          <w:rFonts w:ascii="Garamond" w:eastAsia="Times New Roman" w:hAnsi="Garamond" w:cs="Times New Roman"/>
          <w:spacing w:val="11"/>
          <w:sz w:val="24"/>
          <w:szCs w:val="24"/>
        </w:rPr>
        <w:t xml:space="preserve"> </w:t>
      </w:r>
      <w:r w:rsidRPr="00395593">
        <w:rPr>
          <w:rFonts w:ascii="Garamond" w:eastAsia="Times New Roman" w:hAnsi="Garamond" w:cs="Times New Roman"/>
          <w:sz w:val="24"/>
          <w:szCs w:val="24"/>
        </w:rPr>
        <w:t>arrolados</w:t>
      </w:r>
      <w:r w:rsidR="00655FD9" w:rsidRPr="00395593">
        <w:rPr>
          <w:rFonts w:ascii="Garamond" w:eastAsia="Times New Roman" w:hAnsi="Garamond" w:cs="Times New Roman"/>
          <w:sz w:val="24"/>
          <w:szCs w:val="24"/>
        </w:rPr>
        <w:t xml:space="preserve"> </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nos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parágrafos 2 e</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4 do</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Artigo 15.</w:t>
      </w:r>
    </w:p>
    <w:p w14:paraId="476750EC"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6198415A" w14:textId="77777777" w:rsidR="00CB6C86" w:rsidRPr="00395593" w:rsidRDefault="00CB6C86" w:rsidP="002C4340">
      <w:pPr>
        <w:widowControl w:val="0"/>
        <w:numPr>
          <w:ilvl w:val="0"/>
          <w:numId w:val="55"/>
        </w:numPr>
        <w:tabs>
          <w:tab w:val="left" w:pos="810"/>
        </w:tabs>
        <w:autoSpaceDE w:val="0"/>
        <w:autoSpaceDN w:val="0"/>
        <w:spacing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As autoridades examinarão a exatidão e a adequação das provas apresentadas 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petição com vistas a determinar se as mesmas são suficientes para justificar o início de uma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investigação.</w:t>
      </w:r>
    </w:p>
    <w:p w14:paraId="29100ECF"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6814F15D" w14:textId="77777777" w:rsidR="00CB6C86" w:rsidRPr="00395593" w:rsidRDefault="00CB6C86" w:rsidP="002C4340">
      <w:pPr>
        <w:widowControl w:val="0"/>
        <w:numPr>
          <w:ilvl w:val="0"/>
          <w:numId w:val="55"/>
        </w:numPr>
        <w:tabs>
          <w:tab w:val="left" w:pos="810"/>
        </w:tabs>
        <w:autoSpaceDE w:val="0"/>
        <w:autoSpaceDN w:val="0"/>
        <w:spacing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Não se iniciará investigações ao abrigo do disposto no parágrafo 1 a menos que 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tenham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base 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exame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grau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apoio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rejeição</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petição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expresso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38</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nacionais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similar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petição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foi</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apresentada pela indústria nacional ou em seu nome </w:t>
      </w:r>
      <w:r w:rsidRPr="00395593">
        <w:rPr>
          <w:rFonts w:ascii="Garamond" w:eastAsia="Times New Roman" w:hAnsi="Garamond" w:cs="Times New Roman"/>
          <w:sz w:val="24"/>
          <w:vertAlign w:val="superscript"/>
        </w:rPr>
        <w:t>39</w:t>
      </w:r>
      <w:r w:rsidRPr="00395593">
        <w:rPr>
          <w:rFonts w:ascii="Garamond" w:eastAsia="Times New Roman" w:hAnsi="Garamond" w:cs="Times New Roman"/>
          <w:sz w:val="24"/>
        </w:rPr>
        <w:t>. Considerar-se-á como "feita pela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indústria nacional ou em seu nome" a petição apoiada por aqueles produtores nacionais cuja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produção conjunta represente mais de 50 por cento da produção total do produto similar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produzido por aquela parcela da indústria nacional que expressa, quer apoio, quer rejeição à</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petição.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iniciará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porém,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quando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nacionais,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expressam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apoio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petição,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representem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25</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 produção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total</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similar produzido pela indústria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nacional.</w:t>
      </w:r>
    </w:p>
    <w:p w14:paraId="067C78A5" w14:textId="77777777" w:rsidR="00CB6C86" w:rsidRPr="00395593" w:rsidRDefault="00CB6C86" w:rsidP="00655FD9">
      <w:pPr>
        <w:widowControl w:val="0"/>
        <w:autoSpaceDE w:val="0"/>
        <w:autoSpaceDN w:val="0"/>
        <w:spacing w:before="1" w:after="0" w:line="240" w:lineRule="auto"/>
        <w:jc w:val="both"/>
        <w:rPr>
          <w:rFonts w:ascii="Garamond" w:eastAsia="Times New Roman" w:hAnsi="Garamond" w:cs="Times New Roman"/>
          <w:sz w:val="24"/>
          <w:szCs w:val="24"/>
        </w:rPr>
      </w:pPr>
    </w:p>
    <w:p w14:paraId="702D0F15" w14:textId="77777777" w:rsidR="00CB6C86" w:rsidRPr="00395593" w:rsidRDefault="00CB6C86" w:rsidP="002C4340">
      <w:pPr>
        <w:widowControl w:val="0"/>
        <w:numPr>
          <w:ilvl w:val="0"/>
          <w:numId w:val="55"/>
        </w:numPr>
        <w:tabs>
          <w:tab w:val="left" w:pos="810"/>
        </w:tabs>
        <w:autoSpaceDE w:val="0"/>
        <w:autoSpaceDN w:val="0"/>
        <w:spacing w:after="0" w:line="240" w:lineRule="auto"/>
        <w:ind w:right="124" w:firstLine="0"/>
        <w:jc w:val="both"/>
        <w:rPr>
          <w:rFonts w:ascii="Garamond" w:eastAsia="Times New Roman" w:hAnsi="Garamond" w:cs="Times New Roman"/>
          <w:sz w:val="24"/>
        </w:rPr>
      </w:pPr>
      <w:r w:rsidRPr="00395593">
        <w:rPr>
          <w:rFonts w:ascii="Garamond" w:eastAsia="Times New Roman" w:hAnsi="Garamond" w:cs="Times New Roman"/>
          <w:sz w:val="24"/>
        </w:rPr>
        <w:t>A menos que se tenha tomado a decisão de iniciar uma investigação, as 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evitarão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toda publicidade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torno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petição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início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p>
    <w:p w14:paraId="0BA87ADD"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597E28DB" w14:textId="77777777" w:rsidR="00CB6C86" w:rsidRPr="00395593" w:rsidRDefault="00CB6C86" w:rsidP="002C4340">
      <w:pPr>
        <w:widowControl w:val="0"/>
        <w:numPr>
          <w:ilvl w:val="0"/>
          <w:numId w:val="55"/>
        </w:numPr>
        <w:tabs>
          <w:tab w:val="left" w:pos="810"/>
        </w:tabs>
        <w:autoSpaceDE w:val="0"/>
        <w:autoSpaceDN w:val="0"/>
        <w:spacing w:after="0" w:line="240" w:lineRule="auto"/>
        <w:ind w:right="116" w:firstLine="0"/>
        <w:jc w:val="both"/>
        <w:rPr>
          <w:rFonts w:ascii="Garamond" w:eastAsia="Times New Roman" w:hAnsi="Garamond" w:cs="Times New Roman"/>
          <w:sz w:val="24"/>
        </w:rPr>
      </w:pPr>
      <w:r w:rsidRPr="00395593">
        <w:rPr>
          <w:rFonts w:ascii="Garamond" w:eastAsia="Times New Roman" w:hAnsi="Garamond" w:cs="Times New Roman"/>
          <w:sz w:val="24"/>
        </w:rPr>
        <w:t>Se, em circunstâncias especiais, sem ter recebido petição por escrito preparada pela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indústria nacional, ou em seu nome, em que seja solicitado início de investigação, 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competentes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decidem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iniciar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elas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levar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adiante</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iniciativa somente se dispuserem de provas suficientes de existência de subsídio, dano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nexo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causal 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como descrito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parágrafo 2,</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justifique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 início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p>
    <w:p w14:paraId="57F238B7"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0276B88C" w14:textId="77777777" w:rsidR="00CB6C86" w:rsidRPr="00395593" w:rsidRDefault="00CB6C86" w:rsidP="002C4340">
      <w:pPr>
        <w:widowControl w:val="0"/>
        <w:numPr>
          <w:ilvl w:val="0"/>
          <w:numId w:val="55"/>
        </w:numPr>
        <w:tabs>
          <w:tab w:val="left" w:pos="810"/>
        </w:tabs>
        <w:autoSpaceDE w:val="0"/>
        <w:autoSpaceDN w:val="0"/>
        <w:spacing w:before="1"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existência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simultaneamente: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decisão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iniciar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(b)</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posteriormente, no curso da investigação, começando em data não posterior àquela em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possa iniciar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 aplicação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medidas provisórias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 com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disposto neste Acordo.</w:t>
      </w:r>
    </w:p>
    <w:p w14:paraId="1F929433"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554C2AFD" w14:textId="77777777" w:rsidR="00CB6C86" w:rsidRPr="00395593" w:rsidRDefault="00CB6C86" w:rsidP="002C4340">
      <w:pPr>
        <w:widowControl w:val="0"/>
        <w:numPr>
          <w:ilvl w:val="0"/>
          <w:numId w:val="55"/>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Nos casos em que os produtos não são importados diretamente do país de origem,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mas, ao contrário, são exportados para o Membro importador a partir de terceiro país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intermediário,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neste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integralmente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aplicável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transação,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transações, para os efeitos deste Acordo, será tida como realizada entre o país de origem e 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importador.</w:t>
      </w:r>
    </w:p>
    <w:p w14:paraId="661A212C"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13777917" w14:textId="717CA249" w:rsidR="00CB6C86" w:rsidRPr="00395593" w:rsidRDefault="00CB6C86" w:rsidP="002C4340">
      <w:pPr>
        <w:widowControl w:val="0"/>
        <w:numPr>
          <w:ilvl w:val="0"/>
          <w:numId w:val="55"/>
        </w:numPr>
        <w:tabs>
          <w:tab w:val="left" w:pos="810"/>
        </w:tabs>
        <w:autoSpaceDE w:val="0"/>
        <w:autoSpaceDN w:val="0"/>
        <w:spacing w:before="1"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petição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abrigo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1</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rejeitada,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imediatamente encerrada, tão logo as autoridades pertinentes estejam convencidas de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existem</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provas</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suficientes,</w:t>
      </w:r>
      <w:r w:rsidRPr="00395593">
        <w:rPr>
          <w:rFonts w:ascii="Garamond" w:eastAsia="Times New Roman" w:hAnsi="Garamond" w:cs="Times New Roman"/>
          <w:spacing w:val="35"/>
          <w:sz w:val="24"/>
        </w:rPr>
        <w:t xml:space="preserve"> </w:t>
      </w:r>
      <w:r w:rsidRPr="00395593">
        <w:rPr>
          <w:rFonts w:ascii="Garamond" w:eastAsia="Times New Roman" w:hAnsi="Garamond" w:cs="Times New Roman"/>
          <w:sz w:val="24"/>
        </w:rPr>
        <w:t>quer</w:t>
      </w:r>
      <w:r w:rsidRPr="00395593">
        <w:rPr>
          <w:rFonts w:ascii="Garamond" w:eastAsia="Times New Roman" w:hAnsi="Garamond" w:cs="Times New Roman"/>
          <w:spacing w:val="32"/>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32"/>
          <w:sz w:val="24"/>
        </w:rPr>
        <w:t xml:space="preserve"> </w:t>
      </w:r>
      <w:r w:rsidRPr="00395593">
        <w:rPr>
          <w:rFonts w:ascii="Garamond" w:eastAsia="Times New Roman" w:hAnsi="Garamond" w:cs="Times New Roman"/>
          <w:sz w:val="24"/>
        </w:rPr>
        <w:t>concessão</w:t>
      </w:r>
      <w:r w:rsidRPr="00395593">
        <w:rPr>
          <w:rFonts w:ascii="Garamond" w:eastAsia="Times New Roman" w:hAnsi="Garamond" w:cs="Times New Roman"/>
          <w:spacing w:val="32"/>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32"/>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quer</w:t>
      </w:r>
      <w:r w:rsidRPr="00395593">
        <w:rPr>
          <w:rFonts w:ascii="Garamond" w:eastAsia="Times New Roman" w:hAnsi="Garamond" w:cs="Times New Roman"/>
          <w:spacing w:val="32"/>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32"/>
          <w:sz w:val="24"/>
        </w:rPr>
        <w:t xml:space="preserve"> </w:t>
      </w:r>
      <w:r w:rsidRPr="00395593">
        <w:rPr>
          <w:rFonts w:ascii="Garamond" w:eastAsia="Times New Roman" w:hAnsi="Garamond" w:cs="Times New Roman"/>
          <w:sz w:val="24"/>
        </w:rPr>
        <w:t>dano</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que</w:t>
      </w:r>
    </w:p>
    <w:p w14:paraId="7A20A8D5" w14:textId="24341611" w:rsidR="00F96CD9" w:rsidRDefault="00F96CD9" w:rsidP="00F96CD9">
      <w:pPr>
        <w:pStyle w:val="PargrafodaLista"/>
        <w:rPr>
          <w:rFonts w:ascii="Garamond" w:eastAsia="Times New Roman" w:hAnsi="Garamond" w:cs="Times New Roman"/>
          <w:sz w:val="24"/>
        </w:rPr>
      </w:pPr>
    </w:p>
    <w:p w14:paraId="7D3F4D4F" w14:textId="77777777" w:rsidR="00F96CD9" w:rsidRDefault="00F96CD9" w:rsidP="00F96CD9">
      <w:pPr>
        <w:pStyle w:val="PargrafodaLista"/>
        <w:rPr>
          <w:rFonts w:ascii="Garamond" w:eastAsia="Times New Roman" w:hAnsi="Garamond" w:cs="Times New Roman"/>
          <w:sz w:val="24"/>
        </w:rPr>
      </w:pPr>
    </w:p>
    <w:p w14:paraId="349468F7" w14:textId="77777777" w:rsidR="00F96CD9" w:rsidRDefault="00F96CD9" w:rsidP="00F96CD9">
      <w:pPr>
        <w:pStyle w:val="PargrafodaLista"/>
        <w:rPr>
          <w:rFonts w:ascii="Garamond" w:eastAsia="Times New Roman" w:hAnsi="Garamond" w:cs="Times New Roman"/>
          <w:sz w:val="24"/>
        </w:rPr>
      </w:pPr>
    </w:p>
    <w:p w14:paraId="04DF9630" w14:textId="62999AA6" w:rsidR="00655FD9" w:rsidRPr="00395593" w:rsidRDefault="00CB6C86" w:rsidP="00F96CD9">
      <w:pPr>
        <w:widowControl w:val="0"/>
        <w:autoSpaceDE w:val="0"/>
        <w:autoSpaceDN w:val="0"/>
        <w:spacing w:before="10" w:after="0" w:line="240" w:lineRule="auto"/>
        <w:rPr>
          <w:rFonts w:ascii="Garamond" w:eastAsia="Times New Roman" w:hAnsi="Garamond" w:cs="Times New Roman"/>
          <w:sz w:val="20"/>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70" behindDoc="1" locked="0" layoutInCell="1" allowOverlap="1" wp14:anchorId="209A59FD" wp14:editId="1ADC8FED">
                <wp:simplePos x="0" y="0"/>
                <wp:positionH relativeFrom="page">
                  <wp:posOffset>1080770</wp:posOffset>
                </wp:positionH>
                <wp:positionV relativeFrom="paragraph">
                  <wp:posOffset>124460</wp:posOffset>
                </wp:positionV>
                <wp:extent cx="1828800" cy="7620"/>
                <wp:effectExtent l="4445" t="0" r="0" b="3810"/>
                <wp:wrapTopAndBottom/>
                <wp:docPr id="423" name="Retângulo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F075C" id="Retângulo 423" o:spid="_x0000_s1026" style="position:absolute;margin-left:85.1pt;margin-top:9.8pt;width:2in;height:.6pt;z-index:-2516582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" fillcolor="black" stroked="f">
                <w10:wrap type="topAndBottom" anchorx="page"/>
              </v:rect>
            </w:pict>
          </mc:Fallback>
        </mc:AlternateContent>
      </w:r>
      <w:r w:rsidRPr="00395593">
        <w:rPr>
          <w:rFonts w:ascii="Garamond" w:eastAsia="Times New Roman" w:hAnsi="Garamond" w:cs="Times New Roman"/>
          <w:sz w:val="20"/>
          <w:vertAlign w:val="superscript"/>
        </w:rPr>
        <w:t>38</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caso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indústrias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fragmentadas,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envolvam</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número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excepcionalmente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alto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produtores,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as</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autoridades poderão determinar o apoio ou a oposição por meio de técnicas de amostragem estatística válidas.</w:t>
      </w:r>
    </w:p>
    <w:p w14:paraId="05D72981" w14:textId="3C1ECE5D" w:rsidR="00CB6C86" w:rsidRPr="00395593" w:rsidRDefault="00CB6C86" w:rsidP="00CB6C86">
      <w:pPr>
        <w:widowControl w:val="0"/>
        <w:autoSpaceDE w:val="0"/>
        <w:autoSpaceDN w:val="0"/>
        <w:spacing w:before="103" w:after="0" w:line="240" w:lineRule="auto"/>
        <w:ind w:right="121"/>
        <w:jc w:val="both"/>
        <w:rPr>
          <w:rFonts w:ascii="Garamond" w:eastAsia="Times New Roman" w:hAnsi="Garamond" w:cs="Times New Roman"/>
          <w:sz w:val="20"/>
        </w:rPr>
      </w:pP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vertAlign w:val="superscript"/>
        </w:rPr>
        <w:t>39</w:t>
      </w:r>
      <w:r w:rsidRPr="00395593">
        <w:rPr>
          <w:rFonts w:ascii="Garamond" w:eastAsia="Times New Roman" w:hAnsi="Garamond" w:cs="Times New Roman"/>
          <w:sz w:val="20"/>
        </w:rPr>
        <w:t xml:space="preserve"> Os Membros têm consciência de que no território de determinados Membros, empregados dos produtores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nacionais do produto similar ou representantes desses empregados podem formular ou apoiar petições para 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estabelecimento de investigação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à luz do parágrafo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1.</w:t>
      </w:r>
    </w:p>
    <w:p w14:paraId="51CB49FA" w14:textId="77777777" w:rsidR="001F651C" w:rsidRDefault="001F651C">
      <w:pPr>
        <w:rPr>
          <w:rFonts w:ascii="Garamond" w:eastAsia="Times New Roman" w:hAnsi="Garamond" w:cs="Times New Roman"/>
          <w:sz w:val="24"/>
          <w:szCs w:val="24"/>
        </w:rPr>
      </w:pPr>
      <w:r>
        <w:rPr>
          <w:rFonts w:ascii="Garamond" w:eastAsia="Times New Roman" w:hAnsi="Garamond" w:cs="Times New Roman"/>
          <w:sz w:val="24"/>
          <w:szCs w:val="24"/>
        </w:rPr>
        <w:br w:type="page"/>
      </w:r>
    </w:p>
    <w:p w14:paraId="3D745087" w14:textId="6C38957A" w:rsidR="00CB6C86" w:rsidRPr="00395593" w:rsidRDefault="00CB6C86" w:rsidP="00CB6C86">
      <w:pPr>
        <w:widowControl w:val="0"/>
        <w:autoSpaceDE w:val="0"/>
        <w:autoSpaceDN w:val="0"/>
        <w:spacing w:before="68" w:after="0" w:line="240" w:lineRule="auto"/>
        <w:ind w:right="119"/>
        <w:jc w:val="both"/>
        <w:rPr>
          <w:rFonts w:ascii="Garamond" w:eastAsia="Times New Roman" w:hAnsi="Garamond" w:cs="Times New Roman"/>
          <w:sz w:val="24"/>
          <w:szCs w:val="24"/>
        </w:rPr>
      </w:pPr>
      <w:r w:rsidRPr="00395593">
        <w:rPr>
          <w:rFonts w:ascii="Garamond" w:eastAsia="Times New Roman" w:hAnsi="Garamond" w:cs="Times New Roman"/>
          <w:sz w:val="24"/>
          <w:szCs w:val="24"/>
        </w:rPr>
        <w:t>justifiquem dar andamento ao caso. Será imediatamente encerrado o caso em que o valor do</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 xml:space="preserve">subsídio seja </w:t>
      </w:r>
      <w:r w:rsidRPr="00395593">
        <w:rPr>
          <w:rFonts w:ascii="Garamond" w:eastAsia="Times New Roman" w:hAnsi="Garamond" w:cs="Times New Roman"/>
          <w:i/>
          <w:sz w:val="24"/>
          <w:szCs w:val="24"/>
        </w:rPr>
        <w:t xml:space="preserve">de minimis </w:t>
      </w:r>
      <w:r w:rsidRPr="00395593">
        <w:rPr>
          <w:rFonts w:ascii="Garamond" w:eastAsia="Times New Roman" w:hAnsi="Garamond" w:cs="Times New Roman"/>
          <w:sz w:val="24"/>
          <w:szCs w:val="24"/>
        </w:rPr>
        <w:t>ou em que o volume de importações subsidiadas, real ou potencial,</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ou</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dano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sejam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desprezíveis.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Para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finalidades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deste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parágrafo,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considerar-se-á</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i/>
          <w:sz w:val="24"/>
          <w:szCs w:val="24"/>
        </w:rPr>
        <w:t>de</w:t>
      </w:r>
      <w:r w:rsidRPr="00395593">
        <w:rPr>
          <w:rFonts w:ascii="Garamond" w:eastAsia="Times New Roman" w:hAnsi="Garamond" w:cs="Times New Roman"/>
          <w:i/>
          <w:spacing w:val="-57"/>
          <w:sz w:val="24"/>
          <w:szCs w:val="24"/>
        </w:rPr>
        <w:t xml:space="preserve"> </w:t>
      </w:r>
      <w:r w:rsidRPr="00395593">
        <w:rPr>
          <w:rFonts w:ascii="Garamond" w:eastAsia="Times New Roman" w:hAnsi="Garamond" w:cs="Times New Roman"/>
          <w:i/>
          <w:sz w:val="24"/>
          <w:szCs w:val="24"/>
        </w:rPr>
        <w:t>minimis</w:t>
      </w:r>
      <w:r w:rsidRPr="00395593">
        <w:rPr>
          <w:rFonts w:ascii="Garamond" w:eastAsia="Times New Roman" w:hAnsi="Garamond" w:cs="Times New Roman"/>
          <w:i/>
          <w:spacing w:val="-1"/>
          <w:sz w:val="24"/>
          <w:szCs w:val="24"/>
        </w:rPr>
        <w:t xml:space="preserve"> </w:t>
      </w:r>
      <w:r w:rsidRPr="00395593">
        <w:rPr>
          <w:rFonts w:ascii="Garamond" w:eastAsia="Times New Roman" w:hAnsi="Garamond" w:cs="Times New Roman"/>
          <w:sz w:val="24"/>
          <w:szCs w:val="24"/>
        </w:rPr>
        <w:t>o montante de</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subsídio inferior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1 por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cento</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i/>
          <w:sz w:val="24"/>
          <w:szCs w:val="24"/>
        </w:rPr>
        <w:t>ad valorem</w:t>
      </w:r>
      <w:r w:rsidRPr="00395593">
        <w:rPr>
          <w:rFonts w:ascii="Garamond" w:eastAsia="Times New Roman" w:hAnsi="Garamond" w:cs="Times New Roman"/>
          <w:sz w:val="24"/>
          <w:szCs w:val="24"/>
        </w:rPr>
        <w:t>.</w:t>
      </w:r>
    </w:p>
    <w:p w14:paraId="32422003"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2DD2EC2E" w14:textId="77777777" w:rsidR="00CB6C86" w:rsidRPr="00395593" w:rsidRDefault="00CB6C86" w:rsidP="002C4340">
      <w:pPr>
        <w:widowControl w:val="0"/>
        <w:numPr>
          <w:ilvl w:val="0"/>
          <w:numId w:val="55"/>
        </w:numPr>
        <w:tabs>
          <w:tab w:val="left" w:pos="870"/>
        </w:tabs>
        <w:autoSpaceDE w:val="0"/>
        <w:autoSpaceDN w:val="0"/>
        <w:spacing w:after="0" w:line="240" w:lineRule="auto"/>
        <w:ind w:left="870" w:hanging="768"/>
        <w:rPr>
          <w:rFonts w:ascii="Garamond" w:eastAsia="Times New Roman" w:hAnsi="Garamond" w:cs="Times New Roman"/>
          <w:sz w:val="24"/>
        </w:rPr>
      </w:pPr>
      <w:r w:rsidRPr="00395593">
        <w:rPr>
          <w:rFonts w:ascii="Garamond" w:eastAsia="Times New Roman" w:hAnsi="Garamond" w:cs="Times New Roman"/>
          <w:sz w:val="24"/>
        </w:rPr>
        <w:t>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será</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obstáculo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processo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desembaraço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alfandegário.</w:t>
      </w:r>
    </w:p>
    <w:p w14:paraId="0FBB796E"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262E26D6" w14:textId="77777777" w:rsidR="00CB6C86" w:rsidRPr="00395593" w:rsidRDefault="00CB6C86" w:rsidP="002C4340">
      <w:pPr>
        <w:widowControl w:val="0"/>
        <w:numPr>
          <w:ilvl w:val="0"/>
          <w:numId w:val="55"/>
        </w:numPr>
        <w:tabs>
          <w:tab w:val="left" w:pos="810"/>
        </w:tabs>
        <w:autoSpaceDE w:val="0"/>
        <w:autoSpaceDN w:val="0"/>
        <w:spacing w:after="0" w:line="240" w:lineRule="auto"/>
        <w:ind w:right="119" w:firstLine="0"/>
        <w:rPr>
          <w:rFonts w:ascii="Garamond" w:eastAsia="Times New Roman" w:hAnsi="Garamond" w:cs="Times New Roman"/>
          <w:sz w:val="24"/>
        </w:rPr>
      </w:pP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concluída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prazo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exceto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circunstâncias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especiais,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nunca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prazo superior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18 meses após seu início.</w:t>
      </w:r>
    </w:p>
    <w:p w14:paraId="5394AA38"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09531551"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4"/>
          <w:sz w:val="24"/>
          <w:szCs w:val="24"/>
        </w:rPr>
        <w:t xml:space="preserve"> </w:t>
      </w:r>
      <w:r w:rsidRPr="00395593">
        <w:rPr>
          <w:rFonts w:ascii="Garamond" w:eastAsia="Times New Roman" w:hAnsi="Garamond" w:cs="Times New Roman"/>
          <w:b/>
          <w:sz w:val="24"/>
          <w:szCs w:val="24"/>
        </w:rPr>
        <w:t>12</w:t>
      </w:r>
    </w:p>
    <w:p w14:paraId="53657846"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76C409F1" w14:textId="77777777" w:rsidR="00CB6C86" w:rsidRPr="00395593" w:rsidRDefault="00CB6C86" w:rsidP="00CB6C86">
      <w:pPr>
        <w:widowControl w:val="0"/>
        <w:autoSpaceDE w:val="0"/>
        <w:autoSpaceDN w:val="0"/>
        <w:spacing w:after="0" w:line="240" w:lineRule="auto"/>
        <w:ind w:right="144"/>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Provas</w:t>
      </w:r>
    </w:p>
    <w:p w14:paraId="59BE4DB2"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4"/>
          <w:szCs w:val="24"/>
        </w:rPr>
      </w:pPr>
    </w:p>
    <w:p w14:paraId="74B79C46" w14:textId="77777777" w:rsidR="00CB6C86" w:rsidRPr="00395593" w:rsidRDefault="00CB6C86" w:rsidP="002C4340">
      <w:pPr>
        <w:widowControl w:val="0"/>
        <w:numPr>
          <w:ilvl w:val="0"/>
          <w:numId w:val="53"/>
        </w:numPr>
        <w:tabs>
          <w:tab w:val="left" w:pos="810"/>
        </w:tabs>
        <w:autoSpaceDE w:val="0"/>
        <w:autoSpaceDN w:val="0"/>
        <w:spacing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Os Membros interessados e todas as partes interessadas numa investigação 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medidas compensatórias serão postos a par das informações requeridas pelas autoridades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ampla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oportunidade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apresentar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escrito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todas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 em</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causa.</w:t>
      </w:r>
    </w:p>
    <w:p w14:paraId="42F317E0"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02E7BC54" w14:textId="77777777" w:rsidR="00CB6C86" w:rsidRPr="00395593" w:rsidRDefault="00CB6C86" w:rsidP="002C4340">
      <w:pPr>
        <w:widowControl w:val="0"/>
        <w:numPr>
          <w:ilvl w:val="0"/>
          <w:numId w:val="53"/>
        </w:numPr>
        <w:tabs>
          <w:tab w:val="left" w:pos="689"/>
        </w:tabs>
        <w:autoSpaceDE w:val="0"/>
        <w:autoSpaceDN w:val="0"/>
        <w:spacing w:after="0" w:line="240" w:lineRule="auto"/>
        <w:ind w:left="1001" w:right="120" w:hanging="900"/>
        <w:jc w:val="both"/>
        <w:rPr>
          <w:rFonts w:ascii="Garamond" w:eastAsia="Times New Roman" w:hAnsi="Garamond" w:cs="Times New Roman"/>
          <w:sz w:val="24"/>
        </w:rPr>
      </w:pPr>
      <w:r w:rsidRPr="00395593">
        <w:rPr>
          <w:rFonts w:ascii="Garamond" w:eastAsia="Times New Roman" w:hAnsi="Garamond" w:cs="Times New Roman"/>
          <w:sz w:val="24"/>
        </w:rPr>
        <w:t>(a) Os exportadores, produtores estrangeiros ou Membros interessados que recebem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questionários relativos a uma investigação sobre medidas compensatórias terão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30</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respondê-los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40</w:t>
      </w:r>
      <w:r w:rsidRPr="00395593">
        <w:rPr>
          <w:rFonts w:ascii="Garamond" w:eastAsia="Times New Roman" w:hAnsi="Garamond" w:cs="Times New Roman"/>
          <w:sz w:val="24"/>
        </w:rPr>
        <w:t>.</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levados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pedidos de dilatação desse prazo e, com base na justificativa apresentada, essa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dilatação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deveria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ser autorizada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sempre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praticável.</w:t>
      </w:r>
    </w:p>
    <w:p w14:paraId="0F308EBA"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54E02F7E" w14:textId="77777777" w:rsidR="00CB6C86" w:rsidRPr="00395593" w:rsidRDefault="00CB6C86" w:rsidP="002C4340">
      <w:pPr>
        <w:widowControl w:val="0"/>
        <w:numPr>
          <w:ilvl w:val="0"/>
          <w:numId w:val="54"/>
        </w:numPr>
        <w:tabs>
          <w:tab w:val="left" w:pos="1069"/>
        </w:tabs>
        <w:autoSpaceDE w:val="0"/>
        <w:autoSpaceDN w:val="0"/>
        <w:spacing w:after="0" w:line="240" w:lineRule="auto"/>
        <w:ind w:left="1001" w:right="122" w:hanging="360"/>
        <w:jc w:val="both"/>
        <w:rPr>
          <w:rFonts w:ascii="Garamond" w:eastAsia="Times New Roman" w:hAnsi="Garamond" w:cs="Times New Roman"/>
          <w:sz w:val="24"/>
        </w:rPr>
      </w:pPr>
      <w:r w:rsidRPr="00395593">
        <w:rPr>
          <w:rFonts w:ascii="Garamond" w:eastAsia="Times New Roman" w:hAnsi="Garamond" w:cs="Times New Roman"/>
        </w:rPr>
        <w:tab/>
      </w:r>
      <w:r w:rsidRPr="00395593">
        <w:rPr>
          <w:rFonts w:ascii="Garamond" w:eastAsia="Times New Roman" w:hAnsi="Garamond" w:cs="Times New Roman"/>
          <w:sz w:val="24"/>
        </w:rPr>
        <w:t>Reservados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pedidos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proteção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confidencial,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apresentadas por escrito por Membro interessado ou parte interessada serão postas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imediatamente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estejam</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participando da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investigação.</w:t>
      </w:r>
    </w:p>
    <w:p w14:paraId="378ACEEA" w14:textId="77777777" w:rsidR="00CB6C86" w:rsidRPr="00395593" w:rsidRDefault="00CB6C86" w:rsidP="00655FD9">
      <w:pPr>
        <w:widowControl w:val="0"/>
        <w:autoSpaceDE w:val="0"/>
        <w:autoSpaceDN w:val="0"/>
        <w:spacing w:before="1" w:after="0" w:line="240" w:lineRule="auto"/>
        <w:jc w:val="both"/>
        <w:rPr>
          <w:rFonts w:ascii="Garamond" w:eastAsia="Times New Roman" w:hAnsi="Garamond" w:cs="Times New Roman"/>
          <w:sz w:val="24"/>
          <w:szCs w:val="24"/>
        </w:rPr>
      </w:pPr>
    </w:p>
    <w:p w14:paraId="6330AE30" w14:textId="77777777" w:rsidR="00CB6C86" w:rsidRPr="00395593" w:rsidRDefault="00CB6C86" w:rsidP="002C4340">
      <w:pPr>
        <w:widowControl w:val="0"/>
        <w:numPr>
          <w:ilvl w:val="0"/>
          <w:numId w:val="54"/>
        </w:numPr>
        <w:tabs>
          <w:tab w:val="left" w:pos="988"/>
        </w:tabs>
        <w:autoSpaceDE w:val="0"/>
        <w:autoSpaceDN w:val="0"/>
        <w:spacing w:after="0" w:line="240" w:lineRule="auto"/>
        <w:ind w:left="1001" w:right="120" w:hanging="360"/>
        <w:jc w:val="both"/>
        <w:rPr>
          <w:rFonts w:ascii="Garamond" w:eastAsia="Times New Roman" w:hAnsi="Garamond" w:cs="Times New Roman"/>
          <w:sz w:val="24"/>
        </w:rPr>
      </w:pPr>
      <w:r w:rsidRPr="00395593">
        <w:rPr>
          <w:rFonts w:ascii="Garamond" w:eastAsia="Times New Roman" w:hAnsi="Garamond" w:cs="Times New Roman"/>
          <w:sz w:val="24"/>
        </w:rPr>
        <w:t>Tão logo tenha sido iniciada uma investigação, as autoridades encaminharão aos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exportadores conhecidos </w:t>
      </w:r>
      <w:r w:rsidRPr="00395593">
        <w:rPr>
          <w:rFonts w:ascii="Garamond" w:eastAsia="Times New Roman" w:hAnsi="Garamond" w:cs="Times New Roman"/>
          <w:sz w:val="24"/>
          <w:vertAlign w:val="superscript"/>
        </w:rPr>
        <w:t>41</w:t>
      </w:r>
      <w:r w:rsidRPr="00395593">
        <w:rPr>
          <w:rFonts w:ascii="Garamond" w:eastAsia="Times New Roman" w:hAnsi="Garamond" w:cs="Times New Roman"/>
          <w:sz w:val="24"/>
        </w:rPr>
        <w:t xml:space="preserve"> e às autoridades do Membro exportador a integra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texto da petição escrita que tenham recebido ao</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abrigo do parágrafo 1 do Artigo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11 e a tornarão disponível, a pedido, para outras partes interessadas envolvidas.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levada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necessidade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proteção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confidencial,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tal</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como disposto no parágrafo 5.</w:t>
      </w:r>
    </w:p>
    <w:p w14:paraId="5D9756B4"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11E62D7B" w14:textId="1B0CAE28" w:rsidR="00CB6C86" w:rsidRPr="00395593" w:rsidRDefault="00CB6C86" w:rsidP="002C4340">
      <w:pPr>
        <w:widowControl w:val="0"/>
        <w:numPr>
          <w:ilvl w:val="0"/>
          <w:numId w:val="53"/>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também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apresentar</w:t>
      </w:r>
      <w:r w:rsidRPr="00395593">
        <w:rPr>
          <w:rFonts w:ascii="Garamond" w:eastAsia="Times New Roman" w:hAnsi="Garamond" w:cs="Times New Roman"/>
          <w:spacing w:val="31"/>
          <w:sz w:val="24"/>
        </w:rPr>
        <w:t xml:space="preserve"> </w:t>
      </w:r>
      <w:r w:rsidRPr="00395593">
        <w:rPr>
          <w:rFonts w:ascii="Garamond" w:eastAsia="Times New Roman" w:hAnsi="Garamond" w:cs="Times New Roman"/>
          <w:sz w:val="24"/>
        </w:rPr>
        <w:t>informações</w:t>
      </w:r>
      <w:r w:rsidRPr="00395593">
        <w:rPr>
          <w:rFonts w:ascii="Garamond" w:eastAsia="Times New Roman" w:hAnsi="Garamond" w:cs="Times New Roman"/>
          <w:spacing w:val="35"/>
          <w:sz w:val="24"/>
        </w:rPr>
        <w:t xml:space="preserve"> </w:t>
      </w:r>
      <w:r w:rsidRPr="00395593">
        <w:rPr>
          <w:rFonts w:ascii="Garamond" w:eastAsia="Times New Roman" w:hAnsi="Garamond" w:cs="Times New Roman"/>
          <w:sz w:val="24"/>
        </w:rPr>
        <w:t>orais,</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desde</w:t>
      </w:r>
      <w:r w:rsidRPr="00395593">
        <w:rPr>
          <w:rFonts w:ascii="Garamond" w:eastAsia="Times New Roman" w:hAnsi="Garamond" w:cs="Times New Roman"/>
          <w:spacing w:val="32"/>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3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31"/>
          <w:sz w:val="24"/>
        </w:rPr>
        <w:t xml:space="preserve"> </w:t>
      </w:r>
      <w:r w:rsidRPr="00395593">
        <w:rPr>
          <w:rFonts w:ascii="Garamond" w:eastAsia="Times New Roman" w:hAnsi="Garamond" w:cs="Times New Roman"/>
          <w:sz w:val="24"/>
        </w:rPr>
        <w:t>justifiquem.</w:t>
      </w:r>
      <w:r w:rsidRPr="00395593">
        <w:rPr>
          <w:rFonts w:ascii="Garamond" w:eastAsia="Times New Roman" w:hAnsi="Garamond" w:cs="Times New Roman"/>
          <w:spacing w:val="32"/>
          <w:sz w:val="24"/>
        </w:rPr>
        <w:t xml:space="preserve"> </w:t>
      </w:r>
      <w:r w:rsidRPr="00395593">
        <w:rPr>
          <w:rFonts w:ascii="Garamond" w:eastAsia="Times New Roman" w:hAnsi="Garamond" w:cs="Times New Roman"/>
          <w:sz w:val="24"/>
        </w:rPr>
        <w:t>Sempre</w:t>
      </w:r>
      <w:r w:rsidRPr="00395593">
        <w:rPr>
          <w:rFonts w:ascii="Garamond" w:eastAsia="Times New Roman" w:hAnsi="Garamond" w:cs="Times New Roman"/>
          <w:spacing w:val="32"/>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31"/>
          <w:sz w:val="24"/>
        </w:rPr>
        <w:t xml:space="preserve"> </w:t>
      </w:r>
      <w:r w:rsidRPr="00395593">
        <w:rPr>
          <w:rFonts w:ascii="Garamond" w:eastAsia="Times New Roman" w:hAnsi="Garamond" w:cs="Times New Roman"/>
          <w:sz w:val="24"/>
        </w:rPr>
        <w:t>uma</w:t>
      </w:r>
      <w:r w:rsidRPr="00395593">
        <w:rPr>
          <w:rFonts w:ascii="Garamond" w:eastAsia="Times New Roman" w:hAnsi="Garamond" w:cs="Times New Roman"/>
          <w:spacing w:val="31"/>
          <w:sz w:val="24"/>
        </w:rPr>
        <w:t xml:space="preserve"> </w:t>
      </w:r>
      <w:r w:rsidRPr="00395593">
        <w:rPr>
          <w:rFonts w:ascii="Garamond" w:eastAsia="Times New Roman" w:hAnsi="Garamond" w:cs="Times New Roman"/>
          <w:sz w:val="24"/>
        </w:rPr>
        <w:t>informação</w:t>
      </w:r>
      <w:r w:rsidRPr="00395593">
        <w:rPr>
          <w:rFonts w:ascii="Garamond" w:eastAsia="Times New Roman" w:hAnsi="Garamond" w:cs="Times New Roman"/>
          <w:spacing w:val="32"/>
          <w:sz w:val="24"/>
        </w:rPr>
        <w:t xml:space="preserve"> </w:t>
      </w:r>
      <w:r w:rsidRPr="00395593">
        <w:rPr>
          <w:rFonts w:ascii="Garamond" w:eastAsia="Times New Roman" w:hAnsi="Garamond" w:cs="Times New Roman"/>
          <w:sz w:val="24"/>
        </w:rPr>
        <w:t>for</w:t>
      </w:r>
    </w:p>
    <w:p w14:paraId="5081E635" w14:textId="77777777" w:rsidR="00F96CD9" w:rsidRPr="005C5CBD" w:rsidRDefault="00F96CD9" w:rsidP="00F26664">
      <w:pPr>
        <w:widowControl w:val="0"/>
        <w:numPr>
          <w:ilvl w:val="0"/>
          <w:numId w:val="53"/>
        </w:numPr>
        <w:tabs>
          <w:tab w:val="left" w:pos="810"/>
        </w:tabs>
        <w:autoSpaceDE w:val="0"/>
        <w:autoSpaceDN w:val="0"/>
        <w:spacing w:after="0" w:line="240" w:lineRule="auto"/>
        <w:ind w:right="121" w:firstLine="0"/>
        <w:jc w:val="both"/>
        <w:rPr>
          <w:rFonts w:ascii="Garamond" w:eastAsia="Times New Roman" w:hAnsi="Garamond" w:cs="Times New Roman"/>
          <w:sz w:val="24"/>
        </w:rPr>
      </w:pPr>
    </w:p>
    <w:p w14:paraId="466B8559" w14:textId="755CB110" w:rsidR="00CB6C86" w:rsidRPr="00395593" w:rsidRDefault="00CB6C86" w:rsidP="00CB6C86">
      <w:pPr>
        <w:widowControl w:val="0"/>
        <w:autoSpaceDE w:val="0"/>
        <w:autoSpaceDN w:val="0"/>
        <w:spacing w:before="1" w:after="0" w:line="240" w:lineRule="auto"/>
        <w:rPr>
          <w:rFonts w:ascii="Garamond" w:eastAsia="Times New Roman" w:hAnsi="Garamond" w:cs="Times New Roman"/>
          <w:sz w:val="23"/>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71" behindDoc="1" locked="0" layoutInCell="1" allowOverlap="1" wp14:anchorId="5C7AF5AE" wp14:editId="3E4EF012">
                <wp:simplePos x="0" y="0"/>
                <wp:positionH relativeFrom="page">
                  <wp:posOffset>1080770</wp:posOffset>
                </wp:positionH>
                <wp:positionV relativeFrom="paragraph">
                  <wp:posOffset>184150</wp:posOffset>
                </wp:positionV>
                <wp:extent cx="1828800" cy="7620"/>
                <wp:effectExtent l="4445" t="0" r="0" b="3175"/>
                <wp:wrapTopAndBottom/>
                <wp:docPr id="422" name="Retângulo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436A3" id="Retângulo 422" o:spid="_x0000_s1026" style="position:absolute;margin-left:85.1pt;margin-top:14.5pt;width:2in;height:.6pt;z-index:-2516582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AXgA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" fillcolor="black" stroked="f">
                <w10:wrap type="topAndBottom" anchorx="page"/>
              </v:rect>
            </w:pict>
          </mc:Fallback>
        </mc:AlternateContent>
      </w:r>
    </w:p>
    <w:p w14:paraId="25E793FB" w14:textId="77777777" w:rsidR="00CB6C86" w:rsidRPr="00395593" w:rsidRDefault="00CB6C86" w:rsidP="00CB6C86">
      <w:pPr>
        <w:widowControl w:val="0"/>
        <w:autoSpaceDE w:val="0"/>
        <w:autoSpaceDN w:val="0"/>
        <w:spacing w:before="103" w:after="0" w:line="240" w:lineRule="auto"/>
        <w:ind w:right="117"/>
        <w:jc w:val="both"/>
        <w:rPr>
          <w:rFonts w:ascii="Garamond" w:eastAsia="Times New Roman" w:hAnsi="Garamond" w:cs="Times New Roman"/>
          <w:sz w:val="20"/>
        </w:rPr>
      </w:pPr>
      <w:r w:rsidRPr="00395593">
        <w:rPr>
          <w:rFonts w:ascii="Garamond" w:eastAsia="Times New Roman" w:hAnsi="Garamond" w:cs="Times New Roman"/>
          <w:sz w:val="20"/>
          <w:vertAlign w:val="superscript"/>
        </w:rPr>
        <w:t>40</w:t>
      </w:r>
      <w:r w:rsidRPr="00395593">
        <w:rPr>
          <w:rFonts w:ascii="Garamond" w:eastAsia="Times New Roman" w:hAnsi="Garamond" w:cs="Times New Roman"/>
          <w:sz w:val="20"/>
        </w:rPr>
        <w:t xml:space="preserve"> Como princípio geral, a data limite para os exportadores será contada a partir da data de recebimento 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questionário que, para esse propósito, será considerado como recebido uma semana após a data em que tiver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sido enviado ao inquirido ou transmitida ao representante diplomático apropriado do Membro exportador 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caso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território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alfandegário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individual</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Membro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OMC,</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representante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oficial</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território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exportador.</w:t>
      </w:r>
    </w:p>
    <w:p w14:paraId="4024C632" w14:textId="77777777" w:rsidR="00CB6C86" w:rsidRPr="00395593" w:rsidRDefault="00CB6C86" w:rsidP="00CB6C86">
      <w:pPr>
        <w:widowControl w:val="0"/>
        <w:autoSpaceDE w:val="0"/>
        <w:autoSpaceDN w:val="0"/>
        <w:spacing w:after="0" w:line="240" w:lineRule="auto"/>
        <w:ind w:right="123"/>
        <w:jc w:val="both"/>
        <w:rPr>
          <w:rFonts w:ascii="Garamond" w:eastAsia="Times New Roman" w:hAnsi="Garamond" w:cs="Times New Roman"/>
          <w:sz w:val="20"/>
        </w:rPr>
      </w:pPr>
      <w:r w:rsidRPr="00395593">
        <w:rPr>
          <w:rFonts w:ascii="Garamond" w:eastAsia="Times New Roman" w:hAnsi="Garamond" w:cs="Times New Roman"/>
          <w:sz w:val="20"/>
          <w:vertAlign w:val="superscript"/>
        </w:rPr>
        <w:t>41</w:t>
      </w:r>
      <w:r w:rsidRPr="00395593">
        <w:rPr>
          <w:rFonts w:ascii="Garamond" w:eastAsia="Times New Roman" w:hAnsi="Garamond" w:cs="Times New Roman"/>
          <w:sz w:val="20"/>
        </w:rPr>
        <w:t xml:space="preserve"> Fica entendido que, quando o número de exportadores envolvidos</w:t>
      </w:r>
      <w:r w:rsidRPr="00395593">
        <w:rPr>
          <w:rFonts w:ascii="Garamond" w:eastAsia="Times New Roman" w:hAnsi="Garamond" w:cs="Times New Roman"/>
          <w:spacing w:val="50"/>
          <w:sz w:val="20"/>
        </w:rPr>
        <w:t xml:space="preserve"> </w:t>
      </w:r>
      <w:r w:rsidRPr="00395593">
        <w:rPr>
          <w:rFonts w:ascii="Garamond" w:eastAsia="Times New Roman" w:hAnsi="Garamond" w:cs="Times New Roman"/>
          <w:sz w:val="20"/>
        </w:rPr>
        <w:t>for particularmente alto, a íntegra 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texto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petição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deverá</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fornecida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apenas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às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autoridades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Membro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exportador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às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associações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comerciais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pertinentes, as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quais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distribuirão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cópias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aos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exportadores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envolvidos.</w:t>
      </w:r>
    </w:p>
    <w:p w14:paraId="7A43F319" w14:textId="77777777" w:rsidR="001F651C" w:rsidRDefault="001F651C">
      <w:pPr>
        <w:rPr>
          <w:rFonts w:ascii="Garamond" w:eastAsia="Times New Roman" w:hAnsi="Garamond" w:cs="Times New Roman"/>
          <w:sz w:val="24"/>
          <w:szCs w:val="24"/>
        </w:rPr>
      </w:pPr>
      <w:r>
        <w:rPr>
          <w:rFonts w:ascii="Garamond" w:eastAsia="Times New Roman" w:hAnsi="Garamond" w:cs="Times New Roman"/>
          <w:sz w:val="24"/>
          <w:szCs w:val="24"/>
        </w:rPr>
        <w:br w:type="page"/>
      </w:r>
    </w:p>
    <w:p w14:paraId="33B3C45B" w14:textId="277623B1" w:rsidR="00CB6C86" w:rsidRPr="00395593" w:rsidRDefault="00CB6C86" w:rsidP="00CB6C86">
      <w:pPr>
        <w:widowControl w:val="0"/>
        <w:autoSpaceDE w:val="0"/>
        <w:autoSpaceDN w:val="0"/>
        <w:spacing w:before="68" w:after="0" w:line="240" w:lineRule="auto"/>
        <w:ind w:right="120"/>
        <w:jc w:val="both"/>
        <w:rPr>
          <w:rFonts w:ascii="Garamond" w:eastAsia="Times New Roman" w:hAnsi="Garamond" w:cs="Times New Roman"/>
          <w:sz w:val="24"/>
          <w:szCs w:val="24"/>
        </w:rPr>
      </w:pPr>
      <w:r w:rsidRPr="00395593">
        <w:rPr>
          <w:rFonts w:ascii="Garamond" w:eastAsia="Times New Roman" w:hAnsi="Garamond" w:cs="Times New Roman"/>
          <w:sz w:val="24"/>
          <w:szCs w:val="24"/>
        </w:rPr>
        <w:t>apresentada oralmente, será em seguida requerido aos Membros interessados e às partes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interessadas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que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reduzam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tal</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apresentação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à</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forma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escrita.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Qualquer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decisão</w:t>
      </w:r>
      <w:r w:rsidRPr="00395593">
        <w:rPr>
          <w:rFonts w:ascii="Garamond" w:eastAsia="Times New Roman" w:hAnsi="Garamond" w:cs="Times New Roman"/>
          <w:spacing w:val="60"/>
          <w:sz w:val="24"/>
          <w:szCs w:val="24"/>
        </w:rPr>
        <w:t xml:space="preserve"> </w:t>
      </w:r>
      <w:r w:rsidRPr="00395593">
        <w:rPr>
          <w:rFonts w:ascii="Garamond" w:eastAsia="Times New Roman" w:hAnsi="Garamond" w:cs="Times New Roman"/>
          <w:sz w:val="24"/>
          <w:szCs w:val="24"/>
        </w:rPr>
        <w:t>das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autoridades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investigadoras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será</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tomada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exclusivamente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com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base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informações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argumentos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constantes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sua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documentação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escrita,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posta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à</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disposição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Membros</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interessados e das partes interessadas que participem da investigação, não se perdendo 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vista</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necessidade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salvaguardar informação</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confidencial.</w:t>
      </w:r>
    </w:p>
    <w:p w14:paraId="1280A13E"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6BB67441" w14:textId="77777777" w:rsidR="00CB6C86" w:rsidRPr="00395593" w:rsidRDefault="00CB6C86" w:rsidP="002C4340">
      <w:pPr>
        <w:widowControl w:val="0"/>
        <w:numPr>
          <w:ilvl w:val="0"/>
          <w:numId w:val="53"/>
        </w:numPr>
        <w:tabs>
          <w:tab w:val="left" w:pos="810"/>
        </w:tabs>
        <w:autoSpaceDE w:val="0"/>
        <w:autoSpaceDN w:val="0"/>
        <w:spacing w:after="0" w:line="240" w:lineRule="auto"/>
        <w:ind w:right="116" w:firstLine="0"/>
        <w:jc w:val="both"/>
        <w:rPr>
          <w:rFonts w:ascii="Garamond" w:eastAsia="Times New Roman" w:hAnsi="Garamond" w:cs="Times New Roman"/>
          <w:sz w:val="24"/>
        </w:rPr>
      </w:pPr>
      <w:r w:rsidRPr="00395593">
        <w:rPr>
          <w:rFonts w:ascii="Garamond" w:eastAsia="Times New Roman" w:hAnsi="Garamond" w:cs="Times New Roman"/>
          <w:sz w:val="24"/>
        </w:rPr>
        <w:t>Sempre que praticável, as autoridades propiciarão, atempadamente, oportunidade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 que os Membros interessados e as partes interessadas examinem toda informação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pertinente à apresentação de seus casos, desde que não seja confidencial, conforme definido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5,</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utilizada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medidas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compensatórias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 com base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nela, preparem suas apresentações.</w:t>
      </w:r>
    </w:p>
    <w:p w14:paraId="5196CC4F" w14:textId="77777777" w:rsidR="00CB6C86" w:rsidRPr="00395593" w:rsidRDefault="00CB6C86" w:rsidP="00655FD9">
      <w:pPr>
        <w:widowControl w:val="0"/>
        <w:autoSpaceDE w:val="0"/>
        <w:autoSpaceDN w:val="0"/>
        <w:spacing w:before="1" w:after="0" w:line="240" w:lineRule="auto"/>
        <w:jc w:val="both"/>
        <w:rPr>
          <w:rFonts w:ascii="Garamond" w:eastAsia="Times New Roman" w:hAnsi="Garamond" w:cs="Times New Roman"/>
          <w:sz w:val="24"/>
          <w:szCs w:val="24"/>
        </w:rPr>
      </w:pPr>
    </w:p>
    <w:p w14:paraId="2128E5B7" w14:textId="77777777" w:rsidR="00CB6C86" w:rsidRPr="00395593" w:rsidRDefault="00CB6C86" w:rsidP="002C4340">
      <w:pPr>
        <w:widowControl w:val="0"/>
        <w:numPr>
          <w:ilvl w:val="0"/>
          <w:numId w:val="53"/>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Qualquer informação que, por sua natureza, seja confidencial (por exemplo, aquela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cuja revelação daria significativa vantagem a um competidor ou causaria grave dano àquele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que a forneceu ou àquele de quem o informante a obteve) ou que seja fornecida sob sigilo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pelas</w:t>
      </w:r>
      <w:r w:rsidRPr="00395593">
        <w:rPr>
          <w:rFonts w:ascii="Garamond" w:eastAsia="Times New Roman" w:hAnsi="Garamond" w:cs="Times New Roman"/>
          <w:spacing w:val="51"/>
          <w:sz w:val="24"/>
        </w:rPr>
        <w:t xml:space="preserve"> </w:t>
      </w:r>
      <w:r w:rsidRPr="00395593">
        <w:rPr>
          <w:rFonts w:ascii="Garamond" w:eastAsia="Times New Roman" w:hAnsi="Garamond" w:cs="Times New Roman"/>
          <w:sz w:val="24"/>
        </w:rPr>
        <w:t>partes</w:t>
      </w:r>
      <w:r w:rsidRPr="00395593">
        <w:rPr>
          <w:rFonts w:ascii="Garamond" w:eastAsia="Times New Roman" w:hAnsi="Garamond" w:cs="Times New Roman"/>
          <w:spacing w:val="5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50"/>
          <w:sz w:val="24"/>
        </w:rPr>
        <w:t xml:space="preserve"> </w:t>
      </w:r>
      <w:r w:rsidRPr="00395593">
        <w:rPr>
          <w:rFonts w:ascii="Garamond" w:eastAsia="Times New Roman" w:hAnsi="Garamond" w:cs="Times New Roman"/>
          <w:sz w:val="24"/>
        </w:rPr>
        <w:t>uma</w:t>
      </w:r>
      <w:r w:rsidRPr="00395593">
        <w:rPr>
          <w:rFonts w:ascii="Garamond" w:eastAsia="Times New Roman" w:hAnsi="Garamond" w:cs="Times New Roman"/>
          <w:spacing w:val="52"/>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51"/>
          <w:sz w:val="24"/>
        </w:rPr>
        <w:t xml:space="preserve"> </w:t>
      </w:r>
      <w:r w:rsidRPr="00395593">
        <w:rPr>
          <w:rFonts w:ascii="Garamond" w:eastAsia="Times New Roman" w:hAnsi="Garamond" w:cs="Times New Roman"/>
          <w:sz w:val="24"/>
        </w:rPr>
        <w:t>deverá,</w:t>
      </w:r>
      <w:r w:rsidRPr="00395593">
        <w:rPr>
          <w:rFonts w:ascii="Garamond" w:eastAsia="Times New Roman" w:hAnsi="Garamond" w:cs="Times New Roman"/>
          <w:spacing w:val="51"/>
          <w:sz w:val="24"/>
        </w:rPr>
        <w:t xml:space="preserve"> </w:t>
      </w:r>
      <w:r w:rsidRPr="00395593">
        <w:rPr>
          <w:rFonts w:ascii="Garamond" w:eastAsia="Times New Roman" w:hAnsi="Garamond" w:cs="Times New Roman"/>
          <w:sz w:val="24"/>
        </w:rPr>
        <w:t>desde</w:t>
      </w:r>
      <w:r w:rsidRPr="00395593">
        <w:rPr>
          <w:rFonts w:ascii="Garamond" w:eastAsia="Times New Roman" w:hAnsi="Garamond" w:cs="Times New Roman"/>
          <w:spacing w:val="50"/>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51"/>
          <w:sz w:val="24"/>
        </w:rPr>
        <w:t xml:space="preserve"> </w:t>
      </w:r>
      <w:r w:rsidRPr="00395593">
        <w:rPr>
          <w:rFonts w:ascii="Garamond" w:eastAsia="Times New Roman" w:hAnsi="Garamond" w:cs="Times New Roman"/>
          <w:sz w:val="24"/>
        </w:rPr>
        <w:t>plenamente</w:t>
      </w:r>
      <w:r w:rsidRPr="00395593">
        <w:rPr>
          <w:rFonts w:ascii="Garamond" w:eastAsia="Times New Roman" w:hAnsi="Garamond" w:cs="Times New Roman"/>
          <w:spacing w:val="51"/>
          <w:sz w:val="24"/>
        </w:rPr>
        <w:t xml:space="preserve"> </w:t>
      </w:r>
      <w:r w:rsidRPr="00395593">
        <w:rPr>
          <w:rFonts w:ascii="Garamond" w:eastAsia="Times New Roman" w:hAnsi="Garamond" w:cs="Times New Roman"/>
          <w:sz w:val="24"/>
        </w:rPr>
        <w:t>justificada,</w:t>
      </w:r>
      <w:r w:rsidRPr="00395593">
        <w:rPr>
          <w:rFonts w:ascii="Garamond" w:eastAsia="Times New Roman" w:hAnsi="Garamond" w:cs="Times New Roman"/>
          <w:spacing w:val="5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50"/>
          <w:sz w:val="24"/>
        </w:rPr>
        <w:t xml:space="preserve"> </w:t>
      </w:r>
      <w:r w:rsidRPr="00395593">
        <w:rPr>
          <w:rFonts w:ascii="Garamond" w:eastAsia="Times New Roman" w:hAnsi="Garamond" w:cs="Times New Roman"/>
          <w:sz w:val="24"/>
        </w:rPr>
        <w:t>tratada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como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revelada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autorização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específica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parte</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forneceu</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vertAlign w:val="superscript"/>
        </w:rPr>
        <w:t>42</w:t>
      </w:r>
      <w:r w:rsidRPr="00395593">
        <w:rPr>
          <w:rFonts w:ascii="Garamond" w:eastAsia="Times New Roman" w:hAnsi="Garamond" w:cs="Times New Roman"/>
          <w:sz w:val="24"/>
        </w:rPr>
        <w:t>.</w:t>
      </w:r>
    </w:p>
    <w:p w14:paraId="3901705A"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0740027E" w14:textId="77777777" w:rsidR="00CB6C86" w:rsidRPr="00395593" w:rsidRDefault="00CB6C86" w:rsidP="002C4340">
      <w:pPr>
        <w:widowControl w:val="0"/>
        <w:numPr>
          <w:ilvl w:val="0"/>
          <w:numId w:val="53"/>
        </w:numPr>
        <w:tabs>
          <w:tab w:val="left" w:pos="773"/>
        </w:tabs>
        <w:autoSpaceDE w:val="0"/>
        <w:autoSpaceDN w:val="0"/>
        <w:spacing w:after="0" w:line="240" w:lineRule="auto"/>
        <w:ind w:left="1542" w:right="116" w:hanging="1440"/>
        <w:jc w:val="both"/>
        <w:rPr>
          <w:rFonts w:ascii="Garamond" w:eastAsia="Times New Roman" w:hAnsi="Garamond" w:cs="Times New Roman"/>
          <w:sz w:val="24"/>
        </w:rPr>
      </w:pP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 autoridades requererão àqueles Membros interessados ou àquelas partes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interessadas que forneçam informação confidencial que apresentem resumos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ostensivos das mesmas. Tais resumos serão suficientemente pormenorizados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de forma a permitir entendimento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razoável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substância da informação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fornecida sob sigilo. Em circunstâncias excepcionais, os Membros ou partes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indicar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resumidas.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tais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circunstâncias excepcionais, será apresentada declaração dos motivos pelos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 resumo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 é</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possível.</w:t>
      </w:r>
    </w:p>
    <w:p w14:paraId="3DAC4E6D" w14:textId="77777777" w:rsidR="00CB6C86" w:rsidRPr="00395593" w:rsidRDefault="00CB6C86" w:rsidP="00655FD9">
      <w:pPr>
        <w:widowControl w:val="0"/>
        <w:autoSpaceDE w:val="0"/>
        <w:autoSpaceDN w:val="0"/>
        <w:spacing w:before="1" w:after="0" w:line="240" w:lineRule="auto"/>
        <w:jc w:val="both"/>
        <w:rPr>
          <w:rFonts w:ascii="Garamond" w:eastAsia="Times New Roman" w:hAnsi="Garamond" w:cs="Times New Roman"/>
          <w:sz w:val="24"/>
          <w:szCs w:val="24"/>
        </w:rPr>
      </w:pPr>
    </w:p>
    <w:p w14:paraId="16497D59" w14:textId="77777777" w:rsidR="00CB6C86" w:rsidRPr="00395593" w:rsidRDefault="00CB6C86" w:rsidP="00655FD9">
      <w:pPr>
        <w:widowControl w:val="0"/>
        <w:autoSpaceDE w:val="0"/>
        <w:autoSpaceDN w:val="0"/>
        <w:spacing w:after="0" w:line="240" w:lineRule="auto"/>
        <w:ind w:right="119"/>
        <w:jc w:val="both"/>
        <w:rPr>
          <w:rFonts w:ascii="Garamond" w:eastAsia="Times New Roman" w:hAnsi="Garamond" w:cs="Times New Roman"/>
          <w:sz w:val="24"/>
          <w:szCs w:val="24"/>
        </w:rPr>
      </w:pPr>
      <w:r w:rsidRPr="00395593">
        <w:rPr>
          <w:rFonts w:ascii="Garamond" w:eastAsia="Times New Roman" w:hAnsi="Garamond" w:cs="Times New Roman"/>
          <w:sz w:val="24"/>
          <w:szCs w:val="24"/>
        </w:rPr>
        <w:t>(b)</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Se as autoridades considerarem insuficientemente justificado o pedido 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confidencialidade e se o fornecedor da informação não se dispuser nem 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revelá-la, nem a autorizar sua revelação sob forma original ou resumida, 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autoridades poderão desconsiderar tal informação, a menos que se possa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demonstrar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satisfatoriamente,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por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meio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fontes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adequadas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que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tal</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informação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é</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 xml:space="preserve">correta </w:t>
      </w:r>
      <w:r w:rsidRPr="00395593">
        <w:rPr>
          <w:rFonts w:ascii="Garamond" w:eastAsia="Times New Roman" w:hAnsi="Garamond" w:cs="Times New Roman"/>
          <w:sz w:val="24"/>
          <w:szCs w:val="24"/>
          <w:vertAlign w:val="superscript"/>
        </w:rPr>
        <w:t>43</w:t>
      </w:r>
      <w:r w:rsidRPr="00395593">
        <w:rPr>
          <w:rFonts w:ascii="Garamond" w:eastAsia="Times New Roman" w:hAnsi="Garamond" w:cs="Times New Roman"/>
          <w:sz w:val="24"/>
          <w:szCs w:val="24"/>
        </w:rPr>
        <w:t>.</w:t>
      </w:r>
    </w:p>
    <w:p w14:paraId="1C5A7954"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55ED559E" w14:textId="77777777" w:rsidR="00CB6C86" w:rsidRPr="00395593" w:rsidRDefault="00CB6C86" w:rsidP="002C4340">
      <w:pPr>
        <w:widowControl w:val="0"/>
        <w:numPr>
          <w:ilvl w:val="0"/>
          <w:numId w:val="53"/>
        </w:numPr>
        <w:tabs>
          <w:tab w:val="left" w:pos="810"/>
        </w:tabs>
        <w:autoSpaceDE w:val="0"/>
        <w:autoSpaceDN w:val="0"/>
        <w:spacing w:after="0" w:line="240" w:lineRule="auto"/>
        <w:ind w:right="124" w:firstLine="0"/>
        <w:jc w:val="both"/>
        <w:rPr>
          <w:rFonts w:ascii="Garamond" w:eastAsia="Times New Roman" w:hAnsi="Garamond" w:cs="Times New Roman"/>
          <w:sz w:val="24"/>
        </w:rPr>
      </w:pPr>
      <w:r w:rsidRPr="00395593">
        <w:rPr>
          <w:rFonts w:ascii="Garamond" w:eastAsia="Times New Roman" w:hAnsi="Garamond" w:cs="Times New Roman"/>
          <w:sz w:val="24"/>
        </w:rPr>
        <w:t>Exceto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circunstâncias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previstas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9,</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curso da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certificar-se-ão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exatidão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apresentadas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interessados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pelas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partes interessadas sobre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as quais basearão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suas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conclusões.</w:t>
      </w:r>
    </w:p>
    <w:p w14:paraId="0CFA80E4"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012F734A"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146683CD" w14:textId="2D97EBD6"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383F4377" w14:textId="36AAF4CC" w:rsidR="00F96CD9" w:rsidRDefault="00F96CD9" w:rsidP="00E33E26">
      <w:pPr>
        <w:widowControl w:val="0"/>
        <w:autoSpaceDE w:val="0"/>
        <w:autoSpaceDN w:val="0"/>
        <w:spacing w:after="0" w:line="240" w:lineRule="auto"/>
        <w:rPr>
          <w:rFonts w:ascii="Garamond" w:eastAsia="Times New Roman" w:hAnsi="Garamond" w:cs="Times New Roman"/>
          <w:sz w:val="20"/>
          <w:szCs w:val="24"/>
        </w:rPr>
      </w:pPr>
    </w:p>
    <w:p w14:paraId="577E0994" w14:textId="373E09DE" w:rsidR="00F96CD9" w:rsidRDefault="00F96CD9" w:rsidP="00E33E26">
      <w:pPr>
        <w:widowControl w:val="0"/>
        <w:autoSpaceDE w:val="0"/>
        <w:autoSpaceDN w:val="0"/>
        <w:spacing w:after="0" w:line="240" w:lineRule="auto"/>
        <w:rPr>
          <w:rFonts w:ascii="Garamond" w:eastAsia="Times New Roman" w:hAnsi="Garamond" w:cs="Times New Roman"/>
          <w:sz w:val="20"/>
          <w:szCs w:val="24"/>
        </w:rPr>
      </w:pPr>
    </w:p>
    <w:p w14:paraId="620D533A" w14:textId="157B43B4" w:rsidR="00F96CD9" w:rsidRDefault="00F96CD9" w:rsidP="00E33E26">
      <w:pPr>
        <w:widowControl w:val="0"/>
        <w:autoSpaceDE w:val="0"/>
        <w:autoSpaceDN w:val="0"/>
        <w:spacing w:after="0" w:line="240" w:lineRule="auto"/>
        <w:rPr>
          <w:rFonts w:ascii="Garamond" w:eastAsia="Times New Roman" w:hAnsi="Garamond" w:cs="Times New Roman"/>
          <w:sz w:val="20"/>
          <w:szCs w:val="24"/>
        </w:rPr>
      </w:pPr>
    </w:p>
    <w:p w14:paraId="34E1072A" w14:textId="77777777" w:rsidR="00F96CD9" w:rsidRPr="005C5CBD" w:rsidRDefault="00F96CD9" w:rsidP="00E33E26">
      <w:pPr>
        <w:widowControl w:val="0"/>
        <w:autoSpaceDE w:val="0"/>
        <w:autoSpaceDN w:val="0"/>
        <w:spacing w:after="0" w:line="240" w:lineRule="auto"/>
        <w:rPr>
          <w:rFonts w:ascii="Garamond" w:eastAsia="Times New Roman" w:hAnsi="Garamond" w:cs="Times New Roman"/>
          <w:sz w:val="20"/>
          <w:szCs w:val="24"/>
        </w:rPr>
      </w:pPr>
    </w:p>
    <w:p w14:paraId="3BDAFF81" w14:textId="6FE248B4" w:rsidR="00CB6C86" w:rsidRPr="00395593" w:rsidRDefault="00CB6C86" w:rsidP="00CB6C86">
      <w:pPr>
        <w:widowControl w:val="0"/>
        <w:autoSpaceDE w:val="0"/>
        <w:autoSpaceDN w:val="0"/>
        <w:spacing w:after="0" w:line="240" w:lineRule="auto"/>
        <w:rPr>
          <w:rFonts w:ascii="Garamond" w:eastAsia="Times New Roman" w:hAnsi="Garamond" w:cs="Times New Roman"/>
          <w:sz w:val="23"/>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72" behindDoc="1" locked="0" layoutInCell="1" allowOverlap="1" wp14:anchorId="74300BF2" wp14:editId="3CFDCE5B">
                <wp:simplePos x="0" y="0"/>
                <wp:positionH relativeFrom="page">
                  <wp:posOffset>1080770</wp:posOffset>
                </wp:positionH>
                <wp:positionV relativeFrom="paragraph">
                  <wp:posOffset>183515</wp:posOffset>
                </wp:positionV>
                <wp:extent cx="1828800" cy="7620"/>
                <wp:effectExtent l="4445" t="0" r="0" b="3810"/>
                <wp:wrapTopAndBottom/>
                <wp:docPr id="421" name="Retângulo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8A46B" id="Retângulo 421" o:spid="_x0000_s1026" style="position:absolute;margin-left:85.1pt;margin-top:14.45pt;width:2in;height:.6pt;z-index:-25165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" fillcolor="black" stroked="f">
                <w10:wrap type="topAndBottom" anchorx="page"/>
              </v:rect>
            </w:pict>
          </mc:Fallback>
        </mc:AlternateContent>
      </w:r>
    </w:p>
    <w:p w14:paraId="5B88C766" w14:textId="77777777" w:rsidR="00CB6C86" w:rsidRPr="00395593" w:rsidRDefault="00CB6C86" w:rsidP="00CB6C86">
      <w:pPr>
        <w:widowControl w:val="0"/>
        <w:autoSpaceDE w:val="0"/>
        <w:autoSpaceDN w:val="0"/>
        <w:spacing w:before="103" w:after="0" w:line="240" w:lineRule="auto"/>
        <w:rPr>
          <w:rFonts w:ascii="Garamond" w:eastAsia="Times New Roman" w:hAnsi="Garamond" w:cs="Times New Roman"/>
          <w:sz w:val="20"/>
        </w:rPr>
      </w:pPr>
      <w:r w:rsidRPr="00395593">
        <w:rPr>
          <w:rFonts w:ascii="Garamond" w:eastAsia="Times New Roman" w:hAnsi="Garamond" w:cs="Times New Roman"/>
          <w:sz w:val="20"/>
          <w:vertAlign w:val="superscript"/>
        </w:rPr>
        <w:t>42</w:t>
      </w:r>
      <w:r w:rsidRPr="00395593">
        <w:rPr>
          <w:rFonts w:ascii="Garamond" w:eastAsia="Times New Roman" w:hAnsi="Garamond" w:cs="Times New Roman"/>
          <w:spacing w:val="10"/>
          <w:sz w:val="20"/>
        </w:rPr>
        <w:t xml:space="preserve"> </w:t>
      </w:r>
      <w:r w:rsidRPr="00395593">
        <w:rPr>
          <w:rFonts w:ascii="Garamond" w:eastAsia="Times New Roman" w:hAnsi="Garamond" w:cs="Times New Roman"/>
          <w:sz w:val="20"/>
        </w:rPr>
        <w:t>Os</w:t>
      </w:r>
      <w:r w:rsidRPr="00395593">
        <w:rPr>
          <w:rFonts w:ascii="Garamond" w:eastAsia="Times New Roman" w:hAnsi="Garamond" w:cs="Times New Roman"/>
          <w:spacing w:val="12"/>
          <w:sz w:val="20"/>
        </w:rPr>
        <w:t xml:space="preserve"> </w:t>
      </w:r>
      <w:r w:rsidRPr="00395593">
        <w:rPr>
          <w:rFonts w:ascii="Garamond" w:eastAsia="Times New Roman" w:hAnsi="Garamond" w:cs="Times New Roman"/>
          <w:sz w:val="20"/>
        </w:rPr>
        <w:t>Membros</w:t>
      </w:r>
      <w:r w:rsidRPr="00395593">
        <w:rPr>
          <w:rFonts w:ascii="Garamond" w:eastAsia="Times New Roman" w:hAnsi="Garamond" w:cs="Times New Roman"/>
          <w:spacing w:val="9"/>
          <w:sz w:val="20"/>
        </w:rPr>
        <w:t xml:space="preserve"> </w:t>
      </w:r>
      <w:r w:rsidRPr="00395593">
        <w:rPr>
          <w:rFonts w:ascii="Garamond" w:eastAsia="Times New Roman" w:hAnsi="Garamond" w:cs="Times New Roman"/>
          <w:sz w:val="20"/>
        </w:rPr>
        <w:t>têm</w:t>
      </w:r>
      <w:r w:rsidRPr="00395593">
        <w:rPr>
          <w:rFonts w:ascii="Garamond" w:eastAsia="Times New Roman" w:hAnsi="Garamond" w:cs="Times New Roman"/>
          <w:spacing w:val="8"/>
          <w:sz w:val="20"/>
        </w:rPr>
        <w:t xml:space="preserve"> </w:t>
      </w:r>
      <w:r w:rsidRPr="00395593">
        <w:rPr>
          <w:rFonts w:ascii="Garamond" w:eastAsia="Times New Roman" w:hAnsi="Garamond" w:cs="Times New Roman"/>
          <w:sz w:val="20"/>
        </w:rPr>
        <w:t>consciência</w:t>
      </w:r>
      <w:r w:rsidRPr="00395593">
        <w:rPr>
          <w:rFonts w:ascii="Garamond" w:eastAsia="Times New Roman" w:hAnsi="Garamond" w:cs="Times New Roman"/>
          <w:spacing w:val="10"/>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1"/>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13"/>
          <w:sz w:val="20"/>
        </w:rPr>
        <w:t xml:space="preserve"> </w:t>
      </w:r>
      <w:r w:rsidRPr="00395593">
        <w:rPr>
          <w:rFonts w:ascii="Garamond" w:eastAsia="Times New Roman" w:hAnsi="Garamond" w:cs="Times New Roman"/>
          <w:sz w:val="20"/>
        </w:rPr>
        <w:t>no</w:t>
      </w:r>
      <w:r w:rsidRPr="00395593">
        <w:rPr>
          <w:rFonts w:ascii="Garamond" w:eastAsia="Times New Roman" w:hAnsi="Garamond" w:cs="Times New Roman"/>
          <w:spacing w:val="11"/>
          <w:sz w:val="20"/>
        </w:rPr>
        <w:t xml:space="preserve"> </w:t>
      </w:r>
      <w:r w:rsidRPr="00395593">
        <w:rPr>
          <w:rFonts w:ascii="Garamond" w:eastAsia="Times New Roman" w:hAnsi="Garamond" w:cs="Times New Roman"/>
          <w:sz w:val="20"/>
        </w:rPr>
        <w:t>território</w:t>
      </w:r>
      <w:r w:rsidRPr="00395593">
        <w:rPr>
          <w:rFonts w:ascii="Garamond" w:eastAsia="Times New Roman" w:hAnsi="Garamond" w:cs="Times New Roman"/>
          <w:spacing w:val="10"/>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0"/>
          <w:sz w:val="20"/>
        </w:rPr>
        <w:t xml:space="preserve"> </w:t>
      </w:r>
      <w:r w:rsidRPr="00395593">
        <w:rPr>
          <w:rFonts w:ascii="Garamond" w:eastAsia="Times New Roman" w:hAnsi="Garamond" w:cs="Times New Roman"/>
          <w:sz w:val="20"/>
        </w:rPr>
        <w:t>alguns</w:t>
      </w:r>
      <w:r w:rsidRPr="00395593">
        <w:rPr>
          <w:rFonts w:ascii="Garamond" w:eastAsia="Times New Roman" w:hAnsi="Garamond" w:cs="Times New Roman"/>
          <w:spacing w:val="11"/>
          <w:sz w:val="20"/>
        </w:rPr>
        <w:t xml:space="preserve"> </w:t>
      </w:r>
      <w:r w:rsidRPr="00395593">
        <w:rPr>
          <w:rFonts w:ascii="Garamond" w:eastAsia="Times New Roman" w:hAnsi="Garamond" w:cs="Times New Roman"/>
          <w:sz w:val="20"/>
        </w:rPr>
        <w:t>Membros,</w:t>
      </w:r>
      <w:r w:rsidRPr="00395593">
        <w:rPr>
          <w:rFonts w:ascii="Garamond" w:eastAsia="Times New Roman" w:hAnsi="Garamond" w:cs="Times New Roman"/>
          <w:spacing w:val="10"/>
          <w:sz w:val="20"/>
        </w:rPr>
        <w:t xml:space="preserve"> </w:t>
      </w:r>
      <w:r w:rsidRPr="00395593">
        <w:rPr>
          <w:rFonts w:ascii="Garamond" w:eastAsia="Times New Roman" w:hAnsi="Garamond" w:cs="Times New Roman"/>
          <w:sz w:val="20"/>
        </w:rPr>
        <w:t>poderá</w:t>
      </w:r>
      <w:r w:rsidRPr="00395593">
        <w:rPr>
          <w:rFonts w:ascii="Garamond" w:eastAsia="Times New Roman" w:hAnsi="Garamond" w:cs="Times New Roman"/>
          <w:spacing w:val="10"/>
          <w:sz w:val="20"/>
        </w:rPr>
        <w:t xml:space="preserve"> </w:t>
      </w:r>
      <w:r w:rsidRPr="00395593">
        <w:rPr>
          <w:rFonts w:ascii="Garamond" w:eastAsia="Times New Roman" w:hAnsi="Garamond" w:cs="Times New Roman"/>
          <w:sz w:val="20"/>
        </w:rPr>
        <w:t>ser</w:t>
      </w:r>
      <w:r w:rsidRPr="00395593">
        <w:rPr>
          <w:rFonts w:ascii="Garamond" w:eastAsia="Times New Roman" w:hAnsi="Garamond" w:cs="Times New Roman"/>
          <w:spacing w:val="14"/>
          <w:sz w:val="20"/>
        </w:rPr>
        <w:t xml:space="preserve"> </w:t>
      </w:r>
      <w:r w:rsidRPr="00395593">
        <w:rPr>
          <w:rFonts w:ascii="Garamond" w:eastAsia="Times New Roman" w:hAnsi="Garamond" w:cs="Times New Roman"/>
          <w:sz w:val="20"/>
        </w:rPr>
        <w:t>necessário</w:t>
      </w:r>
      <w:r w:rsidRPr="00395593">
        <w:rPr>
          <w:rFonts w:ascii="Garamond" w:eastAsia="Times New Roman" w:hAnsi="Garamond" w:cs="Times New Roman"/>
          <w:spacing w:val="10"/>
          <w:sz w:val="20"/>
        </w:rPr>
        <w:t xml:space="preserve"> </w:t>
      </w:r>
      <w:r w:rsidRPr="00395593">
        <w:rPr>
          <w:rFonts w:ascii="Garamond" w:eastAsia="Times New Roman" w:hAnsi="Garamond" w:cs="Times New Roman"/>
          <w:sz w:val="20"/>
        </w:rPr>
        <w:t>revelar</w:t>
      </w:r>
      <w:r w:rsidRPr="00395593">
        <w:rPr>
          <w:rFonts w:ascii="Garamond" w:eastAsia="Times New Roman" w:hAnsi="Garamond" w:cs="Times New Roman"/>
          <w:spacing w:val="25"/>
          <w:sz w:val="20"/>
        </w:rPr>
        <w:t xml:space="preserve"> </w:t>
      </w:r>
      <w:r w:rsidRPr="00395593">
        <w:rPr>
          <w:rFonts w:ascii="Garamond" w:eastAsia="Times New Roman" w:hAnsi="Garamond" w:cs="Times New Roman"/>
          <w:sz w:val="20"/>
        </w:rPr>
        <w:t>uma</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informação em</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cumprimento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decisão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cautelar exarada em</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termos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muito específicos.</w:t>
      </w:r>
    </w:p>
    <w:p w14:paraId="295679CF" w14:textId="77777777" w:rsidR="00CB6C86" w:rsidRPr="00395593" w:rsidRDefault="00CB6C86" w:rsidP="00CB6C86">
      <w:pPr>
        <w:widowControl w:val="0"/>
        <w:autoSpaceDE w:val="0"/>
        <w:autoSpaceDN w:val="0"/>
        <w:spacing w:before="1" w:after="0" w:line="240" w:lineRule="auto"/>
        <w:ind w:right="114"/>
        <w:rPr>
          <w:rFonts w:ascii="Garamond" w:eastAsia="Times New Roman" w:hAnsi="Garamond" w:cs="Times New Roman"/>
          <w:sz w:val="20"/>
        </w:rPr>
      </w:pPr>
      <w:r w:rsidRPr="00395593">
        <w:rPr>
          <w:rFonts w:ascii="Garamond" w:eastAsia="Times New Roman" w:hAnsi="Garamond" w:cs="Times New Roman"/>
          <w:sz w:val="20"/>
          <w:vertAlign w:val="superscript"/>
        </w:rPr>
        <w:t>43</w:t>
      </w:r>
      <w:r w:rsidRPr="00395593">
        <w:rPr>
          <w:rFonts w:ascii="Garamond" w:eastAsia="Times New Roman" w:hAnsi="Garamond" w:cs="Times New Roman"/>
          <w:sz w:val="20"/>
        </w:rPr>
        <w:t xml:space="preserve"> Os Membros acordam em que pedidos de confidencialidade não deverão ser arbitrariamente recusados.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Acordam</w:t>
      </w:r>
      <w:r w:rsidRPr="00395593">
        <w:rPr>
          <w:rFonts w:ascii="Garamond" w:eastAsia="Times New Roman" w:hAnsi="Garamond" w:cs="Times New Roman"/>
          <w:spacing w:val="-6"/>
          <w:sz w:val="20"/>
        </w:rPr>
        <w:t xml:space="preserve"> </w:t>
      </w:r>
      <w:r w:rsidRPr="00395593">
        <w:rPr>
          <w:rFonts w:ascii="Garamond" w:eastAsia="Times New Roman" w:hAnsi="Garamond" w:cs="Times New Roman"/>
          <w:sz w:val="20"/>
        </w:rPr>
        <w:t>ainda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em</w:t>
      </w:r>
      <w:r w:rsidRPr="00395593">
        <w:rPr>
          <w:rFonts w:ascii="Garamond" w:eastAsia="Times New Roman" w:hAnsi="Garamond" w:cs="Times New Roman"/>
          <w:spacing w:val="-6"/>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autoridade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investigadora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só poderá</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requerer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suspensão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confidencialidade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quando</w:t>
      </w:r>
      <w:r w:rsidRPr="00395593">
        <w:rPr>
          <w:rFonts w:ascii="Garamond" w:eastAsia="Times New Roman" w:hAnsi="Garamond" w:cs="Times New Roman"/>
          <w:spacing w:val="-47"/>
          <w:sz w:val="20"/>
        </w:rPr>
        <w:t xml:space="preserve"> </w:t>
      </w:r>
      <w:r w:rsidRPr="00395593">
        <w:rPr>
          <w:rFonts w:ascii="Garamond" w:eastAsia="Times New Roman" w:hAnsi="Garamond" w:cs="Times New Roman"/>
          <w:sz w:val="20"/>
        </w:rPr>
        <w:t>se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trate de informação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relevante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para 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procedimentos.</w:t>
      </w:r>
    </w:p>
    <w:p w14:paraId="6C12F641" w14:textId="77777777" w:rsidR="00E27F2A" w:rsidRDefault="00E27F2A">
      <w:pPr>
        <w:rPr>
          <w:rFonts w:ascii="Garamond" w:eastAsia="Times New Roman" w:hAnsi="Garamond" w:cs="Times New Roman"/>
          <w:sz w:val="24"/>
        </w:rPr>
      </w:pPr>
      <w:r>
        <w:rPr>
          <w:rFonts w:ascii="Garamond" w:eastAsia="Times New Roman" w:hAnsi="Garamond" w:cs="Times New Roman"/>
          <w:sz w:val="24"/>
        </w:rPr>
        <w:br w:type="page"/>
      </w:r>
    </w:p>
    <w:p w14:paraId="0E69AB4B" w14:textId="26E9A2B0" w:rsidR="00CB6C86" w:rsidRPr="00395593" w:rsidRDefault="00CB6C86" w:rsidP="002C4340">
      <w:pPr>
        <w:widowControl w:val="0"/>
        <w:numPr>
          <w:ilvl w:val="0"/>
          <w:numId w:val="53"/>
        </w:numPr>
        <w:tabs>
          <w:tab w:val="left" w:pos="810"/>
        </w:tabs>
        <w:autoSpaceDE w:val="0"/>
        <w:autoSpaceDN w:val="0"/>
        <w:spacing w:before="68"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necessário,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investigadoras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realizar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território de outros Membros,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desde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tenham notificado com antecedência</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o 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questão e caso esse Membro não objete a investigação. Além disso, as 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investigadoras poderão realizar investigações nas instalações de uma empresa e poderão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examinar registros de uma empresa se: (a) a empresa está de acordo; e (b) o Membro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questão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tiver</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sido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notificado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puser</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objeção.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procedimentos</w:t>
      </w:r>
      <w:r w:rsidRPr="00395593">
        <w:rPr>
          <w:rFonts w:ascii="Garamond" w:eastAsia="Times New Roman" w:hAnsi="Garamond" w:cs="Times New Roman"/>
          <w:spacing w:val="59"/>
          <w:sz w:val="24"/>
        </w:rPr>
        <w:t xml:space="preserve"> </w:t>
      </w:r>
      <w:r w:rsidRPr="00395593">
        <w:rPr>
          <w:rFonts w:ascii="Garamond" w:eastAsia="Times New Roman" w:hAnsi="Garamond" w:cs="Times New Roman"/>
          <w:sz w:val="24"/>
        </w:rPr>
        <w:t>estabelecidos</w:t>
      </w:r>
      <w:r w:rsidRPr="00395593">
        <w:rPr>
          <w:rFonts w:ascii="Garamond" w:eastAsia="Times New Roman" w:hAnsi="Garamond" w:cs="Times New Roman"/>
          <w:spacing w:val="59"/>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Anexo VI aplicar-se-ão as investigações realizadas em instalações de empresas. Sob reserva</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de solicitação de confidencialidade, as autoridades colocarão à disposição os resultados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qualquer investigação dessa natureza ou revelarão tais resultados de acordo com o disposto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parágrafo 10 ás empresas a que os mesmos se referem e poderão torná-los disponíveis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peticionários.</w:t>
      </w:r>
    </w:p>
    <w:p w14:paraId="06DD1951"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6B20ED53" w14:textId="77777777" w:rsidR="00CB6C86" w:rsidRPr="00395593" w:rsidRDefault="00CB6C86" w:rsidP="002C4340">
      <w:pPr>
        <w:widowControl w:val="0"/>
        <w:numPr>
          <w:ilvl w:val="0"/>
          <w:numId w:val="53"/>
        </w:numPr>
        <w:tabs>
          <w:tab w:val="left" w:pos="810"/>
        </w:tabs>
        <w:autoSpaceDE w:val="0"/>
        <w:autoSpaceDN w:val="0"/>
        <w:spacing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Da circunstância em que um Membro interessado ou uma parte interessada recuse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acesso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necessária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alternativamente,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forneça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dentro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prazo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razoável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sensivelmente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bloqueie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resultar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preliminares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finais afirmativas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negativas 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base</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apenas 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disponíveis.</w:t>
      </w:r>
    </w:p>
    <w:p w14:paraId="693D6C21" w14:textId="77777777" w:rsidR="00CB6C86" w:rsidRPr="00395593" w:rsidRDefault="00CB6C86" w:rsidP="00655FD9">
      <w:pPr>
        <w:widowControl w:val="0"/>
        <w:autoSpaceDE w:val="0"/>
        <w:autoSpaceDN w:val="0"/>
        <w:spacing w:before="1" w:after="0" w:line="240" w:lineRule="auto"/>
        <w:jc w:val="both"/>
        <w:rPr>
          <w:rFonts w:ascii="Garamond" w:eastAsia="Times New Roman" w:hAnsi="Garamond" w:cs="Times New Roman"/>
          <w:sz w:val="24"/>
          <w:szCs w:val="24"/>
        </w:rPr>
      </w:pPr>
    </w:p>
    <w:p w14:paraId="746A2C3D" w14:textId="77777777" w:rsidR="00CB6C86" w:rsidRPr="00395593" w:rsidRDefault="00CB6C86" w:rsidP="002C4340">
      <w:pPr>
        <w:widowControl w:val="0"/>
        <w:numPr>
          <w:ilvl w:val="0"/>
          <w:numId w:val="53"/>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Antes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final,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todos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todas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essenciais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levados</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consideração que formam a base sobre a qual será tomada a decisão de aplicar ou 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medidas definitivas. 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informação devera facultar-se 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antecedência</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suficiente 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as partes possam defender seus interesses.</w:t>
      </w:r>
    </w:p>
    <w:p w14:paraId="283022D6"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59B53D30" w14:textId="77777777" w:rsidR="00CB6C86" w:rsidRPr="00395593" w:rsidRDefault="00CB6C86" w:rsidP="002C4340">
      <w:pPr>
        <w:widowControl w:val="0"/>
        <w:numPr>
          <w:ilvl w:val="0"/>
          <w:numId w:val="53"/>
        </w:numPr>
        <w:tabs>
          <w:tab w:val="left" w:pos="810"/>
        </w:tabs>
        <w:autoSpaceDE w:val="0"/>
        <w:autoSpaceDN w:val="0"/>
        <w:spacing w:after="0" w:line="240" w:lineRule="auto"/>
        <w:ind w:left="810"/>
        <w:jc w:val="both"/>
        <w:rPr>
          <w:rFonts w:ascii="Garamond" w:eastAsia="Times New Roman" w:hAnsi="Garamond" w:cs="Times New Roman"/>
          <w:sz w:val="24"/>
        </w:rPr>
      </w:pPr>
      <w:r w:rsidRPr="00395593">
        <w:rPr>
          <w:rFonts w:ascii="Garamond" w:eastAsia="Times New Roman" w:hAnsi="Garamond" w:cs="Times New Roman"/>
          <w:sz w:val="24"/>
        </w:rPr>
        <w:t>Para</w:t>
      </w:r>
      <w:r w:rsidRPr="00395593">
        <w:rPr>
          <w:rFonts w:ascii="Garamond" w:eastAsia="Times New Roman" w:hAnsi="Garamond" w:cs="Times New Roman"/>
          <w:spacing w:val="-4"/>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propósitos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as "partes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interessadas"</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incluirão:</w:t>
      </w:r>
    </w:p>
    <w:p w14:paraId="18F9454A"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2DE3DC1C" w14:textId="77777777" w:rsidR="00CB6C86" w:rsidRPr="00395593" w:rsidRDefault="00CB6C86" w:rsidP="002C4340">
      <w:pPr>
        <w:widowControl w:val="0"/>
        <w:numPr>
          <w:ilvl w:val="1"/>
          <w:numId w:val="53"/>
        </w:numPr>
        <w:tabs>
          <w:tab w:val="left" w:pos="1283"/>
        </w:tabs>
        <w:autoSpaceDE w:val="0"/>
        <w:autoSpaceDN w:val="0"/>
        <w:spacing w:after="0" w:line="240" w:lineRule="auto"/>
        <w:ind w:right="119" w:hanging="540"/>
        <w:jc w:val="both"/>
        <w:rPr>
          <w:rFonts w:ascii="Garamond" w:eastAsia="Times New Roman" w:hAnsi="Garamond" w:cs="Times New Roman"/>
          <w:sz w:val="24"/>
        </w:rPr>
      </w:pPr>
      <w:r w:rsidRPr="00395593">
        <w:rPr>
          <w:rFonts w:ascii="Garamond" w:eastAsia="Times New Roman" w:hAnsi="Garamond" w:cs="Times New Roman"/>
          <w:sz w:val="24"/>
        </w:rPr>
        <w:t>exportador,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estrangeiro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importador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objeto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 ou associação comercial ou empresarial cujos membros em sua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maioria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produtores, exportadores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 importadores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 e</w:t>
      </w:r>
    </w:p>
    <w:p w14:paraId="197FE8CE" w14:textId="77777777" w:rsidR="00CB6C86" w:rsidRPr="00395593" w:rsidRDefault="00CB6C86" w:rsidP="00655FD9">
      <w:pPr>
        <w:widowControl w:val="0"/>
        <w:autoSpaceDE w:val="0"/>
        <w:autoSpaceDN w:val="0"/>
        <w:spacing w:before="1" w:after="0" w:line="240" w:lineRule="auto"/>
        <w:jc w:val="both"/>
        <w:rPr>
          <w:rFonts w:ascii="Garamond" w:eastAsia="Times New Roman" w:hAnsi="Garamond" w:cs="Times New Roman"/>
          <w:sz w:val="24"/>
          <w:szCs w:val="24"/>
        </w:rPr>
      </w:pPr>
    </w:p>
    <w:p w14:paraId="5B12D703" w14:textId="77777777" w:rsidR="00CB6C86" w:rsidRPr="00395593" w:rsidRDefault="00CB6C86" w:rsidP="002C4340">
      <w:pPr>
        <w:widowControl w:val="0"/>
        <w:numPr>
          <w:ilvl w:val="1"/>
          <w:numId w:val="53"/>
        </w:numPr>
        <w:tabs>
          <w:tab w:val="left" w:pos="1225"/>
        </w:tabs>
        <w:autoSpaceDE w:val="0"/>
        <w:autoSpaceDN w:val="0"/>
        <w:spacing w:after="0" w:line="240" w:lineRule="auto"/>
        <w:ind w:right="120" w:hanging="540"/>
        <w:jc w:val="both"/>
        <w:rPr>
          <w:rFonts w:ascii="Garamond" w:eastAsia="Times New Roman" w:hAnsi="Garamond" w:cs="Times New Roman"/>
          <w:sz w:val="24"/>
        </w:rPr>
      </w:pPr>
      <w:r w:rsidRPr="00395593">
        <w:rPr>
          <w:rFonts w:ascii="Garamond" w:eastAsia="Times New Roman" w:hAnsi="Garamond" w:cs="Times New Roman"/>
          <w:sz w:val="24"/>
        </w:rPr>
        <w:t>Produtor do produto similar no Membro Importador ou associação comercial ou</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empresarial cujos membros em sua maioria produzam o produto similar 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território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Membro importador.</w:t>
      </w:r>
    </w:p>
    <w:p w14:paraId="7CCF866C"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4064D27F" w14:textId="77777777" w:rsidR="00CB6C86" w:rsidRPr="00395593" w:rsidRDefault="00CB6C86" w:rsidP="00655FD9">
      <w:pPr>
        <w:widowControl w:val="0"/>
        <w:autoSpaceDE w:val="0"/>
        <w:autoSpaceDN w:val="0"/>
        <w:spacing w:after="0" w:line="240" w:lineRule="auto"/>
        <w:ind w:right="122"/>
        <w:jc w:val="both"/>
        <w:rPr>
          <w:rFonts w:ascii="Garamond" w:eastAsia="Times New Roman" w:hAnsi="Garamond" w:cs="Times New Roman"/>
          <w:sz w:val="24"/>
          <w:szCs w:val="24"/>
        </w:rPr>
      </w:pPr>
      <w:r w:rsidRPr="00395593">
        <w:rPr>
          <w:rFonts w:ascii="Garamond" w:eastAsia="Times New Roman" w:hAnsi="Garamond" w:cs="Times New Roman"/>
          <w:sz w:val="24"/>
          <w:szCs w:val="24"/>
        </w:rPr>
        <w:t>Essa</w:t>
      </w:r>
      <w:r w:rsidRPr="00395593">
        <w:rPr>
          <w:rFonts w:ascii="Garamond" w:eastAsia="Times New Roman" w:hAnsi="Garamond" w:cs="Times New Roman"/>
          <w:spacing w:val="50"/>
          <w:sz w:val="24"/>
          <w:szCs w:val="24"/>
        </w:rPr>
        <w:t xml:space="preserve"> </w:t>
      </w:r>
      <w:r w:rsidRPr="00395593">
        <w:rPr>
          <w:rFonts w:ascii="Garamond" w:eastAsia="Times New Roman" w:hAnsi="Garamond" w:cs="Times New Roman"/>
          <w:sz w:val="24"/>
          <w:szCs w:val="24"/>
        </w:rPr>
        <w:t>lista</w:t>
      </w:r>
      <w:r w:rsidRPr="00395593">
        <w:rPr>
          <w:rFonts w:ascii="Garamond" w:eastAsia="Times New Roman" w:hAnsi="Garamond" w:cs="Times New Roman"/>
          <w:spacing w:val="51"/>
          <w:sz w:val="24"/>
          <w:szCs w:val="24"/>
        </w:rPr>
        <w:t xml:space="preserve"> </w:t>
      </w:r>
      <w:r w:rsidRPr="00395593">
        <w:rPr>
          <w:rFonts w:ascii="Garamond" w:eastAsia="Times New Roman" w:hAnsi="Garamond" w:cs="Times New Roman"/>
          <w:sz w:val="24"/>
          <w:szCs w:val="24"/>
        </w:rPr>
        <w:t>não</w:t>
      </w:r>
      <w:r w:rsidRPr="00395593">
        <w:rPr>
          <w:rFonts w:ascii="Garamond" w:eastAsia="Times New Roman" w:hAnsi="Garamond" w:cs="Times New Roman"/>
          <w:spacing w:val="52"/>
          <w:sz w:val="24"/>
          <w:szCs w:val="24"/>
        </w:rPr>
        <w:t xml:space="preserve"> </w:t>
      </w:r>
      <w:r w:rsidRPr="00395593">
        <w:rPr>
          <w:rFonts w:ascii="Garamond" w:eastAsia="Times New Roman" w:hAnsi="Garamond" w:cs="Times New Roman"/>
          <w:sz w:val="24"/>
          <w:szCs w:val="24"/>
        </w:rPr>
        <w:t>impedirá</w:t>
      </w:r>
      <w:r w:rsidRPr="00395593">
        <w:rPr>
          <w:rFonts w:ascii="Garamond" w:eastAsia="Times New Roman" w:hAnsi="Garamond" w:cs="Times New Roman"/>
          <w:spacing w:val="52"/>
          <w:sz w:val="24"/>
          <w:szCs w:val="24"/>
        </w:rPr>
        <w:t xml:space="preserve"> </w:t>
      </w:r>
      <w:r w:rsidRPr="00395593">
        <w:rPr>
          <w:rFonts w:ascii="Garamond" w:eastAsia="Times New Roman" w:hAnsi="Garamond" w:cs="Times New Roman"/>
          <w:sz w:val="24"/>
          <w:szCs w:val="24"/>
        </w:rPr>
        <w:t>que</w:t>
      </w:r>
      <w:r w:rsidRPr="00395593">
        <w:rPr>
          <w:rFonts w:ascii="Garamond" w:eastAsia="Times New Roman" w:hAnsi="Garamond" w:cs="Times New Roman"/>
          <w:spacing w:val="50"/>
          <w:sz w:val="24"/>
          <w:szCs w:val="24"/>
        </w:rPr>
        <w:t xml:space="preserve"> </w:t>
      </w:r>
      <w:r w:rsidRPr="00395593">
        <w:rPr>
          <w:rFonts w:ascii="Garamond" w:eastAsia="Times New Roman" w:hAnsi="Garamond" w:cs="Times New Roman"/>
          <w:sz w:val="24"/>
          <w:szCs w:val="24"/>
        </w:rPr>
        <w:t>os</w:t>
      </w:r>
      <w:r w:rsidRPr="00395593">
        <w:rPr>
          <w:rFonts w:ascii="Garamond" w:eastAsia="Times New Roman" w:hAnsi="Garamond" w:cs="Times New Roman"/>
          <w:spacing w:val="52"/>
          <w:sz w:val="24"/>
          <w:szCs w:val="24"/>
        </w:rPr>
        <w:t xml:space="preserve"> </w:t>
      </w:r>
      <w:r w:rsidRPr="00395593">
        <w:rPr>
          <w:rFonts w:ascii="Garamond" w:eastAsia="Times New Roman" w:hAnsi="Garamond" w:cs="Times New Roman"/>
          <w:sz w:val="24"/>
          <w:szCs w:val="24"/>
        </w:rPr>
        <w:t>Membros</w:t>
      </w:r>
      <w:r w:rsidRPr="00395593">
        <w:rPr>
          <w:rFonts w:ascii="Garamond" w:eastAsia="Times New Roman" w:hAnsi="Garamond" w:cs="Times New Roman"/>
          <w:spacing w:val="54"/>
          <w:sz w:val="24"/>
          <w:szCs w:val="24"/>
        </w:rPr>
        <w:t xml:space="preserve"> </w:t>
      </w:r>
      <w:r w:rsidRPr="00395593">
        <w:rPr>
          <w:rFonts w:ascii="Garamond" w:eastAsia="Times New Roman" w:hAnsi="Garamond" w:cs="Times New Roman"/>
          <w:sz w:val="24"/>
          <w:szCs w:val="24"/>
        </w:rPr>
        <w:t>autorizem</w:t>
      </w:r>
      <w:r w:rsidRPr="00395593">
        <w:rPr>
          <w:rFonts w:ascii="Garamond" w:eastAsia="Times New Roman" w:hAnsi="Garamond" w:cs="Times New Roman"/>
          <w:spacing w:val="53"/>
          <w:sz w:val="24"/>
          <w:szCs w:val="24"/>
        </w:rPr>
        <w:t xml:space="preserve"> </w:t>
      </w:r>
      <w:r w:rsidRPr="00395593">
        <w:rPr>
          <w:rFonts w:ascii="Garamond" w:eastAsia="Times New Roman" w:hAnsi="Garamond" w:cs="Times New Roman"/>
          <w:sz w:val="24"/>
          <w:szCs w:val="24"/>
        </w:rPr>
        <w:t>a</w:t>
      </w:r>
      <w:r w:rsidRPr="00395593">
        <w:rPr>
          <w:rFonts w:ascii="Garamond" w:eastAsia="Times New Roman" w:hAnsi="Garamond" w:cs="Times New Roman"/>
          <w:spacing w:val="50"/>
          <w:sz w:val="24"/>
          <w:szCs w:val="24"/>
        </w:rPr>
        <w:t xml:space="preserve"> </w:t>
      </w:r>
      <w:r w:rsidRPr="00395593">
        <w:rPr>
          <w:rFonts w:ascii="Garamond" w:eastAsia="Times New Roman" w:hAnsi="Garamond" w:cs="Times New Roman"/>
          <w:sz w:val="24"/>
          <w:szCs w:val="24"/>
        </w:rPr>
        <w:t>inclusão</w:t>
      </w:r>
      <w:r w:rsidRPr="00395593">
        <w:rPr>
          <w:rFonts w:ascii="Garamond" w:eastAsia="Times New Roman" w:hAnsi="Garamond" w:cs="Times New Roman"/>
          <w:spacing w:val="51"/>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51"/>
          <w:sz w:val="24"/>
          <w:szCs w:val="24"/>
        </w:rPr>
        <w:t xml:space="preserve"> </w:t>
      </w:r>
      <w:r w:rsidRPr="00395593">
        <w:rPr>
          <w:rFonts w:ascii="Garamond" w:eastAsia="Times New Roman" w:hAnsi="Garamond" w:cs="Times New Roman"/>
          <w:sz w:val="24"/>
          <w:szCs w:val="24"/>
        </w:rPr>
        <w:t>outras</w:t>
      </w:r>
      <w:r w:rsidRPr="00395593">
        <w:rPr>
          <w:rFonts w:ascii="Garamond" w:eastAsia="Times New Roman" w:hAnsi="Garamond" w:cs="Times New Roman"/>
          <w:spacing w:val="51"/>
          <w:sz w:val="24"/>
          <w:szCs w:val="24"/>
        </w:rPr>
        <w:t xml:space="preserve"> </w:t>
      </w:r>
      <w:r w:rsidRPr="00395593">
        <w:rPr>
          <w:rFonts w:ascii="Garamond" w:eastAsia="Times New Roman" w:hAnsi="Garamond" w:cs="Times New Roman"/>
          <w:sz w:val="24"/>
          <w:szCs w:val="24"/>
        </w:rPr>
        <w:t>partes</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nacionais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ou</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estrangeiras, além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das mencionadas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acima, como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partes interessadas.</w:t>
      </w:r>
    </w:p>
    <w:p w14:paraId="76EC3650"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5EEC95A5" w14:textId="77777777" w:rsidR="00CB6C86" w:rsidRPr="00395593" w:rsidRDefault="00CB6C86" w:rsidP="002C4340">
      <w:pPr>
        <w:widowControl w:val="0"/>
        <w:numPr>
          <w:ilvl w:val="0"/>
          <w:numId w:val="53"/>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oportunidade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usuários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industriais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representantes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organizações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consumidores,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habitualmente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comercializado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varejo,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aportem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diz respeito 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existência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subsídio,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dano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nexo causal.</w:t>
      </w:r>
    </w:p>
    <w:p w14:paraId="3535BB13"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6956A376" w14:textId="77777777" w:rsidR="00CB6C86" w:rsidRPr="00395593" w:rsidRDefault="00CB6C86" w:rsidP="002C4340">
      <w:pPr>
        <w:widowControl w:val="0"/>
        <w:numPr>
          <w:ilvl w:val="0"/>
          <w:numId w:val="53"/>
        </w:numPr>
        <w:tabs>
          <w:tab w:val="left" w:pos="810"/>
        </w:tabs>
        <w:autoSpaceDE w:val="0"/>
        <w:autoSpaceDN w:val="0"/>
        <w:spacing w:before="1"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As autoridades tomarão, na devida conta, quaisquer dificuldades experimentadas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pelas</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partes</w:t>
      </w:r>
      <w:r w:rsidRPr="00395593">
        <w:rPr>
          <w:rFonts w:ascii="Garamond" w:eastAsia="Times New Roman" w:hAnsi="Garamond" w:cs="Times New Roman"/>
          <w:spacing w:val="30"/>
          <w:sz w:val="24"/>
        </w:rPr>
        <w:t xml:space="preserve"> </w:t>
      </w:r>
      <w:r w:rsidRPr="00395593">
        <w:rPr>
          <w:rFonts w:ascii="Garamond" w:eastAsia="Times New Roman" w:hAnsi="Garamond" w:cs="Times New Roman"/>
          <w:sz w:val="24"/>
        </w:rPr>
        <w:t>interessadas,</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30"/>
          <w:sz w:val="24"/>
        </w:rPr>
        <w:t xml:space="preserve"> </w:t>
      </w:r>
      <w:r w:rsidRPr="00395593">
        <w:rPr>
          <w:rFonts w:ascii="Garamond" w:eastAsia="Times New Roman" w:hAnsi="Garamond" w:cs="Times New Roman"/>
          <w:sz w:val="24"/>
        </w:rPr>
        <w:t>especial</w:t>
      </w:r>
      <w:r w:rsidRPr="00395593">
        <w:rPr>
          <w:rFonts w:ascii="Garamond" w:eastAsia="Times New Roman" w:hAnsi="Garamond" w:cs="Times New Roman"/>
          <w:spacing w:val="29"/>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30"/>
          <w:sz w:val="24"/>
        </w:rPr>
        <w:t xml:space="preserve"> </w:t>
      </w:r>
      <w:r w:rsidRPr="00395593">
        <w:rPr>
          <w:rFonts w:ascii="Garamond" w:eastAsia="Times New Roman" w:hAnsi="Garamond" w:cs="Times New Roman"/>
          <w:sz w:val="24"/>
        </w:rPr>
        <w:t>pequenas</w:t>
      </w:r>
      <w:r w:rsidRPr="00395593">
        <w:rPr>
          <w:rFonts w:ascii="Garamond" w:eastAsia="Times New Roman" w:hAnsi="Garamond" w:cs="Times New Roman"/>
          <w:spacing w:val="29"/>
          <w:sz w:val="24"/>
        </w:rPr>
        <w:t xml:space="preserve"> </w:t>
      </w:r>
      <w:r w:rsidRPr="00395593">
        <w:rPr>
          <w:rFonts w:ascii="Garamond" w:eastAsia="Times New Roman" w:hAnsi="Garamond" w:cs="Times New Roman"/>
          <w:sz w:val="24"/>
        </w:rPr>
        <w:t>empresas,</w:t>
      </w:r>
      <w:r w:rsidRPr="00395593">
        <w:rPr>
          <w:rFonts w:ascii="Garamond" w:eastAsia="Times New Roman" w:hAnsi="Garamond" w:cs="Times New Roman"/>
          <w:spacing w:val="30"/>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tocante</w:t>
      </w:r>
      <w:r w:rsidRPr="00395593">
        <w:rPr>
          <w:rFonts w:ascii="Garamond" w:eastAsia="Times New Roman" w:hAnsi="Garamond" w:cs="Times New Roman"/>
          <w:spacing w:val="3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fornecimento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informações solicitadas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darão toda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 assistência cabível.</w:t>
      </w:r>
    </w:p>
    <w:p w14:paraId="3BC9E4B9" w14:textId="77777777" w:rsidR="00CB6C86" w:rsidRPr="00395593" w:rsidRDefault="00CB6C86" w:rsidP="00655FD9">
      <w:pPr>
        <w:widowControl w:val="0"/>
        <w:autoSpaceDE w:val="0"/>
        <w:autoSpaceDN w:val="0"/>
        <w:spacing w:before="11" w:after="0" w:line="240" w:lineRule="auto"/>
        <w:jc w:val="both"/>
        <w:rPr>
          <w:rFonts w:ascii="Garamond" w:eastAsia="Times New Roman" w:hAnsi="Garamond" w:cs="Times New Roman"/>
          <w:sz w:val="23"/>
          <w:szCs w:val="24"/>
        </w:rPr>
      </w:pPr>
    </w:p>
    <w:p w14:paraId="4B58548A" w14:textId="77777777" w:rsidR="00CB6C86" w:rsidRPr="00395593" w:rsidRDefault="00CB6C86" w:rsidP="002C4340">
      <w:pPr>
        <w:widowControl w:val="0"/>
        <w:numPr>
          <w:ilvl w:val="0"/>
          <w:numId w:val="53"/>
        </w:numPr>
        <w:tabs>
          <w:tab w:val="left" w:pos="810"/>
        </w:tabs>
        <w:autoSpaceDE w:val="0"/>
        <w:autoSpaceDN w:val="0"/>
        <w:spacing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Os procedimentos estabelecidos acima não tem por finalidade impedir ação rápida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4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42"/>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41"/>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4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4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41"/>
          <w:sz w:val="24"/>
        </w:rPr>
        <w:t xml:space="preserve"> </w:t>
      </w:r>
      <w:r w:rsidRPr="00395593">
        <w:rPr>
          <w:rFonts w:ascii="Garamond" w:eastAsia="Times New Roman" w:hAnsi="Garamond" w:cs="Times New Roman"/>
          <w:sz w:val="24"/>
        </w:rPr>
        <w:t>sentido</w:t>
      </w:r>
      <w:r w:rsidRPr="00395593">
        <w:rPr>
          <w:rFonts w:ascii="Garamond" w:eastAsia="Times New Roman" w:hAnsi="Garamond" w:cs="Times New Roman"/>
          <w:spacing w:val="4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40"/>
          <w:sz w:val="24"/>
        </w:rPr>
        <w:t xml:space="preserve"> </w:t>
      </w:r>
      <w:r w:rsidRPr="00395593">
        <w:rPr>
          <w:rFonts w:ascii="Garamond" w:eastAsia="Times New Roman" w:hAnsi="Garamond" w:cs="Times New Roman"/>
          <w:sz w:val="24"/>
        </w:rPr>
        <w:t>iniciar</w:t>
      </w:r>
      <w:r w:rsidRPr="00395593">
        <w:rPr>
          <w:rFonts w:ascii="Garamond" w:eastAsia="Times New Roman" w:hAnsi="Garamond" w:cs="Times New Roman"/>
          <w:spacing w:val="40"/>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41"/>
          <w:sz w:val="24"/>
        </w:rPr>
        <w:t xml:space="preserve"> </w:t>
      </w:r>
      <w:r w:rsidRPr="00395593">
        <w:rPr>
          <w:rFonts w:ascii="Garamond" w:eastAsia="Times New Roman" w:hAnsi="Garamond" w:cs="Times New Roman"/>
          <w:sz w:val="24"/>
        </w:rPr>
        <w:t>formular</w:t>
      </w:r>
      <w:r w:rsidRPr="00395593">
        <w:rPr>
          <w:rFonts w:ascii="Garamond" w:eastAsia="Times New Roman" w:hAnsi="Garamond" w:cs="Times New Roman"/>
          <w:spacing w:val="40"/>
          <w:sz w:val="24"/>
        </w:rPr>
        <w:t xml:space="preserve"> </w:t>
      </w:r>
      <w:r w:rsidRPr="00395593">
        <w:rPr>
          <w:rFonts w:ascii="Garamond" w:eastAsia="Times New Roman" w:hAnsi="Garamond" w:cs="Times New Roman"/>
          <w:sz w:val="24"/>
        </w:rPr>
        <w:t>conclusões</w:t>
      </w:r>
    </w:p>
    <w:p w14:paraId="16B008FA" w14:textId="77777777" w:rsidR="00CB6C86" w:rsidRPr="00395593" w:rsidRDefault="00CB6C86" w:rsidP="00CB6C86">
      <w:pPr>
        <w:widowControl w:val="0"/>
        <w:autoSpaceDE w:val="0"/>
        <w:autoSpaceDN w:val="0"/>
        <w:spacing w:after="0" w:line="240" w:lineRule="auto"/>
        <w:jc w:val="both"/>
        <w:rPr>
          <w:rFonts w:ascii="Garamond" w:eastAsia="Times New Roman" w:hAnsi="Garamond" w:cs="Times New Roman"/>
          <w:sz w:val="24"/>
        </w:rPr>
        <w:sectPr w:rsidR="00CB6C86" w:rsidRPr="00395593" w:rsidSect="00E15FBB">
          <w:pgSz w:w="12240" w:h="15840"/>
          <w:pgMar w:top="1418" w:right="1580" w:bottom="280" w:left="1418" w:header="720" w:footer="720" w:gutter="0"/>
          <w:cols w:space="720"/>
        </w:sectPr>
      </w:pPr>
    </w:p>
    <w:p w14:paraId="7A55264C" w14:textId="77777777" w:rsidR="00CB6C86" w:rsidRPr="00395593" w:rsidRDefault="00CB6C86" w:rsidP="00CB6C86">
      <w:pPr>
        <w:widowControl w:val="0"/>
        <w:autoSpaceDE w:val="0"/>
        <w:autoSpaceDN w:val="0"/>
        <w:spacing w:before="68" w:after="0" w:line="240" w:lineRule="auto"/>
        <w:ind w:right="124"/>
        <w:jc w:val="both"/>
        <w:rPr>
          <w:rFonts w:ascii="Garamond" w:eastAsia="Times New Roman" w:hAnsi="Garamond" w:cs="Times New Roman"/>
          <w:sz w:val="24"/>
          <w:szCs w:val="24"/>
        </w:rPr>
      </w:pPr>
      <w:r w:rsidRPr="00395593">
        <w:rPr>
          <w:rFonts w:ascii="Garamond" w:eastAsia="Times New Roman" w:hAnsi="Garamond" w:cs="Times New Roman"/>
          <w:sz w:val="24"/>
          <w:szCs w:val="24"/>
        </w:rPr>
        <w:t>preliminares ou finais, positivas ou negativas, ou aplicar medidas provisórias ou definitivas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segundo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as disposições pertinentes deste Acordo.</w:t>
      </w:r>
    </w:p>
    <w:p w14:paraId="2FAB3CC1"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5746776D"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13</w:t>
      </w:r>
    </w:p>
    <w:p w14:paraId="45607D18"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21ABDC29" w14:textId="77777777" w:rsidR="00CB6C86" w:rsidRPr="00395593" w:rsidRDefault="00CB6C86" w:rsidP="00CB6C86">
      <w:pPr>
        <w:widowControl w:val="0"/>
        <w:autoSpaceDE w:val="0"/>
        <w:autoSpaceDN w:val="0"/>
        <w:spacing w:after="0" w:line="240" w:lineRule="auto"/>
        <w:ind w:right="146"/>
        <w:jc w:val="center"/>
        <w:rPr>
          <w:rFonts w:ascii="Garamond" w:eastAsia="Times New Roman" w:hAnsi="Garamond" w:cs="Times New Roman"/>
          <w:sz w:val="24"/>
          <w:szCs w:val="24"/>
        </w:rPr>
      </w:pPr>
      <w:r w:rsidRPr="00395593">
        <w:rPr>
          <w:rFonts w:ascii="Garamond" w:eastAsia="Times New Roman" w:hAnsi="Garamond" w:cs="Times New Roman"/>
          <w:b/>
          <w:sz w:val="24"/>
          <w:szCs w:val="24"/>
        </w:rPr>
        <w:t>Consultas</w:t>
      </w:r>
    </w:p>
    <w:p w14:paraId="5929CD96"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33C0D247" w14:textId="77777777" w:rsidR="00CB6C86" w:rsidRPr="00395593" w:rsidRDefault="00CB6C86" w:rsidP="002C4340">
      <w:pPr>
        <w:widowControl w:val="0"/>
        <w:numPr>
          <w:ilvl w:val="0"/>
          <w:numId w:val="52"/>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Tão logo possível, após a aceitação de petição ao abrigo do Artigo II, e sempre,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qualquer caso, antes do início de uma investigação, os Membros cujos produtos possam vir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objeto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convidados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consultas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objetivo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esclarecer a situação relativamente às matérias referidas no parágrafo 2 do Artigo II e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obter-se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solução mutuamente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satisfatória.</w:t>
      </w:r>
    </w:p>
    <w:p w14:paraId="074FBF05" w14:textId="77777777" w:rsidR="00CB6C86" w:rsidRPr="00395593" w:rsidRDefault="00CB6C86" w:rsidP="00F240FB">
      <w:pPr>
        <w:widowControl w:val="0"/>
        <w:autoSpaceDE w:val="0"/>
        <w:autoSpaceDN w:val="0"/>
        <w:spacing w:before="1" w:after="0" w:line="240" w:lineRule="auto"/>
        <w:jc w:val="both"/>
        <w:rPr>
          <w:rFonts w:ascii="Garamond" w:eastAsia="Times New Roman" w:hAnsi="Garamond" w:cs="Times New Roman"/>
          <w:sz w:val="24"/>
          <w:szCs w:val="24"/>
        </w:rPr>
      </w:pPr>
    </w:p>
    <w:p w14:paraId="195FD266" w14:textId="77777777" w:rsidR="00CB6C86" w:rsidRPr="00395593" w:rsidRDefault="00CB6C86" w:rsidP="002C4340">
      <w:pPr>
        <w:widowControl w:val="0"/>
        <w:numPr>
          <w:ilvl w:val="0"/>
          <w:numId w:val="52"/>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Além disso, durante todo o período da investigação, será oferecida aos Membros,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cujos produtos são objeto da investigação, razoável oportunidade de prosseguir as consultas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vistas 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esclarecer 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fatos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caso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chegar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solução mutuamente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satisfatória</w:t>
      </w:r>
      <w:r w:rsidRPr="00395593">
        <w:rPr>
          <w:rFonts w:ascii="Garamond" w:eastAsia="Times New Roman" w:hAnsi="Garamond" w:cs="Times New Roman"/>
          <w:spacing w:val="4"/>
          <w:sz w:val="24"/>
        </w:rPr>
        <w:t xml:space="preserve"> </w:t>
      </w:r>
      <w:r w:rsidRPr="00395593">
        <w:rPr>
          <w:rFonts w:ascii="Garamond" w:eastAsia="Times New Roman" w:hAnsi="Garamond" w:cs="Times New Roman"/>
          <w:sz w:val="24"/>
          <w:vertAlign w:val="superscript"/>
        </w:rPr>
        <w:t>44</w:t>
      </w:r>
      <w:r w:rsidRPr="00395593">
        <w:rPr>
          <w:rFonts w:ascii="Garamond" w:eastAsia="Times New Roman" w:hAnsi="Garamond" w:cs="Times New Roman"/>
          <w:sz w:val="24"/>
        </w:rPr>
        <w:t>.</w:t>
      </w:r>
    </w:p>
    <w:p w14:paraId="0C1753A5" w14:textId="77777777" w:rsidR="00CB6C86" w:rsidRPr="00395593" w:rsidRDefault="00CB6C86" w:rsidP="00F240FB">
      <w:pPr>
        <w:widowControl w:val="0"/>
        <w:autoSpaceDE w:val="0"/>
        <w:autoSpaceDN w:val="0"/>
        <w:spacing w:after="0" w:line="240" w:lineRule="auto"/>
        <w:jc w:val="both"/>
        <w:rPr>
          <w:rFonts w:ascii="Garamond" w:eastAsia="Times New Roman" w:hAnsi="Garamond" w:cs="Times New Roman"/>
          <w:sz w:val="24"/>
          <w:szCs w:val="24"/>
        </w:rPr>
      </w:pPr>
    </w:p>
    <w:p w14:paraId="75F0AA71" w14:textId="77777777" w:rsidR="00CB6C86" w:rsidRPr="00395593" w:rsidRDefault="00CB6C86" w:rsidP="002C4340">
      <w:pPr>
        <w:widowControl w:val="0"/>
        <w:numPr>
          <w:ilvl w:val="0"/>
          <w:numId w:val="52"/>
        </w:numPr>
        <w:tabs>
          <w:tab w:val="left" w:pos="810"/>
        </w:tabs>
        <w:autoSpaceDE w:val="0"/>
        <w:autoSpaceDN w:val="0"/>
        <w:spacing w:after="0" w:line="240" w:lineRule="auto"/>
        <w:ind w:right="118" w:firstLine="0"/>
        <w:jc w:val="both"/>
        <w:rPr>
          <w:rFonts w:ascii="Garamond" w:eastAsia="Times New Roman" w:hAnsi="Garamond" w:cs="Times New Roman"/>
          <w:sz w:val="24"/>
        </w:rPr>
      </w:pPr>
      <w:r w:rsidRPr="00395593">
        <w:rPr>
          <w:rFonts w:ascii="Garamond" w:eastAsia="Times New Roman" w:hAnsi="Garamond" w:cs="Times New Roman"/>
          <w:sz w:val="24"/>
        </w:rPr>
        <w:t>Sem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prejuízo da obrigação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propiciar oportunidades razoáveis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consultas,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disposições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relativas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consultas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destinam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impedir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rápida</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sentido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iniciar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formular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conclusões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preliminares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finais,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afirmativas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negativas,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medidas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provisórias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definitivas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 com o disposto neste Acordo.</w:t>
      </w:r>
    </w:p>
    <w:p w14:paraId="2CC7B886" w14:textId="77777777" w:rsidR="00CB6C86" w:rsidRPr="00395593" w:rsidRDefault="00CB6C86" w:rsidP="00F240FB">
      <w:pPr>
        <w:widowControl w:val="0"/>
        <w:autoSpaceDE w:val="0"/>
        <w:autoSpaceDN w:val="0"/>
        <w:spacing w:after="0" w:line="240" w:lineRule="auto"/>
        <w:jc w:val="both"/>
        <w:rPr>
          <w:rFonts w:ascii="Garamond" w:eastAsia="Times New Roman" w:hAnsi="Garamond" w:cs="Times New Roman"/>
          <w:sz w:val="24"/>
          <w:szCs w:val="24"/>
        </w:rPr>
      </w:pPr>
    </w:p>
    <w:p w14:paraId="04FEAFBF" w14:textId="77777777" w:rsidR="00CB6C86" w:rsidRPr="00395593" w:rsidRDefault="00CB6C86" w:rsidP="002C4340">
      <w:pPr>
        <w:widowControl w:val="0"/>
        <w:numPr>
          <w:ilvl w:val="0"/>
          <w:numId w:val="52"/>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O Membro que tencione iniciar investigação ou que esteja conduzindo investigação,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permitirá, se lhe for pedido, que Membro ou Membros cujos produtos sejam objeto de 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 tenham acesso a provas ostensivas, entre as quais os resumos ostensivos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confidenciais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utilizados para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iniciar</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ou conduzir a</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investigação.</w:t>
      </w:r>
    </w:p>
    <w:p w14:paraId="4831B1B8" w14:textId="77777777" w:rsidR="00D65665" w:rsidRDefault="00D65665" w:rsidP="00E33E26">
      <w:pPr>
        <w:widowControl w:val="0"/>
        <w:autoSpaceDE w:val="0"/>
        <w:autoSpaceDN w:val="0"/>
        <w:spacing w:after="0" w:line="240" w:lineRule="auto"/>
        <w:ind w:right="146"/>
        <w:jc w:val="center"/>
        <w:rPr>
          <w:rFonts w:ascii="Garamond" w:eastAsia="Times New Roman" w:hAnsi="Garamond" w:cs="Times New Roman"/>
          <w:b/>
          <w:sz w:val="24"/>
          <w:szCs w:val="24"/>
        </w:rPr>
      </w:pPr>
    </w:p>
    <w:p w14:paraId="1D0BDD8A" w14:textId="56FD22ED"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14</w:t>
      </w:r>
    </w:p>
    <w:p w14:paraId="1D59D828" w14:textId="7572BC85" w:rsidR="00085B18" w:rsidRPr="00395593" w:rsidRDefault="00CB6C86" w:rsidP="00085B18">
      <w:pPr>
        <w:widowControl w:val="0"/>
        <w:autoSpaceDE w:val="0"/>
        <w:autoSpaceDN w:val="0"/>
        <w:spacing w:before="2" w:after="0" w:line="550" w:lineRule="atLeast"/>
        <w:ind w:right="123"/>
        <w:jc w:val="center"/>
        <w:rPr>
          <w:rFonts w:ascii="Garamond" w:eastAsia="Times New Roman" w:hAnsi="Garamond" w:cs="Times New Roman"/>
          <w:b/>
          <w:spacing w:val="1"/>
          <w:sz w:val="24"/>
          <w:szCs w:val="24"/>
        </w:rPr>
      </w:pPr>
      <w:r w:rsidRPr="00395593">
        <w:rPr>
          <w:rFonts w:ascii="Garamond" w:eastAsia="Times New Roman" w:hAnsi="Garamond" w:cs="Times New Roman"/>
          <w:b/>
          <w:sz w:val="24"/>
          <w:szCs w:val="24"/>
        </w:rPr>
        <w:t>Calculo do Valor de um Subsídio em Termos da Vantagem Percebida pelo Beneficiário</w:t>
      </w:r>
    </w:p>
    <w:p w14:paraId="6B3EC68E" w14:textId="4937E2C5" w:rsidR="00CB6C86" w:rsidRPr="00395593" w:rsidRDefault="00CB6C86" w:rsidP="00CB6C86">
      <w:pPr>
        <w:widowControl w:val="0"/>
        <w:autoSpaceDE w:val="0"/>
        <w:autoSpaceDN w:val="0"/>
        <w:spacing w:before="2" w:after="0" w:line="550" w:lineRule="atLeast"/>
        <w:ind w:right="123"/>
        <w:jc w:val="both"/>
        <w:rPr>
          <w:rFonts w:ascii="Garamond" w:eastAsia="Times New Roman" w:hAnsi="Garamond" w:cs="Times New Roman"/>
          <w:sz w:val="24"/>
          <w:szCs w:val="24"/>
        </w:rPr>
      </w:pPr>
      <w:r w:rsidRPr="00395593">
        <w:rPr>
          <w:rFonts w:ascii="Garamond" w:eastAsia="Times New Roman" w:hAnsi="Garamond" w:cs="Times New Roman"/>
          <w:sz w:val="24"/>
          <w:szCs w:val="24"/>
        </w:rPr>
        <w:t>Para</w:t>
      </w:r>
      <w:r w:rsidRPr="00395593">
        <w:rPr>
          <w:rFonts w:ascii="Garamond" w:eastAsia="Times New Roman" w:hAnsi="Garamond" w:cs="Times New Roman"/>
          <w:spacing w:val="19"/>
          <w:sz w:val="24"/>
          <w:szCs w:val="24"/>
        </w:rPr>
        <w:t xml:space="preserve"> </w:t>
      </w:r>
      <w:r w:rsidRPr="00395593">
        <w:rPr>
          <w:rFonts w:ascii="Garamond" w:eastAsia="Times New Roman" w:hAnsi="Garamond" w:cs="Times New Roman"/>
          <w:sz w:val="24"/>
          <w:szCs w:val="24"/>
        </w:rPr>
        <w:t>as</w:t>
      </w:r>
      <w:r w:rsidRPr="00395593">
        <w:rPr>
          <w:rFonts w:ascii="Garamond" w:eastAsia="Times New Roman" w:hAnsi="Garamond" w:cs="Times New Roman"/>
          <w:spacing w:val="24"/>
          <w:sz w:val="24"/>
          <w:szCs w:val="24"/>
        </w:rPr>
        <w:t xml:space="preserve"> </w:t>
      </w:r>
      <w:r w:rsidRPr="00395593">
        <w:rPr>
          <w:rFonts w:ascii="Garamond" w:eastAsia="Times New Roman" w:hAnsi="Garamond" w:cs="Times New Roman"/>
          <w:sz w:val="24"/>
          <w:szCs w:val="24"/>
        </w:rPr>
        <w:t>finalidades</w:t>
      </w:r>
      <w:r w:rsidRPr="00395593">
        <w:rPr>
          <w:rFonts w:ascii="Garamond" w:eastAsia="Times New Roman" w:hAnsi="Garamond" w:cs="Times New Roman"/>
          <w:spacing w:val="21"/>
          <w:sz w:val="24"/>
          <w:szCs w:val="24"/>
        </w:rPr>
        <w:t xml:space="preserve"> </w:t>
      </w:r>
      <w:r w:rsidRPr="00395593">
        <w:rPr>
          <w:rFonts w:ascii="Garamond" w:eastAsia="Times New Roman" w:hAnsi="Garamond" w:cs="Times New Roman"/>
          <w:sz w:val="24"/>
          <w:szCs w:val="24"/>
        </w:rPr>
        <w:t>da</w:t>
      </w:r>
      <w:r w:rsidRPr="00395593">
        <w:rPr>
          <w:rFonts w:ascii="Garamond" w:eastAsia="Times New Roman" w:hAnsi="Garamond" w:cs="Times New Roman"/>
          <w:spacing w:val="22"/>
          <w:sz w:val="24"/>
          <w:szCs w:val="24"/>
        </w:rPr>
        <w:t xml:space="preserve"> </w:t>
      </w:r>
      <w:r w:rsidRPr="00395593">
        <w:rPr>
          <w:rFonts w:ascii="Garamond" w:eastAsia="Times New Roman" w:hAnsi="Garamond" w:cs="Times New Roman"/>
          <w:sz w:val="24"/>
          <w:szCs w:val="24"/>
        </w:rPr>
        <w:t>PARTE</w:t>
      </w:r>
      <w:r w:rsidRPr="00395593">
        <w:rPr>
          <w:rFonts w:ascii="Garamond" w:eastAsia="Times New Roman" w:hAnsi="Garamond" w:cs="Times New Roman"/>
          <w:spacing w:val="21"/>
          <w:sz w:val="24"/>
          <w:szCs w:val="24"/>
        </w:rPr>
        <w:t xml:space="preserve"> </w:t>
      </w:r>
      <w:r w:rsidRPr="00395593">
        <w:rPr>
          <w:rFonts w:ascii="Garamond" w:eastAsia="Times New Roman" w:hAnsi="Garamond" w:cs="Times New Roman"/>
          <w:sz w:val="24"/>
          <w:szCs w:val="24"/>
        </w:rPr>
        <w:t>V,</w:t>
      </w:r>
      <w:r w:rsidRPr="00395593">
        <w:rPr>
          <w:rFonts w:ascii="Garamond" w:eastAsia="Times New Roman" w:hAnsi="Garamond" w:cs="Times New Roman"/>
          <w:spacing w:val="20"/>
          <w:sz w:val="24"/>
          <w:szCs w:val="24"/>
        </w:rPr>
        <w:t xml:space="preserve"> </w:t>
      </w:r>
      <w:r w:rsidRPr="00395593">
        <w:rPr>
          <w:rFonts w:ascii="Garamond" w:eastAsia="Times New Roman" w:hAnsi="Garamond" w:cs="Times New Roman"/>
          <w:sz w:val="24"/>
          <w:szCs w:val="24"/>
        </w:rPr>
        <w:t>qualquer</w:t>
      </w:r>
      <w:r w:rsidRPr="00395593">
        <w:rPr>
          <w:rFonts w:ascii="Garamond" w:eastAsia="Times New Roman" w:hAnsi="Garamond" w:cs="Times New Roman"/>
          <w:spacing w:val="22"/>
          <w:sz w:val="24"/>
          <w:szCs w:val="24"/>
        </w:rPr>
        <w:t xml:space="preserve"> </w:t>
      </w:r>
      <w:r w:rsidRPr="00395593">
        <w:rPr>
          <w:rFonts w:ascii="Garamond" w:eastAsia="Times New Roman" w:hAnsi="Garamond" w:cs="Times New Roman"/>
          <w:sz w:val="24"/>
          <w:szCs w:val="24"/>
        </w:rPr>
        <w:t>método</w:t>
      </w:r>
      <w:r w:rsidRPr="00395593">
        <w:rPr>
          <w:rFonts w:ascii="Garamond" w:eastAsia="Times New Roman" w:hAnsi="Garamond" w:cs="Times New Roman"/>
          <w:spacing w:val="21"/>
          <w:sz w:val="24"/>
          <w:szCs w:val="24"/>
        </w:rPr>
        <w:t xml:space="preserve"> </w:t>
      </w:r>
      <w:r w:rsidRPr="00395593">
        <w:rPr>
          <w:rFonts w:ascii="Garamond" w:eastAsia="Times New Roman" w:hAnsi="Garamond" w:cs="Times New Roman"/>
          <w:sz w:val="24"/>
          <w:szCs w:val="24"/>
        </w:rPr>
        <w:t>utilizado</w:t>
      </w:r>
      <w:r w:rsidRPr="00395593">
        <w:rPr>
          <w:rFonts w:ascii="Garamond" w:eastAsia="Times New Roman" w:hAnsi="Garamond" w:cs="Times New Roman"/>
          <w:spacing w:val="21"/>
          <w:sz w:val="24"/>
          <w:szCs w:val="24"/>
        </w:rPr>
        <w:t xml:space="preserve"> </w:t>
      </w:r>
      <w:r w:rsidRPr="00395593">
        <w:rPr>
          <w:rFonts w:ascii="Garamond" w:eastAsia="Times New Roman" w:hAnsi="Garamond" w:cs="Times New Roman"/>
          <w:sz w:val="24"/>
          <w:szCs w:val="24"/>
        </w:rPr>
        <w:t>pela</w:t>
      </w:r>
      <w:r w:rsidRPr="00395593">
        <w:rPr>
          <w:rFonts w:ascii="Garamond" w:eastAsia="Times New Roman" w:hAnsi="Garamond" w:cs="Times New Roman"/>
          <w:spacing w:val="20"/>
          <w:sz w:val="24"/>
          <w:szCs w:val="24"/>
        </w:rPr>
        <w:t xml:space="preserve"> </w:t>
      </w:r>
      <w:r w:rsidRPr="00395593">
        <w:rPr>
          <w:rFonts w:ascii="Garamond" w:eastAsia="Times New Roman" w:hAnsi="Garamond" w:cs="Times New Roman"/>
          <w:sz w:val="24"/>
          <w:szCs w:val="24"/>
        </w:rPr>
        <w:t>autoridade</w:t>
      </w:r>
      <w:r w:rsidR="00085B18" w:rsidRPr="00395593">
        <w:rPr>
          <w:rFonts w:ascii="Garamond" w:eastAsia="Times New Roman" w:hAnsi="Garamond" w:cs="Times New Roman"/>
          <w:sz w:val="24"/>
          <w:szCs w:val="24"/>
        </w:rPr>
        <w:t xml:space="preserve"> </w:t>
      </w:r>
    </w:p>
    <w:p w14:paraId="6254241A" w14:textId="77777777" w:rsidR="00CB6C86" w:rsidRPr="00395593" w:rsidRDefault="00CB6C86" w:rsidP="00CB6C86">
      <w:pPr>
        <w:widowControl w:val="0"/>
        <w:autoSpaceDE w:val="0"/>
        <w:autoSpaceDN w:val="0"/>
        <w:spacing w:before="2" w:after="0" w:line="240" w:lineRule="auto"/>
        <w:ind w:right="120"/>
        <w:jc w:val="both"/>
        <w:rPr>
          <w:rFonts w:ascii="Garamond" w:eastAsia="Times New Roman" w:hAnsi="Garamond" w:cs="Times New Roman"/>
          <w:sz w:val="24"/>
          <w:szCs w:val="24"/>
        </w:rPr>
      </w:pPr>
      <w:r w:rsidRPr="00395593">
        <w:rPr>
          <w:rFonts w:ascii="Garamond" w:eastAsia="Times New Roman" w:hAnsi="Garamond" w:cs="Times New Roman"/>
          <w:sz w:val="24"/>
          <w:szCs w:val="24"/>
        </w:rPr>
        <w:t>investigadora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para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calcular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vantagem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percebida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pelo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beneficiário,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acordo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com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parágrafo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1</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Artigo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1,</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deverá</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estar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previsto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legislação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nacional</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ou</w:t>
      </w:r>
      <w:r w:rsidRPr="00395593">
        <w:rPr>
          <w:rFonts w:ascii="Garamond" w:eastAsia="Times New Roman" w:hAnsi="Garamond" w:cs="Times New Roman"/>
          <w:spacing w:val="61"/>
          <w:sz w:val="24"/>
          <w:szCs w:val="24"/>
        </w:rPr>
        <w:t xml:space="preserve"> </w:t>
      </w:r>
      <w:r w:rsidRPr="00395593">
        <w:rPr>
          <w:rFonts w:ascii="Garamond" w:eastAsia="Times New Roman" w:hAnsi="Garamond" w:cs="Times New Roman"/>
          <w:sz w:val="24"/>
          <w:szCs w:val="24"/>
        </w:rPr>
        <w:t>em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regulamentação complementar do Membro em questão e sua aplicação a qualquer caso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particular será transparente e claramente explicado. Além disso, qualquer método dessa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natureza</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deverá</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ser compatível com as seguintes diretrizes:</w:t>
      </w:r>
    </w:p>
    <w:p w14:paraId="50F9F6A6"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20782C27" w14:textId="7D0465DE" w:rsidR="00CB6C86" w:rsidRPr="00395593" w:rsidRDefault="00CB6C86" w:rsidP="002C4340">
      <w:pPr>
        <w:widowControl w:val="0"/>
        <w:numPr>
          <w:ilvl w:val="1"/>
          <w:numId w:val="52"/>
        </w:numPr>
        <w:tabs>
          <w:tab w:val="left" w:pos="1153"/>
        </w:tabs>
        <w:autoSpaceDE w:val="0"/>
        <w:autoSpaceDN w:val="0"/>
        <w:spacing w:after="0" w:line="240" w:lineRule="auto"/>
        <w:ind w:left="1181" w:right="118" w:hanging="360"/>
        <w:rPr>
          <w:rFonts w:ascii="Garamond" w:eastAsia="Times New Roman" w:hAnsi="Garamond" w:cs="Times New Roman"/>
          <w:sz w:val="24"/>
        </w:rPr>
      </w:pPr>
      <w:r w:rsidRPr="00395593">
        <w:rPr>
          <w:rFonts w:ascii="Garamond" w:eastAsia="Times New Roman" w:hAnsi="Garamond" w:cs="Times New Roman"/>
          <w:sz w:val="24"/>
        </w:rPr>
        <w:t>não</w:t>
      </w:r>
      <w:r w:rsidRPr="00395593">
        <w:rPr>
          <w:rFonts w:ascii="Garamond" w:eastAsia="Times New Roman" w:hAnsi="Garamond" w:cs="Times New Roman"/>
          <w:spacing w:val="6"/>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6"/>
          <w:sz w:val="24"/>
        </w:rPr>
        <w:t xml:space="preserve"> </w:t>
      </w:r>
      <w:r w:rsidRPr="00395593">
        <w:rPr>
          <w:rFonts w:ascii="Garamond" w:eastAsia="Times New Roman" w:hAnsi="Garamond" w:cs="Times New Roman"/>
          <w:sz w:val="24"/>
        </w:rPr>
        <w:t>considerará</w:t>
      </w:r>
      <w:r w:rsidRPr="00395593">
        <w:rPr>
          <w:rFonts w:ascii="Garamond" w:eastAsia="Times New Roman" w:hAnsi="Garamond" w:cs="Times New Roman"/>
          <w:spacing w:val="6"/>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6"/>
          <w:sz w:val="24"/>
        </w:rPr>
        <w:t xml:space="preserve"> </w:t>
      </w:r>
      <w:r w:rsidRPr="00395593">
        <w:rPr>
          <w:rFonts w:ascii="Garamond" w:eastAsia="Times New Roman" w:hAnsi="Garamond" w:cs="Times New Roman"/>
          <w:sz w:val="24"/>
        </w:rPr>
        <w:t>aporte</w:t>
      </w:r>
      <w:r w:rsidRPr="00395593">
        <w:rPr>
          <w:rFonts w:ascii="Garamond" w:eastAsia="Times New Roman" w:hAnsi="Garamond" w:cs="Times New Roman"/>
          <w:spacing w:val="5"/>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capital</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social</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constitua</w:t>
      </w:r>
      <w:r w:rsidRPr="00395593">
        <w:rPr>
          <w:rFonts w:ascii="Garamond" w:eastAsia="Times New Roman" w:hAnsi="Garamond" w:cs="Times New Roman"/>
          <w:spacing w:val="6"/>
          <w:sz w:val="24"/>
        </w:rPr>
        <w:t xml:space="preserve"> </w:t>
      </w:r>
      <w:r w:rsidRPr="00395593">
        <w:rPr>
          <w:rFonts w:ascii="Garamond" w:eastAsia="Times New Roman" w:hAnsi="Garamond" w:cs="Times New Roman"/>
          <w:sz w:val="24"/>
        </w:rPr>
        <w:t>vantagem,</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menos</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4"/>
          <w:sz w:val="24"/>
        </w:rPr>
        <w:t xml:space="preserve"> </w:t>
      </w:r>
      <w:r w:rsidRPr="00395593">
        <w:rPr>
          <w:rFonts w:ascii="Garamond" w:eastAsia="Times New Roman" w:hAnsi="Garamond" w:cs="Times New Roman"/>
          <w:sz w:val="24"/>
        </w:rPr>
        <w:t>possa</w:t>
      </w:r>
      <w:r w:rsidRPr="00395593">
        <w:rPr>
          <w:rFonts w:ascii="Garamond" w:eastAsia="Times New Roman" w:hAnsi="Garamond" w:cs="Times New Roman"/>
          <w:spacing w:val="15"/>
          <w:sz w:val="24"/>
        </w:rPr>
        <w:t xml:space="preserve"> </w:t>
      </w:r>
      <w:r w:rsidRPr="00395593">
        <w:rPr>
          <w:rFonts w:ascii="Garamond" w:eastAsia="Times New Roman" w:hAnsi="Garamond" w:cs="Times New Roman"/>
          <w:sz w:val="24"/>
        </w:rPr>
        <w:t>considerar</w:t>
      </w:r>
      <w:r w:rsidRPr="00395593">
        <w:rPr>
          <w:rFonts w:ascii="Garamond" w:eastAsia="Times New Roman" w:hAnsi="Garamond" w:cs="Times New Roman"/>
          <w:spacing w:val="14"/>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4"/>
          <w:sz w:val="24"/>
        </w:rPr>
        <w:t xml:space="preserve"> </w:t>
      </w:r>
      <w:r w:rsidRPr="00395593">
        <w:rPr>
          <w:rFonts w:ascii="Garamond" w:eastAsia="Times New Roman" w:hAnsi="Garamond" w:cs="Times New Roman"/>
          <w:sz w:val="24"/>
        </w:rPr>
        <w:t>decisão</w:t>
      </w:r>
      <w:r w:rsidRPr="00395593">
        <w:rPr>
          <w:rFonts w:ascii="Garamond" w:eastAsia="Times New Roman" w:hAnsi="Garamond" w:cs="Times New Roman"/>
          <w:spacing w:val="15"/>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4"/>
          <w:sz w:val="24"/>
        </w:rPr>
        <w:t xml:space="preserve"> </w:t>
      </w:r>
      <w:r w:rsidRPr="00395593">
        <w:rPr>
          <w:rFonts w:ascii="Garamond" w:eastAsia="Times New Roman" w:hAnsi="Garamond" w:cs="Times New Roman"/>
          <w:sz w:val="24"/>
        </w:rPr>
        <w:t>investir</w:t>
      </w:r>
      <w:r w:rsidRPr="00395593">
        <w:rPr>
          <w:rFonts w:ascii="Garamond" w:eastAsia="Times New Roman" w:hAnsi="Garamond" w:cs="Times New Roman"/>
          <w:spacing w:val="15"/>
          <w:sz w:val="24"/>
        </w:rPr>
        <w:t xml:space="preserve"> </w:t>
      </w:r>
      <w:r w:rsidRPr="00395593">
        <w:rPr>
          <w:rFonts w:ascii="Garamond" w:eastAsia="Times New Roman" w:hAnsi="Garamond" w:cs="Times New Roman"/>
          <w:sz w:val="24"/>
        </w:rPr>
        <w:t>seja</w:t>
      </w:r>
      <w:r w:rsidRPr="00395593">
        <w:rPr>
          <w:rFonts w:ascii="Garamond" w:eastAsia="Times New Roman" w:hAnsi="Garamond" w:cs="Times New Roman"/>
          <w:spacing w:val="17"/>
          <w:sz w:val="24"/>
        </w:rPr>
        <w:t xml:space="preserve"> </w:t>
      </w:r>
      <w:r w:rsidRPr="00395593">
        <w:rPr>
          <w:rFonts w:ascii="Garamond" w:eastAsia="Times New Roman" w:hAnsi="Garamond" w:cs="Times New Roman"/>
          <w:sz w:val="24"/>
        </w:rPr>
        <w:t>incompatível</w:t>
      </w:r>
      <w:r w:rsidRPr="00395593">
        <w:rPr>
          <w:rFonts w:ascii="Garamond" w:eastAsia="Times New Roman" w:hAnsi="Garamond" w:cs="Times New Roman"/>
          <w:spacing w:val="16"/>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6"/>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22"/>
          <w:sz w:val="24"/>
        </w:rPr>
        <w:t xml:space="preserve"> </w:t>
      </w:r>
      <w:r w:rsidRPr="00395593">
        <w:rPr>
          <w:rFonts w:ascii="Garamond" w:eastAsia="Times New Roman" w:hAnsi="Garamond" w:cs="Times New Roman"/>
          <w:sz w:val="24"/>
        </w:rPr>
        <w:t>práticas</w:t>
      </w:r>
    </w:p>
    <w:p w14:paraId="2CC50031" w14:textId="77777777" w:rsidR="00D65665" w:rsidRPr="005C5CBD" w:rsidRDefault="00D65665" w:rsidP="00D65665">
      <w:pPr>
        <w:widowControl w:val="0"/>
        <w:tabs>
          <w:tab w:val="left" w:pos="1153"/>
        </w:tabs>
        <w:autoSpaceDE w:val="0"/>
        <w:autoSpaceDN w:val="0"/>
        <w:spacing w:after="0" w:line="240" w:lineRule="auto"/>
        <w:ind w:left="1181" w:right="118"/>
        <w:rPr>
          <w:rFonts w:ascii="Garamond" w:eastAsia="Times New Roman" w:hAnsi="Garamond" w:cs="Times New Roman"/>
          <w:sz w:val="24"/>
        </w:rPr>
      </w:pPr>
    </w:p>
    <w:p w14:paraId="5E794276" w14:textId="0966686E" w:rsidR="00CB6C86" w:rsidRPr="00395593" w:rsidRDefault="00CB6C86" w:rsidP="00CB6C86">
      <w:pPr>
        <w:widowControl w:val="0"/>
        <w:autoSpaceDE w:val="0"/>
        <w:autoSpaceDN w:val="0"/>
        <w:spacing w:after="0" w:line="240" w:lineRule="auto"/>
        <w:rPr>
          <w:rFonts w:ascii="Garamond" w:eastAsia="Times New Roman" w:hAnsi="Garamond" w:cs="Times New Roman"/>
          <w:sz w:val="15"/>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73" behindDoc="1" locked="0" layoutInCell="1" allowOverlap="1" wp14:anchorId="724726CA" wp14:editId="32873E1B">
                <wp:simplePos x="0" y="0"/>
                <wp:positionH relativeFrom="page">
                  <wp:posOffset>1080770</wp:posOffset>
                </wp:positionH>
                <wp:positionV relativeFrom="paragraph">
                  <wp:posOffset>125095</wp:posOffset>
                </wp:positionV>
                <wp:extent cx="1828800" cy="7620"/>
                <wp:effectExtent l="4445" t="1270" r="0" b="635"/>
                <wp:wrapTopAndBottom/>
                <wp:docPr id="420" name="Retângulo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5BDAE" id="Retângulo 420" o:spid="_x0000_s1026" style="position:absolute;margin-left:85.1pt;margin-top:9.85pt;width:2in;height:.6pt;z-index:-2516582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" fillcolor="black" stroked="f">
                <w10:wrap type="topAndBottom" anchorx="page"/>
              </v:rect>
            </w:pict>
          </mc:Fallback>
        </mc:AlternateContent>
      </w:r>
    </w:p>
    <w:p w14:paraId="6CF7876D" w14:textId="77777777" w:rsidR="00CB6C86" w:rsidRPr="00395593" w:rsidRDefault="00CB6C86" w:rsidP="00CB6C86">
      <w:pPr>
        <w:widowControl w:val="0"/>
        <w:autoSpaceDE w:val="0"/>
        <w:autoSpaceDN w:val="0"/>
        <w:spacing w:before="103" w:after="0" w:line="240" w:lineRule="auto"/>
        <w:ind w:right="122"/>
        <w:jc w:val="both"/>
        <w:rPr>
          <w:rFonts w:ascii="Garamond" w:eastAsia="Times New Roman" w:hAnsi="Garamond" w:cs="Times New Roman"/>
          <w:sz w:val="20"/>
        </w:rPr>
      </w:pPr>
      <w:r w:rsidRPr="00395593">
        <w:rPr>
          <w:rFonts w:ascii="Garamond" w:eastAsia="Times New Roman" w:hAnsi="Garamond" w:cs="Times New Roman"/>
          <w:sz w:val="20"/>
          <w:vertAlign w:val="superscript"/>
        </w:rPr>
        <w:t>44</w:t>
      </w:r>
      <w:r w:rsidRPr="00395593">
        <w:rPr>
          <w:rFonts w:ascii="Garamond" w:eastAsia="Times New Roman" w:hAnsi="Garamond" w:cs="Times New Roman"/>
          <w:sz w:val="20"/>
        </w:rPr>
        <w:t xml:space="preserve"> É particularmente importante, de acordo com o disposto neste parágrafo, que não se chegue a qualquer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conclusão afirmativa, preliminar ou definitiva, sem que se tenham oferecido razoáveis oportunidades para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consultas. Tais consultas poderão fornecer a base para o procedimento previsto nas disposições das PARTES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II,</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III 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X.</w:t>
      </w:r>
    </w:p>
    <w:p w14:paraId="46DBF8BD" w14:textId="77777777" w:rsidR="004A450E" w:rsidRPr="005C5CBD" w:rsidRDefault="004A450E" w:rsidP="00E33E26">
      <w:pPr>
        <w:widowControl w:val="0"/>
        <w:autoSpaceDE w:val="0"/>
        <w:autoSpaceDN w:val="0"/>
        <w:spacing w:before="68" w:after="0" w:line="240" w:lineRule="auto"/>
        <w:jc w:val="both"/>
        <w:rPr>
          <w:rFonts w:ascii="Garamond" w:eastAsia="Times New Roman" w:hAnsi="Garamond" w:cs="Times New Roman"/>
          <w:sz w:val="24"/>
          <w:szCs w:val="24"/>
        </w:rPr>
      </w:pPr>
    </w:p>
    <w:p w14:paraId="22E6301C" w14:textId="77777777" w:rsidR="00D65665" w:rsidRDefault="00D65665">
      <w:pPr>
        <w:rPr>
          <w:rFonts w:ascii="Garamond" w:eastAsia="Times New Roman" w:hAnsi="Garamond" w:cs="Times New Roman"/>
          <w:sz w:val="24"/>
          <w:szCs w:val="24"/>
        </w:rPr>
      </w:pPr>
      <w:r>
        <w:rPr>
          <w:rFonts w:ascii="Garamond" w:eastAsia="Times New Roman" w:hAnsi="Garamond" w:cs="Times New Roman"/>
          <w:sz w:val="24"/>
          <w:szCs w:val="24"/>
        </w:rPr>
        <w:br w:type="page"/>
      </w:r>
    </w:p>
    <w:p w14:paraId="5108DD2C" w14:textId="49176E10" w:rsidR="00CB6C86" w:rsidRPr="00395593" w:rsidRDefault="00CB6C86" w:rsidP="00655FD9">
      <w:pPr>
        <w:widowControl w:val="0"/>
        <w:autoSpaceDE w:val="0"/>
        <w:autoSpaceDN w:val="0"/>
        <w:spacing w:before="68" w:after="0" w:line="240" w:lineRule="auto"/>
        <w:jc w:val="both"/>
        <w:rPr>
          <w:rFonts w:ascii="Garamond" w:eastAsia="Times New Roman" w:hAnsi="Garamond" w:cs="Times New Roman"/>
          <w:sz w:val="24"/>
          <w:szCs w:val="24"/>
        </w:rPr>
      </w:pPr>
      <w:r w:rsidRPr="00395593">
        <w:rPr>
          <w:rFonts w:ascii="Garamond" w:eastAsia="Times New Roman" w:hAnsi="Garamond" w:cs="Times New Roman"/>
          <w:sz w:val="24"/>
          <w:szCs w:val="24"/>
        </w:rPr>
        <w:t>de</w:t>
      </w:r>
      <w:r w:rsidRPr="00395593">
        <w:rPr>
          <w:rFonts w:ascii="Garamond" w:eastAsia="Times New Roman" w:hAnsi="Garamond" w:cs="Times New Roman"/>
          <w:spacing w:val="13"/>
          <w:sz w:val="24"/>
          <w:szCs w:val="24"/>
        </w:rPr>
        <w:t xml:space="preserve"> </w:t>
      </w:r>
      <w:r w:rsidRPr="00395593">
        <w:rPr>
          <w:rFonts w:ascii="Garamond" w:eastAsia="Times New Roman" w:hAnsi="Garamond" w:cs="Times New Roman"/>
          <w:sz w:val="24"/>
          <w:szCs w:val="24"/>
        </w:rPr>
        <w:t>investimento</w:t>
      </w:r>
      <w:r w:rsidRPr="00395593">
        <w:rPr>
          <w:rFonts w:ascii="Garamond" w:eastAsia="Times New Roman" w:hAnsi="Garamond" w:cs="Times New Roman"/>
          <w:spacing w:val="14"/>
          <w:sz w:val="24"/>
          <w:szCs w:val="24"/>
        </w:rPr>
        <w:t xml:space="preserve"> </w:t>
      </w:r>
      <w:r w:rsidRPr="00395593">
        <w:rPr>
          <w:rFonts w:ascii="Garamond" w:eastAsia="Times New Roman" w:hAnsi="Garamond" w:cs="Times New Roman"/>
          <w:sz w:val="24"/>
          <w:szCs w:val="24"/>
        </w:rPr>
        <w:t>habituais</w:t>
      </w:r>
      <w:r w:rsidRPr="00395593">
        <w:rPr>
          <w:rFonts w:ascii="Garamond" w:eastAsia="Times New Roman" w:hAnsi="Garamond" w:cs="Times New Roman"/>
          <w:spacing w:val="14"/>
          <w:sz w:val="24"/>
          <w:szCs w:val="24"/>
        </w:rPr>
        <w:t xml:space="preserve"> </w:t>
      </w:r>
      <w:r w:rsidRPr="00395593">
        <w:rPr>
          <w:rFonts w:ascii="Garamond" w:eastAsia="Times New Roman" w:hAnsi="Garamond" w:cs="Times New Roman"/>
          <w:sz w:val="24"/>
          <w:szCs w:val="24"/>
        </w:rPr>
        <w:t>(inclusive</w:t>
      </w:r>
      <w:r w:rsidRPr="00395593">
        <w:rPr>
          <w:rFonts w:ascii="Garamond" w:eastAsia="Times New Roman" w:hAnsi="Garamond" w:cs="Times New Roman"/>
          <w:spacing w:val="13"/>
          <w:sz w:val="24"/>
          <w:szCs w:val="24"/>
        </w:rPr>
        <w:t xml:space="preserve"> </w:t>
      </w:r>
      <w:r w:rsidRPr="00395593">
        <w:rPr>
          <w:rFonts w:ascii="Garamond" w:eastAsia="Times New Roman" w:hAnsi="Garamond" w:cs="Times New Roman"/>
          <w:sz w:val="24"/>
          <w:szCs w:val="24"/>
        </w:rPr>
        <w:t>para</w:t>
      </w:r>
      <w:r w:rsidRPr="00395593">
        <w:rPr>
          <w:rFonts w:ascii="Garamond" w:eastAsia="Times New Roman" w:hAnsi="Garamond" w:cs="Times New Roman"/>
          <w:spacing w:val="12"/>
          <w:sz w:val="24"/>
          <w:szCs w:val="24"/>
        </w:rPr>
        <w:t xml:space="preserve"> </w:t>
      </w:r>
      <w:r w:rsidRPr="00395593">
        <w:rPr>
          <w:rFonts w:ascii="Garamond" w:eastAsia="Times New Roman" w:hAnsi="Garamond" w:cs="Times New Roman"/>
          <w:sz w:val="24"/>
          <w:szCs w:val="24"/>
        </w:rPr>
        <w:t>o</w:t>
      </w:r>
      <w:r w:rsidRPr="00395593">
        <w:rPr>
          <w:rFonts w:ascii="Garamond" w:eastAsia="Times New Roman" w:hAnsi="Garamond" w:cs="Times New Roman"/>
          <w:spacing w:val="16"/>
          <w:sz w:val="24"/>
          <w:szCs w:val="24"/>
        </w:rPr>
        <w:t xml:space="preserve"> </w:t>
      </w:r>
      <w:r w:rsidRPr="00395593">
        <w:rPr>
          <w:rFonts w:ascii="Garamond" w:eastAsia="Times New Roman" w:hAnsi="Garamond" w:cs="Times New Roman"/>
          <w:sz w:val="24"/>
          <w:szCs w:val="24"/>
        </w:rPr>
        <w:t>aporte</w:t>
      </w:r>
      <w:r w:rsidRPr="00395593">
        <w:rPr>
          <w:rFonts w:ascii="Garamond" w:eastAsia="Times New Roman" w:hAnsi="Garamond" w:cs="Times New Roman"/>
          <w:spacing w:val="12"/>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13"/>
          <w:sz w:val="24"/>
          <w:szCs w:val="24"/>
        </w:rPr>
        <w:t xml:space="preserve"> </w:t>
      </w:r>
      <w:r w:rsidRPr="00395593">
        <w:rPr>
          <w:rFonts w:ascii="Garamond" w:eastAsia="Times New Roman" w:hAnsi="Garamond" w:cs="Times New Roman"/>
          <w:sz w:val="24"/>
          <w:szCs w:val="24"/>
        </w:rPr>
        <w:t>capital</w:t>
      </w:r>
      <w:r w:rsidRPr="00395593">
        <w:rPr>
          <w:rFonts w:ascii="Garamond" w:eastAsia="Times New Roman" w:hAnsi="Garamond" w:cs="Times New Roman"/>
          <w:spacing w:val="14"/>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13"/>
          <w:sz w:val="24"/>
          <w:szCs w:val="24"/>
        </w:rPr>
        <w:t xml:space="preserve"> </w:t>
      </w:r>
      <w:r w:rsidRPr="00395593">
        <w:rPr>
          <w:rFonts w:ascii="Garamond" w:eastAsia="Times New Roman" w:hAnsi="Garamond" w:cs="Times New Roman"/>
          <w:sz w:val="24"/>
          <w:szCs w:val="24"/>
        </w:rPr>
        <w:t>risco)</w:t>
      </w:r>
      <w:r w:rsidRPr="00395593">
        <w:rPr>
          <w:rFonts w:ascii="Garamond" w:eastAsia="Times New Roman" w:hAnsi="Garamond" w:cs="Times New Roman"/>
          <w:spacing w:val="13"/>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investidores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privados no</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território daquele Membro;</w:t>
      </w:r>
    </w:p>
    <w:p w14:paraId="5C19CDDB"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16"/>
          <w:szCs w:val="16"/>
        </w:rPr>
      </w:pPr>
    </w:p>
    <w:p w14:paraId="64FB2179" w14:textId="77777777" w:rsidR="00CB6C86" w:rsidRPr="00395593" w:rsidRDefault="00CB6C86" w:rsidP="002C4340">
      <w:pPr>
        <w:widowControl w:val="0"/>
        <w:numPr>
          <w:ilvl w:val="1"/>
          <w:numId w:val="52"/>
        </w:numPr>
        <w:tabs>
          <w:tab w:val="left" w:pos="1194"/>
        </w:tabs>
        <w:autoSpaceDE w:val="0"/>
        <w:autoSpaceDN w:val="0"/>
        <w:spacing w:after="0" w:line="240" w:lineRule="auto"/>
        <w:ind w:left="1181" w:right="118" w:hanging="360"/>
        <w:jc w:val="both"/>
        <w:rPr>
          <w:rFonts w:ascii="Garamond" w:eastAsia="Times New Roman" w:hAnsi="Garamond" w:cs="Times New Roman"/>
          <w:sz w:val="24"/>
        </w:rPr>
      </w:pPr>
      <w:r w:rsidRPr="00395593">
        <w:rPr>
          <w:rFonts w:ascii="Garamond" w:eastAsia="Times New Roman" w:hAnsi="Garamond" w:cs="Times New Roman"/>
          <w:sz w:val="24"/>
        </w:rPr>
        <w:t>Não se considerará que empréstimo do governo constitua vantagem, a menos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 haja diferença entre o montante que a empresa recebedora do empréstimo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pagar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empréstimo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montante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essa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empresa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pagaria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empréstimo comercial equivalente que poderia normalmente obter no mercado.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Nesse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caso,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vantagem será</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diferença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entre esses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dois montantes.</w:t>
      </w:r>
    </w:p>
    <w:p w14:paraId="114013C6"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16"/>
          <w:szCs w:val="16"/>
        </w:rPr>
      </w:pPr>
    </w:p>
    <w:p w14:paraId="62434D39" w14:textId="77777777" w:rsidR="00CB6C86" w:rsidRPr="00395593" w:rsidRDefault="00CB6C86" w:rsidP="002C4340">
      <w:pPr>
        <w:widowControl w:val="0"/>
        <w:numPr>
          <w:ilvl w:val="1"/>
          <w:numId w:val="52"/>
        </w:numPr>
        <w:tabs>
          <w:tab w:val="left" w:pos="1209"/>
        </w:tabs>
        <w:autoSpaceDE w:val="0"/>
        <w:autoSpaceDN w:val="0"/>
        <w:spacing w:after="0" w:line="240" w:lineRule="auto"/>
        <w:ind w:left="1181" w:right="120" w:hanging="360"/>
        <w:jc w:val="both"/>
        <w:rPr>
          <w:rFonts w:ascii="Garamond" w:eastAsia="Times New Roman" w:hAnsi="Garamond" w:cs="Times New Roman"/>
          <w:sz w:val="24"/>
        </w:rPr>
      </w:pP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considerará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garantia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creditícia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fornecida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governo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constitua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vantagem,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haja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diferença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entre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montante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empresa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recebedora da garantia paga pelo empréstimo assim garantido e o montante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empresa pagaria por empréstimo comercial</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sem garantia do governo. Nesse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caso, constitui vantagem a diferença entre esses dois montantes, calculada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molde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levar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conta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qualquer</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diferenças por taxas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comissões.</w:t>
      </w:r>
    </w:p>
    <w:p w14:paraId="4AF669AF" w14:textId="77777777" w:rsidR="00CB6C86" w:rsidRPr="00395593" w:rsidRDefault="00CB6C86" w:rsidP="00655FD9">
      <w:pPr>
        <w:widowControl w:val="0"/>
        <w:autoSpaceDE w:val="0"/>
        <w:autoSpaceDN w:val="0"/>
        <w:spacing w:before="1" w:after="0" w:line="240" w:lineRule="auto"/>
        <w:jc w:val="both"/>
        <w:rPr>
          <w:rFonts w:ascii="Garamond" w:eastAsia="Times New Roman" w:hAnsi="Garamond" w:cs="Times New Roman"/>
          <w:sz w:val="16"/>
          <w:szCs w:val="16"/>
        </w:rPr>
      </w:pPr>
    </w:p>
    <w:p w14:paraId="6A414094" w14:textId="77777777" w:rsidR="00CB6C86" w:rsidRPr="00395593" w:rsidRDefault="00CB6C86" w:rsidP="002C4340">
      <w:pPr>
        <w:widowControl w:val="0"/>
        <w:numPr>
          <w:ilvl w:val="1"/>
          <w:numId w:val="52"/>
        </w:numPr>
        <w:tabs>
          <w:tab w:val="left" w:pos="1204"/>
        </w:tabs>
        <w:autoSpaceDE w:val="0"/>
        <w:autoSpaceDN w:val="0"/>
        <w:spacing w:after="0" w:line="240" w:lineRule="auto"/>
        <w:ind w:left="1181" w:right="121" w:hanging="360"/>
        <w:jc w:val="both"/>
        <w:rPr>
          <w:rFonts w:ascii="Garamond" w:eastAsia="Times New Roman" w:hAnsi="Garamond" w:cs="Times New Roman"/>
          <w:sz w:val="24"/>
        </w:rPr>
      </w:pPr>
      <w:r w:rsidRPr="00395593">
        <w:rPr>
          <w:rFonts w:ascii="Garamond" w:eastAsia="Times New Roman" w:hAnsi="Garamond" w:cs="Times New Roman"/>
          <w:sz w:val="24"/>
        </w:rPr>
        <w:t>não se considerará que o fornecimento de bens ou serviços ou a compra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mercadorias pelo governo constitua vantagem, a menos que o fornecimento seja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realizado por valor inferior ao da remuneração adequada ou que a compra seja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realizada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valor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superior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remuneração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adequada.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adequação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remuneração será determinada em relação às condições mercadológicas vigentes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para a mercadoria ou o serviço em causa no país de fornecimento ou compra (aí</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incluídos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preço,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disponibilidade,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comerciabilidade,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transporte</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outras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condições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compra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ou venda).</w:t>
      </w:r>
    </w:p>
    <w:p w14:paraId="64575E15" w14:textId="77777777" w:rsidR="00CB6C86" w:rsidRPr="00395593" w:rsidRDefault="00CB6C86" w:rsidP="00085B18">
      <w:pPr>
        <w:widowControl w:val="0"/>
        <w:autoSpaceDE w:val="0"/>
        <w:autoSpaceDN w:val="0"/>
        <w:spacing w:after="0" w:line="240" w:lineRule="auto"/>
        <w:jc w:val="center"/>
        <w:rPr>
          <w:rFonts w:ascii="Garamond" w:eastAsia="Times New Roman" w:hAnsi="Garamond" w:cs="Times New Roman"/>
          <w:b/>
          <w:sz w:val="24"/>
          <w:szCs w:val="24"/>
        </w:rPr>
      </w:pPr>
    </w:p>
    <w:p w14:paraId="06C13030"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15</w:t>
      </w:r>
    </w:p>
    <w:p w14:paraId="3C624BC6" w14:textId="77777777" w:rsidR="00CB6C86" w:rsidRPr="00395593" w:rsidRDefault="00CB6C86" w:rsidP="007C2541">
      <w:pPr>
        <w:widowControl w:val="0"/>
        <w:autoSpaceDE w:val="0"/>
        <w:autoSpaceDN w:val="0"/>
        <w:spacing w:after="0" w:line="240" w:lineRule="auto"/>
        <w:jc w:val="center"/>
        <w:rPr>
          <w:rFonts w:ascii="Garamond" w:eastAsia="Times New Roman" w:hAnsi="Garamond" w:cs="Times New Roman"/>
          <w:b/>
          <w:sz w:val="24"/>
          <w:szCs w:val="24"/>
        </w:rPr>
      </w:pPr>
    </w:p>
    <w:p w14:paraId="2201B676" w14:textId="77777777" w:rsidR="00CB6C86" w:rsidRPr="00395593" w:rsidRDefault="00CB6C86" w:rsidP="007C2541">
      <w:pPr>
        <w:widowControl w:val="0"/>
        <w:autoSpaceDE w:val="0"/>
        <w:autoSpaceDN w:val="0"/>
        <w:spacing w:after="0" w:line="240" w:lineRule="auto"/>
        <w:ind w:right="143"/>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Determinação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de</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Dano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vertAlign w:val="superscript"/>
        </w:rPr>
        <w:t>45</w:t>
      </w:r>
    </w:p>
    <w:p w14:paraId="36C183F1"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16"/>
          <w:szCs w:val="16"/>
        </w:rPr>
      </w:pPr>
    </w:p>
    <w:p w14:paraId="38EF7B6F" w14:textId="77777777" w:rsidR="00CB6C86" w:rsidRPr="00395593" w:rsidRDefault="00CB6C86" w:rsidP="00655FD9">
      <w:pPr>
        <w:widowControl w:val="0"/>
        <w:autoSpaceDE w:val="0"/>
        <w:autoSpaceDN w:val="0"/>
        <w:spacing w:after="0" w:line="240" w:lineRule="auto"/>
        <w:ind w:right="115"/>
        <w:jc w:val="both"/>
        <w:rPr>
          <w:rFonts w:ascii="Garamond" w:eastAsia="Times New Roman" w:hAnsi="Garamond" w:cs="Times New Roman"/>
          <w:sz w:val="24"/>
          <w:szCs w:val="24"/>
        </w:rPr>
      </w:pPr>
      <w:r w:rsidRPr="00395593">
        <w:rPr>
          <w:rFonts w:ascii="Garamond" w:eastAsia="Times New Roman" w:hAnsi="Garamond" w:cs="Times New Roman"/>
          <w:sz w:val="24"/>
          <w:szCs w:val="24"/>
        </w:rPr>
        <w:t>l.         A determinação de dano para as finalidades do Artigo VI do GATT 1994 será</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baseada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provas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positivas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compreenderá</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exame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objetivo: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volume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importações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subsidiadas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seu</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efeito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sobre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preços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produtos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similares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vertAlign w:val="superscript"/>
        </w:rPr>
        <w:t>46</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no</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mercado nacional; e (b) o conseqüente impacto dessas importações sobre os produtores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nacionais 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tais produtos.</w:t>
      </w:r>
    </w:p>
    <w:p w14:paraId="565F24B8" w14:textId="44D59F71" w:rsidR="00CB6C86" w:rsidRPr="00395593" w:rsidRDefault="00085B18" w:rsidP="00085B18">
      <w:pPr>
        <w:widowControl w:val="0"/>
        <w:tabs>
          <w:tab w:val="left" w:pos="2520"/>
        </w:tabs>
        <w:autoSpaceDE w:val="0"/>
        <w:autoSpaceDN w:val="0"/>
        <w:spacing w:after="0" w:line="240" w:lineRule="auto"/>
        <w:jc w:val="both"/>
        <w:rPr>
          <w:rFonts w:ascii="Garamond" w:eastAsia="Times New Roman" w:hAnsi="Garamond" w:cs="Times New Roman"/>
          <w:sz w:val="24"/>
          <w:szCs w:val="24"/>
        </w:rPr>
      </w:pPr>
      <w:r w:rsidRPr="00395593">
        <w:rPr>
          <w:rFonts w:ascii="Garamond" w:eastAsia="Times New Roman" w:hAnsi="Garamond" w:cs="Times New Roman"/>
          <w:sz w:val="24"/>
          <w:szCs w:val="24"/>
        </w:rPr>
        <w:tab/>
      </w:r>
    </w:p>
    <w:p w14:paraId="5D523D7A" w14:textId="070F9173" w:rsidR="00D65665" w:rsidRPr="00D65665" w:rsidRDefault="00CB6C86" w:rsidP="00D65665">
      <w:pPr>
        <w:widowControl w:val="0"/>
        <w:numPr>
          <w:ilvl w:val="0"/>
          <w:numId w:val="51"/>
        </w:numPr>
        <w:tabs>
          <w:tab w:val="left" w:pos="810"/>
        </w:tabs>
        <w:autoSpaceDE w:val="0"/>
        <w:autoSpaceDN w:val="0"/>
        <w:spacing w:after="0" w:line="240" w:lineRule="auto"/>
        <w:ind w:right="119" w:firstLine="0"/>
        <w:jc w:val="both"/>
        <w:rPr>
          <w:rFonts w:ascii="Garamond" w:eastAsia="Times New Roman" w:hAnsi="Garamond" w:cs="Times New Roman"/>
          <w:sz w:val="24"/>
        </w:rPr>
      </w:pPr>
      <w:r w:rsidRPr="005C5CBD">
        <w:rPr>
          <w:rFonts w:ascii="Garamond" w:eastAsia="Times New Roman" w:hAnsi="Garamond" w:cs="Times New Roman"/>
          <w:sz w:val="24"/>
        </w:rPr>
        <w:t>No tocante ao volume de importações subsidiadas, as autoridades investigadoras</w:t>
      </w:r>
      <w:r w:rsidRPr="005C5CBD">
        <w:rPr>
          <w:rFonts w:ascii="Garamond" w:eastAsia="Times New Roman" w:hAnsi="Garamond" w:cs="Times New Roman"/>
          <w:spacing w:val="1"/>
          <w:sz w:val="24"/>
        </w:rPr>
        <w:t xml:space="preserve"> </w:t>
      </w:r>
      <w:r w:rsidRPr="005C5CBD">
        <w:rPr>
          <w:rFonts w:ascii="Garamond" w:eastAsia="Times New Roman" w:hAnsi="Garamond" w:cs="Times New Roman"/>
          <w:sz w:val="24"/>
        </w:rPr>
        <w:t>verificarão se ocorreu aumento significativo nas importações subsidiadas, tanto em termos</w:t>
      </w:r>
      <w:r w:rsidRPr="005C5CBD">
        <w:rPr>
          <w:rFonts w:ascii="Garamond" w:eastAsia="Times New Roman" w:hAnsi="Garamond" w:cs="Times New Roman"/>
          <w:spacing w:val="1"/>
          <w:sz w:val="24"/>
        </w:rPr>
        <w:t xml:space="preserve"> </w:t>
      </w:r>
      <w:r w:rsidRPr="005C5CBD">
        <w:rPr>
          <w:rFonts w:ascii="Garamond" w:eastAsia="Times New Roman" w:hAnsi="Garamond" w:cs="Times New Roman"/>
          <w:sz w:val="24"/>
        </w:rPr>
        <w:t>absolutos quanto em termos relativos, em comparação com a produção ou o consumo no</w:t>
      </w:r>
      <w:r w:rsidRPr="005C5CBD">
        <w:rPr>
          <w:rFonts w:ascii="Garamond" w:eastAsia="Times New Roman" w:hAnsi="Garamond" w:cs="Times New Roman"/>
          <w:spacing w:val="1"/>
          <w:sz w:val="24"/>
        </w:rPr>
        <w:t xml:space="preserve"> </w:t>
      </w:r>
      <w:r w:rsidRPr="005C5CBD">
        <w:rPr>
          <w:rFonts w:ascii="Garamond" w:eastAsia="Times New Roman" w:hAnsi="Garamond" w:cs="Times New Roman"/>
          <w:sz w:val="24"/>
        </w:rPr>
        <w:t>Membro importador. Com relação ao efeito das importações subsidiadas sobre os preços, as</w:t>
      </w:r>
      <w:r w:rsidRPr="005C5CBD">
        <w:rPr>
          <w:rFonts w:ascii="Garamond" w:eastAsia="Times New Roman" w:hAnsi="Garamond" w:cs="Times New Roman"/>
          <w:spacing w:val="-57"/>
          <w:sz w:val="24"/>
        </w:rPr>
        <w:t xml:space="preserve"> </w:t>
      </w:r>
      <w:r w:rsidRPr="005C5CBD">
        <w:rPr>
          <w:rFonts w:ascii="Garamond" w:eastAsia="Times New Roman" w:hAnsi="Garamond" w:cs="Times New Roman"/>
          <w:sz w:val="24"/>
        </w:rPr>
        <w:t>autoridades</w:t>
      </w:r>
      <w:r w:rsidRPr="005C5CBD">
        <w:rPr>
          <w:rFonts w:ascii="Garamond" w:eastAsia="Times New Roman" w:hAnsi="Garamond" w:cs="Times New Roman"/>
          <w:spacing w:val="44"/>
          <w:sz w:val="24"/>
        </w:rPr>
        <w:t xml:space="preserve"> </w:t>
      </w:r>
      <w:r w:rsidRPr="005C5CBD">
        <w:rPr>
          <w:rFonts w:ascii="Garamond" w:eastAsia="Times New Roman" w:hAnsi="Garamond" w:cs="Times New Roman"/>
          <w:sz w:val="24"/>
        </w:rPr>
        <w:t>investigadoras</w:t>
      </w:r>
      <w:r w:rsidRPr="005C5CBD">
        <w:rPr>
          <w:rFonts w:ascii="Garamond" w:eastAsia="Times New Roman" w:hAnsi="Garamond" w:cs="Times New Roman"/>
          <w:spacing w:val="45"/>
          <w:sz w:val="24"/>
        </w:rPr>
        <w:t xml:space="preserve"> </w:t>
      </w:r>
      <w:r w:rsidRPr="005C5CBD">
        <w:rPr>
          <w:rFonts w:ascii="Garamond" w:eastAsia="Times New Roman" w:hAnsi="Garamond" w:cs="Times New Roman"/>
          <w:sz w:val="24"/>
        </w:rPr>
        <w:t>examinarão</w:t>
      </w:r>
      <w:r w:rsidRPr="005C5CBD">
        <w:rPr>
          <w:rFonts w:ascii="Garamond" w:eastAsia="Times New Roman" w:hAnsi="Garamond" w:cs="Times New Roman"/>
          <w:spacing w:val="44"/>
          <w:sz w:val="24"/>
        </w:rPr>
        <w:t xml:space="preserve"> </w:t>
      </w:r>
      <w:r w:rsidRPr="005C5CBD">
        <w:rPr>
          <w:rFonts w:ascii="Garamond" w:eastAsia="Times New Roman" w:hAnsi="Garamond" w:cs="Times New Roman"/>
          <w:sz w:val="24"/>
        </w:rPr>
        <w:t>se</w:t>
      </w:r>
      <w:r w:rsidRPr="005C5CBD">
        <w:rPr>
          <w:rFonts w:ascii="Garamond" w:eastAsia="Times New Roman" w:hAnsi="Garamond" w:cs="Times New Roman"/>
          <w:spacing w:val="44"/>
          <w:sz w:val="24"/>
        </w:rPr>
        <w:t xml:space="preserve"> </w:t>
      </w:r>
      <w:r w:rsidRPr="005C5CBD">
        <w:rPr>
          <w:rFonts w:ascii="Garamond" w:eastAsia="Times New Roman" w:hAnsi="Garamond" w:cs="Times New Roman"/>
          <w:sz w:val="24"/>
        </w:rPr>
        <w:t>houve</w:t>
      </w:r>
      <w:r w:rsidRPr="005C5CBD">
        <w:rPr>
          <w:rFonts w:ascii="Garamond" w:eastAsia="Times New Roman" w:hAnsi="Garamond" w:cs="Times New Roman"/>
          <w:spacing w:val="45"/>
          <w:sz w:val="24"/>
        </w:rPr>
        <w:t xml:space="preserve"> </w:t>
      </w:r>
      <w:r w:rsidRPr="005C5CBD">
        <w:rPr>
          <w:rFonts w:ascii="Garamond" w:eastAsia="Times New Roman" w:hAnsi="Garamond" w:cs="Times New Roman"/>
          <w:sz w:val="24"/>
        </w:rPr>
        <w:t>ou</w:t>
      </w:r>
      <w:r w:rsidRPr="005C5CBD">
        <w:rPr>
          <w:rFonts w:ascii="Garamond" w:eastAsia="Times New Roman" w:hAnsi="Garamond" w:cs="Times New Roman"/>
          <w:spacing w:val="45"/>
          <w:sz w:val="24"/>
        </w:rPr>
        <w:t xml:space="preserve"> </w:t>
      </w:r>
      <w:r w:rsidRPr="005C5CBD">
        <w:rPr>
          <w:rFonts w:ascii="Garamond" w:eastAsia="Times New Roman" w:hAnsi="Garamond" w:cs="Times New Roman"/>
          <w:sz w:val="24"/>
        </w:rPr>
        <w:t>não</w:t>
      </w:r>
      <w:r w:rsidRPr="005C5CBD">
        <w:rPr>
          <w:rFonts w:ascii="Garamond" w:eastAsia="Times New Roman" w:hAnsi="Garamond" w:cs="Times New Roman"/>
          <w:spacing w:val="44"/>
          <w:sz w:val="24"/>
        </w:rPr>
        <w:t xml:space="preserve"> </w:t>
      </w:r>
      <w:r w:rsidRPr="005C5CBD">
        <w:rPr>
          <w:rFonts w:ascii="Garamond" w:eastAsia="Times New Roman" w:hAnsi="Garamond" w:cs="Times New Roman"/>
          <w:sz w:val="24"/>
        </w:rPr>
        <w:t>venda</w:t>
      </w:r>
      <w:r w:rsidRPr="005C5CBD">
        <w:rPr>
          <w:rFonts w:ascii="Garamond" w:eastAsia="Times New Roman" w:hAnsi="Garamond" w:cs="Times New Roman"/>
          <w:spacing w:val="44"/>
          <w:sz w:val="24"/>
        </w:rPr>
        <w:t xml:space="preserve"> </w:t>
      </w:r>
      <w:r w:rsidRPr="005C5CBD">
        <w:rPr>
          <w:rFonts w:ascii="Garamond" w:eastAsia="Times New Roman" w:hAnsi="Garamond" w:cs="Times New Roman"/>
          <w:sz w:val="24"/>
        </w:rPr>
        <w:t>do</w:t>
      </w:r>
      <w:r w:rsidRPr="005C5CBD">
        <w:rPr>
          <w:rFonts w:ascii="Garamond" w:eastAsia="Times New Roman" w:hAnsi="Garamond" w:cs="Times New Roman"/>
          <w:spacing w:val="44"/>
          <w:sz w:val="24"/>
        </w:rPr>
        <w:t xml:space="preserve"> </w:t>
      </w:r>
      <w:r w:rsidRPr="005C5CBD">
        <w:rPr>
          <w:rFonts w:ascii="Garamond" w:eastAsia="Times New Roman" w:hAnsi="Garamond" w:cs="Times New Roman"/>
          <w:sz w:val="24"/>
        </w:rPr>
        <w:t>produto</w:t>
      </w:r>
      <w:r w:rsidRPr="005C5CBD">
        <w:rPr>
          <w:rFonts w:ascii="Garamond" w:eastAsia="Times New Roman" w:hAnsi="Garamond" w:cs="Times New Roman"/>
          <w:spacing w:val="45"/>
          <w:sz w:val="24"/>
        </w:rPr>
        <w:t xml:space="preserve"> </w:t>
      </w:r>
      <w:r w:rsidRPr="005C5CBD">
        <w:rPr>
          <w:rFonts w:ascii="Garamond" w:eastAsia="Times New Roman" w:hAnsi="Garamond" w:cs="Times New Roman"/>
          <w:sz w:val="24"/>
        </w:rPr>
        <w:t>subsidiado</w:t>
      </w:r>
      <w:r w:rsidRPr="005C5CBD">
        <w:rPr>
          <w:rFonts w:ascii="Garamond" w:eastAsia="Times New Roman" w:hAnsi="Garamond" w:cs="Times New Roman"/>
          <w:spacing w:val="43"/>
          <w:sz w:val="24"/>
        </w:rPr>
        <w:t xml:space="preserve"> </w:t>
      </w:r>
      <w:r w:rsidRPr="005C5CBD">
        <w:rPr>
          <w:rFonts w:ascii="Garamond" w:eastAsia="Times New Roman" w:hAnsi="Garamond" w:cs="Times New Roman"/>
          <w:sz w:val="24"/>
        </w:rPr>
        <w:t>a</w:t>
      </w:r>
      <w:r w:rsidR="00D65665">
        <w:rPr>
          <w:rFonts w:ascii="Garamond" w:eastAsia="Times New Roman" w:hAnsi="Garamond" w:cs="Times New Roman"/>
          <w:sz w:val="24"/>
        </w:rPr>
        <w:t xml:space="preserve"> </w:t>
      </w:r>
      <w:r w:rsidR="00D65665" w:rsidRPr="00D65665">
        <w:rPr>
          <w:rFonts w:ascii="Garamond" w:eastAsia="Times New Roman" w:hAnsi="Garamond" w:cs="Times New Roman"/>
          <w:sz w:val="24"/>
          <w:szCs w:val="24"/>
        </w:rPr>
        <w:t>preços consideravelmente inferiores aos do produto similar do Membro importador, ou se o</w:t>
      </w:r>
      <w:r w:rsidR="00D65665" w:rsidRPr="00D65665">
        <w:rPr>
          <w:rFonts w:ascii="Garamond" w:eastAsia="Times New Roman" w:hAnsi="Garamond" w:cs="Times New Roman"/>
          <w:spacing w:val="-57"/>
          <w:sz w:val="24"/>
          <w:szCs w:val="24"/>
        </w:rPr>
        <w:t xml:space="preserve"> </w:t>
      </w:r>
      <w:r w:rsidR="00D65665" w:rsidRPr="00D65665">
        <w:rPr>
          <w:rFonts w:ascii="Garamond" w:eastAsia="Times New Roman" w:hAnsi="Garamond" w:cs="Times New Roman"/>
          <w:sz w:val="24"/>
          <w:szCs w:val="24"/>
        </w:rPr>
        <w:t>efeito</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de</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tais</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importações</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verifica-se</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pela</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significativa</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depressão</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dos</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preços</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ou</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pelo</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impedimento de que os mesmos subam significativamente, como teria ocorrido na ausência</w:t>
      </w:r>
      <w:r w:rsidR="00D65665" w:rsidRPr="00D65665">
        <w:rPr>
          <w:rFonts w:ascii="Garamond" w:eastAsia="Times New Roman" w:hAnsi="Garamond" w:cs="Times New Roman"/>
          <w:spacing w:val="-57"/>
          <w:sz w:val="24"/>
          <w:szCs w:val="24"/>
        </w:rPr>
        <w:t xml:space="preserve"> </w:t>
      </w:r>
      <w:r w:rsidR="00D65665" w:rsidRPr="00D65665">
        <w:rPr>
          <w:rFonts w:ascii="Garamond" w:eastAsia="Times New Roman" w:hAnsi="Garamond" w:cs="Times New Roman"/>
          <w:sz w:val="24"/>
          <w:szCs w:val="24"/>
        </w:rPr>
        <w:t>dos</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produtos</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subsidiados.</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Nenhum</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desses</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fatores</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tomados</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isoladamente</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ou</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em</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grupo</w:t>
      </w:r>
      <w:r w:rsidR="00D65665" w:rsidRPr="00D65665">
        <w:rPr>
          <w:rFonts w:ascii="Garamond" w:eastAsia="Times New Roman" w:hAnsi="Garamond" w:cs="Times New Roman"/>
          <w:spacing w:val="-57"/>
          <w:sz w:val="24"/>
          <w:szCs w:val="24"/>
        </w:rPr>
        <w:t xml:space="preserve"> </w:t>
      </w:r>
      <w:r w:rsidR="00D65665" w:rsidRPr="00D65665">
        <w:rPr>
          <w:rFonts w:ascii="Garamond" w:eastAsia="Times New Roman" w:hAnsi="Garamond" w:cs="Times New Roman"/>
          <w:sz w:val="24"/>
          <w:szCs w:val="24"/>
        </w:rPr>
        <w:t>bastará,</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necessariamente,</w:t>
      </w:r>
      <w:r w:rsidR="00D65665" w:rsidRPr="00D65665">
        <w:rPr>
          <w:rFonts w:ascii="Garamond" w:eastAsia="Times New Roman" w:hAnsi="Garamond" w:cs="Times New Roman"/>
          <w:spacing w:val="2"/>
          <w:sz w:val="24"/>
          <w:szCs w:val="24"/>
        </w:rPr>
        <w:t xml:space="preserve"> </w:t>
      </w:r>
      <w:r w:rsidR="00D65665" w:rsidRPr="00D65665">
        <w:rPr>
          <w:rFonts w:ascii="Garamond" w:eastAsia="Times New Roman" w:hAnsi="Garamond" w:cs="Times New Roman"/>
          <w:sz w:val="24"/>
          <w:szCs w:val="24"/>
        </w:rPr>
        <w:t>para</w:t>
      </w:r>
      <w:r w:rsidR="00D65665" w:rsidRPr="00D65665">
        <w:rPr>
          <w:rFonts w:ascii="Garamond" w:eastAsia="Times New Roman" w:hAnsi="Garamond" w:cs="Times New Roman"/>
          <w:spacing w:val="-2"/>
          <w:sz w:val="24"/>
          <w:szCs w:val="24"/>
        </w:rPr>
        <w:t xml:space="preserve"> </w:t>
      </w:r>
      <w:r w:rsidR="00D65665" w:rsidRPr="00D65665">
        <w:rPr>
          <w:rFonts w:ascii="Garamond" w:eastAsia="Times New Roman" w:hAnsi="Garamond" w:cs="Times New Roman"/>
          <w:sz w:val="24"/>
          <w:szCs w:val="24"/>
        </w:rPr>
        <w:t>permitir orientação</w:t>
      </w:r>
      <w:r w:rsidR="00D65665" w:rsidRPr="00D65665">
        <w:rPr>
          <w:rFonts w:ascii="Garamond" w:eastAsia="Times New Roman" w:hAnsi="Garamond" w:cs="Times New Roman"/>
          <w:spacing w:val="1"/>
          <w:sz w:val="24"/>
          <w:szCs w:val="24"/>
        </w:rPr>
        <w:t xml:space="preserve"> </w:t>
      </w:r>
      <w:r w:rsidR="00D65665" w:rsidRPr="00D65665">
        <w:rPr>
          <w:rFonts w:ascii="Garamond" w:eastAsia="Times New Roman" w:hAnsi="Garamond" w:cs="Times New Roman"/>
          <w:sz w:val="24"/>
          <w:szCs w:val="24"/>
        </w:rPr>
        <w:t>decisiva.</w:t>
      </w:r>
    </w:p>
    <w:p w14:paraId="04C76A6E" w14:textId="77777777" w:rsidR="00E27F2A" w:rsidRDefault="00E27F2A" w:rsidP="00E33E26">
      <w:pPr>
        <w:widowControl w:val="0"/>
        <w:autoSpaceDE w:val="0"/>
        <w:autoSpaceDN w:val="0"/>
        <w:spacing w:before="1" w:after="0" w:line="240" w:lineRule="auto"/>
        <w:rPr>
          <w:rFonts w:ascii="Garamond" w:eastAsia="Times New Roman" w:hAnsi="Garamond" w:cs="Times New Roman"/>
          <w:sz w:val="20"/>
          <w:vertAlign w:val="superscript"/>
        </w:rPr>
      </w:pPr>
    </w:p>
    <w:p w14:paraId="3F85780D" w14:textId="0EDE64A3" w:rsidR="00D65665" w:rsidRDefault="00E27F2A" w:rsidP="00E33E26">
      <w:pPr>
        <w:widowControl w:val="0"/>
        <w:autoSpaceDE w:val="0"/>
        <w:autoSpaceDN w:val="0"/>
        <w:spacing w:before="1" w:after="0" w:line="240" w:lineRule="auto"/>
        <w:rPr>
          <w:rFonts w:ascii="Garamond" w:eastAsia="Times New Roman" w:hAnsi="Garamond" w:cs="Times New Roman"/>
          <w:sz w:val="20"/>
          <w:highlight w:val="yellow"/>
          <w:vertAlign w:val="superscript"/>
        </w:rPr>
      </w:pPr>
      <w:r w:rsidRPr="00E27F2A">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74" behindDoc="1" locked="0" layoutInCell="1" allowOverlap="1" wp14:anchorId="2EA81888" wp14:editId="341AF9D0">
                <wp:simplePos x="0" y="0"/>
                <wp:positionH relativeFrom="page">
                  <wp:posOffset>951230</wp:posOffset>
                </wp:positionH>
                <wp:positionV relativeFrom="paragraph">
                  <wp:posOffset>219710</wp:posOffset>
                </wp:positionV>
                <wp:extent cx="1828800" cy="7620"/>
                <wp:effectExtent l="4445" t="1905" r="0" b="0"/>
                <wp:wrapTopAndBottom/>
                <wp:docPr id="419" name="Retângulo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C6A81" id="Retângulo 419" o:spid="_x0000_s1026" style="position:absolute;margin-left:74.9pt;margin-top:17.3pt;width:2in;height:.6pt;z-index:-2516582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7ZgA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" fillcolor="black" stroked="f">
                <w10:wrap type="topAndBottom" anchorx="page"/>
              </v:rect>
            </w:pict>
          </mc:Fallback>
        </mc:AlternateContent>
      </w:r>
    </w:p>
    <w:p w14:paraId="4FBCF1FB" w14:textId="6C71AC04" w:rsidR="00CB6C86" w:rsidRPr="00E27F2A" w:rsidRDefault="00CB6C86" w:rsidP="00085B18">
      <w:pPr>
        <w:widowControl w:val="0"/>
        <w:autoSpaceDE w:val="0"/>
        <w:autoSpaceDN w:val="0"/>
        <w:spacing w:before="1" w:after="0" w:line="240" w:lineRule="auto"/>
        <w:rPr>
          <w:rFonts w:ascii="Garamond" w:eastAsia="Times New Roman" w:hAnsi="Garamond" w:cs="Times New Roman"/>
          <w:sz w:val="20"/>
        </w:rPr>
      </w:pPr>
      <w:r w:rsidRPr="00E27F2A">
        <w:rPr>
          <w:rFonts w:ascii="Garamond" w:eastAsia="Times New Roman" w:hAnsi="Garamond" w:cs="Times New Roman"/>
          <w:sz w:val="20"/>
          <w:vertAlign w:val="superscript"/>
        </w:rPr>
        <w:t>45</w:t>
      </w:r>
      <w:r w:rsidRPr="00E27F2A">
        <w:rPr>
          <w:rFonts w:ascii="Garamond" w:eastAsia="Times New Roman" w:hAnsi="Garamond" w:cs="Times New Roman"/>
          <w:sz w:val="20"/>
        </w:rPr>
        <w:t xml:space="preserve"> À luz deste Acordo, o termo “dano”, salvo indicação em contrário, será entendido como o dano importante</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causado a</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uma produção nacional, ameaça de dano importante a</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uma</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produção nacional ou</w:t>
      </w:r>
      <w:r w:rsidRPr="00E27F2A">
        <w:rPr>
          <w:rFonts w:ascii="Garamond" w:eastAsia="Times New Roman" w:hAnsi="Garamond" w:cs="Times New Roman"/>
          <w:spacing w:val="50"/>
          <w:sz w:val="20"/>
        </w:rPr>
        <w:t xml:space="preserve"> </w:t>
      </w:r>
      <w:r w:rsidRPr="00E27F2A">
        <w:rPr>
          <w:rFonts w:ascii="Garamond" w:eastAsia="Times New Roman" w:hAnsi="Garamond" w:cs="Times New Roman"/>
          <w:sz w:val="20"/>
        </w:rPr>
        <w:t>significativo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atraso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na</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instalação de</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tal</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produção,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e será</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interpretado de</w:t>
      </w:r>
      <w:r w:rsidRPr="00E27F2A">
        <w:rPr>
          <w:rFonts w:ascii="Garamond" w:eastAsia="Times New Roman" w:hAnsi="Garamond" w:cs="Times New Roman"/>
          <w:spacing w:val="-3"/>
          <w:sz w:val="20"/>
        </w:rPr>
        <w:t xml:space="preserve"> </w:t>
      </w:r>
      <w:r w:rsidRPr="00E27F2A">
        <w:rPr>
          <w:rFonts w:ascii="Garamond" w:eastAsia="Times New Roman" w:hAnsi="Garamond" w:cs="Times New Roman"/>
          <w:sz w:val="20"/>
        </w:rPr>
        <w:t>acordo com</w:t>
      </w:r>
      <w:r w:rsidRPr="00E27F2A">
        <w:rPr>
          <w:rFonts w:ascii="Garamond" w:eastAsia="Times New Roman" w:hAnsi="Garamond" w:cs="Times New Roman"/>
          <w:spacing w:val="-4"/>
          <w:sz w:val="20"/>
        </w:rPr>
        <w:t xml:space="preserve"> </w:t>
      </w:r>
      <w:r w:rsidRPr="00E27F2A">
        <w:rPr>
          <w:rFonts w:ascii="Garamond" w:eastAsia="Times New Roman" w:hAnsi="Garamond" w:cs="Times New Roman"/>
          <w:sz w:val="20"/>
        </w:rPr>
        <w:t>o disposto neste</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Artigo.</w:t>
      </w:r>
    </w:p>
    <w:p w14:paraId="1CEB49E5" w14:textId="77777777" w:rsidR="00CB6C86" w:rsidRPr="00395593" w:rsidRDefault="00CB6C86" w:rsidP="00CB6C86">
      <w:pPr>
        <w:widowControl w:val="0"/>
        <w:autoSpaceDE w:val="0"/>
        <w:autoSpaceDN w:val="0"/>
        <w:spacing w:after="0" w:line="240" w:lineRule="auto"/>
        <w:ind w:right="118"/>
        <w:jc w:val="both"/>
        <w:rPr>
          <w:rFonts w:ascii="Garamond" w:eastAsia="Times New Roman" w:hAnsi="Garamond" w:cs="Times New Roman"/>
          <w:sz w:val="20"/>
        </w:rPr>
      </w:pPr>
      <w:r w:rsidRPr="00E27F2A">
        <w:rPr>
          <w:rFonts w:ascii="Garamond" w:eastAsia="Times New Roman" w:hAnsi="Garamond" w:cs="Times New Roman"/>
          <w:sz w:val="20"/>
          <w:vertAlign w:val="superscript"/>
        </w:rPr>
        <w:t>46</w:t>
      </w:r>
      <w:r w:rsidRPr="00E27F2A">
        <w:rPr>
          <w:rFonts w:ascii="Garamond" w:eastAsia="Times New Roman" w:hAnsi="Garamond" w:cs="Times New Roman"/>
          <w:sz w:val="20"/>
        </w:rPr>
        <w:t xml:space="preserve"> Ao longo de todo este Acordo, o termo produto similar (</w:t>
      </w:r>
      <w:r w:rsidRPr="00E27F2A">
        <w:rPr>
          <w:rFonts w:ascii="Garamond" w:eastAsia="Times New Roman" w:hAnsi="Garamond" w:cs="Times New Roman"/>
          <w:i/>
          <w:sz w:val="20"/>
        </w:rPr>
        <w:t>like product</w:t>
      </w:r>
      <w:r w:rsidRPr="00E27F2A">
        <w:rPr>
          <w:rFonts w:ascii="Garamond" w:eastAsia="Times New Roman" w:hAnsi="Garamond" w:cs="Times New Roman"/>
          <w:sz w:val="20"/>
        </w:rPr>
        <w:t xml:space="preserve">, </w:t>
      </w:r>
      <w:r w:rsidRPr="00E27F2A">
        <w:rPr>
          <w:rFonts w:ascii="Garamond" w:eastAsia="Times New Roman" w:hAnsi="Garamond" w:cs="Times New Roman"/>
          <w:i/>
          <w:sz w:val="20"/>
        </w:rPr>
        <w:t>produit similaire</w:t>
      </w:r>
      <w:r w:rsidRPr="00E27F2A">
        <w:rPr>
          <w:rFonts w:ascii="Garamond" w:eastAsia="Times New Roman" w:hAnsi="Garamond" w:cs="Times New Roman"/>
          <w:sz w:val="20"/>
        </w:rPr>
        <w:t>) será interpretado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como produto idêntico, isto é, igual em todos os aspectos ao produto em consideração ou, na ausência de tal</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produto, outro produto que, embora não igual em todos os aspectos, tenha características muito parecidas</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àquelas</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do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produto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em</w:t>
      </w:r>
      <w:r w:rsidRPr="00E27F2A">
        <w:rPr>
          <w:rFonts w:ascii="Garamond" w:eastAsia="Times New Roman" w:hAnsi="Garamond" w:cs="Times New Roman"/>
          <w:spacing w:val="-4"/>
          <w:sz w:val="20"/>
        </w:rPr>
        <w:t xml:space="preserve"> </w:t>
      </w:r>
      <w:r w:rsidRPr="00E27F2A">
        <w:rPr>
          <w:rFonts w:ascii="Garamond" w:eastAsia="Times New Roman" w:hAnsi="Garamond" w:cs="Times New Roman"/>
          <w:sz w:val="20"/>
        </w:rPr>
        <w:t>consideração.</w:t>
      </w:r>
    </w:p>
    <w:p w14:paraId="74B5275F" w14:textId="77777777" w:rsidR="00CB6C86" w:rsidRPr="00395593" w:rsidRDefault="00CB6C86" w:rsidP="002C4340">
      <w:pPr>
        <w:widowControl w:val="0"/>
        <w:numPr>
          <w:ilvl w:val="0"/>
          <w:numId w:val="51"/>
        </w:numPr>
        <w:tabs>
          <w:tab w:val="left" w:pos="810"/>
        </w:tabs>
        <w:autoSpaceDE w:val="0"/>
        <w:autoSpaceDN w:val="0"/>
        <w:spacing w:after="0" w:line="240" w:lineRule="auto"/>
        <w:ind w:right="114" w:firstLine="0"/>
        <w:jc w:val="both"/>
        <w:rPr>
          <w:rFonts w:ascii="Garamond" w:eastAsia="Times New Roman" w:hAnsi="Garamond" w:cs="Times New Roman"/>
          <w:sz w:val="24"/>
        </w:rPr>
      </w:pPr>
      <w:r w:rsidRPr="00395593">
        <w:rPr>
          <w:rFonts w:ascii="Garamond" w:eastAsia="Times New Roman" w:hAnsi="Garamond" w:cs="Times New Roman"/>
          <w:sz w:val="24"/>
        </w:rPr>
        <w:t>Quando importações de um produto de mais de um país forem simultaneamente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objeto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compensatórios,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investigadoras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só</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poderão examinar cumulativamente os efeitos dessas importações se determinarem: (a)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 montante do subsídio estabelecido em relação às importações de cada país é maior do que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i/>
          <w:sz w:val="24"/>
        </w:rPr>
        <w:t>de minimis</w:t>
      </w:r>
      <w:r w:rsidRPr="00395593">
        <w:rPr>
          <w:rFonts w:ascii="Garamond" w:eastAsia="Times New Roman" w:hAnsi="Garamond" w:cs="Times New Roman"/>
          <w:sz w:val="24"/>
        </w:rPr>
        <w:t>, tal como definido no parágrafo 9 do Artigo 11, e que o volume de importações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cada país não é desprezível; e (b) que o exame cumulativo dos efeitos das importações é</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adequado à luz das condições de competição entre produtos importados e entre produtos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similar nacional.</w:t>
      </w:r>
    </w:p>
    <w:p w14:paraId="64B4670A" w14:textId="77777777" w:rsidR="00CB6C86" w:rsidRPr="00395593" w:rsidRDefault="00CB6C86" w:rsidP="00655FD9">
      <w:pPr>
        <w:widowControl w:val="0"/>
        <w:autoSpaceDE w:val="0"/>
        <w:autoSpaceDN w:val="0"/>
        <w:spacing w:before="1" w:after="0" w:line="240" w:lineRule="auto"/>
        <w:jc w:val="both"/>
        <w:rPr>
          <w:rFonts w:ascii="Garamond" w:eastAsia="Times New Roman" w:hAnsi="Garamond" w:cs="Times New Roman"/>
          <w:sz w:val="24"/>
          <w:szCs w:val="24"/>
        </w:rPr>
      </w:pPr>
    </w:p>
    <w:p w14:paraId="77E1CA77" w14:textId="77777777" w:rsidR="00CB6C86" w:rsidRPr="00395593" w:rsidRDefault="00CB6C86" w:rsidP="002C4340">
      <w:pPr>
        <w:widowControl w:val="0"/>
        <w:numPr>
          <w:ilvl w:val="0"/>
          <w:numId w:val="51"/>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exame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impacto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subsidiadas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produção</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nacional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incluirá avaliação de todos os fatores e índices econômicos relevantes relacionados com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estado da produção, inclusive redução real ou potencial da produção, vendas, participação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mercado, lucros, produtividade, retorno de investimentos ou utilização da capacidade,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fatores que afetem os preços internos, efeitos negativos reais ou potenciais sobre o fluxo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caixa,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estoques,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salários,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crescimento,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capacidade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levantar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capital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investimentos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quando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trate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agricultura,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houve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sobrecarga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programas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governamentais de apoio. Essa lista não é exaustiva, nem poderá um desses fatores ou um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conjunto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deles fornecer orientação decisiva.</w:t>
      </w:r>
    </w:p>
    <w:p w14:paraId="2C211D49"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0D6D3C49" w14:textId="77777777" w:rsidR="00CB6C86" w:rsidRPr="00395593" w:rsidRDefault="00CB6C86" w:rsidP="002C4340">
      <w:pPr>
        <w:widowControl w:val="0"/>
        <w:numPr>
          <w:ilvl w:val="0"/>
          <w:numId w:val="51"/>
        </w:numPr>
        <w:tabs>
          <w:tab w:val="left" w:pos="810"/>
        </w:tabs>
        <w:autoSpaceDE w:val="0"/>
        <w:autoSpaceDN w:val="0"/>
        <w:spacing w:after="0" w:line="240" w:lineRule="auto"/>
        <w:ind w:right="116" w:firstLine="0"/>
        <w:jc w:val="both"/>
        <w:rPr>
          <w:rFonts w:ascii="Garamond" w:eastAsia="Times New Roman" w:hAnsi="Garamond" w:cs="Times New Roman"/>
          <w:sz w:val="24"/>
        </w:rPr>
      </w:pPr>
      <w:r w:rsidRPr="00395593">
        <w:rPr>
          <w:rFonts w:ascii="Garamond" w:eastAsia="Times New Roman" w:hAnsi="Garamond" w:cs="Times New Roman"/>
          <w:sz w:val="24"/>
        </w:rPr>
        <w:t>Deverá ser demonstrado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 as importações subsidiadas estão, por via de seus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efeitos </w:t>
      </w:r>
      <w:r w:rsidRPr="00395593">
        <w:rPr>
          <w:rFonts w:ascii="Garamond" w:eastAsia="Times New Roman" w:hAnsi="Garamond" w:cs="Times New Roman"/>
          <w:sz w:val="24"/>
          <w:vertAlign w:val="superscript"/>
        </w:rPr>
        <w:t>47</w:t>
      </w:r>
      <w:r w:rsidRPr="00395593">
        <w:rPr>
          <w:rFonts w:ascii="Garamond" w:eastAsia="Times New Roman" w:hAnsi="Garamond" w:cs="Times New Roman"/>
          <w:sz w:val="24"/>
        </w:rPr>
        <w:t>, causando dano no sentido definido neste Acordo. A demonstração de relação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causal entre as importações subsidiadas e o dano causado á produção nacional basear-se-á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exame das provas pertinentes apresentadas às autoridades. As autoridades examinarão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também todo e qualquer outro fator conhecido, além das importações subsidiadas,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estejam simultaneamente causando dano à produção nacional,</w:t>
      </w:r>
      <w:r w:rsidRPr="00395593">
        <w:rPr>
          <w:rFonts w:ascii="Garamond" w:eastAsia="Times New Roman" w:hAnsi="Garamond" w:cs="Times New Roman"/>
          <w:spacing w:val="61"/>
          <w:sz w:val="24"/>
        </w:rPr>
        <w:t xml:space="preserve"> </w:t>
      </w:r>
      <w:r w:rsidRPr="00395593">
        <w:rPr>
          <w:rFonts w:ascii="Garamond" w:eastAsia="Times New Roman" w:hAnsi="Garamond" w:cs="Times New Roman"/>
          <w:sz w:val="24"/>
        </w:rPr>
        <w:t>e os danos causados 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esses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outros fatores não deverão ser atribuídos às importações subsidiadas. Fatores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nesse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sentido,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i/>
          <w:sz w:val="24"/>
        </w:rPr>
        <w:t>inter</w:t>
      </w:r>
      <w:r w:rsidRPr="00395593">
        <w:rPr>
          <w:rFonts w:ascii="Garamond" w:eastAsia="Times New Roman" w:hAnsi="Garamond" w:cs="Times New Roman"/>
          <w:i/>
          <w:spacing w:val="1"/>
          <w:sz w:val="24"/>
        </w:rPr>
        <w:t xml:space="preserve"> </w:t>
      </w:r>
      <w:r w:rsidRPr="00395593">
        <w:rPr>
          <w:rFonts w:ascii="Garamond" w:eastAsia="Times New Roman" w:hAnsi="Garamond" w:cs="Times New Roman"/>
          <w:i/>
          <w:sz w:val="24"/>
        </w:rPr>
        <w:t>alia</w:t>
      </w:r>
      <w:r w:rsidRPr="00395593">
        <w:rPr>
          <w:rFonts w:ascii="Garamond" w:eastAsia="Times New Roman" w:hAnsi="Garamond" w:cs="Times New Roman"/>
          <w:sz w:val="24"/>
        </w:rPr>
        <w:t>,</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volumes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preços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importações não-subsidiadas do produto em pauta, contração da demanda ou mudanças nos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padrões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consumo,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praticas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comerciais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restritivas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competição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61"/>
          <w:sz w:val="24"/>
        </w:rPr>
        <w:t xml:space="preserve"> </w:t>
      </w:r>
      <w:r w:rsidRPr="00395593">
        <w:rPr>
          <w:rFonts w:ascii="Garamond" w:eastAsia="Times New Roman" w:hAnsi="Garamond" w:cs="Times New Roman"/>
          <w:sz w:val="24"/>
        </w:rPr>
        <w:t>produtores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estrangeiros e nacionais, desenvolvimento de novas tecnologias, desempenho exportador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produtividade</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indústria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nacional.</w:t>
      </w:r>
    </w:p>
    <w:p w14:paraId="32AE69ED"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6"/>
          <w:szCs w:val="24"/>
        </w:rPr>
      </w:pPr>
    </w:p>
    <w:p w14:paraId="682285C8" w14:textId="77777777" w:rsidR="00CB6C86" w:rsidRPr="00395593" w:rsidRDefault="00CB6C86" w:rsidP="00655FD9">
      <w:pPr>
        <w:widowControl w:val="0"/>
        <w:autoSpaceDE w:val="0"/>
        <w:autoSpaceDN w:val="0"/>
        <w:spacing w:before="1" w:after="0" w:line="240" w:lineRule="auto"/>
        <w:jc w:val="both"/>
        <w:rPr>
          <w:rFonts w:ascii="Garamond" w:eastAsia="Times New Roman" w:hAnsi="Garamond" w:cs="Times New Roman"/>
          <w:szCs w:val="24"/>
        </w:rPr>
      </w:pPr>
    </w:p>
    <w:p w14:paraId="1FAAF3A6" w14:textId="32EF1090" w:rsidR="00D65665" w:rsidRPr="00D65665" w:rsidRDefault="00CB6C86" w:rsidP="00D65665">
      <w:pPr>
        <w:widowControl w:val="0"/>
        <w:autoSpaceDE w:val="0"/>
        <w:autoSpaceDN w:val="0"/>
        <w:spacing w:before="1" w:after="0" w:line="240" w:lineRule="auto"/>
        <w:ind w:right="121"/>
        <w:jc w:val="both"/>
        <w:rPr>
          <w:rFonts w:ascii="Garamond" w:eastAsia="Times New Roman" w:hAnsi="Garamond" w:cs="Times New Roman"/>
          <w:sz w:val="24"/>
          <w:szCs w:val="24"/>
        </w:rPr>
      </w:pPr>
      <w:r w:rsidRPr="005C5CBD">
        <w:rPr>
          <w:rFonts w:ascii="Garamond" w:eastAsia="Times New Roman" w:hAnsi="Garamond" w:cs="Times New Roman"/>
          <w:sz w:val="24"/>
          <w:szCs w:val="24"/>
        </w:rPr>
        <w:t>O</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efeito</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das</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importações</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subsidiadas</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será</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examinado</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com</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relação</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à</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produção</w:t>
      </w:r>
      <w:r w:rsidRPr="005C5CBD">
        <w:rPr>
          <w:rFonts w:ascii="Garamond" w:eastAsia="Times New Roman" w:hAnsi="Garamond" w:cs="Times New Roman"/>
          <w:spacing w:val="-57"/>
          <w:sz w:val="24"/>
          <w:szCs w:val="24"/>
        </w:rPr>
        <w:t xml:space="preserve"> </w:t>
      </w:r>
      <w:r w:rsidRPr="005C5CBD">
        <w:rPr>
          <w:rFonts w:ascii="Garamond" w:eastAsia="Times New Roman" w:hAnsi="Garamond" w:cs="Times New Roman"/>
          <w:sz w:val="24"/>
          <w:szCs w:val="24"/>
        </w:rPr>
        <w:t>nacional</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do</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produto</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similar,</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quando</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os</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dados</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disponíveis</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permitam</w:t>
      </w:r>
      <w:r w:rsidRPr="005C5CBD">
        <w:rPr>
          <w:rFonts w:ascii="Garamond" w:eastAsia="Times New Roman" w:hAnsi="Garamond" w:cs="Times New Roman"/>
          <w:spacing w:val="61"/>
          <w:sz w:val="24"/>
          <w:szCs w:val="24"/>
        </w:rPr>
        <w:t xml:space="preserve"> </w:t>
      </w:r>
      <w:r w:rsidRPr="005C5CBD">
        <w:rPr>
          <w:rFonts w:ascii="Garamond" w:eastAsia="Times New Roman" w:hAnsi="Garamond" w:cs="Times New Roman"/>
          <w:sz w:val="24"/>
          <w:szCs w:val="24"/>
        </w:rPr>
        <w:t>identificar</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isoladamente aquela produção, com base em critérios tais como processo produtivo, vendas</w:t>
      </w:r>
      <w:r w:rsidRPr="005C5CBD">
        <w:rPr>
          <w:rFonts w:ascii="Garamond" w:eastAsia="Times New Roman" w:hAnsi="Garamond" w:cs="Times New Roman"/>
          <w:spacing w:val="-57"/>
          <w:sz w:val="24"/>
          <w:szCs w:val="24"/>
        </w:rPr>
        <w:t xml:space="preserve"> </w:t>
      </w:r>
      <w:r w:rsidRPr="005C5CBD">
        <w:rPr>
          <w:rFonts w:ascii="Garamond" w:eastAsia="Times New Roman" w:hAnsi="Garamond" w:cs="Times New Roman"/>
          <w:sz w:val="24"/>
          <w:szCs w:val="24"/>
        </w:rPr>
        <w:t>dos produtores e seus lucros. Se a identificação isolada da produção não é possível, os</w:t>
      </w:r>
      <w:r w:rsidRPr="005C5CBD">
        <w:rPr>
          <w:rFonts w:ascii="Garamond" w:eastAsia="Times New Roman" w:hAnsi="Garamond" w:cs="Times New Roman"/>
          <w:spacing w:val="1"/>
          <w:sz w:val="24"/>
          <w:szCs w:val="24"/>
        </w:rPr>
        <w:t xml:space="preserve"> </w:t>
      </w:r>
      <w:r w:rsidRPr="005C5CBD">
        <w:rPr>
          <w:rFonts w:ascii="Garamond" w:eastAsia="Times New Roman" w:hAnsi="Garamond" w:cs="Times New Roman"/>
          <w:sz w:val="24"/>
          <w:szCs w:val="24"/>
        </w:rPr>
        <w:t>efeitos</w:t>
      </w:r>
      <w:r w:rsidRPr="005C5CBD">
        <w:rPr>
          <w:rFonts w:ascii="Garamond" w:eastAsia="Times New Roman" w:hAnsi="Garamond" w:cs="Times New Roman"/>
          <w:spacing w:val="12"/>
          <w:sz w:val="24"/>
          <w:szCs w:val="24"/>
        </w:rPr>
        <w:t xml:space="preserve"> </w:t>
      </w:r>
      <w:r w:rsidRPr="005C5CBD">
        <w:rPr>
          <w:rFonts w:ascii="Garamond" w:eastAsia="Times New Roman" w:hAnsi="Garamond" w:cs="Times New Roman"/>
          <w:sz w:val="24"/>
          <w:szCs w:val="24"/>
        </w:rPr>
        <w:t>das</w:t>
      </w:r>
      <w:r w:rsidRPr="005C5CBD">
        <w:rPr>
          <w:rFonts w:ascii="Garamond" w:eastAsia="Times New Roman" w:hAnsi="Garamond" w:cs="Times New Roman"/>
          <w:spacing w:val="13"/>
          <w:sz w:val="24"/>
          <w:szCs w:val="24"/>
        </w:rPr>
        <w:t xml:space="preserve"> </w:t>
      </w:r>
      <w:r w:rsidRPr="005C5CBD">
        <w:rPr>
          <w:rFonts w:ascii="Garamond" w:eastAsia="Times New Roman" w:hAnsi="Garamond" w:cs="Times New Roman"/>
          <w:sz w:val="24"/>
          <w:szCs w:val="24"/>
        </w:rPr>
        <w:t>importações</w:t>
      </w:r>
      <w:r w:rsidRPr="005C5CBD">
        <w:rPr>
          <w:rFonts w:ascii="Garamond" w:eastAsia="Times New Roman" w:hAnsi="Garamond" w:cs="Times New Roman"/>
          <w:spacing w:val="12"/>
          <w:sz w:val="24"/>
          <w:szCs w:val="24"/>
        </w:rPr>
        <w:t xml:space="preserve"> </w:t>
      </w:r>
      <w:r w:rsidRPr="005C5CBD">
        <w:rPr>
          <w:rFonts w:ascii="Garamond" w:eastAsia="Times New Roman" w:hAnsi="Garamond" w:cs="Times New Roman"/>
          <w:sz w:val="24"/>
          <w:szCs w:val="24"/>
        </w:rPr>
        <w:t>subsidiadas</w:t>
      </w:r>
      <w:r w:rsidRPr="005C5CBD">
        <w:rPr>
          <w:rFonts w:ascii="Garamond" w:eastAsia="Times New Roman" w:hAnsi="Garamond" w:cs="Times New Roman"/>
          <w:spacing w:val="13"/>
          <w:sz w:val="24"/>
          <w:szCs w:val="24"/>
        </w:rPr>
        <w:t xml:space="preserve"> </w:t>
      </w:r>
      <w:r w:rsidRPr="005C5CBD">
        <w:rPr>
          <w:rFonts w:ascii="Garamond" w:eastAsia="Times New Roman" w:hAnsi="Garamond" w:cs="Times New Roman"/>
          <w:sz w:val="24"/>
          <w:szCs w:val="24"/>
        </w:rPr>
        <w:t>serão</w:t>
      </w:r>
      <w:r w:rsidRPr="005C5CBD">
        <w:rPr>
          <w:rFonts w:ascii="Garamond" w:eastAsia="Times New Roman" w:hAnsi="Garamond" w:cs="Times New Roman"/>
          <w:spacing w:val="13"/>
          <w:sz w:val="24"/>
          <w:szCs w:val="24"/>
        </w:rPr>
        <w:t xml:space="preserve"> </w:t>
      </w:r>
      <w:r w:rsidRPr="005C5CBD">
        <w:rPr>
          <w:rFonts w:ascii="Garamond" w:eastAsia="Times New Roman" w:hAnsi="Garamond" w:cs="Times New Roman"/>
          <w:sz w:val="24"/>
          <w:szCs w:val="24"/>
        </w:rPr>
        <w:t>examinados</w:t>
      </w:r>
      <w:r w:rsidRPr="005C5CBD">
        <w:rPr>
          <w:rFonts w:ascii="Garamond" w:eastAsia="Times New Roman" w:hAnsi="Garamond" w:cs="Times New Roman"/>
          <w:spacing w:val="12"/>
          <w:sz w:val="24"/>
          <w:szCs w:val="24"/>
        </w:rPr>
        <w:t xml:space="preserve"> </w:t>
      </w:r>
      <w:r w:rsidRPr="005C5CBD">
        <w:rPr>
          <w:rFonts w:ascii="Garamond" w:eastAsia="Times New Roman" w:hAnsi="Garamond" w:cs="Times New Roman"/>
          <w:sz w:val="24"/>
          <w:szCs w:val="24"/>
        </w:rPr>
        <w:t>pela</w:t>
      </w:r>
      <w:r w:rsidRPr="005C5CBD">
        <w:rPr>
          <w:rFonts w:ascii="Garamond" w:eastAsia="Times New Roman" w:hAnsi="Garamond" w:cs="Times New Roman"/>
          <w:spacing w:val="12"/>
          <w:sz w:val="24"/>
          <w:szCs w:val="24"/>
        </w:rPr>
        <w:t xml:space="preserve"> </w:t>
      </w:r>
      <w:r w:rsidRPr="005C5CBD">
        <w:rPr>
          <w:rFonts w:ascii="Garamond" w:eastAsia="Times New Roman" w:hAnsi="Garamond" w:cs="Times New Roman"/>
          <w:sz w:val="24"/>
          <w:szCs w:val="24"/>
        </w:rPr>
        <w:t>análise</w:t>
      </w:r>
      <w:r w:rsidRPr="005C5CBD">
        <w:rPr>
          <w:rFonts w:ascii="Garamond" w:eastAsia="Times New Roman" w:hAnsi="Garamond" w:cs="Times New Roman"/>
          <w:spacing w:val="12"/>
          <w:sz w:val="24"/>
          <w:szCs w:val="24"/>
        </w:rPr>
        <w:t xml:space="preserve"> </w:t>
      </w:r>
      <w:r w:rsidRPr="005C5CBD">
        <w:rPr>
          <w:rFonts w:ascii="Garamond" w:eastAsia="Times New Roman" w:hAnsi="Garamond" w:cs="Times New Roman"/>
          <w:sz w:val="24"/>
          <w:szCs w:val="24"/>
        </w:rPr>
        <w:t>do</w:t>
      </w:r>
      <w:r w:rsidRPr="005C5CBD">
        <w:rPr>
          <w:rFonts w:ascii="Garamond" w:eastAsia="Times New Roman" w:hAnsi="Garamond" w:cs="Times New Roman"/>
          <w:spacing w:val="12"/>
          <w:sz w:val="24"/>
          <w:szCs w:val="24"/>
        </w:rPr>
        <w:t xml:space="preserve"> </w:t>
      </w:r>
      <w:r w:rsidRPr="005C5CBD">
        <w:rPr>
          <w:rFonts w:ascii="Garamond" w:eastAsia="Times New Roman" w:hAnsi="Garamond" w:cs="Times New Roman"/>
          <w:sz w:val="24"/>
          <w:szCs w:val="24"/>
        </w:rPr>
        <w:t>mais</w:t>
      </w:r>
      <w:r w:rsidRPr="005C5CBD">
        <w:rPr>
          <w:rFonts w:ascii="Garamond" w:eastAsia="Times New Roman" w:hAnsi="Garamond" w:cs="Times New Roman"/>
          <w:spacing w:val="13"/>
          <w:sz w:val="24"/>
          <w:szCs w:val="24"/>
        </w:rPr>
        <w:t xml:space="preserve"> </w:t>
      </w:r>
      <w:r w:rsidRPr="005C5CBD">
        <w:rPr>
          <w:rFonts w:ascii="Garamond" w:eastAsia="Times New Roman" w:hAnsi="Garamond" w:cs="Times New Roman"/>
          <w:sz w:val="24"/>
          <w:szCs w:val="24"/>
        </w:rPr>
        <w:t>próximo</w:t>
      </w:r>
      <w:r w:rsidRPr="005C5CBD">
        <w:rPr>
          <w:rFonts w:ascii="Garamond" w:eastAsia="Times New Roman" w:hAnsi="Garamond" w:cs="Times New Roman"/>
          <w:spacing w:val="9"/>
          <w:sz w:val="24"/>
          <w:szCs w:val="24"/>
        </w:rPr>
        <w:t xml:space="preserve"> </w:t>
      </w:r>
      <w:r w:rsidR="00D65665">
        <w:rPr>
          <w:rFonts w:ascii="Garamond" w:eastAsia="Times New Roman" w:hAnsi="Garamond" w:cs="Times New Roman"/>
          <w:sz w:val="24"/>
          <w:szCs w:val="24"/>
        </w:rPr>
        <w:t xml:space="preserve">grupo </w:t>
      </w:r>
      <w:r w:rsidR="00D65665" w:rsidRPr="005C5CBD">
        <w:rPr>
          <w:rFonts w:ascii="Garamond" w:eastAsia="Times New Roman" w:hAnsi="Garamond" w:cs="Times New Roman"/>
          <w:sz w:val="24"/>
          <w:szCs w:val="24"/>
        </w:rPr>
        <w:t>ou</w:t>
      </w:r>
      <w:r w:rsidR="00D65665" w:rsidRPr="005C5CBD">
        <w:rPr>
          <w:rFonts w:ascii="Garamond" w:eastAsia="Times New Roman" w:hAnsi="Garamond" w:cs="Times New Roman"/>
          <w:spacing w:val="11"/>
          <w:sz w:val="24"/>
          <w:szCs w:val="24"/>
        </w:rPr>
        <w:t xml:space="preserve"> </w:t>
      </w:r>
      <w:r w:rsidR="00D65665" w:rsidRPr="005C5CBD">
        <w:rPr>
          <w:rFonts w:ascii="Garamond" w:eastAsia="Times New Roman" w:hAnsi="Garamond" w:cs="Times New Roman"/>
          <w:sz w:val="24"/>
          <w:szCs w:val="24"/>
        </w:rPr>
        <w:t>gama</w:t>
      </w:r>
      <w:r w:rsidR="00D65665" w:rsidRPr="005C5CBD">
        <w:rPr>
          <w:rFonts w:ascii="Garamond" w:eastAsia="Times New Roman" w:hAnsi="Garamond" w:cs="Times New Roman"/>
          <w:spacing w:val="11"/>
          <w:sz w:val="24"/>
          <w:szCs w:val="24"/>
        </w:rPr>
        <w:t xml:space="preserve"> </w:t>
      </w:r>
      <w:r w:rsidR="00D65665" w:rsidRPr="005C5CBD">
        <w:rPr>
          <w:rFonts w:ascii="Garamond" w:eastAsia="Times New Roman" w:hAnsi="Garamond" w:cs="Times New Roman"/>
          <w:sz w:val="24"/>
          <w:szCs w:val="24"/>
        </w:rPr>
        <w:t>de</w:t>
      </w:r>
      <w:r w:rsidR="00D65665" w:rsidRPr="005C5CBD">
        <w:rPr>
          <w:rFonts w:ascii="Garamond" w:eastAsia="Times New Roman" w:hAnsi="Garamond" w:cs="Times New Roman"/>
          <w:spacing w:val="12"/>
          <w:sz w:val="24"/>
          <w:szCs w:val="24"/>
        </w:rPr>
        <w:t xml:space="preserve"> </w:t>
      </w:r>
      <w:r w:rsidR="00D65665" w:rsidRPr="005C5CBD">
        <w:rPr>
          <w:rFonts w:ascii="Garamond" w:eastAsia="Times New Roman" w:hAnsi="Garamond" w:cs="Times New Roman"/>
          <w:sz w:val="24"/>
          <w:szCs w:val="24"/>
        </w:rPr>
        <w:t>produtos</w:t>
      </w:r>
      <w:r w:rsidR="00D65665" w:rsidRPr="005C5CBD">
        <w:rPr>
          <w:rFonts w:ascii="Garamond" w:eastAsia="Times New Roman" w:hAnsi="Garamond" w:cs="Times New Roman"/>
          <w:spacing w:val="14"/>
          <w:sz w:val="24"/>
          <w:szCs w:val="24"/>
        </w:rPr>
        <w:t xml:space="preserve"> </w:t>
      </w:r>
      <w:r w:rsidR="00D65665" w:rsidRPr="005C5CBD">
        <w:rPr>
          <w:rFonts w:ascii="Garamond" w:eastAsia="Times New Roman" w:hAnsi="Garamond" w:cs="Times New Roman"/>
          <w:sz w:val="24"/>
          <w:szCs w:val="24"/>
        </w:rPr>
        <w:t>que</w:t>
      </w:r>
      <w:r w:rsidR="00D65665" w:rsidRPr="005C5CBD">
        <w:rPr>
          <w:rFonts w:ascii="Garamond" w:eastAsia="Times New Roman" w:hAnsi="Garamond" w:cs="Times New Roman"/>
          <w:spacing w:val="10"/>
          <w:sz w:val="24"/>
          <w:szCs w:val="24"/>
        </w:rPr>
        <w:t xml:space="preserve"> </w:t>
      </w:r>
      <w:r w:rsidR="00D65665" w:rsidRPr="005C5CBD">
        <w:rPr>
          <w:rFonts w:ascii="Garamond" w:eastAsia="Times New Roman" w:hAnsi="Garamond" w:cs="Times New Roman"/>
          <w:sz w:val="24"/>
          <w:szCs w:val="24"/>
        </w:rPr>
        <w:t>inclua</w:t>
      </w:r>
      <w:r w:rsidR="00D65665" w:rsidRPr="005C5CBD">
        <w:rPr>
          <w:rFonts w:ascii="Garamond" w:eastAsia="Times New Roman" w:hAnsi="Garamond" w:cs="Times New Roman"/>
          <w:spacing w:val="10"/>
          <w:sz w:val="24"/>
          <w:szCs w:val="24"/>
        </w:rPr>
        <w:t xml:space="preserve"> </w:t>
      </w:r>
      <w:r w:rsidR="00D65665" w:rsidRPr="005C5CBD">
        <w:rPr>
          <w:rFonts w:ascii="Garamond" w:eastAsia="Times New Roman" w:hAnsi="Garamond" w:cs="Times New Roman"/>
          <w:sz w:val="24"/>
          <w:szCs w:val="24"/>
        </w:rPr>
        <w:t>o</w:t>
      </w:r>
      <w:r w:rsidR="00D65665" w:rsidRPr="005C5CBD">
        <w:rPr>
          <w:rFonts w:ascii="Garamond" w:eastAsia="Times New Roman" w:hAnsi="Garamond" w:cs="Times New Roman"/>
          <w:spacing w:val="11"/>
          <w:sz w:val="24"/>
          <w:szCs w:val="24"/>
        </w:rPr>
        <w:t xml:space="preserve"> </w:t>
      </w:r>
      <w:r w:rsidR="00D65665" w:rsidRPr="005C5CBD">
        <w:rPr>
          <w:rFonts w:ascii="Garamond" w:eastAsia="Times New Roman" w:hAnsi="Garamond" w:cs="Times New Roman"/>
          <w:sz w:val="24"/>
          <w:szCs w:val="24"/>
        </w:rPr>
        <w:t>produto</w:t>
      </w:r>
      <w:r w:rsidR="00D65665" w:rsidRPr="005C5CBD">
        <w:rPr>
          <w:rFonts w:ascii="Garamond" w:eastAsia="Times New Roman" w:hAnsi="Garamond" w:cs="Times New Roman"/>
          <w:spacing w:val="11"/>
          <w:sz w:val="24"/>
          <w:szCs w:val="24"/>
        </w:rPr>
        <w:t xml:space="preserve"> </w:t>
      </w:r>
      <w:r w:rsidR="00D65665" w:rsidRPr="005C5CBD">
        <w:rPr>
          <w:rFonts w:ascii="Garamond" w:eastAsia="Times New Roman" w:hAnsi="Garamond" w:cs="Times New Roman"/>
          <w:sz w:val="24"/>
          <w:szCs w:val="24"/>
        </w:rPr>
        <w:t>similar</w:t>
      </w:r>
      <w:r w:rsidR="00D65665" w:rsidRPr="005C5CBD">
        <w:rPr>
          <w:rFonts w:ascii="Garamond" w:eastAsia="Times New Roman" w:hAnsi="Garamond" w:cs="Times New Roman"/>
          <w:spacing w:val="11"/>
          <w:sz w:val="24"/>
          <w:szCs w:val="24"/>
        </w:rPr>
        <w:t xml:space="preserve"> </w:t>
      </w:r>
      <w:r w:rsidR="00D65665" w:rsidRPr="005C5CBD">
        <w:rPr>
          <w:rFonts w:ascii="Garamond" w:eastAsia="Times New Roman" w:hAnsi="Garamond" w:cs="Times New Roman"/>
          <w:sz w:val="24"/>
          <w:szCs w:val="24"/>
        </w:rPr>
        <w:t>para</w:t>
      </w:r>
      <w:r w:rsidR="00D65665" w:rsidRPr="005C5CBD">
        <w:rPr>
          <w:rFonts w:ascii="Garamond" w:eastAsia="Times New Roman" w:hAnsi="Garamond" w:cs="Times New Roman"/>
          <w:spacing w:val="10"/>
          <w:sz w:val="24"/>
          <w:szCs w:val="24"/>
        </w:rPr>
        <w:t xml:space="preserve"> </w:t>
      </w:r>
      <w:r w:rsidR="00D65665" w:rsidRPr="005C5CBD">
        <w:rPr>
          <w:rFonts w:ascii="Garamond" w:eastAsia="Times New Roman" w:hAnsi="Garamond" w:cs="Times New Roman"/>
          <w:sz w:val="24"/>
          <w:szCs w:val="24"/>
        </w:rPr>
        <w:t>o</w:t>
      </w:r>
      <w:r w:rsidR="00D65665" w:rsidRPr="005C5CBD">
        <w:rPr>
          <w:rFonts w:ascii="Garamond" w:eastAsia="Times New Roman" w:hAnsi="Garamond" w:cs="Times New Roman"/>
          <w:spacing w:val="11"/>
          <w:sz w:val="24"/>
          <w:szCs w:val="24"/>
        </w:rPr>
        <w:t xml:space="preserve"> </w:t>
      </w:r>
      <w:r w:rsidR="00D65665" w:rsidRPr="005C5CBD">
        <w:rPr>
          <w:rFonts w:ascii="Garamond" w:eastAsia="Times New Roman" w:hAnsi="Garamond" w:cs="Times New Roman"/>
          <w:sz w:val="24"/>
          <w:szCs w:val="24"/>
        </w:rPr>
        <w:t>qual</w:t>
      </w:r>
      <w:r w:rsidR="00D65665" w:rsidRPr="005C5CBD">
        <w:rPr>
          <w:rFonts w:ascii="Garamond" w:eastAsia="Times New Roman" w:hAnsi="Garamond" w:cs="Times New Roman"/>
          <w:spacing w:val="12"/>
          <w:sz w:val="24"/>
          <w:szCs w:val="24"/>
        </w:rPr>
        <w:t xml:space="preserve"> </w:t>
      </w:r>
      <w:r w:rsidR="00D65665" w:rsidRPr="005C5CBD">
        <w:rPr>
          <w:rFonts w:ascii="Garamond" w:eastAsia="Times New Roman" w:hAnsi="Garamond" w:cs="Times New Roman"/>
          <w:sz w:val="24"/>
          <w:szCs w:val="24"/>
        </w:rPr>
        <w:t>se</w:t>
      </w:r>
      <w:r w:rsidR="00D65665" w:rsidRPr="005C5CBD">
        <w:rPr>
          <w:rFonts w:ascii="Garamond" w:eastAsia="Times New Roman" w:hAnsi="Garamond" w:cs="Times New Roman"/>
          <w:spacing w:val="13"/>
          <w:sz w:val="24"/>
          <w:szCs w:val="24"/>
        </w:rPr>
        <w:t xml:space="preserve"> </w:t>
      </w:r>
      <w:r w:rsidR="00D65665" w:rsidRPr="005C5CBD">
        <w:rPr>
          <w:rFonts w:ascii="Garamond" w:eastAsia="Times New Roman" w:hAnsi="Garamond" w:cs="Times New Roman"/>
          <w:sz w:val="24"/>
          <w:szCs w:val="24"/>
        </w:rPr>
        <w:t>possam</w:t>
      </w:r>
      <w:r w:rsidR="00D65665" w:rsidRPr="005C5CBD">
        <w:rPr>
          <w:rFonts w:ascii="Garamond" w:eastAsia="Times New Roman" w:hAnsi="Garamond" w:cs="Times New Roman"/>
          <w:spacing w:val="11"/>
          <w:sz w:val="24"/>
          <w:szCs w:val="24"/>
        </w:rPr>
        <w:t xml:space="preserve"> </w:t>
      </w:r>
      <w:r w:rsidR="00D65665" w:rsidRPr="005C5CBD">
        <w:rPr>
          <w:rFonts w:ascii="Garamond" w:eastAsia="Times New Roman" w:hAnsi="Garamond" w:cs="Times New Roman"/>
          <w:sz w:val="24"/>
          <w:szCs w:val="24"/>
        </w:rPr>
        <w:t>obter</w:t>
      </w:r>
      <w:r w:rsidR="00D65665" w:rsidRPr="005C5CBD">
        <w:rPr>
          <w:rFonts w:ascii="Garamond" w:eastAsia="Times New Roman" w:hAnsi="Garamond" w:cs="Times New Roman"/>
          <w:spacing w:val="10"/>
          <w:sz w:val="24"/>
          <w:szCs w:val="24"/>
        </w:rPr>
        <w:t xml:space="preserve"> </w:t>
      </w:r>
      <w:r w:rsidR="00D65665" w:rsidRPr="005C5CBD">
        <w:rPr>
          <w:rFonts w:ascii="Garamond" w:eastAsia="Times New Roman" w:hAnsi="Garamond" w:cs="Times New Roman"/>
          <w:sz w:val="24"/>
          <w:szCs w:val="24"/>
        </w:rPr>
        <w:t>as</w:t>
      </w:r>
      <w:r w:rsidR="00D65665" w:rsidRPr="005C5CBD">
        <w:rPr>
          <w:rFonts w:ascii="Garamond" w:eastAsia="Times New Roman" w:hAnsi="Garamond" w:cs="Times New Roman"/>
          <w:spacing w:val="-57"/>
          <w:sz w:val="24"/>
          <w:szCs w:val="24"/>
        </w:rPr>
        <w:t xml:space="preserve"> </w:t>
      </w:r>
      <w:r w:rsidR="00D65665" w:rsidRPr="005C5CBD">
        <w:rPr>
          <w:rFonts w:ascii="Garamond" w:eastAsia="Times New Roman" w:hAnsi="Garamond" w:cs="Times New Roman"/>
          <w:sz w:val="24"/>
          <w:szCs w:val="24"/>
        </w:rPr>
        <w:t>informações</w:t>
      </w:r>
      <w:r w:rsidR="00D65665" w:rsidRPr="005C5CBD">
        <w:rPr>
          <w:rFonts w:ascii="Garamond" w:eastAsia="Times New Roman" w:hAnsi="Garamond" w:cs="Times New Roman"/>
          <w:spacing w:val="-1"/>
          <w:sz w:val="24"/>
          <w:szCs w:val="24"/>
        </w:rPr>
        <w:t xml:space="preserve"> </w:t>
      </w:r>
      <w:r w:rsidR="00D65665" w:rsidRPr="005C5CBD">
        <w:rPr>
          <w:rFonts w:ascii="Garamond" w:eastAsia="Times New Roman" w:hAnsi="Garamond" w:cs="Times New Roman"/>
          <w:sz w:val="24"/>
          <w:szCs w:val="24"/>
        </w:rPr>
        <w:t>necessárias</w:t>
      </w:r>
    </w:p>
    <w:p w14:paraId="0ACF7320" w14:textId="77777777" w:rsidR="00D65665" w:rsidRDefault="00D65665" w:rsidP="00E33E26">
      <w:pPr>
        <w:widowControl w:val="0"/>
        <w:autoSpaceDE w:val="0"/>
        <w:autoSpaceDN w:val="0"/>
        <w:spacing w:after="0" w:line="240" w:lineRule="auto"/>
        <w:rPr>
          <w:rFonts w:ascii="Garamond" w:eastAsia="Times New Roman" w:hAnsi="Garamond" w:cs="Times New Roman"/>
          <w:sz w:val="23"/>
          <w:szCs w:val="24"/>
        </w:rPr>
      </w:pPr>
    </w:p>
    <w:p w14:paraId="202B7699" w14:textId="77777777" w:rsidR="00D65665" w:rsidRDefault="00D65665" w:rsidP="00E33E26">
      <w:pPr>
        <w:widowControl w:val="0"/>
        <w:autoSpaceDE w:val="0"/>
        <w:autoSpaceDN w:val="0"/>
        <w:spacing w:after="0" w:line="240" w:lineRule="auto"/>
        <w:rPr>
          <w:rFonts w:ascii="Garamond" w:eastAsia="Times New Roman" w:hAnsi="Garamond" w:cs="Times New Roman"/>
          <w:sz w:val="23"/>
          <w:szCs w:val="24"/>
        </w:rPr>
      </w:pPr>
    </w:p>
    <w:p w14:paraId="7B2F77E0" w14:textId="77777777" w:rsidR="00D65665" w:rsidRDefault="00D65665" w:rsidP="00E33E26">
      <w:pPr>
        <w:widowControl w:val="0"/>
        <w:autoSpaceDE w:val="0"/>
        <w:autoSpaceDN w:val="0"/>
        <w:spacing w:after="0" w:line="240" w:lineRule="auto"/>
        <w:rPr>
          <w:rFonts w:ascii="Garamond" w:eastAsia="Times New Roman" w:hAnsi="Garamond" w:cs="Times New Roman"/>
          <w:sz w:val="23"/>
          <w:szCs w:val="24"/>
        </w:rPr>
      </w:pPr>
    </w:p>
    <w:p w14:paraId="2300DA40" w14:textId="77777777" w:rsidR="00D65665" w:rsidRDefault="00D65665" w:rsidP="00E33E26">
      <w:pPr>
        <w:widowControl w:val="0"/>
        <w:autoSpaceDE w:val="0"/>
        <w:autoSpaceDN w:val="0"/>
        <w:spacing w:after="0" w:line="240" w:lineRule="auto"/>
        <w:rPr>
          <w:rFonts w:ascii="Garamond" w:eastAsia="Times New Roman" w:hAnsi="Garamond" w:cs="Times New Roman"/>
          <w:sz w:val="23"/>
          <w:szCs w:val="24"/>
        </w:rPr>
      </w:pPr>
    </w:p>
    <w:p w14:paraId="7218A3B8" w14:textId="77777777" w:rsidR="00D65665" w:rsidRDefault="00D65665" w:rsidP="00E33E26">
      <w:pPr>
        <w:widowControl w:val="0"/>
        <w:autoSpaceDE w:val="0"/>
        <w:autoSpaceDN w:val="0"/>
        <w:spacing w:after="0" w:line="240" w:lineRule="auto"/>
        <w:rPr>
          <w:rFonts w:ascii="Garamond" w:eastAsia="Times New Roman" w:hAnsi="Garamond" w:cs="Times New Roman"/>
          <w:sz w:val="23"/>
          <w:szCs w:val="24"/>
        </w:rPr>
      </w:pPr>
    </w:p>
    <w:p w14:paraId="1A7E1188" w14:textId="77777777" w:rsidR="00D65665" w:rsidRDefault="00D65665" w:rsidP="00E33E26">
      <w:pPr>
        <w:widowControl w:val="0"/>
        <w:autoSpaceDE w:val="0"/>
        <w:autoSpaceDN w:val="0"/>
        <w:spacing w:after="0" w:line="240" w:lineRule="auto"/>
        <w:rPr>
          <w:rFonts w:ascii="Garamond" w:eastAsia="Times New Roman" w:hAnsi="Garamond" w:cs="Times New Roman"/>
          <w:sz w:val="23"/>
          <w:szCs w:val="24"/>
        </w:rPr>
      </w:pPr>
    </w:p>
    <w:p w14:paraId="66D849D4" w14:textId="77777777" w:rsidR="00D65665" w:rsidRDefault="00D65665" w:rsidP="00E33E26">
      <w:pPr>
        <w:widowControl w:val="0"/>
        <w:autoSpaceDE w:val="0"/>
        <w:autoSpaceDN w:val="0"/>
        <w:spacing w:after="0" w:line="240" w:lineRule="auto"/>
        <w:rPr>
          <w:rFonts w:ascii="Garamond" w:eastAsia="Times New Roman" w:hAnsi="Garamond" w:cs="Times New Roman"/>
          <w:sz w:val="23"/>
          <w:szCs w:val="24"/>
        </w:rPr>
      </w:pPr>
    </w:p>
    <w:p w14:paraId="35EF3CE8" w14:textId="77777777" w:rsidR="00D65665" w:rsidRDefault="00D65665" w:rsidP="00E33E26">
      <w:pPr>
        <w:widowControl w:val="0"/>
        <w:autoSpaceDE w:val="0"/>
        <w:autoSpaceDN w:val="0"/>
        <w:spacing w:after="0" w:line="240" w:lineRule="auto"/>
        <w:rPr>
          <w:rFonts w:ascii="Garamond" w:eastAsia="Times New Roman" w:hAnsi="Garamond" w:cs="Times New Roman"/>
          <w:sz w:val="23"/>
          <w:szCs w:val="24"/>
        </w:rPr>
      </w:pPr>
    </w:p>
    <w:p w14:paraId="37E2FA8C" w14:textId="77777777" w:rsidR="00CB6C86" w:rsidRDefault="00CB6C86" w:rsidP="00CB6C86">
      <w:pPr>
        <w:widowControl w:val="0"/>
        <w:autoSpaceDE w:val="0"/>
        <w:autoSpaceDN w:val="0"/>
        <w:spacing w:after="0" w:line="240" w:lineRule="auto"/>
        <w:rPr>
          <w:rFonts w:ascii="Garamond" w:eastAsia="Times New Roman" w:hAnsi="Garamond" w:cs="Times New Roman"/>
          <w:sz w:val="23"/>
          <w:szCs w:val="24"/>
        </w:rPr>
      </w:pPr>
    </w:p>
    <w:p w14:paraId="7E4931FD" w14:textId="653831FF" w:rsidR="00CB6C86" w:rsidRPr="00395593" w:rsidRDefault="00CB6C86" w:rsidP="00CB6C86">
      <w:pPr>
        <w:widowControl w:val="0"/>
        <w:autoSpaceDE w:val="0"/>
        <w:autoSpaceDN w:val="0"/>
        <w:spacing w:after="0" w:line="240" w:lineRule="auto"/>
        <w:rPr>
          <w:rFonts w:ascii="Garamond" w:eastAsia="Times New Roman" w:hAnsi="Garamond" w:cs="Times New Roman"/>
          <w:sz w:val="23"/>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75" behindDoc="1" locked="0" layoutInCell="1" allowOverlap="1" wp14:anchorId="01C1EAB5" wp14:editId="3469C97A">
                <wp:simplePos x="0" y="0"/>
                <wp:positionH relativeFrom="page">
                  <wp:posOffset>1080770</wp:posOffset>
                </wp:positionH>
                <wp:positionV relativeFrom="paragraph">
                  <wp:posOffset>183515</wp:posOffset>
                </wp:positionV>
                <wp:extent cx="1828800" cy="7620"/>
                <wp:effectExtent l="4445" t="1905" r="0" b="0"/>
                <wp:wrapTopAndBottom/>
                <wp:docPr id="418" name="Retângulo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64373" id="Retângulo 418" o:spid="_x0000_s1026" style="position:absolute;margin-left:85.1pt;margin-top:14.45pt;width:2in;height:.6pt;z-index:-2516582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zIfw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" fillcolor="black" stroked="f">
                <w10:wrap type="topAndBottom" anchorx="page"/>
              </v:rect>
            </w:pict>
          </mc:Fallback>
        </mc:AlternateContent>
      </w:r>
    </w:p>
    <w:p w14:paraId="2BAF102E" w14:textId="77777777" w:rsidR="00CB6C86" w:rsidRPr="00395593" w:rsidRDefault="00CB6C86" w:rsidP="00CB6C86">
      <w:pPr>
        <w:widowControl w:val="0"/>
        <w:autoSpaceDE w:val="0"/>
        <w:autoSpaceDN w:val="0"/>
        <w:spacing w:before="103" w:after="0" w:line="240" w:lineRule="auto"/>
        <w:rPr>
          <w:rFonts w:ascii="Garamond" w:eastAsia="Times New Roman" w:hAnsi="Garamond" w:cs="Times New Roman"/>
          <w:sz w:val="20"/>
        </w:rPr>
      </w:pPr>
      <w:r w:rsidRPr="00E27F2A">
        <w:rPr>
          <w:rFonts w:ascii="Garamond" w:eastAsia="Times New Roman" w:hAnsi="Garamond" w:cs="Times New Roman"/>
          <w:sz w:val="20"/>
          <w:vertAlign w:val="superscript"/>
        </w:rPr>
        <w:t>47</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Conforme</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disposto nos</w:t>
      </w:r>
      <w:r w:rsidRPr="00E27F2A">
        <w:rPr>
          <w:rFonts w:ascii="Garamond" w:eastAsia="Times New Roman" w:hAnsi="Garamond" w:cs="Times New Roman"/>
          <w:spacing w:val="-3"/>
          <w:sz w:val="20"/>
        </w:rPr>
        <w:t xml:space="preserve"> </w:t>
      </w:r>
      <w:r w:rsidRPr="00E27F2A">
        <w:rPr>
          <w:rFonts w:ascii="Garamond" w:eastAsia="Times New Roman" w:hAnsi="Garamond" w:cs="Times New Roman"/>
          <w:sz w:val="20"/>
        </w:rPr>
        <w:t>parágrafos</w:t>
      </w:r>
      <w:r w:rsidRPr="00E27F2A">
        <w:rPr>
          <w:rFonts w:ascii="Garamond" w:eastAsia="Times New Roman" w:hAnsi="Garamond" w:cs="Times New Roman"/>
          <w:spacing w:val="-3"/>
          <w:sz w:val="20"/>
        </w:rPr>
        <w:t xml:space="preserve"> </w:t>
      </w:r>
      <w:r w:rsidRPr="00E27F2A">
        <w:rPr>
          <w:rFonts w:ascii="Garamond" w:eastAsia="Times New Roman" w:hAnsi="Garamond" w:cs="Times New Roman"/>
          <w:sz w:val="20"/>
        </w:rPr>
        <w:t>2 e</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4.</w:t>
      </w:r>
    </w:p>
    <w:p w14:paraId="22A11937" w14:textId="77777777" w:rsidR="004A450E" w:rsidRPr="005C5CBD" w:rsidRDefault="004A450E" w:rsidP="004A450E">
      <w:pPr>
        <w:widowControl w:val="0"/>
        <w:autoSpaceDE w:val="0"/>
        <w:autoSpaceDN w:val="0"/>
        <w:spacing w:before="103" w:after="0" w:line="240" w:lineRule="auto"/>
        <w:rPr>
          <w:rFonts w:ascii="Garamond" w:eastAsia="Times New Roman" w:hAnsi="Garamond" w:cs="Times New Roman"/>
          <w:sz w:val="20"/>
        </w:rPr>
      </w:pPr>
    </w:p>
    <w:p w14:paraId="05C71011"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40C009F5" w14:textId="77777777" w:rsidR="00CB6C86" w:rsidRPr="00395593" w:rsidRDefault="00CB6C86" w:rsidP="002C4340">
      <w:pPr>
        <w:widowControl w:val="0"/>
        <w:numPr>
          <w:ilvl w:val="0"/>
          <w:numId w:val="50"/>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A determinação de ameaça de grave dano será feita com base em fatos e não apenas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alegações, conjecturas ou possibilidades remotas. A alteração das circunstâncias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criaria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situação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causaria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precisa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claramente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previsível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iminente.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existência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ameaça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grave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investigadoras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considerarão os seguintes fatores, entre</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outros:</w:t>
      </w:r>
    </w:p>
    <w:p w14:paraId="224AD52C"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2BE0B24E" w14:textId="77777777" w:rsidR="00CB6C86" w:rsidRPr="00395593" w:rsidRDefault="00CB6C86" w:rsidP="002C4340">
      <w:pPr>
        <w:widowControl w:val="0"/>
        <w:numPr>
          <w:ilvl w:val="1"/>
          <w:numId w:val="50"/>
        </w:numPr>
        <w:tabs>
          <w:tab w:val="left" w:pos="1173"/>
        </w:tabs>
        <w:autoSpaceDE w:val="0"/>
        <w:autoSpaceDN w:val="0"/>
        <w:spacing w:after="0" w:line="240" w:lineRule="auto"/>
        <w:ind w:left="1181" w:right="127" w:hanging="360"/>
        <w:jc w:val="both"/>
        <w:rPr>
          <w:rFonts w:ascii="Garamond" w:eastAsia="Times New Roman" w:hAnsi="Garamond" w:cs="Times New Roman"/>
          <w:sz w:val="24"/>
        </w:rPr>
      </w:pPr>
      <w:r w:rsidRPr="00395593">
        <w:rPr>
          <w:rFonts w:ascii="Garamond" w:eastAsia="Times New Roman" w:hAnsi="Garamond" w:cs="Times New Roman"/>
          <w:sz w:val="24"/>
        </w:rPr>
        <w:t>natureza do subsídio ou dos subsídios em causa e os efeitos sobre o comércio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provavelmente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deles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resultarão;</w:t>
      </w:r>
    </w:p>
    <w:p w14:paraId="66253273"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3C0D56FF" w14:textId="77777777" w:rsidR="00CB6C86" w:rsidRPr="00395593" w:rsidRDefault="00CB6C86" w:rsidP="002C4340">
      <w:pPr>
        <w:widowControl w:val="0"/>
        <w:numPr>
          <w:ilvl w:val="1"/>
          <w:numId w:val="50"/>
        </w:numPr>
        <w:tabs>
          <w:tab w:val="left" w:pos="1247"/>
        </w:tabs>
        <w:autoSpaceDE w:val="0"/>
        <w:autoSpaceDN w:val="0"/>
        <w:spacing w:after="0" w:line="240" w:lineRule="auto"/>
        <w:ind w:left="1181" w:right="119" w:hanging="360"/>
        <w:jc w:val="both"/>
        <w:rPr>
          <w:rFonts w:ascii="Garamond" w:eastAsia="Times New Roman" w:hAnsi="Garamond" w:cs="Times New Roman"/>
          <w:sz w:val="24"/>
        </w:rPr>
      </w:pPr>
      <w:r w:rsidRPr="00395593">
        <w:rPr>
          <w:rFonts w:ascii="Garamond" w:eastAsia="Times New Roman" w:hAnsi="Garamond" w:cs="Times New Roman"/>
        </w:rPr>
        <w:tab/>
      </w:r>
      <w:r w:rsidRPr="00395593">
        <w:rPr>
          <w:rFonts w:ascii="Garamond" w:eastAsia="Times New Roman" w:hAnsi="Garamond" w:cs="Times New Roman"/>
          <w:sz w:val="24"/>
        </w:rPr>
        <w:t>notável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subsidiadas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mercado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nacional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indique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probabilidade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significativo 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importações;</w:t>
      </w:r>
    </w:p>
    <w:p w14:paraId="66CF39B8" w14:textId="77777777" w:rsidR="00CB6C86" w:rsidRPr="00395593" w:rsidRDefault="00CB6C86" w:rsidP="00655FD9">
      <w:pPr>
        <w:widowControl w:val="0"/>
        <w:autoSpaceDE w:val="0"/>
        <w:autoSpaceDN w:val="0"/>
        <w:spacing w:before="1" w:after="0" w:line="240" w:lineRule="auto"/>
        <w:jc w:val="both"/>
        <w:rPr>
          <w:rFonts w:ascii="Garamond" w:eastAsia="Times New Roman" w:hAnsi="Garamond" w:cs="Times New Roman"/>
          <w:sz w:val="24"/>
          <w:szCs w:val="24"/>
        </w:rPr>
      </w:pPr>
    </w:p>
    <w:p w14:paraId="36E633D1" w14:textId="77777777" w:rsidR="00CB6C86" w:rsidRPr="00395593" w:rsidRDefault="00CB6C86" w:rsidP="002C4340">
      <w:pPr>
        <w:widowControl w:val="0"/>
        <w:numPr>
          <w:ilvl w:val="1"/>
          <w:numId w:val="50"/>
        </w:numPr>
        <w:tabs>
          <w:tab w:val="left" w:pos="1302"/>
        </w:tabs>
        <w:autoSpaceDE w:val="0"/>
        <w:autoSpaceDN w:val="0"/>
        <w:spacing w:after="0" w:line="240" w:lineRule="auto"/>
        <w:ind w:left="1181" w:right="117" w:hanging="360"/>
        <w:jc w:val="both"/>
        <w:rPr>
          <w:rFonts w:ascii="Garamond" w:eastAsia="Times New Roman" w:hAnsi="Garamond" w:cs="Times New Roman"/>
          <w:sz w:val="24"/>
        </w:rPr>
      </w:pPr>
      <w:r w:rsidRPr="00395593">
        <w:rPr>
          <w:rFonts w:ascii="Garamond" w:eastAsia="Times New Roman" w:hAnsi="Garamond" w:cs="Times New Roman"/>
        </w:rPr>
        <w:tab/>
      </w:r>
      <w:r w:rsidRPr="00395593">
        <w:rPr>
          <w:rFonts w:ascii="Garamond" w:eastAsia="Times New Roman" w:hAnsi="Garamond" w:cs="Times New Roman"/>
          <w:sz w:val="24"/>
        </w:rPr>
        <w:t>suficiente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capacidade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ociosa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iminente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crescimento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significativo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dessa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capacidade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indique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probabilidade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significativo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subsidiadas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mercado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importador,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levando-se em consideração a capacidade de outros mercados de exportação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absorverem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 possível aumento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exportações;</w:t>
      </w:r>
    </w:p>
    <w:p w14:paraId="385EA8F3"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22844BD2" w14:textId="77777777" w:rsidR="00CB6C86" w:rsidRPr="00395593" w:rsidRDefault="00CB6C86" w:rsidP="002C4340">
      <w:pPr>
        <w:widowControl w:val="0"/>
        <w:numPr>
          <w:ilvl w:val="1"/>
          <w:numId w:val="50"/>
        </w:numPr>
        <w:tabs>
          <w:tab w:val="left" w:pos="1209"/>
        </w:tabs>
        <w:autoSpaceDE w:val="0"/>
        <w:autoSpaceDN w:val="0"/>
        <w:spacing w:after="0" w:line="240" w:lineRule="auto"/>
        <w:ind w:left="1181" w:right="120" w:hanging="360"/>
        <w:jc w:val="both"/>
        <w:rPr>
          <w:rFonts w:ascii="Garamond" w:eastAsia="Times New Roman" w:hAnsi="Garamond" w:cs="Times New Roman"/>
          <w:sz w:val="24"/>
        </w:rPr>
      </w:pPr>
      <w:r w:rsidRPr="00395593">
        <w:rPr>
          <w:rFonts w:ascii="Garamond" w:eastAsia="Times New Roman" w:hAnsi="Garamond" w:cs="Times New Roman"/>
          <w:sz w:val="24"/>
        </w:rPr>
        <w:t>se as exportações estão entrando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 preços que causarão significativo efeito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depressor</w:t>
      </w:r>
      <w:r w:rsidRPr="00395593">
        <w:rPr>
          <w:rFonts w:ascii="Garamond" w:eastAsia="Times New Roman" w:hAnsi="Garamond" w:cs="Times New Roman"/>
          <w:spacing w:val="22"/>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supressor</w:t>
      </w:r>
      <w:r w:rsidRPr="00395593">
        <w:rPr>
          <w:rFonts w:ascii="Garamond" w:eastAsia="Times New Roman" w:hAnsi="Garamond" w:cs="Times New Roman"/>
          <w:spacing w:val="22"/>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22"/>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preços</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nacionais</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2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2"/>
          <w:sz w:val="24"/>
        </w:rPr>
        <w:t xml:space="preserve"> </w:t>
      </w:r>
      <w:r w:rsidRPr="00395593">
        <w:rPr>
          <w:rFonts w:ascii="Garamond" w:eastAsia="Times New Roman" w:hAnsi="Garamond" w:cs="Times New Roman"/>
          <w:sz w:val="24"/>
        </w:rPr>
        <w:t>levarão</w:t>
      </w:r>
      <w:r w:rsidRPr="00395593">
        <w:rPr>
          <w:rFonts w:ascii="Garamond" w:eastAsia="Times New Roman" w:hAnsi="Garamond" w:cs="Times New Roman"/>
          <w:spacing w:val="22"/>
          <w:sz w:val="24"/>
        </w:rPr>
        <w:t xml:space="preserve"> </w:t>
      </w:r>
      <w:r w:rsidRPr="00395593">
        <w:rPr>
          <w:rFonts w:ascii="Garamond" w:eastAsia="Times New Roman" w:hAnsi="Garamond" w:cs="Times New Roman"/>
          <w:sz w:val="24"/>
        </w:rPr>
        <w:t>provavelmente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aumento 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demanda por importações adicionais; e</w:t>
      </w:r>
    </w:p>
    <w:p w14:paraId="485D6D16"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432ECEDE" w14:textId="77777777" w:rsidR="00CB6C86" w:rsidRPr="00395593" w:rsidRDefault="00CB6C86" w:rsidP="002C4340">
      <w:pPr>
        <w:widowControl w:val="0"/>
        <w:numPr>
          <w:ilvl w:val="1"/>
          <w:numId w:val="50"/>
        </w:numPr>
        <w:tabs>
          <w:tab w:val="left" w:pos="1147"/>
        </w:tabs>
        <w:autoSpaceDE w:val="0"/>
        <w:autoSpaceDN w:val="0"/>
        <w:spacing w:after="0" w:line="240" w:lineRule="auto"/>
        <w:ind w:left="1146" w:hanging="326"/>
        <w:jc w:val="both"/>
        <w:rPr>
          <w:rFonts w:ascii="Garamond" w:eastAsia="Times New Roman" w:hAnsi="Garamond" w:cs="Times New Roman"/>
          <w:sz w:val="24"/>
        </w:rPr>
      </w:pP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estoques do 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está sendo investigado.</w:t>
      </w:r>
    </w:p>
    <w:p w14:paraId="75C2E75F"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513327B7" w14:textId="77777777" w:rsidR="00CB6C86" w:rsidRPr="00395593" w:rsidRDefault="00CB6C86" w:rsidP="00655FD9">
      <w:pPr>
        <w:widowControl w:val="0"/>
        <w:autoSpaceDE w:val="0"/>
        <w:autoSpaceDN w:val="0"/>
        <w:spacing w:before="1" w:after="0" w:line="240" w:lineRule="auto"/>
        <w:ind w:right="121"/>
        <w:jc w:val="both"/>
        <w:rPr>
          <w:rFonts w:ascii="Garamond" w:eastAsia="Times New Roman" w:hAnsi="Garamond" w:cs="Times New Roman"/>
          <w:sz w:val="24"/>
          <w:szCs w:val="24"/>
        </w:rPr>
      </w:pPr>
      <w:r w:rsidRPr="00395593">
        <w:rPr>
          <w:rFonts w:ascii="Garamond" w:eastAsia="Times New Roman" w:hAnsi="Garamond" w:cs="Times New Roman"/>
          <w:sz w:val="24"/>
          <w:szCs w:val="24"/>
        </w:rPr>
        <w:t>Nenhum dos fatores acima poderá, necessariamente, por si só, oferecer orientação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decisiva, mas a totalidade dos fatores considerados deverá ser capaz de levar à conclusão de</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que exportações subsidiadas adicionais são iminentes e, a menos que se tomem medidas 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proteção,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ocorrerá grave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dano.</w:t>
      </w:r>
    </w:p>
    <w:p w14:paraId="3287693A"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0FDCB66E" w14:textId="77777777" w:rsidR="00CB6C86" w:rsidRPr="00395593" w:rsidRDefault="00CB6C86" w:rsidP="002C4340">
      <w:pPr>
        <w:widowControl w:val="0"/>
        <w:numPr>
          <w:ilvl w:val="0"/>
          <w:numId w:val="50"/>
        </w:numPr>
        <w:tabs>
          <w:tab w:val="left" w:pos="810"/>
        </w:tabs>
        <w:autoSpaceDE w:val="0"/>
        <w:autoSpaceDN w:val="0"/>
        <w:spacing w:after="0" w:line="240" w:lineRule="auto"/>
        <w:ind w:right="124" w:firstLine="0"/>
        <w:jc w:val="both"/>
        <w:rPr>
          <w:rFonts w:ascii="Garamond" w:eastAsia="Times New Roman" w:hAnsi="Garamond" w:cs="Times New Roman"/>
          <w:sz w:val="24"/>
        </w:rPr>
      </w:pPr>
      <w:r w:rsidRPr="00395593">
        <w:rPr>
          <w:rFonts w:ascii="Garamond" w:eastAsia="Times New Roman" w:hAnsi="Garamond" w:cs="Times New Roman"/>
          <w:sz w:val="24"/>
        </w:rPr>
        <w:t>Nos casos em que exista ameaça de dano causado por importações subsidiadas,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medidas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compensatórias será</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examinada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decidida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especial cuidado.</w:t>
      </w:r>
    </w:p>
    <w:p w14:paraId="214F6411"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16"/>
          <w:szCs w:val="16"/>
        </w:rPr>
      </w:pPr>
    </w:p>
    <w:p w14:paraId="7DBEAC4D"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16</w:t>
      </w:r>
    </w:p>
    <w:p w14:paraId="16E4F4CB" w14:textId="77777777" w:rsidR="00CB6C86" w:rsidRPr="00395593" w:rsidRDefault="00CB6C86" w:rsidP="00655FD9">
      <w:pPr>
        <w:widowControl w:val="0"/>
        <w:autoSpaceDE w:val="0"/>
        <w:autoSpaceDN w:val="0"/>
        <w:spacing w:after="0" w:line="240" w:lineRule="auto"/>
        <w:jc w:val="center"/>
        <w:rPr>
          <w:rFonts w:ascii="Garamond" w:eastAsia="Times New Roman" w:hAnsi="Garamond" w:cs="Times New Roman"/>
          <w:b/>
        </w:rPr>
      </w:pPr>
    </w:p>
    <w:p w14:paraId="688FDC19"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Definição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de</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Indústria</w:t>
      </w:r>
      <w:r w:rsidRPr="00395593">
        <w:rPr>
          <w:rFonts w:ascii="Garamond" w:eastAsia="Times New Roman" w:hAnsi="Garamond" w:cs="Times New Roman"/>
          <w:b/>
          <w:spacing w:val="-3"/>
          <w:sz w:val="24"/>
          <w:szCs w:val="24"/>
        </w:rPr>
        <w:t xml:space="preserve"> </w:t>
      </w:r>
      <w:r w:rsidRPr="00395593">
        <w:rPr>
          <w:rFonts w:ascii="Garamond" w:eastAsia="Times New Roman" w:hAnsi="Garamond" w:cs="Times New Roman"/>
          <w:b/>
          <w:sz w:val="24"/>
          <w:szCs w:val="24"/>
        </w:rPr>
        <w:t>Nacional</w:t>
      </w:r>
    </w:p>
    <w:p w14:paraId="71FB8871" w14:textId="15D9AF20" w:rsidR="00CB6C86" w:rsidRPr="00395593" w:rsidRDefault="004D4329" w:rsidP="004D4329">
      <w:pPr>
        <w:widowControl w:val="0"/>
        <w:tabs>
          <w:tab w:val="left" w:pos="3900"/>
        </w:tabs>
        <w:autoSpaceDE w:val="0"/>
        <w:autoSpaceDN w:val="0"/>
        <w:spacing w:after="0" w:line="240" w:lineRule="auto"/>
        <w:jc w:val="both"/>
        <w:rPr>
          <w:rFonts w:ascii="Garamond" w:eastAsia="Times New Roman" w:hAnsi="Garamond" w:cs="Times New Roman"/>
          <w:sz w:val="16"/>
          <w:szCs w:val="16"/>
          <w:vertAlign w:val="subscript"/>
        </w:rPr>
      </w:pPr>
      <w:r w:rsidRPr="00395593">
        <w:rPr>
          <w:rFonts w:ascii="Garamond" w:eastAsia="Times New Roman" w:hAnsi="Garamond" w:cs="Times New Roman"/>
          <w:sz w:val="16"/>
          <w:szCs w:val="16"/>
          <w:vertAlign w:val="subscript"/>
        </w:rPr>
        <w:tab/>
      </w:r>
    </w:p>
    <w:p w14:paraId="59AE3D54" w14:textId="77777777" w:rsidR="00CB6C86" w:rsidRPr="00395593" w:rsidRDefault="00CB6C86" w:rsidP="002C4340">
      <w:pPr>
        <w:widowControl w:val="0"/>
        <w:numPr>
          <w:ilvl w:val="0"/>
          <w:numId w:val="49"/>
        </w:numPr>
        <w:tabs>
          <w:tab w:val="left" w:pos="810"/>
        </w:tabs>
        <w:autoSpaceDE w:val="0"/>
        <w:autoSpaceDN w:val="0"/>
        <w:spacing w:before="1"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Para as finalidades deste Acordo e com exceção do previsto no parágrafo 2, o termo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indústria nacional será entendido como o conjunto dos produtores nacionais do 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similar ou como aqueles dentre eles cuja produção conjunta constitua a maior parte 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produção</w:t>
      </w:r>
      <w:r w:rsidRPr="00395593">
        <w:rPr>
          <w:rFonts w:ascii="Garamond" w:eastAsia="Times New Roman" w:hAnsi="Garamond" w:cs="Times New Roman"/>
          <w:spacing w:val="14"/>
          <w:sz w:val="24"/>
        </w:rPr>
        <w:t xml:space="preserve"> </w:t>
      </w:r>
      <w:r w:rsidRPr="00395593">
        <w:rPr>
          <w:rFonts w:ascii="Garamond" w:eastAsia="Times New Roman" w:hAnsi="Garamond" w:cs="Times New Roman"/>
          <w:sz w:val="24"/>
        </w:rPr>
        <w:t>nacional</w:t>
      </w:r>
      <w:r w:rsidRPr="00395593">
        <w:rPr>
          <w:rFonts w:ascii="Garamond" w:eastAsia="Times New Roman" w:hAnsi="Garamond" w:cs="Times New Roman"/>
          <w:spacing w:val="15"/>
          <w:sz w:val="24"/>
        </w:rPr>
        <w:t xml:space="preserve"> </w:t>
      </w:r>
      <w:r w:rsidRPr="00395593">
        <w:rPr>
          <w:rFonts w:ascii="Garamond" w:eastAsia="Times New Roman" w:hAnsi="Garamond" w:cs="Times New Roman"/>
          <w:sz w:val="24"/>
        </w:rPr>
        <w:t>total</w:t>
      </w:r>
      <w:r w:rsidRPr="00395593">
        <w:rPr>
          <w:rFonts w:ascii="Garamond" w:eastAsia="Times New Roman" w:hAnsi="Garamond" w:cs="Times New Roman"/>
          <w:spacing w:val="16"/>
          <w:sz w:val="24"/>
        </w:rPr>
        <w:t xml:space="preserve"> </w:t>
      </w:r>
      <w:r w:rsidRPr="00395593">
        <w:rPr>
          <w:rFonts w:ascii="Garamond" w:eastAsia="Times New Roman" w:hAnsi="Garamond" w:cs="Times New Roman"/>
          <w:sz w:val="24"/>
        </w:rPr>
        <w:t>desses</w:t>
      </w:r>
      <w:r w:rsidRPr="00395593">
        <w:rPr>
          <w:rFonts w:ascii="Garamond" w:eastAsia="Times New Roman" w:hAnsi="Garamond" w:cs="Times New Roman"/>
          <w:spacing w:val="15"/>
          <w:sz w:val="24"/>
        </w:rPr>
        <w:t xml:space="preserve"> </w:t>
      </w:r>
      <w:r w:rsidRPr="00395593">
        <w:rPr>
          <w:rFonts w:ascii="Garamond" w:eastAsia="Times New Roman" w:hAnsi="Garamond" w:cs="Times New Roman"/>
          <w:sz w:val="24"/>
        </w:rPr>
        <w:t>produtos,</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salvo</w:t>
      </w:r>
      <w:r w:rsidRPr="00395593">
        <w:rPr>
          <w:rFonts w:ascii="Garamond" w:eastAsia="Times New Roman" w:hAnsi="Garamond" w:cs="Times New Roman"/>
          <w:spacing w:val="16"/>
          <w:sz w:val="24"/>
        </w:rPr>
        <w:t xml:space="preserve"> </w:t>
      </w:r>
      <w:r w:rsidRPr="00395593">
        <w:rPr>
          <w:rFonts w:ascii="Garamond" w:eastAsia="Times New Roman" w:hAnsi="Garamond" w:cs="Times New Roman"/>
          <w:sz w:val="24"/>
        </w:rPr>
        <w:t>quando</w:t>
      </w:r>
      <w:r w:rsidRPr="00395593">
        <w:rPr>
          <w:rFonts w:ascii="Garamond" w:eastAsia="Times New Roman" w:hAnsi="Garamond" w:cs="Times New Roman"/>
          <w:spacing w:val="15"/>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4"/>
          <w:sz w:val="24"/>
        </w:rPr>
        <w:t xml:space="preserve"> </w:t>
      </w:r>
      <w:r w:rsidRPr="00395593">
        <w:rPr>
          <w:rFonts w:ascii="Garamond" w:eastAsia="Times New Roman" w:hAnsi="Garamond" w:cs="Times New Roman"/>
          <w:sz w:val="24"/>
        </w:rPr>
        <w:t>produtores</w:t>
      </w:r>
      <w:r w:rsidRPr="00395593">
        <w:rPr>
          <w:rFonts w:ascii="Garamond" w:eastAsia="Times New Roman" w:hAnsi="Garamond" w:cs="Times New Roman"/>
          <w:spacing w:val="15"/>
          <w:sz w:val="24"/>
        </w:rPr>
        <w:t xml:space="preserve"> </w:t>
      </w:r>
      <w:r w:rsidRPr="00395593">
        <w:rPr>
          <w:rFonts w:ascii="Garamond" w:eastAsia="Times New Roman" w:hAnsi="Garamond" w:cs="Times New Roman"/>
          <w:sz w:val="24"/>
        </w:rPr>
        <w:t>estiverem</w:t>
      </w:r>
      <w:r w:rsidRPr="00395593">
        <w:rPr>
          <w:rFonts w:ascii="Garamond" w:eastAsia="Times New Roman" w:hAnsi="Garamond" w:cs="Times New Roman"/>
          <w:spacing w:val="16"/>
          <w:sz w:val="24"/>
        </w:rPr>
        <w:t xml:space="preserve"> </w:t>
      </w:r>
      <w:r w:rsidRPr="00395593">
        <w:rPr>
          <w:rFonts w:ascii="Garamond" w:eastAsia="Times New Roman" w:hAnsi="Garamond" w:cs="Times New Roman"/>
          <w:sz w:val="24"/>
        </w:rPr>
        <w:t>vinculados</w:t>
      </w:r>
    </w:p>
    <w:p w14:paraId="06E013CB" w14:textId="2AE7DB72" w:rsidR="00D65665" w:rsidRPr="00D65665" w:rsidRDefault="00CB6C86" w:rsidP="00D65665">
      <w:pPr>
        <w:widowControl w:val="0"/>
        <w:autoSpaceDE w:val="0"/>
        <w:autoSpaceDN w:val="0"/>
        <w:spacing w:after="0" w:line="240" w:lineRule="auto"/>
        <w:jc w:val="both"/>
        <w:rPr>
          <w:rFonts w:ascii="Garamond" w:eastAsia="Times New Roman" w:hAnsi="Garamond" w:cs="Times New Roman"/>
          <w:sz w:val="24"/>
          <w:szCs w:val="24"/>
        </w:rPr>
      </w:pPr>
      <w:r w:rsidRPr="005C5CBD">
        <w:rPr>
          <w:rFonts w:ascii="Garamond" w:eastAsia="Times New Roman" w:hAnsi="Garamond" w:cs="Times New Roman"/>
          <w:sz w:val="24"/>
          <w:szCs w:val="24"/>
          <w:vertAlign w:val="superscript"/>
        </w:rPr>
        <w:t>48</w:t>
      </w:r>
      <w:r w:rsidRPr="005C5CBD">
        <w:rPr>
          <w:rFonts w:ascii="Garamond" w:eastAsia="Times New Roman" w:hAnsi="Garamond" w:cs="Times New Roman"/>
          <w:spacing w:val="64"/>
          <w:sz w:val="24"/>
          <w:szCs w:val="24"/>
        </w:rPr>
        <w:t xml:space="preserve"> </w:t>
      </w:r>
      <w:r w:rsidRPr="005C5CBD">
        <w:rPr>
          <w:rFonts w:ascii="Garamond" w:eastAsia="Times New Roman" w:hAnsi="Garamond" w:cs="Times New Roman"/>
          <w:sz w:val="24"/>
          <w:szCs w:val="24"/>
        </w:rPr>
        <w:t>aos</w:t>
      </w:r>
      <w:r w:rsidRPr="005C5CBD">
        <w:rPr>
          <w:rFonts w:ascii="Garamond" w:eastAsia="Times New Roman" w:hAnsi="Garamond" w:cs="Times New Roman"/>
          <w:spacing w:val="63"/>
          <w:sz w:val="24"/>
          <w:szCs w:val="24"/>
        </w:rPr>
        <w:t xml:space="preserve"> </w:t>
      </w:r>
      <w:r w:rsidRPr="005C5CBD">
        <w:rPr>
          <w:rFonts w:ascii="Garamond" w:eastAsia="Times New Roman" w:hAnsi="Garamond" w:cs="Times New Roman"/>
          <w:sz w:val="24"/>
          <w:szCs w:val="24"/>
        </w:rPr>
        <w:t>exportadores</w:t>
      </w:r>
      <w:r w:rsidRPr="005C5CBD">
        <w:rPr>
          <w:rFonts w:ascii="Garamond" w:eastAsia="Times New Roman" w:hAnsi="Garamond" w:cs="Times New Roman"/>
          <w:spacing w:val="62"/>
          <w:sz w:val="24"/>
          <w:szCs w:val="24"/>
        </w:rPr>
        <w:t xml:space="preserve"> </w:t>
      </w:r>
      <w:r w:rsidRPr="005C5CBD">
        <w:rPr>
          <w:rFonts w:ascii="Garamond" w:eastAsia="Times New Roman" w:hAnsi="Garamond" w:cs="Times New Roman"/>
          <w:sz w:val="24"/>
          <w:szCs w:val="24"/>
        </w:rPr>
        <w:t>ou</w:t>
      </w:r>
      <w:r w:rsidRPr="005C5CBD">
        <w:rPr>
          <w:rFonts w:ascii="Garamond" w:eastAsia="Times New Roman" w:hAnsi="Garamond" w:cs="Times New Roman"/>
          <w:spacing w:val="65"/>
          <w:sz w:val="24"/>
          <w:szCs w:val="24"/>
        </w:rPr>
        <w:t xml:space="preserve"> </w:t>
      </w:r>
      <w:r w:rsidRPr="005C5CBD">
        <w:rPr>
          <w:rFonts w:ascii="Garamond" w:eastAsia="Times New Roman" w:hAnsi="Garamond" w:cs="Times New Roman"/>
          <w:sz w:val="24"/>
          <w:szCs w:val="24"/>
        </w:rPr>
        <w:t>importadores</w:t>
      </w:r>
      <w:r w:rsidRPr="005C5CBD">
        <w:rPr>
          <w:rFonts w:ascii="Garamond" w:eastAsia="Times New Roman" w:hAnsi="Garamond" w:cs="Times New Roman"/>
          <w:spacing w:val="62"/>
          <w:sz w:val="24"/>
          <w:szCs w:val="24"/>
        </w:rPr>
        <w:t xml:space="preserve"> </w:t>
      </w:r>
      <w:r w:rsidRPr="005C5CBD">
        <w:rPr>
          <w:rFonts w:ascii="Garamond" w:eastAsia="Times New Roman" w:hAnsi="Garamond" w:cs="Times New Roman"/>
          <w:sz w:val="24"/>
          <w:szCs w:val="24"/>
        </w:rPr>
        <w:t>ou</w:t>
      </w:r>
      <w:r w:rsidRPr="005C5CBD">
        <w:rPr>
          <w:rFonts w:ascii="Garamond" w:eastAsia="Times New Roman" w:hAnsi="Garamond" w:cs="Times New Roman"/>
          <w:spacing w:val="63"/>
          <w:sz w:val="24"/>
          <w:szCs w:val="24"/>
        </w:rPr>
        <w:t xml:space="preserve"> </w:t>
      </w:r>
      <w:r w:rsidRPr="005C5CBD">
        <w:rPr>
          <w:rFonts w:ascii="Garamond" w:eastAsia="Times New Roman" w:hAnsi="Garamond" w:cs="Times New Roman"/>
          <w:sz w:val="24"/>
          <w:szCs w:val="24"/>
        </w:rPr>
        <w:t>forem</w:t>
      </w:r>
      <w:r w:rsidRPr="005C5CBD">
        <w:rPr>
          <w:rFonts w:ascii="Garamond" w:eastAsia="Times New Roman" w:hAnsi="Garamond" w:cs="Times New Roman"/>
          <w:spacing w:val="66"/>
          <w:sz w:val="24"/>
          <w:szCs w:val="24"/>
        </w:rPr>
        <w:t xml:space="preserve"> </w:t>
      </w:r>
      <w:r w:rsidRPr="005C5CBD">
        <w:rPr>
          <w:rFonts w:ascii="Garamond" w:eastAsia="Times New Roman" w:hAnsi="Garamond" w:cs="Times New Roman"/>
          <w:sz w:val="24"/>
          <w:szCs w:val="24"/>
        </w:rPr>
        <w:t>eles</w:t>
      </w:r>
      <w:r w:rsidRPr="005C5CBD">
        <w:rPr>
          <w:rFonts w:ascii="Garamond" w:eastAsia="Times New Roman" w:hAnsi="Garamond" w:cs="Times New Roman"/>
          <w:spacing w:val="62"/>
          <w:sz w:val="24"/>
          <w:szCs w:val="24"/>
        </w:rPr>
        <w:t xml:space="preserve"> </w:t>
      </w:r>
      <w:r w:rsidRPr="005C5CBD">
        <w:rPr>
          <w:rFonts w:ascii="Garamond" w:eastAsia="Times New Roman" w:hAnsi="Garamond" w:cs="Times New Roman"/>
          <w:sz w:val="24"/>
          <w:szCs w:val="24"/>
        </w:rPr>
        <w:t>próprios</w:t>
      </w:r>
      <w:r w:rsidRPr="005C5CBD">
        <w:rPr>
          <w:rFonts w:ascii="Garamond" w:eastAsia="Times New Roman" w:hAnsi="Garamond" w:cs="Times New Roman"/>
          <w:spacing w:val="64"/>
          <w:sz w:val="24"/>
          <w:szCs w:val="24"/>
        </w:rPr>
        <w:t xml:space="preserve"> </w:t>
      </w:r>
      <w:r w:rsidRPr="005C5CBD">
        <w:rPr>
          <w:rFonts w:ascii="Garamond" w:eastAsia="Times New Roman" w:hAnsi="Garamond" w:cs="Times New Roman"/>
          <w:sz w:val="24"/>
          <w:szCs w:val="24"/>
        </w:rPr>
        <w:t>importadores</w:t>
      </w:r>
      <w:r w:rsidRPr="005C5CBD">
        <w:rPr>
          <w:rFonts w:ascii="Garamond" w:eastAsia="Times New Roman" w:hAnsi="Garamond" w:cs="Times New Roman"/>
          <w:spacing w:val="62"/>
          <w:sz w:val="24"/>
          <w:szCs w:val="24"/>
        </w:rPr>
        <w:t xml:space="preserve"> </w:t>
      </w:r>
      <w:r w:rsidRPr="005C5CBD">
        <w:rPr>
          <w:rFonts w:ascii="Garamond" w:eastAsia="Times New Roman" w:hAnsi="Garamond" w:cs="Times New Roman"/>
          <w:sz w:val="24"/>
          <w:szCs w:val="24"/>
        </w:rPr>
        <w:t>do</w:t>
      </w:r>
      <w:r w:rsidRPr="005C5CBD">
        <w:rPr>
          <w:rFonts w:ascii="Garamond" w:eastAsia="Times New Roman" w:hAnsi="Garamond" w:cs="Times New Roman"/>
          <w:spacing w:val="63"/>
          <w:sz w:val="24"/>
          <w:szCs w:val="24"/>
        </w:rPr>
        <w:t xml:space="preserve"> </w:t>
      </w:r>
      <w:r w:rsidRPr="005C5CBD">
        <w:rPr>
          <w:rFonts w:ascii="Garamond" w:eastAsia="Times New Roman" w:hAnsi="Garamond" w:cs="Times New Roman"/>
          <w:sz w:val="24"/>
          <w:szCs w:val="24"/>
        </w:rPr>
        <w:t>produto</w:t>
      </w:r>
      <w:r w:rsidR="00D65665">
        <w:rPr>
          <w:rFonts w:ascii="Garamond" w:eastAsia="Times New Roman" w:hAnsi="Garamond" w:cs="Times New Roman"/>
          <w:sz w:val="24"/>
          <w:szCs w:val="24"/>
        </w:rPr>
        <w:t xml:space="preserve"> </w:t>
      </w:r>
      <w:r w:rsidR="00D65665" w:rsidRPr="005C5CBD">
        <w:rPr>
          <w:rFonts w:ascii="Garamond" w:eastAsia="Times New Roman" w:hAnsi="Garamond" w:cs="Times New Roman"/>
          <w:sz w:val="24"/>
        </w:rPr>
        <w:t>alegadamente subsidiado ou de produto similar proveniente de outros países, caso em que o termo “indústria nacional” poderá ser entendido como referente aos demais produtores.</w:t>
      </w:r>
    </w:p>
    <w:p w14:paraId="5F13BBB0" w14:textId="0437F3AF" w:rsidR="00D65665" w:rsidRDefault="00D65665" w:rsidP="00E33E26">
      <w:pPr>
        <w:widowControl w:val="0"/>
        <w:autoSpaceDE w:val="0"/>
        <w:autoSpaceDN w:val="0"/>
        <w:spacing w:after="0" w:line="240" w:lineRule="auto"/>
        <w:jc w:val="both"/>
        <w:rPr>
          <w:rFonts w:ascii="Garamond" w:eastAsia="Times New Roman" w:hAnsi="Garamond" w:cs="Times New Roman"/>
          <w:sz w:val="24"/>
          <w:szCs w:val="24"/>
        </w:rPr>
      </w:pPr>
    </w:p>
    <w:p w14:paraId="718C39AB" w14:textId="77777777" w:rsidR="00D65665" w:rsidRPr="005C5CBD" w:rsidRDefault="00D65665" w:rsidP="00E33E26">
      <w:pPr>
        <w:widowControl w:val="0"/>
        <w:autoSpaceDE w:val="0"/>
        <w:autoSpaceDN w:val="0"/>
        <w:spacing w:after="0" w:line="240" w:lineRule="auto"/>
        <w:jc w:val="both"/>
        <w:rPr>
          <w:rFonts w:ascii="Garamond" w:eastAsia="Times New Roman" w:hAnsi="Garamond" w:cs="Times New Roman"/>
          <w:sz w:val="24"/>
          <w:szCs w:val="24"/>
        </w:rPr>
      </w:pPr>
    </w:p>
    <w:p w14:paraId="4978CD9C" w14:textId="15956C90" w:rsidR="00CB6C86" w:rsidRPr="00395593" w:rsidRDefault="00CB6C86" w:rsidP="00CB6C86">
      <w:pPr>
        <w:widowControl w:val="0"/>
        <w:autoSpaceDE w:val="0"/>
        <w:autoSpaceDN w:val="0"/>
        <w:spacing w:after="0" w:line="240" w:lineRule="auto"/>
        <w:rPr>
          <w:rFonts w:ascii="Garamond" w:eastAsia="Times New Roman" w:hAnsi="Garamond" w:cs="Times New Roman"/>
          <w:sz w:val="23"/>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76" behindDoc="1" locked="0" layoutInCell="1" allowOverlap="1" wp14:anchorId="0755D84E" wp14:editId="50D85082">
                <wp:simplePos x="0" y="0"/>
                <wp:positionH relativeFrom="page">
                  <wp:posOffset>1080770</wp:posOffset>
                </wp:positionH>
                <wp:positionV relativeFrom="paragraph">
                  <wp:posOffset>183515</wp:posOffset>
                </wp:positionV>
                <wp:extent cx="1828800" cy="7620"/>
                <wp:effectExtent l="4445" t="0" r="0" b="3175"/>
                <wp:wrapTopAndBottom/>
                <wp:docPr id="417" name="Retângulo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3F204" id="Retângulo 417" o:spid="_x0000_s1026" style="position:absolute;margin-left:85.1pt;margin-top:14.45pt;width:2in;height:.6pt;z-index:-2516582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IwgA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" fillcolor="black" stroked="f">
                <w10:wrap type="topAndBottom" anchorx="page"/>
              </v:rect>
            </w:pict>
          </mc:Fallback>
        </mc:AlternateContent>
      </w:r>
    </w:p>
    <w:p w14:paraId="3A74BB9B" w14:textId="77777777" w:rsidR="00CB6C86" w:rsidRPr="00395593" w:rsidRDefault="00CB6C86" w:rsidP="00CB6C86">
      <w:pPr>
        <w:widowControl w:val="0"/>
        <w:autoSpaceDE w:val="0"/>
        <w:autoSpaceDN w:val="0"/>
        <w:spacing w:before="103" w:after="0" w:line="240" w:lineRule="auto"/>
        <w:rPr>
          <w:rFonts w:ascii="Garamond" w:eastAsia="Times New Roman" w:hAnsi="Garamond" w:cs="Times New Roman"/>
          <w:sz w:val="20"/>
        </w:rPr>
      </w:pPr>
      <w:r w:rsidRPr="00E27F2A">
        <w:rPr>
          <w:rFonts w:ascii="Garamond" w:eastAsia="Times New Roman" w:hAnsi="Garamond" w:cs="Times New Roman"/>
          <w:sz w:val="20"/>
          <w:vertAlign w:val="superscript"/>
        </w:rPr>
        <w:t>48</w:t>
      </w:r>
      <w:r w:rsidRPr="00E27F2A">
        <w:rPr>
          <w:rFonts w:ascii="Garamond" w:eastAsia="Times New Roman" w:hAnsi="Garamond" w:cs="Times New Roman"/>
          <w:spacing w:val="8"/>
          <w:sz w:val="20"/>
        </w:rPr>
        <w:t xml:space="preserve"> </w:t>
      </w:r>
      <w:r w:rsidRPr="00E27F2A">
        <w:rPr>
          <w:rFonts w:ascii="Garamond" w:eastAsia="Times New Roman" w:hAnsi="Garamond" w:cs="Times New Roman"/>
          <w:sz w:val="20"/>
        </w:rPr>
        <w:t>Para</w:t>
      </w:r>
      <w:r w:rsidRPr="00E27F2A">
        <w:rPr>
          <w:rFonts w:ascii="Garamond" w:eastAsia="Times New Roman" w:hAnsi="Garamond" w:cs="Times New Roman"/>
          <w:spacing w:val="9"/>
          <w:sz w:val="20"/>
        </w:rPr>
        <w:t xml:space="preserve"> </w:t>
      </w:r>
      <w:r w:rsidRPr="00E27F2A">
        <w:rPr>
          <w:rFonts w:ascii="Garamond" w:eastAsia="Times New Roman" w:hAnsi="Garamond" w:cs="Times New Roman"/>
          <w:sz w:val="20"/>
        </w:rPr>
        <w:t>as</w:t>
      </w:r>
      <w:r w:rsidRPr="00E27F2A">
        <w:rPr>
          <w:rFonts w:ascii="Garamond" w:eastAsia="Times New Roman" w:hAnsi="Garamond" w:cs="Times New Roman"/>
          <w:spacing w:val="9"/>
          <w:sz w:val="20"/>
        </w:rPr>
        <w:t xml:space="preserve"> </w:t>
      </w:r>
      <w:r w:rsidRPr="00E27F2A">
        <w:rPr>
          <w:rFonts w:ascii="Garamond" w:eastAsia="Times New Roman" w:hAnsi="Garamond" w:cs="Times New Roman"/>
          <w:sz w:val="20"/>
        </w:rPr>
        <w:t>finalidades</w:t>
      </w:r>
      <w:r w:rsidRPr="00E27F2A">
        <w:rPr>
          <w:rFonts w:ascii="Garamond" w:eastAsia="Times New Roman" w:hAnsi="Garamond" w:cs="Times New Roman"/>
          <w:spacing w:val="8"/>
          <w:sz w:val="20"/>
        </w:rPr>
        <w:t xml:space="preserve"> </w:t>
      </w:r>
      <w:r w:rsidRPr="00E27F2A">
        <w:rPr>
          <w:rFonts w:ascii="Garamond" w:eastAsia="Times New Roman" w:hAnsi="Garamond" w:cs="Times New Roman"/>
          <w:sz w:val="20"/>
        </w:rPr>
        <w:t>deste</w:t>
      </w:r>
      <w:r w:rsidRPr="00E27F2A">
        <w:rPr>
          <w:rFonts w:ascii="Garamond" w:eastAsia="Times New Roman" w:hAnsi="Garamond" w:cs="Times New Roman"/>
          <w:spacing w:val="9"/>
          <w:sz w:val="20"/>
        </w:rPr>
        <w:t xml:space="preserve"> </w:t>
      </w:r>
      <w:r w:rsidRPr="00E27F2A">
        <w:rPr>
          <w:rFonts w:ascii="Garamond" w:eastAsia="Times New Roman" w:hAnsi="Garamond" w:cs="Times New Roman"/>
          <w:sz w:val="20"/>
        </w:rPr>
        <w:t>parágrafo,</w:t>
      </w:r>
      <w:r w:rsidRPr="00E27F2A">
        <w:rPr>
          <w:rFonts w:ascii="Garamond" w:eastAsia="Times New Roman" w:hAnsi="Garamond" w:cs="Times New Roman"/>
          <w:spacing w:val="9"/>
          <w:sz w:val="20"/>
        </w:rPr>
        <w:t xml:space="preserve"> </w:t>
      </w:r>
      <w:r w:rsidRPr="00E27F2A">
        <w:rPr>
          <w:rFonts w:ascii="Garamond" w:eastAsia="Times New Roman" w:hAnsi="Garamond" w:cs="Times New Roman"/>
          <w:sz w:val="20"/>
        </w:rPr>
        <w:t>só</w:t>
      </w:r>
      <w:r w:rsidRPr="00E27F2A">
        <w:rPr>
          <w:rFonts w:ascii="Garamond" w:eastAsia="Times New Roman" w:hAnsi="Garamond" w:cs="Times New Roman"/>
          <w:spacing w:val="11"/>
          <w:sz w:val="20"/>
        </w:rPr>
        <w:t xml:space="preserve"> </w:t>
      </w:r>
      <w:r w:rsidRPr="00E27F2A">
        <w:rPr>
          <w:rFonts w:ascii="Garamond" w:eastAsia="Times New Roman" w:hAnsi="Garamond" w:cs="Times New Roman"/>
          <w:sz w:val="20"/>
        </w:rPr>
        <w:t>se</w:t>
      </w:r>
      <w:r w:rsidRPr="00E27F2A">
        <w:rPr>
          <w:rFonts w:ascii="Garamond" w:eastAsia="Times New Roman" w:hAnsi="Garamond" w:cs="Times New Roman"/>
          <w:spacing w:val="9"/>
          <w:sz w:val="20"/>
        </w:rPr>
        <w:t xml:space="preserve"> </w:t>
      </w:r>
      <w:r w:rsidRPr="00E27F2A">
        <w:rPr>
          <w:rFonts w:ascii="Garamond" w:eastAsia="Times New Roman" w:hAnsi="Garamond" w:cs="Times New Roman"/>
          <w:sz w:val="20"/>
        </w:rPr>
        <w:t>considerará</w:t>
      </w:r>
      <w:r w:rsidRPr="00E27F2A">
        <w:rPr>
          <w:rFonts w:ascii="Garamond" w:eastAsia="Times New Roman" w:hAnsi="Garamond" w:cs="Times New Roman"/>
          <w:spacing w:val="8"/>
          <w:sz w:val="20"/>
        </w:rPr>
        <w:t xml:space="preserve"> </w:t>
      </w:r>
      <w:r w:rsidRPr="00E27F2A">
        <w:rPr>
          <w:rFonts w:ascii="Garamond" w:eastAsia="Times New Roman" w:hAnsi="Garamond" w:cs="Times New Roman"/>
          <w:sz w:val="20"/>
        </w:rPr>
        <w:t>que</w:t>
      </w:r>
      <w:r w:rsidRPr="00E27F2A">
        <w:rPr>
          <w:rFonts w:ascii="Garamond" w:eastAsia="Times New Roman" w:hAnsi="Garamond" w:cs="Times New Roman"/>
          <w:spacing w:val="11"/>
          <w:sz w:val="20"/>
        </w:rPr>
        <w:t xml:space="preserve"> </w:t>
      </w:r>
      <w:r w:rsidRPr="00E27F2A">
        <w:rPr>
          <w:rFonts w:ascii="Garamond" w:eastAsia="Times New Roman" w:hAnsi="Garamond" w:cs="Times New Roman"/>
          <w:sz w:val="20"/>
        </w:rPr>
        <w:t>os</w:t>
      </w:r>
      <w:r w:rsidRPr="00E27F2A">
        <w:rPr>
          <w:rFonts w:ascii="Garamond" w:eastAsia="Times New Roman" w:hAnsi="Garamond" w:cs="Times New Roman"/>
          <w:spacing w:val="8"/>
          <w:sz w:val="20"/>
        </w:rPr>
        <w:t xml:space="preserve"> </w:t>
      </w:r>
      <w:r w:rsidRPr="00E27F2A">
        <w:rPr>
          <w:rFonts w:ascii="Garamond" w:eastAsia="Times New Roman" w:hAnsi="Garamond" w:cs="Times New Roman"/>
          <w:sz w:val="20"/>
        </w:rPr>
        <w:t>produtores</w:t>
      </w:r>
      <w:r w:rsidRPr="00E27F2A">
        <w:rPr>
          <w:rFonts w:ascii="Garamond" w:eastAsia="Times New Roman" w:hAnsi="Garamond" w:cs="Times New Roman"/>
          <w:spacing w:val="7"/>
          <w:sz w:val="20"/>
        </w:rPr>
        <w:t xml:space="preserve"> </w:t>
      </w:r>
      <w:r w:rsidRPr="00E27F2A">
        <w:rPr>
          <w:rFonts w:ascii="Garamond" w:eastAsia="Times New Roman" w:hAnsi="Garamond" w:cs="Times New Roman"/>
          <w:sz w:val="20"/>
        </w:rPr>
        <w:t>estão</w:t>
      </w:r>
      <w:r w:rsidRPr="00E27F2A">
        <w:rPr>
          <w:rFonts w:ascii="Garamond" w:eastAsia="Times New Roman" w:hAnsi="Garamond" w:cs="Times New Roman"/>
          <w:spacing w:val="11"/>
          <w:sz w:val="20"/>
        </w:rPr>
        <w:t xml:space="preserve"> </w:t>
      </w:r>
      <w:r w:rsidRPr="00E27F2A">
        <w:rPr>
          <w:rFonts w:ascii="Garamond" w:eastAsia="Times New Roman" w:hAnsi="Garamond" w:cs="Times New Roman"/>
          <w:sz w:val="20"/>
        </w:rPr>
        <w:t>vinculados</w:t>
      </w:r>
      <w:r w:rsidRPr="00E27F2A">
        <w:rPr>
          <w:rFonts w:ascii="Garamond" w:eastAsia="Times New Roman" w:hAnsi="Garamond" w:cs="Times New Roman"/>
          <w:spacing w:val="7"/>
          <w:sz w:val="20"/>
        </w:rPr>
        <w:t xml:space="preserve"> </w:t>
      </w:r>
      <w:r w:rsidRPr="00E27F2A">
        <w:rPr>
          <w:rFonts w:ascii="Garamond" w:eastAsia="Times New Roman" w:hAnsi="Garamond" w:cs="Times New Roman"/>
          <w:sz w:val="20"/>
        </w:rPr>
        <w:t>aos</w:t>
      </w:r>
      <w:r w:rsidRPr="00E27F2A">
        <w:rPr>
          <w:rFonts w:ascii="Garamond" w:eastAsia="Times New Roman" w:hAnsi="Garamond" w:cs="Times New Roman"/>
          <w:spacing w:val="8"/>
          <w:sz w:val="20"/>
        </w:rPr>
        <w:t xml:space="preserve"> </w:t>
      </w:r>
      <w:r w:rsidRPr="00E27F2A">
        <w:rPr>
          <w:rFonts w:ascii="Garamond" w:eastAsia="Times New Roman" w:hAnsi="Garamond" w:cs="Times New Roman"/>
          <w:sz w:val="20"/>
        </w:rPr>
        <w:t>exportadores</w:t>
      </w:r>
      <w:r w:rsidRPr="00E27F2A">
        <w:rPr>
          <w:rFonts w:ascii="Garamond" w:eastAsia="Times New Roman" w:hAnsi="Garamond" w:cs="Times New Roman"/>
          <w:spacing w:val="-47"/>
          <w:sz w:val="20"/>
        </w:rPr>
        <w:t xml:space="preserve"> </w:t>
      </w:r>
      <w:r w:rsidRPr="00E27F2A">
        <w:rPr>
          <w:rFonts w:ascii="Garamond" w:eastAsia="Times New Roman" w:hAnsi="Garamond" w:cs="Times New Roman"/>
          <w:sz w:val="20"/>
        </w:rPr>
        <w:t>ou</w:t>
      </w:r>
      <w:r w:rsidRPr="00E27F2A">
        <w:rPr>
          <w:rFonts w:ascii="Garamond" w:eastAsia="Times New Roman" w:hAnsi="Garamond" w:cs="Times New Roman"/>
          <w:spacing w:val="14"/>
          <w:sz w:val="20"/>
        </w:rPr>
        <w:t xml:space="preserve"> </w:t>
      </w:r>
      <w:r w:rsidRPr="00E27F2A">
        <w:rPr>
          <w:rFonts w:ascii="Garamond" w:eastAsia="Times New Roman" w:hAnsi="Garamond" w:cs="Times New Roman"/>
          <w:sz w:val="20"/>
        </w:rPr>
        <w:t>aos</w:t>
      </w:r>
      <w:r w:rsidRPr="00E27F2A">
        <w:rPr>
          <w:rFonts w:ascii="Garamond" w:eastAsia="Times New Roman" w:hAnsi="Garamond" w:cs="Times New Roman"/>
          <w:spacing w:val="15"/>
          <w:sz w:val="20"/>
        </w:rPr>
        <w:t xml:space="preserve"> </w:t>
      </w:r>
      <w:r w:rsidRPr="00E27F2A">
        <w:rPr>
          <w:rFonts w:ascii="Garamond" w:eastAsia="Times New Roman" w:hAnsi="Garamond" w:cs="Times New Roman"/>
          <w:sz w:val="20"/>
        </w:rPr>
        <w:t>importadores</w:t>
      </w:r>
      <w:r w:rsidRPr="00E27F2A">
        <w:rPr>
          <w:rFonts w:ascii="Garamond" w:eastAsia="Times New Roman" w:hAnsi="Garamond" w:cs="Times New Roman"/>
          <w:spacing w:val="15"/>
          <w:sz w:val="20"/>
        </w:rPr>
        <w:t xml:space="preserve"> </w:t>
      </w:r>
      <w:r w:rsidRPr="00E27F2A">
        <w:rPr>
          <w:rFonts w:ascii="Garamond" w:eastAsia="Times New Roman" w:hAnsi="Garamond" w:cs="Times New Roman"/>
          <w:sz w:val="20"/>
        </w:rPr>
        <w:t>quando:</w:t>
      </w:r>
      <w:r w:rsidRPr="00E27F2A">
        <w:rPr>
          <w:rFonts w:ascii="Garamond" w:eastAsia="Times New Roman" w:hAnsi="Garamond" w:cs="Times New Roman"/>
          <w:spacing w:val="18"/>
          <w:sz w:val="20"/>
        </w:rPr>
        <w:t xml:space="preserve"> </w:t>
      </w:r>
      <w:r w:rsidRPr="00E27F2A">
        <w:rPr>
          <w:rFonts w:ascii="Garamond" w:eastAsia="Times New Roman" w:hAnsi="Garamond" w:cs="Times New Roman"/>
          <w:sz w:val="20"/>
        </w:rPr>
        <w:t>(a)</w:t>
      </w:r>
      <w:r w:rsidRPr="00E27F2A">
        <w:rPr>
          <w:rFonts w:ascii="Garamond" w:eastAsia="Times New Roman" w:hAnsi="Garamond" w:cs="Times New Roman"/>
          <w:spacing w:val="17"/>
          <w:sz w:val="20"/>
        </w:rPr>
        <w:t xml:space="preserve"> </w:t>
      </w:r>
      <w:r w:rsidRPr="00E27F2A">
        <w:rPr>
          <w:rFonts w:ascii="Garamond" w:eastAsia="Times New Roman" w:hAnsi="Garamond" w:cs="Times New Roman"/>
          <w:sz w:val="20"/>
        </w:rPr>
        <w:t>um</w:t>
      </w:r>
      <w:r w:rsidRPr="00E27F2A">
        <w:rPr>
          <w:rFonts w:ascii="Garamond" w:eastAsia="Times New Roman" w:hAnsi="Garamond" w:cs="Times New Roman"/>
          <w:spacing w:val="14"/>
          <w:sz w:val="20"/>
        </w:rPr>
        <w:t xml:space="preserve"> </w:t>
      </w:r>
      <w:r w:rsidRPr="00E27F2A">
        <w:rPr>
          <w:rFonts w:ascii="Garamond" w:eastAsia="Times New Roman" w:hAnsi="Garamond" w:cs="Times New Roman"/>
          <w:sz w:val="20"/>
        </w:rPr>
        <w:t>deles</w:t>
      </w:r>
      <w:r w:rsidRPr="00E27F2A">
        <w:rPr>
          <w:rFonts w:ascii="Garamond" w:eastAsia="Times New Roman" w:hAnsi="Garamond" w:cs="Times New Roman"/>
          <w:spacing w:val="15"/>
          <w:sz w:val="20"/>
        </w:rPr>
        <w:t xml:space="preserve"> </w:t>
      </w:r>
      <w:r w:rsidRPr="00E27F2A">
        <w:rPr>
          <w:rFonts w:ascii="Garamond" w:eastAsia="Times New Roman" w:hAnsi="Garamond" w:cs="Times New Roman"/>
          <w:sz w:val="20"/>
        </w:rPr>
        <w:t>controla</w:t>
      </w:r>
      <w:r w:rsidRPr="00E27F2A">
        <w:rPr>
          <w:rFonts w:ascii="Garamond" w:eastAsia="Times New Roman" w:hAnsi="Garamond" w:cs="Times New Roman"/>
          <w:spacing w:val="16"/>
          <w:sz w:val="20"/>
        </w:rPr>
        <w:t xml:space="preserve"> </w:t>
      </w:r>
      <w:r w:rsidRPr="00E27F2A">
        <w:rPr>
          <w:rFonts w:ascii="Garamond" w:eastAsia="Times New Roman" w:hAnsi="Garamond" w:cs="Times New Roman"/>
          <w:sz w:val="20"/>
        </w:rPr>
        <w:t>diretamente</w:t>
      </w:r>
      <w:r w:rsidRPr="00E27F2A">
        <w:rPr>
          <w:rFonts w:ascii="Garamond" w:eastAsia="Times New Roman" w:hAnsi="Garamond" w:cs="Times New Roman"/>
          <w:spacing w:val="17"/>
          <w:sz w:val="20"/>
        </w:rPr>
        <w:t xml:space="preserve"> </w:t>
      </w:r>
      <w:r w:rsidRPr="00E27F2A">
        <w:rPr>
          <w:rFonts w:ascii="Garamond" w:eastAsia="Times New Roman" w:hAnsi="Garamond" w:cs="Times New Roman"/>
          <w:sz w:val="20"/>
        </w:rPr>
        <w:t>ou</w:t>
      </w:r>
      <w:r w:rsidRPr="00E27F2A">
        <w:rPr>
          <w:rFonts w:ascii="Garamond" w:eastAsia="Times New Roman" w:hAnsi="Garamond" w:cs="Times New Roman"/>
          <w:spacing w:val="16"/>
          <w:sz w:val="20"/>
        </w:rPr>
        <w:t xml:space="preserve"> </w:t>
      </w:r>
      <w:r w:rsidRPr="00E27F2A">
        <w:rPr>
          <w:rFonts w:ascii="Garamond" w:eastAsia="Times New Roman" w:hAnsi="Garamond" w:cs="Times New Roman"/>
          <w:sz w:val="20"/>
        </w:rPr>
        <w:t>indiretamente</w:t>
      </w:r>
      <w:r w:rsidRPr="00E27F2A">
        <w:rPr>
          <w:rFonts w:ascii="Garamond" w:eastAsia="Times New Roman" w:hAnsi="Garamond" w:cs="Times New Roman"/>
          <w:spacing w:val="16"/>
          <w:sz w:val="20"/>
        </w:rPr>
        <w:t xml:space="preserve"> </w:t>
      </w:r>
      <w:r w:rsidRPr="00E27F2A">
        <w:rPr>
          <w:rFonts w:ascii="Garamond" w:eastAsia="Times New Roman" w:hAnsi="Garamond" w:cs="Times New Roman"/>
          <w:sz w:val="20"/>
        </w:rPr>
        <w:t>o</w:t>
      </w:r>
      <w:r w:rsidRPr="00E27F2A">
        <w:rPr>
          <w:rFonts w:ascii="Garamond" w:eastAsia="Times New Roman" w:hAnsi="Garamond" w:cs="Times New Roman"/>
          <w:spacing w:val="16"/>
          <w:sz w:val="20"/>
        </w:rPr>
        <w:t xml:space="preserve"> </w:t>
      </w:r>
      <w:r w:rsidRPr="00E27F2A">
        <w:rPr>
          <w:rFonts w:ascii="Garamond" w:eastAsia="Times New Roman" w:hAnsi="Garamond" w:cs="Times New Roman"/>
          <w:sz w:val="20"/>
        </w:rPr>
        <w:t>outro;</w:t>
      </w:r>
      <w:r w:rsidRPr="00E27F2A">
        <w:rPr>
          <w:rFonts w:ascii="Garamond" w:eastAsia="Times New Roman" w:hAnsi="Garamond" w:cs="Times New Roman"/>
          <w:spacing w:val="16"/>
          <w:sz w:val="20"/>
        </w:rPr>
        <w:t xml:space="preserve"> </w:t>
      </w:r>
      <w:r w:rsidRPr="00E27F2A">
        <w:rPr>
          <w:rFonts w:ascii="Garamond" w:eastAsia="Times New Roman" w:hAnsi="Garamond" w:cs="Times New Roman"/>
          <w:sz w:val="20"/>
        </w:rPr>
        <w:t>ou</w:t>
      </w:r>
      <w:r w:rsidRPr="00E27F2A">
        <w:rPr>
          <w:rFonts w:ascii="Garamond" w:eastAsia="Times New Roman" w:hAnsi="Garamond" w:cs="Times New Roman"/>
          <w:spacing w:val="14"/>
          <w:sz w:val="20"/>
        </w:rPr>
        <w:t xml:space="preserve"> </w:t>
      </w:r>
      <w:r w:rsidRPr="00E27F2A">
        <w:rPr>
          <w:rFonts w:ascii="Garamond" w:eastAsia="Times New Roman" w:hAnsi="Garamond" w:cs="Times New Roman"/>
          <w:sz w:val="20"/>
        </w:rPr>
        <w:t>(b)</w:t>
      </w:r>
      <w:r w:rsidRPr="00E27F2A">
        <w:rPr>
          <w:rFonts w:ascii="Garamond" w:eastAsia="Times New Roman" w:hAnsi="Garamond" w:cs="Times New Roman"/>
          <w:spacing w:val="16"/>
          <w:sz w:val="20"/>
        </w:rPr>
        <w:t xml:space="preserve"> </w:t>
      </w:r>
      <w:r w:rsidRPr="00E27F2A">
        <w:rPr>
          <w:rFonts w:ascii="Garamond" w:eastAsia="Times New Roman" w:hAnsi="Garamond" w:cs="Times New Roman"/>
          <w:sz w:val="20"/>
        </w:rPr>
        <w:t>ambos</w:t>
      </w:r>
      <w:r w:rsidRPr="00E27F2A">
        <w:rPr>
          <w:rFonts w:ascii="Garamond" w:eastAsia="Times New Roman" w:hAnsi="Garamond" w:cs="Times New Roman"/>
          <w:spacing w:val="17"/>
          <w:sz w:val="20"/>
        </w:rPr>
        <w:t xml:space="preserve"> </w:t>
      </w:r>
      <w:r w:rsidRPr="00E27F2A">
        <w:rPr>
          <w:rFonts w:ascii="Garamond" w:eastAsia="Times New Roman" w:hAnsi="Garamond" w:cs="Times New Roman"/>
          <w:sz w:val="20"/>
        </w:rPr>
        <w:t>são</w:t>
      </w:r>
    </w:p>
    <w:p w14:paraId="2C64C809" w14:textId="77777777" w:rsidR="00CB6C86" w:rsidRPr="00395593" w:rsidRDefault="00CB6C86" w:rsidP="00655FD9">
      <w:pPr>
        <w:widowControl w:val="0"/>
        <w:tabs>
          <w:tab w:val="left" w:pos="810"/>
        </w:tabs>
        <w:autoSpaceDE w:val="0"/>
        <w:autoSpaceDN w:val="0"/>
        <w:spacing w:before="1" w:after="0" w:line="240" w:lineRule="auto"/>
        <w:ind w:left="102" w:right="120"/>
        <w:jc w:val="both"/>
        <w:rPr>
          <w:rFonts w:ascii="Garamond" w:eastAsia="Times New Roman" w:hAnsi="Garamond" w:cs="Times New Roman"/>
          <w:sz w:val="24"/>
        </w:rPr>
      </w:pPr>
    </w:p>
    <w:p w14:paraId="138F6D80" w14:textId="77777777" w:rsidR="00CB6C86" w:rsidRPr="00395593" w:rsidRDefault="00CB6C86" w:rsidP="002C4340">
      <w:pPr>
        <w:widowControl w:val="0"/>
        <w:numPr>
          <w:ilvl w:val="0"/>
          <w:numId w:val="49"/>
        </w:numPr>
        <w:tabs>
          <w:tab w:val="left" w:pos="810"/>
        </w:tabs>
        <w:autoSpaceDE w:val="0"/>
        <w:autoSpaceDN w:val="0"/>
        <w:spacing w:before="1"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Em circunstâncias excepcionais, poderá o território de um Membro, para efeitos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 em questão, ser considerado dividido em dois ou mais mercados competitivos e 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produtores no interior de cada mercado considerados indústria independente se: (a) 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interior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desses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mercados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vendem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toda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toda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produção no interior desse mesmo mercado; e (b) a demanda desse mercado não é suprida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grau significativo por produtores localizados em outro ponto do território. Em tais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circunstâncias, caso as importações subsidiadas estejam concentradas num mercado isolado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como o descrito acima e, caso estejam causando dano aos produtores de toda ou quase toda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 produção daquele mercado isolado, poder-se-á determinar a existência de dano, ainda que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maior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produção nacional total não tenha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sido prejudicada.</w:t>
      </w:r>
    </w:p>
    <w:p w14:paraId="0068932F" w14:textId="77777777" w:rsidR="00CB6C86" w:rsidRPr="00395593" w:rsidRDefault="00CB6C86" w:rsidP="00655FD9">
      <w:pPr>
        <w:widowControl w:val="0"/>
        <w:autoSpaceDE w:val="0"/>
        <w:autoSpaceDN w:val="0"/>
        <w:spacing w:before="1" w:after="0" w:line="240" w:lineRule="auto"/>
        <w:jc w:val="both"/>
        <w:rPr>
          <w:rFonts w:ascii="Garamond" w:eastAsia="Times New Roman" w:hAnsi="Garamond" w:cs="Times New Roman"/>
          <w:sz w:val="24"/>
          <w:szCs w:val="24"/>
        </w:rPr>
      </w:pPr>
    </w:p>
    <w:p w14:paraId="46E310B8" w14:textId="77777777" w:rsidR="00CB6C86" w:rsidRPr="00395593" w:rsidRDefault="00CB6C86" w:rsidP="002C4340">
      <w:pPr>
        <w:widowControl w:val="0"/>
        <w:numPr>
          <w:ilvl w:val="0"/>
          <w:numId w:val="49"/>
        </w:numPr>
        <w:tabs>
          <w:tab w:val="left" w:pos="810"/>
        </w:tabs>
        <w:autoSpaceDE w:val="0"/>
        <w:autoSpaceDN w:val="0"/>
        <w:spacing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Quando a indústria nacional for interpretada como o conjunto de produtores de 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certa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área,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mercado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definido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2,</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só</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impostos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compensatórios sobre os produtos em causa destinados ao consumo final naquela mesma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área. Quando o direito constitucional do Membro importador não permitir a imposição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direitos compensatórios nessas condições, o Membro importador só poderá impor direitos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compensatórios ilimitadamente se: (a) aos exportadores tiver sido dada a oportunidade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cessar suas exportações subsidiadas para a área em questão ou de oferecer as garantias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previstas no Artigo 18, sempre que essas garantias não tenham sido dadas adequada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prontamente; e (b) tais direitos não puderem ser aplicados exclusivamente aos produtos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daqueles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produtores específicos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abastecem a área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em questão.</w:t>
      </w:r>
    </w:p>
    <w:p w14:paraId="100547DA"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35A2325D" w14:textId="77777777" w:rsidR="00CB6C86" w:rsidRPr="00395593" w:rsidRDefault="00CB6C86" w:rsidP="002C4340">
      <w:pPr>
        <w:widowControl w:val="0"/>
        <w:numPr>
          <w:ilvl w:val="0"/>
          <w:numId w:val="49"/>
        </w:numPr>
        <w:tabs>
          <w:tab w:val="left" w:pos="810"/>
        </w:tabs>
        <w:autoSpaceDE w:val="0"/>
        <w:autoSpaceDN w:val="0"/>
        <w:spacing w:after="0" w:line="240" w:lineRule="auto"/>
        <w:ind w:right="118" w:firstLine="0"/>
        <w:jc w:val="both"/>
        <w:rPr>
          <w:rFonts w:ascii="Garamond" w:eastAsia="Times New Roman" w:hAnsi="Garamond" w:cs="Times New Roman"/>
          <w:sz w:val="24"/>
        </w:rPr>
      </w:pPr>
      <w:r w:rsidRPr="00395593">
        <w:rPr>
          <w:rFonts w:ascii="Garamond" w:eastAsia="Times New Roman" w:hAnsi="Garamond" w:cs="Times New Roman"/>
          <w:sz w:val="24"/>
        </w:rPr>
        <w:t>Quando dois ou mais países tiverem atingido tal nível de integração, como previsto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8(a)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XXIV</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GATT</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1994,</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adquiram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características de mercado único, a indústria contida na totalidade da área integrada será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considerada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como a indústria nacional mencionada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nos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Parágrafos 1 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2.</w:t>
      </w:r>
    </w:p>
    <w:p w14:paraId="2A72EE28" w14:textId="77777777" w:rsidR="00CB6C86" w:rsidRPr="00395593" w:rsidRDefault="00CB6C86" w:rsidP="00655FD9">
      <w:pPr>
        <w:widowControl w:val="0"/>
        <w:autoSpaceDE w:val="0"/>
        <w:autoSpaceDN w:val="0"/>
        <w:spacing w:before="1" w:after="0" w:line="240" w:lineRule="auto"/>
        <w:jc w:val="both"/>
        <w:rPr>
          <w:rFonts w:ascii="Garamond" w:eastAsia="Times New Roman" w:hAnsi="Garamond" w:cs="Times New Roman"/>
          <w:sz w:val="24"/>
          <w:szCs w:val="24"/>
        </w:rPr>
      </w:pPr>
    </w:p>
    <w:p w14:paraId="16273C3E" w14:textId="77777777" w:rsidR="00CB6C86" w:rsidRPr="00395593" w:rsidRDefault="00CB6C86" w:rsidP="002C4340">
      <w:pPr>
        <w:widowControl w:val="0"/>
        <w:numPr>
          <w:ilvl w:val="0"/>
          <w:numId w:val="49"/>
        </w:numPr>
        <w:tabs>
          <w:tab w:val="left" w:pos="810"/>
        </w:tabs>
        <w:autoSpaceDE w:val="0"/>
        <w:autoSpaceDN w:val="0"/>
        <w:spacing w:after="0" w:line="240" w:lineRule="auto"/>
        <w:ind w:left="810"/>
        <w:jc w:val="both"/>
        <w:rPr>
          <w:rFonts w:ascii="Garamond" w:eastAsia="Times New Roman" w:hAnsi="Garamond" w:cs="Times New Roman"/>
          <w:sz w:val="24"/>
        </w:rPr>
      </w:pP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 6</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 15</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aplicar-se-á</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este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Artigo.</w:t>
      </w:r>
    </w:p>
    <w:p w14:paraId="7A3EC37A"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6"/>
          <w:szCs w:val="24"/>
        </w:rPr>
      </w:pPr>
    </w:p>
    <w:p w14:paraId="68552A75" w14:textId="77777777" w:rsidR="00CB6C86" w:rsidRPr="00395593" w:rsidRDefault="00CB6C86" w:rsidP="00E33E26">
      <w:pPr>
        <w:widowControl w:val="0"/>
        <w:autoSpaceDE w:val="0"/>
        <w:autoSpaceDN w:val="0"/>
        <w:spacing w:before="230"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17</w:t>
      </w:r>
    </w:p>
    <w:p w14:paraId="264ACBD5" w14:textId="77777777" w:rsidR="00CB6C86" w:rsidRPr="00395593" w:rsidRDefault="00CB6C86" w:rsidP="00655FD9">
      <w:pPr>
        <w:widowControl w:val="0"/>
        <w:autoSpaceDE w:val="0"/>
        <w:autoSpaceDN w:val="0"/>
        <w:spacing w:after="0" w:line="240" w:lineRule="auto"/>
        <w:jc w:val="center"/>
        <w:rPr>
          <w:rFonts w:ascii="Garamond" w:eastAsia="Times New Roman" w:hAnsi="Garamond" w:cs="Times New Roman"/>
          <w:b/>
          <w:sz w:val="24"/>
          <w:szCs w:val="24"/>
        </w:rPr>
      </w:pPr>
    </w:p>
    <w:p w14:paraId="1E7A717D" w14:textId="77777777" w:rsidR="00CB6C86" w:rsidRPr="00395593" w:rsidRDefault="00CB6C86" w:rsidP="00E33E26">
      <w:pPr>
        <w:widowControl w:val="0"/>
        <w:autoSpaceDE w:val="0"/>
        <w:autoSpaceDN w:val="0"/>
        <w:spacing w:before="230"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Medidas Provisórias</w:t>
      </w:r>
    </w:p>
    <w:p w14:paraId="5A608A59"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6"/>
          <w:szCs w:val="24"/>
        </w:rPr>
      </w:pPr>
    </w:p>
    <w:p w14:paraId="44A84C2D"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Cs w:val="24"/>
        </w:rPr>
      </w:pPr>
    </w:p>
    <w:p w14:paraId="077F3E02" w14:textId="77777777" w:rsidR="00CB6C86" w:rsidRPr="00395593" w:rsidRDefault="00CB6C86" w:rsidP="002C4340">
      <w:pPr>
        <w:widowControl w:val="0"/>
        <w:numPr>
          <w:ilvl w:val="0"/>
          <w:numId w:val="48"/>
        </w:numPr>
        <w:tabs>
          <w:tab w:val="left" w:pos="810"/>
        </w:tabs>
        <w:autoSpaceDE w:val="0"/>
        <w:autoSpaceDN w:val="0"/>
        <w:spacing w:before="1" w:after="0" w:line="240" w:lineRule="auto"/>
        <w:rPr>
          <w:rFonts w:ascii="Garamond" w:eastAsia="Times New Roman" w:hAnsi="Garamond" w:cs="Times New Roman"/>
          <w:sz w:val="24"/>
        </w:rPr>
      </w:pPr>
      <w:r w:rsidRPr="00395593">
        <w:rPr>
          <w:rFonts w:ascii="Garamond" w:eastAsia="Times New Roman" w:hAnsi="Garamond" w:cs="Times New Roman"/>
          <w:sz w:val="24"/>
        </w:rPr>
        <w:t>Só</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poderão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medidas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provisórias quando:</w:t>
      </w:r>
    </w:p>
    <w:p w14:paraId="377A762B"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7014263C" w14:textId="1C050622"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07C90A04" w14:textId="100EBA0B"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2003F930" w14:textId="7A9E54B6"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2724C347" w14:textId="68F478D4"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05CC3DC0" w14:textId="238D92F5"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094B91DB" w14:textId="52DC3E60" w:rsidR="00D65665" w:rsidRDefault="00D65665" w:rsidP="00E33E26">
      <w:pPr>
        <w:widowControl w:val="0"/>
        <w:autoSpaceDE w:val="0"/>
        <w:autoSpaceDN w:val="0"/>
        <w:spacing w:after="0" w:line="240" w:lineRule="auto"/>
        <w:rPr>
          <w:rFonts w:ascii="Garamond" w:eastAsia="Times New Roman" w:hAnsi="Garamond" w:cs="Times New Roman"/>
          <w:sz w:val="20"/>
          <w:szCs w:val="24"/>
        </w:rPr>
      </w:pPr>
    </w:p>
    <w:p w14:paraId="73C8F574" w14:textId="06B72E1C" w:rsidR="00D65665" w:rsidRPr="005C5CBD" w:rsidRDefault="00D65665" w:rsidP="00E33E26">
      <w:pPr>
        <w:widowControl w:val="0"/>
        <w:autoSpaceDE w:val="0"/>
        <w:autoSpaceDN w:val="0"/>
        <w:spacing w:after="0" w:line="240" w:lineRule="auto"/>
        <w:rPr>
          <w:rFonts w:ascii="Garamond" w:eastAsia="Times New Roman" w:hAnsi="Garamond" w:cs="Times New Roman"/>
          <w:sz w:val="20"/>
          <w:szCs w:val="24"/>
        </w:rPr>
      </w:pPr>
    </w:p>
    <w:p w14:paraId="500BCB19" w14:textId="14F0A2DB" w:rsidR="00CB6C86" w:rsidRPr="00395593" w:rsidRDefault="00CB6C86" w:rsidP="00CB6C86">
      <w:pPr>
        <w:widowControl w:val="0"/>
        <w:autoSpaceDE w:val="0"/>
        <w:autoSpaceDN w:val="0"/>
        <w:spacing w:before="10" w:after="0" w:line="240" w:lineRule="auto"/>
        <w:rPr>
          <w:rFonts w:ascii="Garamond" w:eastAsia="Times New Roman" w:hAnsi="Garamond" w:cs="Times New Roman"/>
          <w:sz w:val="18"/>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77" behindDoc="1" locked="0" layoutInCell="1" allowOverlap="1" wp14:anchorId="0357E4CF" wp14:editId="5961B885">
                <wp:simplePos x="0" y="0"/>
                <wp:positionH relativeFrom="page">
                  <wp:posOffset>1080770</wp:posOffset>
                </wp:positionH>
                <wp:positionV relativeFrom="paragraph">
                  <wp:posOffset>153670</wp:posOffset>
                </wp:positionV>
                <wp:extent cx="5614035" cy="7620"/>
                <wp:effectExtent l="4445" t="0" r="1270" b="3810"/>
                <wp:wrapTopAndBottom/>
                <wp:docPr id="416" name="Retângulo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C79D7" id="Retângulo 416" o:spid="_x0000_s1026" style="position:absolute;margin-left:85.1pt;margin-top:12.1pt;width:442.05pt;height:.6pt;z-index:-2516582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" fillcolor="black" stroked="f">
                <w10:wrap type="topAndBottom" anchorx="page"/>
              </v:rect>
            </w:pict>
          </mc:Fallback>
        </mc:AlternateContent>
      </w:r>
    </w:p>
    <w:p w14:paraId="6F7B6F4C" w14:textId="094F79DA" w:rsidR="00CB6C86" w:rsidRPr="00395593" w:rsidRDefault="00CB6C86" w:rsidP="00CB6C86">
      <w:pPr>
        <w:widowControl w:val="0"/>
        <w:autoSpaceDE w:val="0"/>
        <w:autoSpaceDN w:val="0"/>
        <w:spacing w:before="103" w:after="0" w:line="240" w:lineRule="auto"/>
        <w:ind w:right="119"/>
        <w:jc w:val="both"/>
        <w:rPr>
          <w:rFonts w:ascii="Garamond" w:eastAsia="Times New Roman" w:hAnsi="Garamond" w:cs="Times New Roman"/>
          <w:sz w:val="20"/>
        </w:rPr>
      </w:pPr>
      <w:r w:rsidRPr="00E27F2A">
        <w:rPr>
          <w:rFonts w:ascii="Garamond" w:eastAsia="Times New Roman" w:hAnsi="Garamond" w:cs="Times New Roman"/>
          <w:sz w:val="20"/>
        </w:rPr>
        <w:t>direta ou indiretamente controlados por terceira pessoa; ou (c) ambos controlam, direta ou indiretamente,</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terceira pessoa, desde que haja razões para acreditar ou suspeitar que a relação tem por efeito levar o produtor</w:t>
      </w:r>
      <w:r w:rsidRPr="00E27F2A">
        <w:rPr>
          <w:rFonts w:ascii="Garamond" w:eastAsia="Times New Roman" w:hAnsi="Garamond" w:cs="Times New Roman"/>
          <w:spacing w:val="-47"/>
          <w:sz w:val="20"/>
        </w:rPr>
        <w:t xml:space="preserve"> </w:t>
      </w:r>
      <w:r w:rsidRPr="00E27F2A">
        <w:rPr>
          <w:rFonts w:ascii="Garamond" w:eastAsia="Times New Roman" w:hAnsi="Garamond" w:cs="Times New Roman"/>
          <w:sz w:val="20"/>
        </w:rPr>
        <w:t>em questão a comportar-se diferentemente de outros produtores não-vinculados. Para as finalidades deste</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parágrafo,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considerar-se-á</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que</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um</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controla</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outro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quando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primeiro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estiver</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em</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condições</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legais</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ou</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operacionais</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de restringir ou</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provocar ações</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do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outro.</w:t>
      </w:r>
    </w:p>
    <w:p w14:paraId="490257A4" w14:textId="77777777" w:rsidR="004A450E" w:rsidRPr="005C5CBD" w:rsidRDefault="004A450E" w:rsidP="00E33E26">
      <w:pPr>
        <w:widowControl w:val="0"/>
        <w:autoSpaceDE w:val="0"/>
        <w:autoSpaceDN w:val="0"/>
        <w:spacing w:before="103" w:after="0" w:line="240" w:lineRule="auto"/>
        <w:ind w:right="119"/>
        <w:jc w:val="both"/>
        <w:rPr>
          <w:rFonts w:ascii="Garamond" w:eastAsia="Times New Roman" w:hAnsi="Garamond" w:cs="Times New Roman"/>
          <w:sz w:val="20"/>
        </w:rPr>
      </w:pPr>
    </w:p>
    <w:p w14:paraId="087ADF36" w14:textId="77777777" w:rsidR="00CB6C86" w:rsidRPr="00395593" w:rsidRDefault="00CB6C86" w:rsidP="002C4340">
      <w:pPr>
        <w:widowControl w:val="0"/>
        <w:numPr>
          <w:ilvl w:val="1"/>
          <w:numId w:val="48"/>
        </w:numPr>
        <w:tabs>
          <w:tab w:val="left" w:pos="1147"/>
        </w:tabs>
        <w:autoSpaceDE w:val="0"/>
        <w:autoSpaceDN w:val="0"/>
        <w:spacing w:before="68" w:after="0" w:line="240" w:lineRule="auto"/>
        <w:ind w:left="1181" w:right="119" w:hanging="360"/>
        <w:jc w:val="both"/>
        <w:rPr>
          <w:rFonts w:ascii="Garamond" w:eastAsia="Times New Roman" w:hAnsi="Garamond" w:cs="Times New Roman"/>
          <w:sz w:val="24"/>
        </w:rPr>
      </w:pPr>
      <w:r w:rsidRPr="00395593">
        <w:rPr>
          <w:rFonts w:ascii="Garamond" w:eastAsia="Times New Roman" w:hAnsi="Garamond" w:cs="Times New Roman"/>
          <w:sz w:val="24"/>
        </w:rPr>
        <w:t>investigação tenha sido iniciada de acordo com o disposto no Artigo 11, tenha-se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publicado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aviso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feito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partes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interessadas tenha sido dada oportunidade adequada para fornecer informações 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tecer comentários.</w:t>
      </w:r>
    </w:p>
    <w:p w14:paraId="6CD1D249"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487D3926" w14:textId="77777777" w:rsidR="00CB6C86" w:rsidRPr="00395593" w:rsidRDefault="00CB6C86" w:rsidP="002C4340">
      <w:pPr>
        <w:widowControl w:val="0"/>
        <w:numPr>
          <w:ilvl w:val="1"/>
          <w:numId w:val="48"/>
        </w:numPr>
        <w:tabs>
          <w:tab w:val="left" w:pos="1170"/>
        </w:tabs>
        <w:autoSpaceDE w:val="0"/>
        <w:autoSpaceDN w:val="0"/>
        <w:spacing w:after="0" w:line="240" w:lineRule="auto"/>
        <w:ind w:left="1181" w:right="114" w:hanging="360"/>
        <w:jc w:val="both"/>
        <w:rPr>
          <w:rFonts w:ascii="Garamond" w:eastAsia="Times New Roman" w:hAnsi="Garamond" w:cs="Times New Roman"/>
          <w:sz w:val="24"/>
        </w:rPr>
      </w:pPr>
      <w:r w:rsidRPr="00395593">
        <w:rPr>
          <w:rFonts w:ascii="Garamond" w:eastAsia="Times New Roman" w:hAnsi="Garamond" w:cs="Times New Roman"/>
          <w:sz w:val="24"/>
        </w:rPr>
        <w:t>determinação preliminar positiva de existência de subsídio e de dano a indústria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nacional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causado pelas importações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subsidiadas tenha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feita; e</w:t>
      </w:r>
    </w:p>
    <w:p w14:paraId="07063FC0"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15C84D2B" w14:textId="77777777" w:rsidR="00CB6C86" w:rsidRPr="00395593" w:rsidRDefault="00CB6C86" w:rsidP="002C4340">
      <w:pPr>
        <w:widowControl w:val="0"/>
        <w:numPr>
          <w:ilvl w:val="1"/>
          <w:numId w:val="48"/>
        </w:numPr>
        <w:tabs>
          <w:tab w:val="left" w:pos="1185"/>
        </w:tabs>
        <w:autoSpaceDE w:val="0"/>
        <w:autoSpaceDN w:val="0"/>
        <w:spacing w:after="0" w:line="240" w:lineRule="auto"/>
        <w:ind w:left="1181" w:right="123" w:hanging="360"/>
        <w:jc w:val="both"/>
        <w:rPr>
          <w:rFonts w:ascii="Garamond" w:eastAsia="Times New Roman" w:hAnsi="Garamond" w:cs="Times New Roman"/>
          <w:sz w:val="24"/>
        </w:rPr>
      </w:pPr>
      <w:r w:rsidRPr="00395593">
        <w:rPr>
          <w:rFonts w:ascii="Garamond" w:eastAsia="Times New Roman" w:hAnsi="Garamond" w:cs="Times New Roman"/>
          <w:sz w:val="24"/>
        </w:rPr>
        <w:t>as autoridades competentes considerem tais medidas necessárias para impedir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danos adicionais venham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 ocorrer durante as investigações.</w:t>
      </w:r>
    </w:p>
    <w:p w14:paraId="404528BD"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3838A464" w14:textId="77777777" w:rsidR="00CB6C86" w:rsidRPr="00395593" w:rsidRDefault="00CB6C86" w:rsidP="002C4340">
      <w:pPr>
        <w:widowControl w:val="0"/>
        <w:numPr>
          <w:ilvl w:val="0"/>
          <w:numId w:val="48"/>
        </w:numPr>
        <w:tabs>
          <w:tab w:val="left" w:pos="810"/>
        </w:tabs>
        <w:autoSpaceDE w:val="0"/>
        <w:autoSpaceDN w:val="0"/>
        <w:spacing w:after="0" w:line="240" w:lineRule="auto"/>
        <w:ind w:right="119"/>
        <w:jc w:val="both"/>
        <w:rPr>
          <w:rFonts w:ascii="Garamond" w:eastAsia="Times New Roman" w:hAnsi="Garamond" w:cs="Times New Roman"/>
          <w:sz w:val="24"/>
        </w:rPr>
      </w:pPr>
      <w:r w:rsidRPr="00395593">
        <w:rPr>
          <w:rFonts w:ascii="Garamond" w:eastAsia="Times New Roman" w:hAnsi="Garamond" w:cs="Times New Roman"/>
          <w:sz w:val="24"/>
        </w:rPr>
        <w:t>Medidas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provisórias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assumir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compensatórios,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provisórios, garantidos por depósitos em espécie ou fianças iguais ao montante do 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calculado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provisoriamente.</w:t>
      </w:r>
    </w:p>
    <w:p w14:paraId="70075FF9" w14:textId="77777777" w:rsidR="00CB6C86" w:rsidRPr="00395593" w:rsidRDefault="00CB6C86" w:rsidP="00655FD9">
      <w:pPr>
        <w:widowControl w:val="0"/>
        <w:autoSpaceDE w:val="0"/>
        <w:autoSpaceDN w:val="0"/>
        <w:spacing w:before="1" w:after="0" w:line="240" w:lineRule="auto"/>
        <w:jc w:val="both"/>
        <w:rPr>
          <w:rFonts w:ascii="Garamond" w:eastAsia="Times New Roman" w:hAnsi="Garamond" w:cs="Times New Roman"/>
          <w:sz w:val="24"/>
          <w:szCs w:val="24"/>
        </w:rPr>
      </w:pPr>
    </w:p>
    <w:p w14:paraId="65F9D6E1" w14:textId="77777777" w:rsidR="00CB6C86" w:rsidRPr="00395593" w:rsidRDefault="00CB6C86" w:rsidP="002C4340">
      <w:pPr>
        <w:widowControl w:val="0"/>
        <w:numPr>
          <w:ilvl w:val="0"/>
          <w:numId w:val="48"/>
        </w:numPr>
        <w:tabs>
          <w:tab w:val="left" w:pos="810"/>
        </w:tabs>
        <w:autoSpaceDE w:val="0"/>
        <w:autoSpaceDN w:val="0"/>
        <w:spacing w:after="0" w:line="240" w:lineRule="auto"/>
        <w:ind w:right="122"/>
        <w:jc w:val="both"/>
        <w:rPr>
          <w:rFonts w:ascii="Garamond" w:eastAsia="Times New Roman" w:hAnsi="Garamond" w:cs="Times New Roman"/>
          <w:sz w:val="24"/>
        </w:rPr>
      </w:pPr>
      <w:r w:rsidRPr="00395593">
        <w:rPr>
          <w:rFonts w:ascii="Garamond" w:eastAsia="Times New Roman" w:hAnsi="Garamond" w:cs="Times New Roman"/>
          <w:sz w:val="24"/>
        </w:rPr>
        <w:t>Não se poderão aplicar medidas provisórias antes de decorridos 60 dias da data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início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 investigação.</w:t>
      </w:r>
    </w:p>
    <w:p w14:paraId="3CB566A8"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16300A9C" w14:textId="77777777" w:rsidR="00CB6C86" w:rsidRPr="00395593" w:rsidRDefault="00CB6C86" w:rsidP="002C4340">
      <w:pPr>
        <w:widowControl w:val="0"/>
        <w:numPr>
          <w:ilvl w:val="0"/>
          <w:numId w:val="48"/>
        </w:numPr>
        <w:tabs>
          <w:tab w:val="left" w:pos="810"/>
        </w:tabs>
        <w:autoSpaceDE w:val="0"/>
        <w:autoSpaceDN w:val="0"/>
        <w:spacing w:after="0" w:line="240" w:lineRule="auto"/>
        <w:ind w:right="124"/>
        <w:jc w:val="both"/>
        <w:rPr>
          <w:rFonts w:ascii="Garamond" w:eastAsia="Times New Roman" w:hAnsi="Garamond" w:cs="Times New Roman"/>
          <w:sz w:val="24"/>
        </w:rPr>
      </w:pPr>
      <w:r w:rsidRPr="00395593">
        <w:rPr>
          <w:rFonts w:ascii="Garamond" w:eastAsia="Times New Roman" w:hAnsi="Garamond" w:cs="Times New Roman"/>
          <w:sz w:val="24"/>
        </w:rPr>
        <w:t>A</w:t>
      </w:r>
      <w:r w:rsidRPr="00395593">
        <w:rPr>
          <w:rFonts w:ascii="Garamond" w:eastAsia="Times New Roman" w:hAnsi="Garamond" w:cs="Times New Roman"/>
          <w:spacing w:val="31"/>
          <w:sz w:val="24"/>
        </w:rPr>
        <w:t xml:space="preserve"> </w:t>
      </w:r>
      <w:r w:rsidRPr="00395593">
        <w:rPr>
          <w:rFonts w:ascii="Garamond" w:eastAsia="Times New Roman" w:hAnsi="Garamond" w:cs="Times New Roman"/>
          <w:sz w:val="24"/>
        </w:rPr>
        <w:t>aplicação</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31"/>
          <w:sz w:val="24"/>
        </w:rPr>
        <w:t xml:space="preserve"> </w:t>
      </w:r>
      <w:r w:rsidRPr="00395593">
        <w:rPr>
          <w:rFonts w:ascii="Garamond" w:eastAsia="Times New Roman" w:hAnsi="Garamond" w:cs="Times New Roman"/>
          <w:sz w:val="24"/>
        </w:rPr>
        <w:t>medidas</w:t>
      </w:r>
      <w:r w:rsidRPr="00395593">
        <w:rPr>
          <w:rFonts w:ascii="Garamond" w:eastAsia="Times New Roman" w:hAnsi="Garamond" w:cs="Times New Roman"/>
          <w:spacing w:val="35"/>
          <w:sz w:val="24"/>
        </w:rPr>
        <w:t xml:space="preserve"> </w:t>
      </w:r>
      <w:r w:rsidRPr="00395593">
        <w:rPr>
          <w:rFonts w:ascii="Garamond" w:eastAsia="Times New Roman" w:hAnsi="Garamond" w:cs="Times New Roman"/>
          <w:sz w:val="24"/>
        </w:rPr>
        <w:t>provisórias</w:t>
      </w:r>
      <w:r w:rsidRPr="00395593">
        <w:rPr>
          <w:rFonts w:ascii="Garamond" w:eastAsia="Times New Roman" w:hAnsi="Garamond" w:cs="Times New Roman"/>
          <w:spacing w:val="32"/>
          <w:sz w:val="24"/>
        </w:rPr>
        <w:t xml:space="preserve"> </w:t>
      </w:r>
      <w:r w:rsidRPr="00395593">
        <w:rPr>
          <w:rFonts w:ascii="Garamond" w:eastAsia="Times New Roman" w:hAnsi="Garamond" w:cs="Times New Roman"/>
          <w:sz w:val="24"/>
        </w:rPr>
        <w:t>será</w:t>
      </w:r>
      <w:r w:rsidRPr="00395593">
        <w:rPr>
          <w:rFonts w:ascii="Garamond" w:eastAsia="Times New Roman" w:hAnsi="Garamond" w:cs="Times New Roman"/>
          <w:spacing w:val="32"/>
          <w:sz w:val="24"/>
        </w:rPr>
        <w:t xml:space="preserve"> </w:t>
      </w:r>
      <w:r w:rsidRPr="00395593">
        <w:rPr>
          <w:rFonts w:ascii="Garamond" w:eastAsia="Times New Roman" w:hAnsi="Garamond" w:cs="Times New Roman"/>
          <w:sz w:val="24"/>
        </w:rPr>
        <w:t>limitada</w:t>
      </w:r>
      <w:r w:rsidRPr="00395593">
        <w:rPr>
          <w:rFonts w:ascii="Garamond" w:eastAsia="Times New Roman" w:hAnsi="Garamond" w:cs="Times New Roman"/>
          <w:spacing w:val="30"/>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mais</w:t>
      </w:r>
      <w:r w:rsidRPr="00395593">
        <w:rPr>
          <w:rFonts w:ascii="Garamond" w:eastAsia="Times New Roman" w:hAnsi="Garamond" w:cs="Times New Roman"/>
          <w:spacing w:val="32"/>
          <w:sz w:val="24"/>
        </w:rPr>
        <w:t xml:space="preserve"> </w:t>
      </w:r>
      <w:r w:rsidRPr="00395593">
        <w:rPr>
          <w:rFonts w:ascii="Garamond" w:eastAsia="Times New Roman" w:hAnsi="Garamond" w:cs="Times New Roman"/>
          <w:sz w:val="24"/>
        </w:rPr>
        <w:t>curto</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período</w:t>
      </w:r>
      <w:r w:rsidRPr="00395593">
        <w:rPr>
          <w:rFonts w:ascii="Garamond" w:eastAsia="Times New Roman" w:hAnsi="Garamond" w:cs="Times New Roman"/>
          <w:spacing w:val="34"/>
          <w:sz w:val="24"/>
        </w:rPr>
        <w:t xml:space="preserve"> </w:t>
      </w:r>
      <w:r w:rsidRPr="00395593">
        <w:rPr>
          <w:rFonts w:ascii="Garamond" w:eastAsia="Times New Roman" w:hAnsi="Garamond" w:cs="Times New Roman"/>
          <w:sz w:val="24"/>
        </w:rPr>
        <w:t>possível,</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não poderá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exceder 4</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meses.</w:t>
      </w:r>
    </w:p>
    <w:p w14:paraId="4C13B267"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2AAFE7F2" w14:textId="77777777" w:rsidR="00CB6C86" w:rsidRPr="00395593" w:rsidRDefault="00CB6C86" w:rsidP="002C4340">
      <w:pPr>
        <w:widowControl w:val="0"/>
        <w:numPr>
          <w:ilvl w:val="0"/>
          <w:numId w:val="48"/>
        </w:numPr>
        <w:tabs>
          <w:tab w:val="left" w:pos="810"/>
        </w:tabs>
        <w:autoSpaceDE w:val="0"/>
        <w:autoSpaceDN w:val="0"/>
        <w:spacing w:after="0" w:line="240" w:lineRule="auto"/>
        <w:ind w:right="125"/>
        <w:jc w:val="both"/>
        <w:rPr>
          <w:rFonts w:ascii="Garamond" w:eastAsia="Times New Roman" w:hAnsi="Garamond" w:cs="Times New Roman"/>
          <w:sz w:val="24"/>
        </w:rPr>
      </w:pPr>
      <w:r w:rsidRPr="00395593">
        <w:rPr>
          <w:rFonts w:ascii="Garamond" w:eastAsia="Times New Roman" w:hAnsi="Garamond" w:cs="Times New Roman"/>
          <w:sz w:val="24"/>
        </w:rPr>
        <w:t>As disposições pertinentes do Artigo 19 serão observadas na aplicação das medidas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provisórias.</w:t>
      </w:r>
    </w:p>
    <w:p w14:paraId="3961F02D"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7D47D033"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18</w:t>
      </w:r>
    </w:p>
    <w:p w14:paraId="470B3D45"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153A6CF1"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Compromissos</w:t>
      </w:r>
    </w:p>
    <w:p w14:paraId="7D720A1A" w14:textId="77777777" w:rsidR="00CB6C86" w:rsidRPr="00395593" w:rsidRDefault="00CB6C86" w:rsidP="00CB6C86">
      <w:pPr>
        <w:widowControl w:val="0"/>
        <w:autoSpaceDE w:val="0"/>
        <w:autoSpaceDN w:val="0"/>
        <w:spacing w:before="11" w:after="0" w:line="240" w:lineRule="auto"/>
        <w:rPr>
          <w:rFonts w:ascii="Garamond" w:eastAsia="Times New Roman" w:hAnsi="Garamond" w:cs="Times New Roman"/>
          <w:sz w:val="23"/>
          <w:szCs w:val="24"/>
        </w:rPr>
      </w:pPr>
    </w:p>
    <w:p w14:paraId="1AFA7C43" w14:textId="77777777" w:rsidR="00CB6C86" w:rsidRPr="00395593" w:rsidRDefault="00CB6C86" w:rsidP="002C4340">
      <w:pPr>
        <w:widowControl w:val="0"/>
        <w:numPr>
          <w:ilvl w:val="0"/>
          <w:numId w:val="47"/>
        </w:numPr>
        <w:tabs>
          <w:tab w:val="left" w:pos="810"/>
        </w:tabs>
        <w:autoSpaceDE w:val="0"/>
        <w:autoSpaceDN w:val="0"/>
        <w:spacing w:after="0" w:line="240" w:lineRule="auto"/>
        <w:ind w:right="118" w:firstLine="0"/>
        <w:jc w:val="both"/>
        <w:rPr>
          <w:rFonts w:ascii="Garamond" w:eastAsia="Times New Roman" w:hAnsi="Garamond" w:cs="Times New Roman"/>
          <w:sz w:val="24"/>
        </w:rPr>
      </w:pPr>
      <w:r w:rsidRPr="00395593">
        <w:rPr>
          <w:rFonts w:ascii="Garamond" w:eastAsia="Times New Roman" w:hAnsi="Garamond" w:cs="Times New Roman"/>
          <w:sz w:val="24"/>
        </w:rPr>
        <w:t>Poderão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49</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suspensos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encerrados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procedimentos,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imposição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medidas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provisórias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compensatórios,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quando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recebem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ofertas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compromissos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voluntários satisfatórios pelos quais:</w:t>
      </w:r>
    </w:p>
    <w:p w14:paraId="167DD0B6"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73BC9CB2" w14:textId="77777777" w:rsidR="00CB6C86" w:rsidRPr="00395593" w:rsidRDefault="00CB6C86" w:rsidP="002C4340">
      <w:pPr>
        <w:widowControl w:val="0"/>
        <w:numPr>
          <w:ilvl w:val="1"/>
          <w:numId w:val="47"/>
        </w:numPr>
        <w:tabs>
          <w:tab w:val="left" w:pos="1147"/>
        </w:tabs>
        <w:autoSpaceDE w:val="0"/>
        <w:autoSpaceDN w:val="0"/>
        <w:spacing w:after="0" w:line="240" w:lineRule="auto"/>
        <w:ind w:left="1181" w:right="117" w:hanging="360"/>
        <w:jc w:val="both"/>
        <w:rPr>
          <w:rFonts w:ascii="Garamond" w:eastAsia="Times New Roman" w:hAnsi="Garamond" w:cs="Times New Roman"/>
          <w:sz w:val="24"/>
        </w:rPr>
      </w:pPr>
      <w:r w:rsidRPr="00395593">
        <w:rPr>
          <w:rFonts w:ascii="Garamond" w:eastAsia="Times New Roman" w:hAnsi="Garamond" w:cs="Times New Roman"/>
          <w:sz w:val="24"/>
        </w:rPr>
        <w:t>o governo do Membro exportador concorda em eliminar ou reduzir o subsídio ou</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tomar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outras medidas relativas 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seus efeitos; ou</w:t>
      </w:r>
    </w:p>
    <w:p w14:paraId="25D45CEA" w14:textId="77777777" w:rsidR="00CB6C86" w:rsidRPr="00395593" w:rsidRDefault="00CB6C86" w:rsidP="00655FD9">
      <w:pPr>
        <w:widowControl w:val="0"/>
        <w:autoSpaceDE w:val="0"/>
        <w:autoSpaceDN w:val="0"/>
        <w:spacing w:after="0" w:line="240" w:lineRule="auto"/>
        <w:jc w:val="both"/>
        <w:rPr>
          <w:rFonts w:ascii="Garamond" w:eastAsia="Times New Roman" w:hAnsi="Garamond" w:cs="Times New Roman"/>
          <w:sz w:val="24"/>
          <w:szCs w:val="24"/>
        </w:rPr>
      </w:pPr>
    </w:p>
    <w:p w14:paraId="5EFD4769" w14:textId="77777777" w:rsidR="00CB6C86" w:rsidRPr="00395593" w:rsidRDefault="00CB6C86" w:rsidP="002C4340">
      <w:pPr>
        <w:widowControl w:val="0"/>
        <w:numPr>
          <w:ilvl w:val="1"/>
          <w:numId w:val="47"/>
        </w:numPr>
        <w:tabs>
          <w:tab w:val="left" w:pos="1199"/>
        </w:tabs>
        <w:autoSpaceDE w:val="0"/>
        <w:autoSpaceDN w:val="0"/>
        <w:spacing w:after="0" w:line="240" w:lineRule="auto"/>
        <w:ind w:left="1181" w:right="121" w:hanging="360"/>
        <w:jc w:val="both"/>
        <w:rPr>
          <w:rFonts w:ascii="Garamond" w:eastAsia="Times New Roman" w:hAnsi="Garamond" w:cs="Times New Roman"/>
          <w:sz w:val="24"/>
        </w:rPr>
      </w:pPr>
      <w:r w:rsidRPr="00395593">
        <w:rPr>
          <w:rFonts w:ascii="Garamond" w:eastAsia="Times New Roman" w:hAnsi="Garamond" w:cs="Times New Roman"/>
          <w:sz w:val="24"/>
        </w:rPr>
        <w:t>e exportador concorda em rever seus preços de tal forma que as 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investigadoras fiquem convencidas de que os efeitos danosos do subsídio serão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eliminados.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aumentos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preços,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compromissos</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serão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maiores do que o necessário para eliminar o montante de subsídio. É desejável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 os aumentos de preços sejam inferiores ao montante do subsídio, desde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suficientes para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eliminar o dano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indústria</w:t>
      </w:r>
      <w:r w:rsidRPr="00395593">
        <w:rPr>
          <w:rFonts w:ascii="Garamond" w:eastAsia="Times New Roman" w:hAnsi="Garamond" w:cs="Times New Roman"/>
          <w:spacing w:val="4"/>
          <w:sz w:val="24"/>
        </w:rPr>
        <w:t xml:space="preserve"> </w:t>
      </w:r>
      <w:r w:rsidRPr="00395593">
        <w:rPr>
          <w:rFonts w:ascii="Garamond" w:eastAsia="Times New Roman" w:hAnsi="Garamond" w:cs="Times New Roman"/>
          <w:sz w:val="24"/>
        </w:rPr>
        <w:t>nacional.</w:t>
      </w:r>
    </w:p>
    <w:p w14:paraId="35A96F25" w14:textId="77777777" w:rsidR="00CB6C86" w:rsidRPr="00395593" w:rsidRDefault="00CB6C86" w:rsidP="00655FD9">
      <w:pPr>
        <w:widowControl w:val="0"/>
        <w:autoSpaceDE w:val="0"/>
        <w:autoSpaceDN w:val="0"/>
        <w:spacing w:before="1" w:after="0" w:line="240" w:lineRule="auto"/>
        <w:jc w:val="both"/>
        <w:rPr>
          <w:rFonts w:ascii="Garamond" w:eastAsia="Times New Roman" w:hAnsi="Garamond" w:cs="Times New Roman"/>
          <w:sz w:val="24"/>
          <w:szCs w:val="24"/>
        </w:rPr>
      </w:pPr>
    </w:p>
    <w:p w14:paraId="4019BCC7" w14:textId="3312994A" w:rsidR="00CB6C86" w:rsidRPr="00395593" w:rsidRDefault="00CB6C86" w:rsidP="002C4340">
      <w:pPr>
        <w:widowControl w:val="0"/>
        <w:numPr>
          <w:ilvl w:val="0"/>
          <w:numId w:val="47"/>
        </w:numPr>
        <w:tabs>
          <w:tab w:val="left" w:pos="810"/>
        </w:tabs>
        <w:autoSpaceDE w:val="0"/>
        <w:autoSpaceDN w:val="0"/>
        <w:spacing w:after="0" w:line="240" w:lineRule="auto"/>
        <w:ind w:right="124" w:firstLine="0"/>
        <w:jc w:val="both"/>
        <w:rPr>
          <w:rFonts w:ascii="Garamond" w:eastAsia="Times New Roman" w:hAnsi="Garamond" w:cs="Times New Roman"/>
          <w:sz w:val="24"/>
        </w:rPr>
      </w:pP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aceitar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compromissos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36"/>
          <w:sz w:val="24"/>
        </w:rPr>
        <w:t xml:space="preserve"> </w:t>
      </w:r>
      <w:r w:rsidRPr="00395593">
        <w:rPr>
          <w:rFonts w:ascii="Garamond" w:eastAsia="Times New Roman" w:hAnsi="Garamond" w:cs="Times New Roman"/>
          <w:sz w:val="24"/>
        </w:rPr>
        <w:t>importador</w:t>
      </w:r>
      <w:r w:rsidRPr="00395593">
        <w:rPr>
          <w:rFonts w:ascii="Garamond" w:eastAsia="Times New Roman" w:hAnsi="Garamond" w:cs="Times New Roman"/>
          <w:spacing w:val="36"/>
          <w:sz w:val="24"/>
        </w:rPr>
        <w:t xml:space="preserve"> </w:t>
      </w:r>
      <w:r w:rsidRPr="00395593">
        <w:rPr>
          <w:rFonts w:ascii="Garamond" w:eastAsia="Times New Roman" w:hAnsi="Garamond" w:cs="Times New Roman"/>
          <w:sz w:val="24"/>
        </w:rPr>
        <w:t>tenham</w:t>
      </w:r>
      <w:r w:rsidRPr="00395593">
        <w:rPr>
          <w:rFonts w:ascii="Garamond" w:eastAsia="Times New Roman" w:hAnsi="Garamond" w:cs="Times New Roman"/>
          <w:spacing w:val="37"/>
          <w:sz w:val="24"/>
        </w:rPr>
        <w:t xml:space="preserve"> </w:t>
      </w:r>
      <w:r w:rsidRPr="00395593">
        <w:rPr>
          <w:rFonts w:ascii="Garamond" w:eastAsia="Times New Roman" w:hAnsi="Garamond" w:cs="Times New Roman"/>
          <w:sz w:val="24"/>
        </w:rPr>
        <w:t>chegado</w:t>
      </w:r>
      <w:r w:rsidRPr="00395593">
        <w:rPr>
          <w:rFonts w:ascii="Garamond" w:eastAsia="Times New Roman" w:hAnsi="Garamond" w:cs="Times New Roman"/>
          <w:spacing w:val="37"/>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36"/>
          <w:sz w:val="24"/>
        </w:rPr>
        <w:t xml:space="preserve"> </w:t>
      </w:r>
      <w:r w:rsidRPr="00395593">
        <w:rPr>
          <w:rFonts w:ascii="Garamond" w:eastAsia="Times New Roman" w:hAnsi="Garamond" w:cs="Times New Roman"/>
          <w:sz w:val="24"/>
        </w:rPr>
        <w:t>uma</w:t>
      </w:r>
      <w:r w:rsidRPr="00395593">
        <w:rPr>
          <w:rFonts w:ascii="Garamond" w:eastAsia="Times New Roman" w:hAnsi="Garamond" w:cs="Times New Roman"/>
          <w:spacing w:val="38"/>
          <w:sz w:val="24"/>
        </w:rPr>
        <w:t xml:space="preserve"> </w:t>
      </w:r>
      <w:r w:rsidRPr="00395593">
        <w:rPr>
          <w:rFonts w:ascii="Garamond" w:eastAsia="Times New Roman" w:hAnsi="Garamond" w:cs="Times New Roman"/>
          <w:sz w:val="24"/>
        </w:rPr>
        <w:t>determinação</w:t>
      </w:r>
      <w:r w:rsidRPr="00395593">
        <w:rPr>
          <w:rFonts w:ascii="Garamond" w:eastAsia="Times New Roman" w:hAnsi="Garamond" w:cs="Times New Roman"/>
          <w:spacing w:val="39"/>
          <w:sz w:val="24"/>
        </w:rPr>
        <w:t xml:space="preserve"> </w:t>
      </w:r>
      <w:r w:rsidRPr="00395593">
        <w:rPr>
          <w:rFonts w:ascii="Garamond" w:eastAsia="Times New Roman" w:hAnsi="Garamond" w:cs="Times New Roman"/>
          <w:sz w:val="24"/>
        </w:rPr>
        <w:t>preliminar</w:t>
      </w:r>
      <w:r w:rsidRPr="00395593">
        <w:rPr>
          <w:rFonts w:ascii="Garamond" w:eastAsia="Times New Roman" w:hAnsi="Garamond" w:cs="Times New Roman"/>
          <w:spacing w:val="36"/>
          <w:sz w:val="24"/>
        </w:rPr>
        <w:t xml:space="preserve"> </w:t>
      </w:r>
      <w:r w:rsidRPr="00395593">
        <w:rPr>
          <w:rFonts w:ascii="Garamond" w:eastAsia="Times New Roman" w:hAnsi="Garamond" w:cs="Times New Roman"/>
          <w:sz w:val="24"/>
        </w:rPr>
        <w:t>positiva</w:t>
      </w:r>
      <w:r w:rsidRPr="00395593">
        <w:rPr>
          <w:rFonts w:ascii="Garamond" w:eastAsia="Times New Roman" w:hAnsi="Garamond" w:cs="Times New Roman"/>
          <w:spacing w:val="36"/>
          <w:sz w:val="24"/>
        </w:rPr>
        <w:t xml:space="preserve"> </w:t>
      </w:r>
      <w:r w:rsidRPr="00395593">
        <w:rPr>
          <w:rFonts w:ascii="Garamond" w:eastAsia="Times New Roman" w:hAnsi="Garamond" w:cs="Times New Roman"/>
          <w:sz w:val="24"/>
        </w:rPr>
        <w:t>quanto</w:t>
      </w:r>
      <w:r w:rsidRPr="00395593">
        <w:rPr>
          <w:rFonts w:ascii="Garamond" w:eastAsia="Times New Roman" w:hAnsi="Garamond" w:cs="Times New Roman"/>
          <w:spacing w:val="37"/>
          <w:sz w:val="24"/>
        </w:rPr>
        <w:t xml:space="preserve"> </w:t>
      </w:r>
      <w:r w:rsidRPr="00395593">
        <w:rPr>
          <w:rFonts w:ascii="Garamond" w:eastAsia="Times New Roman" w:hAnsi="Garamond" w:cs="Times New Roman"/>
          <w:sz w:val="24"/>
        </w:rPr>
        <w:t>ao</w:t>
      </w:r>
    </w:p>
    <w:p w14:paraId="6B8F85A5" w14:textId="77777777" w:rsidR="00D65665" w:rsidRPr="005C5CBD" w:rsidRDefault="00D65665" w:rsidP="00D65665">
      <w:pPr>
        <w:widowControl w:val="0"/>
        <w:tabs>
          <w:tab w:val="left" w:pos="810"/>
        </w:tabs>
        <w:autoSpaceDE w:val="0"/>
        <w:autoSpaceDN w:val="0"/>
        <w:spacing w:after="0" w:line="240" w:lineRule="auto"/>
        <w:ind w:right="124"/>
        <w:jc w:val="both"/>
        <w:rPr>
          <w:rFonts w:ascii="Garamond" w:eastAsia="Times New Roman" w:hAnsi="Garamond" w:cs="Times New Roman"/>
          <w:sz w:val="24"/>
        </w:rPr>
      </w:pPr>
    </w:p>
    <w:p w14:paraId="366BEC12" w14:textId="6472A1BD" w:rsidR="00CB6C86" w:rsidRPr="00395593" w:rsidRDefault="00CB6C86" w:rsidP="00CB6C86">
      <w:pPr>
        <w:widowControl w:val="0"/>
        <w:autoSpaceDE w:val="0"/>
        <w:autoSpaceDN w:val="0"/>
        <w:spacing w:after="0" w:line="240" w:lineRule="auto"/>
        <w:rPr>
          <w:rFonts w:ascii="Garamond" w:eastAsia="Times New Roman" w:hAnsi="Garamond" w:cs="Times New Roman"/>
          <w:sz w:val="23"/>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78" behindDoc="1" locked="0" layoutInCell="1" allowOverlap="1" wp14:anchorId="5DF193B5" wp14:editId="7984530A">
                <wp:simplePos x="0" y="0"/>
                <wp:positionH relativeFrom="page">
                  <wp:posOffset>1080770</wp:posOffset>
                </wp:positionH>
                <wp:positionV relativeFrom="paragraph">
                  <wp:posOffset>183515</wp:posOffset>
                </wp:positionV>
                <wp:extent cx="1828800" cy="7620"/>
                <wp:effectExtent l="4445" t="0" r="0" b="3810"/>
                <wp:wrapTopAndBottom/>
                <wp:docPr id="415" name="Retângulo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2252F" id="Retângulo 415" o:spid="_x0000_s1026" style="position:absolute;margin-left:85.1pt;margin-top:14.45pt;width:2in;height:.6pt;z-index:-2516582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vYTgA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" fillcolor="black" stroked="f">
                <w10:wrap type="topAndBottom" anchorx="page"/>
              </v:rect>
            </w:pict>
          </mc:Fallback>
        </mc:AlternateContent>
      </w:r>
    </w:p>
    <w:p w14:paraId="654C36D8" w14:textId="77777777" w:rsidR="00CB6C86" w:rsidRPr="00E27F2A" w:rsidRDefault="00CB6C86" w:rsidP="00CB6C86">
      <w:pPr>
        <w:widowControl w:val="0"/>
        <w:autoSpaceDE w:val="0"/>
        <w:autoSpaceDN w:val="0"/>
        <w:spacing w:before="103" w:after="0" w:line="240" w:lineRule="auto"/>
        <w:rPr>
          <w:rFonts w:ascii="Garamond" w:eastAsia="Times New Roman" w:hAnsi="Garamond" w:cs="Times New Roman"/>
          <w:sz w:val="20"/>
        </w:rPr>
      </w:pPr>
      <w:r w:rsidRPr="00E27F2A">
        <w:rPr>
          <w:rFonts w:ascii="Garamond" w:eastAsia="Times New Roman" w:hAnsi="Garamond" w:cs="Times New Roman"/>
          <w:sz w:val="20"/>
          <w:vertAlign w:val="superscript"/>
        </w:rPr>
        <w:t>49</w:t>
      </w:r>
      <w:r w:rsidRPr="00E27F2A">
        <w:rPr>
          <w:rFonts w:ascii="Garamond" w:eastAsia="Times New Roman" w:hAnsi="Garamond" w:cs="Times New Roman"/>
          <w:spacing w:val="25"/>
          <w:sz w:val="20"/>
        </w:rPr>
        <w:t xml:space="preserve"> </w:t>
      </w:r>
      <w:r w:rsidRPr="00E27F2A">
        <w:rPr>
          <w:rFonts w:ascii="Garamond" w:eastAsia="Times New Roman" w:hAnsi="Garamond" w:cs="Times New Roman"/>
          <w:sz w:val="20"/>
        </w:rPr>
        <w:t>A</w:t>
      </w:r>
      <w:r w:rsidRPr="00E27F2A">
        <w:rPr>
          <w:rFonts w:ascii="Garamond" w:eastAsia="Times New Roman" w:hAnsi="Garamond" w:cs="Times New Roman"/>
          <w:spacing w:val="22"/>
          <w:sz w:val="20"/>
        </w:rPr>
        <w:t xml:space="preserve"> </w:t>
      </w:r>
      <w:r w:rsidRPr="00E27F2A">
        <w:rPr>
          <w:rFonts w:ascii="Garamond" w:eastAsia="Times New Roman" w:hAnsi="Garamond" w:cs="Times New Roman"/>
          <w:sz w:val="20"/>
        </w:rPr>
        <w:t>palavra</w:t>
      </w:r>
      <w:r w:rsidRPr="00E27F2A">
        <w:rPr>
          <w:rFonts w:ascii="Garamond" w:eastAsia="Times New Roman" w:hAnsi="Garamond" w:cs="Times New Roman"/>
          <w:spacing w:val="27"/>
          <w:sz w:val="20"/>
        </w:rPr>
        <w:t xml:space="preserve"> </w:t>
      </w:r>
      <w:r w:rsidRPr="00E27F2A">
        <w:rPr>
          <w:rFonts w:ascii="Garamond" w:eastAsia="Times New Roman" w:hAnsi="Garamond" w:cs="Times New Roman"/>
          <w:sz w:val="20"/>
        </w:rPr>
        <w:t>“poderão”</w:t>
      </w:r>
      <w:r w:rsidRPr="00E27F2A">
        <w:rPr>
          <w:rFonts w:ascii="Garamond" w:eastAsia="Times New Roman" w:hAnsi="Garamond" w:cs="Times New Roman"/>
          <w:spacing w:val="25"/>
          <w:sz w:val="20"/>
        </w:rPr>
        <w:t xml:space="preserve"> </w:t>
      </w:r>
      <w:r w:rsidRPr="00E27F2A">
        <w:rPr>
          <w:rFonts w:ascii="Garamond" w:eastAsia="Times New Roman" w:hAnsi="Garamond" w:cs="Times New Roman"/>
          <w:sz w:val="20"/>
        </w:rPr>
        <w:t>não</w:t>
      </w:r>
      <w:r w:rsidRPr="00E27F2A">
        <w:rPr>
          <w:rFonts w:ascii="Garamond" w:eastAsia="Times New Roman" w:hAnsi="Garamond" w:cs="Times New Roman"/>
          <w:spacing w:val="26"/>
          <w:sz w:val="20"/>
        </w:rPr>
        <w:t xml:space="preserve"> </w:t>
      </w:r>
      <w:r w:rsidRPr="00E27F2A">
        <w:rPr>
          <w:rFonts w:ascii="Garamond" w:eastAsia="Times New Roman" w:hAnsi="Garamond" w:cs="Times New Roman"/>
          <w:sz w:val="20"/>
        </w:rPr>
        <w:t>será</w:t>
      </w:r>
      <w:r w:rsidRPr="00E27F2A">
        <w:rPr>
          <w:rFonts w:ascii="Garamond" w:eastAsia="Times New Roman" w:hAnsi="Garamond" w:cs="Times New Roman"/>
          <w:spacing w:val="25"/>
          <w:sz w:val="20"/>
        </w:rPr>
        <w:t xml:space="preserve"> </w:t>
      </w:r>
      <w:r w:rsidRPr="00E27F2A">
        <w:rPr>
          <w:rFonts w:ascii="Garamond" w:eastAsia="Times New Roman" w:hAnsi="Garamond" w:cs="Times New Roman"/>
          <w:sz w:val="20"/>
        </w:rPr>
        <w:t>interpretada</w:t>
      </w:r>
      <w:r w:rsidRPr="00E27F2A">
        <w:rPr>
          <w:rFonts w:ascii="Garamond" w:eastAsia="Times New Roman" w:hAnsi="Garamond" w:cs="Times New Roman"/>
          <w:spacing w:val="25"/>
          <w:sz w:val="20"/>
        </w:rPr>
        <w:t xml:space="preserve"> </w:t>
      </w:r>
      <w:r w:rsidRPr="00E27F2A">
        <w:rPr>
          <w:rFonts w:ascii="Garamond" w:eastAsia="Times New Roman" w:hAnsi="Garamond" w:cs="Times New Roman"/>
          <w:sz w:val="20"/>
        </w:rPr>
        <w:t>como</w:t>
      </w:r>
      <w:r w:rsidRPr="00E27F2A">
        <w:rPr>
          <w:rFonts w:ascii="Garamond" w:eastAsia="Times New Roman" w:hAnsi="Garamond" w:cs="Times New Roman"/>
          <w:spacing w:val="26"/>
          <w:sz w:val="20"/>
        </w:rPr>
        <w:t xml:space="preserve"> </w:t>
      </w:r>
      <w:r w:rsidRPr="00E27F2A">
        <w:rPr>
          <w:rFonts w:ascii="Garamond" w:eastAsia="Times New Roman" w:hAnsi="Garamond" w:cs="Times New Roman"/>
          <w:sz w:val="20"/>
        </w:rPr>
        <w:t>autorização</w:t>
      </w:r>
      <w:r w:rsidRPr="00E27F2A">
        <w:rPr>
          <w:rFonts w:ascii="Garamond" w:eastAsia="Times New Roman" w:hAnsi="Garamond" w:cs="Times New Roman"/>
          <w:spacing w:val="26"/>
          <w:sz w:val="20"/>
        </w:rPr>
        <w:t xml:space="preserve"> </w:t>
      </w:r>
      <w:r w:rsidRPr="00E27F2A">
        <w:rPr>
          <w:rFonts w:ascii="Garamond" w:eastAsia="Times New Roman" w:hAnsi="Garamond" w:cs="Times New Roman"/>
          <w:sz w:val="20"/>
        </w:rPr>
        <w:t>a</w:t>
      </w:r>
      <w:r w:rsidRPr="00E27F2A">
        <w:rPr>
          <w:rFonts w:ascii="Garamond" w:eastAsia="Times New Roman" w:hAnsi="Garamond" w:cs="Times New Roman"/>
          <w:spacing w:val="25"/>
          <w:sz w:val="20"/>
        </w:rPr>
        <w:t xml:space="preserve"> </w:t>
      </w:r>
      <w:r w:rsidRPr="00E27F2A">
        <w:rPr>
          <w:rFonts w:ascii="Garamond" w:eastAsia="Times New Roman" w:hAnsi="Garamond" w:cs="Times New Roman"/>
          <w:sz w:val="20"/>
        </w:rPr>
        <w:t>que</w:t>
      </w:r>
      <w:r w:rsidRPr="00E27F2A">
        <w:rPr>
          <w:rFonts w:ascii="Garamond" w:eastAsia="Times New Roman" w:hAnsi="Garamond" w:cs="Times New Roman"/>
          <w:spacing w:val="25"/>
          <w:sz w:val="20"/>
        </w:rPr>
        <w:t xml:space="preserve"> </w:t>
      </w:r>
      <w:r w:rsidRPr="00E27F2A">
        <w:rPr>
          <w:rFonts w:ascii="Garamond" w:eastAsia="Times New Roman" w:hAnsi="Garamond" w:cs="Times New Roman"/>
          <w:sz w:val="20"/>
        </w:rPr>
        <w:t>continuem</w:t>
      </w:r>
      <w:r w:rsidRPr="00E27F2A">
        <w:rPr>
          <w:rFonts w:ascii="Garamond" w:eastAsia="Times New Roman" w:hAnsi="Garamond" w:cs="Times New Roman"/>
          <w:spacing w:val="25"/>
          <w:sz w:val="20"/>
        </w:rPr>
        <w:t xml:space="preserve"> </w:t>
      </w:r>
      <w:r w:rsidRPr="00E27F2A">
        <w:rPr>
          <w:rFonts w:ascii="Garamond" w:eastAsia="Times New Roman" w:hAnsi="Garamond" w:cs="Times New Roman"/>
          <w:sz w:val="20"/>
        </w:rPr>
        <w:t>os</w:t>
      </w:r>
      <w:r w:rsidRPr="00E27F2A">
        <w:rPr>
          <w:rFonts w:ascii="Garamond" w:eastAsia="Times New Roman" w:hAnsi="Garamond" w:cs="Times New Roman"/>
          <w:spacing w:val="24"/>
          <w:sz w:val="20"/>
        </w:rPr>
        <w:t xml:space="preserve"> </w:t>
      </w:r>
      <w:r w:rsidRPr="00E27F2A">
        <w:rPr>
          <w:rFonts w:ascii="Garamond" w:eastAsia="Times New Roman" w:hAnsi="Garamond" w:cs="Times New Roman"/>
          <w:sz w:val="20"/>
        </w:rPr>
        <w:t>procedimentos</w:t>
      </w:r>
      <w:r w:rsidRPr="00E27F2A">
        <w:rPr>
          <w:rFonts w:ascii="Garamond" w:eastAsia="Times New Roman" w:hAnsi="Garamond" w:cs="Times New Roman"/>
          <w:spacing w:val="-47"/>
          <w:sz w:val="20"/>
        </w:rPr>
        <w:t xml:space="preserve"> </w:t>
      </w:r>
      <w:r w:rsidRPr="00E27F2A">
        <w:rPr>
          <w:rFonts w:ascii="Garamond" w:eastAsia="Times New Roman" w:hAnsi="Garamond" w:cs="Times New Roman"/>
          <w:sz w:val="20"/>
        </w:rPr>
        <w:t>investigatórios</w:t>
      </w:r>
      <w:r w:rsidRPr="00E27F2A">
        <w:rPr>
          <w:rFonts w:ascii="Garamond" w:eastAsia="Times New Roman" w:hAnsi="Garamond" w:cs="Times New Roman"/>
          <w:spacing w:val="-3"/>
          <w:sz w:val="20"/>
        </w:rPr>
        <w:t xml:space="preserve"> </w:t>
      </w:r>
      <w:r w:rsidRPr="00E27F2A">
        <w:rPr>
          <w:rFonts w:ascii="Garamond" w:eastAsia="Times New Roman" w:hAnsi="Garamond" w:cs="Times New Roman"/>
          <w:sz w:val="20"/>
        </w:rPr>
        <w:t>simultaneamente</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à</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implementação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dos</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compromissos,</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salvo 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disposto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no parágrafo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4.</w:t>
      </w:r>
    </w:p>
    <w:p w14:paraId="0171F7E4" w14:textId="77777777" w:rsidR="004A450E" w:rsidRPr="005C5CBD" w:rsidRDefault="004A450E" w:rsidP="00E33E26">
      <w:pPr>
        <w:widowControl w:val="0"/>
        <w:autoSpaceDE w:val="0"/>
        <w:autoSpaceDN w:val="0"/>
        <w:spacing w:before="68" w:after="0" w:line="240" w:lineRule="auto"/>
        <w:ind w:right="112"/>
        <w:jc w:val="both"/>
        <w:rPr>
          <w:rFonts w:ascii="Garamond" w:eastAsia="Times New Roman" w:hAnsi="Garamond" w:cs="Times New Roman"/>
          <w:sz w:val="24"/>
          <w:szCs w:val="24"/>
        </w:rPr>
      </w:pPr>
    </w:p>
    <w:p w14:paraId="492B339E" w14:textId="3AC70E07" w:rsidR="00CB6C86" w:rsidRPr="00395593" w:rsidRDefault="00CB6C86" w:rsidP="000A5EB5">
      <w:pPr>
        <w:widowControl w:val="0"/>
        <w:autoSpaceDE w:val="0"/>
        <w:autoSpaceDN w:val="0"/>
        <w:spacing w:before="68" w:after="0" w:line="240" w:lineRule="auto"/>
        <w:ind w:right="112"/>
        <w:jc w:val="both"/>
        <w:rPr>
          <w:rFonts w:ascii="Garamond" w:eastAsia="Times New Roman" w:hAnsi="Garamond" w:cs="Times New Roman"/>
          <w:sz w:val="24"/>
          <w:szCs w:val="24"/>
        </w:rPr>
      </w:pPr>
      <w:r w:rsidRPr="00395593">
        <w:rPr>
          <w:rFonts w:ascii="Garamond" w:eastAsia="Times New Roman" w:hAnsi="Garamond" w:cs="Times New Roman"/>
          <w:sz w:val="24"/>
          <w:szCs w:val="24"/>
        </w:rPr>
        <w:t>subsidio</w:t>
      </w:r>
      <w:r w:rsidRPr="00395593">
        <w:rPr>
          <w:rFonts w:ascii="Garamond" w:eastAsia="Times New Roman" w:hAnsi="Garamond" w:cs="Times New Roman"/>
          <w:spacing w:val="9"/>
          <w:sz w:val="24"/>
          <w:szCs w:val="24"/>
        </w:rPr>
        <w:t xml:space="preserve"> </w:t>
      </w:r>
      <w:r w:rsidRPr="00395593">
        <w:rPr>
          <w:rFonts w:ascii="Garamond" w:eastAsia="Times New Roman" w:hAnsi="Garamond" w:cs="Times New Roman"/>
          <w:sz w:val="24"/>
          <w:szCs w:val="24"/>
        </w:rPr>
        <w:t>e</w:t>
      </w:r>
      <w:r w:rsidRPr="00395593">
        <w:rPr>
          <w:rFonts w:ascii="Garamond" w:eastAsia="Times New Roman" w:hAnsi="Garamond" w:cs="Times New Roman"/>
          <w:spacing w:val="8"/>
          <w:sz w:val="24"/>
          <w:szCs w:val="24"/>
        </w:rPr>
        <w:t xml:space="preserve"> </w:t>
      </w:r>
      <w:r w:rsidRPr="00395593">
        <w:rPr>
          <w:rFonts w:ascii="Garamond" w:eastAsia="Times New Roman" w:hAnsi="Garamond" w:cs="Times New Roman"/>
          <w:sz w:val="24"/>
          <w:szCs w:val="24"/>
        </w:rPr>
        <w:t>ao</w:t>
      </w:r>
      <w:r w:rsidRPr="00395593">
        <w:rPr>
          <w:rFonts w:ascii="Garamond" w:eastAsia="Times New Roman" w:hAnsi="Garamond" w:cs="Times New Roman"/>
          <w:spacing w:val="9"/>
          <w:sz w:val="24"/>
          <w:szCs w:val="24"/>
        </w:rPr>
        <w:t xml:space="preserve"> </w:t>
      </w:r>
      <w:r w:rsidRPr="00395593">
        <w:rPr>
          <w:rFonts w:ascii="Garamond" w:eastAsia="Times New Roman" w:hAnsi="Garamond" w:cs="Times New Roman"/>
          <w:sz w:val="24"/>
          <w:szCs w:val="24"/>
        </w:rPr>
        <w:t>dano</w:t>
      </w:r>
      <w:r w:rsidRPr="00395593">
        <w:rPr>
          <w:rFonts w:ascii="Garamond" w:eastAsia="Times New Roman" w:hAnsi="Garamond" w:cs="Times New Roman"/>
          <w:spacing w:val="10"/>
          <w:sz w:val="24"/>
          <w:szCs w:val="24"/>
        </w:rPr>
        <w:t xml:space="preserve"> </w:t>
      </w:r>
      <w:r w:rsidRPr="00395593">
        <w:rPr>
          <w:rFonts w:ascii="Garamond" w:eastAsia="Times New Roman" w:hAnsi="Garamond" w:cs="Times New Roman"/>
          <w:sz w:val="24"/>
          <w:szCs w:val="24"/>
        </w:rPr>
        <w:t>por</w:t>
      </w:r>
      <w:r w:rsidRPr="00395593">
        <w:rPr>
          <w:rFonts w:ascii="Garamond" w:eastAsia="Times New Roman" w:hAnsi="Garamond" w:cs="Times New Roman"/>
          <w:spacing w:val="10"/>
          <w:sz w:val="24"/>
          <w:szCs w:val="24"/>
        </w:rPr>
        <w:t xml:space="preserve"> </w:t>
      </w:r>
      <w:r w:rsidRPr="00395593">
        <w:rPr>
          <w:rFonts w:ascii="Garamond" w:eastAsia="Times New Roman" w:hAnsi="Garamond" w:cs="Times New Roman"/>
          <w:sz w:val="24"/>
          <w:szCs w:val="24"/>
        </w:rPr>
        <w:t>este</w:t>
      </w:r>
      <w:r w:rsidRPr="00395593">
        <w:rPr>
          <w:rFonts w:ascii="Garamond" w:eastAsia="Times New Roman" w:hAnsi="Garamond" w:cs="Times New Roman"/>
          <w:spacing w:val="9"/>
          <w:sz w:val="24"/>
          <w:szCs w:val="24"/>
        </w:rPr>
        <w:t xml:space="preserve"> </w:t>
      </w:r>
      <w:r w:rsidRPr="00395593">
        <w:rPr>
          <w:rFonts w:ascii="Garamond" w:eastAsia="Times New Roman" w:hAnsi="Garamond" w:cs="Times New Roman"/>
          <w:sz w:val="24"/>
          <w:szCs w:val="24"/>
        </w:rPr>
        <w:t>causado</w:t>
      </w:r>
      <w:r w:rsidRPr="00395593">
        <w:rPr>
          <w:rFonts w:ascii="Garamond" w:eastAsia="Times New Roman" w:hAnsi="Garamond" w:cs="Times New Roman"/>
          <w:spacing w:val="10"/>
          <w:sz w:val="24"/>
          <w:szCs w:val="24"/>
        </w:rPr>
        <w:t xml:space="preserve"> </w:t>
      </w:r>
      <w:r w:rsidRPr="00395593">
        <w:rPr>
          <w:rFonts w:ascii="Garamond" w:eastAsia="Times New Roman" w:hAnsi="Garamond" w:cs="Times New Roman"/>
          <w:sz w:val="24"/>
          <w:szCs w:val="24"/>
        </w:rPr>
        <w:t>e,</w:t>
      </w:r>
      <w:r w:rsidRPr="00395593">
        <w:rPr>
          <w:rFonts w:ascii="Garamond" w:eastAsia="Times New Roman" w:hAnsi="Garamond" w:cs="Times New Roman"/>
          <w:spacing w:val="11"/>
          <w:sz w:val="24"/>
          <w:szCs w:val="24"/>
        </w:rPr>
        <w:t xml:space="preserve"> </w:t>
      </w:r>
      <w:r w:rsidRPr="00395593">
        <w:rPr>
          <w:rFonts w:ascii="Garamond" w:eastAsia="Times New Roman" w:hAnsi="Garamond" w:cs="Times New Roman"/>
          <w:sz w:val="24"/>
          <w:szCs w:val="24"/>
        </w:rPr>
        <w:t>no</w:t>
      </w:r>
      <w:r w:rsidRPr="00395593">
        <w:rPr>
          <w:rFonts w:ascii="Garamond" w:eastAsia="Times New Roman" w:hAnsi="Garamond" w:cs="Times New Roman"/>
          <w:spacing w:val="9"/>
          <w:sz w:val="24"/>
          <w:szCs w:val="24"/>
        </w:rPr>
        <w:t xml:space="preserve"> </w:t>
      </w:r>
      <w:r w:rsidRPr="00395593">
        <w:rPr>
          <w:rFonts w:ascii="Garamond" w:eastAsia="Times New Roman" w:hAnsi="Garamond" w:cs="Times New Roman"/>
          <w:sz w:val="24"/>
          <w:szCs w:val="24"/>
        </w:rPr>
        <w:t>caso</w:t>
      </w:r>
      <w:r w:rsidRPr="00395593">
        <w:rPr>
          <w:rFonts w:ascii="Garamond" w:eastAsia="Times New Roman" w:hAnsi="Garamond" w:cs="Times New Roman"/>
          <w:spacing w:val="10"/>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10"/>
          <w:sz w:val="24"/>
          <w:szCs w:val="24"/>
        </w:rPr>
        <w:t xml:space="preserve"> </w:t>
      </w:r>
      <w:r w:rsidRPr="00395593">
        <w:rPr>
          <w:rFonts w:ascii="Garamond" w:eastAsia="Times New Roman" w:hAnsi="Garamond" w:cs="Times New Roman"/>
          <w:sz w:val="24"/>
          <w:szCs w:val="24"/>
        </w:rPr>
        <w:t>compromissos</w:t>
      </w:r>
      <w:r w:rsidRPr="00395593">
        <w:rPr>
          <w:rFonts w:ascii="Garamond" w:eastAsia="Times New Roman" w:hAnsi="Garamond" w:cs="Times New Roman"/>
          <w:spacing w:val="10"/>
          <w:sz w:val="24"/>
          <w:szCs w:val="24"/>
        </w:rPr>
        <w:t xml:space="preserve"> </w:t>
      </w:r>
      <w:r w:rsidRPr="00395593">
        <w:rPr>
          <w:rFonts w:ascii="Garamond" w:eastAsia="Times New Roman" w:hAnsi="Garamond" w:cs="Times New Roman"/>
          <w:sz w:val="24"/>
          <w:szCs w:val="24"/>
        </w:rPr>
        <w:t>dos</w:t>
      </w:r>
      <w:r w:rsidRPr="00395593">
        <w:rPr>
          <w:rFonts w:ascii="Garamond" w:eastAsia="Times New Roman" w:hAnsi="Garamond" w:cs="Times New Roman"/>
          <w:spacing w:val="10"/>
          <w:sz w:val="24"/>
          <w:szCs w:val="24"/>
        </w:rPr>
        <w:t xml:space="preserve"> </w:t>
      </w:r>
      <w:r w:rsidRPr="00395593">
        <w:rPr>
          <w:rFonts w:ascii="Garamond" w:eastAsia="Times New Roman" w:hAnsi="Garamond" w:cs="Times New Roman"/>
          <w:sz w:val="24"/>
          <w:szCs w:val="24"/>
        </w:rPr>
        <w:t>exportadores,</w:t>
      </w:r>
      <w:r w:rsidRPr="00395593">
        <w:rPr>
          <w:rFonts w:ascii="Garamond" w:eastAsia="Times New Roman" w:hAnsi="Garamond" w:cs="Times New Roman"/>
          <w:spacing w:val="9"/>
          <w:sz w:val="24"/>
          <w:szCs w:val="24"/>
        </w:rPr>
        <w:t xml:space="preserve"> </w:t>
      </w:r>
      <w:r w:rsidRPr="00395593">
        <w:rPr>
          <w:rFonts w:ascii="Garamond" w:eastAsia="Times New Roman" w:hAnsi="Garamond" w:cs="Times New Roman"/>
          <w:sz w:val="24"/>
          <w:szCs w:val="24"/>
        </w:rPr>
        <w:t>tenham</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obtido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 consentimento do Membro exportador.</w:t>
      </w:r>
    </w:p>
    <w:p w14:paraId="19681E0D"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4A55908B" w14:textId="77777777" w:rsidR="00CB6C86" w:rsidRPr="00395593" w:rsidRDefault="00CB6C86" w:rsidP="002C4340">
      <w:pPr>
        <w:widowControl w:val="0"/>
        <w:numPr>
          <w:ilvl w:val="0"/>
          <w:numId w:val="47"/>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Compromissos oferecidos não têm de ser aceitos caso as autoridades do 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importador considerem irrealista sua aceitação, quando, por exemplo, os exportadores reais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potenciais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excessivamente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numerosos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motivos,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entre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princípios de política geral. Caso isso aconteça e sempre que praticável, as 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fornecerão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 exportador os motivos pelos quais consideraram inadequada a oferta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compromisso e, na medida do possível, permitirão ao exportador oportunidade de tecer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comentários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assunto.</w:t>
      </w:r>
    </w:p>
    <w:p w14:paraId="4F970AB3"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70824593" w14:textId="77777777" w:rsidR="00CB6C86" w:rsidRPr="00395593" w:rsidRDefault="00CB6C86" w:rsidP="002C4340">
      <w:pPr>
        <w:widowControl w:val="0"/>
        <w:numPr>
          <w:ilvl w:val="0"/>
          <w:numId w:val="47"/>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Uma vez aceito um compromisso, a investigação de subsídio e dano poderá 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completada se o Membro exportador assim o desejar ou se o Membro importador assim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decidir. Nesse caso, se se chega a uma determinação negativa de subsídio ou dano,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compromisso tornar-se-á automaticamente nulo, exceto nos casos em que tal determinação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 devida em grande medida à existência do compromisso. Nesse caso, as 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competentes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requerer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 manutenção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compromisso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 período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razoável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tempo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compatível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neste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hipótese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chegar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afirmativa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compromisso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mantido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forma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coerente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com seus próprios termos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 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disposições deste Acordo.</w:t>
      </w:r>
    </w:p>
    <w:p w14:paraId="50B3FC5B" w14:textId="77777777" w:rsidR="00CB6C86" w:rsidRPr="00395593" w:rsidRDefault="00CB6C86" w:rsidP="000A5EB5">
      <w:pPr>
        <w:widowControl w:val="0"/>
        <w:autoSpaceDE w:val="0"/>
        <w:autoSpaceDN w:val="0"/>
        <w:spacing w:before="1" w:after="0" w:line="240" w:lineRule="auto"/>
        <w:jc w:val="both"/>
        <w:rPr>
          <w:rFonts w:ascii="Garamond" w:eastAsia="Times New Roman" w:hAnsi="Garamond" w:cs="Times New Roman"/>
          <w:sz w:val="24"/>
          <w:szCs w:val="24"/>
        </w:rPr>
      </w:pPr>
    </w:p>
    <w:p w14:paraId="23E514E3" w14:textId="77777777" w:rsidR="00CB6C86" w:rsidRPr="00395593" w:rsidRDefault="00CB6C86" w:rsidP="002C4340">
      <w:pPr>
        <w:widowControl w:val="0"/>
        <w:numPr>
          <w:ilvl w:val="0"/>
          <w:numId w:val="47"/>
        </w:numPr>
        <w:tabs>
          <w:tab w:val="left" w:pos="810"/>
        </w:tabs>
        <w:autoSpaceDE w:val="0"/>
        <w:autoSpaceDN w:val="0"/>
        <w:spacing w:after="0" w:line="240" w:lineRule="auto"/>
        <w:ind w:right="115" w:firstLine="0"/>
        <w:jc w:val="both"/>
        <w:rPr>
          <w:rFonts w:ascii="Garamond" w:eastAsia="Times New Roman" w:hAnsi="Garamond" w:cs="Times New Roman"/>
          <w:sz w:val="24"/>
        </w:rPr>
      </w:pPr>
      <w:r w:rsidRPr="00395593">
        <w:rPr>
          <w:rFonts w:ascii="Garamond" w:eastAsia="Times New Roman" w:hAnsi="Garamond" w:cs="Times New Roman"/>
          <w:sz w:val="24"/>
        </w:rPr>
        <w:t>Compromissos</w:t>
      </w:r>
      <w:r w:rsidRPr="00395593">
        <w:rPr>
          <w:rFonts w:ascii="Garamond" w:eastAsia="Times New Roman" w:hAnsi="Garamond" w:cs="Times New Roman"/>
          <w:spacing w:val="53"/>
          <w:sz w:val="24"/>
        </w:rPr>
        <w:t xml:space="preserve"> </w:t>
      </w:r>
      <w:r w:rsidRPr="00395593">
        <w:rPr>
          <w:rFonts w:ascii="Garamond" w:eastAsia="Times New Roman" w:hAnsi="Garamond" w:cs="Times New Roman"/>
          <w:sz w:val="24"/>
        </w:rPr>
        <w:t>poderão</w:t>
      </w:r>
      <w:r w:rsidRPr="00395593">
        <w:rPr>
          <w:rFonts w:ascii="Garamond" w:eastAsia="Times New Roman" w:hAnsi="Garamond" w:cs="Times New Roman"/>
          <w:spacing w:val="56"/>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53"/>
          <w:sz w:val="24"/>
        </w:rPr>
        <w:t xml:space="preserve"> </w:t>
      </w:r>
      <w:r w:rsidRPr="00395593">
        <w:rPr>
          <w:rFonts w:ascii="Garamond" w:eastAsia="Times New Roman" w:hAnsi="Garamond" w:cs="Times New Roman"/>
          <w:sz w:val="24"/>
        </w:rPr>
        <w:t>sugeridos</w:t>
      </w:r>
      <w:r w:rsidRPr="00395593">
        <w:rPr>
          <w:rFonts w:ascii="Garamond" w:eastAsia="Times New Roman" w:hAnsi="Garamond" w:cs="Times New Roman"/>
          <w:spacing w:val="53"/>
          <w:sz w:val="24"/>
        </w:rPr>
        <w:t xml:space="preserve"> </w:t>
      </w:r>
      <w:r w:rsidRPr="00395593">
        <w:rPr>
          <w:rFonts w:ascii="Garamond" w:eastAsia="Times New Roman" w:hAnsi="Garamond" w:cs="Times New Roman"/>
          <w:sz w:val="24"/>
        </w:rPr>
        <w:t>pelas</w:t>
      </w:r>
      <w:r w:rsidRPr="00395593">
        <w:rPr>
          <w:rFonts w:ascii="Garamond" w:eastAsia="Times New Roman" w:hAnsi="Garamond" w:cs="Times New Roman"/>
          <w:spacing w:val="53"/>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54"/>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53"/>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53"/>
          <w:sz w:val="24"/>
        </w:rPr>
        <w:t xml:space="preserve"> </w:t>
      </w:r>
      <w:r w:rsidRPr="00395593">
        <w:rPr>
          <w:rFonts w:ascii="Garamond" w:eastAsia="Times New Roman" w:hAnsi="Garamond" w:cs="Times New Roman"/>
          <w:sz w:val="24"/>
        </w:rPr>
        <w:t>importador,</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mas nenhum exportador poderá ser forçado a aceitar tais compromissos. O fato de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governos ou exportadores não ofereçam compromissos ou recusem convite para aceitá-los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39"/>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39"/>
          <w:sz w:val="24"/>
        </w:rPr>
        <w:t xml:space="preserve"> </w:t>
      </w:r>
      <w:r w:rsidRPr="00395593">
        <w:rPr>
          <w:rFonts w:ascii="Garamond" w:eastAsia="Times New Roman" w:hAnsi="Garamond" w:cs="Times New Roman"/>
          <w:sz w:val="24"/>
        </w:rPr>
        <w:t>prejudicará</w:t>
      </w:r>
      <w:r w:rsidRPr="00395593">
        <w:rPr>
          <w:rFonts w:ascii="Garamond" w:eastAsia="Times New Roman" w:hAnsi="Garamond" w:cs="Times New Roman"/>
          <w:spacing w:val="38"/>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38"/>
          <w:sz w:val="24"/>
        </w:rPr>
        <w:t xml:space="preserve"> </w:t>
      </w:r>
      <w:r w:rsidRPr="00395593">
        <w:rPr>
          <w:rFonts w:ascii="Garamond" w:eastAsia="Times New Roman" w:hAnsi="Garamond" w:cs="Times New Roman"/>
          <w:sz w:val="24"/>
        </w:rPr>
        <w:t>forma</w:t>
      </w:r>
      <w:r w:rsidRPr="00395593">
        <w:rPr>
          <w:rFonts w:ascii="Garamond" w:eastAsia="Times New Roman" w:hAnsi="Garamond" w:cs="Times New Roman"/>
          <w:spacing w:val="38"/>
          <w:sz w:val="24"/>
        </w:rPr>
        <w:t xml:space="preserve"> </w:t>
      </w:r>
      <w:r w:rsidRPr="00395593">
        <w:rPr>
          <w:rFonts w:ascii="Garamond" w:eastAsia="Times New Roman" w:hAnsi="Garamond" w:cs="Times New Roman"/>
          <w:sz w:val="24"/>
        </w:rPr>
        <w:t>alguma</w:t>
      </w:r>
      <w:r w:rsidRPr="00395593">
        <w:rPr>
          <w:rFonts w:ascii="Garamond" w:eastAsia="Times New Roman" w:hAnsi="Garamond" w:cs="Times New Roman"/>
          <w:spacing w:val="40"/>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41"/>
          <w:sz w:val="24"/>
        </w:rPr>
        <w:t xml:space="preserve"> </w:t>
      </w:r>
      <w:r w:rsidRPr="00395593">
        <w:rPr>
          <w:rFonts w:ascii="Garamond" w:eastAsia="Times New Roman" w:hAnsi="Garamond" w:cs="Times New Roman"/>
          <w:sz w:val="24"/>
        </w:rPr>
        <w:t>exame</w:t>
      </w:r>
      <w:r w:rsidRPr="00395593">
        <w:rPr>
          <w:rFonts w:ascii="Garamond" w:eastAsia="Times New Roman" w:hAnsi="Garamond" w:cs="Times New Roman"/>
          <w:spacing w:val="40"/>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39"/>
          <w:sz w:val="24"/>
        </w:rPr>
        <w:t xml:space="preserve"> </w:t>
      </w:r>
      <w:r w:rsidRPr="00395593">
        <w:rPr>
          <w:rFonts w:ascii="Garamond" w:eastAsia="Times New Roman" w:hAnsi="Garamond" w:cs="Times New Roman"/>
          <w:sz w:val="24"/>
        </w:rPr>
        <w:t>caso.</w:t>
      </w:r>
      <w:r w:rsidRPr="00395593">
        <w:rPr>
          <w:rFonts w:ascii="Garamond" w:eastAsia="Times New Roman" w:hAnsi="Garamond" w:cs="Times New Roman"/>
          <w:spacing w:val="39"/>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42"/>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39"/>
          <w:sz w:val="24"/>
        </w:rPr>
        <w:t xml:space="preserve"> </w:t>
      </w:r>
      <w:r w:rsidRPr="00395593">
        <w:rPr>
          <w:rFonts w:ascii="Garamond" w:eastAsia="Times New Roman" w:hAnsi="Garamond" w:cs="Times New Roman"/>
          <w:sz w:val="24"/>
        </w:rPr>
        <w:t>porém,</w:t>
      </w:r>
      <w:r w:rsidRPr="00395593">
        <w:rPr>
          <w:rFonts w:ascii="Garamond" w:eastAsia="Times New Roman" w:hAnsi="Garamond" w:cs="Times New Roman"/>
          <w:spacing w:val="40"/>
          <w:sz w:val="24"/>
        </w:rPr>
        <w:t xml:space="preserve"> </w:t>
      </w:r>
      <w:r w:rsidRPr="00395593">
        <w:rPr>
          <w:rFonts w:ascii="Garamond" w:eastAsia="Times New Roman" w:hAnsi="Garamond" w:cs="Times New Roman"/>
          <w:sz w:val="24"/>
        </w:rPr>
        <w:t>estarão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livres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ameaça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é</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provável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continuem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subsidiadas.</w:t>
      </w:r>
    </w:p>
    <w:p w14:paraId="265F1C89" w14:textId="77777777" w:rsidR="00CB6C86" w:rsidRPr="00395593" w:rsidRDefault="00CB6C86" w:rsidP="000A5EB5">
      <w:pPr>
        <w:widowControl w:val="0"/>
        <w:autoSpaceDE w:val="0"/>
        <w:autoSpaceDN w:val="0"/>
        <w:spacing w:before="1" w:after="0" w:line="240" w:lineRule="auto"/>
        <w:jc w:val="both"/>
        <w:rPr>
          <w:rFonts w:ascii="Garamond" w:eastAsia="Times New Roman" w:hAnsi="Garamond" w:cs="Times New Roman"/>
          <w:sz w:val="24"/>
          <w:szCs w:val="24"/>
        </w:rPr>
      </w:pPr>
    </w:p>
    <w:p w14:paraId="29D685F8" w14:textId="77777777" w:rsidR="00CB6C86" w:rsidRPr="00395593" w:rsidRDefault="00CB6C86" w:rsidP="002C4340">
      <w:pPr>
        <w:widowControl w:val="0"/>
        <w:numPr>
          <w:ilvl w:val="0"/>
          <w:numId w:val="47"/>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As autoridades do Membro importador poderão requerer de qualquer governo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exportador com o qual se tenha celebrado compromisso que forneça informações periódicas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relativas ao cumprimento do compromisso e que permita verificação de dados relevantes.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caso de violação de compromisso,   as autoridades do Membro importador poderão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tomar prontas medidas, ao abrigo deste acordo e em conformidade com suas disposições,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 poderão consistir na aplicação imediata de medidas provisórias, com base na melhor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informação disponível. Em tais situações, direitos definidos poderão ser aplicados,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conformidade com este Acordo, sobre mercadorias desalfandegadas para consumo até 90</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dias antes da aplicação de tais medidas provisórias, ressalvado que tal retroatividade não 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apelará</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importações desalfandegadas antes da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violação do compromisso.</w:t>
      </w:r>
    </w:p>
    <w:p w14:paraId="592BB782"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Cs w:val="24"/>
        </w:rPr>
      </w:pPr>
    </w:p>
    <w:p w14:paraId="7D2BEAF6" w14:textId="77777777" w:rsidR="00CB6C86" w:rsidRPr="00395593" w:rsidRDefault="00CB6C86" w:rsidP="00E33E26">
      <w:pPr>
        <w:widowControl w:val="0"/>
        <w:autoSpaceDE w:val="0"/>
        <w:autoSpaceDN w:val="0"/>
        <w:spacing w:before="1"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19</w:t>
      </w:r>
    </w:p>
    <w:p w14:paraId="18E1DF6C" w14:textId="77777777" w:rsidR="00CB6C86" w:rsidRPr="00395593" w:rsidRDefault="00CB6C86" w:rsidP="00CB6C86">
      <w:pPr>
        <w:widowControl w:val="0"/>
        <w:autoSpaceDE w:val="0"/>
        <w:autoSpaceDN w:val="0"/>
        <w:spacing w:before="11" w:after="0" w:line="240" w:lineRule="auto"/>
        <w:rPr>
          <w:rFonts w:ascii="Garamond" w:eastAsia="Times New Roman" w:hAnsi="Garamond" w:cs="Times New Roman"/>
          <w:b/>
          <w:sz w:val="23"/>
          <w:szCs w:val="24"/>
        </w:rPr>
      </w:pPr>
    </w:p>
    <w:p w14:paraId="2C44F60C" w14:textId="77777777" w:rsidR="00CB6C86" w:rsidRPr="00395593" w:rsidRDefault="00CB6C86" w:rsidP="00CB6C8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Imposição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e</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Percepção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de</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Direitos</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Compensatórios</w:t>
      </w:r>
    </w:p>
    <w:p w14:paraId="6C9FEC98" w14:textId="77777777" w:rsidR="00CB6C86" w:rsidRPr="00395593" w:rsidRDefault="00CB6C86" w:rsidP="004D4329">
      <w:pPr>
        <w:widowControl w:val="0"/>
        <w:autoSpaceDE w:val="0"/>
        <w:autoSpaceDN w:val="0"/>
        <w:spacing w:after="0" w:line="240" w:lineRule="auto"/>
        <w:jc w:val="center"/>
        <w:rPr>
          <w:rFonts w:ascii="Garamond" w:eastAsia="Times New Roman" w:hAnsi="Garamond" w:cs="Times New Roman"/>
          <w:sz w:val="24"/>
          <w:szCs w:val="24"/>
        </w:rPr>
      </w:pPr>
    </w:p>
    <w:p w14:paraId="4E4472F0"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Cs w:val="24"/>
        </w:rPr>
      </w:pPr>
    </w:p>
    <w:p w14:paraId="32FA346F" w14:textId="77777777" w:rsidR="00CB6C86" w:rsidRPr="00395593" w:rsidRDefault="00CB6C86" w:rsidP="002C4340">
      <w:pPr>
        <w:widowControl w:val="0"/>
        <w:numPr>
          <w:ilvl w:val="0"/>
          <w:numId w:val="46"/>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após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esforços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razoáveis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completar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consultas,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chega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determinação</w:t>
      </w:r>
      <w:r w:rsidRPr="00395593">
        <w:rPr>
          <w:rFonts w:ascii="Garamond" w:eastAsia="Times New Roman" w:hAnsi="Garamond" w:cs="Times New Roman"/>
          <w:spacing w:val="38"/>
          <w:sz w:val="24"/>
        </w:rPr>
        <w:t xml:space="preserve"> </w:t>
      </w:r>
      <w:r w:rsidRPr="00395593">
        <w:rPr>
          <w:rFonts w:ascii="Garamond" w:eastAsia="Times New Roman" w:hAnsi="Garamond" w:cs="Times New Roman"/>
          <w:sz w:val="24"/>
        </w:rPr>
        <w:t>final</w:t>
      </w:r>
      <w:r w:rsidRPr="00395593">
        <w:rPr>
          <w:rFonts w:ascii="Garamond" w:eastAsia="Times New Roman" w:hAnsi="Garamond" w:cs="Times New Roman"/>
          <w:spacing w:val="38"/>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38"/>
          <w:sz w:val="24"/>
        </w:rPr>
        <w:t xml:space="preserve"> </w:t>
      </w:r>
      <w:r w:rsidRPr="00395593">
        <w:rPr>
          <w:rFonts w:ascii="Garamond" w:eastAsia="Times New Roman" w:hAnsi="Garamond" w:cs="Times New Roman"/>
          <w:sz w:val="24"/>
        </w:rPr>
        <w:t>existência</w:t>
      </w:r>
      <w:r w:rsidRPr="00395593">
        <w:rPr>
          <w:rFonts w:ascii="Garamond" w:eastAsia="Times New Roman" w:hAnsi="Garamond" w:cs="Times New Roman"/>
          <w:spacing w:val="37"/>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39"/>
          <w:sz w:val="24"/>
        </w:rPr>
        <w:t xml:space="preserve"> </w:t>
      </w:r>
      <w:r w:rsidRPr="00395593">
        <w:rPr>
          <w:rFonts w:ascii="Garamond" w:eastAsia="Times New Roman" w:hAnsi="Garamond" w:cs="Times New Roman"/>
          <w:sz w:val="24"/>
        </w:rPr>
        <w:t>montante</w:t>
      </w:r>
      <w:r w:rsidRPr="00395593">
        <w:rPr>
          <w:rFonts w:ascii="Garamond" w:eastAsia="Times New Roman" w:hAnsi="Garamond" w:cs="Times New Roman"/>
          <w:spacing w:val="40"/>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37"/>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39"/>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40"/>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37"/>
          <w:sz w:val="24"/>
        </w:rPr>
        <w:t xml:space="preserve"> </w:t>
      </w:r>
      <w:r w:rsidRPr="00395593">
        <w:rPr>
          <w:rFonts w:ascii="Garamond" w:eastAsia="Times New Roman" w:hAnsi="Garamond" w:cs="Times New Roman"/>
          <w:sz w:val="24"/>
        </w:rPr>
        <w:t>meio</w:t>
      </w:r>
      <w:r w:rsidRPr="00395593">
        <w:rPr>
          <w:rFonts w:ascii="Garamond" w:eastAsia="Times New Roman" w:hAnsi="Garamond" w:cs="Times New Roman"/>
          <w:spacing w:val="38"/>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37"/>
          <w:sz w:val="24"/>
        </w:rPr>
        <w:t xml:space="preserve"> </w:t>
      </w:r>
      <w:r w:rsidRPr="00395593">
        <w:rPr>
          <w:rFonts w:ascii="Garamond" w:eastAsia="Times New Roman" w:hAnsi="Garamond" w:cs="Times New Roman"/>
          <w:sz w:val="24"/>
        </w:rPr>
        <w:t>seus</w:t>
      </w:r>
      <w:r w:rsidRPr="00395593">
        <w:rPr>
          <w:rFonts w:ascii="Garamond" w:eastAsia="Times New Roman" w:hAnsi="Garamond" w:cs="Times New Roman"/>
          <w:spacing w:val="38"/>
          <w:sz w:val="24"/>
        </w:rPr>
        <w:t xml:space="preserve"> </w:t>
      </w:r>
      <w:r w:rsidRPr="00395593">
        <w:rPr>
          <w:rFonts w:ascii="Garamond" w:eastAsia="Times New Roman" w:hAnsi="Garamond" w:cs="Times New Roman"/>
          <w:sz w:val="24"/>
        </w:rPr>
        <w:t>efeitos,</w:t>
      </w:r>
    </w:p>
    <w:p w14:paraId="43BA5898" w14:textId="77777777" w:rsidR="00CB6C86" w:rsidRPr="00395593" w:rsidRDefault="00CB6C86" w:rsidP="00CB6C86">
      <w:pPr>
        <w:widowControl w:val="0"/>
        <w:autoSpaceDE w:val="0"/>
        <w:autoSpaceDN w:val="0"/>
        <w:spacing w:after="0" w:line="240" w:lineRule="auto"/>
        <w:jc w:val="both"/>
        <w:rPr>
          <w:rFonts w:ascii="Garamond" w:eastAsia="Times New Roman" w:hAnsi="Garamond" w:cs="Times New Roman"/>
          <w:sz w:val="24"/>
        </w:rPr>
        <w:sectPr w:rsidR="00CB6C86" w:rsidRPr="00395593" w:rsidSect="00E15FBB">
          <w:pgSz w:w="12240" w:h="15840"/>
          <w:pgMar w:top="1418" w:right="1580" w:bottom="280" w:left="1418" w:header="720" w:footer="720" w:gutter="0"/>
          <w:cols w:space="720"/>
        </w:sectPr>
      </w:pPr>
    </w:p>
    <w:p w14:paraId="5EE5A9FD" w14:textId="77777777" w:rsidR="00CB6C86" w:rsidRPr="00395593" w:rsidRDefault="00CB6C86" w:rsidP="00CB6C86">
      <w:pPr>
        <w:widowControl w:val="0"/>
        <w:autoSpaceDE w:val="0"/>
        <w:autoSpaceDN w:val="0"/>
        <w:spacing w:before="68" w:after="0" w:line="240" w:lineRule="auto"/>
        <w:ind w:right="122"/>
        <w:jc w:val="both"/>
        <w:rPr>
          <w:rFonts w:ascii="Garamond" w:eastAsia="Times New Roman" w:hAnsi="Garamond" w:cs="Times New Roman"/>
          <w:sz w:val="24"/>
          <w:szCs w:val="24"/>
        </w:rPr>
      </w:pPr>
      <w:r w:rsidRPr="00395593">
        <w:rPr>
          <w:rFonts w:ascii="Garamond" w:eastAsia="Times New Roman" w:hAnsi="Garamond" w:cs="Times New Roman"/>
          <w:sz w:val="24"/>
          <w:szCs w:val="24"/>
        </w:rPr>
        <w:t>sobre os danos que as importações subsidiadas estão causando, o Membro poderá impor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direito compensatório de acordo com o disposto neste Artigo, a menos que o subsidio ou</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subsídios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sejam retirados.</w:t>
      </w:r>
    </w:p>
    <w:p w14:paraId="2BB748E5"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317447F1" w14:textId="77777777" w:rsidR="00CB6C86" w:rsidRPr="00395593" w:rsidRDefault="00CB6C86" w:rsidP="002C4340">
      <w:pPr>
        <w:widowControl w:val="0"/>
        <w:numPr>
          <w:ilvl w:val="0"/>
          <w:numId w:val="46"/>
        </w:numPr>
        <w:tabs>
          <w:tab w:val="left" w:pos="810"/>
        </w:tabs>
        <w:autoSpaceDE w:val="0"/>
        <w:autoSpaceDN w:val="0"/>
        <w:spacing w:after="0" w:line="240" w:lineRule="auto"/>
        <w:ind w:right="116" w:firstLine="0"/>
        <w:jc w:val="both"/>
        <w:rPr>
          <w:rFonts w:ascii="Garamond" w:eastAsia="Times New Roman" w:hAnsi="Garamond" w:cs="Times New Roman"/>
          <w:sz w:val="24"/>
        </w:rPr>
      </w:pPr>
      <w:r w:rsidRPr="00395593">
        <w:rPr>
          <w:rFonts w:ascii="Garamond" w:eastAsia="Times New Roman" w:hAnsi="Garamond" w:cs="Times New Roman"/>
          <w:sz w:val="24"/>
        </w:rPr>
        <w:t>São de competência das autoridades do Membro importador as decisões sobre impor</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compensatório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naqueles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casos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todos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requisitos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fazê-lo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tiverem sido preenchidos e sobre se o montante do direito compensatório deve ser igual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menor do que a totalidade do subsídio. É desejável que a imposição seja facultativa 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território</w:t>
      </w:r>
      <w:r w:rsidRPr="00395593">
        <w:rPr>
          <w:rFonts w:ascii="Garamond" w:eastAsia="Times New Roman" w:hAnsi="Garamond" w:cs="Times New Roman"/>
          <w:spacing w:val="29"/>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9"/>
          <w:sz w:val="24"/>
        </w:rPr>
        <w:t xml:space="preserve"> </w:t>
      </w:r>
      <w:r w:rsidRPr="00395593">
        <w:rPr>
          <w:rFonts w:ascii="Garamond" w:eastAsia="Times New Roman" w:hAnsi="Garamond" w:cs="Times New Roman"/>
          <w:sz w:val="24"/>
        </w:rPr>
        <w:t>todos</w:t>
      </w:r>
      <w:r w:rsidRPr="00395593">
        <w:rPr>
          <w:rFonts w:ascii="Garamond" w:eastAsia="Times New Roman" w:hAnsi="Garamond" w:cs="Times New Roman"/>
          <w:spacing w:val="3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30"/>
          <w:sz w:val="24"/>
        </w:rPr>
        <w:t xml:space="preserve"> </w:t>
      </w:r>
      <w:r w:rsidRPr="00395593">
        <w:rPr>
          <w:rFonts w:ascii="Garamond" w:eastAsia="Times New Roman" w:hAnsi="Garamond" w:cs="Times New Roman"/>
          <w:sz w:val="24"/>
        </w:rPr>
        <w:t>Membros</w:t>
      </w:r>
      <w:r w:rsidRPr="00395593">
        <w:rPr>
          <w:rFonts w:ascii="Garamond" w:eastAsia="Times New Roman" w:hAnsi="Garamond" w:cs="Times New Roman"/>
          <w:spacing w:val="3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9"/>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29"/>
          <w:sz w:val="24"/>
        </w:rPr>
        <w:t xml:space="preserve"> </w:t>
      </w:r>
      <w:r w:rsidRPr="00395593">
        <w:rPr>
          <w:rFonts w:ascii="Garamond" w:eastAsia="Times New Roman" w:hAnsi="Garamond" w:cs="Times New Roman"/>
          <w:sz w:val="24"/>
        </w:rPr>
        <w:t>direito</w:t>
      </w:r>
      <w:r w:rsidRPr="00395593">
        <w:rPr>
          <w:rFonts w:ascii="Garamond" w:eastAsia="Times New Roman" w:hAnsi="Garamond" w:cs="Times New Roman"/>
          <w:spacing w:val="30"/>
          <w:sz w:val="24"/>
        </w:rPr>
        <w:t xml:space="preserve"> </w:t>
      </w:r>
      <w:r w:rsidRPr="00395593">
        <w:rPr>
          <w:rFonts w:ascii="Garamond" w:eastAsia="Times New Roman" w:hAnsi="Garamond" w:cs="Times New Roman"/>
          <w:sz w:val="24"/>
        </w:rPr>
        <w:t>seja</w:t>
      </w:r>
      <w:r w:rsidRPr="00395593">
        <w:rPr>
          <w:rFonts w:ascii="Garamond" w:eastAsia="Times New Roman" w:hAnsi="Garamond" w:cs="Times New Roman"/>
          <w:spacing w:val="29"/>
          <w:sz w:val="24"/>
        </w:rPr>
        <w:t xml:space="preserve"> </w:t>
      </w:r>
      <w:r w:rsidRPr="00395593">
        <w:rPr>
          <w:rFonts w:ascii="Garamond" w:eastAsia="Times New Roman" w:hAnsi="Garamond" w:cs="Times New Roman"/>
          <w:sz w:val="24"/>
        </w:rPr>
        <w:t>inferior</w:t>
      </w:r>
      <w:r w:rsidRPr="00395593">
        <w:rPr>
          <w:rFonts w:ascii="Garamond" w:eastAsia="Times New Roman" w:hAnsi="Garamond" w:cs="Times New Roman"/>
          <w:spacing w:val="30"/>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29"/>
          <w:sz w:val="24"/>
        </w:rPr>
        <w:t xml:space="preserve"> </w:t>
      </w:r>
      <w:r w:rsidRPr="00395593">
        <w:rPr>
          <w:rFonts w:ascii="Garamond" w:eastAsia="Times New Roman" w:hAnsi="Garamond" w:cs="Times New Roman"/>
          <w:sz w:val="24"/>
        </w:rPr>
        <w:t>montante</w:t>
      </w:r>
      <w:r w:rsidRPr="00395593">
        <w:rPr>
          <w:rFonts w:ascii="Garamond" w:eastAsia="Times New Roman" w:hAnsi="Garamond" w:cs="Times New Roman"/>
          <w:spacing w:val="30"/>
          <w:sz w:val="24"/>
        </w:rPr>
        <w:t xml:space="preserve"> </w:t>
      </w:r>
      <w:r w:rsidRPr="00395593">
        <w:rPr>
          <w:rFonts w:ascii="Garamond" w:eastAsia="Times New Roman" w:hAnsi="Garamond" w:cs="Times New Roman"/>
          <w:sz w:val="24"/>
        </w:rPr>
        <w:t>total</w:t>
      </w:r>
      <w:r w:rsidRPr="00395593">
        <w:rPr>
          <w:rFonts w:ascii="Garamond" w:eastAsia="Times New Roman" w:hAnsi="Garamond" w:cs="Times New Roman"/>
          <w:spacing w:val="29"/>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29"/>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caso tal direito inferior sela suficiente para eliminar o dano causado à indústria nacional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56"/>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tomem</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providências</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no  sentido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permitir</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às</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59"/>
          <w:sz w:val="24"/>
        </w:rPr>
        <w:t xml:space="preserve"> </w:t>
      </w:r>
      <w:r w:rsidRPr="00395593">
        <w:rPr>
          <w:rFonts w:ascii="Garamond" w:eastAsia="Times New Roman" w:hAnsi="Garamond" w:cs="Times New Roman"/>
          <w:sz w:val="24"/>
        </w:rPr>
        <w:t>competentes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avaliar</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 xml:space="preserve">corretamente as representações feitas por partes nacionais interessadas </w:t>
      </w:r>
      <w:r w:rsidRPr="00395593">
        <w:rPr>
          <w:rFonts w:ascii="Garamond" w:eastAsia="Times New Roman" w:hAnsi="Garamond" w:cs="Times New Roman"/>
          <w:sz w:val="24"/>
          <w:vertAlign w:val="superscript"/>
        </w:rPr>
        <w:t>50</w:t>
      </w:r>
      <w:r w:rsidRPr="00395593">
        <w:rPr>
          <w:rFonts w:ascii="Garamond" w:eastAsia="Times New Roman" w:hAnsi="Garamond" w:cs="Times New Roman"/>
          <w:sz w:val="24"/>
        </w:rPr>
        <w:t>, cujos interesses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tenham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sido prejudicados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pela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imposição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 direito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compensatório.</w:t>
      </w:r>
    </w:p>
    <w:p w14:paraId="54F8BEB8" w14:textId="77777777" w:rsidR="00CB6C86" w:rsidRPr="00395593" w:rsidRDefault="00CB6C86" w:rsidP="000A5EB5">
      <w:pPr>
        <w:widowControl w:val="0"/>
        <w:autoSpaceDE w:val="0"/>
        <w:autoSpaceDN w:val="0"/>
        <w:spacing w:before="1" w:after="0" w:line="240" w:lineRule="auto"/>
        <w:jc w:val="both"/>
        <w:rPr>
          <w:rFonts w:ascii="Garamond" w:eastAsia="Times New Roman" w:hAnsi="Garamond" w:cs="Times New Roman"/>
          <w:sz w:val="24"/>
          <w:szCs w:val="24"/>
        </w:rPr>
      </w:pPr>
    </w:p>
    <w:p w14:paraId="65B96E56" w14:textId="77777777" w:rsidR="00CB6C86" w:rsidRPr="00395593" w:rsidRDefault="00CB6C86" w:rsidP="002C4340">
      <w:pPr>
        <w:widowControl w:val="0"/>
        <w:numPr>
          <w:ilvl w:val="0"/>
          <w:numId w:val="46"/>
        </w:numPr>
        <w:tabs>
          <w:tab w:val="left" w:pos="810"/>
        </w:tabs>
        <w:autoSpaceDE w:val="0"/>
        <w:autoSpaceDN w:val="0"/>
        <w:spacing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Quando se impõe direito compensatório sobre qualquer produto, será ele aplicado,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nos montantes apropriados a cada caso, de forma não-discriminatória sobre as importações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todas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origens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estejam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subsidiando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causando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exceto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aquelas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origens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tenham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renunciado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cujos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compromissos ao abrigo dos termos deste Acordo tenham sido aceitos. Todo exportador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cujos produtos sejam submetidos a direitos compensatórios definitivos, mas que não tenha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sido de fato investigado por razoes outras que não uma recusa de cooperar de sua parte, terá</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direito a reexame imediato que permita às autoridades estabelecer, prontamente, montante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direito compensatório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individual para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aquele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exportador.</w:t>
      </w:r>
    </w:p>
    <w:p w14:paraId="15CABCC0"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1DB7CD9F" w14:textId="77777777" w:rsidR="00CB6C86" w:rsidRPr="00395593" w:rsidRDefault="00CB6C86" w:rsidP="002C4340">
      <w:pPr>
        <w:widowControl w:val="0"/>
        <w:numPr>
          <w:ilvl w:val="0"/>
          <w:numId w:val="46"/>
        </w:numPr>
        <w:tabs>
          <w:tab w:val="left" w:pos="810"/>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51</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compensatórios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valor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alto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comprovados,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calculado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termos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unidade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subsidiado e</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exportado.</w:t>
      </w:r>
    </w:p>
    <w:p w14:paraId="2F580542"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4"/>
          <w:szCs w:val="24"/>
        </w:rPr>
      </w:pPr>
    </w:p>
    <w:p w14:paraId="5ECE8D2A"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20</w:t>
      </w:r>
    </w:p>
    <w:p w14:paraId="350A7C72"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6E54E260" w14:textId="77777777" w:rsidR="00CB6C86" w:rsidRPr="00395593" w:rsidRDefault="00CB6C86" w:rsidP="00CB6C8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Retroatividade</w:t>
      </w:r>
    </w:p>
    <w:p w14:paraId="497D6939"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6B3A7C5B" w14:textId="77777777" w:rsidR="00CB6C86" w:rsidRPr="00395593" w:rsidRDefault="00CB6C86" w:rsidP="002C4340">
      <w:pPr>
        <w:widowControl w:val="0"/>
        <w:numPr>
          <w:ilvl w:val="0"/>
          <w:numId w:val="45"/>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Medidas provisórias e direitos compensatórios só poderão ser aplicados a produtos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 entrem para consumo após o momento em que a decisão mencionada no parágrafo 1 do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Artigo 17 e no parágrafo 1 do Artigo 19, respectivamente, tenha entrado em vigor, 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exceção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disposto neste Artigo.</w:t>
      </w:r>
    </w:p>
    <w:p w14:paraId="3DC1A84B"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49621B30" w14:textId="77777777" w:rsidR="00CB6C86" w:rsidRPr="00395593" w:rsidRDefault="00CB6C86" w:rsidP="002C4340">
      <w:pPr>
        <w:widowControl w:val="0"/>
        <w:numPr>
          <w:ilvl w:val="0"/>
          <w:numId w:val="45"/>
        </w:numPr>
        <w:tabs>
          <w:tab w:val="left" w:pos="810"/>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Quando se chega a uma determinação final de dano (mas não de ameaça de dano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retardamento sensível na instalação de uma indústria) ou no caso de determinação final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ameaça de dano, sempre que o efeito de importações subsidiadas teria, na ausência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medidas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provisórias,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levado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poder-se-ão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retroativamente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compensatórios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período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medidas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provisórias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tenham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eventualmente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sido aplicadas.</w:t>
      </w:r>
    </w:p>
    <w:p w14:paraId="5B5D27D1" w14:textId="77777777" w:rsidR="00D65665" w:rsidRDefault="00D65665" w:rsidP="00E33E26">
      <w:pPr>
        <w:widowControl w:val="0"/>
        <w:autoSpaceDE w:val="0"/>
        <w:autoSpaceDN w:val="0"/>
        <w:spacing w:after="0" w:line="240" w:lineRule="auto"/>
        <w:rPr>
          <w:rFonts w:ascii="Garamond" w:eastAsia="Times New Roman" w:hAnsi="Garamond" w:cs="Times New Roman"/>
          <w:sz w:val="20"/>
          <w:vertAlign w:val="superscript"/>
        </w:rPr>
      </w:pPr>
    </w:p>
    <w:p w14:paraId="5ABFC384" w14:textId="77777777" w:rsidR="00D65665" w:rsidRDefault="00D65665" w:rsidP="00E33E26">
      <w:pPr>
        <w:widowControl w:val="0"/>
        <w:autoSpaceDE w:val="0"/>
        <w:autoSpaceDN w:val="0"/>
        <w:spacing w:after="0" w:line="240" w:lineRule="auto"/>
        <w:rPr>
          <w:rFonts w:ascii="Garamond" w:eastAsia="Times New Roman" w:hAnsi="Garamond" w:cs="Times New Roman"/>
          <w:sz w:val="20"/>
          <w:vertAlign w:val="superscript"/>
        </w:rPr>
      </w:pPr>
    </w:p>
    <w:p w14:paraId="0AEE733D" w14:textId="77777777" w:rsidR="00D65665" w:rsidRDefault="00D65665" w:rsidP="00E33E26">
      <w:pPr>
        <w:widowControl w:val="0"/>
        <w:autoSpaceDE w:val="0"/>
        <w:autoSpaceDN w:val="0"/>
        <w:spacing w:after="0" w:line="240" w:lineRule="auto"/>
        <w:rPr>
          <w:rFonts w:ascii="Garamond" w:eastAsia="Times New Roman" w:hAnsi="Garamond" w:cs="Times New Roman"/>
          <w:sz w:val="20"/>
          <w:vertAlign w:val="superscript"/>
        </w:rPr>
      </w:pPr>
    </w:p>
    <w:p w14:paraId="7DC48B25" w14:textId="77777777" w:rsidR="00D65665" w:rsidRDefault="00D65665" w:rsidP="00E33E26">
      <w:pPr>
        <w:widowControl w:val="0"/>
        <w:autoSpaceDE w:val="0"/>
        <w:autoSpaceDN w:val="0"/>
        <w:spacing w:after="0" w:line="240" w:lineRule="auto"/>
        <w:rPr>
          <w:rFonts w:ascii="Garamond" w:eastAsia="Times New Roman" w:hAnsi="Garamond" w:cs="Times New Roman"/>
          <w:sz w:val="20"/>
          <w:vertAlign w:val="superscript"/>
        </w:rPr>
      </w:pPr>
    </w:p>
    <w:p w14:paraId="5A443F87" w14:textId="77777777" w:rsidR="00D65665" w:rsidRDefault="00D65665" w:rsidP="00E33E26">
      <w:pPr>
        <w:widowControl w:val="0"/>
        <w:autoSpaceDE w:val="0"/>
        <w:autoSpaceDN w:val="0"/>
        <w:spacing w:after="0" w:line="240" w:lineRule="auto"/>
        <w:rPr>
          <w:rFonts w:ascii="Garamond" w:eastAsia="Times New Roman" w:hAnsi="Garamond" w:cs="Times New Roman"/>
          <w:sz w:val="20"/>
          <w:vertAlign w:val="superscript"/>
        </w:rPr>
      </w:pPr>
    </w:p>
    <w:p w14:paraId="5EAA0822" w14:textId="2A88B994" w:rsidR="004D4329" w:rsidRPr="00395593" w:rsidRDefault="004D4329" w:rsidP="004D4329">
      <w:pPr>
        <w:widowControl w:val="0"/>
        <w:autoSpaceDE w:val="0"/>
        <w:autoSpaceDN w:val="0"/>
        <w:spacing w:after="0" w:line="240" w:lineRule="auto"/>
        <w:rPr>
          <w:rFonts w:ascii="Garamond" w:eastAsia="Times New Roman" w:hAnsi="Garamond" w:cs="Times New Roman"/>
          <w:sz w:val="20"/>
          <w:vertAlign w:val="superscript"/>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79" behindDoc="1" locked="0" layoutInCell="1" allowOverlap="1" wp14:anchorId="17BC7262" wp14:editId="7BF82006">
                <wp:simplePos x="0" y="0"/>
                <wp:positionH relativeFrom="page">
                  <wp:posOffset>1042670</wp:posOffset>
                </wp:positionH>
                <wp:positionV relativeFrom="paragraph">
                  <wp:posOffset>175260</wp:posOffset>
                </wp:positionV>
                <wp:extent cx="1828800" cy="7620"/>
                <wp:effectExtent l="4445" t="4445" r="0" b="0"/>
                <wp:wrapTopAndBottom/>
                <wp:docPr id="414" name="Retângulo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0EC36" id="Retângulo 414" o:spid="_x0000_s1026" style="position:absolute;margin-left:82.1pt;margin-top:13.8pt;width:2in;height:.6pt;z-index:-2516582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CgA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" fillcolor="black" stroked="f">
                <w10:wrap type="topAndBottom" anchorx="page"/>
              </v:rect>
            </w:pict>
          </mc:Fallback>
        </mc:AlternateContent>
      </w:r>
    </w:p>
    <w:p w14:paraId="1DEEB0D6" w14:textId="3A04A13A" w:rsidR="00CB6C86" w:rsidRPr="00E27F2A" w:rsidRDefault="00CB6C86" w:rsidP="004D4329">
      <w:pPr>
        <w:widowControl w:val="0"/>
        <w:autoSpaceDE w:val="0"/>
        <w:autoSpaceDN w:val="0"/>
        <w:spacing w:after="0" w:line="240" w:lineRule="auto"/>
        <w:rPr>
          <w:rFonts w:ascii="Garamond" w:eastAsia="Times New Roman" w:hAnsi="Garamond" w:cs="Times New Roman"/>
          <w:sz w:val="20"/>
        </w:rPr>
      </w:pPr>
      <w:r w:rsidRPr="00E27F2A">
        <w:rPr>
          <w:rFonts w:ascii="Garamond" w:eastAsia="Times New Roman" w:hAnsi="Garamond" w:cs="Times New Roman"/>
          <w:sz w:val="20"/>
          <w:vertAlign w:val="superscript"/>
        </w:rPr>
        <w:t>50</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Para</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as</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finalidades</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deste</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parágrafo,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termo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“partes</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nacionais</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interessadas”</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incluirá</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consumidores</w:t>
      </w:r>
      <w:r w:rsidRPr="00E27F2A">
        <w:rPr>
          <w:rFonts w:ascii="Garamond" w:eastAsia="Times New Roman" w:hAnsi="Garamond" w:cs="Times New Roman"/>
          <w:spacing w:val="50"/>
          <w:sz w:val="20"/>
        </w:rPr>
        <w:t xml:space="preserve"> </w:t>
      </w:r>
      <w:r w:rsidRPr="00E27F2A">
        <w:rPr>
          <w:rFonts w:ascii="Garamond" w:eastAsia="Times New Roman" w:hAnsi="Garamond" w:cs="Times New Roman"/>
          <w:sz w:val="20"/>
        </w:rPr>
        <w:t>e</w:t>
      </w:r>
      <w:r w:rsidRPr="00E27F2A">
        <w:rPr>
          <w:rFonts w:ascii="Garamond" w:eastAsia="Times New Roman" w:hAnsi="Garamond" w:cs="Times New Roman"/>
          <w:spacing w:val="-47"/>
          <w:sz w:val="20"/>
        </w:rPr>
        <w:t xml:space="preserve"> </w:t>
      </w:r>
      <w:r w:rsidRPr="00E27F2A">
        <w:rPr>
          <w:rFonts w:ascii="Garamond" w:eastAsia="Times New Roman" w:hAnsi="Garamond" w:cs="Times New Roman"/>
          <w:sz w:val="20"/>
        </w:rPr>
        <w:t>usuários</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industriais</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do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produto importado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objeto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da</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investigação.</w:t>
      </w:r>
    </w:p>
    <w:p w14:paraId="6902BC7C"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0"/>
        </w:rPr>
      </w:pPr>
      <w:r w:rsidRPr="00E27F2A">
        <w:rPr>
          <w:rFonts w:ascii="Garamond" w:eastAsia="Times New Roman" w:hAnsi="Garamond" w:cs="Times New Roman"/>
          <w:sz w:val="20"/>
          <w:vertAlign w:val="superscript"/>
        </w:rPr>
        <w:t>51</w:t>
      </w:r>
      <w:r w:rsidRPr="00E27F2A">
        <w:rPr>
          <w:rFonts w:ascii="Garamond" w:eastAsia="Times New Roman" w:hAnsi="Garamond" w:cs="Times New Roman"/>
          <w:spacing w:val="-3"/>
          <w:sz w:val="20"/>
        </w:rPr>
        <w:t xml:space="preserve"> </w:t>
      </w:r>
      <w:r w:rsidRPr="00E27F2A">
        <w:rPr>
          <w:rFonts w:ascii="Garamond" w:eastAsia="Times New Roman" w:hAnsi="Garamond" w:cs="Times New Roman"/>
          <w:sz w:val="20"/>
        </w:rPr>
        <w:t>Tal</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como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usado</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neste Acordo,</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o</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termo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“impor”</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significa</w:t>
      </w:r>
      <w:r w:rsidRPr="00E27F2A">
        <w:rPr>
          <w:rFonts w:ascii="Garamond" w:eastAsia="Times New Roman" w:hAnsi="Garamond" w:cs="Times New Roman"/>
          <w:spacing w:val="-3"/>
          <w:sz w:val="20"/>
        </w:rPr>
        <w:t xml:space="preserve"> </w:t>
      </w:r>
      <w:r w:rsidRPr="00E27F2A">
        <w:rPr>
          <w:rFonts w:ascii="Garamond" w:eastAsia="Times New Roman" w:hAnsi="Garamond" w:cs="Times New Roman"/>
          <w:sz w:val="20"/>
        </w:rPr>
        <w:t>percebimento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ou</w:t>
      </w:r>
      <w:r w:rsidRPr="00E27F2A">
        <w:rPr>
          <w:rFonts w:ascii="Garamond" w:eastAsia="Times New Roman" w:hAnsi="Garamond" w:cs="Times New Roman"/>
          <w:spacing w:val="-3"/>
          <w:sz w:val="20"/>
        </w:rPr>
        <w:t xml:space="preserve"> </w:t>
      </w:r>
      <w:r w:rsidRPr="00E27F2A">
        <w:rPr>
          <w:rFonts w:ascii="Garamond" w:eastAsia="Times New Roman" w:hAnsi="Garamond" w:cs="Times New Roman"/>
          <w:sz w:val="20"/>
        </w:rPr>
        <w:t>coleta</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de</w:t>
      </w:r>
      <w:r w:rsidRPr="00E27F2A">
        <w:rPr>
          <w:rFonts w:ascii="Garamond" w:eastAsia="Times New Roman" w:hAnsi="Garamond" w:cs="Times New Roman"/>
          <w:spacing w:val="-3"/>
          <w:sz w:val="20"/>
        </w:rPr>
        <w:t xml:space="preserve"> </w:t>
      </w:r>
      <w:r w:rsidRPr="00E27F2A">
        <w:rPr>
          <w:rFonts w:ascii="Garamond" w:eastAsia="Times New Roman" w:hAnsi="Garamond" w:cs="Times New Roman"/>
          <w:sz w:val="20"/>
        </w:rPr>
        <w:t>direito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ou</w:t>
      </w:r>
      <w:r w:rsidRPr="00E27F2A">
        <w:rPr>
          <w:rFonts w:ascii="Garamond" w:eastAsia="Times New Roman" w:hAnsi="Garamond" w:cs="Times New Roman"/>
          <w:spacing w:val="-3"/>
          <w:sz w:val="20"/>
        </w:rPr>
        <w:t xml:space="preserve"> </w:t>
      </w:r>
      <w:r w:rsidRPr="00E27F2A">
        <w:rPr>
          <w:rFonts w:ascii="Garamond" w:eastAsia="Times New Roman" w:hAnsi="Garamond" w:cs="Times New Roman"/>
          <w:sz w:val="20"/>
        </w:rPr>
        <w:t>taxa.</w:t>
      </w:r>
    </w:p>
    <w:p w14:paraId="5E354D3C" w14:textId="77777777" w:rsidR="00CB6C86" w:rsidRPr="00395593" w:rsidRDefault="00CB6C86" w:rsidP="002C4340">
      <w:pPr>
        <w:widowControl w:val="0"/>
        <w:numPr>
          <w:ilvl w:val="0"/>
          <w:numId w:val="45"/>
        </w:numPr>
        <w:tabs>
          <w:tab w:val="left" w:pos="810"/>
        </w:tabs>
        <w:autoSpaceDE w:val="0"/>
        <w:autoSpaceDN w:val="0"/>
        <w:spacing w:before="184"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Não se exigirá a diferença quando os direitos compensatórios definitivos sejam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superiores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quantia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garantida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depósito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espécie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fiança.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compensatórios</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forem</w:t>
      </w:r>
      <w:r w:rsidRPr="00395593">
        <w:rPr>
          <w:rFonts w:ascii="Garamond" w:eastAsia="Times New Roman" w:hAnsi="Garamond" w:cs="Times New Roman"/>
          <w:spacing w:val="11"/>
          <w:sz w:val="24"/>
        </w:rPr>
        <w:t xml:space="preserve"> </w:t>
      </w:r>
      <w:r w:rsidRPr="00395593">
        <w:rPr>
          <w:rFonts w:ascii="Garamond" w:eastAsia="Times New Roman" w:hAnsi="Garamond" w:cs="Times New Roman"/>
          <w:sz w:val="24"/>
        </w:rPr>
        <w:t>inferiores</w:t>
      </w:r>
      <w:r w:rsidRPr="00395593">
        <w:rPr>
          <w:rFonts w:ascii="Garamond" w:eastAsia="Times New Roman" w:hAnsi="Garamond" w:cs="Times New Roman"/>
          <w:spacing w:val="12"/>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montante</w:t>
      </w:r>
      <w:r w:rsidRPr="00395593">
        <w:rPr>
          <w:rFonts w:ascii="Garamond" w:eastAsia="Times New Roman" w:hAnsi="Garamond" w:cs="Times New Roman"/>
          <w:spacing w:val="11"/>
          <w:sz w:val="24"/>
        </w:rPr>
        <w:t xml:space="preserve"> </w:t>
      </w:r>
      <w:r w:rsidRPr="00395593">
        <w:rPr>
          <w:rFonts w:ascii="Garamond" w:eastAsia="Times New Roman" w:hAnsi="Garamond" w:cs="Times New Roman"/>
          <w:sz w:val="24"/>
        </w:rPr>
        <w:t>garantido</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deposito</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1"/>
          <w:sz w:val="24"/>
        </w:rPr>
        <w:t xml:space="preserve"> </w:t>
      </w:r>
      <w:r w:rsidRPr="00395593">
        <w:rPr>
          <w:rFonts w:ascii="Garamond" w:eastAsia="Times New Roman" w:hAnsi="Garamond" w:cs="Times New Roman"/>
          <w:sz w:val="24"/>
        </w:rPr>
        <w:t>espécie</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fiança,</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valor 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mais será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reembolsado ou 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fiança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liberada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prontamente.</w:t>
      </w:r>
    </w:p>
    <w:p w14:paraId="3DE0E95D" w14:textId="77777777" w:rsidR="00CB6C86" w:rsidRPr="00395593" w:rsidRDefault="00CB6C86" w:rsidP="00F240FB">
      <w:pPr>
        <w:widowControl w:val="0"/>
        <w:autoSpaceDE w:val="0"/>
        <w:autoSpaceDN w:val="0"/>
        <w:spacing w:after="0" w:line="240" w:lineRule="auto"/>
        <w:jc w:val="both"/>
        <w:rPr>
          <w:rFonts w:ascii="Garamond" w:eastAsia="Times New Roman" w:hAnsi="Garamond" w:cs="Times New Roman"/>
          <w:sz w:val="24"/>
          <w:szCs w:val="24"/>
        </w:rPr>
      </w:pPr>
    </w:p>
    <w:p w14:paraId="78656435" w14:textId="77777777" w:rsidR="00CB6C86" w:rsidRPr="00395593" w:rsidRDefault="00CB6C86" w:rsidP="002C4340">
      <w:pPr>
        <w:widowControl w:val="0"/>
        <w:numPr>
          <w:ilvl w:val="0"/>
          <w:numId w:val="45"/>
        </w:numPr>
        <w:tabs>
          <w:tab w:val="left" w:pos="810"/>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Com exceção do previsto no parágrafo 2, quando se determine ameaça de dano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retardamento sensível na instalação de uma empresa (mas não tenha ainda ocorrido dano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efetivo),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só</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compensatório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definitivo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ameaça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dano ou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retardamento sensível.</w:t>
      </w:r>
    </w:p>
    <w:p w14:paraId="64C233C5" w14:textId="77777777" w:rsidR="00CB6C86" w:rsidRPr="00395593" w:rsidRDefault="00CB6C86" w:rsidP="00F240FB">
      <w:pPr>
        <w:widowControl w:val="0"/>
        <w:autoSpaceDE w:val="0"/>
        <w:autoSpaceDN w:val="0"/>
        <w:spacing w:after="0" w:line="240" w:lineRule="auto"/>
        <w:jc w:val="both"/>
        <w:rPr>
          <w:rFonts w:ascii="Garamond" w:eastAsia="Times New Roman" w:hAnsi="Garamond" w:cs="Times New Roman"/>
          <w:sz w:val="24"/>
          <w:szCs w:val="24"/>
        </w:rPr>
      </w:pPr>
    </w:p>
    <w:p w14:paraId="094909C6" w14:textId="77777777" w:rsidR="00CB6C86" w:rsidRPr="00395593" w:rsidRDefault="00CB6C86" w:rsidP="002C4340">
      <w:pPr>
        <w:widowControl w:val="0"/>
        <w:numPr>
          <w:ilvl w:val="0"/>
          <w:numId w:val="45"/>
        </w:numPr>
        <w:tabs>
          <w:tab w:val="left" w:pos="810"/>
        </w:tabs>
        <w:autoSpaceDE w:val="0"/>
        <w:autoSpaceDN w:val="0"/>
        <w:spacing w:after="0" w:line="240" w:lineRule="auto"/>
        <w:ind w:right="125" w:firstLine="0"/>
        <w:jc w:val="both"/>
        <w:rPr>
          <w:rFonts w:ascii="Garamond" w:eastAsia="Times New Roman" w:hAnsi="Garamond" w:cs="Times New Roman"/>
          <w:sz w:val="24"/>
        </w:rPr>
      </w:pPr>
      <w:r w:rsidRPr="00395593">
        <w:rPr>
          <w:rFonts w:ascii="Garamond" w:eastAsia="Times New Roman" w:hAnsi="Garamond" w:cs="Times New Roman"/>
          <w:sz w:val="24"/>
        </w:rPr>
        <w:t>Sempre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final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 negativa,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qualquer depósito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espécie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feito durante o período de aplicação das medidas provisórias será reembolsado e qualquer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fiança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liberada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prontamente.</w:t>
      </w:r>
    </w:p>
    <w:p w14:paraId="5208B869" w14:textId="77777777" w:rsidR="00CB6C86" w:rsidRPr="00395593" w:rsidRDefault="00CB6C86" w:rsidP="00F240FB">
      <w:pPr>
        <w:widowControl w:val="0"/>
        <w:autoSpaceDE w:val="0"/>
        <w:autoSpaceDN w:val="0"/>
        <w:spacing w:before="1" w:after="0" w:line="240" w:lineRule="auto"/>
        <w:jc w:val="both"/>
        <w:rPr>
          <w:rFonts w:ascii="Garamond" w:eastAsia="Times New Roman" w:hAnsi="Garamond" w:cs="Times New Roman"/>
          <w:sz w:val="24"/>
          <w:szCs w:val="24"/>
        </w:rPr>
      </w:pPr>
    </w:p>
    <w:p w14:paraId="339778ED" w14:textId="77777777" w:rsidR="00CB6C86" w:rsidRPr="00395593" w:rsidRDefault="00CB6C86" w:rsidP="002C4340">
      <w:pPr>
        <w:widowControl w:val="0"/>
        <w:numPr>
          <w:ilvl w:val="0"/>
          <w:numId w:val="45"/>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Poderão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compensatórios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retroativos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internadas para consumo até o máximo de 90 dias antes da data de aplicação de medidas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provisórias sempre que, em circunstâncias críticas, as autoridades determinem existir para 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produto subsidiado em causa, dano difícil de reparar motivado por importações volumosas,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período de tempo relativamente curto, de um produto que receba subsídios pagos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concedidos de forma incompatível com as disposições do GATT 1994 e as deste Acordo,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sempre que se considere necessário impor direitos compensatórios retroativamente 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importações 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impedir 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reincidência daquele dano.</w:t>
      </w:r>
    </w:p>
    <w:p w14:paraId="5506DB56"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6"/>
          <w:szCs w:val="24"/>
        </w:rPr>
      </w:pPr>
    </w:p>
    <w:p w14:paraId="7E48FF1F"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21</w:t>
      </w:r>
    </w:p>
    <w:p w14:paraId="5170514F"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5CEC16A5" w14:textId="77777777" w:rsidR="00CB6C86" w:rsidRPr="00395593" w:rsidRDefault="00CB6C86" w:rsidP="00CB6C86">
      <w:pPr>
        <w:widowControl w:val="0"/>
        <w:autoSpaceDE w:val="0"/>
        <w:autoSpaceDN w:val="0"/>
        <w:spacing w:before="1"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Duração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e</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Revisão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de</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Direitos</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Compensatórios</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e compromissos</w:t>
      </w:r>
    </w:p>
    <w:p w14:paraId="682D94B3" w14:textId="77777777" w:rsidR="00CB6C86" w:rsidRPr="00395593" w:rsidRDefault="00CB6C86" w:rsidP="00CB6C86">
      <w:pPr>
        <w:widowControl w:val="0"/>
        <w:autoSpaceDE w:val="0"/>
        <w:autoSpaceDN w:val="0"/>
        <w:spacing w:before="11" w:after="0" w:line="240" w:lineRule="auto"/>
        <w:rPr>
          <w:rFonts w:ascii="Garamond" w:eastAsia="Times New Roman" w:hAnsi="Garamond" w:cs="Times New Roman"/>
          <w:sz w:val="23"/>
          <w:szCs w:val="24"/>
        </w:rPr>
      </w:pPr>
    </w:p>
    <w:p w14:paraId="37AE9249" w14:textId="77777777" w:rsidR="00CB6C86" w:rsidRPr="00395593" w:rsidRDefault="00CB6C86" w:rsidP="002C4340">
      <w:pPr>
        <w:widowControl w:val="0"/>
        <w:numPr>
          <w:ilvl w:val="0"/>
          <w:numId w:val="44"/>
        </w:numPr>
        <w:tabs>
          <w:tab w:val="left" w:pos="810"/>
        </w:tabs>
        <w:autoSpaceDE w:val="0"/>
        <w:autoSpaceDN w:val="0"/>
        <w:spacing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Um direito compensatório permanecerá em vigor apenas pelo tempo e na medida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necessários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 contra-arrestar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 subsídio causador 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dano.</w:t>
      </w:r>
    </w:p>
    <w:p w14:paraId="3F2ECCA4" w14:textId="77777777" w:rsidR="00CB6C86" w:rsidRPr="00395593" w:rsidRDefault="00CB6C86" w:rsidP="00F240FB">
      <w:pPr>
        <w:widowControl w:val="0"/>
        <w:autoSpaceDE w:val="0"/>
        <w:autoSpaceDN w:val="0"/>
        <w:spacing w:after="0" w:line="240" w:lineRule="auto"/>
        <w:jc w:val="both"/>
        <w:rPr>
          <w:rFonts w:ascii="Garamond" w:eastAsia="Times New Roman" w:hAnsi="Garamond" w:cs="Times New Roman"/>
          <w:sz w:val="24"/>
          <w:szCs w:val="24"/>
        </w:rPr>
      </w:pPr>
    </w:p>
    <w:p w14:paraId="016D8C6B" w14:textId="77777777" w:rsidR="00CB6C86" w:rsidRPr="00395593" w:rsidRDefault="00CB6C86" w:rsidP="002C4340">
      <w:pPr>
        <w:widowControl w:val="0"/>
        <w:numPr>
          <w:ilvl w:val="0"/>
          <w:numId w:val="44"/>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Sempre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justifique,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reverão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necessidade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continuar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impondo o direito, quer por sua própria iniciativa, quer após escoado razoável período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tempo após a imposição dos direitos compensatórios definitivos por solicitação de qualquer</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das partes interessadas que apresente informação positiva comprobatória da necessidade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revisão. As partes interessados terão o direito de requerer às autoridades que examinem se 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manutenção do direito é necessária para contra-arrestar o subsídio, se o dano continuaria ou</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voltaria a ocorrer caso o direito fosse eliminado ou alterado, ou que examinem ambos 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coisas. Se, como resultado da revisão prevista neste parágrafo, as autoridades determinarem</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 direito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compensatório não é</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mais necessário, será</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o mesmo imediatamente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extinto.</w:t>
      </w:r>
    </w:p>
    <w:p w14:paraId="62B09A5E" w14:textId="77777777" w:rsidR="00CB6C86" w:rsidRPr="00395593" w:rsidRDefault="00CB6C86" w:rsidP="00F240FB">
      <w:pPr>
        <w:widowControl w:val="0"/>
        <w:autoSpaceDE w:val="0"/>
        <w:autoSpaceDN w:val="0"/>
        <w:spacing w:before="1" w:after="0" w:line="240" w:lineRule="auto"/>
        <w:jc w:val="both"/>
        <w:rPr>
          <w:rFonts w:ascii="Garamond" w:eastAsia="Times New Roman" w:hAnsi="Garamond" w:cs="Times New Roman"/>
          <w:sz w:val="24"/>
          <w:szCs w:val="24"/>
        </w:rPr>
      </w:pPr>
    </w:p>
    <w:p w14:paraId="52C4FF07" w14:textId="32BB2F45" w:rsidR="00CB6C86" w:rsidRPr="00395593" w:rsidRDefault="00CB6C86" w:rsidP="00E74A36">
      <w:pPr>
        <w:widowControl w:val="0"/>
        <w:numPr>
          <w:ilvl w:val="0"/>
          <w:numId w:val="44"/>
        </w:numPr>
        <w:tabs>
          <w:tab w:val="left" w:pos="810"/>
        </w:tabs>
        <w:autoSpaceDE w:val="0"/>
        <w:autoSpaceDN w:val="0"/>
        <w:spacing w:before="68" w:after="0" w:line="240" w:lineRule="auto"/>
        <w:ind w:right="120" w:firstLine="0"/>
        <w:jc w:val="both"/>
        <w:rPr>
          <w:rFonts w:ascii="Garamond" w:eastAsia="Times New Roman" w:hAnsi="Garamond" w:cs="Times New Roman"/>
          <w:sz w:val="24"/>
          <w:szCs w:val="24"/>
        </w:rPr>
      </w:pPr>
      <w:r w:rsidRPr="00395593">
        <w:rPr>
          <w:rFonts w:ascii="Garamond" w:eastAsia="Times New Roman" w:hAnsi="Garamond" w:cs="Times New Roman"/>
          <w:sz w:val="24"/>
        </w:rPr>
        <w:t>Em que pese as disposições dos parágrafos 1 e 2, todo direito compensatório será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extinto em data não posterior a 5 anos contados da data de sua aplicação (ou da data 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revisão mais recente ao abrigo deste parágrafo ou do parágrafo 2, caso essa revisão tenha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abrangido tanto o subsídio quanto o dano), a menos que as autoridades determinem,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revisão</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iniciada</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sua</w:t>
      </w:r>
      <w:r w:rsidRPr="00395593">
        <w:rPr>
          <w:rFonts w:ascii="Garamond" w:eastAsia="Times New Roman" w:hAnsi="Garamond" w:cs="Times New Roman"/>
          <w:spacing w:val="22"/>
          <w:sz w:val="24"/>
        </w:rPr>
        <w:t xml:space="preserve"> </w:t>
      </w:r>
      <w:r w:rsidRPr="00395593">
        <w:rPr>
          <w:rFonts w:ascii="Garamond" w:eastAsia="Times New Roman" w:hAnsi="Garamond" w:cs="Times New Roman"/>
          <w:sz w:val="24"/>
        </w:rPr>
        <w:t>própria</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iniciativa</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antes</w:t>
      </w:r>
      <w:r w:rsidRPr="00395593">
        <w:rPr>
          <w:rFonts w:ascii="Garamond" w:eastAsia="Times New Roman" w:hAnsi="Garamond" w:cs="Times New Roman"/>
          <w:spacing w:val="21"/>
          <w:sz w:val="24"/>
        </w:rPr>
        <w:t xml:space="preserve"> </w:t>
      </w:r>
      <w:r w:rsidRPr="00395593">
        <w:rPr>
          <w:rFonts w:ascii="Garamond" w:eastAsia="Times New Roman" w:hAnsi="Garamond" w:cs="Times New Roman"/>
          <w:sz w:val="24"/>
        </w:rPr>
        <w:t>daquela</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data</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21"/>
          <w:sz w:val="24"/>
        </w:rPr>
        <w:t xml:space="preserve"> </w:t>
      </w:r>
      <w:r w:rsidRPr="00395593">
        <w:rPr>
          <w:rFonts w:ascii="Garamond" w:eastAsia="Times New Roman" w:hAnsi="Garamond" w:cs="Times New Roman"/>
          <w:sz w:val="24"/>
        </w:rPr>
        <w:t>resposta</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solicitação</w:t>
      </w:r>
      <w:r w:rsidR="003D73B4">
        <w:rPr>
          <w:rFonts w:ascii="Garamond" w:eastAsia="Times New Roman" w:hAnsi="Garamond" w:cs="Times New Roman"/>
          <w:sz w:val="24"/>
        </w:rPr>
        <w:t xml:space="preserve"> </w:t>
      </w:r>
      <w:r w:rsidRPr="00395593">
        <w:rPr>
          <w:rFonts w:ascii="Garamond" w:eastAsia="Times New Roman" w:hAnsi="Garamond" w:cs="Times New Roman"/>
          <w:sz w:val="24"/>
          <w:szCs w:val="24"/>
        </w:rPr>
        <w:t>devidamente embasada, formulada pela Indústria nacional ou em seu nome, dentro de prazo</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razoavelmente anterior àquela data que a extinção do direito muito provavelmente levaria à</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 xml:space="preserve">continuação ou à reincidência do subsídio e do dano </w:t>
      </w:r>
      <w:r w:rsidRPr="00395593">
        <w:rPr>
          <w:rFonts w:ascii="Garamond" w:eastAsia="Times New Roman" w:hAnsi="Garamond" w:cs="Times New Roman"/>
          <w:sz w:val="24"/>
          <w:szCs w:val="24"/>
          <w:vertAlign w:val="superscript"/>
        </w:rPr>
        <w:t>52</w:t>
      </w:r>
      <w:r w:rsidRPr="00395593">
        <w:rPr>
          <w:rFonts w:ascii="Garamond" w:eastAsia="Times New Roman" w:hAnsi="Garamond" w:cs="Times New Roman"/>
          <w:sz w:val="24"/>
          <w:szCs w:val="24"/>
        </w:rPr>
        <w:t>. O direito poderá permanecer em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vigor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na dependência 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resultado 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tal revisão.</w:t>
      </w:r>
    </w:p>
    <w:p w14:paraId="6A787E97" w14:textId="77777777" w:rsidR="00CB6C86" w:rsidRPr="00395593" w:rsidRDefault="00CB6C86" w:rsidP="00F240FB">
      <w:pPr>
        <w:widowControl w:val="0"/>
        <w:autoSpaceDE w:val="0"/>
        <w:autoSpaceDN w:val="0"/>
        <w:spacing w:after="0" w:line="240" w:lineRule="auto"/>
        <w:jc w:val="both"/>
        <w:rPr>
          <w:rFonts w:ascii="Garamond" w:eastAsia="Times New Roman" w:hAnsi="Garamond" w:cs="Times New Roman"/>
          <w:sz w:val="24"/>
          <w:szCs w:val="24"/>
        </w:rPr>
      </w:pPr>
    </w:p>
    <w:p w14:paraId="2B9D58E6" w14:textId="77777777" w:rsidR="00CB6C86" w:rsidRPr="00395593" w:rsidRDefault="00CB6C86" w:rsidP="002C4340">
      <w:pPr>
        <w:widowControl w:val="0"/>
        <w:numPr>
          <w:ilvl w:val="0"/>
          <w:numId w:val="44"/>
        </w:numPr>
        <w:tabs>
          <w:tab w:val="left" w:pos="810"/>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O disposto no Artigo 12, com relação a provas e procedimentos, aplicar-se-á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qualquer revisão realizada</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ao abrigo deste Artigo. Toda revisão será realizada rapidamente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estará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formalmente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concluída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prazo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12 meses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contar</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data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seu início.</w:t>
      </w:r>
    </w:p>
    <w:p w14:paraId="4E683490"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0EB55D52" w14:textId="77777777" w:rsidR="00CB6C86" w:rsidRPr="00395593" w:rsidRDefault="00CB6C86" w:rsidP="002C4340">
      <w:pPr>
        <w:widowControl w:val="0"/>
        <w:numPr>
          <w:ilvl w:val="0"/>
          <w:numId w:val="44"/>
        </w:numPr>
        <w:tabs>
          <w:tab w:val="left" w:pos="810"/>
        </w:tabs>
        <w:autoSpaceDE w:val="0"/>
        <w:autoSpaceDN w:val="0"/>
        <w:spacing w:after="0" w:line="240" w:lineRule="auto"/>
        <w:ind w:right="117" w:firstLine="0"/>
        <w:rPr>
          <w:rFonts w:ascii="Garamond" w:eastAsia="Times New Roman" w:hAnsi="Garamond" w:cs="Times New Roman"/>
          <w:sz w:val="24"/>
        </w:rPr>
      </w:pPr>
      <w:r w:rsidRPr="00395593">
        <w:rPr>
          <w:rFonts w:ascii="Garamond" w:eastAsia="Times New Roman" w:hAnsi="Garamond" w:cs="Times New Roman"/>
          <w:sz w:val="24"/>
        </w:rPr>
        <w:t xml:space="preserve">O disposto neste Artigo será aplicado, </w:t>
      </w:r>
      <w:r w:rsidRPr="00395593">
        <w:rPr>
          <w:rFonts w:ascii="Garamond" w:eastAsia="Times New Roman" w:hAnsi="Garamond" w:cs="Times New Roman"/>
          <w:i/>
          <w:sz w:val="24"/>
        </w:rPr>
        <w:t>mutatis mutandis</w:t>
      </w:r>
      <w:r w:rsidRPr="00395593">
        <w:rPr>
          <w:rFonts w:ascii="Garamond" w:eastAsia="Times New Roman" w:hAnsi="Garamond" w:cs="Times New Roman"/>
          <w:sz w:val="24"/>
        </w:rPr>
        <w:t>, aos compromissos aceitos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abrigo do Artigo 18.</w:t>
      </w:r>
    </w:p>
    <w:p w14:paraId="5EC9C092"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7CED7A33"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22</w:t>
      </w:r>
    </w:p>
    <w:p w14:paraId="3D75FC93"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b/>
          <w:sz w:val="24"/>
          <w:szCs w:val="24"/>
        </w:rPr>
      </w:pPr>
    </w:p>
    <w:p w14:paraId="72676B97" w14:textId="77777777" w:rsidR="00CB6C86" w:rsidRPr="00395593" w:rsidRDefault="00CB6C86" w:rsidP="00CB6C86">
      <w:pPr>
        <w:widowControl w:val="0"/>
        <w:autoSpaceDE w:val="0"/>
        <w:autoSpaceDN w:val="0"/>
        <w:spacing w:after="0" w:line="240" w:lineRule="auto"/>
        <w:ind w:right="146"/>
        <w:jc w:val="center"/>
        <w:rPr>
          <w:rFonts w:ascii="Garamond" w:eastAsia="Times New Roman" w:hAnsi="Garamond" w:cs="Times New Roman"/>
          <w:sz w:val="24"/>
          <w:szCs w:val="24"/>
        </w:rPr>
      </w:pPr>
      <w:r w:rsidRPr="00395593">
        <w:rPr>
          <w:rFonts w:ascii="Garamond" w:eastAsia="Times New Roman" w:hAnsi="Garamond" w:cs="Times New Roman"/>
          <w:b/>
          <w:sz w:val="24"/>
          <w:szCs w:val="24"/>
        </w:rPr>
        <w:t>Aviso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Público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e</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Explicação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das</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Determinações</w:t>
      </w:r>
    </w:p>
    <w:p w14:paraId="0497780B"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41E4FEF6" w14:textId="77777777" w:rsidR="00CB6C86" w:rsidRPr="00395593" w:rsidRDefault="00CB6C86" w:rsidP="002C4340">
      <w:pPr>
        <w:widowControl w:val="0"/>
        <w:numPr>
          <w:ilvl w:val="0"/>
          <w:numId w:val="43"/>
        </w:numPr>
        <w:tabs>
          <w:tab w:val="left" w:pos="810"/>
        </w:tabs>
        <w:autoSpaceDE w:val="0"/>
        <w:autoSpaceDN w:val="0"/>
        <w:spacing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Quando as autoridades estiverem convencidas de que existe comprovação suficiente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para justificar o início de investigação de acordo com o Artigo 11, notificarão o Membro ou</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Membros cujos produtos são objeto de tal investigação e outras partes interessadas que 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investigadoras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saibam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matéria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publicar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aviso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correspondente.</w:t>
      </w:r>
    </w:p>
    <w:p w14:paraId="0915E95B"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28A5EE33" w14:textId="77777777" w:rsidR="00CB6C86" w:rsidRPr="00395593" w:rsidRDefault="00CB6C86" w:rsidP="002C4340">
      <w:pPr>
        <w:widowControl w:val="0"/>
        <w:numPr>
          <w:ilvl w:val="0"/>
          <w:numId w:val="43"/>
        </w:numPr>
        <w:tabs>
          <w:tab w:val="left" w:pos="810"/>
        </w:tabs>
        <w:autoSpaceDE w:val="0"/>
        <w:autoSpaceDN w:val="0"/>
        <w:spacing w:after="0" w:line="240" w:lineRule="auto"/>
        <w:ind w:right="125" w:firstLine="0"/>
        <w:jc w:val="both"/>
        <w:rPr>
          <w:rFonts w:ascii="Garamond" w:eastAsia="Times New Roman" w:hAnsi="Garamond" w:cs="Times New Roman"/>
          <w:sz w:val="24"/>
        </w:rPr>
      </w:pPr>
      <w:r w:rsidRPr="00395593">
        <w:rPr>
          <w:rFonts w:ascii="Garamond" w:eastAsia="Times New Roman" w:hAnsi="Garamond" w:cs="Times New Roman"/>
          <w:sz w:val="24"/>
        </w:rPr>
        <w:t>O aviso público de início de investigação conterá ou, alternativamente, fará constar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informe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53</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separado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informações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adequadas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 seguinte:</w:t>
      </w:r>
    </w:p>
    <w:p w14:paraId="00AFDF77"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761C8FE6" w14:textId="77777777" w:rsidR="00CB6C86" w:rsidRPr="00395593" w:rsidRDefault="00CB6C86" w:rsidP="002C4340">
      <w:pPr>
        <w:widowControl w:val="0"/>
        <w:numPr>
          <w:ilvl w:val="0"/>
          <w:numId w:val="42"/>
        </w:numPr>
        <w:tabs>
          <w:tab w:val="left" w:pos="427"/>
        </w:tabs>
        <w:autoSpaceDE w:val="0"/>
        <w:autoSpaceDN w:val="0"/>
        <w:spacing w:after="0" w:line="240" w:lineRule="auto"/>
        <w:jc w:val="both"/>
        <w:rPr>
          <w:rFonts w:ascii="Garamond" w:eastAsia="Times New Roman" w:hAnsi="Garamond" w:cs="Times New Roman"/>
          <w:sz w:val="24"/>
        </w:rPr>
      </w:pPr>
      <w:r w:rsidRPr="00395593">
        <w:rPr>
          <w:rFonts w:ascii="Garamond" w:eastAsia="Times New Roman" w:hAnsi="Garamond" w:cs="Times New Roman"/>
          <w:sz w:val="24"/>
        </w:rPr>
        <w:t>nome</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país(es)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causa;</w:t>
      </w:r>
    </w:p>
    <w:p w14:paraId="40C9692F"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09D51468" w14:textId="77777777" w:rsidR="00CB6C86" w:rsidRPr="00395593" w:rsidRDefault="00CB6C86" w:rsidP="002C4340">
      <w:pPr>
        <w:widowControl w:val="0"/>
        <w:numPr>
          <w:ilvl w:val="0"/>
          <w:numId w:val="42"/>
        </w:numPr>
        <w:tabs>
          <w:tab w:val="left" w:pos="441"/>
        </w:tabs>
        <w:autoSpaceDE w:val="0"/>
        <w:autoSpaceDN w:val="0"/>
        <w:spacing w:before="1" w:after="0" w:line="240" w:lineRule="auto"/>
        <w:ind w:left="440" w:hanging="339"/>
        <w:jc w:val="both"/>
        <w:rPr>
          <w:rFonts w:ascii="Garamond" w:eastAsia="Times New Roman" w:hAnsi="Garamond" w:cs="Times New Roman"/>
          <w:sz w:val="24"/>
        </w:rPr>
      </w:pPr>
      <w:r w:rsidRPr="00395593">
        <w:rPr>
          <w:rFonts w:ascii="Garamond" w:eastAsia="Times New Roman" w:hAnsi="Garamond" w:cs="Times New Roman"/>
          <w:sz w:val="24"/>
        </w:rPr>
        <w:t>data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início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p>
    <w:p w14:paraId="4E7C9593"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1C83004C" w14:textId="77777777" w:rsidR="00CB6C86" w:rsidRPr="00395593" w:rsidRDefault="00CB6C86" w:rsidP="002C4340">
      <w:pPr>
        <w:widowControl w:val="0"/>
        <w:numPr>
          <w:ilvl w:val="0"/>
          <w:numId w:val="42"/>
        </w:numPr>
        <w:tabs>
          <w:tab w:val="left" w:pos="427"/>
        </w:tabs>
        <w:autoSpaceDE w:val="0"/>
        <w:autoSpaceDN w:val="0"/>
        <w:spacing w:after="0" w:line="240" w:lineRule="auto"/>
        <w:jc w:val="both"/>
        <w:rPr>
          <w:rFonts w:ascii="Garamond" w:eastAsia="Times New Roman" w:hAnsi="Garamond" w:cs="Times New Roman"/>
          <w:sz w:val="24"/>
        </w:rPr>
      </w:pPr>
      <w:r w:rsidRPr="00395593">
        <w:rPr>
          <w:rFonts w:ascii="Garamond" w:eastAsia="Times New Roman" w:hAnsi="Garamond" w:cs="Times New Roman"/>
          <w:sz w:val="24"/>
        </w:rPr>
        <w:t>descrição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prática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práticas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6"/>
          <w:sz w:val="24"/>
        </w:rPr>
        <w:t xml:space="preserve"> </w:t>
      </w:r>
      <w:r w:rsidRPr="00395593">
        <w:rPr>
          <w:rFonts w:ascii="Garamond" w:eastAsia="Times New Roman" w:hAnsi="Garamond" w:cs="Times New Roman"/>
          <w:sz w:val="24"/>
        </w:rPr>
        <w:t>serão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investigadas;</w:t>
      </w:r>
    </w:p>
    <w:p w14:paraId="68AF198E"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20745466" w14:textId="77777777" w:rsidR="00CB6C86" w:rsidRPr="00395593" w:rsidRDefault="00CB6C86" w:rsidP="002C4340">
      <w:pPr>
        <w:widowControl w:val="0"/>
        <w:numPr>
          <w:ilvl w:val="0"/>
          <w:numId w:val="42"/>
        </w:numPr>
        <w:tabs>
          <w:tab w:val="left" w:pos="441"/>
        </w:tabs>
        <w:autoSpaceDE w:val="0"/>
        <w:autoSpaceDN w:val="0"/>
        <w:spacing w:after="0" w:line="240" w:lineRule="auto"/>
        <w:ind w:left="440" w:hanging="339"/>
        <w:jc w:val="both"/>
        <w:rPr>
          <w:rFonts w:ascii="Garamond" w:eastAsia="Times New Roman" w:hAnsi="Garamond" w:cs="Times New Roman"/>
          <w:sz w:val="24"/>
        </w:rPr>
      </w:pPr>
      <w:r w:rsidRPr="00395593">
        <w:rPr>
          <w:rFonts w:ascii="Garamond" w:eastAsia="Times New Roman" w:hAnsi="Garamond" w:cs="Times New Roman"/>
          <w:sz w:val="24"/>
        </w:rPr>
        <w:t>resumo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elementos sobre</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os quais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baseia  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alegação 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cano;</w:t>
      </w:r>
    </w:p>
    <w:p w14:paraId="29D6918A"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279A35B9" w14:textId="77777777" w:rsidR="00CB6C86" w:rsidRPr="00395593" w:rsidRDefault="00CB6C86" w:rsidP="002C4340">
      <w:pPr>
        <w:widowControl w:val="0"/>
        <w:numPr>
          <w:ilvl w:val="0"/>
          <w:numId w:val="42"/>
        </w:numPr>
        <w:tabs>
          <w:tab w:val="left" w:pos="448"/>
        </w:tabs>
        <w:autoSpaceDE w:val="0"/>
        <w:autoSpaceDN w:val="0"/>
        <w:spacing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endereço para o qual devem ser enviadas as representações dos Membros interessados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 partes interessadas; e</w:t>
      </w:r>
    </w:p>
    <w:p w14:paraId="620BC4D5"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788B1C48" w14:textId="77777777" w:rsidR="00CB6C86" w:rsidRPr="00395593" w:rsidRDefault="00CB6C86" w:rsidP="002C4340">
      <w:pPr>
        <w:widowControl w:val="0"/>
        <w:numPr>
          <w:ilvl w:val="0"/>
          <w:numId w:val="42"/>
        </w:numPr>
        <w:tabs>
          <w:tab w:val="left" w:pos="465"/>
        </w:tabs>
        <w:autoSpaceDE w:val="0"/>
        <w:autoSpaceDN w:val="0"/>
        <w:spacing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prazos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outorgados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conhecer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suas posições.</w:t>
      </w:r>
    </w:p>
    <w:p w14:paraId="0BC8EE7F"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367226D3" w14:textId="0F9EF753" w:rsidR="00CB6C86" w:rsidRPr="00395593" w:rsidRDefault="00CB6C86" w:rsidP="002C4340">
      <w:pPr>
        <w:widowControl w:val="0"/>
        <w:numPr>
          <w:ilvl w:val="0"/>
          <w:numId w:val="43"/>
        </w:numPr>
        <w:tabs>
          <w:tab w:val="left" w:pos="810"/>
        </w:tabs>
        <w:autoSpaceDE w:val="0"/>
        <w:autoSpaceDN w:val="0"/>
        <w:spacing w:before="1"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Far-se-á publicar aviso sobre qualquer determinação, preliminar ou final, afirmativa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negativa,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qualquer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decisão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aceitar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compromisso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abrigo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18,</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w:t>
      </w:r>
    </w:p>
    <w:p w14:paraId="6082F2A2" w14:textId="082EEEC9" w:rsidR="00D65665" w:rsidRDefault="00D65665" w:rsidP="00D65665">
      <w:pPr>
        <w:widowControl w:val="0"/>
        <w:tabs>
          <w:tab w:val="left" w:pos="810"/>
        </w:tabs>
        <w:autoSpaceDE w:val="0"/>
        <w:autoSpaceDN w:val="0"/>
        <w:spacing w:before="1" w:after="0" w:line="240" w:lineRule="auto"/>
        <w:ind w:right="123"/>
        <w:jc w:val="both"/>
        <w:rPr>
          <w:rFonts w:ascii="Garamond" w:eastAsia="Times New Roman" w:hAnsi="Garamond" w:cs="Times New Roman"/>
          <w:sz w:val="24"/>
        </w:rPr>
      </w:pPr>
    </w:p>
    <w:p w14:paraId="0B8B58FC" w14:textId="0F02F383" w:rsidR="00D65665" w:rsidRDefault="00D65665" w:rsidP="00D65665">
      <w:pPr>
        <w:widowControl w:val="0"/>
        <w:tabs>
          <w:tab w:val="left" w:pos="810"/>
        </w:tabs>
        <w:autoSpaceDE w:val="0"/>
        <w:autoSpaceDN w:val="0"/>
        <w:spacing w:before="1" w:after="0" w:line="240" w:lineRule="auto"/>
        <w:ind w:right="123"/>
        <w:jc w:val="both"/>
        <w:rPr>
          <w:rFonts w:ascii="Garamond" w:eastAsia="Times New Roman" w:hAnsi="Garamond" w:cs="Times New Roman"/>
          <w:sz w:val="24"/>
        </w:rPr>
      </w:pPr>
    </w:p>
    <w:p w14:paraId="7F4491DF" w14:textId="4B683F92" w:rsidR="00D65665" w:rsidRDefault="00D65665" w:rsidP="00D65665">
      <w:pPr>
        <w:widowControl w:val="0"/>
        <w:tabs>
          <w:tab w:val="left" w:pos="810"/>
        </w:tabs>
        <w:autoSpaceDE w:val="0"/>
        <w:autoSpaceDN w:val="0"/>
        <w:spacing w:before="1" w:after="0" w:line="240" w:lineRule="auto"/>
        <w:ind w:right="123"/>
        <w:jc w:val="both"/>
        <w:rPr>
          <w:rFonts w:ascii="Garamond" w:eastAsia="Times New Roman" w:hAnsi="Garamond" w:cs="Times New Roman"/>
          <w:sz w:val="24"/>
        </w:rPr>
      </w:pPr>
    </w:p>
    <w:p w14:paraId="795BA9CA" w14:textId="6F1627F4" w:rsidR="00D65665" w:rsidRDefault="00D65665" w:rsidP="00D65665">
      <w:pPr>
        <w:widowControl w:val="0"/>
        <w:tabs>
          <w:tab w:val="left" w:pos="810"/>
        </w:tabs>
        <w:autoSpaceDE w:val="0"/>
        <w:autoSpaceDN w:val="0"/>
        <w:spacing w:before="1" w:after="0" w:line="240" w:lineRule="auto"/>
        <w:ind w:right="123"/>
        <w:jc w:val="both"/>
        <w:rPr>
          <w:rFonts w:ascii="Garamond" w:eastAsia="Times New Roman" w:hAnsi="Garamond" w:cs="Times New Roman"/>
          <w:sz w:val="24"/>
        </w:rPr>
      </w:pPr>
    </w:p>
    <w:p w14:paraId="4007BE51" w14:textId="36BA14E6" w:rsidR="00D65665" w:rsidRDefault="00D65665" w:rsidP="00D65665">
      <w:pPr>
        <w:widowControl w:val="0"/>
        <w:tabs>
          <w:tab w:val="left" w:pos="810"/>
        </w:tabs>
        <w:autoSpaceDE w:val="0"/>
        <w:autoSpaceDN w:val="0"/>
        <w:spacing w:before="1" w:after="0" w:line="240" w:lineRule="auto"/>
        <w:ind w:right="123"/>
        <w:jc w:val="both"/>
        <w:rPr>
          <w:rFonts w:ascii="Garamond" w:eastAsia="Times New Roman" w:hAnsi="Garamond" w:cs="Times New Roman"/>
          <w:sz w:val="24"/>
        </w:rPr>
      </w:pPr>
    </w:p>
    <w:p w14:paraId="1BC097DE" w14:textId="77777777" w:rsidR="00D65665" w:rsidRPr="005C5CBD" w:rsidRDefault="00D65665" w:rsidP="00D65665">
      <w:pPr>
        <w:widowControl w:val="0"/>
        <w:tabs>
          <w:tab w:val="left" w:pos="810"/>
        </w:tabs>
        <w:autoSpaceDE w:val="0"/>
        <w:autoSpaceDN w:val="0"/>
        <w:spacing w:before="1" w:after="0" w:line="240" w:lineRule="auto"/>
        <w:ind w:right="123"/>
        <w:jc w:val="both"/>
        <w:rPr>
          <w:rFonts w:ascii="Garamond" w:eastAsia="Times New Roman" w:hAnsi="Garamond" w:cs="Times New Roman"/>
          <w:sz w:val="24"/>
        </w:rPr>
      </w:pPr>
    </w:p>
    <w:p w14:paraId="71A5D9E3" w14:textId="2EA41A39" w:rsidR="00CB6C86" w:rsidRPr="00395593" w:rsidRDefault="00CB6C86" w:rsidP="00CB6C86">
      <w:pPr>
        <w:widowControl w:val="0"/>
        <w:autoSpaceDE w:val="0"/>
        <w:autoSpaceDN w:val="0"/>
        <w:spacing w:before="10" w:after="0" w:line="240" w:lineRule="auto"/>
        <w:rPr>
          <w:rFonts w:ascii="Garamond" w:eastAsia="Times New Roman" w:hAnsi="Garamond" w:cs="Times New Roman"/>
          <w:sz w:val="14"/>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80" behindDoc="1" locked="0" layoutInCell="1" allowOverlap="1" wp14:anchorId="337CCE34" wp14:editId="2A4EDDEA">
                <wp:simplePos x="0" y="0"/>
                <wp:positionH relativeFrom="page">
                  <wp:posOffset>1080770</wp:posOffset>
                </wp:positionH>
                <wp:positionV relativeFrom="paragraph">
                  <wp:posOffset>124460</wp:posOffset>
                </wp:positionV>
                <wp:extent cx="1828800" cy="7620"/>
                <wp:effectExtent l="4445" t="0" r="0" b="3810"/>
                <wp:wrapTopAndBottom/>
                <wp:docPr id="413" name="Retângulo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9FB72" id="Retângulo 413" o:spid="_x0000_s1026" style="position:absolute;margin-left:85.1pt;margin-top:9.8pt;width:2in;height:.6pt;z-index:-251658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" fillcolor="black" stroked="f">
                <w10:wrap type="topAndBottom" anchorx="page"/>
              </v:rect>
            </w:pict>
          </mc:Fallback>
        </mc:AlternateContent>
      </w:r>
    </w:p>
    <w:p w14:paraId="02A4BE79" w14:textId="77777777" w:rsidR="00CB6C86" w:rsidRPr="00E27F2A" w:rsidRDefault="00CB6C86" w:rsidP="00CB6C86">
      <w:pPr>
        <w:widowControl w:val="0"/>
        <w:autoSpaceDE w:val="0"/>
        <w:autoSpaceDN w:val="0"/>
        <w:spacing w:before="103" w:after="0" w:line="240" w:lineRule="auto"/>
        <w:ind w:right="123"/>
        <w:jc w:val="both"/>
        <w:rPr>
          <w:rFonts w:ascii="Garamond" w:eastAsia="Times New Roman" w:hAnsi="Garamond" w:cs="Times New Roman"/>
          <w:sz w:val="20"/>
        </w:rPr>
      </w:pPr>
      <w:r w:rsidRPr="00E27F2A">
        <w:rPr>
          <w:rFonts w:ascii="Garamond" w:eastAsia="Times New Roman" w:hAnsi="Garamond" w:cs="Times New Roman"/>
          <w:sz w:val="20"/>
          <w:vertAlign w:val="superscript"/>
        </w:rPr>
        <w:t>52</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Quando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montante</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do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direito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compensatório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tenha</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sido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imposto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em</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termos</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retroativos,</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se,</w:t>
      </w:r>
      <w:r w:rsidRPr="00E27F2A">
        <w:rPr>
          <w:rFonts w:ascii="Garamond" w:eastAsia="Times New Roman" w:hAnsi="Garamond" w:cs="Times New Roman"/>
          <w:spacing w:val="50"/>
          <w:sz w:val="20"/>
        </w:rPr>
        <w:t xml:space="preserve"> </w:t>
      </w:r>
      <w:r w:rsidRPr="00E27F2A">
        <w:rPr>
          <w:rFonts w:ascii="Garamond" w:eastAsia="Times New Roman" w:hAnsi="Garamond" w:cs="Times New Roman"/>
          <w:sz w:val="20"/>
        </w:rPr>
        <w:t>no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procedimento mais recente de fixação dessa quantia, tenha-se concluído que não se deve impor qualquer</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direito,</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tal</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conclusão não obrigará, em</w:t>
      </w:r>
      <w:r w:rsidRPr="00E27F2A">
        <w:rPr>
          <w:rFonts w:ascii="Garamond" w:eastAsia="Times New Roman" w:hAnsi="Garamond" w:cs="Times New Roman"/>
          <w:spacing w:val="-5"/>
          <w:sz w:val="20"/>
        </w:rPr>
        <w:t xml:space="preserve"> </w:t>
      </w:r>
      <w:r w:rsidRPr="00E27F2A">
        <w:rPr>
          <w:rFonts w:ascii="Garamond" w:eastAsia="Times New Roman" w:hAnsi="Garamond" w:cs="Times New Roman"/>
          <w:sz w:val="20"/>
        </w:rPr>
        <w:t>si</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mesma, a</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que</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as</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autoridades</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suprimam</w:t>
      </w:r>
      <w:r w:rsidRPr="00E27F2A">
        <w:rPr>
          <w:rFonts w:ascii="Garamond" w:eastAsia="Times New Roman" w:hAnsi="Garamond" w:cs="Times New Roman"/>
          <w:spacing w:val="6"/>
          <w:sz w:val="20"/>
        </w:rPr>
        <w:t xml:space="preserve"> </w:t>
      </w:r>
      <w:r w:rsidRPr="00E27F2A">
        <w:rPr>
          <w:rFonts w:ascii="Garamond" w:eastAsia="Times New Roman" w:hAnsi="Garamond" w:cs="Times New Roman"/>
          <w:sz w:val="20"/>
        </w:rPr>
        <w:t>o direito definitivo.</w:t>
      </w:r>
    </w:p>
    <w:p w14:paraId="052BD5BE" w14:textId="77777777" w:rsidR="00CB6C86" w:rsidRPr="00395593" w:rsidRDefault="00CB6C86" w:rsidP="00CB6C86">
      <w:pPr>
        <w:widowControl w:val="0"/>
        <w:autoSpaceDE w:val="0"/>
        <w:autoSpaceDN w:val="0"/>
        <w:spacing w:before="2" w:after="0" w:line="240" w:lineRule="auto"/>
        <w:ind w:right="127"/>
        <w:jc w:val="both"/>
        <w:rPr>
          <w:rFonts w:ascii="Garamond" w:eastAsia="Times New Roman" w:hAnsi="Garamond" w:cs="Times New Roman"/>
          <w:sz w:val="20"/>
        </w:rPr>
      </w:pPr>
      <w:r w:rsidRPr="00E27F2A">
        <w:rPr>
          <w:rFonts w:ascii="Garamond" w:eastAsia="Times New Roman" w:hAnsi="Garamond" w:cs="Times New Roman"/>
          <w:sz w:val="20"/>
          <w:vertAlign w:val="superscript"/>
        </w:rPr>
        <w:t>53</w:t>
      </w:r>
      <w:r w:rsidRPr="00E27F2A">
        <w:rPr>
          <w:rFonts w:ascii="Garamond" w:eastAsia="Times New Roman" w:hAnsi="Garamond" w:cs="Times New Roman"/>
          <w:sz w:val="20"/>
        </w:rPr>
        <w:t xml:space="preserve"> Sempre que, à luz deste Artigo, forneçam informações e explicações por meio de informe em separado, as</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autoridades</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cuidarão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para</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que</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o mesmo</w:t>
      </w:r>
      <w:r w:rsidRPr="00E27F2A">
        <w:rPr>
          <w:rFonts w:ascii="Garamond" w:eastAsia="Times New Roman" w:hAnsi="Garamond" w:cs="Times New Roman"/>
          <w:spacing w:val="3"/>
          <w:sz w:val="20"/>
        </w:rPr>
        <w:t xml:space="preserve"> </w:t>
      </w:r>
      <w:r w:rsidRPr="00E27F2A">
        <w:rPr>
          <w:rFonts w:ascii="Garamond" w:eastAsia="Times New Roman" w:hAnsi="Garamond" w:cs="Times New Roman"/>
          <w:sz w:val="20"/>
        </w:rPr>
        <w:t>seja</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facilmente acessível</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ao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público.</w:t>
      </w:r>
    </w:p>
    <w:p w14:paraId="008E85EB" w14:textId="77777777" w:rsidR="004A450E" w:rsidRPr="005C5CBD" w:rsidRDefault="004A450E" w:rsidP="00E33E26">
      <w:pPr>
        <w:widowControl w:val="0"/>
        <w:autoSpaceDE w:val="0"/>
        <w:autoSpaceDN w:val="0"/>
        <w:spacing w:before="68" w:after="0" w:line="240" w:lineRule="auto"/>
        <w:ind w:right="119"/>
        <w:jc w:val="both"/>
        <w:rPr>
          <w:rFonts w:ascii="Garamond" w:eastAsia="Times New Roman" w:hAnsi="Garamond" w:cs="Times New Roman"/>
          <w:sz w:val="24"/>
          <w:szCs w:val="24"/>
        </w:rPr>
      </w:pPr>
    </w:p>
    <w:p w14:paraId="6C2E7154" w14:textId="1C6F9AB3" w:rsidR="00CB6C86" w:rsidRPr="00395593" w:rsidRDefault="00CB6C86" w:rsidP="000A5EB5">
      <w:pPr>
        <w:widowControl w:val="0"/>
        <w:autoSpaceDE w:val="0"/>
        <w:autoSpaceDN w:val="0"/>
        <w:spacing w:before="68" w:after="0" w:line="240" w:lineRule="auto"/>
        <w:ind w:right="119"/>
        <w:jc w:val="both"/>
        <w:rPr>
          <w:rFonts w:ascii="Garamond" w:eastAsia="Times New Roman" w:hAnsi="Garamond" w:cs="Times New Roman"/>
          <w:sz w:val="24"/>
          <w:szCs w:val="24"/>
        </w:rPr>
      </w:pPr>
      <w:r w:rsidRPr="00395593">
        <w:rPr>
          <w:rFonts w:ascii="Garamond" w:eastAsia="Times New Roman" w:hAnsi="Garamond" w:cs="Times New Roman"/>
          <w:sz w:val="24"/>
          <w:szCs w:val="24"/>
        </w:rPr>
        <w:t>extinção de tal compromisso e sobre a extinção de direito compensatório definitivo. Todo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aviso dessa natureza conterá, ou</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far-se-á acompanhar de informação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em separado que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contenha, com suficiente pormenorização, as constatações e as conclusões sobre todas 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matérias de fato e de direito a que tenham chegado as autoridades investigadoras. Todo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aviso ou informe dessa natureza será enviado ao Membro ou Membros, cujos produtos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sejam objeto de tal determinação ou compromisso e a outras partes de cujo interesse se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tenha</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sz w:val="24"/>
          <w:szCs w:val="24"/>
        </w:rPr>
        <w:t>conhecimento.</w:t>
      </w:r>
    </w:p>
    <w:p w14:paraId="4CBE89CB"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44B90856" w14:textId="77777777" w:rsidR="00CB6C86" w:rsidRPr="00395593" w:rsidRDefault="00CB6C86" w:rsidP="002C4340">
      <w:pPr>
        <w:widowControl w:val="0"/>
        <w:numPr>
          <w:ilvl w:val="0"/>
          <w:numId w:val="43"/>
        </w:numPr>
        <w:tabs>
          <w:tab w:val="left" w:pos="426"/>
        </w:tabs>
        <w:autoSpaceDE w:val="0"/>
        <w:autoSpaceDN w:val="0"/>
        <w:spacing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aviso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público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imposição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medidas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provisórias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conterá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far-se-á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acompanhar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separado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contenha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explicações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suficientemente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pormenorizadas sobre as determinações preliminares de existência de subsídio e dano e fará</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referência às matérias de fato e de direito que tenham conduzido à aceitação ou a rejeição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argumentos.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desconsiderar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prescrito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proteção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confidenciais,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aviso ou o relatório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conterão, especialmente:</w:t>
      </w:r>
    </w:p>
    <w:p w14:paraId="0981B20C" w14:textId="77777777" w:rsidR="00CB6C86" w:rsidRPr="00395593" w:rsidRDefault="00CB6C86" w:rsidP="000A5EB5">
      <w:pPr>
        <w:widowControl w:val="0"/>
        <w:autoSpaceDE w:val="0"/>
        <w:autoSpaceDN w:val="0"/>
        <w:spacing w:before="1" w:after="0" w:line="240" w:lineRule="auto"/>
        <w:jc w:val="both"/>
        <w:rPr>
          <w:rFonts w:ascii="Garamond" w:eastAsia="Times New Roman" w:hAnsi="Garamond" w:cs="Times New Roman"/>
          <w:sz w:val="24"/>
          <w:szCs w:val="24"/>
        </w:rPr>
      </w:pPr>
    </w:p>
    <w:p w14:paraId="4F9831ED" w14:textId="77777777" w:rsidR="00CB6C86" w:rsidRPr="00395593" w:rsidRDefault="00CB6C86" w:rsidP="002C4340">
      <w:pPr>
        <w:widowControl w:val="0"/>
        <w:numPr>
          <w:ilvl w:val="1"/>
          <w:numId w:val="43"/>
        </w:numPr>
        <w:tabs>
          <w:tab w:val="left" w:pos="1173"/>
        </w:tabs>
        <w:autoSpaceDE w:val="0"/>
        <w:autoSpaceDN w:val="0"/>
        <w:spacing w:after="0" w:line="240" w:lineRule="auto"/>
        <w:ind w:left="1181" w:right="120" w:hanging="360"/>
        <w:jc w:val="both"/>
        <w:rPr>
          <w:rFonts w:ascii="Garamond" w:eastAsia="Times New Roman" w:hAnsi="Garamond" w:cs="Times New Roman"/>
          <w:sz w:val="24"/>
        </w:rPr>
      </w:pPr>
      <w:r w:rsidRPr="00395593">
        <w:rPr>
          <w:rFonts w:ascii="Garamond" w:eastAsia="Times New Roman" w:hAnsi="Garamond" w:cs="Times New Roman"/>
          <w:sz w:val="24"/>
        </w:rPr>
        <w:t>nomes</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dos</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fornecedores</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quando</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tal</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for</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impraticável,</w:t>
      </w:r>
      <w:r w:rsidRPr="00395593">
        <w:rPr>
          <w:rFonts w:ascii="Garamond" w:eastAsia="Times New Roman" w:hAnsi="Garamond" w:cs="Times New Roman"/>
          <w:spacing w:val="4"/>
          <w:sz w:val="24"/>
        </w:rPr>
        <w:t xml:space="preserve"> </w:t>
      </w:r>
      <w:r w:rsidRPr="00395593">
        <w:rPr>
          <w:rFonts w:ascii="Garamond" w:eastAsia="Times New Roman" w:hAnsi="Garamond" w:cs="Times New Roman"/>
          <w:sz w:val="24"/>
        </w:rPr>
        <w:t>nomes</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dos</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países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fornecedores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envolvidos;</w:t>
      </w:r>
    </w:p>
    <w:p w14:paraId="1CC03A73"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158F1018" w14:textId="77777777" w:rsidR="00CB6C86" w:rsidRPr="00395593" w:rsidRDefault="00CB6C86" w:rsidP="002C4340">
      <w:pPr>
        <w:widowControl w:val="0"/>
        <w:numPr>
          <w:ilvl w:val="1"/>
          <w:numId w:val="43"/>
        </w:numPr>
        <w:tabs>
          <w:tab w:val="left" w:pos="1176"/>
        </w:tabs>
        <w:autoSpaceDE w:val="0"/>
        <w:autoSpaceDN w:val="0"/>
        <w:spacing w:after="0" w:line="240" w:lineRule="auto"/>
        <w:ind w:left="1175" w:hanging="355"/>
        <w:jc w:val="both"/>
        <w:rPr>
          <w:rFonts w:ascii="Garamond" w:eastAsia="Times New Roman" w:hAnsi="Garamond" w:cs="Times New Roman"/>
          <w:sz w:val="24"/>
        </w:rPr>
      </w:pPr>
      <w:r w:rsidRPr="00395593">
        <w:rPr>
          <w:rFonts w:ascii="Garamond" w:eastAsia="Times New Roman" w:hAnsi="Garamond" w:cs="Times New Roman"/>
          <w:sz w:val="24"/>
        </w:rPr>
        <w:t>descrição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suficiente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papa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efeitos aduaneiros;</w:t>
      </w:r>
    </w:p>
    <w:p w14:paraId="2C6912AE"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55FE6C42" w14:textId="77777777" w:rsidR="00CB6C86" w:rsidRPr="00395593" w:rsidRDefault="00CB6C86" w:rsidP="002C4340">
      <w:pPr>
        <w:widowControl w:val="0"/>
        <w:numPr>
          <w:ilvl w:val="1"/>
          <w:numId w:val="43"/>
        </w:numPr>
        <w:tabs>
          <w:tab w:val="left" w:pos="1252"/>
        </w:tabs>
        <w:autoSpaceDE w:val="0"/>
        <w:autoSpaceDN w:val="0"/>
        <w:spacing w:after="0" w:line="240" w:lineRule="auto"/>
        <w:ind w:left="1181" w:right="126" w:hanging="360"/>
        <w:jc w:val="both"/>
        <w:rPr>
          <w:rFonts w:ascii="Garamond" w:eastAsia="Times New Roman" w:hAnsi="Garamond" w:cs="Times New Roman"/>
          <w:sz w:val="24"/>
        </w:rPr>
      </w:pPr>
      <w:r w:rsidRPr="00395593">
        <w:rPr>
          <w:rFonts w:ascii="Garamond" w:eastAsia="Times New Roman" w:hAnsi="Garamond" w:cs="Times New Roman"/>
          <w:sz w:val="24"/>
        </w:rPr>
        <w:t>valor</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estabelecido</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6"/>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base</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6"/>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qual</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tenha</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determinado</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existência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subsídio;</w:t>
      </w:r>
    </w:p>
    <w:p w14:paraId="1C8C1205"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449C0ED3" w14:textId="77777777" w:rsidR="00CB6C86" w:rsidRPr="00395593" w:rsidRDefault="00CB6C86" w:rsidP="002C4340">
      <w:pPr>
        <w:widowControl w:val="0"/>
        <w:numPr>
          <w:ilvl w:val="1"/>
          <w:numId w:val="43"/>
        </w:numPr>
        <w:tabs>
          <w:tab w:val="left" w:pos="1237"/>
        </w:tabs>
        <w:autoSpaceDE w:val="0"/>
        <w:autoSpaceDN w:val="0"/>
        <w:spacing w:after="0" w:line="240" w:lineRule="auto"/>
        <w:ind w:left="1181" w:right="122" w:hanging="360"/>
        <w:jc w:val="both"/>
        <w:rPr>
          <w:rFonts w:ascii="Garamond" w:eastAsia="Times New Roman" w:hAnsi="Garamond" w:cs="Times New Roman"/>
          <w:sz w:val="24"/>
        </w:rPr>
      </w:pPr>
      <w:r w:rsidRPr="00395593">
        <w:rPr>
          <w:rFonts w:ascii="Garamond" w:eastAsia="Times New Roman" w:hAnsi="Garamond" w:cs="Times New Roman"/>
          <w:sz w:val="24"/>
        </w:rPr>
        <w:t>considerações</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relacionadas</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determinação</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9"/>
          <w:sz w:val="24"/>
        </w:rPr>
        <w:t xml:space="preserve"> </w:t>
      </w:r>
      <w:r w:rsidRPr="00395593">
        <w:rPr>
          <w:rFonts w:ascii="Garamond" w:eastAsia="Times New Roman" w:hAnsi="Garamond" w:cs="Times New Roman"/>
          <w:sz w:val="24"/>
        </w:rPr>
        <w:t>dano,</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conforme</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disposto</w:t>
      </w:r>
      <w:r w:rsidRPr="00395593">
        <w:rPr>
          <w:rFonts w:ascii="Garamond" w:eastAsia="Times New Roman" w:hAnsi="Garamond" w:cs="Times New Roman"/>
          <w:spacing w:val="8"/>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Artigo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15;</w:t>
      </w:r>
    </w:p>
    <w:p w14:paraId="31F199A8"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1CA0962E" w14:textId="77777777" w:rsidR="00CB6C86" w:rsidRPr="00395593" w:rsidRDefault="00CB6C86" w:rsidP="002C4340">
      <w:pPr>
        <w:widowControl w:val="0"/>
        <w:numPr>
          <w:ilvl w:val="1"/>
          <w:numId w:val="43"/>
        </w:numPr>
        <w:tabs>
          <w:tab w:val="left" w:pos="1161"/>
        </w:tabs>
        <w:autoSpaceDE w:val="0"/>
        <w:autoSpaceDN w:val="0"/>
        <w:spacing w:before="1" w:after="0" w:line="240" w:lineRule="auto"/>
        <w:ind w:left="1160" w:hanging="340"/>
        <w:jc w:val="both"/>
        <w:rPr>
          <w:rFonts w:ascii="Garamond" w:eastAsia="Times New Roman" w:hAnsi="Garamond" w:cs="Times New Roman"/>
          <w:sz w:val="24"/>
        </w:rPr>
      </w:pP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razões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principais que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levaram 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determinação.</w:t>
      </w:r>
    </w:p>
    <w:p w14:paraId="57AE1583" w14:textId="77777777" w:rsidR="00CB6C86" w:rsidRPr="00395593" w:rsidRDefault="00CB6C86" w:rsidP="000A5EB5">
      <w:pPr>
        <w:widowControl w:val="0"/>
        <w:autoSpaceDE w:val="0"/>
        <w:autoSpaceDN w:val="0"/>
        <w:spacing w:before="11" w:after="0" w:line="240" w:lineRule="auto"/>
        <w:jc w:val="both"/>
        <w:rPr>
          <w:rFonts w:ascii="Garamond" w:eastAsia="Times New Roman" w:hAnsi="Garamond" w:cs="Times New Roman"/>
          <w:sz w:val="23"/>
          <w:szCs w:val="24"/>
        </w:rPr>
      </w:pPr>
    </w:p>
    <w:p w14:paraId="4C7C2246" w14:textId="77777777" w:rsidR="00CB6C86" w:rsidRPr="00395593" w:rsidRDefault="00CB6C86" w:rsidP="002C4340">
      <w:pPr>
        <w:widowControl w:val="0"/>
        <w:numPr>
          <w:ilvl w:val="1"/>
          <w:numId w:val="42"/>
        </w:numPr>
        <w:tabs>
          <w:tab w:val="left" w:pos="885"/>
        </w:tabs>
        <w:autoSpaceDE w:val="0"/>
        <w:autoSpaceDN w:val="0"/>
        <w:spacing w:after="0" w:line="240" w:lineRule="auto"/>
        <w:ind w:right="118" w:firstLine="359"/>
        <w:jc w:val="both"/>
        <w:rPr>
          <w:rFonts w:ascii="Garamond" w:eastAsia="Times New Roman" w:hAnsi="Garamond" w:cs="Times New Roman"/>
          <w:sz w:val="24"/>
        </w:rPr>
      </w:pP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aviso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público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conclusão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suspensão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positiva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preveja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imposição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definitivo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aceitação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compromisso, conterá ou far-se-á acompanhar de informe em separado que contenha todas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 informações relacionadas com as matérias de fato e de direito e as razões que levaram 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imposição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medidas</w:t>
      </w:r>
      <w:r w:rsidRPr="00395593">
        <w:rPr>
          <w:rFonts w:ascii="Garamond" w:eastAsia="Times New Roman" w:hAnsi="Garamond" w:cs="Times New Roman"/>
          <w:spacing w:val="59"/>
          <w:sz w:val="24"/>
        </w:rPr>
        <w:t xml:space="preserve"> </w:t>
      </w:r>
      <w:r w:rsidRPr="00395593">
        <w:rPr>
          <w:rFonts w:ascii="Garamond" w:eastAsia="Times New Roman" w:hAnsi="Garamond" w:cs="Times New Roman"/>
          <w:sz w:val="24"/>
        </w:rPr>
        <w:t>definitivas</w:t>
      </w:r>
      <w:r w:rsidRPr="00395593">
        <w:rPr>
          <w:rFonts w:ascii="Garamond" w:eastAsia="Times New Roman" w:hAnsi="Garamond" w:cs="Times New Roman"/>
          <w:spacing w:val="59"/>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56"/>
          <w:sz w:val="24"/>
        </w:rPr>
        <w:t xml:space="preserve"> </w:t>
      </w:r>
      <w:r w:rsidRPr="00395593">
        <w:rPr>
          <w:rFonts w:ascii="Garamond" w:eastAsia="Times New Roman" w:hAnsi="Garamond" w:cs="Times New Roman"/>
          <w:sz w:val="24"/>
        </w:rPr>
        <w:t>aceitação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compromisso,</w:t>
      </w:r>
      <w:r w:rsidRPr="00395593">
        <w:rPr>
          <w:rFonts w:ascii="Garamond" w:eastAsia="Times New Roman" w:hAnsi="Garamond" w:cs="Times New Roman"/>
          <w:spacing w:val="59"/>
          <w:sz w:val="24"/>
        </w:rPr>
        <w:t xml:space="preserve"> </w:t>
      </w:r>
      <w:r w:rsidRPr="00395593">
        <w:rPr>
          <w:rFonts w:ascii="Garamond" w:eastAsia="Times New Roman" w:hAnsi="Garamond" w:cs="Times New Roman"/>
          <w:sz w:val="24"/>
        </w:rPr>
        <w:t>sempre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levando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na</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devida conta a necessidade de se proteger informação confidencial. Em especial, o aviso ou</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informe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conterá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descrita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4(a),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assim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razões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aceitação ou rejeição dos argumentos ou alegações pertinentes apresentados pelos Membros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interessados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 pelas partes interessadas.</w:t>
      </w:r>
    </w:p>
    <w:p w14:paraId="513BAF8B" w14:textId="77777777" w:rsidR="00CB6C86" w:rsidRPr="00395593" w:rsidRDefault="00CB6C86" w:rsidP="000A5EB5">
      <w:pPr>
        <w:widowControl w:val="0"/>
        <w:autoSpaceDE w:val="0"/>
        <w:autoSpaceDN w:val="0"/>
        <w:spacing w:before="1" w:after="0" w:line="240" w:lineRule="auto"/>
        <w:jc w:val="both"/>
        <w:rPr>
          <w:rFonts w:ascii="Garamond" w:eastAsia="Times New Roman" w:hAnsi="Garamond" w:cs="Times New Roman"/>
          <w:sz w:val="24"/>
          <w:szCs w:val="24"/>
        </w:rPr>
      </w:pPr>
    </w:p>
    <w:p w14:paraId="79CA58B6" w14:textId="77777777" w:rsidR="00CB6C86" w:rsidRPr="00395593" w:rsidRDefault="00CB6C86" w:rsidP="002C4340">
      <w:pPr>
        <w:widowControl w:val="0"/>
        <w:numPr>
          <w:ilvl w:val="1"/>
          <w:numId w:val="42"/>
        </w:numPr>
        <w:tabs>
          <w:tab w:val="left" w:pos="832"/>
        </w:tabs>
        <w:autoSpaceDE w:val="0"/>
        <w:autoSpaceDN w:val="0"/>
        <w:spacing w:after="0" w:line="240" w:lineRule="auto"/>
        <w:ind w:right="118" w:firstLine="359"/>
        <w:jc w:val="both"/>
        <w:rPr>
          <w:rFonts w:ascii="Garamond" w:eastAsia="Times New Roman" w:hAnsi="Garamond" w:cs="Times New Roman"/>
          <w:sz w:val="24"/>
        </w:rPr>
      </w:pPr>
      <w:r w:rsidRPr="00395593">
        <w:rPr>
          <w:rFonts w:ascii="Garamond" w:eastAsia="Times New Roman" w:hAnsi="Garamond" w:cs="Times New Roman"/>
          <w:sz w:val="24"/>
        </w:rPr>
        <w:t>O aviso público,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 extinção ou suspensão de investigação em conseqüência 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aceitação de compromisso do acordo com o artigo 18 incluíra, OU far-se-á acompanhar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separado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inclua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ostensiva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compromisso.</w:t>
      </w:r>
    </w:p>
    <w:p w14:paraId="62BA2990"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1AD96570" w14:textId="77777777" w:rsidR="00CB6C86" w:rsidRPr="00395593" w:rsidRDefault="00CB6C86" w:rsidP="002C4340">
      <w:pPr>
        <w:widowControl w:val="0"/>
        <w:numPr>
          <w:ilvl w:val="0"/>
          <w:numId w:val="43"/>
        </w:numPr>
        <w:tabs>
          <w:tab w:val="left" w:pos="810"/>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 xml:space="preserve">O disposto neste Artigo será aplicado, </w:t>
      </w:r>
      <w:r w:rsidRPr="00395593">
        <w:rPr>
          <w:rFonts w:ascii="Garamond" w:eastAsia="Times New Roman" w:hAnsi="Garamond" w:cs="Times New Roman"/>
          <w:i/>
          <w:sz w:val="24"/>
        </w:rPr>
        <w:t>mutatis mutandis</w:t>
      </w:r>
      <w:r w:rsidRPr="00395593">
        <w:rPr>
          <w:rFonts w:ascii="Garamond" w:eastAsia="Times New Roman" w:hAnsi="Garamond" w:cs="Times New Roman"/>
          <w:sz w:val="24"/>
        </w:rPr>
        <w:t>, ao início e ao termino 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revisões, de acordo com o disposto no Artigo 21, e a decisões sobre aplicação retroativa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prevista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Artigo 20.</w:t>
      </w:r>
    </w:p>
    <w:p w14:paraId="5D56A22F" w14:textId="77777777" w:rsidR="004A450E" w:rsidRPr="005C5CBD" w:rsidRDefault="004A450E"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5C5CBD">
        <w:rPr>
          <w:rFonts w:ascii="Garamond" w:eastAsia="Times New Roman" w:hAnsi="Garamond" w:cs="Times New Roman"/>
          <w:b/>
          <w:sz w:val="24"/>
          <w:szCs w:val="24"/>
        </w:rPr>
        <w:br w:type="page"/>
      </w:r>
    </w:p>
    <w:p w14:paraId="45108ED1" w14:textId="4C67E752" w:rsidR="00CB6C86"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23</w:t>
      </w:r>
    </w:p>
    <w:p w14:paraId="49221A51" w14:textId="77777777" w:rsidR="00E27F2A" w:rsidRPr="00395593" w:rsidRDefault="00E27F2A" w:rsidP="00E33E26">
      <w:pPr>
        <w:widowControl w:val="0"/>
        <w:autoSpaceDE w:val="0"/>
        <w:autoSpaceDN w:val="0"/>
        <w:spacing w:after="0" w:line="240" w:lineRule="auto"/>
        <w:ind w:right="146"/>
        <w:jc w:val="center"/>
        <w:rPr>
          <w:rFonts w:ascii="Garamond" w:eastAsia="Times New Roman" w:hAnsi="Garamond" w:cs="Times New Roman"/>
          <w:b/>
          <w:sz w:val="24"/>
          <w:szCs w:val="24"/>
        </w:rPr>
      </w:pPr>
    </w:p>
    <w:p w14:paraId="6DE32892"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Revisão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Judicial</w:t>
      </w:r>
    </w:p>
    <w:p w14:paraId="3E985948"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sz w:val="24"/>
          <w:szCs w:val="24"/>
        </w:rPr>
      </w:pPr>
    </w:p>
    <w:p w14:paraId="75A5FCE3" w14:textId="314DF0C5" w:rsidR="00CB6C86" w:rsidRPr="00395593" w:rsidRDefault="00CB6C86" w:rsidP="00CB6C86">
      <w:pPr>
        <w:widowControl w:val="0"/>
        <w:autoSpaceDE w:val="0"/>
        <w:autoSpaceDN w:val="0"/>
        <w:spacing w:after="0" w:line="240" w:lineRule="auto"/>
        <w:ind w:right="118"/>
        <w:jc w:val="both"/>
        <w:rPr>
          <w:rFonts w:ascii="Garamond" w:eastAsia="Times New Roman" w:hAnsi="Garamond" w:cs="Times New Roman"/>
          <w:sz w:val="24"/>
          <w:szCs w:val="24"/>
        </w:rPr>
      </w:pPr>
      <w:r w:rsidRPr="00395593">
        <w:rPr>
          <w:rFonts w:ascii="Garamond" w:eastAsia="Times New Roman" w:hAnsi="Garamond" w:cs="Times New Roman"/>
          <w:sz w:val="24"/>
          <w:szCs w:val="24"/>
        </w:rPr>
        <w:t>Todo Membro cuja legislação contenha disposições sobre direitos compensatórios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manterá tribunais ou regras de procedimentos judiciais, arbitrais ou administrativos com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 xml:space="preserve">vistas a, </w:t>
      </w:r>
      <w:r w:rsidRPr="00395593">
        <w:rPr>
          <w:rFonts w:ascii="Garamond" w:eastAsia="Times New Roman" w:hAnsi="Garamond" w:cs="Times New Roman"/>
          <w:i/>
          <w:sz w:val="24"/>
          <w:szCs w:val="24"/>
        </w:rPr>
        <w:t>inter alia</w:t>
      </w:r>
      <w:r w:rsidRPr="00395593">
        <w:rPr>
          <w:rFonts w:ascii="Garamond" w:eastAsia="Times New Roman" w:hAnsi="Garamond" w:cs="Times New Roman"/>
          <w:sz w:val="24"/>
          <w:szCs w:val="24"/>
        </w:rPr>
        <w:t>, permitir pronta revisão de atos administrativos relacionados com 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determinações finais e com as revisões de determinações no sentido do Artigo 21. Esses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tribunais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ou</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procedimentos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serão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independentes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autoridades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responsáveis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pela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determinação</w:t>
      </w:r>
      <w:r w:rsidRPr="00395593">
        <w:rPr>
          <w:rFonts w:ascii="Garamond" w:eastAsia="Times New Roman" w:hAnsi="Garamond" w:cs="Times New Roman"/>
          <w:spacing w:val="15"/>
          <w:sz w:val="24"/>
          <w:szCs w:val="24"/>
        </w:rPr>
        <w:t xml:space="preserve"> </w:t>
      </w:r>
      <w:r w:rsidRPr="00395593">
        <w:rPr>
          <w:rFonts w:ascii="Garamond" w:eastAsia="Times New Roman" w:hAnsi="Garamond" w:cs="Times New Roman"/>
          <w:sz w:val="24"/>
          <w:szCs w:val="24"/>
        </w:rPr>
        <w:t>ou</w:t>
      </w:r>
      <w:r w:rsidRPr="00395593">
        <w:rPr>
          <w:rFonts w:ascii="Garamond" w:eastAsia="Times New Roman" w:hAnsi="Garamond" w:cs="Times New Roman"/>
          <w:spacing w:val="16"/>
          <w:sz w:val="24"/>
          <w:szCs w:val="24"/>
        </w:rPr>
        <w:t xml:space="preserve"> </w:t>
      </w:r>
      <w:r w:rsidRPr="00395593">
        <w:rPr>
          <w:rFonts w:ascii="Garamond" w:eastAsia="Times New Roman" w:hAnsi="Garamond" w:cs="Times New Roman"/>
          <w:sz w:val="24"/>
          <w:szCs w:val="24"/>
        </w:rPr>
        <w:t>pela</w:t>
      </w:r>
      <w:r w:rsidRPr="00395593">
        <w:rPr>
          <w:rFonts w:ascii="Garamond" w:eastAsia="Times New Roman" w:hAnsi="Garamond" w:cs="Times New Roman"/>
          <w:spacing w:val="14"/>
          <w:sz w:val="24"/>
          <w:szCs w:val="24"/>
        </w:rPr>
        <w:t xml:space="preserve"> </w:t>
      </w:r>
      <w:r w:rsidRPr="00395593">
        <w:rPr>
          <w:rFonts w:ascii="Garamond" w:eastAsia="Times New Roman" w:hAnsi="Garamond" w:cs="Times New Roman"/>
          <w:sz w:val="24"/>
          <w:szCs w:val="24"/>
        </w:rPr>
        <w:t>revisão</w:t>
      </w:r>
      <w:r w:rsidRPr="00395593">
        <w:rPr>
          <w:rFonts w:ascii="Garamond" w:eastAsia="Times New Roman" w:hAnsi="Garamond" w:cs="Times New Roman"/>
          <w:spacing w:val="16"/>
          <w:sz w:val="24"/>
          <w:szCs w:val="24"/>
        </w:rPr>
        <w:t xml:space="preserve"> </w:t>
      </w:r>
      <w:r w:rsidRPr="00395593">
        <w:rPr>
          <w:rFonts w:ascii="Garamond" w:eastAsia="Times New Roman" w:hAnsi="Garamond" w:cs="Times New Roman"/>
          <w:sz w:val="24"/>
          <w:szCs w:val="24"/>
        </w:rPr>
        <w:t>em</w:t>
      </w:r>
      <w:r w:rsidRPr="00395593">
        <w:rPr>
          <w:rFonts w:ascii="Garamond" w:eastAsia="Times New Roman" w:hAnsi="Garamond" w:cs="Times New Roman"/>
          <w:spacing w:val="16"/>
          <w:sz w:val="24"/>
          <w:szCs w:val="24"/>
        </w:rPr>
        <w:t xml:space="preserve"> </w:t>
      </w:r>
      <w:r w:rsidRPr="00395593">
        <w:rPr>
          <w:rFonts w:ascii="Garamond" w:eastAsia="Times New Roman" w:hAnsi="Garamond" w:cs="Times New Roman"/>
          <w:sz w:val="24"/>
          <w:szCs w:val="24"/>
        </w:rPr>
        <w:t>causa</w:t>
      </w:r>
      <w:r w:rsidRPr="00395593">
        <w:rPr>
          <w:rFonts w:ascii="Garamond" w:eastAsia="Times New Roman" w:hAnsi="Garamond" w:cs="Times New Roman"/>
          <w:spacing w:val="15"/>
          <w:sz w:val="24"/>
          <w:szCs w:val="24"/>
        </w:rPr>
        <w:t xml:space="preserve"> </w:t>
      </w:r>
      <w:r w:rsidRPr="00395593">
        <w:rPr>
          <w:rFonts w:ascii="Garamond" w:eastAsia="Times New Roman" w:hAnsi="Garamond" w:cs="Times New Roman"/>
          <w:sz w:val="24"/>
          <w:szCs w:val="24"/>
        </w:rPr>
        <w:t>e</w:t>
      </w:r>
      <w:r w:rsidRPr="00395593">
        <w:rPr>
          <w:rFonts w:ascii="Garamond" w:eastAsia="Times New Roman" w:hAnsi="Garamond" w:cs="Times New Roman"/>
          <w:spacing w:val="16"/>
          <w:sz w:val="24"/>
          <w:szCs w:val="24"/>
        </w:rPr>
        <w:t xml:space="preserve"> </w:t>
      </w:r>
      <w:r w:rsidRPr="00395593">
        <w:rPr>
          <w:rFonts w:ascii="Garamond" w:eastAsia="Times New Roman" w:hAnsi="Garamond" w:cs="Times New Roman"/>
          <w:sz w:val="24"/>
          <w:szCs w:val="24"/>
        </w:rPr>
        <w:t>darão</w:t>
      </w:r>
      <w:r w:rsidRPr="00395593">
        <w:rPr>
          <w:rFonts w:ascii="Garamond" w:eastAsia="Times New Roman" w:hAnsi="Garamond" w:cs="Times New Roman"/>
          <w:spacing w:val="17"/>
          <w:sz w:val="24"/>
          <w:szCs w:val="24"/>
        </w:rPr>
        <w:t xml:space="preserve"> </w:t>
      </w:r>
      <w:r w:rsidRPr="00395593">
        <w:rPr>
          <w:rFonts w:ascii="Garamond" w:eastAsia="Times New Roman" w:hAnsi="Garamond" w:cs="Times New Roman"/>
          <w:sz w:val="24"/>
          <w:szCs w:val="24"/>
        </w:rPr>
        <w:t>possibilidade</w:t>
      </w:r>
      <w:r w:rsidRPr="00395593">
        <w:rPr>
          <w:rFonts w:ascii="Garamond" w:eastAsia="Times New Roman" w:hAnsi="Garamond" w:cs="Times New Roman"/>
          <w:spacing w:val="15"/>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14"/>
          <w:sz w:val="24"/>
          <w:szCs w:val="24"/>
        </w:rPr>
        <w:t xml:space="preserve"> </w:t>
      </w:r>
      <w:r w:rsidRPr="00395593">
        <w:rPr>
          <w:rFonts w:ascii="Garamond" w:eastAsia="Times New Roman" w:hAnsi="Garamond" w:cs="Times New Roman"/>
          <w:sz w:val="24"/>
          <w:szCs w:val="24"/>
        </w:rPr>
        <w:t>recorrer</w:t>
      </w:r>
      <w:r w:rsidRPr="00395593">
        <w:rPr>
          <w:rFonts w:ascii="Garamond" w:eastAsia="Times New Roman" w:hAnsi="Garamond" w:cs="Times New Roman"/>
          <w:spacing w:val="18"/>
          <w:sz w:val="24"/>
          <w:szCs w:val="24"/>
        </w:rPr>
        <w:t xml:space="preserve"> </w:t>
      </w:r>
      <w:r w:rsidRPr="00395593">
        <w:rPr>
          <w:rFonts w:ascii="Garamond" w:eastAsia="Times New Roman" w:hAnsi="Garamond" w:cs="Times New Roman"/>
          <w:sz w:val="24"/>
          <w:szCs w:val="24"/>
        </w:rPr>
        <w:t>à</w:t>
      </w:r>
      <w:r w:rsidRPr="00395593">
        <w:rPr>
          <w:rFonts w:ascii="Garamond" w:eastAsia="Times New Roman" w:hAnsi="Garamond" w:cs="Times New Roman"/>
          <w:spacing w:val="14"/>
          <w:sz w:val="24"/>
          <w:szCs w:val="24"/>
        </w:rPr>
        <w:t xml:space="preserve"> </w:t>
      </w:r>
      <w:r w:rsidRPr="00395593">
        <w:rPr>
          <w:rFonts w:ascii="Garamond" w:eastAsia="Times New Roman" w:hAnsi="Garamond" w:cs="Times New Roman"/>
          <w:sz w:val="24"/>
          <w:szCs w:val="24"/>
        </w:rPr>
        <w:t>revisão</w:t>
      </w:r>
      <w:r w:rsidRPr="00395593">
        <w:rPr>
          <w:rFonts w:ascii="Garamond" w:eastAsia="Times New Roman" w:hAnsi="Garamond" w:cs="Times New Roman"/>
          <w:spacing w:val="16"/>
          <w:sz w:val="24"/>
          <w:szCs w:val="24"/>
        </w:rPr>
        <w:t xml:space="preserve"> </w:t>
      </w:r>
      <w:r w:rsidRPr="00395593">
        <w:rPr>
          <w:rFonts w:ascii="Garamond" w:eastAsia="Times New Roman" w:hAnsi="Garamond" w:cs="Times New Roman"/>
          <w:sz w:val="24"/>
          <w:szCs w:val="24"/>
        </w:rPr>
        <w:t>a</w:t>
      </w:r>
      <w:r w:rsidRPr="00395593">
        <w:rPr>
          <w:rFonts w:ascii="Garamond" w:eastAsia="Times New Roman" w:hAnsi="Garamond" w:cs="Times New Roman"/>
          <w:spacing w:val="14"/>
          <w:sz w:val="24"/>
          <w:szCs w:val="24"/>
        </w:rPr>
        <w:t xml:space="preserve"> </w:t>
      </w:r>
      <w:r w:rsidRPr="00395593">
        <w:rPr>
          <w:rFonts w:ascii="Garamond" w:eastAsia="Times New Roman" w:hAnsi="Garamond" w:cs="Times New Roman"/>
          <w:sz w:val="24"/>
          <w:szCs w:val="24"/>
        </w:rPr>
        <w:t>todas</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as partes interessadas que tenham participado dos procedimentos administrativos e que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tenham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sido direta e</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individualmente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afetadas pelos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atos administrativos.</w:t>
      </w:r>
    </w:p>
    <w:p w14:paraId="161A8AD6" w14:textId="77777777" w:rsidR="000A5EB5" w:rsidRPr="00395593" w:rsidRDefault="000A5EB5" w:rsidP="00CB6C86">
      <w:pPr>
        <w:widowControl w:val="0"/>
        <w:autoSpaceDE w:val="0"/>
        <w:autoSpaceDN w:val="0"/>
        <w:spacing w:after="0" w:line="240" w:lineRule="auto"/>
        <w:ind w:right="118"/>
        <w:jc w:val="both"/>
        <w:rPr>
          <w:rFonts w:ascii="Garamond" w:eastAsia="Times New Roman" w:hAnsi="Garamond" w:cs="Times New Roman"/>
          <w:sz w:val="24"/>
          <w:szCs w:val="24"/>
        </w:rPr>
      </w:pPr>
    </w:p>
    <w:p w14:paraId="5591F8A2" w14:textId="5A5AA186" w:rsidR="000A5EB5"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PARTE VI: INSTITUIÇÕES</w:t>
      </w:r>
    </w:p>
    <w:p w14:paraId="452F9A42" w14:textId="77777777" w:rsidR="000A5EB5" w:rsidRPr="00395593" w:rsidRDefault="000A5EB5" w:rsidP="00E33E26">
      <w:pPr>
        <w:widowControl w:val="0"/>
        <w:autoSpaceDE w:val="0"/>
        <w:autoSpaceDN w:val="0"/>
        <w:spacing w:after="0" w:line="240" w:lineRule="auto"/>
        <w:ind w:right="146"/>
        <w:jc w:val="center"/>
        <w:rPr>
          <w:rFonts w:ascii="Garamond" w:eastAsia="Times New Roman" w:hAnsi="Garamond" w:cs="Times New Roman"/>
          <w:b/>
          <w:sz w:val="24"/>
          <w:szCs w:val="24"/>
        </w:rPr>
      </w:pPr>
    </w:p>
    <w:p w14:paraId="0FCC59D5" w14:textId="74725399" w:rsidR="000A5EB5"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 24</w:t>
      </w:r>
    </w:p>
    <w:p w14:paraId="60FE0306" w14:textId="77777777" w:rsidR="000A5EB5" w:rsidRPr="00395593" w:rsidRDefault="000A5EB5" w:rsidP="00E33E26">
      <w:pPr>
        <w:widowControl w:val="0"/>
        <w:autoSpaceDE w:val="0"/>
        <w:autoSpaceDN w:val="0"/>
        <w:spacing w:after="0" w:line="240" w:lineRule="auto"/>
        <w:ind w:right="146"/>
        <w:jc w:val="center"/>
        <w:rPr>
          <w:rFonts w:ascii="Garamond" w:eastAsia="Times New Roman" w:hAnsi="Garamond" w:cs="Times New Roman"/>
          <w:b/>
          <w:sz w:val="24"/>
          <w:szCs w:val="24"/>
        </w:rPr>
      </w:pPr>
    </w:p>
    <w:p w14:paraId="26A55AF1" w14:textId="1F0B4E6C"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Comitê</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de</w:t>
      </w:r>
      <w:r w:rsidRPr="00395593">
        <w:rPr>
          <w:rFonts w:ascii="Garamond" w:eastAsia="Times New Roman" w:hAnsi="Garamond" w:cs="Times New Roman"/>
          <w:b/>
          <w:spacing w:val="-3"/>
          <w:sz w:val="24"/>
          <w:szCs w:val="24"/>
        </w:rPr>
        <w:t xml:space="preserve"> </w:t>
      </w:r>
      <w:r w:rsidRPr="00395593">
        <w:rPr>
          <w:rFonts w:ascii="Garamond" w:eastAsia="Times New Roman" w:hAnsi="Garamond" w:cs="Times New Roman"/>
          <w:b/>
          <w:sz w:val="24"/>
          <w:szCs w:val="24"/>
        </w:rPr>
        <w:t>Subsídios</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e</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Medidas</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Compensatórias</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e</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outros</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Órgãos</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Auxiliares</w:t>
      </w:r>
    </w:p>
    <w:p w14:paraId="309EA2B9"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50D55E82" w14:textId="77777777" w:rsidR="00CB6C86" w:rsidRPr="00395593" w:rsidRDefault="00CB6C86" w:rsidP="002C4340">
      <w:pPr>
        <w:widowControl w:val="0"/>
        <w:numPr>
          <w:ilvl w:val="0"/>
          <w:numId w:val="41"/>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Fica aqui estabelecido o Comitê de subsídios e Medidas Compensatórias composto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 representantes de cada um dos Membros. O Comitê elegerá seu próprio Presidente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reunir-se-á pelo menos duas vezes por ano e sempre que o solicite um Membro, de acordo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 as disposições pertinentes deste Acordo. O Comitê desempenhará as funções a ele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atribuídas por este Acordo ou pelos Membros e dará a estes a possibilidade de consulta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 qualquer assunto relacionado com o funcionamento do Acordo ou com a consecução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seus objetivos.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 serviços de secretaria do Comitê serão prestados pela secretaria 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OMC.</w:t>
      </w:r>
    </w:p>
    <w:p w14:paraId="2497901F"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6580C881" w14:textId="77777777" w:rsidR="00CB6C86" w:rsidRPr="00395593" w:rsidRDefault="00CB6C86" w:rsidP="002C4340">
      <w:pPr>
        <w:widowControl w:val="0"/>
        <w:numPr>
          <w:ilvl w:val="0"/>
          <w:numId w:val="41"/>
        </w:numPr>
        <w:tabs>
          <w:tab w:val="left" w:pos="810"/>
        </w:tabs>
        <w:autoSpaceDE w:val="0"/>
        <w:autoSpaceDN w:val="0"/>
        <w:spacing w:before="1" w:after="0" w:line="240" w:lineRule="auto"/>
        <w:ind w:left="810"/>
        <w:jc w:val="both"/>
        <w:rPr>
          <w:rFonts w:ascii="Garamond" w:eastAsia="Times New Roman" w:hAnsi="Garamond" w:cs="Times New Roman"/>
          <w:sz w:val="24"/>
        </w:rPr>
      </w:pPr>
      <w:r w:rsidRPr="00395593">
        <w:rPr>
          <w:rFonts w:ascii="Garamond" w:eastAsia="Times New Roman" w:hAnsi="Garamond" w:cs="Times New Roman"/>
          <w:sz w:val="24"/>
        </w:rPr>
        <w:t>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Comitê</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poderá</w:t>
      </w:r>
      <w:r w:rsidRPr="00395593">
        <w:rPr>
          <w:rFonts w:ascii="Garamond" w:eastAsia="Times New Roman" w:hAnsi="Garamond" w:cs="Times New Roman"/>
          <w:spacing w:val="-4"/>
          <w:sz w:val="24"/>
        </w:rPr>
        <w:t xml:space="preserve"> </w:t>
      </w:r>
      <w:r w:rsidRPr="00395593">
        <w:rPr>
          <w:rFonts w:ascii="Garamond" w:eastAsia="Times New Roman" w:hAnsi="Garamond" w:cs="Times New Roman"/>
          <w:sz w:val="24"/>
        </w:rPr>
        <w:t>estabelecer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órgãos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auxiliares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apropriados.</w:t>
      </w:r>
    </w:p>
    <w:p w14:paraId="1898F580" w14:textId="77777777" w:rsidR="00CB6C86" w:rsidRPr="00395593" w:rsidRDefault="00CB6C86" w:rsidP="000A5EB5">
      <w:pPr>
        <w:widowControl w:val="0"/>
        <w:autoSpaceDE w:val="0"/>
        <w:autoSpaceDN w:val="0"/>
        <w:spacing w:before="11" w:after="0" w:line="240" w:lineRule="auto"/>
        <w:jc w:val="both"/>
        <w:rPr>
          <w:rFonts w:ascii="Garamond" w:eastAsia="Times New Roman" w:hAnsi="Garamond" w:cs="Times New Roman"/>
          <w:sz w:val="23"/>
          <w:szCs w:val="24"/>
        </w:rPr>
      </w:pPr>
    </w:p>
    <w:p w14:paraId="3F0EF3E9" w14:textId="77777777" w:rsidR="00CB6C86" w:rsidRPr="00395593" w:rsidRDefault="00CB6C86" w:rsidP="002C4340">
      <w:pPr>
        <w:widowControl w:val="0"/>
        <w:numPr>
          <w:ilvl w:val="0"/>
          <w:numId w:val="41"/>
        </w:numPr>
        <w:tabs>
          <w:tab w:val="left" w:pos="810"/>
        </w:tabs>
        <w:autoSpaceDE w:val="0"/>
        <w:autoSpaceDN w:val="0"/>
        <w:spacing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O Comitê estabelecerá Grupo Permanente de Especialistas (GPE). Composto por 5</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pessoas independentes, altamente qualificadas na área de subsídios e relações comerciais.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 especialistas serão eleitos pelo Comitê e um deles será substituído a cada ano. O GPE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poderá ser requisitado a assistir o grupo especial, tal como disposto no parágrafo 5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 4. O Comitê poderá, igualmente, solicitar parecer sobre a existência e natureza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qualquer</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subsídio.</w:t>
      </w:r>
    </w:p>
    <w:p w14:paraId="3BB00544"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6AC6D073" w14:textId="77777777" w:rsidR="00CB6C86" w:rsidRPr="00395593" w:rsidRDefault="00CB6C86" w:rsidP="002C4340">
      <w:pPr>
        <w:widowControl w:val="0"/>
        <w:numPr>
          <w:ilvl w:val="0"/>
          <w:numId w:val="41"/>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GPE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consultado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qualquer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emitir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parecer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natureza de qualquer subsídio que se proponha introduzir ou que seja mantido por aquele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Esses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pareceres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confidenciais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invocados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procedimentos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previstos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no Artigo 7.</w:t>
      </w:r>
    </w:p>
    <w:p w14:paraId="6837C84E" w14:textId="77777777" w:rsidR="00CB6C86" w:rsidRPr="00395593" w:rsidRDefault="00CB6C86" w:rsidP="000A5EB5">
      <w:pPr>
        <w:widowControl w:val="0"/>
        <w:autoSpaceDE w:val="0"/>
        <w:autoSpaceDN w:val="0"/>
        <w:spacing w:before="1" w:after="0" w:line="240" w:lineRule="auto"/>
        <w:jc w:val="both"/>
        <w:rPr>
          <w:rFonts w:ascii="Garamond" w:eastAsia="Times New Roman" w:hAnsi="Garamond" w:cs="Times New Roman"/>
          <w:sz w:val="24"/>
          <w:szCs w:val="24"/>
        </w:rPr>
      </w:pPr>
    </w:p>
    <w:p w14:paraId="3F0C5458" w14:textId="77777777" w:rsidR="00CB6C86" w:rsidRPr="00395593" w:rsidRDefault="00CB6C86" w:rsidP="002C4340">
      <w:pPr>
        <w:widowControl w:val="0"/>
        <w:numPr>
          <w:ilvl w:val="0"/>
          <w:numId w:val="41"/>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No exercício de suas funções, o Comitê e qualquer órgão auxiliar poderão consultar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qualquer fonte que considerem apropriada ou junto a ela buscar informação. Antes, porém,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4"/>
          <w:sz w:val="24"/>
        </w:rPr>
        <w:t xml:space="preserve"> </w:t>
      </w:r>
      <w:r w:rsidRPr="00395593">
        <w:rPr>
          <w:rFonts w:ascii="Garamond" w:eastAsia="Times New Roman" w:hAnsi="Garamond" w:cs="Times New Roman"/>
          <w:sz w:val="24"/>
        </w:rPr>
        <w:t>buscar</w:t>
      </w:r>
      <w:r w:rsidRPr="00395593">
        <w:rPr>
          <w:rFonts w:ascii="Garamond" w:eastAsia="Times New Roman" w:hAnsi="Garamond" w:cs="Times New Roman"/>
          <w:spacing w:val="15"/>
          <w:sz w:val="24"/>
        </w:rPr>
        <w:t xml:space="preserve"> </w:t>
      </w:r>
      <w:r w:rsidRPr="00395593">
        <w:rPr>
          <w:rFonts w:ascii="Garamond" w:eastAsia="Times New Roman" w:hAnsi="Garamond" w:cs="Times New Roman"/>
          <w:sz w:val="24"/>
        </w:rPr>
        <w:t>informação</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junto</w:t>
      </w:r>
      <w:r w:rsidRPr="00395593">
        <w:rPr>
          <w:rFonts w:ascii="Garamond" w:eastAsia="Times New Roman" w:hAnsi="Garamond" w:cs="Times New Roman"/>
          <w:spacing w:val="17"/>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5"/>
          <w:sz w:val="24"/>
        </w:rPr>
        <w:t xml:space="preserve"> </w:t>
      </w:r>
      <w:r w:rsidRPr="00395593">
        <w:rPr>
          <w:rFonts w:ascii="Garamond" w:eastAsia="Times New Roman" w:hAnsi="Garamond" w:cs="Times New Roman"/>
          <w:sz w:val="24"/>
        </w:rPr>
        <w:t>fonte</w:t>
      </w:r>
      <w:r w:rsidRPr="00395593">
        <w:rPr>
          <w:rFonts w:ascii="Garamond" w:eastAsia="Times New Roman" w:hAnsi="Garamond" w:cs="Times New Roman"/>
          <w:spacing w:val="17"/>
          <w:sz w:val="24"/>
        </w:rPr>
        <w:t xml:space="preserve"> </w:t>
      </w:r>
      <w:r w:rsidRPr="00395593">
        <w:rPr>
          <w:rFonts w:ascii="Garamond" w:eastAsia="Times New Roman" w:hAnsi="Garamond" w:cs="Times New Roman"/>
          <w:sz w:val="24"/>
        </w:rPr>
        <w:t>situada</w:t>
      </w:r>
      <w:r w:rsidRPr="00395593">
        <w:rPr>
          <w:rFonts w:ascii="Garamond" w:eastAsia="Times New Roman" w:hAnsi="Garamond" w:cs="Times New Roman"/>
          <w:spacing w:val="15"/>
          <w:sz w:val="24"/>
        </w:rPr>
        <w:t xml:space="preserve"> </w:t>
      </w:r>
      <w:r w:rsidRPr="00395593">
        <w:rPr>
          <w:rFonts w:ascii="Garamond" w:eastAsia="Times New Roman" w:hAnsi="Garamond" w:cs="Times New Roman"/>
          <w:sz w:val="24"/>
        </w:rPr>
        <w:t>dentro</w:t>
      </w:r>
      <w:r w:rsidRPr="00395593">
        <w:rPr>
          <w:rFonts w:ascii="Garamond" w:eastAsia="Times New Roman" w:hAnsi="Garamond" w:cs="Times New Roman"/>
          <w:spacing w:val="16"/>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5"/>
          <w:sz w:val="24"/>
        </w:rPr>
        <w:t xml:space="preserve"> </w:t>
      </w:r>
      <w:r w:rsidRPr="00395593">
        <w:rPr>
          <w:rFonts w:ascii="Garamond" w:eastAsia="Times New Roman" w:hAnsi="Garamond" w:cs="Times New Roman"/>
          <w:sz w:val="24"/>
        </w:rPr>
        <w:t>jurisdição</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7"/>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17"/>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6"/>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5"/>
          <w:sz w:val="24"/>
        </w:rPr>
        <w:t xml:space="preserve"> </w:t>
      </w:r>
      <w:r w:rsidRPr="00395593">
        <w:rPr>
          <w:rFonts w:ascii="Garamond" w:eastAsia="Times New Roman" w:hAnsi="Garamond" w:cs="Times New Roman"/>
          <w:sz w:val="24"/>
        </w:rPr>
        <w:t>Comitê</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órgão auxiliar</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informará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 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interessado.</w:t>
      </w:r>
    </w:p>
    <w:p w14:paraId="570C7F0C"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4B530CB7" w14:textId="77777777" w:rsidR="004A450E" w:rsidRPr="005C5CBD" w:rsidRDefault="004A450E"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5C5CBD">
        <w:rPr>
          <w:rFonts w:ascii="Garamond" w:eastAsia="Times New Roman" w:hAnsi="Garamond" w:cs="Times New Roman"/>
          <w:b/>
          <w:sz w:val="24"/>
          <w:szCs w:val="24"/>
        </w:rPr>
        <w:br w:type="page"/>
      </w:r>
    </w:p>
    <w:p w14:paraId="1572C95A" w14:textId="3311C22D"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PARTE VII: NOTIFICAÇÃO E VIGILÂNCIA</w:t>
      </w:r>
    </w:p>
    <w:p w14:paraId="641900B2" w14:textId="77777777" w:rsidR="00CB6C86" w:rsidRPr="00395593" w:rsidRDefault="00CB6C86" w:rsidP="00CB6C86">
      <w:pPr>
        <w:widowControl w:val="0"/>
        <w:autoSpaceDE w:val="0"/>
        <w:autoSpaceDN w:val="0"/>
        <w:spacing w:before="184" w:after="0" w:line="240" w:lineRule="auto"/>
        <w:ind w:right="146"/>
        <w:jc w:val="center"/>
        <w:rPr>
          <w:rFonts w:ascii="Garamond" w:eastAsia="Times New Roman" w:hAnsi="Garamond" w:cs="Times New Roman"/>
          <w:b/>
          <w:sz w:val="24"/>
        </w:rPr>
      </w:pPr>
      <w:r w:rsidRPr="00395593">
        <w:rPr>
          <w:rFonts w:ascii="Garamond" w:eastAsia="Times New Roman" w:hAnsi="Garamond" w:cs="Times New Roman"/>
          <w:b/>
          <w:sz w:val="24"/>
        </w:rPr>
        <w:t>ARTIGO</w:t>
      </w:r>
      <w:r w:rsidRPr="00395593">
        <w:rPr>
          <w:rFonts w:ascii="Garamond" w:eastAsia="Times New Roman" w:hAnsi="Garamond" w:cs="Times New Roman"/>
          <w:b/>
          <w:spacing w:val="-4"/>
          <w:sz w:val="24"/>
        </w:rPr>
        <w:t xml:space="preserve"> </w:t>
      </w:r>
      <w:r w:rsidRPr="00395593">
        <w:rPr>
          <w:rFonts w:ascii="Garamond" w:eastAsia="Times New Roman" w:hAnsi="Garamond" w:cs="Times New Roman"/>
          <w:b/>
          <w:sz w:val="24"/>
        </w:rPr>
        <w:t>25</w:t>
      </w:r>
    </w:p>
    <w:p w14:paraId="2E3CA214"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6722A4F1" w14:textId="77777777" w:rsidR="00CB6C86" w:rsidRPr="00395593" w:rsidRDefault="00CB6C86" w:rsidP="00CB6C8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Notificações</w:t>
      </w:r>
    </w:p>
    <w:p w14:paraId="371E9CED"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2C76EEBD" w14:textId="77777777" w:rsidR="00CB6C86" w:rsidRPr="00395593" w:rsidRDefault="00CB6C86" w:rsidP="002C4340">
      <w:pPr>
        <w:widowControl w:val="0"/>
        <w:numPr>
          <w:ilvl w:val="0"/>
          <w:numId w:val="40"/>
        </w:numPr>
        <w:tabs>
          <w:tab w:val="left" w:pos="810"/>
        </w:tabs>
        <w:autoSpaceDE w:val="0"/>
        <w:autoSpaceDN w:val="0"/>
        <w:spacing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Os Membros acordam em que, sem prejuízo do disposto no parágrafo 1 do Artigo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XVI do GATT 1994, suas notificações sobre subsídios serão encaminhadas até 30 de junho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ano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estarão conformes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 disposições dos parágrafos 2</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6.</w:t>
      </w:r>
    </w:p>
    <w:p w14:paraId="69B19CCD"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5DD96400" w14:textId="77777777" w:rsidR="00CB6C86" w:rsidRPr="00395593" w:rsidRDefault="00CB6C86" w:rsidP="002C4340">
      <w:pPr>
        <w:widowControl w:val="0"/>
        <w:numPr>
          <w:ilvl w:val="0"/>
          <w:numId w:val="40"/>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Os Membros notificarão todo subsídio outorgado ou mantido no interior de seus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territórios que corresponda à definição do parágrafo 1 do Artigo 1 e que seja específico 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sentido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definido no Artigo 2.</w:t>
      </w:r>
    </w:p>
    <w:p w14:paraId="77DE33AE" w14:textId="77777777" w:rsidR="00CB6C86" w:rsidRPr="00395593" w:rsidRDefault="00CB6C86" w:rsidP="000A5EB5">
      <w:pPr>
        <w:widowControl w:val="0"/>
        <w:autoSpaceDE w:val="0"/>
        <w:autoSpaceDN w:val="0"/>
        <w:spacing w:before="1" w:after="0" w:line="240" w:lineRule="auto"/>
        <w:jc w:val="both"/>
        <w:rPr>
          <w:rFonts w:ascii="Garamond" w:eastAsia="Times New Roman" w:hAnsi="Garamond" w:cs="Times New Roman"/>
          <w:sz w:val="24"/>
          <w:szCs w:val="24"/>
        </w:rPr>
      </w:pPr>
    </w:p>
    <w:p w14:paraId="227198B1" w14:textId="77777777" w:rsidR="00CB6C86" w:rsidRPr="00395593" w:rsidRDefault="00CB6C86" w:rsidP="002C4340">
      <w:pPr>
        <w:widowControl w:val="0"/>
        <w:numPr>
          <w:ilvl w:val="0"/>
          <w:numId w:val="40"/>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conteúdo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notificações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suficientemente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específico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permitir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demais Membros avaliar-lhe os efeitos comerciais e compreender o funcionamento 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programas de subsídio notificados. No tocante ao que precede e sem prejuízo do conteúdo 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 xml:space="preserve">da forma do questionário sobre subsídios </w:t>
      </w:r>
      <w:r w:rsidRPr="00395593">
        <w:rPr>
          <w:rFonts w:ascii="Garamond" w:eastAsia="Times New Roman" w:hAnsi="Garamond" w:cs="Times New Roman"/>
          <w:sz w:val="24"/>
          <w:vertAlign w:val="superscript"/>
        </w:rPr>
        <w:t>54</w:t>
      </w:r>
      <w:r w:rsidRPr="00395593">
        <w:rPr>
          <w:rFonts w:ascii="Garamond" w:eastAsia="Times New Roman" w:hAnsi="Garamond" w:cs="Times New Roman"/>
          <w:sz w:val="24"/>
        </w:rPr>
        <w:t>, os Membros farão incluir em suas notificações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seguintes informações</w:t>
      </w:r>
    </w:p>
    <w:p w14:paraId="7AFB8927"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1EC9889E" w14:textId="77777777" w:rsidR="00CB6C86" w:rsidRPr="00395593" w:rsidRDefault="00CB6C86" w:rsidP="002C4340">
      <w:pPr>
        <w:widowControl w:val="0"/>
        <w:numPr>
          <w:ilvl w:val="1"/>
          <w:numId w:val="40"/>
        </w:numPr>
        <w:tabs>
          <w:tab w:val="left" w:pos="1147"/>
        </w:tabs>
        <w:autoSpaceDE w:val="0"/>
        <w:autoSpaceDN w:val="0"/>
        <w:spacing w:after="0" w:line="240" w:lineRule="auto"/>
        <w:ind w:hanging="326"/>
        <w:jc w:val="both"/>
        <w:rPr>
          <w:rFonts w:ascii="Garamond" w:eastAsia="Times New Roman" w:hAnsi="Garamond" w:cs="Times New Roman"/>
          <w:sz w:val="24"/>
        </w:rPr>
      </w:pPr>
      <w:r w:rsidRPr="00395593">
        <w:rPr>
          <w:rFonts w:ascii="Garamond" w:eastAsia="Times New Roman" w:hAnsi="Garamond" w:cs="Times New Roman"/>
          <w:sz w:val="24"/>
        </w:rPr>
        <w:t>forma</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do 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doação, empréstimo, isenção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fiscal, etc);</w:t>
      </w:r>
    </w:p>
    <w:p w14:paraId="348ADB28"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4E066B7E" w14:textId="77777777" w:rsidR="00CB6C86" w:rsidRPr="00395593" w:rsidRDefault="00CB6C86" w:rsidP="002C4340">
      <w:pPr>
        <w:widowControl w:val="0"/>
        <w:numPr>
          <w:ilvl w:val="1"/>
          <w:numId w:val="40"/>
        </w:numPr>
        <w:tabs>
          <w:tab w:val="left" w:pos="1225"/>
        </w:tabs>
        <w:autoSpaceDE w:val="0"/>
        <w:autoSpaceDN w:val="0"/>
        <w:spacing w:after="0" w:line="240" w:lineRule="auto"/>
        <w:ind w:left="1181" w:right="121" w:hanging="360"/>
        <w:jc w:val="both"/>
        <w:rPr>
          <w:rFonts w:ascii="Garamond" w:eastAsia="Times New Roman" w:hAnsi="Garamond" w:cs="Times New Roman"/>
          <w:sz w:val="24"/>
        </w:rPr>
      </w:pPr>
      <w:r w:rsidRPr="00395593">
        <w:rPr>
          <w:rFonts w:ascii="Garamond" w:eastAsia="Times New Roman" w:hAnsi="Garamond" w:cs="Times New Roman"/>
        </w:rPr>
        <w:tab/>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unidade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quando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possível,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montante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anual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total</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previsto orçamentariamente para o subsídio (com indicação, se possível,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médio por unidade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ano anterior);</w:t>
      </w:r>
    </w:p>
    <w:p w14:paraId="67569212"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7F2E9972" w14:textId="77777777" w:rsidR="00CB6C86" w:rsidRPr="00395593" w:rsidRDefault="00CB6C86" w:rsidP="002C4340">
      <w:pPr>
        <w:widowControl w:val="0"/>
        <w:numPr>
          <w:ilvl w:val="1"/>
          <w:numId w:val="40"/>
        </w:numPr>
        <w:tabs>
          <w:tab w:val="left" w:pos="1147"/>
        </w:tabs>
        <w:autoSpaceDE w:val="0"/>
        <w:autoSpaceDN w:val="0"/>
        <w:spacing w:after="0" w:line="240" w:lineRule="auto"/>
        <w:ind w:hanging="326"/>
        <w:jc w:val="both"/>
        <w:rPr>
          <w:rFonts w:ascii="Garamond" w:eastAsia="Times New Roman" w:hAnsi="Garamond" w:cs="Times New Roman"/>
          <w:sz w:val="24"/>
        </w:rPr>
      </w:pPr>
      <w:r w:rsidRPr="00395593">
        <w:rPr>
          <w:rFonts w:ascii="Garamond" w:eastAsia="Times New Roman" w:hAnsi="Garamond" w:cs="Times New Roman"/>
          <w:sz w:val="24"/>
        </w:rPr>
        <w:t>objetivo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política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e/ou finalidade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w:t>
      </w:r>
    </w:p>
    <w:p w14:paraId="39C1B39C"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571431A0" w14:textId="77777777" w:rsidR="00CB6C86" w:rsidRPr="00395593" w:rsidRDefault="00CB6C86" w:rsidP="002C4340">
      <w:pPr>
        <w:widowControl w:val="0"/>
        <w:numPr>
          <w:ilvl w:val="1"/>
          <w:numId w:val="40"/>
        </w:numPr>
        <w:tabs>
          <w:tab w:val="left" w:pos="1161"/>
        </w:tabs>
        <w:autoSpaceDE w:val="0"/>
        <w:autoSpaceDN w:val="0"/>
        <w:spacing w:before="1" w:after="0" w:line="240" w:lineRule="auto"/>
        <w:ind w:left="1160" w:hanging="340"/>
        <w:jc w:val="both"/>
        <w:rPr>
          <w:rFonts w:ascii="Garamond" w:eastAsia="Times New Roman" w:hAnsi="Garamond" w:cs="Times New Roman"/>
          <w:sz w:val="24"/>
        </w:rPr>
      </w:pPr>
      <w:r w:rsidRPr="00395593">
        <w:rPr>
          <w:rFonts w:ascii="Garamond" w:eastAsia="Times New Roman" w:hAnsi="Garamond" w:cs="Times New Roman"/>
          <w:sz w:val="24"/>
        </w:rPr>
        <w:t>duração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 e/ou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quaisquer outros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prazos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ligados a ele;</w:t>
      </w:r>
    </w:p>
    <w:p w14:paraId="3CC0ABAE" w14:textId="77777777" w:rsidR="00CB6C86" w:rsidRPr="00395593" w:rsidRDefault="00CB6C86" w:rsidP="000A5EB5">
      <w:pPr>
        <w:widowControl w:val="0"/>
        <w:autoSpaceDE w:val="0"/>
        <w:autoSpaceDN w:val="0"/>
        <w:spacing w:before="11" w:after="0" w:line="240" w:lineRule="auto"/>
        <w:jc w:val="both"/>
        <w:rPr>
          <w:rFonts w:ascii="Garamond" w:eastAsia="Times New Roman" w:hAnsi="Garamond" w:cs="Times New Roman"/>
          <w:sz w:val="23"/>
          <w:szCs w:val="24"/>
        </w:rPr>
      </w:pPr>
    </w:p>
    <w:p w14:paraId="468702E9" w14:textId="77777777" w:rsidR="00CB6C86" w:rsidRPr="00395593" w:rsidRDefault="00CB6C86" w:rsidP="002C4340">
      <w:pPr>
        <w:widowControl w:val="0"/>
        <w:numPr>
          <w:ilvl w:val="1"/>
          <w:numId w:val="40"/>
        </w:numPr>
        <w:tabs>
          <w:tab w:val="left" w:pos="1216"/>
        </w:tabs>
        <w:autoSpaceDE w:val="0"/>
        <w:autoSpaceDN w:val="0"/>
        <w:spacing w:after="0" w:line="240" w:lineRule="auto"/>
        <w:ind w:left="1181" w:right="121" w:hanging="360"/>
        <w:jc w:val="both"/>
        <w:rPr>
          <w:rFonts w:ascii="Garamond" w:eastAsia="Times New Roman" w:hAnsi="Garamond" w:cs="Times New Roman"/>
          <w:sz w:val="24"/>
        </w:rPr>
      </w:pPr>
      <w:r w:rsidRPr="00395593">
        <w:rPr>
          <w:rFonts w:ascii="Garamond" w:eastAsia="Times New Roman" w:hAnsi="Garamond" w:cs="Times New Roman"/>
          <w:sz w:val="24"/>
        </w:rPr>
        <w:t>dados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estatísticos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permitam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avaliação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efeitos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comercio.</w:t>
      </w:r>
    </w:p>
    <w:p w14:paraId="4487702C"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1AE7256C" w14:textId="77777777" w:rsidR="00CB6C86" w:rsidRPr="00395593" w:rsidRDefault="00CB6C86" w:rsidP="002C4340">
      <w:pPr>
        <w:widowControl w:val="0"/>
        <w:numPr>
          <w:ilvl w:val="0"/>
          <w:numId w:val="40"/>
        </w:numPr>
        <w:tabs>
          <w:tab w:val="left" w:pos="810"/>
        </w:tabs>
        <w:autoSpaceDE w:val="0"/>
        <w:autoSpaceDN w:val="0"/>
        <w:spacing w:after="0" w:line="240" w:lineRule="auto"/>
        <w:ind w:right="124" w:firstLine="0"/>
        <w:jc w:val="both"/>
        <w:rPr>
          <w:rFonts w:ascii="Garamond" w:eastAsia="Times New Roman" w:hAnsi="Garamond" w:cs="Times New Roman"/>
          <w:sz w:val="24"/>
        </w:rPr>
      </w:pPr>
      <w:r w:rsidRPr="00395593">
        <w:rPr>
          <w:rFonts w:ascii="Garamond" w:eastAsia="Times New Roman" w:hAnsi="Garamond" w:cs="Times New Roman"/>
          <w:sz w:val="24"/>
        </w:rPr>
        <w:t>Quando a notificação deixe de tratar algum dos pontos específicos indicados 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3,</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ela própria conter os motivos para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tal;</w:t>
      </w:r>
    </w:p>
    <w:p w14:paraId="3093671E"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21E7BD4C" w14:textId="77777777" w:rsidR="00CB6C86" w:rsidRPr="00395593" w:rsidRDefault="00CB6C86" w:rsidP="002C4340">
      <w:pPr>
        <w:widowControl w:val="0"/>
        <w:numPr>
          <w:ilvl w:val="0"/>
          <w:numId w:val="40"/>
        </w:numPr>
        <w:tabs>
          <w:tab w:val="left" w:pos="810"/>
        </w:tabs>
        <w:autoSpaceDE w:val="0"/>
        <w:autoSpaceDN w:val="0"/>
        <w:spacing w:after="0" w:line="240" w:lineRule="auto"/>
        <w:ind w:right="124" w:firstLine="0"/>
        <w:jc w:val="both"/>
        <w:rPr>
          <w:rFonts w:ascii="Garamond" w:eastAsia="Times New Roman" w:hAnsi="Garamond" w:cs="Times New Roman"/>
          <w:sz w:val="24"/>
        </w:rPr>
      </w:pPr>
      <w:r w:rsidRPr="00395593">
        <w:rPr>
          <w:rFonts w:ascii="Garamond" w:eastAsia="Times New Roman" w:hAnsi="Garamond" w:cs="Times New Roman"/>
          <w:sz w:val="24"/>
        </w:rPr>
        <w:t>No caso de os subsídios serem concedidos a produtos ou setores específicos, 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notificações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deverão 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organizadas por produto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setor.</w:t>
      </w:r>
    </w:p>
    <w:p w14:paraId="5255C674" w14:textId="77777777" w:rsidR="00CB6C86" w:rsidRPr="00395593" w:rsidRDefault="00CB6C86" w:rsidP="000A5EB5">
      <w:pPr>
        <w:widowControl w:val="0"/>
        <w:autoSpaceDE w:val="0"/>
        <w:autoSpaceDN w:val="0"/>
        <w:spacing w:before="1" w:after="0" w:line="240" w:lineRule="auto"/>
        <w:jc w:val="both"/>
        <w:rPr>
          <w:rFonts w:ascii="Garamond" w:eastAsia="Times New Roman" w:hAnsi="Garamond" w:cs="Times New Roman"/>
          <w:sz w:val="24"/>
          <w:szCs w:val="24"/>
        </w:rPr>
      </w:pPr>
    </w:p>
    <w:p w14:paraId="3FAB32AC" w14:textId="77777777" w:rsidR="00CB6C86" w:rsidRPr="00395593" w:rsidRDefault="00CB6C86" w:rsidP="002C4340">
      <w:pPr>
        <w:widowControl w:val="0"/>
        <w:numPr>
          <w:ilvl w:val="0"/>
          <w:numId w:val="40"/>
        </w:numPr>
        <w:tabs>
          <w:tab w:val="left" w:pos="810"/>
        </w:tabs>
        <w:autoSpaceDE w:val="0"/>
        <w:autoSpaceDN w:val="0"/>
        <w:spacing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Aqueles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existir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seus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territórios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medidas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requeiram notificação ao abrigo do parágrafo 1 do Artigo XVI do GATT 1994 e deste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informarão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esse fato por escrito à</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Secretaria.</w:t>
      </w:r>
    </w:p>
    <w:p w14:paraId="25C3C4DB"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6263CD43" w14:textId="56C68A9A"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19C01242" w14:textId="77777777" w:rsidR="00830C4A" w:rsidRPr="005C5CBD" w:rsidRDefault="00830C4A" w:rsidP="00E33E26">
      <w:pPr>
        <w:widowControl w:val="0"/>
        <w:autoSpaceDE w:val="0"/>
        <w:autoSpaceDN w:val="0"/>
        <w:spacing w:after="0" w:line="240" w:lineRule="auto"/>
        <w:rPr>
          <w:rFonts w:ascii="Garamond" w:eastAsia="Times New Roman" w:hAnsi="Garamond" w:cs="Times New Roman"/>
          <w:sz w:val="20"/>
          <w:szCs w:val="24"/>
        </w:rPr>
      </w:pPr>
    </w:p>
    <w:p w14:paraId="3EB7286B"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13967787" w14:textId="0A1B4C22" w:rsidR="00CB6C86" w:rsidRPr="00395593" w:rsidRDefault="00CB6C86" w:rsidP="00CB6C86">
      <w:pPr>
        <w:widowControl w:val="0"/>
        <w:autoSpaceDE w:val="0"/>
        <w:autoSpaceDN w:val="0"/>
        <w:spacing w:after="0" w:line="240" w:lineRule="auto"/>
        <w:rPr>
          <w:rFonts w:ascii="Garamond" w:eastAsia="Times New Roman" w:hAnsi="Garamond" w:cs="Times New Roman"/>
          <w:sz w:val="15"/>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81" behindDoc="1" locked="0" layoutInCell="1" allowOverlap="1" wp14:anchorId="55FF67FF" wp14:editId="1356F5AB">
                <wp:simplePos x="0" y="0"/>
                <wp:positionH relativeFrom="page">
                  <wp:posOffset>1080770</wp:posOffset>
                </wp:positionH>
                <wp:positionV relativeFrom="paragraph">
                  <wp:posOffset>125095</wp:posOffset>
                </wp:positionV>
                <wp:extent cx="1828800" cy="7620"/>
                <wp:effectExtent l="4445" t="0" r="0" b="3810"/>
                <wp:wrapTopAndBottom/>
                <wp:docPr id="412" name="Retângulo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48B25" id="Retângulo 412" o:spid="_x0000_s1026" style="position:absolute;margin-left:85.1pt;margin-top:9.85pt;width:2in;height:.6pt;z-index:-2516581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hngA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" fillcolor="black" stroked="f">
                <w10:wrap type="topAndBottom" anchorx="page"/>
              </v:rect>
            </w:pict>
          </mc:Fallback>
        </mc:AlternateContent>
      </w:r>
    </w:p>
    <w:p w14:paraId="0E7423AD" w14:textId="0861B76D" w:rsidR="00CB6C86" w:rsidRPr="00395593" w:rsidRDefault="00CB6C86" w:rsidP="00CB6C86">
      <w:pPr>
        <w:widowControl w:val="0"/>
        <w:autoSpaceDE w:val="0"/>
        <w:autoSpaceDN w:val="0"/>
        <w:spacing w:before="103" w:after="0" w:line="240" w:lineRule="auto"/>
        <w:ind w:right="627"/>
        <w:rPr>
          <w:rFonts w:ascii="Garamond" w:eastAsia="Times New Roman" w:hAnsi="Garamond" w:cs="Times New Roman"/>
          <w:sz w:val="20"/>
        </w:rPr>
      </w:pPr>
      <w:r w:rsidRPr="00E27F2A">
        <w:rPr>
          <w:rFonts w:ascii="Garamond" w:eastAsia="Times New Roman" w:hAnsi="Garamond" w:cs="Times New Roman"/>
          <w:sz w:val="20"/>
          <w:vertAlign w:val="superscript"/>
        </w:rPr>
        <w:t>54</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O</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Comitê</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estabelecerá</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Grupo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de</w:t>
      </w:r>
      <w:r w:rsidRPr="00E27F2A">
        <w:rPr>
          <w:rFonts w:ascii="Garamond" w:eastAsia="Times New Roman" w:hAnsi="Garamond" w:cs="Times New Roman"/>
          <w:spacing w:val="-3"/>
          <w:sz w:val="20"/>
        </w:rPr>
        <w:t xml:space="preserve"> </w:t>
      </w:r>
      <w:r w:rsidRPr="00E27F2A">
        <w:rPr>
          <w:rFonts w:ascii="Garamond" w:eastAsia="Times New Roman" w:hAnsi="Garamond" w:cs="Times New Roman"/>
          <w:sz w:val="20"/>
        </w:rPr>
        <w:t>Trabalho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para</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revisar</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conteúdo e</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a</w:t>
      </w:r>
      <w:r w:rsidRPr="00E27F2A">
        <w:rPr>
          <w:rFonts w:ascii="Garamond" w:eastAsia="Times New Roman" w:hAnsi="Garamond" w:cs="Times New Roman"/>
          <w:spacing w:val="-2"/>
          <w:sz w:val="20"/>
        </w:rPr>
        <w:t xml:space="preserve"> </w:t>
      </w:r>
      <w:r w:rsidRPr="00E27F2A">
        <w:rPr>
          <w:rFonts w:ascii="Garamond" w:eastAsia="Times New Roman" w:hAnsi="Garamond" w:cs="Times New Roman"/>
          <w:sz w:val="20"/>
        </w:rPr>
        <w:t>forma</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do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questionário</w:t>
      </w:r>
      <w:r w:rsidRPr="00E27F2A">
        <w:rPr>
          <w:rFonts w:ascii="Garamond" w:eastAsia="Times New Roman" w:hAnsi="Garamond" w:cs="Times New Roman"/>
          <w:spacing w:val="-1"/>
          <w:sz w:val="20"/>
        </w:rPr>
        <w:t xml:space="preserve"> </w:t>
      </w:r>
      <w:r w:rsidRPr="00E27F2A">
        <w:rPr>
          <w:rFonts w:ascii="Garamond" w:eastAsia="Times New Roman" w:hAnsi="Garamond" w:cs="Times New Roman"/>
          <w:sz w:val="20"/>
        </w:rPr>
        <w:t>no BISD</w:t>
      </w:r>
      <w:r w:rsidRPr="00E27F2A">
        <w:rPr>
          <w:rFonts w:ascii="Garamond" w:eastAsia="Times New Roman" w:hAnsi="Garamond" w:cs="Times New Roman"/>
          <w:spacing w:val="-47"/>
          <w:sz w:val="20"/>
        </w:rPr>
        <w:t xml:space="preserve"> </w:t>
      </w:r>
      <w:r w:rsidRPr="00E27F2A">
        <w:rPr>
          <w:rFonts w:ascii="Garamond" w:eastAsia="Times New Roman" w:hAnsi="Garamond" w:cs="Times New Roman"/>
          <w:sz w:val="20"/>
        </w:rPr>
        <w:t>9S/193-194.</w:t>
      </w:r>
    </w:p>
    <w:p w14:paraId="27C67C22" w14:textId="77777777" w:rsidR="004A450E" w:rsidRPr="005C5CBD" w:rsidRDefault="004A450E" w:rsidP="00E33E26">
      <w:pPr>
        <w:widowControl w:val="0"/>
        <w:autoSpaceDE w:val="0"/>
        <w:autoSpaceDN w:val="0"/>
        <w:spacing w:before="103" w:after="0" w:line="240" w:lineRule="auto"/>
        <w:ind w:right="627"/>
        <w:rPr>
          <w:rFonts w:ascii="Garamond" w:eastAsia="Times New Roman" w:hAnsi="Garamond" w:cs="Times New Roman"/>
          <w:sz w:val="20"/>
        </w:rPr>
      </w:pPr>
    </w:p>
    <w:p w14:paraId="6B7713D3" w14:textId="77777777" w:rsidR="00CB6C86" w:rsidRPr="00395593" w:rsidRDefault="00CB6C86" w:rsidP="002C4340">
      <w:pPr>
        <w:widowControl w:val="0"/>
        <w:numPr>
          <w:ilvl w:val="0"/>
          <w:numId w:val="40"/>
        </w:numPr>
        <w:tabs>
          <w:tab w:val="left" w:pos="810"/>
        </w:tabs>
        <w:autoSpaceDE w:val="0"/>
        <w:autoSpaceDN w:val="0"/>
        <w:spacing w:before="68"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Os Membros reconhecem que a notificação de uma medida não prejulga quer sua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condição jurídica à luz do GATT 1994 ou deste Acordo, quer seus efeitos ao abrigo deste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quer ainda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natureza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mesma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medida.</w:t>
      </w:r>
    </w:p>
    <w:p w14:paraId="52408362"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0FFD18A7" w14:textId="77777777" w:rsidR="00CB6C86" w:rsidRPr="00395593" w:rsidRDefault="00CB6C86" w:rsidP="002C4340">
      <w:pPr>
        <w:widowControl w:val="0"/>
        <w:numPr>
          <w:ilvl w:val="0"/>
          <w:numId w:val="40"/>
        </w:numPr>
        <w:tabs>
          <w:tab w:val="left" w:pos="810"/>
        </w:tabs>
        <w:autoSpaceDE w:val="0"/>
        <w:autoSpaceDN w:val="0"/>
        <w:spacing w:after="0" w:line="240" w:lineRule="auto"/>
        <w:ind w:right="116" w:firstLine="0"/>
        <w:jc w:val="both"/>
        <w:rPr>
          <w:rFonts w:ascii="Garamond" w:eastAsia="Times New Roman" w:hAnsi="Garamond" w:cs="Times New Roman"/>
          <w:sz w:val="24"/>
        </w:rPr>
      </w:pPr>
      <w:r w:rsidRPr="00395593">
        <w:rPr>
          <w:rFonts w:ascii="Garamond" w:eastAsia="Times New Roman" w:hAnsi="Garamond" w:cs="Times New Roman"/>
          <w:sz w:val="24"/>
        </w:rPr>
        <w:t>Qualquer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qualquer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momento,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requerer,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escrito,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natureza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alcance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qualquer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concedido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mantido por outro Membro (inclusive qualquer subsídio mencionado na PARTE IV)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requerer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explicações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motivos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medida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específica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tenha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considerada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como excluída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obrigatoriedade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notificação.</w:t>
      </w:r>
    </w:p>
    <w:p w14:paraId="7BA76E2B"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613A6DF7" w14:textId="77777777" w:rsidR="00CB6C86" w:rsidRPr="00395593" w:rsidRDefault="00CB6C86" w:rsidP="002C4340">
      <w:pPr>
        <w:widowControl w:val="0"/>
        <w:numPr>
          <w:ilvl w:val="0"/>
          <w:numId w:val="40"/>
        </w:numPr>
        <w:tabs>
          <w:tab w:val="left" w:pos="810"/>
        </w:tabs>
        <w:autoSpaceDE w:val="0"/>
        <w:autoSpaceDN w:val="0"/>
        <w:spacing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solicitações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tenham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dirigidas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fornecerão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informações tão rápida e abrangentemente quanto possível e estarão disponíveis, caso 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lhes peça, para fornecer informações adicionais ao Membro requisitante. Especificamente,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fornecerão pormenores suficientes para permitir ao outro Membro avaliar sua adequação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aos termos deste Acordo. Qualquer Membro que considere não ter sido fornecida essa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poderá</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trazer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 assunto 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consideração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Comitê.</w:t>
      </w:r>
    </w:p>
    <w:p w14:paraId="199990CC" w14:textId="77777777" w:rsidR="00CB6C86" w:rsidRPr="00395593" w:rsidRDefault="00CB6C86" w:rsidP="000A5EB5">
      <w:pPr>
        <w:widowControl w:val="0"/>
        <w:autoSpaceDE w:val="0"/>
        <w:autoSpaceDN w:val="0"/>
        <w:spacing w:before="1" w:after="0" w:line="240" w:lineRule="auto"/>
        <w:jc w:val="both"/>
        <w:rPr>
          <w:rFonts w:ascii="Garamond" w:eastAsia="Times New Roman" w:hAnsi="Garamond" w:cs="Times New Roman"/>
          <w:sz w:val="24"/>
          <w:szCs w:val="24"/>
        </w:rPr>
      </w:pPr>
    </w:p>
    <w:p w14:paraId="3354A373" w14:textId="77777777" w:rsidR="00CB6C86" w:rsidRPr="00395593" w:rsidRDefault="00CB6C86" w:rsidP="002C4340">
      <w:pPr>
        <w:widowControl w:val="0"/>
        <w:numPr>
          <w:ilvl w:val="0"/>
          <w:numId w:val="40"/>
        </w:numPr>
        <w:tabs>
          <w:tab w:val="left" w:pos="810"/>
        </w:tabs>
        <w:autoSpaceDE w:val="0"/>
        <w:autoSpaceDN w:val="0"/>
        <w:spacing w:after="0" w:line="240" w:lineRule="auto"/>
        <w:ind w:right="118" w:firstLine="0"/>
        <w:jc w:val="both"/>
        <w:rPr>
          <w:rFonts w:ascii="Garamond" w:eastAsia="Times New Roman" w:hAnsi="Garamond" w:cs="Times New Roman"/>
          <w:sz w:val="24"/>
        </w:rPr>
      </w:pPr>
      <w:r w:rsidRPr="00395593">
        <w:rPr>
          <w:rFonts w:ascii="Garamond" w:eastAsia="Times New Roman" w:hAnsi="Garamond" w:cs="Times New Roman"/>
          <w:sz w:val="24"/>
        </w:rPr>
        <w:t>Todo Membro que considere que qualquer medida de outro Membro com efeito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 não tenha sido notificada de acordo com as disposições do parágrafo 1 do Artigo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XVI do GATT 1994 e com os deste Acordo poderá levar o assunto à consideração do outro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 Se o alegado subsídio não for em seguida notificado com presteza, o 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poderá</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ele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próprio levar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 alegado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 ao conhecimento do Comitê.</w:t>
      </w:r>
    </w:p>
    <w:p w14:paraId="510F353D"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4F7A436B" w14:textId="77777777" w:rsidR="00CB6C86" w:rsidRPr="00395593" w:rsidRDefault="00CB6C86" w:rsidP="002C4340">
      <w:pPr>
        <w:widowControl w:val="0"/>
        <w:numPr>
          <w:ilvl w:val="0"/>
          <w:numId w:val="40"/>
        </w:numPr>
        <w:tabs>
          <w:tab w:val="left" w:pos="810"/>
        </w:tabs>
        <w:autoSpaceDE w:val="0"/>
        <w:autoSpaceDN w:val="0"/>
        <w:spacing w:after="0" w:line="240" w:lineRule="auto"/>
        <w:ind w:right="118" w:firstLine="0"/>
        <w:jc w:val="both"/>
        <w:rPr>
          <w:rFonts w:ascii="Garamond" w:eastAsia="Times New Roman" w:hAnsi="Garamond" w:cs="Times New Roman"/>
          <w:sz w:val="24"/>
        </w:rPr>
      </w:pPr>
      <w:r w:rsidRPr="00395593">
        <w:rPr>
          <w:rFonts w:ascii="Garamond" w:eastAsia="Times New Roman" w:hAnsi="Garamond" w:cs="Times New Roman"/>
          <w:sz w:val="24"/>
        </w:rPr>
        <w:t>Os Membros comunicarão sem demora ao Comitê todo ato preliminar ou final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tiver sido realizado com relação a direitos compensatórios. Essas comunicações estarão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disponíveis na Secretaria para inspeção por outros Membros. Os Membros apresentarão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também, semestralmente, relatórios sobre quaisquer atos relativos a direitos compensatórios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tenham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realizados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6</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meses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anteriores.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relatórios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semestrais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apresentados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formato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padronizado convencionado.</w:t>
      </w:r>
    </w:p>
    <w:p w14:paraId="20794D0B" w14:textId="77777777" w:rsidR="00CB6C86" w:rsidRPr="00395593" w:rsidRDefault="00CB6C86" w:rsidP="000A5EB5">
      <w:pPr>
        <w:widowControl w:val="0"/>
        <w:autoSpaceDE w:val="0"/>
        <w:autoSpaceDN w:val="0"/>
        <w:spacing w:before="1" w:after="0" w:line="240" w:lineRule="auto"/>
        <w:jc w:val="both"/>
        <w:rPr>
          <w:rFonts w:ascii="Garamond" w:eastAsia="Times New Roman" w:hAnsi="Garamond" w:cs="Times New Roman"/>
          <w:sz w:val="24"/>
          <w:szCs w:val="24"/>
        </w:rPr>
      </w:pPr>
    </w:p>
    <w:p w14:paraId="688D6B6C" w14:textId="77777777" w:rsidR="00CB6C86" w:rsidRPr="00395593" w:rsidRDefault="00CB6C86" w:rsidP="002C4340">
      <w:pPr>
        <w:widowControl w:val="0"/>
        <w:numPr>
          <w:ilvl w:val="0"/>
          <w:numId w:val="40"/>
        </w:numPr>
        <w:tabs>
          <w:tab w:val="left" w:pos="810"/>
        </w:tabs>
        <w:autoSpaceDE w:val="0"/>
        <w:autoSpaceDN w:val="0"/>
        <w:spacing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Todo Membro notificará o Comitê sobre: (a) qual de suas autoridades é competente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 iniciar e conduzir as investigações mencionadas no Artigo 11; e (b) as disposições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internas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regem o início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 o andamento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investigações.</w:t>
      </w:r>
    </w:p>
    <w:p w14:paraId="145EF291"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6"/>
          <w:szCs w:val="24"/>
        </w:rPr>
      </w:pPr>
    </w:p>
    <w:p w14:paraId="198C6079" w14:textId="77777777" w:rsidR="00CB6C86" w:rsidRPr="00395593" w:rsidRDefault="00CB6C86" w:rsidP="004D4329">
      <w:pPr>
        <w:widowControl w:val="0"/>
        <w:autoSpaceDE w:val="0"/>
        <w:autoSpaceDN w:val="0"/>
        <w:spacing w:after="0" w:line="240" w:lineRule="auto"/>
        <w:jc w:val="center"/>
        <w:rPr>
          <w:rFonts w:ascii="Garamond" w:eastAsia="Times New Roman" w:hAnsi="Garamond" w:cs="Times New Roman"/>
          <w:szCs w:val="24"/>
        </w:rPr>
      </w:pPr>
    </w:p>
    <w:p w14:paraId="395DB37C"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26</w:t>
      </w:r>
    </w:p>
    <w:p w14:paraId="5ABB785B"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650532DE" w14:textId="77777777" w:rsidR="00CB6C86" w:rsidRPr="00395593" w:rsidRDefault="00CB6C86" w:rsidP="00CB6C8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Vigilância</w:t>
      </w:r>
    </w:p>
    <w:p w14:paraId="137D5980"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4ADF37BA" w14:textId="77777777" w:rsidR="00CB6C86" w:rsidRPr="00395593" w:rsidRDefault="00CB6C86" w:rsidP="002C4340">
      <w:pPr>
        <w:widowControl w:val="0"/>
        <w:numPr>
          <w:ilvl w:val="0"/>
          <w:numId w:val="39"/>
        </w:numPr>
        <w:tabs>
          <w:tab w:val="left" w:pos="810"/>
        </w:tabs>
        <w:autoSpaceDE w:val="0"/>
        <w:autoSpaceDN w:val="0"/>
        <w:spacing w:before="1"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Comitê</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examinará,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reuniões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especiais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trianuais,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notificações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novas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completas apresentadas ao abrigo do parágrafo 1 do Artigo XVI do GATT 1994 e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 1 do Artigo 25 deste Acordo. Notificações apresentadas nos anos intermediários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(notificações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atualização)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serão examinadas a cada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sessão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regular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comitê.</w:t>
      </w:r>
    </w:p>
    <w:p w14:paraId="7069A532" w14:textId="77777777" w:rsidR="00CB6C86" w:rsidRPr="00395593" w:rsidRDefault="00CB6C86" w:rsidP="000A5EB5">
      <w:pPr>
        <w:widowControl w:val="0"/>
        <w:autoSpaceDE w:val="0"/>
        <w:autoSpaceDN w:val="0"/>
        <w:spacing w:before="11" w:after="0" w:line="240" w:lineRule="auto"/>
        <w:jc w:val="both"/>
        <w:rPr>
          <w:rFonts w:ascii="Garamond" w:eastAsia="Times New Roman" w:hAnsi="Garamond" w:cs="Times New Roman"/>
          <w:sz w:val="23"/>
          <w:szCs w:val="24"/>
        </w:rPr>
      </w:pPr>
    </w:p>
    <w:p w14:paraId="1FF36C12" w14:textId="77777777" w:rsidR="00CB6C86" w:rsidRPr="00395593" w:rsidRDefault="00CB6C86" w:rsidP="002C4340">
      <w:pPr>
        <w:widowControl w:val="0"/>
        <w:numPr>
          <w:ilvl w:val="0"/>
          <w:numId w:val="39"/>
        </w:numPr>
        <w:tabs>
          <w:tab w:val="left" w:pos="810"/>
        </w:tabs>
        <w:autoSpaceDE w:val="0"/>
        <w:autoSpaceDN w:val="0"/>
        <w:spacing w:after="0" w:line="240" w:lineRule="auto"/>
        <w:ind w:right="126" w:firstLine="0"/>
        <w:jc w:val="both"/>
        <w:rPr>
          <w:rFonts w:ascii="Garamond" w:eastAsia="Times New Roman" w:hAnsi="Garamond" w:cs="Times New Roman"/>
          <w:sz w:val="24"/>
        </w:rPr>
      </w:pPr>
      <w:r w:rsidRPr="00395593">
        <w:rPr>
          <w:rFonts w:ascii="Garamond" w:eastAsia="Times New Roman" w:hAnsi="Garamond" w:cs="Times New Roman"/>
          <w:sz w:val="24"/>
        </w:rPr>
        <w:t>O Comitê examinará relatórios apresentados ao abrigo do parágrafo 11 do Artigo 25</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sessão regular.</w:t>
      </w:r>
    </w:p>
    <w:p w14:paraId="269EDD70" w14:textId="77777777" w:rsidR="004A450E" w:rsidRPr="005C5CBD" w:rsidRDefault="004A450E">
      <w:pPr>
        <w:rPr>
          <w:rFonts w:ascii="Garamond" w:eastAsia="Times New Roman" w:hAnsi="Garamond" w:cs="Times New Roman"/>
          <w:b/>
          <w:sz w:val="24"/>
          <w:szCs w:val="24"/>
        </w:rPr>
      </w:pPr>
      <w:r w:rsidRPr="005C5CBD">
        <w:rPr>
          <w:rFonts w:ascii="Garamond" w:eastAsia="Times New Roman" w:hAnsi="Garamond" w:cs="Times New Roman"/>
          <w:b/>
          <w:sz w:val="24"/>
          <w:szCs w:val="24"/>
        </w:rPr>
        <w:br w:type="page"/>
      </w:r>
    </w:p>
    <w:p w14:paraId="3A883F24" w14:textId="5DA1E36E" w:rsidR="000A5EB5"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pacing w:val="-57"/>
          <w:sz w:val="24"/>
          <w:szCs w:val="24"/>
        </w:rPr>
      </w:pPr>
      <w:r w:rsidRPr="00395593">
        <w:rPr>
          <w:rFonts w:ascii="Garamond" w:eastAsia="Times New Roman" w:hAnsi="Garamond" w:cs="Times New Roman"/>
          <w:b/>
          <w:sz w:val="24"/>
          <w:szCs w:val="24"/>
        </w:rPr>
        <w:t>PARTE</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VIII</w:t>
      </w:r>
      <w:r w:rsidRPr="00395593">
        <w:rPr>
          <w:rFonts w:ascii="Garamond" w:eastAsia="Times New Roman" w:hAnsi="Garamond" w:cs="Times New Roman"/>
          <w:b/>
          <w:spacing w:val="-6"/>
          <w:sz w:val="24"/>
          <w:szCs w:val="24"/>
        </w:rPr>
        <w:t xml:space="preserve"> </w:t>
      </w:r>
      <w:r w:rsidRPr="00395593">
        <w:rPr>
          <w:rFonts w:ascii="Garamond" w:eastAsia="Times New Roman" w:hAnsi="Garamond" w:cs="Times New Roman"/>
          <w:b/>
          <w:sz w:val="24"/>
          <w:szCs w:val="24"/>
        </w:rPr>
        <w:t>:</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PAÍSES</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EM</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DESENVOLVIMENTO</w:t>
      </w:r>
      <w:r w:rsidRPr="00395593">
        <w:rPr>
          <w:rFonts w:ascii="Garamond" w:eastAsia="Times New Roman" w:hAnsi="Garamond" w:cs="Times New Roman"/>
          <w:b/>
          <w:spacing w:val="-3"/>
          <w:sz w:val="24"/>
          <w:szCs w:val="24"/>
        </w:rPr>
        <w:t xml:space="preserve"> </w:t>
      </w:r>
      <w:r w:rsidRPr="00395593">
        <w:rPr>
          <w:rFonts w:ascii="Garamond" w:eastAsia="Times New Roman" w:hAnsi="Garamond" w:cs="Times New Roman"/>
          <w:b/>
          <w:sz w:val="24"/>
          <w:szCs w:val="24"/>
        </w:rPr>
        <w:t>MEMBROS</w:t>
      </w:r>
      <w:r w:rsidRPr="00395593">
        <w:rPr>
          <w:rFonts w:ascii="Garamond" w:eastAsia="Times New Roman" w:hAnsi="Garamond" w:cs="Times New Roman"/>
          <w:b/>
          <w:spacing w:val="-57"/>
          <w:sz w:val="24"/>
          <w:szCs w:val="24"/>
        </w:rPr>
        <w:t xml:space="preserve"> </w:t>
      </w:r>
    </w:p>
    <w:p w14:paraId="0958CB47" w14:textId="77777777" w:rsidR="000A5EB5" w:rsidRPr="00395593" w:rsidRDefault="000A5EB5" w:rsidP="00E33E26">
      <w:pPr>
        <w:widowControl w:val="0"/>
        <w:autoSpaceDE w:val="0"/>
        <w:autoSpaceDN w:val="0"/>
        <w:spacing w:after="0" w:line="240" w:lineRule="auto"/>
        <w:ind w:right="146"/>
        <w:jc w:val="center"/>
        <w:rPr>
          <w:rFonts w:ascii="Garamond" w:eastAsia="Times New Roman" w:hAnsi="Garamond" w:cs="Times New Roman"/>
          <w:b/>
          <w:spacing w:val="-57"/>
          <w:sz w:val="24"/>
          <w:szCs w:val="24"/>
        </w:rPr>
      </w:pPr>
    </w:p>
    <w:p w14:paraId="2B36C3F4" w14:textId="371A6C03" w:rsidR="000A5EB5"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27</w:t>
      </w:r>
    </w:p>
    <w:p w14:paraId="0BAE8EA0" w14:textId="77777777" w:rsidR="000A5EB5" w:rsidRPr="00395593" w:rsidRDefault="000A5EB5" w:rsidP="00E33E26">
      <w:pPr>
        <w:widowControl w:val="0"/>
        <w:autoSpaceDE w:val="0"/>
        <w:autoSpaceDN w:val="0"/>
        <w:spacing w:after="0" w:line="240" w:lineRule="auto"/>
        <w:ind w:right="146"/>
        <w:jc w:val="center"/>
        <w:rPr>
          <w:rFonts w:ascii="Garamond" w:eastAsia="Times New Roman" w:hAnsi="Garamond" w:cs="Times New Roman"/>
          <w:sz w:val="24"/>
          <w:szCs w:val="24"/>
        </w:rPr>
      </w:pPr>
    </w:p>
    <w:p w14:paraId="34927968"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Tratamento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Especial</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e</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Diferenciado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aos</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Países em</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Desenvolvimento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Membros</w:t>
      </w:r>
    </w:p>
    <w:p w14:paraId="72485867"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5C746E83" w14:textId="77777777" w:rsidR="00CB6C86" w:rsidRPr="00395593" w:rsidRDefault="00CB6C86" w:rsidP="002C4340">
      <w:pPr>
        <w:widowControl w:val="0"/>
        <w:numPr>
          <w:ilvl w:val="0"/>
          <w:numId w:val="38"/>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Os Membros reconhecem que subsídios podem desempenhar papel importante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programas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desenvolvimento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econômico 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países em desenvolvimento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Membros.</w:t>
      </w:r>
    </w:p>
    <w:p w14:paraId="79C0849B"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69AC3986" w14:textId="77777777" w:rsidR="00CB6C86" w:rsidRPr="00395593" w:rsidRDefault="00CB6C86" w:rsidP="002C4340">
      <w:pPr>
        <w:widowControl w:val="0"/>
        <w:numPr>
          <w:ilvl w:val="0"/>
          <w:numId w:val="38"/>
        </w:numPr>
        <w:tabs>
          <w:tab w:val="left" w:pos="810"/>
        </w:tabs>
        <w:autoSpaceDE w:val="0"/>
        <w:autoSpaceDN w:val="0"/>
        <w:spacing w:after="0" w:line="240" w:lineRule="auto"/>
        <w:ind w:left="810"/>
        <w:jc w:val="both"/>
        <w:rPr>
          <w:rFonts w:ascii="Garamond" w:eastAsia="Times New Roman" w:hAnsi="Garamond" w:cs="Times New Roman"/>
          <w:sz w:val="24"/>
        </w:rPr>
      </w:pPr>
      <w:r w:rsidRPr="00395593">
        <w:rPr>
          <w:rFonts w:ascii="Garamond" w:eastAsia="Times New Roman" w:hAnsi="Garamond" w:cs="Times New Roman"/>
          <w:sz w:val="24"/>
        </w:rPr>
        <w:t>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proibição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 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3</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aplicará:</w:t>
      </w:r>
    </w:p>
    <w:p w14:paraId="0F27B667"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018D5667" w14:textId="77777777" w:rsidR="00CB6C86" w:rsidRPr="00395593" w:rsidRDefault="00CB6C86" w:rsidP="002C4340">
      <w:pPr>
        <w:widowControl w:val="0"/>
        <w:numPr>
          <w:ilvl w:val="1"/>
          <w:numId w:val="38"/>
        </w:numPr>
        <w:tabs>
          <w:tab w:val="left" w:pos="1147"/>
        </w:tabs>
        <w:autoSpaceDE w:val="0"/>
        <w:autoSpaceDN w:val="0"/>
        <w:spacing w:after="0" w:line="240" w:lineRule="auto"/>
        <w:ind w:hanging="326"/>
        <w:jc w:val="both"/>
        <w:rPr>
          <w:rFonts w:ascii="Garamond" w:eastAsia="Times New Roman" w:hAnsi="Garamond" w:cs="Times New Roman"/>
          <w:sz w:val="24"/>
        </w:rPr>
      </w:pPr>
      <w:r w:rsidRPr="00395593">
        <w:rPr>
          <w:rFonts w:ascii="Garamond" w:eastAsia="Times New Roman" w:hAnsi="Garamond" w:cs="Times New Roman"/>
          <w:sz w:val="24"/>
        </w:rPr>
        <w:t>aos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países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desenvolvimento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arrolados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Anexo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VII;</w:t>
      </w:r>
    </w:p>
    <w:p w14:paraId="26385DC0" w14:textId="77777777" w:rsidR="00CB6C86" w:rsidRPr="00395593" w:rsidRDefault="00CB6C86" w:rsidP="000A5EB5">
      <w:pPr>
        <w:widowControl w:val="0"/>
        <w:autoSpaceDE w:val="0"/>
        <w:autoSpaceDN w:val="0"/>
        <w:spacing w:before="1" w:after="0" w:line="240" w:lineRule="auto"/>
        <w:jc w:val="both"/>
        <w:rPr>
          <w:rFonts w:ascii="Garamond" w:eastAsia="Times New Roman" w:hAnsi="Garamond" w:cs="Times New Roman"/>
          <w:sz w:val="24"/>
          <w:szCs w:val="24"/>
        </w:rPr>
      </w:pPr>
    </w:p>
    <w:p w14:paraId="5B71484B" w14:textId="77777777" w:rsidR="00CB6C86" w:rsidRPr="00395593" w:rsidRDefault="00CB6C86" w:rsidP="002C4340">
      <w:pPr>
        <w:widowControl w:val="0"/>
        <w:numPr>
          <w:ilvl w:val="1"/>
          <w:numId w:val="38"/>
        </w:numPr>
        <w:tabs>
          <w:tab w:val="left" w:pos="1165"/>
        </w:tabs>
        <w:autoSpaceDE w:val="0"/>
        <w:autoSpaceDN w:val="0"/>
        <w:spacing w:after="0" w:line="240" w:lineRule="auto"/>
        <w:ind w:left="1181" w:right="122" w:hanging="360"/>
        <w:jc w:val="both"/>
        <w:rPr>
          <w:rFonts w:ascii="Garamond" w:eastAsia="Times New Roman" w:hAnsi="Garamond" w:cs="Times New Roman"/>
          <w:sz w:val="24"/>
        </w:rPr>
      </w:pPr>
      <w:r w:rsidRPr="00395593">
        <w:rPr>
          <w:rFonts w:ascii="Garamond" w:eastAsia="Times New Roman" w:hAnsi="Garamond" w:cs="Times New Roman"/>
          <w:sz w:val="24"/>
        </w:rPr>
        <w:t>a outros países em desenvolvimento Membros pelo período de 8 anos a partir 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entrada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vigor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Constitutivo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OMC,</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desde</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obedecidas as disposições do parágrafo 4.</w:t>
      </w:r>
    </w:p>
    <w:p w14:paraId="23EF5DC5"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30ED1BBE" w14:textId="77777777" w:rsidR="00CB6C86" w:rsidRPr="00395593" w:rsidRDefault="00CB6C86" w:rsidP="002C4340">
      <w:pPr>
        <w:widowControl w:val="0"/>
        <w:numPr>
          <w:ilvl w:val="0"/>
          <w:numId w:val="38"/>
        </w:numPr>
        <w:tabs>
          <w:tab w:val="left" w:pos="810"/>
        </w:tabs>
        <w:autoSpaceDE w:val="0"/>
        <w:autoSpaceDN w:val="0"/>
        <w:spacing w:after="0" w:line="240" w:lineRule="auto"/>
        <w:ind w:right="115" w:firstLine="0"/>
        <w:jc w:val="both"/>
        <w:rPr>
          <w:rFonts w:ascii="Garamond" w:eastAsia="Times New Roman" w:hAnsi="Garamond" w:cs="Times New Roman"/>
          <w:sz w:val="24"/>
        </w:rPr>
      </w:pP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proibição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(b)</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3</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países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desenvolvimento Membros pelo período de 5 anos e não se aplicará aos países de menor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desenvolvimento relativo Membros por período de 8 anos a partir da data de entrada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vigor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Constitutivo 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OMC.</w:t>
      </w:r>
    </w:p>
    <w:p w14:paraId="134E2550"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37FA2702" w14:textId="77777777" w:rsidR="00CB6C86" w:rsidRPr="00395593" w:rsidRDefault="00CB6C86" w:rsidP="002C4340">
      <w:pPr>
        <w:widowControl w:val="0"/>
        <w:numPr>
          <w:ilvl w:val="0"/>
          <w:numId w:val="38"/>
        </w:numPr>
        <w:tabs>
          <w:tab w:val="left" w:pos="810"/>
        </w:tabs>
        <w:autoSpaceDE w:val="0"/>
        <w:autoSpaceDN w:val="0"/>
        <w:spacing w:after="0" w:line="240" w:lineRule="auto"/>
        <w:ind w:right="115" w:firstLine="0"/>
        <w:jc w:val="both"/>
        <w:rPr>
          <w:rFonts w:ascii="Garamond" w:eastAsia="Times New Roman" w:hAnsi="Garamond" w:cs="Times New Roman"/>
          <w:sz w:val="24"/>
        </w:rPr>
      </w:pP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países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desenvolvimento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refere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2</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(b)</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eliminarão seus subsídios à exportação no período de 8 anos, preferivelmente de maneira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progressiva. Os países em desenvolvimento Membros não elevarão, porém, o nível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55</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sempre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concessão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incompatível com suas necessidades de desenvolvimento, eliminá-los-ão em prazo inferior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àquele previsto neste parágrafo. Caso estime necessário conceder tais subsídios além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prazo de 8 anos, um país em desenvolvimento Membro, até no máximo um ano antes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final desse prazo, iniciará consultas com o Comitê, que determinará se a prorrogação desse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período se justifica, após exame de todas as necessidades econômicas financeiras e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desenvolvimento pertinentes do país em desenvolvimento Membro em causa. Se o Comitê</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determinar que a prorrogação se justifica, o país em desenvolvimento Membro manterá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consultas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anuais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Comitê</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necessidade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manutenção</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subsídios. Se o comitê não chega a tal conclusão, o país em desenvolvimento 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eliminará os subsídios à exportação remanescentes no prazo de 2 anos a contar do fim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último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período autorizado.</w:t>
      </w:r>
    </w:p>
    <w:p w14:paraId="12B7535E" w14:textId="77777777" w:rsidR="00CB6C86" w:rsidRPr="00395593" w:rsidRDefault="00CB6C86" w:rsidP="000A5EB5">
      <w:pPr>
        <w:widowControl w:val="0"/>
        <w:autoSpaceDE w:val="0"/>
        <w:autoSpaceDN w:val="0"/>
        <w:spacing w:before="1" w:after="0" w:line="240" w:lineRule="auto"/>
        <w:jc w:val="both"/>
        <w:rPr>
          <w:rFonts w:ascii="Garamond" w:eastAsia="Times New Roman" w:hAnsi="Garamond" w:cs="Times New Roman"/>
          <w:sz w:val="24"/>
          <w:szCs w:val="24"/>
        </w:rPr>
      </w:pPr>
    </w:p>
    <w:p w14:paraId="1E05F63F" w14:textId="4A99B4FB" w:rsidR="00CB6C86" w:rsidRPr="00395593" w:rsidRDefault="00CB6C86" w:rsidP="002C4340">
      <w:pPr>
        <w:widowControl w:val="0"/>
        <w:numPr>
          <w:ilvl w:val="0"/>
          <w:numId w:val="38"/>
        </w:numPr>
        <w:tabs>
          <w:tab w:val="left" w:pos="810"/>
        </w:tabs>
        <w:autoSpaceDE w:val="0"/>
        <w:autoSpaceDN w:val="0"/>
        <w:spacing w:before="1"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O país em desenvolvimento Membro que tiver atingido competitividade exportadora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em determinado produto eliminará os subsídios à exportação para aquele(s) produto(s) 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prazo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2</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obstante,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países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desenvolvimento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mencionados</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30"/>
          <w:sz w:val="24"/>
        </w:rPr>
        <w:t xml:space="preserve"> </w:t>
      </w:r>
      <w:r w:rsidRPr="00395593">
        <w:rPr>
          <w:rFonts w:ascii="Garamond" w:eastAsia="Times New Roman" w:hAnsi="Garamond" w:cs="Times New Roman"/>
          <w:sz w:val="24"/>
        </w:rPr>
        <w:t>Anexo</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VII</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tenham</w:t>
      </w:r>
      <w:r w:rsidRPr="00395593">
        <w:rPr>
          <w:rFonts w:ascii="Garamond" w:eastAsia="Times New Roman" w:hAnsi="Garamond" w:cs="Times New Roman"/>
          <w:spacing w:val="29"/>
          <w:sz w:val="24"/>
        </w:rPr>
        <w:t xml:space="preserve"> </w:t>
      </w:r>
      <w:r w:rsidRPr="00395593">
        <w:rPr>
          <w:rFonts w:ascii="Garamond" w:eastAsia="Times New Roman" w:hAnsi="Garamond" w:cs="Times New Roman"/>
          <w:sz w:val="24"/>
        </w:rPr>
        <w:t>atingido</w:t>
      </w:r>
      <w:r w:rsidRPr="00395593">
        <w:rPr>
          <w:rFonts w:ascii="Garamond" w:eastAsia="Times New Roman" w:hAnsi="Garamond" w:cs="Times New Roman"/>
          <w:spacing w:val="31"/>
          <w:sz w:val="24"/>
        </w:rPr>
        <w:t xml:space="preserve"> </w:t>
      </w:r>
      <w:r w:rsidRPr="00395593">
        <w:rPr>
          <w:rFonts w:ascii="Garamond" w:eastAsia="Times New Roman" w:hAnsi="Garamond" w:cs="Times New Roman"/>
          <w:sz w:val="24"/>
        </w:rPr>
        <w:t>competitividade</w:t>
      </w:r>
      <w:r w:rsidRPr="00395593">
        <w:rPr>
          <w:rFonts w:ascii="Garamond" w:eastAsia="Times New Roman" w:hAnsi="Garamond" w:cs="Times New Roman"/>
          <w:spacing w:val="26"/>
          <w:sz w:val="24"/>
        </w:rPr>
        <w:t xml:space="preserve"> </w:t>
      </w:r>
      <w:r w:rsidRPr="00395593">
        <w:rPr>
          <w:rFonts w:ascii="Garamond" w:eastAsia="Times New Roman" w:hAnsi="Garamond" w:cs="Times New Roman"/>
          <w:sz w:val="24"/>
        </w:rPr>
        <w:t>exportadora</w:t>
      </w:r>
      <w:r w:rsidRPr="00395593">
        <w:rPr>
          <w:rFonts w:ascii="Garamond" w:eastAsia="Times New Roman" w:hAnsi="Garamond" w:cs="Times New Roman"/>
          <w:spacing w:val="26"/>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31"/>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ou</w:t>
      </w:r>
    </w:p>
    <w:p w14:paraId="6C13394A" w14:textId="77777777" w:rsidR="00830C4A" w:rsidRDefault="00830C4A" w:rsidP="00830C4A">
      <w:pPr>
        <w:pStyle w:val="PargrafodaLista"/>
        <w:rPr>
          <w:rFonts w:ascii="Garamond" w:eastAsia="Times New Roman" w:hAnsi="Garamond" w:cs="Times New Roman"/>
          <w:sz w:val="24"/>
        </w:rPr>
      </w:pPr>
    </w:p>
    <w:p w14:paraId="05C0D854" w14:textId="39A1466D" w:rsidR="00830C4A" w:rsidRDefault="00830C4A" w:rsidP="00830C4A">
      <w:pPr>
        <w:widowControl w:val="0"/>
        <w:tabs>
          <w:tab w:val="left" w:pos="810"/>
        </w:tabs>
        <w:autoSpaceDE w:val="0"/>
        <w:autoSpaceDN w:val="0"/>
        <w:spacing w:before="1" w:after="0" w:line="240" w:lineRule="auto"/>
        <w:ind w:right="119"/>
        <w:jc w:val="both"/>
        <w:rPr>
          <w:rFonts w:ascii="Garamond" w:eastAsia="Times New Roman" w:hAnsi="Garamond" w:cs="Times New Roman"/>
          <w:sz w:val="24"/>
        </w:rPr>
      </w:pPr>
    </w:p>
    <w:p w14:paraId="57895E3B" w14:textId="77777777" w:rsidR="0016612F" w:rsidRPr="00395593" w:rsidRDefault="00CB6C86" w:rsidP="0016612F">
      <w:pPr>
        <w:widowControl w:val="0"/>
        <w:autoSpaceDE w:val="0"/>
        <w:autoSpaceDN w:val="0"/>
        <w:spacing w:before="11" w:after="0" w:line="240" w:lineRule="auto"/>
        <w:rPr>
          <w:rFonts w:ascii="Garamond" w:eastAsia="Times New Roman" w:hAnsi="Garamond" w:cs="Times New Roman"/>
          <w:sz w:val="20"/>
          <w:vertAlign w:val="superscript"/>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82" behindDoc="1" locked="0" layoutInCell="1" allowOverlap="1" wp14:anchorId="424589F0" wp14:editId="5DEC3950">
                <wp:simplePos x="0" y="0"/>
                <wp:positionH relativeFrom="page">
                  <wp:posOffset>1080770</wp:posOffset>
                </wp:positionH>
                <wp:positionV relativeFrom="paragraph">
                  <wp:posOffset>212090</wp:posOffset>
                </wp:positionV>
                <wp:extent cx="1828800" cy="7620"/>
                <wp:effectExtent l="4445" t="4445" r="0" b="0"/>
                <wp:wrapTopAndBottom/>
                <wp:docPr id="411" name="Retângulo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95A99" id="Retângulo 411" o:spid="_x0000_s1026" style="position:absolute;margin-left:85.1pt;margin-top:16.7pt;width:2in;height:.6pt;z-index:-2516581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" fillcolor="black" stroked="f">
                <w10:wrap type="topAndBottom" anchorx="page"/>
              </v:rect>
            </w:pict>
          </mc:Fallback>
        </mc:AlternateContent>
      </w:r>
    </w:p>
    <w:p w14:paraId="4125A04C" w14:textId="4F0A41C1" w:rsidR="00CB6C86" w:rsidRPr="00395593" w:rsidRDefault="00CB6C86" w:rsidP="0016612F">
      <w:pPr>
        <w:widowControl w:val="0"/>
        <w:autoSpaceDE w:val="0"/>
        <w:autoSpaceDN w:val="0"/>
        <w:spacing w:before="11" w:after="0" w:line="240" w:lineRule="auto"/>
        <w:rPr>
          <w:rFonts w:ascii="Garamond" w:eastAsia="Times New Roman" w:hAnsi="Garamond" w:cs="Times New Roman"/>
          <w:sz w:val="20"/>
        </w:rPr>
      </w:pPr>
      <w:r w:rsidRPr="00D84825">
        <w:rPr>
          <w:rFonts w:ascii="Garamond" w:eastAsia="Times New Roman" w:hAnsi="Garamond" w:cs="Times New Roman"/>
          <w:sz w:val="20"/>
          <w:vertAlign w:val="superscript"/>
        </w:rPr>
        <w:t>55</w:t>
      </w:r>
      <w:r w:rsidRPr="00D84825">
        <w:rPr>
          <w:rFonts w:ascii="Garamond" w:eastAsia="Times New Roman" w:hAnsi="Garamond" w:cs="Times New Roman"/>
          <w:sz w:val="20"/>
        </w:rPr>
        <w:t xml:space="preserve"> No caso do país em desenvolvimento Membro que não esteja concedendo subsídios à exportação na data de</w:t>
      </w:r>
      <w:r w:rsidRPr="00D84825">
        <w:rPr>
          <w:rFonts w:ascii="Garamond" w:eastAsia="Times New Roman" w:hAnsi="Garamond" w:cs="Times New Roman"/>
          <w:spacing w:val="-47"/>
          <w:sz w:val="20"/>
        </w:rPr>
        <w:t xml:space="preserve"> </w:t>
      </w:r>
      <w:r w:rsidRPr="00D84825">
        <w:rPr>
          <w:rFonts w:ascii="Garamond" w:eastAsia="Times New Roman" w:hAnsi="Garamond" w:cs="Times New Roman"/>
          <w:sz w:val="20"/>
        </w:rPr>
        <w:t>entrada em vigor do Acordo Constitutivo da OMC, este parágrafo será aplicado em relação ao nível de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subsídios</w:t>
      </w:r>
      <w:r w:rsidRPr="00D84825">
        <w:rPr>
          <w:rFonts w:ascii="Garamond" w:eastAsia="Times New Roman" w:hAnsi="Garamond" w:cs="Times New Roman"/>
          <w:spacing w:val="-2"/>
          <w:sz w:val="20"/>
        </w:rPr>
        <w:t xml:space="preserve"> </w:t>
      </w:r>
      <w:r w:rsidRPr="00D84825">
        <w:rPr>
          <w:rFonts w:ascii="Garamond" w:eastAsia="Times New Roman" w:hAnsi="Garamond" w:cs="Times New Roman"/>
          <w:sz w:val="20"/>
        </w:rPr>
        <w:t>à exportação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concedidos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em</w:t>
      </w:r>
      <w:r w:rsidRPr="00D84825">
        <w:rPr>
          <w:rFonts w:ascii="Garamond" w:eastAsia="Times New Roman" w:hAnsi="Garamond" w:cs="Times New Roman"/>
          <w:spacing w:val="-4"/>
          <w:sz w:val="20"/>
        </w:rPr>
        <w:t xml:space="preserve"> </w:t>
      </w:r>
      <w:r w:rsidRPr="00D84825">
        <w:rPr>
          <w:rFonts w:ascii="Garamond" w:eastAsia="Times New Roman" w:hAnsi="Garamond" w:cs="Times New Roman"/>
          <w:sz w:val="20"/>
        </w:rPr>
        <w:t>1986.</w:t>
      </w:r>
    </w:p>
    <w:p w14:paraId="5B836DEE" w14:textId="3BB51C01" w:rsidR="00CB6C86" w:rsidRPr="005C5CBD" w:rsidRDefault="00CB6C86" w:rsidP="00E33E26">
      <w:pPr>
        <w:widowControl w:val="0"/>
        <w:autoSpaceDE w:val="0"/>
        <w:autoSpaceDN w:val="0"/>
        <w:spacing w:after="0" w:line="240" w:lineRule="auto"/>
        <w:jc w:val="both"/>
        <w:rPr>
          <w:rFonts w:ascii="Garamond" w:eastAsia="Times New Roman" w:hAnsi="Garamond" w:cs="Times New Roman"/>
          <w:sz w:val="20"/>
        </w:rPr>
      </w:pPr>
    </w:p>
    <w:p w14:paraId="5C1D39FF" w14:textId="2D9F21CE" w:rsidR="00CB6C86" w:rsidRPr="00395593" w:rsidRDefault="00CB6C86" w:rsidP="00CB6C86">
      <w:pPr>
        <w:widowControl w:val="0"/>
        <w:autoSpaceDE w:val="0"/>
        <w:autoSpaceDN w:val="0"/>
        <w:spacing w:before="68" w:after="0" w:line="240" w:lineRule="auto"/>
        <w:ind w:right="121"/>
        <w:rPr>
          <w:rFonts w:ascii="Garamond" w:eastAsia="Times New Roman" w:hAnsi="Garamond" w:cs="Times New Roman"/>
          <w:sz w:val="24"/>
          <w:szCs w:val="24"/>
        </w:rPr>
      </w:pPr>
      <w:r w:rsidRPr="00395593">
        <w:rPr>
          <w:rFonts w:ascii="Garamond" w:eastAsia="Times New Roman" w:hAnsi="Garamond" w:cs="Times New Roman"/>
          <w:sz w:val="24"/>
          <w:szCs w:val="24"/>
        </w:rPr>
        <w:t>mais</w:t>
      </w:r>
      <w:r w:rsidRPr="00395593">
        <w:rPr>
          <w:rFonts w:ascii="Garamond" w:eastAsia="Times New Roman" w:hAnsi="Garamond" w:cs="Times New Roman"/>
          <w:spacing w:val="6"/>
          <w:sz w:val="24"/>
          <w:szCs w:val="24"/>
        </w:rPr>
        <w:t xml:space="preserve"> </w:t>
      </w:r>
      <w:r w:rsidRPr="00395593">
        <w:rPr>
          <w:rFonts w:ascii="Garamond" w:eastAsia="Times New Roman" w:hAnsi="Garamond" w:cs="Times New Roman"/>
          <w:sz w:val="24"/>
          <w:szCs w:val="24"/>
        </w:rPr>
        <w:t>produtos,</w:t>
      </w:r>
      <w:r w:rsidRPr="00395593">
        <w:rPr>
          <w:rFonts w:ascii="Garamond" w:eastAsia="Times New Roman" w:hAnsi="Garamond" w:cs="Times New Roman"/>
          <w:spacing w:val="7"/>
          <w:sz w:val="24"/>
          <w:szCs w:val="24"/>
        </w:rPr>
        <w:t xml:space="preserve"> </w:t>
      </w:r>
      <w:r w:rsidRPr="00395593">
        <w:rPr>
          <w:rFonts w:ascii="Garamond" w:eastAsia="Times New Roman" w:hAnsi="Garamond" w:cs="Times New Roman"/>
          <w:sz w:val="24"/>
          <w:szCs w:val="24"/>
        </w:rPr>
        <w:t>o</w:t>
      </w:r>
      <w:r w:rsidRPr="00395593">
        <w:rPr>
          <w:rFonts w:ascii="Garamond" w:eastAsia="Times New Roman" w:hAnsi="Garamond" w:cs="Times New Roman"/>
          <w:spacing w:val="6"/>
          <w:sz w:val="24"/>
          <w:szCs w:val="24"/>
        </w:rPr>
        <w:t xml:space="preserve"> </w:t>
      </w:r>
      <w:r w:rsidRPr="00395593">
        <w:rPr>
          <w:rFonts w:ascii="Garamond" w:eastAsia="Times New Roman" w:hAnsi="Garamond" w:cs="Times New Roman"/>
          <w:sz w:val="24"/>
          <w:szCs w:val="24"/>
        </w:rPr>
        <w:t>subsídio</w:t>
      </w:r>
      <w:r w:rsidRPr="00395593">
        <w:rPr>
          <w:rFonts w:ascii="Garamond" w:eastAsia="Times New Roman" w:hAnsi="Garamond" w:cs="Times New Roman"/>
          <w:spacing w:val="6"/>
          <w:sz w:val="24"/>
          <w:szCs w:val="24"/>
        </w:rPr>
        <w:t xml:space="preserve"> </w:t>
      </w:r>
      <w:r w:rsidRPr="00395593">
        <w:rPr>
          <w:rFonts w:ascii="Garamond" w:eastAsia="Times New Roman" w:hAnsi="Garamond" w:cs="Times New Roman"/>
          <w:sz w:val="24"/>
          <w:szCs w:val="24"/>
        </w:rPr>
        <w:t>à</w:t>
      </w:r>
      <w:r w:rsidRPr="00395593">
        <w:rPr>
          <w:rFonts w:ascii="Garamond" w:eastAsia="Times New Roman" w:hAnsi="Garamond" w:cs="Times New Roman"/>
          <w:spacing w:val="8"/>
          <w:sz w:val="24"/>
          <w:szCs w:val="24"/>
        </w:rPr>
        <w:t xml:space="preserve"> </w:t>
      </w:r>
      <w:r w:rsidRPr="00395593">
        <w:rPr>
          <w:rFonts w:ascii="Garamond" w:eastAsia="Times New Roman" w:hAnsi="Garamond" w:cs="Times New Roman"/>
          <w:sz w:val="24"/>
          <w:szCs w:val="24"/>
        </w:rPr>
        <w:t>exportação</w:t>
      </w:r>
      <w:r w:rsidRPr="00395593">
        <w:rPr>
          <w:rFonts w:ascii="Garamond" w:eastAsia="Times New Roman" w:hAnsi="Garamond" w:cs="Times New Roman"/>
          <w:spacing w:val="6"/>
          <w:sz w:val="24"/>
          <w:szCs w:val="24"/>
        </w:rPr>
        <w:t xml:space="preserve"> </w:t>
      </w:r>
      <w:r w:rsidRPr="00395593">
        <w:rPr>
          <w:rFonts w:ascii="Garamond" w:eastAsia="Times New Roman" w:hAnsi="Garamond" w:cs="Times New Roman"/>
          <w:sz w:val="24"/>
          <w:szCs w:val="24"/>
        </w:rPr>
        <w:t>sobre</w:t>
      </w:r>
      <w:r w:rsidRPr="00395593">
        <w:rPr>
          <w:rFonts w:ascii="Garamond" w:eastAsia="Times New Roman" w:hAnsi="Garamond" w:cs="Times New Roman"/>
          <w:spacing w:val="7"/>
          <w:sz w:val="24"/>
          <w:szCs w:val="24"/>
        </w:rPr>
        <w:t xml:space="preserve"> </w:t>
      </w:r>
      <w:r w:rsidRPr="00395593">
        <w:rPr>
          <w:rFonts w:ascii="Garamond" w:eastAsia="Times New Roman" w:hAnsi="Garamond" w:cs="Times New Roman"/>
          <w:sz w:val="24"/>
          <w:szCs w:val="24"/>
        </w:rPr>
        <w:t>tais</w:t>
      </w:r>
      <w:r w:rsidRPr="00395593">
        <w:rPr>
          <w:rFonts w:ascii="Garamond" w:eastAsia="Times New Roman" w:hAnsi="Garamond" w:cs="Times New Roman"/>
          <w:spacing w:val="7"/>
          <w:sz w:val="24"/>
          <w:szCs w:val="24"/>
        </w:rPr>
        <w:t xml:space="preserve"> </w:t>
      </w:r>
      <w:r w:rsidRPr="00395593">
        <w:rPr>
          <w:rFonts w:ascii="Garamond" w:eastAsia="Times New Roman" w:hAnsi="Garamond" w:cs="Times New Roman"/>
          <w:sz w:val="24"/>
          <w:szCs w:val="24"/>
        </w:rPr>
        <w:t>produtos</w:t>
      </w:r>
      <w:r w:rsidRPr="00395593">
        <w:rPr>
          <w:rFonts w:ascii="Garamond" w:eastAsia="Times New Roman" w:hAnsi="Garamond" w:cs="Times New Roman"/>
          <w:spacing w:val="7"/>
          <w:sz w:val="24"/>
          <w:szCs w:val="24"/>
        </w:rPr>
        <w:t xml:space="preserve"> </w:t>
      </w:r>
      <w:r w:rsidRPr="00395593">
        <w:rPr>
          <w:rFonts w:ascii="Garamond" w:eastAsia="Times New Roman" w:hAnsi="Garamond" w:cs="Times New Roman"/>
          <w:sz w:val="24"/>
          <w:szCs w:val="24"/>
        </w:rPr>
        <w:t>será</w:t>
      </w:r>
      <w:r w:rsidRPr="00395593">
        <w:rPr>
          <w:rFonts w:ascii="Garamond" w:eastAsia="Times New Roman" w:hAnsi="Garamond" w:cs="Times New Roman"/>
          <w:spacing w:val="7"/>
          <w:sz w:val="24"/>
          <w:szCs w:val="24"/>
        </w:rPr>
        <w:t xml:space="preserve"> </w:t>
      </w:r>
      <w:r w:rsidRPr="00395593">
        <w:rPr>
          <w:rFonts w:ascii="Garamond" w:eastAsia="Times New Roman" w:hAnsi="Garamond" w:cs="Times New Roman"/>
          <w:sz w:val="24"/>
          <w:szCs w:val="24"/>
        </w:rPr>
        <w:t>gradualmente</w:t>
      </w:r>
      <w:r w:rsidRPr="00395593">
        <w:rPr>
          <w:rFonts w:ascii="Garamond" w:eastAsia="Times New Roman" w:hAnsi="Garamond" w:cs="Times New Roman"/>
          <w:spacing w:val="6"/>
          <w:sz w:val="24"/>
          <w:szCs w:val="24"/>
        </w:rPr>
        <w:t xml:space="preserve"> </w:t>
      </w:r>
      <w:r w:rsidRPr="00395593">
        <w:rPr>
          <w:rFonts w:ascii="Garamond" w:eastAsia="Times New Roman" w:hAnsi="Garamond" w:cs="Times New Roman"/>
          <w:sz w:val="24"/>
          <w:szCs w:val="24"/>
        </w:rPr>
        <w:t>eliminado</w:t>
      </w:r>
      <w:r w:rsidRPr="00395593">
        <w:rPr>
          <w:rFonts w:ascii="Garamond" w:eastAsia="Times New Roman" w:hAnsi="Garamond" w:cs="Times New Roman"/>
          <w:spacing w:val="6"/>
          <w:sz w:val="24"/>
          <w:szCs w:val="24"/>
        </w:rPr>
        <w:t xml:space="preserve"> </w:t>
      </w:r>
      <w:r w:rsidRPr="00395593">
        <w:rPr>
          <w:rFonts w:ascii="Garamond" w:eastAsia="Times New Roman" w:hAnsi="Garamond" w:cs="Times New Roman"/>
          <w:sz w:val="24"/>
          <w:szCs w:val="24"/>
        </w:rPr>
        <w:t>no</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período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8 anos.</w:t>
      </w:r>
    </w:p>
    <w:p w14:paraId="6846D31C"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001DD376" w14:textId="77777777" w:rsidR="00CB6C86" w:rsidRPr="00395593" w:rsidRDefault="00CB6C86" w:rsidP="002C4340">
      <w:pPr>
        <w:widowControl w:val="0"/>
        <w:numPr>
          <w:ilvl w:val="0"/>
          <w:numId w:val="38"/>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Ocorre competitividade exportadora em um produto quando as exportações desse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 oriundas do país em desenvolvimento Membro atinjam proporção de pelo menos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3,25 por cento do comércio mundial daquele produto durante 2 anos civis consecutivos.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Competitividade exportadora incidirá quer (a) com base em notificação feita pelo próprio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país em desenvolvimento Membro, no sentido de ter atingido competitividade exportadora,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quer (b) com base em avaliação realizada pela secretaria a pedido de qualquer 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 os fins deste parágrafo define-se um produto por sua posição no Sistema Harmonizado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de Descrição e Codificação de Mercadorias. O Comitê reverá a operação desta disposição 5</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após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entrada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vigor do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Constitutivo 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OMC.</w:t>
      </w:r>
    </w:p>
    <w:p w14:paraId="1345F3C4" w14:textId="77777777" w:rsidR="00CB6C86" w:rsidRPr="00395593" w:rsidRDefault="00CB6C86" w:rsidP="000A5EB5">
      <w:pPr>
        <w:widowControl w:val="0"/>
        <w:autoSpaceDE w:val="0"/>
        <w:autoSpaceDN w:val="0"/>
        <w:spacing w:before="1" w:after="0" w:line="240" w:lineRule="auto"/>
        <w:jc w:val="both"/>
        <w:rPr>
          <w:rFonts w:ascii="Garamond" w:eastAsia="Times New Roman" w:hAnsi="Garamond" w:cs="Times New Roman"/>
          <w:sz w:val="24"/>
          <w:szCs w:val="24"/>
        </w:rPr>
      </w:pPr>
    </w:p>
    <w:p w14:paraId="7DA56BE2" w14:textId="77777777" w:rsidR="00CB6C86" w:rsidRPr="00395593" w:rsidRDefault="00CB6C86" w:rsidP="002C4340">
      <w:pPr>
        <w:widowControl w:val="0"/>
        <w:numPr>
          <w:ilvl w:val="0"/>
          <w:numId w:val="38"/>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O disposto no Artigo 4 não se aplicará a países em desenvolvimento Membros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quando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estiverem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conformidade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2 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5.</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tais casos,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disposição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aplicável será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 7.</w:t>
      </w:r>
    </w:p>
    <w:p w14:paraId="4E28C8D3"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0DAD1F25" w14:textId="77777777" w:rsidR="00CB6C86" w:rsidRPr="00395593" w:rsidRDefault="00CB6C86" w:rsidP="002C4340">
      <w:pPr>
        <w:widowControl w:val="0"/>
        <w:numPr>
          <w:ilvl w:val="0"/>
          <w:numId w:val="38"/>
        </w:numPr>
        <w:tabs>
          <w:tab w:val="left" w:pos="810"/>
        </w:tabs>
        <w:autoSpaceDE w:val="0"/>
        <w:autoSpaceDN w:val="0"/>
        <w:spacing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Não se presumirá, nos termos do parágrafo 1 do Artigo 6, que subsídio concedido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 país em desenvolvimento Membro produza sério dano, tal como definido neste Acordo.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Tal sério dano, quando aplicável ao abrigo do parágrafo 9, será demonstrado por melo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positivas, 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acordo com 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disposições 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parágrafos 3 a</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8 do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Artigo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6.</w:t>
      </w:r>
    </w:p>
    <w:p w14:paraId="459095C6"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56CEA3C5" w14:textId="77777777" w:rsidR="00CB6C86" w:rsidRPr="00395593" w:rsidRDefault="00CB6C86" w:rsidP="002C4340">
      <w:pPr>
        <w:widowControl w:val="0"/>
        <w:numPr>
          <w:ilvl w:val="0"/>
          <w:numId w:val="38"/>
        </w:numPr>
        <w:tabs>
          <w:tab w:val="left" w:pos="472"/>
        </w:tabs>
        <w:autoSpaceDE w:val="0"/>
        <w:autoSpaceDN w:val="0"/>
        <w:spacing w:after="0" w:line="240" w:lineRule="auto"/>
        <w:ind w:right="118" w:firstLine="0"/>
        <w:jc w:val="both"/>
        <w:rPr>
          <w:rFonts w:ascii="Garamond" w:eastAsia="Times New Roman" w:hAnsi="Garamond" w:cs="Times New Roman"/>
          <w:sz w:val="24"/>
        </w:rPr>
      </w:pP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relação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acionáveis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concedidos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mantidos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país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desenvolvimento</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26"/>
          <w:sz w:val="24"/>
        </w:rPr>
        <w:t xml:space="preserve"> </w:t>
      </w:r>
      <w:r w:rsidRPr="00395593">
        <w:rPr>
          <w:rFonts w:ascii="Garamond" w:eastAsia="Times New Roman" w:hAnsi="Garamond" w:cs="Times New Roman"/>
          <w:sz w:val="24"/>
        </w:rPr>
        <w:t>além</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daqueles</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6"/>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26"/>
          <w:sz w:val="24"/>
        </w:rPr>
        <w:t xml:space="preserve"> </w:t>
      </w:r>
      <w:r w:rsidRPr="00395593">
        <w:rPr>
          <w:rFonts w:ascii="Garamond" w:eastAsia="Times New Roman" w:hAnsi="Garamond" w:cs="Times New Roman"/>
          <w:sz w:val="24"/>
        </w:rPr>
        <w:t>refere</w:t>
      </w:r>
      <w:r w:rsidRPr="00395593">
        <w:rPr>
          <w:rFonts w:ascii="Garamond" w:eastAsia="Times New Roman" w:hAnsi="Garamond" w:cs="Times New Roman"/>
          <w:spacing w:val="26"/>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1</w:t>
      </w:r>
      <w:r w:rsidRPr="00395593">
        <w:rPr>
          <w:rFonts w:ascii="Garamond" w:eastAsia="Times New Roman" w:hAnsi="Garamond" w:cs="Times New Roman"/>
          <w:spacing w:val="28"/>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Artigo</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6,</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não se poderá autorizar nem empreender ação ao amparo do Artigo 7, a menos que 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existir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anulação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prejuízo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concessões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tarifárias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outras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obrigações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previstas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GATT 1994</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conseqüência de 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forma a</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deslocar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impedir importações de produto similar de outro Membro para o mercado do país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desenvolvimento outorgante Membro ou a menos que ocorra dano à indústria nacional 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mercado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 importador.</w:t>
      </w:r>
    </w:p>
    <w:p w14:paraId="506DAA69" w14:textId="77777777" w:rsidR="00CB6C86" w:rsidRPr="00395593" w:rsidRDefault="00CB6C86" w:rsidP="000A5EB5">
      <w:pPr>
        <w:widowControl w:val="0"/>
        <w:autoSpaceDE w:val="0"/>
        <w:autoSpaceDN w:val="0"/>
        <w:spacing w:before="1" w:after="0" w:line="240" w:lineRule="auto"/>
        <w:jc w:val="both"/>
        <w:rPr>
          <w:rFonts w:ascii="Garamond" w:eastAsia="Times New Roman" w:hAnsi="Garamond" w:cs="Times New Roman"/>
          <w:sz w:val="24"/>
          <w:szCs w:val="24"/>
        </w:rPr>
      </w:pPr>
    </w:p>
    <w:p w14:paraId="1A2F62ED" w14:textId="77777777" w:rsidR="00CB6C86" w:rsidRPr="00395593" w:rsidRDefault="00CB6C86" w:rsidP="002C4340">
      <w:pPr>
        <w:widowControl w:val="0"/>
        <w:numPr>
          <w:ilvl w:val="0"/>
          <w:numId w:val="38"/>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Toda ação investigatória sobre direitos compensatórios acerca de produto originário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país em desenvolvimento Membro será terminado tão logo as autoridades competentes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p>
    <w:p w14:paraId="26F2DD57"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4E2211C5" w14:textId="77777777" w:rsidR="00CB6C86" w:rsidRPr="00395593" w:rsidRDefault="00CB6C86" w:rsidP="002C4340">
      <w:pPr>
        <w:widowControl w:val="0"/>
        <w:numPr>
          <w:ilvl w:val="1"/>
          <w:numId w:val="38"/>
        </w:numPr>
        <w:tabs>
          <w:tab w:val="left" w:pos="1151"/>
        </w:tabs>
        <w:autoSpaceDE w:val="0"/>
        <w:autoSpaceDN w:val="0"/>
        <w:spacing w:after="0" w:line="240" w:lineRule="auto"/>
        <w:ind w:left="1181" w:right="124" w:hanging="360"/>
        <w:jc w:val="both"/>
        <w:rPr>
          <w:rFonts w:ascii="Garamond" w:eastAsia="Times New Roman" w:hAnsi="Garamond" w:cs="Times New Roman"/>
          <w:sz w:val="24"/>
        </w:rPr>
      </w:pPr>
      <w:r w:rsidRPr="00395593">
        <w:rPr>
          <w:rFonts w:ascii="Garamond" w:eastAsia="Times New Roman" w:hAnsi="Garamond" w:cs="Times New Roman"/>
          <w:sz w:val="24"/>
        </w:rPr>
        <w:t>o nível global de subsídios concedidos sobre o produto em questão não excede 2</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cento do seu valor calculado em base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unitária;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p>
    <w:p w14:paraId="0C109121"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729C5B4E" w14:textId="77777777" w:rsidR="00CB6C86" w:rsidRPr="00395593" w:rsidRDefault="00CB6C86" w:rsidP="002C4340">
      <w:pPr>
        <w:widowControl w:val="0"/>
        <w:numPr>
          <w:ilvl w:val="1"/>
          <w:numId w:val="38"/>
        </w:numPr>
        <w:tabs>
          <w:tab w:val="left" w:pos="1216"/>
        </w:tabs>
        <w:autoSpaceDE w:val="0"/>
        <w:autoSpaceDN w:val="0"/>
        <w:spacing w:before="1" w:after="0" w:line="240" w:lineRule="auto"/>
        <w:ind w:left="1181" w:right="119" w:hanging="360"/>
        <w:jc w:val="both"/>
        <w:rPr>
          <w:rFonts w:ascii="Garamond" w:eastAsia="Times New Roman" w:hAnsi="Garamond" w:cs="Times New Roman"/>
          <w:sz w:val="24"/>
        </w:rPr>
      </w:pPr>
      <w:r w:rsidRPr="00395593">
        <w:rPr>
          <w:rFonts w:ascii="Garamond" w:eastAsia="Times New Roman" w:hAnsi="Garamond" w:cs="Times New Roman"/>
          <w:sz w:val="24"/>
        </w:rPr>
        <w:t>o volume de importações subsidiadas representa menos de 4 por cento 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similar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importador,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oriundas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países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desenvolvimento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cujas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participações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percentuais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individuais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excedam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4</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 cento,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representem</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agregadamente, mais de 9 por cento das importações totais do produto similar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 importador.</w:t>
      </w:r>
    </w:p>
    <w:p w14:paraId="7367A1A4" w14:textId="77777777" w:rsidR="00CB6C86" w:rsidRPr="00395593" w:rsidRDefault="00CB6C86" w:rsidP="000A5EB5">
      <w:pPr>
        <w:widowControl w:val="0"/>
        <w:autoSpaceDE w:val="0"/>
        <w:autoSpaceDN w:val="0"/>
        <w:spacing w:before="11" w:after="0" w:line="240" w:lineRule="auto"/>
        <w:jc w:val="both"/>
        <w:rPr>
          <w:rFonts w:ascii="Garamond" w:eastAsia="Times New Roman" w:hAnsi="Garamond" w:cs="Times New Roman"/>
          <w:sz w:val="23"/>
          <w:szCs w:val="24"/>
        </w:rPr>
      </w:pPr>
    </w:p>
    <w:p w14:paraId="69B0F667" w14:textId="77777777" w:rsidR="00CB6C86" w:rsidRPr="00395593" w:rsidRDefault="00CB6C86" w:rsidP="002C4340">
      <w:pPr>
        <w:widowControl w:val="0"/>
        <w:numPr>
          <w:ilvl w:val="0"/>
          <w:numId w:val="38"/>
        </w:numPr>
        <w:tabs>
          <w:tab w:val="left" w:pos="810"/>
        </w:tabs>
        <w:autoSpaceDE w:val="0"/>
        <w:autoSpaceDN w:val="0"/>
        <w:spacing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Para aqueles países em desenvolvimento Membros situados no âmbito do 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2(b)</w:t>
      </w:r>
      <w:r w:rsidRPr="00395593">
        <w:rPr>
          <w:rFonts w:ascii="Garamond" w:eastAsia="Times New Roman" w:hAnsi="Garamond" w:cs="Times New Roman"/>
          <w:spacing w:val="35"/>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36"/>
          <w:sz w:val="24"/>
        </w:rPr>
        <w:t xml:space="preserve"> </w:t>
      </w:r>
      <w:r w:rsidRPr="00395593">
        <w:rPr>
          <w:rFonts w:ascii="Garamond" w:eastAsia="Times New Roman" w:hAnsi="Garamond" w:cs="Times New Roman"/>
          <w:sz w:val="24"/>
        </w:rPr>
        <w:t>tenham</w:t>
      </w:r>
      <w:r w:rsidRPr="00395593">
        <w:rPr>
          <w:rFonts w:ascii="Garamond" w:eastAsia="Times New Roman" w:hAnsi="Garamond" w:cs="Times New Roman"/>
          <w:spacing w:val="38"/>
          <w:sz w:val="24"/>
        </w:rPr>
        <w:t xml:space="preserve"> </w:t>
      </w:r>
      <w:r w:rsidRPr="00395593">
        <w:rPr>
          <w:rFonts w:ascii="Garamond" w:eastAsia="Times New Roman" w:hAnsi="Garamond" w:cs="Times New Roman"/>
          <w:sz w:val="24"/>
        </w:rPr>
        <w:t>eliminado</w:t>
      </w:r>
      <w:r w:rsidRPr="00395593">
        <w:rPr>
          <w:rFonts w:ascii="Garamond" w:eastAsia="Times New Roman" w:hAnsi="Garamond" w:cs="Times New Roman"/>
          <w:spacing w:val="37"/>
          <w:sz w:val="24"/>
        </w:rPr>
        <w:t xml:space="preserve"> </w:t>
      </w:r>
      <w:r w:rsidRPr="00395593">
        <w:rPr>
          <w:rFonts w:ascii="Garamond" w:eastAsia="Times New Roman" w:hAnsi="Garamond" w:cs="Times New Roman"/>
          <w:sz w:val="24"/>
        </w:rPr>
        <w:t>subsídios</w:t>
      </w:r>
      <w:r w:rsidRPr="00395593">
        <w:rPr>
          <w:rFonts w:ascii="Garamond" w:eastAsia="Times New Roman" w:hAnsi="Garamond" w:cs="Times New Roman"/>
          <w:spacing w:val="38"/>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36"/>
          <w:sz w:val="24"/>
        </w:rPr>
        <w:t xml:space="preserve"> </w:t>
      </w:r>
      <w:r w:rsidRPr="00395593">
        <w:rPr>
          <w:rFonts w:ascii="Garamond" w:eastAsia="Times New Roman" w:hAnsi="Garamond" w:cs="Times New Roman"/>
          <w:sz w:val="24"/>
        </w:rPr>
        <w:t>exportação</w:t>
      </w:r>
      <w:r w:rsidRPr="00395593">
        <w:rPr>
          <w:rFonts w:ascii="Garamond" w:eastAsia="Times New Roman" w:hAnsi="Garamond" w:cs="Times New Roman"/>
          <w:spacing w:val="37"/>
          <w:sz w:val="24"/>
        </w:rPr>
        <w:t xml:space="preserve"> </w:t>
      </w:r>
      <w:r w:rsidRPr="00395593">
        <w:rPr>
          <w:rFonts w:ascii="Garamond" w:eastAsia="Times New Roman" w:hAnsi="Garamond" w:cs="Times New Roman"/>
          <w:sz w:val="24"/>
        </w:rPr>
        <w:t>antes</w:t>
      </w:r>
      <w:r w:rsidRPr="00395593">
        <w:rPr>
          <w:rFonts w:ascii="Garamond" w:eastAsia="Times New Roman" w:hAnsi="Garamond" w:cs="Times New Roman"/>
          <w:spacing w:val="37"/>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37"/>
          <w:sz w:val="24"/>
        </w:rPr>
        <w:t xml:space="preserve"> </w:t>
      </w:r>
      <w:r w:rsidRPr="00395593">
        <w:rPr>
          <w:rFonts w:ascii="Garamond" w:eastAsia="Times New Roman" w:hAnsi="Garamond" w:cs="Times New Roman"/>
          <w:sz w:val="24"/>
        </w:rPr>
        <w:t>período</w:t>
      </w:r>
      <w:r w:rsidRPr="00395593">
        <w:rPr>
          <w:rFonts w:ascii="Garamond" w:eastAsia="Times New Roman" w:hAnsi="Garamond" w:cs="Times New Roman"/>
          <w:spacing w:val="37"/>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38"/>
          <w:sz w:val="24"/>
        </w:rPr>
        <w:t xml:space="preserve"> </w:t>
      </w:r>
      <w:r w:rsidRPr="00395593">
        <w:rPr>
          <w:rFonts w:ascii="Garamond" w:eastAsia="Times New Roman" w:hAnsi="Garamond" w:cs="Times New Roman"/>
          <w:sz w:val="24"/>
        </w:rPr>
        <w:t>graça</w:t>
      </w:r>
      <w:r w:rsidRPr="00395593">
        <w:rPr>
          <w:rFonts w:ascii="Garamond" w:eastAsia="Times New Roman" w:hAnsi="Garamond" w:cs="Times New Roman"/>
          <w:spacing w:val="37"/>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36"/>
          <w:sz w:val="24"/>
        </w:rPr>
        <w:t xml:space="preserve"> </w:t>
      </w:r>
      <w:r w:rsidRPr="00395593">
        <w:rPr>
          <w:rFonts w:ascii="Garamond" w:eastAsia="Times New Roman" w:hAnsi="Garamond" w:cs="Times New Roman"/>
          <w:sz w:val="24"/>
        </w:rPr>
        <w:t>8</w:t>
      </w:r>
      <w:r w:rsidRPr="00395593">
        <w:rPr>
          <w:rFonts w:ascii="Garamond" w:eastAsia="Times New Roman" w:hAnsi="Garamond" w:cs="Times New Roman"/>
          <w:spacing w:val="37"/>
          <w:sz w:val="24"/>
        </w:rPr>
        <w:t xml:space="preserve"> </w:t>
      </w:r>
      <w:r w:rsidRPr="00395593">
        <w:rPr>
          <w:rFonts w:ascii="Garamond" w:eastAsia="Times New Roman" w:hAnsi="Garamond" w:cs="Times New Roman"/>
          <w:sz w:val="24"/>
        </w:rPr>
        <w:t>anos</w:t>
      </w:r>
    </w:p>
    <w:p w14:paraId="44E9C7ED" w14:textId="77777777" w:rsidR="00CB6C86" w:rsidRPr="00395593" w:rsidRDefault="00CB6C86" w:rsidP="00CB6C86">
      <w:pPr>
        <w:widowControl w:val="0"/>
        <w:autoSpaceDE w:val="0"/>
        <w:autoSpaceDN w:val="0"/>
        <w:spacing w:after="0" w:line="240" w:lineRule="auto"/>
        <w:jc w:val="both"/>
        <w:rPr>
          <w:rFonts w:ascii="Garamond" w:eastAsia="Times New Roman" w:hAnsi="Garamond" w:cs="Times New Roman"/>
          <w:sz w:val="24"/>
        </w:rPr>
        <w:sectPr w:rsidR="00CB6C86" w:rsidRPr="00395593" w:rsidSect="00E15FBB">
          <w:pgSz w:w="12240" w:h="15840"/>
          <w:pgMar w:top="1418" w:right="1580" w:bottom="280" w:left="1418" w:header="720" w:footer="720" w:gutter="0"/>
          <w:cols w:space="720"/>
        </w:sectPr>
      </w:pPr>
    </w:p>
    <w:p w14:paraId="57A7A843" w14:textId="77777777" w:rsidR="00CB6C86" w:rsidRPr="00395593" w:rsidRDefault="00CB6C86" w:rsidP="00CB6C86">
      <w:pPr>
        <w:widowControl w:val="0"/>
        <w:autoSpaceDE w:val="0"/>
        <w:autoSpaceDN w:val="0"/>
        <w:spacing w:before="68" w:after="0" w:line="240" w:lineRule="auto"/>
        <w:ind w:right="121"/>
        <w:jc w:val="both"/>
        <w:rPr>
          <w:rFonts w:ascii="Garamond" w:eastAsia="Times New Roman" w:hAnsi="Garamond" w:cs="Times New Roman"/>
          <w:sz w:val="24"/>
          <w:szCs w:val="24"/>
        </w:rPr>
      </w:pPr>
      <w:r w:rsidRPr="00395593">
        <w:rPr>
          <w:rFonts w:ascii="Garamond" w:eastAsia="Times New Roman" w:hAnsi="Garamond" w:cs="Times New Roman"/>
          <w:sz w:val="24"/>
          <w:szCs w:val="24"/>
        </w:rPr>
        <w:t>contados a partir da data de entrada em vigor do Acordo Constitutivo da OMC, e também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para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países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desenvolvimento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Membros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que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refere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Anexo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VII,</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valor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mencionado no parágrafo 10 (a) será de 3 por cento e não de 2 por cento. Esta disposição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aplicar-se-á a partir da data em que se notificar a eliminação do subsídio à exportação ao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Comitê e por todo o tempo em que subsídios a exportação não sejam concedidos pelo país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em desenvolvimento Membro que notifica. Esta disposição expirará 8 anos após a entrada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vigor 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Acordo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Constitutivo da OMC.</w:t>
      </w:r>
    </w:p>
    <w:p w14:paraId="55EEF206"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4AC7A84C" w14:textId="77777777" w:rsidR="00CB6C86" w:rsidRPr="00395593" w:rsidRDefault="00CB6C86" w:rsidP="002C4340">
      <w:pPr>
        <w:widowControl w:val="0"/>
        <w:numPr>
          <w:ilvl w:val="0"/>
          <w:numId w:val="38"/>
        </w:numPr>
        <w:tabs>
          <w:tab w:val="left" w:pos="810"/>
        </w:tabs>
        <w:autoSpaceDE w:val="0"/>
        <w:autoSpaceDN w:val="0"/>
        <w:spacing w:after="0" w:line="240" w:lineRule="auto"/>
        <w:ind w:right="114" w:firstLine="0"/>
        <w:jc w:val="both"/>
        <w:rPr>
          <w:rFonts w:ascii="Garamond" w:eastAsia="Times New Roman" w:hAnsi="Garamond" w:cs="Times New Roman"/>
          <w:sz w:val="24"/>
        </w:rPr>
      </w:pPr>
      <w:r w:rsidRPr="00395593">
        <w:rPr>
          <w:rFonts w:ascii="Garamond" w:eastAsia="Times New Roman" w:hAnsi="Garamond" w:cs="Times New Roman"/>
          <w:sz w:val="24"/>
        </w:rPr>
        <w:t xml:space="preserve">O disposto nos parágrafos 10 e 11 regulará qualquer determinação relativa a </w:t>
      </w:r>
      <w:r w:rsidRPr="00395593">
        <w:rPr>
          <w:rFonts w:ascii="Garamond" w:eastAsia="Times New Roman" w:hAnsi="Garamond" w:cs="Times New Roman"/>
          <w:i/>
          <w:sz w:val="24"/>
        </w:rPr>
        <w:t>de</w:t>
      </w:r>
      <w:r w:rsidRPr="00395593">
        <w:rPr>
          <w:rFonts w:ascii="Garamond" w:eastAsia="Times New Roman" w:hAnsi="Garamond" w:cs="Times New Roman"/>
          <w:i/>
          <w:spacing w:val="1"/>
          <w:sz w:val="24"/>
        </w:rPr>
        <w:t xml:space="preserve"> </w:t>
      </w:r>
      <w:r w:rsidRPr="00395593">
        <w:rPr>
          <w:rFonts w:ascii="Garamond" w:eastAsia="Times New Roman" w:hAnsi="Garamond" w:cs="Times New Roman"/>
          <w:i/>
          <w:sz w:val="24"/>
        </w:rPr>
        <w:t>minimis</w:t>
      </w:r>
      <w:r w:rsidRPr="00395593">
        <w:rPr>
          <w:rFonts w:ascii="Garamond" w:eastAsia="Times New Roman" w:hAnsi="Garamond" w:cs="Times New Roman"/>
          <w:i/>
          <w:spacing w:val="-1"/>
          <w:sz w:val="24"/>
        </w:rPr>
        <w:t xml:space="preserve"> </w:t>
      </w:r>
      <w:r w:rsidRPr="00395593">
        <w:rPr>
          <w:rFonts w:ascii="Garamond" w:eastAsia="Times New Roman" w:hAnsi="Garamond" w:cs="Times New Roman"/>
          <w:sz w:val="24"/>
        </w:rPr>
        <w:t>ao amparo do parágrafo 3 do Artigo 15.</w:t>
      </w:r>
    </w:p>
    <w:p w14:paraId="68903676"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7F863850" w14:textId="77777777" w:rsidR="00CB6C86" w:rsidRPr="00395593" w:rsidRDefault="00CB6C86" w:rsidP="002C4340">
      <w:pPr>
        <w:widowControl w:val="0"/>
        <w:numPr>
          <w:ilvl w:val="0"/>
          <w:numId w:val="38"/>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O disposto na PARTE III não se aplicará ao perdão direto de dívidas nem aos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destinados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cobrir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custos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sociais,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qualquer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inclusive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abstenção de ingressos governamentais e outras transferências de passivos, sempre que tais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concedidos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âmbito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programa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privatização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diretamente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ligados no país em desenvolvimento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Membro.</w:t>
      </w:r>
    </w:p>
    <w:p w14:paraId="5B2B4108" w14:textId="77777777" w:rsidR="00CB6C86" w:rsidRPr="00395593" w:rsidRDefault="00CB6C86" w:rsidP="000A5EB5">
      <w:pPr>
        <w:widowControl w:val="0"/>
        <w:autoSpaceDE w:val="0"/>
        <w:autoSpaceDN w:val="0"/>
        <w:spacing w:before="1" w:after="0" w:line="240" w:lineRule="auto"/>
        <w:jc w:val="both"/>
        <w:rPr>
          <w:rFonts w:ascii="Garamond" w:eastAsia="Times New Roman" w:hAnsi="Garamond" w:cs="Times New Roman"/>
          <w:sz w:val="24"/>
          <w:szCs w:val="24"/>
        </w:rPr>
      </w:pPr>
    </w:p>
    <w:p w14:paraId="256AC65F" w14:textId="77777777" w:rsidR="00CB6C86" w:rsidRPr="00395593" w:rsidRDefault="00CB6C86" w:rsidP="002C4340">
      <w:pPr>
        <w:widowControl w:val="0"/>
        <w:numPr>
          <w:ilvl w:val="0"/>
          <w:numId w:val="38"/>
        </w:numPr>
        <w:tabs>
          <w:tab w:val="left" w:pos="810"/>
        </w:tabs>
        <w:autoSpaceDE w:val="0"/>
        <w:autoSpaceDN w:val="0"/>
        <w:spacing w:after="0" w:line="240" w:lineRule="auto"/>
        <w:ind w:right="118" w:firstLine="0"/>
        <w:jc w:val="both"/>
        <w:rPr>
          <w:rFonts w:ascii="Garamond" w:eastAsia="Times New Roman" w:hAnsi="Garamond" w:cs="Times New Roman"/>
          <w:sz w:val="24"/>
        </w:rPr>
      </w:pP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pedido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qualquer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interessado,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Comitê</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examinará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específico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concedido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país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desenvolvimento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vistas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concessão está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conforme a</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suas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necessidades 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desenvolvimento.</w:t>
      </w:r>
    </w:p>
    <w:p w14:paraId="0C48E4A9"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6378D912" w14:textId="77777777" w:rsidR="00CB6C86" w:rsidRPr="00395593" w:rsidRDefault="00CB6C86" w:rsidP="002C4340">
      <w:pPr>
        <w:widowControl w:val="0"/>
        <w:numPr>
          <w:ilvl w:val="0"/>
          <w:numId w:val="38"/>
        </w:numPr>
        <w:tabs>
          <w:tab w:val="left" w:pos="810"/>
        </w:tabs>
        <w:autoSpaceDE w:val="0"/>
        <w:autoSpaceDN w:val="0"/>
        <w:spacing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A pedido de qualquer país em desenvolvimento Membro interessado, o Comitê</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examinará direito compensatório específico para determinar se o mesmo é compatível 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aquelas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disposições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10</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11</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aplicáveis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país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desenvolvimento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 em questão.</w:t>
      </w:r>
    </w:p>
    <w:p w14:paraId="2E2C71CA"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6"/>
          <w:szCs w:val="24"/>
        </w:rPr>
      </w:pPr>
    </w:p>
    <w:p w14:paraId="1D3BC726" w14:textId="0B9E75E4" w:rsidR="000A5EB5" w:rsidRPr="00395593" w:rsidRDefault="00CB6C86" w:rsidP="004A450E">
      <w:pPr>
        <w:jc w:val="center"/>
        <w:rPr>
          <w:rFonts w:ascii="Garamond" w:eastAsia="Times New Roman" w:hAnsi="Garamond" w:cs="Times New Roman"/>
          <w:b/>
          <w:spacing w:val="-57"/>
          <w:sz w:val="24"/>
          <w:szCs w:val="24"/>
        </w:rPr>
      </w:pPr>
      <w:r w:rsidRPr="00395593">
        <w:rPr>
          <w:rFonts w:ascii="Garamond" w:eastAsia="Times New Roman" w:hAnsi="Garamond" w:cs="Times New Roman"/>
          <w:b/>
          <w:sz w:val="24"/>
          <w:szCs w:val="24"/>
        </w:rPr>
        <w:t>PARTE</w:t>
      </w:r>
      <w:r w:rsidRPr="00395593">
        <w:rPr>
          <w:rFonts w:ascii="Garamond" w:eastAsia="Times New Roman" w:hAnsi="Garamond" w:cs="Times New Roman"/>
          <w:b/>
          <w:spacing w:val="-3"/>
          <w:sz w:val="24"/>
          <w:szCs w:val="24"/>
        </w:rPr>
        <w:t xml:space="preserve"> </w:t>
      </w:r>
      <w:r w:rsidRPr="00395593">
        <w:rPr>
          <w:rFonts w:ascii="Garamond" w:eastAsia="Times New Roman" w:hAnsi="Garamond" w:cs="Times New Roman"/>
          <w:b/>
          <w:sz w:val="24"/>
          <w:szCs w:val="24"/>
        </w:rPr>
        <w:t>IX</w:t>
      </w:r>
      <w:r w:rsidRPr="00395593">
        <w:rPr>
          <w:rFonts w:ascii="Garamond" w:eastAsia="Times New Roman" w:hAnsi="Garamond" w:cs="Times New Roman"/>
          <w:b/>
          <w:spacing w:val="-4"/>
          <w:sz w:val="24"/>
          <w:szCs w:val="24"/>
        </w:rPr>
        <w:t xml:space="preserve"> </w:t>
      </w:r>
      <w:r w:rsidRPr="00395593">
        <w:rPr>
          <w:rFonts w:ascii="Garamond" w:eastAsia="Times New Roman" w:hAnsi="Garamond" w:cs="Times New Roman"/>
          <w:b/>
          <w:sz w:val="24"/>
          <w:szCs w:val="24"/>
        </w:rPr>
        <w:t>:</w:t>
      </w:r>
      <w:r w:rsidRPr="00395593">
        <w:rPr>
          <w:rFonts w:ascii="Garamond" w:eastAsia="Times New Roman" w:hAnsi="Garamond" w:cs="Times New Roman"/>
          <w:b/>
          <w:spacing w:val="-4"/>
          <w:sz w:val="24"/>
          <w:szCs w:val="24"/>
        </w:rPr>
        <w:t xml:space="preserve"> </w:t>
      </w:r>
      <w:r w:rsidRPr="00395593">
        <w:rPr>
          <w:rFonts w:ascii="Garamond" w:eastAsia="Times New Roman" w:hAnsi="Garamond" w:cs="Times New Roman"/>
          <w:b/>
          <w:sz w:val="24"/>
          <w:szCs w:val="24"/>
        </w:rPr>
        <w:t>DISPOSIÇÕES</w:t>
      </w:r>
      <w:r w:rsidRPr="00395593">
        <w:rPr>
          <w:rFonts w:ascii="Garamond" w:eastAsia="Times New Roman" w:hAnsi="Garamond" w:cs="Times New Roman"/>
          <w:b/>
          <w:spacing w:val="-4"/>
          <w:sz w:val="24"/>
          <w:szCs w:val="24"/>
        </w:rPr>
        <w:t xml:space="preserve"> </w:t>
      </w:r>
      <w:r w:rsidRPr="00395593">
        <w:rPr>
          <w:rFonts w:ascii="Garamond" w:eastAsia="Times New Roman" w:hAnsi="Garamond" w:cs="Times New Roman"/>
          <w:b/>
          <w:sz w:val="24"/>
          <w:szCs w:val="24"/>
        </w:rPr>
        <w:t>TRANSITÓRIAS</w:t>
      </w:r>
      <w:r w:rsidRPr="00395593">
        <w:rPr>
          <w:rFonts w:ascii="Garamond" w:eastAsia="Times New Roman" w:hAnsi="Garamond" w:cs="Times New Roman"/>
          <w:b/>
          <w:spacing w:val="-57"/>
          <w:sz w:val="24"/>
          <w:szCs w:val="24"/>
        </w:rPr>
        <w:t xml:space="preserve"> </w:t>
      </w:r>
    </w:p>
    <w:p w14:paraId="3D2D3517" w14:textId="3185BA60"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28</w:t>
      </w:r>
    </w:p>
    <w:p w14:paraId="0A5A86E7"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Programas em Vigor</w:t>
      </w:r>
    </w:p>
    <w:p w14:paraId="4DF613B3"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745E9450" w14:textId="77777777" w:rsidR="00CB6C86" w:rsidRPr="00395593" w:rsidRDefault="00CB6C86" w:rsidP="002C4340">
      <w:pPr>
        <w:widowControl w:val="0"/>
        <w:numPr>
          <w:ilvl w:val="0"/>
          <w:numId w:val="37"/>
        </w:numPr>
        <w:tabs>
          <w:tab w:val="left" w:pos="810"/>
        </w:tabs>
        <w:autoSpaceDE w:val="0"/>
        <w:autoSpaceDN w:val="0"/>
        <w:spacing w:after="0" w:line="240" w:lineRule="auto"/>
        <w:ind w:right="118" w:firstLine="0"/>
        <w:rPr>
          <w:rFonts w:ascii="Garamond" w:eastAsia="Times New Roman" w:hAnsi="Garamond" w:cs="Times New Roman"/>
          <w:sz w:val="24"/>
        </w:rPr>
      </w:pPr>
      <w:r w:rsidRPr="00395593">
        <w:rPr>
          <w:rFonts w:ascii="Garamond" w:eastAsia="Times New Roman" w:hAnsi="Garamond" w:cs="Times New Roman"/>
          <w:sz w:val="24"/>
        </w:rPr>
        <w:t>Os programas de subsídios que tenham sido estabelecidos no território de qualquer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 anteriormente à data em que tal Membro tenha assinado o Acordo Constitutivo 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OMC</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 que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sejam incompatíveis com o disposto neste Acordo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serão</w:t>
      </w:r>
    </w:p>
    <w:p w14:paraId="6B6CBC8B"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458A0786" w14:textId="77777777" w:rsidR="00CB6C86" w:rsidRPr="00395593" w:rsidRDefault="00CB6C86" w:rsidP="002C4340">
      <w:pPr>
        <w:widowControl w:val="0"/>
        <w:numPr>
          <w:ilvl w:val="1"/>
          <w:numId w:val="37"/>
        </w:numPr>
        <w:tabs>
          <w:tab w:val="left" w:pos="1149"/>
        </w:tabs>
        <w:autoSpaceDE w:val="0"/>
        <w:autoSpaceDN w:val="0"/>
        <w:spacing w:before="1" w:after="0" w:line="240" w:lineRule="auto"/>
        <w:ind w:left="1181" w:right="118" w:hanging="360"/>
        <w:rPr>
          <w:rFonts w:ascii="Garamond" w:eastAsia="Times New Roman" w:hAnsi="Garamond" w:cs="Times New Roman"/>
          <w:sz w:val="24"/>
        </w:rPr>
      </w:pPr>
      <w:r w:rsidRPr="00395593">
        <w:rPr>
          <w:rFonts w:ascii="Garamond" w:eastAsia="Times New Roman" w:hAnsi="Garamond" w:cs="Times New Roman"/>
          <w:sz w:val="24"/>
        </w:rPr>
        <w:t>notificados ao Comitê em prazo não superior a 90 dias após a data de entrada em</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vigor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 aquele Membro do Acordo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Constitutivo da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OMC;</w:t>
      </w:r>
    </w:p>
    <w:p w14:paraId="5B4F703A" w14:textId="77777777" w:rsidR="00CB6C86" w:rsidRPr="00395593" w:rsidRDefault="00CB6C86" w:rsidP="00CB6C86">
      <w:pPr>
        <w:widowControl w:val="0"/>
        <w:autoSpaceDE w:val="0"/>
        <w:autoSpaceDN w:val="0"/>
        <w:spacing w:before="11" w:after="0" w:line="240" w:lineRule="auto"/>
        <w:rPr>
          <w:rFonts w:ascii="Garamond" w:eastAsia="Times New Roman" w:hAnsi="Garamond" w:cs="Times New Roman"/>
          <w:sz w:val="23"/>
          <w:szCs w:val="24"/>
        </w:rPr>
      </w:pPr>
    </w:p>
    <w:p w14:paraId="11914507" w14:textId="77777777" w:rsidR="00CB6C86" w:rsidRPr="00395593" w:rsidRDefault="00CB6C86" w:rsidP="002C4340">
      <w:pPr>
        <w:widowControl w:val="0"/>
        <w:numPr>
          <w:ilvl w:val="1"/>
          <w:numId w:val="37"/>
        </w:numPr>
        <w:tabs>
          <w:tab w:val="left" w:pos="1163"/>
        </w:tabs>
        <w:autoSpaceDE w:val="0"/>
        <w:autoSpaceDN w:val="0"/>
        <w:spacing w:after="0" w:line="240" w:lineRule="auto"/>
        <w:ind w:left="1181" w:right="121" w:hanging="360"/>
        <w:rPr>
          <w:rFonts w:ascii="Garamond" w:eastAsia="Times New Roman" w:hAnsi="Garamond" w:cs="Times New Roman"/>
          <w:sz w:val="24"/>
        </w:rPr>
      </w:pPr>
      <w:r w:rsidRPr="00395593">
        <w:rPr>
          <w:rFonts w:ascii="Garamond" w:eastAsia="Times New Roman" w:hAnsi="Garamond" w:cs="Times New Roman"/>
          <w:sz w:val="24"/>
        </w:rPr>
        <w:t>conformados às disposições deste Acordo no prazo de 3 anos a contar da data de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entrada em vigor para aquele Membro do Acorde Constitutivo da OMC e, até</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então,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 estarão sujeitos ao disposto na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PARTE II.</w:t>
      </w:r>
    </w:p>
    <w:p w14:paraId="0D11DCDC"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0152AA0F" w14:textId="77777777" w:rsidR="00CB6C86" w:rsidRPr="00395593" w:rsidRDefault="00CB6C86" w:rsidP="002C4340">
      <w:pPr>
        <w:widowControl w:val="0"/>
        <w:numPr>
          <w:ilvl w:val="0"/>
          <w:numId w:val="37"/>
        </w:numPr>
        <w:tabs>
          <w:tab w:val="left" w:pos="810"/>
        </w:tabs>
        <w:autoSpaceDE w:val="0"/>
        <w:autoSpaceDN w:val="0"/>
        <w:spacing w:after="0" w:line="240" w:lineRule="auto"/>
        <w:ind w:right="124" w:firstLine="0"/>
        <w:rPr>
          <w:rFonts w:ascii="Garamond" w:eastAsia="Times New Roman" w:hAnsi="Garamond" w:cs="Times New Roman"/>
          <w:sz w:val="24"/>
        </w:rPr>
      </w:pPr>
      <w:r w:rsidRPr="00395593">
        <w:rPr>
          <w:rFonts w:ascii="Garamond" w:eastAsia="Times New Roman" w:hAnsi="Garamond" w:cs="Times New Roman"/>
          <w:sz w:val="24"/>
        </w:rPr>
        <w:t>Nenhum Membro estenderá a vigência de qualquer programa de tal natureza nem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poderá</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tal programa ser renovado apos sua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expiração.</w:t>
      </w:r>
    </w:p>
    <w:p w14:paraId="650B5555" w14:textId="77777777" w:rsidR="004A450E" w:rsidRPr="005C5CBD" w:rsidRDefault="004A450E">
      <w:pPr>
        <w:rPr>
          <w:rFonts w:ascii="Garamond" w:eastAsia="Times New Roman" w:hAnsi="Garamond" w:cs="Times New Roman"/>
          <w:b/>
          <w:sz w:val="24"/>
          <w:szCs w:val="24"/>
        </w:rPr>
      </w:pPr>
      <w:r w:rsidRPr="005C5CBD">
        <w:rPr>
          <w:rFonts w:ascii="Garamond" w:eastAsia="Times New Roman" w:hAnsi="Garamond" w:cs="Times New Roman"/>
          <w:b/>
          <w:sz w:val="24"/>
          <w:szCs w:val="24"/>
        </w:rPr>
        <w:br w:type="page"/>
      </w:r>
    </w:p>
    <w:p w14:paraId="0F0AB8BD" w14:textId="715F0337" w:rsidR="00CB6C86" w:rsidRPr="00395593" w:rsidRDefault="00CB6C86" w:rsidP="00E33E26">
      <w:pPr>
        <w:widowControl w:val="0"/>
        <w:autoSpaceDE w:val="0"/>
        <w:autoSpaceDN w:val="0"/>
        <w:spacing w:before="184"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29</w:t>
      </w:r>
    </w:p>
    <w:p w14:paraId="295DEE8C"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13953A11" w14:textId="77777777" w:rsidR="00CB6C86" w:rsidRPr="00395593" w:rsidRDefault="00CB6C86" w:rsidP="00CB6C8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Transformação em</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Economia</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de</w:t>
      </w:r>
      <w:r w:rsidRPr="00395593">
        <w:rPr>
          <w:rFonts w:ascii="Garamond" w:eastAsia="Times New Roman" w:hAnsi="Garamond" w:cs="Times New Roman"/>
          <w:b/>
          <w:spacing w:val="-3"/>
          <w:sz w:val="24"/>
          <w:szCs w:val="24"/>
        </w:rPr>
        <w:t xml:space="preserve"> </w:t>
      </w:r>
      <w:r w:rsidRPr="00395593">
        <w:rPr>
          <w:rFonts w:ascii="Garamond" w:eastAsia="Times New Roman" w:hAnsi="Garamond" w:cs="Times New Roman"/>
          <w:b/>
          <w:sz w:val="24"/>
          <w:szCs w:val="24"/>
        </w:rPr>
        <w:t>Mercado</w:t>
      </w:r>
    </w:p>
    <w:p w14:paraId="5EE16368"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07AF86B1" w14:textId="77777777" w:rsidR="00CB6C86" w:rsidRPr="00395593" w:rsidRDefault="00CB6C86" w:rsidP="002C4340">
      <w:pPr>
        <w:widowControl w:val="0"/>
        <w:numPr>
          <w:ilvl w:val="0"/>
          <w:numId w:val="36"/>
        </w:numPr>
        <w:tabs>
          <w:tab w:val="left" w:pos="810"/>
        </w:tabs>
        <w:autoSpaceDE w:val="0"/>
        <w:autoSpaceDN w:val="0"/>
        <w:spacing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Aqueles Membros que se encontrarem em transição de uma economia centralmente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planificada para uma economia de mercado e livre empresa poderão aplicar programas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medidas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necessários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tal</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transformação.</w:t>
      </w:r>
    </w:p>
    <w:p w14:paraId="73CEFC14"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66A98BEA" w14:textId="77777777" w:rsidR="00CB6C86" w:rsidRPr="00395593" w:rsidRDefault="00CB6C86" w:rsidP="002C4340">
      <w:pPr>
        <w:widowControl w:val="0"/>
        <w:numPr>
          <w:ilvl w:val="0"/>
          <w:numId w:val="36"/>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Para esses Membros, os programas de subsídios que se enquadrem no âmbito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 3 e que sejam notificados de acordo com o parágrafo 3 serão eliminados ou feitos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conformar-se com o Artigo 3 no período 7 de anos a partir da data de entrada em vigor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Constitutivo</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7"/>
          <w:sz w:val="24"/>
        </w:rPr>
        <w:t xml:space="preserve"> </w:t>
      </w:r>
      <w:r w:rsidRPr="00395593">
        <w:rPr>
          <w:rFonts w:ascii="Garamond" w:eastAsia="Times New Roman" w:hAnsi="Garamond" w:cs="Times New Roman"/>
          <w:sz w:val="24"/>
        </w:rPr>
        <w:t>OMC.</w:t>
      </w:r>
      <w:r w:rsidRPr="00395593">
        <w:rPr>
          <w:rFonts w:ascii="Garamond" w:eastAsia="Times New Roman" w:hAnsi="Garamond" w:cs="Times New Roman"/>
          <w:spacing w:val="11"/>
          <w:sz w:val="24"/>
        </w:rPr>
        <w:t xml:space="preserve"> </w:t>
      </w:r>
      <w:r w:rsidRPr="00395593">
        <w:rPr>
          <w:rFonts w:ascii="Garamond" w:eastAsia="Times New Roman" w:hAnsi="Garamond" w:cs="Times New Roman"/>
          <w:sz w:val="24"/>
        </w:rPr>
        <w:t>Nesse</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caso,</w:t>
      </w:r>
      <w:r w:rsidRPr="00395593">
        <w:rPr>
          <w:rFonts w:ascii="Garamond" w:eastAsia="Times New Roman" w:hAnsi="Garamond" w:cs="Times New Roman"/>
          <w:spacing w:val="1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Artigo</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4</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aplicará.</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Alem</w:t>
      </w:r>
      <w:r w:rsidRPr="00395593">
        <w:rPr>
          <w:rFonts w:ascii="Garamond" w:eastAsia="Times New Roman" w:hAnsi="Garamond" w:cs="Times New Roman"/>
          <w:spacing w:val="11"/>
          <w:sz w:val="24"/>
        </w:rPr>
        <w:t xml:space="preserve"> </w:t>
      </w:r>
      <w:r w:rsidRPr="00395593">
        <w:rPr>
          <w:rFonts w:ascii="Garamond" w:eastAsia="Times New Roman" w:hAnsi="Garamond" w:cs="Times New Roman"/>
          <w:sz w:val="24"/>
        </w:rPr>
        <w:t>disso,</w:t>
      </w:r>
      <w:r w:rsidRPr="00395593">
        <w:rPr>
          <w:rFonts w:ascii="Garamond" w:eastAsia="Times New Roman" w:hAnsi="Garamond" w:cs="Times New Roman"/>
          <w:spacing w:val="10"/>
          <w:sz w:val="24"/>
        </w:rPr>
        <w:t xml:space="preserve"> </w:t>
      </w:r>
      <w:r w:rsidRPr="00395593">
        <w:rPr>
          <w:rFonts w:ascii="Garamond" w:eastAsia="Times New Roman" w:hAnsi="Garamond" w:cs="Times New Roman"/>
          <w:sz w:val="24"/>
        </w:rPr>
        <w:t>durante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o mesmo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período:</w:t>
      </w:r>
    </w:p>
    <w:p w14:paraId="11698B91" w14:textId="77777777" w:rsidR="00CB6C86" w:rsidRPr="00395593" w:rsidRDefault="00CB6C86" w:rsidP="000A5EB5">
      <w:pPr>
        <w:widowControl w:val="0"/>
        <w:autoSpaceDE w:val="0"/>
        <w:autoSpaceDN w:val="0"/>
        <w:spacing w:before="1" w:after="0" w:line="240" w:lineRule="auto"/>
        <w:jc w:val="both"/>
        <w:rPr>
          <w:rFonts w:ascii="Garamond" w:eastAsia="Times New Roman" w:hAnsi="Garamond" w:cs="Times New Roman"/>
          <w:sz w:val="24"/>
          <w:szCs w:val="24"/>
        </w:rPr>
      </w:pPr>
    </w:p>
    <w:p w14:paraId="191C014F" w14:textId="77777777" w:rsidR="00CB6C86" w:rsidRPr="00395593" w:rsidRDefault="00CB6C86" w:rsidP="002C4340">
      <w:pPr>
        <w:widowControl w:val="0"/>
        <w:numPr>
          <w:ilvl w:val="1"/>
          <w:numId w:val="36"/>
        </w:numPr>
        <w:tabs>
          <w:tab w:val="left" w:pos="1173"/>
        </w:tabs>
        <w:autoSpaceDE w:val="0"/>
        <w:autoSpaceDN w:val="0"/>
        <w:spacing w:after="0" w:line="240" w:lineRule="auto"/>
        <w:ind w:left="1181" w:right="127" w:hanging="360"/>
        <w:jc w:val="both"/>
        <w:rPr>
          <w:rFonts w:ascii="Garamond" w:eastAsia="Times New Roman" w:hAnsi="Garamond" w:cs="Times New Roman"/>
          <w:sz w:val="24"/>
        </w:rPr>
      </w:pPr>
      <w:r w:rsidRPr="00395593">
        <w:rPr>
          <w:rFonts w:ascii="Garamond" w:eastAsia="Times New Roman" w:hAnsi="Garamond" w:cs="Times New Roman"/>
          <w:sz w:val="24"/>
        </w:rPr>
        <w:t>os</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programas</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âmbito</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1</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(d)</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Artigo</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6</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serão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acionáveis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abrigo do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Artigo 7;</w:t>
      </w:r>
    </w:p>
    <w:p w14:paraId="626B000D"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3DEDD015" w14:textId="77777777" w:rsidR="00CB6C86" w:rsidRPr="00395593" w:rsidRDefault="00CB6C86" w:rsidP="002C4340">
      <w:pPr>
        <w:widowControl w:val="0"/>
        <w:numPr>
          <w:ilvl w:val="1"/>
          <w:numId w:val="36"/>
        </w:numPr>
        <w:tabs>
          <w:tab w:val="left" w:pos="1161"/>
        </w:tabs>
        <w:autoSpaceDE w:val="0"/>
        <w:autoSpaceDN w:val="0"/>
        <w:spacing w:after="0" w:line="240" w:lineRule="auto"/>
        <w:ind w:left="1181" w:right="122" w:hanging="360"/>
        <w:jc w:val="both"/>
        <w:rPr>
          <w:rFonts w:ascii="Garamond" w:eastAsia="Times New Roman" w:hAnsi="Garamond" w:cs="Times New Roman"/>
          <w:sz w:val="24"/>
        </w:rPr>
      </w:pPr>
      <w:r w:rsidRPr="00395593">
        <w:rPr>
          <w:rFonts w:ascii="Garamond" w:eastAsia="Times New Roman" w:hAnsi="Garamond" w:cs="Times New Roman"/>
          <w:sz w:val="24"/>
        </w:rPr>
        <w:t>com relação a outros subsídios acionáveis, será aplicável o disposto no parágrafo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9</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Artigo 27.</w:t>
      </w:r>
    </w:p>
    <w:p w14:paraId="67549BE7"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33EDEACC" w14:textId="77777777" w:rsidR="00CB6C86" w:rsidRPr="00395593" w:rsidRDefault="00CB6C86" w:rsidP="002C4340">
      <w:pPr>
        <w:widowControl w:val="0"/>
        <w:numPr>
          <w:ilvl w:val="0"/>
          <w:numId w:val="36"/>
        </w:numPr>
        <w:tabs>
          <w:tab w:val="left" w:pos="810"/>
        </w:tabs>
        <w:autoSpaceDE w:val="0"/>
        <w:autoSpaceDN w:val="0"/>
        <w:spacing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Os programas de subsídios no âmbito do Artigo 3 serão notificados ao Comitê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mais imediatamente possível após a entrada em vigor do Acordo Constitutivo da OMC.</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Notificações posteriores acerca de tais subsídios poderão ser efetuados até 2 anos após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entrada em vigor do Acordo Constitutivo 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OMC.</w:t>
      </w:r>
    </w:p>
    <w:p w14:paraId="495573F1" w14:textId="77777777" w:rsidR="00CB6C86" w:rsidRPr="00395593" w:rsidRDefault="00CB6C86" w:rsidP="000A5EB5">
      <w:pPr>
        <w:widowControl w:val="0"/>
        <w:autoSpaceDE w:val="0"/>
        <w:autoSpaceDN w:val="0"/>
        <w:spacing w:after="0" w:line="240" w:lineRule="auto"/>
        <w:jc w:val="both"/>
        <w:rPr>
          <w:rFonts w:ascii="Garamond" w:eastAsia="Times New Roman" w:hAnsi="Garamond" w:cs="Times New Roman"/>
          <w:sz w:val="24"/>
          <w:szCs w:val="24"/>
        </w:rPr>
      </w:pPr>
    </w:p>
    <w:p w14:paraId="6E4DCA9A" w14:textId="77777777" w:rsidR="00CB6C86" w:rsidRPr="00395593" w:rsidRDefault="00CB6C86" w:rsidP="002C4340">
      <w:pPr>
        <w:widowControl w:val="0"/>
        <w:numPr>
          <w:ilvl w:val="0"/>
          <w:numId w:val="36"/>
        </w:numPr>
        <w:tabs>
          <w:tab w:val="left" w:pos="810"/>
        </w:tabs>
        <w:autoSpaceDE w:val="0"/>
        <w:autoSpaceDN w:val="0"/>
        <w:spacing w:before="1"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Em circunstâncias excepcionais, os Membros a que se refere o parágrafo 1 poderão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 autorizados pelo Comitê a desviar-se dos programas, medidas e prazos notificados,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tais desvios sejam considerados necessários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 processo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transição.</w:t>
      </w:r>
    </w:p>
    <w:p w14:paraId="39625EEC"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6"/>
          <w:szCs w:val="24"/>
        </w:rPr>
      </w:pPr>
    </w:p>
    <w:p w14:paraId="0DE049A5"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Cs w:val="24"/>
        </w:rPr>
      </w:pPr>
    </w:p>
    <w:p w14:paraId="5718C6AF" w14:textId="77777777" w:rsidR="000A5EB5" w:rsidRPr="00395593" w:rsidRDefault="00CB6C86" w:rsidP="00E33E26">
      <w:pPr>
        <w:widowControl w:val="0"/>
        <w:autoSpaceDE w:val="0"/>
        <w:autoSpaceDN w:val="0"/>
        <w:spacing w:before="184"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 xml:space="preserve">PARTE X : SOLUÇÃO DE CONTROVÉRSIAS </w:t>
      </w:r>
    </w:p>
    <w:p w14:paraId="1392A751" w14:textId="5070E41C" w:rsidR="000A5EB5" w:rsidRPr="00395593" w:rsidRDefault="00CB6C86" w:rsidP="00E33E26">
      <w:pPr>
        <w:widowControl w:val="0"/>
        <w:autoSpaceDE w:val="0"/>
        <w:autoSpaceDN w:val="0"/>
        <w:spacing w:before="184" w:after="0" w:line="240" w:lineRule="auto"/>
        <w:ind w:right="146"/>
        <w:jc w:val="center"/>
        <w:rPr>
          <w:rFonts w:ascii="Garamond" w:eastAsia="Times New Roman" w:hAnsi="Garamond" w:cs="Times New Roman"/>
          <w:sz w:val="24"/>
          <w:szCs w:val="24"/>
        </w:rPr>
      </w:pPr>
      <w:r w:rsidRPr="00395593">
        <w:rPr>
          <w:rFonts w:ascii="Garamond" w:eastAsia="Times New Roman" w:hAnsi="Garamond" w:cs="Times New Roman"/>
          <w:b/>
          <w:sz w:val="24"/>
          <w:szCs w:val="24"/>
        </w:rPr>
        <w:t>ARTIGO 30</w:t>
      </w:r>
    </w:p>
    <w:p w14:paraId="1A5BC422" w14:textId="77777777" w:rsidR="000A5EB5" w:rsidRPr="00395593" w:rsidRDefault="000A5EB5" w:rsidP="00CB6C86">
      <w:pPr>
        <w:widowControl w:val="0"/>
        <w:autoSpaceDE w:val="0"/>
        <w:autoSpaceDN w:val="0"/>
        <w:spacing w:after="0" w:line="240" w:lineRule="auto"/>
        <w:ind w:right="121"/>
        <w:jc w:val="both"/>
        <w:rPr>
          <w:rFonts w:ascii="Garamond" w:eastAsia="Times New Roman" w:hAnsi="Garamond" w:cs="Times New Roman"/>
          <w:sz w:val="24"/>
          <w:szCs w:val="24"/>
        </w:rPr>
      </w:pPr>
    </w:p>
    <w:p w14:paraId="7A96855F" w14:textId="1BEE2706" w:rsidR="00CB6C86" w:rsidRPr="00395593" w:rsidRDefault="00CB6C86" w:rsidP="00CB6C86">
      <w:pPr>
        <w:widowControl w:val="0"/>
        <w:autoSpaceDE w:val="0"/>
        <w:autoSpaceDN w:val="0"/>
        <w:spacing w:after="0" w:line="240" w:lineRule="auto"/>
        <w:ind w:right="121"/>
        <w:jc w:val="both"/>
        <w:rPr>
          <w:rFonts w:ascii="Garamond" w:eastAsia="Times New Roman" w:hAnsi="Garamond" w:cs="Times New Roman"/>
          <w:sz w:val="24"/>
          <w:szCs w:val="24"/>
        </w:rPr>
      </w:pPr>
      <w:r w:rsidRPr="00395593">
        <w:rPr>
          <w:rFonts w:ascii="Garamond" w:eastAsia="Times New Roman" w:hAnsi="Garamond" w:cs="Times New Roman"/>
          <w:sz w:val="24"/>
          <w:szCs w:val="24"/>
        </w:rPr>
        <w:t>As disposições dos Artigos XXII e XXIII do GATT 1994, tal como desenvolvidas e</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aplicadas no Entendimento sobre solução de Controvérsias, serão aplicáveis a consultas 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solução</w:t>
      </w:r>
      <w:r w:rsidRPr="00395593">
        <w:rPr>
          <w:rFonts w:ascii="Garamond" w:eastAsia="Times New Roman" w:hAnsi="Garamond" w:cs="Times New Roman"/>
          <w:spacing w:val="20"/>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20"/>
          <w:sz w:val="24"/>
          <w:szCs w:val="24"/>
        </w:rPr>
        <w:t xml:space="preserve"> </w:t>
      </w:r>
      <w:r w:rsidRPr="00395593">
        <w:rPr>
          <w:rFonts w:ascii="Garamond" w:eastAsia="Times New Roman" w:hAnsi="Garamond" w:cs="Times New Roman"/>
          <w:sz w:val="24"/>
          <w:szCs w:val="24"/>
        </w:rPr>
        <w:t>controvérsias</w:t>
      </w:r>
      <w:r w:rsidRPr="00395593">
        <w:rPr>
          <w:rFonts w:ascii="Garamond" w:eastAsia="Times New Roman" w:hAnsi="Garamond" w:cs="Times New Roman"/>
          <w:spacing w:val="22"/>
          <w:sz w:val="24"/>
          <w:szCs w:val="24"/>
        </w:rPr>
        <w:t xml:space="preserve"> </w:t>
      </w:r>
      <w:r w:rsidRPr="00395593">
        <w:rPr>
          <w:rFonts w:ascii="Garamond" w:eastAsia="Times New Roman" w:hAnsi="Garamond" w:cs="Times New Roman"/>
          <w:sz w:val="24"/>
          <w:szCs w:val="24"/>
        </w:rPr>
        <w:t>ao</w:t>
      </w:r>
      <w:r w:rsidRPr="00395593">
        <w:rPr>
          <w:rFonts w:ascii="Garamond" w:eastAsia="Times New Roman" w:hAnsi="Garamond" w:cs="Times New Roman"/>
          <w:spacing w:val="20"/>
          <w:sz w:val="24"/>
          <w:szCs w:val="24"/>
        </w:rPr>
        <w:t xml:space="preserve"> </w:t>
      </w:r>
      <w:r w:rsidRPr="00395593">
        <w:rPr>
          <w:rFonts w:ascii="Garamond" w:eastAsia="Times New Roman" w:hAnsi="Garamond" w:cs="Times New Roman"/>
          <w:sz w:val="24"/>
          <w:szCs w:val="24"/>
        </w:rPr>
        <w:t>abrigo</w:t>
      </w:r>
      <w:r w:rsidRPr="00395593">
        <w:rPr>
          <w:rFonts w:ascii="Garamond" w:eastAsia="Times New Roman" w:hAnsi="Garamond" w:cs="Times New Roman"/>
          <w:spacing w:val="22"/>
          <w:sz w:val="24"/>
          <w:szCs w:val="24"/>
        </w:rPr>
        <w:t xml:space="preserve"> </w:t>
      </w:r>
      <w:r w:rsidRPr="00395593">
        <w:rPr>
          <w:rFonts w:ascii="Garamond" w:eastAsia="Times New Roman" w:hAnsi="Garamond" w:cs="Times New Roman"/>
          <w:sz w:val="24"/>
          <w:szCs w:val="24"/>
        </w:rPr>
        <w:t>deste</w:t>
      </w:r>
      <w:r w:rsidRPr="00395593">
        <w:rPr>
          <w:rFonts w:ascii="Garamond" w:eastAsia="Times New Roman" w:hAnsi="Garamond" w:cs="Times New Roman"/>
          <w:spacing w:val="20"/>
          <w:sz w:val="24"/>
          <w:szCs w:val="24"/>
        </w:rPr>
        <w:t xml:space="preserve"> </w:t>
      </w:r>
      <w:r w:rsidRPr="00395593">
        <w:rPr>
          <w:rFonts w:ascii="Garamond" w:eastAsia="Times New Roman" w:hAnsi="Garamond" w:cs="Times New Roman"/>
          <w:sz w:val="24"/>
          <w:szCs w:val="24"/>
        </w:rPr>
        <w:t>Acordo,</w:t>
      </w:r>
      <w:r w:rsidRPr="00395593">
        <w:rPr>
          <w:rFonts w:ascii="Garamond" w:eastAsia="Times New Roman" w:hAnsi="Garamond" w:cs="Times New Roman"/>
          <w:spacing w:val="21"/>
          <w:sz w:val="24"/>
          <w:szCs w:val="24"/>
        </w:rPr>
        <w:t xml:space="preserve"> </w:t>
      </w:r>
      <w:r w:rsidRPr="00395593">
        <w:rPr>
          <w:rFonts w:ascii="Garamond" w:eastAsia="Times New Roman" w:hAnsi="Garamond" w:cs="Times New Roman"/>
          <w:sz w:val="24"/>
          <w:szCs w:val="24"/>
        </w:rPr>
        <w:t>salvo</w:t>
      </w:r>
      <w:r w:rsidRPr="00395593">
        <w:rPr>
          <w:rFonts w:ascii="Garamond" w:eastAsia="Times New Roman" w:hAnsi="Garamond" w:cs="Times New Roman"/>
          <w:spacing w:val="20"/>
          <w:sz w:val="24"/>
          <w:szCs w:val="24"/>
        </w:rPr>
        <w:t xml:space="preserve"> </w:t>
      </w:r>
      <w:r w:rsidRPr="00395593">
        <w:rPr>
          <w:rFonts w:ascii="Garamond" w:eastAsia="Times New Roman" w:hAnsi="Garamond" w:cs="Times New Roman"/>
          <w:sz w:val="24"/>
          <w:szCs w:val="24"/>
        </w:rPr>
        <w:t>onde</w:t>
      </w:r>
      <w:r w:rsidRPr="00395593">
        <w:rPr>
          <w:rFonts w:ascii="Garamond" w:eastAsia="Times New Roman" w:hAnsi="Garamond" w:cs="Times New Roman"/>
          <w:spacing w:val="19"/>
          <w:sz w:val="24"/>
          <w:szCs w:val="24"/>
        </w:rPr>
        <w:t xml:space="preserve"> </w:t>
      </w:r>
      <w:r w:rsidRPr="00395593">
        <w:rPr>
          <w:rFonts w:ascii="Garamond" w:eastAsia="Times New Roman" w:hAnsi="Garamond" w:cs="Times New Roman"/>
          <w:sz w:val="24"/>
          <w:szCs w:val="24"/>
        </w:rPr>
        <w:t>especificamente</w:t>
      </w:r>
      <w:r w:rsidRPr="00395593">
        <w:rPr>
          <w:rFonts w:ascii="Garamond" w:eastAsia="Times New Roman" w:hAnsi="Garamond" w:cs="Times New Roman"/>
          <w:spacing w:val="19"/>
          <w:sz w:val="24"/>
          <w:szCs w:val="24"/>
        </w:rPr>
        <w:t xml:space="preserve"> </w:t>
      </w:r>
      <w:r w:rsidRPr="00395593">
        <w:rPr>
          <w:rFonts w:ascii="Garamond" w:eastAsia="Times New Roman" w:hAnsi="Garamond" w:cs="Times New Roman"/>
          <w:sz w:val="24"/>
          <w:szCs w:val="24"/>
        </w:rPr>
        <w:t>se</w:t>
      </w:r>
      <w:r w:rsidRPr="00395593">
        <w:rPr>
          <w:rFonts w:ascii="Garamond" w:eastAsia="Times New Roman" w:hAnsi="Garamond" w:cs="Times New Roman"/>
          <w:spacing w:val="19"/>
          <w:sz w:val="24"/>
          <w:szCs w:val="24"/>
        </w:rPr>
        <w:t xml:space="preserve"> </w:t>
      </w:r>
      <w:r w:rsidRPr="00395593">
        <w:rPr>
          <w:rFonts w:ascii="Garamond" w:eastAsia="Times New Roman" w:hAnsi="Garamond" w:cs="Times New Roman"/>
          <w:sz w:val="24"/>
          <w:szCs w:val="24"/>
        </w:rPr>
        <w:t>disponha</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outra</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sz w:val="24"/>
          <w:szCs w:val="24"/>
        </w:rPr>
        <w:t>forma.</w:t>
      </w:r>
    </w:p>
    <w:p w14:paraId="7B87919B"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3C4CC15F" w14:textId="05C68ED6" w:rsidR="003B2CAE" w:rsidRPr="00395593" w:rsidRDefault="00CB6C86" w:rsidP="00E33E26">
      <w:pPr>
        <w:widowControl w:val="0"/>
        <w:autoSpaceDE w:val="0"/>
        <w:autoSpaceDN w:val="0"/>
        <w:spacing w:before="184"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PARTE XI : DISPOSIÇÕES FINAIS</w:t>
      </w:r>
    </w:p>
    <w:p w14:paraId="1AE9F081" w14:textId="05C68ED6" w:rsidR="00CB6C86" w:rsidRPr="00395593" w:rsidRDefault="00CB6C86" w:rsidP="00E33E26">
      <w:pPr>
        <w:widowControl w:val="0"/>
        <w:autoSpaceDE w:val="0"/>
        <w:autoSpaceDN w:val="0"/>
        <w:spacing w:before="184"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31</w:t>
      </w:r>
    </w:p>
    <w:p w14:paraId="6982BE64" w14:textId="77777777" w:rsidR="003B2CAE" w:rsidRPr="00395593" w:rsidRDefault="003B2CAE" w:rsidP="00CB6C86">
      <w:pPr>
        <w:widowControl w:val="0"/>
        <w:autoSpaceDE w:val="0"/>
        <w:autoSpaceDN w:val="0"/>
        <w:spacing w:after="0" w:line="240" w:lineRule="auto"/>
        <w:ind w:right="146"/>
        <w:jc w:val="center"/>
        <w:rPr>
          <w:rFonts w:ascii="Garamond" w:eastAsia="Times New Roman" w:hAnsi="Garamond" w:cs="Times New Roman"/>
          <w:b/>
          <w:sz w:val="24"/>
          <w:szCs w:val="24"/>
        </w:rPr>
      </w:pPr>
    </w:p>
    <w:p w14:paraId="1BBC4ED2" w14:textId="0135A7F3" w:rsidR="00CB6C86" w:rsidRPr="00395593" w:rsidRDefault="00CB6C86" w:rsidP="00CB6C8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Aplicação</w:t>
      </w:r>
      <w:r w:rsidRPr="00395593">
        <w:rPr>
          <w:rFonts w:ascii="Garamond" w:eastAsia="Times New Roman" w:hAnsi="Garamond" w:cs="Times New Roman"/>
          <w:b/>
          <w:spacing w:val="-3"/>
          <w:sz w:val="24"/>
          <w:szCs w:val="24"/>
        </w:rPr>
        <w:t xml:space="preserve"> </w:t>
      </w:r>
      <w:r w:rsidRPr="00395593">
        <w:rPr>
          <w:rFonts w:ascii="Garamond" w:eastAsia="Times New Roman" w:hAnsi="Garamond" w:cs="Times New Roman"/>
          <w:b/>
          <w:sz w:val="24"/>
          <w:szCs w:val="24"/>
        </w:rPr>
        <w:t>Provisória</w:t>
      </w:r>
    </w:p>
    <w:p w14:paraId="0278B547" w14:textId="77777777" w:rsidR="00F96CD9" w:rsidRPr="005C5CBD" w:rsidRDefault="00F96CD9" w:rsidP="00E33E26">
      <w:pPr>
        <w:widowControl w:val="0"/>
        <w:autoSpaceDE w:val="0"/>
        <w:autoSpaceDN w:val="0"/>
        <w:spacing w:after="0" w:line="240" w:lineRule="auto"/>
        <w:ind w:right="146"/>
        <w:jc w:val="center"/>
        <w:rPr>
          <w:rFonts w:ascii="Garamond" w:eastAsia="Times New Roman" w:hAnsi="Garamond" w:cs="Times New Roman"/>
          <w:b/>
          <w:sz w:val="24"/>
          <w:szCs w:val="24"/>
        </w:rPr>
      </w:pPr>
    </w:p>
    <w:p w14:paraId="08A21B63" w14:textId="77777777" w:rsidR="00CB6C86" w:rsidRPr="00395593" w:rsidRDefault="00CB6C86" w:rsidP="00CB6C86">
      <w:pPr>
        <w:widowControl w:val="0"/>
        <w:autoSpaceDE w:val="0"/>
        <w:autoSpaceDN w:val="0"/>
        <w:spacing w:before="68" w:after="0" w:line="240" w:lineRule="auto"/>
        <w:ind w:right="122"/>
        <w:jc w:val="both"/>
        <w:rPr>
          <w:rFonts w:ascii="Garamond" w:eastAsia="Times New Roman" w:hAnsi="Garamond" w:cs="Times New Roman"/>
          <w:sz w:val="24"/>
          <w:szCs w:val="24"/>
        </w:rPr>
      </w:pPr>
      <w:r w:rsidRPr="00395593">
        <w:rPr>
          <w:rFonts w:ascii="Garamond" w:eastAsia="Times New Roman" w:hAnsi="Garamond" w:cs="Times New Roman"/>
          <w:sz w:val="24"/>
          <w:szCs w:val="24"/>
        </w:rPr>
        <w:t>O disposto no parágrafo 1 do Artigo 6 e as disposições do Artigo 8 e do Artigo 9</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serão aplicadas por período de 5 anos a contar a partir da data de entrada em vigor 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Acordo Constitutivo da OMC. No máximo até 180 dias antes do fim desse período, 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Comitê reexaminará o funcionamento dessas disposições para determinar se as mesmas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deverão</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ser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prorrogadas,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quer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como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se encontram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hoje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redigidas,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quer</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sob nova</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redação.</w:t>
      </w:r>
    </w:p>
    <w:p w14:paraId="2285B16D" w14:textId="4AA3E1EA"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ARTIGO</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32</w:t>
      </w:r>
    </w:p>
    <w:p w14:paraId="0C1EA142"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p>
    <w:p w14:paraId="247F6715"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Outras</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Disposições</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Finais</w:t>
      </w:r>
    </w:p>
    <w:p w14:paraId="46A24A8C"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5B12C65B" w14:textId="77777777" w:rsidR="00CB6C86" w:rsidRPr="00395593" w:rsidRDefault="00CB6C86" w:rsidP="002C4340">
      <w:pPr>
        <w:widowControl w:val="0"/>
        <w:numPr>
          <w:ilvl w:val="0"/>
          <w:numId w:val="35"/>
        </w:numPr>
        <w:tabs>
          <w:tab w:val="left" w:pos="810"/>
        </w:tabs>
        <w:autoSpaceDE w:val="0"/>
        <w:autoSpaceDN w:val="0"/>
        <w:spacing w:after="0" w:line="240" w:lineRule="auto"/>
        <w:ind w:right="124" w:firstLine="0"/>
        <w:jc w:val="both"/>
        <w:rPr>
          <w:rFonts w:ascii="Garamond" w:eastAsia="Times New Roman" w:hAnsi="Garamond" w:cs="Times New Roman"/>
          <w:sz w:val="24"/>
        </w:rPr>
      </w:pPr>
      <w:r w:rsidRPr="00395593">
        <w:rPr>
          <w:rFonts w:ascii="Garamond" w:eastAsia="Times New Roman" w:hAnsi="Garamond" w:cs="Times New Roman"/>
          <w:sz w:val="24"/>
        </w:rPr>
        <w:t>Não se pode tomar qualquer medida específica contra subsídio de outro 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 com o disposto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GATT</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1994, tal como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interpretado por esse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vertAlign w:val="superscript"/>
        </w:rPr>
        <w:t>56</w:t>
      </w:r>
      <w:r w:rsidRPr="00395593">
        <w:rPr>
          <w:rFonts w:ascii="Garamond" w:eastAsia="Times New Roman" w:hAnsi="Garamond" w:cs="Times New Roman"/>
          <w:sz w:val="24"/>
        </w:rPr>
        <w:t>.</w:t>
      </w:r>
    </w:p>
    <w:p w14:paraId="7A5087AB" w14:textId="77777777" w:rsidR="00CB6C86" w:rsidRPr="00395593" w:rsidRDefault="00CB6C86" w:rsidP="003B2CAE">
      <w:pPr>
        <w:widowControl w:val="0"/>
        <w:autoSpaceDE w:val="0"/>
        <w:autoSpaceDN w:val="0"/>
        <w:spacing w:before="1" w:after="0" w:line="240" w:lineRule="auto"/>
        <w:jc w:val="both"/>
        <w:rPr>
          <w:rFonts w:ascii="Garamond" w:eastAsia="Times New Roman" w:hAnsi="Garamond" w:cs="Times New Roman"/>
          <w:sz w:val="24"/>
          <w:szCs w:val="24"/>
        </w:rPr>
      </w:pPr>
    </w:p>
    <w:p w14:paraId="7E719990" w14:textId="77777777" w:rsidR="00CB6C86" w:rsidRPr="00395593" w:rsidRDefault="00CB6C86" w:rsidP="002C4340">
      <w:pPr>
        <w:widowControl w:val="0"/>
        <w:numPr>
          <w:ilvl w:val="0"/>
          <w:numId w:val="35"/>
        </w:numPr>
        <w:tabs>
          <w:tab w:val="left" w:pos="810"/>
        </w:tabs>
        <w:autoSpaceDE w:val="0"/>
        <w:autoSpaceDN w:val="0"/>
        <w:spacing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Não se poderão formular reservas acerca de qualquer das disposições deste Acordo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 consentimento dos outros Membros.</w:t>
      </w:r>
    </w:p>
    <w:p w14:paraId="671D1F9F"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63530FC5" w14:textId="77777777" w:rsidR="00CB6C86" w:rsidRPr="00395593" w:rsidRDefault="00CB6C86" w:rsidP="002C4340">
      <w:pPr>
        <w:widowControl w:val="0"/>
        <w:numPr>
          <w:ilvl w:val="0"/>
          <w:numId w:val="35"/>
        </w:numPr>
        <w:tabs>
          <w:tab w:val="left" w:pos="810"/>
        </w:tabs>
        <w:autoSpaceDE w:val="0"/>
        <w:autoSpaceDN w:val="0"/>
        <w:spacing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4,</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disposições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investigações e revisões de medidas existentes que sejam iniciadas de acordo com petições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formuladas tanto na data quanto depois da data de entrada em vigor do Acordo Constitutivo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OMC 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determinado Membro.</w:t>
      </w:r>
    </w:p>
    <w:p w14:paraId="0490DFD2"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44E73A4E" w14:textId="77777777" w:rsidR="00CB6C86" w:rsidRPr="00395593" w:rsidRDefault="00CB6C86" w:rsidP="002C4340">
      <w:pPr>
        <w:widowControl w:val="0"/>
        <w:numPr>
          <w:ilvl w:val="0"/>
          <w:numId w:val="35"/>
        </w:numPr>
        <w:tabs>
          <w:tab w:val="left" w:pos="810"/>
        </w:tabs>
        <w:autoSpaceDE w:val="0"/>
        <w:autoSpaceDN w:val="0"/>
        <w:spacing w:after="0" w:line="240" w:lineRule="auto"/>
        <w:ind w:right="123" w:firstLine="0"/>
        <w:jc w:val="both"/>
        <w:rPr>
          <w:rFonts w:ascii="Garamond" w:eastAsia="Times New Roman" w:hAnsi="Garamond" w:cs="Times New Roman"/>
          <w:sz w:val="20"/>
        </w:rPr>
      </w:pPr>
      <w:r w:rsidRPr="00395593">
        <w:rPr>
          <w:rFonts w:ascii="Garamond" w:eastAsia="Times New Roman" w:hAnsi="Garamond" w:cs="Times New Roman"/>
          <w:sz w:val="24"/>
        </w:rPr>
        <w:t>Para as finalidades do parágrafo 3 do Artigo 21, medidas compensatórias em vigor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considerar-se-ão impostas em data não posterior à de entrada em vigor para determinado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 do Acordo constitutivo da OMC, salvo nos casos em que a legislação nacional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 Membro em vigor naquela data já inclua disposição do mesmo tipo daquela contida 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causa.</w:t>
      </w:r>
      <w:r w:rsidRPr="00395593">
        <w:rPr>
          <w:rFonts w:ascii="Garamond" w:eastAsia="Times New Roman" w:hAnsi="Garamond" w:cs="Times New Roman"/>
          <w:sz w:val="20"/>
        </w:rPr>
        <w:t>.</w:t>
      </w:r>
    </w:p>
    <w:p w14:paraId="75B492F5"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2B76ABEE" w14:textId="77777777" w:rsidR="00CB6C86" w:rsidRPr="00395593" w:rsidRDefault="00CB6C86" w:rsidP="002C4340">
      <w:pPr>
        <w:widowControl w:val="0"/>
        <w:numPr>
          <w:ilvl w:val="0"/>
          <w:numId w:val="35"/>
        </w:numPr>
        <w:tabs>
          <w:tab w:val="left" w:pos="810"/>
        </w:tabs>
        <w:autoSpaceDE w:val="0"/>
        <w:autoSpaceDN w:val="0"/>
        <w:spacing w:before="1"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Os Membros tomarão as devidas providências de natureza geral ou específica 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garantir, até a entrada em vigor do Acordo Constitutivo da OMC para aquele Membro,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conformidade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leis,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regulamentos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procedimentos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administrativos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disposições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deste Acordo,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tal como deverão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 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questão.</w:t>
      </w:r>
    </w:p>
    <w:p w14:paraId="02AE84BC"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7C26C768" w14:textId="77777777" w:rsidR="00CB6C86" w:rsidRPr="00395593" w:rsidRDefault="00CB6C86" w:rsidP="002C4340">
      <w:pPr>
        <w:widowControl w:val="0"/>
        <w:numPr>
          <w:ilvl w:val="0"/>
          <w:numId w:val="35"/>
        </w:numPr>
        <w:tabs>
          <w:tab w:val="left" w:pos="810"/>
        </w:tabs>
        <w:autoSpaceDE w:val="0"/>
        <w:autoSpaceDN w:val="0"/>
        <w:spacing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Os Membros informarão ao Comitê toda e qualquer modificação introduzida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suas leis e regulamentos que sejam relevantes para este Acordo, assim como modificações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aplicação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tais leis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regulamentos.</w:t>
      </w:r>
    </w:p>
    <w:p w14:paraId="76BCD9F1"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4601D861" w14:textId="77777777" w:rsidR="00CB6C86" w:rsidRPr="00395593" w:rsidRDefault="00CB6C86" w:rsidP="002C4340">
      <w:pPr>
        <w:widowControl w:val="0"/>
        <w:numPr>
          <w:ilvl w:val="0"/>
          <w:numId w:val="35"/>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O Comitê reverá anualmente a implementação e a operação deste Acordo, levando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consideração seus objetivos. O Comitê informará anualmente o Conselho de Comércio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Bens sobre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alterações havidas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período coberto por</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tais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revisões.</w:t>
      </w:r>
    </w:p>
    <w:p w14:paraId="4FD6D562"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7FC4E9C3" w14:textId="77777777" w:rsidR="00CB6C86" w:rsidRPr="00395593" w:rsidRDefault="00CB6C86" w:rsidP="002C4340">
      <w:pPr>
        <w:widowControl w:val="0"/>
        <w:numPr>
          <w:ilvl w:val="0"/>
          <w:numId w:val="35"/>
        </w:numPr>
        <w:tabs>
          <w:tab w:val="left" w:pos="810"/>
        </w:tabs>
        <w:autoSpaceDE w:val="0"/>
        <w:autoSpaceDN w:val="0"/>
        <w:spacing w:before="1" w:after="0" w:line="240" w:lineRule="auto"/>
        <w:ind w:left="810"/>
        <w:jc w:val="both"/>
        <w:rPr>
          <w:rFonts w:ascii="Garamond" w:eastAsia="Times New Roman" w:hAnsi="Garamond" w:cs="Times New Roman"/>
          <w:sz w:val="24"/>
        </w:rPr>
      </w:pP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Anexos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 formam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parte</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integrante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mesmo.</w:t>
      </w:r>
    </w:p>
    <w:p w14:paraId="4048E3E3"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6"/>
          <w:szCs w:val="24"/>
        </w:rPr>
      </w:pPr>
    </w:p>
    <w:p w14:paraId="475B53A8" w14:textId="6FC022AF" w:rsidR="00CB6C86" w:rsidRPr="00395593" w:rsidRDefault="00CB6C86" w:rsidP="00CB6C86">
      <w:pPr>
        <w:widowControl w:val="0"/>
        <w:autoSpaceDE w:val="0"/>
        <w:autoSpaceDN w:val="0"/>
        <w:spacing w:before="11" w:after="0" w:line="240" w:lineRule="auto"/>
        <w:rPr>
          <w:rFonts w:ascii="Garamond" w:eastAsia="Times New Roman" w:hAnsi="Garamond" w:cs="Times New Roman"/>
          <w:sz w:val="21"/>
          <w:szCs w:val="24"/>
        </w:rPr>
      </w:pPr>
    </w:p>
    <w:p w14:paraId="38FF8684" w14:textId="6BDDE52C" w:rsidR="00830C4A" w:rsidRDefault="00830C4A" w:rsidP="00E33E26">
      <w:pPr>
        <w:widowControl w:val="0"/>
        <w:autoSpaceDE w:val="0"/>
        <w:autoSpaceDN w:val="0"/>
        <w:spacing w:before="11" w:after="0" w:line="240" w:lineRule="auto"/>
        <w:rPr>
          <w:rFonts w:ascii="Garamond" w:eastAsia="Times New Roman" w:hAnsi="Garamond" w:cs="Times New Roman"/>
          <w:sz w:val="21"/>
          <w:szCs w:val="24"/>
        </w:rPr>
      </w:pPr>
    </w:p>
    <w:p w14:paraId="3AADB974" w14:textId="5D3235F5" w:rsidR="00830C4A" w:rsidRDefault="00830C4A" w:rsidP="00E33E26">
      <w:pPr>
        <w:widowControl w:val="0"/>
        <w:autoSpaceDE w:val="0"/>
        <w:autoSpaceDN w:val="0"/>
        <w:spacing w:before="11" w:after="0" w:line="240" w:lineRule="auto"/>
        <w:rPr>
          <w:rFonts w:ascii="Garamond" w:eastAsia="Times New Roman" w:hAnsi="Garamond" w:cs="Times New Roman"/>
          <w:sz w:val="21"/>
          <w:szCs w:val="24"/>
        </w:rPr>
      </w:pPr>
    </w:p>
    <w:p w14:paraId="6A4CD104" w14:textId="44EC6678" w:rsidR="00830C4A" w:rsidRDefault="00830C4A" w:rsidP="00E33E26">
      <w:pPr>
        <w:widowControl w:val="0"/>
        <w:autoSpaceDE w:val="0"/>
        <w:autoSpaceDN w:val="0"/>
        <w:spacing w:before="11" w:after="0" w:line="240" w:lineRule="auto"/>
        <w:rPr>
          <w:rFonts w:ascii="Garamond" w:eastAsia="Times New Roman" w:hAnsi="Garamond" w:cs="Times New Roman"/>
          <w:sz w:val="21"/>
          <w:szCs w:val="24"/>
        </w:rPr>
      </w:pPr>
    </w:p>
    <w:p w14:paraId="3C23EF92" w14:textId="07EEC97B" w:rsidR="00830C4A" w:rsidRDefault="00830C4A" w:rsidP="00E33E26">
      <w:pPr>
        <w:widowControl w:val="0"/>
        <w:autoSpaceDE w:val="0"/>
        <w:autoSpaceDN w:val="0"/>
        <w:spacing w:before="11" w:after="0" w:line="240" w:lineRule="auto"/>
        <w:rPr>
          <w:rFonts w:ascii="Garamond" w:eastAsia="Times New Roman" w:hAnsi="Garamond" w:cs="Times New Roman"/>
          <w:sz w:val="21"/>
          <w:szCs w:val="24"/>
        </w:rPr>
      </w:pPr>
    </w:p>
    <w:p w14:paraId="6EB42EB9" w14:textId="3FF5853D" w:rsidR="00830C4A" w:rsidRDefault="00830C4A" w:rsidP="00E33E26">
      <w:pPr>
        <w:widowControl w:val="0"/>
        <w:autoSpaceDE w:val="0"/>
        <w:autoSpaceDN w:val="0"/>
        <w:spacing w:before="11" w:after="0" w:line="240" w:lineRule="auto"/>
        <w:rPr>
          <w:rFonts w:ascii="Garamond" w:eastAsia="Times New Roman" w:hAnsi="Garamond" w:cs="Times New Roman"/>
          <w:sz w:val="21"/>
          <w:szCs w:val="24"/>
        </w:rPr>
      </w:pPr>
    </w:p>
    <w:p w14:paraId="490553DF" w14:textId="273E9DFB" w:rsidR="00830C4A" w:rsidRDefault="00830C4A" w:rsidP="00E33E26">
      <w:pPr>
        <w:widowControl w:val="0"/>
        <w:autoSpaceDE w:val="0"/>
        <w:autoSpaceDN w:val="0"/>
        <w:spacing w:before="11" w:after="0" w:line="240" w:lineRule="auto"/>
        <w:rPr>
          <w:rFonts w:ascii="Garamond" w:eastAsia="Times New Roman" w:hAnsi="Garamond" w:cs="Times New Roman"/>
          <w:sz w:val="21"/>
          <w:szCs w:val="24"/>
        </w:rPr>
      </w:pPr>
    </w:p>
    <w:p w14:paraId="27685ADC" w14:textId="3C336971" w:rsidR="00830C4A" w:rsidRPr="005C5CBD" w:rsidRDefault="00D84825" w:rsidP="00D84825">
      <w:pPr>
        <w:widowControl w:val="0"/>
        <w:tabs>
          <w:tab w:val="left" w:pos="1308"/>
        </w:tabs>
        <w:autoSpaceDE w:val="0"/>
        <w:autoSpaceDN w:val="0"/>
        <w:spacing w:before="11" w:after="0" w:line="240" w:lineRule="auto"/>
        <w:rPr>
          <w:rFonts w:ascii="Garamond" w:eastAsia="Times New Roman" w:hAnsi="Garamond" w:cs="Times New Roman"/>
          <w:sz w:val="21"/>
          <w:szCs w:val="24"/>
        </w:rPr>
      </w:pPr>
      <w:r>
        <w:rPr>
          <w:rFonts w:ascii="Garamond" w:eastAsia="Times New Roman" w:hAnsi="Garamond" w:cs="Times New Roman"/>
          <w:sz w:val="21"/>
          <w:szCs w:val="24"/>
        </w:rPr>
        <w:tab/>
      </w:r>
    </w:p>
    <w:p w14:paraId="7BAA0385" w14:textId="5C37F10F" w:rsidR="00CB6C86" w:rsidRPr="00395593" w:rsidRDefault="00CB6C86" w:rsidP="00CB6C86">
      <w:pPr>
        <w:widowControl w:val="0"/>
        <w:autoSpaceDE w:val="0"/>
        <w:autoSpaceDN w:val="0"/>
        <w:spacing w:after="0" w:line="240" w:lineRule="auto"/>
        <w:rPr>
          <w:rFonts w:ascii="Garamond" w:eastAsia="Times New Roman" w:hAnsi="Garamond" w:cs="Times New Roman"/>
          <w:sz w:val="23"/>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83" behindDoc="1" locked="0" layoutInCell="1" allowOverlap="1" wp14:anchorId="00C99009" wp14:editId="1F996EAF">
                <wp:simplePos x="0" y="0"/>
                <wp:positionH relativeFrom="page">
                  <wp:posOffset>1080770</wp:posOffset>
                </wp:positionH>
                <wp:positionV relativeFrom="paragraph">
                  <wp:posOffset>183515</wp:posOffset>
                </wp:positionV>
                <wp:extent cx="1828800" cy="7620"/>
                <wp:effectExtent l="4445" t="0" r="0" b="3810"/>
                <wp:wrapTopAndBottom/>
                <wp:docPr id="410" name="Retângulo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78A59" id="Retângulo 410" o:spid="_x0000_s1026" style="position:absolute;margin-left:85.1pt;margin-top:14.45pt;width:2in;height:.6pt;z-index:-2516581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xEfw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" fillcolor="black" stroked="f">
                <w10:wrap type="topAndBottom" anchorx="page"/>
              </v:rect>
            </w:pict>
          </mc:Fallback>
        </mc:AlternateContent>
      </w:r>
    </w:p>
    <w:p w14:paraId="5B57985A" w14:textId="77777777" w:rsidR="00CB6C86" w:rsidRPr="00395593" w:rsidRDefault="00CB6C86" w:rsidP="00CB6C86">
      <w:pPr>
        <w:widowControl w:val="0"/>
        <w:autoSpaceDE w:val="0"/>
        <w:autoSpaceDN w:val="0"/>
        <w:spacing w:before="103" w:after="0" w:line="240" w:lineRule="auto"/>
        <w:rPr>
          <w:rFonts w:ascii="Garamond" w:eastAsia="Times New Roman" w:hAnsi="Garamond" w:cs="Times New Roman"/>
          <w:sz w:val="20"/>
        </w:rPr>
      </w:pPr>
      <w:r w:rsidRPr="003D7342">
        <w:rPr>
          <w:rFonts w:ascii="Garamond" w:eastAsia="Times New Roman" w:hAnsi="Garamond" w:cs="Times New Roman"/>
          <w:sz w:val="20"/>
          <w:vertAlign w:val="superscript"/>
        </w:rPr>
        <w:t>56</w:t>
      </w:r>
      <w:r w:rsidRPr="003D7342">
        <w:rPr>
          <w:rFonts w:ascii="Garamond" w:eastAsia="Times New Roman" w:hAnsi="Garamond" w:cs="Times New Roman"/>
          <w:spacing w:val="-2"/>
          <w:sz w:val="20"/>
        </w:rPr>
        <w:t xml:space="preserve"> </w:t>
      </w:r>
      <w:r w:rsidRPr="003D7342">
        <w:rPr>
          <w:rFonts w:ascii="Garamond" w:eastAsia="Times New Roman" w:hAnsi="Garamond" w:cs="Times New Roman"/>
          <w:sz w:val="20"/>
        </w:rPr>
        <w:t>Este</w:t>
      </w:r>
      <w:r w:rsidRPr="003D7342">
        <w:rPr>
          <w:rFonts w:ascii="Garamond" w:eastAsia="Times New Roman" w:hAnsi="Garamond" w:cs="Times New Roman"/>
          <w:spacing w:val="-2"/>
          <w:sz w:val="20"/>
        </w:rPr>
        <w:t xml:space="preserve"> </w:t>
      </w:r>
      <w:r w:rsidRPr="003D7342">
        <w:rPr>
          <w:rFonts w:ascii="Garamond" w:eastAsia="Times New Roman" w:hAnsi="Garamond" w:cs="Times New Roman"/>
          <w:sz w:val="20"/>
        </w:rPr>
        <w:t>parágrafo</w:t>
      </w:r>
      <w:r w:rsidRPr="003D7342">
        <w:rPr>
          <w:rFonts w:ascii="Garamond" w:eastAsia="Times New Roman" w:hAnsi="Garamond" w:cs="Times New Roman"/>
          <w:spacing w:val="-1"/>
          <w:sz w:val="20"/>
        </w:rPr>
        <w:t xml:space="preserve"> </w:t>
      </w:r>
      <w:r w:rsidRPr="003D7342">
        <w:rPr>
          <w:rFonts w:ascii="Garamond" w:eastAsia="Times New Roman" w:hAnsi="Garamond" w:cs="Times New Roman"/>
          <w:sz w:val="20"/>
        </w:rPr>
        <w:t>não</w:t>
      </w:r>
      <w:r w:rsidRPr="003D7342">
        <w:rPr>
          <w:rFonts w:ascii="Garamond" w:eastAsia="Times New Roman" w:hAnsi="Garamond" w:cs="Times New Roman"/>
          <w:spacing w:val="-1"/>
          <w:sz w:val="20"/>
        </w:rPr>
        <w:t xml:space="preserve"> </w:t>
      </w:r>
      <w:r w:rsidRPr="003D7342">
        <w:rPr>
          <w:rFonts w:ascii="Garamond" w:eastAsia="Times New Roman" w:hAnsi="Garamond" w:cs="Times New Roman"/>
          <w:sz w:val="20"/>
        </w:rPr>
        <w:t>tem</w:t>
      </w:r>
      <w:r w:rsidRPr="003D7342">
        <w:rPr>
          <w:rFonts w:ascii="Garamond" w:eastAsia="Times New Roman" w:hAnsi="Garamond" w:cs="Times New Roman"/>
          <w:spacing w:val="-6"/>
          <w:sz w:val="20"/>
        </w:rPr>
        <w:t xml:space="preserve"> </w:t>
      </w:r>
      <w:r w:rsidRPr="003D7342">
        <w:rPr>
          <w:rFonts w:ascii="Garamond" w:eastAsia="Times New Roman" w:hAnsi="Garamond" w:cs="Times New Roman"/>
          <w:sz w:val="20"/>
        </w:rPr>
        <w:t>por</w:t>
      </w:r>
      <w:r w:rsidRPr="003D7342">
        <w:rPr>
          <w:rFonts w:ascii="Garamond" w:eastAsia="Times New Roman" w:hAnsi="Garamond" w:cs="Times New Roman"/>
          <w:spacing w:val="-2"/>
          <w:sz w:val="20"/>
        </w:rPr>
        <w:t xml:space="preserve"> </w:t>
      </w:r>
      <w:r w:rsidRPr="003D7342">
        <w:rPr>
          <w:rFonts w:ascii="Garamond" w:eastAsia="Times New Roman" w:hAnsi="Garamond" w:cs="Times New Roman"/>
          <w:sz w:val="20"/>
        </w:rPr>
        <w:t>objetivo</w:t>
      </w:r>
      <w:r w:rsidRPr="003D7342">
        <w:rPr>
          <w:rFonts w:ascii="Garamond" w:eastAsia="Times New Roman" w:hAnsi="Garamond" w:cs="Times New Roman"/>
          <w:spacing w:val="-1"/>
          <w:sz w:val="20"/>
        </w:rPr>
        <w:t xml:space="preserve"> </w:t>
      </w:r>
      <w:r w:rsidRPr="003D7342">
        <w:rPr>
          <w:rFonts w:ascii="Garamond" w:eastAsia="Times New Roman" w:hAnsi="Garamond" w:cs="Times New Roman"/>
          <w:sz w:val="20"/>
        </w:rPr>
        <w:t>impedir</w:t>
      </w:r>
      <w:r w:rsidRPr="003D7342">
        <w:rPr>
          <w:rFonts w:ascii="Garamond" w:eastAsia="Times New Roman" w:hAnsi="Garamond" w:cs="Times New Roman"/>
          <w:spacing w:val="1"/>
          <w:sz w:val="20"/>
        </w:rPr>
        <w:t xml:space="preserve"> </w:t>
      </w:r>
      <w:r w:rsidRPr="003D7342">
        <w:rPr>
          <w:rFonts w:ascii="Garamond" w:eastAsia="Times New Roman" w:hAnsi="Garamond" w:cs="Times New Roman"/>
          <w:sz w:val="20"/>
        </w:rPr>
        <w:t>medidas</w:t>
      </w:r>
      <w:r w:rsidRPr="003D7342">
        <w:rPr>
          <w:rFonts w:ascii="Garamond" w:eastAsia="Times New Roman" w:hAnsi="Garamond" w:cs="Times New Roman"/>
          <w:spacing w:val="-3"/>
          <w:sz w:val="20"/>
        </w:rPr>
        <w:t xml:space="preserve"> </w:t>
      </w:r>
      <w:r w:rsidRPr="003D7342">
        <w:rPr>
          <w:rFonts w:ascii="Garamond" w:eastAsia="Times New Roman" w:hAnsi="Garamond" w:cs="Times New Roman"/>
          <w:sz w:val="20"/>
        </w:rPr>
        <w:t>ao</w:t>
      </w:r>
      <w:r w:rsidRPr="003D7342">
        <w:rPr>
          <w:rFonts w:ascii="Garamond" w:eastAsia="Times New Roman" w:hAnsi="Garamond" w:cs="Times New Roman"/>
          <w:spacing w:val="-1"/>
          <w:sz w:val="20"/>
        </w:rPr>
        <w:t xml:space="preserve"> </w:t>
      </w:r>
      <w:r w:rsidRPr="003D7342">
        <w:rPr>
          <w:rFonts w:ascii="Garamond" w:eastAsia="Times New Roman" w:hAnsi="Garamond" w:cs="Times New Roman"/>
          <w:sz w:val="20"/>
        </w:rPr>
        <w:t>abrigo</w:t>
      </w:r>
      <w:r w:rsidRPr="003D7342">
        <w:rPr>
          <w:rFonts w:ascii="Garamond" w:eastAsia="Times New Roman" w:hAnsi="Garamond" w:cs="Times New Roman"/>
          <w:spacing w:val="-1"/>
          <w:sz w:val="20"/>
        </w:rPr>
        <w:t xml:space="preserve"> </w:t>
      </w:r>
      <w:r w:rsidRPr="003D7342">
        <w:rPr>
          <w:rFonts w:ascii="Garamond" w:eastAsia="Times New Roman" w:hAnsi="Garamond" w:cs="Times New Roman"/>
          <w:sz w:val="20"/>
        </w:rPr>
        <w:t>de</w:t>
      </w:r>
      <w:r w:rsidRPr="003D7342">
        <w:rPr>
          <w:rFonts w:ascii="Garamond" w:eastAsia="Times New Roman" w:hAnsi="Garamond" w:cs="Times New Roman"/>
          <w:spacing w:val="-2"/>
          <w:sz w:val="20"/>
        </w:rPr>
        <w:t xml:space="preserve"> </w:t>
      </w:r>
      <w:r w:rsidRPr="003D7342">
        <w:rPr>
          <w:rFonts w:ascii="Garamond" w:eastAsia="Times New Roman" w:hAnsi="Garamond" w:cs="Times New Roman"/>
          <w:sz w:val="20"/>
        </w:rPr>
        <w:t>outras</w:t>
      </w:r>
      <w:r w:rsidRPr="003D7342">
        <w:rPr>
          <w:rFonts w:ascii="Garamond" w:eastAsia="Times New Roman" w:hAnsi="Garamond" w:cs="Times New Roman"/>
          <w:spacing w:val="-3"/>
          <w:sz w:val="20"/>
        </w:rPr>
        <w:t xml:space="preserve"> </w:t>
      </w:r>
      <w:r w:rsidRPr="003D7342">
        <w:rPr>
          <w:rFonts w:ascii="Garamond" w:eastAsia="Times New Roman" w:hAnsi="Garamond" w:cs="Times New Roman"/>
          <w:sz w:val="20"/>
        </w:rPr>
        <w:t>disposições</w:t>
      </w:r>
      <w:r w:rsidRPr="003D7342">
        <w:rPr>
          <w:rFonts w:ascii="Garamond" w:eastAsia="Times New Roman" w:hAnsi="Garamond" w:cs="Times New Roman"/>
          <w:spacing w:val="-3"/>
          <w:sz w:val="20"/>
        </w:rPr>
        <w:t xml:space="preserve"> </w:t>
      </w:r>
      <w:r w:rsidRPr="003D7342">
        <w:rPr>
          <w:rFonts w:ascii="Garamond" w:eastAsia="Times New Roman" w:hAnsi="Garamond" w:cs="Times New Roman"/>
          <w:sz w:val="20"/>
        </w:rPr>
        <w:t>pertinentes</w:t>
      </w:r>
      <w:r w:rsidRPr="003D7342">
        <w:rPr>
          <w:rFonts w:ascii="Garamond" w:eastAsia="Times New Roman" w:hAnsi="Garamond" w:cs="Times New Roman"/>
          <w:spacing w:val="-3"/>
          <w:sz w:val="20"/>
        </w:rPr>
        <w:t xml:space="preserve"> </w:t>
      </w:r>
      <w:r w:rsidRPr="003D7342">
        <w:rPr>
          <w:rFonts w:ascii="Garamond" w:eastAsia="Times New Roman" w:hAnsi="Garamond" w:cs="Times New Roman"/>
          <w:sz w:val="20"/>
        </w:rPr>
        <w:t>do</w:t>
      </w:r>
      <w:r w:rsidRPr="003D7342">
        <w:rPr>
          <w:rFonts w:ascii="Garamond" w:eastAsia="Times New Roman" w:hAnsi="Garamond" w:cs="Times New Roman"/>
          <w:spacing w:val="-1"/>
          <w:sz w:val="20"/>
        </w:rPr>
        <w:t xml:space="preserve"> </w:t>
      </w:r>
      <w:r w:rsidRPr="003D7342">
        <w:rPr>
          <w:rFonts w:ascii="Garamond" w:eastAsia="Times New Roman" w:hAnsi="Garamond" w:cs="Times New Roman"/>
          <w:sz w:val="20"/>
        </w:rPr>
        <w:t>GATT</w:t>
      </w:r>
      <w:r w:rsidRPr="003D7342">
        <w:rPr>
          <w:rFonts w:ascii="Garamond" w:eastAsia="Times New Roman" w:hAnsi="Garamond" w:cs="Times New Roman"/>
          <w:spacing w:val="-47"/>
          <w:sz w:val="20"/>
        </w:rPr>
        <w:t xml:space="preserve"> </w:t>
      </w:r>
      <w:r w:rsidRPr="003D7342">
        <w:rPr>
          <w:rFonts w:ascii="Garamond" w:eastAsia="Times New Roman" w:hAnsi="Garamond" w:cs="Times New Roman"/>
          <w:sz w:val="20"/>
        </w:rPr>
        <w:t>1994,</w:t>
      </w:r>
      <w:r w:rsidRPr="003D7342">
        <w:rPr>
          <w:rFonts w:ascii="Garamond" w:eastAsia="Times New Roman" w:hAnsi="Garamond" w:cs="Times New Roman"/>
          <w:spacing w:val="-3"/>
          <w:sz w:val="20"/>
        </w:rPr>
        <w:t xml:space="preserve"> </w:t>
      </w:r>
      <w:r w:rsidRPr="003D7342">
        <w:rPr>
          <w:rFonts w:ascii="Garamond" w:eastAsia="Times New Roman" w:hAnsi="Garamond" w:cs="Times New Roman"/>
          <w:sz w:val="20"/>
        </w:rPr>
        <w:t>conforme o</w:t>
      </w:r>
      <w:r w:rsidRPr="003D7342">
        <w:rPr>
          <w:rFonts w:ascii="Garamond" w:eastAsia="Times New Roman" w:hAnsi="Garamond" w:cs="Times New Roman"/>
          <w:spacing w:val="1"/>
          <w:sz w:val="20"/>
        </w:rPr>
        <w:t xml:space="preserve"> </w:t>
      </w:r>
      <w:r w:rsidRPr="003D7342">
        <w:rPr>
          <w:rFonts w:ascii="Garamond" w:eastAsia="Times New Roman" w:hAnsi="Garamond" w:cs="Times New Roman"/>
          <w:sz w:val="20"/>
        </w:rPr>
        <w:t>caso.</w:t>
      </w:r>
    </w:p>
    <w:p w14:paraId="728C251C" w14:textId="2D777887" w:rsidR="004A450E" w:rsidRPr="005C5CBD" w:rsidRDefault="004A450E" w:rsidP="00A667CD">
      <w:pPr>
        <w:widowControl w:val="0"/>
        <w:autoSpaceDE w:val="0"/>
        <w:autoSpaceDN w:val="0"/>
        <w:spacing w:before="103" w:after="0" w:line="240" w:lineRule="auto"/>
        <w:rPr>
          <w:rFonts w:ascii="Garamond" w:eastAsia="Times New Roman" w:hAnsi="Garamond" w:cs="Times New Roman"/>
          <w:sz w:val="20"/>
        </w:rPr>
      </w:pPr>
      <w:r w:rsidRPr="005C5CBD">
        <w:rPr>
          <w:rFonts w:ascii="Garamond" w:eastAsia="Times New Roman" w:hAnsi="Garamond" w:cs="Times New Roman"/>
          <w:sz w:val="20"/>
        </w:rPr>
        <w:br w:type="page"/>
      </w:r>
    </w:p>
    <w:p w14:paraId="4AB57DE7" w14:textId="77777777" w:rsidR="00CB6C86" w:rsidRPr="005C5CBD" w:rsidRDefault="00CB6C86" w:rsidP="00E33E26">
      <w:pPr>
        <w:widowControl w:val="0"/>
        <w:autoSpaceDE w:val="0"/>
        <w:autoSpaceDN w:val="0"/>
        <w:spacing w:before="103" w:after="0" w:line="240" w:lineRule="auto"/>
        <w:rPr>
          <w:rFonts w:ascii="Garamond" w:eastAsia="Times New Roman" w:hAnsi="Garamond" w:cs="Times New Roman"/>
          <w:sz w:val="20"/>
        </w:rPr>
      </w:pPr>
    </w:p>
    <w:p w14:paraId="6617700F" w14:textId="77777777" w:rsidR="00C93F7B" w:rsidRPr="00395593" w:rsidRDefault="00C93F7B" w:rsidP="00E33E26">
      <w:pPr>
        <w:widowControl w:val="0"/>
        <w:autoSpaceDE w:val="0"/>
        <w:autoSpaceDN w:val="0"/>
        <w:spacing w:after="0" w:line="240" w:lineRule="auto"/>
        <w:ind w:right="143"/>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ANEXO I</w:t>
      </w:r>
    </w:p>
    <w:p w14:paraId="0FCF3605" w14:textId="3F8972A1" w:rsidR="00CB6C86" w:rsidRPr="00395593" w:rsidRDefault="00CB6C86" w:rsidP="00E33E26">
      <w:pPr>
        <w:widowControl w:val="0"/>
        <w:autoSpaceDE w:val="0"/>
        <w:autoSpaceDN w:val="0"/>
        <w:spacing w:before="184"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LISTA</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ILUSTRATIVA</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DE</w:t>
      </w:r>
      <w:r w:rsidRPr="00395593">
        <w:rPr>
          <w:rFonts w:ascii="Garamond" w:eastAsia="Times New Roman" w:hAnsi="Garamond" w:cs="Times New Roman"/>
          <w:b/>
          <w:spacing w:val="-3"/>
          <w:sz w:val="24"/>
          <w:szCs w:val="24"/>
        </w:rPr>
        <w:t xml:space="preserve"> </w:t>
      </w:r>
      <w:r w:rsidRPr="00395593">
        <w:rPr>
          <w:rFonts w:ascii="Garamond" w:eastAsia="Times New Roman" w:hAnsi="Garamond" w:cs="Times New Roman"/>
          <w:b/>
          <w:sz w:val="24"/>
          <w:szCs w:val="24"/>
        </w:rPr>
        <w:t>SUBSÍDIOS</w:t>
      </w:r>
      <w:r w:rsidRPr="00395593">
        <w:rPr>
          <w:rFonts w:ascii="Garamond" w:eastAsia="Times New Roman" w:hAnsi="Garamond" w:cs="Times New Roman"/>
          <w:b/>
          <w:spacing w:val="-3"/>
          <w:sz w:val="24"/>
          <w:szCs w:val="24"/>
        </w:rPr>
        <w:t xml:space="preserve"> </w:t>
      </w:r>
      <w:r w:rsidRPr="00395593">
        <w:rPr>
          <w:rFonts w:ascii="Garamond" w:eastAsia="Times New Roman" w:hAnsi="Garamond" w:cs="Times New Roman"/>
          <w:b/>
          <w:sz w:val="24"/>
          <w:szCs w:val="24"/>
        </w:rPr>
        <w:t>A</w:t>
      </w:r>
      <w:r w:rsidRPr="00395593">
        <w:rPr>
          <w:rFonts w:ascii="Garamond" w:eastAsia="Times New Roman" w:hAnsi="Garamond" w:cs="Times New Roman"/>
          <w:b/>
          <w:spacing w:val="-3"/>
          <w:sz w:val="24"/>
          <w:szCs w:val="24"/>
        </w:rPr>
        <w:t xml:space="preserve"> </w:t>
      </w:r>
      <w:r w:rsidRPr="00395593">
        <w:rPr>
          <w:rFonts w:ascii="Garamond" w:eastAsia="Times New Roman" w:hAnsi="Garamond" w:cs="Times New Roman"/>
          <w:b/>
          <w:sz w:val="24"/>
          <w:szCs w:val="24"/>
        </w:rPr>
        <w:t>EXPORTAÇÃO</w:t>
      </w:r>
    </w:p>
    <w:p w14:paraId="1B580D40"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1C0102E7" w14:textId="77777777" w:rsidR="00CB6C86" w:rsidRPr="00395593" w:rsidRDefault="00CB6C86" w:rsidP="002C4340">
      <w:pPr>
        <w:widowControl w:val="0"/>
        <w:numPr>
          <w:ilvl w:val="0"/>
          <w:numId w:val="34"/>
        </w:numPr>
        <w:tabs>
          <w:tab w:val="left" w:pos="445"/>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A concessão pelos governos de subsídios diretos a empresa ou a produção, fazendo-os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depender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desempenho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exportador.</w:t>
      </w:r>
    </w:p>
    <w:p w14:paraId="6DD929AA"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3F203F1E" w14:textId="77777777" w:rsidR="00CB6C86" w:rsidRPr="00395593" w:rsidRDefault="00CB6C86" w:rsidP="002C4340">
      <w:pPr>
        <w:widowControl w:val="0"/>
        <w:numPr>
          <w:ilvl w:val="0"/>
          <w:numId w:val="34"/>
        </w:numPr>
        <w:tabs>
          <w:tab w:val="left" w:pos="443"/>
        </w:tabs>
        <w:autoSpaceDE w:val="0"/>
        <w:autoSpaceDN w:val="0"/>
        <w:spacing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Esquemas de retenção de divisas ou quaisquer práticas similares que envolvam bônus às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exportações;</w:t>
      </w:r>
    </w:p>
    <w:p w14:paraId="53222C27"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6104AE3B" w14:textId="77777777" w:rsidR="00CB6C86" w:rsidRPr="00395593" w:rsidRDefault="00CB6C86" w:rsidP="002C4340">
      <w:pPr>
        <w:widowControl w:val="0"/>
        <w:numPr>
          <w:ilvl w:val="0"/>
          <w:numId w:val="34"/>
        </w:numPr>
        <w:tabs>
          <w:tab w:val="left" w:pos="431"/>
        </w:tabs>
        <w:autoSpaceDE w:val="0"/>
        <w:autoSpaceDN w:val="0"/>
        <w:spacing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Tarifas de transporte interno e de fretes para as exportações proporcionadas ou impostas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pelos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governos, mais favoráveis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 aplicadas aos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despachos internos.</w:t>
      </w:r>
    </w:p>
    <w:p w14:paraId="0B9CF404"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1F49E41E" w14:textId="77777777" w:rsidR="00CB6C86" w:rsidRPr="00395593" w:rsidRDefault="00CB6C86" w:rsidP="002C4340">
      <w:pPr>
        <w:widowControl w:val="0"/>
        <w:numPr>
          <w:ilvl w:val="0"/>
          <w:numId w:val="34"/>
        </w:numPr>
        <w:tabs>
          <w:tab w:val="left" w:pos="443"/>
        </w:tabs>
        <w:autoSpaceDE w:val="0"/>
        <w:autoSpaceDN w:val="0"/>
        <w:spacing w:after="0" w:line="240" w:lineRule="auto"/>
        <w:ind w:right="116" w:firstLine="0"/>
        <w:jc w:val="both"/>
        <w:rPr>
          <w:rFonts w:ascii="Garamond" w:eastAsia="Times New Roman" w:hAnsi="Garamond" w:cs="Times New Roman"/>
          <w:sz w:val="24"/>
        </w:rPr>
      </w:pPr>
      <w:r w:rsidRPr="00395593">
        <w:rPr>
          <w:rFonts w:ascii="Garamond" w:eastAsia="Times New Roman" w:hAnsi="Garamond" w:cs="Times New Roman"/>
          <w:sz w:val="24"/>
        </w:rPr>
        <w:t>O fornecimento pelo governo ou por entidades governamentais, direta ou indiretamente,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por meio de programas impostos pelas autoridades, de produtos ou serviços, importados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nacionais,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bens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destinados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condições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mais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favoráveis do que as do fornecimento dos produtos ou serviços similares ou diretamente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competitivos para uso na produção de bens destinados ao consumo doméstico, se (no caso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produtos) tais termos ou condições são mais favoráveis do que aqueles comercialmente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disponíveis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57</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nos mercados mundiais para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seus exportadores.</w:t>
      </w:r>
    </w:p>
    <w:p w14:paraId="70C1223F" w14:textId="77777777" w:rsidR="00CB6C86" w:rsidRPr="00395593" w:rsidRDefault="00CB6C86" w:rsidP="003B2CAE">
      <w:pPr>
        <w:widowControl w:val="0"/>
        <w:autoSpaceDE w:val="0"/>
        <w:autoSpaceDN w:val="0"/>
        <w:spacing w:before="1" w:after="0" w:line="240" w:lineRule="auto"/>
        <w:jc w:val="both"/>
        <w:rPr>
          <w:rFonts w:ascii="Garamond" w:eastAsia="Times New Roman" w:hAnsi="Garamond" w:cs="Times New Roman"/>
          <w:sz w:val="24"/>
          <w:szCs w:val="24"/>
        </w:rPr>
      </w:pPr>
    </w:p>
    <w:p w14:paraId="3C4BB270" w14:textId="77777777" w:rsidR="00CB6C86" w:rsidRPr="00D84825" w:rsidRDefault="00CB6C86" w:rsidP="002C4340">
      <w:pPr>
        <w:widowControl w:val="0"/>
        <w:numPr>
          <w:ilvl w:val="0"/>
          <w:numId w:val="34"/>
        </w:numPr>
        <w:tabs>
          <w:tab w:val="left" w:pos="431"/>
        </w:tabs>
        <w:autoSpaceDE w:val="0"/>
        <w:autoSpaceDN w:val="0"/>
        <w:spacing w:after="0" w:line="240" w:lineRule="auto"/>
        <w:ind w:right="119" w:firstLine="0"/>
        <w:jc w:val="both"/>
        <w:rPr>
          <w:rFonts w:ascii="Garamond" w:eastAsia="Times New Roman" w:hAnsi="Garamond" w:cs="Times New Roman"/>
          <w:sz w:val="24"/>
        </w:rPr>
      </w:pPr>
      <w:r w:rsidRPr="00D84825">
        <w:rPr>
          <w:rFonts w:ascii="Garamond" w:eastAsia="Times New Roman" w:hAnsi="Garamond" w:cs="Times New Roman"/>
          <w:sz w:val="24"/>
        </w:rPr>
        <w:t>Isenção, remissão ou deferimento total ou parcial, concedido especificamente em função</w:t>
      </w:r>
      <w:r w:rsidRPr="00D84825">
        <w:rPr>
          <w:rFonts w:ascii="Garamond" w:eastAsia="Times New Roman" w:hAnsi="Garamond" w:cs="Times New Roman"/>
          <w:spacing w:val="-57"/>
          <w:sz w:val="24"/>
        </w:rPr>
        <w:t xml:space="preserve"> </w:t>
      </w:r>
      <w:r w:rsidRPr="00D84825">
        <w:rPr>
          <w:rFonts w:ascii="Garamond" w:eastAsia="Times New Roman" w:hAnsi="Garamond" w:cs="Times New Roman"/>
          <w:sz w:val="24"/>
        </w:rPr>
        <w:t xml:space="preserve">de exportações, de impostos diretos </w:t>
      </w:r>
      <w:r w:rsidRPr="00D84825">
        <w:rPr>
          <w:rFonts w:ascii="Garamond" w:eastAsia="Times New Roman" w:hAnsi="Garamond" w:cs="Times New Roman"/>
          <w:sz w:val="24"/>
          <w:vertAlign w:val="superscript"/>
        </w:rPr>
        <w:t>58</w:t>
      </w:r>
      <w:r w:rsidRPr="00D84825">
        <w:rPr>
          <w:rFonts w:ascii="Garamond" w:eastAsia="Times New Roman" w:hAnsi="Garamond" w:cs="Times New Roman"/>
          <w:sz w:val="24"/>
        </w:rPr>
        <w:t xml:space="preserve"> ou impostos sociais pagos ou pagáveis por empresas</w:t>
      </w:r>
      <w:r w:rsidRPr="00D84825">
        <w:rPr>
          <w:rFonts w:ascii="Garamond" w:eastAsia="Times New Roman" w:hAnsi="Garamond" w:cs="Times New Roman"/>
          <w:spacing w:val="1"/>
          <w:sz w:val="24"/>
        </w:rPr>
        <w:t xml:space="preserve"> </w:t>
      </w:r>
      <w:r w:rsidRPr="00D84825">
        <w:rPr>
          <w:rFonts w:ascii="Garamond" w:eastAsia="Times New Roman" w:hAnsi="Garamond" w:cs="Times New Roman"/>
          <w:sz w:val="24"/>
        </w:rPr>
        <w:t>industriais</w:t>
      </w:r>
      <w:r w:rsidRPr="00D84825">
        <w:rPr>
          <w:rFonts w:ascii="Garamond" w:eastAsia="Times New Roman" w:hAnsi="Garamond" w:cs="Times New Roman"/>
          <w:spacing w:val="-1"/>
          <w:sz w:val="24"/>
        </w:rPr>
        <w:t xml:space="preserve"> </w:t>
      </w:r>
      <w:r w:rsidRPr="00D84825">
        <w:rPr>
          <w:rFonts w:ascii="Garamond" w:eastAsia="Times New Roman" w:hAnsi="Garamond" w:cs="Times New Roman"/>
          <w:sz w:val="24"/>
        </w:rPr>
        <w:t>ou comerciais</w:t>
      </w:r>
      <w:r w:rsidRPr="00D84825">
        <w:rPr>
          <w:rFonts w:ascii="Garamond" w:eastAsia="Times New Roman" w:hAnsi="Garamond" w:cs="Times New Roman"/>
          <w:spacing w:val="3"/>
          <w:sz w:val="24"/>
        </w:rPr>
        <w:t xml:space="preserve"> </w:t>
      </w:r>
      <w:r w:rsidRPr="00D84825">
        <w:rPr>
          <w:rFonts w:ascii="Garamond" w:eastAsia="Times New Roman" w:hAnsi="Garamond" w:cs="Times New Roman"/>
          <w:sz w:val="24"/>
          <w:vertAlign w:val="superscript"/>
        </w:rPr>
        <w:t>59</w:t>
      </w:r>
      <w:r w:rsidRPr="00D84825">
        <w:rPr>
          <w:rFonts w:ascii="Garamond" w:eastAsia="Times New Roman" w:hAnsi="Garamond" w:cs="Times New Roman"/>
          <w:sz w:val="24"/>
        </w:rPr>
        <w:t>.</w:t>
      </w:r>
    </w:p>
    <w:p w14:paraId="3F094DBA" w14:textId="77777777" w:rsidR="00CB6C86" w:rsidRPr="00D84825" w:rsidRDefault="00CB6C86" w:rsidP="003B2CAE">
      <w:pPr>
        <w:widowControl w:val="0"/>
        <w:autoSpaceDE w:val="0"/>
        <w:autoSpaceDN w:val="0"/>
        <w:spacing w:after="0" w:line="240" w:lineRule="auto"/>
        <w:jc w:val="center"/>
        <w:rPr>
          <w:rFonts w:ascii="Garamond" w:eastAsia="Times New Roman" w:hAnsi="Garamond" w:cs="Times New Roman"/>
          <w:sz w:val="20"/>
          <w:szCs w:val="24"/>
        </w:rPr>
      </w:pPr>
    </w:p>
    <w:p w14:paraId="62F7A6A5" w14:textId="4106F308" w:rsidR="00CB6C86" w:rsidRPr="00D84825" w:rsidRDefault="00CB6C86" w:rsidP="00CB6C86">
      <w:pPr>
        <w:widowControl w:val="0"/>
        <w:autoSpaceDE w:val="0"/>
        <w:autoSpaceDN w:val="0"/>
        <w:spacing w:before="1" w:after="0" w:line="240" w:lineRule="auto"/>
        <w:rPr>
          <w:rFonts w:ascii="Garamond" w:eastAsia="Times New Roman" w:hAnsi="Garamond" w:cs="Times New Roman"/>
          <w:sz w:val="23"/>
          <w:szCs w:val="24"/>
        </w:rPr>
      </w:pPr>
      <w:r w:rsidRPr="00D84825">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84" behindDoc="1" locked="0" layoutInCell="1" allowOverlap="1" wp14:anchorId="4FA7668F" wp14:editId="15A0486B">
                <wp:simplePos x="0" y="0"/>
                <wp:positionH relativeFrom="page">
                  <wp:posOffset>1080770</wp:posOffset>
                </wp:positionH>
                <wp:positionV relativeFrom="paragraph">
                  <wp:posOffset>184150</wp:posOffset>
                </wp:positionV>
                <wp:extent cx="1828800" cy="7620"/>
                <wp:effectExtent l="4445" t="0" r="0" b="4445"/>
                <wp:wrapTopAndBottom/>
                <wp:docPr id="409" name="Retângulo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954A6" id="Retângulo 409" o:spid="_x0000_s1026" style="position:absolute;margin-left:85.1pt;margin-top:14.5pt;width:2in;height:.6pt;z-index:-2516581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ZAgA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" fillcolor="black" stroked="f">
                <w10:wrap type="topAndBottom" anchorx="page"/>
              </v:rect>
            </w:pict>
          </mc:Fallback>
        </mc:AlternateContent>
      </w:r>
    </w:p>
    <w:p w14:paraId="51C0EC1F" w14:textId="77777777" w:rsidR="00CB6C86" w:rsidRPr="00D84825" w:rsidRDefault="00CB6C86" w:rsidP="00CB6C86">
      <w:pPr>
        <w:widowControl w:val="0"/>
        <w:autoSpaceDE w:val="0"/>
        <w:autoSpaceDN w:val="0"/>
        <w:spacing w:before="103" w:after="0" w:line="240" w:lineRule="auto"/>
        <w:rPr>
          <w:rFonts w:ascii="Garamond" w:eastAsia="Times New Roman" w:hAnsi="Garamond" w:cs="Times New Roman"/>
          <w:sz w:val="20"/>
        </w:rPr>
      </w:pPr>
      <w:r w:rsidRPr="00D84825">
        <w:rPr>
          <w:rFonts w:ascii="Garamond" w:eastAsia="Times New Roman" w:hAnsi="Garamond" w:cs="Times New Roman"/>
          <w:sz w:val="20"/>
          <w:vertAlign w:val="superscript"/>
        </w:rPr>
        <w:t>57</w:t>
      </w:r>
      <w:r w:rsidRPr="00D84825">
        <w:rPr>
          <w:rFonts w:ascii="Garamond" w:eastAsia="Times New Roman" w:hAnsi="Garamond" w:cs="Times New Roman"/>
          <w:spacing w:val="12"/>
          <w:sz w:val="20"/>
        </w:rPr>
        <w:t xml:space="preserve"> </w:t>
      </w:r>
      <w:r w:rsidRPr="00D84825">
        <w:rPr>
          <w:rFonts w:ascii="Garamond" w:eastAsia="Times New Roman" w:hAnsi="Garamond" w:cs="Times New Roman"/>
          <w:sz w:val="20"/>
        </w:rPr>
        <w:t>O</w:t>
      </w:r>
      <w:r w:rsidRPr="00D84825">
        <w:rPr>
          <w:rFonts w:ascii="Garamond" w:eastAsia="Times New Roman" w:hAnsi="Garamond" w:cs="Times New Roman"/>
          <w:spacing w:val="12"/>
          <w:sz w:val="20"/>
        </w:rPr>
        <w:t xml:space="preserve"> </w:t>
      </w:r>
      <w:r w:rsidRPr="00D84825">
        <w:rPr>
          <w:rFonts w:ascii="Garamond" w:eastAsia="Times New Roman" w:hAnsi="Garamond" w:cs="Times New Roman"/>
          <w:sz w:val="20"/>
        </w:rPr>
        <w:t>termo</w:t>
      </w:r>
      <w:r w:rsidRPr="00D84825">
        <w:rPr>
          <w:rFonts w:ascii="Garamond" w:eastAsia="Times New Roman" w:hAnsi="Garamond" w:cs="Times New Roman"/>
          <w:spacing w:val="13"/>
          <w:sz w:val="20"/>
        </w:rPr>
        <w:t xml:space="preserve"> </w:t>
      </w:r>
      <w:r w:rsidRPr="00D84825">
        <w:rPr>
          <w:rFonts w:ascii="Garamond" w:eastAsia="Times New Roman" w:hAnsi="Garamond" w:cs="Times New Roman"/>
          <w:sz w:val="20"/>
        </w:rPr>
        <w:t>“comercialmente</w:t>
      </w:r>
      <w:r w:rsidRPr="00D84825">
        <w:rPr>
          <w:rFonts w:ascii="Garamond" w:eastAsia="Times New Roman" w:hAnsi="Garamond" w:cs="Times New Roman"/>
          <w:spacing w:val="12"/>
          <w:sz w:val="20"/>
        </w:rPr>
        <w:t xml:space="preserve"> </w:t>
      </w:r>
      <w:r w:rsidRPr="00D84825">
        <w:rPr>
          <w:rFonts w:ascii="Garamond" w:eastAsia="Times New Roman" w:hAnsi="Garamond" w:cs="Times New Roman"/>
          <w:sz w:val="20"/>
        </w:rPr>
        <w:t>disponíveis”</w:t>
      </w:r>
      <w:r w:rsidRPr="00D84825">
        <w:rPr>
          <w:rFonts w:ascii="Garamond" w:eastAsia="Times New Roman" w:hAnsi="Garamond" w:cs="Times New Roman"/>
          <w:spacing w:val="13"/>
          <w:sz w:val="20"/>
        </w:rPr>
        <w:t xml:space="preserve"> </w:t>
      </w:r>
      <w:r w:rsidRPr="00D84825">
        <w:rPr>
          <w:rFonts w:ascii="Garamond" w:eastAsia="Times New Roman" w:hAnsi="Garamond" w:cs="Times New Roman"/>
          <w:sz w:val="20"/>
        </w:rPr>
        <w:t>quer</w:t>
      </w:r>
      <w:r w:rsidRPr="00D84825">
        <w:rPr>
          <w:rFonts w:ascii="Garamond" w:eastAsia="Times New Roman" w:hAnsi="Garamond" w:cs="Times New Roman"/>
          <w:spacing w:val="13"/>
          <w:sz w:val="20"/>
        </w:rPr>
        <w:t xml:space="preserve"> </w:t>
      </w:r>
      <w:r w:rsidRPr="00D84825">
        <w:rPr>
          <w:rFonts w:ascii="Garamond" w:eastAsia="Times New Roman" w:hAnsi="Garamond" w:cs="Times New Roman"/>
          <w:sz w:val="20"/>
        </w:rPr>
        <w:t>dizer</w:t>
      </w:r>
      <w:r w:rsidRPr="00D84825">
        <w:rPr>
          <w:rFonts w:ascii="Garamond" w:eastAsia="Times New Roman" w:hAnsi="Garamond" w:cs="Times New Roman"/>
          <w:spacing w:val="13"/>
          <w:sz w:val="20"/>
        </w:rPr>
        <w:t xml:space="preserve"> </w:t>
      </w:r>
      <w:r w:rsidRPr="00D84825">
        <w:rPr>
          <w:rFonts w:ascii="Garamond" w:eastAsia="Times New Roman" w:hAnsi="Garamond" w:cs="Times New Roman"/>
          <w:sz w:val="20"/>
        </w:rPr>
        <w:t>que</w:t>
      </w:r>
      <w:r w:rsidRPr="00D84825">
        <w:rPr>
          <w:rFonts w:ascii="Garamond" w:eastAsia="Times New Roman" w:hAnsi="Garamond" w:cs="Times New Roman"/>
          <w:spacing w:val="13"/>
          <w:sz w:val="20"/>
        </w:rPr>
        <w:t xml:space="preserve"> </w:t>
      </w:r>
      <w:r w:rsidRPr="00D84825">
        <w:rPr>
          <w:rFonts w:ascii="Garamond" w:eastAsia="Times New Roman" w:hAnsi="Garamond" w:cs="Times New Roman"/>
          <w:sz w:val="20"/>
        </w:rPr>
        <w:t>a</w:t>
      </w:r>
      <w:r w:rsidRPr="00D84825">
        <w:rPr>
          <w:rFonts w:ascii="Garamond" w:eastAsia="Times New Roman" w:hAnsi="Garamond" w:cs="Times New Roman"/>
          <w:spacing w:val="8"/>
          <w:sz w:val="20"/>
        </w:rPr>
        <w:t xml:space="preserve"> </w:t>
      </w:r>
      <w:r w:rsidRPr="00D84825">
        <w:rPr>
          <w:rFonts w:ascii="Garamond" w:eastAsia="Times New Roman" w:hAnsi="Garamond" w:cs="Times New Roman"/>
          <w:sz w:val="20"/>
        </w:rPr>
        <w:t>escolha</w:t>
      </w:r>
      <w:r w:rsidRPr="00D84825">
        <w:rPr>
          <w:rFonts w:ascii="Garamond" w:eastAsia="Times New Roman" w:hAnsi="Garamond" w:cs="Times New Roman"/>
          <w:spacing w:val="13"/>
          <w:sz w:val="20"/>
        </w:rPr>
        <w:t xml:space="preserve"> </w:t>
      </w:r>
      <w:r w:rsidRPr="00D84825">
        <w:rPr>
          <w:rFonts w:ascii="Garamond" w:eastAsia="Times New Roman" w:hAnsi="Garamond" w:cs="Times New Roman"/>
          <w:sz w:val="20"/>
        </w:rPr>
        <w:t>entre</w:t>
      </w:r>
      <w:r w:rsidRPr="00D84825">
        <w:rPr>
          <w:rFonts w:ascii="Garamond" w:eastAsia="Times New Roman" w:hAnsi="Garamond" w:cs="Times New Roman"/>
          <w:spacing w:val="13"/>
          <w:sz w:val="20"/>
        </w:rPr>
        <w:t xml:space="preserve"> </w:t>
      </w:r>
      <w:r w:rsidRPr="00D84825">
        <w:rPr>
          <w:rFonts w:ascii="Garamond" w:eastAsia="Times New Roman" w:hAnsi="Garamond" w:cs="Times New Roman"/>
          <w:sz w:val="20"/>
        </w:rPr>
        <w:t>produtos</w:t>
      </w:r>
      <w:r w:rsidRPr="00D84825">
        <w:rPr>
          <w:rFonts w:ascii="Garamond" w:eastAsia="Times New Roman" w:hAnsi="Garamond" w:cs="Times New Roman"/>
          <w:spacing w:val="11"/>
          <w:sz w:val="20"/>
        </w:rPr>
        <w:t xml:space="preserve"> </w:t>
      </w:r>
      <w:r w:rsidRPr="00D84825">
        <w:rPr>
          <w:rFonts w:ascii="Garamond" w:eastAsia="Times New Roman" w:hAnsi="Garamond" w:cs="Times New Roman"/>
          <w:sz w:val="20"/>
        </w:rPr>
        <w:t>nacionais</w:t>
      </w:r>
      <w:r w:rsidRPr="00D84825">
        <w:rPr>
          <w:rFonts w:ascii="Garamond" w:eastAsia="Times New Roman" w:hAnsi="Garamond" w:cs="Times New Roman"/>
          <w:spacing w:val="12"/>
          <w:sz w:val="20"/>
        </w:rPr>
        <w:t xml:space="preserve"> </w:t>
      </w:r>
      <w:r w:rsidRPr="00D84825">
        <w:rPr>
          <w:rFonts w:ascii="Garamond" w:eastAsia="Times New Roman" w:hAnsi="Garamond" w:cs="Times New Roman"/>
          <w:sz w:val="20"/>
        </w:rPr>
        <w:t>ou</w:t>
      </w:r>
      <w:r w:rsidRPr="00D84825">
        <w:rPr>
          <w:rFonts w:ascii="Garamond" w:eastAsia="Times New Roman" w:hAnsi="Garamond" w:cs="Times New Roman"/>
          <w:spacing w:val="11"/>
          <w:sz w:val="20"/>
        </w:rPr>
        <w:t xml:space="preserve"> </w:t>
      </w:r>
      <w:r w:rsidRPr="00D84825">
        <w:rPr>
          <w:rFonts w:ascii="Garamond" w:eastAsia="Times New Roman" w:hAnsi="Garamond" w:cs="Times New Roman"/>
          <w:sz w:val="20"/>
        </w:rPr>
        <w:t>importados</w:t>
      </w:r>
      <w:r w:rsidRPr="00D84825">
        <w:rPr>
          <w:rFonts w:ascii="Garamond" w:eastAsia="Times New Roman" w:hAnsi="Garamond" w:cs="Times New Roman"/>
          <w:spacing w:val="11"/>
          <w:sz w:val="20"/>
        </w:rPr>
        <w:t xml:space="preserve"> </w:t>
      </w:r>
      <w:r w:rsidRPr="00D84825">
        <w:rPr>
          <w:rFonts w:ascii="Garamond" w:eastAsia="Times New Roman" w:hAnsi="Garamond" w:cs="Times New Roman"/>
          <w:sz w:val="20"/>
        </w:rPr>
        <w:t>é</w:t>
      </w:r>
      <w:r w:rsidRPr="00D84825">
        <w:rPr>
          <w:rFonts w:ascii="Garamond" w:eastAsia="Times New Roman" w:hAnsi="Garamond" w:cs="Times New Roman"/>
          <w:spacing w:val="-47"/>
          <w:sz w:val="20"/>
        </w:rPr>
        <w:t xml:space="preserve"> </w:t>
      </w:r>
      <w:r w:rsidRPr="00D84825">
        <w:rPr>
          <w:rFonts w:ascii="Garamond" w:eastAsia="Times New Roman" w:hAnsi="Garamond" w:cs="Times New Roman"/>
          <w:sz w:val="20"/>
        </w:rPr>
        <w:t>livre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e depende apenas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de considerações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comerciais.</w:t>
      </w:r>
    </w:p>
    <w:p w14:paraId="712F357A" w14:textId="77777777" w:rsidR="00CB6C86" w:rsidRPr="00D84825" w:rsidRDefault="00CB6C86" w:rsidP="00CB6C86">
      <w:pPr>
        <w:widowControl w:val="0"/>
        <w:autoSpaceDE w:val="0"/>
        <w:autoSpaceDN w:val="0"/>
        <w:spacing w:after="0" w:line="267" w:lineRule="exact"/>
        <w:rPr>
          <w:rFonts w:ascii="Garamond" w:eastAsia="Times New Roman" w:hAnsi="Garamond" w:cs="Times New Roman"/>
          <w:sz w:val="20"/>
        </w:rPr>
      </w:pPr>
      <w:r w:rsidRPr="00D84825">
        <w:rPr>
          <w:rFonts w:ascii="Garamond" w:eastAsia="Times New Roman" w:hAnsi="Garamond" w:cs="Times New Roman"/>
          <w:position w:val="9"/>
          <w:sz w:val="16"/>
        </w:rPr>
        <w:t>58</w:t>
      </w:r>
      <w:r w:rsidRPr="00D84825">
        <w:rPr>
          <w:rFonts w:ascii="Garamond" w:eastAsia="Times New Roman" w:hAnsi="Garamond" w:cs="Times New Roman"/>
          <w:spacing w:val="15"/>
          <w:position w:val="9"/>
          <w:sz w:val="16"/>
        </w:rPr>
        <w:t xml:space="preserve"> </w:t>
      </w:r>
      <w:r w:rsidRPr="00D84825">
        <w:rPr>
          <w:rFonts w:ascii="Garamond" w:eastAsia="Times New Roman" w:hAnsi="Garamond" w:cs="Times New Roman"/>
          <w:sz w:val="20"/>
        </w:rPr>
        <w:t>Para</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as</w:t>
      </w:r>
      <w:r w:rsidRPr="00D84825">
        <w:rPr>
          <w:rFonts w:ascii="Garamond" w:eastAsia="Times New Roman" w:hAnsi="Garamond" w:cs="Times New Roman"/>
          <w:spacing w:val="-3"/>
          <w:sz w:val="20"/>
        </w:rPr>
        <w:t xml:space="preserve"> </w:t>
      </w:r>
      <w:r w:rsidRPr="00D84825">
        <w:rPr>
          <w:rFonts w:ascii="Garamond" w:eastAsia="Times New Roman" w:hAnsi="Garamond" w:cs="Times New Roman"/>
          <w:sz w:val="20"/>
        </w:rPr>
        <w:t>finalidades</w:t>
      </w:r>
      <w:r w:rsidRPr="00D84825">
        <w:rPr>
          <w:rFonts w:ascii="Garamond" w:eastAsia="Times New Roman" w:hAnsi="Garamond" w:cs="Times New Roman"/>
          <w:spacing w:val="-3"/>
          <w:sz w:val="20"/>
        </w:rPr>
        <w:t xml:space="preserve"> </w:t>
      </w:r>
      <w:r w:rsidRPr="00D84825">
        <w:rPr>
          <w:rFonts w:ascii="Garamond" w:eastAsia="Times New Roman" w:hAnsi="Garamond" w:cs="Times New Roman"/>
          <w:sz w:val="20"/>
        </w:rPr>
        <w:t>do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presente Acordo:</w:t>
      </w:r>
    </w:p>
    <w:p w14:paraId="3B238FD1" w14:textId="77777777" w:rsidR="00CB6C86" w:rsidRPr="00395593" w:rsidRDefault="00CB6C86" w:rsidP="00CB6C86">
      <w:pPr>
        <w:widowControl w:val="0"/>
        <w:autoSpaceDE w:val="0"/>
        <w:autoSpaceDN w:val="0"/>
        <w:spacing w:before="238" w:after="0" w:line="240" w:lineRule="auto"/>
        <w:ind w:right="126"/>
        <w:jc w:val="both"/>
        <w:rPr>
          <w:rFonts w:ascii="Garamond" w:eastAsia="Times New Roman" w:hAnsi="Garamond" w:cs="Times New Roman"/>
          <w:sz w:val="20"/>
        </w:rPr>
      </w:pPr>
      <w:r w:rsidRPr="00395593">
        <w:rPr>
          <w:rFonts w:ascii="Garamond" w:eastAsia="Times New Roman" w:hAnsi="Garamond" w:cs="Times New Roman"/>
          <w:sz w:val="20"/>
        </w:rPr>
        <w:t>O</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termo</w:t>
      </w:r>
      <w:r w:rsidRPr="00395593">
        <w:rPr>
          <w:rFonts w:ascii="Garamond" w:eastAsia="Times New Roman" w:hAnsi="Garamond" w:cs="Times New Roman"/>
          <w:spacing w:val="11"/>
          <w:sz w:val="20"/>
        </w:rPr>
        <w:t xml:space="preserve"> </w:t>
      </w:r>
      <w:r w:rsidRPr="00395593">
        <w:rPr>
          <w:rFonts w:ascii="Garamond" w:eastAsia="Times New Roman" w:hAnsi="Garamond" w:cs="Times New Roman"/>
          <w:sz w:val="20"/>
        </w:rPr>
        <w:t>“impostos</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diretos”</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significa</w:t>
      </w:r>
      <w:r w:rsidRPr="00395593">
        <w:rPr>
          <w:rFonts w:ascii="Garamond" w:eastAsia="Times New Roman" w:hAnsi="Garamond" w:cs="Times New Roman"/>
          <w:spacing w:val="6"/>
          <w:sz w:val="20"/>
        </w:rPr>
        <w:t xml:space="preserve"> </w:t>
      </w:r>
      <w:r w:rsidRPr="00395593">
        <w:rPr>
          <w:rFonts w:ascii="Garamond" w:eastAsia="Times New Roman" w:hAnsi="Garamond" w:cs="Times New Roman"/>
          <w:sz w:val="20"/>
        </w:rPr>
        <w:t>impostos</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sobre</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salários,</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lucros,</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juros,</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rendas,</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direitos</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autor</w:t>
      </w:r>
      <w:r w:rsidRPr="00395593">
        <w:rPr>
          <w:rFonts w:ascii="Garamond" w:eastAsia="Times New Roman" w:hAnsi="Garamond" w:cs="Times New Roman"/>
          <w:spacing w:val="-48"/>
          <w:sz w:val="20"/>
        </w:rPr>
        <w:t xml:space="preserve"> </w:t>
      </w:r>
      <w:r w:rsidRPr="00395593">
        <w:rPr>
          <w:rFonts w:ascii="Garamond" w:eastAsia="Times New Roman" w:hAnsi="Garamond" w:cs="Times New Roman"/>
          <w:sz w:val="20"/>
        </w:rPr>
        <w:t>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todas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outras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formas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de ganho,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além</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impostos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sobre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 propriedade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bens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imóveis;</w:t>
      </w:r>
    </w:p>
    <w:p w14:paraId="5E512090"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0"/>
          <w:szCs w:val="24"/>
        </w:rPr>
      </w:pPr>
    </w:p>
    <w:p w14:paraId="695B13C5" w14:textId="77777777" w:rsidR="00CB6C86" w:rsidRPr="00395593" w:rsidRDefault="00CB6C86" w:rsidP="00CB6C86">
      <w:pPr>
        <w:widowControl w:val="0"/>
        <w:autoSpaceDE w:val="0"/>
        <w:autoSpaceDN w:val="0"/>
        <w:spacing w:before="1" w:after="0" w:line="240" w:lineRule="auto"/>
        <w:ind w:right="124"/>
        <w:jc w:val="both"/>
        <w:rPr>
          <w:rFonts w:ascii="Garamond" w:eastAsia="Times New Roman" w:hAnsi="Garamond" w:cs="Times New Roman"/>
          <w:sz w:val="20"/>
        </w:rPr>
      </w:pPr>
      <w:r w:rsidRPr="00395593">
        <w:rPr>
          <w:rFonts w:ascii="Garamond" w:eastAsia="Times New Roman" w:hAnsi="Garamond" w:cs="Times New Roman"/>
          <w:sz w:val="20"/>
        </w:rPr>
        <w:t>O termo “direitos de importação” significa tarifas aduaneiras, direitos aduaneiros e outros tributos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que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tenham</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sido enumerados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nesta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nota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 que sejam</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aplicados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à importação;</w:t>
      </w:r>
    </w:p>
    <w:p w14:paraId="66125623" w14:textId="77777777" w:rsidR="00CB6C86" w:rsidRPr="00395593" w:rsidRDefault="00CB6C86" w:rsidP="00CB6C86">
      <w:pPr>
        <w:widowControl w:val="0"/>
        <w:autoSpaceDE w:val="0"/>
        <w:autoSpaceDN w:val="0"/>
        <w:spacing w:before="10" w:after="0" w:line="240" w:lineRule="auto"/>
        <w:rPr>
          <w:rFonts w:ascii="Garamond" w:eastAsia="Times New Roman" w:hAnsi="Garamond" w:cs="Times New Roman"/>
          <w:sz w:val="19"/>
          <w:szCs w:val="24"/>
        </w:rPr>
      </w:pPr>
    </w:p>
    <w:p w14:paraId="687F7A4B" w14:textId="77777777" w:rsidR="00CB6C86" w:rsidRPr="00395593" w:rsidRDefault="00CB6C86" w:rsidP="00CB6C86">
      <w:pPr>
        <w:widowControl w:val="0"/>
        <w:autoSpaceDE w:val="0"/>
        <w:autoSpaceDN w:val="0"/>
        <w:spacing w:after="0" w:line="240" w:lineRule="auto"/>
        <w:ind w:right="124"/>
        <w:jc w:val="both"/>
        <w:rPr>
          <w:rFonts w:ascii="Garamond" w:eastAsia="Times New Roman" w:hAnsi="Garamond" w:cs="Times New Roman"/>
          <w:sz w:val="20"/>
        </w:rPr>
      </w:pPr>
      <w:r w:rsidRPr="00395593">
        <w:rPr>
          <w:rFonts w:ascii="Garamond" w:eastAsia="Times New Roman" w:hAnsi="Garamond" w:cs="Times New Roman"/>
          <w:sz w:val="20"/>
        </w:rPr>
        <w:t>O termo “impostos indiretos” significa tributos sobre vendas, consumo, volume de negócio, valor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acrescido, franquias, selo, transmissões, estoques e equipamentos, ajustes fiscais na fronteira e todos 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impostos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além</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dos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que se denominam</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impostos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diretos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 direitos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 importação;</w:t>
      </w:r>
    </w:p>
    <w:p w14:paraId="7D837991" w14:textId="77777777" w:rsidR="00CB6C86" w:rsidRPr="00395593" w:rsidRDefault="00CB6C86" w:rsidP="00CB6C86">
      <w:pPr>
        <w:widowControl w:val="0"/>
        <w:autoSpaceDE w:val="0"/>
        <w:autoSpaceDN w:val="0"/>
        <w:spacing w:before="2" w:after="0" w:line="240" w:lineRule="auto"/>
        <w:rPr>
          <w:rFonts w:ascii="Garamond" w:eastAsia="Times New Roman" w:hAnsi="Garamond" w:cs="Times New Roman"/>
          <w:sz w:val="20"/>
          <w:szCs w:val="24"/>
        </w:rPr>
      </w:pPr>
    </w:p>
    <w:p w14:paraId="37DBA637" w14:textId="77777777" w:rsidR="00CB6C86" w:rsidRPr="00395593" w:rsidRDefault="00CB6C86" w:rsidP="00CB6C86">
      <w:pPr>
        <w:widowControl w:val="0"/>
        <w:autoSpaceDE w:val="0"/>
        <w:autoSpaceDN w:val="0"/>
        <w:spacing w:after="0" w:line="240" w:lineRule="auto"/>
        <w:ind w:right="122"/>
        <w:jc w:val="both"/>
        <w:rPr>
          <w:rFonts w:ascii="Garamond" w:eastAsia="Times New Roman" w:hAnsi="Garamond" w:cs="Times New Roman"/>
          <w:sz w:val="20"/>
        </w:rPr>
      </w:pPr>
      <w:r w:rsidRPr="00395593">
        <w:rPr>
          <w:rFonts w:ascii="Garamond" w:eastAsia="Times New Roman" w:hAnsi="Garamond" w:cs="Times New Roman"/>
          <w:sz w:val="20"/>
        </w:rPr>
        <w:t>Por “impostos indiretos sobre etapas anteriores” entendem-se aqueles tributos aplicados sobre bens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serviços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usados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direta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indiretamente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no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fabrico de um</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produto;</w:t>
      </w:r>
    </w:p>
    <w:p w14:paraId="00844D3F" w14:textId="77777777" w:rsidR="00CB6C86" w:rsidRPr="00395593" w:rsidRDefault="00CB6C86" w:rsidP="00CB6C86">
      <w:pPr>
        <w:widowControl w:val="0"/>
        <w:autoSpaceDE w:val="0"/>
        <w:autoSpaceDN w:val="0"/>
        <w:spacing w:before="10" w:after="0" w:line="240" w:lineRule="auto"/>
        <w:rPr>
          <w:rFonts w:ascii="Garamond" w:eastAsia="Times New Roman" w:hAnsi="Garamond" w:cs="Times New Roman"/>
          <w:sz w:val="19"/>
          <w:szCs w:val="24"/>
        </w:rPr>
      </w:pPr>
    </w:p>
    <w:p w14:paraId="6E942561" w14:textId="77777777" w:rsidR="00CB6C86" w:rsidRPr="00395593" w:rsidRDefault="00CB6C86" w:rsidP="00CB6C86">
      <w:pPr>
        <w:widowControl w:val="0"/>
        <w:autoSpaceDE w:val="0"/>
        <w:autoSpaceDN w:val="0"/>
        <w:spacing w:before="1" w:after="0" w:line="240" w:lineRule="auto"/>
        <w:ind w:right="122"/>
        <w:jc w:val="both"/>
        <w:rPr>
          <w:rFonts w:ascii="Garamond" w:eastAsia="Times New Roman" w:hAnsi="Garamond" w:cs="Times New Roman"/>
          <w:sz w:val="20"/>
        </w:rPr>
      </w:pPr>
      <w:r w:rsidRPr="00395593">
        <w:rPr>
          <w:rFonts w:ascii="Garamond" w:eastAsia="Times New Roman" w:hAnsi="Garamond" w:cs="Times New Roman"/>
          <w:sz w:val="20"/>
        </w:rPr>
        <w:t>Por “impostos indiretos cumulativos” entendem-se os tributos que se aplicam em etapas sucessivas,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sem que existam mecanismos que permitam descontar posteriormente o imposto, caso os bens ou serviços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sujeitos</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impostos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utilizados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numa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etapa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produção sejam</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utilizados</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em</w:t>
      </w:r>
      <w:r w:rsidRPr="00395593">
        <w:rPr>
          <w:rFonts w:ascii="Garamond" w:eastAsia="Times New Roman" w:hAnsi="Garamond" w:cs="Times New Roman"/>
          <w:spacing w:val="-5"/>
          <w:sz w:val="20"/>
        </w:rPr>
        <w:t xml:space="preserve"> </w:t>
      </w:r>
      <w:r w:rsidRPr="00395593">
        <w:rPr>
          <w:rFonts w:ascii="Garamond" w:eastAsia="Times New Roman" w:hAnsi="Garamond" w:cs="Times New Roman"/>
          <w:sz w:val="20"/>
        </w:rPr>
        <w:t>etapa</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posterior</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da</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mesma;</w:t>
      </w:r>
    </w:p>
    <w:p w14:paraId="446ADC9F" w14:textId="77777777" w:rsidR="00CB6C86" w:rsidRPr="00395593" w:rsidRDefault="00CB6C86" w:rsidP="00CB6C86">
      <w:pPr>
        <w:widowControl w:val="0"/>
        <w:autoSpaceDE w:val="0"/>
        <w:autoSpaceDN w:val="0"/>
        <w:spacing w:before="10" w:after="0" w:line="240" w:lineRule="auto"/>
        <w:rPr>
          <w:rFonts w:ascii="Garamond" w:eastAsia="Times New Roman" w:hAnsi="Garamond" w:cs="Times New Roman"/>
          <w:sz w:val="19"/>
          <w:szCs w:val="24"/>
        </w:rPr>
      </w:pPr>
    </w:p>
    <w:p w14:paraId="529E91CF"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0"/>
        </w:rPr>
      </w:pPr>
      <w:r w:rsidRPr="00395593">
        <w:rPr>
          <w:rFonts w:ascii="Garamond" w:eastAsia="Times New Roman" w:hAnsi="Garamond" w:cs="Times New Roman"/>
          <w:sz w:val="20"/>
        </w:rPr>
        <w:t>“Remissão”</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impostos</w:t>
      </w:r>
      <w:r w:rsidRPr="00395593">
        <w:rPr>
          <w:rFonts w:ascii="Garamond" w:eastAsia="Times New Roman" w:hAnsi="Garamond" w:cs="Times New Roman"/>
          <w:spacing w:val="-4"/>
          <w:sz w:val="20"/>
        </w:rPr>
        <w:t xml:space="preserve"> </w:t>
      </w:r>
      <w:r w:rsidRPr="00395593">
        <w:rPr>
          <w:rFonts w:ascii="Garamond" w:eastAsia="Times New Roman" w:hAnsi="Garamond" w:cs="Times New Roman"/>
          <w:sz w:val="20"/>
        </w:rPr>
        <w:t>compreende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reembolso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3"/>
          <w:sz w:val="20"/>
        </w:rPr>
        <w:t xml:space="preserve"> </w:t>
      </w:r>
      <w:r w:rsidRPr="00395593">
        <w:rPr>
          <w:rFonts w:ascii="Garamond" w:eastAsia="Times New Roman" w:hAnsi="Garamond" w:cs="Times New Roman"/>
          <w:sz w:val="20"/>
        </w:rPr>
        <w:t>redução</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2"/>
          <w:sz w:val="20"/>
        </w:rPr>
        <w:t xml:space="preserve"> </w:t>
      </w:r>
      <w:r w:rsidRPr="00395593">
        <w:rPr>
          <w:rFonts w:ascii="Garamond" w:eastAsia="Times New Roman" w:hAnsi="Garamond" w:cs="Times New Roman"/>
          <w:sz w:val="20"/>
        </w:rPr>
        <w:t>impostos;</w:t>
      </w:r>
    </w:p>
    <w:p w14:paraId="284C8812"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0"/>
          <w:szCs w:val="24"/>
        </w:rPr>
      </w:pPr>
    </w:p>
    <w:p w14:paraId="1B0CD429" w14:textId="7B6911D7" w:rsidR="00CB6C86" w:rsidRPr="00395593" w:rsidRDefault="00CB6C86" w:rsidP="00CB6C86">
      <w:pPr>
        <w:widowControl w:val="0"/>
        <w:autoSpaceDE w:val="0"/>
        <w:autoSpaceDN w:val="0"/>
        <w:spacing w:after="0" w:line="240" w:lineRule="auto"/>
        <w:ind w:right="125"/>
        <w:jc w:val="both"/>
        <w:rPr>
          <w:rFonts w:ascii="Garamond" w:eastAsia="Times New Roman" w:hAnsi="Garamond" w:cs="Times New Roman"/>
          <w:sz w:val="20"/>
        </w:rPr>
      </w:pPr>
      <w:r w:rsidRPr="00395593">
        <w:rPr>
          <w:rFonts w:ascii="Garamond" w:eastAsia="Times New Roman" w:hAnsi="Garamond" w:cs="Times New Roman"/>
          <w:sz w:val="20"/>
        </w:rPr>
        <w:t>“Remissão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devolução”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compreende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isenção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diferimento</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total</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ou</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parcial</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direitos</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de</w:t>
      </w:r>
      <w:r w:rsidRPr="00395593">
        <w:rPr>
          <w:rFonts w:ascii="Garamond" w:eastAsia="Times New Roman" w:hAnsi="Garamond" w:cs="Times New Roman"/>
          <w:spacing w:val="1"/>
          <w:sz w:val="20"/>
        </w:rPr>
        <w:t xml:space="preserve"> </w:t>
      </w:r>
      <w:r w:rsidRPr="00395593">
        <w:rPr>
          <w:rFonts w:ascii="Garamond" w:eastAsia="Times New Roman" w:hAnsi="Garamond" w:cs="Times New Roman"/>
          <w:sz w:val="20"/>
        </w:rPr>
        <w:t>importação.</w:t>
      </w:r>
    </w:p>
    <w:p w14:paraId="08DE5534" w14:textId="77777777" w:rsidR="00F96CD9" w:rsidRDefault="00F96CD9">
      <w:pPr>
        <w:rPr>
          <w:rFonts w:ascii="Garamond" w:eastAsia="Times New Roman" w:hAnsi="Garamond" w:cs="Times New Roman"/>
          <w:sz w:val="20"/>
        </w:rPr>
      </w:pPr>
      <w:r>
        <w:rPr>
          <w:rFonts w:ascii="Garamond" w:eastAsia="Times New Roman" w:hAnsi="Garamond" w:cs="Times New Roman"/>
          <w:sz w:val="20"/>
        </w:rPr>
        <w:br w:type="page"/>
      </w:r>
    </w:p>
    <w:p w14:paraId="22852D0D" w14:textId="77777777" w:rsidR="00CB6C86" w:rsidRPr="00395593" w:rsidRDefault="00CB6C86" w:rsidP="002C4340">
      <w:pPr>
        <w:widowControl w:val="0"/>
        <w:numPr>
          <w:ilvl w:val="0"/>
          <w:numId w:val="34"/>
        </w:numPr>
        <w:tabs>
          <w:tab w:val="left" w:pos="465"/>
        </w:tabs>
        <w:autoSpaceDE w:val="0"/>
        <w:autoSpaceDN w:val="0"/>
        <w:spacing w:before="184"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concessão,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cálculo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base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impostos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deduções especiais diretamente relacionadas com as exportações ou com o desempenho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superiores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aquelas concedidas à</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produção 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consumo interno.</w:t>
      </w:r>
    </w:p>
    <w:p w14:paraId="6A1E124E"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1EB11839" w14:textId="77777777" w:rsidR="00CB6C86" w:rsidRPr="00395593" w:rsidRDefault="00CB6C86" w:rsidP="002C4340">
      <w:pPr>
        <w:widowControl w:val="0"/>
        <w:numPr>
          <w:ilvl w:val="0"/>
          <w:numId w:val="34"/>
        </w:numPr>
        <w:tabs>
          <w:tab w:val="left" w:pos="474"/>
        </w:tabs>
        <w:autoSpaceDE w:val="0"/>
        <w:autoSpaceDN w:val="0"/>
        <w:spacing w:after="0" w:line="240" w:lineRule="auto"/>
        <w:ind w:right="116" w:firstLine="0"/>
        <w:jc w:val="both"/>
        <w:rPr>
          <w:rFonts w:ascii="Garamond" w:eastAsia="Times New Roman" w:hAnsi="Garamond" w:cs="Times New Roman"/>
          <w:sz w:val="24"/>
        </w:rPr>
      </w:pPr>
      <w:r w:rsidRPr="00395593">
        <w:rPr>
          <w:rFonts w:ascii="Garamond" w:eastAsia="Times New Roman" w:hAnsi="Garamond" w:cs="Times New Roman"/>
          <w:sz w:val="24"/>
        </w:rPr>
        <w:t xml:space="preserve">A isenção ou remissão de impostos indiretos </w:t>
      </w:r>
      <w:r w:rsidRPr="00395593">
        <w:rPr>
          <w:rFonts w:ascii="Garamond" w:eastAsia="Times New Roman" w:hAnsi="Garamond" w:cs="Times New Roman"/>
          <w:sz w:val="24"/>
          <w:vertAlign w:val="superscript"/>
        </w:rPr>
        <w:t>58</w:t>
      </w:r>
      <w:r w:rsidRPr="00395593">
        <w:rPr>
          <w:rFonts w:ascii="Garamond" w:eastAsia="Times New Roman" w:hAnsi="Garamond" w:cs="Times New Roman"/>
          <w:sz w:val="24"/>
        </w:rPr>
        <w:t xml:space="preserve"> sobre a produção e a distribuição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produtos exportados, além daqueles aplicados sobre a produção e a distribuição de 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similar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vendido 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consumo interno.</w:t>
      </w:r>
    </w:p>
    <w:p w14:paraId="0AFB0D0A"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5C2FF34D" w14:textId="77777777" w:rsidR="00CB6C86" w:rsidRPr="00395593" w:rsidRDefault="00CB6C86" w:rsidP="002C4340">
      <w:pPr>
        <w:widowControl w:val="0"/>
        <w:numPr>
          <w:ilvl w:val="0"/>
          <w:numId w:val="34"/>
        </w:numPr>
        <w:tabs>
          <w:tab w:val="left" w:pos="458"/>
        </w:tabs>
        <w:autoSpaceDE w:val="0"/>
        <w:autoSpaceDN w:val="0"/>
        <w:spacing w:after="0" w:line="240" w:lineRule="auto"/>
        <w:ind w:right="115" w:firstLine="0"/>
        <w:jc w:val="both"/>
        <w:rPr>
          <w:rFonts w:ascii="Garamond" w:eastAsia="Times New Roman" w:hAnsi="Garamond" w:cs="Times New Roman"/>
          <w:sz w:val="24"/>
        </w:rPr>
      </w:pPr>
      <w:r w:rsidRPr="00395593">
        <w:rPr>
          <w:rFonts w:ascii="Garamond" w:eastAsia="Times New Roman" w:hAnsi="Garamond" w:cs="Times New Roman"/>
          <w:sz w:val="24"/>
        </w:rPr>
        <w:t xml:space="preserve">A isenção, remissão ou diferimento de impostos indiretos sobre etapas anteriores </w:t>
      </w:r>
      <w:r w:rsidRPr="00395593">
        <w:rPr>
          <w:rFonts w:ascii="Garamond" w:eastAsia="Times New Roman" w:hAnsi="Garamond" w:cs="Times New Roman"/>
          <w:sz w:val="24"/>
          <w:vertAlign w:val="superscript"/>
        </w:rPr>
        <w:t>58</w:t>
      </w:r>
      <w:r w:rsidRPr="00395593">
        <w:rPr>
          <w:rFonts w:ascii="Garamond" w:eastAsia="Times New Roman" w:hAnsi="Garamond" w:cs="Times New Roman"/>
          <w:sz w:val="24"/>
        </w:rPr>
        <w:t xml:space="preserve">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bens</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22"/>
          <w:sz w:val="24"/>
        </w:rPr>
        <w:t xml:space="preserve"> </w:t>
      </w:r>
      <w:r w:rsidRPr="00395593">
        <w:rPr>
          <w:rFonts w:ascii="Garamond" w:eastAsia="Times New Roman" w:hAnsi="Garamond" w:cs="Times New Roman"/>
          <w:sz w:val="24"/>
        </w:rPr>
        <w:t>serviços</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utilizados</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fabrico</w:t>
      </w:r>
      <w:r w:rsidRPr="00395593">
        <w:rPr>
          <w:rFonts w:ascii="Garamond" w:eastAsia="Times New Roman" w:hAnsi="Garamond" w:cs="Times New Roman"/>
          <w:spacing w:val="22"/>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1"/>
          <w:sz w:val="24"/>
        </w:rPr>
        <w:t xml:space="preserve"> </w:t>
      </w:r>
      <w:r w:rsidRPr="00395593">
        <w:rPr>
          <w:rFonts w:ascii="Garamond" w:eastAsia="Times New Roman" w:hAnsi="Garamond" w:cs="Times New Roman"/>
          <w:sz w:val="24"/>
        </w:rPr>
        <w:t>produtos</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exportados,</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além</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21"/>
          <w:sz w:val="24"/>
        </w:rPr>
        <w:t xml:space="preserve"> </w:t>
      </w:r>
      <w:r w:rsidRPr="00395593">
        <w:rPr>
          <w:rFonts w:ascii="Garamond" w:eastAsia="Times New Roman" w:hAnsi="Garamond" w:cs="Times New Roman"/>
          <w:sz w:val="24"/>
        </w:rPr>
        <w:t>isenção,</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remissão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diferimento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impostos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indiretos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equivalentes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etapas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anteriores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bens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serviços utilizados no fabrico de produto similar destinado ao mercado interno, desde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porém,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impostos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indiretos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cumulativos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etapas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anteriores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possam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objeto</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isenção,</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remissão</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diferimento</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produtos</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destinados</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exportação,</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mesmo</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quando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tal não se aplique a produtos similares destinados ao consumo interno, se os impostos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indiretos cumulativos sobre etapas anteriores são aplicados aos insumos consumidos 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fabrico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exportação (levando-se em devida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conta os</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 xml:space="preserve">desperdícios) </w:t>
      </w:r>
      <w:r w:rsidRPr="00395593">
        <w:rPr>
          <w:rFonts w:ascii="Garamond" w:eastAsia="Times New Roman" w:hAnsi="Garamond" w:cs="Times New Roman"/>
          <w:sz w:val="24"/>
          <w:vertAlign w:val="superscript"/>
        </w:rPr>
        <w:t>60</w:t>
      </w:r>
      <w:r w:rsidRPr="00395593">
        <w:rPr>
          <w:rFonts w:ascii="Garamond" w:eastAsia="Times New Roman" w:hAnsi="Garamond" w:cs="Times New Roman"/>
          <w:sz w:val="24"/>
        </w:rPr>
        <w:t>. Este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item será interpretado de acordo com as diretrizes sobre consumo de insumos no processo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produção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contidas no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Anexo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II.</w:t>
      </w:r>
    </w:p>
    <w:p w14:paraId="3695B36E" w14:textId="77777777" w:rsidR="00CB6C86" w:rsidRPr="00395593" w:rsidRDefault="00CB6C86" w:rsidP="003B2CAE">
      <w:pPr>
        <w:widowControl w:val="0"/>
        <w:autoSpaceDE w:val="0"/>
        <w:autoSpaceDN w:val="0"/>
        <w:spacing w:before="1" w:after="0" w:line="240" w:lineRule="auto"/>
        <w:jc w:val="both"/>
        <w:rPr>
          <w:rFonts w:ascii="Garamond" w:eastAsia="Times New Roman" w:hAnsi="Garamond" w:cs="Times New Roman"/>
          <w:sz w:val="24"/>
          <w:szCs w:val="24"/>
        </w:rPr>
      </w:pPr>
    </w:p>
    <w:p w14:paraId="2811505D" w14:textId="233DCBEA" w:rsidR="00CB6C86" w:rsidRPr="00395593" w:rsidRDefault="00CB6C86" w:rsidP="002C4340">
      <w:pPr>
        <w:widowControl w:val="0"/>
        <w:numPr>
          <w:ilvl w:val="0"/>
          <w:numId w:val="34"/>
        </w:numPr>
        <w:tabs>
          <w:tab w:val="left" w:pos="417"/>
        </w:tabs>
        <w:autoSpaceDE w:val="0"/>
        <w:autoSpaceDN w:val="0"/>
        <w:spacing w:after="0" w:line="240" w:lineRule="auto"/>
        <w:ind w:right="118" w:firstLine="0"/>
        <w:jc w:val="both"/>
        <w:rPr>
          <w:rFonts w:ascii="Garamond" w:eastAsia="Times New Roman" w:hAnsi="Garamond" w:cs="Times New Roman"/>
          <w:sz w:val="24"/>
        </w:rPr>
      </w:pPr>
      <w:r w:rsidRPr="00395593">
        <w:rPr>
          <w:rFonts w:ascii="Garamond" w:eastAsia="Times New Roman" w:hAnsi="Garamond" w:cs="Times New Roman"/>
          <w:sz w:val="24"/>
        </w:rPr>
        <w:t xml:space="preserve">A remissão ou devolução de direitos de importação </w:t>
      </w:r>
      <w:r w:rsidRPr="00395593">
        <w:rPr>
          <w:rFonts w:ascii="Garamond" w:eastAsia="Times New Roman" w:hAnsi="Garamond" w:cs="Times New Roman"/>
          <w:sz w:val="24"/>
          <w:vertAlign w:val="superscript"/>
        </w:rPr>
        <w:t>58</w:t>
      </w:r>
      <w:r w:rsidRPr="00395593">
        <w:rPr>
          <w:rFonts w:ascii="Garamond" w:eastAsia="Times New Roman" w:hAnsi="Garamond" w:cs="Times New Roman"/>
          <w:sz w:val="24"/>
        </w:rPr>
        <w:t xml:space="preserve"> além daquelas praticadas 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insumos importados que sejam consumidos no fabrico do produto exportado (levando 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devida conta os desperdícios normais), desde que, porém, em casos especiais uma empresa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possa utilizar certa quantidade de insumos nacionais como substitutivo equivalente aos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insumos importados, com as mesmas características e com a mesma qualidade, com vistas 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beneficiar-se</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desta</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disposição,</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tanto</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importação</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quanto</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exportação</w:t>
      </w:r>
      <w:r w:rsidRPr="00395593">
        <w:rPr>
          <w:rFonts w:ascii="Garamond" w:eastAsia="Times New Roman" w:hAnsi="Garamond" w:cs="Times New Roman"/>
          <w:spacing w:val="26"/>
          <w:sz w:val="24"/>
        </w:rPr>
        <w:t xml:space="preserve"> </w:t>
      </w:r>
      <w:r w:rsidRPr="00395593">
        <w:rPr>
          <w:rFonts w:ascii="Garamond" w:eastAsia="Times New Roman" w:hAnsi="Garamond" w:cs="Times New Roman"/>
          <w:sz w:val="24"/>
        </w:rPr>
        <w:t>ocorrem</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dentro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de prazo razoável, não superior a 2 anos. Este item será interpretado de acordo com 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diretrizes sobre consumo de insumos para o processo produtivo indicadas no Anexo II e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diretrizes</w:t>
      </w:r>
      <w:r w:rsidRPr="00395593">
        <w:rPr>
          <w:rFonts w:ascii="Garamond" w:eastAsia="Times New Roman" w:hAnsi="Garamond" w:cs="Times New Roman"/>
          <w:spacing w:val="27"/>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determinar</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sistemas</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4"/>
          <w:sz w:val="24"/>
        </w:rPr>
        <w:t xml:space="preserve"> </w:t>
      </w:r>
      <w:r w:rsidRPr="00395593">
        <w:rPr>
          <w:rFonts w:ascii="Garamond" w:eastAsia="Times New Roman" w:hAnsi="Garamond" w:cs="Times New Roman"/>
          <w:sz w:val="24"/>
        </w:rPr>
        <w:t>devolução</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6"/>
          <w:sz w:val="24"/>
        </w:rPr>
        <w:t xml:space="preserve"> </w:t>
      </w:r>
      <w:r w:rsidRPr="00395593">
        <w:rPr>
          <w:rFonts w:ascii="Garamond" w:eastAsia="Times New Roman" w:hAnsi="Garamond" w:cs="Times New Roman"/>
          <w:sz w:val="24"/>
        </w:rPr>
        <w:t>tributos</w:t>
      </w:r>
      <w:r w:rsidRPr="00395593">
        <w:rPr>
          <w:rFonts w:ascii="Garamond" w:eastAsia="Times New Roman" w:hAnsi="Garamond" w:cs="Times New Roman"/>
          <w:spacing w:val="25"/>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23"/>
          <w:sz w:val="24"/>
        </w:rPr>
        <w:t xml:space="preserve"> </w:t>
      </w:r>
      <w:r w:rsidRPr="00395593">
        <w:rPr>
          <w:rFonts w:ascii="Garamond" w:eastAsia="Times New Roman" w:hAnsi="Garamond" w:cs="Times New Roman"/>
          <w:sz w:val="24"/>
        </w:rPr>
        <w:t>a</w:t>
      </w:r>
    </w:p>
    <w:p w14:paraId="7BC87275" w14:textId="77777777" w:rsidR="00F96CD9" w:rsidRDefault="00F96CD9" w:rsidP="00F96CD9">
      <w:pPr>
        <w:pStyle w:val="PargrafodaLista"/>
        <w:rPr>
          <w:rFonts w:ascii="Garamond" w:eastAsia="Times New Roman" w:hAnsi="Garamond" w:cs="Times New Roman"/>
          <w:sz w:val="24"/>
        </w:rPr>
      </w:pPr>
    </w:p>
    <w:p w14:paraId="14C49C10" w14:textId="495B6345" w:rsidR="00F96CD9" w:rsidRDefault="00F96CD9" w:rsidP="00F96CD9">
      <w:pPr>
        <w:widowControl w:val="0"/>
        <w:tabs>
          <w:tab w:val="left" w:pos="417"/>
        </w:tabs>
        <w:autoSpaceDE w:val="0"/>
        <w:autoSpaceDN w:val="0"/>
        <w:spacing w:after="0" w:line="240" w:lineRule="auto"/>
        <w:ind w:right="118"/>
        <w:jc w:val="both"/>
        <w:rPr>
          <w:rFonts w:ascii="Garamond" w:eastAsia="Times New Roman" w:hAnsi="Garamond" w:cs="Times New Roman"/>
          <w:sz w:val="24"/>
        </w:rPr>
      </w:pPr>
    </w:p>
    <w:p w14:paraId="51FC3ADD" w14:textId="66315BBF" w:rsidR="00F96CD9" w:rsidRDefault="00F96CD9" w:rsidP="00F96CD9">
      <w:pPr>
        <w:widowControl w:val="0"/>
        <w:tabs>
          <w:tab w:val="left" w:pos="417"/>
        </w:tabs>
        <w:autoSpaceDE w:val="0"/>
        <w:autoSpaceDN w:val="0"/>
        <w:spacing w:after="0" w:line="240" w:lineRule="auto"/>
        <w:ind w:right="118"/>
        <w:jc w:val="both"/>
        <w:rPr>
          <w:rFonts w:ascii="Garamond" w:eastAsia="Times New Roman" w:hAnsi="Garamond" w:cs="Times New Roman"/>
          <w:sz w:val="24"/>
        </w:rPr>
      </w:pPr>
    </w:p>
    <w:p w14:paraId="0E9992B8" w14:textId="29D5EADA" w:rsidR="00F96CD9" w:rsidRDefault="00F96CD9" w:rsidP="00F96CD9">
      <w:pPr>
        <w:widowControl w:val="0"/>
        <w:tabs>
          <w:tab w:val="left" w:pos="417"/>
        </w:tabs>
        <w:autoSpaceDE w:val="0"/>
        <w:autoSpaceDN w:val="0"/>
        <w:spacing w:after="0" w:line="240" w:lineRule="auto"/>
        <w:ind w:right="118"/>
        <w:jc w:val="both"/>
        <w:rPr>
          <w:rFonts w:ascii="Garamond" w:eastAsia="Times New Roman" w:hAnsi="Garamond" w:cs="Times New Roman"/>
          <w:sz w:val="24"/>
        </w:rPr>
      </w:pPr>
    </w:p>
    <w:p w14:paraId="0E9F7FEB" w14:textId="77777777" w:rsidR="00F96CD9" w:rsidRPr="005C5CBD" w:rsidRDefault="00F96CD9" w:rsidP="00F96CD9">
      <w:pPr>
        <w:widowControl w:val="0"/>
        <w:tabs>
          <w:tab w:val="left" w:pos="417"/>
        </w:tabs>
        <w:autoSpaceDE w:val="0"/>
        <w:autoSpaceDN w:val="0"/>
        <w:spacing w:after="0" w:line="240" w:lineRule="auto"/>
        <w:ind w:right="118"/>
        <w:jc w:val="both"/>
        <w:rPr>
          <w:rFonts w:ascii="Garamond" w:eastAsia="Times New Roman" w:hAnsi="Garamond" w:cs="Times New Roman"/>
          <w:sz w:val="24"/>
        </w:rPr>
      </w:pPr>
    </w:p>
    <w:p w14:paraId="594418FB" w14:textId="2A5B0125" w:rsidR="00CB6C86" w:rsidRPr="00395593" w:rsidRDefault="00CB6C86" w:rsidP="00CB6C86">
      <w:pPr>
        <w:widowControl w:val="0"/>
        <w:autoSpaceDE w:val="0"/>
        <w:autoSpaceDN w:val="0"/>
        <w:spacing w:before="2" w:after="0" w:line="240" w:lineRule="auto"/>
        <w:rPr>
          <w:rFonts w:ascii="Garamond" w:eastAsia="Times New Roman" w:hAnsi="Garamond" w:cs="Times New Roman"/>
          <w:sz w:val="19"/>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85" behindDoc="1" locked="0" layoutInCell="1" allowOverlap="1" wp14:anchorId="64166C1E" wp14:editId="21A74DA9">
                <wp:simplePos x="0" y="0"/>
                <wp:positionH relativeFrom="page">
                  <wp:posOffset>1080770</wp:posOffset>
                </wp:positionH>
                <wp:positionV relativeFrom="paragraph">
                  <wp:posOffset>155575</wp:posOffset>
                </wp:positionV>
                <wp:extent cx="5614035" cy="7620"/>
                <wp:effectExtent l="4445" t="0" r="1270" b="0"/>
                <wp:wrapTopAndBottom/>
                <wp:docPr id="408" name="Retângulo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BD767" id="Retângulo 408" o:spid="_x0000_s1026" style="position:absolute;margin-left:85.1pt;margin-top:12.25pt;width:442.05pt;height:.6pt;z-index:-2516581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" fillcolor="black" stroked="f">
                <w10:wrap type="topAndBottom" anchorx="page"/>
              </v:rect>
            </w:pict>
          </mc:Fallback>
        </mc:AlternateContent>
      </w:r>
    </w:p>
    <w:p w14:paraId="247F31F2" w14:textId="77777777" w:rsidR="00CB6C86" w:rsidRPr="00D84825" w:rsidRDefault="00CB6C86" w:rsidP="00CB6C86">
      <w:pPr>
        <w:widowControl w:val="0"/>
        <w:autoSpaceDE w:val="0"/>
        <w:autoSpaceDN w:val="0"/>
        <w:spacing w:before="103" w:after="0" w:line="240" w:lineRule="auto"/>
        <w:ind w:right="121"/>
        <w:jc w:val="both"/>
        <w:rPr>
          <w:rFonts w:ascii="Garamond" w:eastAsia="Times New Roman" w:hAnsi="Garamond" w:cs="Times New Roman"/>
          <w:sz w:val="20"/>
        </w:rPr>
      </w:pPr>
      <w:r w:rsidRPr="00D84825">
        <w:rPr>
          <w:rFonts w:ascii="Garamond" w:eastAsia="Times New Roman" w:hAnsi="Garamond" w:cs="Times New Roman"/>
          <w:sz w:val="20"/>
          <w:vertAlign w:val="superscript"/>
        </w:rPr>
        <w:t>59</w:t>
      </w:r>
      <w:r w:rsidRPr="00D84825">
        <w:rPr>
          <w:rFonts w:ascii="Garamond" w:eastAsia="Times New Roman" w:hAnsi="Garamond" w:cs="Times New Roman"/>
          <w:sz w:val="20"/>
        </w:rPr>
        <w:t xml:space="preserve"> Os Membros reconhecem que o diferimento poderá não constituir subsídio à exportação quando, por</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exemplo, são percebidos os juros adequados. Os Membros reafirmam o princípio segundo o qual os preços de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bens praticados em transações entre empresas exportadoras e compradoras estrangeiras controlados pelas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primeiras, ou ambos sob o mesmo controle, devem, para fins tributários, ser os mesmos que se praticariam</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entre empresas independentes umas das outras em condições de livre concorrência. Qualquer Membro pode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chamar a atenção de outro para práticas administrativas ou outras que contradigam esse princípio e que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resultem</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em</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expressiva</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economia</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em</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impostos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direitos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aplicáveis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a</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transações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de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exportação.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Em tais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circunstâncias, os Membros tentarão normalmente resolver suas diferenças pelas vias previstas em tratados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bilaterais existentes em matéria fiscal ou por meio de outros mecanismos internacionais específicos, sem</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prejuízo dos direitos e das obrigações que para os Membros derivam do GATT 1994, entre os quais o direito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de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consulta criado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no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período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precedente.</w:t>
      </w:r>
    </w:p>
    <w:p w14:paraId="3EABE5CF" w14:textId="77777777" w:rsidR="00CB6C86" w:rsidRPr="00D84825" w:rsidRDefault="00CB6C86" w:rsidP="00CB6C86">
      <w:pPr>
        <w:widowControl w:val="0"/>
        <w:autoSpaceDE w:val="0"/>
        <w:autoSpaceDN w:val="0"/>
        <w:spacing w:before="1" w:after="0" w:line="240" w:lineRule="auto"/>
        <w:ind w:right="123"/>
        <w:jc w:val="both"/>
        <w:rPr>
          <w:rFonts w:ascii="Garamond" w:eastAsia="Times New Roman" w:hAnsi="Garamond" w:cs="Times New Roman"/>
          <w:sz w:val="20"/>
        </w:rPr>
      </w:pPr>
      <w:r w:rsidRPr="00D84825">
        <w:rPr>
          <w:rFonts w:ascii="Garamond" w:eastAsia="Times New Roman" w:hAnsi="Garamond" w:cs="Times New Roman"/>
          <w:sz w:val="20"/>
        </w:rPr>
        <w:t>O parágrafo (e) não tem por finalidade impedir um Membro de tomar medidas para evitar dupla</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tributação sobre ganhos de fonte situada no estrangeiro por suas empresas ou pelas empresas de outro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Membro.</w:t>
      </w:r>
    </w:p>
    <w:p w14:paraId="73F80E9F" w14:textId="77777777" w:rsidR="00CB6C86" w:rsidRPr="00395593" w:rsidRDefault="00CB6C86" w:rsidP="00CB6C86">
      <w:pPr>
        <w:widowControl w:val="0"/>
        <w:autoSpaceDE w:val="0"/>
        <w:autoSpaceDN w:val="0"/>
        <w:spacing w:after="0" w:line="240" w:lineRule="auto"/>
        <w:ind w:right="127"/>
        <w:jc w:val="both"/>
        <w:rPr>
          <w:rFonts w:ascii="Garamond" w:eastAsia="Times New Roman" w:hAnsi="Garamond" w:cs="Times New Roman"/>
          <w:sz w:val="20"/>
        </w:rPr>
      </w:pPr>
      <w:r w:rsidRPr="00D84825">
        <w:rPr>
          <w:rFonts w:ascii="Garamond" w:eastAsia="Times New Roman" w:hAnsi="Garamond" w:cs="Times New Roman"/>
          <w:sz w:val="20"/>
          <w:vertAlign w:val="superscript"/>
        </w:rPr>
        <w:t>60</w:t>
      </w:r>
      <w:r w:rsidRPr="00D84825">
        <w:rPr>
          <w:rFonts w:ascii="Garamond" w:eastAsia="Times New Roman" w:hAnsi="Garamond" w:cs="Times New Roman"/>
          <w:sz w:val="20"/>
        </w:rPr>
        <w:t xml:space="preserve"> O parágrafo (h) não se aplica a sistemas de impostos sobre valor acrescido nem aos ajustes fiscais de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fronteira que se estabeleçam em substituição àquele sistema; o problema de excessiva remissão de imposto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sobre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valor acrescido é tratado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exclusivamente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no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parágrafo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(g).</w:t>
      </w:r>
    </w:p>
    <w:p w14:paraId="0E55EBFE" w14:textId="67CD8F41" w:rsidR="00CB6C86" w:rsidRPr="005C5CBD" w:rsidRDefault="00CB6C86" w:rsidP="00E33E26">
      <w:pPr>
        <w:widowControl w:val="0"/>
        <w:autoSpaceDE w:val="0"/>
        <w:autoSpaceDN w:val="0"/>
        <w:spacing w:after="0" w:line="240" w:lineRule="auto"/>
        <w:jc w:val="both"/>
        <w:rPr>
          <w:rFonts w:ascii="Garamond" w:eastAsia="Times New Roman" w:hAnsi="Garamond" w:cs="Times New Roman"/>
          <w:sz w:val="20"/>
        </w:rPr>
      </w:pPr>
    </w:p>
    <w:p w14:paraId="114B1710" w14:textId="77777777" w:rsidR="00CB6C86" w:rsidRPr="00395593" w:rsidRDefault="00CB6C86" w:rsidP="00CB6C86">
      <w:pPr>
        <w:widowControl w:val="0"/>
        <w:autoSpaceDE w:val="0"/>
        <w:autoSpaceDN w:val="0"/>
        <w:spacing w:before="68" w:after="0" w:line="240" w:lineRule="auto"/>
        <w:ind w:right="125"/>
        <w:jc w:val="both"/>
        <w:rPr>
          <w:rFonts w:ascii="Garamond" w:eastAsia="Times New Roman" w:hAnsi="Garamond" w:cs="Times New Roman"/>
          <w:sz w:val="24"/>
          <w:szCs w:val="24"/>
        </w:rPr>
      </w:pPr>
      <w:r w:rsidRPr="00395593">
        <w:rPr>
          <w:rFonts w:ascii="Garamond" w:eastAsia="Times New Roman" w:hAnsi="Garamond" w:cs="Times New Roman"/>
          <w:sz w:val="24"/>
          <w:szCs w:val="24"/>
        </w:rPr>
        <w:t>importação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em casos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 substituição constituem subsídios à exportação enunciadas no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Anexo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III.</w:t>
      </w:r>
    </w:p>
    <w:p w14:paraId="08C0859A"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5CD20EAE" w14:textId="77777777" w:rsidR="00CB6C86" w:rsidRPr="00395593" w:rsidRDefault="00CB6C86" w:rsidP="002C4340">
      <w:pPr>
        <w:widowControl w:val="0"/>
        <w:numPr>
          <w:ilvl w:val="0"/>
          <w:numId w:val="34"/>
        </w:numPr>
        <w:tabs>
          <w:tab w:val="left" w:pos="438"/>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A criação pelo governo (ou por instituições especiais controladas pelo governo)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programas de garantias de crédito à exportação ou programas de seguros à exportação,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programas de seguro ou garantias contra aumentos no custo de produtos exportados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programas de proteção contra riscos de flutuação nas taxas de câmbio, cujos prêmios sejam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insuficientes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cobrir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 custos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longo prazo 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as perdas dos programas.</w:t>
      </w:r>
    </w:p>
    <w:p w14:paraId="018A09B9"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27A3AFE3" w14:textId="77777777" w:rsidR="00CB6C86" w:rsidRPr="00395593" w:rsidRDefault="00CB6C86" w:rsidP="002C4340">
      <w:pPr>
        <w:widowControl w:val="0"/>
        <w:numPr>
          <w:ilvl w:val="0"/>
          <w:numId w:val="34"/>
        </w:numPr>
        <w:tabs>
          <w:tab w:val="left" w:pos="462"/>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A concessão pelo governo (ou por instituições especiais controladas pelas 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governo e/ou agindo sob seu comando) de créditos à exportação a taxas inferiores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àquelas pelas quais o governo obtém os recursos</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utilizados para estabelecer tais créditos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 que teriam de pagar se tomassem emprestado nos mercados financeiros internacionais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recursos com a mesma maturação, nas mesmas condições creditícias e na mesma moeda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crédito à exportação) ou o pagamento pelo governo da totalidade ou de parte dos custos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31"/>
          <w:sz w:val="24"/>
        </w:rPr>
        <w:t xml:space="preserve"> </w:t>
      </w:r>
      <w:r w:rsidRPr="00395593">
        <w:rPr>
          <w:rFonts w:ascii="Garamond" w:eastAsia="Times New Roman" w:hAnsi="Garamond" w:cs="Times New Roman"/>
          <w:sz w:val="24"/>
        </w:rPr>
        <w:t>incorrem</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exportadores</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32"/>
          <w:sz w:val="24"/>
        </w:rPr>
        <w:t xml:space="preserve"> </w:t>
      </w:r>
      <w:r w:rsidRPr="00395593">
        <w:rPr>
          <w:rFonts w:ascii="Garamond" w:eastAsia="Times New Roman" w:hAnsi="Garamond" w:cs="Times New Roman"/>
          <w:sz w:val="24"/>
        </w:rPr>
        <w:t>instituições</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financeiras</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quando</w:t>
      </w:r>
      <w:r w:rsidRPr="00395593">
        <w:rPr>
          <w:rFonts w:ascii="Garamond" w:eastAsia="Times New Roman" w:hAnsi="Garamond" w:cs="Times New Roman"/>
          <w:spacing w:val="34"/>
          <w:sz w:val="24"/>
        </w:rPr>
        <w:t xml:space="preserve"> </w:t>
      </w:r>
      <w:r w:rsidRPr="00395593">
        <w:rPr>
          <w:rFonts w:ascii="Garamond" w:eastAsia="Times New Roman" w:hAnsi="Garamond" w:cs="Times New Roman"/>
          <w:sz w:val="24"/>
        </w:rPr>
        <w:t>obtêm</w:t>
      </w:r>
      <w:r w:rsidRPr="00395593">
        <w:rPr>
          <w:rFonts w:ascii="Garamond" w:eastAsia="Times New Roman" w:hAnsi="Garamond" w:cs="Times New Roman"/>
          <w:spacing w:val="33"/>
          <w:sz w:val="24"/>
        </w:rPr>
        <w:t xml:space="preserve"> </w:t>
      </w:r>
      <w:r w:rsidRPr="00395593">
        <w:rPr>
          <w:rFonts w:ascii="Garamond" w:eastAsia="Times New Roman" w:hAnsi="Garamond" w:cs="Times New Roman"/>
          <w:sz w:val="24"/>
        </w:rPr>
        <w:t>créditos,</w:t>
      </w:r>
      <w:r w:rsidRPr="00395593">
        <w:rPr>
          <w:rFonts w:ascii="Garamond" w:eastAsia="Times New Roman" w:hAnsi="Garamond" w:cs="Times New Roman"/>
          <w:spacing w:val="34"/>
          <w:sz w:val="24"/>
        </w:rPr>
        <w:t xml:space="preserve"> </w:t>
      </w:r>
      <w:r w:rsidRPr="00395593">
        <w:rPr>
          <w:rFonts w:ascii="Garamond" w:eastAsia="Times New Roman" w:hAnsi="Garamond" w:cs="Times New Roman"/>
          <w:sz w:val="24"/>
        </w:rPr>
        <w:t>na</w:t>
      </w:r>
      <w:r w:rsidRPr="00395593">
        <w:rPr>
          <w:rFonts w:ascii="Garamond" w:eastAsia="Times New Roman" w:hAnsi="Garamond" w:cs="Times New Roman"/>
          <w:spacing w:val="31"/>
          <w:sz w:val="24"/>
        </w:rPr>
        <w:t xml:space="preserve"> </w:t>
      </w:r>
      <w:r w:rsidRPr="00395593">
        <w:rPr>
          <w:rFonts w:ascii="Garamond" w:eastAsia="Times New Roman" w:hAnsi="Garamond" w:cs="Times New Roman"/>
          <w:sz w:val="24"/>
        </w:rPr>
        <w:t>medida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em que sejam utilizados para garantir vantagem de monta nas condições dos créditos 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exportação.</w:t>
      </w:r>
    </w:p>
    <w:p w14:paraId="4D9F5B5A"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4"/>
          <w:szCs w:val="24"/>
        </w:rPr>
      </w:pPr>
    </w:p>
    <w:p w14:paraId="75806066" w14:textId="77777777" w:rsidR="00CB6C86" w:rsidRPr="00395593" w:rsidRDefault="00CB6C86" w:rsidP="00CB6C86">
      <w:pPr>
        <w:widowControl w:val="0"/>
        <w:autoSpaceDE w:val="0"/>
        <w:autoSpaceDN w:val="0"/>
        <w:spacing w:after="0" w:line="240" w:lineRule="auto"/>
        <w:ind w:right="119"/>
        <w:jc w:val="both"/>
        <w:rPr>
          <w:rFonts w:ascii="Garamond" w:eastAsia="Times New Roman" w:hAnsi="Garamond" w:cs="Times New Roman"/>
          <w:sz w:val="24"/>
          <w:szCs w:val="24"/>
        </w:rPr>
      </w:pPr>
      <w:r w:rsidRPr="00395593">
        <w:rPr>
          <w:rFonts w:ascii="Garamond" w:eastAsia="Times New Roman" w:hAnsi="Garamond" w:cs="Times New Roman"/>
          <w:sz w:val="24"/>
          <w:szCs w:val="24"/>
        </w:rPr>
        <w:t>Não obstante, se um Membro é parte de compromisso internacional em matéria de créditos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oficiais à exportação do qual sejam partes pelo menos 12 Membros originais do presente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Acordo em 1º de janeiro de 1979 (ou de compromisso que tenha substituído o primeiro 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que tenha sido aceito por esses Membros originais), ou se na prática um Membro aplica 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disposições relativas ao tipo de juros do compromisso correspondente, uma prática adotada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em matéria de crédito à exportação que esteja em conformidade com essas disposições não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será</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sz w:val="24"/>
          <w:szCs w:val="24"/>
        </w:rPr>
        <w:t>considerada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como subsídio à exportação proibido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pelo presente Acordo.</w:t>
      </w:r>
    </w:p>
    <w:p w14:paraId="58FF2356"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4EFB84DD" w14:textId="77777777" w:rsidR="00CB6C86" w:rsidRPr="00395593" w:rsidRDefault="00CB6C86" w:rsidP="002C4340">
      <w:pPr>
        <w:widowControl w:val="0"/>
        <w:numPr>
          <w:ilvl w:val="0"/>
          <w:numId w:val="34"/>
        </w:numPr>
        <w:tabs>
          <w:tab w:val="left" w:pos="407"/>
        </w:tabs>
        <w:autoSpaceDE w:val="0"/>
        <w:autoSpaceDN w:val="0"/>
        <w:spacing w:before="1" w:after="0" w:line="240" w:lineRule="auto"/>
        <w:ind w:right="118" w:firstLine="0"/>
        <w:rPr>
          <w:rFonts w:ascii="Garamond" w:eastAsia="Times New Roman" w:hAnsi="Garamond" w:cs="Times New Roman"/>
          <w:sz w:val="24"/>
        </w:rPr>
      </w:pPr>
      <w:r w:rsidRPr="00395593">
        <w:rPr>
          <w:rFonts w:ascii="Garamond" w:eastAsia="Times New Roman" w:hAnsi="Garamond" w:cs="Times New Roman"/>
          <w:sz w:val="24"/>
        </w:rPr>
        <w:t>Qualquer outra despesa para o orçamento público que constitua subsídio no sentido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XVI</w:t>
      </w:r>
      <w:r w:rsidRPr="00395593">
        <w:rPr>
          <w:rFonts w:ascii="Garamond" w:eastAsia="Times New Roman" w:hAnsi="Garamond" w:cs="Times New Roman"/>
          <w:spacing w:val="-4"/>
          <w:sz w:val="24"/>
        </w:rPr>
        <w:t xml:space="preserve"> </w:t>
      </w:r>
      <w:r w:rsidRPr="00395593">
        <w:rPr>
          <w:rFonts w:ascii="Garamond" w:eastAsia="Times New Roman" w:hAnsi="Garamond" w:cs="Times New Roman"/>
          <w:sz w:val="24"/>
        </w:rPr>
        <w:t>do GATT 1994.</w:t>
      </w:r>
    </w:p>
    <w:p w14:paraId="2224FE55"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003DD9E0" w14:textId="77777777" w:rsidR="00CB6C86" w:rsidRPr="00395593" w:rsidRDefault="00CB6C86" w:rsidP="00CB6C86">
      <w:pPr>
        <w:widowControl w:val="0"/>
        <w:autoSpaceDE w:val="0"/>
        <w:autoSpaceDN w:val="0"/>
        <w:spacing w:after="0" w:line="240" w:lineRule="auto"/>
        <w:ind w:right="145"/>
        <w:jc w:val="center"/>
        <w:rPr>
          <w:rFonts w:ascii="Garamond" w:eastAsia="Times New Roman" w:hAnsi="Garamond" w:cs="Times New Roman"/>
          <w:b/>
          <w:sz w:val="24"/>
        </w:rPr>
      </w:pPr>
      <w:r w:rsidRPr="00395593">
        <w:rPr>
          <w:rFonts w:ascii="Garamond" w:eastAsia="Times New Roman" w:hAnsi="Garamond" w:cs="Times New Roman"/>
          <w:b/>
          <w:sz w:val="24"/>
        </w:rPr>
        <w:t>ANEXO II</w:t>
      </w:r>
    </w:p>
    <w:p w14:paraId="5FDC156E"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192EF980" w14:textId="77777777" w:rsidR="00CB6C86" w:rsidRPr="00395593" w:rsidRDefault="00CB6C86" w:rsidP="00CB6C86">
      <w:pPr>
        <w:widowControl w:val="0"/>
        <w:autoSpaceDE w:val="0"/>
        <w:autoSpaceDN w:val="0"/>
        <w:spacing w:after="0" w:line="240" w:lineRule="auto"/>
        <w:ind w:right="145"/>
        <w:jc w:val="center"/>
        <w:rPr>
          <w:rFonts w:ascii="Garamond" w:eastAsia="Times New Roman" w:hAnsi="Garamond" w:cs="Times New Roman"/>
          <w:sz w:val="24"/>
        </w:rPr>
      </w:pPr>
      <w:r w:rsidRPr="00395593">
        <w:rPr>
          <w:rFonts w:ascii="Garamond" w:eastAsia="Times New Roman" w:hAnsi="Garamond" w:cs="Times New Roman"/>
          <w:b/>
          <w:sz w:val="24"/>
        </w:rPr>
        <w:t>DIRETRIZES</w:t>
      </w:r>
      <w:r w:rsidRPr="00395593">
        <w:rPr>
          <w:rFonts w:ascii="Garamond" w:eastAsia="Times New Roman" w:hAnsi="Garamond" w:cs="Times New Roman"/>
          <w:b/>
          <w:spacing w:val="-2"/>
          <w:sz w:val="24"/>
        </w:rPr>
        <w:t xml:space="preserve"> </w:t>
      </w:r>
      <w:r w:rsidRPr="00395593">
        <w:rPr>
          <w:rFonts w:ascii="Garamond" w:eastAsia="Times New Roman" w:hAnsi="Garamond" w:cs="Times New Roman"/>
          <w:b/>
          <w:sz w:val="24"/>
        </w:rPr>
        <w:t>SOBRE</w:t>
      </w:r>
      <w:r w:rsidRPr="00395593">
        <w:rPr>
          <w:rFonts w:ascii="Garamond" w:eastAsia="Times New Roman" w:hAnsi="Garamond" w:cs="Times New Roman"/>
          <w:b/>
          <w:spacing w:val="-2"/>
          <w:sz w:val="24"/>
        </w:rPr>
        <w:t xml:space="preserve"> </w:t>
      </w:r>
      <w:r w:rsidRPr="00395593">
        <w:rPr>
          <w:rFonts w:ascii="Garamond" w:eastAsia="Times New Roman" w:hAnsi="Garamond" w:cs="Times New Roman"/>
          <w:b/>
          <w:sz w:val="24"/>
        </w:rPr>
        <w:t>OS INSUMOS</w:t>
      </w:r>
      <w:r w:rsidRPr="00395593">
        <w:rPr>
          <w:rFonts w:ascii="Garamond" w:eastAsia="Times New Roman" w:hAnsi="Garamond" w:cs="Times New Roman"/>
          <w:b/>
          <w:spacing w:val="-2"/>
          <w:sz w:val="24"/>
        </w:rPr>
        <w:t xml:space="preserve"> </w:t>
      </w:r>
      <w:r w:rsidRPr="00395593">
        <w:rPr>
          <w:rFonts w:ascii="Garamond" w:eastAsia="Times New Roman" w:hAnsi="Garamond" w:cs="Times New Roman"/>
          <w:b/>
          <w:sz w:val="24"/>
        </w:rPr>
        <w:t>CONSUMIDOS</w:t>
      </w:r>
      <w:r w:rsidRPr="00395593">
        <w:rPr>
          <w:rFonts w:ascii="Garamond" w:eastAsia="Times New Roman" w:hAnsi="Garamond" w:cs="Times New Roman"/>
          <w:b/>
          <w:spacing w:val="-2"/>
          <w:sz w:val="24"/>
        </w:rPr>
        <w:t xml:space="preserve"> </w:t>
      </w:r>
      <w:r w:rsidRPr="00395593">
        <w:rPr>
          <w:rFonts w:ascii="Garamond" w:eastAsia="Times New Roman" w:hAnsi="Garamond" w:cs="Times New Roman"/>
          <w:b/>
          <w:sz w:val="24"/>
        </w:rPr>
        <w:t>NO</w:t>
      </w:r>
      <w:r w:rsidRPr="00395593">
        <w:rPr>
          <w:rFonts w:ascii="Garamond" w:eastAsia="Times New Roman" w:hAnsi="Garamond" w:cs="Times New Roman"/>
          <w:b/>
          <w:spacing w:val="-2"/>
          <w:sz w:val="24"/>
        </w:rPr>
        <w:t xml:space="preserve"> </w:t>
      </w:r>
      <w:r w:rsidRPr="00395593">
        <w:rPr>
          <w:rFonts w:ascii="Garamond" w:eastAsia="Times New Roman" w:hAnsi="Garamond" w:cs="Times New Roman"/>
          <w:b/>
          <w:sz w:val="24"/>
        </w:rPr>
        <w:t>PROCESSO</w:t>
      </w:r>
      <w:r w:rsidRPr="00395593">
        <w:rPr>
          <w:rFonts w:ascii="Garamond" w:eastAsia="Times New Roman" w:hAnsi="Garamond" w:cs="Times New Roman"/>
          <w:b/>
          <w:spacing w:val="-2"/>
          <w:sz w:val="24"/>
        </w:rPr>
        <w:t xml:space="preserve"> </w:t>
      </w:r>
      <w:r w:rsidRPr="00395593">
        <w:rPr>
          <w:rFonts w:ascii="Garamond" w:eastAsia="Times New Roman" w:hAnsi="Garamond" w:cs="Times New Roman"/>
          <w:b/>
          <w:sz w:val="24"/>
        </w:rPr>
        <w:t>PRODUTIVO</w:t>
      </w:r>
      <w:r w:rsidRPr="00395593">
        <w:rPr>
          <w:rFonts w:ascii="Garamond" w:eastAsia="Times New Roman" w:hAnsi="Garamond" w:cs="Times New Roman"/>
          <w:b/>
          <w:spacing w:val="3"/>
          <w:sz w:val="24"/>
        </w:rPr>
        <w:t xml:space="preserve"> </w:t>
      </w:r>
      <w:r w:rsidRPr="00395593">
        <w:rPr>
          <w:rFonts w:ascii="Garamond" w:eastAsia="Times New Roman" w:hAnsi="Garamond" w:cs="Times New Roman"/>
          <w:b/>
          <w:sz w:val="24"/>
          <w:vertAlign w:val="superscript"/>
        </w:rPr>
        <w:t>61</w:t>
      </w:r>
    </w:p>
    <w:p w14:paraId="3A2671E0"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6FEB7810" w14:textId="77777777" w:rsidR="00CB6C86" w:rsidRPr="00395593" w:rsidRDefault="00CB6C86" w:rsidP="00CB6C86">
      <w:pPr>
        <w:widowControl w:val="0"/>
        <w:autoSpaceDE w:val="0"/>
        <w:autoSpaceDN w:val="0"/>
        <w:spacing w:after="0" w:line="240" w:lineRule="auto"/>
        <w:ind w:right="17"/>
        <w:jc w:val="center"/>
        <w:rPr>
          <w:rFonts w:ascii="Garamond" w:eastAsia="Times New Roman" w:hAnsi="Garamond" w:cs="Times New Roman"/>
          <w:sz w:val="24"/>
        </w:rPr>
      </w:pPr>
      <w:r w:rsidRPr="00395593">
        <w:rPr>
          <w:rFonts w:ascii="Garamond" w:eastAsia="Times New Roman" w:hAnsi="Garamond" w:cs="Times New Roman"/>
          <w:w w:val="99"/>
          <w:sz w:val="24"/>
        </w:rPr>
        <w:t>I</w:t>
      </w:r>
    </w:p>
    <w:p w14:paraId="3769E7E9"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74F2B746" w14:textId="77777777" w:rsidR="00CB6C86" w:rsidRPr="00395593" w:rsidRDefault="00CB6C86" w:rsidP="002C4340">
      <w:pPr>
        <w:widowControl w:val="0"/>
        <w:numPr>
          <w:ilvl w:val="0"/>
          <w:numId w:val="33"/>
        </w:numPr>
        <w:tabs>
          <w:tab w:val="left" w:pos="810"/>
        </w:tabs>
        <w:autoSpaceDE w:val="0"/>
        <w:autoSpaceDN w:val="0"/>
        <w:spacing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Os sistemas de redução de impostos indiretos podem permitir a isenção, a remissão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 o diferimento de impostos indiretos cumulativos sobre etapas anteriores aplicados 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insumos consumidos no fabrico do produto de exportação (com o devido desconto para 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desperdícios). Da mesma forma, os sistemas de devolução podem permitir a remissão ou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devolução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insumos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consumidos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fabrico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produto exportado (com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devido desconto 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 desperdícios).</w:t>
      </w:r>
    </w:p>
    <w:p w14:paraId="1E6DEC45" w14:textId="23217291" w:rsidR="00CB6C86" w:rsidRPr="00395593" w:rsidRDefault="00CB6C86" w:rsidP="00CB6C86">
      <w:pPr>
        <w:widowControl w:val="0"/>
        <w:autoSpaceDE w:val="0"/>
        <w:autoSpaceDN w:val="0"/>
        <w:spacing w:after="0" w:line="240" w:lineRule="auto"/>
        <w:rPr>
          <w:rFonts w:ascii="Garamond" w:eastAsia="Times New Roman" w:hAnsi="Garamond" w:cs="Times New Roman"/>
          <w:sz w:val="20"/>
          <w:szCs w:val="24"/>
        </w:rPr>
      </w:pPr>
    </w:p>
    <w:p w14:paraId="5534D9B9" w14:textId="70333A7D" w:rsidR="00AB124B" w:rsidRDefault="00AB124B" w:rsidP="00E33E26">
      <w:pPr>
        <w:widowControl w:val="0"/>
        <w:autoSpaceDE w:val="0"/>
        <w:autoSpaceDN w:val="0"/>
        <w:spacing w:after="0" w:line="240" w:lineRule="auto"/>
        <w:rPr>
          <w:rFonts w:ascii="Garamond" w:eastAsia="Times New Roman" w:hAnsi="Garamond" w:cs="Times New Roman"/>
          <w:sz w:val="20"/>
          <w:szCs w:val="24"/>
        </w:rPr>
      </w:pPr>
    </w:p>
    <w:p w14:paraId="7857BF26" w14:textId="064526B8" w:rsidR="00AB124B" w:rsidRDefault="00AB124B" w:rsidP="00E33E26">
      <w:pPr>
        <w:widowControl w:val="0"/>
        <w:autoSpaceDE w:val="0"/>
        <w:autoSpaceDN w:val="0"/>
        <w:spacing w:after="0" w:line="240" w:lineRule="auto"/>
        <w:rPr>
          <w:rFonts w:ascii="Garamond" w:eastAsia="Times New Roman" w:hAnsi="Garamond" w:cs="Times New Roman"/>
          <w:sz w:val="20"/>
          <w:szCs w:val="24"/>
        </w:rPr>
      </w:pPr>
    </w:p>
    <w:p w14:paraId="023DDDDB" w14:textId="0165F462" w:rsidR="00CB6C86" w:rsidRPr="00395593" w:rsidRDefault="00CB6C86" w:rsidP="00CB6C86">
      <w:pPr>
        <w:widowControl w:val="0"/>
        <w:autoSpaceDE w:val="0"/>
        <w:autoSpaceDN w:val="0"/>
        <w:spacing w:after="0" w:line="240" w:lineRule="auto"/>
        <w:rPr>
          <w:rFonts w:ascii="Garamond" w:eastAsia="Times New Roman" w:hAnsi="Garamond" w:cs="Times New Roman"/>
          <w:sz w:val="11"/>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86" behindDoc="1" locked="0" layoutInCell="1" allowOverlap="1" wp14:anchorId="4B3E9CFB" wp14:editId="562C6D32">
                <wp:simplePos x="0" y="0"/>
                <wp:positionH relativeFrom="page">
                  <wp:posOffset>1080770</wp:posOffset>
                </wp:positionH>
                <wp:positionV relativeFrom="paragraph">
                  <wp:posOffset>95885</wp:posOffset>
                </wp:positionV>
                <wp:extent cx="1828800" cy="7620"/>
                <wp:effectExtent l="4445" t="4445" r="0" b="0"/>
                <wp:wrapTopAndBottom/>
                <wp:docPr id="407" name="Retângulo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F216A" id="Retângulo 407" o:spid="_x0000_s1026" style="position:absolute;margin-left:85.1pt;margin-top:7.55pt;width:2in;height:.6pt;z-index:-2516581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qpgA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" fillcolor="black" stroked="f">
                <w10:wrap type="topAndBottom" anchorx="page"/>
              </v:rect>
            </w:pict>
          </mc:Fallback>
        </mc:AlternateContent>
      </w:r>
    </w:p>
    <w:p w14:paraId="1A74C93E" w14:textId="0972ADD8" w:rsidR="00146037" w:rsidRDefault="00CB6C86" w:rsidP="00CB6C86">
      <w:pPr>
        <w:widowControl w:val="0"/>
        <w:autoSpaceDE w:val="0"/>
        <w:autoSpaceDN w:val="0"/>
        <w:spacing w:before="103" w:after="0" w:line="240" w:lineRule="auto"/>
        <w:ind w:right="118"/>
        <w:jc w:val="both"/>
        <w:rPr>
          <w:rFonts w:ascii="Garamond" w:eastAsia="Times New Roman" w:hAnsi="Garamond" w:cs="Times New Roman"/>
          <w:sz w:val="20"/>
        </w:rPr>
      </w:pPr>
      <w:r w:rsidRPr="00D84825">
        <w:rPr>
          <w:rFonts w:ascii="Garamond" w:eastAsia="Times New Roman" w:hAnsi="Garamond" w:cs="Times New Roman"/>
          <w:sz w:val="20"/>
          <w:vertAlign w:val="superscript"/>
        </w:rPr>
        <w:t>61</w:t>
      </w:r>
      <w:r w:rsidRPr="00D84825">
        <w:rPr>
          <w:rFonts w:ascii="Garamond" w:eastAsia="Times New Roman" w:hAnsi="Garamond" w:cs="Times New Roman"/>
          <w:sz w:val="20"/>
        </w:rPr>
        <w:t xml:space="preserve"> Insumos consumidos no processo produtivo são insumos incorporados fisicamente, energia, combustíveis 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óleos,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utilizados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no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processo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produtivo,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catalisadores,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que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são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consumidos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ao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longo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do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processo</w:t>
      </w:r>
      <w:r w:rsidRPr="00D84825">
        <w:rPr>
          <w:rFonts w:ascii="Garamond" w:eastAsia="Times New Roman" w:hAnsi="Garamond" w:cs="Times New Roman"/>
          <w:spacing w:val="50"/>
          <w:sz w:val="20"/>
        </w:rPr>
        <w:t xml:space="preserve"> </w:t>
      </w:r>
      <w:r w:rsidRPr="00D84825">
        <w:rPr>
          <w:rFonts w:ascii="Garamond" w:eastAsia="Times New Roman" w:hAnsi="Garamond" w:cs="Times New Roman"/>
          <w:sz w:val="20"/>
        </w:rPr>
        <w:t>de</w:t>
      </w:r>
      <w:r w:rsidRPr="00D84825">
        <w:rPr>
          <w:rFonts w:ascii="Garamond" w:eastAsia="Times New Roman" w:hAnsi="Garamond" w:cs="Times New Roman"/>
          <w:spacing w:val="-47"/>
          <w:sz w:val="20"/>
        </w:rPr>
        <w:t xml:space="preserve"> </w:t>
      </w:r>
      <w:r w:rsidRPr="00D84825">
        <w:rPr>
          <w:rFonts w:ascii="Garamond" w:eastAsia="Times New Roman" w:hAnsi="Garamond" w:cs="Times New Roman"/>
          <w:sz w:val="20"/>
        </w:rPr>
        <w:t>obtenção do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produto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exportado.</w:t>
      </w:r>
    </w:p>
    <w:p w14:paraId="0F83DC56" w14:textId="77777777" w:rsidR="00146037" w:rsidRDefault="00146037">
      <w:pPr>
        <w:rPr>
          <w:rFonts w:ascii="Garamond" w:eastAsia="Times New Roman" w:hAnsi="Garamond" w:cs="Times New Roman"/>
          <w:sz w:val="20"/>
        </w:rPr>
      </w:pPr>
      <w:r>
        <w:rPr>
          <w:rFonts w:ascii="Garamond" w:eastAsia="Times New Roman" w:hAnsi="Garamond" w:cs="Times New Roman"/>
          <w:sz w:val="20"/>
        </w:rPr>
        <w:br w:type="page"/>
      </w:r>
    </w:p>
    <w:p w14:paraId="1360F3B9" w14:textId="77777777" w:rsidR="00CB6C86" w:rsidRPr="00D84825" w:rsidRDefault="00CB6C86" w:rsidP="00CB6C86">
      <w:pPr>
        <w:widowControl w:val="0"/>
        <w:autoSpaceDE w:val="0"/>
        <w:autoSpaceDN w:val="0"/>
        <w:spacing w:before="103" w:after="0" w:line="240" w:lineRule="auto"/>
        <w:ind w:right="118"/>
        <w:jc w:val="both"/>
        <w:rPr>
          <w:rFonts w:ascii="Garamond" w:eastAsia="Times New Roman" w:hAnsi="Garamond" w:cs="Times New Roman"/>
          <w:sz w:val="20"/>
        </w:rPr>
      </w:pPr>
    </w:p>
    <w:p w14:paraId="2BC394F1" w14:textId="77777777" w:rsidR="00CB6C86" w:rsidRPr="00395593" w:rsidRDefault="00CB6C86" w:rsidP="002C4340">
      <w:pPr>
        <w:widowControl w:val="0"/>
        <w:numPr>
          <w:ilvl w:val="0"/>
          <w:numId w:val="33"/>
        </w:numPr>
        <w:tabs>
          <w:tab w:val="left" w:pos="810"/>
        </w:tabs>
        <w:autoSpaceDE w:val="0"/>
        <w:autoSpaceDN w:val="0"/>
        <w:spacing w:before="68"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Lista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Ilustrativa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Anexo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faz</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referência ao termo "Insumos que são consumidos no fabrico do produto exportado" 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(h)</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conformidade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(h),</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sistemas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redução</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impostos indiretos podem constituir subsídio à exportação na medida em que resultem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isenção,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remissão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deferimento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impostos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indiretos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cumulativos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etapas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anteriores, além do valor de taxas equivalentes efetivamente aplicadas a insumos que sejam</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destinados ao fabrico de produtos para exportação. Em conformidade com o parágrafo (i),</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sistemas de devolução poderão constituir subsídio à exportação na medida em que resultem</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na remissão ou na devolução de direitos de importação além daqueles que são efetivamente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insumos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consumidos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fabrico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Ambos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parágrafos estabelecem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 dado o devido desconto para os desperdícios normais nas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conclusões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relativas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consumo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insumos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fabrico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 também 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prevê</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substituição quando apropriada.</w:t>
      </w:r>
    </w:p>
    <w:p w14:paraId="0935B519"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4"/>
          <w:szCs w:val="24"/>
        </w:rPr>
      </w:pPr>
    </w:p>
    <w:p w14:paraId="6C7147DC"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sz w:val="24"/>
          <w:szCs w:val="24"/>
        </w:rPr>
      </w:pPr>
      <w:r w:rsidRPr="00395593">
        <w:rPr>
          <w:rFonts w:ascii="Garamond" w:eastAsia="Times New Roman" w:hAnsi="Garamond" w:cs="Times New Roman"/>
          <w:sz w:val="24"/>
          <w:szCs w:val="24"/>
        </w:rPr>
        <w:t>II</w:t>
      </w:r>
    </w:p>
    <w:p w14:paraId="50DEC393"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0D01B399" w14:textId="77777777" w:rsidR="00CB6C86" w:rsidRPr="00395593" w:rsidRDefault="00CB6C86" w:rsidP="00CB6C86">
      <w:pPr>
        <w:widowControl w:val="0"/>
        <w:autoSpaceDE w:val="0"/>
        <w:autoSpaceDN w:val="0"/>
        <w:spacing w:after="0" w:line="240" w:lineRule="auto"/>
        <w:ind w:right="116"/>
        <w:jc w:val="both"/>
        <w:rPr>
          <w:rFonts w:ascii="Garamond" w:eastAsia="Times New Roman" w:hAnsi="Garamond" w:cs="Times New Roman"/>
          <w:sz w:val="24"/>
          <w:szCs w:val="24"/>
        </w:rPr>
      </w:pPr>
      <w:r w:rsidRPr="00395593">
        <w:rPr>
          <w:rFonts w:ascii="Garamond" w:eastAsia="Times New Roman" w:hAnsi="Garamond" w:cs="Times New Roman"/>
          <w:sz w:val="24"/>
          <w:szCs w:val="24"/>
        </w:rPr>
        <w:t>Ao examinar se os insumos são consumidos no fabrico do produto exportado, no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âmbito de investigação sobre direitos compensatórios realizada ao abrigo deste Acordo, 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autoridades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investigadoras procederão da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seguinte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maneira:</w:t>
      </w:r>
    </w:p>
    <w:p w14:paraId="1553BC37"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48685655" w14:textId="77777777" w:rsidR="00CB6C86" w:rsidRPr="00395593" w:rsidRDefault="00CB6C86" w:rsidP="002C4340">
      <w:pPr>
        <w:widowControl w:val="0"/>
        <w:numPr>
          <w:ilvl w:val="0"/>
          <w:numId w:val="32"/>
        </w:numPr>
        <w:tabs>
          <w:tab w:val="left" w:pos="810"/>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Quando</w:t>
      </w:r>
      <w:r w:rsidRPr="00395593">
        <w:rPr>
          <w:rFonts w:ascii="Garamond" w:eastAsia="Times New Roman" w:hAnsi="Garamond" w:cs="Times New Roman"/>
          <w:spacing w:val="17"/>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7"/>
          <w:sz w:val="24"/>
        </w:rPr>
        <w:t xml:space="preserve"> </w:t>
      </w:r>
      <w:r w:rsidRPr="00395593">
        <w:rPr>
          <w:rFonts w:ascii="Garamond" w:eastAsia="Times New Roman" w:hAnsi="Garamond" w:cs="Times New Roman"/>
          <w:sz w:val="24"/>
        </w:rPr>
        <w:t>alegar</w:t>
      </w:r>
      <w:r w:rsidRPr="00395593">
        <w:rPr>
          <w:rFonts w:ascii="Garamond" w:eastAsia="Times New Roman" w:hAnsi="Garamond" w:cs="Times New Roman"/>
          <w:spacing w:val="17"/>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7"/>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19"/>
          <w:sz w:val="24"/>
        </w:rPr>
        <w:t xml:space="preserve"> </w:t>
      </w:r>
      <w:r w:rsidRPr="00395593">
        <w:rPr>
          <w:rFonts w:ascii="Garamond" w:eastAsia="Times New Roman" w:hAnsi="Garamond" w:cs="Times New Roman"/>
          <w:sz w:val="24"/>
        </w:rPr>
        <w:t>sistema</w:t>
      </w:r>
      <w:r w:rsidRPr="00395593">
        <w:rPr>
          <w:rFonts w:ascii="Garamond" w:eastAsia="Times New Roman" w:hAnsi="Garamond" w:cs="Times New Roman"/>
          <w:spacing w:val="17"/>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7"/>
          <w:sz w:val="24"/>
        </w:rPr>
        <w:t xml:space="preserve"> </w:t>
      </w:r>
      <w:r w:rsidRPr="00395593">
        <w:rPr>
          <w:rFonts w:ascii="Garamond" w:eastAsia="Times New Roman" w:hAnsi="Garamond" w:cs="Times New Roman"/>
          <w:sz w:val="24"/>
        </w:rPr>
        <w:t>redução</w:t>
      </w:r>
      <w:r w:rsidRPr="00395593">
        <w:rPr>
          <w:rFonts w:ascii="Garamond" w:eastAsia="Times New Roman" w:hAnsi="Garamond" w:cs="Times New Roman"/>
          <w:spacing w:val="17"/>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impostos</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indiretos</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7"/>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sistema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de devolução implica subsídio por motivo de redução ou devolução excessiva de impostos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indiretos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direitos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importação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insumos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utilizados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fabrico</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 exportado, as autoridades investigatórias deverão determinar, em primeiro lugar, se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o governo do Membro exportador estabeleceu e aplica sistema ou procedimento que defina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quais insumos são consumidos no fabrico do produto exportado e em quais quantidades. 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conclui</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sistema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procedimento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é</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investigadoras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deverão, então, examinar o dito sistema ou procedimento para verificar se é razoável, eficaz</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na consecução dos fins almejados e baseado em práticas comerciais geralmente aceitas 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país exportador. As autoridades investigatórias poderão considerar necessário realizar,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acordo com o parágrafo 6 do Artigo 12, algumas provas práticas com vistas a verificar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informações e a certificar-se de que o sistema ou procedimento esta sendo efetivamente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aplicado.</w:t>
      </w:r>
    </w:p>
    <w:p w14:paraId="65C4D83D"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4"/>
          <w:szCs w:val="24"/>
        </w:rPr>
      </w:pPr>
    </w:p>
    <w:p w14:paraId="4BA88270" w14:textId="77777777" w:rsidR="00CB6C86" w:rsidRPr="00395593" w:rsidRDefault="00CB6C86" w:rsidP="002C4340">
      <w:pPr>
        <w:widowControl w:val="0"/>
        <w:numPr>
          <w:ilvl w:val="0"/>
          <w:numId w:val="32"/>
        </w:numPr>
        <w:tabs>
          <w:tab w:val="left" w:pos="810"/>
        </w:tabs>
        <w:autoSpaceDE w:val="0"/>
        <w:autoSpaceDN w:val="0"/>
        <w:spacing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Quando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inexistir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sistema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procedimento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quando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razoável,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quando, embora existente e razoável não seja aplicado ou não seja aplicado de forma eficaz,</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será necessário que o Membro exportador realize exame ulterior, baseado nos insumos reais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questão,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foi</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feito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pagamento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excessivo.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investigadoras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necessário,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nova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realizada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abrigo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1.</w:t>
      </w:r>
    </w:p>
    <w:p w14:paraId="1AA0DA35"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5ADE9AA9" w14:textId="77777777" w:rsidR="00CB6C86" w:rsidRPr="00395593" w:rsidRDefault="00CB6C86" w:rsidP="005C5CBD">
      <w:pPr>
        <w:widowControl w:val="0"/>
        <w:numPr>
          <w:ilvl w:val="0"/>
          <w:numId w:val="32"/>
        </w:numPr>
        <w:tabs>
          <w:tab w:val="left" w:pos="810"/>
        </w:tabs>
        <w:autoSpaceDE w:val="0"/>
        <w:autoSpaceDN w:val="0"/>
        <w:spacing w:before="68"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As autoridades investigadoras tratarão como fisicamente incorporados os insumos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utilizados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processo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produtivo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fisicamente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presentes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Membros notam que não é necessário que o insumo esteja presente no produto final sob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mesma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forma em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entrou no processo produtivo.</w:t>
      </w:r>
    </w:p>
    <w:p w14:paraId="2668D9A3" w14:textId="64176093" w:rsidR="00AB124B" w:rsidRDefault="00AB124B">
      <w:pPr>
        <w:rPr>
          <w:rFonts w:ascii="Garamond" w:eastAsia="Times New Roman" w:hAnsi="Garamond" w:cs="Times New Roman"/>
          <w:sz w:val="24"/>
        </w:rPr>
      </w:pPr>
      <w:r>
        <w:rPr>
          <w:rFonts w:ascii="Garamond" w:eastAsia="Times New Roman" w:hAnsi="Garamond" w:cs="Times New Roman"/>
          <w:sz w:val="24"/>
        </w:rPr>
        <w:br w:type="page"/>
      </w:r>
    </w:p>
    <w:p w14:paraId="38A24BF4" w14:textId="0F58C086" w:rsidR="00CB6C86" w:rsidRPr="00395593" w:rsidRDefault="00CB6C86" w:rsidP="002C4340">
      <w:pPr>
        <w:widowControl w:val="0"/>
        <w:numPr>
          <w:ilvl w:val="0"/>
          <w:numId w:val="32"/>
        </w:numPr>
        <w:tabs>
          <w:tab w:val="left" w:pos="810"/>
        </w:tabs>
        <w:autoSpaceDE w:val="0"/>
        <w:autoSpaceDN w:val="0"/>
        <w:spacing w:before="68"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Na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determinação</w:t>
      </w:r>
      <w:r w:rsidRPr="00395593">
        <w:rPr>
          <w:rFonts w:ascii="Garamond" w:eastAsia="Times New Roman" w:hAnsi="Garamond" w:cs="Times New Roman"/>
          <w:spacing w:val="59"/>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quantidade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um  insumo</w:t>
      </w:r>
      <w:r w:rsidRPr="00395593">
        <w:rPr>
          <w:rFonts w:ascii="Garamond" w:eastAsia="Times New Roman" w:hAnsi="Garamond" w:cs="Times New Roman"/>
          <w:spacing w:val="59"/>
          <w:sz w:val="24"/>
        </w:rPr>
        <w:t xml:space="preserve"> </w:t>
      </w:r>
      <w:r w:rsidRPr="00395593">
        <w:rPr>
          <w:rFonts w:ascii="Garamond" w:eastAsia="Times New Roman" w:hAnsi="Garamond" w:cs="Times New Roman"/>
          <w:sz w:val="24"/>
        </w:rPr>
        <w:t>específico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é</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consumido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fabrico do produto exportado, o "devido desconto para o desperdício normal" deverá 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levado em consideração e tido como consumido no fabrico do produto exportado. O termo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"desperdício" refere-se àquela porção de determinado insumo que não se destina a 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função independente no processo produtivo que não é consumida no fabrico do 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 (por razões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como</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ineficiência) e que não é recuperada, usada ou vendida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mesmo fabricante.</w:t>
      </w:r>
    </w:p>
    <w:p w14:paraId="45489579"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0C9B27E4" w14:textId="77777777" w:rsidR="00CB6C86" w:rsidRPr="00395593" w:rsidRDefault="00CB6C86" w:rsidP="002C4340">
      <w:pPr>
        <w:widowControl w:val="0"/>
        <w:numPr>
          <w:ilvl w:val="0"/>
          <w:numId w:val="32"/>
        </w:numPr>
        <w:tabs>
          <w:tab w:val="left" w:pos="810"/>
        </w:tabs>
        <w:autoSpaceDE w:val="0"/>
        <w:autoSpaceDN w:val="0"/>
        <w:spacing w:after="0" w:line="240" w:lineRule="auto"/>
        <w:ind w:right="118" w:firstLine="0"/>
        <w:jc w:val="both"/>
        <w:rPr>
          <w:rFonts w:ascii="Garamond" w:eastAsia="Times New Roman" w:hAnsi="Garamond" w:cs="Times New Roman"/>
          <w:sz w:val="24"/>
        </w:rPr>
      </w:pPr>
      <w:r w:rsidRPr="00395593">
        <w:rPr>
          <w:rFonts w:ascii="Garamond" w:eastAsia="Times New Roman" w:hAnsi="Garamond" w:cs="Times New Roman"/>
          <w:sz w:val="24"/>
        </w:rPr>
        <w:t>Ao determinar se o desconto pelo desperdício reclamado é o "normal", a autoridade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investigadora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levará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processo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produtivo,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experiência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média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indústria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país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outros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fatores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técnicos,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conforme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pertinente.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 investigadora terá em mente que uma questão importante refere-se ao fato de 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 do Membro exportador terem ou não calculado razoavelmente o volume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desperdício,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sempre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tenha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intenção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incluir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volume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redução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na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remissão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dos impostos ou direitos.</w:t>
      </w:r>
    </w:p>
    <w:p w14:paraId="3755FCA4"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6"/>
          <w:szCs w:val="24"/>
        </w:rPr>
      </w:pPr>
    </w:p>
    <w:p w14:paraId="77F68997" w14:textId="77777777" w:rsidR="00CB6C86" w:rsidRPr="00395593" w:rsidRDefault="00CB6C86" w:rsidP="00CB6C86">
      <w:pPr>
        <w:widowControl w:val="0"/>
        <w:autoSpaceDE w:val="0"/>
        <w:autoSpaceDN w:val="0"/>
        <w:spacing w:before="231" w:after="0" w:line="240" w:lineRule="auto"/>
        <w:ind w:right="146"/>
        <w:jc w:val="center"/>
        <w:rPr>
          <w:rFonts w:ascii="Garamond" w:eastAsia="Times New Roman" w:hAnsi="Garamond" w:cs="Times New Roman"/>
          <w:b/>
          <w:sz w:val="24"/>
        </w:rPr>
      </w:pPr>
      <w:r w:rsidRPr="00395593">
        <w:rPr>
          <w:rFonts w:ascii="Garamond" w:eastAsia="Times New Roman" w:hAnsi="Garamond" w:cs="Times New Roman"/>
          <w:b/>
          <w:sz w:val="24"/>
        </w:rPr>
        <w:t>ANEXO</w:t>
      </w:r>
      <w:r w:rsidRPr="00395593">
        <w:rPr>
          <w:rFonts w:ascii="Garamond" w:eastAsia="Times New Roman" w:hAnsi="Garamond" w:cs="Times New Roman"/>
          <w:b/>
          <w:spacing w:val="-1"/>
          <w:sz w:val="24"/>
        </w:rPr>
        <w:t xml:space="preserve"> </w:t>
      </w:r>
      <w:r w:rsidRPr="00395593">
        <w:rPr>
          <w:rFonts w:ascii="Garamond" w:eastAsia="Times New Roman" w:hAnsi="Garamond" w:cs="Times New Roman"/>
          <w:b/>
          <w:sz w:val="24"/>
        </w:rPr>
        <w:t>III</w:t>
      </w:r>
    </w:p>
    <w:p w14:paraId="480967DB"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2BE21C18" w14:textId="77777777" w:rsidR="00CB6C86" w:rsidRPr="00395593" w:rsidRDefault="00CB6C86" w:rsidP="00CB6C86">
      <w:pPr>
        <w:widowControl w:val="0"/>
        <w:autoSpaceDE w:val="0"/>
        <w:autoSpaceDN w:val="0"/>
        <w:spacing w:after="0" w:line="240" w:lineRule="auto"/>
        <w:ind w:right="461"/>
        <w:jc w:val="center"/>
        <w:rPr>
          <w:rFonts w:ascii="Garamond" w:eastAsia="Times New Roman" w:hAnsi="Garamond" w:cs="Times New Roman"/>
          <w:sz w:val="24"/>
        </w:rPr>
      </w:pPr>
      <w:r w:rsidRPr="00395593">
        <w:rPr>
          <w:rFonts w:ascii="Garamond" w:eastAsia="Times New Roman" w:hAnsi="Garamond" w:cs="Times New Roman"/>
          <w:b/>
          <w:sz w:val="24"/>
        </w:rPr>
        <w:t>DIRETRIZES PARA DETERMINAR SE OS SISTEMAS DE DEVOLUÇAO</w:t>
      </w:r>
      <w:r w:rsidRPr="00395593">
        <w:rPr>
          <w:rFonts w:ascii="Garamond" w:eastAsia="Times New Roman" w:hAnsi="Garamond" w:cs="Times New Roman"/>
          <w:b/>
          <w:spacing w:val="1"/>
          <w:sz w:val="24"/>
        </w:rPr>
        <w:t xml:space="preserve"> </w:t>
      </w:r>
      <w:r w:rsidRPr="00395593">
        <w:rPr>
          <w:rFonts w:ascii="Garamond" w:eastAsia="Times New Roman" w:hAnsi="Garamond" w:cs="Times New Roman"/>
          <w:b/>
          <w:sz w:val="24"/>
        </w:rPr>
        <w:t>CONSTITUEM</w:t>
      </w:r>
      <w:r w:rsidRPr="00395593">
        <w:rPr>
          <w:rFonts w:ascii="Garamond" w:eastAsia="Times New Roman" w:hAnsi="Garamond" w:cs="Times New Roman"/>
          <w:b/>
          <w:spacing w:val="-4"/>
          <w:sz w:val="24"/>
        </w:rPr>
        <w:t xml:space="preserve"> </w:t>
      </w:r>
      <w:r w:rsidRPr="00395593">
        <w:rPr>
          <w:rFonts w:ascii="Garamond" w:eastAsia="Times New Roman" w:hAnsi="Garamond" w:cs="Times New Roman"/>
          <w:b/>
          <w:sz w:val="24"/>
        </w:rPr>
        <w:t>SUBSÍDIO</w:t>
      </w:r>
      <w:r w:rsidRPr="00395593">
        <w:rPr>
          <w:rFonts w:ascii="Garamond" w:eastAsia="Times New Roman" w:hAnsi="Garamond" w:cs="Times New Roman"/>
          <w:b/>
          <w:spacing w:val="-3"/>
          <w:sz w:val="24"/>
        </w:rPr>
        <w:t xml:space="preserve"> </w:t>
      </w:r>
      <w:r w:rsidRPr="00395593">
        <w:rPr>
          <w:rFonts w:ascii="Garamond" w:eastAsia="Times New Roman" w:hAnsi="Garamond" w:cs="Times New Roman"/>
          <w:b/>
          <w:sz w:val="24"/>
        </w:rPr>
        <w:t>À</w:t>
      </w:r>
      <w:r w:rsidRPr="00395593">
        <w:rPr>
          <w:rFonts w:ascii="Garamond" w:eastAsia="Times New Roman" w:hAnsi="Garamond" w:cs="Times New Roman"/>
          <w:b/>
          <w:spacing w:val="-4"/>
          <w:sz w:val="24"/>
        </w:rPr>
        <w:t xml:space="preserve"> </w:t>
      </w:r>
      <w:r w:rsidRPr="00395593">
        <w:rPr>
          <w:rFonts w:ascii="Garamond" w:eastAsia="Times New Roman" w:hAnsi="Garamond" w:cs="Times New Roman"/>
          <w:b/>
          <w:sz w:val="24"/>
        </w:rPr>
        <w:t>EXPORTAÇÃO</w:t>
      </w:r>
      <w:r w:rsidRPr="00395593">
        <w:rPr>
          <w:rFonts w:ascii="Garamond" w:eastAsia="Times New Roman" w:hAnsi="Garamond" w:cs="Times New Roman"/>
          <w:b/>
          <w:spacing w:val="-2"/>
          <w:sz w:val="24"/>
        </w:rPr>
        <w:t xml:space="preserve"> </w:t>
      </w:r>
      <w:r w:rsidRPr="00395593">
        <w:rPr>
          <w:rFonts w:ascii="Garamond" w:eastAsia="Times New Roman" w:hAnsi="Garamond" w:cs="Times New Roman"/>
          <w:b/>
          <w:sz w:val="24"/>
        </w:rPr>
        <w:t>NOS</w:t>
      </w:r>
      <w:r w:rsidRPr="00395593">
        <w:rPr>
          <w:rFonts w:ascii="Garamond" w:eastAsia="Times New Roman" w:hAnsi="Garamond" w:cs="Times New Roman"/>
          <w:b/>
          <w:spacing w:val="-3"/>
          <w:sz w:val="24"/>
        </w:rPr>
        <w:t xml:space="preserve"> </w:t>
      </w:r>
      <w:r w:rsidRPr="00395593">
        <w:rPr>
          <w:rFonts w:ascii="Garamond" w:eastAsia="Times New Roman" w:hAnsi="Garamond" w:cs="Times New Roman"/>
          <w:b/>
          <w:sz w:val="24"/>
        </w:rPr>
        <w:t>CASOS</w:t>
      </w:r>
      <w:r w:rsidRPr="00395593">
        <w:rPr>
          <w:rFonts w:ascii="Garamond" w:eastAsia="Times New Roman" w:hAnsi="Garamond" w:cs="Times New Roman"/>
          <w:b/>
          <w:spacing w:val="-3"/>
          <w:sz w:val="24"/>
        </w:rPr>
        <w:t xml:space="preserve"> </w:t>
      </w:r>
      <w:r w:rsidRPr="00395593">
        <w:rPr>
          <w:rFonts w:ascii="Garamond" w:eastAsia="Times New Roman" w:hAnsi="Garamond" w:cs="Times New Roman"/>
          <w:b/>
          <w:sz w:val="24"/>
        </w:rPr>
        <w:t>DE</w:t>
      </w:r>
      <w:r w:rsidRPr="00395593">
        <w:rPr>
          <w:rFonts w:ascii="Garamond" w:eastAsia="Times New Roman" w:hAnsi="Garamond" w:cs="Times New Roman"/>
          <w:b/>
          <w:spacing w:val="-4"/>
          <w:sz w:val="24"/>
        </w:rPr>
        <w:t xml:space="preserve"> </w:t>
      </w:r>
      <w:r w:rsidRPr="00395593">
        <w:rPr>
          <w:rFonts w:ascii="Garamond" w:eastAsia="Times New Roman" w:hAnsi="Garamond" w:cs="Times New Roman"/>
          <w:b/>
          <w:sz w:val="24"/>
        </w:rPr>
        <w:t>SUBSTITUIÇÃO</w:t>
      </w:r>
    </w:p>
    <w:p w14:paraId="1C5C8EE6"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25E2E0A7" w14:textId="77777777" w:rsidR="00CB6C86" w:rsidRPr="00395593" w:rsidRDefault="00CB6C86" w:rsidP="00CB6C86">
      <w:pPr>
        <w:widowControl w:val="0"/>
        <w:autoSpaceDE w:val="0"/>
        <w:autoSpaceDN w:val="0"/>
        <w:spacing w:after="0" w:line="240" w:lineRule="auto"/>
        <w:ind w:right="17"/>
        <w:jc w:val="center"/>
        <w:rPr>
          <w:rFonts w:ascii="Garamond" w:eastAsia="Times New Roman" w:hAnsi="Garamond" w:cs="Times New Roman"/>
          <w:sz w:val="24"/>
        </w:rPr>
      </w:pPr>
      <w:r w:rsidRPr="00395593">
        <w:rPr>
          <w:rFonts w:ascii="Garamond" w:eastAsia="Times New Roman" w:hAnsi="Garamond" w:cs="Times New Roman"/>
          <w:w w:val="99"/>
          <w:sz w:val="24"/>
        </w:rPr>
        <w:t>I</w:t>
      </w:r>
    </w:p>
    <w:p w14:paraId="0BD12B02"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726B9203" w14:textId="77777777" w:rsidR="00CB6C86" w:rsidRPr="00395593" w:rsidRDefault="00CB6C86" w:rsidP="00CB6C86">
      <w:pPr>
        <w:widowControl w:val="0"/>
        <w:autoSpaceDE w:val="0"/>
        <w:autoSpaceDN w:val="0"/>
        <w:spacing w:after="0" w:line="240" w:lineRule="auto"/>
        <w:ind w:right="115"/>
        <w:jc w:val="both"/>
        <w:rPr>
          <w:rFonts w:ascii="Garamond" w:eastAsia="Times New Roman" w:hAnsi="Garamond" w:cs="Times New Roman"/>
          <w:sz w:val="24"/>
          <w:szCs w:val="24"/>
        </w:rPr>
      </w:pPr>
      <w:r w:rsidRPr="00395593">
        <w:rPr>
          <w:rFonts w:ascii="Garamond" w:eastAsia="Times New Roman" w:hAnsi="Garamond" w:cs="Times New Roman"/>
          <w:sz w:val="24"/>
          <w:szCs w:val="24"/>
        </w:rPr>
        <w:t>Sistemas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devolução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podem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permitir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reembolso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ou</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devolução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direitos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importação sobre insumos consumidos no fabrico de outro produto quando a exportação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deste último contenha insumos nacionais com a mesma qualidade e características daqueles</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importados que substituem. De acordo com o parágrafo (i) da Lista Ilustrativa de Subsídios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à Exportação do Anexo I, os sistemas de devolução por substituição podem constituir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subsídio à exportação na medida em que resultem em excesso de devolução de direitos 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importação inicialmente aplicado sobre os insumos importados com relação aos quais se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esteja</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pedindo a devolução.</w:t>
      </w:r>
    </w:p>
    <w:p w14:paraId="23CD7653"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4"/>
          <w:szCs w:val="24"/>
        </w:rPr>
      </w:pPr>
    </w:p>
    <w:p w14:paraId="1C412419" w14:textId="77777777" w:rsidR="00CB6C86" w:rsidRPr="00395593" w:rsidRDefault="00CB6C86" w:rsidP="00E33E26">
      <w:pPr>
        <w:widowControl w:val="0"/>
        <w:autoSpaceDE w:val="0"/>
        <w:autoSpaceDN w:val="0"/>
        <w:spacing w:after="0" w:line="240" w:lineRule="auto"/>
        <w:ind w:right="146"/>
        <w:jc w:val="center"/>
        <w:rPr>
          <w:rFonts w:ascii="Garamond" w:eastAsia="Times New Roman" w:hAnsi="Garamond" w:cs="Times New Roman"/>
          <w:sz w:val="24"/>
          <w:szCs w:val="24"/>
        </w:rPr>
      </w:pPr>
      <w:r w:rsidRPr="00395593">
        <w:rPr>
          <w:rFonts w:ascii="Garamond" w:eastAsia="Times New Roman" w:hAnsi="Garamond" w:cs="Times New Roman"/>
          <w:sz w:val="24"/>
          <w:szCs w:val="24"/>
        </w:rPr>
        <w:t>II</w:t>
      </w:r>
    </w:p>
    <w:p w14:paraId="0A1293AD"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05B7F6FE" w14:textId="77777777" w:rsidR="00CB6C86" w:rsidRPr="00395593" w:rsidRDefault="00CB6C86" w:rsidP="00CB6C86">
      <w:pPr>
        <w:widowControl w:val="0"/>
        <w:autoSpaceDE w:val="0"/>
        <w:autoSpaceDN w:val="0"/>
        <w:spacing w:after="0" w:line="240" w:lineRule="auto"/>
        <w:ind w:right="117"/>
        <w:jc w:val="both"/>
        <w:rPr>
          <w:rFonts w:ascii="Garamond" w:eastAsia="Times New Roman" w:hAnsi="Garamond" w:cs="Times New Roman"/>
          <w:sz w:val="24"/>
          <w:szCs w:val="24"/>
        </w:rPr>
      </w:pPr>
      <w:r w:rsidRPr="00395593">
        <w:rPr>
          <w:rFonts w:ascii="Garamond" w:eastAsia="Times New Roman" w:hAnsi="Garamond" w:cs="Times New Roman"/>
          <w:sz w:val="24"/>
          <w:szCs w:val="24"/>
        </w:rPr>
        <w:t>No exame de um sistema de devolução em casos de substituição no contexto 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investigação sobre direitos compensatórios de acordo com este Acordo, as autoridades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investigadoras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deverão proceder da</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seguinte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forma:</w:t>
      </w:r>
    </w:p>
    <w:p w14:paraId="7D8B2904"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0D7027E4" w14:textId="21244F6A" w:rsidR="00CB6C86" w:rsidRPr="005C5CBD" w:rsidRDefault="00CB6C86" w:rsidP="00A667CD">
      <w:pPr>
        <w:widowControl w:val="0"/>
        <w:numPr>
          <w:ilvl w:val="0"/>
          <w:numId w:val="31"/>
        </w:numPr>
        <w:tabs>
          <w:tab w:val="left" w:pos="810"/>
        </w:tabs>
        <w:autoSpaceDE w:val="0"/>
        <w:autoSpaceDN w:val="0"/>
        <w:spacing w:before="1" w:after="0" w:line="240" w:lineRule="auto"/>
        <w:ind w:right="115" w:firstLine="0"/>
        <w:jc w:val="both"/>
        <w:rPr>
          <w:rFonts w:ascii="Garamond" w:eastAsia="Times New Roman" w:hAnsi="Garamond" w:cs="Times New Roman"/>
          <w:sz w:val="24"/>
        </w:rPr>
      </w:pP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Lista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Ilustrativa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estabelece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fabrico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destinado a exportação, poderão ser utilizados insumos do mercado interno em substituição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 insumos importados, desde que sejam em igual quantidade e que os insumos nacionais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tenham a mesma qualidade e características dos insumos importados que estão substituindo.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 existência de sistema ou procedimento de verificação é importante porque permite 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governo</w:t>
      </w:r>
      <w:r w:rsidRPr="00395593">
        <w:rPr>
          <w:rFonts w:ascii="Garamond" w:eastAsia="Times New Roman" w:hAnsi="Garamond" w:cs="Times New Roman"/>
          <w:spacing w:val="17"/>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exportador</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garantir</w:t>
      </w:r>
      <w:r w:rsidRPr="00395593">
        <w:rPr>
          <w:rFonts w:ascii="Garamond" w:eastAsia="Times New Roman" w:hAnsi="Garamond" w:cs="Times New Roman"/>
          <w:spacing w:val="19"/>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demonstrar</w:t>
      </w:r>
      <w:r w:rsidRPr="00395593">
        <w:rPr>
          <w:rFonts w:ascii="Garamond" w:eastAsia="Times New Roman" w:hAnsi="Garamond" w:cs="Times New Roman"/>
          <w:spacing w:val="17"/>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9"/>
          <w:sz w:val="24"/>
        </w:rPr>
        <w:t xml:space="preserve"> </w:t>
      </w:r>
      <w:r w:rsidRPr="00395593">
        <w:rPr>
          <w:rFonts w:ascii="Garamond" w:eastAsia="Times New Roman" w:hAnsi="Garamond" w:cs="Times New Roman"/>
          <w:sz w:val="24"/>
        </w:rPr>
        <w:t>quantidade</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7"/>
          <w:sz w:val="24"/>
        </w:rPr>
        <w:t xml:space="preserve"> </w:t>
      </w:r>
      <w:r w:rsidRPr="00395593">
        <w:rPr>
          <w:rFonts w:ascii="Garamond" w:eastAsia="Times New Roman" w:hAnsi="Garamond" w:cs="Times New Roman"/>
          <w:sz w:val="24"/>
        </w:rPr>
        <w:t>insumos</w:t>
      </w:r>
      <w:r w:rsidRPr="00395593">
        <w:rPr>
          <w:rFonts w:ascii="Garamond" w:eastAsia="Times New Roman" w:hAnsi="Garamond" w:cs="Times New Roman"/>
          <w:spacing w:val="19"/>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9"/>
          <w:sz w:val="24"/>
        </w:rPr>
        <w:t xml:space="preserve"> </w:t>
      </w:r>
      <w:r w:rsidRPr="00395593">
        <w:rPr>
          <w:rFonts w:ascii="Garamond" w:eastAsia="Times New Roman" w:hAnsi="Garamond" w:cs="Times New Roman"/>
          <w:sz w:val="24"/>
        </w:rPr>
        <w:t>quais</w:t>
      </w:r>
      <w:r w:rsidRPr="00395593">
        <w:rPr>
          <w:rFonts w:ascii="Garamond" w:eastAsia="Times New Roman" w:hAnsi="Garamond" w:cs="Times New Roman"/>
          <w:spacing w:val="19"/>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está</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pedindo</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devolução</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excede</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quantidade</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Produtos</w:t>
      </w:r>
      <w:r w:rsidRPr="00395593">
        <w:rPr>
          <w:rFonts w:ascii="Garamond" w:eastAsia="Times New Roman" w:hAnsi="Garamond" w:cs="Times New Roman"/>
          <w:spacing w:val="18"/>
          <w:sz w:val="24"/>
        </w:rPr>
        <w:t xml:space="preserve"> </w:t>
      </w:r>
      <w:r w:rsidRPr="00395593">
        <w:rPr>
          <w:rFonts w:ascii="Garamond" w:eastAsia="Times New Roman" w:hAnsi="Garamond" w:cs="Times New Roman"/>
          <w:sz w:val="24"/>
        </w:rPr>
        <w:t>similares</w:t>
      </w:r>
      <w:r w:rsidR="00A667CD" w:rsidRPr="005C5CBD">
        <w:rPr>
          <w:rFonts w:ascii="Garamond" w:eastAsia="Times New Roman" w:hAnsi="Garamond" w:cs="Times New Roman"/>
          <w:sz w:val="24"/>
        </w:rPr>
        <w:t xml:space="preserve"> </w:t>
      </w:r>
      <w:r w:rsidRPr="00395593">
        <w:rPr>
          <w:rFonts w:ascii="Garamond" w:eastAsia="Times New Roman" w:hAnsi="Garamond" w:cs="Times New Roman"/>
          <w:sz w:val="24"/>
          <w:szCs w:val="24"/>
        </w:rPr>
        <w:t>exportados,</w:t>
      </w:r>
      <w:r w:rsidRPr="00395593">
        <w:rPr>
          <w:rFonts w:ascii="Garamond" w:eastAsia="Times New Roman" w:hAnsi="Garamond" w:cs="Times New Roman"/>
          <w:spacing w:val="14"/>
          <w:sz w:val="24"/>
          <w:szCs w:val="24"/>
        </w:rPr>
        <w:t xml:space="preserve"> </w:t>
      </w:r>
      <w:r w:rsidRPr="00395593">
        <w:rPr>
          <w:rFonts w:ascii="Garamond" w:eastAsia="Times New Roman" w:hAnsi="Garamond" w:cs="Times New Roman"/>
          <w:sz w:val="24"/>
          <w:szCs w:val="24"/>
        </w:rPr>
        <w:t>sob</w:t>
      </w:r>
      <w:r w:rsidRPr="00395593">
        <w:rPr>
          <w:rFonts w:ascii="Garamond" w:eastAsia="Times New Roman" w:hAnsi="Garamond" w:cs="Times New Roman"/>
          <w:spacing w:val="14"/>
          <w:sz w:val="24"/>
          <w:szCs w:val="24"/>
        </w:rPr>
        <w:t xml:space="preserve"> </w:t>
      </w:r>
      <w:r w:rsidRPr="00395593">
        <w:rPr>
          <w:rFonts w:ascii="Garamond" w:eastAsia="Times New Roman" w:hAnsi="Garamond" w:cs="Times New Roman"/>
          <w:sz w:val="24"/>
          <w:szCs w:val="24"/>
        </w:rPr>
        <w:t>qualquer</w:t>
      </w:r>
      <w:r w:rsidRPr="00395593">
        <w:rPr>
          <w:rFonts w:ascii="Garamond" w:eastAsia="Times New Roman" w:hAnsi="Garamond" w:cs="Times New Roman"/>
          <w:spacing w:val="12"/>
          <w:sz w:val="24"/>
          <w:szCs w:val="24"/>
        </w:rPr>
        <w:t xml:space="preserve"> </w:t>
      </w:r>
      <w:r w:rsidRPr="00395593">
        <w:rPr>
          <w:rFonts w:ascii="Garamond" w:eastAsia="Times New Roman" w:hAnsi="Garamond" w:cs="Times New Roman"/>
          <w:sz w:val="24"/>
          <w:szCs w:val="24"/>
        </w:rPr>
        <w:t>forma,</w:t>
      </w:r>
      <w:r w:rsidRPr="00395593">
        <w:rPr>
          <w:rFonts w:ascii="Garamond" w:eastAsia="Times New Roman" w:hAnsi="Garamond" w:cs="Times New Roman"/>
          <w:spacing w:val="14"/>
          <w:sz w:val="24"/>
          <w:szCs w:val="24"/>
        </w:rPr>
        <w:t xml:space="preserve"> </w:t>
      </w:r>
      <w:r w:rsidRPr="00395593">
        <w:rPr>
          <w:rFonts w:ascii="Garamond" w:eastAsia="Times New Roman" w:hAnsi="Garamond" w:cs="Times New Roman"/>
          <w:sz w:val="24"/>
          <w:szCs w:val="24"/>
        </w:rPr>
        <w:t>e</w:t>
      </w:r>
      <w:r w:rsidRPr="00395593">
        <w:rPr>
          <w:rFonts w:ascii="Garamond" w:eastAsia="Times New Roman" w:hAnsi="Garamond" w:cs="Times New Roman"/>
          <w:spacing w:val="13"/>
          <w:sz w:val="24"/>
          <w:szCs w:val="24"/>
        </w:rPr>
        <w:t xml:space="preserve"> </w:t>
      </w:r>
      <w:r w:rsidRPr="00395593">
        <w:rPr>
          <w:rFonts w:ascii="Garamond" w:eastAsia="Times New Roman" w:hAnsi="Garamond" w:cs="Times New Roman"/>
          <w:sz w:val="24"/>
          <w:szCs w:val="24"/>
        </w:rPr>
        <w:t>que</w:t>
      </w:r>
      <w:r w:rsidRPr="00395593">
        <w:rPr>
          <w:rFonts w:ascii="Garamond" w:eastAsia="Times New Roman" w:hAnsi="Garamond" w:cs="Times New Roman"/>
          <w:spacing w:val="13"/>
          <w:sz w:val="24"/>
          <w:szCs w:val="24"/>
        </w:rPr>
        <w:t xml:space="preserve"> </w:t>
      </w:r>
      <w:r w:rsidRPr="00395593">
        <w:rPr>
          <w:rFonts w:ascii="Garamond" w:eastAsia="Times New Roman" w:hAnsi="Garamond" w:cs="Times New Roman"/>
          <w:sz w:val="24"/>
          <w:szCs w:val="24"/>
        </w:rPr>
        <w:t>não</w:t>
      </w:r>
      <w:r w:rsidRPr="00395593">
        <w:rPr>
          <w:rFonts w:ascii="Garamond" w:eastAsia="Times New Roman" w:hAnsi="Garamond" w:cs="Times New Roman"/>
          <w:spacing w:val="14"/>
          <w:sz w:val="24"/>
          <w:szCs w:val="24"/>
        </w:rPr>
        <w:t xml:space="preserve"> </w:t>
      </w:r>
      <w:r w:rsidRPr="00395593">
        <w:rPr>
          <w:rFonts w:ascii="Garamond" w:eastAsia="Times New Roman" w:hAnsi="Garamond" w:cs="Times New Roman"/>
          <w:sz w:val="24"/>
          <w:szCs w:val="24"/>
        </w:rPr>
        <w:t>esta</w:t>
      </w:r>
      <w:r w:rsidRPr="00395593">
        <w:rPr>
          <w:rFonts w:ascii="Garamond" w:eastAsia="Times New Roman" w:hAnsi="Garamond" w:cs="Times New Roman"/>
          <w:spacing w:val="13"/>
          <w:sz w:val="24"/>
          <w:szCs w:val="24"/>
        </w:rPr>
        <w:t xml:space="preserve"> </w:t>
      </w:r>
      <w:r w:rsidRPr="00395593">
        <w:rPr>
          <w:rFonts w:ascii="Garamond" w:eastAsia="Times New Roman" w:hAnsi="Garamond" w:cs="Times New Roman"/>
          <w:sz w:val="24"/>
          <w:szCs w:val="24"/>
        </w:rPr>
        <w:t>ocorrendo</w:t>
      </w:r>
      <w:r w:rsidRPr="00395593">
        <w:rPr>
          <w:rFonts w:ascii="Garamond" w:eastAsia="Times New Roman" w:hAnsi="Garamond" w:cs="Times New Roman"/>
          <w:spacing w:val="14"/>
          <w:sz w:val="24"/>
          <w:szCs w:val="24"/>
        </w:rPr>
        <w:t xml:space="preserve"> </w:t>
      </w:r>
      <w:r w:rsidRPr="00395593">
        <w:rPr>
          <w:rFonts w:ascii="Garamond" w:eastAsia="Times New Roman" w:hAnsi="Garamond" w:cs="Times New Roman"/>
          <w:sz w:val="24"/>
          <w:szCs w:val="24"/>
        </w:rPr>
        <w:t>devolução</w:t>
      </w:r>
      <w:r w:rsidRPr="00395593">
        <w:rPr>
          <w:rFonts w:ascii="Garamond" w:eastAsia="Times New Roman" w:hAnsi="Garamond" w:cs="Times New Roman"/>
          <w:spacing w:val="14"/>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13"/>
          <w:sz w:val="24"/>
          <w:szCs w:val="24"/>
        </w:rPr>
        <w:t xml:space="preserve"> </w:t>
      </w:r>
      <w:r w:rsidRPr="00395593">
        <w:rPr>
          <w:rFonts w:ascii="Garamond" w:eastAsia="Times New Roman" w:hAnsi="Garamond" w:cs="Times New Roman"/>
          <w:sz w:val="24"/>
          <w:szCs w:val="24"/>
        </w:rPr>
        <w:t>direitos</w:t>
      </w:r>
      <w:r w:rsidRPr="00395593">
        <w:rPr>
          <w:rFonts w:ascii="Garamond" w:eastAsia="Times New Roman" w:hAnsi="Garamond" w:cs="Times New Roman"/>
          <w:spacing w:val="14"/>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importação</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além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daqueles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originalmente aplicados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sobre</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sz w:val="24"/>
          <w:szCs w:val="24"/>
        </w:rPr>
        <w:t>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insumos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importados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causa.</w:t>
      </w:r>
    </w:p>
    <w:p w14:paraId="22B72122" w14:textId="15136FE2" w:rsidR="00CB6C86" w:rsidRPr="00395593" w:rsidRDefault="00AB124B">
      <w:pPr>
        <w:rPr>
          <w:rFonts w:ascii="Garamond" w:eastAsia="Times New Roman" w:hAnsi="Garamond" w:cs="Times New Roman"/>
          <w:sz w:val="24"/>
          <w:szCs w:val="24"/>
        </w:rPr>
      </w:pPr>
      <w:r>
        <w:rPr>
          <w:rFonts w:ascii="Garamond" w:eastAsia="Times New Roman" w:hAnsi="Garamond" w:cs="Times New Roman"/>
          <w:sz w:val="24"/>
          <w:szCs w:val="24"/>
        </w:rPr>
        <w:br w:type="page"/>
      </w:r>
    </w:p>
    <w:p w14:paraId="667EDDE1" w14:textId="77777777" w:rsidR="00CB6C86" w:rsidRPr="00395593" w:rsidRDefault="00CB6C86" w:rsidP="002C4340">
      <w:pPr>
        <w:widowControl w:val="0"/>
        <w:numPr>
          <w:ilvl w:val="0"/>
          <w:numId w:val="31"/>
        </w:numPr>
        <w:tabs>
          <w:tab w:val="left" w:pos="810"/>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Quando se alegar que um sistema de devolução por substituição implica subsídio, as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autoridades investigadoras deverão, primeiramente, buscar determinar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 o governo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prevê</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aplica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sistema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procedimento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verificação.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caso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positivo,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investigadoras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passarão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examinar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procedimentos</w:t>
      </w:r>
      <w:r w:rsidRPr="00395593">
        <w:rPr>
          <w:rFonts w:ascii="Garamond" w:eastAsia="Times New Roman" w:hAnsi="Garamond" w:cs="Times New Roman"/>
          <w:spacing w:val="6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verificação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estabelecer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mesmos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razoáveis,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eficazes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alcançar</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objetivos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colimados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baseados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práticas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comerciais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geralmente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aceitas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país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exportação. Na medida em que se determine no que os procedimentos preenchem estes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requisitos e são efetivamente l aplicados, não se presumirá a existência de subsídio. Poderá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vir a ser julgado necessário ´pelas autoridades realizar, de acordo com o parágrafo 8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 12, alguns exames práticos para verificar informações ou para certificar-se de que os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procedimentos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efetivamente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sendo aplicados.</w:t>
      </w:r>
    </w:p>
    <w:p w14:paraId="2C12FA59"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4"/>
          <w:szCs w:val="24"/>
        </w:rPr>
      </w:pPr>
    </w:p>
    <w:p w14:paraId="6F1AFA9A" w14:textId="77777777" w:rsidR="00CB6C86" w:rsidRPr="00395593" w:rsidRDefault="00CB6C86" w:rsidP="002C4340">
      <w:pPr>
        <w:widowControl w:val="0"/>
        <w:numPr>
          <w:ilvl w:val="0"/>
          <w:numId w:val="31"/>
        </w:numPr>
        <w:tabs>
          <w:tab w:val="left" w:pos="810"/>
        </w:tabs>
        <w:autoSpaceDE w:val="0"/>
        <w:autoSpaceDN w:val="0"/>
        <w:spacing w:after="0" w:line="240" w:lineRule="auto"/>
        <w:ind w:right="120" w:firstLine="0"/>
        <w:jc w:val="both"/>
        <w:rPr>
          <w:rFonts w:ascii="Garamond" w:eastAsia="Times New Roman" w:hAnsi="Garamond" w:cs="Times New Roman"/>
          <w:sz w:val="24"/>
        </w:rPr>
      </w:pPr>
      <w:r w:rsidRPr="00395593">
        <w:rPr>
          <w:rFonts w:ascii="Garamond" w:eastAsia="Times New Roman" w:hAnsi="Garamond" w:cs="Times New Roman"/>
          <w:sz w:val="24"/>
        </w:rPr>
        <w:t>Quando não houver procedimentos de verificação, ou quando os mesmos não forem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razoáveis, ou ainda, quando tais procedimentos existirem e forem considerados razoáveis,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mas não estejam sendo aplicados de fato eficazmente, poderá haver subsídio. Em tais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situações será preciso que o país exportador realize novo exame com base nas transações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questão 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determinar 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foi feito pagamento excessivo. Se as 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investigadoras julgarem necessário, exame adicional poderia ser realizado de acordo com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2.</w:t>
      </w:r>
    </w:p>
    <w:p w14:paraId="790CD0B7"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7BAFF689" w14:textId="77777777" w:rsidR="00CB6C86" w:rsidRPr="00395593" w:rsidRDefault="00CB6C86" w:rsidP="00CB6C86">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ANEXO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lV</w:t>
      </w:r>
    </w:p>
    <w:p w14:paraId="2891E1ED"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23293E15" w14:textId="77777777" w:rsidR="003B2CAE" w:rsidRPr="00395593" w:rsidRDefault="00CB6C86" w:rsidP="003B2CAE">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CÁLCULO</w:t>
      </w:r>
      <w:r w:rsidRPr="00395593">
        <w:rPr>
          <w:rFonts w:ascii="Garamond" w:eastAsia="Times New Roman" w:hAnsi="Garamond" w:cs="Times New Roman"/>
          <w:b/>
          <w:spacing w:val="-3"/>
          <w:sz w:val="24"/>
          <w:szCs w:val="24"/>
        </w:rPr>
        <w:t xml:space="preserve"> </w:t>
      </w:r>
      <w:r w:rsidRPr="00395593">
        <w:rPr>
          <w:rFonts w:ascii="Garamond" w:eastAsia="Times New Roman" w:hAnsi="Garamond" w:cs="Times New Roman"/>
          <w:b/>
          <w:sz w:val="24"/>
          <w:szCs w:val="24"/>
        </w:rPr>
        <w:t>DO TOTAL DO SUBSÍDIO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AD</w:t>
      </w:r>
      <w:r w:rsidRPr="00395593">
        <w:rPr>
          <w:rFonts w:ascii="Garamond" w:eastAsia="Times New Roman" w:hAnsi="Garamond" w:cs="Times New Roman"/>
          <w:b/>
          <w:spacing w:val="-4"/>
          <w:sz w:val="24"/>
          <w:szCs w:val="24"/>
        </w:rPr>
        <w:t xml:space="preserve"> </w:t>
      </w:r>
      <w:r w:rsidRPr="00395593">
        <w:rPr>
          <w:rFonts w:ascii="Garamond" w:eastAsia="Times New Roman" w:hAnsi="Garamond" w:cs="Times New Roman"/>
          <w:b/>
          <w:sz w:val="24"/>
          <w:szCs w:val="24"/>
        </w:rPr>
        <w:t>VALOREM</w:t>
      </w:r>
    </w:p>
    <w:p w14:paraId="7F951A2F" w14:textId="06DB3913" w:rsidR="00CB6C86" w:rsidRPr="00395593" w:rsidRDefault="00CB6C86" w:rsidP="003B2CAE">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pacing w:val="-57"/>
          <w:sz w:val="24"/>
          <w:szCs w:val="24"/>
        </w:rPr>
        <w:t xml:space="preserve"> </w:t>
      </w:r>
      <w:r w:rsidRPr="00395593">
        <w:rPr>
          <w:rFonts w:ascii="Garamond" w:eastAsia="Times New Roman" w:hAnsi="Garamond" w:cs="Times New Roman"/>
          <w:b/>
          <w:sz w:val="24"/>
          <w:szCs w:val="24"/>
        </w:rPr>
        <w:t>(PARÁGRAFO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1 (A)</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DO ARETIGO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 xml:space="preserve">6) </w:t>
      </w:r>
      <w:r w:rsidRPr="00395593">
        <w:rPr>
          <w:rFonts w:ascii="Garamond" w:eastAsia="Times New Roman" w:hAnsi="Garamond" w:cs="Times New Roman"/>
          <w:b/>
          <w:sz w:val="24"/>
          <w:szCs w:val="24"/>
          <w:vertAlign w:val="superscript"/>
        </w:rPr>
        <w:t>62</w:t>
      </w:r>
    </w:p>
    <w:p w14:paraId="161A7C28"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4"/>
          <w:szCs w:val="24"/>
        </w:rPr>
      </w:pPr>
    </w:p>
    <w:p w14:paraId="1119C068" w14:textId="77777777" w:rsidR="00CB6C86" w:rsidRPr="00395593" w:rsidRDefault="00CB6C86" w:rsidP="002C4340">
      <w:pPr>
        <w:widowControl w:val="0"/>
        <w:numPr>
          <w:ilvl w:val="0"/>
          <w:numId w:val="30"/>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Qualquer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cálculo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estabelecer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montante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fins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1</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6 será</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efetuado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nos termos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custo para</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governo outorgante.</w:t>
      </w:r>
    </w:p>
    <w:p w14:paraId="23F72043"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5A9D72F2" w14:textId="77777777" w:rsidR="00CB6C86" w:rsidRPr="00395593" w:rsidRDefault="00CB6C86" w:rsidP="002C4340">
      <w:pPr>
        <w:widowControl w:val="0"/>
        <w:numPr>
          <w:ilvl w:val="0"/>
          <w:numId w:val="30"/>
        </w:numPr>
        <w:tabs>
          <w:tab w:val="left" w:pos="810"/>
        </w:tabs>
        <w:autoSpaceDE w:val="0"/>
        <w:autoSpaceDN w:val="0"/>
        <w:spacing w:after="0" w:line="240" w:lineRule="auto"/>
        <w:ind w:right="118" w:firstLine="0"/>
        <w:jc w:val="both"/>
        <w:rPr>
          <w:rFonts w:ascii="Garamond" w:eastAsia="Times New Roman" w:hAnsi="Garamond" w:cs="Times New Roman"/>
          <w:sz w:val="24"/>
        </w:rPr>
      </w:pPr>
      <w:r w:rsidRPr="00395593">
        <w:rPr>
          <w:rFonts w:ascii="Garamond" w:eastAsia="Times New Roman" w:hAnsi="Garamond" w:cs="Times New Roman"/>
          <w:sz w:val="24"/>
        </w:rPr>
        <w:t>Salvo o disposto nos parágrafos 3 a 5, no cálculo para determinar se a taxa global de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subsídio excede 5 por cento do valor do produto, este valor será calculado como o valor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total das vendas da empresa recebedora </w:t>
      </w:r>
      <w:r w:rsidRPr="00395593">
        <w:rPr>
          <w:rFonts w:ascii="Garamond" w:eastAsia="Times New Roman" w:hAnsi="Garamond" w:cs="Times New Roman"/>
          <w:sz w:val="24"/>
          <w:vertAlign w:val="superscript"/>
        </w:rPr>
        <w:t>63</w:t>
      </w:r>
      <w:r w:rsidRPr="00395593">
        <w:rPr>
          <w:rFonts w:ascii="Garamond" w:eastAsia="Times New Roman" w:hAnsi="Garamond" w:cs="Times New Roman"/>
          <w:sz w:val="24"/>
        </w:rPr>
        <w:t xml:space="preserve"> no mais recente período de 12 meses sobre o qual</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disponha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anterior ao período no qual o subsidio tenha</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sido concedido</w:t>
      </w:r>
      <w:r w:rsidRPr="00395593">
        <w:rPr>
          <w:rFonts w:ascii="Garamond" w:eastAsia="Times New Roman" w:hAnsi="Garamond" w:cs="Times New Roman"/>
          <w:spacing w:val="4"/>
          <w:sz w:val="24"/>
        </w:rPr>
        <w:t xml:space="preserve"> </w:t>
      </w:r>
      <w:r w:rsidRPr="00395593">
        <w:rPr>
          <w:rFonts w:ascii="Garamond" w:eastAsia="Times New Roman" w:hAnsi="Garamond" w:cs="Times New Roman"/>
          <w:sz w:val="24"/>
          <w:vertAlign w:val="superscript"/>
        </w:rPr>
        <w:t>64</w:t>
      </w:r>
      <w:r w:rsidRPr="00395593">
        <w:rPr>
          <w:rFonts w:ascii="Garamond" w:eastAsia="Times New Roman" w:hAnsi="Garamond" w:cs="Times New Roman"/>
          <w:sz w:val="24"/>
        </w:rPr>
        <w:t>.</w:t>
      </w:r>
    </w:p>
    <w:p w14:paraId="654F8820"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37262824" w14:textId="7681970E" w:rsidR="00CB6C86" w:rsidRPr="00395593" w:rsidRDefault="00CB6C86" w:rsidP="002C4340">
      <w:pPr>
        <w:widowControl w:val="0"/>
        <w:numPr>
          <w:ilvl w:val="0"/>
          <w:numId w:val="30"/>
        </w:numPr>
        <w:tabs>
          <w:tab w:val="left" w:pos="810"/>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Quando o subsídio estiver relacionado com a produção ou venda de determinado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 o valor deste será calculado como o valor total das vendas daquele produto pela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firma</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recebedora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mais  recente</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período</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12</w:t>
      </w:r>
      <w:r w:rsidRPr="00395593">
        <w:rPr>
          <w:rFonts w:ascii="Garamond" w:eastAsia="Times New Roman" w:hAnsi="Garamond" w:cs="Times New Roman"/>
          <w:spacing w:val="59"/>
          <w:sz w:val="24"/>
        </w:rPr>
        <w:t xml:space="preserve"> </w:t>
      </w:r>
      <w:r w:rsidRPr="00395593">
        <w:rPr>
          <w:rFonts w:ascii="Garamond" w:eastAsia="Times New Roman" w:hAnsi="Garamond" w:cs="Times New Roman"/>
          <w:sz w:val="24"/>
        </w:rPr>
        <w:t>meses</w:t>
      </w:r>
      <w:r w:rsidRPr="00395593">
        <w:rPr>
          <w:rFonts w:ascii="Garamond" w:eastAsia="Times New Roman" w:hAnsi="Garamond" w:cs="Times New Roman"/>
          <w:spacing w:val="59"/>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os  quais</w:t>
      </w:r>
      <w:r w:rsidRPr="00395593">
        <w:rPr>
          <w:rFonts w:ascii="Garamond" w:eastAsia="Times New Roman" w:hAnsi="Garamond" w:cs="Times New Roman"/>
          <w:spacing w:val="59"/>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disponha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informações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sobre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as vendas antes do período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qual o subsídio tenha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concedido.</w:t>
      </w:r>
    </w:p>
    <w:p w14:paraId="4B0FB60B" w14:textId="77777777" w:rsidR="00AB124B" w:rsidRDefault="00AB124B" w:rsidP="00AB124B">
      <w:pPr>
        <w:pStyle w:val="PargrafodaLista"/>
        <w:rPr>
          <w:rFonts w:ascii="Garamond" w:eastAsia="Times New Roman" w:hAnsi="Garamond" w:cs="Times New Roman"/>
          <w:sz w:val="24"/>
        </w:rPr>
      </w:pPr>
    </w:p>
    <w:p w14:paraId="648CF0C4" w14:textId="665F5119" w:rsidR="00AB124B" w:rsidRDefault="00AB124B" w:rsidP="00AB124B">
      <w:pPr>
        <w:widowControl w:val="0"/>
        <w:tabs>
          <w:tab w:val="left" w:pos="810"/>
        </w:tabs>
        <w:autoSpaceDE w:val="0"/>
        <w:autoSpaceDN w:val="0"/>
        <w:spacing w:after="0" w:line="240" w:lineRule="auto"/>
        <w:ind w:left="102" w:right="117"/>
        <w:jc w:val="both"/>
        <w:rPr>
          <w:rFonts w:ascii="Garamond" w:eastAsia="Times New Roman" w:hAnsi="Garamond" w:cs="Times New Roman"/>
          <w:sz w:val="24"/>
        </w:rPr>
      </w:pPr>
    </w:p>
    <w:p w14:paraId="71B70F6F" w14:textId="4D10AB34" w:rsidR="00AB124B" w:rsidRDefault="00AB124B" w:rsidP="00AB124B">
      <w:pPr>
        <w:widowControl w:val="0"/>
        <w:tabs>
          <w:tab w:val="left" w:pos="810"/>
        </w:tabs>
        <w:autoSpaceDE w:val="0"/>
        <w:autoSpaceDN w:val="0"/>
        <w:spacing w:after="0" w:line="240" w:lineRule="auto"/>
        <w:ind w:left="102" w:right="117"/>
        <w:jc w:val="both"/>
        <w:rPr>
          <w:rFonts w:ascii="Garamond" w:eastAsia="Times New Roman" w:hAnsi="Garamond" w:cs="Times New Roman"/>
          <w:sz w:val="24"/>
        </w:rPr>
      </w:pPr>
    </w:p>
    <w:p w14:paraId="1384C994" w14:textId="57EFC93F" w:rsidR="00AB124B" w:rsidRDefault="00AB124B" w:rsidP="00AB124B">
      <w:pPr>
        <w:widowControl w:val="0"/>
        <w:tabs>
          <w:tab w:val="left" w:pos="810"/>
        </w:tabs>
        <w:autoSpaceDE w:val="0"/>
        <w:autoSpaceDN w:val="0"/>
        <w:spacing w:after="0" w:line="240" w:lineRule="auto"/>
        <w:ind w:left="102" w:right="117"/>
        <w:jc w:val="both"/>
        <w:rPr>
          <w:rFonts w:ascii="Garamond" w:eastAsia="Times New Roman" w:hAnsi="Garamond" w:cs="Times New Roman"/>
          <w:sz w:val="24"/>
        </w:rPr>
      </w:pPr>
    </w:p>
    <w:p w14:paraId="25085D5D" w14:textId="73088982" w:rsidR="00AB124B" w:rsidRDefault="00AB124B" w:rsidP="00AB124B">
      <w:pPr>
        <w:widowControl w:val="0"/>
        <w:tabs>
          <w:tab w:val="left" w:pos="810"/>
        </w:tabs>
        <w:autoSpaceDE w:val="0"/>
        <w:autoSpaceDN w:val="0"/>
        <w:spacing w:after="0" w:line="240" w:lineRule="auto"/>
        <w:ind w:left="102" w:right="117"/>
        <w:jc w:val="both"/>
        <w:rPr>
          <w:rFonts w:ascii="Garamond" w:eastAsia="Times New Roman" w:hAnsi="Garamond" w:cs="Times New Roman"/>
          <w:sz w:val="24"/>
        </w:rPr>
      </w:pPr>
    </w:p>
    <w:p w14:paraId="29903D82" w14:textId="77777777" w:rsidR="00AB124B" w:rsidRPr="005C5CBD" w:rsidRDefault="00AB124B" w:rsidP="00AB124B">
      <w:pPr>
        <w:widowControl w:val="0"/>
        <w:tabs>
          <w:tab w:val="left" w:pos="810"/>
        </w:tabs>
        <w:autoSpaceDE w:val="0"/>
        <w:autoSpaceDN w:val="0"/>
        <w:spacing w:after="0" w:line="240" w:lineRule="auto"/>
        <w:ind w:left="102" w:right="117"/>
        <w:jc w:val="both"/>
        <w:rPr>
          <w:rFonts w:ascii="Garamond" w:eastAsia="Times New Roman" w:hAnsi="Garamond" w:cs="Times New Roman"/>
          <w:sz w:val="24"/>
        </w:rPr>
      </w:pPr>
    </w:p>
    <w:p w14:paraId="4DDEB1DD" w14:textId="05F582C9" w:rsidR="00CB6C86" w:rsidRPr="00395593" w:rsidRDefault="00CB6C86" w:rsidP="00CB6C86">
      <w:pPr>
        <w:widowControl w:val="0"/>
        <w:autoSpaceDE w:val="0"/>
        <w:autoSpaceDN w:val="0"/>
        <w:spacing w:before="1" w:after="0" w:line="240" w:lineRule="auto"/>
        <w:rPr>
          <w:rFonts w:ascii="Garamond" w:eastAsia="Times New Roman" w:hAnsi="Garamond" w:cs="Times New Roman"/>
          <w:sz w:val="19"/>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87" behindDoc="1" locked="0" layoutInCell="1" allowOverlap="1" wp14:anchorId="3C191A1B" wp14:editId="1C4E6140">
                <wp:simplePos x="0" y="0"/>
                <wp:positionH relativeFrom="page">
                  <wp:posOffset>1080770</wp:posOffset>
                </wp:positionH>
                <wp:positionV relativeFrom="paragraph">
                  <wp:posOffset>154940</wp:posOffset>
                </wp:positionV>
                <wp:extent cx="1828800" cy="7620"/>
                <wp:effectExtent l="4445" t="1905" r="0" b="0"/>
                <wp:wrapTopAndBottom/>
                <wp:docPr id="406" name="Retângulo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29CE1" id="Retângulo 406" o:spid="_x0000_s1026" style="position:absolute;margin-left:85.1pt;margin-top:12.2pt;width:2in;height:.6pt;z-index:-2516581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i4gA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" fillcolor="black" stroked="f">
                <w10:wrap type="topAndBottom" anchorx="page"/>
              </v:rect>
            </w:pict>
          </mc:Fallback>
        </mc:AlternateContent>
      </w:r>
    </w:p>
    <w:p w14:paraId="735A3B61" w14:textId="77777777" w:rsidR="00CB6C86" w:rsidRPr="00D84825" w:rsidRDefault="00CB6C86" w:rsidP="00CB6C86">
      <w:pPr>
        <w:widowControl w:val="0"/>
        <w:autoSpaceDE w:val="0"/>
        <w:autoSpaceDN w:val="0"/>
        <w:spacing w:before="103" w:after="0" w:line="240" w:lineRule="auto"/>
        <w:ind w:right="123"/>
        <w:jc w:val="both"/>
        <w:rPr>
          <w:rFonts w:ascii="Garamond" w:eastAsia="Times New Roman" w:hAnsi="Garamond" w:cs="Times New Roman"/>
          <w:sz w:val="20"/>
        </w:rPr>
      </w:pPr>
      <w:r w:rsidRPr="00D84825">
        <w:rPr>
          <w:rFonts w:ascii="Garamond" w:eastAsia="Times New Roman" w:hAnsi="Garamond" w:cs="Times New Roman"/>
          <w:sz w:val="20"/>
          <w:vertAlign w:val="superscript"/>
        </w:rPr>
        <w:t>62</w:t>
      </w:r>
      <w:r w:rsidRPr="00D84825">
        <w:rPr>
          <w:rFonts w:ascii="Garamond" w:eastAsia="Times New Roman" w:hAnsi="Garamond" w:cs="Times New Roman"/>
          <w:sz w:val="20"/>
        </w:rPr>
        <w:t xml:space="preserve"> Na medida em que haja necessidade, deverá estabelecer-se entendimento entre os Membros sobre questões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que não se especificam neste Anexo ou que requeiram maior esclarecimento para fins do parágrafo 1 (a) do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Artigo 6.</w:t>
      </w:r>
    </w:p>
    <w:p w14:paraId="67A4FF1B" w14:textId="77777777" w:rsidR="00CB6C86" w:rsidRPr="00D84825" w:rsidRDefault="00CB6C86" w:rsidP="00CB6C86">
      <w:pPr>
        <w:widowControl w:val="0"/>
        <w:autoSpaceDE w:val="0"/>
        <w:autoSpaceDN w:val="0"/>
        <w:spacing w:after="0" w:line="229" w:lineRule="exact"/>
        <w:jc w:val="both"/>
        <w:rPr>
          <w:rFonts w:ascii="Garamond" w:eastAsia="Times New Roman" w:hAnsi="Garamond" w:cs="Times New Roman"/>
          <w:sz w:val="20"/>
        </w:rPr>
      </w:pPr>
      <w:r w:rsidRPr="00D84825">
        <w:rPr>
          <w:rFonts w:ascii="Garamond" w:eastAsia="Times New Roman" w:hAnsi="Garamond" w:cs="Times New Roman"/>
          <w:sz w:val="20"/>
          <w:vertAlign w:val="superscript"/>
        </w:rPr>
        <w:t>63</w:t>
      </w:r>
      <w:r w:rsidRPr="00D84825">
        <w:rPr>
          <w:rFonts w:ascii="Garamond" w:eastAsia="Times New Roman" w:hAnsi="Garamond" w:cs="Times New Roman"/>
          <w:spacing w:val="-3"/>
          <w:sz w:val="20"/>
        </w:rPr>
        <w:t xml:space="preserve"> </w:t>
      </w:r>
      <w:r w:rsidRPr="00D84825">
        <w:rPr>
          <w:rFonts w:ascii="Garamond" w:eastAsia="Times New Roman" w:hAnsi="Garamond" w:cs="Times New Roman"/>
          <w:sz w:val="20"/>
        </w:rPr>
        <w:t>A</w:t>
      </w:r>
      <w:r w:rsidRPr="00D84825">
        <w:rPr>
          <w:rFonts w:ascii="Garamond" w:eastAsia="Times New Roman" w:hAnsi="Garamond" w:cs="Times New Roman"/>
          <w:spacing w:val="-2"/>
          <w:sz w:val="20"/>
        </w:rPr>
        <w:t xml:space="preserve"> </w:t>
      </w:r>
      <w:r w:rsidRPr="00D84825">
        <w:rPr>
          <w:rFonts w:ascii="Garamond" w:eastAsia="Times New Roman" w:hAnsi="Garamond" w:cs="Times New Roman"/>
          <w:sz w:val="20"/>
        </w:rPr>
        <w:t>firma</w:t>
      </w:r>
      <w:r w:rsidRPr="00D84825">
        <w:rPr>
          <w:rFonts w:ascii="Garamond" w:eastAsia="Times New Roman" w:hAnsi="Garamond" w:cs="Times New Roman"/>
          <w:spacing w:val="-2"/>
          <w:sz w:val="20"/>
        </w:rPr>
        <w:t xml:space="preserve"> </w:t>
      </w:r>
      <w:r w:rsidRPr="00D84825">
        <w:rPr>
          <w:rFonts w:ascii="Garamond" w:eastAsia="Times New Roman" w:hAnsi="Garamond" w:cs="Times New Roman"/>
          <w:sz w:val="20"/>
        </w:rPr>
        <w:t>recebedora</w:t>
      </w:r>
      <w:r w:rsidRPr="00D84825">
        <w:rPr>
          <w:rFonts w:ascii="Garamond" w:eastAsia="Times New Roman" w:hAnsi="Garamond" w:cs="Times New Roman"/>
          <w:spacing w:val="-3"/>
          <w:sz w:val="20"/>
        </w:rPr>
        <w:t xml:space="preserve"> </w:t>
      </w:r>
      <w:r w:rsidRPr="00D84825">
        <w:rPr>
          <w:rFonts w:ascii="Garamond" w:eastAsia="Times New Roman" w:hAnsi="Garamond" w:cs="Times New Roman"/>
          <w:sz w:val="20"/>
        </w:rPr>
        <w:t>é</w:t>
      </w:r>
      <w:r w:rsidRPr="00D84825">
        <w:rPr>
          <w:rFonts w:ascii="Garamond" w:eastAsia="Times New Roman" w:hAnsi="Garamond" w:cs="Times New Roman"/>
          <w:spacing w:val="-4"/>
          <w:sz w:val="20"/>
        </w:rPr>
        <w:t xml:space="preserve"> </w:t>
      </w:r>
      <w:r w:rsidRPr="00D84825">
        <w:rPr>
          <w:rFonts w:ascii="Garamond" w:eastAsia="Times New Roman" w:hAnsi="Garamond" w:cs="Times New Roman"/>
          <w:sz w:val="20"/>
        </w:rPr>
        <w:t>aquela</w:t>
      </w:r>
      <w:r w:rsidRPr="00D84825">
        <w:rPr>
          <w:rFonts w:ascii="Garamond" w:eastAsia="Times New Roman" w:hAnsi="Garamond" w:cs="Times New Roman"/>
          <w:spacing w:val="-2"/>
          <w:sz w:val="20"/>
        </w:rPr>
        <w:t xml:space="preserve"> </w:t>
      </w:r>
      <w:r w:rsidRPr="00D84825">
        <w:rPr>
          <w:rFonts w:ascii="Garamond" w:eastAsia="Times New Roman" w:hAnsi="Garamond" w:cs="Times New Roman"/>
          <w:sz w:val="20"/>
        </w:rPr>
        <w:t>que</w:t>
      </w:r>
      <w:r w:rsidRPr="00D84825">
        <w:rPr>
          <w:rFonts w:ascii="Garamond" w:eastAsia="Times New Roman" w:hAnsi="Garamond" w:cs="Times New Roman"/>
          <w:spacing w:val="-2"/>
          <w:sz w:val="20"/>
        </w:rPr>
        <w:t xml:space="preserve"> </w:t>
      </w:r>
      <w:r w:rsidRPr="00D84825">
        <w:rPr>
          <w:rFonts w:ascii="Garamond" w:eastAsia="Times New Roman" w:hAnsi="Garamond" w:cs="Times New Roman"/>
          <w:sz w:val="20"/>
        </w:rPr>
        <w:t>se</w:t>
      </w:r>
      <w:r w:rsidRPr="00D84825">
        <w:rPr>
          <w:rFonts w:ascii="Garamond" w:eastAsia="Times New Roman" w:hAnsi="Garamond" w:cs="Times New Roman"/>
          <w:spacing w:val="-3"/>
          <w:sz w:val="20"/>
        </w:rPr>
        <w:t xml:space="preserve"> </w:t>
      </w:r>
      <w:r w:rsidRPr="00D84825">
        <w:rPr>
          <w:rFonts w:ascii="Garamond" w:eastAsia="Times New Roman" w:hAnsi="Garamond" w:cs="Times New Roman"/>
          <w:sz w:val="20"/>
        </w:rPr>
        <w:t>encontra</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no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território</w:t>
      </w:r>
      <w:r w:rsidRPr="00D84825">
        <w:rPr>
          <w:rFonts w:ascii="Garamond" w:eastAsia="Times New Roman" w:hAnsi="Garamond" w:cs="Times New Roman"/>
          <w:spacing w:val="-2"/>
          <w:sz w:val="20"/>
        </w:rPr>
        <w:t xml:space="preserve"> </w:t>
      </w:r>
      <w:r w:rsidRPr="00D84825">
        <w:rPr>
          <w:rFonts w:ascii="Garamond" w:eastAsia="Times New Roman" w:hAnsi="Garamond" w:cs="Times New Roman"/>
          <w:sz w:val="20"/>
        </w:rPr>
        <w:t>do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Membro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que</w:t>
      </w:r>
      <w:r w:rsidRPr="00D84825">
        <w:rPr>
          <w:rFonts w:ascii="Garamond" w:eastAsia="Times New Roman" w:hAnsi="Garamond" w:cs="Times New Roman"/>
          <w:spacing w:val="-3"/>
          <w:sz w:val="20"/>
        </w:rPr>
        <w:t xml:space="preserve"> </w:t>
      </w:r>
      <w:r w:rsidRPr="00D84825">
        <w:rPr>
          <w:rFonts w:ascii="Garamond" w:eastAsia="Times New Roman" w:hAnsi="Garamond" w:cs="Times New Roman"/>
          <w:sz w:val="20"/>
        </w:rPr>
        <w:t>outorga</w:t>
      </w:r>
      <w:r w:rsidRPr="00D84825">
        <w:rPr>
          <w:rFonts w:ascii="Garamond" w:eastAsia="Times New Roman" w:hAnsi="Garamond" w:cs="Times New Roman"/>
          <w:spacing w:val="-2"/>
          <w:sz w:val="20"/>
        </w:rPr>
        <w:t xml:space="preserve"> </w:t>
      </w:r>
      <w:r w:rsidRPr="00D84825">
        <w:rPr>
          <w:rFonts w:ascii="Garamond" w:eastAsia="Times New Roman" w:hAnsi="Garamond" w:cs="Times New Roman"/>
          <w:sz w:val="20"/>
        </w:rPr>
        <w:t>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subsídio.</w:t>
      </w:r>
    </w:p>
    <w:p w14:paraId="3FDBAD37" w14:textId="77777777" w:rsidR="00CB6C86" w:rsidRPr="00395593" w:rsidRDefault="00CB6C86" w:rsidP="00CB6C86">
      <w:pPr>
        <w:widowControl w:val="0"/>
        <w:autoSpaceDE w:val="0"/>
        <w:autoSpaceDN w:val="0"/>
        <w:spacing w:before="1" w:after="0" w:line="240" w:lineRule="auto"/>
        <w:ind w:right="121"/>
        <w:jc w:val="both"/>
        <w:rPr>
          <w:rFonts w:ascii="Garamond" w:eastAsia="Times New Roman" w:hAnsi="Garamond" w:cs="Times New Roman"/>
          <w:sz w:val="20"/>
        </w:rPr>
      </w:pPr>
      <w:r w:rsidRPr="00D84825">
        <w:rPr>
          <w:rFonts w:ascii="Garamond" w:eastAsia="Times New Roman" w:hAnsi="Garamond" w:cs="Times New Roman"/>
          <w:sz w:val="20"/>
          <w:vertAlign w:val="superscript"/>
        </w:rPr>
        <w:t>64</w:t>
      </w:r>
      <w:r w:rsidRPr="00D84825">
        <w:rPr>
          <w:rFonts w:ascii="Garamond" w:eastAsia="Times New Roman" w:hAnsi="Garamond" w:cs="Times New Roman"/>
          <w:sz w:val="20"/>
        </w:rPr>
        <w:t xml:space="preserve"> No caso de subsídio relacionado com tributação, presumir-se-á que o valor do produto e o valor total das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vendas da empresa recebedora no exercício fiscal em que obteve o benefício da medida relacionada com a</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tributação.</w:t>
      </w:r>
    </w:p>
    <w:p w14:paraId="6990DADD" w14:textId="685737DF" w:rsidR="00CB6C86" w:rsidRPr="005C5CBD" w:rsidRDefault="00CB6C86" w:rsidP="00E33E26">
      <w:pPr>
        <w:widowControl w:val="0"/>
        <w:autoSpaceDE w:val="0"/>
        <w:autoSpaceDN w:val="0"/>
        <w:spacing w:after="0" w:line="240" w:lineRule="auto"/>
        <w:jc w:val="both"/>
        <w:rPr>
          <w:rFonts w:ascii="Garamond" w:eastAsia="Times New Roman" w:hAnsi="Garamond" w:cs="Times New Roman"/>
          <w:sz w:val="20"/>
        </w:rPr>
      </w:pPr>
    </w:p>
    <w:p w14:paraId="75293FDA" w14:textId="77777777" w:rsidR="00CB6C86" w:rsidRPr="00395593" w:rsidRDefault="00CB6C86" w:rsidP="002C4340">
      <w:pPr>
        <w:widowControl w:val="0"/>
        <w:numPr>
          <w:ilvl w:val="0"/>
          <w:numId w:val="30"/>
        </w:numPr>
        <w:tabs>
          <w:tab w:val="left" w:pos="810"/>
        </w:tabs>
        <w:autoSpaceDE w:val="0"/>
        <w:autoSpaceDN w:val="0"/>
        <w:spacing w:before="184" w:after="0" w:line="240" w:lineRule="auto"/>
        <w:ind w:right="116" w:firstLine="0"/>
        <w:jc w:val="both"/>
        <w:rPr>
          <w:rFonts w:ascii="Garamond" w:eastAsia="Times New Roman" w:hAnsi="Garamond" w:cs="Times New Roman"/>
          <w:sz w:val="24"/>
        </w:rPr>
      </w:pPr>
      <w:r w:rsidRPr="00395593">
        <w:rPr>
          <w:rFonts w:ascii="Garamond" w:eastAsia="Times New Roman" w:hAnsi="Garamond" w:cs="Times New Roman"/>
          <w:sz w:val="24"/>
        </w:rPr>
        <w:t>Quando a firma recebedora estiver em situação de início de operação, considerar-se-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á como séria perda a taxa global de subsídio que exceda 15 por cento dos fundos globais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finalidades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período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início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operação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ultrapassará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primeiro ano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vertAlign w:val="superscript"/>
        </w:rPr>
        <w:t>65</w:t>
      </w:r>
      <w:r w:rsidRPr="00395593">
        <w:rPr>
          <w:rFonts w:ascii="Garamond" w:eastAsia="Times New Roman" w:hAnsi="Garamond" w:cs="Times New Roman"/>
          <w:sz w:val="24"/>
        </w:rPr>
        <w:t>.</w:t>
      </w:r>
    </w:p>
    <w:p w14:paraId="4A8379CB"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30E4344B" w14:textId="77777777" w:rsidR="00CB6C86" w:rsidRPr="00395593" w:rsidRDefault="00CB6C86" w:rsidP="002C4340">
      <w:pPr>
        <w:widowControl w:val="0"/>
        <w:numPr>
          <w:ilvl w:val="0"/>
          <w:numId w:val="30"/>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Quando a firma recebedora estiver localizada em país de economia inflacionária,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valor do produto será calculado como o das vendas globais da firma recebedora (ou vendas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produto em causa se o subsídio for vinculado) no ano civil precedente, indexado pela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taxa de inflação verificada nos 12 meses que precedem o mês em que o subsídio tenha sido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concedido.</w:t>
      </w:r>
    </w:p>
    <w:p w14:paraId="3DB6E907"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2D168BD5" w14:textId="77777777" w:rsidR="00CB6C86" w:rsidRPr="00395593" w:rsidRDefault="00CB6C86" w:rsidP="002C4340">
      <w:pPr>
        <w:widowControl w:val="0"/>
        <w:numPr>
          <w:ilvl w:val="0"/>
          <w:numId w:val="30"/>
        </w:numPr>
        <w:tabs>
          <w:tab w:val="left" w:pos="810"/>
        </w:tabs>
        <w:autoSpaceDE w:val="0"/>
        <w:autoSpaceDN w:val="0"/>
        <w:spacing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Para determinar a taxa global de subsídio em determinado ano, serão agregados 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subsídios concedidos sob diferentes programas e por diferentes autoridades no território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 Membro.</w:t>
      </w:r>
    </w:p>
    <w:p w14:paraId="54FF3F7F" w14:textId="77777777" w:rsidR="00CB6C86" w:rsidRPr="00395593" w:rsidRDefault="00CB6C86" w:rsidP="003B2CAE">
      <w:pPr>
        <w:widowControl w:val="0"/>
        <w:autoSpaceDE w:val="0"/>
        <w:autoSpaceDN w:val="0"/>
        <w:spacing w:before="1" w:after="0" w:line="240" w:lineRule="auto"/>
        <w:jc w:val="both"/>
        <w:rPr>
          <w:rFonts w:ascii="Garamond" w:eastAsia="Times New Roman" w:hAnsi="Garamond" w:cs="Times New Roman"/>
          <w:sz w:val="24"/>
          <w:szCs w:val="24"/>
        </w:rPr>
      </w:pPr>
    </w:p>
    <w:p w14:paraId="5F33D229" w14:textId="77777777" w:rsidR="00CB6C86" w:rsidRPr="00395593" w:rsidRDefault="00CB6C86" w:rsidP="002C4340">
      <w:pPr>
        <w:widowControl w:val="0"/>
        <w:numPr>
          <w:ilvl w:val="0"/>
          <w:numId w:val="30"/>
        </w:numPr>
        <w:tabs>
          <w:tab w:val="left" w:pos="810"/>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Os subsídios concedidos antes da entrada em vigor do Acordo constitutivo da OMC,</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cujos benefícios tenham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sido destinados à produção futura, serão incluídos na taxa</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global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w:t>
      </w:r>
    </w:p>
    <w:p w14:paraId="621265BB" w14:textId="77777777" w:rsidR="00CB6C86" w:rsidRPr="00395593" w:rsidRDefault="00CB6C86" w:rsidP="003B2CAE">
      <w:pPr>
        <w:widowControl w:val="0"/>
        <w:autoSpaceDE w:val="0"/>
        <w:autoSpaceDN w:val="0"/>
        <w:spacing w:after="0" w:line="240" w:lineRule="auto"/>
        <w:jc w:val="both"/>
        <w:rPr>
          <w:rFonts w:ascii="Garamond" w:eastAsia="Times New Roman" w:hAnsi="Garamond" w:cs="Times New Roman"/>
          <w:sz w:val="24"/>
          <w:szCs w:val="24"/>
        </w:rPr>
      </w:pPr>
    </w:p>
    <w:p w14:paraId="76D593EB" w14:textId="77777777" w:rsidR="00CB6C86" w:rsidRPr="00395593" w:rsidRDefault="00CB6C86" w:rsidP="002C4340">
      <w:pPr>
        <w:widowControl w:val="0"/>
        <w:numPr>
          <w:ilvl w:val="0"/>
          <w:numId w:val="30"/>
        </w:numPr>
        <w:tabs>
          <w:tab w:val="left" w:pos="810"/>
        </w:tabs>
        <w:autoSpaceDE w:val="0"/>
        <w:autoSpaceDN w:val="0"/>
        <w:spacing w:after="0" w:line="240" w:lineRule="auto"/>
        <w:ind w:right="124" w:firstLine="0"/>
        <w:jc w:val="both"/>
        <w:rPr>
          <w:rFonts w:ascii="Garamond" w:eastAsia="Times New Roman" w:hAnsi="Garamond" w:cs="Times New Roman"/>
          <w:sz w:val="24"/>
        </w:rPr>
      </w:pPr>
      <w:r w:rsidRPr="00395593">
        <w:rPr>
          <w:rFonts w:ascii="Garamond" w:eastAsia="Times New Roman" w:hAnsi="Garamond" w:cs="Times New Roman"/>
          <w:sz w:val="24"/>
        </w:rPr>
        <w:t>Os</w:t>
      </w:r>
      <w:r w:rsidRPr="00395593">
        <w:rPr>
          <w:rFonts w:ascii="Garamond" w:eastAsia="Times New Roman" w:hAnsi="Garamond" w:cs="Times New Roman"/>
          <w:spacing w:val="44"/>
          <w:sz w:val="24"/>
        </w:rPr>
        <w:t xml:space="preserve"> </w:t>
      </w:r>
      <w:r w:rsidRPr="00395593">
        <w:rPr>
          <w:rFonts w:ascii="Garamond" w:eastAsia="Times New Roman" w:hAnsi="Garamond" w:cs="Times New Roman"/>
          <w:sz w:val="24"/>
        </w:rPr>
        <w:t>subsídios</w:t>
      </w:r>
      <w:r w:rsidRPr="00395593">
        <w:rPr>
          <w:rFonts w:ascii="Garamond" w:eastAsia="Times New Roman" w:hAnsi="Garamond" w:cs="Times New Roman"/>
          <w:spacing w:val="45"/>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45"/>
          <w:sz w:val="24"/>
        </w:rPr>
        <w:t xml:space="preserve"> </w:t>
      </w:r>
      <w:r w:rsidRPr="00395593">
        <w:rPr>
          <w:rFonts w:ascii="Garamond" w:eastAsia="Times New Roman" w:hAnsi="Garamond" w:cs="Times New Roman"/>
          <w:sz w:val="24"/>
        </w:rPr>
        <w:t>acionáveis</w:t>
      </w:r>
      <w:r w:rsidRPr="00395593">
        <w:rPr>
          <w:rFonts w:ascii="Garamond" w:eastAsia="Times New Roman" w:hAnsi="Garamond" w:cs="Times New Roman"/>
          <w:spacing w:val="45"/>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43"/>
          <w:sz w:val="24"/>
        </w:rPr>
        <w:t xml:space="preserve"> </w:t>
      </w:r>
      <w:r w:rsidRPr="00395593">
        <w:rPr>
          <w:rFonts w:ascii="Garamond" w:eastAsia="Times New Roman" w:hAnsi="Garamond" w:cs="Times New Roman"/>
          <w:sz w:val="24"/>
        </w:rPr>
        <w:t>luz</w:t>
      </w:r>
      <w:r w:rsidRPr="00395593">
        <w:rPr>
          <w:rFonts w:ascii="Garamond" w:eastAsia="Times New Roman" w:hAnsi="Garamond" w:cs="Times New Roman"/>
          <w:spacing w:val="46"/>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47"/>
          <w:sz w:val="24"/>
        </w:rPr>
        <w:t xml:space="preserve"> </w:t>
      </w:r>
      <w:r w:rsidRPr="00395593">
        <w:rPr>
          <w:rFonts w:ascii="Garamond" w:eastAsia="Times New Roman" w:hAnsi="Garamond" w:cs="Times New Roman"/>
          <w:sz w:val="24"/>
        </w:rPr>
        <w:t>disposições</w:t>
      </w:r>
      <w:r w:rsidRPr="00395593">
        <w:rPr>
          <w:rFonts w:ascii="Garamond" w:eastAsia="Times New Roman" w:hAnsi="Garamond" w:cs="Times New Roman"/>
          <w:spacing w:val="44"/>
          <w:sz w:val="24"/>
        </w:rPr>
        <w:t xml:space="preserve"> </w:t>
      </w:r>
      <w:r w:rsidRPr="00395593">
        <w:rPr>
          <w:rFonts w:ascii="Garamond" w:eastAsia="Times New Roman" w:hAnsi="Garamond" w:cs="Times New Roman"/>
          <w:sz w:val="24"/>
        </w:rPr>
        <w:t>pertinentes</w:t>
      </w:r>
      <w:r w:rsidRPr="00395593">
        <w:rPr>
          <w:rFonts w:ascii="Garamond" w:eastAsia="Times New Roman" w:hAnsi="Garamond" w:cs="Times New Roman"/>
          <w:spacing w:val="44"/>
          <w:sz w:val="24"/>
        </w:rPr>
        <w:t xml:space="preserve"> </w:t>
      </w:r>
      <w:r w:rsidRPr="00395593">
        <w:rPr>
          <w:rFonts w:ascii="Garamond" w:eastAsia="Times New Roman" w:hAnsi="Garamond" w:cs="Times New Roman"/>
          <w:sz w:val="24"/>
        </w:rPr>
        <w:t>deste</w:t>
      </w:r>
      <w:r w:rsidRPr="00395593">
        <w:rPr>
          <w:rFonts w:ascii="Garamond" w:eastAsia="Times New Roman" w:hAnsi="Garamond" w:cs="Times New Roman"/>
          <w:spacing w:val="47"/>
          <w:sz w:val="24"/>
        </w:rPr>
        <w:t xml:space="preserve"> </w:t>
      </w:r>
      <w:r w:rsidRPr="00395593">
        <w:rPr>
          <w:rFonts w:ascii="Garamond" w:eastAsia="Times New Roman" w:hAnsi="Garamond" w:cs="Times New Roman"/>
          <w:sz w:val="24"/>
        </w:rPr>
        <w:t>Acordo</w:t>
      </w:r>
      <w:r w:rsidRPr="00395593">
        <w:rPr>
          <w:rFonts w:ascii="Garamond" w:eastAsia="Times New Roman" w:hAnsi="Garamond" w:cs="Times New Roman"/>
          <w:spacing w:val="43"/>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serão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incluídos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cálculo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montante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fins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 1</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Artigo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6.</w:t>
      </w:r>
    </w:p>
    <w:p w14:paraId="7A98882B"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48ACC5BE" w14:textId="77777777" w:rsidR="00CB6C86" w:rsidRPr="00395593" w:rsidRDefault="00CB6C86" w:rsidP="00B77F51">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ANEXO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V</w:t>
      </w:r>
    </w:p>
    <w:p w14:paraId="272AE80F"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34155FB7" w14:textId="77777777" w:rsidR="00CB6C86" w:rsidRPr="00395593" w:rsidRDefault="00CB6C86" w:rsidP="00B77F51">
      <w:pPr>
        <w:widowControl w:val="0"/>
        <w:autoSpaceDE w:val="0"/>
        <w:autoSpaceDN w:val="0"/>
        <w:spacing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PROCEDIMENTOS PARA OBTENÇÃO DE INFORMAÇÃO RELATIVA A GRAVE DANO</w:t>
      </w:r>
    </w:p>
    <w:p w14:paraId="3305C846" w14:textId="77777777" w:rsidR="00CB6C86" w:rsidRPr="00395593" w:rsidRDefault="00CB6C86" w:rsidP="00CB6C86">
      <w:pPr>
        <w:widowControl w:val="0"/>
        <w:autoSpaceDE w:val="0"/>
        <w:autoSpaceDN w:val="0"/>
        <w:spacing w:before="11" w:after="0" w:line="240" w:lineRule="auto"/>
        <w:rPr>
          <w:rFonts w:ascii="Garamond" w:eastAsia="Times New Roman" w:hAnsi="Garamond" w:cs="Times New Roman"/>
          <w:sz w:val="23"/>
          <w:szCs w:val="24"/>
        </w:rPr>
      </w:pPr>
    </w:p>
    <w:p w14:paraId="7FE0E245" w14:textId="77777777" w:rsidR="00CB6C86" w:rsidRPr="00395593" w:rsidRDefault="00CB6C86" w:rsidP="002C4340">
      <w:pPr>
        <w:widowControl w:val="0"/>
        <w:numPr>
          <w:ilvl w:val="0"/>
          <w:numId w:val="29"/>
        </w:numPr>
        <w:tabs>
          <w:tab w:val="left" w:pos="810"/>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Todo Membro cooperará na obtenção de provas para exame por grupo especial nos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procedimentos previstos nos parágrafos 4 a 6 do Artigo 7. As partes envolvidas em 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controvérsia e qualquer terceiro país Membro envolvido notificarão ao OSC, tão logo 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disposições do parágrafo 4 do Artigo 7 tenham sido invocadas, o organismo responsável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pela administração desta disposição em seu território e os procedimentos a serem adotados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atender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aos pedidos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informação.</w:t>
      </w:r>
    </w:p>
    <w:p w14:paraId="71555DC9" w14:textId="77777777" w:rsidR="00CB6C86" w:rsidRPr="00395593" w:rsidRDefault="00CB6C86" w:rsidP="00B77F51">
      <w:pPr>
        <w:widowControl w:val="0"/>
        <w:autoSpaceDE w:val="0"/>
        <w:autoSpaceDN w:val="0"/>
        <w:spacing w:after="0" w:line="240" w:lineRule="auto"/>
        <w:jc w:val="both"/>
        <w:rPr>
          <w:rFonts w:ascii="Garamond" w:eastAsia="Times New Roman" w:hAnsi="Garamond" w:cs="Times New Roman"/>
          <w:sz w:val="24"/>
          <w:szCs w:val="24"/>
        </w:rPr>
      </w:pPr>
    </w:p>
    <w:p w14:paraId="72FBD76F" w14:textId="77777777" w:rsidR="00CB6C86" w:rsidRPr="00395593" w:rsidRDefault="00CB6C86" w:rsidP="002C4340">
      <w:pPr>
        <w:widowControl w:val="0"/>
        <w:numPr>
          <w:ilvl w:val="0"/>
          <w:numId w:val="29"/>
        </w:numPr>
        <w:tabs>
          <w:tab w:val="left" w:pos="810"/>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Quando, de acordo com o parágrafo 4 do Artigo 7, se submeta a questão ao OSC,</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este, a pedido, iniciará aos procedimentos para obter do governo do Membro outorgante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 aquelas informações necessárias à determinação da existência e do montante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subsídio do valor total das firmas subsidiadas, assim como aquelas informações necessárias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 xml:space="preserve">à análise dos efeitos danosos causados pelo produto subsidiado </w:t>
      </w:r>
      <w:r w:rsidRPr="00395593">
        <w:rPr>
          <w:rFonts w:ascii="Garamond" w:eastAsia="Times New Roman" w:hAnsi="Garamond" w:cs="Times New Roman"/>
          <w:sz w:val="24"/>
          <w:vertAlign w:val="superscript"/>
        </w:rPr>
        <w:t>66</w:t>
      </w:r>
      <w:r w:rsidRPr="00395593">
        <w:rPr>
          <w:rFonts w:ascii="Garamond" w:eastAsia="Times New Roman" w:hAnsi="Garamond" w:cs="Times New Roman"/>
          <w:sz w:val="24"/>
        </w:rPr>
        <w:t>. Esse processo poderá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incluir,</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quando</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adequado,</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apresentação</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4"/>
          <w:sz w:val="24"/>
        </w:rPr>
        <w:t xml:space="preserve"> </w:t>
      </w:r>
      <w:r w:rsidRPr="00395593">
        <w:rPr>
          <w:rFonts w:ascii="Garamond" w:eastAsia="Times New Roman" w:hAnsi="Garamond" w:cs="Times New Roman"/>
          <w:sz w:val="24"/>
        </w:rPr>
        <w:t>perguntas</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5"/>
          <w:sz w:val="24"/>
        </w:rPr>
        <w:t xml:space="preserve"> </w:t>
      </w:r>
      <w:r w:rsidRPr="00395593">
        <w:rPr>
          <w:rFonts w:ascii="Garamond" w:eastAsia="Times New Roman" w:hAnsi="Garamond" w:cs="Times New Roman"/>
          <w:sz w:val="24"/>
        </w:rPr>
        <w:t>governo</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6"/>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outorgante</w:t>
      </w:r>
      <w:r w:rsidRPr="00395593">
        <w:rPr>
          <w:rFonts w:ascii="Garamond" w:eastAsia="Times New Roman" w:hAnsi="Garamond" w:cs="Times New Roman"/>
          <w:spacing w:val="3"/>
          <w:sz w:val="24"/>
        </w:rPr>
        <w:t xml:space="preserve"> </w:t>
      </w:r>
      <w:r w:rsidRPr="00395593">
        <w:rPr>
          <w:rFonts w:ascii="Garamond" w:eastAsia="Times New Roman" w:hAnsi="Garamond" w:cs="Times New Roman"/>
          <w:sz w:val="24"/>
        </w:rPr>
        <w:t>do</w:t>
      </w:r>
    </w:p>
    <w:p w14:paraId="4284C16C" w14:textId="55DC61E6" w:rsidR="00CB6C86" w:rsidRDefault="00CB6C86" w:rsidP="00CB6C86">
      <w:pPr>
        <w:widowControl w:val="0"/>
        <w:autoSpaceDE w:val="0"/>
        <w:autoSpaceDN w:val="0"/>
        <w:spacing w:after="0" w:line="240" w:lineRule="auto"/>
        <w:rPr>
          <w:rFonts w:ascii="Garamond" w:eastAsia="Times New Roman" w:hAnsi="Garamond" w:cs="Times New Roman"/>
          <w:sz w:val="20"/>
          <w:szCs w:val="24"/>
        </w:rPr>
      </w:pPr>
    </w:p>
    <w:p w14:paraId="02A497C4" w14:textId="6EC315CF" w:rsidR="00D84825" w:rsidRDefault="00D84825" w:rsidP="00CB6C86">
      <w:pPr>
        <w:widowControl w:val="0"/>
        <w:autoSpaceDE w:val="0"/>
        <w:autoSpaceDN w:val="0"/>
        <w:spacing w:after="0" w:line="240" w:lineRule="auto"/>
        <w:rPr>
          <w:rFonts w:ascii="Garamond" w:eastAsia="Times New Roman" w:hAnsi="Garamond" w:cs="Times New Roman"/>
          <w:sz w:val="20"/>
          <w:szCs w:val="24"/>
        </w:rPr>
      </w:pPr>
    </w:p>
    <w:p w14:paraId="4D2893D2" w14:textId="3E0BF63C" w:rsidR="00D84825" w:rsidRDefault="00D84825" w:rsidP="00CB6C86">
      <w:pPr>
        <w:widowControl w:val="0"/>
        <w:autoSpaceDE w:val="0"/>
        <w:autoSpaceDN w:val="0"/>
        <w:spacing w:after="0" w:line="240" w:lineRule="auto"/>
        <w:rPr>
          <w:rFonts w:ascii="Garamond" w:eastAsia="Times New Roman" w:hAnsi="Garamond" w:cs="Times New Roman"/>
          <w:sz w:val="20"/>
          <w:szCs w:val="24"/>
        </w:rPr>
      </w:pPr>
    </w:p>
    <w:p w14:paraId="6BF231E3" w14:textId="1DBEAF29" w:rsidR="00D84825" w:rsidRDefault="00D84825" w:rsidP="00CB6C86">
      <w:pPr>
        <w:widowControl w:val="0"/>
        <w:autoSpaceDE w:val="0"/>
        <w:autoSpaceDN w:val="0"/>
        <w:spacing w:after="0" w:line="240" w:lineRule="auto"/>
        <w:rPr>
          <w:rFonts w:ascii="Garamond" w:eastAsia="Times New Roman" w:hAnsi="Garamond" w:cs="Times New Roman"/>
          <w:sz w:val="20"/>
          <w:szCs w:val="24"/>
        </w:rPr>
      </w:pPr>
    </w:p>
    <w:p w14:paraId="79FD2F10" w14:textId="62D02F94" w:rsidR="00CB6C86" w:rsidRPr="00D84825" w:rsidRDefault="00CB6C86" w:rsidP="00CB6C86">
      <w:pPr>
        <w:widowControl w:val="0"/>
        <w:autoSpaceDE w:val="0"/>
        <w:autoSpaceDN w:val="0"/>
        <w:spacing w:before="1" w:after="0" w:line="240" w:lineRule="auto"/>
        <w:rPr>
          <w:rFonts w:ascii="Garamond" w:eastAsia="Times New Roman" w:hAnsi="Garamond" w:cs="Times New Roman"/>
          <w:sz w:val="11"/>
          <w:szCs w:val="24"/>
        </w:rPr>
      </w:pPr>
      <w:r w:rsidRPr="00D84825">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88" behindDoc="1" locked="0" layoutInCell="1" allowOverlap="1" wp14:anchorId="2A0B5E3E" wp14:editId="01B39E65">
                <wp:simplePos x="0" y="0"/>
                <wp:positionH relativeFrom="page">
                  <wp:posOffset>1080770</wp:posOffset>
                </wp:positionH>
                <wp:positionV relativeFrom="paragraph">
                  <wp:posOffset>95885</wp:posOffset>
                </wp:positionV>
                <wp:extent cx="1828800" cy="7620"/>
                <wp:effectExtent l="4445" t="1270" r="0" b="635"/>
                <wp:wrapTopAndBottom/>
                <wp:docPr id="405" name="Retângulo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91F12" id="Retângulo 405" o:spid="_x0000_s1026" style="position:absolute;margin-left:85.1pt;margin-top:7.55pt;width:2in;height:.6pt;z-index:-25165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6KgA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" fillcolor="black" stroked="f">
                <w10:wrap type="topAndBottom" anchorx="page"/>
              </v:rect>
            </w:pict>
          </mc:Fallback>
        </mc:AlternateContent>
      </w:r>
    </w:p>
    <w:p w14:paraId="0103690F" w14:textId="77777777" w:rsidR="00CB6C86" w:rsidRPr="00D84825" w:rsidRDefault="00CB6C86" w:rsidP="00CB6C86">
      <w:pPr>
        <w:widowControl w:val="0"/>
        <w:autoSpaceDE w:val="0"/>
        <w:autoSpaceDN w:val="0"/>
        <w:spacing w:before="103" w:after="0" w:line="240" w:lineRule="auto"/>
        <w:ind w:right="119"/>
        <w:jc w:val="both"/>
        <w:rPr>
          <w:rFonts w:ascii="Garamond" w:eastAsia="Times New Roman" w:hAnsi="Garamond" w:cs="Times New Roman"/>
          <w:sz w:val="20"/>
        </w:rPr>
      </w:pPr>
      <w:r w:rsidRPr="00D84825">
        <w:rPr>
          <w:rFonts w:ascii="Garamond" w:eastAsia="Times New Roman" w:hAnsi="Garamond" w:cs="Times New Roman"/>
          <w:sz w:val="20"/>
          <w:vertAlign w:val="superscript"/>
        </w:rPr>
        <w:t>65</w:t>
      </w:r>
      <w:r w:rsidRPr="00D84825">
        <w:rPr>
          <w:rFonts w:ascii="Garamond" w:eastAsia="Times New Roman" w:hAnsi="Garamond" w:cs="Times New Roman"/>
          <w:sz w:val="20"/>
        </w:rPr>
        <w:t xml:space="preserve"> As situações de início da produção compreendem os casos em que se tenham contraído compromissos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financeiros para o desenvolvimento de produtos ou para a construção de instalações destinadas a fabricar os</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produtos</w:t>
      </w:r>
      <w:r w:rsidRPr="00D84825">
        <w:rPr>
          <w:rFonts w:ascii="Garamond" w:eastAsia="Times New Roman" w:hAnsi="Garamond" w:cs="Times New Roman"/>
          <w:spacing w:val="-2"/>
          <w:sz w:val="20"/>
        </w:rPr>
        <w:t xml:space="preserve"> </w:t>
      </w:r>
      <w:r w:rsidRPr="00D84825">
        <w:rPr>
          <w:rFonts w:ascii="Garamond" w:eastAsia="Times New Roman" w:hAnsi="Garamond" w:cs="Times New Roman"/>
          <w:sz w:val="20"/>
        </w:rPr>
        <w:t>que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se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beneficiam</w:t>
      </w:r>
      <w:r w:rsidRPr="00D84825">
        <w:rPr>
          <w:rFonts w:ascii="Garamond" w:eastAsia="Times New Roman" w:hAnsi="Garamond" w:cs="Times New Roman"/>
          <w:spacing w:val="-3"/>
          <w:sz w:val="20"/>
        </w:rPr>
        <w:t xml:space="preserve"> </w:t>
      </w:r>
      <w:r w:rsidRPr="00D84825">
        <w:rPr>
          <w:rFonts w:ascii="Garamond" w:eastAsia="Times New Roman" w:hAnsi="Garamond" w:cs="Times New Roman"/>
          <w:sz w:val="20"/>
        </w:rPr>
        <w:t>do subsídio,</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mesmo quando a</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produção não tenha</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ainda</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começado.</w:t>
      </w:r>
    </w:p>
    <w:p w14:paraId="7AE21BD1" w14:textId="77777777" w:rsidR="00CB6C86" w:rsidRPr="00395593" w:rsidRDefault="00CB6C86" w:rsidP="00CB6C86">
      <w:pPr>
        <w:widowControl w:val="0"/>
        <w:autoSpaceDE w:val="0"/>
        <w:autoSpaceDN w:val="0"/>
        <w:spacing w:before="2" w:after="0" w:line="240" w:lineRule="auto"/>
        <w:jc w:val="both"/>
        <w:rPr>
          <w:rFonts w:ascii="Garamond" w:eastAsia="Times New Roman" w:hAnsi="Garamond" w:cs="Times New Roman"/>
          <w:sz w:val="20"/>
        </w:rPr>
      </w:pPr>
      <w:r w:rsidRPr="00D84825">
        <w:rPr>
          <w:rFonts w:ascii="Garamond" w:eastAsia="Times New Roman" w:hAnsi="Garamond" w:cs="Times New Roman"/>
          <w:sz w:val="20"/>
          <w:vertAlign w:val="superscript"/>
        </w:rPr>
        <w:t>66</w:t>
      </w:r>
      <w:r w:rsidRPr="00D84825">
        <w:rPr>
          <w:rFonts w:ascii="Garamond" w:eastAsia="Times New Roman" w:hAnsi="Garamond" w:cs="Times New Roman"/>
          <w:spacing w:val="-2"/>
          <w:sz w:val="20"/>
        </w:rPr>
        <w:t xml:space="preserve"> </w:t>
      </w:r>
      <w:r w:rsidRPr="00D84825">
        <w:rPr>
          <w:rFonts w:ascii="Garamond" w:eastAsia="Times New Roman" w:hAnsi="Garamond" w:cs="Times New Roman"/>
          <w:sz w:val="20"/>
        </w:rPr>
        <w:t>Nos</w:t>
      </w:r>
      <w:r w:rsidRPr="00D84825">
        <w:rPr>
          <w:rFonts w:ascii="Garamond" w:eastAsia="Times New Roman" w:hAnsi="Garamond" w:cs="Times New Roman"/>
          <w:spacing w:val="-2"/>
          <w:sz w:val="20"/>
        </w:rPr>
        <w:t xml:space="preserve"> </w:t>
      </w:r>
      <w:r w:rsidRPr="00D84825">
        <w:rPr>
          <w:rFonts w:ascii="Garamond" w:eastAsia="Times New Roman" w:hAnsi="Garamond" w:cs="Times New Roman"/>
          <w:sz w:val="20"/>
        </w:rPr>
        <w:t>casos</w:t>
      </w:r>
      <w:r w:rsidRPr="00D84825">
        <w:rPr>
          <w:rFonts w:ascii="Garamond" w:eastAsia="Times New Roman" w:hAnsi="Garamond" w:cs="Times New Roman"/>
          <w:spacing w:val="-2"/>
          <w:sz w:val="20"/>
        </w:rPr>
        <w:t xml:space="preserve"> </w:t>
      </w:r>
      <w:r w:rsidRPr="00D84825">
        <w:rPr>
          <w:rFonts w:ascii="Garamond" w:eastAsia="Times New Roman" w:hAnsi="Garamond" w:cs="Times New Roman"/>
          <w:sz w:val="20"/>
        </w:rPr>
        <w:t>em</w:t>
      </w:r>
      <w:r w:rsidRPr="00D84825">
        <w:rPr>
          <w:rFonts w:ascii="Garamond" w:eastAsia="Times New Roman" w:hAnsi="Garamond" w:cs="Times New Roman"/>
          <w:spacing w:val="-4"/>
          <w:sz w:val="20"/>
        </w:rPr>
        <w:t xml:space="preserve"> </w:t>
      </w:r>
      <w:r w:rsidRPr="00D84825">
        <w:rPr>
          <w:rFonts w:ascii="Garamond" w:eastAsia="Times New Roman" w:hAnsi="Garamond" w:cs="Times New Roman"/>
          <w:sz w:val="20"/>
        </w:rPr>
        <w:t>que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se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deva</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demonstrar a</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existência</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de</w:t>
      </w:r>
      <w:r w:rsidRPr="00D84825">
        <w:rPr>
          <w:rFonts w:ascii="Garamond" w:eastAsia="Times New Roman" w:hAnsi="Garamond" w:cs="Times New Roman"/>
          <w:spacing w:val="-1"/>
          <w:sz w:val="20"/>
        </w:rPr>
        <w:t xml:space="preserve"> </w:t>
      </w:r>
      <w:r w:rsidRPr="00D84825">
        <w:rPr>
          <w:rFonts w:ascii="Garamond" w:eastAsia="Times New Roman" w:hAnsi="Garamond" w:cs="Times New Roman"/>
          <w:sz w:val="20"/>
        </w:rPr>
        <w:t>sério dano.</w:t>
      </w:r>
    </w:p>
    <w:p w14:paraId="4F522A0C" w14:textId="0CAFD5B0" w:rsidR="00CB6C86" w:rsidRPr="005C5CBD" w:rsidRDefault="00CB6C86" w:rsidP="00E33E26">
      <w:pPr>
        <w:widowControl w:val="0"/>
        <w:autoSpaceDE w:val="0"/>
        <w:autoSpaceDN w:val="0"/>
        <w:spacing w:after="0" w:line="240" w:lineRule="auto"/>
        <w:jc w:val="both"/>
        <w:rPr>
          <w:rFonts w:ascii="Garamond" w:eastAsia="Times New Roman" w:hAnsi="Garamond" w:cs="Times New Roman"/>
          <w:sz w:val="20"/>
        </w:rPr>
      </w:pPr>
    </w:p>
    <w:p w14:paraId="06619BA8" w14:textId="77777777" w:rsidR="00D84825" w:rsidRDefault="00D84825">
      <w:pPr>
        <w:rPr>
          <w:rFonts w:ascii="Garamond" w:eastAsia="Times New Roman" w:hAnsi="Garamond" w:cs="Times New Roman"/>
          <w:sz w:val="24"/>
          <w:szCs w:val="24"/>
        </w:rPr>
      </w:pPr>
      <w:r>
        <w:rPr>
          <w:rFonts w:ascii="Garamond" w:eastAsia="Times New Roman" w:hAnsi="Garamond" w:cs="Times New Roman"/>
          <w:sz w:val="24"/>
          <w:szCs w:val="24"/>
        </w:rPr>
        <w:br w:type="page"/>
      </w:r>
    </w:p>
    <w:p w14:paraId="1E23DCD0" w14:textId="661673B4" w:rsidR="00CB6C86" w:rsidRPr="00395593" w:rsidRDefault="00CB6C86" w:rsidP="00B77F51">
      <w:pPr>
        <w:widowControl w:val="0"/>
        <w:autoSpaceDE w:val="0"/>
        <w:autoSpaceDN w:val="0"/>
        <w:spacing w:before="68" w:after="0" w:line="240" w:lineRule="auto"/>
        <w:ind w:right="122"/>
        <w:jc w:val="both"/>
        <w:rPr>
          <w:rFonts w:ascii="Garamond" w:eastAsia="Times New Roman" w:hAnsi="Garamond" w:cs="Times New Roman"/>
          <w:sz w:val="24"/>
          <w:szCs w:val="24"/>
        </w:rPr>
      </w:pPr>
      <w:r w:rsidRPr="00395593">
        <w:rPr>
          <w:rFonts w:ascii="Garamond" w:eastAsia="Times New Roman" w:hAnsi="Garamond" w:cs="Times New Roman"/>
          <w:sz w:val="24"/>
          <w:szCs w:val="24"/>
        </w:rPr>
        <w:t>subsídio e ao governo do Membro reclamante, que permitam coligir informação , assim</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como esclarecer e ampliar a informação disponível às partes da controvérsia por meio dos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procedimentos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notificação</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estabelecidos na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 xml:space="preserve">Parte VII </w:t>
      </w:r>
      <w:r w:rsidRPr="00395593">
        <w:rPr>
          <w:rFonts w:ascii="Garamond" w:eastAsia="Times New Roman" w:hAnsi="Garamond" w:cs="Times New Roman"/>
          <w:sz w:val="24"/>
          <w:szCs w:val="24"/>
          <w:vertAlign w:val="superscript"/>
        </w:rPr>
        <w:t>67</w:t>
      </w:r>
      <w:r w:rsidRPr="00395593">
        <w:rPr>
          <w:rFonts w:ascii="Garamond" w:eastAsia="Times New Roman" w:hAnsi="Garamond" w:cs="Times New Roman"/>
          <w:sz w:val="24"/>
          <w:szCs w:val="24"/>
        </w:rPr>
        <w:t>.</w:t>
      </w:r>
    </w:p>
    <w:p w14:paraId="60DAD1DB" w14:textId="77777777" w:rsidR="00CB6C86" w:rsidRPr="00395593" w:rsidRDefault="00CB6C86" w:rsidP="00B77F51">
      <w:pPr>
        <w:widowControl w:val="0"/>
        <w:autoSpaceDE w:val="0"/>
        <w:autoSpaceDN w:val="0"/>
        <w:spacing w:after="0" w:line="240" w:lineRule="auto"/>
        <w:jc w:val="both"/>
        <w:rPr>
          <w:rFonts w:ascii="Garamond" w:eastAsia="Times New Roman" w:hAnsi="Garamond" w:cs="Times New Roman"/>
          <w:sz w:val="24"/>
          <w:szCs w:val="24"/>
        </w:rPr>
      </w:pPr>
    </w:p>
    <w:p w14:paraId="45B1A489" w14:textId="77777777" w:rsidR="00CB6C86" w:rsidRPr="00395593" w:rsidRDefault="00CB6C86" w:rsidP="002C4340">
      <w:pPr>
        <w:widowControl w:val="0"/>
        <w:numPr>
          <w:ilvl w:val="0"/>
          <w:numId w:val="29"/>
        </w:numPr>
        <w:tabs>
          <w:tab w:val="left" w:pos="810"/>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No caso de efeitos sobre mercados de terceiros países, uma parte envolvida numa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controvérsia poderá, mesmo por meio de perguntas dirigidas ao governo do terceiro país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 envolvido, recolher informação à análise dos efeitos danosos que não esteja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outra forma razoavelmente disponível, quer junto ao Membro reclamante, quer junto 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 outorgantes do subsídio.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Esse requerimento deverá operar-se de tal forma eu 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imponha carga excessiva sobre o terceiro país Membro. Em particular, não se deve esperar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terceiro país Membro que proceda a uma análise de mercado apenas para esses fins.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informação proporcionada será aquela já disponível ou que possa facilmente ser obtida por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aquele Membro (e.g., estatísticas recentes que já tenham sido recolhidas pelos serviços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estatísticas competentes, dados alfandegários relativos a importações e valores declarados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causa,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etc.).</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obstante,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controvérsia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empreende análise de mercado pormenorizada a suas próprias custas, a tarefa da pessoa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empresa que realize tal analise será facilitada pelas autoridades do terceiro país Membro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ser-lhe-á facilitado acesso a toda informação que não seja normalmente mantida sob sigilo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governo.</w:t>
      </w:r>
    </w:p>
    <w:p w14:paraId="4B01FDC6" w14:textId="77777777" w:rsidR="00CB6C86" w:rsidRPr="00395593" w:rsidRDefault="00CB6C86" w:rsidP="00B77F51">
      <w:pPr>
        <w:widowControl w:val="0"/>
        <w:autoSpaceDE w:val="0"/>
        <w:autoSpaceDN w:val="0"/>
        <w:spacing w:before="1" w:after="0" w:line="240" w:lineRule="auto"/>
        <w:jc w:val="both"/>
        <w:rPr>
          <w:rFonts w:ascii="Garamond" w:eastAsia="Times New Roman" w:hAnsi="Garamond" w:cs="Times New Roman"/>
          <w:sz w:val="24"/>
          <w:szCs w:val="24"/>
        </w:rPr>
      </w:pPr>
    </w:p>
    <w:p w14:paraId="26718540" w14:textId="77777777" w:rsidR="00CB6C86" w:rsidRPr="00395593" w:rsidRDefault="00CB6C86" w:rsidP="002C4340">
      <w:pPr>
        <w:widowControl w:val="0"/>
        <w:numPr>
          <w:ilvl w:val="0"/>
          <w:numId w:val="29"/>
        </w:numPr>
        <w:tabs>
          <w:tab w:val="left" w:pos="810"/>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O OSC designará representante cuja função será a de facilitar o</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processo de coleta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 informações.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 único propósito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representante será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garantir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 obtenção,</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devido tempo, da informação necessária para facilitar a rápida realização do subseqüente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exame multilateral da controvérsia. Em particular, o representante poderá sugerir os meios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mais eficazes de solicitar a informação necessária, assim como fomentar a cooperação entre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partes.</w:t>
      </w:r>
    </w:p>
    <w:p w14:paraId="6C11A670" w14:textId="77777777" w:rsidR="00CB6C86" w:rsidRPr="00395593" w:rsidRDefault="00CB6C86" w:rsidP="00B77F51">
      <w:pPr>
        <w:widowControl w:val="0"/>
        <w:autoSpaceDE w:val="0"/>
        <w:autoSpaceDN w:val="0"/>
        <w:spacing w:after="0" w:line="240" w:lineRule="auto"/>
        <w:jc w:val="both"/>
        <w:rPr>
          <w:rFonts w:ascii="Garamond" w:eastAsia="Times New Roman" w:hAnsi="Garamond" w:cs="Times New Roman"/>
          <w:sz w:val="24"/>
          <w:szCs w:val="24"/>
        </w:rPr>
      </w:pPr>
    </w:p>
    <w:p w14:paraId="7C2B0DBF" w14:textId="77777777" w:rsidR="00CB6C86" w:rsidRPr="00395593" w:rsidRDefault="00CB6C86" w:rsidP="002C4340">
      <w:pPr>
        <w:widowControl w:val="0"/>
        <w:numPr>
          <w:ilvl w:val="0"/>
          <w:numId w:val="29"/>
        </w:numPr>
        <w:tabs>
          <w:tab w:val="left" w:pos="810"/>
        </w:tabs>
        <w:autoSpaceDE w:val="0"/>
        <w:autoSpaceDN w:val="0"/>
        <w:spacing w:before="1" w:after="0" w:line="240" w:lineRule="auto"/>
        <w:ind w:right="119" w:firstLine="0"/>
        <w:jc w:val="both"/>
        <w:rPr>
          <w:rFonts w:ascii="Garamond" w:eastAsia="Times New Roman" w:hAnsi="Garamond" w:cs="Times New Roman"/>
          <w:sz w:val="24"/>
        </w:rPr>
      </w:pPr>
      <w:r w:rsidRPr="00395593">
        <w:rPr>
          <w:rFonts w:ascii="Garamond" w:eastAsia="Times New Roman" w:hAnsi="Garamond" w:cs="Times New Roman"/>
          <w:sz w:val="24"/>
        </w:rPr>
        <w:t>O processo de coleta de informação exposto nos parágrafos 2 a 4 será completado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 60 dias a contar da data na qual a matéria tenha sido submetida ao OSC, ao abrigo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 4 do Artigo 7. A informação obtida durante esse processo será submetida 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grupo especial estabelecido pelo OSC de acordo com as disposições da PARTE X. Essa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informação deveria incluir, </w:t>
      </w:r>
      <w:r w:rsidRPr="00395593">
        <w:rPr>
          <w:rFonts w:ascii="Garamond" w:eastAsia="Times New Roman" w:hAnsi="Garamond" w:cs="Times New Roman"/>
          <w:i/>
          <w:sz w:val="24"/>
        </w:rPr>
        <w:t>inter alia</w:t>
      </w:r>
      <w:r w:rsidRPr="00395593">
        <w:rPr>
          <w:rFonts w:ascii="Garamond" w:eastAsia="Times New Roman" w:hAnsi="Garamond" w:cs="Times New Roman"/>
          <w:sz w:val="24"/>
        </w:rPr>
        <w:t>, dados relativos ao montante do subsídio em questão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quando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apropriado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valor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vendas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totais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subsidiadas),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preços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produto subsidiado, preços do produto não-subsidiado, preços de outros fornecedores 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mercado,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variações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suprimento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produto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subsidiado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mercado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questão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variações nas participações no mercado. Deveria também incluir provas de refutação, assim</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como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toda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suplementar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grupo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especial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considere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relevante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estabelecer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suas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conclusões.</w:t>
      </w:r>
    </w:p>
    <w:p w14:paraId="1ABB4A5B" w14:textId="77777777" w:rsidR="00CB6C86" w:rsidRPr="00395593" w:rsidRDefault="00CB6C86" w:rsidP="00B77F51">
      <w:pPr>
        <w:widowControl w:val="0"/>
        <w:autoSpaceDE w:val="0"/>
        <w:autoSpaceDN w:val="0"/>
        <w:spacing w:after="0" w:line="240" w:lineRule="auto"/>
        <w:jc w:val="both"/>
        <w:rPr>
          <w:rFonts w:ascii="Garamond" w:eastAsia="Times New Roman" w:hAnsi="Garamond" w:cs="Times New Roman"/>
          <w:sz w:val="24"/>
          <w:szCs w:val="24"/>
        </w:rPr>
      </w:pPr>
    </w:p>
    <w:p w14:paraId="1E20432D" w14:textId="62999FF8" w:rsidR="009057A6" w:rsidRPr="00395593" w:rsidRDefault="00CB6C86" w:rsidP="002C4340">
      <w:pPr>
        <w:widowControl w:val="0"/>
        <w:numPr>
          <w:ilvl w:val="0"/>
          <w:numId w:val="29"/>
        </w:numPr>
        <w:tabs>
          <w:tab w:val="left" w:pos="870"/>
        </w:tabs>
        <w:autoSpaceDE w:val="0"/>
        <w:autoSpaceDN w:val="0"/>
        <w:spacing w:before="1"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Se o Membro outorgante do subsídio e/ou o terceiro país Membro não cooperarem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 o processo de coleta de informação, o Membro reclamante apresentará seu caso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grave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base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provas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disponha,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juntamente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fatos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circunstâncias</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21"/>
          <w:sz w:val="24"/>
        </w:rPr>
        <w:t xml:space="preserve"> </w:t>
      </w:r>
      <w:r w:rsidRPr="00395593">
        <w:rPr>
          <w:rFonts w:ascii="Garamond" w:eastAsia="Times New Roman" w:hAnsi="Garamond" w:cs="Times New Roman"/>
          <w:sz w:val="24"/>
        </w:rPr>
        <w:t>falta</w:t>
      </w:r>
      <w:r w:rsidRPr="00395593">
        <w:rPr>
          <w:rFonts w:ascii="Garamond" w:eastAsia="Times New Roman" w:hAnsi="Garamond" w:cs="Times New Roman"/>
          <w:spacing w:val="19"/>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2"/>
          <w:sz w:val="24"/>
        </w:rPr>
        <w:t xml:space="preserve"> </w:t>
      </w:r>
      <w:r w:rsidRPr="00395593">
        <w:rPr>
          <w:rFonts w:ascii="Garamond" w:eastAsia="Times New Roman" w:hAnsi="Garamond" w:cs="Times New Roman"/>
          <w:sz w:val="24"/>
        </w:rPr>
        <w:t>cooperação</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22"/>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outorgante</w:t>
      </w:r>
      <w:r w:rsidRPr="00395593">
        <w:rPr>
          <w:rFonts w:ascii="Garamond" w:eastAsia="Times New Roman" w:hAnsi="Garamond" w:cs="Times New Roman"/>
          <w:spacing w:val="19"/>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22"/>
          <w:sz w:val="24"/>
        </w:rPr>
        <w:t xml:space="preserve"> </w:t>
      </w:r>
      <w:r w:rsidRPr="00395593">
        <w:rPr>
          <w:rFonts w:ascii="Garamond" w:eastAsia="Times New Roman" w:hAnsi="Garamond" w:cs="Times New Roman"/>
          <w:sz w:val="24"/>
        </w:rPr>
        <w:t>subsídio</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e/ou</w:t>
      </w:r>
      <w:r w:rsidRPr="00395593">
        <w:rPr>
          <w:rFonts w:ascii="Garamond" w:eastAsia="Times New Roman" w:hAnsi="Garamond" w:cs="Times New Roman"/>
          <w:spacing w:val="20"/>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21"/>
          <w:sz w:val="24"/>
        </w:rPr>
        <w:t xml:space="preserve"> </w:t>
      </w:r>
      <w:r w:rsidRPr="00395593">
        <w:rPr>
          <w:rFonts w:ascii="Garamond" w:eastAsia="Times New Roman" w:hAnsi="Garamond" w:cs="Times New Roman"/>
          <w:sz w:val="24"/>
        </w:rPr>
        <w:t>terceiro</w:t>
      </w:r>
    </w:p>
    <w:p w14:paraId="568B4124" w14:textId="77777777" w:rsidR="00D84825" w:rsidRDefault="009057A6" w:rsidP="009057A6">
      <w:pPr>
        <w:tabs>
          <w:tab w:val="left" w:pos="870"/>
        </w:tabs>
        <w:rPr>
          <w:rFonts w:ascii="Garamond" w:eastAsia="Times New Roman" w:hAnsi="Garamond" w:cs="Times New Roman"/>
          <w:sz w:val="24"/>
        </w:rPr>
      </w:pPr>
      <w:r w:rsidRPr="00395593">
        <w:rPr>
          <w:rFonts w:ascii="Garamond" w:eastAsia="Times New Roman" w:hAnsi="Garamond" w:cs="Times New Roman"/>
          <w:sz w:val="24"/>
        </w:rPr>
        <w:tab/>
      </w:r>
    </w:p>
    <w:p w14:paraId="06481FEF" w14:textId="66F816B0" w:rsidR="009057A6" w:rsidRPr="005C5CBD" w:rsidRDefault="00CB6C86" w:rsidP="009057A6">
      <w:pPr>
        <w:tabs>
          <w:tab w:val="left" w:pos="870"/>
        </w:tabs>
        <w:rPr>
          <w:rFonts w:ascii="Garamond" w:eastAsia="Times New Roman" w:hAnsi="Garamond" w:cs="Times New Roman"/>
          <w:sz w:val="24"/>
          <w:highlight w:val="yellow"/>
        </w:rPr>
      </w:pPr>
      <w:r w:rsidRPr="005C5CBD">
        <w:rPr>
          <w:rFonts w:ascii="Garamond" w:eastAsia="Times New Roman" w:hAnsi="Garamond" w:cs="Times New Roman"/>
          <w:noProof/>
          <w:color w:val="2B579A"/>
          <w:sz w:val="24"/>
          <w:szCs w:val="24"/>
          <w:highlight w:val="yellow"/>
          <w:shd w:val="clear" w:color="auto" w:fill="E6E6E6"/>
          <w:lang w:eastAsia="pt-BR"/>
        </w:rPr>
        <mc:AlternateContent>
          <mc:Choice Requires="wps">
            <w:drawing>
              <wp:anchor distT="0" distB="0" distL="0" distR="0" simplePos="0" relativeHeight="251658289" behindDoc="1" locked="0" layoutInCell="1" allowOverlap="1" wp14:anchorId="112B4199" wp14:editId="2862FB75">
                <wp:simplePos x="0" y="0"/>
                <wp:positionH relativeFrom="page">
                  <wp:posOffset>1080770</wp:posOffset>
                </wp:positionH>
                <wp:positionV relativeFrom="paragraph">
                  <wp:posOffset>212090</wp:posOffset>
                </wp:positionV>
                <wp:extent cx="1828800" cy="7620"/>
                <wp:effectExtent l="4445" t="4445" r="0" b="0"/>
                <wp:wrapTopAndBottom/>
                <wp:docPr id="404" name="Retângulo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A62A0" id="Retângulo 404" o:spid="_x0000_s1026" style="position:absolute;margin-left:85.1pt;margin-top:16.7pt;width:2in;height:.6pt;z-index:-2516581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ybgAIAAP4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" fillcolor="black" stroked="f">
                <w10:wrap type="topAndBottom" anchorx="page"/>
              </v:rect>
            </w:pict>
          </mc:Fallback>
        </mc:AlternateContent>
      </w:r>
    </w:p>
    <w:p w14:paraId="4D23D1EA" w14:textId="58D1DE40" w:rsidR="00CB6C86" w:rsidRPr="00395593" w:rsidRDefault="00CB6C86" w:rsidP="009057A6">
      <w:pPr>
        <w:tabs>
          <w:tab w:val="left" w:pos="870"/>
        </w:tabs>
        <w:rPr>
          <w:rFonts w:ascii="Garamond" w:eastAsia="Times New Roman" w:hAnsi="Garamond" w:cs="Times New Roman"/>
          <w:sz w:val="20"/>
        </w:rPr>
      </w:pPr>
      <w:r w:rsidRPr="00890256">
        <w:rPr>
          <w:rFonts w:ascii="Garamond" w:eastAsia="Times New Roman" w:hAnsi="Garamond" w:cs="Times New Roman"/>
          <w:sz w:val="20"/>
          <w:vertAlign w:val="superscript"/>
        </w:rPr>
        <w:t>67</w:t>
      </w:r>
      <w:r w:rsidRPr="00890256">
        <w:rPr>
          <w:rFonts w:ascii="Garamond" w:eastAsia="Times New Roman" w:hAnsi="Garamond" w:cs="Times New Roman"/>
          <w:sz w:val="20"/>
        </w:rPr>
        <w:t xml:space="preserve"> O processo de coleta de informação pelo OSC levará em conta a necessidade de proteger-se informação que</w:t>
      </w:r>
      <w:r w:rsidRPr="00890256">
        <w:rPr>
          <w:rFonts w:ascii="Garamond" w:eastAsia="Times New Roman" w:hAnsi="Garamond" w:cs="Times New Roman"/>
          <w:spacing w:val="-47"/>
          <w:sz w:val="20"/>
        </w:rPr>
        <w:t xml:space="preserve"> </w:t>
      </w:r>
      <w:r w:rsidRPr="00890256">
        <w:rPr>
          <w:rFonts w:ascii="Garamond" w:eastAsia="Times New Roman" w:hAnsi="Garamond" w:cs="Times New Roman"/>
          <w:sz w:val="20"/>
        </w:rPr>
        <w:t>seja confidencial por sua própria natureza ou que tenha sido fornecida sob sigilo por qualquer Membro</w:t>
      </w:r>
      <w:r w:rsidRPr="00890256">
        <w:rPr>
          <w:rFonts w:ascii="Garamond" w:eastAsia="Times New Roman" w:hAnsi="Garamond" w:cs="Times New Roman"/>
          <w:spacing w:val="1"/>
          <w:sz w:val="20"/>
        </w:rPr>
        <w:t xml:space="preserve"> </w:t>
      </w:r>
      <w:r w:rsidRPr="00890256">
        <w:rPr>
          <w:rFonts w:ascii="Garamond" w:eastAsia="Times New Roman" w:hAnsi="Garamond" w:cs="Times New Roman"/>
          <w:sz w:val="20"/>
        </w:rPr>
        <w:t>envolvido nesse processo.</w:t>
      </w:r>
    </w:p>
    <w:p w14:paraId="7238DB11" w14:textId="41E2649D" w:rsidR="00CB6C86" w:rsidRPr="005C5CBD" w:rsidRDefault="00CB6C86" w:rsidP="00E33E26">
      <w:pPr>
        <w:widowControl w:val="0"/>
        <w:autoSpaceDE w:val="0"/>
        <w:autoSpaceDN w:val="0"/>
        <w:spacing w:after="0" w:line="240" w:lineRule="auto"/>
        <w:jc w:val="both"/>
        <w:rPr>
          <w:rFonts w:ascii="Garamond" w:eastAsia="Times New Roman" w:hAnsi="Garamond" w:cs="Times New Roman"/>
          <w:sz w:val="20"/>
        </w:rPr>
      </w:pPr>
    </w:p>
    <w:p w14:paraId="12085E26" w14:textId="77777777" w:rsidR="00D84825" w:rsidRDefault="00D84825">
      <w:pPr>
        <w:rPr>
          <w:rFonts w:ascii="Garamond" w:eastAsia="Times New Roman" w:hAnsi="Garamond" w:cs="Times New Roman"/>
          <w:sz w:val="24"/>
          <w:szCs w:val="24"/>
        </w:rPr>
      </w:pPr>
      <w:r>
        <w:rPr>
          <w:rFonts w:ascii="Garamond" w:eastAsia="Times New Roman" w:hAnsi="Garamond" w:cs="Times New Roman"/>
          <w:sz w:val="24"/>
          <w:szCs w:val="24"/>
        </w:rPr>
        <w:br w:type="page"/>
      </w:r>
    </w:p>
    <w:p w14:paraId="0A390BF2" w14:textId="0017A025" w:rsidR="00CB6C86" w:rsidRPr="00395593" w:rsidRDefault="00CB6C86" w:rsidP="00B77F51">
      <w:pPr>
        <w:widowControl w:val="0"/>
        <w:autoSpaceDE w:val="0"/>
        <w:autoSpaceDN w:val="0"/>
        <w:spacing w:before="68" w:after="0" w:line="240" w:lineRule="auto"/>
        <w:ind w:right="121"/>
        <w:jc w:val="both"/>
        <w:rPr>
          <w:rFonts w:ascii="Garamond" w:eastAsia="Times New Roman" w:hAnsi="Garamond" w:cs="Times New Roman"/>
          <w:sz w:val="24"/>
          <w:szCs w:val="24"/>
        </w:rPr>
      </w:pPr>
      <w:r w:rsidRPr="00395593">
        <w:rPr>
          <w:rFonts w:ascii="Garamond" w:eastAsia="Times New Roman" w:hAnsi="Garamond" w:cs="Times New Roman"/>
          <w:sz w:val="24"/>
          <w:szCs w:val="24"/>
        </w:rPr>
        <w:t>país Membro. Quando não se possa obter informação devido à falta de cooperação 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Membro outorgante do subsídio e/ou do terceiro país Membro, o grupo especial poderá</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completar</w:t>
      </w:r>
      <w:r w:rsidRPr="00395593">
        <w:rPr>
          <w:rFonts w:ascii="Garamond" w:eastAsia="Times New Roman" w:hAnsi="Garamond" w:cs="Times New Roman"/>
          <w:spacing w:val="-3"/>
          <w:sz w:val="24"/>
          <w:szCs w:val="24"/>
        </w:rPr>
        <w:t xml:space="preserve"> </w:t>
      </w:r>
      <w:r w:rsidRPr="00395593">
        <w:rPr>
          <w:rFonts w:ascii="Garamond" w:eastAsia="Times New Roman" w:hAnsi="Garamond" w:cs="Times New Roman"/>
          <w:sz w:val="24"/>
          <w:szCs w:val="24"/>
        </w:rPr>
        <w:t>o processo, se</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necessário,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com base</w:t>
      </w:r>
      <w:r w:rsidRPr="00395593">
        <w:rPr>
          <w:rFonts w:ascii="Garamond" w:eastAsia="Times New Roman" w:hAnsi="Garamond" w:cs="Times New Roman"/>
          <w:spacing w:val="-2"/>
          <w:sz w:val="24"/>
          <w:szCs w:val="24"/>
        </w:rPr>
        <w:t xml:space="preserve"> </w:t>
      </w:r>
      <w:r w:rsidRPr="00395593">
        <w:rPr>
          <w:rFonts w:ascii="Garamond" w:eastAsia="Times New Roman" w:hAnsi="Garamond" w:cs="Times New Roman"/>
          <w:sz w:val="24"/>
          <w:szCs w:val="24"/>
        </w:rPr>
        <w:t>na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melhor</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informação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disponível.</w:t>
      </w:r>
    </w:p>
    <w:p w14:paraId="498C04A0" w14:textId="77777777" w:rsidR="00CB6C86" w:rsidRPr="00395593" w:rsidRDefault="00CB6C86" w:rsidP="00B77F51">
      <w:pPr>
        <w:widowControl w:val="0"/>
        <w:autoSpaceDE w:val="0"/>
        <w:autoSpaceDN w:val="0"/>
        <w:spacing w:after="0" w:line="240" w:lineRule="auto"/>
        <w:jc w:val="both"/>
        <w:rPr>
          <w:rFonts w:ascii="Garamond" w:eastAsia="Times New Roman" w:hAnsi="Garamond" w:cs="Times New Roman"/>
          <w:sz w:val="24"/>
          <w:szCs w:val="24"/>
        </w:rPr>
      </w:pPr>
    </w:p>
    <w:p w14:paraId="1B9A536E" w14:textId="77777777" w:rsidR="00CB6C86" w:rsidRPr="00395593" w:rsidRDefault="00CB6C86" w:rsidP="002C4340">
      <w:pPr>
        <w:widowControl w:val="0"/>
        <w:numPr>
          <w:ilvl w:val="0"/>
          <w:numId w:val="29"/>
        </w:numPr>
        <w:tabs>
          <w:tab w:val="left" w:pos="810"/>
        </w:tabs>
        <w:autoSpaceDE w:val="0"/>
        <w:autoSpaceDN w:val="0"/>
        <w:spacing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formular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suas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conclusões,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grupo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especial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extrair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inferências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desfavoráveis dos casos de falta de cooperação por qualquer das partes envolvidas no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processo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coleta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informação.</w:t>
      </w:r>
    </w:p>
    <w:p w14:paraId="0A7F6C9E" w14:textId="77777777" w:rsidR="00CB6C86" w:rsidRPr="00395593" w:rsidRDefault="00CB6C86" w:rsidP="00B77F51">
      <w:pPr>
        <w:widowControl w:val="0"/>
        <w:autoSpaceDE w:val="0"/>
        <w:autoSpaceDN w:val="0"/>
        <w:spacing w:after="0" w:line="240" w:lineRule="auto"/>
        <w:jc w:val="both"/>
        <w:rPr>
          <w:rFonts w:ascii="Garamond" w:eastAsia="Times New Roman" w:hAnsi="Garamond" w:cs="Times New Roman"/>
          <w:sz w:val="24"/>
          <w:szCs w:val="24"/>
        </w:rPr>
      </w:pPr>
    </w:p>
    <w:p w14:paraId="5576B214" w14:textId="77777777" w:rsidR="00CB6C86" w:rsidRPr="00395593" w:rsidRDefault="00CB6C86" w:rsidP="002C4340">
      <w:pPr>
        <w:widowControl w:val="0"/>
        <w:numPr>
          <w:ilvl w:val="0"/>
          <w:numId w:val="29"/>
        </w:numPr>
        <w:tabs>
          <w:tab w:val="left" w:pos="810"/>
        </w:tabs>
        <w:autoSpaceDE w:val="0"/>
        <w:autoSpaceDN w:val="0"/>
        <w:spacing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determinar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utilização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melhor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disponível,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inferências desfavoráveis, o grupo especial considerará a opinião do representante do OSC</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designado ao abrigo do parágrafo 4 quanto ao caráter razoável dos pedidos de informação e</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aos esforços despendidos pelas partes para atender a esses pedidos de forma cooperativa 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oportuna.</w:t>
      </w:r>
    </w:p>
    <w:p w14:paraId="459A8A73" w14:textId="77777777" w:rsidR="00CB6C86" w:rsidRPr="00395593" w:rsidRDefault="00CB6C86" w:rsidP="00B77F51">
      <w:pPr>
        <w:widowControl w:val="0"/>
        <w:autoSpaceDE w:val="0"/>
        <w:autoSpaceDN w:val="0"/>
        <w:spacing w:before="1" w:after="0" w:line="240" w:lineRule="auto"/>
        <w:jc w:val="both"/>
        <w:rPr>
          <w:rFonts w:ascii="Garamond" w:eastAsia="Times New Roman" w:hAnsi="Garamond" w:cs="Times New Roman"/>
          <w:sz w:val="24"/>
          <w:szCs w:val="24"/>
        </w:rPr>
      </w:pPr>
    </w:p>
    <w:p w14:paraId="54BE27CE" w14:textId="77777777" w:rsidR="00CB6C86" w:rsidRPr="00395593" w:rsidRDefault="00CB6C86" w:rsidP="002C4340">
      <w:pPr>
        <w:widowControl w:val="0"/>
        <w:numPr>
          <w:ilvl w:val="0"/>
          <w:numId w:val="29"/>
        </w:numPr>
        <w:tabs>
          <w:tab w:val="left" w:pos="810"/>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Nada no processo de coleta de informação limitará o grupo especial na busca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informação suplementar que considere necessária para a boa solução da controvérsia e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não tenha sido pedida ou desenvolvida durante o processo. De maneira geral, porém,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grupo especial não deveria solicitar informação suplementar para completar o processo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sempre que tal informação venha apoiar posição específica de uma das partes e que 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ausência dessa informação no processo seja resultado de falta de cooperação injustificada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daquela parte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no processo 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coleta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informação.</w:t>
      </w:r>
    </w:p>
    <w:p w14:paraId="1E09F55C"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6"/>
          <w:szCs w:val="24"/>
        </w:rPr>
      </w:pPr>
    </w:p>
    <w:p w14:paraId="20ABA6E8" w14:textId="77777777" w:rsidR="00CB6C86" w:rsidRPr="00395593" w:rsidRDefault="00CB6C86" w:rsidP="00E33E26">
      <w:pPr>
        <w:widowControl w:val="0"/>
        <w:autoSpaceDE w:val="0"/>
        <w:autoSpaceDN w:val="0"/>
        <w:spacing w:after="0" w:line="240" w:lineRule="auto"/>
        <w:ind w:right="145"/>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ANEXO VI</w:t>
      </w:r>
    </w:p>
    <w:p w14:paraId="742EC5E7"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416B34E4" w14:textId="77777777" w:rsidR="00CB6C86" w:rsidRPr="00395593" w:rsidRDefault="00CB6C86" w:rsidP="00CB6C86">
      <w:pPr>
        <w:widowControl w:val="0"/>
        <w:autoSpaceDE w:val="0"/>
        <w:autoSpaceDN w:val="0"/>
        <w:spacing w:after="0" w:line="240" w:lineRule="auto"/>
        <w:ind w:right="146"/>
        <w:jc w:val="center"/>
        <w:rPr>
          <w:rFonts w:ascii="Garamond" w:eastAsia="Times New Roman" w:hAnsi="Garamond" w:cs="Times New Roman"/>
          <w:sz w:val="24"/>
        </w:rPr>
      </w:pPr>
      <w:r w:rsidRPr="00395593">
        <w:rPr>
          <w:rFonts w:ascii="Garamond" w:eastAsia="Times New Roman" w:hAnsi="Garamond" w:cs="Times New Roman"/>
          <w:b/>
          <w:sz w:val="24"/>
        </w:rPr>
        <w:t>PROCEDIMENTO</w:t>
      </w:r>
      <w:r w:rsidRPr="00395593">
        <w:rPr>
          <w:rFonts w:ascii="Garamond" w:eastAsia="Times New Roman" w:hAnsi="Garamond" w:cs="Times New Roman"/>
          <w:b/>
          <w:spacing w:val="-2"/>
          <w:sz w:val="24"/>
        </w:rPr>
        <w:t xml:space="preserve"> </w:t>
      </w:r>
      <w:r w:rsidRPr="00395593">
        <w:rPr>
          <w:rFonts w:ascii="Garamond" w:eastAsia="Times New Roman" w:hAnsi="Garamond" w:cs="Times New Roman"/>
          <w:b/>
          <w:sz w:val="24"/>
        </w:rPr>
        <w:t>A</w:t>
      </w:r>
      <w:r w:rsidRPr="00395593">
        <w:rPr>
          <w:rFonts w:ascii="Garamond" w:eastAsia="Times New Roman" w:hAnsi="Garamond" w:cs="Times New Roman"/>
          <w:b/>
          <w:spacing w:val="-3"/>
          <w:sz w:val="24"/>
        </w:rPr>
        <w:t xml:space="preserve"> </w:t>
      </w:r>
      <w:r w:rsidRPr="00395593">
        <w:rPr>
          <w:rFonts w:ascii="Garamond" w:eastAsia="Times New Roman" w:hAnsi="Garamond" w:cs="Times New Roman"/>
          <w:b/>
          <w:sz w:val="24"/>
        </w:rPr>
        <w:t>SER</w:t>
      </w:r>
      <w:r w:rsidRPr="00395593">
        <w:rPr>
          <w:rFonts w:ascii="Garamond" w:eastAsia="Times New Roman" w:hAnsi="Garamond" w:cs="Times New Roman"/>
          <w:b/>
          <w:spacing w:val="-3"/>
          <w:sz w:val="24"/>
        </w:rPr>
        <w:t xml:space="preserve"> </w:t>
      </w:r>
      <w:r w:rsidRPr="00395593">
        <w:rPr>
          <w:rFonts w:ascii="Garamond" w:eastAsia="Times New Roman" w:hAnsi="Garamond" w:cs="Times New Roman"/>
          <w:b/>
          <w:sz w:val="24"/>
        </w:rPr>
        <w:t>ADOTADO</w:t>
      </w:r>
      <w:r w:rsidRPr="00395593">
        <w:rPr>
          <w:rFonts w:ascii="Garamond" w:eastAsia="Times New Roman" w:hAnsi="Garamond" w:cs="Times New Roman"/>
          <w:b/>
          <w:spacing w:val="-3"/>
          <w:sz w:val="24"/>
        </w:rPr>
        <w:t xml:space="preserve"> </w:t>
      </w:r>
      <w:r w:rsidRPr="00395593">
        <w:rPr>
          <w:rFonts w:ascii="Garamond" w:eastAsia="Times New Roman" w:hAnsi="Garamond" w:cs="Times New Roman"/>
          <w:b/>
          <w:sz w:val="24"/>
        </w:rPr>
        <w:t>NAS</w:t>
      </w:r>
      <w:r w:rsidRPr="00395593">
        <w:rPr>
          <w:rFonts w:ascii="Garamond" w:eastAsia="Times New Roman" w:hAnsi="Garamond" w:cs="Times New Roman"/>
          <w:b/>
          <w:spacing w:val="-1"/>
          <w:sz w:val="24"/>
        </w:rPr>
        <w:t xml:space="preserve"> </w:t>
      </w:r>
      <w:r w:rsidRPr="00395593">
        <w:rPr>
          <w:rFonts w:ascii="Garamond" w:eastAsia="Times New Roman" w:hAnsi="Garamond" w:cs="Times New Roman"/>
          <w:b/>
          <w:sz w:val="24"/>
        </w:rPr>
        <w:t>INVESTIGAÇOES</w:t>
      </w:r>
      <w:r w:rsidRPr="00395593">
        <w:rPr>
          <w:rFonts w:ascii="Garamond" w:eastAsia="Times New Roman" w:hAnsi="Garamond" w:cs="Times New Roman"/>
          <w:b/>
          <w:spacing w:val="2"/>
          <w:sz w:val="24"/>
        </w:rPr>
        <w:t xml:space="preserve"> </w:t>
      </w:r>
      <w:r w:rsidRPr="00395593">
        <w:rPr>
          <w:rFonts w:ascii="Garamond" w:eastAsia="Times New Roman" w:hAnsi="Garamond" w:cs="Times New Roman"/>
          <w:b/>
          <w:i/>
          <w:sz w:val="24"/>
        </w:rPr>
        <w:t>IN</w:t>
      </w:r>
      <w:r w:rsidRPr="00395593">
        <w:rPr>
          <w:rFonts w:ascii="Garamond" w:eastAsia="Times New Roman" w:hAnsi="Garamond" w:cs="Times New Roman"/>
          <w:b/>
          <w:i/>
          <w:spacing w:val="-3"/>
          <w:sz w:val="24"/>
        </w:rPr>
        <w:t xml:space="preserve"> </w:t>
      </w:r>
      <w:r w:rsidRPr="00395593">
        <w:rPr>
          <w:rFonts w:ascii="Garamond" w:eastAsia="Times New Roman" w:hAnsi="Garamond" w:cs="Times New Roman"/>
          <w:b/>
          <w:i/>
          <w:sz w:val="24"/>
        </w:rPr>
        <w:t>SITU</w:t>
      </w:r>
      <w:r w:rsidRPr="00395593">
        <w:rPr>
          <w:rFonts w:ascii="Garamond" w:eastAsia="Times New Roman" w:hAnsi="Garamond" w:cs="Times New Roman"/>
          <w:b/>
          <w:i/>
          <w:spacing w:val="-4"/>
          <w:sz w:val="24"/>
        </w:rPr>
        <w:t xml:space="preserve"> </w:t>
      </w:r>
      <w:r w:rsidRPr="00395593">
        <w:rPr>
          <w:rFonts w:ascii="Garamond" w:eastAsia="Times New Roman" w:hAnsi="Garamond" w:cs="Times New Roman"/>
          <w:b/>
          <w:sz w:val="24"/>
        </w:rPr>
        <w:t>REALIZADAS</w:t>
      </w:r>
      <w:r w:rsidRPr="00395593">
        <w:rPr>
          <w:rFonts w:ascii="Garamond" w:eastAsia="Times New Roman" w:hAnsi="Garamond" w:cs="Times New Roman"/>
          <w:b/>
          <w:spacing w:val="-57"/>
          <w:sz w:val="24"/>
        </w:rPr>
        <w:t xml:space="preserve"> </w:t>
      </w:r>
      <w:r w:rsidRPr="00395593">
        <w:rPr>
          <w:rFonts w:ascii="Garamond" w:eastAsia="Times New Roman" w:hAnsi="Garamond" w:cs="Times New Roman"/>
          <w:b/>
          <w:sz w:val="24"/>
        </w:rPr>
        <w:t>CONFORME</w:t>
      </w:r>
      <w:r w:rsidRPr="00395593">
        <w:rPr>
          <w:rFonts w:ascii="Garamond" w:eastAsia="Times New Roman" w:hAnsi="Garamond" w:cs="Times New Roman"/>
          <w:b/>
          <w:spacing w:val="-1"/>
          <w:sz w:val="24"/>
        </w:rPr>
        <w:t xml:space="preserve"> </w:t>
      </w:r>
      <w:r w:rsidRPr="00395593">
        <w:rPr>
          <w:rFonts w:ascii="Garamond" w:eastAsia="Times New Roman" w:hAnsi="Garamond" w:cs="Times New Roman"/>
          <w:b/>
          <w:sz w:val="24"/>
        </w:rPr>
        <w:t>O PARÁGRAFO 8 DO ARTIGO</w:t>
      </w:r>
      <w:r w:rsidRPr="00395593">
        <w:rPr>
          <w:rFonts w:ascii="Garamond" w:eastAsia="Times New Roman" w:hAnsi="Garamond" w:cs="Times New Roman"/>
          <w:b/>
          <w:spacing w:val="1"/>
          <w:sz w:val="24"/>
        </w:rPr>
        <w:t xml:space="preserve"> </w:t>
      </w:r>
      <w:r w:rsidRPr="00395593">
        <w:rPr>
          <w:rFonts w:ascii="Garamond" w:eastAsia="Times New Roman" w:hAnsi="Garamond" w:cs="Times New Roman"/>
          <w:b/>
          <w:sz w:val="24"/>
        </w:rPr>
        <w:t>12</w:t>
      </w:r>
    </w:p>
    <w:p w14:paraId="48D8DFFA" w14:textId="77777777" w:rsidR="00CB6C86" w:rsidRPr="00395593" w:rsidRDefault="00CB6C86" w:rsidP="00CB6C86">
      <w:pPr>
        <w:widowControl w:val="0"/>
        <w:autoSpaceDE w:val="0"/>
        <w:autoSpaceDN w:val="0"/>
        <w:spacing w:before="1" w:after="0" w:line="240" w:lineRule="auto"/>
        <w:rPr>
          <w:rFonts w:ascii="Garamond" w:eastAsia="Times New Roman" w:hAnsi="Garamond" w:cs="Times New Roman"/>
          <w:sz w:val="24"/>
          <w:szCs w:val="24"/>
        </w:rPr>
      </w:pPr>
    </w:p>
    <w:p w14:paraId="431548CB" w14:textId="77777777" w:rsidR="00CB6C86" w:rsidRPr="00395593" w:rsidRDefault="00CB6C86" w:rsidP="002C4340">
      <w:pPr>
        <w:widowControl w:val="0"/>
        <w:numPr>
          <w:ilvl w:val="0"/>
          <w:numId w:val="28"/>
        </w:numPr>
        <w:tabs>
          <w:tab w:val="left" w:pos="810"/>
        </w:tabs>
        <w:autoSpaceDE w:val="0"/>
        <w:autoSpaceDN w:val="0"/>
        <w:spacing w:after="0" w:line="240" w:lineRule="auto"/>
        <w:ind w:right="122" w:firstLine="0"/>
        <w:jc w:val="both"/>
        <w:rPr>
          <w:rFonts w:ascii="Garamond" w:eastAsia="Times New Roman" w:hAnsi="Garamond" w:cs="Times New Roman"/>
          <w:sz w:val="24"/>
        </w:rPr>
      </w:pP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iniciar-se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uma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60"/>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saiba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estejam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envolvidas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informadas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intenção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realizarem-se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investigações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i/>
          <w:sz w:val="24"/>
        </w:rPr>
        <w:t>in situ</w:t>
      </w:r>
      <w:r w:rsidRPr="00395593">
        <w:rPr>
          <w:rFonts w:ascii="Garamond" w:eastAsia="Times New Roman" w:hAnsi="Garamond" w:cs="Times New Roman"/>
          <w:sz w:val="24"/>
        </w:rPr>
        <w:t>.</w:t>
      </w:r>
    </w:p>
    <w:p w14:paraId="22967ED2"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028C076C" w14:textId="77777777" w:rsidR="00CB6C86" w:rsidRPr="00395593" w:rsidRDefault="00CB6C86" w:rsidP="002C4340">
      <w:pPr>
        <w:widowControl w:val="0"/>
        <w:numPr>
          <w:ilvl w:val="0"/>
          <w:numId w:val="28"/>
        </w:numPr>
        <w:tabs>
          <w:tab w:val="left" w:pos="810"/>
        </w:tabs>
        <w:autoSpaceDE w:val="0"/>
        <w:autoSpaceDN w:val="0"/>
        <w:spacing w:after="0" w:line="240" w:lineRule="auto"/>
        <w:ind w:right="114" w:firstLine="0"/>
        <w:jc w:val="both"/>
        <w:rPr>
          <w:rFonts w:ascii="Garamond" w:eastAsia="Times New Roman" w:hAnsi="Garamond" w:cs="Times New Roman"/>
          <w:sz w:val="24"/>
        </w:rPr>
      </w:pPr>
      <w:r w:rsidRPr="00395593">
        <w:rPr>
          <w:rFonts w:ascii="Garamond" w:eastAsia="Times New Roman" w:hAnsi="Garamond" w:cs="Times New Roman"/>
          <w:sz w:val="24"/>
        </w:rPr>
        <w:t>Se, em circunstâncias excepcionais, houver intenção de incluir especialistas não-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governamentais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equipe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investigadora,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deverão disso ser informadas.</w:t>
      </w:r>
    </w:p>
    <w:p w14:paraId="51057880"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59EC9E2B" w14:textId="77777777" w:rsidR="00CB6C86" w:rsidRPr="00395593" w:rsidRDefault="00CB6C86" w:rsidP="002C4340">
      <w:pPr>
        <w:widowControl w:val="0"/>
        <w:numPr>
          <w:ilvl w:val="0"/>
          <w:numId w:val="28"/>
        </w:numPr>
        <w:tabs>
          <w:tab w:val="left" w:pos="810"/>
        </w:tabs>
        <w:autoSpaceDE w:val="0"/>
        <w:autoSpaceDN w:val="0"/>
        <w:spacing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Deverá considerar-se prática corrente a obtenção de anuência expressa das empresas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envolvidas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no Membro exportador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antes de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a</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visita ser definitivamente</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marcada.</w:t>
      </w:r>
    </w:p>
    <w:p w14:paraId="657CB607"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7C6025A6" w14:textId="77777777" w:rsidR="00CB6C86" w:rsidRPr="00395593" w:rsidRDefault="00CB6C86" w:rsidP="002C4340">
      <w:pPr>
        <w:widowControl w:val="0"/>
        <w:numPr>
          <w:ilvl w:val="0"/>
          <w:numId w:val="28"/>
        </w:numPr>
        <w:tabs>
          <w:tab w:val="left" w:pos="810"/>
        </w:tabs>
        <w:autoSpaceDE w:val="0"/>
        <w:autoSpaceDN w:val="0"/>
        <w:spacing w:before="1"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Tão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logo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obtido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consentimento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envolvidas,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investigadoras</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deverão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notificar</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às</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exportador</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nomes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56"/>
          <w:sz w:val="24"/>
        </w:rPr>
        <w:t xml:space="preserve"> </w:t>
      </w:r>
      <w:r w:rsidRPr="00395593">
        <w:rPr>
          <w:rFonts w:ascii="Garamond" w:eastAsia="Times New Roman" w:hAnsi="Garamond" w:cs="Times New Roman"/>
          <w:sz w:val="24"/>
        </w:rPr>
        <w:t>os</w:t>
      </w:r>
      <w:r w:rsidRPr="00395593">
        <w:rPr>
          <w:rFonts w:ascii="Garamond" w:eastAsia="Times New Roman" w:hAnsi="Garamond" w:cs="Times New Roman"/>
          <w:spacing w:val="-58"/>
          <w:sz w:val="24"/>
        </w:rPr>
        <w:t xml:space="preserve"> </w:t>
      </w:r>
      <w:r w:rsidRPr="00395593">
        <w:rPr>
          <w:rFonts w:ascii="Garamond" w:eastAsia="Times New Roman" w:hAnsi="Garamond" w:cs="Times New Roman"/>
          <w:sz w:val="24"/>
        </w:rPr>
        <w:t>endereços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 empresas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visitadas</w:t>
      </w:r>
      <w:r w:rsidRPr="00395593">
        <w:rPr>
          <w:rFonts w:ascii="Garamond" w:eastAsia="Times New Roman" w:hAnsi="Garamond" w:cs="Times New Roman"/>
          <w:spacing w:val="2"/>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 datas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 visitas.</w:t>
      </w:r>
    </w:p>
    <w:p w14:paraId="0F913BDB" w14:textId="77777777" w:rsidR="00CB6C86" w:rsidRPr="00395593" w:rsidRDefault="00CB6C86" w:rsidP="00ED7102">
      <w:pPr>
        <w:widowControl w:val="0"/>
        <w:autoSpaceDE w:val="0"/>
        <w:autoSpaceDN w:val="0"/>
        <w:spacing w:before="11" w:after="0" w:line="240" w:lineRule="auto"/>
        <w:jc w:val="both"/>
        <w:rPr>
          <w:rFonts w:ascii="Garamond" w:eastAsia="Times New Roman" w:hAnsi="Garamond" w:cs="Times New Roman"/>
          <w:sz w:val="23"/>
          <w:szCs w:val="24"/>
        </w:rPr>
      </w:pPr>
    </w:p>
    <w:p w14:paraId="51B1FF6C" w14:textId="77777777" w:rsidR="00CB6C86" w:rsidRPr="00395593" w:rsidRDefault="00CB6C86" w:rsidP="002C4340">
      <w:pPr>
        <w:widowControl w:val="0"/>
        <w:numPr>
          <w:ilvl w:val="0"/>
          <w:numId w:val="28"/>
        </w:numPr>
        <w:tabs>
          <w:tab w:val="left" w:pos="810"/>
        </w:tabs>
        <w:autoSpaceDE w:val="0"/>
        <w:autoSpaceDN w:val="0"/>
        <w:spacing w:after="0" w:line="240" w:lineRule="auto"/>
        <w:ind w:right="123" w:firstLine="0"/>
        <w:jc w:val="both"/>
        <w:rPr>
          <w:rFonts w:ascii="Garamond" w:eastAsia="Times New Roman" w:hAnsi="Garamond" w:cs="Times New Roman"/>
          <w:sz w:val="24"/>
        </w:rPr>
      </w:pPr>
      <w:r w:rsidRPr="00395593">
        <w:rPr>
          <w:rFonts w:ascii="Garamond" w:eastAsia="Times New Roman" w:hAnsi="Garamond" w:cs="Times New Roman"/>
          <w:sz w:val="24"/>
        </w:rPr>
        <w:t>As empresas envolvidas deverão ser informadas com suficiente antecedência 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intenção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visita.</w:t>
      </w:r>
    </w:p>
    <w:p w14:paraId="34A0BB49" w14:textId="77777777" w:rsidR="00CB6C86" w:rsidRPr="00395593" w:rsidRDefault="00CB6C86" w:rsidP="00CB6C86">
      <w:pPr>
        <w:widowControl w:val="0"/>
        <w:autoSpaceDE w:val="0"/>
        <w:autoSpaceDN w:val="0"/>
        <w:spacing w:after="0" w:line="240" w:lineRule="auto"/>
        <w:jc w:val="both"/>
        <w:rPr>
          <w:rFonts w:ascii="Garamond" w:eastAsia="Times New Roman" w:hAnsi="Garamond" w:cs="Times New Roman"/>
          <w:sz w:val="24"/>
        </w:rPr>
        <w:sectPr w:rsidR="00CB6C86" w:rsidRPr="00395593" w:rsidSect="00E15FBB">
          <w:footerReference w:type="default" r:id="rId233"/>
          <w:footerReference w:type="first" r:id="rId234"/>
          <w:pgSz w:w="12240" w:h="15840"/>
          <w:pgMar w:top="1418" w:right="1580" w:bottom="280" w:left="1418" w:header="720" w:footer="720" w:gutter="0"/>
          <w:cols w:space="720"/>
        </w:sectPr>
      </w:pPr>
    </w:p>
    <w:p w14:paraId="153DAC53" w14:textId="77777777" w:rsidR="00CB6C86" w:rsidRPr="00395593" w:rsidRDefault="00CB6C86" w:rsidP="002C4340">
      <w:pPr>
        <w:widowControl w:val="0"/>
        <w:numPr>
          <w:ilvl w:val="0"/>
          <w:numId w:val="28"/>
        </w:numPr>
        <w:tabs>
          <w:tab w:val="left" w:pos="810"/>
        </w:tabs>
        <w:autoSpaceDE w:val="0"/>
        <w:autoSpaceDN w:val="0"/>
        <w:spacing w:before="1"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Visitas para explicar um questionário só deverão ser realizadas a pedido da empresa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exportadora. No caso de semelhante pedido, as autoridades investigadoras deverão colocar-</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se à disposição da empresa; essa visita apenas poderá realizar-se quando: (a) as 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 Membro importador tenham notificado os representantes do governo do Membro em</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questão;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(b) estas últimas não tenham objeção 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visita.</w:t>
      </w:r>
    </w:p>
    <w:p w14:paraId="7A08A698"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38EC0922" w14:textId="77777777" w:rsidR="00CB6C86" w:rsidRPr="00395593" w:rsidRDefault="00CB6C86" w:rsidP="002C4340">
      <w:pPr>
        <w:widowControl w:val="0"/>
        <w:numPr>
          <w:ilvl w:val="0"/>
          <w:numId w:val="28"/>
        </w:numPr>
        <w:tabs>
          <w:tab w:val="left" w:pos="810"/>
        </w:tabs>
        <w:autoSpaceDE w:val="0"/>
        <w:autoSpaceDN w:val="0"/>
        <w:spacing w:after="0" w:line="240" w:lineRule="auto"/>
        <w:ind w:right="115" w:firstLine="0"/>
        <w:jc w:val="both"/>
        <w:rPr>
          <w:rFonts w:ascii="Garamond" w:eastAsia="Times New Roman" w:hAnsi="Garamond" w:cs="Times New Roman"/>
          <w:sz w:val="24"/>
        </w:rPr>
      </w:pPr>
      <w:r w:rsidRPr="00395593">
        <w:rPr>
          <w:rFonts w:ascii="Garamond" w:eastAsia="Times New Roman" w:hAnsi="Garamond" w:cs="Times New Roman"/>
          <w:sz w:val="24"/>
        </w:rPr>
        <w:t xml:space="preserve">Uma vez que o objetivo principal das investigações </w:t>
      </w:r>
      <w:r w:rsidRPr="00395593">
        <w:rPr>
          <w:rFonts w:ascii="Garamond" w:eastAsia="Times New Roman" w:hAnsi="Garamond" w:cs="Times New Roman"/>
          <w:i/>
          <w:sz w:val="24"/>
        </w:rPr>
        <w:t xml:space="preserve">in situ </w:t>
      </w:r>
      <w:r w:rsidRPr="00395593">
        <w:rPr>
          <w:rFonts w:ascii="Garamond" w:eastAsia="Times New Roman" w:hAnsi="Garamond" w:cs="Times New Roman"/>
          <w:sz w:val="24"/>
        </w:rPr>
        <w:t>é verificar informação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fornecida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obter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maiores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esclarecimentos,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mesmas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realizar-se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após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recebimento das respostas aos questionários, a menos que a empresa concorde em que se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proceda diversamente e que o governo do Membro exportador seja informado da visita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antecipada pelas autoridades investigadoras e a isso não ponha objeção; mais ainda, deverá</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ser procedimento corrente, anteriormente à visita, informar as empresas sobre a natureza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geral da informação que se pretende verificar e sobre qualquer informação suplementar 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deva ser fornecida, embora tal prática não deva coibir solicitações de mais pormenores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formuladas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localmente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luz</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das informações obtidas.</w:t>
      </w:r>
    </w:p>
    <w:p w14:paraId="52273731" w14:textId="77777777" w:rsidR="00CB6C86" w:rsidRPr="00395593" w:rsidRDefault="00CB6C86" w:rsidP="00ED7102">
      <w:pPr>
        <w:widowControl w:val="0"/>
        <w:autoSpaceDE w:val="0"/>
        <w:autoSpaceDN w:val="0"/>
        <w:spacing w:before="1" w:after="0" w:line="240" w:lineRule="auto"/>
        <w:jc w:val="both"/>
        <w:rPr>
          <w:rFonts w:ascii="Garamond" w:eastAsia="Times New Roman" w:hAnsi="Garamond" w:cs="Times New Roman"/>
          <w:sz w:val="24"/>
          <w:szCs w:val="24"/>
        </w:rPr>
      </w:pPr>
    </w:p>
    <w:p w14:paraId="457D2479" w14:textId="4BFD1EBF" w:rsidR="00CB6C86" w:rsidRPr="00395593" w:rsidRDefault="00CB6C86" w:rsidP="002C4340">
      <w:pPr>
        <w:widowControl w:val="0"/>
        <w:numPr>
          <w:ilvl w:val="0"/>
          <w:numId w:val="28"/>
        </w:numPr>
        <w:tabs>
          <w:tab w:val="left" w:pos="810"/>
        </w:tabs>
        <w:autoSpaceDE w:val="0"/>
        <w:autoSpaceDN w:val="0"/>
        <w:spacing w:after="0" w:line="240" w:lineRule="auto"/>
        <w:ind w:right="121" w:firstLine="0"/>
        <w:jc w:val="both"/>
        <w:rPr>
          <w:rFonts w:ascii="Garamond" w:eastAsia="Times New Roman" w:hAnsi="Garamond" w:cs="Times New Roman"/>
          <w:sz w:val="24"/>
        </w:rPr>
      </w:pPr>
      <w:r w:rsidRPr="00395593">
        <w:rPr>
          <w:rFonts w:ascii="Garamond" w:eastAsia="Times New Roman" w:hAnsi="Garamond" w:cs="Times New Roman"/>
          <w:sz w:val="24"/>
        </w:rPr>
        <w:t>Sempre que possível,</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as respostas aos pedidos de informações 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às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perguntas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formuladas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pelas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autoridades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ou</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empresas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Membro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exportador,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essenciais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ao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bom</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andamento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investigação </w:t>
      </w:r>
      <w:r w:rsidRPr="00395593">
        <w:rPr>
          <w:rFonts w:ascii="Garamond" w:eastAsia="Times New Roman" w:hAnsi="Garamond" w:cs="Times New Roman"/>
          <w:i/>
          <w:sz w:val="24"/>
        </w:rPr>
        <w:t>in situ</w:t>
      </w:r>
      <w:r w:rsidRPr="00395593">
        <w:rPr>
          <w:rFonts w:ascii="Garamond" w:eastAsia="Times New Roman" w:hAnsi="Garamond" w:cs="Times New Roman"/>
          <w:sz w:val="24"/>
        </w:rPr>
        <w:t>,</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deverão ser</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fornecidas antes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realização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visita.</w:t>
      </w:r>
    </w:p>
    <w:p w14:paraId="48915CD4" w14:textId="77777777" w:rsidR="00ED7102" w:rsidRPr="00395593" w:rsidRDefault="00ED7102" w:rsidP="00ED7102">
      <w:pPr>
        <w:widowControl w:val="0"/>
        <w:tabs>
          <w:tab w:val="left" w:pos="810"/>
        </w:tabs>
        <w:autoSpaceDE w:val="0"/>
        <w:autoSpaceDN w:val="0"/>
        <w:spacing w:after="0" w:line="240" w:lineRule="auto"/>
        <w:ind w:left="102" w:right="121"/>
        <w:jc w:val="both"/>
        <w:rPr>
          <w:rFonts w:ascii="Garamond" w:eastAsia="Times New Roman" w:hAnsi="Garamond" w:cs="Times New Roman"/>
          <w:sz w:val="24"/>
        </w:rPr>
      </w:pPr>
    </w:p>
    <w:p w14:paraId="6CED0F58" w14:textId="77777777" w:rsidR="00CB6C86" w:rsidRPr="005C5CBD" w:rsidRDefault="00CB6C86" w:rsidP="00BF7B8D">
      <w:pPr>
        <w:pStyle w:val="Corpodetexto"/>
        <w:jc w:val="center"/>
        <w:rPr>
          <w:rFonts w:ascii="Garamond" w:hAnsi="Garamond"/>
          <w:b/>
        </w:rPr>
      </w:pPr>
      <w:r w:rsidRPr="005C5CBD">
        <w:rPr>
          <w:rFonts w:ascii="Garamond" w:hAnsi="Garamond"/>
          <w:b/>
        </w:rPr>
        <w:t>ANEXO VII</w:t>
      </w:r>
    </w:p>
    <w:p w14:paraId="5D72978E" w14:textId="77777777" w:rsidR="00CB6C86" w:rsidRPr="00395593" w:rsidRDefault="00CB6C86" w:rsidP="00CB6C86">
      <w:pPr>
        <w:widowControl w:val="0"/>
        <w:autoSpaceDE w:val="0"/>
        <w:autoSpaceDN w:val="0"/>
        <w:spacing w:after="0" w:line="240" w:lineRule="auto"/>
        <w:rPr>
          <w:rFonts w:ascii="Garamond" w:eastAsia="Times New Roman" w:hAnsi="Garamond" w:cs="Times New Roman"/>
          <w:b/>
          <w:sz w:val="24"/>
          <w:szCs w:val="24"/>
        </w:rPr>
      </w:pPr>
    </w:p>
    <w:p w14:paraId="6C36E6BD" w14:textId="77777777" w:rsidR="009057A6" w:rsidRPr="00395593" w:rsidRDefault="00CB6C86" w:rsidP="00CB6C86">
      <w:pPr>
        <w:widowControl w:val="0"/>
        <w:autoSpaceDE w:val="0"/>
        <w:autoSpaceDN w:val="0"/>
        <w:spacing w:after="0" w:line="240" w:lineRule="auto"/>
        <w:ind w:right="146"/>
        <w:jc w:val="center"/>
        <w:rPr>
          <w:rFonts w:ascii="Garamond" w:eastAsia="Times New Roman" w:hAnsi="Garamond" w:cs="Times New Roman"/>
          <w:b/>
          <w:spacing w:val="1"/>
          <w:sz w:val="24"/>
        </w:rPr>
      </w:pPr>
      <w:r w:rsidRPr="00395593">
        <w:rPr>
          <w:rFonts w:ascii="Garamond" w:eastAsia="Times New Roman" w:hAnsi="Garamond" w:cs="Times New Roman"/>
          <w:b/>
          <w:sz w:val="24"/>
        </w:rPr>
        <w:t>PAÍSES</w:t>
      </w:r>
      <w:r w:rsidRPr="00395593">
        <w:rPr>
          <w:rFonts w:ascii="Garamond" w:eastAsia="Times New Roman" w:hAnsi="Garamond" w:cs="Times New Roman"/>
          <w:b/>
          <w:spacing w:val="-2"/>
          <w:sz w:val="24"/>
        </w:rPr>
        <w:t xml:space="preserve"> </w:t>
      </w:r>
      <w:r w:rsidRPr="00395593">
        <w:rPr>
          <w:rFonts w:ascii="Garamond" w:eastAsia="Times New Roman" w:hAnsi="Garamond" w:cs="Times New Roman"/>
          <w:b/>
          <w:sz w:val="24"/>
        </w:rPr>
        <w:t>EM</w:t>
      </w:r>
      <w:r w:rsidRPr="00395593">
        <w:rPr>
          <w:rFonts w:ascii="Garamond" w:eastAsia="Times New Roman" w:hAnsi="Garamond" w:cs="Times New Roman"/>
          <w:b/>
          <w:spacing w:val="-2"/>
          <w:sz w:val="24"/>
        </w:rPr>
        <w:t xml:space="preserve"> </w:t>
      </w:r>
      <w:r w:rsidRPr="00395593">
        <w:rPr>
          <w:rFonts w:ascii="Garamond" w:eastAsia="Times New Roman" w:hAnsi="Garamond" w:cs="Times New Roman"/>
          <w:b/>
          <w:sz w:val="24"/>
        </w:rPr>
        <w:t>DESENVOLVIMENTO</w:t>
      </w:r>
      <w:r w:rsidRPr="00395593">
        <w:rPr>
          <w:rFonts w:ascii="Garamond" w:eastAsia="Times New Roman" w:hAnsi="Garamond" w:cs="Times New Roman"/>
          <w:b/>
          <w:spacing w:val="-2"/>
          <w:sz w:val="24"/>
        </w:rPr>
        <w:t xml:space="preserve"> </w:t>
      </w:r>
      <w:r w:rsidRPr="00395593">
        <w:rPr>
          <w:rFonts w:ascii="Garamond" w:eastAsia="Times New Roman" w:hAnsi="Garamond" w:cs="Times New Roman"/>
          <w:b/>
          <w:sz w:val="24"/>
        </w:rPr>
        <w:t>MEMBROS</w:t>
      </w:r>
      <w:r w:rsidRPr="00395593">
        <w:rPr>
          <w:rFonts w:ascii="Garamond" w:eastAsia="Times New Roman" w:hAnsi="Garamond" w:cs="Times New Roman"/>
          <w:b/>
          <w:spacing w:val="-2"/>
          <w:sz w:val="24"/>
        </w:rPr>
        <w:t xml:space="preserve"> </w:t>
      </w:r>
      <w:r w:rsidRPr="00395593">
        <w:rPr>
          <w:rFonts w:ascii="Garamond" w:eastAsia="Times New Roman" w:hAnsi="Garamond" w:cs="Times New Roman"/>
          <w:b/>
          <w:sz w:val="24"/>
        </w:rPr>
        <w:t>A</w:t>
      </w:r>
      <w:r w:rsidRPr="00395593">
        <w:rPr>
          <w:rFonts w:ascii="Garamond" w:eastAsia="Times New Roman" w:hAnsi="Garamond" w:cs="Times New Roman"/>
          <w:b/>
          <w:spacing w:val="-2"/>
          <w:sz w:val="24"/>
        </w:rPr>
        <w:t xml:space="preserve"> </w:t>
      </w:r>
      <w:r w:rsidRPr="00395593">
        <w:rPr>
          <w:rFonts w:ascii="Garamond" w:eastAsia="Times New Roman" w:hAnsi="Garamond" w:cs="Times New Roman"/>
          <w:b/>
          <w:sz w:val="24"/>
        </w:rPr>
        <w:t>QUE</w:t>
      </w:r>
      <w:r w:rsidRPr="00395593">
        <w:rPr>
          <w:rFonts w:ascii="Garamond" w:eastAsia="Times New Roman" w:hAnsi="Garamond" w:cs="Times New Roman"/>
          <w:b/>
          <w:spacing w:val="-3"/>
          <w:sz w:val="24"/>
        </w:rPr>
        <w:t xml:space="preserve"> </w:t>
      </w:r>
      <w:r w:rsidRPr="00395593">
        <w:rPr>
          <w:rFonts w:ascii="Garamond" w:eastAsia="Times New Roman" w:hAnsi="Garamond" w:cs="Times New Roman"/>
          <w:b/>
          <w:sz w:val="24"/>
        </w:rPr>
        <w:t>SE</w:t>
      </w:r>
      <w:r w:rsidRPr="00395593">
        <w:rPr>
          <w:rFonts w:ascii="Garamond" w:eastAsia="Times New Roman" w:hAnsi="Garamond" w:cs="Times New Roman"/>
          <w:b/>
          <w:spacing w:val="-1"/>
          <w:sz w:val="24"/>
        </w:rPr>
        <w:t xml:space="preserve"> </w:t>
      </w:r>
      <w:r w:rsidRPr="00395593">
        <w:rPr>
          <w:rFonts w:ascii="Garamond" w:eastAsia="Times New Roman" w:hAnsi="Garamond" w:cs="Times New Roman"/>
          <w:b/>
          <w:sz w:val="24"/>
        </w:rPr>
        <w:t>REFERE</w:t>
      </w:r>
      <w:r w:rsidRPr="00395593">
        <w:rPr>
          <w:rFonts w:ascii="Garamond" w:eastAsia="Times New Roman" w:hAnsi="Garamond" w:cs="Times New Roman"/>
          <w:b/>
          <w:spacing w:val="-2"/>
          <w:sz w:val="24"/>
        </w:rPr>
        <w:t xml:space="preserve"> </w:t>
      </w:r>
      <w:r w:rsidRPr="00395593">
        <w:rPr>
          <w:rFonts w:ascii="Garamond" w:eastAsia="Times New Roman" w:hAnsi="Garamond" w:cs="Times New Roman"/>
          <w:b/>
          <w:sz w:val="24"/>
        </w:rPr>
        <w:t>O</w:t>
      </w:r>
      <w:r w:rsidRPr="00395593">
        <w:rPr>
          <w:rFonts w:ascii="Garamond" w:eastAsia="Times New Roman" w:hAnsi="Garamond" w:cs="Times New Roman"/>
          <w:b/>
          <w:spacing w:val="-1"/>
          <w:sz w:val="24"/>
        </w:rPr>
        <w:t xml:space="preserve"> </w:t>
      </w:r>
      <w:r w:rsidRPr="00395593">
        <w:rPr>
          <w:rFonts w:ascii="Garamond" w:eastAsia="Times New Roman" w:hAnsi="Garamond" w:cs="Times New Roman"/>
          <w:b/>
          <w:sz w:val="24"/>
        </w:rPr>
        <w:t>PARÁGRAFO</w:t>
      </w:r>
      <w:r w:rsidRPr="00395593">
        <w:rPr>
          <w:rFonts w:ascii="Garamond" w:eastAsia="Times New Roman" w:hAnsi="Garamond" w:cs="Times New Roman"/>
          <w:b/>
          <w:spacing w:val="-57"/>
          <w:sz w:val="24"/>
        </w:rPr>
        <w:t xml:space="preserve"> </w:t>
      </w:r>
      <w:r w:rsidRPr="00395593">
        <w:rPr>
          <w:rFonts w:ascii="Garamond" w:eastAsia="Times New Roman" w:hAnsi="Garamond" w:cs="Times New Roman"/>
          <w:b/>
          <w:sz w:val="24"/>
        </w:rPr>
        <w:t>2(A)</w:t>
      </w:r>
      <w:r w:rsidRPr="00395593">
        <w:rPr>
          <w:rFonts w:ascii="Garamond" w:eastAsia="Times New Roman" w:hAnsi="Garamond" w:cs="Times New Roman"/>
          <w:b/>
          <w:spacing w:val="-1"/>
          <w:sz w:val="24"/>
        </w:rPr>
        <w:t xml:space="preserve"> </w:t>
      </w:r>
      <w:r w:rsidRPr="00395593">
        <w:rPr>
          <w:rFonts w:ascii="Garamond" w:eastAsia="Times New Roman" w:hAnsi="Garamond" w:cs="Times New Roman"/>
          <w:b/>
          <w:sz w:val="24"/>
        </w:rPr>
        <w:t>DO</w:t>
      </w:r>
      <w:r w:rsidRPr="00395593">
        <w:rPr>
          <w:rFonts w:ascii="Garamond" w:eastAsia="Times New Roman" w:hAnsi="Garamond" w:cs="Times New Roman"/>
          <w:b/>
          <w:spacing w:val="1"/>
          <w:sz w:val="24"/>
        </w:rPr>
        <w:t xml:space="preserve"> </w:t>
      </w:r>
    </w:p>
    <w:p w14:paraId="6CDC8DDA" w14:textId="77777777" w:rsidR="009057A6" w:rsidRPr="00395593" w:rsidRDefault="009057A6" w:rsidP="00CB6C86">
      <w:pPr>
        <w:widowControl w:val="0"/>
        <w:autoSpaceDE w:val="0"/>
        <w:autoSpaceDN w:val="0"/>
        <w:spacing w:after="0" w:line="240" w:lineRule="auto"/>
        <w:ind w:right="146"/>
        <w:jc w:val="center"/>
        <w:rPr>
          <w:rFonts w:ascii="Garamond" w:eastAsia="Times New Roman" w:hAnsi="Garamond" w:cs="Times New Roman"/>
          <w:b/>
          <w:spacing w:val="1"/>
          <w:sz w:val="24"/>
        </w:rPr>
      </w:pPr>
    </w:p>
    <w:p w14:paraId="102D14B4" w14:textId="048CBF2B" w:rsidR="00CB6C86" w:rsidRPr="00395593" w:rsidRDefault="00BF7B8D" w:rsidP="00BF7B8D">
      <w:pPr>
        <w:widowControl w:val="0"/>
        <w:tabs>
          <w:tab w:val="left" w:pos="6435"/>
          <w:tab w:val="center" w:pos="7227"/>
        </w:tabs>
        <w:autoSpaceDE w:val="0"/>
        <w:autoSpaceDN w:val="0"/>
        <w:spacing w:after="0" w:line="240" w:lineRule="auto"/>
        <w:ind w:right="146"/>
        <w:rPr>
          <w:rFonts w:ascii="Garamond" w:eastAsia="Times New Roman" w:hAnsi="Garamond" w:cs="Times New Roman"/>
          <w:b/>
          <w:sz w:val="24"/>
        </w:rPr>
      </w:pPr>
      <w:r>
        <w:rPr>
          <w:rFonts w:ascii="Garamond" w:eastAsia="Times New Roman" w:hAnsi="Garamond" w:cs="Times New Roman"/>
          <w:b/>
          <w:sz w:val="24"/>
        </w:rPr>
        <w:tab/>
      </w:r>
      <w:r>
        <w:rPr>
          <w:rFonts w:ascii="Garamond" w:eastAsia="Times New Roman" w:hAnsi="Garamond" w:cs="Times New Roman"/>
          <w:b/>
          <w:sz w:val="24"/>
        </w:rPr>
        <w:tab/>
      </w:r>
      <w:r w:rsidR="00CB6C86" w:rsidRPr="00395593">
        <w:rPr>
          <w:rFonts w:ascii="Garamond" w:eastAsia="Times New Roman" w:hAnsi="Garamond" w:cs="Times New Roman"/>
          <w:b/>
          <w:sz w:val="24"/>
        </w:rPr>
        <w:t>ARTIGO</w:t>
      </w:r>
      <w:r w:rsidR="00CB6C86" w:rsidRPr="00395593">
        <w:rPr>
          <w:rFonts w:ascii="Garamond" w:eastAsia="Times New Roman" w:hAnsi="Garamond" w:cs="Times New Roman"/>
          <w:b/>
          <w:spacing w:val="-1"/>
          <w:sz w:val="24"/>
        </w:rPr>
        <w:t xml:space="preserve"> </w:t>
      </w:r>
      <w:r w:rsidR="00CB6C86" w:rsidRPr="00395593">
        <w:rPr>
          <w:rFonts w:ascii="Garamond" w:eastAsia="Times New Roman" w:hAnsi="Garamond" w:cs="Times New Roman"/>
          <w:b/>
          <w:sz w:val="24"/>
        </w:rPr>
        <w:t>27</w:t>
      </w:r>
    </w:p>
    <w:p w14:paraId="2C80095F" w14:textId="77777777" w:rsidR="00CB6C86" w:rsidRPr="00395593" w:rsidRDefault="00CB6C86" w:rsidP="00CB6C86">
      <w:pPr>
        <w:widowControl w:val="0"/>
        <w:autoSpaceDE w:val="0"/>
        <w:autoSpaceDN w:val="0"/>
        <w:spacing w:after="0" w:line="240" w:lineRule="auto"/>
        <w:rPr>
          <w:rFonts w:ascii="Garamond" w:eastAsia="Times New Roman" w:hAnsi="Garamond" w:cs="Times New Roman"/>
          <w:sz w:val="24"/>
          <w:szCs w:val="24"/>
        </w:rPr>
      </w:pPr>
    </w:p>
    <w:p w14:paraId="46F43C08" w14:textId="77777777" w:rsidR="00CB6C86" w:rsidRPr="00395593" w:rsidRDefault="00CB6C86" w:rsidP="00ED7102">
      <w:pPr>
        <w:widowControl w:val="0"/>
        <w:autoSpaceDE w:val="0"/>
        <w:autoSpaceDN w:val="0"/>
        <w:spacing w:after="0" w:line="240" w:lineRule="auto"/>
        <w:ind w:right="117"/>
        <w:jc w:val="both"/>
        <w:rPr>
          <w:rFonts w:ascii="Garamond" w:eastAsia="Times New Roman" w:hAnsi="Garamond" w:cs="Times New Roman"/>
          <w:sz w:val="24"/>
          <w:szCs w:val="24"/>
        </w:rPr>
      </w:pPr>
      <w:r w:rsidRPr="00395593">
        <w:rPr>
          <w:rFonts w:ascii="Garamond" w:eastAsia="Times New Roman" w:hAnsi="Garamond" w:cs="Times New Roman"/>
          <w:sz w:val="24"/>
          <w:szCs w:val="24"/>
        </w:rPr>
        <w:t>Os</w:t>
      </w:r>
      <w:r w:rsidRPr="00395593">
        <w:rPr>
          <w:rFonts w:ascii="Garamond" w:eastAsia="Times New Roman" w:hAnsi="Garamond" w:cs="Times New Roman"/>
          <w:spacing w:val="23"/>
          <w:sz w:val="24"/>
          <w:szCs w:val="24"/>
        </w:rPr>
        <w:t xml:space="preserve"> </w:t>
      </w:r>
      <w:r w:rsidRPr="00395593">
        <w:rPr>
          <w:rFonts w:ascii="Garamond" w:eastAsia="Times New Roman" w:hAnsi="Garamond" w:cs="Times New Roman"/>
          <w:sz w:val="24"/>
          <w:szCs w:val="24"/>
        </w:rPr>
        <w:t>países</w:t>
      </w:r>
      <w:r w:rsidRPr="00395593">
        <w:rPr>
          <w:rFonts w:ascii="Garamond" w:eastAsia="Times New Roman" w:hAnsi="Garamond" w:cs="Times New Roman"/>
          <w:spacing w:val="25"/>
          <w:sz w:val="24"/>
          <w:szCs w:val="24"/>
        </w:rPr>
        <w:t xml:space="preserve"> </w:t>
      </w:r>
      <w:r w:rsidRPr="00395593">
        <w:rPr>
          <w:rFonts w:ascii="Garamond" w:eastAsia="Times New Roman" w:hAnsi="Garamond" w:cs="Times New Roman"/>
          <w:sz w:val="24"/>
          <w:szCs w:val="24"/>
        </w:rPr>
        <w:t>em</w:t>
      </w:r>
      <w:r w:rsidRPr="00395593">
        <w:rPr>
          <w:rFonts w:ascii="Garamond" w:eastAsia="Times New Roman" w:hAnsi="Garamond" w:cs="Times New Roman"/>
          <w:spacing w:val="25"/>
          <w:sz w:val="24"/>
          <w:szCs w:val="24"/>
        </w:rPr>
        <w:t xml:space="preserve"> </w:t>
      </w:r>
      <w:r w:rsidRPr="00395593">
        <w:rPr>
          <w:rFonts w:ascii="Garamond" w:eastAsia="Times New Roman" w:hAnsi="Garamond" w:cs="Times New Roman"/>
          <w:sz w:val="24"/>
          <w:szCs w:val="24"/>
        </w:rPr>
        <w:t>desenvolvimento</w:t>
      </w:r>
      <w:r w:rsidRPr="00395593">
        <w:rPr>
          <w:rFonts w:ascii="Garamond" w:eastAsia="Times New Roman" w:hAnsi="Garamond" w:cs="Times New Roman"/>
          <w:spacing w:val="25"/>
          <w:sz w:val="24"/>
          <w:szCs w:val="24"/>
        </w:rPr>
        <w:t xml:space="preserve"> </w:t>
      </w:r>
      <w:r w:rsidRPr="00395593">
        <w:rPr>
          <w:rFonts w:ascii="Garamond" w:eastAsia="Times New Roman" w:hAnsi="Garamond" w:cs="Times New Roman"/>
          <w:sz w:val="24"/>
          <w:szCs w:val="24"/>
        </w:rPr>
        <w:t>Membros</w:t>
      </w:r>
      <w:r w:rsidRPr="00395593">
        <w:rPr>
          <w:rFonts w:ascii="Garamond" w:eastAsia="Times New Roman" w:hAnsi="Garamond" w:cs="Times New Roman"/>
          <w:spacing w:val="25"/>
          <w:sz w:val="24"/>
          <w:szCs w:val="24"/>
        </w:rPr>
        <w:t xml:space="preserve"> </w:t>
      </w:r>
      <w:r w:rsidRPr="00395593">
        <w:rPr>
          <w:rFonts w:ascii="Garamond" w:eastAsia="Times New Roman" w:hAnsi="Garamond" w:cs="Times New Roman"/>
          <w:sz w:val="24"/>
          <w:szCs w:val="24"/>
        </w:rPr>
        <w:t>não</w:t>
      </w:r>
      <w:r w:rsidRPr="00395593">
        <w:rPr>
          <w:rFonts w:ascii="Garamond" w:eastAsia="Times New Roman" w:hAnsi="Garamond" w:cs="Times New Roman"/>
          <w:spacing w:val="25"/>
          <w:sz w:val="24"/>
          <w:szCs w:val="24"/>
        </w:rPr>
        <w:t xml:space="preserve"> </w:t>
      </w:r>
      <w:r w:rsidRPr="00395593">
        <w:rPr>
          <w:rFonts w:ascii="Garamond" w:eastAsia="Times New Roman" w:hAnsi="Garamond" w:cs="Times New Roman"/>
          <w:sz w:val="24"/>
          <w:szCs w:val="24"/>
        </w:rPr>
        <w:t>sujeitos</w:t>
      </w:r>
      <w:r w:rsidRPr="00395593">
        <w:rPr>
          <w:rFonts w:ascii="Garamond" w:eastAsia="Times New Roman" w:hAnsi="Garamond" w:cs="Times New Roman"/>
          <w:spacing w:val="25"/>
          <w:sz w:val="24"/>
          <w:szCs w:val="24"/>
        </w:rPr>
        <w:t xml:space="preserve"> </w:t>
      </w:r>
      <w:r w:rsidRPr="00395593">
        <w:rPr>
          <w:rFonts w:ascii="Garamond" w:eastAsia="Times New Roman" w:hAnsi="Garamond" w:cs="Times New Roman"/>
          <w:sz w:val="24"/>
          <w:szCs w:val="24"/>
        </w:rPr>
        <w:t>às</w:t>
      </w:r>
      <w:r w:rsidRPr="00395593">
        <w:rPr>
          <w:rFonts w:ascii="Garamond" w:eastAsia="Times New Roman" w:hAnsi="Garamond" w:cs="Times New Roman"/>
          <w:spacing w:val="25"/>
          <w:sz w:val="24"/>
          <w:szCs w:val="24"/>
        </w:rPr>
        <w:t xml:space="preserve"> </w:t>
      </w:r>
      <w:r w:rsidRPr="00395593">
        <w:rPr>
          <w:rFonts w:ascii="Garamond" w:eastAsia="Times New Roman" w:hAnsi="Garamond" w:cs="Times New Roman"/>
          <w:sz w:val="24"/>
          <w:szCs w:val="24"/>
        </w:rPr>
        <w:t>disposições</w:t>
      </w:r>
      <w:r w:rsidRPr="00395593">
        <w:rPr>
          <w:rFonts w:ascii="Garamond" w:eastAsia="Times New Roman" w:hAnsi="Garamond" w:cs="Times New Roman"/>
          <w:spacing w:val="25"/>
          <w:sz w:val="24"/>
          <w:szCs w:val="24"/>
        </w:rPr>
        <w:t xml:space="preserve"> </w:t>
      </w:r>
      <w:r w:rsidRPr="00395593">
        <w:rPr>
          <w:rFonts w:ascii="Garamond" w:eastAsia="Times New Roman" w:hAnsi="Garamond" w:cs="Times New Roman"/>
          <w:sz w:val="24"/>
          <w:szCs w:val="24"/>
        </w:rPr>
        <w:t>do</w:t>
      </w:r>
      <w:r w:rsidRPr="00395593">
        <w:rPr>
          <w:rFonts w:ascii="Garamond" w:eastAsia="Times New Roman" w:hAnsi="Garamond" w:cs="Times New Roman"/>
          <w:spacing w:val="27"/>
          <w:sz w:val="24"/>
          <w:szCs w:val="24"/>
        </w:rPr>
        <w:t xml:space="preserve"> </w:t>
      </w:r>
      <w:r w:rsidRPr="00395593">
        <w:rPr>
          <w:rFonts w:ascii="Garamond" w:eastAsia="Times New Roman" w:hAnsi="Garamond" w:cs="Times New Roman"/>
          <w:sz w:val="24"/>
          <w:szCs w:val="24"/>
        </w:rPr>
        <w:t>parágrafo</w:t>
      </w:r>
      <w:r w:rsidRPr="00395593">
        <w:rPr>
          <w:rFonts w:ascii="Garamond" w:eastAsia="Times New Roman" w:hAnsi="Garamond" w:cs="Times New Roman"/>
          <w:spacing w:val="-57"/>
          <w:sz w:val="24"/>
          <w:szCs w:val="24"/>
        </w:rPr>
        <w:t xml:space="preserve"> </w:t>
      </w:r>
      <w:r w:rsidRPr="00395593">
        <w:rPr>
          <w:rFonts w:ascii="Garamond" w:eastAsia="Times New Roman" w:hAnsi="Garamond" w:cs="Times New Roman"/>
          <w:sz w:val="24"/>
          <w:szCs w:val="24"/>
        </w:rPr>
        <w:t>l(a)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Artigo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3</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por força 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estipulado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no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parágrafo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2(a)</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do Artigo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27</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são</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os</w:t>
      </w:r>
      <w:r w:rsidRPr="00395593">
        <w:rPr>
          <w:rFonts w:ascii="Garamond" w:eastAsia="Times New Roman" w:hAnsi="Garamond" w:cs="Times New Roman"/>
          <w:spacing w:val="-1"/>
          <w:sz w:val="24"/>
          <w:szCs w:val="24"/>
        </w:rPr>
        <w:t xml:space="preserve"> </w:t>
      </w:r>
      <w:r w:rsidRPr="00395593">
        <w:rPr>
          <w:rFonts w:ascii="Garamond" w:eastAsia="Times New Roman" w:hAnsi="Garamond" w:cs="Times New Roman"/>
          <w:sz w:val="24"/>
          <w:szCs w:val="24"/>
        </w:rPr>
        <w:t>seguintes:</w:t>
      </w:r>
    </w:p>
    <w:p w14:paraId="22AFD36D"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4E4ED23D" w14:textId="77777777" w:rsidR="00CB6C86" w:rsidRPr="00395593" w:rsidRDefault="00CB6C86" w:rsidP="002C4340">
      <w:pPr>
        <w:widowControl w:val="0"/>
        <w:numPr>
          <w:ilvl w:val="0"/>
          <w:numId w:val="27"/>
        </w:numPr>
        <w:tabs>
          <w:tab w:val="left" w:pos="433"/>
        </w:tabs>
        <w:autoSpaceDE w:val="0"/>
        <w:autoSpaceDN w:val="0"/>
        <w:spacing w:before="1" w:after="0" w:line="240" w:lineRule="auto"/>
        <w:ind w:right="127" w:firstLine="0"/>
        <w:jc w:val="both"/>
        <w:rPr>
          <w:rFonts w:ascii="Garamond" w:eastAsia="Times New Roman" w:hAnsi="Garamond" w:cs="Times New Roman"/>
          <w:sz w:val="24"/>
        </w:rPr>
      </w:pPr>
      <w:r w:rsidRPr="00395593">
        <w:rPr>
          <w:rFonts w:ascii="Garamond" w:eastAsia="Times New Roman" w:hAnsi="Garamond" w:cs="Times New Roman"/>
          <w:sz w:val="24"/>
        </w:rPr>
        <w:t>Os países de menor desenvolvimento relativo como tal designados pelas Nações Unidas</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sejam membros da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OMC;</w:t>
      </w:r>
    </w:p>
    <w:p w14:paraId="40E45F9A" w14:textId="77777777" w:rsidR="00CB6C86" w:rsidRPr="00395593" w:rsidRDefault="00CB6C86" w:rsidP="00ED7102">
      <w:pPr>
        <w:widowControl w:val="0"/>
        <w:autoSpaceDE w:val="0"/>
        <w:autoSpaceDN w:val="0"/>
        <w:spacing w:after="0" w:line="240" w:lineRule="auto"/>
        <w:jc w:val="both"/>
        <w:rPr>
          <w:rFonts w:ascii="Garamond" w:eastAsia="Times New Roman" w:hAnsi="Garamond" w:cs="Times New Roman"/>
          <w:sz w:val="24"/>
          <w:szCs w:val="24"/>
        </w:rPr>
      </w:pPr>
    </w:p>
    <w:p w14:paraId="143470F0" w14:textId="77777777" w:rsidR="00CB6C86" w:rsidRPr="00395593" w:rsidRDefault="00CB6C86" w:rsidP="002C4340">
      <w:pPr>
        <w:widowControl w:val="0"/>
        <w:numPr>
          <w:ilvl w:val="0"/>
          <w:numId w:val="27"/>
        </w:numPr>
        <w:tabs>
          <w:tab w:val="left" w:pos="453"/>
        </w:tabs>
        <w:autoSpaceDE w:val="0"/>
        <w:autoSpaceDN w:val="0"/>
        <w:spacing w:after="0" w:line="240" w:lineRule="auto"/>
        <w:ind w:right="117" w:firstLine="0"/>
        <w:jc w:val="both"/>
        <w:rPr>
          <w:rFonts w:ascii="Garamond" w:eastAsia="Times New Roman" w:hAnsi="Garamond" w:cs="Times New Roman"/>
          <w:sz w:val="24"/>
        </w:rPr>
      </w:pPr>
      <w:r w:rsidRPr="00395593">
        <w:rPr>
          <w:rFonts w:ascii="Garamond" w:eastAsia="Times New Roman" w:hAnsi="Garamond" w:cs="Times New Roman"/>
          <w:sz w:val="24"/>
        </w:rPr>
        <w:t>Cada um dos seguintes países em desenvolvimento membros da OMC estará sujeito às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disposições aplicáveis aos demais países em desenvolvimento Membros de acordo com 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parágrafo 2(b) do Artigo 27 quando seu PND</w:t>
      </w:r>
      <w:r w:rsidRPr="00395593">
        <w:rPr>
          <w:rFonts w:ascii="Garamond" w:eastAsia="Times New Roman" w:hAnsi="Garamond" w:cs="Times New Roman"/>
          <w:spacing w:val="60"/>
          <w:sz w:val="24"/>
        </w:rPr>
        <w:t xml:space="preserve"> </w:t>
      </w:r>
      <w:r w:rsidRPr="00395593">
        <w:rPr>
          <w:rFonts w:ascii="Garamond" w:eastAsia="Times New Roman" w:hAnsi="Garamond" w:cs="Times New Roman"/>
          <w:i/>
          <w:sz w:val="24"/>
        </w:rPr>
        <w:t xml:space="preserve">per capita </w:t>
      </w:r>
      <w:r w:rsidRPr="00395593">
        <w:rPr>
          <w:rFonts w:ascii="Garamond" w:eastAsia="Times New Roman" w:hAnsi="Garamond" w:cs="Times New Roman"/>
          <w:sz w:val="24"/>
        </w:rPr>
        <w:t>tenha atingido US$ 1.000,00</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 xml:space="preserve">anuais </w:t>
      </w:r>
      <w:r w:rsidRPr="00395593">
        <w:rPr>
          <w:rFonts w:ascii="Garamond" w:eastAsia="Times New Roman" w:hAnsi="Garamond" w:cs="Times New Roman"/>
          <w:sz w:val="24"/>
          <w:vertAlign w:val="superscript"/>
        </w:rPr>
        <w:t>68</w:t>
      </w:r>
      <w:r w:rsidRPr="00395593">
        <w:rPr>
          <w:rFonts w:ascii="Garamond" w:eastAsia="Times New Roman" w:hAnsi="Garamond" w:cs="Times New Roman"/>
          <w:sz w:val="24"/>
        </w:rPr>
        <w:t>:</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Bolívia,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Camarões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Congo,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Cote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d'Ivoire,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Egito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Filipinas,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Gana,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Guatemala</w:t>
      </w:r>
      <w:r w:rsidRPr="00395593">
        <w:rPr>
          <w:rFonts w:ascii="Garamond" w:eastAsia="Times New Roman" w:hAnsi="Garamond" w:cs="Times New Roman"/>
          <w:spacing w:val="-57"/>
          <w:sz w:val="24"/>
        </w:rPr>
        <w:t xml:space="preserve"> </w:t>
      </w:r>
      <w:r w:rsidRPr="00395593">
        <w:rPr>
          <w:rFonts w:ascii="Garamond" w:eastAsia="Times New Roman" w:hAnsi="Garamond" w:cs="Times New Roman"/>
          <w:sz w:val="24"/>
        </w:rPr>
        <w:t>Guiana,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Índia,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Indonésia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Quênia,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Marrocos,</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Nicarágua,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Nigéria,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Paquistão,</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República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Dominicana,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Senegal, Sri</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Lanka</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e</w:t>
      </w:r>
      <w:r w:rsidRPr="00395593">
        <w:rPr>
          <w:rFonts w:ascii="Garamond" w:eastAsia="Times New Roman" w:hAnsi="Garamond" w:cs="Times New Roman"/>
          <w:spacing w:val="1"/>
          <w:sz w:val="24"/>
        </w:rPr>
        <w:t xml:space="preserve"> </w:t>
      </w:r>
      <w:r w:rsidRPr="00395593">
        <w:rPr>
          <w:rFonts w:ascii="Garamond" w:eastAsia="Times New Roman" w:hAnsi="Garamond" w:cs="Times New Roman"/>
          <w:sz w:val="24"/>
        </w:rPr>
        <w:t>Zimbábue.</w:t>
      </w:r>
    </w:p>
    <w:p w14:paraId="10DA3EF3" w14:textId="402D4A26" w:rsidR="00D84825" w:rsidRDefault="00D84825" w:rsidP="00CB6C86">
      <w:pPr>
        <w:widowControl w:val="0"/>
        <w:autoSpaceDE w:val="0"/>
        <w:autoSpaceDN w:val="0"/>
        <w:spacing w:before="1" w:after="0" w:line="240" w:lineRule="auto"/>
        <w:rPr>
          <w:rFonts w:ascii="Garamond" w:eastAsia="Times New Roman" w:hAnsi="Garamond" w:cs="Times New Roman"/>
          <w:sz w:val="15"/>
          <w:szCs w:val="24"/>
        </w:rPr>
      </w:pPr>
    </w:p>
    <w:p w14:paraId="24825884" w14:textId="4B0419B0" w:rsidR="00833E08" w:rsidRDefault="00833E08" w:rsidP="00CB6C86">
      <w:pPr>
        <w:widowControl w:val="0"/>
        <w:autoSpaceDE w:val="0"/>
        <w:autoSpaceDN w:val="0"/>
        <w:spacing w:before="1" w:after="0" w:line="240" w:lineRule="auto"/>
        <w:rPr>
          <w:rFonts w:ascii="Garamond" w:eastAsia="Times New Roman" w:hAnsi="Garamond" w:cs="Times New Roman"/>
          <w:sz w:val="15"/>
          <w:szCs w:val="24"/>
        </w:rPr>
      </w:pPr>
    </w:p>
    <w:p w14:paraId="775A47E1" w14:textId="0DEBD1F5" w:rsidR="00833E08" w:rsidRDefault="00833E08" w:rsidP="00CB6C86">
      <w:pPr>
        <w:widowControl w:val="0"/>
        <w:autoSpaceDE w:val="0"/>
        <w:autoSpaceDN w:val="0"/>
        <w:spacing w:before="1" w:after="0" w:line="240" w:lineRule="auto"/>
        <w:rPr>
          <w:rFonts w:ascii="Garamond" w:eastAsia="Times New Roman" w:hAnsi="Garamond" w:cs="Times New Roman"/>
          <w:sz w:val="15"/>
          <w:szCs w:val="24"/>
        </w:rPr>
      </w:pPr>
    </w:p>
    <w:p w14:paraId="2AE24E7D" w14:textId="75153AC2" w:rsidR="00833E08" w:rsidRDefault="00833E08" w:rsidP="00CB6C86">
      <w:pPr>
        <w:widowControl w:val="0"/>
        <w:autoSpaceDE w:val="0"/>
        <w:autoSpaceDN w:val="0"/>
        <w:spacing w:before="1" w:after="0" w:line="240" w:lineRule="auto"/>
        <w:rPr>
          <w:rFonts w:ascii="Garamond" w:eastAsia="Times New Roman" w:hAnsi="Garamond" w:cs="Times New Roman"/>
          <w:sz w:val="15"/>
          <w:szCs w:val="24"/>
        </w:rPr>
      </w:pPr>
    </w:p>
    <w:p w14:paraId="4A7C146B" w14:textId="61E70611" w:rsidR="00833E08" w:rsidRDefault="00833E08" w:rsidP="00CB6C86">
      <w:pPr>
        <w:widowControl w:val="0"/>
        <w:autoSpaceDE w:val="0"/>
        <w:autoSpaceDN w:val="0"/>
        <w:spacing w:before="1" w:after="0" w:line="240" w:lineRule="auto"/>
        <w:rPr>
          <w:rFonts w:ascii="Garamond" w:eastAsia="Times New Roman" w:hAnsi="Garamond" w:cs="Times New Roman"/>
          <w:sz w:val="15"/>
          <w:szCs w:val="24"/>
        </w:rPr>
      </w:pPr>
    </w:p>
    <w:p w14:paraId="76E0A6D2" w14:textId="36AC8CC6" w:rsidR="00833E08" w:rsidRDefault="00833E08" w:rsidP="00CB6C86">
      <w:pPr>
        <w:widowControl w:val="0"/>
        <w:autoSpaceDE w:val="0"/>
        <w:autoSpaceDN w:val="0"/>
        <w:spacing w:before="1" w:after="0" w:line="240" w:lineRule="auto"/>
        <w:rPr>
          <w:rFonts w:ascii="Garamond" w:eastAsia="Times New Roman" w:hAnsi="Garamond" w:cs="Times New Roman"/>
          <w:sz w:val="15"/>
          <w:szCs w:val="24"/>
        </w:rPr>
      </w:pPr>
    </w:p>
    <w:p w14:paraId="14A14719" w14:textId="1986B0A0" w:rsidR="00833E08" w:rsidRDefault="00833E08" w:rsidP="00CB6C86">
      <w:pPr>
        <w:widowControl w:val="0"/>
        <w:autoSpaceDE w:val="0"/>
        <w:autoSpaceDN w:val="0"/>
        <w:spacing w:before="1" w:after="0" w:line="240" w:lineRule="auto"/>
        <w:rPr>
          <w:rFonts w:ascii="Garamond" w:eastAsia="Times New Roman" w:hAnsi="Garamond" w:cs="Times New Roman"/>
          <w:sz w:val="15"/>
          <w:szCs w:val="24"/>
        </w:rPr>
      </w:pPr>
    </w:p>
    <w:p w14:paraId="5F329D73" w14:textId="32CF1FEC" w:rsidR="00833E08" w:rsidRDefault="00833E08" w:rsidP="00CB6C86">
      <w:pPr>
        <w:widowControl w:val="0"/>
        <w:autoSpaceDE w:val="0"/>
        <w:autoSpaceDN w:val="0"/>
        <w:spacing w:before="1" w:after="0" w:line="240" w:lineRule="auto"/>
        <w:rPr>
          <w:rFonts w:ascii="Garamond" w:eastAsia="Times New Roman" w:hAnsi="Garamond" w:cs="Times New Roman"/>
          <w:sz w:val="15"/>
          <w:szCs w:val="24"/>
        </w:rPr>
      </w:pPr>
    </w:p>
    <w:p w14:paraId="4F086AFD" w14:textId="19045392" w:rsidR="00833E08" w:rsidRDefault="00833E08" w:rsidP="00CB6C86">
      <w:pPr>
        <w:widowControl w:val="0"/>
        <w:autoSpaceDE w:val="0"/>
        <w:autoSpaceDN w:val="0"/>
        <w:spacing w:before="1" w:after="0" w:line="240" w:lineRule="auto"/>
        <w:rPr>
          <w:rFonts w:ascii="Garamond" w:eastAsia="Times New Roman" w:hAnsi="Garamond" w:cs="Times New Roman"/>
          <w:sz w:val="15"/>
          <w:szCs w:val="24"/>
        </w:rPr>
      </w:pPr>
    </w:p>
    <w:p w14:paraId="5606C8DA" w14:textId="2620B709" w:rsidR="00833E08" w:rsidRDefault="00833E08" w:rsidP="00CB6C86">
      <w:pPr>
        <w:widowControl w:val="0"/>
        <w:autoSpaceDE w:val="0"/>
        <w:autoSpaceDN w:val="0"/>
        <w:spacing w:before="1" w:after="0" w:line="240" w:lineRule="auto"/>
        <w:rPr>
          <w:rFonts w:ascii="Garamond" w:eastAsia="Times New Roman" w:hAnsi="Garamond" w:cs="Times New Roman"/>
          <w:sz w:val="15"/>
          <w:szCs w:val="24"/>
        </w:rPr>
      </w:pPr>
    </w:p>
    <w:p w14:paraId="501A9F59" w14:textId="530712ED" w:rsidR="00833E08" w:rsidRDefault="00833E08" w:rsidP="00CB6C86">
      <w:pPr>
        <w:widowControl w:val="0"/>
        <w:autoSpaceDE w:val="0"/>
        <w:autoSpaceDN w:val="0"/>
        <w:spacing w:before="1" w:after="0" w:line="240" w:lineRule="auto"/>
        <w:rPr>
          <w:rFonts w:ascii="Garamond" w:eastAsia="Times New Roman" w:hAnsi="Garamond" w:cs="Times New Roman"/>
          <w:sz w:val="15"/>
          <w:szCs w:val="24"/>
        </w:rPr>
      </w:pPr>
    </w:p>
    <w:p w14:paraId="516DF68C" w14:textId="77777777" w:rsidR="00833E08" w:rsidRDefault="00833E08" w:rsidP="00CB6C86">
      <w:pPr>
        <w:widowControl w:val="0"/>
        <w:autoSpaceDE w:val="0"/>
        <w:autoSpaceDN w:val="0"/>
        <w:spacing w:before="1" w:after="0" w:line="240" w:lineRule="auto"/>
        <w:rPr>
          <w:rFonts w:ascii="Garamond" w:eastAsia="Times New Roman" w:hAnsi="Garamond" w:cs="Times New Roman"/>
          <w:sz w:val="15"/>
          <w:szCs w:val="24"/>
        </w:rPr>
      </w:pPr>
    </w:p>
    <w:p w14:paraId="4A773E71" w14:textId="64E3C3C5" w:rsidR="00CB6C86" w:rsidRPr="00395593" w:rsidRDefault="00CB6C86" w:rsidP="00CB6C86">
      <w:pPr>
        <w:widowControl w:val="0"/>
        <w:autoSpaceDE w:val="0"/>
        <w:autoSpaceDN w:val="0"/>
        <w:spacing w:before="1" w:after="0" w:line="240" w:lineRule="auto"/>
        <w:rPr>
          <w:rFonts w:ascii="Garamond" w:eastAsia="Times New Roman" w:hAnsi="Garamond" w:cs="Times New Roman"/>
          <w:sz w:val="15"/>
          <w:szCs w:val="24"/>
        </w:rPr>
      </w:pPr>
      <w:r w:rsidRPr="00395593">
        <w:rPr>
          <w:rFonts w:ascii="Garamond" w:eastAsia="Times New Roman" w:hAnsi="Garamond" w:cs="Times New Roman"/>
          <w:noProof/>
          <w:color w:val="2B579A"/>
          <w:sz w:val="24"/>
          <w:szCs w:val="24"/>
          <w:shd w:val="clear" w:color="auto" w:fill="E6E6E6"/>
          <w:lang w:eastAsia="pt-BR"/>
        </w:rPr>
        <mc:AlternateContent>
          <mc:Choice Requires="wps">
            <w:drawing>
              <wp:anchor distT="0" distB="0" distL="0" distR="0" simplePos="0" relativeHeight="251658290" behindDoc="1" locked="0" layoutInCell="1" allowOverlap="1" wp14:anchorId="43805297" wp14:editId="2C9EFEFC">
                <wp:simplePos x="0" y="0"/>
                <wp:positionH relativeFrom="page">
                  <wp:posOffset>1080770</wp:posOffset>
                </wp:positionH>
                <wp:positionV relativeFrom="paragraph">
                  <wp:posOffset>125730</wp:posOffset>
                </wp:positionV>
                <wp:extent cx="1828800" cy="7620"/>
                <wp:effectExtent l="4445" t="0" r="0" b="3175"/>
                <wp:wrapTopAndBottom/>
                <wp:docPr id="403" name="Retângulo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39479" id="Retângulo 403" o:spid="_x0000_s1026" style="position:absolute;margin-left:85.1pt;margin-top:9.9pt;width:2in;height:.6pt;z-index:-25165819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" fillcolor="black" stroked="f">
                <w10:wrap type="topAndBottom" anchorx="page"/>
              </v:rect>
            </w:pict>
          </mc:Fallback>
        </mc:AlternateContent>
      </w:r>
    </w:p>
    <w:p w14:paraId="5BA35016" w14:textId="0F90881D" w:rsidR="00CB6C86" w:rsidRPr="00395593" w:rsidRDefault="00CB6C86" w:rsidP="00E33E26">
      <w:pPr>
        <w:widowControl w:val="0"/>
        <w:tabs>
          <w:tab w:val="left" w:pos="12885"/>
        </w:tabs>
        <w:autoSpaceDE w:val="0"/>
        <w:autoSpaceDN w:val="0"/>
        <w:spacing w:before="103" w:after="0" w:line="240" w:lineRule="auto"/>
        <w:rPr>
          <w:rFonts w:ascii="Garamond" w:eastAsia="Times New Roman" w:hAnsi="Garamond" w:cs="Times New Roman"/>
          <w:sz w:val="20"/>
        </w:rPr>
      </w:pPr>
      <w:r w:rsidRPr="00890256">
        <w:rPr>
          <w:rFonts w:ascii="Garamond" w:eastAsia="Times New Roman" w:hAnsi="Garamond" w:cs="Times New Roman"/>
          <w:sz w:val="20"/>
          <w:vertAlign w:val="superscript"/>
        </w:rPr>
        <w:t>68</w:t>
      </w:r>
      <w:r w:rsidRPr="00890256">
        <w:rPr>
          <w:rFonts w:ascii="Garamond" w:eastAsia="Times New Roman" w:hAnsi="Garamond" w:cs="Times New Roman"/>
          <w:spacing w:val="-2"/>
          <w:sz w:val="20"/>
        </w:rPr>
        <w:t xml:space="preserve"> </w:t>
      </w:r>
      <w:r w:rsidRPr="00890256">
        <w:rPr>
          <w:rFonts w:ascii="Garamond" w:eastAsia="Times New Roman" w:hAnsi="Garamond" w:cs="Times New Roman"/>
          <w:sz w:val="20"/>
        </w:rPr>
        <w:t>A</w:t>
      </w:r>
      <w:r w:rsidRPr="00890256">
        <w:rPr>
          <w:rFonts w:ascii="Garamond" w:eastAsia="Times New Roman" w:hAnsi="Garamond" w:cs="Times New Roman"/>
          <w:spacing w:val="-3"/>
          <w:sz w:val="20"/>
        </w:rPr>
        <w:t xml:space="preserve"> </w:t>
      </w:r>
      <w:r w:rsidRPr="00890256">
        <w:rPr>
          <w:rFonts w:ascii="Garamond" w:eastAsia="Times New Roman" w:hAnsi="Garamond" w:cs="Times New Roman"/>
          <w:sz w:val="20"/>
        </w:rPr>
        <w:t>inclusão de</w:t>
      </w:r>
      <w:r w:rsidRPr="00890256">
        <w:rPr>
          <w:rFonts w:ascii="Garamond" w:eastAsia="Times New Roman" w:hAnsi="Garamond" w:cs="Times New Roman"/>
          <w:spacing w:val="-1"/>
          <w:sz w:val="20"/>
        </w:rPr>
        <w:t xml:space="preserve"> </w:t>
      </w:r>
      <w:r w:rsidRPr="00890256">
        <w:rPr>
          <w:rFonts w:ascii="Garamond" w:eastAsia="Times New Roman" w:hAnsi="Garamond" w:cs="Times New Roman"/>
          <w:sz w:val="20"/>
        </w:rPr>
        <w:t>países</w:t>
      </w:r>
      <w:r w:rsidRPr="00890256">
        <w:rPr>
          <w:rFonts w:ascii="Garamond" w:eastAsia="Times New Roman" w:hAnsi="Garamond" w:cs="Times New Roman"/>
          <w:spacing w:val="-2"/>
          <w:sz w:val="20"/>
        </w:rPr>
        <w:t xml:space="preserve"> </w:t>
      </w:r>
      <w:r w:rsidRPr="00890256">
        <w:rPr>
          <w:rFonts w:ascii="Garamond" w:eastAsia="Times New Roman" w:hAnsi="Garamond" w:cs="Times New Roman"/>
          <w:sz w:val="20"/>
        </w:rPr>
        <w:t>em</w:t>
      </w:r>
      <w:r w:rsidRPr="00890256">
        <w:rPr>
          <w:rFonts w:ascii="Garamond" w:eastAsia="Times New Roman" w:hAnsi="Garamond" w:cs="Times New Roman"/>
          <w:spacing w:val="-5"/>
          <w:sz w:val="20"/>
        </w:rPr>
        <w:t xml:space="preserve"> </w:t>
      </w:r>
      <w:r w:rsidRPr="00890256">
        <w:rPr>
          <w:rFonts w:ascii="Garamond" w:eastAsia="Times New Roman" w:hAnsi="Garamond" w:cs="Times New Roman"/>
          <w:sz w:val="20"/>
        </w:rPr>
        <w:t>desenvolvimento Membros</w:t>
      </w:r>
      <w:r w:rsidRPr="00890256">
        <w:rPr>
          <w:rFonts w:ascii="Garamond" w:eastAsia="Times New Roman" w:hAnsi="Garamond" w:cs="Times New Roman"/>
          <w:spacing w:val="-2"/>
          <w:sz w:val="20"/>
        </w:rPr>
        <w:t xml:space="preserve"> </w:t>
      </w:r>
      <w:r w:rsidRPr="00890256">
        <w:rPr>
          <w:rFonts w:ascii="Garamond" w:eastAsia="Times New Roman" w:hAnsi="Garamond" w:cs="Times New Roman"/>
          <w:sz w:val="20"/>
        </w:rPr>
        <w:t>na</w:t>
      </w:r>
      <w:r w:rsidRPr="00890256">
        <w:rPr>
          <w:rFonts w:ascii="Garamond" w:eastAsia="Times New Roman" w:hAnsi="Garamond" w:cs="Times New Roman"/>
          <w:spacing w:val="-2"/>
          <w:sz w:val="20"/>
        </w:rPr>
        <w:t xml:space="preserve"> </w:t>
      </w:r>
      <w:r w:rsidRPr="00890256">
        <w:rPr>
          <w:rFonts w:ascii="Garamond" w:eastAsia="Times New Roman" w:hAnsi="Garamond" w:cs="Times New Roman"/>
          <w:sz w:val="20"/>
        </w:rPr>
        <w:t>lista</w:t>
      </w:r>
      <w:r w:rsidRPr="00890256">
        <w:rPr>
          <w:rFonts w:ascii="Garamond" w:eastAsia="Times New Roman" w:hAnsi="Garamond" w:cs="Times New Roman"/>
          <w:spacing w:val="-1"/>
          <w:sz w:val="20"/>
        </w:rPr>
        <w:t xml:space="preserve"> </w:t>
      </w:r>
      <w:r w:rsidRPr="00890256">
        <w:rPr>
          <w:rFonts w:ascii="Garamond" w:eastAsia="Times New Roman" w:hAnsi="Garamond" w:cs="Times New Roman"/>
          <w:sz w:val="20"/>
        </w:rPr>
        <w:t>da</w:t>
      </w:r>
      <w:r w:rsidRPr="00890256">
        <w:rPr>
          <w:rFonts w:ascii="Garamond" w:eastAsia="Times New Roman" w:hAnsi="Garamond" w:cs="Times New Roman"/>
          <w:spacing w:val="-1"/>
          <w:sz w:val="20"/>
        </w:rPr>
        <w:t xml:space="preserve"> </w:t>
      </w:r>
      <w:r w:rsidRPr="00890256">
        <w:rPr>
          <w:rFonts w:ascii="Garamond" w:eastAsia="Times New Roman" w:hAnsi="Garamond" w:cs="Times New Roman"/>
          <w:sz w:val="20"/>
        </w:rPr>
        <w:t>alínea</w:t>
      </w:r>
      <w:r w:rsidRPr="00890256">
        <w:rPr>
          <w:rFonts w:ascii="Garamond" w:eastAsia="Times New Roman" w:hAnsi="Garamond" w:cs="Times New Roman"/>
          <w:spacing w:val="-1"/>
          <w:sz w:val="20"/>
        </w:rPr>
        <w:t xml:space="preserve"> </w:t>
      </w:r>
      <w:r w:rsidRPr="00890256">
        <w:rPr>
          <w:rFonts w:ascii="Garamond" w:eastAsia="Times New Roman" w:hAnsi="Garamond" w:cs="Times New Roman"/>
          <w:sz w:val="20"/>
        </w:rPr>
        <w:t>(b)</w:t>
      </w:r>
      <w:r w:rsidRPr="00890256">
        <w:rPr>
          <w:rFonts w:ascii="Garamond" w:eastAsia="Times New Roman" w:hAnsi="Garamond" w:cs="Times New Roman"/>
          <w:spacing w:val="-1"/>
          <w:sz w:val="20"/>
        </w:rPr>
        <w:t xml:space="preserve"> </w:t>
      </w:r>
      <w:r w:rsidRPr="00890256">
        <w:rPr>
          <w:rFonts w:ascii="Garamond" w:eastAsia="Times New Roman" w:hAnsi="Garamond" w:cs="Times New Roman"/>
          <w:sz w:val="20"/>
        </w:rPr>
        <w:t>baseou-se</w:t>
      </w:r>
      <w:r w:rsidRPr="00890256">
        <w:rPr>
          <w:rFonts w:ascii="Garamond" w:eastAsia="Times New Roman" w:hAnsi="Garamond" w:cs="Times New Roman"/>
          <w:spacing w:val="-1"/>
          <w:sz w:val="20"/>
        </w:rPr>
        <w:t xml:space="preserve"> </w:t>
      </w:r>
      <w:r w:rsidRPr="00890256">
        <w:rPr>
          <w:rFonts w:ascii="Garamond" w:eastAsia="Times New Roman" w:hAnsi="Garamond" w:cs="Times New Roman"/>
          <w:sz w:val="20"/>
        </w:rPr>
        <w:t>nos</w:t>
      </w:r>
      <w:r w:rsidRPr="00890256">
        <w:rPr>
          <w:rFonts w:ascii="Garamond" w:eastAsia="Times New Roman" w:hAnsi="Garamond" w:cs="Times New Roman"/>
          <w:spacing w:val="-2"/>
          <w:sz w:val="20"/>
        </w:rPr>
        <w:t xml:space="preserve"> </w:t>
      </w:r>
      <w:r w:rsidRPr="00890256">
        <w:rPr>
          <w:rFonts w:ascii="Garamond" w:eastAsia="Times New Roman" w:hAnsi="Garamond" w:cs="Times New Roman"/>
          <w:sz w:val="20"/>
        </w:rPr>
        <w:t>dados</w:t>
      </w:r>
      <w:r w:rsidRPr="00890256">
        <w:rPr>
          <w:rFonts w:ascii="Garamond" w:eastAsia="Times New Roman" w:hAnsi="Garamond" w:cs="Times New Roman"/>
          <w:spacing w:val="-2"/>
          <w:sz w:val="20"/>
        </w:rPr>
        <w:t xml:space="preserve"> </w:t>
      </w:r>
      <w:r w:rsidRPr="00890256">
        <w:rPr>
          <w:rFonts w:ascii="Garamond" w:eastAsia="Times New Roman" w:hAnsi="Garamond" w:cs="Times New Roman"/>
          <w:sz w:val="20"/>
        </w:rPr>
        <w:t>mais</w:t>
      </w:r>
      <w:r w:rsidRPr="00890256">
        <w:rPr>
          <w:rFonts w:ascii="Garamond" w:eastAsia="Times New Roman" w:hAnsi="Garamond" w:cs="Times New Roman"/>
          <w:spacing w:val="-2"/>
          <w:sz w:val="20"/>
        </w:rPr>
        <w:t xml:space="preserve"> </w:t>
      </w:r>
      <w:r w:rsidRPr="00890256">
        <w:rPr>
          <w:rFonts w:ascii="Garamond" w:eastAsia="Times New Roman" w:hAnsi="Garamond" w:cs="Times New Roman"/>
          <w:sz w:val="20"/>
        </w:rPr>
        <w:t>recentes</w:t>
      </w:r>
      <w:r w:rsidRPr="00890256">
        <w:rPr>
          <w:rFonts w:ascii="Garamond" w:eastAsia="Times New Roman" w:hAnsi="Garamond" w:cs="Times New Roman"/>
          <w:spacing w:val="-47"/>
          <w:sz w:val="20"/>
        </w:rPr>
        <w:t xml:space="preserve"> </w:t>
      </w:r>
      <w:r w:rsidRPr="00890256">
        <w:rPr>
          <w:rFonts w:ascii="Garamond" w:eastAsia="Times New Roman" w:hAnsi="Garamond" w:cs="Times New Roman"/>
          <w:sz w:val="20"/>
        </w:rPr>
        <w:t>de</w:t>
      </w:r>
      <w:r w:rsidRPr="00890256">
        <w:rPr>
          <w:rFonts w:ascii="Garamond" w:eastAsia="Times New Roman" w:hAnsi="Garamond" w:cs="Times New Roman"/>
          <w:spacing w:val="-1"/>
          <w:sz w:val="20"/>
        </w:rPr>
        <w:t xml:space="preserve"> </w:t>
      </w:r>
      <w:r w:rsidRPr="00890256">
        <w:rPr>
          <w:rFonts w:ascii="Garamond" w:eastAsia="Times New Roman" w:hAnsi="Garamond" w:cs="Times New Roman"/>
          <w:sz w:val="20"/>
        </w:rPr>
        <w:t xml:space="preserve">PNB </w:t>
      </w:r>
      <w:r w:rsidRPr="00890256">
        <w:rPr>
          <w:rFonts w:ascii="Garamond" w:eastAsia="Times New Roman" w:hAnsi="Garamond" w:cs="Times New Roman"/>
          <w:i/>
          <w:sz w:val="20"/>
        </w:rPr>
        <w:t>per</w:t>
      </w:r>
      <w:r w:rsidRPr="00890256">
        <w:rPr>
          <w:rFonts w:ascii="Garamond" w:eastAsia="Times New Roman" w:hAnsi="Garamond" w:cs="Times New Roman"/>
          <w:i/>
          <w:spacing w:val="-1"/>
          <w:sz w:val="20"/>
        </w:rPr>
        <w:t xml:space="preserve"> </w:t>
      </w:r>
      <w:r w:rsidRPr="00890256">
        <w:rPr>
          <w:rFonts w:ascii="Garamond" w:eastAsia="Times New Roman" w:hAnsi="Garamond" w:cs="Times New Roman"/>
          <w:i/>
          <w:sz w:val="20"/>
        </w:rPr>
        <w:t>capita</w:t>
      </w:r>
      <w:r w:rsidRPr="00890256">
        <w:rPr>
          <w:rFonts w:ascii="Garamond" w:eastAsia="Times New Roman" w:hAnsi="Garamond" w:cs="Times New Roman"/>
          <w:i/>
          <w:spacing w:val="2"/>
          <w:sz w:val="20"/>
        </w:rPr>
        <w:t xml:space="preserve"> </w:t>
      </w:r>
      <w:r w:rsidRPr="00890256">
        <w:rPr>
          <w:rFonts w:ascii="Garamond" w:eastAsia="Times New Roman" w:hAnsi="Garamond" w:cs="Times New Roman"/>
          <w:sz w:val="20"/>
        </w:rPr>
        <w:t>fornecidos</w:t>
      </w:r>
      <w:r w:rsidRPr="00890256">
        <w:rPr>
          <w:rFonts w:ascii="Garamond" w:eastAsia="Times New Roman" w:hAnsi="Garamond" w:cs="Times New Roman"/>
          <w:spacing w:val="-3"/>
          <w:sz w:val="20"/>
        </w:rPr>
        <w:t xml:space="preserve"> </w:t>
      </w:r>
      <w:r w:rsidRPr="00890256">
        <w:rPr>
          <w:rFonts w:ascii="Garamond" w:eastAsia="Times New Roman" w:hAnsi="Garamond" w:cs="Times New Roman"/>
          <w:sz w:val="20"/>
        </w:rPr>
        <w:t>pelo</w:t>
      </w:r>
      <w:r w:rsidRPr="00890256">
        <w:rPr>
          <w:rFonts w:ascii="Garamond" w:eastAsia="Times New Roman" w:hAnsi="Garamond" w:cs="Times New Roman"/>
          <w:spacing w:val="1"/>
          <w:sz w:val="20"/>
        </w:rPr>
        <w:t xml:space="preserve"> </w:t>
      </w:r>
      <w:r w:rsidRPr="00890256">
        <w:rPr>
          <w:rFonts w:ascii="Garamond" w:eastAsia="Times New Roman" w:hAnsi="Garamond" w:cs="Times New Roman"/>
          <w:sz w:val="20"/>
        </w:rPr>
        <w:t>Banco</w:t>
      </w:r>
      <w:r w:rsidRPr="00890256">
        <w:rPr>
          <w:rFonts w:ascii="Garamond" w:eastAsia="Times New Roman" w:hAnsi="Garamond" w:cs="Times New Roman"/>
          <w:spacing w:val="1"/>
          <w:sz w:val="20"/>
        </w:rPr>
        <w:t xml:space="preserve"> </w:t>
      </w:r>
      <w:r w:rsidRPr="00890256">
        <w:rPr>
          <w:rFonts w:ascii="Garamond" w:eastAsia="Times New Roman" w:hAnsi="Garamond" w:cs="Times New Roman"/>
          <w:sz w:val="20"/>
        </w:rPr>
        <w:t>Mundial.</w:t>
      </w:r>
      <w:r w:rsidR="00E33E26">
        <w:rPr>
          <w:rFonts w:ascii="Garamond" w:eastAsia="Times New Roman" w:hAnsi="Garamond" w:cs="Times New Roman"/>
          <w:sz w:val="20"/>
        </w:rPr>
        <w:tab/>
      </w:r>
    </w:p>
    <w:p w14:paraId="5AC90DC8" w14:textId="3613DD82" w:rsidR="00543362" w:rsidRDefault="00543362">
      <w:pPr>
        <w:rPr>
          <w:rFonts w:ascii="Garamond" w:hAnsi="Garamond" w:cstheme="majorHAnsi"/>
        </w:rPr>
      </w:pPr>
      <w:r>
        <w:rPr>
          <w:rFonts w:ascii="Garamond" w:hAnsi="Garamond" w:cstheme="majorHAnsi"/>
        </w:rPr>
        <w:br w:type="page"/>
      </w:r>
    </w:p>
    <w:p w14:paraId="530284CB" w14:textId="4FD1AE99" w:rsidR="00B73003" w:rsidRPr="005C26A4" w:rsidRDefault="008B6F92" w:rsidP="005C26A4">
      <w:pPr>
        <w:pStyle w:val="Ttulo"/>
      </w:pPr>
      <w:r>
        <w:t>Decreto</w:t>
      </w:r>
      <w:r w:rsidRPr="005C26A4">
        <w:t xml:space="preserve"> </w:t>
      </w:r>
      <w:r>
        <w:t>n</w:t>
      </w:r>
      <w:r w:rsidRPr="005C26A4">
        <w:t>º 10.839</w:t>
      </w:r>
      <w:r>
        <w:t>,</w:t>
      </w:r>
      <w:r w:rsidRPr="005C26A4">
        <w:t xml:space="preserve"> </w:t>
      </w:r>
      <w:r>
        <w:t>de</w:t>
      </w:r>
      <w:r w:rsidRPr="005C26A4">
        <w:t xml:space="preserve"> 18 </w:t>
      </w:r>
      <w:r>
        <w:t>de outubro de</w:t>
      </w:r>
      <w:r w:rsidRPr="005C26A4">
        <w:t xml:space="preserve"> 2021</w:t>
      </w:r>
    </w:p>
    <w:p w14:paraId="5B8B7F17" w14:textId="20770AB0" w:rsidR="001D0970" w:rsidRDefault="001D0970" w:rsidP="00B73003">
      <w:pPr>
        <w:jc w:val="both"/>
        <w:rPr>
          <w:rFonts w:ascii="Garamond" w:hAnsi="Garamond" w:cstheme="majorHAnsi"/>
        </w:rPr>
      </w:pPr>
    </w:p>
    <w:p w14:paraId="46E54A8B" w14:textId="77777777" w:rsidR="00F240FB" w:rsidRPr="00395593" w:rsidRDefault="00F240FB" w:rsidP="00EA6EE8">
      <w:pPr>
        <w:shd w:val="clear" w:color="auto" w:fill="FFFFFF"/>
        <w:spacing w:after="450"/>
        <w:ind w:left="4536"/>
        <w:jc w:val="both"/>
        <w:rPr>
          <w:rFonts w:ascii="Garamond" w:hAnsi="Garamond" w:cs="Arial"/>
          <w:color w:val="162937"/>
          <w:sz w:val="24"/>
          <w:szCs w:val="24"/>
        </w:rPr>
      </w:pPr>
      <w:r w:rsidRPr="00395593">
        <w:rPr>
          <w:rFonts w:ascii="Garamond" w:hAnsi="Garamond" w:cs="Arial"/>
          <w:color w:val="162937"/>
          <w:sz w:val="24"/>
          <w:szCs w:val="24"/>
        </w:rPr>
        <w:t>Regulamenta os procedimentos administrativos relativos à investigação de existência de subsídios e à aplicação de medidas compensatórias.</w:t>
      </w:r>
    </w:p>
    <w:p w14:paraId="65698266" w14:textId="77777777" w:rsidR="00F240FB" w:rsidRPr="00395593" w:rsidRDefault="00F240FB" w:rsidP="115E7D8A">
      <w:pPr>
        <w:pStyle w:val="dou-paragraph"/>
        <w:shd w:val="clear" w:color="auto" w:fill="FFFFFF" w:themeFill="background1"/>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O </w:t>
      </w:r>
      <w:r w:rsidRPr="005C5CBD">
        <w:rPr>
          <w:rFonts w:ascii="Garamond" w:hAnsi="Garamond" w:cs="Arial"/>
          <w:b/>
          <w:bCs/>
          <w:color w:val="162937"/>
        </w:rPr>
        <w:t>PRESIDENTE DA REPÚBLICA</w:t>
      </w:r>
      <w:r w:rsidRPr="00395593">
        <w:rPr>
          <w:rFonts w:ascii="Garamond" w:hAnsi="Garamond" w:cs="Arial"/>
          <w:color w:val="162937"/>
        </w:rPr>
        <w:t>, no uso das atribuições que lhe confere o </w:t>
      </w:r>
      <w:hyperlink r:id="rId235">
        <w:r w:rsidRPr="00395593">
          <w:rPr>
            <w:rStyle w:val="Hyperlink"/>
            <w:rFonts w:ascii="Garamond" w:eastAsia="Arial" w:hAnsi="Garamond"/>
            <w:color w:val="007BFF"/>
          </w:rPr>
          <w:t>art. 84,</w:t>
        </w:r>
        <w:r w:rsidRPr="00395593">
          <w:rPr>
            <w:rFonts w:ascii="Garamond" w:hAnsi="Garamond" w:cs="Arial"/>
            <w:color w:val="007BFF"/>
          </w:rPr>
          <w:t>caput</w:t>
        </w:r>
        <w:r w:rsidRPr="00395593">
          <w:rPr>
            <w:rStyle w:val="Hyperlink"/>
            <w:rFonts w:ascii="Garamond" w:eastAsia="Arial" w:hAnsi="Garamond"/>
            <w:color w:val="007BFF"/>
          </w:rPr>
          <w:t>, incisos IV e VI, da Constituição</w:t>
        </w:r>
      </w:hyperlink>
      <w:r w:rsidRPr="00395593">
        <w:rPr>
          <w:rFonts w:ascii="Garamond" w:hAnsi="Garamond" w:cs="Arial"/>
          <w:color w:val="162937"/>
        </w:rPr>
        <w:t>, e tendo em vista o disposto no Acordo sobre Subsídios e Medidas Compensatórias, no Acordo sobre Agricultura e no Acordo Geral sobre Tarifas Aduaneiras e Comércio - GATT/1994, aprovados pelo </w:t>
      </w:r>
      <w:hyperlink r:id="rId236">
        <w:r w:rsidRPr="00395593">
          <w:rPr>
            <w:rStyle w:val="Hyperlink"/>
            <w:rFonts w:ascii="Garamond" w:eastAsia="Arial" w:hAnsi="Garamond"/>
            <w:color w:val="007BFF"/>
          </w:rPr>
          <w:t>Decreto Legislativo nº 30, de 15 dezembro de 1994</w:t>
        </w:r>
      </w:hyperlink>
      <w:r w:rsidRPr="00395593">
        <w:rPr>
          <w:rFonts w:ascii="Garamond" w:hAnsi="Garamond" w:cs="Arial"/>
          <w:color w:val="162937"/>
        </w:rPr>
        <w:t>, e promulgados pelo</w:t>
      </w:r>
      <w:hyperlink r:id="rId237">
        <w:r w:rsidRPr="00395593">
          <w:rPr>
            <w:rStyle w:val="Hyperlink"/>
            <w:rFonts w:ascii="Garamond" w:eastAsia="Arial" w:hAnsi="Garamond"/>
            <w:color w:val="007BFF"/>
          </w:rPr>
          <w:t> Decreto nº 1.355, de 30 de dezembro de 1994</w:t>
        </w:r>
      </w:hyperlink>
      <w:r w:rsidRPr="00395593">
        <w:rPr>
          <w:rFonts w:ascii="Garamond" w:hAnsi="Garamond" w:cs="Arial"/>
          <w:color w:val="162937"/>
        </w:rPr>
        <w:t>, e na</w:t>
      </w:r>
      <w:hyperlink r:id="rId238">
        <w:r w:rsidRPr="00395593">
          <w:rPr>
            <w:rStyle w:val="Hyperlink"/>
            <w:rFonts w:ascii="Garamond" w:eastAsia="Arial" w:hAnsi="Garamond"/>
            <w:color w:val="007BFF"/>
          </w:rPr>
          <w:t> Lei nº 9.019, de 30 de março de 1995</w:t>
        </w:r>
      </w:hyperlink>
      <w:r w:rsidRPr="00395593">
        <w:rPr>
          <w:rFonts w:ascii="Garamond" w:hAnsi="Garamond" w:cs="Arial"/>
          <w:color w:val="162937"/>
        </w:rPr>
        <w:t>, na parte que dispõe sobre a aplicação das medidas previstas no Acordo sobre Subsídios e Medidas Compensatórias,</w:t>
      </w:r>
    </w:p>
    <w:p w14:paraId="1BBC5CF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D E C R E T A :</w:t>
      </w:r>
    </w:p>
    <w:p w14:paraId="24476EB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1º Este Decreto regulamenta os procedimentos administrativos relativos à investigação de existência de subsídios e à aplicação de medidas compensatórias.</w:t>
      </w:r>
    </w:p>
    <w:p w14:paraId="636FF790"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CAPÍTULO I</w:t>
      </w:r>
    </w:p>
    <w:p w14:paraId="59794446"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color w:val="162937"/>
        </w:rPr>
      </w:pPr>
      <w:r w:rsidRPr="00395593">
        <w:rPr>
          <w:rFonts w:ascii="Garamond" w:hAnsi="Garamond" w:cs="Arial"/>
          <w:b/>
          <w:color w:val="162937"/>
        </w:rPr>
        <w:t>DOS PRINCÍPIOS E DAS COMPETÊNCIAS</w:t>
      </w:r>
    </w:p>
    <w:p w14:paraId="1C3D200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2º As medidas compensatórias poderão ser aplicadas quando a importação de produtos objeto de concessão direta ou indireta de subsídios causar dano à indústria doméstica.</w:t>
      </w:r>
    </w:p>
    <w:p w14:paraId="700263EA" w14:textId="77777777" w:rsidR="00F240FB" w:rsidRPr="00395593" w:rsidRDefault="00F240FB" w:rsidP="00236438">
      <w:pPr>
        <w:pStyle w:val="dou-paragraph"/>
        <w:shd w:val="clear" w:color="auto" w:fill="FFFFFF"/>
        <w:spacing w:before="0" w:beforeAutospacing="0" w:after="150" w:afterAutospacing="0"/>
        <w:ind w:firstLine="1202"/>
        <w:jc w:val="both"/>
        <w:rPr>
          <w:rFonts w:ascii="Garamond" w:hAnsi="Garamond" w:cs="Arial"/>
          <w:color w:val="162937"/>
        </w:rPr>
      </w:pPr>
      <w:r w:rsidRPr="00395593">
        <w:rPr>
          <w:rFonts w:ascii="Garamond" w:hAnsi="Garamond" w:cs="Arial"/>
          <w:color w:val="162937"/>
        </w:rPr>
        <w:t xml:space="preserve">§ 1º As medidas compensatórias de que trata o </w:t>
      </w:r>
      <w:r w:rsidRPr="00395593">
        <w:rPr>
          <w:rFonts w:ascii="Garamond" w:hAnsi="Garamond" w:cs="Arial"/>
          <w:b/>
          <w:color w:val="162937"/>
        </w:rPr>
        <w:t>caput</w:t>
      </w:r>
      <w:r w:rsidRPr="00395593">
        <w:rPr>
          <w:rFonts w:ascii="Garamond" w:hAnsi="Garamond" w:cs="Arial"/>
          <w:color w:val="162937"/>
        </w:rPr>
        <w:t xml:space="preserve"> serão aplicadas de acordo com as investigações iniciadas e conduzidas nos termos do disposto neste Decreto.</w:t>
      </w:r>
    </w:p>
    <w:p w14:paraId="26BFEAC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Nenhum produto importado poderá estar sujeito, simultaneamente, à medida antidumping e à medida compensatória para neutralizar a mesma situação de dumping ou de subsídios à exportação.</w:t>
      </w:r>
    </w:p>
    <w:p w14:paraId="2B9E244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3º Compete à Câmara de Comércio Exterior, de acordo com as recomendações contidas em parecer da Subsecretaria de Defesa Comercial e Interesse Público da Secretaria de Comércio Exterior da Secretaria Especial de Comércio Exterior e Assuntos Internacionais do Ministério da Economia:</w:t>
      </w:r>
    </w:p>
    <w:p w14:paraId="6CE20DF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aplicar ou prorrogar medidas compensatórias provisórias ou definitivas;</w:t>
      </w:r>
    </w:p>
    <w:p w14:paraId="373F48C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homologar ou prorrogar compromissos;</w:t>
      </w:r>
    </w:p>
    <w:p w14:paraId="11D6BD4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determinar a cobrança retroativa de direitos compensatórios definitivos;</w:t>
      </w:r>
    </w:p>
    <w:p w14:paraId="76270F5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IV - determinar a extensão de direitos compensatórios definitivos;</w:t>
      </w:r>
    </w:p>
    <w:p w14:paraId="5385A88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 - estabelecer a forma de aplicação de direitos compensatórios e de suas alterações;</w:t>
      </w:r>
    </w:p>
    <w:p w14:paraId="499EDDA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 - suspender a investigação de produtores ou exportadores para os quais tenha sido homologado compromisso, nos termos do disposto no art. 63; e</w:t>
      </w:r>
    </w:p>
    <w:p w14:paraId="6EA9C8E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VII - suspender a aplicação do direito compensatório na hipótese prevista no art. 106.</w:t>
      </w:r>
    </w:p>
    <w:p w14:paraId="028DF89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4º Em circunstâncias excepcionais, em razão de interesse público, a Câmara de Comércio Exterior poderá:</w:t>
      </w:r>
    </w:p>
    <w:p w14:paraId="1B86F0F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suspender a exigibilidade de direito compensatório definitivo ou de compromisso em vigor;</w:t>
      </w:r>
    </w:p>
    <w:p w14:paraId="22D6A5A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não aplicar medidas compensatórias provisórias; ou</w:t>
      </w:r>
    </w:p>
    <w:p w14:paraId="1F9D961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III - homologar compromisso ou aplicar direito compensatório definitivo em valor diferente do recomendado, respeitado o disposto no § 4º do art. 63 e no </w:t>
      </w:r>
      <w:r w:rsidRPr="00395593">
        <w:rPr>
          <w:rFonts w:ascii="Garamond" w:hAnsi="Garamond" w:cs="Arial"/>
          <w:b/>
          <w:color w:val="162937"/>
        </w:rPr>
        <w:t>caput</w:t>
      </w:r>
      <w:r w:rsidRPr="00395593">
        <w:rPr>
          <w:rFonts w:ascii="Garamond" w:hAnsi="Garamond" w:cs="Arial"/>
          <w:color w:val="162937"/>
        </w:rPr>
        <w:t xml:space="preserve"> do art. 74.</w:t>
      </w:r>
    </w:p>
    <w:p w14:paraId="7B93C07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Nas hipóteses previstas nos incisos I e III do </w:t>
      </w:r>
      <w:r w:rsidRPr="00395593">
        <w:rPr>
          <w:rFonts w:ascii="Garamond" w:hAnsi="Garamond" w:cs="Arial"/>
          <w:b/>
          <w:color w:val="162937"/>
        </w:rPr>
        <w:t>caput</w:t>
      </w:r>
      <w:r w:rsidRPr="00395593">
        <w:rPr>
          <w:rFonts w:ascii="Garamond" w:hAnsi="Garamond" w:cs="Arial"/>
          <w:color w:val="162937"/>
        </w:rPr>
        <w:t>, caso o ato de suspensão ou de alteração não estabeleça expressamente o prazo, a suspensão ou a alteração subsistirá pelo período de vigência remanescente da medida compensatória.</w:t>
      </w:r>
    </w:p>
    <w:p w14:paraId="6E4B02A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2º Na hipótese prevista no inciso I do </w:t>
      </w:r>
      <w:r w:rsidRPr="00395593">
        <w:rPr>
          <w:rFonts w:ascii="Garamond" w:hAnsi="Garamond" w:cs="Arial"/>
          <w:b/>
          <w:color w:val="162937"/>
        </w:rPr>
        <w:t>caput</w:t>
      </w:r>
      <w:r w:rsidRPr="00395593">
        <w:rPr>
          <w:rFonts w:ascii="Garamond" w:hAnsi="Garamond" w:cs="Arial"/>
          <w:color w:val="162937"/>
        </w:rPr>
        <w:t>, o ato de suspensão poderá estabelecer expressamente a reaplicação automática dos direitos compensatórios ou dos compromissos ao final do período de suspensão previsto.</w:t>
      </w:r>
    </w:p>
    <w:p w14:paraId="4EB1725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3º Os direitos compensatórios ou os compromissos suspensos na forma prevista no inciso I do </w:t>
      </w:r>
      <w:r w:rsidRPr="00395593">
        <w:rPr>
          <w:rFonts w:ascii="Garamond" w:hAnsi="Garamond" w:cs="Arial"/>
          <w:b/>
          <w:color w:val="162937"/>
        </w:rPr>
        <w:t>caput</w:t>
      </w:r>
      <w:r w:rsidRPr="00395593">
        <w:rPr>
          <w:rFonts w:ascii="Garamond" w:hAnsi="Garamond" w:cs="Arial"/>
          <w:color w:val="162937"/>
        </w:rPr>
        <w:t>:</w:t>
      </w:r>
    </w:p>
    <w:p w14:paraId="087C844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poderão ser reaplicados a qualquer momento por decisão da Câmara de Comércio Exterior; ou</w:t>
      </w:r>
    </w:p>
    <w:p w14:paraId="2BEC016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II - se não forem reaplicados no prazo estabelecido no </w:t>
      </w:r>
      <w:r w:rsidRPr="00395593">
        <w:rPr>
          <w:rFonts w:ascii="Garamond" w:hAnsi="Garamond" w:cs="Arial"/>
          <w:b/>
          <w:color w:val="162937"/>
        </w:rPr>
        <w:t>caput</w:t>
      </w:r>
      <w:r w:rsidRPr="00395593">
        <w:rPr>
          <w:rFonts w:ascii="Garamond" w:hAnsi="Garamond" w:cs="Arial"/>
          <w:color w:val="162937"/>
        </w:rPr>
        <w:t xml:space="preserve"> do art. 108, serão automaticamente extintos após o encerramento de sua vigência.</w:t>
      </w:r>
    </w:p>
    <w:p w14:paraId="17FF4D5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As partes interessadas nacionais, os setores industriais usuários do produto objeto da investigação e os consumidores cujos interesses sejam adversamente afetados poderão fornecer informações consideradas relevantes a respeito dos efeitos de imposição de medidas compensatórias.</w:t>
      </w:r>
    </w:p>
    <w:p w14:paraId="3847234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As diretrizes sobre a avaliação de interesse público de que trata este artigo serão estabelecidas pela Câmara de Comércio Exterior.</w:t>
      </w:r>
    </w:p>
    <w:p w14:paraId="1C2038E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6º As decisões da Câmara de Comércio Exterior, inclusive aquelas amparadas nas hipóteses de interesse público, serão acompanhadas da fundamentação que as motivou.</w:t>
      </w:r>
    </w:p>
    <w:p w14:paraId="1B32AF1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5º Compete à Secretaria de Comércio Exterior da Secretaria Especial de Comércio Exterior e Assuntos Internacionais do Ministério da Economia:</w:t>
      </w:r>
    </w:p>
    <w:p w14:paraId="0272A97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iniciar a investigação de existência de subsídio;</w:t>
      </w:r>
    </w:p>
    <w:p w14:paraId="03DB297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encerrar a investigação sem a aplicação de medidas compensatórias nas hipóteses previstas nos incisos I, II e III do </w:t>
      </w:r>
      <w:r w:rsidRPr="00395593">
        <w:rPr>
          <w:rFonts w:ascii="Garamond" w:hAnsi="Garamond" w:cs="Arial"/>
          <w:b/>
          <w:color w:val="162937"/>
        </w:rPr>
        <w:t>caput</w:t>
      </w:r>
      <w:r w:rsidRPr="00395593">
        <w:rPr>
          <w:rFonts w:ascii="Garamond" w:hAnsi="Garamond" w:cs="Arial"/>
          <w:color w:val="162937"/>
        </w:rPr>
        <w:t> do art. 70;</w:t>
      </w:r>
    </w:p>
    <w:p w14:paraId="09D2BD2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prorrogar o prazo de conclusão da investigação;</w:t>
      </w:r>
    </w:p>
    <w:p w14:paraId="74AE985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IV - encerrar a investigação sem o julgamento de mérito e arquivar o processo, a pedido do peticionário ou na hipótese prevista no inciso IV do </w:t>
      </w:r>
      <w:r w:rsidRPr="00395593">
        <w:rPr>
          <w:rFonts w:ascii="Garamond" w:hAnsi="Garamond" w:cs="Arial"/>
          <w:b/>
          <w:color w:val="162937"/>
        </w:rPr>
        <w:t>caput</w:t>
      </w:r>
      <w:r w:rsidRPr="00395593">
        <w:rPr>
          <w:rFonts w:ascii="Garamond" w:hAnsi="Garamond" w:cs="Arial"/>
          <w:color w:val="162937"/>
        </w:rPr>
        <w:t xml:space="preserve"> do art. 70;</w:t>
      </w:r>
    </w:p>
    <w:p w14:paraId="6916E16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 - iniciar a revisão de direito compensatório definitivo ou de compromisso; e</w:t>
      </w:r>
    </w:p>
    <w:p w14:paraId="2DD20E5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 - extinguir a medida compensatória nas hipóteses de revisão previstas na Seção II do Capítulo IX.</w:t>
      </w:r>
    </w:p>
    <w:p w14:paraId="6E7D55A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6º Compete à Subsecretaria de Defesa Comercial e Interesse Público da Secretaria de Comércio Exterior da Secretaria Especial de Comércio Exterior e Assuntos Internacionais do Ministério da Economia, na função de autoridade investigadora, conduzir o processo administrativo disciplinado por este Decreto.</w:t>
      </w:r>
    </w:p>
    <w:p w14:paraId="7AEB1F54" w14:textId="77777777" w:rsidR="00EA6EE8" w:rsidRPr="005C5CBD" w:rsidRDefault="00EA6EE8">
      <w:pPr>
        <w:rPr>
          <w:rFonts w:ascii="Garamond" w:eastAsia="Times New Roman" w:hAnsi="Garamond" w:cs="Arial"/>
          <w:b/>
          <w:color w:val="162937"/>
          <w:sz w:val="24"/>
          <w:szCs w:val="24"/>
          <w:lang w:eastAsia="pt-BR"/>
        </w:rPr>
      </w:pPr>
      <w:r w:rsidRPr="005C5CBD">
        <w:rPr>
          <w:rFonts w:ascii="Garamond" w:hAnsi="Garamond" w:cs="Arial"/>
          <w:b/>
          <w:color w:val="162937"/>
        </w:rPr>
        <w:br w:type="page"/>
      </w:r>
    </w:p>
    <w:p w14:paraId="594CDCE2" w14:textId="3B064753"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CAPÍTULO II</w:t>
      </w:r>
    </w:p>
    <w:p w14:paraId="74C2C0DC"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DAS DEFINIÇÕES</w:t>
      </w:r>
    </w:p>
    <w:p w14:paraId="6E6DB44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7º Para fins do disposto neste Decreto, considera-se:</w:t>
      </w:r>
    </w:p>
    <w:p w14:paraId="01AADBE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país exportador - país, de origem ou de exportação, onde é concedido o subsídio;</w:t>
      </w:r>
    </w:p>
    <w:p w14:paraId="12C2A5A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produto similar - produto idêntico, igual sob todos os aspectos ao produto objeto da investigação, ou, na sua ausência, outro que, embora não exatamente igual sob todos os aspectos, apresente características muito próximas às do produto objeto da investigação;</w:t>
      </w:r>
    </w:p>
    <w:p w14:paraId="5059B9C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produto subsidiado - produto que se beneficia de subsídio;</w:t>
      </w:r>
    </w:p>
    <w:p w14:paraId="1D3819E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IV - autoridade outorgante - governo ou órgão público no território do país exportador que conceda subsídios, em todos os níveis, nacional ou subnacional; e</w:t>
      </w:r>
    </w:p>
    <w:p w14:paraId="0C465EE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 - país - país estrangeiro ou subdivisão política, território dependente, ou posse de país estrangeiro.</w:t>
      </w:r>
    </w:p>
    <w:p w14:paraId="02B38F4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O conceito de país a que se refere o inciso V do </w:t>
      </w:r>
      <w:r w:rsidRPr="00395593">
        <w:rPr>
          <w:rFonts w:ascii="Garamond" w:hAnsi="Garamond" w:cs="Arial"/>
          <w:b/>
          <w:color w:val="162937"/>
        </w:rPr>
        <w:t>caput</w:t>
      </w:r>
      <w:r w:rsidRPr="00395593">
        <w:rPr>
          <w:rFonts w:ascii="Garamond" w:hAnsi="Garamond" w:cs="Arial"/>
          <w:color w:val="162937"/>
        </w:rPr>
        <w:t xml:space="preserve"> poderá abranger a associação, em união aduaneira, de dois ou mais países estrangeiros ou subdivisões políticas, territórios dependentes ou posses de países.</w:t>
      </w:r>
    </w:p>
    <w:p w14:paraId="3D8D261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Caso o país de origem e o país de exportação concedam subsídios ao mesmo produto, ambos poderão ser simultaneamente investigados.</w:t>
      </w:r>
    </w:p>
    <w:p w14:paraId="6AFBCF4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Na hipótese de os produtos serem exportados para a República Federativa do Brasil por meio de país intermediário, poderão ser aplicados os procedimentos de que trata este Decreto e as transações poderão ser consideradas como ocorridas entre o país de origem e a República Federativa do Brasil.</w:t>
      </w:r>
    </w:p>
    <w:p w14:paraId="594C804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A similaridade dos produtos será avaliada com base em critérios objetivos, dentre os quais:</w:t>
      </w:r>
    </w:p>
    <w:p w14:paraId="66E1424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matérias-primas;</w:t>
      </w:r>
    </w:p>
    <w:p w14:paraId="6AB9C4D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composição química;</w:t>
      </w:r>
    </w:p>
    <w:p w14:paraId="73C1346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características físicas;</w:t>
      </w:r>
    </w:p>
    <w:p w14:paraId="560484D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IV - normas e especificações técnicas;</w:t>
      </w:r>
    </w:p>
    <w:p w14:paraId="0669577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 - processo de produção;</w:t>
      </w:r>
    </w:p>
    <w:p w14:paraId="124D59E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 - usos e aplicações;</w:t>
      </w:r>
    </w:p>
    <w:p w14:paraId="3C7DEAE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VII - grau de substitutibilidade;</w:t>
      </w:r>
    </w:p>
    <w:p w14:paraId="45AA45F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VIII - canais de distribuição; e</w:t>
      </w:r>
    </w:p>
    <w:p w14:paraId="3049D8B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IX - preferências e hábitos dos consumidores.</w:t>
      </w:r>
    </w:p>
    <w:p w14:paraId="1C0C884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Os critérios objetivos a que se refere o § 4º constituem lista exemplificativa e nenhum deles, isoladamente ou em conjunto, será necessariamente capaz de fornecer indicação decisiva.</w:t>
      </w:r>
    </w:p>
    <w:p w14:paraId="27D3E4E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8º Para fins do disposto neste Decreto, exceto quando disposto de maneira distinta, as partes serão consideradas relacionadas ou associadas se:</w:t>
      </w:r>
    </w:p>
    <w:p w14:paraId="0702449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uma delas ocupar cargo de responsabilidade ou de direção em empresa da outra;</w:t>
      </w:r>
    </w:p>
    <w:p w14:paraId="7D0E55A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forem legalmente reconhecidas como associadas em negócios;</w:t>
      </w:r>
    </w:p>
    <w:p w14:paraId="29F8F11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forem empregador e empregado;</w:t>
      </w:r>
    </w:p>
    <w:p w14:paraId="4E45B7E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IV - qualquer pessoa, direta ou indiretamente, possuir, controlar ou detiver cinco por cento ou mais das ações ou dos títulos emitidos com direito a voto de ambas;</w:t>
      </w:r>
    </w:p>
    <w:p w14:paraId="63ADDE4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 - uma delas, direta ou indiretamente, controlar a outra, inclusive por intermédio de acordo de acionistas;</w:t>
      </w:r>
    </w:p>
    <w:p w14:paraId="203457A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 - forem ambas, direta ou indiretamente, controladas por uma terceira pessoa;</w:t>
      </w:r>
    </w:p>
    <w:p w14:paraId="13146F8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VII - juntas controlarem direta ou indiretamente uma terceira pessoa;</w:t>
      </w:r>
    </w:p>
    <w:p w14:paraId="120836B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VIII - forem membros da mesma família; ou</w:t>
      </w:r>
    </w:p>
    <w:p w14:paraId="6026B5D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IX - se houver relação de dependência econômica, financeira ou tecnológica com clientes, fornecedores ou financiadores que configure controle operacional.</w:t>
      </w:r>
    </w:p>
    <w:p w14:paraId="481A998D"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I</w:t>
      </w:r>
    </w:p>
    <w:p w14:paraId="3F8182A6"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color w:val="162937"/>
        </w:rPr>
      </w:pPr>
      <w:r w:rsidRPr="00395593">
        <w:rPr>
          <w:rFonts w:ascii="Garamond" w:hAnsi="Garamond" w:cs="Arial"/>
          <w:b/>
          <w:color w:val="162937"/>
        </w:rPr>
        <w:t>Dos subsídios</w:t>
      </w:r>
    </w:p>
    <w:p w14:paraId="667DFEA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9º Para fins do disposto neste Decreto, considera-se a existência de subsídio quando um benefício é conferido em função de:</w:t>
      </w:r>
    </w:p>
    <w:p w14:paraId="0A9E6F0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existir contribuição financeira por governo ou órgão público, no território do país exportador, doravante governo, nos casos em que:</w:t>
      </w:r>
    </w:p>
    <w:p w14:paraId="7B15779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 a prática do governo implique a transferência direta de fundos (doações, empréstimos, aportes de capital, entre outros) ou potenciais transferências diretas de fundos ou de obrigações (garantias de empréstimos, entre outros);</w:t>
      </w:r>
    </w:p>
    <w:p w14:paraId="019AC4B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b) as receitas públicas devidas (incentivos fiscais, entre outros) sejam perdoadas ou deixem de ser recolhidas, não sendo consideradas como subsídios as isenções, em favor dos produtos destinados à exportação, de impostos ou de taxas habitualmente aplicados ao produto similar quando destinados ao consumo interno, nem a devolução ou a remissão de tais impostos ou taxas, desde que o valor não exceda os totais devidos, de acordo com o Artigo XVI do Acordo Geral sobre Tarifas Aduaneiras e Comércio, de que trata o</w:t>
      </w:r>
      <w:hyperlink r:id="rId239" w:tgtFrame="_blank" w:history="1">
        <w:r w:rsidRPr="00395593">
          <w:rPr>
            <w:rStyle w:val="Hyperlink"/>
            <w:rFonts w:ascii="Garamond" w:eastAsia="Arial" w:hAnsi="Garamond"/>
            <w:color w:val="007BFF"/>
          </w:rPr>
          <w:t> Decreto nº 93.962, de 22 de janeiro de 1987</w:t>
        </w:r>
      </w:hyperlink>
      <w:r w:rsidRPr="00395593">
        <w:rPr>
          <w:rFonts w:ascii="Garamond" w:hAnsi="Garamond" w:cs="Arial"/>
          <w:color w:val="162937"/>
        </w:rPr>
        <w:t>, e os Anexos I ao III ao Acordo sobre Subsídios e Medidas Compensatórias da Organização Mundial do Comércio;</w:t>
      </w:r>
    </w:p>
    <w:p w14:paraId="29794B9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c) o governo forneça bens ou serviços além daqueles destinados à infraestrutura geral ou adquira bens;</w:t>
      </w:r>
    </w:p>
    <w:p w14:paraId="2D54BE2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d) o governo faça pagamentos a mecanismo de financiamento para provimento de contribuição financeira, ou instrua ou confie a entidade privada o provimento de contribuição financeira mediante o desempenho da entidade de uma ou mais das hipóteses a que se referem as alíneas "a" a "c", as quais seriam normalmente incumbência do governo, e a prática não difira, de modo significativo, das práticas habitualmente seguidas pelos governos; ou</w:t>
      </w:r>
    </w:p>
    <w:p w14:paraId="271010F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existir, no país exportador, qualquer forma de sustentação de renda ou de preços que, direta ou indiretamente, contribua para aumentar exportações ou reduzir importações de qualquer produto.</w:t>
      </w:r>
    </w:p>
    <w:p w14:paraId="2E686CD3"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II</w:t>
      </w:r>
    </w:p>
    <w:p w14:paraId="7723B19B"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color w:val="162937"/>
        </w:rPr>
      </w:pPr>
      <w:r w:rsidRPr="00395593">
        <w:rPr>
          <w:rFonts w:ascii="Garamond" w:hAnsi="Garamond" w:cs="Arial"/>
          <w:b/>
          <w:color w:val="162937"/>
        </w:rPr>
        <w:t>Da especificidade</w:t>
      </w:r>
    </w:p>
    <w:p w14:paraId="2F616C6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10. Com vistas a determinar se um subsídio, nos termos do disposto no art. 9º, é específico a uma empresa ou indústria, ou a um grupo de empresas ou indústrias, doravante denominadas determinadas empresas, na jurisdição da autoridade outorgante, serão aplicados os seguintes princípios:</w:t>
      </w:r>
    </w:p>
    <w:p w14:paraId="47895D0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quando a autoridade outorgante, ou a legislação pela qual essa autoridade é regida, explicitamente limitar o acesso ao subsídio a determinadas empresas, o referido subsídio será específico;</w:t>
      </w:r>
    </w:p>
    <w:p w14:paraId="7BC3923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quando a autoridade outorgante, ou a legislação pela qual essa autoridade é regida, estabelecer condições ou critérios objetivos que disponham sobre a elegibilidade ao subsídio e sobre o montante a ser concedido, não ocorrerá especificidade, desde que essa elegibilidade seja automática e que as condições e os critérios estipulados em lei, regulamento ou outro ato normativo sejam estritamente respeitados e se possa proceder à sua verificação; e</w:t>
      </w:r>
    </w:p>
    <w:p w14:paraId="18CC2CC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nas hipóteses em que não haja, aparentemente, especificidade de que tratam os incisos I e II, mas haja razões que levem a crer que o subsídio em análise seja de fato específico, os seguintes fatores poderão ser considerados:</w:t>
      </w:r>
    </w:p>
    <w:p w14:paraId="6BDFADE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 uso de um programa de subsídio por um número limitado de determinadas empresas;</w:t>
      </w:r>
    </w:p>
    <w:p w14:paraId="7F206E2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b) uso predominante de um programa de subsídio por determinadas empresas;</w:t>
      </w:r>
    </w:p>
    <w:p w14:paraId="1A2EE78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c) concessão de parcela desproporcionalmente grande de subsídio a determinadas empresas; e</w:t>
      </w:r>
    </w:p>
    <w:p w14:paraId="1475B8C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d) modo pelo qual a autoridade outorgante exerceu o seu poder discricionário na decisão de conceder subsídio, consideradas as informações sobre a frequência com que são recusados ou aceitos os pedidos de subsídios e sobre os motivos que ensejaram tais decisões.</w:t>
      </w:r>
    </w:p>
    <w:p w14:paraId="033F939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As condições ou critérios objetivos a que se refere o inciso II do </w:t>
      </w:r>
      <w:r w:rsidRPr="00395593">
        <w:rPr>
          <w:rFonts w:ascii="Garamond" w:hAnsi="Garamond" w:cs="Arial"/>
          <w:b/>
          <w:color w:val="162937"/>
        </w:rPr>
        <w:t>caput</w:t>
      </w:r>
      <w:r w:rsidRPr="00395593">
        <w:rPr>
          <w:rFonts w:ascii="Garamond" w:hAnsi="Garamond" w:cs="Arial"/>
          <w:color w:val="162937"/>
        </w:rPr>
        <w:t xml:space="preserve"> significam condições ou critérios imparciais que não favoreçam determinadas empresas em detrimento de outras e que sejam de natureza econômica e de aplicação horizontal, tais como o número de empregados ou a dimensão da empresa.</w:t>
      </w:r>
    </w:p>
    <w:p w14:paraId="390E297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2º Para fins do disposto no inciso III do </w:t>
      </w:r>
      <w:r w:rsidRPr="00395593">
        <w:rPr>
          <w:rFonts w:ascii="Garamond" w:hAnsi="Garamond" w:cs="Arial"/>
          <w:b/>
          <w:color w:val="162937"/>
        </w:rPr>
        <w:t>caput</w:t>
      </w:r>
      <w:r w:rsidRPr="00395593">
        <w:rPr>
          <w:rFonts w:ascii="Garamond" w:hAnsi="Garamond" w:cs="Arial"/>
          <w:color w:val="162937"/>
        </w:rPr>
        <w:t xml:space="preserve"> , deverão ser levadas em conta a diversidade das atividades econômicas na jurisdição da autoridade outorgante e o período durante o qual o programa de subsídios esteve em vigor.</w:t>
      </w:r>
    </w:p>
    <w:p w14:paraId="6F59FF7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11. Os subsídios limitados a uma empresa ou indústria, ou um grupo de empresas ou indústrias, localizada em região geográfica delimitada situada na jurisdição da autoridade outorgante serão considerados específicos.</w:t>
      </w:r>
    </w:p>
    <w:p w14:paraId="6AA985E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A fixação ou a alteração de alíquotas tributárias genericamente aplicáveis por todos os níveis de governo com competência para fazê-lo não será considerada subsídio específico.</w:t>
      </w:r>
    </w:p>
    <w:p w14:paraId="04824EC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12. Qualquer determinação de especificidade de subsídio na forma prevista nesta Seção deverá ser claramente fundamentada em evidências positivas.</w:t>
      </w:r>
    </w:p>
    <w:p w14:paraId="1614DEB2"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III</w:t>
      </w:r>
    </w:p>
    <w:p w14:paraId="39B00132"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Dos subsídios proibidos</w:t>
      </w:r>
    </w:p>
    <w:p w14:paraId="302AAD4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13. Exceto pelo disposto no Acordo sobre Agricultura da Organização Mundial do Comércio, os seguintes subsídios serão proibidos:</w:t>
      </w:r>
    </w:p>
    <w:p w14:paraId="7046A65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subsídios vinculados, de fato ou de direito, exclusivamente ou como uma entre várias condições, ao desempenho exportador, inclusive os indicados no Anexo I ao Acordo sobre Subsídios e Medidas Compensatórias da Organização Mundial do Comércio, observado o disposto nos Anexos II e III do referido Acordo; e</w:t>
      </w:r>
    </w:p>
    <w:p w14:paraId="6168CCE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subsídios vinculados, exclusivamente ou como uma entre várias condições, ao uso preferencial de produtos domésticos em detrimento de produtos importados.</w:t>
      </w:r>
    </w:p>
    <w:p w14:paraId="0C8A47E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Ocorrerá a vinculação de fato nos termos do disposto no inciso I do </w:t>
      </w:r>
      <w:r w:rsidRPr="00395593">
        <w:rPr>
          <w:rFonts w:ascii="Garamond" w:hAnsi="Garamond" w:cs="Arial"/>
          <w:b/>
          <w:color w:val="162937"/>
        </w:rPr>
        <w:t>caput</w:t>
      </w:r>
      <w:r w:rsidRPr="00395593">
        <w:rPr>
          <w:rFonts w:ascii="Garamond" w:hAnsi="Garamond" w:cs="Arial"/>
          <w:color w:val="162937"/>
        </w:rPr>
        <w:t xml:space="preserve"> quando ficar demonstrado que a concessão, ainda que não vinculada de direito ao desempenho exportador, está vinculada de fato a exportações ou a ganhos com exportações, reais ou previstos.</w:t>
      </w:r>
    </w:p>
    <w:p w14:paraId="2FF4944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A concessão de fato de subsídios a empresas exportadoras não deverá, por si só, ser considerada subsídio à exportação.</w:t>
      </w:r>
    </w:p>
    <w:p w14:paraId="54E82B5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Os subsídios que se enquadrarem na definição de subsídios proibidos serão considerados específicos.</w:t>
      </w:r>
    </w:p>
    <w:p w14:paraId="69D3D5D6"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IV</w:t>
      </w:r>
    </w:p>
    <w:p w14:paraId="7EBF7125"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Dos subsídios acionáveis</w:t>
      </w:r>
    </w:p>
    <w:p w14:paraId="116482B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14. O subsídio será acionável e sujeito a medidas compensatórias se for considerado específico, nos termos do disposto na Seção II ou na Seção III deste Capítulo.</w:t>
      </w:r>
    </w:p>
    <w:p w14:paraId="57F689A8"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CAPÍTULO III</w:t>
      </w:r>
    </w:p>
    <w:p w14:paraId="280BC534"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color w:val="162937"/>
        </w:rPr>
      </w:pPr>
      <w:r w:rsidRPr="00395593">
        <w:rPr>
          <w:rFonts w:ascii="Garamond" w:hAnsi="Garamond" w:cs="Arial"/>
          <w:b/>
          <w:color w:val="162937"/>
        </w:rPr>
        <w:t>DO CÁLCULO DO MONTANTE DE SUBSÍDIO ACIONÁVEL</w:t>
      </w:r>
    </w:p>
    <w:p w14:paraId="6699273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15. O montante de subsídios será calculado por volume ou por valor das vendas do produto subsidiado, com base no benefício conferido durante o período de investigação de existência de subsídio de que trata o § 1º do art. 43.</w:t>
      </w:r>
    </w:p>
    <w:p w14:paraId="1C8171B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16. Para fins do disposto neste Decreto, não serão considerados benefícios:</w:t>
      </w:r>
    </w:p>
    <w:p w14:paraId="2CF38CE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aporte de capital social pelo governo, exceto se a decisão de investir puder ser considerada inconsistente com as práticas habituais de investimento de investidores privados no território do país exportador, inclusive para o aporte de capital de risco;</w:t>
      </w:r>
    </w:p>
    <w:p w14:paraId="167198E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empréstimo do governo, exceto se houver diferença entre o montante que a empresa tomadora paga pelo empréstimo concedido pelo governo e o montante que a empresa pagaria por empréstimo comercial comparável que efetivamente poderia obter no mercado;</w:t>
      </w:r>
    </w:p>
    <w:p w14:paraId="1F0433C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garantia creditícia fornecida pelo governo, exceto se houver diferença entre o montante que a empresa recebedora da garantia paga pelo empréstimo e o montante que a empresa pagaria por empréstimo comercial comparável sem garantia do governo; ou</w:t>
      </w:r>
    </w:p>
    <w:p w14:paraId="7F43534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IV - fornecimento de bens e serviços ou compra de bens pelo governo, exceto se o fornecimento for realizado por valor inferior ao da remuneração adequada ou se a compra for realizada por valor superior ao da remuneração adequada, hipótese em que a adequação da remuneração será determinada em relação às condições de mercado em vigor para o bem ou o serviço em causa no país de fornecimento ou de compra, incluídos o preço, a qualidade, a disponibilidade, a comerciabilidade, o transporte e as demais condições de compra ou venda.</w:t>
      </w:r>
    </w:p>
    <w:p w14:paraId="54DE998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Na hipótese prevista no inciso II do </w:t>
      </w:r>
      <w:r w:rsidRPr="00395593">
        <w:rPr>
          <w:rFonts w:ascii="Garamond" w:hAnsi="Garamond" w:cs="Arial"/>
          <w:b/>
          <w:color w:val="162937"/>
        </w:rPr>
        <w:t>caput</w:t>
      </w:r>
      <w:r w:rsidRPr="00395593">
        <w:rPr>
          <w:rFonts w:ascii="Garamond" w:hAnsi="Garamond" w:cs="Arial"/>
          <w:color w:val="162937"/>
        </w:rPr>
        <w:t xml:space="preserve"> , o valor do benefício consistirá na diferença entre os dois montantes.</w:t>
      </w:r>
    </w:p>
    <w:p w14:paraId="7AB53FB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2º Na hipótese prevista no inciso III do </w:t>
      </w:r>
      <w:r w:rsidRPr="00395593">
        <w:rPr>
          <w:rFonts w:ascii="Garamond" w:hAnsi="Garamond" w:cs="Arial"/>
          <w:b/>
          <w:color w:val="162937"/>
        </w:rPr>
        <w:t>caput</w:t>
      </w:r>
      <w:r w:rsidRPr="00395593">
        <w:rPr>
          <w:rFonts w:ascii="Garamond" w:hAnsi="Garamond" w:cs="Arial"/>
          <w:color w:val="162937"/>
        </w:rPr>
        <w:t xml:space="preserve"> , o valor do benefício consistirá na diferença entre os dois montantes, com os ajustes devidos dos valores referentes às taxas aplicáveis.</w:t>
      </w:r>
    </w:p>
    <w:p w14:paraId="165B122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17. Na determinação do montante de subsídios, poderão ser deduzidos de seu valor:</w:t>
      </w:r>
    </w:p>
    <w:p w14:paraId="3ED30EC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gastos incorridos necessariamente para fazer jus aos subsídios ou para deles se beneficiarem; e</w:t>
      </w:r>
    </w:p>
    <w:p w14:paraId="41EB724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tributos que incidam sobre a exportação do produto para a República Federativa do Brasil quando destinados especificamente a neutralizar o subsídio.</w:t>
      </w:r>
    </w:p>
    <w:p w14:paraId="008C53F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Qualquer dedução requerida deverá ser comprovada.</w:t>
      </w:r>
    </w:p>
    <w:p w14:paraId="227E888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18. Para fins de cálculo do montante, o subsídio será normalmente considerado:</w:t>
      </w:r>
    </w:p>
    <w:p w14:paraId="6B4822F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recorrente - quando for relacionado à produção ou à venda corrente e os seus efeitos forem observados imediatamente, devendo, em geral, o montante ser atribuído integralmente ao período em que o benefício for conferido; ou</w:t>
      </w:r>
    </w:p>
    <w:p w14:paraId="4972627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não recorrente - quando for concedido excepcionalmente ou com frequência irregular, podendo ser relacionado à aquisição de ativos fixos, de modo que os seus efeitos sejam relacionados à produção ou à venda futura e se prolonguem por período superior àquele em que o benefício for conferido, devendo, em geral, o seu montante ser alocado ao longo dos períodos em que for observada a ocorrência de tais benefícios.</w:t>
      </w:r>
    </w:p>
    <w:p w14:paraId="443853B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19. Nos termos do disposto no Capítulo II, subsídios a montante serão entendidos como quaisquer subsídios acionáveis que:</w:t>
      </w:r>
    </w:p>
    <w:p w14:paraId="3FF036D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sejam conferidos por um governo aos insumos utilizados na fabricação ou na produção do produto subsidiado investigado no país exportador; e</w:t>
      </w:r>
    </w:p>
    <w:p w14:paraId="7D74F27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confiram benefício ao produto subsidiado investigado.</w:t>
      </w:r>
    </w:p>
    <w:p w14:paraId="0A8735C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Somente serão investigados subsídios a montante que tenham efeito significativo no custo de fabricação ou de produção do produto subsidiado investigado.</w:t>
      </w:r>
    </w:p>
    <w:p w14:paraId="0025AAF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20. Será determinado, preferencialmente, montante individual de subsídio para cada produtor ou exportador conhecido do produto subsidiado.</w:t>
      </w:r>
    </w:p>
    <w:p w14:paraId="401BAF2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21. Caso o número excessivo de exportadores, produtores, importadores, transações ou modelos do produto objeto da investigação torne impraticável a aplicação do disposto no art. 20, a determinação individual poderá limitar-se a:</w:t>
      </w:r>
    </w:p>
    <w:p w14:paraId="011A34B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amostra estatisticamente válida que inclua número razoável de partes interessadas, transações ou modelos de produto, baseada nas informações disponíveis no momento da seleção; ou</w:t>
      </w:r>
    </w:p>
    <w:p w14:paraId="656553C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seleção de produtores ou exportadores responsáveis pelo maior percentual razoavelmente investigável do volume de exportação do país exportador.</w:t>
      </w:r>
    </w:p>
    <w:p w14:paraId="7B4AF5F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A seleção referida no inciso II do </w:t>
      </w:r>
      <w:r w:rsidRPr="00395593">
        <w:rPr>
          <w:rFonts w:ascii="Garamond" w:hAnsi="Garamond" w:cs="Arial"/>
          <w:b/>
          <w:color w:val="162937"/>
        </w:rPr>
        <w:t>caput</w:t>
      </w:r>
      <w:r w:rsidRPr="00395593">
        <w:rPr>
          <w:rFonts w:ascii="Garamond" w:hAnsi="Garamond" w:cs="Arial"/>
          <w:color w:val="162937"/>
        </w:rPr>
        <w:t xml:space="preserve"> incluirá os produtores ou os exportadores que, elencados em ordem decrescente de volume, forem responsáveis pelos maiores volumes de exportação para a República Federativa do Brasil.</w:t>
      </w:r>
    </w:p>
    <w:p w14:paraId="05CA1A4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2º Na hipótese prevista no inciso II do </w:t>
      </w:r>
      <w:r w:rsidRPr="00395593">
        <w:rPr>
          <w:rFonts w:ascii="Garamond" w:hAnsi="Garamond" w:cs="Arial"/>
          <w:b/>
          <w:color w:val="162937"/>
        </w:rPr>
        <w:t>caput</w:t>
      </w:r>
      <w:r w:rsidRPr="00395593">
        <w:rPr>
          <w:rFonts w:ascii="Garamond" w:hAnsi="Garamond" w:cs="Arial"/>
          <w:color w:val="162937"/>
        </w:rPr>
        <w:t xml:space="preserve"> , os produtores ou os exportadores que solicitarem a sua exclusão da seleção depois de terem confirmado a sua participação ou que deixarem de responder ao questionário poderão ter o montante de subsídio acionável apurado com base na melhor informação disponível.</w:t>
      </w:r>
    </w:p>
    <w:p w14:paraId="355E2B9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3º A Subsecretaria de Defesa Comercial e Interesse Público da Secretaria de Comércio Exterior da Secretaria Especial de Comércio Exterior e Assuntos Internacionais do Ministério da Economia poderá incluir, a seu critério, outro produtor ou exportador na seleção de que trata o inciso II do </w:t>
      </w:r>
      <w:r w:rsidRPr="00395593">
        <w:rPr>
          <w:rFonts w:ascii="Garamond" w:hAnsi="Garamond" w:cs="Arial"/>
          <w:b/>
          <w:color w:val="162937"/>
        </w:rPr>
        <w:t>caput</w:t>
      </w:r>
      <w:r w:rsidRPr="00395593">
        <w:rPr>
          <w:rFonts w:ascii="Garamond" w:hAnsi="Garamond" w:cs="Arial"/>
          <w:color w:val="162937"/>
        </w:rPr>
        <w:t xml:space="preserve"> .</w:t>
      </w:r>
    </w:p>
    <w:p w14:paraId="78BC3DD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4º Qualquer seleção de produtores ou exportadores, importadores, transações ou tipos de produto feita em conformidade com disposto no </w:t>
      </w:r>
      <w:r w:rsidRPr="00395593">
        <w:rPr>
          <w:rFonts w:ascii="Garamond" w:hAnsi="Garamond" w:cs="Arial"/>
          <w:b/>
          <w:color w:val="162937"/>
        </w:rPr>
        <w:t>caput</w:t>
      </w:r>
      <w:r w:rsidRPr="00395593">
        <w:rPr>
          <w:rFonts w:ascii="Garamond" w:hAnsi="Garamond" w:cs="Arial"/>
          <w:color w:val="162937"/>
        </w:rPr>
        <w:t xml:space="preserve"> será efetuada, preferencialmente, após terem sido consultados o governo do país exportador, os produtores, os exportadores ou os importadores e obtida a sua anuência.</w:t>
      </w:r>
    </w:p>
    <w:p w14:paraId="689D3B1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Será também determinado montante individual de subsídio para cada produtor ou exportador que, embora não tenha sido incluído na seleção, apresente as informações a que se refere a Subseção I da Seção IV do Capítulo VI a tempo de serem consideradas durante a investigação.</w:t>
      </w:r>
    </w:p>
    <w:p w14:paraId="72F0E76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6º O disposto no § 5º não se aplica nas hipóteses em que o número de exportadores ou produtores seja de tal modo elevado que a análise de casos individuais impeça a conclusão da investigação nos prazos estabelecidos.</w:t>
      </w:r>
    </w:p>
    <w:p w14:paraId="1EEA328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7º É vedada qualquer forma de desestímulo à apresentação das informações a que se refere o § 5º.</w:t>
      </w:r>
    </w:p>
    <w:p w14:paraId="19A17CA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8º Para fins de determinação do montante individual de subsídios e de aplicação de direitos compensatórios, pessoas jurídicas distintas poderão ser tratadas como produtor ou exportador único quando demonstrado que a relação estrutural ou comercial das entidades entre si, ou com uma terceira entidade, é próxima o suficiente.</w:t>
      </w:r>
    </w:p>
    <w:p w14:paraId="6336CB3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22. Ato do Secretário de Comércio Exterior da Secretaria Especial de Comércio Exterior e Assuntos Internacionais do Ministério da Economia estabelecerá metodologia para o cálculo do montante de subsídios de que trata este Capítulo.</w:t>
      </w:r>
    </w:p>
    <w:p w14:paraId="481E9C3A"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CAPÍTULO IV</w:t>
      </w:r>
    </w:p>
    <w:p w14:paraId="595C2D18"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color w:val="162937"/>
        </w:rPr>
      </w:pPr>
      <w:r w:rsidRPr="00395593">
        <w:rPr>
          <w:rFonts w:ascii="Garamond" w:hAnsi="Garamond" w:cs="Arial"/>
          <w:b/>
          <w:color w:val="162937"/>
        </w:rPr>
        <w:t>DA DETERMINAÇÃO DO DANO</w:t>
      </w:r>
    </w:p>
    <w:p w14:paraId="403ACB4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23. Para fins do disposto neste Decreto, considera-se dano:</w:t>
      </w:r>
    </w:p>
    <w:p w14:paraId="2A947F2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o dano material à indústria doméstica;</w:t>
      </w:r>
    </w:p>
    <w:p w14:paraId="1DDE4B9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a ameaça de dano material à indústria doméstica; ou</w:t>
      </w:r>
    </w:p>
    <w:p w14:paraId="7406AC9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o atraso material na implantação da indústria doméstica.</w:t>
      </w:r>
    </w:p>
    <w:p w14:paraId="3F17A9F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24. A determinação de dano será baseada em elementos de prova e incluirá o exame objetivo do:</w:t>
      </w:r>
    </w:p>
    <w:p w14:paraId="09E060D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volume das importações do produto objeto da investigação;</w:t>
      </w:r>
    </w:p>
    <w:p w14:paraId="7FEFF87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efeito das importações do produto objeto da investigação sobre os preços do produto similar no mercado brasileiro; e</w:t>
      </w:r>
    </w:p>
    <w:p w14:paraId="341BB75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consequente impacto das importações do produto objeto da investigação sobre a indústria doméstica.</w:t>
      </w:r>
    </w:p>
    <w:p w14:paraId="26552A7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No exame do referido no inciso I do </w:t>
      </w:r>
      <w:r w:rsidRPr="00395593">
        <w:rPr>
          <w:rFonts w:ascii="Garamond" w:hAnsi="Garamond" w:cs="Arial"/>
          <w:b/>
          <w:color w:val="162937"/>
        </w:rPr>
        <w:t>caput</w:t>
      </w:r>
      <w:r w:rsidRPr="00395593">
        <w:rPr>
          <w:rFonts w:ascii="Garamond" w:hAnsi="Garamond" w:cs="Arial"/>
          <w:color w:val="162937"/>
        </w:rPr>
        <w:t xml:space="preserve"> , será considerada a ocorrência de aumento significativo das importações do produto objeto da investigação, tanto em termos absolutos quanto em relação à produção ou ao consumo na República Federativa do Brasil.</w:t>
      </w:r>
    </w:p>
    <w:p w14:paraId="2C4A26D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2º No exame do referido no inciso II do </w:t>
      </w:r>
      <w:r w:rsidRPr="00395593">
        <w:rPr>
          <w:rFonts w:ascii="Garamond" w:hAnsi="Garamond" w:cs="Arial"/>
          <w:b/>
          <w:color w:val="162937"/>
        </w:rPr>
        <w:t>caput</w:t>
      </w:r>
      <w:r w:rsidRPr="00395593">
        <w:rPr>
          <w:rFonts w:ascii="Garamond" w:hAnsi="Garamond" w:cs="Arial"/>
          <w:color w:val="162937"/>
        </w:rPr>
        <w:t xml:space="preserve"> , será considerado se:</w:t>
      </w:r>
    </w:p>
    <w:p w14:paraId="33C0CE4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houve subcotação significativa do preço das importações do produto objeto da investigação em relação ao preço do produto similar no mercado brasileiro;</w:t>
      </w:r>
    </w:p>
    <w:p w14:paraId="06B5B71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as importações do produto objeto da investigação tiveram por efeito deprimir significativamente os preços; ou</w:t>
      </w:r>
    </w:p>
    <w:p w14:paraId="043E6DB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as importações do produto objeto da investigação tiveram por efeito suprimir significativamente o aumento de preços que teria ocorrido na ausência de tais importações.</w:t>
      </w:r>
    </w:p>
    <w:p w14:paraId="6A02BB7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O exame do impacto das importações do produto objeto da investigação sobre a indústria doméstica incluirá a avaliação de todos os fatores e índices econômicos pertinentes, relacionados à situação da referida indústria, inclusive:</w:t>
      </w:r>
    </w:p>
    <w:p w14:paraId="05DEF63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a queda real ou potencial:</w:t>
      </w:r>
    </w:p>
    <w:p w14:paraId="5597521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 das vendas;</w:t>
      </w:r>
    </w:p>
    <w:p w14:paraId="2936626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b) dos lucros;</w:t>
      </w:r>
    </w:p>
    <w:p w14:paraId="266AD06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c) da produção;</w:t>
      </w:r>
    </w:p>
    <w:p w14:paraId="6AC9F35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d) da participação no mercado;</w:t>
      </w:r>
    </w:p>
    <w:p w14:paraId="6088DDA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e) da produtividade;</w:t>
      </w:r>
    </w:p>
    <w:p w14:paraId="7DABCDC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f) do retorno sobre os investimentos; e</w:t>
      </w:r>
    </w:p>
    <w:p w14:paraId="4302D03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g) do grau de utilização da capacidade instalada;</w:t>
      </w:r>
    </w:p>
    <w:p w14:paraId="5DF9D3E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os fatores que afetem os preços domésticos;</w:t>
      </w:r>
    </w:p>
    <w:p w14:paraId="5443E2B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os efeitos negativos reais ou potenciais sobre:</w:t>
      </w:r>
    </w:p>
    <w:p w14:paraId="4B5C97F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 fluxo de caixa;</w:t>
      </w:r>
    </w:p>
    <w:p w14:paraId="3A3E954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b) estoques;</w:t>
      </w:r>
    </w:p>
    <w:p w14:paraId="0DF1A7A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c) emprego;</w:t>
      </w:r>
    </w:p>
    <w:p w14:paraId="0AB86F0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d) salários;</w:t>
      </w:r>
    </w:p>
    <w:p w14:paraId="608756F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e) crescimento da indústria doméstica; e</w:t>
      </w:r>
    </w:p>
    <w:p w14:paraId="431F7D1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f) capacidade de captar recursos ou investimentos; e</w:t>
      </w:r>
    </w:p>
    <w:p w14:paraId="2A0EF33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IV - o aumento do ônus nos programas de apoio do governo, quando se tratar da agricultura.</w:t>
      </w:r>
    </w:p>
    <w:p w14:paraId="1A9625C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Nenhum dos fatores ou dos índices econômicos referidos no § 3º, isoladamente ou em conjunto, será necessariamente capaz de conduzir à conclusão decisiva.</w:t>
      </w:r>
    </w:p>
    <w:p w14:paraId="0D33389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25. Quando as importações de produto de mais de um país forem simultaneamente objeto de investigações que abranjam o mesmo período de investigação de existência de subsídio, os efeitos das importações poderão ser avaliados cumulativamente se for verificado que:</w:t>
      </w:r>
    </w:p>
    <w:p w14:paraId="010F3D7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o montante de subsídio acionável determinado em relação às importações do produto objeto da investigação provenientes de cada um dos países não é de minimis;</w:t>
      </w:r>
    </w:p>
    <w:p w14:paraId="40B5F00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o volume de importações do produto objeto da investigação provenientes de cada país não é insignificante; e</w:t>
      </w:r>
    </w:p>
    <w:p w14:paraId="1EC6D2D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a avaliação cumulativa dos efeitos dessas importações é apropriada, consideradas as condições de concorrência entre os produtos importados e as condições de concorrência entre os produtos importados e o produto similar no mercado brasileiro.</w:t>
      </w:r>
    </w:p>
    <w:p w14:paraId="4C92E57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O montante de subsídio acionável será considerado de minimis quando for inferior a um por cento </w:t>
      </w:r>
      <w:r w:rsidRPr="00395593">
        <w:rPr>
          <w:rFonts w:ascii="Garamond" w:hAnsi="Garamond" w:cs="Arial"/>
          <w:b/>
          <w:color w:val="162937"/>
        </w:rPr>
        <w:t>ad valorem</w:t>
      </w:r>
      <w:r w:rsidRPr="00395593">
        <w:rPr>
          <w:rFonts w:ascii="Garamond" w:hAnsi="Garamond" w:cs="Arial"/>
          <w:color w:val="162937"/>
        </w:rPr>
        <w:t>.</w:t>
      </w:r>
    </w:p>
    <w:p w14:paraId="3A7A910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2º O montante de subsídio acionável será considerado de minimis para os países em desenvolvimento quando não exceder dois por cento </w:t>
      </w:r>
      <w:r w:rsidRPr="00395593">
        <w:rPr>
          <w:rFonts w:ascii="Garamond" w:hAnsi="Garamond" w:cs="Arial"/>
          <w:b/>
          <w:color w:val="162937"/>
        </w:rPr>
        <w:t>ad valorem</w:t>
      </w:r>
      <w:r w:rsidRPr="00395593">
        <w:rPr>
          <w:rFonts w:ascii="Garamond" w:hAnsi="Garamond" w:cs="Arial"/>
          <w:color w:val="162937"/>
        </w:rPr>
        <w:t>.</w:t>
      </w:r>
    </w:p>
    <w:p w14:paraId="0B1B72B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O volume de importações do produto objeto da investigação provenientes de determinado país será considerado insignificante quando for inferior a três por cento das importações totais brasileiras do produto objeto da investigação e do produto similar.</w:t>
      </w:r>
    </w:p>
    <w:p w14:paraId="370DC6C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Caso o conjunto de países que individualmente respondam por menos de três por cento das importações totais brasileiras do produto objeto da investigação e do produto similar represente mais de sete por cento das importações totais brasileiras do produto objeto da investigação e do produto similar, o volume das importações subsidiadas de cada país não será considerado insignificante.</w:t>
      </w:r>
    </w:p>
    <w:p w14:paraId="268EAAE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Para os países em desenvolvimento, o volume de importações será considerado insignificante quando representar menos de quatro por cento das importações totais brasileiras do produto objeto da investigação e do produto similar, exceto se esses países que, individualmente, respondam por menos de quatro por cento dessas importações forem, coletivamente, responsáveis por mais de nove por cento das importações totais brasileiras do produto objeto da investigação e do produto similar.</w:t>
      </w:r>
    </w:p>
    <w:p w14:paraId="4A3E98F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26. Deverá ser demonstrado que, por meio dos efeitos do subsídio, as importações do produto objeto da investigação contribuíram significativamente para o dano experimentado pela indústria doméstica.</w:t>
      </w:r>
    </w:p>
    <w:p w14:paraId="5E7EEEA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A demonstração do nexo de causalidade de que trata o </w:t>
      </w:r>
      <w:r w:rsidRPr="00395593">
        <w:rPr>
          <w:rFonts w:ascii="Garamond" w:hAnsi="Garamond" w:cs="Arial"/>
          <w:b/>
          <w:color w:val="162937"/>
        </w:rPr>
        <w:t>caput</w:t>
      </w:r>
      <w:r w:rsidRPr="00395593">
        <w:rPr>
          <w:rFonts w:ascii="Garamond" w:hAnsi="Garamond" w:cs="Arial"/>
          <w:color w:val="162937"/>
        </w:rPr>
        <w:t xml:space="preserve"> deverá basear-se no exame:</w:t>
      </w:r>
    </w:p>
    <w:p w14:paraId="469776D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dos elementos de prova pertinentes apresentados; e</w:t>
      </w:r>
    </w:p>
    <w:p w14:paraId="3BB6994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de outros fatores conhecidos, além das importações do produto objeto da investigação, que possam simultaneamente estar causando dano à indústria doméstica, e tal dano provocado por outros motivos que não as importações do produto objeto da investigação não poderá ser atribuído às importações do produto objeto da investigação.</w:t>
      </w:r>
    </w:p>
    <w:p w14:paraId="67221E3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É necessário separar e distinguir os efeitos das importações do produto objeto da investigação e os efeitos de outras possíveis causas de dano à indústria doméstica.</w:t>
      </w:r>
    </w:p>
    <w:p w14:paraId="22EE086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Entende-se por outras possíveis causas de dano aquelas apresentadas pelas partes interessadas à Subsecretaria de Defesa Comercial e Interesse Público da Secretaria de Comércio Exterior da Secretaria Especial de Comércio Exterior e Assuntos Internacionais do Ministério da Economia, desde que acompanhadas da justificativa e dos elementos de prova pertinentes, e eventuais outras causas conhecidas pela referida Subsecretaria.</w:t>
      </w:r>
    </w:p>
    <w:p w14:paraId="20C480B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São fatores que podem ser considerados relevantes para fins da análise de que trata o inciso II do § 1º, entre outros:</w:t>
      </w:r>
    </w:p>
    <w:p w14:paraId="2D8B335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o volume e o preço de importações de produto não subsidiado;</w:t>
      </w:r>
    </w:p>
    <w:p w14:paraId="503D6D4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o impacto de eventuais processos de liberalização das importações sobre os preços domésticos;</w:t>
      </w:r>
    </w:p>
    <w:p w14:paraId="5F96A42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a contração na demanda ou a mudança nos padrões de consumo;</w:t>
      </w:r>
    </w:p>
    <w:p w14:paraId="3125023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IV - as práticas restritivas ao comércio de produtores domésticos e estrangeiros;</w:t>
      </w:r>
    </w:p>
    <w:p w14:paraId="73D3478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 - a concorrência entre produtores domésticos e estrangeiros;</w:t>
      </w:r>
    </w:p>
    <w:p w14:paraId="0B6C0BC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 - o progresso tecnológico;</w:t>
      </w:r>
    </w:p>
    <w:p w14:paraId="4B0D271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VII - o desempenho exportador;</w:t>
      </w:r>
    </w:p>
    <w:p w14:paraId="52A0731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VIII - a produtividade da indústria doméstica; e</w:t>
      </w:r>
    </w:p>
    <w:p w14:paraId="706D2BB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IX - o consumo cativo.</w:t>
      </w:r>
    </w:p>
    <w:p w14:paraId="273352A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O efeito das importações do produto objeto da investigação será determinado em relação à produção da indústria doméstica quando os dados disponíveis permitirem a sua identificação individualizada, com base em critérios como:</w:t>
      </w:r>
    </w:p>
    <w:p w14:paraId="76F62FE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processo produtivo; e</w:t>
      </w:r>
    </w:p>
    <w:p w14:paraId="5D99627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vendas e lucros dos produtores.</w:t>
      </w:r>
    </w:p>
    <w:p w14:paraId="6063B1F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6º Na hipótese de não ser possível a identificação individualizada da produção, os efeitos das importações do produto objeto da investigação serão determinados com base na produção do grupo ou da gama de produtos que, definido da forma mais restrita possível, inclua o produto similar doméstico, para o qual os dados necessários possam ser apresentados.</w:t>
      </w:r>
    </w:p>
    <w:p w14:paraId="6BAF542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27. A determinação de ameaça de dano material à indústria doméstica será baseada na possibilidade de ocorrência de eventos claramente previsíveis e iminentes.</w:t>
      </w:r>
    </w:p>
    <w:p w14:paraId="403C4CE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A expectativa quanto à ocorrência dos eventos futuros a que se refere o </w:t>
      </w:r>
      <w:r w:rsidRPr="00395593">
        <w:rPr>
          <w:rFonts w:ascii="Garamond" w:hAnsi="Garamond" w:cs="Arial"/>
          <w:b/>
          <w:color w:val="162937"/>
        </w:rPr>
        <w:t>caput</w:t>
      </w:r>
      <w:r w:rsidRPr="00395593">
        <w:rPr>
          <w:rFonts w:ascii="Garamond" w:hAnsi="Garamond" w:cs="Arial"/>
          <w:color w:val="162937"/>
        </w:rPr>
        <w:t xml:space="preserve"> deverá ser baseada nos elementos de prova constantes dos autos do processo e não em alegações não fundamentadas, conjecturas ou possibilidades remotas.</w:t>
      </w:r>
    </w:p>
    <w:p w14:paraId="646054E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2º Os eventos futuros a que se refere o </w:t>
      </w:r>
      <w:r w:rsidRPr="00395593">
        <w:rPr>
          <w:rFonts w:ascii="Garamond" w:hAnsi="Garamond" w:cs="Arial"/>
          <w:b/>
          <w:color w:val="162937"/>
        </w:rPr>
        <w:t>caput</w:t>
      </w:r>
      <w:r w:rsidRPr="00395593">
        <w:rPr>
          <w:rFonts w:ascii="Garamond" w:hAnsi="Garamond" w:cs="Arial"/>
          <w:color w:val="162937"/>
        </w:rPr>
        <w:t xml:space="preserve"> deverão ser capazes de alterar as condições em vigor, de maneira a criar situação na qual ocorreria dano material à indústria doméstica decorrente das importações adicionais do produto objeto da investigação.</w:t>
      </w:r>
    </w:p>
    <w:p w14:paraId="5EA5E0D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A análise do dano material de que trata o § 2º utilizará os critérios estabelecidos no § 3º do art. 24.</w:t>
      </w:r>
    </w:p>
    <w:p w14:paraId="1CB0219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Poderão ser considerados na análise do efeito das importações adicionais do produto objeto da investigação sobre a indústria doméstica de que trata o § 2º os seguintes fatores, entre outros:</w:t>
      </w:r>
    </w:p>
    <w:p w14:paraId="2C04F37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a natureza do subsídio e os seus prováveis efeitos sobre o comércio;</w:t>
      </w:r>
    </w:p>
    <w:p w14:paraId="54FC3D9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a significativa taxa de crescimento das importações do produto objeto da investigação e a indicação da possibilidade de aumento substancial dessas importações;</w:t>
      </w:r>
    </w:p>
    <w:p w14:paraId="6BD3E09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a capacidade ociosa suficiente ou o aumento substancial iminente da capacidade produtiva no país exportador, indicada a possibilidade de aumento significativo das exportações do produto objeto da investigação para a República Federativa do Brasil;</w:t>
      </w:r>
    </w:p>
    <w:p w14:paraId="3A5CAC3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IV - as importações realizadas a preço que terão por efeito reduzir ou impedir o aumento dos preços domésticos de forma significativa e que provavelmente aumentarão a demanda por importações adicionais; e</w:t>
      </w:r>
    </w:p>
    <w:p w14:paraId="1046C6D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 - a existência de estoques do produto objeto da investigação.</w:t>
      </w:r>
    </w:p>
    <w:p w14:paraId="064612C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Na análise a que se refere o inciso III do § 4º, será considerada a existência de terceiros mercados capazes de absorver o possível aumento das exportações do produto objeto da investigação, e poderá ser considerada, ainda, a existência de medidas de defesa comercial em vigor ou de investigações em curso em terceiros países que possam justificar desvios de comércio do produto para a República Federativa do Brasil.</w:t>
      </w:r>
    </w:p>
    <w:p w14:paraId="494BF1E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6º A conclusão de que as importações adicionais do produto objeto da investigação são iminentes e de que, se não for adotada medida compensatória, causarão dano material à indústria doméstica será baseada na análise conjunta dos fatores estabelecidos no § 4º, não sendo nenhum desses fatores isoladamente necessariamente capaz de conduzir à conclusão definitiva.</w:t>
      </w:r>
    </w:p>
    <w:p w14:paraId="018C03F0"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CAPÍTULO V</w:t>
      </w:r>
    </w:p>
    <w:p w14:paraId="737FB991"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INDÚSTRIA DOMÉSTICA</w:t>
      </w:r>
    </w:p>
    <w:p w14:paraId="05FEF66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28. Para fins do disposto neste Decreto, exceto quanto ao disposto no art. 31, considera-se indústria doméstica a totalidade dos produtores do produto similar doméstico ou o conjunto de produtores cuja produção conjunta constitua proporção significativa da produção nacional total do produto similar doméstico.</w:t>
      </w:r>
    </w:p>
    <w:p w14:paraId="213F7CB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29. Poderão ser excluídos do conceito de indústria doméstica:</w:t>
      </w:r>
    </w:p>
    <w:p w14:paraId="1B9FAA1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os produtores domésticos associados ou relacionados aos produtores estrangeiros, aos exportadores ou aos importadores; e</w:t>
      </w:r>
    </w:p>
    <w:p w14:paraId="574DA7C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os produtores domésticos importadores do produto alegadamente subsidiado ou do produto similar proveniente de outros países.</w:t>
      </w:r>
    </w:p>
    <w:p w14:paraId="592B1CB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Para fins do disposto no inciso I do </w:t>
      </w:r>
      <w:r w:rsidRPr="00395593">
        <w:rPr>
          <w:rFonts w:ascii="Garamond" w:hAnsi="Garamond" w:cs="Arial"/>
          <w:b/>
          <w:color w:val="162937"/>
        </w:rPr>
        <w:t>caput</w:t>
      </w:r>
      <w:r w:rsidRPr="00395593">
        <w:rPr>
          <w:rFonts w:ascii="Garamond" w:hAnsi="Garamond" w:cs="Arial"/>
          <w:color w:val="162937"/>
        </w:rPr>
        <w:t xml:space="preserve"> , os produtores domésticos serão considerados associados ou relacionados aos produtores estrangeiros, aos exportadores ou aos importadores somente no caso de:</w:t>
      </w:r>
    </w:p>
    <w:p w14:paraId="65F98FF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um deles controlar direta ou indiretamente o outro;</w:t>
      </w:r>
    </w:p>
    <w:p w14:paraId="3215D24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ambos serem controlados direta ou indiretamente por um terceiro; ou</w:t>
      </w:r>
    </w:p>
    <w:p w14:paraId="0A2FA5F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juntos controlarem direta ou indiretamente um terceiro.</w:t>
      </w:r>
    </w:p>
    <w:p w14:paraId="60FE977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Para os fins do disposto no § 1º, será considerado que uma pessoa controla outra quando a primeira está em condições legais ou operacionais de restringir ou de influir nas decisões da segunda.</w:t>
      </w:r>
    </w:p>
    <w:p w14:paraId="2206C7C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3º O disposto no inciso I do </w:t>
      </w:r>
      <w:r w:rsidRPr="00395593">
        <w:rPr>
          <w:rFonts w:ascii="Garamond" w:hAnsi="Garamond" w:cs="Arial"/>
          <w:b/>
          <w:color w:val="162937"/>
        </w:rPr>
        <w:t>caput</w:t>
      </w:r>
      <w:r w:rsidRPr="00395593">
        <w:rPr>
          <w:rFonts w:ascii="Garamond" w:hAnsi="Garamond" w:cs="Arial"/>
          <w:color w:val="162937"/>
        </w:rPr>
        <w:t xml:space="preserve"> só resultará na exclusão do produtor associado ou relacionado do conceito de indústria doméstica se houver suspeita de que o vínculo induza o referido produtor a agir diferentemente da forma como agiriam os produtores que não têm tal vínculo.</w:t>
      </w:r>
    </w:p>
    <w:p w14:paraId="792A81D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30. Em circunstâncias excepcionais, nas quais o território brasileiro puder ser dividido em dois ou mais mercados distintos, a indústria doméstica poderá ser interpretada como o conjunto de produtores domésticos de cada um desses mercados separadamente.</w:t>
      </w:r>
    </w:p>
    <w:p w14:paraId="6EC50F6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O conjunto dos produtores domésticos de cada um dos referidos mercados poderá ser considerado indústria doméstica subnacional se:</w:t>
      </w:r>
    </w:p>
    <w:p w14:paraId="18ED59C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os produtores venderem toda ou quase toda a produção do produto similar no mesmo mercado; e</w:t>
      </w:r>
    </w:p>
    <w:p w14:paraId="649931E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a demanda no mercado não for suprida em proporção substancial por produtores do produto similar estabelecidos fora desse mercado.</w:t>
      </w:r>
    </w:p>
    <w:p w14:paraId="641B6CB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Na hipótese prevista no § 1º, poderá ser determinada a existência de dano mesmo quando parcela importante da indústria nacional não estiver sendo afetada, desde que haja concentração das importações do produto objeto da investigação no mercado e que estas estejam causando dano à indústria doméstica subnacional.</w:t>
      </w:r>
    </w:p>
    <w:p w14:paraId="4AE9396A" w14:textId="77777777" w:rsidR="0050193E" w:rsidRPr="005C5CBD" w:rsidRDefault="0050193E">
      <w:pPr>
        <w:rPr>
          <w:rFonts w:ascii="Garamond" w:eastAsia="Times New Roman" w:hAnsi="Garamond" w:cs="Arial"/>
          <w:b/>
          <w:color w:val="162937"/>
          <w:sz w:val="24"/>
          <w:szCs w:val="24"/>
          <w:lang w:eastAsia="pt-BR"/>
        </w:rPr>
      </w:pPr>
      <w:r w:rsidRPr="005C5CBD">
        <w:rPr>
          <w:rFonts w:ascii="Garamond" w:hAnsi="Garamond" w:cs="Arial"/>
          <w:b/>
          <w:color w:val="162937"/>
        </w:rPr>
        <w:br w:type="page"/>
      </w:r>
    </w:p>
    <w:p w14:paraId="0B276D00" w14:textId="380C4CC0"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CAPÍTULO VI</w:t>
      </w:r>
    </w:p>
    <w:p w14:paraId="028D406B"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INVESTIGAÇÃO</w:t>
      </w:r>
    </w:p>
    <w:p w14:paraId="7FECEACF"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I</w:t>
      </w:r>
    </w:p>
    <w:p w14:paraId="3EF91245"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petição e da sua admissibilidade</w:t>
      </w:r>
    </w:p>
    <w:p w14:paraId="743EB06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31. A investigação para determinar a existência, o montante e o efeito do subsídio alegado deverá ser solicitada por meio de petição escrita, apresentada pela indústria doméstica ou em seu nome.</w:t>
      </w:r>
    </w:p>
    <w:p w14:paraId="2402BA1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Para fins do disposto neste artigo, considera-se indústria doméstica todos os produtores domésticos do produto similar, observado o disposto nos art. 29 e art. 30.</w:t>
      </w:r>
    </w:p>
    <w:p w14:paraId="17A8AC7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A petição será considerada como realizada pela indústria doméstica ou em seu nome quando:</w:t>
      </w:r>
    </w:p>
    <w:p w14:paraId="3CEE057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tenham sido consultados os produtores domésticos que produziram o produto similar durante o período de investigação de existência de subsídio; e</w:t>
      </w:r>
    </w:p>
    <w:p w14:paraId="12554A3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os produtores do produto similar que tenham manifestado apoio à petição representem mais de cinquenta por cento da produção total do produto similar daqueles que se manifestaram na consulta a que se refere o inciso I do § 2º.</w:t>
      </w:r>
    </w:p>
    <w:p w14:paraId="6D0D674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A petição não será considerada como realizada pela indústria doméstica ou em seu nome quando os produtores domésticos que manifestaram expressamente apoio à petição representem menos de vinte e cinco por cento da produção total do produto similar da indústria doméstica durante o período de investigação de existência de subsídio.</w:t>
      </w:r>
    </w:p>
    <w:p w14:paraId="3640620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No caso de indústria fragmentada, que envolva número especialmente elevado de produtores domésticos, o grau de apoio ou de rejeição poderá ser confirmado por meio de amostra estatisticamente válida.</w:t>
      </w:r>
    </w:p>
    <w:p w14:paraId="5EFD0F1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A manifestação de apoio ou de rejeição será considerada quando acompanhada de informação correspondente ao volume ou valor de produção e ao volume de vendas no mercado interno durante o período de análise de dano.</w:t>
      </w:r>
    </w:p>
    <w:p w14:paraId="2D38C4D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6º A petição conterá os dados necessários à determinação do dano à indústria doméstica relativos aos produtores domésticos que manifestaram expressamente o seu apoio à petição.</w:t>
      </w:r>
    </w:p>
    <w:p w14:paraId="75E3492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7º No caso de indústria fragmentada, que envolva número especialmente elevado de produtores domésticos, poderá ser aceita petição com dados relativos a produtores domésticos que respondam por parcela inferior a vinte e cinco por cento da produção da indústria doméstica do produto similar no período de investigação de existência de subsídio.</w:t>
      </w:r>
    </w:p>
    <w:p w14:paraId="2B799AE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32. A petição de que trata o art. 31 conterá indícios da existência de subsídio, e, quando possível, de seu montante, de dano à indústria doméstica e de nexo de causalidade entre ambos.</w:t>
      </w:r>
    </w:p>
    <w:p w14:paraId="733986C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Para fins do disposto neste artigo, alegações não fundamentadas não serão consideradas como indícios.</w:t>
      </w:r>
    </w:p>
    <w:p w14:paraId="00F49D3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33. Ato do Secretário de Comércio Exterior da Secretaria Especial de Comércio Exterior e Assuntos Internacionais do Ministério da Economia disporá sobre os seguintes elementos da petição de que trata o art. 31:</w:t>
      </w:r>
    </w:p>
    <w:p w14:paraId="433F486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o formato de apresentação; e</w:t>
      </w:r>
    </w:p>
    <w:p w14:paraId="6DCA5F7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as informações indispensáveis à sua apresentação.</w:t>
      </w:r>
    </w:p>
    <w:p w14:paraId="07BCD2F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34. Não serão conhecidas as petições que não cumprirem as exigências estabelecidas nesta Seção, no art. 47 e no ato do Secretário de Comércio Exterior da Secretaria Especial de Comércio Exterior e Assuntos Internacionais do Ministério da Economia de que trata o art. 33.</w:t>
      </w:r>
    </w:p>
    <w:p w14:paraId="71F6F279"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II</w:t>
      </w:r>
    </w:p>
    <w:p w14:paraId="29C0FF80"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análise da petição</w:t>
      </w:r>
    </w:p>
    <w:p w14:paraId="6C16889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35. A petição protocolada em conformidade com o disposto na Seção I deste Capítulo será analisada no prazo de vinte dias, contado da data de seu protocolo.</w:t>
      </w:r>
    </w:p>
    <w:p w14:paraId="3782364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Na hipótese de a petição estar devidamente instruída e de não serem necessárias informações complementares, o peticionário será notificado a respeito do início da investigação ou do indeferimento da petição no prazo adicional de quarenta e cinco dias.</w:t>
      </w:r>
    </w:p>
    <w:p w14:paraId="1969621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Caso haja a necessidade de informações complementares, correções ou ajustes na petição, o peticionário será solicitado a alterá-la no prazo de vinte dias, contado da data de ciência da solicitação.</w:t>
      </w:r>
    </w:p>
    <w:p w14:paraId="7AE3EDF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As informações complementares, as correções ou os ajustes serão analisados no prazo de vinte dias, contado da data de seu recebimento.</w:t>
      </w:r>
    </w:p>
    <w:p w14:paraId="152CAA4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Após a análise das informações complementares, o peticionário será notificado a respeito do início da investigação ou do indeferimento da petição no prazo adicional de quarenta e cinco dias.</w:t>
      </w:r>
    </w:p>
    <w:p w14:paraId="6D8DD47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Deverão ser protocoladas simultaneamente uma versão confidencial e uma versão não confidencial da petição.</w:t>
      </w:r>
    </w:p>
    <w:p w14:paraId="751BBAA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6º Os documentos protocolados sem a indicação de confidencial ou restrito serão tratados como públicos.</w:t>
      </w:r>
    </w:p>
    <w:p w14:paraId="43D597E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36. Protocolada a petição em conformidade com o disposto no art. 35 e, em qualquer caso, sempre antes do início da investigação, será oferecida oportunidade para a realização de consultas ao governo do país cujo produto alegadamente subsidiado esteja sendo importado à República Federativa do Brasil e causando dano à indústria doméstica.</w:t>
      </w:r>
    </w:p>
    <w:p w14:paraId="74323C8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As consultas a que se refere o </w:t>
      </w:r>
      <w:r w:rsidRPr="00395593">
        <w:rPr>
          <w:rFonts w:ascii="Garamond" w:hAnsi="Garamond" w:cs="Arial"/>
          <w:b/>
          <w:color w:val="162937"/>
        </w:rPr>
        <w:t>caput</w:t>
      </w:r>
      <w:r w:rsidRPr="00395593">
        <w:rPr>
          <w:rFonts w:ascii="Garamond" w:hAnsi="Garamond" w:cs="Arial"/>
          <w:color w:val="162937"/>
        </w:rPr>
        <w:t xml:space="preserve"> terão como objetivo esclarecer dúvidas sobre as informações e os elementos de prova constantes da petição, com vistas a obter solução mutuamente satisfatória.</w:t>
      </w:r>
    </w:p>
    <w:p w14:paraId="46491AA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Os governos dos países exportadores serão notificados e terão o prazo de cinco dias, contado da data de ciência da notificação, para manifestar interesse na realização de consultas, que deverão ocorrer no prazo de trinta dias, contado da data de envio das notificações.</w:t>
      </w:r>
    </w:p>
    <w:p w14:paraId="7D904C3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Para fins de início da investigação, somente serão consideradas as manifestações do governo do país exportador protocoladas na Subsecretaria de Defesa Comercial e Interesse Público da Secretaria de Comércio Exterior da Secretaria Especial de Comércio Exterior e Assuntos Internacionais do Ministério da Economia no prazo de cinco dias, contado da data de realização das consultas a que se refere o § 2º.</w:t>
      </w:r>
    </w:p>
    <w:p w14:paraId="23C8A1C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37. A petição será analisada quanto aos indícios da existência de subsídio, de dano à indústria doméstica e de nexo de causalidade entre ambos.</w:t>
      </w:r>
    </w:p>
    <w:p w14:paraId="62F2904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A correção e a adequação dos dados e indícios contidos na petição serão examinadas de acordo com as informações das fontes razoavelmente disponíveis, para determinar se o início da investigação é justificado.</w:t>
      </w:r>
    </w:p>
    <w:p w14:paraId="0E95D6D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Serão indeferidas as petições que:</w:t>
      </w:r>
    </w:p>
    <w:p w14:paraId="2560219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 - não contenham os indícios a que se refere o </w:t>
      </w:r>
      <w:r w:rsidRPr="00395593">
        <w:rPr>
          <w:rFonts w:ascii="Garamond" w:hAnsi="Garamond" w:cs="Arial"/>
          <w:b/>
          <w:color w:val="162937"/>
        </w:rPr>
        <w:t>caput</w:t>
      </w:r>
      <w:r w:rsidRPr="00395593">
        <w:rPr>
          <w:rFonts w:ascii="Garamond" w:hAnsi="Garamond" w:cs="Arial"/>
          <w:color w:val="162937"/>
        </w:rPr>
        <w:t xml:space="preserve"> ;</w:t>
      </w:r>
    </w:p>
    <w:p w14:paraId="73F67B9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não cumpram as exigências e os prazos estabelecidos no art. 35 para as partes interessadas; ou</w:t>
      </w:r>
    </w:p>
    <w:p w14:paraId="51F158B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demandem informações complementares, correções ou ajustes significativos.</w:t>
      </w:r>
    </w:p>
    <w:p w14:paraId="32E4D86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38. A identificação de produtores ou exportadores, exclusivamente no âmbito da investigação de existência de subsídio para a qual haja processo administrativo instaurado, independentemente de estarem listados na petição, será feita com base nos dados detalhados de importação fornecidos pela Secretaria Especial da Receita Federal do Brasil do Ministério da Economia, nos termos do disposto no inciso II do § 1º do art. 198 da Lei nº 5.172, de 25 de outubro de 1966.</w:t>
      </w:r>
    </w:p>
    <w:p w14:paraId="104F5159"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III</w:t>
      </w:r>
    </w:p>
    <w:p w14:paraId="4DF079F4"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color w:val="162937"/>
        </w:rPr>
      </w:pPr>
      <w:r w:rsidRPr="00395593">
        <w:rPr>
          <w:rFonts w:ascii="Garamond" w:hAnsi="Garamond" w:cs="Arial"/>
          <w:b/>
          <w:color w:val="162937"/>
        </w:rPr>
        <w:t>Do início da investigação</w:t>
      </w:r>
    </w:p>
    <w:p w14:paraId="1D836F7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39. Em circunstâncias excepcionais, devidamente justificadas, a Secretaria de Comércio Exterior da Secretaria Especial de Comércio Exterior e Assuntos Internacionais do Ministério da Economia poderá iniciar investigação de ofício, desde que disponha de indícios suficientes da existência de subsídio, de dano e de nexo de causalidade entre ambos.</w:t>
      </w:r>
    </w:p>
    <w:p w14:paraId="565707C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Poderão ser investigados programas de concessão de subsídios além daqueles indicados na petição.</w:t>
      </w:r>
    </w:p>
    <w:p w14:paraId="63D36E2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40. Compete à Secretaria de Comércio Exterior da Secretaria Especial de Comércio Exterior e Assuntos Internacionais do Ministério da Economia publicar ato de início de investigação no Diário Oficial da União e à sua Subsecretaria de Defesa Comercial e Interesse Público, notificar as partes interessadas conhecidas do início da investigação.</w:t>
      </w:r>
    </w:p>
    <w:p w14:paraId="4135EC3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As seguintes informações constarão do ato de que trata o </w:t>
      </w:r>
      <w:r w:rsidRPr="00395593">
        <w:rPr>
          <w:rFonts w:ascii="Garamond" w:hAnsi="Garamond" w:cs="Arial"/>
          <w:b/>
          <w:color w:val="162937"/>
        </w:rPr>
        <w:t>caput</w:t>
      </w:r>
      <w:r w:rsidRPr="00395593">
        <w:rPr>
          <w:rFonts w:ascii="Garamond" w:hAnsi="Garamond" w:cs="Arial"/>
          <w:color w:val="162937"/>
        </w:rPr>
        <w:t xml:space="preserve"> :</w:t>
      </w:r>
    </w:p>
    <w:p w14:paraId="4CB2F0B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os países dos exportadores ou produtores investigados;</w:t>
      </w:r>
    </w:p>
    <w:p w14:paraId="07C958F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o produto objeto da investigação;</w:t>
      </w:r>
    </w:p>
    <w:p w14:paraId="52662C2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a data de início da investigação;</w:t>
      </w:r>
    </w:p>
    <w:p w14:paraId="34B8D81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IV - os prazos para que as partes interessadas possam se manifestar; e</w:t>
      </w:r>
    </w:p>
    <w:p w14:paraId="3247CBB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 - as informações relativas aos programas de subsídio, ao dano à indústria doméstica e ao nexo de causalidade entre ambos.</w:t>
      </w:r>
    </w:p>
    <w:p w14:paraId="075F1D0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Serão consideradas partes interessadas:</w:t>
      </w:r>
    </w:p>
    <w:p w14:paraId="66E8439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os produtores domésticos do produto similar e a entidade de classe que os represente;</w:t>
      </w:r>
    </w:p>
    <w:p w14:paraId="7775F9B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os importadores brasileiros que importaram o produto objeto da investigação durante o período de investigação de existência de subsídio e a entidade de classe que os represente;</w:t>
      </w:r>
    </w:p>
    <w:p w14:paraId="03F9664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os produtores ou exportadores estrangeiros que exportaram para a República Federativa do Brasil o produto objeto da investigação durante o período de investigação de existência de subsídio e a entidade de classe que os represente;</w:t>
      </w:r>
    </w:p>
    <w:p w14:paraId="11D57D4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IV - o governo do país exportador do produto objeto da investigação; e</w:t>
      </w:r>
    </w:p>
    <w:p w14:paraId="4632B05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 - outras partes nacionais ou estrangeiras afetadas pela prática investigada, a critério da Subsecretaria de Defesa Comercial e Interesse Público da Secretaria de Comércio Exterior da Secretaria Especial de Comércio Exterior e Assuntos Internacionais do Ministério da Economia.</w:t>
      </w:r>
    </w:p>
    <w:p w14:paraId="21A45E1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3º Será concedido o prazo de vinte dias, contado da data de publicação do ato de que trata o </w:t>
      </w:r>
      <w:r w:rsidRPr="00395593">
        <w:rPr>
          <w:rFonts w:ascii="Garamond" w:hAnsi="Garamond" w:cs="Arial"/>
          <w:b/>
          <w:color w:val="162937"/>
        </w:rPr>
        <w:t>caput</w:t>
      </w:r>
      <w:r w:rsidRPr="00395593">
        <w:rPr>
          <w:rFonts w:ascii="Garamond" w:hAnsi="Garamond" w:cs="Arial"/>
          <w:color w:val="162937"/>
        </w:rPr>
        <w:t xml:space="preserve"> , para que as partes a que se refere o inciso V do § 2º manifestem interesse em participar da investigação.</w:t>
      </w:r>
    </w:p>
    <w:p w14:paraId="39B95ED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Iniciada a investigação, o inteiro teor da petição que lhe deu origem será disponibilizado aos produtores ou aos exportadores conhecidos e ao governo do país exportador e anexado aos autos do processo.</w:t>
      </w:r>
    </w:p>
    <w:p w14:paraId="1777F51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Para fins do cumprimento das obrigações estabelecidas neste Decreto, as comunicações oficiais com o governo do país exportador serão enviadas para a representação oficial do país exportador na República Federativa do Brasil.</w:t>
      </w:r>
    </w:p>
    <w:p w14:paraId="700303F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6º Na hipótese de não haver representação oficial na República Federativa do Brasil, as comunicações oficiais com o governo do país exportador serão expedidas com auxílio do Ministério das Relações Exteriores.</w:t>
      </w:r>
    </w:p>
    <w:p w14:paraId="3EBB2D6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41. Os processos de investigação de existência de subsídio não poderão constituir entrave ao desembaraço aduaneiro.</w:t>
      </w:r>
    </w:p>
    <w:p w14:paraId="2DC9EE8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42. Antes da determinação do início da investigação de que trata esta Seção, não será dada publicidade à petição, exceto quanto ao disposto no art. 36.</w:t>
      </w:r>
    </w:p>
    <w:p w14:paraId="36D0CBFF"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IV</w:t>
      </w:r>
    </w:p>
    <w:p w14:paraId="032EC165"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instrução</w:t>
      </w:r>
    </w:p>
    <w:p w14:paraId="33BDE54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43. Durante a investigação, será analisada a existência de subsídio, de dano à indústria doméstica e de nexo de causalidade entre ambos.</w:t>
      </w:r>
    </w:p>
    <w:p w14:paraId="1712C23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O período de investigação de existência de subsídio:</w:t>
      </w:r>
    </w:p>
    <w:p w14:paraId="45B1C9D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compreenderá doze meses, encerrados, preferencialmente, em março, junho, setembro ou dezembro;</w:t>
      </w:r>
    </w:p>
    <w:p w14:paraId="509A163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poderá coincidir com o ano fiscal mais recentemente encerrado e para o qual estejam disponíveis dados financeiros consolidados e outros dados contábeis confiáveis no país exportador; e</w:t>
      </w:r>
    </w:p>
    <w:p w14:paraId="42537AF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em circunstâncias excepcionais, devidamente justificadas, poderá compreender entre seis e doze meses.</w:t>
      </w:r>
    </w:p>
    <w:p w14:paraId="17A17C6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O período de investigação de dano compreenderá sessenta meses, divididos em cinco intervalos de doze meses encerrados em março, junho, setembro ou dezembro, e incluirá necessariamente o período de investigação da existência de subsídio, observado o seguinte:</w:t>
      </w:r>
    </w:p>
    <w:p w14:paraId="292D212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o intervalo mais recente coincidirá, preferencialmente, com o período de investigação de existência de subsídio; e</w:t>
      </w:r>
    </w:p>
    <w:p w14:paraId="435DAA7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os demais intervalos compreenderão os quarenta e oito meses anteriores ao intervalo mais recente.</w:t>
      </w:r>
    </w:p>
    <w:p w14:paraId="7B60594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Em circunstâncias excepcionais, devidamente justificadas, o período de investigação de dano poderá compreender entre trinta e seis e sessenta meses.</w:t>
      </w:r>
    </w:p>
    <w:p w14:paraId="3A4E341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O peticionário terá até o último dia útil do quarto mês subsequente ao encerramento do período de investigação de dano para protocolar a petição.</w:t>
      </w:r>
    </w:p>
    <w:p w14:paraId="65321A4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Até o final da fase probatória, as partes interessadas domésticas, incluídos os usuários industriais do produto objeto da investigação e as organizações de consumidores mais representativas desse produto, nos casos em que seja habitualmente comercializado no varejo, poderão fornecer informações consideradas relevantes acerca do subsídio, do dano e do nexo de causalidade entre ambos.</w:t>
      </w:r>
    </w:p>
    <w:p w14:paraId="4E26ABD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44. Durante a investigação, será oferecida aos governos dos países exportadores cujos produtos sejam objeto da investigação a oportunidade de prosseguir as consultas, com vistas a esclarecer os fatos e obter soluções mutuamente satisfatórias.</w:t>
      </w:r>
    </w:p>
    <w:p w14:paraId="3C9A8090"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Subseção I</w:t>
      </w:r>
    </w:p>
    <w:p w14:paraId="0E42F606"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color w:val="162937"/>
        </w:rPr>
      </w:pPr>
      <w:r w:rsidRPr="00395593">
        <w:rPr>
          <w:rFonts w:ascii="Garamond" w:hAnsi="Garamond" w:cs="Arial"/>
          <w:b/>
          <w:color w:val="162937"/>
        </w:rPr>
        <w:t>Das informações</w:t>
      </w:r>
    </w:p>
    <w:p w14:paraId="39E4F24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45. As partes interessadas conhecidas na investigação serão notificadas a respeito das informações requeridas e terão ampla oportunidade para apresentar por escrito os elementos de prova que considerarem pertinentes à investigação.</w:t>
      </w:r>
    </w:p>
    <w:p w14:paraId="1F2EC30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Serão consideradas as dificuldades encontradas pelas partes interessadas no fornecimento das informações solicitadas e será concedida a assistência possível, em especial por empresas de pequeno porte.</w:t>
      </w:r>
    </w:p>
    <w:p w14:paraId="5FFC3FA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Os documentos apresentados pelas partes interessadas serão juntados aos autos do processo em ordem cronológica.</w:t>
      </w:r>
    </w:p>
    <w:p w14:paraId="6B22C34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Será registrado o recebimento de documentos intempestivamente ou em desacordo com as normas aplicáveis, e a parte interessada será notificada sobre o indeferimento da juntada de tais documentos aos autos do processo pela Subsecretaria de Defesa Comercial e Interesse Público da Secretaria de Comércio Exterior da Secretaria Especial de Comércio Exterior e Assuntos Internacionais do Ministério da Economia.</w:t>
      </w:r>
    </w:p>
    <w:p w14:paraId="2FAA844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46. Os produtores ou exportadores conhecidos, os governos dos países exportadores, os importadores conhecidos e os demais produtores domésticos, assim definidos no § 2º do art. 40, receberão questionário com a indicação das informações necessárias à investigação e disporão do prazo de trinta dias para a sua devolução, contado da data de ciência, sem prejuízo do envio de questionários para outras partes interessadas.</w:t>
      </w:r>
    </w:p>
    <w:p w14:paraId="3BA1CA5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Será concedida, a pedido e sempre que possível, a prorrogação do prazo estabelecido no </w:t>
      </w:r>
      <w:r w:rsidRPr="00395593">
        <w:rPr>
          <w:rFonts w:ascii="Garamond" w:hAnsi="Garamond" w:cs="Arial"/>
          <w:b/>
          <w:color w:val="162937"/>
        </w:rPr>
        <w:t>caput</w:t>
      </w:r>
      <w:r w:rsidRPr="00395593">
        <w:rPr>
          <w:rFonts w:ascii="Garamond" w:hAnsi="Garamond" w:cs="Arial"/>
          <w:color w:val="162937"/>
        </w:rPr>
        <w:t xml:space="preserve"> por até trinta dias.</w:t>
      </w:r>
    </w:p>
    <w:p w14:paraId="48DC8C6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Poderão ser solicitadas informações adicionais àquelas contidas nas respostas aos questionários e será concedido à parte interessada o prazo de dez dias para resposta, contado da data de ciência da solicitação, prorrogável por até dez dias, a pedido, desde que devidamente justificado.</w:t>
      </w:r>
    </w:p>
    <w:p w14:paraId="50031D9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Caso qualquer parte interessada negue acesso à informação necessária, não a forneça tempestivamente ou crie obstáculos à investigação, o parecer referente às determinações preliminares ou finais será elaborado com base na melhor informação disponível, nos termos do disposto no Capítulo XV.</w:t>
      </w:r>
    </w:p>
    <w:p w14:paraId="2293F3D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47. As informações confidenciais serão juntadas aos autos confidenciais do processo.</w:t>
      </w:r>
    </w:p>
    <w:p w14:paraId="20FE56D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Serão tratadas como informações confidenciais aquelas assim identificadas pelas partes interessadas, desde que o pedido seja devidamente justificado, hipótese em que não poderão ser reveladas sem a autorização expressa da parte que a forneceu.</w:t>
      </w:r>
    </w:p>
    <w:p w14:paraId="5856913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As partes interessadas que fornecerem informações confidenciais deverão apresentar resumos restritos com detalhes que permitam a compreensão da informação fornecida, sob pena de ser desconsiderada a informação confidencial.</w:t>
      </w:r>
    </w:p>
    <w:p w14:paraId="0C0D77F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Na hipótese de impossibilidade da apresentação do resumo a que se refere o § 2º, as partes deverão justificá-la por escrito.</w:t>
      </w:r>
    </w:p>
    <w:p w14:paraId="7BBF42A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As justificativas a que se referem os § 1º e § 3º não constituem informação confidencial.</w:t>
      </w:r>
    </w:p>
    <w:p w14:paraId="736CBBE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Não serão consideradas adequadas justificativas de confidencialidade para documentos, dados e informações:</w:t>
      </w:r>
    </w:p>
    <w:p w14:paraId="2D72B3B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que tenham notória natureza pública no País ou sejam de domínio público, na República Federativa do Brasil ou no exterior; ou</w:t>
      </w:r>
    </w:p>
    <w:p w14:paraId="2466338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relativos:</w:t>
      </w:r>
    </w:p>
    <w:p w14:paraId="7FD2872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 à composição acionária e à identificação do sócio controlador;</w:t>
      </w:r>
    </w:p>
    <w:p w14:paraId="4A987C6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b) à organização societária do grupo de que faça parte;</w:t>
      </w:r>
    </w:p>
    <w:p w14:paraId="56E83D2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c) ao volume da produção, das vendas internas, das exportações, das importações e dos estoques;</w:t>
      </w:r>
    </w:p>
    <w:p w14:paraId="267FBA1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d) aos contratos celebrados por escritura pública ou arquivados perante notário público ou em junta comercial, na República Federativa do Brasil ou no exterior; e</w:t>
      </w:r>
    </w:p>
    <w:p w14:paraId="0D120C6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e) às demonstrações patrimoniais, financeiras e empresariais de companhia aberta, de companhia equiparada à companhia aberta, ou de empresas controladas por companhias abertas, inclusive as estrangeiras, e as suas subsidiárias integrais, que devam ser publicadas ou divulgadas em decorrência da legislação societária ou do mercado de valores mobiliários.</w:t>
      </w:r>
    </w:p>
    <w:p w14:paraId="08725FF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6º O resumo restrito relativo a informações numéricas confidenciais deverá ser apresentado em formato numérico, na forma de números-índice.</w:t>
      </w:r>
    </w:p>
    <w:p w14:paraId="26D7BE4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7º Os documentos, as respostas aos questionários e as demais manifestações, em todas as suas versões, deverão ser apresentados simultaneamente para o cumprimento dos prazos e das obrigações estabelecidos neste Decreto.</w:t>
      </w:r>
    </w:p>
    <w:p w14:paraId="3DAB6AD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8º A critério da Subsecretaria de Defesa Comercial e Interesse Público da Secretaria de Comércio Exterior da Secretaria Especial de Comércio Exterior e Assuntos Internacionais do Ministério da Economia, não serão considerados documentos, dados e informações apresentados em bases confidenciais, quando o tratamento confidencial puder resultar no cerceamento do direito de ampla defesa e do contraditório das demais partes interessadas.</w:t>
      </w:r>
    </w:p>
    <w:p w14:paraId="742E3A5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9º Na hipótese de a Subsecretaria de Defesa Comercial e Interesse Público da Secretaria de Comércio Exterior da Secretaria Especial de Comércio Exterior e Assuntos Internacionais do Ministério da Economia considerar injustificado o pedido de confidencialidade e a parte interessada que houver fornecido a informação se recusar a adequá-la para anexação nos autos do processo, a informação poderá ser desconsiderada, exceto se demonstrado, a contento e por fonte apropriada, que tal informação é correta.</w:t>
      </w:r>
    </w:p>
    <w:p w14:paraId="2C80974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10. A classificação de confidencialidade dos documentos apresentados é de responsabilidade da parte interessada e deverá constar de todas as suas páginas.</w:t>
      </w:r>
    </w:p>
    <w:p w14:paraId="5C37AAC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11. Na hipótese de apresentação de documentos confidenciais, a sua versão restrita deverá ser protocolada simultaneamente.</w:t>
      </w:r>
    </w:p>
    <w:p w14:paraId="5EA03C8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48. A Subsecretaria de Defesa Comercial e Interesse Público da Secretaria de Comércio Exterior da Secretaria Especial de Comércio Exterior e Assuntos Internacionais do Ministério da Economia verificará a correção das informações fornecidas pelas partes interessadas no curso das investigações.</w:t>
      </w:r>
    </w:p>
    <w:p w14:paraId="44401BB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Poderão ser realizadas verificações in loco no território de outros países:</w:t>
      </w:r>
    </w:p>
    <w:p w14:paraId="6A74B05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em empresas, desde que obtida a sua autorização e notificado o governo do país correspondente, desde que este não apresente objeções à realização do procedimento; e</w:t>
      </w:r>
    </w:p>
    <w:p w14:paraId="199E10E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nos governos, desde que estes sejam notificados e não apresentem objeções à realização do procedimento.</w:t>
      </w:r>
    </w:p>
    <w:p w14:paraId="5FFAA40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Os procedimentos de que trata o Capítulo XIV serão aplicados às verificações in loco realizadas no território do país exportador.</w:t>
      </w:r>
    </w:p>
    <w:p w14:paraId="2D73E9B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Poderão ser realizadas verificações in loco nas empresas localizadas no território nacional, desde que obtida a sua autorização.</w:t>
      </w:r>
    </w:p>
    <w:p w14:paraId="52DA531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49. A Subsecretaria de Defesa Comercial e Interesse Público da Secretaria de Comércio Exterior da Secretaria Especial de Comércio Exterior e Assuntos Internacionais do Ministério da Economia considerará estudos apresentados pelas partes interessadas, desde que atendidas as seguintes condições:</w:t>
      </w:r>
    </w:p>
    <w:p w14:paraId="1CB2A75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as tabelas e os gráficos deverão conter referências detalhadas das fontes de informações e o detalhamento de cálculos e de ajustes utilizados em sua elaboração, de maneira a possibilitar a sua reprodução a partir dos dados originais;</w:t>
      </w:r>
    </w:p>
    <w:p w14:paraId="0CCABCD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os estudos deverão indicar as referências e as fontes utilizadas; e</w:t>
      </w:r>
    </w:p>
    <w:p w14:paraId="58BACD0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as estimações estatísticas, econométricas e simulações deverão ser acompanhadas de todas as informações metodológicas relevantes, tais como:</w:t>
      </w:r>
    </w:p>
    <w:p w14:paraId="115898B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 banco de dados utilizado, por meio eletrônico, que informe a fonte dos dados e identifique as variáveis e o período a que se referem;</w:t>
      </w:r>
    </w:p>
    <w:p w14:paraId="0EE7015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b) especificação do programa computacional utilizado para a estimação;</w:t>
      </w:r>
    </w:p>
    <w:p w14:paraId="4F2B392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c) justificativa do período escolhido para a estimação;</w:t>
      </w:r>
    </w:p>
    <w:p w14:paraId="483D53A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d) justificativa da exclusão de observação da amostra, se for o caso;</w:t>
      </w:r>
    </w:p>
    <w:p w14:paraId="73BE30F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e) explicação dos pressupostos da análise econométrica ou da simulação, com as justificativas das formas funcionais adotadas;</w:t>
      </w:r>
    </w:p>
    <w:p w14:paraId="626A2A2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f) explicação de como os testes propostos se relacionam com a questão suscitada na investigação a que fazem referência;</w:t>
      </w:r>
    </w:p>
    <w:p w14:paraId="1DE02F0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g) dados provenientes da própria parte, acompanhados de termo de responsabilidade sobre a veracidade das informações prestadas, firmado por seu representante legal;</w:t>
      </w:r>
    </w:p>
    <w:p w14:paraId="3C79DC7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h) dados, memórias de cálculo, metodologias e informações, sob qualquer forma manifestados, que se façam necessários à compreensão e à reprodução dos resultados apresentados; e</w:t>
      </w:r>
    </w:p>
    <w:p w14:paraId="2A0C8E4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outras informações que a Subsecretaria de Defesa Comercial e Interesse Público da Secretaria de Comércio Exterior da Secretaria Especial de Comércio Exterior e Assuntos Internacionais do Ministério da Economia considerar pertinentes.</w:t>
      </w:r>
    </w:p>
    <w:p w14:paraId="3EBB6F6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A Subsecretaria de Defesa Comercial e Interesse Público da Secretaria de Comércio Exterior da Secretaria Especial de Comércio Exterior e Assuntos Internacionais do Ministério da Economia poderá desconsiderar os estudos com informações confidenciais ou os apresentados em desacordo com o disposto neste artigo.</w:t>
      </w:r>
    </w:p>
    <w:p w14:paraId="37AE411A"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Subseção II</w:t>
      </w:r>
    </w:p>
    <w:p w14:paraId="33044522"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defesa</w:t>
      </w:r>
    </w:p>
    <w:p w14:paraId="45DCF62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50. As partes interessadas disporão de ampla oportunidade para a defesa de seus interesses.</w:t>
      </w:r>
    </w:p>
    <w:p w14:paraId="48DC16F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51. Serão realizadas audiências, a pedido de uma ou mais partes interessadas ou por iniciativa da Subsecretaria de Defesa Comercial e Interesse Público da Secretaria de Comércio Exterior da Secretaria Especial de Comércio Exterior e Assuntos Internacionais do Ministério da Economia, a fim de garantir o exercício dos princípios do contraditório e da ampla defesa.</w:t>
      </w:r>
    </w:p>
    <w:p w14:paraId="3E6A425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As audiências serão solicitadas por escrito, no prazo de seis meses, contado da data de início da investigação, e as solicitações deverão estar acompanhadas da relação dos temas específicos a serem tratados.</w:t>
      </w:r>
    </w:p>
    <w:p w14:paraId="0D81104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Somente serão deferidos os pedidos de realização de audiência que envolvam aspectos relativos à concessão de subsídio, ao dano ou ao nexo de causalidade entre ambos.</w:t>
      </w:r>
    </w:p>
    <w:p w14:paraId="2B5A3E8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As partes interessadas conhecidas serão notificadas da realização da audiência e dos temas a serem tratados com antecedência mínima de trinta dias.</w:t>
      </w:r>
    </w:p>
    <w:p w14:paraId="401C6BA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O comparecimento às audiências é facultativo e a ausência de qualquer parte interessada não será utilizada em seu prejuízo.</w:t>
      </w:r>
    </w:p>
    <w:p w14:paraId="1D5A8D2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As partes interessadas deverão enviar, por escrito, com antecedência mínima de dez dias, os argumentos que desejam tratar e indicar, com antecedência mínima de três dias, os representantes legais que estarão presentes à audiência, os quais poderão apresentar informações adicionais oralmente na audiência.</w:t>
      </w:r>
    </w:p>
    <w:p w14:paraId="35E606C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6º As informações apresentadas oralmente durante a audiência somente serão consideradas pela Subsecretaria de Defesa Comercial e Interesse Público da Secretaria de Comércio Exterior da Secretaria Especial de Comércio Exterior e Assuntos Internacionais do Ministério da Economia caso sejam reproduzidas por escrito e protocoladas no prazo de cinco dias, contado da data de sua realização, a fim de que sejam anexadas aos autos do processo.</w:t>
      </w:r>
    </w:p>
    <w:p w14:paraId="549FED6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7º Na hipótese de as audiências serem gravadas, as manifestações orais feitas pelas partes interessadas poderão ser utilizadas pela Subsecretaria de Defesa Comercial e Interesse Público da Secretaria de Comércio Exterior da Secretaria Especial de Comércio Exterior e Assuntos Internacionais do Ministério da Economia na elaboração de suas determinações, situação em que ficarão desobrigadas de reproduzir por escrito as manifestações feitas oralmente.</w:t>
      </w:r>
    </w:p>
    <w:p w14:paraId="166400E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8º As gravações a que se refere o § 7º ou as respectivas transcrições serão anexadas aos autos restritos do processo.</w:t>
      </w:r>
    </w:p>
    <w:p w14:paraId="15829DD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52. A critério da Subsecretaria de Defesa Comercial e Interesse Público da Secretaria de Comércio Exterior da Secretaria Especial de Comércio Exterior e Assuntos Internacionais do Ministério da Economia, o número de representantes por parte interessada na audiência poderá ser limitado.</w:t>
      </w:r>
    </w:p>
    <w:p w14:paraId="4EEF173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53. A realização de audiências não prejudicará os prazos estabelecidos neste Decreto.</w:t>
      </w:r>
    </w:p>
    <w:p w14:paraId="455AF42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54. Será assegurado às partes interessadas o direito de vistas aos autos restritos do processo.</w:t>
      </w:r>
    </w:p>
    <w:p w14:paraId="4D5514BE"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Subseção III</w:t>
      </w:r>
    </w:p>
    <w:p w14:paraId="5409AD0A"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Do final da instrução</w:t>
      </w:r>
    </w:p>
    <w:p w14:paraId="124047A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55. A fase probatória da investigação será encerrada em prazo não superior a cento e vinte dias, contado da data de publicação da determinação preliminar.</w:t>
      </w:r>
    </w:p>
    <w:p w14:paraId="470A990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Os elementos de prova apresentados após o encerramento da fase probatória não serão considerados para fins das determinações.</w:t>
      </w:r>
    </w:p>
    <w:p w14:paraId="7C9D91E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56. A fase de manifestações sobre os dados e as informações constantes dos autos do processo será encerrada no prazo de vinte dias, contado da data de encerramento da fase probatória da investigação.</w:t>
      </w:r>
    </w:p>
    <w:p w14:paraId="43F4695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57. A Subsecretaria de Defesa Comercial e Interesse Público da Secretaria de Comércio Exterior da Secretaria Especial de Comércio Exterior e Assuntos Internacionais do Ministério da Economia divulgará às partes interessadas nota técnica com os fatos essenciais em análise que serão considerados na determinação final a que se refere o art. 59, no prazo de trinta dias, contado da data de encerramento da fase de manifestações.</w:t>
      </w:r>
    </w:p>
    <w:p w14:paraId="127A47F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58. As partes interessadas disporão do prazo de vinte dias, contado da data de divulgação da nota técnica de que trata o art. 57, para apresentar as suas manifestações finais por escrito.</w:t>
      </w:r>
    </w:p>
    <w:p w14:paraId="7828616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Parágrafo único. Encerrado o prazo previsto no </w:t>
      </w:r>
      <w:r w:rsidRPr="00395593">
        <w:rPr>
          <w:rFonts w:ascii="Garamond" w:hAnsi="Garamond" w:cs="Arial"/>
          <w:b/>
          <w:color w:val="162937"/>
        </w:rPr>
        <w:t>caput</w:t>
      </w:r>
      <w:r w:rsidRPr="00395593">
        <w:rPr>
          <w:rFonts w:ascii="Garamond" w:hAnsi="Garamond" w:cs="Arial"/>
          <w:color w:val="162937"/>
        </w:rPr>
        <w:t xml:space="preserve"> , será considerada encerrada a instrução do processo, e as informações apresentadas posteriormente não serão consideradas para fins de determinação final, da qual constarão os elementos de fato e de direito relativos à investigação e as conclusões quanto à existência de subsídio, de dano e de nexo de causalidade entre ambos.</w:t>
      </w:r>
    </w:p>
    <w:p w14:paraId="402E1BA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59. A Subsecretaria de Defesa Comercial e Interesse Público da Secretaria de Comércio Exterior da Secretaria Especial de Comércio Exterior e Assuntos Internacionais do Ministério da Economia elaborará a determinação final da investigação no prazo de vinte dias, contado da data de encerramento do prazo estabelecido no art. 58.</w:t>
      </w:r>
    </w:p>
    <w:p w14:paraId="43E821D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60. Os documentos apresentados intempestivamente não serão considerados na elaboração das determinações e poderão ser destruídos após o encerramento da investigação.</w:t>
      </w:r>
    </w:p>
    <w:p w14:paraId="3B675A8C"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V</w:t>
      </w:r>
    </w:p>
    <w:p w14:paraId="0709891A"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Das determinações preliminares e das medidas compensatórias provisórias</w:t>
      </w:r>
    </w:p>
    <w:p w14:paraId="13DD4E9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61. A Subsecretaria de Defesa Comercial e Interesse Público da Secretaria de Comércio Exterior da Secretaria Especial de Comércio Exterior e Assuntos Internacionais do Ministério da Economia elaborará a determinação preliminar, no prazo de cento e cinquenta dias, contado da data de início da investigação, da qual constarão todos os elementos de fato e de direito disponíveis quanto à existência de subsídio, de dano e do nexo de causalidade entre ambos.</w:t>
      </w:r>
    </w:p>
    <w:p w14:paraId="2C1BB2E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O prazo a que se refere o </w:t>
      </w:r>
      <w:r w:rsidRPr="00395593">
        <w:rPr>
          <w:rFonts w:ascii="Garamond" w:hAnsi="Garamond" w:cs="Arial"/>
          <w:b/>
          <w:color w:val="162937"/>
        </w:rPr>
        <w:t>caput</w:t>
      </w:r>
      <w:r w:rsidRPr="00395593">
        <w:rPr>
          <w:rFonts w:ascii="Garamond" w:hAnsi="Garamond" w:cs="Arial"/>
          <w:color w:val="162937"/>
        </w:rPr>
        <w:t xml:space="preserve"> :</w:t>
      </w:r>
    </w:p>
    <w:p w14:paraId="3DABBB9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não poderá ser inferior a sessenta dias; e</w:t>
      </w:r>
    </w:p>
    <w:p w14:paraId="004837A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em circunstâncias excepcionais, poderá ser prorrogado, para até duzentos e dez dias.</w:t>
      </w:r>
    </w:p>
    <w:p w14:paraId="6D8B79B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O disposto no inciso II do § 1º aplica-se, entre outras, na hipótese de a indústria doméstica definida por ocasião do início da investigação corresponder a menos de cinquenta por cento da produção do produto similar produzido pela totalidade dos produtores nacionais no período de investigação de existência de subsídio.</w:t>
      </w:r>
    </w:p>
    <w:p w14:paraId="1AC9A4A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Determinações preliminares negativas de dano ou de nexo de causalidade poderão justificar o encerramento da investigação, observada a obrigação quanto à divulgação da nota técnica que contenha os fatos essenciais a que se refere o art. 57.</w:t>
      </w:r>
    </w:p>
    <w:p w14:paraId="44BF231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A Secretaria de Comércio Exterior da Secretaria Especial de Comércio Exterior e Assuntos Internacionais do Ministério da Economia publicará no Diário Oficial da União a determinação preliminar no prazo de três dias, contado da data da determinação, na qual serão informados os prazos a que se referem os art. 55 ao art. 59.</w:t>
      </w:r>
    </w:p>
    <w:p w14:paraId="73B2039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Publicadas as determinações preliminares positivas ou negativas de existência de subsídio, de dano à indústria doméstica e de nexo de causalidade entre ambos, os pareceres da Subsecretaria de Defesa Comercial e Interesse Público da Secretaria de Comércio Exterior da Secretaria Especial de Comércio Exterior e Assuntos Internacionais do Ministério da Economia serão juntados aos autos do processo.</w:t>
      </w:r>
    </w:p>
    <w:p w14:paraId="0F3FC63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6º A recomendação quanto à aplicação de medidas compensatórias provisórias será encaminhada à Câmara de Comércio Exterior, que publicará o ato correspondente imediatamente após a decisão sobre a sua aplicação.</w:t>
      </w:r>
    </w:p>
    <w:p w14:paraId="1CA30AA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7º As determinações preliminares serão elaboradas com base nos elementos de prova apresentados no prazo de sessenta dias, contado da data de início da investigação.</w:t>
      </w:r>
    </w:p>
    <w:p w14:paraId="35DCCC7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8º Os elementos de prova apresentados após o prazo a que se refere o § 7º poderão ser utilizados pela Subsecretaria de Defesa Comercial e Interesse Público da Secretaria de Comércio Exterior da Secretaria Especial de Comércio Exterior e Assuntos Internacionais do Ministério da Economia se a análise não prejudicar o cumprimento do prazo a que se refere o </w:t>
      </w:r>
      <w:r w:rsidRPr="00395593">
        <w:rPr>
          <w:rFonts w:ascii="Garamond" w:hAnsi="Garamond" w:cs="Arial"/>
          <w:b/>
          <w:color w:val="162937"/>
        </w:rPr>
        <w:t>caput</w:t>
      </w:r>
      <w:r w:rsidRPr="00395593">
        <w:rPr>
          <w:rFonts w:ascii="Garamond" w:hAnsi="Garamond" w:cs="Arial"/>
          <w:color w:val="162937"/>
        </w:rPr>
        <w:t xml:space="preserve"> .</w:t>
      </w:r>
    </w:p>
    <w:p w14:paraId="729CA74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62. As medidas compensatórias provisórias somente poderão ser aplicadas nas seguintes hipóteses:</w:t>
      </w:r>
    </w:p>
    <w:p w14:paraId="7EC9410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se a investigação tiver sido iniciada de acordo com as disposições constantes da Seção III do Capítulo VI, o ato que tenha dado início à investigação tiver sido publicado e tiver sido oferecida oportunidade adequada às partes interessadas para se manifestarem;</w:t>
      </w:r>
    </w:p>
    <w:p w14:paraId="09D0904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se houver determinação preliminar positiva de existência de subsídio, de dano à indústria doméstica e de nexo de causalidade entre ambos; e</w:t>
      </w:r>
    </w:p>
    <w:p w14:paraId="213B821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se a Câmara de Comércio Exterior julgar que as medidas compensatórias são necessárias para impedir que ocorra dano durante a investigação.</w:t>
      </w:r>
    </w:p>
    <w:p w14:paraId="02FB13E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O valor da medida compensatória provisória não poderá exceder o montante de subsídio, provisoriamente calculado, concedido ao produto objeto da investigação.</w:t>
      </w:r>
    </w:p>
    <w:p w14:paraId="7536A94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As medidas compensatórias provisórias serão aplicadas na forma de direito provisório, garantido por depósito em espécie ou por fiança bancária, no montante de subsídio calculado provisoriamente, cujo valor será equivalente ao do direito provisório.</w:t>
      </w:r>
    </w:p>
    <w:p w14:paraId="4D09036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As garantias serão prestadas por meio de depósito em espécie ou fiança bancária.</w:t>
      </w:r>
    </w:p>
    <w:p w14:paraId="6DD3711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Caberá à Secretaria Especial da Receita Federal do Brasil do Ministério da Economia definir os procedimentos relativos à prestação de garantias de que trata o § 3º.</w:t>
      </w:r>
    </w:p>
    <w:p w14:paraId="63A6327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Caberá à Câmara de Comércio Exterior decidir sobre a aplicação de medidas compensatórias provisórias, que deverão ser publicadas no Diário Oficial da União, nos termos do disposto no Capítulo XI.</w:t>
      </w:r>
    </w:p>
    <w:p w14:paraId="79EA87D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6º O desembaraço aduaneiro dos produtos objeto de medidas compensatórias provisórias dependerá da prestação da garantia de que trata o § 3º.</w:t>
      </w:r>
    </w:p>
    <w:p w14:paraId="356A656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7º O período de vigência das medidas compensatórias provisórias de que trata esta Seção não será superior a quatro meses.</w:t>
      </w:r>
    </w:p>
    <w:p w14:paraId="4DC0E4AD"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VI</w:t>
      </w:r>
    </w:p>
    <w:p w14:paraId="7C11ACE4"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Do compromisso</w:t>
      </w:r>
    </w:p>
    <w:p w14:paraId="4D22A42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63. A investigação poderá ser suspensa sem a aplicação de medidas compensatórias provisórias ou direitos definitivos, desde que as autoridades referidas no art. 3º considerem o compromisso satisfatório para eliminar o dano à indústria doméstica causado pelas importações do produto objeto da investigação, nas seguintes hipóteses:</w:t>
      </w:r>
    </w:p>
    <w:p w14:paraId="4501749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se o governo do país exportador concordar em eliminar ou limitar o subsídio ou adotar outras medidas relativas aos seus efeitos; ou</w:t>
      </w:r>
    </w:p>
    <w:p w14:paraId="63E1C22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se os produtores ou exportadores assumirem voluntariamente compromisso de revisão dos preços de suas exportações destinadas à República Federativa do Brasil.</w:t>
      </w:r>
    </w:p>
    <w:p w14:paraId="66E340F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O compromisso será celebrado com a Subsecretaria de Defesa Comercial e Interesse Público da Secretaria de Comércio Exterior da Secretaria Especial de Comércio Exterior e Assuntos Internacionais do Ministério da Economia e homologado pela Câmara de Comércio Exterior.</w:t>
      </w:r>
    </w:p>
    <w:p w14:paraId="373F3C6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O compromisso deverá conter permissão expressa de verificação in loco   pela Subsecretaria de Defesa Comercial e Interesse Público da Secretaria de Comércio Exterior da Secretaria Especial de Comércio Exterior e Assuntos Internacionais do Ministério da Economia e previsão de fornecimento de informações periódicas relativas ao seu cumprimento.</w:t>
      </w:r>
    </w:p>
    <w:p w14:paraId="0FFD605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A investigação de existência de subsídio, de dano à indústria doméstica e de nexo de causalidade entre ambos poderá prosseguir a pedido do produtor, do exportador ou do governo ou a critério da Subsecretaria de Defesa Comercial e Interesse Público da Secretaria de Comércio Exterior da Secretaria Especial de Comércio Exterior e Assuntos Internacionais do Ministério da Economia.</w:t>
      </w:r>
    </w:p>
    <w:p w14:paraId="0665951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O aumento de preço ao amparo do compromisso não poderá exceder o montante de subsídio apurado.</w:t>
      </w:r>
    </w:p>
    <w:p w14:paraId="02146E2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O aumento de preço a que se refere o § 4º será igual ou inferior ao montante de subsídios apurado, com o fim de eliminar o dano causado à indústria doméstica pelas importações do produto objeto da investigação.</w:t>
      </w:r>
    </w:p>
    <w:p w14:paraId="64D2210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6º Os produtores, os exportadores ou os governos somente poderão oferecer compromissos ou aceitar aqueles oferecidos pela Subsecretaria de Defesa Comercial e Interesse Público da Secretaria de Comércio Exterior da Secretaria Especial de Comércio Exterior e Assuntos Internacionais do Ministério da Economia durante o período compreendido entre a data de publicação da determinação preliminar positiva da existência de subsídio, de dano à indústria doméstica e do nexo de causalidade entre ambos, e o encerramento da fase probatória.</w:t>
      </w:r>
    </w:p>
    <w:p w14:paraId="6C4B2F5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7º O governo do país exportador e os exportadores somente proporão ou aceitarão compromissos oferecidos pela Subsecretaria de Defesa Comercial e Interesse Público da Secretaria de Comércio Exterior da Secretaria Especial de Comércio Exterior e Assuntos Internacionais do Ministério da Economia após a determinação preliminar positiva da existência de subsídio e de dano por ele causado, e, no caso de compromisso com os exportadores, após a obtenção de consentimento do governo do país exportador.</w:t>
      </w:r>
    </w:p>
    <w:p w14:paraId="1B63125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8º Ato do Secretário de Comércio Exterior da Secretaria Especial de Comércio Exterior e Assuntos Internacionais do Ministério da Economia disporá sobre as informações que deverão constar das ofertas de compromissos e das condições para a sua apresentação.</w:t>
      </w:r>
    </w:p>
    <w:p w14:paraId="42C44ED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9º Os produtores, os exportadores ou os governos não estão obrigados a propor compromisso nem a aceitar ajustes ou compromissos propostos pela Subsecretaria de Defesa Comercial e Interesse Público da Secretaria de Comércio Exterior da Secretaria Especial de Comércio Exterior e Assuntos Internacionais do Ministério da Economia.</w:t>
      </w:r>
    </w:p>
    <w:p w14:paraId="0010FB1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10. As propostas de compromisso não prejudicarão o curso da investigação nem alterarão a determinação preliminar.</w:t>
      </w:r>
    </w:p>
    <w:p w14:paraId="267CDC8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11. A Subsecretaria de Defesa Comercial e Interesse Público da Secretaria de Comércio Exterior da Secretaria Especial de Comércio Exterior e Assuntos Internacionais do Ministério da Economia poderá recusar ofertas de compromissos consideradas ineficazes ou impraticáveis, inclusive por razões de política geral.</w:t>
      </w:r>
    </w:p>
    <w:p w14:paraId="1F23D0C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12. Na decisão de recusa a que se refere o § 11, serão considerados, entre outros:</w:t>
      </w:r>
    </w:p>
    <w:p w14:paraId="3C0C2A5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o grau de homogeneidade do produto;</w:t>
      </w:r>
    </w:p>
    <w:p w14:paraId="39C14E9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o número de ofertas de compromissos; e</w:t>
      </w:r>
    </w:p>
    <w:p w14:paraId="47F0711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a existência de associação ou relacionamento entre as partes interessadas, de acordo com o disposto no art. 8º, ou de outras razões de política geral.</w:t>
      </w:r>
    </w:p>
    <w:p w14:paraId="6E2F335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13. Os produtores, os exportadores ou os governos serão informados das razões pelas quais o compromisso foi rejeitado e será concedido o prazo de dez dias para manifestação por escrito.</w:t>
      </w:r>
    </w:p>
    <w:p w14:paraId="23D2062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14. Na análise da possibilidade de homologação de compromissos, será observado se os compromissos foram oferecidos por produtores, exportadores ou governos dos Estados Partes do Mercado Comum do Sul - Mercosul.</w:t>
      </w:r>
    </w:p>
    <w:p w14:paraId="4B429C6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15. As partes proponentes disponibilizarão uma versão restrita do compromisso às demais partes interessadas.</w:t>
      </w:r>
    </w:p>
    <w:p w14:paraId="5577B30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64. A Câmara de Comércio Exterior publicará no Diário Oficial da União a homologação do compromisso, do qual deverão constar:</w:t>
      </w:r>
    </w:p>
    <w:p w14:paraId="6C1CCF1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o nome dos produtores, dos exportadores ou dos governos para os quais vigerá o compromisso;</w:t>
      </w:r>
    </w:p>
    <w:p w14:paraId="284094B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a descrição do produto objeto do compromisso; e</w:t>
      </w:r>
    </w:p>
    <w:p w14:paraId="509727A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os termos do compromisso.</w:t>
      </w:r>
    </w:p>
    <w:p w14:paraId="51D8D0F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65. O produtor, o exportador ou o governo sujeito ao compromisso deverá fornecer, quando lhe for solicitado, informação relativa ao seu cumprimento e permitir a verificação in loco  dos dados pertinentes, sob pena de serem considerados violados os termos do compromisso.</w:t>
      </w:r>
    </w:p>
    <w:p w14:paraId="05D650E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66. Na hipótese de haver indícios de violação ao compromisso, será dada a oportunidade para que produtor, exportador ou governo se manifeste.</w:t>
      </w:r>
    </w:p>
    <w:p w14:paraId="09EA835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67. Na hipótese de violação ao compromisso, a Subsecretaria de Defesa Comercial e Interesse Público da Secretaria de Comércio Exterior da Secretaria Especial de Comércio Exterior e Assuntos Internacionais do Ministério da Economia notificará o produtor, o exportador ou o governo e a Câmara de Comércio Exterior publicará no Diário Oficial da União ato com as informações a respeito da retomada da investigação e da aplicação imediata de medidas compensatórias provisórias ou sobre a aplicação de direitos definitivos.</w:t>
      </w:r>
    </w:p>
    <w:p w14:paraId="04BD56C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As partes interessadas serão notificadas sobre o término do compromisso e sobre os direitos compensatórios provisórios ou definitivos aplicados.</w:t>
      </w:r>
    </w:p>
    <w:p w14:paraId="6EB6F6A4"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VII</w:t>
      </w:r>
    </w:p>
    <w:p w14:paraId="7C20F66C"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Do encerramento da investigação</w:t>
      </w:r>
    </w:p>
    <w:p w14:paraId="179A8F6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68. A investigação será concluída no prazo de doze meses, contado da data de seu início.</w:t>
      </w:r>
    </w:p>
    <w:p w14:paraId="1F7B901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Parágrafo único. Em circunstâncias excepcionais, o prazo para a conclusão de investigação a que se refere o </w:t>
      </w:r>
      <w:r w:rsidRPr="00395593">
        <w:rPr>
          <w:rFonts w:ascii="Garamond" w:hAnsi="Garamond" w:cs="Arial"/>
          <w:b/>
          <w:color w:val="162937"/>
        </w:rPr>
        <w:t>caput</w:t>
      </w:r>
      <w:r w:rsidRPr="00395593">
        <w:rPr>
          <w:rFonts w:ascii="Garamond" w:hAnsi="Garamond" w:cs="Arial"/>
          <w:color w:val="162937"/>
        </w:rPr>
        <w:t xml:space="preserve"> poderá ser prorrogado por até seis meses.</w:t>
      </w:r>
    </w:p>
    <w:p w14:paraId="6252EAD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69. O peticionário poderá solicitar, a qualquer momento e mediante apresentação de justificativa, o encerramento da investigação.</w:t>
      </w:r>
    </w:p>
    <w:p w14:paraId="22080DF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Na hipótese de deferimento do pedido, o processo será arquivado e a Secretaria de Comércio Exterior da Secretaria Especial de Comércio Exterior e Assuntos Internacionais do Ministério da Economia publicará no Diário Oficial da União ato com o encerramento da investigação, sem julgamento do mérito.</w:t>
      </w:r>
    </w:p>
    <w:p w14:paraId="2A0C06E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Na hipótese de encerramento da investigação a pedido do peticionário, nova petição que envolva o mesmo produto somente será analisada se protocolada depois de decorrido o prazo de doze meses, contado da data de encerramento da investigação.</w:t>
      </w:r>
    </w:p>
    <w:p w14:paraId="2A72C8A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70. A investigação será encerrada sem a aplicação de medidas se:</w:t>
      </w:r>
    </w:p>
    <w:p w14:paraId="10879F1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houver determinação negativa da existência de subsídio, de dano à indústria doméstica ou de nexo de causalidade entre ambos;</w:t>
      </w:r>
    </w:p>
    <w:p w14:paraId="3DEFA7C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o montante de subsídio for de minimis;</w:t>
      </w:r>
    </w:p>
    <w:p w14:paraId="2E033B8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o volume, real ou potencial, de importações do produto objeto da investigação, de acordo com o disposto nos § 3º, § 4º e § 5º do art. 25, ou o dano à indústria doméstica for insignificante; ou</w:t>
      </w:r>
    </w:p>
    <w:p w14:paraId="4D0F8E8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IV - a análise de mérito for prejudicada em razão da incorreção ou da inadequação da informação prestada tempestivamente pela indústria doméstica.</w:t>
      </w:r>
    </w:p>
    <w:p w14:paraId="68DB746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Na hipótese de a investigação ser encerrada por determinação negativa, nos termos do disposto no inciso I do </w:t>
      </w:r>
      <w:r w:rsidRPr="00395593">
        <w:rPr>
          <w:rFonts w:ascii="Garamond" w:hAnsi="Garamond" w:cs="Arial"/>
          <w:b/>
          <w:color w:val="162937"/>
        </w:rPr>
        <w:t>caput</w:t>
      </w:r>
      <w:r w:rsidRPr="00395593">
        <w:rPr>
          <w:rFonts w:ascii="Garamond" w:hAnsi="Garamond" w:cs="Arial"/>
          <w:color w:val="162937"/>
        </w:rPr>
        <w:t xml:space="preserve"> , nova petição sobre o mesmo produto somente será analisada se protocolada depois de decorrido o prazo de doze meses, contado da data de encerramento da investigação.</w:t>
      </w:r>
    </w:p>
    <w:p w14:paraId="460DAFC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Em casos excepcionais e devidamente justificados, o prazo a que se refere o § 1º poderá ser reduzido para seis meses.</w:t>
      </w:r>
    </w:p>
    <w:p w14:paraId="161DDBC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71. A Subsecretaria de Defesa Comercial e Interesse Público da Secretaria de Comércio Exterior da Secretaria Especial de Comércio Exterior e Assuntos Internacionais do Ministério da Economia somente recomendará a aplicação de direitos compensatórios quando tiver alcançado determinação final positiva de existência de subsídio, de dano à indústria doméstica e de nexo de causalidade entre ambos.</w:t>
      </w:r>
    </w:p>
    <w:p w14:paraId="12865E9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72. Na hipótese de homologação de compromisso com subsequente prosseguimento da investigação, se a Subsecretaria de Defesa Comercial e Interesse Público da Secretaria de Comércio Exterior da Secretaria Especial de Comércio Exterior e Assuntos Internacionais do Ministério da Economia alcançar determinação:</w:t>
      </w:r>
    </w:p>
    <w:p w14:paraId="47E821F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negativa de existência de subsídio, de dano à indústria doméstica ou de nexo de causalidade entre ambos, a investigação será encerrada e o compromisso automaticamente extinto, exceto quando a determinação negativa resultar, substancialmente, da própria existência do compromisso, caso em que poderá ser requerida a sua manutenção por período razoável e que caberá à Câmara de Comércio Exterior publicar o ato correspondente; ou</w:t>
      </w:r>
    </w:p>
    <w:p w14:paraId="2F6B1F4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positiva de existência de subsídio, de dano à indústria doméstica e de nexo de causalidade entre ambos, a investigação será encerrada e a aplicação do direito definitivo será suspensa enquanto vigorar o compromisso.</w:t>
      </w:r>
    </w:p>
    <w:p w14:paraId="3B9AA80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73. A Câmara de Comércio Exterior decidirá sobre a aplicação de medidas compensatórias definitivas, que deverá ser publicada no Diário Oficial da União, nos termos do disposto no Capítulo XI.</w:t>
      </w:r>
    </w:p>
    <w:p w14:paraId="372CDCDA"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CAPÍTULO VII</w:t>
      </w:r>
    </w:p>
    <w:p w14:paraId="4F215589"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APLICAÇÃO E DA COBRANÇA DOS DIREITOS COMPENSATÓRIOS</w:t>
      </w:r>
    </w:p>
    <w:p w14:paraId="4CDB4767"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I</w:t>
      </w:r>
    </w:p>
    <w:p w14:paraId="134F2412"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color w:val="162937"/>
        </w:rPr>
      </w:pPr>
      <w:r w:rsidRPr="00395593">
        <w:rPr>
          <w:rFonts w:ascii="Garamond" w:hAnsi="Garamond" w:cs="Arial"/>
          <w:b/>
          <w:color w:val="162937"/>
        </w:rPr>
        <w:t>Da aplicação</w:t>
      </w:r>
    </w:p>
    <w:p w14:paraId="5E277E5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74. Para fins do disposto neste Decreto, considera-se direito compensatório o montante em dinheiro igual ou inferior ao montante de subsídios apurado.</w:t>
      </w:r>
    </w:p>
    <w:p w14:paraId="2C2775A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Ressalvadas as hipóteses previstas no § 2º e as decisões da Câmara de Comércio Exterior com fundamento no disposto no art. 4º, o direito compensatório aplicado poderá ser inferior ao montante de subsídios apurado sempre que montante inferior ao apurado for suficiente para eliminar o dano à indústria doméstica causado por importações do produto objeto da investigação.</w:t>
      </w:r>
    </w:p>
    <w:p w14:paraId="00D84BA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O direito compensatório aplicado corresponderá necessariamente ao montante de subsídios nas seguintes hipóteses:</w:t>
      </w:r>
    </w:p>
    <w:p w14:paraId="04DBE97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produtores ou exportadores cujo montante de subsídios tenha sido calculado com base na melhor informação disponível ou cujo direito compensatório seja aplicado nos termos do disposto no art. 76;</w:t>
      </w:r>
    </w:p>
    <w:p w14:paraId="0397535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II - redeterminações positivas relativas ao disposto no inciso II do </w:t>
      </w:r>
      <w:r w:rsidRPr="00395593">
        <w:rPr>
          <w:rFonts w:ascii="Garamond" w:hAnsi="Garamond" w:cs="Arial"/>
          <w:b/>
          <w:color w:val="162937"/>
        </w:rPr>
        <w:t>caput</w:t>
      </w:r>
      <w:r w:rsidRPr="00395593">
        <w:rPr>
          <w:rFonts w:ascii="Garamond" w:hAnsi="Garamond" w:cs="Arial"/>
          <w:color w:val="162937"/>
        </w:rPr>
        <w:t xml:space="preserve"> do art. 150; e</w:t>
      </w:r>
    </w:p>
    <w:p w14:paraId="5F660EC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revisões:</w:t>
      </w:r>
    </w:p>
    <w:p w14:paraId="6951C9C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 por alteração das circunstâncias que envolvam apenas o cálculo do montante de subsídio, com fundamento no disposto na Subseção I da Seção II do Capítulo IX;</w:t>
      </w:r>
    </w:p>
    <w:p w14:paraId="01B5B0E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b) aceleradas, com fundamento no disposto na Subseção I da Seção III do Capítulo IX; ou</w:t>
      </w:r>
    </w:p>
    <w:p w14:paraId="324F715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c) anticircunvenção, com fundamento no disposto na Subseção II da Seção III do Capítulo IX, sempre que o direito compensatório em vigor tenha sido aplicado com base no montante de subsídio.</w:t>
      </w:r>
    </w:p>
    <w:p w14:paraId="2CBB188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3º O direito compensatório será aplicado na forma de alíquotas </w:t>
      </w:r>
      <w:r w:rsidRPr="00395593">
        <w:rPr>
          <w:rFonts w:ascii="Garamond" w:hAnsi="Garamond" w:cs="Arial"/>
          <w:b/>
          <w:color w:val="162937"/>
        </w:rPr>
        <w:t>ad valorem</w:t>
      </w:r>
      <w:r w:rsidRPr="00395593">
        <w:rPr>
          <w:rFonts w:ascii="Garamond" w:hAnsi="Garamond" w:cs="Arial"/>
          <w:color w:val="162937"/>
        </w:rPr>
        <w:t xml:space="preserve"> ou específicas, fixas ou variáveis, ou pela conjugação de ambas.</w:t>
      </w:r>
    </w:p>
    <w:p w14:paraId="20A7E2C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4º A alíquota </w:t>
      </w:r>
      <w:r w:rsidRPr="00395593">
        <w:rPr>
          <w:rFonts w:ascii="Garamond" w:hAnsi="Garamond" w:cs="Arial"/>
          <w:b/>
          <w:color w:val="162937"/>
        </w:rPr>
        <w:t>ad valorem</w:t>
      </w:r>
      <w:r w:rsidRPr="00395593">
        <w:rPr>
          <w:rFonts w:ascii="Garamond" w:hAnsi="Garamond" w:cs="Arial"/>
          <w:color w:val="162937"/>
        </w:rPr>
        <w:t xml:space="preserve"> será aplicada sobre o valor aduaneiro da mercadoria, em base </w:t>
      </w:r>
      <w:r w:rsidRPr="00395593">
        <w:rPr>
          <w:rFonts w:ascii="Garamond" w:hAnsi="Garamond" w:cs="Arial"/>
          <w:b/>
          <w:color w:val="162937"/>
        </w:rPr>
        <w:t>Cost, Insurance &amp; Freight - CIF</w:t>
      </w:r>
      <w:r w:rsidRPr="00395593">
        <w:rPr>
          <w:rFonts w:ascii="Garamond" w:hAnsi="Garamond" w:cs="Arial"/>
          <w:color w:val="162937"/>
        </w:rPr>
        <w:t>.</w:t>
      </w:r>
    </w:p>
    <w:p w14:paraId="63B4DFC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A alíquota específica, fixa ou variável, será estabelecida em moeda estrangeira e convertida em moeda nacional, na forma prevista na legislação.</w:t>
      </w:r>
    </w:p>
    <w:p w14:paraId="2CFA11E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75. A aplicação de medidas compensatórias em vigor poderá ser estendida a importações de produtos originários de terceiros países e a importações de partes, peças e componentes do produto sujeito a medida compensatória, caso constatada a existência de práticas comerciais que visem a frustrar a eficácia de medidas compensatórias em vigor, observadas as disposições relativas à revisão anticircunvenção estabelecidas na Subseção II da Seção III do Capítulo IX.</w:t>
      </w:r>
    </w:p>
    <w:p w14:paraId="108D129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76. Nas situações em que tenha sido determinado que a análise de casos individuais resultaria em sobrecarga despropositada para a Subsecretaria de Defesa Comercial e Interesse Público da Secretaria de Comércio Exterior da Secretaria Especial de Comércio Exterior e Assuntos Internacionais do Ministério da Economia ou em impedimento à conclusão da investigação nos prazos estabelecidos, nos termos do disposto no art. 21, serão aplicados direitos compensatórios individuais de mesmo valor para todos os produtores ou exportadores conhecidos que, embora não tenham sido incluídos na seleção, tenham apresentado as informações requeridas pela referida Subsecretaria.</w:t>
      </w:r>
    </w:p>
    <w:p w14:paraId="0F0E547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Os direitos compensatórios individuais de mesmo valor a que se refere o </w:t>
      </w:r>
      <w:r w:rsidRPr="00395593">
        <w:rPr>
          <w:rFonts w:ascii="Garamond" w:hAnsi="Garamond" w:cs="Arial"/>
          <w:b/>
          <w:color w:val="162937"/>
        </w:rPr>
        <w:t>caput</w:t>
      </w:r>
      <w:r w:rsidRPr="00395593">
        <w:rPr>
          <w:rFonts w:ascii="Garamond" w:hAnsi="Garamond" w:cs="Arial"/>
          <w:color w:val="162937"/>
        </w:rPr>
        <w:t xml:space="preserve"> serão calculados com base na média ponderada do montante de subsídios apurado para produtores ou exportadores incluídos na seleção realizada na forma estabelecida no art. 21.</w:t>
      </w:r>
    </w:p>
    <w:p w14:paraId="33CB228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2º O cálculo do montante de subsídios a que se refere o </w:t>
      </w:r>
      <w:r w:rsidRPr="00395593">
        <w:rPr>
          <w:rFonts w:ascii="Garamond" w:hAnsi="Garamond" w:cs="Arial"/>
          <w:b/>
          <w:color w:val="162937"/>
        </w:rPr>
        <w:t>caput</w:t>
      </w:r>
      <w:r w:rsidRPr="00395593">
        <w:rPr>
          <w:rFonts w:ascii="Garamond" w:hAnsi="Garamond" w:cs="Arial"/>
          <w:color w:val="162937"/>
        </w:rPr>
        <w:t xml:space="preserve"> não considerará os montantes de subsídios nulos,deminimisou apurados integralmente com base na melhor informação disponível.</w:t>
      </w:r>
    </w:p>
    <w:p w14:paraId="12F7C7C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Na hipótese prevista no § 5º do art. 21, será aplicado direito compensatório individual calculado com base nos dados reportados pelos produtores ou exportadores correspondentes, ressalvado o disposto no § 3º do art. 46.</w:t>
      </w:r>
    </w:p>
    <w:p w14:paraId="46B8862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Os direitos compensatórios calculados nos termos do disposto no § 3º não serão utilizados no cálculo do direito compensatório a ser aplicado aos produtores ou exportadores não incluídos na seleção a que se refere o § 1º.</w:t>
      </w:r>
    </w:p>
    <w:p w14:paraId="30000E2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77. Para os produtores ou exportadores cujos direitos compensatórios não sejam aplicados com fundamento no disposto no art. 74 ou no art. 76, serão aplicados direitos compensatórios calculados com base na melhor informação disponível.</w:t>
      </w:r>
    </w:p>
    <w:p w14:paraId="0D2B51D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78. Para fins do disposto no art. 30, serão cobrados direitos compensatórios apenas para as importações do produto objeto da investigação destinadas ao consumo final no mercado considerado na definição de indústria doméstica subnacional.</w:t>
      </w:r>
    </w:p>
    <w:p w14:paraId="51EFB258"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II</w:t>
      </w:r>
    </w:p>
    <w:p w14:paraId="7399C2DE"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cobrança ou da exigibilidade</w:t>
      </w:r>
    </w:p>
    <w:p w14:paraId="6CD5A3E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79. Independentemente das obrigações de natureza tributária relativas à sua importação, serão exigidas garantias dos direitos compensatórios provisórios e cobrados direitos compensatórios definitivos aplicados às importações do produto objeto da investigação para o qual tenha havido determinação preliminar ou final positiva e tenham sido cumpridos os demais requisitos relativos à aplicação de direitos.</w:t>
      </w:r>
    </w:p>
    <w:p w14:paraId="5AFCB18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80. Não serão exigidas garantias nem cobrados direitos aplicados às importações de produtos objetos dos compromissos a que se refere o art. 63.</w:t>
      </w:r>
    </w:p>
    <w:p w14:paraId="2B324F59"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III</w:t>
      </w:r>
    </w:p>
    <w:p w14:paraId="441AC6A0"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color w:val="162937"/>
        </w:rPr>
      </w:pPr>
      <w:r w:rsidRPr="00395593">
        <w:rPr>
          <w:rFonts w:ascii="Garamond" w:hAnsi="Garamond" w:cs="Arial"/>
          <w:b/>
          <w:color w:val="162937"/>
        </w:rPr>
        <w:t>Da cobrança retroativa</w:t>
      </w:r>
    </w:p>
    <w:p w14:paraId="5242B1E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81. Exceto nas hipóteses previstas nesta Seção, somente poderão ser aplicadas medidas compensatórias provisórias e definitivas a produtos importados despachados para consumo a partir da data de publicação do ato que contenha as decisões de que tratam o § 5º do art. 62 e o art. 73.</w:t>
      </w:r>
    </w:p>
    <w:p w14:paraId="63B0CE1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82. Os direitos compensatórios poderão ser aplicados retroativamente apenas nas hipóteses de determinação final positiva de dano material à indústria doméstica.</w:t>
      </w:r>
    </w:p>
    <w:p w14:paraId="10DEAE3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Na hipótese de determinação final positiva de ameaça de dano material à indústria doméstica, a aplicação retroativa de direitos compensatórios somente ocorrerá quando demonstrado que a ausência de medidas compensatórias provisórias teria feito com que os efeitos das importações do produto objeto da investigação tivessem levado a uma determinação positiva de dano material à indústria doméstica.</w:t>
      </w:r>
    </w:p>
    <w:p w14:paraId="49CDF20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83. O valor do direito provisoriamente garantido por depósito ou fiança bancária será restituído, devolvido ou extinto de forma célere, nas hipóteses de:</w:t>
      </w:r>
    </w:p>
    <w:p w14:paraId="7CCB016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determinação final positiva de ameaça de dano material à indústria doméstica;</w:t>
      </w:r>
    </w:p>
    <w:p w14:paraId="1300FCB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retardamento significativo no estabelecimento da indústria doméstica; ou</w:t>
      </w:r>
    </w:p>
    <w:p w14:paraId="27EB085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determinação final negativa de existência de subsídio, de dano à indústria doméstica ou de nexo de causalidade entre ambos.</w:t>
      </w:r>
    </w:p>
    <w:p w14:paraId="7EAAC21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84. Caso o valor do direito definitivo seja superior ao valor do direito provisoriamente garantido, a diferença não será cobrada.</w:t>
      </w:r>
    </w:p>
    <w:p w14:paraId="77E6100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85. Caso o valor do direito definitivo seja inferior ao valor do direito provisoriamente garantido, a conversão da garantia será ajustada.</w:t>
      </w:r>
    </w:p>
    <w:p w14:paraId="5001C49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86. Os direitos compensatórios definitivos somente poderão ser cobrados de importações do produto subsidiado cuja data de conhecimento de embarque anteceda em até noventa dias, contados da data de aplicação das medidas compensatórias provisórias, e desde que se verifique que o dano é causado por importações volumosas do produto subsidiado em período relativamente curto, o que, considerados fatores como o período em que foram efetuadas e o volume dessas importações e outros fatores, como o rápido crescimento dos estoques do produto importado, muito provavelmente reduzirá acentuadamente o efeito corretivo dos direitos compensatórios definitivos a serem aplicados.</w:t>
      </w:r>
    </w:p>
    <w:p w14:paraId="6EE0C6C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Não serão cobrados direitos aplicados às importações cuja data de conhecimento de embarque seja anterior à data de início da investigação ou de violação do compromisso.</w:t>
      </w:r>
    </w:p>
    <w:p w14:paraId="403690E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Aos importadores envolvidos será concedido prazo improrrogável de dez dias para manifestação sobre a adoção da medida compensatória.</w:t>
      </w:r>
    </w:p>
    <w:p w14:paraId="08624BE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87. Os elementos de fato e de direito que ensejaram a determinação da cobrança retroativa de direitos compensatórios definitivos constarão da decisão da Câmara de Comércio Exterior que determinar a cobrança retroativa de direitos definitivos.</w:t>
      </w:r>
    </w:p>
    <w:p w14:paraId="3E07CB05"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CAPÍTULO VIII</w:t>
      </w:r>
    </w:p>
    <w:p w14:paraId="4C044553"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DURAÇÃO DOS DIREITOS COMPENSATÓRIOS E DOS COMPROMISSOS</w:t>
      </w:r>
    </w:p>
    <w:p w14:paraId="5AE4581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88. Os direitos compensatórios e os compromissos permanecerão em vigor enquanto perdurar a necessidade de neutralizar o dano à indústria doméstica causado pelas importações do produto subsidiado.</w:t>
      </w:r>
    </w:p>
    <w:p w14:paraId="051378F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89. Todo direito compensatório definitivo será extinto no prazo de cinco anos, contado da data de sua aplicação ou de conclusão da revisão mais recente que tenha abrangido o subsídio, o dano à indústria doméstica e o nexo de causalidade entre ambos, conforme estabelecido na Seção II do Capítulo IX.</w:t>
      </w:r>
    </w:p>
    <w:p w14:paraId="57156291"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CAPÍTULO IX</w:t>
      </w:r>
    </w:p>
    <w:p w14:paraId="6A733AA7"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REVISÃO DOS DIREITOS COMPENSATÓRIOS E DOS COMPROMISSOS</w:t>
      </w:r>
    </w:p>
    <w:p w14:paraId="619DFAAC"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I</w:t>
      </w:r>
    </w:p>
    <w:p w14:paraId="04A688CE"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Dos princípios e das disposições aplicáveis</w:t>
      </w:r>
    </w:p>
    <w:p w14:paraId="03DB050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90. As revisões dos direitos compensatórios e dos compromissos, de que trata este Capítulo, obedecerão, no que couber:</w:t>
      </w:r>
    </w:p>
    <w:p w14:paraId="045CAE3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ao disposto nos Capítulos I ao IV e nos Capítulos XI ao XV; e</w:t>
      </w:r>
    </w:p>
    <w:p w14:paraId="72954C0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aos princípios, aos prazos e aos procedimentos estabelecidos no Capítulo VI.</w:t>
      </w:r>
    </w:p>
    <w:p w14:paraId="64936C2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O disposto no art. 69 poderá ser aplicado às revisões de que trata a Seção II deste Capítulo.</w:t>
      </w:r>
    </w:p>
    <w:p w14:paraId="06A927D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91. As revisões de que trata este Capítulo serão solicitadas por meio de petição escrita e fundamentada com base em indícios, apresentada pelas partes interessadas.</w:t>
      </w:r>
    </w:p>
    <w:p w14:paraId="226AB09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A Subsecretaria de Defesa Comercial e Interesse Público da Secretaria de Comércio Exterior da Secretaria Especial de Comércio Exterior e Assuntos Internacionais do Ministério da Economia poderá conduzir, a seu critério e desde que devidamente justificado, os processos de revisão de que trata este Capítulo de forma simultânea ou combinada.</w:t>
      </w:r>
    </w:p>
    <w:p w14:paraId="72043A0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Exceto quando disposto de maneira distinta neste Capítulo, serão consideradas partes interessadas aquelas relacionadas no § 2º do art. 40.</w:t>
      </w:r>
    </w:p>
    <w:p w14:paraId="27334E2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92. A Subsecretaria de Defesa Comercial e Interesse Público da Secretaria de Comércio Exterior da Secretaria Especial de Comércio Exterior e Assuntos Internacionais do Ministério da Economia notificará as partes interessadas do início de revisão com fundamento no disposto neste Capítulo.</w:t>
      </w:r>
    </w:p>
    <w:p w14:paraId="764AE53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93. As partes interessadas terão ampla oportunidade para apresentar por escrito elementos de prova considerados pertinentes à revisão.</w:t>
      </w:r>
    </w:p>
    <w:p w14:paraId="324788A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94. Exceto quando disposto de maneira distinta neste Capítulo, o período da revisão será definido conforme o disposto no art. 43.</w:t>
      </w:r>
    </w:p>
    <w:p w14:paraId="7D515DD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95. Como resultado de revisão, o direito compensatório poderá:</w:t>
      </w:r>
    </w:p>
    <w:p w14:paraId="358989F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ser extinto ou mantido nos termos do disposto na Subseção II da Seção II do Capítulo IX; ou</w:t>
      </w:r>
    </w:p>
    <w:p w14:paraId="787DF38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ser extinto, mantido ou alterado nos termos do disposto na Subseção I da Seção II e na Subseção I da Seção III do Capítulo IX.</w:t>
      </w:r>
    </w:p>
    <w:p w14:paraId="12F4BAD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96. Ato do Secretário de Comércio Exterior da Secretaria Especial de Comércio Exterior e Assuntos Internacionais do Ministério da Economia disporá sobre o modelo de petição a ser adotado para as revisões de que trata este Capítulo.</w:t>
      </w:r>
    </w:p>
    <w:p w14:paraId="51AFBB1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97. O disposto neste Capítulo aplica-se às revisões de compromissos.</w:t>
      </w:r>
    </w:p>
    <w:p w14:paraId="5DA85E87"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II</w:t>
      </w:r>
    </w:p>
    <w:p w14:paraId="1F3F5BB4"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Das revisões relativas à aplicação do direito</w:t>
      </w:r>
    </w:p>
    <w:p w14:paraId="5CADC921"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Subseção I</w:t>
      </w:r>
    </w:p>
    <w:p w14:paraId="1209CE6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b/>
          <w:color w:val="162937"/>
        </w:rPr>
      </w:pPr>
      <w:r w:rsidRPr="00395593">
        <w:rPr>
          <w:rFonts w:ascii="Garamond" w:hAnsi="Garamond" w:cs="Arial"/>
          <w:b/>
          <w:color w:val="162937"/>
        </w:rPr>
        <w:t>Da revisão do direito por alteração das circunstâncias</w:t>
      </w:r>
    </w:p>
    <w:p w14:paraId="1D412AD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98. A pedido de qualquer parte interessada da investigação original ou da última revisão de direito compensatório em que tenha sido investigada a existência de subsídio, de dano e de nexo de causalidade entre ambos, que submeta petição escrita com indícios de que as circunstâncias que justificaram a aplicação do direito compensatório tenham sido alteradas, a Subsecretaria de Defesa Comercial e Interesse Público da Secretaria de Comércio Exterior da Secretaria Especial de Comércio Exterior e Assuntos Internacionais do Ministério da Economia poderá iniciar revisão com fundamento no disposto nesta Subseção, à condição de que haja decorrido, no mínimo, o prazo de um ano da aplicação, da alteração, da prorrogação ou da extensão de direito compensatório definitivo.</w:t>
      </w:r>
    </w:p>
    <w:p w14:paraId="6814CAD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A alteração das circunstâncias a que se refere o </w:t>
      </w:r>
      <w:r w:rsidRPr="00395593">
        <w:rPr>
          <w:rFonts w:ascii="Garamond" w:hAnsi="Garamond" w:cs="Arial"/>
          <w:b/>
          <w:color w:val="162937"/>
        </w:rPr>
        <w:t>caput</w:t>
      </w:r>
      <w:r w:rsidRPr="00395593">
        <w:rPr>
          <w:rFonts w:ascii="Garamond" w:hAnsi="Garamond" w:cs="Arial"/>
          <w:color w:val="162937"/>
        </w:rPr>
        <w:t xml:space="preserve"> deverá ser significativa e duradoura.</w:t>
      </w:r>
    </w:p>
    <w:p w14:paraId="00B5E94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2º A alteração das circunstâncias a que se refere o </w:t>
      </w:r>
      <w:r w:rsidRPr="00395593">
        <w:rPr>
          <w:rFonts w:ascii="Garamond" w:hAnsi="Garamond" w:cs="Arial"/>
          <w:b/>
          <w:color w:val="162937"/>
        </w:rPr>
        <w:t>caput</w:t>
      </w:r>
      <w:r w:rsidRPr="00395593">
        <w:rPr>
          <w:rFonts w:ascii="Garamond" w:hAnsi="Garamond" w:cs="Arial"/>
          <w:color w:val="162937"/>
        </w:rPr>
        <w:t xml:space="preserve"> não será configurada por fatores como oscilações ou flutuações inerentes ao mercado.</w:t>
      </w:r>
    </w:p>
    <w:p w14:paraId="5DC22BF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3º Em circunstâncias excepcionais, poderá ser iniciada revisão com fundamento no disposto nesta Subseção em prazo inferior ao referido no </w:t>
      </w:r>
      <w:r w:rsidRPr="00395593">
        <w:rPr>
          <w:rFonts w:ascii="Garamond" w:hAnsi="Garamond" w:cs="Arial"/>
          <w:b/>
          <w:color w:val="162937"/>
        </w:rPr>
        <w:t>caput</w:t>
      </w:r>
      <w:r w:rsidRPr="00395593">
        <w:rPr>
          <w:rFonts w:ascii="Garamond" w:hAnsi="Garamond" w:cs="Arial"/>
          <w:color w:val="162937"/>
        </w:rPr>
        <w:t xml:space="preserve"> , desde que devidamente justificado.</w:t>
      </w:r>
    </w:p>
    <w:p w14:paraId="7D1D9C4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99. Com base na determinação estabelecida pela Subsecretaria de Defesa Comercial e Interesse Público da Secretaria de Comércio Exterior da Secretaria Especial de Comércio Exterior e Assuntos Internacionais do Ministério da Economia:</w:t>
      </w:r>
    </w:p>
    <w:p w14:paraId="7400B37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o direito compensatório poderá ser extinto, caso seja improvável a continuação ou a retomada da existência de:</w:t>
      </w:r>
    </w:p>
    <w:p w14:paraId="59F1E99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 subsídio acionável; ou</w:t>
      </w:r>
    </w:p>
    <w:p w14:paraId="309C495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b) dano; e</w:t>
      </w:r>
    </w:p>
    <w:p w14:paraId="76B53FA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o direito compensatório poderá ser alterado caso tenha:</w:t>
      </w:r>
    </w:p>
    <w:p w14:paraId="2257CF5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 deixado de ser suficiente ou se tornado excessivo para neutralizar os efeitos do subsídio; ou</w:t>
      </w:r>
    </w:p>
    <w:p w14:paraId="1DBA4F8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b) se tornado insuficiente para neutralizar o dano à indústria doméstica causado pelas importações do produto objeto do direito.</w:t>
      </w:r>
    </w:p>
    <w:p w14:paraId="0F8A428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Art. 100. Nas hipóteses previstas nas alíneas "a" do inciso I e da alínea "a" do inciso II do </w:t>
      </w:r>
      <w:r w:rsidRPr="00395593">
        <w:rPr>
          <w:rFonts w:ascii="Garamond" w:hAnsi="Garamond" w:cs="Arial"/>
          <w:b/>
          <w:color w:val="162937"/>
        </w:rPr>
        <w:t>caput</w:t>
      </w:r>
      <w:r w:rsidRPr="00395593">
        <w:rPr>
          <w:rFonts w:ascii="Garamond" w:hAnsi="Garamond" w:cs="Arial"/>
          <w:color w:val="162937"/>
        </w:rPr>
        <w:t xml:space="preserve"> do art. 99, a análise será baseada no exame objetivo de todos os fatores relevantes, tais como:</w:t>
      </w:r>
    </w:p>
    <w:p w14:paraId="4627871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a existência de subsídio acionável durante a vigência da medida compensatória;</w:t>
      </w:r>
    </w:p>
    <w:p w14:paraId="7575765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a aplicação ou a extinção de medidas compensatórias sobre o produto similar por outros países durante o período de revisão; e</w:t>
      </w:r>
    </w:p>
    <w:p w14:paraId="36498EF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os planos governamentais, as políticas públicas e os demais documentos ou instrumentos relevantes sobre concessão de subsídios.</w:t>
      </w:r>
    </w:p>
    <w:p w14:paraId="3EFD9B5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As petições que envolvam o cálculo de novo montante de subsídios deverão incluir, entre outras informações, os indícios da modificação do programa relativo aos subsídios concedidos durante o período de revisão.</w:t>
      </w:r>
    </w:p>
    <w:p w14:paraId="223CAEF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O direito aplicado como resultado de revisão de alteração das circunstâncias não poderá exceder o novo montante de subsídios calculado para o período de revisão.</w:t>
      </w:r>
    </w:p>
    <w:p w14:paraId="0D10540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Art. 101. Nas hipóteses previstas na alínea "b" do inciso I e da alínea "b" do inciso II do </w:t>
      </w:r>
      <w:r w:rsidRPr="00395593">
        <w:rPr>
          <w:rFonts w:ascii="Garamond" w:hAnsi="Garamond" w:cs="Arial"/>
          <w:b/>
          <w:color w:val="162937"/>
        </w:rPr>
        <w:t>caput</w:t>
      </w:r>
      <w:r w:rsidRPr="00395593">
        <w:rPr>
          <w:rFonts w:ascii="Garamond" w:hAnsi="Garamond" w:cs="Arial"/>
          <w:color w:val="162937"/>
        </w:rPr>
        <w:t xml:space="preserve"> do art. 99, a análise será baseada no exame objetivo de todos os fatores relevantes, tais como:</w:t>
      </w:r>
    </w:p>
    <w:p w14:paraId="4675644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a situação da indústria doméstica durante a vigência do direito definitivo;</w:t>
      </w:r>
    </w:p>
    <w:p w14:paraId="209473F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o volume das importações do produto objeto do direito durante a sua vigência e a provável tendência de comportamento dessas importações, em termos absolutos e relativos à produção ou ao consumo do produto similar no mercado interno brasileiro;</w:t>
      </w:r>
    </w:p>
    <w:p w14:paraId="7A31E72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o preço provável das importações do produto objeto do direito e o seu provável efeito sobre os preços do produto similar no mercado interno brasileiro;</w:t>
      </w:r>
    </w:p>
    <w:p w14:paraId="677EB3B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IV - o impacto provável das importações do produto objeto do direito sobre a indústria doméstica, avaliado com base nos fatores e nos índices econômicos pertinentes definidos nos § 2º e § 3º do art. 24;</w:t>
      </w:r>
    </w:p>
    <w:p w14:paraId="02C2466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 - as alterações nas condições de mercado no país exportador, na República Federativa do Brasil ou em terceiros mercados, incluídas as alterações na oferta e na demanda do produto similar, em razão, por exemplo, da imposição de medidas de defesa comercial por outros países; e</w:t>
      </w:r>
    </w:p>
    <w:p w14:paraId="7212E69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 - o efeito provável de outros fatores além das importações do produto objeto do direito sobre a indústria doméstica, tais como:</w:t>
      </w:r>
    </w:p>
    <w:p w14:paraId="5A24B8D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 volume e preço de importações não sujeitas ao direito compensatório;</w:t>
      </w:r>
    </w:p>
    <w:p w14:paraId="4DD3473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b) impacto de eventuais processos de liberalização das importações sobre os preços domésticos;</w:t>
      </w:r>
    </w:p>
    <w:p w14:paraId="3D5F537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c) contração na demanda ou mudança nos padrões de consumo;</w:t>
      </w:r>
    </w:p>
    <w:p w14:paraId="0D127B5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d) práticas restritivas ao comércio de produtores domésticos e estrangeiros e a concorrência entre eles;</w:t>
      </w:r>
    </w:p>
    <w:p w14:paraId="191364E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e) progresso tecnológico;</w:t>
      </w:r>
    </w:p>
    <w:p w14:paraId="181365D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f) desempenho exportador;</w:t>
      </w:r>
    </w:p>
    <w:p w14:paraId="3B35994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g) produtividade da indústria doméstica;</w:t>
      </w:r>
    </w:p>
    <w:p w14:paraId="1245316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h) consumo cativo; e</w:t>
      </w:r>
    </w:p>
    <w:p w14:paraId="0384E74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importação ou revenda do produto importado pela indústria doméstica.</w:t>
      </w:r>
    </w:p>
    <w:p w14:paraId="1CA964B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102. A revisão do direito por alteração das circunstâncias será concluída no prazo de doze meses, contado da data de seu início.</w:t>
      </w:r>
    </w:p>
    <w:p w14:paraId="298A674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Em circunstâncias excepcionais, o prazo de revisão do direito a que se refere o </w:t>
      </w:r>
      <w:r w:rsidRPr="00395593">
        <w:rPr>
          <w:rFonts w:ascii="Garamond" w:hAnsi="Garamond" w:cs="Arial"/>
          <w:b/>
          <w:color w:val="162937"/>
        </w:rPr>
        <w:t>caput</w:t>
      </w:r>
      <w:r w:rsidRPr="00395593">
        <w:rPr>
          <w:rFonts w:ascii="Garamond" w:hAnsi="Garamond" w:cs="Arial"/>
          <w:color w:val="162937"/>
        </w:rPr>
        <w:t xml:space="preserve"> poderá ser prorrogado por até três meses.</w:t>
      </w:r>
    </w:p>
    <w:p w14:paraId="3DA7CBC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No curso da revisão, os direitos permanecerão em vigor e não serão alterados.</w:t>
      </w:r>
    </w:p>
    <w:p w14:paraId="69408C38"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Subseção II</w:t>
      </w:r>
    </w:p>
    <w:p w14:paraId="6C5029C4"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revisão de final de período</w:t>
      </w:r>
    </w:p>
    <w:p w14:paraId="5A5F33D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103. Por meio de revisão de final de período com fundamento no disposto nesta Subseção, o período de concessão do direito compensatório de que trata o art. 88 poderá ser prorrogado por igual período, caso determinado que a sua extinção levaria muito provavelmente à continuação ou à retomada da concessão de subsídio e do dano dele decorrente.</w:t>
      </w:r>
    </w:p>
    <w:p w14:paraId="1154D83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Art. 104. A determinação de que a extinção do direito levaria muito provavelmente à continuação ou à retomada da concessão de subsídio acionável será baseada no exame objetivo de todos os fatores relevantes, incluídos aqueles referidos nos incisos I ao III do </w:t>
      </w:r>
      <w:r w:rsidRPr="00395593">
        <w:rPr>
          <w:rFonts w:ascii="Garamond" w:hAnsi="Garamond" w:cs="Arial"/>
          <w:b/>
          <w:color w:val="162937"/>
        </w:rPr>
        <w:t>caput</w:t>
      </w:r>
      <w:r w:rsidRPr="00395593">
        <w:rPr>
          <w:rFonts w:ascii="Garamond" w:hAnsi="Garamond" w:cs="Arial"/>
          <w:color w:val="162937"/>
        </w:rPr>
        <w:t xml:space="preserve"> do art. 100.</w:t>
      </w:r>
    </w:p>
    <w:p w14:paraId="7EF6606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105. A determinação de que a extinção do direito levará muito provavelmente à continuação ou à retomada do dano será baseada no exame objetivo de todos os fatores relevantes, incluídos aqueles referidos no art. 101.</w:t>
      </w:r>
    </w:p>
    <w:p w14:paraId="4CDE689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106. Na hipótese de dúvida quanto à provável evolução futura das importações do produto objeto do direito compensatório, a Subsecretaria de Defesa Comercial e Interesse Público da Secretaria de Comércio Exterior da Secretaria Especial de Comércio Exterior e Assuntos Internacionais do Ministério da Economia poderá recomendar a prorrogação do direito compensatório com a suspensão imediata de sua aplicação.</w:t>
      </w:r>
    </w:p>
    <w:p w14:paraId="0B5FB38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A cobrança do direito compensatório será imediatamente retomada caso o aumento das importações ocorra em volume que possa ensejar a retomada do dano.</w:t>
      </w:r>
    </w:p>
    <w:p w14:paraId="7177759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107. A revisão de final de período será solicitada pela indústria doméstica ou em seu nome, por meio de petição escrita e fundamentada com base em indícios de que a extinção do direito compensatório levaria muito provavelmente à continuação ou à retomada da concessão de subsídio acionável e do dano dele decorrente.</w:t>
      </w:r>
    </w:p>
    <w:p w14:paraId="0EE643F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108. A petição de revisão de final de período deverá ser protocolada, no mínimo, quatro meses antes da data de término do período de vigência do direito compensatório de que trata o art. 89, sob pena de a petição ser considerada intempestiva.</w:t>
      </w:r>
    </w:p>
    <w:p w14:paraId="32CA6A8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A decisão de iniciar ou não a revisão será publicada antes do término da vigência do direito compensatório.</w:t>
      </w:r>
    </w:p>
    <w:p w14:paraId="1A65399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109. A revisão será concluída no prazo de doze meses, contado da data de seu início.</w:t>
      </w:r>
    </w:p>
    <w:p w14:paraId="385F6EC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Em circunstâncias excepcionais, o prazo de conclusão de revisão a que se refere o </w:t>
      </w:r>
      <w:r w:rsidRPr="00395593">
        <w:rPr>
          <w:rFonts w:ascii="Garamond" w:hAnsi="Garamond" w:cs="Arial"/>
          <w:b/>
          <w:color w:val="162937"/>
        </w:rPr>
        <w:t>caput</w:t>
      </w:r>
      <w:r w:rsidRPr="00395593">
        <w:rPr>
          <w:rFonts w:ascii="Garamond" w:hAnsi="Garamond" w:cs="Arial"/>
          <w:color w:val="162937"/>
        </w:rPr>
        <w:t xml:space="preserve"> poderá ser prorrogado por até três meses.</w:t>
      </w:r>
    </w:p>
    <w:p w14:paraId="4029E47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No curso da revisão, os direitos permanecerão em vigor e não serão alterados.</w:t>
      </w:r>
    </w:p>
    <w:p w14:paraId="222DB192"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III</w:t>
      </w:r>
    </w:p>
    <w:p w14:paraId="4E0204CE"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Das revisões relativas ao escopo e à cobrança do direito</w:t>
      </w:r>
    </w:p>
    <w:p w14:paraId="3E7F39B7"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Subseção I</w:t>
      </w:r>
    </w:p>
    <w:p w14:paraId="31D5E405"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revisão acelerada</w:t>
      </w:r>
    </w:p>
    <w:p w14:paraId="759952A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110. Quando o produto estiver sujeito a direito compensatório, poderá ser solicitada, por meio de petição escrita e fundamentada, revisão do direito compensatório em vigor para produtor ou exportador que não tenha sido individualmente investigado, por outra razão além da recusa em cooperar com a investigação, com vistas a determinar o seu montante individual de subsídio.</w:t>
      </w:r>
    </w:p>
    <w:p w14:paraId="1605C64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111. A Subsecretaria de Defesa Comercial e Interesse Público da Secretaria de Comércio Exterior da Secretaria Especial de Comércio Exterior e Assuntos Internacionais do Ministério da Economia disporá de dois meses para analisar se a petição está devidamente instruída e, em caso positivo, a Secretaria de Comércio Exterior da Secretaria Especial de Comércio Exterior e Assuntos Internacionais do Ministério da Economia publicará no Diário Oficial da União ato para tornar público o início da revisão.</w:t>
      </w:r>
    </w:p>
    <w:p w14:paraId="7693C54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112. A Subsecretaria de Defesa Comercial e Interesse Público da Secretaria de Comércio Exterior da Secretaria Especial de Comércio Exterior e Assuntos Internacionais do Ministério da Economia poderá solicitar ao peticionário informações complementares a serem encaminhadas no prazo improrrogável de cinco dias, contado da data de ciência da solicitação.</w:t>
      </w:r>
    </w:p>
    <w:p w14:paraId="1E0496A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Caso o peticionário ou o governo do país exportador negue acesso à informação necessária, não a forneça tempestivamente ou crie obstáculos à revisão, a Secretaria de Comércio Exterior da Secretaria Especial de Comércio Exterior e Assuntos Internacionais do Ministério da Economia encerrará a revisão sem a determinação de montante individual de subsídio para o peticionário.</w:t>
      </w:r>
    </w:p>
    <w:p w14:paraId="311363F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113. A fase probatória da revisão será encerrada no prazo de noventa dias, contado da data de início da revisão.</w:t>
      </w:r>
    </w:p>
    <w:p w14:paraId="4FEE235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Os elementos de prova apresentados após o encerramento da fase probatória da revisão não serão juntados aos autos do processo.</w:t>
      </w:r>
    </w:p>
    <w:p w14:paraId="7DCF889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114. As revisões de que trata esta Subseção serão concluídas no prazo de sete meses, contado da data de seu início.</w:t>
      </w:r>
    </w:p>
    <w:p w14:paraId="1DB6FE17"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Subseção II</w:t>
      </w:r>
    </w:p>
    <w:p w14:paraId="103E82EA"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revisão anticircunvenção</w:t>
      </w:r>
    </w:p>
    <w:p w14:paraId="4930F43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115. A aplicação de medida compensatória poderá ser estendida por meio de revisão anticircunvenção às importações de:</w:t>
      </w:r>
    </w:p>
    <w:p w14:paraId="7615DE6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partes, peças ou componentes originários ou procedentes do país sujeito a medida compensatória, destinados à industrialização, na República Federativa do Brasil, do produto sujeito a medida compensatória;</w:t>
      </w:r>
    </w:p>
    <w:p w14:paraId="40033D3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produto de terceiros países cuja industrialização com partes, peças ou componentes originários ou procedentes do país sujeito a medida compensatória resulte no produto sujeito a medida compensatória; ou</w:t>
      </w:r>
    </w:p>
    <w:p w14:paraId="5750283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produto que, originário ou procedente do país sujeito a medida compensatória, apresente modificações marginais em relação ao produto sujeito a medida compensatória que não alterem o seu uso ou a sua destinação final.</w:t>
      </w:r>
    </w:p>
    <w:p w14:paraId="3924B46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116. Para fins do disposto neste Decreto, considera-se circunvenção a prática comercial que vise a frustrar a eficácia de medida compensatória em vigor por meio da introdução, no território nacional, das importações a que se refere o art. 115.</w:t>
      </w:r>
    </w:p>
    <w:p w14:paraId="5028CF9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117. Observado o disposto no art. 115, a existência de circunvenção será determinada pela análise conjugada de informações relativas a:</w:t>
      </w:r>
    </w:p>
    <w:p w14:paraId="48B1CD3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países exportadores dos produtos ou de partes, peças ou componentes;</w:t>
      </w:r>
    </w:p>
    <w:p w14:paraId="6819C71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produtores ou exportadores dos países a que se refere o inciso I; ou</w:t>
      </w:r>
    </w:p>
    <w:p w14:paraId="3FF8761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importadores brasileiros de partes, peças ou componentes.</w:t>
      </w:r>
    </w:p>
    <w:p w14:paraId="39D7CA1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A análise de informações relativas aos países exportadores dos produtos ou de partes, peças ou componentes a que se refere o </w:t>
      </w:r>
      <w:r w:rsidRPr="00395593">
        <w:rPr>
          <w:rFonts w:ascii="Garamond" w:hAnsi="Garamond" w:cs="Arial"/>
          <w:b/>
          <w:color w:val="162937"/>
        </w:rPr>
        <w:t>caput</w:t>
      </w:r>
      <w:r w:rsidRPr="00395593">
        <w:rPr>
          <w:rFonts w:ascii="Garamond" w:hAnsi="Garamond" w:cs="Arial"/>
          <w:color w:val="162937"/>
        </w:rPr>
        <w:t xml:space="preserve"> será feita para os países como um todo, de maneira a verificar se:</w:t>
      </w:r>
    </w:p>
    <w:p w14:paraId="2670BDD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em razão de alterações nos fluxos comerciais dos países ocorridas após o início de investigação original ou de revisão, a eficácia de medida compensatória vigente está sendo frustrada, avaliada em termos do preço e da quantidade importada do produto objeto da revisão; e</w:t>
      </w:r>
    </w:p>
    <w:p w14:paraId="4E304AC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as alterações nos fluxos comerciais dos países ocorridas após o início da investigação original ou da revisão são decorrentes de processo, atividade ou prática sem motivação ou justificativa econômica outra do que frustrar a eficácia de medida compensatória vigente.</w:t>
      </w:r>
    </w:p>
    <w:p w14:paraId="2DB2AF4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2º A análise de informações relativas aos produtores, aos exportadores ou aos importadores a que se refere o </w:t>
      </w:r>
      <w:r w:rsidRPr="00395593">
        <w:rPr>
          <w:rFonts w:ascii="Garamond" w:hAnsi="Garamond" w:cs="Arial"/>
          <w:b/>
          <w:color w:val="162937"/>
        </w:rPr>
        <w:t>caput</w:t>
      </w:r>
      <w:r w:rsidRPr="00395593">
        <w:rPr>
          <w:rFonts w:ascii="Garamond" w:hAnsi="Garamond" w:cs="Arial"/>
          <w:color w:val="162937"/>
        </w:rPr>
        <w:t xml:space="preserve"> será feita para produtores, exportadores ou importadores individualmente, de maneira a verificar se:</w:t>
      </w:r>
    </w:p>
    <w:p w14:paraId="3AFB2CF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 - na hipótese prevista no inciso I do </w:t>
      </w:r>
      <w:r w:rsidRPr="00395593">
        <w:rPr>
          <w:rFonts w:ascii="Garamond" w:hAnsi="Garamond" w:cs="Arial"/>
          <w:b/>
          <w:color w:val="162937"/>
        </w:rPr>
        <w:t>caput</w:t>
      </w:r>
      <w:r w:rsidRPr="00395593">
        <w:rPr>
          <w:rFonts w:ascii="Garamond" w:hAnsi="Garamond" w:cs="Arial"/>
          <w:color w:val="162937"/>
        </w:rPr>
        <w:t xml:space="preserve"> do art. 115:</w:t>
      </w:r>
    </w:p>
    <w:p w14:paraId="50F877A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 a revenda, na República Federativa do Brasil, do produto sujeito a medida compensatória industrializado com partes, peças ou componentes originários ou procedentes do país sujeito a medida compensatória ocorreu com valores inferiores ao preço de exportação apurado para o produto sujeito a medida compensatória, acrescido do montante de subsídios;</w:t>
      </w:r>
    </w:p>
    <w:p w14:paraId="671290B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b) as partes, as peças ou os componentes originários ou procedentes do país sujeito a medida compensatória não apresentam utilização distinta da industrialização do produto sujeito a medida compensatória;</w:t>
      </w:r>
    </w:p>
    <w:p w14:paraId="4E478B6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c) o início ou o aumento substancial da industrialização na República Federativa do Brasil ocorreu após o início da investigação que resultou na aplicação de medida compensatória; e</w:t>
      </w:r>
    </w:p>
    <w:p w14:paraId="29BC127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d) as partes, as peças ou os componentes originários ou procedentes do país sujeito a medida compensatória representam sessenta por cento ou mais do valor total de partes, peças ou componentes do produto industrializado na República Federativa do Brasil;</w:t>
      </w:r>
    </w:p>
    <w:p w14:paraId="2F1C1D9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II - na hipótese prevista no inciso II do </w:t>
      </w:r>
      <w:r w:rsidRPr="00395593">
        <w:rPr>
          <w:rFonts w:ascii="Garamond" w:hAnsi="Garamond" w:cs="Arial"/>
          <w:b/>
          <w:color w:val="162937"/>
        </w:rPr>
        <w:t>caput</w:t>
      </w:r>
      <w:r w:rsidRPr="00395593">
        <w:rPr>
          <w:rFonts w:ascii="Garamond" w:hAnsi="Garamond" w:cs="Arial"/>
          <w:color w:val="162937"/>
        </w:rPr>
        <w:t xml:space="preserve"> do art. 115:</w:t>
      </w:r>
    </w:p>
    <w:p w14:paraId="64A9027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 a exportação do produto para a República Federativa do Brasil ocorreu com valores inferiores ao preço de exportação apurado para o produto sujeito a medida compensatória, acrescido do montante de subsídios;</w:t>
      </w:r>
    </w:p>
    <w:p w14:paraId="42CFDDA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b) a exportação do produto para a República Federativa do Brasil correspondeu a proporção importante das vendas totais do produtor ou do exportador;</w:t>
      </w:r>
    </w:p>
    <w:p w14:paraId="3B7639E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c) o início ou o aumento substancial das exportações do produto para a República Federativa do Brasil ocorreu após o início da investigação que resultou na aplicação de medida compensatória; e</w:t>
      </w:r>
    </w:p>
    <w:p w14:paraId="41978F7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d) as partes, as peças ou os componentes originários ou procedentes do país sujeito a medida compensatória representam sessenta por cento ou mais do valor total de partes, peças ou componentes do produto exportado para a República Federativa do Brasil; e</w:t>
      </w:r>
    </w:p>
    <w:p w14:paraId="6E684F9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III - na hipótese prevista no inciso III do </w:t>
      </w:r>
      <w:r w:rsidRPr="00395593">
        <w:rPr>
          <w:rFonts w:ascii="Garamond" w:hAnsi="Garamond" w:cs="Arial"/>
          <w:b/>
          <w:color w:val="162937"/>
        </w:rPr>
        <w:t>caput</w:t>
      </w:r>
      <w:r w:rsidRPr="00395593">
        <w:rPr>
          <w:rFonts w:ascii="Garamond" w:hAnsi="Garamond" w:cs="Arial"/>
          <w:color w:val="162937"/>
        </w:rPr>
        <w:t xml:space="preserve"> do art. 115:</w:t>
      </w:r>
    </w:p>
    <w:p w14:paraId="32C2B2B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 a exportação do produto com modificações marginais para a República Federativa do Brasil ocorreu com valores inferiores ao preço de exportação apurado para o produto sujeito a medida compensatória, acrescido do montante de subsídios;</w:t>
      </w:r>
    </w:p>
    <w:p w14:paraId="724E11E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b) a exportação do produto com modificações marginais para a República Federativa do Brasil correspondeu a proporção importante das vendas totais do produtor ou do exportador; e</w:t>
      </w:r>
    </w:p>
    <w:p w14:paraId="3812CB4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c) o início ou o aumento substancial das exportações do produto com modificações marginais para a República Federativa do Brasil ocorreu após o início da investigação que resultou na aplicação de medida compensatória.</w:t>
      </w:r>
    </w:p>
    <w:p w14:paraId="440E1BE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3º Não se caracterizará a circunvenção quando o valor agregado nas operações de industrialização a que se refere o inciso I do </w:t>
      </w:r>
      <w:r w:rsidRPr="00395593">
        <w:rPr>
          <w:rFonts w:ascii="Garamond" w:hAnsi="Garamond" w:cs="Arial"/>
          <w:b/>
          <w:color w:val="162937"/>
        </w:rPr>
        <w:t>caput</w:t>
      </w:r>
      <w:r w:rsidRPr="00395593">
        <w:rPr>
          <w:rFonts w:ascii="Garamond" w:hAnsi="Garamond" w:cs="Arial"/>
          <w:color w:val="162937"/>
        </w:rPr>
        <w:t xml:space="preserve"> do art. 115 for superior a trinta e cinco por cento do custo de manufatura do produto.</w:t>
      </w:r>
    </w:p>
    <w:p w14:paraId="6C51E32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Para fins do disposto no § 3º, o custo de manufatura não incluirá:</w:t>
      </w:r>
    </w:p>
    <w:p w14:paraId="1C83643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despesas de depreciação;</w:t>
      </w:r>
    </w:p>
    <w:p w14:paraId="77A9971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despesas de embalagem; e</w:t>
      </w:r>
    </w:p>
    <w:p w14:paraId="4015E46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custos ou despesas que não sejam diretamente relacionados à fabricação do produto.</w:t>
      </w:r>
    </w:p>
    <w:p w14:paraId="22E94E1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118. A revisão anticircunvenção será baseada nos antecedentes da investigação que culminou com a aplicação ou a prorrogação da medida compensatória.</w:t>
      </w:r>
    </w:p>
    <w:p w14:paraId="6B64B08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119. A revisão anticircunvenção poderá ser solicitada:</w:t>
      </w:r>
    </w:p>
    <w:p w14:paraId="10D5EAE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por meio de petição escrita por parte interessada na investigação original;</w:t>
      </w:r>
    </w:p>
    <w:p w14:paraId="79A1D6D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por meio de petição escrita por parte interessada na última revisão da medida compensatória, na hipótese de a medida compensatória já ter sido prorrogada; ou</w:t>
      </w:r>
    </w:p>
    <w:p w14:paraId="50BAF88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em circunstâncias excepcionais, de ofício, pela Secretaria de Comércio Exterior da Secretaria Especial de Comércio Exterior e Assuntos Internacionais do Ministério da Economia.</w:t>
      </w:r>
    </w:p>
    <w:p w14:paraId="2FDD1C6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120. Para fins da revisão anticircunvenção, são consideradas partes interessadas:</w:t>
      </w:r>
    </w:p>
    <w:p w14:paraId="5097483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os produtores brasileiros do produto similar ao produto sujeito a medida compensatória ou as entidades de classe que os representem;</w:t>
      </w:r>
    </w:p>
    <w:p w14:paraId="56BAA45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II - o governo do país de exportação dos produtos a que se referem os incisos II e III do </w:t>
      </w:r>
      <w:r w:rsidRPr="00395593">
        <w:rPr>
          <w:rFonts w:ascii="Garamond" w:hAnsi="Garamond" w:cs="Arial"/>
          <w:b/>
          <w:color w:val="162937"/>
        </w:rPr>
        <w:t>caput</w:t>
      </w:r>
      <w:r w:rsidRPr="00395593">
        <w:rPr>
          <w:rFonts w:ascii="Garamond" w:hAnsi="Garamond" w:cs="Arial"/>
          <w:color w:val="162937"/>
        </w:rPr>
        <w:t xml:space="preserve"> do art. 115;</w:t>
      </w:r>
    </w:p>
    <w:p w14:paraId="5140BF6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III - os produtores ou os exportadores dos produtos a que se referem os incisos II e III do </w:t>
      </w:r>
      <w:r w:rsidRPr="00395593">
        <w:rPr>
          <w:rFonts w:ascii="Garamond" w:hAnsi="Garamond" w:cs="Arial"/>
          <w:b/>
          <w:color w:val="162937"/>
        </w:rPr>
        <w:t>caput</w:t>
      </w:r>
      <w:r w:rsidRPr="00395593">
        <w:rPr>
          <w:rFonts w:ascii="Garamond" w:hAnsi="Garamond" w:cs="Arial"/>
          <w:color w:val="162937"/>
        </w:rPr>
        <w:t xml:space="preserve"> do art. 115;</w:t>
      </w:r>
    </w:p>
    <w:p w14:paraId="3BFBCC0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IV - os importadores brasileiros das partes, das peças ou dos componentes a que se refere o inciso I do </w:t>
      </w:r>
      <w:r w:rsidRPr="00395593">
        <w:rPr>
          <w:rFonts w:ascii="Garamond" w:hAnsi="Garamond" w:cs="Arial"/>
          <w:b/>
          <w:color w:val="162937"/>
        </w:rPr>
        <w:t>caput</w:t>
      </w:r>
      <w:r w:rsidRPr="00395593">
        <w:rPr>
          <w:rFonts w:ascii="Garamond" w:hAnsi="Garamond" w:cs="Arial"/>
          <w:color w:val="162937"/>
        </w:rPr>
        <w:t xml:space="preserve"> do art. 115;</w:t>
      </w:r>
    </w:p>
    <w:p w14:paraId="45CEFAD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V - as empresas responsáveis pela industrialização das partes, das peças ou dos componentes a que se refere o inciso I do </w:t>
      </w:r>
      <w:r w:rsidRPr="00395593">
        <w:rPr>
          <w:rFonts w:ascii="Garamond" w:hAnsi="Garamond" w:cs="Arial"/>
          <w:b/>
          <w:color w:val="162937"/>
        </w:rPr>
        <w:t>caput</w:t>
      </w:r>
      <w:r w:rsidRPr="00395593">
        <w:rPr>
          <w:rFonts w:ascii="Garamond" w:hAnsi="Garamond" w:cs="Arial"/>
          <w:color w:val="162937"/>
        </w:rPr>
        <w:t xml:space="preserve"> do art. 115; e</w:t>
      </w:r>
    </w:p>
    <w:p w14:paraId="3078E85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 - as demais partes nacionais ou estrangeiras que possam ser afetadas pela revisão anticircunvenção, a critério da Subsecretaria de Defesa Comercial e Interesse Público da Secretaria de Comércio Exterior da Secretaria Especial de Comércio Exterior e Assuntos Internacionais do Ministério da Economia.</w:t>
      </w:r>
    </w:p>
    <w:p w14:paraId="2975FED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121. A Subsecretaria de Defesa Comercial e Interesse Público da Secretaria de Comércio Exterior da Secretaria Especial de Comércio Exterior e Assuntos Internacionais do Ministério da Economia poderá enviar questionário às partes interessadas, o qual deverá ser restituído no prazo de vinte dias, contado da data de ciência da expedição do referido questionário.</w:t>
      </w:r>
    </w:p>
    <w:p w14:paraId="2EBF330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Parágrafo único. O prazo previsto no </w:t>
      </w:r>
      <w:r w:rsidRPr="00395593">
        <w:rPr>
          <w:rFonts w:ascii="Garamond" w:hAnsi="Garamond" w:cs="Arial"/>
          <w:b/>
          <w:color w:val="162937"/>
        </w:rPr>
        <w:t>caput</w:t>
      </w:r>
      <w:r w:rsidRPr="00395593">
        <w:rPr>
          <w:rFonts w:ascii="Garamond" w:hAnsi="Garamond" w:cs="Arial"/>
          <w:color w:val="162937"/>
        </w:rPr>
        <w:t xml:space="preserve"> poderá ser prorrogado, a pedido, por até dez dias.</w:t>
      </w:r>
    </w:p>
    <w:p w14:paraId="7815B66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122. A revisão será concluída no prazo de seis meses, contado da data de publicação do ato que deu início à investigação.</w:t>
      </w:r>
    </w:p>
    <w:p w14:paraId="7404BC2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Parágrafo único. Em circunstâncias excepcionais, o prazo de conclusão de revisão a que se refere o </w:t>
      </w:r>
      <w:r w:rsidRPr="00395593">
        <w:rPr>
          <w:rFonts w:ascii="Garamond" w:hAnsi="Garamond" w:cs="Arial"/>
          <w:b/>
          <w:color w:val="162937"/>
        </w:rPr>
        <w:t>caput</w:t>
      </w:r>
      <w:r w:rsidRPr="00395593">
        <w:rPr>
          <w:rFonts w:ascii="Garamond" w:hAnsi="Garamond" w:cs="Arial"/>
          <w:color w:val="162937"/>
        </w:rPr>
        <w:t xml:space="preserve"> poderá ser prorrogado por até três meses.</w:t>
      </w:r>
    </w:p>
    <w:p w14:paraId="74B4144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123. A extensão de medida compensatória será objeto de determinação individual para cada produtor, exportador ou importador conhecido do produto objeto da revisão anticircunvenção.</w:t>
      </w:r>
    </w:p>
    <w:p w14:paraId="3B7B442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No caso de o número elevado de produtores, exportadores ou importadores tornar impraticável a determinação a que se refere o </w:t>
      </w:r>
      <w:r w:rsidRPr="00395593">
        <w:rPr>
          <w:rFonts w:ascii="Garamond" w:hAnsi="Garamond" w:cs="Arial"/>
          <w:b/>
          <w:color w:val="162937"/>
        </w:rPr>
        <w:t>caput</w:t>
      </w:r>
      <w:r w:rsidRPr="00395593">
        <w:rPr>
          <w:rFonts w:ascii="Garamond" w:hAnsi="Garamond" w:cs="Arial"/>
          <w:color w:val="162937"/>
        </w:rPr>
        <w:t xml:space="preserve"> , a determinação individual poderá limitar-se:</w:t>
      </w:r>
    </w:p>
    <w:p w14:paraId="02F2945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 - na hipótese prevista no inciso I do </w:t>
      </w:r>
      <w:r w:rsidRPr="00395593">
        <w:rPr>
          <w:rFonts w:ascii="Garamond" w:hAnsi="Garamond" w:cs="Arial"/>
          <w:b/>
          <w:color w:val="162937"/>
        </w:rPr>
        <w:t>caput</w:t>
      </w:r>
      <w:r w:rsidRPr="00395593">
        <w:rPr>
          <w:rFonts w:ascii="Garamond" w:hAnsi="Garamond" w:cs="Arial"/>
          <w:color w:val="162937"/>
        </w:rPr>
        <w:t xml:space="preserve"> do art. 115, à seleção dos importadores responsáveis pelo maior percentual razoavelmente investigável do volume de importações de partes, peças ou componentes originários ou procedentes do país sujeito a medida compensatória cuja industrialização resulte em produto similar ao produto sujeito a medida compensatória; ou</w:t>
      </w:r>
    </w:p>
    <w:p w14:paraId="2F309C7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II - nas hipóteses previstas nos incisos II e III do </w:t>
      </w:r>
      <w:r w:rsidRPr="00395593">
        <w:rPr>
          <w:rFonts w:ascii="Garamond" w:hAnsi="Garamond" w:cs="Arial"/>
          <w:b/>
          <w:color w:val="162937"/>
        </w:rPr>
        <w:t>caput</w:t>
      </w:r>
      <w:r w:rsidRPr="00395593">
        <w:rPr>
          <w:rFonts w:ascii="Garamond" w:hAnsi="Garamond" w:cs="Arial"/>
          <w:color w:val="162937"/>
        </w:rPr>
        <w:t xml:space="preserve"> do art. 115, à seleção dos produtores ou dos exportadores responsáveis pelo maior percentual razoavelmente investigável do volume de exportações do país exportador.</w:t>
      </w:r>
    </w:p>
    <w:p w14:paraId="76EFBEE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A seleção de que trata o § 1º incluirá os produtores, os exportadores ou os importadores que, elencados em ordem decrescente de volume, tenham sido responsáveis pelos maiores volumes de exportação, no caso de produtores ou exportadores, ou importação, no caso de importadores, para a República Federativa do Brasil.</w:t>
      </w:r>
    </w:p>
    <w:p w14:paraId="667A7DF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124. Os direitos compensatórios serão estendidos aos produtores, aos exportadores ou aos importadores incluídos na seleção de que trata o art. 123 que tenham apresentado os dados solicitados e para os quais a Subsecretaria de Defesa Comercial e Interesse Público da Secretaria de Comércio Exterior da Secretaria Especial de Comércio Exterior e Assuntos Internacionais do Ministério da Economia tenha alcançado determinação final positiva quanto à prática de circunvenção.</w:t>
      </w:r>
    </w:p>
    <w:p w14:paraId="043EC6B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O valor do direito compensatório estendido a que se refere o </w:t>
      </w:r>
      <w:r w:rsidRPr="00395593">
        <w:rPr>
          <w:rFonts w:ascii="Garamond" w:hAnsi="Garamond" w:cs="Arial"/>
          <w:b/>
          <w:color w:val="162937"/>
        </w:rPr>
        <w:t>caput</w:t>
      </w:r>
      <w:r w:rsidRPr="00395593">
        <w:rPr>
          <w:rFonts w:ascii="Garamond" w:hAnsi="Garamond" w:cs="Arial"/>
          <w:color w:val="162937"/>
        </w:rPr>
        <w:t xml:space="preserve"> consistirá:</w:t>
      </w:r>
    </w:p>
    <w:p w14:paraId="775B3D5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 - na hipótese prevista nos incisos I e II do </w:t>
      </w:r>
      <w:r w:rsidRPr="00395593">
        <w:rPr>
          <w:rFonts w:ascii="Garamond" w:hAnsi="Garamond" w:cs="Arial"/>
          <w:b/>
          <w:color w:val="162937"/>
        </w:rPr>
        <w:t>caput</w:t>
      </w:r>
      <w:r w:rsidRPr="00395593">
        <w:rPr>
          <w:rFonts w:ascii="Garamond" w:hAnsi="Garamond" w:cs="Arial"/>
          <w:color w:val="162937"/>
        </w:rPr>
        <w:t xml:space="preserve"> do art. 115, na média ponderada dos montantes de subsídios calculados para os produtores ou exportadores para os quais tenha sido apurado montante individual de subsídios, desconsiderados aqueles nulos,de minimis ou apurados integralmente com base na melhor informação disponível; ou</w:t>
      </w:r>
    </w:p>
    <w:p w14:paraId="024D160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II - na hipótese prevista no inciso III do </w:t>
      </w:r>
      <w:r w:rsidRPr="00395593">
        <w:rPr>
          <w:rFonts w:ascii="Garamond" w:hAnsi="Garamond" w:cs="Arial"/>
          <w:b/>
          <w:color w:val="162937"/>
        </w:rPr>
        <w:t>caput</w:t>
      </w:r>
      <w:r w:rsidRPr="00395593">
        <w:rPr>
          <w:rFonts w:ascii="Garamond" w:hAnsi="Garamond" w:cs="Arial"/>
          <w:color w:val="162937"/>
        </w:rPr>
        <w:t xml:space="preserve"> do art. 115, no direito compensatório aplicado ao produtor ou ao exportador identificado na investigação que culminou com a aplicação ou a prorrogação da medida compensatória.</w:t>
      </w:r>
    </w:p>
    <w:p w14:paraId="6253329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2º Na hipótese prevista no inciso I do </w:t>
      </w:r>
      <w:r w:rsidRPr="00395593">
        <w:rPr>
          <w:rFonts w:ascii="Garamond" w:hAnsi="Garamond" w:cs="Arial"/>
          <w:b/>
          <w:color w:val="162937"/>
        </w:rPr>
        <w:t>caput</w:t>
      </w:r>
      <w:r w:rsidRPr="00395593">
        <w:rPr>
          <w:rFonts w:ascii="Garamond" w:hAnsi="Garamond" w:cs="Arial"/>
          <w:color w:val="162937"/>
        </w:rPr>
        <w:t xml:space="preserve"> do art. 115, o direito compensatório sobre as partes, as peças ou os componentes será estendido na forma de alíquota </w:t>
      </w:r>
      <w:r w:rsidRPr="00395593">
        <w:rPr>
          <w:rFonts w:ascii="Garamond" w:hAnsi="Garamond" w:cs="Arial"/>
          <w:b/>
          <w:color w:val="162937"/>
        </w:rPr>
        <w:t>ad valorem</w:t>
      </w:r>
      <w:r w:rsidRPr="00395593">
        <w:rPr>
          <w:rFonts w:ascii="Garamond" w:hAnsi="Garamond" w:cs="Arial"/>
          <w:color w:val="162937"/>
        </w:rPr>
        <w:t xml:space="preserve"> .</w:t>
      </w:r>
    </w:p>
    <w:p w14:paraId="2CC94E4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Os produtores, os exportadores ou os importadores para os quais tenha sido estabelecida determinação final negativa serão individualmente identificados no ato que tornar público o encerramento da revisão e a eles não se estenderá a aplicação dos direitos compensatórios em vigor.</w:t>
      </w:r>
    </w:p>
    <w:p w14:paraId="41CC24A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Na hipótese de determinação final positiva para produtor ou exportador para o qual haja compromisso em vigor, o compromisso será considerado violado.</w:t>
      </w:r>
    </w:p>
    <w:p w14:paraId="4FA7CD8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Art. 125. Para os importadores conhecidos que não tenham sido incluídos na seleção a que se refere o art. 123 e que tenham importado para a República Federativa do Brasil partes, peças ou componentes a que se refere o inciso I do </w:t>
      </w:r>
      <w:r w:rsidRPr="00395593">
        <w:rPr>
          <w:rFonts w:ascii="Garamond" w:hAnsi="Garamond" w:cs="Arial"/>
          <w:b/>
          <w:color w:val="162937"/>
        </w:rPr>
        <w:t>caput</w:t>
      </w:r>
      <w:r w:rsidRPr="00395593">
        <w:rPr>
          <w:rFonts w:ascii="Garamond" w:hAnsi="Garamond" w:cs="Arial"/>
          <w:color w:val="162937"/>
        </w:rPr>
        <w:t xml:space="preserve"> do art. 115 durante o período de revisão, a revisão anticircunvenção será suspensa e a aplicação de direitos compensatórios não será estendida.</w:t>
      </w:r>
    </w:p>
    <w:p w14:paraId="73837A5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Art. 126. Para os produtores ou exportadores que não tenham sido incluídos na seleção a que se refere o art. 123 e que tenham exportado para a República Federativa do Brasil os produtos a que se referem os incisos II e III do </w:t>
      </w:r>
      <w:r w:rsidRPr="00395593">
        <w:rPr>
          <w:rFonts w:ascii="Garamond" w:hAnsi="Garamond" w:cs="Arial"/>
          <w:b/>
          <w:color w:val="162937"/>
        </w:rPr>
        <w:t>caput</w:t>
      </w:r>
      <w:r w:rsidRPr="00395593">
        <w:rPr>
          <w:rFonts w:ascii="Garamond" w:hAnsi="Garamond" w:cs="Arial"/>
          <w:color w:val="162937"/>
        </w:rPr>
        <w:t xml:space="preserve"> do art. 115 durante o período de revisão, a revisão será suspensa e a aplicação de direitos compensatórios não será estendida.</w:t>
      </w:r>
    </w:p>
    <w:p w14:paraId="15FA644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127. Caso existam indícios de que os produtores, os exportadores ou os importadores a que se referem os art. 125 e art. 126 possam estar engajados em circunvenção, com base em pedidos devidamente fundamentados ou de ofício, a Subsecretaria de Defesa Comercial e Interesse Público da Secretaria de Comércio Exterior da Secretaria Especial de Comércio Exterior e Assuntos Internacionais do Ministério da Economia poderá retomar a revisão.</w:t>
      </w:r>
    </w:p>
    <w:p w14:paraId="41E6DD6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A Secretaria de Comércio Exterior da Secretaria Especial de Comércio Exterior e Assuntos Internacionais do Ministério da Economia publicará no Diário Oficial da União ato para determinar a retomada da revisão.</w:t>
      </w:r>
    </w:p>
    <w:p w14:paraId="50C9775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Na hipótese prevista no § 4º do art. 124, a Câmara de Comércio Exterior publicará no Diário Oficial da União ato para tornar pública a retomada da investigação.</w:t>
      </w:r>
    </w:p>
    <w:p w14:paraId="5BF3144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128. Para os produtores, os exportadores ou os importadores desconhecidos ou aqueles que, embora incluídos na seleção, não tenham fornecido os dados solicitados, será estendido o direito compensatório com base na melhor informação disponível, nos termos do disposto no § 3º do art. 46.</w:t>
      </w:r>
    </w:p>
    <w:p w14:paraId="175E987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Os importadores que não tenham importado partes, peças ou componentes a que se refere o inciso I do </w:t>
      </w:r>
      <w:r w:rsidRPr="00395593">
        <w:rPr>
          <w:rFonts w:ascii="Garamond" w:hAnsi="Garamond" w:cs="Arial"/>
          <w:b/>
          <w:color w:val="162937"/>
        </w:rPr>
        <w:t>caput</w:t>
      </w:r>
      <w:r w:rsidRPr="00395593">
        <w:rPr>
          <w:rFonts w:ascii="Garamond" w:hAnsi="Garamond" w:cs="Arial"/>
          <w:color w:val="162937"/>
        </w:rPr>
        <w:t xml:space="preserve"> do art. 115 para a República Federativa do Brasil, durante o período de revisão anticircunvenção, poderão solicitar a exclusão da medida compensatória estendida com fundamento no disposto nesta Subseção.</w:t>
      </w:r>
    </w:p>
    <w:p w14:paraId="230B62C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2º Os produtores ou os exportadores que não tenham exportado os produtos a que se referem os incisos II e III do </w:t>
      </w:r>
      <w:r w:rsidRPr="00395593">
        <w:rPr>
          <w:rFonts w:ascii="Garamond" w:hAnsi="Garamond" w:cs="Arial"/>
          <w:b/>
          <w:color w:val="162937"/>
        </w:rPr>
        <w:t>caput</w:t>
      </w:r>
      <w:r w:rsidRPr="00395593">
        <w:rPr>
          <w:rFonts w:ascii="Garamond" w:hAnsi="Garamond" w:cs="Arial"/>
          <w:color w:val="162937"/>
        </w:rPr>
        <w:t xml:space="preserve"> do art. 115, para a República Federativa do Brasil, durante o período da revisão anticircunvenção, poderão solicitar a revisão acelerada, com fundamento no disposto na Subseção I desta Seção.</w:t>
      </w:r>
    </w:p>
    <w:p w14:paraId="06D8139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129. A medida compensatória não estendida aos importadores ficará condicionada à manutenção dos fornecedores identificados no período de revisão.</w:t>
      </w:r>
    </w:p>
    <w:p w14:paraId="2A74C91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130. O importador a que se refere o § 1º do art. 128 deverá apresentar elementos de fato e de direito suficientes para comprovar que:</w:t>
      </w:r>
    </w:p>
    <w:p w14:paraId="5D5388D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não possui relação ou associação, nos termos do disposto no art. 8º, com as partes interessadas na revisão anticircunvenção que resultou na extensão da medida compensatória;</w:t>
      </w:r>
    </w:p>
    <w:p w14:paraId="68B67CB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II - não importou para a República Federativa do Brasil partes, peças ou componentes a que se refere o inciso I do </w:t>
      </w:r>
      <w:r w:rsidRPr="00395593">
        <w:rPr>
          <w:rFonts w:ascii="Garamond" w:hAnsi="Garamond" w:cs="Arial"/>
          <w:b/>
          <w:color w:val="162937"/>
        </w:rPr>
        <w:t>caput</w:t>
      </w:r>
      <w:r w:rsidRPr="00395593">
        <w:rPr>
          <w:rFonts w:ascii="Garamond" w:hAnsi="Garamond" w:cs="Arial"/>
          <w:color w:val="162937"/>
        </w:rPr>
        <w:t xml:space="preserve"> do art. 115 durante o período de revisão anticircunvenção; e</w:t>
      </w:r>
    </w:p>
    <w:p w14:paraId="3BDC8BE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III - as operações de industrialização a que se refere o inciso I do </w:t>
      </w:r>
      <w:r w:rsidRPr="00395593">
        <w:rPr>
          <w:rFonts w:ascii="Garamond" w:hAnsi="Garamond" w:cs="Arial"/>
          <w:b/>
          <w:color w:val="162937"/>
        </w:rPr>
        <w:t>caput</w:t>
      </w:r>
      <w:r w:rsidRPr="00395593">
        <w:rPr>
          <w:rFonts w:ascii="Garamond" w:hAnsi="Garamond" w:cs="Arial"/>
          <w:color w:val="162937"/>
        </w:rPr>
        <w:t xml:space="preserve"> do art. 115 agreguem, no mínimo, trinta e cinco por cento de valor, calculado com base no custo total de manufatura do produto, nos termos do disposto nos § 3º e § 4º do art. 117.</w:t>
      </w:r>
    </w:p>
    <w:p w14:paraId="16EFA83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131. Os direitos compensatórios estendidos com fundamento em revisões anticircunvenção ficarão sujeitos às revisões de final de período do direito compensatório que ensejou a revisão anticircunvenção.</w:t>
      </w:r>
    </w:p>
    <w:p w14:paraId="0315C9B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132. O disposto nas Seções V e VI do Capítulo VI não se aplica às revisões anticircunvenção.</w:t>
      </w:r>
    </w:p>
    <w:p w14:paraId="75E707C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133. Quando for extinto o direito compensatório que ensejou a revisão anticircunvenção ou a eventual extensão da aplicação do referido direito:</w:t>
      </w:r>
    </w:p>
    <w:p w14:paraId="3B2248E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os direitos compensatórios estendidos com fundamento em revisões anticircunvenção serão extintos; e</w:t>
      </w:r>
    </w:p>
    <w:p w14:paraId="2D533D7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as revisões anticircunvenção suspensas serão encerradas.</w:t>
      </w:r>
    </w:p>
    <w:p w14:paraId="6D6950D2"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Subseção III</w:t>
      </w:r>
    </w:p>
    <w:p w14:paraId="7C4E85A4"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revisão de restituição</w:t>
      </w:r>
    </w:p>
    <w:p w14:paraId="6B69E06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134. O importador do produto objeto do direito compensatório poderá solicitar a restituição de direitos compensatórios definitivos recolhidos, se demonstrado que o montante de subsídios apurado para o período de revisão de restituição é inferior ao direito vigente.</w:t>
      </w:r>
    </w:p>
    <w:p w14:paraId="57D3E5E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135. A revisão de restituição deverá ser solicitada pelo importador interessado, por meio de petição escrita e fundamentada com base em elementos de prova de que o montante de direitos compensatórios recolhidos foi superior ao que seria devido caso o direito tivesse sido calculado com base no montante de subsídios apurado para o período de revisão.</w:t>
      </w:r>
    </w:p>
    <w:p w14:paraId="7727B83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Alegações não fundamentadas não serão consideradas suficientes para cumprir as exigências estabelecidas nesta Subseção.</w:t>
      </w:r>
    </w:p>
    <w:p w14:paraId="49D2118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Para fins do disposto nesta Subseção, consideram-se partes interessadas em revisão de restituição:</w:t>
      </w:r>
    </w:p>
    <w:p w14:paraId="1AF67CA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o peticionário da revisão de restituição;</w:t>
      </w:r>
    </w:p>
    <w:p w14:paraId="7D19A12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o governo do país exportador; e</w:t>
      </w:r>
    </w:p>
    <w:p w14:paraId="5B48711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os produtores ou os exportadores para os quais exista direito compensatório individual aplicado.</w:t>
      </w:r>
    </w:p>
    <w:p w14:paraId="05277F6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136. O período de revisão será preferencialmente de doze meses.</w:t>
      </w:r>
    </w:p>
    <w:p w14:paraId="574FA2E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O período de revisão a que se refere o </w:t>
      </w:r>
      <w:r w:rsidRPr="00395593">
        <w:rPr>
          <w:rFonts w:ascii="Garamond" w:hAnsi="Garamond" w:cs="Arial"/>
          <w:b/>
          <w:color w:val="162937"/>
        </w:rPr>
        <w:t>caput</w:t>
      </w:r>
      <w:r w:rsidRPr="00395593">
        <w:rPr>
          <w:rFonts w:ascii="Garamond" w:hAnsi="Garamond" w:cs="Arial"/>
          <w:color w:val="162937"/>
        </w:rPr>
        <w:t xml:space="preserve"> não será inferior a seis meses.</w:t>
      </w:r>
    </w:p>
    <w:p w14:paraId="2528735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O final do período corresponderá necessariamente à data da última importação no intervalo em que a restituição é pleiteada e para a qual tenham sido recolhidos direitos compensatórios.</w:t>
      </w:r>
    </w:p>
    <w:p w14:paraId="1BDED0F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137. A petição a que se refere o art. 135 deverá ser protocolada no prazo de quatro meses, contado da data final do período de revisão.</w:t>
      </w:r>
    </w:p>
    <w:p w14:paraId="4E044CB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A petição somente será considerada devidamente instruída se contiver informação precisa a respeito do montante a ser reembolsado e estiver acompanhada de toda a documentação aduaneira, original ou em cópia autenticada, relativa ao recolhimento dos direitos compensatórios devidos.</w:t>
      </w:r>
    </w:p>
    <w:p w14:paraId="15FF8A9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A petição conterá elementos de prova relativos à concessão de subsídio e ao preço de exportação para a República Federativa do Brasil do produtor ou do exportador para o qual o montante individual de subsídios tenha sido apurado.</w:t>
      </w:r>
    </w:p>
    <w:p w14:paraId="07742CE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Caso o importador seja relacionado ou associado ao produtor ou ao exportador, deverá apresentar os preços de revenda do produto importado no mercado brasileiro.</w:t>
      </w:r>
    </w:p>
    <w:p w14:paraId="0EEB6B4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138. O montante de subsídios calculado para o período de revisão servirá exclusivamente para calcular a restituição de direitos compensatórios recolhidos em montante superior ao montante de subsídios apurado para o período de revisão.</w:t>
      </w:r>
    </w:p>
    <w:p w14:paraId="787FD9C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A revisão de restituição será concluída no prazo de dez meses, contado da data de seu início.</w:t>
      </w:r>
    </w:p>
    <w:p w14:paraId="5BD1EC8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139. Na hipótese de determinação final positiva, a Subsecretaria de Defesa Comercial e Interesse Público da Secretaria de Comércio Exterior da Secretaria Especial de Comércio Exterior e Assuntos Internacionais do Ministério da Economia notificará a Secretaria Especial da Receita Federal do Brasil do Ministério da Economia a respeito do montante de subsídios apurado para o período da revisão de restituição.</w:t>
      </w:r>
    </w:p>
    <w:p w14:paraId="1F6CA77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A Secretaria Especial da Receita Federal do Brasil do Ministério da Economia procederá à restituição devida.</w:t>
      </w:r>
    </w:p>
    <w:p w14:paraId="2661CD6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A restituição a que se refere o § 1º será efetuada, de maneira geral, no prazo de noventa dias, contado da data de publicação do ato de conclusão da revisão.</w:t>
      </w:r>
    </w:p>
    <w:p w14:paraId="11110F2E"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CAPÍTULO X</w:t>
      </w:r>
    </w:p>
    <w:p w14:paraId="568024BC"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AVALIAÇÃO DE ESCOPO E DA REDETERMINAÇÃO</w:t>
      </w:r>
    </w:p>
    <w:p w14:paraId="0D0E3603"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I</w:t>
      </w:r>
    </w:p>
    <w:p w14:paraId="753AD246"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avaliação de escopo</w:t>
      </w:r>
    </w:p>
    <w:p w14:paraId="6CA1C8A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140. As partes interessadas relacionadas no § 2º do art. 40, além de outros importadores, poderão solicitar à Subsecretaria de Defesa Comercial e Interesse Público da Secretaria de Comércio Exterior da Secretaria Especial de Comércio Exterior e Assuntos Internacionais do Ministério da Economia que proceda à avaliação de escopo, a fim de determinar se o produto está sujeito a medida compensatória em vigor.</w:t>
      </w:r>
    </w:p>
    <w:p w14:paraId="159CA1C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Na hipótese de a Subsecretaria de Defesa Comercial e Interesse Público da Secretaria de Comércio Exterior da Secretaria Especial de Comércio Exterior e Assuntos Internacionais do Ministério da Economia entender ser necessária a avaliação de escopo para determinar se o produto está sujeito a medida compensatória em vigor, poderá iniciar, de ofício, a avaliação de escopo.</w:t>
      </w:r>
    </w:p>
    <w:p w14:paraId="34F78F7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141. A avaliação de escopo a que se refere o art. 140 deverá ser solicitada por meio de petição escrita e fundamentada, que conterá:</w:t>
      </w:r>
    </w:p>
    <w:p w14:paraId="18485E5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a descrição detalhada do produto objeto da avaliação, acompanhada dos elementos de prova pertinentes, com suas características técnicas, seus usos e sua classificação tarifária na Nomenclatura Comum do Mercosul; e</w:t>
      </w:r>
    </w:p>
    <w:p w14:paraId="2B58F93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as razões que ensejaram o peticionário a entender que o produto está ou não sujeito a medida compensatória em vigor, acompanhadas de elementos de prova.</w:t>
      </w:r>
    </w:p>
    <w:p w14:paraId="0F5D8E3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142. Caso a petição esteja devidamente instruída, a Secretaria de Comércio Exterior da Secretaria Especial de Comércio Exterior e Assuntos Internacionais do Ministério da Economia publicará no Diário Oficial da União ato para informar sobre o início da avaliação de escopo.</w:t>
      </w:r>
    </w:p>
    <w:p w14:paraId="1326C38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Parágrafo único. O ato a que se refere o </w:t>
      </w:r>
      <w:r w:rsidRPr="00395593">
        <w:rPr>
          <w:rFonts w:ascii="Garamond" w:hAnsi="Garamond" w:cs="Arial"/>
          <w:b/>
          <w:color w:val="162937"/>
        </w:rPr>
        <w:t>caput</w:t>
      </w:r>
      <w:r w:rsidRPr="00395593">
        <w:rPr>
          <w:rFonts w:ascii="Garamond" w:hAnsi="Garamond" w:cs="Arial"/>
          <w:color w:val="162937"/>
        </w:rPr>
        <w:t xml:space="preserve"> conterá:</w:t>
      </w:r>
    </w:p>
    <w:p w14:paraId="512703A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a descrição detalhada do produto objeto da avaliação e do produto objeto de medida compensatória; e</w:t>
      </w:r>
    </w:p>
    <w:p w14:paraId="60C4FF8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as razões pelas quais a Subsecretaria de Defesa Comercial e Interesse Público da Secretaria de Comércio Exterior da Secretaria Especial de Comércio Exterior e Assuntos Internacionais do Ministério da Economia entenda ser necessária a avaliação.</w:t>
      </w:r>
    </w:p>
    <w:p w14:paraId="008CC02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143. Será concedido prazo de vinte dias, contado da data de publicação do ato a que se refere o art. 142, para que as partes interessadas possam habilitar-se e manifestar-se por escrito ou submeter os elementos de prova e solicitar a realização de audiência a fim de esclarecer aspectos relativos ao escopo da medida compensatória.</w:t>
      </w:r>
    </w:p>
    <w:p w14:paraId="32B482A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O disposto nos § 4º, § 7º e § 8º do art. 51 aplica-se à realização de audiência a que se refere o </w:t>
      </w:r>
      <w:r w:rsidRPr="00395593">
        <w:rPr>
          <w:rFonts w:ascii="Garamond" w:hAnsi="Garamond" w:cs="Arial"/>
          <w:b/>
          <w:color w:val="162937"/>
        </w:rPr>
        <w:t>caput</w:t>
      </w:r>
      <w:r w:rsidRPr="00395593">
        <w:rPr>
          <w:rFonts w:ascii="Garamond" w:hAnsi="Garamond" w:cs="Arial"/>
          <w:color w:val="162937"/>
        </w:rPr>
        <w:t xml:space="preserve"> .</w:t>
      </w:r>
    </w:p>
    <w:p w14:paraId="5204ABB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As informações apresentadas oralmente durante a audiência somente serão consideradas pela Subsecretaria de Defesa Comercial e Interesse Público da Secretaria de Comércio Exterior da Secretaria Especial de Comércio Exterior e Assuntos Internacionais do Ministério da Economia se reproduzidas por escrito e protocoladas no prazo de cinco dias, contado da data de realização da audiência, a fim de que sejam anexadas aos autos do processo.</w:t>
      </w:r>
    </w:p>
    <w:p w14:paraId="183B69A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Art. 144. Na hipótese de conclusão apenas com base nas informações constantes da petição e das manifestações apresentadas no prazo estabelecido no </w:t>
      </w:r>
      <w:r w:rsidRPr="00395593">
        <w:rPr>
          <w:rFonts w:ascii="Garamond" w:hAnsi="Garamond" w:cs="Arial"/>
          <w:b/>
          <w:color w:val="162937"/>
        </w:rPr>
        <w:t>caput</w:t>
      </w:r>
      <w:r w:rsidRPr="00395593">
        <w:rPr>
          <w:rFonts w:ascii="Garamond" w:hAnsi="Garamond" w:cs="Arial"/>
          <w:color w:val="162937"/>
        </w:rPr>
        <w:t xml:space="preserve"> do art. 143, a Subsecretaria de Defesa Comercial e Interesse Público da Secretaria de Comércio Exterior da Secretaria Especial de Comércio Exterior e Assuntos Internacionais do Ministério da Economia elaborará determinação final, no prazo de sessenta dias, contado da data de publicação do ato a que se refere o art. 142.</w:t>
      </w:r>
    </w:p>
    <w:p w14:paraId="3A51CED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145. Na hipótese de não ser possível a conclusão apenas com base nas informações constantes da petição e das manifestações apresentadas no prazo estabelecido no art. 143, a Subsecretaria de Defesa Comercial e Interesse Público da Secretaria de Comércio Exterior da Secretaria Especial de Comércio Exterior e Assuntos Internacionais do Ministério da Economia elaborará a determinação final no prazo de cento e vinte dias, contado da data de publicação do ato a que se refere o art. 142.</w:t>
      </w:r>
    </w:p>
    <w:p w14:paraId="6F78E26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As manifestações das partes interessadas deverão ser apresentadas no prazo de noventa dias, contado da data de início da avaliação de escopo.</w:t>
      </w:r>
    </w:p>
    <w:p w14:paraId="0B924A2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146. A análise da Subsecretaria de Defesa Comercial e Interesse Público da Secretaria de Comércio Exterior da Secretaria Especial de Comércio Exterior e Assuntos Internacionais do Ministério da Economia será baseada nos elementos utilizados para definir o produto objeto da medida compensatória.</w:t>
      </w:r>
    </w:p>
    <w:p w14:paraId="0633B7F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147. A Secretaria de Comércio Exterior da Secretaria Especial de Comércio Exterior e Assuntos Internacionais do Ministério da Economia remeterá a conclusão à Câmara de Comércio Exterior, para aprovação e publicação de ato para informar o resultado da avaliação de escopo.</w:t>
      </w:r>
    </w:p>
    <w:p w14:paraId="0925A45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148. Os resultados e as conclusões das avaliações de escopo poderão ser utilizados pela Subsecretaria de Defesa Comercial e Interesse Público da Secretaria de Comércio Exterior da Secretaria Especial de Comércio Exterior e Assuntos Internacionais do Ministério da Economia para instruir investigações ou revisões com fundamento no disposto neste Decreto.</w:t>
      </w:r>
    </w:p>
    <w:p w14:paraId="041DC7F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A avaliação de escopo de que trata esta Seção possui caráter interpretativo e não altera o escopo de medidas compensatórias vigentes.</w:t>
      </w:r>
    </w:p>
    <w:p w14:paraId="058D10F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149. O disposto nesta Seção aplica-se às medidas antidumping e compensatórias aplicadas sobre o mesmo produto objeto de avaliação de escopo.</w:t>
      </w:r>
    </w:p>
    <w:p w14:paraId="0FD0C374"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Seção II</w:t>
      </w:r>
    </w:p>
    <w:p w14:paraId="56E6E5F2"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color w:val="162937"/>
        </w:rPr>
      </w:pPr>
      <w:r w:rsidRPr="00395593">
        <w:rPr>
          <w:rFonts w:ascii="Garamond" w:hAnsi="Garamond" w:cs="Arial"/>
          <w:b/>
          <w:color w:val="162937"/>
        </w:rPr>
        <w:t>Da redeterminação</w:t>
      </w:r>
    </w:p>
    <w:p w14:paraId="7310669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150. Os produtores domésticos do produto similar ou a entidade de classe que os represente poderão solicitar à Subsecretaria de Defesa Comercial e Interesse Público da Secretaria de Comércio Exterior da Secretaria Especial de Comércio Exterior e Assuntos Internacionais do Ministério da Economia que proceda à redeterminação.</w:t>
      </w:r>
    </w:p>
    <w:p w14:paraId="573C2AA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A redeterminação será realizada para determinar se a medida compensatória aplicada teve sua eficácia comprometida:</w:t>
      </w:r>
    </w:p>
    <w:p w14:paraId="3A3D68A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em razão da forma de aplicação da medida; ou</w:t>
      </w:r>
    </w:p>
    <w:p w14:paraId="60E42DD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em razão da redução, da não alteração ou do aumento em valor inferior do preço de exportação em relação ao esperado com a aplicação, a alteração, a prorrogação ou a extensão de medida compensatória.</w:t>
      </w:r>
    </w:p>
    <w:p w14:paraId="2CBFC89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A redeterminação deverá ser solicitada por meio de petição escrita e fundamentada.</w:t>
      </w:r>
    </w:p>
    <w:p w14:paraId="547FB5E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Em circunstâncias excepcionais, a Subsecretaria de Defesa Comercial e Interesse Público da Secretaria de Comércio Exterior da Secretaria Especial de Comércio Exterior e Assuntos Internacionais do Ministério da Economia poderá iniciar, de ofício, a redeterminação.</w:t>
      </w:r>
    </w:p>
    <w:p w14:paraId="42733A3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Art. 151. Na hipótese prevista no inciso I do </w:t>
      </w:r>
      <w:r w:rsidRPr="00395593">
        <w:rPr>
          <w:rFonts w:ascii="Garamond" w:hAnsi="Garamond" w:cs="Arial"/>
          <w:b/>
          <w:color w:val="162937"/>
        </w:rPr>
        <w:t>caput</w:t>
      </w:r>
      <w:r w:rsidRPr="00395593">
        <w:rPr>
          <w:rFonts w:ascii="Garamond" w:hAnsi="Garamond" w:cs="Arial"/>
          <w:color w:val="162937"/>
        </w:rPr>
        <w:t xml:space="preserve"> do art. 150, a petição conterá explicação detalhada, acompanhada dos indícios e das razões que ensejaram o peticionário a entender que a redeterminação é necessária.</w:t>
      </w:r>
    </w:p>
    <w:p w14:paraId="598CFFC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A medida compensatória poderá ter a sua forma de aplicação alterada como resultado de redeterminação apenas uma vez a cada cinco anos.</w:t>
      </w:r>
    </w:p>
    <w:p w14:paraId="113D978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O disposto no § 1º aplica-se às medidas que tenham sido prorrogadas por meio de revisão com fundamento no disposto no Capítulo IX.</w:t>
      </w:r>
    </w:p>
    <w:p w14:paraId="02EA601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A alteração da forma de aplicação não ultrapassará o montante de subsídios apurado na investigação original ou na sua revisão mais recente.</w:t>
      </w:r>
    </w:p>
    <w:p w14:paraId="74755AF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Art. 152. Na hipótese prevista no inciso II do </w:t>
      </w:r>
      <w:r w:rsidRPr="00395593">
        <w:rPr>
          <w:rFonts w:ascii="Garamond" w:hAnsi="Garamond" w:cs="Arial"/>
          <w:b/>
          <w:color w:val="162937"/>
        </w:rPr>
        <w:t>caput</w:t>
      </w:r>
      <w:r w:rsidRPr="00395593">
        <w:rPr>
          <w:rFonts w:ascii="Garamond" w:hAnsi="Garamond" w:cs="Arial"/>
          <w:color w:val="162937"/>
        </w:rPr>
        <w:t xml:space="preserve"> do art. 150, a petição conterá explicação detalhada, acompanhada dos indícios pertinentes e das razões que ensejaram o peticionário a entender que a redeterminação é necessária.</w:t>
      </w:r>
    </w:p>
    <w:p w14:paraId="552EFB2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Somente serão aceitas petições com fundamento no disposto neste artigo caso a medida compensatória tenha sido aplicada em montante inferior ao montante de subsídios.</w:t>
      </w:r>
    </w:p>
    <w:p w14:paraId="06655CF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No curso da redeterminação, os exportadores, os produtores estrangeiros, os importadores, os governos dos países exportadores e os produtores domésticos disporão de ampla oportunidade para esclarecer aspectos relativos aos preços de exportação.</w:t>
      </w:r>
    </w:p>
    <w:p w14:paraId="79ACFF4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153. A redeterminação só poderá ser iniciada após decorrido o prazo de nove meses, contado da data de aplicação, de alteração, de prorrogação ou de extensão da medida compensatória.</w:t>
      </w:r>
    </w:p>
    <w:p w14:paraId="7CC9DE1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A Secretaria de Comércio Exterior da Secretaria Especial de Comércio Exterior e Assuntos Internacionais do Ministério da Economia publicará no Diário Oficial da União ato de início da redeterminação.</w:t>
      </w:r>
    </w:p>
    <w:p w14:paraId="675A2B7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A redeterminação será concluída no prazo de três meses, contado da data de seu início.</w:t>
      </w:r>
    </w:p>
    <w:p w14:paraId="0941571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Art. 154. Na hipótese prevista no inciso II do </w:t>
      </w:r>
      <w:r w:rsidRPr="00395593">
        <w:rPr>
          <w:rFonts w:ascii="Garamond" w:hAnsi="Garamond" w:cs="Arial"/>
          <w:b/>
          <w:color w:val="162937"/>
        </w:rPr>
        <w:t>caput</w:t>
      </w:r>
      <w:r w:rsidRPr="00395593">
        <w:rPr>
          <w:rFonts w:ascii="Garamond" w:hAnsi="Garamond" w:cs="Arial"/>
          <w:color w:val="162937"/>
        </w:rPr>
        <w:t xml:space="preserve"> do art. 150, caso a Subsecretaria de Defesa Comercial e Interesse Público da Secretaria de Comércio Exterior da Secretaria Especial de Comércio Exterior e Assuntos Internacionais do Ministério da Economia conclua que a aplicação do direito compensatório deveria ter resultado em alterações não ocorridas dos referidos preços, recomendará à Câmara de Comércio Exterior a alteração da medida compensatória em vigor.</w:t>
      </w:r>
    </w:p>
    <w:p w14:paraId="2AB7847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Art. 155. As determinações positivas quanto à absorção de direitos referida no inciso II do </w:t>
      </w:r>
      <w:r w:rsidRPr="00395593">
        <w:rPr>
          <w:rFonts w:ascii="Garamond" w:hAnsi="Garamond" w:cs="Arial"/>
          <w:b/>
          <w:color w:val="162937"/>
        </w:rPr>
        <w:t>caput</w:t>
      </w:r>
      <w:r w:rsidRPr="00395593">
        <w:rPr>
          <w:rFonts w:ascii="Garamond" w:hAnsi="Garamond" w:cs="Arial"/>
          <w:color w:val="162937"/>
        </w:rPr>
        <w:t xml:space="preserve"> do art. 150 constituem indícios significativos de que a extinção do direito resultará na continuação ou na retomada da concessão de subsídios.</w:t>
      </w:r>
    </w:p>
    <w:p w14:paraId="5D61CB61"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CAPÍTULO XI</w:t>
      </w:r>
    </w:p>
    <w:p w14:paraId="0BC435A3"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PUBLICIDADE</w:t>
      </w:r>
    </w:p>
    <w:p w14:paraId="014A693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156. Os atos decorrentes das decisões das autoridades referidas nos art. 3º e art. 5º serão publicados no Diário Oficial da União e conterão informações detalhadas acerca de suas conclusões sobre as matérias de fato e de direito.</w:t>
      </w:r>
    </w:p>
    <w:p w14:paraId="1EB2080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157. Os atos a que se refere o art. 156 relativos ao início de investigação conterão:</w:t>
      </w:r>
    </w:p>
    <w:p w14:paraId="2EEB4AE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o nome do país ou dos países exportadores e o produto objeto da investigação;</w:t>
      </w:r>
    </w:p>
    <w:p w14:paraId="13A5CBD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a data de início da investigação;</w:t>
      </w:r>
    </w:p>
    <w:p w14:paraId="5A89A44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a base da alegação da prática ou das práticas de concessão de subsídio formulada na petição;</w:t>
      </w:r>
    </w:p>
    <w:p w14:paraId="6D6F02B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IV - o resumo dos fatos sobre os quais se baseia a alegação de dano;</w:t>
      </w:r>
    </w:p>
    <w:p w14:paraId="56C8891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 - o endereço para onde devem ser encaminhadas as manifestações das partes interessadas; e</w:t>
      </w:r>
    </w:p>
    <w:p w14:paraId="663F0F7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 - os prazos e os procedimentos para as manifestações das partes interessadas.</w:t>
      </w:r>
    </w:p>
    <w:p w14:paraId="1C4039B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158. Os atos a que se refere o art. 156 relativos à imposição de medidas compensatórias provisórias conterão:</w:t>
      </w:r>
    </w:p>
    <w:p w14:paraId="66F30F4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as explicações detalhadas sobre as determinações preliminares relativas à existência de subsídio, ao dano e ao nexo de causalidade entre ambos;</w:t>
      </w:r>
    </w:p>
    <w:p w14:paraId="159CE81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as referências às matérias de fato e de direito que ensejaram a aceitação ou a rejeição dos argumentos apresentados pelas partes interessadas;</w:t>
      </w:r>
    </w:p>
    <w:p w14:paraId="3F7F712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III - os nomes dos produtores ou dos exportadores aos quais serão aplicadas as medidas compensatórias provisórias;</w:t>
      </w:r>
    </w:p>
    <w:p w14:paraId="17258A2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IV - a descrição detalhada do produto objeto da medida compensatória provisória;</w:t>
      </w:r>
    </w:p>
    <w:p w14:paraId="163142C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 - o montante de subsídios calculado e a metodologia de cálculo utilizada para a sua apuração;</w:t>
      </w:r>
    </w:p>
    <w:p w14:paraId="7ADC5D0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 - os dados relativos aos principais parâmetros considerados necessários à determinação do dano e do nexo de causalidade; e</w:t>
      </w:r>
    </w:p>
    <w:p w14:paraId="72E9DC5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VII - as razões de fato e de direito que justificam a determinação preliminar positiva de existência de subsídio, de dano e de nexo de causalidade entre ambos.</w:t>
      </w:r>
    </w:p>
    <w:p w14:paraId="10B6C6C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Parágrafo único. Na hipótese prevista no inciso III do </w:t>
      </w:r>
      <w:r w:rsidRPr="00395593">
        <w:rPr>
          <w:rFonts w:ascii="Garamond" w:hAnsi="Garamond" w:cs="Arial"/>
          <w:b/>
          <w:color w:val="162937"/>
        </w:rPr>
        <w:t>caput</w:t>
      </w:r>
      <w:r w:rsidRPr="00395593">
        <w:rPr>
          <w:rFonts w:ascii="Garamond" w:hAnsi="Garamond" w:cs="Arial"/>
          <w:color w:val="162937"/>
        </w:rPr>
        <w:t>, quando o número de produtores ou exportadores for especialmente elevado, os produtores ou exportadores serão identificados pelo país onde estão localizados.</w:t>
      </w:r>
    </w:p>
    <w:p w14:paraId="4EF3A92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159. Os atos a que se refere o art. 156 relativos à imposição de medidas compensatórias definitivas ou à homologação de compromisso conterão:</w:t>
      </w:r>
    </w:p>
    <w:p w14:paraId="74AD7BE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as informações relevantes sobre as matérias de fato e de direito e sobre os motivos que ensejaram a determinação final positiva; e</w:t>
      </w:r>
    </w:p>
    <w:p w14:paraId="3E786B3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II - as informações requeridas nos incisos III a VI do </w:t>
      </w:r>
      <w:r w:rsidRPr="00395593">
        <w:rPr>
          <w:rFonts w:ascii="Garamond" w:hAnsi="Garamond" w:cs="Arial"/>
          <w:b/>
          <w:color w:val="162937"/>
        </w:rPr>
        <w:t>caput</w:t>
      </w:r>
      <w:r w:rsidRPr="00395593">
        <w:rPr>
          <w:rFonts w:ascii="Garamond" w:hAnsi="Garamond" w:cs="Arial"/>
          <w:color w:val="162937"/>
        </w:rPr>
        <w:t xml:space="preserve"> do art. 158 e as razões para aceitação ou rejeição dos argumentos apresentados pelas partes interessadas.</w:t>
      </w:r>
    </w:p>
    <w:p w14:paraId="2CB5423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160. Os atos a que se refere o art. 156 relativos ao encerramento ou à suspensão de investigação em consequência da aceitação de compromisso conterão a transcrição da parte não confidencial desse compromisso.</w:t>
      </w:r>
    </w:p>
    <w:p w14:paraId="40BB1FA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161. O disposto neste Capítulo aplica-se, no que couber, ao início e ao encerramento das revisões de que trata o Capítulo IX.</w:t>
      </w:r>
    </w:p>
    <w:p w14:paraId="65B9854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162. As obrigações de notificação decorrentes da aplicação do disposto neste Decreto poderão ser cumpridas por meio da divulgação do endereço eletrônico em que estarão disponibilizados os atos de que trata este Capítulo.</w:t>
      </w:r>
    </w:p>
    <w:p w14:paraId="193A150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163. Na hipótese de as investigações incluírem partes interessadas de um ou mais Estados Partes do Mercosul, serão disponibilizadas previamente, em meio eletrônico, cópias das notificações para as suas autoridades investigadoras.</w:t>
      </w:r>
    </w:p>
    <w:p w14:paraId="54599E4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164. As versões eletrônicas dos atos de que trata este Capítulo ficarão disponíveis para consulta na página eletrônica do Ministério da Economia.</w:t>
      </w:r>
    </w:p>
    <w:p w14:paraId="0F2CFA7B" w14:textId="77777777" w:rsidR="00E92169" w:rsidRPr="00395593" w:rsidRDefault="00E92169" w:rsidP="00E33E26">
      <w:pPr>
        <w:pStyle w:val="dou-paragraph"/>
        <w:shd w:val="clear" w:color="auto" w:fill="FFFFFF"/>
        <w:spacing w:before="0" w:beforeAutospacing="0" w:after="150" w:afterAutospacing="0"/>
        <w:jc w:val="both"/>
        <w:rPr>
          <w:rFonts w:ascii="Garamond" w:hAnsi="Garamond" w:cs="Arial"/>
          <w:color w:val="162937"/>
        </w:rPr>
      </w:pPr>
    </w:p>
    <w:p w14:paraId="651DD0E5" w14:textId="4B920099"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CAPÍTULO XII</w:t>
      </w:r>
    </w:p>
    <w:p w14:paraId="43E3CE83"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FORMA DOS ATOS E DOS TERMOS PROCESSUAIS</w:t>
      </w:r>
    </w:p>
    <w:p w14:paraId="157651F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165. Os atos e os termos processuais não dependem de forma especial e as partes interessadas deverão observar as instruções dispostas neste Decreto e aquelas expedidas pela Secretaria de Comércio Exterior da Secretaria Especial de Comércio Exterior e Assuntos Internacionais do Ministério da Economia para a elaboração de petições e a apresentação de documentos em geral, sob pena de não serem juntados aos autos do processo.</w:t>
      </w:r>
    </w:p>
    <w:p w14:paraId="7732D9B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Somente será exigida a observância a instruções tornadas públicas antes do início do prazo processual ou que tenham sido especificadas em notificação encaminhada à parte interessada.</w:t>
      </w:r>
    </w:p>
    <w:p w14:paraId="74D7977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Os atos processuais são públicos.</w:t>
      </w:r>
    </w:p>
    <w:p w14:paraId="0DDAF42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O direito de consultar os autos restritos do processo e de pedir certidão sobre o andamento da investigação é limitado às partes interessadas e aos seus representantes legais, observadas as disposições relativas ao sigilo de informação e de documentos internos de governo.</w:t>
      </w:r>
    </w:p>
    <w:p w14:paraId="23D5EF2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A indicação de representante legal será assinada por pessoa que detenha os poderes necessários, nos termos dos atos constitutivos da pessoa jurídica.</w:t>
      </w:r>
    </w:p>
    <w:p w14:paraId="6144D40E"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CAPÍTULO XIII</w:t>
      </w:r>
    </w:p>
    <w:p w14:paraId="288806F6"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DO PROCESSO DECISÓRIO E DO RECURSO</w:t>
      </w:r>
    </w:p>
    <w:p w14:paraId="057FD81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166. As decisões preliminares ou finais, positivas ou negativas, relativas às investigações e às revisões serão baseadas em parecer da Subsecretaria de Defesa Comercial e Interesse Público da Secretaria de Comércio Exterior da Secretaria Especial de Comércio Exterior e Assuntos Internacionais do Ministério da Economia.</w:t>
      </w:r>
    </w:p>
    <w:p w14:paraId="1491EA9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167. Das decisões a que se refere o art. 166 caberá a interposição de recurso, sem efeito suspensivo, no prazo improrrogável de dez dias, contado da data de publicação no Diário Oficial da União do ato que tornou pública a decisão.</w:t>
      </w:r>
    </w:p>
    <w:p w14:paraId="3CE0419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1º O recurso será dirigido à autoridade que proferiu a decisão.</w:t>
      </w:r>
    </w:p>
    <w:p w14:paraId="02424A2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Caso a autoridade recorrida não reconsidere a sua decisão, encaminhará o recurso ao Conselho de Estratégia Comercial da Câmara de Comércio Exterior, que o decidirá como instância final.</w:t>
      </w:r>
    </w:p>
    <w:p w14:paraId="4423886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168. Não serão conhecidos os recursos desacompanhados das razões que os fundamentam ou apresentados intempestivamente.</w:t>
      </w:r>
    </w:p>
    <w:p w14:paraId="2234567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169. Na hipótese de reconsideração da decisão, a Secretaria-Executiva da Câmara de Comércio Exterior solicitará à Secretaria Especial da Receita Federal do Brasil do Ministério da Economia que proceda à restituição de valores cobrados indevidamente.</w:t>
      </w:r>
    </w:p>
    <w:p w14:paraId="4CE53665" w14:textId="54A1B4B3" w:rsidR="00F240FB" w:rsidRPr="00395593" w:rsidRDefault="00F240FB" w:rsidP="00E33E26">
      <w:pPr>
        <w:rPr>
          <w:rFonts w:ascii="Garamond" w:hAnsi="Garamond" w:cs="Arial"/>
          <w:b/>
          <w:color w:val="162937"/>
        </w:rPr>
      </w:pPr>
    </w:p>
    <w:p w14:paraId="66342501" w14:textId="6EE08342" w:rsidR="00F240FB" w:rsidRPr="00395593" w:rsidRDefault="00F240FB" w:rsidP="00E33E26">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CAPÍTULO XIV</w:t>
      </w:r>
    </w:p>
    <w:p w14:paraId="10649883"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color w:val="162937"/>
        </w:rPr>
      </w:pPr>
      <w:r w:rsidRPr="00395593">
        <w:rPr>
          <w:rFonts w:ascii="Garamond" w:hAnsi="Garamond" w:cs="Arial"/>
          <w:b/>
          <w:color w:val="162937"/>
        </w:rPr>
        <w:t>DAS VERIFICAÇÕES IN LOCO</w:t>
      </w:r>
    </w:p>
    <w:p w14:paraId="7E3B889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170. Iniciada a investigação, a Subsecretaria de Defesa Comercial e Interesse Público da Secretaria de Comércio Exterior da Secretaria Especial de Comércio Exterior e Assuntos Internacionais do Ministério da Economia comunicará aos produtores estrangeiros ou aos exportadores, aos produtores nacionais, aos importadores selecionados e aos governos dos países exportadores a sua intenção e as datas sugeridas para a realização de verificação in loco .</w:t>
      </w:r>
    </w:p>
    <w:p w14:paraId="4CF31E9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A comunicação a que se refere o </w:t>
      </w:r>
      <w:r w:rsidRPr="00395593">
        <w:rPr>
          <w:rFonts w:ascii="Garamond" w:hAnsi="Garamond" w:cs="Arial"/>
          <w:b/>
          <w:color w:val="162937"/>
        </w:rPr>
        <w:t>caput</w:t>
      </w:r>
      <w:r w:rsidRPr="00395593">
        <w:rPr>
          <w:rFonts w:ascii="Garamond" w:hAnsi="Garamond" w:cs="Arial"/>
          <w:color w:val="162937"/>
        </w:rPr>
        <w:t xml:space="preserve"> será formalizada por escrito, com antecedência mínima da data sugerida para a verificação, de:</w:t>
      </w:r>
    </w:p>
    <w:p w14:paraId="25EA0AE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trinta dias, no caso de produtores ou exportadores estrangeiros, governos dos países exportadores e importadores; e</w:t>
      </w:r>
    </w:p>
    <w:p w14:paraId="1EB2388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vinte dias, no caso de produtores nacionais.</w:t>
      </w:r>
    </w:p>
    <w:p w14:paraId="362EAA3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No prazo de dois dias, contado da data de ciência da comunicação a que se refere o § 1º, o produtor estrangeiro ou o exportador, o produtor nacional, o governo do país exportador ou o importador deverá manifestar, por escrito, a sua anuência expressa à realização da verificação in loco .</w:t>
      </w:r>
    </w:p>
    <w:p w14:paraId="3744FBC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A ausência de resposta tempestiva por parte do produtor estrangeiro, exportador ou importador ensejará a aplicação do disposto no Capítulo XV.</w:t>
      </w:r>
    </w:p>
    <w:p w14:paraId="6C7B446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A ausência de resposta tempestiva por parte das empresas que compõem a indústria doméstica poderá ensejar o encerramento da investigação sem julgamento de mérito.</w:t>
      </w:r>
    </w:p>
    <w:p w14:paraId="4FFAFD3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Exceto quanto ao disposto no § 7º, não serão admitidas alterações dos dados a serem verificados após o envio da comunicação a que se refere o § 1º.</w:t>
      </w:r>
    </w:p>
    <w:p w14:paraId="6AD178B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6º A Subsecretaria de Defesa Comercial e Interesse Público da Secretaria de Comércio Exterior da Secretaria Especial de Comércio Exterior e Assuntos Internacionais do Ministério da Economia enviará o roteiro de verificação e especificará as informações que serão solicitadas e analisadas na verificação in loco e os documentos que serão apresentados no prazo de:</w:t>
      </w:r>
    </w:p>
    <w:p w14:paraId="01107B0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vinte dias antes da verificação in loco , no caso de produtores estrangeiros ou exportadores, de governos dos países exportadores e de importadores; ou</w:t>
      </w:r>
    </w:p>
    <w:p w14:paraId="704D0CF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dez dias antes da verificação in loco , no caso de produtores nacionais.</w:t>
      </w:r>
    </w:p>
    <w:p w14:paraId="56F753D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7º Previamente ao início da verificação, as partes interessadas terão a oportunidade de apresentar ajustes pontuais em relação às informações previamente apresentadas à equipe verificadora.</w:t>
      </w:r>
    </w:p>
    <w:p w14:paraId="695965D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8º A análise da Subsecretaria de Defesa Comercial e Interesse Público da Secretaria de Comércio Exterior da Secretaria Especial de Comércio Exterior e Assuntos Internacionais do Ministério da Economia quanto aos ajustes pontuais apresentados a que se refere o § 7º constará do relatório de verificação, cujo acesso será facultado à parte verificada no prazo de quinze dias, contado da data de retorno da viagem a serviço da equipe verificadora.</w:t>
      </w:r>
    </w:p>
    <w:p w14:paraId="25A5663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9º Os relatórios das verificaçõess in loco  serão juntados aos autos do processo.</w:t>
      </w:r>
    </w:p>
    <w:p w14:paraId="554F15C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10. Obtida a anuência do produtor estrangeiro ou do exportador de que trata o § 2º, o governo do país exportador será imediatamente comunicado:</w:t>
      </w:r>
    </w:p>
    <w:p w14:paraId="560396A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dos nomes e endereços dos produtores ou exportadores a serem verificados; e</w:t>
      </w:r>
    </w:p>
    <w:p w14:paraId="62B6C42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das datas acordadas para a realização das verificaçõess in loco .</w:t>
      </w:r>
    </w:p>
    <w:p w14:paraId="188FFD5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11. Em circunstâncias excepcionais, se houver a necessidade de inclusão de peritos não governamentais na equipe de verificação in loco , os produtores estrangeiros ou os exportadores e o governo do país exportador serão informados.</w:t>
      </w:r>
    </w:p>
    <w:p w14:paraId="66F5A42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12. Os prazos previstos nos § 1º, § 6º e § 8º não se aplicam aos procedimentos de que trata a Seção I do Capítulo X.</w:t>
      </w:r>
    </w:p>
    <w:p w14:paraId="78A84270"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171. A verificação in loco  dos produtores estrangeiros ou dos exportadores será realizada após a restituição do questionário, exceto:</w:t>
      </w:r>
    </w:p>
    <w:p w14:paraId="6A09B8B3"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se o produtor ou o exportador concordar com a verificação antecipada; e</w:t>
      </w:r>
    </w:p>
    <w:p w14:paraId="11FF882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se o governo do país exportador estiver informado quanto à verificação antecipada e não lhe apresentar objeção.</w:t>
      </w:r>
    </w:p>
    <w:p w14:paraId="131784A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172. Visitas destinadas a explicar o questionário a que se refere o art. 46 poderão ser realizadas a pedido do produtor estrangeiro do ou exportador, as quais somente poderão ocorrer se a Subsecretaria de Defesa Comercial e Interesse Público da Secretaria de Comércio Exterior da Secretaria Especial de Comércio Exterior e Assuntos Internacionais do Ministério da Economia notificar o governo do país exportador e este não apresentar objeção à visita.</w:t>
      </w:r>
    </w:p>
    <w:p w14:paraId="0847F85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173. As respostas aos pedidos de informação ou às perguntas formuladas pelo governo ou pelos produtores estrangeiros ou exportadores do país exportador deverão ser fornecidas antes da realização da verificação in loco .</w:t>
      </w:r>
    </w:p>
    <w:p w14:paraId="4C100CDB"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CAPÍTULO XV</w:t>
      </w:r>
    </w:p>
    <w:p w14:paraId="1ECA1E2E"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DA MELHOR INFORMAÇÃO DISPONÍVEL</w:t>
      </w:r>
    </w:p>
    <w:p w14:paraId="4AF47E6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174. Iniciada a investigação, as partes interessadas serão notificadas dos dados e das informações necessários à instrução do processo, da forma e do prazo de sua apresentação.</w:t>
      </w:r>
    </w:p>
    <w:p w14:paraId="20A268B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As partes interessadas serão notificadas de que a Subsecretaria de Defesa Comercial e Interesse Público da Secretaria de Comércio Exterior da Secretaria Especial de Comércio Exterior e Assuntos Internacionais do Ministério da Economia poderá elaborar determinações preliminares ou finais de acordo com fatos disponíveis, incluídos aqueles contidos na petição de início da investigação, na hipótese de os dados e as informações solicitados, acompanhados dos elementos de prova, não serem fornecidos ou serem fornecidos intempestivamente.</w:t>
      </w:r>
    </w:p>
    <w:p w14:paraId="11984E3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175. Na elaboração de suas determinações, a Subsecretaria de Defesa Comercial e Interesse Público da Secretaria de Comércio Exterior da Secretaria Especial de Comércio Exterior e Assuntos Internacionais do Ministério da Economia considerará as informações verificáveis e apresentadas tempestivamente e de forma adequada.</w:t>
      </w:r>
    </w:p>
    <w:p w14:paraId="1AFE2326"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Na hipótese de serem solicitados dados em meio eletrônico, a parte interessada que não mantiver contabilidade informatizada ou para a qual a adequação dos dados em formato eletrônico represente sobrecarga adicional exagerada, com acréscimo injustificado de custos e de dificuldades, ficará desobrigada de apresentá-los em formato eletrônico.</w:t>
      </w:r>
    </w:p>
    <w:p w14:paraId="229729FF"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176. Caso a Subsecretaria de Defesa Comercial e Interesse Público da Secretaria de Comércio Exterior da Secretaria Especial de Comércio Exterior e Assuntos Internacionais do Ministério da Economia recuse dado ou informação:</w:t>
      </w:r>
    </w:p>
    <w:p w14:paraId="1C32D02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notificará a parte interessada das razões da recusa; e</w:t>
      </w:r>
    </w:p>
    <w:p w14:paraId="64689B6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estabelecerá prazo para que a parte interessada apresente explicações, de forma a não prejudicar o andamento da investigação.</w:t>
      </w:r>
    </w:p>
    <w:p w14:paraId="1C1E5E1D"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Na hipótese de as explicações não serem consideradas satisfatórias, as razões da recusa deverão constar dos atos que contenham qualquer decisão ou determinação.</w:t>
      </w:r>
    </w:p>
    <w:p w14:paraId="540D5201"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177. Caso a Subsecretaria de Defesa Comercial e Interesse Público da Secretaria de Comércio Exterior da Secretaria Especial de Comércio Exterior e Assuntos Internacionais do Ministério da Economia se utilize de informações de fontes secundárias na elaboração de suas determinações, inclusive aquelas fornecidas na petição, estas deverão, sempre que possível, ser comparadas com informações de fontes independentes ou com aquelas provenientes de outras partes interessadas.</w:t>
      </w:r>
    </w:p>
    <w:p w14:paraId="1E0FD78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178. A informação deverá ser fornecida sob a forma de documento escrito sempre que a Subsecretaria de Defesa Comercial e Interesse Público da Secretaria de Comércio Exterior da Secretaria Especial de Comércio Exterior e Assuntos Internacionais do Ministério da Economia não dispuser de meios específicos para processar a informação recebida em programa não compatível com os sistemas por ela utilizados.</w:t>
      </w:r>
    </w:p>
    <w:p w14:paraId="60CCA78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179. A parte interessada será responsável por cooperar com a investigação e por fornecer todos os dados e informações solicitados.</w:t>
      </w:r>
    </w:p>
    <w:p w14:paraId="2644543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Parágrafo único. Na hipótese de descumprimento do disposto no </w:t>
      </w:r>
      <w:r w:rsidRPr="00395593">
        <w:rPr>
          <w:rFonts w:ascii="Garamond" w:hAnsi="Garamond" w:cs="Arial"/>
          <w:b/>
          <w:color w:val="162937"/>
        </w:rPr>
        <w:t>caput</w:t>
      </w:r>
      <w:r w:rsidRPr="00395593">
        <w:rPr>
          <w:rFonts w:ascii="Garamond" w:hAnsi="Garamond" w:cs="Arial"/>
          <w:color w:val="162937"/>
        </w:rPr>
        <w:t>, a parte interessada assumirá as consequências decorrentes de sua omissão.</w:t>
      </w:r>
    </w:p>
    <w:p w14:paraId="266092B6"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CAPÍTULO XVI</w:t>
      </w:r>
    </w:p>
    <w:p w14:paraId="61E90ED5" w14:textId="77777777" w:rsidR="00F240FB" w:rsidRPr="00395593" w:rsidRDefault="00F240FB" w:rsidP="00F240FB">
      <w:pPr>
        <w:pStyle w:val="dou-paragraph"/>
        <w:shd w:val="clear" w:color="auto" w:fill="FFFFFF"/>
        <w:spacing w:before="0" w:beforeAutospacing="0" w:after="150" w:afterAutospacing="0"/>
        <w:jc w:val="center"/>
        <w:rPr>
          <w:rFonts w:ascii="Garamond" w:hAnsi="Garamond" w:cs="Arial"/>
          <w:b/>
          <w:color w:val="162937"/>
        </w:rPr>
      </w:pPr>
      <w:r w:rsidRPr="00395593">
        <w:rPr>
          <w:rFonts w:ascii="Garamond" w:hAnsi="Garamond" w:cs="Arial"/>
          <w:b/>
          <w:color w:val="162937"/>
        </w:rPr>
        <w:t>DISPOSIÇÕES FINAIS</w:t>
      </w:r>
    </w:p>
    <w:p w14:paraId="44EADC7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180. Os prazos previstos neste Decreto serão contabilizados em dias corridos, incluído o dia do vencimento.</w:t>
      </w:r>
    </w:p>
    <w:p w14:paraId="0119A2D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Na hipótese de o vencimento ocorrer em dia não útil ou de o expediente ser encerrado antes da hora normal, o prazo será prorrogado até o primeiro dia útil seguinte.</w:t>
      </w:r>
    </w:p>
    <w:p w14:paraId="4F880BF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181. Será presumido que os exportadores ou os produtores estrangeiros e os governos tenham ciência do questionário enviado pela Subsecretaria de Defesa Comercial e Interesse Público da Secretaria de Comércio Exterior da Secretaria Especial de Comércio Exterior e Assuntos Internacionais do Ministério da Economia no prazo de dez dias, contado da data de envio ou transmissão.</w:t>
      </w:r>
    </w:p>
    <w:p w14:paraId="3140972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182. A contagem de prazos começa no primeiro dia útil subsequente à data de publicação do ato ou, quando houver, de expedição da correspondência.</w:t>
      </w:r>
    </w:p>
    <w:p w14:paraId="15F3282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183. Os prazos estabelecidos em meses serão contados de data a data.</w:t>
      </w:r>
    </w:p>
    <w:p w14:paraId="2C58457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Parágrafo único. Se no mês do vencimento não houver o dia equivalente àquele do início do prazo, considera-se como termo o último dia do mês.</w:t>
      </w:r>
    </w:p>
    <w:p w14:paraId="516DFC9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184. Os pedidos de prorrogação, quando admitidos, só poderão ser conhecidos se apresentados antes do vencimento do prazo original.</w:t>
      </w:r>
    </w:p>
    <w:p w14:paraId="0380DBB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Parágrafo único. Na hipótese prevista no </w:t>
      </w:r>
      <w:r w:rsidRPr="00395593">
        <w:rPr>
          <w:rFonts w:ascii="Garamond" w:hAnsi="Garamond" w:cs="Arial"/>
          <w:b/>
          <w:color w:val="162937"/>
        </w:rPr>
        <w:t>caput</w:t>
      </w:r>
      <w:r w:rsidRPr="00395593">
        <w:rPr>
          <w:rFonts w:ascii="Garamond" w:hAnsi="Garamond" w:cs="Arial"/>
          <w:color w:val="162937"/>
        </w:rPr>
        <w:t>,o primeiro dia do prazo prorrogado será o dia subsequente ao do vencimento do prazo original.</w:t>
      </w:r>
    </w:p>
    <w:p w14:paraId="0179DCAB"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185. O prazo total resulta do prazo original acrescido do prazo de prorrogação, contado interruptamente.</w:t>
      </w:r>
    </w:p>
    <w:p w14:paraId="3B132FC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186. O teor de pareceres, determinações e recomendações da Subsecretaria de Defesa Comercial e Interesse Público da Secretaria de Comércio Exterior da Secretaria Especial de Comércio Exterior e Assuntos Internacionais do Ministério da Economia não será divulgado até que as exigências relativas à publicidade estabelecidas neste Decreto tenham sido observadas.</w:t>
      </w:r>
    </w:p>
    <w:p w14:paraId="6A1D1D8A"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Cumpridas as exigências relativas à publicidade, os documentos a que se refere o </w:t>
      </w:r>
      <w:r w:rsidRPr="00395593">
        <w:rPr>
          <w:rFonts w:ascii="Garamond" w:hAnsi="Garamond" w:cs="Arial"/>
          <w:b/>
          <w:color w:val="162937"/>
        </w:rPr>
        <w:t>caput</w:t>
      </w:r>
      <w:r w:rsidRPr="00395593">
        <w:rPr>
          <w:rFonts w:ascii="Garamond" w:hAnsi="Garamond" w:cs="Arial"/>
          <w:color w:val="162937"/>
        </w:rPr>
        <w:t xml:space="preserve"> serão juntados aos autos do processo.</w:t>
      </w:r>
    </w:p>
    <w:p w14:paraId="7A033589"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2º As obrigações de confidencialidade de que trata este Decreto serão estendidas às autoridades envolvidas no processo decisório relativo à aplicação de medidas compensatórias.</w:t>
      </w:r>
    </w:p>
    <w:p w14:paraId="6829B304"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3º As autoridades envolvidas no processo decisório terão acesso, por meio dos pareceres da Subsecretaria de Defesa Comercial e Interesse Público da Secretaria de Comércio Exterior da Secretaria Especial de Comércio Exterior e Assuntos Internacionais do Ministério da Economia, às informações confidenciais submetidas pelas partes interessadas em investigações de subsídios conduzidas de acordo com o disposto neste Decreto.</w:t>
      </w:r>
    </w:p>
    <w:p w14:paraId="22C5902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187. Os produtos objeto de medidas compensatórias serão sujeitos ao acompanhamento estatístico detalhado e ao esforço de inteligência conjunto entre a Secretaria de Comércio Exterior da Secretaria Especial de Comércio Exterior e Assuntos Internacionais do Ministério da Economia e a Secretaria Especial da Receita Federal do Brasil do Ministério da Economia, de maneira a assegurar a eficácia das medidas compensatórias em vigor.</w:t>
      </w:r>
    </w:p>
    <w:p w14:paraId="1038BB2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188. Para o cumprimento do disposto neste Decreto, poderão ser submetidas solicitações de alterações da Nomenclatura Comum do Mercosul à sua instância apropriada.</w:t>
      </w:r>
    </w:p>
    <w:p w14:paraId="6B70B8D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189. A Subsecretaria de Defesa Comercial e Interesse Público da Secretaria de Comércio Exterior da Secretaria Especial de Comércio Exterior e Assuntos Internacionais do Ministério da Economia poderá prorrogar, uma vez por igual período, os prazos estabelecidos neste Decreto, exceto aqueles em que a sua prorrogação ou a sua proibição já estejam previstos.</w:t>
      </w:r>
    </w:p>
    <w:p w14:paraId="5E6FB245"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190. A Secretaria de Comércio Exterior da Secretaria Especial de Comércio Exterior e Assuntos Internacionais do Ministério da Economia, a Secretaria Especial da Receita Federal do Brasil do Ministério da Economia e a Câmara de Comércio Exterior poderão editar, no âmbito de suas competências, normas complementares à execução do disposto neste Decreto.</w:t>
      </w:r>
    </w:p>
    <w:p w14:paraId="7E16FAAC"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191. O disposto neste Decreto poderá deixar de ser observado, no todo ou em parte, por decisão da Câmara de Comércio Exterior, em casos em que a República Federativa do Brasil tenha sido autorizada pelo Órgão de Solução de Controvérsias da Organização Mundial do Comércio a suspender concessões ou outras obrigações dos Acordos da Organização Mundial do Comércio.</w:t>
      </w:r>
    </w:p>
    <w:p w14:paraId="529B911E"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192. As investigações e as revisões cujas petições tenham sido protocoladas até a data de entrada em vigor deste Decreto continuarão a ser regidas pelo disposto no Decreto nº 1.751, de 19 de dezembro de 1995.</w:t>
      </w:r>
    </w:p>
    <w:p w14:paraId="351B16D2"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193. Fica revogado o Decreto nº 1.751, de 19 de dezembro de 1995.</w:t>
      </w:r>
    </w:p>
    <w:p w14:paraId="6B4757D8"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Art. 194. Este Decreto entra em vigor cento e vinte dias após a data de sua publicação.</w:t>
      </w:r>
    </w:p>
    <w:p w14:paraId="2B01E657" w14:textId="77777777" w:rsidR="00F240FB" w:rsidRPr="00395593" w:rsidRDefault="00F240FB" w:rsidP="00F240FB">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Brasília, 18 de outubro de 2021; 200º da Independência e 133º da República.</w:t>
      </w:r>
    </w:p>
    <w:p w14:paraId="02EE6E9A" w14:textId="77777777" w:rsidR="00F240FB" w:rsidRPr="005C5CBD" w:rsidRDefault="00F240FB" w:rsidP="00F240FB">
      <w:pPr>
        <w:pStyle w:val="NormalWeb"/>
        <w:shd w:val="clear" w:color="auto" w:fill="FFFFFF"/>
        <w:spacing w:before="0" w:beforeAutospacing="0" w:after="0" w:afterAutospacing="0"/>
        <w:jc w:val="center"/>
        <w:rPr>
          <w:rFonts w:ascii="Garamond" w:hAnsi="Garamond" w:cs="Arial"/>
          <w:bCs/>
          <w:caps/>
          <w:color w:val="162937"/>
        </w:rPr>
      </w:pPr>
      <w:r w:rsidRPr="005C5CBD">
        <w:rPr>
          <w:rFonts w:ascii="Garamond" w:hAnsi="Garamond" w:cs="Arial"/>
          <w:bCs/>
          <w:caps/>
          <w:color w:val="162937"/>
        </w:rPr>
        <w:t>JAIR MESSIAS BOLSONARO</w:t>
      </w:r>
    </w:p>
    <w:p w14:paraId="1015B901" w14:textId="77777777" w:rsidR="00F240FB" w:rsidRPr="005C5CBD" w:rsidRDefault="00F240FB" w:rsidP="00F240FB">
      <w:pPr>
        <w:shd w:val="clear" w:color="auto" w:fill="FFFFFF"/>
        <w:spacing w:after="0" w:line="240" w:lineRule="auto"/>
        <w:jc w:val="center"/>
        <w:rPr>
          <w:rFonts w:ascii="Garamond" w:hAnsi="Garamond" w:cs="Arial"/>
          <w:i/>
          <w:iCs/>
          <w:color w:val="162937"/>
          <w:sz w:val="24"/>
          <w:szCs w:val="24"/>
        </w:rPr>
      </w:pPr>
      <w:r w:rsidRPr="005C5CBD">
        <w:rPr>
          <w:rFonts w:ascii="Garamond" w:hAnsi="Garamond" w:cs="Arial"/>
          <w:i/>
          <w:iCs/>
          <w:color w:val="162937"/>
          <w:sz w:val="24"/>
          <w:szCs w:val="24"/>
        </w:rPr>
        <w:t>Carlos Alberto Franco França</w:t>
      </w:r>
    </w:p>
    <w:p w14:paraId="11E1BCC2" w14:textId="228F9315" w:rsidR="00F240FB" w:rsidRDefault="00F240FB" w:rsidP="0050193E">
      <w:pPr>
        <w:spacing w:after="0" w:line="240" w:lineRule="auto"/>
        <w:jc w:val="center"/>
        <w:rPr>
          <w:rFonts w:ascii="Garamond" w:hAnsi="Garamond" w:cstheme="majorHAnsi"/>
        </w:rPr>
      </w:pPr>
      <w:r w:rsidRPr="005C5CBD">
        <w:rPr>
          <w:rFonts w:ascii="Garamond" w:hAnsi="Garamond" w:cs="Arial"/>
          <w:i/>
          <w:iCs/>
          <w:color w:val="162937"/>
          <w:sz w:val="24"/>
          <w:szCs w:val="24"/>
        </w:rPr>
        <w:t>Paulo Guedes</w:t>
      </w:r>
    </w:p>
    <w:p w14:paraId="1B9261B3" w14:textId="0B9F7A4F" w:rsidR="00B73003" w:rsidRDefault="00395593" w:rsidP="0097041B">
      <w:pPr>
        <w:rPr>
          <w:rFonts w:ascii="Garamond" w:hAnsi="Garamond" w:cstheme="majorHAnsi"/>
        </w:rPr>
      </w:pPr>
      <w:r w:rsidRPr="00395593">
        <w:rPr>
          <w:rFonts w:ascii="Garamond" w:hAnsi="Garamond" w:cstheme="majorHAnsi"/>
        </w:rPr>
        <w:br w:type="page"/>
      </w:r>
    </w:p>
    <w:p w14:paraId="698CEC6A" w14:textId="03D987FF" w:rsidR="00B73003" w:rsidRPr="005C26A4" w:rsidRDefault="005C26A4" w:rsidP="00346E6D">
      <w:pPr>
        <w:pStyle w:val="Ttulo"/>
        <w:outlineLvl w:val="1"/>
      </w:pPr>
      <w:bookmarkStart w:id="146" w:name="_Toc96003814"/>
      <w:r>
        <w:t xml:space="preserve">Portaria SECEX </w:t>
      </w:r>
      <w:r w:rsidR="001E097F" w:rsidRPr="00395593">
        <w:rPr>
          <w:color w:val="000000" w:themeColor="text1"/>
        </w:rPr>
        <w:t>n°</w:t>
      </w:r>
      <w:r w:rsidR="001E097F">
        <w:rPr>
          <w:color w:val="000000" w:themeColor="text1"/>
        </w:rPr>
        <w:t xml:space="preserve"> </w:t>
      </w:r>
      <w:r w:rsidR="00425702">
        <w:t xml:space="preserve">172, de </w:t>
      </w:r>
      <w:r w:rsidR="00425702" w:rsidRPr="005C5CBD">
        <w:t>1</w:t>
      </w:r>
      <w:r w:rsidR="00531D5F" w:rsidRPr="005C5CBD">
        <w:t>4</w:t>
      </w:r>
      <w:r w:rsidR="00425702">
        <w:t xml:space="preserve"> de fevereiro d</w:t>
      </w:r>
      <w:r w:rsidR="00633F39">
        <w:t>e</w:t>
      </w:r>
      <w:r>
        <w:t xml:space="preserve"> 2022</w:t>
      </w:r>
      <w:bookmarkEnd w:id="146"/>
    </w:p>
    <w:p w14:paraId="1CCF7630" w14:textId="77777777" w:rsidR="00395593" w:rsidRPr="005C5CBD" w:rsidRDefault="00395593" w:rsidP="00CC7F15">
      <w:pPr>
        <w:autoSpaceDE w:val="0"/>
        <w:autoSpaceDN w:val="0"/>
        <w:adjustRightInd w:val="0"/>
        <w:spacing w:after="0" w:line="240" w:lineRule="auto"/>
        <w:ind w:left="4536"/>
        <w:jc w:val="both"/>
        <w:rPr>
          <w:rFonts w:ascii="Garamond" w:eastAsia="Times New Roman" w:hAnsi="Garamond" w:cs="Calibri"/>
          <w:strike/>
          <w:color w:val="000000"/>
          <w:sz w:val="24"/>
          <w:szCs w:val="24"/>
          <w:lang w:eastAsia="pt-BR"/>
        </w:rPr>
      </w:pPr>
      <w:r w:rsidRPr="005C5CBD">
        <w:rPr>
          <w:rFonts w:ascii="Garamond" w:eastAsia="Times New Roman" w:hAnsi="Garamond" w:cs="Calibri"/>
          <w:sz w:val="24"/>
          <w:szCs w:val="24"/>
          <w:lang w:eastAsia="pt-BR"/>
        </w:rPr>
        <w:t xml:space="preserve">Dispõe sobre as informações necessárias para a elaboração de petições relativas a investigações originais, revisões e outros procedimentos previstos no </w:t>
      </w:r>
      <w:bookmarkStart w:id="147" w:name="OLE_LINK5"/>
      <w:bookmarkStart w:id="148" w:name="OLE_LINK6"/>
      <w:r w:rsidRPr="005C5CBD">
        <w:rPr>
          <w:rFonts w:ascii="Garamond" w:eastAsia="Times New Roman" w:hAnsi="Garamond" w:cs="Calibri"/>
          <w:sz w:val="24"/>
          <w:szCs w:val="24"/>
          <w:lang w:eastAsia="pt-BR"/>
        </w:rPr>
        <w:t>Decreto nº 10.839, de 18 de outubro de 2021, no Decreto nº 9.107, de 26 de julho de 2017, no Acordo Sobre Subsídios e Medidas Compensatórias do Acordo Geral Sobre Tarifas Aduaneiras e Comércio - GATT/1994</w:t>
      </w:r>
      <w:bookmarkEnd w:id="147"/>
      <w:bookmarkEnd w:id="148"/>
      <w:r w:rsidRPr="005C5CBD">
        <w:rPr>
          <w:rFonts w:ascii="Garamond" w:eastAsia="Times New Roman" w:hAnsi="Garamond" w:cs="Calibri"/>
          <w:sz w:val="24"/>
          <w:szCs w:val="24"/>
          <w:lang w:eastAsia="pt-BR"/>
        </w:rPr>
        <w:t>, aprovado pelo Decreto Legislativo nº 30, de 15 de dezembro de 1994, promulgado pelo Decreto nº 1.355, de 30 de dezembro de 1994, e na Lei nº 9.019, de 30 de março de 1995, detalha metodologias para o cálculo do montante de subsídios e dá outras providências.</w:t>
      </w:r>
    </w:p>
    <w:p w14:paraId="5DF5E335" w14:textId="77777777" w:rsidR="00395593" w:rsidRPr="005C5CBD" w:rsidRDefault="00395593" w:rsidP="00E15FBB">
      <w:pPr>
        <w:autoSpaceDE w:val="0"/>
        <w:autoSpaceDN w:val="0"/>
        <w:adjustRightInd w:val="0"/>
        <w:spacing w:after="0" w:line="240" w:lineRule="auto"/>
        <w:jc w:val="center"/>
        <w:rPr>
          <w:rFonts w:ascii="Garamond" w:eastAsia="Times New Roman" w:hAnsi="Garamond" w:cs="Calibri"/>
          <w:color w:val="000000"/>
          <w:sz w:val="24"/>
          <w:szCs w:val="24"/>
          <w:lang w:eastAsia="pt-BR"/>
        </w:rPr>
      </w:pPr>
    </w:p>
    <w:p w14:paraId="3D1A44F1" w14:textId="6997C8EF" w:rsidR="00E15FBB" w:rsidRPr="005C5CBD" w:rsidRDefault="00395593" w:rsidP="00E15FBB">
      <w:pPr>
        <w:autoSpaceDE w:val="0"/>
        <w:autoSpaceDN w:val="0"/>
        <w:adjustRightInd w:val="0"/>
        <w:spacing w:after="0" w:line="240" w:lineRule="auto"/>
        <w:ind w:firstLine="708"/>
        <w:jc w:val="both"/>
        <w:rPr>
          <w:rFonts w:ascii="Garamond" w:eastAsia="Times New Roman" w:hAnsi="Garamond" w:cs="Calibri"/>
          <w:sz w:val="24"/>
          <w:szCs w:val="24"/>
          <w:lang w:eastAsia="pt-BR"/>
        </w:rPr>
      </w:pPr>
      <w:r w:rsidRPr="005C5CBD">
        <w:rPr>
          <w:rFonts w:ascii="Garamond" w:eastAsia="Times New Roman" w:hAnsi="Garamond" w:cs="Calibri"/>
          <w:color w:val="000000"/>
          <w:sz w:val="24"/>
          <w:szCs w:val="24"/>
          <w:lang w:eastAsia="pt-BR"/>
        </w:rPr>
        <w:t xml:space="preserve">O SECRETÁRIO DE COMÉRCIO EXTERIOR DA SECRETARIA ESPECIAL DE COMÉRCIO EXTERIOR E ASSUNTOS INTERNACIONAIS DO MINISTÉRIO DA ECONOMIA, </w:t>
      </w:r>
      <w:r w:rsidRPr="005C5CBD">
        <w:rPr>
          <w:rFonts w:ascii="Garamond" w:eastAsia="Times New Roman" w:hAnsi="Garamond" w:cs="Calibri"/>
          <w:sz w:val="24"/>
          <w:szCs w:val="24"/>
          <w:lang w:eastAsia="pt-BR"/>
        </w:rPr>
        <w:t xml:space="preserve">no uso das atribuições que lhe confere o inciso VIII do art. 91 do Anexo I do Decreto nº 9.745, de 8 de abril de 2019, e considerando as competências da Subsecretaria de Defesa Comercial e Interesse </w:t>
      </w:r>
      <w:r w:rsidR="00E15FBB" w:rsidRPr="005C5CBD">
        <w:rPr>
          <w:rFonts w:ascii="Garamond" w:eastAsia="Times New Roman" w:hAnsi="Garamond" w:cs="Calibri"/>
          <w:sz w:val="24"/>
          <w:szCs w:val="24"/>
          <w:lang w:eastAsia="pt-BR"/>
        </w:rPr>
        <w:t>Público</w:t>
      </w:r>
      <w:r w:rsidR="00E15FBB" w:rsidRPr="005C5CBD">
        <w:rPr>
          <w:rFonts w:ascii="Times New Roman" w:eastAsia="Times New Roman" w:hAnsi="Times New Roman" w:cs="Times New Roman"/>
          <w:sz w:val="24"/>
          <w:szCs w:val="24"/>
          <w:lang w:eastAsia="pt-BR"/>
        </w:rPr>
        <w:t> </w:t>
      </w:r>
      <w:r w:rsidR="00E15FBB" w:rsidRPr="005C5CBD">
        <w:rPr>
          <w:rFonts w:ascii="Garamond" w:eastAsia="Times New Roman" w:hAnsi="Garamond" w:cs="Calibri"/>
          <w:sz w:val="24"/>
          <w:szCs w:val="24"/>
          <w:lang w:eastAsia="pt-BR"/>
        </w:rPr>
        <w:t>estabelecidas no art. 96 do Anexo I do Decreto nº 9.745, de 2019</w:t>
      </w:r>
      <w:r w:rsidR="00E15FBB" w:rsidRPr="005C5CBD" w:rsidDel="00D41568">
        <w:rPr>
          <w:rFonts w:ascii="Garamond" w:eastAsia="Times New Roman" w:hAnsi="Garamond" w:cs="Calibri"/>
          <w:sz w:val="24"/>
          <w:szCs w:val="24"/>
          <w:lang w:eastAsia="pt-BR"/>
        </w:rPr>
        <w:t xml:space="preserve"> </w:t>
      </w:r>
      <w:r w:rsidR="00E15FBB" w:rsidRPr="005C5CBD">
        <w:rPr>
          <w:rFonts w:ascii="Garamond" w:eastAsia="Times New Roman" w:hAnsi="Garamond" w:cs="Calibri"/>
          <w:sz w:val="24"/>
          <w:szCs w:val="24"/>
          <w:lang w:eastAsia="pt-BR"/>
        </w:rPr>
        <w:t xml:space="preserve">, </w:t>
      </w:r>
      <w:r w:rsidR="00E15FBB" w:rsidRPr="005C5CBD" w:rsidDel="00D41546">
        <w:rPr>
          <w:rFonts w:ascii="Garamond" w:eastAsia="Times New Roman" w:hAnsi="Garamond" w:cs="Calibri"/>
          <w:sz w:val="24"/>
          <w:szCs w:val="24"/>
          <w:lang w:eastAsia="pt-BR"/>
        </w:rPr>
        <w:t>decide</w:t>
      </w:r>
      <w:r w:rsidR="00E15FBB" w:rsidRPr="005C5CBD">
        <w:rPr>
          <w:rFonts w:ascii="Garamond" w:eastAsia="Times New Roman" w:hAnsi="Garamond" w:cs="Calibri"/>
          <w:sz w:val="24"/>
          <w:szCs w:val="24"/>
          <w:lang w:eastAsia="pt-BR"/>
        </w:rPr>
        <w:t>:</w:t>
      </w:r>
    </w:p>
    <w:p w14:paraId="33D39F7A" w14:textId="77777777" w:rsidR="00395593" w:rsidRPr="005C5CBD" w:rsidRDefault="00395593" w:rsidP="00E15FBB">
      <w:pPr>
        <w:spacing w:after="0" w:line="240" w:lineRule="auto"/>
        <w:jc w:val="both"/>
        <w:rPr>
          <w:rFonts w:ascii="Garamond" w:eastAsia="Calibri" w:hAnsi="Garamond" w:cs="Calibri"/>
          <w:sz w:val="24"/>
          <w:szCs w:val="24"/>
        </w:rPr>
      </w:pPr>
    </w:p>
    <w:p w14:paraId="5899E190" w14:textId="77777777" w:rsidR="00395593" w:rsidRPr="005C5CBD" w:rsidRDefault="00395593" w:rsidP="00E15FBB">
      <w:pPr>
        <w:spacing w:after="0" w:line="240" w:lineRule="auto"/>
        <w:ind w:firstLine="708"/>
        <w:jc w:val="both"/>
        <w:rPr>
          <w:rFonts w:ascii="Garamond" w:eastAsia="Calibri" w:hAnsi="Garamond" w:cs="Calibri"/>
          <w:b/>
          <w:color w:val="000000"/>
          <w:sz w:val="24"/>
          <w:szCs w:val="24"/>
          <w:lang w:eastAsia="pt-BR"/>
        </w:rPr>
      </w:pPr>
    </w:p>
    <w:p w14:paraId="226F2DC7" w14:textId="77777777" w:rsidR="00395593" w:rsidRPr="00CC7F15" w:rsidRDefault="00395593" w:rsidP="00CC7F15">
      <w:pPr>
        <w:pStyle w:val="Corpodetexto"/>
        <w:jc w:val="center"/>
        <w:rPr>
          <w:rFonts w:ascii="Garamond" w:hAnsi="Garamond"/>
          <w:b/>
          <w:lang w:eastAsia="pt-BR"/>
        </w:rPr>
      </w:pPr>
      <w:r w:rsidRPr="00CC7F15">
        <w:rPr>
          <w:rFonts w:ascii="Garamond" w:hAnsi="Garamond"/>
          <w:b/>
          <w:lang w:eastAsia="pt-BR"/>
        </w:rPr>
        <w:t>CAPÍTULO I</w:t>
      </w:r>
    </w:p>
    <w:p w14:paraId="1E3BE451" w14:textId="77777777" w:rsidR="00395593" w:rsidRPr="005C5CBD" w:rsidRDefault="00395593" w:rsidP="00CC7F15">
      <w:pPr>
        <w:pStyle w:val="Corpodetexto"/>
        <w:jc w:val="center"/>
        <w:rPr>
          <w:lang w:eastAsia="pt-BR"/>
        </w:rPr>
      </w:pPr>
      <w:r w:rsidRPr="00CC7F15">
        <w:rPr>
          <w:rFonts w:ascii="Garamond" w:hAnsi="Garamond"/>
          <w:b/>
          <w:lang w:eastAsia="pt-BR"/>
        </w:rPr>
        <w:t>DAS DISPOSIÇÕES GERAIS</w:t>
      </w:r>
    </w:p>
    <w:p w14:paraId="7AB2B3AA" w14:textId="77777777" w:rsidR="00395593" w:rsidRPr="005C5CBD" w:rsidRDefault="00395593" w:rsidP="00E15FBB">
      <w:pPr>
        <w:spacing w:after="0" w:line="240" w:lineRule="auto"/>
        <w:jc w:val="center"/>
        <w:rPr>
          <w:rFonts w:ascii="Garamond" w:eastAsia="Calibri" w:hAnsi="Garamond" w:cs="Calibri"/>
          <w:b/>
          <w:sz w:val="24"/>
          <w:szCs w:val="24"/>
        </w:rPr>
      </w:pPr>
    </w:p>
    <w:p w14:paraId="34A38276" w14:textId="77777777" w:rsidR="00395593" w:rsidRPr="005C5CBD" w:rsidRDefault="00395593" w:rsidP="00C8137D">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w:t>
      </w:r>
      <w:r w:rsidRPr="005C5CBD">
        <w:rPr>
          <w:rFonts w:ascii="Garamond" w:eastAsia="Times New Roman" w:hAnsi="Garamond" w:cs="Calibri"/>
          <w:spacing w:val="24"/>
          <w:sz w:val="24"/>
          <w:szCs w:val="24"/>
          <w:lang w:eastAsia="pt-BR"/>
        </w:rPr>
        <w:t xml:space="preserve"> </w:t>
      </w:r>
      <w:r w:rsidRPr="005C5CBD">
        <w:rPr>
          <w:rFonts w:ascii="Garamond" w:eastAsia="Times New Roman" w:hAnsi="Garamond" w:cs="Calibri"/>
          <w:sz w:val="24"/>
          <w:szCs w:val="24"/>
          <w:lang w:eastAsia="pt-BR"/>
        </w:rPr>
        <w:t>1º  As petições de investigação original de existência de subsídios e de dano à indústria doméstica decorrente de importações do produto objeto de investigação, de revisão de direitos compensatórios e compromissos em vigor e demais procedimentos previstos no Decreto nº 10.839, de 18 de outubro de 2021, e no Acordo Sobre Subsídios e Medidas Compensatórias do Acordo Geral Sobre Tarifas Aduaneiras e Comércio - GATT/1994, aprovado pelo Decreto Legislativo nº 30, de 15 de dezembro de 1994, e promulgado pelo Decreto nº 1.355, de 30 de dezembro de 1994, consoante a Lei nº 9.019, de 30 de março de 1995, protocoladas a partir da vigência desta Portaria,</w:t>
      </w:r>
      <w:r w:rsidRPr="005C5CBD">
        <w:rPr>
          <w:rFonts w:ascii="Garamond" w:eastAsia="Times New Roman" w:hAnsi="Garamond" w:cs="Calibri"/>
          <w:color w:val="FF0000"/>
          <w:sz w:val="24"/>
          <w:szCs w:val="24"/>
          <w:lang w:eastAsia="pt-BR"/>
        </w:rPr>
        <w:t xml:space="preserve"> </w:t>
      </w:r>
      <w:r w:rsidRPr="005C5CBD">
        <w:rPr>
          <w:rFonts w:ascii="Garamond" w:eastAsia="Times New Roman" w:hAnsi="Garamond" w:cs="Calibri"/>
          <w:sz w:val="24"/>
          <w:szCs w:val="24"/>
          <w:lang w:eastAsia="pt-BR"/>
        </w:rPr>
        <w:t xml:space="preserve">deverão ser elaboradas utilizando-se exclusivamente dos formatos presentes nesta Portaria. </w:t>
      </w:r>
    </w:p>
    <w:p w14:paraId="7FD0AC86" w14:textId="77777777" w:rsidR="00395593" w:rsidRPr="005C5CBD" w:rsidRDefault="00395593" w:rsidP="00E15FBB">
      <w:pPr>
        <w:autoSpaceDE w:val="0"/>
        <w:autoSpaceDN w:val="0"/>
        <w:adjustRightInd w:val="0"/>
        <w:spacing w:after="0" w:line="240" w:lineRule="auto"/>
        <w:jc w:val="both"/>
        <w:rPr>
          <w:rFonts w:ascii="Garamond" w:eastAsia="Times New Roman" w:hAnsi="Garamond" w:cs="Calibri"/>
          <w:sz w:val="24"/>
          <w:szCs w:val="24"/>
          <w:lang w:eastAsia="pt-BR"/>
        </w:rPr>
      </w:pPr>
    </w:p>
    <w:p w14:paraId="037791B6" w14:textId="77777777" w:rsidR="00395593" w:rsidRPr="005C5CBD" w:rsidRDefault="00395593" w:rsidP="00C8137D">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2</w:t>
      </w:r>
      <w:r w:rsidRPr="005C5CBD">
        <w:rPr>
          <w:rFonts w:ascii="Garamond" w:eastAsia="Calibri" w:hAnsi="Garamond" w:cs="Calibri"/>
          <w:strike/>
          <w:sz w:val="24"/>
          <w:szCs w:val="24"/>
        </w:rPr>
        <w:t>º</w:t>
      </w:r>
      <w:r w:rsidRPr="005C5CBD">
        <w:rPr>
          <w:rFonts w:ascii="Garamond" w:eastAsia="Calibri" w:hAnsi="Garamond" w:cs="Calibri"/>
          <w:sz w:val="24"/>
          <w:szCs w:val="24"/>
        </w:rPr>
        <w:t xml:space="preserve">  Poderão ser indeferidas petições que não contenham as informações solicitadas nesta Portaria. </w:t>
      </w:r>
    </w:p>
    <w:p w14:paraId="1D1D9E81" w14:textId="77777777" w:rsidR="00395593" w:rsidRPr="005C5CBD" w:rsidRDefault="00395593" w:rsidP="00E15FBB">
      <w:pPr>
        <w:autoSpaceDE w:val="0"/>
        <w:autoSpaceDN w:val="0"/>
        <w:adjustRightInd w:val="0"/>
        <w:spacing w:after="0" w:line="240" w:lineRule="auto"/>
        <w:jc w:val="both"/>
        <w:rPr>
          <w:rFonts w:ascii="Garamond" w:eastAsia="Times New Roman" w:hAnsi="Garamond" w:cs="Calibri"/>
          <w:sz w:val="24"/>
          <w:szCs w:val="24"/>
          <w:lang w:eastAsia="pt-BR"/>
        </w:rPr>
      </w:pPr>
    </w:p>
    <w:p w14:paraId="145674DC" w14:textId="77777777" w:rsidR="00395593" w:rsidRPr="005C5CBD" w:rsidRDefault="00395593" w:rsidP="00C8137D">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Deverão ser protocoladas simultaneamente uma versão confidencial e uma versão não confidencial da petição.</w:t>
      </w:r>
    </w:p>
    <w:p w14:paraId="53CDE606" w14:textId="77777777" w:rsidR="00395593" w:rsidRPr="005C5CBD" w:rsidRDefault="00395593" w:rsidP="00E15FBB">
      <w:pPr>
        <w:spacing w:after="0" w:line="240" w:lineRule="auto"/>
        <w:jc w:val="both"/>
        <w:rPr>
          <w:rFonts w:ascii="Garamond" w:eastAsia="Calibri" w:hAnsi="Garamond" w:cs="Calibri"/>
          <w:sz w:val="24"/>
          <w:szCs w:val="24"/>
        </w:rPr>
      </w:pPr>
    </w:p>
    <w:p w14:paraId="1CFE66AC" w14:textId="77777777" w:rsidR="00395593" w:rsidRPr="005C5CBD" w:rsidRDefault="00395593" w:rsidP="00C8137D">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3º  As propostas de compromisso apresentadas por produtor, exportador ou governo estrangeiro em investigação original de subsídios ou revisão de final de período de direitos compensatórios deverão obedecer às disposições desta Portaria.</w:t>
      </w:r>
    </w:p>
    <w:p w14:paraId="66B59CF0" w14:textId="77777777" w:rsidR="00395593" w:rsidRPr="005C5CBD" w:rsidRDefault="00395593" w:rsidP="00E15FBB">
      <w:pPr>
        <w:spacing w:after="0" w:line="240" w:lineRule="auto"/>
        <w:jc w:val="both"/>
        <w:rPr>
          <w:rFonts w:ascii="Garamond" w:eastAsia="Calibri" w:hAnsi="Garamond" w:cs="Calibri"/>
          <w:sz w:val="24"/>
          <w:szCs w:val="24"/>
        </w:rPr>
      </w:pPr>
    </w:p>
    <w:p w14:paraId="605295D3" w14:textId="77777777" w:rsidR="00395593" w:rsidRPr="005C5CBD" w:rsidRDefault="00395593" w:rsidP="00C8137D">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4º  As metodologias de cálculo para determinação de montante de subsídios e apuração do montante de medidas compensatórias, nos termos do art. 22 do Decreto nº 10.839, de 2021, observarão o disposto no Capítulo II desta Portaria.</w:t>
      </w:r>
    </w:p>
    <w:p w14:paraId="5B4ABC68"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5D2ACC2E" w14:textId="77777777" w:rsidR="00395593" w:rsidRPr="005C5CBD" w:rsidRDefault="00395593" w:rsidP="00C8137D">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w:t>
      </w:r>
      <w:r w:rsidRPr="005C5CBD">
        <w:rPr>
          <w:rFonts w:ascii="Garamond" w:eastAsia="Times New Roman" w:hAnsi="Garamond" w:cs="Calibri"/>
          <w:sz w:val="24"/>
          <w:szCs w:val="24"/>
          <w:lang w:eastAsia="pt-BR"/>
        </w:rPr>
        <w:t>5º</w:t>
      </w:r>
      <w:r w:rsidRPr="005C5CBD" w:rsidDel="001941BC">
        <w:rPr>
          <w:rFonts w:ascii="Garamond" w:eastAsia="Calibri" w:hAnsi="Garamond" w:cs="Calibri"/>
          <w:sz w:val="24"/>
          <w:szCs w:val="24"/>
          <w:lang w:eastAsia="pt-BR"/>
        </w:rPr>
        <w:t xml:space="preserve"> </w:t>
      </w:r>
      <w:r w:rsidRPr="005C5CBD">
        <w:rPr>
          <w:rFonts w:ascii="Garamond" w:eastAsia="Times New Roman" w:hAnsi="Garamond" w:cs="Calibri"/>
          <w:sz w:val="24"/>
          <w:szCs w:val="24"/>
          <w:lang w:eastAsia="pt-BR"/>
        </w:rPr>
        <w:t>Todas as informações apresentadas nas petições de que trata esta Portaria deverão vir acompanhadas de comprovação, de justificativas, das fontes e metodologias utilizadas.</w:t>
      </w:r>
    </w:p>
    <w:p w14:paraId="4DE7D7DA" w14:textId="77777777" w:rsidR="00395593" w:rsidRPr="005C5CBD" w:rsidRDefault="00395593" w:rsidP="00E15FBB">
      <w:pPr>
        <w:spacing w:after="0" w:line="276" w:lineRule="auto"/>
        <w:jc w:val="both"/>
        <w:rPr>
          <w:rFonts w:ascii="Garamond" w:eastAsia="Times New Roman" w:hAnsi="Garamond" w:cs="Calibri"/>
          <w:color w:val="000000"/>
          <w:sz w:val="24"/>
          <w:szCs w:val="24"/>
          <w:lang w:eastAsia="pt-BR"/>
        </w:rPr>
      </w:pPr>
    </w:p>
    <w:p w14:paraId="5250A98D" w14:textId="77777777" w:rsidR="00395593" w:rsidRPr="005C5CBD" w:rsidRDefault="00395593" w:rsidP="00C8137D">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A Subsecretaria de Defesa Comercial e Interesse Público aceitará como fontes de informação para fins de instrução das petições de que trata esta Portaria, dentre outros:</w:t>
      </w:r>
    </w:p>
    <w:p w14:paraId="7B855A84"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45EE610E" w14:textId="77777777" w:rsidR="00395593" w:rsidRPr="005C5CBD" w:rsidRDefault="00395593" w:rsidP="00C8137D">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demonstrações financeiras e relatórios emitidos por empresas;</w:t>
      </w:r>
    </w:p>
    <w:p w14:paraId="650E2D86" w14:textId="77777777" w:rsidR="00395593" w:rsidRPr="005C5CBD" w:rsidRDefault="00395593" w:rsidP="00C8137D">
      <w:pPr>
        <w:spacing w:after="0" w:line="240" w:lineRule="auto"/>
        <w:ind w:firstLine="567"/>
        <w:jc w:val="both"/>
        <w:rPr>
          <w:rFonts w:ascii="Garamond" w:eastAsia="Times New Roman" w:hAnsi="Garamond" w:cs="Calibri"/>
          <w:sz w:val="24"/>
          <w:szCs w:val="24"/>
          <w:lang w:eastAsia="pt-BR"/>
        </w:rPr>
      </w:pPr>
    </w:p>
    <w:p w14:paraId="6BF56CE8" w14:textId="77777777" w:rsidR="00395593" w:rsidRPr="005C5CBD" w:rsidRDefault="00395593" w:rsidP="00C8137D">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legislações e regulamentos estrangeiros, planos governamentais, orçamentos públicos, políticas e programas governamentais, relatórios, estudos e demais documentos oficiais, de nível nacional ou subnacional;</w:t>
      </w:r>
    </w:p>
    <w:p w14:paraId="415FEA74" w14:textId="77777777" w:rsidR="00395593" w:rsidRPr="005C5CBD" w:rsidRDefault="00395593" w:rsidP="00C8137D">
      <w:pPr>
        <w:spacing w:after="0" w:line="240" w:lineRule="auto"/>
        <w:ind w:firstLine="567"/>
        <w:jc w:val="both"/>
        <w:rPr>
          <w:rFonts w:ascii="Garamond" w:eastAsia="Times New Roman" w:hAnsi="Garamond" w:cs="Calibri"/>
          <w:sz w:val="24"/>
          <w:szCs w:val="24"/>
          <w:lang w:eastAsia="pt-BR"/>
        </w:rPr>
      </w:pPr>
    </w:p>
    <w:p w14:paraId="17B24CD1" w14:textId="77777777" w:rsidR="00395593" w:rsidRPr="005C5CBD" w:rsidRDefault="00395593" w:rsidP="00C8137D">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relatórios e estudos vinculados a organismos internacionais; e</w:t>
      </w:r>
    </w:p>
    <w:p w14:paraId="2E39BE40" w14:textId="77777777" w:rsidR="00395593" w:rsidRPr="005C5CBD" w:rsidRDefault="00395593" w:rsidP="00C8137D">
      <w:pPr>
        <w:spacing w:after="0" w:line="240" w:lineRule="auto"/>
        <w:ind w:firstLine="567"/>
        <w:jc w:val="both"/>
        <w:rPr>
          <w:rFonts w:ascii="Garamond" w:eastAsia="Times New Roman" w:hAnsi="Garamond" w:cs="Calibri"/>
          <w:sz w:val="24"/>
          <w:szCs w:val="24"/>
          <w:lang w:eastAsia="pt-BR"/>
        </w:rPr>
      </w:pPr>
    </w:p>
    <w:p w14:paraId="78446C4C" w14:textId="77777777" w:rsidR="00395593" w:rsidRPr="005C5CBD" w:rsidRDefault="00395593" w:rsidP="00C8137D">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publicações especializadas, literatura acadêmica, estudos publicados ou encomendados e notícias publicadas na mídia.</w:t>
      </w:r>
    </w:p>
    <w:p w14:paraId="73FB91A6" w14:textId="77777777" w:rsidR="00395593" w:rsidRPr="005C5CBD" w:rsidRDefault="00395593" w:rsidP="00E15FBB">
      <w:pPr>
        <w:spacing w:after="0" w:line="240" w:lineRule="auto"/>
        <w:jc w:val="both"/>
        <w:rPr>
          <w:rFonts w:ascii="Garamond" w:eastAsia="Calibri" w:hAnsi="Garamond" w:cs="Calibri"/>
          <w:sz w:val="24"/>
          <w:szCs w:val="24"/>
        </w:rPr>
      </w:pPr>
    </w:p>
    <w:p w14:paraId="150F78D4" w14:textId="77777777" w:rsidR="00395593" w:rsidRPr="00F43497" w:rsidRDefault="00395593" w:rsidP="00C8137D">
      <w:pPr>
        <w:spacing w:after="0" w:line="240" w:lineRule="auto"/>
        <w:ind w:firstLine="567"/>
        <w:jc w:val="both"/>
        <w:rPr>
          <w:rFonts w:ascii="Garamond" w:eastAsia="Times New Roman" w:hAnsi="Garamond" w:cs="Calibri"/>
          <w:sz w:val="24"/>
          <w:szCs w:val="24"/>
          <w:lang w:eastAsia="pt-BR"/>
        </w:rPr>
      </w:pPr>
      <w:r w:rsidRPr="00F43497">
        <w:rPr>
          <w:rFonts w:ascii="Garamond" w:eastAsia="Times New Roman" w:hAnsi="Garamond" w:cs="Calibri"/>
          <w:sz w:val="24"/>
          <w:szCs w:val="24"/>
          <w:lang w:eastAsia="pt-BR"/>
        </w:rPr>
        <w:t>§ 2º As determinações e conclusões de autoridades investigadoras estrangeiras no âmbito de investigações de subsídios e os respectivos cálculos referentes à apuração do montante de subsídios poderão ser utilizados como fonte de informação para instrução de petições.</w:t>
      </w:r>
    </w:p>
    <w:p w14:paraId="0D9B29AC" w14:textId="77777777" w:rsidR="00395593" w:rsidRPr="00F43497" w:rsidRDefault="00395593" w:rsidP="00F43497">
      <w:pPr>
        <w:spacing w:after="0" w:line="240" w:lineRule="auto"/>
        <w:ind w:firstLine="708"/>
        <w:jc w:val="both"/>
        <w:rPr>
          <w:rFonts w:ascii="Garamond" w:eastAsia="Times New Roman" w:hAnsi="Garamond" w:cs="Calibri"/>
          <w:sz w:val="24"/>
          <w:szCs w:val="24"/>
          <w:lang w:eastAsia="pt-BR"/>
        </w:rPr>
      </w:pPr>
    </w:p>
    <w:p w14:paraId="149A57FF" w14:textId="77777777" w:rsidR="00395593" w:rsidRPr="00F43497" w:rsidRDefault="00395593" w:rsidP="00C8137D">
      <w:pPr>
        <w:spacing w:after="0" w:line="240" w:lineRule="auto"/>
        <w:ind w:firstLine="567"/>
        <w:jc w:val="both"/>
        <w:rPr>
          <w:rFonts w:ascii="Garamond" w:eastAsia="Times New Roman" w:hAnsi="Garamond" w:cs="Calibri"/>
          <w:sz w:val="24"/>
          <w:szCs w:val="24"/>
          <w:lang w:eastAsia="pt-BR"/>
        </w:rPr>
      </w:pPr>
      <w:r w:rsidRPr="00F43497">
        <w:rPr>
          <w:rFonts w:ascii="Garamond" w:eastAsia="Times New Roman" w:hAnsi="Garamond" w:cs="Calibri"/>
          <w:sz w:val="24"/>
          <w:szCs w:val="24"/>
          <w:lang w:eastAsia="pt-BR"/>
        </w:rPr>
        <w:t>§ 3º  Todos os documentos utilizados como fontes de informação referidos na petição deverão ser anexados aos autos do processo.</w:t>
      </w:r>
    </w:p>
    <w:p w14:paraId="002E8112" w14:textId="77777777" w:rsidR="00395593" w:rsidRPr="00F43497" w:rsidRDefault="00395593" w:rsidP="00F43497">
      <w:pPr>
        <w:spacing w:after="0" w:line="240" w:lineRule="auto"/>
        <w:ind w:firstLine="708"/>
        <w:jc w:val="both"/>
        <w:rPr>
          <w:rFonts w:ascii="Garamond" w:eastAsia="Times New Roman" w:hAnsi="Garamond" w:cs="Calibri"/>
          <w:sz w:val="24"/>
          <w:szCs w:val="24"/>
          <w:lang w:eastAsia="pt-BR"/>
        </w:rPr>
      </w:pPr>
    </w:p>
    <w:p w14:paraId="131A4232" w14:textId="77777777" w:rsidR="00395593" w:rsidRPr="00F43497" w:rsidRDefault="00395593" w:rsidP="00C8137D">
      <w:pPr>
        <w:spacing w:after="0" w:line="240" w:lineRule="auto"/>
        <w:ind w:firstLine="567"/>
        <w:jc w:val="both"/>
        <w:rPr>
          <w:rFonts w:ascii="Garamond" w:eastAsia="Times New Roman" w:hAnsi="Garamond" w:cs="Calibri"/>
          <w:sz w:val="24"/>
          <w:szCs w:val="24"/>
          <w:lang w:eastAsia="pt-BR"/>
        </w:rPr>
      </w:pPr>
      <w:r w:rsidRPr="00F43497">
        <w:rPr>
          <w:rFonts w:ascii="Garamond" w:eastAsia="Times New Roman" w:hAnsi="Garamond" w:cs="Calibri"/>
          <w:sz w:val="24"/>
          <w:szCs w:val="24"/>
          <w:lang w:eastAsia="pt-BR"/>
        </w:rPr>
        <w:t>§ 4º  Para os documentos utilizados na petição como indícios de existência de subsídios, devem ser apontados, tão detalhadamente quanto possível, os itens relevantes para as alegações apresentadas, inclusive os dispositivos específicos dos atos normativos.</w:t>
      </w:r>
    </w:p>
    <w:p w14:paraId="716A238C" w14:textId="77777777" w:rsidR="00395593" w:rsidRPr="00F43497" w:rsidRDefault="00395593" w:rsidP="00F43497">
      <w:pPr>
        <w:spacing w:after="0" w:line="240" w:lineRule="auto"/>
        <w:ind w:firstLine="708"/>
        <w:jc w:val="both"/>
        <w:rPr>
          <w:rFonts w:ascii="Garamond" w:eastAsia="Times New Roman" w:hAnsi="Garamond" w:cs="Calibri"/>
          <w:sz w:val="24"/>
          <w:szCs w:val="24"/>
          <w:lang w:eastAsia="pt-BR"/>
        </w:rPr>
      </w:pPr>
    </w:p>
    <w:p w14:paraId="0FE2A097" w14:textId="77777777" w:rsidR="00395593" w:rsidRPr="00F43497" w:rsidRDefault="00395593" w:rsidP="00C8137D">
      <w:pPr>
        <w:spacing w:after="0" w:line="240" w:lineRule="auto"/>
        <w:ind w:firstLine="567"/>
        <w:jc w:val="both"/>
        <w:rPr>
          <w:rFonts w:ascii="Garamond" w:eastAsia="Times New Roman" w:hAnsi="Garamond" w:cs="Calibri"/>
          <w:sz w:val="24"/>
          <w:szCs w:val="24"/>
          <w:lang w:eastAsia="pt-BR"/>
        </w:rPr>
      </w:pPr>
      <w:r w:rsidRPr="00F43497">
        <w:rPr>
          <w:rFonts w:ascii="Garamond" w:eastAsia="Times New Roman" w:hAnsi="Garamond" w:cs="Calibri"/>
          <w:sz w:val="24"/>
          <w:szCs w:val="24"/>
          <w:lang w:eastAsia="pt-BR"/>
        </w:rPr>
        <w:t>§ 5º  Não serão aceitas meras alegações desacompanhadas de elementos de prova.</w:t>
      </w:r>
    </w:p>
    <w:p w14:paraId="043767BF" w14:textId="77777777" w:rsidR="00395593" w:rsidRPr="00F43497" w:rsidRDefault="00395593" w:rsidP="00C8137D">
      <w:pPr>
        <w:spacing w:after="0" w:line="240" w:lineRule="auto"/>
        <w:ind w:firstLine="567"/>
        <w:jc w:val="both"/>
        <w:rPr>
          <w:rFonts w:ascii="Garamond" w:eastAsia="Times New Roman" w:hAnsi="Garamond" w:cs="Calibri"/>
          <w:sz w:val="24"/>
          <w:szCs w:val="24"/>
          <w:lang w:eastAsia="pt-BR"/>
        </w:rPr>
      </w:pPr>
    </w:p>
    <w:p w14:paraId="5C93C847" w14:textId="77777777" w:rsidR="00395593" w:rsidRPr="00F43497" w:rsidRDefault="00395593" w:rsidP="00C8137D">
      <w:pPr>
        <w:spacing w:after="0" w:line="240" w:lineRule="auto"/>
        <w:ind w:firstLine="567"/>
        <w:jc w:val="both"/>
        <w:rPr>
          <w:rFonts w:ascii="Garamond" w:eastAsia="Times New Roman" w:hAnsi="Garamond" w:cs="Calibri"/>
          <w:sz w:val="24"/>
          <w:szCs w:val="24"/>
          <w:lang w:eastAsia="pt-BR"/>
        </w:rPr>
      </w:pPr>
      <w:r w:rsidRPr="00F43497">
        <w:rPr>
          <w:rFonts w:ascii="Garamond" w:eastAsia="Times New Roman" w:hAnsi="Garamond" w:cs="Calibri"/>
          <w:sz w:val="24"/>
          <w:szCs w:val="24"/>
          <w:lang w:eastAsia="pt-BR"/>
        </w:rPr>
        <w:t xml:space="preserve">§ 6º  Para o preenchimento dos apêndices citados nessa Portaria deverão ser utilizadas as planilhas disponibilizadas no sítio eletrônico deste Ministério. </w:t>
      </w:r>
    </w:p>
    <w:p w14:paraId="2C7726FB" w14:textId="77777777" w:rsidR="00395593" w:rsidRPr="005C5CBD" w:rsidRDefault="00395593" w:rsidP="00F43497">
      <w:pPr>
        <w:spacing w:after="0" w:line="240" w:lineRule="auto"/>
        <w:ind w:firstLine="708"/>
        <w:jc w:val="both"/>
        <w:rPr>
          <w:rFonts w:ascii="Garamond" w:eastAsia="Times New Roman" w:hAnsi="Garamond" w:cs="Calibri"/>
          <w:sz w:val="24"/>
          <w:szCs w:val="24"/>
          <w:lang w:eastAsia="pt-BR"/>
        </w:rPr>
      </w:pPr>
    </w:p>
    <w:p w14:paraId="721F4731" w14:textId="77777777" w:rsidR="00395593" w:rsidRPr="005C5CBD" w:rsidRDefault="00395593" w:rsidP="00C8137D">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6</w:t>
      </w:r>
      <w:r w:rsidRPr="00F43497">
        <w:rPr>
          <w:rFonts w:ascii="Garamond" w:eastAsia="Times New Roman" w:hAnsi="Garamond" w:cs="Calibri"/>
          <w:sz w:val="24"/>
          <w:szCs w:val="24"/>
          <w:lang w:eastAsia="pt-BR"/>
        </w:rPr>
        <w:t>º</w:t>
      </w:r>
      <w:r w:rsidRPr="005C5CBD">
        <w:rPr>
          <w:rFonts w:ascii="Garamond" w:eastAsia="Times New Roman" w:hAnsi="Garamond" w:cs="Calibri"/>
          <w:sz w:val="24"/>
          <w:szCs w:val="24"/>
          <w:lang w:eastAsia="pt-BR"/>
        </w:rPr>
        <w:t xml:space="preserve">  As petições de que trata esta Portaria deverão conter informações que estejam razoavelmente disponíveis ao peticionário.</w:t>
      </w:r>
    </w:p>
    <w:p w14:paraId="34FB251A" w14:textId="77777777" w:rsidR="00395593" w:rsidRPr="005C5CBD" w:rsidRDefault="00395593" w:rsidP="00F43497">
      <w:pPr>
        <w:spacing w:after="0" w:line="240" w:lineRule="auto"/>
        <w:ind w:firstLine="708"/>
        <w:jc w:val="both"/>
        <w:rPr>
          <w:rFonts w:ascii="Garamond" w:eastAsia="Times New Roman" w:hAnsi="Garamond" w:cs="Calibri"/>
          <w:sz w:val="24"/>
          <w:szCs w:val="24"/>
          <w:lang w:eastAsia="pt-BR"/>
        </w:rPr>
      </w:pPr>
    </w:p>
    <w:p w14:paraId="21CB2B7E" w14:textId="77777777" w:rsidR="00395593" w:rsidRPr="005C5CBD" w:rsidRDefault="00395593" w:rsidP="00C8137D">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7</w:t>
      </w:r>
      <w:r w:rsidRPr="00F43497">
        <w:rPr>
          <w:rFonts w:ascii="Garamond" w:eastAsia="Times New Roman" w:hAnsi="Garamond" w:cs="Calibri"/>
          <w:sz w:val="24"/>
          <w:szCs w:val="24"/>
          <w:lang w:eastAsia="pt-BR"/>
        </w:rPr>
        <w:t>º</w:t>
      </w:r>
      <w:r w:rsidRPr="005C5CBD">
        <w:rPr>
          <w:rFonts w:ascii="Garamond" w:eastAsia="Times New Roman" w:hAnsi="Garamond" w:cs="Calibri"/>
          <w:sz w:val="24"/>
          <w:szCs w:val="24"/>
          <w:lang w:eastAsia="pt-BR"/>
        </w:rPr>
        <w:t xml:space="preserve">  A Subsecretaria de Defesa Comercial e Interesse Público da Secretaria de Comércio Exterior da Secretaria Especial de Comércio Exterior e Assuntos Internacionais do Ministério da Economia poderá conduzir, a seu critério e desde que devidamente justificado, os processos de revisão de que trata esta Portaria de forma simultânea ou combinada.</w:t>
      </w:r>
    </w:p>
    <w:p w14:paraId="0A503A79" w14:textId="77777777" w:rsidR="00395593" w:rsidRPr="005C5CBD" w:rsidRDefault="00395593" w:rsidP="00F43497">
      <w:pPr>
        <w:spacing w:after="0" w:line="240" w:lineRule="auto"/>
        <w:ind w:firstLine="708"/>
        <w:jc w:val="both"/>
        <w:rPr>
          <w:rFonts w:ascii="Garamond" w:eastAsia="Times New Roman" w:hAnsi="Garamond" w:cs="Calibri"/>
          <w:sz w:val="24"/>
          <w:szCs w:val="24"/>
          <w:lang w:eastAsia="pt-BR"/>
        </w:rPr>
      </w:pPr>
    </w:p>
    <w:p w14:paraId="42DFE230" w14:textId="77777777" w:rsidR="00395593" w:rsidRPr="005C5CBD" w:rsidRDefault="00395593" w:rsidP="00C8137D">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Considera-se por condução simultânea a tramitação no âmbito de dois processos distintos de revisão previstos nos Capítulos IV a VIII referentes ao mesmo ato que aplicou, alterou, prorrogou ou estendeu um direito compensatório definitivo.</w:t>
      </w:r>
    </w:p>
    <w:p w14:paraId="21F5280D" w14:textId="77777777" w:rsidR="00395593" w:rsidRPr="005C5CBD" w:rsidRDefault="00395593" w:rsidP="00F43497">
      <w:pPr>
        <w:spacing w:after="0" w:line="240" w:lineRule="auto"/>
        <w:ind w:firstLine="708"/>
        <w:jc w:val="both"/>
        <w:rPr>
          <w:rFonts w:ascii="Garamond" w:eastAsia="Times New Roman" w:hAnsi="Garamond" w:cs="Calibri"/>
          <w:sz w:val="24"/>
          <w:szCs w:val="24"/>
          <w:lang w:eastAsia="pt-BR"/>
        </w:rPr>
      </w:pPr>
    </w:p>
    <w:p w14:paraId="550E41AE" w14:textId="77777777" w:rsidR="00395593" w:rsidRPr="005C5CBD" w:rsidRDefault="00395593" w:rsidP="00C8137D">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Considera-se por condução combinada a tramitação no âmbito de um único processo das revisões previstas nos Capítulos IV a VIII.</w:t>
      </w:r>
    </w:p>
    <w:p w14:paraId="1EFA8A94" w14:textId="77777777" w:rsidR="00395593" w:rsidRPr="00F43497" w:rsidRDefault="00395593" w:rsidP="00F43497">
      <w:pPr>
        <w:spacing w:after="0" w:line="240" w:lineRule="auto"/>
        <w:ind w:firstLine="708"/>
        <w:jc w:val="both"/>
        <w:rPr>
          <w:rFonts w:ascii="Garamond" w:eastAsia="Times New Roman" w:hAnsi="Garamond" w:cs="Calibri"/>
          <w:sz w:val="24"/>
          <w:szCs w:val="24"/>
          <w:lang w:eastAsia="pt-BR"/>
        </w:rPr>
      </w:pPr>
    </w:p>
    <w:p w14:paraId="0CA3057E" w14:textId="77777777" w:rsidR="00395593" w:rsidRPr="00C8137D" w:rsidRDefault="00395593" w:rsidP="00C8137D">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8</w:t>
      </w:r>
      <w:r w:rsidRPr="00F43497">
        <w:rPr>
          <w:rFonts w:ascii="Garamond" w:eastAsia="Times New Roman" w:hAnsi="Garamond" w:cs="Calibri"/>
          <w:sz w:val="24"/>
          <w:szCs w:val="24"/>
          <w:lang w:eastAsia="pt-BR"/>
        </w:rPr>
        <w:t>º  A Subsecretaria de Defesa Comercial e Interesse Público poderá conduzir verificação in loco para examinar os registros e comprovar a validade das informações submetidas pelo peticionário e pelas empresas e governos que fornecerem dados no âmbito</w:t>
      </w:r>
      <w:r w:rsidRPr="005C5CBD">
        <w:rPr>
          <w:rFonts w:ascii="Garamond" w:eastAsia="Times New Roman" w:hAnsi="Garamond" w:cs="Calibri"/>
          <w:sz w:val="24"/>
          <w:szCs w:val="24"/>
          <w:lang w:eastAsia="pt-BR"/>
        </w:rPr>
        <w:t xml:space="preserve"> </w:t>
      </w:r>
      <w:r w:rsidRPr="00F43497">
        <w:rPr>
          <w:rFonts w:ascii="Garamond" w:eastAsia="Times New Roman" w:hAnsi="Garamond" w:cs="Calibri"/>
          <w:sz w:val="24"/>
          <w:szCs w:val="24"/>
          <w:lang w:eastAsia="pt-BR"/>
        </w:rPr>
        <w:t>dos procedimentos indicados nesta Portaria.</w:t>
      </w:r>
      <w:r w:rsidRPr="00C8137D">
        <w:rPr>
          <w:rFonts w:ascii="Garamond" w:eastAsia="Times New Roman" w:hAnsi="Garamond" w:cs="Calibri"/>
          <w:sz w:val="24"/>
          <w:szCs w:val="24"/>
          <w:lang w:eastAsia="pt-BR"/>
        </w:rPr>
        <w:t xml:space="preserve"> </w:t>
      </w:r>
    </w:p>
    <w:p w14:paraId="65166F50" w14:textId="77777777" w:rsidR="00395593" w:rsidRPr="005C5CBD" w:rsidRDefault="00395593" w:rsidP="00E15FBB">
      <w:pPr>
        <w:spacing w:after="0" w:line="240" w:lineRule="auto"/>
        <w:jc w:val="both"/>
        <w:rPr>
          <w:rFonts w:ascii="Garamond" w:eastAsia="Calibri" w:hAnsi="Garamond" w:cs="Calibri"/>
          <w:sz w:val="24"/>
          <w:szCs w:val="24"/>
        </w:rPr>
      </w:pPr>
    </w:p>
    <w:p w14:paraId="28B94746" w14:textId="77777777" w:rsidR="00395593" w:rsidRPr="005C5CBD" w:rsidRDefault="00395593" w:rsidP="00C8137D">
      <w:pPr>
        <w:spacing w:after="0" w:line="240" w:lineRule="auto"/>
        <w:ind w:firstLine="567"/>
        <w:jc w:val="both"/>
        <w:rPr>
          <w:rFonts w:ascii="Garamond" w:eastAsia="Times New Roman" w:hAnsi="Garamond" w:cs="Calibri"/>
          <w:sz w:val="24"/>
          <w:szCs w:val="24"/>
          <w:lang w:eastAsia="pt-BR"/>
        </w:rPr>
      </w:pPr>
      <w:r w:rsidRPr="00C8137D">
        <w:rPr>
          <w:rFonts w:ascii="Garamond" w:eastAsia="Times New Roman" w:hAnsi="Garamond" w:cs="Calibri"/>
          <w:sz w:val="24"/>
          <w:szCs w:val="24"/>
          <w:lang w:eastAsia="pt-BR"/>
        </w:rPr>
        <w:t xml:space="preserve">Parágrafo único.  Para fins do caput, os documentos auxiliares utilizados na elaboração de petições e os utilizados nas respostas aos questionários deverão ser preservados. </w:t>
      </w:r>
    </w:p>
    <w:p w14:paraId="66F021E4"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25512363" w14:textId="77777777" w:rsidR="00395593" w:rsidRPr="00F43497" w:rsidRDefault="00395593" w:rsidP="00C8137D">
      <w:pPr>
        <w:spacing w:after="0" w:line="240" w:lineRule="auto"/>
        <w:ind w:firstLine="567"/>
        <w:jc w:val="both"/>
        <w:rPr>
          <w:rFonts w:ascii="Garamond" w:eastAsia="Times New Roman" w:hAnsi="Garamond" w:cs="Calibri"/>
          <w:sz w:val="24"/>
          <w:szCs w:val="24"/>
          <w:lang w:eastAsia="pt-BR"/>
        </w:rPr>
      </w:pPr>
      <w:r w:rsidRPr="00F43497">
        <w:rPr>
          <w:rFonts w:ascii="Garamond" w:eastAsia="Times New Roman" w:hAnsi="Garamond" w:cs="Calibri"/>
          <w:sz w:val="24"/>
          <w:szCs w:val="24"/>
          <w:lang w:eastAsia="pt-BR"/>
        </w:rPr>
        <w:t>Art. 9º As exigências previstas em ato normativo específico sobre representação legal de partes interessadas deverão ser observadas.</w:t>
      </w:r>
    </w:p>
    <w:p w14:paraId="34C75499"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5E053DEF" w14:textId="77777777" w:rsidR="00395593" w:rsidRPr="00F43497" w:rsidRDefault="00395593" w:rsidP="00C8137D">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Art. 10.  Dúvidas e solicitações de esclarecimentos deverão ser encaminhadas à Subsecretaria de Defesa Comercial e Interesse Público por meio dos endereços eletrônicos </w:t>
      </w:r>
      <w:hyperlink r:id="rId240" w:history="1">
        <w:r w:rsidRPr="00F43497">
          <w:rPr>
            <w:rFonts w:ascii="Garamond" w:eastAsia="Times New Roman" w:hAnsi="Garamond" w:cs="Calibri"/>
            <w:sz w:val="24"/>
            <w:szCs w:val="24"/>
            <w:lang w:eastAsia="pt-BR"/>
          </w:rPr>
          <w:t>sdcom@economia.gov.br</w:t>
        </w:r>
      </w:hyperlink>
      <w:r w:rsidRPr="00F43497">
        <w:rPr>
          <w:rFonts w:ascii="Garamond" w:eastAsia="Times New Roman" w:hAnsi="Garamond" w:cs="Calibri"/>
          <w:sz w:val="24"/>
          <w:szCs w:val="24"/>
          <w:lang w:eastAsia="pt-BR"/>
        </w:rPr>
        <w:t xml:space="preserve"> ou </w:t>
      </w:r>
      <w:hyperlink r:id="rId241" w:history="1">
        <w:r w:rsidRPr="00F43497">
          <w:rPr>
            <w:rFonts w:ascii="Garamond" w:eastAsia="Times New Roman" w:hAnsi="Garamond" w:cs="Calibri"/>
            <w:sz w:val="24"/>
            <w:szCs w:val="24"/>
            <w:lang w:eastAsia="pt-BR"/>
          </w:rPr>
          <w:t>defesacomercial.cgmc@economia.gov.br</w:t>
        </w:r>
      </w:hyperlink>
      <w:r w:rsidRPr="00F43497">
        <w:rPr>
          <w:rFonts w:ascii="Garamond" w:eastAsia="Times New Roman" w:hAnsi="Garamond" w:cs="Calibri"/>
          <w:sz w:val="24"/>
          <w:szCs w:val="24"/>
          <w:lang w:eastAsia="pt-BR"/>
        </w:rPr>
        <w:t>.</w:t>
      </w:r>
    </w:p>
    <w:p w14:paraId="0A25D730"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68BD0C59" w14:textId="77777777" w:rsidR="00395593" w:rsidRPr="005C5CBD" w:rsidRDefault="00395593" w:rsidP="00E15FBB">
      <w:pPr>
        <w:spacing w:after="0" w:line="240" w:lineRule="auto"/>
        <w:rPr>
          <w:rFonts w:ascii="Garamond" w:eastAsia="Calibri" w:hAnsi="Garamond" w:cs="Calibri"/>
          <w:b/>
          <w:sz w:val="24"/>
          <w:szCs w:val="24"/>
        </w:rPr>
      </w:pPr>
    </w:p>
    <w:p w14:paraId="378FB036" w14:textId="77777777" w:rsidR="00395593" w:rsidRPr="007B17E1" w:rsidRDefault="00395593" w:rsidP="00CC7F15">
      <w:pPr>
        <w:pStyle w:val="Corpodetexto"/>
        <w:jc w:val="center"/>
        <w:rPr>
          <w:rFonts w:ascii="Garamond" w:eastAsia="Calibri" w:hAnsi="Garamond"/>
          <w:b/>
        </w:rPr>
      </w:pPr>
      <w:r w:rsidRPr="007B17E1">
        <w:rPr>
          <w:rFonts w:ascii="Garamond" w:eastAsia="Calibri" w:hAnsi="Garamond"/>
          <w:b/>
        </w:rPr>
        <w:t>CAPÍTULO II</w:t>
      </w:r>
    </w:p>
    <w:p w14:paraId="1E67E774" w14:textId="77777777" w:rsidR="00395593" w:rsidRPr="007B17E1" w:rsidRDefault="00395593" w:rsidP="00CC7F15">
      <w:pPr>
        <w:pStyle w:val="Corpodetexto"/>
        <w:jc w:val="center"/>
        <w:rPr>
          <w:rFonts w:ascii="Garamond" w:eastAsia="Calibri" w:hAnsi="Garamond"/>
          <w:b/>
        </w:rPr>
      </w:pPr>
      <w:r w:rsidRPr="007B17E1">
        <w:rPr>
          <w:rFonts w:ascii="Garamond" w:eastAsia="Calibri" w:hAnsi="Garamond"/>
          <w:b/>
        </w:rPr>
        <w:t>DA APURAÇÃO DE MONTANTE DE SUBSÍDIO E DE DIREITO COMPENSATÓRIO</w:t>
      </w:r>
    </w:p>
    <w:p w14:paraId="13270CD5" w14:textId="77777777" w:rsidR="00395593" w:rsidRPr="007B17E1" w:rsidRDefault="00395593" w:rsidP="00CC7F15">
      <w:pPr>
        <w:pStyle w:val="Corpodetexto"/>
        <w:jc w:val="center"/>
        <w:rPr>
          <w:rFonts w:ascii="Garamond" w:eastAsia="Arial Unicode MS" w:hAnsi="Garamond"/>
          <w:b/>
          <w:bdr w:val="nil"/>
        </w:rPr>
      </w:pPr>
    </w:p>
    <w:p w14:paraId="5C2409FD" w14:textId="77777777" w:rsidR="00395593" w:rsidRPr="007B17E1" w:rsidRDefault="00395593" w:rsidP="00CC7F15">
      <w:pPr>
        <w:pStyle w:val="Corpodetexto"/>
        <w:jc w:val="center"/>
        <w:rPr>
          <w:rFonts w:ascii="Garamond" w:hAnsi="Garamond"/>
          <w:b/>
          <w:lang w:eastAsia="pt-BR"/>
        </w:rPr>
      </w:pPr>
      <w:r w:rsidRPr="007B17E1">
        <w:rPr>
          <w:rFonts w:ascii="Garamond" w:hAnsi="Garamond"/>
          <w:b/>
          <w:lang w:eastAsia="pt-BR"/>
        </w:rPr>
        <w:t>Seção I</w:t>
      </w:r>
    </w:p>
    <w:p w14:paraId="6DA01B1B" w14:textId="6BAA094F" w:rsidR="00395593" w:rsidRDefault="00395593" w:rsidP="00CC7F15">
      <w:pPr>
        <w:pStyle w:val="Corpodetexto"/>
        <w:jc w:val="center"/>
        <w:rPr>
          <w:rFonts w:ascii="Garamond" w:hAnsi="Garamond"/>
          <w:b/>
          <w:lang w:eastAsia="pt-BR"/>
        </w:rPr>
      </w:pPr>
      <w:r w:rsidRPr="007B17E1">
        <w:rPr>
          <w:rFonts w:ascii="Garamond" w:hAnsi="Garamond"/>
          <w:b/>
          <w:lang w:eastAsia="pt-BR"/>
        </w:rPr>
        <w:t>Das instruções gerais</w:t>
      </w:r>
    </w:p>
    <w:p w14:paraId="75341BAC" w14:textId="77777777" w:rsidR="00C8137D" w:rsidRPr="007B17E1" w:rsidRDefault="00C8137D" w:rsidP="00CC7F15">
      <w:pPr>
        <w:pStyle w:val="Corpodetexto"/>
        <w:jc w:val="center"/>
        <w:rPr>
          <w:rFonts w:ascii="Garamond" w:hAnsi="Garamond"/>
          <w:b/>
          <w:lang w:eastAsia="pt-BR"/>
        </w:rPr>
      </w:pPr>
    </w:p>
    <w:p w14:paraId="323CBFBD" w14:textId="77777777" w:rsidR="00395593" w:rsidRDefault="00395593" w:rsidP="00C8137D">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Art. 11.  As metodologias de cálculo de montante de subsídios com vistas à aplicação de direitos compensatórios </w:t>
      </w:r>
      <w:r w:rsidRPr="00F43497">
        <w:rPr>
          <w:rFonts w:ascii="Garamond" w:eastAsia="Times New Roman" w:hAnsi="Garamond" w:cs="Calibri"/>
          <w:sz w:val="24"/>
          <w:szCs w:val="24"/>
          <w:lang w:eastAsia="pt-BR"/>
        </w:rPr>
        <w:t>deverão observar o disposto neste Capítulo.</w:t>
      </w:r>
    </w:p>
    <w:p w14:paraId="359EBB6F" w14:textId="77777777" w:rsidR="00274F99" w:rsidRPr="00F43497" w:rsidRDefault="00274F99" w:rsidP="00C8137D">
      <w:pPr>
        <w:spacing w:after="0" w:line="240" w:lineRule="auto"/>
        <w:ind w:firstLine="567"/>
        <w:jc w:val="both"/>
        <w:rPr>
          <w:rFonts w:ascii="Garamond" w:eastAsia="Times New Roman" w:hAnsi="Garamond" w:cs="Calibri"/>
          <w:sz w:val="24"/>
          <w:szCs w:val="24"/>
          <w:lang w:eastAsia="pt-BR"/>
        </w:rPr>
      </w:pPr>
    </w:p>
    <w:p w14:paraId="5F9482E9" w14:textId="77777777" w:rsidR="00395593" w:rsidRDefault="00395593" w:rsidP="00C8137D">
      <w:pPr>
        <w:spacing w:after="0" w:line="240" w:lineRule="auto"/>
        <w:ind w:firstLine="567"/>
        <w:jc w:val="both"/>
        <w:rPr>
          <w:rFonts w:ascii="Garamond" w:eastAsia="Times New Roman" w:hAnsi="Garamond" w:cs="Calibri"/>
          <w:sz w:val="24"/>
          <w:szCs w:val="24"/>
          <w:lang w:eastAsia="pt-BR"/>
        </w:rPr>
      </w:pPr>
      <w:r w:rsidRPr="00F43497">
        <w:rPr>
          <w:rFonts w:ascii="Garamond" w:eastAsia="Times New Roman" w:hAnsi="Garamond" w:cs="Calibri"/>
          <w:sz w:val="24"/>
          <w:szCs w:val="24"/>
          <w:lang w:eastAsia="pt-BR"/>
        </w:rPr>
        <w:t xml:space="preserve">§1º  Compete à Subsecretaria de Defesa Comercial e Interesse Público, na função de autoridade investigadora, realizar os cálculos de montantes de subsídios e de direitos compensatórios no âmbito dos processos administrativos. </w:t>
      </w:r>
    </w:p>
    <w:p w14:paraId="23F4B022" w14:textId="77777777" w:rsidR="00274F99" w:rsidRPr="00F43497" w:rsidRDefault="00274F99" w:rsidP="00742BFD">
      <w:pPr>
        <w:spacing w:after="0" w:line="240" w:lineRule="auto"/>
        <w:ind w:firstLine="709"/>
        <w:jc w:val="both"/>
        <w:rPr>
          <w:rFonts w:ascii="Garamond" w:eastAsia="Times New Roman" w:hAnsi="Garamond" w:cs="Calibri"/>
          <w:sz w:val="24"/>
          <w:szCs w:val="24"/>
          <w:lang w:eastAsia="pt-BR"/>
        </w:rPr>
      </w:pPr>
    </w:p>
    <w:p w14:paraId="5F6F08E6" w14:textId="77777777" w:rsidR="00395593" w:rsidRDefault="00395593" w:rsidP="00C8137D">
      <w:pPr>
        <w:spacing w:after="0" w:line="240" w:lineRule="auto"/>
        <w:ind w:firstLine="567"/>
        <w:jc w:val="both"/>
        <w:rPr>
          <w:rFonts w:ascii="Garamond" w:eastAsia="Times New Roman" w:hAnsi="Garamond" w:cs="Calibri"/>
          <w:sz w:val="24"/>
          <w:szCs w:val="24"/>
          <w:lang w:eastAsia="pt-BR"/>
        </w:rPr>
      </w:pPr>
      <w:r w:rsidRPr="00F43497">
        <w:rPr>
          <w:rFonts w:ascii="Garamond" w:eastAsia="Times New Roman" w:hAnsi="Garamond" w:cs="Calibri"/>
          <w:sz w:val="24"/>
          <w:szCs w:val="24"/>
          <w:lang w:eastAsia="pt-BR"/>
        </w:rPr>
        <w:t xml:space="preserve">§2º  As metodologias de cálculo de montante de subsídio com vistas à aplicação de direitos compensatórios previstas nesta Portaria têm caráter não exaustivo e visam fornecer orientações para a condução de investigações de existência de subsídios, devendo a Subsecretaria de Defesa Comercial e Interesse Público levar em consideração, em suas determinações, as especificidades do caso concreto.  </w:t>
      </w:r>
    </w:p>
    <w:p w14:paraId="5A6BF712" w14:textId="77777777" w:rsidR="00274F99" w:rsidRPr="00F43497" w:rsidRDefault="00274F99" w:rsidP="00C8137D">
      <w:pPr>
        <w:spacing w:after="0" w:line="240" w:lineRule="auto"/>
        <w:ind w:firstLine="567"/>
        <w:jc w:val="both"/>
        <w:rPr>
          <w:rFonts w:ascii="Garamond" w:eastAsia="Times New Roman" w:hAnsi="Garamond" w:cs="Calibri"/>
          <w:sz w:val="24"/>
          <w:szCs w:val="24"/>
          <w:lang w:eastAsia="pt-BR"/>
        </w:rPr>
      </w:pPr>
    </w:p>
    <w:p w14:paraId="41B53ABE" w14:textId="77777777" w:rsidR="00395593" w:rsidRPr="00C8137D" w:rsidRDefault="00395593" w:rsidP="00C8137D">
      <w:pPr>
        <w:spacing w:after="0" w:line="240" w:lineRule="auto"/>
        <w:ind w:firstLine="567"/>
        <w:jc w:val="both"/>
        <w:rPr>
          <w:rFonts w:ascii="Garamond" w:eastAsia="Times New Roman" w:hAnsi="Garamond" w:cs="Calibri"/>
          <w:sz w:val="24"/>
          <w:szCs w:val="24"/>
          <w:lang w:eastAsia="pt-BR"/>
        </w:rPr>
      </w:pPr>
      <w:r w:rsidRPr="00C8137D">
        <w:rPr>
          <w:rFonts w:ascii="Garamond" w:eastAsia="Times New Roman" w:hAnsi="Garamond" w:cs="Calibri"/>
          <w:sz w:val="24"/>
          <w:szCs w:val="24"/>
          <w:lang w:eastAsia="pt-BR"/>
        </w:rPr>
        <w:t>§3º  A Subsecretaria de Defesa Comercial e Interesse Público poderá apurar montante de subsídio de forma distinta do previsto neste Capítulo quando os fatos do caso concreto assim o justificarem, observadas as diretrizes e princípios estabelecidos</w:t>
      </w:r>
      <w:r w:rsidRPr="00C8137D" w:rsidDel="001A1E55">
        <w:rPr>
          <w:rFonts w:ascii="Garamond" w:eastAsia="Times New Roman" w:hAnsi="Garamond" w:cs="Calibri"/>
          <w:sz w:val="24"/>
          <w:szCs w:val="24"/>
          <w:lang w:eastAsia="pt-BR"/>
        </w:rPr>
        <w:t xml:space="preserve"> no </w:t>
      </w:r>
      <w:r w:rsidRPr="00C8137D">
        <w:rPr>
          <w:rFonts w:ascii="Garamond" w:eastAsia="Times New Roman" w:hAnsi="Garamond" w:cs="Calibri"/>
          <w:sz w:val="24"/>
          <w:szCs w:val="24"/>
          <w:lang w:eastAsia="pt-BR"/>
        </w:rPr>
        <w:t>Acordo sobre Subsídios e Medidas Compensatórias da OMC e mediante justificativa.</w:t>
      </w:r>
    </w:p>
    <w:p w14:paraId="609B6709" w14:textId="77777777" w:rsidR="00395593" w:rsidRPr="007B17E1" w:rsidRDefault="00395593" w:rsidP="00CC7F15">
      <w:pPr>
        <w:pStyle w:val="Corpodetexto"/>
        <w:jc w:val="center"/>
        <w:rPr>
          <w:rFonts w:ascii="Garamond" w:hAnsi="Garamond"/>
          <w:b/>
          <w:lang w:eastAsia="pt-BR"/>
        </w:rPr>
      </w:pPr>
      <w:r w:rsidRPr="007B17E1">
        <w:rPr>
          <w:rFonts w:ascii="Garamond" w:hAnsi="Garamond"/>
          <w:b/>
          <w:lang w:eastAsia="pt-BR"/>
        </w:rPr>
        <w:t>Seção II</w:t>
      </w:r>
    </w:p>
    <w:p w14:paraId="44CCA035" w14:textId="77777777" w:rsidR="00395593" w:rsidRPr="007B17E1" w:rsidRDefault="00395593" w:rsidP="00CC7F15">
      <w:pPr>
        <w:pStyle w:val="Corpodetexto"/>
        <w:jc w:val="center"/>
        <w:rPr>
          <w:rFonts w:ascii="Garamond" w:hAnsi="Garamond"/>
          <w:b/>
          <w:lang w:eastAsia="pt-BR"/>
        </w:rPr>
      </w:pPr>
      <w:r w:rsidRPr="007B17E1">
        <w:rPr>
          <w:rFonts w:ascii="Garamond" w:hAnsi="Garamond"/>
          <w:b/>
          <w:lang w:eastAsia="pt-BR"/>
        </w:rPr>
        <w:t>Das partes relacionadas ou associadas</w:t>
      </w:r>
    </w:p>
    <w:p w14:paraId="792AE638" w14:textId="77777777" w:rsidR="00395593" w:rsidRPr="005C5CBD" w:rsidRDefault="00395593" w:rsidP="00E15FBB">
      <w:pPr>
        <w:spacing w:after="0" w:line="240" w:lineRule="auto"/>
        <w:rPr>
          <w:rFonts w:ascii="Garamond" w:eastAsia="Times New Roman" w:hAnsi="Garamond" w:cs="Times New Roman"/>
          <w:sz w:val="24"/>
          <w:szCs w:val="24"/>
          <w:lang w:eastAsia="pt-BR"/>
        </w:rPr>
      </w:pPr>
    </w:p>
    <w:p w14:paraId="7DCEF1CB" w14:textId="77777777" w:rsidR="00395593" w:rsidRPr="00C8137D" w:rsidRDefault="00395593" w:rsidP="00C8137D">
      <w:pPr>
        <w:spacing w:after="0" w:line="240" w:lineRule="auto"/>
        <w:ind w:firstLine="567"/>
        <w:jc w:val="both"/>
        <w:rPr>
          <w:rFonts w:ascii="Garamond" w:eastAsia="Times New Roman" w:hAnsi="Garamond" w:cs="Calibri"/>
          <w:sz w:val="24"/>
          <w:szCs w:val="24"/>
          <w:lang w:eastAsia="pt-BR"/>
        </w:rPr>
      </w:pPr>
      <w:r w:rsidRPr="00C8137D">
        <w:rPr>
          <w:rFonts w:ascii="Garamond" w:eastAsia="Times New Roman" w:hAnsi="Garamond" w:cs="Calibri"/>
          <w:sz w:val="24"/>
          <w:szCs w:val="24"/>
          <w:lang w:eastAsia="pt-BR"/>
        </w:rPr>
        <w:t>Art. 12.  Conforme consta do art. 8º do Decreto nº 10.839, de 2021, para fins do disposto nesta Portaria, exceto quando disposto de maneira distinta, as partes serão consideradas relacionadas ou associadas se:</w:t>
      </w:r>
    </w:p>
    <w:p w14:paraId="071EF7E7" w14:textId="77777777" w:rsidR="00395593" w:rsidRPr="00C8137D" w:rsidRDefault="00395593" w:rsidP="00C8137D">
      <w:pPr>
        <w:spacing w:after="0" w:line="240" w:lineRule="auto"/>
        <w:ind w:firstLine="567"/>
        <w:jc w:val="both"/>
        <w:rPr>
          <w:rFonts w:ascii="Garamond" w:eastAsia="Times New Roman" w:hAnsi="Garamond" w:cs="Calibri"/>
          <w:sz w:val="24"/>
          <w:szCs w:val="24"/>
          <w:lang w:eastAsia="pt-BR"/>
        </w:rPr>
      </w:pPr>
    </w:p>
    <w:p w14:paraId="4A1915D6"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uma delas ocupar cargo de responsabilidade ou de direção em empresa da outra;</w:t>
      </w:r>
    </w:p>
    <w:p w14:paraId="3F678012"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forem legalmente reconhecidas como associadas em negócios;</w:t>
      </w:r>
    </w:p>
    <w:p w14:paraId="00A8F767"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forem empregador e empregado;</w:t>
      </w:r>
    </w:p>
    <w:p w14:paraId="6D27DB1E"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qualquer pessoa, direta ou indiretamente, possuir, controlar ou detiver cinco por cento ou mais das ações ou dos títulos emitidos com direito a voto de ambas;</w:t>
      </w:r>
    </w:p>
    <w:p w14:paraId="2D0E10A7"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 - uma delas, direta ou indiretamente, controlar a outra, inclusive por intermédio de acordo de acionistas;</w:t>
      </w:r>
    </w:p>
    <w:p w14:paraId="0FA19456"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VI - forem ambas, direta ou indiretamente, controladas por uma terceira pessoa;</w:t>
      </w:r>
    </w:p>
    <w:p w14:paraId="44C46D86"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VII - juntas controlarem direta ou indiretamente uma terceira pessoa;</w:t>
      </w:r>
    </w:p>
    <w:p w14:paraId="3EAA960E"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VIII - forem membros da mesma família; ou</w:t>
      </w:r>
    </w:p>
    <w:p w14:paraId="314B71E6"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IX - se houver relação de dependência econômica, financeira ou tecnológica com clientes, fornecedores ou financiadores que configure controle operacional.</w:t>
      </w:r>
    </w:p>
    <w:p w14:paraId="365D6417"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Considera-se controle, para os efeitos deste artigo, quando uma empresa está em condições legais ou operacionais de restringir as decisões de outras ou nelas influir.</w:t>
      </w:r>
    </w:p>
    <w:p w14:paraId="37D59089"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13.  Em regra, deverão fornecer resposta completa ao questionário e cooperar na investigação cada uma das partes relacionadas ou associadas aos produtores ou exportadores investigados quando ao menos uma das seguintes situações existir:</w:t>
      </w:r>
    </w:p>
    <w:p w14:paraId="1716AADE"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a parte relacionada ou associada produziu o produto objeto da investigação;</w:t>
      </w:r>
    </w:p>
    <w:p w14:paraId="5BA5CAFB" w14:textId="77777777" w:rsidR="00395593" w:rsidRPr="005C5CBD" w:rsidRDefault="00395593" w:rsidP="00C8137D">
      <w:pPr>
        <w:tabs>
          <w:tab w:val="left" w:pos="7490"/>
        </w:tabs>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 - a parte relacionada ou associada é a matriz ou </w:t>
      </w:r>
      <w:r w:rsidRPr="005C5CBD">
        <w:rPr>
          <w:rFonts w:ascii="Garamond" w:eastAsia="Times New Roman" w:hAnsi="Garamond" w:cs="Calibri"/>
          <w:b/>
          <w:bCs/>
          <w:sz w:val="24"/>
          <w:szCs w:val="24"/>
          <w:lang w:eastAsia="pt-BR"/>
        </w:rPr>
        <w:t>holding</w:t>
      </w:r>
      <w:r w:rsidRPr="005C5CBD">
        <w:rPr>
          <w:rFonts w:ascii="Garamond" w:eastAsia="Times New Roman" w:hAnsi="Garamond" w:cs="Calibri"/>
          <w:sz w:val="24"/>
          <w:szCs w:val="24"/>
          <w:lang w:eastAsia="pt-BR"/>
        </w:rPr>
        <w:t xml:space="preserve"> da empresa selecionada;</w:t>
      </w:r>
    </w:p>
    <w:p w14:paraId="0268F234"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a parte relacionada ou associada fornece insumos para a empresa selecionada para produção do produto à jusante produzido pela empresa respondente; ou</w:t>
      </w:r>
    </w:p>
    <w:p w14:paraId="0F206167"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a parte relacionada ou associada recebeu um subsídio e o transferiu para a empresa respondente.</w:t>
      </w:r>
    </w:p>
    <w:p w14:paraId="68455BD9"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O disposto neste artigo também será aplicável a revisões de direito compensatório em vigor.</w:t>
      </w:r>
    </w:p>
    <w:p w14:paraId="47E183DA"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14.  Caso as partes relacionadas ou associadas neguem acesso à informação requerida no curso da investigação, a determinação da Subsecretaria de Defesa Comercial e Interesse Público será realizada com base na melhor informação disponível, nos termos do § 3º do art. 46, c/c arts. 174 a 179 do Decreto nº 10.839, de 2021</w:t>
      </w:r>
      <w:r w:rsidRPr="00C8137D">
        <w:rPr>
          <w:rFonts w:ascii="Garamond" w:eastAsia="Times New Roman" w:hAnsi="Garamond" w:cs="Calibri"/>
          <w:sz w:val="24"/>
          <w:szCs w:val="24"/>
          <w:lang w:eastAsia="pt-BR"/>
        </w:rPr>
        <w:t>.</w:t>
      </w:r>
    </w:p>
    <w:p w14:paraId="318C0AE1" w14:textId="77777777" w:rsidR="00395593" w:rsidRPr="007B17E1" w:rsidRDefault="00395593" w:rsidP="00CC7F15">
      <w:pPr>
        <w:pStyle w:val="Corpodetexto"/>
        <w:jc w:val="center"/>
        <w:rPr>
          <w:rFonts w:ascii="Garamond" w:hAnsi="Garamond"/>
          <w:b/>
          <w:lang w:eastAsia="pt-BR"/>
        </w:rPr>
      </w:pPr>
      <w:r w:rsidRPr="007B17E1">
        <w:rPr>
          <w:rFonts w:ascii="Garamond" w:hAnsi="Garamond"/>
          <w:b/>
          <w:lang w:eastAsia="pt-BR"/>
        </w:rPr>
        <w:t>Seção III</w:t>
      </w:r>
    </w:p>
    <w:p w14:paraId="648A148E" w14:textId="7ACD4E9B" w:rsidR="00395593" w:rsidRPr="007B17E1" w:rsidRDefault="00395593" w:rsidP="00CC7F15">
      <w:pPr>
        <w:pStyle w:val="Corpodetexto"/>
        <w:jc w:val="center"/>
        <w:rPr>
          <w:rFonts w:ascii="Garamond" w:hAnsi="Garamond"/>
          <w:b/>
          <w:lang w:eastAsia="pt-BR"/>
        </w:rPr>
      </w:pPr>
      <w:r w:rsidRPr="007B17E1">
        <w:rPr>
          <w:rFonts w:ascii="Garamond" w:hAnsi="Garamond"/>
          <w:b/>
          <w:lang w:eastAsia="pt-BR"/>
        </w:rPr>
        <w:t>Da existência de subsídio</w:t>
      </w:r>
    </w:p>
    <w:p w14:paraId="20437BFB" w14:textId="77777777" w:rsidR="00395593" w:rsidRPr="005C5CBD" w:rsidRDefault="00395593" w:rsidP="00E15FBB">
      <w:pPr>
        <w:pBdr>
          <w:top w:val="nil"/>
          <w:left w:val="nil"/>
          <w:bottom w:val="nil"/>
          <w:right w:val="nil"/>
          <w:between w:val="nil"/>
          <w:bar w:val="nil"/>
        </w:pBdr>
        <w:spacing w:after="0" w:line="240" w:lineRule="auto"/>
        <w:rPr>
          <w:rFonts w:ascii="Garamond" w:eastAsia="Arial Unicode MS" w:hAnsi="Garamond" w:cs="Calibri"/>
          <w:sz w:val="24"/>
          <w:szCs w:val="24"/>
          <w:bdr w:val="nil"/>
        </w:rPr>
      </w:pPr>
    </w:p>
    <w:p w14:paraId="57F81157" w14:textId="77777777" w:rsidR="00395593" w:rsidRPr="00C8137D" w:rsidRDefault="00395593" w:rsidP="00C8137D">
      <w:pPr>
        <w:spacing w:before="6" w:after="283" w:line="240" w:lineRule="auto"/>
        <w:ind w:firstLine="567"/>
        <w:jc w:val="both"/>
        <w:rPr>
          <w:rFonts w:ascii="Garamond" w:eastAsia="Times New Roman" w:hAnsi="Garamond" w:cs="Calibri"/>
          <w:sz w:val="24"/>
          <w:szCs w:val="24"/>
          <w:lang w:eastAsia="pt-BR"/>
        </w:rPr>
      </w:pPr>
      <w:r w:rsidRPr="00C8137D">
        <w:rPr>
          <w:rFonts w:ascii="Garamond" w:eastAsia="Times New Roman" w:hAnsi="Garamond" w:cs="Calibri"/>
          <w:sz w:val="24"/>
          <w:szCs w:val="24"/>
          <w:lang w:eastAsia="pt-BR"/>
        </w:rPr>
        <w:t>Art. 15.  Conforme estabelecido pelo Artigo 1.1 do Acordo Sobre Subsídios e Medidas Compensatórias da Organização Mundial do Comércio, considera-se que existe subsídio quando é conferido um benefício em função de:</w:t>
      </w:r>
    </w:p>
    <w:p w14:paraId="62BE298B" w14:textId="77777777" w:rsidR="00395593" w:rsidRPr="005C5CBD" w:rsidRDefault="00395593" w:rsidP="00E15FBB">
      <w:pPr>
        <w:pBdr>
          <w:top w:val="nil"/>
          <w:left w:val="nil"/>
          <w:bottom w:val="nil"/>
          <w:right w:val="nil"/>
          <w:between w:val="nil"/>
          <w:bar w:val="nil"/>
        </w:pBdr>
        <w:spacing w:after="0" w:line="240" w:lineRule="auto"/>
        <w:jc w:val="both"/>
        <w:rPr>
          <w:rFonts w:ascii="Garamond" w:eastAsia="Arial Unicode MS" w:hAnsi="Garamond" w:cs="Calibri"/>
          <w:sz w:val="24"/>
          <w:szCs w:val="24"/>
          <w:bdr w:val="nil"/>
        </w:rPr>
      </w:pPr>
    </w:p>
    <w:p w14:paraId="344CABC3" w14:textId="028EF25D" w:rsidR="00395593" w:rsidRPr="00395593" w:rsidRDefault="00395593" w:rsidP="00C8137D">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I - uma contribuição financeira outorgada diretamente por um governo ou órgão público, nos termos do art. </w:t>
      </w:r>
      <w:r w:rsidR="00C8137D">
        <w:rPr>
          <w:rFonts w:ascii="Garamond" w:eastAsia="Arial Unicode MS" w:hAnsi="Garamond" w:cs="Calibri"/>
          <w:sz w:val="24"/>
          <w:szCs w:val="24"/>
          <w:bdr w:val="nil"/>
        </w:rPr>
        <w:t>17</w:t>
      </w:r>
      <w:r w:rsidRPr="005C5CBD">
        <w:rPr>
          <w:rFonts w:ascii="Garamond" w:eastAsia="Arial Unicode MS" w:hAnsi="Garamond" w:cs="Calibri"/>
          <w:sz w:val="24"/>
          <w:szCs w:val="24"/>
          <w:bdr w:val="nil"/>
        </w:rPr>
        <w:t>;</w:t>
      </w:r>
    </w:p>
    <w:p w14:paraId="7C6631C0" w14:textId="77777777" w:rsidR="00395593" w:rsidRPr="005C5CBD" w:rsidRDefault="00395593" w:rsidP="00C8137D">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778F91C0" w14:textId="70513F53" w:rsidR="00395593" w:rsidRPr="00395593" w:rsidRDefault="00395593" w:rsidP="00C8137D">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II - uma contribuição financeira outorgada indiretamente por meio de mecanismo de financiamento ou entidade privada instruída ou confiada pelo governo, nos termos do art. </w:t>
      </w:r>
      <w:r w:rsidR="00C8137D">
        <w:rPr>
          <w:rFonts w:ascii="Garamond" w:eastAsia="Arial Unicode MS" w:hAnsi="Garamond" w:cs="Calibri"/>
          <w:sz w:val="24"/>
          <w:szCs w:val="24"/>
          <w:bdr w:val="nil"/>
        </w:rPr>
        <w:t>17</w:t>
      </w:r>
      <w:r w:rsidRPr="005C5CBD">
        <w:rPr>
          <w:rFonts w:ascii="Garamond" w:eastAsia="Arial Unicode MS" w:hAnsi="Garamond" w:cs="Calibri"/>
          <w:sz w:val="24"/>
          <w:szCs w:val="24"/>
          <w:bdr w:val="nil"/>
        </w:rPr>
        <w:t>;</w:t>
      </w:r>
    </w:p>
    <w:p w14:paraId="59D76E75" w14:textId="77777777" w:rsidR="00395593" w:rsidRPr="005C5CBD" w:rsidRDefault="00395593" w:rsidP="00C8137D">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38B55426" w14:textId="77777777" w:rsidR="00395593" w:rsidRPr="00395593" w:rsidRDefault="00395593" w:rsidP="00C8137D">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III - qualquer forma de sustentação de renda ou de preços que, direta</w:t>
      </w:r>
      <w:r w:rsidRPr="00395593">
        <w:rPr>
          <w:rFonts w:ascii="Garamond" w:hAnsi="Garamond" w:cstheme="minorHAnsi"/>
        </w:rPr>
        <w:t xml:space="preserve"> ou indiretamente, contribua para aumentar exportações ou reduzir importações de um produto qualquer, nos termos do Artigo XVI do GATT 1994.</w:t>
      </w:r>
    </w:p>
    <w:p w14:paraId="1F6A00E3" w14:textId="77777777" w:rsidR="00395593" w:rsidRPr="005C5CBD" w:rsidRDefault="00395593" w:rsidP="00E15FBB">
      <w:pPr>
        <w:pBdr>
          <w:top w:val="nil"/>
          <w:left w:val="nil"/>
          <w:bottom w:val="nil"/>
          <w:right w:val="nil"/>
          <w:between w:val="nil"/>
          <w:bar w:val="nil"/>
        </w:pBdr>
        <w:spacing w:after="0" w:line="240" w:lineRule="auto"/>
        <w:jc w:val="both"/>
        <w:rPr>
          <w:rFonts w:ascii="Garamond" w:eastAsia="Arial Unicode MS" w:hAnsi="Garamond" w:cs="Calibri"/>
          <w:sz w:val="24"/>
          <w:szCs w:val="24"/>
          <w:bdr w:val="nil"/>
        </w:rPr>
      </w:pPr>
    </w:p>
    <w:p w14:paraId="40B0B817"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Parágrafo único.  Para fins de investigações de subsídios, quando não especificado, o termo governo refere-se tanto ao governo em si (ministérios, secretarias, departamentos, agências etc.) como a qualquer órgão público conforme disposto na Subseção III desta Seção, em todos os níveis, nacional ou subnacional, no país exportador.  </w:t>
      </w:r>
    </w:p>
    <w:p w14:paraId="569329F7" w14:textId="77777777" w:rsidR="00395593" w:rsidRPr="00C8137D" w:rsidRDefault="00395593" w:rsidP="00C8137D">
      <w:pPr>
        <w:spacing w:before="6" w:after="283" w:line="240" w:lineRule="auto"/>
        <w:ind w:firstLine="567"/>
        <w:jc w:val="both"/>
        <w:rPr>
          <w:rFonts w:ascii="Garamond" w:eastAsia="Times New Roman" w:hAnsi="Garamond" w:cs="Calibri"/>
          <w:sz w:val="24"/>
          <w:szCs w:val="24"/>
          <w:lang w:eastAsia="pt-BR"/>
        </w:rPr>
      </w:pPr>
      <w:r w:rsidRPr="00C8137D">
        <w:rPr>
          <w:rFonts w:ascii="Garamond" w:eastAsia="Times New Roman" w:hAnsi="Garamond" w:cs="Calibri"/>
          <w:sz w:val="24"/>
          <w:szCs w:val="24"/>
          <w:lang w:eastAsia="pt-BR"/>
        </w:rPr>
        <w:t>Art. 16.  Para os fins de investigações de subsídios conduzidas pela Subsecretaria de Defesa Comercial e Interesse Público, considera-se que existe subsídio acionável e, portanto, sujeito a medidas compensatórias, se tal subsídio for específico.</w:t>
      </w:r>
    </w:p>
    <w:p w14:paraId="66BDB9E0" w14:textId="77777777" w:rsidR="00395593" w:rsidRPr="005C5CBD" w:rsidRDefault="00395593" w:rsidP="00E15FBB">
      <w:pPr>
        <w:pBdr>
          <w:top w:val="nil"/>
          <w:left w:val="nil"/>
          <w:bottom w:val="nil"/>
          <w:right w:val="nil"/>
          <w:between w:val="nil"/>
          <w:bar w:val="nil"/>
        </w:pBdr>
        <w:spacing w:after="0" w:line="240" w:lineRule="auto"/>
        <w:rPr>
          <w:rFonts w:ascii="Garamond" w:eastAsia="Arial Unicode MS" w:hAnsi="Garamond" w:cs="Calibri"/>
          <w:sz w:val="24"/>
          <w:szCs w:val="24"/>
          <w:bdr w:val="nil"/>
        </w:rPr>
      </w:pPr>
    </w:p>
    <w:p w14:paraId="1790BBB7"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A investigação levará em consideração:</w:t>
      </w:r>
    </w:p>
    <w:p w14:paraId="267E2031"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os programas de subsídio identificados na petição de início da investigação para os quais tenham sido apresentados indícios suficientes de que se trata de subsídio acionável;</w:t>
      </w:r>
    </w:p>
    <w:p w14:paraId="4FA5C0EE"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os programas de subsídio identificados pela Subsecretaria de Defesa Comercial e Interesse Público</w:t>
      </w:r>
      <w:r w:rsidRPr="005C5CBD" w:rsidDel="00E432C9">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quando, em circunstâncias excepcionais, a Secretaria de Comércio Exterior iniciar investigação de ofício; ou</w:t>
      </w:r>
    </w:p>
    <w:p w14:paraId="24E74F17"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III - os programas de subsídio identificados no curso da investigação, mediante respostas aos questionários encaminhados às partes interessadas ou com base em outras fontes de informações constantes nos autos do processo. </w:t>
      </w:r>
    </w:p>
    <w:p w14:paraId="58D1FD05" w14:textId="77777777" w:rsidR="00395593" w:rsidRPr="007B17E1" w:rsidRDefault="00395593" w:rsidP="00BE78D4">
      <w:pPr>
        <w:pStyle w:val="Corpodetexto"/>
        <w:jc w:val="center"/>
        <w:rPr>
          <w:rFonts w:ascii="Garamond" w:eastAsia="MS Gothic" w:hAnsi="Garamond"/>
          <w:b/>
          <w:lang w:eastAsia="pt-BR"/>
        </w:rPr>
      </w:pPr>
      <w:r w:rsidRPr="007B17E1">
        <w:rPr>
          <w:rFonts w:ascii="Garamond" w:eastAsia="MS Gothic" w:hAnsi="Garamond"/>
          <w:b/>
          <w:lang w:eastAsia="pt-BR"/>
        </w:rPr>
        <w:t>Subseção I</w:t>
      </w:r>
    </w:p>
    <w:p w14:paraId="0AE49697" w14:textId="77777777" w:rsidR="00395593" w:rsidRPr="007B17E1" w:rsidRDefault="00395593" w:rsidP="00BE78D4">
      <w:pPr>
        <w:pStyle w:val="Corpodetexto"/>
        <w:jc w:val="center"/>
        <w:rPr>
          <w:rFonts w:ascii="Garamond" w:eastAsia="Calibri" w:hAnsi="Garamond"/>
          <w:b/>
          <w:lang w:eastAsia="pt-BR"/>
        </w:rPr>
      </w:pPr>
      <w:r w:rsidRPr="007B17E1">
        <w:rPr>
          <w:rFonts w:ascii="Garamond" w:eastAsia="Calibri" w:hAnsi="Garamond"/>
          <w:b/>
          <w:lang w:eastAsia="pt-BR"/>
        </w:rPr>
        <w:t>Da contribuição financeira</w:t>
      </w:r>
    </w:p>
    <w:p w14:paraId="7E71D64D" w14:textId="5CDD09D4" w:rsidR="00395593" w:rsidRPr="00C8137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Arial Unicode MS" w:hAnsi="Garamond" w:cs="Calibri"/>
          <w:sz w:val="24"/>
          <w:szCs w:val="24"/>
          <w:bdr w:val="nil"/>
        </w:rPr>
        <w:br/>
      </w:r>
      <w:r w:rsidR="00B65C1F">
        <w:rPr>
          <w:rFonts w:ascii="Garamond" w:eastAsia="Times New Roman" w:hAnsi="Garamond" w:cs="Calibri"/>
          <w:sz w:val="24"/>
          <w:szCs w:val="24"/>
          <w:lang w:eastAsia="pt-BR"/>
        </w:rPr>
        <w:t xml:space="preserve">        </w:t>
      </w:r>
      <w:r w:rsidRPr="00C8137D">
        <w:rPr>
          <w:rFonts w:ascii="Garamond" w:eastAsia="Times New Roman" w:hAnsi="Garamond" w:cs="Calibri"/>
          <w:sz w:val="24"/>
          <w:szCs w:val="24"/>
          <w:lang w:eastAsia="pt-BR"/>
        </w:rPr>
        <w:t>Art. 17.  Para os fins dessa Portaria, considerar-se-á que ocorre contribuição financeira direta ou indireta nas seguintes hipóteses:</w:t>
      </w:r>
    </w:p>
    <w:p w14:paraId="703731B2" w14:textId="77777777" w:rsidR="00395593" w:rsidRPr="005C5CBD" w:rsidRDefault="00395593" w:rsidP="00E15FBB">
      <w:pPr>
        <w:pBdr>
          <w:top w:val="nil"/>
          <w:left w:val="nil"/>
          <w:bottom w:val="nil"/>
          <w:right w:val="nil"/>
          <w:between w:val="nil"/>
          <w:bar w:val="nil"/>
        </w:pBdr>
        <w:spacing w:after="0" w:line="240" w:lineRule="auto"/>
        <w:rPr>
          <w:rFonts w:ascii="Garamond" w:eastAsia="Arial Unicode MS" w:hAnsi="Garamond" w:cs="Calibri"/>
          <w:sz w:val="24"/>
          <w:szCs w:val="24"/>
          <w:bdr w:val="nil"/>
        </w:rPr>
      </w:pPr>
    </w:p>
    <w:p w14:paraId="107A5EE5"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 - a prática do governo implique transferência direta de fundos (doações, empréstimos, aportes de capital, entre outros) ou potenciais transferências diretas de fundos ou obrigações (garantias de empréstimos, entre outros); </w:t>
      </w:r>
    </w:p>
    <w:p w14:paraId="419739F4"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 - sejam perdoadas ou deixem de ser recolhidas receitas públicas devidas (incentivos fiscais, entre outros), não sendo consideradas como subsídios as isenções, em favor dos produtos destinados à exportação, de impostos ou taxas habitualmente aplicados ao produto similar quando destinados ao consumo interno, nem a devolução ou a remissão de tais impostos ou taxas, desde que o valor não exceda os totais devidos, de acordo com Artigo XVI do GATT/1994 e os Anexos I a III do Acordo Sobre Subsídios e Medidas Compensatórias; </w:t>
      </w:r>
    </w:p>
    <w:p w14:paraId="61971969"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o governo forneça bens ou serviços além daqueles destinados à infraestrutura geral, ou adquira bens; ou</w:t>
      </w:r>
    </w:p>
    <w:p w14:paraId="7CB6ADD4" w14:textId="77777777" w:rsidR="00395593" w:rsidRPr="005C5CBD" w:rsidRDefault="00395593" w:rsidP="00C8137D">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IV - o governo faça pagamentos a um mecanismo de financiamento para provimento de contribuição financeira, ou instrua ou confie a uma entidade privada o provimento de contribuição financeira mediante o desempenho de uma ou mais das funções descritas nos incisos anteriores, as quais seriam normalmente incumbência do governo, e a prática não difira, de modo significativo, das práticas habitualmente seguidas pelos governos. </w:t>
      </w:r>
    </w:p>
    <w:p w14:paraId="0737924F"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Parágrafo único.</w:t>
      </w:r>
      <w:r w:rsidRPr="005C5CBD">
        <w:rPr>
          <w:rFonts w:ascii="Garamond" w:eastAsia="Times New Roman" w:hAnsi="Garamond" w:cs="Calibri"/>
          <w:sz w:val="24"/>
          <w:szCs w:val="24"/>
          <w:lang w:eastAsia="pt-BR"/>
        </w:rPr>
        <w:t xml:space="preserve">  Em cada caso, será analisado se a contribuição financeira foi provida diretamente por uma autoridade outorgante, nos termos da Subseção III desta Seção, ou indiretamente, por meio de mecanismo de financiamento ou entidade privada instruída ou confiada por um governo, nos termos da Subseção IV desta Seção. </w:t>
      </w:r>
    </w:p>
    <w:p w14:paraId="79F49093" w14:textId="77777777" w:rsidR="00395593" w:rsidRPr="007B17E1" w:rsidRDefault="00395593" w:rsidP="00BE78D4">
      <w:pPr>
        <w:pStyle w:val="Corpodetexto"/>
        <w:jc w:val="center"/>
        <w:rPr>
          <w:rFonts w:ascii="Garamond" w:eastAsia="MS Gothic" w:hAnsi="Garamond"/>
          <w:b/>
          <w:lang w:eastAsia="pt-BR"/>
        </w:rPr>
      </w:pPr>
      <w:r w:rsidRPr="007B17E1">
        <w:rPr>
          <w:rFonts w:ascii="Garamond" w:eastAsia="MS Gothic" w:hAnsi="Garamond"/>
          <w:b/>
          <w:lang w:eastAsia="pt-BR"/>
        </w:rPr>
        <w:t>Subseção II</w:t>
      </w:r>
    </w:p>
    <w:p w14:paraId="365B5A3A" w14:textId="77777777" w:rsidR="00395593" w:rsidRPr="007B17E1" w:rsidRDefault="00395593" w:rsidP="00BE78D4">
      <w:pPr>
        <w:pStyle w:val="Corpodetexto"/>
        <w:jc w:val="center"/>
        <w:rPr>
          <w:rFonts w:ascii="Garamond" w:eastAsia="Calibri" w:hAnsi="Garamond"/>
          <w:b/>
          <w:lang w:eastAsia="pt-BR"/>
        </w:rPr>
      </w:pPr>
      <w:r w:rsidRPr="007B17E1">
        <w:rPr>
          <w:rFonts w:ascii="Garamond" w:eastAsia="Calibri" w:hAnsi="Garamond"/>
          <w:b/>
          <w:lang w:eastAsia="pt-BR"/>
        </w:rPr>
        <w:t>Da sustentação de renda ou de preços</w:t>
      </w:r>
    </w:p>
    <w:p w14:paraId="69A1429A" w14:textId="6981A4F4" w:rsidR="00395593" w:rsidRPr="00B65C1F"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Arial Unicode MS" w:hAnsi="Garamond" w:cs="Calibri"/>
          <w:sz w:val="24"/>
          <w:szCs w:val="24"/>
          <w:bdr w:val="nil"/>
        </w:rPr>
        <w:br/>
      </w:r>
      <w:r w:rsidR="00B65C1F">
        <w:rPr>
          <w:rFonts w:ascii="Garamond" w:eastAsia="Calibri" w:hAnsi="Garamond" w:cs="Calibri"/>
          <w:sz w:val="24"/>
          <w:szCs w:val="24"/>
          <w:lang w:eastAsia="pt-BR"/>
        </w:rPr>
        <w:t xml:space="preserve">          </w:t>
      </w:r>
      <w:r w:rsidRPr="00B65C1F">
        <w:rPr>
          <w:rFonts w:ascii="Garamond" w:eastAsia="Calibri" w:hAnsi="Garamond" w:cs="Calibri"/>
          <w:sz w:val="24"/>
          <w:szCs w:val="24"/>
          <w:lang w:eastAsia="pt-BR"/>
        </w:rPr>
        <w:t>Art. 18.  Para os fins dessa Portaria, considerar-se-á que existe sustentação de renda ou de preços quando houver intervenção governamental que, direta ou indiretamente, contribua para aumentar exportações ou reduzir importações de um produto qualquer.</w:t>
      </w:r>
    </w:p>
    <w:p w14:paraId="6A84FE7C" w14:textId="77777777" w:rsidR="00395593" w:rsidRPr="005C5CBD" w:rsidRDefault="00395593" w:rsidP="00E15FBB">
      <w:pPr>
        <w:spacing w:after="0" w:line="240" w:lineRule="auto"/>
        <w:rPr>
          <w:rFonts w:ascii="Garamond" w:eastAsia="Calibri" w:hAnsi="Garamond" w:cs="Calibri"/>
          <w:sz w:val="24"/>
          <w:szCs w:val="24"/>
          <w:lang w:eastAsia="pt-BR"/>
        </w:rPr>
      </w:pPr>
    </w:p>
    <w:p w14:paraId="0B23D482" w14:textId="77777777" w:rsidR="00395593" w:rsidRPr="007B17E1" w:rsidRDefault="00395593" w:rsidP="00BE78D4">
      <w:pPr>
        <w:pStyle w:val="Corpodetexto"/>
        <w:jc w:val="center"/>
        <w:rPr>
          <w:rFonts w:ascii="Garamond" w:eastAsia="Calibri" w:hAnsi="Garamond"/>
          <w:b/>
          <w:lang w:eastAsia="pt-BR"/>
        </w:rPr>
      </w:pPr>
      <w:r w:rsidRPr="007B17E1">
        <w:rPr>
          <w:rFonts w:ascii="Garamond" w:eastAsia="Calibri" w:hAnsi="Garamond"/>
          <w:b/>
          <w:lang w:eastAsia="pt-BR"/>
        </w:rPr>
        <w:t>Subseção III</w:t>
      </w:r>
    </w:p>
    <w:p w14:paraId="789C438F" w14:textId="77777777" w:rsidR="00395593" w:rsidRPr="007B17E1" w:rsidRDefault="00395593" w:rsidP="00BE78D4">
      <w:pPr>
        <w:pStyle w:val="Corpodetexto"/>
        <w:jc w:val="center"/>
        <w:rPr>
          <w:rFonts w:ascii="Garamond" w:eastAsia="Calibri" w:hAnsi="Garamond"/>
          <w:b/>
          <w:lang w:eastAsia="pt-BR"/>
        </w:rPr>
      </w:pPr>
      <w:r w:rsidRPr="007B17E1">
        <w:rPr>
          <w:rFonts w:ascii="Garamond" w:eastAsia="Calibri" w:hAnsi="Garamond"/>
          <w:b/>
          <w:lang w:eastAsia="pt-BR"/>
        </w:rPr>
        <w:t>Da autoridade outorgante</w:t>
      </w:r>
    </w:p>
    <w:p w14:paraId="1DD8B7F7" w14:textId="77777777" w:rsidR="00395593" w:rsidRPr="005C5CBD" w:rsidRDefault="00395593" w:rsidP="00E15FBB">
      <w:pPr>
        <w:spacing w:after="0" w:line="240" w:lineRule="auto"/>
        <w:jc w:val="both"/>
        <w:rPr>
          <w:rFonts w:ascii="Garamond" w:eastAsia="Calibri" w:hAnsi="Garamond" w:cs="Calibri"/>
          <w:sz w:val="24"/>
          <w:szCs w:val="24"/>
        </w:rPr>
      </w:pPr>
    </w:p>
    <w:p w14:paraId="1E1651AE"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19.  O termo autoridade outorgante será entendido como governo ou órgão público no território do país exportador que conceda determinado programa de subsídio, em todos os níveis, nacional ou subnacional.</w:t>
      </w:r>
    </w:p>
    <w:p w14:paraId="5948369C"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20.  O termo órgão público será entendido como uma entidade que possui ou exerce autoridade governamental, ou entidade à qual esta autoridade governamental lhe foi confiada.</w:t>
      </w:r>
    </w:p>
    <w:p w14:paraId="4263D391"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w:t>
      </w:r>
      <w:r w:rsidRPr="005C5CBD">
        <w:rPr>
          <w:rFonts w:ascii="Garamond" w:eastAsia="Times New Roman" w:hAnsi="Garamond" w:cs="Calibri"/>
          <w:sz w:val="24"/>
          <w:szCs w:val="24"/>
          <w:lang w:eastAsia="pt-BR"/>
        </w:rPr>
        <w:t>1º  A determinação de que a alegada autoridade outorgante da contribuição financeira é órgão público levará em consideração as evidências disponíveis em cada caso concreto no que diz respeito às características da alegada autoridade outorgante e à sua relação com o governo, incluindo objetivos, funções desempenhadas e suas estruturas societárias e gerenciais, com base, dentre outros, nos seguintes elementos:</w:t>
      </w:r>
    </w:p>
    <w:p w14:paraId="0AB833CD"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 - a participação acionária do governo na alegada autoridade outorgante; </w:t>
      </w:r>
    </w:p>
    <w:p w14:paraId="57A7F5F2"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a capacidade do governo de indicar diretores e/ou outros membros gerenciais;</w:t>
      </w:r>
    </w:p>
    <w:p w14:paraId="619320C6"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o direito ou a prerrogativa do governo de revisar resultados financeiros e/ou comerciais da alegada autoridade outorgante;</w:t>
      </w:r>
    </w:p>
    <w:p w14:paraId="645D404B"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IV - o direito ou a prerrogativa do governo de determinar os objetivos da alegada autoridade outorgante; </w:t>
      </w:r>
    </w:p>
    <w:p w14:paraId="68785A74"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 - a influência do governo nas decisões comerciais e/ou de investimentos da alegada autoridade outorgante;</w:t>
      </w:r>
    </w:p>
    <w:p w14:paraId="6C3312D8"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VI - qualquer instrumento ou registro que demonstre concessão ou delegação de autoridade governamental para a alegada autoridade outorgante, bem como </w:t>
      </w:r>
      <w:r w:rsidRPr="005C5CBD">
        <w:rPr>
          <w:rFonts w:ascii="Garamond" w:eastAsia="Calibri" w:hAnsi="Garamond" w:cs="Calibri"/>
          <w:sz w:val="24"/>
          <w:szCs w:val="24"/>
          <w:lang w:eastAsia="pt-BR"/>
        </w:rPr>
        <w:t>evidências de que a alegada autoridade outorgante está autorizada a agir em nome do governo ou representando-o</w:t>
      </w:r>
      <w:r w:rsidRPr="005C5CBD">
        <w:rPr>
          <w:rFonts w:ascii="Garamond" w:eastAsia="Times New Roman" w:hAnsi="Garamond" w:cs="Calibri"/>
          <w:sz w:val="24"/>
          <w:szCs w:val="24"/>
          <w:lang w:eastAsia="pt-BR"/>
        </w:rPr>
        <w:t xml:space="preserve">; </w:t>
      </w:r>
    </w:p>
    <w:p w14:paraId="7E66C839"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VII - qualquer instrumento ou registro que demonstre a forma de estabelecimento ou criação da alegada autoridade outorgante, bem como da sua missão;</w:t>
      </w:r>
    </w:p>
    <w:p w14:paraId="481C384E"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VIII - a contribuição da alegada autoridade outorgante para a consecução de objetivos de políticas públicas ou de interesses governamentais; e</w:t>
      </w:r>
    </w:p>
    <w:p w14:paraId="7DA8DD14"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IX - quaisquer outras evidências de controle ou influência governamental sobre a alegada autoridade outorgante, inclusive </w:t>
      </w:r>
      <w:r w:rsidRPr="005C5CBD">
        <w:rPr>
          <w:rFonts w:ascii="Garamond" w:eastAsia="Calibri" w:hAnsi="Garamond" w:cs="Calibri"/>
          <w:sz w:val="24"/>
          <w:szCs w:val="24"/>
          <w:lang w:eastAsia="pt-BR"/>
        </w:rPr>
        <w:t>evidências de que a alegada autoridade outorgante não age da forma como empresas ou agentes privados normalmente agiriam representando os interesses econômicos de seus sócios ou acionistas</w:t>
      </w:r>
      <w:r w:rsidRPr="005C5CBD">
        <w:rPr>
          <w:rFonts w:ascii="Garamond" w:eastAsia="Times New Roman" w:hAnsi="Garamond" w:cs="Calibri"/>
          <w:sz w:val="24"/>
          <w:szCs w:val="24"/>
          <w:lang w:eastAsia="pt-BR"/>
        </w:rPr>
        <w:t xml:space="preserve">. </w:t>
      </w:r>
    </w:p>
    <w:p w14:paraId="523632D0"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w:t>
      </w:r>
      <w:r w:rsidRPr="005C5CBD">
        <w:rPr>
          <w:rFonts w:ascii="Garamond" w:eastAsia="Times New Roman" w:hAnsi="Garamond" w:cs="Calibri"/>
          <w:sz w:val="24"/>
          <w:szCs w:val="24"/>
          <w:lang w:eastAsia="pt-BR"/>
        </w:rPr>
        <w:t>2º  A participação acionária majoritária do governo na alegada autoridade outorgante será levada em consideração para fins de caracterização como órgão público, mas não será por si só suficiente.</w:t>
      </w:r>
    </w:p>
    <w:p w14:paraId="04483ACB"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w:t>
      </w:r>
      <w:r w:rsidRPr="005C5CBD">
        <w:rPr>
          <w:rFonts w:ascii="Garamond" w:eastAsia="Times New Roman" w:hAnsi="Garamond" w:cs="Calibri"/>
          <w:sz w:val="24"/>
          <w:szCs w:val="24"/>
          <w:lang w:eastAsia="pt-BR"/>
        </w:rPr>
        <w:t xml:space="preserve">3º  A caracterização de bancos públicos e empresas fornecedoras de bens e serviços como órgãos públicos será analisada com especial cuidado. </w:t>
      </w:r>
    </w:p>
    <w:p w14:paraId="6204406E"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§4º  A Subsecretaria de Defesa Comercial e Interesse Público utilizará o questionário do governo do país exportador para obter informações concernentes à natureza e ao papel da autoridade outorgante alegadamente considerada órgão público, incluindo quaisquer empresas com vínculos estatais referidas na investigação, sem prejuízo das informações trazidas ao conhecimento da autoridade investigadora por outras partes interessadas ou obtidas de outras fontes disponíveis.</w:t>
      </w:r>
    </w:p>
    <w:p w14:paraId="5828AF20" w14:textId="77777777" w:rsidR="00395593" w:rsidRPr="005C5CBD" w:rsidRDefault="00395593" w:rsidP="00B65C1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§5º  Caso o governo negue o acesso à informação necessária à análise desta Subseção ou não a forneça tempestivamente, a determinação da Subsecretaria de Defesa Comercial e Interesse Público acerca da caracterização de alegada autoridade outorgante como órgão público será realizada com base na melhor informação disponível, nos termos do § 3º do art. 46, c/c arts. 174 a 179 do Decreto nº 10.839, de 2021</w:t>
      </w:r>
      <w:r w:rsidRPr="005C5CBD">
        <w:rPr>
          <w:rFonts w:ascii="Garamond" w:eastAsia="Calibri" w:hAnsi="Garamond" w:cs="Calibri"/>
          <w:sz w:val="24"/>
          <w:szCs w:val="24"/>
          <w:lang w:eastAsia="pt-BR"/>
        </w:rPr>
        <w:t>.</w:t>
      </w:r>
    </w:p>
    <w:p w14:paraId="2BD33F6F" w14:textId="77777777" w:rsidR="00395593" w:rsidRPr="007B17E1" w:rsidRDefault="00395593" w:rsidP="00BF7B8D">
      <w:pPr>
        <w:pStyle w:val="Corpodetexto"/>
        <w:jc w:val="center"/>
        <w:rPr>
          <w:rFonts w:ascii="Garamond" w:eastAsia="Calibri" w:hAnsi="Garamond"/>
          <w:b/>
          <w:lang w:eastAsia="pt-BR"/>
        </w:rPr>
      </w:pPr>
      <w:r w:rsidRPr="007B17E1">
        <w:rPr>
          <w:rFonts w:ascii="Garamond" w:eastAsia="Calibri" w:hAnsi="Garamond"/>
          <w:b/>
          <w:lang w:eastAsia="pt-BR"/>
        </w:rPr>
        <w:t>Subseção IV</w:t>
      </w:r>
    </w:p>
    <w:p w14:paraId="623552E0" w14:textId="77777777" w:rsidR="00395593" w:rsidRPr="00CC7F15" w:rsidRDefault="00395593" w:rsidP="00BF7B8D">
      <w:pPr>
        <w:pStyle w:val="Corpodetexto"/>
        <w:jc w:val="center"/>
        <w:rPr>
          <w:rFonts w:eastAsia="Calibri"/>
          <w:b/>
          <w:lang w:eastAsia="pt-BR"/>
        </w:rPr>
      </w:pPr>
      <w:r w:rsidRPr="007B17E1">
        <w:rPr>
          <w:rFonts w:ascii="Garamond" w:eastAsia="Calibri" w:hAnsi="Garamond"/>
          <w:b/>
          <w:lang w:eastAsia="pt-BR"/>
        </w:rPr>
        <w:t>Do mecanismo de financiamento e da entidade privada instruída ou confiada por um governo</w:t>
      </w:r>
    </w:p>
    <w:p w14:paraId="32B93524" w14:textId="77777777" w:rsidR="00395593" w:rsidRPr="005C5CBD" w:rsidRDefault="00395593" w:rsidP="00E15FBB">
      <w:pPr>
        <w:pBdr>
          <w:top w:val="nil"/>
          <w:left w:val="nil"/>
          <w:bottom w:val="nil"/>
          <w:right w:val="nil"/>
          <w:between w:val="nil"/>
          <w:bar w:val="nil"/>
        </w:pBdr>
        <w:spacing w:after="0" w:line="240" w:lineRule="auto"/>
        <w:rPr>
          <w:rFonts w:ascii="Garamond" w:eastAsia="Arial Unicode MS" w:hAnsi="Garamond" w:cs="Calibri"/>
          <w:sz w:val="24"/>
          <w:szCs w:val="24"/>
          <w:bdr w:val="nil"/>
        </w:rPr>
      </w:pPr>
    </w:p>
    <w:p w14:paraId="063870C9" w14:textId="7F02DE9A"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Art. 21.  </w:t>
      </w:r>
      <w:r w:rsidRPr="005C5CBD">
        <w:rPr>
          <w:rFonts w:ascii="Garamond" w:eastAsia="Calibri" w:hAnsi="Garamond" w:cs="Calibri"/>
          <w:sz w:val="24"/>
          <w:szCs w:val="24"/>
          <w:lang w:eastAsia="pt-BR"/>
        </w:rPr>
        <w:t xml:space="preserve">Nos casos em que a contribuição financeira não for concedida diretamente por um governo ou órgão público, nos termos da Subseção III desta Seção, a Subsecretaria de Defesa Comercial e Interesse Público poderá examinar se a contribuição financeira foi concedida indiretamente, por meio de mecanismo de financiamento ou por entidade privada instruída ou confiada por um governo, nos termos do inciso IV do art. </w:t>
      </w:r>
      <w:r w:rsidR="00B65C1F">
        <w:rPr>
          <w:rFonts w:ascii="Garamond" w:eastAsia="Calibri" w:hAnsi="Garamond" w:cs="Calibri"/>
          <w:sz w:val="24"/>
          <w:szCs w:val="24"/>
          <w:lang w:eastAsia="pt-BR"/>
        </w:rPr>
        <w:t>17</w:t>
      </w:r>
      <w:r w:rsidRPr="005C5CBD">
        <w:rPr>
          <w:rFonts w:ascii="Garamond" w:eastAsia="Calibri" w:hAnsi="Garamond" w:cs="Calibri"/>
          <w:sz w:val="24"/>
          <w:szCs w:val="24"/>
          <w:lang w:eastAsia="pt-BR"/>
        </w:rPr>
        <w:t>.</w:t>
      </w:r>
    </w:p>
    <w:p w14:paraId="3E4B862B"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1º  Considera-se que uma contribuição financeira foi provida indiretamente por meio de um mecanismo de financiamento quando o governo faça pagamentos ao mecanismo de financiamento com a finalidade de prover uma contribuição financeira.</w:t>
      </w:r>
    </w:p>
    <w:p w14:paraId="7266ED78"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2º  Considera-se que atos de governo de instruir ou confiar se referem, respectivamente, a situações em que o governo exerce sua autoridade sobre uma entidade privada ou outorga responsabilidade a uma entidade privada e utiliza essa entidade privada para efetuar indiretamente um dos tipos de contribuição financeira. </w:t>
      </w:r>
    </w:p>
    <w:p w14:paraId="71B10A3A"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3º Ao examinar se o governo instrui uma entidade privada para realizar suas funções, serão considerados, dentre outros, os seguintes elementos: </w:t>
      </w:r>
    </w:p>
    <w:p w14:paraId="2FE25A2B"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 - atos de comando; e </w:t>
      </w:r>
    </w:p>
    <w:p w14:paraId="19A9EA48"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II -</w:t>
      </w:r>
      <w:r w:rsidRPr="005C5CBD" w:rsidDel="00C765AA">
        <w:rPr>
          <w:rFonts w:ascii="Garamond" w:eastAsia="Calibri" w:hAnsi="Garamond" w:cs="Calibri"/>
          <w:sz w:val="24"/>
          <w:szCs w:val="24"/>
          <w:lang w:eastAsia="pt-BR"/>
        </w:rPr>
        <w:t xml:space="preserve"> </w:t>
      </w:r>
      <w:r w:rsidRPr="005C5CBD">
        <w:rPr>
          <w:rFonts w:ascii="Garamond" w:eastAsia="Calibri" w:hAnsi="Garamond" w:cs="Calibri"/>
          <w:sz w:val="24"/>
          <w:szCs w:val="24"/>
          <w:lang w:eastAsia="pt-BR"/>
        </w:rPr>
        <w:t>outros modos formais e informais por meio dos quais governos podem exercer autoridade sobre uma entidade privada para desempenhar suas funções.</w:t>
      </w:r>
    </w:p>
    <w:p w14:paraId="268D8AA6"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4º  Ao examinar se o governo confia suas funções à entidade privada, serão considerados, dentre outros, os seguintes elementos:</w:t>
      </w:r>
    </w:p>
    <w:p w14:paraId="1F0CC884"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 - atos de delegação; e </w:t>
      </w:r>
    </w:p>
    <w:p w14:paraId="48752AFF"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II - outros modos formais e informais por meio dos quais governos podem outorgar responsabilidade a uma entidade privada para desempenhar funções que normalmente seriam incumbência de governo.</w:t>
      </w:r>
    </w:p>
    <w:p w14:paraId="51FF5792"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5º  Atos de governo de instruir ou confiar podem envolver alguma forma de ameaça, coação, indução, acordo, negociação, barganha ou outras ações que comprovem a influência governamental. </w:t>
      </w:r>
    </w:p>
    <w:p w14:paraId="4BCF5B33"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6º  Não serão considerados como </w:t>
      </w:r>
      <w:r w:rsidRPr="005C5CBD">
        <w:rPr>
          <w:rFonts w:ascii="Garamond" w:eastAsia="Times New Roman" w:hAnsi="Garamond" w:cs="Calibri"/>
          <w:sz w:val="24"/>
          <w:szCs w:val="24"/>
          <w:lang w:eastAsia="pt-BR"/>
        </w:rPr>
        <w:t>atos de governo de instruir ou confiar, nos termos deste artigo, meros subprodutos da regulamentação governamental.</w:t>
      </w:r>
    </w:p>
    <w:p w14:paraId="6CEA813A"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Art. 22.  </w:t>
      </w:r>
      <w:r w:rsidRPr="005C5CBD">
        <w:rPr>
          <w:rFonts w:ascii="Garamond" w:eastAsia="Calibri" w:hAnsi="Garamond" w:cs="Calibri"/>
          <w:sz w:val="24"/>
          <w:szCs w:val="24"/>
          <w:lang w:eastAsia="pt-BR"/>
        </w:rPr>
        <w:t>A expressão “entidade privada” poderá referir-se tanto a uma única entidade como a um grupo de entidades ou pessoas.</w:t>
      </w:r>
    </w:p>
    <w:p w14:paraId="7B6C75C5" w14:textId="77777777" w:rsidR="00395593" w:rsidRPr="007B17E1" w:rsidRDefault="00395593" w:rsidP="00BF7B8D">
      <w:pPr>
        <w:pStyle w:val="Corpodetexto"/>
        <w:jc w:val="center"/>
        <w:rPr>
          <w:rFonts w:ascii="Garamond" w:eastAsia="Calibri" w:hAnsi="Garamond"/>
          <w:b/>
          <w:lang w:eastAsia="pt-BR"/>
        </w:rPr>
      </w:pPr>
      <w:r w:rsidRPr="007B17E1">
        <w:rPr>
          <w:rFonts w:ascii="Garamond" w:eastAsia="Calibri" w:hAnsi="Garamond"/>
          <w:b/>
          <w:lang w:eastAsia="pt-BR"/>
        </w:rPr>
        <w:t>Subseção V</w:t>
      </w:r>
    </w:p>
    <w:p w14:paraId="0AEEEF65" w14:textId="11BC5665" w:rsidR="00395593" w:rsidRDefault="00395593" w:rsidP="00BF7B8D">
      <w:pPr>
        <w:pStyle w:val="Corpodetexto"/>
        <w:jc w:val="center"/>
        <w:rPr>
          <w:rFonts w:eastAsia="Calibri"/>
          <w:b/>
          <w:lang w:eastAsia="pt-BR"/>
        </w:rPr>
      </w:pPr>
      <w:r w:rsidRPr="007B17E1">
        <w:rPr>
          <w:rFonts w:ascii="Garamond" w:eastAsia="Calibri" w:hAnsi="Garamond"/>
          <w:b/>
          <w:lang w:eastAsia="pt-BR"/>
        </w:rPr>
        <w:t>Do benefício</w:t>
      </w:r>
    </w:p>
    <w:p w14:paraId="014B228F" w14:textId="77777777" w:rsidR="00BF7B8D" w:rsidRPr="00CC7F15" w:rsidRDefault="00BF7B8D" w:rsidP="00BF7B8D">
      <w:pPr>
        <w:pStyle w:val="Corpodetexto"/>
        <w:jc w:val="center"/>
        <w:rPr>
          <w:rFonts w:eastAsia="Calibri"/>
          <w:b/>
          <w:lang w:eastAsia="pt-BR"/>
        </w:rPr>
      </w:pPr>
    </w:p>
    <w:p w14:paraId="0B62ADAB"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Art. 23. Em regra, a Subsecretaria de Defesa Comercial e Interesse Público apurará o benefício conferido por programa de subsídio investigado.</w:t>
      </w:r>
    </w:p>
    <w:p w14:paraId="63AD2088"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Art. 24.</w:t>
      </w:r>
      <w:r w:rsidRPr="005C5CBD" w:rsidDel="00E26BE3">
        <w:rPr>
          <w:rFonts w:ascii="Garamond" w:eastAsia="Calibri" w:hAnsi="Garamond" w:cs="Calibri"/>
          <w:sz w:val="24"/>
          <w:szCs w:val="24"/>
          <w:lang w:eastAsia="pt-BR"/>
        </w:rPr>
        <w:t xml:space="preserve">  </w:t>
      </w:r>
      <w:r w:rsidRPr="005C5CBD">
        <w:rPr>
          <w:rFonts w:ascii="Garamond" w:eastAsia="Calibri" w:hAnsi="Garamond" w:cs="Calibri"/>
          <w:sz w:val="24"/>
          <w:szCs w:val="24"/>
          <w:lang w:eastAsia="pt-BR"/>
        </w:rPr>
        <w:t>Para apurar a existência do benefício, a Subsecretaria de Defesa Comercial e Interesse Público examinará se a contribuição financeira representou uma vantagem ao destinatário, de modo que o destinatário obtenha situação ou condição melhor do que de outra forma teria sem a contribuição financeira ou se tivesse que recorrer ao mercado para obtê-la.</w:t>
      </w:r>
    </w:p>
    <w:p w14:paraId="03C5F014"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1º O benefício será determinado em relação ao produtor/exportador do produto subsidiado exportado para a Brasil.</w:t>
      </w:r>
    </w:p>
    <w:p w14:paraId="5B97ED9B"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2º  Caso o subsídio beneficie indiretamente o produtor/exportador investigado</w:t>
      </w:r>
      <w:r w:rsidRPr="005C5CBD" w:rsidDel="00C822F8">
        <w:rPr>
          <w:rFonts w:ascii="Garamond" w:eastAsia="Calibri" w:hAnsi="Garamond" w:cs="Calibri"/>
          <w:sz w:val="24"/>
          <w:szCs w:val="24"/>
          <w:lang w:eastAsia="pt-BR"/>
        </w:rPr>
        <w:t xml:space="preserve">, </w:t>
      </w:r>
      <w:r w:rsidRPr="005C5CBD">
        <w:rPr>
          <w:rFonts w:ascii="Garamond" w:eastAsia="Calibri" w:hAnsi="Garamond" w:cs="Calibri"/>
          <w:sz w:val="24"/>
          <w:szCs w:val="24"/>
          <w:lang w:eastAsia="pt-BR"/>
        </w:rPr>
        <w:t xml:space="preserve">o destinatário da contribuição financeira poderá ser um terceiro relacionado ou associado ao produtor/exportador investigado, ou um terceiro não relacionado ou associado ao produtor/exportador investigado.  </w:t>
      </w:r>
    </w:p>
    <w:p w14:paraId="6E8331F1"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3º  Caso aplicável, a apuração do benefício levará em consideração referências de mercado adequadas, denominadas </w:t>
      </w:r>
      <w:r w:rsidRPr="00D6503F">
        <w:rPr>
          <w:rFonts w:ascii="Garamond" w:eastAsia="Times New Roman" w:hAnsi="Garamond" w:cs="Calibri"/>
          <w:sz w:val="24"/>
          <w:szCs w:val="24"/>
          <w:lang w:eastAsia="pt-BR"/>
        </w:rPr>
        <w:t>benchmark</w:t>
      </w:r>
      <w:r w:rsidRPr="005C5CBD">
        <w:rPr>
          <w:rFonts w:ascii="Garamond" w:eastAsia="Calibri" w:hAnsi="Garamond" w:cs="Calibri"/>
          <w:sz w:val="24"/>
          <w:szCs w:val="24"/>
          <w:lang w:eastAsia="pt-BR"/>
        </w:rPr>
        <w:t xml:space="preserve">, termo entendido como parâmetro ou conjunto de parâmetros </w:t>
      </w:r>
      <w:r w:rsidRPr="005C5CBD">
        <w:rPr>
          <w:rFonts w:ascii="Garamond" w:eastAsia="Times New Roman" w:hAnsi="Garamond" w:cs="Calibri"/>
          <w:sz w:val="24"/>
          <w:szCs w:val="24"/>
          <w:lang w:eastAsia="pt-BR"/>
        </w:rPr>
        <w:t>que servem para indicar se a contribuição financeira conferiu um benefício ou vantagem à empresa que a recebeu direta ou indiretamente</w:t>
      </w:r>
      <w:r w:rsidRPr="005C5CBD">
        <w:rPr>
          <w:rFonts w:ascii="Garamond" w:eastAsia="Calibri" w:hAnsi="Garamond" w:cs="Calibri"/>
          <w:sz w:val="24"/>
          <w:szCs w:val="24"/>
          <w:lang w:eastAsia="pt-BR"/>
        </w:rPr>
        <w:t xml:space="preserve">. </w:t>
      </w:r>
    </w:p>
    <w:p w14:paraId="3A1FD433"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4º  Na hipótese de receitas públicas devidas perdoadas ou não recolhidas, caso necessária a identificação de </w:t>
      </w:r>
      <w:r w:rsidRPr="005C5CBD">
        <w:rPr>
          <w:rFonts w:ascii="Garamond" w:eastAsia="Calibri" w:hAnsi="Garamond" w:cs="Calibri"/>
          <w:b/>
          <w:sz w:val="24"/>
          <w:szCs w:val="24"/>
          <w:lang w:eastAsia="pt-BR"/>
        </w:rPr>
        <w:t xml:space="preserve">benchmark </w:t>
      </w:r>
      <w:r w:rsidRPr="005C5CBD">
        <w:rPr>
          <w:rFonts w:ascii="Garamond" w:eastAsia="Calibri" w:hAnsi="Garamond" w:cs="Calibri"/>
          <w:sz w:val="24"/>
          <w:szCs w:val="24"/>
          <w:lang w:eastAsia="pt-BR"/>
        </w:rPr>
        <w:t xml:space="preserve">para tributos diretos, será levado em consideração, para definição do </w:t>
      </w:r>
      <w:r w:rsidRPr="005C5CBD">
        <w:rPr>
          <w:rFonts w:ascii="Garamond" w:eastAsia="Calibri" w:hAnsi="Garamond" w:cs="Calibri"/>
          <w:b/>
          <w:sz w:val="24"/>
          <w:szCs w:val="24"/>
          <w:lang w:eastAsia="pt-BR"/>
        </w:rPr>
        <w:t>benchmark</w:t>
      </w:r>
      <w:r w:rsidRPr="005C5CBD">
        <w:rPr>
          <w:rFonts w:ascii="Garamond" w:eastAsia="Calibri" w:hAnsi="Garamond" w:cs="Calibri"/>
          <w:sz w:val="24"/>
          <w:szCs w:val="24"/>
          <w:lang w:eastAsia="pt-BR"/>
        </w:rPr>
        <w:t>, o tratamento tributário concedido a contribuintes em situação comparável, de acordo com os princípios internos do regime tributário do país investigado, de modo a identificar se o tratamento conferido à empresa investigada se configura como uma exceção às regras gerais de tributação.</w:t>
      </w:r>
    </w:p>
    <w:p w14:paraId="721C86DC"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5º A comparação entre a contribuição financeira e o </w:t>
      </w:r>
      <w:r w:rsidRPr="005C5CBD">
        <w:rPr>
          <w:rFonts w:ascii="Garamond" w:eastAsia="Calibri" w:hAnsi="Garamond" w:cs="Calibri"/>
          <w:b/>
          <w:sz w:val="24"/>
          <w:szCs w:val="24"/>
          <w:lang w:eastAsia="pt-BR"/>
        </w:rPr>
        <w:t>benchmark</w:t>
      </w:r>
      <w:r w:rsidRPr="005C5CBD">
        <w:rPr>
          <w:rFonts w:ascii="Garamond" w:eastAsia="Calibri" w:hAnsi="Garamond" w:cs="Calibri"/>
          <w:sz w:val="24"/>
          <w:szCs w:val="24"/>
          <w:lang w:eastAsia="pt-BR"/>
        </w:rPr>
        <w:t xml:space="preserve"> deverá demonstrar se o destinatário obteve um benefício ou vantagem.</w:t>
      </w:r>
    </w:p>
    <w:p w14:paraId="4B6E9A0F"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6º Na hipótese de sustentação de renda ou de preços </w:t>
      </w:r>
      <w:r w:rsidRPr="005C5CBD">
        <w:rPr>
          <w:rFonts w:ascii="Garamond" w:eastAsia="Times New Roman" w:hAnsi="Garamond" w:cs="Calibri"/>
          <w:sz w:val="24"/>
          <w:szCs w:val="24"/>
          <w:lang w:eastAsia="pt-BR"/>
        </w:rPr>
        <w:t>que, direta ou indiretamente, contribua para aumentar exportações ou reduzir importações de um produto qualquer, também será avaliada a existência de benefício ao produtor/exportador investigado nos termos desta Subseção.</w:t>
      </w:r>
    </w:p>
    <w:p w14:paraId="6D192044"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Art. 25.  </w:t>
      </w:r>
      <w:r w:rsidRPr="005C5CBD">
        <w:rPr>
          <w:rFonts w:ascii="Garamond" w:eastAsia="Calibri" w:hAnsi="Garamond" w:cs="Calibri"/>
          <w:sz w:val="24"/>
          <w:szCs w:val="24"/>
          <w:lang w:eastAsia="pt-BR"/>
        </w:rPr>
        <w:t xml:space="preserve">O </w:t>
      </w:r>
      <w:r w:rsidRPr="005C5CBD">
        <w:rPr>
          <w:rFonts w:ascii="Garamond" w:eastAsia="Calibri" w:hAnsi="Garamond" w:cs="Calibri"/>
          <w:b/>
          <w:sz w:val="24"/>
          <w:szCs w:val="24"/>
          <w:lang w:eastAsia="pt-BR"/>
        </w:rPr>
        <w:t>benchmark</w:t>
      </w:r>
      <w:r w:rsidRPr="005C5CBD">
        <w:rPr>
          <w:rFonts w:ascii="Garamond" w:eastAsia="Calibri" w:hAnsi="Garamond" w:cs="Calibri"/>
          <w:sz w:val="24"/>
          <w:szCs w:val="24"/>
          <w:lang w:eastAsia="pt-BR"/>
        </w:rPr>
        <w:t xml:space="preserve"> para comparação levará em consideração operações no mercado no qual o produtor ou exportador investigado poderia obter operações comparáveis à contribuição financeira objeto de análise.</w:t>
      </w:r>
    </w:p>
    <w:p w14:paraId="77F7C357"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1º O mercado mencionado no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xml:space="preserve"> será considerado independentemente do seu grau de desenvolvimento, do número de participantes e de sua origem. </w:t>
      </w:r>
    </w:p>
    <w:p w14:paraId="770DDD82"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2º Para identificar o </w:t>
      </w:r>
      <w:r w:rsidRPr="005C5CBD">
        <w:rPr>
          <w:rFonts w:ascii="Garamond" w:eastAsia="Calibri" w:hAnsi="Garamond" w:cs="Calibri"/>
          <w:b/>
          <w:sz w:val="24"/>
          <w:szCs w:val="24"/>
          <w:lang w:eastAsia="pt-BR"/>
        </w:rPr>
        <w:t>benchmark</w:t>
      </w:r>
      <w:r w:rsidRPr="005C5CBD">
        <w:rPr>
          <w:rFonts w:ascii="Garamond" w:eastAsia="Calibri" w:hAnsi="Garamond" w:cs="Calibri"/>
          <w:sz w:val="24"/>
          <w:szCs w:val="24"/>
          <w:lang w:eastAsia="pt-BR"/>
        </w:rPr>
        <w:t xml:space="preserve"> adequado, quando aplicável, a Subsecretaria de Defesa Comercial e Interesse Público analisará</w:t>
      </w:r>
      <w:r w:rsidRPr="005C5CBD">
        <w:rPr>
          <w:rFonts w:ascii="Garamond" w:eastAsia="Calibri" w:hAnsi="Garamond" w:cs="Calibri"/>
          <w:b/>
          <w:sz w:val="24"/>
          <w:szCs w:val="24"/>
          <w:lang w:eastAsia="pt-BR"/>
        </w:rPr>
        <w:t xml:space="preserve"> </w:t>
      </w:r>
      <w:r w:rsidRPr="005C5CBD">
        <w:rPr>
          <w:rFonts w:ascii="Garamond" w:eastAsia="Calibri" w:hAnsi="Garamond" w:cs="Calibri"/>
          <w:sz w:val="24"/>
          <w:szCs w:val="24"/>
          <w:lang w:eastAsia="pt-BR"/>
        </w:rPr>
        <w:t xml:space="preserve">a prática habitual de mercado para determinação do benefício no momento da decisão sobre a operação analisada, com base em expectativas de custos e retornos </w:t>
      </w:r>
      <w:r w:rsidRPr="005C5CBD">
        <w:rPr>
          <w:rFonts w:ascii="Garamond" w:eastAsia="Calibri" w:hAnsi="Garamond" w:cs="Calibri"/>
          <w:b/>
          <w:sz w:val="24"/>
          <w:szCs w:val="24"/>
          <w:lang w:eastAsia="pt-BR"/>
        </w:rPr>
        <w:t>ex ante</w:t>
      </w:r>
      <w:r w:rsidRPr="005C5CBD">
        <w:rPr>
          <w:rFonts w:ascii="Garamond" w:eastAsia="Calibri" w:hAnsi="Garamond" w:cs="Calibri"/>
          <w:sz w:val="24"/>
          <w:szCs w:val="24"/>
          <w:lang w:eastAsia="pt-BR"/>
        </w:rPr>
        <w:t>.</w:t>
      </w:r>
      <w:r w:rsidRPr="005C5CBD">
        <w:rPr>
          <w:rFonts w:ascii="Garamond" w:eastAsia="Calibri" w:hAnsi="Garamond" w:cs="Calibri"/>
          <w:b/>
          <w:sz w:val="24"/>
          <w:szCs w:val="24"/>
          <w:lang w:eastAsia="pt-BR"/>
        </w:rPr>
        <w:t xml:space="preserve"> </w:t>
      </w:r>
    </w:p>
    <w:p w14:paraId="69F7BCA2"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3º Na ausência de </w:t>
      </w:r>
      <w:r w:rsidRPr="005C5CBD">
        <w:rPr>
          <w:rFonts w:ascii="Garamond" w:eastAsia="Calibri" w:hAnsi="Garamond" w:cs="Calibri"/>
          <w:b/>
          <w:sz w:val="24"/>
          <w:szCs w:val="24"/>
          <w:lang w:eastAsia="pt-BR"/>
        </w:rPr>
        <w:t>benchmark</w:t>
      </w:r>
      <w:r w:rsidRPr="005C5CBD">
        <w:rPr>
          <w:rFonts w:ascii="Garamond" w:eastAsia="Calibri" w:hAnsi="Garamond" w:cs="Calibri"/>
          <w:sz w:val="24"/>
          <w:szCs w:val="24"/>
          <w:lang w:eastAsia="pt-BR"/>
        </w:rPr>
        <w:t xml:space="preserve"> adequado no país exportador, a Subsecretaria de Defesa Comercial e Interesse Público poderá recorrer a </w:t>
      </w:r>
      <w:r w:rsidRPr="005C5CBD">
        <w:rPr>
          <w:rFonts w:ascii="Garamond" w:eastAsia="Calibri" w:hAnsi="Garamond" w:cs="Calibri"/>
          <w:b/>
          <w:sz w:val="24"/>
          <w:szCs w:val="24"/>
          <w:lang w:eastAsia="pt-BR"/>
        </w:rPr>
        <w:t>benchmark</w:t>
      </w:r>
      <w:r w:rsidRPr="005C5CBD">
        <w:rPr>
          <w:rFonts w:ascii="Garamond" w:eastAsia="Calibri" w:hAnsi="Garamond" w:cs="Calibri"/>
          <w:sz w:val="24"/>
          <w:szCs w:val="24"/>
          <w:lang w:eastAsia="pt-BR"/>
        </w:rPr>
        <w:t xml:space="preserve"> externo (</w:t>
      </w:r>
      <w:r w:rsidRPr="005C5CBD">
        <w:rPr>
          <w:rFonts w:ascii="Garamond" w:eastAsia="Calibri" w:hAnsi="Garamond" w:cs="Calibri"/>
          <w:b/>
          <w:sz w:val="24"/>
          <w:szCs w:val="24"/>
          <w:lang w:eastAsia="pt-BR"/>
        </w:rPr>
        <w:t>e.g.</w:t>
      </w:r>
      <w:r w:rsidRPr="005C5CBD">
        <w:rPr>
          <w:rFonts w:ascii="Garamond" w:eastAsia="Calibri" w:hAnsi="Garamond" w:cs="Calibri"/>
          <w:sz w:val="24"/>
          <w:szCs w:val="24"/>
          <w:lang w:eastAsia="pt-BR"/>
        </w:rPr>
        <w:t xml:space="preserve">, empréstimos em moedas estrangeiras), desde que se trate de </w:t>
      </w:r>
      <w:r w:rsidRPr="005C5CBD">
        <w:rPr>
          <w:rFonts w:ascii="Garamond" w:eastAsia="Calibri" w:hAnsi="Garamond" w:cs="Calibri"/>
          <w:b/>
          <w:sz w:val="24"/>
          <w:szCs w:val="24"/>
          <w:lang w:eastAsia="pt-BR"/>
        </w:rPr>
        <w:t>benchmark</w:t>
      </w:r>
      <w:r w:rsidRPr="005C5CBD">
        <w:rPr>
          <w:rFonts w:ascii="Garamond" w:eastAsia="Calibri" w:hAnsi="Garamond" w:cs="Calibri"/>
          <w:sz w:val="24"/>
          <w:szCs w:val="24"/>
          <w:lang w:eastAsia="pt-BR"/>
        </w:rPr>
        <w:t xml:space="preserve"> razoável que permita uma comparação adequada.</w:t>
      </w:r>
    </w:p>
    <w:p w14:paraId="600C8F28"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4º A Subsecretaria de Defesa Comercial e Interesse Público poderá rejeitar preços privados domésticos no país exportador como </w:t>
      </w:r>
      <w:r w:rsidRPr="005C5CBD">
        <w:rPr>
          <w:rFonts w:ascii="Garamond" w:eastAsia="Calibri" w:hAnsi="Garamond" w:cs="Calibri"/>
          <w:b/>
          <w:sz w:val="24"/>
          <w:szCs w:val="24"/>
          <w:lang w:eastAsia="pt-BR"/>
        </w:rPr>
        <w:t>benchmark</w:t>
      </w:r>
      <w:r w:rsidRPr="005C5CBD">
        <w:rPr>
          <w:rFonts w:ascii="Garamond" w:eastAsia="Calibri" w:hAnsi="Garamond" w:cs="Calibri"/>
          <w:sz w:val="24"/>
          <w:szCs w:val="24"/>
          <w:lang w:eastAsia="pt-BR"/>
        </w:rPr>
        <w:t xml:space="preserve"> para comparação caso tais preços sejam distorcidos em função da participação predominante do governo como fornecedor no mercado.</w:t>
      </w:r>
    </w:p>
    <w:p w14:paraId="5CDCD87B"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5º Na ausência de cooperação por parte de produtores/exportadores e do governo do país exportador investigado, a Subsecretaria de Defesa Comercial e Interesse Público utilizará os fatos disponíveis no processo para fins de definição de </w:t>
      </w:r>
      <w:r w:rsidRPr="005C5CBD">
        <w:rPr>
          <w:rFonts w:ascii="Garamond" w:eastAsia="Calibri" w:hAnsi="Garamond" w:cs="Calibri"/>
          <w:b/>
          <w:sz w:val="24"/>
          <w:szCs w:val="24"/>
          <w:lang w:eastAsia="pt-BR"/>
        </w:rPr>
        <w:t xml:space="preserve">benchmark </w:t>
      </w:r>
      <w:r w:rsidRPr="005C5CBD">
        <w:rPr>
          <w:rFonts w:ascii="Garamond" w:eastAsia="Calibri" w:hAnsi="Garamond" w:cs="Calibri"/>
          <w:sz w:val="24"/>
          <w:szCs w:val="24"/>
          <w:lang w:eastAsia="pt-BR"/>
        </w:rPr>
        <w:t>para apuração do montante de subsídio acionável.</w:t>
      </w:r>
    </w:p>
    <w:p w14:paraId="1F69D68E"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6º Caso utilize como referência </w:t>
      </w:r>
      <w:r w:rsidRPr="005C5CBD">
        <w:rPr>
          <w:rFonts w:ascii="Garamond" w:eastAsia="Calibri" w:hAnsi="Garamond" w:cs="Calibri"/>
          <w:b/>
          <w:sz w:val="24"/>
          <w:szCs w:val="24"/>
          <w:lang w:eastAsia="pt-BR"/>
        </w:rPr>
        <w:t>benchmarks</w:t>
      </w:r>
      <w:r w:rsidRPr="005C5CBD">
        <w:rPr>
          <w:rFonts w:ascii="Garamond" w:eastAsia="Calibri" w:hAnsi="Garamond" w:cs="Calibri"/>
          <w:sz w:val="24"/>
          <w:szCs w:val="24"/>
          <w:lang w:eastAsia="pt-BR"/>
        </w:rPr>
        <w:t xml:space="preserve"> externos (</w:t>
      </w:r>
      <w:r w:rsidRPr="005C5CBD">
        <w:rPr>
          <w:rFonts w:ascii="Garamond" w:eastAsia="Calibri" w:hAnsi="Garamond" w:cs="Calibri"/>
          <w:b/>
          <w:sz w:val="24"/>
          <w:szCs w:val="24"/>
          <w:lang w:eastAsia="pt-BR"/>
        </w:rPr>
        <w:t>e.g.</w:t>
      </w:r>
      <w:r w:rsidRPr="005C5CBD">
        <w:rPr>
          <w:rFonts w:ascii="Garamond" w:eastAsia="Calibri" w:hAnsi="Garamond" w:cs="Calibri"/>
          <w:sz w:val="24"/>
          <w:szCs w:val="24"/>
          <w:lang w:eastAsia="pt-BR"/>
        </w:rPr>
        <w:t xml:space="preserve">, empréstimos em moedas estrangeiras), </w:t>
      </w:r>
      <w:r w:rsidRPr="005C5CBD">
        <w:rPr>
          <w:rFonts w:ascii="Garamond" w:eastAsia="Calibri" w:hAnsi="Garamond" w:cs="Calibri"/>
          <w:b/>
          <w:sz w:val="24"/>
          <w:szCs w:val="24"/>
          <w:lang w:eastAsia="pt-BR"/>
        </w:rPr>
        <w:t>benchmarks</w:t>
      </w:r>
      <w:r w:rsidRPr="005C5CBD">
        <w:rPr>
          <w:rFonts w:ascii="Garamond" w:eastAsia="Calibri" w:hAnsi="Garamond" w:cs="Calibri"/>
          <w:sz w:val="24"/>
          <w:szCs w:val="24"/>
          <w:lang w:eastAsia="pt-BR"/>
        </w:rPr>
        <w:t xml:space="preserve"> ajustados ou </w:t>
      </w:r>
      <w:r w:rsidRPr="005C5CBD">
        <w:rPr>
          <w:rFonts w:ascii="Garamond" w:eastAsia="Calibri" w:hAnsi="Garamond" w:cs="Calibri"/>
          <w:b/>
          <w:sz w:val="24"/>
          <w:szCs w:val="24"/>
          <w:lang w:eastAsia="pt-BR"/>
        </w:rPr>
        <w:t>proxies</w:t>
      </w:r>
      <w:r w:rsidRPr="005C5CBD">
        <w:rPr>
          <w:rFonts w:ascii="Garamond" w:eastAsia="Calibri" w:hAnsi="Garamond" w:cs="Calibri"/>
          <w:i/>
          <w:sz w:val="24"/>
          <w:szCs w:val="24"/>
          <w:lang w:eastAsia="pt-BR"/>
        </w:rPr>
        <w:t xml:space="preserve"> </w:t>
      </w:r>
      <w:r w:rsidRPr="005C5CBD">
        <w:rPr>
          <w:rFonts w:ascii="Garamond" w:eastAsia="Calibri" w:hAnsi="Garamond" w:cs="Calibri"/>
          <w:sz w:val="24"/>
          <w:szCs w:val="24"/>
          <w:lang w:eastAsia="pt-BR"/>
        </w:rPr>
        <w:t>para fins de cálculo do montante de subsídio acionável, a Subsecretaria de Defesa Comercial e Interesse Público buscará realizar comparações adequadas, podendo efetuar os ajustes que julgar necessários.</w:t>
      </w:r>
    </w:p>
    <w:p w14:paraId="3A58C055"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Art. 26.  </w:t>
      </w:r>
      <w:r w:rsidRPr="005C5CBD">
        <w:rPr>
          <w:rFonts w:ascii="Garamond" w:eastAsia="Calibri" w:hAnsi="Garamond" w:cs="Calibri"/>
          <w:sz w:val="24"/>
          <w:szCs w:val="24"/>
          <w:lang w:eastAsia="pt-BR"/>
        </w:rPr>
        <w:t>O cálculo do benefício deverá considerar:</w:t>
      </w:r>
    </w:p>
    <w:p w14:paraId="79D73FF0"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 - o período de investigação de existência de subsídio; e</w:t>
      </w:r>
    </w:p>
    <w:p w14:paraId="51BCC9D4"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II – a classificação do subsídio como recorrente ou não recorrente, conforme previsto na Subsubseção II desta Subseção.</w:t>
      </w:r>
    </w:p>
    <w:p w14:paraId="5297BCBB" w14:textId="77777777" w:rsidR="00395593" w:rsidRPr="005C5CBD" w:rsidRDefault="00395593" w:rsidP="00B65C1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w:t>
      </w:r>
      <w:r w:rsidRPr="005C5CBD" w:rsidDel="00DD5938">
        <w:rPr>
          <w:rFonts w:ascii="Garamond" w:eastAsia="Calibri" w:hAnsi="Garamond" w:cs="Calibri"/>
          <w:sz w:val="24"/>
          <w:szCs w:val="24"/>
        </w:rPr>
        <w:t xml:space="preserve"> </w:t>
      </w:r>
      <w:r w:rsidRPr="005C5CBD">
        <w:rPr>
          <w:rFonts w:ascii="Garamond" w:eastAsia="Calibri" w:hAnsi="Garamond" w:cs="Calibri"/>
          <w:sz w:val="24"/>
          <w:szCs w:val="24"/>
        </w:rPr>
        <w:t>Quando um programa de subsídios envolver múltiplas operações (</w:t>
      </w:r>
      <w:r w:rsidRPr="005C5CBD">
        <w:rPr>
          <w:rFonts w:ascii="Garamond" w:eastAsia="Calibri" w:hAnsi="Garamond" w:cs="Calibri"/>
          <w:b/>
          <w:sz w:val="24"/>
          <w:szCs w:val="24"/>
        </w:rPr>
        <w:t>e.g.</w:t>
      </w:r>
      <w:r w:rsidRPr="005C5CBD">
        <w:rPr>
          <w:rFonts w:ascii="Garamond" w:eastAsia="Calibri" w:hAnsi="Garamond" w:cs="Calibri"/>
          <w:sz w:val="24"/>
          <w:szCs w:val="24"/>
        </w:rPr>
        <w:t>, empréstimos preferenciais ou fornecimento de bens e serviços), somente serão considerados no cômputo do montante de subsídios, nos termos desta subseção,</w:t>
      </w:r>
      <w:r w:rsidRPr="005C5CBD">
        <w:rPr>
          <w:rFonts w:ascii="Garamond" w:eastAsia="Calibri" w:hAnsi="Garamond" w:cs="Calibri"/>
          <w:b/>
          <w:sz w:val="24"/>
          <w:szCs w:val="24"/>
        </w:rPr>
        <w:t xml:space="preserve"> </w:t>
      </w:r>
      <w:r w:rsidRPr="005C5CBD">
        <w:rPr>
          <w:rFonts w:ascii="Garamond" w:eastAsia="Calibri" w:hAnsi="Garamond" w:cs="Calibri"/>
          <w:sz w:val="24"/>
          <w:szCs w:val="24"/>
        </w:rPr>
        <w:t>as operações subsidiadas (</w:t>
      </w:r>
      <w:r w:rsidRPr="005C5CBD">
        <w:rPr>
          <w:rFonts w:ascii="Garamond" w:eastAsia="Calibri" w:hAnsi="Garamond" w:cs="Calibri"/>
          <w:b/>
          <w:sz w:val="24"/>
          <w:szCs w:val="24"/>
        </w:rPr>
        <w:t>e.g.</w:t>
      </w:r>
      <w:r w:rsidRPr="005C5CBD">
        <w:rPr>
          <w:rFonts w:ascii="Garamond" w:eastAsia="Calibri" w:hAnsi="Garamond" w:cs="Calibri"/>
          <w:sz w:val="24"/>
          <w:szCs w:val="24"/>
        </w:rPr>
        <w:t xml:space="preserve">, empréstimos não subsidiados não serão levados em consideração para apuração do montante de subsídios). </w:t>
      </w:r>
    </w:p>
    <w:p w14:paraId="22302F4C" w14:textId="77777777" w:rsidR="00395593" w:rsidRPr="005C5CBD" w:rsidRDefault="00395593" w:rsidP="00E15FBB">
      <w:pPr>
        <w:spacing w:after="0" w:line="240" w:lineRule="auto"/>
        <w:jc w:val="both"/>
        <w:rPr>
          <w:rFonts w:ascii="Garamond" w:eastAsia="Calibri" w:hAnsi="Garamond" w:cs="Calibri"/>
          <w:sz w:val="24"/>
          <w:szCs w:val="24"/>
        </w:rPr>
      </w:pPr>
    </w:p>
    <w:p w14:paraId="2D933686" w14:textId="77777777" w:rsidR="004D3D0A" w:rsidRPr="005C5CBD" w:rsidRDefault="00395593" w:rsidP="00B65C1F">
      <w:pPr>
        <w:spacing w:after="0" w:line="240" w:lineRule="auto"/>
        <w:ind w:firstLine="567"/>
        <w:jc w:val="both"/>
        <w:rPr>
          <w:rFonts w:ascii="Garamond" w:eastAsia="Calibri" w:hAnsi="Garamond" w:cs="Calibri"/>
          <w:sz w:val="24"/>
          <w:szCs w:val="24"/>
        </w:rPr>
      </w:pPr>
      <w:r w:rsidRPr="00B65C1F">
        <w:rPr>
          <w:rFonts w:ascii="Garamond" w:eastAsia="Calibri" w:hAnsi="Garamond" w:cs="Calibri"/>
          <w:sz w:val="24"/>
          <w:szCs w:val="24"/>
        </w:rPr>
        <w:t xml:space="preserve">Art. 27.  </w:t>
      </w:r>
      <w:r w:rsidRPr="005C5CBD">
        <w:rPr>
          <w:rFonts w:ascii="Garamond" w:eastAsia="Calibri" w:hAnsi="Garamond" w:cs="Calibri"/>
          <w:sz w:val="24"/>
          <w:szCs w:val="24"/>
        </w:rPr>
        <w:t>As metodologias de cálculo do benefício descritas nesta Portaria variam de acordo com o tipo de contribuição financeira e a natureza de cada programa de subsídio investigado.</w:t>
      </w:r>
    </w:p>
    <w:p w14:paraId="19B4A77A" w14:textId="77777777" w:rsidR="004D3D0A" w:rsidRDefault="004D3D0A" w:rsidP="004D3D0A">
      <w:pPr>
        <w:spacing w:after="0" w:line="240" w:lineRule="auto"/>
        <w:ind w:firstLine="708"/>
        <w:jc w:val="both"/>
        <w:rPr>
          <w:rFonts w:ascii="Garamond" w:eastAsia="Calibri" w:hAnsi="Garamond" w:cs="Calibri"/>
          <w:sz w:val="24"/>
          <w:szCs w:val="24"/>
        </w:rPr>
      </w:pPr>
    </w:p>
    <w:p w14:paraId="039F8A33" w14:textId="77777777" w:rsidR="00395593" w:rsidRPr="005C5CBD" w:rsidRDefault="00395593" w:rsidP="00B65C1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1º Caso se constate que determinado programa de subsídio fornece mais de um tipo </w:t>
      </w:r>
      <w:r w:rsidRPr="00B65C1F">
        <w:rPr>
          <w:rFonts w:ascii="Times New Roman" w:eastAsia="Calibri" w:hAnsi="Times New Roman" w:cs="Times New Roman"/>
          <w:sz w:val="24"/>
          <w:szCs w:val="24"/>
        </w:rPr>
        <w:t>​​</w:t>
      </w:r>
      <w:r w:rsidRPr="005C5CBD">
        <w:rPr>
          <w:rFonts w:ascii="Garamond" w:eastAsia="Calibri" w:hAnsi="Garamond" w:cs="Calibri"/>
          <w:sz w:val="24"/>
          <w:szCs w:val="24"/>
        </w:rPr>
        <w:t>de contribui</w:t>
      </w:r>
      <w:r w:rsidRPr="00B65C1F">
        <w:rPr>
          <w:rFonts w:ascii="Garamond" w:eastAsia="Calibri" w:hAnsi="Garamond" w:cs="Calibri"/>
          <w:sz w:val="24"/>
          <w:szCs w:val="24"/>
        </w:rPr>
        <w:t>çã</w:t>
      </w:r>
      <w:r w:rsidRPr="005C5CBD">
        <w:rPr>
          <w:rFonts w:ascii="Garamond" w:eastAsia="Calibri" w:hAnsi="Garamond" w:cs="Calibri"/>
          <w:sz w:val="24"/>
          <w:szCs w:val="24"/>
        </w:rPr>
        <w:t>o financeira simultaneamente, poder</w:t>
      </w:r>
      <w:r w:rsidRPr="00B65C1F">
        <w:rPr>
          <w:rFonts w:ascii="Garamond" w:eastAsia="Calibri" w:hAnsi="Garamond" w:cs="Calibri"/>
          <w:sz w:val="24"/>
          <w:szCs w:val="24"/>
        </w:rPr>
        <w:t>ã</w:t>
      </w:r>
      <w:r w:rsidRPr="005C5CBD">
        <w:rPr>
          <w:rFonts w:ascii="Garamond" w:eastAsia="Calibri" w:hAnsi="Garamond" w:cs="Calibri"/>
          <w:sz w:val="24"/>
          <w:szCs w:val="24"/>
        </w:rPr>
        <w:t>o ser adotadas diferentes formas de apura</w:t>
      </w:r>
      <w:r w:rsidRPr="00B65C1F">
        <w:rPr>
          <w:rFonts w:ascii="Garamond" w:eastAsia="Calibri" w:hAnsi="Garamond" w:cs="Calibri"/>
          <w:sz w:val="24"/>
          <w:szCs w:val="24"/>
        </w:rPr>
        <w:t>çã</w:t>
      </w:r>
      <w:r w:rsidRPr="005C5CBD">
        <w:rPr>
          <w:rFonts w:ascii="Garamond" w:eastAsia="Calibri" w:hAnsi="Garamond" w:cs="Calibri"/>
          <w:sz w:val="24"/>
          <w:szCs w:val="24"/>
        </w:rPr>
        <w:t>o do montante de benef</w:t>
      </w:r>
      <w:r w:rsidRPr="00B65C1F">
        <w:rPr>
          <w:rFonts w:ascii="Garamond" w:eastAsia="Calibri" w:hAnsi="Garamond" w:cs="Calibri"/>
          <w:sz w:val="24"/>
          <w:szCs w:val="24"/>
        </w:rPr>
        <w:t>í</w:t>
      </w:r>
      <w:r w:rsidRPr="005C5CBD">
        <w:rPr>
          <w:rFonts w:ascii="Garamond" w:eastAsia="Calibri" w:hAnsi="Garamond" w:cs="Calibri"/>
          <w:sz w:val="24"/>
          <w:szCs w:val="24"/>
        </w:rPr>
        <w:t xml:space="preserve">cio no </w:t>
      </w:r>
      <w:r w:rsidRPr="00B65C1F">
        <w:rPr>
          <w:rFonts w:ascii="Garamond" w:eastAsia="Calibri" w:hAnsi="Garamond" w:cs="Calibri"/>
          <w:sz w:val="24"/>
          <w:szCs w:val="24"/>
        </w:rPr>
        <w:t>â</w:t>
      </w:r>
      <w:r w:rsidRPr="005C5CBD">
        <w:rPr>
          <w:rFonts w:ascii="Garamond" w:eastAsia="Calibri" w:hAnsi="Garamond" w:cs="Calibri"/>
          <w:sz w:val="24"/>
          <w:szCs w:val="24"/>
        </w:rPr>
        <w:t>mbito de um mesmo programa.</w:t>
      </w:r>
    </w:p>
    <w:p w14:paraId="249FCFFC" w14:textId="77777777" w:rsidR="004D3D0A" w:rsidRPr="004D3D0A" w:rsidRDefault="004D3D0A" w:rsidP="004D3D0A">
      <w:pPr>
        <w:spacing w:after="0" w:line="240" w:lineRule="auto"/>
        <w:ind w:firstLine="708"/>
        <w:jc w:val="both"/>
        <w:rPr>
          <w:rFonts w:ascii="Garamond" w:eastAsia="Calibri" w:hAnsi="Garamond" w:cs="Calibri"/>
          <w:sz w:val="24"/>
          <w:szCs w:val="24"/>
        </w:rPr>
      </w:pPr>
    </w:p>
    <w:p w14:paraId="1A858000" w14:textId="77777777" w:rsidR="00395593" w:rsidRPr="005C5CBD" w:rsidRDefault="00395593" w:rsidP="00B65C1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2º  Caso se verifique a existência de programas de subsídio semelhantes, de mesma natureza e tipo de contribuição financeira, a Subsecretaria de Defesa Comercial e Interesse Público poderá apurar o montante de subsídio de forma consolidada para tais programas. </w:t>
      </w:r>
    </w:p>
    <w:p w14:paraId="61C8B81C" w14:textId="77777777" w:rsidR="004D3D0A" w:rsidRPr="004D3D0A" w:rsidRDefault="004D3D0A" w:rsidP="004D3D0A">
      <w:pPr>
        <w:spacing w:after="0" w:line="240" w:lineRule="auto"/>
        <w:ind w:firstLine="708"/>
        <w:jc w:val="both"/>
        <w:rPr>
          <w:rFonts w:ascii="Garamond" w:eastAsia="Calibri" w:hAnsi="Garamond" w:cs="Calibri"/>
          <w:sz w:val="24"/>
          <w:szCs w:val="24"/>
        </w:rPr>
      </w:pPr>
    </w:p>
    <w:p w14:paraId="0E8C3FB1" w14:textId="77777777" w:rsidR="00395593" w:rsidRPr="005C5CBD" w:rsidRDefault="00395593" w:rsidP="00B65C1F">
      <w:pPr>
        <w:spacing w:after="0"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Art. 28.  </w:t>
      </w:r>
      <w:r w:rsidRPr="005C5CBD">
        <w:rPr>
          <w:rFonts w:ascii="Garamond" w:eastAsia="Calibri" w:hAnsi="Garamond" w:cs="Calibri"/>
          <w:sz w:val="24"/>
          <w:szCs w:val="24"/>
          <w:lang w:eastAsia="pt-BR"/>
        </w:rPr>
        <w:t>Ao determinar o benefício conferido, a Subsecretaria de Defesa Comercial e Interesse Público não considerará:</w:t>
      </w:r>
    </w:p>
    <w:p w14:paraId="5777434A" w14:textId="77777777" w:rsidR="00B01231" w:rsidRPr="004D3D0A" w:rsidRDefault="00B01231" w:rsidP="004D3D0A">
      <w:pPr>
        <w:spacing w:after="0" w:line="240" w:lineRule="auto"/>
        <w:ind w:firstLine="708"/>
        <w:jc w:val="both"/>
        <w:rPr>
          <w:rFonts w:ascii="Garamond" w:eastAsia="Calibri" w:hAnsi="Garamond" w:cs="Calibri"/>
          <w:sz w:val="24"/>
          <w:szCs w:val="24"/>
        </w:rPr>
      </w:pPr>
    </w:p>
    <w:p w14:paraId="35742BEA"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 - o efeito indireto da ação do governo sobre o desempenho da empresa investigada, incluindo seus preços ou resultados financeiros; </w:t>
      </w:r>
    </w:p>
    <w:p w14:paraId="44C575D7"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II - as consequências fiscais indiretas para o destinatário decorrentes do benefício (</w:t>
      </w:r>
      <w:r w:rsidRPr="005C5CBD">
        <w:rPr>
          <w:rFonts w:ascii="Garamond" w:eastAsia="Calibri" w:hAnsi="Garamond" w:cs="Calibri"/>
          <w:b/>
          <w:sz w:val="24"/>
          <w:szCs w:val="24"/>
          <w:lang w:eastAsia="pt-BR"/>
        </w:rPr>
        <w:t>e.g.</w:t>
      </w:r>
      <w:r w:rsidRPr="005C5CBD">
        <w:rPr>
          <w:rFonts w:ascii="Garamond" w:eastAsia="Calibri" w:hAnsi="Garamond" w:cs="Calibri"/>
          <w:sz w:val="24"/>
          <w:szCs w:val="24"/>
          <w:lang w:eastAsia="pt-BR"/>
        </w:rPr>
        <w:t>, eventual aumento da base de cálculo de imposto de renda em decorrência do recebimento do subsídio); e</w:t>
      </w:r>
    </w:p>
    <w:p w14:paraId="66469E08" w14:textId="77777777" w:rsidR="00395593" w:rsidRPr="005C5CBD" w:rsidRDefault="00395593" w:rsidP="00B65C1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III - o modo como o comportamento da empresa investigada de outra forma é alterado (</w:t>
      </w:r>
      <w:r w:rsidRPr="005C5CBD">
        <w:rPr>
          <w:rFonts w:ascii="Garamond" w:eastAsia="Calibri" w:hAnsi="Garamond" w:cs="Calibri"/>
          <w:b/>
          <w:sz w:val="24"/>
          <w:szCs w:val="24"/>
          <w:lang w:eastAsia="pt-BR"/>
        </w:rPr>
        <w:t>e.g.</w:t>
      </w:r>
      <w:r w:rsidRPr="005C5CBD">
        <w:rPr>
          <w:rFonts w:ascii="Garamond" w:eastAsia="Calibri" w:hAnsi="Garamond" w:cs="Calibri"/>
          <w:sz w:val="24"/>
          <w:szCs w:val="24"/>
          <w:lang w:eastAsia="pt-BR"/>
        </w:rPr>
        <w:t>, elevação do volume de produção).</w:t>
      </w:r>
    </w:p>
    <w:p w14:paraId="3E298C72" w14:textId="77777777" w:rsidR="00395593" w:rsidRPr="005C5CBD" w:rsidRDefault="00395593" w:rsidP="00B65C1F">
      <w:pPr>
        <w:spacing w:before="6" w:after="283" w:line="240" w:lineRule="auto"/>
        <w:ind w:firstLine="567"/>
        <w:jc w:val="both"/>
        <w:rPr>
          <w:rFonts w:ascii="Garamond" w:eastAsia="Calibri" w:hAnsi="Garamond" w:cs="Calibri"/>
          <w:strike/>
          <w:sz w:val="24"/>
          <w:szCs w:val="24"/>
          <w:lang w:eastAsia="pt-BR"/>
        </w:rPr>
      </w:pPr>
      <w:r w:rsidRPr="005C5CBD">
        <w:rPr>
          <w:rFonts w:ascii="Garamond" w:eastAsia="Times New Roman" w:hAnsi="Garamond" w:cs="Calibri"/>
          <w:sz w:val="24"/>
          <w:szCs w:val="24"/>
          <w:lang w:eastAsia="pt-BR"/>
        </w:rPr>
        <w:t xml:space="preserve">Art. 29.  </w:t>
      </w:r>
      <w:r w:rsidRPr="005C5CBD">
        <w:rPr>
          <w:rFonts w:ascii="Garamond" w:eastAsia="Calibri" w:hAnsi="Garamond" w:cs="Calibri"/>
          <w:sz w:val="24"/>
          <w:szCs w:val="24"/>
          <w:lang w:eastAsia="pt-BR"/>
        </w:rPr>
        <w:t>Em suas determinações, a Subsecretaria de Defesa Comercial e Interesse Público levará em consideração todas as circunstâncias relevantes do caso concreto e apresentará de forma detalhada as metodologias de cálculos do benefício apurado no âmbito de cada programa de subsídio investigado.</w:t>
      </w:r>
    </w:p>
    <w:p w14:paraId="5AFDCEB3" w14:textId="01415E9B" w:rsidR="00395593" w:rsidRPr="007B17E1" w:rsidRDefault="00BF7B8D" w:rsidP="00BF7B8D">
      <w:pPr>
        <w:pStyle w:val="Corpodetexto"/>
        <w:jc w:val="center"/>
        <w:rPr>
          <w:rFonts w:ascii="Garamond" w:eastAsia="Calibri" w:hAnsi="Garamond"/>
          <w:b/>
          <w:lang w:eastAsia="pt-BR"/>
        </w:rPr>
      </w:pPr>
      <w:r w:rsidRPr="007B17E1">
        <w:rPr>
          <w:rFonts w:ascii="Garamond" w:eastAsia="Calibri" w:hAnsi="Garamond"/>
          <w:b/>
          <w:lang w:eastAsia="pt-BR"/>
        </w:rPr>
        <w:t>Subsubseção I</w:t>
      </w:r>
    </w:p>
    <w:p w14:paraId="55EF8856" w14:textId="77777777" w:rsidR="00395593" w:rsidRPr="007B17E1" w:rsidRDefault="00395593" w:rsidP="00BF7B8D">
      <w:pPr>
        <w:pStyle w:val="Corpodetexto"/>
        <w:jc w:val="center"/>
        <w:rPr>
          <w:rFonts w:ascii="Garamond" w:eastAsia="Calibri" w:hAnsi="Garamond"/>
          <w:b/>
          <w:i/>
          <w:snapToGrid w:val="0"/>
        </w:rPr>
      </w:pPr>
      <w:r w:rsidRPr="007B17E1">
        <w:rPr>
          <w:rFonts w:ascii="Garamond" w:eastAsia="Calibri" w:hAnsi="Garamond"/>
          <w:b/>
          <w:snapToGrid w:val="0"/>
        </w:rPr>
        <w:t>Das deduções do benefício</w:t>
      </w:r>
    </w:p>
    <w:p w14:paraId="614E26E1"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0E366533"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Art. 30.  </w:t>
      </w:r>
      <w:r w:rsidRPr="005C5CBD">
        <w:rPr>
          <w:rFonts w:ascii="Garamond" w:eastAsia="Calibri" w:hAnsi="Garamond" w:cs="Calibri"/>
          <w:sz w:val="24"/>
          <w:szCs w:val="24"/>
          <w:lang w:eastAsia="pt-BR"/>
        </w:rPr>
        <w:t>Poderão ser deduzidos do cálculo do benefício:</w:t>
      </w:r>
    </w:p>
    <w:p w14:paraId="57D518BD"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 - gastos incorridos necessariamente para fazer jus aos subsídios ou para deles se beneficiarem; e</w:t>
      </w:r>
    </w:p>
    <w:p w14:paraId="2522E1E1"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II - tributos recolhidos que incidam sobre a exportação do produto para a República Federativa do Brasil quando destinados especificamente a neutralizar o efeito do subsídio. </w:t>
      </w:r>
    </w:p>
    <w:p w14:paraId="464038B3"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§1º A dedução de gastos incorridos e tributos dependerá da apresentação de elementos de prova verificáveis sobre sua ocorrência por parte do produtor/exportador investigado. </w:t>
      </w:r>
    </w:p>
    <w:p w14:paraId="28CBFB34"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§2º Na ausência de requerimento tempestivo do produtor/exportador investigado sobre tal dedução, apresentado em resposta ao questionário e acompanhado de elementos de prova verificáveis, a Subsecretaria de Defesa Comercial e Interesse Público não concederá qualquer dedução do cálculo do benefício.</w:t>
      </w:r>
    </w:p>
    <w:p w14:paraId="3470BB01"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§3º Somente serão deduzidos gastos incorridos e tributos recolhidos quando pagos diretamente ao governo e referentes ao período de investigação. </w:t>
      </w:r>
    </w:p>
    <w:p w14:paraId="63C2E948"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§4º O produtor/exportador investigado deverá demonstrar que os gastos incorridos são condição obrigatória para recebimento do subsídio. </w:t>
      </w:r>
    </w:p>
    <w:p w14:paraId="477C59C7"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§5º No caso de tributos especificamente destinados a compensar ou neutralizar o subsídio cobrados na exportação de um produto para o Brasil, as deduções somente serão realizadas se tais tributos forem efetivamente cobrados durante o período de investigação.</w:t>
      </w:r>
    </w:p>
    <w:p w14:paraId="088D1358"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Art. 31.  </w:t>
      </w:r>
      <w:r w:rsidRPr="005C5CBD">
        <w:rPr>
          <w:rFonts w:ascii="Garamond" w:eastAsia="Calibri" w:hAnsi="Garamond" w:cs="Calibri"/>
          <w:sz w:val="24"/>
          <w:szCs w:val="24"/>
          <w:lang w:eastAsia="pt-BR"/>
        </w:rPr>
        <w:t>Não poderão ser deduzidos do cálculo do benefício:</w:t>
      </w:r>
    </w:p>
    <w:p w14:paraId="272BC799"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 - custos decorrentes de pagamentos a partes privadas, como advogados, contadores ou representantes legais que o produtor/exportador investigado tiver direta ou indiretamente incorrido para se qualificar ou se beneficiar do subsídio; </w:t>
      </w:r>
    </w:p>
    <w:p w14:paraId="55950E00"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II - contribuições voluntárias da empresa investigada ao governo, por exemplo, doações; </w:t>
      </w:r>
    </w:p>
    <w:p w14:paraId="5246F289"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III - tributos recolhidos não destinados especificamente a neutralizar o efeito do subsídio; e</w:t>
      </w:r>
    </w:p>
    <w:p w14:paraId="06D35820"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IV - quaisquer outros gastos não obrigatórios para que o produtor/exportador seja elegível ao programa de subsídio ou usufrua do benefício. </w:t>
      </w:r>
    </w:p>
    <w:p w14:paraId="74E87BBE" w14:textId="7688B348" w:rsidR="00395593" w:rsidRPr="007B17E1" w:rsidRDefault="00395593" w:rsidP="00BF7B8D">
      <w:pPr>
        <w:pStyle w:val="Corpodetexto"/>
        <w:jc w:val="center"/>
        <w:rPr>
          <w:rFonts w:ascii="Garamond" w:eastAsia="Calibri" w:hAnsi="Garamond"/>
          <w:b/>
          <w:snapToGrid w:val="0"/>
        </w:rPr>
      </w:pPr>
      <w:r w:rsidRPr="007B17E1">
        <w:rPr>
          <w:rFonts w:ascii="Garamond" w:eastAsia="Calibri" w:hAnsi="Garamond"/>
          <w:b/>
          <w:snapToGrid w:val="0"/>
        </w:rPr>
        <w:t xml:space="preserve">Subsubseção </w:t>
      </w:r>
      <w:r w:rsidR="007B17E1" w:rsidRPr="007B17E1">
        <w:rPr>
          <w:rFonts w:ascii="Garamond" w:eastAsia="Calibri" w:hAnsi="Garamond"/>
          <w:b/>
          <w:snapToGrid w:val="0"/>
        </w:rPr>
        <w:t>II</w:t>
      </w:r>
    </w:p>
    <w:p w14:paraId="15E02A1A" w14:textId="77777777" w:rsidR="00395593" w:rsidRPr="007B17E1" w:rsidRDefault="00395593" w:rsidP="00BF7B8D">
      <w:pPr>
        <w:pStyle w:val="Corpodetexto"/>
        <w:jc w:val="center"/>
        <w:rPr>
          <w:rFonts w:ascii="Garamond" w:eastAsia="Calibri" w:hAnsi="Garamond"/>
          <w:snapToGrid w:val="0"/>
        </w:rPr>
      </w:pPr>
      <w:r w:rsidRPr="007B17E1">
        <w:rPr>
          <w:rFonts w:ascii="Garamond" w:eastAsia="Calibri" w:hAnsi="Garamond"/>
          <w:b/>
          <w:snapToGrid w:val="0"/>
        </w:rPr>
        <w:t>Da</w:t>
      </w:r>
      <w:r w:rsidRPr="007B17E1" w:rsidDel="00216181">
        <w:rPr>
          <w:rFonts w:ascii="Garamond" w:eastAsia="Calibri" w:hAnsi="Garamond"/>
          <w:b/>
          <w:snapToGrid w:val="0"/>
        </w:rPr>
        <w:t xml:space="preserve"> </w:t>
      </w:r>
      <w:r w:rsidRPr="007B17E1">
        <w:rPr>
          <w:rFonts w:ascii="Garamond" w:eastAsia="Calibri" w:hAnsi="Garamond"/>
          <w:b/>
          <w:snapToGrid w:val="0"/>
        </w:rPr>
        <w:t>atribuição ou alocação do benefício</w:t>
      </w:r>
    </w:p>
    <w:p w14:paraId="53BBE782" w14:textId="77777777" w:rsidR="00395593" w:rsidRPr="005C5CBD" w:rsidRDefault="00395593" w:rsidP="00E15FBB">
      <w:pPr>
        <w:spacing w:after="0" w:line="240" w:lineRule="auto"/>
        <w:jc w:val="both"/>
        <w:rPr>
          <w:rFonts w:ascii="Garamond" w:eastAsia="Calibri" w:hAnsi="Garamond" w:cs="Calibri"/>
          <w:sz w:val="24"/>
          <w:szCs w:val="24"/>
        </w:rPr>
      </w:pPr>
    </w:p>
    <w:p w14:paraId="6AAD4BAD"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Art. 32.  </w:t>
      </w:r>
      <w:r w:rsidRPr="005C5CBD">
        <w:rPr>
          <w:rFonts w:ascii="Garamond" w:eastAsia="Calibri" w:hAnsi="Garamond" w:cs="Calibri"/>
          <w:sz w:val="24"/>
          <w:szCs w:val="24"/>
          <w:lang w:eastAsia="pt-BR"/>
        </w:rPr>
        <w:t>Para fins de cálculo do montante do benefício, o subsídio será considerado como recorrente quando estiver relacionado à produção ou venda corrente e seus efeitos forem observados imediatamente, nos termos do inciso I do art. 18 do Decreto nº 10.839, de 2021.</w:t>
      </w:r>
    </w:p>
    <w:p w14:paraId="153D29CE"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§1º Em regra, o montante do benefício do subsídio recorrente deverá ser atribuído integralmente ao período em que o benefício foi conferido, direta ou indiretamente, para produção ou exportação do produto investigado. </w:t>
      </w:r>
    </w:p>
    <w:p w14:paraId="66798446"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§2º Em regra, a Subsecretaria de Defesa Comercial e Interesse Público não examinará os efeitos dos subsídios recorrentes concedidos antes do período de investigação</w:t>
      </w:r>
      <w:r w:rsidRPr="005C5CBD" w:rsidDel="00996919">
        <w:rPr>
          <w:rFonts w:ascii="Garamond" w:eastAsia="Calibri" w:hAnsi="Garamond" w:cs="Calibri"/>
          <w:sz w:val="24"/>
          <w:szCs w:val="24"/>
          <w:lang w:eastAsia="pt-BR"/>
        </w:rPr>
        <w:t xml:space="preserve"> </w:t>
      </w:r>
      <w:r w:rsidRPr="005C5CBD">
        <w:rPr>
          <w:rFonts w:ascii="Garamond" w:eastAsia="Calibri" w:hAnsi="Garamond" w:cs="Calibri"/>
          <w:sz w:val="24"/>
          <w:szCs w:val="24"/>
          <w:lang w:eastAsia="pt-BR"/>
        </w:rPr>
        <w:t>de existência de subsídio.</w:t>
      </w:r>
    </w:p>
    <w:p w14:paraId="5ED4535C"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Art. 33.  </w:t>
      </w:r>
      <w:r w:rsidRPr="005C5CBD">
        <w:rPr>
          <w:rFonts w:ascii="Garamond" w:eastAsia="Calibri" w:hAnsi="Garamond" w:cs="Calibri"/>
          <w:sz w:val="24"/>
          <w:szCs w:val="24"/>
          <w:lang w:eastAsia="pt-BR"/>
        </w:rPr>
        <w:t xml:space="preserve">Na apuração do benefício decorrente de subsídios recorrentes, para refletir o benefício total ao destinatário, em geral, será adicionado ao valor nominal do montante do subsídio, no cálculo do benefício, o montante equivalente à taxa de juros comercial anual de mercado, dada a presunção de que o destinatário teria que tomar emprestado capital de giro equivalente ao valor do subsídio para financiar suas operações no curto prazo.  </w:t>
      </w:r>
    </w:p>
    <w:p w14:paraId="128ED9C6"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§1º Em regra, a Subsecretaria de Defesa Comercial e Interesse Público considerará a taxa de juros comercial anual de curto prazo média ponderada utilizada pela própria empresa investigada, caso se trate de taxa de juros estabelecida em condições de mercado.</w:t>
      </w:r>
    </w:p>
    <w:p w14:paraId="0D45433F"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§2º Na ausência de taxa de juros estabelecida em condições de mercado, a Subsecretaria de Defesa Comercial e Interesse Público poderá utilizar outra taxa de juros, preferencialmente disponibilizada em fontes públicas confiáveis.</w:t>
      </w:r>
    </w:p>
    <w:p w14:paraId="353171D9"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Art. 34.  </w:t>
      </w:r>
      <w:r w:rsidRPr="005C5CBD">
        <w:rPr>
          <w:rFonts w:ascii="Garamond" w:eastAsia="Calibri" w:hAnsi="Garamond" w:cs="Calibri"/>
          <w:sz w:val="24"/>
          <w:szCs w:val="24"/>
          <w:lang w:eastAsia="pt-BR"/>
        </w:rPr>
        <w:t xml:space="preserve">Em regra, a Subsecretaria de Defesa Comercial e Interesse Público tratará os seguintes tipos de subsídios como recorrentes, dentre outros: </w:t>
      </w:r>
    </w:p>
    <w:p w14:paraId="44E960E2"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 - isenções de tributos diretos e deduções; </w:t>
      </w:r>
    </w:p>
    <w:p w14:paraId="483689C7"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II - isenções, deduções e descontos em excesso a tributos indiretos ou direitos de importação; </w:t>
      </w:r>
    </w:p>
    <w:p w14:paraId="6F5082AA"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III - fornecimento de bens e serviços por remuneração inferior à adequada, exceto bens de capital ou outros ativos fixos; </w:t>
      </w:r>
    </w:p>
    <w:p w14:paraId="7EB198C2"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IV - pagamentos com vistas à sustentação de renda ou preços; </w:t>
      </w:r>
    </w:p>
    <w:p w14:paraId="7E3E44FB"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V - descontos nas tarifas de eletricidade, água e outras utilidades; </w:t>
      </w:r>
    </w:p>
    <w:p w14:paraId="35E950CA"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VI - subsídios de frete; </w:t>
      </w:r>
    </w:p>
    <w:p w14:paraId="52CD15BF"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VII - assistência à promoção de exportações; </w:t>
      </w:r>
    </w:p>
    <w:p w14:paraId="20C81B5A"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VIII - assistência ou treinamento ao trabalhador;</w:t>
      </w:r>
    </w:p>
    <w:p w14:paraId="37CE12CE"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IX - auxílios financeiros salariais; </w:t>
      </w:r>
    </w:p>
    <w:p w14:paraId="77B42AC5"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X - subsídios a montante; e</w:t>
      </w:r>
    </w:p>
    <w:p w14:paraId="55D9C1C6"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XI - empréstimos preferenciais, salvo exceções.</w:t>
      </w:r>
    </w:p>
    <w:p w14:paraId="1DEBACA9"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§1º  Os subsídios a que faz referência 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xml:space="preserve"> não constituem lista exaustiva. </w:t>
      </w:r>
    </w:p>
    <w:p w14:paraId="754BA02A"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§2º  Os subsídios a que faz referência 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xml:space="preserve"> poderão ser tratados como não recorrentes desde que devidamente demonstrado, no caso concreto, que seus efeitos se prolongam por período maior do que aquele em que foi concedido, incluindo as seguintes hipóteses:</w:t>
      </w:r>
    </w:p>
    <w:p w14:paraId="714C641D"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 - benefícios decorrentes de isenções ou reduções de tributos ou gravames devidos na aquisição de máquinas, equipamentos ou outros bens de capital, ainda que concedidas antes do período de investigação; e</w:t>
      </w:r>
    </w:p>
    <w:p w14:paraId="1AA9AC4A"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II - benefícios decorrentes de subsídios concedidos em montantes desproporcionalmente vultosos e concentrados, ainda que antes do período de investigação, se for determinado que tais subsídios, vinculados ou não à compra de ativos fixos, conferiram um benefício ao produtor/exportador investigado durante o período de investigação.</w:t>
      </w:r>
    </w:p>
    <w:p w14:paraId="7A43612E" w14:textId="77777777" w:rsidR="00395593" w:rsidRPr="005C5CBD" w:rsidRDefault="00395593" w:rsidP="00077029">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Art. 35.  </w:t>
      </w:r>
      <w:r w:rsidRPr="005C5CBD">
        <w:rPr>
          <w:rFonts w:ascii="Garamond" w:eastAsia="Calibri" w:hAnsi="Garamond" w:cs="Calibri"/>
          <w:sz w:val="24"/>
          <w:szCs w:val="24"/>
          <w:lang w:eastAsia="pt-BR"/>
        </w:rPr>
        <w:t>Para fins de cálculo do montante do benefício, o subsídio será considerado como não recorrente quando for concedido excepcionalmente ou com frequência irregular, podendo estar relacionado à aquisição de ativos fixos, de modo que seus efeitos sejam relacionados à produção ou à venda futura e se prolonguem por período maior do que aquele em que o benefício é conferido, nos termos do inciso II do art. 18 do Decreto nº 10.839, de 2021.</w:t>
      </w:r>
    </w:p>
    <w:p w14:paraId="05F41ACD" w14:textId="77777777" w:rsidR="00395593" w:rsidRPr="005C5CBD" w:rsidRDefault="00395593" w:rsidP="00077029">
      <w:pPr>
        <w:spacing w:before="6" w:after="283"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§1º  A Subsecretaria de Defesa Comercial e Interesse Público normalmente alocará os benefícios decorrentes de subsídios não recorrentes ao longo dos períodos em que se observam tais benefícios de forma a refletir a duração dos seus efeitos ao longo do tempo.</w:t>
      </w:r>
    </w:p>
    <w:p w14:paraId="3301A3FD" w14:textId="77777777" w:rsidR="00395593" w:rsidRPr="005C5CBD" w:rsidRDefault="00395593" w:rsidP="00077029">
      <w:pPr>
        <w:spacing w:before="6" w:after="283"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§2º  Em regra, a Subsecretaria de Defesa Comercial e Interesse Público solicitará informações e apurará os montantes de benefício referentes a subsídios não recorrentes relativos ao período de tempo que antecede o período de investigação, conforme a vida útil média dos ativos fixos utilizada na investigação. </w:t>
      </w:r>
    </w:p>
    <w:p w14:paraId="62D9442F" w14:textId="77777777" w:rsidR="00395593" w:rsidRPr="005C5CBD" w:rsidRDefault="00395593" w:rsidP="00077029">
      <w:pPr>
        <w:spacing w:before="6" w:after="283"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36.</w:t>
      </w:r>
      <w:r w:rsidRPr="005C5CBD">
        <w:rPr>
          <w:rFonts w:ascii="Garamond" w:eastAsia="Calibri" w:hAnsi="Garamond" w:cs="Calibri"/>
          <w:sz w:val="24"/>
          <w:szCs w:val="24"/>
        </w:rPr>
        <w:t xml:space="preserve">  Em regra, o montante do benefício decorrente de subsídios não recorrentes será determinado por meio da alocação do benefício total recebido pela empresa investigada durante a vida útil média dos ativos fixos do produtor/exportador investigado ou da indústria em que está inserido o produtor/exportador. </w:t>
      </w:r>
    </w:p>
    <w:p w14:paraId="254E37B5" w14:textId="77777777" w:rsidR="00395593" w:rsidRPr="005C5CBD" w:rsidRDefault="00395593" w:rsidP="00077029">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§1º  Na alocação de subsídios não recorrentes ao longo dos períodos em que se observam os benefícios, a Subsecretaria de Defesa Comercial e Interesse Público considerará o valor presente do montante de benefício alocado ao período de investigação de existência de subsídio, considerando os efeitos da inflação e dos juros para atualização de valores monetários do passado.</w:t>
      </w:r>
    </w:p>
    <w:p w14:paraId="44BBE216" w14:textId="77777777" w:rsidR="00395593" w:rsidRPr="005C5CBD" w:rsidRDefault="00395593" w:rsidP="00E15FBB">
      <w:pPr>
        <w:spacing w:after="0" w:line="240" w:lineRule="auto"/>
        <w:jc w:val="both"/>
        <w:rPr>
          <w:rFonts w:ascii="Garamond" w:eastAsia="Calibri" w:hAnsi="Garamond" w:cs="Calibri"/>
          <w:sz w:val="24"/>
          <w:szCs w:val="24"/>
        </w:rPr>
      </w:pPr>
    </w:p>
    <w:p w14:paraId="76DD3CD5" w14:textId="77777777" w:rsidR="00395593" w:rsidRPr="005C5CBD" w:rsidRDefault="00395593" w:rsidP="00077029">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§2º  Em geral, para a alocação do benefício de subsídios não recorrentes ao período de investigação, a Subsecretaria de Defesa Comercial e Interesse Público considerará os efeitos de tais subsídios ao longo do tempo, conforme equação reproduzida no Anexo I, de modo que a metodologia de alocação considerará que os subsídios não recorrentes concedidos conferem um benefício distribuído entre todos os anos da vida útil média.</w:t>
      </w:r>
    </w:p>
    <w:p w14:paraId="2073A53A" w14:textId="77777777" w:rsidR="00395593" w:rsidRPr="005C5CBD" w:rsidRDefault="00395593" w:rsidP="00077029">
      <w:pPr>
        <w:spacing w:after="0" w:line="240" w:lineRule="auto"/>
        <w:ind w:firstLine="567"/>
        <w:jc w:val="both"/>
        <w:rPr>
          <w:rFonts w:ascii="Garamond" w:eastAsia="Calibri" w:hAnsi="Garamond" w:cs="Calibri"/>
          <w:sz w:val="24"/>
          <w:szCs w:val="24"/>
        </w:rPr>
      </w:pPr>
    </w:p>
    <w:p w14:paraId="0F9660A4"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§3º  Excepcionalmente, a Subsecretaria de Defesa Comercial e Interesse Público poderá utilizar um período de alocação diferente do período referido no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caso seja demonstrado que tal período de alocação seja mais apropriado em face das circunstâncias do caso concreto.</w:t>
      </w:r>
    </w:p>
    <w:p w14:paraId="17061A65" w14:textId="77777777" w:rsidR="00395593" w:rsidRPr="005C5CBD" w:rsidRDefault="00395593" w:rsidP="00077029">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Art. 37.  </w:t>
      </w:r>
      <w:r w:rsidRPr="005C5CBD">
        <w:rPr>
          <w:rFonts w:ascii="Garamond" w:eastAsia="Calibri" w:hAnsi="Garamond" w:cs="Calibri"/>
          <w:sz w:val="24"/>
          <w:szCs w:val="24"/>
          <w:lang w:eastAsia="pt-BR"/>
        </w:rPr>
        <w:t>Em regra, a Subsecretaria de Defesa Comercial e Interesse Público tratará os seguintes tipos de subsídios como não recorrentes:</w:t>
      </w:r>
    </w:p>
    <w:p w14:paraId="602F4B9D" w14:textId="77777777" w:rsidR="00395593" w:rsidRPr="005C5CBD" w:rsidRDefault="00395593" w:rsidP="00571281">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 - aportes de capital;</w:t>
      </w:r>
    </w:p>
    <w:p w14:paraId="1174A559" w14:textId="77777777" w:rsidR="00395593" w:rsidRPr="005C5CBD" w:rsidRDefault="00395593" w:rsidP="00571281">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II - doações;</w:t>
      </w:r>
    </w:p>
    <w:p w14:paraId="42F7FC9B" w14:textId="77777777" w:rsidR="00395593" w:rsidRPr="005C5CBD" w:rsidRDefault="00395593" w:rsidP="00571281">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III - assistência para fechamento de operações de determinada planta;</w:t>
      </w:r>
    </w:p>
    <w:p w14:paraId="3EA2A5C5" w14:textId="77777777" w:rsidR="00395593" w:rsidRPr="005C5CBD" w:rsidRDefault="00395593" w:rsidP="00571281">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IV - perdão de dívidas;</w:t>
      </w:r>
    </w:p>
    <w:p w14:paraId="00BE39C8" w14:textId="77777777" w:rsidR="00395593" w:rsidRPr="005C5CBD" w:rsidRDefault="00395593" w:rsidP="00571281">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V - cobertura de perdas operacionais;</w:t>
      </w:r>
    </w:p>
    <w:p w14:paraId="1CBB5E83" w14:textId="77777777" w:rsidR="00395593" w:rsidRPr="005C5CBD" w:rsidRDefault="00395593" w:rsidP="00571281">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VI - conversões de dívida em participação no capital da empresa;</w:t>
      </w:r>
    </w:p>
    <w:p w14:paraId="5B258B8D" w14:textId="77777777" w:rsidR="00395593" w:rsidRPr="005C5CBD" w:rsidRDefault="00395593" w:rsidP="00571281">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VII - fornecimento de infraestrutura não geral; e</w:t>
      </w:r>
    </w:p>
    <w:p w14:paraId="4A677BE6" w14:textId="77777777" w:rsidR="00395593" w:rsidRPr="005C5CBD" w:rsidRDefault="00395593" w:rsidP="00571281">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VIII - fornecimento de instalações e equipamentos.</w:t>
      </w:r>
    </w:p>
    <w:p w14:paraId="7F08F646" w14:textId="77777777" w:rsidR="00395593" w:rsidRPr="005C5CBD" w:rsidRDefault="00395593" w:rsidP="00571281">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§1º  Os subsídios a que faz referência 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xml:space="preserve"> deste artigo não constituem lista exaustiva.</w:t>
      </w:r>
    </w:p>
    <w:p w14:paraId="15DCE5D3" w14:textId="77777777" w:rsidR="00395593" w:rsidRPr="005C5CBD" w:rsidRDefault="00395593" w:rsidP="00571281">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§2º  Os subsídios a que faz referência o </w:t>
      </w:r>
      <w:r w:rsidRPr="005C5CBD">
        <w:rPr>
          <w:rFonts w:ascii="Garamond" w:eastAsia="Calibri" w:hAnsi="Garamond" w:cs="Calibri"/>
          <w:b/>
          <w:sz w:val="24"/>
          <w:szCs w:val="24"/>
          <w:lang w:eastAsia="pt-BR"/>
        </w:rPr>
        <w:t xml:space="preserve">caput </w:t>
      </w:r>
      <w:r w:rsidRPr="005C5CBD">
        <w:rPr>
          <w:rFonts w:ascii="Garamond" w:eastAsia="Calibri" w:hAnsi="Garamond" w:cs="Calibri"/>
          <w:sz w:val="24"/>
          <w:szCs w:val="24"/>
          <w:lang w:eastAsia="pt-BR"/>
        </w:rPr>
        <w:t>poderão ser tratados como recorrentes desde que devidamente demonstrado, no caso concreto, que seus efeitos são imediatos e se limitam ao período em que foi concedido.</w:t>
      </w:r>
    </w:p>
    <w:p w14:paraId="56699602" w14:textId="77777777" w:rsidR="00395593" w:rsidRPr="005C5CBD" w:rsidRDefault="00395593" w:rsidP="00571281">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§3º  Normalmente, o benefício decorrente de subsídio não recorrente será integralmente atribuído ao período em que foi conferido, mesmo que esteja vinculado à compra de ativos fixos, se a Subsecretaria de Defesa Comercial e Interesse Público determinar que o montante concedido no âmbito de cada programa de subsídio foi inferior a 0,5% </w:t>
      </w:r>
      <w:r w:rsidRPr="005C5CBD">
        <w:rPr>
          <w:rFonts w:ascii="Garamond" w:eastAsia="Calibri" w:hAnsi="Garamond" w:cs="Calibri"/>
          <w:b/>
          <w:sz w:val="24"/>
          <w:szCs w:val="24"/>
          <w:lang w:eastAsia="pt-BR"/>
        </w:rPr>
        <w:t>ad valorem</w:t>
      </w:r>
      <w:r w:rsidRPr="005C5CBD">
        <w:rPr>
          <w:rFonts w:ascii="Garamond" w:eastAsia="Calibri" w:hAnsi="Garamond" w:cs="Calibri"/>
          <w:sz w:val="24"/>
          <w:szCs w:val="24"/>
          <w:lang w:eastAsia="pt-BR"/>
        </w:rPr>
        <w:t xml:space="preserve"> do valor das vendas relevantes (</w:t>
      </w:r>
      <w:r w:rsidRPr="005C5CBD">
        <w:rPr>
          <w:rFonts w:ascii="Garamond" w:eastAsia="Calibri" w:hAnsi="Garamond" w:cs="Calibri"/>
          <w:b/>
          <w:sz w:val="24"/>
          <w:szCs w:val="24"/>
          <w:lang w:eastAsia="pt-BR"/>
        </w:rPr>
        <w:t>e.g.</w:t>
      </w:r>
      <w:r w:rsidRPr="005C5CBD">
        <w:rPr>
          <w:rFonts w:ascii="Garamond" w:eastAsia="Calibri" w:hAnsi="Garamond" w:cs="Calibri"/>
          <w:sz w:val="24"/>
          <w:szCs w:val="24"/>
          <w:lang w:eastAsia="pt-BR"/>
        </w:rPr>
        <w:t xml:space="preserve">, vendas totais, vendas de exportação, vendas de um produto específico ou a um mercado específico) do período em que houve a concessão. </w:t>
      </w:r>
    </w:p>
    <w:p w14:paraId="2BACBA12" w14:textId="77777777" w:rsidR="00395593" w:rsidRPr="005C5CBD" w:rsidRDefault="00395593" w:rsidP="00571281">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Art. 38.  </w:t>
      </w:r>
      <w:r w:rsidRPr="005C5CBD">
        <w:rPr>
          <w:rFonts w:ascii="Garamond" w:eastAsia="Calibri" w:hAnsi="Garamond" w:cs="Calibri"/>
          <w:sz w:val="24"/>
          <w:szCs w:val="24"/>
          <w:lang w:eastAsia="pt-BR"/>
        </w:rPr>
        <w:t xml:space="preserve">Na hipótese em que o produtor/exportador investigado recebe contribuição financeira em uma data específica, mas usufrui do benefício em momento posterior, </w:t>
      </w:r>
      <w:r w:rsidRPr="005C5CBD">
        <w:rPr>
          <w:rFonts w:ascii="Garamond" w:eastAsia="Times New Roman" w:hAnsi="Garamond" w:cs="Calibri"/>
          <w:sz w:val="24"/>
          <w:szCs w:val="24"/>
          <w:lang w:eastAsia="pt-BR"/>
        </w:rPr>
        <w:t>a Subsecretaria de Defesa Comercial e Interesse Público</w:t>
      </w:r>
      <w:r w:rsidRPr="005C5CBD">
        <w:rPr>
          <w:rFonts w:ascii="Garamond" w:eastAsia="Calibri" w:hAnsi="Garamond" w:cs="Calibri"/>
          <w:sz w:val="24"/>
          <w:szCs w:val="24"/>
          <w:lang w:eastAsia="pt-BR"/>
        </w:rPr>
        <w:t xml:space="preserve"> normalmente entenderá que o subsídio foi efetivamente conferido quando do usufruto do benefício, considerando a disponibilidade de informações para apuração do benefício no caso concreto. </w:t>
      </w:r>
    </w:p>
    <w:p w14:paraId="1C6B1B3C"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§1º  No caso de fornecimento de bens e serviços por remuneração inferior à adequada e de subsídios à montante, a SDCOM normalmente considerará que o benefício foi usufruído no momento da contribuição financeira, nos termos da Subseção IX e da Subseção XI da Seção IV deste Capítulo.</w:t>
      </w:r>
    </w:p>
    <w:p w14:paraId="54008657" w14:textId="0411A20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§2º  No caso de créditos tributários conferidos em decorrência de exportações para mercados específicos, a SDCOM normalmente considerará que o benefício será atribuído apenas às exportações para os mercados objeto do incentivo, conforme disposto no art. </w:t>
      </w:r>
      <w:r w:rsidR="00EE4713">
        <w:rPr>
          <w:rFonts w:ascii="Garamond" w:eastAsia="Calibri" w:hAnsi="Garamond" w:cs="Calibri"/>
          <w:sz w:val="24"/>
          <w:szCs w:val="24"/>
          <w:lang w:eastAsia="pt-BR"/>
        </w:rPr>
        <w:t>45</w:t>
      </w:r>
      <w:r w:rsidR="00E15FBB" w:rsidRPr="005C5CBD">
        <w:rPr>
          <w:rFonts w:ascii="Garamond" w:eastAsia="Calibri" w:hAnsi="Garamond" w:cs="Calibri"/>
          <w:sz w:val="24"/>
          <w:szCs w:val="24"/>
          <w:lang w:eastAsia="pt-BR"/>
        </w:rPr>
        <w:t>,</w:t>
      </w:r>
      <w:r w:rsidRPr="005C5CBD">
        <w:rPr>
          <w:rFonts w:ascii="Garamond" w:eastAsia="Calibri" w:hAnsi="Garamond" w:cs="Calibri"/>
          <w:sz w:val="24"/>
          <w:szCs w:val="24"/>
          <w:lang w:eastAsia="pt-BR"/>
        </w:rPr>
        <w:t xml:space="preserve"> e a apuração do benefício poderá ser feita no momento da concessão do crédito ou de seu usufruto, a depender da disponibilidade de informações do caso concreto. </w:t>
      </w:r>
    </w:p>
    <w:p w14:paraId="332EA4A1" w14:textId="77777777" w:rsidR="00395593" w:rsidRPr="007B17E1" w:rsidRDefault="00395593" w:rsidP="00BF7B8D">
      <w:pPr>
        <w:pStyle w:val="Corpodetexto"/>
        <w:jc w:val="center"/>
        <w:rPr>
          <w:rFonts w:ascii="Garamond" w:eastAsia="Calibri" w:hAnsi="Garamond"/>
          <w:b/>
          <w:smallCaps/>
          <w:snapToGrid w:val="0"/>
        </w:rPr>
      </w:pPr>
      <w:r w:rsidRPr="007B17E1">
        <w:rPr>
          <w:rFonts w:ascii="Garamond" w:eastAsia="Calibri" w:hAnsi="Garamond"/>
          <w:b/>
          <w:smallCaps/>
          <w:snapToGrid w:val="0"/>
        </w:rPr>
        <w:t>Subsubseção iii</w:t>
      </w:r>
    </w:p>
    <w:p w14:paraId="1F6E72FB" w14:textId="77777777" w:rsidR="00395593" w:rsidRPr="007B17E1" w:rsidRDefault="00395593" w:rsidP="00BF7B8D">
      <w:pPr>
        <w:pStyle w:val="Corpodetexto"/>
        <w:jc w:val="center"/>
        <w:rPr>
          <w:rFonts w:eastAsia="Calibri"/>
          <w:i/>
          <w:smallCaps/>
          <w:snapToGrid w:val="0"/>
        </w:rPr>
      </w:pPr>
      <w:r w:rsidRPr="007B17E1">
        <w:rPr>
          <w:rFonts w:ascii="Garamond" w:eastAsia="Calibri" w:hAnsi="Garamond"/>
          <w:b/>
          <w:smallCaps/>
          <w:snapToGrid w:val="0"/>
        </w:rPr>
        <w:t>Da vida útil média dos ativos fixos</w:t>
      </w:r>
    </w:p>
    <w:p w14:paraId="6B3DCD64" w14:textId="77777777" w:rsidR="00395593" w:rsidRPr="005C5CBD" w:rsidRDefault="00395593" w:rsidP="00E15FBB">
      <w:pPr>
        <w:spacing w:after="0" w:line="240" w:lineRule="auto"/>
        <w:ind w:firstLine="708"/>
        <w:jc w:val="both"/>
        <w:rPr>
          <w:rFonts w:ascii="Garamond" w:eastAsia="Calibri" w:hAnsi="Garamond" w:cs="Calibri"/>
          <w:sz w:val="24"/>
          <w:szCs w:val="24"/>
        </w:rPr>
      </w:pPr>
    </w:p>
    <w:p w14:paraId="3CFD56BC" w14:textId="76A70DEE"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Art. 39.  </w:t>
      </w:r>
      <w:r w:rsidRPr="005C5CBD">
        <w:rPr>
          <w:rFonts w:ascii="Garamond" w:eastAsia="Calibri" w:hAnsi="Garamond" w:cs="Calibri"/>
          <w:sz w:val="24"/>
          <w:szCs w:val="24"/>
          <w:lang w:eastAsia="pt-BR"/>
        </w:rPr>
        <w:t xml:space="preserve">A Subsecretaria de Defesa Comercial e Interesse Público </w:t>
      </w:r>
      <w:r w:rsidRPr="005C5CBD" w:rsidDel="00301255">
        <w:rPr>
          <w:rFonts w:ascii="Garamond" w:eastAsia="Calibri" w:hAnsi="Garamond" w:cs="Calibri"/>
          <w:sz w:val="24"/>
          <w:szCs w:val="24"/>
          <w:lang w:eastAsia="pt-BR"/>
        </w:rPr>
        <w:t xml:space="preserve">alocará os benefícios recebidos por meio de subsídios não recorrentes </w:t>
      </w:r>
      <w:r w:rsidRPr="005C5CBD">
        <w:rPr>
          <w:rFonts w:ascii="Garamond" w:eastAsia="Calibri" w:hAnsi="Garamond" w:cs="Calibri"/>
          <w:sz w:val="24"/>
          <w:szCs w:val="24"/>
          <w:lang w:eastAsia="pt-BR"/>
        </w:rPr>
        <w:t xml:space="preserve">referidos no §2º do art. </w:t>
      </w:r>
      <w:r w:rsidR="00EE4713">
        <w:rPr>
          <w:rFonts w:ascii="Garamond" w:eastAsia="Calibri" w:hAnsi="Garamond" w:cs="Calibri"/>
          <w:sz w:val="24"/>
          <w:szCs w:val="24"/>
          <w:lang w:eastAsia="pt-BR"/>
        </w:rPr>
        <w:t>34</w:t>
      </w:r>
      <w:r w:rsidRPr="005C5CBD">
        <w:rPr>
          <w:rFonts w:ascii="Garamond" w:eastAsia="Calibri" w:hAnsi="Garamond" w:cs="Calibri"/>
          <w:sz w:val="24"/>
          <w:szCs w:val="24"/>
          <w:lang w:eastAsia="pt-BR"/>
        </w:rPr>
        <w:t xml:space="preserve"> ao longo do período de tempo correspondente à vida útil média dos ativos produtivos renováveis da indústria na qual se insere o produtor/exportador investigado.</w:t>
      </w:r>
    </w:p>
    <w:p w14:paraId="5DF5493B"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§1º  Em regra, a Subsecretaria de Defesa Comercial e Interesse Público presumirá que o período de alocação será a vida útil média dos ativos fixos da indústria em questão, conforme indicado em fontes confiáveis publicamente disponíveis ou na petição.</w:t>
      </w:r>
    </w:p>
    <w:p w14:paraId="26073B98"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§2º  Os produtores/exportadores e o governo poderão sugerir o período de vida útil média a ser utilizado para apuração do benefício no âmbito da investigação.</w:t>
      </w:r>
    </w:p>
    <w:p w14:paraId="7E8603EA"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Art. 40.  </w:t>
      </w:r>
      <w:r w:rsidRPr="005C5CBD">
        <w:rPr>
          <w:rFonts w:ascii="Garamond" w:eastAsia="Calibri" w:hAnsi="Garamond" w:cs="Calibri"/>
          <w:sz w:val="24"/>
          <w:szCs w:val="24"/>
          <w:lang w:eastAsia="pt-BR"/>
        </w:rPr>
        <w:t>A Subsecretaria de Defesa Comercial e Interesse Público poderá utilizar a vida útil média dos ativos fixos específica do produtor/exportador investigado para fins de alocação de subsídios não recorrentes, desde que a parte interessada:</w:t>
      </w:r>
    </w:p>
    <w:p w14:paraId="76513612"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 - demonstre efetivamente o cálculo da vida útil média por meio de documentação apropriada e legislação aplicável; </w:t>
      </w:r>
    </w:p>
    <w:p w14:paraId="2494395E"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II - inclua o valor contábil bruto, inicial e final, dos ativos produtivos depreciáveis para o período da vida útil média sugerido pela empresa investigada, desconsiderando ativos não depreciáveis, como terrenos ou imóveis em construção; </w:t>
      </w:r>
    </w:p>
    <w:p w14:paraId="6569831E"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III - exclua o valor bruto contábil de qualquer ativo produtivo já completamente depreciado que não está mais operando; </w:t>
      </w:r>
    </w:p>
    <w:p w14:paraId="1BD80A0A"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IV - forneça como itens separados em uma tabela as despesas de depreciação regular de cada ano e qualquer despesa especial relacionada à depreciação ou reavaliação e depreciação de ativos produtivos; </w:t>
      </w:r>
    </w:p>
    <w:p w14:paraId="4A05E9F0"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V - explique como os números na tabela reconciliam com suas demonstrações financeiras; </w:t>
      </w:r>
    </w:p>
    <w:p w14:paraId="5FEC80E4"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VI - explique suas políticas contábeis relativas à depreciação dos ativos produtivos, inclusive se a depreciação utilizada para fins fiscais é acelerada ou linear, e quais convenções são aplicadas; </w:t>
      </w:r>
    </w:p>
    <w:p w14:paraId="0F198977"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VII - explique as políticas contábeis da empresa relativas à depreciação dos ativos produtivos, inclusive se há diferenças entre a depreciação contábil e a depreciação fiscal; </w:t>
      </w:r>
    </w:p>
    <w:p w14:paraId="61BB5D84"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VIII - baseie sua depreciação em estimativa da vida útil média efetiva (não nominal) dos ativos fixos por meio do método de depreciação linear; </w:t>
      </w:r>
    </w:p>
    <w:p w14:paraId="6BFF6F23"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IX - demonstre que o cálculo da vida útil média não é distorcido por meio de adições irregulares ou desiguais ao conjunto de ativos fixos; e </w:t>
      </w:r>
    </w:p>
    <w:p w14:paraId="415777EB"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X - demonstre que a diferença entre vida útil média dos ativos da empresa e a vida útil média indicada pela Subsecretaria de Defesa Comercial e Interesse Público é de 1 ano ou mais. </w:t>
      </w:r>
    </w:p>
    <w:p w14:paraId="53A042EB"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§1º  Na hipótese de a empresa investigada requerer a utilização de período de vida útil média prevista no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xml:space="preserve"> deste artigo que seja superior àquele indicado no ato de início da investigação, a Subsecretaria de Defesa Comercial e Interesse Público notificará à empresa investigada de sua decisão e, caso afirmativa, indicará prazo adicional para fornecer as informações necessárias.</w:t>
      </w:r>
    </w:p>
    <w:p w14:paraId="46341553"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kern w:val="1"/>
          <w:sz w:val="24"/>
          <w:szCs w:val="24"/>
          <w:lang w:eastAsia="hi-IN" w:bidi="hi-IN"/>
        </w:rPr>
        <w:t>§2º N</w:t>
      </w:r>
      <w:r w:rsidRPr="005C5CBD">
        <w:rPr>
          <w:rFonts w:ascii="Garamond" w:eastAsia="Calibri" w:hAnsi="Garamond" w:cs="Calibri"/>
          <w:sz w:val="24"/>
          <w:szCs w:val="24"/>
        </w:rPr>
        <w:t xml:space="preserve">a hipótese de a empresa investigada requerer a utilização de período de vida útil média prevista no </w:t>
      </w:r>
      <w:r w:rsidRPr="005C5CBD">
        <w:rPr>
          <w:rFonts w:ascii="Garamond" w:eastAsia="Calibri" w:hAnsi="Garamond" w:cs="Calibri"/>
          <w:b/>
          <w:sz w:val="24"/>
          <w:szCs w:val="24"/>
        </w:rPr>
        <w:t>caput</w:t>
      </w:r>
      <w:r w:rsidRPr="005C5CBD">
        <w:rPr>
          <w:rFonts w:ascii="Garamond" w:eastAsia="Calibri" w:hAnsi="Garamond" w:cs="Calibri"/>
          <w:sz w:val="24"/>
          <w:szCs w:val="24"/>
        </w:rPr>
        <w:t xml:space="preserve"> deste artigo que seja inferior àquele indicado no ato de início da investigação, a solicitação da empresa será avaliada pela SDCOM, conquanto a resposta da empresa investigada ao questionário deverá necessariamente abranger o período previsto no ato de início da investigação.</w:t>
      </w:r>
      <w:r w:rsidRPr="005C5CBD">
        <w:rPr>
          <w:rFonts w:ascii="Garamond" w:eastAsia="Calibri" w:hAnsi="Garamond" w:cs="Calibri"/>
          <w:sz w:val="24"/>
          <w:szCs w:val="24"/>
        </w:rPr>
        <w:br/>
      </w:r>
    </w:p>
    <w:p w14:paraId="5722F6D4" w14:textId="77777777" w:rsidR="00395593" w:rsidRPr="007B17E1" w:rsidRDefault="00395593" w:rsidP="00BF7B8D">
      <w:pPr>
        <w:pStyle w:val="Corpodetexto"/>
        <w:jc w:val="center"/>
        <w:rPr>
          <w:rFonts w:ascii="Garamond" w:eastAsia="Calibri" w:hAnsi="Garamond"/>
          <w:b/>
          <w:smallCaps/>
          <w:snapToGrid w:val="0"/>
        </w:rPr>
      </w:pPr>
      <w:r w:rsidRPr="007B17E1">
        <w:rPr>
          <w:rFonts w:ascii="Garamond" w:eastAsia="Calibri" w:hAnsi="Garamond"/>
          <w:b/>
          <w:smallCaps/>
          <w:snapToGrid w:val="0"/>
        </w:rPr>
        <w:t>Subsubseção iv</w:t>
      </w:r>
    </w:p>
    <w:p w14:paraId="73640F82" w14:textId="77777777" w:rsidR="00395593" w:rsidRPr="007B17E1" w:rsidRDefault="00395593" w:rsidP="00BF7B8D">
      <w:pPr>
        <w:pStyle w:val="Corpodetexto"/>
        <w:jc w:val="center"/>
        <w:rPr>
          <w:rFonts w:ascii="Garamond" w:eastAsia="Calibri" w:hAnsi="Garamond"/>
          <w:b/>
          <w:smallCaps/>
          <w:snapToGrid w:val="0"/>
        </w:rPr>
      </w:pPr>
      <w:r w:rsidRPr="007B17E1">
        <w:rPr>
          <w:rFonts w:ascii="Garamond" w:eastAsia="Calibri" w:hAnsi="Garamond"/>
          <w:b/>
          <w:smallCaps/>
          <w:snapToGrid w:val="0"/>
        </w:rPr>
        <w:t>Da seleção da taxa de juros de longo prazo para alocação de subsídios não recorrentes</w:t>
      </w:r>
      <w:r w:rsidR="00E15FBB" w:rsidRPr="007B17E1">
        <w:rPr>
          <w:rFonts w:ascii="Garamond" w:eastAsia="Calibri" w:hAnsi="Garamond"/>
          <w:b/>
          <w:smallCaps/>
          <w:snapToGrid w:val="0"/>
        </w:rPr>
        <w:t xml:space="preserve"> </w:t>
      </w:r>
    </w:p>
    <w:p w14:paraId="60B3EF07" w14:textId="77777777" w:rsidR="00395593" w:rsidRPr="005C5CBD" w:rsidRDefault="00395593" w:rsidP="00E15FBB">
      <w:pPr>
        <w:spacing w:after="0" w:line="240" w:lineRule="auto"/>
        <w:ind w:firstLine="708"/>
        <w:jc w:val="both"/>
        <w:rPr>
          <w:rFonts w:ascii="Garamond" w:eastAsia="Calibri" w:hAnsi="Garamond" w:cs="Calibri"/>
          <w:sz w:val="24"/>
          <w:szCs w:val="24"/>
        </w:rPr>
      </w:pPr>
    </w:p>
    <w:p w14:paraId="71E5C2AC"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Art. 41.  Em regra, a Subsecretaria de Defesa Comercial e Interesse Público selecionará taxa de juros adequada com base nos dados do ano em que a autoridade outorgante, a entidade privada ou o mecanismo de financiamento instruído ou confiado pelo governo, concedeu o subsídio, e utilizará, em ordem de preferência, as seguintes informações: </w:t>
      </w:r>
    </w:p>
    <w:p w14:paraId="166A263D"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 - o custo efetivo total dos empréstimos de longo prazo a taxas de juros fixas da empresa investigada, excluindo empréstimos considerados como subsídios acionáveis pela Subsecretaria de Defesa Comercial e Interesse Público; </w:t>
      </w:r>
    </w:p>
    <w:p w14:paraId="0149BF6A"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II - o custo efetivo médio dos empréstimos de longo prazo a taxas de juros fixas no país exportador em questão; ou </w:t>
      </w:r>
    </w:p>
    <w:p w14:paraId="05410367"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III - uma taxa de juros que a Subsecretaria de Defesa Comercial e Interesse Público julgar mais adequada de acordo com as circunstâncias do caso concreto em consideração. </w:t>
      </w:r>
    </w:p>
    <w:p w14:paraId="2A2C3B3F"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1º  No caso de empresas não consideradas como dignas de crédito (empresas </w:t>
      </w:r>
      <w:r w:rsidRPr="005C5CBD">
        <w:rPr>
          <w:rFonts w:ascii="Garamond" w:eastAsia="Calibri" w:hAnsi="Garamond" w:cs="Calibri"/>
          <w:b/>
          <w:sz w:val="24"/>
          <w:szCs w:val="24"/>
        </w:rPr>
        <w:t>uncreditworthy</w:t>
      </w:r>
      <w:r w:rsidRPr="005C5CBD">
        <w:rPr>
          <w:rFonts w:ascii="Garamond" w:eastAsia="Calibri" w:hAnsi="Garamond" w:cs="Calibri"/>
          <w:sz w:val="24"/>
          <w:szCs w:val="24"/>
        </w:rPr>
        <w:t xml:space="preserve">) com base nos dados constantes nos autos da investigação, a Subsecretaria de Defesa Comercial e Interesse Público avaliará em cada caso a taxa de juros de </w:t>
      </w:r>
      <w:r w:rsidRPr="005C5CBD">
        <w:rPr>
          <w:rFonts w:ascii="Garamond" w:eastAsia="Calibri" w:hAnsi="Garamond" w:cs="Calibri"/>
          <w:b/>
          <w:sz w:val="24"/>
          <w:szCs w:val="24"/>
        </w:rPr>
        <w:t>benchmark</w:t>
      </w:r>
      <w:r w:rsidRPr="005C5CBD">
        <w:rPr>
          <w:rFonts w:ascii="Garamond" w:eastAsia="Calibri" w:hAnsi="Garamond" w:cs="Calibri"/>
          <w:sz w:val="24"/>
          <w:szCs w:val="24"/>
        </w:rPr>
        <w:t>, nos termos do inciso III.</w:t>
      </w:r>
    </w:p>
    <w:p w14:paraId="7DE9A107" w14:textId="77777777" w:rsidR="00395593" w:rsidRPr="005C5CBD" w:rsidRDefault="00395593" w:rsidP="006A735F">
      <w:pPr>
        <w:spacing w:after="0" w:line="240" w:lineRule="auto"/>
        <w:ind w:firstLine="567"/>
        <w:jc w:val="both"/>
        <w:rPr>
          <w:rFonts w:ascii="Garamond" w:eastAsia="Calibri" w:hAnsi="Garamond" w:cs="Calibri"/>
          <w:sz w:val="24"/>
          <w:szCs w:val="24"/>
        </w:rPr>
      </w:pPr>
    </w:p>
    <w:p w14:paraId="06D392DA"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2º Na avaliação da hipótese do § 1º, a SDCOM considerará que a empresa não é digna de crédito quando, com base nas informações disponíveis no momento do empréstimo concedido pelo governo, for determinado que a empresa ou o projeto específico não poderia ter obtido empréstimos de longo prazo de fontes comerciais convencionais, considerando, dentre outros fatores:</w:t>
      </w:r>
    </w:p>
    <w:p w14:paraId="7DB57674" w14:textId="77777777" w:rsidR="00395593" w:rsidRPr="005C5CBD" w:rsidRDefault="00395593" w:rsidP="006A735F">
      <w:pPr>
        <w:spacing w:after="0" w:line="240" w:lineRule="auto"/>
        <w:ind w:firstLine="567"/>
        <w:jc w:val="both"/>
        <w:rPr>
          <w:rFonts w:ascii="Garamond" w:eastAsia="Calibri" w:hAnsi="Garamond" w:cs="Calibri"/>
          <w:sz w:val="24"/>
          <w:szCs w:val="24"/>
        </w:rPr>
      </w:pPr>
    </w:p>
    <w:p w14:paraId="358E485C"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o recebimento pela empresa de empréstimos comerciais de longo prazo comparáveis;</w:t>
      </w:r>
    </w:p>
    <w:p w14:paraId="2E7AD3F4" w14:textId="77777777" w:rsidR="00395593" w:rsidRPr="005C5CBD" w:rsidRDefault="00395593" w:rsidP="006A735F">
      <w:pPr>
        <w:spacing w:after="0" w:line="240" w:lineRule="auto"/>
        <w:ind w:firstLine="567"/>
        <w:jc w:val="both"/>
        <w:rPr>
          <w:rFonts w:ascii="Garamond" w:eastAsia="Calibri" w:hAnsi="Garamond" w:cs="Calibri"/>
          <w:sz w:val="24"/>
          <w:szCs w:val="24"/>
        </w:rPr>
      </w:pPr>
    </w:p>
    <w:p w14:paraId="39220C03"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a saúde financeira atual e passada da empresa, conforme refletido em indicadores financeiros calculados a partir das demonstrações financeiras e contas da empresa;</w:t>
      </w:r>
    </w:p>
    <w:p w14:paraId="6A3396CB" w14:textId="77777777" w:rsidR="00395593" w:rsidRPr="005C5CBD" w:rsidRDefault="00395593" w:rsidP="00E15FBB">
      <w:pPr>
        <w:spacing w:after="0" w:line="240" w:lineRule="auto"/>
        <w:jc w:val="both"/>
        <w:rPr>
          <w:rFonts w:ascii="Garamond" w:eastAsia="Calibri" w:hAnsi="Garamond" w:cs="Calibri"/>
          <w:sz w:val="24"/>
          <w:szCs w:val="24"/>
        </w:rPr>
      </w:pPr>
    </w:p>
    <w:p w14:paraId="582CE36E"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III - a capacidade passada e presente recente da empresa de pagar seus custos e obrigações financeiras fixas com seu fluxo de caixa; e</w:t>
      </w:r>
    </w:p>
    <w:p w14:paraId="4D1DCC33" w14:textId="77777777" w:rsidR="00395593" w:rsidRPr="005C5CBD" w:rsidRDefault="00395593" w:rsidP="006A735F">
      <w:pPr>
        <w:spacing w:after="0" w:line="240" w:lineRule="auto"/>
        <w:ind w:firstLine="567"/>
        <w:jc w:val="both"/>
        <w:rPr>
          <w:rFonts w:ascii="Garamond" w:eastAsia="Calibri" w:hAnsi="Garamond" w:cs="Calibri"/>
          <w:sz w:val="24"/>
          <w:szCs w:val="24"/>
        </w:rPr>
      </w:pPr>
    </w:p>
    <w:p w14:paraId="0B2FA72F"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IV - evidência da posição financeira futura da empresa, como estudos de mercado, previsões econômicas do país e da indústria e avaliações de projetos e empréstimos preparadas antes do acordo entre o credor e a empresa sobre os termos do empréstimo.</w:t>
      </w:r>
    </w:p>
    <w:p w14:paraId="3E2D63B5" w14:textId="77777777" w:rsidR="00395593" w:rsidRPr="005C5CBD" w:rsidRDefault="00395593" w:rsidP="00E15FBB">
      <w:pPr>
        <w:spacing w:after="0" w:line="240" w:lineRule="auto"/>
        <w:jc w:val="both"/>
        <w:rPr>
          <w:rFonts w:ascii="Garamond" w:eastAsia="Calibri" w:hAnsi="Garamond" w:cs="Calibri"/>
          <w:sz w:val="24"/>
          <w:szCs w:val="24"/>
        </w:rPr>
      </w:pPr>
    </w:p>
    <w:p w14:paraId="6E56E1FB" w14:textId="77777777" w:rsidR="00395593" w:rsidRPr="005C5CBD" w:rsidRDefault="00395593" w:rsidP="00E15FBB">
      <w:pPr>
        <w:spacing w:after="0" w:line="240" w:lineRule="auto"/>
        <w:jc w:val="both"/>
        <w:rPr>
          <w:rFonts w:ascii="Garamond" w:eastAsia="Calibri" w:hAnsi="Garamond" w:cs="Calibri"/>
          <w:sz w:val="24"/>
          <w:szCs w:val="24"/>
        </w:rPr>
      </w:pPr>
    </w:p>
    <w:p w14:paraId="1628421D" w14:textId="77777777" w:rsidR="00395593" w:rsidRPr="007B17E1" w:rsidRDefault="00395593" w:rsidP="007B17E1">
      <w:pPr>
        <w:pStyle w:val="Corpodetexto"/>
        <w:jc w:val="center"/>
        <w:rPr>
          <w:rFonts w:ascii="Garamond" w:eastAsia="Calibri" w:hAnsi="Garamond"/>
          <w:b/>
          <w:smallCaps/>
          <w:snapToGrid w:val="0"/>
        </w:rPr>
      </w:pPr>
      <w:r w:rsidRPr="007B17E1">
        <w:rPr>
          <w:rFonts w:ascii="Garamond" w:eastAsia="Calibri" w:hAnsi="Garamond"/>
          <w:b/>
          <w:smallCaps/>
          <w:snapToGrid w:val="0"/>
        </w:rPr>
        <w:t>Subsubseção v</w:t>
      </w:r>
    </w:p>
    <w:p w14:paraId="217D039E" w14:textId="77777777" w:rsidR="00395593" w:rsidRPr="007B17E1" w:rsidRDefault="00395593" w:rsidP="007B17E1">
      <w:pPr>
        <w:pStyle w:val="Corpodetexto"/>
        <w:jc w:val="center"/>
        <w:rPr>
          <w:rFonts w:ascii="Garamond" w:eastAsia="Calibri" w:hAnsi="Garamond"/>
          <w:b/>
          <w:smallCaps/>
          <w:snapToGrid w:val="0"/>
        </w:rPr>
      </w:pPr>
      <w:r w:rsidRPr="007B17E1">
        <w:rPr>
          <w:rFonts w:ascii="Garamond" w:eastAsia="Calibri" w:hAnsi="Garamond"/>
          <w:b/>
          <w:smallCaps/>
          <w:snapToGrid w:val="0"/>
        </w:rPr>
        <w:t>Da seleção do denominador apropriado para cálculo do benefício</w:t>
      </w:r>
    </w:p>
    <w:p w14:paraId="540076E6" w14:textId="77777777" w:rsidR="00395593" w:rsidRPr="005C5CBD" w:rsidRDefault="00395593" w:rsidP="00E15FBB">
      <w:pPr>
        <w:spacing w:after="0" w:line="240" w:lineRule="auto"/>
        <w:jc w:val="both"/>
        <w:rPr>
          <w:rFonts w:ascii="Garamond" w:eastAsia="Calibri" w:hAnsi="Garamond" w:cs="Calibri"/>
          <w:sz w:val="24"/>
          <w:szCs w:val="24"/>
        </w:rPr>
      </w:pPr>
    </w:p>
    <w:p w14:paraId="30DE3FBB"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Art. 42. Para cada programa de subsídio investigado, deverá ser definido o denominador apropriado com vistas à apuração do montante de benefício. </w:t>
      </w:r>
    </w:p>
    <w:p w14:paraId="593FAB2B"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Parágrafo único.  O montante total de subsídios será apurado considerando o somatório de todos os programas de subsídio que beneficiaram o produtor ou exportador, por unidade do produto subsidiado exportado ao Brasil ou em termos </w:t>
      </w:r>
      <w:r w:rsidRPr="005C5CBD">
        <w:rPr>
          <w:rFonts w:ascii="Garamond" w:eastAsia="Calibri" w:hAnsi="Garamond" w:cs="Calibri"/>
          <w:b/>
          <w:sz w:val="24"/>
          <w:szCs w:val="24"/>
          <w:lang w:eastAsia="pt-BR"/>
        </w:rPr>
        <w:t>ad valorem</w:t>
      </w:r>
      <w:r w:rsidRPr="005C5CBD">
        <w:rPr>
          <w:rFonts w:ascii="Garamond" w:eastAsia="Calibri" w:hAnsi="Garamond" w:cs="Calibri"/>
          <w:sz w:val="24"/>
          <w:szCs w:val="24"/>
          <w:lang w:eastAsia="pt-BR"/>
        </w:rPr>
        <w:t>.</w:t>
      </w:r>
    </w:p>
    <w:p w14:paraId="7A968056"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Art. 43.</w:t>
      </w:r>
      <w:r w:rsidRPr="005C5CBD">
        <w:rPr>
          <w:rFonts w:ascii="Garamond" w:eastAsia="Times New Roman" w:hAnsi="Garamond" w:cs="Calibri"/>
          <w:sz w:val="24"/>
          <w:szCs w:val="24"/>
          <w:lang w:eastAsia="pt-BR"/>
        </w:rPr>
        <w:t xml:space="preserve">  Se o subsídio for concedido diretamente como um valor fixo por unidade do produto investigado ou como um montante equivalente a determinado percentual do valor da venda desse produto, o cálculo do benefício deverá </w:t>
      </w:r>
      <w:r w:rsidRPr="005C5CBD">
        <w:rPr>
          <w:rFonts w:ascii="Garamond" w:eastAsia="Calibri" w:hAnsi="Garamond" w:cs="Calibri"/>
          <w:sz w:val="24"/>
          <w:szCs w:val="24"/>
          <w:lang w:eastAsia="pt-BR"/>
        </w:rPr>
        <w:t xml:space="preserve">considerar o valor médio ponderado do subsídio por unidade do produto concedido durante o período de investigação, ou o equivalente em termos </w:t>
      </w:r>
      <w:r w:rsidRPr="005C5CBD">
        <w:rPr>
          <w:rFonts w:ascii="Garamond" w:eastAsia="Calibri" w:hAnsi="Garamond" w:cs="Calibri"/>
          <w:b/>
          <w:sz w:val="24"/>
          <w:szCs w:val="24"/>
          <w:lang w:eastAsia="pt-BR"/>
        </w:rPr>
        <w:t>ad valorem</w:t>
      </w:r>
      <w:r w:rsidRPr="005C5CBD">
        <w:rPr>
          <w:rFonts w:ascii="Garamond" w:eastAsia="Calibri" w:hAnsi="Garamond" w:cs="Calibri"/>
          <w:sz w:val="24"/>
          <w:szCs w:val="24"/>
          <w:lang w:eastAsia="pt-BR"/>
        </w:rPr>
        <w:t>.</w:t>
      </w:r>
    </w:p>
    <w:p w14:paraId="7AC65CC6"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Parágrafo único. </w:t>
      </w:r>
      <w:r w:rsidRPr="005C5CBD">
        <w:rPr>
          <w:rFonts w:ascii="Garamond" w:eastAsia="Times New Roman" w:hAnsi="Garamond" w:cs="Calibri"/>
          <w:sz w:val="24"/>
          <w:szCs w:val="24"/>
          <w:lang w:eastAsia="pt-BR"/>
        </w:rPr>
        <w:t xml:space="preserve"> A unidade de medida selecionada </w:t>
      </w:r>
      <w:r w:rsidRPr="005C5CBD">
        <w:rPr>
          <w:rFonts w:ascii="Garamond" w:eastAsia="Calibri" w:hAnsi="Garamond" w:cs="Calibri"/>
          <w:sz w:val="24"/>
          <w:szCs w:val="24"/>
          <w:lang w:eastAsia="pt-BR"/>
        </w:rPr>
        <w:t xml:space="preserve">no caso dos subsídios previstos no </w:t>
      </w:r>
      <w:r w:rsidRPr="005C5CBD">
        <w:rPr>
          <w:rFonts w:ascii="Garamond" w:eastAsia="Calibri" w:hAnsi="Garamond" w:cs="Calibri"/>
          <w:b/>
          <w:sz w:val="24"/>
          <w:szCs w:val="24"/>
          <w:lang w:eastAsia="pt-BR"/>
        </w:rPr>
        <w:t>caput</w:t>
      </w:r>
      <w:r w:rsidRPr="005C5CBD">
        <w:rPr>
          <w:rFonts w:ascii="Garamond" w:eastAsia="Times New Roman" w:hAnsi="Garamond" w:cs="Calibri"/>
          <w:sz w:val="24"/>
          <w:szCs w:val="24"/>
          <w:lang w:eastAsia="pt-BR"/>
        </w:rPr>
        <w:t xml:space="preserve"> variará de acordo com as circunstâncias de cada </w:t>
      </w:r>
      <w:r w:rsidRPr="005C5CBD">
        <w:rPr>
          <w:rFonts w:ascii="Garamond" w:eastAsia="Calibri" w:hAnsi="Garamond" w:cs="Calibri"/>
          <w:sz w:val="24"/>
          <w:szCs w:val="24"/>
          <w:lang w:eastAsia="pt-BR"/>
        </w:rPr>
        <w:t>caso.</w:t>
      </w:r>
    </w:p>
    <w:p w14:paraId="26E209BF" w14:textId="77777777" w:rsidR="00395593" w:rsidRPr="005C5CBD" w:rsidRDefault="00395593" w:rsidP="006A735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44.</w:t>
      </w:r>
      <w:r w:rsidRPr="005C5CBD">
        <w:rPr>
          <w:rFonts w:ascii="Garamond" w:eastAsia="Times New Roman" w:hAnsi="Garamond" w:cs="Calibri"/>
          <w:sz w:val="24"/>
          <w:szCs w:val="24"/>
          <w:lang w:eastAsia="pt-BR"/>
        </w:rPr>
        <w:t xml:space="preserve">  Se o subsídio for concedido na forma de um montante financeiro global </w:t>
      </w:r>
      <w:r w:rsidRPr="005C5CBD">
        <w:rPr>
          <w:rFonts w:ascii="Garamond" w:eastAsia="Calibri" w:hAnsi="Garamond" w:cs="Calibri"/>
          <w:sz w:val="24"/>
          <w:szCs w:val="24"/>
          <w:lang w:eastAsia="pt-BR"/>
        </w:rPr>
        <w:t>(</w:t>
      </w:r>
      <w:r w:rsidRPr="005C5CBD">
        <w:rPr>
          <w:rFonts w:ascii="Garamond" w:eastAsia="Calibri" w:hAnsi="Garamond" w:cs="Calibri"/>
          <w:b/>
          <w:sz w:val="24"/>
          <w:szCs w:val="24"/>
          <w:lang w:eastAsia="pt-BR"/>
        </w:rPr>
        <w:t>lump sum</w:t>
      </w:r>
      <w:r w:rsidRPr="005C5CBD">
        <w:rPr>
          <w:rFonts w:ascii="Garamond" w:eastAsia="Calibri" w:hAnsi="Garamond" w:cs="Calibri"/>
          <w:sz w:val="24"/>
          <w:szCs w:val="24"/>
          <w:lang w:eastAsia="pt-BR"/>
        </w:rPr>
        <w:t>)</w:t>
      </w:r>
      <w:r w:rsidRPr="005C5CBD">
        <w:rPr>
          <w:rFonts w:ascii="Garamond" w:eastAsia="Times New Roman" w:hAnsi="Garamond" w:cs="Calibri"/>
          <w:sz w:val="24"/>
          <w:szCs w:val="24"/>
          <w:lang w:eastAsia="pt-BR"/>
        </w:rPr>
        <w:t xml:space="preserve"> não vinculado diretamente ao produto objeto de investigação, esse montante deverá ser alocado ou atribuído para cada unidade do produto subsidiado conforme o caso. </w:t>
      </w:r>
    </w:p>
    <w:p w14:paraId="489CBAEE"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§1º  Subsídios concedidos como um montante financeiro global</w:t>
      </w:r>
      <w:r w:rsidRPr="005C5CBD" w:rsidDel="003D163A">
        <w:rPr>
          <w:rFonts w:ascii="Garamond" w:eastAsia="Calibri" w:hAnsi="Garamond" w:cs="Calibri"/>
          <w:sz w:val="24"/>
          <w:szCs w:val="24"/>
          <w:lang w:eastAsia="pt-BR"/>
        </w:rPr>
        <w:t xml:space="preserve"> </w:t>
      </w:r>
      <w:r w:rsidRPr="005C5CBD">
        <w:rPr>
          <w:rFonts w:ascii="Garamond" w:eastAsia="Calibri" w:hAnsi="Garamond" w:cs="Calibri"/>
          <w:sz w:val="24"/>
          <w:szCs w:val="24"/>
          <w:lang w:eastAsia="pt-BR"/>
        </w:rPr>
        <w:t>poderão ou não ser relacionados de maneira identificável a determinadas operações da empresa beneficiada.</w:t>
      </w:r>
    </w:p>
    <w:p w14:paraId="3FBC0E6F"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§2º  Em cada caso, para a seleção do denominador, a Subsecretaria de Defesa Comercial e Interesse Público avaliará quais são as vendas relevantes beneficiadas pelo subsídio na forma de um montante financeiro global (</w:t>
      </w:r>
      <w:r w:rsidRPr="005C5CBD">
        <w:rPr>
          <w:rFonts w:ascii="Garamond" w:eastAsia="Calibri" w:hAnsi="Garamond" w:cs="Calibri"/>
          <w:b/>
          <w:sz w:val="24"/>
          <w:szCs w:val="24"/>
          <w:lang w:eastAsia="pt-BR"/>
        </w:rPr>
        <w:t>e.g.</w:t>
      </w:r>
      <w:r w:rsidRPr="005C5CBD">
        <w:rPr>
          <w:rFonts w:ascii="Garamond" w:eastAsia="Calibri" w:hAnsi="Garamond" w:cs="Calibri"/>
          <w:sz w:val="24"/>
          <w:szCs w:val="24"/>
          <w:lang w:eastAsia="pt-BR"/>
        </w:rPr>
        <w:t xml:space="preserve">, vendas totais, vendas de exportação, vendas de um produto específico ou a um mercado específico). </w:t>
      </w:r>
    </w:p>
    <w:p w14:paraId="2C82873A"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Art. 45.  Em regra, a seleção do denominador adequado para a apuração do montante de subsídio considerará os seguintes princípios:</w:t>
      </w:r>
    </w:p>
    <w:p w14:paraId="268A79D0"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 -  no caso de subsídios à exportação, normalmente, o montante do subsídio será dividido pelas exportações do produto subsidiado pelo produtor ou exportador investigado, por unidade ou em termos </w:t>
      </w:r>
      <w:r w:rsidRPr="005C5CBD">
        <w:rPr>
          <w:rFonts w:ascii="Garamond" w:eastAsia="Calibri" w:hAnsi="Garamond" w:cs="Calibri"/>
          <w:b/>
          <w:sz w:val="24"/>
          <w:szCs w:val="24"/>
          <w:lang w:eastAsia="pt-BR"/>
        </w:rPr>
        <w:t>ad valorem</w:t>
      </w:r>
      <w:r w:rsidRPr="005C5CBD">
        <w:rPr>
          <w:rFonts w:ascii="Garamond" w:eastAsia="Calibri" w:hAnsi="Garamond" w:cs="Calibri"/>
          <w:sz w:val="24"/>
          <w:szCs w:val="24"/>
          <w:lang w:eastAsia="pt-BR"/>
        </w:rPr>
        <w:t>.</w:t>
      </w:r>
    </w:p>
    <w:p w14:paraId="296FEDD1"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II -  </w:t>
      </w:r>
      <w:r w:rsidRPr="005C5CBD">
        <w:rPr>
          <w:rFonts w:ascii="Garamond" w:eastAsia="Calibri" w:hAnsi="Garamond" w:cs="Calibri"/>
          <w:sz w:val="24"/>
          <w:szCs w:val="24"/>
          <w:lang w:eastAsia="pt-BR"/>
        </w:rPr>
        <w:t xml:space="preserve">no caso de subsídios não vinculados à exportação, normalmente, o montante do subsídio será dividido pelas vendas totais do produto subsidiado pelo produtor ou exportador investigado, por unidade ou em termos </w:t>
      </w:r>
      <w:r w:rsidRPr="005C5CBD">
        <w:rPr>
          <w:rFonts w:ascii="Garamond" w:eastAsia="Calibri" w:hAnsi="Garamond" w:cs="Calibri"/>
          <w:b/>
          <w:sz w:val="24"/>
          <w:szCs w:val="24"/>
          <w:lang w:eastAsia="pt-BR"/>
        </w:rPr>
        <w:t>ad valorem</w:t>
      </w:r>
      <w:r w:rsidRPr="005C5CBD">
        <w:rPr>
          <w:rFonts w:ascii="Garamond" w:eastAsia="Calibri" w:hAnsi="Garamond" w:cs="Calibri"/>
          <w:sz w:val="24"/>
          <w:szCs w:val="24"/>
          <w:lang w:eastAsia="pt-BR"/>
        </w:rPr>
        <w:t>.</w:t>
      </w:r>
    </w:p>
    <w:p w14:paraId="460328D1"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III - </w:t>
      </w:r>
      <w:r w:rsidRPr="005C5CBD">
        <w:rPr>
          <w:rFonts w:ascii="Garamond" w:eastAsia="Calibri" w:hAnsi="Garamond" w:cs="Calibri"/>
          <w:sz w:val="24"/>
          <w:szCs w:val="24"/>
          <w:lang w:eastAsia="pt-BR"/>
        </w:rPr>
        <w:t xml:space="preserve">no caso de subsídios vinculados às exportações a mercados específicos, incluindo o Brasil, normalmente, o montante do subsídio será dividido pelas exportações destinadas a esses mercados pelo produtor ou exportador investigado, por unidade ou em termos </w:t>
      </w:r>
      <w:r w:rsidRPr="005C5CBD">
        <w:rPr>
          <w:rFonts w:ascii="Garamond" w:eastAsia="Calibri" w:hAnsi="Garamond" w:cs="Calibri"/>
          <w:b/>
          <w:sz w:val="24"/>
          <w:szCs w:val="24"/>
          <w:lang w:eastAsia="pt-BR"/>
        </w:rPr>
        <w:t>ad valorem</w:t>
      </w:r>
      <w:r w:rsidRPr="005C5CBD">
        <w:rPr>
          <w:rFonts w:ascii="Garamond" w:eastAsia="Calibri" w:hAnsi="Garamond" w:cs="Calibri"/>
          <w:sz w:val="24"/>
          <w:szCs w:val="24"/>
          <w:lang w:eastAsia="pt-BR"/>
        </w:rPr>
        <w:t>.</w:t>
      </w:r>
    </w:p>
    <w:p w14:paraId="0241B51E"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IV -  no caso de subsídios vinculados a produtos específicos ou a grupos de produtos, incluindo o produto objeto da investigação, o montante do subsídio será dividido pelas vendas desses produtos específicos ou grupos de produtos, por unidade ou em termos </w:t>
      </w:r>
      <w:r w:rsidRPr="005C5CBD">
        <w:rPr>
          <w:rFonts w:ascii="Garamond" w:eastAsia="Calibri" w:hAnsi="Garamond" w:cs="Calibri"/>
          <w:b/>
          <w:sz w:val="24"/>
          <w:szCs w:val="24"/>
          <w:lang w:eastAsia="pt-BR"/>
        </w:rPr>
        <w:t>ad valorem</w:t>
      </w:r>
      <w:r w:rsidRPr="005C5CBD">
        <w:rPr>
          <w:rFonts w:ascii="Garamond" w:eastAsia="Calibri" w:hAnsi="Garamond" w:cs="Calibri"/>
          <w:sz w:val="24"/>
          <w:szCs w:val="24"/>
          <w:lang w:eastAsia="pt-BR"/>
        </w:rPr>
        <w:t>; e</w:t>
      </w:r>
    </w:p>
    <w:p w14:paraId="2DCDF58C"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V -  se um subsídio estiver vinculado à produção de um insumo e se for determinado que o subsídio ao insumo foi transferido, integral ou parcialmente, para o produto final objeto da investigação, nos termos da Subseção XI da Seção IV deste Capítulo, a Subsecretaria de Defesa Comercial e Interesse Público atribuirá o subsídio tanto ao insumo como ao produto final fabricado pela empresa investigada e exportado para o Brasil.</w:t>
      </w:r>
    </w:p>
    <w:p w14:paraId="5151D7CC"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§1º  Considera-se que um subsídio é vinculado (</w:t>
      </w:r>
      <w:r w:rsidRPr="005C5CBD">
        <w:rPr>
          <w:rFonts w:ascii="Garamond" w:eastAsia="Calibri" w:hAnsi="Garamond" w:cs="Calibri"/>
          <w:b/>
          <w:sz w:val="24"/>
          <w:szCs w:val="24"/>
          <w:lang w:eastAsia="pt-BR"/>
        </w:rPr>
        <w:t>tied</w:t>
      </w:r>
      <w:r w:rsidRPr="005C5CBD">
        <w:rPr>
          <w:rFonts w:ascii="Garamond" w:eastAsia="Calibri" w:hAnsi="Garamond" w:cs="Calibri"/>
          <w:sz w:val="24"/>
          <w:szCs w:val="24"/>
          <w:lang w:eastAsia="pt-BR"/>
        </w:rPr>
        <w:t xml:space="preserve">) a um produto específico se ele estiver conectado ou condicionado à produção ou à venda de tal produto. </w:t>
      </w:r>
    </w:p>
    <w:p w14:paraId="4BD09915" w14:textId="77777777" w:rsidR="00395593" w:rsidRPr="005C5CBD" w:rsidRDefault="00395593" w:rsidP="006A735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§2º  Poderá ser considerado como vinculado a um produto específico um subsídio que induza a produção ou a venda desse produto, mesmo que o beneficiário não tenha restrições sobre a forma de utilização dos recursos decorrentes desse subsídio.  </w:t>
      </w:r>
    </w:p>
    <w:p w14:paraId="1C8D8AA8"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§3º</w:t>
      </w:r>
      <w:r w:rsidRPr="005C5CBD">
        <w:rPr>
          <w:rFonts w:ascii="Garamond" w:eastAsia="Times New Roman" w:hAnsi="Garamond" w:cs="Calibri"/>
          <w:sz w:val="24"/>
          <w:szCs w:val="24"/>
          <w:lang w:eastAsia="pt-BR"/>
        </w:rPr>
        <w:t xml:space="preserve">  </w:t>
      </w:r>
      <w:r w:rsidRPr="005C5CBD">
        <w:rPr>
          <w:rFonts w:ascii="Garamond" w:eastAsia="Calibri" w:hAnsi="Garamond" w:cs="Calibri"/>
          <w:sz w:val="24"/>
          <w:szCs w:val="24"/>
          <w:lang w:eastAsia="pt-BR"/>
        </w:rPr>
        <w:t>Caso o subsídio beneficie diversos produtos além do produto objeto de investigação, em regra, a</w:t>
      </w:r>
      <w:r w:rsidRPr="005C5CBD">
        <w:rPr>
          <w:rFonts w:ascii="Garamond" w:eastAsia="Times New Roman" w:hAnsi="Garamond" w:cs="Calibri"/>
          <w:sz w:val="24"/>
          <w:szCs w:val="24"/>
          <w:lang w:eastAsia="pt-BR"/>
        </w:rPr>
        <w:t xml:space="preserve"> Subsecretaria de Defesa Comercial e Interesse Público alocará o montante do subsídio pelo valor monetário das vendas ou da produção de todos os produtos beneficiados, incluindo o produto objeto da </w:t>
      </w:r>
      <w:r w:rsidRPr="005C5CBD">
        <w:rPr>
          <w:rFonts w:ascii="Garamond" w:eastAsia="Calibri" w:hAnsi="Garamond" w:cs="Calibri"/>
          <w:sz w:val="24"/>
          <w:szCs w:val="24"/>
          <w:lang w:eastAsia="pt-BR"/>
        </w:rPr>
        <w:t>investigação.</w:t>
      </w:r>
    </w:p>
    <w:p w14:paraId="7D0D0234"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§4º   Caso os diversos produtos referidos no §3º</w:t>
      </w:r>
      <w:r w:rsidRPr="005C5CBD" w:rsidDel="0072791F">
        <w:rPr>
          <w:rFonts w:ascii="Garamond" w:eastAsia="Calibri" w:hAnsi="Garamond" w:cs="Calibri"/>
          <w:sz w:val="24"/>
          <w:szCs w:val="24"/>
          <w:lang w:eastAsia="pt-BR"/>
        </w:rPr>
        <w:t xml:space="preserve"> </w:t>
      </w:r>
      <w:r w:rsidRPr="005C5CBD">
        <w:rPr>
          <w:rFonts w:ascii="Garamond" w:eastAsia="Calibri" w:hAnsi="Garamond" w:cs="Calibri"/>
          <w:sz w:val="24"/>
          <w:szCs w:val="24"/>
          <w:lang w:eastAsia="pt-BR"/>
        </w:rPr>
        <w:t xml:space="preserve">utilizem a mesma unidade de medida, a </w:t>
      </w:r>
      <w:r w:rsidRPr="005C5CBD">
        <w:rPr>
          <w:rFonts w:ascii="Garamond" w:eastAsia="Times New Roman" w:hAnsi="Garamond" w:cs="Calibri"/>
          <w:sz w:val="24"/>
          <w:szCs w:val="24"/>
          <w:lang w:eastAsia="pt-BR"/>
        </w:rPr>
        <w:t>Subsecretaria de Defesa Comercial e Interesse Público poderá alocar o montante do subsídio diretamente por unidade.</w:t>
      </w:r>
    </w:p>
    <w:p w14:paraId="771A876A" w14:textId="0B7A0EF4"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VI - Para fins de atribuição do subsídio ao produto final (</w:t>
      </w:r>
      <w:r w:rsidRPr="005C5CBD">
        <w:rPr>
          <w:rFonts w:ascii="Garamond" w:eastAsia="Calibri" w:hAnsi="Garamond" w:cs="Calibri"/>
          <w:b/>
          <w:sz w:val="24"/>
          <w:szCs w:val="24"/>
        </w:rPr>
        <w:t>e.g.</w:t>
      </w:r>
      <w:r w:rsidRPr="005C5CBD">
        <w:rPr>
          <w:rFonts w:ascii="Garamond" w:eastAsia="Calibri" w:hAnsi="Garamond" w:cs="Calibri"/>
          <w:sz w:val="24"/>
          <w:szCs w:val="24"/>
        </w:rPr>
        <w:t xml:space="preserve">, subsídios a montante, concedidos à matéria-prima ou insumos incorporado ao produto final), quando, nos termos do parágrafo único do art. </w:t>
      </w:r>
      <w:r w:rsidR="00EE4713">
        <w:rPr>
          <w:rFonts w:ascii="Garamond" w:eastAsia="Calibri" w:hAnsi="Garamond" w:cs="Calibri"/>
          <w:sz w:val="24"/>
          <w:szCs w:val="24"/>
        </w:rPr>
        <w:t>26</w:t>
      </w:r>
      <w:r w:rsidR="00E15FBB" w:rsidRPr="005C5CBD">
        <w:rPr>
          <w:rFonts w:ascii="Garamond" w:eastAsia="Calibri" w:hAnsi="Garamond" w:cs="Calibri"/>
          <w:sz w:val="24"/>
          <w:szCs w:val="24"/>
        </w:rPr>
        <w:t>,</w:t>
      </w:r>
      <w:r w:rsidRPr="005C5CBD">
        <w:rPr>
          <w:rFonts w:ascii="Garamond" w:eastAsia="Calibri" w:hAnsi="Garamond" w:cs="Calibri"/>
          <w:sz w:val="24"/>
          <w:szCs w:val="24"/>
        </w:rPr>
        <w:t xml:space="preserve"> houver operações não subsidiadas, o montante de subsídios calculado deverá ser dividido pelo volume de todas as operações relevantes, subsidiadas ou não. </w:t>
      </w:r>
    </w:p>
    <w:p w14:paraId="4FC9D788" w14:textId="77777777" w:rsidR="00395593" w:rsidRPr="005C5CBD" w:rsidRDefault="00395593" w:rsidP="006A735F">
      <w:pPr>
        <w:spacing w:after="0" w:line="240" w:lineRule="auto"/>
        <w:ind w:firstLine="567"/>
        <w:jc w:val="both"/>
        <w:rPr>
          <w:rFonts w:ascii="Garamond" w:eastAsia="Calibri" w:hAnsi="Garamond" w:cs="Calibri"/>
          <w:sz w:val="24"/>
          <w:szCs w:val="24"/>
        </w:rPr>
      </w:pPr>
    </w:p>
    <w:p w14:paraId="0D5E5726" w14:textId="531934C9" w:rsidR="00395593" w:rsidRPr="005C5CBD" w:rsidRDefault="00395593" w:rsidP="006A735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46.   A Subsecretaria de Defesa Comercial e Interesse Público calculará </w:t>
      </w:r>
      <w:r w:rsidRPr="005C5CBD">
        <w:rPr>
          <w:rFonts w:ascii="Garamond" w:eastAsia="Times New Roman" w:hAnsi="Garamond" w:cs="Calibri"/>
          <w:sz w:val="24"/>
          <w:szCs w:val="24"/>
          <w:lang w:eastAsia="pt-BR"/>
        </w:rPr>
        <w:t>o montante de subsídio médio ponderado, ou seja, dividindo-se o montante total do benefício recebido pela empresa beneficiária ao amparo de cada programa de subsídio investigado pelo volume ou valor total das vendas relevantes do produto subsidiado beneficiadas pelo programa (</w:t>
      </w:r>
      <w:r w:rsidRPr="005C5CBD">
        <w:rPr>
          <w:rFonts w:ascii="Garamond" w:eastAsia="Times New Roman" w:hAnsi="Garamond" w:cs="Calibri"/>
          <w:b/>
          <w:sz w:val="24"/>
          <w:szCs w:val="24"/>
          <w:lang w:eastAsia="pt-BR"/>
        </w:rPr>
        <w:t>e.g.</w:t>
      </w:r>
      <w:r w:rsidRPr="005C5CBD">
        <w:rPr>
          <w:rFonts w:ascii="Garamond" w:eastAsia="Times New Roman" w:hAnsi="Garamond" w:cs="Calibri"/>
          <w:sz w:val="24"/>
          <w:szCs w:val="24"/>
          <w:lang w:eastAsia="pt-BR"/>
        </w:rPr>
        <w:t xml:space="preserve">, vendas totais, vendas de exportação, vendas de um produto específico ou a um mercado específico), conforme os princípios dispostos no art. </w:t>
      </w:r>
      <w:r w:rsidR="00EE4713">
        <w:rPr>
          <w:rFonts w:ascii="Garamond" w:eastAsia="Times New Roman" w:hAnsi="Garamond" w:cs="Calibri"/>
          <w:sz w:val="24"/>
          <w:szCs w:val="24"/>
          <w:lang w:eastAsia="pt-BR"/>
        </w:rPr>
        <w:t>45</w:t>
      </w:r>
      <w:r w:rsidR="00E15FBB" w:rsidRPr="005C5CBD">
        <w:rPr>
          <w:rFonts w:ascii="Garamond" w:eastAsia="Times New Roman" w:hAnsi="Garamond" w:cs="Calibri"/>
          <w:sz w:val="24"/>
          <w:szCs w:val="24"/>
          <w:lang w:eastAsia="pt-BR"/>
        </w:rPr>
        <w:t>.</w:t>
      </w:r>
    </w:p>
    <w:p w14:paraId="7741FF01" w14:textId="0A82E812" w:rsidR="00E15FBB" w:rsidRPr="005C5CBD" w:rsidRDefault="00E15FBB" w:rsidP="006A735F">
      <w:pPr>
        <w:pBdr>
          <w:top w:val="nil"/>
          <w:left w:val="nil"/>
          <w:bottom w:val="nil"/>
          <w:right w:val="nil"/>
          <w:between w:val="nil"/>
          <w:bar w:val="nil"/>
        </w:pBdr>
        <w:spacing w:after="0" w:line="240" w:lineRule="auto"/>
        <w:ind w:firstLine="567"/>
        <w:jc w:val="both"/>
        <w:rPr>
          <w:rFonts w:ascii="Garamond" w:eastAsia="Calibri" w:hAnsi="Garamond" w:cs="Calibri"/>
          <w:sz w:val="24"/>
          <w:szCs w:val="24"/>
          <w:bdr w:val="nil"/>
        </w:rPr>
      </w:pPr>
      <w:r w:rsidRPr="005C5CBD">
        <w:rPr>
          <w:rFonts w:ascii="Garamond" w:eastAsia="Arial Unicode MS" w:hAnsi="Garamond" w:cs="Calibri"/>
          <w:sz w:val="24"/>
          <w:szCs w:val="24"/>
          <w:bdr w:val="nil"/>
        </w:rPr>
        <w:t>§</w:t>
      </w:r>
      <w:r w:rsidRPr="005C5CBD">
        <w:rPr>
          <w:rFonts w:ascii="Garamond" w:eastAsia="Calibri" w:hAnsi="Garamond" w:cs="Calibri"/>
          <w:sz w:val="24"/>
          <w:szCs w:val="24"/>
          <w:bdr w:val="nil"/>
        </w:rPr>
        <w:t xml:space="preserve">1º   Para obter o montante unitário, em regra, o montante do benefício atribuído ao período de investigação para o produto subsidiado será dividido pela unidade de medida referida no </w:t>
      </w:r>
      <w:r w:rsidRPr="005C5CBD">
        <w:rPr>
          <w:rFonts w:ascii="Garamond" w:eastAsia="Arial Unicode MS" w:hAnsi="Garamond" w:cs="Calibri"/>
          <w:sz w:val="24"/>
          <w:szCs w:val="24"/>
          <w:bdr w:val="nil"/>
        </w:rPr>
        <w:t>parágrafo único</w:t>
      </w:r>
      <w:r w:rsidRPr="005C5CBD">
        <w:rPr>
          <w:rFonts w:ascii="Garamond" w:eastAsia="Calibri" w:hAnsi="Garamond" w:cs="Calibri"/>
          <w:sz w:val="24"/>
          <w:szCs w:val="24"/>
          <w:bdr w:val="nil"/>
        </w:rPr>
        <w:t xml:space="preserve"> do art. </w:t>
      </w:r>
      <w:r w:rsidRPr="005C5CBD">
        <w:rPr>
          <w:rFonts w:ascii="Garamond" w:eastAsia="Calibri" w:hAnsi="Garamond" w:cs="Calibri"/>
          <w:sz w:val="24"/>
          <w:szCs w:val="24"/>
          <w:bdr w:val="nil"/>
        </w:rPr>
        <w:tab/>
      </w:r>
      <w:r w:rsidR="00EE4713">
        <w:rPr>
          <w:rFonts w:ascii="Garamond" w:eastAsia="Calibri" w:hAnsi="Garamond" w:cs="Calibri"/>
          <w:sz w:val="24"/>
          <w:szCs w:val="24"/>
          <w:bdr w:val="nil"/>
        </w:rPr>
        <w:t>43</w:t>
      </w:r>
      <w:r w:rsidRPr="005C5CBD">
        <w:rPr>
          <w:rFonts w:ascii="Garamond" w:eastAsia="Calibri" w:hAnsi="Garamond" w:cs="Calibri"/>
          <w:sz w:val="24"/>
          <w:szCs w:val="24"/>
          <w:bdr w:val="nil"/>
        </w:rPr>
        <w:t>.</w:t>
      </w:r>
    </w:p>
    <w:p w14:paraId="39E0BE07" w14:textId="77777777" w:rsidR="00395593" w:rsidRPr="005C5CBD" w:rsidRDefault="00395593" w:rsidP="006A735F">
      <w:pPr>
        <w:pBdr>
          <w:top w:val="nil"/>
          <w:left w:val="nil"/>
          <w:bottom w:val="nil"/>
          <w:right w:val="nil"/>
          <w:between w:val="nil"/>
          <w:bar w:val="nil"/>
        </w:pBdr>
        <w:spacing w:after="0" w:line="240" w:lineRule="auto"/>
        <w:ind w:firstLine="567"/>
        <w:rPr>
          <w:rFonts w:ascii="Garamond" w:eastAsia="Arial Unicode MS" w:hAnsi="Garamond" w:cs="Calibri"/>
          <w:sz w:val="24"/>
          <w:szCs w:val="24"/>
          <w:bdr w:val="nil"/>
        </w:rPr>
      </w:pPr>
    </w:p>
    <w:p w14:paraId="7DE6E556"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eastAsia="Calibri" w:hAnsi="Garamond" w:cstheme="minorHAnsi"/>
        </w:rPr>
      </w:pPr>
      <w:r w:rsidRPr="005C5CBD">
        <w:rPr>
          <w:rFonts w:ascii="Garamond" w:eastAsia="Arial Unicode MS" w:hAnsi="Garamond" w:cs="Calibri"/>
          <w:sz w:val="24"/>
          <w:szCs w:val="24"/>
          <w:bdr w:val="nil"/>
        </w:rPr>
        <w:t>§</w:t>
      </w:r>
      <w:r w:rsidRPr="00395593">
        <w:rPr>
          <w:rFonts w:ascii="Garamond" w:eastAsia="Calibri" w:hAnsi="Garamond" w:cstheme="minorHAnsi"/>
        </w:rPr>
        <w:t>2º</w:t>
      </w:r>
      <w:r w:rsidRPr="00395593" w:rsidDel="00E60DE6">
        <w:rPr>
          <w:rFonts w:ascii="Garamond" w:eastAsia="Calibri" w:hAnsi="Garamond" w:cstheme="minorHAnsi"/>
        </w:rPr>
        <w:t xml:space="preserve"> </w:t>
      </w:r>
      <w:r w:rsidRPr="00395593">
        <w:rPr>
          <w:rFonts w:ascii="Garamond" w:eastAsia="Calibri" w:hAnsi="Garamond" w:cstheme="minorHAnsi"/>
        </w:rPr>
        <w:t xml:space="preserve"> Alternativamente, para se obter o valor </w:t>
      </w:r>
      <w:r w:rsidRPr="00395593">
        <w:rPr>
          <w:rFonts w:ascii="Garamond" w:eastAsia="Calibri" w:hAnsi="Garamond" w:cstheme="minorHAnsi"/>
          <w:b/>
        </w:rPr>
        <w:t>ad valorem</w:t>
      </w:r>
      <w:r w:rsidRPr="00395593">
        <w:rPr>
          <w:rFonts w:ascii="Garamond" w:eastAsia="Calibri" w:hAnsi="Garamond" w:cstheme="minorHAnsi"/>
        </w:rPr>
        <w:t xml:space="preserve">, o montante do benefício atribuído ao período de investigação para o produto objeto da investigação será dividido pelo seu respectivo valor de venda na condição </w:t>
      </w:r>
      <w:r w:rsidRPr="00395593">
        <w:rPr>
          <w:rFonts w:ascii="Garamond" w:eastAsia="Calibri" w:hAnsi="Garamond" w:cstheme="minorHAnsi"/>
          <w:b/>
          <w:bCs/>
        </w:rPr>
        <w:t>ex fabrica</w:t>
      </w:r>
      <w:r w:rsidRPr="00395593">
        <w:rPr>
          <w:rFonts w:ascii="Garamond" w:eastAsia="Calibri" w:hAnsi="Garamond" w:cstheme="minorHAnsi"/>
        </w:rPr>
        <w:t xml:space="preserve"> ou na condição FOB (ou equivalente) durante o período de investigação.</w:t>
      </w:r>
    </w:p>
    <w:p w14:paraId="1DF9096F" w14:textId="77777777" w:rsidR="00395593" w:rsidRPr="005C5CBD" w:rsidRDefault="00395593" w:rsidP="006A735F">
      <w:pPr>
        <w:pBdr>
          <w:top w:val="nil"/>
          <w:left w:val="nil"/>
          <w:bottom w:val="nil"/>
          <w:right w:val="nil"/>
          <w:between w:val="nil"/>
          <w:bar w:val="nil"/>
        </w:pBdr>
        <w:spacing w:after="0" w:line="240" w:lineRule="auto"/>
        <w:ind w:firstLine="567"/>
        <w:rPr>
          <w:rFonts w:ascii="Garamond" w:eastAsia="Arial Unicode MS" w:hAnsi="Garamond" w:cs="Calibri"/>
          <w:sz w:val="24"/>
          <w:szCs w:val="24"/>
          <w:bdr w:val="nil"/>
        </w:rPr>
      </w:pPr>
    </w:p>
    <w:p w14:paraId="75EB9E18"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eastAsia="Calibri" w:hAnsi="Garamond" w:cstheme="minorHAnsi"/>
        </w:rPr>
      </w:pPr>
      <w:r w:rsidRPr="005C5CBD">
        <w:rPr>
          <w:rFonts w:ascii="Garamond" w:eastAsia="Arial Unicode MS" w:hAnsi="Garamond" w:cs="Calibri"/>
          <w:sz w:val="24"/>
          <w:szCs w:val="24"/>
          <w:bdr w:val="nil"/>
        </w:rPr>
        <w:t>§</w:t>
      </w:r>
      <w:r w:rsidRPr="00395593">
        <w:rPr>
          <w:rFonts w:ascii="Garamond" w:eastAsia="Calibri" w:hAnsi="Garamond" w:cstheme="minorHAnsi"/>
        </w:rPr>
        <w:t>3º Se o subsídio acionável estiver vinculado ao movimento do produto subsidiado do porto ou da fábrica até o local de destino (subsídios a frete, seguro e outros custos envolvidos no transporte do produto subsidiado ao local de destino), a Subsecretaria de Defesa Comercial e Interesse Público poderá fazer ajustes ao valor das vendas de forma a apurar o denominador adequado.</w:t>
      </w:r>
    </w:p>
    <w:p w14:paraId="6B1CF674" w14:textId="77777777" w:rsidR="00395593" w:rsidRPr="005C5CBD" w:rsidRDefault="00395593" w:rsidP="00E15FBB">
      <w:pPr>
        <w:pBdr>
          <w:top w:val="nil"/>
          <w:left w:val="nil"/>
          <w:bottom w:val="nil"/>
          <w:right w:val="nil"/>
          <w:between w:val="nil"/>
          <w:bar w:val="nil"/>
        </w:pBdr>
        <w:spacing w:after="0" w:line="240" w:lineRule="auto"/>
        <w:rPr>
          <w:rFonts w:ascii="Garamond" w:eastAsia="Arial Unicode MS" w:hAnsi="Garamond" w:cs="Calibri"/>
          <w:strike/>
          <w:sz w:val="24"/>
          <w:szCs w:val="24"/>
          <w:bdr w:val="nil"/>
        </w:rPr>
      </w:pPr>
    </w:p>
    <w:p w14:paraId="5127A42B" w14:textId="49258D20"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Art. 47. Para fins de alocação ou atribuição do benefício quando os produtores/exportadores são considerados partes relacionadas ou associadas, nos termos do art. </w:t>
      </w:r>
      <w:r w:rsidR="00EE4713">
        <w:rPr>
          <w:rFonts w:ascii="Garamond" w:eastAsia="Calibri" w:hAnsi="Garamond" w:cs="Calibri"/>
          <w:sz w:val="24"/>
          <w:szCs w:val="24"/>
          <w:lang w:eastAsia="pt-BR"/>
        </w:rPr>
        <w:t>12</w:t>
      </w:r>
      <w:r w:rsidR="00E15FBB" w:rsidRPr="005C5CBD">
        <w:rPr>
          <w:rFonts w:ascii="Garamond" w:eastAsia="Calibri" w:hAnsi="Garamond" w:cs="Calibri"/>
          <w:sz w:val="24"/>
          <w:szCs w:val="24"/>
          <w:lang w:eastAsia="pt-BR"/>
        </w:rPr>
        <w:t>,</w:t>
      </w:r>
      <w:r w:rsidRPr="005C5CBD">
        <w:rPr>
          <w:rFonts w:ascii="Garamond" w:eastAsia="Calibri" w:hAnsi="Garamond" w:cs="Calibri"/>
          <w:sz w:val="24"/>
          <w:szCs w:val="24"/>
          <w:lang w:eastAsia="pt-BR"/>
        </w:rPr>
        <w:t xml:space="preserve"> a Subsecretaria de Defesa Comercial e Interesse Público normalmente alocará ou atribuirá o benefício:</w:t>
      </w:r>
    </w:p>
    <w:p w14:paraId="78D1F257"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 - às vendas do produto subsidiado da empresa que recebeu o subsídio;</w:t>
      </w:r>
    </w:p>
    <w:p w14:paraId="294AE2F3"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II - às vendas do produto subsidiado de duas (ou mais) empresas, se o benefício for decorrente de subsídios recebidos por dois ou mais produtores/exportadores relacionados ou associados, caso as duas ou mais empresas tenham produzido ou vendido o produto objeto da investigação;</w:t>
      </w:r>
    </w:p>
    <w:p w14:paraId="38F15B1F"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III - às vendas do produto subsidiado consolidadas da matriz e de suas subsidiárias, se a empresa que recebeu o subsídio é a matriz, incluindo uma matriz com seu próprio parque produtivo; ou</w:t>
      </w:r>
    </w:p>
    <w:p w14:paraId="1E417BBF"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IV - às vendas do produto subsidiado produzidos pela empresa subsidiária, se a Subsecretaria de Defesa Comercial e Interesse Público verificar que a matriz simplesmente serviu de canal para a transferência do subsídio do governo para uma de suas subsidiárias. </w:t>
      </w:r>
    </w:p>
    <w:p w14:paraId="51350CCD"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w:t>
      </w:r>
      <w:r w:rsidRPr="005C5CBD">
        <w:rPr>
          <w:rFonts w:ascii="Garamond" w:eastAsia="Calibri" w:hAnsi="Garamond" w:cs="Calibri"/>
          <w:sz w:val="24"/>
          <w:szCs w:val="24"/>
          <w:lang w:eastAsia="pt-BR"/>
        </w:rPr>
        <w:t>1º Caso o subsídio beneficie diversas empresas de um grupo econômico além do produtor/exportador do produto objeto de investigação, a</w:t>
      </w:r>
      <w:r w:rsidRPr="005C5CBD">
        <w:rPr>
          <w:rFonts w:ascii="Garamond" w:eastAsia="Times New Roman" w:hAnsi="Garamond" w:cs="Calibri"/>
          <w:sz w:val="24"/>
          <w:szCs w:val="24"/>
          <w:lang w:eastAsia="pt-BR"/>
        </w:rPr>
        <w:t xml:space="preserve"> Subsecretaria de Defesa Comercial e Interesse Público poderá alocar o montante do subsídio pelo valor monetário das vendas ou da produção dos produtos de todas as empresas beneficiadas, incluindo a empresa investigada</w:t>
      </w:r>
      <w:r w:rsidRPr="005C5CBD">
        <w:rPr>
          <w:rFonts w:ascii="Garamond" w:eastAsia="Calibri" w:hAnsi="Garamond" w:cs="Calibri"/>
          <w:sz w:val="24"/>
          <w:szCs w:val="24"/>
          <w:lang w:eastAsia="pt-BR"/>
        </w:rPr>
        <w:t>.</w:t>
      </w:r>
    </w:p>
    <w:p w14:paraId="7B38FA12"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w:t>
      </w:r>
      <w:r w:rsidRPr="005C5CBD">
        <w:rPr>
          <w:rFonts w:ascii="Garamond" w:eastAsia="Calibri" w:hAnsi="Garamond" w:cs="Calibri"/>
          <w:sz w:val="24"/>
          <w:szCs w:val="24"/>
          <w:lang w:eastAsia="pt-BR"/>
        </w:rPr>
        <w:t>2º</w:t>
      </w:r>
      <w:r w:rsidRPr="005C5CBD" w:rsidDel="00E60DE6">
        <w:rPr>
          <w:rFonts w:ascii="Garamond" w:eastAsia="Calibri" w:hAnsi="Garamond" w:cs="Calibri"/>
          <w:sz w:val="24"/>
          <w:szCs w:val="24"/>
          <w:lang w:eastAsia="pt-BR"/>
        </w:rPr>
        <w:t xml:space="preserve"> </w:t>
      </w:r>
      <w:r w:rsidRPr="005C5CBD">
        <w:rPr>
          <w:rFonts w:ascii="Garamond" w:eastAsia="Calibri" w:hAnsi="Garamond" w:cs="Calibri"/>
          <w:sz w:val="24"/>
          <w:szCs w:val="24"/>
          <w:lang w:eastAsia="pt-BR"/>
        </w:rPr>
        <w:t xml:space="preserve"> Caso os produtos das diversas empresas referidas no §1º</w:t>
      </w:r>
      <w:r w:rsidRPr="005C5CBD">
        <w:rPr>
          <w:rFonts w:ascii="Garamond" w:eastAsia="Calibri" w:hAnsi="Garamond" w:cs="Calibri"/>
          <w:b/>
          <w:sz w:val="24"/>
          <w:szCs w:val="24"/>
          <w:lang w:eastAsia="pt-BR"/>
        </w:rPr>
        <w:t xml:space="preserve"> </w:t>
      </w:r>
      <w:r w:rsidRPr="005C5CBD">
        <w:rPr>
          <w:rFonts w:ascii="Garamond" w:eastAsia="Calibri" w:hAnsi="Garamond" w:cs="Calibri"/>
          <w:sz w:val="24"/>
          <w:szCs w:val="24"/>
          <w:lang w:eastAsia="pt-BR"/>
        </w:rPr>
        <w:t xml:space="preserve">utilizem a mesma unidade de medida, a </w:t>
      </w:r>
      <w:r w:rsidRPr="005C5CBD">
        <w:rPr>
          <w:rFonts w:ascii="Garamond" w:eastAsia="Times New Roman" w:hAnsi="Garamond" w:cs="Calibri"/>
          <w:sz w:val="24"/>
          <w:szCs w:val="24"/>
          <w:lang w:eastAsia="pt-BR"/>
        </w:rPr>
        <w:t>Subsecretaria de Defesa Comercial e Interesse Público poderá alocar o montante do subsídio diretamente por unidade.</w:t>
      </w:r>
    </w:p>
    <w:p w14:paraId="53DE906E"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Art. 48. Se a empresa que recebeu um subsídio possui parques produtivos em dois ou mais países, a Subsecretaria de Defesa Comercial e Interesse Público, normalmente, atribuirá o benefício decorrente desse subsídio aos produtos produzidos pela empresa localizada no território do país em que o subsídio investigado foi concedido. </w:t>
      </w:r>
    </w:p>
    <w:p w14:paraId="1C57AA99"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Parágrafo único.  Caso a empresa referida no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xml:space="preserve"> seja capaz de comprovar que o subsídio também beneficiou determinada produção fora do território do país em que o subsídio foi concedido, a Subsecretaria de Defesa Comercial e Interesse Público poderá atribuir o benefício à produção beneficiada, com a condição de que o volume e o valor dessa produção sejam claramente identificados e comprovados.  </w:t>
      </w:r>
    </w:p>
    <w:p w14:paraId="6A3872DE"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Art. 49. Em regra, a Subsecretaria de Defesa Comercial e Interesse Público deverá acumular os benefícios decorrentes de subsídios concedidos a uma </w:t>
      </w:r>
      <w:r w:rsidRPr="005C5CBD">
        <w:rPr>
          <w:rFonts w:ascii="Garamond" w:eastAsia="Calibri" w:hAnsi="Garamond" w:cs="Calibri"/>
          <w:b/>
          <w:sz w:val="24"/>
          <w:szCs w:val="24"/>
          <w:lang w:eastAsia="pt-BR"/>
        </w:rPr>
        <w:t>trading company</w:t>
      </w:r>
      <w:r w:rsidRPr="005C5CBD">
        <w:rPr>
          <w:rFonts w:ascii="Garamond" w:eastAsia="Calibri" w:hAnsi="Garamond" w:cs="Calibri"/>
          <w:sz w:val="24"/>
          <w:szCs w:val="24"/>
          <w:lang w:eastAsia="pt-BR"/>
        </w:rPr>
        <w:t xml:space="preserve"> que exporta o produto objeto da investigação para o Brasil com os benefícios decorrentes de subsídios concedidos à empresa produtora que fabrica o produto objeto da investigação vendido para o Brasil por meio da </w:t>
      </w:r>
      <w:r w:rsidRPr="005C5CBD">
        <w:rPr>
          <w:rFonts w:ascii="Garamond" w:eastAsia="Calibri" w:hAnsi="Garamond" w:cs="Calibri"/>
          <w:b/>
          <w:sz w:val="24"/>
          <w:szCs w:val="24"/>
          <w:lang w:eastAsia="pt-BR"/>
        </w:rPr>
        <w:t>trading company</w:t>
      </w:r>
      <w:r w:rsidRPr="005C5CBD">
        <w:rPr>
          <w:rFonts w:ascii="Garamond" w:eastAsia="Calibri" w:hAnsi="Garamond" w:cs="Calibri"/>
          <w:sz w:val="24"/>
          <w:szCs w:val="24"/>
          <w:lang w:eastAsia="pt-BR"/>
        </w:rPr>
        <w:t>.</w:t>
      </w:r>
    </w:p>
    <w:p w14:paraId="129B8CD6"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§1º A acumulação de benefícios a que se refere 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xml:space="preserve"> deste artigo se aplica independentemente da determinação de que a </w:t>
      </w:r>
      <w:r w:rsidRPr="005C5CBD">
        <w:rPr>
          <w:rFonts w:ascii="Garamond" w:eastAsia="Calibri" w:hAnsi="Garamond" w:cs="Calibri"/>
          <w:b/>
          <w:sz w:val="24"/>
          <w:szCs w:val="24"/>
          <w:lang w:eastAsia="pt-BR"/>
        </w:rPr>
        <w:t>trading company</w:t>
      </w:r>
      <w:r w:rsidRPr="005C5CBD">
        <w:rPr>
          <w:rFonts w:ascii="Garamond" w:eastAsia="Calibri" w:hAnsi="Garamond" w:cs="Calibri"/>
          <w:sz w:val="24"/>
          <w:szCs w:val="24"/>
          <w:lang w:eastAsia="pt-BR"/>
        </w:rPr>
        <w:t xml:space="preserve"> e a empresa produtora são consideradas partes relacionadas ou associadas, e estejam localizadas no mesmo país.</w:t>
      </w:r>
    </w:p>
    <w:p w14:paraId="7476AD94" w14:textId="77777777" w:rsidR="00395593" w:rsidRPr="005C5CBD" w:rsidRDefault="00395593" w:rsidP="006A735F">
      <w:pPr>
        <w:spacing w:before="6" w:after="283"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§2º  A Subsecretaria de Defesa Comercial e Interesse Público poderá efetuar a acumulação prevista neste artigo na hipótese em que as empresas produtoras e exportadoras beneficiárias estejam localizadas em país de origem diferente do país de procedência, quando ambos foram considerados como país de exportação e investigados simultaneamente.</w:t>
      </w:r>
    </w:p>
    <w:p w14:paraId="07EDFDAE" w14:textId="77777777" w:rsidR="00395593" w:rsidRPr="007B17E1" w:rsidRDefault="00395593" w:rsidP="00EA0CC8">
      <w:pPr>
        <w:pStyle w:val="Corpodetexto"/>
        <w:jc w:val="center"/>
        <w:rPr>
          <w:rFonts w:ascii="Garamond" w:hAnsi="Garamond"/>
          <w:b/>
          <w:lang w:eastAsia="pt-BR"/>
        </w:rPr>
      </w:pPr>
      <w:r w:rsidRPr="007B17E1">
        <w:rPr>
          <w:rFonts w:ascii="Garamond" w:hAnsi="Garamond"/>
          <w:b/>
          <w:lang w:eastAsia="pt-BR"/>
        </w:rPr>
        <w:t>Seção IV</w:t>
      </w:r>
    </w:p>
    <w:p w14:paraId="5029B9E0" w14:textId="77777777" w:rsidR="00395593" w:rsidRPr="007B17E1" w:rsidRDefault="00395593" w:rsidP="00EA0CC8">
      <w:pPr>
        <w:pStyle w:val="Corpodetexto"/>
        <w:jc w:val="center"/>
        <w:rPr>
          <w:rFonts w:ascii="Garamond" w:hAnsi="Garamond"/>
          <w:b/>
          <w:lang w:eastAsia="pt-BR"/>
        </w:rPr>
      </w:pPr>
      <w:r w:rsidRPr="007B17E1">
        <w:rPr>
          <w:rFonts w:ascii="Garamond" w:hAnsi="Garamond"/>
          <w:b/>
          <w:lang w:eastAsia="pt-BR"/>
        </w:rPr>
        <w:t>Do cálculo de certos tipos de subsídio</w:t>
      </w:r>
    </w:p>
    <w:p w14:paraId="6BCCB305" w14:textId="77777777" w:rsidR="00395593" w:rsidRPr="007B17E1" w:rsidRDefault="00395593" w:rsidP="007B17E1">
      <w:pPr>
        <w:pStyle w:val="Corpodetexto"/>
        <w:jc w:val="center"/>
        <w:rPr>
          <w:rFonts w:ascii="Garamond" w:eastAsia="Calibri" w:hAnsi="Garamond"/>
          <w:b/>
        </w:rPr>
      </w:pPr>
    </w:p>
    <w:p w14:paraId="26FCAF32" w14:textId="77777777" w:rsidR="00395593" w:rsidRPr="007B17E1" w:rsidRDefault="00395593" w:rsidP="00EA0CC8">
      <w:pPr>
        <w:pStyle w:val="Corpodetexto"/>
        <w:jc w:val="center"/>
        <w:rPr>
          <w:rFonts w:ascii="Garamond" w:eastAsia="MS Gothic" w:hAnsi="Garamond"/>
          <w:b/>
          <w:bCs/>
          <w:lang w:eastAsia="pt-BR"/>
        </w:rPr>
      </w:pPr>
      <w:r w:rsidRPr="007B17E1">
        <w:rPr>
          <w:rFonts w:ascii="Garamond" w:eastAsia="MS Gothic" w:hAnsi="Garamond"/>
          <w:b/>
          <w:bCs/>
          <w:lang w:eastAsia="pt-BR"/>
        </w:rPr>
        <w:t>Subseção I</w:t>
      </w:r>
    </w:p>
    <w:p w14:paraId="46D9C5B0" w14:textId="77777777" w:rsidR="00395593" w:rsidRPr="007B17E1" w:rsidRDefault="00395593" w:rsidP="00EA0CC8">
      <w:pPr>
        <w:pStyle w:val="Corpodetexto"/>
        <w:jc w:val="center"/>
        <w:rPr>
          <w:rFonts w:ascii="Garamond" w:eastAsia="MS Gothic" w:hAnsi="Garamond"/>
          <w:b/>
          <w:bCs/>
          <w:color w:val="000000"/>
          <w:lang w:eastAsia="pt-BR"/>
        </w:rPr>
      </w:pPr>
      <w:r w:rsidRPr="007B17E1">
        <w:rPr>
          <w:rFonts w:ascii="Garamond" w:eastAsia="MS Gothic" w:hAnsi="Garamond"/>
          <w:b/>
          <w:bCs/>
          <w:color w:val="000000"/>
          <w:lang w:eastAsia="pt-BR"/>
        </w:rPr>
        <w:t>Das doações</w:t>
      </w:r>
    </w:p>
    <w:p w14:paraId="2B81D771" w14:textId="77777777" w:rsidR="00395593" w:rsidRPr="005C5CBD" w:rsidRDefault="00395593" w:rsidP="00E15FBB">
      <w:pPr>
        <w:spacing w:after="0" w:line="240" w:lineRule="auto"/>
        <w:rPr>
          <w:rFonts w:ascii="Garamond" w:eastAsia="Calibri" w:hAnsi="Garamond" w:cs="Calibri"/>
          <w:sz w:val="24"/>
          <w:szCs w:val="24"/>
          <w:lang w:eastAsia="pt-BR"/>
        </w:rPr>
      </w:pPr>
    </w:p>
    <w:p w14:paraId="2F32D01C"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50. No caso de transferência direta de fundos sob a forma de doação, subvenção ou equivalente, a uma empresa investigada, a Subsecretaria de Defesa Comercial e Interesse Público normalmente considerará que o montante do benefício é o montante do valor recebido pela empresa.</w:t>
      </w:r>
    </w:p>
    <w:p w14:paraId="4B6695A4" w14:textId="77777777" w:rsidR="00395593" w:rsidRPr="005C5CBD" w:rsidRDefault="00395593" w:rsidP="006A735F">
      <w:pPr>
        <w:tabs>
          <w:tab w:val="left" w:pos="6230"/>
        </w:tabs>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b/>
      </w:r>
    </w:p>
    <w:p w14:paraId="39879BC1"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1º. Em regra, a Subsecretaria de Defesa Comercial e Interesse Público considerará que o benefício foi recebido na data em que a empresa investigada recebeu a doação, subvenção ou equivalente.</w:t>
      </w:r>
    </w:p>
    <w:p w14:paraId="226F1986" w14:textId="77777777" w:rsidR="00395593" w:rsidRPr="005C5CBD" w:rsidRDefault="00395593" w:rsidP="006A735F">
      <w:pPr>
        <w:spacing w:after="0" w:line="240" w:lineRule="auto"/>
        <w:ind w:firstLine="567"/>
        <w:jc w:val="both"/>
        <w:rPr>
          <w:rFonts w:ascii="Garamond" w:eastAsia="Calibri" w:hAnsi="Garamond" w:cs="Calibri"/>
          <w:sz w:val="24"/>
          <w:szCs w:val="24"/>
        </w:rPr>
      </w:pPr>
    </w:p>
    <w:p w14:paraId="1B32FE6D" w14:textId="5AC06EB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2º. Em regra, a Subsecretaria de Defesa Comercial e Interesse Público alocará o benefício conferido pela doação, subvenção ou equivalente ao período de tempo relativo a subsídios não recorrentes, nos termos do art. </w:t>
      </w:r>
      <w:r w:rsidR="00EE4713">
        <w:rPr>
          <w:rFonts w:ascii="Garamond" w:eastAsia="Calibri" w:hAnsi="Garamond" w:cs="Calibri"/>
          <w:sz w:val="24"/>
          <w:szCs w:val="24"/>
        </w:rPr>
        <w:t>35</w:t>
      </w:r>
      <w:r w:rsidR="00E15FBB" w:rsidRPr="005C5CBD">
        <w:rPr>
          <w:rFonts w:ascii="Garamond" w:eastAsia="Calibri" w:hAnsi="Garamond" w:cs="Calibri"/>
          <w:sz w:val="24"/>
          <w:szCs w:val="24"/>
        </w:rPr>
        <w:t xml:space="preserve">, salvo se o montante concedido for inferior ao parâmetro estabelecido no § 3º do art. </w:t>
      </w:r>
      <w:r w:rsidR="00EE4713">
        <w:rPr>
          <w:rFonts w:ascii="Garamond" w:eastAsia="Calibri" w:hAnsi="Garamond" w:cs="Calibri"/>
          <w:sz w:val="24"/>
          <w:szCs w:val="24"/>
        </w:rPr>
        <w:t>37</w:t>
      </w:r>
      <w:r w:rsidR="00E15FBB" w:rsidRPr="005C5CBD">
        <w:rPr>
          <w:rFonts w:ascii="Garamond" w:eastAsia="Calibri" w:hAnsi="Garamond" w:cs="Calibri"/>
          <w:sz w:val="24"/>
          <w:szCs w:val="24"/>
        </w:rPr>
        <w:t>.</w:t>
      </w:r>
    </w:p>
    <w:p w14:paraId="0E575FC9" w14:textId="77777777" w:rsidR="00395593" w:rsidRPr="005C5CBD" w:rsidRDefault="00395593" w:rsidP="006A735F">
      <w:pPr>
        <w:spacing w:after="0" w:line="240" w:lineRule="auto"/>
        <w:ind w:firstLine="567"/>
        <w:jc w:val="both"/>
        <w:rPr>
          <w:rFonts w:ascii="Garamond" w:eastAsia="Calibri" w:hAnsi="Garamond" w:cs="Calibri"/>
          <w:sz w:val="24"/>
          <w:szCs w:val="24"/>
        </w:rPr>
      </w:pPr>
    </w:p>
    <w:p w14:paraId="490260BC"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51. Subsídios relativos a taxas de juros serão tratados como doações quando o governo realizar pagamentos ou ressarcimentos de juros pagos pela empresa em empréstimos tomados.</w:t>
      </w:r>
    </w:p>
    <w:p w14:paraId="7B45E768" w14:textId="77777777" w:rsidR="00395593" w:rsidRPr="005C5CBD" w:rsidRDefault="00395593" w:rsidP="006A735F">
      <w:pPr>
        <w:spacing w:after="0" w:line="240" w:lineRule="auto"/>
        <w:ind w:firstLine="567"/>
        <w:jc w:val="both"/>
        <w:rPr>
          <w:rFonts w:ascii="Garamond" w:eastAsia="Calibri" w:hAnsi="Garamond" w:cs="Calibri"/>
          <w:sz w:val="24"/>
          <w:szCs w:val="24"/>
        </w:rPr>
      </w:pPr>
    </w:p>
    <w:p w14:paraId="43CB7C30"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O benefício será o valor dos juros poupados pela empresa beneficiada durante o período de investigação.</w:t>
      </w:r>
    </w:p>
    <w:p w14:paraId="70681D91" w14:textId="77777777" w:rsidR="00395593" w:rsidRPr="005C5CBD" w:rsidRDefault="00395593" w:rsidP="00E15FBB">
      <w:pPr>
        <w:spacing w:after="0" w:line="240" w:lineRule="auto"/>
        <w:jc w:val="both"/>
        <w:rPr>
          <w:rFonts w:ascii="Garamond" w:eastAsia="Calibri" w:hAnsi="Garamond" w:cs="Calibri"/>
          <w:sz w:val="24"/>
          <w:szCs w:val="24"/>
        </w:rPr>
      </w:pPr>
    </w:p>
    <w:p w14:paraId="65434599" w14:textId="77777777" w:rsidR="00395593" w:rsidRPr="007B17E1" w:rsidRDefault="00395593" w:rsidP="00EA0CC8">
      <w:pPr>
        <w:pStyle w:val="Corpodetexto"/>
        <w:jc w:val="center"/>
        <w:rPr>
          <w:rFonts w:ascii="Garamond" w:eastAsia="MS Gothic" w:hAnsi="Garamond"/>
          <w:b/>
          <w:lang w:eastAsia="pt-BR"/>
        </w:rPr>
      </w:pPr>
      <w:r w:rsidRPr="007B17E1">
        <w:rPr>
          <w:rFonts w:ascii="Garamond" w:eastAsia="MS Gothic" w:hAnsi="Garamond"/>
          <w:b/>
          <w:lang w:eastAsia="pt-BR"/>
        </w:rPr>
        <w:t>Subseção II</w:t>
      </w:r>
    </w:p>
    <w:p w14:paraId="60D1FD95" w14:textId="77777777" w:rsidR="00395593" w:rsidRPr="005C5CBD" w:rsidRDefault="00395593" w:rsidP="00EA0CC8">
      <w:pPr>
        <w:pStyle w:val="Corpodetexto"/>
        <w:jc w:val="center"/>
        <w:rPr>
          <w:rFonts w:eastAsia="MS Gothic"/>
          <w:lang w:eastAsia="pt-BR"/>
        </w:rPr>
      </w:pPr>
      <w:r w:rsidRPr="007B17E1">
        <w:rPr>
          <w:rFonts w:ascii="Garamond" w:eastAsia="MS Gothic" w:hAnsi="Garamond"/>
          <w:b/>
          <w:lang w:eastAsia="pt-BR"/>
        </w:rPr>
        <w:t>Dos empréstimos preferenciais</w:t>
      </w:r>
    </w:p>
    <w:p w14:paraId="72FA38C2" w14:textId="77777777" w:rsidR="00395593" w:rsidRPr="005C5CBD" w:rsidRDefault="00395593" w:rsidP="00E15FBB">
      <w:pPr>
        <w:spacing w:after="0" w:line="240" w:lineRule="auto"/>
        <w:jc w:val="both"/>
        <w:rPr>
          <w:rFonts w:ascii="Garamond" w:eastAsia="Calibri" w:hAnsi="Garamond" w:cs="Calibri"/>
          <w:sz w:val="24"/>
          <w:szCs w:val="24"/>
        </w:rPr>
      </w:pPr>
    </w:p>
    <w:p w14:paraId="04605F72"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Calibri" w:hAnsi="Garamond" w:cs="Calibri"/>
          <w:sz w:val="24"/>
          <w:szCs w:val="24"/>
          <w:bdr w:val="nil"/>
        </w:rPr>
        <w:t>Art. 52.</w:t>
      </w:r>
      <w:r w:rsidRPr="00395593">
        <w:rPr>
          <w:rFonts w:ascii="Garamond" w:hAnsi="Garamond" w:cstheme="minorHAnsi"/>
        </w:rPr>
        <w:t xml:space="preserve"> Na hipótese de empréstimo concedido por governo, órgão público, mecanismo de financiamento ou entidade privada instruída ou confiada pelo governo, para fins desta subseção denominado “empréstimo governamental”, a Subsecretaria de Defesa Comercial e Interesse Público, normalmente, calculará o montante do benefício com base na comparação entre os juros que a empresa investigada pagou ou pagaria no empréstimo governamental e os juros que normalmente pagaria em empréstimos comerciais comparáveis.</w:t>
      </w:r>
    </w:p>
    <w:p w14:paraId="003A3A5C"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54DD99C3"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 1º  A Subsecretaria de Defesa Comercial e Interesse Público determinará que o subsídio conferiu um benefício se os juros que a empresa investigada pagou ou pagaria no empréstimo governamental forem inferiores aos juros que a </w:t>
      </w:r>
      <w:r w:rsidRPr="00395593">
        <w:rPr>
          <w:rFonts w:ascii="Garamond" w:hAnsi="Garamond" w:cstheme="minorHAnsi"/>
        </w:rPr>
        <w:t>empresa teria pagado em empréstimos comerciais comparáveis que poderia normalmente ter obtido no mercado.</w:t>
      </w:r>
    </w:p>
    <w:p w14:paraId="5460AC7A"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1BC595FF"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2º  Para os fins desta Subseção, à expressão “empréstimos” equiparam-se títulos de dívida emitidos pela empresa investigada ou quaisquer outras for</w:t>
      </w:r>
      <w:r w:rsidRPr="00395593">
        <w:rPr>
          <w:rFonts w:ascii="Garamond" w:hAnsi="Garamond" w:cstheme="minorHAnsi"/>
        </w:rPr>
        <w:t>mas de obtenção de créditos.</w:t>
      </w:r>
    </w:p>
    <w:p w14:paraId="06180AAB"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635DE9FB"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3º  A expressão “empréstimos de curto prazo” englobará empréstimos com prazo de pagamento igual ou até um ano, enquanto a expressão “empréstimo de longo prazo” englobará empréstimos com prazo de pagamento acima de um ano.</w:t>
      </w:r>
    </w:p>
    <w:p w14:paraId="24E6344D" w14:textId="77777777" w:rsidR="00395593" w:rsidRPr="005C5CBD" w:rsidRDefault="00395593" w:rsidP="006A735F">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2E7139F4"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Calibri" w:hAnsi="Garamond" w:cs="Calibri"/>
          <w:sz w:val="24"/>
          <w:szCs w:val="24"/>
          <w:bdr w:val="nil"/>
        </w:rPr>
        <w:t>A</w:t>
      </w:r>
      <w:r w:rsidRPr="00395593">
        <w:rPr>
          <w:rFonts w:ascii="Garamond" w:eastAsia="Calibri" w:hAnsi="Garamond" w:cstheme="minorHAnsi"/>
        </w:rPr>
        <w:t xml:space="preserve">rt. 53. </w:t>
      </w:r>
      <w:r w:rsidRPr="00395593">
        <w:rPr>
          <w:rFonts w:ascii="Garamond" w:hAnsi="Garamond" w:cstheme="minorHAnsi"/>
        </w:rPr>
        <w:t xml:space="preserve">Para fins da comparação prevista no artigo anterior, normalmente a Subsecretaria de Defesa Comercial e Interesse Público utilizará como </w:t>
      </w:r>
      <w:r w:rsidRPr="00395593">
        <w:rPr>
          <w:rFonts w:ascii="Garamond" w:hAnsi="Garamond" w:cstheme="minorHAnsi"/>
          <w:b/>
        </w:rPr>
        <w:t>benchmark</w:t>
      </w:r>
      <w:r w:rsidRPr="00395593">
        <w:rPr>
          <w:rFonts w:ascii="Garamond" w:hAnsi="Garamond" w:cstheme="minorHAnsi"/>
        </w:rPr>
        <w:t>, na seguinte ordem:</w:t>
      </w:r>
    </w:p>
    <w:p w14:paraId="48C90029" w14:textId="77777777" w:rsidR="00395593" w:rsidRPr="005C5CBD" w:rsidRDefault="00395593" w:rsidP="00E15FBB">
      <w:pPr>
        <w:pBdr>
          <w:top w:val="nil"/>
          <w:left w:val="nil"/>
          <w:bottom w:val="nil"/>
          <w:right w:val="nil"/>
          <w:between w:val="nil"/>
          <w:bar w:val="nil"/>
        </w:pBdr>
        <w:spacing w:after="0" w:line="240" w:lineRule="auto"/>
        <w:jc w:val="both"/>
        <w:rPr>
          <w:rFonts w:ascii="Garamond" w:eastAsia="Arial Unicode MS" w:hAnsi="Garamond" w:cs="Calibri"/>
          <w:sz w:val="24"/>
          <w:szCs w:val="24"/>
          <w:bdr w:val="nil"/>
        </w:rPr>
      </w:pPr>
    </w:p>
    <w:p w14:paraId="6217F969"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 I - a taxa de juros comercial anual efetiva que a empresa investigada pagou ao obter empréstimos comercia</w:t>
      </w:r>
      <w:r w:rsidRPr="00395593">
        <w:rPr>
          <w:rFonts w:ascii="Garamond" w:hAnsi="Garamond" w:cstheme="minorHAnsi"/>
        </w:rPr>
        <w:t xml:space="preserve">is comparáveis </w:t>
      </w:r>
      <w:r w:rsidRPr="00395593">
        <w:t>​​</w:t>
      </w:r>
      <w:r w:rsidRPr="00395593">
        <w:rPr>
          <w:rFonts w:ascii="Garamond" w:hAnsi="Garamond" w:cstheme="minorHAnsi"/>
        </w:rPr>
        <w:t>junto a institui</w:t>
      </w:r>
      <w:r w:rsidRPr="00395593">
        <w:rPr>
          <w:rFonts w:ascii="Garamond" w:hAnsi="Garamond" w:cs="Garamond"/>
        </w:rPr>
        <w:t>çõ</w:t>
      </w:r>
      <w:r w:rsidRPr="00395593">
        <w:rPr>
          <w:rFonts w:ascii="Garamond" w:hAnsi="Garamond" w:cstheme="minorHAnsi"/>
        </w:rPr>
        <w:t xml:space="preserve">es financeiras; </w:t>
      </w:r>
    </w:p>
    <w:p w14:paraId="4CC82D27"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3678FC3F"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II - a taxa de juros que empresas em uma situação financeira similar à da empresa </w:t>
      </w:r>
      <w:r w:rsidRPr="00395593">
        <w:rPr>
          <w:rFonts w:ascii="Garamond" w:hAnsi="Garamond" w:cstheme="minorHAnsi"/>
        </w:rPr>
        <w:t>investigada no mesmo setor da economia pagaram em empréstimos comerciais comparáveis;</w:t>
      </w:r>
    </w:p>
    <w:p w14:paraId="5A71D6E0"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5C4D2EFB"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III - a taxa de juros que empresas em </w:t>
      </w:r>
      <w:r w:rsidRPr="00395593">
        <w:rPr>
          <w:rFonts w:ascii="Garamond" w:hAnsi="Garamond" w:cstheme="minorHAnsi"/>
        </w:rPr>
        <w:t>situação financeira similar àquela da empresa investigada em qualquer setor da economia pagaram em empréstimos comerciais comparáveis; e</w:t>
      </w:r>
    </w:p>
    <w:p w14:paraId="18104AB2"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440E5DA3"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IV - a taxa que a Subsecretaria de Defesa Comercial e Interesse Público considere mais apropriada de acordo com as </w:t>
      </w:r>
      <w:r w:rsidRPr="00395593">
        <w:rPr>
          <w:rFonts w:ascii="Garamond" w:hAnsi="Garamond" w:cstheme="minorHAnsi"/>
        </w:rPr>
        <w:t>circunstâncias do caso concreto em consideração.</w:t>
      </w:r>
    </w:p>
    <w:p w14:paraId="762B2149"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6FA8DD03" w14:textId="1DA587D0"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 1º No caso de empresas não consideradas como dignas de crédito (empresas </w:t>
      </w:r>
      <w:r w:rsidRPr="005C5CBD">
        <w:rPr>
          <w:rFonts w:ascii="Garamond" w:eastAsia="Arial Unicode MS" w:hAnsi="Garamond" w:cs="Calibri"/>
          <w:b/>
          <w:sz w:val="24"/>
          <w:szCs w:val="24"/>
          <w:bdr w:val="nil"/>
        </w:rPr>
        <w:t>uncreditworthy</w:t>
      </w:r>
      <w:r w:rsidRPr="005C5CBD">
        <w:rPr>
          <w:rFonts w:ascii="Garamond" w:eastAsia="Arial Unicode MS" w:hAnsi="Garamond" w:cs="Calibri"/>
          <w:sz w:val="24"/>
          <w:szCs w:val="24"/>
          <w:bdr w:val="nil"/>
        </w:rPr>
        <w:t xml:space="preserve">), consoante § 2º  do art. </w:t>
      </w:r>
      <w:r w:rsidR="002F579C">
        <w:rPr>
          <w:rFonts w:ascii="Garamond" w:eastAsia="Arial Unicode MS" w:hAnsi="Garamond" w:cs="Calibri"/>
          <w:sz w:val="24"/>
          <w:szCs w:val="24"/>
          <w:bdr w:val="nil"/>
        </w:rPr>
        <w:t>41</w:t>
      </w:r>
      <w:r w:rsidRPr="005C5CBD">
        <w:rPr>
          <w:rFonts w:ascii="Garamond" w:eastAsia="Arial Unicode MS" w:hAnsi="Garamond" w:cs="Calibri"/>
          <w:sz w:val="24"/>
          <w:szCs w:val="24"/>
          <w:bdr w:val="nil"/>
        </w:rPr>
        <w:t xml:space="preserve">, a Subsecretaria de Defesa Comercial e Interesse Público </w:t>
      </w:r>
      <w:r w:rsidRPr="00395593">
        <w:rPr>
          <w:rFonts w:ascii="Garamond" w:hAnsi="Garamond" w:cstheme="minorHAnsi"/>
        </w:rPr>
        <w:t xml:space="preserve">avaliará em cada caso a taxa de juros de </w:t>
      </w:r>
      <w:r w:rsidRPr="00395593">
        <w:rPr>
          <w:rFonts w:ascii="Garamond" w:hAnsi="Garamond" w:cstheme="minorHAnsi"/>
          <w:b/>
        </w:rPr>
        <w:t>benchmark</w:t>
      </w:r>
      <w:r w:rsidRPr="00395593">
        <w:rPr>
          <w:rFonts w:ascii="Garamond" w:hAnsi="Garamond" w:cstheme="minorHAnsi"/>
        </w:rPr>
        <w:t>, nos termos do inciso IV.</w:t>
      </w:r>
    </w:p>
    <w:p w14:paraId="3C33A0B8"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23A98A96"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 2º </w:t>
      </w:r>
      <w:r w:rsidRPr="005C5CBD">
        <w:rPr>
          <w:rFonts w:ascii="Garamond" w:eastAsia="Calibri" w:hAnsi="Garamond" w:cs="Calibri"/>
          <w:sz w:val="24"/>
          <w:szCs w:val="24"/>
          <w:lang w:eastAsia="pt-BR"/>
        </w:rPr>
        <w:t>A Subsecretaria de Defesa Comercial e Interesse Público poderá, em circunstâncias apropriadas, restringir a análise referida no parágrafo anterior a um projeto específico, e não a empresa como um todo.</w:t>
      </w:r>
    </w:p>
    <w:p w14:paraId="3A366ADE"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54AEA056" w14:textId="63D3BC2D"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3º A Subsecretaria de Defesa Comercial e Interesse Público poderá rejeitar taxas de juros praticadas no país exportador como </w:t>
      </w:r>
      <w:r w:rsidRPr="005C5CBD">
        <w:rPr>
          <w:rFonts w:ascii="Garamond" w:eastAsia="Calibri" w:hAnsi="Garamond" w:cs="Calibri"/>
          <w:b/>
          <w:bCs/>
          <w:sz w:val="24"/>
          <w:szCs w:val="24"/>
          <w:lang w:eastAsia="pt-BR"/>
        </w:rPr>
        <w:t>benchmark</w:t>
      </w:r>
      <w:r w:rsidRPr="005C5CBD">
        <w:rPr>
          <w:rFonts w:ascii="Garamond" w:eastAsia="Calibri" w:hAnsi="Garamond" w:cs="Calibri"/>
          <w:sz w:val="24"/>
          <w:szCs w:val="24"/>
          <w:lang w:eastAsia="pt-BR"/>
        </w:rPr>
        <w:t xml:space="preserve"> caso tais taxas sejam distorcidas em função da interferência do governo no sistema financeiro do país, sendo utilizado em tais casos um </w:t>
      </w:r>
      <w:r w:rsidRPr="005C5CBD">
        <w:rPr>
          <w:rFonts w:ascii="Garamond" w:eastAsia="Calibri" w:hAnsi="Garamond" w:cs="Calibri"/>
          <w:b/>
          <w:bCs/>
          <w:sz w:val="24"/>
          <w:szCs w:val="24"/>
          <w:lang w:eastAsia="pt-BR"/>
        </w:rPr>
        <w:t>benchmark</w:t>
      </w:r>
      <w:r w:rsidRPr="005C5CBD">
        <w:rPr>
          <w:rFonts w:ascii="Garamond" w:eastAsia="Calibri" w:hAnsi="Garamond" w:cs="Calibri"/>
          <w:sz w:val="24"/>
          <w:szCs w:val="24"/>
          <w:lang w:eastAsia="pt-BR"/>
        </w:rPr>
        <w:t xml:space="preserve"> externo, respeitado o § 6º do art. </w:t>
      </w:r>
      <w:r w:rsidR="00F91AF5">
        <w:rPr>
          <w:rFonts w:ascii="Garamond" w:eastAsia="Calibri" w:hAnsi="Garamond" w:cs="Calibri"/>
          <w:sz w:val="24"/>
          <w:szCs w:val="24"/>
          <w:lang w:eastAsia="pt-BR"/>
        </w:rPr>
        <w:t>25</w:t>
      </w:r>
      <w:r w:rsidRPr="005C5CBD">
        <w:rPr>
          <w:rFonts w:ascii="Garamond" w:eastAsia="Calibri" w:hAnsi="Garamond" w:cs="Calibri"/>
          <w:sz w:val="24"/>
          <w:szCs w:val="24"/>
          <w:lang w:eastAsia="pt-BR"/>
        </w:rPr>
        <w:t>.</w:t>
      </w:r>
    </w:p>
    <w:p w14:paraId="4A49ED57"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1123043D"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Calibri" w:hAnsi="Garamond" w:cs="Calibri"/>
          <w:sz w:val="24"/>
          <w:szCs w:val="24"/>
          <w:bdr w:val="nil"/>
        </w:rPr>
        <w:t>Art. 54.</w:t>
      </w:r>
      <w:r w:rsidRPr="00395593">
        <w:rPr>
          <w:rFonts w:ascii="Garamond" w:hAnsi="Garamond" w:cstheme="minorHAnsi"/>
        </w:rPr>
        <w:t xml:space="preserve"> Na consideração do empréstimo comercial comparável, a Subsecretaria de Defesa Comercial e Interesse Público, normalmente, utilizará taxas de juros efetivas em detrimento das taxas de juros nominais. </w:t>
      </w:r>
    </w:p>
    <w:p w14:paraId="076665A4"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7E55F102"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§1º Taxas de juros efetivas, no sentido do </w:t>
      </w:r>
      <w:r w:rsidRPr="00395593">
        <w:rPr>
          <w:rFonts w:ascii="Garamond" w:hAnsi="Garamond" w:cstheme="minorHAnsi"/>
          <w:b/>
        </w:rPr>
        <w:t>caput</w:t>
      </w:r>
      <w:r w:rsidRPr="00395593">
        <w:rPr>
          <w:rFonts w:ascii="Garamond" w:hAnsi="Garamond" w:cstheme="minorHAnsi"/>
        </w:rPr>
        <w:t>, deverão incluir quaisquer outras taxas, comissões e encargos existentes, de modo a refletir o custo real do empréstimo.</w:t>
      </w:r>
    </w:p>
    <w:p w14:paraId="420BCEEA"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5A0DC424"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§2º Para fins da comparação prevista no parágrafo anterior, a Subsecretaria de Defesa Comercial e Interesse Público levará em consideração indicadores da situação econômica no país exportador, incluindo a taxa de inflação, e a situação eco</w:t>
      </w:r>
      <w:r w:rsidRPr="00395593">
        <w:rPr>
          <w:rFonts w:ascii="Garamond" w:hAnsi="Garamond" w:cstheme="minorHAnsi"/>
        </w:rPr>
        <w:t>nômico-financeira da empresa investigada existente no momento em que o empréstimo foi obtido.</w:t>
      </w:r>
    </w:p>
    <w:p w14:paraId="5D2A90D0"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45025F71"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Calibri" w:hAnsi="Garamond" w:cs="Calibri"/>
          <w:sz w:val="24"/>
          <w:szCs w:val="24"/>
          <w:bdr w:val="nil"/>
        </w:rPr>
        <w:t xml:space="preserve">Art. 55. </w:t>
      </w:r>
      <w:r w:rsidRPr="00395593">
        <w:rPr>
          <w:rFonts w:ascii="Garamond" w:hAnsi="Garamond" w:cstheme="minorHAnsi"/>
        </w:rPr>
        <w:t xml:space="preserve">Ao selecionar um empréstimo comercial que seja comparável ao empréstimo governamental, a Subsecretaria de Defesa Comercial e Interesse Público, normalmente, considerará os seguintes aspectos, dentre outros: </w:t>
      </w:r>
    </w:p>
    <w:p w14:paraId="071450C4"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316B1318"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I – a estrutura dos empréstimos, se taxa de juros fixa ou variável;</w:t>
      </w:r>
    </w:p>
    <w:p w14:paraId="73C859C8"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6829343B"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II – o prazo de vencimento dos empréstimos, se de curto ou longo prazo; e </w:t>
      </w:r>
    </w:p>
    <w:p w14:paraId="0FC5AEE7"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2DD383E0"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III – a moeda em que os empréstimos são concedidos. </w:t>
      </w:r>
    </w:p>
    <w:p w14:paraId="2676E572"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3A4CFB50"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1º Pa</w:t>
      </w:r>
      <w:r w:rsidRPr="00395593">
        <w:rPr>
          <w:rFonts w:ascii="Garamond" w:hAnsi="Garamond" w:cstheme="minorHAnsi"/>
        </w:rPr>
        <w:t xml:space="preserve">ra fins da seleção prevista no </w:t>
      </w:r>
      <w:r w:rsidRPr="00395593">
        <w:rPr>
          <w:rFonts w:ascii="Garamond" w:hAnsi="Garamond" w:cstheme="minorHAnsi"/>
          <w:b/>
        </w:rPr>
        <w:t>caput</w:t>
      </w:r>
      <w:r w:rsidRPr="00395593">
        <w:rPr>
          <w:rFonts w:ascii="Garamond" w:hAnsi="Garamond" w:cstheme="minorHAnsi"/>
        </w:rPr>
        <w:t xml:space="preserve"> deste artigo, a Subsecretaria de Defesa Comercial e Interesse Público normalmente irá considerar um período de pagamento similar àquele que a empresa investigada teria obtido em empréstimos comerciais comparáveis </w:t>
      </w:r>
      <w:r w:rsidRPr="00395593">
        <w:t>​​</w:t>
      </w:r>
      <w:r w:rsidRPr="00395593">
        <w:rPr>
          <w:rFonts w:ascii="Garamond" w:hAnsi="Garamond" w:cstheme="minorHAnsi"/>
        </w:rPr>
        <w:t>junto a institui</w:t>
      </w:r>
      <w:r w:rsidRPr="00395593">
        <w:rPr>
          <w:rFonts w:ascii="Garamond" w:hAnsi="Garamond" w:cs="Garamond"/>
        </w:rPr>
        <w:t>çõ</w:t>
      </w:r>
      <w:r w:rsidRPr="00395593">
        <w:rPr>
          <w:rFonts w:ascii="Garamond" w:hAnsi="Garamond" w:cstheme="minorHAnsi"/>
        </w:rPr>
        <w:t>es financeiras.</w:t>
      </w:r>
    </w:p>
    <w:p w14:paraId="36520F0B" w14:textId="77777777" w:rsidR="00395593" w:rsidRPr="005C5CBD" w:rsidRDefault="00395593" w:rsidP="00E15FBB">
      <w:pPr>
        <w:pBdr>
          <w:top w:val="nil"/>
          <w:left w:val="nil"/>
          <w:bottom w:val="nil"/>
          <w:right w:val="nil"/>
          <w:between w:val="nil"/>
          <w:bar w:val="nil"/>
        </w:pBdr>
        <w:spacing w:after="0" w:line="240" w:lineRule="auto"/>
        <w:jc w:val="both"/>
        <w:rPr>
          <w:rFonts w:ascii="Garamond" w:eastAsia="Arial Unicode MS" w:hAnsi="Garamond" w:cs="Calibri"/>
          <w:sz w:val="24"/>
          <w:szCs w:val="24"/>
          <w:bdr w:val="nil"/>
        </w:rPr>
      </w:pPr>
    </w:p>
    <w:p w14:paraId="0517F0D1"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 2º Para fins da seleção prevista no </w:t>
      </w:r>
      <w:r w:rsidRPr="00395593">
        <w:rPr>
          <w:rFonts w:ascii="Garamond" w:hAnsi="Garamond" w:cstheme="minorHAnsi"/>
          <w:b/>
        </w:rPr>
        <w:t>caput</w:t>
      </w:r>
      <w:r w:rsidRPr="00395593">
        <w:rPr>
          <w:rFonts w:ascii="Garamond" w:hAnsi="Garamond" w:cstheme="minorHAnsi"/>
        </w:rPr>
        <w:t xml:space="preserve"> deste artigo, caberá à empresa investigada apresentar informações relativas a empréstimos comerciais comparáveis </w:t>
      </w:r>
      <w:r w:rsidRPr="00395593">
        <w:t>​​</w:t>
      </w:r>
      <w:r w:rsidRPr="00395593">
        <w:rPr>
          <w:rFonts w:ascii="Garamond" w:hAnsi="Garamond" w:cstheme="minorHAnsi"/>
        </w:rPr>
        <w:t xml:space="preserve"> de curto e longo prazo obtidos no per</w:t>
      </w:r>
      <w:r w:rsidRPr="00395593">
        <w:rPr>
          <w:rFonts w:ascii="Garamond" w:hAnsi="Garamond" w:cs="Garamond"/>
        </w:rPr>
        <w:t>í</w:t>
      </w:r>
      <w:r w:rsidRPr="00395593">
        <w:rPr>
          <w:rFonts w:ascii="Garamond" w:hAnsi="Garamond" w:cstheme="minorHAnsi"/>
        </w:rPr>
        <w:t>odo em que o empr</w:t>
      </w:r>
      <w:r w:rsidRPr="00395593">
        <w:rPr>
          <w:rFonts w:ascii="Garamond" w:hAnsi="Garamond" w:cs="Garamond"/>
        </w:rPr>
        <w:t>é</w:t>
      </w:r>
      <w:r w:rsidRPr="00395593">
        <w:rPr>
          <w:rFonts w:ascii="Garamond" w:hAnsi="Garamond" w:cstheme="minorHAnsi"/>
        </w:rPr>
        <w:t>stimo governamental foi obtido.</w:t>
      </w:r>
    </w:p>
    <w:p w14:paraId="027E30E9"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3E2709DA" w14:textId="15F25628"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r w:rsidRPr="005C5CBD">
        <w:rPr>
          <w:rFonts w:ascii="Garamond" w:eastAsia="Arial Unicode MS" w:hAnsi="Garamond" w:cs="Calibri"/>
          <w:sz w:val="24"/>
          <w:szCs w:val="24"/>
          <w:bdr w:val="nil"/>
        </w:rPr>
        <w:t xml:space="preserve">§ 3º  Caso necessário, para tornar comparáveis empréstimos de longo prazo com diferentes sistemas de amortização, prazos de vencimento, prazos de carência ou cronogramas de </w:t>
      </w:r>
      <w:r w:rsidRPr="005C5CBD" w:rsidDel="007209D8">
        <w:rPr>
          <w:rFonts w:ascii="Garamond" w:eastAsia="Arial Unicode MS" w:hAnsi="Garamond" w:cs="Calibri"/>
          <w:sz w:val="24"/>
          <w:szCs w:val="24"/>
          <w:bdr w:val="nil"/>
        </w:rPr>
        <w:t>pagamento</w:t>
      </w:r>
      <w:r w:rsidRPr="005C5CBD" w:rsidDel="001D32AE">
        <w:rPr>
          <w:rFonts w:ascii="Garamond" w:eastAsia="Arial Unicode MS" w:hAnsi="Garamond" w:cs="Calibri"/>
          <w:sz w:val="24"/>
          <w:szCs w:val="24"/>
          <w:bdr w:val="nil"/>
        </w:rPr>
        <w:t>,</w:t>
      </w:r>
      <w:r w:rsidRPr="005C5CBD">
        <w:rPr>
          <w:rFonts w:ascii="Garamond" w:eastAsia="Arial Unicode MS" w:hAnsi="Garamond" w:cs="Calibri"/>
          <w:sz w:val="24"/>
          <w:szCs w:val="24"/>
          <w:bdr w:val="nil"/>
        </w:rPr>
        <w:t xml:space="preserve"> a Subsecretaria de Defesa Comercial e Interesse Público poderá tratar tais empréstimos como não recorrentes, nos termos do art. </w:t>
      </w:r>
      <w:r w:rsidR="00BD507C">
        <w:rPr>
          <w:rFonts w:ascii="Garamond" w:eastAsia="Arial Unicode MS" w:hAnsi="Garamond" w:cs="Calibri"/>
          <w:sz w:val="24"/>
          <w:szCs w:val="24"/>
          <w:bdr w:val="nil"/>
        </w:rPr>
        <w:t>59</w:t>
      </w:r>
      <w:r w:rsidR="00E15FBB" w:rsidRPr="005C5CBD">
        <w:rPr>
          <w:rFonts w:ascii="Garamond" w:eastAsia="Arial Unicode MS" w:hAnsi="Garamond" w:cs="Calibri"/>
          <w:sz w:val="24"/>
          <w:szCs w:val="24"/>
          <w:bdr w:val="nil"/>
        </w:rPr>
        <w:t>.</w:t>
      </w:r>
    </w:p>
    <w:p w14:paraId="7AB1B44E"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0E5F0974"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 </w:t>
      </w:r>
      <w:r w:rsidRPr="00395593">
        <w:rPr>
          <w:rFonts w:ascii="Garamond" w:eastAsia="Calibri" w:hAnsi="Garamond" w:cstheme="minorHAnsi"/>
        </w:rPr>
        <w:t xml:space="preserve">Art. 56. </w:t>
      </w:r>
      <w:r w:rsidRPr="00395593">
        <w:rPr>
          <w:rFonts w:ascii="Garamond" w:hAnsi="Garamond" w:cstheme="minorHAnsi"/>
        </w:rPr>
        <w:t xml:space="preserve">A Subsecretaria de Defesa Comercial e Interesse Público poderá considerar empréstimos obtidos junto a um banco estatal como empréstimos comerciais. </w:t>
      </w:r>
    </w:p>
    <w:p w14:paraId="6EFA5704"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14E93748"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Parágrafo único. Na hipótese prevista no </w:t>
      </w:r>
      <w:r w:rsidRPr="00395593">
        <w:rPr>
          <w:rFonts w:ascii="Garamond" w:hAnsi="Garamond" w:cstheme="minorHAnsi"/>
          <w:b/>
        </w:rPr>
        <w:t>caput</w:t>
      </w:r>
      <w:r w:rsidRPr="00395593">
        <w:rPr>
          <w:rFonts w:ascii="Garamond" w:hAnsi="Garamond" w:cstheme="minorHAnsi"/>
        </w:rPr>
        <w:t xml:space="preserve"> deste artigo, a Subsecretaria de Defesa Comercial e Interesse Público deverá examinar as evidências disponíveis para determinar se o empréstimo obtido junto a um banco estatal foi concedido em termos não comerciais, de acordo com qualquer direção do governo ou com objetivos de políticas públicas. </w:t>
      </w:r>
    </w:p>
    <w:p w14:paraId="51FA7E53"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11CD26B3"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Calibri" w:hAnsi="Garamond" w:cs="Calibri"/>
          <w:sz w:val="24"/>
          <w:szCs w:val="24"/>
          <w:bdr w:val="nil"/>
        </w:rPr>
        <w:t xml:space="preserve">Art. 57. </w:t>
      </w:r>
      <w:r w:rsidRPr="00395593">
        <w:rPr>
          <w:rFonts w:ascii="Garamond" w:hAnsi="Garamond" w:cstheme="minorHAnsi"/>
        </w:rPr>
        <w:t xml:space="preserve">Se parte ou a totalidade </w:t>
      </w:r>
      <w:r w:rsidRPr="00395593" w:rsidDel="00CF6323">
        <w:rPr>
          <w:rFonts w:ascii="Garamond" w:hAnsi="Garamond" w:cstheme="minorHAnsi"/>
        </w:rPr>
        <w:t>d</w:t>
      </w:r>
      <w:r w:rsidRPr="00395593">
        <w:rPr>
          <w:rFonts w:ascii="Garamond" w:hAnsi="Garamond" w:cstheme="minorHAnsi"/>
        </w:rPr>
        <w:t xml:space="preserve">o empréstimo governamental </w:t>
      </w:r>
      <w:r w:rsidRPr="00395593" w:rsidDel="00CF6323">
        <w:rPr>
          <w:rFonts w:ascii="Garamond" w:hAnsi="Garamond" w:cstheme="minorHAnsi"/>
        </w:rPr>
        <w:t>f</w:t>
      </w:r>
      <w:r w:rsidRPr="00395593">
        <w:rPr>
          <w:rFonts w:ascii="Garamond" w:hAnsi="Garamond" w:cstheme="minorHAnsi"/>
        </w:rPr>
        <w:t>or perdoado, ou não for adequadamente quitado nos termos previstos, a Subsecretaria de Defesa Comercial e Interesse Público, normalmente, considerará o valor pendente como doação para fins de cálculo do benefício, nos termos da Subseção I, da Seção IV deste Capítulo.</w:t>
      </w:r>
    </w:p>
    <w:p w14:paraId="06524DC3"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1E7DF62D"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 1º  Na hipótese do </w:t>
      </w:r>
      <w:r w:rsidRPr="00395593">
        <w:rPr>
          <w:rFonts w:ascii="Garamond" w:hAnsi="Garamond" w:cstheme="minorHAnsi"/>
          <w:b/>
        </w:rPr>
        <w:t>caput</w:t>
      </w:r>
      <w:r w:rsidRPr="00395593">
        <w:rPr>
          <w:rFonts w:ascii="Garamond" w:hAnsi="Garamond" w:cstheme="minorHAnsi"/>
        </w:rPr>
        <w:t xml:space="preserve">, a Subsecretaria de Defesa Comercial e Interesse Público normalmente considerará que o benefício foi recebido no ano em que o montante perdoado ou não quitado seria devido. </w:t>
      </w:r>
    </w:p>
    <w:p w14:paraId="6159E8FF"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514C77DF"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 2º  Na hipótese de o empréstimo referido no </w:t>
      </w:r>
      <w:r w:rsidRPr="00395593">
        <w:rPr>
          <w:rFonts w:ascii="Garamond" w:hAnsi="Garamond" w:cstheme="minorHAnsi"/>
          <w:b/>
        </w:rPr>
        <w:t>caput</w:t>
      </w:r>
      <w:r w:rsidRPr="00395593">
        <w:rPr>
          <w:rFonts w:ascii="Garamond" w:hAnsi="Garamond" w:cstheme="minorHAnsi"/>
        </w:rPr>
        <w:t xml:space="preserve"> ser coberto por garantia executada, não será considerado que houve perdão do empréstimo. </w:t>
      </w:r>
    </w:p>
    <w:p w14:paraId="7D9F7BCD"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6A5D66D9" w14:textId="2805CC53"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58.</w:t>
      </w:r>
      <w:r w:rsidRPr="005C5CBD" w:rsidDel="008B2497">
        <w:rPr>
          <w:rFonts w:ascii="Garamond" w:eastAsia="Calibri" w:hAnsi="Garamond" w:cs="Calibri"/>
          <w:sz w:val="24"/>
          <w:szCs w:val="24"/>
          <w:lang w:eastAsia="pt-BR"/>
        </w:rPr>
        <w:t xml:space="preserve"> </w:t>
      </w:r>
      <w:r w:rsidRPr="005C5CBD">
        <w:rPr>
          <w:rFonts w:ascii="Garamond" w:eastAsia="Times New Roman" w:hAnsi="Garamond" w:cs="Calibri"/>
          <w:sz w:val="24"/>
          <w:szCs w:val="24"/>
          <w:lang w:eastAsia="pt-BR"/>
        </w:rPr>
        <w:t>Para empréstimos de curto prazo e empréstimos de longo prazo com taxas de juros fixas ou variáveis, a Subsecretaria de Defesa Comercial e Interesse Público normalmente atribuirá o benefício ao ano em que a empresa investigada realizou</w:t>
      </w:r>
      <w:r w:rsidRPr="005C5CBD">
        <w:rPr>
          <w:rFonts w:ascii="Garamond" w:eastAsia="Times New Roman" w:hAnsi="Garamond" w:cs="Calibri"/>
          <w:i/>
          <w:sz w:val="24"/>
          <w:szCs w:val="24"/>
          <w:lang w:eastAsia="pt-BR"/>
        </w:rPr>
        <w:t xml:space="preserve"> </w:t>
      </w:r>
      <w:r w:rsidRPr="005C5CBD">
        <w:rPr>
          <w:rFonts w:ascii="Garamond" w:eastAsia="Times New Roman" w:hAnsi="Garamond" w:cs="Calibri"/>
          <w:sz w:val="24"/>
          <w:szCs w:val="24"/>
          <w:lang w:eastAsia="pt-BR"/>
        </w:rPr>
        <w:t xml:space="preserve">o pagamento de juros do empréstimo, ressalvada a hipótese descrita no § 3º do art. </w:t>
      </w:r>
      <w:r w:rsidR="00BD507C">
        <w:rPr>
          <w:rFonts w:ascii="Garamond" w:eastAsia="Times New Roman" w:hAnsi="Garamond" w:cs="Calibri"/>
          <w:sz w:val="24"/>
          <w:szCs w:val="24"/>
          <w:lang w:eastAsia="pt-BR"/>
        </w:rPr>
        <w:t>55</w:t>
      </w:r>
      <w:r w:rsidR="00E15FBB" w:rsidRPr="005C5CBD">
        <w:rPr>
          <w:rFonts w:ascii="Garamond" w:eastAsia="Times New Roman" w:hAnsi="Garamond" w:cs="Calibri"/>
          <w:sz w:val="24"/>
          <w:szCs w:val="24"/>
          <w:lang w:eastAsia="pt-BR"/>
        </w:rPr>
        <w:t>.</w:t>
      </w:r>
    </w:p>
    <w:p w14:paraId="1C3F8AF2"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4CC21FE8"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Calibri" w:hAnsi="Garamond" w:cs="Calibri"/>
          <w:sz w:val="24"/>
          <w:szCs w:val="24"/>
          <w:bdr w:val="nil"/>
        </w:rPr>
        <w:t>Art. 59.</w:t>
      </w:r>
      <w:r w:rsidRPr="00395593" w:rsidDel="008B2497">
        <w:rPr>
          <w:rFonts w:ascii="Garamond" w:hAnsi="Garamond" w:cstheme="minorHAnsi"/>
        </w:rPr>
        <w:t xml:space="preserve"> </w:t>
      </w:r>
      <w:r w:rsidRPr="00395593">
        <w:rPr>
          <w:rFonts w:ascii="Garamond" w:hAnsi="Garamond" w:cstheme="minorHAnsi"/>
        </w:rPr>
        <w:t>Caso os empréstimos governamentais de longo prazo tenham diferentes sistemas de amortização, prazos de vencimento, prazos de carência ou cronogramas de pagamento em relação aos empréstimos comerciais comparáveis, a Subsecretaria de Defesa Comercial e Interesse Público poderá ajustar aqueles empréstimos governamentais para valor presente e tratá-los como subsídios não recorrentes.</w:t>
      </w:r>
    </w:p>
    <w:p w14:paraId="4E4EF7C0"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46834CE1"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Parágrafo único. O valor presente será calculado em relação ao ano em que começariam os pagamentos do empréstimo comercial comparável, podendo ser o prazo de pagamento deste considerado como o período de alocação, a </w:t>
      </w:r>
      <w:r w:rsidRPr="00395593">
        <w:rPr>
          <w:rFonts w:ascii="Garamond" w:hAnsi="Garamond" w:cstheme="minorHAnsi"/>
        </w:rPr>
        <w:t xml:space="preserve">critério da Subsecretaria de Defesa Comercial e Interesse Público. </w:t>
      </w:r>
    </w:p>
    <w:p w14:paraId="36291C32"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622B7670"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Calibri" w:hAnsi="Garamond" w:cs="Calibri"/>
          <w:sz w:val="24"/>
          <w:szCs w:val="24"/>
          <w:bdr w:val="nil"/>
        </w:rPr>
        <w:t>Art. 60.</w:t>
      </w:r>
      <w:r w:rsidRPr="00395593" w:rsidDel="00AF6761">
        <w:rPr>
          <w:rFonts w:ascii="Garamond" w:hAnsi="Garamond" w:cstheme="minorHAnsi"/>
        </w:rPr>
        <w:t xml:space="preserve"> </w:t>
      </w:r>
      <w:r w:rsidRPr="00395593">
        <w:rPr>
          <w:rFonts w:ascii="Garamond" w:hAnsi="Garamond" w:cstheme="minorHAnsi"/>
        </w:rPr>
        <w:t xml:space="preserve">No caso de empréstimos governamentais sem juros em que a obrigação de pagamento da empresa estiver condicionada à adoção de determinada ação futura, à consecução de algum objetivo ou a outro tipo de evento estabelecido nos termos e condições do empréstimo, a Subsecretaria de Defesa Comercial e Interesse Público normalmente considerará o saldo pendente do empréstimo em um determinado ano como um empréstimo de curto prazo sem juros. </w:t>
      </w:r>
    </w:p>
    <w:p w14:paraId="386BA372" w14:textId="77777777" w:rsidR="00395593" w:rsidRPr="005C5CBD" w:rsidRDefault="00395593" w:rsidP="006A735F">
      <w:pPr>
        <w:pBdr>
          <w:top w:val="nil"/>
          <w:left w:val="nil"/>
          <w:bottom w:val="nil"/>
          <w:right w:val="nil"/>
          <w:between w:val="nil"/>
          <w:bar w:val="nil"/>
        </w:pBdr>
        <w:spacing w:after="0" w:line="240" w:lineRule="auto"/>
        <w:ind w:firstLine="567"/>
        <w:jc w:val="both"/>
        <w:rPr>
          <w:rFonts w:ascii="Garamond" w:eastAsia="Arial Unicode MS" w:hAnsi="Garamond" w:cs="Calibri"/>
          <w:sz w:val="24"/>
          <w:szCs w:val="24"/>
          <w:bdr w:val="nil"/>
        </w:rPr>
      </w:pPr>
    </w:p>
    <w:p w14:paraId="146A1074"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§1º Se a Sub</w:t>
      </w:r>
      <w:r w:rsidRPr="00395593">
        <w:rPr>
          <w:rFonts w:ascii="Garamond" w:hAnsi="Garamond" w:cstheme="minorHAnsi"/>
        </w:rPr>
        <w:t>secretaria de Defesa Comercial e Interesse Público determinar que as condições</w:t>
      </w:r>
      <w:r w:rsidRPr="00395593" w:rsidDel="002A1B62">
        <w:rPr>
          <w:rFonts w:ascii="Garamond" w:hAnsi="Garamond" w:cstheme="minorHAnsi"/>
        </w:rPr>
        <w:t xml:space="preserve"> </w:t>
      </w:r>
      <w:r w:rsidRPr="00395593">
        <w:rPr>
          <w:rFonts w:ascii="Garamond" w:hAnsi="Garamond" w:cstheme="minorHAnsi"/>
        </w:rPr>
        <w:t xml:space="preserve">mencionadas no </w:t>
      </w:r>
      <w:r w:rsidRPr="00395593">
        <w:rPr>
          <w:rFonts w:ascii="Garamond" w:hAnsi="Garamond" w:cstheme="minorHAnsi"/>
          <w:b/>
        </w:rPr>
        <w:t>caput</w:t>
      </w:r>
      <w:r w:rsidRPr="00395593">
        <w:rPr>
          <w:rFonts w:ascii="Garamond" w:hAnsi="Garamond" w:cstheme="minorHAnsi"/>
        </w:rPr>
        <w:t xml:space="preserve"> não são eventos viáveis, a Subsecretaria de Defesa Comercial e Interesse Público poderá tratar o saldo pendente do empréstimo governamental como uma doação.</w:t>
      </w:r>
    </w:p>
    <w:p w14:paraId="4405E2EB" w14:textId="77777777" w:rsidR="00395593" w:rsidRPr="005C5CBD" w:rsidRDefault="00395593" w:rsidP="00E15FBB">
      <w:pPr>
        <w:pBdr>
          <w:top w:val="nil"/>
          <w:left w:val="nil"/>
          <w:bottom w:val="nil"/>
          <w:right w:val="nil"/>
          <w:between w:val="nil"/>
          <w:bar w:val="nil"/>
        </w:pBdr>
        <w:spacing w:after="0" w:line="240" w:lineRule="auto"/>
        <w:jc w:val="both"/>
        <w:rPr>
          <w:rFonts w:ascii="Garamond" w:eastAsia="Arial Unicode MS" w:hAnsi="Garamond" w:cs="Calibri"/>
          <w:sz w:val="24"/>
          <w:szCs w:val="24"/>
          <w:bdr w:val="nil"/>
        </w:rPr>
      </w:pPr>
    </w:p>
    <w:p w14:paraId="30DF34BA" w14:textId="77777777" w:rsidR="00395593" w:rsidRPr="00395593" w:rsidRDefault="00395593" w:rsidP="006A735F">
      <w:pPr>
        <w:pBdr>
          <w:top w:val="nil"/>
          <w:left w:val="nil"/>
          <w:bottom w:val="nil"/>
          <w:right w:val="nil"/>
          <w:between w:val="nil"/>
          <w:bar w:val="nil"/>
        </w:pBdr>
        <w:spacing w:after="0" w:line="240" w:lineRule="auto"/>
        <w:ind w:firstLine="567"/>
        <w:jc w:val="both"/>
        <w:rPr>
          <w:rFonts w:ascii="Garamond" w:hAnsi="Garamond" w:cstheme="minorHAnsi"/>
        </w:rPr>
      </w:pPr>
      <w:r w:rsidRPr="005C5CBD">
        <w:rPr>
          <w:rFonts w:ascii="Garamond" w:eastAsia="Arial Unicode MS" w:hAnsi="Garamond" w:cs="Calibri"/>
          <w:sz w:val="24"/>
          <w:szCs w:val="24"/>
          <w:bdr w:val="nil"/>
        </w:rPr>
        <w:t xml:space="preserve">§2º Se as condições mencionadas no </w:t>
      </w:r>
      <w:r w:rsidRPr="00395593">
        <w:rPr>
          <w:rFonts w:ascii="Garamond" w:hAnsi="Garamond" w:cstheme="minorHAnsi"/>
          <w:b/>
          <w:bCs/>
        </w:rPr>
        <w:t>caput</w:t>
      </w:r>
      <w:r w:rsidRPr="00395593">
        <w:rPr>
          <w:rFonts w:ascii="Garamond" w:hAnsi="Garamond" w:cstheme="minorHAnsi"/>
        </w:rPr>
        <w:t xml:space="preserve"> ocorrerem após o período de um ano do recebimento do empréstimo sem juros, a Subsecretaria de Defesa Comercial e Interesse Público normalmente utilizará uma taxa de juro de longo prazo como </w:t>
      </w:r>
      <w:r w:rsidRPr="00395593">
        <w:rPr>
          <w:rFonts w:ascii="Garamond" w:hAnsi="Garamond" w:cstheme="minorHAnsi"/>
          <w:b/>
        </w:rPr>
        <w:t>benchmark</w:t>
      </w:r>
      <w:r w:rsidRPr="00395593">
        <w:rPr>
          <w:rFonts w:ascii="Garamond" w:hAnsi="Garamond" w:cstheme="minorHAnsi"/>
        </w:rPr>
        <w:t xml:space="preserve">. </w:t>
      </w:r>
    </w:p>
    <w:p w14:paraId="7DF697DC" w14:textId="77777777" w:rsidR="00395593" w:rsidRPr="005C5CBD" w:rsidRDefault="00395593" w:rsidP="00E15FBB">
      <w:pPr>
        <w:pBdr>
          <w:top w:val="nil"/>
          <w:left w:val="nil"/>
          <w:bottom w:val="nil"/>
          <w:right w:val="nil"/>
          <w:between w:val="nil"/>
          <w:bar w:val="nil"/>
        </w:pBdr>
        <w:spacing w:after="0" w:line="240" w:lineRule="auto"/>
        <w:jc w:val="both"/>
        <w:rPr>
          <w:rFonts w:ascii="Garamond" w:eastAsia="Arial Unicode MS" w:hAnsi="Garamond" w:cs="Calibri"/>
          <w:sz w:val="24"/>
          <w:szCs w:val="24"/>
          <w:bdr w:val="nil"/>
        </w:rPr>
      </w:pPr>
    </w:p>
    <w:p w14:paraId="782CE062" w14:textId="77777777" w:rsidR="00395593" w:rsidRPr="007B17E1" w:rsidRDefault="00395593" w:rsidP="00EA0CC8">
      <w:pPr>
        <w:pStyle w:val="Corpodetexto"/>
        <w:jc w:val="center"/>
        <w:rPr>
          <w:rFonts w:ascii="Garamond" w:eastAsia="MS Gothic" w:hAnsi="Garamond"/>
          <w:b/>
          <w:lang w:eastAsia="pt-BR"/>
        </w:rPr>
      </w:pPr>
      <w:r w:rsidRPr="007B17E1">
        <w:rPr>
          <w:rFonts w:ascii="Garamond" w:eastAsia="MS Gothic" w:hAnsi="Garamond"/>
          <w:b/>
          <w:lang w:eastAsia="pt-BR"/>
        </w:rPr>
        <w:t>Subseção III</w:t>
      </w:r>
    </w:p>
    <w:p w14:paraId="6CA90D67" w14:textId="77777777" w:rsidR="00395593" w:rsidRPr="007B17E1" w:rsidRDefault="00395593" w:rsidP="00EA0CC8">
      <w:pPr>
        <w:pStyle w:val="Corpodetexto"/>
        <w:jc w:val="center"/>
        <w:rPr>
          <w:rFonts w:ascii="Garamond" w:eastAsia="MS Gothic" w:hAnsi="Garamond"/>
          <w:b/>
          <w:lang w:eastAsia="pt-BR"/>
        </w:rPr>
      </w:pPr>
      <w:r w:rsidRPr="007B17E1">
        <w:rPr>
          <w:rFonts w:ascii="Garamond" w:eastAsia="MS Gothic" w:hAnsi="Garamond"/>
          <w:b/>
          <w:lang w:eastAsia="pt-BR"/>
        </w:rPr>
        <w:t>Das garantias de empréstimos</w:t>
      </w:r>
    </w:p>
    <w:p w14:paraId="2C7427B9" w14:textId="77777777" w:rsidR="00395593" w:rsidRPr="005C5CBD" w:rsidRDefault="00395593" w:rsidP="00E15FBB">
      <w:pPr>
        <w:spacing w:after="0" w:line="240" w:lineRule="auto"/>
        <w:rPr>
          <w:rFonts w:ascii="Garamond" w:eastAsia="Arial Unicode MS" w:hAnsi="Garamond" w:cs="Calibri"/>
          <w:sz w:val="24"/>
          <w:szCs w:val="24"/>
          <w:lang w:eastAsia="pt-BR"/>
        </w:rPr>
      </w:pPr>
    </w:p>
    <w:p w14:paraId="7F24AF0F"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61.</w:t>
      </w:r>
      <w:r w:rsidRPr="005C5CBD" w:rsidDel="00AF6761">
        <w:rPr>
          <w:rFonts w:ascii="Garamond" w:eastAsia="Calibri" w:hAnsi="Garamond" w:cs="Calibri"/>
          <w:sz w:val="24"/>
          <w:szCs w:val="24"/>
          <w:lang w:eastAsia="pt-BR"/>
        </w:rPr>
        <w:t xml:space="preserve"> </w:t>
      </w:r>
      <w:r w:rsidRPr="005C5CBD">
        <w:rPr>
          <w:rFonts w:ascii="Garamond" w:eastAsia="Times New Roman" w:hAnsi="Garamond" w:cs="Calibri"/>
          <w:sz w:val="24"/>
          <w:szCs w:val="24"/>
          <w:lang w:eastAsia="pt-BR"/>
        </w:rPr>
        <w:t xml:space="preserve">A Subsecretaria de Defesa Comercial e Interesse Público </w:t>
      </w:r>
      <w:r w:rsidRPr="005C5CBD">
        <w:rPr>
          <w:rFonts w:ascii="Garamond" w:eastAsia="Arial Unicode MS" w:hAnsi="Garamond" w:cs="Calibri"/>
          <w:sz w:val="24"/>
          <w:szCs w:val="24"/>
          <w:lang w:eastAsia="pt-BR"/>
        </w:rPr>
        <w:t>normalmente determinará que uma garantia de empréstimo pelo governo confer</w:t>
      </w:r>
      <w:r w:rsidRPr="005C5CBD">
        <w:rPr>
          <w:rFonts w:ascii="Garamond" w:eastAsia="Times New Roman" w:hAnsi="Garamond" w:cs="Calibri"/>
          <w:sz w:val="24"/>
          <w:szCs w:val="24"/>
          <w:lang w:eastAsia="pt-BR"/>
        </w:rPr>
        <w:t>iu</w:t>
      </w:r>
      <w:r w:rsidRPr="005C5CBD">
        <w:rPr>
          <w:rFonts w:ascii="Garamond" w:eastAsia="Arial Unicode MS" w:hAnsi="Garamond" w:cs="Calibri"/>
          <w:sz w:val="24"/>
          <w:szCs w:val="24"/>
          <w:lang w:eastAsia="pt-BR"/>
        </w:rPr>
        <w:t xml:space="preserve"> um benefício à empresa investigada se o custo total </w:t>
      </w:r>
      <w:r w:rsidRPr="005C5CBD">
        <w:rPr>
          <w:rFonts w:ascii="Garamond" w:eastAsia="Times New Roman" w:hAnsi="Garamond" w:cs="Calibri"/>
          <w:sz w:val="24"/>
          <w:szCs w:val="24"/>
          <w:lang w:eastAsia="pt-BR"/>
        </w:rPr>
        <w:t xml:space="preserve">em </w:t>
      </w:r>
      <w:r w:rsidRPr="005C5CBD">
        <w:rPr>
          <w:rFonts w:ascii="Garamond" w:eastAsia="Arial Unicode MS" w:hAnsi="Garamond" w:cs="Calibri"/>
          <w:sz w:val="24"/>
          <w:szCs w:val="24"/>
          <w:lang w:eastAsia="pt-BR"/>
        </w:rPr>
        <w:t xml:space="preserve">que a empresa incorreu para obter </w:t>
      </w:r>
      <w:r w:rsidRPr="005C5CBD">
        <w:rPr>
          <w:rFonts w:ascii="Garamond" w:eastAsia="Times New Roman" w:hAnsi="Garamond" w:cs="Calibri"/>
          <w:sz w:val="24"/>
          <w:szCs w:val="24"/>
          <w:lang w:eastAsia="pt-BR"/>
        </w:rPr>
        <w:t>este empréstimo foi</w:t>
      </w:r>
      <w:r w:rsidRPr="005C5CBD">
        <w:rPr>
          <w:rFonts w:ascii="Garamond" w:eastAsia="Arial Unicode MS" w:hAnsi="Garamond" w:cs="Calibri"/>
          <w:sz w:val="24"/>
          <w:szCs w:val="24"/>
          <w:lang w:eastAsia="pt-BR"/>
        </w:rPr>
        <w:t xml:space="preserve"> inferior ao custo total </w:t>
      </w:r>
      <w:r w:rsidRPr="005C5CBD">
        <w:rPr>
          <w:rFonts w:ascii="Garamond" w:eastAsia="Times New Roman" w:hAnsi="Garamond" w:cs="Calibri"/>
          <w:sz w:val="24"/>
          <w:szCs w:val="24"/>
          <w:lang w:eastAsia="pt-BR"/>
        </w:rPr>
        <w:t xml:space="preserve">em </w:t>
      </w:r>
      <w:r w:rsidRPr="005C5CBD">
        <w:rPr>
          <w:rFonts w:ascii="Garamond" w:eastAsia="Arial Unicode MS" w:hAnsi="Garamond" w:cs="Calibri"/>
          <w:sz w:val="24"/>
          <w:szCs w:val="24"/>
          <w:lang w:eastAsia="pt-BR"/>
        </w:rPr>
        <w:t>que a empresa incorreria para obter um empréstimo comercial comparável na ausência da garantia oferecida pelo governo, incluindo qualquer diferença nos custos incorridos para obter a garantia.</w:t>
      </w:r>
    </w:p>
    <w:p w14:paraId="3D5CBDE6" w14:textId="77777777" w:rsidR="00395593" w:rsidRPr="005C5CBD" w:rsidRDefault="00395593" w:rsidP="006A735F">
      <w:pPr>
        <w:spacing w:after="0" w:line="240" w:lineRule="auto"/>
        <w:ind w:firstLine="567"/>
        <w:jc w:val="both"/>
        <w:rPr>
          <w:rFonts w:ascii="Garamond" w:eastAsia="Arial Unicode MS" w:hAnsi="Garamond" w:cs="Calibri"/>
          <w:sz w:val="24"/>
          <w:szCs w:val="24"/>
        </w:rPr>
      </w:pPr>
    </w:p>
    <w:p w14:paraId="29EDE651"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Parágrafo único.  A Subsecretaria de Defesa Comercial e Interesse Público </w:t>
      </w:r>
      <w:r w:rsidRPr="005C5CBD">
        <w:rPr>
          <w:rFonts w:ascii="Garamond" w:eastAsia="Arial Unicode MS" w:hAnsi="Garamond" w:cs="Calibri"/>
          <w:sz w:val="24"/>
          <w:szCs w:val="24"/>
          <w:lang w:eastAsia="pt-BR"/>
        </w:rPr>
        <w:t>selecionar</w:t>
      </w:r>
      <w:r w:rsidRPr="005C5CBD">
        <w:rPr>
          <w:rFonts w:ascii="Garamond" w:eastAsia="Times New Roman" w:hAnsi="Garamond" w:cs="Calibri"/>
          <w:sz w:val="24"/>
          <w:szCs w:val="24"/>
          <w:lang w:eastAsia="pt-BR"/>
        </w:rPr>
        <w:t>á</w:t>
      </w:r>
      <w:r w:rsidRPr="005C5CBD">
        <w:rPr>
          <w:rFonts w:ascii="Garamond" w:eastAsia="Arial Unicode MS" w:hAnsi="Garamond" w:cs="Calibri"/>
          <w:sz w:val="24"/>
          <w:szCs w:val="24"/>
          <w:lang w:eastAsia="pt-BR"/>
        </w:rPr>
        <w:t xml:space="preserve"> empréstimo comercial comparável de acordo com o disposto </w:t>
      </w:r>
      <w:r w:rsidRPr="005C5CBD">
        <w:rPr>
          <w:rFonts w:ascii="Garamond" w:eastAsia="Times New Roman" w:hAnsi="Garamond" w:cs="Calibri"/>
          <w:sz w:val="24"/>
          <w:szCs w:val="24"/>
          <w:lang w:eastAsia="pt-BR"/>
        </w:rPr>
        <w:t>na Subseção II</w:t>
      </w:r>
      <w:r w:rsidRPr="005C5CBD">
        <w:rPr>
          <w:rFonts w:ascii="Garamond" w:eastAsia="Arial Unicode MS" w:hAnsi="Garamond" w:cs="Calibri"/>
          <w:sz w:val="24"/>
          <w:szCs w:val="24"/>
          <w:lang w:eastAsia="pt-BR"/>
        </w:rPr>
        <w:t xml:space="preserve"> </w:t>
      </w:r>
      <w:r w:rsidRPr="005C5CBD">
        <w:rPr>
          <w:rFonts w:ascii="Garamond" w:eastAsia="Times New Roman" w:hAnsi="Garamond" w:cs="Calibri"/>
          <w:sz w:val="24"/>
          <w:szCs w:val="24"/>
          <w:lang w:eastAsia="pt-BR"/>
        </w:rPr>
        <w:t>desta Seção</w:t>
      </w:r>
      <w:r w:rsidRPr="005C5CBD">
        <w:rPr>
          <w:rFonts w:ascii="Garamond" w:eastAsia="Arial Unicode MS" w:hAnsi="Garamond" w:cs="Calibri"/>
          <w:sz w:val="24"/>
          <w:szCs w:val="24"/>
          <w:lang w:eastAsia="pt-BR"/>
        </w:rPr>
        <w:t>.</w:t>
      </w:r>
    </w:p>
    <w:p w14:paraId="26A96906"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4C2EDC7A" w14:textId="77777777" w:rsidR="00395593" w:rsidRPr="005C5CBD" w:rsidRDefault="00395593" w:rsidP="006A735F">
      <w:pPr>
        <w:spacing w:after="0" w:line="240" w:lineRule="auto"/>
        <w:ind w:firstLine="567"/>
        <w:jc w:val="both"/>
        <w:rPr>
          <w:rFonts w:ascii="Garamond" w:eastAsia="Arial Unicode MS" w:hAnsi="Garamond" w:cs="Calibri"/>
          <w:sz w:val="24"/>
          <w:szCs w:val="24"/>
        </w:rPr>
      </w:pPr>
      <w:r w:rsidRPr="005C5CBD">
        <w:rPr>
          <w:rFonts w:ascii="Garamond" w:eastAsia="Calibri" w:hAnsi="Garamond" w:cs="Calibri"/>
          <w:sz w:val="24"/>
          <w:szCs w:val="24"/>
          <w:lang w:eastAsia="pt-BR"/>
        </w:rPr>
        <w:t xml:space="preserve">Art. 62. </w:t>
      </w:r>
      <w:r w:rsidRPr="005C5CBD">
        <w:rPr>
          <w:rFonts w:ascii="Garamond" w:eastAsia="Arial Unicode MS" w:hAnsi="Garamond" w:cs="Calibri"/>
          <w:sz w:val="24"/>
          <w:szCs w:val="24"/>
        </w:rPr>
        <w:t xml:space="preserve">Quando o governo, na capacidade de proprietário da empresa investigada beneficiária, fornecer uma garantia de empréstimo a essa empresa, </w:t>
      </w:r>
      <w:r w:rsidRPr="005C5CBD">
        <w:rPr>
          <w:rFonts w:ascii="Garamond" w:eastAsia="Times New Roman" w:hAnsi="Garamond" w:cs="Calibri"/>
          <w:sz w:val="24"/>
          <w:szCs w:val="24"/>
          <w:lang w:eastAsia="pt-BR"/>
        </w:rPr>
        <w:t xml:space="preserve">a Subsecretaria de Defesa Comercial e Interesse Público </w:t>
      </w:r>
      <w:r w:rsidRPr="005C5CBD">
        <w:rPr>
          <w:rFonts w:ascii="Garamond" w:eastAsia="Arial Unicode MS" w:hAnsi="Garamond" w:cs="Calibri"/>
          <w:sz w:val="24"/>
          <w:szCs w:val="24"/>
        </w:rPr>
        <w:t>poderá determinar que a garantia não conferiu um benefício, caso a empresa investigada forneça evidências:</w:t>
      </w:r>
    </w:p>
    <w:p w14:paraId="3CCD113B" w14:textId="77777777" w:rsidR="00395593" w:rsidRPr="005C5CBD" w:rsidRDefault="00395593" w:rsidP="006A735F">
      <w:pPr>
        <w:spacing w:after="0" w:line="240" w:lineRule="auto"/>
        <w:ind w:firstLine="567"/>
        <w:jc w:val="both"/>
        <w:rPr>
          <w:rFonts w:ascii="Garamond" w:eastAsia="Arial Unicode MS" w:hAnsi="Garamond" w:cs="Calibri"/>
          <w:sz w:val="24"/>
          <w:szCs w:val="24"/>
        </w:rPr>
      </w:pPr>
    </w:p>
    <w:p w14:paraId="221AE744" w14:textId="77777777" w:rsidR="00395593" w:rsidRPr="005C5CBD" w:rsidRDefault="00395593" w:rsidP="006A735F">
      <w:pPr>
        <w:spacing w:after="0" w:line="240" w:lineRule="auto"/>
        <w:ind w:firstLine="567"/>
        <w:jc w:val="both"/>
        <w:rPr>
          <w:rFonts w:ascii="Garamond" w:eastAsia="Arial Unicode MS" w:hAnsi="Garamond" w:cs="Calibri"/>
          <w:sz w:val="24"/>
          <w:szCs w:val="24"/>
        </w:rPr>
      </w:pPr>
      <w:r w:rsidRPr="005C5CBD">
        <w:rPr>
          <w:rFonts w:ascii="Garamond" w:eastAsia="Arial Unicode MS" w:hAnsi="Garamond" w:cs="Calibri"/>
          <w:sz w:val="24"/>
          <w:szCs w:val="24"/>
        </w:rPr>
        <w:t>I - que demonstrem que é prática comum dos acionistas privados do país exportador oferecer garantias às suas empresas em circunstâncias semelhantes; e</w:t>
      </w:r>
    </w:p>
    <w:p w14:paraId="7D26E594" w14:textId="77777777" w:rsidR="00395593" w:rsidRPr="005C5CBD" w:rsidRDefault="00395593" w:rsidP="006A735F">
      <w:pPr>
        <w:spacing w:after="0" w:line="240" w:lineRule="auto"/>
        <w:ind w:firstLine="567"/>
        <w:jc w:val="both"/>
        <w:rPr>
          <w:rFonts w:ascii="Garamond" w:eastAsia="Arial Unicode MS" w:hAnsi="Garamond" w:cs="Calibri"/>
          <w:sz w:val="24"/>
          <w:szCs w:val="24"/>
        </w:rPr>
      </w:pPr>
    </w:p>
    <w:p w14:paraId="584262B7" w14:textId="77777777" w:rsidR="00395593" w:rsidRPr="005C5CBD" w:rsidRDefault="00395593" w:rsidP="006A735F">
      <w:pPr>
        <w:spacing w:after="0" w:line="240" w:lineRule="auto"/>
        <w:ind w:firstLine="567"/>
        <w:jc w:val="both"/>
        <w:rPr>
          <w:rFonts w:ascii="Garamond" w:eastAsia="Arial Unicode MS" w:hAnsi="Garamond" w:cs="Calibri"/>
          <w:sz w:val="24"/>
          <w:szCs w:val="24"/>
        </w:rPr>
      </w:pPr>
      <w:r w:rsidRPr="005C5CBD">
        <w:rPr>
          <w:rFonts w:ascii="Garamond" w:eastAsia="Arial Unicode MS" w:hAnsi="Garamond" w:cs="Calibri"/>
          <w:color w:val="000000"/>
          <w:sz w:val="24"/>
          <w:szCs w:val="24"/>
          <w:u w:color="000000"/>
          <w:lang w:eastAsia="pt-BR"/>
        </w:rPr>
        <w:t xml:space="preserve">II - que os termos da garantia oferecida pelo governo </w:t>
      </w:r>
      <w:r w:rsidRPr="005C5CBD">
        <w:rPr>
          <w:rFonts w:ascii="Garamond" w:eastAsia="Times New Roman" w:hAnsi="Garamond" w:cs="Calibri"/>
          <w:color w:val="000000"/>
          <w:sz w:val="24"/>
          <w:szCs w:val="24"/>
          <w:u w:color="000000"/>
          <w:lang w:eastAsia="pt-BR"/>
        </w:rPr>
        <w:t>eram</w:t>
      </w:r>
      <w:r w:rsidRPr="005C5CBD">
        <w:rPr>
          <w:rFonts w:ascii="Garamond" w:eastAsia="Arial Unicode MS" w:hAnsi="Garamond" w:cs="Calibri"/>
          <w:color w:val="000000"/>
          <w:sz w:val="24"/>
          <w:szCs w:val="24"/>
          <w:u w:color="000000"/>
          <w:lang w:eastAsia="pt-BR"/>
        </w:rPr>
        <w:t xml:space="preserve"> comparáveis aos termos de garantias oferecidas por instituições </w:t>
      </w:r>
      <w:r w:rsidRPr="005C5CBD">
        <w:rPr>
          <w:rFonts w:ascii="Garamond" w:eastAsia="Arial Unicode MS" w:hAnsi="Garamond" w:cs="Calibri"/>
          <w:sz w:val="24"/>
          <w:szCs w:val="24"/>
        </w:rPr>
        <w:t xml:space="preserve">financeiras </w:t>
      </w:r>
      <w:r w:rsidRPr="005C5CBD">
        <w:rPr>
          <w:rFonts w:ascii="Garamond" w:eastAsia="Arial Unicode MS" w:hAnsi="Garamond" w:cs="Calibri"/>
          <w:color w:val="000000"/>
          <w:sz w:val="24"/>
          <w:szCs w:val="24"/>
          <w:u w:color="000000"/>
          <w:lang w:eastAsia="pt-BR"/>
        </w:rPr>
        <w:t>privadas que ofereçam tais garantias.</w:t>
      </w:r>
    </w:p>
    <w:p w14:paraId="05D1DB61" w14:textId="77777777" w:rsidR="00395593" w:rsidRPr="005C5CBD" w:rsidRDefault="00395593" w:rsidP="006A735F">
      <w:pPr>
        <w:spacing w:after="0" w:line="240" w:lineRule="auto"/>
        <w:ind w:firstLine="567"/>
        <w:rPr>
          <w:rFonts w:ascii="Garamond" w:eastAsia="Arial Unicode MS" w:hAnsi="Garamond" w:cs="Calibri"/>
          <w:sz w:val="24"/>
          <w:szCs w:val="24"/>
        </w:rPr>
      </w:pPr>
    </w:p>
    <w:p w14:paraId="5ED9C3FF" w14:textId="02DCF300" w:rsidR="00395593" w:rsidRPr="005C5CBD" w:rsidRDefault="00395593" w:rsidP="006A735F">
      <w:pPr>
        <w:spacing w:after="0" w:line="240" w:lineRule="auto"/>
        <w:ind w:firstLine="567"/>
        <w:jc w:val="both"/>
        <w:rPr>
          <w:rFonts w:ascii="Garamond" w:eastAsia="Arial Unicode MS" w:hAnsi="Garamond" w:cs="Calibri"/>
          <w:sz w:val="24"/>
          <w:szCs w:val="24"/>
        </w:rPr>
      </w:pPr>
      <w:r w:rsidRPr="005C5CBD">
        <w:rPr>
          <w:rFonts w:ascii="Garamond" w:eastAsia="Calibri" w:hAnsi="Garamond" w:cs="Calibri"/>
          <w:sz w:val="24"/>
          <w:szCs w:val="24"/>
          <w:lang w:eastAsia="pt-BR"/>
        </w:rPr>
        <w:t xml:space="preserve">Art. 63. </w:t>
      </w:r>
      <w:r w:rsidRPr="005C5CBD">
        <w:rPr>
          <w:rFonts w:ascii="Garamond" w:eastAsia="Arial Unicode MS" w:hAnsi="Garamond" w:cs="Calibri"/>
          <w:sz w:val="24"/>
          <w:szCs w:val="24"/>
        </w:rPr>
        <w:t xml:space="preserve">No caso de garantias de empréstimos, </w:t>
      </w:r>
      <w:r w:rsidRPr="005C5CBD">
        <w:rPr>
          <w:rFonts w:ascii="Garamond" w:eastAsia="Times New Roman" w:hAnsi="Garamond" w:cs="Calibri"/>
          <w:sz w:val="24"/>
          <w:szCs w:val="24"/>
          <w:lang w:eastAsia="pt-BR"/>
        </w:rPr>
        <w:t xml:space="preserve">a Subsecretaria de Defesa Comercial e Interesse Público </w:t>
      </w:r>
      <w:r w:rsidRPr="005C5CBD">
        <w:rPr>
          <w:rFonts w:ascii="Garamond" w:eastAsia="Arial Unicode MS" w:hAnsi="Garamond" w:cs="Calibri"/>
          <w:sz w:val="24"/>
          <w:szCs w:val="24"/>
        </w:rPr>
        <w:t>normalmente irá considerar que o benefício foi recebido no ano em que a empresa teria que efetuar o pagamento de um empréstimo comercial comparável</w:t>
      </w:r>
      <w:r w:rsidRPr="005C5CBD">
        <w:rPr>
          <w:rFonts w:ascii="Garamond" w:eastAsia="Times New Roman" w:hAnsi="Garamond" w:cs="Calibri"/>
          <w:sz w:val="24"/>
          <w:szCs w:val="24"/>
          <w:lang w:eastAsia="pt-BR"/>
        </w:rPr>
        <w:t xml:space="preserve">, nos termos do art. </w:t>
      </w:r>
      <w:r w:rsidR="00BD507C">
        <w:rPr>
          <w:rFonts w:ascii="Garamond" w:eastAsia="Times New Roman" w:hAnsi="Garamond" w:cs="Calibri"/>
          <w:sz w:val="24"/>
          <w:szCs w:val="24"/>
          <w:lang w:eastAsia="pt-BR"/>
        </w:rPr>
        <w:t>58</w:t>
      </w:r>
      <w:r w:rsidR="00E15FBB" w:rsidRPr="005C5CBD">
        <w:rPr>
          <w:rFonts w:ascii="Garamond" w:eastAsia="Arial Unicode MS" w:hAnsi="Garamond" w:cs="Calibri"/>
          <w:sz w:val="24"/>
          <w:szCs w:val="24"/>
        </w:rPr>
        <w:t>.</w:t>
      </w:r>
    </w:p>
    <w:p w14:paraId="6340EA79" w14:textId="77777777" w:rsidR="00395593" w:rsidRPr="005C5CBD" w:rsidRDefault="00395593" w:rsidP="00E15FBB">
      <w:pPr>
        <w:spacing w:after="0" w:line="240" w:lineRule="auto"/>
        <w:rPr>
          <w:rFonts w:ascii="Garamond" w:eastAsia="Arial Unicode MS" w:hAnsi="Garamond" w:cs="Calibri"/>
          <w:sz w:val="24"/>
          <w:szCs w:val="24"/>
        </w:rPr>
      </w:pPr>
    </w:p>
    <w:p w14:paraId="4C6FFFD2" w14:textId="77777777" w:rsidR="00395593" w:rsidRPr="007B17E1" w:rsidRDefault="00395593" w:rsidP="00EA0CC8">
      <w:pPr>
        <w:pStyle w:val="Corpodetexto"/>
        <w:jc w:val="center"/>
        <w:rPr>
          <w:rFonts w:ascii="Garamond" w:eastAsia="MS Gothic" w:hAnsi="Garamond"/>
          <w:b/>
          <w:lang w:eastAsia="pt-BR"/>
        </w:rPr>
      </w:pPr>
      <w:r w:rsidRPr="007B17E1">
        <w:rPr>
          <w:rFonts w:ascii="Garamond" w:eastAsia="MS Gothic" w:hAnsi="Garamond"/>
          <w:b/>
          <w:lang w:eastAsia="pt-BR"/>
        </w:rPr>
        <w:t>Subseção IV</w:t>
      </w:r>
    </w:p>
    <w:p w14:paraId="7FB5E949" w14:textId="77777777" w:rsidR="00395593" w:rsidRPr="005C5CBD" w:rsidRDefault="00395593" w:rsidP="00EA0CC8">
      <w:pPr>
        <w:pStyle w:val="Corpodetexto"/>
        <w:jc w:val="center"/>
        <w:rPr>
          <w:rFonts w:eastAsia="MS Gothic"/>
          <w:lang w:eastAsia="pt-BR"/>
        </w:rPr>
      </w:pPr>
      <w:r w:rsidRPr="007B17E1">
        <w:rPr>
          <w:rFonts w:ascii="Garamond" w:eastAsia="MS Gothic" w:hAnsi="Garamond"/>
          <w:b/>
          <w:lang w:eastAsia="pt-BR"/>
        </w:rPr>
        <w:t>Da garantia de crédito ou seguro à exportação</w:t>
      </w:r>
    </w:p>
    <w:p w14:paraId="00C39919" w14:textId="77777777" w:rsidR="00395593" w:rsidRPr="005C5CBD" w:rsidRDefault="00395593" w:rsidP="00E15FBB">
      <w:pPr>
        <w:spacing w:after="0" w:line="240" w:lineRule="auto"/>
        <w:jc w:val="center"/>
        <w:rPr>
          <w:rFonts w:ascii="Garamond" w:eastAsia="Times New Roman" w:hAnsi="Garamond" w:cs="Calibri"/>
          <w:sz w:val="24"/>
          <w:szCs w:val="24"/>
          <w:lang w:eastAsia="pt-BR"/>
        </w:rPr>
      </w:pPr>
    </w:p>
    <w:p w14:paraId="6AD5060F"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64. </w:t>
      </w:r>
      <w:r w:rsidRPr="005C5CBD">
        <w:rPr>
          <w:rFonts w:ascii="Garamond" w:eastAsia="Times New Roman" w:hAnsi="Garamond" w:cs="Calibri"/>
          <w:sz w:val="24"/>
          <w:szCs w:val="24"/>
          <w:lang w:eastAsia="pt-BR"/>
        </w:rPr>
        <w:t>Na análise da concessão por um governo de programas de garantia de crédito ou seguro à exportação a Subsecretaria de Defesa Comercial e Interesse Público avaliará se o prêmio pago é adequado para cobrir custos operacionais e prejuízos dos programas a longo prazo.</w:t>
      </w:r>
    </w:p>
    <w:p w14:paraId="09564D36"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4EDCD4E0"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A expressão “garantia de crédito ou seguro de exportação" incluirá seguro contra aumentos no custo de produtos exportados, falta de pagamento pelo cliente, inflação, riscos de taxa de câmbio, dentre outros.</w:t>
      </w:r>
    </w:p>
    <w:p w14:paraId="08DF816D"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0174E33B"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Para os fins desta Subseção o termo “prêmio” incluirá prêmios e quaisquer taxas ou encargos.</w:t>
      </w:r>
    </w:p>
    <w:p w14:paraId="7C3DFD7C"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713280F2" w14:textId="17707DB3"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65. </w:t>
      </w:r>
      <w:r w:rsidRPr="005C5CBD">
        <w:rPr>
          <w:rFonts w:ascii="Garamond" w:eastAsia="Times New Roman" w:hAnsi="Garamond" w:cs="Calibri"/>
          <w:sz w:val="24"/>
          <w:szCs w:val="24"/>
          <w:lang w:eastAsia="pt-BR"/>
        </w:rPr>
        <w:t xml:space="preserve">Para os fins do art. </w:t>
      </w:r>
      <w:r w:rsidR="00BD507C">
        <w:rPr>
          <w:rFonts w:ascii="Garamond" w:eastAsia="Times New Roman" w:hAnsi="Garamond" w:cs="Calibri"/>
          <w:sz w:val="24"/>
          <w:szCs w:val="24"/>
          <w:lang w:eastAsia="pt-BR"/>
        </w:rPr>
        <w:t>64</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caso a Subsecretaria de Defesa Comercial e Interesse Público determine que o prêmio é inadequado, em regra o benefício será calculado como a diferença entre o prêmio pago pela empresa e o valor recebido por ela sob o programa de seguro.</w:t>
      </w:r>
    </w:p>
    <w:p w14:paraId="3989B5E1"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73135D37" w14:textId="3616650A"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Parágrafo único.  No caso de seguro de exportação, a Subsecretaria de Defesa Comercial e Interesse Público normalmente considerará o benefício recebido no ano em que ocorrer a diferença descrita no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 xml:space="preserve">, nos termos dos arts. </w:t>
      </w:r>
      <w:r w:rsidR="00BD507C">
        <w:rPr>
          <w:rFonts w:ascii="Garamond" w:eastAsia="Times New Roman" w:hAnsi="Garamond" w:cs="Calibri"/>
          <w:sz w:val="24"/>
          <w:szCs w:val="24"/>
          <w:lang w:eastAsia="pt-BR"/>
        </w:rPr>
        <w:t>32</w:t>
      </w:r>
      <w:r w:rsidR="00E15FBB" w:rsidRPr="005C5CBD">
        <w:rPr>
          <w:rFonts w:ascii="Garamond" w:eastAsia="Times New Roman" w:hAnsi="Garamond" w:cs="Calibri"/>
          <w:sz w:val="24"/>
          <w:szCs w:val="24"/>
          <w:lang w:eastAsia="pt-BR"/>
        </w:rPr>
        <w:t xml:space="preserve"> a </w:t>
      </w:r>
      <w:r w:rsidR="00BD507C">
        <w:rPr>
          <w:rFonts w:ascii="Garamond" w:eastAsia="Times New Roman" w:hAnsi="Garamond" w:cs="Calibri"/>
          <w:sz w:val="24"/>
          <w:szCs w:val="24"/>
          <w:lang w:eastAsia="pt-BR"/>
        </w:rPr>
        <w:t>34</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w:t>
      </w:r>
    </w:p>
    <w:p w14:paraId="48EBF713"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1F72638E" w14:textId="77777777" w:rsidR="00395593" w:rsidRPr="007B17E1" w:rsidRDefault="00395593" w:rsidP="00EA0CC8">
      <w:pPr>
        <w:pStyle w:val="Corpodetexto"/>
        <w:jc w:val="center"/>
        <w:rPr>
          <w:rFonts w:ascii="Garamond" w:eastAsia="MS Gothic" w:hAnsi="Garamond"/>
          <w:b/>
          <w:lang w:eastAsia="pt-BR"/>
        </w:rPr>
      </w:pPr>
      <w:r w:rsidRPr="007B17E1">
        <w:rPr>
          <w:rFonts w:ascii="Garamond" w:eastAsia="MS Gothic" w:hAnsi="Garamond"/>
          <w:b/>
          <w:lang w:eastAsia="pt-BR"/>
        </w:rPr>
        <w:t>Subseção V</w:t>
      </w:r>
    </w:p>
    <w:p w14:paraId="0261F54A" w14:textId="77777777" w:rsidR="00395593" w:rsidRPr="005C5CBD" w:rsidRDefault="00395593" w:rsidP="00EA0CC8">
      <w:pPr>
        <w:pStyle w:val="Corpodetexto"/>
        <w:jc w:val="center"/>
        <w:rPr>
          <w:rFonts w:eastAsia="MS Gothic"/>
          <w:lang w:eastAsia="pt-BR"/>
        </w:rPr>
      </w:pPr>
      <w:r w:rsidRPr="007B17E1">
        <w:rPr>
          <w:rFonts w:ascii="Garamond" w:eastAsia="MS Gothic" w:hAnsi="Garamond"/>
          <w:b/>
          <w:lang w:eastAsia="pt-BR"/>
        </w:rPr>
        <w:t>Dos aportes de capital</w:t>
      </w:r>
    </w:p>
    <w:p w14:paraId="030BBBED"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743534BC"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66.</w:t>
      </w:r>
      <w:r w:rsidRPr="005C5CBD" w:rsidDel="00D843B1">
        <w:rPr>
          <w:rFonts w:ascii="Garamond" w:eastAsia="Calibri" w:hAnsi="Garamond" w:cs="Calibri"/>
          <w:sz w:val="24"/>
          <w:szCs w:val="24"/>
          <w:lang w:eastAsia="pt-BR"/>
        </w:rPr>
        <w:t xml:space="preserve"> </w:t>
      </w:r>
      <w:r w:rsidRPr="005C5CBD">
        <w:rPr>
          <w:rFonts w:ascii="Garamond" w:eastAsia="Times New Roman" w:hAnsi="Garamond" w:cs="Calibri"/>
          <w:sz w:val="24"/>
          <w:szCs w:val="24"/>
          <w:lang w:eastAsia="pt-BR"/>
        </w:rPr>
        <w:t>Na hipótese de aporte de capital realizado por um governo, órgão público, mecanismo de financiamento ou entidade privada instruída ou confiada pelo governo, para fins desta subseção denominado “aporte de capital por um governo”, e</w:t>
      </w:r>
      <w:r w:rsidRPr="005C5CBD">
        <w:rPr>
          <w:rFonts w:ascii="Garamond" w:eastAsia="Arial Unicode MS" w:hAnsi="Garamond" w:cs="Calibri"/>
          <w:sz w:val="24"/>
          <w:szCs w:val="24"/>
          <w:lang w:eastAsia="pt-BR"/>
        </w:rPr>
        <w:t xml:space="preserve">m regra, um benefício será conferido à empresa investigada se </w:t>
      </w:r>
      <w:r w:rsidRPr="005C5CBD">
        <w:rPr>
          <w:rFonts w:ascii="Garamond" w:eastAsia="Times New Roman" w:hAnsi="Garamond" w:cs="Calibri"/>
          <w:sz w:val="24"/>
          <w:szCs w:val="24"/>
          <w:lang w:eastAsia="pt-BR"/>
        </w:rPr>
        <w:t xml:space="preserve">a Subsecretaria de Defesa Comercial e Interesse Público </w:t>
      </w:r>
      <w:r w:rsidRPr="005C5CBD">
        <w:rPr>
          <w:rFonts w:ascii="Garamond" w:eastAsia="Arial Unicode MS" w:hAnsi="Garamond" w:cs="Calibri"/>
          <w:sz w:val="24"/>
          <w:szCs w:val="24"/>
          <w:lang w:eastAsia="pt-BR"/>
        </w:rPr>
        <w:t>determina</w:t>
      </w:r>
      <w:r w:rsidRPr="005C5CBD">
        <w:rPr>
          <w:rFonts w:ascii="Garamond" w:eastAsia="Times New Roman" w:hAnsi="Garamond" w:cs="Calibri"/>
          <w:sz w:val="24"/>
          <w:szCs w:val="24"/>
          <w:lang w:eastAsia="pt-BR"/>
        </w:rPr>
        <w:t>r</w:t>
      </w:r>
      <w:r w:rsidRPr="005C5CBD">
        <w:rPr>
          <w:rFonts w:ascii="Garamond" w:eastAsia="Arial Unicode MS" w:hAnsi="Garamond" w:cs="Calibri"/>
          <w:sz w:val="24"/>
          <w:szCs w:val="24"/>
          <w:lang w:eastAsia="pt-BR"/>
        </w:rPr>
        <w:t xml:space="preserve"> que a</w:t>
      </w:r>
      <w:r w:rsidRPr="005C5CBD">
        <w:rPr>
          <w:rFonts w:ascii="Garamond" w:eastAsia="Times New Roman" w:hAnsi="Garamond" w:cs="Calibri"/>
          <w:sz w:val="24"/>
          <w:szCs w:val="24"/>
          <w:lang w:eastAsia="pt-BR"/>
        </w:rPr>
        <w:t>quela</w:t>
      </w:r>
      <w:r w:rsidRPr="005C5CBD">
        <w:rPr>
          <w:rFonts w:ascii="Garamond" w:eastAsia="Arial Unicode MS" w:hAnsi="Garamond" w:cs="Calibri"/>
          <w:sz w:val="24"/>
          <w:szCs w:val="24"/>
          <w:lang w:eastAsia="pt-BR"/>
        </w:rPr>
        <w:t xml:space="preserve"> decisão de investimento do governo foi inconsistente com a prática de investimento usual de investidores privados, incluindo a prática de provisão de capital de risco, no território do país exportador em que o investimento </w:t>
      </w:r>
      <w:r w:rsidRPr="005C5CBD">
        <w:rPr>
          <w:rFonts w:ascii="Garamond" w:eastAsia="Times New Roman" w:hAnsi="Garamond" w:cs="Calibri"/>
          <w:sz w:val="24"/>
          <w:szCs w:val="24"/>
          <w:lang w:eastAsia="pt-BR"/>
        </w:rPr>
        <w:t xml:space="preserve">foi </w:t>
      </w:r>
      <w:r w:rsidRPr="005C5CBD">
        <w:rPr>
          <w:rFonts w:ascii="Garamond" w:eastAsia="Arial Unicode MS" w:hAnsi="Garamond" w:cs="Calibri"/>
          <w:sz w:val="24"/>
          <w:szCs w:val="24"/>
          <w:lang w:eastAsia="pt-BR"/>
        </w:rPr>
        <w:t>realizado.</w:t>
      </w:r>
    </w:p>
    <w:p w14:paraId="383505A1"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6525D511"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1º  Em regra, a Subsecretaria de Defesa Comercial e Interesse Público considerará o aporte de capital pelo governo como inconsistente com a prática de investimento usual de investidores privados se o preço que o governo pagou pelas ações recém-emitidas tiver sido maior do que o preço pago por investidores privados por ações recém-emitidas comparáveis.</w:t>
      </w:r>
    </w:p>
    <w:p w14:paraId="776BD65F"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7F0BFB9C"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2º  Para os fins do parágrafo anterior, a expressão “ações recém-emitidas” englobará ofertas de novas ações por parte da empresa investigada, sejam ofertas públicas iniciais, modalidades de </w:t>
      </w:r>
      <w:r w:rsidRPr="005C5CBD">
        <w:rPr>
          <w:rFonts w:ascii="Garamond" w:eastAsia="Calibri" w:hAnsi="Garamond" w:cs="Calibri"/>
          <w:b/>
          <w:sz w:val="24"/>
          <w:szCs w:val="24"/>
          <w:lang w:eastAsia="pt-BR"/>
        </w:rPr>
        <w:t>follow-on</w:t>
      </w:r>
      <w:r w:rsidRPr="005C5CBD">
        <w:rPr>
          <w:rFonts w:ascii="Garamond" w:eastAsia="Calibri" w:hAnsi="Garamond" w:cs="Calibri"/>
          <w:sz w:val="24"/>
          <w:szCs w:val="24"/>
          <w:lang w:eastAsia="pt-BR"/>
        </w:rPr>
        <w:t>, entre outras.</w:t>
      </w:r>
    </w:p>
    <w:p w14:paraId="09C08EAE"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3B2E5831"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3º  Para os fins desta Subseção, a análise de</w:t>
      </w:r>
      <w:r w:rsidRPr="005C5CBD">
        <w:rPr>
          <w:rFonts w:ascii="Garamond" w:eastAsia="Times New Roman" w:hAnsi="Garamond" w:cs="Calibri"/>
          <w:sz w:val="24"/>
          <w:szCs w:val="24"/>
          <w:lang w:eastAsia="pt-BR"/>
        </w:rPr>
        <w:t xml:space="preserve"> </w:t>
      </w:r>
      <w:r w:rsidRPr="005C5CBD">
        <w:rPr>
          <w:rFonts w:ascii="Garamond" w:eastAsia="Calibri" w:hAnsi="Garamond" w:cs="Calibri"/>
          <w:sz w:val="24"/>
          <w:szCs w:val="24"/>
          <w:lang w:eastAsia="pt-BR"/>
        </w:rPr>
        <w:t xml:space="preserve">aporte de capital </w:t>
      </w:r>
      <w:r w:rsidRPr="005C5CBD">
        <w:rPr>
          <w:rFonts w:ascii="Garamond" w:eastAsia="Times New Roman" w:hAnsi="Garamond" w:cs="Calibri"/>
          <w:sz w:val="24"/>
          <w:szCs w:val="24"/>
          <w:lang w:eastAsia="pt-BR"/>
        </w:rPr>
        <w:t>por um governo abrangerá hipóteses relativas a</w:t>
      </w:r>
      <w:r w:rsidRPr="005C5CBD">
        <w:rPr>
          <w:rFonts w:ascii="Garamond" w:eastAsia="Calibri" w:hAnsi="Garamond" w:cs="Calibri"/>
          <w:sz w:val="24"/>
          <w:szCs w:val="24"/>
          <w:lang w:eastAsia="pt-BR"/>
        </w:rPr>
        <w:t xml:space="preserve"> quaisquer tipos de empresas, sejam sociedades por ações, empresas limitadas ou quaisquer outras formas definidas na legislação do país de origem.</w:t>
      </w:r>
    </w:p>
    <w:p w14:paraId="7BFA255E" w14:textId="77777777" w:rsidR="00395593" w:rsidRPr="005C5CBD" w:rsidRDefault="00395593" w:rsidP="006A735F">
      <w:pPr>
        <w:spacing w:after="0" w:line="240" w:lineRule="auto"/>
        <w:ind w:firstLine="567"/>
        <w:jc w:val="both"/>
        <w:rPr>
          <w:rFonts w:ascii="Garamond" w:eastAsia="Arial Unicode MS" w:hAnsi="Garamond" w:cs="Calibri"/>
          <w:sz w:val="24"/>
          <w:szCs w:val="24"/>
        </w:rPr>
      </w:pPr>
    </w:p>
    <w:p w14:paraId="4678719F"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Art. 67.</w:t>
      </w:r>
      <w:r w:rsidRPr="005C5CBD" w:rsidDel="00D843B1">
        <w:rPr>
          <w:rFonts w:ascii="Garamond" w:eastAsia="Calibri" w:hAnsi="Garamond" w:cs="Calibri"/>
          <w:sz w:val="24"/>
          <w:szCs w:val="24"/>
          <w:lang w:eastAsia="pt-BR"/>
        </w:rPr>
        <w:t xml:space="preserve"> </w:t>
      </w:r>
      <w:r w:rsidRPr="005C5CBD">
        <w:rPr>
          <w:rFonts w:ascii="Garamond" w:eastAsia="Calibri" w:hAnsi="Garamond" w:cs="Calibri"/>
          <w:sz w:val="24"/>
          <w:szCs w:val="24"/>
          <w:lang w:eastAsia="pt-BR"/>
        </w:rPr>
        <w:t xml:space="preserve">Ao selecionar o preço pago nas vendas de ações recém-emitidas para um investidor privado de acordo com 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xml:space="preserve"> do artigo anterior, a Subsecretaria de Defesa Comercial e Interesse Público levará em consideração as informações disponíveis o mais próximas possível das datas das vendas de ações recém-emitidas para o governo.</w:t>
      </w:r>
    </w:p>
    <w:p w14:paraId="15ABBEF3"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78C9301D"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Parágrafo único.  A Subsecretaria de Defesa Comercial e Interesse Público poderá não utilizar o preço pago por investidores privados se concluir que estas aquisições não foram significativas. </w:t>
      </w:r>
    </w:p>
    <w:p w14:paraId="5947BF72" w14:textId="77777777" w:rsidR="00395593" w:rsidRPr="005C5CBD" w:rsidRDefault="00395593" w:rsidP="006A735F">
      <w:pPr>
        <w:spacing w:after="0" w:line="240" w:lineRule="auto"/>
        <w:ind w:firstLine="567"/>
        <w:rPr>
          <w:rFonts w:ascii="Garamond" w:eastAsia="Calibri" w:hAnsi="Garamond" w:cs="Calibri"/>
          <w:sz w:val="24"/>
          <w:szCs w:val="24"/>
          <w:lang w:eastAsia="pt-BR"/>
        </w:rPr>
      </w:pPr>
    </w:p>
    <w:p w14:paraId="30885C72"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lang w:eastAsia="pt-BR"/>
        </w:rPr>
        <w:t xml:space="preserve">Art. 68. </w:t>
      </w:r>
      <w:r w:rsidRPr="005C5CBD">
        <w:rPr>
          <w:rFonts w:ascii="Garamond" w:eastAsia="Calibri" w:hAnsi="Garamond" w:cs="Calibri"/>
          <w:sz w:val="24"/>
          <w:szCs w:val="24"/>
        </w:rPr>
        <w:t xml:space="preserve">Ao utilizar preços de investidores privados </w:t>
      </w:r>
      <w:r w:rsidRPr="005C5CBD">
        <w:rPr>
          <w:rFonts w:ascii="Garamond" w:eastAsia="Calibri" w:hAnsi="Garamond" w:cs="Calibri"/>
          <w:sz w:val="24"/>
          <w:szCs w:val="24"/>
          <w:lang w:eastAsia="pt-BR"/>
        </w:rPr>
        <w:t xml:space="preserve">para </w:t>
      </w:r>
      <w:r w:rsidRPr="005C5CBD">
        <w:rPr>
          <w:rFonts w:ascii="Garamond" w:eastAsia="Calibri" w:hAnsi="Garamond" w:cs="Calibri"/>
          <w:sz w:val="24"/>
          <w:szCs w:val="24"/>
        </w:rPr>
        <w:t xml:space="preserve">ações </w:t>
      </w:r>
      <w:r w:rsidRPr="005C5CBD">
        <w:rPr>
          <w:rFonts w:ascii="Garamond" w:eastAsia="Calibri" w:hAnsi="Garamond" w:cs="Calibri"/>
          <w:sz w:val="24"/>
          <w:szCs w:val="24"/>
          <w:lang w:eastAsia="pt-BR"/>
        </w:rPr>
        <w:t>comparáveis</w:t>
      </w:r>
      <w:r w:rsidRPr="005C5CBD">
        <w:rPr>
          <w:rFonts w:ascii="Garamond" w:eastAsia="Calibri" w:hAnsi="Garamond" w:cs="Calibri"/>
          <w:sz w:val="24"/>
          <w:szCs w:val="24"/>
        </w:rPr>
        <w:t xml:space="preserve"> </w:t>
      </w:r>
      <w:r w:rsidRPr="005C5CBD">
        <w:rPr>
          <w:rFonts w:ascii="Garamond" w:eastAsia="Calibri" w:hAnsi="Garamond" w:cs="Calibri"/>
          <w:sz w:val="24"/>
          <w:szCs w:val="24"/>
          <w:lang w:eastAsia="pt-BR"/>
        </w:rPr>
        <w:t>às</w:t>
      </w:r>
      <w:r w:rsidRPr="005C5CBD">
        <w:rPr>
          <w:rFonts w:ascii="Garamond" w:eastAsia="Calibri" w:hAnsi="Garamond" w:cs="Calibri"/>
          <w:sz w:val="24"/>
          <w:szCs w:val="24"/>
        </w:rPr>
        <w:t xml:space="preserve"> ações recém-emitidas</w:t>
      </w:r>
      <w:r w:rsidRPr="005C5CBD">
        <w:rPr>
          <w:rFonts w:ascii="Garamond" w:eastAsia="Calibri" w:hAnsi="Garamond" w:cs="Calibri"/>
          <w:sz w:val="24"/>
          <w:szCs w:val="24"/>
          <w:lang w:eastAsia="pt-BR"/>
        </w:rPr>
        <w:t xml:space="preserve"> da empresa investigada adquiridas</w:t>
      </w:r>
      <w:r w:rsidRPr="005C5CBD">
        <w:rPr>
          <w:rFonts w:ascii="Garamond" w:eastAsia="Calibri" w:hAnsi="Garamond" w:cs="Calibri"/>
          <w:sz w:val="24"/>
          <w:szCs w:val="24"/>
        </w:rPr>
        <w:t xml:space="preserve"> pelo governo, </w:t>
      </w:r>
      <w:r w:rsidRPr="005C5CBD">
        <w:rPr>
          <w:rFonts w:ascii="Garamond" w:eastAsia="Calibri" w:hAnsi="Garamond" w:cs="Calibri"/>
          <w:sz w:val="24"/>
          <w:szCs w:val="24"/>
          <w:lang w:eastAsia="pt-BR"/>
        </w:rPr>
        <w:t>a Subsecretaria de Defesa Comercial e Interesse Público</w:t>
      </w:r>
      <w:r w:rsidRPr="005C5CBD">
        <w:rPr>
          <w:rFonts w:ascii="Garamond" w:eastAsia="Calibri" w:hAnsi="Garamond" w:cs="Calibri"/>
          <w:sz w:val="24"/>
          <w:szCs w:val="24"/>
        </w:rPr>
        <w:t xml:space="preserve">, quando apropriado, ajustará esses preços para refletir eventuais diferenças </w:t>
      </w:r>
      <w:r w:rsidRPr="005C5CBD">
        <w:rPr>
          <w:rFonts w:ascii="Garamond" w:eastAsia="Calibri" w:hAnsi="Garamond" w:cs="Calibri"/>
          <w:sz w:val="24"/>
          <w:szCs w:val="24"/>
          <w:lang w:eastAsia="pt-BR"/>
        </w:rPr>
        <w:t xml:space="preserve">nos tipos </w:t>
      </w:r>
      <w:r w:rsidRPr="005C5CBD">
        <w:rPr>
          <w:rFonts w:ascii="Garamond" w:eastAsia="Calibri" w:hAnsi="Garamond" w:cs="Calibri"/>
          <w:sz w:val="24"/>
          <w:szCs w:val="24"/>
        </w:rPr>
        <w:t>das ações.</w:t>
      </w:r>
    </w:p>
    <w:p w14:paraId="7A4F47B2" w14:textId="77777777" w:rsidR="00395593" w:rsidRPr="005C5CBD" w:rsidRDefault="00395593" w:rsidP="006A735F">
      <w:pPr>
        <w:spacing w:after="0" w:line="240" w:lineRule="auto"/>
        <w:ind w:firstLine="567"/>
        <w:rPr>
          <w:rFonts w:ascii="Garamond" w:eastAsia="Calibri" w:hAnsi="Garamond" w:cs="Calibri"/>
          <w:sz w:val="24"/>
          <w:szCs w:val="24"/>
          <w:lang w:eastAsia="pt-BR"/>
        </w:rPr>
      </w:pPr>
    </w:p>
    <w:p w14:paraId="4E7E600A"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Parágrafo único. </w:t>
      </w:r>
      <w:r w:rsidRPr="005C5CBD">
        <w:rPr>
          <w:rFonts w:ascii="Garamond" w:eastAsia="Calibri" w:hAnsi="Garamond" w:cs="Calibri"/>
          <w:sz w:val="24"/>
          <w:szCs w:val="24"/>
        </w:rPr>
        <w:t xml:space="preserve"> Ao utilizar </w:t>
      </w:r>
      <w:r w:rsidRPr="005C5CBD">
        <w:rPr>
          <w:rFonts w:ascii="Garamond" w:eastAsia="Calibri" w:hAnsi="Garamond" w:cs="Calibri"/>
          <w:sz w:val="24"/>
          <w:szCs w:val="24"/>
          <w:lang w:eastAsia="pt-BR"/>
        </w:rPr>
        <w:t xml:space="preserve">o </w:t>
      </w:r>
      <w:r w:rsidRPr="005C5CBD">
        <w:rPr>
          <w:rFonts w:ascii="Garamond" w:eastAsia="Calibri" w:hAnsi="Garamond" w:cs="Calibri"/>
          <w:sz w:val="24"/>
          <w:szCs w:val="24"/>
        </w:rPr>
        <w:t>preço de investidores privados na compra de ações</w:t>
      </w:r>
      <w:r w:rsidRPr="005C5CBD">
        <w:rPr>
          <w:rFonts w:ascii="Garamond" w:eastAsia="Calibri" w:hAnsi="Garamond" w:cs="Calibri"/>
          <w:sz w:val="24"/>
          <w:szCs w:val="24"/>
          <w:lang w:eastAsia="pt-BR"/>
        </w:rPr>
        <w:t xml:space="preserve"> comparáveis</w:t>
      </w:r>
      <w:r w:rsidRPr="005C5CBD">
        <w:rPr>
          <w:rFonts w:ascii="Garamond" w:eastAsia="Calibri" w:hAnsi="Garamond" w:cs="Calibri"/>
          <w:sz w:val="24"/>
          <w:szCs w:val="24"/>
        </w:rPr>
        <w:t xml:space="preserve"> à</w:t>
      </w:r>
      <w:r w:rsidRPr="005C5CBD">
        <w:rPr>
          <w:rFonts w:ascii="Garamond" w:eastAsia="Calibri" w:hAnsi="Garamond" w:cs="Calibri"/>
          <w:sz w:val="24"/>
          <w:szCs w:val="24"/>
          <w:lang w:eastAsia="pt-BR"/>
        </w:rPr>
        <w:t xml:space="preserve">s </w:t>
      </w:r>
      <w:r w:rsidRPr="005C5CBD">
        <w:rPr>
          <w:rFonts w:ascii="Garamond" w:eastAsia="Calibri" w:hAnsi="Garamond" w:cs="Calibri"/>
          <w:sz w:val="24"/>
          <w:szCs w:val="24"/>
        </w:rPr>
        <w:t>ações</w:t>
      </w:r>
      <w:r w:rsidRPr="005C5CBD">
        <w:rPr>
          <w:rFonts w:ascii="Garamond" w:eastAsia="Calibri" w:hAnsi="Garamond" w:cs="Calibri"/>
          <w:sz w:val="24"/>
          <w:szCs w:val="24"/>
          <w:lang w:eastAsia="pt-BR"/>
        </w:rPr>
        <w:t xml:space="preserve"> </w:t>
      </w:r>
      <w:r w:rsidRPr="005C5CBD">
        <w:rPr>
          <w:rFonts w:ascii="Garamond" w:eastAsia="Calibri" w:hAnsi="Garamond" w:cs="Calibri"/>
          <w:sz w:val="24"/>
          <w:szCs w:val="24"/>
        </w:rPr>
        <w:t>recém-emitidas da empresa investigada</w:t>
      </w:r>
      <w:r w:rsidRPr="005C5CBD">
        <w:rPr>
          <w:rFonts w:ascii="Garamond" w:eastAsia="Calibri" w:hAnsi="Garamond" w:cs="Calibri"/>
          <w:sz w:val="24"/>
          <w:szCs w:val="24"/>
          <w:lang w:eastAsia="pt-BR"/>
        </w:rPr>
        <w:t xml:space="preserve"> adquiridas pelo governo</w:t>
      </w:r>
      <w:r w:rsidRPr="005C5CBD">
        <w:rPr>
          <w:rFonts w:ascii="Garamond" w:eastAsia="Calibri" w:hAnsi="Garamond" w:cs="Calibri"/>
          <w:sz w:val="24"/>
          <w:szCs w:val="24"/>
        </w:rPr>
        <w:t xml:space="preserve">, </w:t>
      </w:r>
      <w:r w:rsidRPr="005C5CBD">
        <w:rPr>
          <w:rFonts w:ascii="Garamond" w:eastAsia="Calibri" w:hAnsi="Garamond" w:cs="Calibri"/>
          <w:sz w:val="24"/>
          <w:szCs w:val="24"/>
          <w:lang w:eastAsia="pt-BR"/>
        </w:rPr>
        <w:t xml:space="preserve">a Subsecretaria de Defesa Comercial e Interesse Público </w:t>
      </w:r>
      <w:r w:rsidRPr="005C5CBD">
        <w:rPr>
          <w:rFonts w:ascii="Garamond" w:eastAsia="Calibri" w:hAnsi="Garamond" w:cs="Calibri"/>
          <w:sz w:val="24"/>
          <w:szCs w:val="24"/>
        </w:rPr>
        <w:t xml:space="preserve">avaliará se </w:t>
      </w:r>
      <w:r w:rsidRPr="005C5CBD">
        <w:rPr>
          <w:rFonts w:ascii="Garamond" w:eastAsia="Calibri" w:hAnsi="Garamond" w:cs="Calibri"/>
          <w:sz w:val="24"/>
          <w:szCs w:val="24"/>
          <w:lang w:eastAsia="pt-BR"/>
        </w:rPr>
        <w:t xml:space="preserve">uma </w:t>
      </w:r>
      <w:r w:rsidRPr="005C5CBD">
        <w:rPr>
          <w:rFonts w:ascii="Garamond" w:eastAsia="Calibri" w:hAnsi="Garamond" w:cs="Calibri"/>
          <w:sz w:val="24"/>
          <w:szCs w:val="24"/>
        </w:rPr>
        <w:t>compra desproporcional pelo governo de ações da empresa</w:t>
      </w:r>
      <w:r w:rsidRPr="005C5CBD">
        <w:rPr>
          <w:rFonts w:ascii="Garamond" w:eastAsia="Calibri" w:hAnsi="Garamond" w:cs="Calibri"/>
          <w:sz w:val="24"/>
          <w:szCs w:val="24"/>
          <w:lang w:eastAsia="pt-BR"/>
        </w:rPr>
        <w:t xml:space="preserve"> impactou </w:t>
      </w:r>
      <w:r w:rsidRPr="005C5CBD">
        <w:rPr>
          <w:rFonts w:ascii="Garamond" w:eastAsia="Calibri" w:hAnsi="Garamond" w:cs="Calibri"/>
          <w:sz w:val="24"/>
          <w:szCs w:val="24"/>
        </w:rPr>
        <w:t xml:space="preserve">o preço de oferta das ações </w:t>
      </w:r>
      <w:r w:rsidRPr="005C5CBD">
        <w:rPr>
          <w:rFonts w:ascii="Garamond" w:eastAsia="Calibri" w:hAnsi="Garamond" w:cs="Calibri"/>
          <w:sz w:val="24"/>
          <w:szCs w:val="24"/>
          <w:lang w:eastAsia="pt-BR"/>
        </w:rPr>
        <w:t>comparáveis</w:t>
      </w:r>
      <w:r w:rsidRPr="005C5CBD">
        <w:rPr>
          <w:rFonts w:ascii="Garamond" w:eastAsia="Calibri" w:hAnsi="Garamond" w:cs="Calibri"/>
          <w:sz w:val="24"/>
          <w:szCs w:val="24"/>
        </w:rPr>
        <w:t xml:space="preserve"> adquiridas por </w:t>
      </w:r>
      <w:r w:rsidRPr="005C5CBD">
        <w:rPr>
          <w:rFonts w:ascii="Garamond" w:eastAsia="Calibri" w:hAnsi="Garamond" w:cs="Calibri"/>
          <w:sz w:val="24"/>
          <w:szCs w:val="24"/>
          <w:lang w:eastAsia="pt-BR"/>
        </w:rPr>
        <w:t xml:space="preserve">aqueles </w:t>
      </w:r>
      <w:r w:rsidRPr="005C5CBD">
        <w:rPr>
          <w:rFonts w:ascii="Garamond" w:eastAsia="Calibri" w:hAnsi="Garamond" w:cs="Calibri"/>
          <w:sz w:val="24"/>
          <w:szCs w:val="24"/>
        </w:rPr>
        <w:t>investidores.</w:t>
      </w:r>
    </w:p>
    <w:p w14:paraId="61373A85" w14:textId="77777777" w:rsidR="00395593" w:rsidRPr="005C5CBD" w:rsidRDefault="00395593" w:rsidP="006A735F">
      <w:pPr>
        <w:spacing w:after="0" w:line="240" w:lineRule="auto"/>
        <w:ind w:firstLine="567"/>
        <w:rPr>
          <w:rFonts w:ascii="Garamond" w:eastAsia="Calibri" w:hAnsi="Garamond" w:cs="Calibri"/>
          <w:sz w:val="24"/>
          <w:szCs w:val="24"/>
          <w:lang w:eastAsia="pt-BR"/>
        </w:rPr>
      </w:pPr>
    </w:p>
    <w:p w14:paraId="1ECCE6D2" w14:textId="55B9C28B"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lang w:eastAsia="pt-BR"/>
        </w:rPr>
        <w:t xml:space="preserve">Art. 69. </w:t>
      </w:r>
      <w:r w:rsidRPr="005C5CBD">
        <w:rPr>
          <w:rFonts w:ascii="Garamond" w:eastAsia="Calibri" w:hAnsi="Garamond" w:cs="Calibri"/>
          <w:sz w:val="24"/>
          <w:szCs w:val="24"/>
        </w:rPr>
        <w:t xml:space="preserve">Para fins da determinação prevista no </w:t>
      </w:r>
      <w:r w:rsidRPr="005C5CBD">
        <w:rPr>
          <w:rFonts w:ascii="Garamond" w:eastAsia="Calibri" w:hAnsi="Garamond" w:cs="Calibri"/>
          <w:b/>
          <w:sz w:val="24"/>
          <w:szCs w:val="24"/>
        </w:rPr>
        <w:t>caput</w:t>
      </w:r>
      <w:r w:rsidRPr="005C5CBD">
        <w:rPr>
          <w:rFonts w:ascii="Garamond" w:eastAsia="Calibri" w:hAnsi="Garamond" w:cs="Calibri"/>
          <w:sz w:val="24"/>
          <w:szCs w:val="24"/>
        </w:rPr>
        <w:t xml:space="preserve"> </w:t>
      </w:r>
      <w:r w:rsidRPr="005C5CBD">
        <w:rPr>
          <w:rFonts w:ascii="Garamond" w:eastAsia="Calibri" w:hAnsi="Garamond" w:cs="Calibri"/>
          <w:sz w:val="24"/>
          <w:szCs w:val="24"/>
          <w:lang w:eastAsia="pt-BR"/>
        </w:rPr>
        <w:t xml:space="preserve">do art. </w:t>
      </w:r>
      <w:r w:rsidR="00BD507C">
        <w:rPr>
          <w:rFonts w:ascii="Garamond" w:eastAsia="Calibri" w:hAnsi="Garamond" w:cs="Calibri"/>
          <w:sz w:val="24"/>
          <w:szCs w:val="24"/>
          <w:lang w:eastAsia="pt-BR"/>
        </w:rPr>
        <w:t>66</w:t>
      </w:r>
      <w:r w:rsidR="00E15FBB" w:rsidRPr="005C5CBD">
        <w:rPr>
          <w:rFonts w:ascii="Garamond" w:eastAsia="Calibri" w:hAnsi="Garamond" w:cs="Calibri"/>
          <w:sz w:val="24"/>
          <w:szCs w:val="24"/>
        </w:rPr>
        <w:t>,</w:t>
      </w:r>
      <w:r w:rsidRPr="005C5CBD">
        <w:rPr>
          <w:rFonts w:ascii="Garamond" w:eastAsia="Calibri" w:hAnsi="Garamond" w:cs="Calibri"/>
          <w:sz w:val="24"/>
          <w:szCs w:val="24"/>
        </w:rPr>
        <w:t xml:space="preserve"> </w:t>
      </w:r>
      <w:r w:rsidRPr="005C5CBD">
        <w:rPr>
          <w:rFonts w:ascii="Garamond" w:eastAsia="Calibri" w:hAnsi="Garamond" w:cs="Calibri"/>
          <w:sz w:val="24"/>
          <w:szCs w:val="24"/>
          <w:lang w:eastAsia="pt-BR"/>
        </w:rPr>
        <w:t xml:space="preserve">caberá </w:t>
      </w:r>
      <w:r w:rsidRPr="005C5CBD">
        <w:rPr>
          <w:rFonts w:ascii="Garamond" w:eastAsia="Calibri" w:hAnsi="Garamond" w:cs="Calibri"/>
          <w:sz w:val="24"/>
          <w:szCs w:val="24"/>
        </w:rPr>
        <w:t xml:space="preserve">às empresas investigadas </w:t>
      </w:r>
      <w:r w:rsidRPr="005C5CBD">
        <w:rPr>
          <w:rFonts w:ascii="Garamond" w:eastAsia="Calibri" w:hAnsi="Garamond" w:cs="Calibri"/>
          <w:sz w:val="24"/>
          <w:szCs w:val="24"/>
          <w:lang w:eastAsia="pt-BR"/>
        </w:rPr>
        <w:t xml:space="preserve">e ao governo do país exportador a obrigação de fornecer as </w:t>
      </w:r>
      <w:r w:rsidRPr="005C5CBD">
        <w:rPr>
          <w:rFonts w:ascii="Garamond" w:eastAsia="Calibri" w:hAnsi="Garamond" w:cs="Calibri"/>
          <w:sz w:val="24"/>
          <w:szCs w:val="24"/>
        </w:rPr>
        <w:t>informações e análises concluídas anteriormente ao aporte de capital do governo</w:t>
      </w:r>
      <w:r w:rsidRPr="005C5CBD">
        <w:rPr>
          <w:rFonts w:ascii="Garamond" w:eastAsia="Calibri" w:hAnsi="Garamond" w:cs="Calibri"/>
          <w:sz w:val="24"/>
          <w:szCs w:val="24"/>
          <w:lang w:eastAsia="pt-BR"/>
        </w:rPr>
        <w:t>, as quais</w:t>
      </w:r>
      <w:r w:rsidRPr="005C5CBD">
        <w:rPr>
          <w:rFonts w:ascii="Garamond" w:eastAsia="Calibri" w:hAnsi="Garamond" w:cs="Calibri"/>
          <w:sz w:val="24"/>
          <w:szCs w:val="24"/>
        </w:rPr>
        <w:t xml:space="preserve"> serviram de base razoável para justificar a decisão </w:t>
      </w:r>
      <w:r w:rsidRPr="005C5CBD">
        <w:rPr>
          <w:rFonts w:ascii="Garamond" w:eastAsia="Calibri" w:hAnsi="Garamond" w:cs="Calibri"/>
          <w:sz w:val="24"/>
          <w:szCs w:val="24"/>
          <w:lang w:eastAsia="pt-BR"/>
        </w:rPr>
        <w:t xml:space="preserve">deste </w:t>
      </w:r>
      <w:r w:rsidRPr="005C5CBD">
        <w:rPr>
          <w:rFonts w:ascii="Garamond" w:eastAsia="Calibri" w:hAnsi="Garamond" w:cs="Calibri"/>
          <w:sz w:val="24"/>
          <w:szCs w:val="24"/>
        </w:rPr>
        <w:t>de investir na empresa investigada.</w:t>
      </w:r>
    </w:p>
    <w:p w14:paraId="35BFCC59" w14:textId="77777777" w:rsidR="00395593" w:rsidRPr="005C5CBD" w:rsidRDefault="00395593" w:rsidP="006A735F">
      <w:pPr>
        <w:spacing w:after="0" w:line="240" w:lineRule="auto"/>
        <w:ind w:firstLine="567"/>
        <w:rPr>
          <w:rFonts w:ascii="Garamond" w:eastAsia="Calibri" w:hAnsi="Garamond" w:cs="Calibri"/>
          <w:sz w:val="24"/>
          <w:szCs w:val="24"/>
          <w:lang w:eastAsia="pt-BR"/>
        </w:rPr>
      </w:pPr>
    </w:p>
    <w:p w14:paraId="1A0F45CE"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lang w:eastAsia="pt-BR"/>
        </w:rPr>
        <w:t xml:space="preserve">Parágrafo único. </w:t>
      </w:r>
      <w:r w:rsidRPr="005C5CBD">
        <w:rPr>
          <w:rFonts w:ascii="Garamond" w:eastAsia="Calibri" w:hAnsi="Garamond" w:cs="Calibri"/>
          <w:sz w:val="24"/>
          <w:szCs w:val="24"/>
        </w:rPr>
        <w:t xml:space="preserve">Na ausência de submissão de informações e análises concluídas anteriormente ao aporte de capital do governo, </w:t>
      </w:r>
      <w:r w:rsidRPr="005C5CBD">
        <w:rPr>
          <w:rFonts w:ascii="Garamond" w:eastAsia="Calibri" w:hAnsi="Garamond" w:cs="Calibri"/>
          <w:sz w:val="24"/>
          <w:szCs w:val="24"/>
          <w:lang w:eastAsia="pt-BR"/>
        </w:rPr>
        <w:t xml:space="preserve">a Subsecretaria de Defesa Comercial e Interesse Público poderá ensejar a utilização da melhor informação disponível, nos termos do </w:t>
      </w:r>
      <w:r w:rsidRPr="005C5CBD">
        <w:rPr>
          <w:rFonts w:ascii="Garamond" w:eastAsia="Times New Roman" w:hAnsi="Garamond" w:cs="Calibri"/>
          <w:sz w:val="24"/>
          <w:szCs w:val="24"/>
          <w:lang w:eastAsia="pt-BR"/>
        </w:rPr>
        <w:t xml:space="preserve">§ 3º do </w:t>
      </w:r>
      <w:r w:rsidRPr="005C5CBD">
        <w:rPr>
          <w:rFonts w:ascii="Garamond" w:eastAsia="Calibri" w:hAnsi="Garamond" w:cs="Calibri"/>
          <w:sz w:val="24"/>
          <w:szCs w:val="24"/>
          <w:lang w:eastAsia="pt-BR"/>
        </w:rPr>
        <w:t xml:space="preserve">art. </w:t>
      </w:r>
      <w:r w:rsidRPr="005C5CBD">
        <w:rPr>
          <w:rFonts w:ascii="Garamond" w:eastAsia="Times New Roman" w:hAnsi="Garamond" w:cs="Calibri"/>
          <w:sz w:val="24"/>
          <w:szCs w:val="24"/>
          <w:lang w:eastAsia="pt-BR"/>
        </w:rPr>
        <w:t>46, c/c arts. 174 a 179 do Decreto nº 10.839, de 2021</w:t>
      </w:r>
      <w:r w:rsidRPr="005C5CBD">
        <w:rPr>
          <w:rFonts w:ascii="Garamond" w:eastAsia="Calibri" w:hAnsi="Garamond" w:cs="Calibri"/>
          <w:sz w:val="24"/>
          <w:szCs w:val="24"/>
        </w:rPr>
        <w:t xml:space="preserve">. </w:t>
      </w:r>
    </w:p>
    <w:p w14:paraId="56F5B0A6" w14:textId="77777777" w:rsidR="00395593" w:rsidRPr="005C5CBD" w:rsidRDefault="00395593" w:rsidP="006A735F">
      <w:pPr>
        <w:spacing w:after="0" w:line="240" w:lineRule="auto"/>
        <w:ind w:firstLine="567"/>
        <w:jc w:val="both"/>
        <w:rPr>
          <w:rFonts w:ascii="Garamond" w:eastAsia="Calibri" w:hAnsi="Garamond" w:cs="Calibri"/>
          <w:sz w:val="24"/>
          <w:szCs w:val="24"/>
        </w:rPr>
      </w:pPr>
    </w:p>
    <w:p w14:paraId="2A86AEB7"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lang w:eastAsia="pt-BR"/>
        </w:rPr>
        <w:t xml:space="preserve">Art. 70. </w:t>
      </w:r>
      <w:r w:rsidRPr="005C5CBD">
        <w:rPr>
          <w:rFonts w:ascii="Garamond" w:eastAsia="Calibri" w:hAnsi="Garamond" w:cs="Calibri"/>
          <w:sz w:val="24"/>
          <w:szCs w:val="24"/>
        </w:rPr>
        <w:t xml:space="preserve">Em regra, </w:t>
      </w:r>
      <w:r w:rsidRPr="005C5CBD">
        <w:rPr>
          <w:rFonts w:ascii="Garamond" w:eastAsia="Calibri" w:hAnsi="Garamond" w:cs="Calibri"/>
          <w:sz w:val="24"/>
          <w:szCs w:val="24"/>
          <w:lang w:eastAsia="pt-BR"/>
        </w:rPr>
        <w:t xml:space="preserve">a Subsecretaria de Defesa Comercial e Interesse Público </w:t>
      </w:r>
      <w:r w:rsidRPr="005C5CBD">
        <w:rPr>
          <w:rFonts w:ascii="Garamond" w:eastAsia="Calibri" w:hAnsi="Garamond" w:cs="Calibri"/>
          <w:sz w:val="24"/>
          <w:szCs w:val="24"/>
        </w:rPr>
        <w:t>considerará que o benefício foi recebido na data em que a empresa investigada recebeu o aporte de capital pelo governo.</w:t>
      </w:r>
    </w:p>
    <w:p w14:paraId="0BE9773A" w14:textId="77777777" w:rsidR="00395593" w:rsidRPr="005C5CBD" w:rsidRDefault="00395593" w:rsidP="006A735F">
      <w:pPr>
        <w:spacing w:after="0" w:line="240" w:lineRule="auto"/>
        <w:ind w:firstLine="567"/>
        <w:rPr>
          <w:rFonts w:ascii="Garamond" w:eastAsia="Calibri" w:hAnsi="Garamond" w:cs="Calibri"/>
          <w:strike/>
          <w:sz w:val="24"/>
          <w:szCs w:val="24"/>
        </w:rPr>
      </w:pPr>
    </w:p>
    <w:p w14:paraId="168FB042"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Art. 71. Em regra, a Subsecretaria de Defesa Comercial e Interesse Público alocará o benefício conferido pelo aporte de capital do governo ao período de tempo equivalente ao período de alocação de subsídio não recorrente</w:t>
      </w:r>
      <w:r w:rsidRPr="005C5CBD" w:rsidDel="00543DB0">
        <w:rPr>
          <w:rFonts w:ascii="Garamond" w:eastAsia="Calibri" w:hAnsi="Garamond" w:cs="Calibri"/>
          <w:sz w:val="24"/>
          <w:szCs w:val="24"/>
          <w:lang w:eastAsia="pt-BR"/>
        </w:rPr>
        <w:t>.</w:t>
      </w:r>
    </w:p>
    <w:p w14:paraId="216992B2"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6A2D6B69"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Art. 72. Se o preço pago por investidores privados não estiver disponível, a Subsecretaria de Defesa Comercial e Interesse Público determinará se a empresa tinha capacidade de capitalização (empresa </w:t>
      </w:r>
      <w:r w:rsidRPr="005C5CBD">
        <w:rPr>
          <w:rFonts w:ascii="Garamond" w:eastAsia="Calibri" w:hAnsi="Garamond" w:cs="Calibri"/>
          <w:b/>
          <w:sz w:val="24"/>
          <w:szCs w:val="24"/>
          <w:lang w:eastAsia="pt-BR"/>
        </w:rPr>
        <w:t>equityworthy</w:t>
      </w:r>
      <w:r w:rsidRPr="005C5CBD">
        <w:rPr>
          <w:rFonts w:ascii="Garamond" w:eastAsia="Calibri" w:hAnsi="Garamond" w:cs="Calibri"/>
          <w:sz w:val="24"/>
          <w:szCs w:val="24"/>
          <w:lang w:eastAsia="pt-BR"/>
        </w:rPr>
        <w:t xml:space="preserve">) ou não capacidade de capitalização (empresa </w:t>
      </w:r>
      <w:r w:rsidRPr="005C5CBD">
        <w:rPr>
          <w:rFonts w:ascii="Garamond" w:eastAsia="Calibri" w:hAnsi="Garamond" w:cs="Calibri"/>
          <w:b/>
          <w:sz w:val="24"/>
          <w:szCs w:val="24"/>
          <w:lang w:eastAsia="pt-BR"/>
        </w:rPr>
        <w:t>unequityworthy</w:t>
      </w:r>
      <w:r w:rsidRPr="005C5CBD">
        <w:rPr>
          <w:rFonts w:ascii="Garamond" w:eastAsia="Calibri" w:hAnsi="Garamond" w:cs="Calibri"/>
          <w:sz w:val="24"/>
          <w:szCs w:val="24"/>
          <w:lang w:eastAsia="pt-BR"/>
        </w:rPr>
        <w:t>) no momento em que recebeu o aporte de capital pelo governo.</w:t>
      </w:r>
    </w:p>
    <w:p w14:paraId="6B7E968D"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72627F47" w14:textId="74BCA4BF"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1º Na análise do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xml:space="preserve"> deste artigo a Subsecretaria de Defesa Comercial e Interesse Público levará em consideração se, a partir da perspectiva de um investidor privado que examina a empresa ou projeto no momento do aporte de capital pelo governo, a empresa ou projeto demonstraria capacidade de gerar uma taxa de retorno razoável dentro de um período de tempo razoável, nos termos do § 2º do art. </w:t>
      </w:r>
      <w:r w:rsidR="00BD507C">
        <w:rPr>
          <w:rFonts w:ascii="Garamond" w:eastAsia="Calibri" w:hAnsi="Garamond" w:cs="Calibri"/>
          <w:sz w:val="24"/>
          <w:szCs w:val="24"/>
          <w:lang w:eastAsia="pt-BR"/>
        </w:rPr>
        <w:t>25</w:t>
      </w:r>
      <w:r w:rsidR="00E15FBB" w:rsidRPr="005C5CBD">
        <w:rPr>
          <w:rFonts w:ascii="Garamond" w:eastAsia="Calibri" w:hAnsi="Garamond" w:cs="Calibri"/>
          <w:sz w:val="24"/>
          <w:szCs w:val="24"/>
          <w:lang w:eastAsia="pt-BR"/>
        </w:rPr>
        <w:t>,</w:t>
      </w:r>
      <w:r w:rsidRPr="005C5CBD">
        <w:rPr>
          <w:rFonts w:ascii="Garamond" w:eastAsia="Calibri" w:hAnsi="Garamond" w:cs="Calibri"/>
          <w:sz w:val="24"/>
          <w:szCs w:val="24"/>
          <w:lang w:eastAsia="pt-BR"/>
        </w:rPr>
        <w:t xml:space="preserve"> incluindo, dentre outros critérios:</w:t>
      </w:r>
    </w:p>
    <w:p w14:paraId="47B9C1E6"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3C507F2E"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Times New Roman" w:hAnsi="Garamond" w:cs="Segoe UI"/>
          <w:sz w:val="21"/>
          <w:szCs w:val="21"/>
          <w:lang w:eastAsia="pt-BR"/>
        </w:rPr>
        <w:t xml:space="preserve">I - </w:t>
      </w:r>
      <w:r w:rsidRPr="005C5CBD">
        <w:rPr>
          <w:rFonts w:ascii="Garamond" w:eastAsia="Calibri" w:hAnsi="Garamond" w:cs="Calibri"/>
          <w:sz w:val="24"/>
          <w:szCs w:val="24"/>
          <w:lang w:eastAsia="pt-BR"/>
        </w:rPr>
        <w:t>análises objetivas das perspectivas financeiras futuras da empresa ou do projeto, conforme indicado por, entre outros, estudos de mercado, previsões econômicas e avaliações de projetos ou empréstimos preparadas antes da injeção de capital fornecido pelo governo;</w:t>
      </w:r>
    </w:p>
    <w:p w14:paraId="772BCD64"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667372AE"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II - indicadores atuais e passados da saúde financeira da empresa beneficiária, calculados a partir dos extratos e contas da empresa, ajustados, se apropriado, para estar em conformidade com os princípios contábeis geralmente aceitos;</w:t>
      </w:r>
    </w:p>
    <w:p w14:paraId="76037910"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7E4864AD"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III - taxas de retorno sobre o patrimônio líquido nos três anos anteriores ao aporte de capital pelo governo; e</w:t>
      </w:r>
    </w:p>
    <w:p w14:paraId="3A4B4971"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754D52FB" w14:textId="77777777" w:rsidR="00395593" w:rsidRPr="005C5CBD" w:rsidRDefault="00395593" w:rsidP="006A735F">
      <w:pPr>
        <w:spacing w:after="0" w:line="240" w:lineRule="auto"/>
        <w:ind w:firstLine="567"/>
        <w:jc w:val="both"/>
        <w:rPr>
          <w:rFonts w:ascii="Garamond" w:eastAsia="Times New Roman" w:hAnsi="Garamond" w:cs="Times New Roman"/>
          <w:sz w:val="24"/>
          <w:szCs w:val="24"/>
          <w:lang w:eastAsia="pt-BR"/>
        </w:rPr>
      </w:pPr>
      <w:r w:rsidRPr="005C5CBD">
        <w:rPr>
          <w:rFonts w:ascii="Garamond" w:eastAsia="Calibri" w:hAnsi="Garamond" w:cs="Calibri"/>
          <w:sz w:val="24"/>
          <w:szCs w:val="24"/>
          <w:lang w:eastAsia="pt-BR"/>
        </w:rPr>
        <w:t>IV - investimento de capital na empresa por investidores privados.</w:t>
      </w:r>
    </w:p>
    <w:p w14:paraId="32756CB5"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5DD8299A"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2º Se determinar que a empresa ou projeto tinha capacidade de capitalização, a Subsecretaria de Defesa Comercial e Interesse Público examinará caso a caso os termos e a natureza das ações adquiridas para determinar se o investimento foi inconsistente com a prática de investimento usual de investidores privados.</w:t>
      </w:r>
    </w:p>
    <w:p w14:paraId="48C0EE95"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2C8DAAB7"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3º A Subsecretaria de Defesa Comercial e Interesse Público poderá, em circunstâncias apropriadas, realizar a análise referida no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xml:space="preserve"> em um projeto específico, e não na empresa como um todo.</w:t>
      </w:r>
    </w:p>
    <w:p w14:paraId="51DAE720"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55E19CC0"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4º Se a Subsecretaria de Defesa Comercial e Interesse Público determinar que a empresa ou projeto não tinha capacidade de capitalização</w:t>
      </w:r>
      <w:r w:rsidRPr="005C5CBD">
        <w:rPr>
          <w:rFonts w:ascii="Garamond" w:eastAsia="Calibri" w:hAnsi="Garamond" w:cs="Calibri"/>
          <w:b/>
          <w:sz w:val="24"/>
          <w:szCs w:val="24"/>
          <w:lang w:eastAsia="pt-BR"/>
        </w:rPr>
        <w:t>,</w:t>
      </w:r>
      <w:r w:rsidRPr="005C5CBD">
        <w:rPr>
          <w:rFonts w:ascii="Garamond" w:eastAsia="Calibri" w:hAnsi="Garamond" w:cs="Calibri"/>
          <w:sz w:val="24"/>
          <w:szCs w:val="24"/>
          <w:lang w:eastAsia="pt-BR"/>
        </w:rPr>
        <w:t xml:space="preserve"> o benefício para a empresa corresponderá ao valor total do aporte de capital.</w:t>
      </w:r>
    </w:p>
    <w:p w14:paraId="4B4761B1" w14:textId="77777777" w:rsidR="00395593" w:rsidRPr="005C5CBD" w:rsidRDefault="00395593" w:rsidP="00E15FBB">
      <w:pPr>
        <w:spacing w:after="0" w:line="240" w:lineRule="auto"/>
        <w:jc w:val="both"/>
        <w:rPr>
          <w:rFonts w:ascii="Garamond" w:eastAsia="Calibri" w:hAnsi="Garamond" w:cs="Calibri"/>
          <w:sz w:val="24"/>
          <w:szCs w:val="24"/>
        </w:rPr>
      </w:pPr>
    </w:p>
    <w:p w14:paraId="0C7BAB61" w14:textId="77777777" w:rsidR="00395593" w:rsidRPr="007B17E1" w:rsidRDefault="00395593" w:rsidP="00EA0CC8">
      <w:pPr>
        <w:pStyle w:val="Corpodetexto"/>
        <w:jc w:val="center"/>
        <w:rPr>
          <w:rFonts w:ascii="Garamond" w:eastAsia="MS Gothic" w:hAnsi="Garamond"/>
          <w:b/>
          <w:lang w:eastAsia="pt-BR"/>
        </w:rPr>
      </w:pPr>
      <w:r w:rsidRPr="007B17E1">
        <w:rPr>
          <w:rFonts w:ascii="Garamond" w:eastAsia="MS Gothic" w:hAnsi="Garamond"/>
          <w:b/>
          <w:lang w:eastAsia="pt-BR"/>
        </w:rPr>
        <w:t>Subseção VI</w:t>
      </w:r>
    </w:p>
    <w:p w14:paraId="7F6A672D" w14:textId="77777777" w:rsidR="00395593" w:rsidRPr="005C5CBD" w:rsidRDefault="00395593" w:rsidP="00EA0CC8">
      <w:pPr>
        <w:pStyle w:val="Corpodetexto"/>
        <w:jc w:val="center"/>
        <w:rPr>
          <w:rFonts w:eastAsia="MS Gothic"/>
          <w:lang w:eastAsia="pt-BR"/>
        </w:rPr>
      </w:pPr>
      <w:r w:rsidRPr="007B17E1">
        <w:rPr>
          <w:rFonts w:ascii="Garamond" w:eastAsia="MS Gothic" w:hAnsi="Garamond"/>
          <w:b/>
          <w:lang w:eastAsia="pt-BR"/>
        </w:rPr>
        <w:t>Do perdão de dívidas</w:t>
      </w:r>
    </w:p>
    <w:p w14:paraId="3005195E"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4EAAF3E7" w14:textId="77777777" w:rsidR="00395593" w:rsidRPr="005C5CBD" w:rsidRDefault="00395593" w:rsidP="006A735F">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73.</w:t>
      </w:r>
      <w:r w:rsidRPr="005C5CBD" w:rsidDel="00170527">
        <w:rPr>
          <w:rFonts w:ascii="Garamond" w:eastAsia="Calibri" w:hAnsi="Garamond" w:cs="Calibri"/>
          <w:sz w:val="24"/>
          <w:szCs w:val="24"/>
          <w:lang w:eastAsia="pt-BR"/>
        </w:rPr>
        <w:t xml:space="preserve"> </w:t>
      </w:r>
      <w:r w:rsidRPr="005C5CBD">
        <w:rPr>
          <w:rFonts w:ascii="Garamond" w:eastAsia="Times New Roman" w:hAnsi="Garamond" w:cs="Calibri"/>
          <w:sz w:val="24"/>
          <w:szCs w:val="24"/>
          <w:lang w:eastAsia="pt-BR"/>
        </w:rPr>
        <w:t>No caso de perdão de dívidas ou quaisquer obrigações pecuniárias semelhantes pelo governo, a Subsecretaria de Defesa Comercial e Interesse Público normalmente considerará que foi conferido um benefício equivalente ao montante do valor do principal acrescido de juros e quaisquer penalidades pecuniárias que tiverem sido perdoadas.</w:t>
      </w:r>
    </w:p>
    <w:p w14:paraId="0F5BCD12" w14:textId="77777777" w:rsidR="00395593" w:rsidRPr="005C5CBD" w:rsidRDefault="00395593" w:rsidP="006A735F">
      <w:pPr>
        <w:spacing w:after="0" w:line="240" w:lineRule="auto"/>
        <w:ind w:firstLineChars="100" w:firstLine="240"/>
        <w:rPr>
          <w:rFonts w:ascii="Garamond" w:eastAsia="Times New Roman" w:hAnsi="Garamond" w:cs="Calibri"/>
          <w:sz w:val="24"/>
          <w:szCs w:val="24"/>
          <w:lang w:eastAsia="pt-BR"/>
        </w:rPr>
      </w:pPr>
    </w:p>
    <w:p w14:paraId="4FD6F172" w14:textId="77777777" w:rsidR="00395593" w:rsidRPr="005C5CBD" w:rsidRDefault="00395593" w:rsidP="006A735F">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§1º  Para fins de cálculo do benefício </w:t>
      </w:r>
      <w:r w:rsidRPr="005C5CBD">
        <w:rPr>
          <w:rFonts w:ascii="Garamond" w:eastAsia="Calibri" w:hAnsi="Garamond" w:cs="Calibri"/>
          <w:sz w:val="24"/>
          <w:szCs w:val="24"/>
          <w:lang w:eastAsia="pt-BR"/>
        </w:rPr>
        <w:t xml:space="preserve">a Subsecretaria de Defesa Comercial e Interesse Público </w:t>
      </w:r>
      <w:r w:rsidRPr="005C5CBD">
        <w:rPr>
          <w:rFonts w:ascii="Garamond" w:eastAsia="Times New Roman" w:hAnsi="Garamond" w:cs="Calibri"/>
          <w:sz w:val="24"/>
          <w:szCs w:val="24"/>
          <w:lang w:eastAsia="pt-BR"/>
        </w:rPr>
        <w:t xml:space="preserve">normalmente irá considerar o perdão de dívidas como uma doação, nos termos da Subseção I da Seção IV deste Capítulo. </w:t>
      </w:r>
    </w:p>
    <w:p w14:paraId="03F98E51" w14:textId="77777777" w:rsidR="00395593" w:rsidRPr="005C5CBD" w:rsidRDefault="00395593" w:rsidP="006A735F">
      <w:pPr>
        <w:spacing w:after="0" w:line="240" w:lineRule="auto"/>
        <w:ind w:firstLineChars="100" w:firstLine="240"/>
        <w:jc w:val="both"/>
        <w:rPr>
          <w:rFonts w:ascii="Garamond" w:eastAsia="Times New Roman" w:hAnsi="Garamond" w:cs="Calibri"/>
          <w:sz w:val="24"/>
          <w:szCs w:val="24"/>
          <w:lang w:eastAsia="pt-BR"/>
        </w:rPr>
      </w:pPr>
    </w:p>
    <w:p w14:paraId="17D55C1F" w14:textId="77777777" w:rsidR="00395593" w:rsidRPr="005C5CBD" w:rsidRDefault="00395593" w:rsidP="006A735F">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§2º  As disposições desta Subseção se aplicam na hipótese de assunção de dívidas da empresa investigada por parte governo.</w:t>
      </w:r>
    </w:p>
    <w:p w14:paraId="6F3BC88E" w14:textId="77777777" w:rsidR="00395593" w:rsidRPr="005C5CBD" w:rsidRDefault="00395593" w:rsidP="006A735F">
      <w:pPr>
        <w:spacing w:after="0" w:line="240" w:lineRule="auto"/>
        <w:ind w:firstLineChars="100" w:firstLine="240"/>
        <w:jc w:val="both"/>
        <w:rPr>
          <w:rFonts w:ascii="Garamond" w:eastAsia="Times New Roman" w:hAnsi="Garamond" w:cs="Calibri"/>
          <w:sz w:val="24"/>
          <w:szCs w:val="24"/>
          <w:lang w:eastAsia="pt-BR"/>
        </w:rPr>
      </w:pPr>
    </w:p>
    <w:p w14:paraId="6389F1BC" w14:textId="77777777" w:rsidR="00395593" w:rsidRPr="005C5CBD" w:rsidRDefault="00395593" w:rsidP="006A735F">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3º  Quando a assunção de uma dívida de juros estiver vinculada a juros de um empréstimo específico e a empresa investigada puder razoavelmente esperar receber o perdão da dívida de juros no momento em que solicita o empréstimo (</w:t>
      </w:r>
      <w:r w:rsidRPr="005C5CBD">
        <w:rPr>
          <w:rFonts w:ascii="Garamond" w:eastAsia="Times New Roman" w:hAnsi="Garamond" w:cs="Calibri"/>
          <w:b/>
          <w:sz w:val="24"/>
          <w:szCs w:val="24"/>
          <w:lang w:eastAsia="pt-BR"/>
        </w:rPr>
        <w:t>e.g.</w:t>
      </w:r>
      <w:r w:rsidRPr="005C5CBD">
        <w:rPr>
          <w:rFonts w:ascii="Garamond" w:eastAsia="Times New Roman" w:hAnsi="Garamond" w:cs="Calibri"/>
          <w:sz w:val="24"/>
          <w:szCs w:val="24"/>
          <w:lang w:eastAsia="pt-BR"/>
        </w:rPr>
        <w:t xml:space="preserve">, programas governamentais que concedem redução ou equalização de taxas de juros), a Subsecretaria de Defesa Comercial e Interesse Público em regra calculará o benefício com base no montante de juros assumidos pelo governo e o alocará de acordo com a Subseção II desta Seção. </w:t>
      </w:r>
    </w:p>
    <w:p w14:paraId="3E0BA6C4" w14:textId="77777777" w:rsidR="00395593" w:rsidRPr="005C5CBD" w:rsidRDefault="00395593" w:rsidP="006A735F">
      <w:pPr>
        <w:spacing w:after="0" w:line="240" w:lineRule="auto"/>
        <w:ind w:firstLineChars="100" w:firstLine="240"/>
        <w:jc w:val="both"/>
        <w:rPr>
          <w:rFonts w:ascii="Garamond" w:eastAsia="Times New Roman" w:hAnsi="Garamond" w:cs="Calibri"/>
          <w:sz w:val="24"/>
          <w:szCs w:val="24"/>
          <w:lang w:eastAsia="pt-BR"/>
        </w:rPr>
      </w:pPr>
    </w:p>
    <w:p w14:paraId="60099580" w14:textId="77777777" w:rsidR="00395593" w:rsidRPr="005C5CBD" w:rsidRDefault="00395593" w:rsidP="006A735F">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4º  Na hipótese de o governo perdoar total ou parcialmente a dívida da empresa investigada e receber em troca participação no capital da empresa, </w:t>
      </w:r>
      <w:r w:rsidRPr="005C5CBD">
        <w:rPr>
          <w:rFonts w:ascii="Garamond" w:eastAsia="Calibri" w:hAnsi="Garamond" w:cs="Calibri"/>
          <w:sz w:val="24"/>
          <w:szCs w:val="24"/>
          <w:lang w:eastAsia="pt-BR"/>
        </w:rPr>
        <w:t xml:space="preserve">a Subsecretaria de Defesa Comercial e Interesse Público </w:t>
      </w:r>
      <w:r w:rsidRPr="005C5CBD">
        <w:rPr>
          <w:rFonts w:ascii="Garamond" w:eastAsia="Times New Roman" w:hAnsi="Garamond" w:cs="Calibri"/>
          <w:sz w:val="24"/>
          <w:szCs w:val="24"/>
          <w:lang w:eastAsia="pt-BR"/>
        </w:rPr>
        <w:t>normalmente tratará a operação como aporte de capital pelo governo para fins de cálculo do benefício e avaliará se de fato a empresa tinha capacidade de capitalização (</w:t>
      </w:r>
      <w:r w:rsidRPr="005C5CBD">
        <w:rPr>
          <w:rFonts w:ascii="Garamond" w:eastAsia="Times New Roman" w:hAnsi="Garamond" w:cs="Calibri"/>
          <w:b/>
          <w:bCs/>
          <w:sz w:val="24"/>
          <w:szCs w:val="24"/>
          <w:lang w:eastAsia="pt-BR"/>
        </w:rPr>
        <w:t>equityworthy</w:t>
      </w:r>
      <w:r w:rsidRPr="005C5CBD">
        <w:rPr>
          <w:rFonts w:ascii="Garamond" w:eastAsia="Times New Roman" w:hAnsi="Garamond" w:cs="Calibri"/>
          <w:sz w:val="24"/>
          <w:szCs w:val="24"/>
          <w:lang w:eastAsia="pt-BR"/>
        </w:rPr>
        <w:t>).</w:t>
      </w:r>
    </w:p>
    <w:p w14:paraId="6AB949B5" w14:textId="77777777" w:rsidR="00395593" w:rsidRPr="005C5CBD" w:rsidRDefault="00395593" w:rsidP="006A735F">
      <w:pPr>
        <w:spacing w:after="0" w:line="240" w:lineRule="auto"/>
        <w:ind w:firstLineChars="100" w:firstLine="240"/>
        <w:rPr>
          <w:rFonts w:ascii="Garamond" w:eastAsia="Times New Roman" w:hAnsi="Garamond" w:cs="Calibri"/>
          <w:sz w:val="24"/>
          <w:szCs w:val="24"/>
          <w:lang w:eastAsia="pt-BR"/>
        </w:rPr>
      </w:pPr>
    </w:p>
    <w:p w14:paraId="614D8868" w14:textId="77777777" w:rsidR="00395593" w:rsidRPr="005C5CBD" w:rsidRDefault="00395593" w:rsidP="006A735F">
      <w:pPr>
        <w:spacing w:after="0" w:line="240" w:lineRule="auto"/>
        <w:ind w:firstLineChars="100" w:firstLine="240"/>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5º  A Subsecretaria de Defesa Comercial e Interesse Público normalmente considerará que o benefício foi recebido na data em que a dívida foi assumida ou perdoada pelo governo, nos termos da Subseção V desta Seção.</w:t>
      </w:r>
    </w:p>
    <w:p w14:paraId="7676EDF2"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4B9359E5" w14:textId="77777777" w:rsidR="00395593" w:rsidRPr="007B17E1" w:rsidRDefault="00395593" w:rsidP="00EA0CC8">
      <w:pPr>
        <w:pStyle w:val="Corpodetexto"/>
        <w:jc w:val="center"/>
        <w:rPr>
          <w:rFonts w:ascii="Garamond" w:eastAsia="MS Gothic" w:hAnsi="Garamond"/>
          <w:b/>
          <w:lang w:eastAsia="pt-BR"/>
        </w:rPr>
      </w:pPr>
      <w:r w:rsidRPr="007B17E1">
        <w:rPr>
          <w:rFonts w:ascii="Garamond" w:eastAsia="MS Gothic" w:hAnsi="Garamond"/>
          <w:b/>
          <w:lang w:eastAsia="pt-BR"/>
        </w:rPr>
        <w:t>Subseção VII</w:t>
      </w:r>
    </w:p>
    <w:p w14:paraId="6EEC7F21" w14:textId="77777777" w:rsidR="00395593" w:rsidRPr="005C5CBD" w:rsidRDefault="00395593" w:rsidP="00EA0CC8">
      <w:pPr>
        <w:pStyle w:val="Corpodetexto"/>
        <w:jc w:val="center"/>
        <w:rPr>
          <w:rFonts w:eastAsia="MS Gothic"/>
          <w:lang w:eastAsia="pt-BR"/>
        </w:rPr>
      </w:pPr>
      <w:r w:rsidRPr="007B17E1">
        <w:rPr>
          <w:rFonts w:ascii="Garamond" w:eastAsia="MS Gothic" w:hAnsi="Garamond"/>
          <w:b/>
          <w:lang w:eastAsia="pt-BR"/>
        </w:rPr>
        <w:t>Dos tributos</w:t>
      </w:r>
    </w:p>
    <w:p w14:paraId="01D60622"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0AB6049F"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74. </w:t>
      </w:r>
      <w:r w:rsidRPr="005C5CBD">
        <w:rPr>
          <w:rFonts w:ascii="Garamond" w:eastAsia="Times New Roman" w:hAnsi="Garamond" w:cs="Calibri"/>
          <w:sz w:val="24"/>
          <w:szCs w:val="24"/>
          <w:lang w:eastAsia="pt-BR"/>
        </w:rPr>
        <w:t>Nas hipóteses de isenção ou remissão, parcial ou total, de tributo direto, ou de tributo indireto ou direito de importação não relativos a um subsídio à exportação, a Subsecretaria de Defesa Comercial e Interesse Público considerará normalmente que benefício foi concedido se o valor total do tributo que a empresa investigada pagou tiver sido inferior ao valor que teria pagado na ausência do subsídio.</w:t>
      </w:r>
    </w:p>
    <w:p w14:paraId="03DBF912"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28EEDF9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O termo “</w:t>
      </w:r>
      <w:r w:rsidRPr="005C5CBD">
        <w:rPr>
          <w:rFonts w:ascii="Garamond" w:eastAsia="Arial Unicode MS" w:hAnsi="Garamond" w:cs="Calibri"/>
          <w:sz w:val="24"/>
          <w:szCs w:val="24"/>
        </w:rPr>
        <w:t xml:space="preserve">isenção” </w:t>
      </w:r>
      <w:r w:rsidRPr="005C5CBD">
        <w:rPr>
          <w:rFonts w:ascii="Garamond" w:eastAsia="Times New Roman" w:hAnsi="Garamond" w:cs="Calibri"/>
          <w:sz w:val="24"/>
          <w:szCs w:val="24"/>
          <w:lang w:eastAsia="pt-BR"/>
        </w:rPr>
        <w:t>abrangerá</w:t>
      </w:r>
      <w:r w:rsidRPr="005C5CBD">
        <w:rPr>
          <w:rFonts w:ascii="Garamond" w:eastAsia="Arial Unicode MS" w:hAnsi="Garamond" w:cs="Calibri"/>
          <w:sz w:val="24"/>
          <w:szCs w:val="24"/>
        </w:rPr>
        <w:t xml:space="preserve"> suspensão, imunidade, redução da base de cálculo ou alíquota ou </w:t>
      </w:r>
      <w:r w:rsidRPr="005C5CBD">
        <w:rPr>
          <w:rFonts w:ascii="Garamond" w:eastAsia="Times New Roman" w:hAnsi="Garamond" w:cs="Calibri"/>
          <w:sz w:val="24"/>
          <w:szCs w:val="24"/>
          <w:lang w:eastAsia="pt-BR"/>
        </w:rPr>
        <w:t xml:space="preserve">qualquer outra expressão que confira a intenção de dispensa dos tributos referidos no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w:t>
      </w:r>
    </w:p>
    <w:p w14:paraId="6F03F640"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060AE51F"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O termo “</w:t>
      </w:r>
      <w:r w:rsidRPr="005C5CBD">
        <w:rPr>
          <w:rFonts w:ascii="Garamond" w:eastAsia="Arial Unicode MS" w:hAnsi="Garamond" w:cs="Calibri"/>
          <w:sz w:val="24"/>
          <w:szCs w:val="24"/>
        </w:rPr>
        <w:t>remissão”</w:t>
      </w:r>
      <w:r w:rsidRPr="005C5CBD">
        <w:rPr>
          <w:rFonts w:ascii="Garamond" w:eastAsia="Times New Roman" w:hAnsi="Garamond" w:cs="Calibri"/>
          <w:sz w:val="24"/>
          <w:szCs w:val="24"/>
          <w:lang w:eastAsia="pt-BR"/>
        </w:rPr>
        <w:t xml:space="preserve"> abrangerá</w:t>
      </w:r>
      <w:r w:rsidRPr="005C5CBD">
        <w:rPr>
          <w:rFonts w:ascii="Garamond" w:eastAsia="Arial Unicode MS" w:hAnsi="Garamond" w:cs="Calibri"/>
          <w:sz w:val="24"/>
          <w:szCs w:val="24"/>
        </w:rPr>
        <w:t xml:space="preserve"> restituição, reembolso ou </w:t>
      </w:r>
      <w:r w:rsidRPr="005C5CBD">
        <w:rPr>
          <w:rFonts w:ascii="Garamond" w:eastAsia="Times New Roman" w:hAnsi="Garamond" w:cs="Calibri"/>
          <w:sz w:val="24"/>
          <w:szCs w:val="24"/>
          <w:lang w:eastAsia="pt-BR"/>
        </w:rPr>
        <w:t xml:space="preserve">qualquer outra expressão que confira a intenção de devolução dos tributos referidos no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w:t>
      </w:r>
    </w:p>
    <w:p w14:paraId="6B04911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293E9CA9"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3º  O termo “tributos diretos” abrangerá tributos incidentes sobre salários, lucros, juros, aluguéis, </w:t>
      </w:r>
      <w:r w:rsidRPr="005C5CBD">
        <w:rPr>
          <w:rFonts w:ascii="Garamond" w:eastAsia="Times New Roman" w:hAnsi="Garamond" w:cs="Calibri"/>
          <w:b/>
          <w:sz w:val="24"/>
          <w:szCs w:val="24"/>
          <w:lang w:eastAsia="pt-BR"/>
        </w:rPr>
        <w:t>royalties</w:t>
      </w:r>
      <w:r w:rsidRPr="005C5CBD">
        <w:rPr>
          <w:rFonts w:ascii="Garamond" w:eastAsia="Times New Roman" w:hAnsi="Garamond" w:cs="Calibri"/>
          <w:sz w:val="24"/>
          <w:szCs w:val="24"/>
          <w:lang w:eastAsia="pt-BR"/>
        </w:rPr>
        <w:t xml:space="preserve"> e quaisquer outras formas de renda, bem como sobre a propriedade de bens imóveis e taxas ou encargos para financiamento da seguridade social.</w:t>
      </w:r>
    </w:p>
    <w:p w14:paraId="620CC48D"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1EDD482A"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4º  O termo “tributos indiretos” abrangerá tributos sobre vendas, consumo (</w:t>
      </w:r>
      <w:r w:rsidRPr="005C5CBD">
        <w:rPr>
          <w:rFonts w:ascii="Garamond" w:eastAsia="Times New Roman" w:hAnsi="Garamond" w:cs="Calibri"/>
          <w:b/>
          <w:sz w:val="24"/>
          <w:szCs w:val="24"/>
          <w:lang w:eastAsia="pt-BR"/>
        </w:rPr>
        <w:t>excise duty</w:t>
      </w:r>
      <w:r w:rsidRPr="005C5CBD">
        <w:rPr>
          <w:rFonts w:ascii="Garamond" w:eastAsia="Times New Roman" w:hAnsi="Garamond" w:cs="Calibri"/>
          <w:sz w:val="24"/>
          <w:szCs w:val="24"/>
          <w:lang w:eastAsia="pt-BR"/>
        </w:rPr>
        <w:t>), faturamento (</w:t>
      </w:r>
      <w:r w:rsidRPr="005C5CBD">
        <w:rPr>
          <w:rFonts w:ascii="Garamond" w:eastAsia="Times New Roman" w:hAnsi="Garamond" w:cs="Calibri"/>
          <w:b/>
          <w:sz w:val="24"/>
          <w:szCs w:val="24"/>
          <w:lang w:eastAsia="pt-BR"/>
        </w:rPr>
        <w:t>turnover</w:t>
      </w:r>
      <w:r w:rsidRPr="005C5CBD">
        <w:rPr>
          <w:rFonts w:ascii="Garamond" w:eastAsia="Times New Roman" w:hAnsi="Garamond" w:cs="Calibri"/>
          <w:sz w:val="24"/>
          <w:szCs w:val="24"/>
          <w:lang w:eastAsia="pt-BR"/>
        </w:rPr>
        <w:t>), valor agregado, franquia, selo (</w:t>
      </w:r>
      <w:r w:rsidRPr="005C5CBD">
        <w:rPr>
          <w:rFonts w:ascii="Garamond" w:eastAsia="Times New Roman" w:hAnsi="Garamond" w:cs="Calibri"/>
          <w:b/>
          <w:sz w:val="24"/>
          <w:szCs w:val="24"/>
          <w:lang w:eastAsia="pt-BR"/>
        </w:rPr>
        <w:t>stamp</w:t>
      </w:r>
      <w:r w:rsidRPr="005C5CBD">
        <w:rPr>
          <w:rFonts w:ascii="Garamond" w:eastAsia="Times New Roman" w:hAnsi="Garamond" w:cs="Calibri"/>
          <w:sz w:val="24"/>
          <w:szCs w:val="24"/>
          <w:lang w:eastAsia="pt-BR"/>
        </w:rPr>
        <w:t>), transferência, estoque e impostos sobre equipamentos, impostos interestaduais (</w:t>
      </w:r>
      <w:r w:rsidRPr="005C5CBD">
        <w:rPr>
          <w:rFonts w:ascii="Garamond" w:eastAsia="Times New Roman" w:hAnsi="Garamond" w:cs="Calibri"/>
          <w:b/>
          <w:sz w:val="24"/>
          <w:szCs w:val="24"/>
          <w:lang w:eastAsia="pt-BR"/>
        </w:rPr>
        <w:t>border taxes</w:t>
      </w:r>
      <w:r w:rsidRPr="005C5CBD">
        <w:rPr>
          <w:rFonts w:ascii="Garamond" w:eastAsia="Times New Roman" w:hAnsi="Garamond" w:cs="Calibri"/>
          <w:sz w:val="24"/>
          <w:szCs w:val="24"/>
          <w:lang w:eastAsia="pt-BR"/>
        </w:rPr>
        <w:t>) e quaisquer outros que não sejam tributos diretos ou direitos de importação.</w:t>
      </w:r>
    </w:p>
    <w:p w14:paraId="2A263F29"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1851E1D0"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5º  O termo “direitos de importação” abrangerá tarifas aduaneiras, direitos aduaneiros e outros tributos ou encargos incidentes exclusivamente sobre importações.</w:t>
      </w:r>
    </w:p>
    <w:p w14:paraId="18509AD8"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6750FF5F"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75. </w:t>
      </w:r>
      <w:r w:rsidRPr="005C5CBD">
        <w:rPr>
          <w:rFonts w:ascii="Garamond" w:eastAsia="Times New Roman" w:hAnsi="Garamond" w:cs="Calibri"/>
          <w:sz w:val="24"/>
          <w:szCs w:val="24"/>
          <w:lang w:eastAsia="pt-BR"/>
        </w:rPr>
        <w:t>Na hipótese de diferimento de tributo direto, ou de tributo indireto ou direito de importação não relativos a um subsídio à exportação, a Subsecretaria de Defesa Comercial e Interesse Público considerará normalmente que um benefício foi concedido se não tiverem sido cobrados os juros apropriados.</w:t>
      </w:r>
    </w:p>
    <w:p w14:paraId="2961D47A"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2921148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1º  Em regra, a Subsecretaria de Defesa Comercial e Interesse Público tratará o valor diferido referido no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 xml:space="preserve"> como empréstimo preferencial concedido pelo governo, nos termos da Subseção II desta Seção.</w:t>
      </w:r>
    </w:p>
    <w:p w14:paraId="751E42F4"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24FB93C3"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Na hipótese de diferimento por prazo de até um ano, a Subsecretaria de Defesa Comercial e Interesse Público normalmente considerará que o benefício foi concedido na data em que o tributo se tornou devido.</w:t>
      </w:r>
    </w:p>
    <w:p w14:paraId="626062E6"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26BF0133"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3º  Na hipótese de diferimento por prazo superior a um ano, a Subsecretaria de Defesa Comercial e Interesse Público considerará como data do benefício a data de aniversário do diferimento. </w:t>
      </w:r>
    </w:p>
    <w:p w14:paraId="089DCDBC"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28EA4E5C"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4º  O disposto neste artigo levará em consideração se a normativa aplicável ao regime no país investigado prevê expressamente a taxa de juros aplicável e o prazo do diferimento.</w:t>
      </w:r>
    </w:p>
    <w:p w14:paraId="3FCCE79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2DCEF89"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5º  A Subsecretaria de Defesa Comercial e Interesse Público analisará a efetividade da aplicação da normativa descrita no parágrafo anterior.</w:t>
      </w:r>
    </w:p>
    <w:p w14:paraId="60DE1B48"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43C9820E" w14:textId="6A454F9D"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76. </w:t>
      </w:r>
      <w:r w:rsidRPr="005C5CBD">
        <w:rPr>
          <w:rFonts w:ascii="Garamond" w:eastAsia="Times New Roman" w:hAnsi="Garamond" w:cs="Calibri"/>
          <w:sz w:val="24"/>
          <w:szCs w:val="24"/>
          <w:lang w:eastAsia="pt-BR"/>
        </w:rPr>
        <w:t xml:space="preserve">Nas hipóteses do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 xml:space="preserve"> do art. </w:t>
      </w:r>
      <w:r w:rsidR="00BD507C">
        <w:rPr>
          <w:rFonts w:ascii="Garamond" w:eastAsia="Times New Roman" w:hAnsi="Garamond" w:cs="Calibri"/>
          <w:sz w:val="24"/>
          <w:szCs w:val="24"/>
          <w:lang w:eastAsia="pt-BR"/>
        </w:rPr>
        <w:t>74</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a Subsecretaria de Defesa Comercial e Interesse Público considerará normalmente que o benefício foi recebido na data em que a empresa investigada deveria ter pagado o tributo, ou teve sua devolução.</w:t>
      </w:r>
    </w:p>
    <w:p w14:paraId="248F3851"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25703E1D"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Na hipótese de subsídios sob a forma de dedução da base de cálculo de tributos diretos em que seja possível à empresa compensar prejuízos fiscais em anos posteriores (</w:t>
      </w:r>
      <w:r w:rsidRPr="005C5CBD">
        <w:rPr>
          <w:rFonts w:ascii="Garamond" w:eastAsia="Times New Roman" w:hAnsi="Garamond" w:cs="Calibri"/>
          <w:b/>
          <w:sz w:val="24"/>
          <w:szCs w:val="24"/>
          <w:lang w:eastAsia="pt-BR"/>
        </w:rPr>
        <w:t>loss carryforward</w:t>
      </w:r>
      <w:r w:rsidRPr="005C5CBD">
        <w:rPr>
          <w:rFonts w:ascii="Garamond" w:eastAsia="Times New Roman" w:hAnsi="Garamond" w:cs="Calibri"/>
          <w:sz w:val="24"/>
          <w:szCs w:val="24"/>
          <w:lang w:eastAsia="pt-BR"/>
        </w:rPr>
        <w:t>) a Subsecretaria de Defesa Comercial e Interesse Público normalmente considerará que o momento do benefício será o ano fiscal em que a empresa consegue efetivamente utilizar a dedução da base de cálculo.</w:t>
      </w:r>
    </w:p>
    <w:p w14:paraId="5E0BAB56"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00B8E30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77. </w:t>
      </w:r>
      <w:r w:rsidRPr="005C5CBD">
        <w:rPr>
          <w:rFonts w:ascii="Garamond" w:eastAsia="Times New Roman" w:hAnsi="Garamond" w:cs="Calibri"/>
          <w:sz w:val="24"/>
          <w:szCs w:val="24"/>
          <w:lang w:eastAsia="pt-BR"/>
        </w:rPr>
        <w:t xml:space="preserve">Em regra, a Subsecretaria de Defesa Comercial e Interesse Público considerará a depreciação acelerada de quaisquer ativos da empresa investigada como uma redução de tributos. </w:t>
      </w:r>
    </w:p>
    <w:p w14:paraId="4FEB3746"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0DB45233"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§1º  A Subsecretaria de Defesa Comercial e Interesse Público considerará normalmente que um benefício foi conferido em razão da depreciação acelerada de ativos se a empresa investigada tiver pago um valor total de tributos inferior ao que teria pagado na ausência da depreciação acelerada.</w:t>
      </w:r>
    </w:p>
    <w:p w14:paraId="59C21E55"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07127860"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§2º  Em regra, o benefício será a diferença entre o valor de tributo que a empresa investigada pagou durante o período de investigação com base na depreciação acelerada e o montante que teria pagado na ausência do subsídio, ou seja, considerando o prazo de depreciação normal dos ativos em questão. </w:t>
      </w:r>
    </w:p>
    <w:p w14:paraId="6AA0B80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2C053AF"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3º  A Subsecretaria de Defesa Comercial e Interesse Público normalmente considerará que o benefício foi usufruído a cada ano em que empresa investigada aplicou a depreciação acelerada a seus ativos, de forma a pagar um valor de imposto inferior ao que pagaria na ausência do subsídio.</w:t>
      </w:r>
    </w:p>
    <w:p w14:paraId="17573F70"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09295D85"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4º  Para os fins deste artigo, também serão levadas em consideração as hipóteses de amortização e exaustão aceleradas.  </w:t>
      </w:r>
    </w:p>
    <w:p w14:paraId="12F562C7"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6ADB2D41" w14:textId="6F96C852"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78. </w:t>
      </w:r>
      <w:r w:rsidRPr="005C5CBD">
        <w:rPr>
          <w:rFonts w:ascii="Garamond" w:eastAsia="Times New Roman" w:hAnsi="Garamond" w:cs="Calibri"/>
          <w:sz w:val="24"/>
          <w:szCs w:val="24"/>
          <w:lang w:eastAsia="pt-BR"/>
        </w:rPr>
        <w:t>Em regra, a Subsecretaria de Defesa Comercial e Interesse Público atribuirá os benefícios descritos nesta Subseção ao ano em que foram recebidos, de acordo com o disposto nos arts.</w:t>
      </w:r>
      <w:r w:rsidRPr="005C5CBD" w:rsidDel="00CD4654">
        <w:rPr>
          <w:rFonts w:ascii="Garamond" w:eastAsia="Times New Roman" w:hAnsi="Garamond" w:cs="Calibri"/>
          <w:sz w:val="24"/>
          <w:szCs w:val="24"/>
          <w:lang w:eastAsia="pt-BR"/>
        </w:rPr>
        <w:t xml:space="preserve"> </w:t>
      </w:r>
      <w:r w:rsidR="00BD507C">
        <w:rPr>
          <w:rFonts w:ascii="Garamond" w:eastAsia="Times New Roman" w:hAnsi="Garamond" w:cs="Calibri"/>
          <w:sz w:val="24"/>
          <w:szCs w:val="24"/>
          <w:lang w:eastAsia="pt-BR"/>
        </w:rPr>
        <w:t>32</w:t>
      </w:r>
      <w:r w:rsidR="00E15FBB" w:rsidRPr="005C5CBD">
        <w:rPr>
          <w:rFonts w:ascii="Garamond" w:eastAsia="Times New Roman" w:hAnsi="Garamond" w:cs="Calibri"/>
          <w:sz w:val="24"/>
          <w:szCs w:val="24"/>
          <w:lang w:eastAsia="pt-BR"/>
        </w:rPr>
        <w:t xml:space="preserve"> a</w:t>
      </w:r>
      <w:r w:rsidR="00BD507C">
        <w:rPr>
          <w:rFonts w:ascii="Garamond" w:eastAsia="Times New Roman" w:hAnsi="Garamond" w:cs="Calibri"/>
          <w:sz w:val="24"/>
          <w:szCs w:val="24"/>
          <w:lang w:eastAsia="pt-BR"/>
        </w:rPr>
        <w:t xml:space="preserve"> 34</w:t>
      </w:r>
      <w:r w:rsidR="00E15FBB" w:rsidRPr="005C5CBD">
        <w:rPr>
          <w:rFonts w:ascii="Garamond" w:eastAsia="Times New Roman" w:hAnsi="Garamond" w:cs="Calibri"/>
          <w:sz w:val="24"/>
          <w:szCs w:val="24"/>
          <w:lang w:eastAsia="pt-BR"/>
        </w:rPr>
        <w:t>.</w:t>
      </w:r>
    </w:p>
    <w:p w14:paraId="756402F5" w14:textId="77777777" w:rsidR="00395593" w:rsidRPr="005C5CBD" w:rsidRDefault="00395593" w:rsidP="00E15FBB">
      <w:pPr>
        <w:spacing w:after="0" w:line="240" w:lineRule="auto"/>
        <w:rPr>
          <w:rFonts w:ascii="Garamond" w:eastAsia="Arial Unicode MS" w:hAnsi="Garamond" w:cs="Calibri"/>
          <w:sz w:val="24"/>
          <w:szCs w:val="24"/>
          <w:lang w:eastAsia="pt-BR"/>
        </w:rPr>
      </w:pPr>
    </w:p>
    <w:p w14:paraId="18D26406" w14:textId="77777777" w:rsidR="00395593" w:rsidRPr="007B17E1" w:rsidRDefault="00395593" w:rsidP="00EA0CC8">
      <w:pPr>
        <w:pStyle w:val="Corpodetexto"/>
        <w:jc w:val="center"/>
        <w:rPr>
          <w:rFonts w:ascii="Garamond" w:eastAsia="MS Gothic" w:hAnsi="Garamond"/>
          <w:b/>
          <w:lang w:eastAsia="pt-BR"/>
        </w:rPr>
      </w:pPr>
      <w:r w:rsidRPr="007B17E1">
        <w:rPr>
          <w:rFonts w:ascii="Garamond" w:eastAsia="MS Gothic" w:hAnsi="Garamond"/>
          <w:b/>
          <w:lang w:eastAsia="pt-BR"/>
        </w:rPr>
        <w:t>Subseção VIII</w:t>
      </w:r>
    </w:p>
    <w:p w14:paraId="5A53E6C3" w14:textId="77777777" w:rsidR="00395593" w:rsidRPr="005C5CBD" w:rsidRDefault="00395593" w:rsidP="00EA0CC8">
      <w:pPr>
        <w:pStyle w:val="Corpodetexto"/>
        <w:jc w:val="center"/>
        <w:rPr>
          <w:rFonts w:eastAsia="MS Gothic"/>
          <w:lang w:eastAsia="pt-BR"/>
        </w:rPr>
      </w:pPr>
      <w:r w:rsidRPr="007B17E1">
        <w:rPr>
          <w:rFonts w:ascii="Garamond" w:eastAsia="MS Gothic" w:hAnsi="Garamond"/>
          <w:b/>
          <w:lang w:eastAsia="pt-BR"/>
        </w:rPr>
        <w:t>Da dispensa ou devolução de tributos nas exportações</w:t>
      </w:r>
    </w:p>
    <w:p w14:paraId="5FC8A399"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2F391FD7"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79. </w:t>
      </w:r>
      <w:r w:rsidRPr="005C5CBD">
        <w:rPr>
          <w:rFonts w:ascii="Garamond" w:eastAsia="Times New Roman" w:hAnsi="Garamond" w:cs="Calibri"/>
          <w:sz w:val="24"/>
          <w:szCs w:val="24"/>
          <w:lang w:eastAsia="pt-BR"/>
        </w:rPr>
        <w:t>Regimes de drawback ou regimes semelhantes, cuja finalidade seja a dispensa ou a devolução de tributos relativos a exportações, serão tratados de acordo com as disposições desta Subseção.</w:t>
      </w:r>
    </w:p>
    <w:p w14:paraId="3D874D3A"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0AAA86E9"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A Subsecretaria de Defesa Comercial e Interesse Público poderá analisar tanto de forma conjunta quanto separada as dispensas de tributos referidas nesta Subseção.</w:t>
      </w:r>
    </w:p>
    <w:p w14:paraId="4B064E25"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4BF0AF71"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A Subsecretaria de Defesa Comercial e Interesse Público analisará se o drawback ou outros regimes semelhantes permitiram a dispensa de outros tributos ou encargos além dos tributos expressamente referidos nesta Subseção.</w:t>
      </w:r>
    </w:p>
    <w:p w14:paraId="6B875F42"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435E65AE" w14:textId="77777777" w:rsidR="00395593" w:rsidRPr="007B17E1" w:rsidRDefault="00395593" w:rsidP="00EA0CC8">
      <w:pPr>
        <w:pStyle w:val="Corpodetexto"/>
        <w:jc w:val="center"/>
        <w:rPr>
          <w:rFonts w:ascii="Garamond" w:eastAsia="Calibri" w:hAnsi="Garamond"/>
          <w:b/>
          <w:smallCaps/>
          <w:snapToGrid w:val="0"/>
        </w:rPr>
      </w:pPr>
      <w:r w:rsidRPr="007B17E1">
        <w:rPr>
          <w:rFonts w:ascii="Garamond" w:eastAsia="Calibri" w:hAnsi="Garamond"/>
          <w:b/>
          <w:smallCaps/>
          <w:snapToGrid w:val="0"/>
        </w:rPr>
        <w:t>Subsubseção i</w:t>
      </w:r>
    </w:p>
    <w:p w14:paraId="176FA40C" w14:textId="77777777" w:rsidR="00395593" w:rsidRPr="007B17E1" w:rsidRDefault="00395593" w:rsidP="00EA0CC8">
      <w:pPr>
        <w:pStyle w:val="Corpodetexto"/>
        <w:jc w:val="center"/>
        <w:rPr>
          <w:rFonts w:ascii="Garamond" w:hAnsi="Garamond"/>
          <w:b/>
          <w:snapToGrid w:val="0"/>
          <w:color w:val="000000"/>
        </w:rPr>
      </w:pPr>
      <w:r w:rsidRPr="007B17E1">
        <w:rPr>
          <w:rFonts w:ascii="Garamond" w:hAnsi="Garamond"/>
          <w:b/>
          <w:snapToGrid w:val="0"/>
          <w:color w:val="000000"/>
        </w:rPr>
        <w:t>Dos tributos indiretos nas exportações</w:t>
      </w:r>
    </w:p>
    <w:p w14:paraId="30F5200D"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46DB5555" w14:textId="77777777" w:rsidR="00395593" w:rsidRPr="005C5CBD" w:rsidRDefault="00395593" w:rsidP="006A735F">
      <w:pPr>
        <w:spacing w:after="0" w:line="240" w:lineRule="auto"/>
        <w:ind w:firstLine="567"/>
        <w:jc w:val="both"/>
        <w:rPr>
          <w:rFonts w:ascii="Garamond" w:eastAsia="Arial Unicode MS" w:hAnsi="Garamond" w:cs="Calibri"/>
          <w:sz w:val="24"/>
          <w:szCs w:val="24"/>
        </w:rPr>
      </w:pPr>
      <w:r w:rsidRPr="005C5CBD">
        <w:rPr>
          <w:rFonts w:ascii="Garamond" w:eastAsia="Calibri" w:hAnsi="Garamond" w:cs="Calibri"/>
          <w:sz w:val="24"/>
          <w:szCs w:val="24"/>
          <w:lang w:eastAsia="pt-BR"/>
        </w:rPr>
        <w:t>Art. 80.</w:t>
      </w:r>
      <w:r w:rsidRPr="005C5CBD" w:rsidDel="00CD4654">
        <w:rPr>
          <w:rFonts w:ascii="Garamond" w:eastAsia="Arial Unicode MS" w:hAnsi="Garamond" w:cs="Calibri"/>
          <w:sz w:val="24"/>
          <w:szCs w:val="24"/>
        </w:rPr>
        <w:t xml:space="preserve"> </w:t>
      </w:r>
      <w:r w:rsidRPr="005C5CBD">
        <w:rPr>
          <w:rFonts w:ascii="Garamond" w:eastAsia="Arial Unicode MS" w:hAnsi="Garamond" w:cs="Calibri"/>
          <w:sz w:val="24"/>
          <w:szCs w:val="24"/>
        </w:rPr>
        <w:t xml:space="preserve">Na hipótese de isenção ou remissão, total ou parcial, de tributos indiretos incidentes sobre produtos exportados, a </w:t>
      </w:r>
      <w:r w:rsidRPr="005C5CBD">
        <w:rPr>
          <w:rFonts w:ascii="Garamond" w:eastAsia="Times New Roman" w:hAnsi="Garamond" w:cs="Calibri"/>
          <w:sz w:val="24"/>
          <w:szCs w:val="24"/>
          <w:lang w:eastAsia="pt-BR"/>
        </w:rPr>
        <w:t xml:space="preserve">Subsecretaria de Defesa Comercial e Interesse Público </w:t>
      </w:r>
      <w:r w:rsidRPr="005C5CBD">
        <w:rPr>
          <w:rFonts w:ascii="Garamond" w:eastAsia="Arial Unicode MS" w:hAnsi="Garamond" w:cs="Calibri"/>
          <w:sz w:val="24"/>
          <w:szCs w:val="24"/>
        </w:rPr>
        <w:t>normalmente considerará que um benefício foi conferido se o valor isento ou remitido exceder o valor dos mesmos tributos indiretos incidentes sobre o produto similar quando destinado ao consumo interno.</w:t>
      </w:r>
    </w:p>
    <w:p w14:paraId="67658A13" w14:textId="77777777" w:rsidR="00395593" w:rsidRPr="005C5CBD" w:rsidRDefault="00395593" w:rsidP="006A735F">
      <w:pPr>
        <w:spacing w:after="0" w:line="240" w:lineRule="auto"/>
        <w:ind w:firstLine="567"/>
        <w:rPr>
          <w:rFonts w:ascii="Garamond" w:eastAsia="Arial Unicode MS" w:hAnsi="Garamond" w:cs="Calibri"/>
          <w:sz w:val="24"/>
          <w:szCs w:val="24"/>
        </w:rPr>
      </w:pPr>
    </w:p>
    <w:p w14:paraId="3D6EDFD5"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O termo “</w:t>
      </w:r>
      <w:r w:rsidRPr="005C5CBD">
        <w:rPr>
          <w:rFonts w:ascii="Garamond" w:eastAsia="Arial Unicode MS" w:hAnsi="Garamond" w:cs="Calibri"/>
          <w:sz w:val="24"/>
          <w:szCs w:val="24"/>
        </w:rPr>
        <w:t xml:space="preserve">isenção” </w:t>
      </w:r>
      <w:r w:rsidRPr="005C5CBD">
        <w:rPr>
          <w:rFonts w:ascii="Garamond" w:eastAsia="Times New Roman" w:hAnsi="Garamond" w:cs="Calibri"/>
          <w:sz w:val="24"/>
          <w:szCs w:val="24"/>
          <w:lang w:eastAsia="pt-BR"/>
        </w:rPr>
        <w:t>abrangerá</w:t>
      </w:r>
      <w:r w:rsidRPr="005C5CBD">
        <w:rPr>
          <w:rFonts w:ascii="Garamond" w:eastAsia="Arial Unicode MS" w:hAnsi="Garamond" w:cs="Calibri"/>
          <w:sz w:val="24"/>
          <w:szCs w:val="24"/>
        </w:rPr>
        <w:t xml:space="preserve"> suspensão, imunidade, redução da base de cálculo ou alíquota ou </w:t>
      </w:r>
      <w:r w:rsidRPr="005C5CBD">
        <w:rPr>
          <w:rFonts w:ascii="Garamond" w:eastAsia="Times New Roman" w:hAnsi="Garamond" w:cs="Calibri"/>
          <w:sz w:val="24"/>
          <w:szCs w:val="24"/>
          <w:lang w:eastAsia="pt-BR"/>
        </w:rPr>
        <w:t xml:space="preserve">qualquer outra expressão que confira a intenção de dispensa dos tributos referidos no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w:t>
      </w:r>
    </w:p>
    <w:p w14:paraId="618DBB8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156113E0"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O termo “</w:t>
      </w:r>
      <w:r w:rsidRPr="005C5CBD">
        <w:rPr>
          <w:rFonts w:ascii="Garamond" w:eastAsia="Arial Unicode MS" w:hAnsi="Garamond" w:cs="Calibri"/>
          <w:sz w:val="24"/>
          <w:szCs w:val="24"/>
        </w:rPr>
        <w:t>remissão”</w:t>
      </w:r>
      <w:r w:rsidRPr="005C5CBD">
        <w:rPr>
          <w:rFonts w:ascii="Garamond" w:eastAsia="Times New Roman" w:hAnsi="Garamond" w:cs="Calibri"/>
          <w:sz w:val="24"/>
          <w:szCs w:val="24"/>
          <w:lang w:eastAsia="pt-BR"/>
        </w:rPr>
        <w:t xml:space="preserve"> abrangerá</w:t>
      </w:r>
      <w:r w:rsidRPr="005C5CBD">
        <w:rPr>
          <w:rFonts w:ascii="Garamond" w:eastAsia="Arial Unicode MS" w:hAnsi="Garamond" w:cs="Calibri"/>
          <w:sz w:val="24"/>
          <w:szCs w:val="24"/>
        </w:rPr>
        <w:t xml:space="preserve"> restituição, reembolso ou </w:t>
      </w:r>
      <w:r w:rsidRPr="005C5CBD">
        <w:rPr>
          <w:rFonts w:ascii="Garamond" w:eastAsia="Times New Roman" w:hAnsi="Garamond" w:cs="Calibri"/>
          <w:sz w:val="24"/>
          <w:szCs w:val="24"/>
          <w:lang w:eastAsia="pt-BR"/>
        </w:rPr>
        <w:t xml:space="preserve">qualquer outra expressão que confira a intenção de devolução dos tributos referidos no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w:t>
      </w:r>
    </w:p>
    <w:p w14:paraId="48443152"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7B24F26C" w14:textId="6E027BA2" w:rsidR="00395593" w:rsidRPr="005C5CBD" w:rsidRDefault="00395593" w:rsidP="006A735F">
      <w:pPr>
        <w:spacing w:after="0" w:line="240" w:lineRule="auto"/>
        <w:ind w:firstLine="567"/>
        <w:jc w:val="both"/>
        <w:rPr>
          <w:rFonts w:ascii="Garamond" w:eastAsia="Arial Unicode MS" w:hAnsi="Garamond" w:cs="Calibri"/>
          <w:sz w:val="24"/>
          <w:szCs w:val="24"/>
        </w:rPr>
      </w:pPr>
      <w:r w:rsidRPr="005C5CBD">
        <w:rPr>
          <w:rFonts w:ascii="Garamond" w:eastAsia="Times New Roman" w:hAnsi="Garamond" w:cs="Calibri"/>
          <w:sz w:val="24"/>
          <w:szCs w:val="24"/>
          <w:lang w:eastAsia="pt-BR"/>
        </w:rPr>
        <w:t xml:space="preserve">§ 3º  A expressão “tributos indiretos” será utilizada conforme o § 4º do art. </w:t>
      </w:r>
      <w:r w:rsidR="00183ADD">
        <w:rPr>
          <w:rFonts w:ascii="Garamond" w:eastAsia="Times New Roman" w:hAnsi="Garamond" w:cs="Calibri"/>
          <w:sz w:val="24"/>
          <w:szCs w:val="24"/>
          <w:lang w:eastAsia="pt-BR"/>
        </w:rPr>
        <w:t>74</w:t>
      </w:r>
      <w:r w:rsidR="00E15FBB" w:rsidRPr="005C5CBD">
        <w:rPr>
          <w:rFonts w:ascii="Garamond" w:eastAsia="Times New Roman" w:hAnsi="Garamond" w:cs="Calibri"/>
          <w:sz w:val="24"/>
          <w:szCs w:val="24"/>
          <w:lang w:eastAsia="pt-BR"/>
        </w:rPr>
        <w:t>.</w:t>
      </w:r>
    </w:p>
    <w:p w14:paraId="53751F0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4F3545CF"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81. </w:t>
      </w:r>
      <w:r w:rsidRPr="005C5CBD">
        <w:rPr>
          <w:rFonts w:ascii="Garamond" w:eastAsia="Times New Roman" w:hAnsi="Garamond" w:cs="Calibri"/>
          <w:sz w:val="24"/>
          <w:szCs w:val="24"/>
          <w:lang w:eastAsia="pt-BR"/>
        </w:rPr>
        <w:t>A Subsecretaria de Defesa Comercial e Interesse Público normalmente considerará que o benefício foi recebido na data de exportação.</w:t>
      </w:r>
    </w:p>
    <w:p w14:paraId="49C3FB5A"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7E8E8DC6" w14:textId="5A3695F3"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82. </w:t>
      </w:r>
      <w:r w:rsidRPr="005C5CBD">
        <w:rPr>
          <w:rFonts w:ascii="Garamond" w:eastAsia="Times New Roman" w:hAnsi="Garamond" w:cs="Calibri"/>
          <w:sz w:val="24"/>
          <w:szCs w:val="24"/>
          <w:lang w:eastAsia="pt-BR"/>
        </w:rPr>
        <w:t>Em regra, a Subsecretaria de Defesa Comercial e Interesse Público atribuirá o benefício ao ano em que foi recebido, de acordo com o disposto nos arts.</w:t>
      </w:r>
      <w:r w:rsidRPr="005C5CBD" w:rsidDel="00CD4654">
        <w:rPr>
          <w:rFonts w:ascii="Garamond" w:eastAsia="Times New Roman" w:hAnsi="Garamond" w:cs="Calibri"/>
          <w:sz w:val="24"/>
          <w:szCs w:val="24"/>
          <w:lang w:eastAsia="pt-BR"/>
        </w:rPr>
        <w:t xml:space="preserve"> </w:t>
      </w:r>
      <w:r w:rsidR="00183ADD">
        <w:rPr>
          <w:rFonts w:ascii="Garamond" w:eastAsia="Times New Roman" w:hAnsi="Garamond" w:cs="Calibri"/>
          <w:sz w:val="24"/>
          <w:szCs w:val="24"/>
          <w:lang w:eastAsia="pt-BR"/>
        </w:rPr>
        <w:t>32</w:t>
      </w:r>
      <w:r w:rsidR="00E15FBB" w:rsidRPr="005C5CBD">
        <w:rPr>
          <w:rFonts w:ascii="Garamond" w:eastAsia="Times New Roman" w:hAnsi="Garamond" w:cs="Calibri"/>
          <w:sz w:val="24"/>
          <w:szCs w:val="24"/>
          <w:lang w:eastAsia="pt-BR"/>
        </w:rPr>
        <w:t xml:space="preserve"> a </w:t>
      </w:r>
      <w:r w:rsidR="00183ADD">
        <w:rPr>
          <w:rFonts w:ascii="Garamond" w:eastAsia="Times New Roman" w:hAnsi="Garamond" w:cs="Calibri"/>
          <w:sz w:val="24"/>
          <w:szCs w:val="24"/>
          <w:lang w:eastAsia="pt-BR"/>
        </w:rPr>
        <w:t>34</w:t>
      </w:r>
      <w:r w:rsidR="00E15FBB" w:rsidRPr="005C5CBD">
        <w:rPr>
          <w:rFonts w:ascii="Garamond" w:eastAsia="Times New Roman" w:hAnsi="Garamond" w:cs="Calibri"/>
          <w:sz w:val="24"/>
          <w:szCs w:val="24"/>
          <w:lang w:eastAsia="pt-BR"/>
        </w:rPr>
        <w:t>.</w:t>
      </w:r>
    </w:p>
    <w:p w14:paraId="3DE1DC37"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1CCA0A6A" w14:textId="77777777" w:rsidR="00395593" w:rsidRPr="007B17E1" w:rsidRDefault="00395593" w:rsidP="00EA0CC8">
      <w:pPr>
        <w:pStyle w:val="Corpodetexto"/>
        <w:jc w:val="center"/>
        <w:rPr>
          <w:rFonts w:ascii="Garamond" w:eastAsia="Calibri" w:hAnsi="Garamond"/>
          <w:b/>
          <w:smallCaps/>
          <w:snapToGrid w:val="0"/>
        </w:rPr>
      </w:pPr>
      <w:r w:rsidRPr="007B17E1">
        <w:rPr>
          <w:rFonts w:ascii="Garamond" w:eastAsia="Calibri" w:hAnsi="Garamond"/>
          <w:b/>
          <w:smallCaps/>
          <w:snapToGrid w:val="0"/>
        </w:rPr>
        <w:t>Subsubseção ii</w:t>
      </w:r>
    </w:p>
    <w:p w14:paraId="0DFE5595" w14:textId="77777777" w:rsidR="00395593" w:rsidRPr="007B17E1" w:rsidRDefault="00395593" w:rsidP="00EA0CC8">
      <w:pPr>
        <w:pStyle w:val="Corpodetexto"/>
        <w:jc w:val="center"/>
        <w:rPr>
          <w:rFonts w:ascii="Garamond" w:eastAsia="Calibri" w:hAnsi="Garamond"/>
          <w:b/>
          <w:snapToGrid w:val="0"/>
        </w:rPr>
      </w:pPr>
      <w:r w:rsidRPr="007B17E1">
        <w:rPr>
          <w:rFonts w:ascii="Garamond" w:eastAsia="Calibri" w:hAnsi="Garamond"/>
          <w:b/>
          <w:snapToGrid w:val="0"/>
        </w:rPr>
        <w:t>Dos tributos indiretos cumulativos relativos a etapas anteriores nas exportações</w:t>
      </w:r>
    </w:p>
    <w:p w14:paraId="7125FD22" w14:textId="77777777" w:rsidR="00395593" w:rsidRPr="007B17E1" w:rsidRDefault="00395593" w:rsidP="007B17E1">
      <w:pPr>
        <w:pStyle w:val="Corpodetexto"/>
        <w:jc w:val="center"/>
        <w:rPr>
          <w:rFonts w:ascii="Garamond" w:eastAsia="Calibri" w:hAnsi="Garamond"/>
          <w:b/>
          <w:smallCaps/>
          <w:snapToGrid w:val="0"/>
        </w:rPr>
      </w:pPr>
    </w:p>
    <w:p w14:paraId="596CF08B" w14:textId="77777777" w:rsidR="00395593" w:rsidRPr="005C5CBD" w:rsidRDefault="00395593" w:rsidP="006A735F">
      <w:pPr>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83. </w:t>
      </w:r>
      <w:r w:rsidRPr="005C5CBD">
        <w:rPr>
          <w:rFonts w:ascii="Garamond" w:eastAsia="Times New Roman" w:hAnsi="Garamond" w:cs="Calibri"/>
          <w:sz w:val="24"/>
          <w:szCs w:val="24"/>
          <w:lang w:eastAsia="pt-BR"/>
        </w:rPr>
        <w:t xml:space="preserve">A Subsecretaria de Defesa Comercial e Interesse Público analisará se um benefício foi conferido na </w:t>
      </w:r>
      <w:r w:rsidRPr="005C5CBD">
        <w:rPr>
          <w:rFonts w:ascii="Garamond" w:eastAsia="Arial Unicode MS" w:hAnsi="Garamond" w:cs="Calibri"/>
          <w:sz w:val="24"/>
          <w:szCs w:val="24"/>
        </w:rPr>
        <w:t>isenção ou remissão</w:t>
      </w:r>
      <w:r w:rsidRPr="005C5CBD">
        <w:rPr>
          <w:rFonts w:ascii="Garamond" w:eastAsia="Times New Roman" w:hAnsi="Garamond" w:cs="Calibri"/>
          <w:sz w:val="24"/>
          <w:szCs w:val="24"/>
          <w:lang w:eastAsia="pt-BR"/>
        </w:rPr>
        <w:t xml:space="preserve"> de tributos indiretos cumulativos de etapas anteriores incidentes sobre insumos ou serviços utilizados na produção de um produto final exportado.</w:t>
      </w:r>
    </w:p>
    <w:p w14:paraId="4354F39D"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2D12B630"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O termo “</w:t>
      </w:r>
      <w:r w:rsidRPr="005C5CBD">
        <w:rPr>
          <w:rFonts w:ascii="Garamond" w:eastAsia="Arial Unicode MS" w:hAnsi="Garamond" w:cs="Calibri"/>
          <w:sz w:val="24"/>
          <w:szCs w:val="24"/>
        </w:rPr>
        <w:t xml:space="preserve">isenção” </w:t>
      </w:r>
      <w:r w:rsidRPr="005C5CBD">
        <w:rPr>
          <w:rFonts w:ascii="Garamond" w:eastAsia="Times New Roman" w:hAnsi="Garamond" w:cs="Calibri"/>
          <w:sz w:val="24"/>
          <w:szCs w:val="24"/>
          <w:lang w:eastAsia="pt-BR"/>
        </w:rPr>
        <w:t>abrangerá</w:t>
      </w:r>
      <w:r w:rsidRPr="005C5CBD">
        <w:rPr>
          <w:rFonts w:ascii="Garamond" w:eastAsia="Arial Unicode MS" w:hAnsi="Garamond" w:cs="Calibri"/>
          <w:sz w:val="24"/>
          <w:szCs w:val="24"/>
        </w:rPr>
        <w:t xml:space="preserve"> suspensão, imunidade, redução da base de cálculo ou alíquota ou </w:t>
      </w:r>
      <w:r w:rsidRPr="005C5CBD">
        <w:rPr>
          <w:rFonts w:ascii="Garamond" w:eastAsia="Times New Roman" w:hAnsi="Garamond" w:cs="Calibri"/>
          <w:sz w:val="24"/>
          <w:szCs w:val="24"/>
          <w:lang w:eastAsia="pt-BR"/>
        </w:rPr>
        <w:t xml:space="preserve">qualquer outra expressão que confira a intenção de dispensa dos tributos referidos no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w:t>
      </w:r>
    </w:p>
    <w:p w14:paraId="41E41559"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6613BCDD"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O termo “</w:t>
      </w:r>
      <w:r w:rsidRPr="005C5CBD">
        <w:rPr>
          <w:rFonts w:ascii="Garamond" w:eastAsia="Arial Unicode MS" w:hAnsi="Garamond" w:cs="Calibri"/>
          <w:sz w:val="24"/>
          <w:szCs w:val="24"/>
        </w:rPr>
        <w:t>remissão”</w:t>
      </w:r>
      <w:r w:rsidRPr="005C5CBD">
        <w:rPr>
          <w:rFonts w:ascii="Garamond" w:eastAsia="Times New Roman" w:hAnsi="Garamond" w:cs="Calibri"/>
          <w:sz w:val="24"/>
          <w:szCs w:val="24"/>
          <w:lang w:eastAsia="pt-BR"/>
        </w:rPr>
        <w:t xml:space="preserve"> abrangerá</w:t>
      </w:r>
      <w:r w:rsidRPr="005C5CBD">
        <w:rPr>
          <w:rFonts w:ascii="Garamond" w:eastAsia="Arial Unicode MS" w:hAnsi="Garamond" w:cs="Calibri"/>
          <w:sz w:val="24"/>
          <w:szCs w:val="24"/>
        </w:rPr>
        <w:t xml:space="preserve"> restituição, reembolso ou </w:t>
      </w:r>
      <w:r w:rsidRPr="005C5CBD">
        <w:rPr>
          <w:rFonts w:ascii="Garamond" w:eastAsia="Times New Roman" w:hAnsi="Garamond" w:cs="Calibri"/>
          <w:sz w:val="24"/>
          <w:szCs w:val="24"/>
          <w:lang w:eastAsia="pt-BR"/>
        </w:rPr>
        <w:t xml:space="preserve">qualquer outra expressão que confira a intenção de devolução dos tributos referidos no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w:t>
      </w:r>
    </w:p>
    <w:p w14:paraId="1E4159B5"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4C1B2C0D" w14:textId="26638FB3"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3º  A expressão “tributos indiretos cumulativos de etapas anteriores” abrangerá tributos indiretos conforme definidos no § 4º do art. </w:t>
      </w:r>
      <w:r w:rsidR="00183ADD">
        <w:rPr>
          <w:rFonts w:ascii="Garamond" w:eastAsia="Times New Roman" w:hAnsi="Garamond" w:cs="Calibri"/>
          <w:sz w:val="24"/>
          <w:szCs w:val="24"/>
          <w:lang w:eastAsia="pt-BR"/>
        </w:rPr>
        <w:t>74</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para os quais não haja mecanismo de crédito subsequente, quando incidentes sobre bens ou serviços utilizados direta ou indiretamente na fabricação de um produto.</w:t>
      </w:r>
    </w:p>
    <w:p w14:paraId="4975CA82"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46E6CA9F"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4º  Para os fins desta Subseção, insumos consumidos na produção englobarão insumos fisicamente incorporados, energia, combustíveis e óleos utilizados no processo produtivo e catalizadores consumidos ao longo do processo de obtenção do produto exportado.</w:t>
      </w:r>
    </w:p>
    <w:p w14:paraId="1EF81719"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2E9ACBB0"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5º  Nos termos do Anexo II do Acordo sobre Subsídios e Medidas Compensatórias, a Subsecretaria de Defesa Comercial e Interesse Público considerará que sistemas de redução de tributos indiretos podem permitir a isenção, a remissão ou o diferimento de tributos indiretos cumulativos sobre etapas anteriores aplicados sobre insumos consumidos na produção do produto exportado, levando-se em conta os ajustes normais a título de desperdício.</w:t>
      </w:r>
    </w:p>
    <w:p w14:paraId="0384DBDC"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1AF32DE3"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6º  Na determinação da quantidade de um insumo específico que é consumido na produção do produto exportado, os ajustes normais a título de desperdício deverão ser levados em conta, e tal desperdício deverá ser tratado como consumido na produção do produto exportado.</w:t>
      </w:r>
    </w:p>
    <w:p w14:paraId="7E342252"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115A138"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7º   O termo desperdício refere-se à porção de determinado insumo que não se destina a uma função independente no processo produtivo, não é consumida na produção do produto exportado (por razões como ineficiência) e não é recuperada, usada ou vendida pelo mesmo fabricante.</w:t>
      </w:r>
    </w:p>
    <w:p w14:paraId="25D6BDE2"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A3F4717"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8º  Ao determinar se o ajuste a título de desperdício alegado é normal, a Subsecretaria de Defesa Comercial e Interesse Público levará em consideração o processo produtivo, a experiência média da indústria no país exportador e outros fatores técnicos, conforme seja pertinente,  considerando se de fato as autoridades do país exportador calcularam razoavelmente o volume de desperdício.</w:t>
      </w:r>
    </w:p>
    <w:p w14:paraId="28971BD8"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4813E2D1" w14:textId="3CB5A3AC"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84. </w:t>
      </w:r>
      <w:r w:rsidRPr="005C5CBD">
        <w:rPr>
          <w:rFonts w:ascii="Garamond" w:eastAsia="Times New Roman" w:hAnsi="Garamond" w:cs="Calibri"/>
          <w:sz w:val="24"/>
          <w:szCs w:val="24"/>
          <w:lang w:eastAsia="pt-BR"/>
        </w:rPr>
        <w:t xml:space="preserve">Para os fins do disposto no art. </w:t>
      </w:r>
      <w:r w:rsidR="00183ADD">
        <w:rPr>
          <w:rFonts w:ascii="Garamond" w:eastAsia="Times New Roman" w:hAnsi="Garamond" w:cs="Calibri"/>
          <w:sz w:val="24"/>
          <w:szCs w:val="24"/>
          <w:lang w:eastAsia="pt-BR"/>
        </w:rPr>
        <w:t>83</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a análise da </w:t>
      </w:r>
      <w:r w:rsidRPr="005C5CBD">
        <w:rPr>
          <w:rFonts w:ascii="Garamond" w:eastAsia="Calibri" w:hAnsi="Garamond" w:cs="Calibri"/>
          <w:sz w:val="24"/>
          <w:szCs w:val="24"/>
          <w:lang w:eastAsia="pt-BR"/>
        </w:rPr>
        <w:t xml:space="preserve">Subsecretaria de Defesa Comercial e Interesse Público </w:t>
      </w:r>
      <w:r w:rsidRPr="005C5CBD">
        <w:rPr>
          <w:rFonts w:ascii="Garamond" w:eastAsia="Times New Roman" w:hAnsi="Garamond" w:cs="Calibri"/>
          <w:sz w:val="24"/>
          <w:szCs w:val="24"/>
          <w:lang w:eastAsia="pt-BR"/>
        </w:rPr>
        <w:t>englobará:</w:t>
      </w:r>
    </w:p>
    <w:p w14:paraId="3DF1525A"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6DF12C25" w14:textId="5116DF4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 – se a </w:t>
      </w:r>
      <w:r w:rsidRPr="005C5CBD">
        <w:rPr>
          <w:rFonts w:ascii="Garamond" w:eastAsia="Arial Unicode MS" w:hAnsi="Garamond" w:cs="Calibri"/>
          <w:sz w:val="24"/>
          <w:szCs w:val="24"/>
        </w:rPr>
        <w:t xml:space="preserve">isenção </w:t>
      </w:r>
      <w:r w:rsidRPr="005C5CBD">
        <w:rPr>
          <w:rFonts w:ascii="Garamond" w:eastAsia="Times New Roman" w:hAnsi="Garamond" w:cs="Calibri"/>
          <w:sz w:val="24"/>
          <w:szCs w:val="24"/>
          <w:lang w:eastAsia="pt-BR"/>
        </w:rPr>
        <w:t xml:space="preserve">abrangeu tributos relativos a insumos não consumidos no processo produtivo do produto exportado, levando em conta ajustes normais a título de desperdício, ou outros tributos que não os referidos no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 xml:space="preserve"> do art. </w:t>
      </w:r>
      <w:r w:rsidR="008605AF">
        <w:rPr>
          <w:rFonts w:ascii="Garamond" w:eastAsia="Times New Roman" w:hAnsi="Garamond" w:cs="Calibri"/>
          <w:sz w:val="24"/>
          <w:szCs w:val="24"/>
          <w:lang w:eastAsia="pt-BR"/>
        </w:rPr>
        <w:t>83</w:t>
      </w:r>
      <w:r w:rsidR="00E15FBB" w:rsidRPr="005C5CBD">
        <w:rPr>
          <w:rFonts w:ascii="Garamond" w:eastAsia="Times New Roman" w:hAnsi="Garamond" w:cs="Calibri"/>
          <w:sz w:val="24"/>
          <w:szCs w:val="24"/>
          <w:lang w:eastAsia="pt-BR"/>
        </w:rPr>
        <w:t>;</w:t>
      </w:r>
    </w:p>
    <w:p w14:paraId="58378565"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65055A91"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 – se a </w:t>
      </w:r>
      <w:r w:rsidRPr="005C5CBD">
        <w:rPr>
          <w:rFonts w:ascii="Garamond" w:eastAsia="Arial Unicode MS" w:hAnsi="Garamond" w:cs="Calibri"/>
          <w:sz w:val="24"/>
          <w:szCs w:val="24"/>
        </w:rPr>
        <w:t>remissão</w:t>
      </w:r>
      <w:r w:rsidRPr="005C5CBD">
        <w:rPr>
          <w:rFonts w:ascii="Garamond" w:eastAsia="Times New Roman" w:hAnsi="Garamond" w:cs="Calibri"/>
          <w:sz w:val="24"/>
          <w:szCs w:val="24"/>
          <w:lang w:eastAsia="pt-BR"/>
        </w:rPr>
        <w:t xml:space="preserve"> abrangeu tão somente tributos relativos a insumos consumidos no processo produtivo do produto exportado, levando em conta ajustes normais a título de desperdício; e</w:t>
      </w:r>
    </w:p>
    <w:p w14:paraId="1970559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058FCDA2"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se houve diferimento de tributos relativos a insumos não consumidos no processo produtivo do produto exportado, levando-se em consideração os ajustes normais a título de desperdício, sem a cobrança adequada de juros.</w:t>
      </w:r>
    </w:p>
    <w:p w14:paraId="78D08289"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722CB4E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85. </w:t>
      </w:r>
      <w:r w:rsidRPr="005C5CBD">
        <w:rPr>
          <w:rFonts w:ascii="Garamond" w:eastAsia="Times New Roman" w:hAnsi="Garamond" w:cs="Calibri"/>
          <w:sz w:val="24"/>
          <w:szCs w:val="24"/>
          <w:lang w:eastAsia="pt-BR"/>
        </w:rPr>
        <w:t xml:space="preserve">Para o valor do benefício a Subsecretaria de Defesa Comercial e Interesse Público considerará em regra: </w:t>
      </w:r>
    </w:p>
    <w:p w14:paraId="382615B5"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281B955A" w14:textId="2131CA11"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 – Na hipótese do inciso I do art. </w:t>
      </w:r>
      <w:r w:rsidR="008605AF">
        <w:rPr>
          <w:rFonts w:ascii="Garamond" w:eastAsia="Times New Roman" w:hAnsi="Garamond" w:cs="Calibri"/>
          <w:sz w:val="24"/>
          <w:szCs w:val="24"/>
          <w:lang w:eastAsia="pt-BR"/>
        </w:rPr>
        <w:t>84</w:t>
      </w:r>
      <w:r w:rsidRPr="005C5CBD">
        <w:rPr>
          <w:rFonts w:ascii="Garamond" w:eastAsia="Times New Roman" w:hAnsi="Garamond" w:cs="Calibri"/>
          <w:sz w:val="24"/>
          <w:szCs w:val="24"/>
          <w:lang w:eastAsia="pt-BR"/>
        </w:rPr>
        <w:t xml:space="preserve"> o valor dos tributos indiretos cumulativos de etapas anteriores </w:t>
      </w:r>
      <w:r w:rsidRPr="005C5CBD">
        <w:rPr>
          <w:rFonts w:ascii="Garamond" w:eastAsia="Arial Unicode MS" w:hAnsi="Garamond" w:cs="Calibri"/>
          <w:sz w:val="24"/>
          <w:szCs w:val="24"/>
        </w:rPr>
        <w:t xml:space="preserve">relativos aos insumos não consumidos no processo produtivo do produto exportado, ou  o </w:t>
      </w:r>
      <w:r w:rsidRPr="005C5CBD">
        <w:rPr>
          <w:rFonts w:ascii="Garamond" w:eastAsia="Times New Roman" w:hAnsi="Garamond" w:cs="Calibri"/>
          <w:sz w:val="24"/>
          <w:szCs w:val="24"/>
          <w:lang w:eastAsia="pt-BR"/>
        </w:rPr>
        <w:t>valor de outros tributos que não os indiretos cumulativos de etapas anteriores</w:t>
      </w:r>
      <w:r w:rsidRPr="005C5CBD">
        <w:rPr>
          <w:rFonts w:ascii="Garamond" w:eastAsia="Arial Unicode MS" w:hAnsi="Garamond" w:cs="Calibri"/>
          <w:sz w:val="24"/>
          <w:szCs w:val="24"/>
        </w:rPr>
        <w:t xml:space="preserve"> relativos aos insumos;</w:t>
      </w:r>
    </w:p>
    <w:p w14:paraId="453D53F2" w14:textId="77777777" w:rsidR="00E15FBB" w:rsidRPr="005C5CBD" w:rsidRDefault="00E15FBB" w:rsidP="00E15FBB">
      <w:pPr>
        <w:spacing w:after="0" w:line="240" w:lineRule="auto"/>
        <w:jc w:val="both"/>
        <w:rPr>
          <w:rFonts w:ascii="Garamond" w:eastAsia="Times New Roman" w:hAnsi="Garamond" w:cs="Calibri"/>
          <w:sz w:val="24"/>
          <w:szCs w:val="24"/>
          <w:lang w:eastAsia="pt-BR"/>
        </w:rPr>
      </w:pPr>
    </w:p>
    <w:p w14:paraId="5CCA31DF" w14:textId="18D15EDF" w:rsidR="00E15FBB" w:rsidRPr="005C5CBD" w:rsidRDefault="00E15FBB"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 – Na hipótese do inciso II do art. </w:t>
      </w:r>
      <w:r w:rsidR="008605AF">
        <w:rPr>
          <w:rFonts w:ascii="Garamond" w:eastAsia="Times New Roman" w:hAnsi="Garamond" w:cs="Calibri"/>
          <w:sz w:val="24"/>
          <w:szCs w:val="24"/>
          <w:lang w:eastAsia="pt-BR"/>
        </w:rPr>
        <w:t>84</w:t>
      </w:r>
      <w:r w:rsidRPr="005C5CBD">
        <w:rPr>
          <w:rFonts w:ascii="Garamond" w:eastAsia="Times New Roman" w:hAnsi="Garamond" w:cs="Calibri"/>
          <w:sz w:val="24"/>
          <w:szCs w:val="24"/>
          <w:lang w:eastAsia="pt-BR"/>
        </w:rPr>
        <w:t>, a diferença entre o valor remitido e o valor pago de tributos indiretos cumulativos de etapas anteriores relativos aos insumos consumidos na produção do produto exportado, levando-se em consideração os ajustes normais a título de desperdício; e</w:t>
      </w:r>
    </w:p>
    <w:p w14:paraId="53E81260" w14:textId="77777777" w:rsidR="00E15FBB" w:rsidRPr="005C5CBD" w:rsidRDefault="00E15FBB" w:rsidP="006A735F">
      <w:pPr>
        <w:spacing w:after="0" w:line="240" w:lineRule="auto"/>
        <w:ind w:firstLine="567"/>
        <w:jc w:val="both"/>
        <w:rPr>
          <w:rFonts w:ascii="Garamond" w:eastAsia="Times New Roman" w:hAnsi="Garamond" w:cs="Calibri"/>
          <w:sz w:val="24"/>
          <w:szCs w:val="24"/>
          <w:lang w:eastAsia="pt-BR"/>
        </w:rPr>
      </w:pPr>
    </w:p>
    <w:p w14:paraId="0915C8F7" w14:textId="7DA9424A" w:rsidR="00395593" w:rsidRPr="005C5CBD" w:rsidRDefault="00E15FBB"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III - Na hipótese do inciso III do art. </w:t>
      </w:r>
      <w:r w:rsidR="008605AF">
        <w:rPr>
          <w:rFonts w:ascii="Garamond" w:eastAsia="Times New Roman" w:hAnsi="Garamond" w:cs="Calibri"/>
          <w:sz w:val="24"/>
          <w:szCs w:val="24"/>
          <w:lang w:eastAsia="pt-BR"/>
        </w:rPr>
        <w:t>84</w:t>
      </w:r>
      <w:r w:rsidRPr="005C5CBD">
        <w:rPr>
          <w:rFonts w:ascii="Garamond" w:eastAsia="Times New Roman" w:hAnsi="Garamond" w:cs="Calibri"/>
          <w:sz w:val="24"/>
          <w:szCs w:val="24"/>
          <w:lang w:eastAsia="pt-BR"/>
        </w:rPr>
        <w:t>,</w:t>
      </w:r>
      <w:r w:rsidR="00395593" w:rsidRPr="005C5CBD">
        <w:rPr>
          <w:rFonts w:ascii="Garamond" w:eastAsia="Times New Roman" w:hAnsi="Garamond" w:cs="Calibri"/>
          <w:sz w:val="24"/>
          <w:szCs w:val="24"/>
          <w:lang w:eastAsia="pt-BR"/>
        </w:rPr>
        <w:t xml:space="preserve"> o valor diferido dos tributos indiretos cumulativos de etapas anteriores relativo aos insumos não consumidos no processo produtivo do produto exportado, tratado como um empréstimo governamental, a taxa de juros de curto prazo em caso de diferimento por período de até um ano, e a taxa de juros de longo prazo, em caso de diferimento por período acima de um ano.</w:t>
      </w:r>
    </w:p>
    <w:p w14:paraId="23CB6846"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4D6C1647" w14:textId="77777777" w:rsidR="00395593" w:rsidRPr="005C5CBD" w:rsidRDefault="00395593" w:rsidP="006A735F">
      <w:pPr>
        <w:spacing w:after="0" w:line="240" w:lineRule="auto"/>
        <w:ind w:firstLine="567"/>
        <w:jc w:val="both"/>
        <w:rPr>
          <w:rFonts w:ascii="Garamond" w:eastAsia="Arial Unicode MS" w:hAnsi="Garamond" w:cs="Calibri"/>
          <w:sz w:val="24"/>
          <w:szCs w:val="24"/>
        </w:rPr>
      </w:pPr>
      <w:r w:rsidRPr="005C5CBD">
        <w:rPr>
          <w:rFonts w:ascii="Garamond" w:eastAsia="Times New Roman" w:hAnsi="Garamond" w:cs="Calibri"/>
          <w:sz w:val="24"/>
          <w:szCs w:val="24"/>
          <w:lang w:eastAsia="pt-BR"/>
        </w:rPr>
        <w:t>§  1º  Na hipótese do inciso II, a remissão em excesso englobará a restituição de tributos relativos a insumos não consumidos no processo produtivo do produto exportado ou outros tributos que não os indiretos cumulativos de etapas anteriores</w:t>
      </w:r>
      <w:r w:rsidRPr="005C5CBD">
        <w:rPr>
          <w:rFonts w:ascii="Garamond" w:eastAsia="Arial Unicode MS" w:hAnsi="Garamond" w:cs="Calibri"/>
          <w:sz w:val="24"/>
          <w:szCs w:val="24"/>
        </w:rPr>
        <w:t xml:space="preserve"> relativos aos insumos.</w:t>
      </w:r>
    </w:p>
    <w:p w14:paraId="469F7B42" w14:textId="77777777" w:rsidR="00395593" w:rsidRPr="005C5CBD" w:rsidRDefault="00395593" w:rsidP="006A735F">
      <w:pPr>
        <w:spacing w:after="0" w:line="240" w:lineRule="auto"/>
        <w:ind w:firstLine="567"/>
        <w:jc w:val="both"/>
        <w:rPr>
          <w:rFonts w:ascii="Garamond" w:eastAsia="Arial Unicode MS" w:hAnsi="Garamond" w:cs="Calibri"/>
          <w:sz w:val="24"/>
          <w:szCs w:val="24"/>
        </w:rPr>
      </w:pPr>
    </w:p>
    <w:p w14:paraId="6F48682B"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Na hipótese do inciso III, caso a autoridade governamental do país exportador cobre o montante dos tributos diferidos com a aplicação de taxas de juros adequadas, não se considerará que houve benefício para o produtor/exportador investigado.</w:t>
      </w:r>
    </w:p>
    <w:p w14:paraId="47D1279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DE9A4C0" w14:textId="3F2F0645"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86. </w:t>
      </w:r>
      <w:r w:rsidRPr="005C5CBD">
        <w:rPr>
          <w:rFonts w:ascii="Garamond" w:eastAsia="Times New Roman" w:hAnsi="Garamond" w:cs="Calibri"/>
          <w:sz w:val="24"/>
          <w:szCs w:val="24"/>
          <w:lang w:eastAsia="pt-BR"/>
        </w:rPr>
        <w:t xml:space="preserve">Para os fins do art. </w:t>
      </w:r>
      <w:r w:rsidR="008605AF">
        <w:rPr>
          <w:rFonts w:ascii="Garamond" w:eastAsia="Times New Roman" w:hAnsi="Garamond" w:cs="Calibri"/>
          <w:sz w:val="24"/>
          <w:szCs w:val="24"/>
          <w:lang w:eastAsia="pt-BR"/>
        </w:rPr>
        <w:t>85</w:t>
      </w:r>
      <w:r w:rsidRPr="005C5CBD">
        <w:rPr>
          <w:rFonts w:ascii="Garamond" w:eastAsia="Times New Roman" w:hAnsi="Garamond" w:cs="Calibri"/>
          <w:sz w:val="24"/>
          <w:szCs w:val="24"/>
          <w:lang w:eastAsia="pt-BR"/>
        </w:rPr>
        <w:t xml:space="preserve"> a Subsecretaria de Defesa Comercial e Interesse Público analisará se está presente pelo menos uma das seguintes condições:  </w:t>
      </w:r>
    </w:p>
    <w:p w14:paraId="4762371C"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1DE9137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O governo do país investigado implementou e aplica um sistema ou um procedimento para a confirmar quais foram os insumos e as quantidades consumidas na produção do produto investigado exportado, e aquele sistema ou procedimento seja razoável e eficaz para os fins pretendidos e seja baseado práticas comerciais gerais aceitas no país de exportação; ou</w:t>
      </w:r>
    </w:p>
    <w:p w14:paraId="119BFA4C"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27DDEF15"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Se apesar de o governo do país investigado não possuir tal sistema ou procedimento, ou se este não for razoável, ou se o sistema ou procedimento apesar de instituído e ser considerado razoável, não for aplicado ou não for aplicado de maneira eficaz, o governo em questão realizou um exame dos insumos reais envolvidos para confirmar quais insumos são consumidos na produção do produto exportado e em que quantidades.</w:t>
      </w:r>
    </w:p>
    <w:p w14:paraId="0829B852"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4390E467"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Caso não seja observada pelo menos uma das condições descritas nos incisos I e II, o valor do benefício corresponderá ao valor total dispensado ou remitido.</w:t>
      </w:r>
    </w:p>
    <w:p w14:paraId="28970941"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454AC12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87. </w:t>
      </w:r>
      <w:r w:rsidRPr="005C5CBD">
        <w:rPr>
          <w:rFonts w:ascii="Garamond" w:eastAsia="Times New Roman" w:hAnsi="Garamond" w:cs="Calibri"/>
          <w:sz w:val="24"/>
          <w:szCs w:val="24"/>
          <w:lang w:eastAsia="pt-BR"/>
        </w:rPr>
        <w:t>A Subsecretaria de Defesa Comercial e Interesse Público normalmente considerará que o benefício da isenção ou remissão foi recebido na data de exportação.</w:t>
      </w:r>
    </w:p>
    <w:p w14:paraId="5FE1CEE3"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74CAB7BF"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Na hipótese de diferimento por prazo de até um ano a Subsecretaria de Defesa Comercial e Interesse Público considerará normalmente que o benefício foi concedido na data em que o tributo se tornou devido.</w:t>
      </w:r>
    </w:p>
    <w:p w14:paraId="1FF82010"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0CF2BB17"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Na hipótese de diferimento por prazo superior a um ano, a Subsecretaria de Defesa Comercial e Interesse Público considerará como data do benefício a data de aniversário do diferimento.</w:t>
      </w:r>
    </w:p>
    <w:p w14:paraId="57001A73"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A03975A" w14:textId="77777777" w:rsidR="00395593" w:rsidRPr="005C5CBD" w:rsidRDefault="00395593" w:rsidP="006A735F">
      <w:pPr>
        <w:spacing w:after="0" w:line="240" w:lineRule="auto"/>
        <w:ind w:firstLine="567"/>
        <w:jc w:val="both"/>
        <w:rPr>
          <w:rFonts w:ascii="Garamond" w:eastAsia="Times New Roman" w:hAnsi="Garamond" w:cs="Calibri"/>
          <w:strike/>
          <w:sz w:val="24"/>
          <w:szCs w:val="24"/>
          <w:lang w:eastAsia="pt-BR"/>
        </w:rPr>
      </w:pPr>
      <w:r w:rsidRPr="005C5CBD">
        <w:rPr>
          <w:rFonts w:ascii="Garamond" w:eastAsia="Times New Roman" w:hAnsi="Garamond" w:cs="Calibri"/>
          <w:sz w:val="24"/>
          <w:szCs w:val="24"/>
          <w:lang w:eastAsia="pt-BR"/>
        </w:rPr>
        <w:t>§ 3º  O disposto neste artigo levará em consideração se a normativa aplicável ao regime no país investigado prevê expressamente a taxa de juros aplicável e o prazo do diferimento.</w:t>
      </w:r>
    </w:p>
    <w:p w14:paraId="36D22EEA"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85E8AF8"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4º  A Subsecretaria de Defesa Comercial e Interesse Público analisará a efetividade da aplicação da legislação descrita no parágrafo anterior.</w:t>
      </w:r>
    </w:p>
    <w:p w14:paraId="1E061C45"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6B77442D"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597F6CA1" w14:textId="45967525"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88. </w:t>
      </w:r>
      <w:r w:rsidRPr="005C5CBD">
        <w:rPr>
          <w:rFonts w:ascii="Garamond" w:eastAsia="Times New Roman" w:hAnsi="Garamond" w:cs="Calibri"/>
          <w:sz w:val="24"/>
          <w:szCs w:val="24"/>
          <w:lang w:eastAsia="pt-BR"/>
        </w:rPr>
        <w:t>Em regra, a Subsecretaria de Defesa Comercial e Interesse Público atribuirá o benefício ao ano em que foi recebido, de acordo com o disposto nos arts.</w:t>
      </w:r>
      <w:r w:rsidRPr="005C5CBD" w:rsidDel="00CD4654">
        <w:rPr>
          <w:rFonts w:ascii="Garamond" w:eastAsia="Times New Roman" w:hAnsi="Garamond" w:cs="Calibri"/>
          <w:sz w:val="24"/>
          <w:szCs w:val="24"/>
          <w:lang w:eastAsia="pt-BR"/>
        </w:rPr>
        <w:t xml:space="preserve"> </w:t>
      </w:r>
      <w:r w:rsidR="008605AF">
        <w:rPr>
          <w:rFonts w:ascii="Garamond" w:eastAsia="Times New Roman" w:hAnsi="Garamond" w:cs="Calibri"/>
          <w:sz w:val="24"/>
          <w:szCs w:val="24"/>
          <w:lang w:eastAsia="pt-BR"/>
        </w:rPr>
        <w:t>32</w:t>
      </w:r>
      <w:r w:rsidR="00E15FBB" w:rsidRPr="005C5CBD">
        <w:rPr>
          <w:rFonts w:ascii="Garamond" w:eastAsia="Times New Roman" w:hAnsi="Garamond" w:cs="Calibri"/>
          <w:sz w:val="24"/>
          <w:szCs w:val="24"/>
          <w:lang w:eastAsia="pt-BR"/>
        </w:rPr>
        <w:t xml:space="preserve"> a</w:t>
      </w:r>
      <w:r w:rsidR="008605AF">
        <w:rPr>
          <w:rFonts w:ascii="Garamond" w:eastAsia="Times New Roman" w:hAnsi="Garamond" w:cs="Calibri"/>
          <w:sz w:val="24"/>
          <w:szCs w:val="24"/>
          <w:lang w:eastAsia="pt-BR"/>
        </w:rPr>
        <w:t xml:space="preserve"> 34</w:t>
      </w:r>
      <w:r w:rsidR="00E15FBB" w:rsidRPr="005C5CBD">
        <w:rPr>
          <w:rFonts w:ascii="Garamond" w:eastAsia="Times New Roman" w:hAnsi="Garamond" w:cs="Calibri"/>
          <w:sz w:val="24"/>
          <w:szCs w:val="24"/>
          <w:lang w:eastAsia="pt-BR"/>
        </w:rPr>
        <w:t>.</w:t>
      </w:r>
    </w:p>
    <w:p w14:paraId="0877471D"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62EFE937" w14:textId="77777777" w:rsidR="00395593" w:rsidRPr="007B17E1" w:rsidRDefault="00395593" w:rsidP="00EA0CC8">
      <w:pPr>
        <w:pStyle w:val="Corpodetexto"/>
        <w:jc w:val="center"/>
        <w:rPr>
          <w:rFonts w:ascii="Garamond" w:eastAsia="Calibri" w:hAnsi="Garamond"/>
          <w:b/>
          <w:smallCaps/>
          <w:snapToGrid w:val="0"/>
        </w:rPr>
      </w:pPr>
      <w:r w:rsidRPr="007B17E1">
        <w:rPr>
          <w:rFonts w:ascii="Garamond" w:eastAsia="Calibri" w:hAnsi="Garamond"/>
          <w:b/>
          <w:smallCaps/>
          <w:snapToGrid w:val="0"/>
        </w:rPr>
        <w:t>Subsubseção iii</w:t>
      </w:r>
    </w:p>
    <w:p w14:paraId="28D2E056" w14:textId="77777777" w:rsidR="00395593" w:rsidRPr="007B17E1" w:rsidRDefault="00395593" w:rsidP="00EA0CC8">
      <w:pPr>
        <w:pStyle w:val="Corpodetexto"/>
        <w:jc w:val="center"/>
        <w:rPr>
          <w:rFonts w:ascii="Garamond" w:hAnsi="Garamond"/>
          <w:b/>
          <w:snapToGrid w:val="0"/>
          <w:color w:val="000000"/>
        </w:rPr>
      </w:pPr>
      <w:r w:rsidRPr="007B17E1">
        <w:rPr>
          <w:rFonts w:ascii="Garamond" w:hAnsi="Garamond"/>
          <w:b/>
          <w:snapToGrid w:val="0"/>
          <w:color w:val="000000"/>
        </w:rPr>
        <w:t>Do drawback</w:t>
      </w:r>
    </w:p>
    <w:p w14:paraId="3CF518A9"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21BFE7EF" w14:textId="77777777" w:rsidR="00395593" w:rsidRPr="005C5CBD" w:rsidRDefault="00395593" w:rsidP="006A735F">
      <w:pPr>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89. </w:t>
      </w:r>
      <w:r w:rsidRPr="005C5CBD">
        <w:rPr>
          <w:rFonts w:ascii="Garamond" w:eastAsia="Times New Roman" w:hAnsi="Garamond" w:cs="Calibri"/>
          <w:sz w:val="24"/>
          <w:szCs w:val="24"/>
          <w:lang w:eastAsia="pt-BR"/>
        </w:rPr>
        <w:t>A Subsecretaria de Defesa Comercial e Interesse Público analisará se um benefício foi conferido por drawback (dispensa) ou remissão de direitos de importação incidentes sobre insumos consumidos na produção do produto final exportado.</w:t>
      </w:r>
    </w:p>
    <w:p w14:paraId="5A317BD0" w14:textId="77777777" w:rsidR="00395593" w:rsidRPr="005C5CBD" w:rsidRDefault="00395593" w:rsidP="006A735F">
      <w:pPr>
        <w:autoSpaceDE w:val="0"/>
        <w:autoSpaceDN w:val="0"/>
        <w:adjustRightInd w:val="0"/>
        <w:spacing w:after="0" w:line="240" w:lineRule="auto"/>
        <w:ind w:firstLine="567"/>
        <w:jc w:val="both"/>
        <w:rPr>
          <w:rFonts w:ascii="Garamond" w:eastAsia="Times New Roman" w:hAnsi="Garamond" w:cs="Calibri"/>
          <w:sz w:val="24"/>
          <w:szCs w:val="24"/>
          <w:lang w:eastAsia="pt-BR"/>
        </w:rPr>
      </w:pPr>
    </w:p>
    <w:p w14:paraId="3767B90C"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O termo “drawback” abrangerá</w:t>
      </w:r>
      <w:r w:rsidRPr="005C5CBD">
        <w:rPr>
          <w:rFonts w:ascii="Garamond" w:eastAsia="Arial Unicode MS" w:hAnsi="Garamond" w:cs="Calibri"/>
          <w:sz w:val="24"/>
          <w:szCs w:val="24"/>
        </w:rPr>
        <w:t xml:space="preserve"> isenção, suspensão, imunidade, redução da base de cálculo ou alíquota ou </w:t>
      </w:r>
      <w:r w:rsidRPr="005C5CBD">
        <w:rPr>
          <w:rFonts w:ascii="Garamond" w:eastAsia="Times New Roman" w:hAnsi="Garamond" w:cs="Calibri"/>
          <w:sz w:val="24"/>
          <w:szCs w:val="24"/>
          <w:lang w:eastAsia="pt-BR"/>
        </w:rPr>
        <w:t xml:space="preserve">qualquer outra expressão que confira a intenção de dispensa dos tributos referidos no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w:t>
      </w:r>
    </w:p>
    <w:p w14:paraId="2132DD13"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757E1F8"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O termo “</w:t>
      </w:r>
      <w:r w:rsidRPr="005C5CBD">
        <w:rPr>
          <w:rFonts w:ascii="Garamond" w:eastAsia="Arial Unicode MS" w:hAnsi="Garamond" w:cs="Calibri"/>
          <w:sz w:val="24"/>
          <w:szCs w:val="24"/>
        </w:rPr>
        <w:t>remissão”</w:t>
      </w:r>
      <w:r w:rsidRPr="005C5CBD">
        <w:rPr>
          <w:rFonts w:ascii="Garamond" w:eastAsia="Times New Roman" w:hAnsi="Garamond" w:cs="Calibri"/>
          <w:sz w:val="24"/>
          <w:szCs w:val="24"/>
          <w:lang w:eastAsia="pt-BR"/>
        </w:rPr>
        <w:t xml:space="preserve"> abrangerá</w:t>
      </w:r>
      <w:r w:rsidRPr="005C5CBD">
        <w:rPr>
          <w:rFonts w:ascii="Garamond" w:eastAsia="Arial Unicode MS" w:hAnsi="Garamond" w:cs="Calibri"/>
          <w:sz w:val="24"/>
          <w:szCs w:val="24"/>
        </w:rPr>
        <w:t xml:space="preserve"> restituição, reembolso ou </w:t>
      </w:r>
      <w:r w:rsidRPr="005C5CBD">
        <w:rPr>
          <w:rFonts w:ascii="Garamond" w:eastAsia="Times New Roman" w:hAnsi="Garamond" w:cs="Calibri"/>
          <w:sz w:val="24"/>
          <w:szCs w:val="24"/>
          <w:lang w:eastAsia="pt-BR"/>
        </w:rPr>
        <w:t xml:space="preserve">qualquer outra expressão que confira a intenção de devolução dos tributos referidos no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w:t>
      </w:r>
    </w:p>
    <w:p w14:paraId="4184A62F"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18E830AB" w14:textId="39E7BDA8"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3º  A expressão “direitos de importação” será utilizada conforme o § 5º do art. </w:t>
      </w:r>
      <w:r w:rsidR="008605AF">
        <w:rPr>
          <w:rFonts w:ascii="Garamond" w:eastAsia="Times New Roman" w:hAnsi="Garamond" w:cs="Calibri"/>
          <w:sz w:val="24"/>
          <w:szCs w:val="24"/>
          <w:lang w:eastAsia="pt-BR"/>
        </w:rPr>
        <w:t>74</w:t>
      </w:r>
      <w:r w:rsidR="00E15FBB" w:rsidRPr="005C5CBD">
        <w:rPr>
          <w:rFonts w:ascii="Garamond" w:eastAsia="Times New Roman" w:hAnsi="Garamond" w:cs="Calibri"/>
          <w:sz w:val="24"/>
          <w:szCs w:val="24"/>
          <w:lang w:eastAsia="pt-BR"/>
        </w:rPr>
        <w:t>.</w:t>
      </w:r>
    </w:p>
    <w:p w14:paraId="1E9FD090" w14:textId="77777777" w:rsidR="00E15FBB" w:rsidRPr="005C5CBD" w:rsidRDefault="00E15FBB" w:rsidP="006A735F">
      <w:pPr>
        <w:spacing w:after="0" w:line="240" w:lineRule="auto"/>
        <w:ind w:firstLine="567"/>
        <w:jc w:val="both"/>
        <w:rPr>
          <w:rFonts w:ascii="Garamond" w:eastAsia="Times New Roman" w:hAnsi="Garamond" w:cs="Calibri"/>
          <w:sz w:val="24"/>
          <w:szCs w:val="24"/>
          <w:lang w:eastAsia="pt-BR"/>
        </w:rPr>
      </w:pPr>
    </w:p>
    <w:p w14:paraId="7410DFE1" w14:textId="2CC7F0BF" w:rsidR="00E15FBB" w:rsidRPr="005C5CBD" w:rsidRDefault="00E15FBB"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4º  A expressão “insumos consumidos na produção” será utilizada conforme o § 4º do art. </w:t>
      </w:r>
      <w:r w:rsidR="008605AF">
        <w:rPr>
          <w:rFonts w:ascii="Garamond" w:eastAsia="Times New Roman" w:hAnsi="Garamond" w:cs="Calibri"/>
          <w:sz w:val="24"/>
          <w:szCs w:val="24"/>
          <w:lang w:eastAsia="pt-BR"/>
        </w:rPr>
        <w:t>83</w:t>
      </w:r>
      <w:r w:rsidRPr="005C5CBD">
        <w:rPr>
          <w:rFonts w:ascii="Garamond" w:eastAsia="Times New Roman" w:hAnsi="Garamond" w:cs="Calibri"/>
          <w:sz w:val="24"/>
          <w:szCs w:val="24"/>
          <w:lang w:eastAsia="pt-BR"/>
        </w:rPr>
        <w:t>.</w:t>
      </w:r>
    </w:p>
    <w:p w14:paraId="4669A416"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5DC8C8D1" w14:textId="77777777" w:rsidR="00395593" w:rsidRPr="005C5CBD" w:rsidRDefault="00395593" w:rsidP="006A735F">
      <w:pPr>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5º Será considerada como drawback substituição a situação em a empresa substitui insumos importados por insumos domésticos, restrita à mesma quantidade, qualidades e características dos insumos importados. </w:t>
      </w:r>
    </w:p>
    <w:p w14:paraId="7ACCD82F" w14:textId="77777777" w:rsidR="00395593" w:rsidRPr="005C5CBD" w:rsidRDefault="00395593" w:rsidP="006A735F">
      <w:pPr>
        <w:autoSpaceDE w:val="0"/>
        <w:autoSpaceDN w:val="0"/>
        <w:adjustRightInd w:val="0"/>
        <w:spacing w:after="0" w:line="240" w:lineRule="auto"/>
        <w:ind w:firstLine="567"/>
        <w:jc w:val="both"/>
        <w:rPr>
          <w:rFonts w:ascii="Garamond" w:eastAsia="Times New Roman" w:hAnsi="Garamond" w:cs="Calibri"/>
          <w:sz w:val="24"/>
          <w:szCs w:val="24"/>
          <w:lang w:eastAsia="pt-BR"/>
        </w:rPr>
      </w:pPr>
    </w:p>
    <w:p w14:paraId="1F8E703F" w14:textId="77777777" w:rsidR="00395593" w:rsidRPr="005C5CBD" w:rsidRDefault="00395593" w:rsidP="006A735F">
      <w:pPr>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6º O drawback substituição não resulta necessariamente em concessão de um benefício. </w:t>
      </w:r>
    </w:p>
    <w:p w14:paraId="3674ED6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EC3DA43" w14:textId="7B6F987B"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90. </w:t>
      </w:r>
      <w:r w:rsidRPr="005C5CBD">
        <w:rPr>
          <w:rFonts w:ascii="Garamond" w:eastAsia="Times New Roman" w:hAnsi="Garamond" w:cs="Calibri"/>
          <w:sz w:val="24"/>
          <w:szCs w:val="24"/>
          <w:lang w:eastAsia="pt-BR"/>
        </w:rPr>
        <w:t xml:space="preserve">Para os fins do disposto no art. </w:t>
      </w:r>
      <w:r w:rsidR="008605AF">
        <w:rPr>
          <w:rFonts w:ascii="Garamond" w:eastAsia="Times New Roman" w:hAnsi="Garamond" w:cs="Calibri"/>
          <w:sz w:val="24"/>
          <w:szCs w:val="24"/>
          <w:lang w:eastAsia="pt-BR"/>
        </w:rPr>
        <w:t>89</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a análise da Subsecretaria de Defesa Comercial e Interesse Público englobará se:</w:t>
      </w:r>
    </w:p>
    <w:p w14:paraId="7A991A5F"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5E95AD24" w14:textId="7E05BD62"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 – o drawback abrangeu tributos relativos a insumos não consumidos no processo produtivo do produto exportado, levando em conta ajustes normais a título de desperdício ou outros tributos que não os referidos no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 xml:space="preserve"> do art. </w:t>
      </w:r>
      <w:r w:rsidR="008605AF">
        <w:rPr>
          <w:rFonts w:ascii="Garamond" w:eastAsia="Times New Roman" w:hAnsi="Garamond" w:cs="Calibri"/>
          <w:sz w:val="24"/>
          <w:szCs w:val="24"/>
          <w:lang w:eastAsia="pt-BR"/>
        </w:rPr>
        <w:t>89</w:t>
      </w:r>
      <w:r w:rsidR="00E15FBB" w:rsidRPr="005C5CBD">
        <w:rPr>
          <w:rFonts w:ascii="Garamond" w:eastAsia="Times New Roman" w:hAnsi="Garamond" w:cs="Calibri"/>
          <w:sz w:val="24"/>
          <w:szCs w:val="24"/>
          <w:lang w:eastAsia="pt-BR"/>
        </w:rPr>
        <w:t>;</w:t>
      </w:r>
    </w:p>
    <w:p w14:paraId="2F201705"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7D1FE597"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 – a </w:t>
      </w:r>
      <w:r w:rsidRPr="005C5CBD">
        <w:rPr>
          <w:rFonts w:ascii="Garamond" w:eastAsia="Arial Unicode MS" w:hAnsi="Garamond" w:cs="Calibri"/>
          <w:sz w:val="24"/>
          <w:szCs w:val="24"/>
        </w:rPr>
        <w:t>remissão</w:t>
      </w:r>
      <w:r w:rsidRPr="005C5CBD">
        <w:rPr>
          <w:rFonts w:ascii="Garamond" w:eastAsia="Times New Roman" w:hAnsi="Garamond" w:cs="Calibri"/>
          <w:sz w:val="24"/>
          <w:szCs w:val="24"/>
          <w:lang w:eastAsia="pt-BR"/>
        </w:rPr>
        <w:t xml:space="preserve"> abrangeu tributos relativos a insumos consumidos no processo produtivo do produto exportado, levando em conta ajustes normais a título de desperdício; </w:t>
      </w:r>
    </w:p>
    <w:p w14:paraId="4BB7DCB2"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679A88D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III – a substituição dos insumos importados por insumos domésticos foi relativa a igual quantidade e a insumos com as mesmas qualidades e características e se a importação e a correspondente exportação ocorreram em um período razoável de tempo, não superior a dois anos; e </w:t>
      </w:r>
    </w:p>
    <w:p w14:paraId="2E8029FF"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05D7F495"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houve diferimento de tributos relativos a insumos não consumidos no processo produtivo do produto exportado, levando-se em consideração os ajustes normais a título de desperdício, sem a cobrança adequada de juros.</w:t>
      </w:r>
    </w:p>
    <w:p w14:paraId="48CE9C8B"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95864FA"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91. </w:t>
      </w:r>
      <w:r w:rsidRPr="005C5CBD">
        <w:rPr>
          <w:rFonts w:ascii="Garamond" w:eastAsia="Times New Roman" w:hAnsi="Garamond" w:cs="Calibri"/>
          <w:sz w:val="24"/>
          <w:szCs w:val="24"/>
          <w:lang w:eastAsia="pt-BR"/>
        </w:rPr>
        <w:t xml:space="preserve">Para o valor do benefício a Subsecretaria de Defesa Comercial e Interesse Público considerará em regra: </w:t>
      </w:r>
    </w:p>
    <w:p w14:paraId="0F26948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561DB4DF" w14:textId="6859CA91"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 – Na hipótese do inciso I do Art. </w:t>
      </w:r>
      <w:r w:rsidR="008605AF">
        <w:rPr>
          <w:rFonts w:ascii="Garamond" w:eastAsia="Times New Roman" w:hAnsi="Garamond" w:cs="Calibri"/>
          <w:sz w:val="24"/>
          <w:szCs w:val="24"/>
          <w:lang w:eastAsia="pt-BR"/>
        </w:rPr>
        <w:t>90</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o valor dos direitos de importação relativo aos insumos </w:t>
      </w:r>
      <w:r w:rsidRPr="005C5CBD">
        <w:rPr>
          <w:rFonts w:ascii="Garamond" w:eastAsia="Arial Unicode MS" w:hAnsi="Garamond" w:cs="Calibri"/>
          <w:sz w:val="24"/>
          <w:szCs w:val="24"/>
        </w:rPr>
        <w:t xml:space="preserve">não </w:t>
      </w:r>
      <w:r w:rsidRPr="005C5CBD">
        <w:rPr>
          <w:rFonts w:ascii="Garamond" w:eastAsia="Times New Roman" w:hAnsi="Garamond" w:cs="Calibri"/>
          <w:sz w:val="24"/>
          <w:szCs w:val="24"/>
          <w:lang w:eastAsia="pt-BR"/>
        </w:rPr>
        <w:t xml:space="preserve">consumidos </w:t>
      </w:r>
      <w:r w:rsidRPr="005C5CBD">
        <w:rPr>
          <w:rFonts w:ascii="Garamond" w:eastAsia="Arial Unicode MS" w:hAnsi="Garamond" w:cs="Calibri"/>
          <w:sz w:val="24"/>
          <w:szCs w:val="24"/>
        </w:rPr>
        <w:t>no processo produtivo do produto exportado</w:t>
      </w:r>
      <w:r w:rsidRPr="005C5CBD">
        <w:rPr>
          <w:rFonts w:ascii="Garamond" w:eastAsia="Times New Roman" w:hAnsi="Garamond" w:cs="Calibri"/>
          <w:sz w:val="24"/>
          <w:szCs w:val="24"/>
          <w:lang w:eastAsia="pt-BR"/>
        </w:rPr>
        <w:t xml:space="preserve">, </w:t>
      </w:r>
      <w:r w:rsidRPr="005C5CBD">
        <w:rPr>
          <w:rFonts w:ascii="Garamond" w:eastAsia="Arial Unicode MS" w:hAnsi="Garamond" w:cs="Calibri"/>
          <w:sz w:val="24"/>
          <w:szCs w:val="24"/>
        </w:rPr>
        <w:t xml:space="preserve">ou o </w:t>
      </w:r>
      <w:r w:rsidRPr="005C5CBD">
        <w:rPr>
          <w:rFonts w:ascii="Garamond" w:eastAsia="Times New Roman" w:hAnsi="Garamond" w:cs="Calibri"/>
          <w:sz w:val="24"/>
          <w:szCs w:val="24"/>
          <w:lang w:eastAsia="pt-BR"/>
        </w:rPr>
        <w:t>valor de outros tributos que não direitos de importação;</w:t>
      </w:r>
    </w:p>
    <w:p w14:paraId="4CB0AC12" w14:textId="77777777" w:rsidR="00E15FBB" w:rsidRPr="005C5CBD" w:rsidRDefault="00E15FBB" w:rsidP="006A735F">
      <w:pPr>
        <w:spacing w:after="0" w:line="240" w:lineRule="auto"/>
        <w:ind w:firstLine="567"/>
        <w:jc w:val="both"/>
        <w:rPr>
          <w:rFonts w:ascii="Garamond" w:eastAsia="Times New Roman" w:hAnsi="Garamond" w:cs="Calibri"/>
          <w:sz w:val="24"/>
          <w:szCs w:val="24"/>
          <w:lang w:eastAsia="pt-BR"/>
        </w:rPr>
      </w:pPr>
    </w:p>
    <w:p w14:paraId="30C61F4F" w14:textId="1F5CCA98" w:rsidR="00E15FBB" w:rsidRPr="005C5CBD" w:rsidRDefault="00E15FBB" w:rsidP="006A735F">
      <w:pPr>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 – Na hipótese dos incisos II do Art. </w:t>
      </w:r>
      <w:r w:rsidR="008605AF">
        <w:rPr>
          <w:rFonts w:ascii="Garamond" w:eastAsia="Times New Roman" w:hAnsi="Garamond" w:cs="Calibri"/>
          <w:sz w:val="24"/>
          <w:szCs w:val="24"/>
          <w:lang w:eastAsia="pt-BR"/>
        </w:rPr>
        <w:t>90</w:t>
      </w:r>
      <w:r w:rsidRPr="005C5CBD">
        <w:rPr>
          <w:rFonts w:ascii="Garamond" w:eastAsia="Times New Roman" w:hAnsi="Garamond" w:cs="Calibri"/>
          <w:sz w:val="24"/>
          <w:szCs w:val="24"/>
          <w:lang w:eastAsia="pt-BR"/>
        </w:rPr>
        <w:t>, a diferença entre o valor remitido e o valor pago de direitos de importação, relativo aos insumos consumidos na produção do produto exportado, levando-se em consideração os ajustes normais a título de desperdício; e</w:t>
      </w:r>
    </w:p>
    <w:p w14:paraId="3BABDB56" w14:textId="77777777" w:rsidR="00E15FBB" w:rsidRPr="005C5CBD" w:rsidRDefault="00E15FBB" w:rsidP="006A735F">
      <w:pPr>
        <w:autoSpaceDE w:val="0"/>
        <w:autoSpaceDN w:val="0"/>
        <w:adjustRightInd w:val="0"/>
        <w:spacing w:after="0" w:line="240" w:lineRule="auto"/>
        <w:ind w:firstLine="567"/>
        <w:jc w:val="both"/>
        <w:rPr>
          <w:rFonts w:ascii="Garamond" w:eastAsia="Times New Roman" w:hAnsi="Garamond" w:cs="Calibri"/>
          <w:sz w:val="24"/>
          <w:szCs w:val="24"/>
          <w:lang w:eastAsia="pt-BR"/>
        </w:rPr>
      </w:pPr>
    </w:p>
    <w:p w14:paraId="4B0A5094" w14:textId="2EA99AC1" w:rsidR="00395593" w:rsidRPr="005C5CBD" w:rsidRDefault="00E15FBB"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III - Na hipótese do inciso IV do Art. </w:t>
      </w:r>
      <w:r w:rsidR="008605AF">
        <w:rPr>
          <w:rFonts w:ascii="Garamond" w:eastAsia="Times New Roman" w:hAnsi="Garamond" w:cs="Calibri"/>
          <w:sz w:val="24"/>
          <w:szCs w:val="24"/>
          <w:lang w:eastAsia="pt-BR"/>
        </w:rPr>
        <w:t>90</w:t>
      </w:r>
      <w:r w:rsidRPr="005C5CBD">
        <w:rPr>
          <w:rFonts w:ascii="Garamond" w:eastAsia="Times New Roman" w:hAnsi="Garamond" w:cs="Calibri"/>
          <w:sz w:val="24"/>
          <w:szCs w:val="24"/>
          <w:lang w:eastAsia="pt-BR"/>
        </w:rPr>
        <w:t>,</w:t>
      </w:r>
      <w:r w:rsidR="00395593" w:rsidRPr="005C5CBD">
        <w:rPr>
          <w:rFonts w:ascii="Garamond" w:eastAsia="Times New Roman" w:hAnsi="Garamond" w:cs="Calibri"/>
          <w:sz w:val="24"/>
          <w:szCs w:val="24"/>
          <w:lang w:eastAsia="pt-BR"/>
        </w:rPr>
        <w:t xml:space="preserve"> que o valor dos direitos de importação diferidos relativos aos insumos não consumidos no processo produtivo do produto exportado será tratado como um empréstimo governamental. </w:t>
      </w:r>
    </w:p>
    <w:p w14:paraId="65C20B8A"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60419BCD"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Na hipótese do inciso III, será utilizada taxa de juros de curto prazo em caso de diferimento por período de até um ano, e taxa de juros de longo prazo, em caso de diferimento por período acima de um ano.</w:t>
      </w:r>
    </w:p>
    <w:p w14:paraId="5002EC2D"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1B2B58FC"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Na hipótese do drawback substituição, o cálculo do benefício poderá refletir as hipóteses dos incisos I e II deste artigo.</w:t>
      </w:r>
    </w:p>
    <w:p w14:paraId="69017ED5"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796B8F90" w14:textId="49817DE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92. </w:t>
      </w:r>
      <w:r w:rsidRPr="005C5CBD">
        <w:rPr>
          <w:rFonts w:ascii="Garamond" w:eastAsia="Times New Roman" w:hAnsi="Garamond" w:cs="Calibri"/>
          <w:sz w:val="24"/>
          <w:szCs w:val="24"/>
          <w:lang w:eastAsia="pt-BR"/>
        </w:rPr>
        <w:t xml:space="preserve">Para os fins do disposto no art. </w:t>
      </w:r>
      <w:r w:rsidR="008605AF">
        <w:rPr>
          <w:rFonts w:ascii="Garamond" w:eastAsia="Times New Roman" w:hAnsi="Garamond" w:cs="Calibri"/>
          <w:sz w:val="24"/>
          <w:szCs w:val="24"/>
          <w:lang w:eastAsia="pt-BR"/>
        </w:rPr>
        <w:t>91</w:t>
      </w:r>
      <w:r w:rsidRPr="005C5CBD">
        <w:rPr>
          <w:rFonts w:ascii="Garamond" w:eastAsia="Times New Roman" w:hAnsi="Garamond" w:cs="Calibri"/>
          <w:sz w:val="24"/>
          <w:szCs w:val="24"/>
          <w:lang w:eastAsia="pt-BR"/>
        </w:rPr>
        <w:t xml:space="preserve"> a Subsecretaria de Defesa Comercial e Interesse Público analisará se está presente pelo menos uma das seguintes condições:  </w:t>
      </w:r>
    </w:p>
    <w:p w14:paraId="2E6F6D8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03C93181"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O governo do país investigado implementou e aplica um sistema ou um procedimento para a confirmar quais foram os insumos e as quantidades consumidas na produção do produto investigado exportado, e aquele sistema ou procedimento seja razoável e eficaz para os fins pretendidos e seja baseado práticas comerciais gerais aceitas no país de exportação; ou</w:t>
      </w:r>
    </w:p>
    <w:p w14:paraId="587CDF7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49954AD1"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Se apesar de o governo do país investigado não possuir tal sistema ou procedimento, ou se este não for razoável, ou se o sistema ou procedimento apesar de instituído e ser considerado razoável, não for aplicado ou não for aplicado de maneira eficaz, o governo em questão realizou um exame dos insumos reais envolvidos para confirmar quais insumos são consumidos na produção do produto exportado e em que quantidades.</w:t>
      </w:r>
    </w:p>
    <w:p w14:paraId="7F64206B"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F3CA9AC"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Caso não seja observada pelo menos uma das condições descritas nos incisos I e II deste artigo, o valor do benefício corresponderá ao valor total dispensado ou remitido.</w:t>
      </w:r>
    </w:p>
    <w:p w14:paraId="15460E9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BAB82CA"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93. </w:t>
      </w:r>
      <w:r w:rsidRPr="005C5CBD">
        <w:rPr>
          <w:rFonts w:ascii="Garamond" w:eastAsia="Times New Roman" w:hAnsi="Garamond" w:cs="Calibri"/>
          <w:sz w:val="24"/>
          <w:szCs w:val="24"/>
          <w:lang w:eastAsia="pt-BR"/>
        </w:rPr>
        <w:t>A Subsecretaria de Defesa Comercial e Interesse Público normalmente considerará que o benefício do drawback ou da remissão foi recebido na data de exportação.</w:t>
      </w:r>
    </w:p>
    <w:p w14:paraId="3DC54C7C"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5514075D"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Na hipótese de diferimento por prazo de até um ano a Subsecretaria de Defesa Comercial e Interesse Público considerará normalmente que o benefício foi concedido na data em que o tributo se tornou devido.</w:t>
      </w:r>
    </w:p>
    <w:p w14:paraId="7C6B5E36"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E0A3F3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Na hipótese de diferimento por prazo superior a um ano, a Subsecretaria de Defesa Comercial e Interesse Público considerará como data do benefício a data de aniversário do diferimento.</w:t>
      </w:r>
    </w:p>
    <w:p w14:paraId="2A2910A8"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0470BC6D" w14:textId="77777777" w:rsidR="00395593" w:rsidRPr="005C5CBD" w:rsidRDefault="00395593" w:rsidP="006A735F">
      <w:pPr>
        <w:spacing w:after="0" w:line="240" w:lineRule="auto"/>
        <w:ind w:firstLine="567"/>
        <w:jc w:val="both"/>
        <w:rPr>
          <w:rFonts w:ascii="Garamond" w:eastAsia="Times New Roman" w:hAnsi="Garamond" w:cs="Calibri"/>
          <w:strike/>
          <w:sz w:val="24"/>
          <w:szCs w:val="24"/>
          <w:lang w:eastAsia="pt-BR"/>
        </w:rPr>
      </w:pPr>
      <w:r w:rsidRPr="005C5CBD">
        <w:rPr>
          <w:rFonts w:ascii="Garamond" w:eastAsia="Times New Roman" w:hAnsi="Garamond" w:cs="Calibri"/>
          <w:sz w:val="24"/>
          <w:szCs w:val="24"/>
          <w:lang w:eastAsia="pt-BR"/>
        </w:rPr>
        <w:t>§ 3º  O disposto neste artigo levará em consideração se a normativa aplicável ao regime no país investigado prevê expressamente a taxa de juros aplicável e o prazo do diferimento.</w:t>
      </w:r>
    </w:p>
    <w:p w14:paraId="73F94855"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D58E18F"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4º  A Subsecretaria de Defesa Comercial e Interesse Público analisará a efetividade da aplicação da legislação descrita no parágrafo anterior.</w:t>
      </w:r>
    </w:p>
    <w:p w14:paraId="15D20E62"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367E7A80" w14:textId="3CC78882"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Calibri" w:hAnsi="Garamond" w:cs="Calibri"/>
          <w:sz w:val="24"/>
          <w:szCs w:val="24"/>
          <w:lang w:eastAsia="pt-BR"/>
        </w:rPr>
        <w:t xml:space="preserve">Art. 94. </w:t>
      </w:r>
      <w:r w:rsidRPr="005C5CBD">
        <w:rPr>
          <w:rFonts w:ascii="Garamond" w:eastAsia="Times New Roman" w:hAnsi="Garamond" w:cs="Calibri"/>
          <w:sz w:val="24"/>
          <w:szCs w:val="24"/>
          <w:lang w:eastAsia="pt-BR"/>
        </w:rPr>
        <w:t>Em regra, a Subsecretaria de Defesa Comercial e Interesse Público atribuirá o benefício ao ano em que foi recebido, de acordo com o disposto nos arts.</w:t>
      </w:r>
      <w:r w:rsidRPr="005C5CBD" w:rsidDel="00CD4654">
        <w:rPr>
          <w:rFonts w:ascii="Garamond" w:eastAsia="Times New Roman" w:hAnsi="Garamond" w:cs="Calibri"/>
          <w:sz w:val="24"/>
          <w:szCs w:val="24"/>
          <w:lang w:eastAsia="pt-BR"/>
        </w:rPr>
        <w:t xml:space="preserve"> </w:t>
      </w:r>
      <w:r w:rsidR="008605AF">
        <w:rPr>
          <w:rFonts w:ascii="Garamond" w:eastAsia="Times New Roman" w:hAnsi="Garamond" w:cs="Calibri"/>
          <w:sz w:val="24"/>
          <w:szCs w:val="24"/>
          <w:lang w:eastAsia="pt-BR"/>
        </w:rPr>
        <w:t>32</w:t>
      </w:r>
      <w:r w:rsidR="00E15FBB" w:rsidRPr="005C5CBD">
        <w:rPr>
          <w:rFonts w:ascii="Garamond" w:eastAsia="Times New Roman" w:hAnsi="Garamond" w:cs="Calibri"/>
          <w:sz w:val="24"/>
          <w:szCs w:val="24"/>
          <w:lang w:eastAsia="pt-BR"/>
        </w:rPr>
        <w:t xml:space="preserve"> a </w:t>
      </w:r>
      <w:r w:rsidR="008605AF">
        <w:rPr>
          <w:rFonts w:ascii="Garamond" w:eastAsia="Times New Roman" w:hAnsi="Garamond" w:cs="Calibri"/>
          <w:sz w:val="24"/>
          <w:szCs w:val="24"/>
          <w:lang w:eastAsia="pt-BR"/>
        </w:rPr>
        <w:t>34</w:t>
      </w:r>
      <w:r w:rsidR="00E15FBB" w:rsidRPr="005C5CBD">
        <w:rPr>
          <w:rFonts w:ascii="Garamond" w:eastAsia="Times New Roman" w:hAnsi="Garamond" w:cs="Calibri"/>
          <w:sz w:val="24"/>
          <w:szCs w:val="24"/>
          <w:lang w:eastAsia="pt-BR"/>
        </w:rPr>
        <w:t>.</w:t>
      </w:r>
    </w:p>
    <w:p w14:paraId="2D2E637B"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67AB3D7F" w14:textId="77777777" w:rsidR="00395593" w:rsidRPr="007B17E1" w:rsidRDefault="00395593" w:rsidP="00EA0CC8">
      <w:pPr>
        <w:pStyle w:val="Corpodetexto"/>
        <w:jc w:val="center"/>
        <w:rPr>
          <w:rFonts w:ascii="Garamond" w:eastAsia="MS Gothic" w:hAnsi="Garamond"/>
          <w:b/>
          <w:smallCaps/>
          <w:lang w:eastAsia="pt-BR"/>
        </w:rPr>
      </w:pPr>
      <w:r w:rsidRPr="007B17E1">
        <w:rPr>
          <w:rFonts w:ascii="Garamond" w:eastAsia="MS Gothic" w:hAnsi="Garamond"/>
          <w:b/>
          <w:smallCaps/>
          <w:lang w:eastAsia="pt-BR"/>
        </w:rPr>
        <w:t>Subseção IX</w:t>
      </w:r>
    </w:p>
    <w:p w14:paraId="2F632CD8" w14:textId="77777777" w:rsidR="00395593" w:rsidRPr="005C5CBD" w:rsidRDefault="00395593" w:rsidP="00EA0CC8">
      <w:pPr>
        <w:pStyle w:val="Corpodetexto"/>
        <w:jc w:val="center"/>
        <w:rPr>
          <w:rFonts w:eastAsia="MS Gothic"/>
          <w:lang w:eastAsia="pt-BR"/>
        </w:rPr>
      </w:pPr>
      <w:r w:rsidRPr="007B17E1">
        <w:rPr>
          <w:rFonts w:ascii="Garamond" w:eastAsia="MS Gothic" w:hAnsi="Garamond"/>
          <w:b/>
          <w:lang w:eastAsia="pt-BR"/>
        </w:rPr>
        <w:t>Do fornecimento de bens e serviço</w:t>
      </w:r>
      <w:r w:rsidRPr="005C5CBD">
        <w:rPr>
          <w:rFonts w:eastAsia="MS Gothic"/>
          <w:lang w:eastAsia="pt-BR"/>
        </w:rPr>
        <w:t>s</w:t>
      </w:r>
    </w:p>
    <w:p w14:paraId="0ABC300A"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708BB3BD"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95. </w:t>
      </w:r>
      <w:r w:rsidRPr="005C5CBD">
        <w:rPr>
          <w:rFonts w:ascii="Garamond" w:eastAsia="Times New Roman" w:hAnsi="Garamond" w:cs="Calibri"/>
          <w:sz w:val="24"/>
          <w:szCs w:val="24"/>
          <w:lang w:eastAsia="pt-BR"/>
        </w:rPr>
        <w:t>Na hipótese de um governo fornecer bens ou serviços a uma empresa investigada, a Subsecretaria de Defesa Comercial e Interesse Público determinará normalmente que um benefício foi conferido se a remuneração daqueles bens ou serviços tiver sido inferior à adequada.</w:t>
      </w:r>
    </w:p>
    <w:p w14:paraId="3A7B5E22"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29D71D96"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96. </w:t>
      </w:r>
      <w:r w:rsidRPr="005C5CBD">
        <w:rPr>
          <w:rFonts w:ascii="Garamond" w:eastAsia="Times New Roman" w:hAnsi="Garamond" w:cs="Calibri"/>
          <w:sz w:val="24"/>
          <w:szCs w:val="24"/>
          <w:lang w:eastAsia="pt-BR"/>
        </w:rPr>
        <w:t>O montante do benefício será determinado pela análise da diferença entre o preço que a empresa investigada pagou pelo produto ou serviço fornecido pelo governo e a remuneração adequada para o produto ou serviço em questão, considerando-se as condições de mercado existentes no momento da transação.</w:t>
      </w:r>
    </w:p>
    <w:p w14:paraId="3C96D829"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01EF807A"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O cálculo do montante do benefício deverá normalmente refletir apenas as compras do produto ou serviço que foram utilizadas para produção ou venda do produto subsidiado.</w:t>
      </w:r>
    </w:p>
    <w:p w14:paraId="5C208B28"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67875845"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97. </w:t>
      </w:r>
      <w:r w:rsidRPr="005C5CBD">
        <w:rPr>
          <w:rFonts w:ascii="Garamond" w:eastAsia="Times New Roman" w:hAnsi="Garamond" w:cs="Calibri"/>
          <w:sz w:val="24"/>
          <w:szCs w:val="24"/>
          <w:lang w:eastAsia="pt-BR"/>
        </w:rPr>
        <w:t>Para determinar a remuneração adequada, a Subsecretaria de Defesa Comercial e Interesse Público normalmente avaliará o preço de mercado do produto ou serviço obtido a partir de transações efetivas no país exportador, as quais poderão incluir:</w:t>
      </w:r>
    </w:p>
    <w:p w14:paraId="4E523EA2"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4439B873"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transações entre agentes privados;</w:t>
      </w:r>
    </w:p>
    <w:p w14:paraId="7565E752"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616822EF"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 - importações; e </w:t>
      </w:r>
    </w:p>
    <w:p w14:paraId="73110543"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6F03BE6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em determinadas circunstâncias, vendas em leilões governamentais realizados de forma competitiva.</w:t>
      </w:r>
    </w:p>
    <w:p w14:paraId="7DAC079F"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4BAD645C"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§1º   Na hipótese de não haver preços efetivos de mercado no país exportador, a Subsecretaria de Defesa Comercial e Interesse Público poderá utilizar referências de preço internacionais, desde que haja evidências razoáveis para se concluir que estaria disponível para adquirentes localizados no país exportador. </w:t>
      </w:r>
    </w:p>
    <w:p w14:paraId="55EFF22A"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712A1FC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§2º  Quando estiver disponível mais de uma referência de preço internacional, a Subsecretaria de Defesa Comercial e Interesse Público poderá utilizar a média desses preços, levando em consideração fatores que afetem a comparabilidade de preços, ou outro critério mais apropriado à luz dos argumentos constantes nos autos do processo.</w:t>
      </w:r>
    </w:p>
    <w:p w14:paraId="781306E9"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0CFD1A33" w14:textId="77777777" w:rsidR="00395593" w:rsidRPr="005C5CBD" w:rsidRDefault="00395593" w:rsidP="006A735F">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sz w:val="24"/>
          <w:szCs w:val="24"/>
          <w:lang w:eastAsia="pt-BR"/>
        </w:rPr>
        <w:t>§3º  Para os fins deste artigo, serão considerados fatores que possam afetar a comparabilidade, como a semelhança entre os produtos e as quantidades vendidas, importadas ou leiloadas, além de custos logísticos e encargos de importação</w:t>
      </w:r>
      <w:r w:rsidRPr="005C5CBD">
        <w:rPr>
          <w:rFonts w:ascii="Garamond" w:eastAsia="Times New Roman" w:hAnsi="Garamond" w:cs="Calibri"/>
          <w:color w:val="000000"/>
          <w:sz w:val="24"/>
          <w:szCs w:val="24"/>
          <w:lang w:eastAsia="pt-BR"/>
        </w:rPr>
        <w:t>.</w:t>
      </w:r>
    </w:p>
    <w:p w14:paraId="64E2CC40"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6BC29627" w14:textId="25AED143"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98. </w:t>
      </w:r>
      <w:r w:rsidRPr="005C5CBD">
        <w:rPr>
          <w:rFonts w:ascii="Garamond" w:eastAsia="Times New Roman" w:hAnsi="Garamond" w:cs="Calibri"/>
          <w:sz w:val="24"/>
          <w:szCs w:val="24"/>
          <w:lang w:eastAsia="pt-BR"/>
        </w:rPr>
        <w:t xml:space="preserve">Para os fins do art. </w:t>
      </w:r>
      <w:r w:rsidR="0084326B">
        <w:rPr>
          <w:rFonts w:ascii="Garamond" w:eastAsia="Times New Roman" w:hAnsi="Garamond" w:cs="Calibri"/>
          <w:sz w:val="24"/>
          <w:szCs w:val="24"/>
          <w:lang w:eastAsia="pt-BR"/>
        </w:rPr>
        <w:t>97</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na hipótese de o preço de mercado internacional não estar disponível para adquirentes no país exportador, a Subsecretaria de Defesa Comercial e Interesse Público avaliará normalmente se o preço do produto ou serviço fornecido pelo governo foi determinado de acordo com os princípios de mercado.  </w:t>
      </w:r>
    </w:p>
    <w:p w14:paraId="23074D62"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6A305BC6"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§1º  Se o preço do governo for insuficiente para cobrir o custo total médio e uma margem de lucro razoável de uma empresa fornecedora do produto ou serviço no mercado, de acordo com médias de custo e lucro do setor, a Subsecretaria de Defesa Comercial e Interesse Público determinará que um benefício foi conferido.</w:t>
      </w:r>
    </w:p>
    <w:p w14:paraId="5C3DBD74"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4799F50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§2º  Na hipótese do parágrafo anterior, o valor do benefício será a diferença entre o preço que a empresa pagou ao governo e o preço de mercado necessário para cobrir todos os custos e despesas e uma margem de lucro razoável que a empresa investigada normalmente pagaria para uma empresa fornecedora de produtos e serviços no mercado.</w:t>
      </w:r>
    </w:p>
    <w:p w14:paraId="7859672D"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18D8298D"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99.</w:t>
      </w:r>
      <w:r w:rsidRPr="005C5CBD" w:rsidDel="004C3BC6">
        <w:rPr>
          <w:rFonts w:ascii="Garamond" w:eastAsia="Calibri" w:hAnsi="Garamond" w:cs="Calibri"/>
          <w:sz w:val="24"/>
          <w:szCs w:val="24"/>
          <w:lang w:eastAsia="pt-BR"/>
        </w:rPr>
        <w:t xml:space="preserve"> </w:t>
      </w:r>
      <w:r w:rsidRPr="005C5CBD">
        <w:rPr>
          <w:rFonts w:ascii="Garamond" w:eastAsia="Times New Roman" w:hAnsi="Garamond" w:cs="Calibri"/>
          <w:sz w:val="24"/>
          <w:szCs w:val="24"/>
          <w:lang w:eastAsia="pt-BR"/>
        </w:rPr>
        <w:t xml:space="preserve">Na hipótese de o governo ser um fornecedor monopolista do produto ou serviço adquirido pela empresa investigada, a Subsecretaria de Defesa Comercial e Interesse Público determinará normalmente que o produto ou serviço foi fornecido por remuneração inferior à adequada se determinadas empresas ou setores tiverem sido beneficiados por preços preferenciais. </w:t>
      </w:r>
    </w:p>
    <w:p w14:paraId="37BED7F8"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2F70257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§1º  Na hipótese do </w:t>
      </w:r>
      <w:r w:rsidRPr="005C5CBD">
        <w:rPr>
          <w:rFonts w:ascii="Garamond" w:eastAsia="Times New Roman" w:hAnsi="Garamond" w:cs="Calibri"/>
          <w:b/>
          <w:bCs/>
          <w:sz w:val="24"/>
          <w:szCs w:val="24"/>
          <w:lang w:eastAsia="pt-BR"/>
        </w:rPr>
        <w:t>caput</w:t>
      </w:r>
      <w:r w:rsidRPr="005C5CBD">
        <w:rPr>
          <w:rFonts w:ascii="Garamond" w:eastAsia="Times New Roman" w:hAnsi="Garamond" w:cs="Calibri"/>
          <w:sz w:val="24"/>
          <w:szCs w:val="24"/>
          <w:lang w:eastAsia="pt-BR"/>
        </w:rPr>
        <w:t xml:space="preserve"> deste artigo, o montante do benefício será a diferença entre o preço preferencial pago pela empresa investigada e o preço de mercado. </w:t>
      </w:r>
    </w:p>
    <w:p w14:paraId="7C599D3E"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14F2460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§2º</w:t>
      </w:r>
      <w:r w:rsidRPr="005C5CBD" w:rsidDel="004C3BC6">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 xml:space="preserve">Na análise se determinadas empresas ou setores foram beneficiados por preços preferenciais, a Subsecretaria de Defesa Comercial e Interesse Público avaliará se as variações de preços obedeceram a critérios neutros e objetivos. </w:t>
      </w:r>
    </w:p>
    <w:p w14:paraId="2D74CFE9"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7558E9EB"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§3</w:t>
      </w:r>
      <w:r w:rsidRPr="005C5CBD">
        <w:rPr>
          <w:rFonts w:ascii="Garamond" w:eastAsia="Times New Roman" w:hAnsi="Garamond" w:cs="Calibri"/>
          <w:sz w:val="24"/>
          <w:szCs w:val="24"/>
          <w:vertAlign w:val="superscript"/>
          <w:lang w:eastAsia="pt-BR"/>
        </w:rPr>
        <w:t>o</w:t>
      </w:r>
      <w:r w:rsidRPr="005C5CBD">
        <w:rPr>
          <w:rFonts w:ascii="Garamond" w:eastAsia="Times New Roman" w:hAnsi="Garamond" w:cs="Calibri"/>
          <w:sz w:val="24"/>
          <w:szCs w:val="24"/>
          <w:lang w:eastAsia="pt-BR"/>
        </w:rPr>
        <w:t xml:space="preserve"> Em regra, a Subsecretaria de Defesa Comercial e Interesse Público calculará o montante do benefício com base na diferença entre o preço preferencial do governo e um preço de mercado comparável, incluindo:</w:t>
      </w:r>
    </w:p>
    <w:p w14:paraId="6F12D920"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41208B19"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preço efetivo de mercado entre agentes privados;</w:t>
      </w:r>
    </w:p>
    <w:p w14:paraId="18851C45"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459A42E8"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 - preço internacional de mercado; ou </w:t>
      </w:r>
    </w:p>
    <w:p w14:paraId="4A058ED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52453EF8"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outro preço de mercado, desde que seja o preço necessário para cobrir o custo total médio e uma margem de lucro razoável de um fornecedor privado.</w:t>
      </w:r>
    </w:p>
    <w:p w14:paraId="458D95C5"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63B79310"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100. </w:t>
      </w:r>
      <w:r w:rsidRPr="005C5CBD">
        <w:rPr>
          <w:rFonts w:ascii="Garamond" w:eastAsia="Times New Roman" w:hAnsi="Garamond" w:cs="Calibri"/>
          <w:sz w:val="24"/>
          <w:szCs w:val="24"/>
          <w:lang w:eastAsia="pt-BR"/>
        </w:rPr>
        <w:t>A Subsecretaria de Defesa Comercial e Interesse Público, em regra, considerará que não houve contribuição financeira no caso de fornecimento de infraestrutura geral pelo governo.</w:t>
      </w:r>
    </w:p>
    <w:p w14:paraId="1491A741"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br/>
        <w:t>§1º  O termo “infraestrutura geral” será determinado de acordo com as circunstâncias do caso concreto em consideração, e consistirá em infraestrutura que é criada para o bem-estar social, em sentido amplo, de um país, região, estado ou municipalidade.</w:t>
      </w:r>
    </w:p>
    <w:p w14:paraId="32CA254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10060020"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§2º  Na determinação se determinada infraestrutura se classifica como infraestrutura geral, será levado em consideração se o usufruto da infraestrutura está restrito a uma empresa ou a um grupo limitado de empresas ou se os beneficiários da infraestrutura são amplos e difusos. </w:t>
      </w:r>
    </w:p>
    <w:p w14:paraId="513F767C"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0AB148F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101. </w:t>
      </w:r>
      <w:r w:rsidRPr="005C5CBD">
        <w:rPr>
          <w:rFonts w:ascii="Garamond" w:eastAsia="Times New Roman" w:hAnsi="Garamond" w:cs="Calibri"/>
          <w:sz w:val="24"/>
          <w:szCs w:val="24"/>
          <w:lang w:eastAsia="pt-BR"/>
        </w:rPr>
        <w:t>A Subsecretaria de Defesa Comercial e Interesse Público considerará normalmente que o benefício foi recebido na data em que a empresa investigada pagou ou, na ausência de pagamento, na data em que pagaria pelo bem ou serviço fornecido pelo governo.</w:t>
      </w:r>
    </w:p>
    <w:p w14:paraId="4E49F8DC"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06DCFFCB"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102. </w:t>
      </w:r>
      <w:r w:rsidRPr="005C5CBD">
        <w:rPr>
          <w:rFonts w:ascii="Garamond" w:eastAsia="Times New Roman" w:hAnsi="Garamond" w:cs="Calibri"/>
          <w:sz w:val="24"/>
          <w:szCs w:val="24"/>
          <w:lang w:eastAsia="pt-BR"/>
        </w:rPr>
        <w:t xml:space="preserve">Para fins de cálculo, a Subsecretaria de Defesa Comercial e Interesse Público normalmente atribuirá o benefício conferido no fornecimento de bem ou serviço pelo governo ao ano em que o subsídio foi conferido.  </w:t>
      </w:r>
    </w:p>
    <w:p w14:paraId="674DC97D"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2E37A9D6" w14:textId="65F23024"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Parágrafo único. Na hipótese do fornecimento de infraestrutura não geral, a Subsecretaria de Defesa Comercial e Interesse Público normalmente irá adotar a metodologia de cálculo de subsídios não recorrentes, de acordo com o disposto nos arts. </w:t>
      </w:r>
      <w:r w:rsidR="0084326B">
        <w:rPr>
          <w:rFonts w:ascii="Garamond" w:eastAsia="Times New Roman" w:hAnsi="Garamond" w:cs="Calibri"/>
          <w:sz w:val="24"/>
          <w:szCs w:val="24"/>
          <w:lang w:eastAsia="pt-BR"/>
        </w:rPr>
        <w:t>35</w:t>
      </w:r>
      <w:r w:rsidR="00E15FBB" w:rsidRPr="005C5CBD">
        <w:rPr>
          <w:rFonts w:ascii="Garamond" w:eastAsia="Times New Roman" w:hAnsi="Garamond" w:cs="Calibri"/>
          <w:sz w:val="24"/>
          <w:szCs w:val="24"/>
          <w:lang w:eastAsia="pt-BR"/>
        </w:rPr>
        <w:t xml:space="preserve"> a </w:t>
      </w:r>
      <w:r w:rsidR="0084326B">
        <w:rPr>
          <w:rFonts w:ascii="Garamond" w:eastAsia="Times New Roman" w:hAnsi="Garamond" w:cs="Calibri"/>
          <w:sz w:val="24"/>
          <w:szCs w:val="24"/>
          <w:lang w:eastAsia="pt-BR"/>
        </w:rPr>
        <w:t>37</w:t>
      </w:r>
      <w:r w:rsidR="00E15FBB" w:rsidRPr="005C5CBD">
        <w:rPr>
          <w:rFonts w:ascii="Garamond" w:eastAsia="Times New Roman" w:hAnsi="Garamond" w:cs="Calibri"/>
          <w:sz w:val="24"/>
          <w:szCs w:val="24"/>
          <w:lang w:eastAsia="pt-BR"/>
        </w:rPr>
        <w:t>.</w:t>
      </w:r>
    </w:p>
    <w:p w14:paraId="287B4006"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1B53F262" w14:textId="77777777" w:rsidR="00395593" w:rsidRPr="007B17E1" w:rsidRDefault="00395593" w:rsidP="00EA0CC8">
      <w:pPr>
        <w:pStyle w:val="Corpodetexto"/>
        <w:jc w:val="center"/>
        <w:rPr>
          <w:rFonts w:ascii="Garamond" w:eastAsia="MS Gothic" w:hAnsi="Garamond"/>
          <w:b/>
          <w:lang w:eastAsia="pt-BR"/>
        </w:rPr>
      </w:pPr>
      <w:r w:rsidRPr="007B17E1">
        <w:rPr>
          <w:rFonts w:ascii="Garamond" w:eastAsia="MS Gothic" w:hAnsi="Garamond"/>
          <w:b/>
          <w:lang w:eastAsia="pt-BR"/>
        </w:rPr>
        <w:t>Subseção X</w:t>
      </w:r>
    </w:p>
    <w:p w14:paraId="7E866906" w14:textId="77777777" w:rsidR="00395593" w:rsidRPr="005C5CBD" w:rsidRDefault="00395593" w:rsidP="00EA0CC8">
      <w:pPr>
        <w:pStyle w:val="Corpodetexto"/>
        <w:jc w:val="center"/>
        <w:rPr>
          <w:rFonts w:eastAsia="MS Gothic"/>
          <w:lang w:eastAsia="pt-BR"/>
        </w:rPr>
      </w:pPr>
      <w:r w:rsidRPr="007B17E1">
        <w:rPr>
          <w:rFonts w:ascii="Garamond" w:eastAsia="MS Gothic" w:hAnsi="Garamond"/>
          <w:b/>
          <w:lang w:eastAsia="pt-BR"/>
        </w:rPr>
        <w:t>Da compra de bens</w:t>
      </w:r>
    </w:p>
    <w:p w14:paraId="0577F9B4"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66B31ED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103. </w:t>
      </w:r>
      <w:r w:rsidRPr="005C5CBD">
        <w:rPr>
          <w:rFonts w:ascii="Garamond" w:eastAsia="Times New Roman" w:hAnsi="Garamond" w:cs="Calibri"/>
          <w:sz w:val="24"/>
          <w:szCs w:val="24"/>
          <w:lang w:eastAsia="pt-BR"/>
        </w:rPr>
        <w:t>Na hipótese de compra de bens de uma empresa investigada pelo governo, a Subsecretaria de Defesa Comercial e Interesse Público determinará, normalmente, que um benefício foi conferido se o governo tiver comprado o produto por remuneração superior à adequada.</w:t>
      </w:r>
    </w:p>
    <w:p w14:paraId="00B4187F"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181C7E8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104. </w:t>
      </w:r>
      <w:r w:rsidRPr="005C5CBD">
        <w:rPr>
          <w:rFonts w:ascii="Garamond" w:eastAsia="Times New Roman" w:hAnsi="Garamond" w:cs="Calibri"/>
          <w:sz w:val="24"/>
          <w:szCs w:val="24"/>
          <w:lang w:eastAsia="pt-BR"/>
        </w:rPr>
        <w:t>O montante do benefício será determinado pela análise da diferença entre o preço que a governo pagou pelo produto da empresa investigada e a remuneração adequada para o produto em questão, considerando-se as condições de mercado existentes no momento da transação.</w:t>
      </w:r>
    </w:p>
    <w:p w14:paraId="182FCCD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7CD1ABA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105. </w:t>
      </w:r>
      <w:r w:rsidRPr="005C5CBD">
        <w:rPr>
          <w:rFonts w:ascii="Garamond" w:eastAsia="Times New Roman" w:hAnsi="Garamond" w:cs="Calibri"/>
          <w:sz w:val="24"/>
          <w:szCs w:val="24"/>
          <w:lang w:eastAsia="pt-BR"/>
        </w:rPr>
        <w:t>Para determinar a remuneração adequada, a Subsecretaria de Defesa Comercial e Interesse Público normalmente avaliará:</w:t>
      </w:r>
    </w:p>
    <w:p w14:paraId="12B41F6C"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23262F01"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No caso de ter havido vendas da empresa investigada para outros operadores particulares, o preço pago por estes pelo produto, ou por um produto comparável, e o preço pago pelo governo, consideradas as condições específicas das transações;</w:t>
      </w:r>
    </w:p>
    <w:p w14:paraId="0AE5F8C2"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384D137"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No caso de não ter havido vendas da empresa investigada para outros operadores particulares, o preço pago pelo produto em questão, ou por um produto comparável, consideradas as condições específicas das transações, por operadores particulares a empresas comparáveis do mesmo setor da economia ou, caso tais dados não estejam disponíveis, da economia como um todo; e</w:t>
      </w:r>
    </w:p>
    <w:p w14:paraId="095B014D"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034DA40B"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No caso de um monopsônio formado pelo governo ou caso não haja informações sobre os preços pagos a por operadores particulares a empresas comparáveis, o somatório dos custos médios da empresa investigada e margem de lucro razoável, determinados caso a caso.</w:t>
      </w:r>
    </w:p>
    <w:p w14:paraId="549AEEE5"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56CBAA2C"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106. </w:t>
      </w:r>
      <w:r w:rsidRPr="005C5CBD">
        <w:rPr>
          <w:rFonts w:ascii="Garamond" w:eastAsia="Times New Roman" w:hAnsi="Garamond" w:cs="Calibri"/>
          <w:sz w:val="24"/>
          <w:szCs w:val="24"/>
          <w:lang w:eastAsia="pt-BR"/>
        </w:rPr>
        <w:t>Em regra, a Subsecretaria de Defesa Comercial e Interesse Público considerará que o benefício foi recebido na data em que a empresa investigada recebeu o pagamento, ou qualquer outra forma de contribuição financeira, pelo produto fornecido ao governo.</w:t>
      </w:r>
    </w:p>
    <w:p w14:paraId="5E4C48CD" w14:textId="77777777" w:rsidR="00395593" w:rsidRPr="005C5CBD" w:rsidRDefault="00395593" w:rsidP="006A735F">
      <w:pPr>
        <w:spacing w:after="0" w:line="240" w:lineRule="auto"/>
        <w:ind w:firstLine="567"/>
        <w:rPr>
          <w:rFonts w:ascii="Garamond" w:eastAsia="Times New Roman" w:hAnsi="Garamond" w:cs="Calibri"/>
          <w:sz w:val="24"/>
          <w:szCs w:val="24"/>
          <w:lang w:eastAsia="pt-BR"/>
        </w:rPr>
      </w:pPr>
    </w:p>
    <w:p w14:paraId="2F91D31D" w14:textId="634A0FBB" w:rsidR="00395593" w:rsidRPr="005C5CBD" w:rsidRDefault="00395593" w:rsidP="006A735F">
      <w:pPr>
        <w:spacing w:after="0" w:line="240" w:lineRule="auto"/>
        <w:ind w:firstLine="567"/>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107. </w:t>
      </w:r>
      <w:r w:rsidRPr="005C5CBD">
        <w:rPr>
          <w:rFonts w:ascii="Garamond" w:eastAsia="Times New Roman" w:hAnsi="Garamond" w:cs="Calibri"/>
          <w:sz w:val="24"/>
          <w:szCs w:val="24"/>
          <w:lang w:eastAsia="pt-BR"/>
        </w:rPr>
        <w:t xml:space="preserve">Em regra, a Subsecretaria de Defesa Comercial e Interesse Público atribuirá o benefício ao ano em que foi recebido, nos termos dos arts. </w:t>
      </w:r>
      <w:r w:rsidR="0084326B">
        <w:rPr>
          <w:rFonts w:ascii="Garamond" w:eastAsia="Times New Roman" w:hAnsi="Garamond" w:cs="Calibri"/>
          <w:sz w:val="24"/>
          <w:szCs w:val="24"/>
          <w:lang w:eastAsia="pt-BR"/>
        </w:rPr>
        <w:t>32</w:t>
      </w:r>
      <w:r w:rsidR="00E15FBB" w:rsidRPr="005C5CBD">
        <w:rPr>
          <w:rFonts w:ascii="Garamond" w:eastAsia="Times New Roman" w:hAnsi="Garamond" w:cs="Calibri"/>
          <w:sz w:val="24"/>
          <w:szCs w:val="24"/>
          <w:lang w:eastAsia="pt-BR"/>
        </w:rPr>
        <w:t xml:space="preserve"> a </w:t>
      </w:r>
      <w:r w:rsidR="0084326B">
        <w:rPr>
          <w:rFonts w:ascii="Garamond" w:eastAsia="Times New Roman" w:hAnsi="Garamond" w:cs="Calibri"/>
          <w:sz w:val="24"/>
          <w:szCs w:val="24"/>
          <w:lang w:eastAsia="pt-BR"/>
        </w:rPr>
        <w:t>34</w:t>
      </w:r>
      <w:r w:rsidR="00E15FBB" w:rsidRPr="005C5CBD">
        <w:rPr>
          <w:rFonts w:ascii="Garamond" w:eastAsia="Times New Roman" w:hAnsi="Garamond" w:cs="Calibri"/>
          <w:sz w:val="24"/>
          <w:szCs w:val="24"/>
          <w:lang w:eastAsia="pt-BR"/>
        </w:rPr>
        <w:t>.</w:t>
      </w:r>
    </w:p>
    <w:p w14:paraId="085CD5EE"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6C87CF7E" w14:textId="77777777" w:rsidR="00395593" w:rsidRPr="00F82DF9" w:rsidRDefault="00395593" w:rsidP="00EA0CC8">
      <w:pPr>
        <w:pStyle w:val="Corpodetexto"/>
        <w:jc w:val="center"/>
        <w:rPr>
          <w:rFonts w:ascii="Garamond" w:eastAsia="MS Gothic" w:hAnsi="Garamond"/>
          <w:b/>
          <w:lang w:eastAsia="pt-BR"/>
        </w:rPr>
      </w:pPr>
      <w:r w:rsidRPr="00F82DF9">
        <w:rPr>
          <w:rFonts w:ascii="Garamond" w:eastAsia="MS Gothic" w:hAnsi="Garamond"/>
          <w:b/>
          <w:lang w:eastAsia="pt-BR"/>
        </w:rPr>
        <w:t>Subseção XI</w:t>
      </w:r>
    </w:p>
    <w:p w14:paraId="31301248" w14:textId="77777777" w:rsidR="00395593" w:rsidRPr="005C5CBD" w:rsidRDefault="00395593" w:rsidP="00EA0CC8">
      <w:pPr>
        <w:pStyle w:val="Corpodetexto"/>
        <w:jc w:val="center"/>
        <w:rPr>
          <w:rFonts w:eastAsia="MS Gothic"/>
          <w:lang w:eastAsia="pt-BR"/>
        </w:rPr>
      </w:pPr>
      <w:r w:rsidRPr="00F82DF9">
        <w:rPr>
          <w:rFonts w:ascii="Garamond" w:eastAsia="MS Gothic" w:hAnsi="Garamond"/>
          <w:b/>
          <w:lang w:eastAsia="pt-BR"/>
        </w:rPr>
        <w:t>Dos subsídios a montante</w:t>
      </w:r>
    </w:p>
    <w:p w14:paraId="1C3A113A" w14:textId="77777777" w:rsidR="00395593" w:rsidRPr="005C5CBD" w:rsidRDefault="00395593" w:rsidP="00E15FBB">
      <w:pPr>
        <w:spacing w:after="0" w:line="240" w:lineRule="auto"/>
        <w:jc w:val="both"/>
        <w:rPr>
          <w:rFonts w:ascii="Garamond" w:eastAsia="Calibri" w:hAnsi="Garamond" w:cs="Calibri"/>
          <w:sz w:val="24"/>
          <w:szCs w:val="24"/>
          <w:lang w:eastAsia="pt-BR"/>
        </w:rPr>
      </w:pPr>
    </w:p>
    <w:p w14:paraId="7AB392F7"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Art. 108. Subsídios a montante serão entendidos como quaisquer subsídios acionáveis que:</w:t>
      </w:r>
    </w:p>
    <w:p w14:paraId="561A1713"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41F40BCB"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 - sejam conferidos por um governo aos insumos utilizados na fabricação ou na produção do produto subsidiado investigado no país exportador; e</w:t>
      </w:r>
    </w:p>
    <w:p w14:paraId="4A75470F"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1033DBE6"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II - confiram benefício ao produto subsidiado investigado, configurando subsídio indiretamente concedido ao produto investigado, conforme previsto no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xml:space="preserve"> do art. 2º do Decreto nº 10.839, de 2021.</w:t>
      </w:r>
    </w:p>
    <w:p w14:paraId="3087CB0A" w14:textId="77777777" w:rsidR="00395593" w:rsidRPr="005C5CBD" w:rsidRDefault="00395593" w:rsidP="00E15FBB">
      <w:pPr>
        <w:spacing w:after="0" w:line="240" w:lineRule="auto"/>
        <w:jc w:val="both"/>
        <w:rPr>
          <w:rFonts w:ascii="Garamond" w:eastAsia="Calibri" w:hAnsi="Garamond" w:cs="Calibri"/>
          <w:sz w:val="24"/>
          <w:szCs w:val="24"/>
          <w:lang w:eastAsia="pt-BR"/>
        </w:rPr>
      </w:pPr>
    </w:p>
    <w:p w14:paraId="64851938"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1º O termo insumos refere-se a qualquer produto utilizado na produção do produto investigado, incluindo, por exemplo, insumos fisicamente incorporados, energia, combustíveis ou óleos utilizados e catalisadores consumidos.</w:t>
      </w:r>
    </w:p>
    <w:p w14:paraId="61256A55" w14:textId="77777777" w:rsidR="00395593" w:rsidRPr="005C5CBD" w:rsidRDefault="00395593" w:rsidP="006A735F">
      <w:pPr>
        <w:tabs>
          <w:tab w:val="left" w:pos="7970"/>
        </w:tabs>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ab/>
      </w:r>
    </w:p>
    <w:p w14:paraId="736D3BC8"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2º  Somente serão investigados subsídios a montante que tenham efeito significativo no custo de fabricação ou de produção do produto subsidiado investigado.</w:t>
      </w:r>
    </w:p>
    <w:p w14:paraId="409B5FFE"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23BE6253"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 3º  </w:t>
      </w:r>
      <w:r w:rsidRPr="005C5CBD">
        <w:rPr>
          <w:rFonts w:ascii="Garamond" w:eastAsia="Times New Roman" w:hAnsi="Garamond" w:cs="Calibri"/>
          <w:sz w:val="24"/>
          <w:szCs w:val="24"/>
          <w:lang w:eastAsia="pt-BR"/>
        </w:rPr>
        <w:t xml:space="preserve">Considerar-se-á que um subsídio a montante tem efeitos significativos quando </w:t>
      </w:r>
      <w:r w:rsidRPr="005C5CBD">
        <w:rPr>
          <w:rFonts w:ascii="Garamond" w:eastAsia="Calibri" w:hAnsi="Garamond" w:cs="Calibri"/>
          <w:sz w:val="24"/>
          <w:szCs w:val="24"/>
          <w:lang w:eastAsia="pt-BR"/>
        </w:rPr>
        <w:t>o valor</w:t>
      </w:r>
      <w:r w:rsidRPr="005C5CBD">
        <w:rPr>
          <w:rFonts w:ascii="Garamond" w:eastAsia="Times New Roman" w:hAnsi="Garamond" w:cs="Calibri"/>
          <w:sz w:val="24"/>
          <w:szCs w:val="24"/>
          <w:lang w:eastAsia="pt-BR"/>
        </w:rPr>
        <w:t xml:space="preserve"> </w:t>
      </w:r>
      <w:r w:rsidRPr="005C5CBD">
        <w:rPr>
          <w:rFonts w:ascii="Garamond" w:eastAsia="Times New Roman" w:hAnsi="Garamond" w:cs="Calibri"/>
          <w:b/>
          <w:sz w:val="24"/>
          <w:szCs w:val="24"/>
          <w:lang w:eastAsia="pt-BR"/>
        </w:rPr>
        <w:t>ad valorem</w:t>
      </w:r>
      <w:r w:rsidRPr="005C5CBD">
        <w:rPr>
          <w:rFonts w:ascii="Garamond" w:eastAsia="Times New Roman" w:hAnsi="Garamond" w:cs="Calibri"/>
          <w:sz w:val="24"/>
          <w:szCs w:val="24"/>
          <w:lang w:eastAsia="pt-BR"/>
        </w:rPr>
        <w:t xml:space="preserve"> do subsídio ao insumo multiplicado pelo percentual do custo deste insumo relativamente ao custo de fabricação ou de produção do produto investigado corresponder a percentual de no mínimo 1%, não incluídas no cômputo deste as despesas gerais, administrativas, de comercialização e outras despesas operacionais.</w:t>
      </w:r>
    </w:p>
    <w:p w14:paraId="59CED5D4"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6EEE1163" w14:textId="2263045D"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4º   Para os fins do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xml:space="preserve"> deste artigo a Subsecretaria de Defesa Comercial e Interesse Público normalmente não considerará que subsídios à exportação dos insumos conferiram vantagem comercial ao produto subsidiado investigado, com exceção das hipóteses dos incisos I a III do art. </w:t>
      </w:r>
      <w:r w:rsidR="0084326B">
        <w:rPr>
          <w:rFonts w:ascii="Garamond" w:eastAsia="Calibri" w:hAnsi="Garamond" w:cs="Calibri"/>
          <w:sz w:val="24"/>
          <w:szCs w:val="24"/>
          <w:lang w:eastAsia="pt-BR"/>
        </w:rPr>
        <w:t>112</w:t>
      </w:r>
    </w:p>
    <w:p w14:paraId="3E1DE7F8" w14:textId="77777777" w:rsidR="00E15FBB" w:rsidRPr="005C5CBD" w:rsidRDefault="00E15FBB" w:rsidP="006A735F">
      <w:pPr>
        <w:spacing w:after="0" w:line="240" w:lineRule="auto"/>
        <w:ind w:firstLine="567"/>
        <w:jc w:val="both"/>
        <w:rPr>
          <w:rFonts w:ascii="Garamond" w:eastAsia="Calibri" w:hAnsi="Garamond" w:cs="Calibri"/>
          <w:sz w:val="24"/>
          <w:szCs w:val="24"/>
          <w:lang w:eastAsia="pt-BR"/>
        </w:rPr>
      </w:pPr>
    </w:p>
    <w:p w14:paraId="1C58E93E" w14:textId="5AABE166" w:rsidR="00E15FBB" w:rsidRPr="005C5CBD" w:rsidRDefault="00E15FBB"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Art. 109.</w:t>
      </w:r>
      <w:r w:rsidRPr="005C5CBD" w:rsidDel="00032961">
        <w:rPr>
          <w:rFonts w:ascii="Garamond" w:eastAsia="Calibri" w:hAnsi="Garamond" w:cs="Calibri"/>
          <w:sz w:val="24"/>
          <w:szCs w:val="24"/>
          <w:lang w:eastAsia="pt-BR"/>
        </w:rPr>
        <w:t xml:space="preserve"> </w:t>
      </w:r>
      <w:r w:rsidRPr="005C5CBD">
        <w:rPr>
          <w:rFonts w:ascii="Garamond" w:eastAsia="Calibri" w:hAnsi="Garamond" w:cs="Calibri"/>
          <w:sz w:val="24"/>
          <w:szCs w:val="24"/>
          <w:lang w:eastAsia="pt-BR"/>
        </w:rPr>
        <w:t xml:space="preserve">Em regra, quando a empresa produtora do insumo subsidiado e a empresa investigada não forem empresas relacionadas, a Subsecretaria de Defesa Comercial e Interesse Público deverá determinar se o benefício do subsídio a montante foi transferido, no todo ou em parte, para a empresa investigada, por meio da avaliação do preço de venda do insumo da empresa fornecedora para a empresa investigada em comparação com o </w:t>
      </w:r>
      <w:r w:rsidRPr="005C5CBD">
        <w:rPr>
          <w:rFonts w:ascii="Garamond" w:eastAsia="Calibri" w:hAnsi="Garamond" w:cs="Calibri"/>
          <w:b/>
          <w:sz w:val="24"/>
          <w:szCs w:val="24"/>
          <w:lang w:eastAsia="pt-BR"/>
        </w:rPr>
        <w:t>benchmark</w:t>
      </w:r>
      <w:r w:rsidRPr="005C5CBD">
        <w:rPr>
          <w:rFonts w:ascii="Garamond" w:eastAsia="Calibri" w:hAnsi="Garamond" w:cs="Calibri"/>
          <w:sz w:val="24"/>
          <w:szCs w:val="24"/>
          <w:lang w:eastAsia="pt-BR"/>
        </w:rPr>
        <w:t xml:space="preserve"> estabelecido, conforme previsto no art. </w:t>
      </w:r>
      <w:r w:rsidR="0084326B">
        <w:rPr>
          <w:rFonts w:ascii="Garamond" w:eastAsia="Calibri" w:hAnsi="Garamond" w:cs="Calibri"/>
          <w:sz w:val="24"/>
          <w:szCs w:val="24"/>
          <w:lang w:eastAsia="pt-BR"/>
        </w:rPr>
        <w:t>25</w:t>
      </w:r>
      <w:r w:rsidRPr="005C5CBD">
        <w:rPr>
          <w:rFonts w:ascii="Garamond" w:eastAsia="Calibri" w:hAnsi="Garamond" w:cs="Calibri"/>
          <w:sz w:val="24"/>
          <w:szCs w:val="24"/>
          <w:lang w:eastAsia="pt-BR"/>
        </w:rPr>
        <w:t>.</w:t>
      </w:r>
    </w:p>
    <w:p w14:paraId="19F8A254"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p>
    <w:p w14:paraId="727829D5"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Parágrafo único.</w:t>
      </w:r>
      <w:r w:rsidRPr="005C5CBD">
        <w:rPr>
          <w:rFonts w:ascii="Garamond" w:eastAsia="Calibri" w:hAnsi="Garamond" w:cs="Calibri"/>
          <w:sz w:val="24"/>
          <w:szCs w:val="24"/>
          <w:lang w:eastAsia="pt-BR"/>
        </w:rPr>
        <w:t xml:space="preserve">  Quando o preço de venda do insumo subsidiado refletir, no todo ou em parte, o benefício decorrente do subsídio a montante, a </w:t>
      </w:r>
      <w:r w:rsidRPr="005C5CBD">
        <w:rPr>
          <w:rFonts w:ascii="Garamond" w:eastAsia="Times New Roman" w:hAnsi="Garamond" w:cs="Calibri"/>
          <w:sz w:val="24"/>
          <w:szCs w:val="24"/>
          <w:lang w:eastAsia="pt-BR"/>
        </w:rPr>
        <w:t xml:space="preserve">Subsecretaria de Defesa Comercial e Interesse Público </w:t>
      </w:r>
      <w:r w:rsidRPr="005C5CBD">
        <w:rPr>
          <w:rFonts w:ascii="Garamond" w:eastAsia="Calibri" w:hAnsi="Garamond" w:cs="Calibri"/>
          <w:sz w:val="24"/>
          <w:szCs w:val="24"/>
          <w:lang w:eastAsia="pt-BR"/>
        </w:rPr>
        <w:t>concluirá normalmente que houve transferência do benefício para a empresa investigada adquirente do insumo.</w:t>
      </w:r>
    </w:p>
    <w:p w14:paraId="06E9CEDD"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p>
    <w:p w14:paraId="52B198C6" w14:textId="67D1D225"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110. </w:t>
      </w:r>
      <w:r w:rsidRPr="005C5CBD">
        <w:rPr>
          <w:rFonts w:ascii="Garamond" w:eastAsia="Times New Roman" w:hAnsi="Garamond" w:cs="Calibri"/>
          <w:sz w:val="24"/>
          <w:szCs w:val="24"/>
          <w:lang w:eastAsia="pt-BR"/>
        </w:rPr>
        <w:t xml:space="preserve">Na análise do art. </w:t>
      </w:r>
      <w:r w:rsidR="0084326B">
        <w:rPr>
          <w:rFonts w:ascii="Garamond" w:eastAsia="Times New Roman" w:hAnsi="Garamond" w:cs="Calibri"/>
          <w:sz w:val="24"/>
          <w:szCs w:val="24"/>
          <w:lang w:eastAsia="pt-BR"/>
        </w:rPr>
        <w:t>109</w:t>
      </w:r>
      <w:r w:rsidRPr="005C5CBD">
        <w:rPr>
          <w:rFonts w:ascii="Garamond" w:eastAsia="Times New Roman" w:hAnsi="Garamond" w:cs="Calibri"/>
          <w:sz w:val="24"/>
          <w:szCs w:val="24"/>
          <w:lang w:eastAsia="pt-BR"/>
        </w:rPr>
        <w:t xml:space="preserve"> a Subsecretaria de Defesa Comercial e Interesse Público utilizará como </w:t>
      </w:r>
      <w:r w:rsidRPr="005C5CBD">
        <w:rPr>
          <w:rFonts w:ascii="Garamond" w:eastAsia="Times New Roman" w:hAnsi="Garamond" w:cs="Calibri"/>
          <w:b/>
          <w:sz w:val="24"/>
          <w:szCs w:val="24"/>
          <w:lang w:eastAsia="pt-BR"/>
        </w:rPr>
        <w:t>benchmarks</w:t>
      </w:r>
      <w:r w:rsidRPr="005C5CBD">
        <w:rPr>
          <w:rFonts w:ascii="Garamond" w:eastAsia="Times New Roman" w:hAnsi="Garamond" w:cs="Calibri"/>
          <w:sz w:val="24"/>
          <w:szCs w:val="24"/>
          <w:lang w:eastAsia="pt-BR"/>
        </w:rPr>
        <w:t xml:space="preserve"> os seguintes preços, em ordem de preferência:</w:t>
      </w:r>
    </w:p>
    <w:p w14:paraId="023ECF62"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EA681D9"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o preço real pago pela empresa investigada, ou o preço a ela oferecido, por um insumo não subsidiado doméstico ou importado;</w:t>
      </w:r>
    </w:p>
    <w:p w14:paraId="14D031DC"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12158F1B"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o preço médio de um insumo não subsidiado doméstico ou importado, obtido a partir de informações públicas;</w:t>
      </w:r>
    </w:p>
    <w:p w14:paraId="601FAB8A"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A04B7D5"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o preço real pago pela empresa investigada, ou o preço a ela oferecido, por um insumo subsidiado doméstico ou importado, ajustado para excluir o subsídio a montante;</w:t>
      </w:r>
    </w:p>
    <w:p w14:paraId="620D3307"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2F6B8CC7"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o preço médio de um insumo subsidiado doméstico ou importado, obtido a partir de informações públicas, ajustado para excluir o subsídio a montante; ou</w:t>
      </w:r>
    </w:p>
    <w:p w14:paraId="4C048416"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644C1901"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 - o preço de um insumo subsidiado não ajustado ou qualquer outro preço substituto considerado apropriado.</w:t>
      </w:r>
    </w:p>
    <w:p w14:paraId="56683379"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768B8950"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w:t>
      </w:r>
      <w:r w:rsidRPr="005C5CBD">
        <w:rPr>
          <w:rFonts w:ascii="Garamond" w:eastAsia="Calibri" w:hAnsi="Garamond" w:cs="Calibri"/>
          <w:sz w:val="24"/>
          <w:szCs w:val="24"/>
          <w:lang w:eastAsia="pt-BR"/>
        </w:rPr>
        <w:t>º</w:t>
      </w:r>
      <w:r w:rsidRPr="005C5CBD">
        <w:rPr>
          <w:rFonts w:ascii="Garamond" w:eastAsia="Times New Roman" w:hAnsi="Garamond" w:cs="Calibri"/>
          <w:sz w:val="24"/>
          <w:szCs w:val="24"/>
          <w:lang w:eastAsia="pt-BR"/>
        </w:rPr>
        <w:t xml:space="preserve"> Os preços descritos nos incisos de I a V acima deverão ser relativos a período razoavelmente próximo ao da aquisição do insumo pela empresa investigada e deverão incluir custos relativos a transporte, seguro ou quaisquer outros relacionados à condição </w:t>
      </w:r>
      <w:r w:rsidRPr="005C5CBD">
        <w:rPr>
          <w:rFonts w:ascii="Garamond" w:eastAsia="Times New Roman" w:hAnsi="Garamond" w:cs="Calibri"/>
          <w:b/>
          <w:sz w:val="24"/>
          <w:szCs w:val="24"/>
          <w:lang w:eastAsia="pt-BR"/>
        </w:rPr>
        <w:t>delivered</w:t>
      </w:r>
      <w:r w:rsidRPr="005C5CBD">
        <w:rPr>
          <w:rFonts w:ascii="Garamond" w:eastAsia="Times New Roman" w:hAnsi="Garamond" w:cs="Calibri"/>
          <w:sz w:val="24"/>
          <w:szCs w:val="24"/>
          <w:lang w:eastAsia="pt-BR"/>
        </w:rPr>
        <w:t>.</w:t>
      </w:r>
    </w:p>
    <w:p w14:paraId="621FB287"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7510D79B"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Arial Unicode MS" w:hAnsi="Garamond" w:cs="Calibri"/>
          <w:sz w:val="24"/>
          <w:szCs w:val="24"/>
          <w:lang w:eastAsia="pt-BR"/>
        </w:rPr>
        <w:t>§</w:t>
      </w:r>
      <w:r w:rsidRPr="005C5CBD">
        <w:rPr>
          <w:rFonts w:ascii="Garamond" w:eastAsia="Times New Roman" w:hAnsi="Garamond" w:cs="Calibri"/>
          <w:sz w:val="24"/>
          <w:szCs w:val="24"/>
          <w:lang w:eastAsia="pt-BR"/>
        </w:rPr>
        <w:t>2</w:t>
      </w:r>
      <w:r w:rsidRPr="005C5CBD">
        <w:rPr>
          <w:rFonts w:ascii="Garamond" w:eastAsia="Calibri" w:hAnsi="Garamond" w:cs="Calibri"/>
          <w:sz w:val="24"/>
          <w:szCs w:val="24"/>
          <w:lang w:eastAsia="pt-BR"/>
        </w:rPr>
        <w:t xml:space="preserve">º Ao realizar a comparação referida no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xml:space="preserve"> a </w:t>
      </w:r>
      <w:r w:rsidRPr="005C5CBD">
        <w:rPr>
          <w:rFonts w:ascii="Garamond" w:eastAsia="Times New Roman" w:hAnsi="Garamond" w:cs="Calibri"/>
          <w:sz w:val="24"/>
          <w:szCs w:val="24"/>
          <w:lang w:eastAsia="pt-BR"/>
        </w:rPr>
        <w:t xml:space="preserve">Subsecretaria de Defesa Comercial e Interesse Público </w:t>
      </w:r>
      <w:r w:rsidRPr="005C5CBD">
        <w:rPr>
          <w:rFonts w:ascii="Garamond" w:eastAsia="Calibri" w:hAnsi="Garamond" w:cs="Calibri"/>
          <w:sz w:val="24"/>
          <w:szCs w:val="24"/>
          <w:lang w:eastAsia="pt-BR"/>
        </w:rPr>
        <w:t xml:space="preserve">levará em consideração diferenças que possam afetar a justa comparação de preços e, sempre que aplicável, realizará ajustes necessários ao </w:t>
      </w:r>
      <w:r w:rsidRPr="005C5CBD">
        <w:rPr>
          <w:rFonts w:ascii="Garamond" w:eastAsia="Times New Roman" w:hAnsi="Garamond" w:cs="Calibri"/>
          <w:b/>
          <w:sz w:val="24"/>
          <w:szCs w:val="24"/>
          <w:lang w:eastAsia="pt-BR"/>
        </w:rPr>
        <w:t>benchmark</w:t>
      </w:r>
      <w:r w:rsidRPr="005C5CBD">
        <w:rPr>
          <w:rFonts w:ascii="Garamond" w:eastAsia="Times New Roman" w:hAnsi="Garamond" w:cs="Calibri"/>
          <w:sz w:val="24"/>
          <w:szCs w:val="24"/>
          <w:lang w:eastAsia="pt-BR"/>
        </w:rPr>
        <w:t xml:space="preserve"> </w:t>
      </w:r>
      <w:r w:rsidRPr="005C5CBD">
        <w:rPr>
          <w:rFonts w:ascii="Garamond" w:eastAsia="Calibri" w:hAnsi="Garamond" w:cs="Calibri"/>
          <w:sz w:val="24"/>
          <w:szCs w:val="24"/>
          <w:lang w:eastAsia="pt-BR"/>
        </w:rPr>
        <w:t>relativos às datas de determinação dos preços, às características físicas dos insumos selecionados para comparação de preços, às condições de entrega, e aos tributos incidentes, além de outros.</w:t>
      </w:r>
    </w:p>
    <w:p w14:paraId="222C4B19"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1849C63E"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Arial Unicode MS" w:hAnsi="Garamond" w:cs="Calibri"/>
          <w:sz w:val="24"/>
          <w:szCs w:val="24"/>
          <w:lang w:eastAsia="pt-BR"/>
        </w:rPr>
        <w:t>§</w:t>
      </w:r>
      <w:r w:rsidRPr="005C5CBD">
        <w:rPr>
          <w:rFonts w:ascii="Garamond" w:eastAsia="Times New Roman" w:hAnsi="Garamond" w:cs="Calibri"/>
          <w:sz w:val="24"/>
          <w:szCs w:val="24"/>
          <w:lang w:eastAsia="pt-BR"/>
        </w:rPr>
        <w:t>3</w:t>
      </w:r>
      <w:r w:rsidRPr="005C5CBD">
        <w:rPr>
          <w:rFonts w:ascii="Garamond" w:eastAsia="Calibri" w:hAnsi="Garamond" w:cs="Calibri"/>
          <w:sz w:val="24"/>
          <w:szCs w:val="24"/>
          <w:lang w:eastAsia="pt-BR"/>
        </w:rPr>
        <w:t xml:space="preserve">º Na análise prevista neste artigo, a SDCOM avaliará informações apresentadas pelas partes interessadas nos autos do processo.   </w:t>
      </w:r>
      <w:r w:rsidRPr="005C5CBD">
        <w:rPr>
          <w:rFonts w:ascii="Garamond" w:eastAsia="Calibri" w:hAnsi="Garamond" w:cs="Calibri"/>
          <w:sz w:val="24"/>
          <w:szCs w:val="24"/>
          <w:vertAlign w:val="superscript"/>
          <w:lang w:eastAsia="pt-BR"/>
        </w:rPr>
        <w:t xml:space="preserve"> </w:t>
      </w:r>
    </w:p>
    <w:p w14:paraId="6146E8ED"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p>
    <w:p w14:paraId="7862B2F9" w14:textId="1CBCF34C"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Art. 111. </w:t>
      </w:r>
      <w:r w:rsidRPr="005C5CBD">
        <w:rPr>
          <w:rFonts w:ascii="Garamond" w:eastAsia="Arial Unicode MS" w:hAnsi="Garamond" w:cs="Calibri"/>
          <w:sz w:val="24"/>
          <w:szCs w:val="24"/>
          <w:lang w:eastAsia="pt-BR"/>
        </w:rPr>
        <w:t xml:space="preserve">Quando </w:t>
      </w:r>
      <w:r w:rsidRPr="005C5CBD">
        <w:rPr>
          <w:rFonts w:ascii="Garamond" w:eastAsia="Times New Roman" w:hAnsi="Garamond" w:cs="Calibri"/>
          <w:sz w:val="24"/>
          <w:szCs w:val="24"/>
          <w:lang w:eastAsia="pt-BR"/>
        </w:rPr>
        <w:t xml:space="preserve">a empresa produtora do insumo </w:t>
      </w:r>
      <w:r w:rsidRPr="005C5CBD">
        <w:rPr>
          <w:rFonts w:ascii="Garamond" w:eastAsia="Arial Unicode MS" w:hAnsi="Garamond" w:cs="Calibri"/>
          <w:sz w:val="24"/>
          <w:szCs w:val="24"/>
          <w:lang w:eastAsia="pt-BR"/>
        </w:rPr>
        <w:t xml:space="preserve">subsidiado e a empresa investigada </w:t>
      </w:r>
      <w:r w:rsidRPr="005C5CBD">
        <w:rPr>
          <w:rFonts w:ascii="Garamond" w:eastAsia="Times New Roman" w:hAnsi="Garamond" w:cs="Calibri"/>
          <w:sz w:val="24"/>
          <w:szCs w:val="24"/>
          <w:lang w:eastAsia="pt-BR"/>
        </w:rPr>
        <w:t xml:space="preserve">forem empresas </w:t>
      </w:r>
      <w:r w:rsidRPr="005C5CBD">
        <w:rPr>
          <w:rFonts w:ascii="Garamond" w:eastAsia="Calibri" w:hAnsi="Garamond" w:cs="Calibri"/>
          <w:sz w:val="24"/>
          <w:szCs w:val="24"/>
          <w:lang w:eastAsia="pt-BR"/>
        </w:rPr>
        <w:t xml:space="preserve">relacionadas ou associadas, nos termos do art. </w:t>
      </w:r>
      <w:r w:rsidR="0078701B">
        <w:rPr>
          <w:rFonts w:ascii="Garamond" w:eastAsia="Calibri" w:hAnsi="Garamond" w:cs="Calibri"/>
          <w:sz w:val="24"/>
          <w:szCs w:val="24"/>
          <w:lang w:eastAsia="pt-BR"/>
        </w:rPr>
        <w:t>12</w:t>
      </w:r>
      <w:r w:rsidR="00E15FBB" w:rsidRPr="005C5CBD">
        <w:rPr>
          <w:rFonts w:ascii="Garamond" w:eastAsia="Calibri" w:hAnsi="Garamond" w:cs="Calibri"/>
          <w:sz w:val="24"/>
          <w:szCs w:val="24"/>
          <w:lang w:eastAsia="pt-BR"/>
        </w:rPr>
        <w:t>,</w:t>
      </w:r>
      <w:r w:rsidRPr="005C5CBD">
        <w:rPr>
          <w:rFonts w:ascii="Garamond" w:eastAsia="Calibri" w:hAnsi="Garamond" w:cs="Calibri"/>
          <w:sz w:val="24"/>
          <w:szCs w:val="24"/>
          <w:lang w:eastAsia="pt-BR"/>
        </w:rPr>
        <w:t xml:space="preserve"> a Subsecretaria de Defesa Comercial e Interesse Público normalmente considerará que o subsídio à montante foi transferido para a empresa investigada relacionada.</w:t>
      </w:r>
    </w:p>
    <w:p w14:paraId="7D78E35A"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21B6FF4A"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Arial Unicode MS" w:hAnsi="Garamond" w:cs="Calibri"/>
          <w:sz w:val="24"/>
          <w:szCs w:val="24"/>
          <w:lang w:eastAsia="pt-BR"/>
        </w:rPr>
        <w:t>§</w:t>
      </w:r>
      <w:r w:rsidRPr="005C5CBD">
        <w:rPr>
          <w:rFonts w:ascii="Garamond" w:eastAsia="Times New Roman" w:hAnsi="Garamond" w:cs="Calibri"/>
          <w:sz w:val="24"/>
          <w:szCs w:val="24"/>
          <w:lang w:eastAsia="pt-BR"/>
        </w:rPr>
        <w:t>1</w:t>
      </w:r>
      <w:r w:rsidRPr="005C5CBD">
        <w:rPr>
          <w:rFonts w:ascii="Garamond" w:eastAsia="Calibri" w:hAnsi="Garamond" w:cs="Calibri"/>
          <w:sz w:val="24"/>
          <w:szCs w:val="24"/>
          <w:lang w:eastAsia="pt-BR"/>
        </w:rPr>
        <w:t xml:space="preserve">º A presunção de transferência do subsídio a montante prevista no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xml:space="preserve"> também se aplica quando o insumo subsidiado for produzido pela mesma empresa investigada.</w:t>
      </w:r>
    </w:p>
    <w:p w14:paraId="046C7CA6"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p>
    <w:p w14:paraId="50F699B6" w14:textId="77777777" w:rsidR="00395593" w:rsidRPr="005C5CBD" w:rsidRDefault="00395593" w:rsidP="006A735F">
      <w:pPr>
        <w:spacing w:after="0" w:line="240" w:lineRule="auto"/>
        <w:ind w:firstLine="567"/>
        <w:jc w:val="both"/>
        <w:rPr>
          <w:rFonts w:ascii="Garamond" w:eastAsia="Calibri" w:hAnsi="Garamond" w:cs="Calibri"/>
          <w:sz w:val="24"/>
          <w:szCs w:val="24"/>
          <w:lang w:eastAsia="pt-BR"/>
        </w:rPr>
      </w:pPr>
      <w:r w:rsidRPr="005C5CBD">
        <w:rPr>
          <w:rFonts w:ascii="Garamond" w:eastAsia="Arial Unicode MS" w:hAnsi="Garamond" w:cs="Calibri"/>
          <w:sz w:val="24"/>
          <w:szCs w:val="24"/>
          <w:lang w:eastAsia="pt-BR"/>
        </w:rPr>
        <w:t>§</w:t>
      </w:r>
      <w:r w:rsidRPr="005C5CBD">
        <w:rPr>
          <w:rFonts w:ascii="Garamond" w:eastAsia="Times New Roman" w:hAnsi="Garamond" w:cs="Calibri"/>
          <w:sz w:val="24"/>
          <w:szCs w:val="24"/>
          <w:lang w:eastAsia="pt-BR"/>
        </w:rPr>
        <w:t>2</w:t>
      </w:r>
      <w:r w:rsidRPr="005C5CBD">
        <w:rPr>
          <w:rFonts w:ascii="Garamond" w:eastAsia="Calibri" w:hAnsi="Garamond" w:cs="Calibri"/>
          <w:sz w:val="24"/>
          <w:szCs w:val="24"/>
          <w:lang w:eastAsia="pt-BR"/>
        </w:rPr>
        <w:t xml:space="preserve">º O não fornecimento por parte da empresa investigada das informações relativas aos subsídios recebidos a montante pela empresa relacionada ou associada ensejará a utilização da melhor informação disponível, nos termos do </w:t>
      </w:r>
      <w:r w:rsidRPr="005C5CBD">
        <w:rPr>
          <w:rFonts w:ascii="Garamond" w:eastAsia="Times New Roman" w:hAnsi="Garamond" w:cs="Calibri"/>
          <w:sz w:val="24"/>
          <w:szCs w:val="24"/>
          <w:lang w:eastAsia="pt-BR"/>
        </w:rPr>
        <w:t xml:space="preserve">§ 3º do </w:t>
      </w:r>
      <w:r w:rsidRPr="005C5CBD">
        <w:rPr>
          <w:rFonts w:ascii="Garamond" w:eastAsia="Calibri" w:hAnsi="Garamond" w:cs="Calibri"/>
          <w:sz w:val="24"/>
          <w:szCs w:val="24"/>
          <w:lang w:eastAsia="pt-BR"/>
        </w:rPr>
        <w:t xml:space="preserve">art. </w:t>
      </w:r>
      <w:r w:rsidRPr="005C5CBD">
        <w:rPr>
          <w:rFonts w:ascii="Garamond" w:eastAsia="Times New Roman" w:hAnsi="Garamond" w:cs="Calibri"/>
          <w:sz w:val="24"/>
          <w:szCs w:val="24"/>
          <w:lang w:eastAsia="pt-BR"/>
        </w:rPr>
        <w:t>46, c/c arts. 174 a 179 do Decreto nº 10.839, de 2021</w:t>
      </w:r>
      <w:r w:rsidRPr="005C5CBD">
        <w:rPr>
          <w:rFonts w:ascii="Garamond" w:eastAsia="Calibri" w:hAnsi="Garamond" w:cs="Calibri"/>
          <w:sz w:val="24"/>
          <w:szCs w:val="24"/>
          <w:lang w:eastAsia="pt-BR"/>
        </w:rPr>
        <w:t>.</w:t>
      </w:r>
    </w:p>
    <w:p w14:paraId="1F73B7CE" w14:textId="77777777" w:rsidR="00395593" w:rsidRPr="005C5CBD" w:rsidRDefault="00395593" w:rsidP="00E15FBB">
      <w:pPr>
        <w:spacing w:after="0" w:line="240" w:lineRule="auto"/>
        <w:rPr>
          <w:rFonts w:ascii="Garamond" w:eastAsia="Arial Unicode MS" w:hAnsi="Garamond" w:cs="Calibri"/>
          <w:sz w:val="24"/>
          <w:szCs w:val="24"/>
          <w:lang w:eastAsia="pt-BR"/>
        </w:rPr>
      </w:pPr>
    </w:p>
    <w:p w14:paraId="355F27C3" w14:textId="77777777" w:rsidR="00395593" w:rsidRPr="00F82DF9" w:rsidRDefault="00395593" w:rsidP="00EA0CC8">
      <w:pPr>
        <w:pStyle w:val="Corpodetexto"/>
        <w:jc w:val="center"/>
        <w:rPr>
          <w:rFonts w:ascii="Garamond" w:eastAsia="MS Gothic" w:hAnsi="Garamond"/>
          <w:b/>
          <w:lang w:eastAsia="pt-BR"/>
        </w:rPr>
      </w:pPr>
      <w:r w:rsidRPr="00F82DF9">
        <w:rPr>
          <w:rFonts w:ascii="Garamond" w:eastAsia="MS Gothic" w:hAnsi="Garamond"/>
          <w:b/>
          <w:lang w:eastAsia="pt-BR"/>
        </w:rPr>
        <w:t>Subseção XII</w:t>
      </w:r>
    </w:p>
    <w:p w14:paraId="1E853A16" w14:textId="77777777" w:rsidR="00395593" w:rsidRPr="00F82DF9" w:rsidRDefault="00395593" w:rsidP="00EA0CC8">
      <w:pPr>
        <w:pStyle w:val="Corpodetexto"/>
        <w:jc w:val="center"/>
        <w:rPr>
          <w:rFonts w:ascii="Garamond" w:eastAsia="MS Gothic" w:hAnsi="Garamond"/>
          <w:b/>
          <w:lang w:eastAsia="pt-BR"/>
        </w:rPr>
      </w:pPr>
      <w:r w:rsidRPr="00F82DF9">
        <w:rPr>
          <w:rFonts w:ascii="Garamond" w:eastAsia="MS Gothic" w:hAnsi="Garamond"/>
          <w:b/>
          <w:lang w:eastAsia="pt-BR"/>
        </w:rPr>
        <w:t>Dos subsídios transnacionais</w:t>
      </w:r>
    </w:p>
    <w:p w14:paraId="78121416"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689995BD"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112. </w:t>
      </w:r>
      <w:r w:rsidRPr="005C5CBD">
        <w:rPr>
          <w:rFonts w:ascii="Garamond" w:eastAsia="Times New Roman" w:hAnsi="Garamond" w:cs="Calibri"/>
          <w:sz w:val="24"/>
          <w:szCs w:val="24"/>
          <w:lang w:eastAsia="pt-BR"/>
        </w:rPr>
        <w:t>Em regra, a Subsecretaria de Defesa Comercial e Interesse Público não considerará como acionáveis os subsídios concedidos por governo de país que não aquele em que a empresa investigada esteja localizada, nem os subsídios concedidos por instituição internacional de empréstimo ou desenvolvimento, com as seguintes exceções:</w:t>
      </w:r>
    </w:p>
    <w:p w14:paraId="67125657"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458729E9"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se os membros de um consórcio internacional dedicado à produção de um produto investigado receberem subsídios acionáveis de seus respectivos países de origem para auxiliar, permitir ou possibilitar a participação no consórcio investigado;</w:t>
      </w:r>
    </w:p>
    <w:p w14:paraId="6D5FB578" w14:textId="77777777" w:rsidR="00395593" w:rsidRPr="005C5CBD" w:rsidRDefault="00395593" w:rsidP="006A735F">
      <w:pPr>
        <w:spacing w:after="0" w:line="240" w:lineRule="auto"/>
        <w:ind w:firstLine="567"/>
        <w:jc w:val="both"/>
        <w:rPr>
          <w:rFonts w:ascii="Garamond" w:eastAsia="Times New Roman" w:hAnsi="Garamond" w:cs="Calibri"/>
          <w:dstrike/>
          <w:sz w:val="24"/>
          <w:szCs w:val="24"/>
          <w:lang w:eastAsia="pt-BR"/>
        </w:rPr>
      </w:pPr>
    </w:p>
    <w:p w14:paraId="0BC1B708"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se o governo do país da empresa investigada, de modo claro e explícito, endossar, reconhecer ou adotar a concessão de subsídios por parte do outro governo como se tais medidas fossem parte de sua própria política de concessão de subsídios; ou</w:t>
      </w:r>
    </w:p>
    <w:p w14:paraId="219759E4"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46604B35"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quando tais subsídios forem concedidos por uma associação de dois ou mais países estrangeiros, incluindo suas subdivisões políticas, seus territórios dependentes ou suas posses, organizados em uma união aduaneira, situação em que serão tratados como um só país.</w:t>
      </w:r>
    </w:p>
    <w:p w14:paraId="7731FFC0"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542D5E3D"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Para os fins do inciso II, serão considerados documentos como acordos, protocolos ou memorandos intergovernamentais de cooperação que demonstrem a existência de objetivos ou propósitos comuns compartilhados pelo país exportador investigado e terceiros países concedentes dos subsídios, bem como a existência de mecanismos destinados à implementação e operação dos investimentos produtivos referidos (</w:t>
      </w:r>
      <w:r w:rsidRPr="005C5CBD">
        <w:rPr>
          <w:rFonts w:ascii="Garamond" w:eastAsia="Times New Roman" w:hAnsi="Garamond" w:cs="Calibri"/>
          <w:b/>
          <w:sz w:val="24"/>
          <w:szCs w:val="24"/>
          <w:lang w:eastAsia="pt-BR"/>
        </w:rPr>
        <w:t>e.g.</w:t>
      </w:r>
      <w:r w:rsidRPr="005C5CBD">
        <w:rPr>
          <w:rFonts w:ascii="Garamond" w:eastAsia="Times New Roman" w:hAnsi="Garamond" w:cs="Calibri"/>
          <w:sz w:val="24"/>
          <w:szCs w:val="24"/>
          <w:lang w:eastAsia="pt-BR"/>
        </w:rPr>
        <w:t>,</w:t>
      </w:r>
      <w:r w:rsidRPr="005C5CBD">
        <w:rPr>
          <w:rFonts w:ascii="Garamond" w:eastAsia="Times New Roman" w:hAnsi="Garamond" w:cs="Calibri"/>
          <w:b/>
          <w:sz w:val="24"/>
          <w:szCs w:val="24"/>
          <w:lang w:eastAsia="pt-BR"/>
        </w:rPr>
        <w:t xml:space="preserve"> </w:t>
      </w:r>
      <w:r w:rsidRPr="005C5CBD">
        <w:rPr>
          <w:rFonts w:ascii="Garamond" w:eastAsia="Times New Roman" w:hAnsi="Garamond" w:cs="Calibri"/>
          <w:sz w:val="24"/>
          <w:szCs w:val="24"/>
          <w:lang w:eastAsia="pt-BR"/>
        </w:rPr>
        <w:t>mecanismos de consulta ou administração).</w:t>
      </w:r>
    </w:p>
    <w:p w14:paraId="6B851CC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6CAEF216"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Compete ao peticionário apresentar informações detalhadas sobre os alegados subsídios transnacionais em sua petição de início, indicando se todos os países envolvidos nos alegados subsídios transnacionais serão concomitantemente investigados.</w:t>
      </w:r>
    </w:p>
    <w:p w14:paraId="0E8A1B86"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634E9BF3"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3º A não apresentação de documentação ante a solicitação da Subsecretaria de Defesa Comercial e Interesse Público para fins deste artigo poderá ensejar a aplicação da melhor informação disponível, </w:t>
      </w:r>
      <w:r w:rsidRPr="005C5CBD">
        <w:rPr>
          <w:rFonts w:ascii="Garamond" w:eastAsia="Calibri" w:hAnsi="Garamond" w:cs="Calibri"/>
          <w:sz w:val="24"/>
          <w:szCs w:val="24"/>
          <w:lang w:eastAsia="pt-BR"/>
        </w:rPr>
        <w:t xml:space="preserve">nos termos </w:t>
      </w:r>
      <w:r w:rsidRPr="005C5CBD">
        <w:rPr>
          <w:rFonts w:ascii="Garamond" w:eastAsia="Times New Roman" w:hAnsi="Garamond" w:cs="Calibri"/>
          <w:sz w:val="24"/>
          <w:szCs w:val="24"/>
          <w:lang w:eastAsia="pt-BR"/>
        </w:rPr>
        <w:t xml:space="preserve">do § 3º </w:t>
      </w:r>
      <w:r w:rsidRPr="005C5CBD">
        <w:rPr>
          <w:rFonts w:ascii="Garamond" w:eastAsia="Calibri" w:hAnsi="Garamond" w:cs="Calibri"/>
          <w:sz w:val="24"/>
          <w:szCs w:val="24"/>
          <w:lang w:eastAsia="pt-BR"/>
        </w:rPr>
        <w:t xml:space="preserve">do art. </w:t>
      </w:r>
      <w:r w:rsidRPr="005C5CBD">
        <w:rPr>
          <w:rFonts w:ascii="Garamond" w:eastAsia="Times New Roman" w:hAnsi="Garamond" w:cs="Calibri"/>
          <w:sz w:val="24"/>
          <w:szCs w:val="24"/>
          <w:lang w:eastAsia="pt-BR"/>
        </w:rPr>
        <w:t>46, c/c arts. 174 a 179 do Decreto nº 10.839, de 2021.</w:t>
      </w:r>
    </w:p>
    <w:p w14:paraId="59C1A2ED"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74943C48" w14:textId="77777777" w:rsidR="00395593" w:rsidRPr="00F82DF9" w:rsidRDefault="00395593" w:rsidP="003B5DDA">
      <w:pPr>
        <w:pStyle w:val="Corpodetexto"/>
        <w:jc w:val="center"/>
        <w:rPr>
          <w:rFonts w:ascii="Garamond" w:hAnsi="Garamond"/>
          <w:b/>
          <w:lang w:eastAsia="pt-BR"/>
        </w:rPr>
      </w:pPr>
      <w:r w:rsidRPr="00F82DF9">
        <w:rPr>
          <w:rFonts w:ascii="Garamond" w:hAnsi="Garamond"/>
          <w:b/>
          <w:lang w:eastAsia="pt-BR"/>
        </w:rPr>
        <w:t>Seção V</w:t>
      </w:r>
    </w:p>
    <w:p w14:paraId="75D97C5B" w14:textId="77777777" w:rsidR="00395593" w:rsidRPr="005C5CBD" w:rsidRDefault="00395593" w:rsidP="003B5DDA">
      <w:pPr>
        <w:pStyle w:val="Corpodetexto"/>
        <w:jc w:val="center"/>
        <w:rPr>
          <w:lang w:eastAsia="pt-BR"/>
        </w:rPr>
      </w:pPr>
      <w:r w:rsidRPr="00F82DF9">
        <w:rPr>
          <w:rFonts w:ascii="Garamond" w:hAnsi="Garamond"/>
          <w:b/>
          <w:lang w:eastAsia="pt-BR"/>
        </w:rPr>
        <w:t>Dos programas de subsídios encontrados no curso da investigação</w:t>
      </w:r>
    </w:p>
    <w:p w14:paraId="3384A5F9"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02DFFF21" w14:textId="2F426EBF"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Calibri" w:hAnsi="Garamond" w:cs="Calibri"/>
          <w:sz w:val="24"/>
          <w:szCs w:val="24"/>
          <w:lang w:eastAsia="pt-BR"/>
        </w:rPr>
        <w:t xml:space="preserve">Art. 113. </w:t>
      </w:r>
      <w:r w:rsidR="00E15FBB" w:rsidRPr="005C5CBD">
        <w:rPr>
          <w:rFonts w:ascii="Garamond" w:eastAsia="Arial Unicode MS" w:hAnsi="Garamond" w:cs="Calibri"/>
          <w:sz w:val="24"/>
          <w:szCs w:val="24"/>
          <w:lang w:eastAsia="pt-BR"/>
        </w:rPr>
        <w:t xml:space="preserve">Nos termos do inciso III do </w:t>
      </w:r>
      <w:r w:rsidR="00E15FBB" w:rsidRPr="005C5CBD">
        <w:rPr>
          <w:rFonts w:ascii="Garamond" w:eastAsia="Times New Roman" w:hAnsi="Garamond" w:cs="Calibri"/>
          <w:sz w:val="24"/>
          <w:szCs w:val="24"/>
          <w:lang w:eastAsia="pt-BR"/>
        </w:rPr>
        <w:t>art.</w:t>
      </w:r>
      <w:r w:rsidR="0078701B">
        <w:rPr>
          <w:rFonts w:ascii="Garamond" w:eastAsia="Times New Roman" w:hAnsi="Garamond" w:cs="Calibri"/>
          <w:sz w:val="24"/>
          <w:szCs w:val="24"/>
          <w:lang w:eastAsia="pt-BR"/>
        </w:rPr>
        <w:t>16</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w:t>
      </w:r>
      <w:r w:rsidRPr="005C5CBD">
        <w:rPr>
          <w:rFonts w:ascii="Garamond" w:eastAsia="Arial Unicode MS" w:hAnsi="Garamond" w:cs="Calibri"/>
          <w:sz w:val="24"/>
          <w:szCs w:val="24"/>
          <w:lang w:eastAsia="pt-BR"/>
        </w:rPr>
        <w:t>a Subsecretaria de Defesa Comercial e Interesse Público poderá investigar programas de subsídios além daqueles indicados na petição, incluindo aqueles identificados no curso da investigação, desde que disponha de indícios suficientes da existência do programa de subsídio.</w:t>
      </w:r>
    </w:p>
    <w:p w14:paraId="664B34E8"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6E3990A8"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Arial Unicode MS" w:hAnsi="Garamond" w:cs="Calibri"/>
          <w:sz w:val="24"/>
          <w:szCs w:val="24"/>
          <w:lang w:eastAsia="pt-BR"/>
        </w:rPr>
        <w:t>§1º  Os questionários de produtor/exportador e de governo estrangeiro</w:t>
      </w:r>
      <w:r w:rsidRPr="005C5CBD">
        <w:rPr>
          <w:rFonts w:ascii="Garamond" w:eastAsia="Times New Roman" w:hAnsi="Garamond" w:cs="Calibri"/>
          <w:sz w:val="24"/>
          <w:szCs w:val="24"/>
          <w:lang w:eastAsia="pt-BR"/>
        </w:rPr>
        <w:t xml:space="preserve"> solicitarão informações sobre todo e qualquer programa de subsídio que tenha beneficiado as empresas investigadas durante período de investigação. </w:t>
      </w:r>
    </w:p>
    <w:p w14:paraId="316F6ED9"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p>
    <w:p w14:paraId="1AFC5160"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Arial Unicode MS" w:hAnsi="Garamond" w:cs="Calibri"/>
          <w:sz w:val="24"/>
          <w:szCs w:val="24"/>
          <w:lang w:eastAsia="pt-BR"/>
        </w:rPr>
        <w:t xml:space="preserve">§2º A Subsecretaria de Defesa Comercial e Interesse Público poderá solicitar informações e esclarecimentos sobre novos programas de subsídios investigados não informados nas respostas aos questionários, mas cujas evidências demonstrem que beneficiaram empresa investigada durante o período de investigação. </w:t>
      </w:r>
    </w:p>
    <w:p w14:paraId="5CCAA1D8"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p>
    <w:p w14:paraId="64AFD0BB" w14:textId="77777777" w:rsidR="00395593" w:rsidRPr="005C5CBD" w:rsidRDefault="00395593" w:rsidP="006A735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kern w:val="1"/>
          <w:sz w:val="24"/>
          <w:szCs w:val="24"/>
          <w:lang w:eastAsia="hi-IN" w:bidi="hi-IN"/>
        </w:rPr>
        <w:t>§</w:t>
      </w:r>
      <w:r w:rsidRPr="005C5CBD">
        <w:rPr>
          <w:rFonts w:ascii="Garamond" w:eastAsia="Lucida Sans Unicode" w:hAnsi="Garamond" w:cs="Calibri"/>
          <w:kern w:val="1"/>
          <w:sz w:val="24"/>
          <w:szCs w:val="24"/>
          <w:lang w:eastAsia="hi-IN" w:bidi="hi-IN"/>
        </w:rPr>
        <w:t>3º  Caso os programas de subsídio identificados no curso da investigação não estejam cobertos pela circular que deu início à investigação, a Secretaria de Comércio Exterior publicará emenda à referida circular no Diário Oficial da União, e será dada oportunidade para manifestações das partes interessadas e para</w:t>
      </w:r>
      <w:r w:rsidRPr="005C5CBD">
        <w:rPr>
          <w:rFonts w:ascii="Garamond" w:eastAsia="Times New Roman" w:hAnsi="Garamond" w:cs="Calibri"/>
          <w:sz w:val="24"/>
          <w:szCs w:val="24"/>
          <w:lang w:eastAsia="pt-BR"/>
        </w:rPr>
        <w:t xml:space="preserve"> consultas ao governo do país investigado, caso solicitado por este governo, com o objetivo de esclarecer eventuais dúvidas acerca de informações e elementos de prova sobre cada programa de subsídio identificado no curso da investigação. </w:t>
      </w:r>
    </w:p>
    <w:p w14:paraId="47E77A0A"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Arial Unicode MS" w:hAnsi="Garamond" w:cs="Calibri"/>
          <w:sz w:val="24"/>
          <w:szCs w:val="24"/>
          <w:lang w:eastAsia="pt-BR"/>
        </w:rPr>
        <w:t xml:space="preserve">§4º Caso os programas subsídios que não foram incluídos na resposta ao questionário sejam identificados durante a verificação </w:t>
      </w:r>
      <w:r w:rsidRPr="005C5CBD">
        <w:rPr>
          <w:rFonts w:ascii="Garamond" w:eastAsia="Arial Unicode MS" w:hAnsi="Garamond" w:cs="Calibri"/>
          <w:b/>
          <w:sz w:val="24"/>
          <w:szCs w:val="24"/>
          <w:lang w:eastAsia="pt-BR"/>
        </w:rPr>
        <w:t>in loco</w:t>
      </w:r>
      <w:r w:rsidRPr="005C5CBD">
        <w:rPr>
          <w:rFonts w:ascii="Garamond" w:eastAsia="Arial Unicode MS" w:hAnsi="Garamond" w:cs="Calibri"/>
          <w:i/>
          <w:sz w:val="24"/>
          <w:szCs w:val="24"/>
          <w:lang w:eastAsia="pt-BR"/>
        </w:rPr>
        <w:t>,</w:t>
      </w:r>
      <w:r w:rsidRPr="005C5CBD">
        <w:rPr>
          <w:rFonts w:ascii="Garamond" w:eastAsia="Arial Unicode MS" w:hAnsi="Garamond" w:cs="Calibri"/>
          <w:sz w:val="24"/>
          <w:szCs w:val="24"/>
          <w:lang w:eastAsia="pt-BR"/>
        </w:rPr>
        <w:t xml:space="preserve"> a Subsecretaria de Defesa Comercial e Interesse Público notificará as partes interessadas para garantir o direito à ampla defesa e ao contraditório, e poderá utilizar a melhor informação disponível, </w:t>
      </w:r>
      <w:r w:rsidRPr="005C5CBD">
        <w:rPr>
          <w:rFonts w:ascii="Garamond" w:eastAsia="Calibri" w:hAnsi="Garamond" w:cs="Calibri"/>
          <w:sz w:val="24"/>
          <w:szCs w:val="24"/>
          <w:lang w:eastAsia="pt-BR"/>
        </w:rPr>
        <w:t xml:space="preserve">nos termos do </w:t>
      </w:r>
      <w:r w:rsidRPr="005C5CBD">
        <w:rPr>
          <w:rFonts w:ascii="Garamond" w:eastAsia="Times New Roman" w:hAnsi="Garamond" w:cs="Calibri"/>
          <w:sz w:val="24"/>
          <w:szCs w:val="24"/>
          <w:lang w:eastAsia="pt-BR"/>
        </w:rPr>
        <w:t>§ 3º  do art. 46  c/c arts. 174 a 179 do Decreto nº 10.839, de 2021</w:t>
      </w:r>
      <w:r w:rsidRPr="005C5CBD">
        <w:rPr>
          <w:rFonts w:ascii="Garamond" w:eastAsia="Arial Unicode MS" w:hAnsi="Garamond" w:cs="Calibri"/>
          <w:sz w:val="24"/>
          <w:szCs w:val="24"/>
          <w:lang w:eastAsia="pt-BR"/>
        </w:rPr>
        <w:t>.</w:t>
      </w:r>
    </w:p>
    <w:p w14:paraId="16419EE3" w14:textId="77777777" w:rsidR="00395593" w:rsidRPr="005C5CBD" w:rsidRDefault="00395593" w:rsidP="00E15FBB">
      <w:pPr>
        <w:spacing w:after="0" w:line="240" w:lineRule="auto"/>
        <w:jc w:val="both"/>
        <w:rPr>
          <w:rFonts w:ascii="Garamond" w:eastAsia="Arial Unicode MS" w:hAnsi="Garamond" w:cs="Calibri"/>
          <w:sz w:val="24"/>
          <w:szCs w:val="24"/>
          <w:lang w:eastAsia="pt-BR"/>
        </w:rPr>
      </w:pPr>
    </w:p>
    <w:p w14:paraId="6E79285A" w14:textId="77777777" w:rsidR="00395593" w:rsidRPr="00F82DF9" w:rsidRDefault="00395593" w:rsidP="00EA0CC8">
      <w:pPr>
        <w:pStyle w:val="Corpodetexto"/>
        <w:jc w:val="center"/>
        <w:rPr>
          <w:rFonts w:ascii="Garamond" w:hAnsi="Garamond"/>
          <w:b/>
          <w:lang w:eastAsia="pt-BR"/>
        </w:rPr>
      </w:pPr>
      <w:r w:rsidRPr="00F82DF9">
        <w:rPr>
          <w:rFonts w:ascii="Garamond" w:hAnsi="Garamond"/>
          <w:b/>
          <w:lang w:eastAsia="pt-BR"/>
        </w:rPr>
        <w:t>Seção VI</w:t>
      </w:r>
    </w:p>
    <w:p w14:paraId="390E063F" w14:textId="77777777" w:rsidR="00395593" w:rsidRPr="00F82DF9" w:rsidRDefault="00395593" w:rsidP="00EA0CC8">
      <w:pPr>
        <w:pStyle w:val="Corpodetexto"/>
        <w:jc w:val="center"/>
        <w:rPr>
          <w:rFonts w:ascii="Garamond" w:hAnsi="Garamond"/>
          <w:b/>
          <w:lang w:eastAsia="pt-BR"/>
        </w:rPr>
      </w:pPr>
      <w:r w:rsidRPr="00F82DF9">
        <w:rPr>
          <w:rFonts w:ascii="Garamond" w:hAnsi="Garamond"/>
          <w:b/>
          <w:lang w:eastAsia="pt-BR"/>
        </w:rPr>
        <w:t>Da especificidade</w:t>
      </w:r>
    </w:p>
    <w:p w14:paraId="6A127AF9" w14:textId="77777777" w:rsidR="00395593" w:rsidRPr="00F82DF9" w:rsidRDefault="00395593" w:rsidP="00EA0CC8">
      <w:pPr>
        <w:pStyle w:val="Corpodetexto"/>
        <w:jc w:val="center"/>
        <w:rPr>
          <w:rFonts w:ascii="Garamond" w:eastAsia="Arial Unicode MS" w:hAnsi="Garamond"/>
          <w:b/>
          <w:lang w:eastAsia="pt-BR"/>
        </w:rPr>
      </w:pPr>
    </w:p>
    <w:p w14:paraId="6204855C" w14:textId="77777777" w:rsidR="00395593" w:rsidRPr="00F82DF9" w:rsidRDefault="00395593" w:rsidP="00EA0CC8">
      <w:pPr>
        <w:pStyle w:val="Corpodetexto"/>
        <w:jc w:val="center"/>
        <w:rPr>
          <w:rFonts w:ascii="Garamond" w:eastAsia="Arial Unicode MS" w:hAnsi="Garamond"/>
          <w:b/>
          <w:bCs/>
          <w:color w:val="4F81BD"/>
          <w:lang w:eastAsia="pt-BR"/>
        </w:rPr>
      </w:pPr>
      <w:r w:rsidRPr="00F82DF9">
        <w:rPr>
          <w:rFonts w:ascii="Garamond" w:eastAsia="MS Gothic" w:hAnsi="Garamond"/>
          <w:b/>
          <w:bCs/>
          <w:lang w:eastAsia="pt-BR"/>
        </w:rPr>
        <w:t>Subseção I</w:t>
      </w:r>
    </w:p>
    <w:p w14:paraId="627D11A2" w14:textId="77777777" w:rsidR="00395593" w:rsidRPr="00F82DF9" w:rsidRDefault="00395593" w:rsidP="00EA0CC8">
      <w:pPr>
        <w:pStyle w:val="Corpodetexto"/>
        <w:jc w:val="center"/>
        <w:rPr>
          <w:rFonts w:ascii="Garamond" w:eastAsia="MS Gothic" w:hAnsi="Garamond"/>
          <w:b/>
          <w:bCs/>
          <w:color w:val="4F81BD"/>
          <w:lang w:eastAsia="pt-BR"/>
        </w:rPr>
      </w:pPr>
      <w:r w:rsidRPr="00F82DF9">
        <w:rPr>
          <w:rFonts w:ascii="Garamond" w:eastAsia="MS Gothic" w:hAnsi="Garamond"/>
          <w:b/>
          <w:bCs/>
          <w:lang w:eastAsia="pt-BR"/>
        </w:rPr>
        <w:t>Da especificidade presumida por proibição</w:t>
      </w:r>
    </w:p>
    <w:p w14:paraId="731A4D50" w14:textId="77777777" w:rsidR="00395593" w:rsidRPr="005C5CBD" w:rsidRDefault="00395593" w:rsidP="00E15FBB">
      <w:pPr>
        <w:spacing w:after="0" w:line="240" w:lineRule="auto"/>
        <w:rPr>
          <w:rFonts w:ascii="Garamond" w:eastAsia="Calibri" w:hAnsi="Garamond" w:cs="Calibri"/>
          <w:sz w:val="24"/>
          <w:szCs w:val="24"/>
        </w:rPr>
      </w:pPr>
    </w:p>
    <w:p w14:paraId="5314F19E"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Calibri" w:hAnsi="Garamond" w:cs="Calibri"/>
          <w:sz w:val="24"/>
          <w:szCs w:val="24"/>
          <w:lang w:eastAsia="pt-BR"/>
        </w:rPr>
        <w:t xml:space="preserve">Art. 114. </w:t>
      </w:r>
      <w:r w:rsidRPr="005C5CBD">
        <w:rPr>
          <w:rFonts w:ascii="Garamond" w:eastAsia="Arial Unicode MS" w:hAnsi="Garamond" w:cs="Calibri"/>
          <w:sz w:val="24"/>
          <w:szCs w:val="24"/>
          <w:lang w:eastAsia="pt-BR"/>
        </w:rPr>
        <w:t xml:space="preserve">Nos termos dos Artigos 2.3 e 3 do </w:t>
      </w:r>
      <w:r w:rsidRPr="005C5CBD">
        <w:rPr>
          <w:rFonts w:ascii="Garamond" w:eastAsia="Times New Roman" w:hAnsi="Garamond" w:cs="Calibri"/>
          <w:sz w:val="24"/>
          <w:szCs w:val="24"/>
          <w:lang w:eastAsia="pt-BR"/>
        </w:rPr>
        <w:t>Acordo Sobre Subsídios e Medidas Compensatórias da Organização Mundial do Comércio</w:t>
      </w:r>
      <w:r w:rsidRPr="005C5CBD">
        <w:rPr>
          <w:rFonts w:ascii="Garamond" w:eastAsia="Arial Unicode MS" w:hAnsi="Garamond" w:cs="Calibri"/>
          <w:sz w:val="24"/>
          <w:szCs w:val="24"/>
          <w:lang w:eastAsia="pt-BR"/>
        </w:rPr>
        <w:t>, os seguintes subsídios, classificados como subsídios proibidos, serão considerados específicos:</w:t>
      </w:r>
    </w:p>
    <w:p w14:paraId="65862877"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p>
    <w:p w14:paraId="66CB56E9"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Arial Unicode MS" w:hAnsi="Garamond" w:cs="Calibri"/>
          <w:sz w:val="24"/>
          <w:szCs w:val="24"/>
          <w:lang w:eastAsia="pt-BR"/>
        </w:rPr>
        <w:t xml:space="preserve">I </w:t>
      </w:r>
      <w:r w:rsidRPr="005C5CBD">
        <w:rPr>
          <w:rFonts w:ascii="Garamond" w:eastAsia="Times New Roman" w:hAnsi="Garamond" w:cs="Calibri"/>
          <w:sz w:val="24"/>
          <w:szCs w:val="24"/>
          <w:lang w:eastAsia="pt-BR"/>
        </w:rPr>
        <w:t>-</w:t>
      </w:r>
      <w:r w:rsidRPr="005C5CBD">
        <w:rPr>
          <w:rFonts w:ascii="Garamond" w:eastAsia="Arial Unicode MS" w:hAnsi="Garamond" w:cs="Calibri"/>
          <w:sz w:val="24"/>
          <w:szCs w:val="24"/>
          <w:lang w:eastAsia="pt-BR"/>
        </w:rPr>
        <w:t xml:space="preserve"> subsídios vinculados, de fato ou de direito, ao desempenho exportador; ou</w:t>
      </w:r>
    </w:p>
    <w:p w14:paraId="21D22840"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p>
    <w:p w14:paraId="165EDF8B"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Arial Unicode MS" w:hAnsi="Garamond" w:cs="Calibri"/>
          <w:sz w:val="24"/>
          <w:szCs w:val="24"/>
          <w:lang w:eastAsia="pt-BR"/>
        </w:rPr>
        <w:t xml:space="preserve">II </w:t>
      </w:r>
      <w:r w:rsidRPr="005C5CBD">
        <w:rPr>
          <w:rFonts w:ascii="Garamond" w:eastAsia="Times New Roman" w:hAnsi="Garamond" w:cs="Calibri"/>
          <w:sz w:val="24"/>
          <w:szCs w:val="24"/>
          <w:lang w:eastAsia="pt-BR"/>
        </w:rPr>
        <w:t>-</w:t>
      </w:r>
      <w:r w:rsidRPr="005C5CBD">
        <w:rPr>
          <w:rFonts w:ascii="Garamond" w:eastAsia="Arial Unicode MS" w:hAnsi="Garamond" w:cs="Calibri"/>
          <w:sz w:val="24"/>
          <w:szCs w:val="24"/>
          <w:lang w:eastAsia="pt-BR"/>
        </w:rPr>
        <w:t xml:space="preserve"> subsídios vinculados ao uso preferencial de produtos domésticos em detrimento de produtos importados.</w:t>
      </w:r>
    </w:p>
    <w:p w14:paraId="50B28520"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6BAA0E37" w14:textId="77777777" w:rsidR="00395593" w:rsidRPr="005C5CBD" w:rsidRDefault="00395593" w:rsidP="006A735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Serão considerados específicos quaisquer subsídios que atendam ao previsto nos incisos I ou II, independentemente de haver outras condições concomitantes.</w:t>
      </w:r>
    </w:p>
    <w:p w14:paraId="75F03BE7" w14:textId="77777777" w:rsidR="00395593" w:rsidRPr="005C5CBD" w:rsidRDefault="00395593" w:rsidP="006A735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2º A vinculação de fato a que faz referência o inciso I deste artigo caracterizar-se-á quando ficar demonstrado que a concessão, ainda que não vinculada de direito ao desempenho exportador, está vinculada de fato a exportações ou ganhos com exportações, reais ou previstos. </w:t>
      </w:r>
    </w:p>
    <w:p w14:paraId="1C370ABA" w14:textId="77777777" w:rsidR="00395593" w:rsidRPr="005C5CBD" w:rsidRDefault="00395593" w:rsidP="006A735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3º A concessão de subsídios a empresas exportadoras não será, por si só, considerada subsídio à exportação. </w:t>
      </w:r>
    </w:p>
    <w:p w14:paraId="06A33427" w14:textId="77777777" w:rsidR="00395593" w:rsidRPr="005C5CBD" w:rsidRDefault="00395593" w:rsidP="006A735F">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4º Serão consideradas como subsídios à exportação as medidas referidas expressamente na lista ilustrativa de subsídios à exportação, conforme o Anexo I do Acordo Sobre Subsídios e Medidas Compensatórias. </w:t>
      </w:r>
    </w:p>
    <w:p w14:paraId="3E146095" w14:textId="77777777" w:rsidR="00395593" w:rsidRPr="005C5CBD" w:rsidRDefault="00395593" w:rsidP="006A735F">
      <w:pPr>
        <w:spacing w:before="6" w:after="283" w:line="240" w:lineRule="auto"/>
        <w:ind w:firstLine="567"/>
        <w:jc w:val="both"/>
        <w:rPr>
          <w:rFonts w:ascii="Garamond" w:eastAsia="Arial Unicode MS" w:hAnsi="Garamond" w:cs="Calibri"/>
          <w:sz w:val="24"/>
          <w:szCs w:val="24"/>
          <w:lang w:eastAsia="pt-BR"/>
        </w:rPr>
      </w:pPr>
      <w:r w:rsidRPr="005C5CBD">
        <w:rPr>
          <w:rFonts w:ascii="Garamond" w:eastAsia="Times New Roman" w:hAnsi="Garamond" w:cs="Calibri"/>
          <w:sz w:val="24"/>
          <w:szCs w:val="24"/>
          <w:lang w:eastAsia="pt-BR"/>
        </w:rPr>
        <w:t>§ 5º  Medidas referidas expressamente na lista ilustrativa de subsídios à exportação no Anexo I do Acordo Sobre Subsídios e Medidas Compensatórias como não constituindo subsídios à exportação não serão consideradas subsídios proibidos.</w:t>
      </w:r>
    </w:p>
    <w:p w14:paraId="2ECA189C" w14:textId="77777777" w:rsidR="00395593" w:rsidRPr="00F82DF9" w:rsidRDefault="00395593" w:rsidP="00EA0CC8">
      <w:pPr>
        <w:pStyle w:val="Corpodetexto"/>
        <w:jc w:val="center"/>
        <w:rPr>
          <w:rFonts w:ascii="Garamond" w:eastAsia="MS Gothic" w:hAnsi="Garamond"/>
          <w:b/>
          <w:color w:val="4F81BD"/>
          <w:lang w:eastAsia="pt-BR"/>
        </w:rPr>
      </w:pPr>
      <w:r w:rsidRPr="00F82DF9">
        <w:rPr>
          <w:rFonts w:ascii="Garamond" w:eastAsia="MS Gothic" w:hAnsi="Garamond"/>
          <w:b/>
          <w:lang w:eastAsia="pt-BR"/>
        </w:rPr>
        <w:t>Subseção II</w:t>
      </w:r>
    </w:p>
    <w:p w14:paraId="1A1EE267" w14:textId="77777777" w:rsidR="00395593" w:rsidRPr="00F82DF9" w:rsidRDefault="00395593" w:rsidP="00EA0CC8">
      <w:pPr>
        <w:pStyle w:val="Corpodetexto"/>
        <w:jc w:val="center"/>
        <w:rPr>
          <w:rFonts w:ascii="Garamond" w:eastAsia="MS Gothic" w:hAnsi="Garamond"/>
          <w:b/>
          <w:color w:val="4F81BD"/>
          <w:lang w:eastAsia="pt-BR"/>
        </w:rPr>
      </w:pPr>
      <w:r w:rsidRPr="00F82DF9">
        <w:rPr>
          <w:rFonts w:ascii="Garamond" w:eastAsia="MS Gothic" w:hAnsi="Garamond"/>
          <w:b/>
          <w:lang w:eastAsia="pt-BR"/>
        </w:rPr>
        <w:t>Da especificidade de direito</w:t>
      </w:r>
    </w:p>
    <w:p w14:paraId="2DE05911" w14:textId="77777777" w:rsidR="00395593" w:rsidRPr="005C5CBD" w:rsidRDefault="00395593" w:rsidP="00E15FBB">
      <w:pPr>
        <w:spacing w:after="0" w:line="240" w:lineRule="auto"/>
        <w:jc w:val="both"/>
        <w:rPr>
          <w:rFonts w:ascii="Garamond" w:eastAsia="Arial Unicode MS" w:hAnsi="Garamond" w:cs="Calibri"/>
          <w:sz w:val="24"/>
          <w:szCs w:val="24"/>
          <w:lang w:eastAsia="pt-BR"/>
        </w:rPr>
      </w:pPr>
      <w:r w:rsidRPr="005C5CBD">
        <w:rPr>
          <w:rFonts w:ascii="Garamond" w:eastAsia="Arial Unicode MS" w:hAnsi="Garamond" w:cs="Calibri"/>
          <w:sz w:val="24"/>
          <w:szCs w:val="24"/>
          <w:lang w:eastAsia="pt-BR"/>
        </w:rPr>
        <w:t xml:space="preserve"> </w:t>
      </w:r>
    </w:p>
    <w:p w14:paraId="12C5BE3D"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Calibri" w:hAnsi="Garamond" w:cs="Calibri"/>
          <w:sz w:val="24"/>
          <w:szCs w:val="24"/>
          <w:lang w:eastAsia="pt-BR"/>
        </w:rPr>
        <w:t xml:space="preserve">Art. 115. </w:t>
      </w:r>
      <w:r w:rsidRPr="005C5CBD">
        <w:rPr>
          <w:rFonts w:ascii="Garamond" w:eastAsia="Arial Unicode MS" w:hAnsi="Garamond" w:cs="Calibri"/>
          <w:sz w:val="24"/>
          <w:szCs w:val="24"/>
          <w:lang w:eastAsia="pt-BR"/>
        </w:rPr>
        <w:t>A Subsecretaria de Defesa Comercial e Interesse Público normalmente examinará a legislação, a regulamentação ou ato administrativo emitido pela autoridade outorgante para determinar se o subsídio está expressamente limitado por lei, regulamento ou outro ato administrativo a certas empresas, indústrias e/ou regiões, e, portanto, considerar se o programa de subsídio investigado corresponde a um subsídio específico de direito.</w:t>
      </w:r>
    </w:p>
    <w:p w14:paraId="471FF490"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p>
    <w:p w14:paraId="2FF62050"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Times New Roman" w:hAnsi="Garamond" w:cs="Calibri"/>
          <w:sz w:val="24"/>
          <w:szCs w:val="24"/>
          <w:lang w:eastAsia="pt-BR"/>
        </w:rPr>
        <w:t>§ 1º</w:t>
      </w:r>
      <w:r w:rsidRPr="005C5CBD">
        <w:rPr>
          <w:rFonts w:ascii="Garamond" w:eastAsia="Arial Unicode MS" w:hAnsi="Garamond" w:cs="Calibri"/>
          <w:sz w:val="24"/>
          <w:szCs w:val="24"/>
          <w:lang w:eastAsia="pt-BR"/>
        </w:rPr>
        <w:t xml:space="preserve"> O subsídio será considerado específico de direito a uma empresa ou a um grupo de empresas quando a autoridade outorgante limita expressamente o acesso ao programa de subsídio a uma ou determinadas empresas dentro de sua jurisdição.</w:t>
      </w:r>
    </w:p>
    <w:p w14:paraId="10427B67"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Arial Unicode MS" w:hAnsi="Garamond" w:cs="Calibri"/>
          <w:sz w:val="24"/>
          <w:szCs w:val="24"/>
          <w:lang w:eastAsia="pt-BR"/>
        </w:rPr>
        <w:t xml:space="preserve"> </w:t>
      </w:r>
    </w:p>
    <w:p w14:paraId="6184C5D4"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Times New Roman" w:hAnsi="Garamond" w:cs="Calibri"/>
          <w:sz w:val="24"/>
          <w:szCs w:val="24"/>
          <w:lang w:eastAsia="pt-BR"/>
        </w:rPr>
        <w:t>§ 2º</w:t>
      </w:r>
      <w:r w:rsidRPr="005C5CBD">
        <w:rPr>
          <w:rFonts w:ascii="Garamond" w:eastAsia="Calibri" w:hAnsi="Garamond" w:cs="Calibri"/>
          <w:sz w:val="24"/>
          <w:szCs w:val="24"/>
          <w:lang w:eastAsia="pt-BR"/>
        </w:rPr>
        <w:t xml:space="preserve"> </w:t>
      </w:r>
      <w:r w:rsidRPr="005C5CBD">
        <w:rPr>
          <w:rFonts w:ascii="Garamond" w:eastAsia="Arial Unicode MS" w:hAnsi="Garamond" w:cs="Calibri"/>
          <w:sz w:val="24"/>
          <w:szCs w:val="24"/>
          <w:lang w:eastAsia="pt-BR"/>
        </w:rPr>
        <w:t xml:space="preserve">O subsídio será considerado específico de direito a uma indústria ou a um grupo de indústrias quando a autoridade outorgante limita expressamente o acesso ao programa de subsídio a uma ou determinadas indústrias dentro de sua jurisdição. </w:t>
      </w:r>
    </w:p>
    <w:p w14:paraId="3DA644AF"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p>
    <w:p w14:paraId="2EA5D247"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116. </w:t>
      </w:r>
      <w:r w:rsidRPr="005C5CBD">
        <w:rPr>
          <w:rFonts w:ascii="Garamond" w:eastAsia="Times New Roman" w:hAnsi="Garamond" w:cs="Calibri"/>
          <w:sz w:val="24"/>
          <w:szCs w:val="24"/>
          <w:lang w:eastAsia="pt-BR"/>
        </w:rPr>
        <w:t>A Subsecretaria de Defesa Comercial e Interesse Público determinará que não há especificidade de direito quando a autoridade outorgante do subsídio, ou a legislação pela qual essa autoridade deve reger-se, estabelecer condições ou critérios objetivos que disponham sobre a elegibilidade ao subsídio e sobre o respectivo montante a ser concedido, desde que essa elegibilidade seja automática e que as condições e critérios, estipulados em lei, regulamento ou outro ato normativo, sejam estritamente respeitados e se possa proceder à sua verificação.</w:t>
      </w:r>
    </w:p>
    <w:p w14:paraId="2A80CC6E"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2A2F5B40"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Times New Roman" w:hAnsi="Garamond" w:cs="Calibri"/>
          <w:sz w:val="24"/>
          <w:szCs w:val="24"/>
          <w:lang w:eastAsia="pt-BR"/>
        </w:rPr>
        <w:t xml:space="preserve">Parágrafo único.  A expressão "condições ou critérios objetivos", a que se refere 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 significa condições ou critérios imparciais que não favoreçam determinadas empresas em detrimento de outras e que sejam de natureza econômica e de aplicação horizontal, como número de empregados ou dimensão de empresa.</w:t>
      </w:r>
    </w:p>
    <w:p w14:paraId="75CC5E12" w14:textId="77777777" w:rsidR="00395593" w:rsidRPr="005C5CBD" w:rsidRDefault="00395593" w:rsidP="00E15FBB">
      <w:pPr>
        <w:spacing w:after="0" w:line="240" w:lineRule="auto"/>
        <w:jc w:val="both"/>
        <w:rPr>
          <w:rFonts w:ascii="Garamond" w:eastAsia="MS Gothic" w:hAnsi="Garamond" w:cs="Calibri"/>
          <w:sz w:val="24"/>
          <w:szCs w:val="24"/>
          <w:lang w:eastAsia="pt-BR"/>
        </w:rPr>
      </w:pPr>
    </w:p>
    <w:p w14:paraId="3C41BEBE" w14:textId="77777777" w:rsidR="00395593" w:rsidRPr="00F82DF9" w:rsidRDefault="00395593" w:rsidP="00EA0CC8">
      <w:pPr>
        <w:pStyle w:val="Corpodetexto"/>
        <w:jc w:val="center"/>
        <w:rPr>
          <w:rFonts w:ascii="Garamond" w:eastAsia="MS Gothic" w:hAnsi="Garamond"/>
          <w:b/>
          <w:color w:val="4F81BD"/>
          <w:lang w:eastAsia="pt-BR"/>
        </w:rPr>
      </w:pPr>
      <w:r w:rsidRPr="00F82DF9">
        <w:rPr>
          <w:rFonts w:ascii="Garamond" w:eastAsia="MS Gothic" w:hAnsi="Garamond"/>
          <w:b/>
          <w:lang w:eastAsia="pt-BR"/>
        </w:rPr>
        <w:t>Subseção III</w:t>
      </w:r>
    </w:p>
    <w:p w14:paraId="413F4F92" w14:textId="77777777" w:rsidR="00395593" w:rsidRPr="005C5CBD" w:rsidRDefault="00395593" w:rsidP="00EA0CC8">
      <w:pPr>
        <w:pStyle w:val="Corpodetexto"/>
        <w:jc w:val="center"/>
        <w:rPr>
          <w:rFonts w:eastAsia="Arial Unicode MS"/>
          <w:color w:val="4F81BD"/>
          <w:lang w:eastAsia="pt-BR"/>
        </w:rPr>
      </w:pPr>
      <w:r w:rsidRPr="00F82DF9">
        <w:rPr>
          <w:rFonts w:ascii="Garamond" w:eastAsia="MS Gothic" w:hAnsi="Garamond"/>
          <w:b/>
          <w:lang w:eastAsia="pt-BR"/>
        </w:rPr>
        <w:t>Da especificidade de fato</w:t>
      </w:r>
    </w:p>
    <w:p w14:paraId="34DC77FF" w14:textId="77777777" w:rsidR="00395593" w:rsidRPr="005C5CBD" w:rsidRDefault="00395593" w:rsidP="00E15FBB">
      <w:pPr>
        <w:spacing w:after="0" w:line="240" w:lineRule="auto"/>
        <w:jc w:val="both"/>
        <w:rPr>
          <w:rFonts w:ascii="Garamond" w:eastAsia="Calibri" w:hAnsi="Garamond" w:cs="Calibri"/>
          <w:sz w:val="24"/>
          <w:szCs w:val="24"/>
          <w:lang w:eastAsia="pt-BR"/>
        </w:rPr>
      </w:pPr>
    </w:p>
    <w:p w14:paraId="08F430F4"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Calibri" w:hAnsi="Garamond" w:cs="Calibri"/>
          <w:sz w:val="24"/>
          <w:szCs w:val="24"/>
          <w:lang w:eastAsia="pt-BR"/>
        </w:rPr>
        <w:t xml:space="preserve">Art. 117. </w:t>
      </w:r>
      <w:r w:rsidRPr="005C5CBD">
        <w:rPr>
          <w:rFonts w:ascii="Garamond" w:eastAsia="Arial Unicode MS" w:hAnsi="Garamond" w:cs="Calibri"/>
          <w:sz w:val="24"/>
          <w:szCs w:val="24"/>
          <w:lang w:eastAsia="pt-BR"/>
        </w:rPr>
        <w:t>Nos casos em que não haja, aparentemente, especificidade de direito, a Subsecretaria de Defesa Comercial e Interesse Público avaliará os seguintes fatores para determinar se o programa de subsídio investigado é de fato específico, incluindo:</w:t>
      </w:r>
    </w:p>
    <w:p w14:paraId="1B06C6C7" w14:textId="77777777" w:rsidR="00395593" w:rsidRPr="005C5CBD" w:rsidRDefault="00395593" w:rsidP="00E15FBB">
      <w:pPr>
        <w:spacing w:after="0" w:line="240" w:lineRule="auto"/>
        <w:jc w:val="both"/>
        <w:rPr>
          <w:rFonts w:ascii="Garamond" w:eastAsia="Arial Unicode MS" w:hAnsi="Garamond" w:cs="Calibri"/>
          <w:sz w:val="24"/>
          <w:szCs w:val="24"/>
          <w:lang w:eastAsia="pt-BR"/>
        </w:rPr>
      </w:pPr>
    </w:p>
    <w:p w14:paraId="6E04745E"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Arial Unicode MS" w:hAnsi="Garamond" w:cs="Calibri"/>
          <w:sz w:val="24"/>
          <w:szCs w:val="24"/>
          <w:lang w:eastAsia="pt-BR"/>
        </w:rPr>
        <w:t xml:space="preserve">I </w:t>
      </w:r>
      <w:r w:rsidRPr="005C5CBD">
        <w:rPr>
          <w:rFonts w:ascii="Garamond" w:eastAsia="Times New Roman" w:hAnsi="Garamond" w:cs="Calibri"/>
          <w:sz w:val="24"/>
          <w:szCs w:val="24"/>
          <w:lang w:eastAsia="pt-BR"/>
        </w:rPr>
        <w:t>-</w:t>
      </w:r>
      <w:r w:rsidRPr="005C5CBD">
        <w:rPr>
          <w:rFonts w:ascii="Garamond" w:eastAsia="Arial Unicode MS" w:hAnsi="Garamond" w:cs="Calibri"/>
          <w:sz w:val="24"/>
          <w:szCs w:val="24"/>
          <w:lang w:eastAsia="pt-BR"/>
        </w:rPr>
        <w:t xml:space="preserve"> o uso de um programa de subsídio por um número limitado de empresas ou indústrias;</w:t>
      </w:r>
    </w:p>
    <w:p w14:paraId="3BF11D34"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p>
    <w:p w14:paraId="2BFA32D4"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Arial Unicode MS" w:hAnsi="Garamond" w:cs="Calibri"/>
          <w:sz w:val="24"/>
          <w:szCs w:val="24"/>
          <w:lang w:eastAsia="pt-BR"/>
        </w:rPr>
        <w:t xml:space="preserve">II </w:t>
      </w:r>
      <w:r w:rsidRPr="005C5CBD">
        <w:rPr>
          <w:rFonts w:ascii="Garamond" w:eastAsia="Times New Roman" w:hAnsi="Garamond" w:cs="Calibri"/>
          <w:sz w:val="24"/>
          <w:szCs w:val="24"/>
          <w:lang w:eastAsia="pt-BR"/>
        </w:rPr>
        <w:t>-</w:t>
      </w:r>
      <w:r w:rsidRPr="005C5CBD">
        <w:rPr>
          <w:rFonts w:ascii="Garamond" w:eastAsia="Arial Unicode MS" w:hAnsi="Garamond" w:cs="Calibri"/>
          <w:sz w:val="24"/>
          <w:szCs w:val="24"/>
          <w:lang w:eastAsia="pt-BR"/>
        </w:rPr>
        <w:t xml:space="preserve"> o uso predominante de um programa de subsídio por determinadas empresas ou indústrias;</w:t>
      </w:r>
    </w:p>
    <w:p w14:paraId="387CA7D0"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p>
    <w:p w14:paraId="213EA444"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Arial Unicode MS" w:hAnsi="Garamond" w:cs="Calibri"/>
          <w:sz w:val="24"/>
          <w:szCs w:val="24"/>
          <w:lang w:eastAsia="pt-BR"/>
        </w:rPr>
        <w:t xml:space="preserve">III </w:t>
      </w:r>
      <w:r w:rsidRPr="005C5CBD">
        <w:rPr>
          <w:rFonts w:ascii="Garamond" w:eastAsia="Times New Roman" w:hAnsi="Garamond" w:cs="Calibri"/>
          <w:sz w:val="24"/>
          <w:szCs w:val="24"/>
          <w:lang w:eastAsia="pt-BR"/>
        </w:rPr>
        <w:t>-</w:t>
      </w:r>
      <w:r w:rsidRPr="005C5CBD">
        <w:rPr>
          <w:rFonts w:ascii="Garamond" w:eastAsia="Arial Unicode MS" w:hAnsi="Garamond" w:cs="Calibri"/>
          <w:sz w:val="24"/>
          <w:szCs w:val="24"/>
          <w:lang w:eastAsia="pt-BR"/>
        </w:rPr>
        <w:t xml:space="preserve"> a concessão de parcela desproporcionalmente </w:t>
      </w:r>
      <w:r w:rsidRPr="005C5CBD">
        <w:rPr>
          <w:rFonts w:ascii="Garamond" w:eastAsia="Times New Roman" w:hAnsi="Garamond" w:cs="Calibri"/>
          <w:sz w:val="24"/>
          <w:szCs w:val="24"/>
          <w:lang w:eastAsia="pt-BR"/>
        </w:rPr>
        <w:t>vultosa</w:t>
      </w:r>
      <w:r w:rsidRPr="005C5CBD">
        <w:rPr>
          <w:rFonts w:ascii="Garamond" w:eastAsia="Arial Unicode MS" w:hAnsi="Garamond" w:cs="Calibri"/>
          <w:sz w:val="24"/>
          <w:szCs w:val="24"/>
          <w:lang w:eastAsia="pt-BR"/>
        </w:rPr>
        <w:t xml:space="preserve"> do subsídio a determinadas empresas ou indústrias; e </w:t>
      </w:r>
    </w:p>
    <w:p w14:paraId="7B30860A"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p>
    <w:p w14:paraId="0F931676"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Arial Unicode MS" w:hAnsi="Garamond" w:cs="Calibri"/>
          <w:sz w:val="24"/>
          <w:szCs w:val="24"/>
          <w:lang w:eastAsia="pt-BR"/>
        </w:rPr>
        <w:t xml:space="preserve">IV </w:t>
      </w:r>
      <w:r w:rsidRPr="005C5CBD">
        <w:rPr>
          <w:rFonts w:ascii="Garamond" w:eastAsia="Times New Roman" w:hAnsi="Garamond" w:cs="Calibri"/>
          <w:sz w:val="24"/>
          <w:szCs w:val="24"/>
          <w:lang w:eastAsia="pt-BR"/>
        </w:rPr>
        <w:t>-</w:t>
      </w:r>
      <w:r w:rsidRPr="005C5CBD">
        <w:rPr>
          <w:rFonts w:ascii="Garamond" w:eastAsia="Arial Unicode MS" w:hAnsi="Garamond" w:cs="Calibri"/>
          <w:sz w:val="24"/>
          <w:szCs w:val="24"/>
          <w:lang w:eastAsia="pt-BR"/>
        </w:rPr>
        <w:t xml:space="preserve"> o modo pelo qual a autoridade outorgante exerceu discricionariedade na decisão de conceder o subsídio, levando em consideração informações sobre </w:t>
      </w:r>
      <w:r w:rsidRPr="005C5CBD">
        <w:rPr>
          <w:rFonts w:ascii="Garamond" w:eastAsia="Times New Roman" w:hAnsi="Garamond" w:cs="Calibri"/>
          <w:sz w:val="24"/>
          <w:szCs w:val="24"/>
          <w:lang w:eastAsia="pt-BR"/>
        </w:rPr>
        <w:t xml:space="preserve">a </w:t>
      </w:r>
      <w:r w:rsidRPr="005C5CBD">
        <w:rPr>
          <w:rFonts w:ascii="Garamond" w:eastAsia="Arial Unicode MS" w:hAnsi="Garamond" w:cs="Calibri"/>
          <w:sz w:val="24"/>
          <w:szCs w:val="24"/>
          <w:lang w:eastAsia="pt-BR"/>
        </w:rPr>
        <w:t>frequência com que são recusados ou aceitos pedidos de subsídios</w:t>
      </w:r>
      <w:r w:rsidRPr="005C5CBD">
        <w:rPr>
          <w:rFonts w:ascii="Garamond" w:eastAsia="Times New Roman" w:hAnsi="Garamond" w:cs="Calibri"/>
          <w:sz w:val="24"/>
          <w:szCs w:val="24"/>
          <w:lang w:eastAsia="pt-BR"/>
        </w:rPr>
        <w:t>,</w:t>
      </w:r>
      <w:r w:rsidRPr="005C5CBD">
        <w:rPr>
          <w:rFonts w:ascii="Garamond" w:eastAsia="Arial Unicode MS" w:hAnsi="Garamond" w:cs="Calibri"/>
          <w:sz w:val="24"/>
          <w:szCs w:val="24"/>
          <w:lang w:eastAsia="pt-BR"/>
        </w:rPr>
        <w:t xml:space="preserve"> e fundamentação de tais decisões.</w:t>
      </w:r>
    </w:p>
    <w:p w14:paraId="18D164D7"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p>
    <w:p w14:paraId="341659E2" w14:textId="77777777" w:rsidR="00395593" w:rsidRPr="005C5CBD" w:rsidRDefault="00395593" w:rsidP="006A735F">
      <w:pPr>
        <w:spacing w:after="0" w:line="240" w:lineRule="auto"/>
        <w:ind w:firstLine="567"/>
        <w:jc w:val="both"/>
        <w:rPr>
          <w:rFonts w:ascii="Garamond" w:eastAsia="MS Gothic" w:hAnsi="Garamond" w:cs="Calibri"/>
          <w:sz w:val="24"/>
          <w:szCs w:val="24"/>
          <w:lang w:eastAsia="pt-BR"/>
        </w:rPr>
      </w:pPr>
      <w:r w:rsidRPr="005C5CBD">
        <w:rPr>
          <w:rFonts w:ascii="Garamond" w:eastAsia="Arial Unicode MS" w:hAnsi="Garamond" w:cs="Calibri"/>
          <w:sz w:val="24"/>
          <w:szCs w:val="24"/>
          <w:lang w:eastAsia="pt-BR"/>
        </w:rPr>
        <w:t xml:space="preserve">Parágrafo único.  </w:t>
      </w:r>
      <w:r w:rsidRPr="005C5CBD">
        <w:rPr>
          <w:rFonts w:ascii="Garamond" w:eastAsia="Times New Roman" w:hAnsi="Garamond" w:cs="Calibri"/>
          <w:sz w:val="24"/>
          <w:szCs w:val="24"/>
          <w:lang w:eastAsia="pt-BR"/>
        </w:rPr>
        <w:t xml:space="preserve">Na avaliação prevista no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 xml:space="preserve"> deste artigo</w:t>
      </w:r>
      <w:r w:rsidRPr="005C5CBD">
        <w:rPr>
          <w:rFonts w:ascii="Garamond" w:eastAsia="Arial Unicode MS" w:hAnsi="Garamond" w:cs="Calibri"/>
          <w:sz w:val="24"/>
          <w:szCs w:val="24"/>
          <w:lang w:eastAsia="pt-BR"/>
        </w:rPr>
        <w:t xml:space="preserve">, a Subsecretaria de Defesa Comercial e Interesse Público deverá considerar a diversidade das atividades econômicas na jurisdição da autoridade outorgante e o período de tempo em que o programa de subsídio esteve em vigor. </w:t>
      </w:r>
    </w:p>
    <w:p w14:paraId="5882FB68" w14:textId="77777777" w:rsidR="00395593" w:rsidRPr="005C5CBD" w:rsidRDefault="00395593" w:rsidP="00E15FBB">
      <w:pPr>
        <w:spacing w:after="0" w:line="240" w:lineRule="auto"/>
        <w:jc w:val="both"/>
        <w:rPr>
          <w:rFonts w:ascii="Garamond" w:eastAsia="Arial Unicode MS" w:hAnsi="Garamond" w:cs="Calibri"/>
          <w:sz w:val="24"/>
          <w:szCs w:val="24"/>
          <w:lang w:eastAsia="pt-BR"/>
        </w:rPr>
      </w:pPr>
    </w:p>
    <w:p w14:paraId="33F3A97C" w14:textId="77777777" w:rsidR="00395593" w:rsidRPr="00F82DF9" w:rsidRDefault="00395593" w:rsidP="00EA0CC8">
      <w:pPr>
        <w:pStyle w:val="Corpodetexto"/>
        <w:jc w:val="center"/>
        <w:rPr>
          <w:rFonts w:ascii="Garamond" w:eastAsia="MS Gothic" w:hAnsi="Garamond"/>
          <w:b/>
          <w:color w:val="4F81BD"/>
          <w:lang w:eastAsia="pt-BR"/>
        </w:rPr>
      </w:pPr>
      <w:r w:rsidRPr="00F82DF9">
        <w:rPr>
          <w:rFonts w:ascii="Garamond" w:eastAsia="MS Gothic" w:hAnsi="Garamond"/>
          <w:b/>
          <w:lang w:eastAsia="pt-BR"/>
        </w:rPr>
        <w:t>Subseção IV</w:t>
      </w:r>
    </w:p>
    <w:p w14:paraId="25B9D8AF" w14:textId="77777777" w:rsidR="00395593" w:rsidRPr="005C5CBD" w:rsidRDefault="00395593" w:rsidP="00EA0CC8">
      <w:pPr>
        <w:pStyle w:val="Corpodetexto"/>
        <w:jc w:val="center"/>
        <w:rPr>
          <w:rFonts w:eastAsia="MS Gothic"/>
          <w:color w:val="4F81BD"/>
          <w:lang w:eastAsia="pt-BR"/>
        </w:rPr>
      </w:pPr>
      <w:r w:rsidRPr="00F82DF9">
        <w:rPr>
          <w:rFonts w:ascii="Garamond" w:eastAsia="MS Gothic" w:hAnsi="Garamond"/>
          <w:b/>
          <w:lang w:eastAsia="pt-BR"/>
        </w:rPr>
        <w:t>Da especificidade regional</w:t>
      </w:r>
    </w:p>
    <w:p w14:paraId="65BA74DC" w14:textId="77777777" w:rsidR="00395593" w:rsidRPr="005C5CBD" w:rsidRDefault="00395593" w:rsidP="00E15FBB">
      <w:pPr>
        <w:spacing w:after="0" w:line="240" w:lineRule="auto"/>
        <w:jc w:val="both"/>
        <w:rPr>
          <w:rFonts w:ascii="Garamond" w:eastAsia="Arial Unicode MS" w:hAnsi="Garamond" w:cs="Calibri"/>
          <w:sz w:val="24"/>
          <w:szCs w:val="24"/>
          <w:lang w:eastAsia="pt-BR"/>
        </w:rPr>
      </w:pPr>
    </w:p>
    <w:p w14:paraId="3D21FA1B" w14:textId="77777777" w:rsidR="00395593" w:rsidRPr="005C5CBD" w:rsidRDefault="00395593" w:rsidP="006A735F">
      <w:pPr>
        <w:spacing w:after="0" w:line="240" w:lineRule="auto"/>
        <w:ind w:firstLine="567"/>
        <w:jc w:val="both"/>
        <w:rPr>
          <w:rFonts w:ascii="Garamond" w:eastAsia="Arial Unicode MS" w:hAnsi="Garamond" w:cs="Calibri"/>
          <w:sz w:val="24"/>
          <w:szCs w:val="24"/>
          <w:lang w:eastAsia="pt-BR"/>
        </w:rPr>
      </w:pPr>
      <w:r w:rsidRPr="005C5CBD">
        <w:rPr>
          <w:rFonts w:ascii="Garamond" w:eastAsia="Calibri" w:hAnsi="Garamond" w:cs="Calibri"/>
          <w:sz w:val="24"/>
          <w:szCs w:val="24"/>
          <w:lang w:eastAsia="pt-BR"/>
        </w:rPr>
        <w:t xml:space="preserve">Art. 118. </w:t>
      </w:r>
      <w:r w:rsidRPr="005C5CBD">
        <w:rPr>
          <w:rFonts w:ascii="Garamond" w:eastAsia="Arial Unicode MS" w:hAnsi="Garamond" w:cs="Calibri"/>
          <w:sz w:val="24"/>
          <w:szCs w:val="24"/>
          <w:lang w:eastAsia="pt-BR"/>
        </w:rPr>
        <w:t>O subsídio será considerado específico a uma determinada região se a autoridade outorgante limita o acesso ao programa de subsídio, de fato ou de direito, a determinadas empresas localizadas dentro de região geográfica delimitada situada na jurisdição da autoridade outorgante.</w:t>
      </w:r>
    </w:p>
    <w:p w14:paraId="5B84C402"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0F6077A4" w14:textId="77777777" w:rsidR="00395593" w:rsidRPr="00F82DF9" w:rsidRDefault="00395593" w:rsidP="00EA0CC8">
      <w:pPr>
        <w:pStyle w:val="Corpodetexto"/>
        <w:jc w:val="center"/>
        <w:rPr>
          <w:rFonts w:ascii="Garamond" w:hAnsi="Garamond"/>
          <w:b/>
          <w:lang w:eastAsia="pt-BR"/>
        </w:rPr>
      </w:pPr>
      <w:r w:rsidRPr="00F82DF9">
        <w:rPr>
          <w:rFonts w:ascii="Garamond" w:hAnsi="Garamond"/>
          <w:b/>
          <w:lang w:eastAsia="pt-BR"/>
        </w:rPr>
        <w:t>Seção VII</w:t>
      </w:r>
    </w:p>
    <w:p w14:paraId="02DA8C2C" w14:textId="77777777" w:rsidR="00395593" w:rsidRPr="005C5CBD" w:rsidRDefault="00395593" w:rsidP="00EA0CC8">
      <w:pPr>
        <w:pStyle w:val="Corpodetexto"/>
        <w:jc w:val="center"/>
        <w:rPr>
          <w:rFonts w:eastAsia="MS Gothic"/>
          <w:lang w:eastAsia="pt-BR"/>
        </w:rPr>
      </w:pPr>
      <w:r w:rsidRPr="00F82DF9">
        <w:rPr>
          <w:rFonts w:ascii="Garamond" w:hAnsi="Garamond"/>
          <w:b/>
          <w:lang w:eastAsia="pt-BR"/>
        </w:rPr>
        <w:t>Do cálculo do direito compensatório</w:t>
      </w:r>
    </w:p>
    <w:p w14:paraId="1540334D"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5AFCD71B" w14:textId="77777777" w:rsidR="00395593" w:rsidRPr="005C5CBD" w:rsidRDefault="00395593" w:rsidP="006A735F">
      <w:pPr>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Art. 119. Nenhum produto importado poderá estar sujeito, simultaneamente, a medida antidumping e a medida compensatória para neutralizar a mesma situação de dumping ou de subsídios à exportação, nos termos do Parágrafo 5 do Artigo VI do </w:t>
      </w:r>
      <w:r w:rsidRPr="005C5CBD">
        <w:rPr>
          <w:rFonts w:ascii="Garamond" w:eastAsia="Times New Roman" w:hAnsi="Garamond" w:cs="Calibri"/>
          <w:sz w:val="24"/>
          <w:szCs w:val="24"/>
          <w:lang w:eastAsia="pt-BR"/>
        </w:rPr>
        <w:t>Acordo Geral Sobre Tarifas Aduaneiras e Comércio (GATT), de 1947</w:t>
      </w:r>
      <w:r w:rsidRPr="005C5CBD">
        <w:rPr>
          <w:rFonts w:ascii="Garamond" w:eastAsia="Calibri" w:hAnsi="Garamond" w:cs="Calibri"/>
          <w:sz w:val="24"/>
          <w:szCs w:val="24"/>
          <w:lang w:eastAsia="pt-BR"/>
        </w:rPr>
        <w:t>.</w:t>
      </w:r>
    </w:p>
    <w:p w14:paraId="30D51840" w14:textId="77777777" w:rsidR="00395593" w:rsidRPr="005C5CBD" w:rsidRDefault="00395593" w:rsidP="006A735F">
      <w:pPr>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1º  A vedação ao duplo remédio disposta no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xml:space="preserve"> não se aplica aos subsídios à produção (domésticos).  </w:t>
      </w:r>
    </w:p>
    <w:p w14:paraId="7A10293C" w14:textId="77777777" w:rsidR="00395593" w:rsidRPr="005C5CBD" w:rsidRDefault="00395593" w:rsidP="006A735F">
      <w:pPr>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2º  Nos termos do </w:t>
      </w:r>
      <w:r w:rsidRPr="005C5CBD">
        <w:rPr>
          <w:rFonts w:ascii="Garamond" w:eastAsia="Calibri" w:hAnsi="Garamond" w:cs="Calibri"/>
          <w:b/>
          <w:sz w:val="24"/>
          <w:szCs w:val="24"/>
          <w:lang w:eastAsia="pt-BR"/>
        </w:rPr>
        <w:t>caput</w:t>
      </w:r>
      <w:r w:rsidRPr="005C5CBD">
        <w:rPr>
          <w:rFonts w:ascii="Garamond" w:eastAsia="Calibri" w:hAnsi="Garamond" w:cs="Calibri"/>
          <w:sz w:val="24"/>
          <w:szCs w:val="24"/>
          <w:lang w:eastAsia="pt-BR"/>
        </w:rPr>
        <w:t xml:space="preserve">, para fins de definição do montante do direito compensatório, na hipótese de aplicação concomitante de direito antidumping sobre o mesmo produto e origem investigada, a Subsecretaria de Defesa Comercial e Interesse Público apurará a diferença entre o montante de subsídios à exportação e o direito antidumping. </w:t>
      </w:r>
    </w:p>
    <w:p w14:paraId="590AE8C4" w14:textId="77777777" w:rsidR="00395593" w:rsidRPr="005C5CBD" w:rsidRDefault="00395593" w:rsidP="006A735F">
      <w:pPr>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3º  Do resultado do § 2º , a Subsecretaria de Defesa Comercial e Interesse Público poderá recomendar a aplicação do montante integral:</w:t>
      </w:r>
    </w:p>
    <w:p w14:paraId="12909EB8" w14:textId="77777777" w:rsidR="00395593" w:rsidRPr="005C5CBD" w:rsidRDefault="00395593" w:rsidP="006A735F">
      <w:pPr>
        <w:tabs>
          <w:tab w:val="left" w:pos="2600"/>
        </w:tabs>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 - do direito cuja vigência prevista se encerrará em momento posterior, no caso de se aplicar um direito antidumping ou direito compensatório referente ao subsídio à exportação quando já houver outra medida aplicada, redefinindo-se o valor do direito da outra medida de defesa comercial aplicada concomitantemente sobre o mesmo produto e origem e cujo vencimento dar-se-á primeiramente como equivalente à diferença entre os dois montantes, aplicando-se o resíduo caso o resultado seja positivo ou zerando-se o montante desse direito caso o resultado não seja positivo; ou</w:t>
      </w:r>
    </w:p>
    <w:p w14:paraId="5125A174" w14:textId="77777777" w:rsidR="00395593" w:rsidRPr="005C5CBD" w:rsidRDefault="00395593" w:rsidP="006A735F">
      <w:pPr>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II - do direito mais elevado entre as duas opções, seja o direito antidumping ou direito compensatório referente ao subsídio à exportação, redefinindo-se como equivalente a zero o valor do direito da outra medida de defesa comercial aplicada concomitantemente sobre o mesmo produto e origem.</w:t>
      </w:r>
    </w:p>
    <w:p w14:paraId="2BAFCA37" w14:textId="77777777" w:rsidR="00395593" w:rsidRPr="005C5CBD" w:rsidRDefault="00395593" w:rsidP="006A735F">
      <w:pPr>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4º Da comparação entre o montante de subsídios à exportação e o direito antidumping disposta no § 2º, a Subsecretaria de Defesa Comercial e Interesse Público, levará em consideração na sua recomendação de direito compensatório o montante referente aos subsídios à produção (domésticos).</w:t>
      </w:r>
    </w:p>
    <w:p w14:paraId="11ED691D" w14:textId="77777777" w:rsidR="00395593" w:rsidRPr="005C5CBD" w:rsidRDefault="00395593" w:rsidP="006A735F">
      <w:pPr>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Art. 120.</w:t>
      </w:r>
      <w:r w:rsidRPr="005C5CBD" w:rsidDel="00CB041D">
        <w:rPr>
          <w:rFonts w:ascii="Garamond" w:eastAsia="Calibri" w:hAnsi="Garamond" w:cs="Calibri"/>
          <w:sz w:val="24"/>
          <w:szCs w:val="24"/>
          <w:lang w:eastAsia="pt-BR"/>
        </w:rPr>
        <w:t xml:space="preserve"> </w:t>
      </w:r>
      <w:r w:rsidRPr="005C5CBD">
        <w:rPr>
          <w:rFonts w:ascii="Garamond" w:eastAsia="Calibri" w:hAnsi="Garamond" w:cs="Calibri"/>
          <w:sz w:val="24"/>
          <w:szCs w:val="24"/>
          <w:lang w:eastAsia="pt-BR"/>
        </w:rPr>
        <w:t>Na hipótese de investigação de subsídios acionáveis sobre o mesmo produto e origem</w:t>
      </w:r>
      <w:r w:rsidRPr="005C5CBD" w:rsidDel="00700084">
        <w:rPr>
          <w:rFonts w:ascii="Garamond" w:eastAsia="Calibri" w:hAnsi="Garamond" w:cs="Calibri"/>
          <w:sz w:val="24"/>
          <w:szCs w:val="24"/>
          <w:lang w:eastAsia="pt-BR"/>
        </w:rPr>
        <w:t xml:space="preserve"> </w:t>
      </w:r>
      <w:r w:rsidRPr="005C5CBD">
        <w:rPr>
          <w:rFonts w:ascii="Garamond" w:eastAsia="Calibri" w:hAnsi="Garamond" w:cs="Calibri"/>
          <w:sz w:val="24"/>
          <w:szCs w:val="24"/>
          <w:lang w:eastAsia="pt-BR"/>
        </w:rPr>
        <w:t xml:space="preserve">de uma investigação de dumping concomitante em que seja utilizada metodologia alternativa para apuração do valor normal que não os preços e custos do país exportador, quando não prevalecerem condições de economia de mercado no segmento produtivo investigado nos termos da legislação em vigor, a </w:t>
      </w:r>
      <w:r w:rsidRPr="005C5CBD">
        <w:rPr>
          <w:rFonts w:ascii="Garamond" w:eastAsia="Arial Unicode MS" w:hAnsi="Garamond" w:cs="Calibri"/>
          <w:sz w:val="24"/>
          <w:szCs w:val="24"/>
          <w:lang w:eastAsia="pt-BR"/>
        </w:rPr>
        <w:t xml:space="preserve">Subsecretaria de Defesa Comercial e Interesse Público deverá avaliar se os subsídios à produção são repassados ao preço de exportação, de modo a evitar que seja aplicado um duplo remédio para </w:t>
      </w:r>
      <w:r w:rsidRPr="005C5CBD">
        <w:rPr>
          <w:rFonts w:ascii="Garamond" w:eastAsia="Calibri" w:hAnsi="Garamond" w:cs="Calibri"/>
          <w:sz w:val="24"/>
          <w:szCs w:val="24"/>
          <w:lang w:eastAsia="pt-BR"/>
        </w:rPr>
        <w:t>compensar o efeito do mesmo subsídio à produção, via direito compensatório e via valor normal apurado por metodologia alternativa (</w:t>
      </w:r>
      <w:r w:rsidRPr="005C5CBD">
        <w:rPr>
          <w:rFonts w:ascii="Garamond" w:eastAsia="Calibri" w:hAnsi="Garamond" w:cs="Calibri"/>
          <w:b/>
          <w:sz w:val="24"/>
          <w:szCs w:val="24"/>
          <w:lang w:eastAsia="pt-BR"/>
        </w:rPr>
        <w:t>e.g.</w:t>
      </w:r>
      <w:r w:rsidRPr="005C5CBD">
        <w:rPr>
          <w:rFonts w:ascii="Garamond" w:eastAsia="Calibri" w:hAnsi="Garamond" w:cs="Calibri"/>
          <w:sz w:val="24"/>
          <w:szCs w:val="24"/>
          <w:lang w:eastAsia="pt-BR"/>
        </w:rPr>
        <w:t xml:space="preserve">, quando se adota um país substituto). </w:t>
      </w:r>
    </w:p>
    <w:p w14:paraId="5BE63BCD" w14:textId="77777777" w:rsidR="00395593" w:rsidRPr="005C5CBD" w:rsidRDefault="00395593" w:rsidP="006A735F">
      <w:pPr>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1º </w:t>
      </w:r>
      <w:r w:rsidRPr="005C5CBD" w:rsidDel="00853F11">
        <w:rPr>
          <w:rFonts w:ascii="Garamond" w:eastAsia="Calibri" w:hAnsi="Garamond" w:cs="Calibri"/>
          <w:sz w:val="24"/>
          <w:szCs w:val="24"/>
          <w:lang w:eastAsia="pt-BR"/>
        </w:rPr>
        <w:t xml:space="preserve"> </w:t>
      </w:r>
      <w:r w:rsidRPr="005C5CBD">
        <w:rPr>
          <w:rFonts w:ascii="Garamond" w:eastAsia="Calibri" w:hAnsi="Garamond" w:cs="Calibri"/>
          <w:sz w:val="24"/>
          <w:szCs w:val="24"/>
          <w:lang w:eastAsia="pt-BR"/>
        </w:rPr>
        <w:t xml:space="preserve">As informações necessárias para a avaliação prevista no </w:t>
      </w:r>
      <w:r w:rsidRPr="005C5CBD">
        <w:rPr>
          <w:rFonts w:ascii="Garamond" w:eastAsia="Calibri" w:hAnsi="Garamond" w:cs="Calibri"/>
          <w:b/>
          <w:bCs/>
          <w:sz w:val="24"/>
          <w:szCs w:val="24"/>
          <w:lang w:eastAsia="pt-BR"/>
        </w:rPr>
        <w:t>caput</w:t>
      </w:r>
      <w:r w:rsidRPr="005C5CBD">
        <w:rPr>
          <w:rFonts w:ascii="Garamond" w:eastAsia="Calibri" w:hAnsi="Garamond" w:cs="Calibri"/>
          <w:sz w:val="24"/>
          <w:szCs w:val="24"/>
          <w:lang w:eastAsia="pt-BR"/>
        </w:rPr>
        <w:t xml:space="preserve"> serão solicitadas, por meio do envio de questionário suplementar durante a fase probatória da investigação, às empresas selecionadas que responderam ao questionário do produtor ou exportador. </w:t>
      </w:r>
    </w:p>
    <w:p w14:paraId="2A90FF24" w14:textId="77777777" w:rsidR="00395593" w:rsidRPr="005C5CBD" w:rsidRDefault="00395593" w:rsidP="006A735F">
      <w:pPr>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2º  Aos produtores ou exportadores que apresentarem resposta voluntária ao questionário poderá também ser encaminhado questionário suplementar, nas hipóteses em que a </w:t>
      </w:r>
      <w:r w:rsidRPr="005C5CBD">
        <w:rPr>
          <w:rFonts w:ascii="Garamond" w:eastAsia="Arial Unicode MS" w:hAnsi="Garamond" w:cs="Calibri"/>
          <w:sz w:val="24"/>
          <w:szCs w:val="24"/>
          <w:lang w:eastAsia="pt-BR"/>
        </w:rPr>
        <w:t xml:space="preserve">Subsecretaria de Defesa Comercial e Interesse Público considere ter condições de </w:t>
      </w:r>
      <w:r w:rsidRPr="005C5CBD">
        <w:rPr>
          <w:rFonts w:ascii="Garamond" w:eastAsia="Calibri" w:hAnsi="Garamond" w:cs="Calibri"/>
          <w:sz w:val="24"/>
          <w:szCs w:val="24"/>
          <w:lang w:eastAsia="pt-BR"/>
        </w:rPr>
        <w:t>analisar casos individuais, nos termos dos §§ 5º e 6º do art. 21 do Decreto nº 10.839, de 2021.</w:t>
      </w:r>
    </w:p>
    <w:p w14:paraId="1798CF7D" w14:textId="77777777" w:rsidR="00395593" w:rsidRPr="005C5CBD" w:rsidRDefault="00395593" w:rsidP="006A735F">
      <w:pPr>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 3º  Não será encaminhado questionário suplementar ao produtor ou exportador que negue acesso à informação requerida no questionário, não a forneça tempestivamente ou crie obstáculos à investigação, nos termos do </w:t>
      </w:r>
      <w:r w:rsidRPr="005C5CBD">
        <w:rPr>
          <w:rFonts w:ascii="Garamond" w:eastAsia="Times New Roman" w:hAnsi="Garamond" w:cs="Calibri"/>
          <w:sz w:val="24"/>
          <w:szCs w:val="24"/>
          <w:lang w:eastAsia="pt-BR"/>
        </w:rPr>
        <w:t xml:space="preserve">§ 3º do </w:t>
      </w:r>
      <w:r w:rsidRPr="005C5CBD">
        <w:rPr>
          <w:rFonts w:ascii="Garamond" w:eastAsia="Calibri" w:hAnsi="Garamond" w:cs="Calibri"/>
          <w:sz w:val="24"/>
          <w:szCs w:val="24"/>
          <w:lang w:eastAsia="pt-BR"/>
        </w:rPr>
        <w:t xml:space="preserve">art. </w:t>
      </w:r>
      <w:r w:rsidRPr="005C5CBD">
        <w:rPr>
          <w:rFonts w:ascii="Garamond" w:eastAsia="Times New Roman" w:hAnsi="Garamond" w:cs="Calibri"/>
          <w:sz w:val="24"/>
          <w:szCs w:val="24"/>
          <w:lang w:eastAsia="pt-BR"/>
        </w:rPr>
        <w:t>46, c/c arts. 174 a 179 do Decreto nº 10.839, de 2021</w:t>
      </w:r>
      <w:r w:rsidRPr="005C5CBD">
        <w:rPr>
          <w:rFonts w:ascii="Garamond" w:eastAsia="Calibri" w:hAnsi="Garamond" w:cs="Calibri"/>
          <w:sz w:val="24"/>
          <w:szCs w:val="24"/>
          <w:lang w:eastAsia="pt-BR"/>
        </w:rPr>
        <w:t>.</w:t>
      </w:r>
    </w:p>
    <w:p w14:paraId="5C5CA5DB" w14:textId="77777777" w:rsidR="00395593" w:rsidRPr="005C5CBD" w:rsidRDefault="00395593" w:rsidP="006A735F">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Art. </w:t>
      </w:r>
      <w:r w:rsidRPr="005C5CBD">
        <w:rPr>
          <w:rFonts w:ascii="Garamond" w:eastAsia="Calibri" w:hAnsi="Garamond" w:cs="Calibri"/>
          <w:color w:val="000000"/>
          <w:sz w:val="24"/>
          <w:szCs w:val="24"/>
          <w:lang w:eastAsia="pt-BR"/>
        </w:rPr>
        <w:t>121.</w:t>
      </w:r>
      <w:r w:rsidRPr="005C5CBD" w:rsidDel="008F0AB1">
        <w:rPr>
          <w:rFonts w:ascii="Garamond" w:eastAsia="Times New Roman" w:hAnsi="Garamond" w:cs="Calibri"/>
          <w:color w:val="000000"/>
          <w:sz w:val="24"/>
          <w:szCs w:val="24"/>
          <w:lang w:eastAsia="pt-BR"/>
        </w:rPr>
        <w:t xml:space="preserve"> </w:t>
      </w:r>
      <w:r w:rsidRPr="005C5CBD">
        <w:rPr>
          <w:rFonts w:ascii="Garamond" w:eastAsia="Times New Roman" w:hAnsi="Garamond" w:cs="Calibri"/>
          <w:color w:val="000000"/>
          <w:sz w:val="24"/>
          <w:szCs w:val="24"/>
          <w:lang w:eastAsia="pt-BR"/>
        </w:rPr>
        <w:t xml:space="preserve"> É facultado ao peticionário a indicação da forma de aplicação do direito compensatório que considera mais apropriada para a eliminação dos efeitos danosos das importações do produto subsidiado.</w:t>
      </w:r>
    </w:p>
    <w:p w14:paraId="6953AC48" w14:textId="77777777" w:rsidR="00395593" w:rsidRPr="005C5CBD" w:rsidRDefault="00395593" w:rsidP="006A735F">
      <w:pPr>
        <w:spacing w:after="0" w:line="240" w:lineRule="auto"/>
        <w:ind w:firstLine="567"/>
        <w:jc w:val="both"/>
        <w:rPr>
          <w:rFonts w:ascii="Garamond" w:eastAsia="Times New Roman" w:hAnsi="Garamond" w:cs="Calibri"/>
          <w:color w:val="000000"/>
          <w:sz w:val="24"/>
          <w:szCs w:val="24"/>
          <w:lang w:eastAsia="pt-BR"/>
        </w:rPr>
      </w:pPr>
    </w:p>
    <w:p w14:paraId="4A052B4F" w14:textId="77777777" w:rsidR="00395593" w:rsidRPr="005C5CBD" w:rsidRDefault="00395593" w:rsidP="006A735F">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Parágrafo único. A indicação mencionada no </w:t>
      </w:r>
      <w:r w:rsidRPr="005C5CBD">
        <w:rPr>
          <w:rFonts w:ascii="Garamond" w:eastAsia="Times New Roman" w:hAnsi="Garamond" w:cs="Calibri"/>
          <w:b/>
          <w:color w:val="000000"/>
          <w:sz w:val="24"/>
          <w:szCs w:val="24"/>
          <w:lang w:eastAsia="pt-BR"/>
        </w:rPr>
        <w:t>caput</w:t>
      </w:r>
      <w:r w:rsidRPr="005C5CBD">
        <w:rPr>
          <w:rFonts w:ascii="Garamond" w:eastAsia="Times New Roman" w:hAnsi="Garamond" w:cs="Calibri"/>
          <w:color w:val="000000"/>
          <w:sz w:val="24"/>
          <w:szCs w:val="24"/>
          <w:lang w:eastAsia="pt-BR"/>
        </w:rPr>
        <w:t xml:space="preserve"> será submetida ao contraditório das demais partes interessadas ao longo do processo. </w:t>
      </w:r>
    </w:p>
    <w:p w14:paraId="435B57C8" w14:textId="77777777" w:rsidR="00395593" w:rsidRPr="005C5CBD" w:rsidRDefault="00395593" w:rsidP="00E15FBB">
      <w:pPr>
        <w:spacing w:after="0" w:line="240" w:lineRule="auto"/>
        <w:rPr>
          <w:rFonts w:ascii="Garamond" w:eastAsia="Calibri" w:hAnsi="Garamond" w:cs="Calibri"/>
          <w:b/>
          <w:sz w:val="24"/>
          <w:szCs w:val="24"/>
        </w:rPr>
      </w:pPr>
    </w:p>
    <w:p w14:paraId="22436495" w14:textId="77777777" w:rsidR="00395593" w:rsidRPr="005C5CBD" w:rsidRDefault="00395593" w:rsidP="00E15FBB">
      <w:pPr>
        <w:spacing w:after="0" w:line="240" w:lineRule="auto"/>
        <w:rPr>
          <w:rFonts w:ascii="Garamond" w:eastAsia="Calibri" w:hAnsi="Garamond" w:cs="Calibri"/>
          <w:b/>
          <w:sz w:val="24"/>
          <w:szCs w:val="24"/>
        </w:rPr>
      </w:pPr>
    </w:p>
    <w:p w14:paraId="0E766234" w14:textId="77777777" w:rsidR="00395593" w:rsidRPr="00F82DF9" w:rsidRDefault="00395593" w:rsidP="00EA0CC8">
      <w:pPr>
        <w:pStyle w:val="Corpodetexto"/>
        <w:jc w:val="center"/>
        <w:rPr>
          <w:rFonts w:ascii="Garamond" w:hAnsi="Garamond"/>
          <w:b/>
          <w:lang w:eastAsia="pt-BR"/>
        </w:rPr>
      </w:pPr>
      <w:r w:rsidRPr="00F82DF9">
        <w:rPr>
          <w:rFonts w:ascii="Garamond" w:hAnsi="Garamond"/>
          <w:b/>
          <w:lang w:eastAsia="pt-BR"/>
        </w:rPr>
        <w:t>CAPÍTULO III</w:t>
      </w:r>
    </w:p>
    <w:p w14:paraId="6EA20F99" w14:textId="77777777" w:rsidR="00395593" w:rsidRPr="00F82DF9" w:rsidRDefault="00395593" w:rsidP="00EA0CC8">
      <w:pPr>
        <w:pStyle w:val="Corpodetexto"/>
        <w:jc w:val="center"/>
        <w:rPr>
          <w:rFonts w:ascii="Garamond" w:hAnsi="Garamond"/>
          <w:b/>
          <w:lang w:eastAsia="pt-BR"/>
        </w:rPr>
      </w:pPr>
      <w:r w:rsidRPr="00F82DF9">
        <w:rPr>
          <w:rFonts w:ascii="Garamond" w:hAnsi="Garamond"/>
          <w:b/>
          <w:lang w:eastAsia="pt-BR"/>
        </w:rPr>
        <w:t>DAS PETIÇÕES DE INVESTIGAÇÃO ORIGINAL</w:t>
      </w:r>
    </w:p>
    <w:p w14:paraId="5A3D4EF3" w14:textId="77777777" w:rsidR="00395593" w:rsidRPr="00F82DF9" w:rsidRDefault="00395593" w:rsidP="00EA0CC8">
      <w:pPr>
        <w:pStyle w:val="Corpodetexto"/>
        <w:jc w:val="center"/>
        <w:rPr>
          <w:rFonts w:ascii="Garamond" w:eastAsia="Calibri" w:hAnsi="Garamond"/>
          <w:b/>
        </w:rPr>
      </w:pPr>
    </w:p>
    <w:p w14:paraId="7D0AAF8B" w14:textId="77777777" w:rsidR="00395593" w:rsidRPr="00F82DF9" w:rsidRDefault="00395593" w:rsidP="00EA0CC8">
      <w:pPr>
        <w:pStyle w:val="Corpodetexto"/>
        <w:jc w:val="center"/>
        <w:rPr>
          <w:rFonts w:ascii="Garamond" w:hAnsi="Garamond"/>
          <w:b/>
          <w:lang w:eastAsia="pt-BR"/>
        </w:rPr>
      </w:pPr>
      <w:r w:rsidRPr="00F82DF9">
        <w:rPr>
          <w:rFonts w:ascii="Garamond" w:hAnsi="Garamond"/>
          <w:b/>
          <w:lang w:eastAsia="pt-BR"/>
        </w:rPr>
        <w:t>Seção I</w:t>
      </w:r>
    </w:p>
    <w:p w14:paraId="1DFD5D96" w14:textId="77777777" w:rsidR="00395593" w:rsidRPr="00F82DF9" w:rsidRDefault="00395593" w:rsidP="00EA0CC8">
      <w:pPr>
        <w:pStyle w:val="Corpodetexto"/>
        <w:jc w:val="center"/>
        <w:rPr>
          <w:rFonts w:ascii="Garamond" w:hAnsi="Garamond"/>
          <w:b/>
          <w:lang w:eastAsia="pt-BR"/>
        </w:rPr>
      </w:pPr>
      <w:r w:rsidRPr="00F82DF9">
        <w:rPr>
          <w:rFonts w:ascii="Garamond" w:hAnsi="Garamond"/>
          <w:b/>
          <w:lang w:eastAsia="pt-BR"/>
        </w:rPr>
        <w:t>Das instruções gerais</w:t>
      </w:r>
    </w:p>
    <w:p w14:paraId="1BFC0129" w14:textId="77777777" w:rsidR="00395593" w:rsidRPr="005C5CBD" w:rsidRDefault="00395593" w:rsidP="00E15FBB">
      <w:pPr>
        <w:spacing w:after="0" w:line="240" w:lineRule="auto"/>
        <w:jc w:val="both"/>
        <w:rPr>
          <w:rFonts w:ascii="Garamond" w:eastAsia="Calibri" w:hAnsi="Garamond" w:cs="Calibri"/>
          <w:sz w:val="24"/>
          <w:szCs w:val="24"/>
        </w:rPr>
      </w:pPr>
    </w:p>
    <w:p w14:paraId="2DC5482E" w14:textId="77777777" w:rsidR="00395593" w:rsidRPr="005C5CBD" w:rsidRDefault="00395593" w:rsidP="006A735F">
      <w:pPr>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color w:val="000000"/>
          <w:sz w:val="24"/>
          <w:szCs w:val="24"/>
          <w:lang w:eastAsia="pt-BR"/>
        </w:rPr>
        <w:t xml:space="preserve">Art. </w:t>
      </w:r>
      <w:r w:rsidRPr="005C5CBD">
        <w:rPr>
          <w:rFonts w:ascii="Garamond" w:eastAsia="Calibri" w:hAnsi="Garamond" w:cs="Calibri"/>
          <w:color w:val="000000"/>
          <w:sz w:val="24"/>
          <w:szCs w:val="24"/>
          <w:lang w:eastAsia="pt-BR"/>
        </w:rPr>
        <w:t>122.</w:t>
      </w:r>
      <w:r w:rsidRPr="005C5CBD" w:rsidDel="008F0AB1">
        <w:rPr>
          <w:rFonts w:ascii="Garamond" w:eastAsia="Times New Roman" w:hAnsi="Garamond" w:cs="Calibri"/>
          <w:color w:val="000000"/>
          <w:sz w:val="24"/>
          <w:szCs w:val="24"/>
          <w:lang w:eastAsia="pt-BR"/>
        </w:rPr>
        <w:t xml:space="preserve"> </w:t>
      </w:r>
      <w:r w:rsidRPr="005C5CBD">
        <w:rPr>
          <w:rFonts w:ascii="Garamond" w:eastAsia="Times New Roman" w:hAnsi="Garamond" w:cs="Calibri"/>
          <w:sz w:val="24"/>
          <w:szCs w:val="24"/>
          <w:lang w:eastAsia="pt-BR"/>
        </w:rPr>
        <w:t xml:space="preserve">As petições de investigação original a que alude o art. 31 do Decreto nº 10.839, de 2021, para determinar a existência, o montante e o efeito do subsídio alegado deverão ser solicitadas pela indústria doméstica, ou em seu nome, e elaboradas utilizando-se exclusivamente do formato presente neste Capítulo. </w:t>
      </w:r>
    </w:p>
    <w:p w14:paraId="046ECEBA" w14:textId="77777777" w:rsidR="00395593" w:rsidRPr="005C5CBD" w:rsidRDefault="00395593" w:rsidP="006A735F">
      <w:pPr>
        <w:autoSpaceDE w:val="0"/>
        <w:autoSpaceDN w:val="0"/>
        <w:adjustRightInd w:val="0"/>
        <w:spacing w:after="0" w:line="240" w:lineRule="auto"/>
        <w:ind w:firstLine="567"/>
        <w:rPr>
          <w:rFonts w:ascii="Garamond" w:eastAsia="Times New Roman" w:hAnsi="Garamond" w:cs="Calibri"/>
          <w:sz w:val="24"/>
          <w:szCs w:val="24"/>
          <w:lang w:eastAsia="pt-BR"/>
        </w:rPr>
      </w:pPr>
    </w:p>
    <w:p w14:paraId="29FD6A06" w14:textId="77777777" w:rsidR="00395593" w:rsidRPr="005C5CBD" w:rsidRDefault="00395593" w:rsidP="006A735F">
      <w:pPr>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123. A petição de investigação original deverá conter indícios</w:t>
      </w:r>
      <w:r w:rsidRPr="005C5CBD">
        <w:rPr>
          <w:rFonts w:ascii="Garamond" w:eastAsia="Times New Roman" w:hAnsi="Garamond" w:cs="Calibri"/>
          <w:color w:val="000000"/>
          <w:sz w:val="24"/>
          <w:szCs w:val="24"/>
          <w:lang w:eastAsia="pt-BR"/>
        </w:rPr>
        <w:t>, observado o disposto no art. 6º</w:t>
      </w:r>
      <w:r w:rsidRPr="005C5CBD">
        <w:rPr>
          <w:rFonts w:ascii="Garamond" w:eastAsia="Times New Roman" w:hAnsi="Garamond" w:cs="Calibri"/>
          <w:sz w:val="24"/>
          <w:szCs w:val="24"/>
          <w:lang w:eastAsia="pt-BR"/>
        </w:rPr>
        <w:t>:</w:t>
      </w:r>
    </w:p>
    <w:p w14:paraId="79D92159" w14:textId="77777777" w:rsidR="00395593" w:rsidRPr="005C5CBD" w:rsidRDefault="00395593" w:rsidP="006A735F">
      <w:pPr>
        <w:spacing w:after="0" w:line="240" w:lineRule="auto"/>
        <w:ind w:firstLine="567"/>
        <w:jc w:val="both"/>
        <w:rPr>
          <w:rFonts w:ascii="Garamond" w:eastAsia="Calibri" w:hAnsi="Garamond" w:cs="Calibri"/>
          <w:sz w:val="24"/>
          <w:szCs w:val="24"/>
        </w:rPr>
      </w:pPr>
    </w:p>
    <w:p w14:paraId="19E143E1"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 - da existência de subsídios e, se possível, seu montante; </w:t>
      </w:r>
    </w:p>
    <w:p w14:paraId="71F5BB9E" w14:textId="77777777" w:rsidR="00395593" w:rsidRPr="005C5CBD" w:rsidRDefault="00395593" w:rsidP="006A735F">
      <w:pPr>
        <w:spacing w:after="0" w:line="240" w:lineRule="auto"/>
        <w:ind w:left="720" w:firstLine="567"/>
        <w:jc w:val="both"/>
        <w:rPr>
          <w:rFonts w:ascii="Garamond" w:eastAsia="Calibri" w:hAnsi="Garamond" w:cs="Calibri"/>
          <w:sz w:val="24"/>
          <w:szCs w:val="24"/>
        </w:rPr>
      </w:pPr>
    </w:p>
    <w:p w14:paraId="7B2B9508"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 - de dano à indústria doméstica; e </w:t>
      </w:r>
    </w:p>
    <w:p w14:paraId="52013ED4" w14:textId="77777777" w:rsidR="00395593" w:rsidRPr="005C5CBD" w:rsidRDefault="00395593" w:rsidP="006A735F">
      <w:pPr>
        <w:spacing w:after="0" w:line="240" w:lineRule="auto"/>
        <w:ind w:firstLine="567"/>
        <w:jc w:val="both"/>
        <w:rPr>
          <w:rFonts w:ascii="Garamond" w:eastAsia="Calibri" w:hAnsi="Garamond" w:cs="Calibri"/>
          <w:sz w:val="24"/>
          <w:szCs w:val="24"/>
        </w:rPr>
      </w:pPr>
    </w:p>
    <w:p w14:paraId="14D42CA6"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III - de nexo de causalidade entre as importações subsidiadas e o dano à indústria doméstica. </w:t>
      </w:r>
    </w:p>
    <w:p w14:paraId="2AC1A9C8" w14:textId="77777777" w:rsidR="00395593" w:rsidRPr="005C5CBD" w:rsidRDefault="00395593" w:rsidP="00E15FBB">
      <w:pPr>
        <w:spacing w:after="0" w:line="240" w:lineRule="auto"/>
        <w:jc w:val="both"/>
        <w:rPr>
          <w:rFonts w:ascii="Garamond" w:eastAsia="Calibri" w:hAnsi="Garamond" w:cs="Calibri"/>
          <w:sz w:val="24"/>
          <w:szCs w:val="24"/>
        </w:rPr>
      </w:pPr>
    </w:p>
    <w:p w14:paraId="629B3073"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Art. 124.  O peticionário deverá observar o disposto no art. 5º acerca das fontes de informação aceitas para fins de instrução da petição. </w:t>
      </w:r>
    </w:p>
    <w:p w14:paraId="769EA0F6" w14:textId="77777777" w:rsidR="00395593" w:rsidRPr="005C5CBD" w:rsidRDefault="00395593" w:rsidP="006A735F">
      <w:pPr>
        <w:spacing w:after="0" w:line="240" w:lineRule="auto"/>
        <w:ind w:firstLine="567"/>
        <w:jc w:val="both"/>
        <w:rPr>
          <w:rFonts w:ascii="Garamond" w:eastAsia="Times New Roman" w:hAnsi="Garamond" w:cs="Calibri"/>
          <w:sz w:val="24"/>
          <w:szCs w:val="24"/>
          <w:lang w:eastAsia="pt-BR"/>
        </w:rPr>
      </w:pPr>
    </w:p>
    <w:p w14:paraId="3E9200DE" w14:textId="77777777" w:rsidR="00395593" w:rsidRPr="005C5CBD" w:rsidRDefault="00395593" w:rsidP="006A735F">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125.</w:t>
      </w:r>
      <w:r w:rsidRPr="005C5CBD">
        <w:rPr>
          <w:rFonts w:ascii="Garamond" w:eastAsia="Calibri" w:hAnsi="Garamond" w:cs="Calibri"/>
          <w:sz w:val="24"/>
          <w:szCs w:val="24"/>
        </w:rPr>
        <w:t xml:space="preserve"> No caso de indústrias fragmentadas, conforme previsto no art. 2º do Decreto nº 9.107, de 26 de julho de 2017, as petições de investigação original deverão observar o disposto na Seção XIII deste Capítulo.  </w:t>
      </w:r>
    </w:p>
    <w:p w14:paraId="02381619" w14:textId="77777777" w:rsidR="00395593" w:rsidRPr="005C5CBD" w:rsidRDefault="00395593" w:rsidP="006A735F">
      <w:pPr>
        <w:spacing w:before="100" w:beforeAutospacing="1" w:after="100" w:afterAutospacing="1" w:line="240" w:lineRule="auto"/>
        <w:ind w:firstLine="567"/>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Considera-se indústria fragmentada aquela que envolve número elevado de produtores domésticos. </w:t>
      </w:r>
    </w:p>
    <w:p w14:paraId="3CB48191" w14:textId="77777777" w:rsidR="00395593" w:rsidRPr="005C5CBD" w:rsidRDefault="00395593" w:rsidP="006A735F">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Para usufruir de prazos específicos definidos pela Subsecretaria de Defesa Comercial e Interesse Público, conforme previsto no art. 1º do Decreto nº 9.107, de 2017, apenas serão conhecidas petições apresentadas por indústrias fragmentadas, ou em seu nome, cuja habilitação tenha sido deferida pela Subsecretaria de Defesa Comercial e Interesse Público previamente ao protocolo da petição de investigação original de subsídios, em conformidade com o previsto no § 2º do art. 1º do Decreto nº 9.107, de 2017, e com o estabelecido em ato específico da Secretaria de Comércio Exterior. </w:t>
      </w:r>
    </w:p>
    <w:p w14:paraId="73DB7243" w14:textId="77777777" w:rsidR="00395593" w:rsidRPr="005C5CBD" w:rsidRDefault="00395593" w:rsidP="006A735F">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3</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Caso não tenha sido solicitada habilitação como indústria fragmentada ou a solicitação de habilitação tenha sido indeferida pela Subsecretaria de Defesa Comercial e Interesse Público, a petição de investigação original de subsídios deverá ser elaborada utilizando-se exclusivamente do formato presente na Seção XII deste Capítulo, considerando a totalidade das planilhas disponibilizadas no sítio eletrônico deste Ministério. </w:t>
      </w:r>
    </w:p>
    <w:p w14:paraId="44BB7C56" w14:textId="77777777" w:rsidR="00395593" w:rsidRPr="00F82DF9" w:rsidRDefault="00395593" w:rsidP="00EA0CC8">
      <w:pPr>
        <w:pStyle w:val="Corpodetexto"/>
        <w:jc w:val="center"/>
        <w:rPr>
          <w:rFonts w:ascii="Garamond" w:hAnsi="Garamond"/>
          <w:b/>
          <w:lang w:eastAsia="pt-BR"/>
        </w:rPr>
      </w:pPr>
      <w:r w:rsidRPr="00F82DF9">
        <w:rPr>
          <w:rFonts w:ascii="Garamond" w:hAnsi="Garamond"/>
          <w:b/>
          <w:lang w:eastAsia="pt-BR"/>
        </w:rPr>
        <w:t>Seção II</w:t>
      </w:r>
    </w:p>
    <w:p w14:paraId="679DBCCA" w14:textId="77777777" w:rsidR="00395593" w:rsidRPr="005C5CBD" w:rsidRDefault="00395593" w:rsidP="00EA0CC8">
      <w:pPr>
        <w:pStyle w:val="Corpodetexto"/>
        <w:jc w:val="center"/>
        <w:rPr>
          <w:lang w:eastAsia="pt-BR"/>
        </w:rPr>
      </w:pPr>
      <w:r w:rsidRPr="00F82DF9">
        <w:rPr>
          <w:rFonts w:ascii="Garamond" w:hAnsi="Garamond"/>
          <w:b/>
          <w:lang w:eastAsia="pt-BR"/>
        </w:rPr>
        <w:t>Do período de investigação de subsídios e do período de investigação de dano</w:t>
      </w:r>
    </w:p>
    <w:p w14:paraId="29609183"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78BB194A"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126. O período de investigação de existência de subsídio compreenderá 12 (doze) meses, preferencialmente encerrados em março, junho, setembro ou dezembro.</w:t>
      </w:r>
    </w:p>
    <w:p w14:paraId="3CC62FC2" w14:textId="77777777" w:rsidR="00395593" w:rsidRPr="005C5CBD" w:rsidRDefault="00395593" w:rsidP="00D11385">
      <w:pPr>
        <w:spacing w:before="300" w:after="30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O período de investigação de existência de subsídio poderá coincidir com o ano fiscal mais recentemente encerrado e para o qual estejam disponíveis dados financeiros consolidados e outros dados contábeis confiáveis no país exportador.</w:t>
      </w:r>
    </w:p>
    <w:p w14:paraId="1A22F354"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color w:val="000000"/>
          <w:sz w:val="24"/>
          <w:szCs w:val="24"/>
          <w:lang w:eastAsia="pt-BR"/>
        </w:rPr>
        <w:t xml:space="preserve">§ 2º  </w:t>
      </w:r>
      <w:r w:rsidRPr="005C5CBD">
        <w:rPr>
          <w:rFonts w:ascii="Garamond" w:eastAsia="Times New Roman" w:hAnsi="Garamond" w:cs="Calibri"/>
          <w:sz w:val="24"/>
          <w:szCs w:val="24"/>
          <w:lang w:eastAsia="pt-BR"/>
        </w:rPr>
        <w:t>Em circunstâncias excepcionais, devidamente justificadas, o período de investigação de existência de subsídio poderá ser inferior a doze meses, mas nunca inferior a seis meses.</w:t>
      </w:r>
    </w:p>
    <w:p w14:paraId="49DDACCA" w14:textId="77777777" w:rsidR="00395593" w:rsidRPr="005C5CBD" w:rsidRDefault="00395593" w:rsidP="00D11385">
      <w:pPr>
        <w:spacing w:before="300" w:after="30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127.</w:t>
      </w:r>
      <w:r w:rsidRPr="005C5CBD" w:rsidDel="00B9775C">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 xml:space="preserve">O período de investigação de dano compreenderá 60 (sessenta) meses, divididos em cinco intervalos de 12 (doze) meses, preferencialmente encerrados em março, junho, setembro ou dezembro, sendo que o intervalo mais recente deverá, preferencialmente, coincidir com o período de investigação de existência de subsídio, e os outros quatro intervalos compreenderão sucessivamente os doze meses anteriores aos primeiros. </w:t>
      </w:r>
    </w:p>
    <w:p w14:paraId="583AA1F7" w14:textId="77777777" w:rsidR="00395593" w:rsidRPr="005C5CBD" w:rsidRDefault="00395593" w:rsidP="00D11385">
      <w:pPr>
        <w:spacing w:before="300" w:after="30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O peticionário terá até o último dia útil do quarto mês subsequente ao encerramento do período de investigação de dano para protocolar a petição.</w:t>
      </w:r>
    </w:p>
    <w:p w14:paraId="5C645FBD" w14:textId="77777777" w:rsidR="00395593" w:rsidRPr="005C5CBD" w:rsidRDefault="00395593" w:rsidP="00D11385">
      <w:pPr>
        <w:spacing w:before="300" w:after="30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w:t>
      </w:r>
      <w:r w:rsidRPr="005C5CBD">
        <w:rPr>
          <w:rFonts w:ascii="Garamond" w:eastAsia="Times New Roman" w:hAnsi="Garamond" w:cs="Calibri"/>
          <w:strike/>
          <w:sz w:val="24"/>
          <w:szCs w:val="24"/>
          <w:lang w:eastAsia="pt-BR"/>
        </w:rPr>
        <w:t>º</w:t>
      </w:r>
      <w:r w:rsidRPr="005C5CBD">
        <w:rPr>
          <w:rFonts w:ascii="Garamond" w:eastAsia="Times New Roman" w:hAnsi="Garamond" w:cs="Calibri"/>
          <w:color w:val="000000"/>
          <w:sz w:val="24"/>
          <w:szCs w:val="24"/>
          <w:lang w:eastAsia="pt-BR"/>
        </w:rPr>
        <w:t xml:space="preserve">  </w:t>
      </w:r>
      <w:r w:rsidRPr="005C5CBD">
        <w:rPr>
          <w:rFonts w:ascii="Garamond" w:eastAsia="Times New Roman" w:hAnsi="Garamond" w:cs="Calibri"/>
          <w:sz w:val="24"/>
          <w:szCs w:val="24"/>
          <w:lang w:eastAsia="pt-BR"/>
        </w:rPr>
        <w:t>Em circunstâncias excepcionais, devidamente justificadas, o período de investigação de dano poderá ser inferior a sessenta meses, mas nunca inferior a trinta e seis meses.</w:t>
      </w:r>
    </w:p>
    <w:p w14:paraId="11B9BBCA" w14:textId="77777777" w:rsidR="00395593" w:rsidRPr="005C5CBD" w:rsidRDefault="00395593" w:rsidP="00D11385">
      <w:pPr>
        <w:spacing w:before="300" w:after="30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3</w:t>
      </w:r>
      <w:r w:rsidRPr="005C5CBD">
        <w:rPr>
          <w:rFonts w:ascii="Garamond" w:eastAsia="Times New Roman" w:hAnsi="Garamond" w:cs="Calibri"/>
          <w:strike/>
          <w:sz w:val="24"/>
          <w:szCs w:val="24"/>
          <w:lang w:eastAsia="pt-BR"/>
        </w:rPr>
        <w:t>º</w:t>
      </w:r>
      <w:r w:rsidRPr="005C5CBD">
        <w:rPr>
          <w:rFonts w:ascii="Garamond" w:eastAsia="Times New Roman" w:hAnsi="Garamond" w:cs="Calibri"/>
          <w:color w:val="000000"/>
          <w:sz w:val="24"/>
          <w:szCs w:val="24"/>
          <w:lang w:eastAsia="pt-BR"/>
        </w:rPr>
        <w:t xml:space="preserve">  </w:t>
      </w:r>
      <w:r w:rsidRPr="005C5CBD">
        <w:rPr>
          <w:rFonts w:ascii="Garamond" w:eastAsia="Times New Roman" w:hAnsi="Garamond" w:cs="Calibri"/>
          <w:sz w:val="24"/>
          <w:szCs w:val="24"/>
          <w:lang w:eastAsia="pt-BR"/>
        </w:rPr>
        <w:t>O período de investigação de dano incluirá necessariamente o período de investigação da existência de subsídio.</w:t>
      </w:r>
    </w:p>
    <w:p w14:paraId="1D65FDF7" w14:textId="04C0AF3F" w:rsidR="00395593" w:rsidRPr="005C5CBD" w:rsidRDefault="00395593" w:rsidP="00D11385">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128.</w:t>
      </w:r>
      <w:r w:rsidRPr="005C5CBD">
        <w:rPr>
          <w:rFonts w:ascii="Garamond" w:eastAsia="Calibri" w:hAnsi="Garamond" w:cs="Calibri"/>
          <w:sz w:val="24"/>
          <w:szCs w:val="24"/>
        </w:rPr>
        <w:t xml:space="preserve"> Os períodos considerados para fins dos arts. </w:t>
      </w:r>
      <w:r w:rsidR="00701DA1">
        <w:rPr>
          <w:rFonts w:ascii="Garamond" w:eastAsia="Calibri" w:hAnsi="Garamond" w:cs="Calibri"/>
          <w:sz w:val="24"/>
          <w:szCs w:val="24"/>
        </w:rPr>
        <w:t>126</w:t>
      </w:r>
      <w:r w:rsidR="00E15FBB" w:rsidRPr="005C5CBD">
        <w:rPr>
          <w:rFonts w:ascii="Garamond" w:eastAsia="Calibri" w:hAnsi="Garamond" w:cs="Calibri"/>
          <w:sz w:val="24"/>
          <w:szCs w:val="24"/>
        </w:rPr>
        <w:t xml:space="preserve"> e </w:t>
      </w:r>
      <w:r w:rsidR="00701DA1">
        <w:rPr>
          <w:rFonts w:ascii="Garamond" w:eastAsia="Calibri" w:hAnsi="Garamond" w:cs="Calibri"/>
          <w:sz w:val="24"/>
          <w:szCs w:val="24"/>
        </w:rPr>
        <w:t>127</w:t>
      </w:r>
      <w:r w:rsidRPr="005C5CBD" w:rsidDel="003C6D07">
        <w:rPr>
          <w:rFonts w:ascii="Garamond" w:eastAsia="Calibri" w:hAnsi="Garamond" w:cs="Calibri"/>
          <w:sz w:val="24"/>
          <w:szCs w:val="24"/>
        </w:rPr>
        <w:t xml:space="preserve"> </w:t>
      </w:r>
      <w:r w:rsidRPr="005C5CBD">
        <w:rPr>
          <w:rFonts w:ascii="Garamond" w:eastAsia="Calibri" w:hAnsi="Garamond" w:cs="Calibri"/>
          <w:sz w:val="24"/>
          <w:szCs w:val="24"/>
        </w:rPr>
        <w:t>deverão ser indicados na petição.</w:t>
      </w:r>
    </w:p>
    <w:p w14:paraId="6CCCAE71" w14:textId="77777777" w:rsidR="00395593" w:rsidRPr="005C5CBD" w:rsidRDefault="00395593" w:rsidP="00D11385">
      <w:pPr>
        <w:spacing w:after="0" w:line="240" w:lineRule="auto"/>
        <w:ind w:firstLine="567"/>
        <w:jc w:val="both"/>
        <w:rPr>
          <w:rFonts w:ascii="Garamond" w:eastAsia="Times New Roman" w:hAnsi="Garamond" w:cs="Calibri"/>
          <w:color w:val="000000"/>
          <w:sz w:val="24"/>
          <w:szCs w:val="24"/>
          <w:lang w:eastAsia="pt-BR"/>
        </w:rPr>
      </w:pPr>
    </w:p>
    <w:p w14:paraId="034D0A5C"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sidDel="00970562">
        <w:rPr>
          <w:rFonts w:ascii="Garamond" w:eastAsia="Times New Roman" w:hAnsi="Garamond" w:cs="Calibri"/>
          <w:color w:val="000000"/>
          <w:sz w:val="24"/>
          <w:szCs w:val="24"/>
          <w:lang w:eastAsia="pt-BR"/>
        </w:rPr>
        <w:t>Parágrafo único</w:t>
      </w:r>
      <w:r w:rsidRPr="005C5CBD" w:rsidDel="00970562">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 xml:space="preserve"> </w:t>
      </w:r>
      <w:r w:rsidRPr="005C5CBD" w:rsidDel="00970562">
        <w:rPr>
          <w:rFonts w:ascii="Garamond" w:eastAsia="Times New Roman" w:hAnsi="Garamond" w:cs="Calibri"/>
          <w:sz w:val="24"/>
          <w:szCs w:val="24"/>
          <w:lang w:eastAsia="pt-BR"/>
        </w:rPr>
        <w:t xml:space="preserve">O peticionário que apresentar petição </w:t>
      </w:r>
      <w:r w:rsidRPr="005C5CBD">
        <w:rPr>
          <w:rFonts w:ascii="Garamond" w:eastAsia="Times New Roman" w:hAnsi="Garamond" w:cs="Calibri"/>
          <w:sz w:val="24"/>
          <w:szCs w:val="24"/>
          <w:lang w:eastAsia="pt-BR"/>
        </w:rPr>
        <w:t>intempestiva, ou que não contemple o</w:t>
      </w:r>
      <w:r w:rsidRPr="005C5CBD" w:rsidDel="00970562">
        <w:rPr>
          <w:rFonts w:ascii="Garamond" w:eastAsia="Times New Roman" w:hAnsi="Garamond" w:cs="Calibri"/>
          <w:sz w:val="24"/>
          <w:szCs w:val="24"/>
          <w:lang w:eastAsia="pt-BR"/>
        </w:rPr>
        <w:t xml:space="preserve">s </w:t>
      </w:r>
      <w:r w:rsidRPr="005C5CBD">
        <w:rPr>
          <w:rFonts w:ascii="Garamond" w:eastAsia="Times New Roman" w:hAnsi="Garamond" w:cs="Calibri"/>
          <w:sz w:val="24"/>
          <w:szCs w:val="24"/>
          <w:lang w:eastAsia="pt-BR"/>
        </w:rPr>
        <w:t xml:space="preserve">períodos </w:t>
      </w:r>
      <w:r w:rsidRPr="005C5CBD" w:rsidDel="00970562">
        <w:rPr>
          <w:rFonts w:ascii="Garamond" w:eastAsia="Times New Roman" w:hAnsi="Garamond" w:cs="Calibri"/>
          <w:sz w:val="24"/>
          <w:szCs w:val="24"/>
          <w:lang w:eastAsia="pt-BR"/>
        </w:rPr>
        <w:t>mencionados nesta</w:t>
      </w:r>
      <w:r w:rsidRPr="005C5CBD" w:rsidDel="00970562">
        <w:rPr>
          <w:rFonts w:ascii="Garamond" w:eastAsia="Times New Roman" w:hAnsi="Garamond" w:cs="Calibri"/>
          <w:b/>
          <w:sz w:val="24"/>
          <w:szCs w:val="24"/>
          <w:lang w:eastAsia="pt-BR"/>
        </w:rPr>
        <w:t xml:space="preserve"> </w:t>
      </w:r>
      <w:r w:rsidRPr="005C5CBD">
        <w:rPr>
          <w:rFonts w:ascii="Garamond" w:eastAsia="Times New Roman" w:hAnsi="Garamond" w:cs="Calibri"/>
          <w:sz w:val="24"/>
          <w:szCs w:val="24"/>
          <w:lang w:eastAsia="pt-BR"/>
        </w:rPr>
        <w:t>S</w:t>
      </w:r>
      <w:r w:rsidRPr="005C5CBD" w:rsidDel="00970562">
        <w:rPr>
          <w:rFonts w:ascii="Garamond" w:eastAsia="Times New Roman" w:hAnsi="Garamond" w:cs="Calibri"/>
          <w:sz w:val="24"/>
          <w:szCs w:val="24"/>
          <w:lang w:eastAsia="pt-BR"/>
        </w:rPr>
        <w:t>eção</w:t>
      </w:r>
      <w:r w:rsidRPr="005C5CBD">
        <w:rPr>
          <w:rFonts w:ascii="Garamond" w:eastAsia="Times New Roman" w:hAnsi="Garamond" w:cs="Calibri"/>
          <w:sz w:val="24"/>
          <w:szCs w:val="24"/>
          <w:lang w:eastAsia="pt-BR"/>
        </w:rPr>
        <w:t>,</w:t>
      </w:r>
      <w:r w:rsidRPr="005C5CBD" w:rsidDel="00970562">
        <w:rPr>
          <w:rFonts w:ascii="Garamond" w:eastAsia="Times New Roman" w:hAnsi="Garamond" w:cs="Calibri"/>
          <w:sz w:val="24"/>
          <w:szCs w:val="24"/>
          <w:lang w:eastAsia="pt-BR"/>
        </w:rPr>
        <w:t xml:space="preserve"> terá sua petição indeferida, sendo-lhe facultado submeter nova petição com os períodos de investigação atualizados.</w:t>
      </w:r>
    </w:p>
    <w:p w14:paraId="3D930EB7" w14:textId="77777777" w:rsidR="00395593" w:rsidRPr="005C5CBD" w:rsidRDefault="00395593" w:rsidP="00E15FBB">
      <w:pPr>
        <w:spacing w:after="0" w:line="240" w:lineRule="auto"/>
        <w:ind w:left="708" w:hanging="708"/>
        <w:jc w:val="both"/>
        <w:rPr>
          <w:rFonts w:ascii="Garamond" w:eastAsia="Calibri" w:hAnsi="Garamond" w:cs="Calibri"/>
          <w:sz w:val="24"/>
          <w:szCs w:val="24"/>
        </w:rPr>
      </w:pPr>
    </w:p>
    <w:p w14:paraId="4DA84B2A" w14:textId="77777777" w:rsidR="00395593" w:rsidRPr="0020569B" w:rsidRDefault="00395593" w:rsidP="00EA0CC8">
      <w:pPr>
        <w:pStyle w:val="Corpodetexto"/>
        <w:jc w:val="center"/>
        <w:rPr>
          <w:rFonts w:ascii="Garamond" w:hAnsi="Garamond"/>
          <w:b/>
          <w:lang w:eastAsia="pt-BR"/>
        </w:rPr>
      </w:pPr>
      <w:r w:rsidRPr="0020569B">
        <w:rPr>
          <w:rFonts w:ascii="Garamond" w:hAnsi="Garamond"/>
          <w:b/>
          <w:lang w:eastAsia="pt-BR"/>
        </w:rPr>
        <w:t>Seção III</w:t>
      </w:r>
    </w:p>
    <w:p w14:paraId="4C585C14" w14:textId="3FDB692C" w:rsidR="00395593" w:rsidRPr="0020569B" w:rsidRDefault="00395593" w:rsidP="00EA0CC8">
      <w:pPr>
        <w:pStyle w:val="Corpodetexto"/>
        <w:jc w:val="center"/>
        <w:rPr>
          <w:rFonts w:ascii="Garamond" w:hAnsi="Garamond"/>
          <w:b/>
          <w:lang w:eastAsia="pt-BR"/>
        </w:rPr>
      </w:pPr>
      <w:r w:rsidRPr="0020569B">
        <w:rPr>
          <w:rFonts w:ascii="Garamond" w:hAnsi="Garamond"/>
          <w:b/>
          <w:lang w:eastAsia="pt-BR"/>
        </w:rPr>
        <w:t>Do produto objeto da investigação</w:t>
      </w:r>
    </w:p>
    <w:p w14:paraId="74D15297" w14:textId="77777777" w:rsidR="00395593" w:rsidRPr="005C5CBD" w:rsidRDefault="00395593" w:rsidP="00E15FBB">
      <w:pPr>
        <w:spacing w:after="0" w:line="240" w:lineRule="auto"/>
        <w:jc w:val="both"/>
        <w:rPr>
          <w:rFonts w:ascii="Garamond" w:eastAsia="Calibri" w:hAnsi="Garamond" w:cs="Calibri"/>
          <w:sz w:val="24"/>
          <w:szCs w:val="24"/>
        </w:rPr>
      </w:pPr>
    </w:p>
    <w:p w14:paraId="1D5A5734"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129. O</w:t>
      </w:r>
      <w:r w:rsidRPr="005C5CBD" w:rsidDel="00A360D2">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produto objeto da investigação deverá ser descrito pormenorizadamente, especificando-se, conforme se aplique:</w:t>
      </w:r>
    </w:p>
    <w:p w14:paraId="2DD0328B"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272FD15E"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 - matérias-primas; </w:t>
      </w:r>
    </w:p>
    <w:p w14:paraId="707FD8F0"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73B26E90"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 - composição química; </w:t>
      </w:r>
    </w:p>
    <w:p w14:paraId="1F48826D"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3BC049AB"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características físicas, incluindo</w:t>
      </w:r>
      <w:r w:rsidRPr="005C5CBD" w:rsidDel="00A45832">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forma de apresentação, dimensão, capacidade,</w:t>
      </w:r>
      <w:r w:rsidRPr="005C5CBD" w:rsidDel="00993D30">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 xml:space="preserve">potência e modelo;  </w:t>
      </w:r>
    </w:p>
    <w:p w14:paraId="5AD6F631"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03AFA42D"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usos e aplicações; e</w:t>
      </w:r>
    </w:p>
    <w:p w14:paraId="0439F4D2"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3E71BEAE"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V - canais de distribuição. </w:t>
      </w:r>
    </w:p>
    <w:p w14:paraId="2CAD015D"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041A12B2"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O peticionário deverá informar outras características consideradas relevantes com vistas à identificação do produto objeto da investigação.</w:t>
      </w:r>
    </w:p>
    <w:p w14:paraId="774BFC32"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3916F995"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130. O</w:t>
      </w:r>
      <w:r w:rsidRPr="005C5CBD" w:rsidDel="008D4641">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 xml:space="preserve">processo produtivo no país em questão deverá ser descrito detalhadamente. </w:t>
      </w:r>
    </w:p>
    <w:p w14:paraId="4171A6DD"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401B4F0A"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Caso haja mais de uma rota de produção, tal circunstância deverá ser esclarecida e, se possível, deverá ser especificada a rota utilizada por cada empresa produtora estrangeira.</w:t>
      </w:r>
    </w:p>
    <w:p w14:paraId="72B41BE7"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029F74FE"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131. Os itens da Nomenclatura Comum do MERCOSUL (NCM) em que se classifica o produto objeto da investigação deverão ser informados.</w:t>
      </w:r>
    </w:p>
    <w:p w14:paraId="3A57E25B"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58938BBC"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1º  O peticionário deverá esclarecer se a definição do produto objeto da investigação corresponde à descrição do item da NCM em que este se classifica. </w:t>
      </w:r>
    </w:p>
    <w:p w14:paraId="2F649180"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402EAC0C"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O peticionário deverá esclarecer se, no referido item da NCM, também são classificados outros produtos além do produto objeto da investigação e deverá fornecer elementos que permitam identificá-los.</w:t>
      </w:r>
    </w:p>
    <w:p w14:paraId="598B2C50"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4B2FDEBD"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3º  Caso haja</w:t>
      </w:r>
      <w:r w:rsidRPr="005C5CBD" w:rsidDel="0012631F">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razão para supor que o produto objeto da investigação vem sendo importado mediante classificação em outro item da NCM, o peticionário deverá esclarecer tal circunstância.</w:t>
      </w:r>
    </w:p>
    <w:p w14:paraId="0680E529"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19E409F9" w14:textId="77777777" w:rsidR="00395593" w:rsidRPr="005C5CBD" w:rsidRDefault="00395593" w:rsidP="00D11385">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sz w:val="24"/>
          <w:szCs w:val="24"/>
          <w:lang w:eastAsia="pt-BR"/>
        </w:rPr>
        <w:t>§ 4º</w:t>
      </w:r>
      <w:r w:rsidRPr="005C5CBD">
        <w:rPr>
          <w:rFonts w:ascii="Garamond" w:eastAsia="Times New Roman" w:hAnsi="Garamond" w:cs="Calibri"/>
          <w:color w:val="000000"/>
          <w:sz w:val="24"/>
          <w:szCs w:val="24"/>
          <w:lang w:eastAsia="pt-BR"/>
        </w:rPr>
        <w:t xml:space="preserve">  A petição deverá indicar o tratamento tarifário aplicável aos itens referidos no </w:t>
      </w:r>
      <w:r w:rsidRPr="005C5CBD">
        <w:rPr>
          <w:rFonts w:ascii="Garamond" w:eastAsia="Times New Roman" w:hAnsi="Garamond" w:cs="Calibri"/>
          <w:b/>
          <w:color w:val="000000"/>
          <w:sz w:val="24"/>
          <w:szCs w:val="24"/>
          <w:lang w:eastAsia="pt-BR"/>
        </w:rPr>
        <w:t>caput</w:t>
      </w:r>
      <w:r w:rsidRPr="005C5CBD">
        <w:rPr>
          <w:rFonts w:ascii="Garamond" w:eastAsia="Times New Roman" w:hAnsi="Garamond" w:cs="Calibri"/>
          <w:color w:val="000000"/>
          <w:sz w:val="24"/>
          <w:szCs w:val="24"/>
          <w:lang w:eastAsia="pt-BR"/>
        </w:rPr>
        <w:t xml:space="preserve"> durante o período de investigação de dano, especificando quaisquer alterações ocorridas ao longo desse período.</w:t>
      </w:r>
    </w:p>
    <w:p w14:paraId="5C5F5226"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4FDF5A97"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132. Na hipótese de o produto objeto da investigação não ser homogêneo e/ou se classificar em mais de um item da NCM, o peticionário deverá esclarecer tal circunstância e informar os elementos que permitiram a definição do produto.</w:t>
      </w:r>
    </w:p>
    <w:p w14:paraId="46A32414"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7BABE934"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Parágrafo único.  O peticionário deverá informar se existem tipos ou modelos de produtos excluídos do escopo do produto objeto da investigação, esclarecer detalhadamente as razões que justificam a exclusão e fornecer descrição detalhada desses tipos ou modelos com vistas a permitir sua perfeita identificação. </w:t>
      </w:r>
    </w:p>
    <w:p w14:paraId="0D1E7D35"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65B623E8"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133. O peticionário deverá apresentar, caso disponível, literatura, catálogo, material de propaganda ou outro documento que forneça informações técnicas sobre o produto objeto da investigação.</w:t>
      </w:r>
    </w:p>
    <w:p w14:paraId="178C6A54"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00D7D357"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Art. 134. O peticionário deverá informar se o produto objeto da investigação está sujeito a normas ou regulamentos técnicos. </w:t>
      </w:r>
    </w:p>
    <w:p w14:paraId="72D35445"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3054C697"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Norma técnica é o documento aprovado por uma instituição reconhecida que prevê, para um uso comum e repetitivo, regras, diretrizes ou características para os produtos ou processos e métodos de produção conexos,</w:t>
      </w:r>
      <w:r w:rsidRPr="005C5CBD" w:rsidDel="007F04AE">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cuja observância não é obrigatória.</w:t>
      </w:r>
    </w:p>
    <w:p w14:paraId="3F53670C"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7DA5092D"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Regulamento técnico é o documento aprovado por órgãos governamentais que estabelece as características do produto ou dos processos e métodos de produção a ele relacionados, com inclusão das disposições administrativas aplicáveis,</w:t>
      </w:r>
      <w:r w:rsidRPr="005C5CBD" w:rsidDel="007F04AE">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cuja observância é obrigatória.</w:t>
      </w:r>
    </w:p>
    <w:p w14:paraId="3F5E110A"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16C072B2"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3</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Caso o produto objeto da investigação esteja sujeito a normas ou regulamentos técnicos, o peticionário deverá informar a instituição normalizadora ou reguladora e fornecer lista exaustiva das normas/regulamentos em questão.</w:t>
      </w:r>
    </w:p>
    <w:p w14:paraId="6FFCC3C5"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4EEF43BE"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4</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Na hipótese de não ser possível o fornecimento de lista exaustiva de tais normas ou regulamentos técnicos, tal circunstância deverá ser devidamente justificada.</w:t>
      </w:r>
    </w:p>
    <w:p w14:paraId="4C06AE82"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37618CF1" w14:textId="77777777" w:rsidR="00395593" w:rsidRPr="0020569B" w:rsidRDefault="00395593" w:rsidP="00EA0CC8">
      <w:pPr>
        <w:pStyle w:val="Corpodetexto"/>
        <w:jc w:val="center"/>
        <w:rPr>
          <w:rFonts w:ascii="Garamond" w:hAnsi="Garamond"/>
          <w:b/>
          <w:lang w:eastAsia="pt-BR"/>
        </w:rPr>
      </w:pPr>
      <w:r w:rsidRPr="0020569B">
        <w:rPr>
          <w:rFonts w:ascii="Garamond" w:hAnsi="Garamond"/>
          <w:b/>
          <w:lang w:eastAsia="pt-BR"/>
        </w:rPr>
        <w:t>Seção IV</w:t>
      </w:r>
    </w:p>
    <w:p w14:paraId="3468B99E" w14:textId="77777777" w:rsidR="00395593" w:rsidRPr="0020569B" w:rsidRDefault="00395593" w:rsidP="00EA0CC8">
      <w:pPr>
        <w:pStyle w:val="Corpodetexto"/>
        <w:jc w:val="center"/>
        <w:rPr>
          <w:rFonts w:ascii="Garamond" w:hAnsi="Garamond"/>
          <w:b/>
          <w:lang w:eastAsia="pt-BR"/>
        </w:rPr>
      </w:pPr>
      <w:r w:rsidRPr="0020569B">
        <w:rPr>
          <w:rFonts w:ascii="Garamond" w:hAnsi="Garamond"/>
          <w:b/>
          <w:lang w:eastAsia="pt-BR"/>
        </w:rPr>
        <w:t>Do produto similar produzido no Brasil</w:t>
      </w:r>
    </w:p>
    <w:p w14:paraId="30A5A17D"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p>
    <w:p w14:paraId="5D311000"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135. Caso a petição seja apresentada em nome de mais de uma empresa, as informações sobre o produto similar produzido no Brasil deverão ser fornecidas individualmente por cada uma delas.</w:t>
      </w:r>
    </w:p>
    <w:p w14:paraId="3E3FB6CD"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2D54B868"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Art. 136. O produto similar produzido no Brasil deverá ser descrito pormenorizadamente, especificando, conforme se aplique: </w:t>
      </w:r>
    </w:p>
    <w:p w14:paraId="263330C5"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14E2B7E2"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 - matérias-primas; </w:t>
      </w:r>
    </w:p>
    <w:p w14:paraId="58B5030F"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33434BDD"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 - composição química; </w:t>
      </w:r>
    </w:p>
    <w:p w14:paraId="37C228F7"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2EAA50BE"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III - características físicas, incluindo forma de apresentação, dimensão, capacidade, potência e modelo;  </w:t>
      </w:r>
    </w:p>
    <w:p w14:paraId="56E847AA"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281218E7"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usos e aplicações; e</w:t>
      </w:r>
    </w:p>
    <w:p w14:paraId="59522F15"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40E51850"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V - canais de distribuição. </w:t>
      </w:r>
    </w:p>
    <w:p w14:paraId="2FE28D2E"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214EE891" w14:textId="77777777" w:rsidR="00395593" w:rsidRPr="005C5CBD" w:rsidRDefault="00395593" w:rsidP="00D11385">
      <w:pPr>
        <w:spacing w:after="0" w:line="240" w:lineRule="auto"/>
        <w:ind w:firstLineChars="100" w:firstLine="240"/>
        <w:jc w:val="both"/>
        <w:rPr>
          <w:rFonts w:ascii="Garamond" w:eastAsia="Times New Roman" w:hAnsi="Garamond" w:cs="Calibri"/>
          <w:color w:val="000000"/>
          <w:sz w:val="24"/>
          <w:szCs w:val="24"/>
        </w:rPr>
      </w:pPr>
      <w:r w:rsidRPr="005C5CBD">
        <w:rPr>
          <w:rFonts w:ascii="Garamond" w:eastAsia="Times New Roman" w:hAnsi="Garamond" w:cs="Calibri"/>
          <w:color w:val="000000"/>
          <w:sz w:val="24"/>
          <w:szCs w:val="24"/>
        </w:rPr>
        <w:t xml:space="preserve">Parágrafo único.  </w:t>
      </w:r>
      <w:r w:rsidRPr="005C5CBD">
        <w:rPr>
          <w:rFonts w:ascii="Garamond" w:eastAsia="Times New Roman" w:hAnsi="Garamond" w:cs="Calibri"/>
          <w:sz w:val="24"/>
          <w:szCs w:val="24"/>
          <w:lang w:eastAsia="pt-BR"/>
        </w:rPr>
        <w:t xml:space="preserve">O peticionário deverá </w:t>
      </w:r>
      <w:r w:rsidRPr="005C5CBD">
        <w:rPr>
          <w:rFonts w:ascii="Garamond" w:eastAsia="Times New Roman" w:hAnsi="Garamond" w:cs="Calibri"/>
          <w:color w:val="000000"/>
          <w:sz w:val="24"/>
          <w:szCs w:val="24"/>
        </w:rPr>
        <w:t xml:space="preserve">informar outras características consideradas relevantes com vistas à identificação do produto </w:t>
      </w:r>
      <w:r w:rsidRPr="005C5CBD">
        <w:rPr>
          <w:rFonts w:ascii="Garamond" w:eastAsia="Times New Roman" w:hAnsi="Garamond" w:cs="Calibri"/>
          <w:sz w:val="24"/>
          <w:szCs w:val="24"/>
          <w:lang w:eastAsia="pt-BR"/>
        </w:rPr>
        <w:t>similar produzido no Brasil</w:t>
      </w:r>
      <w:r w:rsidRPr="005C5CBD">
        <w:rPr>
          <w:rFonts w:ascii="Garamond" w:eastAsia="Times New Roman" w:hAnsi="Garamond" w:cs="Calibri"/>
          <w:color w:val="000000"/>
          <w:sz w:val="24"/>
          <w:szCs w:val="24"/>
        </w:rPr>
        <w:t>.</w:t>
      </w:r>
    </w:p>
    <w:p w14:paraId="6B3CC7C2"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15C84973"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137.</w:t>
      </w:r>
      <w:r w:rsidRPr="005C5CBD">
        <w:rPr>
          <w:rFonts w:ascii="Garamond" w:eastAsia="Calibri" w:hAnsi="Garamond" w:cs="Calibri"/>
          <w:sz w:val="24"/>
          <w:szCs w:val="24"/>
        </w:rPr>
        <w:t xml:space="preserve"> O processo produtivo do produto similar produzido no Brasil deverá ser descrito detalhadamente, especificando matérias-primas, material secundário e utilidades. </w:t>
      </w:r>
    </w:p>
    <w:p w14:paraId="3FB690E0"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59E0C1E2"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Parágrafo único.  O peticionário deverá apresentar fluxograma contendo descrição da rota tecnológica utilizada, das principais etapas do processo e dos principais equipamentos utilizados.</w:t>
      </w:r>
    </w:p>
    <w:p w14:paraId="1E7AD325"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6902F653"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138.</w:t>
      </w:r>
      <w:r w:rsidRPr="005C5CBD">
        <w:rPr>
          <w:rFonts w:ascii="Garamond" w:eastAsia="Calibri" w:hAnsi="Garamond" w:cs="Calibri"/>
          <w:sz w:val="24"/>
          <w:szCs w:val="24"/>
        </w:rPr>
        <w:t xml:space="preserve"> O peticionário deverá apresentar, caso disponível, literatura, catálogo, material de propaganda ou outro documento que forneça informações técnicas sobre o produto similar produzido no Brasil.</w:t>
      </w:r>
    </w:p>
    <w:p w14:paraId="31B0BDB9"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646B2770"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139.</w:t>
      </w:r>
      <w:r w:rsidRPr="005C5CBD">
        <w:rPr>
          <w:rFonts w:ascii="Garamond" w:eastAsia="Calibri" w:hAnsi="Garamond" w:cs="Calibri"/>
          <w:sz w:val="24"/>
          <w:szCs w:val="24"/>
        </w:rPr>
        <w:t xml:space="preserve"> O peticionário deverá informar se o produto similar produzido no Brasil está sujeito a normas ou regulamentos técnicos. </w:t>
      </w:r>
    </w:p>
    <w:p w14:paraId="7DD4ED98"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6CABCE5C"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Caso o produto similar doméstico esteja sujeito a normas ou regulamentos técnicos, o peticionário deverá informar a instituição normalizadora ou reguladora e fornecer lista exaustiva das normas/regulamentos em questão.</w:t>
      </w:r>
    </w:p>
    <w:p w14:paraId="1618A03A"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49C78DD6"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Na hipótese de não ser possível o fornecimento de lista exaustiva de tais normas ou regulamentos técnicos, tal circunstância deverá ser devidamente justificada.</w:t>
      </w:r>
    </w:p>
    <w:p w14:paraId="07993080"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1AE6453E"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Art. 140. O peticionário deverá descrever pormenorizadamente o sistema de codificação de produto (CODPROD) utilizado pela empresa no curso normal de suas operações, inclusive toda variedade de prefixos, sufixos e outras notações que identifiquem os diferentes tipos/modelos de produto. </w:t>
      </w:r>
    </w:p>
    <w:p w14:paraId="0EFB0B7B"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4FF42AC0"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A petição deverá conter lista completa de códigos, acompanhada de descrição dos elementos que os compõem e, se for o caso, dos respectivos nomes comerciais.</w:t>
      </w:r>
    </w:p>
    <w:p w14:paraId="6518E303"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06C9CD13"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O peticionário deverá esclarecer se o CODPROD utilizado pela empresa no curso normal de suas operações contempla os principais elementos que influenciam o custo de produção e o preço de venda, especificando-os.</w:t>
      </w:r>
    </w:p>
    <w:p w14:paraId="06CD035C"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02068F68"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141. O peticionário deverá indicar</w:t>
      </w:r>
      <w:r w:rsidRPr="005C5CBD" w:rsidDel="00D90EEB">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 xml:space="preserve">código de identificação do produto (CODIP), o qual será representado por uma combinação alfanumérica que reflita as características do produto, aplicável tanto ao produto objeto da investigação como ao produto similar. </w:t>
      </w:r>
    </w:p>
    <w:p w14:paraId="50B837FC"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4648A906"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A combinação alfanumérica do CODIP deverá refletir, em ordem decrescente, a importância de cada característica do produto, começando pela mais relevante.</w:t>
      </w:r>
    </w:p>
    <w:p w14:paraId="6C8919ED"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62B495A0"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Caso factível, o CODIP poderá ser elaborado considerando grupos de CODPROD, devendo  ser informados os critérios que levaram ao agrupamento dos CODPROD em CODIPs.</w:t>
      </w:r>
    </w:p>
    <w:p w14:paraId="44DD1722"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70CD3E6D"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3</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Caso o CODPROD utilizado pela empresa no curso normal de suas operações não contemple os principais elementos que influenciam o custo de produção e o preço de venda, o peticionário deverá necessariamente sugerir CODIPs que possibilitem essa identificação.</w:t>
      </w:r>
    </w:p>
    <w:p w14:paraId="0CE0DBF4"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2962D8F6"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4</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Deverá ser apresentada lista com a correspondência entre CODIP e CODPROD.</w:t>
      </w:r>
    </w:p>
    <w:p w14:paraId="502A2D7B"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7D1FB8E6"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5</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Caso o peticionário considere que a indicação de CODIP não é necessária, deverá ser apresentada justificativa detalhada.</w:t>
      </w:r>
    </w:p>
    <w:p w14:paraId="45053B00"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74B55B1E"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6</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Os dados de venda e custo da petição deverão ser apresentados considerando o CODPROD e, se for o caso, o CODIP sugerido. </w:t>
      </w:r>
    </w:p>
    <w:p w14:paraId="6C759238"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75776627"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7</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Caso seja iniciada a investigação, poderão ser solicitados aos produtores estrangeiros dados pormenorizados por CODIP.</w:t>
      </w:r>
    </w:p>
    <w:p w14:paraId="0096D118"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34E040FD"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8</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O CODIP poderá ser alterado no curso da investigação, tanto de ofício pela Subsecretaria de Defesa Comercial e Interesse Público como a partir de informações e solicitações fornecidas por outras partes interessadas na investigação, acompanhadas de elementos de prova que justifiquem a necessidade das alterações. </w:t>
      </w:r>
    </w:p>
    <w:p w14:paraId="1A29F764"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57046F43" w14:textId="77777777" w:rsidR="00395593" w:rsidRPr="0020569B" w:rsidRDefault="00395593" w:rsidP="00EA0CC8">
      <w:pPr>
        <w:pStyle w:val="Corpodetexto"/>
        <w:jc w:val="center"/>
        <w:rPr>
          <w:rFonts w:ascii="Garamond" w:hAnsi="Garamond"/>
          <w:b/>
          <w:lang w:eastAsia="pt-BR"/>
        </w:rPr>
      </w:pPr>
      <w:r w:rsidRPr="0020569B">
        <w:rPr>
          <w:rFonts w:ascii="Garamond" w:hAnsi="Garamond"/>
          <w:b/>
          <w:lang w:eastAsia="pt-BR"/>
        </w:rPr>
        <w:t>Seção V</w:t>
      </w:r>
    </w:p>
    <w:p w14:paraId="602D3AD0" w14:textId="77777777" w:rsidR="00395593" w:rsidRPr="005C5CBD" w:rsidRDefault="00395593" w:rsidP="00EA0CC8">
      <w:pPr>
        <w:pStyle w:val="Corpodetexto"/>
        <w:jc w:val="center"/>
        <w:rPr>
          <w:lang w:eastAsia="pt-BR"/>
        </w:rPr>
      </w:pPr>
      <w:r w:rsidRPr="0020569B">
        <w:rPr>
          <w:rFonts w:ascii="Garamond" w:hAnsi="Garamond"/>
          <w:b/>
          <w:lang w:eastAsia="pt-BR"/>
        </w:rPr>
        <w:t>Da similaridade</w:t>
      </w:r>
    </w:p>
    <w:p w14:paraId="42361B13"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p>
    <w:p w14:paraId="30B975C1"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Art. 142. As diferenças entre o produto objeto da investigação e o produto similar produzido no Brasil deverão ser descritas pormenorizadamente, particularmente no que diz respeito a: </w:t>
      </w:r>
    </w:p>
    <w:p w14:paraId="55E73C63"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p>
    <w:p w14:paraId="2304828D"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 - matérias-primas; </w:t>
      </w:r>
    </w:p>
    <w:p w14:paraId="7F1113DD"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p>
    <w:p w14:paraId="4D3411C6"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 - composição química; </w:t>
      </w:r>
    </w:p>
    <w:p w14:paraId="619AC8F2"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p>
    <w:p w14:paraId="0A1BDAF6"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III - características físicas; </w:t>
      </w:r>
    </w:p>
    <w:p w14:paraId="69ABCA2F"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p>
    <w:p w14:paraId="7E785D77"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IV - normas e especificações técnicas; </w:t>
      </w:r>
    </w:p>
    <w:p w14:paraId="6AA689C0"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p>
    <w:p w14:paraId="11FF7DC5"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V - processo produtivo; </w:t>
      </w:r>
    </w:p>
    <w:p w14:paraId="11889B14"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p>
    <w:p w14:paraId="40B1FDB2"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VI - usos e aplicações;</w:t>
      </w:r>
    </w:p>
    <w:p w14:paraId="075E6EAF"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p>
    <w:p w14:paraId="4CC8DAF5"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VII - grau de substitutibilidade; </w:t>
      </w:r>
    </w:p>
    <w:p w14:paraId="5084C95C"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p>
    <w:p w14:paraId="112DBEE4"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VIII - canais de distribuição; e </w:t>
      </w:r>
    </w:p>
    <w:p w14:paraId="2300FCF5"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p>
    <w:p w14:paraId="77F50B75"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IX - outras diferenças identificadas.</w:t>
      </w:r>
    </w:p>
    <w:p w14:paraId="0EC57A26" w14:textId="77777777" w:rsidR="00395593" w:rsidRPr="005C5CBD" w:rsidRDefault="00395593" w:rsidP="00D11385">
      <w:pPr>
        <w:spacing w:after="0" w:line="300" w:lineRule="exact"/>
        <w:ind w:firstLine="567"/>
        <w:jc w:val="both"/>
        <w:rPr>
          <w:rFonts w:ascii="Garamond" w:eastAsia="Times New Roman" w:hAnsi="Garamond" w:cs="Calibri"/>
          <w:sz w:val="24"/>
          <w:szCs w:val="24"/>
          <w:lang w:eastAsia="pt-BR"/>
        </w:rPr>
      </w:pPr>
    </w:p>
    <w:p w14:paraId="48EBB3FC"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143. Caso sejam identificadas diferenças entre os dois produtos, o peticionário deverá esclarecer as razões que levam a crer que tais diferenças não afetam a similaridade.</w:t>
      </w:r>
    </w:p>
    <w:p w14:paraId="15649C85" w14:textId="77777777" w:rsidR="00395593" w:rsidRPr="005C5CBD" w:rsidRDefault="00395593" w:rsidP="00E15FBB">
      <w:pPr>
        <w:spacing w:after="0" w:line="240" w:lineRule="auto"/>
        <w:jc w:val="both"/>
        <w:rPr>
          <w:rFonts w:ascii="Garamond" w:eastAsia="Calibri" w:hAnsi="Garamond" w:cs="Calibri"/>
          <w:sz w:val="24"/>
          <w:szCs w:val="24"/>
        </w:rPr>
      </w:pPr>
    </w:p>
    <w:p w14:paraId="4FD56937" w14:textId="77777777" w:rsidR="00395593" w:rsidRPr="0020569B" w:rsidRDefault="00395593" w:rsidP="00EA0CC8">
      <w:pPr>
        <w:pStyle w:val="Corpodetexto"/>
        <w:jc w:val="center"/>
        <w:rPr>
          <w:rFonts w:ascii="Garamond" w:hAnsi="Garamond"/>
          <w:b/>
          <w:lang w:eastAsia="pt-BR"/>
        </w:rPr>
      </w:pPr>
      <w:r w:rsidRPr="0020569B">
        <w:rPr>
          <w:rFonts w:ascii="Garamond" w:hAnsi="Garamond"/>
          <w:b/>
          <w:lang w:eastAsia="pt-BR"/>
        </w:rPr>
        <w:t>Seção VI</w:t>
      </w:r>
    </w:p>
    <w:p w14:paraId="49324716" w14:textId="77777777" w:rsidR="00395593" w:rsidRPr="005C5CBD" w:rsidRDefault="00395593" w:rsidP="00EA0CC8">
      <w:pPr>
        <w:pStyle w:val="Corpodetexto"/>
        <w:jc w:val="center"/>
        <w:rPr>
          <w:lang w:eastAsia="pt-BR"/>
        </w:rPr>
      </w:pPr>
      <w:r w:rsidRPr="0020569B">
        <w:rPr>
          <w:rFonts w:ascii="Garamond" w:hAnsi="Garamond"/>
          <w:b/>
          <w:lang w:eastAsia="pt-BR"/>
        </w:rPr>
        <w:t>Da indústria doméstica e da representatividade</w:t>
      </w:r>
    </w:p>
    <w:p w14:paraId="28DDE43F" w14:textId="77777777" w:rsidR="00E15FBB" w:rsidRPr="005C5CBD" w:rsidRDefault="00E15FBB" w:rsidP="00E15FBB">
      <w:pPr>
        <w:spacing w:after="0" w:line="240" w:lineRule="auto"/>
        <w:jc w:val="both"/>
        <w:rPr>
          <w:rFonts w:ascii="Garamond" w:eastAsia="Calibri" w:hAnsi="Garamond" w:cs="Calibri"/>
          <w:color w:val="4A4A4A"/>
          <w:sz w:val="24"/>
          <w:szCs w:val="24"/>
          <w:shd w:val="clear" w:color="auto" w:fill="FFFFFF"/>
        </w:rPr>
      </w:pPr>
    </w:p>
    <w:p w14:paraId="638A02C7" w14:textId="3FF22B72" w:rsidR="00E15FBB" w:rsidRPr="005C5CBD" w:rsidRDefault="00E15FBB" w:rsidP="00D11385">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144.</w:t>
      </w:r>
      <w:r w:rsidRPr="005C5CBD">
        <w:rPr>
          <w:rFonts w:ascii="Garamond" w:eastAsia="Calibri" w:hAnsi="Garamond" w:cs="Calibri"/>
          <w:sz w:val="24"/>
          <w:szCs w:val="24"/>
        </w:rPr>
        <w:t xml:space="preserve"> As informações constantes do Apêndice I relativas a cada período deverão ser fornecidas, tal como definido no </w:t>
      </w:r>
      <w:r w:rsidRPr="005C5CBD">
        <w:rPr>
          <w:rFonts w:ascii="Garamond" w:eastAsia="Times New Roman" w:hAnsi="Garamond" w:cs="Calibri"/>
          <w:sz w:val="24"/>
          <w:szCs w:val="24"/>
          <w:lang w:eastAsia="pt-BR"/>
        </w:rPr>
        <w:t xml:space="preserve">art. </w:t>
      </w:r>
      <w:r w:rsidR="00701DA1">
        <w:rPr>
          <w:rFonts w:ascii="Garamond" w:eastAsia="Times New Roman" w:hAnsi="Garamond" w:cs="Calibri"/>
          <w:sz w:val="24"/>
          <w:szCs w:val="24"/>
          <w:lang w:eastAsia="pt-BR"/>
        </w:rPr>
        <w:t>127</w:t>
      </w:r>
      <w:r w:rsidRPr="005C5CBD">
        <w:rPr>
          <w:rFonts w:ascii="Garamond" w:eastAsia="Calibri" w:hAnsi="Garamond" w:cs="Calibri"/>
          <w:sz w:val="24"/>
          <w:szCs w:val="24"/>
        </w:rPr>
        <w:t>.</w:t>
      </w:r>
    </w:p>
    <w:p w14:paraId="4099677B" w14:textId="77777777" w:rsidR="00395593" w:rsidRPr="005C5CBD" w:rsidRDefault="00395593" w:rsidP="00D11385">
      <w:pPr>
        <w:spacing w:after="0" w:line="240" w:lineRule="auto"/>
        <w:ind w:firstLine="567"/>
        <w:jc w:val="both"/>
        <w:rPr>
          <w:rFonts w:ascii="Garamond" w:eastAsia="Calibri" w:hAnsi="Garamond" w:cs="Calibri"/>
          <w:sz w:val="24"/>
          <w:szCs w:val="24"/>
        </w:rPr>
      </w:pPr>
    </w:p>
    <w:p w14:paraId="5823B5B2" w14:textId="77777777" w:rsidR="00395593" w:rsidRPr="005C5CBD" w:rsidRDefault="00395593" w:rsidP="00D11385">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145.</w:t>
      </w:r>
      <w:r w:rsidRPr="005C5CBD">
        <w:rPr>
          <w:rFonts w:ascii="Garamond" w:eastAsia="Calibri" w:hAnsi="Garamond" w:cs="Calibri"/>
          <w:sz w:val="24"/>
          <w:szCs w:val="24"/>
        </w:rPr>
        <w:t xml:space="preserve"> A unidade utilizada para expressar o volume de produção (unidades, quilogramas, toneladas, peças, litros etc.) deverá ser informada. </w:t>
      </w:r>
    </w:p>
    <w:p w14:paraId="6CFE4999" w14:textId="77777777" w:rsidR="00395593" w:rsidRPr="005C5CBD" w:rsidRDefault="00395593" w:rsidP="00E15FBB">
      <w:pPr>
        <w:spacing w:after="0" w:line="240" w:lineRule="auto"/>
        <w:jc w:val="both"/>
        <w:rPr>
          <w:rFonts w:ascii="Garamond" w:eastAsia="Calibri" w:hAnsi="Garamond" w:cs="Calibri"/>
          <w:sz w:val="24"/>
          <w:szCs w:val="24"/>
        </w:rPr>
      </w:pPr>
    </w:p>
    <w:p w14:paraId="725A6DE9"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146.</w:t>
      </w:r>
      <w:r w:rsidRPr="005C5CBD">
        <w:rPr>
          <w:rFonts w:ascii="Garamond" w:eastAsia="Calibri" w:hAnsi="Garamond" w:cs="Calibri"/>
          <w:sz w:val="24"/>
          <w:szCs w:val="24"/>
        </w:rPr>
        <w:t xml:space="preserve"> O peticionário deverá informar a razão social e endereço das empresas que manifestaram apoio à petição (coluna A do Apêndice I), para fins de cumprimento do disposto no § 2º do art. 31 do Decreto n</w:t>
      </w:r>
      <w:r w:rsidRPr="005C5CBD">
        <w:rPr>
          <w:rFonts w:ascii="Garamond" w:eastAsia="Calibri" w:hAnsi="Garamond" w:cs="Calibri"/>
          <w:sz w:val="24"/>
          <w:szCs w:val="24"/>
          <w:vertAlign w:val="superscript"/>
        </w:rPr>
        <w:t>o</w:t>
      </w:r>
      <w:r w:rsidRPr="005C5CBD">
        <w:rPr>
          <w:rFonts w:ascii="Garamond" w:eastAsia="Calibri" w:hAnsi="Garamond" w:cs="Calibri"/>
          <w:sz w:val="24"/>
          <w:szCs w:val="24"/>
        </w:rPr>
        <w:t xml:space="preserve"> 10.839, de 2021.</w:t>
      </w:r>
    </w:p>
    <w:p w14:paraId="12378340"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76B2EE9C"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147.</w:t>
      </w:r>
      <w:r w:rsidRPr="005C5CBD">
        <w:rPr>
          <w:rFonts w:ascii="Garamond" w:eastAsia="Calibri" w:hAnsi="Garamond" w:cs="Calibri"/>
          <w:sz w:val="24"/>
          <w:szCs w:val="24"/>
        </w:rPr>
        <w:t xml:space="preserve"> Nos termos do § 5º do art. 31 do Decreto n</w:t>
      </w:r>
      <w:r w:rsidRPr="005C5CBD">
        <w:rPr>
          <w:rFonts w:ascii="Garamond" w:eastAsia="Calibri" w:hAnsi="Garamond" w:cs="Calibri"/>
          <w:sz w:val="24"/>
          <w:szCs w:val="24"/>
          <w:vertAlign w:val="superscript"/>
        </w:rPr>
        <w:t>o</w:t>
      </w:r>
      <w:r w:rsidRPr="005C5CBD">
        <w:rPr>
          <w:rFonts w:ascii="Garamond" w:eastAsia="Calibri" w:hAnsi="Garamond" w:cs="Calibri"/>
          <w:sz w:val="24"/>
          <w:szCs w:val="24"/>
        </w:rPr>
        <w:t xml:space="preserve"> 10.839, de 2021, a manifestação de apoio à petição, referida na coluna A do Apêndice I, somente será considerada quando acompanhada de informação correspondente ao volume ou valor de produção e ao volume de vendas no mercado interno durante o período de investigação de dano, identificada individualmente para cada empresa.</w:t>
      </w:r>
    </w:p>
    <w:p w14:paraId="4978D7FF"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3C033F42"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xml:space="preserve">Parágrafo único.  No caso de indústria fragmentada, que envolva um número especialmente elevado de produtores domésticos, o grau de apoio ou rejeição poderá ser confirmado mediante amostra estatisticamente válida. </w:t>
      </w:r>
    </w:p>
    <w:p w14:paraId="639E96D9"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560DF4CC"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148.</w:t>
      </w:r>
      <w:r w:rsidRPr="005C5CBD">
        <w:rPr>
          <w:rFonts w:ascii="Garamond" w:eastAsia="Calibri" w:hAnsi="Garamond" w:cs="Calibri"/>
          <w:sz w:val="24"/>
          <w:szCs w:val="24"/>
        </w:rPr>
        <w:t xml:space="preserve"> A petição deverá informar a razão social e o endereço das empresas conhecidas que não se manifestaram sobre a petição (coluna B do Apêndice I) e esclarecer a metodologia utilizada para estimar a produção que lhes corresponda.</w:t>
      </w:r>
    </w:p>
    <w:p w14:paraId="70751A83"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5786FCB7"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xml:space="preserve">Art. 149. A petição deverá conter os dados necessários à determinação do dano à indústria doméstica relativos aos produtores domésticos que manifestaram expressamente seu apoio à petição. </w:t>
      </w:r>
    </w:p>
    <w:p w14:paraId="7099CC53"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57406FCE"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1º Nos termos do art. 28 do Decreto nº 10.839, de 2021, considera-se indústria doméstica a totalidade dos produtores do produto similar doméstico ou o conjunto de produtores cuja produção conjunta constitua proporção significativa da produção nacional total do produto similar doméstico.</w:t>
      </w:r>
    </w:p>
    <w:p w14:paraId="5E0E2227" w14:textId="77777777" w:rsidR="00395593" w:rsidRPr="005C5CBD" w:rsidRDefault="00395593" w:rsidP="00D11385">
      <w:pPr>
        <w:spacing w:after="0" w:line="240" w:lineRule="auto"/>
        <w:ind w:firstLineChars="100" w:firstLine="240"/>
        <w:jc w:val="center"/>
        <w:rPr>
          <w:rFonts w:ascii="Garamond" w:eastAsia="Calibri" w:hAnsi="Garamond" w:cs="Calibri"/>
          <w:sz w:val="24"/>
          <w:szCs w:val="24"/>
        </w:rPr>
      </w:pPr>
    </w:p>
    <w:p w14:paraId="5F4116B8"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2º Nos termos do § 3º do art. 31 do Decreto nº 10.839, de 2021, a petição não será considerada como realizada pela indústria doméstica ou em seu nome quando os produtores domésticos que manifestaram expressamente apoio à petição representem menos de vinte e cinco por cento da produção total do produto similar da indústria doméstica durante o período de investigação de existência de subsídio.</w:t>
      </w:r>
    </w:p>
    <w:p w14:paraId="5F1187E7"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3E979ACF"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3º Nos termos do § 7º do art. 31 do Decreto nº 10.839, de 2021, no caso de indústria fragmentada, que envolva número especialmente elevado de produtores domésticos, poderá ser aceita petição com dados relativos a produtores domésticos que respondam por parcela inferior a vinte e cinco por cento da produção da indústria doméstica do produto similar no período de investigação de existência de subsídio.</w:t>
      </w:r>
    </w:p>
    <w:p w14:paraId="591AD4A2" w14:textId="77777777" w:rsidR="00395593" w:rsidRPr="005C5CBD" w:rsidRDefault="00395593" w:rsidP="00E15FBB">
      <w:pPr>
        <w:spacing w:after="0" w:line="240" w:lineRule="auto"/>
        <w:rPr>
          <w:rFonts w:ascii="Garamond" w:eastAsia="Calibri" w:hAnsi="Garamond" w:cs="Calibri"/>
          <w:b/>
          <w:sz w:val="24"/>
          <w:szCs w:val="24"/>
        </w:rPr>
      </w:pPr>
    </w:p>
    <w:p w14:paraId="755C3818" w14:textId="77777777" w:rsidR="00395593" w:rsidRPr="0020569B" w:rsidRDefault="00395593" w:rsidP="00EA0CC8">
      <w:pPr>
        <w:pStyle w:val="Corpodetexto"/>
        <w:jc w:val="center"/>
        <w:rPr>
          <w:rFonts w:ascii="Garamond" w:hAnsi="Garamond"/>
          <w:b/>
          <w:lang w:eastAsia="pt-BR"/>
        </w:rPr>
      </w:pPr>
      <w:r w:rsidRPr="0020569B">
        <w:rPr>
          <w:rFonts w:ascii="Garamond" w:hAnsi="Garamond"/>
          <w:b/>
          <w:lang w:eastAsia="pt-BR"/>
        </w:rPr>
        <w:t>Seção VII</w:t>
      </w:r>
    </w:p>
    <w:p w14:paraId="6DE0EA7A" w14:textId="7B0D983F" w:rsidR="00395593" w:rsidRPr="005C5CBD" w:rsidRDefault="00395593" w:rsidP="00EA0CC8">
      <w:pPr>
        <w:pStyle w:val="Corpodetexto"/>
        <w:jc w:val="center"/>
        <w:rPr>
          <w:lang w:eastAsia="pt-BR"/>
        </w:rPr>
      </w:pPr>
      <w:r w:rsidRPr="0020569B">
        <w:rPr>
          <w:rFonts w:ascii="Garamond" w:hAnsi="Garamond"/>
          <w:b/>
          <w:lang w:eastAsia="pt-BR"/>
        </w:rPr>
        <w:t>Das importações</w:t>
      </w:r>
    </w:p>
    <w:p w14:paraId="68902A9A" w14:textId="77777777" w:rsidR="00395593" w:rsidRPr="005C5CBD" w:rsidRDefault="00395593" w:rsidP="00E15FBB">
      <w:pPr>
        <w:spacing w:after="0" w:line="240" w:lineRule="auto"/>
        <w:jc w:val="both"/>
        <w:rPr>
          <w:rFonts w:ascii="Garamond" w:eastAsia="Calibri" w:hAnsi="Garamond" w:cs="Calibri"/>
          <w:sz w:val="24"/>
          <w:szCs w:val="24"/>
        </w:rPr>
      </w:pPr>
    </w:p>
    <w:p w14:paraId="7DBF3F84" w14:textId="77777777" w:rsidR="00395593" w:rsidRPr="005C5CBD" w:rsidRDefault="00395593" w:rsidP="00D11385">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150.</w:t>
      </w:r>
      <w:r w:rsidRPr="005C5CBD">
        <w:rPr>
          <w:rFonts w:ascii="Garamond" w:eastAsia="Calibri" w:hAnsi="Garamond" w:cs="Calibri"/>
          <w:sz w:val="24"/>
          <w:szCs w:val="24"/>
        </w:rPr>
        <w:t xml:space="preserve"> A evolução das importações totais do produto objeto da investigação e do produto similar de outras origens deverá ser fornecida na petição, em quantidade e em valor, para o período de investigação de dano, por país exportador. </w:t>
      </w:r>
    </w:p>
    <w:p w14:paraId="2CF4A889" w14:textId="77777777" w:rsidR="00395593" w:rsidRPr="005C5CBD" w:rsidRDefault="00395593" w:rsidP="00D11385">
      <w:pPr>
        <w:spacing w:after="0" w:line="240" w:lineRule="auto"/>
        <w:ind w:firstLine="567"/>
        <w:jc w:val="both"/>
        <w:rPr>
          <w:rFonts w:ascii="Garamond" w:eastAsia="Calibri" w:hAnsi="Garamond" w:cs="Calibri"/>
          <w:sz w:val="24"/>
          <w:szCs w:val="24"/>
        </w:rPr>
      </w:pPr>
    </w:p>
    <w:p w14:paraId="40F253BB" w14:textId="77777777" w:rsidR="00395593" w:rsidRPr="005C5CBD" w:rsidRDefault="00395593" w:rsidP="00D11385">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151.</w:t>
      </w:r>
      <w:r w:rsidRPr="005C5CBD">
        <w:rPr>
          <w:rFonts w:ascii="Garamond" w:eastAsia="Calibri" w:hAnsi="Garamond" w:cs="Calibri"/>
          <w:sz w:val="24"/>
          <w:szCs w:val="24"/>
        </w:rPr>
        <w:t xml:space="preserve"> A razão social e o endereço das empresas importadoras conhecidas do produto objeto da investigação deverão ser fornecidas na petição. </w:t>
      </w:r>
    </w:p>
    <w:p w14:paraId="2B82FD1C" w14:textId="77777777" w:rsidR="00395593" w:rsidRPr="005C5CBD" w:rsidRDefault="00395593" w:rsidP="00E15FBB">
      <w:pPr>
        <w:spacing w:after="0" w:line="240" w:lineRule="auto"/>
        <w:ind w:firstLine="708"/>
        <w:jc w:val="both"/>
        <w:rPr>
          <w:rFonts w:ascii="Garamond" w:eastAsia="Calibri" w:hAnsi="Garamond" w:cs="Calibri"/>
          <w:sz w:val="24"/>
          <w:szCs w:val="24"/>
        </w:rPr>
      </w:pPr>
    </w:p>
    <w:p w14:paraId="5B34DC49" w14:textId="77777777" w:rsidR="00395593" w:rsidRPr="0020569B" w:rsidRDefault="00395593" w:rsidP="00EA0CC8">
      <w:pPr>
        <w:pStyle w:val="Corpodetexto"/>
        <w:jc w:val="center"/>
        <w:rPr>
          <w:rFonts w:ascii="Garamond" w:hAnsi="Garamond"/>
          <w:b/>
          <w:lang w:eastAsia="pt-BR"/>
        </w:rPr>
      </w:pPr>
      <w:r w:rsidRPr="0020569B">
        <w:rPr>
          <w:rFonts w:ascii="Garamond" w:hAnsi="Garamond"/>
          <w:b/>
          <w:lang w:eastAsia="pt-BR"/>
        </w:rPr>
        <w:t>Seção VIII</w:t>
      </w:r>
    </w:p>
    <w:p w14:paraId="15F3B071" w14:textId="395F6315" w:rsidR="00395593" w:rsidRPr="0020569B" w:rsidRDefault="00395593" w:rsidP="00EA0CC8">
      <w:pPr>
        <w:pStyle w:val="Corpodetexto"/>
        <w:jc w:val="center"/>
        <w:rPr>
          <w:rFonts w:ascii="Garamond" w:hAnsi="Garamond"/>
          <w:b/>
          <w:lang w:eastAsia="pt-BR"/>
        </w:rPr>
      </w:pPr>
      <w:r w:rsidRPr="0020569B">
        <w:rPr>
          <w:rFonts w:ascii="Garamond" w:hAnsi="Garamond"/>
          <w:b/>
          <w:lang w:eastAsia="pt-BR"/>
        </w:rPr>
        <w:t>Do mercado</w:t>
      </w:r>
    </w:p>
    <w:p w14:paraId="40C4A350" w14:textId="77777777" w:rsidR="00395593" w:rsidRPr="005C5CBD" w:rsidRDefault="00395593" w:rsidP="00E15FBB">
      <w:pPr>
        <w:spacing w:after="0" w:line="240" w:lineRule="auto"/>
        <w:jc w:val="both"/>
        <w:rPr>
          <w:rFonts w:ascii="Garamond" w:eastAsia="Calibri" w:hAnsi="Garamond" w:cs="Calibri"/>
          <w:sz w:val="24"/>
          <w:szCs w:val="24"/>
        </w:rPr>
      </w:pPr>
    </w:p>
    <w:p w14:paraId="52B9F9BF"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152.</w:t>
      </w:r>
      <w:r w:rsidRPr="005C5CBD">
        <w:rPr>
          <w:rFonts w:ascii="Garamond" w:eastAsia="Calibri" w:hAnsi="Garamond" w:cs="Calibri"/>
          <w:sz w:val="24"/>
          <w:szCs w:val="24"/>
        </w:rPr>
        <w:t xml:space="preserve"> A petição deverá conter informações sobre as formas de concorrência predominantes no mercado interno brasileiro (preço, diferenciação do produto, assistência técnica, rede de distribuição, propaganda etc.), incluindo informações sobre:</w:t>
      </w:r>
    </w:p>
    <w:p w14:paraId="43AEEB61"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2888BDA9"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I - características gerais da demanda e da oferta do produto similar;</w:t>
      </w:r>
    </w:p>
    <w:p w14:paraId="20E0B292"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672F4B07"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II - acordos de comercialização e distribuição do produto;</w:t>
      </w:r>
    </w:p>
    <w:p w14:paraId="1C5E2A08"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637F2A41"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III - clientes, usuários e consumidores típicos do produto;</w:t>
      </w:r>
    </w:p>
    <w:p w14:paraId="2084E60B"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2579F316"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IV - existência de segmentação de mercado, como segmentação geográfica ou de produto;</w:t>
      </w:r>
    </w:p>
    <w:p w14:paraId="526F6A95"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1758BCEF"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V - causas da variabilidade da demanda interna brasileira, como flutuações sazonais, fatores que contribuem para o crescimento ou queda geral do mercado, regulação governamental e desenvolvimentos tecnológicos que afetam a demanda ou a produção;</w:t>
      </w:r>
    </w:p>
    <w:p w14:paraId="4254D864"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4BFE5DAD"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VI - forma como os produtos importados e o da indústria doméstica competem; e</w:t>
      </w:r>
    </w:p>
    <w:p w14:paraId="785C9E85"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143A4B01"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VII - quaisquer outros fatores que influenciem o mercado.</w:t>
      </w:r>
    </w:p>
    <w:p w14:paraId="1B5C346A"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3B539230"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1º. O peticionário deverá identificar se há substitutos comercialmente significativos para o produto objeto da investigação disponíveis no mercado brasileiro.</w:t>
      </w:r>
    </w:p>
    <w:p w14:paraId="101C0073"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1D49FA6B"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xml:space="preserve">§ 2º O peticionário poderá apresentar informações adicionais sobre as formas de concorrência predominantes no mercado global e o impacto dos subsídios alegados com base nos fatores listados no </w:t>
      </w:r>
      <w:r w:rsidRPr="005C5CBD">
        <w:rPr>
          <w:rFonts w:ascii="Garamond" w:eastAsia="Calibri" w:hAnsi="Garamond" w:cs="Calibri"/>
          <w:b/>
          <w:sz w:val="24"/>
          <w:szCs w:val="24"/>
        </w:rPr>
        <w:t xml:space="preserve">caput </w:t>
      </w:r>
      <w:r w:rsidRPr="005C5CBD">
        <w:rPr>
          <w:rFonts w:ascii="Garamond" w:eastAsia="Calibri" w:hAnsi="Garamond" w:cs="Calibri"/>
          <w:sz w:val="24"/>
          <w:szCs w:val="24"/>
        </w:rPr>
        <w:t>ou quaisquer outros fatores relevantes.</w:t>
      </w:r>
    </w:p>
    <w:p w14:paraId="3A18AF04"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5FFF059E"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153.</w:t>
      </w:r>
      <w:r w:rsidRPr="005C5CBD" w:rsidDel="00795D12">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O peticionário deverá informar os motivos, reais e potenciais, que possam determinar a opção preferencial dos consumidores nacionais pelo produto objeto da investigação, tais como preço, disponibilidade de oferta, qualidade, prazo de entrega, prazo e condições para pagamento, evolução tecnológica ou outros.</w:t>
      </w:r>
    </w:p>
    <w:p w14:paraId="55875E15"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453123BF"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154. O peticionário deverá esclarecer se, durante o período de investigação de dano, houve mudanças no padrão de consumo no mercado brasileiro do produto objeto da investigação.</w:t>
      </w:r>
    </w:p>
    <w:p w14:paraId="0935213E"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p>
    <w:p w14:paraId="56490C9B" w14:textId="77777777" w:rsidR="00395593" w:rsidRPr="005C5CBD" w:rsidRDefault="00395593" w:rsidP="00D11385">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155. O peticionário deverá informar se existem no Brasil práticas restritivas ao comércio do produto objeto da investigação e, em caso positivo, descrever pormenorizadamente tais práticas, esclarecendo se se aplicam igualmente aos produtores domésticos e estrangeiros.</w:t>
      </w:r>
    </w:p>
    <w:p w14:paraId="4B758248" w14:textId="77777777" w:rsidR="00395593" w:rsidRPr="005C5CBD" w:rsidRDefault="00395593" w:rsidP="00E15FBB">
      <w:pPr>
        <w:spacing w:after="0" w:line="240" w:lineRule="auto"/>
        <w:jc w:val="both"/>
        <w:rPr>
          <w:rFonts w:ascii="Garamond" w:eastAsia="Calibri" w:hAnsi="Garamond" w:cs="Calibri"/>
          <w:sz w:val="24"/>
          <w:szCs w:val="24"/>
        </w:rPr>
      </w:pPr>
    </w:p>
    <w:p w14:paraId="71BFC23F" w14:textId="77777777" w:rsidR="00395593" w:rsidRPr="0020569B" w:rsidRDefault="00395593" w:rsidP="00EA0CC8">
      <w:pPr>
        <w:pStyle w:val="Corpodetexto"/>
        <w:jc w:val="center"/>
        <w:rPr>
          <w:rFonts w:ascii="Garamond" w:hAnsi="Garamond"/>
          <w:b/>
          <w:lang w:eastAsia="pt-BR"/>
        </w:rPr>
      </w:pPr>
      <w:r w:rsidRPr="0020569B">
        <w:rPr>
          <w:rFonts w:ascii="Garamond" w:hAnsi="Garamond"/>
          <w:b/>
          <w:lang w:eastAsia="pt-BR"/>
        </w:rPr>
        <w:t>Seção IX</w:t>
      </w:r>
    </w:p>
    <w:p w14:paraId="648BED7C" w14:textId="4982FFB4" w:rsidR="00395593" w:rsidRPr="005C5CBD" w:rsidRDefault="00395593" w:rsidP="00EA0CC8">
      <w:pPr>
        <w:pStyle w:val="Corpodetexto"/>
        <w:jc w:val="center"/>
        <w:rPr>
          <w:lang w:eastAsia="pt-BR"/>
        </w:rPr>
      </w:pPr>
      <w:r w:rsidRPr="0020569B">
        <w:rPr>
          <w:rFonts w:ascii="Garamond" w:hAnsi="Garamond"/>
          <w:b/>
          <w:lang w:eastAsia="pt-BR"/>
        </w:rPr>
        <w:t>Dos Subsídios</w:t>
      </w:r>
    </w:p>
    <w:p w14:paraId="67229EF6" w14:textId="77777777" w:rsidR="00395593" w:rsidRPr="005C5CBD" w:rsidRDefault="00395593" w:rsidP="00E15FBB">
      <w:pPr>
        <w:spacing w:after="0" w:line="240" w:lineRule="auto"/>
        <w:ind w:firstLine="708"/>
        <w:jc w:val="both"/>
        <w:rPr>
          <w:rFonts w:ascii="Garamond" w:eastAsia="Calibri" w:hAnsi="Garamond" w:cs="Calibri"/>
          <w:sz w:val="24"/>
          <w:szCs w:val="24"/>
        </w:rPr>
      </w:pPr>
    </w:p>
    <w:p w14:paraId="3639394E"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156. A petição deverá conter indícios suficientes da existência de subsídios e, se possível, de seu montante</w:t>
      </w:r>
      <w:r w:rsidRPr="005C5CBD">
        <w:rPr>
          <w:rFonts w:ascii="Garamond" w:eastAsia="Times New Roman" w:hAnsi="Garamond" w:cs="Calibri"/>
          <w:color w:val="000000"/>
          <w:sz w:val="24"/>
          <w:szCs w:val="24"/>
          <w:lang w:eastAsia="pt-BR"/>
        </w:rPr>
        <w:t>, observado o disposto no art. 6º</w:t>
      </w:r>
      <w:r w:rsidRPr="005C5CBD">
        <w:rPr>
          <w:rFonts w:ascii="Garamond" w:eastAsia="Times New Roman" w:hAnsi="Garamond" w:cs="Calibri"/>
          <w:sz w:val="24"/>
          <w:szCs w:val="24"/>
          <w:lang w:eastAsia="pt-BR"/>
        </w:rPr>
        <w:t xml:space="preserve">. </w:t>
      </w:r>
    </w:p>
    <w:p w14:paraId="4C583B6E"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6FECB97C"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Para fornecimento das informações solicitadas nesta Seção deverá ser utilizada, de forma complementar, a tabela constante no Apêndice III desta Portaria.</w:t>
      </w:r>
    </w:p>
    <w:p w14:paraId="6794B1AC"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4E70F56A" w14:textId="77777777" w:rsidR="00395593" w:rsidRPr="005C5CBD" w:rsidRDefault="00395593" w:rsidP="00D11385">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2º </w:t>
      </w:r>
      <w:r w:rsidRPr="005C5CBD" w:rsidDel="007905E5">
        <w:rPr>
          <w:rFonts w:ascii="Garamond" w:eastAsia="Calibri" w:hAnsi="Garamond" w:cs="Calibri"/>
          <w:sz w:val="24"/>
          <w:szCs w:val="24"/>
        </w:rPr>
        <w:t xml:space="preserve"> </w:t>
      </w:r>
      <w:r w:rsidRPr="005C5CBD">
        <w:rPr>
          <w:rFonts w:ascii="Garamond" w:eastAsia="Calibri" w:hAnsi="Garamond" w:cs="Calibri"/>
          <w:sz w:val="24"/>
          <w:szCs w:val="24"/>
        </w:rPr>
        <w:t>Caso não seja possível fornecer algumas das informações previstas nesta Seção, o peticionário deverá justificar tal fato.</w:t>
      </w:r>
    </w:p>
    <w:p w14:paraId="5E83CCDB" w14:textId="77777777" w:rsidR="00395593" w:rsidRPr="005C5CBD" w:rsidRDefault="00395593" w:rsidP="00E15FBB">
      <w:pPr>
        <w:spacing w:after="0" w:line="240" w:lineRule="auto"/>
        <w:jc w:val="both"/>
        <w:rPr>
          <w:rFonts w:ascii="Garamond" w:eastAsia="Calibri" w:hAnsi="Garamond" w:cs="Calibri"/>
          <w:sz w:val="24"/>
          <w:szCs w:val="24"/>
        </w:rPr>
      </w:pPr>
    </w:p>
    <w:p w14:paraId="0156D63D"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3º O peticionário deverá observar o disposto no art. 5º acerca das fontes de informação aceitas para fins de instrução da petição.</w:t>
      </w:r>
    </w:p>
    <w:p w14:paraId="7B658C1E" w14:textId="77777777" w:rsidR="00395593" w:rsidRPr="005C5CBD" w:rsidRDefault="00395593" w:rsidP="00D11385">
      <w:pPr>
        <w:tabs>
          <w:tab w:val="left" w:pos="9639"/>
        </w:tabs>
        <w:spacing w:after="0" w:line="240" w:lineRule="auto"/>
        <w:ind w:firstLineChars="100" w:firstLine="240"/>
        <w:jc w:val="both"/>
        <w:rPr>
          <w:rFonts w:ascii="Garamond" w:eastAsia="Calibri" w:hAnsi="Garamond" w:cs="Calibri"/>
          <w:sz w:val="24"/>
          <w:szCs w:val="24"/>
        </w:rPr>
      </w:pPr>
    </w:p>
    <w:p w14:paraId="01BD5051"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157.</w:t>
      </w:r>
      <w:r w:rsidRPr="005C5CBD">
        <w:rPr>
          <w:rFonts w:ascii="Garamond" w:eastAsia="Calibri" w:hAnsi="Garamond" w:cs="Calibri"/>
          <w:sz w:val="24"/>
          <w:szCs w:val="24"/>
        </w:rPr>
        <w:t xml:space="preserve"> A petição deverá indicar o país exportador do produto objeto da investigação. </w:t>
      </w:r>
    </w:p>
    <w:p w14:paraId="56BEE45A"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744B41FD"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xml:space="preserve">§ 1º  O termo "país exportador" será entendido como o país, de origem ou de exportação, onde é concedido o subsídio. </w:t>
      </w:r>
    </w:p>
    <w:p w14:paraId="062F69F8"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640107AA"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2º  Caso o país de origem e o país de exportação concedam subsídios ao mesmo produto, ambos poderão ser simultaneamente investigados.</w:t>
      </w:r>
    </w:p>
    <w:p w14:paraId="168FE3EB"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p>
    <w:p w14:paraId="29277C13" w14:textId="77777777" w:rsidR="00395593" w:rsidRPr="005C5CBD" w:rsidRDefault="00395593" w:rsidP="00D11385">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158.</w:t>
      </w:r>
      <w:r w:rsidRPr="005C5CBD">
        <w:rPr>
          <w:rFonts w:ascii="Garamond" w:eastAsia="Calibri" w:hAnsi="Garamond" w:cs="Calibri"/>
          <w:sz w:val="24"/>
          <w:szCs w:val="24"/>
        </w:rPr>
        <w:t xml:space="preserve"> Para cada país exportador, a petição deverá informar o nome e o endereço dos produtores/exportadores estrangeiros conhecidos.</w:t>
      </w:r>
    </w:p>
    <w:p w14:paraId="6ACFA63D" w14:textId="77777777" w:rsidR="00395593" w:rsidRPr="005C5CBD" w:rsidRDefault="00395593" w:rsidP="00E15FBB">
      <w:pPr>
        <w:spacing w:after="0" w:line="240" w:lineRule="auto"/>
        <w:jc w:val="both"/>
        <w:rPr>
          <w:rFonts w:ascii="Garamond" w:eastAsia="Calibri" w:hAnsi="Garamond" w:cs="Calibri"/>
          <w:sz w:val="24"/>
          <w:szCs w:val="24"/>
        </w:rPr>
      </w:pPr>
    </w:p>
    <w:p w14:paraId="3B295AFC" w14:textId="77777777" w:rsidR="00395593" w:rsidRPr="0020569B" w:rsidRDefault="00395593" w:rsidP="00EA0CC8">
      <w:pPr>
        <w:pStyle w:val="Corpodetexto"/>
        <w:jc w:val="center"/>
        <w:rPr>
          <w:rFonts w:ascii="Garamond" w:eastAsia="MS Gothic" w:hAnsi="Garamond"/>
          <w:b/>
          <w:color w:val="4F81BD"/>
          <w:lang w:eastAsia="pt-BR"/>
        </w:rPr>
      </w:pPr>
      <w:r w:rsidRPr="0020569B">
        <w:rPr>
          <w:rFonts w:ascii="Garamond" w:eastAsia="MS Gothic" w:hAnsi="Garamond"/>
          <w:b/>
          <w:lang w:eastAsia="pt-BR"/>
        </w:rPr>
        <w:t>Subseção I</w:t>
      </w:r>
    </w:p>
    <w:p w14:paraId="3C9453E2" w14:textId="77777777" w:rsidR="00395593" w:rsidRPr="005C5CBD" w:rsidRDefault="00395593" w:rsidP="00EA0CC8">
      <w:pPr>
        <w:pStyle w:val="Corpodetexto"/>
        <w:jc w:val="center"/>
        <w:rPr>
          <w:rFonts w:eastAsia="MS Gothic"/>
          <w:color w:val="4F81BD"/>
          <w:lang w:eastAsia="pt-BR"/>
        </w:rPr>
      </w:pPr>
      <w:r w:rsidRPr="0020569B">
        <w:rPr>
          <w:rFonts w:ascii="Garamond" w:eastAsia="MS Gothic" w:hAnsi="Garamond"/>
          <w:b/>
          <w:lang w:eastAsia="pt-BR"/>
        </w:rPr>
        <w:t>Da Contribuição Financeira e do Benefício</w:t>
      </w:r>
    </w:p>
    <w:p w14:paraId="2162D2E1" w14:textId="77777777" w:rsidR="00395593" w:rsidRPr="005C5CBD" w:rsidRDefault="00395593" w:rsidP="00E15FBB">
      <w:pPr>
        <w:autoSpaceDE w:val="0"/>
        <w:autoSpaceDN w:val="0"/>
        <w:adjustRightInd w:val="0"/>
        <w:spacing w:after="0" w:line="240" w:lineRule="auto"/>
        <w:rPr>
          <w:rFonts w:ascii="Garamond" w:eastAsia="Calibri" w:hAnsi="Garamond" w:cs="Calibri"/>
          <w:color w:val="003366"/>
          <w:sz w:val="24"/>
          <w:szCs w:val="24"/>
        </w:rPr>
      </w:pPr>
    </w:p>
    <w:p w14:paraId="6740CA0B" w14:textId="77777777" w:rsidR="00395593" w:rsidRPr="005C5CBD" w:rsidRDefault="00395593" w:rsidP="00D11385">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159.</w:t>
      </w:r>
      <w:r w:rsidRPr="005C5CBD">
        <w:rPr>
          <w:rFonts w:ascii="Garamond" w:eastAsia="Calibri" w:hAnsi="Garamond" w:cs="Calibri"/>
          <w:sz w:val="24"/>
          <w:szCs w:val="24"/>
        </w:rPr>
        <w:t xml:space="preserve"> A petição deverá conter indícios da existência de subsídio por meio da identificação de programas de subsídio, considerando como programa de subsídio cada uma das ações, políticas, práticas ou intervenções governamentais, de nível nacional ou subnacional, individualmente identificáveis, e indicando para cada um desses programas:</w:t>
      </w:r>
    </w:p>
    <w:p w14:paraId="3B93ECB3" w14:textId="77777777" w:rsidR="00395593" w:rsidRPr="005C5CBD" w:rsidRDefault="00395593" w:rsidP="00D11385">
      <w:pPr>
        <w:spacing w:after="0" w:line="240" w:lineRule="auto"/>
        <w:ind w:firstLine="567"/>
        <w:jc w:val="both"/>
        <w:rPr>
          <w:rFonts w:ascii="Garamond" w:eastAsia="Calibri" w:hAnsi="Garamond" w:cs="Calibri"/>
          <w:sz w:val="24"/>
          <w:szCs w:val="24"/>
        </w:rPr>
      </w:pPr>
    </w:p>
    <w:p w14:paraId="34EC6DAA" w14:textId="77777777" w:rsidR="00395593" w:rsidRPr="005C5CBD" w:rsidRDefault="00395593" w:rsidP="00D11385">
      <w:pPr>
        <w:autoSpaceDE w:val="0"/>
        <w:autoSpaceDN w:val="0"/>
        <w:adjustRightInd w:val="0"/>
        <w:spacing w:after="0" w:line="240" w:lineRule="auto"/>
        <w:ind w:firstLine="567"/>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 - a autoridade outorgante responsável pela concessão e/ou pela administração do programa de subsídio; </w:t>
      </w:r>
    </w:p>
    <w:p w14:paraId="6D37D60A" w14:textId="77777777" w:rsidR="00395593" w:rsidRPr="005C5CBD" w:rsidRDefault="00395593" w:rsidP="00D11385">
      <w:pPr>
        <w:autoSpaceDE w:val="0"/>
        <w:autoSpaceDN w:val="0"/>
        <w:adjustRightInd w:val="0"/>
        <w:spacing w:after="0" w:line="240" w:lineRule="auto"/>
        <w:ind w:firstLine="567"/>
        <w:rPr>
          <w:rFonts w:ascii="Garamond" w:eastAsia="Calibri" w:hAnsi="Garamond" w:cs="Calibri"/>
          <w:sz w:val="24"/>
          <w:szCs w:val="24"/>
          <w:lang w:eastAsia="pt-BR"/>
        </w:rPr>
      </w:pPr>
    </w:p>
    <w:p w14:paraId="121B422F" w14:textId="77777777" w:rsidR="00395593" w:rsidRPr="005C5CBD" w:rsidRDefault="00395593" w:rsidP="00D11385">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II - a descrição do programa de subsídio (objetivos, fontes dos recursos, montante total, natureza e operação);</w:t>
      </w:r>
    </w:p>
    <w:p w14:paraId="3AC6C4FD" w14:textId="77777777" w:rsidR="00395593" w:rsidRPr="005C5CBD" w:rsidRDefault="00395593" w:rsidP="00D11385">
      <w:pPr>
        <w:autoSpaceDE w:val="0"/>
        <w:autoSpaceDN w:val="0"/>
        <w:adjustRightInd w:val="0"/>
        <w:spacing w:after="0" w:line="240" w:lineRule="auto"/>
        <w:ind w:firstLine="567"/>
        <w:rPr>
          <w:rFonts w:ascii="Garamond" w:eastAsia="Calibri" w:hAnsi="Garamond" w:cs="Calibri"/>
          <w:sz w:val="24"/>
          <w:szCs w:val="24"/>
          <w:lang w:eastAsia="pt-BR"/>
        </w:rPr>
      </w:pPr>
    </w:p>
    <w:p w14:paraId="767FF56C" w14:textId="77777777" w:rsidR="00395593" w:rsidRPr="005C5CBD" w:rsidRDefault="00395593" w:rsidP="00D11385">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III - a forma de contribuição financeira ou sustentação de renda ou de preços conferida </w:t>
      </w:r>
      <w:r w:rsidRPr="005C5CBD">
        <w:rPr>
          <w:rFonts w:ascii="Garamond" w:eastAsia="Times New Roman" w:hAnsi="Garamond" w:cs="Calibri"/>
          <w:sz w:val="24"/>
          <w:szCs w:val="24"/>
          <w:lang w:eastAsia="pt-BR"/>
        </w:rPr>
        <w:t>no âmbito do programa de subsídio, classificando-a como:</w:t>
      </w:r>
    </w:p>
    <w:p w14:paraId="25F7366F" w14:textId="77777777" w:rsidR="00395593" w:rsidRPr="005C5CBD" w:rsidRDefault="00395593" w:rsidP="00D11385">
      <w:pPr>
        <w:autoSpaceDE w:val="0"/>
        <w:autoSpaceDN w:val="0"/>
        <w:adjustRightInd w:val="0"/>
        <w:spacing w:after="0" w:line="240" w:lineRule="auto"/>
        <w:ind w:firstLine="567"/>
        <w:jc w:val="both"/>
        <w:rPr>
          <w:rFonts w:ascii="Garamond" w:eastAsia="Calibri" w:hAnsi="Garamond" w:cs="Calibri"/>
          <w:sz w:val="24"/>
          <w:szCs w:val="24"/>
          <w:lang w:eastAsia="pt-BR"/>
        </w:rPr>
      </w:pPr>
    </w:p>
    <w:p w14:paraId="17F00017" w14:textId="77777777" w:rsidR="00395593" w:rsidRPr="005C5CBD" w:rsidRDefault="00395593" w:rsidP="00D11385">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a) transferência direta de fundos (doações, empréstimos, aportes de capital, entre outros) ou potenciais transferências diretas de fundos (garantias de empréstimos, entre outros); </w:t>
      </w:r>
    </w:p>
    <w:p w14:paraId="6D403BEF" w14:textId="77777777" w:rsidR="00395593" w:rsidRPr="005C5CBD" w:rsidRDefault="00395593" w:rsidP="00D11385">
      <w:pPr>
        <w:autoSpaceDE w:val="0"/>
        <w:autoSpaceDN w:val="0"/>
        <w:adjustRightInd w:val="0"/>
        <w:spacing w:after="0" w:line="240" w:lineRule="auto"/>
        <w:ind w:firstLine="567"/>
        <w:jc w:val="both"/>
        <w:rPr>
          <w:rFonts w:ascii="Garamond" w:eastAsia="Calibri" w:hAnsi="Garamond" w:cs="Calibri"/>
          <w:sz w:val="24"/>
          <w:szCs w:val="24"/>
          <w:lang w:eastAsia="pt-BR"/>
        </w:rPr>
      </w:pPr>
    </w:p>
    <w:p w14:paraId="544827E6" w14:textId="77777777" w:rsidR="00395593" w:rsidRPr="005C5CBD" w:rsidRDefault="00395593" w:rsidP="00D11385">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b) perdão ou não recolhimento de receitas públicas devidas (incentivos fiscais, entre outros); </w:t>
      </w:r>
    </w:p>
    <w:p w14:paraId="6F2F87EE" w14:textId="77777777" w:rsidR="00395593" w:rsidRPr="005C5CBD" w:rsidRDefault="00395593" w:rsidP="00D11385">
      <w:pPr>
        <w:autoSpaceDE w:val="0"/>
        <w:autoSpaceDN w:val="0"/>
        <w:adjustRightInd w:val="0"/>
        <w:spacing w:after="0" w:line="240" w:lineRule="auto"/>
        <w:ind w:firstLine="567"/>
        <w:jc w:val="both"/>
        <w:rPr>
          <w:rFonts w:ascii="Garamond" w:eastAsia="Calibri" w:hAnsi="Garamond" w:cs="Calibri"/>
          <w:sz w:val="24"/>
          <w:szCs w:val="24"/>
          <w:lang w:eastAsia="pt-BR"/>
        </w:rPr>
      </w:pPr>
    </w:p>
    <w:p w14:paraId="0D7EAC73" w14:textId="77777777" w:rsidR="00395593" w:rsidRPr="005C5CBD" w:rsidRDefault="00395593" w:rsidP="00D11385">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c) fornecimento pelo governo de bens ou serviços além daqueles destinados à infraestrutura geral, ou a aquisição de bens pelo governo;</w:t>
      </w:r>
    </w:p>
    <w:p w14:paraId="4FAA7C56" w14:textId="77777777" w:rsidR="00395593" w:rsidRPr="005C5CBD" w:rsidRDefault="00395593" w:rsidP="00D11385">
      <w:pPr>
        <w:autoSpaceDE w:val="0"/>
        <w:autoSpaceDN w:val="0"/>
        <w:adjustRightInd w:val="0"/>
        <w:spacing w:after="0" w:line="240" w:lineRule="auto"/>
        <w:ind w:firstLine="567"/>
        <w:jc w:val="both"/>
        <w:rPr>
          <w:rFonts w:ascii="Garamond" w:eastAsia="Calibri" w:hAnsi="Garamond" w:cs="Calibri"/>
          <w:sz w:val="24"/>
          <w:szCs w:val="24"/>
          <w:lang w:eastAsia="pt-BR"/>
        </w:rPr>
      </w:pPr>
    </w:p>
    <w:p w14:paraId="5A70D0CC" w14:textId="77777777" w:rsidR="00395593" w:rsidRPr="005C5CBD" w:rsidRDefault="00395593" w:rsidP="00D11385">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d) realização pelo governo de pagamentos a um mecanismo de financiamento para provimento de contribuição financeira, ou instrução ou confiança à entidade privada do provimento de contribuição financeira mediante o desempenho de uma ou mais das funções descritas nas alíneas anteriores, as quais seriam normalmente incumbência do governo, e cuja prática não difira, de modo significativo, das práticas habitualmente seguidas pelos governos; ou</w:t>
      </w:r>
    </w:p>
    <w:p w14:paraId="35070EFB" w14:textId="77777777" w:rsidR="00395593" w:rsidRPr="005C5CBD" w:rsidRDefault="00395593" w:rsidP="00D11385">
      <w:pPr>
        <w:autoSpaceDE w:val="0"/>
        <w:autoSpaceDN w:val="0"/>
        <w:adjustRightInd w:val="0"/>
        <w:spacing w:after="0" w:line="240" w:lineRule="auto"/>
        <w:ind w:firstLine="567"/>
        <w:rPr>
          <w:rFonts w:ascii="Garamond" w:eastAsia="Calibri" w:hAnsi="Garamond" w:cs="Calibri"/>
          <w:sz w:val="24"/>
          <w:szCs w:val="24"/>
          <w:lang w:eastAsia="pt-BR"/>
        </w:rPr>
      </w:pPr>
    </w:p>
    <w:p w14:paraId="6AD68A19" w14:textId="77777777" w:rsidR="00395593" w:rsidRPr="005C5CBD" w:rsidRDefault="00395593" w:rsidP="00D11385">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e) sustentação de renda ou de preços que, direta ou indiretamente, contribua para aumentar exportações ou reduzir importações de um produto qualquer; e</w:t>
      </w:r>
    </w:p>
    <w:p w14:paraId="437CD5E5" w14:textId="77777777" w:rsidR="00395593" w:rsidRPr="005C5CBD" w:rsidRDefault="00395593" w:rsidP="00D11385">
      <w:pPr>
        <w:autoSpaceDE w:val="0"/>
        <w:autoSpaceDN w:val="0"/>
        <w:adjustRightInd w:val="0"/>
        <w:spacing w:after="0" w:line="240" w:lineRule="auto"/>
        <w:ind w:firstLine="567"/>
        <w:jc w:val="both"/>
        <w:rPr>
          <w:rFonts w:ascii="Garamond" w:eastAsia="Calibri" w:hAnsi="Garamond" w:cs="Calibri"/>
          <w:sz w:val="24"/>
          <w:szCs w:val="24"/>
          <w:lang w:eastAsia="pt-BR"/>
        </w:rPr>
      </w:pPr>
    </w:p>
    <w:p w14:paraId="272692ED" w14:textId="77777777" w:rsidR="00395593" w:rsidRPr="005C5CBD" w:rsidRDefault="00395593" w:rsidP="00D11385">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IV - a legislação, os regulamentos e outros documentos relevantes conhecidos referentes ao programa de subsídio, incluindo cópias da documentação.</w:t>
      </w:r>
    </w:p>
    <w:p w14:paraId="0DDF54AF" w14:textId="77777777" w:rsidR="00395593" w:rsidRPr="005C5CBD" w:rsidRDefault="00395593" w:rsidP="00E15FBB">
      <w:pPr>
        <w:autoSpaceDE w:val="0"/>
        <w:autoSpaceDN w:val="0"/>
        <w:adjustRightInd w:val="0"/>
        <w:spacing w:after="0" w:line="240" w:lineRule="auto"/>
        <w:rPr>
          <w:rFonts w:ascii="Garamond" w:eastAsia="Calibri" w:hAnsi="Garamond" w:cs="Calibri"/>
          <w:sz w:val="24"/>
          <w:szCs w:val="24"/>
          <w:lang w:eastAsia="pt-BR"/>
        </w:rPr>
      </w:pPr>
    </w:p>
    <w:p w14:paraId="4BC07518" w14:textId="77777777" w:rsidR="00395593" w:rsidRPr="005C5CBD" w:rsidRDefault="00395593" w:rsidP="00D11385">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160.</w:t>
      </w:r>
      <w:r w:rsidRPr="005C5CBD">
        <w:rPr>
          <w:rFonts w:ascii="Garamond" w:eastAsia="Calibri" w:hAnsi="Garamond" w:cs="Calibri"/>
          <w:sz w:val="24"/>
          <w:szCs w:val="24"/>
        </w:rPr>
        <w:t xml:space="preserve"> A petição deverá conter indícios do benefício conferido em função da contribuição financeira ou da sustentação de renda ou de preços constatada no âmbito do programa de subsídio, incluindo, na medida do possível:</w:t>
      </w:r>
    </w:p>
    <w:p w14:paraId="31590A6A" w14:textId="77777777" w:rsidR="00395593" w:rsidRPr="005C5CBD" w:rsidRDefault="00395593" w:rsidP="00D11385">
      <w:pPr>
        <w:spacing w:after="0" w:line="240" w:lineRule="auto"/>
        <w:ind w:firstLine="567"/>
        <w:jc w:val="both"/>
        <w:rPr>
          <w:rFonts w:ascii="Garamond" w:eastAsia="Calibri" w:hAnsi="Garamond" w:cs="Calibri"/>
          <w:sz w:val="24"/>
          <w:szCs w:val="24"/>
        </w:rPr>
      </w:pPr>
    </w:p>
    <w:p w14:paraId="3FF13F2D" w14:textId="70C90028" w:rsidR="00395593" w:rsidRPr="005C5CBD" w:rsidRDefault="00395593" w:rsidP="00D11385">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I - </w:t>
      </w:r>
      <w:r w:rsidRPr="005C5CBD">
        <w:rPr>
          <w:rFonts w:ascii="Garamond" w:eastAsia="Calibri" w:hAnsi="Garamond" w:cs="Calibri"/>
          <w:sz w:val="24"/>
          <w:szCs w:val="24"/>
          <w:lang w:eastAsia="pt-BR"/>
        </w:rPr>
        <w:t xml:space="preserve">razões pelas quais se acredita que os produtores/exportadores identificados no art. </w:t>
      </w:r>
      <w:r w:rsidR="00701DA1">
        <w:rPr>
          <w:rFonts w:ascii="Garamond" w:eastAsia="Calibri" w:hAnsi="Garamond" w:cs="Calibri"/>
          <w:sz w:val="24"/>
          <w:szCs w:val="24"/>
          <w:lang w:eastAsia="pt-BR"/>
        </w:rPr>
        <w:t>158</w:t>
      </w:r>
      <w:r w:rsidR="00E15FBB" w:rsidRPr="005C5CBD">
        <w:rPr>
          <w:rFonts w:ascii="Garamond" w:eastAsia="Calibri" w:hAnsi="Garamond" w:cs="Calibri"/>
          <w:sz w:val="24"/>
          <w:szCs w:val="24"/>
          <w:lang w:eastAsia="pt-BR"/>
        </w:rPr>
        <w:t xml:space="preserve"> se beneficiaram de cada programa de subsídio elencado nos termos do art.</w:t>
      </w:r>
      <w:r w:rsidR="00701DA1">
        <w:rPr>
          <w:rFonts w:ascii="Garamond" w:eastAsia="Calibri" w:hAnsi="Garamond" w:cs="Calibri"/>
          <w:sz w:val="24"/>
          <w:szCs w:val="24"/>
          <w:lang w:eastAsia="pt-BR"/>
        </w:rPr>
        <w:t xml:space="preserve"> 159</w:t>
      </w:r>
      <w:r w:rsidR="00E15FBB" w:rsidRPr="005C5CBD">
        <w:rPr>
          <w:rFonts w:ascii="Garamond" w:eastAsia="Calibri" w:hAnsi="Garamond" w:cs="Calibri"/>
          <w:sz w:val="24"/>
          <w:szCs w:val="24"/>
          <w:lang w:eastAsia="pt-BR"/>
        </w:rPr>
        <w:t>,</w:t>
      </w:r>
      <w:r w:rsidRPr="005C5CBD">
        <w:rPr>
          <w:rFonts w:ascii="Garamond" w:eastAsia="Calibri" w:hAnsi="Garamond" w:cs="Calibri"/>
          <w:sz w:val="24"/>
          <w:szCs w:val="24"/>
          <w:lang w:eastAsia="pt-BR"/>
        </w:rPr>
        <w:t xml:space="preserve"> seja diretamente ou por meio do grupo econômico ao qual pertencem ou de suas partes relacionadas ou associadas;</w:t>
      </w:r>
    </w:p>
    <w:p w14:paraId="251183CE" w14:textId="77777777" w:rsidR="00E15FBB" w:rsidRPr="005C5CBD" w:rsidRDefault="00E15FBB" w:rsidP="00D11385">
      <w:pPr>
        <w:autoSpaceDE w:val="0"/>
        <w:autoSpaceDN w:val="0"/>
        <w:adjustRightInd w:val="0"/>
        <w:spacing w:after="0" w:line="240" w:lineRule="auto"/>
        <w:ind w:firstLine="567"/>
        <w:jc w:val="both"/>
        <w:rPr>
          <w:rFonts w:ascii="Garamond" w:eastAsia="Calibri" w:hAnsi="Garamond" w:cs="Calibri"/>
          <w:sz w:val="24"/>
          <w:szCs w:val="24"/>
          <w:lang w:eastAsia="pt-BR"/>
        </w:rPr>
      </w:pPr>
    </w:p>
    <w:p w14:paraId="2BFA433D" w14:textId="0AEE0055" w:rsidR="00E15FBB" w:rsidRPr="005C5CBD" w:rsidRDefault="00E15FBB"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referências de mercado (</w:t>
      </w:r>
      <w:r w:rsidRPr="005C5CBD">
        <w:rPr>
          <w:rFonts w:ascii="Garamond" w:eastAsia="Times New Roman" w:hAnsi="Garamond" w:cs="Calibri"/>
          <w:b/>
          <w:sz w:val="24"/>
          <w:szCs w:val="24"/>
          <w:lang w:eastAsia="pt-BR"/>
        </w:rPr>
        <w:t>benchmark</w:t>
      </w:r>
      <w:r w:rsidRPr="005C5CBD">
        <w:rPr>
          <w:rFonts w:ascii="Garamond" w:eastAsia="Times New Roman" w:hAnsi="Garamond" w:cs="Calibri"/>
          <w:sz w:val="24"/>
          <w:szCs w:val="24"/>
          <w:lang w:eastAsia="pt-BR"/>
        </w:rPr>
        <w:t xml:space="preserve">) adequadas para identificar o benefício decorrente do referido programa de subsídio, nos termos do </w:t>
      </w:r>
      <w:r w:rsidRPr="005C5CBD">
        <w:rPr>
          <w:rFonts w:ascii="Garamond" w:eastAsia="Calibri" w:hAnsi="Garamond" w:cs="Calibri"/>
          <w:sz w:val="24"/>
          <w:szCs w:val="24"/>
          <w:lang w:eastAsia="pt-BR"/>
        </w:rPr>
        <w:t xml:space="preserve">§3º do Art. </w:t>
      </w:r>
      <w:r w:rsidR="00701DA1">
        <w:rPr>
          <w:rFonts w:ascii="Garamond" w:eastAsia="Calibri" w:hAnsi="Garamond" w:cs="Calibri"/>
          <w:sz w:val="24"/>
          <w:szCs w:val="24"/>
          <w:lang w:eastAsia="pt-BR"/>
        </w:rPr>
        <w:t>24</w:t>
      </w:r>
      <w:r w:rsidRPr="005C5CBD">
        <w:rPr>
          <w:rFonts w:ascii="Garamond" w:eastAsia="Times New Roman" w:hAnsi="Garamond" w:cs="Calibri"/>
          <w:sz w:val="24"/>
          <w:szCs w:val="24"/>
          <w:lang w:eastAsia="pt-BR"/>
        </w:rPr>
        <w:t>;</w:t>
      </w:r>
    </w:p>
    <w:p w14:paraId="3AF246FD"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7B9A2ADA"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w:t>
      </w:r>
      <w:r w:rsidRPr="005C5CBD" w:rsidDel="00FA75AD">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 xml:space="preserve">o tratamento tributário que seria normalmente aplicável na ausência do programa de subsídio, caso o benefício refira-se a tratamento tributário mais vantajoso à empresa beneficiada; </w:t>
      </w:r>
    </w:p>
    <w:p w14:paraId="646AF051"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75924ED4" w14:textId="77777777" w:rsidR="00395593" w:rsidRPr="005C5CBD" w:rsidRDefault="00395593" w:rsidP="00D11385">
      <w:pPr>
        <w:spacing w:after="0"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IV - o </w:t>
      </w:r>
      <w:r w:rsidRPr="005C5CBD">
        <w:rPr>
          <w:rFonts w:ascii="Garamond" w:eastAsia="Calibri" w:hAnsi="Garamond" w:cs="Calibri"/>
          <w:sz w:val="24"/>
          <w:szCs w:val="24"/>
          <w:lang w:eastAsia="pt-BR"/>
        </w:rPr>
        <w:t>montante estimado do subsídio concedido aos produtores e/ou exportadores do produto em questão com base no benefício conferido.</w:t>
      </w:r>
    </w:p>
    <w:p w14:paraId="08E72171"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25FA9A6F"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A estimativa de montante de subsídios concedido deverá basear-se no benefício conferido, apurado, caso aplicável, a partir da diferença entre a contribuição financeira e a referência de mercado (</w:t>
      </w:r>
      <w:r w:rsidRPr="005C5CBD">
        <w:rPr>
          <w:rFonts w:ascii="Garamond" w:eastAsia="Times New Roman" w:hAnsi="Garamond" w:cs="Calibri"/>
          <w:b/>
          <w:sz w:val="24"/>
          <w:szCs w:val="24"/>
          <w:lang w:eastAsia="pt-BR"/>
        </w:rPr>
        <w:t>benchmark</w:t>
      </w:r>
      <w:r w:rsidRPr="005C5CBD">
        <w:rPr>
          <w:rFonts w:ascii="Garamond" w:eastAsia="Times New Roman" w:hAnsi="Garamond" w:cs="Calibri"/>
          <w:sz w:val="24"/>
          <w:szCs w:val="24"/>
          <w:lang w:eastAsia="pt-BR"/>
        </w:rPr>
        <w:t>).</w:t>
      </w:r>
    </w:p>
    <w:p w14:paraId="1A035883"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0D67584F" w14:textId="77777777" w:rsidR="00395593" w:rsidRPr="005C5CBD" w:rsidRDefault="00395593" w:rsidP="00D11385">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161.</w:t>
      </w:r>
      <w:r w:rsidRPr="005C5CBD">
        <w:rPr>
          <w:rFonts w:ascii="Garamond" w:eastAsia="Calibri" w:hAnsi="Garamond" w:cs="Calibri"/>
          <w:sz w:val="24"/>
          <w:szCs w:val="24"/>
        </w:rPr>
        <w:t xml:space="preserve"> A petição deverá indicar a vida útil média dos ativos produtivos renováveis comumente utilizada na indústria na qual se insere o produto objeto da investigação.</w:t>
      </w:r>
    </w:p>
    <w:p w14:paraId="50B38373" w14:textId="77777777" w:rsidR="00395593" w:rsidRPr="005C5CBD" w:rsidRDefault="00395593" w:rsidP="00D11385">
      <w:pPr>
        <w:spacing w:after="0" w:line="240" w:lineRule="auto"/>
        <w:ind w:firstLine="567"/>
        <w:jc w:val="both"/>
        <w:rPr>
          <w:rFonts w:ascii="Garamond" w:eastAsia="Calibri" w:hAnsi="Garamond" w:cs="Calibri"/>
          <w:sz w:val="24"/>
          <w:szCs w:val="24"/>
        </w:rPr>
      </w:pPr>
    </w:p>
    <w:p w14:paraId="11C6A7D3"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Parágrafo único. Sempre que possível, deverá ser indicada a vida útil média utilizada no país no qual o produto objeto da investigação é produzido. </w:t>
      </w:r>
    </w:p>
    <w:p w14:paraId="0D21035A"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468A41ED" w14:textId="1AD6D7E4" w:rsidR="00395593" w:rsidRPr="005C5CBD" w:rsidRDefault="00395593" w:rsidP="00D11385">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162.</w:t>
      </w:r>
      <w:r w:rsidRPr="005C5CBD">
        <w:rPr>
          <w:rFonts w:ascii="Garamond" w:eastAsia="Calibri" w:hAnsi="Garamond" w:cs="Calibri"/>
          <w:sz w:val="24"/>
          <w:szCs w:val="24"/>
        </w:rPr>
        <w:t xml:space="preserve"> A petição deverá indicar, se possível, as empresas fornecedoras de bens ou serviços para os produtores/exportadores identificados no art. </w:t>
      </w:r>
      <w:r w:rsidR="00701DA1">
        <w:rPr>
          <w:rFonts w:ascii="Garamond" w:eastAsia="Calibri" w:hAnsi="Garamond" w:cs="Calibri"/>
          <w:sz w:val="24"/>
          <w:szCs w:val="24"/>
        </w:rPr>
        <w:t>158</w:t>
      </w:r>
      <w:r w:rsidRPr="005C5CBD">
        <w:rPr>
          <w:rFonts w:ascii="Garamond" w:eastAsia="Calibri" w:hAnsi="Garamond" w:cs="Calibri"/>
          <w:sz w:val="24"/>
          <w:szCs w:val="24"/>
        </w:rPr>
        <w:t xml:space="preserve"> que tenham se beneficiado do programa de subsídio, caso haja indícios de concessão de subsídios a montante aos insumos do produto subsidiado no país exportador.</w:t>
      </w:r>
    </w:p>
    <w:p w14:paraId="410FFDB6" w14:textId="77777777" w:rsidR="00395593" w:rsidRPr="005C5CBD" w:rsidRDefault="00395593" w:rsidP="00D11385">
      <w:pPr>
        <w:spacing w:after="0" w:line="240" w:lineRule="auto"/>
        <w:ind w:firstLine="567"/>
        <w:jc w:val="both"/>
        <w:rPr>
          <w:rFonts w:ascii="Garamond" w:eastAsia="Calibri" w:hAnsi="Garamond" w:cs="Calibri"/>
          <w:sz w:val="24"/>
          <w:szCs w:val="24"/>
        </w:rPr>
      </w:pPr>
    </w:p>
    <w:p w14:paraId="1D84F614" w14:textId="15DF74A3" w:rsidR="00395593" w:rsidRPr="005C5CBD" w:rsidRDefault="00395593" w:rsidP="00D11385">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Parágrafo único. Caso possível, o peticionário deverá indicar se as empresas fornecedoras de bens ou serviços mencionadas no </w:t>
      </w:r>
      <w:r w:rsidRPr="005C5CBD">
        <w:rPr>
          <w:rFonts w:ascii="Garamond" w:eastAsia="Calibri" w:hAnsi="Garamond" w:cs="Calibri"/>
          <w:b/>
          <w:sz w:val="24"/>
          <w:szCs w:val="24"/>
        </w:rPr>
        <w:t>caput</w:t>
      </w:r>
      <w:r w:rsidRPr="005C5CBD">
        <w:rPr>
          <w:rFonts w:ascii="Garamond" w:eastAsia="Calibri" w:hAnsi="Garamond" w:cs="Calibri"/>
          <w:sz w:val="24"/>
          <w:szCs w:val="24"/>
        </w:rPr>
        <w:t xml:space="preserve"> são relacionadas ou associadas aos produtores/exportadores identificados no art. </w:t>
      </w:r>
      <w:r w:rsidR="00701DA1">
        <w:rPr>
          <w:rFonts w:ascii="Garamond" w:eastAsia="Calibri" w:hAnsi="Garamond" w:cs="Calibri"/>
          <w:sz w:val="24"/>
          <w:szCs w:val="24"/>
        </w:rPr>
        <w:t>158</w:t>
      </w:r>
      <w:r w:rsidR="00E15FBB" w:rsidRPr="005C5CBD">
        <w:rPr>
          <w:rFonts w:ascii="Garamond" w:eastAsia="Calibri" w:hAnsi="Garamond" w:cs="Calibri"/>
          <w:sz w:val="24"/>
          <w:szCs w:val="24"/>
        </w:rPr>
        <w:t>.</w:t>
      </w:r>
    </w:p>
    <w:p w14:paraId="10E11145" w14:textId="77777777" w:rsidR="00395593" w:rsidRPr="005C5CBD" w:rsidRDefault="00395593" w:rsidP="00E15FBB">
      <w:pPr>
        <w:spacing w:after="0" w:line="240" w:lineRule="auto"/>
        <w:rPr>
          <w:rFonts w:ascii="Garamond" w:eastAsia="Calibri" w:hAnsi="Garamond" w:cs="Calibri"/>
          <w:sz w:val="24"/>
          <w:szCs w:val="24"/>
          <w:lang w:eastAsia="pt-BR"/>
        </w:rPr>
      </w:pPr>
    </w:p>
    <w:p w14:paraId="256039CB" w14:textId="77777777" w:rsidR="00395593" w:rsidRPr="0020569B" w:rsidRDefault="00395593" w:rsidP="00EA0CC8">
      <w:pPr>
        <w:pStyle w:val="Corpodetexto"/>
        <w:jc w:val="center"/>
        <w:rPr>
          <w:rFonts w:ascii="Garamond" w:eastAsia="MS Gothic" w:hAnsi="Garamond"/>
          <w:b/>
          <w:color w:val="4F81BD"/>
          <w:lang w:eastAsia="pt-BR"/>
        </w:rPr>
      </w:pPr>
      <w:r w:rsidRPr="0020569B">
        <w:rPr>
          <w:rFonts w:ascii="Garamond" w:eastAsia="MS Gothic" w:hAnsi="Garamond"/>
          <w:b/>
          <w:lang w:eastAsia="pt-BR"/>
        </w:rPr>
        <w:t>Subseção II</w:t>
      </w:r>
    </w:p>
    <w:p w14:paraId="7795DD49" w14:textId="77777777" w:rsidR="00395593" w:rsidRPr="005C5CBD" w:rsidRDefault="00395593" w:rsidP="00EA0CC8">
      <w:pPr>
        <w:pStyle w:val="Corpodetexto"/>
        <w:jc w:val="center"/>
        <w:rPr>
          <w:rFonts w:eastAsia="MS Gothic"/>
          <w:color w:val="4F81BD"/>
          <w:lang w:eastAsia="pt-BR"/>
        </w:rPr>
      </w:pPr>
      <w:r w:rsidRPr="0020569B">
        <w:rPr>
          <w:rFonts w:ascii="Garamond" w:eastAsia="MS Gothic" w:hAnsi="Garamond"/>
          <w:b/>
          <w:lang w:eastAsia="pt-BR"/>
        </w:rPr>
        <w:t>Da Especificidade</w:t>
      </w:r>
    </w:p>
    <w:p w14:paraId="4B5730BB" w14:textId="77777777" w:rsidR="00395593" w:rsidRPr="005C5CBD" w:rsidRDefault="00395593" w:rsidP="00E15FBB">
      <w:pPr>
        <w:spacing w:after="0" w:line="240" w:lineRule="auto"/>
        <w:rPr>
          <w:rFonts w:ascii="Garamond" w:eastAsia="Calibri" w:hAnsi="Garamond" w:cs="Calibri"/>
          <w:sz w:val="24"/>
          <w:szCs w:val="24"/>
          <w:lang w:eastAsia="pt-BR"/>
        </w:rPr>
      </w:pPr>
    </w:p>
    <w:p w14:paraId="6AF54F78" w14:textId="77777777" w:rsidR="00395593" w:rsidRPr="005C5CBD" w:rsidRDefault="00395593" w:rsidP="00D11385">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163.</w:t>
      </w:r>
      <w:r w:rsidRPr="005C5CBD">
        <w:rPr>
          <w:rFonts w:ascii="Garamond" w:eastAsia="Calibri" w:hAnsi="Garamond" w:cs="Calibri"/>
          <w:sz w:val="24"/>
          <w:szCs w:val="24"/>
        </w:rPr>
        <w:t xml:space="preserve"> Para cada programa de subsídio identificado nos termos da Subseção I, a petição deverá indicar a existência de evidências para enquadrá-lo em ao menos uma das seguintes hipóteses de especificidade: </w:t>
      </w:r>
    </w:p>
    <w:p w14:paraId="5FF6B11E" w14:textId="77777777" w:rsidR="00395593" w:rsidRPr="005C5CBD" w:rsidRDefault="00395593" w:rsidP="00D11385">
      <w:pPr>
        <w:spacing w:after="0" w:line="240" w:lineRule="auto"/>
        <w:ind w:firstLine="567"/>
        <w:jc w:val="both"/>
        <w:rPr>
          <w:rFonts w:ascii="Garamond" w:eastAsia="Calibri" w:hAnsi="Garamond" w:cs="Calibri"/>
          <w:sz w:val="24"/>
          <w:szCs w:val="24"/>
        </w:rPr>
      </w:pPr>
    </w:p>
    <w:p w14:paraId="15F5B5ED" w14:textId="77777777" w:rsidR="00395593" w:rsidRPr="005C5CBD" w:rsidRDefault="00395593" w:rsidP="00D11385">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subsídio proibido:</w:t>
      </w:r>
    </w:p>
    <w:p w14:paraId="0E50F967" w14:textId="77777777" w:rsidR="00395593" w:rsidRPr="005C5CBD" w:rsidRDefault="00395593" w:rsidP="00D11385">
      <w:pPr>
        <w:spacing w:after="0" w:line="240" w:lineRule="auto"/>
        <w:ind w:firstLine="567"/>
        <w:jc w:val="both"/>
        <w:rPr>
          <w:rFonts w:ascii="Garamond" w:eastAsia="Calibri" w:hAnsi="Garamond" w:cs="Calibri"/>
          <w:sz w:val="24"/>
          <w:szCs w:val="24"/>
        </w:rPr>
      </w:pPr>
    </w:p>
    <w:p w14:paraId="537C8FA7" w14:textId="77777777" w:rsidR="00395593" w:rsidRPr="005C5CBD" w:rsidRDefault="00395593" w:rsidP="00D11385">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 subsídio vinculado, de fato ou de direito, ao desempenho exportador; </w:t>
      </w:r>
    </w:p>
    <w:p w14:paraId="6C9FCC16" w14:textId="77777777" w:rsidR="00395593" w:rsidRPr="005C5CBD" w:rsidRDefault="00395593" w:rsidP="00D11385">
      <w:pPr>
        <w:spacing w:after="0" w:line="240" w:lineRule="auto"/>
        <w:ind w:firstLine="567"/>
        <w:jc w:val="both"/>
        <w:rPr>
          <w:rFonts w:ascii="Garamond" w:eastAsia="Calibri" w:hAnsi="Garamond" w:cs="Calibri"/>
          <w:sz w:val="24"/>
          <w:szCs w:val="24"/>
        </w:rPr>
      </w:pPr>
    </w:p>
    <w:p w14:paraId="496560B4" w14:textId="77777777" w:rsidR="00395593" w:rsidRPr="005C5CBD" w:rsidRDefault="00395593" w:rsidP="00D11385">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b) subsídio vinculado, de fato ou de direito, ao uso preferencial de produtos domésticos em detrimento de produtos estrangeiros;</w:t>
      </w:r>
    </w:p>
    <w:p w14:paraId="513BA4D8" w14:textId="77777777" w:rsidR="00395593" w:rsidRPr="005C5CBD" w:rsidRDefault="00395593" w:rsidP="00D11385">
      <w:pPr>
        <w:spacing w:after="0" w:line="240" w:lineRule="auto"/>
        <w:ind w:firstLine="567"/>
        <w:jc w:val="both"/>
        <w:rPr>
          <w:rFonts w:ascii="Garamond" w:eastAsia="Calibri" w:hAnsi="Garamond" w:cs="Calibri"/>
          <w:sz w:val="24"/>
          <w:szCs w:val="24"/>
        </w:rPr>
      </w:pPr>
    </w:p>
    <w:p w14:paraId="782FC8EF"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rPr>
        <w:t>II - subsídio específico “de direito”, expressamente limitado por lei</w:t>
      </w:r>
      <w:r w:rsidRPr="005C5CBD" w:rsidDel="00502214">
        <w:rPr>
          <w:rFonts w:ascii="Garamond" w:eastAsia="Calibri" w:hAnsi="Garamond" w:cs="Calibri"/>
          <w:sz w:val="24"/>
          <w:szCs w:val="24"/>
        </w:rPr>
        <w:t xml:space="preserve"> </w:t>
      </w:r>
      <w:r w:rsidRPr="005C5CBD">
        <w:rPr>
          <w:rFonts w:ascii="Garamond" w:eastAsia="Times New Roman" w:hAnsi="Garamond" w:cs="Calibri"/>
          <w:sz w:val="24"/>
          <w:szCs w:val="24"/>
          <w:lang w:eastAsia="pt-BR"/>
        </w:rPr>
        <w:t>a uma empresa ou indústria, ou a um grupo de empresas ou indústrias dentro da jurisdição da autoridade outorgante;</w:t>
      </w:r>
    </w:p>
    <w:p w14:paraId="5C3C6A30"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14C2ACE6" w14:textId="77777777" w:rsidR="00395593" w:rsidRPr="005C5CBD" w:rsidRDefault="00395593" w:rsidP="00D11385">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III - subsídio específico “de fato”, destinado </w:t>
      </w:r>
      <w:r w:rsidRPr="005C5CBD">
        <w:rPr>
          <w:rFonts w:ascii="Garamond" w:eastAsia="Times New Roman" w:hAnsi="Garamond" w:cs="Calibri"/>
          <w:sz w:val="24"/>
          <w:szCs w:val="24"/>
          <w:lang w:eastAsia="pt-BR"/>
        </w:rPr>
        <w:t>a uma empresa ou indústria, ou a um grupo de empresas ou indústrias dentro da jurisdição da autoridade outorgante</w:t>
      </w:r>
      <w:r w:rsidRPr="005C5CBD">
        <w:rPr>
          <w:rFonts w:ascii="Garamond" w:eastAsia="Calibri" w:hAnsi="Garamond" w:cs="Calibri"/>
          <w:sz w:val="24"/>
          <w:szCs w:val="24"/>
        </w:rPr>
        <w:t>; ou</w:t>
      </w:r>
    </w:p>
    <w:p w14:paraId="0B6FB7E5" w14:textId="77777777" w:rsidR="00395593" w:rsidRPr="005C5CBD" w:rsidRDefault="00395593" w:rsidP="00D11385">
      <w:pPr>
        <w:autoSpaceDE w:val="0"/>
        <w:autoSpaceDN w:val="0"/>
        <w:adjustRightInd w:val="0"/>
        <w:spacing w:after="0" w:line="240" w:lineRule="auto"/>
        <w:ind w:firstLine="567"/>
        <w:jc w:val="both"/>
        <w:rPr>
          <w:rFonts w:ascii="Garamond" w:eastAsia="Calibri" w:hAnsi="Garamond" w:cs="Calibri"/>
          <w:sz w:val="24"/>
          <w:szCs w:val="24"/>
          <w:lang w:eastAsia="pt-BR"/>
        </w:rPr>
      </w:pPr>
    </w:p>
    <w:p w14:paraId="57EE727B" w14:textId="77777777" w:rsidR="00395593" w:rsidRPr="005C5CBD" w:rsidRDefault="00395593" w:rsidP="00D11385">
      <w:pPr>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IV - subsídio específico </w:t>
      </w:r>
      <w:r w:rsidRPr="005C5CBD">
        <w:rPr>
          <w:rFonts w:ascii="Garamond" w:eastAsia="Times New Roman" w:hAnsi="Garamond" w:cs="Calibri"/>
          <w:sz w:val="24"/>
          <w:szCs w:val="24"/>
          <w:lang w:eastAsia="pt-BR"/>
        </w:rPr>
        <w:t xml:space="preserve">em virtude de ser limitado a determinadas empresas localizadas dentro de região geográfica delimitada situada na jurisdição da autoridade outorgante. </w:t>
      </w:r>
    </w:p>
    <w:p w14:paraId="71AAAB8D" w14:textId="77777777" w:rsidR="00395593" w:rsidRPr="005C5CBD" w:rsidRDefault="00395593" w:rsidP="00E15FBB">
      <w:pPr>
        <w:spacing w:after="0" w:line="240" w:lineRule="auto"/>
        <w:jc w:val="both"/>
        <w:rPr>
          <w:rFonts w:ascii="Garamond" w:eastAsia="Calibri" w:hAnsi="Garamond" w:cs="Calibri"/>
          <w:sz w:val="24"/>
          <w:szCs w:val="24"/>
        </w:rPr>
      </w:pPr>
    </w:p>
    <w:p w14:paraId="3B843C61" w14:textId="77777777" w:rsidR="00395593" w:rsidRPr="0020569B" w:rsidRDefault="00395593" w:rsidP="00EA0CC8">
      <w:pPr>
        <w:pStyle w:val="Corpodetexto"/>
        <w:jc w:val="center"/>
        <w:rPr>
          <w:rFonts w:ascii="Garamond" w:eastAsia="MS Gothic" w:hAnsi="Garamond"/>
          <w:b/>
          <w:color w:val="4F81BD"/>
          <w:lang w:eastAsia="pt-BR"/>
        </w:rPr>
      </w:pPr>
      <w:r w:rsidRPr="0020569B">
        <w:rPr>
          <w:rFonts w:ascii="Garamond" w:eastAsia="MS Gothic" w:hAnsi="Garamond"/>
          <w:b/>
          <w:lang w:eastAsia="pt-BR"/>
        </w:rPr>
        <w:t>Subseção III</w:t>
      </w:r>
    </w:p>
    <w:p w14:paraId="5B0D2E54" w14:textId="77777777" w:rsidR="00395593" w:rsidRPr="0020569B" w:rsidRDefault="00395593" w:rsidP="00EA0CC8">
      <w:pPr>
        <w:pStyle w:val="Corpodetexto"/>
        <w:jc w:val="center"/>
        <w:rPr>
          <w:rFonts w:ascii="Garamond" w:eastAsia="MS Gothic" w:hAnsi="Garamond"/>
          <w:b/>
          <w:color w:val="4F81BD"/>
          <w:lang w:eastAsia="pt-BR"/>
        </w:rPr>
      </w:pPr>
      <w:r w:rsidRPr="0020569B">
        <w:rPr>
          <w:rFonts w:ascii="Garamond" w:eastAsia="MS Gothic" w:hAnsi="Garamond"/>
          <w:b/>
          <w:lang w:eastAsia="pt-BR"/>
        </w:rPr>
        <w:t>Do preço de exportação</w:t>
      </w:r>
    </w:p>
    <w:p w14:paraId="23B7253C" w14:textId="77777777" w:rsidR="00395593" w:rsidRPr="005C5CBD" w:rsidRDefault="00395593" w:rsidP="00E15FBB">
      <w:pPr>
        <w:spacing w:after="0" w:line="240" w:lineRule="auto"/>
        <w:jc w:val="both"/>
        <w:rPr>
          <w:rFonts w:ascii="Garamond" w:eastAsia="Calibri" w:hAnsi="Garamond" w:cs="Calibri"/>
          <w:sz w:val="24"/>
          <w:szCs w:val="24"/>
        </w:rPr>
      </w:pPr>
    </w:p>
    <w:p w14:paraId="441C24AC" w14:textId="33CF7913"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Art. 164. Para cada país indicado no art. </w:t>
      </w:r>
      <w:r w:rsidR="00701DA1">
        <w:rPr>
          <w:rFonts w:ascii="Garamond" w:eastAsia="Times New Roman" w:hAnsi="Garamond" w:cs="Calibri"/>
          <w:sz w:val="24"/>
          <w:szCs w:val="24"/>
          <w:lang w:eastAsia="pt-BR"/>
        </w:rPr>
        <w:t>157</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a petição deverá fornecer o preço de exportação para o Brasil do produto objeto da investigação, conforme a tabela constante do Apêndice IV.</w:t>
      </w:r>
    </w:p>
    <w:p w14:paraId="06B7A4F8" w14:textId="77777777" w:rsidR="00395593" w:rsidRPr="005C5CBD" w:rsidRDefault="00395593" w:rsidP="00E15FBB">
      <w:pPr>
        <w:spacing w:after="0" w:line="240" w:lineRule="auto"/>
        <w:ind w:left="708" w:firstLine="708"/>
        <w:jc w:val="center"/>
        <w:rPr>
          <w:rFonts w:ascii="Garamond" w:eastAsia="Times New Roman" w:hAnsi="Garamond" w:cs="Calibri"/>
          <w:sz w:val="24"/>
          <w:szCs w:val="24"/>
          <w:lang w:eastAsia="pt-BR"/>
        </w:rPr>
      </w:pPr>
    </w:p>
    <w:p w14:paraId="4E406056" w14:textId="77777777" w:rsidR="00395593" w:rsidRPr="0020569B" w:rsidRDefault="00395593" w:rsidP="00EA0CC8">
      <w:pPr>
        <w:pStyle w:val="Corpodetexto"/>
        <w:jc w:val="center"/>
        <w:rPr>
          <w:rFonts w:ascii="Garamond" w:hAnsi="Garamond"/>
          <w:b/>
          <w:lang w:eastAsia="pt-BR"/>
        </w:rPr>
      </w:pPr>
      <w:r w:rsidRPr="0020569B">
        <w:rPr>
          <w:rFonts w:ascii="Garamond" w:hAnsi="Garamond"/>
          <w:b/>
          <w:lang w:eastAsia="pt-BR"/>
        </w:rPr>
        <w:t>Seção X</w:t>
      </w:r>
    </w:p>
    <w:p w14:paraId="16BC9D75" w14:textId="77777777" w:rsidR="00395593" w:rsidRPr="0020569B" w:rsidRDefault="00395593" w:rsidP="00EA0CC8">
      <w:pPr>
        <w:pStyle w:val="Corpodetexto"/>
        <w:jc w:val="center"/>
        <w:rPr>
          <w:rFonts w:ascii="Garamond" w:hAnsi="Garamond"/>
          <w:b/>
          <w:lang w:eastAsia="pt-BR"/>
        </w:rPr>
      </w:pPr>
      <w:r w:rsidRPr="0020569B">
        <w:rPr>
          <w:rFonts w:ascii="Garamond" w:hAnsi="Garamond"/>
          <w:b/>
          <w:lang w:eastAsia="pt-BR"/>
        </w:rPr>
        <w:t>Da ameaça de dano</w:t>
      </w:r>
    </w:p>
    <w:p w14:paraId="5CF15FA7"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32EF74D1"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165. Em adição às informações solicitadas nos artigos precedentes, petições que contenham alegações relativas à ameaça de dano material deverão conter informações sobre:</w:t>
      </w:r>
    </w:p>
    <w:p w14:paraId="27614607" w14:textId="77777777" w:rsidR="00395593" w:rsidRPr="005C5CBD" w:rsidRDefault="00395593" w:rsidP="00D11385">
      <w:pPr>
        <w:spacing w:after="0" w:line="240" w:lineRule="auto"/>
        <w:ind w:firstLine="567"/>
        <w:jc w:val="both"/>
        <w:rPr>
          <w:rFonts w:ascii="Garamond" w:eastAsia="Times New Roman" w:hAnsi="Garamond" w:cs="Calibri"/>
          <w:sz w:val="24"/>
          <w:szCs w:val="24"/>
          <w:lang w:eastAsia="pt-BR"/>
        </w:rPr>
      </w:pPr>
    </w:p>
    <w:p w14:paraId="59C834B0" w14:textId="77777777" w:rsidR="00395593" w:rsidRPr="005C5CBD" w:rsidRDefault="00395593" w:rsidP="00D11385">
      <w:pPr>
        <w:spacing w:after="0" w:line="276"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natureza do subsídio ou dos subsídios em causa e os efeitos sobre o comércio que provavelmente deles resultarão;</w:t>
      </w:r>
    </w:p>
    <w:p w14:paraId="709A1BFA" w14:textId="77777777" w:rsidR="00395593" w:rsidRPr="005C5CBD" w:rsidRDefault="00395593" w:rsidP="00D11385">
      <w:pPr>
        <w:spacing w:after="0" w:line="276" w:lineRule="auto"/>
        <w:ind w:firstLine="567"/>
        <w:jc w:val="both"/>
        <w:rPr>
          <w:rFonts w:ascii="Garamond" w:eastAsia="Times New Roman" w:hAnsi="Garamond" w:cs="Calibri"/>
          <w:sz w:val="24"/>
          <w:szCs w:val="24"/>
          <w:lang w:eastAsia="pt-BR"/>
        </w:rPr>
      </w:pPr>
    </w:p>
    <w:p w14:paraId="63303011" w14:textId="77777777" w:rsidR="00395593" w:rsidRPr="005C5CBD" w:rsidRDefault="00395593" w:rsidP="00D11385">
      <w:pPr>
        <w:spacing w:after="0" w:line="276"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existência de previsão de aumento da capacidade produtiva no país exportador;</w:t>
      </w:r>
    </w:p>
    <w:p w14:paraId="4AB0EBE5" w14:textId="77777777" w:rsidR="00395593" w:rsidRPr="005C5CBD" w:rsidRDefault="00395593" w:rsidP="00D11385">
      <w:pPr>
        <w:spacing w:after="0" w:line="276" w:lineRule="auto"/>
        <w:ind w:firstLine="567"/>
        <w:jc w:val="both"/>
        <w:rPr>
          <w:rFonts w:ascii="Garamond" w:eastAsia="Times New Roman" w:hAnsi="Garamond" w:cs="Calibri"/>
          <w:sz w:val="24"/>
          <w:szCs w:val="24"/>
          <w:lang w:eastAsia="pt-BR"/>
        </w:rPr>
      </w:pPr>
    </w:p>
    <w:p w14:paraId="0056835E" w14:textId="77777777" w:rsidR="00395593" w:rsidRPr="005C5CBD" w:rsidRDefault="00395593" w:rsidP="00D11385">
      <w:pPr>
        <w:spacing w:after="0" w:line="276" w:lineRule="auto"/>
        <w:ind w:firstLine="567"/>
        <w:jc w:val="both"/>
        <w:rPr>
          <w:rFonts w:ascii="Garamond" w:eastAsia="Times New Roman" w:hAnsi="Garamond" w:cs="Calibri"/>
          <w:sz w:val="24"/>
          <w:szCs w:val="24"/>
          <w:lang w:eastAsia="pt-BR"/>
        </w:rPr>
      </w:pPr>
      <w:r w:rsidRPr="005C5CBD" w:rsidDel="008908AD">
        <w:rPr>
          <w:rFonts w:ascii="Garamond" w:eastAsia="Times New Roman" w:hAnsi="Garamond" w:cs="Calibri"/>
          <w:sz w:val="24"/>
          <w:szCs w:val="24"/>
          <w:lang w:eastAsia="pt-BR"/>
        </w:rPr>
        <w:t xml:space="preserve">III </w:t>
      </w:r>
      <w:r w:rsidRPr="005C5CBD">
        <w:rPr>
          <w:rFonts w:ascii="Garamond" w:eastAsia="Times New Roman" w:hAnsi="Garamond" w:cs="Calibri"/>
          <w:sz w:val="24"/>
          <w:szCs w:val="24"/>
          <w:lang w:eastAsia="pt-BR"/>
        </w:rPr>
        <w:t>-</w:t>
      </w:r>
      <w:r w:rsidRPr="005C5CBD" w:rsidDel="008908AD">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existência de capacidade ociosa nos países exportadores, indicando os respectivos volumes de produção;</w:t>
      </w:r>
    </w:p>
    <w:p w14:paraId="11FA5217" w14:textId="77777777" w:rsidR="00395593" w:rsidRPr="005C5CBD" w:rsidRDefault="00395593" w:rsidP="00D11385">
      <w:pPr>
        <w:spacing w:after="0" w:line="276" w:lineRule="auto"/>
        <w:ind w:firstLine="567"/>
        <w:jc w:val="both"/>
        <w:rPr>
          <w:rFonts w:ascii="Garamond" w:eastAsia="Times New Roman" w:hAnsi="Garamond" w:cs="Calibri"/>
          <w:sz w:val="24"/>
          <w:szCs w:val="24"/>
          <w:lang w:eastAsia="pt-BR"/>
        </w:rPr>
      </w:pPr>
    </w:p>
    <w:p w14:paraId="4B2C04E3" w14:textId="77777777" w:rsidR="00395593" w:rsidRPr="005C5CBD" w:rsidRDefault="00395593" w:rsidP="00D11385">
      <w:pPr>
        <w:spacing w:after="0" w:line="276" w:lineRule="auto"/>
        <w:ind w:firstLine="567"/>
        <w:jc w:val="both"/>
        <w:rPr>
          <w:rFonts w:ascii="Garamond" w:eastAsia="Times New Roman" w:hAnsi="Garamond" w:cs="Calibri"/>
          <w:sz w:val="24"/>
          <w:szCs w:val="24"/>
          <w:lang w:eastAsia="pt-BR"/>
        </w:rPr>
      </w:pPr>
      <w:r w:rsidRPr="005C5CBD" w:rsidDel="00F312D7">
        <w:rPr>
          <w:rFonts w:ascii="Garamond" w:eastAsia="Times New Roman" w:hAnsi="Garamond" w:cs="Calibri"/>
          <w:sz w:val="24"/>
          <w:szCs w:val="24"/>
          <w:lang w:eastAsia="pt-BR"/>
        </w:rPr>
        <w:t xml:space="preserve">IV - </w:t>
      </w:r>
      <w:r w:rsidRPr="005C5CBD">
        <w:rPr>
          <w:rFonts w:ascii="Garamond" w:eastAsia="Times New Roman" w:hAnsi="Garamond" w:cs="Calibri"/>
          <w:sz w:val="24"/>
          <w:szCs w:val="24"/>
          <w:lang w:eastAsia="pt-BR"/>
        </w:rPr>
        <w:t>existência de estoques no país exportador;</w:t>
      </w:r>
    </w:p>
    <w:p w14:paraId="72C45A13" w14:textId="77777777" w:rsidR="00395593" w:rsidRPr="005C5CBD" w:rsidRDefault="00395593" w:rsidP="00D11385">
      <w:pPr>
        <w:spacing w:after="0" w:line="276" w:lineRule="auto"/>
        <w:ind w:firstLine="567"/>
        <w:jc w:val="both"/>
        <w:rPr>
          <w:rFonts w:ascii="Garamond" w:eastAsia="Times New Roman" w:hAnsi="Garamond" w:cs="Calibri"/>
          <w:sz w:val="24"/>
          <w:szCs w:val="24"/>
          <w:lang w:eastAsia="pt-BR"/>
        </w:rPr>
      </w:pPr>
    </w:p>
    <w:p w14:paraId="71C0869B" w14:textId="77777777" w:rsidR="00395593" w:rsidRPr="005C5CBD" w:rsidRDefault="00395593" w:rsidP="00D11385">
      <w:pPr>
        <w:spacing w:after="0" w:line="276"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 - existência de medidas restritivas aplicadas por outros países, inclusive direitos antidumping, medidas compensatórias e salvaguardas, que possam justificar desvios de comércio para o Brasil;</w:t>
      </w:r>
    </w:p>
    <w:p w14:paraId="01F8E452" w14:textId="77777777" w:rsidR="00395593" w:rsidRPr="005C5CBD" w:rsidRDefault="00395593" w:rsidP="00D11385">
      <w:pPr>
        <w:spacing w:after="0" w:line="276" w:lineRule="auto"/>
        <w:ind w:firstLine="567"/>
        <w:jc w:val="both"/>
        <w:rPr>
          <w:rFonts w:ascii="Garamond" w:eastAsia="Times New Roman" w:hAnsi="Garamond" w:cs="Calibri"/>
          <w:sz w:val="24"/>
          <w:szCs w:val="24"/>
          <w:lang w:eastAsia="pt-BR"/>
        </w:rPr>
      </w:pPr>
    </w:p>
    <w:p w14:paraId="445BC294" w14:textId="77777777" w:rsidR="00395593" w:rsidRPr="005C5CBD" w:rsidRDefault="00395593" w:rsidP="00D11385">
      <w:pPr>
        <w:spacing w:after="0" w:line="276"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VI - os motivos que levam a crer que as importações brasileiras do produto objeto da investigação irão aumentar, considerando a existência de outros potenciais mercados de importação; </w:t>
      </w:r>
    </w:p>
    <w:p w14:paraId="0F4488BA" w14:textId="77777777" w:rsidR="00395593" w:rsidRPr="005C5CBD" w:rsidRDefault="00395593" w:rsidP="00D11385">
      <w:pPr>
        <w:spacing w:after="0" w:line="276" w:lineRule="auto"/>
        <w:ind w:firstLine="567"/>
        <w:jc w:val="both"/>
        <w:rPr>
          <w:rFonts w:ascii="Garamond" w:eastAsia="Times New Roman" w:hAnsi="Garamond" w:cs="Calibri"/>
          <w:sz w:val="24"/>
          <w:szCs w:val="24"/>
          <w:lang w:eastAsia="pt-BR"/>
        </w:rPr>
      </w:pPr>
    </w:p>
    <w:p w14:paraId="533E13B2" w14:textId="77777777" w:rsidR="00395593" w:rsidRPr="005C5CBD" w:rsidRDefault="00395593" w:rsidP="00D11385">
      <w:pPr>
        <w:spacing w:after="0" w:line="276"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VII - a evolução das exportações do produto a ser investigado do país exportador; e</w:t>
      </w:r>
    </w:p>
    <w:p w14:paraId="0F86827C" w14:textId="77777777" w:rsidR="00395593" w:rsidRPr="005C5CBD" w:rsidRDefault="00395593" w:rsidP="00D11385">
      <w:pPr>
        <w:spacing w:after="0" w:line="276" w:lineRule="auto"/>
        <w:ind w:firstLine="567"/>
        <w:jc w:val="both"/>
        <w:rPr>
          <w:rFonts w:ascii="Garamond" w:eastAsia="Times New Roman" w:hAnsi="Garamond" w:cs="Calibri"/>
          <w:sz w:val="24"/>
          <w:szCs w:val="24"/>
          <w:lang w:eastAsia="pt-BR"/>
        </w:rPr>
      </w:pPr>
    </w:p>
    <w:p w14:paraId="36489B53" w14:textId="77777777" w:rsidR="00395593" w:rsidRPr="005C5CBD" w:rsidRDefault="00395593" w:rsidP="00D11385">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VIII - a capacidade de produção efetiva ou potencial do país exportador para o Brasil, anexando as fontes de tais informações.</w:t>
      </w:r>
    </w:p>
    <w:p w14:paraId="1A7B958C" w14:textId="77777777" w:rsidR="00395593" w:rsidRPr="005C5CBD" w:rsidRDefault="00395593" w:rsidP="00E15FBB">
      <w:pPr>
        <w:spacing w:after="0" w:line="240" w:lineRule="auto"/>
        <w:jc w:val="both"/>
        <w:rPr>
          <w:rFonts w:ascii="Garamond" w:eastAsia="Calibri" w:hAnsi="Garamond" w:cs="Calibri"/>
          <w:sz w:val="24"/>
          <w:szCs w:val="24"/>
        </w:rPr>
      </w:pPr>
    </w:p>
    <w:p w14:paraId="1224DFE6" w14:textId="77777777" w:rsidR="00395593" w:rsidRPr="0020569B" w:rsidRDefault="00395593" w:rsidP="00EA0CC8">
      <w:pPr>
        <w:pStyle w:val="Corpodetexto"/>
        <w:jc w:val="center"/>
        <w:rPr>
          <w:rFonts w:ascii="Garamond" w:hAnsi="Garamond"/>
          <w:b/>
          <w:lang w:eastAsia="pt-BR"/>
        </w:rPr>
      </w:pPr>
      <w:r w:rsidRPr="0020569B">
        <w:rPr>
          <w:rFonts w:ascii="Garamond" w:hAnsi="Garamond"/>
          <w:b/>
          <w:lang w:eastAsia="pt-BR"/>
        </w:rPr>
        <w:t>Seção XI</w:t>
      </w:r>
    </w:p>
    <w:p w14:paraId="2BAE2B56" w14:textId="77777777" w:rsidR="00395593" w:rsidRPr="0020569B" w:rsidRDefault="00395593" w:rsidP="00EA0CC8">
      <w:pPr>
        <w:pStyle w:val="Corpodetexto"/>
        <w:jc w:val="center"/>
        <w:rPr>
          <w:rFonts w:ascii="Garamond" w:hAnsi="Garamond"/>
          <w:b/>
          <w:lang w:eastAsia="pt-BR"/>
        </w:rPr>
      </w:pPr>
      <w:r w:rsidRPr="0020569B">
        <w:rPr>
          <w:rFonts w:ascii="Garamond" w:hAnsi="Garamond"/>
          <w:b/>
          <w:lang w:eastAsia="pt-BR"/>
        </w:rPr>
        <w:t>Informações por empresa representada na Petição</w:t>
      </w:r>
    </w:p>
    <w:p w14:paraId="53C13F3C" w14:textId="77777777" w:rsidR="00395593" w:rsidRPr="0020569B" w:rsidRDefault="00395593" w:rsidP="0020569B">
      <w:pPr>
        <w:pStyle w:val="Corpodetexto"/>
        <w:jc w:val="center"/>
        <w:rPr>
          <w:rFonts w:ascii="Garamond" w:hAnsi="Garamond"/>
          <w:b/>
          <w:lang w:eastAsia="pt-BR"/>
        </w:rPr>
      </w:pPr>
    </w:p>
    <w:p w14:paraId="37A3B518" w14:textId="77777777" w:rsidR="00395593" w:rsidRPr="0020569B" w:rsidRDefault="00395593" w:rsidP="00EA0CC8">
      <w:pPr>
        <w:pStyle w:val="Corpodetexto"/>
        <w:jc w:val="center"/>
        <w:rPr>
          <w:rFonts w:ascii="Garamond" w:eastAsia="MS Gothic" w:hAnsi="Garamond"/>
          <w:b/>
          <w:bCs/>
          <w:lang w:eastAsia="pt-BR"/>
        </w:rPr>
      </w:pPr>
      <w:r w:rsidRPr="0020569B">
        <w:rPr>
          <w:rFonts w:ascii="Garamond" w:eastAsia="MS Gothic" w:hAnsi="Garamond"/>
          <w:b/>
          <w:bCs/>
          <w:lang w:eastAsia="pt-BR"/>
        </w:rPr>
        <w:t>Subseção I</w:t>
      </w:r>
    </w:p>
    <w:p w14:paraId="1E671A76" w14:textId="77777777" w:rsidR="00395593" w:rsidRPr="0020569B" w:rsidRDefault="00395593" w:rsidP="00EA0CC8">
      <w:pPr>
        <w:pStyle w:val="Corpodetexto"/>
        <w:jc w:val="center"/>
        <w:rPr>
          <w:rFonts w:ascii="Garamond" w:eastAsia="MS Gothic" w:hAnsi="Garamond"/>
          <w:b/>
          <w:bCs/>
          <w:color w:val="4F81BD"/>
          <w:lang w:eastAsia="pt-BR"/>
        </w:rPr>
      </w:pPr>
      <w:r w:rsidRPr="0020569B">
        <w:rPr>
          <w:rFonts w:ascii="Garamond" w:eastAsia="MS Gothic" w:hAnsi="Garamond"/>
          <w:b/>
          <w:bCs/>
          <w:lang w:eastAsia="pt-BR"/>
        </w:rPr>
        <w:t>Dos dados das empresas representadas</w:t>
      </w:r>
    </w:p>
    <w:p w14:paraId="746ED1F1" w14:textId="77777777" w:rsidR="00395593" w:rsidRPr="005C5CBD" w:rsidRDefault="00395593" w:rsidP="00E15FBB">
      <w:pPr>
        <w:spacing w:after="0" w:line="276" w:lineRule="auto"/>
        <w:jc w:val="center"/>
        <w:rPr>
          <w:rFonts w:ascii="Garamond" w:eastAsia="Calibri" w:hAnsi="Garamond" w:cs="Calibri"/>
          <w:b/>
          <w:sz w:val="24"/>
          <w:szCs w:val="24"/>
        </w:rPr>
      </w:pPr>
    </w:p>
    <w:p w14:paraId="5A7909C7" w14:textId="77777777" w:rsidR="00395593" w:rsidRPr="005C5CBD" w:rsidRDefault="00395593" w:rsidP="00A40BDB">
      <w:pPr>
        <w:spacing w:after="120" w:line="276"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166.</w:t>
      </w:r>
      <w:r w:rsidRPr="005C5CBD">
        <w:rPr>
          <w:rFonts w:ascii="Garamond" w:eastAsia="Calibri" w:hAnsi="Garamond" w:cs="Calibri"/>
          <w:sz w:val="24"/>
          <w:szCs w:val="24"/>
        </w:rPr>
        <w:t xml:space="preserve"> Para cada empresa representada na petição, deverão ser informados:</w:t>
      </w:r>
    </w:p>
    <w:p w14:paraId="7079019D"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razão social;</w:t>
      </w:r>
    </w:p>
    <w:p w14:paraId="6D3FDA92"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w:t>
      </w:r>
    </w:p>
    <w:p w14:paraId="45B0FAAA"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endereço completo;</w:t>
      </w:r>
    </w:p>
    <w:p w14:paraId="318D2DB1"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101EA24A"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III – telefone; e</w:t>
      </w:r>
    </w:p>
    <w:p w14:paraId="0244B333"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209B557D"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IV - endereço eletrônico.</w:t>
      </w:r>
    </w:p>
    <w:p w14:paraId="022B6B77"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56C6708C"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167.</w:t>
      </w:r>
      <w:r w:rsidRPr="005C5CBD">
        <w:rPr>
          <w:rFonts w:ascii="Garamond" w:eastAsia="Calibri" w:hAnsi="Garamond" w:cs="Calibri"/>
          <w:sz w:val="24"/>
          <w:szCs w:val="24"/>
        </w:rPr>
        <w:t xml:space="preserve"> Para cada empresa representada na petição, deverá ser nomeado apenas um destinatário para servir como ponto focal acerca da petição, indicando os respectivos contatos:</w:t>
      </w:r>
    </w:p>
    <w:p w14:paraId="15D88D2C"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2FAC8117"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nome;</w:t>
      </w:r>
    </w:p>
    <w:p w14:paraId="07E11A5D"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w:t>
      </w:r>
    </w:p>
    <w:p w14:paraId="61BD0E71"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função;</w:t>
      </w:r>
    </w:p>
    <w:p w14:paraId="2CDFE8C8"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24F2116E"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III – endereço completo;</w:t>
      </w:r>
    </w:p>
    <w:p w14:paraId="75937B74"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35F410D2"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IV – telefone; e</w:t>
      </w:r>
    </w:p>
    <w:p w14:paraId="6F360F8B"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07FF3DBD"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V – endereço eletrônico.</w:t>
      </w:r>
    </w:p>
    <w:p w14:paraId="65F0210C" w14:textId="77777777" w:rsidR="00395593" w:rsidRPr="005C5CBD" w:rsidRDefault="00395593" w:rsidP="00E15FBB">
      <w:pPr>
        <w:spacing w:after="0" w:line="240" w:lineRule="auto"/>
        <w:jc w:val="center"/>
        <w:rPr>
          <w:rFonts w:ascii="Garamond" w:eastAsia="Calibri" w:hAnsi="Garamond" w:cs="Calibri"/>
          <w:b/>
          <w:sz w:val="24"/>
          <w:szCs w:val="24"/>
        </w:rPr>
      </w:pPr>
    </w:p>
    <w:p w14:paraId="4830BBB3" w14:textId="77777777" w:rsidR="00395593" w:rsidRPr="0020569B" w:rsidRDefault="00395593" w:rsidP="0020216F">
      <w:pPr>
        <w:pStyle w:val="Corpodetexto"/>
        <w:jc w:val="center"/>
        <w:rPr>
          <w:rFonts w:ascii="Garamond" w:eastAsia="MS Gothic" w:hAnsi="Garamond"/>
          <w:b/>
          <w:lang w:eastAsia="pt-BR"/>
        </w:rPr>
      </w:pPr>
      <w:r w:rsidRPr="0020569B">
        <w:rPr>
          <w:rFonts w:ascii="Garamond" w:eastAsia="MS Gothic" w:hAnsi="Garamond"/>
          <w:b/>
          <w:lang w:eastAsia="pt-BR"/>
        </w:rPr>
        <w:t>Subseção II</w:t>
      </w:r>
    </w:p>
    <w:p w14:paraId="109DA2EA" w14:textId="77777777" w:rsidR="00395593" w:rsidRPr="0020569B" w:rsidRDefault="00395593" w:rsidP="0020216F">
      <w:pPr>
        <w:pStyle w:val="Corpodetexto"/>
        <w:jc w:val="center"/>
        <w:rPr>
          <w:rFonts w:ascii="Garamond" w:eastAsia="MS Gothic" w:hAnsi="Garamond"/>
          <w:b/>
          <w:color w:val="4F81BD"/>
          <w:lang w:eastAsia="pt-BR"/>
        </w:rPr>
      </w:pPr>
      <w:r w:rsidRPr="0020569B">
        <w:rPr>
          <w:rFonts w:ascii="Garamond" w:eastAsia="MS Gothic" w:hAnsi="Garamond"/>
          <w:b/>
          <w:lang w:eastAsia="pt-BR"/>
        </w:rPr>
        <w:t>Estrutura e afiliações</w:t>
      </w:r>
    </w:p>
    <w:p w14:paraId="0A7F992B"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5C23B5E6"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168.</w:t>
      </w:r>
      <w:r w:rsidRPr="005C5CBD">
        <w:rPr>
          <w:rFonts w:ascii="Garamond" w:eastAsia="Calibri" w:hAnsi="Garamond" w:cs="Calibri"/>
          <w:sz w:val="24"/>
          <w:szCs w:val="24"/>
        </w:rPr>
        <w:t xml:space="preserve"> Para cada empresa representada na petição, deverá ser fornecido organograma da estrutura operacional da empresa e descrição do funcionamento de cada unidade.</w:t>
      </w:r>
    </w:p>
    <w:p w14:paraId="610629FF"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4485F5A0"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169.</w:t>
      </w:r>
      <w:r w:rsidRPr="005C5CBD">
        <w:rPr>
          <w:rFonts w:ascii="Garamond" w:eastAsia="Calibri" w:hAnsi="Garamond" w:cs="Calibri"/>
          <w:sz w:val="24"/>
          <w:szCs w:val="24"/>
        </w:rPr>
        <w:t xml:space="preserve"> Para cada empresa representada na petição, deverão ser informadas todas as plantas de fabricação e dos escritórios de vendas e administração relacionados ao produto similar da indústria doméstica, bem como sua respectiva localização.</w:t>
      </w:r>
    </w:p>
    <w:p w14:paraId="622CDABB"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6DD02F71" w14:textId="3DE3F30B"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170.</w:t>
      </w:r>
      <w:r w:rsidRPr="005C5CBD">
        <w:rPr>
          <w:rFonts w:ascii="Garamond" w:eastAsia="Calibri" w:hAnsi="Garamond" w:cs="Calibri"/>
          <w:sz w:val="24"/>
          <w:szCs w:val="24"/>
        </w:rPr>
        <w:t xml:space="preserve"> Deverá ser apresentado quadro organizacional da estrutura legal de cada empresa, incluindo todas as partes relacionadas ou associadas, tal como definido no art.</w:t>
      </w:r>
      <w:r w:rsidRPr="005C5CBD" w:rsidDel="0099070C">
        <w:rPr>
          <w:rFonts w:ascii="Garamond" w:eastAsia="Calibri" w:hAnsi="Garamond" w:cs="Calibri"/>
          <w:sz w:val="24"/>
          <w:szCs w:val="24"/>
        </w:rPr>
        <w:t xml:space="preserve"> </w:t>
      </w:r>
      <w:r w:rsidR="00701DA1">
        <w:rPr>
          <w:rFonts w:ascii="Garamond" w:eastAsia="Calibri" w:hAnsi="Garamond" w:cs="Calibri"/>
          <w:sz w:val="24"/>
          <w:szCs w:val="24"/>
        </w:rPr>
        <w:t>12</w:t>
      </w:r>
      <w:r w:rsidR="00E15FBB" w:rsidRPr="005C5CBD">
        <w:rPr>
          <w:rFonts w:ascii="Garamond" w:eastAsia="Calibri" w:hAnsi="Garamond" w:cs="Calibri"/>
          <w:sz w:val="24"/>
          <w:szCs w:val="24"/>
        </w:rPr>
        <w:t>.</w:t>
      </w:r>
    </w:p>
    <w:p w14:paraId="66B8F763"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60F77C2F"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1º </w:t>
      </w:r>
      <w:r w:rsidRPr="005C5CBD" w:rsidDel="007A2031">
        <w:rPr>
          <w:rFonts w:ascii="Garamond" w:eastAsia="Calibri" w:hAnsi="Garamond" w:cs="Calibri"/>
          <w:sz w:val="24"/>
          <w:szCs w:val="24"/>
        </w:rPr>
        <w:t xml:space="preserve"> </w:t>
      </w:r>
      <w:r w:rsidRPr="005C5CBD">
        <w:rPr>
          <w:rFonts w:ascii="Garamond" w:eastAsia="Calibri" w:hAnsi="Garamond" w:cs="Calibri"/>
          <w:sz w:val="24"/>
          <w:szCs w:val="24"/>
        </w:rPr>
        <w:t>A petição deverá conter a lista dos principais acionistas de cada empresa e fornecer as percentagens de participação para coproprietários</w:t>
      </w:r>
      <w:r w:rsidRPr="005C5CBD" w:rsidDel="004349D0">
        <w:rPr>
          <w:rFonts w:ascii="Garamond" w:eastAsia="Calibri" w:hAnsi="Garamond" w:cs="Calibri"/>
          <w:sz w:val="24"/>
          <w:szCs w:val="24"/>
        </w:rPr>
        <w:t xml:space="preserve"> </w:t>
      </w:r>
      <w:r w:rsidRPr="005C5CBD">
        <w:rPr>
          <w:rFonts w:ascii="Garamond" w:eastAsia="Calibri" w:hAnsi="Garamond" w:cs="Calibri"/>
          <w:sz w:val="24"/>
          <w:szCs w:val="24"/>
        </w:rPr>
        <w:t>ou principais acionistas.</w:t>
      </w:r>
    </w:p>
    <w:p w14:paraId="11641482"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47737540"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2º  A petição deverá informar se a empresa possui relacionamento com algum exportador ou importador brasileiro do produto subsidiado ou similar.</w:t>
      </w:r>
    </w:p>
    <w:p w14:paraId="3365F0AB"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68CE907B"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171.</w:t>
      </w:r>
      <w:r w:rsidRPr="005C5CBD">
        <w:rPr>
          <w:rFonts w:ascii="Garamond" w:eastAsia="Calibri" w:hAnsi="Garamond" w:cs="Calibri"/>
          <w:sz w:val="24"/>
          <w:szCs w:val="24"/>
        </w:rPr>
        <w:t xml:space="preserve"> A</w:t>
      </w:r>
      <w:r w:rsidRPr="005C5CBD" w:rsidDel="00FC3826">
        <w:rPr>
          <w:rFonts w:ascii="Garamond" w:eastAsia="Calibri" w:hAnsi="Garamond" w:cs="Calibri"/>
          <w:sz w:val="24"/>
          <w:szCs w:val="24"/>
        </w:rPr>
        <w:t xml:space="preserve"> </w:t>
      </w:r>
      <w:r w:rsidRPr="005C5CBD">
        <w:rPr>
          <w:rFonts w:ascii="Garamond" w:eastAsia="Calibri" w:hAnsi="Garamond" w:cs="Calibri"/>
          <w:sz w:val="24"/>
          <w:szCs w:val="24"/>
        </w:rPr>
        <w:t>petição poderá apresentar informativo de divulgação da empresa que forneça, em detalhe, as informações solicitadas.</w:t>
      </w:r>
    </w:p>
    <w:p w14:paraId="5789C002" w14:textId="77777777" w:rsidR="00395593" w:rsidRPr="005C5CBD" w:rsidRDefault="00395593" w:rsidP="00E15FBB">
      <w:pPr>
        <w:spacing w:after="0" w:line="240" w:lineRule="auto"/>
        <w:jc w:val="center"/>
        <w:rPr>
          <w:rFonts w:ascii="Garamond" w:eastAsia="Calibri" w:hAnsi="Garamond" w:cs="Calibri"/>
          <w:b/>
          <w:sz w:val="24"/>
          <w:szCs w:val="24"/>
        </w:rPr>
      </w:pPr>
    </w:p>
    <w:p w14:paraId="13663878" w14:textId="77777777" w:rsidR="00395593" w:rsidRPr="0020569B" w:rsidRDefault="00395593" w:rsidP="0020216F">
      <w:pPr>
        <w:pStyle w:val="Corpodetexto"/>
        <w:jc w:val="center"/>
        <w:rPr>
          <w:rFonts w:ascii="Garamond" w:eastAsia="MS Gothic" w:hAnsi="Garamond"/>
          <w:b/>
          <w:lang w:eastAsia="pt-BR"/>
        </w:rPr>
      </w:pPr>
      <w:r w:rsidRPr="0020569B">
        <w:rPr>
          <w:rFonts w:ascii="Garamond" w:eastAsia="MS Gothic" w:hAnsi="Garamond"/>
          <w:b/>
          <w:lang w:eastAsia="pt-BR"/>
        </w:rPr>
        <w:t>Subseção III</w:t>
      </w:r>
    </w:p>
    <w:p w14:paraId="53910113" w14:textId="77777777" w:rsidR="00395593" w:rsidRPr="0020569B" w:rsidRDefault="00395593" w:rsidP="0020216F">
      <w:pPr>
        <w:pStyle w:val="Corpodetexto"/>
        <w:jc w:val="center"/>
        <w:rPr>
          <w:rFonts w:ascii="Garamond" w:eastAsia="MS Gothic" w:hAnsi="Garamond"/>
          <w:b/>
          <w:color w:val="4F81BD"/>
          <w:lang w:eastAsia="pt-BR"/>
        </w:rPr>
      </w:pPr>
      <w:r w:rsidRPr="0020569B">
        <w:rPr>
          <w:rFonts w:ascii="Garamond" w:eastAsia="MS Gothic" w:hAnsi="Garamond"/>
          <w:b/>
          <w:lang w:eastAsia="pt-BR"/>
        </w:rPr>
        <w:t>Práticas contábeis</w:t>
      </w:r>
    </w:p>
    <w:p w14:paraId="7CE3198E" w14:textId="77777777" w:rsidR="00395593" w:rsidRPr="005C5CBD" w:rsidRDefault="00395593" w:rsidP="00E15FBB">
      <w:pPr>
        <w:spacing w:after="0" w:line="240" w:lineRule="auto"/>
        <w:jc w:val="both"/>
        <w:rPr>
          <w:rFonts w:ascii="Garamond" w:eastAsia="Calibri" w:hAnsi="Garamond" w:cs="Calibri"/>
          <w:sz w:val="24"/>
          <w:szCs w:val="24"/>
        </w:rPr>
      </w:pPr>
    </w:p>
    <w:p w14:paraId="2F584CC1" w14:textId="77777777" w:rsidR="00395593" w:rsidRPr="005C5CBD" w:rsidRDefault="00395593" w:rsidP="00D11385">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172.</w:t>
      </w:r>
      <w:r w:rsidRPr="005C5CBD">
        <w:rPr>
          <w:rFonts w:ascii="Garamond" w:eastAsia="Calibri" w:hAnsi="Garamond" w:cs="Calibri"/>
          <w:sz w:val="24"/>
          <w:szCs w:val="24"/>
        </w:rPr>
        <w:t xml:space="preserve"> A petição deverá explicar detalhadamente como os dados da contabilidade financeira de cada empresa são sumarizados nos seus demonstrativos financeiros.</w:t>
      </w:r>
    </w:p>
    <w:p w14:paraId="69855ECE" w14:textId="77777777" w:rsidR="00395593" w:rsidRPr="005C5CBD" w:rsidRDefault="00395593" w:rsidP="00E15FBB">
      <w:pPr>
        <w:spacing w:after="0" w:line="240" w:lineRule="auto"/>
        <w:jc w:val="both"/>
        <w:rPr>
          <w:rFonts w:ascii="Garamond" w:eastAsia="Calibri" w:hAnsi="Garamond" w:cs="Calibri"/>
          <w:sz w:val="24"/>
          <w:szCs w:val="24"/>
        </w:rPr>
      </w:pPr>
    </w:p>
    <w:p w14:paraId="3C92E4BF"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173.</w:t>
      </w:r>
      <w:r w:rsidRPr="005C5CBD">
        <w:rPr>
          <w:rFonts w:ascii="Garamond" w:eastAsia="Calibri" w:hAnsi="Garamond" w:cs="Calibri"/>
          <w:sz w:val="24"/>
          <w:szCs w:val="24"/>
        </w:rPr>
        <w:t xml:space="preserve"> A petição deverá explicar detalhadamente como são registradas as vendas e os recebimentos de pagamentos de cada empresa.</w:t>
      </w:r>
    </w:p>
    <w:p w14:paraId="6A5E3A0B"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3BE59CDA"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Deverão ser informados os livros contábeis utilizados, bem como as principais contas contábeis empregadas para esse fim.</w:t>
      </w:r>
    </w:p>
    <w:p w14:paraId="72BF1D66"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28D7D9D4"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174.</w:t>
      </w:r>
      <w:r w:rsidRPr="005C5CBD">
        <w:rPr>
          <w:rFonts w:ascii="Garamond" w:eastAsia="Calibri" w:hAnsi="Garamond" w:cs="Calibri"/>
          <w:sz w:val="24"/>
          <w:szCs w:val="24"/>
        </w:rPr>
        <w:t xml:space="preserve"> A petição deverá apresentar os planos de contas completos relativos ao período de investigação de dano para cada empresa.</w:t>
      </w:r>
    </w:p>
    <w:p w14:paraId="7BCC5295"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688923A6"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175.</w:t>
      </w:r>
      <w:r w:rsidRPr="005C5CBD">
        <w:rPr>
          <w:rFonts w:ascii="Garamond" w:eastAsia="Calibri" w:hAnsi="Garamond" w:cs="Calibri"/>
          <w:sz w:val="24"/>
          <w:szCs w:val="24"/>
        </w:rPr>
        <w:t xml:space="preserve"> A petição deverá explicar detalhadamente o sistema contábil de custo adotado por cada empresa, indicando necessariamente:</w:t>
      </w:r>
    </w:p>
    <w:p w14:paraId="70298B84"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04DA3C98"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como são classificados, alocados, agregados e registrados os custos incorridos na fabricação do produto similar, mediante explicação apresentada de forma narrativa e acompanhada de fluxograma;</w:t>
      </w:r>
    </w:p>
    <w:p w14:paraId="43534D97"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6DD4606F"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como são registrados os custos durante todo o processo produtivo, discriminando os diversos razões de custos auxiliares mantidos por cada empresa;</w:t>
      </w:r>
    </w:p>
    <w:p w14:paraId="07848694"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022B7FCF"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III - de que forma as informações de custos são reconciliadas com a contabilidade financeira; e</w:t>
      </w:r>
    </w:p>
    <w:p w14:paraId="59D2E9D6"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0B619515"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IV - como são registradas as compras de insumos e os pagamentos realizados pela empresa, informando todos os livros contábeis utilizados, bem como as principais contas contábeis empregadas para esse fim.</w:t>
      </w:r>
    </w:p>
    <w:p w14:paraId="39A1050B"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714B5C99"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176. A petição deverá incluir as demonstrações financeiras de cada empresa para todos os anos fiscais e anexar os balancetes sintéticos para cada um dos intervalos do período de investigação de dano.</w:t>
      </w:r>
    </w:p>
    <w:p w14:paraId="732C3F1B"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037DF3CF"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177.</w:t>
      </w:r>
      <w:r w:rsidRPr="005C5CBD">
        <w:rPr>
          <w:rFonts w:ascii="Garamond" w:eastAsia="Calibri" w:hAnsi="Garamond" w:cs="Calibri"/>
          <w:sz w:val="24"/>
          <w:szCs w:val="24"/>
        </w:rPr>
        <w:t xml:space="preserve">  A petição deverá informar o </w:t>
      </w:r>
      <w:r w:rsidRPr="005C5CBD">
        <w:rPr>
          <w:rFonts w:ascii="Garamond" w:eastAsia="Calibri" w:hAnsi="Garamond" w:cs="Calibri"/>
          <w:b/>
          <w:sz w:val="24"/>
          <w:szCs w:val="24"/>
        </w:rPr>
        <w:t>software</w:t>
      </w:r>
      <w:r w:rsidRPr="005C5CBD">
        <w:rPr>
          <w:rFonts w:ascii="Garamond" w:eastAsia="Calibri" w:hAnsi="Garamond" w:cs="Calibri"/>
          <w:sz w:val="24"/>
          <w:szCs w:val="24"/>
        </w:rPr>
        <w:t xml:space="preserve"> de gestão ou </w:t>
      </w:r>
      <w:r w:rsidRPr="005C5CBD">
        <w:rPr>
          <w:rFonts w:ascii="Garamond" w:eastAsia="Calibri" w:hAnsi="Garamond" w:cs="Calibri"/>
          <w:b/>
          <w:sz w:val="24"/>
          <w:szCs w:val="24"/>
        </w:rPr>
        <w:t>software</w:t>
      </w:r>
      <w:r w:rsidRPr="005C5CBD">
        <w:rPr>
          <w:rFonts w:ascii="Garamond" w:eastAsia="Calibri" w:hAnsi="Garamond" w:cs="Calibri"/>
          <w:sz w:val="24"/>
          <w:szCs w:val="24"/>
        </w:rPr>
        <w:t xml:space="preserve"> contábil utilizado por cada empresa.</w:t>
      </w:r>
    </w:p>
    <w:p w14:paraId="11FF0F90" w14:textId="77777777" w:rsidR="00395593" w:rsidRPr="005C5CBD" w:rsidRDefault="00395593" w:rsidP="00E15FBB">
      <w:pPr>
        <w:spacing w:after="0" w:line="240" w:lineRule="auto"/>
        <w:jc w:val="both"/>
        <w:rPr>
          <w:rFonts w:ascii="Garamond" w:eastAsia="Calibri" w:hAnsi="Garamond" w:cs="Calibri"/>
          <w:sz w:val="24"/>
          <w:szCs w:val="24"/>
        </w:rPr>
      </w:pPr>
    </w:p>
    <w:p w14:paraId="0104C61B" w14:textId="77777777" w:rsidR="00395593" w:rsidRPr="0020569B" w:rsidRDefault="00395593" w:rsidP="0020216F">
      <w:pPr>
        <w:pStyle w:val="Corpodetexto"/>
        <w:jc w:val="center"/>
        <w:rPr>
          <w:rFonts w:ascii="Garamond" w:eastAsia="MS Gothic" w:hAnsi="Garamond"/>
          <w:b/>
          <w:lang w:eastAsia="pt-BR"/>
        </w:rPr>
      </w:pPr>
      <w:r w:rsidRPr="0020569B">
        <w:rPr>
          <w:rFonts w:ascii="Garamond" w:eastAsia="MS Gothic" w:hAnsi="Garamond"/>
          <w:b/>
          <w:lang w:eastAsia="pt-BR"/>
        </w:rPr>
        <w:t>Subseção IV</w:t>
      </w:r>
    </w:p>
    <w:p w14:paraId="2F30B587" w14:textId="77777777" w:rsidR="00395593" w:rsidRPr="005C5CBD" w:rsidRDefault="00395593" w:rsidP="0020216F">
      <w:pPr>
        <w:pStyle w:val="Corpodetexto"/>
        <w:jc w:val="center"/>
        <w:rPr>
          <w:rFonts w:eastAsia="MS Gothic"/>
          <w:color w:val="4F81BD"/>
          <w:lang w:eastAsia="pt-BR"/>
        </w:rPr>
      </w:pPr>
      <w:r w:rsidRPr="0020569B">
        <w:rPr>
          <w:rFonts w:ascii="Garamond" w:eastAsia="MS Gothic" w:hAnsi="Garamond"/>
          <w:b/>
          <w:lang w:eastAsia="pt-BR"/>
        </w:rPr>
        <w:t>Processo de venda e distribuição</w:t>
      </w:r>
    </w:p>
    <w:p w14:paraId="7AB0CCF7" w14:textId="77777777" w:rsidR="00395593" w:rsidRPr="005C5CBD" w:rsidRDefault="00395593" w:rsidP="00E15FBB">
      <w:pPr>
        <w:spacing w:after="0" w:line="240" w:lineRule="auto"/>
        <w:jc w:val="both"/>
        <w:rPr>
          <w:rFonts w:ascii="Garamond" w:eastAsia="Calibri" w:hAnsi="Garamond" w:cs="Calibri"/>
          <w:sz w:val="24"/>
          <w:szCs w:val="24"/>
        </w:rPr>
      </w:pPr>
    </w:p>
    <w:p w14:paraId="6BB40BAA"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178.</w:t>
      </w:r>
      <w:r w:rsidRPr="005C5CBD">
        <w:rPr>
          <w:rFonts w:ascii="Garamond" w:eastAsia="Calibri" w:hAnsi="Garamond" w:cs="Calibri"/>
          <w:sz w:val="24"/>
          <w:szCs w:val="24"/>
        </w:rPr>
        <w:t xml:space="preserve">  A petição deverá informar a existência de restrições, nas vendas diretas e nas vendas efetuadas por meio de distribuidores ou intermediários, no que se refere ao volume, à área geográfica de atuação ou outros condicionantes, e, em caso positivo, detalhar a natureza de tais restrições. </w:t>
      </w:r>
    </w:p>
    <w:p w14:paraId="75305897"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5AC37EFB"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Parágrafo único.  No caso de vendas para distribuidores, a petição deverá informar se a empresa vende apenas para distribuidores autorizados. </w:t>
      </w:r>
    </w:p>
    <w:p w14:paraId="18EB5334"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16E3BA93"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179.</w:t>
      </w:r>
      <w:r w:rsidRPr="005C5CBD">
        <w:rPr>
          <w:rFonts w:ascii="Garamond" w:eastAsia="Calibri" w:hAnsi="Garamond" w:cs="Calibri"/>
          <w:sz w:val="24"/>
          <w:szCs w:val="24"/>
        </w:rPr>
        <w:t xml:space="preserve">  A petição deverá explicar detalhadamente os termos de venda (</w:t>
      </w:r>
      <w:r w:rsidRPr="005C5CBD">
        <w:rPr>
          <w:rFonts w:ascii="Garamond" w:eastAsia="Calibri" w:hAnsi="Garamond" w:cs="Calibri"/>
          <w:b/>
          <w:sz w:val="24"/>
          <w:szCs w:val="24"/>
        </w:rPr>
        <w:t>spot</w:t>
      </w:r>
      <w:r w:rsidRPr="005C5CBD">
        <w:rPr>
          <w:rFonts w:ascii="Garamond" w:eastAsia="Calibri" w:hAnsi="Garamond" w:cs="Calibri"/>
          <w:sz w:val="24"/>
          <w:szCs w:val="24"/>
        </w:rPr>
        <w:t>, contrato etc.) das transações e, no caso de vendas mediante contrato, listar os clientes.</w:t>
      </w:r>
    </w:p>
    <w:p w14:paraId="39795439"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7EA0D8BC"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180.</w:t>
      </w:r>
      <w:r w:rsidRPr="005C5CBD">
        <w:rPr>
          <w:rFonts w:ascii="Garamond" w:eastAsia="Calibri" w:hAnsi="Garamond" w:cs="Calibri"/>
          <w:sz w:val="24"/>
          <w:szCs w:val="24"/>
        </w:rPr>
        <w:t xml:space="preserve">  A petição deverá explicar detalhadamente os tipos de embalagem (granel, tambor, </w:t>
      </w:r>
      <w:r w:rsidRPr="005C5CBD">
        <w:rPr>
          <w:rFonts w:ascii="Garamond" w:eastAsia="Calibri" w:hAnsi="Garamond" w:cs="Calibri"/>
          <w:b/>
          <w:sz w:val="24"/>
          <w:szCs w:val="24"/>
        </w:rPr>
        <w:t>big bag</w:t>
      </w:r>
      <w:r w:rsidRPr="005C5CBD">
        <w:rPr>
          <w:rFonts w:ascii="Garamond" w:eastAsia="Calibri" w:hAnsi="Garamond" w:cs="Calibri"/>
          <w:i/>
          <w:sz w:val="24"/>
          <w:szCs w:val="24"/>
        </w:rPr>
        <w:t>,</w:t>
      </w:r>
      <w:r w:rsidRPr="005C5CBD">
        <w:rPr>
          <w:rFonts w:ascii="Garamond" w:eastAsia="Calibri" w:hAnsi="Garamond" w:cs="Calibri"/>
          <w:b/>
          <w:sz w:val="24"/>
          <w:szCs w:val="24"/>
        </w:rPr>
        <w:t xml:space="preserve"> pallet</w:t>
      </w:r>
      <w:r w:rsidRPr="005C5CBD">
        <w:rPr>
          <w:rFonts w:ascii="Garamond" w:eastAsia="Calibri" w:hAnsi="Garamond" w:cs="Calibri"/>
          <w:sz w:val="24"/>
          <w:szCs w:val="24"/>
        </w:rPr>
        <w:t xml:space="preserve"> etc.) utilizados na venda do produto similar para o mercado interno, especificando os volumes transportados por tipo de embalagem.</w:t>
      </w:r>
    </w:p>
    <w:p w14:paraId="7BA78FD1"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664537F0"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181.</w:t>
      </w:r>
      <w:r w:rsidRPr="005C5CBD">
        <w:rPr>
          <w:rFonts w:ascii="Garamond" w:eastAsia="Calibri" w:hAnsi="Garamond" w:cs="Calibri"/>
          <w:sz w:val="24"/>
          <w:szCs w:val="24"/>
        </w:rPr>
        <w:t xml:space="preserve">  A petição deverá explicar detalhadamente de que forma cada empresa classifica em seus registros as vendas realizadas para:</w:t>
      </w:r>
    </w:p>
    <w:p w14:paraId="087FEB80" w14:textId="77777777" w:rsidR="00395593" w:rsidRPr="005C5CBD" w:rsidRDefault="00395593" w:rsidP="00E15FBB">
      <w:pPr>
        <w:spacing w:after="0" w:line="240" w:lineRule="auto"/>
        <w:jc w:val="both"/>
        <w:rPr>
          <w:rFonts w:ascii="Garamond" w:eastAsia="Calibri" w:hAnsi="Garamond" w:cs="Calibri"/>
          <w:sz w:val="24"/>
          <w:szCs w:val="24"/>
        </w:rPr>
      </w:pPr>
    </w:p>
    <w:p w14:paraId="2E7A43E6"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mercado externo;</w:t>
      </w:r>
    </w:p>
    <w:p w14:paraId="238BA373"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3F0A44E6"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 - mercado interno; </w:t>
      </w:r>
    </w:p>
    <w:p w14:paraId="08020865"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5108C031"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III - zonas francas; </w:t>
      </w:r>
    </w:p>
    <w:p w14:paraId="57C1E5CD"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4499C6AF"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IV - </w:t>
      </w:r>
      <w:r w:rsidRPr="005C5CBD" w:rsidDel="007E5C12">
        <w:rPr>
          <w:rFonts w:ascii="Garamond" w:eastAsia="Calibri" w:hAnsi="Garamond" w:cs="Calibri"/>
          <w:sz w:val="24"/>
          <w:szCs w:val="24"/>
        </w:rPr>
        <w:t>Z</w:t>
      </w:r>
      <w:r w:rsidRPr="005C5CBD">
        <w:rPr>
          <w:rFonts w:ascii="Garamond" w:eastAsia="Calibri" w:hAnsi="Garamond" w:cs="Calibri"/>
          <w:sz w:val="24"/>
          <w:szCs w:val="24"/>
        </w:rPr>
        <w:t xml:space="preserve">onas de </w:t>
      </w:r>
      <w:r w:rsidRPr="005C5CBD" w:rsidDel="007E5C12">
        <w:rPr>
          <w:rFonts w:ascii="Garamond" w:eastAsia="Calibri" w:hAnsi="Garamond" w:cs="Calibri"/>
          <w:sz w:val="24"/>
          <w:szCs w:val="24"/>
        </w:rPr>
        <w:t>P</w:t>
      </w:r>
      <w:r w:rsidRPr="005C5CBD">
        <w:rPr>
          <w:rFonts w:ascii="Garamond" w:eastAsia="Calibri" w:hAnsi="Garamond" w:cs="Calibri"/>
          <w:sz w:val="24"/>
          <w:szCs w:val="24"/>
        </w:rPr>
        <w:t xml:space="preserve">rocessamento de </w:t>
      </w:r>
      <w:r w:rsidRPr="005C5CBD" w:rsidDel="007E5C12">
        <w:rPr>
          <w:rFonts w:ascii="Garamond" w:eastAsia="Calibri" w:hAnsi="Garamond" w:cs="Calibri"/>
          <w:sz w:val="24"/>
          <w:szCs w:val="24"/>
        </w:rPr>
        <w:t>E</w:t>
      </w:r>
      <w:r w:rsidRPr="005C5CBD">
        <w:rPr>
          <w:rFonts w:ascii="Garamond" w:eastAsia="Calibri" w:hAnsi="Garamond" w:cs="Calibri"/>
          <w:sz w:val="24"/>
          <w:szCs w:val="24"/>
        </w:rPr>
        <w:t>xportação; e</w:t>
      </w:r>
    </w:p>
    <w:p w14:paraId="5A67FFEA"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62D193C4"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V - outros.</w:t>
      </w:r>
    </w:p>
    <w:p w14:paraId="1D1EA54A" w14:textId="77777777" w:rsidR="00395593" w:rsidRPr="005C5CBD" w:rsidRDefault="00395593" w:rsidP="00E15FBB">
      <w:pPr>
        <w:spacing w:after="0" w:line="240" w:lineRule="auto"/>
        <w:jc w:val="both"/>
        <w:rPr>
          <w:rFonts w:ascii="Garamond" w:eastAsia="Calibri" w:hAnsi="Garamond" w:cs="Calibri"/>
          <w:sz w:val="24"/>
          <w:szCs w:val="24"/>
        </w:rPr>
      </w:pPr>
    </w:p>
    <w:p w14:paraId="3BB7CE9E"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182.</w:t>
      </w:r>
      <w:r w:rsidRPr="005C5CBD">
        <w:rPr>
          <w:rFonts w:ascii="Garamond" w:eastAsia="Calibri" w:hAnsi="Garamond" w:cs="Calibri"/>
          <w:sz w:val="24"/>
          <w:szCs w:val="24"/>
        </w:rPr>
        <w:t xml:space="preserve">  A petição deverá identificar todas as vendas do produto similar doméstico no mercado interno realizadas para partes relacionadas, conforme Apêndice VII.</w:t>
      </w:r>
    </w:p>
    <w:p w14:paraId="157E48DC"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28BDE203"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A petição deverá indicar a destinação do produto vendido para partes relacionadas  (consumo próprio ou revenda) e</w:t>
      </w:r>
      <w:r w:rsidRPr="005C5CBD" w:rsidDel="008C5400">
        <w:rPr>
          <w:rFonts w:ascii="Garamond" w:eastAsia="Calibri" w:hAnsi="Garamond" w:cs="Calibri"/>
          <w:sz w:val="24"/>
          <w:szCs w:val="24"/>
        </w:rPr>
        <w:t xml:space="preserve"> </w:t>
      </w:r>
      <w:r w:rsidRPr="005C5CBD">
        <w:rPr>
          <w:rFonts w:ascii="Garamond" w:eastAsia="Calibri" w:hAnsi="Garamond" w:cs="Calibri"/>
          <w:sz w:val="24"/>
          <w:szCs w:val="24"/>
        </w:rPr>
        <w:t xml:space="preserve">detalhar a política de preços para tais partes. </w:t>
      </w:r>
    </w:p>
    <w:p w14:paraId="17944883"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2EAE7EA4"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183.</w:t>
      </w:r>
      <w:r w:rsidRPr="005C5CBD">
        <w:rPr>
          <w:rFonts w:ascii="Garamond" w:eastAsia="Calibri" w:hAnsi="Garamond" w:cs="Calibri"/>
          <w:sz w:val="24"/>
          <w:szCs w:val="24"/>
        </w:rPr>
        <w:t xml:space="preserve">  O fluxograma para cada um dos canais de distribuição utilizados nas vendas no mercado interno deverá ser fornecido na petição.</w:t>
      </w:r>
    </w:p>
    <w:p w14:paraId="773D2421"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w:t>
      </w:r>
      <w:r w:rsidRPr="005C5CBD">
        <w:rPr>
          <w:rFonts w:ascii="Garamond" w:eastAsia="Calibri" w:hAnsi="Garamond" w:cs="Calibri"/>
          <w:sz w:val="24"/>
          <w:szCs w:val="24"/>
        </w:rPr>
        <w:br/>
        <w:t>Parágrafo único.  A petição deverá conter descrição detalhada de cada canal de distribuição utilizado nas vendas no mercado interno, bem como descrever a função de cada um dos agentes envolvidos no processo de distribuição e sua forma de remuneração.</w:t>
      </w:r>
    </w:p>
    <w:p w14:paraId="7F9FFBEC"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37908957"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184.</w:t>
      </w:r>
      <w:r w:rsidRPr="005C5CBD">
        <w:rPr>
          <w:rFonts w:ascii="Garamond" w:eastAsia="Calibri" w:hAnsi="Garamond" w:cs="Calibri"/>
          <w:sz w:val="24"/>
          <w:szCs w:val="24"/>
        </w:rPr>
        <w:t xml:space="preserve">  A petição deverá informar se a empresa realizou serviço de industrialização para terceiros (</w:t>
      </w:r>
      <w:r w:rsidRPr="005C5CBD">
        <w:rPr>
          <w:rFonts w:ascii="Garamond" w:eastAsia="Calibri" w:hAnsi="Garamond" w:cs="Calibri"/>
          <w:b/>
          <w:sz w:val="24"/>
          <w:szCs w:val="24"/>
        </w:rPr>
        <w:t>tolling</w:t>
      </w:r>
      <w:r w:rsidRPr="005C5CBD">
        <w:rPr>
          <w:rFonts w:ascii="Garamond" w:eastAsia="Calibri" w:hAnsi="Garamond" w:cs="Calibri"/>
          <w:sz w:val="24"/>
          <w:szCs w:val="24"/>
        </w:rPr>
        <w:t xml:space="preserve">) e se possuía contrato </w:t>
      </w:r>
      <w:r w:rsidRPr="005C5CBD">
        <w:rPr>
          <w:rFonts w:ascii="Garamond" w:eastAsia="Calibri" w:hAnsi="Garamond" w:cs="Calibri"/>
          <w:b/>
          <w:sz w:val="24"/>
          <w:szCs w:val="24"/>
        </w:rPr>
        <w:t>swap</w:t>
      </w:r>
      <w:r w:rsidRPr="005C5CBD">
        <w:rPr>
          <w:rFonts w:ascii="Garamond" w:eastAsia="Calibri" w:hAnsi="Garamond" w:cs="Calibri"/>
          <w:sz w:val="24"/>
          <w:szCs w:val="24"/>
        </w:rPr>
        <w:t xml:space="preserve">, bem como informar os detalhes dessas operações. </w:t>
      </w:r>
    </w:p>
    <w:p w14:paraId="3EF1AB24"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w:t>
      </w:r>
    </w:p>
    <w:p w14:paraId="583F6A6E"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185.</w:t>
      </w:r>
      <w:r w:rsidRPr="005C5CBD">
        <w:rPr>
          <w:rFonts w:ascii="Garamond" w:eastAsia="Calibri" w:hAnsi="Garamond" w:cs="Calibri"/>
          <w:sz w:val="24"/>
          <w:szCs w:val="24"/>
        </w:rPr>
        <w:t xml:space="preserve">  A petição deverá informar se cada empresa realizou revendas de produto similar adquirido de outros produtores e se realizou vendas de produto similar de outras marcas que não as suas próprias.</w:t>
      </w:r>
    </w:p>
    <w:p w14:paraId="13E2DC73"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012FDD21"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As revendas de produto adquirido no mercado interno produzido por terceiros não deverão ser reportadas como vendas do produto similar de fabricação própria nos apêndices indicados na Seção XII deste Capítulo.</w:t>
      </w:r>
    </w:p>
    <w:p w14:paraId="2442FB0E" w14:textId="77777777" w:rsidR="00395593" w:rsidRPr="005C5CBD" w:rsidRDefault="00395593" w:rsidP="00E15FBB">
      <w:pPr>
        <w:spacing w:after="0" w:line="240" w:lineRule="auto"/>
        <w:jc w:val="both"/>
        <w:rPr>
          <w:rFonts w:ascii="Garamond" w:eastAsia="Calibri" w:hAnsi="Garamond" w:cs="Calibri"/>
          <w:sz w:val="24"/>
          <w:szCs w:val="24"/>
        </w:rPr>
      </w:pPr>
    </w:p>
    <w:p w14:paraId="38A6072D" w14:textId="77777777" w:rsidR="00395593" w:rsidRPr="0020569B" w:rsidRDefault="00395593" w:rsidP="0020216F">
      <w:pPr>
        <w:pStyle w:val="Corpodetexto"/>
        <w:jc w:val="center"/>
        <w:rPr>
          <w:rFonts w:ascii="Garamond" w:hAnsi="Garamond"/>
          <w:b/>
          <w:lang w:eastAsia="pt-BR"/>
        </w:rPr>
      </w:pPr>
      <w:r w:rsidRPr="0020569B">
        <w:rPr>
          <w:rFonts w:ascii="Garamond" w:hAnsi="Garamond"/>
          <w:b/>
          <w:lang w:eastAsia="pt-BR"/>
        </w:rPr>
        <w:t>Seção XII</w:t>
      </w:r>
    </w:p>
    <w:p w14:paraId="546E2C70" w14:textId="77777777" w:rsidR="00395593" w:rsidRPr="0020569B" w:rsidRDefault="00395593" w:rsidP="0020216F">
      <w:pPr>
        <w:pStyle w:val="Corpodetexto"/>
        <w:jc w:val="center"/>
        <w:rPr>
          <w:rFonts w:ascii="Garamond" w:hAnsi="Garamond"/>
          <w:b/>
          <w:lang w:eastAsia="pt-BR"/>
        </w:rPr>
      </w:pPr>
      <w:r w:rsidRPr="0020569B">
        <w:rPr>
          <w:rFonts w:ascii="Garamond" w:hAnsi="Garamond"/>
          <w:b/>
          <w:lang w:eastAsia="pt-BR"/>
        </w:rPr>
        <w:t>Indicadores de desempenho</w:t>
      </w:r>
    </w:p>
    <w:p w14:paraId="21ABBA2D" w14:textId="77777777" w:rsidR="00395593" w:rsidRPr="005C5CBD" w:rsidRDefault="00395593" w:rsidP="00E15FBB">
      <w:pPr>
        <w:spacing w:after="0" w:line="240" w:lineRule="auto"/>
        <w:jc w:val="center"/>
        <w:rPr>
          <w:rFonts w:ascii="Garamond" w:eastAsia="Calibri" w:hAnsi="Garamond" w:cs="Calibri"/>
          <w:sz w:val="24"/>
          <w:szCs w:val="24"/>
        </w:rPr>
      </w:pPr>
    </w:p>
    <w:p w14:paraId="541222FE" w14:textId="09CDC4FF"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186.</w:t>
      </w:r>
      <w:r w:rsidRPr="005C5CBD" w:rsidDel="000C4DBE">
        <w:rPr>
          <w:rFonts w:ascii="Garamond" w:eastAsia="Calibri" w:hAnsi="Garamond" w:cs="Calibri"/>
          <w:sz w:val="24"/>
          <w:szCs w:val="24"/>
        </w:rPr>
        <w:t xml:space="preserve">  </w:t>
      </w:r>
      <w:r w:rsidRPr="005C5CBD">
        <w:rPr>
          <w:rFonts w:ascii="Garamond" w:eastAsia="Calibri" w:hAnsi="Garamond" w:cs="Calibri"/>
          <w:sz w:val="24"/>
          <w:szCs w:val="24"/>
        </w:rPr>
        <w:t xml:space="preserve">O peticionário da investigação original de existência de subsídio deverá apresentar, de forma sequencial, as respostas a cada um dos artigos desta Seção e preencher as tabelas de cada um dos apêndices indicados nos referidos artigos, referentes aos indicadores de desempenho de todos os intervalos que compõem o período de investigação de dano, tal como definido no </w:t>
      </w:r>
      <w:r w:rsidRPr="005C5CBD">
        <w:rPr>
          <w:rFonts w:ascii="Garamond" w:eastAsia="Times New Roman" w:hAnsi="Garamond" w:cs="Calibri"/>
          <w:sz w:val="24"/>
          <w:szCs w:val="24"/>
          <w:lang w:eastAsia="pt-BR"/>
        </w:rPr>
        <w:t xml:space="preserve">art. </w:t>
      </w:r>
      <w:r w:rsidR="00701DA1">
        <w:rPr>
          <w:rFonts w:ascii="Garamond" w:eastAsia="Times New Roman" w:hAnsi="Garamond" w:cs="Calibri"/>
          <w:sz w:val="24"/>
          <w:szCs w:val="24"/>
          <w:lang w:eastAsia="pt-BR"/>
        </w:rPr>
        <w:t>127</w:t>
      </w:r>
      <w:r w:rsidR="00E15FBB" w:rsidRPr="005C5CBD">
        <w:rPr>
          <w:rFonts w:ascii="Garamond" w:eastAsia="Calibri" w:hAnsi="Garamond" w:cs="Calibri"/>
          <w:sz w:val="24"/>
          <w:szCs w:val="24"/>
        </w:rPr>
        <w:t>.</w:t>
      </w:r>
      <w:r w:rsidRPr="005C5CBD">
        <w:rPr>
          <w:rFonts w:ascii="Garamond" w:eastAsia="Calibri" w:hAnsi="Garamond" w:cs="Calibri"/>
          <w:sz w:val="24"/>
          <w:szCs w:val="24"/>
        </w:rPr>
        <w:t xml:space="preserve">  </w:t>
      </w:r>
    </w:p>
    <w:p w14:paraId="56D55186"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50A5670F"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Parágrafo único.  A petição deverá conter as informações referentes a todas as empresas que compõem a indústria doméstica, e os apêndices referentes aos indicadores de desempenho solicitados deverão ser preenchidos individualmente para cada empresa e também de forma consolidada para o conjunto das empresas que compõem a indústria doméstica, observadas as exceções específicas para as petições de indústrias fragmentadas. </w:t>
      </w:r>
    </w:p>
    <w:p w14:paraId="746F7B12" w14:textId="77777777" w:rsidR="00395593" w:rsidRPr="005C5CBD" w:rsidRDefault="00395593" w:rsidP="00E15FBB">
      <w:pPr>
        <w:spacing w:after="0" w:line="240" w:lineRule="auto"/>
        <w:rPr>
          <w:rFonts w:ascii="Garamond" w:eastAsia="Calibri" w:hAnsi="Garamond" w:cs="Calibri"/>
          <w:sz w:val="24"/>
          <w:szCs w:val="24"/>
        </w:rPr>
      </w:pPr>
    </w:p>
    <w:p w14:paraId="73D14C75" w14:textId="77777777" w:rsidR="00395593" w:rsidRPr="0020569B" w:rsidRDefault="00395593" w:rsidP="0020216F">
      <w:pPr>
        <w:pStyle w:val="Corpodetexto"/>
        <w:jc w:val="center"/>
        <w:rPr>
          <w:rFonts w:ascii="Garamond" w:eastAsia="MS Gothic" w:hAnsi="Garamond"/>
          <w:b/>
          <w:color w:val="4F81BD"/>
          <w:lang w:eastAsia="pt-BR"/>
        </w:rPr>
      </w:pPr>
      <w:r w:rsidRPr="0020569B">
        <w:rPr>
          <w:rFonts w:ascii="Garamond" w:eastAsia="MS Gothic" w:hAnsi="Garamond"/>
          <w:b/>
          <w:lang w:eastAsia="pt-BR"/>
        </w:rPr>
        <w:t>Subseção I</w:t>
      </w:r>
    </w:p>
    <w:p w14:paraId="3F6F2C80" w14:textId="77777777" w:rsidR="00395593" w:rsidRPr="0020569B" w:rsidRDefault="00395593" w:rsidP="0020216F">
      <w:pPr>
        <w:pStyle w:val="Corpodetexto"/>
        <w:jc w:val="center"/>
        <w:rPr>
          <w:rFonts w:ascii="Garamond" w:eastAsia="MS Gothic" w:hAnsi="Garamond"/>
          <w:b/>
          <w:color w:val="4F81BD"/>
          <w:lang w:eastAsia="pt-BR"/>
        </w:rPr>
      </w:pPr>
      <w:r w:rsidRPr="0020569B">
        <w:rPr>
          <w:rFonts w:ascii="Garamond" w:eastAsia="MS Gothic" w:hAnsi="Garamond"/>
          <w:b/>
          <w:lang w:eastAsia="pt-BR"/>
        </w:rPr>
        <w:t>Do volume de vendas</w:t>
      </w:r>
    </w:p>
    <w:p w14:paraId="270AF80D" w14:textId="77777777" w:rsidR="00395593" w:rsidRPr="005C5CBD" w:rsidRDefault="00395593" w:rsidP="00E15FBB">
      <w:pPr>
        <w:spacing w:after="0" w:line="240" w:lineRule="auto"/>
        <w:jc w:val="both"/>
        <w:rPr>
          <w:rFonts w:ascii="Garamond" w:eastAsia="Calibri" w:hAnsi="Garamond" w:cs="Calibri"/>
          <w:sz w:val="24"/>
          <w:szCs w:val="24"/>
        </w:rPr>
      </w:pPr>
    </w:p>
    <w:p w14:paraId="6ADAE47C"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187.</w:t>
      </w:r>
      <w:r w:rsidRPr="005C5CBD">
        <w:rPr>
          <w:rFonts w:ascii="Garamond" w:eastAsia="Calibri" w:hAnsi="Garamond" w:cs="Calibri"/>
          <w:sz w:val="24"/>
          <w:szCs w:val="24"/>
        </w:rPr>
        <w:t xml:space="preserve">  A petição deverá apresentar o valor e a quantidade vendida no mercado interno e externo do produto similar doméstico e o valor total das vendas da empresa, conforme tabela constante no Apêndice V. </w:t>
      </w:r>
    </w:p>
    <w:p w14:paraId="6A7C5A1D"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3F99E81F"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O peticionário deverá observar que os totais informados no Apêndice V devem coincidir com a contabilidade da empresa e com as totalizações das informações fornecidas no Apêndice VII.</w:t>
      </w:r>
    </w:p>
    <w:p w14:paraId="0E6AC215"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30A46AC9"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188.</w:t>
      </w:r>
      <w:r w:rsidRPr="005C5CBD">
        <w:rPr>
          <w:rFonts w:ascii="Garamond" w:eastAsia="Calibri" w:hAnsi="Garamond" w:cs="Calibri"/>
          <w:sz w:val="24"/>
          <w:szCs w:val="24"/>
        </w:rPr>
        <w:t xml:space="preserve">  Caso exista consumo cativo, isto é, transferência de produto a ser utilizado como matéria-prima ou insumo sem emissão de nota fiscal de venda, deverá ser preenchido o Apêndice VI. </w:t>
      </w:r>
    </w:p>
    <w:p w14:paraId="2EA15B9D" w14:textId="77777777" w:rsidR="00395593" w:rsidRPr="005C5CBD" w:rsidRDefault="00395593" w:rsidP="00A40BDB">
      <w:pPr>
        <w:spacing w:after="0" w:line="240" w:lineRule="auto"/>
        <w:ind w:firstLine="567"/>
        <w:jc w:val="both"/>
        <w:rPr>
          <w:rFonts w:ascii="Garamond" w:eastAsia="Calibri" w:hAnsi="Garamond" w:cs="Calibri"/>
          <w:sz w:val="24"/>
          <w:szCs w:val="24"/>
        </w:rPr>
      </w:pPr>
    </w:p>
    <w:p w14:paraId="7F447185"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189.</w:t>
      </w:r>
      <w:r w:rsidRPr="005C5CBD">
        <w:rPr>
          <w:rFonts w:ascii="Garamond" w:eastAsia="Calibri" w:hAnsi="Garamond" w:cs="Calibri"/>
          <w:sz w:val="24"/>
          <w:szCs w:val="24"/>
        </w:rPr>
        <w:t xml:space="preserve">  O peticionário deverá preencher o Apêndice VII, relativo às vendas no mercado interno do produto similar de fabricação própria, de acordo com as instruções contidas no referido apêndice. </w:t>
      </w:r>
    </w:p>
    <w:p w14:paraId="7FC3F333" w14:textId="77777777" w:rsidR="00395593" w:rsidRPr="005C5CBD" w:rsidRDefault="00395593" w:rsidP="00A40BDB">
      <w:pPr>
        <w:spacing w:after="0" w:line="240" w:lineRule="auto"/>
        <w:ind w:left="708" w:firstLine="567"/>
        <w:jc w:val="both"/>
        <w:rPr>
          <w:rFonts w:ascii="Garamond" w:eastAsia="Calibri" w:hAnsi="Garamond" w:cs="Calibri"/>
          <w:sz w:val="24"/>
          <w:szCs w:val="24"/>
        </w:rPr>
      </w:pPr>
    </w:p>
    <w:p w14:paraId="1B55DD59"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190.</w:t>
      </w:r>
      <w:r w:rsidRPr="005C5CBD">
        <w:rPr>
          <w:rFonts w:ascii="Garamond" w:eastAsia="Calibri" w:hAnsi="Garamond" w:cs="Calibri"/>
          <w:sz w:val="24"/>
          <w:szCs w:val="24"/>
        </w:rPr>
        <w:t xml:space="preserve">  As vendas destinadas à Zona Franca de Manaus e às Zonas de Processamento de Exportações deverão ser consideradas como vendas no mercado interno brasileiro.</w:t>
      </w:r>
    </w:p>
    <w:p w14:paraId="48194F83" w14:textId="77777777" w:rsidR="00395593" w:rsidRPr="005C5CBD" w:rsidRDefault="00395593" w:rsidP="00A40BDB">
      <w:pPr>
        <w:spacing w:after="0" w:line="240" w:lineRule="auto"/>
        <w:ind w:left="708" w:firstLine="567"/>
        <w:jc w:val="both"/>
        <w:rPr>
          <w:rFonts w:ascii="Garamond" w:eastAsia="Calibri" w:hAnsi="Garamond" w:cs="Calibri"/>
          <w:sz w:val="24"/>
          <w:szCs w:val="24"/>
        </w:rPr>
      </w:pPr>
    </w:p>
    <w:p w14:paraId="0E0C2691" w14:textId="77777777" w:rsidR="00395593" w:rsidRPr="005C5CBD" w:rsidRDefault="00395593" w:rsidP="00A40BDB">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191.</w:t>
      </w:r>
      <w:r w:rsidRPr="005C5CBD">
        <w:rPr>
          <w:rFonts w:ascii="Garamond" w:eastAsia="Calibri" w:hAnsi="Garamond" w:cs="Calibri"/>
          <w:sz w:val="24"/>
          <w:szCs w:val="24"/>
        </w:rPr>
        <w:t xml:space="preserve">  O peticionário deverá observar que as informações apresentadas no Apêndice VII devem ser reconciliadas com a contabilidade da empresa e com as informações apresentadas nos Apêndices V, IX e XI.</w:t>
      </w:r>
    </w:p>
    <w:p w14:paraId="03303137" w14:textId="77777777" w:rsidR="00395593" w:rsidRPr="005C5CBD" w:rsidRDefault="00395593" w:rsidP="00E15FBB">
      <w:pPr>
        <w:spacing w:after="0" w:line="240" w:lineRule="auto"/>
        <w:jc w:val="both"/>
        <w:rPr>
          <w:rFonts w:ascii="Garamond" w:eastAsia="Calibri" w:hAnsi="Garamond" w:cs="Calibri"/>
          <w:sz w:val="24"/>
          <w:szCs w:val="24"/>
        </w:rPr>
      </w:pPr>
    </w:p>
    <w:p w14:paraId="6ADCC8B8" w14:textId="77777777" w:rsidR="00395593" w:rsidRPr="005C5CBD" w:rsidRDefault="00395593" w:rsidP="00E15FBB">
      <w:pPr>
        <w:spacing w:after="0" w:line="240" w:lineRule="auto"/>
        <w:jc w:val="both"/>
        <w:rPr>
          <w:rFonts w:ascii="Garamond" w:eastAsia="Calibri" w:hAnsi="Garamond" w:cs="Calibri"/>
          <w:sz w:val="24"/>
          <w:szCs w:val="24"/>
        </w:rPr>
      </w:pPr>
    </w:p>
    <w:p w14:paraId="330D2E76" w14:textId="77777777" w:rsidR="00395593" w:rsidRPr="0020569B" w:rsidRDefault="00395593" w:rsidP="0020216F">
      <w:pPr>
        <w:pStyle w:val="Corpodetexto"/>
        <w:jc w:val="center"/>
        <w:rPr>
          <w:rFonts w:ascii="Garamond" w:eastAsia="MS Gothic" w:hAnsi="Garamond"/>
          <w:b/>
          <w:color w:val="4F81BD"/>
          <w:lang w:eastAsia="pt-BR"/>
        </w:rPr>
      </w:pPr>
      <w:r w:rsidRPr="0020569B">
        <w:rPr>
          <w:rFonts w:ascii="Garamond" w:eastAsia="MS Gothic" w:hAnsi="Garamond"/>
          <w:b/>
          <w:lang w:eastAsia="pt-BR"/>
        </w:rPr>
        <w:t>Subseção II</w:t>
      </w:r>
    </w:p>
    <w:p w14:paraId="1BBC39C3" w14:textId="77777777" w:rsidR="00395593" w:rsidRPr="0020569B" w:rsidRDefault="00395593" w:rsidP="0020216F">
      <w:pPr>
        <w:pStyle w:val="Corpodetexto"/>
        <w:jc w:val="center"/>
        <w:rPr>
          <w:rFonts w:ascii="Garamond" w:eastAsia="MS Gothic" w:hAnsi="Garamond"/>
          <w:b/>
          <w:color w:val="4F81BD"/>
          <w:lang w:eastAsia="pt-BR"/>
        </w:rPr>
      </w:pPr>
      <w:r w:rsidRPr="0020569B">
        <w:rPr>
          <w:rFonts w:ascii="Garamond" w:eastAsia="MS Gothic" w:hAnsi="Garamond"/>
          <w:b/>
          <w:lang w:eastAsia="pt-BR"/>
        </w:rPr>
        <w:t>Da produção e do grau de utilização da capacidade instalada</w:t>
      </w:r>
    </w:p>
    <w:p w14:paraId="1F00BFF7" w14:textId="77777777" w:rsidR="00395593" w:rsidRPr="005C5CBD" w:rsidRDefault="00395593" w:rsidP="00E15FBB">
      <w:pPr>
        <w:spacing w:after="0" w:line="240" w:lineRule="auto"/>
        <w:jc w:val="both"/>
        <w:rPr>
          <w:rFonts w:ascii="Garamond" w:eastAsia="Calibri" w:hAnsi="Garamond" w:cs="Calibri"/>
          <w:sz w:val="24"/>
          <w:szCs w:val="24"/>
        </w:rPr>
      </w:pPr>
    </w:p>
    <w:p w14:paraId="7AD11D33"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192.</w:t>
      </w:r>
      <w:r w:rsidRPr="005C5CBD">
        <w:rPr>
          <w:rFonts w:ascii="Garamond" w:eastAsia="Calibri" w:hAnsi="Garamond" w:cs="Calibri"/>
          <w:sz w:val="24"/>
          <w:szCs w:val="24"/>
        </w:rPr>
        <w:t xml:space="preserve">  </w:t>
      </w:r>
      <w:r w:rsidRPr="005C5CBD" w:rsidDel="00761CC5">
        <w:rPr>
          <w:rFonts w:ascii="Garamond" w:eastAsia="Calibri" w:hAnsi="Garamond" w:cs="Calibri"/>
          <w:sz w:val="24"/>
          <w:szCs w:val="24"/>
        </w:rPr>
        <w:t>C</w:t>
      </w:r>
      <w:r w:rsidRPr="005C5CBD">
        <w:rPr>
          <w:rFonts w:ascii="Garamond" w:eastAsia="Calibri" w:hAnsi="Garamond" w:cs="Calibri"/>
          <w:sz w:val="24"/>
          <w:szCs w:val="24"/>
        </w:rPr>
        <w:t>aso o produto similar doméstico seja produzido em mais de uma planta, o peticionário deve identificar cada uma delas e descrever as atividades efetuadas nas distintas plantas.</w:t>
      </w:r>
    </w:p>
    <w:p w14:paraId="435A2FC1" w14:textId="77777777" w:rsidR="00395593" w:rsidRPr="005C5CBD" w:rsidRDefault="00395593" w:rsidP="00EF4A21">
      <w:pPr>
        <w:spacing w:after="0" w:line="240" w:lineRule="auto"/>
        <w:ind w:left="708" w:firstLineChars="100" w:firstLine="240"/>
        <w:jc w:val="both"/>
        <w:rPr>
          <w:rFonts w:ascii="Garamond" w:eastAsia="Calibri" w:hAnsi="Garamond" w:cs="Calibri"/>
          <w:sz w:val="24"/>
          <w:szCs w:val="24"/>
        </w:rPr>
      </w:pPr>
    </w:p>
    <w:p w14:paraId="75E6CD43"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193.</w:t>
      </w:r>
      <w:r w:rsidRPr="005C5CBD">
        <w:rPr>
          <w:rFonts w:ascii="Garamond" w:eastAsia="Calibri" w:hAnsi="Garamond" w:cs="Calibri"/>
          <w:sz w:val="24"/>
          <w:szCs w:val="24"/>
        </w:rPr>
        <w:t xml:space="preserve">  A petição deverá informar se há subcontratação de serviços no processo produtivo, como, por exemplo, manutenção e ferramental, fornecimento de utilidades etc.</w:t>
      </w:r>
    </w:p>
    <w:p w14:paraId="325D6E7D" w14:textId="77777777" w:rsidR="00395593" w:rsidRPr="005C5CBD" w:rsidRDefault="00395593" w:rsidP="00EF4A21">
      <w:pPr>
        <w:spacing w:after="0" w:line="240" w:lineRule="auto"/>
        <w:ind w:left="708" w:firstLineChars="100" w:firstLine="240"/>
        <w:jc w:val="both"/>
        <w:rPr>
          <w:rFonts w:ascii="Garamond" w:eastAsia="Calibri" w:hAnsi="Garamond" w:cs="Calibri"/>
          <w:sz w:val="24"/>
          <w:szCs w:val="24"/>
        </w:rPr>
      </w:pPr>
    </w:p>
    <w:p w14:paraId="456481A9"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194.</w:t>
      </w:r>
      <w:r w:rsidRPr="005C5CBD">
        <w:rPr>
          <w:rFonts w:ascii="Garamond" w:eastAsia="Calibri" w:hAnsi="Garamond" w:cs="Calibri"/>
          <w:sz w:val="24"/>
          <w:szCs w:val="24"/>
        </w:rPr>
        <w:t xml:space="preserve">  A petição deverá relacionar os subprodutos, coprodutos e refugos resultantes da produção. </w:t>
      </w:r>
    </w:p>
    <w:p w14:paraId="3BCEF87A"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p>
    <w:p w14:paraId="0E1F301F"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Parágrafo único. Caso aplicável, deverá ser indicado se tal subproduto ou refugo é reintroduzido no ciclo de produção ou reaproveitado de alguma forma, se é vendido ou se é descartado por ser desprovido de valor econômico.</w:t>
      </w:r>
    </w:p>
    <w:p w14:paraId="5D85D9E5" w14:textId="77777777" w:rsidR="00395593" w:rsidRPr="005C5CBD" w:rsidRDefault="00395593" w:rsidP="00EF4A21">
      <w:pPr>
        <w:spacing w:after="0" w:line="240" w:lineRule="auto"/>
        <w:ind w:left="708" w:firstLineChars="100" w:firstLine="240"/>
        <w:jc w:val="both"/>
        <w:rPr>
          <w:rFonts w:ascii="Garamond" w:eastAsia="Calibri" w:hAnsi="Garamond" w:cs="Calibri"/>
          <w:sz w:val="24"/>
          <w:szCs w:val="24"/>
        </w:rPr>
      </w:pPr>
    </w:p>
    <w:p w14:paraId="73050EB7"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195.</w:t>
      </w:r>
      <w:r w:rsidRPr="005C5CBD">
        <w:rPr>
          <w:rFonts w:ascii="Garamond" w:eastAsia="Calibri" w:hAnsi="Garamond" w:cs="Calibri"/>
          <w:sz w:val="24"/>
          <w:szCs w:val="24"/>
        </w:rPr>
        <w:t xml:space="preserve">  O regime usual de produção do produto similar doméstico (produção contínua ou batelada) e o número de turnos deverão ser informados.</w:t>
      </w:r>
    </w:p>
    <w:p w14:paraId="24126B3B" w14:textId="77777777" w:rsidR="00395593" w:rsidRPr="005C5CBD" w:rsidRDefault="00395593" w:rsidP="00EF4A21">
      <w:pPr>
        <w:spacing w:after="0" w:line="240" w:lineRule="auto"/>
        <w:ind w:left="708" w:firstLineChars="100" w:firstLine="240"/>
        <w:jc w:val="both"/>
        <w:rPr>
          <w:rFonts w:ascii="Garamond" w:eastAsia="Calibri" w:hAnsi="Garamond" w:cs="Calibri"/>
          <w:sz w:val="24"/>
          <w:szCs w:val="24"/>
        </w:rPr>
      </w:pPr>
    </w:p>
    <w:p w14:paraId="71A88DDF"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196.</w:t>
      </w:r>
      <w:r w:rsidRPr="005C5CBD">
        <w:rPr>
          <w:rFonts w:ascii="Garamond" w:eastAsia="Calibri" w:hAnsi="Garamond" w:cs="Calibri"/>
          <w:sz w:val="24"/>
          <w:szCs w:val="24"/>
        </w:rPr>
        <w:t xml:space="preserve">  O peticionário deverá esclarecer se há outras rotas para a produção do produto similar doméstico e, em caso positivo, informar as principais diferenças entre essas rotas.</w:t>
      </w:r>
    </w:p>
    <w:p w14:paraId="6A57A33D" w14:textId="77777777" w:rsidR="00395593" w:rsidRPr="005C5CBD" w:rsidRDefault="00395593" w:rsidP="00EF4A21">
      <w:pPr>
        <w:spacing w:after="0" w:line="240" w:lineRule="auto"/>
        <w:ind w:left="708" w:firstLineChars="100" w:firstLine="240"/>
        <w:jc w:val="both"/>
        <w:rPr>
          <w:rFonts w:ascii="Garamond" w:eastAsia="Calibri" w:hAnsi="Garamond" w:cs="Calibri"/>
          <w:sz w:val="24"/>
          <w:szCs w:val="24"/>
        </w:rPr>
      </w:pPr>
    </w:p>
    <w:p w14:paraId="3F1E457C"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197.</w:t>
      </w:r>
      <w:r w:rsidRPr="005C5CBD">
        <w:rPr>
          <w:rFonts w:ascii="Garamond" w:eastAsia="Calibri" w:hAnsi="Garamond" w:cs="Calibri"/>
          <w:sz w:val="24"/>
          <w:szCs w:val="24"/>
        </w:rPr>
        <w:t xml:space="preserve">  A capacidade instalada nominal e efetiva da linha de produção do produto similar doméstico, e respectiva produção, deverão ser informadas conforme tabela constante no Apêndice VIII. </w:t>
      </w:r>
    </w:p>
    <w:p w14:paraId="075C7639"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p>
    <w:p w14:paraId="013029D3"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Parágrafo único. Caso o produto seja produzido em mais de uma linha ou planta, o peticionário deverá fornecer tais informações separadamente.</w:t>
      </w:r>
    </w:p>
    <w:p w14:paraId="2FC13136" w14:textId="77777777" w:rsidR="00395593" w:rsidRPr="005C5CBD" w:rsidRDefault="00395593" w:rsidP="00E15FBB">
      <w:pPr>
        <w:spacing w:after="0" w:line="240" w:lineRule="auto"/>
        <w:ind w:left="708" w:firstLine="708"/>
        <w:jc w:val="both"/>
        <w:rPr>
          <w:rFonts w:ascii="Garamond" w:eastAsia="Calibri" w:hAnsi="Garamond" w:cs="Calibri"/>
          <w:sz w:val="24"/>
          <w:szCs w:val="24"/>
        </w:rPr>
      </w:pPr>
    </w:p>
    <w:p w14:paraId="2189A8E1"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198.</w:t>
      </w:r>
      <w:r w:rsidRPr="005C5CBD">
        <w:rPr>
          <w:rFonts w:ascii="Garamond" w:eastAsia="Calibri" w:hAnsi="Garamond" w:cs="Calibri"/>
          <w:sz w:val="24"/>
          <w:szCs w:val="24"/>
        </w:rPr>
        <w:t xml:space="preserve">  Caso a capacidade instalada seja comum a outros produtos além do similar doméstico, o peticionário deverá informar, no mesmo Apêndice VIII, a produção destes outros produtos, listando-os. </w:t>
      </w:r>
    </w:p>
    <w:p w14:paraId="392090ED"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p>
    <w:p w14:paraId="31649360"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xml:space="preserve">Parágrafo único. Na hipótese do </w:t>
      </w:r>
      <w:r w:rsidRPr="005C5CBD">
        <w:rPr>
          <w:rFonts w:ascii="Garamond" w:eastAsia="Calibri" w:hAnsi="Garamond" w:cs="Calibri"/>
          <w:b/>
          <w:bCs/>
          <w:sz w:val="24"/>
          <w:szCs w:val="24"/>
        </w:rPr>
        <w:t xml:space="preserve">caput </w:t>
      </w:r>
      <w:r w:rsidRPr="005C5CBD">
        <w:rPr>
          <w:rFonts w:ascii="Garamond" w:eastAsia="Calibri" w:hAnsi="Garamond" w:cs="Calibri"/>
          <w:sz w:val="24"/>
          <w:szCs w:val="24"/>
        </w:rPr>
        <w:t>deste artigo, deverá ser informada a capacidade total de produção, abrangendo tanto o produto similar doméstico como outros produtos que compartilham a capacidade instalada da linha de produção do produto similar doméstico.</w:t>
      </w:r>
    </w:p>
    <w:p w14:paraId="7A769FBD" w14:textId="77777777" w:rsidR="00395593" w:rsidRPr="005C5CBD" w:rsidRDefault="00395593" w:rsidP="00EF4A21">
      <w:pPr>
        <w:spacing w:after="0" w:line="240" w:lineRule="auto"/>
        <w:ind w:left="708" w:firstLineChars="100" w:firstLine="240"/>
        <w:jc w:val="both"/>
        <w:rPr>
          <w:rFonts w:ascii="Garamond" w:eastAsia="Calibri" w:hAnsi="Garamond" w:cs="Calibri"/>
          <w:sz w:val="24"/>
          <w:szCs w:val="24"/>
        </w:rPr>
      </w:pPr>
    </w:p>
    <w:p w14:paraId="33DB1C02"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199.</w:t>
      </w:r>
      <w:r w:rsidRPr="005C5CBD">
        <w:rPr>
          <w:rFonts w:ascii="Garamond" w:eastAsia="Calibri" w:hAnsi="Garamond" w:cs="Calibri"/>
          <w:sz w:val="24"/>
          <w:szCs w:val="24"/>
        </w:rPr>
        <w:t xml:space="preserve">  Caso a capacidade instalada tenha sido alterada ao longo do período considerado, a petição deverá explicar detalhadamente as circunstâncias de tal alteração.</w:t>
      </w:r>
    </w:p>
    <w:p w14:paraId="77CE466D" w14:textId="77777777" w:rsidR="00395593" w:rsidRPr="005C5CBD" w:rsidRDefault="00395593" w:rsidP="00EF4A21">
      <w:pPr>
        <w:spacing w:after="0" w:line="240" w:lineRule="auto"/>
        <w:ind w:left="708" w:firstLineChars="100" w:firstLine="240"/>
        <w:jc w:val="both"/>
        <w:rPr>
          <w:rFonts w:ascii="Garamond" w:eastAsia="Calibri" w:hAnsi="Garamond" w:cs="Calibri"/>
          <w:sz w:val="24"/>
          <w:szCs w:val="24"/>
        </w:rPr>
      </w:pPr>
    </w:p>
    <w:p w14:paraId="3F70AB4C"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200.</w:t>
      </w:r>
      <w:r w:rsidRPr="005C5CBD">
        <w:rPr>
          <w:rFonts w:ascii="Garamond" w:eastAsia="Calibri" w:hAnsi="Garamond" w:cs="Calibri"/>
          <w:sz w:val="24"/>
          <w:szCs w:val="24"/>
        </w:rPr>
        <w:t xml:space="preserve">  A petição deverá esclarecer pormenorizadamente como foram calculadas a capacidade instalada nominal e a capacidade instalada efetiva.</w:t>
      </w:r>
    </w:p>
    <w:p w14:paraId="60686B6F"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p>
    <w:p w14:paraId="20EE5F96"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xml:space="preserve">§ 1º  Para a apuração da capacidade instalada nominal, deverá ser considerada a quantidade máxima que um sistema produtivo pode produzir ininterruptamente (numa jornada de trabalho de 24 horas, em 365 dias do ano), desconsiderando as perdas e considerando todos os equipamentos da empresa, inclusive aqueles que não estão em uso no momento, ignorando as perdas de eficiência decorrentes das paradas para manutenção, </w:t>
      </w:r>
      <w:r w:rsidRPr="005C5CBD">
        <w:rPr>
          <w:rFonts w:ascii="Garamond" w:eastAsia="Calibri" w:hAnsi="Garamond" w:cs="Calibri"/>
          <w:b/>
          <w:sz w:val="24"/>
          <w:szCs w:val="24"/>
        </w:rPr>
        <w:t>setups</w:t>
      </w:r>
      <w:r w:rsidRPr="005C5CBD">
        <w:rPr>
          <w:rFonts w:ascii="Garamond" w:eastAsia="Calibri" w:hAnsi="Garamond" w:cs="Calibri"/>
          <w:sz w:val="24"/>
          <w:szCs w:val="24"/>
        </w:rPr>
        <w:t xml:space="preserve"> e perdas decorrentes de erros de programação da produção e de falta de insumos.</w:t>
      </w:r>
    </w:p>
    <w:p w14:paraId="73D5C44C"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p>
    <w:p w14:paraId="6AD88A66"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xml:space="preserve">§ 2º  Para apuração da capacidade instalada efetiva, deverá ser considerada a capacidade máxima de produção da empresa numa jornada de trabalho normal de operação e em condições realistas de trabalho, consideradas as perdas planejadas dessa capacidade, o número de turnos e horas normais de operação da planta, somente os maquinários e equipamentos em operação, as paradas programadas para </w:t>
      </w:r>
      <w:r w:rsidRPr="005C5CBD">
        <w:rPr>
          <w:rFonts w:ascii="Garamond" w:eastAsia="Calibri" w:hAnsi="Garamond" w:cs="Calibri"/>
          <w:b/>
          <w:sz w:val="24"/>
          <w:szCs w:val="24"/>
        </w:rPr>
        <w:t>setup</w:t>
      </w:r>
      <w:r w:rsidRPr="005C5CBD">
        <w:rPr>
          <w:rFonts w:ascii="Garamond" w:eastAsia="Calibri" w:hAnsi="Garamond" w:cs="Calibri"/>
          <w:sz w:val="24"/>
          <w:szCs w:val="24"/>
        </w:rPr>
        <w:t xml:space="preserve"> (troca de produtos), as manutenções preventivas periódicas, reparação, limpeza, trocas de turnos, intervalos para descanso e refeições, amostragem de qualidade, disponibilidade plena de mão de obra, matérias-primas, utilidades e demais insumos, e somente as condições usualmente utilizadas pela empresa para a utilização de contratação de serviços ou o uso de facilidades de produção fora da planta.</w:t>
      </w:r>
    </w:p>
    <w:p w14:paraId="10424F63"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xml:space="preserve"> </w:t>
      </w:r>
    </w:p>
    <w:p w14:paraId="5AEC44D5"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3º  Para apuração da capacidade instalada efetiva, não deverão ser deduzidas paradas e perdas não programadas, como manutenções não programadas, paradas de equipamento por defeito e perdas de produto por problemas de qualidade.</w:t>
      </w:r>
    </w:p>
    <w:p w14:paraId="35197E3D"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p>
    <w:p w14:paraId="2E0CC25A"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4º  Caso o peticionário não possa adotar todas as orientações dispostas neste artigo, justificativa detalhada deverá ser fornecida.</w:t>
      </w:r>
    </w:p>
    <w:p w14:paraId="3A88C885" w14:textId="77777777" w:rsidR="00395593" w:rsidRPr="005C5CBD" w:rsidRDefault="00395593" w:rsidP="00EF4A21">
      <w:pPr>
        <w:spacing w:after="0" w:line="240" w:lineRule="auto"/>
        <w:ind w:left="708" w:firstLineChars="100" w:firstLine="240"/>
        <w:jc w:val="both"/>
        <w:rPr>
          <w:rFonts w:ascii="Garamond" w:eastAsia="Calibri" w:hAnsi="Garamond" w:cs="Calibri"/>
          <w:sz w:val="24"/>
          <w:szCs w:val="24"/>
        </w:rPr>
      </w:pPr>
    </w:p>
    <w:p w14:paraId="2C815748"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201.</w:t>
      </w:r>
      <w:r w:rsidRPr="005C5CBD">
        <w:rPr>
          <w:rFonts w:ascii="Garamond" w:eastAsia="Calibri" w:hAnsi="Garamond" w:cs="Calibri"/>
          <w:sz w:val="24"/>
          <w:szCs w:val="24"/>
        </w:rPr>
        <w:t xml:space="preserve">  A ocorrência de</w:t>
      </w:r>
      <w:r w:rsidRPr="005C5CBD" w:rsidDel="00DE351C">
        <w:rPr>
          <w:rFonts w:ascii="Garamond" w:eastAsia="Calibri" w:hAnsi="Garamond" w:cs="Calibri"/>
          <w:sz w:val="24"/>
          <w:szCs w:val="24"/>
        </w:rPr>
        <w:t xml:space="preserve"> </w:t>
      </w:r>
      <w:r w:rsidRPr="005C5CBD">
        <w:rPr>
          <w:rFonts w:ascii="Garamond" w:eastAsia="Calibri" w:hAnsi="Garamond" w:cs="Calibri"/>
          <w:sz w:val="24"/>
          <w:szCs w:val="24"/>
        </w:rPr>
        <w:t>paradas na produção deverá ser informada, indicando período, duração e sua motivação, tanto para as paradas programadas como para as paradas não programadas.</w:t>
      </w:r>
    </w:p>
    <w:p w14:paraId="78FE2B23" w14:textId="77777777" w:rsidR="00395593" w:rsidRPr="005C5CBD" w:rsidRDefault="00395593" w:rsidP="00E15FBB">
      <w:pPr>
        <w:spacing w:after="0" w:line="240" w:lineRule="auto"/>
        <w:jc w:val="both"/>
        <w:rPr>
          <w:rFonts w:ascii="Garamond" w:eastAsia="Calibri" w:hAnsi="Garamond" w:cs="Calibri"/>
          <w:sz w:val="24"/>
          <w:szCs w:val="24"/>
        </w:rPr>
      </w:pPr>
    </w:p>
    <w:p w14:paraId="49C9D094" w14:textId="77777777" w:rsidR="00395593" w:rsidRPr="0020569B" w:rsidRDefault="00395593" w:rsidP="0020216F">
      <w:pPr>
        <w:pStyle w:val="Corpodetexto"/>
        <w:jc w:val="center"/>
        <w:rPr>
          <w:rFonts w:ascii="Garamond" w:eastAsia="MS Gothic" w:hAnsi="Garamond"/>
          <w:b/>
          <w:lang w:eastAsia="pt-BR"/>
        </w:rPr>
      </w:pPr>
      <w:r w:rsidRPr="0020569B">
        <w:rPr>
          <w:rFonts w:ascii="Garamond" w:eastAsia="MS Gothic" w:hAnsi="Garamond"/>
          <w:b/>
          <w:lang w:eastAsia="pt-BR"/>
        </w:rPr>
        <w:t>Subseção III</w:t>
      </w:r>
    </w:p>
    <w:p w14:paraId="5E53A923" w14:textId="77777777" w:rsidR="00395593" w:rsidRPr="0020569B" w:rsidRDefault="00395593" w:rsidP="0020216F">
      <w:pPr>
        <w:pStyle w:val="Corpodetexto"/>
        <w:jc w:val="center"/>
        <w:rPr>
          <w:rFonts w:ascii="Garamond" w:eastAsia="MS Gothic" w:hAnsi="Garamond"/>
          <w:b/>
          <w:lang w:eastAsia="pt-BR"/>
        </w:rPr>
      </w:pPr>
      <w:r w:rsidRPr="0020569B">
        <w:rPr>
          <w:rFonts w:ascii="Garamond" w:eastAsia="MS Gothic" w:hAnsi="Garamond"/>
          <w:b/>
          <w:lang w:eastAsia="pt-BR"/>
        </w:rPr>
        <w:t>Dos estoques</w:t>
      </w:r>
    </w:p>
    <w:p w14:paraId="4A8C88B8" w14:textId="77777777" w:rsidR="00395593" w:rsidRPr="005C5CBD" w:rsidRDefault="00395593" w:rsidP="00E15FBB">
      <w:pPr>
        <w:spacing w:after="0" w:line="240" w:lineRule="auto"/>
        <w:jc w:val="center"/>
        <w:rPr>
          <w:rFonts w:ascii="Garamond" w:eastAsia="Calibri" w:hAnsi="Garamond" w:cs="Calibri"/>
          <w:sz w:val="24"/>
          <w:szCs w:val="24"/>
        </w:rPr>
      </w:pPr>
    </w:p>
    <w:p w14:paraId="0C65CEFE" w14:textId="77777777" w:rsidR="00395593" w:rsidRPr="005C5CBD" w:rsidRDefault="00395593" w:rsidP="00EF4A21">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202.</w:t>
      </w:r>
      <w:r w:rsidRPr="005C5CBD">
        <w:rPr>
          <w:rFonts w:ascii="Garamond" w:eastAsia="Calibri" w:hAnsi="Garamond" w:cs="Calibri"/>
          <w:sz w:val="24"/>
          <w:szCs w:val="24"/>
        </w:rPr>
        <w:t xml:space="preserve">  Os estoques deverão ser informados, conforme tabela constante do Apêndice IX.</w:t>
      </w:r>
    </w:p>
    <w:p w14:paraId="38C29913" w14:textId="77777777" w:rsidR="00395593" w:rsidRPr="005C5CBD" w:rsidRDefault="00395593" w:rsidP="00EF4A21">
      <w:pPr>
        <w:spacing w:after="0" w:line="240" w:lineRule="auto"/>
        <w:ind w:firstLine="567"/>
        <w:jc w:val="both"/>
        <w:rPr>
          <w:rFonts w:ascii="Garamond" w:eastAsia="Calibri" w:hAnsi="Garamond" w:cs="Calibri"/>
          <w:sz w:val="24"/>
          <w:szCs w:val="24"/>
        </w:rPr>
      </w:pPr>
    </w:p>
    <w:p w14:paraId="1C774D97" w14:textId="77777777" w:rsidR="00395593" w:rsidRPr="005C5CBD" w:rsidRDefault="00395593" w:rsidP="00EF4A21">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1º   As informações solicitadas neste artigo deverão, preferencialmente, ser apresentadas em unidades de peso (tonelada ou quilograma) e, se for o caso, na unidade de comercialização, em planilhas separadas.</w:t>
      </w:r>
    </w:p>
    <w:p w14:paraId="27E84B9C" w14:textId="77777777" w:rsidR="00395593" w:rsidRPr="005C5CBD" w:rsidRDefault="00395593" w:rsidP="00EF4A21">
      <w:pPr>
        <w:spacing w:after="0" w:line="240" w:lineRule="auto"/>
        <w:ind w:firstLine="567"/>
        <w:jc w:val="both"/>
        <w:rPr>
          <w:rFonts w:ascii="Garamond" w:eastAsia="Calibri" w:hAnsi="Garamond" w:cs="Calibri"/>
          <w:sz w:val="24"/>
          <w:szCs w:val="24"/>
        </w:rPr>
      </w:pPr>
    </w:p>
    <w:p w14:paraId="15A96A87" w14:textId="77777777" w:rsidR="00395593" w:rsidRPr="005C5CBD" w:rsidRDefault="00395593" w:rsidP="00EF4A21">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2º </w:t>
      </w:r>
      <w:r w:rsidRPr="005C5CBD" w:rsidDel="00B55D57">
        <w:rPr>
          <w:rFonts w:ascii="Garamond" w:eastAsia="Calibri" w:hAnsi="Garamond" w:cs="Calibri"/>
          <w:sz w:val="24"/>
          <w:szCs w:val="24"/>
        </w:rPr>
        <w:t xml:space="preserve"> </w:t>
      </w:r>
      <w:r w:rsidRPr="005C5CBD">
        <w:rPr>
          <w:rFonts w:ascii="Garamond" w:eastAsia="Calibri" w:hAnsi="Garamond" w:cs="Calibri"/>
          <w:sz w:val="24"/>
          <w:szCs w:val="24"/>
        </w:rPr>
        <w:t xml:space="preserve">Entende-se por unidade de comercialização a unidade pela qual o produto similar doméstico normalmente é comercializado. </w:t>
      </w:r>
    </w:p>
    <w:p w14:paraId="1F688221" w14:textId="77777777" w:rsidR="00395593" w:rsidRPr="005C5CBD" w:rsidRDefault="00395593" w:rsidP="00E15FBB">
      <w:pPr>
        <w:spacing w:after="0" w:line="240" w:lineRule="auto"/>
        <w:jc w:val="both"/>
        <w:rPr>
          <w:rFonts w:ascii="Garamond" w:eastAsia="Calibri" w:hAnsi="Garamond" w:cs="Calibri"/>
          <w:sz w:val="24"/>
          <w:szCs w:val="24"/>
        </w:rPr>
      </w:pPr>
    </w:p>
    <w:p w14:paraId="0754F19A" w14:textId="77777777" w:rsidR="00395593" w:rsidRPr="005C5CBD" w:rsidRDefault="00395593" w:rsidP="00EF4A21">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3º   A unidade de comercialização deverá coincidir com aquela utilizada pela empresa em sua contabilidade (unidades, litros, metros, peças, pares, caixas etc.).</w:t>
      </w:r>
    </w:p>
    <w:p w14:paraId="60C54A9B" w14:textId="77777777" w:rsidR="00395593" w:rsidRPr="005C5CBD" w:rsidRDefault="00395593" w:rsidP="00EF4A21">
      <w:pPr>
        <w:spacing w:after="0" w:line="240" w:lineRule="auto"/>
        <w:ind w:firstLine="567"/>
        <w:jc w:val="both"/>
        <w:rPr>
          <w:rFonts w:ascii="Garamond" w:eastAsia="Calibri" w:hAnsi="Garamond" w:cs="Calibri"/>
          <w:sz w:val="24"/>
          <w:szCs w:val="24"/>
        </w:rPr>
      </w:pPr>
    </w:p>
    <w:p w14:paraId="0BCBF5DA" w14:textId="77777777" w:rsidR="00395593" w:rsidRPr="005C5CBD" w:rsidRDefault="00395593" w:rsidP="00EF4A21">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203.</w:t>
      </w:r>
      <w:r w:rsidRPr="005C5CBD">
        <w:rPr>
          <w:rFonts w:ascii="Garamond" w:eastAsia="Calibri" w:hAnsi="Garamond" w:cs="Calibri"/>
          <w:sz w:val="24"/>
          <w:szCs w:val="24"/>
        </w:rPr>
        <w:t xml:space="preserve">  A petição deverá informar se há produção para estoque ou se somente contra pedido. </w:t>
      </w:r>
    </w:p>
    <w:p w14:paraId="2AA361FF" w14:textId="77777777" w:rsidR="00395593" w:rsidRPr="005C5CBD" w:rsidRDefault="00395593" w:rsidP="00EF4A21">
      <w:pPr>
        <w:spacing w:after="0" w:line="240" w:lineRule="auto"/>
        <w:ind w:firstLine="567"/>
        <w:jc w:val="both"/>
        <w:rPr>
          <w:rFonts w:ascii="Garamond" w:eastAsia="Calibri" w:hAnsi="Garamond" w:cs="Calibri"/>
          <w:sz w:val="24"/>
          <w:szCs w:val="24"/>
        </w:rPr>
      </w:pPr>
    </w:p>
    <w:p w14:paraId="58F33725" w14:textId="77777777" w:rsidR="00395593" w:rsidRPr="005C5CBD" w:rsidRDefault="00395593" w:rsidP="00EF4A21">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Caso haja produção para estoque, a petição deverá informar o nível de estoque considerado ideal.</w:t>
      </w:r>
    </w:p>
    <w:p w14:paraId="05977989" w14:textId="77777777" w:rsidR="00395593" w:rsidRPr="005C5CBD" w:rsidRDefault="00395593" w:rsidP="00EF4A21">
      <w:pPr>
        <w:spacing w:after="0" w:line="240" w:lineRule="auto"/>
        <w:ind w:firstLine="567"/>
        <w:jc w:val="both"/>
        <w:rPr>
          <w:rFonts w:ascii="Garamond" w:eastAsia="Calibri" w:hAnsi="Garamond" w:cs="Calibri"/>
          <w:sz w:val="24"/>
          <w:szCs w:val="24"/>
        </w:rPr>
      </w:pPr>
    </w:p>
    <w:p w14:paraId="1F1E303F" w14:textId="77777777" w:rsidR="00395593" w:rsidRPr="005C5CBD" w:rsidRDefault="00395593" w:rsidP="00EF4A21">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204.</w:t>
      </w:r>
      <w:r w:rsidRPr="005C5CBD">
        <w:rPr>
          <w:rFonts w:ascii="Garamond" w:eastAsia="Calibri" w:hAnsi="Garamond" w:cs="Calibri"/>
          <w:sz w:val="24"/>
          <w:szCs w:val="24"/>
        </w:rPr>
        <w:t xml:space="preserve">  Caso o peticionário entenda que, em razão das importações do produto objeto da investigação, o prazo de permanência em estoque do produto similar doméstico venha aumentando, deverá ser preenchida a tabela constante do Apêndice X.</w:t>
      </w:r>
    </w:p>
    <w:p w14:paraId="642DB28F" w14:textId="77777777" w:rsidR="00395593" w:rsidRPr="005C5CBD" w:rsidRDefault="00395593" w:rsidP="00E15FBB">
      <w:pPr>
        <w:spacing w:after="0" w:line="240" w:lineRule="auto"/>
        <w:jc w:val="both"/>
        <w:rPr>
          <w:rFonts w:ascii="Garamond" w:eastAsia="Calibri" w:hAnsi="Garamond" w:cs="Calibri"/>
          <w:sz w:val="24"/>
          <w:szCs w:val="24"/>
        </w:rPr>
      </w:pPr>
    </w:p>
    <w:p w14:paraId="3F6264D5" w14:textId="77777777" w:rsidR="00395593" w:rsidRPr="0020569B" w:rsidRDefault="00395593" w:rsidP="0020216F">
      <w:pPr>
        <w:pStyle w:val="Corpodetexto"/>
        <w:jc w:val="center"/>
        <w:rPr>
          <w:rFonts w:ascii="Garamond" w:eastAsia="MS Gothic" w:hAnsi="Garamond"/>
          <w:b/>
          <w:lang w:eastAsia="pt-BR"/>
        </w:rPr>
      </w:pPr>
      <w:r w:rsidRPr="0020569B">
        <w:rPr>
          <w:rFonts w:ascii="Garamond" w:eastAsia="MS Gothic" w:hAnsi="Garamond"/>
          <w:b/>
          <w:lang w:eastAsia="pt-BR"/>
        </w:rPr>
        <w:t>Subseção IV</w:t>
      </w:r>
    </w:p>
    <w:p w14:paraId="3CC30B22" w14:textId="77777777" w:rsidR="00395593" w:rsidRPr="0020569B" w:rsidRDefault="00395593" w:rsidP="0020216F">
      <w:pPr>
        <w:pStyle w:val="Corpodetexto"/>
        <w:jc w:val="center"/>
        <w:rPr>
          <w:rFonts w:ascii="Garamond" w:eastAsia="MS Gothic" w:hAnsi="Garamond"/>
          <w:b/>
          <w:lang w:eastAsia="pt-BR"/>
        </w:rPr>
      </w:pPr>
      <w:r w:rsidRPr="0020569B">
        <w:rPr>
          <w:rFonts w:ascii="Garamond" w:eastAsia="MS Gothic" w:hAnsi="Garamond"/>
          <w:b/>
          <w:lang w:eastAsia="pt-BR"/>
        </w:rPr>
        <w:t>Do demonstrativo de resultado</w:t>
      </w:r>
    </w:p>
    <w:p w14:paraId="218EE355" w14:textId="77777777" w:rsidR="00395593" w:rsidRPr="005C5CBD" w:rsidRDefault="00395593" w:rsidP="00E15FBB">
      <w:pPr>
        <w:spacing w:after="0" w:line="240" w:lineRule="auto"/>
        <w:jc w:val="both"/>
        <w:rPr>
          <w:rFonts w:ascii="Garamond" w:eastAsia="Calibri" w:hAnsi="Garamond" w:cs="Calibri"/>
          <w:sz w:val="24"/>
          <w:szCs w:val="24"/>
        </w:rPr>
      </w:pPr>
    </w:p>
    <w:p w14:paraId="01B3EE67"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205.</w:t>
      </w:r>
      <w:r w:rsidRPr="005C5CBD">
        <w:rPr>
          <w:rFonts w:ascii="Garamond" w:eastAsia="Calibri" w:hAnsi="Garamond" w:cs="Calibri"/>
          <w:sz w:val="24"/>
          <w:szCs w:val="24"/>
        </w:rPr>
        <w:t xml:space="preserve">  O demonstrativo de resultado relativo às vendas no mercado interno de produto similar de fabricação própria deverá ser apresentado conforme a tabela constante do Apêndice XI. </w:t>
      </w:r>
    </w:p>
    <w:p w14:paraId="6ECD9392" w14:textId="77777777" w:rsidR="00395593" w:rsidRPr="005C5CBD" w:rsidRDefault="00395593" w:rsidP="00EF4A21">
      <w:pPr>
        <w:spacing w:after="0" w:line="240" w:lineRule="auto"/>
        <w:ind w:left="708" w:firstLineChars="100" w:firstLine="240"/>
        <w:jc w:val="both"/>
        <w:rPr>
          <w:rFonts w:ascii="Garamond" w:eastAsia="Calibri" w:hAnsi="Garamond" w:cs="Calibri"/>
          <w:sz w:val="24"/>
          <w:szCs w:val="24"/>
        </w:rPr>
      </w:pPr>
    </w:p>
    <w:p w14:paraId="5FA3440C"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206.</w:t>
      </w:r>
      <w:r w:rsidRPr="005C5CBD">
        <w:rPr>
          <w:rFonts w:ascii="Garamond" w:eastAsia="Calibri" w:hAnsi="Garamond" w:cs="Calibri"/>
          <w:sz w:val="24"/>
          <w:szCs w:val="24"/>
        </w:rPr>
        <w:t xml:space="preserve">  O demonstrativo de resultado relativo às exportações de produto similar de fabricação própria deverá ser apresentado conforme tabela constante do Apêndice XII.</w:t>
      </w:r>
    </w:p>
    <w:p w14:paraId="15766272"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p>
    <w:p w14:paraId="79AB59F8"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xml:space="preserve">Parágrafo único. A petição deverá indicar a existência de rubricas que afetem apenas os resultados das exportações. </w:t>
      </w:r>
    </w:p>
    <w:p w14:paraId="3DA785E4" w14:textId="77777777" w:rsidR="00395593" w:rsidRPr="005C5CBD" w:rsidRDefault="00395593" w:rsidP="00EF4A21">
      <w:pPr>
        <w:spacing w:after="0" w:line="240" w:lineRule="auto"/>
        <w:ind w:left="709" w:firstLineChars="100" w:firstLine="240"/>
        <w:jc w:val="both"/>
        <w:rPr>
          <w:rFonts w:ascii="Garamond" w:eastAsia="Calibri" w:hAnsi="Garamond" w:cs="Calibri"/>
          <w:sz w:val="24"/>
          <w:szCs w:val="24"/>
        </w:rPr>
      </w:pPr>
    </w:p>
    <w:p w14:paraId="5EC84CF9"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207.</w:t>
      </w:r>
      <w:r w:rsidRPr="005C5CBD">
        <w:rPr>
          <w:rFonts w:ascii="Garamond" w:eastAsia="Calibri" w:hAnsi="Garamond" w:cs="Calibri"/>
          <w:sz w:val="24"/>
          <w:szCs w:val="24"/>
        </w:rPr>
        <w:t xml:space="preserve">  O demonstrativo de resultado relativo às revendas, no mercado interno e externo, de produtos importados ou adquiridos no mercado brasileiro deverá ser apresentado conforme tabela constante do Apêndice XIII. </w:t>
      </w:r>
    </w:p>
    <w:p w14:paraId="453DE1CB"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p>
    <w:p w14:paraId="720C13D1"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specVanish/>
        </w:rPr>
      </w:pPr>
      <w:r w:rsidRPr="005C5CBD">
        <w:rPr>
          <w:rFonts w:ascii="Garamond" w:eastAsia="Calibri" w:hAnsi="Garamond" w:cs="Calibri"/>
          <w:sz w:val="24"/>
          <w:szCs w:val="24"/>
        </w:rPr>
        <w:t>Parágrafo único. A petição deverá esclarecer as razões que levaram essa empresa a importar o produto ou a adquiri-lo no mercado interno, listando os fornecedores nacionais e os estrangeiros por país.</w:t>
      </w:r>
    </w:p>
    <w:p w14:paraId="5461286B" w14:textId="77777777" w:rsidR="00395593" w:rsidRPr="005C5CBD" w:rsidRDefault="00395593" w:rsidP="00EF4A21">
      <w:pPr>
        <w:spacing w:after="0" w:line="240" w:lineRule="auto"/>
        <w:ind w:left="708" w:firstLineChars="100" w:firstLine="240"/>
        <w:jc w:val="both"/>
        <w:rPr>
          <w:rFonts w:ascii="Garamond" w:eastAsia="Calibri" w:hAnsi="Garamond" w:cs="Calibri"/>
          <w:sz w:val="24"/>
          <w:szCs w:val="24"/>
        </w:rPr>
      </w:pPr>
    </w:p>
    <w:p w14:paraId="2E587580"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208.</w:t>
      </w:r>
      <w:r w:rsidRPr="005C5CBD">
        <w:rPr>
          <w:rFonts w:ascii="Garamond" w:eastAsia="Calibri" w:hAnsi="Garamond" w:cs="Calibri"/>
          <w:sz w:val="24"/>
          <w:szCs w:val="24"/>
        </w:rPr>
        <w:t xml:space="preserve">  Em todos os casos, deverão ser informadas todas as contas contábeis utilizadas para elaboração de cada um dos demonstrativos, e, caso utilizado, o critério de rateio para apuração das despesas e receitas operacionais de forma pormenorizada. </w:t>
      </w:r>
    </w:p>
    <w:p w14:paraId="12A0872B"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p>
    <w:p w14:paraId="336E4407"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1º  .  Em regra, serão aceitos como critério de rateio a receita líquida e o custo do produto vendido, devendo o peticionário justificar de forma detalhada caso entenda que outro critério de rateio é mais apropriado ao caso concreto.</w:t>
      </w:r>
    </w:p>
    <w:p w14:paraId="28349E5B"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p>
    <w:p w14:paraId="05ABCC6C"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2º  No caso de utilização da receita líquida como critério de rateio, o peticionário deverá utilizar razão entre a receita líquida obtida com as vendas do produto similar e a receita líquida total do período.</w:t>
      </w:r>
    </w:p>
    <w:p w14:paraId="2ACE0A07"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p>
    <w:p w14:paraId="3D636A43"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3º  No caso de utilização do custo do produto vendido como critério de rateio, o peticionário deverá utilizar razão entre o custo do produto vendido do produto similar e o custo do produto vendido total do período.</w:t>
      </w:r>
    </w:p>
    <w:p w14:paraId="0536B3C7"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p>
    <w:p w14:paraId="1E9B8401" w14:textId="77777777" w:rsidR="00395593" w:rsidRPr="005C5CBD" w:rsidRDefault="00395593" w:rsidP="00EF4A21">
      <w:pPr>
        <w:spacing w:after="0" w:line="240" w:lineRule="auto"/>
        <w:ind w:firstLineChars="100" w:firstLine="240"/>
        <w:jc w:val="both"/>
        <w:rPr>
          <w:rFonts w:ascii="Garamond" w:eastAsia="Calibri" w:hAnsi="Garamond" w:cs="Calibri"/>
          <w:sz w:val="24"/>
          <w:szCs w:val="24"/>
        </w:rPr>
      </w:pPr>
      <w:r w:rsidRPr="005C5CBD">
        <w:rPr>
          <w:rFonts w:ascii="Garamond" w:eastAsia="Times New Roman" w:hAnsi="Garamond" w:cs="Calibri"/>
          <w:sz w:val="24"/>
          <w:szCs w:val="24"/>
          <w:lang w:eastAsia="pt-BR"/>
        </w:rPr>
        <w:t>Art. 209.</w:t>
      </w:r>
      <w:r w:rsidRPr="005C5CBD">
        <w:rPr>
          <w:rFonts w:ascii="Garamond" w:eastAsia="Calibri" w:hAnsi="Garamond" w:cs="Calibri"/>
          <w:sz w:val="24"/>
          <w:szCs w:val="24"/>
        </w:rPr>
        <w:t xml:space="preserve">  A petição deverá informar, pormenorizadamente, a ocorrência de despesas ou receitas que, por sua natureza e magnitude,</w:t>
      </w:r>
      <w:r w:rsidRPr="005C5CBD" w:rsidDel="00C579F4">
        <w:rPr>
          <w:rFonts w:ascii="Garamond" w:eastAsia="Calibri" w:hAnsi="Garamond" w:cs="Calibri"/>
          <w:sz w:val="24"/>
          <w:szCs w:val="24"/>
        </w:rPr>
        <w:t xml:space="preserve"> </w:t>
      </w:r>
      <w:r w:rsidRPr="005C5CBD">
        <w:rPr>
          <w:rFonts w:ascii="Garamond" w:eastAsia="Calibri" w:hAnsi="Garamond" w:cs="Calibri"/>
          <w:sz w:val="24"/>
          <w:szCs w:val="24"/>
        </w:rPr>
        <w:t xml:space="preserve">afetem significativamente a comparabilidade entre os resultados de seus demonstrativos de resultados consolidados ao longo dos intervalos do período de investigação de dano. </w:t>
      </w:r>
    </w:p>
    <w:p w14:paraId="4F23E25E" w14:textId="77777777" w:rsidR="00395593" w:rsidRPr="005C5CBD" w:rsidRDefault="00395593" w:rsidP="00E15FBB">
      <w:pPr>
        <w:spacing w:after="0" w:line="240" w:lineRule="auto"/>
        <w:jc w:val="both"/>
        <w:rPr>
          <w:rFonts w:ascii="Garamond" w:eastAsia="Calibri" w:hAnsi="Garamond" w:cs="Calibri"/>
          <w:sz w:val="24"/>
          <w:szCs w:val="24"/>
        </w:rPr>
      </w:pPr>
    </w:p>
    <w:p w14:paraId="2EB01F58" w14:textId="77777777" w:rsidR="00395593" w:rsidRPr="005C5CBD" w:rsidRDefault="00395593" w:rsidP="00EF4A21">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1º  Caso o peticionário identifique, nos termos do </w:t>
      </w:r>
      <w:r w:rsidRPr="005C5CBD">
        <w:rPr>
          <w:rFonts w:ascii="Garamond" w:eastAsia="Calibri" w:hAnsi="Garamond" w:cs="Calibri"/>
          <w:b/>
          <w:sz w:val="24"/>
          <w:szCs w:val="24"/>
        </w:rPr>
        <w:t>caput</w:t>
      </w:r>
      <w:r w:rsidRPr="005C5CBD">
        <w:rPr>
          <w:rFonts w:ascii="Garamond" w:eastAsia="Calibri" w:hAnsi="Garamond" w:cs="Calibri"/>
          <w:sz w:val="24"/>
          <w:szCs w:val="24"/>
        </w:rPr>
        <w:t xml:space="preserve">, que os resultados de tais operações variaram de forma a impactar significativamente a comparabilidade dos resultados dos intervalos do período de investigação de dano, a petição deverá identificar despesas e receitas de caráter excepcional ou que não estejam diretamente vinculadas aos resultados referentes à produção e venda de produtos em geral e do produto similar doméstico especificamente (tais como equivalência patrimonial, </w:t>
      </w:r>
      <w:r w:rsidRPr="005C5CBD">
        <w:rPr>
          <w:rFonts w:ascii="Garamond" w:eastAsia="Calibri" w:hAnsi="Garamond" w:cs="Calibri"/>
          <w:b/>
          <w:sz w:val="24"/>
          <w:szCs w:val="24"/>
        </w:rPr>
        <w:t>impairment</w:t>
      </w:r>
      <w:r w:rsidRPr="005C5CBD">
        <w:rPr>
          <w:rFonts w:ascii="Garamond" w:eastAsia="Calibri" w:hAnsi="Garamond" w:cs="Calibri"/>
          <w:sz w:val="24"/>
          <w:szCs w:val="24"/>
        </w:rPr>
        <w:t xml:space="preserve"> etc.) e apresentar de forma segregada informações sobre a evolução dessas despesas e receitas, acompanhadas de explicações sobre os eventos que levaram à variação de tais despesas ao longo do período de investigação de dano. </w:t>
      </w:r>
    </w:p>
    <w:p w14:paraId="35AF3BBA" w14:textId="77777777" w:rsidR="00395593" w:rsidRPr="005C5CBD" w:rsidRDefault="00395593" w:rsidP="00EF4A21">
      <w:pPr>
        <w:spacing w:after="0" w:line="240" w:lineRule="auto"/>
        <w:ind w:firstLine="567"/>
        <w:jc w:val="both"/>
        <w:rPr>
          <w:rFonts w:ascii="Garamond" w:eastAsia="Calibri" w:hAnsi="Garamond" w:cs="Calibri"/>
          <w:sz w:val="24"/>
          <w:szCs w:val="24"/>
        </w:rPr>
      </w:pPr>
    </w:p>
    <w:p w14:paraId="1E93105C" w14:textId="77777777" w:rsidR="00395593" w:rsidRPr="005C5CBD" w:rsidRDefault="00395593" w:rsidP="00EF4A21">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2º  A petição deverá informar se cada empresa realizou, no período de investigação de dano, operações com instrumentos financeiros de derivativos (</w:t>
      </w:r>
      <w:r w:rsidRPr="005C5CBD">
        <w:rPr>
          <w:rFonts w:ascii="Garamond" w:eastAsia="Calibri" w:hAnsi="Garamond" w:cs="Calibri"/>
          <w:b/>
          <w:sz w:val="24"/>
          <w:szCs w:val="24"/>
        </w:rPr>
        <w:t>swap</w:t>
      </w:r>
      <w:r w:rsidRPr="005C5CBD">
        <w:rPr>
          <w:rFonts w:ascii="Garamond" w:eastAsia="Calibri" w:hAnsi="Garamond" w:cs="Calibri"/>
          <w:sz w:val="24"/>
          <w:szCs w:val="24"/>
        </w:rPr>
        <w:t xml:space="preserve">, opções, </w:t>
      </w:r>
      <w:r w:rsidRPr="005C5CBD">
        <w:rPr>
          <w:rFonts w:ascii="Garamond" w:eastAsia="Calibri" w:hAnsi="Garamond" w:cs="Calibri"/>
          <w:b/>
          <w:sz w:val="24"/>
          <w:szCs w:val="24"/>
        </w:rPr>
        <w:t>hedge</w:t>
      </w:r>
      <w:r w:rsidRPr="005C5CBD">
        <w:rPr>
          <w:rFonts w:ascii="Garamond" w:eastAsia="Calibri" w:hAnsi="Garamond" w:cs="Calibri"/>
          <w:sz w:val="24"/>
          <w:szCs w:val="24"/>
        </w:rPr>
        <w:t>, mercado a termo etc.) e esclarecer se os resultados dessas operações variaram de forma a impactar significativamente a comparabilidade dos resultados dos intervalos do período de investigação de dano.</w:t>
      </w:r>
    </w:p>
    <w:p w14:paraId="0AE75F55" w14:textId="77777777" w:rsidR="00395593" w:rsidRPr="005C5CBD" w:rsidRDefault="00395593" w:rsidP="00E15FBB">
      <w:pPr>
        <w:spacing w:after="0" w:line="240" w:lineRule="auto"/>
        <w:ind w:firstLine="708"/>
        <w:jc w:val="center"/>
        <w:rPr>
          <w:rFonts w:ascii="Garamond" w:eastAsia="Calibri" w:hAnsi="Garamond" w:cs="Calibri"/>
          <w:b/>
          <w:sz w:val="24"/>
          <w:szCs w:val="24"/>
        </w:rPr>
      </w:pPr>
    </w:p>
    <w:p w14:paraId="69410569" w14:textId="77777777" w:rsidR="00395593" w:rsidRPr="0020569B" w:rsidRDefault="00395593" w:rsidP="0020216F">
      <w:pPr>
        <w:pStyle w:val="Corpodetexto"/>
        <w:jc w:val="center"/>
        <w:rPr>
          <w:rFonts w:ascii="Garamond" w:eastAsia="MS Gothic" w:hAnsi="Garamond"/>
          <w:b/>
          <w:lang w:eastAsia="pt-BR"/>
        </w:rPr>
      </w:pPr>
      <w:r w:rsidRPr="0020569B">
        <w:rPr>
          <w:rFonts w:ascii="Garamond" w:eastAsia="MS Gothic" w:hAnsi="Garamond"/>
          <w:b/>
          <w:lang w:eastAsia="pt-BR"/>
        </w:rPr>
        <w:t>Subseção V</w:t>
      </w:r>
    </w:p>
    <w:p w14:paraId="7E797C8F" w14:textId="72E2E69F" w:rsidR="00395593" w:rsidRPr="0020569B" w:rsidRDefault="00395593" w:rsidP="0020216F">
      <w:pPr>
        <w:pStyle w:val="Corpodetexto"/>
        <w:jc w:val="center"/>
        <w:rPr>
          <w:rFonts w:ascii="Garamond" w:eastAsia="MS Gothic" w:hAnsi="Garamond"/>
          <w:b/>
          <w:lang w:eastAsia="pt-BR"/>
        </w:rPr>
      </w:pPr>
      <w:r w:rsidRPr="0020569B">
        <w:rPr>
          <w:rFonts w:ascii="Garamond" w:eastAsia="MS Gothic" w:hAnsi="Garamond"/>
          <w:b/>
          <w:lang w:eastAsia="pt-BR"/>
        </w:rPr>
        <w:t>Do emprego e da massa salarial</w:t>
      </w:r>
    </w:p>
    <w:p w14:paraId="15AC7DFA" w14:textId="77777777" w:rsidR="00395593" w:rsidRPr="005C5CBD" w:rsidRDefault="00395593" w:rsidP="00E15FBB">
      <w:pPr>
        <w:spacing w:after="0" w:line="240" w:lineRule="auto"/>
        <w:jc w:val="both"/>
        <w:rPr>
          <w:rFonts w:ascii="Garamond" w:eastAsia="Calibri" w:hAnsi="Garamond" w:cs="Calibri"/>
          <w:sz w:val="24"/>
          <w:szCs w:val="24"/>
        </w:rPr>
      </w:pPr>
    </w:p>
    <w:p w14:paraId="15699566" w14:textId="77777777" w:rsidR="00395593" w:rsidRPr="005C5CBD" w:rsidRDefault="00395593" w:rsidP="00EF4A21">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210.</w:t>
      </w:r>
      <w:r w:rsidRPr="005C5CBD">
        <w:rPr>
          <w:rFonts w:ascii="Garamond" w:eastAsia="Calibri" w:hAnsi="Garamond" w:cs="Calibri"/>
          <w:sz w:val="24"/>
          <w:szCs w:val="24"/>
        </w:rPr>
        <w:t xml:space="preserve">  O</w:t>
      </w:r>
      <w:r w:rsidRPr="005C5CBD" w:rsidDel="00B62198">
        <w:rPr>
          <w:rFonts w:ascii="Garamond" w:eastAsia="Calibri" w:hAnsi="Garamond" w:cs="Calibri"/>
          <w:sz w:val="24"/>
          <w:szCs w:val="24"/>
        </w:rPr>
        <w:t xml:space="preserve"> </w:t>
      </w:r>
      <w:r w:rsidRPr="005C5CBD">
        <w:rPr>
          <w:rFonts w:ascii="Garamond" w:eastAsia="Calibri" w:hAnsi="Garamond" w:cs="Calibri"/>
          <w:sz w:val="24"/>
          <w:szCs w:val="24"/>
        </w:rPr>
        <w:t xml:space="preserve">emprego e a massa salarial pertinentes à linha de produção do produto similar doméstico deverão ser informados, conforme tabelas constantes nos Apêndices XIV e XV, respectivamente, discriminando a mão de obra contratada pela própria empresa (empregados) e a terceirizada por segmento: </w:t>
      </w:r>
    </w:p>
    <w:p w14:paraId="0E9518AA" w14:textId="77777777" w:rsidR="00395593" w:rsidRPr="005C5CBD" w:rsidRDefault="00395593" w:rsidP="00EF4A21">
      <w:pPr>
        <w:spacing w:after="0" w:line="240" w:lineRule="auto"/>
        <w:ind w:firstLine="567"/>
        <w:jc w:val="both"/>
        <w:rPr>
          <w:rFonts w:ascii="Garamond" w:eastAsia="Calibri" w:hAnsi="Garamond" w:cs="Calibri"/>
          <w:sz w:val="24"/>
          <w:szCs w:val="24"/>
        </w:rPr>
      </w:pPr>
    </w:p>
    <w:p w14:paraId="08DFE47D" w14:textId="77777777" w:rsidR="00395593" w:rsidRPr="005C5CBD" w:rsidRDefault="00395593" w:rsidP="00EF4A21">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 – produção (direta e indireta); </w:t>
      </w:r>
    </w:p>
    <w:p w14:paraId="104D41C4" w14:textId="77777777" w:rsidR="00395593" w:rsidRPr="005C5CBD" w:rsidRDefault="00395593" w:rsidP="00EF4A21">
      <w:pPr>
        <w:spacing w:after="0" w:line="240" w:lineRule="auto"/>
        <w:ind w:firstLine="567"/>
        <w:jc w:val="both"/>
        <w:rPr>
          <w:rFonts w:ascii="Garamond" w:eastAsia="Calibri" w:hAnsi="Garamond" w:cs="Calibri"/>
          <w:sz w:val="24"/>
          <w:szCs w:val="24"/>
        </w:rPr>
      </w:pPr>
    </w:p>
    <w:p w14:paraId="7EE0B213" w14:textId="77777777" w:rsidR="00395593" w:rsidRPr="005C5CBD" w:rsidRDefault="00395593" w:rsidP="00EF4A21">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administração; e</w:t>
      </w:r>
    </w:p>
    <w:p w14:paraId="0D1C73BF" w14:textId="77777777" w:rsidR="00395593" w:rsidRPr="005C5CBD" w:rsidRDefault="00395593" w:rsidP="00EF4A21">
      <w:pPr>
        <w:spacing w:after="0" w:line="240" w:lineRule="auto"/>
        <w:ind w:firstLine="567"/>
        <w:jc w:val="both"/>
        <w:rPr>
          <w:rFonts w:ascii="Garamond" w:eastAsia="Calibri" w:hAnsi="Garamond" w:cs="Calibri"/>
          <w:sz w:val="24"/>
          <w:szCs w:val="24"/>
        </w:rPr>
      </w:pPr>
    </w:p>
    <w:p w14:paraId="17912F25" w14:textId="77777777" w:rsidR="00395593" w:rsidRPr="005C5CBD" w:rsidRDefault="00395593" w:rsidP="00EF4A21">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III - vendas. </w:t>
      </w:r>
    </w:p>
    <w:p w14:paraId="37CA603B" w14:textId="77777777" w:rsidR="00395593" w:rsidRPr="005C5CBD" w:rsidRDefault="00395593" w:rsidP="00EF4A21">
      <w:pPr>
        <w:spacing w:after="0" w:line="240" w:lineRule="auto"/>
        <w:ind w:firstLine="567"/>
        <w:jc w:val="both"/>
        <w:rPr>
          <w:rFonts w:ascii="Garamond" w:eastAsia="Calibri" w:hAnsi="Garamond" w:cs="Calibri"/>
          <w:sz w:val="24"/>
          <w:szCs w:val="24"/>
        </w:rPr>
      </w:pPr>
    </w:p>
    <w:p w14:paraId="69DA7D57" w14:textId="77777777" w:rsidR="00395593" w:rsidRPr="005C5CBD" w:rsidRDefault="00395593" w:rsidP="00EF4A21">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1</w:t>
      </w:r>
      <w:r w:rsidRPr="005C5CBD">
        <w:rPr>
          <w:rFonts w:ascii="Garamond" w:eastAsia="Calibri" w:hAnsi="Garamond" w:cs="Calibri"/>
          <w:strike/>
          <w:sz w:val="24"/>
          <w:szCs w:val="24"/>
        </w:rPr>
        <w:t>º</w:t>
      </w:r>
      <w:r w:rsidRPr="005C5CBD">
        <w:rPr>
          <w:rFonts w:ascii="Garamond" w:eastAsia="Calibri" w:hAnsi="Garamond" w:cs="Calibri"/>
          <w:sz w:val="24"/>
          <w:szCs w:val="24"/>
        </w:rPr>
        <w:t xml:space="preserve"> No Apêndice XIV, deverá ser informado o número de empregados constante na folha de pagamentos no último dia de cada período. </w:t>
      </w:r>
    </w:p>
    <w:p w14:paraId="7E075E80" w14:textId="77777777" w:rsidR="00395593" w:rsidRPr="005C5CBD" w:rsidRDefault="00395593" w:rsidP="00EF4A21">
      <w:pPr>
        <w:spacing w:after="0" w:line="240" w:lineRule="auto"/>
        <w:ind w:firstLine="567"/>
        <w:jc w:val="both"/>
        <w:rPr>
          <w:rFonts w:ascii="Garamond" w:eastAsia="Calibri" w:hAnsi="Garamond" w:cs="Calibri"/>
          <w:sz w:val="24"/>
          <w:szCs w:val="24"/>
        </w:rPr>
      </w:pPr>
    </w:p>
    <w:p w14:paraId="7BC143EA" w14:textId="77777777" w:rsidR="00395593" w:rsidRPr="005C5CBD" w:rsidRDefault="00395593" w:rsidP="00EF4A21">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2</w:t>
      </w:r>
      <w:r w:rsidRPr="005C5CBD">
        <w:rPr>
          <w:rFonts w:ascii="Garamond" w:eastAsia="Calibri" w:hAnsi="Garamond" w:cs="Calibri"/>
          <w:strike/>
          <w:sz w:val="24"/>
          <w:szCs w:val="24"/>
        </w:rPr>
        <w:t>º</w:t>
      </w:r>
      <w:r w:rsidRPr="005C5CBD">
        <w:rPr>
          <w:rFonts w:ascii="Garamond" w:eastAsia="Calibri" w:hAnsi="Garamond" w:cs="Calibri"/>
          <w:sz w:val="24"/>
          <w:szCs w:val="24"/>
        </w:rPr>
        <w:t xml:space="preserve"> Caso seja adotado critério de rateio, este deve ser explicado pormenorizadamente e observado para a elaboração dos Apêndices XIV e XV. </w:t>
      </w:r>
    </w:p>
    <w:p w14:paraId="40576C1B" w14:textId="77777777" w:rsidR="00395593" w:rsidRPr="005C5CBD" w:rsidRDefault="00395593" w:rsidP="00E15FBB">
      <w:pPr>
        <w:spacing w:after="0" w:line="240" w:lineRule="auto"/>
        <w:jc w:val="both"/>
        <w:rPr>
          <w:rFonts w:ascii="Garamond" w:eastAsia="Calibri" w:hAnsi="Garamond" w:cs="Calibri"/>
          <w:sz w:val="24"/>
          <w:szCs w:val="24"/>
        </w:rPr>
      </w:pPr>
    </w:p>
    <w:p w14:paraId="74DB2AA3" w14:textId="77777777" w:rsidR="00395593" w:rsidRPr="0020569B" w:rsidRDefault="00395593" w:rsidP="0020216F">
      <w:pPr>
        <w:pStyle w:val="Corpodetexto"/>
        <w:jc w:val="center"/>
        <w:rPr>
          <w:rFonts w:ascii="Garamond" w:eastAsia="MS Gothic" w:hAnsi="Garamond"/>
          <w:b/>
          <w:color w:val="4F81BD"/>
          <w:lang w:eastAsia="pt-BR"/>
        </w:rPr>
      </w:pPr>
      <w:r w:rsidRPr="0020569B">
        <w:rPr>
          <w:rFonts w:ascii="Garamond" w:eastAsia="MS Gothic" w:hAnsi="Garamond"/>
          <w:b/>
          <w:lang w:eastAsia="pt-BR"/>
        </w:rPr>
        <w:t>Subseção VI</w:t>
      </w:r>
    </w:p>
    <w:p w14:paraId="16FF9F76" w14:textId="77777777" w:rsidR="00395593" w:rsidRPr="0020569B" w:rsidRDefault="00395593" w:rsidP="0020216F">
      <w:pPr>
        <w:pStyle w:val="Corpodetexto"/>
        <w:jc w:val="center"/>
        <w:rPr>
          <w:rFonts w:ascii="Garamond" w:eastAsia="MS Gothic" w:hAnsi="Garamond"/>
          <w:b/>
          <w:color w:val="4F81BD"/>
          <w:lang w:eastAsia="pt-BR"/>
        </w:rPr>
      </w:pPr>
      <w:r w:rsidRPr="0020569B">
        <w:rPr>
          <w:rFonts w:ascii="Garamond" w:eastAsia="MS Gothic" w:hAnsi="Garamond"/>
          <w:b/>
          <w:lang w:eastAsia="pt-BR"/>
        </w:rPr>
        <w:t>Do retorno sobre o investimento</w:t>
      </w:r>
    </w:p>
    <w:p w14:paraId="6795293D" w14:textId="77777777" w:rsidR="00395593" w:rsidRPr="005C5CBD" w:rsidRDefault="00395593" w:rsidP="00E15FBB">
      <w:pPr>
        <w:spacing w:after="0" w:line="240" w:lineRule="auto"/>
        <w:jc w:val="both"/>
        <w:rPr>
          <w:rFonts w:ascii="Garamond" w:eastAsia="Calibri" w:hAnsi="Garamond" w:cs="Calibri"/>
          <w:sz w:val="24"/>
          <w:szCs w:val="24"/>
        </w:rPr>
      </w:pPr>
    </w:p>
    <w:p w14:paraId="605BEBEA" w14:textId="77777777" w:rsidR="00395593" w:rsidRPr="005C5CBD" w:rsidRDefault="00395593" w:rsidP="00017F3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211.  A petição deverá informar a taxa de retorno sobre o investimento conforme tabela constante do Apêndice XVI, indicando, se for o caso, o critério de rateio adotado. </w:t>
      </w:r>
    </w:p>
    <w:p w14:paraId="41765948" w14:textId="77777777" w:rsidR="00395593" w:rsidRPr="005C5CBD" w:rsidRDefault="00395593" w:rsidP="00E15FBB">
      <w:pPr>
        <w:spacing w:after="0" w:line="240" w:lineRule="auto"/>
        <w:jc w:val="both"/>
        <w:rPr>
          <w:rFonts w:ascii="Garamond" w:eastAsia="Calibri" w:hAnsi="Garamond" w:cs="Calibri"/>
          <w:sz w:val="24"/>
          <w:szCs w:val="24"/>
        </w:rPr>
      </w:pPr>
    </w:p>
    <w:p w14:paraId="22C9F2BB" w14:textId="77777777" w:rsidR="00395593" w:rsidRPr="0020569B" w:rsidRDefault="00395593" w:rsidP="0020216F">
      <w:pPr>
        <w:pStyle w:val="Corpodetexto"/>
        <w:jc w:val="center"/>
        <w:rPr>
          <w:rFonts w:ascii="Garamond" w:eastAsia="MS Gothic" w:hAnsi="Garamond"/>
          <w:b/>
          <w:color w:val="4F81BD"/>
          <w:lang w:eastAsia="pt-BR"/>
        </w:rPr>
      </w:pPr>
      <w:r w:rsidRPr="0020569B">
        <w:rPr>
          <w:rFonts w:ascii="Garamond" w:eastAsia="MS Gothic" w:hAnsi="Garamond"/>
          <w:b/>
          <w:lang w:eastAsia="pt-BR"/>
        </w:rPr>
        <w:t>Subseção VII</w:t>
      </w:r>
    </w:p>
    <w:p w14:paraId="3871BEAF" w14:textId="77777777" w:rsidR="00395593" w:rsidRPr="0020569B" w:rsidRDefault="00395593" w:rsidP="0020216F">
      <w:pPr>
        <w:pStyle w:val="Corpodetexto"/>
        <w:jc w:val="center"/>
        <w:rPr>
          <w:rFonts w:ascii="Garamond" w:eastAsia="MS Gothic" w:hAnsi="Garamond"/>
          <w:b/>
          <w:lang w:eastAsia="pt-BR"/>
        </w:rPr>
      </w:pPr>
      <w:r w:rsidRPr="0020569B">
        <w:rPr>
          <w:rFonts w:ascii="Garamond" w:eastAsia="MS Gothic" w:hAnsi="Garamond"/>
          <w:b/>
          <w:lang w:eastAsia="pt-BR"/>
        </w:rPr>
        <w:t>Do fluxo de caixa</w:t>
      </w:r>
    </w:p>
    <w:p w14:paraId="7EAD15BD" w14:textId="77777777" w:rsidR="00395593" w:rsidRPr="005C5CBD" w:rsidRDefault="00395593" w:rsidP="00E15FBB">
      <w:pPr>
        <w:spacing w:after="0" w:line="240" w:lineRule="auto"/>
        <w:jc w:val="both"/>
        <w:rPr>
          <w:rFonts w:ascii="Garamond" w:eastAsia="Calibri" w:hAnsi="Garamond" w:cs="Calibri"/>
          <w:sz w:val="24"/>
          <w:szCs w:val="24"/>
        </w:rPr>
      </w:pPr>
    </w:p>
    <w:p w14:paraId="5127EF84" w14:textId="77777777" w:rsidR="00395593" w:rsidRPr="005C5CBD" w:rsidRDefault="00395593" w:rsidP="00EF4A21">
      <w:pPr>
        <w:spacing w:after="0" w:line="240" w:lineRule="auto"/>
        <w:ind w:firstLine="567"/>
        <w:jc w:val="both"/>
        <w:rPr>
          <w:rFonts w:ascii="Garamond" w:eastAsia="Times New Roman" w:hAnsi="Garamond" w:cs="Calibri"/>
          <w:b/>
          <w:color w:val="000000"/>
          <w:sz w:val="24"/>
          <w:szCs w:val="24"/>
        </w:rPr>
      </w:pPr>
      <w:r w:rsidRPr="005C5CBD">
        <w:rPr>
          <w:rFonts w:ascii="Garamond" w:eastAsia="Times New Roman" w:hAnsi="Garamond" w:cs="Calibri"/>
          <w:sz w:val="24"/>
          <w:szCs w:val="24"/>
          <w:lang w:eastAsia="pt-BR"/>
        </w:rPr>
        <w:t xml:space="preserve">Art. 212.  A petição deverá apresentar </w:t>
      </w:r>
      <w:r w:rsidRPr="005C5CBD">
        <w:rPr>
          <w:rFonts w:ascii="Garamond" w:eastAsia="Times New Roman" w:hAnsi="Garamond" w:cs="Calibri"/>
          <w:color w:val="000000"/>
          <w:sz w:val="24"/>
          <w:szCs w:val="24"/>
        </w:rPr>
        <w:t>o fluxo de caixa conforme modelo constante do Apêndice XVII, indicando, se for o caso, o critério de rateio adotado.</w:t>
      </w:r>
      <w:r w:rsidRPr="005C5CBD">
        <w:rPr>
          <w:rFonts w:ascii="Garamond" w:eastAsia="Times New Roman" w:hAnsi="Garamond" w:cs="Calibri"/>
          <w:b/>
          <w:color w:val="000000"/>
          <w:sz w:val="24"/>
          <w:szCs w:val="24"/>
        </w:rPr>
        <w:t xml:space="preserve"> </w:t>
      </w:r>
    </w:p>
    <w:p w14:paraId="041C7E89" w14:textId="77777777" w:rsidR="00395593" w:rsidRPr="005C5CBD" w:rsidRDefault="00395593" w:rsidP="00E15FBB">
      <w:pPr>
        <w:spacing w:after="0" w:line="240" w:lineRule="auto"/>
        <w:jc w:val="both"/>
        <w:rPr>
          <w:rFonts w:ascii="Garamond" w:eastAsia="Calibri" w:hAnsi="Garamond" w:cs="Calibri"/>
          <w:sz w:val="24"/>
          <w:szCs w:val="24"/>
        </w:rPr>
      </w:pPr>
    </w:p>
    <w:p w14:paraId="2C9CE50C" w14:textId="77777777" w:rsidR="00395593" w:rsidRPr="0020569B" w:rsidRDefault="00395593" w:rsidP="0020216F">
      <w:pPr>
        <w:pStyle w:val="Corpodetexto"/>
        <w:jc w:val="center"/>
        <w:rPr>
          <w:rFonts w:ascii="Garamond" w:eastAsia="MS Gothic" w:hAnsi="Garamond"/>
          <w:b/>
          <w:color w:val="4F81BD"/>
          <w:lang w:eastAsia="pt-BR"/>
        </w:rPr>
      </w:pPr>
      <w:r w:rsidRPr="0020569B">
        <w:rPr>
          <w:rFonts w:ascii="Garamond" w:eastAsia="MS Gothic" w:hAnsi="Garamond"/>
          <w:b/>
          <w:lang w:eastAsia="pt-BR"/>
        </w:rPr>
        <w:t>Subseção VIII</w:t>
      </w:r>
    </w:p>
    <w:p w14:paraId="1A0BD5ED" w14:textId="77777777" w:rsidR="00395593" w:rsidRPr="0020569B" w:rsidRDefault="00395593" w:rsidP="0020216F">
      <w:pPr>
        <w:pStyle w:val="Corpodetexto"/>
        <w:jc w:val="center"/>
        <w:rPr>
          <w:rFonts w:ascii="Garamond" w:eastAsia="MS Gothic" w:hAnsi="Garamond"/>
          <w:b/>
          <w:color w:val="4F81BD"/>
          <w:lang w:eastAsia="pt-BR"/>
        </w:rPr>
      </w:pPr>
      <w:r w:rsidRPr="0020569B">
        <w:rPr>
          <w:rFonts w:ascii="Garamond" w:eastAsia="MS Gothic" w:hAnsi="Garamond"/>
          <w:b/>
          <w:lang w:eastAsia="pt-BR"/>
        </w:rPr>
        <w:t>Da capacidade de captar recursos ou investimentos</w:t>
      </w:r>
    </w:p>
    <w:p w14:paraId="531AB366" w14:textId="77777777" w:rsidR="00395593" w:rsidRPr="005C5CBD" w:rsidRDefault="00395593" w:rsidP="00E15FBB">
      <w:pPr>
        <w:spacing w:after="0" w:line="240" w:lineRule="auto"/>
        <w:jc w:val="both"/>
        <w:rPr>
          <w:rFonts w:ascii="Garamond" w:eastAsia="Calibri" w:hAnsi="Garamond" w:cs="Calibri"/>
          <w:sz w:val="24"/>
          <w:szCs w:val="24"/>
        </w:rPr>
      </w:pPr>
    </w:p>
    <w:p w14:paraId="426122C7" w14:textId="77777777" w:rsidR="00395593" w:rsidRPr="005C5CBD" w:rsidRDefault="00395593" w:rsidP="00EF4A21">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213.</w:t>
      </w:r>
      <w:r w:rsidRPr="005C5CBD" w:rsidDel="00E001AA">
        <w:rPr>
          <w:rFonts w:ascii="Garamond" w:eastAsia="Calibri" w:hAnsi="Garamond" w:cs="Calibri"/>
          <w:sz w:val="24"/>
          <w:szCs w:val="24"/>
        </w:rPr>
        <w:t xml:space="preserve">  </w:t>
      </w:r>
      <w:r w:rsidRPr="005C5CBD">
        <w:rPr>
          <w:rFonts w:ascii="Garamond" w:eastAsia="Calibri" w:hAnsi="Garamond" w:cs="Calibri"/>
          <w:sz w:val="24"/>
          <w:szCs w:val="24"/>
        </w:rPr>
        <w:t>Os investimentos realizados</w:t>
      </w:r>
      <w:r w:rsidRPr="005C5CBD" w:rsidDel="000C1D04">
        <w:rPr>
          <w:rFonts w:ascii="Garamond" w:eastAsia="Calibri" w:hAnsi="Garamond" w:cs="Calibri"/>
          <w:sz w:val="24"/>
          <w:szCs w:val="24"/>
        </w:rPr>
        <w:t xml:space="preserve"> </w:t>
      </w:r>
      <w:r w:rsidRPr="005C5CBD">
        <w:rPr>
          <w:rFonts w:ascii="Garamond" w:eastAsia="Calibri" w:hAnsi="Garamond" w:cs="Calibri"/>
          <w:sz w:val="24"/>
          <w:szCs w:val="24"/>
        </w:rPr>
        <w:t>na linha de produção do produto similar doméstico no período de análise do dano deverão ser informados, em ordem cronológica, explicando as principais razões para estes investimentos (ex.: exigências ambientais, padrões de segurança, atualizações tecnológicas, crescimento da demanda) ao longo do período e como estes foram financiados (caixa, empréstimos bancários, debêntures etc.).</w:t>
      </w:r>
    </w:p>
    <w:p w14:paraId="237FF427" w14:textId="77777777" w:rsidR="00395593" w:rsidRPr="005C5CBD" w:rsidRDefault="00395593" w:rsidP="00E15FBB">
      <w:pPr>
        <w:spacing w:after="0" w:line="240" w:lineRule="auto"/>
        <w:jc w:val="both"/>
        <w:rPr>
          <w:rFonts w:ascii="Garamond" w:eastAsia="Calibri" w:hAnsi="Garamond" w:cs="Calibri"/>
          <w:sz w:val="24"/>
          <w:szCs w:val="24"/>
        </w:rPr>
      </w:pPr>
    </w:p>
    <w:p w14:paraId="7EC6370F" w14:textId="77777777" w:rsidR="00395593" w:rsidRPr="005C5CBD" w:rsidRDefault="00395593" w:rsidP="00017F37">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214.</w:t>
      </w:r>
      <w:r w:rsidRPr="005C5CBD">
        <w:rPr>
          <w:rFonts w:ascii="Garamond" w:eastAsia="Calibri" w:hAnsi="Garamond" w:cs="Calibri"/>
          <w:sz w:val="24"/>
          <w:szCs w:val="24"/>
        </w:rPr>
        <w:t xml:space="preserve">  Caso se aplique,</w:t>
      </w:r>
      <w:r w:rsidRPr="005C5CBD" w:rsidDel="00DB1A2C">
        <w:rPr>
          <w:rFonts w:ascii="Garamond" w:eastAsia="Calibri" w:hAnsi="Garamond" w:cs="Calibri"/>
          <w:sz w:val="24"/>
          <w:szCs w:val="24"/>
        </w:rPr>
        <w:t xml:space="preserve"> </w:t>
      </w:r>
      <w:r w:rsidRPr="005C5CBD">
        <w:rPr>
          <w:rFonts w:ascii="Garamond" w:eastAsia="Calibri" w:hAnsi="Garamond" w:cs="Calibri"/>
          <w:sz w:val="24"/>
          <w:szCs w:val="24"/>
        </w:rPr>
        <w:t>os principais fatores que influenciaram negativamente a capacidade de captar recursos ou investimentos deverão ser informados, singularizando questões relacionadas à obtenção de crédito junto a bancos comerciais, histórico de taxas de juros, passivo judicial, entre outros temas relevantes.</w:t>
      </w:r>
    </w:p>
    <w:p w14:paraId="153B31D0" w14:textId="77777777" w:rsidR="00395593" w:rsidRPr="005C5CBD" w:rsidRDefault="00395593" w:rsidP="00017F37">
      <w:pPr>
        <w:spacing w:after="0" w:line="240" w:lineRule="auto"/>
        <w:ind w:left="709" w:firstLine="567"/>
        <w:jc w:val="both"/>
        <w:rPr>
          <w:rFonts w:ascii="Garamond" w:eastAsia="Calibri" w:hAnsi="Garamond" w:cs="Calibri"/>
          <w:sz w:val="24"/>
          <w:szCs w:val="24"/>
        </w:rPr>
      </w:pPr>
    </w:p>
    <w:p w14:paraId="1AF2B9AE" w14:textId="77777777" w:rsidR="00395593" w:rsidRPr="005C5CBD" w:rsidRDefault="00395593" w:rsidP="00017F37">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215.</w:t>
      </w:r>
      <w:r w:rsidRPr="005C5CBD">
        <w:rPr>
          <w:rFonts w:ascii="Garamond" w:eastAsia="Calibri" w:hAnsi="Garamond" w:cs="Calibri"/>
          <w:sz w:val="24"/>
          <w:szCs w:val="24"/>
        </w:rPr>
        <w:t xml:space="preserve">  A petição deverá informar se cada empresa tomou empréstimo de curto prazo no período de análise de dano e informar a taxa média de captação de cada período.</w:t>
      </w:r>
    </w:p>
    <w:p w14:paraId="6CC9F5C4" w14:textId="77777777" w:rsidR="00395593" w:rsidRPr="005C5CBD" w:rsidRDefault="00395593" w:rsidP="00017F37">
      <w:pPr>
        <w:spacing w:after="0" w:line="240" w:lineRule="auto"/>
        <w:ind w:firstLine="567"/>
        <w:jc w:val="both"/>
        <w:rPr>
          <w:rFonts w:ascii="Garamond" w:eastAsia="Calibri" w:hAnsi="Garamond" w:cs="Calibri"/>
          <w:sz w:val="24"/>
          <w:szCs w:val="24"/>
        </w:rPr>
      </w:pPr>
    </w:p>
    <w:p w14:paraId="1AE64AD4" w14:textId="77777777" w:rsidR="00395593" w:rsidRPr="005C5CBD" w:rsidRDefault="00395593" w:rsidP="00017F37">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216.</w:t>
      </w:r>
      <w:r w:rsidRPr="005C5CBD">
        <w:rPr>
          <w:rFonts w:ascii="Garamond" w:eastAsia="Calibri" w:hAnsi="Garamond" w:cs="Calibri"/>
          <w:sz w:val="24"/>
          <w:szCs w:val="24"/>
        </w:rPr>
        <w:t xml:space="preserve">  A petição deverá informar se cada empresa sofreu os efeitos negativos listados a seguir, como resultado das importações do produto objeto da investigação:</w:t>
      </w:r>
    </w:p>
    <w:p w14:paraId="0FD16CC7" w14:textId="77777777" w:rsidR="00395593" w:rsidRPr="005C5CBD" w:rsidRDefault="00395593" w:rsidP="00017F37">
      <w:pPr>
        <w:spacing w:after="0" w:line="276" w:lineRule="auto"/>
        <w:ind w:firstLine="567"/>
        <w:jc w:val="both"/>
        <w:rPr>
          <w:rFonts w:ascii="Garamond" w:eastAsia="Calibri" w:hAnsi="Garamond" w:cs="Calibri"/>
          <w:sz w:val="24"/>
          <w:szCs w:val="24"/>
        </w:rPr>
      </w:pPr>
    </w:p>
    <w:p w14:paraId="7046C5E3" w14:textId="77777777" w:rsidR="00395593" w:rsidRPr="005C5CBD" w:rsidRDefault="00395593" w:rsidP="00017F37">
      <w:pPr>
        <w:spacing w:after="0" w:line="276" w:lineRule="auto"/>
        <w:ind w:firstLine="567"/>
        <w:jc w:val="both"/>
        <w:rPr>
          <w:rFonts w:ascii="Garamond" w:eastAsia="Calibri" w:hAnsi="Garamond" w:cs="Calibri"/>
          <w:sz w:val="24"/>
          <w:szCs w:val="24"/>
        </w:rPr>
      </w:pPr>
      <w:r w:rsidRPr="005C5CBD" w:rsidDel="00FC6ABB">
        <w:rPr>
          <w:rFonts w:ascii="Garamond" w:eastAsia="Calibri" w:hAnsi="Garamond" w:cs="Calibri"/>
          <w:sz w:val="24"/>
          <w:szCs w:val="24"/>
        </w:rPr>
        <w:t xml:space="preserve">I - </w:t>
      </w:r>
      <w:r w:rsidRPr="005C5CBD">
        <w:rPr>
          <w:rFonts w:ascii="Garamond" w:eastAsia="Calibri" w:hAnsi="Garamond" w:cs="Calibri"/>
          <w:sz w:val="24"/>
          <w:szCs w:val="24"/>
        </w:rPr>
        <w:t>cancelamento, adiamento ou rejeição de projetos de expansão;</w:t>
      </w:r>
    </w:p>
    <w:p w14:paraId="66228D20" w14:textId="77777777" w:rsidR="00395593" w:rsidRPr="005C5CBD" w:rsidRDefault="00395593" w:rsidP="00017F37">
      <w:pPr>
        <w:spacing w:after="0" w:line="276" w:lineRule="auto"/>
        <w:ind w:firstLine="567"/>
        <w:jc w:val="both"/>
        <w:rPr>
          <w:rFonts w:ascii="Garamond" w:eastAsia="Calibri" w:hAnsi="Garamond" w:cs="Calibri"/>
          <w:sz w:val="24"/>
          <w:szCs w:val="24"/>
        </w:rPr>
      </w:pPr>
    </w:p>
    <w:p w14:paraId="568CE19C" w14:textId="77777777" w:rsidR="00395593" w:rsidRPr="005C5CBD" w:rsidRDefault="00395593" w:rsidP="00017F37">
      <w:pPr>
        <w:spacing w:after="0" w:line="276" w:lineRule="auto"/>
        <w:ind w:firstLine="567"/>
        <w:jc w:val="both"/>
        <w:rPr>
          <w:rFonts w:ascii="Garamond" w:eastAsia="Calibri" w:hAnsi="Garamond" w:cs="Calibri"/>
          <w:sz w:val="24"/>
          <w:szCs w:val="24"/>
        </w:rPr>
      </w:pPr>
      <w:r w:rsidRPr="005C5CBD" w:rsidDel="00FC6ABB">
        <w:rPr>
          <w:rFonts w:ascii="Garamond" w:eastAsia="Calibri" w:hAnsi="Garamond" w:cs="Calibri"/>
          <w:sz w:val="24"/>
          <w:szCs w:val="24"/>
        </w:rPr>
        <w:t>II -</w:t>
      </w:r>
      <w:r w:rsidRPr="005C5CBD">
        <w:rPr>
          <w:rFonts w:ascii="Garamond" w:eastAsia="Calibri" w:hAnsi="Garamond" w:cs="Calibri"/>
          <w:sz w:val="24"/>
          <w:szCs w:val="24"/>
        </w:rPr>
        <w:t xml:space="preserve"> rejeição ou não aceitação de propostas de investimento;</w:t>
      </w:r>
    </w:p>
    <w:p w14:paraId="75B80778" w14:textId="77777777" w:rsidR="00395593" w:rsidRPr="005C5CBD" w:rsidRDefault="00395593" w:rsidP="00017F37">
      <w:pPr>
        <w:spacing w:after="0" w:line="276" w:lineRule="auto"/>
        <w:ind w:firstLine="567"/>
        <w:jc w:val="both"/>
        <w:rPr>
          <w:rFonts w:ascii="Garamond" w:eastAsia="Calibri" w:hAnsi="Garamond" w:cs="Calibri"/>
          <w:sz w:val="24"/>
          <w:szCs w:val="24"/>
        </w:rPr>
      </w:pPr>
    </w:p>
    <w:p w14:paraId="300372B7" w14:textId="77777777" w:rsidR="00395593" w:rsidRPr="005C5CBD" w:rsidRDefault="00395593" w:rsidP="00017F37">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III - redução dos investimentos;</w:t>
      </w:r>
    </w:p>
    <w:p w14:paraId="0F54B485" w14:textId="77777777" w:rsidR="00395593" w:rsidRPr="005C5CBD" w:rsidRDefault="00395593" w:rsidP="00017F37">
      <w:pPr>
        <w:spacing w:after="0" w:line="276" w:lineRule="auto"/>
        <w:ind w:firstLine="567"/>
        <w:jc w:val="both"/>
        <w:rPr>
          <w:rFonts w:ascii="Garamond" w:eastAsia="Calibri" w:hAnsi="Garamond" w:cs="Calibri"/>
          <w:sz w:val="24"/>
          <w:szCs w:val="24"/>
        </w:rPr>
      </w:pPr>
    </w:p>
    <w:p w14:paraId="3F9E0438" w14:textId="77777777" w:rsidR="00395593" w:rsidRPr="005C5CBD" w:rsidRDefault="00395593" w:rsidP="00017F37">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IV - rejeição de empréstimos bancários;</w:t>
      </w:r>
    </w:p>
    <w:p w14:paraId="2C14B123" w14:textId="77777777" w:rsidR="00395593" w:rsidRPr="005C5CBD" w:rsidRDefault="00395593" w:rsidP="00017F37">
      <w:pPr>
        <w:spacing w:after="0" w:line="276" w:lineRule="auto"/>
        <w:ind w:firstLine="567"/>
        <w:jc w:val="both"/>
        <w:rPr>
          <w:rFonts w:ascii="Garamond" w:eastAsia="Calibri" w:hAnsi="Garamond" w:cs="Calibri"/>
          <w:sz w:val="24"/>
          <w:szCs w:val="24"/>
        </w:rPr>
      </w:pPr>
    </w:p>
    <w:p w14:paraId="30DC488F" w14:textId="77777777" w:rsidR="00395593" w:rsidRPr="005C5CBD" w:rsidRDefault="00395593" w:rsidP="00017F37">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V - redução de linhas de crédito;</w:t>
      </w:r>
    </w:p>
    <w:p w14:paraId="0DD85C4F" w14:textId="77777777" w:rsidR="00395593" w:rsidRPr="005C5CBD" w:rsidRDefault="00395593" w:rsidP="00017F37">
      <w:pPr>
        <w:spacing w:after="0" w:line="276" w:lineRule="auto"/>
        <w:ind w:firstLine="567"/>
        <w:jc w:val="both"/>
        <w:rPr>
          <w:rFonts w:ascii="Garamond" w:eastAsia="Calibri" w:hAnsi="Garamond" w:cs="Calibri"/>
          <w:sz w:val="24"/>
          <w:szCs w:val="24"/>
        </w:rPr>
      </w:pPr>
    </w:p>
    <w:p w14:paraId="405A0BAE" w14:textId="77777777" w:rsidR="00395593" w:rsidRPr="005C5CBD" w:rsidRDefault="00395593" w:rsidP="00017F37">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VI - efeitos sobre os papéis negociados em bolsa; e</w:t>
      </w:r>
    </w:p>
    <w:p w14:paraId="597EE8E7" w14:textId="77777777" w:rsidR="00395593" w:rsidRPr="005C5CBD" w:rsidRDefault="00395593" w:rsidP="00017F37">
      <w:pPr>
        <w:spacing w:after="0" w:line="276" w:lineRule="auto"/>
        <w:ind w:firstLine="567"/>
        <w:jc w:val="both"/>
        <w:rPr>
          <w:rFonts w:ascii="Garamond" w:eastAsia="Calibri" w:hAnsi="Garamond" w:cs="Calibri"/>
          <w:sz w:val="24"/>
          <w:szCs w:val="24"/>
        </w:rPr>
      </w:pPr>
    </w:p>
    <w:p w14:paraId="74B9C5D3" w14:textId="77777777" w:rsidR="00395593" w:rsidRPr="005C5CBD" w:rsidRDefault="00395593" w:rsidP="00017F37">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VII - outros efeitos, a serem especificados na petição.</w:t>
      </w:r>
    </w:p>
    <w:p w14:paraId="15E71CAD" w14:textId="77777777" w:rsidR="00395593" w:rsidRPr="005C5CBD" w:rsidRDefault="00395593" w:rsidP="00E15FBB">
      <w:pPr>
        <w:spacing w:after="0" w:line="240" w:lineRule="auto"/>
        <w:ind w:firstLine="708"/>
        <w:jc w:val="center"/>
        <w:rPr>
          <w:rFonts w:ascii="Garamond" w:eastAsia="Calibri" w:hAnsi="Garamond" w:cs="Calibri"/>
          <w:b/>
          <w:sz w:val="24"/>
          <w:szCs w:val="24"/>
        </w:rPr>
      </w:pPr>
    </w:p>
    <w:p w14:paraId="5E43D769" w14:textId="77777777" w:rsidR="00395593" w:rsidRPr="0020569B" w:rsidRDefault="00395593" w:rsidP="0020216F">
      <w:pPr>
        <w:pStyle w:val="Corpodetexto"/>
        <w:jc w:val="center"/>
        <w:rPr>
          <w:rFonts w:ascii="Garamond" w:eastAsia="MS Gothic" w:hAnsi="Garamond"/>
          <w:b/>
          <w:color w:val="4F81BD"/>
          <w:lang w:eastAsia="pt-BR"/>
        </w:rPr>
      </w:pPr>
      <w:r w:rsidRPr="0020569B">
        <w:rPr>
          <w:rFonts w:ascii="Garamond" w:eastAsia="MS Gothic" w:hAnsi="Garamond"/>
          <w:b/>
          <w:lang w:eastAsia="pt-BR"/>
        </w:rPr>
        <w:t>Subseção IX</w:t>
      </w:r>
    </w:p>
    <w:p w14:paraId="6BABCAAE" w14:textId="49874B74" w:rsidR="00395593" w:rsidRPr="0020569B" w:rsidRDefault="00395593" w:rsidP="0020216F">
      <w:pPr>
        <w:pStyle w:val="Corpodetexto"/>
        <w:jc w:val="center"/>
        <w:rPr>
          <w:rFonts w:ascii="Garamond" w:eastAsia="MS Gothic" w:hAnsi="Garamond"/>
          <w:b/>
          <w:color w:val="4F81BD"/>
          <w:lang w:eastAsia="pt-BR"/>
        </w:rPr>
      </w:pPr>
      <w:r w:rsidRPr="0020569B">
        <w:rPr>
          <w:rFonts w:ascii="Garamond" w:eastAsia="MS Gothic" w:hAnsi="Garamond"/>
          <w:b/>
          <w:lang w:eastAsia="pt-BR"/>
        </w:rPr>
        <w:t>Do custo de produção</w:t>
      </w:r>
    </w:p>
    <w:p w14:paraId="388B78DC" w14:textId="77777777" w:rsidR="00395593" w:rsidRPr="005C5CBD" w:rsidRDefault="00395593" w:rsidP="00B33904">
      <w:pPr>
        <w:spacing w:before="100" w:beforeAutospacing="1" w:after="100" w:afterAutospacing="1"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 xml:space="preserve">Art. 217.  </w:t>
      </w:r>
      <w:r w:rsidRPr="005C5CBD">
        <w:rPr>
          <w:rFonts w:ascii="Garamond" w:eastAsia="Calibri" w:hAnsi="Garamond" w:cs="Calibri"/>
          <w:sz w:val="24"/>
          <w:szCs w:val="24"/>
        </w:rPr>
        <w:t xml:space="preserve">A petição deverá informar se houve mudança de critério de alocação de custo e, em caso positivo, esclarecer a natureza da alteração. </w:t>
      </w:r>
    </w:p>
    <w:p w14:paraId="59A86F4E" w14:textId="77777777" w:rsidR="00395593" w:rsidRPr="005C5CBD" w:rsidRDefault="00395593" w:rsidP="00B33904">
      <w:pPr>
        <w:spacing w:before="100" w:beforeAutospacing="1" w:after="100" w:afterAutospacing="1"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 xml:space="preserve">Art. 218.  </w:t>
      </w:r>
      <w:r w:rsidRPr="005C5CBD">
        <w:rPr>
          <w:rFonts w:ascii="Garamond" w:eastAsia="Calibri" w:hAnsi="Garamond" w:cs="Calibri"/>
          <w:sz w:val="24"/>
          <w:szCs w:val="24"/>
        </w:rPr>
        <w:t xml:space="preserve">As condições de aquisição de matérias-primas, insumos e utilidades deverão ser informadas, incluindo informações sobre o relacionamento com fornecedores (independentes ou partes relacionadas) e sobre a ocorrência de consumo cativo. </w:t>
      </w:r>
    </w:p>
    <w:p w14:paraId="2DC2E5F1" w14:textId="77777777" w:rsidR="00395593" w:rsidRPr="005C5CBD" w:rsidRDefault="00395593" w:rsidP="00B33904">
      <w:pPr>
        <w:spacing w:before="100" w:beforeAutospacing="1" w:after="100" w:afterAutospacing="1"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Parágrafo único. Deverá ser esclarecido como são formados os preços em cada um desses fatores de produção. </w:t>
      </w:r>
    </w:p>
    <w:p w14:paraId="28FC29E4" w14:textId="77777777" w:rsidR="00395593" w:rsidRPr="005C5CBD" w:rsidRDefault="00395593" w:rsidP="00B33904">
      <w:pPr>
        <w:spacing w:before="100" w:beforeAutospacing="1" w:after="100" w:afterAutospacing="1"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 xml:space="preserve">Art. 219.  </w:t>
      </w:r>
      <w:r w:rsidRPr="005C5CBD">
        <w:rPr>
          <w:rFonts w:ascii="Garamond" w:eastAsia="Calibri" w:hAnsi="Garamond" w:cs="Calibri"/>
          <w:sz w:val="24"/>
          <w:szCs w:val="24"/>
        </w:rPr>
        <w:t xml:space="preserve">A estrutura de custos deverá ser fornecida de acordo com a tabela constante do Apêndice XVIII para cada CODPROD ou grupos de CODPROD (ou CODIP se for o caso) identificado na Seção IV do Capitulo III desta Portaria. </w:t>
      </w:r>
    </w:p>
    <w:p w14:paraId="6CDFD369" w14:textId="77777777" w:rsidR="00395593" w:rsidRPr="005C5CBD" w:rsidRDefault="00395593" w:rsidP="00B33904">
      <w:pPr>
        <w:spacing w:before="100" w:beforeAutospacing="1" w:after="100" w:afterAutospacing="1"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Em relac</w:t>
      </w:r>
      <w:r w:rsidRPr="005C5CBD">
        <w:rPr>
          <w:rFonts w:ascii="Times New Roman" w:eastAsia="Calibri" w:hAnsi="Times New Roman" w:cs="Times New Roman"/>
          <w:sz w:val="24"/>
          <w:szCs w:val="24"/>
        </w:rPr>
        <w:t>̧</w:t>
      </w:r>
      <w:r w:rsidRPr="005C5CBD">
        <w:rPr>
          <w:rFonts w:ascii="Garamond" w:eastAsia="Calibri" w:hAnsi="Garamond" w:cs="Calibri"/>
          <w:sz w:val="24"/>
          <w:szCs w:val="24"/>
        </w:rPr>
        <w:t xml:space="preserve">ão ao </w:t>
      </w:r>
      <w:r w:rsidRPr="005C5CBD">
        <w:rPr>
          <w:rFonts w:ascii="Garamond" w:eastAsia="Calibri" w:hAnsi="Garamond" w:cs="Garamond"/>
          <w:sz w:val="24"/>
          <w:szCs w:val="24"/>
        </w:rPr>
        <w:t>ú</w:t>
      </w:r>
      <w:r w:rsidRPr="005C5CBD">
        <w:rPr>
          <w:rFonts w:ascii="Garamond" w:eastAsia="Calibri" w:hAnsi="Garamond" w:cs="Calibri"/>
          <w:sz w:val="24"/>
          <w:szCs w:val="24"/>
        </w:rPr>
        <w:t>ltimo período da análise de dano (P5), também deverão ser fornecidas informac</w:t>
      </w:r>
      <w:r w:rsidRPr="005C5CBD">
        <w:rPr>
          <w:rFonts w:ascii="Times New Roman" w:eastAsia="Calibri" w:hAnsi="Times New Roman" w:cs="Times New Roman"/>
          <w:sz w:val="24"/>
          <w:szCs w:val="24"/>
        </w:rPr>
        <w:t>̧</w:t>
      </w:r>
      <w:r w:rsidRPr="005C5CBD">
        <w:rPr>
          <w:rFonts w:ascii="Garamond" w:eastAsia="Calibri" w:hAnsi="Garamond" w:cs="Calibri"/>
          <w:sz w:val="24"/>
          <w:szCs w:val="24"/>
        </w:rPr>
        <w:t>ões mensais no Ape</w:t>
      </w:r>
      <w:r w:rsidRPr="005C5CBD">
        <w:rPr>
          <w:rFonts w:ascii="Times New Roman" w:eastAsia="Calibri" w:hAnsi="Times New Roman" w:cs="Times New Roman"/>
          <w:sz w:val="24"/>
          <w:szCs w:val="24"/>
        </w:rPr>
        <w:t>̂</w:t>
      </w:r>
      <w:r w:rsidRPr="005C5CBD">
        <w:rPr>
          <w:rFonts w:ascii="Garamond" w:eastAsia="Calibri" w:hAnsi="Garamond" w:cs="Calibri"/>
          <w:sz w:val="24"/>
          <w:szCs w:val="24"/>
        </w:rPr>
        <w:t>ndice XIX. Caso o produto similar doméstico seja produzido em mais de uma planta, dever</w:t>
      </w:r>
      <w:r w:rsidRPr="005C5CBD">
        <w:rPr>
          <w:rFonts w:ascii="Garamond" w:eastAsia="Calibri" w:hAnsi="Garamond" w:cs="Garamond"/>
          <w:sz w:val="24"/>
          <w:szCs w:val="24"/>
        </w:rPr>
        <w:t>á</w:t>
      </w:r>
      <w:r w:rsidRPr="005C5CBD">
        <w:rPr>
          <w:rFonts w:ascii="Garamond" w:eastAsia="Calibri" w:hAnsi="Garamond" w:cs="Calibri"/>
          <w:sz w:val="24"/>
          <w:szCs w:val="24"/>
        </w:rPr>
        <w:t xml:space="preserve"> ser informado o custo de produc</w:t>
      </w:r>
      <w:r w:rsidRPr="005C5CBD">
        <w:rPr>
          <w:rFonts w:ascii="Times New Roman" w:eastAsia="Calibri" w:hAnsi="Times New Roman" w:cs="Times New Roman"/>
          <w:sz w:val="24"/>
          <w:szCs w:val="24"/>
        </w:rPr>
        <w:t>̧</w:t>
      </w:r>
      <w:r w:rsidRPr="005C5CBD">
        <w:rPr>
          <w:rFonts w:ascii="Garamond" w:eastAsia="Calibri" w:hAnsi="Garamond" w:cs="Calibri"/>
          <w:sz w:val="24"/>
          <w:szCs w:val="24"/>
        </w:rPr>
        <w:t xml:space="preserve">ão de cada uma delas. </w:t>
      </w:r>
    </w:p>
    <w:p w14:paraId="61BE5D33" w14:textId="77777777" w:rsidR="00395593" w:rsidRPr="005C5CBD" w:rsidRDefault="00395593" w:rsidP="00B33904">
      <w:pPr>
        <w:spacing w:before="100" w:beforeAutospacing="1" w:after="100" w:afterAutospacing="1"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 xml:space="preserve">Art. 220.  </w:t>
      </w:r>
      <w:r w:rsidRPr="005C5CBD">
        <w:rPr>
          <w:rFonts w:ascii="Garamond" w:eastAsia="Calibri" w:hAnsi="Garamond" w:cs="Calibri"/>
          <w:sz w:val="24"/>
          <w:szCs w:val="24"/>
        </w:rPr>
        <w:t xml:space="preserve">Para o preenchimento dos Apêndices XVIII e XIX, deverão ser observadas as seguintes instruções: </w:t>
      </w:r>
    </w:p>
    <w:p w14:paraId="5F0A69AF" w14:textId="77777777" w:rsidR="00395593" w:rsidRPr="005C5CBD" w:rsidRDefault="00395593" w:rsidP="00B33904">
      <w:pPr>
        <w:spacing w:before="100" w:beforeAutospacing="1" w:after="100" w:afterAutospacing="1"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custo de matérias-primas e outros insumos: deverá incluir despesas de transporte, tarifas de importac</w:t>
      </w:r>
      <w:r w:rsidRPr="005C5CBD">
        <w:rPr>
          <w:rFonts w:ascii="Times New Roman" w:eastAsia="Calibri" w:hAnsi="Times New Roman" w:cs="Times New Roman"/>
          <w:sz w:val="24"/>
          <w:szCs w:val="24"/>
        </w:rPr>
        <w:t>̧</w:t>
      </w:r>
      <w:r w:rsidRPr="005C5CBD">
        <w:rPr>
          <w:rFonts w:ascii="Garamond" w:eastAsia="Calibri" w:hAnsi="Garamond" w:cs="Calibri"/>
          <w:sz w:val="24"/>
          <w:szCs w:val="24"/>
        </w:rPr>
        <w:t>ão e outras despesas associadas à aquisic</w:t>
      </w:r>
      <w:r w:rsidRPr="005C5CBD">
        <w:rPr>
          <w:rFonts w:ascii="Times New Roman" w:eastAsia="Calibri" w:hAnsi="Times New Roman" w:cs="Times New Roman"/>
          <w:sz w:val="24"/>
          <w:szCs w:val="24"/>
        </w:rPr>
        <w:t>̧</w:t>
      </w:r>
      <w:r w:rsidRPr="005C5CBD">
        <w:rPr>
          <w:rFonts w:ascii="Garamond" w:eastAsia="Calibri" w:hAnsi="Garamond" w:cs="Calibri"/>
          <w:sz w:val="24"/>
          <w:szCs w:val="24"/>
        </w:rPr>
        <w:t xml:space="preserve">ão do produto. </w:t>
      </w:r>
    </w:p>
    <w:p w14:paraId="2D853797" w14:textId="77777777" w:rsidR="00395593" w:rsidRPr="005C5CBD" w:rsidRDefault="00395593" w:rsidP="00B33904">
      <w:pPr>
        <w:spacing w:before="100" w:beforeAutospacing="1" w:after="100" w:afterAutospacing="1"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mão de obra: dever</w:t>
      </w:r>
      <w:r w:rsidRPr="005C5CBD">
        <w:rPr>
          <w:rFonts w:ascii="Garamond" w:eastAsia="Calibri" w:hAnsi="Garamond" w:cs="Garamond"/>
          <w:sz w:val="24"/>
          <w:szCs w:val="24"/>
        </w:rPr>
        <w:t>á</w:t>
      </w:r>
      <w:r w:rsidRPr="005C5CBD">
        <w:rPr>
          <w:rFonts w:ascii="Garamond" w:eastAsia="Calibri" w:hAnsi="Garamond" w:cs="Calibri"/>
          <w:sz w:val="24"/>
          <w:szCs w:val="24"/>
        </w:rPr>
        <w:t xml:space="preserve"> abranger todos os empregados envolvidos na produc</w:t>
      </w:r>
      <w:r w:rsidRPr="005C5CBD">
        <w:rPr>
          <w:rFonts w:ascii="Times New Roman" w:eastAsia="Calibri" w:hAnsi="Times New Roman" w:cs="Times New Roman"/>
          <w:sz w:val="24"/>
          <w:szCs w:val="24"/>
        </w:rPr>
        <w:t>̧</w:t>
      </w:r>
      <w:r w:rsidRPr="005C5CBD">
        <w:rPr>
          <w:rFonts w:ascii="Garamond" w:eastAsia="Calibri" w:hAnsi="Garamond" w:cs="Calibri"/>
          <w:sz w:val="24"/>
          <w:szCs w:val="24"/>
        </w:rPr>
        <w:t>ão, e incluir salários, bo</w:t>
      </w:r>
      <w:r w:rsidRPr="005C5CBD">
        <w:rPr>
          <w:rFonts w:ascii="Times New Roman" w:eastAsia="Calibri" w:hAnsi="Times New Roman" w:cs="Times New Roman"/>
          <w:sz w:val="24"/>
          <w:szCs w:val="24"/>
        </w:rPr>
        <w:t>̂</w:t>
      </w:r>
      <w:r w:rsidRPr="005C5CBD">
        <w:rPr>
          <w:rFonts w:ascii="Garamond" w:eastAsia="Calibri" w:hAnsi="Garamond" w:cs="Calibri"/>
          <w:sz w:val="24"/>
          <w:szCs w:val="24"/>
        </w:rPr>
        <w:t>nus, horas-extras, férias, seguro, auxílio-doenc</w:t>
      </w:r>
      <w:r w:rsidRPr="005C5CBD">
        <w:rPr>
          <w:rFonts w:ascii="Times New Roman" w:eastAsia="Calibri" w:hAnsi="Times New Roman" w:cs="Times New Roman"/>
          <w:sz w:val="24"/>
          <w:szCs w:val="24"/>
        </w:rPr>
        <w:t>̧</w:t>
      </w:r>
      <w:r w:rsidRPr="005C5CBD">
        <w:rPr>
          <w:rFonts w:ascii="Garamond" w:eastAsia="Calibri" w:hAnsi="Garamond" w:cs="Calibri"/>
          <w:sz w:val="24"/>
          <w:szCs w:val="24"/>
        </w:rPr>
        <w:t xml:space="preserve">a e outros benefícios. </w:t>
      </w:r>
    </w:p>
    <w:p w14:paraId="6AB26D9A" w14:textId="77777777" w:rsidR="00395593" w:rsidRPr="005C5CBD" w:rsidRDefault="00395593" w:rsidP="00B33904">
      <w:pPr>
        <w:spacing w:before="100" w:beforeAutospacing="1" w:after="100" w:afterAutospacing="1"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III - depreciac</w:t>
      </w:r>
      <w:r w:rsidRPr="005C5CBD">
        <w:rPr>
          <w:rFonts w:ascii="Times New Roman" w:eastAsia="Calibri" w:hAnsi="Times New Roman" w:cs="Times New Roman"/>
          <w:sz w:val="24"/>
          <w:szCs w:val="24"/>
        </w:rPr>
        <w:t>̧</w:t>
      </w:r>
      <w:r w:rsidRPr="005C5CBD">
        <w:rPr>
          <w:rFonts w:ascii="Garamond" w:eastAsia="Calibri" w:hAnsi="Garamond" w:cs="Calibri"/>
          <w:sz w:val="24"/>
          <w:szCs w:val="24"/>
        </w:rPr>
        <w:t>ão: informar como a empresa aloca as despesas referentes à depreciac</w:t>
      </w:r>
      <w:r w:rsidRPr="005C5CBD">
        <w:rPr>
          <w:rFonts w:ascii="Times New Roman" w:eastAsia="Calibri" w:hAnsi="Times New Roman" w:cs="Times New Roman"/>
          <w:sz w:val="24"/>
          <w:szCs w:val="24"/>
        </w:rPr>
        <w:t>̧</w:t>
      </w:r>
      <w:r w:rsidRPr="005C5CBD">
        <w:rPr>
          <w:rFonts w:ascii="Garamond" w:eastAsia="Calibri" w:hAnsi="Garamond" w:cs="Calibri"/>
          <w:sz w:val="24"/>
          <w:szCs w:val="24"/>
        </w:rPr>
        <w:t xml:space="preserve">ão, e apresentar planilha reconciliando tais despesas com os respectivos demonstrativos financeiros. </w:t>
      </w:r>
    </w:p>
    <w:p w14:paraId="5A238D4D" w14:textId="50C4E560" w:rsidR="00395593" w:rsidRPr="005C5CBD" w:rsidRDefault="00395593" w:rsidP="00B33904">
      <w:pPr>
        <w:spacing w:before="100" w:beforeAutospacing="1" w:after="100" w:afterAutospacing="1"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 xml:space="preserve">Art. 221.  </w:t>
      </w:r>
      <w:r w:rsidRPr="005C5CBD">
        <w:rPr>
          <w:rFonts w:ascii="Garamond" w:eastAsia="Calibri" w:hAnsi="Garamond" w:cs="Calibri"/>
          <w:sz w:val="24"/>
          <w:szCs w:val="24"/>
        </w:rPr>
        <w:t xml:space="preserve">Caso a empresa tenha respondido ao </w:t>
      </w:r>
      <w:r w:rsidRPr="005C5CBD">
        <w:rPr>
          <w:rFonts w:ascii="Garamond" w:eastAsia="Times New Roman" w:hAnsi="Garamond" w:cs="Calibri"/>
          <w:sz w:val="24"/>
          <w:szCs w:val="24"/>
          <w:lang w:eastAsia="pt-BR"/>
        </w:rPr>
        <w:t xml:space="preserve">art. </w:t>
      </w:r>
      <w:r w:rsidR="00701DA1">
        <w:rPr>
          <w:rFonts w:ascii="Garamond" w:eastAsia="Times New Roman" w:hAnsi="Garamond" w:cs="Calibri"/>
          <w:sz w:val="24"/>
          <w:szCs w:val="24"/>
          <w:lang w:eastAsia="pt-BR"/>
        </w:rPr>
        <w:t>194</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w:t>
      </w:r>
      <w:r w:rsidRPr="005C5CBD">
        <w:rPr>
          <w:rFonts w:ascii="Garamond" w:eastAsia="Calibri" w:hAnsi="Garamond" w:cs="Calibri"/>
          <w:sz w:val="24"/>
          <w:szCs w:val="24"/>
        </w:rPr>
        <w:t xml:space="preserve">a petição deverá indicar de que forma a venda de subprodutos ou refugos impactou no custo. </w:t>
      </w:r>
    </w:p>
    <w:p w14:paraId="20F0B371" w14:textId="77777777" w:rsidR="00395593" w:rsidRPr="005C5CBD" w:rsidRDefault="00395593" w:rsidP="00B33904">
      <w:pPr>
        <w:spacing w:before="100" w:beforeAutospacing="1" w:after="100" w:afterAutospacing="1"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 xml:space="preserve">Art. 222.  </w:t>
      </w:r>
      <w:r w:rsidRPr="005C5CBD">
        <w:rPr>
          <w:rFonts w:ascii="Garamond" w:eastAsia="Calibri" w:hAnsi="Garamond" w:cs="Calibri"/>
          <w:sz w:val="24"/>
          <w:szCs w:val="24"/>
        </w:rPr>
        <w:t xml:space="preserve">O peticionário deverá observar que os valores informados nos Apêndices XVIII e XIX devem ser conciliados com a contabilidade de custo e financeira da empresa. </w:t>
      </w:r>
    </w:p>
    <w:p w14:paraId="7CC6272A" w14:textId="77777777" w:rsidR="00395593" w:rsidRPr="0020569B" w:rsidRDefault="00395593" w:rsidP="0020216F">
      <w:pPr>
        <w:pStyle w:val="Corpodetexto"/>
        <w:jc w:val="center"/>
        <w:rPr>
          <w:rFonts w:ascii="Garamond" w:eastAsia="MS Gothic" w:hAnsi="Garamond"/>
          <w:b/>
          <w:color w:val="4F81BD"/>
          <w:lang w:eastAsia="pt-BR"/>
        </w:rPr>
      </w:pPr>
      <w:r w:rsidRPr="0020569B">
        <w:rPr>
          <w:rFonts w:ascii="Garamond" w:eastAsia="MS Gothic" w:hAnsi="Garamond"/>
          <w:b/>
          <w:lang w:eastAsia="pt-BR"/>
        </w:rPr>
        <w:t>Subseção X</w:t>
      </w:r>
    </w:p>
    <w:p w14:paraId="58D968E6" w14:textId="77777777" w:rsidR="00395593" w:rsidRPr="0020569B" w:rsidRDefault="00395593" w:rsidP="0020216F">
      <w:pPr>
        <w:pStyle w:val="Corpodetexto"/>
        <w:jc w:val="center"/>
        <w:rPr>
          <w:rFonts w:ascii="Garamond" w:eastAsia="MS Gothic" w:hAnsi="Garamond"/>
          <w:b/>
          <w:color w:val="4F81BD"/>
          <w:lang w:eastAsia="pt-BR"/>
        </w:rPr>
      </w:pPr>
      <w:r w:rsidRPr="0020569B">
        <w:rPr>
          <w:rFonts w:ascii="Garamond" w:eastAsia="MS Gothic" w:hAnsi="Garamond"/>
          <w:b/>
          <w:lang w:eastAsia="pt-BR"/>
        </w:rPr>
        <w:t>Da caracterização do dano à indústria doméstica</w:t>
      </w:r>
    </w:p>
    <w:p w14:paraId="279A1619" w14:textId="77777777" w:rsidR="00395593" w:rsidRPr="005C5CBD" w:rsidRDefault="00395593" w:rsidP="00E15FBB">
      <w:pPr>
        <w:spacing w:after="0" w:line="240" w:lineRule="auto"/>
        <w:jc w:val="both"/>
        <w:rPr>
          <w:rFonts w:ascii="Garamond" w:eastAsia="Calibri" w:hAnsi="Garamond" w:cs="Calibri"/>
          <w:b/>
          <w:sz w:val="24"/>
          <w:szCs w:val="24"/>
        </w:rPr>
      </w:pPr>
    </w:p>
    <w:p w14:paraId="5D4E8F0D"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223.</w:t>
      </w:r>
      <w:r w:rsidRPr="005C5CBD">
        <w:rPr>
          <w:rFonts w:ascii="Garamond" w:eastAsia="Calibri" w:hAnsi="Garamond" w:cs="Calibri"/>
          <w:sz w:val="24"/>
          <w:szCs w:val="24"/>
        </w:rPr>
        <w:t xml:space="preserve">  A petição deverá explicar detalhadamente, com base nos indicadores de desempenho constantes das Subseções I a IX desta Seção, de que maneira o dano à indústria doméstica se materializou.</w:t>
      </w:r>
    </w:p>
    <w:p w14:paraId="29D2DAFD"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1927D9A7"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Caso a indústria doméstica apresente outros fatores ou índices econômicos relevantes para caracterizar o dano, a petição deverá apresentar fundamentação e indicar as fontes das informações.</w:t>
      </w:r>
    </w:p>
    <w:p w14:paraId="28D5A8EC"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27BE23A1"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224.</w:t>
      </w:r>
      <w:r w:rsidRPr="005C5CBD">
        <w:rPr>
          <w:rFonts w:ascii="Garamond" w:eastAsia="Calibri" w:hAnsi="Garamond" w:cs="Calibri"/>
          <w:sz w:val="24"/>
          <w:szCs w:val="24"/>
        </w:rPr>
        <w:t xml:space="preserve">  Quanto aos possíveis efeitos das importações do produto objeto da investigação sobre os preços da indústria doméstica, informar se:</w:t>
      </w:r>
    </w:p>
    <w:p w14:paraId="44698C50"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2038B514"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o preço do produto objeto da investigação esteve subcotado em relação ao preço do produto similar da indústria doméstica; e</w:t>
      </w:r>
    </w:p>
    <w:p w14:paraId="3A8775D7" w14:textId="77777777" w:rsidR="00395593" w:rsidRPr="005C5CBD" w:rsidRDefault="00395593" w:rsidP="00B33904">
      <w:pPr>
        <w:spacing w:after="0" w:line="240" w:lineRule="auto"/>
        <w:ind w:left="567" w:firstLine="567"/>
        <w:jc w:val="both"/>
        <w:rPr>
          <w:rFonts w:ascii="Garamond" w:eastAsia="Calibri" w:hAnsi="Garamond" w:cs="Calibri"/>
          <w:sz w:val="24"/>
          <w:szCs w:val="24"/>
        </w:rPr>
      </w:pPr>
    </w:p>
    <w:p w14:paraId="79C08E12"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em decorrência do preço do produto objeto da investigação, houve depressão ou supressão do preço do produto similar da indústria doméstica.</w:t>
      </w:r>
    </w:p>
    <w:p w14:paraId="6B1747FD" w14:textId="77777777" w:rsidR="00395593" w:rsidRPr="005C5CBD" w:rsidRDefault="00395593" w:rsidP="00B33904">
      <w:pPr>
        <w:spacing w:after="0" w:line="240" w:lineRule="auto"/>
        <w:ind w:left="567" w:firstLine="567"/>
        <w:jc w:val="both"/>
        <w:rPr>
          <w:rFonts w:ascii="Garamond" w:eastAsia="Calibri" w:hAnsi="Garamond" w:cs="Calibri"/>
          <w:sz w:val="24"/>
          <w:szCs w:val="24"/>
        </w:rPr>
      </w:pPr>
    </w:p>
    <w:p w14:paraId="7731B40F"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Parágrafo único. A petição deverá estimar o montante de subcotação e indicar a metodologia para cálculo do preço internado do produto objeto da investigação, singularizando o valor ou o percentual equivalente às despesas para sua internação. </w:t>
      </w:r>
    </w:p>
    <w:p w14:paraId="48D5AD18"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485E3F1F" w14:textId="77777777" w:rsidR="00395593" w:rsidRPr="005C5CBD" w:rsidRDefault="00395593" w:rsidP="00B33904">
      <w:pPr>
        <w:widowControl w:val="0"/>
        <w:autoSpaceDE w:val="0"/>
        <w:autoSpaceDN w:val="0"/>
        <w:adjustRightInd w:val="0"/>
        <w:spacing w:after="0" w:line="306"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225.  O peticionário deverá informar se, em função da concorrência com o produto objeto da investigação, as empresas que compõem a indústria doméstica perderam vendas no mercado interno, indicando</w:t>
      </w:r>
      <w:r w:rsidRPr="005C5CBD" w:rsidDel="00983877">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os</w:t>
      </w:r>
      <w:r w:rsidRPr="005C5CBD" w:rsidDel="00983877">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clientes e as condições de tais vendas (preço, condições de pagamento etc.).</w:t>
      </w:r>
    </w:p>
    <w:p w14:paraId="62A85416" w14:textId="77777777" w:rsidR="00395593" w:rsidRPr="005C5CBD" w:rsidRDefault="00395593" w:rsidP="00B33904">
      <w:pPr>
        <w:widowControl w:val="0"/>
        <w:autoSpaceDE w:val="0"/>
        <w:autoSpaceDN w:val="0"/>
        <w:adjustRightInd w:val="0"/>
        <w:spacing w:after="0" w:line="306" w:lineRule="exact"/>
        <w:ind w:firstLine="567"/>
        <w:jc w:val="both"/>
        <w:rPr>
          <w:rFonts w:ascii="Garamond" w:eastAsia="Times New Roman" w:hAnsi="Garamond" w:cs="Calibri"/>
          <w:sz w:val="24"/>
          <w:szCs w:val="24"/>
          <w:lang w:eastAsia="pt-BR"/>
        </w:rPr>
      </w:pPr>
    </w:p>
    <w:p w14:paraId="6EAEC94C" w14:textId="77777777" w:rsidR="00395593" w:rsidRPr="005C5CBD" w:rsidRDefault="00395593" w:rsidP="00B33904">
      <w:pPr>
        <w:widowControl w:val="0"/>
        <w:autoSpaceDE w:val="0"/>
        <w:autoSpaceDN w:val="0"/>
        <w:adjustRightInd w:val="0"/>
        <w:spacing w:after="0" w:line="306"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Poderão ser apresentados documentos que comprovem a ocorrência de perda de vendas ou clientes específicos em função da concorrência com o produto objeto da investigação. </w:t>
      </w:r>
    </w:p>
    <w:p w14:paraId="426D6BBC" w14:textId="77777777" w:rsidR="00395593" w:rsidRPr="005C5CBD" w:rsidRDefault="00395593" w:rsidP="00B33904">
      <w:pPr>
        <w:widowControl w:val="0"/>
        <w:autoSpaceDE w:val="0"/>
        <w:autoSpaceDN w:val="0"/>
        <w:adjustRightInd w:val="0"/>
        <w:spacing w:after="0" w:line="306" w:lineRule="exact"/>
        <w:ind w:firstLine="567"/>
        <w:jc w:val="both"/>
        <w:rPr>
          <w:rFonts w:ascii="Garamond" w:eastAsia="Times New Roman" w:hAnsi="Garamond" w:cs="Calibri"/>
          <w:sz w:val="24"/>
          <w:szCs w:val="24"/>
          <w:lang w:eastAsia="pt-BR"/>
        </w:rPr>
      </w:pPr>
    </w:p>
    <w:p w14:paraId="7ACAE056" w14:textId="77777777" w:rsidR="00395593" w:rsidRPr="005C5CBD" w:rsidRDefault="00395593" w:rsidP="00B33904">
      <w:pPr>
        <w:widowControl w:val="0"/>
        <w:autoSpaceDE w:val="0"/>
        <w:autoSpaceDN w:val="0"/>
        <w:adjustRightInd w:val="0"/>
        <w:spacing w:after="0" w:line="306"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Caso o cliente tenha optado por adquirir o produto objeto da investigação em função de condições de financiamento mais favoráveis decorrentes de programas de subsídios conhecidos, apresentar indícios que corroborem a situação. </w:t>
      </w:r>
    </w:p>
    <w:p w14:paraId="540D49AA" w14:textId="77777777" w:rsidR="00395593" w:rsidRPr="005C5CBD" w:rsidRDefault="00395593" w:rsidP="00E15FBB">
      <w:pPr>
        <w:spacing w:after="0" w:line="240" w:lineRule="auto"/>
        <w:jc w:val="both"/>
        <w:rPr>
          <w:rFonts w:ascii="Garamond" w:eastAsia="Calibri" w:hAnsi="Garamond" w:cs="Calibri"/>
          <w:sz w:val="24"/>
          <w:szCs w:val="24"/>
        </w:rPr>
      </w:pPr>
    </w:p>
    <w:p w14:paraId="1CCFD381" w14:textId="77777777" w:rsidR="00395593" w:rsidRPr="0020569B" w:rsidRDefault="00395593" w:rsidP="0020216F">
      <w:pPr>
        <w:pStyle w:val="Corpodetexto"/>
        <w:jc w:val="center"/>
        <w:rPr>
          <w:rFonts w:ascii="Garamond" w:hAnsi="Garamond"/>
          <w:b/>
          <w:lang w:eastAsia="pt-BR"/>
        </w:rPr>
      </w:pPr>
      <w:r w:rsidRPr="0020569B">
        <w:rPr>
          <w:rFonts w:ascii="Garamond" w:hAnsi="Garamond"/>
          <w:b/>
          <w:lang w:eastAsia="pt-BR"/>
        </w:rPr>
        <w:t>Seção XIII</w:t>
      </w:r>
    </w:p>
    <w:p w14:paraId="6BF1C00C" w14:textId="77777777" w:rsidR="00395593" w:rsidRPr="005C5CBD" w:rsidRDefault="00395593" w:rsidP="0020216F">
      <w:pPr>
        <w:pStyle w:val="Corpodetexto"/>
        <w:jc w:val="center"/>
        <w:rPr>
          <w:lang w:eastAsia="pt-BR"/>
        </w:rPr>
      </w:pPr>
      <w:r w:rsidRPr="0020569B">
        <w:rPr>
          <w:rFonts w:ascii="Garamond" w:hAnsi="Garamond"/>
          <w:b/>
          <w:lang w:eastAsia="pt-BR"/>
        </w:rPr>
        <w:t>Indicadores de desempenho para indústria fragmentad</w:t>
      </w:r>
      <w:r w:rsidRPr="005C5CBD">
        <w:rPr>
          <w:lang w:eastAsia="pt-BR"/>
        </w:rPr>
        <w:t>a</w:t>
      </w:r>
    </w:p>
    <w:p w14:paraId="34617170"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Art. 226.  Caso o peticionário seja habilitado como indústria fragmentada, conforme o previsto no § 2º do art. 1º do Decreto nº 9.107, de 2017, e o estabelecido em ato específico da Secretaria de Comércio Exterior, a apresentação dos indicadores de desempenho previstos na Seção XII deste Capítulo poderá ser adaptada para refletir a disponibilidade de dados. </w:t>
      </w:r>
    </w:p>
    <w:p w14:paraId="1949B0E1"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A petição de investigação original apresentada por peticionário habilitado como indústria fragmentada poderá ser instruída exclusivamente com base em dados provenientes de fontes secundárias, como publicações, censos, periódicos, estudos, relatórios e dados amostrais disponíveis ou encomendados especificamente para instrução da petição, observadas as disposições dos arts. 5º e 6º. </w:t>
      </w:r>
    </w:p>
    <w:p w14:paraId="3B135D63"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Na elaboração da petição deverão ser utilizados, preferencialmente, dados provenientes de fontes oficiais de informações e dados estatísticos, como o Instituto Brasileiro de Geografia e Estatística (IBGE).  </w:t>
      </w:r>
    </w:p>
    <w:p w14:paraId="70F27AE6"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3</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Será exigida a descrição detalhada das metodologias empregadas para obtenção e tratamento dos dados e o passo a passo para apresentação dos indicadores de desempenho nos formatos das planilhas referidas na Seção XII deste Capítulo, bem como indicação de quaisquer ajustes e adaptações necessários aos formatos dessas planilhas.</w:t>
      </w:r>
    </w:p>
    <w:p w14:paraId="2161C4E4"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4</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Caso algum dos indicadores de desempenho previstos na Seção XII deste Capítulo não esteja  disponível, se possível, o peticionário deverá indicar indicador substituto (</w:t>
      </w:r>
      <w:r w:rsidRPr="005C5CBD">
        <w:rPr>
          <w:rFonts w:ascii="Garamond" w:eastAsia="Times New Roman" w:hAnsi="Garamond" w:cs="Calibri"/>
          <w:b/>
          <w:sz w:val="24"/>
          <w:szCs w:val="24"/>
          <w:lang w:eastAsia="pt-BR"/>
        </w:rPr>
        <w:t>proxy</w:t>
      </w:r>
      <w:r w:rsidRPr="005C5CBD">
        <w:rPr>
          <w:rFonts w:ascii="Garamond" w:eastAsia="Times New Roman" w:hAnsi="Garamond" w:cs="Calibri"/>
          <w:sz w:val="24"/>
          <w:szCs w:val="24"/>
          <w:lang w:eastAsia="pt-BR"/>
        </w:rPr>
        <w:t>).</w:t>
      </w:r>
    </w:p>
    <w:p w14:paraId="3ECB11B4"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5</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Caso não seja possível apresentar indicador substituto (</w:t>
      </w:r>
      <w:r w:rsidRPr="005C5CBD">
        <w:rPr>
          <w:rFonts w:ascii="Garamond" w:eastAsia="Times New Roman" w:hAnsi="Garamond" w:cs="Calibri"/>
          <w:b/>
          <w:sz w:val="24"/>
          <w:szCs w:val="24"/>
          <w:lang w:eastAsia="pt-BR"/>
        </w:rPr>
        <w:t>proxy</w:t>
      </w:r>
      <w:r w:rsidRPr="005C5CBD">
        <w:rPr>
          <w:rFonts w:ascii="Garamond" w:eastAsia="Times New Roman" w:hAnsi="Garamond" w:cs="Calibri"/>
          <w:sz w:val="24"/>
          <w:szCs w:val="24"/>
          <w:lang w:eastAsia="pt-BR"/>
        </w:rPr>
        <w:t>) nos termos do § 4</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será exigida motivação detalhada para cada um dos indicadores previstos na Seção XII deste Capítulo não apresentados na petição.</w:t>
      </w:r>
    </w:p>
    <w:p w14:paraId="0F730D0C"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6</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Não será aceita petição de investigação original apresentada por indústria fragmentada que não contenha ao menos os seguintes indicadores:</w:t>
      </w:r>
    </w:p>
    <w:p w14:paraId="4BC832FE"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 volume de vendas no mercado interno brasileiro;</w:t>
      </w:r>
    </w:p>
    <w:p w14:paraId="5A590580"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b) participação no mercado brasileiro;</w:t>
      </w:r>
    </w:p>
    <w:p w14:paraId="2434E76D"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c) produção do produto;</w:t>
      </w:r>
    </w:p>
    <w:p w14:paraId="1C9F17F7"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d) capacidade instalada ou produção máxima registrada;</w:t>
      </w:r>
    </w:p>
    <w:p w14:paraId="1E6730A1"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e) faturamento com vendas do produto no mercado interno;</w:t>
      </w:r>
    </w:p>
    <w:p w14:paraId="77C1586B"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f) custo de produção;</w:t>
      </w:r>
    </w:p>
    <w:p w14:paraId="4F69E919"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g) relação custo/preço; e</w:t>
      </w:r>
    </w:p>
    <w:p w14:paraId="2D203109"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h) emprego.</w:t>
      </w:r>
    </w:p>
    <w:p w14:paraId="4705EEA6"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7</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A petição poderá ser complementada com indicadores obtidos a partir de amostras dos produtores nacionais (por exemplo, demonstrações de resultados, massa salarial etc.).</w:t>
      </w:r>
    </w:p>
    <w:p w14:paraId="49A141FA"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8</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Serão aceitos ajustes para adequar ao período de investigação de dano os dados agregados disponíveis em periodicidade diferente à do referido período no caso de petição apresentada por indústria fragmentada. </w:t>
      </w:r>
    </w:p>
    <w:p w14:paraId="4A6CEE55" w14:textId="77777777" w:rsidR="00395593" w:rsidRPr="005C5CBD" w:rsidRDefault="00395593" w:rsidP="00B33904">
      <w:pPr>
        <w:tabs>
          <w:tab w:val="left" w:pos="284"/>
        </w:tabs>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Art. 227.  Conforme previsto no </w:t>
      </w:r>
      <w:r w:rsidRPr="005C5CBD">
        <w:rPr>
          <w:rFonts w:ascii="Garamond" w:eastAsia="Times New Roman" w:hAnsi="Garamond" w:cs="Calibri"/>
          <w:color w:val="000000"/>
          <w:sz w:val="24"/>
          <w:szCs w:val="24"/>
          <w:lang w:eastAsia="pt-BR"/>
        </w:rPr>
        <w:t>§ 6º do art. 26 do Decreto nº 10.839, de 2021, não sendo possível a identificação individualizada da produção do produto similar doméstico, os efeitos das importações subsidiadas serão determinados com base na produção do grupo ou gama de produtos que, definido da forma mais restrita possível, inclua o produto similar doméstico e para o qual os dados necessários possam ser apresentados.</w:t>
      </w:r>
    </w:p>
    <w:p w14:paraId="50001CE7"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228.</w:t>
      </w:r>
      <w:r w:rsidRPr="005C5CBD" w:rsidDel="00280AF3">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 xml:space="preserve">Caso a Subsecretaria de Defesa Comercial e Interesse Público julgue necessário, poderão ser adotados procedimentos de verificação em empresa, associações, institutos de pesquisa e quaisquer entidades que apresentem dados para instrução de petições de investigação de subsídios protocoladas por indústria fragmentada. </w:t>
      </w:r>
    </w:p>
    <w:p w14:paraId="2F61A495" w14:textId="77777777" w:rsidR="00395593" w:rsidRPr="005C5CBD" w:rsidRDefault="00395593" w:rsidP="00E15FBB">
      <w:pPr>
        <w:spacing w:after="0" w:line="240" w:lineRule="auto"/>
        <w:jc w:val="both"/>
        <w:rPr>
          <w:rFonts w:ascii="Garamond" w:eastAsia="Calibri" w:hAnsi="Garamond" w:cs="Calibri"/>
          <w:sz w:val="24"/>
          <w:szCs w:val="24"/>
        </w:rPr>
      </w:pPr>
    </w:p>
    <w:p w14:paraId="4FF3B9BA" w14:textId="77777777" w:rsidR="00395593" w:rsidRPr="0020569B" w:rsidRDefault="00395593" w:rsidP="0020216F">
      <w:pPr>
        <w:pStyle w:val="Corpodetexto"/>
        <w:jc w:val="center"/>
        <w:rPr>
          <w:rFonts w:ascii="Garamond" w:hAnsi="Garamond"/>
          <w:b/>
          <w:lang w:eastAsia="pt-BR"/>
        </w:rPr>
      </w:pPr>
      <w:r w:rsidRPr="0020569B">
        <w:rPr>
          <w:rFonts w:ascii="Garamond" w:hAnsi="Garamond"/>
          <w:b/>
          <w:lang w:eastAsia="pt-BR"/>
        </w:rPr>
        <w:t>Seção XIV</w:t>
      </w:r>
    </w:p>
    <w:p w14:paraId="5428E6FE" w14:textId="23BA13D8" w:rsidR="00395593" w:rsidRPr="005C5CBD" w:rsidRDefault="00395593" w:rsidP="0020216F">
      <w:pPr>
        <w:pStyle w:val="Corpodetexto"/>
        <w:jc w:val="center"/>
        <w:rPr>
          <w:lang w:eastAsia="pt-BR"/>
        </w:rPr>
      </w:pPr>
      <w:r w:rsidRPr="0020569B">
        <w:rPr>
          <w:rFonts w:ascii="Garamond" w:hAnsi="Garamond"/>
          <w:b/>
          <w:lang w:eastAsia="pt-BR"/>
        </w:rPr>
        <w:t>Dos possíveis outros fatores causadores de dano e da não atribuição</w:t>
      </w:r>
    </w:p>
    <w:p w14:paraId="4032709F" w14:textId="77777777" w:rsidR="00395593" w:rsidRPr="005C5CBD" w:rsidRDefault="00395593" w:rsidP="00E15FBB">
      <w:pPr>
        <w:spacing w:after="0" w:line="240" w:lineRule="auto"/>
        <w:ind w:left="708" w:firstLine="708"/>
        <w:jc w:val="both"/>
        <w:rPr>
          <w:rFonts w:ascii="Garamond" w:eastAsia="Calibri" w:hAnsi="Garamond" w:cs="Calibri"/>
          <w:sz w:val="24"/>
          <w:szCs w:val="24"/>
        </w:rPr>
      </w:pPr>
    </w:p>
    <w:p w14:paraId="6A174F23"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229.</w:t>
      </w:r>
      <w:r w:rsidRPr="005C5CBD">
        <w:rPr>
          <w:rFonts w:ascii="Garamond" w:eastAsia="Calibri" w:hAnsi="Garamond" w:cs="Calibri"/>
          <w:sz w:val="24"/>
          <w:szCs w:val="24"/>
        </w:rPr>
        <w:t xml:space="preserve">  A petição deverá indicar a existência de quaisquer outros fatores que possam estar simultaneamente causando</w:t>
      </w:r>
      <w:r w:rsidRPr="005C5CBD" w:rsidDel="002413F1">
        <w:rPr>
          <w:rFonts w:ascii="Garamond" w:eastAsia="Calibri" w:hAnsi="Garamond" w:cs="Calibri"/>
          <w:sz w:val="24"/>
          <w:szCs w:val="24"/>
        </w:rPr>
        <w:t xml:space="preserve"> </w:t>
      </w:r>
      <w:r w:rsidRPr="005C5CBD">
        <w:rPr>
          <w:rFonts w:ascii="Garamond" w:eastAsia="Calibri" w:hAnsi="Garamond" w:cs="Calibri"/>
          <w:sz w:val="24"/>
          <w:szCs w:val="24"/>
        </w:rPr>
        <w:t xml:space="preserve">dano à indústria doméstica, tais como: </w:t>
      </w:r>
    </w:p>
    <w:p w14:paraId="1B43E794"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1717E7E5" w14:textId="77777777" w:rsidR="00395593" w:rsidRPr="005C5CBD" w:rsidRDefault="00395593" w:rsidP="00B33904">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 - volume e preço de importações de produto não subsidiado; </w:t>
      </w:r>
    </w:p>
    <w:p w14:paraId="0B27E87A" w14:textId="77777777" w:rsidR="00395593" w:rsidRPr="005C5CBD" w:rsidRDefault="00395593" w:rsidP="00B33904">
      <w:pPr>
        <w:spacing w:after="0" w:line="276" w:lineRule="auto"/>
        <w:ind w:firstLine="567"/>
        <w:jc w:val="both"/>
        <w:rPr>
          <w:rFonts w:ascii="Garamond" w:eastAsia="Calibri" w:hAnsi="Garamond" w:cs="Calibri"/>
          <w:sz w:val="24"/>
          <w:szCs w:val="24"/>
        </w:rPr>
      </w:pPr>
    </w:p>
    <w:p w14:paraId="150E5136" w14:textId="77777777" w:rsidR="00395593" w:rsidRPr="005C5CBD" w:rsidRDefault="00395593" w:rsidP="00B33904">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 - impacto de eventuais processos de liberalização das importações sobre os preços domésticos; </w:t>
      </w:r>
    </w:p>
    <w:p w14:paraId="614E43A1" w14:textId="77777777" w:rsidR="00395593" w:rsidRPr="005C5CBD" w:rsidRDefault="00395593" w:rsidP="00B33904">
      <w:pPr>
        <w:spacing w:after="0" w:line="276" w:lineRule="auto"/>
        <w:ind w:firstLine="567"/>
        <w:jc w:val="both"/>
        <w:rPr>
          <w:rFonts w:ascii="Garamond" w:eastAsia="Calibri" w:hAnsi="Garamond" w:cs="Calibri"/>
          <w:sz w:val="24"/>
          <w:szCs w:val="24"/>
        </w:rPr>
      </w:pPr>
    </w:p>
    <w:p w14:paraId="12856E7A" w14:textId="77777777" w:rsidR="00395593" w:rsidRPr="005C5CBD" w:rsidRDefault="00395593" w:rsidP="00B33904">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III - contração na demanda ou mudanças nos padrões de consumo; </w:t>
      </w:r>
    </w:p>
    <w:p w14:paraId="23EC02E2" w14:textId="77777777" w:rsidR="00395593" w:rsidRPr="005C5CBD" w:rsidRDefault="00395593" w:rsidP="00B33904">
      <w:pPr>
        <w:spacing w:after="0" w:line="276" w:lineRule="auto"/>
        <w:ind w:firstLine="567"/>
        <w:jc w:val="both"/>
        <w:rPr>
          <w:rFonts w:ascii="Garamond" w:eastAsia="Calibri" w:hAnsi="Garamond" w:cs="Calibri"/>
          <w:sz w:val="24"/>
          <w:szCs w:val="24"/>
        </w:rPr>
      </w:pPr>
    </w:p>
    <w:p w14:paraId="3037534C" w14:textId="77777777" w:rsidR="00395593" w:rsidRPr="005C5CBD" w:rsidRDefault="00395593" w:rsidP="00B33904">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IV - práticas restritivas ao comércio de produtores domésticos e estrangeiros e a concorrência entre eles;</w:t>
      </w:r>
    </w:p>
    <w:p w14:paraId="5583511E" w14:textId="77777777" w:rsidR="00395593" w:rsidRPr="005C5CBD" w:rsidRDefault="00395593" w:rsidP="00B33904">
      <w:pPr>
        <w:spacing w:after="0" w:line="276" w:lineRule="auto"/>
        <w:ind w:firstLine="567"/>
        <w:jc w:val="both"/>
        <w:rPr>
          <w:rFonts w:ascii="Garamond" w:eastAsia="Calibri" w:hAnsi="Garamond" w:cs="Calibri"/>
          <w:sz w:val="24"/>
          <w:szCs w:val="24"/>
        </w:rPr>
      </w:pPr>
    </w:p>
    <w:p w14:paraId="29CBC2D1" w14:textId="77777777" w:rsidR="00395593" w:rsidRPr="005C5CBD" w:rsidRDefault="00395593" w:rsidP="00B33904">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V - progresso tecnológico; </w:t>
      </w:r>
    </w:p>
    <w:p w14:paraId="08FD9A61" w14:textId="77777777" w:rsidR="00395593" w:rsidRPr="005C5CBD" w:rsidRDefault="00395593" w:rsidP="00B33904">
      <w:pPr>
        <w:spacing w:after="0" w:line="276" w:lineRule="auto"/>
        <w:ind w:firstLine="567"/>
        <w:jc w:val="both"/>
        <w:rPr>
          <w:rFonts w:ascii="Garamond" w:eastAsia="Calibri" w:hAnsi="Garamond" w:cs="Calibri"/>
          <w:sz w:val="24"/>
          <w:szCs w:val="24"/>
        </w:rPr>
      </w:pPr>
    </w:p>
    <w:p w14:paraId="04183589" w14:textId="77777777" w:rsidR="00395593" w:rsidRPr="005C5CBD" w:rsidRDefault="00395593" w:rsidP="00B33904">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VI - desempenho exportador; </w:t>
      </w:r>
    </w:p>
    <w:p w14:paraId="2FCA8863" w14:textId="77777777" w:rsidR="00395593" w:rsidRPr="005C5CBD" w:rsidRDefault="00395593" w:rsidP="00B33904">
      <w:pPr>
        <w:spacing w:after="0" w:line="276" w:lineRule="auto"/>
        <w:ind w:firstLine="567"/>
        <w:jc w:val="both"/>
        <w:rPr>
          <w:rFonts w:ascii="Garamond" w:eastAsia="Calibri" w:hAnsi="Garamond" w:cs="Calibri"/>
          <w:sz w:val="24"/>
          <w:szCs w:val="24"/>
        </w:rPr>
      </w:pPr>
    </w:p>
    <w:p w14:paraId="07DEF99D" w14:textId="77777777" w:rsidR="00395593" w:rsidRPr="005C5CBD" w:rsidRDefault="00395593" w:rsidP="00B33904">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VII - produtividade da indústria doméstica; e</w:t>
      </w:r>
    </w:p>
    <w:p w14:paraId="101A9FA1" w14:textId="77777777" w:rsidR="00395593" w:rsidRPr="005C5CBD" w:rsidRDefault="00395593" w:rsidP="00B33904">
      <w:pPr>
        <w:spacing w:after="0" w:line="276" w:lineRule="auto"/>
        <w:ind w:firstLine="567"/>
        <w:jc w:val="both"/>
        <w:rPr>
          <w:rFonts w:ascii="Garamond" w:eastAsia="Calibri" w:hAnsi="Garamond" w:cs="Calibri"/>
          <w:sz w:val="24"/>
          <w:szCs w:val="24"/>
        </w:rPr>
      </w:pPr>
    </w:p>
    <w:p w14:paraId="686AA1AD" w14:textId="77777777" w:rsidR="00395593" w:rsidRPr="005C5CBD" w:rsidRDefault="00395593" w:rsidP="00B33904">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VIII - consumo cativo. </w:t>
      </w:r>
    </w:p>
    <w:p w14:paraId="5DC960E8" w14:textId="77777777" w:rsidR="00395593" w:rsidRPr="005C5CBD" w:rsidRDefault="00395593" w:rsidP="00B33904">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Parágrafo único.  O peticionário deverá explicar pormenorizadamente por que o efeito desses outros fatores não afasta o nexo de causalidade entre as importações subsidiadas e o dano à indústria doméstica verificado no período de investigação de dano. </w:t>
      </w:r>
    </w:p>
    <w:p w14:paraId="1197962D"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230.</w:t>
      </w:r>
      <w:r w:rsidRPr="005C5CBD" w:rsidDel="00462A3B">
        <w:rPr>
          <w:rFonts w:ascii="Garamond" w:eastAsia="Calibri" w:hAnsi="Garamond" w:cs="Calibri"/>
          <w:sz w:val="24"/>
          <w:szCs w:val="24"/>
        </w:rPr>
        <w:t xml:space="preserve">  </w:t>
      </w:r>
      <w:r w:rsidRPr="005C5CBD">
        <w:rPr>
          <w:rFonts w:ascii="Garamond" w:eastAsia="Calibri" w:hAnsi="Garamond" w:cs="Calibri"/>
          <w:sz w:val="24"/>
          <w:szCs w:val="24"/>
        </w:rPr>
        <w:t>Caso a indústria doméstica tenha realizado importações e tenha desembaraçado o produto objeto de investigação durante o período de investigação, o peticionário deverá indicar as razões que levaram à realização dessas importações e preencher os Apêndices XXI, XXII e XXIII.</w:t>
      </w:r>
    </w:p>
    <w:p w14:paraId="7F68F36B" w14:textId="77777777" w:rsidR="00395593" w:rsidRPr="005C5CBD" w:rsidRDefault="00395593" w:rsidP="00E15FBB">
      <w:pPr>
        <w:spacing w:after="0" w:line="240" w:lineRule="auto"/>
        <w:jc w:val="both"/>
        <w:rPr>
          <w:rFonts w:ascii="Garamond" w:eastAsia="Calibri" w:hAnsi="Garamond" w:cs="Calibri"/>
          <w:sz w:val="24"/>
          <w:szCs w:val="24"/>
        </w:rPr>
      </w:pPr>
    </w:p>
    <w:p w14:paraId="784F3D1D"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1</w:t>
      </w:r>
      <w:r w:rsidRPr="005C5CBD">
        <w:rPr>
          <w:rFonts w:ascii="Garamond" w:eastAsia="Calibri" w:hAnsi="Garamond" w:cs="Calibri"/>
          <w:strike/>
          <w:sz w:val="24"/>
          <w:szCs w:val="24"/>
        </w:rPr>
        <w:t>º</w:t>
      </w:r>
      <w:r w:rsidRPr="005C5CBD">
        <w:rPr>
          <w:rFonts w:ascii="Garamond" w:eastAsia="Calibri" w:hAnsi="Garamond" w:cs="Calibri"/>
          <w:sz w:val="24"/>
          <w:szCs w:val="24"/>
        </w:rPr>
        <w:t xml:space="preserve">  Deverá ser esclarecido se as operações de importação da indústria doméstica foram realizadas de forma a prevenir ou a remediar os efeitos danosos da concorrência com o produto objeto da investigação. </w:t>
      </w:r>
    </w:p>
    <w:p w14:paraId="12E87B72"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7BD48C44"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2</w:t>
      </w:r>
      <w:r w:rsidRPr="005C5CBD">
        <w:rPr>
          <w:rFonts w:ascii="Garamond" w:eastAsia="Calibri" w:hAnsi="Garamond" w:cs="Calibri"/>
          <w:strike/>
          <w:sz w:val="24"/>
          <w:szCs w:val="24"/>
        </w:rPr>
        <w:t>º</w:t>
      </w:r>
      <w:r w:rsidRPr="005C5CBD">
        <w:rPr>
          <w:rFonts w:ascii="Garamond" w:eastAsia="Calibri" w:hAnsi="Garamond" w:cs="Calibri"/>
          <w:sz w:val="24"/>
          <w:szCs w:val="24"/>
        </w:rPr>
        <w:t xml:space="preserve">  Deverá ser indicado se há diferença de qualidade entre o produto importado e o produzido pela indústria doméstica, bem como quaisquer motivos de ordem técnica, financeira ou operacional que expliquem a decisão de importar o produto objeto da investigação.</w:t>
      </w:r>
    </w:p>
    <w:p w14:paraId="24161453"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7E16854C"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3</w:t>
      </w:r>
      <w:r w:rsidRPr="005C5CBD">
        <w:rPr>
          <w:rFonts w:ascii="Garamond" w:eastAsia="Calibri" w:hAnsi="Garamond" w:cs="Calibri"/>
          <w:strike/>
          <w:sz w:val="24"/>
          <w:szCs w:val="24"/>
        </w:rPr>
        <w:t>º</w:t>
      </w:r>
      <w:r w:rsidRPr="005C5CBD">
        <w:rPr>
          <w:rFonts w:ascii="Garamond" w:eastAsia="Calibri" w:hAnsi="Garamond" w:cs="Calibri"/>
          <w:sz w:val="24"/>
          <w:szCs w:val="24"/>
        </w:rPr>
        <w:t xml:space="preserve">   Deverá ser informada a ocorrência de tratamentos tributários específicos na importação (ex.: </w:t>
      </w:r>
      <w:r w:rsidRPr="005C5CBD">
        <w:rPr>
          <w:rFonts w:ascii="Garamond" w:eastAsia="Calibri" w:hAnsi="Garamond" w:cs="Calibri"/>
          <w:b/>
          <w:sz w:val="24"/>
          <w:szCs w:val="24"/>
        </w:rPr>
        <w:t>drawback</w:t>
      </w:r>
      <w:r w:rsidRPr="005C5CBD">
        <w:rPr>
          <w:rFonts w:ascii="Garamond" w:eastAsia="Calibri" w:hAnsi="Garamond" w:cs="Calibri"/>
          <w:sz w:val="24"/>
          <w:szCs w:val="24"/>
        </w:rPr>
        <w:t>).</w:t>
      </w:r>
    </w:p>
    <w:p w14:paraId="4104A9F3"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6AF89422"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4º  Deverá ser esclarecido se a indústria doméstica submete o produto importado a algum processo de transformação ou embalagem, descrevendo sucintamente tal processo, ou se o utiliza ou revende na forma em que foi importado. </w:t>
      </w:r>
    </w:p>
    <w:p w14:paraId="5D57D9C8"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0E4AAA32"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5º   Deverá ser informado se o produto importado é posteriormente exportado ou vendido no mercado interno.</w:t>
      </w:r>
    </w:p>
    <w:p w14:paraId="61700027"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20C2B6A8"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6º  Caso a indústria doméstica revenda o produto importado, deverá ser informado quais são os tipos/categorias de clientes/segmentos de mercado e os canais de distribuições utilizados em cada uma dessas hipóteses, bem como a participação de cada tipo/categoria no total de vendas. </w:t>
      </w:r>
    </w:p>
    <w:p w14:paraId="68E60061"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5AA96FAA"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7º  Deverá ser esclarecida a política comercial na aquisição do produto importado, incluindo a existência de contratos de fornecimento e sua periodicidade; prática de concessão de desconto por distribuição, por região, por quantidade comprada; prêmio, crédito ou bonificação semestral ou anual etc.</w:t>
      </w:r>
    </w:p>
    <w:p w14:paraId="312DB236" w14:textId="77777777" w:rsidR="00395593" w:rsidRPr="005C5CBD" w:rsidRDefault="00395593" w:rsidP="00B33904">
      <w:pPr>
        <w:spacing w:after="0" w:line="240" w:lineRule="auto"/>
        <w:ind w:right="-199" w:firstLine="567"/>
        <w:jc w:val="both"/>
        <w:rPr>
          <w:rFonts w:ascii="Garamond" w:eastAsia="Times New Roman" w:hAnsi="Garamond" w:cs="Calibri"/>
          <w:sz w:val="24"/>
          <w:szCs w:val="24"/>
          <w:lang w:eastAsia="pt-BR"/>
        </w:rPr>
      </w:pPr>
    </w:p>
    <w:p w14:paraId="411A9935"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8º</w:t>
      </w:r>
      <w:r w:rsidRPr="005C5CBD" w:rsidDel="002412F6">
        <w:rPr>
          <w:rFonts w:ascii="Garamond" w:eastAsia="Calibri" w:hAnsi="Garamond" w:cs="Calibri"/>
          <w:sz w:val="24"/>
          <w:szCs w:val="24"/>
        </w:rPr>
        <w:t xml:space="preserve"> </w:t>
      </w:r>
      <w:r w:rsidRPr="005C5CBD">
        <w:rPr>
          <w:rFonts w:ascii="Garamond" w:eastAsia="Calibri" w:hAnsi="Garamond" w:cs="Calibri"/>
          <w:sz w:val="24"/>
          <w:szCs w:val="24"/>
        </w:rPr>
        <w:t xml:space="preserve">  Deverá ser informado o custo financeiro e o prazo médio para pagamento das importações do referido produto, bem como se ocorre benefício de algum programa de financiamento à importação por parte das empresas exportadoras, entidades financeiras de fomento à exportação, ou outras.</w:t>
      </w:r>
    </w:p>
    <w:p w14:paraId="34746D0E"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71889404"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9º  Deverá ser informado, caso haja, serviços de pós-venda (assistência técnica, controle ambiental etc.), fornecidos pela empresa produtora/exportadora a seus clientes.</w:t>
      </w:r>
    </w:p>
    <w:p w14:paraId="1FA346CE"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55E00F4C"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10.  Deverá ser informada a localização dos centros de estocagem do produto, bem como a distância média em relação aos principais clientes de sua empresa.</w:t>
      </w:r>
    </w:p>
    <w:p w14:paraId="0FB7B4DF" w14:textId="77777777" w:rsidR="00395593" w:rsidRPr="005C5CBD" w:rsidRDefault="00395593" w:rsidP="00E33E26">
      <w:pPr>
        <w:jc w:val="both"/>
        <w:rPr>
          <w:rFonts w:ascii="Garamond" w:eastAsia="Calibri" w:hAnsi="Garamond" w:cs="Calibri"/>
          <w:sz w:val="24"/>
          <w:szCs w:val="24"/>
          <w:lang w:eastAsia="pt-BR"/>
        </w:rPr>
      </w:pPr>
    </w:p>
    <w:p w14:paraId="15A295D2" w14:textId="77777777" w:rsidR="00395593" w:rsidRPr="0020569B" w:rsidRDefault="00395593" w:rsidP="0020216F">
      <w:pPr>
        <w:pStyle w:val="Corpodetexto"/>
        <w:jc w:val="center"/>
        <w:rPr>
          <w:rFonts w:ascii="Garamond" w:hAnsi="Garamond"/>
          <w:b/>
          <w:lang w:eastAsia="pt-BR"/>
        </w:rPr>
      </w:pPr>
      <w:r w:rsidRPr="0020569B">
        <w:rPr>
          <w:rFonts w:ascii="Garamond" w:hAnsi="Garamond"/>
          <w:b/>
          <w:lang w:eastAsia="pt-BR"/>
        </w:rPr>
        <w:t>CAPÍTULO IV</w:t>
      </w:r>
    </w:p>
    <w:p w14:paraId="195A65B8" w14:textId="77777777" w:rsidR="00395593" w:rsidRPr="0020569B" w:rsidRDefault="00395593" w:rsidP="0020216F">
      <w:pPr>
        <w:pStyle w:val="Corpodetexto"/>
        <w:jc w:val="center"/>
        <w:rPr>
          <w:rFonts w:ascii="Garamond" w:hAnsi="Garamond"/>
          <w:b/>
          <w:lang w:eastAsia="pt-BR"/>
        </w:rPr>
      </w:pPr>
      <w:r w:rsidRPr="0020569B">
        <w:rPr>
          <w:rFonts w:ascii="Garamond" w:hAnsi="Garamond"/>
          <w:b/>
          <w:lang w:eastAsia="pt-BR"/>
        </w:rPr>
        <w:t>DAS PETIÇÕES DE REVISÃO DO DIREITO POR ALTERAÇÃO DAS CIRCUNSTÂNCIAS</w:t>
      </w:r>
    </w:p>
    <w:p w14:paraId="3BFD01CF" w14:textId="77777777" w:rsidR="00395593" w:rsidRPr="0020569B" w:rsidRDefault="00395593" w:rsidP="0020216F">
      <w:pPr>
        <w:pStyle w:val="Corpodetexto"/>
        <w:jc w:val="center"/>
        <w:rPr>
          <w:rFonts w:ascii="Garamond" w:hAnsi="Garamond"/>
          <w:b/>
          <w:lang w:eastAsia="pt-BR"/>
        </w:rPr>
      </w:pPr>
    </w:p>
    <w:p w14:paraId="743B445A" w14:textId="77777777" w:rsidR="00395593" w:rsidRPr="0020569B" w:rsidRDefault="00395593" w:rsidP="0020216F">
      <w:pPr>
        <w:pStyle w:val="Corpodetexto"/>
        <w:jc w:val="center"/>
        <w:rPr>
          <w:rFonts w:ascii="Garamond" w:hAnsi="Garamond"/>
          <w:b/>
          <w:lang w:eastAsia="pt-BR"/>
        </w:rPr>
      </w:pPr>
      <w:r w:rsidRPr="0020569B">
        <w:rPr>
          <w:rFonts w:ascii="Garamond" w:hAnsi="Garamond"/>
          <w:b/>
          <w:lang w:eastAsia="pt-BR"/>
        </w:rPr>
        <w:t>Seção I</w:t>
      </w:r>
    </w:p>
    <w:p w14:paraId="20BA2EF4" w14:textId="77777777" w:rsidR="00395593" w:rsidRPr="005C5CBD" w:rsidRDefault="00395593" w:rsidP="0020216F">
      <w:pPr>
        <w:pStyle w:val="Corpodetexto"/>
        <w:jc w:val="center"/>
        <w:rPr>
          <w:lang w:eastAsia="pt-BR"/>
        </w:rPr>
      </w:pPr>
      <w:r w:rsidRPr="0020569B">
        <w:rPr>
          <w:rFonts w:ascii="Garamond" w:hAnsi="Garamond"/>
          <w:b/>
          <w:lang w:eastAsia="pt-BR"/>
        </w:rPr>
        <w:t>Das instruções gerais</w:t>
      </w:r>
    </w:p>
    <w:p w14:paraId="21A7FCAB" w14:textId="77777777" w:rsidR="00395593" w:rsidRPr="005C5CBD" w:rsidRDefault="00395593" w:rsidP="00E15FBB">
      <w:pPr>
        <w:spacing w:after="0" w:line="240" w:lineRule="auto"/>
        <w:jc w:val="center"/>
        <w:rPr>
          <w:rFonts w:ascii="Garamond" w:eastAsia="Times New Roman" w:hAnsi="Garamond" w:cs="Calibri"/>
          <w:sz w:val="24"/>
          <w:szCs w:val="24"/>
          <w:lang w:eastAsia="pt-BR"/>
        </w:rPr>
      </w:pPr>
    </w:p>
    <w:p w14:paraId="4494DE2C"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231. </w:t>
      </w:r>
      <w:r w:rsidRPr="005C5CBD">
        <w:rPr>
          <w:rFonts w:ascii="Garamond" w:eastAsia="Times New Roman" w:hAnsi="Garamond" w:cs="Calibri"/>
          <w:sz w:val="24"/>
          <w:szCs w:val="24"/>
          <w:lang w:eastAsia="pt-BR"/>
        </w:rPr>
        <w:t>As petições de revisão por alteração das circunstâncias de que trata a Subseção I da Seção II do Capítulo IX do Decreto nº 10.839, de 2021,</w:t>
      </w:r>
      <w:r w:rsidRPr="005C5CBD" w:rsidDel="009A275A">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deverão obedecer às disposições deste Capítulo.</w:t>
      </w:r>
    </w:p>
    <w:p w14:paraId="1E1C24B7"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38B93515"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A petição de revisão do direito por alteração das circunstâncias deverá ser protocolada à condição de que haja decorrido no mínimo um ano da aplicação, alteração, prorrogação ou extensão de um direito compensatório definitivo.</w:t>
      </w:r>
    </w:p>
    <w:p w14:paraId="34362DBD"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1D856D99"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A petição de revisão do direito por alteração das circunstâncias protocolada em prazo inferior a um ano do fim da vigência da medida que aplicou, alterou, prorrogou ou estendeu um direito compensatório definitivo poderá ter sua análise sobrestada para ser conduzida de forma simultânea ou combinada com a revisão de final de período correspondente, nos termos do § 1º do art. 91 do Decreto nº 10.839, de 2021.</w:t>
      </w:r>
    </w:p>
    <w:p w14:paraId="22CA5A6E"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47FBEB41"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3º  Excepcionalmente, a revisão por alteração nas circunstâncias poderá ser iniciada em prazo inferior ao referido no § 1º, desde que devidamente justificado. </w:t>
      </w:r>
    </w:p>
    <w:p w14:paraId="267CE66B"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232. </w:t>
      </w:r>
      <w:r w:rsidRPr="005C5CBD">
        <w:rPr>
          <w:rFonts w:ascii="Garamond" w:eastAsia="Times New Roman" w:hAnsi="Garamond" w:cs="Calibri"/>
          <w:sz w:val="24"/>
          <w:szCs w:val="24"/>
          <w:lang w:eastAsia="pt-BR"/>
        </w:rPr>
        <w:t>A petição deverá conter indícios suficientes de que a alteração das circunstâncias foi significativa e duradoura, não se configurando por oscilações ou flutuações inerentes ao mercado.</w:t>
      </w:r>
    </w:p>
    <w:p w14:paraId="20A06D7E"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233. </w:t>
      </w:r>
      <w:r w:rsidRPr="005C5CBD">
        <w:rPr>
          <w:rFonts w:ascii="Garamond" w:eastAsia="Times New Roman" w:hAnsi="Garamond" w:cs="Calibri"/>
          <w:sz w:val="24"/>
          <w:szCs w:val="24"/>
          <w:lang w:eastAsia="pt-BR"/>
        </w:rPr>
        <w:t>Qualquer parte interessada na investigação original ou na última revisão de direito compensatório em que tenha sido investigada a existência de subsídio, dano e do nexo de causalidade entre ambos poderá protocolar petição de revisão do direito por alteração de circunstâncias, inclusive o governo do país exportador.</w:t>
      </w:r>
    </w:p>
    <w:p w14:paraId="45952D5A"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06F9A07A"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Art. 234.  O peticionário deverá observar o disposto no art. 5º acerca das fontes de informação aceitas para fins de instrução da petição.   </w:t>
      </w:r>
    </w:p>
    <w:p w14:paraId="318E2670"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3565606B" w14:textId="2D1A8A3D"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235. No caso de indústrias fragmentadas, aplicam-se, no que couber, as mesmas disposições previstas no art. </w:t>
      </w:r>
      <w:r w:rsidR="00701DA1">
        <w:rPr>
          <w:rFonts w:ascii="Garamond" w:eastAsia="Calibri" w:hAnsi="Garamond" w:cs="Calibri"/>
          <w:sz w:val="24"/>
          <w:szCs w:val="24"/>
        </w:rPr>
        <w:t>125</w:t>
      </w:r>
      <w:r w:rsidR="00E15FBB" w:rsidRPr="005C5CBD">
        <w:rPr>
          <w:rFonts w:ascii="Garamond" w:eastAsia="Calibri" w:hAnsi="Garamond" w:cs="Calibri"/>
          <w:sz w:val="24"/>
          <w:szCs w:val="24"/>
        </w:rPr>
        <w:t>.</w:t>
      </w:r>
      <w:r w:rsidRPr="005C5CBD">
        <w:rPr>
          <w:rFonts w:ascii="Garamond" w:eastAsia="Calibri" w:hAnsi="Garamond" w:cs="Calibri"/>
          <w:sz w:val="24"/>
          <w:szCs w:val="24"/>
        </w:rPr>
        <w:t xml:space="preserve">  </w:t>
      </w:r>
    </w:p>
    <w:p w14:paraId="0D30B886"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2123A361"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Parágrafo único. A habilitação prévia da produção nacional de determinado produto como indústria fragmentada poderá ser utilizada para procedimento de revisão do direito por alteração das circunstâncias, desde que a Subsecretaria de Defesa Comercial e Interesse Público seja formalmente consultada previamente ao protocolo da petição, observado o previsto em ato específico da Secretaria de Comércio Exterior.  </w:t>
      </w:r>
    </w:p>
    <w:p w14:paraId="6F3F8AA4"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73B69D93" w14:textId="77777777" w:rsidR="00395593" w:rsidRPr="0020569B" w:rsidRDefault="00395593" w:rsidP="0020216F">
      <w:pPr>
        <w:pStyle w:val="Corpodetexto"/>
        <w:jc w:val="center"/>
        <w:rPr>
          <w:rFonts w:ascii="Garamond" w:hAnsi="Garamond"/>
          <w:b/>
          <w:lang w:eastAsia="pt-BR"/>
        </w:rPr>
      </w:pPr>
      <w:r w:rsidRPr="0020569B">
        <w:rPr>
          <w:rFonts w:ascii="Garamond" w:hAnsi="Garamond"/>
          <w:b/>
          <w:lang w:eastAsia="pt-BR"/>
        </w:rPr>
        <w:t>Seção II</w:t>
      </w:r>
    </w:p>
    <w:p w14:paraId="3FC8151A" w14:textId="77777777" w:rsidR="00395593" w:rsidRPr="005C5CBD" w:rsidRDefault="00395593" w:rsidP="0020216F">
      <w:pPr>
        <w:pStyle w:val="Corpodetexto"/>
        <w:jc w:val="center"/>
        <w:rPr>
          <w:lang w:eastAsia="pt-BR"/>
        </w:rPr>
      </w:pPr>
      <w:r w:rsidRPr="0020569B">
        <w:rPr>
          <w:rFonts w:ascii="Garamond" w:hAnsi="Garamond"/>
          <w:b/>
          <w:lang w:eastAsia="pt-BR"/>
        </w:rPr>
        <w:t>Dos dados das partes interessadas representadas na petição</w:t>
      </w:r>
    </w:p>
    <w:p w14:paraId="79DE544B"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6154B6E2"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236. </w:t>
      </w:r>
      <w:r w:rsidRPr="005C5CBD">
        <w:rPr>
          <w:rFonts w:ascii="Garamond" w:eastAsia="Times New Roman" w:hAnsi="Garamond" w:cs="Calibri"/>
          <w:sz w:val="24"/>
          <w:szCs w:val="24"/>
          <w:lang w:eastAsia="pt-BR"/>
        </w:rPr>
        <w:t>A</w:t>
      </w:r>
      <w:r w:rsidRPr="005C5CBD" w:rsidDel="00D1273D">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petição de revisão do direito por alteração das circunstâncias deverá conter:</w:t>
      </w:r>
    </w:p>
    <w:p w14:paraId="09F8DCD6"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2B3CC454"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informações referentes à razão social, endereço completo, telefone e endereço eletrônico da parte interessada peticionária da revisão por alteração das circunstâncias; e</w:t>
      </w:r>
    </w:p>
    <w:p w14:paraId="55448209"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403D83F6"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nome, função, endereço completo, telefone e endereço eletrônico do representante legal da parte interessada junto à Subsecretaria de Defesa Comercial e Interesse Público.</w:t>
      </w:r>
    </w:p>
    <w:p w14:paraId="12FC5567"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75650C82"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1º  No caso de revisão protocolada em nome do governo do país exportador, a petição deverá ser assinada pelo chefe da representação diplomática do País junto ao Brasil ou, na sua ausência, pelo encarregado de negócios, ou por procurador com poderes concedidos por aqueles por meio de procuração válida. </w:t>
      </w:r>
    </w:p>
    <w:p w14:paraId="409DCAFE"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00813E2E"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Na hipótese de não haver representação diplomática do País no Brasil, a petição deverá ser assinada pela autoridade máxima do órgão do governo estrangeiro responsável pela petição, ou por procurador com poderes concedidos por aquele por meio de procuração válida.</w:t>
      </w:r>
    </w:p>
    <w:p w14:paraId="793B1E42" w14:textId="77777777" w:rsidR="00395593" w:rsidRPr="005C5CBD" w:rsidRDefault="00395593" w:rsidP="00E15FBB">
      <w:pPr>
        <w:autoSpaceDE w:val="0"/>
        <w:autoSpaceDN w:val="0"/>
        <w:adjustRightInd w:val="0"/>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sz w:val="24"/>
          <w:szCs w:val="24"/>
          <w:lang w:eastAsia="pt-BR"/>
        </w:rPr>
        <w:t xml:space="preserve"> </w:t>
      </w:r>
      <w:r w:rsidRPr="005C5CBD">
        <w:rPr>
          <w:rFonts w:ascii="Garamond" w:eastAsia="Times New Roman" w:hAnsi="Garamond" w:cs="Calibri"/>
          <w:b/>
          <w:color w:val="000000"/>
          <w:sz w:val="24"/>
          <w:szCs w:val="24"/>
          <w:lang w:eastAsia="pt-BR"/>
        </w:rPr>
        <w:t xml:space="preserve"> </w:t>
      </w:r>
    </w:p>
    <w:p w14:paraId="6C04C8FB" w14:textId="77777777" w:rsidR="00395593" w:rsidRPr="0020569B" w:rsidRDefault="00395593" w:rsidP="0020216F">
      <w:pPr>
        <w:pStyle w:val="Corpodetexto"/>
        <w:jc w:val="center"/>
        <w:rPr>
          <w:rFonts w:ascii="Garamond" w:hAnsi="Garamond"/>
          <w:b/>
          <w:lang w:eastAsia="pt-BR"/>
        </w:rPr>
      </w:pPr>
      <w:r w:rsidRPr="0020569B">
        <w:rPr>
          <w:rFonts w:ascii="Garamond" w:hAnsi="Garamond"/>
          <w:b/>
          <w:lang w:eastAsia="pt-BR"/>
        </w:rPr>
        <w:t>Seção III</w:t>
      </w:r>
    </w:p>
    <w:p w14:paraId="0E9F2612" w14:textId="77777777" w:rsidR="00395593" w:rsidRPr="005C5CBD" w:rsidRDefault="00395593" w:rsidP="0020216F">
      <w:pPr>
        <w:pStyle w:val="Corpodetexto"/>
        <w:jc w:val="center"/>
        <w:rPr>
          <w:color w:val="000000"/>
          <w:lang w:eastAsia="pt-BR"/>
        </w:rPr>
      </w:pPr>
      <w:r w:rsidRPr="0020569B">
        <w:rPr>
          <w:rFonts w:ascii="Garamond" w:hAnsi="Garamond"/>
          <w:b/>
          <w:lang w:eastAsia="pt-BR"/>
        </w:rPr>
        <w:t>Do produto objeto do direito</w:t>
      </w:r>
      <w:r w:rsidRPr="0020569B">
        <w:rPr>
          <w:rFonts w:ascii="Garamond" w:hAnsi="Garamond"/>
          <w:b/>
          <w:color w:val="000000"/>
          <w:lang w:eastAsia="pt-BR"/>
        </w:rPr>
        <w:t xml:space="preserve"> compensatório</w:t>
      </w:r>
    </w:p>
    <w:p w14:paraId="0A842EC6" w14:textId="77777777" w:rsidR="00395593" w:rsidRPr="005C5CBD" w:rsidRDefault="00395593" w:rsidP="00E15FBB">
      <w:pPr>
        <w:autoSpaceDE w:val="0"/>
        <w:autoSpaceDN w:val="0"/>
        <w:adjustRightInd w:val="0"/>
        <w:spacing w:after="0" w:line="240" w:lineRule="auto"/>
        <w:jc w:val="center"/>
        <w:rPr>
          <w:rFonts w:ascii="Garamond" w:eastAsia="Times New Roman" w:hAnsi="Garamond" w:cs="Calibri"/>
          <w:b/>
          <w:color w:val="000000"/>
          <w:sz w:val="24"/>
          <w:szCs w:val="24"/>
          <w:lang w:eastAsia="pt-BR"/>
        </w:rPr>
      </w:pPr>
    </w:p>
    <w:p w14:paraId="0C03182E"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237. </w:t>
      </w:r>
      <w:r w:rsidRPr="005C5CBD">
        <w:rPr>
          <w:rFonts w:ascii="Garamond" w:eastAsia="Times New Roman" w:hAnsi="Garamond" w:cs="Calibri"/>
          <w:color w:val="000000"/>
          <w:sz w:val="24"/>
          <w:szCs w:val="24"/>
          <w:lang w:eastAsia="pt-BR"/>
        </w:rPr>
        <w:t>A petição deverá conter descrição do produto objeto do direito, indicando os itens da Nomenclatura Comum do MERCOSUL (NCM) em que se classifica o produto, de acordo com o definido no ato que aplicou ou prorrogou o direito compensatório.</w:t>
      </w:r>
    </w:p>
    <w:p w14:paraId="6DC363AA"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 </w:t>
      </w:r>
    </w:p>
    <w:p w14:paraId="7BD3717B"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b/>
          <w:color w:val="000000"/>
          <w:sz w:val="24"/>
          <w:szCs w:val="24"/>
          <w:lang w:eastAsia="pt-BR"/>
        </w:rPr>
      </w:pPr>
      <w:r w:rsidRPr="005C5CBD">
        <w:rPr>
          <w:rFonts w:ascii="Garamond" w:eastAsia="Times New Roman" w:hAnsi="Garamond" w:cs="Calibri"/>
          <w:color w:val="000000"/>
          <w:sz w:val="24"/>
          <w:szCs w:val="24"/>
          <w:lang w:eastAsia="pt-BR"/>
        </w:rPr>
        <w:t xml:space="preserve">Parágrafo único. A petição deverá indicar o tratamento tarifário aplicável aos itens referidos no </w:t>
      </w:r>
      <w:r w:rsidRPr="005C5CBD">
        <w:rPr>
          <w:rFonts w:ascii="Garamond" w:eastAsia="Times New Roman" w:hAnsi="Garamond" w:cs="Calibri"/>
          <w:b/>
          <w:color w:val="000000"/>
          <w:sz w:val="24"/>
          <w:szCs w:val="24"/>
          <w:lang w:eastAsia="pt-BR"/>
        </w:rPr>
        <w:t>caput</w:t>
      </w:r>
      <w:r w:rsidRPr="005C5CBD">
        <w:rPr>
          <w:rFonts w:ascii="Garamond" w:eastAsia="Times New Roman" w:hAnsi="Garamond" w:cs="Calibri"/>
          <w:color w:val="000000"/>
          <w:sz w:val="24"/>
          <w:szCs w:val="24"/>
          <w:lang w:eastAsia="pt-BR"/>
        </w:rPr>
        <w:t xml:space="preserve"> durante todo o período de revisão, especificando quaisquer alterações ocorridas ao longo desse período.</w:t>
      </w:r>
    </w:p>
    <w:p w14:paraId="79B57E48" w14:textId="77777777" w:rsidR="00395593" w:rsidRPr="005C5CBD" w:rsidRDefault="00395593" w:rsidP="00B33904">
      <w:pPr>
        <w:autoSpaceDE w:val="0"/>
        <w:autoSpaceDN w:val="0"/>
        <w:adjustRightInd w:val="0"/>
        <w:spacing w:after="0" w:line="240" w:lineRule="auto"/>
        <w:ind w:firstLine="567"/>
        <w:jc w:val="center"/>
        <w:rPr>
          <w:rFonts w:ascii="Garamond" w:eastAsia="Times New Roman" w:hAnsi="Garamond" w:cs="Calibri"/>
          <w:b/>
          <w:color w:val="000000"/>
          <w:sz w:val="24"/>
          <w:szCs w:val="24"/>
          <w:lang w:eastAsia="pt-BR"/>
        </w:rPr>
      </w:pPr>
    </w:p>
    <w:p w14:paraId="42BA8113"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238. </w:t>
      </w:r>
      <w:r w:rsidRPr="005C5CBD">
        <w:rPr>
          <w:rFonts w:ascii="Garamond" w:eastAsia="Times New Roman" w:hAnsi="Garamond" w:cs="Calibri"/>
          <w:color w:val="000000"/>
          <w:sz w:val="24"/>
          <w:szCs w:val="24"/>
          <w:lang w:eastAsia="pt-BR"/>
        </w:rPr>
        <w:t>A petição deverá indicar o ato que aplicou ou prorrogou a aplicação direito compensatório às importações do produto objeto do direito.</w:t>
      </w:r>
    </w:p>
    <w:p w14:paraId="07F6858E"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176E4F49" w14:textId="67E39DE5"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239. </w:t>
      </w:r>
      <w:r w:rsidRPr="005C5CBD">
        <w:rPr>
          <w:rFonts w:ascii="Garamond" w:eastAsia="Times New Roman" w:hAnsi="Garamond" w:cs="Calibri"/>
          <w:color w:val="000000"/>
          <w:sz w:val="24"/>
          <w:szCs w:val="24"/>
          <w:lang w:eastAsia="pt-BR"/>
        </w:rPr>
        <w:t xml:space="preserve">A petição deverá identificar o país de origem do produto objeto do direito compensatório aplicado mediante o ato referido no art. </w:t>
      </w:r>
      <w:r w:rsidR="00701DA1">
        <w:rPr>
          <w:rFonts w:ascii="Garamond" w:eastAsia="Times New Roman" w:hAnsi="Garamond" w:cs="Calibri"/>
          <w:color w:val="000000"/>
          <w:sz w:val="24"/>
          <w:szCs w:val="24"/>
          <w:lang w:eastAsia="pt-BR"/>
        </w:rPr>
        <w:t>238</w:t>
      </w:r>
      <w:r w:rsidRPr="005C5CBD">
        <w:rPr>
          <w:rFonts w:ascii="Garamond" w:eastAsia="Times New Roman" w:hAnsi="Garamond" w:cs="Calibri"/>
          <w:color w:val="000000"/>
          <w:sz w:val="24"/>
          <w:szCs w:val="24"/>
          <w:lang w:eastAsia="pt-BR"/>
        </w:rPr>
        <w:t xml:space="preserve"> que deverá ser objeto da revisão por alteração das circunstâncias. </w:t>
      </w:r>
    </w:p>
    <w:p w14:paraId="7DE46DEB"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3F59DEBC" w14:textId="77777777" w:rsidR="00395593" w:rsidRPr="0020569B" w:rsidRDefault="00395593" w:rsidP="00C3469C">
      <w:pPr>
        <w:pStyle w:val="Corpodetexto"/>
        <w:jc w:val="center"/>
        <w:rPr>
          <w:rFonts w:ascii="Garamond" w:hAnsi="Garamond"/>
          <w:b/>
          <w:lang w:eastAsia="pt-BR"/>
        </w:rPr>
      </w:pPr>
      <w:r w:rsidRPr="0020569B">
        <w:rPr>
          <w:rFonts w:ascii="Garamond" w:hAnsi="Garamond"/>
          <w:b/>
          <w:lang w:eastAsia="pt-BR"/>
        </w:rPr>
        <w:t>Seção IV</w:t>
      </w:r>
    </w:p>
    <w:p w14:paraId="75C2B0A1" w14:textId="77777777" w:rsidR="00395593" w:rsidRPr="005C5CBD" w:rsidRDefault="00395593" w:rsidP="00C3469C">
      <w:pPr>
        <w:pStyle w:val="Corpodetexto"/>
        <w:jc w:val="center"/>
        <w:rPr>
          <w:lang w:eastAsia="pt-BR"/>
        </w:rPr>
      </w:pPr>
      <w:r w:rsidRPr="0020569B">
        <w:rPr>
          <w:rFonts w:ascii="Garamond" w:hAnsi="Garamond"/>
          <w:b/>
          <w:lang w:eastAsia="pt-BR"/>
        </w:rPr>
        <w:t>Da Alteração Das Circunstâncias</w:t>
      </w:r>
    </w:p>
    <w:p w14:paraId="48FF04A0" w14:textId="77777777" w:rsidR="00395593" w:rsidRPr="005C5CBD" w:rsidRDefault="00395593" w:rsidP="00E15FBB">
      <w:pPr>
        <w:spacing w:after="0" w:line="240" w:lineRule="auto"/>
        <w:rPr>
          <w:rFonts w:ascii="Garamond" w:eastAsia="Times New Roman" w:hAnsi="Garamond" w:cs="Calibri"/>
          <w:b/>
          <w:sz w:val="24"/>
          <w:szCs w:val="24"/>
          <w:lang w:eastAsia="pt-BR"/>
        </w:rPr>
      </w:pPr>
    </w:p>
    <w:p w14:paraId="7A615CF1"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240. </w:t>
      </w:r>
      <w:r w:rsidRPr="005C5CBD">
        <w:rPr>
          <w:rFonts w:ascii="Garamond" w:eastAsia="Times New Roman" w:hAnsi="Garamond" w:cs="Calibri"/>
          <w:sz w:val="24"/>
          <w:szCs w:val="24"/>
          <w:lang w:eastAsia="pt-BR"/>
        </w:rPr>
        <w:t xml:space="preserve">O peticionário da revisão por alteração das circunstâncias poderá apresentar, de forma conjunta e subsidiária, pleitos de extinção do direito compensatório e de alteração de direito compensatório, desde que instrua sua petição com todos os dados requeridos na Subseção I e na Subseção II desta Seção. </w:t>
      </w:r>
    </w:p>
    <w:p w14:paraId="04377C32"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5FA43A57"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241. </w:t>
      </w:r>
      <w:r w:rsidRPr="005C5CBD">
        <w:rPr>
          <w:rFonts w:ascii="Garamond" w:eastAsia="Times New Roman" w:hAnsi="Garamond" w:cs="Calibri"/>
          <w:sz w:val="24"/>
          <w:szCs w:val="24"/>
          <w:lang w:eastAsia="pt-BR"/>
        </w:rPr>
        <w:t xml:space="preserve">O peticionário deverá indicar o período de revisão, a ser definido de acordo com as circunstâncias do caso concreto, e deverá justificar minuciosamente a razão para adoção desse período. </w:t>
      </w:r>
    </w:p>
    <w:p w14:paraId="3A5F13F1"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6C8CD373"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1º  O período de revisão não poderá incluir o período de investigação ou de revisão do procedimento de investigação que culminou com a aplicação ou prorrogação do direito compensatório. </w:t>
      </w:r>
    </w:p>
    <w:p w14:paraId="7198C6E1"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0D12995B"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O período de revisão por alteração das circunstâncias deverá ser adequado e abrangente o suficiente para determinar que a alteração foi significativa e duradoura, não se configurando por oscilações ou flutuações inerentes ao mercado.</w:t>
      </w:r>
    </w:p>
    <w:p w14:paraId="1D91F607"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03982657" w14:textId="6095FC2D"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3º  Na definição do período de revisão, o peticionário deverá respeitar o disposto no art. </w:t>
      </w:r>
      <w:r w:rsidR="00701DA1">
        <w:rPr>
          <w:rFonts w:ascii="Garamond" w:eastAsia="Times New Roman" w:hAnsi="Garamond" w:cs="Calibri"/>
          <w:sz w:val="24"/>
          <w:szCs w:val="24"/>
          <w:lang w:eastAsia="pt-BR"/>
        </w:rPr>
        <w:t>231</w:t>
      </w:r>
      <w:r w:rsidRPr="005C5CBD">
        <w:rPr>
          <w:rFonts w:ascii="Garamond" w:eastAsia="Times New Roman" w:hAnsi="Garamond" w:cs="Calibri"/>
          <w:sz w:val="24"/>
          <w:szCs w:val="24"/>
          <w:lang w:eastAsia="pt-BR"/>
        </w:rPr>
        <w:t xml:space="preserve"> sobre o período mínimo decorrido da aplicação, alteração, prorrogação ou extensão de um direito compensatório definitivo.</w:t>
      </w:r>
    </w:p>
    <w:p w14:paraId="7F038921" w14:textId="77777777" w:rsidR="00395593" w:rsidRPr="005C5CBD" w:rsidRDefault="00395593" w:rsidP="00B33904">
      <w:pPr>
        <w:spacing w:after="0" w:line="240" w:lineRule="auto"/>
        <w:ind w:firstLine="567"/>
        <w:rPr>
          <w:rFonts w:ascii="Garamond" w:eastAsia="Times New Roman" w:hAnsi="Garamond" w:cs="Calibri"/>
          <w:b/>
          <w:sz w:val="24"/>
          <w:szCs w:val="24"/>
          <w:lang w:eastAsia="pt-BR"/>
        </w:rPr>
      </w:pPr>
    </w:p>
    <w:p w14:paraId="45B0B9AA"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242. </w:t>
      </w:r>
      <w:r w:rsidRPr="005C5CBD">
        <w:rPr>
          <w:rFonts w:ascii="Garamond" w:eastAsia="Times New Roman" w:hAnsi="Garamond" w:cs="Calibri"/>
          <w:sz w:val="24"/>
          <w:szCs w:val="24"/>
          <w:lang w:eastAsia="pt-BR"/>
        </w:rPr>
        <w:t xml:space="preserve">A </w:t>
      </w:r>
      <w:r w:rsidRPr="005C5CBD">
        <w:rPr>
          <w:rFonts w:ascii="Garamond" w:eastAsia="Times New Roman" w:hAnsi="Garamond" w:cs="Calibri"/>
          <w:color w:val="000000"/>
          <w:sz w:val="24"/>
          <w:szCs w:val="24"/>
          <w:lang w:eastAsia="pt-BR"/>
        </w:rPr>
        <w:t xml:space="preserve">Subsecretaria de Defesa Comercial </w:t>
      </w:r>
      <w:r w:rsidRPr="005C5CBD">
        <w:rPr>
          <w:rFonts w:ascii="Garamond" w:eastAsia="Times New Roman" w:hAnsi="Garamond" w:cs="Calibri"/>
          <w:sz w:val="24"/>
          <w:szCs w:val="24"/>
          <w:lang w:eastAsia="pt-BR"/>
        </w:rPr>
        <w:t>poderá encaminhar questionários a qualquer</w:t>
      </w:r>
      <w:r w:rsidRPr="005C5CBD">
        <w:rPr>
          <w:rFonts w:ascii="Garamond" w:eastAsia="Calibri" w:hAnsi="Garamond" w:cs="Calibri"/>
          <w:sz w:val="24"/>
          <w:szCs w:val="24"/>
          <w:lang w:eastAsia="pt-BR"/>
        </w:rPr>
        <w:t xml:space="preserve"> parte interessada da investigação original ou da última revisão de direito compensatório em que tenha sido investigada a existência de subsídio, de dano e de nexo de causalidade entre ambos</w:t>
      </w:r>
      <w:r w:rsidRPr="005C5CBD">
        <w:rPr>
          <w:rFonts w:ascii="Garamond" w:eastAsia="Times New Roman" w:hAnsi="Garamond" w:cs="Calibri"/>
          <w:sz w:val="24"/>
          <w:szCs w:val="24"/>
          <w:lang w:eastAsia="pt-BR"/>
        </w:rPr>
        <w:t xml:space="preserve"> a fim de investigar a existência de alteração das circunstâncias.</w:t>
      </w:r>
    </w:p>
    <w:p w14:paraId="27CF8035" w14:textId="77777777" w:rsidR="00395593" w:rsidRPr="005C5CBD" w:rsidRDefault="00395593" w:rsidP="00E15FBB">
      <w:pPr>
        <w:spacing w:after="0" w:line="240" w:lineRule="auto"/>
        <w:rPr>
          <w:rFonts w:ascii="Garamond" w:eastAsia="Times New Roman" w:hAnsi="Garamond" w:cs="Calibri"/>
          <w:b/>
          <w:sz w:val="24"/>
          <w:szCs w:val="24"/>
          <w:lang w:eastAsia="pt-BR"/>
        </w:rPr>
      </w:pPr>
    </w:p>
    <w:p w14:paraId="77F86E3F" w14:textId="77777777" w:rsidR="00395593" w:rsidRPr="0008528B" w:rsidRDefault="00395593" w:rsidP="00C3469C">
      <w:pPr>
        <w:pStyle w:val="Corpodetexto"/>
        <w:jc w:val="center"/>
        <w:rPr>
          <w:rFonts w:ascii="Garamond" w:eastAsia="MS Gothic" w:hAnsi="Garamond"/>
          <w:b/>
          <w:lang w:eastAsia="pt-BR"/>
        </w:rPr>
      </w:pPr>
      <w:r w:rsidRPr="0008528B">
        <w:rPr>
          <w:rFonts w:ascii="Garamond" w:eastAsia="MS Gothic" w:hAnsi="Garamond"/>
          <w:b/>
          <w:lang w:eastAsia="pt-BR"/>
        </w:rPr>
        <w:t>Subseção I</w:t>
      </w:r>
    </w:p>
    <w:p w14:paraId="10AA57E2" w14:textId="77777777" w:rsidR="00395593" w:rsidRPr="005C5CBD" w:rsidRDefault="00395593" w:rsidP="00C3469C">
      <w:pPr>
        <w:pStyle w:val="Corpodetexto"/>
        <w:jc w:val="center"/>
        <w:rPr>
          <w:rFonts w:eastAsia="MS Gothic"/>
          <w:color w:val="4F81BD"/>
          <w:lang w:eastAsia="pt-BR"/>
        </w:rPr>
      </w:pPr>
      <w:r w:rsidRPr="0008528B">
        <w:rPr>
          <w:rFonts w:ascii="Garamond" w:eastAsia="MS Gothic" w:hAnsi="Garamond"/>
          <w:b/>
          <w:lang w:eastAsia="pt-BR"/>
        </w:rPr>
        <w:t>Da Extinção do Direito Compensatório</w:t>
      </w:r>
    </w:p>
    <w:p w14:paraId="71FA2947"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250E8121"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243. </w:t>
      </w:r>
      <w:r w:rsidRPr="005C5CBD">
        <w:rPr>
          <w:rFonts w:ascii="Garamond" w:eastAsia="Times New Roman" w:hAnsi="Garamond" w:cs="Calibri"/>
          <w:sz w:val="24"/>
          <w:szCs w:val="24"/>
          <w:lang w:eastAsia="pt-BR"/>
        </w:rPr>
        <w:t>O direito compensatório poderá ser extinto caso seja improvável a continuação ou retomada da existência de subsídio acionável ou de dano.</w:t>
      </w:r>
    </w:p>
    <w:p w14:paraId="387C9E0A"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1FC7B150"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244. </w:t>
      </w:r>
      <w:r w:rsidRPr="005C5CBD">
        <w:rPr>
          <w:rFonts w:ascii="Garamond" w:eastAsia="Times New Roman" w:hAnsi="Garamond" w:cs="Calibri"/>
          <w:sz w:val="24"/>
          <w:szCs w:val="24"/>
          <w:lang w:eastAsia="pt-BR"/>
        </w:rPr>
        <w:t xml:space="preserve">A petição com vistas à extinção do direito compensatório, conforme disposto na alínea “a” do inciso I do art. 99 do Decreto nº 10.839, de 2021, deverá permitir exame objetivo de fatores relevantes que demonstrem ser improvável a continuação ou a retomada da prática de concessão de subsídios acionáveis, tais como: </w:t>
      </w:r>
    </w:p>
    <w:p w14:paraId="4AEA0F12"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10510A8C"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comprovação de extinção dos programas de subsídios investigados na investigação original ou na revisão do direito compensatório</w:t>
      </w:r>
      <w:r w:rsidRPr="005C5CBD" w:rsidDel="004A5BAE">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mais recente, mediante apresentação de documentação oficial e atos normativos que demonstrem claramente a extinção de cada um dos programas investigados que beneficiaram os produtores/exportadores;</w:t>
      </w:r>
    </w:p>
    <w:p w14:paraId="100E4AA5"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0F524EBF"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evidências de que não houve mera alteração do nome dos programas de subsídios investigados na investigação original ou na revisão do direito compensatório</w:t>
      </w:r>
      <w:r w:rsidRPr="005C5CBD" w:rsidDel="006162B1">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mais recente, considerando autoridade outorgante dos programas anteriormente investigados;</w:t>
      </w:r>
    </w:p>
    <w:p w14:paraId="63A3AEB4"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19722DDF"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evidências de que os programas de subsídios investigados na investigação original ou na revisão do direito compensatório mais recente não foram substituídos por outros programas de subsídios com a mesma finalidade dos programas anteriormente investigados, mediante apresentação de documentação oficial que demonstre o conjunto das políticas, programas e planos governamentais existentes referentes à autoridade outorgante dos programas anteriormente investigados, bem como documentação referente ao orçamento público no caso de subsídios com impacto orçamentário;</w:t>
      </w:r>
    </w:p>
    <w:p w14:paraId="4C568EDD"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2FB39FBC"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comprovação de que os programas de subsídios investigados na investigação original ou na revisão do direito compensatório</w:t>
      </w:r>
      <w:r w:rsidRPr="005C5CBD" w:rsidDel="00AD5E0B">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 xml:space="preserve">mais recente foram alterados de modo a não constituírem subsídios acionáveis e, portanto, sujeitos à aplicação de medidas compensatórias, mediante apresentação de documentação oficial e atos normativos que demonstrem claramente as alterações relevantes de cada um dos programas investigados; e  </w:t>
      </w:r>
    </w:p>
    <w:p w14:paraId="1903B4E8"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3E3FF84E"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V – comprovação, pela autoridade outorgante e responsável pela concessão e pela administração dos programas de subsídios investigados, sobre a adoção de medidas suficientes para neutralizar os benefícios decorrentes dos programas de subsídios sobre as exportações do produto objeto do direito compensatório para o Brasil. </w:t>
      </w:r>
    </w:p>
    <w:p w14:paraId="3725A1E0"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39BFEA8A"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Para fornecimento das informações solicitadas nesta Subseção deverá ser utilizada, de forma complementar, a tabela constante no Apêndice III desta Portaria.</w:t>
      </w:r>
    </w:p>
    <w:p w14:paraId="129573A5"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0A824DAC"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245. </w:t>
      </w:r>
      <w:r w:rsidRPr="005C5CBD">
        <w:rPr>
          <w:rFonts w:ascii="Garamond" w:eastAsia="Times New Roman" w:hAnsi="Garamond" w:cs="Calibri"/>
          <w:sz w:val="24"/>
          <w:szCs w:val="24"/>
          <w:lang w:eastAsia="pt-BR"/>
        </w:rPr>
        <w:t xml:space="preserve">A petição com vistas à extinção do direito compensatório, conforme disposto na alínea “b” do inciso I do art. 99 do Decreto nº 10.839, de 2021, </w:t>
      </w:r>
      <w:r w:rsidRPr="005C5CBD" w:rsidDel="00D31A8B">
        <w:rPr>
          <w:rFonts w:ascii="Garamond" w:eastAsia="Times New Roman" w:hAnsi="Garamond" w:cs="Calibri"/>
          <w:sz w:val="24"/>
          <w:szCs w:val="24"/>
          <w:lang w:eastAsia="pt-BR"/>
        </w:rPr>
        <w:t xml:space="preserve">deverá permitir </w:t>
      </w:r>
      <w:r w:rsidRPr="005C5CBD">
        <w:rPr>
          <w:rFonts w:ascii="Garamond" w:eastAsia="Times New Roman" w:hAnsi="Garamond" w:cs="Calibri"/>
          <w:sz w:val="24"/>
          <w:szCs w:val="24"/>
          <w:lang w:eastAsia="pt-BR"/>
        </w:rPr>
        <w:t xml:space="preserve">exame objetivo de fatores relevantes que demonstrem ser improvável a continuação ou a retomada do dano, incluindo: </w:t>
      </w:r>
    </w:p>
    <w:p w14:paraId="43EA72F6"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 – a situação da indústria doméstica durante a vigência do direito definitivo; </w:t>
      </w:r>
    </w:p>
    <w:p w14:paraId="1449190B"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o volume das importações do produto objeto do direito durante sua vigência e a provável tendência de comportamento dessas importações, em termos absolutos e relativos à produção ou ao consumo do produto similar no mercado interno brasileiro;</w:t>
      </w:r>
    </w:p>
    <w:p w14:paraId="53526E05"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o preço provável das importações do produto objeto do direito e o seu provável efeito sobre os preços do produto similar no mercado interno brasileiro;</w:t>
      </w:r>
    </w:p>
    <w:p w14:paraId="1C53AA68"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o impacto provável das importações do produto objeto do direito sobre a indústria doméstica, avaliado com base em todos os fatores e índices econômicos pertinentes definidos nos § 2º e § 3º do art. 24 do Decreto nº 10.839, de 2021;</w:t>
      </w:r>
    </w:p>
    <w:p w14:paraId="50BD2388"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 – alterações nas condições de mercado no país exportador, no Brasil ou em terceiros mercados, incluindo alterações na oferta e na demanda do produto similar, em razão, por exemplo, da imposição de medidas de defesa comercial por outros países; e</w:t>
      </w:r>
    </w:p>
    <w:p w14:paraId="03090AC0"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VI – o efeito provável de outros fatores que não as importações do produto objeto do direito sobre a indústria doméstica, tais como:</w:t>
      </w:r>
    </w:p>
    <w:p w14:paraId="0CEE2246"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 volume e preço de importações não sujeitas ao direito compensatório;</w:t>
      </w:r>
    </w:p>
    <w:p w14:paraId="26A58597"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b) impacto de eventuais processos de liberalização das importações sobre os preços domésticos;</w:t>
      </w:r>
    </w:p>
    <w:p w14:paraId="3702B821"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c) contração na demanda ou mudanças nos padrões de consumo;</w:t>
      </w:r>
    </w:p>
    <w:p w14:paraId="7E5EA31D"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d) práticas restritivas ao comércio de produtores domésticos e estrangeiros e a concorrência entre eles;</w:t>
      </w:r>
    </w:p>
    <w:p w14:paraId="0FA47EE2"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e) progresso tecnológico;</w:t>
      </w:r>
    </w:p>
    <w:p w14:paraId="34A45495"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f) desempenho exportador;</w:t>
      </w:r>
    </w:p>
    <w:p w14:paraId="1F4D9F9D"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g) produtividade da indústria doméstica;</w:t>
      </w:r>
    </w:p>
    <w:p w14:paraId="7FF10872"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h) consumo cativo; e</w:t>
      </w:r>
    </w:p>
    <w:p w14:paraId="5CDE0961"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importações ou revenda do produto importado pela indústria doméstica.</w:t>
      </w:r>
    </w:p>
    <w:p w14:paraId="4D1AB3C4"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1º  Não serão aceitas meras alegações desacompanhadas de elementos de prova. </w:t>
      </w:r>
    </w:p>
    <w:p w14:paraId="146F44C4"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0BADCF86"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Para fins deste artigo, na hipótese de haver exportações do produto objeto do direito compensatório para o Brasil, o peticionário deverá preencher a tabela constante no Apêndice IV desta Portaria.</w:t>
      </w:r>
    </w:p>
    <w:p w14:paraId="25FF03A0"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433AD097" w14:textId="77777777" w:rsidR="00395593" w:rsidRPr="0008528B" w:rsidRDefault="00395593" w:rsidP="00C3469C">
      <w:pPr>
        <w:pStyle w:val="Corpodetexto"/>
        <w:jc w:val="center"/>
        <w:rPr>
          <w:rFonts w:ascii="Garamond" w:eastAsia="MS Gothic" w:hAnsi="Garamond"/>
          <w:b/>
          <w:lang w:eastAsia="pt-BR"/>
        </w:rPr>
      </w:pPr>
      <w:r w:rsidRPr="0008528B">
        <w:rPr>
          <w:rFonts w:ascii="Garamond" w:eastAsia="MS Gothic" w:hAnsi="Garamond"/>
          <w:b/>
          <w:lang w:eastAsia="pt-BR"/>
        </w:rPr>
        <w:t>Subseção II</w:t>
      </w:r>
    </w:p>
    <w:p w14:paraId="426104ED" w14:textId="77777777" w:rsidR="00395593" w:rsidRPr="005C5CBD" w:rsidRDefault="00395593" w:rsidP="00C3469C">
      <w:pPr>
        <w:pStyle w:val="Corpodetexto"/>
        <w:jc w:val="center"/>
        <w:rPr>
          <w:rFonts w:eastAsia="MS Gothic"/>
          <w:lang w:eastAsia="pt-BR"/>
        </w:rPr>
      </w:pPr>
      <w:r w:rsidRPr="0008528B">
        <w:rPr>
          <w:rFonts w:ascii="Garamond" w:eastAsia="MS Gothic" w:hAnsi="Garamond"/>
          <w:b/>
          <w:lang w:eastAsia="pt-BR"/>
        </w:rPr>
        <w:t>Da Alteração do Direito Compensatório</w:t>
      </w:r>
    </w:p>
    <w:p w14:paraId="1F06CA4C"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628B830C"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246. </w:t>
      </w:r>
      <w:r w:rsidRPr="005C5CBD">
        <w:rPr>
          <w:rFonts w:ascii="Garamond" w:eastAsia="Times New Roman" w:hAnsi="Garamond" w:cs="Calibri"/>
          <w:sz w:val="24"/>
          <w:szCs w:val="24"/>
          <w:lang w:eastAsia="pt-BR"/>
        </w:rPr>
        <w:t>O direito compensatório poderá ser alterado caso tenha deixado de ser suficiente ou tenha se tornado excessivo para neutralizar os efeitos do subsídio acionável, ou caso tenha se tornado insuficiente para neutralizar o dano à indústria doméstica causado pelas importações do produto objeto do direito.</w:t>
      </w:r>
    </w:p>
    <w:p w14:paraId="1D2F6177"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3DBAE09B" w14:textId="4C9ADCA8"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Parágrafo único.  Caso exista direito antidumping em vigor para o mesmo produto e origem sujeita ao direito compensatório objeto da revisão por alteração das circunstâncias, a Subsecretaria de Defesa Comercial e Interesse Público observará a vedação à aplicação de duplo remédio, conforme disposto no art. </w:t>
      </w:r>
      <w:r w:rsidR="00701DA1">
        <w:rPr>
          <w:rFonts w:ascii="Garamond" w:eastAsia="Times New Roman" w:hAnsi="Garamond" w:cs="Calibri"/>
          <w:sz w:val="24"/>
          <w:szCs w:val="24"/>
          <w:lang w:eastAsia="pt-BR"/>
        </w:rPr>
        <w:t>119</w:t>
      </w:r>
      <w:r w:rsidR="00E15FBB" w:rsidRPr="005C5CBD">
        <w:rPr>
          <w:rFonts w:ascii="Garamond" w:eastAsia="Times New Roman" w:hAnsi="Garamond" w:cs="Calibri"/>
          <w:sz w:val="24"/>
          <w:szCs w:val="24"/>
          <w:lang w:eastAsia="pt-BR"/>
        </w:rPr>
        <w:t>.</w:t>
      </w:r>
    </w:p>
    <w:p w14:paraId="454773FF"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6139E7BC"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247. </w:t>
      </w:r>
      <w:r w:rsidRPr="005C5CBD">
        <w:rPr>
          <w:rFonts w:ascii="Garamond" w:eastAsia="Times New Roman" w:hAnsi="Garamond" w:cs="Calibri"/>
          <w:sz w:val="24"/>
          <w:szCs w:val="24"/>
          <w:lang w:eastAsia="pt-BR"/>
        </w:rPr>
        <w:t xml:space="preserve">A petição com vistas à alteração do direito compensatório, conforme disposto na alínea “a” do inciso II do art. 99 do Decreto nº 10.839, de 2021, deverá conter indícios suficientes de que direito compensatório tenha deixado de ser suficiente para neutralizar o subsídio acionável, ou tenha se tornado excessivo para neutralizar os efeitos do subsídio acionável: </w:t>
      </w:r>
    </w:p>
    <w:p w14:paraId="057BF8EF"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a existência de subsídio durante a vigência da medida;</w:t>
      </w:r>
    </w:p>
    <w:p w14:paraId="00098FF1"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a criação ou a extinção de programas de subsídios em relação aos investigados na investigação original ou na revisão do direito compensatório mais recente;</w:t>
      </w:r>
    </w:p>
    <w:p w14:paraId="09E3BCFD"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III - a ampliação ou a redução relevante e consistente do montante de subsídios acionáveis concedidos aos produtores ou exportadores do produto objeto do direito compensatório; </w:t>
      </w:r>
    </w:p>
    <w:p w14:paraId="00D5DE61"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a aplicação ou extinção de medidas de defesa comercial sobre o produto similar da origem objeto do direito compensatório por outros países; e</w:t>
      </w:r>
    </w:p>
    <w:p w14:paraId="27C0CD4E"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 - comprovação, pela autoridade outorgante e responsável pela concessão e pela administração dos programas de subsídios investigados, sobre a adoção de medidas suficientes para neutralizar os benefícios decorrentes dos programas de subsídios sobre as exportações do produto objeto do direito compensatório para a República Federativa do Brasil.</w:t>
      </w:r>
    </w:p>
    <w:p w14:paraId="2A90F51C"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161802C9"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w:t>
      </w:r>
      <w:r w:rsidRPr="005C5CBD" w:rsidDel="0074090C">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Para fornecimento das informações solicitadas sobre os programas referidos nos incisos II e III, deverá ser utilizada, de forma complementar, a tabela constante no Apêndice III desta Portaria.</w:t>
      </w:r>
    </w:p>
    <w:p w14:paraId="322F9F6A"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68038527"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2º  Nos termos do artigo 13.2 do </w:t>
      </w:r>
      <w:r w:rsidRPr="005C5CBD">
        <w:rPr>
          <w:rFonts w:ascii="Garamond" w:eastAsia="Calibri" w:hAnsi="Garamond" w:cs="Calibri"/>
          <w:sz w:val="24"/>
          <w:szCs w:val="24"/>
          <w:lang w:eastAsia="pt-BR"/>
        </w:rPr>
        <w:t>Acordo Sobre Subsídios e Medidas Compensatórias</w:t>
      </w:r>
      <w:r w:rsidRPr="005C5CBD">
        <w:rPr>
          <w:rFonts w:ascii="Garamond" w:eastAsia="Times New Roman" w:hAnsi="Garamond" w:cs="Calibri"/>
          <w:sz w:val="24"/>
          <w:szCs w:val="24"/>
          <w:lang w:eastAsia="pt-BR"/>
        </w:rPr>
        <w:t xml:space="preserve">, durante a revisão, será oferecida aos governos dos países exportadores, cujos produtos são objeto da revisão, oportunidade de consultas acerca dos programas de subsídios, tanto no que se refere a programas já conhecidos como a programas novos em relação a procedimentos de investigação anteriores, com vistas a esclarecer os fatos e a alcançar soluções mutuamente satisfatórias. </w:t>
      </w:r>
    </w:p>
    <w:p w14:paraId="6A1810FB"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38504D3E"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248. A petição com vistas à alteração do direito compensatório, conforme disposto na alínea “b”, do inciso II do art. 99 do Decreto nº 10.839, de 2021, deverá conter indícios suficientes de que o direito compensatório tenha se tornado insuficiente para neutralizar o dano à indústria doméstica causado pelas importações do produto objeto do direito compensatório, incluindo: </w:t>
      </w:r>
    </w:p>
    <w:p w14:paraId="7BB0181D"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a situação da indústria doméstica durante a vigência do direito definitivo;</w:t>
      </w:r>
    </w:p>
    <w:p w14:paraId="2D9A1383"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o volume das importações do produto objeto do direito durante sua vigência e o comportamento dessas importações, em termos absolutos e relativos à produção ou ao consumo do produto similar no mercado interno brasileiro;</w:t>
      </w:r>
    </w:p>
    <w:p w14:paraId="0AEB4F8D"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o preço das importações do produto objeto do direito e o seu efeito sobre os preços do produto similar no mercado interno brasileiro, incluindo:</w:t>
      </w:r>
    </w:p>
    <w:p w14:paraId="0057883A" w14:textId="77777777" w:rsidR="00395593" w:rsidRPr="005C5CBD" w:rsidRDefault="00395593" w:rsidP="00B33904">
      <w:pPr>
        <w:pBdr>
          <w:top w:val="nil"/>
          <w:left w:val="nil"/>
          <w:bottom w:val="nil"/>
          <w:right w:val="nil"/>
          <w:between w:val="nil"/>
          <w:bar w:val="nil"/>
        </w:pBdr>
        <w:spacing w:before="300" w:after="30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 existência de subcotação significativa do preço das importações do produto objeto do direito em relação ao preço do produto similar no mercado brasileiro;</w:t>
      </w:r>
    </w:p>
    <w:p w14:paraId="3911CECB" w14:textId="77777777" w:rsidR="00395593" w:rsidRPr="005C5CBD" w:rsidRDefault="00395593" w:rsidP="00B33904">
      <w:pPr>
        <w:pBdr>
          <w:top w:val="nil"/>
          <w:left w:val="nil"/>
          <w:bottom w:val="nil"/>
          <w:right w:val="nil"/>
          <w:between w:val="nil"/>
          <w:bar w:val="nil"/>
        </w:pBdr>
        <w:spacing w:before="300" w:after="30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b) evidências de que as</w:t>
      </w:r>
      <w:r w:rsidRPr="005C5CBD" w:rsidDel="00707E47">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importações do produto objeto do direito tiveram por efeito deprimir significativamente os preços; e</w:t>
      </w:r>
    </w:p>
    <w:p w14:paraId="7B3724A6"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c) evidências de que as importações do produto objeto do direito tiveram por efeito suprimir significativamente aumento de preços que teria ocorrido na ausência de tais importações. </w:t>
      </w:r>
    </w:p>
    <w:p w14:paraId="0D85F9E8"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o impacto</w:t>
      </w:r>
      <w:r w:rsidRPr="005C5CBD" w:rsidDel="001239D3">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das importações do produto objeto do direito sobre a indústria doméstica, avaliado com base em todos os fatores e índices econômicos pertinentes definidos nos §§ 2º e 3º do art. 24 do Decreto nº 10.839, de 2021;</w:t>
      </w:r>
    </w:p>
    <w:p w14:paraId="67D0E7A9"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 - alterações nas condições de mercado no país exportador, no Brasil ou em terceiros mercados, incluindo alterações na oferta e na demanda do produto similar, em razão, por exemplo, da imposição de medidas de defesa comercial por outros países; e</w:t>
      </w:r>
    </w:p>
    <w:p w14:paraId="545428F1"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VI - o efeito de outros fatores que não as importações do produto objeto do direito sobre a indústria doméstica, tais como:</w:t>
      </w:r>
    </w:p>
    <w:p w14:paraId="3BB38AA1"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 volume e preço de importações não sujeitas ao direito compensatório;</w:t>
      </w:r>
    </w:p>
    <w:p w14:paraId="71DA1D99"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b) impacto de eventuais processos de liberalização das importações sobre os preços domésticos;</w:t>
      </w:r>
    </w:p>
    <w:p w14:paraId="57AE71FD"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c) contração na demanda ou mudanças nos padrões de consumo;</w:t>
      </w:r>
    </w:p>
    <w:p w14:paraId="5A57D70B"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d) práticas restritivas ao comércio de produtores domésticos e estrangeiros e a concorrência entre eles;</w:t>
      </w:r>
    </w:p>
    <w:p w14:paraId="76E19C8E"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e) progresso tecnológico;</w:t>
      </w:r>
    </w:p>
    <w:p w14:paraId="483FF270"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f) desempenho exportador;</w:t>
      </w:r>
    </w:p>
    <w:p w14:paraId="5844A075"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g) produtividade da indústria doméstica;</w:t>
      </w:r>
    </w:p>
    <w:p w14:paraId="5BCC8650"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h) consumo cativo; e</w:t>
      </w:r>
    </w:p>
    <w:p w14:paraId="504994C9" w14:textId="77777777" w:rsidR="00395593" w:rsidRPr="005C5CBD" w:rsidRDefault="00395593" w:rsidP="00B33904">
      <w:pPr>
        <w:spacing w:after="0" w:line="240" w:lineRule="auto"/>
        <w:ind w:firstLine="567"/>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importações ou revenda do produto importado pela indústria doméstica</w:t>
      </w:r>
    </w:p>
    <w:p w14:paraId="31DDC82D" w14:textId="77777777" w:rsidR="00395593" w:rsidRPr="005C5CBD" w:rsidRDefault="00395593" w:rsidP="00B33904">
      <w:pPr>
        <w:spacing w:after="0" w:line="240" w:lineRule="auto"/>
        <w:ind w:firstLine="567"/>
        <w:rPr>
          <w:rFonts w:ascii="Garamond" w:eastAsia="Times New Roman" w:hAnsi="Garamond" w:cs="Calibri"/>
          <w:sz w:val="24"/>
          <w:szCs w:val="24"/>
          <w:lang w:eastAsia="pt-BR"/>
        </w:rPr>
      </w:pPr>
    </w:p>
    <w:p w14:paraId="24552211" w14:textId="505A5FC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w:t>
      </w:r>
      <w:r w:rsidRPr="005C5CBD" w:rsidDel="007D4B92">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 xml:space="preserve"> O peticionário da revisão por alteração das circunstâncias nos termos do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 xml:space="preserve"> deverá apresentar, de forma sequencial, as respostas a cada um dos artigos da Seção XII do Capítulo III desta Portaria e preencher as tabelas de cada um dos apêndices indicados nos referidos artigos, referentes aos indicadores de desempenho de todos os intervalos que compõem o período de revisão, tal como definido no art. </w:t>
      </w:r>
      <w:r w:rsidR="009A659B">
        <w:rPr>
          <w:rFonts w:ascii="Garamond" w:eastAsia="Times New Roman" w:hAnsi="Garamond" w:cs="Calibri"/>
          <w:sz w:val="24"/>
          <w:szCs w:val="24"/>
          <w:lang w:eastAsia="pt-BR"/>
        </w:rPr>
        <w:t>241</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w:t>
      </w:r>
    </w:p>
    <w:p w14:paraId="7108B718"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76651A83"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2º  A petição deverá conter as informações referentes a todas as empresas que compõem a indústria doméstica, e os apêndices referentes aos indicadores de desempenho solicitados deverão ser preenchidos individualmente para cada empresa e também de forma consolidada para o conjunto das empresas que compõem a indústria doméstica, observadas as exceções específicas para as petições de indústrias fragmentadas. </w:t>
      </w:r>
    </w:p>
    <w:p w14:paraId="1FB70B1A" w14:textId="77777777" w:rsidR="00395593" w:rsidRPr="005C5CBD" w:rsidRDefault="00395593" w:rsidP="00B33904">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249. </w:t>
      </w:r>
      <w:r w:rsidRPr="005C5CBD">
        <w:rPr>
          <w:rFonts w:ascii="Garamond" w:eastAsia="Times New Roman" w:hAnsi="Garamond" w:cs="Calibri"/>
          <w:sz w:val="24"/>
          <w:szCs w:val="24"/>
          <w:lang w:eastAsia="pt-BR"/>
        </w:rPr>
        <w:t>Petições que envolvam o cálculo de novo montante de subsídios</w:t>
      </w:r>
      <w:r w:rsidRPr="005C5CBD">
        <w:rPr>
          <w:rFonts w:ascii="Garamond" w:eastAsia="Times New Roman" w:hAnsi="Garamond" w:cs="Calibri"/>
          <w:b/>
          <w:sz w:val="24"/>
          <w:szCs w:val="24"/>
          <w:lang w:eastAsia="pt-BR"/>
        </w:rPr>
        <w:t> </w:t>
      </w:r>
      <w:r w:rsidRPr="005C5CBD">
        <w:rPr>
          <w:rFonts w:ascii="Garamond" w:eastAsia="Times New Roman" w:hAnsi="Garamond" w:cs="Calibri"/>
          <w:sz w:val="24"/>
          <w:szCs w:val="24"/>
          <w:lang w:eastAsia="pt-BR"/>
        </w:rPr>
        <w:t>deverão incluir, entre outras informações, indícios de modificação relevante dos montantes de subsídios acionáveis,</w:t>
      </w:r>
      <w:r w:rsidRPr="005C5CBD" w:rsidDel="00B145C3">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incluindo:</w:t>
      </w:r>
    </w:p>
    <w:p w14:paraId="4C31B37F"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indícios da modificação dos programas relativos aos subsídios concedidos durante o período de revisão;</w:t>
      </w:r>
    </w:p>
    <w:p w14:paraId="29BFDAD1"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403A48EF"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sugestão de metodologias de cálculo do montante de subsídio; e</w:t>
      </w:r>
    </w:p>
    <w:p w14:paraId="170CDDD5"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63A6E229"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estimativa do montante de subsídios por volume</w:t>
      </w:r>
      <w:r w:rsidRPr="005C5CBD" w:rsidDel="00001B3C">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exportado do produto objeto do direito compensatório para o Brasil.</w:t>
      </w:r>
    </w:p>
    <w:p w14:paraId="143F1810"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538AD722"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w:t>
      </w:r>
      <w:r w:rsidRPr="005C5CBD" w:rsidDel="007D4B92">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 xml:space="preserve"> O peticionário deverá preencher o Apêndice IV e apresentar quaisquer outras informações que venham a fundamentar os indícios de modificação relevante dos montantes de subsídios e os cálculos apresentados.</w:t>
      </w:r>
    </w:p>
    <w:p w14:paraId="106C0B78"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1C00C573"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Caso seja iniciada uma revisão por alteração das circunstâncias que envolva novo montante de subsídios, os produtores/exportadores poderão receber questionário para apuração do montante de subsídios do período de revisão.</w:t>
      </w:r>
    </w:p>
    <w:p w14:paraId="64A391DC" w14:textId="77777777" w:rsidR="00395593" w:rsidRPr="005C5CBD" w:rsidRDefault="00395593" w:rsidP="00E15FBB">
      <w:pPr>
        <w:spacing w:after="0" w:line="240" w:lineRule="auto"/>
        <w:jc w:val="center"/>
        <w:rPr>
          <w:rFonts w:ascii="Garamond" w:eastAsia="Times New Roman" w:hAnsi="Garamond" w:cs="Calibri"/>
          <w:sz w:val="24"/>
          <w:szCs w:val="24"/>
          <w:lang w:eastAsia="pt-BR"/>
        </w:rPr>
      </w:pPr>
    </w:p>
    <w:p w14:paraId="721F90E4"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Seção V</w:t>
      </w:r>
    </w:p>
    <w:p w14:paraId="40067137" w14:textId="77777777" w:rsidR="00395593" w:rsidRPr="005C5CBD" w:rsidRDefault="00395593" w:rsidP="00C3469C">
      <w:pPr>
        <w:pStyle w:val="Corpodetexto"/>
        <w:jc w:val="center"/>
        <w:rPr>
          <w:lang w:eastAsia="pt-BR"/>
        </w:rPr>
      </w:pPr>
      <w:r w:rsidRPr="0008528B">
        <w:rPr>
          <w:rFonts w:ascii="Garamond" w:hAnsi="Garamond"/>
          <w:b/>
          <w:lang w:eastAsia="pt-BR"/>
        </w:rPr>
        <w:t>Da probabilidade de retomada da concessão de subsídios</w:t>
      </w:r>
    </w:p>
    <w:p w14:paraId="52322485"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68AFDE7A"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250. </w:t>
      </w:r>
      <w:r w:rsidRPr="005C5CBD">
        <w:rPr>
          <w:rFonts w:ascii="Garamond" w:eastAsia="Times New Roman" w:hAnsi="Garamond" w:cs="Calibri"/>
          <w:sz w:val="24"/>
          <w:szCs w:val="24"/>
          <w:lang w:eastAsia="pt-BR"/>
        </w:rPr>
        <w:t>A petição de</w:t>
      </w:r>
      <w:r w:rsidRPr="005C5CBD" w:rsidDel="00B97478">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revisão do direito por alteração das circunstâncias que vise à extinção ou à redução do montante do direito compensatório deverá conter elementos que possibilitem à Subsecretaria de Defesa Comercial e Interesse Público examinar objetivamente a probabilidade de retomada da concessão de subsídios, incluindo:</w:t>
      </w:r>
    </w:p>
    <w:p w14:paraId="3DF6D832"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41D0C2E4" w14:textId="77777777" w:rsidR="00395593" w:rsidRPr="005C5CBD" w:rsidRDefault="00395593" w:rsidP="00B33904">
      <w:pPr>
        <w:tabs>
          <w:tab w:val="left" w:pos="3828"/>
        </w:tabs>
        <w:spacing w:after="0" w:line="240" w:lineRule="auto"/>
        <w:ind w:firstLine="567"/>
        <w:contextualSpacing/>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políticas de desenvolvimento (gerais e regionais), políticas industriais, políticas setoriais, políticas de inovação e de fomento ao desenvolvimento tecnológico e</w:t>
      </w:r>
      <w:r w:rsidRPr="005C5CBD" w:rsidDel="0037396A">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políticas de comércio exterior;</w:t>
      </w:r>
    </w:p>
    <w:p w14:paraId="00D17EAC" w14:textId="77777777" w:rsidR="00395593" w:rsidRPr="005C5CBD" w:rsidRDefault="00395593" w:rsidP="00B33904">
      <w:pPr>
        <w:spacing w:after="0" w:line="240" w:lineRule="auto"/>
        <w:ind w:left="720" w:firstLine="567"/>
        <w:contextualSpacing/>
        <w:jc w:val="both"/>
        <w:rPr>
          <w:rFonts w:ascii="Garamond" w:eastAsia="Times New Roman" w:hAnsi="Garamond" w:cs="Calibri"/>
          <w:sz w:val="24"/>
          <w:szCs w:val="24"/>
        </w:rPr>
      </w:pPr>
    </w:p>
    <w:p w14:paraId="7FF537CA" w14:textId="77777777" w:rsidR="00395593" w:rsidRPr="005C5CBD" w:rsidRDefault="00395593" w:rsidP="00B33904">
      <w:pPr>
        <w:spacing w:after="0" w:line="240" w:lineRule="auto"/>
        <w:ind w:firstLine="567"/>
        <w:contextualSpacing/>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planos de desenvolvimento nacional ou regional;</w:t>
      </w:r>
    </w:p>
    <w:p w14:paraId="7D6A4022" w14:textId="77777777" w:rsidR="00395593" w:rsidRPr="005C5CBD" w:rsidRDefault="00395593" w:rsidP="00B33904">
      <w:pPr>
        <w:spacing w:after="0" w:line="240" w:lineRule="auto"/>
        <w:ind w:firstLine="567"/>
        <w:contextualSpacing/>
        <w:jc w:val="both"/>
        <w:rPr>
          <w:rFonts w:ascii="Garamond" w:eastAsia="Times New Roman" w:hAnsi="Garamond" w:cs="Calibri"/>
          <w:sz w:val="24"/>
          <w:szCs w:val="24"/>
          <w:lang w:eastAsia="pt-BR"/>
        </w:rPr>
      </w:pPr>
    </w:p>
    <w:p w14:paraId="702B588D" w14:textId="77777777" w:rsidR="00395593" w:rsidRPr="005C5CBD" w:rsidRDefault="00395593" w:rsidP="00B33904">
      <w:pPr>
        <w:spacing w:after="0" w:line="240" w:lineRule="auto"/>
        <w:ind w:firstLine="567"/>
        <w:contextualSpacing/>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III - orçamento público, com destaque para os subsídios concedidos às empresas; </w:t>
      </w:r>
    </w:p>
    <w:p w14:paraId="49F11155" w14:textId="77777777" w:rsidR="00395593" w:rsidRPr="005C5CBD" w:rsidRDefault="00395593" w:rsidP="00B33904">
      <w:pPr>
        <w:spacing w:after="0" w:line="240" w:lineRule="auto"/>
        <w:ind w:firstLine="567"/>
        <w:contextualSpacing/>
        <w:jc w:val="both"/>
        <w:rPr>
          <w:rFonts w:ascii="Garamond" w:eastAsia="Times New Roman" w:hAnsi="Garamond" w:cs="Calibri"/>
          <w:sz w:val="24"/>
          <w:szCs w:val="24"/>
          <w:lang w:eastAsia="pt-BR"/>
        </w:rPr>
      </w:pPr>
    </w:p>
    <w:p w14:paraId="4032CA50" w14:textId="77777777" w:rsidR="00395593" w:rsidRPr="005C5CBD" w:rsidRDefault="00395593" w:rsidP="00B33904">
      <w:pPr>
        <w:spacing w:before="6" w:after="283"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a aplicação ou a extinção de medidas compensatórias sobre o produto similar por outros países durante o período de revisão; e</w:t>
      </w:r>
    </w:p>
    <w:p w14:paraId="77883022" w14:textId="77777777" w:rsidR="00395593" w:rsidRPr="005C5CBD" w:rsidRDefault="00395593" w:rsidP="00B33904">
      <w:pPr>
        <w:spacing w:after="0" w:line="240" w:lineRule="auto"/>
        <w:ind w:firstLine="567"/>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 - quaisquer outros documentos contendo informações relevantes.</w:t>
      </w:r>
    </w:p>
    <w:p w14:paraId="3EAB76B9"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52F6601D" w14:textId="77777777" w:rsidR="00E15FBB" w:rsidRPr="005C5CBD" w:rsidRDefault="00E15FBB" w:rsidP="00E15FBB">
      <w:pPr>
        <w:autoSpaceDE w:val="0"/>
        <w:autoSpaceDN w:val="0"/>
        <w:adjustRightInd w:val="0"/>
        <w:spacing w:after="0" w:line="240" w:lineRule="auto"/>
        <w:jc w:val="both"/>
        <w:rPr>
          <w:rFonts w:ascii="Garamond" w:eastAsia="Times New Roman" w:hAnsi="Garamond" w:cs="Calibri"/>
          <w:sz w:val="24"/>
          <w:szCs w:val="24"/>
          <w:lang w:eastAsia="pt-BR"/>
        </w:rPr>
      </w:pPr>
    </w:p>
    <w:p w14:paraId="50D20842"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CAPÍTULO V</w:t>
      </w:r>
    </w:p>
    <w:p w14:paraId="2493B002"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DAS PETIÇÕES DE REVISÃO DE FINAL DE PERÍODO</w:t>
      </w:r>
    </w:p>
    <w:p w14:paraId="50D40302" w14:textId="77777777" w:rsidR="00395593" w:rsidRPr="005C5CBD" w:rsidRDefault="00395593" w:rsidP="00E15FBB">
      <w:pPr>
        <w:spacing w:after="0" w:line="240" w:lineRule="auto"/>
        <w:jc w:val="center"/>
        <w:rPr>
          <w:rFonts w:ascii="Garamond" w:eastAsia="Calibri" w:hAnsi="Garamond" w:cs="Calibri"/>
          <w:b/>
          <w:sz w:val="24"/>
          <w:szCs w:val="24"/>
        </w:rPr>
      </w:pPr>
    </w:p>
    <w:p w14:paraId="70844C19"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Seção I</w:t>
      </w:r>
    </w:p>
    <w:p w14:paraId="1E685C43"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Das instruções gerais</w:t>
      </w:r>
    </w:p>
    <w:p w14:paraId="63337EC4" w14:textId="77777777" w:rsidR="00395593" w:rsidRPr="005C5CBD" w:rsidRDefault="00395593" w:rsidP="00B33904">
      <w:pPr>
        <w:widowControl w:val="0"/>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251. </w:t>
      </w:r>
      <w:r w:rsidRPr="005C5CBD">
        <w:rPr>
          <w:rFonts w:ascii="Garamond" w:eastAsia="Times New Roman" w:hAnsi="Garamond" w:cs="Calibri"/>
          <w:color w:val="000000"/>
          <w:sz w:val="24"/>
          <w:szCs w:val="24"/>
          <w:lang w:eastAsia="pt-BR"/>
        </w:rPr>
        <w:t xml:space="preserve">As petições de revisão de final de período de que trata a </w:t>
      </w:r>
      <w:r w:rsidRPr="005C5CBD">
        <w:rPr>
          <w:rFonts w:ascii="Garamond" w:eastAsia="Times New Roman" w:hAnsi="Garamond" w:cs="Calibri"/>
          <w:sz w:val="24"/>
          <w:szCs w:val="24"/>
          <w:lang w:eastAsia="pt-BR"/>
        </w:rPr>
        <w:t xml:space="preserve">Subseção II da Seção II do Capítulo IX </w:t>
      </w:r>
      <w:r w:rsidRPr="005C5CBD">
        <w:rPr>
          <w:rFonts w:ascii="Garamond" w:eastAsia="Times New Roman" w:hAnsi="Garamond" w:cs="Calibri"/>
          <w:color w:val="000000"/>
          <w:sz w:val="24"/>
          <w:szCs w:val="24"/>
          <w:lang w:eastAsia="pt-BR"/>
        </w:rPr>
        <w:t xml:space="preserve">do Decreto nº 10.839, de 2021, deverão </w:t>
      </w:r>
      <w:r w:rsidRPr="005C5CBD">
        <w:rPr>
          <w:rFonts w:ascii="Garamond" w:eastAsia="Times New Roman" w:hAnsi="Garamond" w:cs="Calibri"/>
          <w:sz w:val="24"/>
          <w:szCs w:val="24"/>
          <w:lang w:eastAsia="pt-BR"/>
        </w:rPr>
        <w:t>ser solicitadas pela indústria doméstica, ou em seu nome, e</w:t>
      </w:r>
      <w:r w:rsidRPr="005C5CBD">
        <w:rPr>
          <w:rFonts w:ascii="Garamond" w:eastAsia="Times New Roman" w:hAnsi="Garamond" w:cs="Calibri"/>
          <w:color w:val="000000"/>
          <w:sz w:val="24"/>
          <w:szCs w:val="24"/>
          <w:lang w:eastAsia="pt-BR"/>
        </w:rPr>
        <w:t xml:space="preserve"> elaboradas utilizando-se exclusivamente do formato presente neste Capítulo.</w:t>
      </w:r>
    </w:p>
    <w:p w14:paraId="49931EA9" w14:textId="77777777" w:rsidR="00395593" w:rsidRPr="005C5CBD" w:rsidRDefault="00395593" w:rsidP="00B33904">
      <w:pPr>
        <w:spacing w:after="0" w:line="240" w:lineRule="auto"/>
        <w:ind w:firstLine="567"/>
        <w:rPr>
          <w:rFonts w:ascii="Garamond" w:eastAsia="Times New Roman" w:hAnsi="Garamond" w:cs="Calibri"/>
          <w:sz w:val="24"/>
          <w:szCs w:val="24"/>
          <w:lang w:eastAsia="pt-BR"/>
        </w:rPr>
      </w:pPr>
    </w:p>
    <w:p w14:paraId="2C0C2418" w14:textId="77777777" w:rsidR="00395593" w:rsidRPr="005C5CBD" w:rsidRDefault="00395593" w:rsidP="00B33904">
      <w:pPr>
        <w:widowControl w:val="0"/>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252. </w:t>
      </w:r>
      <w:r w:rsidRPr="005C5CBD">
        <w:rPr>
          <w:rFonts w:ascii="Garamond" w:eastAsia="Times New Roman" w:hAnsi="Garamond" w:cs="Calibri"/>
          <w:color w:val="000000"/>
          <w:sz w:val="24"/>
          <w:szCs w:val="24"/>
          <w:lang w:eastAsia="pt-BR"/>
        </w:rPr>
        <w:t>A petição de revisão de final de período deverá conter indícios de que a extinção do direito levaria muito provavelmente à continuação ou à retomada da concessão de subsídios e do dano dela decorrente, observado o disposto no art. 6º.</w:t>
      </w:r>
    </w:p>
    <w:p w14:paraId="68D1795E"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sz w:val="24"/>
          <w:szCs w:val="24"/>
          <w:lang w:eastAsia="pt-BR"/>
        </w:rPr>
      </w:pPr>
    </w:p>
    <w:p w14:paraId="472A0462" w14:textId="77777777" w:rsidR="00395593" w:rsidRPr="005C5CBD" w:rsidRDefault="00395593" w:rsidP="00B33904">
      <w:pPr>
        <w:widowControl w:val="0"/>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Parágrafo único. Caso o peticionário da revisão de final de período pleiteie a alteração do direito compensatório, conforme estabelecido pelo inciso II do art. 95 c/c § 1º do art. 91 do Decreto nº 10.839, de 2021, deverá ser protocolada, simultaneamente, petição de revisão do direito por alteração das circunstâncias, em conformidade com o estabelecido na Subseção II da Seção IV do Capítulo IV desta Portaria, </w:t>
      </w:r>
      <w:r w:rsidRPr="005C5CBD">
        <w:rPr>
          <w:rFonts w:ascii="Garamond" w:eastAsia="Times New Roman" w:hAnsi="Garamond" w:cs="Calibri"/>
          <w:sz w:val="24"/>
          <w:szCs w:val="24"/>
          <w:lang w:eastAsia="pt-BR"/>
        </w:rPr>
        <w:t>com vistas à alteração do montante do direito compensatório em vigor nos termos do Artigo 21.2 do Acordo Sobre Subsídios e Medidas Compensatórias</w:t>
      </w:r>
      <w:r w:rsidRPr="005C5CBD">
        <w:rPr>
          <w:rFonts w:ascii="Garamond" w:eastAsia="Times New Roman" w:hAnsi="Garamond" w:cs="Calibri"/>
          <w:color w:val="000000"/>
          <w:sz w:val="24"/>
          <w:szCs w:val="24"/>
          <w:lang w:eastAsia="pt-BR"/>
        </w:rPr>
        <w:t xml:space="preserve">. </w:t>
      </w:r>
    </w:p>
    <w:p w14:paraId="31F6F965" w14:textId="77777777" w:rsidR="00395593" w:rsidRPr="005C5CBD" w:rsidRDefault="00395593" w:rsidP="00B33904">
      <w:pPr>
        <w:widowControl w:val="0"/>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6ACA70B4" w14:textId="77777777" w:rsidR="00395593" w:rsidRPr="005C5CBD" w:rsidRDefault="00395593" w:rsidP="00B33904">
      <w:pPr>
        <w:widowControl w:val="0"/>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253.  O peticionário deverá observar o disposto no art. 5º acerca das fontes de informação aceitas para fins de instrução da petição.</w:t>
      </w:r>
    </w:p>
    <w:p w14:paraId="7352A17F"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440A8BEF" w14:textId="48276C19"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254. No caso de indústrias fragmentadas, aplicam-se, no que couber, as mesmas disposições previstas no art. </w:t>
      </w:r>
      <w:r w:rsidR="009A659B">
        <w:rPr>
          <w:rFonts w:ascii="Garamond" w:eastAsia="Calibri" w:hAnsi="Garamond" w:cs="Calibri"/>
          <w:sz w:val="24"/>
          <w:szCs w:val="24"/>
        </w:rPr>
        <w:t>125</w:t>
      </w:r>
      <w:r w:rsidR="00E15FBB" w:rsidRPr="005C5CBD">
        <w:rPr>
          <w:rFonts w:ascii="Garamond" w:eastAsia="Calibri" w:hAnsi="Garamond" w:cs="Calibri"/>
          <w:sz w:val="24"/>
          <w:szCs w:val="24"/>
        </w:rPr>
        <w:t xml:space="preserve"> desta Portaria.</w:t>
      </w:r>
      <w:r w:rsidRPr="005C5CBD">
        <w:rPr>
          <w:rFonts w:ascii="Garamond" w:eastAsia="Calibri" w:hAnsi="Garamond" w:cs="Calibri"/>
          <w:sz w:val="24"/>
          <w:szCs w:val="24"/>
        </w:rPr>
        <w:t xml:space="preserve">  </w:t>
      </w:r>
    </w:p>
    <w:p w14:paraId="63A720F8"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1DA8BF6F"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Parágrafo único.  A habilitação prévia da produção nacional de determinado produto como indústria fragmentada poderá ser utilizada para procedimento de revisão de final de período, desde que a Subsecretaria de Defesa Comercial e Interesse Público seja formalmente consultada previamente ao protocolo da petição, respeitado o previsto em ato específico da Secretaria de Comércio Exterior.  </w:t>
      </w:r>
    </w:p>
    <w:p w14:paraId="6DC4CA08" w14:textId="77777777" w:rsidR="00395593" w:rsidRPr="005C5CBD" w:rsidRDefault="00395593" w:rsidP="00B33904">
      <w:pPr>
        <w:widowControl w:val="0"/>
        <w:autoSpaceDE w:val="0"/>
        <w:autoSpaceDN w:val="0"/>
        <w:adjustRightInd w:val="0"/>
        <w:spacing w:after="0" w:line="240" w:lineRule="auto"/>
        <w:ind w:firstLine="567"/>
        <w:jc w:val="both"/>
        <w:rPr>
          <w:rFonts w:ascii="Garamond" w:eastAsia="Times New Roman" w:hAnsi="Garamond" w:cs="Calibri"/>
          <w:b/>
          <w:color w:val="000000"/>
          <w:sz w:val="24"/>
          <w:szCs w:val="24"/>
          <w:lang w:eastAsia="pt-BR"/>
        </w:rPr>
      </w:pPr>
    </w:p>
    <w:p w14:paraId="31878467" w14:textId="77777777" w:rsidR="00395593" w:rsidRPr="005C5CBD" w:rsidRDefault="00395593" w:rsidP="00B33904">
      <w:pPr>
        <w:spacing w:after="0" w:line="306" w:lineRule="exact"/>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255. Nos termos do § 1º do art. 91 do Decreto nº 10.839, de 2021, </w:t>
      </w:r>
      <w:r w:rsidRPr="005C5CBD">
        <w:rPr>
          <w:rFonts w:ascii="Garamond" w:eastAsia="Times New Roman" w:hAnsi="Garamond" w:cs="Calibri"/>
          <w:sz w:val="24"/>
          <w:szCs w:val="24"/>
          <w:lang w:eastAsia="pt-BR"/>
        </w:rPr>
        <w:t xml:space="preserve">uma vez iniciada a revisão de final de período, outras partes interessadas no processo de revisão de final de período poderão protocolar petição de início de revisão do direito por alteração das circunstâncias, com vistas à alteração do montante do direito compensatório em vigor. </w:t>
      </w:r>
    </w:p>
    <w:p w14:paraId="36EF21AF" w14:textId="77777777" w:rsidR="00395593" w:rsidRPr="005C5CBD" w:rsidRDefault="00395593" w:rsidP="00B33904">
      <w:pPr>
        <w:spacing w:after="0" w:line="306" w:lineRule="exact"/>
        <w:ind w:firstLine="567"/>
        <w:jc w:val="both"/>
        <w:rPr>
          <w:rFonts w:ascii="Garamond" w:eastAsia="Times New Roman" w:hAnsi="Garamond" w:cs="Calibri"/>
          <w:sz w:val="24"/>
          <w:szCs w:val="24"/>
          <w:lang w:eastAsia="pt-BR"/>
        </w:rPr>
      </w:pPr>
    </w:p>
    <w:p w14:paraId="0EEC0E3E" w14:textId="77777777" w:rsidR="00395593" w:rsidRPr="005C5CBD" w:rsidRDefault="00395593" w:rsidP="00B33904">
      <w:pPr>
        <w:spacing w:after="0" w:line="306"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1º  A petição referida no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 xml:space="preserve"> deverá observar o disposto no Capítulo IV desta Portaria , em especial os artigos constantes na </w:t>
      </w:r>
      <w:r w:rsidRPr="005C5CBD">
        <w:rPr>
          <w:rFonts w:ascii="Garamond" w:eastAsia="Times New Roman" w:hAnsi="Garamond" w:cs="Calibri"/>
          <w:color w:val="000000"/>
          <w:sz w:val="24"/>
          <w:szCs w:val="24"/>
          <w:lang w:eastAsia="pt-BR"/>
        </w:rPr>
        <w:t>Subseção II da Seção IV de referido Capítulo.</w:t>
      </w:r>
    </w:p>
    <w:p w14:paraId="10EB27EF" w14:textId="77777777" w:rsidR="00395593" w:rsidRPr="005C5CBD" w:rsidRDefault="00395593" w:rsidP="00B33904">
      <w:pPr>
        <w:spacing w:after="0" w:line="306" w:lineRule="exact"/>
        <w:ind w:firstLine="567"/>
        <w:jc w:val="both"/>
        <w:rPr>
          <w:rFonts w:ascii="Garamond" w:eastAsia="Times New Roman" w:hAnsi="Garamond" w:cs="Calibri"/>
          <w:sz w:val="24"/>
          <w:szCs w:val="24"/>
          <w:lang w:eastAsia="pt-BR"/>
        </w:rPr>
      </w:pPr>
    </w:p>
    <w:p w14:paraId="2867B346" w14:textId="77777777" w:rsidR="00395593" w:rsidRPr="005C5CBD" w:rsidRDefault="00395593" w:rsidP="00B33904">
      <w:pPr>
        <w:spacing w:after="0" w:line="306"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2º  A </w:t>
      </w:r>
      <w:r w:rsidRPr="005C5CBD">
        <w:rPr>
          <w:rFonts w:ascii="Garamond" w:eastAsia="Calibri" w:hAnsi="Garamond" w:cs="Calibri"/>
          <w:sz w:val="24"/>
          <w:szCs w:val="24"/>
          <w:lang w:eastAsia="pt-BR"/>
        </w:rPr>
        <w:t>Subsecretaria de Defesa Comercial e Interesse Público</w:t>
      </w:r>
      <w:r w:rsidRPr="005C5CBD">
        <w:rPr>
          <w:rFonts w:ascii="Garamond" w:eastAsia="Times New Roman" w:hAnsi="Garamond" w:cs="Calibri"/>
          <w:sz w:val="24"/>
          <w:szCs w:val="24"/>
          <w:lang w:eastAsia="pt-BR"/>
        </w:rPr>
        <w:t xml:space="preserve"> poderá conduzir os processos de revisão de final de período e de alteração das circunstâncias de forma simultânea ou combinada, nos termos do art. 7º.</w:t>
      </w:r>
    </w:p>
    <w:p w14:paraId="2D5547CB" w14:textId="77777777" w:rsidR="00395593" w:rsidRPr="005C5CBD" w:rsidRDefault="00395593" w:rsidP="00B33904">
      <w:pPr>
        <w:spacing w:after="0" w:line="306" w:lineRule="exact"/>
        <w:ind w:firstLine="567"/>
        <w:jc w:val="both"/>
        <w:rPr>
          <w:rFonts w:ascii="Garamond" w:eastAsia="Times New Roman" w:hAnsi="Garamond" w:cs="Calibri"/>
          <w:sz w:val="24"/>
          <w:szCs w:val="24"/>
          <w:lang w:eastAsia="pt-BR"/>
        </w:rPr>
      </w:pPr>
    </w:p>
    <w:p w14:paraId="3BAFF589" w14:textId="4E37C205" w:rsidR="00395593" w:rsidRPr="005C5CBD" w:rsidRDefault="00395593" w:rsidP="00B33904">
      <w:pPr>
        <w:spacing w:after="0" w:line="306"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3º  Para que os processos sejam conduzidos de forma simultânea ou combinada, outras partes interessadas deverão apresentar a petição de início da revisão do direito por alteração das circunstâncias no prazo de até 90 dias do início da revisão de final de período, salvo se o peticionário da revisão de final de período já tenha solicitado o início da revisão por alteração das circunstâncias, conforme previsto no parágrafo único do art. </w:t>
      </w:r>
      <w:r w:rsidR="009A659B">
        <w:rPr>
          <w:rFonts w:ascii="Garamond" w:eastAsia="Times New Roman" w:hAnsi="Garamond" w:cs="Calibri"/>
          <w:sz w:val="24"/>
          <w:szCs w:val="24"/>
          <w:lang w:eastAsia="pt-BR"/>
        </w:rPr>
        <w:t>252</w:t>
      </w:r>
      <w:r w:rsidR="00E15FBB" w:rsidRPr="005C5CBD">
        <w:rPr>
          <w:rFonts w:ascii="Garamond" w:eastAsia="Times New Roman" w:hAnsi="Garamond" w:cs="Calibri"/>
          <w:sz w:val="24"/>
          <w:szCs w:val="24"/>
          <w:lang w:eastAsia="pt-BR"/>
        </w:rPr>
        <w:t>.</w:t>
      </w:r>
      <w:r w:rsidRPr="005C5CBD" w:rsidDel="00890A11">
        <w:rPr>
          <w:rFonts w:ascii="Garamond" w:eastAsia="Times New Roman" w:hAnsi="Garamond" w:cs="Calibri"/>
          <w:sz w:val="24"/>
          <w:szCs w:val="24"/>
          <w:lang w:eastAsia="pt-BR"/>
        </w:rPr>
        <w:t xml:space="preserve"> </w:t>
      </w:r>
    </w:p>
    <w:p w14:paraId="686B6AD9" w14:textId="77777777" w:rsidR="00395593" w:rsidRPr="005C5CBD" w:rsidRDefault="00395593" w:rsidP="00B33904">
      <w:pPr>
        <w:spacing w:after="0" w:line="306" w:lineRule="exact"/>
        <w:ind w:firstLine="567"/>
        <w:jc w:val="both"/>
        <w:rPr>
          <w:rFonts w:ascii="Garamond" w:eastAsia="Times New Roman" w:hAnsi="Garamond" w:cs="Calibri"/>
          <w:sz w:val="24"/>
          <w:szCs w:val="24"/>
          <w:lang w:eastAsia="pt-BR"/>
        </w:rPr>
      </w:pPr>
    </w:p>
    <w:p w14:paraId="7BEEFE1D" w14:textId="77777777" w:rsidR="00395593" w:rsidRPr="005C5CBD" w:rsidRDefault="00395593" w:rsidP="00B33904">
      <w:pPr>
        <w:spacing w:after="0" w:line="306"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4º  As revisões por alteração das circunstâncias deverão ser solicitadas por meio de petição escrita, devidamente fundamentada com base em indícios, conforme o disposto no Capítulo IV desta Portaria.</w:t>
      </w:r>
    </w:p>
    <w:p w14:paraId="1A97A555" w14:textId="77777777" w:rsidR="00395593" w:rsidRPr="005C5CBD" w:rsidRDefault="00395593" w:rsidP="00B33904">
      <w:pPr>
        <w:spacing w:after="0" w:line="306" w:lineRule="exact"/>
        <w:ind w:firstLine="567"/>
        <w:jc w:val="both"/>
        <w:rPr>
          <w:rFonts w:ascii="Garamond" w:eastAsia="Times New Roman" w:hAnsi="Garamond" w:cs="Calibri"/>
          <w:sz w:val="24"/>
          <w:szCs w:val="24"/>
          <w:lang w:eastAsia="pt-BR"/>
        </w:rPr>
      </w:pPr>
    </w:p>
    <w:p w14:paraId="46AE7F07" w14:textId="77777777" w:rsidR="00395593" w:rsidRPr="005C5CBD" w:rsidRDefault="00395593" w:rsidP="00B33904">
      <w:pPr>
        <w:spacing w:after="0" w:line="306"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5º  Somente por meio de revisões por alteração das circunstâncias o direito aplicado poderá ser alterado, nos termos do inciso II do art. 95 do</w:t>
      </w:r>
      <w:r w:rsidRPr="005C5CBD" w:rsidDel="00C847E3">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Decreto nº 10.839, de 2021.</w:t>
      </w:r>
    </w:p>
    <w:p w14:paraId="2F4BFE85" w14:textId="77777777" w:rsidR="00395593" w:rsidRPr="005C5CBD" w:rsidRDefault="00395593" w:rsidP="00B33904">
      <w:pPr>
        <w:spacing w:after="0" w:line="306" w:lineRule="exact"/>
        <w:ind w:firstLine="567"/>
        <w:jc w:val="both"/>
        <w:rPr>
          <w:rFonts w:ascii="Garamond" w:eastAsia="Times New Roman" w:hAnsi="Garamond" w:cs="Calibri"/>
          <w:sz w:val="24"/>
          <w:szCs w:val="24"/>
          <w:lang w:eastAsia="pt-BR"/>
        </w:rPr>
      </w:pPr>
    </w:p>
    <w:p w14:paraId="116FF907" w14:textId="77777777" w:rsidR="00395593" w:rsidRPr="005C5CBD" w:rsidRDefault="00395593" w:rsidP="00B33904">
      <w:pPr>
        <w:widowControl w:val="0"/>
        <w:autoSpaceDE w:val="0"/>
        <w:autoSpaceDN w:val="0"/>
        <w:adjustRightInd w:val="0"/>
        <w:spacing w:after="0" w:line="306"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6º  Caso não seja conduzida revisão por alteração das circunstâncias de forma simultânea ou combinada, como resultado de uma revisão de final de período, o direito compensatório poderá ser extinto ou mantido. </w:t>
      </w:r>
    </w:p>
    <w:p w14:paraId="0FB14AAD" w14:textId="77777777" w:rsidR="00395593" w:rsidRPr="005C5CBD" w:rsidRDefault="00395593" w:rsidP="00B33904">
      <w:pPr>
        <w:widowControl w:val="0"/>
        <w:autoSpaceDE w:val="0"/>
        <w:autoSpaceDN w:val="0"/>
        <w:adjustRightInd w:val="0"/>
        <w:spacing w:after="0" w:line="306" w:lineRule="exact"/>
        <w:ind w:firstLine="567"/>
        <w:jc w:val="both"/>
        <w:rPr>
          <w:rFonts w:ascii="Garamond" w:eastAsia="Times New Roman" w:hAnsi="Garamond" w:cs="Calibri"/>
          <w:sz w:val="24"/>
          <w:szCs w:val="24"/>
          <w:lang w:eastAsia="pt-BR"/>
        </w:rPr>
      </w:pPr>
    </w:p>
    <w:p w14:paraId="1F8A8D1E" w14:textId="77777777" w:rsidR="00395593" w:rsidRPr="005C5CBD" w:rsidRDefault="00395593" w:rsidP="00B33904">
      <w:pPr>
        <w:widowControl w:val="0"/>
        <w:autoSpaceDE w:val="0"/>
        <w:autoSpaceDN w:val="0"/>
        <w:adjustRightInd w:val="0"/>
        <w:spacing w:after="0" w:line="306"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7º  Para serem conduzidas de forma combinada, nos termos do art. 7º, a petição de revisão por alteração das circunstâncias apresentada por parte interessada na revisão de final de período no prazo previsto no § 3º deverá ser protocolada por meio de peticionamento intercorrente no âmbito do próprio processo administrativo referente à revisão de final de período.  </w:t>
      </w:r>
    </w:p>
    <w:p w14:paraId="21546934" w14:textId="77777777" w:rsidR="00395593" w:rsidRPr="005C5CBD" w:rsidRDefault="00395593" w:rsidP="00B33904">
      <w:pPr>
        <w:widowControl w:val="0"/>
        <w:autoSpaceDE w:val="0"/>
        <w:autoSpaceDN w:val="0"/>
        <w:adjustRightInd w:val="0"/>
        <w:spacing w:after="0" w:line="306" w:lineRule="exact"/>
        <w:ind w:firstLine="567"/>
        <w:jc w:val="both"/>
        <w:rPr>
          <w:rFonts w:ascii="Garamond" w:eastAsia="Times New Roman" w:hAnsi="Garamond" w:cs="Calibri"/>
          <w:sz w:val="24"/>
          <w:szCs w:val="24"/>
          <w:lang w:eastAsia="pt-BR"/>
        </w:rPr>
      </w:pPr>
    </w:p>
    <w:p w14:paraId="3E54B74C" w14:textId="77777777" w:rsidR="00395593" w:rsidRPr="005C5CBD" w:rsidRDefault="00395593" w:rsidP="00B33904">
      <w:pPr>
        <w:spacing w:before="6" w:after="283" w:line="240" w:lineRule="auto"/>
        <w:ind w:firstLine="567"/>
        <w:jc w:val="both"/>
        <w:rPr>
          <w:rFonts w:ascii="Garamond" w:eastAsia="Times New Roman" w:hAnsi="Garamond" w:cs="Times New Roman"/>
          <w:sz w:val="20"/>
          <w:szCs w:val="20"/>
          <w:lang w:eastAsia="pt-BR"/>
        </w:rPr>
      </w:pPr>
      <w:r w:rsidRPr="005C5CBD">
        <w:rPr>
          <w:rFonts w:ascii="Garamond" w:eastAsia="Calibri" w:hAnsi="Garamond" w:cs="Calibri"/>
          <w:kern w:val="1"/>
          <w:sz w:val="24"/>
          <w:szCs w:val="24"/>
          <w:lang w:eastAsia="hi-IN" w:bidi="hi-IN"/>
        </w:rPr>
        <w:t xml:space="preserve">§ 8º  </w:t>
      </w:r>
      <w:r w:rsidRPr="005C5CBD">
        <w:rPr>
          <w:rFonts w:ascii="Garamond" w:eastAsia="Lucida Sans Unicode" w:hAnsi="Garamond" w:cs="Calibri"/>
          <w:kern w:val="1"/>
          <w:sz w:val="24"/>
          <w:szCs w:val="24"/>
          <w:lang w:eastAsia="hi-IN" w:bidi="hi-IN"/>
        </w:rPr>
        <w:t>Na hipótese do § 7º, a Secretaria de Comércio Exterior publicará emenda à circular de início da revisão no Diário Oficial da União</w:t>
      </w:r>
      <w:r w:rsidRPr="005C5CBD">
        <w:rPr>
          <w:rFonts w:ascii="Garamond" w:eastAsia="Times New Roman" w:hAnsi="Garamond" w:cs="Calibri"/>
          <w:sz w:val="24"/>
          <w:szCs w:val="24"/>
          <w:lang w:eastAsia="pt-BR"/>
        </w:rPr>
        <w:t xml:space="preserve">. </w:t>
      </w:r>
    </w:p>
    <w:p w14:paraId="5308BC6B" w14:textId="77777777" w:rsidR="00395593" w:rsidRPr="005C5CBD" w:rsidRDefault="00395593" w:rsidP="00B33904">
      <w:pPr>
        <w:widowControl w:val="0"/>
        <w:autoSpaceDE w:val="0"/>
        <w:autoSpaceDN w:val="0"/>
        <w:adjustRightInd w:val="0"/>
        <w:spacing w:after="0" w:line="306" w:lineRule="exact"/>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256. </w:t>
      </w:r>
      <w:r w:rsidRPr="005C5CBD">
        <w:rPr>
          <w:rFonts w:ascii="Garamond" w:eastAsia="Times New Roman" w:hAnsi="Garamond" w:cs="Calibri"/>
          <w:sz w:val="24"/>
          <w:szCs w:val="24"/>
          <w:lang w:eastAsia="pt-BR"/>
        </w:rPr>
        <w:t>As disposições deste Capítulo aplicam-se igualmente às revisões de final de período de compromisso.</w:t>
      </w:r>
    </w:p>
    <w:p w14:paraId="11313E99" w14:textId="77777777" w:rsidR="00395593" w:rsidRPr="0008528B" w:rsidRDefault="00395593" w:rsidP="0008528B">
      <w:pPr>
        <w:pStyle w:val="Corpodetexto"/>
        <w:jc w:val="center"/>
        <w:rPr>
          <w:rFonts w:ascii="Garamond" w:hAnsi="Garamond"/>
          <w:b/>
          <w:lang w:eastAsia="pt-BR"/>
        </w:rPr>
      </w:pPr>
      <w:r w:rsidRPr="0008528B">
        <w:rPr>
          <w:rFonts w:ascii="Garamond" w:hAnsi="Garamond"/>
          <w:b/>
          <w:lang w:eastAsia="pt-BR"/>
        </w:rPr>
        <w:t>Seção II</w:t>
      </w:r>
    </w:p>
    <w:p w14:paraId="293B3260" w14:textId="77777777" w:rsidR="00395593" w:rsidRPr="005C5CBD" w:rsidRDefault="00395593" w:rsidP="00C3469C">
      <w:pPr>
        <w:pStyle w:val="Corpodetexto"/>
        <w:jc w:val="center"/>
        <w:rPr>
          <w:color w:val="000000"/>
          <w:lang w:eastAsia="pt-BR"/>
        </w:rPr>
      </w:pPr>
      <w:r w:rsidRPr="0008528B">
        <w:rPr>
          <w:rFonts w:ascii="Garamond" w:hAnsi="Garamond"/>
          <w:b/>
          <w:lang w:eastAsia="pt-BR"/>
        </w:rPr>
        <w:t>Do período de revisão</w:t>
      </w:r>
    </w:p>
    <w:p w14:paraId="5F084897" w14:textId="77777777" w:rsidR="00395593" w:rsidRPr="005C5CBD" w:rsidRDefault="00395593" w:rsidP="00E15FBB">
      <w:pPr>
        <w:widowControl w:val="0"/>
        <w:autoSpaceDE w:val="0"/>
        <w:autoSpaceDN w:val="0"/>
        <w:adjustRightInd w:val="0"/>
        <w:spacing w:after="0" w:line="306" w:lineRule="exact"/>
        <w:jc w:val="both"/>
        <w:rPr>
          <w:rFonts w:ascii="Garamond" w:eastAsia="Times New Roman" w:hAnsi="Garamond" w:cs="Calibri"/>
          <w:sz w:val="24"/>
          <w:szCs w:val="24"/>
          <w:lang w:eastAsia="pt-BR"/>
        </w:rPr>
      </w:pPr>
    </w:p>
    <w:p w14:paraId="5BD5C024" w14:textId="77777777" w:rsidR="00395593" w:rsidRPr="005C5CBD" w:rsidRDefault="00395593" w:rsidP="00B33904">
      <w:pPr>
        <w:widowControl w:val="0"/>
        <w:autoSpaceDE w:val="0"/>
        <w:autoSpaceDN w:val="0"/>
        <w:adjustRightInd w:val="0"/>
        <w:spacing w:after="0" w:line="306" w:lineRule="exact"/>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257. </w:t>
      </w:r>
      <w:r w:rsidRPr="005C5CBD">
        <w:rPr>
          <w:rFonts w:ascii="Garamond" w:eastAsia="Times New Roman" w:hAnsi="Garamond" w:cs="Calibri"/>
          <w:color w:val="000000"/>
          <w:sz w:val="24"/>
          <w:szCs w:val="24"/>
          <w:lang w:eastAsia="pt-BR"/>
        </w:rPr>
        <w:t>A petição de revisão de final de período deverá ser protocolada, no m</w:t>
      </w:r>
      <w:r w:rsidRPr="005C5CBD">
        <w:rPr>
          <w:rFonts w:ascii="Garamond" w:eastAsia="Times New Roman" w:hAnsi="Garamond" w:cs="Garamond"/>
          <w:color w:val="000000"/>
          <w:sz w:val="24"/>
          <w:szCs w:val="24"/>
          <w:lang w:eastAsia="pt-BR"/>
        </w:rPr>
        <w:t>í</w:t>
      </w:r>
      <w:r w:rsidRPr="005C5CBD">
        <w:rPr>
          <w:rFonts w:ascii="Garamond" w:eastAsia="Times New Roman" w:hAnsi="Garamond" w:cs="Calibri"/>
          <w:color w:val="000000"/>
          <w:sz w:val="24"/>
          <w:szCs w:val="24"/>
          <w:lang w:eastAsia="pt-BR"/>
        </w:rPr>
        <w:t>nimo, quatro meses antes da data do t</w:t>
      </w:r>
      <w:r w:rsidRPr="005C5CBD">
        <w:rPr>
          <w:rFonts w:ascii="Garamond" w:eastAsia="Times New Roman" w:hAnsi="Garamond" w:cs="Garamond"/>
          <w:color w:val="000000"/>
          <w:sz w:val="24"/>
          <w:szCs w:val="24"/>
          <w:lang w:eastAsia="pt-BR"/>
        </w:rPr>
        <w:t>é</w:t>
      </w:r>
      <w:r w:rsidRPr="005C5CBD">
        <w:rPr>
          <w:rFonts w:ascii="Garamond" w:eastAsia="Times New Roman" w:hAnsi="Garamond" w:cs="Calibri"/>
          <w:color w:val="000000"/>
          <w:sz w:val="24"/>
          <w:szCs w:val="24"/>
          <w:lang w:eastAsia="pt-BR"/>
        </w:rPr>
        <w:t>rmino do per</w:t>
      </w:r>
      <w:r w:rsidRPr="005C5CBD">
        <w:rPr>
          <w:rFonts w:ascii="Garamond" w:eastAsia="Times New Roman" w:hAnsi="Garamond" w:cs="Garamond"/>
          <w:color w:val="000000"/>
          <w:sz w:val="24"/>
          <w:szCs w:val="24"/>
          <w:lang w:eastAsia="pt-BR"/>
        </w:rPr>
        <w:t>í</w:t>
      </w:r>
      <w:r w:rsidRPr="005C5CBD">
        <w:rPr>
          <w:rFonts w:ascii="Garamond" w:eastAsia="Times New Roman" w:hAnsi="Garamond" w:cs="Calibri"/>
          <w:color w:val="000000"/>
          <w:sz w:val="24"/>
          <w:szCs w:val="24"/>
          <w:lang w:eastAsia="pt-BR"/>
        </w:rPr>
        <w:t>odo de vig</w:t>
      </w:r>
      <w:r w:rsidRPr="005C5CBD">
        <w:rPr>
          <w:rFonts w:ascii="Garamond" w:eastAsia="Times New Roman" w:hAnsi="Garamond" w:cs="Garamond"/>
          <w:color w:val="000000"/>
          <w:sz w:val="24"/>
          <w:szCs w:val="24"/>
          <w:lang w:eastAsia="pt-BR"/>
        </w:rPr>
        <w:t>ê</w:t>
      </w:r>
      <w:r w:rsidRPr="005C5CBD">
        <w:rPr>
          <w:rFonts w:ascii="Garamond" w:eastAsia="Times New Roman" w:hAnsi="Garamond" w:cs="Calibri"/>
          <w:color w:val="000000"/>
          <w:sz w:val="24"/>
          <w:szCs w:val="24"/>
          <w:lang w:eastAsia="pt-BR"/>
        </w:rPr>
        <w:t>ncia do direito, sob pena de a petição ser considerada intempestiva.</w:t>
      </w:r>
    </w:p>
    <w:p w14:paraId="32390583"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sz w:val="24"/>
          <w:szCs w:val="24"/>
          <w:lang w:eastAsia="pt-BR"/>
        </w:rPr>
      </w:pPr>
    </w:p>
    <w:p w14:paraId="509543A9"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258. </w:t>
      </w:r>
      <w:r w:rsidRPr="005C5CBD">
        <w:rPr>
          <w:rFonts w:ascii="Garamond" w:eastAsia="Times New Roman" w:hAnsi="Garamond" w:cs="Calibri"/>
          <w:color w:val="000000"/>
          <w:sz w:val="24"/>
          <w:szCs w:val="24"/>
          <w:lang w:eastAsia="pt-BR"/>
        </w:rPr>
        <w:t>O período de revisão de continuação ou retomada da concessão de subsídios compreenderá 12 (doze) meses, preferencialmente encerrados em março, junho, setembro ou dezembro.</w:t>
      </w:r>
    </w:p>
    <w:p w14:paraId="095198C4" w14:textId="77777777" w:rsidR="00395593" w:rsidRPr="005C5CBD" w:rsidRDefault="00395593" w:rsidP="00B33904">
      <w:pPr>
        <w:spacing w:before="300" w:after="30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O período de revisão de continuação ou retomada da concessão de subsídios poderá coincidir com o ano fiscal mais recentemente encerrado e para o qual estejam disponíveis dados financeiros consolidados e outros dados contábeis confiáveis no país exportador.</w:t>
      </w:r>
    </w:p>
    <w:p w14:paraId="1A5E6009"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259. </w:t>
      </w:r>
      <w:r w:rsidRPr="005C5CBD">
        <w:rPr>
          <w:rFonts w:ascii="Garamond" w:eastAsia="Times New Roman" w:hAnsi="Garamond" w:cs="Calibri"/>
          <w:color w:val="000000"/>
          <w:sz w:val="24"/>
          <w:szCs w:val="24"/>
          <w:lang w:eastAsia="pt-BR"/>
        </w:rPr>
        <w:t xml:space="preserve">O período de revisão de continuação ou retomada do dano compreenderá 60 (sessenta) meses, divididos em cinco intervalos de 12 (doze) meses encerrados em </w:t>
      </w:r>
      <w:r w:rsidRPr="005C5CBD">
        <w:rPr>
          <w:rFonts w:ascii="Garamond" w:eastAsia="Times New Roman" w:hAnsi="Garamond" w:cs="Calibri"/>
          <w:sz w:val="24"/>
          <w:szCs w:val="24"/>
          <w:lang w:eastAsia="pt-BR"/>
        </w:rPr>
        <w:t>março, junho, setembro ou dezembro</w:t>
      </w:r>
      <w:r w:rsidRPr="005C5CBD">
        <w:rPr>
          <w:rFonts w:ascii="Garamond" w:eastAsia="Times New Roman" w:hAnsi="Garamond" w:cs="Calibri"/>
          <w:color w:val="000000"/>
          <w:sz w:val="24"/>
          <w:szCs w:val="24"/>
          <w:lang w:eastAsia="pt-BR"/>
        </w:rPr>
        <w:t>, sendo que o intervalo mais recente deverá, preferencialmente, coincidir com o período de revisão de continuação ou retomada da concessão de subsídios, e os outros quatro intervalos compreenderão sucessivamente os doze meses anteriores aos primeiros.</w:t>
      </w:r>
    </w:p>
    <w:p w14:paraId="31970207"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09358855" w14:textId="413ABFD9"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260. Os períodos considerados para fins do disposto nos arts. </w:t>
      </w:r>
      <w:r w:rsidR="009A659B">
        <w:rPr>
          <w:rFonts w:ascii="Garamond" w:eastAsia="Calibri" w:hAnsi="Garamond" w:cs="Calibri"/>
          <w:sz w:val="24"/>
          <w:szCs w:val="24"/>
        </w:rPr>
        <w:t>258</w:t>
      </w:r>
      <w:r w:rsidR="00E15FBB" w:rsidRPr="005C5CBD">
        <w:rPr>
          <w:rFonts w:ascii="Garamond" w:eastAsia="Calibri" w:hAnsi="Garamond" w:cs="Calibri"/>
          <w:sz w:val="24"/>
          <w:szCs w:val="24"/>
        </w:rPr>
        <w:t xml:space="preserve"> e </w:t>
      </w:r>
      <w:r w:rsidR="009A659B">
        <w:rPr>
          <w:rFonts w:ascii="Garamond" w:eastAsia="Calibri" w:hAnsi="Garamond" w:cs="Calibri"/>
          <w:sz w:val="24"/>
          <w:szCs w:val="24"/>
        </w:rPr>
        <w:t>259</w:t>
      </w:r>
      <w:r w:rsidRPr="005C5CBD">
        <w:rPr>
          <w:rFonts w:ascii="Garamond" w:eastAsia="Calibri" w:hAnsi="Garamond" w:cs="Calibri"/>
          <w:sz w:val="24"/>
          <w:szCs w:val="24"/>
        </w:rPr>
        <w:t xml:space="preserve"> deverão ser indicados na petição.</w:t>
      </w:r>
    </w:p>
    <w:p w14:paraId="65BBEAC9" w14:textId="77777777" w:rsidR="00395593" w:rsidRPr="005C5CBD" w:rsidRDefault="00395593" w:rsidP="00E15FBB">
      <w:pPr>
        <w:autoSpaceDE w:val="0"/>
        <w:autoSpaceDN w:val="0"/>
        <w:adjustRightInd w:val="0"/>
        <w:spacing w:after="0" w:line="240" w:lineRule="auto"/>
        <w:jc w:val="both"/>
        <w:rPr>
          <w:rFonts w:ascii="Garamond" w:eastAsia="Times New Roman" w:hAnsi="Garamond" w:cs="Calibri"/>
          <w:color w:val="000000"/>
          <w:sz w:val="24"/>
          <w:szCs w:val="24"/>
          <w:lang w:eastAsia="pt-BR"/>
        </w:rPr>
      </w:pPr>
    </w:p>
    <w:p w14:paraId="0F9B5C6E"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Seção III</w:t>
      </w:r>
    </w:p>
    <w:p w14:paraId="56359F55" w14:textId="77777777" w:rsidR="00395593" w:rsidRPr="0008528B" w:rsidRDefault="00395593" w:rsidP="00C3469C">
      <w:pPr>
        <w:pStyle w:val="Corpodetexto"/>
        <w:jc w:val="center"/>
        <w:rPr>
          <w:rFonts w:ascii="Garamond" w:hAnsi="Garamond"/>
          <w:b/>
          <w:color w:val="000000"/>
          <w:lang w:eastAsia="pt-BR"/>
        </w:rPr>
      </w:pPr>
      <w:r w:rsidRPr="0008528B">
        <w:rPr>
          <w:rFonts w:ascii="Garamond" w:hAnsi="Garamond"/>
          <w:b/>
          <w:lang w:eastAsia="pt-BR"/>
        </w:rPr>
        <w:t>Do produto objeto do direito</w:t>
      </w:r>
      <w:r w:rsidRPr="0008528B">
        <w:rPr>
          <w:rFonts w:ascii="Garamond" w:hAnsi="Garamond"/>
          <w:b/>
          <w:color w:val="000000"/>
          <w:lang w:eastAsia="pt-BR"/>
        </w:rPr>
        <w:t xml:space="preserve"> compensatório</w:t>
      </w:r>
    </w:p>
    <w:p w14:paraId="622E62A2" w14:textId="77777777" w:rsidR="00395593" w:rsidRPr="005C5CBD" w:rsidRDefault="00395593" w:rsidP="00E15FBB">
      <w:pPr>
        <w:autoSpaceDE w:val="0"/>
        <w:autoSpaceDN w:val="0"/>
        <w:adjustRightInd w:val="0"/>
        <w:spacing w:after="0" w:line="240" w:lineRule="auto"/>
        <w:jc w:val="center"/>
        <w:rPr>
          <w:rFonts w:ascii="Garamond" w:eastAsia="Times New Roman" w:hAnsi="Garamond" w:cs="Calibri"/>
          <w:b/>
          <w:color w:val="000000"/>
          <w:sz w:val="24"/>
          <w:szCs w:val="24"/>
          <w:lang w:eastAsia="pt-BR"/>
        </w:rPr>
      </w:pPr>
    </w:p>
    <w:p w14:paraId="288ACA21"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261. </w:t>
      </w:r>
      <w:r w:rsidRPr="005C5CBD">
        <w:rPr>
          <w:rFonts w:ascii="Garamond" w:eastAsia="Times New Roman" w:hAnsi="Garamond" w:cs="Calibri"/>
          <w:color w:val="000000"/>
          <w:sz w:val="24"/>
          <w:szCs w:val="24"/>
          <w:lang w:eastAsia="pt-BR"/>
        </w:rPr>
        <w:t>A petição deverá conter</w:t>
      </w:r>
      <w:r w:rsidRPr="005C5CBD">
        <w:rPr>
          <w:rFonts w:ascii="Garamond" w:eastAsia="Times New Roman" w:hAnsi="Garamond" w:cs="Calibri"/>
          <w:b/>
          <w:color w:val="000000"/>
          <w:sz w:val="24"/>
          <w:szCs w:val="24"/>
          <w:lang w:eastAsia="pt-BR"/>
        </w:rPr>
        <w:t xml:space="preserve"> </w:t>
      </w:r>
      <w:r w:rsidRPr="005C5CBD">
        <w:rPr>
          <w:rFonts w:ascii="Garamond" w:eastAsia="Times New Roman" w:hAnsi="Garamond" w:cs="Calibri"/>
          <w:color w:val="000000"/>
          <w:sz w:val="24"/>
          <w:szCs w:val="24"/>
          <w:lang w:eastAsia="pt-BR"/>
        </w:rPr>
        <w:t>descrição do produto objeto do direito, indicando os itens da Nomenclatura Comum do MERCOSUL (NCM) em que se classifica o produto, de acordo com o definido no ato que aplicou ou prorrogou o direito compensatório.</w:t>
      </w:r>
    </w:p>
    <w:p w14:paraId="6F790F54"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 </w:t>
      </w:r>
    </w:p>
    <w:p w14:paraId="124E0454"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sz w:val="24"/>
          <w:szCs w:val="24"/>
          <w:lang w:eastAsia="pt-BR"/>
        </w:rPr>
        <w:t>§ 1º</w:t>
      </w:r>
      <w:r w:rsidRPr="005C5CBD">
        <w:rPr>
          <w:rFonts w:ascii="Garamond" w:eastAsia="Times New Roman" w:hAnsi="Garamond" w:cs="Calibri"/>
          <w:color w:val="000000"/>
          <w:sz w:val="24"/>
          <w:szCs w:val="24"/>
          <w:lang w:eastAsia="pt-BR"/>
        </w:rPr>
        <w:t xml:space="preserve">  A descrição do produto objeto do direito deverá seguir as disposições da Seção III do Capítulo III desta Portaria.  </w:t>
      </w:r>
    </w:p>
    <w:p w14:paraId="5608B2E7"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26C41E16"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sz w:val="24"/>
          <w:szCs w:val="24"/>
          <w:lang w:eastAsia="pt-BR"/>
        </w:rPr>
        <w:t>§ 2º</w:t>
      </w:r>
      <w:r w:rsidRPr="005C5CBD">
        <w:rPr>
          <w:rFonts w:ascii="Garamond" w:eastAsia="Times New Roman" w:hAnsi="Garamond" w:cs="Calibri"/>
          <w:color w:val="000000"/>
          <w:sz w:val="24"/>
          <w:szCs w:val="24"/>
          <w:lang w:eastAsia="pt-BR"/>
        </w:rPr>
        <w:t xml:space="preserve">  A petição deverá indicar o tratamento tarifário aplicável aos itens referidos no </w:t>
      </w:r>
      <w:r w:rsidRPr="005C5CBD">
        <w:rPr>
          <w:rFonts w:ascii="Garamond" w:eastAsia="Times New Roman" w:hAnsi="Garamond" w:cs="Calibri"/>
          <w:b/>
          <w:color w:val="000000"/>
          <w:sz w:val="24"/>
          <w:szCs w:val="24"/>
          <w:lang w:eastAsia="pt-BR"/>
        </w:rPr>
        <w:t>caput</w:t>
      </w:r>
      <w:r w:rsidRPr="005C5CBD">
        <w:rPr>
          <w:rFonts w:ascii="Garamond" w:eastAsia="Times New Roman" w:hAnsi="Garamond" w:cs="Calibri"/>
          <w:color w:val="000000"/>
          <w:sz w:val="24"/>
          <w:szCs w:val="24"/>
          <w:lang w:eastAsia="pt-BR"/>
        </w:rPr>
        <w:t xml:space="preserve"> durante o período de revisão de continuação ou retomada do dano, especificando quaisquer alterações ocorridas ao longo desse período.</w:t>
      </w:r>
    </w:p>
    <w:p w14:paraId="4CC3077C" w14:textId="77777777" w:rsidR="00395593" w:rsidRPr="005C5CBD" w:rsidRDefault="00395593" w:rsidP="00B33904">
      <w:pPr>
        <w:autoSpaceDE w:val="0"/>
        <w:autoSpaceDN w:val="0"/>
        <w:adjustRightInd w:val="0"/>
        <w:spacing w:after="0" w:line="240" w:lineRule="auto"/>
        <w:ind w:firstLine="567"/>
        <w:jc w:val="center"/>
        <w:rPr>
          <w:rFonts w:ascii="Garamond" w:eastAsia="Times New Roman" w:hAnsi="Garamond" w:cs="Calibri"/>
          <w:b/>
          <w:color w:val="000000"/>
          <w:sz w:val="24"/>
          <w:szCs w:val="24"/>
          <w:lang w:eastAsia="pt-BR"/>
        </w:rPr>
      </w:pPr>
    </w:p>
    <w:p w14:paraId="7103038D"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262. </w:t>
      </w:r>
      <w:r w:rsidRPr="005C5CBD">
        <w:rPr>
          <w:rFonts w:ascii="Garamond" w:eastAsia="Times New Roman" w:hAnsi="Garamond" w:cs="Calibri"/>
          <w:color w:val="000000"/>
          <w:sz w:val="24"/>
          <w:szCs w:val="24"/>
          <w:lang w:eastAsia="pt-BR"/>
        </w:rPr>
        <w:t>A petição deverá indicar o ato que aplicou ou prorrogou a aplicação direito compensatório às importações do produto objeto do direito.</w:t>
      </w:r>
    </w:p>
    <w:p w14:paraId="1BAC1A75" w14:textId="77777777" w:rsidR="00395593" w:rsidRPr="005C5CBD" w:rsidRDefault="00395593" w:rsidP="00E15FBB">
      <w:pPr>
        <w:autoSpaceDE w:val="0"/>
        <w:autoSpaceDN w:val="0"/>
        <w:adjustRightInd w:val="0"/>
        <w:spacing w:after="0" w:line="240" w:lineRule="auto"/>
        <w:jc w:val="both"/>
        <w:rPr>
          <w:rFonts w:ascii="Garamond" w:eastAsia="Times New Roman" w:hAnsi="Garamond" w:cs="Calibri"/>
          <w:color w:val="000000"/>
          <w:sz w:val="24"/>
          <w:szCs w:val="24"/>
          <w:lang w:eastAsia="pt-BR"/>
        </w:rPr>
      </w:pPr>
    </w:p>
    <w:p w14:paraId="347FB313" w14:textId="77777777" w:rsidR="00395593" w:rsidRPr="0008528B" w:rsidRDefault="00395593" w:rsidP="00C3469C">
      <w:pPr>
        <w:pStyle w:val="Corpodetexto"/>
        <w:jc w:val="center"/>
        <w:rPr>
          <w:rFonts w:ascii="Garamond" w:hAnsi="Garamond"/>
          <w:b/>
          <w:color w:val="000000"/>
          <w:lang w:eastAsia="pt-BR"/>
        </w:rPr>
      </w:pPr>
      <w:r w:rsidRPr="0008528B">
        <w:rPr>
          <w:rFonts w:ascii="Garamond" w:hAnsi="Garamond"/>
          <w:b/>
          <w:lang w:eastAsia="pt-BR"/>
        </w:rPr>
        <w:t>Seção IV</w:t>
      </w:r>
    </w:p>
    <w:p w14:paraId="2205BF10"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Do produto similar produzido no Brasil</w:t>
      </w:r>
    </w:p>
    <w:p w14:paraId="517F9683" w14:textId="77777777" w:rsidR="00395593" w:rsidRPr="005C5CBD" w:rsidRDefault="00395593" w:rsidP="00E15FBB">
      <w:pPr>
        <w:autoSpaceDE w:val="0"/>
        <w:autoSpaceDN w:val="0"/>
        <w:adjustRightInd w:val="0"/>
        <w:spacing w:after="0" w:line="240" w:lineRule="auto"/>
        <w:jc w:val="both"/>
        <w:rPr>
          <w:rFonts w:ascii="Garamond" w:eastAsia="Times New Roman" w:hAnsi="Garamond" w:cs="Calibri"/>
          <w:color w:val="000000"/>
          <w:sz w:val="24"/>
          <w:szCs w:val="24"/>
          <w:lang w:eastAsia="pt-BR"/>
        </w:rPr>
      </w:pPr>
    </w:p>
    <w:p w14:paraId="26BE074B"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263. </w:t>
      </w:r>
      <w:r w:rsidRPr="005C5CBD">
        <w:rPr>
          <w:rFonts w:ascii="Garamond" w:eastAsia="Times New Roman" w:hAnsi="Garamond" w:cs="Calibri"/>
          <w:sz w:val="24"/>
          <w:szCs w:val="24"/>
          <w:lang w:eastAsia="pt-BR"/>
        </w:rPr>
        <w:t xml:space="preserve">A petição de revisão de final de período deverá conter descrição detalhada sobre o produto similar produzido no Brasil e deverá seguir </w:t>
      </w:r>
      <w:r w:rsidRPr="005C5CBD">
        <w:rPr>
          <w:rFonts w:ascii="Garamond" w:eastAsia="Times New Roman" w:hAnsi="Garamond" w:cs="Calibri"/>
          <w:color w:val="000000"/>
          <w:sz w:val="24"/>
          <w:szCs w:val="24"/>
          <w:lang w:eastAsia="pt-BR"/>
        </w:rPr>
        <w:t xml:space="preserve">as disposições da Seção IV do Capítulo III desta Portaria.  </w:t>
      </w:r>
    </w:p>
    <w:p w14:paraId="632A8AB5"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p>
    <w:p w14:paraId="72182003" w14:textId="77777777" w:rsidR="00395593" w:rsidRPr="005C5CBD" w:rsidRDefault="00395593" w:rsidP="00B33904">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Caso a petição seja apresentada em nome de mais de uma empresa, as informações sobre o produto similar produzido no Brasil deverão ser fornecidas individualmente por cada uma delas.</w:t>
      </w:r>
    </w:p>
    <w:p w14:paraId="22910043" w14:textId="77777777" w:rsidR="00E15FBB" w:rsidRPr="005C5CBD" w:rsidRDefault="00E15FBB" w:rsidP="00E15FBB">
      <w:pPr>
        <w:autoSpaceDE w:val="0"/>
        <w:autoSpaceDN w:val="0"/>
        <w:adjustRightInd w:val="0"/>
        <w:spacing w:after="0" w:line="240" w:lineRule="auto"/>
        <w:jc w:val="both"/>
        <w:rPr>
          <w:rFonts w:ascii="Garamond" w:eastAsia="Times New Roman" w:hAnsi="Garamond" w:cs="Calibri"/>
          <w:color w:val="000000"/>
          <w:sz w:val="24"/>
          <w:szCs w:val="24"/>
          <w:lang w:eastAsia="pt-BR"/>
        </w:rPr>
      </w:pPr>
    </w:p>
    <w:p w14:paraId="2FC3D6D8" w14:textId="77777777" w:rsidR="00E15FBB" w:rsidRPr="0008528B" w:rsidRDefault="00E15FBB" w:rsidP="0008528B">
      <w:pPr>
        <w:pStyle w:val="Corpodetexto"/>
        <w:jc w:val="center"/>
        <w:rPr>
          <w:rFonts w:ascii="Garamond" w:hAnsi="Garamond"/>
          <w:b/>
          <w:color w:val="000000"/>
          <w:lang w:eastAsia="pt-BR"/>
        </w:rPr>
      </w:pPr>
      <w:r w:rsidRPr="0008528B">
        <w:rPr>
          <w:rFonts w:ascii="Garamond" w:hAnsi="Garamond"/>
          <w:b/>
          <w:lang w:eastAsia="pt-BR"/>
        </w:rPr>
        <w:t xml:space="preserve">Seção </w:t>
      </w:r>
      <w:r w:rsidRPr="0008528B">
        <w:rPr>
          <w:rFonts w:ascii="Garamond" w:hAnsi="Garamond"/>
          <w:b/>
          <w:color w:val="000000"/>
          <w:lang w:eastAsia="pt-BR"/>
        </w:rPr>
        <w:t>V</w:t>
      </w:r>
    </w:p>
    <w:p w14:paraId="0715E168" w14:textId="77777777" w:rsidR="00E15FBB" w:rsidRPr="0008528B" w:rsidRDefault="00E15FBB" w:rsidP="0008528B">
      <w:pPr>
        <w:pStyle w:val="Corpodetexto"/>
        <w:jc w:val="center"/>
        <w:rPr>
          <w:rFonts w:ascii="Garamond" w:hAnsi="Garamond"/>
          <w:b/>
          <w:color w:val="000000"/>
          <w:lang w:eastAsia="pt-BR"/>
        </w:rPr>
      </w:pPr>
      <w:r w:rsidRPr="0008528B">
        <w:rPr>
          <w:rFonts w:ascii="Garamond" w:hAnsi="Garamond"/>
          <w:b/>
          <w:lang w:eastAsia="pt-BR"/>
        </w:rPr>
        <w:t>Da indústria doméstica</w:t>
      </w:r>
    </w:p>
    <w:p w14:paraId="6D750A73" w14:textId="77777777" w:rsidR="00E15FBB" w:rsidRPr="005C5CBD" w:rsidRDefault="00E15FBB" w:rsidP="00E15FBB">
      <w:pPr>
        <w:autoSpaceDE w:val="0"/>
        <w:autoSpaceDN w:val="0"/>
        <w:adjustRightInd w:val="0"/>
        <w:spacing w:after="0" w:line="240" w:lineRule="auto"/>
        <w:jc w:val="center"/>
        <w:rPr>
          <w:rFonts w:ascii="Garamond" w:eastAsia="Times New Roman" w:hAnsi="Garamond" w:cs="Calibri"/>
          <w:b/>
          <w:color w:val="000000"/>
          <w:sz w:val="24"/>
          <w:szCs w:val="24"/>
          <w:lang w:eastAsia="pt-BR"/>
        </w:rPr>
      </w:pPr>
    </w:p>
    <w:p w14:paraId="3E1EDC68" w14:textId="1A9E0862" w:rsidR="00E15FBB" w:rsidRPr="005C5CBD" w:rsidRDefault="00E15FBB" w:rsidP="00B33904">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264. </w:t>
      </w:r>
      <w:r w:rsidRPr="005C5CBD">
        <w:rPr>
          <w:rFonts w:ascii="Garamond" w:eastAsia="Times New Roman" w:hAnsi="Garamond" w:cs="Calibri"/>
          <w:sz w:val="24"/>
          <w:szCs w:val="24"/>
          <w:lang w:eastAsia="pt-BR"/>
        </w:rPr>
        <w:t>As informações constantes do Apêndice I relativas a cada período deverão ser fornecidas</w:t>
      </w:r>
      <w:r w:rsidRPr="005C5CBD">
        <w:rPr>
          <w:rFonts w:ascii="Garamond" w:eastAsia="Times New Roman" w:hAnsi="Garamond" w:cs="Calibri"/>
          <w:color w:val="000000"/>
          <w:sz w:val="24"/>
          <w:szCs w:val="24"/>
          <w:lang w:eastAsia="pt-BR"/>
        </w:rPr>
        <w:t xml:space="preserve">, tal como definido no art. </w:t>
      </w:r>
      <w:r w:rsidR="009A659B">
        <w:rPr>
          <w:rFonts w:ascii="Garamond" w:eastAsia="Times New Roman" w:hAnsi="Garamond" w:cs="Calibri"/>
          <w:color w:val="000000"/>
          <w:sz w:val="24"/>
          <w:szCs w:val="24"/>
          <w:lang w:eastAsia="pt-BR"/>
        </w:rPr>
        <w:t>259</w:t>
      </w:r>
      <w:r w:rsidRPr="005C5CBD">
        <w:rPr>
          <w:rFonts w:ascii="Garamond" w:eastAsia="Times New Roman" w:hAnsi="Garamond" w:cs="Calibri"/>
          <w:color w:val="000000"/>
          <w:sz w:val="24"/>
          <w:szCs w:val="24"/>
          <w:lang w:eastAsia="pt-BR"/>
        </w:rPr>
        <w:t>.</w:t>
      </w:r>
    </w:p>
    <w:p w14:paraId="40FA5AB9"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5F7735FC"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265. A unidade utilizada para expressar o volume de produção (unidades, quilogramas, toneladas, peças, litros etc.) deverá ser informada. </w:t>
      </w:r>
    </w:p>
    <w:p w14:paraId="7B5EE906"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031E7B47"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266. O peticionário deverá informar a razão social e endereço das empresas que forneceram dados para fins da análise de dano</w:t>
      </w:r>
      <w:r w:rsidRPr="005C5CBD" w:rsidDel="002971A2">
        <w:rPr>
          <w:rFonts w:ascii="Garamond" w:eastAsia="Calibri" w:hAnsi="Garamond" w:cs="Calibri"/>
          <w:sz w:val="24"/>
          <w:szCs w:val="24"/>
        </w:rPr>
        <w:t xml:space="preserve"> </w:t>
      </w:r>
      <w:r w:rsidRPr="005C5CBD">
        <w:rPr>
          <w:rFonts w:ascii="Garamond" w:eastAsia="Calibri" w:hAnsi="Garamond" w:cs="Calibri"/>
          <w:sz w:val="24"/>
          <w:szCs w:val="24"/>
        </w:rPr>
        <w:t>(coluna A do Apêndice I).</w:t>
      </w:r>
    </w:p>
    <w:p w14:paraId="436BFC14" w14:textId="77777777" w:rsidR="00395593" w:rsidRPr="005C5CBD" w:rsidRDefault="00395593" w:rsidP="00E15FBB">
      <w:pPr>
        <w:spacing w:after="0" w:line="240" w:lineRule="auto"/>
        <w:jc w:val="both"/>
        <w:rPr>
          <w:rFonts w:ascii="Garamond" w:eastAsia="Calibri" w:hAnsi="Garamond" w:cs="Calibri"/>
          <w:sz w:val="24"/>
          <w:szCs w:val="24"/>
        </w:rPr>
      </w:pPr>
    </w:p>
    <w:p w14:paraId="20B26855" w14:textId="77777777" w:rsidR="00395593" w:rsidRPr="0008528B" w:rsidRDefault="00395593" w:rsidP="00C3469C">
      <w:pPr>
        <w:pStyle w:val="Corpodetexto"/>
        <w:jc w:val="center"/>
        <w:rPr>
          <w:rFonts w:ascii="Garamond" w:hAnsi="Garamond"/>
          <w:b/>
          <w:color w:val="000000"/>
          <w:lang w:eastAsia="pt-BR"/>
        </w:rPr>
      </w:pPr>
      <w:r w:rsidRPr="0008528B">
        <w:rPr>
          <w:rFonts w:ascii="Garamond" w:hAnsi="Garamond"/>
          <w:b/>
          <w:lang w:eastAsia="pt-BR"/>
        </w:rPr>
        <w:t xml:space="preserve">Seção </w:t>
      </w:r>
      <w:r w:rsidRPr="0008528B">
        <w:rPr>
          <w:rFonts w:ascii="Garamond" w:hAnsi="Garamond"/>
          <w:b/>
          <w:color w:val="000000"/>
          <w:lang w:eastAsia="pt-BR"/>
        </w:rPr>
        <w:t>VI</w:t>
      </w:r>
    </w:p>
    <w:p w14:paraId="77593FEB" w14:textId="77777777" w:rsidR="00395593" w:rsidRPr="0008528B" w:rsidRDefault="00395593" w:rsidP="00C3469C">
      <w:pPr>
        <w:pStyle w:val="Corpodetexto"/>
        <w:jc w:val="center"/>
        <w:rPr>
          <w:rFonts w:ascii="Garamond" w:hAnsi="Garamond"/>
          <w:b/>
          <w:color w:val="000000"/>
          <w:lang w:eastAsia="pt-BR"/>
        </w:rPr>
      </w:pPr>
      <w:r w:rsidRPr="0008528B">
        <w:rPr>
          <w:rFonts w:ascii="Garamond" w:hAnsi="Garamond"/>
          <w:b/>
          <w:lang w:eastAsia="pt-BR"/>
        </w:rPr>
        <w:t>Da</w:t>
      </w:r>
      <w:r w:rsidRPr="0008528B">
        <w:rPr>
          <w:rFonts w:ascii="Garamond" w:hAnsi="Garamond"/>
          <w:b/>
          <w:color w:val="000000"/>
          <w:lang w:eastAsia="pt-BR"/>
        </w:rPr>
        <w:t>s importações</w:t>
      </w:r>
    </w:p>
    <w:p w14:paraId="35F61FAB" w14:textId="77777777" w:rsidR="00395593" w:rsidRPr="005C5CBD" w:rsidRDefault="00395593" w:rsidP="00E15FBB">
      <w:pPr>
        <w:autoSpaceDE w:val="0"/>
        <w:autoSpaceDN w:val="0"/>
        <w:adjustRightInd w:val="0"/>
        <w:spacing w:after="0" w:line="240" w:lineRule="auto"/>
        <w:jc w:val="center"/>
        <w:rPr>
          <w:rFonts w:ascii="Garamond" w:eastAsia="Times New Roman" w:hAnsi="Garamond" w:cs="Calibri"/>
          <w:b/>
          <w:color w:val="000000"/>
          <w:sz w:val="24"/>
          <w:szCs w:val="24"/>
          <w:lang w:eastAsia="pt-BR"/>
        </w:rPr>
      </w:pPr>
    </w:p>
    <w:p w14:paraId="3E29C25B" w14:textId="77777777" w:rsidR="00395593" w:rsidRPr="005C5CBD" w:rsidRDefault="00395593" w:rsidP="00B33904">
      <w:pPr>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267. </w:t>
      </w:r>
      <w:r w:rsidRPr="005C5CBD">
        <w:rPr>
          <w:rFonts w:ascii="Garamond" w:eastAsia="Times New Roman" w:hAnsi="Garamond" w:cs="Calibri"/>
          <w:sz w:val="24"/>
          <w:szCs w:val="24"/>
          <w:lang w:eastAsia="pt-BR"/>
        </w:rPr>
        <w:t xml:space="preserve">A evolução das importações totais do produto objeto do direito e do produto similar de outras origens deverá ser fornecida na petição, em quantidade e em valor, para o período de revisão </w:t>
      </w:r>
      <w:r w:rsidRPr="005C5CBD">
        <w:rPr>
          <w:rFonts w:ascii="Garamond" w:eastAsia="Times New Roman" w:hAnsi="Garamond" w:cs="Calibri"/>
          <w:color w:val="000000"/>
          <w:sz w:val="24"/>
          <w:szCs w:val="24"/>
          <w:lang w:eastAsia="pt-BR"/>
        </w:rPr>
        <w:t xml:space="preserve">de continuação ou retomada do </w:t>
      </w:r>
      <w:r w:rsidRPr="005C5CBD">
        <w:rPr>
          <w:rFonts w:ascii="Garamond" w:eastAsia="Times New Roman" w:hAnsi="Garamond" w:cs="Calibri"/>
          <w:sz w:val="24"/>
          <w:szCs w:val="24"/>
          <w:lang w:eastAsia="pt-BR"/>
        </w:rPr>
        <w:t>de dano, por país exportador.</w:t>
      </w:r>
    </w:p>
    <w:p w14:paraId="6311F1BA" w14:textId="77777777" w:rsidR="00395593" w:rsidRPr="005C5CBD" w:rsidRDefault="00395593" w:rsidP="00E15FBB">
      <w:pPr>
        <w:autoSpaceDE w:val="0"/>
        <w:autoSpaceDN w:val="0"/>
        <w:adjustRightInd w:val="0"/>
        <w:spacing w:after="0" w:line="240" w:lineRule="auto"/>
        <w:jc w:val="both"/>
        <w:rPr>
          <w:rFonts w:ascii="Garamond" w:eastAsia="Times New Roman" w:hAnsi="Garamond" w:cs="Calibri"/>
          <w:color w:val="000000"/>
          <w:sz w:val="24"/>
          <w:szCs w:val="24"/>
          <w:lang w:eastAsia="pt-BR"/>
        </w:rPr>
      </w:pPr>
    </w:p>
    <w:p w14:paraId="42735026"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Seção VII</w:t>
      </w:r>
    </w:p>
    <w:p w14:paraId="5CD6AB01" w14:textId="5FE94EDF" w:rsidR="00E15FBB" w:rsidRPr="0008528B" w:rsidRDefault="0008528B" w:rsidP="0008528B">
      <w:pPr>
        <w:pStyle w:val="Corpodetexto"/>
        <w:tabs>
          <w:tab w:val="center" w:pos="4791"/>
          <w:tab w:val="left" w:pos="5940"/>
        </w:tabs>
        <w:rPr>
          <w:rFonts w:ascii="Garamond" w:hAnsi="Garamond"/>
          <w:b/>
          <w:lang w:eastAsia="pt-BR"/>
        </w:rPr>
      </w:pPr>
      <w:r>
        <w:rPr>
          <w:rFonts w:ascii="Garamond" w:hAnsi="Garamond"/>
          <w:b/>
          <w:lang w:eastAsia="pt-BR"/>
        </w:rPr>
        <w:tab/>
      </w:r>
      <w:r w:rsidR="00E15FBB" w:rsidRPr="0008528B">
        <w:rPr>
          <w:rFonts w:ascii="Garamond" w:hAnsi="Garamond"/>
          <w:b/>
          <w:lang w:eastAsia="pt-BR"/>
        </w:rPr>
        <w:t>Do mercado</w:t>
      </w:r>
      <w:r>
        <w:rPr>
          <w:rFonts w:ascii="Garamond" w:hAnsi="Garamond"/>
          <w:b/>
          <w:lang w:eastAsia="pt-BR"/>
        </w:rPr>
        <w:tab/>
      </w:r>
    </w:p>
    <w:p w14:paraId="326B201A" w14:textId="77777777" w:rsidR="00395593" w:rsidRPr="005C5CBD" w:rsidRDefault="00395593" w:rsidP="00E15FBB">
      <w:pPr>
        <w:autoSpaceDE w:val="0"/>
        <w:autoSpaceDN w:val="0"/>
        <w:adjustRightInd w:val="0"/>
        <w:spacing w:after="0" w:line="240" w:lineRule="auto"/>
        <w:jc w:val="both"/>
        <w:rPr>
          <w:rFonts w:ascii="Garamond" w:eastAsia="Times New Roman" w:hAnsi="Garamond" w:cs="Calibri"/>
          <w:color w:val="000000"/>
          <w:sz w:val="24"/>
          <w:szCs w:val="24"/>
          <w:lang w:eastAsia="pt-BR"/>
        </w:rPr>
      </w:pPr>
    </w:p>
    <w:p w14:paraId="52BB5E02"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268. A petição deverá conter informações sobre as formas de concorrência predominantes no mercado interno brasileiro (preço, diferenciação do produto, assistência técnica, rede de distribuição, propaganda etc.) durante o período de revisão </w:t>
      </w:r>
      <w:r w:rsidRPr="005C5CBD">
        <w:rPr>
          <w:rFonts w:ascii="Garamond" w:eastAsia="Calibri" w:hAnsi="Garamond" w:cs="Calibri"/>
          <w:color w:val="000000"/>
          <w:sz w:val="24"/>
          <w:szCs w:val="24"/>
        </w:rPr>
        <w:t xml:space="preserve">de continuação ou retomada do </w:t>
      </w:r>
      <w:r w:rsidRPr="005C5CBD">
        <w:rPr>
          <w:rFonts w:ascii="Garamond" w:eastAsia="Calibri" w:hAnsi="Garamond" w:cs="Calibri"/>
          <w:sz w:val="24"/>
          <w:szCs w:val="24"/>
        </w:rPr>
        <w:t>dano, incluindo informações sobre:</w:t>
      </w:r>
    </w:p>
    <w:p w14:paraId="79126763"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52153A0C"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características gerais da demanda e da oferta do produto similar;</w:t>
      </w:r>
    </w:p>
    <w:p w14:paraId="1360CC95"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03952B07"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acordos de comercialização e distribuição do produto;</w:t>
      </w:r>
    </w:p>
    <w:p w14:paraId="0CA0562E"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7E16E3BF"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III - clientes, usuários e consumidores típicos do produto;</w:t>
      </w:r>
    </w:p>
    <w:p w14:paraId="4F2C09B3"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677D06D8"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IV - existência de segmentação de mercado, como segmentação geográfica ou de produto;</w:t>
      </w:r>
    </w:p>
    <w:p w14:paraId="427C7F1C"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3D252B91"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V - causas da variabilidade da demanda interna brasileira, como flutuações sazonais, fatores que contribuem para o crescimento ou queda geral do mercado, regulação governamental e desenvolvimentos tecnológicos que afetam a demanda ou a produção;</w:t>
      </w:r>
    </w:p>
    <w:p w14:paraId="56051DB6"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1D51A643"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VI - forma como os produtos importados e o da indústria doméstica competem; </w:t>
      </w:r>
    </w:p>
    <w:p w14:paraId="60641554"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7A93322C"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VII - entrada de novos concorrentes relevantes;</w:t>
      </w:r>
    </w:p>
    <w:p w14:paraId="7BF8A915"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0D7B8870"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VIII - quaisquer outros fatores que influenciem o mercado.</w:t>
      </w:r>
    </w:p>
    <w:p w14:paraId="572DE343" w14:textId="77777777" w:rsidR="00395593" w:rsidRPr="005C5CBD" w:rsidRDefault="00395593" w:rsidP="00B33904">
      <w:pPr>
        <w:spacing w:after="0" w:line="240" w:lineRule="auto"/>
        <w:ind w:firstLine="567"/>
        <w:jc w:val="both"/>
        <w:rPr>
          <w:rFonts w:ascii="Garamond" w:eastAsia="Calibri" w:hAnsi="Garamond" w:cs="Calibri"/>
          <w:sz w:val="24"/>
          <w:szCs w:val="24"/>
        </w:rPr>
      </w:pPr>
    </w:p>
    <w:p w14:paraId="1674727C" w14:textId="77777777" w:rsidR="00395593" w:rsidRPr="005C5CBD" w:rsidRDefault="00395593" w:rsidP="00B3390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O peticionário deverá identificar se há substitutos comercialmente significativos para o produto objeto do direito compensatório disponíveis no mercado brasileiro.</w:t>
      </w:r>
    </w:p>
    <w:p w14:paraId="0C58BD2A" w14:textId="77777777" w:rsidR="00395593" w:rsidRPr="005C5CBD" w:rsidRDefault="00395593" w:rsidP="00E15FBB">
      <w:pPr>
        <w:spacing w:after="0" w:line="240" w:lineRule="auto"/>
        <w:jc w:val="both"/>
        <w:rPr>
          <w:rFonts w:ascii="Garamond" w:eastAsia="Calibri" w:hAnsi="Garamond" w:cs="Calibri"/>
          <w:sz w:val="24"/>
          <w:szCs w:val="24"/>
        </w:rPr>
      </w:pPr>
    </w:p>
    <w:p w14:paraId="435DBDFD" w14:textId="77777777" w:rsidR="00395593" w:rsidRPr="005C5CBD" w:rsidRDefault="00395593" w:rsidP="00BD76D9">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 xml:space="preserve">Art. 269. A petição deverá conter informações sobre as formas de concorrência predominantes no mercado global durante o período de revisão </w:t>
      </w:r>
      <w:r w:rsidRPr="005C5CBD">
        <w:rPr>
          <w:rFonts w:ascii="Garamond" w:eastAsia="Calibri" w:hAnsi="Garamond" w:cs="Calibri"/>
          <w:color w:val="000000"/>
          <w:sz w:val="24"/>
          <w:szCs w:val="24"/>
        </w:rPr>
        <w:t xml:space="preserve">de continuação ou retomada do </w:t>
      </w:r>
      <w:r w:rsidRPr="005C5CBD">
        <w:rPr>
          <w:rFonts w:ascii="Garamond" w:eastAsia="Calibri" w:hAnsi="Garamond" w:cs="Calibri"/>
          <w:sz w:val="24"/>
          <w:szCs w:val="24"/>
        </w:rPr>
        <w:t>dano, incluindo informações sobre:</w:t>
      </w:r>
    </w:p>
    <w:p w14:paraId="7E4E628E" w14:textId="77777777" w:rsidR="00395593" w:rsidRPr="005C5CBD" w:rsidRDefault="00395593" w:rsidP="00BD76D9">
      <w:pPr>
        <w:spacing w:after="0" w:line="240" w:lineRule="auto"/>
        <w:ind w:firstLineChars="100" w:firstLine="240"/>
        <w:jc w:val="both"/>
        <w:rPr>
          <w:rFonts w:ascii="Garamond" w:eastAsia="Calibri" w:hAnsi="Garamond" w:cs="Calibri"/>
          <w:sz w:val="24"/>
          <w:szCs w:val="24"/>
        </w:rPr>
      </w:pPr>
    </w:p>
    <w:p w14:paraId="2027E503" w14:textId="77777777" w:rsidR="00395593" w:rsidRPr="005C5CBD" w:rsidRDefault="00395593" w:rsidP="00BD76D9">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I - características gerais da demanda e da oferta do produto objeto do direito compensatório e do produto similar;</w:t>
      </w:r>
    </w:p>
    <w:p w14:paraId="35896EA5" w14:textId="77777777" w:rsidR="00395593" w:rsidRPr="005C5CBD" w:rsidRDefault="00395593" w:rsidP="00BD76D9">
      <w:pPr>
        <w:spacing w:after="0" w:line="240" w:lineRule="auto"/>
        <w:ind w:firstLineChars="100" w:firstLine="240"/>
        <w:jc w:val="both"/>
        <w:rPr>
          <w:rFonts w:ascii="Garamond" w:eastAsia="Calibri" w:hAnsi="Garamond" w:cs="Calibri"/>
          <w:sz w:val="24"/>
          <w:szCs w:val="24"/>
        </w:rPr>
      </w:pPr>
    </w:p>
    <w:p w14:paraId="74667F83" w14:textId="77777777" w:rsidR="00395593" w:rsidRPr="005C5CBD" w:rsidRDefault="00395593" w:rsidP="00BD76D9">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II - acordos de comercialização conhecidos e distribuição do produto no mercado global;</w:t>
      </w:r>
    </w:p>
    <w:p w14:paraId="1B36C10C" w14:textId="77777777" w:rsidR="00395593" w:rsidRPr="005C5CBD" w:rsidRDefault="00395593" w:rsidP="00BD76D9">
      <w:pPr>
        <w:spacing w:after="0" w:line="240" w:lineRule="auto"/>
        <w:ind w:firstLineChars="100" w:firstLine="240"/>
        <w:jc w:val="both"/>
        <w:rPr>
          <w:rFonts w:ascii="Garamond" w:eastAsia="Calibri" w:hAnsi="Garamond" w:cs="Calibri"/>
          <w:sz w:val="24"/>
          <w:szCs w:val="24"/>
        </w:rPr>
      </w:pPr>
    </w:p>
    <w:p w14:paraId="1E98B7F6" w14:textId="77777777" w:rsidR="00395593" w:rsidRPr="005C5CBD" w:rsidRDefault="00395593" w:rsidP="00BD76D9">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III - clientes, usuários e consumidores típicos do produto;</w:t>
      </w:r>
    </w:p>
    <w:p w14:paraId="63D62099" w14:textId="77777777" w:rsidR="00395593" w:rsidRPr="005C5CBD" w:rsidRDefault="00395593" w:rsidP="00BD76D9">
      <w:pPr>
        <w:spacing w:after="0" w:line="240" w:lineRule="auto"/>
        <w:ind w:firstLineChars="100" w:firstLine="240"/>
        <w:jc w:val="both"/>
        <w:rPr>
          <w:rFonts w:ascii="Garamond" w:eastAsia="Calibri" w:hAnsi="Garamond" w:cs="Calibri"/>
          <w:sz w:val="24"/>
          <w:szCs w:val="24"/>
        </w:rPr>
      </w:pPr>
    </w:p>
    <w:p w14:paraId="28AD6B52" w14:textId="77777777" w:rsidR="00395593" w:rsidRPr="005C5CBD" w:rsidRDefault="00395593" w:rsidP="00BD76D9">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IV - existência de segmentação de mercado, como segmentação geográfica ou de produto;</w:t>
      </w:r>
    </w:p>
    <w:p w14:paraId="1FFAE52F" w14:textId="77777777" w:rsidR="00395593" w:rsidRPr="005C5CBD" w:rsidRDefault="00395593" w:rsidP="00BD76D9">
      <w:pPr>
        <w:spacing w:after="0" w:line="240" w:lineRule="auto"/>
        <w:ind w:firstLineChars="100" w:firstLine="240"/>
        <w:jc w:val="both"/>
        <w:rPr>
          <w:rFonts w:ascii="Garamond" w:eastAsia="Calibri" w:hAnsi="Garamond" w:cs="Calibri"/>
          <w:sz w:val="24"/>
          <w:szCs w:val="24"/>
        </w:rPr>
      </w:pPr>
    </w:p>
    <w:p w14:paraId="7736FEFB" w14:textId="77777777" w:rsidR="00395593" w:rsidRPr="005C5CBD" w:rsidRDefault="00395593" w:rsidP="00BD76D9">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V - causas da variabilidade da demanda, como flutuações sazonais, fatores que contribuem para o crescimento ou queda geral do mercado, regulação governamental e desenvolvimentos tecnológicos que afetam a demanda ou a produção; e</w:t>
      </w:r>
    </w:p>
    <w:p w14:paraId="13E0EB42" w14:textId="77777777" w:rsidR="00395593" w:rsidRPr="005C5CBD" w:rsidRDefault="00395593" w:rsidP="00BD76D9">
      <w:pPr>
        <w:spacing w:after="0" w:line="240" w:lineRule="auto"/>
        <w:ind w:firstLineChars="100" w:firstLine="240"/>
        <w:jc w:val="both"/>
        <w:rPr>
          <w:rFonts w:ascii="Garamond" w:eastAsia="Calibri" w:hAnsi="Garamond" w:cs="Calibri"/>
          <w:sz w:val="24"/>
          <w:szCs w:val="24"/>
        </w:rPr>
      </w:pPr>
    </w:p>
    <w:p w14:paraId="36ADF10F" w14:textId="77777777" w:rsidR="00395593" w:rsidRPr="005C5CBD" w:rsidRDefault="00395593" w:rsidP="00BD76D9">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VI - quaisquer outros fatores que influenciem o mercado.</w:t>
      </w:r>
    </w:p>
    <w:p w14:paraId="4A059B20" w14:textId="77777777" w:rsidR="00395593" w:rsidRPr="005C5CBD" w:rsidRDefault="00395593" w:rsidP="00BD76D9">
      <w:pPr>
        <w:spacing w:after="0" w:line="240" w:lineRule="auto"/>
        <w:ind w:firstLineChars="100" w:firstLine="240"/>
        <w:jc w:val="both"/>
        <w:rPr>
          <w:rFonts w:ascii="Garamond" w:eastAsia="Calibri" w:hAnsi="Garamond" w:cs="Calibri"/>
          <w:sz w:val="24"/>
          <w:szCs w:val="24"/>
        </w:rPr>
      </w:pPr>
    </w:p>
    <w:p w14:paraId="541CE9D3" w14:textId="77777777" w:rsidR="00395593" w:rsidRPr="005C5CBD" w:rsidRDefault="00395593" w:rsidP="00BD76D9">
      <w:pPr>
        <w:spacing w:after="0" w:line="240" w:lineRule="auto"/>
        <w:ind w:firstLineChars="100" w:firstLine="240"/>
        <w:jc w:val="both"/>
        <w:rPr>
          <w:rFonts w:ascii="Garamond" w:eastAsia="Calibri" w:hAnsi="Garamond" w:cs="Calibri"/>
          <w:sz w:val="24"/>
          <w:szCs w:val="24"/>
        </w:rPr>
      </w:pPr>
      <w:r w:rsidRPr="005C5CBD">
        <w:rPr>
          <w:rFonts w:ascii="Garamond" w:eastAsia="Calibri" w:hAnsi="Garamond" w:cs="Calibri"/>
          <w:sz w:val="24"/>
          <w:szCs w:val="24"/>
        </w:rPr>
        <w:t>Parágrafo único. O peticionário deverá identificar se há substitutos comercialmente significativos para o produto objeto do direito compensatório disponíveis no mercado global.</w:t>
      </w:r>
    </w:p>
    <w:p w14:paraId="74431D44" w14:textId="77777777" w:rsidR="00395593" w:rsidRPr="005C5CBD" w:rsidRDefault="00395593" w:rsidP="00BD76D9">
      <w:pPr>
        <w:spacing w:after="0" w:line="240" w:lineRule="auto"/>
        <w:ind w:firstLineChars="100" w:firstLine="240"/>
        <w:jc w:val="both"/>
        <w:rPr>
          <w:rFonts w:ascii="Garamond" w:eastAsia="Calibri" w:hAnsi="Garamond" w:cs="Calibri"/>
          <w:sz w:val="24"/>
          <w:szCs w:val="24"/>
        </w:rPr>
      </w:pPr>
    </w:p>
    <w:p w14:paraId="4DC69CD5" w14:textId="77777777" w:rsidR="00395593" w:rsidRPr="005C5CBD" w:rsidRDefault="00395593" w:rsidP="00BD76D9">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270.</w:t>
      </w:r>
      <w:r w:rsidRPr="005C5CBD" w:rsidDel="00D804F0">
        <w:rPr>
          <w:rFonts w:ascii="Garamond" w:eastAsia="Calibri" w:hAnsi="Garamond" w:cs="Calibri"/>
          <w:sz w:val="24"/>
          <w:szCs w:val="24"/>
          <w:lang w:eastAsia="pt-BR"/>
        </w:rPr>
        <w:t xml:space="preserve"> </w:t>
      </w:r>
      <w:r w:rsidRPr="005C5CBD">
        <w:rPr>
          <w:rFonts w:ascii="Garamond" w:eastAsia="Times New Roman" w:hAnsi="Garamond" w:cs="Calibri"/>
          <w:sz w:val="24"/>
          <w:szCs w:val="24"/>
          <w:lang w:eastAsia="pt-BR"/>
        </w:rPr>
        <w:t>O peticionário deverá informar os motivos, reais e potenciais, que possam determinar a opção preferencial dos consumidores nacionais pelo produto objeto do direito compensatório, tais como preço, disponibilidade de oferta, qualidade, prazo de entrega, prazo e condições para pagamento, evolução tecnológica ou outras.</w:t>
      </w:r>
    </w:p>
    <w:p w14:paraId="577B7D35" w14:textId="77777777" w:rsidR="00395593" w:rsidRPr="005C5CBD" w:rsidRDefault="00395593" w:rsidP="00BD76D9">
      <w:pPr>
        <w:spacing w:after="0" w:line="240" w:lineRule="auto"/>
        <w:ind w:firstLineChars="100" w:firstLine="240"/>
        <w:jc w:val="both"/>
        <w:rPr>
          <w:rFonts w:ascii="Garamond" w:eastAsia="Times New Roman" w:hAnsi="Garamond" w:cs="Calibri"/>
          <w:sz w:val="24"/>
          <w:szCs w:val="24"/>
          <w:lang w:eastAsia="pt-BR"/>
        </w:rPr>
      </w:pPr>
    </w:p>
    <w:p w14:paraId="377F2E53" w14:textId="77777777" w:rsidR="00395593" w:rsidRPr="005C5CBD" w:rsidRDefault="00395593" w:rsidP="00BD76D9">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271. </w:t>
      </w:r>
      <w:r w:rsidRPr="005C5CBD">
        <w:rPr>
          <w:rFonts w:ascii="Garamond" w:eastAsia="Times New Roman" w:hAnsi="Garamond" w:cs="Calibri"/>
          <w:sz w:val="24"/>
          <w:szCs w:val="24"/>
          <w:lang w:eastAsia="pt-BR"/>
        </w:rPr>
        <w:t xml:space="preserve">O peticionário deverá esclarecer se, durante o período de revisão </w:t>
      </w:r>
      <w:r w:rsidRPr="005C5CBD">
        <w:rPr>
          <w:rFonts w:ascii="Garamond" w:eastAsia="Times New Roman" w:hAnsi="Garamond" w:cs="Calibri"/>
          <w:color w:val="000000"/>
          <w:sz w:val="24"/>
          <w:szCs w:val="24"/>
          <w:lang w:eastAsia="pt-BR"/>
        </w:rPr>
        <w:t xml:space="preserve">de continuação ou retomada do </w:t>
      </w:r>
      <w:r w:rsidRPr="005C5CBD">
        <w:rPr>
          <w:rFonts w:ascii="Garamond" w:eastAsia="Times New Roman" w:hAnsi="Garamond" w:cs="Calibri"/>
          <w:sz w:val="24"/>
          <w:szCs w:val="24"/>
          <w:lang w:eastAsia="pt-BR"/>
        </w:rPr>
        <w:t>dano, houve mudanças no padrão de consumo no mercado brasileiro do produto objeto do direito compensatório.</w:t>
      </w:r>
    </w:p>
    <w:p w14:paraId="2520F85A" w14:textId="77777777" w:rsidR="00395593" w:rsidRPr="005C5CBD" w:rsidRDefault="00395593" w:rsidP="00BD76D9">
      <w:pPr>
        <w:spacing w:after="0" w:line="240" w:lineRule="auto"/>
        <w:ind w:firstLineChars="100" w:firstLine="240"/>
        <w:jc w:val="both"/>
        <w:rPr>
          <w:rFonts w:ascii="Garamond" w:eastAsia="Times New Roman" w:hAnsi="Garamond" w:cs="Calibri"/>
          <w:sz w:val="24"/>
          <w:szCs w:val="24"/>
          <w:lang w:eastAsia="pt-BR"/>
        </w:rPr>
      </w:pPr>
    </w:p>
    <w:p w14:paraId="7CE45222" w14:textId="77777777" w:rsidR="00395593" w:rsidRPr="005C5CBD" w:rsidRDefault="00395593" w:rsidP="00BD76D9">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272. </w:t>
      </w:r>
      <w:r w:rsidRPr="005C5CBD">
        <w:rPr>
          <w:rFonts w:ascii="Garamond" w:eastAsia="Times New Roman" w:hAnsi="Garamond" w:cs="Calibri"/>
          <w:sz w:val="24"/>
          <w:szCs w:val="24"/>
          <w:lang w:eastAsia="pt-BR"/>
        </w:rPr>
        <w:t>O peticionário deverá informar se existem no Brasil práticas restritivas ao comércio do produto objeto do direito compensatório e, em caso positivo, descrever pormenorizadamente tais práticas, esclarecendo se se aplicam igualmente aos produtores domésticos e estrangeiros.</w:t>
      </w:r>
    </w:p>
    <w:p w14:paraId="5E2FE074"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6DC2B6F4"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Seção VIII</w:t>
      </w:r>
    </w:p>
    <w:p w14:paraId="61F18F4C"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Da probabilidade de continuação ou retomada da concessão de subsídios</w:t>
      </w:r>
    </w:p>
    <w:p w14:paraId="0B133CBD"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p>
    <w:p w14:paraId="7C0DE83D"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273. </w:t>
      </w:r>
      <w:r w:rsidRPr="005C5CBD">
        <w:rPr>
          <w:rFonts w:ascii="Garamond" w:eastAsia="Times New Roman" w:hAnsi="Garamond" w:cs="Calibri"/>
          <w:sz w:val="24"/>
          <w:szCs w:val="24"/>
          <w:lang w:eastAsia="pt-BR"/>
        </w:rPr>
        <w:t xml:space="preserve">A petição deverá indicar o(s) país(es) sujeito(s) ao direito compensatório objeto da revisão de final de período.  </w:t>
      </w:r>
    </w:p>
    <w:p w14:paraId="3C93543C"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p>
    <w:p w14:paraId="7B13672C" w14:textId="251FA6F3"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Parágrafo único.  A petição deverá </w:t>
      </w:r>
      <w:r w:rsidRPr="005C5CBD">
        <w:rPr>
          <w:rFonts w:ascii="Garamond" w:eastAsia="Times New Roman" w:hAnsi="Garamond" w:cs="Calibri"/>
          <w:color w:val="000000"/>
          <w:sz w:val="24"/>
          <w:szCs w:val="24"/>
          <w:lang w:eastAsia="pt-BR"/>
        </w:rPr>
        <w:t>identificar</w:t>
      </w:r>
      <w:r w:rsidRPr="005C5CBD" w:rsidDel="003522F6">
        <w:rPr>
          <w:rFonts w:ascii="Garamond" w:eastAsia="Times New Roman" w:hAnsi="Garamond" w:cs="Calibri"/>
          <w:color w:val="000000"/>
          <w:sz w:val="24"/>
          <w:szCs w:val="24"/>
          <w:lang w:eastAsia="pt-BR"/>
        </w:rPr>
        <w:t xml:space="preserve"> </w:t>
      </w:r>
      <w:r w:rsidRPr="005C5CBD">
        <w:rPr>
          <w:rFonts w:ascii="Garamond" w:eastAsia="Times New Roman" w:hAnsi="Garamond" w:cs="Calibri"/>
          <w:color w:val="000000"/>
          <w:sz w:val="24"/>
          <w:szCs w:val="24"/>
          <w:lang w:eastAsia="pt-BR"/>
        </w:rPr>
        <w:t xml:space="preserve">o(s) país(es) sujeito(s) ao direito compensatório que tenha(m) continuado a exportar o produto objeto do direito compensatório no período de revisão de continuação ou retomada da existência de subsídios acionáveis indicado no art. </w:t>
      </w:r>
      <w:r w:rsidR="009A659B">
        <w:rPr>
          <w:rFonts w:ascii="Garamond" w:eastAsia="Times New Roman" w:hAnsi="Garamond" w:cs="Calibri"/>
          <w:color w:val="000000"/>
          <w:sz w:val="24"/>
          <w:szCs w:val="24"/>
          <w:lang w:eastAsia="pt-BR"/>
        </w:rPr>
        <w:t>258</w:t>
      </w:r>
      <w:r w:rsidR="00E15FBB" w:rsidRPr="005C5CBD">
        <w:rPr>
          <w:rFonts w:ascii="Garamond" w:eastAsia="Times New Roman" w:hAnsi="Garamond" w:cs="Calibri"/>
          <w:sz w:val="24"/>
          <w:szCs w:val="24"/>
          <w:lang w:eastAsia="pt-BR"/>
        </w:rPr>
        <w:t>.</w:t>
      </w:r>
    </w:p>
    <w:p w14:paraId="3269F9F9"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p>
    <w:p w14:paraId="26A78A05"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274. </w:t>
      </w:r>
      <w:r w:rsidRPr="005C5CBD">
        <w:rPr>
          <w:rFonts w:ascii="Garamond" w:eastAsia="Times New Roman" w:hAnsi="Garamond" w:cs="Calibri"/>
          <w:sz w:val="24"/>
          <w:szCs w:val="24"/>
          <w:lang w:eastAsia="pt-BR"/>
        </w:rPr>
        <w:t xml:space="preserve">A petição deverá </w:t>
      </w:r>
      <w:r w:rsidRPr="005C5CBD">
        <w:rPr>
          <w:rFonts w:ascii="Garamond" w:eastAsia="Times New Roman" w:hAnsi="Garamond" w:cs="Calibri"/>
          <w:color w:val="000000"/>
          <w:sz w:val="24"/>
          <w:szCs w:val="24"/>
          <w:lang w:eastAsia="pt-BR"/>
        </w:rPr>
        <w:t>informar o nome e o endereço dos produtores/exportadores estrangeiros conhecidos do país sujeito ao direito compensatório.</w:t>
      </w:r>
    </w:p>
    <w:p w14:paraId="04669D04"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p>
    <w:p w14:paraId="6FA24298"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275. </w:t>
      </w:r>
      <w:r w:rsidRPr="005C5CBD">
        <w:rPr>
          <w:rFonts w:ascii="Garamond" w:eastAsia="Times New Roman" w:hAnsi="Garamond" w:cs="Calibri"/>
          <w:sz w:val="24"/>
          <w:szCs w:val="24"/>
          <w:lang w:eastAsia="pt-BR"/>
        </w:rPr>
        <w:t>A petição deverá conter indícios de que muito provavelmente haverá continuação ou retomada da concessão de subsídios.</w:t>
      </w:r>
    </w:p>
    <w:p w14:paraId="3EE1BE80"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755602F2"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Para fornecimento das informações solicitadas nesta Seção deverá ser utilizada, de forma complementar, a tabela constante no Apêndice II</w:t>
      </w:r>
      <w:r w:rsidRPr="005C5CBD" w:rsidDel="00CA749B">
        <w:rPr>
          <w:rFonts w:ascii="Garamond" w:eastAsia="Times New Roman" w:hAnsi="Garamond" w:cs="Calibri"/>
          <w:sz w:val="24"/>
          <w:szCs w:val="24"/>
          <w:lang w:eastAsia="pt-BR"/>
        </w:rPr>
        <w:t>I</w:t>
      </w:r>
      <w:r w:rsidRPr="005C5CBD">
        <w:rPr>
          <w:rFonts w:ascii="Garamond" w:eastAsia="Times New Roman" w:hAnsi="Garamond" w:cs="Calibri"/>
          <w:sz w:val="24"/>
          <w:szCs w:val="24"/>
          <w:lang w:eastAsia="pt-BR"/>
        </w:rPr>
        <w:t xml:space="preserve"> desta Portaria.</w:t>
      </w:r>
    </w:p>
    <w:p w14:paraId="7FBC04EE"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p>
    <w:p w14:paraId="6B162AF3" w14:textId="77777777" w:rsidR="00395593" w:rsidRPr="005C5CBD" w:rsidRDefault="00395593" w:rsidP="00BD76D9">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2</w:t>
      </w:r>
      <w:r w:rsidRPr="005C5CBD">
        <w:rPr>
          <w:rFonts w:ascii="Garamond" w:eastAsia="Times New Roman" w:hAnsi="Garamond" w:cs="Calibri"/>
          <w:sz w:val="24"/>
          <w:szCs w:val="24"/>
          <w:lang w:eastAsia="pt-BR"/>
        </w:rPr>
        <w:t>º</w:t>
      </w:r>
      <w:r w:rsidRPr="005C5CBD">
        <w:rPr>
          <w:rFonts w:ascii="Garamond" w:eastAsia="Times New Roman" w:hAnsi="Garamond" w:cs="Calibri"/>
          <w:color w:val="000000"/>
          <w:sz w:val="24"/>
          <w:szCs w:val="24"/>
          <w:lang w:eastAsia="pt-BR"/>
        </w:rPr>
        <w:t xml:space="preserve"> Caso não seja possível fornecer algumas das informações previstas nesta Seção, o peticionário deverá justificar nos termos do art. 6º desta Portaria.</w:t>
      </w:r>
    </w:p>
    <w:p w14:paraId="4C7A9C4B" w14:textId="77777777" w:rsidR="00395593" w:rsidRPr="005C5CBD" w:rsidRDefault="00395593" w:rsidP="00BD76D9">
      <w:pPr>
        <w:spacing w:after="0" w:line="240" w:lineRule="auto"/>
        <w:ind w:firstLine="567"/>
        <w:jc w:val="both"/>
        <w:rPr>
          <w:rFonts w:ascii="Garamond" w:eastAsia="Times New Roman" w:hAnsi="Garamond" w:cs="Calibri"/>
          <w:color w:val="000000"/>
          <w:sz w:val="24"/>
          <w:szCs w:val="24"/>
          <w:lang w:eastAsia="pt-BR"/>
        </w:rPr>
      </w:pPr>
    </w:p>
    <w:p w14:paraId="16CAD85E" w14:textId="77777777" w:rsidR="00395593" w:rsidRPr="005C5CBD" w:rsidRDefault="00395593" w:rsidP="00BD76D9">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276. </w:t>
      </w:r>
      <w:r w:rsidRPr="005C5CBD">
        <w:rPr>
          <w:rFonts w:ascii="Garamond" w:eastAsia="Times New Roman" w:hAnsi="Garamond" w:cs="Calibri"/>
          <w:color w:val="000000"/>
          <w:sz w:val="24"/>
          <w:szCs w:val="24"/>
          <w:lang w:eastAsia="pt-BR"/>
        </w:rPr>
        <w:t>Caso o peticionário julgue ser provável a continuação ou retomada da concessão de subsídios, deverão ser apresentados elementos suficientes que justifiquem o início da revisão, incluindo informações sobre:</w:t>
      </w:r>
    </w:p>
    <w:p w14:paraId="7EDB4FEF" w14:textId="77777777" w:rsidR="00395593" w:rsidRPr="005C5CBD" w:rsidRDefault="00395593" w:rsidP="00BD76D9">
      <w:pPr>
        <w:spacing w:after="0" w:line="240" w:lineRule="auto"/>
        <w:ind w:firstLine="567"/>
        <w:jc w:val="both"/>
        <w:rPr>
          <w:rFonts w:ascii="Garamond" w:eastAsia="Times New Roman" w:hAnsi="Garamond" w:cs="Calibri"/>
          <w:color w:val="000000"/>
          <w:sz w:val="24"/>
          <w:szCs w:val="24"/>
          <w:lang w:eastAsia="pt-BR"/>
        </w:rPr>
      </w:pPr>
    </w:p>
    <w:p w14:paraId="3E967019" w14:textId="77777777" w:rsidR="00395593" w:rsidRPr="005C5CBD" w:rsidRDefault="00395593" w:rsidP="00BD76D9">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I - </w:t>
      </w:r>
      <w:r w:rsidRPr="005C5CBD">
        <w:rPr>
          <w:rFonts w:ascii="Garamond" w:eastAsia="Times New Roman" w:hAnsi="Garamond" w:cs="Calibri"/>
          <w:sz w:val="24"/>
          <w:szCs w:val="24"/>
          <w:lang w:eastAsia="pt-BR"/>
        </w:rPr>
        <w:t>políticas de desenvolvimento (gerais e regionais), políticas industriais, políticas setoriais, políticas de inovação e de fomento ao desenvolvimento tecnológico e políticas de comércio exterior;</w:t>
      </w:r>
    </w:p>
    <w:p w14:paraId="2C5734B1" w14:textId="77777777" w:rsidR="00395593" w:rsidRPr="005C5CBD" w:rsidRDefault="00395593" w:rsidP="00BD76D9">
      <w:pPr>
        <w:spacing w:after="0" w:line="240" w:lineRule="auto"/>
        <w:ind w:firstLine="567"/>
        <w:jc w:val="both"/>
        <w:rPr>
          <w:rFonts w:ascii="Garamond" w:eastAsia="Times New Roman" w:hAnsi="Garamond" w:cs="Calibri"/>
          <w:color w:val="000000"/>
          <w:sz w:val="24"/>
          <w:szCs w:val="24"/>
          <w:lang w:eastAsia="pt-BR"/>
        </w:rPr>
      </w:pPr>
    </w:p>
    <w:p w14:paraId="288D3A53"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color w:val="000000"/>
          <w:sz w:val="24"/>
          <w:szCs w:val="24"/>
          <w:lang w:eastAsia="pt-BR"/>
        </w:rPr>
        <w:t xml:space="preserve">II - </w:t>
      </w:r>
      <w:r w:rsidRPr="005C5CBD">
        <w:rPr>
          <w:rFonts w:ascii="Garamond" w:eastAsia="Times New Roman" w:hAnsi="Garamond" w:cs="Calibri"/>
          <w:sz w:val="24"/>
          <w:szCs w:val="24"/>
          <w:lang w:eastAsia="pt-BR"/>
        </w:rPr>
        <w:t>planos de desenvolvimento nacional ou regional;</w:t>
      </w:r>
    </w:p>
    <w:p w14:paraId="4D035BB1"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p>
    <w:p w14:paraId="14E17177" w14:textId="77777777" w:rsidR="00395593" w:rsidRPr="005C5CBD" w:rsidRDefault="00395593" w:rsidP="00BD76D9">
      <w:pPr>
        <w:spacing w:after="0" w:line="240" w:lineRule="auto"/>
        <w:ind w:firstLine="567"/>
        <w:contextualSpacing/>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orçamento público, com destaque para os subsídios concedidos às empresas;</w:t>
      </w:r>
    </w:p>
    <w:p w14:paraId="27CAA5BE" w14:textId="77777777" w:rsidR="00395593" w:rsidRPr="005C5CBD" w:rsidRDefault="00395593" w:rsidP="00BD76D9">
      <w:pPr>
        <w:spacing w:after="0" w:line="240" w:lineRule="auto"/>
        <w:ind w:firstLine="567"/>
        <w:contextualSpacing/>
        <w:jc w:val="both"/>
        <w:rPr>
          <w:rFonts w:ascii="Garamond" w:eastAsia="Times New Roman" w:hAnsi="Garamond" w:cs="Calibri"/>
          <w:sz w:val="24"/>
          <w:szCs w:val="24"/>
          <w:lang w:eastAsia="pt-BR"/>
        </w:rPr>
      </w:pPr>
    </w:p>
    <w:p w14:paraId="244536C1" w14:textId="77777777" w:rsidR="00395593" w:rsidRPr="005C5CBD" w:rsidRDefault="00395593" w:rsidP="00BD76D9">
      <w:pPr>
        <w:spacing w:after="0" w:line="240" w:lineRule="auto"/>
        <w:ind w:firstLine="567"/>
        <w:contextualSpacing/>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a aplicação ou a extinção de medidas compensatórias sobre o produto similar por outros países durante o período de revisão; e</w:t>
      </w:r>
    </w:p>
    <w:p w14:paraId="0E523D98" w14:textId="77777777" w:rsidR="00395593" w:rsidRPr="005C5CBD" w:rsidRDefault="00395593" w:rsidP="00BD76D9">
      <w:pPr>
        <w:spacing w:after="0" w:line="240" w:lineRule="auto"/>
        <w:ind w:firstLine="567"/>
        <w:jc w:val="both"/>
        <w:rPr>
          <w:rFonts w:ascii="Garamond" w:eastAsia="Times New Roman" w:hAnsi="Garamond" w:cs="Calibri"/>
          <w:color w:val="000000"/>
          <w:sz w:val="24"/>
          <w:szCs w:val="24"/>
          <w:lang w:eastAsia="pt-BR"/>
        </w:rPr>
      </w:pPr>
    </w:p>
    <w:p w14:paraId="04119B88" w14:textId="77777777" w:rsidR="00395593" w:rsidRPr="005C5CBD" w:rsidRDefault="00395593" w:rsidP="00BD76D9">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sz w:val="24"/>
          <w:szCs w:val="24"/>
          <w:lang w:eastAsia="pt-BR"/>
        </w:rPr>
        <w:t>V - quaisquer outros documentos contendo informações relevantes.</w:t>
      </w:r>
    </w:p>
    <w:p w14:paraId="3288636F"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0EA057FA" w14:textId="77777777" w:rsidR="00395593" w:rsidRPr="0008528B" w:rsidRDefault="00395593" w:rsidP="00C3469C">
      <w:pPr>
        <w:pStyle w:val="Corpodetexto"/>
        <w:jc w:val="center"/>
        <w:rPr>
          <w:rFonts w:ascii="Garamond" w:eastAsia="MS Gothic" w:hAnsi="Garamond"/>
          <w:b/>
          <w:lang w:eastAsia="pt-BR"/>
        </w:rPr>
      </w:pPr>
      <w:r w:rsidRPr="0008528B">
        <w:rPr>
          <w:rFonts w:ascii="Garamond" w:eastAsia="MS Gothic" w:hAnsi="Garamond"/>
          <w:b/>
          <w:lang w:eastAsia="pt-BR"/>
        </w:rPr>
        <w:t>Subseção I</w:t>
      </w:r>
    </w:p>
    <w:p w14:paraId="385BDDCC" w14:textId="77777777" w:rsidR="00395593" w:rsidRPr="0008528B" w:rsidRDefault="00395593" w:rsidP="00C3469C">
      <w:pPr>
        <w:pStyle w:val="Corpodetexto"/>
        <w:jc w:val="center"/>
        <w:rPr>
          <w:rFonts w:ascii="Garamond" w:eastAsia="MS Gothic" w:hAnsi="Garamond"/>
          <w:b/>
          <w:color w:val="4F81BD"/>
          <w:lang w:eastAsia="pt-BR"/>
        </w:rPr>
      </w:pPr>
      <w:r w:rsidRPr="0008528B">
        <w:rPr>
          <w:rFonts w:ascii="Garamond" w:eastAsia="MS Gothic" w:hAnsi="Garamond"/>
          <w:b/>
          <w:lang w:eastAsia="pt-BR"/>
        </w:rPr>
        <w:t>Da Contribuição Financeira e do Benefício</w:t>
      </w:r>
    </w:p>
    <w:p w14:paraId="3758BBFE"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6230D3CA" w14:textId="6429EFBE" w:rsidR="00395593" w:rsidRPr="005C5CBD" w:rsidRDefault="00395593" w:rsidP="00BD76D9">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Art. 277.</w:t>
      </w:r>
      <w:r w:rsidRPr="005C5CBD" w:rsidDel="00A76025">
        <w:rPr>
          <w:rFonts w:ascii="Garamond" w:eastAsia="Calibri" w:hAnsi="Garamond" w:cs="Calibri"/>
          <w:sz w:val="24"/>
          <w:szCs w:val="24"/>
          <w:lang w:eastAsia="pt-BR"/>
        </w:rPr>
        <w:t xml:space="preserve"> </w:t>
      </w:r>
      <w:r w:rsidRPr="005C5CBD">
        <w:rPr>
          <w:rFonts w:ascii="Garamond" w:eastAsia="Times New Roman" w:hAnsi="Garamond" w:cs="Calibri"/>
          <w:sz w:val="24"/>
          <w:szCs w:val="24"/>
          <w:lang w:eastAsia="pt-BR"/>
        </w:rPr>
        <w:t xml:space="preserve">A petição deverá conter indícios sobre a </w:t>
      </w:r>
      <w:r w:rsidRPr="005C5CBD">
        <w:rPr>
          <w:rFonts w:ascii="Garamond" w:eastAsia="Times New Roman" w:hAnsi="Garamond" w:cs="Calibri"/>
          <w:color w:val="000000"/>
          <w:sz w:val="24"/>
          <w:szCs w:val="24"/>
          <w:lang w:eastAsia="pt-BR"/>
        </w:rPr>
        <w:t xml:space="preserve">continuação da concessão de subsídios no país exportador por meio da identificação de programas de subsídios, </w:t>
      </w:r>
      <w:r w:rsidRPr="005C5CBD">
        <w:rPr>
          <w:rFonts w:ascii="Garamond" w:eastAsia="Times New Roman" w:hAnsi="Garamond" w:cs="Calibri"/>
          <w:sz w:val="24"/>
          <w:szCs w:val="24"/>
          <w:lang w:eastAsia="pt-BR"/>
        </w:rPr>
        <w:t xml:space="preserve">considerando como programa de subsídio cada uma das ações, políticas, práticas ou intervenções governamentais, de nível nacional ou subnacional, individualmente identificáveis que preencham os requisitos do art. </w:t>
      </w:r>
      <w:r w:rsidR="009A659B">
        <w:rPr>
          <w:rFonts w:ascii="Garamond" w:eastAsia="Times New Roman" w:hAnsi="Garamond" w:cs="Calibri"/>
          <w:sz w:val="24"/>
          <w:szCs w:val="24"/>
          <w:lang w:eastAsia="pt-BR"/>
        </w:rPr>
        <w:t>17</w:t>
      </w:r>
      <w:r w:rsidR="00E15FBB" w:rsidRPr="005C5CBD">
        <w:rPr>
          <w:rFonts w:ascii="Garamond" w:eastAsia="Times New Roman" w:hAnsi="Garamond" w:cs="Calibri"/>
          <w:color w:val="000000"/>
          <w:sz w:val="24"/>
          <w:szCs w:val="24"/>
          <w:lang w:eastAsia="pt-BR"/>
        </w:rPr>
        <w:t>.</w:t>
      </w:r>
    </w:p>
    <w:p w14:paraId="0639E865" w14:textId="77777777" w:rsidR="00395593" w:rsidRPr="005C5CBD" w:rsidRDefault="00395593" w:rsidP="00BD76D9">
      <w:pPr>
        <w:spacing w:after="0" w:line="240" w:lineRule="auto"/>
        <w:ind w:firstLine="567"/>
        <w:jc w:val="both"/>
        <w:rPr>
          <w:rFonts w:ascii="Garamond" w:eastAsia="Times New Roman" w:hAnsi="Garamond" w:cs="Calibri"/>
          <w:color w:val="000000"/>
          <w:sz w:val="24"/>
          <w:szCs w:val="24"/>
          <w:lang w:eastAsia="pt-BR"/>
        </w:rPr>
      </w:pPr>
    </w:p>
    <w:p w14:paraId="76950F67" w14:textId="77777777" w:rsidR="00395593" w:rsidRPr="005C5CBD" w:rsidRDefault="00395593" w:rsidP="00BD76D9">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sz w:val="24"/>
          <w:szCs w:val="24"/>
          <w:lang w:eastAsia="pt-BR"/>
        </w:rPr>
        <w:t xml:space="preserve">§ 1º  </w:t>
      </w:r>
      <w:r w:rsidRPr="005C5CBD">
        <w:rPr>
          <w:rFonts w:ascii="Garamond" w:eastAsia="Times New Roman" w:hAnsi="Garamond" w:cs="Calibri"/>
          <w:color w:val="000000"/>
          <w:sz w:val="24"/>
          <w:szCs w:val="24"/>
          <w:lang w:eastAsia="pt-BR"/>
        </w:rPr>
        <w:t xml:space="preserve">A petição poderá abranger programas de subsídio já investigados no processo de investigação original ou em revisões anteriores ou novos programas de subsídio não investigados anteriormente. </w:t>
      </w:r>
    </w:p>
    <w:p w14:paraId="4F7CE2C5" w14:textId="77777777" w:rsidR="00395593" w:rsidRPr="005C5CBD" w:rsidRDefault="00395593" w:rsidP="00BD76D9">
      <w:pPr>
        <w:spacing w:after="0" w:line="240" w:lineRule="auto"/>
        <w:ind w:firstLine="567"/>
        <w:jc w:val="both"/>
        <w:rPr>
          <w:rFonts w:ascii="Garamond" w:eastAsia="Times New Roman" w:hAnsi="Garamond" w:cs="Calibri"/>
          <w:color w:val="000000"/>
          <w:sz w:val="24"/>
          <w:szCs w:val="24"/>
          <w:lang w:eastAsia="pt-BR"/>
        </w:rPr>
      </w:pPr>
    </w:p>
    <w:p w14:paraId="05147F41" w14:textId="77777777" w:rsidR="00395593" w:rsidRPr="005C5CBD" w:rsidRDefault="00395593" w:rsidP="00BD76D9">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sz w:val="24"/>
          <w:szCs w:val="24"/>
          <w:lang w:eastAsia="pt-BR"/>
        </w:rPr>
        <w:t xml:space="preserve">§ 2º Caso um programa de subsídio investigado anteriormente tenha sido temporariamente paralisado/descontinuado/encerrado ou os produtores/exportadores tenham deixado de ser elegíveis ou de se beneficiar desse programa, mas o peticionário julgue ser provável a retomada da operação do programa ou do beneficiamento dos produtores/exportadores do produto objeto do direito compensatório, a petição deverá incluir indícios suficientes que justifiquem o início da revisão de final de período. </w:t>
      </w:r>
    </w:p>
    <w:p w14:paraId="7E62925D" w14:textId="77777777" w:rsidR="00395593" w:rsidRPr="005C5CBD" w:rsidRDefault="00395593" w:rsidP="00BD76D9">
      <w:pPr>
        <w:spacing w:after="0" w:line="240" w:lineRule="auto"/>
        <w:ind w:firstLine="567"/>
        <w:jc w:val="both"/>
        <w:rPr>
          <w:rFonts w:ascii="Garamond" w:eastAsia="Times New Roman" w:hAnsi="Garamond" w:cs="Calibri"/>
          <w:color w:val="000000"/>
          <w:sz w:val="24"/>
          <w:szCs w:val="24"/>
          <w:lang w:eastAsia="pt-BR"/>
        </w:rPr>
      </w:pPr>
    </w:p>
    <w:p w14:paraId="2695EB01" w14:textId="77777777" w:rsidR="00395593" w:rsidRPr="005C5CBD" w:rsidRDefault="00395593" w:rsidP="00BD76D9">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278. Para cada um dos programas de subsídios identificados, a petição deverá indicar:</w:t>
      </w:r>
    </w:p>
    <w:p w14:paraId="60654A85" w14:textId="77777777" w:rsidR="00395593" w:rsidRPr="005C5CBD" w:rsidRDefault="00395593" w:rsidP="00BD76D9">
      <w:pPr>
        <w:spacing w:after="0" w:line="240" w:lineRule="auto"/>
        <w:ind w:firstLine="567"/>
        <w:jc w:val="both"/>
        <w:rPr>
          <w:rFonts w:ascii="Garamond" w:eastAsia="Calibri" w:hAnsi="Garamond" w:cs="Calibri"/>
          <w:sz w:val="24"/>
          <w:szCs w:val="24"/>
        </w:rPr>
      </w:pPr>
    </w:p>
    <w:p w14:paraId="28E8C342" w14:textId="77777777" w:rsidR="00395593" w:rsidRPr="005C5CBD" w:rsidRDefault="00395593" w:rsidP="00BD76D9">
      <w:pPr>
        <w:autoSpaceDE w:val="0"/>
        <w:autoSpaceDN w:val="0"/>
        <w:adjustRightInd w:val="0"/>
        <w:spacing w:after="0" w:line="240" w:lineRule="auto"/>
        <w:ind w:firstLine="567"/>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 - a autoridade outorgante responsável pela concessão e/ou pela administração do programa de subsídio; </w:t>
      </w:r>
    </w:p>
    <w:p w14:paraId="049786E2" w14:textId="77777777" w:rsidR="00395593" w:rsidRPr="005C5CBD" w:rsidRDefault="00395593" w:rsidP="00BD76D9">
      <w:pPr>
        <w:autoSpaceDE w:val="0"/>
        <w:autoSpaceDN w:val="0"/>
        <w:adjustRightInd w:val="0"/>
        <w:spacing w:after="0" w:line="240" w:lineRule="auto"/>
        <w:ind w:firstLine="567"/>
        <w:rPr>
          <w:rFonts w:ascii="Garamond" w:eastAsia="Calibri" w:hAnsi="Garamond" w:cs="Calibri"/>
          <w:sz w:val="24"/>
          <w:szCs w:val="24"/>
          <w:lang w:eastAsia="pt-BR"/>
        </w:rPr>
      </w:pPr>
    </w:p>
    <w:p w14:paraId="441E3FA7" w14:textId="77777777" w:rsidR="00395593" w:rsidRPr="005C5CBD" w:rsidRDefault="00395593" w:rsidP="00BD76D9">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II - a descrição do programa de subsídio (objetivos, fontes dos recursos, montante total, natureza e operação);</w:t>
      </w:r>
    </w:p>
    <w:p w14:paraId="577CC24F" w14:textId="77777777" w:rsidR="00395593" w:rsidRPr="005C5CBD" w:rsidRDefault="00395593" w:rsidP="00BD76D9">
      <w:pPr>
        <w:autoSpaceDE w:val="0"/>
        <w:autoSpaceDN w:val="0"/>
        <w:adjustRightInd w:val="0"/>
        <w:spacing w:after="0" w:line="240" w:lineRule="auto"/>
        <w:ind w:firstLine="567"/>
        <w:rPr>
          <w:rFonts w:ascii="Garamond" w:eastAsia="Calibri" w:hAnsi="Garamond" w:cs="Calibri"/>
          <w:sz w:val="24"/>
          <w:szCs w:val="24"/>
          <w:lang w:eastAsia="pt-BR"/>
        </w:rPr>
      </w:pPr>
    </w:p>
    <w:p w14:paraId="683725F7" w14:textId="77777777" w:rsidR="00395593" w:rsidRPr="005C5CBD" w:rsidRDefault="00395593" w:rsidP="00BD76D9">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III - a forma de contribuição financeira ou sustentação de renda ou de preços conferida </w:t>
      </w:r>
      <w:r w:rsidRPr="005C5CBD">
        <w:rPr>
          <w:rFonts w:ascii="Garamond" w:eastAsia="Times New Roman" w:hAnsi="Garamond" w:cs="Calibri"/>
          <w:sz w:val="24"/>
          <w:szCs w:val="24"/>
          <w:lang w:eastAsia="pt-BR"/>
        </w:rPr>
        <w:t>no âmbito do programa de subsídio, classificando-a como:</w:t>
      </w:r>
    </w:p>
    <w:p w14:paraId="26B869B2" w14:textId="77777777" w:rsidR="00395593" w:rsidRPr="005C5CBD" w:rsidRDefault="00395593" w:rsidP="00E15FBB">
      <w:pPr>
        <w:autoSpaceDE w:val="0"/>
        <w:autoSpaceDN w:val="0"/>
        <w:adjustRightInd w:val="0"/>
        <w:spacing w:after="0" w:line="240" w:lineRule="auto"/>
        <w:rPr>
          <w:rFonts w:ascii="Garamond" w:eastAsia="Calibri" w:hAnsi="Garamond" w:cs="Calibri"/>
          <w:sz w:val="24"/>
          <w:szCs w:val="24"/>
          <w:lang w:eastAsia="pt-BR"/>
        </w:rPr>
      </w:pPr>
    </w:p>
    <w:p w14:paraId="0BBB99E6" w14:textId="77777777" w:rsidR="00395593" w:rsidRPr="005C5CBD" w:rsidRDefault="00395593" w:rsidP="00BD76D9">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a) transferência direta de fundos (doações, empréstimos, aportes de capital, entre outros) ou potenciais transferências diretas de fundos (garantias de empréstimos, entre outros); </w:t>
      </w:r>
    </w:p>
    <w:p w14:paraId="370BC3ED" w14:textId="77777777" w:rsidR="00395593" w:rsidRPr="005C5CBD" w:rsidRDefault="00395593" w:rsidP="00BD76D9">
      <w:pPr>
        <w:autoSpaceDE w:val="0"/>
        <w:autoSpaceDN w:val="0"/>
        <w:adjustRightInd w:val="0"/>
        <w:spacing w:after="0" w:line="240" w:lineRule="auto"/>
        <w:ind w:firstLine="567"/>
        <w:jc w:val="both"/>
        <w:rPr>
          <w:rFonts w:ascii="Garamond" w:eastAsia="Calibri" w:hAnsi="Garamond" w:cs="Calibri"/>
          <w:sz w:val="24"/>
          <w:szCs w:val="24"/>
          <w:lang w:eastAsia="pt-BR"/>
        </w:rPr>
      </w:pPr>
    </w:p>
    <w:p w14:paraId="59683DDA" w14:textId="77777777" w:rsidR="00395593" w:rsidRPr="005C5CBD" w:rsidRDefault="00395593" w:rsidP="00BD76D9">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b) perdão ou não recolhimento de receitas públicas devidas (incentivos fiscais, entre outros); </w:t>
      </w:r>
    </w:p>
    <w:p w14:paraId="0F19BD79" w14:textId="77777777" w:rsidR="00395593" w:rsidRPr="005C5CBD" w:rsidRDefault="00395593" w:rsidP="00BD76D9">
      <w:pPr>
        <w:autoSpaceDE w:val="0"/>
        <w:autoSpaceDN w:val="0"/>
        <w:adjustRightInd w:val="0"/>
        <w:spacing w:after="0" w:line="240" w:lineRule="auto"/>
        <w:ind w:firstLine="567"/>
        <w:jc w:val="both"/>
        <w:rPr>
          <w:rFonts w:ascii="Garamond" w:eastAsia="Calibri" w:hAnsi="Garamond" w:cs="Calibri"/>
          <w:sz w:val="24"/>
          <w:szCs w:val="24"/>
          <w:lang w:eastAsia="pt-BR"/>
        </w:rPr>
      </w:pPr>
    </w:p>
    <w:p w14:paraId="6986864C" w14:textId="77777777" w:rsidR="00395593" w:rsidRPr="005C5CBD" w:rsidRDefault="00395593" w:rsidP="00BD76D9">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c) fornecimento pelo governo de bens ou serviços além daqueles destinados à infraestrutura geral, ou a aquisição de bens pelo governo;</w:t>
      </w:r>
    </w:p>
    <w:p w14:paraId="68DB0C6A" w14:textId="77777777" w:rsidR="00395593" w:rsidRPr="005C5CBD" w:rsidRDefault="00395593" w:rsidP="00BD76D9">
      <w:pPr>
        <w:autoSpaceDE w:val="0"/>
        <w:autoSpaceDN w:val="0"/>
        <w:adjustRightInd w:val="0"/>
        <w:spacing w:after="0" w:line="240" w:lineRule="auto"/>
        <w:ind w:firstLine="567"/>
        <w:jc w:val="both"/>
        <w:rPr>
          <w:rFonts w:ascii="Garamond" w:eastAsia="Calibri" w:hAnsi="Garamond" w:cs="Calibri"/>
          <w:sz w:val="24"/>
          <w:szCs w:val="24"/>
          <w:lang w:eastAsia="pt-BR"/>
        </w:rPr>
      </w:pPr>
    </w:p>
    <w:p w14:paraId="3678338C" w14:textId="77777777" w:rsidR="00395593" w:rsidRPr="005C5CBD" w:rsidRDefault="00395593" w:rsidP="00BD76D9">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d) realização pelo governo de pagamentos a um mecanismo de financiamento para provimento de contribuição financeira, ou instrução ou confiança à entidade privada do provimento de contribuição financeira mediante o desempenho de uma ou mais das funções descritas nas alíneas anteriores, as quais seriam normalmente incumbência do governo, e cuja prática não difira, de modo significativo, das práticas habitualmente seguidas pelos governos; ou</w:t>
      </w:r>
    </w:p>
    <w:p w14:paraId="3C5E510F" w14:textId="77777777" w:rsidR="00395593" w:rsidRPr="005C5CBD" w:rsidRDefault="00395593" w:rsidP="00BD76D9">
      <w:pPr>
        <w:autoSpaceDE w:val="0"/>
        <w:autoSpaceDN w:val="0"/>
        <w:adjustRightInd w:val="0"/>
        <w:spacing w:after="0" w:line="240" w:lineRule="auto"/>
        <w:ind w:firstLine="567"/>
        <w:rPr>
          <w:rFonts w:ascii="Garamond" w:eastAsia="Calibri" w:hAnsi="Garamond" w:cs="Calibri"/>
          <w:sz w:val="24"/>
          <w:szCs w:val="24"/>
          <w:lang w:eastAsia="pt-BR"/>
        </w:rPr>
      </w:pPr>
    </w:p>
    <w:p w14:paraId="09588611" w14:textId="77777777" w:rsidR="00395593" w:rsidRPr="005C5CBD" w:rsidRDefault="00395593" w:rsidP="00BD76D9">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e) sustentação de renda ou de preços que, direta ou indiretamente, contribua para aumentar exportações ou reduzir importações de um produto qualquer; e</w:t>
      </w:r>
    </w:p>
    <w:p w14:paraId="241BF6F2" w14:textId="77777777" w:rsidR="00395593" w:rsidRPr="005C5CBD" w:rsidRDefault="00395593" w:rsidP="00BD76D9">
      <w:pPr>
        <w:autoSpaceDE w:val="0"/>
        <w:autoSpaceDN w:val="0"/>
        <w:adjustRightInd w:val="0"/>
        <w:spacing w:after="0" w:line="240" w:lineRule="auto"/>
        <w:ind w:firstLine="567"/>
        <w:rPr>
          <w:rFonts w:ascii="Garamond" w:eastAsia="Calibri" w:hAnsi="Garamond" w:cs="Calibri"/>
          <w:sz w:val="24"/>
          <w:szCs w:val="24"/>
          <w:lang w:eastAsia="pt-BR"/>
        </w:rPr>
      </w:pPr>
    </w:p>
    <w:p w14:paraId="5FDD614D" w14:textId="77777777" w:rsidR="00395593" w:rsidRPr="005C5CBD" w:rsidRDefault="00395593" w:rsidP="00BD76D9">
      <w:pPr>
        <w:autoSpaceDE w:val="0"/>
        <w:autoSpaceDN w:val="0"/>
        <w:adjustRightInd w:val="0"/>
        <w:spacing w:after="0" w:line="240" w:lineRule="auto"/>
        <w:ind w:firstLine="567"/>
        <w:rPr>
          <w:rFonts w:ascii="Garamond" w:eastAsia="Calibri" w:hAnsi="Garamond" w:cs="Calibri"/>
          <w:sz w:val="24"/>
          <w:szCs w:val="24"/>
          <w:lang w:eastAsia="pt-BR"/>
        </w:rPr>
      </w:pPr>
      <w:r w:rsidRPr="005C5CBD">
        <w:rPr>
          <w:rFonts w:ascii="Garamond" w:eastAsia="Calibri" w:hAnsi="Garamond" w:cs="Calibri"/>
          <w:sz w:val="24"/>
          <w:szCs w:val="24"/>
          <w:lang w:eastAsia="pt-BR"/>
        </w:rPr>
        <w:t>VI - a legislação, os regulamentos e outros documentos relevantes conhecidos referentes ao programa de subsídio, incluindo cópias da documentação.</w:t>
      </w:r>
    </w:p>
    <w:p w14:paraId="4AEABA70" w14:textId="77777777" w:rsidR="00395593" w:rsidRPr="005C5CBD" w:rsidRDefault="00395593" w:rsidP="00BD76D9">
      <w:pPr>
        <w:autoSpaceDE w:val="0"/>
        <w:autoSpaceDN w:val="0"/>
        <w:adjustRightInd w:val="0"/>
        <w:spacing w:after="0" w:line="240" w:lineRule="auto"/>
        <w:ind w:firstLine="567"/>
        <w:rPr>
          <w:rFonts w:ascii="Garamond" w:eastAsia="Calibri" w:hAnsi="Garamond" w:cs="Calibri"/>
          <w:sz w:val="24"/>
          <w:szCs w:val="24"/>
          <w:lang w:eastAsia="pt-BR"/>
        </w:rPr>
      </w:pPr>
    </w:p>
    <w:p w14:paraId="29FF3102" w14:textId="77777777" w:rsidR="00395593" w:rsidRPr="005C5CBD" w:rsidRDefault="00395593" w:rsidP="00BD76D9">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279. A petição deverá conter indícios do benefício conferido em função da contribuição financeira ou da sustentação de renda ou de preços constatada no âmbito do programa de subsídio, incluindo, na medida do possível:</w:t>
      </w:r>
    </w:p>
    <w:p w14:paraId="3E07D6CB" w14:textId="77777777" w:rsidR="00395593" w:rsidRPr="005C5CBD" w:rsidRDefault="00395593" w:rsidP="00BD76D9">
      <w:pPr>
        <w:spacing w:after="0" w:line="240" w:lineRule="auto"/>
        <w:ind w:firstLine="567"/>
        <w:jc w:val="both"/>
        <w:rPr>
          <w:rFonts w:ascii="Garamond" w:eastAsia="Calibri" w:hAnsi="Garamond" w:cs="Calibri"/>
          <w:sz w:val="24"/>
          <w:szCs w:val="24"/>
        </w:rPr>
      </w:pPr>
    </w:p>
    <w:p w14:paraId="4DC80502" w14:textId="5076B31E" w:rsidR="00395593" w:rsidRPr="005C5CBD" w:rsidRDefault="00395593" w:rsidP="00BD76D9">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I - </w:t>
      </w:r>
      <w:r w:rsidRPr="005C5CBD">
        <w:rPr>
          <w:rFonts w:ascii="Garamond" w:eastAsia="Calibri" w:hAnsi="Garamond" w:cs="Calibri"/>
          <w:sz w:val="24"/>
          <w:szCs w:val="24"/>
          <w:lang w:eastAsia="pt-BR"/>
        </w:rPr>
        <w:t xml:space="preserve">razões pelas quais se acredita que os produtores/exportadores identificados no art. </w:t>
      </w:r>
      <w:r w:rsidR="009A659B">
        <w:rPr>
          <w:rFonts w:ascii="Garamond" w:eastAsia="Calibri" w:hAnsi="Garamond" w:cs="Calibri"/>
          <w:sz w:val="24"/>
          <w:szCs w:val="24"/>
          <w:lang w:eastAsia="pt-BR"/>
        </w:rPr>
        <w:t>274</w:t>
      </w:r>
      <w:r w:rsidR="00E15FBB" w:rsidRPr="005C5CBD">
        <w:rPr>
          <w:rFonts w:ascii="Garamond" w:eastAsia="Calibri" w:hAnsi="Garamond" w:cs="Calibri"/>
          <w:sz w:val="24"/>
          <w:szCs w:val="24"/>
          <w:lang w:eastAsia="pt-BR"/>
        </w:rPr>
        <w:t xml:space="preserve"> se beneficiaram de cada programa de subsídio elencado nos termos do art. </w:t>
      </w:r>
      <w:r w:rsidR="009A659B">
        <w:rPr>
          <w:rFonts w:ascii="Garamond" w:eastAsia="Calibri" w:hAnsi="Garamond" w:cs="Calibri"/>
          <w:sz w:val="24"/>
          <w:szCs w:val="24"/>
          <w:lang w:eastAsia="pt-BR"/>
        </w:rPr>
        <w:t>277</w:t>
      </w:r>
      <w:r w:rsidRPr="005C5CBD">
        <w:rPr>
          <w:rFonts w:ascii="Garamond" w:eastAsia="Calibri" w:hAnsi="Garamond" w:cs="Calibri"/>
          <w:sz w:val="24"/>
          <w:szCs w:val="24"/>
          <w:lang w:eastAsia="pt-BR"/>
        </w:rPr>
        <w:t xml:space="preserve"> seja diretamente ou por meio do grupo econômico ao qual pertencem ou de suas partes relacionadas ou associadas;</w:t>
      </w:r>
    </w:p>
    <w:p w14:paraId="0D7500B6" w14:textId="77777777" w:rsidR="00E15FBB" w:rsidRPr="005C5CBD" w:rsidRDefault="00E15FBB" w:rsidP="00BD76D9">
      <w:pPr>
        <w:autoSpaceDE w:val="0"/>
        <w:autoSpaceDN w:val="0"/>
        <w:adjustRightInd w:val="0"/>
        <w:spacing w:after="0" w:line="240" w:lineRule="auto"/>
        <w:ind w:firstLine="567"/>
        <w:jc w:val="both"/>
        <w:rPr>
          <w:rFonts w:ascii="Garamond" w:eastAsia="Calibri" w:hAnsi="Garamond" w:cs="Calibri"/>
          <w:sz w:val="24"/>
          <w:szCs w:val="24"/>
          <w:lang w:eastAsia="pt-BR"/>
        </w:rPr>
      </w:pPr>
    </w:p>
    <w:p w14:paraId="5CA8F792" w14:textId="01BF580C" w:rsidR="00E15FBB" w:rsidRPr="005C5CBD" w:rsidRDefault="00E15FBB" w:rsidP="00BD76D9">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referências de mercado (</w:t>
      </w:r>
      <w:r w:rsidRPr="005C5CBD">
        <w:rPr>
          <w:rFonts w:ascii="Garamond" w:eastAsia="Times New Roman" w:hAnsi="Garamond" w:cs="Calibri"/>
          <w:b/>
          <w:sz w:val="24"/>
          <w:szCs w:val="24"/>
          <w:lang w:eastAsia="pt-BR"/>
        </w:rPr>
        <w:t>benchmark</w:t>
      </w:r>
      <w:r w:rsidRPr="005C5CBD">
        <w:rPr>
          <w:rFonts w:ascii="Garamond" w:eastAsia="Times New Roman" w:hAnsi="Garamond" w:cs="Calibri"/>
          <w:sz w:val="24"/>
          <w:szCs w:val="24"/>
          <w:lang w:eastAsia="pt-BR"/>
        </w:rPr>
        <w:t xml:space="preserve">) adequadas para identificar o benefício decorrente do referido programa de subsídio, nos termos do </w:t>
      </w:r>
      <w:r w:rsidRPr="005C5CBD">
        <w:rPr>
          <w:rFonts w:ascii="Garamond" w:eastAsia="Calibri" w:hAnsi="Garamond" w:cs="Calibri"/>
          <w:sz w:val="24"/>
          <w:szCs w:val="24"/>
          <w:lang w:eastAsia="pt-BR"/>
        </w:rPr>
        <w:t xml:space="preserve">§3º do Art. </w:t>
      </w:r>
      <w:r w:rsidR="009A659B">
        <w:rPr>
          <w:rFonts w:ascii="Garamond" w:eastAsia="Calibri" w:hAnsi="Garamond" w:cs="Calibri"/>
          <w:sz w:val="24"/>
          <w:szCs w:val="24"/>
          <w:lang w:eastAsia="pt-BR"/>
        </w:rPr>
        <w:t>24</w:t>
      </w:r>
      <w:r w:rsidRPr="005C5CBD">
        <w:rPr>
          <w:rFonts w:ascii="Garamond" w:eastAsia="Times New Roman" w:hAnsi="Garamond" w:cs="Calibri"/>
          <w:sz w:val="24"/>
          <w:szCs w:val="24"/>
          <w:lang w:eastAsia="pt-BR"/>
        </w:rPr>
        <w:t>;</w:t>
      </w:r>
    </w:p>
    <w:p w14:paraId="592E7162"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p>
    <w:p w14:paraId="65C0922B"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III - o tratamento tributário que seria normalmente aplicável na ausência do programa de subsídio, caso o benefício refira-se a tratamento tributário mais vantajoso à empresa beneficiada; </w:t>
      </w:r>
    </w:p>
    <w:p w14:paraId="27B46619"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p>
    <w:p w14:paraId="4EBD84D4" w14:textId="77777777" w:rsidR="00395593" w:rsidRPr="005C5CBD" w:rsidRDefault="00395593" w:rsidP="00BD76D9">
      <w:pPr>
        <w:spacing w:after="0" w:line="240" w:lineRule="auto"/>
        <w:ind w:firstLine="567"/>
        <w:jc w:val="both"/>
        <w:rPr>
          <w:rFonts w:ascii="Garamond" w:eastAsia="Calibri" w:hAnsi="Garamond" w:cs="Calibri"/>
          <w:sz w:val="24"/>
          <w:szCs w:val="24"/>
          <w:lang w:eastAsia="pt-BR"/>
        </w:rPr>
      </w:pPr>
      <w:r w:rsidRPr="005C5CBD">
        <w:rPr>
          <w:rFonts w:ascii="Garamond" w:eastAsia="Times New Roman" w:hAnsi="Garamond" w:cs="Calibri"/>
          <w:sz w:val="24"/>
          <w:szCs w:val="24"/>
          <w:lang w:eastAsia="pt-BR"/>
        </w:rPr>
        <w:t xml:space="preserve">IV - o </w:t>
      </w:r>
      <w:r w:rsidRPr="005C5CBD">
        <w:rPr>
          <w:rFonts w:ascii="Garamond" w:eastAsia="Calibri" w:hAnsi="Garamond" w:cs="Calibri"/>
          <w:sz w:val="24"/>
          <w:szCs w:val="24"/>
          <w:lang w:eastAsia="pt-BR"/>
        </w:rPr>
        <w:t>montante estimado do subsídio concedido aos produtores e/ou exportadores do produto em questão com base no benefício conferido.</w:t>
      </w:r>
    </w:p>
    <w:p w14:paraId="579D9840"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p>
    <w:p w14:paraId="53E6A3EB"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A estimativa de montante de subsídios concedido deverá basear-se no benefício conferido, apurado, caso aplicável, a partir da diferença entre a contribuição financeira e a referência de mercado (</w:t>
      </w:r>
      <w:r w:rsidRPr="005C5CBD">
        <w:rPr>
          <w:rFonts w:ascii="Garamond" w:eastAsia="Times New Roman" w:hAnsi="Garamond" w:cs="Calibri"/>
          <w:b/>
          <w:sz w:val="24"/>
          <w:szCs w:val="24"/>
          <w:lang w:eastAsia="pt-BR"/>
        </w:rPr>
        <w:t>benchmark</w:t>
      </w:r>
      <w:r w:rsidRPr="005C5CBD">
        <w:rPr>
          <w:rFonts w:ascii="Garamond" w:eastAsia="Times New Roman" w:hAnsi="Garamond" w:cs="Calibri"/>
          <w:sz w:val="24"/>
          <w:szCs w:val="24"/>
          <w:lang w:eastAsia="pt-BR"/>
        </w:rPr>
        <w:t xml:space="preserve">). </w:t>
      </w:r>
    </w:p>
    <w:p w14:paraId="522B51F3"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p>
    <w:p w14:paraId="62F3C07A" w14:textId="77777777" w:rsidR="00395593" w:rsidRPr="005C5CBD" w:rsidRDefault="00395593" w:rsidP="00BD76D9">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280.</w:t>
      </w:r>
      <w:r w:rsidRPr="005C5CBD">
        <w:rPr>
          <w:rFonts w:ascii="Garamond" w:eastAsia="Calibri" w:hAnsi="Garamond" w:cs="Calibri"/>
          <w:sz w:val="24"/>
          <w:szCs w:val="24"/>
        </w:rPr>
        <w:t xml:space="preserve"> A petição deverá indicar a vida útil média dos ativos produtivos renováveis comumente utilizada na indústria na qual se insere o produto objeto da revisão.</w:t>
      </w:r>
    </w:p>
    <w:p w14:paraId="3C2BE30F" w14:textId="77777777" w:rsidR="00395593" w:rsidRPr="005C5CBD" w:rsidRDefault="00395593" w:rsidP="00BD76D9">
      <w:pPr>
        <w:spacing w:after="0" w:line="240" w:lineRule="auto"/>
        <w:ind w:firstLine="567"/>
        <w:jc w:val="both"/>
        <w:rPr>
          <w:rFonts w:ascii="Garamond" w:eastAsia="Calibri" w:hAnsi="Garamond" w:cs="Calibri"/>
          <w:sz w:val="24"/>
          <w:szCs w:val="24"/>
        </w:rPr>
      </w:pPr>
    </w:p>
    <w:p w14:paraId="7AB28F03"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Parágrafo único. Sempre que possível, deverá ser indicada a vida útil média utilizada no país no qual o produto objeto da revisão é produzido. </w:t>
      </w:r>
    </w:p>
    <w:p w14:paraId="2F255AC1"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p>
    <w:p w14:paraId="471770E9" w14:textId="0A387226" w:rsidR="00395593" w:rsidRPr="005C5CBD" w:rsidRDefault="00395593" w:rsidP="00BD76D9">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281. A petição deverá indicar, se possível, as empresas fornecedoras de bens ou serviços para os produtores/exportadores identificados no art. </w:t>
      </w:r>
      <w:r w:rsidR="009A659B">
        <w:rPr>
          <w:rFonts w:ascii="Garamond" w:eastAsia="Calibri" w:hAnsi="Garamond" w:cs="Calibri"/>
          <w:sz w:val="24"/>
          <w:szCs w:val="24"/>
        </w:rPr>
        <w:t>274</w:t>
      </w:r>
      <w:r w:rsidRPr="005C5CBD">
        <w:rPr>
          <w:rFonts w:ascii="Garamond" w:eastAsia="Calibri" w:hAnsi="Garamond" w:cs="Calibri"/>
          <w:sz w:val="24"/>
          <w:szCs w:val="24"/>
        </w:rPr>
        <w:t xml:space="preserve"> que tenham se beneficiado do programa de subsídio, caso haja indícios de concessão de subsídios a montante aos insumos do produtos subsidiado no país exportador, nos termos da Subseção XI da Seção IV do Capítulo II desta Portaria.</w:t>
      </w:r>
    </w:p>
    <w:p w14:paraId="69536978" w14:textId="77777777" w:rsidR="00395593" w:rsidRPr="005C5CBD" w:rsidRDefault="00395593" w:rsidP="00E15FBB">
      <w:pPr>
        <w:spacing w:after="0" w:line="240" w:lineRule="auto"/>
        <w:jc w:val="both"/>
        <w:rPr>
          <w:rFonts w:ascii="Garamond" w:eastAsia="Calibri" w:hAnsi="Garamond" w:cs="Calibri"/>
          <w:sz w:val="24"/>
          <w:szCs w:val="24"/>
        </w:rPr>
      </w:pPr>
    </w:p>
    <w:p w14:paraId="4001FDBB" w14:textId="00A9860C" w:rsidR="00395593" w:rsidRPr="005C5CBD" w:rsidRDefault="00395593" w:rsidP="00BD76D9">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Parágrafo único. Caso possível, o peticionário deverá indicar se as empresas fornecedoras de bens ou serviços mencionadas no </w:t>
      </w:r>
      <w:r w:rsidRPr="005C5CBD">
        <w:rPr>
          <w:rFonts w:ascii="Garamond" w:eastAsia="Calibri" w:hAnsi="Garamond" w:cs="Calibri"/>
          <w:b/>
          <w:sz w:val="24"/>
          <w:szCs w:val="24"/>
        </w:rPr>
        <w:t>caput</w:t>
      </w:r>
      <w:r w:rsidRPr="005C5CBD">
        <w:rPr>
          <w:rFonts w:ascii="Garamond" w:eastAsia="Calibri" w:hAnsi="Garamond" w:cs="Calibri"/>
          <w:sz w:val="24"/>
          <w:szCs w:val="24"/>
        </w:rPr>
        <w:t xml:space="preserve"> são relacionadas ou associadas aos produtores/exportadores identificados no art. </w:t>
      </w:r>
      <w:r w:rsidR="009A659B">
        <w:rPr>
          <w:rFonts w:ascii="Garamond" w:eastAsia="Calibri" w:hAnsi="Garamond" w:cs="Calibri"/>
          <w:sz w:val="24"/>
          <w:szCs w:val="24"/>
        </w:rPr>
        <w:t>158</w:t>
      </w:r>
      <w:r w:rsidR="00E15FBB" w:rsidRPr="005C5CBD">
        <w:rPr>
          <w:rFonts w:ascii="Garamond" w:eastAsia="Calibri" w:hAnsi="Garamond" w:cs="Calibri"/>
          <w:sz w:val="24"/>
          <w:szCs w:val="24"/>
        </w:rPr>
        <w:t>.</w:t>
      </w:r>
    </w:p>
    <w:p w14:paraId="276FC04F"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p>
    <w:p w14:paraId="05315438" w14:textId="77777777" w:rsidR="00395593" w:rsidRPr="0008528B" w:rsidRDefault="00395593" w:rsidP="00C3469C">
      <w:pPr>
        <w:pStyle w:val="Corpodetexto"/>
        <w:jc w:val="center"/>
        <w:rPr>
          <w:rFonts w:ascii="Garamond" w:eastAsia="MS Gothic" w:hAnsi="Garamond"/>
          <w:b/>
          <w:lang w:eastAsia="pt-BR"/>
        </w:rPr>
      </w:pPr>
      <w:r w:rsidRPr="0008528B">
        <w:rPr>
          <w:rFonts w:ascii="Garamond" w:eastAsia="MS Gothic" w:hAnsi="Garamond"/>
          <w:b/>
          <w:lang w:eastAsia="pt-BR"/>
        </w:rPr>
        <w:t>Subseção II</w:t>
      </w:r>
    </w:p>
    <w:p w14:paraId="5078A0B0" w14:textId="77777777" w:rsidR="00395593" w:rsidRPr="0008528B" w:rsidRDefault="00395593" w:rsidP="00C3469C">
      <w:pPr>
        <w:pStyle w:val="Corpodetexto"/>
        <w:jc w:val="center"/>
        <w:rPr>
          <w:rFonts w:ascii="Garamond" w:eastAsia="MS Gothic" w:hAnsi="Garamond"/>
          <w:b/>
          <w:color w:val="4F81BD"/>
          <w:lang w:eastAsia="pt-BR"/>
        </w:rPr>
      </w:pPr>
      <w:r w:rsidRPr="0008528B">
        <w:rPr>
          <w:rFonts w:ascii="Garamond" w:eastAsia="MS Gothic" w:hAnsi="Garamond"/>
          <w:b/>
          <w:lang w:eastAsia="pt-BR"/>
        </w:rPr>
        <w:t>Da Especificidade</w:t>
      </w:r>
    </w:p>
    <w:p w14:paraId="3EB9708E" w14:textId="77777777" w:rsidR="00395593" w:rsidRPr="005C5CBD" w:rsidRDefault="00395593" w:rsidP="00E15FBB">
      <w:pPr>
        <w:spacing w:after="0" w:line="240" w:lineRule="auto"/>
        <w:rPr>
          <w:rFonts w:ascii="Garamond" w:eastAsia="Calibri" w:hAnsi="Garamond" w:cs="Calibri"/>
          <w:sz w:val="24"/>
          <w:szCs w:val="24"/>
          <w:lang w:eastAsia="pt-BR"/>
        </w:rPr>
      </w:pPr>
    </w:p>
    <w:p w14:paraId="6B1FD1A6" w14:textId="77777777" w:rsidR="00395593" w:rsidRPr="005C5CBD" w:rsidRDefault="00395593" w:rsidP="00BD76D9">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282. Para cada programa de subsídio identificado nos termos da Subseção I, seja um programa anteriormente investigado ou um novo programa, a petição deverá indicar a existência de evidências para enquadrá-lo em ao menos uma das seguintes hipóteses de especificidade: </w:t>
      </w:r>
    </w:p>
    <w:p w14:paraId="3EBAB3E2" w14:textId="77777777" w:rsidR="00395593" w:rsidRPr="005C5CBD" w:rsidRDefault="00395593" w:rsidP="00BD76D9">
      <w:pPr>
        <w:spacing w:after="0" w:line="240" w:lineRule="auto"/>
        <w:ind w:firstLine="567"/>
        <w:jc w:val="both"/>
        <w:rPr>
          <w:rFonts w:ascii="Garamond" w:eastAsia="Calibri" w:hAnsi="Garamond" w:cs="Calibri"/>
          <w:sz w:val="24"/>
          <w:szCs w:val="24"/>
        </w:rPr>
      </w:pPr>
    </w:p>
    <w:p w14:paraId="1B93B235" w14:textId="77777777" w:rsidR="00395593" w:rsidRPr="005C5CBD" w:rsidRDefault="00395593" w:rsidP="00BD76D9">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subsídio proibido:</w:t>
      </w:r>
    </w:p>
    <w:p w14:paraId="0C284B36" w14:textId="77777777" w:rsidR="00395593" w:rsidRPr="005C5CBD" w:rsidRDefault="00395593" w:rsidP="00BD76D9">
      <w:pPr>
        <w:spacing w:after="0" w:line="240" w:lineRule="auto"/>
        <w:ind w:firstLine="567"/>
        <w:jc w:val="both"/>
        <w:rPr>
          <w:rFonts w:ascii="Garamond" w:eastAsia="Calibri" w:hAnsi="Garamond" w:cs="Calibri"/>
          <w:sz w:val="24"/>
          <w:szCs w:val="24"/>
        </w:rPr>
      </w:pPr>
    </w:p>
    <w:p w14:paraId="00DA13B0" w14:textId="77777777" w:rsidR="00395593" w:rsidRPr="005C5CBD" w:rsidRDefault="00395593" w:rsidP="00BD76D9">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 subsídio vinculado, de fato ou de direito, ao desempenho exportador</w:t>
      </w:r>
    </w:p>
    <w:p w14:paraId="4931FBD6" w14:textId="77777777" w:rsidR="00395593" w:rsidRPr="005C5CBD" w:rsidRDefault="00395593" w:rsidP="00BD76D9">
      <w:pPr>
        <w:spacing w:after="0" w:line="240" w:lineRule="auto"/>
        <w:ind w:firstLine="567"/>
        <w:jc w:val="both"/>
        <w:rPr>
          <w:rFonts w:ascii="Garamond" w:eastAsia="Calibri" w:hAnsi="Garamond" w:cs="Calibri"/>
          <w:sz w:val="24"/>
          <w:szCs w:val="24"/>
        </w:rPr>
      </w:pPr>
    </w:p>
    <w:p w14:paraId="1D9723BA" w14:textId="77777777" w:rsidR="00395593" w:rsidRPr="005C5CBD" w:rsidRDefault="00395593" w:rsidP="00BD76D9">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b) subsídio vinculado, de fato ou de direito, ao uso preferencial de produtos domésticos em detrimento de produtos estrangeiros;</w:t>
      </w:r>
    </w:p>
    <w:p w14:paraId="4A42537D" w14:textId="77777777" w:rsidR="00395593" w:rsidRPr="005C5CBD" w:rsidRDefault="00395593" w:rsidP="00BD76D9">
      <w:pPr>
        <w:spacing w:after="0" w:line="240" w:lineRule="auto"/>
        <w:ind w:firstLine="567"/>
        <w:jc w:val="both"/>
        <w:rPr>
          <w:rFonts w:ascii="Garamond" w:eastAsia="Calibri" w:hAnsi="Garamond" w:cs="Calibri"/>
          <w:sz w:val="24"/>
          <w:szCs w:val="24"/>
        </w:rPr>
      </w:pPr>
    </w:p>
    <w:p w14:paraId="6D89AFBC"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rPr>
        <w:t>II - subsídio específico “de direito”, expressamente limitado por lei</w:t>
      </w:r>
      <w:r w:rsidRPr="005C5CBD" w:rsidDel="00502214">
        <w:rPr>
          <w:rFonts w:ascii="Garamond" w:eastAsia="Calibri" w:hAnsi="Garamond" w:cs="Calibri"/>
          <w:sz w:val="24"/>
          <w:szCs w:val="24"/>
        </w:rPr>
        <w:t xml:space="preserve"> </w:t>
      </w:r>
      <w:r w:rsidRPr="005C5CBD">
        <w:rPr>
          <w:rFonts w:ascii="Garamond" w:eastAsia="Times New Roman" w:hAnsi="Garamond" w:cs="Calibri"/>
          <w:sz w:val="24"/>
          <w:szCs w:val="24"/>
          <w:lang w:eastAsia="pt-BR"/>
        </w:rPr>
        <w:t>a uma empresa ou indústria, ou a um grupo de empresas ou indústrias dentro da jurisdição da autoridade outorgante;</w:t>
      </w:r>
    </w:p>
    <w:p w14:paraId="5627AA85" w14:textId="77777777" w:rsidR="00395593" w:rsidRPr="005C5CBD" w:rsidRDefault="00395593" w:rsidP="00BD76D9">
      <w:pPr>
        <w:spacing w:after="0" w:line="240" w:lineRule="auto"/>
        <w:ind w:firstLine="567"/>
        <w:jc w:val="both"/>
        <w:rPr>
          <w:rFonts w:ascii="Garamond" w:eastAsia="Times New Roman" w:hAnsi="Garamond" w:cs="Calibri"/>
          <w:sz w:val="24"/>
          <w:szCs w:val="24"/>
          <w:lang w:eastAsia="pt-BR"/>
        </w:rPr>
      </w:pPr>
    </w:p>
    <w:p w14:paraId="4AC58775" w14:textId="77777777" w:rsidR="00395593" w:rsidRPr="005C5CBD" w:rsidRDefault="00395593" w:rsidP="00BD76D9">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III - subsídio específico “de fato”, destinado </w:t>
      </w:r>
      <w:r w:rsidRPr="005C5CBD">
        <w:rPr>
          <w:rFonts w:ascii="Garamond" w:eastAsia="Times New Roman" w:hAnsi="Garamond" w:cs="Calibri"/>
          <w:sz w:val="24"/>
          <w:szCs w:val="24"/>
          <w:lang w:eastAsia="pt-BR"/>
        </w:rPr>
        <w:t>a uma empresa ou indústria, ou a um grupo de empresas ou indústrias dentro da jurisdição da autoridade outorgante</w:t>
      </w:r>
      <w:r w:rsidRPr="005C5CBD">
        <w:rPr>
          <w:rFonts w:ascii="Garamond" w:eastAsia="Calibri" w:hAnsi="Garamond" w:cs="Calibri"/>
          <w:sz w:val="24"/>
          <w:szCs w:val="24"/>
        </w:rPr>
        <w:t>; ou</w:t>
      </w:r>
    </w:p>
    <w:p w14:paraId="16EA76DD" w14:textId="77777777" w:rsidR="00395593" w:rsidRPr="005C5CBD" w:rsidRDefault="00395593" w:rsidP="00BD76D9">
      <w:pPr>
        <w:autoSpaceDE w:val="0"/>
        <w:autoSpaceDN w:val="0"/>
        <w:adjustRightInd w:val="0"/>
        <w:spacing w:after="0" w:line="240" w:lineRule="auto"/>
        <w:ind w:firstLine="567"/>
        <w:jc w:val="both"/>
        <w:rPr>
          <w:rFonts w:ascii="Garamond" w:eastAsia="Calibri" w:hAnsi="Garamond" w:cs="Calibri"/>
          <w:sz w:val="24"/>
          <w:szCs w:val="24"/>
          <w:lang w:eastAsia="pt-BR"/>
        </w:rPr>
      </w:pPr>
    </w:p>
    <w:p w14:paraId="3BDEAA37" w14:textId="77777777" w:rsidR="00395593" w:rsidRPr="005C5CBD" w:rsidRDefault="00395593" w:rsidP="00BD76D9">
      <w:pPr>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IV - subsídio específico </w:t>
      </w:r>
      <w:r w:rsidRPr="005C5CBD">
        <w:rPr>
          <w:rFonts w:ascii="Garamond" w:eastAsia="Times New Roman" w:hAnsi="Garamond" w:cs="Calibri"/>
          <w:sz w:val="24"/>
          <w:szCs w:val="24"/>
          <w:lang w:eastAsia="pt-BR"/>
        </w:rPr>
        <w:t xml:space="preserve">em virtude de ser limitado a determinadas empresas localizadas dentro de região geográfica delimitada situada na jurisdição da autoridade outorgante. </w:t>
      </w:r>
    </w:p>
    <w:p w14:paraId="6834E714"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5091E812" w14:textId="77777777" w:rsidR="00395593" w:rsidRPr="0008528B" w:rsidRDefault="00395593" w:rsidP="00C3469C">
      <w:pPr>
        <w:pStyle w:val="Corpodetexto"/>
        <w:jc w:val="center"/>
        <w:rPr>
          <w:rFonts w:ascii="Garamond" w:eastAsia="MS Gothic" w:hAnsi="Garamond"/>
          <w:b/>
          <w:color w:val="4F81BD"/>
          <w:lang w:eastAsia="pt-BR"/>
        </w:rPr>
      </w:pPr>
      <w:r w:rsidRPr="0008528B">
        <w:rPr>
          <w:rFonts w:ascii="Garamond" w:eastAsia="MS Gothic" w:hAnsi="Garamond"/>
          <w:b/>
          <w:lang w:eastAsia="pt-BR"/>
        </w:rPr>
        <w:t>Subseção III</w:t>
      </w:r>
    </w:p>
    <w:p w14:paraId="0880D368" w14:textId="77777777" w:rsidR="00395593" w:rsidRPr="005C5CBD" w:rsidRDefault="00395593" w:rsidP="00C3469C">
      <w:pPr>
        <w:pStyle w:val="Corpodetexto"/>
        <w:jc w:val="center"/>
        <w:rPr>
          <w:rFonts w:eastAsia="MS Gothic"/>
          <w:color w:val="4F81BD"/>
          <w:lang w:eastAsia="pt-BR"/>
        </w:rPr>
      </w:pPr>
      <w:r w:rsidRPr="0008528B">
        <w:rPr>
          <w:rFonts w:ascii="Garamond" w:eastAsia="MS Gothic" w:hAnsi="Garamond"/>
          <w:b/>
          <w:lang w:eastAsia="pt-BR"/>
        </w:rPr>
        <w:t>Do preço de exportação</w:t>
      </w:r>
    </w:p>
    <w:p w14:paraId="513B0097" w14:textId="77777777" w:rsidR="00395593" w:rsidRPr="005C5CBD" w:rsidRDefault="00395593" w:rsidP="00E15FBB">
      <w:pPr>
        <w:spacing w:after="0" w:line="240" w:lineRule="auto"/>
        <w:ind w:firstLine="708"/>
        <w:jc w:val="center"/>
        <w:rPr>
          <w:rFonts w:ascii="Garamond" w:eastAsia="Calibri" w:hAnsi="Garamond" w:cs="Calibri"/>
          <w:b/>
          <w:sz w:val="24"/>
          <w:szCs w:val="24"/>
        </w:rPr>
      </w:pPr>
    </w:p>
    <w:p w14:paraId="5F928974" w14:textId="337ABE16" w:rsidR="00395593" w:rsidRPr="005C5CBD" w:rsidRDefault="00395593" w:rsidP="00ED12D0">
      <w:pPr>
        <w:widowControl w:val="0"/>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283. </w:t>
      </w:r>
      <w:r w:rsidRPr="005C5CBD">
        <w:rPr>
          <w:rFonts w:ascii="Garamond" w:eastAsia="Times New Roman" w:hAnsi="Garamond" w:cs="Calibri"/>
          <w:color w:val="000000"/>
          <w:sz w:val="24"/>
          <w:szCs w:val="24"/>
          <w:lang w:eastAsia="pt-BR"/>
        </w:rPr>
        <w:t xml:space="preserve">Para cada país indicado no art. </w:t>
      </w:r>
      <w:r w:rsidR="009A659B">
        <w:rPr>
          <w:rFonts w:ascii="Garamond" w:eastAsia="Times New Roman" w:hAnsi="Garamond" w:cs="Calibri"/>
          <w:color w:val="000000"/>
          <w:sz w:val="24"/>
          <w:szCs w:val="24"/>
          <w:lang w:eastAsia="pt-BR"/>
        </w:rPr>
        <w:t>273</w:t>
      </w:r>
      <w:r w:rsidR="00E15FBB" w:rsidRPr="005C5CBD">
        <w:rPr>
          <w:rFonts w:ascii="Garamond" w:eastAsia="Times New Roman" w:hAnsi="Garamond" w:cs="Calibri"/>
          <w:color w:val="000000"/>
          <w:sz w:val="24"/>
          <w:szCs w:val="24"/>
          <w:lang w:eastAsia="pt-BR"/>
        </w:rPr>
        <w:t>,</w:t>
      </w:r>
      <w:r w:rsidRPr="005C5CBD">
        <w:rPr>
          <w:rFonts w:ascii="Garamond" w:eastAsia="Times New Roman" w:hAnsi="Garamond" w:cs="Calibri"/>
          <w:color w:val="000000"/>
          <w:sz w:val="24"/>
          <w:szCs w:val="24"/>
          <w:lang w:eastAsia="pt-BR"/>
        </w:rPr>
        <w:t xml:space="preserve"> a petição deverá fornecer o preço de exportação para o Brasil do produto objeto da revisão, conforme a tabela constante do Apêndice IV.</w:t>
      </w:r>
    </w:p>
    <w:p w14:paraId="13B016DD"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p>
    <w:p w14:paraId="6569C917"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Seção IX</w:t>
      </w:r>
    </w:p>
    <w:p w14:paraId="26546906"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Informações por empresa representada na Petição</w:t>
      </w:r>
    </w:p>
    <w:p w14:paraId="0F4DD3B7" w14:textId="77777777" w:rsidR="00395593" w:rsidRPr="005C5CBD" w:rsidRDefault="00395593" w:rsidP="00E15FBB">
      <w:pPr>
        <w:spacing w:after="0" w:line="240" w:lineRule="auto"/>
        <w:jc w:val="center"/>
        <w:rPr>
          <w:rFonts w:ascii="Garamond" w:eastAsia="Calibri" w:hAnsi="Garamond" w:cs="Calibri"/>
          <w:b/>
          <w:sz w:val="24"/>
          <w:szCs w:val="24"/>
        </w:rPr>
      </w:pPr>
    </w:p>
    <w:p w14:paraId="37BFC05D" w14:textId="77777777" w:rsidR="00395593" w:rsidRPr="0008528B" w:rsidRDefault="00395593" w:rsidP="00C3469C">
      <w:pPr>
        <w:pStyle w:val="Corpodetexto"/>
        <w:jc w:val="center"/>
        <w:rPr>
          <w:rFonts w:ascii="Garamond" w:eastAsia="MS Gothic" w:hAnsi="Garamond"/>
          <w:b/>
          <w:color w:val="4F81BD"/>
          <w:lang w:eastAsia="pt-BR"/>
        </w:rPr>
      </w:pPr>
      <w:r w:rsidRPr="0008528B">
        <w:rPr>
          <w:rFonts w:ascii="Garamond" w:eastAsia="MS Gothic" w:hAnsi="Garamond"/>
          <w:b/>
          <w:lang w:eastAsia="pt-BR"/>
        </w:rPr>
        <w:t>Subseção I</w:t>
      </w:r>
    </w:p>
    <w:p w14:paraId="5243820E" w14:textId="77777777" w:rsidR="00395593" w:rsidRPr="005C5CBD" w:rsidRDefault="00395593" w:rsidP="00C3469C">
      <w:pPr>
        <w:pStyle w:val="Corpodetexto"/>
        <w:jc w:val="center"/>
        <w:rPr>
          <w:rFonts w:eastAsia="MS Gothic"/>
          <w:color w:val="4F81BD"/>
          <w:lang w:eastAsia="pt-BR"/>
        </w:rPr>
      </w:pPr>
      <w:r w:rsidRPr="0008528B">
        <w:rPr>
          <w:rFonts w:ascii="Garamond" w:eastAsia="MS Gothic" w:hAnsi="Garamond"/>
          <w:b/>
          <w:lang w:eastAsia="pt-BR"/>
        </w:rPr>
        <w:t>Dos dados das empresas representadas</w:t>
      </w:r>
    </w:p>
    <w:p w14:paraId="02E13DDD" w14:textId="77777777" w:rsidR="00395593" w:rsidRPr="005C5CBD" w:rsidRDefault="00395593" w:rsidP="00E15FBB">
      <w:pPr>
        <w:spacing w:after="0" w:line="276" w:lineRule="auto"/>
        <w:jc w:val="center"/>
        <w:rPr>
          <w:rFonts w:ascii="Garamond" w:eastAsia="Calibri" w:hAnsi="Garamond" w:cs="Calibri"/>
          <w:b/>
          <w:sz w:val="24"/>
          <w:szCs w:val="24"/>
        </w:rPr>
      </w:pPr>
    </w:p>
    <w:p w14:paraId="160EF48B" w14:textId="77777777" w:rsidR="00395593" w:rsidRPr="005C5CBD" w:rsidRDefault="00395593" w:rsidP="00ED12D0">
      <w:pPr>
        <w:spacing w:after="12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Art. 284. Para cada empresa representada na petição, deverão ser informados:</w:t>
      </w:r>
    </w:p>
    <w:p w14:paraId="56C8473F"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razão social:</w:t>
      </w:r>
    </w:p>
    <w:p w14:paraId="5C62290E"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w:t>
      </w:r>
    </w:p>
    <w:p w14:paraId="3CCDF0E0"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 - endereço completo: </w:t>
      </w:r>
    </w:p>
    <w:p w14:paraId="439EA5B4"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3847CC8C"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III - telefone:</w:t>
      </w:r>
    </w:p>
    <w:p w14:paraId="357EEEC0"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619A180F"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IV - endereço eletrônico:</w:t>
      </w:r>
    </w:p>
    <w:p w14:paraId="6F99EF42" w14:textId="77777777" w:rsidR="00395593" w:rsidRPr="005C5CBD" w:rsidRDefault="00395593" w:rsidP="00E15FBB">
      <w:pPr>
        <w:spacing w:after="0" w:line="240" w:lineRule="auto"/>
        <w:ind w:firstLine="708"/>
        <w:jc w:val="both"/>
        <w:rPr>
          <w:rFonts w:ascii="Garamond" w:eastAsia="Calibri" w:hAnsi="Garamond" w:cs="Calibri"/>
          <w:sz w:val="24"/>
          <w:szCs w:val="24"/>
        </w:rPr>
      </w:pPr>
    </w:p>
    <w:p w14:paraId="7F7CA1D2"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285. Para cada empresa representada na petição, deverá ser nomeado apenas um destinatário para servir como ponto focal acerca da petição, indicando os respectivos contatos:</w:t>
      </w:r>
    </w:p>
    <w:p w14:paraId="6B58F663"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4EF132F8"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nome:</w:t>
      </w:r>
    </w:p>
    <w:p w14:paraId="163D2971"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w:t>
      </w:r>
    </w:p>
    <w:p w14:paraId="436B8341"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 - função: </w:t>
      </w:r>
    </w:p>
    <w:p w14:paraId="0E973F17"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5B5C0D1A"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III - endereço completo: </w:t>
      </w:r>
    </w:p>
    <w:p w14:paraId="756F7DAD"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513550E1"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IV - telefone:</w:t>
      </w:r>
    </w:p>
    <w:p w14:paraId="056CAB79"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34FAEB5E"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V - endereço eletrônico: </w:t>
      </w:r>
    </w:p>
    <w:p w14:paraId="192447A6" w14:textId="77777777" w:rsidR="00395593" w:rsidRPr="005C5CBD" w:rsidRDefault="00395593" w:rsidP="00E15FBB">
      <w:pPr>
        <w:spacing w:after="0" w:line="240" w:lineRule="auto"/>
        <w:jc w:val="center"/>
        <w:rPr>
          <w:rFonts w:ascii="Garamond" w:eastAsia="Calibri" w:hAnsi="Garamond" w:cs="Calibri"/>
          <w:b/>
          <w:sz w:val="24"/>
          <w:szCs w:val="24"/>
        </w:rPr>
      </w:pPr>
    </w:p>
    <w:p w14:paraId="1FDD5E42" w14:textId="77777777" w:rsidR="00395593" w:rsidRPr="0008528B" w:rsidRDefault="00395593" w:rsidP="00C3469C">
      <w:pPr>
        <w:pStyle w:val="Corpodetexto"/>
        <w:jc w:val="center"/>
        <w:rPr>
          <w:rFonts w:ascii="Garamond" w:eastAsia="MS Gothic" w:hAnsi="Garamond"/>
          <w:b/>
          <w:color w:val="4F81BD"/>
          <w:lang w:eastAsia="pt-BR"/>
        </w:rPr>
      </w:pPr>
      <w:r w:rsidRPr="0008528B">
        <w:rPr>
          <w:rFonts w:ascii="Garamond" w:eastAsia="MS Gothic" w:hAnsi="Garamond"/>
          <w:b/>
          <w:lang w:eastAsia="pt-BR"/>
        </w:rPr>
        <w:t>Subseção II</w:t>
      </w:r>
    </w:p>
    <w:p w14:paraId="0A75D13D" w14:textId="77777777" w:rsidR="00395593" w:rsidRPr="0008528B" w:rsidRDefault="00395593" w:rsidP="00C3469C">
      <w:pPr>
        <w:pStyle w:val="Corpodetexto"/>
        <w:jc w:val="center"/>
        <w:rPr>
          <w:rFonts w:ascii="Garamond" w:eastAsia="MS Gothic" w:hAnsi="Garamond"/>
          <w:b/>
          <w:color w:val="4F81BD"/>
          <w:lang w:eastAsia="pt-BR"/>
        </w:rPr>
      </w:pPr>
      <w:r w:rsidRPr="0008528B">
        <w:rPr>
          <w:rFonts w:ascii="Garamond" w:eastAsia="MS Gothic" w:hAnsi="Garamond"/>
          <w:b/>
          <w:lang w:eastAsia="pt-BR"/>
        </w:rPr>
        <w:t>Estrutura e afiliações</w:t>
      </w:r>
    </w:p>
    <w:p w14:paraId="64E8BAAB" w14:textId="77777777" w:rsidR="00395593" w:rsidRPr="005C5CBD" w:rsidRDefault="00395593" w:rsidP="00E15FBB">
      <w:pPr>
        <w:spacing w:after="0" w:line="240" w:lineRule="auto"/>
        <w:jc w:val="both"/>
        <w:rPr>
          <w:rFonts w:ascii="Garamond" w:eastAsia="Calibri" w:hAnsi="Garamond" w:cs="Calibri"/>
          <w:sz w:val="24"/>
          <w:szCs w:val="24"/>
        </w:rPr>
      </w:pPr>
    </w:p>
    <w:p w14:paraId="4F4E2416" w14:textId="77777777" w:rsidR="00395593" w:rsidRPr="005C5CBD" w:rsidRDefault="00395593" w:rsidP="00ED12D0">
      <w:pPr>
        <w:spacing w:after="0" w:line="240" w:lineRule="auto"/>
        <w:ind w:firstLineChars="567" w:firstLine="1361"/>
        <w:jc w:val="both"/>
        <w:rPr>
          <w:rFonts w:ascii="Garamond" w:eastAsia="Calibri" w:hAnsi="Garamond" w:cs="Calibri"/>
          <w:sz w:val="24"/>
          <w:szCs w:val="24"/>
        </w:rPr>
      </w:pPr>
      <w:r w:rsidRPr="005C5CBD">
        <w:rPr>
          <w:rFonts w:ascii="Garamond" w:eastAsia="Calibri" w:hAnsi="Garamond" w:cs="Calibri"/>
          <w:sz w:val="24"/>
          <w:szCs w:val="24"/>
        </w:rPr>
        <w:t>Art. 286. Para cada empresa representada na petição, deverá ser fornecido organograma da estrutura comercial, financeira, logística e operacional da empresa e descrição do funcionamento de cada unidade.</w:t>
      </w:r>
    </w:p>
    <w:p w14:paraId="03CB4466" w14:textId="77777777" w:rsidR="00395593" w:rsidRPr="005C5CBD" w:rsidRDefault="00395593" w:rsidP="00ED12D0">
      <w:pPr>
        <w:spacing w:after="0" w:line="240" w:lineRule="auto"/>
        <w:ind w:firstLineChars="567" w:firstLine="1361"/>
        <w:jc w:val="both"/>
        <w:rPr>
          <w:rFonts w:ascii="Garamond" w:eastAsia="Calibri" w:hAnsi="Garamond" w:cs="Calibri"/>
          <w:sz w:val="24"/>
          <w:szCs w:val="24"/>
        </w:rPr>
      </w:pPr>
    </w:p>
    <w:p w14:paraId="280BBFD1" w14:textId="77777777" w:rsidR="00395593" w:rsidRPr="005C5CBD" w:rsidRDefault="00395593" w:rsidP="00ED12D0">
      <w:pPr>
        <w:spacing w:after="0" w:line="240" w:lineRule="auto"/>
        <w:ind w:firstLineChars="567" w:firstLine="1361"/>
        <w:jc w:val="both"/>
        <w:rPr>
          <w:rFonts w:ascii="Garamond" w:eastAsia="Calibri" w:hAnsi="Garamond" w:cs="Calibri"/>
          <w:sz w:val="24"/>
          <w:szCs w:val="24"/>
        </w:rPr>
      </w:pPr>
      <w:r w:rsidRPr="005C5CBD">
        <w:rPr>
          <w:rFonts w:ascii="Garamond" w:eastAsia="Calibri" w:hAnsi="Garamond" w:cs="Calibri"/>
          <w:sz w:val="24"/>
          <w:szCs w:val="24"/>
        </w:rPr>
        <w:t>Art. 287. Para cada empresa representada na petição, deverão ser informadas todas as plantas de fabricação e dos escritórios de vendas e administração relacionados ao produto similar da indústria doméstica, bem como sua respectiva localização.</w:t>
      </w:r>
    </w:p>
    <w:p w14:paraId="65CA88B2" w14:textId="77777777" w:rsidR="00E15FBB" w:rsidRPr="005C5CBD" w:rsidRDefault="00E15FBB" w:rsidP="00ED12D0">
      <w:pPr>
        <w:spacing w:after="0" w:line="240" w:lineRule="auto"/>
        <w:ind w:firstLineChars="567" w:firstLine="1361"/>
        <w:jc w:val="both"/>
        <w:rPr>
          <w:rFonts w:ascii="Garamond" w:eastAsia="Calibri" w:hAnsi="Garamond" w:cs="Calibri"/>
          <w:sz w:val="24"/>
          <w:szCs w:val="24"/>
        </w:rPr>
      </w:pPr>
    </w:p>
    <w:p w14:paraId="25EAF15A" w14:textId="57729476" w:rsidR="00E15FBB" w:rsidRPr="005C5CBD" w:rsidRDefault="00E15FBB" w:rsidP="00ED12D0">
      <w:pPr>
        <w:spacing w:after="0" w:line="240" w:lineRule="auto"/>
        <w:ind w:firstLineChars="567" w:firstLine="1361"/>
        <w:jc w:val="both"/>
        <w:rPr>
          <w:rFonts w:ascii="Garamond" w:eastAsia="Calibri" w:hAnsi="Garamond" w:cs="Calibri"/>
          <w:sz w:val="24"/>
          <w:szCs w:val="24"/>
        </w:rPr>
      </w:pPr>
      <w:r w:rsidRPr="005C5CBD">
        <w:rPr>
          <w:rFonts w:ascii="Garamond" w:eastAsia="Calibri" w:hAnsi="Garamond" w:cs="Calibri"/>
          <w:sz w:val="24"/>
          <w:szCs w:val="24"/>
        </w:rPr>
        <w:t>Art. 288. Deverá ser apresentado quadro organizacional da estrutura legal de cada empresa, incluindo todas as partes relacionadas ou associadas, tal como definido no art.</w:t>
      </w:r>
      <w:r w:rsidRPr="005C5CBD" w:rsidDel="0099070C">
        <w:rPr>
          <w:rFonts w:ascii="Garamond" w:eastAsia="Calibri" w:hAnsi="Garamond" w:cs="Calibri"/>
          <w:sz w:val="24"/>
          <w:szCs w:val="24"/>
        </w:rPr>
        <w:t xml:space="preserve"> </w:t>
      </w:r>
      <w:r w:rsidR="009A659B">
        <w:rPr>
          <w:rFonts w:ascii="Garamond" w:eastAsia="Calibri" w:hAnsi="Garamond" w:cs="Calibri"/>
          <w:sz w:val="24"/>
          <w:szCs w:val="24"/>
        </w:rPr>
        <w:t>12</w:t>
      </w:r>
      <w:r w:rsidRPr="005C5CBD">
        <w:rPr>
          <w:rFonts w:ascii="Garamond" w:eastAsia="Calibri" w:hAnsi="Garamond" w:cs="Calibri"/>
          <w:sz w:val="24"/>
          <w:szCs w:val="24"/>
        </w:rPr>
        <w:t>.</w:t>
      </w:r>
    </w:p>
    <w:p w14:paraId="4139D79F" w14:textId="77777777" w:rsidR="00395593" w:rsidRPr="005C5CBD" w:rsidRDefault="00395593" w:rsidP="00ED12D0">
      <w:pPr>
        <w:spacing w:after="0" w:line="240" w:lineRule="auto"/>
        <w:ind w:firstLineChars="567" w:firstLine="1361"/>
        <w:jc w:val="both"/>
        <w:rPr>
          <w:rFonts w:ascii="Garamond" w:eastAsia="Calibri" w:hAnsi="Garamond" w:cs="Calibri"/>
          <w:sz w:val="24"/>
          <w:szCs w:val="24"/>
        </w:rPr>
      </w:pPr>
    </w:p>
    <w:p w14:paraId="6311C501" w14:textId="77777777" w:rsidR="00395593" w:rsidRPr="005C5CBD" w:rsidRDefault="00395593" w:rsidP="00ED12D0">
      <w:pPr>
        <w:spacing w:after="0" w:line="240" w:lineRule="auto"/>
        <w:ind w:firstLineChars="567" w:firstLine="1361"/>
        <w:jc w:val="both"/>
        <w:rPr>
          <w:rFonts w:ascii="Garamond" w:eastAsia="Calibri" w:hAnsi="Garamond" w:cs="Calibri"/>
          <w:sz w:val="24"/>
          <w:szCs w:val="24"/>
        </w:rPr>
      </w:pPr>
      <w:r w:rsidRPr="005C5CBD">
        <w:rPr>
          <w:rFonts w:ascii="Garamond" w:eastAsia="Calibri" w:hAnsi="Garamond" w:cs="Calibri"/>
          <w:sz w:val="24"/>
          <w:szCs w:val="24"/>
        </w:rPr>
        <w:t>§ 1º  A petição deverá conter a lista dos principais acionistas de cada empresa e fornecer as percentagens de participação para coproprietários ou principais acionistas.</w:t>
      </w:r>
    </w:p>
    <w:p w14:paraId="3BBF93D3" w14:textId="77777777" w:rsidR="00395593" w:rsidRPr="005C5CBD" w:rsidRDefault="00395593" w:rsidP="00ED12D0">
      <w:pPr>
        <w:spacing w:after="0" w:line="240" w:lineRule="auto"/>
        <w:ind w:firstLineChars="567" w:firstLine="1361"/>
        <w:jc w:val="both"/>
        <w:rPr>
          <w:rFonts w:ascii="Garamond" w:eastAsia="Calibri" w:hAnsi="Garamond" w:cs="Calibri"/>
          <w:sz w:val="24"/>
          <w:szCs w:val="24"/>
        </w:rPr>
      </w:pPr>
    </w:p>
    <w:p w14:paraId="3F96E509" w14:textId="77777777" w:rsidR="00395593" w:rsidRPr="005C5CBD" w:rsidRDefault="00395593" w:rsidP="00ED12D0">
      <w:pPr>
        <w:spacing w:after="0" w:line="240" w:lineRule="auto"/>
        <w:ind w:firstLineChars="567" w:firstLine="1361"/>
        <w:jc w:val="both"/>
        <w:rPr>
          <w:rFonts w:ascii="Garamond" w:eastAsia="Calibri" w:hAnsi="Garamond" w:cs="Calibri"/>
          <w:sz w:val="24"/>
          <w:szCs w:val="24"/>
        </w:rPr>
      </w:pPr>
      <w:r w:rsidRPr="005C5CBD">
        <w:rPr>
          <w:rFonts w:ascii="Garamond" w:eastAsia="Calibri" w:hAnsi="Garamond" w:cs="Calibri"/>
          <w:sz w:val="24"/>
          <w:szCs w:val="24"/>
        </w:rPr>
        <w:t>§ 2º  A petição deverá informar se a empresa possui relacionamento com algum exportador ou importador brasileiro do produto subsidiado ou similar.</w:t>
      </w:r>
    </w:p>
    <w:p w14:paraId="1ADD6CE1" w14:textId="77777777" w:rsidR="00395593" w:rsidRPr="005C5CBD" w:rsidRDefault="00395593" w:rsidP="00ED12D0">
      <w:pPr>
        <w:spacing w:after="0" w:line="240" w:lineRule="auto"/>
        <w:ind w:firstLineChars="567" w:firstLine="1361"/>
        <w:jc w:val="both"/>
        <w:rPr>
          <w:rFonts w:ascii="Garamond" w:eastAsia="Calibri" w:hAnsi="Garamond" w:cs="Calibri"/>
          <w:sz w:val="24"/>
          <w:szCs w:val="24"/>
        </w:rPr>
      </w:pPr>
    </w:p>
    <w:p w14:paraId="3BA6A8B7" w14:textId="77777777" w:rsidR="00395593" w:rsidRPr="005C5CBD" w:rsidRDefault="00395593" w:rsidP="00ED12D0">
      <w:pPr>
        <w:spacing w:after="0" w:line="240" w:lineRule="auto"/>
        <w:ind w:firstLineChars="567" w:firstLine="1361"/>
        <w:jc w:val="both"/>
        <w:rPr>
          <w:rFonts w:ascii="Garamond" w:eastAsia="Calibri" w:hAnsi="Garamond" w:cs="Calibri"/>
          <w:b/>
          <w:sz w:val="24"/>
          <w:szCs w:val="24"/>
        </w:rPr>
      </w:pPr>
      <w:r w:rsidRPr="005C5CBD">
        <w:rPr>
          <w:rFonts w:ascii="Garamond" w:eastAsia="Calibri" w:hAnsi="Garamond" w:cs="Calibri"/>
          <w:sz w:val="24"/>
          <w:szCs w:val="24"/>
        </w:rPr>
        <w:t>Art. 289. A petição poderá apresentar informativo de divulgação da empresa que forneça, em detalhe, as informações solicitadas.</w:t>
      </w:r>
    </w:p>
    <w:p w14:paraId="03A33812" w14:textId="77777777" w:rsidR="00395593" w:rsidRPr="005C5CBD" w:rsidRDefault="00395593" w:rsidP="00E15FBB">
      <w:pPr>
        <w:spacing w:after="0" w:line="240" w:lineRule="auto"/>
        <w:jc w:val="center"/>
        <w:rPr>
          <w:rFonts w:ascii="Garamond" w:eastAsia="Calibri" w:hAnsi="Garamond" w:cs="Calibri"/>
          <w:b/>
          <w:sz w:val="24"/>
          <w:szCs w:val="24"/>
        </w:rPr>
      </w:pPr>
    </w:p>
    <w:p w14:paraId="27AAB7DF" w14:textId="77777777" w:rsidR="00395593" w:rsidRPr="0008528B" w:rsidRDefault="00395593" w:rsidP="00C3469C">
      <w:pPr>
        <w:pStyle w:val="Corpodetexto"/>
        <w:jc w:val="center"/>
        <w:rPr>
          <w:rFonts w:ascii="Garamond" w:eastAsia="MS Gothic" w:hAnsi="Garamond"/>
          <w:b/>
          <w:color w:val="4F81BD"/>
          <w:lang w:eastAsia="pt-BR"/>
        </w:rPr>
      </w:pPr>
      <w:r w:rsidRPr="0008528B">
        <w:rPr>
          <w:rFonts w:ascii="Garamond" w:eastAsia="MS Gothic" w:hAnsi="Garamond"/>
          <w:b/>
          <w:lang w:eastAsia="pt-BR"/>
        </w:rPr>
        <w:t>Subseção III</w:t>
      </w:r>
    </w:p>
    <w:p w14:paraId="5B5CBBBA" w14:textId="77777777" w:rsidR="00395593" w:rsidRPr="0008528B" w:rsidRDefault="00395593" w:rsidP="00C3469C">
      <w:pPr>
        <w:pStyle w:val="Corpodetexto"/>
        <w:jc w:val="center"/>
        <w:rPr>
          <w:rFonts w:ascii="Garamond" w:eastAsia="MS Gothic" w:hAnsi="Garamond"/>
          <w:b/>
          <w:color w:val="4F81BD"/>
          <w:lang w:eastAsia="pt-BR"/>
        </w:rPr>
      </w:pPr>
      <w:r w:rsidRPr="0008528B">
        <w:rPr>
          <w:rFonts w:ascii="Garamond" w:eastAsia="MS Gothic" w:hAnsi="Garamond"/>
          <w:b/>
          <w:lang w:eastAsia="pt-BR"/>
        </w:rPr>
        <w:t>Práticas contábeis</w:t>
      </w:r>
    </w:p>
    <w:p w14:paraId="0F9AC6FC" w14:textId="77777777" w:rsidR="00395593" w:rsidRPr="005C5CBD" w:rsidRDefault="00395593" w:rsidP="00E15FBB">
      <w:pPr>
        <w:spacing w:after="0" w:line="240" w:lineRule="auto"/>
        <w:jc w:val="both"/>
        <w:rPr>
          <w:rFonts w:ascii="Garamond" w:eastAsia="Calibri" w:hAnsi="Garamond" w:cs="Calibri"/>
          <w:sz w:val="24"/>
          <w:szCs w:val="24"/>
        </w:rPr>
      </w:pPr>
    </w:p>
    <w:p w14:paraId="3FD0610D"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290. A petição deverá explicar detalhadamente como os dados da contabilidade financeira de cada empresa são sumarizados nos seus demonstrativos financeiros.</w:t>
      </w:r>
    </w:p>
    <w:p w14:paraId="38280FB5"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73EF6060"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291. A petição deverá explicar detalhadamente como são registradas as vendas e os recebimentos de pagamentos de cada empresa.</w:t>
      </w:r>
    </w:p>
    <w:p w14:paraId="415149F9"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668F9C1D"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Deverão ser informados os livros contábeis utilizados, bem como as principais contas contábeis empregadas para esse fim.</w:t>
      </w:r>
    </w:p>
    <w:p w14:paraId="2E64E964"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705A6789"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292. A petição deverá incluir os planos de contas completos relativos ao período de revisão de continuação ou retomada de dano para cada empresa.</w:t>
      </w:r>
    </w:p>
    <w:p w14:paraId="5742D42D" w14:textId="77777777" w:rsidR="00395593" w:rsidRPr="005C5CBD" w:rsidRDefault="00395593" w:rsidP="00E15FBB">
      <w:pPr>
        <w:spacing w:after="0" w:line="240" w:lineRule="auto"/>
        <w:jc w:val="both"/>
        <w:rPr>
          <w:rFonts w:ascii="Garamond" w:eastAsia="Calibri" w:hAnsi="Garamond" w:cs="Calibri"/>
          <w:sz w:val="24"/>
          <w:szCs w:val="24"/>
        </w:rPr>
      </w:pPr>
    </w:p>
    <w:p w14:paraId="39D2A148"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Times New Roman" w:hAnsi="Garamond" w:cs="Calibri"/>
          <w:sz w:val="24"/>
          <w:szCs w:val="24"/>
          <w:lang w:eastAsia="pt-BR"/>
        </w:rPr>
        <w:t>Art. 293.</w:t>
      </w:r>
      <w:r w:rsidRPr="005C5CBD">
        <w:rPr>
          <w:rFonts w:ascii="Garamond" w:eastAsia="Calibri" w:hAnsi="Garamond" w:cs="Calibri"/>
          <w:sz w:val="24"/>
          <w:szCs w:val="24"/>
        </w:rPr>
        <w:t xml:space="preserve"> A petição deverá explicar detalhadamente o sistema contábil de custo adotado por cada empresa, indicando necessariamente:</w:t>
      </w:r>
    </w:p>
    <w:p w14:paraId="60822650"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7C04BF20"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como são classificados, alocados, agregados e registrados os custos incorridos na fabricação do produto similar, mediante explicação apresentada de forma narrativa e acompanhada de fluxograma;</w:t>
      </w:r>
    </w:p>
    <w:p w14:paraId="5D251653"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72D656F9"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como são registrados os custos durante todo o processo produtivo, discriminando os diversos razões de custos auxiliares mantidos por cada empresa;</w:t>
      </w:r>
    </w:p>
    <w:p w14:paraId="23D39315"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06BE5397"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III - de que forma as informações de custos são reconciliadas com a contabilidade financeira; e</w:t>
      </w:r>
    </w:p>
    <w:p w14:paraId="4E997BDB"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71315CA5"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IV - como são registradas as compras de insumos e os pagamentos realizados pela empresa, informando todos os livros contábeis utilizados, bem como as principais contas contábeis empregadas para esse fim.</w:t>
      </w:r>
    </w:p>
    <w:p w14:paraId="0DBC08DA"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01AC3DAF"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294. A petição deverá incluir as demonstrações financeiras de cada empresa para todos os anos fiscais e anexar os balancetes sintéticos para cada um dos intervalos do período de revisão de continuação ou retomada de dano.</w:t>
      </w:r>
    </w:p>
    <w:p w14:paraId="47C715AD"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3B97630B"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295. A petição deverá informar o </w:t>
      </w:r>
      <w:r w:rsidRPr="005C5CBD">
        <w:rPr>
          <w:rFonts w:ascii="Garamond" w:eastAsia="Calibri" w:hAnsi="Garamond" w:cs="Calibri"/>
          <w:b/>
          <w:sz w:val="24"/>
          <w:szCs w:val="24"/>
        </w:rPr>
        <w:t>software</w:t>
      </w:r>
      <w:r w:rsidRPr="005C5CBD">
        <w:rPr>
          <w:rFonts w:ascii="Garamond" w:eastAsia="Calibri" w:hAnsi="Garamond" w:cs="Calibri"/>
          <w:sz w:val="24"/>
          <w:szCs w:val="24"/>
        </w:rPr>
        <w:t xml:space="preserve"> de gestão ou </w:t>
      </w:r>
      <w:r w:rsidRPr="005C5CBD">
        <w:rPr>
          <w:rFonts w:ascii="Garamond" w:eastAsia="Calibri" w:hAnsi="Garamond" w:cs="Calibri"/>
          <w:b/>
          <w:sz w:val="24"/>
          <w:szCs w:val="24"/>
        </w:rPr>
        <w:t>software</w:t>
      </w:r>
      <w:r w:rsidRPr="005C5CBD">
        <w:rPr>
          <w:rFonts w:ascii="Garamond" w:eastAsia="Calibri" w:hAnsi="Garamond" w:cs="Calibri"/>
          <w:sz w:val="24"/>
          <w:szCs w:val="24"/>
        </w:rPr>
        <w:t xml:space="preserve"> contábil utilizado por cada empresa.</w:t>
      </w:r>
    </w:p>
    <w:p w14:paraId="39BF7BA2" w14:textId="77777777" w:rsidR="00395593" w:rsidRPr="005C5CBD" w:rsidRDefault="00395593" w:rsidP="00E15FBB">
      <w:pPr>
        <w:spacing w:after="0" w:line="240" w:lineRule="auto"/>
        <w:jc w:val="center"/>
        <w:rPr>
          <w:rFonts w:ascii="Garamond" w:eastAsia="Calibri" w:hAnsi="Garamond" w:cs="Calibri"/>
          <w:b/>
          <w:sz w:val="24"/>
          <w:szCs w:val="24"/>
        </w:rPr>
      </w:pPr>
    </w:p>
    <w:p w14:paraId="01F6B924" w14:textId="77777777" w:rsidR="00395593" w:rsidRPr="0008528B" w:rsidRDefault="00395593" w:rsidP="00C3469C">
      <w:pPr>
        <w:pStyle w:val="Corpodetexto"/>
        <w:jc w:val="center"/>
        <w:rPr>
          <w:rFonts w:ascii="Garamond" w:eastAsia="MS Gothic" w:hAnsi="Garamond"/>
          <w:b/>
          <w:color w:val="4F81BD"/>
          <w:lang w:eastAsia="pt-BR"/>
        </w:rPr>
      </w:pPr>
      <w:r w:rsidRPr="0008528B">
        <w:rPr>
          <w:rFonts w:ascii="Garamond" w:eastAsia="MS Gothic" w:hAnsi="Garamond"/>
          <w:b/>
          <w:lang w:eastAsia="pt-BR"/>
        </w:rPr>
        <w:t>Subseção IV</w:t>
      </w:r>
    </w:p>
    <w:p w14:paraId="712951E6" w14:textId="77777777" w:rsidR="00395593" w:rsidRPr="005C5CBD" w:rsidRDefault="00395593" w:rsidP="00C3469C">
      <w:pPr>
        <w:pStyle w:val="Corpodetexto"/>
        <w:jc w:val="center"/>
        <w:rPr>
          <w:rFonts w:eastAsia="MS Gothic"/>
          <w:color w:val="4F81BD"/>
          <w:lang w:eastAsia="pt-BR"/>
        </w:rPr>
      </w:pPr>
      <w:r w:rsidRPr="0008528B">
        <w:rPr>
          <w:rFonts w:ascii="Garamond" w:eastAsia="MS Gothic" w:hAnsi="Garamond"/>
          <w:b/>
          <w:lang w:eastAsia="pt-BR"/>
        </w:rPr>
        <w:t>Processo de venda e distribuição</w:t>
      </w:r>
    </w:p>
    <w:p w14:paraId="5937CAC2" w14:textId="77777777" w:rsidR="00395593" w:rsidRPr="005C5CBD" w:rsidRDefault="00395593" w:rsidP="00E15FBB">
      <w:pPr>
        <w:spacing w:after="0" w:line="240" w:lineRule="auto"/>
        <w:jc w:val="both"/>
        <w:rPr>
          <w:rFonts w:ascii="Garamond" w:eastAsia="Calibri" w:hAnsi="Garamond" w:cs="Calibri"/>
          <w:sz w:val="24"/>
          <w:szCs w:val="24"/>
        </w:rPr>
      </w:pPr>
    </w:p>
    <w:p w14:paraId="4C6A5C1A"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296. A petição deverá informar se há restrições, nas vendas diretas e nas vendas efetuadas por meio de distribuidores ou intermediários, no que se refere ao volume, à área geográfica de atuação ou outros condicionantes, e, em caso positivo, especificar quais são tais restrições. </w:t>
      </w:r>
    </w:p>
    <w:p w14:paraId="275C334E"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1728F35B"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Parágrafo único.  No caso de vendas para distribuidores, a petição deverá informar se a empresa vende apenas para distribuidores autorizados. </w:t>
      </w:r>
    </w:p>
    <w:p w14:paraId="190CB07E"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16DBA1BA"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297. A petição deverá informar os termos de venda (</w:t>
      </w:r>
      <w:r w:rsidRPr="005C5CBD">
        <w:rPr>
          <w:rFonts w:ascii="Garamond" w:eastAsia="Calibri" w:hAnsi="Garamond" w:cs="Calibri"/>
          <w:b/>
          <w:sz w:val="24"/>
          <w:szCs w:val="24"/>
        </w:rPr>
        <w:t>spot</w:t>
      </w:r>
      <w:r w:rsidRPr="005C5CBD">
        <w:rPr>
          <w:rFonts w:ascii="Garamond" w:eastAsia="Calibri" w:hAnsi="Garamond" w:cs="Calibri"/>
          <w:sz w:val="24"/>
          <w:szCs w:val="24"/>
        </w:rPr>
        <w:t>, contrato etc.) das transações e, no caso de vendas mediante contrato, listar os clientes.</w:t>
      </w:r>
    </w:p>
    <w:p w14:paraId="02D808C8"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34D59A94"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298. A petição deverá informar detalhadamente os tipos de embalagem (granel, tambor, </w:t>
      </w:r>
      <w:r w:rsidRPr="005C5CBD">
        <w:rPr>
          <w:rFonts w:ascii="Garamond" w:eastAsia="Calibri" w:hAnsi="Garamond" w:cs="Calibri"/>
          <w:b/>
          <w:sz w:val="24"/>
          <w:szCs w:val="24"/>
        </w:rPr>
        <w:t>big bag</w:t>
      </w:r>
      <w:r w:rsidRPr="005C5CBD">
        <w:rPr>
          <w:rFonts w:ascii="Garamond" w:eastAsia="Calibri" w:hAnsi="Garamond" w:cs="Calibri"/>
          <w:i/>
          <w:sz w:val="24"/>
          <w:szCs w:val="24"/>
        </w:rPr>
        <w:t>,</w:t>
      </w:r>
      <w:r w:rsidRPr="005C5CBD">
        <w:rPr>
          <w:rFonts w:ascii="Garamond" w:eastAsia="Calibri" w:hAnsi="Garamond" w:cs="Calibri"/>
          <w:b/>
          <w:sz w:val="24"/>
          <w:szCs w:val="24"/>
        </w:rPr>
        <w:t xml:space="preserve"> pallet</w:t>
      </w:r>
      <w:r w:rsidRPr="005C5CBD">
        <w:rPr>
          <w:rFonts w:ascii="Garamond" w:eastAsia="Calibri" w:hAnsi="Garamond" w:cs="Calibri"/>
          <w:sz w:val="24"/>
          <w:szCs w:val="24"/>
        </w:rPr>
        <w:t xml:space="preserve"> etc.) utilizados na venda do produto similar para o mercado interno, especificando os volumes transportados por tipo de embalagem.</w:t>
      </w:r>
    </w:p>
    <w:p w14:paraId="0197E2E8"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3AE89F2B"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299. A petição deverá explicar de que forma cada empresa classifica em seus registros as vendas realizadas para:</w:t>
      </w:r>
    </w:p>
    <w:p w14:paraId="092F1A01"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6F054E16"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mercado externo;</w:t>
      </w:r>
    </w:p>
    <w:p w14:paraId="399184E6"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1EA43C68"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 - mercado interno; </w:t>
      </w:r>
    </w:p>
    <w:p w14:paraId="1DAE14E3"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3A63F74C"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III - zonas francas; </w:t>
      </w:r>
    </w:p>
    <w:p w14:paraId="2812E63E"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7817A4DF"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IV - Zonas de Processamento de Exportação; e</w:t>
      </w:r>
    </w:p>
    <w:p w14:paraId="3E1D02BC"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79FECCB8"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V - outros possíveis destinos.</w:t>
      </w:r>
    </w:p>
    <w:p w14:paraId="3F00BAA9" w14:textId="77777777" w:rsidR="00395593" w:rsidRPr="005C5CBD" w:rsidRDefault="00395593" w:rsidP="00E15FBB">
      <w:pPr>
        <w:spacing w:after="0" w:line="240" w:lineRule="auto"/>
        <w:jc w:val="both"/>
        <w:rPr>
          <w:rFonts w:ascii="Garamond" w:eastAsia="Calibri" w:hAnsi="Garamond" w:cs="Calibri"/>
          <w:sz w:val="24"/>
          <w:szCs w:val="24"/>
        </w:rPr>
      </w:pPr>
    </w:p>
    <w:p w14:paraId="1A05BD23"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300. A petição deverá identificar todas as vendas do produto similar doméstico no mercado interno realizadas para partes relacionadas, conforme Apêndice VII.</w:t>
      </w:r>
    </w:p>
    <w:p w14:paraId="6935B616"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4C976A0B"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A petição deverá indicar a destinação do produto vendido para partes relacionadas  (consumo próprio ou revenda) e</w:t>
      </w:r>
      <w:r w:rsidRPr="005C5CBD" w:rsidDel="008C5400">
        <w:rPr>
          <w:rFonts w:ascii="Garamond" w:eastAsia="Calibri" w:hAnsi="Garamond" w:cs="Calibri"/>
          <w:sz w:val="24"/>
          <w:szCs w:val="24"/>
        </w:rPr>
        <w:t xml:space="preserve"> </w:t>
      </w:r>
      <w:r w:rsidRPr="005C5CBD">
        <w:rPr>
          <w:rFonts w:ascii="Garamond" w:eastAsia="Calibri" w:hAnsi="Garamond" w:cs="Calibri"/>
          <w:sz w:val="24"/>
          <w:szCs w:val="24"/>
        </w:rPr>
        <w:t xml:space="preserve">detalhar a política de preços para tais partes. </w:t>
      </w:r>
    </w:p>
    <w:p w14:paraId="67CC1218"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1ADF045A"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301. O fluxograma para cada um dos canais de distribuição utilizados nas vendas no mercado interno deverá ser fornecido na petição.</w:t>
      </w:r>
    </w:p>
    <w:p w14:paraId="78B6BE2B"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15AA70C8"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Parágrafo único.  A petição deverá conter descrição detalhada de cada canal de distribuição utilizado nas vendas no mercado interno, bem como descrever a função de cada um dos agentes envolvidos no processo de distribuição e sua forma de remuneração. </w:t>
      </w:r>
    </w:p>
    <w:p w14:paraId="46B5778E"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3AB866B1"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302. A petição deverá informar se a empresa realizou serviço de industrialização para terceiros (</w:t>
      </w:r>
      <w:r w:rsidRPr="005C5CBD">
        <w:rPr>
          <w:rFonts w:ascii="Garamond" w:eastAsia="Calibri" w:hAnsi="Garamond" w:cs="Calibri"/>
          <w:b/>
          <w:sz w:val="24"/>
          <w:szCs w:val="24"/>
        </w:rPr>
        <w:t>tolling</w:t>
      </w:r>
      <w:r w:rsidRPr="005C5CBD">
        <w:rPr>
          <w:rFonts w:ascii="Garamond" w:eastAsia="Calibri" w:hAnsi="Garamond" w:cs="Calibri"/>
          <w:sz w:val="24"/>
          <w:szCs w:val="24"/>
        </w:rPr>
        <w:t xml:space="preserve">) e se possuía contrato </w:t>
      </w:r>
      <w:r w:rsidRPr="005C5CBD">
        <w:rPr>
          <w:rFonts w:ascii="Garamond" w:eastAsia="Calibri" w:hAnsi="Garamond" w:cs="Calibri"/>
          <w:b/>
          <w:sz w:val="24"/>
          <w:szCs w:val="24"/>
        </w:rPr>
        <w:t>swap</w:t>
      </w:r>
      <w:r w:rsidRPr="005C5CBD">
        <w:rPr>
          <w:rFonts w:ascii="Garamond" w:eastAsia="Calibri" w:hAnsi="Garamond" w:cs="Calibri"/>
          <w:sz w:val="24"/>
          <w:szCs w:val="24"/>
        </w:rPr>
        <w:t xml:space="preserve">, bem como informar os detalhes dessas operações. </w:t>
      </w:r>
    </w:p>
    <w:p w14:paraId="4F48618D"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w:t>
      </w:r>
    </w:p>
    <w:p w14:paraId="26D3427B"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303. A petição deverá informar se cada empresa realizou revendas de produto similar adquirido de outros produtores e se realizou vendas de produto similar de outras marcas que não as suas próprias.</w:t>
      </w:r>
    </w:p>
    <w:p w14:paraId="11AA1D83"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463AE03D"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Parágrafo único.  As revendas de produto adquirido no mercado interno produzido por terceiros não deverão ser reportadas como vendas do produto similar de fabricação própria nos apêndices indicados na Seção X deste Capítulo.  </w:t>
      </w:r>
    </w:p>
    <w:p w14:paraId="5BB96019" w14:textId="77777777" w:rsidR="00395593" w:rsidRPr="005C5CBD" w:rsidRDefault="00395593" w:rsidP="00E15FBB">
      <w:pPr>
        <w:spacing w:after="0" w:line="276" w:lineRule="auto"/>
        <w:jc w:val="center"/>
        <w:rPr>
          <w:rFonts w:ascii="Garamond" w:eastAsia="Calibri" w:hAnsi="Garamond" w:cs="Calibri"/>
          <w:b/>
          <w:sz w:val="24"/>
          <w:szCs w:val="24"/>
        </w:rPr>
      </w:pPr>
    </w:p>
    <w:p w14:paraId="71A8740C"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Seção X</w:t>
      </w:r>
    </w:p>
    <w:p w14:paraId="6678EFCF"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Indicadores de desempenho</w:t>
      </w:r>
    </w:p>
    <w:p w14:paraId="4894D75A" w14:textId="77777777" w:rsidR="00395593" w:rsidRPr="005C5CBD" w:rsidRDefault="00395593" w:rsidP="00E15FBB">
      <w:pPr>
        <w:spacing w:after="0" w:line="276" w:lineRule="auto"/>
        <w:jc w:val="center"/>
        <w:rPr>
          <w:rFonts w:ascii="Garamond" w:eastAsia="Calibri" w:hAnsi="Garamond" w:cs="Calibri"/>
          <w:b/>
          <w:sz w:val="24"/>
          <w:szCs w:val="24"/>
        </w:rPr>
      </w:pPr>
    </w:p>
    <w:p w14:paraId="11167AE7" w14:textId="0DC0CABD"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304.</w:t>
      </w:r>
      <w:r w:rsidRPr="005C5CBD" w:rsidDel="00AE0F37">
        <w:rPr>
          <w:rFonts w:ascii="Garamond" w:eastAsia="Calibri" w:hAnsi="Garamond" w:cs="Calibri"/>
          <w:sz w:val="24"/>
          <w:szCs w:val="24"/>
        </w:rPr>
        <w:t xml:space="preserve"> </w:t>
      </w:r>
      <w:r w:rsidRPr="005C5CBD">
        <w:rPr>
          <w:rFonts w:ascii="Garamond" w:eastAsia="Calibri" w:hAnsi="Garamond" w:cs="Calibri"/>
          <w:sz w:val="24"/>
          <w:szCs w:val="24"/>
        </w:rPr>
        <w:t xml:space="preserve">O peticionário da revisão de final de período deverá apresentar, de forma sequencial, as respostas a cada um dos artigos da Seção XII do Capítulo III desta Portaria e preencher as tabelas de cada um dos apêndices indicados nos referidos artigos, referentes aos indicadores de desempenho de todos os intervalos que compõem o período de revisão de continuação ou retomada do dano à indústria doméstica, tal como definido no art. </w:t>
      </w:r>
      <w:r w:rsidR="002A3D1B">
        <w:rPr>
          <w:rFonts w:ascii="Garamond" w:eastAsia="Calibri" w:hAnsi="Garamond" w:cs="Calibri"/>
          <w:sz w:val="24"/>
          <w:szCs w:val="24"/>
        </w:rPr>
        <w:t>259</w:t>
      </w:r>
      <w:r w:rsidR="00E15FBB" w:rsidRPr="005C5CBD">
        <w:rPr>
          <w:rFonts w:ascii="Garamond" w:eastAsia="Calibri" w:hAnsi="Garamond" w:cs="Calibri"/>
          <w:sz w:val="24"/>
          <w:szCs w:val="24"/>
        </w:rPr>
        <w:t>.</w:t>
      </w:r>
      <w:r w:rsidRPr="005C5CBD">
        <w:rPr>
          <w:rFonts w:ascii="Garamond" w:eastAsia="Calibri" w:hAnsi="Garamond" w:cs="Calibri"/>
          <w:sz w:val="24"/>
          <w:szCs w:val="24"/>
        </w:rPr>
        <w:t xml:space="preserve">  </w:t>
      </w:r>
    </w:p>
    <w:p w14:paraId="2675B647"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0CDE8AC7"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1º  A petição deverá conter as informações referentes a todas as empresas que compõem a indústria doméstica, e os apêndices referentes aos indicadores de desempenho solicitados deverão ser preenchidos individualmente para cada empresa e também de forma consolidada para o conjunto das empresas que compõem a indústria doméstica, observadas as exceções específicas para as petições de indústrias fragmentadas. </w:t>
      </w:r>
    </w:p>
    <w:p w14:paraId="507EA49F"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257E47AC"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2º  Caso o peticionário entenda que houve dano à indústria doméstica ao longo do período de revisão de continuação ou retomada do dano, deverá apresentada resposta completa às disposições da Subseção X da Seção XII do Capítulo III desta Portaria.</w:t>
      </w:r>
    </w:p>
    <w:p w14:paraId="78905823"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549241EE"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3º  Caso o peticionário entenda que o dano à indústria doméstica verificado na investigação original ou em procedimento posterior foi neutralizado ao longo do período de revisão de continuação ou retomada do dano, deverá ser fornecida explicação sobre como o direito compensatório contribuiu para a evolução dos indicadores de desempenho.  </w:t>
      </w:r>
    </w:p>
    <w:p w14:paraId="09F8342F" w14:textId="77777777" w:rsidR="00395593" w:rsidRPr="005C5CBD" w:rsidRDefault="00395593" w:rsidP="00ED12D0">
      <w:pPr>
        <w:spacing w:after="0" w:line="240" w:lineRule="auto"/>
        <w:ind w:firstLine="567"/>
        <w:jc w:val="both"/>
        <w:rPr>
          <w:rFonts w:ascii="Garamond" w:eastAsia="Calibri" w:hAnsi="Garamond" w:cs="Calibri"/>
          <w:sz w:val="24"/>
          <w:szCs w:val="24"/>
        </w:rPr>
      </w:pPr>
    </w:p>
    <w:p w14:paraId="11F6B80F" w14:textId="77777777" w:rsidR="00395593" w:rsidRPr="005C5CBD" w:rsidRDefault="00395593" w:rsidP="00ED12D0">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4º  Caso exista direito antidumping em vigor para o mesmo produto e origem sujeita ao direito compensatório objeto da revisão de final de período, a explicação requerida no § 3º deverá considerar o efeito do direito compensatório e do direito antidumping concomitantemente para a neutralização do dano à indústria doméstica, observando os montantes do direito compensatório e do direito antidumping em vigor.</w:t>
      </w:r>
    </w:p>
    <w:p w14:paraId="40FFC7C7" w14:textId="77777777" w:rsidR="00395593" w:rsidRPr="005C5CBD" w:rsidRDefault="00395593" w:rsidP="00E15FBB">
      <w:pPr>
        <w:spacing w:after="0" w:line="240" w:lineRule="auto"/>
        <w:jc w:val="both"/>
        <w:rPr>
          <w:rFonts w:ascii="Garamond" w:eastAsia="Calibri" w:hAnsi="Garamond" w:cs="Calibri"/>
          <w:sz w:val="24"/>
          <w:szCs w:val="24"/>
        </w:rPr>
      </w:pPr>
    </w:p>
    <w:p w14:paraId="2F9FFD34" w14:textId="77777777" w:rsidR="00395593" w:rsidRPr="005C5CBD" w:rsidRDefault="00395593" w:rsidP="00901CBB">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5º</w:t>
      </w:r>
      <w:r w:rsidRPr="005C5CBD" w:rsidDel="007D4B92">
        <w:rPr>
          <w:rFonts w:ascii="Garamond" w:eastAsia="Calibri" w:hAnsi="Garamond" w:cs="Calibri"/>
          <w:sz w:val="24"/>
          <w:szCs w:val="24"/>
        </w:rPr>
        <w:t xml:space="preserve"> </w:t>
      </w:r>
      <w:r w:rsidRPr="005C5CBD">
        <w:rPr>
          <w:rFonts w:ascii="Garamond" w:eastAsia="Calibri" w:hAnsi="Garamond" w:cs="Calibri"/>
          <w:sz w:val="24"/>
          <w:szCs w:val="24"/>
        </w:rPr>
        <w:t xml:space="preserve"> O peticionário da revisão de final de período deverá informar se houve investimentos, ampliação de capacidade produtiva e das operações da empresa durante o período de revisão de continuação ou retomada do dano, e esclarecer se há relação entre estes e a vigência do direito compensatório.  </w:t>
      </w:r>
    </w:p>
    <w:p w14:paraId="27C17A8D" w14:textId="77777777" w:rsidR="00395593" w:rsidRPr="005C5CBD" w:rsidRDefault="00395593" w:rsidP="00E15FBB">
      <w:pPr>
        <w:spacing w:after="0" w:line="240" w:lineRule="auto"/>
        <w:jc w:val="both"/>
        <w:rPr>
          <w:rFonts w:ascii="Garamond" w:eastAsia="Calibri" w:hAnsi="Garamond" w:cs="Calibri"/>
          <w:sz w:val="24"/>
          <w:szCs w:val="24"/>
        </w:rPr>
      </w:pPr>
    </w:p>
    <w:p w14:paraId="448731B7"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Seção XI</w:t>
      </w:r>
    </w:p>
    <w:p w14:paraId="118AFFB1"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Indicadores de desempenho para indústria fragmentada</w:t>
      </w:r>
    </w:p>
    <w:p w14:paraId="1C7FE459"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305. </w:t>
      </w:r>
      <w:r w:rsidRPr="005C5CBD">
        <w:rPr>
          <w:rFonts w:ascii="Garamond" w:eastAsia="Times New Roman" w:hAnsi="Garamond" w:cs="Calibri"/>
          <w:sz w:val="24"/>
          <w:szCs w:val="24"/>
          <w:lang w:eastAsia="pt-BR"/>
        </w:rPr>
        <w:t>Caso o peticionário seja habilitado como indústria fragmentada, conforme o previsto no § 2º do art. 1º do Decreto nº 9.107, de 2017, e o estabelecido em ato específico da Secretaria de Comércio Exterior, a apresentação dos indicadores de desempenho previstos na Seção XII do Capítulo III desta Portaria poderá ser adaptada para refletir a disponibilidade de dados durante o período de revisão de continuação retomada do dano.</w:t>
      </w:r>
    </w:p>
    <w:p w14:paraId="7167E2E6"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A petição de revisão de final de período apresentada por peticionário habilitado como indústria fragmentada poderá ser instruída exclusivamente com base em dados provenientes de fontes secundárias, como publicações, censos, periódicos, estudos, relatórios e dados amostrais disponíveis ou encomendados especificamente para instrução da petição, observadas as disposições do art. 6º desta Portaria.</w:t>
      </w:r>
    </w:p>
    <w:p w14:paraId="39789714"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Na elaboração da petição deverão ser utilizados, preferencialmente, dados provenientes de fontes oficiais de informações e dados estatísticos, como o Instituto Brasileiro de Geografia e Estatística (IBGE).  </w:t>
      </w:r>
    </w:p>
    <w:p w14:paraId="6248A81D"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3</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Será exigida a descrição detalhada das metodologias empregadas para obtenção e tratamento dos dados e o passo a passo para apresentação dos indicadores de desempenho nos formatos das planilhas referidas na Seção XII do Capítulo III desta Portaria, bem como indicação de quaisquer ajustes e adaptações necessários aos formatos dessas planilhas.</w:t>
      </w:r>
    </w:p>
    <w:p w14:paraId="1866562D"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4</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Caso algum dos indicadores de desempenho previstos na Seção XII do Capítulo III desta Portaria não esteja disponível, se possível, o peticionário deverá indicar indicador substituto (</w:t>
      </w:r>
      <w:r w:rsidRPr="005C5CBD">
        <w:rPr>
          <w:rFonts w:ascii="Garamond" w:eastAsia="Times New Roman" w:hAnsi="Garamond" w:cs="Calibri"/>
          <w:b/>
          <w:sz w:val="24"/>
          <w:szCs w:val="24"/>
          <w:lang w:eastAsia="pt-BR"/>
        </w:rPr>
        <w:t>proxy</w:t>
      </w:r>
      <w:r w:rsidRPr="005C5CBD">
        <w:rPr>
          <w:rFonts w:ascii="Garamond" w:eastAsia="Times New Roman" w:hAnsi="Garamond" w:cs="Calibri"/>
          <w:sz w:val="24"/>
          <w:szCs w:val="24"/>
          <w:lang w:eastAsia="pt-BR"/>
        </w:rPr>
        <w:t>).</w:t>
      </w:r>
    </w:p>
    <w:p w14:paraId="2904B692"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5</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Caso não seja possível apresentar indicador substituto (</w:t>
      </w:r>
      <w:r w:rsidRPr="005C5CBD">
        <w:rPr>
          <w:rFonts w:ascii="Garamond" w:eastAsia="Times New Roman" w:hAnsi="Garamond" w:cs="Calibri"/>
          <w:b/>
          <w:sz w:val="24"/>
          <w:szCs w:val="24"/>
          <w:lang w:eastAsia="pt-BR"/>
        </w:rPr>
        <w:t>proxy</w:t>
      </w:r>
      <w:r w:rsidRPr="005C5CBD">
        <w:rPr>
          <w:rFonts w:ascii="Garamond" w:eastAsia="Times New Roman" w:hAnsi="Garamond" w:cs="Calibri"/>
          <w:sz w:val="24"/>
          <w:szCs w:val="24"/>
          <w:lang w:eastAsia="pt-BR"/>
        </w:rPr>
        <w:t>) nos termos do § 4</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será exigida motivação detalhada para cada um dos indicadores previstos na Seção XII do Capítulo III desta Portaria não apresentados na petição.</w:t>
      </w:r>
    </w:p>
    <w:p w14:paraId="34DCB7B0"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6</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Não será aceita petição de revisão de final de período apresentada por indústria fragmentada que não contenha ao menos os seguintes indicadores:</w:t>
      </w:r>
    </w:p>
    <w:p w14:paraId="127F9AB4"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 volume de vendas no mercado interno brasileiro;</w:t>
      </w:r>
    </w:p>
    <w:p w14:paraId="445EB4F8"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b) participação no mercado brasileiro;</w:t>
      </w:r>
    </w:p>
    <w:p w14:paraId="0051762C"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c) produção do produto;</w:t>
      </w:r>
    </w:p>
    <w:p w14:paraId="502F34EC"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d) capacidade instalada ou produção máxima registrada;</w:t>
      </w:r>
    </w:p>
    <w:p w14:paraId="3E0E31C1"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e) faturamento com vendas do produto no mercado interno;</w:t>
      </w:r>
    </w:p>
    <w:p w14:paraId="4197902E"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f) custo de produção;</w:t>
      </w:r>
    </w:p>
    <w:p w14:paraId="6E831118"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g) relação custo/preço; e</w:t>
      </w:r>
    </w:p>
    <w:p w14:paraId="3533C480"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h) emprego.</w:t>
      </w:r>
    </w:p>
    <w:p w14:paraId="1E0622DE"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7</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A petição poderá ser complementada com indicadores obtidos a partir de amostras dos produtores nacionais (por exemplo, demonstrações de resultados, massa salarial etc.).</w:t>
      </w:r>
    </w:p>
    <w:p w14:paraId="6C74533F"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8</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Serão aceitos ajustes para adequar ao período de revisão de continuação ou retomada de dano os dados agregados disponíveis em periodicidade diferente à do referido período no caso de petição apresentada por indústria fragmentada. </w:t>
      </w:r>
    </w:p>
    <w:p w14:paraId="45AA855B" w14:textId="77777777" w:rsidR="00395593" w:rsidRPr="005C5CBD" w:rsidRDefault="00395593" w:rsidP="00901CBB">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306. </w:t>
      </w:r>
      <w:r w:rsidRPr="005C5CBD">
        <w:rPr>
          <w:rFonts w:ascii="Garamond" w:eastAsia="Times New Roman" w:hAnsi="Garamond" w:cs="Calibri"/>
          <w:sz w:val="24"/>
          <w:szCs w:val="24"/>
          <w:lang w:eastAsia="pt-BR"/>
        </w:rPr>
        <w:t xml:space="preserve">Conforme previsto no </w:t>
      </w:r>
      <w:r w:rsidRPr="005C5CBD">
        <w:rPr>
          <w:rFonts w:ascii="Garamond" w:eastAsia="Times New Roman" w:hAnsi="Garamond" w:cs="Calibri"/>
          <w:color w:val="000000"/>
          <w:sz w:val="24"/>
          <w:szCs w:val="24"/>
          <w:lang w:eastAsia="pt-BR"/>
        </w:rPr>
        <w:t>§ 6º do art. 26 do Decreto nº 10.839, de 2021, não sendo possível a identificação individualizada da produção do produto similar doméstico, os efeitos das importações subsidiadas serão determinados com base na produção do grupo ou gama de produtos que, definido da forma mais restrita possível, inclua o produto similar doméstico e para o qual os dados necessários possam ser apresentados.</w:t>
      </w:r>
    </w:p>
    <w:p w14:paraId="39CADC6F" w14:textId="77777777" w:rsidR="00395593" w:rsidRPr="005C5CBD" w:rsidRDefault="00395593" w:rsidP="00901CBB">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307. </w:t>
      </w:r>
      <w:r w:rsidRPr="005C5CBD">
        <w:rPr>
          <w:rFonts w:ascii="Garamond" w:eastAsia="Times New Roman" w:hAnsi="Garamond" w:cs="Calibri"/>
          <w:sz w:val="24"/>
          <w:szCs w:val="24"/>
          <w:lang w:eastAsia="pt-BR"/>
        </w:rPr>
        <w:t xml:space="preserve">Caso a Subsecretaria de Defesa Comercial e Interesse Público julgue necessário, poderão ser realizadas verificações </w:t>
      </w:r>
      <w:r w:rsidRPr="005C5CBD">
        <w:rPr>
          <w:rFonts w:ascii="Garamond" w:eastAsia="Times New Roman" w:hAnsi="Garamond" w:cs="Calibri"/>
          <w:b/>
          <w:sz w:val="24"/>
          <w:szCs w:val="24"/>
          <w:lang w:eastAsia="pt-BR"/>
        </w:rPr>
        <w:t xml:space="preserve">in loco </w:t>
      </w:r>
      <w:r w:rsidRPr="005C5CBD">
        <w:rPr>
          <w:rFonts w:ascii="Garamond" w:eastAsia="Times New Roman" w:hAnsi="Garamond" w:cs="Calibri"/>
          <w:sz w:val="24"/>
          <w:szCs w:val="24"/>
          <w:lang w:eastAsia="pt-BR"/>
        </w:rPr>
        <w:t xml:space="preserve">em empresa, associações, institutos de pesquisa e quaisquer entidades que apresentem dados para instrução de petições de revisão de final de período protocoladas por indústria fragmentada. </w:t>
      </w:r>
    </w:p>
    <w:p w14:paraId="36776923"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1E094340"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Seção XII</w:t>
      </w:r>
    </w:p>
    <w:p w14:paraId="6465B86D"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Da continuação ou retomada do dano à indústria doméstica</w:t>
      </w:r>
    </w:p>
    <w:p w14:paraId="2D61270F" w14:textId="77777777" w:rsidR="00395593" w:rsidRPr="0008528B" w:rsidRDefault="00395593" w:rsidP="0008528B">
      <w:pPr>
        <w:pStyle w:val="Corpodetexto"/>
        <w:jc w:val="center"/>
        <w:rPr>
          <w:rFonts w:ascii="Garamond" w:eastAsia="Calibri" w:hAnsi="Garamond"/>
          <w:b/>
        </w:rPr>
      </w:pPr>
    </w:p>
    <w:p w14:paraId="03242ECA" w14:textId="77777777" w:rsidR="00395593" w:rsidRPr="0008528B" w:rsidRDefault="00395593" w:rsidP="00C3469C">
      <w:pPr>
        <w:pStyle w:val="Corpodetexto"/>
        <w:jc w:val="center"/>
        <w:rPr>
          <w:rFonts w:ascii="Garamond" w:eastAsia="MS Gothic" w:hAnsi="Garamond"/>
          <w:b/>
          <w:bCs/>
          <w:lang w:eastAsia="pt-BR"/>
        </w:rPr>
      </w:pPr>
      <w:r w:rsidRPr="0008528B">
        <w:rPr>
          <w:rFonts w:ascii="Garamond" w:eastAsia="MS Gothic" w:hAnsi="Garamond"/>
          <w:b/>
          <w:bCs/>
          <w:lang w:eastAsia="pt-BR"/>
        </w:rPr>
        <w:t>Subseção I</w:t>
      </w:r>
    </w:p>
    <w:p w14:paraId="1E23A1AC" w14:textId="2203B2D1" w:rsidR="00395593" w:rsidRPr="005C5CBD" w:rsidRDefault="00395593" w:rsidP="00C3469C">
      <w:pPr>
        <w:pStyle w:val="Corpodetexto"/>
        <w:jc w:val="center"/>
        <w:rPr>
          <w:rFonts w:eastAsia="MS Gothic"/>
          <w:bCs/>
          <w:color w:val="4F81BD"/>
          <w:lang w:eastAsia="pt-BR"/>
        </w:rPr>
      </w:pPr>
      <w:r w:rsidRPr="0008528B">
        <w:rPr>
          <w:rFonts w:ascii="Garamond" w:eastAsia="MS Gothic" w:hAnsi="Garamond"/>
          <w:b/>
          <w:bCs/>
          <w:lang w:eastAsia="pt-BR"/>
        </w:rPr>
        <w:t>Da continuação do dano</w:t>
      </w:r>
    </w:p>
    <w:p w14:paraId="57FE165B"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49AC8DDB" w14:textId="77777777" w:rsidR="00395593" w:rsidRPr="005C5CBD" w:rsidRDefault="00395593" w:rsidP="000D0EFE">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308. </w:t>
      </w:r>
      <w:r w:rsidRPr="005C5CBD">
        <w:rPr>
          <w:rFonts w:ascii="Garamond" w:eastAsia="Calibri" w:hAnsi="Garamond" w:cs="Calibri"/>
          <w:color w:val="000000"/>
          <w:sz w:val="24"/>
          <w:szCs w:val="24"/>
        </w:rPr>
        <w:t xml:space="preserve">O peticionário deverá, com base nos indicadores de desempenho constantes na </w:t>
      </w:r>
      <w:r w:rsidRPr="005C5CBD">
        <w:rPr>
          <w:rFonts w:ascii="Garamond" w:eastAsia="Calibri" w:hAnsi="Garamond" w:cs="Calibri"/>
          <w:sz w:val="24"/>
          <w:szCs w:val="24"/>
        </w:rPr>
        <w:t>Seção XII do Capítulo III</w:t>
      </w:r>
      <w:r w:rsidRPr="005C5CBD">
        <w:rPr>
          <w:rFonts w:ascii="Garamond" w:eastAsia="Calibri" w:hAnsi="Garamond" w:cs="Calibri"/>
          <w:color w:val="000000"/>
          <w:sz w:val="24"/>
          <w:szCs w:val="24"/>
        </w:rPr>
        <w:t>, explicar se o dano à indústria doméstica continuou a ser causado pelas importações objeto do direito compensatório.</w:t>
      </w:r>
    </w:p>
    <w:p w14:paraId="7BCADA81" w14:textId="77777777" w:rsidR="00395593" w:rsidRPr="005C5CBD" w:rsidRDefault="00395593" w:rsidP="000D0EFE">
      <w:pPr>
        <w:spacing w:after="0" w:line="240" w:lineRule="auto"/>
        <w:ind w:firstLine="567"/>
        <w:jc w:val="both"/>
        <w:rPr>
          <w:rFonts w:ascii="Garamond" w:eastAsia="Calibri" w:hAnsi="Garamond" w:cs="Calibri"/>
          <w:sz w:val="24"/>
          <w:szCs w:val="24"/>
        </w:rPr>
      </w:pPr>
    </w:p>
    <w:p w14:paraId="302D7FCD" w14:textId="77777777" w:rsidR="00395593" w:rsidRPr="005C5CBD" w:rsidRDefault="00395593" w:rsidP="000D0EFE">
      <w:pPr>
        <w:spacing w:after="0" w:line="240" w:lineRule="auto"/>
        <w:ind w:firstLine="567"/>
        <w:jc w:val="both"/>
        <w:rPr>
          <w:rFonts w:ascii="Garamond" w:eastAsia="Calibri" w:hAnsi="Garamond" w:cs="Calibri"/>
          <w:color w:val="000000"/>
          <w:sz w:val="24"/>
          <w:szCs w:val="24"/>
        </w:rPr>
      </w:pPr>
      <w:r w:rsidRPr="005C5CBD">
        <w:rPr>
          <w:rFonts w:ascii="Garamond" w:eastAsia="Calibri" w:hAnsi="Garamond" w:cs="Calibri"/>
          <w:sz w:val="24"/>
          <w:szCs w:val="24"/>
        </w:rPr>
        <w:t xml:space="preserve">Art. 309. </w:t>
      </w:r>
      <w:r w:rsidRPr="005C5CBD">
        <w:rPr>
          <w:rFonts w:ascii="Garamond" w:eastAsia="Calibri" w:hAnsi="Garamond" w:cs="Calibri"/>
          <w:color w:val="000000"/>
          <w:sz w:val="24"/>
          <w:szCs w:val="24"/>
        </w:rPr>
        <w:t>O peticionário deverá, no que tange aos possíveis efeitos das importações objeto do direito compensatório sobre os preços da indústria doméstica, informar se:</w:t>
      </w:r>
    </w:p>
    <w:p w14:paraId="5C8C958A" w14:textId="77777777" w:rsidR="00395593" w:rsidRPr="005C5CBD" w:rsidRDefault="00395593" w:rsidP="000D0EFE">
      <w:pPr>
        <w:spacing w:after="0" w:line="240" w:lineRule="auto"/>
        <w:ind w:firstLine="567"/>
        <w:jc w:val="both"/>
        <w:rPr>
          <w:rFonts w:ascii="Garamond" w:eastAsia="Calibri" w:hAnsi="Garamond" w:cs="Calibri"/>
          <w:color w:val="000000"/>
          <w:sz w:val="24"/>
          <w:szCs w:val="24"/>
        </w:rPr>
      </w:pPr>
    </w:p>
    <w:p w14:paraId="1851C692" w14:textId="77777777" w:rsidR="00395593" w:rsidRPr="005C5CBD" w:rsidRDefault="00395593" w:rsidP="000D0EFE">
      <w:pPr>
        <w:spacing w:after="0" w:line="240" w:lineRule="auto"/>
        <w:ind w:firstLine="567"/>
        <w:jc w:val="both"/>
        <w:rPr>
          <w:rFonts w:ascii="Garamond" w:eastAsia="Calibri" w:hAnsi="Garamond" w:cs="Calibri"/>
          <w:color w:val="000000"/>
          <w:sz w:val="24"/>
          <w:szCs w:val="24"/>
        </w:rPr>
      </w:pPr>
      <w:r w:rsidRPr="005C5CBD">
        <w:rPr>
          <w:rFonts w:ascii="Garamond" w:eastAsia="Calibri" w:hAnsi="Garamond" w:cs="Calibri"/>
          <w:color w:val="000000"/>
          <w:sz w:val="24"/>
          <w:szCs w:val="24"/>
        </w:rPr>
        <w:t>I - o preço do produto objeto da revisão esteve subcotado em relação ao preço do produto similar da indústria doméstica;</w:t>
      </w:r>
    </w:p>
    <w:p w14:paraId="143B970C" w14:textId="77777777" w:rsidR="00395593" w:rsidRPr="005C5CBD" w:rsidRDefault="00395593" w:rsidP="000D0EFE">
      <w:pPr>
        <w:spacing w:after="0" w:line="240" w:lineRule="auto"/>
        <w:ind w:firstLine="567"/>
        <w:jc w:val="both"/>
        <w:rPr>
          <w:rFonts w:ascii="Garamond" w:eastAsia="Calibri" w:hAnsi="Garamond" w:cs="Calibri"/>
          <w:color w:val="000000"/>
          <w:sz w:val="24"/>
          <w:szCs w:val="24"/>
        </w:rPr>
      </w:pPr>
    </w:p>
    <w:p w14:paraId="4D1E7030" w14:textId="77777777" w:rsidR="00395593" w:rsidRPr="005C5CBD" w:rsidRDefault="00395593" w:rsidP="000D0EFE">
      <w:pPr>
        <w:spacing w:after="0" w:line="240" w:lineRule="auto"/>
        <w:ind w:firstLine="567"/>
        <w:jc w:val="both"/>
        <w:rPr>
          <w:rFonts w:ascii="Garamond" w:eastAsia="Calibri" w:hAnsi="Garamond" w:cs="Calibri"/>
          <w:color w:val="000000"/>
          <w:sz w:val="24"/>
          <w:szCs w:val="24"/>
        </w:rPr>
      </w:pPr>
      <w:r w:rsidRPr="005C5CBD">
        <w:rPr>
          <w:rFonts w:ascii="Garamond" w:eastAsia="Calibri" w:hAnsi="Garamond" w:cs="Calibri"/>
          <w:color w:val="000000"/>
          <w:sz w:val="24"/>
          <w:szCs w:val="24"/>
        </w:rPr>
        <w:t>II - houve depressão ou supressão do preço do produto similar da indústria doméstica</w:t>
      </w:r>
    </w:p>
    <w:p w14:paraId="23C2D08F" w14:textId="77777777" w:rsidR="00395593" w:rsidRPr="005C5CBD" w:rsidRDefault="00395593" w:rsidP="000D0EFE">
      <w:pPr>
        <w:spacing w:after="0" w:line="240" w:lineRule="auto"/>
        <w:ind w:firstLine="567"/>
        <w:jc w:val="both"/>
        <w:rPr>
          <w:rFonts w:ascii="Garamond" w:eastAsia="Calibri" w:hAnsi="Garamond" w:cs="Calibri"/>
          <w:sz w:val="24"/>
          <w:szCs w:val="24"/>
        </w:rPr>
      </w:pPr>
    </w:p>
    <w:p w14:paraId="03C7BFBE"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r w:rsidRPr="005C5CBD">
        <w:rPr>
          <w:rFonts w:ascii="Garamond" w:eastAsia="Calibri" w:hAnsi="Garamond" w:cs="Calibri"/>
          <w:color w:val="000000"/>
          <w:sz w:val="24"/>
          <w:szCs w:val="24"/>
        </w:rPr>
        <w:t>Parágrafo único. A petição deverá estimar o montante de subcotação e indicar a metodologia para cálculo do preço internado do produto objeto da medida, singularizando o valor ou o percentual equivalente às despesas para sua internação</w:t>
      </w:r>
    </w:p>
    <w:p w14:paraId="21137B92" w14:textId="77777777" w:rsidR="00395593" w:rsidRPr="005C5CBD" w:rsidRDefault="00395593" w:rsidP="00E15FBB">
      <w:pPr>
        <w:spacing w:after="0" w:line="276" w:lineRule="auto"/>
        <w:jc w:val="both"/>
        <w:rPr>
          <w:rFonts w:ascii="Garamond" w:eastAsia="Calibri" w:hAnsi="Garamond" w:cs="Calibri"/>
          <w:color w:val="000000"/>
          <w:sz w:val="24"/>
          <w:szCs w:val="24"/>
        </w:rPr>
      </w:pPr>
    </w:p>
    <w:p w14:paraId="03785594"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r w:rsidRPr="005C5CBD">
        <w:rPr>
          <w:rFonts w:ascii="Garamond" w:eastAsia="Calibri" w:hAnsi="Garamond" w:cs="Calibri"/>
          <w:sz w:val="24"/>
          <w:szCs w:val="24"/>
        </w:rPr>
        <w:t>Art. 310. O peticionário deverá informar se,</w:t>
      </w:r>
      <w:r w:rsidRPr="005C5CBD">
        <w:rPr>
          <w:rFonts w:ascii="Garamond" w:eastAsia="Calibri" w:hAnsi="Garamond" w:cs="Calibri"/>
          <w:color w:val="000000"/>
          <w:sz w:val="24"/>
          <w:szCs w:val="24"/>
        </w:rPr>
        <w:t xml:space="preserve"> em função da concorrência com o produto objeto da revisão, a indústria doméstica perdeu vendas no mercado interno, indicando o cliente e as condições de tal venda (preço, condições de pagamento etc.).</w:t>
      </w:r>
    </w:p>
    <w:p w14:paraId="3A77B175"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p>
    <w:p w14:paraId="1CDFB32B" w14:textId="77777777" w:rsidR="00395593" w:rsidRPr="005C5CBD" w:rsidRDefault="00395593" w:rsidP="000D0EFE">
      <w:pPr>
        <w:widowControl w:val="0"/>
        <w:autoSpaceDE w:val="0"/>
        <w:autoSpaceDN w:val="0"/>
        <w:adjustRightInd w:val="0"/>
        <w:spacing w:after="0" w:line="306"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Poderão ser apresentados documentos que comprovem a ocorrência de perda de vendas ou clientes específicos em função da concorrência com o produto objeto da investigação. </w:t>
      </w:r>
    </w:p>
    <w:p w14:paraId="4CE92E0B" w14:textId="77777777" w:rsidR="00395593" w:rsidRPr="005C5CBD" w:rsidRDefault="00395593" w:rsidP="000D0EFE">
      <w:pPr>
        <w:widowControl w:val="0"/>
        <w:autoSpaceDE w:val="0"/>
        <w:autoSpaceDN w:val="0"/>
        <w:adjustRightInd w:val="0"/>
        <w:spacing w:after="0" w:line="306" w:lineRule="exact"/>
        <w:ind w:firstLine="567"/>
        <w:jc w:val="both"/>
        <w:rPr>
          <w:rFonts w:ascii="Garamond" w:eastAsia="Times New Roman" w:hAnsi="Garamond" w:cs="Calibri"/>
          <w:sz w:val="24"/>
          <w:szCs w:val="24"/>
          <w:lang w:eastAsia="pt-BR"/>
        </w:rPr>
      </w:pPr>
    </w:p>
    <w:p w14:paraId="28984965" w14:textId="77777777" w:rsidR="00395593" w:rsidRPr="005C5CBD" w:rsidRDefault="00395593" w:rsidP="000D0EFE">
      <w:pPr>
        <w:widowControl w:val="0"/>
        <w:autoSpaceDE w:val="0"/>
        <w:autoSpaceDN w:val="0"/>
        <w:adjustRightInd w:val="0"/>
        <w:spacing w:after="0" w:line="306" w:lineRule="exact"/>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w:t>
      </w:r>
      <w:r w:rsidRPr="005C5CBD">
        <w:rPr>
          <w:rFonts w:ascii="Garamond" w:eastAsia="Times New Roman" w:hAnsi="Garamond" w:cs="Calibri"/>
          <w:strike/>
          <w:sz w:val="24"/>
          <w:szCs w:val="24"/>
          <w:lang w:eastAsia="pt-BR"/>
        </w:rPr>
        <w:t>º</w:t>
      </w:r>
      <w:r w:rsidRPr="005C5CBD">
        <w:rPr>
          <w:rFonts w:ascii="Garamond" w:eastAsia="Times New Roman" w:hAnsi="Garamond" w:cs="Calibri"/>
          <w:sz w:val="24"/>
          <w:szCs w:val="24"/>
          <w:lang w:eastAsia="pt-BR"/>
        </w:rPr>
        <w:t xml:space="preserve">  Caso o cliente tenha optado por adquirir o produto objeto da revisão em função de condições de financiamento mais favoráveis decorrentes de programas de subsídios conhecidos, a petição deverá apresentar indícios que corroborem a situação. </w:t>
      </w:r>
    </w:p>
    <w:p w14:paraId="754462A8" w14:textId="77777777" w:rsidR="00395593" w:rsidRPr="005C5CBD" w:rsidRDefault="00395593" w:rsidP="00E15FBB">
      <w:pPr>
        <w:spacing w:after="0" w:line="276" w:lineRule="auto"/>
        <w:jc w:val="center"/>
        <w:rPr>
          <w:rFonts w:ascii="Garamond" w:eastAsia="Calibri" w:hAnsi="Garamond" w:cs="Calibri"/>
          <w:b/>
          <w:sz w:val="24"/>
          <w:szCs w:val="24"/>
        </w:rPr>
      </w:pPr>
    </w:p>
    <w:p w14:paraId="5B89C55C" w14:textId="77777777" w:rsidR="00395593" w:rsidRPr="0008528B" w:rsidRDefault="00395593" w:rsidP="00C3469C">
      <w:pPr>
        <w:pStyle w:val="Corpodetexto"/>
        <w:jc w:val="center"/>
        <w:rPr>
          <w:rFonts w:ascii="Garamond" w:eastAsia="MS Gothic" w:hAnsi="Garamond"/>
          <w:b/>
          <w:lang w:eastAsia="pt-BR"/>
        </w:rPr>
      </w:pPr>
      <w:r w:rsidRPr="0008528B">
        <w:rPr>
          <w:rFonts w:ascii="Garamond" w:eastAsia="MS Gothic" w:hAnsi="Garamond"/>
          <w:b/>
          <w:lang w:eastAsia="pt-BR"/>
        </w:rPr>
        <w:t>Subseção II</w:t>
      </w:r>
    </w:p>
    <w:p w14:paraId="4F653DDA" w14:textId="6321A964" w:rsidR="00395593" w:rsidRPr="005C5CBD" w:rsidRDefault="00395593" w:rsidP="00C3469C">
      <w:pPr>
        <w:pStyle w:val="Corpodetexto"/>
        <w:jc w:val="center"/>
        <w:rPr>
          <w:rFonts w:eastAsia="MS Gothic"/>
          <w:color w:val="4F81BD"/>
          <w:lang w:eastAsia="pt-BR"/>
        </w:rPr>
      </w:pPr>
      <w:r w:rsidRPr="0008528B">
        <w:rPr>
          <w:rFonts w:ascii="Garamond" w:eastAsia="MS Gothic" w:hAnsi="Garamond"/>
          <w:b/>
          <w:lang w:eastAsia="pt-BR"/>
        </w:rPr>
        <w:t>Da retomada do dano</w:t>
      </w:r>
    </w:p>
    <w:p w14:paraId="7A02AF74" w14:textId="77777777" w:rsidR="00395593" w:rsidRPr="005C5CBD" w:rsidRDefault="00395593" w:rsidP="00E15FBB">
      <w:pPr>
        <w:spacing w:after="0" w:line="276" w:lineRule="auto"/>
        <w:jc w:val="center"/>
        <w:rPr>
          <w:rFonts w:ascii="Garamond" w:eastAsia="Calibri" w:hAnsi="Garamond" w:cs="Calibri"/>
          <w:b/>
          <w:sz w:val="24"/>
          <w:szCs w:val="24"/>
        </w:rPr>
      </w:pPr>
    </w:p>
    <w:p w14:paraId="5411FE7C" w14:textId="77777777" w:rsidR="00395593" w:rsidRPr="005C5CBD" w:rsidRDefault="00395593" w:rsidP="000D0EFE">
      <w:pPr>
        <w:spacing w:after="0" w:line="276" w:lineRule="auto"/>
        <w:ind w:firstLine="567"/>
        <w:jc w:val="both"/>
        <w:rPr>
          <w:rFonts w:ascii="Garamond" w:eastAsia="Calibri" w:hAnsi="Garamond" w:cs="Calibri"/>
          <w:b/>
          <w:sz w:val="24"/>
          <w:szCs w:val="24"/>
        </w:rPr>
      </w:pPr>
      <w:r w:rsidRPr="005C5CBD">
        <w:rPr>
          <w:rFonts w:ascii="Garamond" w:eastAsia="Calibri" w:hAnsi="Garamond" w:cs="Calibri"/>
          <w:sz w:val="24"/>
          <w:szCs w:val="24"/>
        </w:rPr>
        <w:t xml:space="preserve">Art. 311. </w:t>
      </w:r>
      <w:r w:rsidRPr="005C5CBD">
        <w:rPr>
          <w:rFonts w:ascii="Garamond" w:eastAsia="Calibri" w:hAnsi="Garamond" w:cs="Calibri"/>
          <w:color w:val="000000"/>
          <w:sz w:val="24"/>
          <w:szCs w:val="24"/>
        </w:rPr>
        <w:t>Com base nos indicadores de desempenho constantes das Subseções I a IX da Seção XII do Capítulo III desta Portaria, o peticionário deve explicar de que maneira a extinção da medida compensatória poderia levar à retomada do dano à indústria doméstica.</w:t>
      </w:r>
    </w:p>
    <w:p w14:paraId="515CB2F0" w14:textId="77777777" w:rsidR="00395593" w:rsidRPr="005C5CBD" w:rsidRDefault="00395593" w:rsidP="000D0EFE">
      <w:pPr>
        <w:spacing w:after="0" w:line="276" w:lineRule="auto"/>
        <w:ind w:firstLine="567"/>
        <w:jc w:val="both"/>
        <w:rPr>
          <w:rFonts w:ascii="Garamond" w:eastAsia="Calibri" w:hAnsi="Garamond" w:cs="Calibri"/>
          <w:b/>
          <w:sz w:val="24"/>
          <w:szCs w:val="24"/>
        </w:rPr>
      </w:pPr>
    </w:p>
    <w:p w14:paraId="6C497D7F"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r w:rsidRPr="005C5CBD">
        <w:rPr>
          <w:rFonts w:ascii="Garamond" w:eastAsia="Calibri" w:hAnsi="Garamond" w:cs="Calibri"/>
          <w:sz w:val="24"/>
          <w:szCs w:val="24"/>
        </w:rPr>
        <w:t xml:space="preserve">Art. 312. </w:t>
      </w:r>
      <w:r w:rsidRPr="005C5CBD">
        <w:rPr>
          <w:rFonts w:ascii="Garamond" w:eastAsia="Calibri" w:hAnsi="Garamond" w:cs="Calibri"/>
          <w:color w:val="000000"/>
          <w:sz w:val="24"/>
          <w:szCs w:val="24"/>
        </w:rPr>
        <w:t>A petição deverá indicar:</w:t>
      </w:r>
    </w:p>
    <w:p w14:paraId="5A6068F2"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p>
    <w:p w14:paraId="3FA6F6D6"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r w:rsidRPr="005C5CBD">
        <w:rPr>
          <w:rFonts w:ascii="Garamond" w:eastAsia="Calibri" w:hAnsi="Garamond" w:cs="Calibri"/>
          <w:color w:val="000000"/>
          <w:sz w:val="24"/>
          <w:szCs w:val="24"/>
        </w:rPr>
        <w:t>I - a provável tendência de comportamento das importações do produto objeto da revisão;</w:t>
      </w:r>
    </w:p>
    <w:p w14:paraId="0358514E"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p>
    <w:p w14:paraId="6E33BD7A"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r w:rsidRPr="005C5CBD">
        <w:rPr>
          <w:rFonts w:ascii="Garamond" w:eastAsia="Calibri" w:hAnsi="Garamond" w:cs="Calibri"/>
          <w:color w:val="000000"/>
          <w:sz w:val="24"/>
          <w:szCs w:val="24"/>
        </w:rPr>
        <w:t>II - o preço provável das importações objeto de medidas compensatórias e o seu provável efeito sobre os preços do produto similar no mercado interno brasileiro; e</w:t>
      </w:r>
    </w:p>
    <w:p w14:paraId="51F8EE9A"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p>
    <w:p w14:paraId="55E65865"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r w:rsidRPr="005C5CBD">
        <w:rPr>
          <w:rFonts w:ascii="Garamond" w:eastAsia="Calibri" w:hAnsi="Garamond" w:cs="Calibri"/>
          <w:color w:val="000000"/>
          <w:sz w:val="24"/>
          <w:szCs w:val="24"/>
        </w:rPr>
        <w:t>III - a existência de alterações nas condições de mercado no país exportador, no Brasil ou em terceiros mercados, incluindo alterações na oferta e na demanda do produto similar, em razão, por exemplo, da imposição de medidas de defesa comercial por outros países.</w:t>
      </w:r>
    </w:p>
    <w:p w14:paraId="00D9FB5A"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p>
    <w:p w14:paraId="458C6B4F"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r w:rsidRPr="005C5CBD">
        <w:rPr>
          <w:rFonts w:ascii="Garamond" w:eastAsia="Calibri" w:hAnsi="Garamond" w:cs="Calibri"/>
          <w:sz w:val="24"/>
          <w:szCs w:val="24"/>
        </w:rPr>
        <w:t xml:space="preserve">Art. 313. </w:t>
      </w:r>
      <w:r w:rsidRPr="005C5CBD">
        <w:rPr>
          <w:rFonts w:ascii="Garamond" w:eastAsia="Calibri" w:hAnsi="Garamond" w:cs="Calibri"/>
          <w:color w:val="000000"/>
          <w:sz w:val="24"/>
          <w:szCs w:val="24"/>
        </w:rPr>
        <w:t>Sobre o preço provável das importações objeto de medidas compensatórias e o seu provável efeito sobre os preços do produto similar no mercado interno brasileiro, informar se:</w:t>
      </w:r>
    </w:p>
    <w:p w14:paraId="36FD97B5"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p>
    <w:p w14:paraId="39B1D02C"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r w:rsidRPr="005C5CBD">
        <w:rPr>
          <w:rFonts w:ascii="Garamond" w:eastAsia="Calibri" w:hAnsi="Garamond" w:cs="Calibri"/>
          <w:color w:val="000000"/>
          <w:sz w:val="24"/>
          <w:szCs w:val="24"/>
        </w:rPr>
        <w:t>I - o provável preço do produto objeto da medida estaria subcotado em relação ao preço do produto similar da indústria doméstica;</w:t>
      </w:r>
    </w:p>
    <w:p w14:paraId="758C0485"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p>
    <w:p w14:paraId="179648AC"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r w:rsidRPr="005C5CBD">
        <w:rPr>
          <w:rFonts w:ascii="Garamond" w:eastAsia="Calibri" w:hAnsi="Garamond" w:cs="Calibri"/>
          <w:color w:val="000000"/>
          <w:sz w:val="24"/>
          <w:szCs w:val="24"/>
        </w:rPr>
        <w:t>II - em decorrência do provável preço do produto objeto da medida haveria depressão ou supressão do preço do produto similar da indústria doméstica.</w:t>
      </w:r>
    </w:p>
    <w:p w14:paraId="7B6EA6C1"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p>
    <w:p w14:paraId="5F0023C3" w14:textId="77777777" w:rsidR="00395593" w:rsidRPr="005C5CBD" w:rsidRDefault="00395593" w:rsidP="000D0EFE">
      <w:pPr>
        <w:spacing w:after="0" w:line="276" w:lineRule="auto"/>
        <w:ind w:firstLine="567"/>
        <w:jc w:val="both"/>
        <w:rPr>
          <w:rFonts w:ascii="Garamond" w:eastAsia="Calibri" w:hAnsi="Garamond" w:cs="Calibri"/>
          <w:color w:val="000000"/>
          <w:sz w:val="24"/>
          <w:szCs w:val="24"/>
        </w:rPr>
      </w:pPr>
      <w:r w:rsidRPr="005C5CBD">
        <w:rPr>
          <w:rFonts w:ascii="Garamond" w:eastAsia="Calibri" w:hAnsi="Garamond" w:cs="Calibri"/>
          <w:color w:val="000000"/>
          <w:sz w:val="24"/>
          <w:szCs w:val="24"/>
        </w:rPr>
        <w:t>Parágrafo único. A petição deverá apresentar o montante de subcotação e indicar a metodologia para cálculo do provável preço internado do produto objeto da medida, singularizando o valor ou o percentual equivalente às despesas para sua internação.</w:t>
      </w:r>
    </w:p>
    <w:p w14:paraId="2368CE2D" w14:textId="77777777" w:rsidR="00395593" w:rsidRPr="005C5CBD" w:rsidRDefault="00395593" w:rsidP="00E15FBB">
      <w:pPr>
        <w:spacing w:after="0" w:line="276" w:lineRule="auto"/>
        <w:jc w:val="both"/>
        <w:rPr>
          <w:rFonts w:ascii="Garamond" w:eastAsia="Calibri" w:hAnsi="Garamond" w:cs="Calibri"/>
          <w:color w:val="000000"/>
          <w:sz w:val="24"/>
          <w:szCs w:val="24"/>
        </w:rPr>
      </w:pPr>
    </w:p>
    <w:p w14:paraId="06BA6221"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Seção XIII</w:t>
      </w:r>
    </w:p>
    <w:p w14:paraId="37532DEF"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Dos possíveis outros fatores causadores de dano e da não atribuição</w:t>
      </w:r>
    </w:p>
    <w:p w14:paraId="0D15E82B" w14:textId="77777777" w:rsidR="00395593" w:rsidRPr="005C5CBD" w:rsidRDefault="00395593" w:rsidP="00E15FBB">
      <w:pPr>
        <w:spacing w:after="0" w:line="276" w:lineRule="auto"/>
        <w:jc w:val="both"/>
        <w:rPr>
          <w:rFonts w:ascii="Garamond" w:eastAsia="Calibri" w:hAnsi="Garamond" w:cs="Calibri"/>
          <w:color w:val="000000"/>
          <w:sz w:val="24"/>
          <w:szCs w:val="24"/>
        </w:rPr>
      </w:pPr>
    </w:p>
    <w:p w14:paraId="1C7871E5" w14:textId="77777777" w:rsidR="00395593" w:rsidRPr="005C5CBD" w:rsidRDefault="00395593" w:rsidP="000D0EFE">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314. A petição deverá indicar a existência de quaisquer outros fatores que possam estar simultaneamente causando dano à indústria doméstica durante o período de revisão de continuação de dano, tais como: </w:t>
      </w:r>
    </w:p>
    <w:p w14:paraId="53B6217A" w14:textId="77777777" w:rsidR="00395593" w:rsidRPr="005C5CBD" w:rsidRDefault="00395593" w:rsidP="000D0EFE">
      <w:pPr>
        <w:spacing w:after="0" w:line="240" w:lineRule="auto"/>
        <w:ind w:firstLine="567"/>
        <w:jc w:val="both"/>
        <w:rPr>
          <w:rFonts w:ascii="Garamond" w:eastAsia="Calibri" w:hAnsi="Garamond" w:cs="Calibri"/>
          <w:sz w:val="24"/>
          <w:szCs w:val="24"/>
        </w:rPr>
      </w:pPr>
    </w:p>
    <w:p w14:paraId="0D2F2382" w14:textId="77777777" w:rsidR="00395593" w:rsidRPr="005C5CBD" w:rsidRDefault="00395593" w:rsidP="000D0EFE">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 - volume e preço de importações de produto não subsidiado; </w:t>
      </w:r>
    </w:p>
    <w:p w14:paraId="6471F210" w14:textId="77777777" w:rsidR="00395593" w:rsidRPr="005C5CBD" w:rsidRDefault="00395593" w:rsidP="000D0EFE">
      <w:pPr>
        <w:spacing w:after="0" w:line="276" w:lineRule="auto"/>
        <w:ind w:firstLine="567"/>
        <w:jc w:val="both"/>
        <w:rPr>
          <w:rFonts w:ascii="Garamond" w:eastAsia="Calibri" w:hAnsi="Garamond" w:cs="Calibri"/>
          <w:sz w:val="24"/>
          <w:szCs w:val="24"/>
        </w:rPr>
      </w:pPr>
    </w:p>
    <w:p w14:paraId="026046BA" w14:textId="77777777" w:rsidR="00395593" w:rsidRPr="005C5CBD" w:rsidRDefault="00395593" w:rsidP="000D0EFE">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 - impacto de eventuais processos de liberalização das importações sobre os preços domésticos; </w:t>
      </w:r>
    </w:p>
    <w:p w14:paraId="42860B29" w14:textId="77777777" w:rsidR="00395593" w:rsidRPr="005C5CBD" w:rsidRDefault="00395593" w:rsidP="000D0EFE">
      <w:pPr>
        <w:spacing w:after="0" w:line="276" w:lineRule="auto"/>
        <w:ind w:firstLine="567"/>
        <w:jc w:val="both"/>
        <w:rPr>
          <w:rFonts w:ascii="Garamond" w:eastAsia="Calibri" w:hAnsi="Garamond" w:cs="Calibri"/>
          <w:sz w:val="24"/>
          <w:szCs w:val="24"/>
        </w:rPr>
      </w:pPr>
    </w:p>
    <w:p w14:paraId="2B670993" w14:textId="77777777" w:rsidR="00395593" w:rsidRPr="005C5CBD" w:rsidRDefault="00395593" w:rsidP="000D0EFE">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III - contração na demanda ou mudanças nos padrões de consumo; </w:t>
      </w:r>
    </w:p>
    <w:p w14:paraId="2AE7298A" w14:textId="77777777" w:rsidR="00395593" w:rsidRPr="005C5CBD" w:rsidRDefault="00395593" w:rsidP="000D0EFE">
      <w:pPr>
        <w:spacing w:after="0" w:line="276" w:lineRule="auto"/>
        <w:ind w:firstLine="567"/>
        <w:jc w:val="both"/>
        <w:rPr>
          <w:rFonts w:ascii="Garamond" w:eastAsia="Calibri" w:hAnsi="Garamond" w:cs="Calibri"/>
          <w:sz w:val="24"/>
          <w:szCs w:val="24"/>
        </w:rPr>
      </w:pPr>
    </w:p>
    <w:p w14:paraId="01316482" w14:textId="77777777" w:rsidR="00395593" w:rsidRPr="005C5CBD" w:rsidRDefault="00395593" w:rsidP="000D0EFE">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IV - práticas restritivas ao comércio de produtores domésticos e estrangeiros e a concorrência entre eles;</w:t>
      </w:r>
    </w:p>
    <w:p w14:paraId="5EE98CBE" w14:textId="77777777" w:rsidR="00395593" w:rsidRPr="005C5CBD" w:rsidRDefault="00395593" w:rsidP="000D0EFE">
      <w:pPr>
        <w:spacing w:after="0" w:line="276" w:lineRule="auto"/>
        <w:ind w:firstLine="567"/>
        <w:jc w:val="both"/>
        <w:rPr>
          <w:rFonts w:ascii="Garamond" w:eastAsia="Calibri" w:hAnsi="Garamond" w:cs="Calibri"/>
          <w:sz w:val="24"/>
          <w:szCs w:val="24"/>
        </w:rPr>
      </w:pPr>
    </w:p>
    <w:p w14:paraId="40C933BC" w14:textId="77777777" w:rsidR="00395593" w:rsidRPr="005C5CBD" w:rsidRDefault="00395593" w:rsidP="000D0EFE">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V - progresso tecnológico; </w:t>
      </w:r>
    </w:p>
    <w:p w14:paraId="01D28905" w14:textId="77777777" w:rsidR="00395593" w:rsidRPr="005C5CBD" w:rsidRDefault="00395593" w:rsidP="000D0EFE">
      <w:pPr>
        <w:spacing w:after="0" w:line="276" w:lineRule="auto"/>
        <w:ind w:firstLine="567"/>
        <w:jc w:val="both"/>
        <w:rPr>
          <w:rFonts w:ascii="Garamond" w:eastAsia="Calibri" w:hAnsi="Garamond" w:cs="Calibri"/>
          <w:sz w:val="24"/>
          <w:szCs w:val="24"/>
        </w:rPr>
      </w:pPr>
    </w:p>
    <w:p w14:paraId="04DF3081" w14:textId="77777777" w:rsidR="00395593" w:rsidRPr="005C5CBD" w:rsidRDefault="00395593" w:rsidP="000D0EFE">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VI - desempenho exportador; </w:t>
      </w:r>
    </w:p>
    <w:p w14:paraId="01547460" w14:textId="77777777" w:rsidR="00395593" w:rsidRPr="005C5CBD" w:rsidRDefault="00395593" w:rsidP="000D0EFE">
      <w:pPr>
        <w:spacing w:after="0" w:line="276" w:lineRule="auto"/>
        <w:ind w:firstLine="567"/>
        <w:jc w:val="both"/>
        <w:rPr>
          <w:rFonts w:ascii="Garamond" w:eastAsia="Calibri" w:hAnsi="Garamond" w:cs="Calibri"/>
          <w:sz w:val="24"/>
          <w:szCs w:val="24"/>
        </w:rPr>
      </w:pPr>
    </w:p>
    <w:p w14:paraId="20013121" w14:textId="77777777" w:rsidR="00395593" w:rsidRPr="005C5CBD" w:rsidRDefault="00395593" w:rsidP="000D0EFE">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VII - produtividade da indústria doméstica; e</w:t>
      </w:r>
    </w:p>
    <w:p w14:paraId="68C6744A" w14:textId="77777777" w:rsidR="00395593" w:rsidRPr="005C5CBD" w:rsidRDefault="00395593" w:rsidP="000D0EFE">
      <w:pPr>
        <w:spacing w:after="0" w:line="276" w:lineRule="auto"/>
        <w:ind w:firstLine="567"/>
        <w:jc w:val="both"/>
        <w:rPr>
          <w:rFonts w:ascii="Garamond" w:eastAsia="Calibri" w:hAnsi="Garamond" w:cs="Calibri"/>
          <w:sz w:val="24"/>
          <w:szCs w:val="24"/>
        </w:rPr>
      </w:pPr>
    </w:p>
    <w:p w14:paraId="20682D43" w14:textId="77777777" w:rsidR="00395593" w:rsidRPr="005C5CBD" w:rsidRDefault="00395593" w:rsidP="000D0EFE">
      <w:pPr>
        <w:spacing w:after="0" w:line="276" w:lineRule="auto"/>
        <w:ind w:firstLine="567"/>
        <w:jc w:val="both"/>
        <w:rPr>
          <w:rFonts w:ascii="Garamond" w:eastAsia="Calibri" w:hAnsi="Garamond" w:cs="Calibri"/>
          <w:sz w:val="24"/>
          <w:szCs w:val="24"/>
        </w:rPr>
      </w:pPr>
      <w:r w:rsidRPr="005C5CBD">
        <w:rPr>
          <w:rFonts w:ascii="Garamond" w:eastAsia="Calibri" w:hAnsi="Garamond" w:cs="Calibri"/>
          <w:sz w:val="24"/>
          <w:szCs w:val="24"/>
        </w:rPr>
        <w:t>VIII - consumo cativo.</w:t>
      </w:r>
    </w:p>
    <w:p w14:paraId="579D3490" w14:textId="77777777" w:rsidR="00395593" w:rsidRPr="005C5CBD" w:rsidRDefault="00395593" w:rsidP="000D0EFE">
      <w:pPr>
        <w:spacing w:before="100" w:beforeAutospacing="1" w:after="1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Parágrafo único.  O peticionário deverá explicar pormenorizadamente por que o efeito desses outros fatores não afasta o nexo de causalidade entre as importações subsidiadas e o dano à indústria doméstica verificado no período de investigação de dano. </w:t>
      </w:r>
    </w:p>
    <w:p w14:paraId="44F64E41" w14:textId="77777777" w:rsidR="00395593" w:rsidRPr="005C5CBD" w:rsidRDefault="00395593" w:rsidP="000D0EFE">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315.</w:t>
      </w:r>
      <w:r w:rsidRPr="005C5CBD" w:rsidDel="00F206A8">
        <w:rPr>
          <w:rFonts w:ascii="Garamond" w:eastAsia="Calibri" w:hAnsi="Garamond" w:cs="Calibri"/>
          <w:sz w:val="24"/>
          <w:szCs w:val="24"/>
        </w:rPr>
        <w:t xml:space="preserve"> </w:t>
      </w:r>
      <w:r w:rsidRPr="005C5CBD">
        <w:rPr>
          <w:rFonts w:ascii="Garamond" w:eastAsia="Calibri" w:hAnsi="Garamond" w:cs="Calibri"/>
          <w:sz w:val="24"/>
          <w:szCs w:val="24"/>
        </w:rPr>
        <w:t>Caso a indústria doméstica tenha realizado importações do produto objeto da revisão durante o período de revisão de continuação de dano, o peticionário deverá indicar as razões que levaram à realização dessas importações e preencher os Apêndices XXI, XXII e XXIII, no caso de ter havido desembaraço de importações do produto objeto do direito compensatório durante o período de revisão de existência de subsídios.</w:t>
      </w:r>
    </w:p>
    <w:p w14:paraId="3824FA91" w14:textId="77777777" w:rsidR="00395593" w:rsidRPr="005C5CBD" w:rsidRDefault="00395593" w:rsidP="000D0EFE">
      <w:pPr>
        <w:spacing w:after="0" w:line="240" w:lineRule="auto"/>
        <w:ind w:firstLine="567"/>
        <w:jc w:val="both"/>
        <w:rPr>
          <w:rFonts w:ascii="Garamond" w:eastAsia="Calibri" w:hAnsi="Garamond" w:cs="Calibri"/>
          <w:sz w:val="24"/>
          <w:szCs w:val="24"/>
        </w:rPr>
      </w:pPr>
    </w:p>
    <w:p w14:paraId="7DAD562D" w14:textId="77777777" w:rsidR="00395593" w:rsidRPr="005C5CBD" w:rsidRDefault="00395593" w:rsidP="000D0EFE">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1</w:t>
      </w:r>
      <w:r w:rsidRPr="005C5CBD">
        <w:rPr>
          <w:rFonts w:ascii="Garamond" w:eastAsia="Calibri" w:hAnsi="Garamond" w:cs="Calibri"/>
          <w:strike/>
          <w:sz w:val="24"/>
          <w:szCs w:val="24"/>
        </w:rPr>
        <w:t>º</w:t>
      </w:r>
      <w:r w:rsidRPr="005C5CBD">
        <w:rPr>
          <w:rFonts w:ascii="Garamond" w:eastAsia="Calibri" w:hAnsi="Garamond" w:cs="Calibri"/>
          <w:sz w:val="24"/>
          <w:szCs w:val="24"/>
        </w:rPr>
        <w:t xml:space="preserve">  Deverá ser esclarecido se as operações de importação da indústria doméstica foram realizadas de forma a prevenir ou a remediar os efeitos danosos da concorrência com o produto objeto da investigação. </w:t>
      </w:r>
    </w:p>
    <w:p w14:paraId="7DD003D1" w14:textId="77777777" w:rsidR="00395593" w:rsidRPr="005C5CBD" w:rsidRDefault="00395593" w:rsidP="000D0EFE">
      <w:pPr>
        <w:spacing w:after="0" w:line="240" w:lineRule="auto"/>
        <w:ind w:firstLine="567"/>
        <w:jc w:val="both"/>
        <w:rPr>
          <w:rFonts w:ascii="Garamond" w:eastAsia="Calibri" w:hAnsi="Garamond" w:cs="Calibri"/>
          <w:sz w:val="24"/>
          <w:szCs w:val="24"/>
        </w:rPr>
      </w:pPr>
    </w:p>
    <w:p w14:paraId="302F525A" w14:textId="77777777" w:rsidR="00395593" w:rsidRPr="005C5CBD" w:rsidRDefault="00395593" w:rsidP="000D0EFE">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2</w:t>
      </w:r>
      <w:r w:rsidRPr="005C5CBD">
        <w:rPr>
          <w:rFonts w:ascii="Garamond" w:eastAsia="Calibri" w:hAnsi="Garamond" w:cs="Calibri"/>
          <w:strike/>
          <w:sz w:val="24"/>
          <w:szCs w:val="24"/>
        </w:rPr>
        <w:t>º</w:t>
      </w:r>
      <w:r w:rsidRPr="005C5CBD">
        <w:rPr>
          <w:rFonts w:ascii="Garamond" w:eastAsia="Calibri" w:hAnsi="Garamond" w:cs="Calibri"/>
          <w:sz w:val="24"/>
          <w:szCs w:val="24"/>
        </w:rPr>
        <w:t xml:space="preserve">  Deverá ser indicado se há diferença de qualidade entre o produto importado e o produzido pela indústria doméstica, bem como quaisquer motivos de ordem técnica, financeira ou operacional que expliquem a decisão de importar o produto objeto da investigação.</w:t>
      </w:r>
    </w:p>
    <w:p w14:paraId="2277100D" w14:textId="77777777" w:rsidR="00395593" w:rsidRPr="005C5CBD" w:rsidRDefault="00395593" w:rsidP="000D0EFE">
      <w:pPr>
        <w:spacing w:after="0" w:line="240" w:lineRule="auto"/>
        <w:ind w:firstLine="567"/>
        <w:jc w:val="both"/>
        <w:rPr>
          <w:rFonts w:ascii="Garamond" w:eastAsia="Calibri" w:hAnsi="Garamond" w:cs="Calibri"/>
          <w:sz w:val="24"/>
          <w:szCs w:val="24"/>
        </w:rPr>
      </w:pPr>
    </w:p>
    <w:p w14:paraId="4CAF95E5" w14:textId="77777777" w:rsidR="00395593" w:rsidRPr="005C5CBD" w:rsidRDefault="00395593" w:rsidP="000D0EFE">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3</w:t>
      </w:r>
      <w:r w:rsidRPr="005C5CBD">
        <w:rPr>
          <w:rFonts w:ascii="Garamond" w:eastAsia="Calibri" w:hAnsi="Garamond" w:cs="Calibri"/>
          <w:strike/>
          <w:sz w:val="24"/>
          <w:szCs w:val="24"/>
        </w:rPr>
        <w:t>º</w:t>
      </w:r>
      <w:r w:rsidRPr="005C5CBD" w:rsidDel="00F206A8">
        <w:rPr>
          <w:rFonts w:ascii="Garamond" w:eastAsia="Calibri" w:hAnsi="Garamond" w:cs="Calibri"/>
          <w:sz w:val="24"/>
          <w:szCs w:val="24"/>
        </w:rPr>
        <w:t xml:space="preserve"> </w:t>
      </w:r>
      <w:r w:rsidRPr="005C5CBD">
        <w:rPr>
          <w:rFonts w:ascii="Garamond" w:eastAsia="Calibri" w:hAnsi="Garamond" w:cs="Calibri"/>
          <w:sz w:val="24"/>
          <w:szCs w:val="24"/>
        </w:rPr>
        <w:t xml:space="preserve">Deverá ser informada a ocorrência de tratamentos tributários específicos na importação (ex.: </w:t>
      </w:r>
      <w:r w:rsidRPr="005C5CBD">
        <w:rPr>
          <w:rFonts w:ascii="Garamond" w:eastAsia="Calibri" w:hAnsi="Garamond" w:cs="Calibri"/>
          <w:b/>
          <w:bCs/>
          <w:sz w:val="24"/>
          <w:szCs w:val="24"/>
        </w:rPr>
        <w:t>drawback</w:t>
      </w:r>
      <w:r w:rsidRPr="005C5CBD">
        <w:rPr>
          <w:rFonts w:ascii="Garamond" w:eastAsia="Calibri" w:hAnsi="Garamond" w:cs="Calibri"/>
          <w:sz w:val="24"/>
          <w:szCs w:val="24"/>
        </w:rPr>
        <w:t>).</w:t>
      </w:r>
    </w:p>
    <w:p w14:paraId="07163D80" w14:textId="77777777" w:rsidR="00395593" w:rsidRPr="005C5CBD" w:rsidRDefault="00395593" w:rsidP="000D0EFE">
      <w:pPr>
        <w:spacing w:after="0" w:line="240" w:lineRule="auto"/>
        <w:ind w:firstLine="567"/>
        <w:jc w:val="both"/>
        <w:rPr>
          <w:rFonts w:ascii="Garamond" w:eastAsia="Calibri" w:hAnsi="Garamond" w:cs="Calibri"/>
          <w:sz w:val="24"/>
          <w:szCs w:val="24"/>
        </w:rPr>
      </w:pPr>
    </w:p>
    <w:p w14:paraId="7B41F9AA" w14:textId="77777777" w:rsidR="00395593" w:rsidRPr="005C5CBD" w:rsidRDefault="00395593" w:rsidP="000D0EFE">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4º Deverá ser esclarecido se a indústria doméstica submete o produto importado a algum processo de transformação ou embalagem, descrevendo sucintamente tal processo, ou se o utiliza ou revende na forma em que foi importado. </w:t>
      </w:r>
    </w:p>
    <w:p w14:paraId="2D13E85E" w14:textId="77777777" w:rsidR="00395593" w:rsidRPr="005C5CBD" w:rsidRDefault="00395593" w:rsidP="000D0EFE">
      <w:pPr>
        <w:spacing w:after="0" w:line="240" w:lineRule="auto"/>
        <w:ind w:firstLine="567"/>
        <w:jc w:val="both"/>
        <w:rPr>
          <w:rFonts w:ascii="Garamond" w:eastAsia="Calibri" w:hAnsi="Garamond" w:cs="Calibri"/>
          <w:sz w:val="24"/>
          <w:szCs w:val="24"/>
        </w:rPr>
      </w:pPr>
    </w:p>
    <w:p w14:paraId="6FC6307E" w14:textId="77777777" w:rsidR="00395593" w:rsidRPr="005C5CBD" w:rsidRDefault="00395593" w:rsidP="000D0EFE">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5º Deverá ser informado se o produto importado é posteriormente exportado ou vendido no mercado interno.</w:t>
      </w:r>
    </w:p>
    <w:p w14:paraId="213F4384" w14:textId="77777777" w:rsidR="00395593" w:rsidRPr="005C5CBD" w:rsidRDefault="00395593" w:rsidP="00E15FBB">
      <w:pPr>
        <w:spacing w:after="0" w:line="240" w:lineRule="auto"/>
        <w:jc w:val="both"/>
        <w:rPr>
          <w:rFonts w:ascii="Garamond" w:eastAsia="Calibri" w:hAnsi="Garamond" w:cs="Calibri"/>
          <w:sz w:val="24"/>
          <w:szCs w:val="24"/>
        </w:rPr>
      </w:pPr>
    </w:p>
    <w:p w14:paraId="130DEE9B" w14:textId="77777777" w:rsidR="00395593" w:rsidRPr="005C5CBD" w:rsidRDefault="00395593" w:rsidP="000D0EFE">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6º Caso a indústria doméstica revenda o produto importado, deverá ser informado quais são os tipos/categorias de clientes/segmentos de mercado e os canais de distribuições utilizados em cada uma dessas hipóteses, bem como a participação de cada tipo/categoria no total de vendas. </w:t>
      </w:r>
    </w:p>
    <w:p w14:paraId="18876702" w14:textId="77777777" w:rsidR="00395593" w:rsidRPr="005C5CBD" w:rsidRDefault="00395593" w:rsidP="000D0EFE">
      <w:pPr>
        <w:spacing w:after="0" w:line="240" w:lineRule="auto"/>
        <w:ind w:firstLine="567"/>
        <w:jc w:val="both"/>
        <w:rPr>
          <w:rFonts w:ascii="Garamond" w:eastAsia="Calibri" w:hAnsi="Garamond" w:cs="Calibri"/>
          <w:sz w:val="24"/>
          <w:szCs w:val="24"/>
        </w:rPr>
      </w:pPr>
    </w:p>
    <w:p w14:paraId="1D878222" w14:textId="77777777" w:rsidR="00395593" w:rsidRPr="005C5CBD" w:rsidRDefault="00395593" w:rsidP="000D0EFE">
      <w:pPr>
        <w:spacing w:after="0" w:line="240" w:lineRule="auto"/>
        <w:ind w:firstLine="567"/>
        <w:jc w:val="center"/>
        <w:rPr>
          <w:rFonts w:ascii="Garamond" w:eastAsia="Calibri" w:hAnsi="Garamond" w:cs="Calibri"/>
          <w:sz w:val="24"/>
          <w:szCs w:val="24"/>
        </w:rPr>
      </w:pPr>
      <w:r w:rsidRPr="005C5CBD">
        <w:rPr>
          <w:rFonts w:ascii="Garamond" w:eastAsia="Calibri" w:hAnsi="Garamond" w:cs="Calibri"/>
          <w:sz w:val="24"/>
          <w:szCs w:val="24"/>
        </w:rPr>
        <w:t>§ 7º   Deverá ser esclarecida a política comercial na aquisição do produto importado, incluindo a existência de contratos de fornecimento e sua periodicidade; prática de concessão de desconto por distribuição, por região, por quantidade comprada; prêmio, crédito ou bonificação semestral ou anual etc.</w:t>
      </w:r>
    </w:p>
    <w:p w14:paraId="729813FC" w14:textId="77777777" w:rsidR="00395593" w:rsidRPr="005C5CBD" w:rsidRDefault="00395593" w:rsidP="000D0EFE">
      <w:pPr>
        <w:spacing w:after="0" w:line="240" w:lineRule="auto"/>
        <w:ind w:right="-199" w:firstLine="567"/>
        <w:jc w:val="both"/>
        <w:rPr>
          <w:rFonts w:ascii="Garamond" w:eastAsia="Times New Roman" w:hAnsi="Garamond" w:cs="Calibri"/>
          <w:sz w:val="24"/>
          <w:szCs w:val="24"/>
          <w:lang w:eastAsia="pt-BR"/>
        </w:rPr>
      </w:pPr>
    </w:p>
    <w:p w14:paraId="4F43AF3F" w14:textId="77777777" w:rsidR="00395593" w:rsidRPr="005C5CBD" w:rsidRDefault="00395593" w:rsidP="000D0EFE">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8º  Deverá ser  informado o custo financeiro e o prazo médio para pagamento das importações do referido produto, bem como se ocorre benefício de algum programa de financiamento à importação por parte das empresas exportadoras, entidades financeiras de fomento à exportação, ou outras.</w:t>
      </w:r>
    </w:p>
    <w:p w14:paraId="72A6D1BC" w14:textId="77777777" w:rsidR="00395593" w:rsidRPr="005C5CBD" w:rsidRDefault="00395593" w:rsidP="000D0EFE">
      <w:pPr>
        <w:spacing w:after="0" w:line="240" w:lineRule="auto"/>
        <w:ind w:right="-199" w:firstLine="567"/>
        <w:jc w:val="both"/>
        <w:rPr>
          <w:rFonts w:ascii="Garamond" w:eastAsia="Times New Roman" w:hAnsi="Garamond" w:cs="Calibri"/>
          <w:sz w:val="24"/>
          <w:szCs w:val="24"/>
          <w:lang w:eastAsia="pt-BR"/>
        </w:rPr>
      </w:pPr>
    </w:p>
    <w:p w14:paraId="04C90EF0" w14:textId="77777777" w:rsidR="00395593" w:rsidRPr="005C5CBD" w:rsidRDefault="00395593" w:rsidP="000D0EFE">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9º  Deverá ser informado, caso haja, serviços de pós-venda (assistência técnica, controle ambiental etc.), fornecidos pela empresa produtora/exportadora a seus clientes.</w:t>
      </w:r>
    </w:p>
    <w:p w14:paraId="304EC78F" w14:textId="77777777" w:rsidR="00395593" w:rsidRPr="005C5CBD" w:rsidRDefault="00395593" w:rsidP="000D0EFE">
      <w:pPr>
        <w:spacing w:after="0" w:line="240" w:lineRule="auto"/>
        <w:ind w:right="-199" w:firstLine="567"/>
        <w:jc w:val="both"/>
        <w:rPr>
          <w:rFonts w:ascii="Garamond" w:eastAsia="Calibri" w:hAnsi="Garamond" w:cs="Calibri"/>
          <w:sz w:val="24"/>
          <w:szCs w:val="24"/>
        </w:rPr>
      </w:pPr>
    </w:p>
    <w:p w14:paraId="594A7F88" w14:textId="77777777" w:rsidR="00395593" w:rsidRPr="005C5CBD" w:rsidRDefault="00395593" w:rsidP="000D0EFE">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10.  Deverá ser informada a localização dos centros de estocagem do produto, bem como a distância média em relação aos principais clientes de sua empresa.</w:t>
      </w:r>
    </w:p>
    <w:p w14:paraId="1A0B624B" w14:textId="77777777" w:rsidR="00395593" w:rsidRPr="005C5CBD" w:rsidRDefault="00395593" w:rsidP="00E15FBB">
      <w:pPr>
        <w:spacing w:after="0" w:line="240" w:lineRule="auto"/>
        <w:jc w:val="both"/>
        <w:rPr>
          <w:rFonts w:ascii="Garamond" w:eastAsia="Calibri" w:hAnsi="Garamond" w:cs="Calibri"/>
          <w:sz w:val="24"/>
          <w:szCs w:val="24"/>
        </w:rPr>
      </w:pPr>
    </w:p>
    <w:p w14:paraId="41C6A193"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Seção XIV</w:t>
      </w:r>
    </w:p>
    <w:p w14:paraId="7C31656E" w14:textId="4DD016F6"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Do desempenho e do potencial do produtor ou exportador</w:t>
      </w:r>
    </w:p>
    <w:p w14:paraId="0E0D35C9" w14:textId="77777777" w:rsidR="00395593" w:rsidRPr="005C5CBD" w:rsidRDefault="00395593" w:rsidP="00E15FBB">
      <w:pPr>
        <w:spacing w:after="0" w:line="240" w:lineRule="auto"/>
        <w:ind w:right="-199"/>
        <w:jc w:val="both"/>
        <w:rPr>
          <w:rFonts w:ascii="Garamond" w:eastAsia="Times New Roman" w:hAnsi="Garamond" w:cs="Calibri"/>
          <w:sz w:val="24"/>
          <w:szCs w:val="24"/>
          <w:lang w:eastAsia="pt-BR"/>
        </w:rPr>
      </w:pPr>
    </w:p>
    <w:p w14:paraId="2BD50735" w14:textId="77777777" w:rsidR="00395593" w:rsidRPr="005C5CBD" w:rsidRDefault="00395593" w:rsidP="009D1214">
      <w:pPr>
        <w:spacing w:after="0" w:line="240" w:lineRule="auto"/>
        <w:ind w:firstLine="567"/>
        <w:jc w:val="both"/>
        <w:rPr>
          <w:rFonts w:ascii="Garamond" w:eastAsia="Calibri" w:hAnsi="Garamond" w:cs="Calibri"/>
          <w:color w:val="000000"/>
          <w:sz w:val="24"/>
          <w:szCs w:val="24"/>
        </w:rPr>
      </w:pPr>
      <w:r w:rsidRPr="005C5CBD">
        <w:rPr>
          <w:rFonts w:ascii="Garamond" w:eastAsia="Calibri" w:hAnsi="Garamond" w:cs="Calibri"/>
          <w:sz w:val="24"/>
          <w:szCs w:val="24"/>
        </w:rPr>
        <w:t xml:space="preserve">Art. 316. A petição </w:t>
      </w:r>
      <w:r w:rsidRPr="005C5CBD">
        <w:rPr>
          <w:rFonts w:ascii="Garamond" w:eastAsia="Calibri" w:hAnsi="Garamond" w:cs="Calibri"/>
          <w:color w:val="000000"/>
          <w:sz w:val="24"/>
          <w:szCs w:val="24"/>
        </w:rPr>
        <w:t>deverá indicar o potencial exportador do país sujeito ao direito compensatório, informando, se possível, a capacidade instalada e o volume da produção e o valor e o volume das exportações para todos os destinos, conforme os Apêndices VIII e XX.</w:t>
      </w:r>
    </w:p>
    <w:p w14:paraId="26825605" w14:textId="77777777" w:rsidR="00395593" w:rsidRPr="005C5CBD" w:rsidRDefault="00395593" w:rsidP="009D1214">
      <w:pPr>
        <w:spacing w:after="0" w:line="240" w:lineRule="auto"/>
        <w:ind w:firstLine="567"/>
        <w:jc w:val="both"/>
        <w:rPr>
          <w:rFonts w:ascii="Garamond" w:eastAsia="Calibri" w:hAnsi="Garamond" w:cs="Calibri"/>
          <w:color w:val="000000"/>
          <w:sz w:val="24"/>
          <w:szCs w:val="24"/>
        </w:rPr>
      </w:pPr>
    </w:p>
    <w:p w14:paraId="712AC884" w14:textId="77777777" w:rsidR="00395593" w:rsidRPr="005C5CBD" w:rsidRDefault="00395593" w:rsidP="009D1214">
      <w:pPr>
        <w:spacing w:after="0" w:line="240" w:lineRule="auto"/>
        <w:ind w:firstLine="567"/>
        <w:jc w:val="both"/>
        <w:rPr>
          <w:rFonts w:ascii="Garamond" w:eastAsia="Calibri" w:hAnsi="Garamond" w:cs="Calibri"/>
          <w:color w:val="000000"/>
          <w:sz w:val="24"/>
          <w:szCs w:val="24"/>
        </w:rPr>
      </w:pPr>
      <w:r w:rsidRPr="005C5CBD">
        <w:rPr>
          <w:rFonts w:ascii="Garamond" w:eastAsia="Calibri" w:hAnsi="Garamond" w:cs="Calibri"/>
          <w:color w:val="000000"/>
          <w:sz w:val="24"/>
          <w:szCs w:val="24"/>
        </w:rPr>
        <w:t>Parágrafo único. No caso de probabilidade de retomada do dano à indústria doméstica, o peticionário deverá indicar se há potencial exportador para redirecionamento do produto objeto do direito compensatório em</w:t>
      </w:r>
      <w:r w:rsidRPr="005C5CBD" w:rsidDel="00385ECC">
        <w:rPr>
          <w:rFonts w:ascii="Garamond" w:eastAsia="Calibri" w:hAnsi="Garamond" w:cs="Calibri"/>
          <w:color w:val="000000"/>
          <w:sz w:val="24"/>
          <w:szCs w:val="24"/>
        </w:rPr>
        <w:t xml:space="preserve"> </w:t>
      </w:r>
      <w:r w:rsidRPr="005C5CBD">
        <w:rPr>
          <w:rFonts w:ascii="Garamond" w:eastAsia="Calibri" w:hAnsi="Garamond" w:cs="Calibri"/>
          <w:color w:val="000000"/>
          <w:sz w:val="24"/>
          <w:szCs w:val="24"/>
        </w:rPr>
        <w:t xml:space="preserve">volumes suficientes para levar à retomada do dano. </w:t>
      </w:r>
    </w:p>
    <w:p w14:paraId="115B73D5" w14:textId="77777777" w:rsidR="00395593" w:rsidRPr="005C5CBD" w:rsidRDefault="00395593" w:rsidP="009D1214">
      <w:pPr>
        <w:spacing w:after="0" w:line="240" w:lineRule="auto"/>
        <w:ind w:right="-199" w:firstLine="567"/>
        <w:jc w:val="both"/>
        <w:rPr>
          <w:rFonts w:ascii="Garamond" w:eastAsia="Times New Roman" w:hAnsi="Garamond" w:cs="Calibri"/>
          <w:color w:val="000000"/>
          <w:sz w:val="24"/>
          <w:szCs w:val="24"/>
          <w:lang w:eastAsia="pt-BR"/>
        </w:rPr>
      </w:pPr>
    </w:p>
    <w:p w14:paraId="7C7759DD" w14:textId="77777777" w:rsidR="00395593" w:rsidRPr="005C5CBD" w:rsidRDefault="00395593" w:rsidP="009D121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317. No caso de </w:t>
      </w:r>
      <w:r w:rsidRPr="005C5CBD">
        <w:rPr>
          <w:rFonts w:ascii="Garamond" w:eastAsia="Calibri" w:hAnsi="Garamond" w:cs="Calibri"/>
          <w:color w:val="000000"/>
          <w:sz w:val="24"/>
          <w:szCs w:val="24"/>
        </w:rPr>
        <w:t>probabilidade</w:t>
      </w:r>
      <w:r w:rsidRPr="005C5CBD">
        <w:rPr>
          <w:rFonts w:ascii="Garamond" w:eastAsia="Calibri" w:hAnsi="Garamond" w:cs="Calibri"/>
          <w:sz w:val="24"/>
          <w:szCs w:val="24"/>
        </w:rPr>
        <w:t xml:space="preserve"> de retomada do dano à indústria doméstica, deverão ser informados, caso conhecidos:</w:t>
      </w:r>
    </w:p>
    <w:p w14:paraId="09BF68ED" w14:textId="77777777" w:rsidR="00395593" w:rsidRPr="005C5CBD" w:rsidRDefault="00395593" w:rsidP="009D1214">
      <w:pPr>
        <w:spacing w:after="0" w:line="240" w:lineRule="auto"/>
        <w:ind w:right="-199" w:firstLine="567"/>
        <w:jc w:val="both"/>
        <w:rPr>
          <w:rFonts w:ascii="Garamond" w:eastAsia="Times New Roman" w:hAnsi="Garamond" w:cs="Calibri"/>
          <w:sz w:val="24"/>
          <w:szCs w:val="24"/>
          <w:lang w:eastAsia="pt-BR"/>
        </w:rPr>
      </w:pPr>
    </w:p>
    <w:p w14:paraId="0F290678" w14:textId="77777777" w:rsidR="00395593" w:rsidRPr="005C5CBD" w:rsidRDefault="00395593" w:rsidP="009D121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w:t>
      </w:r>
      <w:r w:rsidRPr="005C5CBD" w:rsidDel="0065014C">
        <w:rPr>
          <w:rFonts w:ascii="Garamond" w:eastAsia="Calibri" w:hAnsi="Garamond" w:cs="Calibri"/>
          <w:sz w:val="24"/>
          <w:szCs w:val="24"/>
        </w:rPr>
        <w:t xml:space="preserve"> </w:t>
      </w:r>
      <w:r w:rsidRPr="005C5CBD">
        <w:rPr>
          <w:rFonts w:ascii="Garamond" w:eastAsia="Calibri" w:hAnsi="Garamond" w:cs="Calibri"/>
          <w:sz w:val="24"/>
          <w:szCs w:val="24"/>
        </w:rPr>
        <w:t>estoques internacionais do produto similar e do produto objeto da medida; e</w:t>
      </w:r>
    </w:p>
    <w:p w14:paraId="33E9F02D" w14:textId="77777777" w:rsidR="00395593" w:rsidRPr="005C5CBD" w:rsidRDefault="00395593" w:rsidP="009D1214">
      <w:pPr>
        <w:spacing w:after="0" w:line="240" w:lineRule="auto"/>
        <w:ind w:right="-199" w:firstLine="567"/>
        <w:jc w:val="both"/>
        <w:rPr>
          <w:rFonts w:ascii="Garamond" w:eastAsia="Times New Roman" w:hAnsi="Garamond" w:cs="Calibri"/>
          <w:sz w:val="24"/>
          <w:szCs w:val="24"/>
          <w:lang w:eastAsia="pt-BR"/>
        </w:rPr>
      </w:pPr>
    </w:p>
    <w:p w14:paraId="30AFCC3C" w14:textId="77777777" w:rsidR="00395593" w:rsidRPr="005C5CBD" w:rsidRDefault="00395593" w:rsidP="009D1214">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w:t>
      </w:r>
      <w:r w:rsidRPr="005C5CBD" w:rsidDel="0065014C">
        <w:rPr>
          <w:rFonts w:ascii="Garamond" w:eastAsia="Calibri" w:hAnsi="Garamond" w:cs="Calibri"/>
          <w:sz w:val="24"/>
          <w:szCs w:val="24"/>
        </w:rPr>
        <w:t xml:space="preserve"> </w:t>
      </w:r>
      <w:r w:rsidRPr="005C5CBD">
        <w:rPr>
          <w:rFonts w:ascii="Garamond" w:eastAsia="Calibri" w:hAnsi="Garamond" w:cs="Calibri"/>
          <w:sz w:val="24"/>
          <w:szCs w:val="24"/>
        </w:rPr>
        <w:t>instalação de novas plantas, tanto nos países sujeitos à medida compensatória quanto em terceiros países, indicando, se possível, a data de entrada em funcionamento e a capacidade instalada de cada nova planta.</w:t>
      </w:r>
    </w:p>
    <w:p w14:paraId="633AE420" w14:textId="77777777" w:rsidR="00395593" w:rsidRPr="005C5CBD" w:rsidRDefault="00395593" w:rsidP="00E15FBB">
      <w:pPr>
        <w:spacing w:after="0" w:line="240" w:lineRule="auto"/>
        <w:ind w:right="-199"/>
        <w:jc w:val="both"/>
        <w:rPr>
          <w:rFonts w:ascii="Garamond" w:eastAsia="Times New Roman" w:hAnsi="Garamond" w:cs="Calibri"/>
          <w:sz w:val="24"/>
          <w:szCs w:val="24"/>
          <w:lang w:eastAsia="pt-BR"/>
        </w:rPr>
      </w:pPr>
    </w:p>
    <w:p w14:paraId="654E80A8"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CAPÍTULO VI</w:t>
      </w:r>
    </w:p>
    <w:p w14:paraId="0FAA8F7E" w14:textId="77777777" w:rsidR="00395593" w:rsidRPr="005C5CBD" w:rsidRDefault="00395593" w:rsidP="00C3469C">
      <w:pPr>
        <w:pStyle w:val="Corpodetexto"/>
        <w:jc w:val="center"/>
        <w:rPr>
          <w:lang w:eastAsia="pt-BR"/>
        </w:rPr>
      </w:pPr>
      <w:r w:rsidRPr="0008528B">
        <w:rPr>
          <w:rFonts w:ascii="Garamond" w:hAnsi="Garamond"/>
          <w:b/>
          <w:lang w:eastAsia="pt-BR"/>
        </w:rPr>
        <w:t>DAS PETIÇÕES DE REVISÃO ACELERADA</w:t>
      </w:r>
    </w:p>
    <w:p w14:paraId="1D4F7BD0"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0D4DA665"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Seção I</w:t>
      </w:r>
    </w:p>
    <w:p w14:paraId="76F51D45"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Das instruções gerais</w:t>
      </w:r>
    </w:p>
    <w:p w14:paraId="3470E331" w14:textId="77777777" w:rsidR="00395593" w:rsidRPr="005C5CBD" w:rsidRDefault="00395593" w:rsidP="00E15FBB">
      <w:pPr>
        <w:spacing w:after="0" w:line="240" w:lineRule="auto"/>
        <w:jc w:val="center"/>
        <w:rPr>
          <w:rFonts w:ascii="Garamond" w:eastAsia="Calibri" w:hAnsi="Garamond" w:cs="Calibri"/>
          <w:b/>
          <w:sz w:val="24"/>
          <w:szCs w:val="24"/>
        </w:rPr>
      </w:pPr>
    </w:p>
    <w:p w14:paraId="69C8A3D8" w14:textId="77777777" w:rsidR="00395593" w:rsidRPr="005C5CBD" w:rsidRDefault="00395593" w:rsidP="00AB01CE">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318. </w:t>
      </w:r>
      <w:r w:rsidRPr="005C5CBD">
        <w:rPr>
          <w:rFonts w:ascii="Garamond" w:eastAsia="Times New Roman" w:hAnsi="Garamond" w:cs="Calibri"/>
          <w:sz w:val="24"/>
          <w:szCs w:val="24"/>
          <w:lang w:eastAsia="pt-BR"/>
        </w:rPr>
        <w:t>As petições de revisão acelerada de que trata a Subseção I da Seção III do Capítulo IX do Decreto nº 10.839, de 2021, apresentadas por produtor ou exportador de país sujeito à aplicação de direitos compensatórios, deverão obedecer às disposições deste Capítulo.</w:t>
      </w:r>
    </w:p>
    <w:p w14:paraId="51427587"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7DA390A2"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A revisão acelerada poderá ser solicitada individualmente apenas por produtor ou exportador que não tenha sido individualmente investigado na investigação original, com a condição de a razão para tanto não ter sido a própria recusa do produtor ou exportador em cooperar com a investigação.</w:t>
      </w:r>
    </w:p>
    <w:p w14:paraId="06F099D4"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574A20F9" w14:textId="77777777" w:rsidR="00395593" w:rsidRPr="005C5CBD" w:rsidRDefault="00395593" w:rsidP="001F6CA2">
      <w:pPr>
        <w:spacing w:after="0" w:line="240" w:lineRule="auto"/>
        <w:ind w:firstLine="567"/>
        <w:jc w:val="both"/>
        <w:rPr>
          <w:rFonts w:ascii="Garamond" w:eastAsia="Times New Roman" w:hAnsi="Garamond" w:cs="Times New Roman"/>
          <w:sz w:val="24"/>
          <w:szCs w:val="24"/>
          <w:lang w:eastAsia="pt-BR"/>
        </w:rPr>
      </w:pPr>
      <w:r w:rsidRPr="005C5CBD">
        <w:rPr>
          <w:rFonts w:ascii="Garamond" w:eastAsia="Times New Roman" w:hAnsi="Garamond" w:cs="Calibri"/>
          <w:sz w:val="24"/>
          <w:szCs w:val="24"/>
          <w:lang w:eastAsia="pt-BR"/>
        </w:rPr>
        <w:t>§ 2º  Não serão conhecidas petições apresentadas coletivamente em nome de mais de um produtor ou exportador do país sujeito à aplicação de direitos compensatórios, salvo se for comprovado que a relação estrutural ou comercial das entidades entre si, ou com uma terceira entidade, é próxima o suficiente, conforme o § 8º do art. 21 do Decreto nº 10.839, de 2021.</w:t>
      </w:r>
    </w:p>
    <w:p w14:paraId="51DFCAD2"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1174B661"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319.</w:t>
      </w:r>
      <w:r w:rsidRPr="005C5CBD">
        <w:rPr>
          <w:rFonts w:ascii="Garamond" w:eastAsia="Times New Roman" w:hAnsi="Garamond" w:cs="Calibri"/>
          <w:sz w:val="24"/>
          <w:szCs w:val="24"/>
          <w:lang w:eastAsia="pt-BR"/>
        </w:rPr>
        <w:t xml:space="preserve">  A petição deverá conter os elementos necessários que possibilitem, de forma célere, a determinação do montante individual de subsídio do produtor ou exportador peticionário.</w:t>
      </w:r>
    </w:p>
    <w:p w14:paraId="458563C8"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2951C081"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320.  O peticionário deverá observar o disposto no art. 5º acerca das fontes de informação aceitas para fins de instrução da petição.</w:t>
      </w:r>
    </w:p>
    <w:p w14:paraId="4052EE54" w14:textId="77777777" w:rsidR="00395593" w:rsidRPr="005C5CBD" w:rsidRDefault="00395593" w:rsidP="001F6CA2">
      <w:pPr>
        <w:spacing w:after="0" w:line="240" w:lineRule="auto"/>
        <w:ind w:firstLine="567"/>
        <w:jc w:val="both"/>
        <w:rPr>
          <w:rFonts w:ascii="Garamond" w:eastAsia="Calibri" w:hAnsi="Garamond" w:cs="Calibri"/>
          <w:sz w:val="24"/>
          <w:szCs w:val="24"/>
        </w:rPr>
      </w:pPr>
    </w:p>
    <w:p w14:paraId="488DE1B5" w14:textId="77777777" w:rsidR="00395593" w:rsidRPr="005C5CBD" w:rsidRDefault="00395593" w:rsidP="001F6CA2">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321. Para o preenchimento dos apêndices deste</w:t>
      </w:r>
      <w:r w:rsidRPr="005C5CBD" w:rsidDel="008C766A">
        <w:rPr>
          <w:rFonts w:ascii="Garamond" w:eastAsia="Calibri" w:hAnsi="Garamond" w:cs="Calibri"/>
          <w:sz w:val="24"/>
          <w:szCs w:val="24"/>
        </w:rPr>
        <w:t xml:space="preserve"> </w:t>
      </w:r>
      <w:r w:rsidRPr="005C5CBD">
        <w:rPr>
          <w:rFonts w:ascii="Garamond" w:eastAsia="Calibri" w:hAnsi="Garamond" w:cs="Calibri"/>
          <w:sz w:val="24"/>
          <w:szCs w:val="24"/>
        </w:rPr>
        <w:t xml:space="preserve">Capítulo deverão ser utilizadas as planilhas disponibilizadas no sítio eletrônico deste Ministério. </w:t>
      </w:r>
    </w:p>
    <w:p w14:paraId="0618CAC1" w14:textId="77777777" w:rsidR="00395593" w:rsidRPr="005C5CBD" w:rsidRDefault="00395593" w:rsidP="001F6CA2">
      <w:pPr>
        <w:spacing w:after="0" w:line="240" w:lineRule="auto"/>
        <w:ind w:right="-199" w:firstLine="567"/>
        <w:jc w:val="center"/>
        <w:rPr>
          <w:rFonts w:ascii="Garamond" w:eastAsia="Times New Roman" w:hAnsi="Garamond" w:cs="Calibri"/>
          <w:b/>
          <w:sz w:val="24"/>
          <w:szCs w:val="24"/>
          <w:lang w:eastAsia="pt-BR"/>
        </w:rPr>
      </w:pPr>
    </w:p>
    <w:p w14:paraId="0026F41B" w14:textId="77777777" w:rsidR="00395593" w:rsidRPr="0008528B" w:rsidRDefault="00395593" w:rsidP="001F6CA2">
      <w:pPr>
        <w:pStyle w:val="Corpodetexto"/>
        <w:ind w:firstLine="567"/>
        <w:jc w:val="center"/>
        <w:rPr>
          <w:rFonts w:ascii="Garamond" w:hAnsi="Garamond"/>
          <w:b/>
          <w:lang w:eastAsia="pt-BR"/>
        </w:rPr>
      </w:pPr>
      <w:r w:rsidRPr="0008528B">
        <w:rPr>
          <w:rFonts w:ascii="Garamond" w:hAnsi="Garamond"/>
          <w:b/>
          <w:lang w:eastAsia="pt-BR"/>
        </w:rPr>
        <w:t>Seção II</w:t>
      </w:r>
    </w:p>
    <w:p w14:paraId="716F66CE" w14:textId="77777777" w:rsidR="00395593" w:rsidRPr="005C5CBD" w:rsidRDefault="00395593" w:rsidP="001F6CA2">
      <w:pPr>
        <w:pStyle w:val="Corpodetexto"/>
        <w:ind w:firstLine="567"/>
        <w:jc w:val="center"/>
        <w:rPr>
          <w:lang w:eastAsia="pt-BR"/>
        </w:rPr>
      </w:pPr>
      <w:r w:rsidRPr="0008528B">
        <w:rPr>
          <w:rFonts w:ascii="Garamond" w:hAnsi="Garamond"/>
          <w:b/>
          <w:lang w:eastAsia="pt-BR"/>
        </w:rPr>
        <w:t>Dos dados do produtor ou exportador peticionário e das empresas subsidiadas</w:t>
      </w:r>
    </w:p>
    <w:p w14:paraId="59C7D31D" w14:textId="77777777" w:rsidR="00395593" w:rsidRPr="005C5CBD" w:rsidRDefault="00395593" w:rsidP="001F6CA2">
      <w:pPr>
        <w:spacing w:after="0" w:line="240" w:lineRule="auto"/>
        <w:ind w:right="-199" w:firstLine="567"/>
        <w:jc w:val="center"/>
        <w:rPr>
          <w:rFonts w:ascii="Garamond" w:eastAsia="Times New Roman" w:hAnsi="Garamond" w:cs="Calibri"/>
          <w:b/>
          <w:sz w:val="24"/>
          <w:szCs w:val="24"/>
          <w:lang w:eastAsia="pt-BR"/>
        </w:rPr>
      </w:pPr>
    </w:p>
    <w:p w14:paraId="61FAE583"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322. </w:t>
      </w:r>
      <w:r w:rsidRPr="005C5CBD">
        <w:rPr>
          <w:rFonts w:ascii="Garamond" w:eastAsia="Times New Roman" w:hAnsi="Garamond" w:cs="Calibri"/>
          <w:sz w:val="24"/>
          <w:szCs w:val="24"/>
          <w:lang w:eastAsia="pt-BR"/>
        </w:rPr>
        <w:t>A</w:t>
      </w:r>
      <w:r w:rsidRPr="005C5CBD" w:rsidDel="00D1273D">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petição de revisão acelerada deverá conter:</w:t>
      </w:r>
    </w:p>
    <w:p w14:paraId="7143B498"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4D741B89"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informações referentes à razão social, endereço completo, telefone e endereço eletrônico do peticionário; e</w:t>
      </w:r>
    </w:p>
    <w:p w14:paraId="7A513B65"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19608FB9"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nome, função, endereço completo, telefone e endereço eletrônico do representante legal do peticionário junto à Subsecretaria de Defesa Comercial e Interesse Público.</w:t>
      </w:r>
    </w:p>
    <w:p w14:paraId="287673C4"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6343EB96"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323. </w:t>
      </w:r>
      <w:r w:rsidRPr="005C5CBD">
        <w:rPr>
          <w:rFonts w:ascii="Garamond" w:eastAsia="Times New Roman" w:hAnsi="Garamond" w:cs="Calibri"/>
          <w:sz w:val="24"/>
          <w:szCs w:val="24"/>
          <w:lang w:eastAsia="pt-BR"/>
        </w:rPr>
        <w:t>Caso o peticionário seja apenas exportador e não o produtor do produto sujeito ao direito compensatório, deverá incluir em seu pedido, além das informações do exportador:</w:t>
      </w:r>
    </w:p>
    <w:p w14:paraId="3FB1BAF9"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205EC85D"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informações referentes à razão social, endereço completo, telefone e endereço eletrônico do produtor;</w:t>
      </w:r>
    </w:p>
    <w:p w14:paraId="6F394C75"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043718F2"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 - declaração do produtor de que irá colaborar plenamente com a revisão, tanto no que se refere ao fornecimento dos dados solicitados como à concordância com a realização de verificação </w:t>
      </w:r>
      <w:r w:rsidRPr="005C5CBD">
        <w:rPr>
          <w:rFonts w:ascii="Garamond" w:eastAsia="Times New Roman" w:hAnsi="Garamond" w:cs="Calibri"/>
          <w:b/>
          <w:sz w:val="24"/>
          <w:szCs w:val="24"/>
          <w:lang w:eastAsia="pt-BR"/>
        </w:rPr>
        <w:t>in loco</w:t>
      </w:r>
      <w:r w:rsidRPr="005C5CBD">
        <w:rPr>
          <w:rFonts w:ascii="Garamond" w:eastAsia="Times New Roman" w:hAnsi="Garamond" w:cs="Calibri"/>
          <w:sz w:val="24"/>
          <w:szCs w:val="24"/>
          <w:lang w:eastAsia="pt-BR"/>
        </w:rPr>
        <w:t>.</w:t>
      </w:r>
    </w:p>
    <w:p w14:paraId="50C4B9E1"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261BCEE5"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1º  Na hipótese do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 as informações constantes da petição deverão ser completas e cobrir tanto as operações do produtor como do exportador.</w:t>
      </w:r>
    </w:p>
    <w:p w14:paraId="13DCFF16"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2032A4F1" w14:textId="17DB41AE"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Caso o produtor e o exportador sejam partes relacionadas ou associadas nos termos do art.</w:t>
      </w:r>
      <w:r w:rsidRPr="005C5CBD" w:rsidDel="00437AC7">
        <w:rPr>
          <w:rFonts w:ascii="Garamond" w:eastAsia="Times New Roman" w:hAnsi="Garamond" w:cs="Calibri"/>
          <w:sz w:val="24"/>
          <w:szCs w:val="24"/>
          <w:lang w:eastAsia="pt-BR"/>
        </w:rPr>
        <w:t xml:space="preserve"> </w:t>
      </w:r>
      <w:r w:rsidR="002A3D1B">
        <w:rPr>
          <w:rFonts w:ascii="Garamond" w:eastAsia="Times New Roman" w:hAnsi="Garamond" w:cs="Calibri"/>
          <w:sz w:val="24"/>
          <w:szCs w:val="24"/>
          <w:lang w:eastAsia="pt-BR"/>
        </w:rPr>
        <w:t>12</w:t>
      </w:r>
      <w:r w:rsidRPr="005C5CBD">
        <w:rPr>
          <w:rFonts w:ascii="Garamond" w:eastAsia="Times New Roman" w:hAnsi="Garamond" w:cs="Calibri"/>
          <w:sz w:val="24"/>
          <w:szCs w:val="24"/>
          <w:lang w:eastAsia="pt-BR"/>
        </w:rPr>
        <w:t xml:space="preserve"> deverão ser apresentados elementos que comprovem a relação ou associação, sob pena de a petição ser sumariamente indeferida. </w:t>
      </w:r>
    </w:p>
    <w:p w14:paraId="51EE82FF" w14:textId="77777777" w:rsidR="00395593" w:rsidRPr="005C5CBD" w:rsidRDefault="00395593" w:rsidP="001F6CA2">
      <w:pPr>
        <w:spacing w:after="0" w:line="240" w:lineRule="auto"/>
        <w:ind w:right="-199" w:firstLine="567"/>
        <w:jc w:val="center"/>
        <w:rPr>
          <w:rFonts w:ascii="Garamond" w:eastAsia="Times New Roman" w:hAnsi="Garamond" w:cs="Calibri"/>
          <w:b/>
          <w:sz w:val="24"/>
          <w:szCs w:val="24"/>
          <w:lang w:eastAsia="pt-BR"/>
        </w:rPr>
      </w:pPr>
    </w:p>
    <w:p w14:paraId="46245B7C"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324.</w:t>
      </w:r>
      <w:r w:rsidRPr="005C5CBD" w:rsidDel="00671B8F">
        <w:rPr>
          <w:rFonts w:ascii="Garamond" w:eastAsia="Calibri" w:hAnsi="Garamond" w:cs="Calibri"/>
          <w:sz w:val="24"/>
          <w:szCs w:val="24"/>
          <w:lang w:eastAsia="pt-BR"/>
        </w:rPr>
        <w:t xml:space="preserve"> </w:t>
      </w:r>
      <w:r w:rsidRPr="005C5CBD">
        <w:rPr>
          <w:rFonts w:ascii="Garamond" w:eastAsia="Times New Roman" w:hAnsi="Garamond" w:cs="Calibri"/>
          <w:sz w:val="24"/>
          <w:szCs w:val="24"/>
          <w:lang w:eastAsia="pt-BR"/>
        </w:rPr>
        <w:t xml:space="preserve">O peticionário deverá também informar na petição se o produto objeto do direito compensatório se beneficia indiretamente da concessão de subsídios, por meio de contribuição financeira concedida pelo governo ou órgão público a outras empresas, sejam tais empresas partes relacionadas ou associadas ao peticionário ou não. </w:t>
      </w:r>
    </w:p>
    <w:p w14:paraId="7BD67EA2"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6EC4FDD7"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1º  A petição deverá incluir informações referentes à razão social, endereço completo, telefone e endereço eletrônico das empresas identificadas nos termos do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 xml:space="preserve">. </w:t>
      </w:r>
    </w:p>
    <w:p w14:paraId="164B1E04"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5ACB2B23"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2º  O peticionário deverá indicar de que forma a contribuição financeira recebida do governo ou órgão público por terceiros beneficia a produção ou a exportação do produto objeto do direito compensatório. </w:t>
      </w:r>
    </w:p>
    <w:p w14:paraId="3F42B395"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7CF03B1C"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3º Poderão ser incluídos no cálculo de montante individual de subsídios do peticionário os subsídios a montante.</w:t>
      </w:r>
    </w:p>
    <w:p w14:paraId="2718952A"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751F26A0"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4º  O peticionário deverá indicar se é relacionado ou associado a qualquer parte interessada identificada na investigação ou revisão </w:t>
      </w:r>
      <w:r w:rsidRPr="005C5CBD">
        <w:rPr>
          <w:rFonts w:ascii="Garamond" w:eastAsia="Times New Roman" w:hAnsi="Garamond" w:cs="Calibri"/>
          <w:color w:val="000000"/>
          <w:sz w:val="24"/>
          <w:szCs w:val="24"/>
          <w:lang w:eastAsia="pt-BR"/>
        </w:rPr>
        <w:t>que aplicou, alterou, prorrogou ou estendeu o direito compensatório</w:t>
      </w:r>
      <w:r w:rsidRPr="005C5CBD">
        <w:rPr>
          <w:rFonts w:ascii="Garamond" w:eastAsia="Times New Roman" w:hAnsi="Garamond" w:cs="Calibri"/>
          <w:sz w:val="24"/>
          <w:szCs w:val="24"/>
          <w:lang w:eastAsia="pt-BR"/>
        </w:rPr>
        <w:t xml:space="preserve">. </w:t>
      </w:r>
    </w:p>
    <w:p w14:paraId="4719B512"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40445193"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§5º  Serão indeferidas petições de revisão acelerada apresentadas por peticionário relacionado ou associado a produtor ou exportador sujeito a direito compensatório individualmente apurado.   </w:t>
      </w:r>
    </w:p>
    <w:p w14:paraId="17FA4CAC"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785C14E8"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Seção III</w:t>
      </w:r>
    </w:p>
    <w:p w14:paraId="7F9B11D9" w14:textId="77777777" w:rsidR="00395593" w:rsidRPr="005C5CBD" w:rsidRDefault="00395593" w:rsidP="00C3469C">
      <w:pPr>
        <w:pStyle w:val="Corpodetexto"/>
        <w:jc w:val="center"/>
        <w:rPr>
          <w:lang w:eastAsia="pt-BR"/>
        </w:rPr>
      </w:pPr>
      <w:r w:rsidRPr="0008528B">
        <w:rPr>
          <w:rFonts w:ascii="Garamond" w:hAnsi="Garamond"/>
          <w:b/>
          <w:lang w:eastAsia="pt-BR"/>
        </w:rPr>
        <w:t>Do produto objeto do direito compensatório</w:t>
      </w:r>
    </w:p>
    <w:p w14:paraId="7B089E8D" w14:textId="77777777" w:rsidR="00395593" w:rsidRPr="005C5CBD" w:rsidRDefault="00395593" w:rsidP="00E15FBB">
      <w:pPr>
        <w:autoSpaceDE w:val="0"/>
        <w:autoSpaceDN w:val="0"/>
        <w:adjustRightInd w:val="0"/>
        <w:spacing w:after="0" w:line="240" w:lineRule="auto"/>
        <w:jc w:val="center"/>
        <w:rPr>
          <w:rFonts w:ascii="Garamond" w:eastAsia="Times New Roman" w:hAnsi="Garamond" w:cs="Calibri"/>
          <w:b/>
          <w:color w:val="000000"/>
          <w:sz w:val="24"/>
          <w:szCs w:val="24"/>
          <w:lang w:eastAsia="pt-BR"/>
        </w:rPr>
      </w:pPr>
    </w:p>
    <w:p w14:paraId="14B776A5"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325. </w:t>
      </w:r>
      <w:r w:rsidRPr="005C5CBD">
        <w:rPr>
          <w:rFonts w:ascii="Garamond" w:eastAsia="Times New Roman" w:hAnsi="Garamond" w:cs="Calibri"/>
          <w:color w:val="000000"/>
          <w:sz w:val="24"/>
          <w:szCs w:val="24"/>
          <w:lang w:eastAsia="pt-BR"/>
        </w:rPr>
        <w:t>O peticionário deve apresentar</w:t>
      </w:r>
      <w:r w:rsidRPr="005C5CBD">
        <w:rPr>
          <w:rFonts w:ascii="Garamond" w:eastAsia="Times New Roman" w:hAnsi="Garamond" w:cs="Calibri"/>
          <w:b/>
          <w:color w:val="000000"/>
          <w:sz w:val="24"/>
          <w:szCs w:val="24"/>
          <w:lang w:eastAsia="pt-BR"/>
        </w:rPr>
        <w:t xml:space="preserve"> </w:t>
      </w:r>
      <w:r w:rsidRPr="005C5CBD">
        <w:rPr>
          <w:rFonts w:ascii="Garamond" w:eastAsia="Times New Roman" w:hAnsi="Garamond" w:cs="Calibri"/>
          <w:color w:val="000000"/>
          <w:sz w:val="24"/>
          <w:szCs w:val="24"/>
          <w:lang w:eastAsia="pt-BR"/>
        </w:rPr>
        <w:t>descrição do produto objeto do direito, indicando os itens da Nomenclatura Comum do MERCOSUL (NCM) em que se classifica o produto, de acordo com o definido no ato que aplicou ou prorrogou o direito compensatório.</w:t>
      </w:r>
    </w:p>
    <w:p w14:paraId="5D4F4F50"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 </w:t>
      </w:r>
    </w:p>
    <w:p w14:paraId="46A292D1"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b/>
          <w:color w:val="000000"/>
          <w:sz w:val="24"/>
          <w:szCs w:val="24"/>
          <w:lang w:eastAsia="pt-BR"/>
        </w:rPr>
      </w:pPr>
      <w:r w:rsidRPr="005C5CBD">
        <w:rPr>
          <w:rFonts w:ascii="Garamond" w:eastAsia="Times New Roman" w:hAnsi="Garamond" w:cs="Calibri"/>
          <w:color w:val="000000"/>
          <w:sz w:val="24"/>
          <w:szCs w:val="24"/>
          <w:lang w:eastAsia="pt-BR"/>
        </w:rPr>
        <w:t>Parágrafo único. A petição deve indicar o tratamento tarifário durante o período de revisão.</w:t>
      </w:r>
    </w:p>
    <w:p w14:paraId="65E74533" w14:textId="77777777" w:rsidR="00395593" w:rsidRPr="005C5CBD" w:rsidRDefault="00395593" w:rsidP="001F6CA2">
      <w:pPr>
        <w:autoSpaceDE w:val="0"/>
        <w:autoSpaceDN w:val="0"/>
        <w:adjustRightInd w:val="0"/>
        <w:spacing w:after="0" w:line="240" w:lineRule="auto"/>
        <w:ind w:firstLine="567"/>
        <w:jc w:val="center"/>
        <w:rPr>
          <w:rFonts w:ascii="Garamond" w:eastAsia="Times New Roman" w:hAnsi="Garamond" w:cs="Calibri"/>
          <w:b/>
          <w:color w:val="000000"/>
          <w:sz w:val="24"/>
          <w:szCs w:val="24"/>
          <w:lang w:eastAsia="pt-BR"/>
        </w:rPr>
      </w:pPr>
    </w:p>
    <w:p w14:paraId="7456973B"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326. </w:t>
      </w:r>
      <w:r w:rsidRPr="005C5CBD">
        <w:rPr>
          <w:rFonts w:ascii="Garamond" w:eastAsia="Times New Roman" w:hAnsi="Garamond" w:cs="Calibri"/>
          <w:color w:val="000000"/>
          <w:sz w:val="24"/>
          <w:szCs w:val="24"/>
          <w:lang w:eastAsia="pt-BR"/>
        </w:rPr>
        <w:t>A petição deverá indicar o ato que aplicou ou prorrogou a aplicação direito compensatório às importações do produto objeto do direito.</w:t>
      </w:r>
    </w:p>
    <w:p w14:paraId="38F4AD3E"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1DA6F247"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Seção IV</w:t>
      </w:r>
    </w:p>
    <w:p w14:paraId="28A93D99" w14:textId="77777777" w:rsidR="00395593" w:rsidRPr="005C5CBD" w:rsidRDefault="00395593" w:rsidP="00C3469C">
      <w:pPr>
        <w:pStyle w:val="Corpodetexto"/>
        <w:jc w:val="center"/>
        <w:rPr>
          <w:lang w:eastAsia="pt-BR"/>
        </w:rPr>
      </w:pPr>
      <w:r w:rsidRPr="0008528B">
        <w:rPr>
          <w:rFonts w:ascii="Garamond" w:hAnsi="Garamond"/>
          <w:b/>
          <w:lang w:eastAsia="pt-BR"/>
        </w:rPr>
        <w:t>Das informações necessárias para a apuração do montante individual de subsídios</w:t>
      </w:r>
    </w:p>
    <w:p w14:paraId="7FACEC12" w14:textId="77777777" w:rsidR="00395593" w:rsidRPr="005C5CBD" w:rsidRDefault="00395593" w:rsidP="001F6CA2">
      <w:pPr>
        <w:shd w:val="clear" w:color="auto" w:fill="FFFFFF"/>
        <w:spacing w:before="100" w:beforeAutospacing="1" w:after="100" w:afterAutospacing="1"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327. </w:t>
      </w:r>
      <w:r w:rsidRPr="005C5CBD">
        <w:rPr>
          <w:rFonts w:ascii="Garamond" w:eastAsia="Times New Roman" w:hAnsi="Garamond" w:cs="Calibri"/>
          <w:color w:val="000000"/>
          <w:sz w:val="24"/>
          <w:szCs w:val="24"/>
          <w:lang w:eastAsia="pt-BR"/>
        </w:rPr>
        <w:t xml:space="preserve">Com vistas a possibilitar a determinação de forma célere do montante individual de subsídios, o peticionário deverá apresentar resposta completa ao questionário do produtor/exportador da investigação que aplicou, alterou ou prorrogou o direito compensatório objeto da revisão acelerada. </w:t>
      </w:r>
    </w:p>
    <w:p w14:paraId="27E97869"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1º  O questionário do produtor/exportador deverá conter informações referentes às empresas identificadas de acordo com o disposto na Seção II deste Capítulo.</w:t>
      </w:r>
    </w:p>
    <w:p w14:paraId="42BD1003"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6A1C21F2"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 2º  Caso o produtor ou exportador tenha exportado ao longo do período de investigação de existência de subsídio da investigação original, a petição deverá ser instruída com dados referentes a tal período, conforme indicado no referido processo administrativo. </w:t>
      </w:r>
    </w:p>
    <w:p w14:paraId="544F3F78"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7F42B069"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 3º  O peticionário poderá utilizar questionário do produtor/exportador voluntariamente apresentado no âmbito da investigação referida do </w:t>
      </w:r>
      <w:r w:rsidRPr="005C5CBD">
        <w:rPr>
          <w:rFonts w:ascii="Garamond" w:eastAsia="Times New Roman" w:hAnsi="Garamond" w:cs="Calibri"/>
          <w:b/>
          <w:color w:val="000000"/>
          <w:sz w:val="24"/>
          <w:szCs w:val="24"/>
          <w:lang w:eastAsia="pt-BR"/>
        </w:rPr>
        <w:t>caput</w:t>
      </w:r>
      <w:r w:rsidRPr="005C5CBD">
        <w:rPr>
          <w:rFonts w:ascii="Garamond" w:eastAsia="Times New Roman" w:hAnsi="Garamond" w:cs="Calibri"/>
          <w:color w:val="000000"/>
          <w:sz w:val="24"/>
          <w:szCs w:val="24"/>
          <w:lang w:eastAsia="pt-BR"/>
        </w:rPr>
        <w:t>, caso a resposta ao questionário não tenha sido utilizada para apuração de direito compensatório individual</w:t>
      </w:r>
      <w:r w:rsidRPr="005C5CBD">
        <w:rPr>
          <w:rFonts w:ascii="Garamond" w:eastAsia="Times New Roman" w:hAnsi="Garamond" w:cs="Calibri"/>
          <w:sz w:val="24"/>
          <w:szCs w:val="24"/>
          <w:lang w:eastAsia="pt-BR"/>
        </w:rPr>
        <w:t xml:space="preserve">. </w:t>
      </w:r>
      <w:r w:rsidRPr="005C5CBD">
        <w:rPr>
          <w:rFonts w:ascii="Garamond" w:eastAsia="Times New Roman" w:hAnsi="Garamond" w:cs="Calibri"/>
          <w:color w:val="000000"/>
          <w:sz w:val="24"/>
          <w:szCs w:val="24"/>
          <w:lang w:eastAsia="pt-BR"/>
        </w:rPr>
        <w:t xml:space="preserve"> </w:t>
      </w:r>
    </w:p>
    <w:p w14:paraId="3C76B9D6"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31C40CCD"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sz w:val="24"/>
          <w:szCs w:val="24"/>
          <w:highlight w:val="yellow"/>
          <w:lang w:eastAsia="pt-BR"/>
        </w:rPr>
      </w:pPr>
      <w:r w:rsidRPr="005C5CBD">
        <w:rPr>
          <w:rFonts w:ascii="Garamond" w:eastAsia="Times New Roman" w:hAnsi="Garamond" w:cs="Calibri"/>
          <w:color w:val="000000"/>
          <w:sz w:val="24"/>
          <w:szCs w:val="24"/>
          <w:lang w:eastAsia="pt-BR"/>
        </w:rPr>
        <w:t xml:space="preserve">§ 4º </w:t>
      </w:r>
      <w:r w:rsidRPr="005C5CBD">
        <w:rPr>
          <w:rFonts w:ascii="Garamond" w:eastAsia="Times New Roman" w:hAnsi="Garamond" w:cs="Calibri"/>
          <w:sz w:val="24"/>
          <w:szCs w:val="24"/>
          <w:lang w:eastAsia="pt-BR"/>
        </w:rPr>
        <w:t xml:space="preserve">A parte interessada poderá solicitar à </w:t>
      </w:r>
      <w:r w:rsidRPr="005C5CBD">
        <w:rPr>
          <w:rFonts w:ascii="Garamond" w:eastAsia="Calibri" w:hAnsi="Garamond" w:cs="Calibri"/>
          <w:sz w:val="24"/>
          <w:szCs w:val="24"/>
          <w:lang w:eastAsia="pt-BR"/>
        </w:rPr>
        <w:t>Subsecretaria de Defesa Comercial e Interesse Público</w:t>
      </w:r>
      <w:r w:rsidRPr="005C5CBD">
        <w:rPr>
          <w:rFonts w:ascii="Garamond" w:eastAsia="Times New Roman" w:hAnsi="Garamond" w:cs="Calibri"/>
          <w:sz w:val="24"/>
          <w:szCs w:val="24"/>
          <w:lang w:eastAsia="pt-BR"/>
        </w:rPr>
        <w:t xml:space="preserve"> o encaminhamento do questionário a que se refere o </w:t>
      </w:r>
      <w:r w:rsidRPr="005C5CBD">
        <w:rPr>
          <w:rFonts w:ascii="Garamond" w:eastAsia="Times New Roman" w:hAnsi="Garamond" w:cs="Calibri"/>
          <w:b/>
          <w:bCs/>
          <w:sz w:val="24"/>
          <w:szCs w:val="24"/>
          <w:lang w:eastAsia="pt-BR"/>
        </w:rPr>
        <w:t>caput</w:t>
      </w:r>
      <w:r w:rsidRPr="005C5CBD">
        <w:rPr>
          <w:rFonts w:ascii="Garamond" w:eastAsia="Times New Roman" w:hAnsi="Garamond" w:cs="Calibri"/>
          <w:sz w:val="24"/>
          <w:szCs w:val="24"/>
          <w:lang w:eastAsia="pt-BR"/>
        </w:rPr>
        <w:t>.</w:t>
      </w:r>
    </w:p>
    <w:p w14:paraId="492BE7F1" w14:textId="77777777" w:rsidR="00395593" w:rsidRPr="005C5CBD" w:rsidRDefault="00395593" w:rsidP="00E15FBB">
      <w:pPr>
        <w:autoSpaceDE w:val="0"/>
        <w:autoSpaceDN w:val="0"/>
        <w:adjustRightInd w:val="0"/>
        <w:spacing w:after="0" w:line="240" w:lineRule="auto"/>
        <w:jc w:val="both"/>
        <w:rPr>
          <w:rFonts w:ascii="Garamond" w:eastAsia="Times New Roman" w:hAnsi="Garamond" w:cs="Calibri"/>
          <w:color w:val="000000"/>
          <w:sz w:val="24"/>
          <w:szCs w:val="24"/>
          <w:lang w:eastAsia="pt-BR"/>
        </w:rPr>
      </w:pPr>
    </w:p>
    <w:p w14:paraId="346DEFBA"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5º A Subsecretaria de Defesa Comercial e Interesse Público poderá solicitar informações complementares ao peticionário, que devem ser encaminhadas no prazo improrrogável de cinco dias, contado da data de ciência da solicitação.</w:t>
      </w:r>
    </w:p>
    <w:p w14:paraId="789290FA"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29D0C1EE" w14:textId="6153ACCC"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328. </w:t>
      </w:r>
      <w:r w:rsidRPr="005C5CBD">
        <w:rPr>
          <w:rFonts w:ascii="Garamond" w:eastAsia="Times New Roman" w:hAnsi="Garamond" w:cs="Calibri"/>
          <w:color w:val="000000"/>
          <w:sz w:val="24"/>
          <w:szCs w:val="24"/>
          <w:lang w:eastAsia="pt-BR"/>
        </w:rPr>
        <w:t xml:space="preserve">Caso o peticionário não tenha exportado ao longo do período de investigação de existência de subsídio da investigação ou revisão que aplicou, alterou ou prorrogou o direito compensatório objeto da revisão acelerada, mas exportou em momento posterior, a petição deverá ser instruída com dados referentes ao período de tempo transcorrido desde o encerramento do período de investigação da referida investigação até quatro meses antes do protocolo da petição, considerado como período de revisão para a revisão acelerada, utilizando-se do formato do questionário referido no art. </w:t>
      </w:r>
      <w:r w:rsidR="002A3D1B">
        <w:rPr>
          <w:rFonts w:ascii="Garamond" w:eastAsia="Times New Roman" w:hAnsi="Garamond" w:cs="Calibri"/>
          <w:color w:val="000000"/>
          <w:sz w:val="24"/>
          <w:szCs w:val="24"/>
          <w:lang w:eastAsia="pt-BR"/>
        </w:rPr>
        <w:t>327</w:t>
      </w:r>
    </w:p>
    <w:p w14:paraId="48AC8BB8" w14:textId="77777777" w:rsidR="00395593" w:rsidRPr="005C5CBD" w:rsidRDefault="00395593" w:rsidP="001F6CA2">
      <w:pPr>
        <w:tabs>
          <w:tab w:val="left" w:pos="9170"/>
        </w:tabs>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ab/>
      </w:r>
    </w:p>
    <w:p w14:paraId="1E78FDE5"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 1º  Na hipótese do </w:t>
      </w:r>
      <w:r w:rsidRPr="005C5CBD">
        <w:rPr>
          <w:rFonts w:ascii="Garamond" w:eastAsia="Times New Roman" w:hAnsi="Garamond" w:cs="Calibri"/>
          <w:b/>
          <w:color w:val="000000"/>
          <w:sz w:val="24"/>
          <w:szCs w:val="24"/>
          <w:lang w:eastAsia="pt-BR"/>
        </w:rPr>
        <w:t>caput</w:t>
      </w:r>
      <w:r w:rsidRPr="005C5CBD">
        <w:rPr>
          <w:rFonts w:ascii="Garamond" w:eastAsia="Times New Roman" w:hAnsi="Garamond" w:cs="Calibri"/>
          <w:color w:val="000000"/>
          <w:sz w:val="24"/>
          <w:szCs w:val="24"/>
          <w:lang w:eastAsia="pt-BR"/>
        </w:rPr>
        <w:t xml:space="preserve">, o período de revisão deverá compreender no mínimo um período de 12 (meses), e, preferencialmente, </w:t>
      </w:r>
      <w:r w:rsidRPr="005C5CBD">
        <w:rPr>
          <w:rFonts w:ascii="Garamond" w:eastAsia="Times New Roman" w:hAnsi="Garamond" w:cs="Calibri"/>
          <w:sz w:val="24"/>
          <w:szCs w:val="24"/>
          <w:lang w:eastAsia="pt-BR"/>
        </w:rPr>
        <w:t>poderá ser organizado de forma a coincidir ou reconciliar com o ano fiscal vigente no país exportador, para o qual estejam disponíveis dados financeiros consolidados e outros dados contábeis confiáveis no país exportador.</w:t>
      </w:r>
    </w:p>
    <w:p w14:paraId="22B0EAD2"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782D4FB4"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color w:val="000000"/>
          <w:sz w:val="24"/>
          <w:szCs w:val="24"/>
          <w:lang w:eastAsia="pt-BR"/>
        </w:rPr>
        <w:t xml:space="preserve">§ 2º  O produtor ou exportador deverá apresentar os dados organizados em intervalos de tempo equivalentes, preferencialmente de doze meses, </w:t>
      </w:r>
      <w:r w:rsidRPr="005C5CBD">
        <w:rPr>
          <w:rFonts w:ascii="Garamond" w:eastAsia="Times New Roman" w:hAnsi="Garamond" w:cs="Calibri"/>
          <w:sz w:val="24"/>
          <w:szCs w:val="24"/>
          <w:lang w:eastAsia="pt-BR"/>
        </w:rPr>
        <w:t>e terá até o último dia útil do quarto mês subsequente ao encerramento do período de revisão proposto para protocolar a petição.</w:t>
      </w:r>
    </w:p>
    <w:p w14:paraId="7D57AF49"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sz w:val="24"/>
          <w:szCs w:val="24"/>
          <w:lang w:eastAsia="pt-BR"/>
        </w:rPr>
      </w:pPr>
    </w:p>
    <w:p w14:paraId="27EC9050" w14:textId="7DC26F0A"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color w:val="000000"/>
          <w:sz w:val="24"/>
          <w:szCs w:val="24"/>
          <w:lang w:eastAsia="pt-BR"/>
        </w:rPr>
        <w:t xml:space="preserve">§ 3º  Caso o direito compensatório já tenha sido objeto de revisão de final de período, o peticionário deverá explicar os motivos pelos quais não foi possível solicitar tempestivamente revisão por alteração das circunstâncias para fins de alteração do montante de direito compensatório, conforme previsto no art. </w:t>
      </w:r>
      <w:r w:rsidR="002A3D1B">
        <w:rPr>
          <w:rFonts w:ascii="Garamond" w:eastAsia="Times New Roman" w:hAnsi="Garamond" w:cs="Calibri"/>
          <w:color w:val="000000"/>
          <w:sz w:val="24"/>
          <w:szCs w:val="24"/>
          <w:lang w:eastAsia="pt-BR"/>
        </w:rPr>
        <w:t>255</w:t>
      </w:r>
      <w:r w:rsidR="00E15FBB" w:rsidRPr="005C5CBD">
        <w:rPr>
          <w:rFonts w:ascii="Garamond" w:eastAsia="Times New Roman" w:hAnsi="Garamond" w:cs="Calibri"/>
          <w:color w:val="000000"/>
          <w:sz w:val="24"/>
          <w:szCs w:val="24"/>
          <w:lang w:eastAsia="pt-BR"/>
        </w:rPr>
        <w:t xml:space="preserve"> (</w:t>
      </w:r>
      <w:r w:rsidR="00E15FBB" w:rsidRPr="005C5CBD">
        <w:rPr>
          <w:rFonts w:ascii="Garamond" w:eastAsia="Times New Roman" w:hAnsi="Garamond" w:cs="Calibri"/>
          <w:b/>
          <w:color w:val="000000"/>
          <w:sz w:val="24"/>
          <w:szCs w:val="24"/>
          <w:lang w:eastAsia="pt-BR"/>
        </w:rPr>
        <w:t>e.g.</w:t>
      </w:r>
      <w:r w:rsidR="00E15FBB" w:rsidRPr="005C5CBD">
        <w:rPr>
          <w:rFonts w:ascii="Garamond" w:eastAsia="Times New Roman" w:hAnsi="Garamond" w:cs="Calibri"/>
          <w:color w:val="000000"/>
          <w:sz w:val="24"/>
          <w:szCs w:val="24"/>
          <w:lang w:eastAsia="pt-BR"/>
        </w:rPr>
        <w:t>,</w:t>
      </w:r>
      <w:r w:rsidRPr="005C5CBD">
        <w:rPr>
          <w:rFonts w:ascii="Garamond" w:eastAsia="Times New Roman" w:hAnsi="Garamond" w:cs="Calibri"/>
          <w:color w:val="000000"/>
          <w:sz w:val="24"/>
          <w:szCs w:val="24"/>
          <w:lang w:eastAsia="pt-BR"/>
        </w:rPr>
        <w:t xml:space="preserve"> não foi parte interessada identificada na revisão ou apenas iniciou suas operações posteriormente).</w:t>
      </w:r>
    </w:p>
    <w:p w14:paraId="39690C3A"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sz w:val="24"/>
          <w:szCs w:val="24"/>
          <w:lang w:eastAsia="pt-BR"/>
        </w:rPr>
      </w:pPr>
    </w:p>
    <w:p w14:paraId="0E06EBA2"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 4º  O peticionário deverá apresentar dados referentes a todos os programas de subsídios que beneficiaram sua produção e suas vendas, direta ou indiretamente, sejam esses programas conhecidos e anteriormente identificados pela autoridade investigadora ou não. </w:t>
      </w:r>
    </w:p>
    <w:p w14:paraId="3A8A622B"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69E4EDED"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 5º  O peticionário deverá, caso não tenha se beneficiado de algum dos programas identificados no processo anterior (investigação ou revisão de final de período), informar as razões pelas quais não foi beneficiado por cada um desses programas. </w:t>
      </w:r>
    </w:p>
    <w:p w14:paraId="0E8882EE"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2613922B"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§6º A Subsecretaria de Defesa Comercial e Interesse Público poderá solicitar informações complementares ao peticionário, que devem ser encaminhadas no prazo improrrogável de cinco dias, contado da data de ciência da solicitação.</w:t>
      </w:r>
    </w:p>
    <w:p w14:paraId="57DB4DD1" w14:textId="77777777" w:rsidR="00395593" w:rsidRPr="005C5CBD" w:rsidRDefault="00395593" w:rsidP="00E15FBB">
      <w:pPr>
        <w:autoSpaceDE w:val="0"/>
        <w:autoSpaceDN w:val="0"/>
        <w:adjustRightInd w:val="0"/>
        <w:spacing w:after="0" w:line="240" w:lineRule="auto"/>
        <w:jc w:val="both"/>
        <w:rPr>
          <w:rFonts w:ascii="Garamond" w:eastAsia="Times New Roman" w:hAnsi="Garamond" w:cs="Calibri"/>
          <w:color w:val="000000"/>
          <w:sz w:val="24"/>
          <w:szCs w:val="24"/>
          <w:lang w:eastAsia="pt-BR"/>
        </w:rPr>
      </w:pPr>
    </w:p>
    <w:p w14:paraId="13452EBC"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 xml:space="preserve">Seção </w:t>
      </w:r>
      <w:r w:rsidRPr="0008528B">
        <w:rPr>
          <w:rFonts w:ascii="Garamond" w:hAnsi="Garamond"/>
          <w:b/>
          <w:color w:val="000000"/>
          <w:lang w:eastAsia="pt-BR"/>
        </w:rPr>
        <w:t>V</w:t>
      </w:r>
    </w:p>
    <w:p w14:paraId="601E93AC" w14:textId="3C665D58" w:rsidR="00395593" w:rsidRPr="005C5CBD" w:rsidRDefault="00395593" w:rsidP="00C3469C">
      <w:pPr>
        <w:pStyle w:val="Corpodetexto"/>
        <w:jc w:val="center"/>
        <w:rPr>
          <w:lang w:eastAsia="pt-BR"/>
        </w:rPr>
      </w:pPr>
      <w:r w:rsidRPr="0008528B">
        <w:rPr>
          <w:rFonts w:ascii="Garamond" w:hAnsi="Garamond"/>
          <w:b/>
          <w:lang w:eastAsia="pt-BR"/>
        </w:rPr>
        <w:t>Do compromisso de</w:t>
      </w:r>
      <w:r w:rsidRPr="0008528B">
        <w:rPr>
          <w:rFonts w:ascii="Garamond" w:hAnsi="Garamond"/>
          <w:b/>
          <w:color w:val="000000"/>
          <w:lang w:eastAsia="pt-BR"/>
        </w:rPr>
        <w:t xml:space="preserve"> cooperação do governo do país exportador</w:t>
      </w:r>
    </w:p>
    <w:p w14:paraId="1014223A" w14:textId="77777777" w:rsidR="00395593" w:rsidRPr="005C5CBD" w:rsidRDefault="00395593" w:rsidP="00E15FBB">
      <w:pPr>
        <w:autoSpaceDE w:val="0"/>
        <w:autoSpaceDN w:val="0"/>
        <w:adjustRightInd w:val="0"/>
        <w:spacing w:after="0" w:line="240" w:lineRule="auto"/>
        <w:jc w:val="both"/>
        <w:rPr>
          <w:rFonts w:ascii="Garamond" w:eastAsia="Times New Roman" w:hAnsi="Garamond" w:cs="Calibri"/>
          <w:color w:val="000000"/>
          <w:sz w:val="24"/>
          <w:szCs w:val="24"/>
          <w:lang w:eastAsia="pt-BR"/>
        </w:rPr>
      </w:pPr>
    </w:p>
    <w:p w14:paraId="6F71BE65"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329. Considerando o parágrafo único do art. 112 do Decreto nº 10.839, de 2021, </w:t>
      </w:r>
      <w:r w:rsidRPr="005C5CBD">
        <w:rPr>
          <w:rFonts w:ascii="Garamond" w:eastAsia="Times New Roman" w:hAnsi="Garamond" w:cs="Calibri"/>
          <w:sz w:val="24"/>
          <w:szCs w:val="24"/>
          <w:lang w:eastAsia="pt-BR"/>
        </w:rPr>
        <w:t>a petição deverá conter o apoio expresso do governo do país exportador em relação à condução da revisão acelerada com vistas à apuração do montante individual de subsídio pleiteada pelo peticionário</w:t>
      </w:r>
      <w:r w:rsidRPr="005C5CBD">
        <w:rPr>
          <w:rFonts w:ascii="Garamond" w:eastAsia="Times New Roman" w:hAnsi="Garamond" w:cs="Calibri"/>
          <w:color w:val="000000"/>
          <w:sz w:val="24"/>
          <w:szCs w:val="24"/>
          <w:lang w:eastAsia="pt-BR"/>
        </w:rPr>
        <w:t>.</w:t>
      </w:r>
    </w:p>
    <w:p w14:paraId="79A212C9"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59B7B103"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bookmarkStart w:id="149" w:name="_Hlk91155815"/>
      <w:r w:rsidRPr="005C5CBD">
        <w:rPr>
          <w:rFonts w:ascii="Garamond" w:eastAsia="Times New Roman" w:hAnsi="Garamond" w:cs="Calibri"/>
          <w:color w:val="000000"/>
          <w:sz w:val="24"/>
          <w:szCs w:val="24"/>
          <w:lang w:eastAsia="pt-BR"/>
        </w:rPr>
        <w:t xml:space="preserve">§ 1º  A petição deverá conter declaração expressa do governo de que apoia o pleito, responderá ao questionário e apresentará quaisquer informações solicitadas pela Subsecretaria de Defesa Comercial e Interesse Público com vistas a apurar os programas e os montantes de subsídios que beneficiaram o peticionário. </w:t>
      </w:r>
    </w:p>
    <w:bookmarkEnd w:id="149"/>
    <w:p w14:paraId="770EB400" w14:textId="77777777" w:rsidR="00395593" w:rsidRPr="005C5CBD" w:rsidRDefault="00395593" w:rsidP="00E15FBB">
      <w:pPr>
        <w:autoSpaceDE w:val="0"/>
        <w:autoSpaceDN w:val="0"/>
        <w:adjustRightInd w:val="0"/>
        <w:spacing w:after="0" w:line="240" w:lineRule="auto"/>
        <w:jc w:val="both"/>
        <w:rPr>
          <w:rFonts w:ascii="Garamond" w:eastAsia="Times New Roman" w:hAnsi="Garamond" w:cs="Calibri"/>
          <w:color w:val="000000"/>
          <w:sz w:val="24"/>
          <w:szCs w:val="24"/>
          <w:lang w:eastAsia="pt-BR"/>
        </w:rPr>
      </w:pPr>
    </w:p>
    <w:p w14:paraId="0A1C6422"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 2º  No curso da revisão, o governo do país exportador deverá apresentar informações referentes a programas de subsídios concedidos por todos os níveis de governo (central ou nacional, estadual ou provincial, local ou municipal etc.), conforme questionário a ser encaminhado pela </w:t>
      </w:r>
      <w:r w:rsidRPr="005C5CBD">
        <w:rPr>
          <w:rFonts w:ascii="Garamond" w:eastAsia="Times New Roman" w:hAnsi="Garamond" w:cs="Calibri"/>
          <w:sz w:val="24"/>
          <w:szCs w:val="24"/>
          <w:lang w:eastAsia="pt-BR"/>
        </w:rPr>
        <w:t>Subsecretaria de Defesa Comercial e Interesse Público</w:t>
      </w:r>
      <w:r w:rsidRPr="005C5CBD">
        <w:rPr>
          <w:rFonts w:ascii="Garamond" w:eastAsia="Times New Roman" w:hAnsi="Garamond" w:cs="Calibri"/>
          <w:color w:val="000000"/>
          <w:sz w:val="24"/>
          <w:szCs w:val="24"/>
          <w:lang w:eastAsia="pt-BR"/>
        </w:rPr>
        <w:t xml:space="preserve">.  </w:t>
      </w:r>
    </w:p>
    <w:p w14:paraId="7E3A10D7"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14A4F38E"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color w:val="000000"/>
          <w:sz w:val="24"/>
          <w:szCs w:val="24"/>
          <w:lang w:eastAsia="pt-BR"/>
        </w:rPr>
        <w:t xml:space="preserve">§ 3º  O governo do país exportador deverá indicar previamente sua concordância com a realização de verificações </w:t>
      </w:r>
      <w:r w:rsidRPr="005C5CBD">
        <w:rPr>
          <w:rFonts w:ascii="Garamond" w:eastAsia="Times New Roman" w:hAnsi="Garamond" w:cs="Calibri"/>
          <w:b/>
          <w:color w:val="000000"/>
          <w:sz w:val="24"/>
          <w:szCs w:val="24"/>
          <w:lang w:eastAsia="pt-BR"/>
        </w:rPr>
        <w:t>in loco</w:t>
      </w:r>
      <w:r w:rsidRPr="005C5CBD">
        <w:rPr>
          <w:rFonts w:ascii="Garamond" w:eastAsia="Times New Roman" w:hAnsi="Garamond" w:cs="Calibri"/>
          <w:color w:val="000000"/>
          <w:sz w:val="24"/>
          <w:szCs w:val="24"/>
          <w:lang w:eastAsia="pt-BR"/>
        </w:rPr>
        <w:t xml:space="preserve"> nas premissas do produtor ou exportador e, se necessário, no próprio governo</w:t>
      </w:r>
      <w:r w:rsidRPr="005C5CBD">
        <w:rPr>
          <w:rFonts w:ascii="Garamond" w:eastAsia="Times New Roman" w:hAnsi="Garamond" w:cs="Calibri"/>
          <w:sz w:val="24"/>
          <w:szCs w:val="24"/>
          <w:lang w:eastAsia="pt-BR"/>
        </w:rPr>
        <w:t>.</w:t>
      </w:r>
    </w:p>
    <w:p w14:paraId="17205459"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sz w:val="24"/>
          <w:szCs w:val="24"/>
          <w:lang w:eastAsia="pt-BR"/>
        </w:rPr>
      </w:pPr>
    </w:p>
    <w:p w14:paraId="4E5091EE"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4º Em caso de ausência de apoio expresso do governo do país exportador ao pleito do peticionário, a petição deverá conter prova de pedido formulado pelo exportador ao seu governo para obter apoio expresso, porém sem resposta positiva até o momento do protocolo da petição.</w:t>
      </w:r>
    </w:p>
    <w:p w14:paraId="03FB28C3"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sz w:val="24"/>
          <w:szCs w:val="24"/>
          <w:lang w:eastAsia="pt-BR"/>
        </w:rPr>
      </w:pPr>
    </w:p>
    <w:p w14:paraId="55577763"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5º A não apresentação de declaração de apoio expresso do governo do país exportador ao pleito do peticionário ou ausência de prova de pedido de apoio expresso do exportador ao seu governo ensejará o indeferimento da petição.</w:t>
      </w:r>
    </w:p>
    <w:p w14:paraId="178BF3CC" w14:textId="77777777" w:rsidR="00395593" w:rsidRPr="005C5CBD" w:rsidRDefault="00395593" w:rsidP="00E15FBB">
      <w:pPr>
        <w:autoSpaceDE w:val="0"/>
        <w:autoSpaceDN w:val="0"/>
        <w:adjustRightInd w:val="0"/>
        <w:spacing w:after="0" w:line="240" w:lineRule="auto"/>
        <w:jc w:val="both"/>
        <w:rPr>
          <w:rFonts w:ascii="Garamond" w:eastAsia="Times New Roman" w:hAnsi="Garamond" w:cs="Calibri"/>
          <w:color w:val="000000"/>
          <w:sz w:val="24"/>
          <w:szCs w:val="24"/>
          <w:lang w:eastAsia="pt-BR"/>
        </w:rPr>
      </w:pPr>
    </w:p>
    <w:p w14:paraId="6F14A2FC"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CAPÍTULO VII</w:t>
      </w:r>
    </w:p>
    <w:p w14:paraId="05BDA180"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DAS PETIÇÕES DE REVISÃO ANTICIRCUNVENÇÃO</w:t>
      </w:r>
    </w:p>
    <w:p w14:paraId="56E95A08" w14:textId="77777777" w:rsidR="00395593" w:rsidRPr="0008528B" w:rsidRDefault="00395593" w:rsidP="0008528B">
      <w:pPr>
        <w:pStyle w:val="Corpodetexto"/>
        <w:jc w:val="center"/>
        <w:rPr>
          <w:rFonts w:ascii="Garamond" w:hAnsi="Garamond"/>
          <w:b/>
          <w:lang w:eastAsia="pt-BR"/>
        </w:rPr>
      </w:pPr>
    </w:p>
    <w:p w14:paraId="512FB707" w14:textId="77777777" w:rsidR="00395593" w:rsidRPr="0008528B" w:rsidRDefault="00395593" w:rsidP="00C3469C">
      <w:pPr>
        <w:pStyle w:val="Corpodetexto"/>
        <w:jc w:val="center"/>
        <w:rPr>
          <w:rFonts w:ascii="Garamond" w:hAnsi="Garamond"/>
          <w:b/>
          <w:lang w:eastAsia="pt-BR"/>
        </w:rPr>
      </w:pPr>
      <w:r w:rsidRPr="0008528B">
        <w:rPr>
          <w:rFonts w:ascii="Garamond" w:hAnsi="Garamond"/>
          <w:b/>
          <w:lang w:eastAsia="pt-BR"/>
        </w:rPr>
        <w:t xml:space="preserve">Seção </w:t>
      </w:r>
      <w:r w:rsidRPr="0008528B">
        <w:rPr>
          <w:rFonts w:ascii="Garamond" w:hAnsi="Garamond"/>
          <w:b/>
          <w:color w:val="000000"/>
          <w:lang w:eastAsia="pt-BR"/>
        </w:rPr>
        <w:t>I</w:t>
      </w:r>
    </w:p>
    <w:p w14:paraId="2E8D6461" w14:textId="77777777" w:rsidR="00395593" w:rsidRPr="005C5CBD" w:rsidRDefault="00395593" w:rsidP="00C3469C">
      <w:pPr>
        <w:pStyle w:val="Corpodetexto"/>
        <w:jc w:val="center"/>
        <w:rPr>
          <w:lang w:eastAsia="pt-BR"/>
        </w:rPr>
      </w:pPr>
      <w:r w:rsidRPr="0008528B">
        <w:rPr>
          <w:rFonts w:ascii="Garamond" w:hAnsi="Garamond"/>
          <w:b/>
          <w:lang w:eastAsia="pt-BR"/>
        </w:rPr>
        <w:t>Das instruções gerais</w:t>
      </w:r>
    </w:p>
    <w:p w14:paraId="0150B91B" w14:textId="77777777" w:rsidR="00395593" w:rsidRPr="005C5CBD" w:rsidRDefault="00395593" w:rsidP="00E15FBB">
      <w:pPr>
        <w:spacing w:after="0" w:line="240" w:lineRule="auto"/>
        <w:rPr>
          <w:rFonts w:ascii="Garamond" w:eastAsia="Times New Roman" w:hAnsi="Garamond" w:cs="Times New Roman"/>
          <w:b/>
          <w:sz w:val="24"/>
          <w:szCs w:val="24"/>
          <w:lang w:eastAsia="pt-BR"/>
        </w:rPr>
      </w:pPr>
    </w:p>
    <w:p w14:paraId="10D9E873"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330.</w:t>
      </w:r>
      <w:r w:rsidRPr="005C5CBD">
        <w:rPr>
          <w:rFonts w:ascii="Garamond" w:eastAsia="Times New Roman" w:hAnsi="Garamond" w:cs="Calibri"/>
          <w:sz w:val="24"/>
          <w:szCs w:val="24"/>
          <w:lang w:eastAsia="pt-BR"/>
        </w:rPr>
        <w:t xml:space="preserve"> As petições de revisão anticircunvenção de que trata a Subseção II da Seção III do Capítulo IX do Decreto nº 10.839, de 2021,</w:t>
      </w:r>
      <w:r w:rsidRPr="005C5CBD" w:rsidDel="009A275A">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deverão obedecer às disposições deste Capítulo.</w:t>
      </w:r>
    </w:p>
    <w:p w14:paraId="12B73AA1"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1A50EFF8"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331.  O peticionário deverá observar o disposto no art. 5º acerca das fontes de informação aceitas para fins de instrução da petição.</w:t>
      </w:r>
    </w:p>
    <w:p w14:paraId="2E12C524" w14:textId="77777777" w:rsidR="00395593" w:rsidRPr="005C5CBD" w:rsidRDefault="00395593" w:rsidP="001F6CA2">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332.</w:t>
      </w:r>
      <w:r w:rsidRPr="005C5CBD">
        <w:rPr>
          <w:rFonts w:ascii="Garamond" w:eastAsia="Times New Roman" w:hAnsi="Garamond" w:cs="Calibri"/>
          <w:sz w:val="24"/>
          <w:szCs w:val="24"/>
          <w:lang w:eastAsia="pt-BR"/>
        </w:rPr>
        <w:t xml:space="preserve"> A petição deverá conter indícios da prática de circunvenção, consoante o disposto nos incisos I, II e III do art. 115 do Decreto nº 10.839, de 2021, observado o disposto no art. 6º.</w:t>
      </w:r>
    </w:p>
    <w:p w14:paraId="2121AF37"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1º A petição protocolada em conformidade com este Capítulo será analisada no prazo de quinze dias, contado da data do seu protocolo.</w:t>
      </w:r>
    </w:p>
    <w:p w14:paraId="244B847F"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0026BE1E"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2º No caso de a petição estar devidamente instruída e de não serem necessárias informações complementares, o peticionário será notificado a respeito do início da revisão anticircunvenção no prazo adicional de quinze dias.</w:t>
      </w:r>
    </w:p>
    <w:p w14:paraId="695822AE"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753761FC"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3º Caso haja a necessidade de informações complementares pouco expressivas, ou de correções e ajustes pontuais na petição, o peticionário será instado a emendá-la no prazo de cinco dias, contado da data de ciência da solicitação.</w:t>
      </w:r>
    </w:p>
    <w:p w14:paraId="68B6FF40"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4F6B1A15"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4º As informações complementares, as correções ou os ajustes serão analisados no prazo de dez dias, contado da data de seu recebimento.</w:t>
      </w:r>
    </w:p>
    <w:p w14:paraId="5AD47DAE"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p>
    <w:p w14:paraId="24E66530" w14:textId="77777777" w:rsidR="00395593" w:rsidRPr="005C5CBD" w:rsidRDefault="00395593" w:rsidP="001F6CA2">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5º Após a análise das informações complementares, o peticionário será notificado a respeito do início da investigação ou do indeferimento da petição no prazo adicional de quinze dias.</w:t>
      </w:r>
    </w:p>
    <w:p w14:paraId="35C4A846" w14:textId="77777777" w:rsidR="00395593" w:rsidRPr="005C5CBD" w:rsidRDefault="00395593" w:rsidP="001F6CA2">
      <w:pPr>
        <w:spacing w:before="300" w:beforeAutospacing="1" w:after="300" w:afterAutospacing="1"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color w:val="000000"/>
          <w:sz w:val="24"/>
          <w:szCs w:val="24"/>
          <w:lang w:eastAsia="pt-BR"/>
        </w:rPr>
        <w:t xml:space="preserve">§ 6º </w:t>
      </w:r>
      <w:r w:rsidRPr="005C5CBD">
        <w:rPr>
          <w:rFonts w:ascii="Garamond" w:eastAsia="Times New Roman" w:hAnsi="Garamond" w:cs="Calibri"/>
          <w:sz w:val="24"/>
          <w:szCs w:val="24"/>
          <w:lang w:eastAsia="pt-BR"/>
        </w:rPr>
        <w:t>Consoante o art. 2º, poderão ser indeferidas petições que não contenham as informações solicitadas neste Capítulo.</w:t>
      </w:r>
    </w:p>
    <w:p w14:paraId="547843FE"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333.</w:t>
      </w:r>
      <w:r w:rsidRPr="005C5CBD">
        <w:rPr>
          <w:rFonts w:ascii="Garamond" w:eastAsia="Times New Roman" w:hAnsi="Garamond" w:cs="Calibri"/>
          <w:sz w:val="24"/>
          <w:szCs w:val="24"/>
          <w:lang w:eastAsia="pt-BR"/>
        </w:rPr>
        <w:t xml:space="preserve"> A petição deverá conter:</w:t>
      </w:r>
    </w:p>
    <w:p w14:paraId="24D55AD1"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2809BADA" w14:textId="77777777" w:rsidR="00395593" w:rsidRPr="005C5CBD" w:rsidRDefault="00395593" w:rsidP="001F6CA2">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razão social, endereço completo, telefone e endereço eletrônico das empresas representadas; e</w:t>
      </w:r>
    </w:p>
    <w:p w14:paraId="1851F625" w14:textId="77777777" w:rsidR="00395593" w:rsidRPr="005C5CBD" w:rsidRDefault="00395593" w:rsidP="001F6CA2">
      <w:pPr>
        <w:spacing w:after="0" w:line="240" w:lineRule="auto"/>
        <w:ind w:left="720" w:firstLine="567"/>
        <w:jc w:val="both"/>
        <w:rPr>
          <w:rFonts w:ascii="Garamond" w:eastAsia="Calibri" w:hAnsi="Garamond" w:cs="Calibri"/>
          <w:sz w:val="24"/>
          <w:szCs w:val="24"/>
        </w:rPr>
      </w:pPr>
    </w:p>
    <w:p w14:paraId="1B5C9EB8" w14:textId="77777777" w:rsidR="00395593" w:rsidRPr="005C5CBD" w:rsidRDefault="00395593" w:rsidP="001F6CA2">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nome, função, endereço completo, telefone e endereço eletrônico do representante legal habilitado junto à Subsecretaria de Defesa Comercial e Interesse Público.</w:t>
      </w:r>
    </w:p>
    <w:p w14:paraId="4B41B1F0"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32542DC3" w14:textId="77777777" w:rsidR="00395593" w:rsidRPr="0008528B" w:rsidRDefault="00395593" w:rsidP="009B5236">
      <w:pPr>
        <w:pStyle w:val="Corpodetexto"/>
        <w:jc w:val="center"/>
        <w:rPr>
          <w:rFonts w:ascii="Garamond" w:eastAsia="MS Gothic" w:hAnsi="Garamond"/>
          <w:b/>
          <w:lang w:eastAsia="pt-BR"/>
        </w:rPr>
      </w:pPr>
      <w:r w:rsidRPr="0008528B">
        <w:rPr>
          <w:rFonts w:ascii="Garamond" w:eastAsia="MS Gothic" w:hAnsi="Garamond"/>
          <w:b/>
          <w:lang w:eastAsia="pt-BR"/>
        </w:rPr>
        <w:t>Subseção I</w:t>
      </w:r>
    </w:p>
    <w:p w14:paraId="626C690E" w14:textId="77777777" w:rsidR="00395593" w:rsidRPr="005C5CBD" w:rsidRDefault="00395593" w:rsidP="009B5236">
      <w:pPr>
        <w:pStyle w:val="Corpodetexto"/>
        <w:jc w:val="center"/>
        <w:rPr>
          <w:rFonts w:eastAsia="MS Gothic"/>
          <w:lang w:eastAsia="pt-BR"/>
        </w:rPr>
      </w:pPr>
      <w:r w:rsidRPr="0008528B">
        <w:rPr>
          <w:rFonts w:ascii="Garamond" w:eastAsia="MS Gothic" w:hAnsi="Garamond"/>
          <w:b/>
          <w:lang w:eastAsia="pt-BR"/>
        </w:rPr>
        <w:t>Do período de revisão anticircunvenção</w:t>
      </w:r>
    </w:p>
    <w:p w14:paraId="74072868" w14:textId="77777777" w:rsidR="00395593" w:rsidRPr="005C5CBD" w:rsidRDefault="00395593" w:rsidP="00E15FBB">
      <w:pPr>
        <w:spacing w:after="0" w:line="240" w:lineRule="auto"/>
        <w:jc w:val="center"/>
        <w:rPr>
          <w:rFonts w:ascii="Garamond" w:eastAsia="Times New Roman" w:hAnsi="Garamond" w:cs="Calibri"/>
          <w:sz w:val="24"/>
          <w:szCs w:val="24"/>
          <w:lang w:eastAsia="pt-BR"/>
        </w:rPr>
      </w:pPr>
    </w:p>
    <w:p w14:paraId="51A61451"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334.</w:t>
      </w:r>
      <w:r w:rsidRPr="005C5CBD">
        <w:rPr>
          <w:rFonts w:ascii="Garamond" w:eastAsia="Times New Roman" w:hAnsi="Garamond" w:cs="Calibri"/>
          <w:sz w:val="24"/>
          <w:szCs w:val="24"/>
          <w:lang w:eastAsia="pt-BR"/>
        </w:rPr>
        <w:t xml:space="preserve"> O período considerado para a revisão anticircunvenção deverá ser indicado, o qual deverá compreender necessariamente os 12 (doze) meses mais próximos possíveis à data do protocolo da petição.</w:t>
      </w:r>
    </w:p>
    <w:p w14:paraId="6B664F0D" w14:textId="77777777" w:rsidR="00395593" w:rsidRPr="005C5CBD" w:rsidRDefault="00395593" w:rsidP="001F6CA2">
      <w:pPr>
        <w:spacing w:after="0" w:line="240" w:lineRule="auto"/>
        <w:ind w:firstLine="567"/>
        <w:jc w:val="both"/>
        <w:rPr>
          <w:rFonts w:ascii="Garamond" w:eastAsia="Times New Roman" w:hAnsi="Garamond" w:cs="Calibri"/>
          <w:sz w:val="24"/>
          <w:szCs w:val="24"/>
          <w:lang w:eastAsia="pt-BR"/>
        </w:rPr>
      </w:pPr>
    </w:p>
    <w:p w14:paraId="4EF38794" w14:textId="77777777" w:rsidR="00395593" w:rsidRPr="005C5CBD" w:rsidRDefault="00395593" w:rsidP="001F6CA2">
      <w:pPr>
        <w:spacing w:after="0" w:line="240" w:lineRule="auto"/>
        <w:ind w:firstLine="567"/>
        <w:jc w:val="both"/>
        <w:rPr>
          <w:rFonts w:ascii="Garamond" w:eastAsia="Calibri" w:hAnsi="Garamond" w:cs="Calibri"/>
          <w:color w:val="000000"/>
          <w:sz w:val="24"/>
          <w:szCs w:val="24"/>
          <w:lang w:eastAsia="pt-BR"/>
        </w:rPr>
      </w:pPr>
      <w:r w:rsidRPr="005C5CBD">
        <w:rPr>
          <w:rFonts w:ascii="Garamond" w:eastAsia="Calibri" w:hAnsi="Garamond" w:cs="Calibri"/>
          <w:color w:val="000000"/>
          <w:sz w:val="24"/>
          <w:szCs w:val="24"/>
          <w:lang w:eastAsia="pt-BR"/>
        </w:rPr>
        <w:t>Parágrafo único. Em casos excepcionais e devidamente justificados, o período de revisão anticircunvenção poderá compreender entre 6 (seis) e 12 (doze) meses.</w:t>
      </w:r>
    </w:p>
    <w:p w14:paraId="6FA51B4B" w14:textId="77777777" w:rsidR="00395593" w:rsidRPr="005C5CBD" w:rsidRDefault="00395593" w:rsidP="00E15FBB">
      <w:pPr>
        <w:tabs>
          <w:tab w:val="left" w:pos="1466"/>
        </w:tabs>
        <w:spacing w:after="0" w:line="240" w:lineRule="auto"/>
        <w:jc w:val="both"/>
        <w:rPr>
          <w:rFonts w:ascii="Garamond" w:eastAsia="Times New Roman" w:hAnsi="Garamond" w:cs="Calibri"/>
          <w:b/>
          <w:sz w:val="24"/>
          <w:szCs w:val="24"/>
          <w:lang w:eastAsia="pt-BR"/>
        </w:rPr>
      </w:pPr>
      <w:r w:rsidRPr="005C5CBD">
        <w:rPr>
          <w:rFonts w:ascii="Garamond" w:eastAsia="Times New Roman" w:hAnsi="Garamond" w:cs="Calibri"/>
          <w:sz w:val="24"/>
          <w:szCs w:val="24"/>
          <w:lang w:eastAsia="pt-BR"/>
        </w:rPr>
        <w:t xml:space="preserve"> </w:t>
      </w:r>
    </w:p>
    <w:p w14:paraId="2C1506FB" w14:textId="77777777" w:rsidR="00395593" w:rsidRPr="0008528B" w:rsidRDefault="00395593" w:rsidP="009B5236">
      <w:pPr>
        <w:pStyle w:val="Corpodetexto"/>
        <w:jc w:val="center"/>
        <w:rPr>
          <w:rFonts w:ascii="Garamond" w:eastAsia="MS Gothic" w:hAnsi="Garamond"/>
          <w:b/>
          <w:color w:val="4F81BD"/>
          <w:lang w:eastAsia="pt-BR"/>
        </w:rPr>
      </w:pPr>
      <w:r w:rsidRPr="0008528B">
        <w:rPr>
          <w:rFonts w:ascii="Garamond" w:eastAsia="MS Gothic" w:hAnsi="Garamond"/>
          <w:b/>
          <w:lang w:eastAsia="pt-BR"/>
        </w:rPr>
        <w:t>Subseção II</w:t>
      </w:r>
    </w:p>
    <w:p w14:paraId="3DB9930A" w14:textId="77777777" w:rsidR="00395593" w:rsidRPr="0008528B" w:rsidRDefault="00395593" w:rsidP="009B5236">
      <w:pPr>
        <w:pStyle w:val="Corpodetexto"/>
        <w:jc w:val="center"/>
        <w:rPr>
          <w:rFonts w:ascii="Garamond" w:eastAsia="MS Gothic" w:hAnsi="Garamond"/>
          <w:b/>
          <w:color w:val="4F81BD"/>
          <w:lang w:eastAsia="pt-BR"/>
        </w:rPr>
      </w:pPr>
      <w:r w:rsidRPr="0008528B">
        <w:rPr>
          <w:rFonts w:ascii="Garamond" w:eastAsia="MS Gothic" w:hAnsi="Garamond"/>
          <w:b/>
          <w:lang w:eastAsia="pt-BR"/>
        </w:rPr>
        <w:t>Da tipificação da prática de circunvenção</w:t>
      </w:r>
    </w:p>
    <w:p w14:paraId="134AC7E5"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36E346D4"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335.</w:t>
      </w:r>
      <w:r w:rsidRPr="005C5CBD">
        <w:rPr>
          <w:rFonts w:ascii="Garamond" w:eastAsia="Times New Roman" w:hAnsi="Garamond" w:cs="Calibri"/>
          <w:sz w:val="24"/>
          <w:szCs w:val="24"/>
          <w:lang w:eastAsia="pt-BR"/>
        </w:rPr>
        <w:t xml:space="preserve"> A petição deverá indicar em qual das hipóteses a seguir, nos termos do art. 115 do Decreto nº 10.839, de 2021, a prática de circunvenção se enquadra:</w:t>
      </w:r>
    </w:p>
    <w:p w14:paraId="4820F40E"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333F8A0A" w14:textId="77777777" w:rsidR="00395593" w:rsidRPr="005C5CBD" w:rsidRDefault="00395593" w:rsidP="002C4C66">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importação de partes, peças ou componentes originários ou procedentes do país sujeito à medida, destinadas à industrialização, no Brasil, do produto objeto da medida em vigor;</w:t>
      </w:r>
    </w:p>
    <w:p w14:paraId="279F6A04" w14:textId="77777777" w:rsidR="00395593" w:rsidRPr="005C5CBD" w:rsidRDefault="00395593" w:rsidP="002C4C66">
      <w:pPr>
        <w:spacing w:after="0" w:line="240" w:lineRule="auto"/>
        <w:ind w:left="720" w:firstLine="567"/>
        <w:jc w:val="both"/>
        <w:rPr>
          <w:rFonts w:ascii="Garamond" w:eastAsia="Calibri" w:hAnsi="Garamond" w:cs="Calibri"/>
          <w:sz w:val="24"/>
          <w:szCs w:val="24"/>
        </w:rPr>
      </w:pPr>
    </w:p>
    <w:p w14:paraId="29B2E0C3" w14:textId="77777777" w:rsidR="00395593" w:rsidRPr="005C5CBD" w:rsidRDefault="00395593" w:rsidP="002C4C66">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importação de produto de terceiros países cuja industrialização com partes, peças ou componentes originários ou procedentes do país sujeito à medida em vigor resulte no produto objeto da medida em vigor; ou</w:t>
      </w:r>
    </w:p>
    <w:p w14:paraId="4E65735A" w14:textId="77777777" w:rsidR="00395593" w:rsidRPr="005C5CBD" w:rsidRDefault="00395593" w:rsidP="002C4C66">
      <w:pPr>
        <w:spacing w:after="0" w:line="240" w:lineRule="auto"/>
        <w:ind w:left="720" w:firstLine="567"/>
        <w:rPr>
          <w:rFonts w:ascii="Garamond" w:eastAsia="Times New Roman" w:hAnsi="Garamond" w:cs="Calibri"/>
          <w:sz w:val="24"/>
          <w:szCs w:val="24"/>
        </w:rPr>
      </w:pPr>
    </w:p>
    <w:p w14:paraId="25072DB9" w14:textId="77777777" w:rsidR="00395593" w:rsidRPr="005C5CBD" w:rsidRDefault="00395593" w:rsidP="002C4C66">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III - importação de produto que, originário ou procedente do país sujeito à medida em vigor, apresente modificações marginais com relação ao produto objeto da medida em vigor, mas que não alteram o seu uso ou a sua destinação final.</w:t>
      </w:r>
    </w:p>
    <w:p w14:paraId="1F71C682" w14:textId="77777777" w:rsidR="00395593" w:rsidRPr="005C5CBD" w:rsidRDefault="00395593" w:rsidP="002C4C66">
      <w:pPr>
        <w:spacing w:after="0" w:line="240" w:lineRule="auto"/>
        <w:ind w:firstLine="567"/>
        <w:jc w:val="both"/>
        <w:rPr>
          <w:rFonts w:ascii="Garamond" w:eastAsia="Calibri" w:hAnsi="Garamond" w:cs="Calibri"/>
          <w:sz w:val="24"/>
          <w:szCs w:val="24"/>
        </w:rPr>
      </w:pPr>
    </w:p>
    <w:p w14:paraId="6AD93AD2" w14:textId="77777777" w:rsidR="00395593" w:rsidRPr="005C5CBD" w:rsidRDefault="00395593" w:rsidP="002C4C66">
      <w:pPr>
        <w:spacing w:after="0" w:line="240" w:lineRule="auto"/>
        <w:ind w:firstLine="567"/>
        <w:jc w:val="both"/>
        <w:rPr>
          <w:rFonts w:ascii="Garamond" w:eastAsia="Calibri" w:hAnsi="Garamond" w:cs="Calibri"/>
          <w:color w:val="000000"/>
          <w:sz w:val="24"/>
          <w:szCs w:val="24"/>
          <w:lang w:eastAsia="pt-BR"/>
        </w:rPr>
      </w:pPr>
      <w:r w:rsidRPr="005C5CBD">
        <w:rPr>
          <w:rFonts w:ascii="Garamond" w:eastAsia="Calibri" w:hAnsi="Garamond" w:cs="Calibri"/>
          <w:color w:val="000000"/>
          <w:sz w:val="24"/>
          <w:szCs w:val="24"/>
          <w:lang w:eastAsia="pt-BR"/>
        </w:rPr>
        <w:t>Parágrafo único. A petição poderá indicar que a prática de circunvenção se enquadra em mais de uma hipótese, devendo ser apresentadas todas as informações requeridas para cada hipótese nas Subseções deste Capítulo.</w:t>
      </w:r>
    </w:p>
    <w:p w14:paraId="2AB28313"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1D5B4240"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336.</w:t>
      </w:r>
      <w:r w:rsidRPr="005C5CBD">
        <w:rPr>
          <w:rFonts w:ascii="Garamond" w:eastAsia="Times New Roman" w:hAnsi="Garamond" w:cs="Calibri"/>
          <w:sz w:val="24"/>
          <w:szCs w:val="24"/>
          <w:lang w:eastAsia="pt-BR"/>
        </w:rPr>
        <w:t xml:space="preserve"> A petição deverá conter descrição detalhada da alegada prática de circunvenção. </w:t>
      </w:r>
    </w:p>
    <w:p w14:paraId="51095CA1"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6F335BFC"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337.</w:t>
      </w:r>
      <w:r w:rsidRPr="005C5CBD">
        <w:rPr>
          <w:rFonts w:ascii="Garamond" w:eastAsia="Times New Roman" w:hAnsi="Garamond" w:cs="Calibri"/>
          <w:sz w:val="24"/>
          <w:szCs w:val="24"/>
          <w:lang w:eastAsia="pt-BR"/>
        </w:rPr>
        <w:t xml:space="preserve"> A petição deverá indicar todos os países envolvidos na prática de circunvenção e, sempre que possível, as empresas produtoras ou exportadoras, as empresas importadoras e/ou responsáveis pela industrialização. </w:t>
      </w:r>
    </w:p>
    <w:p w14:paraId="205CC809" w14:textId="77777777" w:rsidR="00395593" w:rsidRPr="005C5CBD" w:rsidRDefault="00395593" w:rsidP="00E15FBB">
      <w:pPr>
        <w:spacing w:after="0" w:line="240" w:lineRule="auto"/>
        <w:jc w:val="both"/>
        <w:rPr>
          <w:rFonts w:ascii="Garamond" w:eastAsia="Times New Roman" w:hAnsi="Garamond" w:cs="Calibri"/>
          <w:b/>
          <w:sz w:val="24"/>
          <w:szCs w:val="24"/>
          <w:lang w:eastAsia="pt-BR"/>
        </w:rPr>
      </w:pPr>
      <w:r w:rsidRPr="005C5CBD">
        <w:rPr>
          <w:rFonts w:ascii="Garamond" w:eastAsia="Times New Roman" w:hAnsi="Garamond" w:cs="Calibri"/>
          <w:sz w:val="24"/>
          <w:szCs w:val="24"/>
          <w:lang w:eastAsia="pt-BR"/>
        </w:rPr>
        <w:t xml:space="preserve"> </w:t>
      </w:r>
    </w:p>
    <w:p w14:paraId="2272D3EB" w14:textId="77777777" w:rsidR="00395593" w:rsidRPr="0008528B" w:rsidRDefault="00395593" w:rsidP="009B5236">
      <w:pPr>
        <w:pStyle w:val="Corpodetexto"/>
        <w:jc w:val="center"/>
        <w:rPr>
          <w:rFonts w:ascii="Garamond" w:eastAsia="MS Gothic" w:hAnsi="Garamond"/>
          <w:b/>
          <w:color w:val="4F81BD"/>
          <w:lang w:eastAsia="pt-BR"/>
        </w:rPr>
      </w:pPr>
      <w:r w:rsidRPr="0008528B">
        <w:rPr>
          <w:rFonts w:ascii="Garamond" w:eastAsia="MS Gothic" w:hAnsi="Garamond"/>
          <w:b/>
          <w:lang w:eastAsia="pt-BR"/>
        </w:rPr>
        <w:t>Subseção III</w:t>
      </w:r>
    </w:p>
    <w:p w14:paraId="2A389F43" w14:textId="77777777" w:rsidR="00395593" w:rsidRPr="0008528B" w:rsidRDefault="00395593" w:rsidP="009B5236">
      <w:pPr>
        <w:pStyle w:val="Corpodetexto"/>
        <w:jc w:val="center"/>
        <w:rPr>
          <w:rFonts w:ascii="Garamond" w:eastAsia="MS Gothic" w:hAnsi="Garamond"/>
          <w:b/>
          <w:color w:val="4F81BD"/>
          <w:lang w:eastAsia="pt-BR"/>
        </w:rPr>
      </w:pPr>
      <w:r w:rsidRPr="0008528B">
        <w:rPr>
          <w:rFonts w:ascii="Garamond" w:eastAsia="MS Gothic" w:hAnsi="Garamond"/>
          <w:b/>
          <w:lang w:eastAsia="pt-BR"/>
        </w:rPr>
        <w:t>Do produto, parte, peça ou componente objeto da circunvenção</w:t>
      </w:r>
    </w:p>
    <w:p w14:paraId="59428C5A" w14:textId="77777777" w:rsidR="00395593" w:rsidRPr="005C5CBD" w:rsidRDefault="00395593" w:rsidP="00E15FBB">
      <w:pPr>
        <w:spacing w:after="0" w:line="240" w:lineRule="auto"/>
        <w:jc w:val="center"/>
        <w:rPr>
          <w:rFonts w:ascii="Garamond" w:eastAsia="Times New Roman" w:hAnsi="Garamond" w:cs="Calibri"/>
          <w:sz w:val="24"/>
          <w:szCs w:val="24"/>
          <w:lang w:eastAsia="pt-BR"/>
        </w:rPr>
      </w:pPr>
    </w:p>
    <w:p w14:paraId="690F4FAE"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338.</w:t>
      </w:r>
      <w:r w:rsidRPr="005C5CBD">
        <w:rPr>
          <w:rFonts w:ascii="Garamond" w:eastAsia="Times New Roman" w:hAnsi="Garamond" w:cs="Calibri"/>
          <w:sz w:val="24"/>
          <w:szCs w:val="24"/>
          <w:lang w:eastAsia="pt-BR"/>
        </w:rPr>
        <w:t xml:space="preserve"> A petição deverá especificar o procedimento que deu origem à aplicação ou à última prorrogação da medida em vigor.</w:t>
      </w:r>
    </w:p>
    <w:p w14:paraId="0B70B123"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7D4846E8"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339.</w:t>
      </w:r>
      <w:r w:rsidRPr="005C5CBD">
        <w:rPr>
          <w:rFonts w:ascii="Garamond" w:eastAsia="Times New Roman" w:hAnsi="Garamond" w:cs="Calibri"/>
          <w:sz w:val="24"/>
          <w:szCs w:val="24"/>
          <w:lang w:eastAsia="pt-BR"/>
        </w:rPr>
        <w:t xml:space="preserve"> A petição deverá conter descrição pormenorizada do produto objeto da revisão, parte, peça ou componente objeto da revisão, especificando, conforme se aplique:</w:t>
      </w:r>
    </w:p>
    <w:p w14:paraId="58D51F27"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0318F22A" w14:textId="77777777" w:rsidR="00395593" w:rsidRPr="005C5CBD" w:rsidRDefault="00395593" w:rsidP="002C4C66">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matéria(s)-prima(s);</w:t>
      </w:r>
    </w:p>
    <w:p w14:paraId="6F0EE44F" w14:textId="77777777" w:rsidR="00395593" w:rsidRPr="005C5CBD" w:rsidRDefault="00395593" w:rsidP="002C4C66">
      <w:pPr>
        <w:spacing w:after="0" w:line="240" w:lineRule="auto"/>
        <w:ind w:left="720" w:firstLine="567"/>
        <w:jc w:val="both"/>
        <w:rPr>
          <w:rFonts w:ascii="Garamond" w:eastAsia="Calibri" w:hAnsi="Garamond" w:cs="Calibri"/>
          <w:sz w:val="24"/>
          <w:szCs w:val="24"/>
        </w:rPr>
      </w:pPr>
    </w:p>
    <w:p w14:paraId="2959AD9A" w14:textId="77777777" w:rsidR="00395593" w:rsidRPr="005C5CBD" w:rsidRDefault="00395593" w:rsidP="002C4C66">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composição química;</w:t>
      </w:r>
    </w:p>
    <w:p w14:paraId="7065C3EF" w14:textId="77777777" w:rsidR="00395593" w:rsidRPr="005C5CBD" w:rsidRDefault="00395593" w:rsidP="002C4C66">
      <w:pPr>
        <w:spacing w:after="0" w:line="240" w:lineRule="auto"/>
        <w:ind w:firstLine="567"/>
        <w:jc w:val="both"/>
        <w:rPr>
          <w:rFonts w:ascii="Garamond" w:eastAsia="Calibri" w:hAnsi="Garamond" w:cs="Calibri"/>
          <w:sz w:val="24"/>
          <w:szCs w:val="24"/>
        </w:rPr>
      </w:pPr>
    </w:p>
    <w:p w14:paraId="0B1AA39C" w14:textId="77777777" w:rsidR="00395593" w:rsidRPr="005C5CBD" w:rsidRDefault="00395593" w:rsidP="002C4C66">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III - modelo;</w:t>
      </w:r>
    </w:p>
    <w:p w14:paraId="18034DD9" w14:textId="77777777" w:rsidR="00395593" w:rsidRPr="005C5CBD" w:rsidRDefault="00395593" w:rsidP="002C4C66">
      <w:pPr>
        <w:spacing w:after="0" w:line="240" w:lineRule="auto"/>
        <w:ind w:firstLine="567"/>
        <w:jc w:val="both"/>
        <w:rPr>
          <w:rFonts w:ascii="Garamond" w:eastAsia="Calibri" w:hAnsi="Garamond" w:cs="Calibri"/>
          <w:sz w:val="24"/>
          <w:szCs w:val="24"/>
        </w:rPr>
      </w:pPr>
    </w:p>
    <w:p w14:paraId="51CE3DD2" w14:textId="77777777" w:rsidR="00395593" w:rsidRPr="005C5CBD" w:rsidRDefault="00395593" w:rsidP="002C4C66">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IV – dimensão, capacidade, potência, forma de apresentação, usos e aplicações;</w:t>
      </w:r>
    </w:p>
    <w:p w14:paraId="70267FC5" w14:textId="77777777" w:rsidR="00395593" w:rsidRPr="005C5CBD" w:rsidRDefault="00395593" w:rsidP="002C4C66">
      <w:pPr>
        <w:spacing w:after="0" w:line="240" w:lineRule="auto"/>
        <w:ind w:left="720" w:firstLine="567"/>
        <w:jc w:val="both"/>
        <w:rPr>
          <w:rFonts w:ascii="Garamond" w:eastAsia="Calibri" w:hAnsi="Garamond" w:cs="Calibri"/>
          <w:sz w:val="24"/>
          <w:szCs w:val="24"/>
        </w:rPr>
      </w:pPr>
    </w:p>
    <w:p w14:paraId="1000AAA5" w14:textId="77777777" w:rsidR="00395593" w:rsidRPr="005C5CBD" w:rsidRDefault="00395593" w:rsidP="002C4C66">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V - canais de distribuição; e</w:t>
      </w:r>
    </w:p>
    <w:p w14:paraId="049F3C02" w14:textId="77777777" w:rsidR="00395593" w:rsidRPr="005C5CBD" w:rsidRDefault="00395593" w:rsidP="002C4C66">
      <w:pPr>
        <w:spacing w:after="0" w:line="240" w:lineRule="auto"/>
        <w:ind w:left="720" w:firstLine="567"/>
        <w:jc w:val="both"/>
        <w:rPr>
          <w:rFonts w:ascii="Garamond" w:eastAsia="Calibri" w:hAnsi="Garamond" w:cs="Calibri"/>
          <w:sz w:val="24"/>
          <w:szCs w:val="24"/>
        </w:rPr>
      </w:pPr>
    </w:p>
    <w:p w14:paraId="6BCDD7D0" w14:textId="77777777" w:rsidR="00395593" w:rsidRPr="005C5CBD" w:rsidRDefault="00395593" w:rsidP="002C4C66">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VI - Outras características consideradas relevantes com vistas à identificação do produto objeto da revisão.</w:t>
      </w:r>
    </w:p>
    <w:p w14:paraId="52DD4484"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0D9A62D5"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340.</w:t>
      </w:r>
      <w:r w:rsidRPr="005C5CBD">
        <w:rPr>
          <w:rFonts w:ascii="Garamond" w:eastAsia="Times New Roman" w:hAnsi="Garamond" w:cs="Calibri"/>
          <w:sz w:val="24"/>
          <w:szCs w:val="24"/>
          <w:lang w:eastAsia="pt-BR"/>
        </w:rPr>
        <w:t xml:space="preserve"> A petição deverá especificar os itens da Nomenclatura Comum do MERCOSUL (NCM) em que se classificam o produto objeto da revisão.</w:t>
      </w:r>
    </w:p>
    <w:p w14:paraId="76CE47EA"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62A9C13C"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Nos casos que envolverem partes, peças e componentes, informar os itens da Nomenclatura Comum do MERCOSUL (NCM) em que estes se classificam.</w:t>
      </w:r>
    </w:p>
    <w:p w14:paraId="256703EC"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7C0E4880" w14:textId="77777777" w:rsidR="00395593" w:rsidRPr="0008528B" w:rsidRDefault="00395593" w:rsidP="009B5236">
      <w:pPr>
        <w:pStyle w:val="Corpodetexto"/>
        <w:jc w:val="center"/>
        <w:rPr>
          <w:rFonts w:ascii="Garamond" w:eastAsia="MS Gothic" w:hAnsi="Garamond"/>
          <w:b/>
          <w:color w:val="4F81BD"/>
          <w:lang w:eastAsia="pt-BR"/>
        </w:rPr>
      </w:pPr>
      <w:r w:rsidRPr="0008528B">
        <w:rPr>
          <w:rFonts w:ascii="Garamond" w:eastAsia="MS Gothic" w:hAnsi="Garamond"/>
          <w:b/>
          <w:lang w:eastAsia="pt-BR"/>
        </w:rPr>
        <w:t>Subseção IV</w:t>
      </w:r>
    </w:p>
    <w:p w14:paraId="4B00598D" w14:textId="77777777" w:rsidR="00395593" w:rsidRPr="0008528B" w:rsidRDefault="00395593" w:rsidP="009B5236">
      <w:pPr>
        <w:pStyle w:val="Corpodetexto"/>
        <w:jc w:val="center"/>
        <w:rPr>
          <w:rFonts w:ascii="Garamond" w:eastAsia="MS Gothic" w:hAnsi="Garamond"/>
          <w:b/>
          <w:color w:val="4F81BD"/>
          <w:lang w:eastAsia="pt-BR"/>
        </w:rPr>
      </w:pPr>
      <w:r w:rsidRPr="0008528B">
        <w:rPr>
          <w:rFonts w:ascii="Garamond" w:eastAsia="MS Gothic" w:hAnsi="Garamond"/>
          <w:b/>
          <w:lang w:eastAsia="pt-BR"/>
        </w:rPr>
        <w:t>Da prática de circunvenção</w:t>
      </w:r>
    </w:p>
    <w:p w14:paraId="67784439"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p>
    <w:p w14:paraId="0BDE1BEC" w14:textId="4A668918"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341.</w:t>
      </w:r>
      <w:r w:rsidRPr="005C5CBD">
        <w:rPr>
          <w:rFonts w:ascii="Garamond" w:eastAsia="Times New Roman" w:hAnsi="Garamond" w:cs="Calibri"/>
          <w:sz w:val="24"/>
          <w:szCs w:val="24"/>
          <w:lang w:eastAsia="pt-BR"/>
        </w:rPr>
        <w:t xml:space="preserve"> Na hipótese do inciso I do art. </w:t>
      </w:r>
      <w:r w:rsidR="002A3D1B">
        <w:rPr>
          <w:rFonts w:ascii="Garamond" w:eastAsia="Times New Roman" w:hAnsi="Garamond" w:cs="Calibri"/>
          <w:sz w:val="24"/>
          <w:szCs w:val="24"/>
          <w:lang w:eastAsia="pt-BR"/>
        </w:rPr>
        <w:t>335</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a petição deverá indicar indícios de que:</w:t>
      </w:r>
    </w:p>
    <w:p w14:paraId="62E1DEB6"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0E29CBE1" w14:textId="77777777" w:rsidR="00395593" w:rsidRPr="005C5CBD" w:rsidRDefault="00395593" w:rsidP="002C4C66">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a revenda, no Brasil, do produto objeto da medida, industrializado com partes, peças ou componentes originários ou procedentes do país sujeito à medida se deu a valores inferiores ao preço de exportação apurado para o produto objeto da medida compensatória, acrescido do respectivo montante de subsídios;</w:t>
      </w:r>
    </w:p>
    <w:p w14:paraId="747F2F75"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4E4C8899" w14:textId="77777777" w:rsidR="00395593" w:rsidRPr="005C5CBD" w:rsidRDefault="00395593" w:rsidP="002C4C66">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as partes, as peças ou os componentes originários ou procedentes do país sujeito à medida em vigor não apresentam utilização distinta da industrialização do produto objeto da medida em vigor;</w:t>
      </w:r>
    </w:p>
    <w:p w14:paraId="69214167" w14:textId="77777777" w:rsidR="00395593" w:rsidRPr="005C5CBD" w:rsidRDefault="00395593" w:rsidP="002C4C66">
      <w:pPr>
        <w:spacing w:after="0" w:line="240" w:lineRule="auto"/>
        <w:ind w:firstLine="567"/>
        <w:jc w:val="both"/>
        <w:rPr>
          <w:rFonts w:ascii="Garamond" w:eastAsia="Calibri" w:hAnsi="Garamond" w:cs="Calibri"/>
          <w:sz w:val="24"/>
          <w:szCs w:val="24"/>
        </w:rPr>
      </w:pPr>
    </w:p>
    <w:p w14:paraId="3BD6F4DE" w14:textId="77777777" w:rsidR="00395593" w:rsidRPr="005C5CBD" w:rsidRDefault="00395593" w:rsidP="002C4C66">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III - o início ou o aumento substancial da industrialização no Brasil ocorreu após o início da investigação que resultou na aplicação de medida em vigor;</w:t>
      </w:r>
    </w:p>
    <w:p w14:paraId="407CCA6E" w14:textId="77777777" w:rsidR="00395593" w:rsidRPr="005C5CBD" w:rsidRDefault="00395593" w:rsidP="002C4C66">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w:t>
      </w:r>
    </w:p>
    <w:p w14:paraId="0E6EB960" w14:textId="77777777" w:rsidR="00395593" w:rsidRPr="005C5CBD" w:rsidRDefault="00395593" w:rsidP="002C4C66">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IV - as partes, as peças ou os componentes originários ou procedentes do país sujeito à medida em vigor representam 60 (sessenta) por cento ou mais do valor total de partes, peças ou componentes do produto industrializado no Brasil; e</w:t>
      </w:r>
    </w:p>
    <w:p w14:paraId="48CA626E" w14:textId="77777777" w:rsidR="00395593" w:rsidRPr="005C5CBD" w:rsidRDefault="00395593" w:rsidP="002C4C66">
      <w:pPr>
        <w:spacing w:after="0" w:line="240" w:lineRule="auto"/>
        <w:ind w:firstLine="567"/>
        <w:jc w:val="both"/>
        <w:rPr>
          <w:rFonts w:ascii="Garamond" w:eastAsia="Calibri" w:hAnsi="Garamond" w:cs="Calibri"/>
          <w:sz w:val="24"/>
          <w:szCs w:val="24"/>
        </w:rPr>
      </w:pPr>
    </w:p>
    <w:p w14:paraId="172EE58A" w14:textId="77777777" w:rsidR="00395593" w:rsidRPr="005C5CBD" w:rsidRDefault="00395593" w:rsidP="002C4C66">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V - o valor agregado nas operações de industrialização é igual ou inferior a 35 (trinta e cinco) por cento do custo de manufatura do produto.</w:t>
      </w:r>
    </w:p>
    <w:p w14:paraId="7D288EDC" w14:textId="77777777" w:rsidR="00395593" w:rsidRPr="005C5CBD" w:rsidRDefault="00395593" w:rsidP="002C4C66">
      <w:pPr>
        <w:spacing w:after="0" w:line="240" w:lineRule="auto"/>
        <w:ind w:firstLine="567"/>
        <w:jc w:val="both"/>
        <w:rPr>
          <w:rFonts w:ascii="Garamond" w:eastAsia="Calibri" w:hAnsi="Garamond" w:cs="Calibri"/>
          <w:sz w:val="24"/>
          <w:szCs w:val="24"/>
        </w:rPr>
      </w:pPr>
    </w:p>
    <w:p w14:paraId="17FD82D0"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Parágrafo único.  Para os fins do inciso V do </w:t>
      </w:r>
      <w:r w:rsidRPr="005C5CBD">
        <w:rPr>
          <w:rFonts w:ascii="Garamond" w:eastAsia="Times New Roman" w:hAnsi="Garamond" w:cs="Calibri"/>
          <w:b/>
          <w:sz w:val="24"/>
          <w:szCs w:val="24"/>
          <w:lang w:eastAsia="pt-BR"/>
        </w:rPr>
        <w:t>caput</w:t>
      </w:r>
      <w:r w:rsidRPr="005C5CBD">
        <w:rPr>
          <w:rFonts w:ascii="Garamond" w:eastAsia="Times New Roman" w:hAnsi="Garamond" w:cs="Calibri"/>
          <w:sz w:val="24"/>
          <w:szCs w:val="24"/>
          <w:lang w:eastAsia="pt-BR"/>
        </w:rPr>
        <w:t xml:space="preserve"> deste artigo, o custo de fabricação não inclui:</w:t>
      </w:r>
    </w:p>
    <w:p w14:paraId="739026D2"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7C2E4E81"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 despesas de depreciação;</w:t>
      </w:r>
    </w:p>
    <w:p w14:paraId="1786B3C3"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25AAEDEC"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b) despesas de embalagem; e</w:t>
      </w:r>
    </w:p>
    <w:p w14:paraId="29764569"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39519C58"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c) custos ou despesas que não sejam diretamente relacionados à fabricação do produto.</w:t>
      </w:r>
    </w:p>
    <w:p w14:paraId="0AE7B596" w14:textId="77777777" w:rsidR="00395593" w:rsidRPr="005C5CBD" w:rsidRDefault="00395593" w:rsidP="002C4C66">
      <w:pPr>
        <w:spacing w:after="0" w:line="240" w:lineRule="auto"/>
        <w:ind w:firstLine="567"/>
        <w:jc w:val="both"/>
        <w:rPr>
          <w:rFonts w:ascii="Garamond" w:eastAsia="Times New Roman" w:hAnsi="Garamond" w:cs="Calibri"/>
          <w:sz w:val="24"/>
          <w:szCs w:val="24"/>
          <w:highlight w:val="yellow"/>
          <w:lang w:eastAsia="pt-BR"/>
        </w:rPr>
      </w:pPr>
      <w:r w:rsidRPr="005C5CBD">
        <w:rPr>
          <w:rFonts w:ascii="Garamond" w:eastAsia="Times New Roman" w:hAnsi="Garamond" w:cs="Calibri"/>
          <w:sz w:val="24"/>
          <w:szCs w:val="24"/>
          <w:highlight w:val="yellow"/>
          <w:lang w:eastAsia="pt-BR"/>
        </w:rPr>
        <w:t xml:space="preserve"> </w:t>
      </w:r>
    </w:p>
    <w:p w14:paraId="762DF842" w14:textId="2585337D"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342.</w:t>
      </w:r>
      <w:r w:rsidRPr="005C5CBD">
        <w:rPr>
          <w:rFonts w:ascii="Garamond" w:eastAsia="Times New Roman" w:hAnsi="Garamond" w:cs="Calibri"/>
          <w:sz w:val="24"/>
          <w:szCs w:val="24"/>
          <w:lang w:eastAsia="pt-BR"/>
        </w:rPr>
        <w:t xml:space="preserve"> Na hipótese do inciso II do art. </w:t>
      </w:r>
      <w:r w:rsidR="002A3D1B">
        <w:rPr>
          <w:rFonts w:ascii="Garamond" w:eastAsia="Times New Roman" w:hAnsi="Garamond" w:cs="Calibri"/>
          <w:sz w:val="24"/>
          <w:szCs w:val="24"/>
          <w:lang w:eastAsia="pt-BR"/>
        </w:rPr>
        <w:t>335</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a petição deverá fornecer indícios de que:</w:t>
      </w:r>
    </w:p>
    <w:p w14:paraId="5C99E1BA"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16759030"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a exportação do produto para o Brasil se deu a valores inferiores ao preço de exportação apurado para o produto objeto da medida compensatória, acrescido do respectivo montante de subsídios;</w:t>
      </w:r>
    </w:p>
    <w:p w14:paraId="37293F54"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446F54B4"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a exportação do produto para o Brasil correspondeu a uma proporção importante das vendas totais do produtor ou exportador;</w:t>
      </w:r>
    </w:p>
    <w:p w14:paraId="7E115966"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7A9FA05A"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o início ou o aumento substancial das exportações do produto objeto da circunvenção para o Brasil ocorreu após o início da investigação que resultou na aplicação de medida compensatória; e</w:t>
      </w:r>
    </w:p>
    <w:p w14:paraId="58D7981A"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61F2FD94"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as partes, as peças ou os componentes originários ou procedentes do país sujeito à medida compensatória representam 60 (sessenta) por cento ou mais do valor total de partes, peças ou componentes do produto exportado para o Brasil.</w:t>
      </w:r>
    </w:p>
    <w:p w14:paraId="41F6F254"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39BB5902" w14:textId="1E647955"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343.</w:t>
      </w:r>
      <w:r w:rsidRPr="005C5CBD">
        <w:rPr>
          <w:rFonts w:ascii="Garamond" w:eastAsia="Times New Roman" w:hAnsi="Garamond" w:cs="Calibri"/>
          <w:sz w:val="24"/>
          <w:szCs w:val="24"/>
          <w:lang w:eastAsia="pt-BR"/>
        </w:rPr>
        <w:t xml:space="preserve"> Na hipótese do inciso III do art. </w:t>
      </w:r>
      <w:r w:rsidR="002A3D1B">
        <w:rPr>
          <w:rFonts w:ascii="Garamond" w:eastAsia="Times New Roman" w:hAnsi="Garamond" w:cs="Calibri"/>
          <w:sz w:val="24"/>
          <w:szCs w:val="24"/>
          <w:lang w:eastAsia="pt-BR"/>
        </w:rPr>
        <w:t>335</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a petição deverá fornecer indícios de que:</w:t>
      </w:r>
    </w:p>
    <w:p w14:paraId="6352690E"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6B953B4A"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a exportação do produto com modificações marginais para o Brasil se deu a valores inferiores ao preço de exportação apurado para o produto sujeito a medida em vigor, acrescido do respectivo montante de subsídios;</w:t>
      </w:r>
    </w:p>
    <w:p w14:paraId="571073BA"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2D348B80"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a exportação do produto com modificações marginais para o Brasil correspondeu a uma proporção importante das vendas totais do produtor ou exportador; e</w:t>
      </w:r>
    </w:p>
    <w:p w14:paraId="53D87AAD"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32E71C22"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o início ou o aumento substancial das exportações do produto com modificações marginais para o Brasil ocorreu após o início da investigação que resultou na aplicação de medida de defesa comercial.</w:t>
      </w:r>
    </w:p>
    <w:p w14:paraId="672F23A9"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1677E609" w14:textId="2F82F9A5"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344.</w:t>
      </w:r>
      <w:r w:rsidRPr="005C5CBD">
        <w:rPr>
          <w:rFonts w:ascii="Garamond" w:eastAsia="Times New Roman" w:hAnsi="Garamond" w:cs="Calibri"/>
          <w:sz w:val="24"/>
          <w:szCs w:val="24"/>
          <w:lang w:eastAsia="pt-BR"/>
        </w:rPr>
        <w:t xml:space="preserve"> Na hipótese do inciso III do art. </w:t>
      </w:r>
      <w:r w:rsidR="002A3D1B">
        <w:rPr>
          <w:rFonts w:ascii="Garamond" w:eastAsia="Times New Roman" w:hAnsi="Garamond" w:cs="Calibri"/>
          <w:sz w:val="24"/>
          <w:szCs w:val="24"/>
          <w:lang w:eastAsia="pt-BR"/>
        </w:rPr>
        <w:t>335</w:t>
      </w:r>
      <w:r w:rsidRPr="005C5CBD">
        <w:rPr>
          <w:rFonts w:ascii="Garamond" w:eastAsia="Times New Roman" w:hAnsi="Garamond" w:cs="Calibri"/>
          <w:sz w:val="24"/>
          <w:szCs w:val="24"/>
          <w:lang w:eastAsia="pt-BR"/>
        </w:rPr>
        <w:t xml:space="preserve"> desta Portaria, a petição deverá informar:</w:t>
      </w:r>
    </w:p>
    <w:p w14:paraId="10C0A05E"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48D4F95C"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eventuais diferenças entre o produto e o produto objeto da medida em vigor;</w:t>
      </w:r>
    </w:p>
    <w:p w14:paraId="2D6F15A4"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199DF88A"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pequenas modificações introduzidas no produto objeto da revisão, comparativamente ao produto objeto da medida em vigor;</w:t>
      </w:r>
    </w:p>
    <w:p w14:paraId="5C54964E"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341715D0"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uso e destinação final do produto modificado; e</w:t>
      </w:r>
    </w:p>
    <w:p w14:paraId="74ACA07B"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p>
    <w:p w14:paraId="1D95794F" w14:textId="77777777" w:rsidR="00395593" w:rsidRPr="005C5CBD" w:rsidRDefault="00395593" w:rsidP="002C4C66">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estimativa do custo adicional para a realização da pequena modificação, se existente.</w:t>
      </w:r>
    </w:p>
    <w:p w14:paraId="0A5B9176"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75E81376" w14:textId="77777777" w:rsidR="00395593" w:rsidRPr="0008528B" w:rsidRDefault="00395593" w:rsidP="009B5236">
      <w:pPr>
        <w:pStyle w:val="Corpodetexto"/>
        <w:jc w:val="center"/>
        <w:rPr>
          <w:rFonts w:ascii="Garamond" w:eastAsia="MS Gothic" w:hAnsi="Garamond"/>
          <w:b/>
          <w:color w:val="4F81BD"/>
          <w:lang w:eastAsia="pt-BR"/>
        </w:rPr>
      </w:pPr>
      <w:r w:rsidRPr="0008528B">
        <w:rPr>
          <w:rFonts w:ascii="Garamond" w:eastAsia="MS Gothic" w:hAnsi="Garamond"/>
          <w:b/>
          <w:lang w:eastAsia="pt-BR"/>
        </w:rPr>
        <w:t>Subseção V</w:t>
      </w:r>
    </w:p>
    <w:p w14:paraId="633F8D87" w14:textId="77777777" w:rsidR="00395593" w:rsidRPr="0008528B" w:rsidRDefault="00395593" w:rsidP="009B5236">
      <w:pPr>
        <w:pStyle w:val="Corpodetexto"/>
        <w:jc w:val="center"/>
        <w:rPr>
          <w:rFonts w:ascii="Garamond" w:eastAsia="MS Gothic" w:hAnsi="Garamond"/>
          <w:b/>
          <w:color w:val="4F81BD"/>
          <w:lang w:eastAsia="pt-BR"/>
        </w:rPr>
      </w:pPr>
      <w:r w:rsidRPr="0008528B">
        <w:rPr>
          <w:rFonts w:ascii="Garamond" w:eastAsia="MS Gothic" w:hAnsi="Garamond"/>
          <w:b/>
          <w:lang w:eastAsia="pt-BR"/>
        </w:rPr>
        <w:t>Das alterações no fluxo comercial</w:t>
      </w:r>
    </w:p>
    <w:p w14:paraId="18255108"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p>
    <w:p w14:paraId="6AA26357"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345.</w:t>
      </w:r>
      <w:r w:rsidRPr="005C5CBD">
        <w:rPr>
          <w:rFonts w:ascii="Garamond" w:eastAsia="Times New Roman" w:hAnsi="Garamond" w:cs="Calibri"/>
          <w:sz w:val="24"/>
          <w:szCs w:val="24"/>
          <w:lang w:eastAsia="pt-BR"/>
        </w:rPr>
        <w:t xml:space="preserve"> A petição deverá informar a evolução do fluxo de comércio, indicando alterações ocorridas após o início do procedimento que deu origem à aplicação ou à última prorrogação da medida em vigor, considerando-se o período de revisão, inclusive, conforme-se aplique:</w:t>
      </w:r>
    </w:p>
    <w:p w14:paraId="72C9ECB9"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p>
    <w:p w14:paraId="478B7988"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importações brasileiras do produto objeto da revisão;</w:t>
      </w:r>
    </w:p>
    <w:p w14:paraId="4CC227DA"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4F7FC10B"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importações brasileiras de partes, peças ou componentes originários ou procedentes do país sujeito à medida em vigor;</w:t>
      </w:r>
    </w:p>
    <w:p w14:paraId="731D9D95"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p>
    <w:p w14:paraId="52334E1F"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importações, por terceiro país, de partes, peças ou componentes originários ou procedentes do país sujeito à medida em vigor.</w:t>
      </w:r>
    </w:p>
    <w:p w14:paraId="1548D1CF"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25A59DCF"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346.</w:t>
      </w:r>
      <w:r w:rsidRPr="005C5CBD">
        <w:rPr>
          <w:rFonts w:ascii="Garamond" w:eastAsia="Times New Roman" w:hAnsi="Garamond" w:cs="Calibri"/>
          <w:sz w:val="24"/>
          <w:szCs w:val="24"/>
          <w:lang w:eastAsia="pt-BR"/>
        </w:rPr>
        <w:t xml:space="preserve"> A petição deverá apresentar, sempre que possível, informações sobre existência de capacidade instalada e volume de produção do produto objeto da revisão incompatíveis com o volume exportado para o Brasil. </w:t>
      </w:r>
    </w:p>
    <w:p w14:paraId="5DA3DD19"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7265EC2F"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347.</w:t>
      </w:r>
      <w:r w:rsidRPr="005C5CBD">
        <w:rPr>
          <w:rFonts w:ascii="Garamond" w:eastAsia="Times New Roman" w:hAnsi="Garamond" w:cs="Calibri"/>
          <w:sz w:val="24"/>
          <w:szCs w:val="24"/>
          <w:lang w:eastAsia="pt-BR"/>
        </w:rPr>
        <w:t xml:space="preserve"> A petição deverá apresentar, na medida do possível, indícios sobre a oferta do produto objeto da revisão no país exportador, destacando:</w:t>
      </w:r>
    </w:p>
    <w:p w14:paraId="4B22BAB0"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p>
    <w:p w14:paraId="0E60D645"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volume de produção;</w:t>
      </w:r>
    </w:p>
    <w:p w14:paraId="3408D0DC"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p>
    <w:p w14:paraId="51415FD0"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capacidade instalada;</w:t>
      </w:r>
    </w:p>
    <w:p w14:paraId="54058AE0"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p>
    <w:p w14:paraId="73AD84D2"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importações; e</w:t>
      </w:r>
    </w:p>
    <w:p w14:paraId="62CD5723"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p>
    <w:p w14:paraId="7A94B473"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exportações para outros países.</w:t>
      </w:r>
    </w:p>
    <w:p w14:paraId="35DB9EB5"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45645434"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Caso a capacidade instalada e volume de produção sejam incompatíveis com o volume exportado para o Brasil, apresentar evidências que comprovem tal informação.</w:t>
      </w:r>
    </w:p>
    <w:p w14:paraId="34FF2F8D"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3CCFF3D6" w14:textId="77777777" w:rsidR="00395593" w:rsidRPr="0008528B" w:rsidRDefault="00395593" w:rsidP="009B5236">
      <w:pPr>
        <w:pStyle w:val="Corpodetexto"/>
        <w:jc w:val="center"/>
        <w:rPr>
          <w:rFonts w:ascii="Garamond" w:eastAsia="MS Gothic" w:hAnsi="Garamond"/>
          <w:b/>
          <w:color w:val="4F81BD"/>
          <w:lang w:eastAsia="pt-BR"/>
        </w:rPr>
      </w:pPr>
      <w:r w:rsidRPr="0008528B">
        <w:rPr>
          <w:rFonts w:ascii="Garamond" w:eastAsia="MS Gothic" w:hAnsi="Garamond"/>
          <w:b/>
          <w:lang w:eastAsia="pt-BR"/>
        </w:rPr>
        <w:t>Subseção VI</w:t>
      </w:r>
    </w:p>
    <w:p w14:paraId="10CA3AC0" w14:textId="77777777" w:rsidR="00395593" w:rsidRPr="005C5CBD" w:rsidRDefault="00395593" w:rsidP="009B5236">
      <w:pPr>
        <w:pStyle w:val="Corpodetexto"/>
        <w:jc w:val="center"/>
        <w:rPr>
          <w:rFonts w:eastAsia="MS Gothic"/>
          <w:color w:val="4F81BD"/>
          <w:lang w:eastAsia="pt-BR"/>
        </w:rPr>
      </w:pPr>
      <w:r w:rsidRPr="0008528B">
        <w:rPr>
          <w:rFonts w:ascii="Garamond" w:eastAsia="MS Gothic" w:hAnsi="Garamond"/>
          <w:b/>
          <w:lang w:eastAsia="pt-BR"/>
        </w:rPr>
        <w:t>Da neutralização dos efeitos da medida</w:t>
      </w:r>
    </w:p>
    <w:p w14:paraId="393CA1B4"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p>
    <w:p w14:paraId="66145AF1" w14:textId="77777777"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348.</w:t>
      </w:r>
      <w:r w:rsidRPr="005C5CBD">
        <w:rPr>
          <w:rFonts w:ascii="Garamond" w:eastAsia="Times New Roman" w:hAnsi="Garamond" w:cs="Calibri"/>
          <w:sz w:val="24"/>
          <w:szCs w:val="24"/>
          <w:lang w:eastAsia="pt-BR"/>
        </w:rPr>
        <w:t xml:space="preserve"> A petição deverá conter indícios de neutralização dos efeitos corretores da medida em vigor, incluindo dados sobre volume e preço médio de importação do produto objeto da revisão, ou de partes, peças ou componentes do produto objeto da medida em vigor, considerando-se o período de revisão.</w:t>
      </w:r>
    </w:p>
    <w:p w14:paraId="35F1C69D"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175D4091" w14:textId="77777777" w:rsidR="00395593" w:rsidRPr="0008528B" w:rsidRDefault="00395593" w:rsidP="009B5236">
      <w:pPr>
        <w:pStyle w:val="Corpodetexto"/>
        <w:jc w:val="center"/>
        <w:rPr>
          <w:rFonts w:ascii="Garamond" w:eastAsia="MS Gothic" w:hAnsi="Garamond"/>
          <w:b/>
          <w:color w:val="4F81BD"/>
          <w:lang w:eastAsia="pt-BR"/>
        </w:rPr>
      </w:pPr>
      <w:r w:rsidRPr="0008528B">
        <w:rPr>
          <w:rFonts w:ascii="Garamond" w:eastAsia="MS Gothic" w:hAnsi="Garamond"/>
          <w:b/>
          <w:lang w:eastAsia="pt-BR"/>
        </w:rPr>
        <w:t>Subseção VII</w:t>
      </w:r>
    </w:p>
    <w:p w14:paraId="6F82B1BF" w14:textId="16B8B854" w:rsidR="00395593" w:rsidRPr="0008528B" w:rsidRDefault="00395593" w:rsidP="009B5236">
      <w:pPr>
        <w:pStyle w:val="Corpodetexto"/>
        <w:jc w:val="center"/>
        <w:rPr>
          <w:rFonts w:ascii="Garamond" w:eastAsia="MS Gothic" w:hAnsi="Garamond"/>
          <w:b/>
          <w:color w:val="4F81BD"/>
          <w:lang w:eastAsia="pt-BR"/>
        </w:rPr>
      </w:pPr>
      <w:r w:rsidRPr="0008528B">
        <w:rPr>
          <w:rFonts w:ascii="Garamond" w:eastAsia="MS Gothic" w:hAnsi="Garamond"/>
          <w:b/>
          <w:lang w:eastAsia="pt-BR"/>
        </w:rPr>
        <w:t>Da identificação de importadores, produtores e exportadores</w:t>
      </w:r>
    </w:p>
    <w:p w14:paraId="03E9D9A3"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p>
    <w:p w14:paraId="3D4EEF66" w14:textId="2A9B5E93" w:rsidR="00395593" w:rsidRPr="005C5CBD" w:rsidRDefault="00395593"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349.</w:t>
      </w:r>
      <w:r w:rsidRPr="005C5CBD">
        <w:rPr>
          <w:rFonts w:ascii="Garamond" w:eastAsia="Times New Roman" w:hAnsi="Garamond" w:cs="Calibri"/>
          <w:sz w:val="24"/>
          <w:szCs w:val="24"/>
          <w:lang w:eastAsia="pt-BR"/>
        </w:rPr>
        <w:t xml:space="preserve"> No caso do inciso I do art. </w:t>
      </w:r>
      <w:r w:rsidR="002A3D1B">
        <w:rPr>
          <w:rFonts w:ascii="Garamond" w:eastAsia="Times New Roman" w:hAnsi="Garamond" w:cs="Calibri"/>
          <w:sz w:val="24"/>
          <w:szCs w:val="24"/>
          <w:lang w:eastAsia="pt-BR"/>
        </w:rPr>
        <w:t>335</w:t>
      </w:r>
      <w:r w:rsidRPr="005C5CBD">
        <w:rPr>
          <w:rFonts w:ascii="Garamond" w:eastAsia="Times New Roman" w:hAnsi="Garamond" w:cs="Calibri"/>
          <w:sz w:val="24"/>
          <w:szCs w:val="24"/>
          <w:lang w:eastAsia="pt-BR"/>
        </w:rPr>
        <w:t xml:space="preserve"> desta Portaria, a petição deverá informar o nome e o endereço dos exportadores e dos importadores brasileiros conhecidos das partes, peças e componentes, bem como das empresas responsáveis pela industrialização das partes, peças e componentes.</w:t>
      </w:r>
    </w:p>
    <w:p w14:paraId="1842E3D7" w14:textId="77777777" w:rsidR="00E15FBB" w:rsidRPr="005C5CBD" w:rsidRDefault="00E15FBB"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592B6308" w14:textId="2FE90021" w:rsidR="00E15FBB" w:rsidRPr="005C5CBD" w:rsidRDefault="00E15FBB"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350.</w:t>
      </w:r>
      <w:r w:rsidRPr="005C5CBD">
        <w:rPr>
          <w:rFonts w:ascii="Garamond" w:eastAsia="Times New Roman" w:hAnsi="Garamond" w:cs="Calibri"/>
          <w:sz w:val="24"/>
          <w:szCs w:val="24"/>
          <w:lang w:eastAsia="pt-BR"/>
        </w:rPr>
        <w:t xml:space="preserve"> No caso do inciso II do art. </w:t>
      </w:r>
      <w:r w:rsidR="002A3D1B">
        <w:rPr>
          <w:rFonts w:ascii="Garamond" w:eastAsia="Times New Roman" w:hAnsi="Garamond" w:cs="Calibri"/>
          <w:sz w:val="24"/>
          <w:szCs w:val="24"/>
          <w:lang w:eastAsia="pt-BR"/>
        </w:rPr>
        <w:t>335</w:t>
      </w:r>
      <w:r w:rsidRPr="005C5CBD">
        <w:rPr>
          <w:rFonts w:ascii="Garamond" w:eastAsia="Times New Roman" w:hAnsi="Garamond" w:cs="Calibri"/>
          <w:sz w:val="24"/>
          <w:szCs w:val="24"/>
          <w:lang w:eastAsia="pt-BR"/>
        </w:rPr>
        <w:t xml:space="preserve"> desta Portaria</w:t>
      </w:r>
      <w:r w:rsidRPr="005C5CBD" w:rsidDel="00385ECC">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 a petição deverá indicar o nome e o endereço dos exportadores e dos importadores brasileiros conhecidos do produto objeto da revisão, bem como das empresas responsáveis pela industrialização no terceiro país.</w:t>
      </w:r>
    </w:p>
    <w:p w14:paraId="7082FF06" w14:textId="77777777" w:rsidR="00E15FBB" w:rsidRPr="005C5CBD" w:rsidRDefault="00E15FBB"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6C7E7034" w14:textId="57CD2802" w:rsidR="00E15FBB" w:rsidRPr="005C5CBD" w:rsidRDefault="00E15FBB"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351.</w:t>
      </w:r>
      <w:r w:rsidRPr="005C5CBD">
        <w:rPr>
          <w:rFonts w:ascii="Garamond" w:eastAsia="Times New Roman" w:hAnsi="Garamond" w:cs="Calibri"/>
          <w:sz w:val="24"/>
          <w:szCs w:val="24"/>
          <w:lang w:eastAsia="pt-BR"/>
        </w:rPr>
        <w:t xml:space="preserve"> No caso do inciso III do art. </w:t>
      </w:r>
      <w:r w:rsidR="00F9137F">
        <w:rPr>
          <w:rFonts w:ascii="Garamond" w:eastAsia="Times New Roman" w:hAnsi="Garamond" w:cs="Calibri"/>
          <w:sz w:val="24"/>
          <w:szCs w:val="24"/>
          <w:lang w:eastAsia="pt-BR"/>
        </w:rPr>
        <w:t>335</w:t>
      </w:r>
      <w:r w:rsidRPr="005C5CBD">
        <w:rPr>
          <w:rFonts w:ascii="Garamond" w:eastAsia="Times New Roman" w:hAnsi="Garamond" w:cs="Calibri"/>
          <w:sz w:val="24"/>
          <w:szCs w:val="24"/>
          <w:lang w:eastAsia="pt-BR"/>
        </w:rPr>
        <w:t xml:space="preserve"> desta Portaria, a petição deverá informar o nome e o endereço dos exportadores e dos importadores brasileiros conhecidos do produto objeto da revisão, bem como das empresas responsáveis pela modificação marginal do produto.</w:t>
      </w:r>
    </w:p>
    <w:p w14:paraId="49A371CD" w14:textId="77777777" w:rsidR="00E15FBB" w:rsidRPr="005C5CBD" w:rsidRDefault="00E15FBB" w:rsidP="00720AA1">
      <w:pPr>
        <w:spacing w:after="0" w:line="240" w:lineRule="auto"/>
        <w:ind w:firstLine="567"/>
        <w:jc w:val="both"/>
        <w:rPr>
          <w:rFonts w:ascii="Garamond" w:eastAsia="Times New Roman" w:hAnsi="Garamond" w:cs="Calibri"/>
          <w:sz w:val="24"/>
          <w:szCs w:val="24"/>
          <w:lang w:eastAsia="pt-BR"/>
        </w:rPr>
      </w:pPr>
    </w:p>
    <w:p w14:paraId="1E51A981" w14:textId="1377205D" w:rsidR="00395593" w:rsidRPr="005C5CBD" w:rsidRDefault="00E15FBB" w:rsidP="00720AA1">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352.</w:t>
      </w:r>
      <w:r w:rsidRPr="005C5CBD">
        <w:rPr>
          <w:rFonts w:ascii="Garamond" w:eastAsia="Times New Roman" w:hAnsi="Garamond" w:cs="Calibri"/>
          <w:sz w:val="24"/>
          <w:szCs w:val="24"/>
          <w:lang w:eastAsia="pt-BR"/>
        </w:rPr>
        <w:t xml:space="preserve"> No caso dos incisos II e III do art. </w:t>
      </w:r>
      <w:r w:rsidR="002A3D1B">
        <w:rPr>
          <w:rFonts w:ascii="Garamond" w:eastAsia="Times New Roman" w:hAnsi="Garamond" w:cs="Calibri"/>
          <w:sz w:val="24"/>
          <w:szCs w:val="24"/>
          <w:lang w:eastAsia="pt-BR"/>
        </w:rPr>
        <w:t>335</w:t>
      </w:r>
      <w:r w:rsidR="00395593" w:rsidRPr="005C5CBD">
        <w:rPr>
          <w:rFonts w:ascii="Garamond" w:eastAsia="Times New Roman" w:hAnsi="Garamond" w:cs="Calibri"/>
          <w:sz w:val="24"/>
          <w:szCs w:val="24"/>
          <w:lang w:eastAsia="pt-BR"/>
        </w:rPr>
        <w:t xml:space="preserve"> desta Portaria, a petição deverá indicar os países exportadores do produto objeto da revisão.</w:t>
      </w:r>
    </w:p>
    <w:p w14:paraId="3DE08025"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68A0F3D0" w14:textId="77777777" w:rsidR="00395593" w:rsidRPr="0008528B" w:rsidRDefault="00395593" w:rsidP="009B5236">
      <w:pPr>
        <w:pStyle w:val="Corpodetexto"/>
        <w:jc w:val="center"/>
        <w:rPr>
          <w:rFonts w:ascii="Garamond" w:hAnsi="Garamond"/>
          <w:b/>
          <w:lang w:eastAsia="pt-BR"/>
        </w:rPr>
      </w:pPr>
      <w:r w:rsidRPr="0008528B">
        <w:rPr>
          <w:rFonts w:ascii="Garamond" w:hAnsi="Garamond"/>
          <w:b/>
          <w:lang w:eastAsia="pt-BR"/>
        </w:rPr>
        <w:t>CAPÍTULO VIII</w:t>
      </w:r>
    </w:p>
    <w:p w14:paraId="01B673BE" w14:textId="77777777" w:rsidR="00395593" w:rsidRPr="0008528B" w:rsidRDefault="00395593" w:rsidP="009B5236">
      <w:pPr>
        <w:pStyle w:val="Corpodetexto"/>
        <w:jc w:val="center"/>
        <w:rPr>
          <w:rFonts w:ascii="Garamond" w:hAnsi="Garamond"/>
          <w:b/>
          <w:lang w:eastAsia="pt-BR"/>
        </w:rPr>
      </w:pPr>
      <w:r w:rsidRPr="0008528B">
        <w:rPr>
          <w:rFonts w:ascii="Garamond" w:hAnsi="Garamond"/>
          <w:b/>
          <w:lang w:eastAsia="pt-BR"/>
        </w:rPr>
        <w:t>DAS PETIÇÕES DE REVISÃO DE RESTITUIÇÃO</w:t>
      </w:r>
    </w:p>
    <w:p w14:paraId="4F82F931" w14:textId="77777777" w:rsidR="00395593" w:rsidRPr="0008528B" w:rsidRDefault="00395593" w:rsidP="009B5236">
      <w:pPr>
        <w:pStyle w:val="Corpodetexto"/>
        <w:jc w:val="center"/>
        <w:rPr>
          <w:rFonts w:ascii="Garamond" w:eastAsia="Calibri" w:hAnsi="Garamond"/>
          <w:b/>
        </w:rPr>
      </w:pPr>
    </w:p>
    <w:p w14:paraId="6E9EBD58" w14:textId="77777777" w:rsidR="00395593" w:rsidRPr="0008528B" w:rsidRDefault="00395593" w:rsidP="009B5236">
      <w:pPr>
        <w:pStyle w:val="Corpodetexto"/>
        <w:jc w:val="center"/>
        <w:rPr>
          <w:rFonts w:ascii="Garamond" w:hAnsi="Garamond"/>
          <w:b/>
          <w:lang w:eastAsia="pt-BR"/>
        </w:rPr>
      </w:pPr>
      <w:r w:rsidRPr="0008528B">
        <w:rPr>
          <w:rFonts w:ascii="Garamond" w:hAnsi="Garamond"/>
          <w:b/>
          <w:lang w:eastAsia="pt-BR"/>
        </w:rPr>
        <w:t>Seção I</w:t>
      </w:r>
    </w:p>
    <w:p w14:paraId="5AD2C311" w14:textId="77777777" w:rsidR="00395593" w:rsidRPr="005C5CBD" w:rsidRDefault="00395593" w:rsidP="009B5236">
      <w:pPr>
        <w:pStyle w:val="Corpodetexto"/>
        <w:jc w:val="center"/>
        <w:rPr>
          <w:lang w:eastAsia="pt-BR"/>
        </w:rPr>
      </w:pPr>
      <w:r w:rsidRPr="0008528B">
        <w:rPr>
          <w:rFonts w:ascii="Garamond" w:hAnsi="Garamond"/>
          <w:b/>
          <w:lang w:eastAsia="pt-BR"/>
        </w:rPr>
        <w:t>Das instruções gerais</w:t>
      </w:r>
    </w:p>
    <w:p w14:paraId="629244CE" w14:textId="77777777" w:rsidR="00395593" w:rsidRPr="005C5CBD" w:rsidRDefault="00395593" w:rsidP="00E15FBB">
      <w:pPr>
        <w:autoSpaceDE w:val="0"/>
        <w:autoSpaceDN w:val="0"/>
        <w:adjustRightInd w:val="0"/>
        <w:spacing w:after="0" w:line="240" w:lineRule="auto"/>
        <w:jc w:val="center"/>
        <w:rPr>
          <w:rFonts w:ascii="Garamond" w:eastAsia="Calibri" w:hAnsi="Garamond" w:cs="Calibri"/>
          <w:sz w:val="24"/>
          <w:szCs w:val="24"/>
        </w:rPr>
      </w:pPr>
    </w:p>
    <w:p w14:paraId="206686AD"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353. </w:t>
      </w:r>
      <w:r w:rsidRPr="005C5CBD">
        <w:rPr>
          <w:rFonts w:ascii="Garamond" w:eastAsia="Times New Roman" w:hAnsi="Garamond" w:cs="Calibri"/>
          <w:sz w:val="24"/>
          <w:szCs w:val="24"/>
          <w:lang w:eastAsia="pt-BR"/>
        </w:rPr>
        <w:t>As petições de revisão de restituição de que trata a Subseção III da Seção III do Capítulo IX do Decreto nº 10.839, de 2021,</w:t>
      </w:r>
      <w:r w:rsidRPr="005C5CBD" w:rsidDel="009A275A">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deverão obedecer às disposições deste Capítulo.</w:t>
      </w:r>
    </w:p>
    <w:p w14:paraId="18496DA5"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540021C4"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354. Qualquer importador do produto objeto do </w:t>
      </w:r>
      <w:r w:rsidRPr="005C5CBD">
        <w:rPr>
          <w:rFonts w:ascii="Garamond" w:eastAsia="Calibri" w:hAnsi="Garamond" w:cs="Calibri"/>
          <w:color w:val="000000"/>
          <w:sz w:val="24"/>
          <w:szCs w:val="24"/>
        </w:rPr>
        <w:t xml:space="preserve">direito compensatório </w:t>
      </w:r>
      <w:r w:rsidRPr="005C5CBD">
        <w:rPr>
          <w:rFonts w:ascii="Garamond" w:eastAsia="Calibri" w:hAnsi="Garamond" w:cs="Calibri"/>
          <w:sz w:val="24"/>
          <w:szCs w:val="24"/>
        </w:rPr>
        <w:t xml:space="preserve">poderá solicitar a restituição de </w:t>
      </w:r>
      <w:r w:rsidRPr="005C5CBD">
        <w:rPr>
          <w:rFonts w:ascii="Garamond" w:eastAsia="Calibri" w:hAnsi="Garamond" w:cs="Calibri"/>
          <w:color w:val="000000"/>
          <w:sz w:val="24"/>
          <w:szCs w:val="24"/>
        </w:rPr>
        <w:t xml:space="preserve">direito compensatório </w:t>
      </w:r>
      <w:r w:rsidRPr="005C5CBD">
        <w:rPr>
          <w:rFonts w:ascii="Garamond" w:eastAsia="Calibri" w:hAnsi="Garamond" w:cs="Calibri"/>
          <w:sz w:val="24"/>
          <w:szCs w:val="24"/>
        </w:rPr>
        <w:t>definitivo recolhido, caso fique demonstrado que o montante de subsídios apurado para o período de revisão de restituição é inferior ao direito vigente.</w:t>
      </w:r>
    </w:p>
    <w:p w14:paraId="241C3957"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color w:val="000000"/>
          <w:sz w:val="24"/>
          <w:szCs w:val="24"/>
        </w:rPr>
      </w:pPr>
    </w:p>
    <w:p w14:paraId="69D08FFA"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color w:val="000000"/>
          <w:sz w:val="24"/>
          <w:szCs w:val="24"/>
        </w:rPr>
        <w:t>§ 1</w:t>
      </w:r>
      <w:r w:rsidRPr="005C5CBD">
        <w:rPr>
          <w:rFonts w:ascii="Garamond" w:eastAsia="Calibri" w:hAnsi="Garamond" w:cs="Calibri"/>
          <w:strike/>
          <w:color w:val="000000"/>
          <w:sz w:val="24"/>
          <w:szCs w:val="24"/>
        </w:rPr>
        <w:t>º</w:t>
      </w:r>
      <w:r w:rsidRPr="005C5CBD">
        <w:rPr>
          <w:rFonts w:ascii="Garamond" w:eastAsia="Calibri" w:hAnsi="Garamond" w:cs="Calibri"/>
          <w:color w:val="000000"/>
          <w:sz w:val="24"/>
          <w:szCs w:val="24"/>
        </w:rPr>
        <w:t xml:space="preserve">  </w:t>
      </w:r>
      <w:r w:rsidRPr="005C5CBD">
        <w:rPr>
          <w:rFonts w:ascii="Garamond" w:eastAsia="Calibri" w:hAnsi="Garamond" w:cs="Calibri"/>
          <w:sz w:val="24"/>
          <w:szCs w:val="24"/>
        </w:rPr>
        <w:t>A petição somente poderá conter dados das importações provenientes de produtores ou exportadores para os quais um direito compensatório individual recolhido tenha sido calculado com base nas informações apresentadas pelo próprio produtor ou exportador</w:t>
      </w:r>
      <w:r w:rsidRPr="005C5CBD">
        <w:rPr>
          <w:rFonts w:ascii="Garamond" w:eastAsia="Calibri" w:hAnsi="Garamond" w:cs="Calibri"/>
          <w:color w:val="000000"/>
          <w:sz w:val="24"/>
          <w:szCs w:val="24"/>
        </w:rPr>
        <w:t>,</w:t>
      </w:r>
      <w:r w:rsidRPr="005C5CBD">
        <w:rPr>
          <w:rFonts w:ascii="Garamond" w:eastAsia="Calibri" w:hAnsi="Garamond" w:cs="Calibri"/>
          <w:sz w:val="24"/>
          <w:szCs w:val="24"/>
        </w:rPr>
        <w:t xml:space="preserve"> e com base nas informações do governo do país exportador fornecidas no procedimento mais recente anterior ao período da petição.</w:t>
      </w:r>
    </w:p>
    <w:p w14:paraId="01304DB4"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3521AABD"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color w:val="000000"/>
          <w:sz w:val="24"/>
          <w:szCs w:val="24"/>
        </w:rPr>
      </w:pPr>
      <w:r w:rsidRPr="005C5CBD">
        <w:rPr>
          <w:rFonts w:ascii="Garamond" w:eastAsia="Calibri" w:hAnsi="Garamond" w:cs="Calibri"/>
          <w:color w:val="000000"/>
          <w:sz w:val="24"/>
          <w:szCs w:val="24"/>
        </w:rPr>
        <w:t>§ 2</w:t>
      </w:r>
      <w:r w:rsidRPr="005C5CBD">
        <w:rPr>
          <w:rFonts w:ascii="Garamond" w:eastAsia="Calibri" w:hAnsi="Garamond" w:cs="Calibri"/>
          <w:strike/>
          <w:color w:val="000000"/>
          <w:sz w:val="24"/>
          <w:szCs w:val="24"/>
        </w:rPr>
        <w:t>º</w:t>
      </w:r>
      <w:r w:rsidRPr="005C5CBD">
        <w:rPr>
          <w:rFonts w:ascii="Garamond" w:eastAsia="Calibri" w:hAnsi="Garamond" w:cs="Calibri"/>
          <w:color w:val="000000"/>
          <w:sz w:val="24"/>
          <w:szCs w:val="24"/>
        </w:rPr>
        <w:t xml:space="preserve"> Excepcionalmente e desde que, durante o período de revisão de restituição, o volume importado tenha sido superior àquele exportado pelos produtores ou exportadores mencionados no § 1</w:t>
      </w:r>
      <w:r w:rsidRPr="005C5CBD">
        <w:rPr>
          <w:rFonts w:ascii="Garamond" w:eastAsia="Calibri" w:hAnsi="Garamond" w:cs="Calibri"/>
          <w:strike/>
          <w:color w:val="000000"/>
          <w:sz w:val="24"/>
          <w:szCs w:val="24"/>
        </w:rPr>
        <w:t>º</w:t>
      </w:r>
      <w:r w:rsidRPr="005C5CBD">
        <w:rPr>
          <w:rFonts w:ascii="Garamond" w:eastAsia="Calibri" w:hAnsi="Garamond" w:cs="Calibri"/>
          <w:color w:val="000000"/>
          <w:sz w:val="24"/>
          <w:szCs w:val="24"/>
        </w:rPr>
        <w:t>, a petição apresentada pelo importador interessado poderá conter dados de importações provenientes de produtores ou exportadores para os quais não tenha sido calculado direito compensatório individual no procedimento imediatamente anterior a esta revisão.</w:t>
      </w:r>
    </w:p>
    <w:p w14:paraId="679FDEEA"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color w:val="000000"/>
          <w:sz w:val="24"/>
          <w:szCs w:val="24"/>
        </w:rPr>
      </w:pPr>
    </w:p>
    <w:p w14:paraId="7B379C92"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color w:val="000000"/>
          <w:sz w:val="24"/>
          <w:szCs w:val="24"/>
        </w:rPr>
      </w:pPr>
      <w:r w:rsidRPr="005C5CBD">
        <w:rPr>
          <w:rFonts w:ascii="Garamond" w:eastAsia="Calibri" w:hAnsi="Garamond" w:cs="Calibri"/>
          <w:color w:val="000000"/>
          <w:sz w:val="24"/>
          <w:szCs w:val="24"/>
        </w:rPr>
        <w:t>§ 3</w:t>
      </w:r>
      <w:r w:rsidRPr="005C5CBD">
        <w:rPr>
          <w:rFonts w:ascii="Garamond" w:eastAsia="Calibri" w:hAnsi="Garamond" w:cs="Calibri"/>
          <w:strike/>
          <w:color w:val="000000"/>
          <w:sz w:val="24"/>
          <w:szCs w:val="24"/>
        </w:rPr>
        <w:t>º</w:t>
      </w:r>
      <w:r w:rsidRPr="005C5CBD">
        <w:rPr>
          <w:rFonts w:ascii="Garamond" w:eastAsia="Calibri" w:hAnsi="Garamond" w:cs="Calibri"/>
          <w:color w:val="000000"/>
          <w:sz w:val="24"/>
          <w:szCs w:val="24"/>
        </w:rPr>
        <w:t xml:space="preserve"> Em nenhuma hipótese será conhecida petição de restituição cujos dados das importações provenham de produtor ou exportador para os quais tenha sido apurado direito compensatório individual com base na melhor informação disponível.</w:t>
      </w:r>
    </w:p>
    <w:p w14:paraId="1F7E823B"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color w:val="000000"/>
          <w:sz w:val="24"/>
          <w:szCs w:val="24"/>
        </w:rPr>
      </w:pPr>
    </w:p>
    <w:p w14:paraId="5356C835"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355. O peticionário deverá observar o disposto no art. 5º acerca das fontes de informação aceitas para fins de instrução da petição.</w:t>
      </w:r>
    </w:p>
    <w:p w14:paraId="434B6AA0"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color w:val="FF0000"/>
          <w:sz w:val="24"/>
          <w:szCs w:val="24"/>
          <w:highlight w:val="yellow"/>
        </w:rPr>
      </w:pPr>
    </w:p>
    <w:p w14:paraId="3F466001"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color w:val="000000"/>
          <w:sz w:val="24"/>
          <w:szCs w:val="24"/>
        </w:rPr>
      </w:pPr>
      <w:r w:rsidRPr="005C5CBD">
        <w:rPr>
          <w:rFonts w:ascii="Garamond" w:eastAsia="Calibri" w:hAnsi="Garamond" w:cs="Calibri"/>
          <w:sz w:val="24"/>
          <w:szCs w:val="24"/>
        </w:rPr>
        <w:t xml:space="preserve">Art. 356. </w:t>
      </w:r>
      <w:r w:rsidRPr="005C5CBD">
        <w:rPr>
          <w:rFonts w:ascii="Garamond" w:eastAsia="Calibri" w:hAnsi="Garamond" w:cs="Calibri"/>
          <w:color w:val="000000"/>
          <w:sz w:val="24"/>
          <w:szCs w:val="24"/>
        </w:rPr>
        <w:t>Caso a Subsecretaria de Defesa Comercial e Interesse Público verifique a necessidade de informações complementares àquelas constantes da petição, determinará que o importador a emende ou complete no prazo de 5 (cinco) dias, contado da data de ciência da solicitação.</w:t>
      </w:r>
    </w:p>
    <w:p w14:paraId="09DDE514"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color w:val="000000"/>
          <w:sz w:val="24"/>
          <w:szCs w:val="24"/>
        </w:rPr>
      </w:pPr>
    </w:p>
    <w:p w14:paraId="20A9D429" w14:textId="77777777" w:rsidR="00395593" w:rsidRPr="005C5CBD" w:rsidRDefault="00395593" w:rsidP="00F9137F">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357. Conforme indicado no art. 7º, a Subsecretaria de Defesa Comercial e Interesse Público poderá conduzir verificação </w:t>
      </w:r>
      <w:r w:rsidRPr="005C5CBD">
        <w:rPr>
          <w:rFonts w:ascii="Garamond" w:eastAsia="Calibri" w:hAnsi="Garamond" w:cs="Calibri"/>
          <w:b/>
          <w:sz w:val="24"/>
          <w:szCs w:val="24"/>
        </w:rPr>
        <w:t>in loco</w:t>
      </w:r>
      <w:r w:rsidRPr="005C5CBD">
        <w:rPr>
          <w:rFonts w:ascii="Garamond" w:eastAsia="Calibri" w:hAnsi="Garamond" w:cs="Calibri"/>
          <w:sz w:val="24"/>
          <w:szCs w:val="24"/>
        </w:rPr>
        <w:t xml:space="preserve"> para examinar os registros e comprovar a validade das informações submetidas pelo peticionário e empresas que forneceram dados na petição de restituição. </w:t>
      </w:r>
    </w:p>
    <w:p w14:paraId="2E3CDC99"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6FE799CB"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358. O montante de subsídios apurado para o período de revisão servirá exclusivamente para quantificar a eventual restituição de direitos compensatórios recolhidos em montante superior ao montante de subsídios apurado para o período de revisão, conforme disposto no art. 138 do Decreto nº 10.839, de 2021.</w:t>
      </w:r>
    </w:p>
    <w:p w14:paraId="2303F423" w14:textId="77777777" w:rsidR="00395593" w:rsidRPr="005C5CBD" w:rsidRDefault="00395593" w:rsidP="00E15FBB">
      <w:pPr>
        <w:autoSpaceDE w:val="0"/>
        <w:autoSpaceDN w:val="0"/>
        <w:adjustRightInd w:val="0"/>
        <w:spacing w:after="0" w:line="240" w:lineRule="auto"/>
        <w:jc w:val="both"/>
        <w:rPr>
          <w:rFonts w:ascii="Garamond" w:eastAsia="Calibri" w:hAnsi="Garamond" w:cs="Calibri"/>
          <w:sz w:val="24"/>
          <w:szCs w:val="24"/>
        </w:rPr>
      </w:pPr>
    </w:p>
    <w:p w14:paraId="69B9B210" w14:textId="77777777" w:rsidR="00395593" w:rsidRPr="0008528B" w:rsidRDefault="00395593" w:rsidP="009B5236">
      <w:pPr>
        <w:pStyle w:val="Corpodetexto"/>
        <w:jc w:val="center"/>
        <w:rPr>
          <w:rFonts w:ascii="Garamond" w:hAnsi="Garamond"/>
          <w:b/>
          <w:lang w:eastAsia="pt-BR"/>
        </w:rPr>
      </w:pPr>
      <w:r w:rsidRPr="0008528B">
        <w:rPr>
          <w:rFonts w:ascii="Garamond" w:hAnsi="Garamond"/>
          <w:b/>
          <w:lang w:eastAsia="pt-BR"/>
        </w:rPr>
        <w:t>Seção II</w:t>
      </w:r>
    </w:p>
    <w:p w14:paraId="13F0F75E" w14:textId="7FE8EBC3" w:rsidR="00395593" w:rsidRPr="0008528B" w:rsidRDefault="00395593" w:rsidP="009B5236">
      <w:pPr>
        <w:pStyle w:val="Corpodetexto"/>
        <w:jc w:val="center"/>
        <w:rPr>
          <w:rFonts w:ascii="Garamond" w:hAnsi="Garamond"/>
          <w:b/>
          <w:lang w:eastAsia="pt-BR"/>
        </w:rPr>
      </w:pPr>
      <w:r w:rsidRPr="0008528B">
        <w:rPr>
          <w:rFonts w:ascii="Garamond" w:hAnsi="Garamond"/>
          <w:b/>
          <w:lang w:eastAsia="pt-BR"/>
        </w:rPr>
        <w:t>Das definições</w:t>
      </w:r>
    </w:p>
    <w:p w14:paraId="1E4E85AD" w14:textId="77777777" w:rsidR="00395593" w:rsidRPr="0008528B" w:rsidRDefault="00395593" w:rsidP="009B5236">
      <w:pPr>
        <w:pStyle w:val="Corpodetexto"/>
        <w:jc w:val="center"/>
        <w:rPr>
          <w:rFonts w:ascii="Garamond" w:eastAsia="Calibri" w:hAnsi="Garamond"/>
          <w:b/>
        </w:rPr>
      </w:pPr>
    </w:p>
    <w:p w14:paraId="456AFDFC" w14:textId="77777777" w:rsidR="00395593" w:rsidRPr="0008528B" w:rsidRDefault="00395593" w:rsidP="009B5236">
      <w:pPr>
        <w:pStyle w:val="Corpodetexto"/>
        <w:jc w:val="center"/>
        <w:rPr>
          <w:rFonts w:ascii="Garamond" w:eastAsia="MS Gothic" w:hAnsi="Garamond"/>
          <w:b/>
          <w:bCs/>
          <w:color w:val="4F81BD"/>
          <w:lang w:eastAsia="pt-BR"/>
        </w:rPr>
      </w:pPr>
      <w:r w:rsidRPr="0008528B">
        <w:rPr>
          <w:rFonts w:ascii="Garamond" w:eastAsia="MS Gothic" w:hAnsi="Garamond"/>
          <w:b/>
          <w:bCs/>
          <w:lang w:eastAsia="pt-BR"/>
        </w:rPr>
        <w:t>Subseção I</w:t>
      </w:r>
    </w:p>
    <w:p w14:paraId="349E98F8" w14:textId="77777777" w:rsidR="00395593" w:rsidRPr="0008528B" w:rsidRDefault="00395593" w:rsidP="009B5236">
      <w:pPr>
        <w:pStyle w:val="Corpodetexto"/>
        <w:jc w:val="center"/>
        <w:rPr>
          <w:rFonts w:ascii="Garamond" w:eastAsia="MS Gothic" w:hAnsi="Garamond"/>
          <w:b/>
          <w:bCs/>
          <w:color w:val="4F81BD"/>
          <w:lang w:eastAsia="pt-BR"/>
        </w:rPr>
      </w:pPr>
      <w:r w:rsidRPr="0008528B">
        <w:rPr>
          <w:rFonts w:ascii="Garamond" w:eastAsia="MS Gothic" w:hAnsi="Garamond"/>
          <w:b/>
          <w:bCs/>
          <w:lang w:eastAsia="pt-BR"/>
        </w:rPr>
        <w:t>Do período de revisão</w:t>
      </w:r>
    </w:p>
    <w:p w14:paraId="435F3590" w14:textId="77777777" w:rsidR="00395593" w:rsidRPr="005C5CBD" w:rsidRDefault="00395593" w:rsidP="00E15FBB">
      <w:pPr>
        <w:autoSpaceDE w:val="0"/>
        <w:autoSpaceDN w:val="0"/>
        <w:adjustRightInd w:val="0"/>
        <w:spacing w:after="0" w:line="240" w:lineRule="auto"/>
        <w:jc w:val="center"/>
        <w:rPr>
          <w:rFonts w:ascii="Garamond" w:eastAsia="Calibri" w:hAnsi="Garamond" w:cs="Calibri"/>
          <w:b/>
          <w:sz w:val="24"/>
          <w:szCs w:val="24"/>
          <w:highlight w:val="yellow"/>
        </w:rPr>
      </w:pPr>
    </w:p>
    <w:p w14:paraId="3696BC7D"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359. O período de revisão refere-se àquele para o qual será apurado o montante de subsídios para cada produtor ou exportador indicado na petição e que será utilizada para a comparação com o direito vigente.</w:t>
      </w:r>
    </w:p>
    <w:p w14:paraId="4FC9E5D2"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0F827E09"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1º O período indicado no </w:t>
      </w:r>
      <w:r w:rsidRPr="005C5CBD">
        <w:rPr>
          <w:rFonts w:ascii="Garamond" w:eastAsia="Calibri" w:hAnsi="Garamond" w:cs="Calibri"/>
          <w:b/>
          <w:sz w:val="24"/>
          <w:szCs w:val="24"/>
        </w:rPr>
        <w:t>caput</w:t>
      </w:r>
      <w:r w:rsidRPr="005C5CBD">
        <w:rPr>
          <w:rFonts w:ascii="Garamond" w:eastAsia="Calibri" w:hAnsi="Garamond" w:cs="Calibri"/>
          <w:sz w:val="24"/>
          <w:szCs w:val="24"/>
        </w:rPr>
        <w:t xml:space="preserve"> terá, em regra, doze meses, contados a partir do primeiro dia do mês em que se deu a aplicação, prorrogação ou alteração do direito compensatório definitivo em vigor.</w:t>
      </w:r>
    </w:p>
    <w:p w14:paraId="1C29E375"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0E07BE39"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2</w:t>
      </w:r>
      <w:r w:rsidRPr="005C5CBD">
        <w:rPr>
          <w:rFonts w:ascii="Garamond" w:eastAsia="Calibri" w:hAnsi="Garamond" w:cs="Calibri"/>
          <w:strike/>
          <w:sz w:val="24"/>
          <w:szCs w:val="24"/>
        </w:rPr>
        <w:t>º</w:t>
      </w:r>
      <w:r w:rsidRPr="005C5CBD">
        <w:rPr>
          <w:rFonts w:ascii="Garamond" w:eastAsia="Calibri" w:hAnsi="Garamond" w:cs="Calibri"/>
          <w:sz w:val="24"/>
          <w:szCs w:val="24"/>
        </w:rPr>
        <w:t xml:space="preserve"> Períodos de revisão posteriores serão definidos de forma análoga à indicada no § 1º, contando-se doze meses a partir do primeiro dia do primeiro mês posterior ao fim do período antecedente.</w:t>
      </w:r>
    </w:p>
    <w:p w14:paraId="5A194575"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168A6E8D"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3</w:t>
      </w:r>
      <w:r w:rsidRPr="005C5CBD">
        <w:rPr>
          <w:rFonts w:ascii="Garamond" w:eastAsia="Calibri" w:hAnsi="Garamond" w:cs="Calibri"/>
          <w:strike/>
          <w:sz w:val="24"/>
          <w:szCs w:val="24"/>
        </w:rPr>
        <w:t>º</w:t>
      </w:r>
      <w:r w:rsidRPr="005C5CBD">
        <w:rPr>
          <w:rFonts w:ascii="Garamond" w:eastAsia="Calibri" w:hAnsi="Garamond" w:cs="Calibri"/>
          <w:sz w:val="24"/>
          <w:szCs w:val="24"/>
        </w:rPr>
        <w:t xml:space="preserve"> No caso de haver prorrogação, alteração ou extinção do direito compensatório em vigor em prazo inferior a doze meses do início da contagem do período de revisão, o final do período de revisão deverá corresponder à data em que a respectiva decisão tenha entrado em vigor, podendo o período de revisão ser inferior a doze meses, mas nunca inferior a seis meses.</w:t>
      </w:r>
    </w:p>
    <w:p w14:paraId="57BFD0EB"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74BE9BF6"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4º  O período indicado no </w:t>
      </w:r>
      <w:r w:rsidRPr="005C5CBD">
        <w:rPr>
          <w:rFonts w:ascii="Garamond" w:eastAsia="Calibri" w:hAnsi="Garamond" w:cs="Calibri"/>
          <w:b/>
          <w:bCs/>
          <w:sz w:val="24"/>
          <w:szCs w:val="24"/>
        </w:rPr>
        <w:t>caput</w:t>
      </w:r>
      <w:r w:rsidRPr="005C5CBD">
        <w:rPr>
          <w:rFonts w:ascii="Garamond" w:eastAsia="Calibri" w:hAnsi="Garamond" w:cs="Calibri"/>
          <w:sz w:val="24"/>
          <w:szCs w:val="24"/>
        </w:rPr>
        <w:t xml:space="preserve"> nunca será inferior a seis meses.</w:t>
      </w:r>
    </w:p>
    <w:p w14:paraId="4F722F57"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6A8F09EC"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5</w:t>
      </w:r>
      <w:r w:rsidRPr="005C5CBD">
        <w:rPr>
          <w:rFonts w:ascii="Garamond" w:eastAsia="Calibri" w:hAnsi="Garamond" w:cs="Calibri"/>
          <w:strike/>
          <w:sz w:val="24"/>
          <w:szCs w:val="24"/>
        </w:rPr>
        <w:t>º</w:t>
      </w:r>
      <w:r w:rsidRPr="005C5CBD">
        <w:rPr>
          <w:rFonts w:ascii="Garamond" w:eastAsia="Calibri" w:hAnsi="Garamond" w:cs="Calibri"/>
          <w:sz w:val="24"/>
          <w:szCs w:val="24"/>
        </w:rPr>
        <w:t xml:space="preserve"> Cada petição de revisão de restituição deverá incluir somente um período de revisão.</w:t>
      </w:r>
    </w:p>
    <w:p w14:paraId="0C7CA377" w14:textId="77777777" w:rsidR="00395593" w:rsidRPr="005C5CBD" w:rsidRDefault="00395593" w:rsidP="00E15FBB">
      <w:pPr>
        <w:autoSpaceDE w:val="0"/>
        <w:autoSpaceDN w:val="0"/>
        <w:adjustRightInd w:val="0"/>
        <w:spacing w:after="0" w:line="240" w:lineRule="auto"/>
        <w:jc w:val="both"/>
        <w:rPr>
          <w:rFonts w:ascii="Garamond" w:eastAsia="Calibri" w:hAnsi="Garamond" w:cs="Calibri"/>
          <w:sz w:val="24"/>
          <w:szCs w:val="24"/>
        </w:rPr>
      </w:pPr>
    </w:p>
    <w:p w14:paraId="2497C1F5" w14:textId="77777777" w:rsidR="00395593" w:rsidRPr="0008528B" w:rsidRDefault="00395593" w:rsidP="009B5236">
      <w:pPr>
        <w:pStyle w:val="Corpodetexto"/>
        <w:jc w:val="center"/>
        <w:rPr>
          <w:rFonts w:ascii="Garamond" w:eastAsia="MS Gothic" w:hAnsi="Garamond"/>
          <w:b/>
          <w:color w:val="4F81BD"/>
          <w:lang w:eastAsia="pt-BR"/>
        </w:rPr>
      </w:pPr>
      <w:r w:rsidRPr="0008528B">
        <w:rPr>
          <w:rFonts w:ascii="Garamond" w:eastAsia="MS Gothic" w:hAnsi="Garamond"/>
          <w:b/>
          <w:lang w:eastAsia="pt-BR"/>
        </w:rPr>
        <w:t>Subseção II</w:t>
      </w:r>
    </w:p>
    <w:p w14:paraId="6CF8908B" w14:textId="77777777" w:rsidR="00395593" w:rsidRPr="005C5CBD" w:rsidRDefault="00395593" w:rsidP="009B5236">
      <w:pPr>
        <w:pStyle w:val="Corpodetexto"/>
        <w:jc w:val="center"/>
        <w:rPr>
          <w:rFonts w:eastAsia="MS Gothic"/>
          <w:color w:val="4F81BD"/>
          <w:lang w:eastAsia="pt-BR"/>
        </w:rPr>
      </w:pPr>
      <w:r w:rsidRPr="0008528B">
        <w:rPr>
          <w:rFonts w:ascii="Garamond" w:eastAsia="MS Gothic" w:hAnsi="Garamond"/>
          <w:b/>
          <w:lang w:eastAsia="pt-BR"/>
        </w:rPr>
        <w:t>Do período de apuração do montante de direito a ser restituído</w:t>
      </w:r>
    </w:p>
    <w:p w14:paraId="16CE1BB6" w14:textId="77777777" w:rsidR="00395593" w:rsidRPr="005C5CBD" w:rsidRDefault="00395593" w:rsidP="00E15FBB">
      <w:pPr>
        <w:autoSpaceDE w:val="0"/>
        <w:autoSpaceDN w:val="0"/>
        <w:adjustRightInd w:val="0"/>
        <w:spacing w:after="0" w:line="240" w:lineRule="auto"/>
        <w:jc w:val="center"/>
        <w:rPr>
          <w:rFonts w:ascii="Garamond" w:eastAsia="Calibri" w:hAnsi="Garamond" w:cs="Calibri"/>
          <w:b/>
          <w:sz w:val="24"/>
          <w:szCs w:val="24"/>
        </w:rPr>
      </w:pPr>
    </w:p>
    <w:p w14:paraId="7C09C84A"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360. O período de apuração do montante de direito a ser restituído refere-se àquele no qual ocorreram as importações objeto do pleito regido por este Capítulo.</w:t>
      </w:r>
    </w:p>
    <w:p w14:paraId="1E55C169"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5AE99CCE"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1</w:t>
      </w:r>
      <w:r w:rsidRPr="005C5CBD">
        <w:rPr>
          <w:rFonts w:ascii="Garamond" w:eastAsia="Calibri" w:hAnsi="Garamond" w:cs="Calibri"/>
          <w:strike/>
          <w:sz w:val="24"/>
          <w:szCs w:val="24"/>
        </w:rPr>
        <w:t>º</w:t>
      </w:r>
      <w:r w:rsidRPr="005C5CBD">
        <w:rPr>
          <w:rFonts w:ascii="Garamond" w:eastAsia="Calibri" w:hAnsi="Garamond" w:cs="Calibri"/>
          <w:sz w:val="24"/>
          <w:szCs w:val="24"/>
        </w:rPr>
        <w:t xml:space="preserve"> O início e o final do período de apuração do montante de direito a ser restituído deverão corresponder, respectivamente, às datas da primeira e da última importação no interregno em que a restituição é pleiteada e para a qual tenham sido recolhidos direitos compensatórios definitivos.   </w:t>
      </w:r>
    </w:p>
    <w:p w14:paraId="4F316580"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350FB119"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2</w:t>
      </w:r>
      <w:r w:rsidRPr="005C5CBD">
        <w:rPr>
          <w:rFonts w:ascii="Garamond" w:eastAsia="Calibri" w:hAnsi="Garamond" w:cs="Calibri"/>
          <w:strike/>
          <w:sz w:val="24"/>
          <w:szCs w:val="24"/>
        </w:rPr>
        <w:t>º</w:t>
      </w:r>
      <w:r w:rsidRPr="005C5CBD">
        <w:rPr>
          <w:rFonts w:ascii="Garamond" w:eastAsia="Calibri" w:hAnsi="Garamond" w:cs="Calibri"/>
          <w:sz w:val="24"/>
          <w:szCs w:val="24"/>
        </w:rPr>
        <w:t xml:space="preserve"> O período de apuração do montante de direito a ser restituído deverá conter somente transações cujas datas de venda pelo produtor ou exportador estejam contidas no período de revisão, podendo ser superior a doze meses caso a data do desembaraço da importação ultrapasse a data final do período de revisão.</w:t>
      </w:r>
    </w:p>
    <w:p w14:paraId="3609DE81"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33A9CD36"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3</w:t>
      </w:r>
      <w:r w:rsidRPr="005C5CBD">
        <w:rPr>
          <w:rFonts w:ascii="Garamond" w:eastAsia="Calibri" w:hAnsi="Garamond" w:cs="Calibri"/>
          <w:strike/>
          <w:sz w:val="24"/>
          <w:szCs w:val="24"/>
        </w:rPr>
        <w:t>º</w:t>
      </w:r>
      <w:r w:rsidRPr="005C5CBD">
        <w:rPr>
          <w:rFonts w:ascii="Garamond" w:eastAsia="Calibri" w:hAnsi="Garamond" w:cs="Calibri"/>
          <w:sz w:val="24"/>
          <w:szCs w:val="24"/>
        </w:rPr>
        <w:t xml:space="preserve"> No caso do primeiro período de revisão após a aplicação do direito compensatório definitivo em vigor, poderão ser consideradas no período de apuração do montante de direito a ser restituído as transações cujas datas de desembaraço estejam contidas no período de revisão e cujas datas de venda sejam a ele anteriores.</w:t>
      </w:r>
    </w:p>
    <w:p w14:paraId="14325C00" w14:textId="77777777" w:rsidR="00395593" w:rsidRPr="005C5CBD" w:rsidRDefault="00395593" w:rsidP="00E15FBB">
      <w:pPr>
        <w:autoSpaceDE w:val="0"/>
        <w:autoSpaceDN w:val="0"/>
        <w:adjustRightInd w:val="0"/>
        <w:spacing w:after="0" w:line="240" w:lineRule="auto"/>
        <w:jc w:val="both"/>
        <w:rPr>
          <w:rFonts w:ascii="Garamond" w:eastAsia="Calibri" w:hAnsi="Garamond" w:cs="Calibri"/>
          <w:sz w:val="24"/>
          <w:szCs w:val="24"/>
        </w:rPr>
      </w:pPr>
    </w:p>
    <w:p w14:paraId="6B001522" w14:textId="77777777" w:rsidR="00395593" w:rsidRPr="0008528B" w:rsidRDefault="00395593" w:rsidP="009B5236">
      <w:pPr>
        <w:pStyle w:val="Corpodetexto"/>
        <w:jc w:val="center"/>
        <w:rPr>
          <w:rFonts w:ascii="Garamond" w:hAnsi="Garamond"/>
          <w:b/>
          <w:lang w:eastAsia="pt-BR"/>
        </w:rPr>
      </w:pPr>
      <w:r w:rsidRPr="0008528B">
        <w:rPr>
          <w:rFonts w:ascii="Garamond" w:hAnsi="Garamond"/>
          <w:b/>
          <w:lang w:eastAsia="pt-BR"/>
        </w:rPr>
        <w:t>Seção III</w:t>
      </w:r>
    </w:p>
    <w:p w14:paraId="7D37AED6" w14:textId="77777777" w:rsidR="00395593" w:rsidRPr="005C5CBD" w:rsidRDefault="00395593" w:rsidP="009B5236">
      <w:pPr>
        <w:pStyle w:val="Corpodetexto"/>
        <w:jc w:val="center"/>
        <w:rPr>
          <w:lang w:eastAsia="pt-BR"/>
        </w:rPr>
      </w:pPr>
      <w:r w:rsidRPr="0008528B">
        <w:rPr>
          <w:rFonts w:ascii="Garamond" w:hAnsi="Garamond"/>
          <w:b/>
          <w:lang w:eastAsia="pt-BR"/>
        </w:rPr>
        <w:t>Do prazo para apresentação da petição</w:t>
      </w:r>
    </w:p>
    <w:p w14:paraId="5C3B40C0" w14:textId="77777777" w:rsidR="00395593" w:rsidRPr="005C5CBD" w:rsidRDefault="00395593" w:rsidP="00E15FBB">
      <w:pPr>
        <w:autoSpaceDE w:val="0"/>
        <w:autoSpaceDN w:val="0"/>
        <w:adjustRightInd w:val="0"/>
        <w:spacing w:after="0" w:line="240" w:lineRule="auto"/>
        <w:jc w:val="center"/>
        <w:rPr>
          <w:rFonts w:ascii="Garamond" w:eastAsia="Calibri" w:hAnsi="Garamond" w:cs="Calibri"/>
          <w:b/>
          <w:sz w:val="24"/>
          <w:szCs w:val="24"/>
        </w:rPr>
      </w:pPr>
    </w:p>
    <w:p w14:paraId="682FED13"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361. A petição deverá ser protocolada no prazo de quatro meses, contado da data final do período de revisão. </w:t>
      </w:r>
    </w:p>
    <w:p w14:paraId="11A6DE40"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49A909C0" w14:textId="77777777" w:rsidR="00395593" w:rsidRPr="0008528B" w:rsidRDefault="00395593" w:rsidP="009B5236">
      <w:pPr>
        <w:pStyle w:val="Corpodetexto"/>
        <w:jc w:val="center"/>
        <w:rPr>
          <w:rFonts w:ascii="Garamond" w:hAnsi="Garamond"/>
          <w:b/>
          <w:lang w:eastAsia="pt-BR"/>
        </w:rPr>
      </w:pPr>
      <w:r w:rsidRPr="0008528B">
        <w:rPr>
          <w:rFonts w:ascii="Garamond" w:hAnsi="Garamond"/>
          <w:b/>
          <w:lang w:eastAsia="pt-BR"/>
        </w:rPr>
        <w:t>Seção IV</w:t>
      </w:r>
    </w:p>
    <w:p w14:paraId="74E7F60B" w14:textId="77777777" w:rsidR="00395593" w:rsidRPr="0008528B" w:rsidRDefault="00395593" w:rsidP="009B5236">
      <w:pPr>
        <w:pStyle w:val="Corpodetexto"/>
        <w:jc w:val="center"/>
        <w:rPr>
          <w:rFonts w:ascii="Garamond" w:hAnsi="Garamond"/>
          <w:b/>
          <w:lang w:eastAsia="pt-BR"/>
        </w:rPr>
      </w:pPr>
      <w:r w:rsidRPr="0008528B">
        <w:rPr>
          <w:rFonts w:ascii="Garamond" w:hAnsi="Garamond"/>
          <w:b/>
          <w:lang w:eastAsia="pt-BR"/>
        </w:rPr>
        <w:t>Do conteúdo da petição</w:t>
      </w:r>
    </w:p>
    <w:p w14:paraId="01D70866" w14:textId="77777777" w:rsidR="00395593" w:rsidRPr="0008528B" w:rsidRDefault="00395593" w:rsidP="009B5236">
      <w:pPr>
        <w:pStyle w:val="Corpodetexto"/>
        <w:jc w:val="center"/>
        <w:rPr>
          <w:rFonts w:ascii="Garamond" w:eastAsia="Calibri" w:hAnsi="Garamond"/>
          <w:b/>
        </w:rPr>
      </w:pPr>
    </w:p>
    <w:p w14:paraId="3169E308" w14:textId="77777777" w:rsidR="00395593" w:rsidRPr="0008528B" w:rsidRDefault="00395593" w:rsidP="009B5236">
      <w:pPr>
        <w:pStyle w:val="Corpodetexto"/>
        <w:jc w:val="center"/>
        <w:rPr>
          <w:rFonts w:ascii="Garamond" w:eastAsia="MS Gothic" w:hAnsi="Garamond"/>
          <w:b/>
          <w:bCs/>
          <w:color w:val="4F81BD"/>
          <w:lang w:eastAsia="pt-BR"/>
        </w:rPr>
      </w:pPr>
      <w:r w:rsidRPr="0008528B">
        <w:rPr>
          <w:rFonts w:ascii="Garamond" w:eastAsia="MS Gothic" w:hAnsi="Garamond"/>
          <w:b/>
          <w:bCs/>
          <w:lang w:eastAsia="pt-BR"/>
        </w:rPr>
        <w:t>Subseção I</w:t>
      </w:r>
    </w:p>
    <w:p w14:paraId="463789AB" w14:textId="77777777" w:rsidR="00395593" w:rsidRPr="0008528B" w:rsidRDefault="00395593" w:rsidP="009B5236">
      <w:pPr>
        <w:pStyle w:val="Corpodetexto"/>
        <w:jc w:val="center"/>
        <w:rPr>
          <w:rFonts w:ascii="Garamond" w:eastAsia="MS Gothic" w:hAnsi="Garamond"/>
          <w:b/>
          <w:bCs/>
          <w:color w:val="4F81BD"/>
          <w:lang w:eastAsia="pt-BR"/>
        </w:rPr>
      </w:pPr>
      <w:r w:rsidRPr="0008528B">
        <w:rPr>
          <w:rFonts w:ascii="Garamond" w:eastAsia="MS Gothic" w:hAnsi="Garamond"/>
          <w:b/>
          <w:bCs/>
          <w:lang w:eastAsia="pt-BR"/>
        </w:rPr>
        <w:t>Das informações gerais</w:t>
      </w:r>
    </w:p>
    <w:p w14:paraId="5BA934D8" w14:textId="77777777" w:rsidR="00395593" w:rsidRPr="005C5CBD" w:rsidRDefault="00395593" w:rsidP="00E15FBB">
      <w:pPr>
        <w:autoSpaceDE w:val="0"/>
        <w:autoSpaceDN w:val="0"/>
        <w:adjustRightInd w:val="0"/>
        <w:spacing w:after="0" w:line="240" w:lineRule="auto"/>
        <w:jc w:val="center"/>
        <w:rPr>
          <w:rFonts w:ascii="Garamond" w:eastAsia="Calibri" w:hAnsi="Garamond" w:cs="Calibri"/>
          <w:b/>
          <w:sz w:val="24"/>
          <w:szCs w:val="24"/>
          <w:highlight w:val="yellow"/>
        </w:rPr>
      </w:pPr>
    </w:p>
    <w:p w14:paraId="055D2680" w14:textId="77777777" w:rsidR="00395593" w:rsidRPr="005C5CBD" w:rsidRDefault="00395593" w:rsidP="00E15FBB">
      <w:pPr>
        <w:autoSpaceDE w:val="0"/>
        <w:autoSpaceDN w:val="0"/>
        <w:adjustRightInd w:val="0"/>
        <w:spacing w:after="0" w:line="240" w:lineRule="auto"/>
        <w:jc w:val="center"/>
        <w:rPr>
          <w:rFonts w:ascii="Garamond" w:eastAsia="Calibri" w:hAnsi="Garamond" w:cs="Calibri"/>
          <w:b/>
          <w:sz w:val="24"/>
          <w:szCs w:val="24"/>
          <w:highlight w:val="yellow"/>
        </w:rPr>
      </w:pPr>
    </w:p>
    <w:p w14:paraId="619AC2C8"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362. A petição deverá indicar:</w:t>
      </w:r>
    </w:p>
    <w:p w14:paraId="092F5B09"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78C41CB7"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razão social, endereço completo, telefone e endereço eletrônico do importador peticionário; e</w:t>
      </w:r>
    </w:p>
    <w:p w14:paraId="168E9E61"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785EB97D"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nome, função, endereço completo, telefone e endereço eletrônico do representante legal habilitado junto à Subsecretaria de Defesa Comercial e Interesse Público.</w:t>
      </w:r>
    </w:p>
    <w:p w14:paraId="64FEF0D6"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236A2879" w14:textId="67CA596E"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363. A petição deverá informar os períodos considerados para o disposto nos arts. </w:t>
      </w:r>
      <w:r w:rsidR="002A3D1B">
        <w:rPr>
          <w:rFonts w:ascii="Garamond" w:eastAsia="Calibri" w:hAnsi="Garamond" w:cs="Calibri"/>
          <w:sz w:val="24"/>
          <w:szCs w:val="24"/>
        </w:rPr>
        <w:t>359</w:t>
      </w:r>
      <w:r w:rsidR="00E15FBB" w:rsidRPr="005C5CBD">
        <w:rPr>
          <w:rFonts w:ascii="Garamond" w:eastAsia="Calibri" w:hAnsi="Garamond" w:cs="Calibri"/>
          <w:sz w:val="24"/>
          <w:szCs w:val="24"/>
        </w:rPr>
        <w:t xml:space="preserve"> e </w:t>
      </w:r>
      <w:r w:rsidR="002A3D1B">
        <w:rPr>
          <w:rFonts w:ascii="Garamond" w:eastAsia="Calibri" w:hAnsi="Garamond" w:cs="Calibri"/>
          <w:sz w:val="24"/>
          <w:szCs w:val="24"/>
        </w:rPr>
        <w:t>360</w:t>
      </w:r>
      <w:r w:rsidRPr="005C5CBD">
        <w:rPr>
          <w:rFonts w:ascii="Garamond" w:eastAsia="Calibri" w:hAnsi="Garamond" w:cs="Calibri"/>
          <w:sz w:val="24"/>
          <w:szCs w:val="24"/>
        </w:rPr>
        <w:t xml:space="preserve"> desta Portaria.</w:t>
      </w:r>
    </w:p>
    <w:p w14:paraId="3A9F5E8F"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0EFB5B0F"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364. A petição deverá especificar o ato que resultou no direito compensatório aplicado sobre o produto exportado para o Brasil e recolhido durante o período de revisão de restituição.</w:t>
      </w:r>
    </w:p>
    <w:p w14:paraId="5BE11062"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643E79CF"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365. A petição deverá conter elementos de prova de que o montante de direitos compensatórios definitivos recolhido foi superior ao que seria devido caso o direito tivesse sido calculado com base no montante de subsídios apurado para o período de revisão.</w:t>
      </w:r>
    </w:p>
    <w:p w14:paraId="4BD3DDDA"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19F2E45E"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Meras alegações não serão consideradas suficientes para cumprir as exigências da revisão de restituição.</w:t>
      </w:r>
    </w:p>
    <w:p w14:paraId="162F9A68" w14:textId="77777777" w:rsidR="00395593" w:rsidRPr="005C5CBD" w:rsidRDefault="00395593" w:rsidP="00E15FBB">
      <w:pPr>
        <w:autoSpaceDE w:val="0"/>
        <w:autoSpaceDN w:val="0"/>
        <w:adjustRightInd w:val="0"/>
        <w:spacing w:after="0" w:line="240" w:lineRule="auto"/>
        <w:jc w:val="both"/>
        <w:rPr>
          <w:rFonts w:ascii="Garamond" w:eastAsia="Calibri" w:hAnsi="Garamond" w:cs="Calibri"/>
          <w:sz w:val="24"/>
          <w:szCs w:val="24"/>
        </w:rPr>
      </w:pPr>
    </w:p>
    <w:p w14:paraId="3B433A5C" w14:textId="77777777" w:rsidR="00395593" w:rsidRPr="0008528B" w:rsidRDefault="00395593" w:rsidP="009B5236">
      <w:pPr>
        <w:pStyle w:val="Corpodetexto"/>
        <w:jc w:val="center"/>
        <w:rPr>
          <w:rFonts w:ascii="Garamond" w:eastAsia="MS Gothic" w:hAnsi="Garamond"/>
          <w:b/>
          <w:color w:val="4F81BD"/>
          <w:lang w:eastAsia="pt-BR"/>
        </w:rPr>
      </w:pPr>
      <w:r w:rsidRPr="0008528B">
        <w:rPr>
          <w:rFonts w:ascii="Garamond" w:eastAsia="MS Gothic" w:hAnsi="Garamond"/>
          <w:b/>
          <w:lang w:eastAsia="pt-BR"/>
        </w:rPr>
        <w:t>Subseção II</w:t>
      </w:r>
    </w:p>
    <w:p w14:paraId="1D22A634" w14:textId="77777777" w:rsidR="00395593" w:rsidRPr="0008528B" w:rsidRDefault="00395593" w:rsidP="009B5236">
      <w:pPr>
        <w:pStyle w:val="Corpodetexto"/>
        <w:jc w:val="center"/>
        <w:rPr>
          <w:rFonts w:ascii="Garamond" w:eastAsia="MS Gothic" w:hAnsi="Garamond"/>
          <w:b/>
          <w:lang w:eastAsia="pt-BR"/>
        </w:rPr>
      </w:pPr>
      <w:r w:rsidRPr="0008528B">
        <w:rPr>
          <w:rFonts w:ascii="Garamond" w:eastAsia="MS Gothic" w:hAnsi="Garamond"/>
          <w:b/>
          <w:lang w:eastAsia="pt-BR"/>
        </w:rPr>
        <w:t>Das informações necessárias para apuração do montante de subsídios</w:t>
      </w:r>
    </w:p>
    <w:p w14:paraId="554ED701" w14:textId="77777777" w:rsidR="00395593" w:rsidRPr="005C5CBD" w:rsidRDefault="00395593" w:rsidP="00E15FBB">
      <w:pPr>
        <w:autoSpaceDE w:val="0"/>
        <w:autoSpaceDN w:val="0"/>
        <w:adjustRightInd w:val="0"/>
        <w:spacing w:after="0" w:line="240" w:lineRule="auto"/>
        <w:jc w:val="both"/>
        <w:rPr>
          <w:rFonts w:ascii="Garamond" w:eastAsia="Calibri" w:hAnsi="Garamond" w:cs="Calibri"/>
          <w:sz w:val="24"/>
          <w:szCs w:val="24"/>
        </w:rPr>
      </w:pPr>
      <w:r w:rsidRPr="005C5CBD">
        <w:rPr>
          <w:rFonts w:ascii="Garamond" w:eastAsia="Calibri" w:hAnsi="Garamond" w:cs="Calibri"/>
          <w:sz w:val="24"/>
          <w:szCs w:val="24"/>
        </w:rPr>
        <w:t xml:space="preserve"> </w:t>
      </w:r>
    </w:p>
    <w:p w14:paraId="4C9B3175" w14:textId="4B43CFB3"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366. As informações desta Seção referem-se apenas ao período de revisão indicado no art. </w:t>
      </w:r>
      <w:r w:rsidR="002A3D1B">
        <w:rPr>
          <w:rFonts w:ascii="Garamond" w:eastAsia="Calibri" w:hAnsi="Garamond" w:cs="Calibri"/>
          <w:sz w:val="24"/>
          <w:szCs w:val="24"/>
        </w:rPr>
        <w:t>359</w:t>
      </w:r>
      <w:r w:rsidR="00E15FBB" w:rsidRPr="005C5CBD">
        <w:rPr>
          <w:rFonts w:ascii="Garamond" w:eastAsia="Calibri" w:hAnsi="Garamond" w:cs="Calibri"/>
          <w:sz w:val="24"/>
          <w:szCs w:val="24"/>
        </w:rPr>
        <w:t>.</w:t>
      </w:r>
    </w:p>
    <w:p w14:paraId="78C52526" w14:textId="77777777" w:rsidR="00E15FBB" w:rsidRPr="005C5CBD" w:rsidRDefault="00E15FBB" w:rsidP="00F9137F">
      <w:pPr>
        <w:autoSpaceDE w:val="0"/>
        <w:autoSpaceDN w:val="0"/>
        <w:adjustRightInd w:val="0"/>
        <w:spacing w:after="0" w:line="240" w:lineRule="auto"/>
        <w:ind w:firstLine="567"/>
        <w:jc w:val="both"/>
        <w:rPr>
          <w:rFonts w:ascii="Garamond" w:eastAsia="Calibri" w:hAnsi="Garamond" w:cs="Calibri"/>
          <w:sz w:val="24"/>
          <w:szCs w:val="24"/>
        </w:rPr>
      </w:pPr>
    </w:p>
    <w:p w14:paraId="3E2F263B" w14:textId="0CD1B01B" w:rsidR="00E15FBB" w:rsidRPr="005C5CBD" w:rsidRDefault="00E15FBB"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367. A petição deverá indicar o governo do país exportador, o produtor ou exportador do produto objeto do direito compensatório que tenha comercializado o produto objeto da revisão de restituição com o importador peticionário e para o qual um montante de subsídios tenha sido apurado no procedimento imediatamente anterior a esta revisão, nos termos do art. </w:t>
      </w:r>
      <w:r w:rsidR="002A3D1B">
        <w:rPr>
          <w:rFonts w:ascii="Garamond" w:eastAsia="Calibri" w:hAnsi="Garamond" w:cs="Calibri"/>
          <w:sz w:val="24"/>
          <w:szCs w:val="24"/>
        </w:rPr>
        <w:t>354</w:t>
      </w:r>
      <w:r w:rsidRPr="005C5CBD">
        <w:rPr>
          <w:rFonts w:ascii="Garamond" w:eastAsia="Calibri" w:hAnsi="Garamond" w:cs="Calibri"/>
          <w:sz w:val="24"/>
          <w:szCs w:val="24"/>
        </w:rPr>
        <w:t>, informando seu nome e endereço.</w:t>
      </w:r>
    </w:p>
    <w:p w14:paraId="31DA6FFD"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24070C7C"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368. O peticionário deverá apresentar carta de apoio:</w:t>
      </w:r>
    </w:p>
    <w:p w14:paraId="3D76C724"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10C27E9B"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de cada produtor ou exportador envolvido na petição de restituição contendo manifestação expressa do interesse do produtor ou exportador em cooperar com a revisão e em fornecer informações acerca das suas exportações para o Brasil do produto objeto do direito compensatório, respectivamente, ao longo do período de revisão.</w:t>
      </w:r>
    </w:p>
    <w:p w14:paraId="107FC193"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1031DFE6"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do governo do país exportador contendo manifestação expressa em cooperar com a revisão e em fornecer informações acerca dos subsídios concedidos ao longo do período de revisão.</w:t>
      </w:r>
    </w:p>
    <w:p w14:paraId="64673692"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66A56BD5"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Parágrafo único. A Subsecretaria de Defesa Comercial e Interesse Público poderá enviar questionários para os governos do país, para os produtores ou exportadores e para os importadores relacionados ou associados envolvidos no processo de revisão de restituição, bem como poderá conduzir verificações </w:t>
      </w:r>
      <w:r w:rsidRPr="005C5CBD">
        <w:rPr>
          <w:rFonts w:ascii="Garamond" w:eastAsia="Calibri" w:hAnsi="Garamond" w:cs="Calibri"/>
          <w:b/>
          <w:sz w:val="24"/>
          <w:szCs w:val="24"/>
        </w:rPr>
        <w:t>in loco</w:t>
      </w:r>
      <w:r w:rsidRPr="005C5CBD">
        <w:rPr>
          <w:rFonts w:ascii="Garamond" w:eastAsia="Calibri" w:hAnsi="Garamond" w:cs="Calibri"/>
          <w:sz w:val="24"/>
          <w:szCs w:val="24"/>
        </w:rPr>
        <w:t xml:space="preserve"> para examinar os registros dos governos e das empresas e comprovar as informações fornecidas.</w:t>
      </w:r>
    </w:p>
    <w:p w14:paraId="7326C0B0"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30BB18DF"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369. A petição deverá conter elementos de prova relativos aos subsídios e ao preço de exportação para o Brasil de cada produtor ou exportador indicado na revisão de restituição.</w:t>
      </w:r>
    </w:p>
    <w:p w14:paraId="14B60373" w14:textId="77777777" w:rsidR="00395593" w:rsidRPr="005C5CBD" w:rsidRDefault="00395593" w:rsidP="00E15FBB">
      <w:pPr>
        <w:autoSpaceDE w:val="0"/>
        <w:autoSpaceDN w:val="0"/>
        <w:adjustRightInd w:val="0"/>
        <w:spacing w:after="0" w:line="240" w:lineRule="auto"/>
        <w:jc w:val="both"/>
        <w:rPr>
          <w:rFonts w:ascii="Garamond" w:eastAsia="Calibri" w:hAnsi="Garamond" w:cs="Calibri"/>
          <w:sz w:val="24"/>
          <w:szCs w:val="24"/>
          <w:highlight w:val="yellow"/>
        </w:rPr>
      </w:pPr>
    </w:p>
    <w:p w14:paraId="25AEFD7D" w14:textId="77777777" w:rsidR="00395593" w:rsidRPr="0008528B" w:rsidRDefault="00395593" w:rsidP="009B5236">
      <w:pPr>
        <w:pStyle w:val="Corpodetexto"/>
        <w:jc w:val="center"/>
        <w:rPr>
          <w:rFonts w:ascii="Garamond" w:eastAsia="MS Gothic" w:hAnsi="Garamond"/>
          <w:b/>
          <w:color w:val="4F81BD"/>
          <w:lang w:eastAsia="pt-BR"/>
        </w:rPr>
      </w:pPr>
      <w:r w:rsidRPr="0008528B">
        <w:rPr>
          <w:rFonts w:ascii="Garamond" w:eastAsia="MS Gothic" w:hAnsi="Garamond"/>
          <w:b/>
          <w:lang w:eastAsia="pt-BR"/>
        </w:rPr>
        <w:t>Subseção III</w:t>
      </w:r>
    </w:p>
    <w:p w14:paraId="453F6C6B" w14:textId="77777777" w:rsidR="00395593" w:rsidRPr="005C5CBD" w:rsidRDefault="00395593" w:rsidP="009B5236">
      <w:pPr>
        <w:pStyle w:val="Corpodetexto"/>
        <w:jc w:val="center"/>
        <w:rPr>
          <w:rFonts w:eastAsia="MS Gothic"/>
          <w:color w:val="4F81BD"/>
          <w:lang w:eastAsia="pt-BR"/>
        </w:rPr>
      </w:pPr>
      <w:r w:rsidRPr="0008528B">
        <w:rPr>
          <w:rFonts w:ascii="Garamond" w:eastAsia="MS Gothic" w:hAnsi="Garamond"/>
          <w:b/>
          <w:lang w:eastAsia="pt-BR"/>
        </w:rPr>
        <w:t>Dos subsídios</w:t>
      </w:r>
    </w:p>
    <w:p w14:paraId="2D2F0DB4" w14:textId="77777777" w:rsidR="00395593" w:rsidRPr="005C5CBD" w:rsidRDefault="00395593" w:rsidP="00E15FBB">
      <w:pPr>
        <w:autoSpaceDE w:val="0"/>
        <w:autoSpaceDN w:val="0"/>
        <w:adjustRightInd w:val="0"/>
        <w:spacing w:after="0" w:line="240" w:lineRule="auto"/>
        <w:jc w:val="center"/>
        <w:rPr>
          <w:rFonts w:ascii="Garamond" w:eastAsia="Calibri" w:hAnsi="Garamond" w:cs="Calibri"/>
          <w:b/>
          <w:sz w:val="24"/>
          <w:szCs w:val="24"/>
        </w:rPr>
      </w:pPr>
    </w:p>
    <w:p w14:paraId="012D7B26"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highlight w:val="yellow"/>
        </w:rPr>
      </w:pPr>
      <w:r w:rsidRPr="005C5CBD">
        <w:rPr>
          <w:rFonts w:ascii="Garamond" w:eastAsia="Calibri" w:hAnsi="Garamond" w:cs="Calibri"/>
          <w:sz w:val="24"/>
          <w:szCs w:val="24"/>
        </w:rPr>
        <w:t>Art. 370. A petição deverá conter informações completas sobre todos os subsídios que beneficiaram as importações efetuadas no período de revisão, por meio da identificação de todos os programas de subsídios, de nível nacional ou subnacional, que preencham os requisitos do art. 9º do Decreto nº 10.839, de 2021, e indicar para cada um desses programas:</w:t>
      </w:r>
    </w:p>
    <w:p w14:paraId="48DA2297"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highlight w:val="yellow"/>
        </w:rPr>
      </w:pPr>
    </w:p>
    <w:p w14:paraId="736DE720"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 - a autoridade outorgante responsável pela concessão e/ou pela administração do programa de subsídio; </w:t>
      </w:r>
    </w:p>
    <w:p w14:paraId="5A48ADFC"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31478406"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a descrição do programa de subsídio (objetivos, fontes dos recursos, montante total, natureza e operação);</w:t>
      </w:r>
    </w:p>
    <w:p w14:paraId="1FA0AE1A"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7243DFB4"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III - a forma de contribuição financeira ou sustentação de renda ou de preços conferida no âmbito do programa de subsídio, classificando-a como:</w:t>
      </w:r>
    </w:p>
    <w:p w14:paraId="30E9E870"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1886E7D5"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a) transferência direta de fundos (doações, empréstimos, aportes de capital, entre outros) ou potenciais transferências diretas de fundos (garantias de empréstimos, entre outros); </w:t>
      </w:r>
    </w:p>
    <w:p w14:paraId="0A789360"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lang w:eastAsia="pt-BR"/>
        </w:rPr>
      </w:pPr>
    </w:p>
    <w:p w14:paraId="4EBA77CE"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 xml:space="preserve">b) perdão ou não recolhimento de receitas públicas devidas (incentivos fiscais, entre outros); </w:t>
      </w:r>
    </w:p>
    <w:p w14:paraId="629300EF"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lang w:eastAsia="pt-BR"/>
        </w:rPr>
      </w:pPr>
    </w:p>
    <w:p w14:paraId="3C97CEA1"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c) fornecimento pelo governo de bens ou serviços além daqueles destinados à infraestrutura geral, ou a aquisição de bens pelo governo;</w:t>
      </w:r>
    </w:p>
    <w:p w14:paraId="26DECF5B"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highlight w:val="yellow"/>
        </w:rPr>
      </w:pPr>
    </w:p>
    <w:p w14:paraId="4CC599DE"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d) realização pelo governo de pagamentos a um mecanismo de financiamento para provimento de contribuição financeira, ou instrução ou confiança à entidade privada do provimento de contribuição financeira mediante o desempenho de uma ou mais das funções descritas nas alíneas anteriores, as quais seriam normalmente incumbência do governo, e cuja prática não difira, de modo significativo, das práticas habitualmente seguidas pelos governos; ou</w:t>
      </w:r>
    </w:p>
    <w:p w14:paraId="53ACC23F"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highlight w:val="yellow"/>
        </w:rPr>
      </w:pPr>
    </w:p>
    <w:p w14:paraId="25A4DA9B"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e) sustentação de renda ou de preços que, direta ou indiretamente, contribua para aumentar exportações ou reduzir importações de um produto qualquer; e</w:t>
      </w:r>
    </w:p>
    <w:p w14:paraId="40633F7B"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highlight w:val="yellow"/>
        </w:rPr>
      </w:pPr>
    </w:p>
    <w:p w14:paraId="3A871CFD"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lang w:eastAsia="pt-BR"/>
        </w:rPr>
      </w:pPr>
      <w:r w:rsidRPr="005C5CBD">
        <w:rPr>
          <w:rFonts w:ascii="Garamond" w:eastAsia="Calibri" w:hAnsi="Garamond" w:cs="Calibri"/>
          <w:sz w:val="24"/>
          <w:szCs w:val="24"/>
          <w:lang w:eastAsia="pt-BR"/>
        </w:rPr>
        <w:t>VI - a legislação, os regulamentos e outros documentos relevantes conhecidos referentes ao programa de subsídio, incluindo cópias da documentação.</w:t>
      </w:r>
    </w:p>
    <w:p w14:paraId="6C6FDE70"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1AB5684C"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371. A petição deverá indicar, nos termos do art. 19 do Decreto nº 10.839, de 2021, se houve concessão de subsídios a montante aos insumos do produto objeto do direito compensatório no país exportador.</w:t>
      </w:r>
    </w:p>
    <w:p w14:paraId="3C6EFDF5"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09116B63"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A petição deverá indicar as empresas fornecedoras de bens ou serviços para os produtores ou exportadores do produto objeto do direito compensatório que tenham se beneficiado do programa de subsídio.</w:t>
      </w:r>
    </w:p>
    <w:p w14:paraId="7C515E19"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highlight w:val="yellow"/>
        </w:rPr>
      </w:pPr>
    </w:p>
    <w:p w14:paraId="5893DA92" w14:textId="77777777" w:rsidR="00395593" w:rsidRPr="005C5CBD" w:rsidRDefault="00395593" w:rsidP="00F9137F">
      <w:pPr>
        <w:autoSpaceDE w:val="0"/>
        <w:autoSpaceDN w:val="0"/>
        <w:adjustRightInd w:val="0"/>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372. </w:t>
      </w:r>
      <w:r w:rsidRPr="005C5CBD">
        <w:rPr>
          <w:rFonts w:ascii="Garamond" w:eastAsia="Times New Roman" w:hAnsi="Garamond" w:cs="Calibri"/>
          <w:color w:val="000000"/>
          <w:sz w:val="24"/>
          <w:szCs w:val="24"/>
          <w:lang w:eastAsia="pt-BR"/>
        </w:rPr>
        <w:t xml:space="preserve">A petição deverá ser instruída com dados referentes aos subsídios concedidos no período de revisão, utilizando-se do formato do questionário do produtor ou exportador da investigação que aplicou, alterou ou prorrogou o direito compensatório para indicação do montante de subsídio recebido no âmbito de cada programa, disponibilizado no sítio da </w:t>
      </w:r>
      <w:r w:rsidRPr="005C5CBD">
        <w:rPr>
          <w:rFonts w:ascii="Garamond" w:eastAsia="Calibri" w:hAnsi="Garamond" w:cs="Calibri"/>
          <w:sz w:val="24"/>
          <w:szCs w:val="24"/>
          <w:lang w:eastAsia="pt-BR"/>
        </w:rPr>
        <w:t>Subsecretaria de Defesa Comercial e Interesse Público</w:t>
      </w:r>
      <w:r w:rsidRPr="005C5CBD">
        <w:rPr>
          <w:rFonts w:ascii="Garamond" w:eastAsia="Times New Roman" w:hAnsi="Garamond" w:cs="Calibri"/>
          <w:color w:val="000000"/>
          <w:sz w:val="24"/>
          <w:szCs w:val="24"/>
          <w:lang w:eastAsia="pt-BR"/>
        </w:rPr>
        <w:t xml:space="preserve">. </w:t>
      </w:r>
    </w:p>
    <w:p w14:paraId="3B34E5B0" w14:textId="77777777" w:rsidR="00395593" w:rsidRPr="005C5CBD" w:rsidRDefault="00395593" w:rsidP="00E15FBB">
      <w:pPr>
        <w:autoSpaceDE w:val="0"/>
        <w:autoSpaceDN w:val="0"/>
        <w:adjustRightInd w:val="0"/>
        <w:spacing w:after="0" w:line="240" w:lineRule="auto"/>
        <w:jc w:val="both"/>
        <w:rPr>
          <w:rFonts w:ascii="Garamond" w:eastAsia="Times New Roman" w:hAnsi="Garamond" w:cs="Calibri"/>
          <w:sz w:val="24"/>
          <w:szCs w:val="24"/>
          <w:lang w:eastAsia="pt-BR"/>
        </w:rPr>
      </w:pPr>
    </w:p>
    <w:p w14:paraId="775C51D3" w14:textId="77777777" w:rsidR="00395593" w:rsidRPr="005C5CBD" w:rsidRDefault="00395593" w:rsidP="00F9137F">
      <w:pPr>
        <w:autoSpaceDE w:val="0"/>
        <w:autoSpaceDN w:val="0"/>
        <w:adjustRightInd w:val="0"/>
        <w:spacing w:after="0" w:line="240" w:lineRule="auto"/>
        <w:ind w:firstLine="567"/>
        <w:jc w:val="both"/>
        <w:rPr>
          <w:rFonts w:ascii="Garamond" w:eastAsia="Times New Roman" w:hAnsi="Garamond" w:cs="Calibri"/>
          <w:sz w:val="24"/>
          <w:szCs w:val="24"/>
          <w:highlight w:val="yellow"/>
          <w:lang w:eastAsia="pt-BR"/>
        </w:rPr>
      </w:pPr>
      <w:r w:rsidRPr="005C5CBD">
        <w:rPr>
          <w:rFonts w:ascii="Garamond" w:eastAsia="Times New Roman" w:hAnsi="Garamond" w:cs="Calibri"/>
          <w:sz w:val="24"/>
          <w:szCs w:val="24"/>
          <w:lang w:eastAsia="pt-BR"/>
        </w:rPr>
        <w:t xml:space="preserve">Parágrafo único. A parte interessada poderá solicitar à </w:t>
      </w:r>
      <w:r w:rsidRPr="005C5CBD">
        <w:rPr>
          <w:rFonts w:ascii="Garamond" w:eastAsia="Calibri" w:hAnsi="Garamond" w:cs="Calibri"/>
          <w:sz w:val="24"/>
          <w:szCs w:val="24"/>
          <w:lang w:eastAsia="pt-BR"/>
        </w:rPr>
        <w:t>Subsecretaria de Defesa Comercial e Interesse Público</w:t>
      </w:r>
      <w:r w:rsidRPr="005C5CBD">
        <w:rPr>
          <w:rFonts w:ascii="Garamond" w:eastAsia="Times New Roman" w:hAnsi="Garamond" w:cs="Calibri"/>
          <w:sz w:val="24"/>
          <w:szCs w:val="24"/>
          <w:lang w:eastAsia="pt-BR"/>
        </w:rPr>
        <w:t xml:space="preserve"> o encaminhamento do questionário a que se refere o </w:t>
      </w:r>
      <w:r w:rsidRPr="005C5CBD">
        <w:rPr>
          <w:rFonts w:ascii="Garamond" w:eastAsia="Times New Roman" w:hAnsi="Garamond" w:cs="Calibri"/>
          <w:b/>
          <w:bCs/>
          <w:sz w:val="24"/>
          <w:szCs w:val="24"/>
          <w:lang w:eastAsia="pt-BR"/>
        </w:rPr>
        <w:t>caput</w:t>
      </w:r>
      <w:r w:rsidRPr="005C5CBD">
        <w:rPr>
          <w:rFonts w:ascii="Garamond" w:eastAsia="Times New Roman" w:hAnsi="Garamond" w:cs="Calibri"/>
          <w:sz w:val="24"/>
          <w:szCs w:val="24"/>
          <w:lang w:eastAsia="pt-BR"/>
        </w:rPr>
        <w:t>.</w:t>
      </w:r>
    </w:p>
    <w:p w14:paraId="2BBBF108" w14:textId="77777777" w:rsidR="00395593" w:rsidRPr="005C5CBD" w:rsidRDefault="00395593" w:rsidP="00E15FBB">
      <w:pPr>
        <w:autoSpaceDE w:val="0"/>
        <w:autoSpaceDN w:val="0"/>
        <w:adjustRightInd w:val="0"/>
        <w:spacing w:after="0" w:line="240" w:lineRule="auto"/>
        <w:jc w:val="both"/>
        <w:rPr>
          <w:rFonts w:ascii="Garamond" w:eastAsia="Calibri" w:hAnsi="Garamond" w:cs="Calibri"/>
          <w:sz w:val="24"/>
          <w:szCs w:val="24"/>
        </w:rPr>
      </w:pPr>
    </w:p>
    <w:p w14:paraId="641A909A" w14:textId="77777777" w:rsidR="00395593" w:rsidRPr="0008528B" w:rsidRDefault="00395593" w:rsidP="009B5236">
      <w:pPr>
        <w:pStyle w:val="Corpodetexto"/>
        <w:jc w:val="center"/>
        <w:rPr>
          <w:rFonts w:ascii="Garamond" w:eastAsia="MS Gothic" w:hAnsi="Garamond"/>
          <w:b/>
          <w:color w:val="4F81BD"/>
          <w:lang w:eastAsia="pt-BR"/>
        </w:rPr>
      </w:pPr>
      <w:r w:rsidRPr="0008528B">
        <w:rPr>
          <w:rFonts w:ascii="Garamond" w:eastAsia="MS Gothic" w:hAnsi="Garamond"/>
          <w:b/>
          <w:lang w:eastAsia="pt-BR"/>
        </w:rPr>
        <w:t>Subseção IV</w:t>
      </w:r>
    </w:p>
    <w:p w14:paraId="6A2A55D6" w14:textId="77777777" w:rsidR="00395593" w:rsidRPr="005C5CBD" w:rsidRDefault="00395593" w:rsidP="009B5236">
      <w:pPr>
        <w:pStyle w:val="Corpodetexto"/>
        <w:jc w:val="center"/>
        <w:rPr>
          <w:rFonts w:eastAsia="MS Gothic"/>
          <w:color w:val="4F81BD"/>
          <w:lang w:eastAsia="pt-BR"/>
        </w:rPr>
      </w:pPr>
      <w:r w:rsidRPr="0008528B">
        <w:rPr>
          <w:rFonts w:ascii="Garamond" w:eastAsia="MS Gothic" w:hAnsi="Garamond"/>
          <w:b/>
          <w:lang w:eastAsia="pt-BR"/>
        </w:rPr>
        <w:t>Do direito compensatório recolhido</w:t>
      </w:r>
    </w:p>
    <w:p w14:paraId="752BD02D" w14:textId="77777777" w:rsidR="00395593" w:rsidRPr="005C5CBD" w:rsidRDefault="00395593" w:rsidP="00E15FBB">
      <w:pPr>
        <w:autoSpaceDE w:val="0"/>
        <w:autoSpaceDN w:val="0"/>
        <w:adjustRightInd w:val="0"/>
        <w:spacing w:after="0" w:line="240" w:lineRule="auto"/>
        <w:jc w:val="center"/>
        <w:rPr>
          <w:rFonts w:ascii="Garamond" w:eastAsia="Calibri" w:hAnsi="Garamond" w:cs="Calibri"/>
          <w:b/>
          <w:sz w:val="24"/>
          <w:szCs w:val="24"/>
        </w:rPr>
      </w:pPr>
    </w:p>
    <w:p w14:paraId="2CDE3B98"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highlight w:val="yellow"/>
        </w:rPr>
      </w:pPr>
      <w:r w:rsidRPr="005C5CBD">
        <w:rPr>
          <w:rFonts w:ascii="Garamond" w:eastAsia="Calibri" w:hAnsi="Garamond" w:cs="Calibri"/>
          <w:sz w:val="24"/>
          <w:szCs w:val="24"/>
        </w:rPr>
        <w:t>Art. 373. A petição deverá listar todas as transações de importação objeto do direito compensatório realizadas pelo importador peticionário durante o período de apuração do montante de direito a ser restituído, discriminando, para cada transação, a data do desembaraço, a quantidade importada, o preço unitário de importação do produto e a data e o número da respectiva fatura de venda do produtor ou exportador relacionada a essa importação, conforme modelo constante no Apêndice XXIV.</w:t>
      </w:r>
    </w:p>
    <w:p w14:paraId="64A109C3"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11006BFD" w14:textId="7B91B6E8"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374. A petição deverá informar o valor, em percentual e absoluto, de direitos compensatórios recolhidos em cada transação listada no art. </w:t>
      </w:r>
      <w:r w:rsidR="002A3D1B">
        <w:rPr>
          <w:rFonts w:ascii="Garamond" w:eastAsia="Calibri" w:hAnsi="Garamond" w:cs="Calibri"/>
          <w:sz w:val="24"/>
          <w:szCs w:val="24"/>
        </w:rPr>
        <w:t>373</w:t>
      </w:r>
      <w:r w:rsidRPr="005C5CBD">
        <w:rPr>
          <w:rFonts w:ascii="Garamond" w:eastAsia="Calibri" w:hAnsi="Garamond" w:cs="Calibri"/>
          <w:sz w:val="24"/>
          <w:szCs w:val="24"/>
        </w:rPr>
        <w:t xml:space="preserve"> e o valor total absoluto de direitos compensatórios definitivos recolhidos pelo peticionário durante o período de apuração do montante a ser restituído.</w:t>
      </w:r>
    </w:p>
    <w:p w14:paraId="583B7CD6"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7D30F2DB"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375. Os documentos aduaneiros e as faturas comerciais que comprovem as informações solicitadas nos artigos desta Subseção, bem como os documentos, originais ou cópias autenticadas, que comprovem o efetivo pagamento dos direitos compensatórios recolhidos, devem ser anexados à petição de revisão de restituição.</w:t>
      </w:r>
    </w:p>
    <w:p w14:paraId="59E1C8F2" w14:textId="77777777" w:rsidR="00395593" w:rsidRPr="005C5CBD" w:rsidRDefault="00395593" w:rsidP="00E15FBB">
      <w:pPr>
        <w:autoSpaceDE w:val="0"/>
        <w:autoSpaceDN w:val="0"/>
        <w:adjustRightInd w:val="0"/>
        <w:spacing w:after="0" w:line="240" w:lineRule="auto"/>
        <w:jc w:val="both"/>
        <w:rPr>
          <w:rFonts w:ascii="Garamond" w:eastAsia="Calibri" w:hAnsi="Garamond" w:cs="Calibri"/>
          <w:sz w:val="24"/>
          <w:szCs w:val="24"/>
        </w:rPr>
      </w:pPr>
    </w:p>
    <w:p w14:paraId="45E6E2D3" w14:textId="77777777" w:rsidR="00395593" w:rsidRPr="0008528B" w:rsidRDefault="00395593" w:rsidP="009B5236">
      <w:pPr>
        <w:pStyle w:val="Corpodetexto"/>
        <w:jc w:val="center"/>
        <w:rPr>
          <w:rFonts w:ascii="Garamond" w:eastAsia="MS Gothic" w:hAnsi="Garamond"/>
          <w:b/>
          <w:color w:val="4F81BD"/>
          <w:lang w:eastAsia="pt-BR"/>
        </w:rPr>
      </w:pPr>
      <w:r w:rsidRPr="0008528B">
        <w:rPr>
          <w:rFonts w:ascii="Garamond" w:eastAsia="MS Gothic" w:hAnsi="Garamond"/>
          <w:b/>
          <w:lang w:eastAsia="pt-BR"/>
        </w:rPr>
        <w:t>Subseção V</w:t>
      </w:r>
    </w:p>
    <w:p w14:paraId="45989C9B" w14:textId="77777777" w:rsidR="00395593" w:rsidRPr="005C5CBD" w:rsidRDefault="00395593" w:rsidP="009B5236">
      <w:pPr>
        <w:pStyle w:val="Corpodetexto"/>
        <w:jc w:val="center"/>
        <w:rPr>
          <w:rFonts w:eastAsia="MS Gothic"/>
          <w:color w:val="4F81BD"/>
          <w:lang w:eastAsia="pt-BR"/>
        </w:rPr>
      </w:pPr>
      <w:r w:rsidRPr="0008528B">
        <w:rPr>
          <w:rFonts w:ascii="Garamond" w:eastAsia="MS Gothic" w:hAnsi="Garamond"/>
          <w:b/>
          <w:lang w:eastAsia="pt-BR"/>
        </w:rPr>
        <w:t>Do montante a ser restituído e do preço de exportação</w:t>
      </w:r>
    </w:p>
    <w:p w14:paraId="0ABCCBFD" w14:textId="77777777" w:rsidR="00395593" w:rsidRPr="005C5CBD" w:rsidRDefault="00395593" w:rsidP="00E15FBB">
      <w:pPr>
        <w:autoSpaceDE w:val="0"/>
        <w:autoSpaceDN w:val="0"/>
        <w:adjustRightInd w:val="0"/>
        <w:spacing w:after="0" w:line="240" w:lineRule="auto"/>
        <w:jc w:val="center"/>
        <w:rPr>
          <w:rFonts w:ascii="Garamond" w:eastAsia="Calibri" w:hAnsi="Garamond" w:cs="Calibri"/>
          <w:b/>
          <w:sz w:val="24"/>
          <w:szCs w:val="24"/>
        </w:rPr>
      </w:pPr>
    </w:p>
    <w:p w14:paraId="07EA6F0C"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376. A petição deverá informar precisamente o montante de direito compensatório a ser restituído pleiteado pelo peticionário, que deverá consistir na diferença entre o direito compensatório definitivo recolhido relativo às importações do produto objeto da revisão e o montante de subsídios do período de revisão informado pelo peticionário.</w:t>
      </w:r>
    </w:p>
    <w:p w14:paraId="47B2D36F"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32662C61"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A petição deverá conter elementos de prova que demonstrem que o montante de subsídios apurado para o período de revisão de restituição é inferior ao direito vigente, sob pena de não ser considerada devidamente instruída, nos termos dos arts. 134, 135 e 137 do Decreto nº 10.839, de 2021.</w:t>
      </w:r>
    </w:p>
    <w:p w14:paraId="14C16407"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bookmarkStart w:id="150" w:name="art134"/>
      <w:bookmarkStart w:id="151" w:name="art135"/>
      <w:bookmarkEnd w:id="150"/>
      <w:bookmarkEnd w:id="151"/>
    </w:p>
    <w:p w14:paraId="5A270B67" w14:textId="6E933646"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Art. 377.</w:t>
      </w:r>
      <w:r w:rsidRPr="005C5CBD" w:rsidDel="00206CA9">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 xml:space="preserve">Para cada produtor ou exportador indicado no art. </w:t>
      </w:r>
      <w:r w:rsidR="002A3D1B">
        <w:rPr>
          <w:rFonts w:ascii="Garamond" w:eastAsia="Times New Roman" w:hAnsi="Garamond" w:cs="Calibri"/>
          <w:sz w:val="24"/>
          <w:szCs w:val="24"/>
          <w:lang w:eastAsia="pt-BR"/>
        </w:rPr>
        <w:t>367</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a petição deve fornecer os preços de exportação do produto objeto do direito compensatório para todas as vendas realizadas para o Brasil, independentemente dos importadores a que se destinaram, conforme modelo constante do Apêndice IV desta Portaria.</w:t>
      </w:r>
    </w:p>
    <w:p w14:paraId="26ED445D"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7764645F" w14:textId="5F803299" w:rsidR="00395593" w:rsidRPr="005C5CBD" w:rsidRDefault="00395593" w:rsidP="00F9137F">
      <w:pPr>
        <w:spacing w:after="12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378. </w:t>
      </w:r>
      <w:r w:rsidRPr="005C5CBD">
        <w:rPr>
          <w:rFonts w:ascii="Garamond" w:eastAsia="Times New Roman" w:hAnsi="Garamond" w:cs="Calibri"/>
          <w:sz w:val="24"/>
          <w:szCs w:val="24"/>
          <w:lang w:eastAsia="pt-BR"/>
        </w:rPr>
        <w:t xml:space="preserve">Nos casos em que o importador seja relacionado ou associado ao produtor ou exportador ou em que estes possuam acordo compensatório entre si, além de providenciar as informações solicitadas no art. </w:t>
      </w:r>
      <w:r w:rsidR="002A3D1B">
        <w:rPr>
          <w:rFonts w:ascii="Garamond" w:eastAsia="Times New Roman" w:hAnsi="Garamond" w:cs="Calibri"/>
          <w:sz w:val="24"/>
          <w:szCs w:val="24"/>
          <w:lang w:eastAsia="pt-BR"/>
        </w:rPr>
        <w:t>377</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deverá ser fornecido o preço de revenda do produto importado no mercado brasileiro ao primeiro comprador independente, bem como a estimativa de todos os custos incorridos a partir do preço na condição de venda indicada, incluindo frete, seguro, Imposto de Importação e outras despesas de importação, além de uma margem de lucro razoável para um revendedor independente do produto, conforme a tabela constante do Apêndice XXV.</w:t>
      </w:r>
    </w:p>
    <w:p w14:paraId="616B8061" w14:textId="77777777" w:rsidR="00395593" w:rsidRPr="005C5CBD" w:rsidRDefault="00395593" w:rsidP="00E15FBB">
      <w:pPr>
        <w:spacing w:after="0" w:line="240" w:lineRule="auto"/>
        <w:jc w:val="both"/>
        <w:rPr>
          <w:rFonts w:ascii="Garamond" w:eastAsia="Calibri" w:hAnsi="Garamond" w:cs="Calibri"/>
          <w:sz w:val="24"/>
          <w:szCs w:val="24"/>
        </w:rPr>
      </w:pPr>
    </w:p>
    <w:p w14:paraId="7428EA6B" w14:textId="77777777" w:rsidR="00395593" w:rsidRPr="005C5CBD" w:rsidRDefault="00395593" w:rsidP="00E15FBB">
      <w:pPr>
        <w:spacing w:after="0" w:line="240" w:lineRule="auto"/>
        <w:jc w:val="both"/>
        <w:rPr>
          <w:rFonts w:ascii="Garamond" w:eastAsia="Calibri" w:hAnsi="Garamond" w:cs="Calibri"/>
          <w:sz w:val="24"/>
          <w:szCs w:val="24"/>
        </w:rPr>
      </w:pPr>
      <w:r w:rsidRPr="005C5CBD">
        <w:rPr>
          <w:rFonts w:ascii="Garamond" w:eastAsia="Calibri" w:hAnsi="Garamond" w:cs="Calibri"/>
          <w:sz w:val="24"/>
          <w:szCs w:val="24"/>
        </w:rPr>
        <w:t xml:space="preserve">Parágrafo único. Por partes relacionadas ou associadas entende-se a vinculação entre pessoas nos casos indicados no art. 8º do Decreto nº 10.839, de 2021. </w:t>
      </w:r>
    </w:p>
    <w:p w14:paraId="60B5FB43" w14:textId="77777777" w:rsidR="00395593" w:rsidRPr="005C5CBD" w:rsidRDefault="00395593" w:rsidP="00E15FBB">
      <w:pPr>
        <w:autoSpaceDE w:val="0"/>
        <w:autoSpaceDN w:val="0"/>
        <w:adjustRightInd w:val="0"/>
        <w:spacing w:after="0" w:line="240" w:lineRule="auto"/>
        <w:jc w:val="both"/>
        <w:rPr>
          <w:rFonts w:ascii="Garamond" w:eastAsia="Calibri" w:hAnsi="Garamond" w:cs="Calibri"/>
          <w:sz w:val="24"/>
          <w:szCs w:val="24"/>
        </w:rPr>
      </w:pPr>
    </w:p>
    <w:p w14:paraId="407524DD" w14:textId="77777777" w:rsidR="00395593" w:rsidRPr="008A0895" w:rsidRDefault="00395593" w:rsidP="009B5236">
      <w:pPr>
        <w:pStyle w:val="Corpodetexto"/>
        <w:jc w:val="center"/>
        <w:rPr>
          <w:rFonts w:ascii="Garamond" w:eastAsia="MS Gothic" w:hAnsi="Garamond"/>
          <w:b/>
          <w:color w:val="4F81BD"/>
          <w:lang w:eastAsia="pt-BR"/>
        </w:rPr>
      </w:pPr>
      <w:r w:rsidRPr="008A0895">
        <w:rPr>
          <w:rFonts w:ascii="Garamond" w:eastAsia="MS Gothic" w:hAnsi="Garamond"/>
          <w:b/>
          <w:lang w:eastAsia="pt-BR"/>
        </w:rPr>
        <w:t>Subseção VI</w:t>
      </w:r>
    </w:p>
    <w:p w14:paraId="6913FEDC" w14:textId="77777777" w:rsidR="00395593" w:rsidRPr="005C5CBD" w:rsidRDefault="00395593" w:rsidP="009B5236">
      <w:pPr>
        <w:pStyle w:val="Corpodetexto"/>
        <w:jc w:val="center"/>
        <w:rPr>
          <w:rFonts w:eastAsia="MS Gothic"/>
          <w:color w:val="4F81BD"/>
          <w:lang w:eastAsia="pt-BR"/>
        </w:rPr>
      </w:pPr>
      <w:r w:rsidRPr="008A0895">
        <w:rPr>
          <w:rFonts w:ascii="Garamond" w:eastAsia="MS Gothic" w:hAnsi="Garamond"/>
          <w:b/>
          <w:lang w:eastAsia="pt-BR"/>
        </w:rPr>
        <w:t>Das condições para a restituição</w:t>
      </w:r>
    </w:p>
    <w:p w14:paraId="3F253030" w14:textId="77777777" w:rsidR="00395593" w:rsidRPr="005C5CBD" w:rsidRDefault="00395593" w:rsidP="00E15FBB">
      <w:pPr>
        <w:autoSpaceDE w:val="0"/>
        <w:autoSpaceDN w:val="0"/>
        <w:adjustRightInd w:val="0"/>
        <w:spacing w:after="0" w:line="240" w:lineRule="auto"/>
        <w:jc w:val="both"/>
        <w:rPr>
          <w:rFonts w:ascii="Garamond" w:eastAsia="Calibri" w:hAnsi="Garamond" w:cs="Calibri"/>
          <w:sz w:val="24"/>
          <w:szCs w:val="24"/>
        </w:rPr>
      </w:pPr>
    </w:p>
    <w:p w14:paraId="10B67B5B"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379. O montante de direitos compensatórios dos quais se pleiteia a restituição devem ter sido efetivamente recolhidos pela Secretaria Especial da Receita Federal do Brasil do Ministério da Economia.</w:t>
      </w:r>
    </w:p>
    <w:p w14:paraId="43A70456"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p>
    <w:p w14:paraId="795E2C82"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Art. 380. O peticionário deverá apresentar declaração afirmando que o montante de subsídios a ser restituído não foi e nem será reembolsado pelo produtor ou exportador nem por terceira parte. </w:t>
      </w:r>
    </w:p>
    <w:p w14:paraId="2CDE6C31" w14:textId="77777777" w:rsidR="00395593" w:rsidRPr="005C5CBD" w:rsidRDefault="00395593" w:rsidP="00E15FBB">
      <w:pPr>
        <w:spacing w:after="0" w:line="240" w:lineRule="auto"/>
        <w:jc w:val="center"/>
        <w:rPr>
          <w:rFonts w:ascii="Garamond" w:eastAsia="Times New Roman" w:hAnsi="Garamond" w:cs="Calibri"/>
          <w:sz w:val="24"/>
          <w:szCs w:val="24"/>
          <w:lang w:eastAsia="pt-BR"/>
        </w:rPr>
      </w:pPr>
    </w:p>
    <w:p w14:paraId="6BE95C1B" w14:textId="77777777" w:rsidR="00395593" w:rsidRPr="002E7AFA" w:rsidRDefault="00395593" w:rsidP="009B5236">
      <w:pPr>
        <w:pStyle w:val="Corpodetexto"/>
        <w:jc w:val="center"/>
        <w:rPr>
          <w:rFonts w:ascii="Garamond" w:hAnsi="Garamond"/>
          <w:b/>
          <w:color w:val="000000"/>
          <w:lang w:eastAsia="pt-BR"/>
        </w:rPr>
      </w:pPr>
      <w:r w:rsidRPr="002E7AFA">
        <w:rPr>
          <w:rFonts w:ascii="Garamond" w:hAnsi="Garamond"/>
          <w:b/>
          <w:lang w:eastAsia="pt-BR"/>
        </w:rPr>
        <w:t xml:space="preserve">CAPÍTULO </w:t>
      </w:r>
      <w:r w:rsidRPr="002E7AFA">
        <w:rPr>
          <w:rFonts w:ascii="Garamond" w:hAnsi="Garamond"/>
          <w:b/>
          <w:color w:val="000000"/>
          <w:lang w:eastAsia="pt-BR"/>
        </w:rPr>
        <w:t>IX</w:t>
      </w:r>
    </w:p>
    <w:p w14:paraId="727F5C82" w14:textId="77777777" w:rsidR="00395593" w:rsidRPr="002E7AFA" w:rsidRDefault="00395593" w:rsidP="009B5236">
      <w:pPr>
        <w:pStyle w:val="Corpodetexto"/>
        <w:jc w:val="center"/>
        <w:rPr>
          <w:rFonts w:ascii="Garamond" w:hAnsi="Garamond"/>
          <w:b/>
          <w:color w:val="000000"/>
          <w:lang w:eastAsia="pt-BR"/>
        </w:rPr>
      </w:pPr>
      <w:r w:rsidRPr="002E7AFA">
        <w:rPr>
          <w:rFonts w:ascii="Garamond" w:hAnsi="Garamond"/>
          <w:b/>
          <w:color w:val="000000"/>
          <w:lang w:eastAsia="pt-BR"/>
        </w:rPr>
        <w:t>DAS PETIÇÕES DE AVALIAÇÃO DE ESCOPO</w:t>
      </w:r>
    </w:p>
    <w:p w14:paraId="1B0CEC3A" w14:textId="77777777" w:rsidR="00395593" w:rsidRPr="002E7AFA" w:rsidRDefault="00395593" w:rsidP="009B5236">
      <w:pPr>
        <w:pStyle w:val="Corpodetexto"/>
        <w:jc w:val="center"/>
        <w:rPr>
          <w:rFonts w:ascii="Garamond" w:hAnsi="Garamond"/>
          <w:b/>
          <w:color w:val="000000"/>
          <w:lang w:eastAsia="pt-BR"/>
        </w:rPr>
      </w:pPr>
    </w:p>
    <w:p w14:paraId="59CF306E" w14:textId="77777777" w:rsidR="00395593" w:rsidRPr="002E7AFA" w:rsidRDefault="00395593" w:rsidP="009B5236">
      <w:pPr>
        <w:pStyle w:val="Corpodetexto"/>
        <w:jc w:val="center"/>
        <w:rPr>
          <w:rFonts w:ascii="Garamond" w:hAnsi="Garamond"/>
          <w:b/>
          <w:lang w:eastAsia="pt-BR"/>
        </w:rPr>
      </w:pPr>
      <w:r w:rsidRPr="002E7AFA">
        <w:rPr>
          <w:rFonts w:ascii="Garamond" w:hAnsi="Garamond"/>
          <w:b/>
          <w:lang w:eastAsia="pt-BR"/>
        </w:rPr>
        <w:t>Seção I</w:t>
      </w:r>
    </w:p>
    <w:p w14:paraId="7C81D11C" w14:textId="6685C335" w:rsidR="00E15FBB" w:rsidRPr="005C5CBD" w:rsidRDefault="002E7AFA" w:rsidP="002E7AFA">
      <w:pPr>
        <w:pStyle w:val="Corpodetexto"/>
        <w:tabs>
          <w:tab w:val="center" w:pos="4791"/>
          <w:tab w:val="left" w:pos="6675"/>
        </w:tabs>
        <w:rPr>
          <w:lang w:eastAsia="pt-BR"/>
        </w:rPr>
      </w:pPr>
      <w:r>
        <w:rPr>
          <w:rFonts w:ascii="Garamond" w:hAnsi="Garamond"/>
          <w:b/>
          <w:lang w:eastAsia="pt-BR"/>
        </w:rPr>
        <w:tab/>
      </w:r>
      <w:r w:rsidR="00E15FBB" w:rsidRPr="002E7AFA">
        <w:rPr>
          <w:rFonts w:ascii="Garamond" w:hAnsi="Garamond"/>
          <w:b/>
          <w:lang w:eastAsia="pt-BR"/>
        </w:rPr>
        <w:t>Das instruções gerais</w:t>
      </w:r>
      <w:r>
        <w:rPr>
          <w:rFonts w:ascii="Garamond" w:hAnsi="Garamond"/>
          <w:b/>
          <w:lang w:eastAsia="pt-BR"/>
        </w:rPr>
        <w:tab/>
      </w:r>
    </w:p>
    <w:p w14:paraId="1B40279E" w14:textId="77777777" w:rsidR="00395593" w:rsidRPr="005C5CBD" w:rsidRDefault="00395593" w:rsidP="00E15FBB">
      <w:pPr>
        <w:spacing w:after="0" w:line="240" w:lineRule="auto"/>
        <w:rPr>
          <w:rFonts w:ascii="Garamond" w:eastAsia="Times New Roman" w:hAnsi="Garamond" w:cs="Times New Roman"/>
          <w:b/>
          <w:sz w:val="24"/>
          <w:szCs w:val="24"/>
          <w:lang w:eastAsia="pt-BR"/>
        </w:rPr>
      </w:pPr>
    </w:p>
    <w:p w14:paraId="073CA966"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381. </w:t>
      </w:r>
      <w:r w:rsidRPr="005C5CBD">
        <w:rPr>
          <w:rFonts w:ascii="Garamond" w:eastAsia="Times New Roman" w:hAnsi="Garamond" w:cs="Calibri"/>
          <w:sz w:val="24"/>
          <w:szCs w:val="24"/>
          <w:lang w:eastAsia="pt-BR"/>
        </w:rPr>
        <w:t>As petições de avaliação de escopo de que trata a Seção I do Capítulo X do Decreto nº 10.839, de 2021,</w:t>
      </w:r>
      <w:r w:rsidRPr="005C5CBD" w:rsidDel="009A275A">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deverão obedecer às disposições deste Capítulo.</w:t>
      </w:r>
    </w:p>
    <w:p w14:paraId="3D3B6F18" w14:textId="77777777" w:rsidR="00395593" w:rsidRPr="005C5CBD" w:rsidRDefault="00395593" w:rsidP="00F9137F">
      <w:pPr>
        <w:spacing w:after="0" w:line="240" w:lineRule="auto"/>
        <w:ind w:firstLine="567"/>
        <w:jc w:val="both"/>
        <w:rPr>
          <w:rFonts w:ascii="Garamond" w:eastAsia="Times New Roman" w:hAnsi="Garamond" w:cs="Calibri"/>
          <w:color w:val="000000"/>
          <w:sz w:val="24"/>
          <w:szCs w:val="24"/>
          <w:lang w:eastAsia="pt-BR"/>
        </w:rPr>
      </w:pPr>
    </w:p>
    <w:p w14:paraId="2C21B8AC"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382. </w:t>
      </w:r>
      <w:r w:rsidRPr="005C5CBD">
        <w:rPr>
          <w:rFonts w:ascii="Garamond" w:eastAsia="Times New Roman" w:hAnsi="Garamond" w:cs="Calibri"/>
          <w:color w:val="000000"/>
          <w:sz w:val="24"/>
          <w:szCs w:val="24"/>
          <w:lang w:eastAsia="pt-BR"/>
        </w:rPr>
        <w:t xml:space="preserve">Qualquer parte interessada poderá solicitar que se proceda a uma avaliação de escopo, a fim de determinar se o produto está sujeito à medida compensatória em vigor. </w:t>
      </w:r>
    </w:p>
    <w:p w14:paraId="24B666DE" w14:textId="77777777" w:rsidR="00395593" w:rsidRPr="005C5CBD" w:rsidRDefault="00395593" w:rsidP="00F9137F">
      <w:pPr>
        <w:spacing w:after="0" w:line="240" w:lineRule="auto"/>
        <w:ind w:firstLine="567"/>
        <w:mirrorIndents/>
        <w:rPr>
          <w:rFonts w:ascii="Garamond" w:eastAsia="Times New Roman" w:hAnsi="Garamond" w:cs="Calibri"/>
          <w:color w:val="000000"/>
          <w:sz w:val="24"/>
          <w:szCs w:val="24"/>
          <w:lang w:eastAsia="pt-BR"/>
        </w:rPr>
      </w:pPr>
    </w:p>
    <w:p w14:paraId="049517F6"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1</w:t>
      </w:r>
      <w:r w:rsidRPr="005C5CBD">
        <w:rPr>
          <w:rFonts w:ascii="Garamond" w:eastAsia="Times New Roman" w:hAnsi="Garamond" w:cs="Calibri"/>
          <w:strike/>
          <w:color w:val="000000"/>
          <w:sz w:val="24"/>
          <w:szCs w:val="24"/>
          <w:lang w:eastAsia="pt-BR"/>
        </w:rPr>
        <w:t>º</w:t>
      </w:r>
      <w:r w:rsidRPr="005C5CBD">
        <w:rPr>
          <w:rFonts w:ascii="Garamond" w:eastAsia="Times New Roman" w:hAnsi="Garamond" w:cs="Calibri"/>
          <w:color w:val="000000"/>
          <w:sz w:val="24"/>
          <w:szCs w:val="24"/>
          <w:lang w:eastAsia="pt-BR"/>
        </w:rPr>
        <w:t> São partes interessadas na avaliação de escopo aquelas reconhecidas na investigação original ou na última revisão que culminou na prorrogação da medida compensatória, além de outros importadores que tenham importado ou que tenham a intenção de importar o produto objeto da avaliação de escopo.</w:t>
      </w:r>
    </w:p>
    <w:p w14:paraId="66C4EC84"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2BB26DFA"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2</w:t>
      </w:r>
      <w:r w:rsidRPr="005C5CBD">
        <w:rPr>
          <w:rFonts w:ascii="Garamond" w:eastAsia="Times New Roman" w:hAnsi="Garamond" w:cs="Calibri"/>
          <w:strike/>
          <w:color w:val="000000"/>
          <w:sz w:val="24"/>
          <w:szCs w:val="24"/>
          <w:lang w:eastAsia="pt-BR"/>
        </w:rPr>
        <w:t>º</w:t>
      </w:r>
      <w:r w:rsidRPr="005C5CBD">
        <w:rPr>
          <w:rFonts w:ascii="Garamond" w:eastAsia="Times New Roman" w:hAnsi="Garamond" w:cs="Calibri"/>
          <w:color w:val="000000"/>
          <w:sz w:val="24"/>
          <w:szCs w:val="24"/>
          <w:lang w:eastAsia="pt-BR"/>
        </w:rPr>
        <w:t xml:space="preserve"> O reconhecimento de outros importadores e de outras partes que se considerem interessadas na avaliação de escopo será concedido pela </w:t>
      </w:r>
      <w:r w:rsidRPr="005C5CBD">
        <w:rPr>
          <w:rFonts w:ascii="Garamond" w:eastAsia="Times New Roman" w:hAnsi="Garamond" w:cs="Calibri"/>
          <w:sz w:val="24"/>
          <w:szCs w:val="24"/>
          <w:lang w:eastAsia="pt-BR"/>
        </w:rPr>
        <w:t>Subsecretaria de Defesa Comercial e Interesse Público</w:t>
      </w:r>
      <w:r w:rsidRPr="005C5CBD">
        <w:rPr>
          <w:rFonts w:ascii="Garamond" w:eastAsia="Times New Roman" w:hAnsi="Garamond" w:cs="Calibri"/>
          <w:color w:val="000000"/>
          <w:sz w:val="24"/>
          <w:szCs w:val="24"/>
          <w:lang w:eastAsia="pt-BR"/>
        </w:rPr>
        <w:t>, mediante avaliação da justificativa apresentada no pedido de habilitação.</w:t>
      </w:r>
    </w:p>
    <w:p w14:paraId="7731EA7B" w14:textId="77777777" w:rsidR="00395593" w:rsidRPr="005C5CBD" w:rsidRDefault="00395593" w:rsidP="00F9137F">
      <w:pPr>
        <w:spacing w:after="0" w:line="240" w:lineRule="auto"/>
        <w:ind w:firstLine="567"/>
        <w:jc w:val="both"/>
        <w:rPr>
          <w:rFonts w:ascii="Garamond" w:eastAsia="Times New Roman" w:hAnsi="Garamond" w:cs="Calibri"/>
          <w:color w:val="000000"/>
          <w:sz w:val="24"/>
          <w:szCs w:val="24"/>
          <w:highlight w:val="yellow"/>
          <w:lang w:eastAsia="pt-BR"/>
        </w:rPr>
      </w:pPr>
    </w:p>
    <w:p w14:paraId="50FD68A5" w14:textId="77777777" w:rsidR="00395593" w:rsidRPr="005C5CBD" w:rsidRDefault="00395593" w:rsidP="00F9137F">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383. Nos termos do parágrafo único do art. 140 do Decreto nº 10.839, de 2021, </w:t>
      </w:r>
      <w:r w:rsidRPr="005C5CBD">
        <w:rPr>
          <w:rFonts w:ascii="Garamond" w:eastAsia="Times New Roman" w:hAnsi="Garamond" w:cs="Calibri"/>
          <w:color w:val="000000"/>
          <w:sz w:val="24"/>
          <w:szCs w:val="24"/>
          <w:lang w:eastAsia="pt-BR"/>
        </w:rPr>
        <w:t xml:space="preserve">a avaliação de escopo poderá ser iniciada de ofício pela </w:t>
      </w:r>
      <w:r w:rsidRPr="005C5CBD">
        <w:rPr>
          <w:rFonts w:ascii="Garamond" w:eastAsia="Times New Roman" w:hAnsi="Garamond" w:cs="Calibri"/>
          <w:sz w:val="24"/>
          <w:szCs w:val="24"/>
          <w:lang w:eastAsia="pt-BR"/>
        </w:rPr>
        <w:t>Subsecretaria de Defesa Comercial e Interesse Público</w:t>
      </w:r>
      <w:r w:rsidRPr="005C5CBD">
        <w:rPr>
          <w:rFonts w:ascii="Garamond" w:eastAsia="Times New Roman" w:hAnsi="Garamond" w:cs="Calibri"/>
          <w:color w:val="000000"/>
          <w:sz w:val="24"/>
          <w:szCs w:val="24"/>
          <w:lang w:eastAsia="pt-BR"/>
        </w:rPr>
        <w:t>.</w:t>
      </w:r>
    </w:p>
    <w:p w14:paraId="24A45470" w14:textId="77777777" w:rsidR="00395593" w:rsidRPr="005C5CBD" w:rsidRDefault="00395593" w:rsidP="00F9137F">
      <w:pPr>
        <w:spacing w:after="0" w:line="240" w:lineRule="auto"/>
        <w:ind w:firstLine="567"/>
        <w:mirrorIndents/>
        <w:jc w:val="both"/>
        <w:rPr>
          <w:rFonts w:ascii="Garamond" w:eastAsia="Times New Roman" w:hAnsi="Garamond" w:cs="Calibri"/>
          <w:b/>
          <w:color w:val="000000"/>
          <w:sz w:val="24"/>
          <w:szCs w:val="24"/>
          <w:highlight w:val="yellow"/>
          <w:lang w:eastAsia="pt-BR"/>
        </w:rPr>
      </w:pPr>
    </w:p>
    <w:p w14:paraId="4F482600"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384. </w:t>
      </w:r>
      <w:r w:rsidRPr="005C5CBD">
        <w:rPr>
          <w:rFonts w:ascii="Garamond" w:eastAsia="Times New Roman" w:hAnsi="Garamond" w:cs="Calibri"/>
          <w:color w:val="000000"/>
          <w:sz w:val="24"/>
          <w:szCs w:val="24"/>
          <w:lang w:eastAsia="pt-BR"/>
        </w:rPr>
        <w:t xml:space="preserve">A </w:t>
      </w:r>
      <w:r w:rsidRPr="005C5CBD">
        <w:rPr>
          <w:rFonts w:ascii="Garamond" w:eastAsia="Times New Roman" w:hAnsi="Garamond" w:cs="Calibri"/>
          <w:sz w:val="24"/>
          <w:szCs w:val="24"/>
          <w:lang w:eastAsia="pt-BR"/>
        </w:rPr>
        <w:t>Subsecretaria de Defesa Comercial e Interesse Público</w:t>
      </w:r>
      <w:r w:rsidRPr="005C5CBD">
        <w:rPr>
          <w:rFonts w:ascii="Garamond" w:eastAsia="Times New Roman" w:hAnsi="Garamond" w:cs="Calibri"/>
          <w:color w:val="000000"/>
          <w:sz w:val="24"/>
          <w:szCs w:val="24"/>
          <w:lang w:eastAsia="pt-BR"/>
        </w:rPr>
        <w:t xml:space="preserve"> poderá indeferir as petições quando constatar que a definição do produto sujeito à medida compensatória em vigor está suficientemente clara.</w:t>
      </w:r>
    </w:p>
    <w:p w14:paraId="1DE6BB9F"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highlight w:val="yellow"/>
          <w:lang w:eastAsia="pt-BR"/>
        </w:rPr>
      </w:pPr>
    </w:p>
    <w:p w14:paraId="37B892A3"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385. O peticionário deverá observar o disposto no art. 5º acerca das fontes de informação aceitas para fins de instrução da petição.</w:t>
      </w:r>
    </w:p>
    <w:p w14:paraId="3EDE42D1"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highlight w:val="yellow"/>
          <w:lang w:eastAsia="pt-BR"/>
        </w:rPr>
      </w:pPr>
    </w:p>
    <w:p w14:paraId="6FB63054"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386. </w:t>
      </w:r>
      <w:r w:rsidRPr="005C5CBD">
        <w:rPr>
          <w:rFonts w:ascii="Garamond" w:eastAsia="Times New Roman" w:hAnsi="Garamond" w:cs="Calibri"/>
          <w:color w:val="000000"/>
          <w:sz w:val="24"/>
          <w:szCs w:val="24"/>
          <w:lang w:eastAsia="pt-BR"/>
        </w:rPr>
        <w:t>A Secretaria de Comércio Exterior publicará o ato de início da avaliação de escopo no Diário Oficial da União.</w:t>
      </w:r>
    </w:p>
    <w:p w14:paraId="3B68EFA4"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43BE3A6C"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Parágrafo único. A data do início da avaliação de escopo será a data de publicação do ato a que faz referência o </w:t>
      </w:r>
      <w:r w:rsidRPr="005C5CBD">
        <w:rPr>
          <w:rFonts w:ascii="Garamond" w:eastAsia="Times New Roman" w:hAnsi="Garamond" w:cs="Calibri"/>
          <w:b/>
          <w:color w:val="000000"/>
          <w:sz w:val="24"/>
          <w:szCs w:val="24"/>
          <w:lang w:eastAsia="pt-BR"/>
        </w:rPr>
        <w:t>caput</w:t>
      </w:r>
      <w:r w:rsidRPr="005C5CBD">
        <w:rPr>
          <w:rFonts w:ascii="Garamond" w:eastAsia="Times New Roman" w:hAnsi="Garamond" w:cs="Calibri"/>
          <w:color w:val="000000"/>
          <w:sz w:val="24"/>
          <w:szCs w:val="24"/>
          <w:lang w:eastAsia="pt-BR"/>
        </w:rPr>
        <w:t xml:space="preserve"> deste artigo.</w:t>
      </w:r>
    </w:p>
    <w:p w14:paraId="73D424E3"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highlight w:val="yellow"/>
          <w:lang w:eastAsia="pt-BR"/>
        </w:rPr>
      </w:pPr>
    </w:p>
    <w:p w14:paraId="2C9808A2"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387. </w:t>
      </w:r>
      <w:r w:rsidRPr="005C5CBD">
        <w:rPr>
          <w:rFonts w:ascii="Garamond" w:eastAsia="Times New Roman" w:hAnsi="Garamond" w:cs="Calibri"/>
          <w:color w:val="000000"/>
          <w:sz w:val="24"/>
          <w:szCs w:val="24"/>
          <w:lang w:eastAsia="pt-BR"/>
        </w:rPr>
        <w:t>As avaliações de escopo possuem caráter interpretativo, não alterando o escopo de medidas compensatórias vigentes.</w:t>
      </w:r>
    </w:p>
    <w:p w14:paraId="5F90058B" w14:textId="77777777" w:rsidR="00395593" w:rsidRPr="005C5CBD" w:rsidRDefault="00395593" w:rsidP="00E15FBB">
      <w:pPr>
        <w:spacing w:after="120" w:line="240" w:lineRule="auto"/>
        <w:mirrorIndents/>
        <w:jc w:val="center"/>
        <w:rPr>
          <w:rFonts w:ascii="Garamond" w:eastAsia="Times New Roman" w:hAnsi="Garamond" w:cs="Calibri"/>
          <w:b/>
          <w:color w:val="000000"/>
          <w:sz w:val="24"/>
          <w:szCs w:val="24"/>
          <w:lang w:eastAsia="pt-BR"/>
        </w:rPr>
      </w:pPr>
    </w:p>
    <w:p w14:paraId="33318568"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388. </w:t>
      </w:r>
      <w:r w:rsidRPr="005C5CBD">
        <w:rPr>
          <w:rFonts w:ascii="Garamond" w:eastAsia="Times New Roman" w:hAnsi="Garamond" w:cs="Calibri"/>
          <w:color w:val="000000"/>
          <w:sz w:val="24"/>
          <w:szCs w:val="24"/>
          <w:lang w:eastAsia="pt-BR"/>
        </w:rPr>
        <w:t>A peticionária poderá apresentar petição envolvendo múltiplos produtos sobre os quais haja dúvidas a respeito da aplicabilidade de uma mesma medida compensatória.</w:t>
      </w:r>
    </w:p>
    <w:p w14:paraId="0DD7AD71"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2625868B" w14:textId="22FADFDC"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1</w:t>
      </w:r>
      <w:r w:rsidRPr="005C5CBD">
        <w:rPr>
          <w:rFonts w:ascii="Garamond" w:eastAsia="Times New Roman" w:hAnsi="Garamond" w:cs="Calibri"/>
          <w:strike/>
          <w:color w:val="000000"/>
          <w:sz w:val="24"/>
          <w:szCs w:val="24"/>
          <w:lang w:eastAsia="pt-BR"/>
        </w:rPr>
        <w:t>º</w:t>
      </w:r>
      <w:r w:rsidRPr="005C5CBD">
        <w:rPr>
          <w:rFonts w:ascii="Garamond" w:eastAsia="Times New Roman" w:hAnsi="Garamond" w:cs="Calibri"/>
          <w:color w:val="000000"/>
          <w:sz w:val="24"/>
          <w:szCs w:val="24"/>
          <w:lang w:eastAsia="pt-BR"/>
        </w:rPr>
        <w:t xml:space="preserve"> Na hipótese do </w:t>
      </w:r>
      <w:r w:rsidRPr="005C5CBD">
        <w:rPr>
          <w:rFonts w:ascii="Garamond" w:eastAsia="Times New Roman" w:hAnsi="Garamond" w:cs="Calibri"/>
          <w:b/>
          <w:bCs/>
          <w:color w:val="000000"/>
          <w:sz w:val="24"/>
          <w:szCs w:val="24"/>
          <w:lang w:eastAsia="pt-BR"/>
        </w:rPr>
        <w:t>caput</w:t>
      </w:r>
      <w:r w:rsidRPr="005C5CBD">
        <w:rPr>
          <w:rFonts w:ascii="Garamond" w:eastAsia="Times New Roman" w:hAnsi="Garamond" w:cs="Calibri"/>
          <w:color w:val="000000"/>
          <w:sz w:val="24"/>
          <w:szCs w:val="24"/>
          <w:lang w:eastAsia="pt-BR"/>
        </w:rPr>
        <w:t xml:space="preserve">, as informações requeridas nos incisos IV a X do art. </w:t>
      </w:r>
      <w:r w:rsidR="003B126C">
        <w:rPr>
          <w:rFonts w:ascii="Garamond" w:eastAsia="Times New Roman" w:hAnsi="Garamond" w:cs="Calibri"/>
          <w:color w:val="000000"/>
          <w:sz w:val="24"/>
          <w:szCs w:val="24"/>
          <w:lang w:eastAsia="pt-BR"/>
        </w:rPr>
        <w:t>389</w:t>
      </w:r>
      <w:r w:rsidRPr="005C5CBD">
        <w:rPr>
          <w:rFonts w:ascii="Garamond" w:eastAsia="Times New Roman" w:hAnsi="Garamond" w:cs="Calibri"/>
          <w:color w:val="000000"/>
          <w:sz w:val="24"/>
          <w:szCs w:val="24"/>
          <w:lang w:eastAsia="pt-BR"/>
        </w:rPr>
        <w:t xml:space="preserve"> deverão ser individualizadas por produto.</w:t>
      </w:r>
    </w:p>
    <w:p w14:paraId="08A748B5"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149D02CD"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2</w:t>
      </w:r>
      <w:r w:rsidRPr="005C5CBD">
        <w:rPr>
          <w:rFonts w:ascii="Garamond" w:eastAsia="Times New Roman" w:hAnsi="Garamond" w:cs="Calibri"/>
          <w:strike/>
          <w:color w:val="000000"/>
          <w:sz w:val="24"/>
          <w:szCs w:val="24"/>
          <w:lang w:eastAsia="pt-BR"/>
        </w:rPr>
        <w:t>º</w:t>
      </w:r>
      <w:r w:rsidRPr="005C5CBD">
        <w:rPr>
          <w:rFonts w:ascii="Garamond" w:eastAsia="Times New Roman" w:hAnsi="Garamond" w:cs="Calibri"/>
          <w:color w:val="000000"/>
          <w:sz w:val="24"/>
          <w:szCs w:val="24"/>
          <w:lang w:eastAsia="pt-BR"/>
        </w:rPr>
        <w:t xml:space="preserve"> A critério da autoridade investigadora, avaliações de escopo simultâneas poderão ser conduzidas de forma unificada, desde que os produtos sob avaliação se refiram a uma mesma medida compensatória.</w:t>
      </w:r>
    </w:p>
    <w:p w14:paraId="66812B0B" w14:textId="77777777" w:rsidR="00395593" w:rsidRPr="005C5CBD" w:rsidRDefault="00395593" w:rsidP="00E15FBB">
      <w:pPr>
        <w:spacing w:after="0" w:line="240" w:lineRule="auto"/>
        <w:rPr>
          <w:rFonts w:ascii="Garamond" w:eastAsia="Times New Roman" w:hAnsi="Garamond" w:cs="Times New Roman"/>
          <w:sz w:val="24"/>
          <w:szCs w:val="24"/>
          <w:lang w:eastAsia="pt-BR"/>
        </w:rPr>
      </w:pPr>
    </w:p>
    <w:p w14:paraId="045D2429" w14:textId="77777777" w:rsidR="00395593" w:rsidRPr="002E7AFA" w:rsidRDefault="00395593" w:rsidP="009B5236">
      <w:pPr>
        <w:pStyle w:val="Corpodetexto"/>
        <w:jc w:val="center"/>
        <w:rPr>
          <w:rFonts w:ascii="Garamond" w:hAnsi="Garamond"/>
          <w:b/>
          <w:lang w:eastAsia="pt-BR"/>
        </w:rPr>
      </w:pPr>
      <w:r w:rsidRPr="002E7AFA">
        <w:rPr>
          <w:rFonts w:ascii="Garamond" w:hAnsi="Garamond"/>
          <w:b/>
          <w:lang w:eastAsia="pt-BR"/>
        </w:rPr>
        <w:t>Seção II</w:t>
      </w:r>
    </w:p>
    <w:p w14:paraId="0440E03C" w14:textId="77777777" w:rsidR="00395593" w:rsidRPr="002E7AFA" w:rsidRDefault="00395593" w:rsidP="009B5236">
      <w:pPr>
        <w:pStyle w:val="Corpodetexto"/>
        <w:jc w:val="center"/>
        <w:rPr>
          <w:rFonts w:ascii="Garamond" w:hAnsi="Garamond"/>
          <w:b/>
          <w:lang w:eastAsia="pt-BR"/>
        </w:rPr>
      </w:pPr>
      <w:r w:rsidRPr="002E7AFA">
        <w:rPr>
          <w:rFonts w:ascii="Garamond" w:hAnsi="Garamond"/>
          <w:b/>
          <w:lang w:eastAsia="pt-BR"/>
        </w:rPr>
        <w:t>Do conteúdo da petição</w:t>
      </w:r>
    </w:p>
    <w:p w14:paraId="47E71F22" w14:textId="77777777" w:rsidR="00395593" w:rsidRPr="005C5CBD" w:rsidRDefault="00395593" w:rsidP="00E15FBB">
      <w:pPr>
        <w:spacing w:after="0" w:line="240" w:lineRule="auto"/>
        <w:mirrorIndents/>
        <w:jc w:val="center"/>
        <w:rPr>
          <w:rFonts w:ascii="Garamond" w:eastAsia="Times New Roman" w:hAnsi="Garamond" w:cs="Calibri"/>
          <w:b/>
          <w:color w:val="000000"/>
          <w:sz w:val="24"/>
          <w:szCs w:val="24"/>
          <w:lang w:eastAsia="pt-BR"/>
        </w:rPr>
      </w:pPr>
    </w:p>
    <w:p w14:paraId="08A2442E"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389. </w:t>
      </w:r>
      <w:r w:rsidRPr="005C5CBD">
        <w:rPr>
          <w:rFonts w:ascii="Garamond" w:eastAsia="Times New Roman" w:hAnsi="Garamond" w:cs="Calibri"/>
          <w:color w:val="000000"/>
          <w:sz w:val="24"/>
          <w:szCs w:val="24"/>
          <w:lang w:eastAsia="pt-BR"/>
        </w:rPr>
        <w:t>A petição de avaliação de escopo deverá conter, observado o disposto no art. 6º:</w:t>
      </w:r>
    </w:p>
    <w:p w14:paraId="541E509B"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2A07377B"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I - informações referentes à raz</w:t>
      </w:r>
      <w:r w:rsidRPr="005C5CBD">
        <w:rPr>
          <w:rFonts w:ascii="Garamond" w:eastAsia="Times New Roman" w:hAnsi="Garamond" w:cs="Garamond"/>
          <w:color w:val="000000"/>
          <w:sz w:val="24"/>
          <w:szCs w:val="24"/>
          <w:lang w:eastAsia="pt-BR"/>
        </w:rPr>
        <w:t>ã</w:t>
      </w:r>
      <w:r w:rsidRPr="005C5CBD">
        <w:rPr>
          <w:rFonts w:ascii="Garamond" w:eastAsia="Times New Roman" w:hAnsi="Garamond" w:cs="Calibri"/>
          <w:color w:val="000000"/>
          <w:sz w:val="24"/>
          <w:szCs w:val="24"/>
          <w:lang w:eastAsia="pt-BR"/>
        </w:rPr>
        <w:t>o social, endere</w:t>
      </w:r>
      <w:r w:rsidRPr="005C5CBD">
        <w:rPr>
          <w:rFonts w:ascii="Garamond" w:eastAsia="Times New Roman" w:hAnsi="Garamond" w:cs="Garamond"/>
          <w:color w:val="000000"/>
          <w:sz w:val="24"/>
          <w:szCs w:val="24"/>
          <w:lang w:eastAsia="pt-BR"/>
        </w:rPr>
        <w:t>ç</w:t>
      </w:r>
      <w:r w:rsidRPr="005C5CBD">
        <w:rPr>
          <w:rFonts w:ascii="Garamond" w:eastAsia="Times New Roman" w:hAnsi="Garamond" w:cs="Calibri"/>
          <w:color w:val="000000"/>
          <w:sz w:val="24"/>
          <w:szCs w:val="24"/>
          <w:lang w:eastAsia="pt-BR"/>
        </w:rPr>
        <w:t>o completo, telefone e endere</w:t>
      </w:r>
      <w:r w:rsidRPr="005C5CBD">
        <w:rPr>
          <w:rFonts w:ascii="Garamond" w:eastAsia="Times New Roman" w:hAnsi="Garamond" w:cs="Garamond"/>
          <w:color w:val="000000"/>
          <w:sz w:val="24"/>
          <w:szCs w:val="24"/>
          <w:lang w:eastAsia="pt-BR"/>
        </w:rPr>
        <w:t>ç</w:t>
      </w:r>
      <w:r w:rsidRPr="005C5CBD">
        <w:rPr>
          <w:rFonts w:ascii="Garamond" w:eastAsia="Times New Roman" w:hAnsi="Garamond" w:cs="Calibri"/>
          <w:color w:val="000000"/>
          <w:sz w:val="24"/>
          <w:szCs w:val="24"/>
          <w:lang w:eastAsia="pt-BR"/>
        </w:rPr>
        <w:t>o eletr</w:t>
      </w:r>
      <w:r w:rsidRPr="005C5CBD">
        <w:rPr>
          <w:rFonts w:ascii="Garamond" w:eastAsia="Times New Roman" w:hAnsi="Garamond" w:cs="Garamond"/>
          <w:color w:val="000000"/>
          <w:sz w:val="24"/>
          <w:szCs w:val="24"/>
          <w:lang w:eastAsia="pt-BR"/>
        </w:rPr>
        <w:t>ô</w:t>
      </w:r>
      <w:r w:rsidRPr="005C5CBD">
        <w:rPr>
          <w:rFonts w:ascii="Garamond" w:eastAsia="Times New Roman" w:hAnsi="Garamond" w:cs="Calibri"/>
          <w:color w:val="000000"/>
          <w:sz w:val="24"/>
          <w:szCs w:val="24"/>
          <w:lang w:eastAsia="pt-BR"/>
        </w:rPr>
        <w:t>nico do peticion</w:t>
      </w:r>
      <w:r w:rsidRPr="005C5CBD">
        <w:rPr>
          <w:rFonts w:ascii="Garamond" w:eastAsia="Times New Roman" w:hAnsi="Garamond" w:cs="Garamond"/>
          <w:color w:val="000000"/>
          <w:sz w:val="24"/>
          <w:szCs w:val="24"/>
          <w:lang w:eastAsia="pt-BR"/>
        </w:rPr>
        <w:t>á</w:t>
      </w:r>
      <w:r w:rsidRPr="005C5CBD">
        <w:rPr>
          <w:rFonts w:ascii="Garamond" w:eastAsia="Times New Roman" w:hAnsi="Garamond" w:cs="Calibri"/>
          <w:color w:val="000000"/>
          <w:sz w:val="24"/>
          <w:szCs w:val="24"/>
          <w:lang w:eastAsia="pt-BR"/>
        </w:rPr>
        <w:t xml:space="preserve">rio; </w:t>
      </w:r>
    </w:p>
    <w:p w14:paraId="71E8361C"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7470B47F"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II - nome, função, endereço completo, telefone e endereço eletrônico do representante da empresa e de representante legal habilitado junto à </w:t>
      </w:r>
      <w:r w:rsidRPr="005C5CBD">
        <w:rPr>
          <w:rFonts w:ascii="Garamond" w:eastAsia="Times New Roman" w:hAnsi="Garamond" w:cs="Calibri"/>
          <w:sz w:val="24"/>
          <w:szCs w:val="24"/>
          <w:lang w:eastAsia="pt-BR"/>
        </w:rPr>
        <w:t>Subsecretaria de Defesa Comercial e Interesse Público</w:t>
      </w:r>
      <w:r w:rsidRPr="005C5CBD">
        <w:rPr>
          <w:rFonts w:ascii="Garamond" w:eastAsia="Times New Roman" w:hAnsi="Garamond" w:cs="Calibri"/>
          <w:color w:val="000000"/>
          <w:sz w:val="24"/>
          <w:szCs w:val="24"/>
          <w:lang w:eastAsia="pt-BR"/>
        </w:rPr>
        <w:t xml:space="preserve">, quando aplicável; </w:t>
      </w:r>
    </w:p>
    <w:p w14:paraId="22C974BC"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259008DF"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III - indicação do ato que determinou a aplicação ou prorrogação da medida compensatória em vigor a que se refere à petição de avaliação de escopo;</w:t>
      </w:r>
    </w:p>
    <w:p w14:paraId="21B10BCF"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201ED1E7"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IV - descrição pormenorizada do produto a ser avaliado, especificando, conforme se aplique: matérias-primas, composição química, características físicas, normas e especificações técnicas, processo produtivo, usos e aplicações, grau de substitutibilidade e canais de distribuição;</w:t>
      </w:r>
    </w:p>
    <w:p w14:paraId="59674C41"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6AE54270"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V - outras características consideradas relevantes com vistas à identificação do produto objeto</w:t>
      </w:r>
      <w:r w:rsidRPr="005C5CBD" w:rsidDel="004B7783">
        <w:rPr>
          <w:rFonts w:ascii="Garamond" w:eastAsia="Times New Roman" w:hAnsi="Garamond" w:cs="Calibri"/>
          <w:color w:val="000000"/>
          <w:sz w:val="24"/>
          <w:szCs w:val="24"/>
          <w:lang w:eastAsia="pt-BR"/>
        </w:rPr>
        <w:t xml:space="preserve"> </w:t>
      </w:r>
      <w:r w:rsidRPr="005C5CBD">
        <w:rPr>
          <w:rFonts w:ascii="Garamond" w:eastAsia="Times New Roman" w:hAnsi="Garamond" w:cs="Calibri"/>
          <w:color w:val="000000"/>
          <w:sz w:val="24"/>
          <w:szCs w:val="24"/>
          <w:lang w:eastAsia="pt-BR"/>
        </w:rPr>
        <w:t>a ser avaliado;</w:t>
      </w:r>
    </w:p>
    <w:p w14:paraId="7832A0F2"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4955513C"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VI - explicação detalhada das razões que levam a entender que o produto objeto da avaliação está, ou não, sujeito à medida compensatória em vigor a que se refere esta petição;</w:t>
      </w:r>
    </w:p>
    <w:p w14:paraId="691A453C"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2FDEF1DA"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VII - indicação do item da Nomenclatura Comum do MERCOSUL (NCM) em que o produto a ser avaliado é normalmente classificado;</w:t>
      </w:r>
    </w:p>
    <w:p w14:paraId="16F116FC"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3A0B6C68"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VIII - literatura, catálogo, material de propaganda ou outro documento que forneça informações técnicas sobre o produto a ser avaliado, caso disponível;</w:t>
      </w:r>
    </w:p>
    <w:p w14:paraId="634AA7B9"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42114B29"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IX - informação sobre as normas ou os regulamentos técnicos aplicáveis ao produto a ser avaliado, bem como lista exaustiva das normas/regulamentos em questão e a instituição normalizadora ou reguladora em caso afirmativo; e</w:t>
      </w:r>
    </w:p>
    <w:p w14:paraId="2C7D2D67"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59438329"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X - os nomes dos fabricantes estrangeiros e dos importadores brasileiros conhecidos do produto a ser avaliado.</w:t>
      </w:r>
    </w:p>
    <w:p w14:paraId="0E0BA552"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6FD20411"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Parágrafo único. Caso nos referidos itens da NCM também sejam classificados outros produtos, deverá ser informada tal circunstância e fornecer elementos que permitam identificá-los. </w:t>
      </w:r>
    </w:p>
    <w:p w14:paraId="66F2F2BD" w14:textId="77777777" w:rsidR="00395593" w:rsidRPr="005C5CBD" w:rsidRDefault="00395593" w:rsidP="00E15FBB">
      <w:pPr>
        <w:spacing w:after="0" w:line="240" w:lineRule="auto"/>
        <w:mirrorIndents/>
        <w:jc w:val="both"/>
        <w:rPr>
          <w:rFonts w:ascii="Garamond" w:eastAsia="Times New Roman" w:hAnsi="Garamond" w:cs="Calibri"/>
          <w:color w:val="000000"/>
          <w:sz w:val="24"/>
          <w:szCs w:val="24"/>
          <w:highlight w:val="yellow"/>
          <w:lang w:eastAsia="pt-BR"/>
        </w:rPr>
      </w:pPr>
    </w:p>
    <w:p w14:paraId="11573287"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390. </w:t>
      </w:r>
      <w:r w:rsidRPr="005C5CBD">
        <w:rPr>
          <w:rFonts w:ascii="Garamond" w:eastAsia="Times New Roman" w:hAnsi="Garamond" w:cs="Calibri"/>
          <w:color w:val="000000"/>
          <w:sz w:val="24"/>
          <w:szCs w:val="24"/>
          <w:lang w:eastAsia="pt-BR"/>
        </w:rPr>
        <w:t>Na hipótese de o produto a ser avaliado não ser homogêneo e/ou se classificar em mais de um item da NCM, deverá ser esclarecida tal circunstância e informar os elementos que permitiram a definição do produto.</w:t>
      </w:r>
    </w:p>
    <w:p w14:paraId="593A0DCE" w14:textId="77777777" w:rsidR="00395593" w:rsidRPr="005C5CBD" w:rsidRDefault="00395593" w:rsidP="00E15FBB">
      <w:pPr>
        <w:spacing w:after="120" w:line="240" w:lineRule="auto"/>
        <w:mirrorIndents/>
        <w:jc w:val="both"/>
        <w:rPr>
          <w:rFonts w:ascii="Garamond" w:eastAsia="Times New Roman" w:hAnsi="Garamond" w:cs="Calibri"/>
          <w:color w:val="000000"/>
          <w:sz w:val="24"/>
          <w:szCs w:val="24"/>
          <w:lang w:eastAsia="pt-BR"/>
        </w:rPr>
      </w:pPr>
    </w:p>
    <w:p w14:paraId="23306A7C" w14:textId="77777777" w:rsidR="00395593" w:rsidRPr="002E7AFA" w:rsidRDefault="00395593" w:rsidP="009B5236">
      <w:pPr>
        <w:pStyle w:val="Corpodetexto"/>
        <w:jc w:val="center"/>
        <w:rPr>
          <w:rFonts w:ascii="Garamond" w:hAnsi="Garamond"/>
          <w:b/>
          <w:lang w:eastAsia="pt-BR"/>
        </w:rPr>
      </w:pPr>
      <w:r w:rsidRPr="002E7AFA">
        <w:rPr>
          <w:rFonts w:ascii="Garamond" w:hAnsi="Garamond"/>
          <w:b/>
          <w:lang w:eastAsia="pt-BR"/>
        </w:rPr>
        <w:t>Seção III</w:t>
      </w:r>
    </w:p>
    <w:p w14:paraId="1371D7F0" w14:textId="77777777" w:rsidR="00395593" w:rsidRPr="005C5CBD" w:rsidRDefault="00395593" w:rsidP="009B5236">
      <w:pPr>
        <w:pStyle w:val="Corpodetexto"/>
        <w:jc w:val="center"/>
        <w:rPr>
          <w:lang w:eastAsia="pt-BR"/>
        </w:rPr>
      </w:pPr>
      <w:r w:rsidRPr="002E7AFA">
        <w:rPr>
          <w:rFonts w:ascii="Garamond" w:hAnsi="Garamond"/>
          <w:b/>
          <w:lang w:eastAsia="pt-BR"/>
        </w:rPr>
        <w:t>Dos prazos e procedimentos</w:t>
      </w:r>
    </w:p>
    <w:p w14:paraId="1175D135"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6FE78883"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391. </w:t>
      </w:r>
      <w:r w:rsidRPr="005C5CBD">
        <w:rPr>
          <w:rFonts w:ascii="Garamond" w:eastAsia="Times New Roman" w:hAnsi="Garamond" w:cs="Calibri"/>
          <w:color w:val="000000"/>
          <w:sz w:val="24"/>
          <w:szCs w:val="24"/>
          <w:lang w:eastAsia="pt-BR"/>
        </w:rPr>
        <w:t>Os procedimentos de avaliação de escopo observarão os seguintes prazos:</w:t>
      </w:r>
    </w:p>
    <w:p w14:paraId="206CF484"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0EED273A"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I - vinte dias para pedidos de habilitação das partes interessadas na avaliação de escopo;</w:t>
      </w:r>
    </w:p>
    <w:p w14:paraId="3B06832F"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03E374E0"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II - vinte dias para o pedido de realização de audiência;</w:t>
      </w:r>
    </w:p>
    <w:p w14:paraId="48075DD6"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5DA7B7E0"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III - trinta dias para regularização dos representantes legais das partes interessadas na avaliação de escopo;</w:t>
      </w:r>
    </w:p>
    <w:p w14:paraId="0646041D"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47188A0D"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IV - vinte dias para manifestação e para submissão de elementos de prova;</w:t>
      </w:r>
    </w:p>
    <w:p w14:paraId="1374F36F"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08ABB395"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V - quarenta dias para submissão de comentários finais sobre os elementos constantes dos autos;</w:t>
      </w:r>
    </w:p>
    <w:p w14:paraId="3E150ED4"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48E6C198"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VI - sessenta dias para elaboração de determinação final da avaliação de escopo.</w:t>
      </w:r>
    </w:p>
    <w:p w14:paraId="579DB13E"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57A58D3C"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1º Os prazos previstos neste artigo contam-se da data de início da avaliação de escopo.</w:t>
      </w:r>
    </w:p>
    <w:p w14:paraId="05281E5A"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6F211738"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2º</w:t>
      </w:r>
      <w:r w:rsidRPr="005C5CBD">
        <w:rPr>
          <w:rFonts w:ascii="Garamond" w:eastAsia="Times New Roman" w:hAnsi="Garamond" w:cs="Calibri"/>
          <w:color w:val="000000"/>
          <w:sz w:val="24"/>
          <w:szCs w:val="24"/>
          <w:vertAlign w:val="superscript"/>
          <w:lang w:eastAsia="pt-BR"/>
        </w:rPr>
        <w:t xml:space="preserve"> </w:t>
      </w:r>
      <w:r w:rsidRPr="005C5CBD">
        <w:rPr>
          <w:rFonts w:ascii="Garamond" w:eastAsia="Times New Roman" w:hAnsi="Garamond" w:cs="Calibri"/>
          <w:color w:val="000000"/>
          <w:sz w:val="24"/>
          <w:szCs w:val="24"/>
          <w:lang w:eastAsia="pt-BR"/>
        </w:rPr>
        <w:t xml:space="preserve">Os prazos previstos no art. 143 do </w:t>
      </w:r>
      <w:r w:rsidRPr="005C5CBD">
        <w:rPr>
          <w:rFonts w:ascii="Garamond" w:eastAsia="Times New Roman" w:hAnsi="Garamond" w:cs="Calibri"/>
          <w:sz w:val="24"/>
          <w:szCs w:val="24"/>
          <w:lang w:eastAsia="pt-BR"/>
        </w:rPr>
        <w:t>Decreto nº 10.839, de 2021</w:t>
      </w:r>
      <w:r w:rsidRPr="005C5CBD">
        <w:rPr>
          <w:rFonts w:ascii="Garamond" w:eastAsia="Times New Roman" w:hAnsi="Garamond" w:cs="Calibri"/>
          <w:color w:val="000000"/>
          <w:sz w:val="24"/>
          <w:szCs w:val="24"/>
          <w:lang w:eastAsia="pt-BR"/>
        </w:rPr>
        <w:t xml:space="preserve">, serão divulgados no ato que der início à avaliação de escopo. </w:t>
      </w:r>
    </w:p>
    <w:p w14:paraId="6384A5D8"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72DB3BE3" w14:textId="638E991B"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392. </w:t>
      </w:r>
      <w:r w:rsidRPr="005C5CBD">
        <w:rPr>
          <w:rFonts w:ascii="Garamond" w:eastAsia="Times New Roman" w:hAnsi="Garamond" w:cs="Calibri"/>
          <w:color w:val="000000"/>
          <w:sz w:val="24"/>
          <w:szCs w:val="24"/>
          <w:lang w:eastAsia="pt-BR"/>
        </w:rPr>
        <w:t xml:space="preserve">Na hipótese de conclusão final apenas com base nas informações constantes da petição e dos demais elementos de provas constantes dos autos do processo, a </w:t>
      </w:r>
      <w:r w:rsidRPr="005C5CBD">
        <w:rPr>
          <w:rFonts w:ascii="Garamond" w:eastAsia="Times New Roman" w:hAnsi="Garamond" w:cs="Calibri"/>
          <w:sz w:val="24"/>
          <w:szCs w:val="24"/>
          <w:lang w:eastAsia="pt-BR"/>
        </w:rPr>
        <w:t>Subsecretaria de Defesa Comercial e Interesse Público</w:t>
      </w:r>
      <w:r w:rsidRPr="005C5CBD">
        <w:rPr>
          <w:rFonts w:ascii="Garamond" w:eastAsia="Times New Roman" w:hAnsi="Garamond" w:cs="Calibri"/>
          <w:color w:val="000000"/>
          <w:sz w:val="24"/>
          <w:szCs w:val="24"/>
          <w:lang w:eastAsia="pt-BR"/>
        </w:rPr>
        <w:t xml:space="preserve"> elaborará determinação final, no prazo de sessenta dias, contado da data de publicação do ato a que faz referência o art. </w:t>
      </w:r>
      <w:r w:rsidR="0045326D">
        <w:rPr>
          <w:rFonts w:ascii="Garamond" w:eastAsia="Times New Roman" w:hAnsi="Garamond" w:cs="Calibri"/>
          <w:color w:val="000000"/>
          <w:sz w:val="24"/>
          <w:szCs w:val="24"/>
          <w:lang w:eastAsia="pt-BR"/>
        </w:rPr>
        <w:t>386</w:t>
      </w:r>
      <w:r w:rsidR="00E15FBB" w:rsidRPr="005C5CBD">
        <w:rPr>
          <w:rFonts w:ascii="Garamond" w:eastAsia="Times New Roman" w:hAnsi="Garamond" w:cs="Calibri"/>
          <w:color w:val="000000"/>
          <w:sz w:val="24"/>
          <w:szCs w:val="24"/>
          <w:lang w:eastAsia="pt-BR"/>
        </w:rPr>
        <w:t xml:space="preserve">, conforme disposto no inciso VI do art. </w:t>
      </w:r>
      <w:r w:rsidR="0045326D">
        <w:rPr>
          <w:rFonts w:ascii="Garamond" w:eastAsia="Times New Roman" w:hAnsi="Garamond" w:cs="Calibri"/>
          <w:color w:val="000000"/>
          <w:sz w:val="24"/>
          <w:szCs w:val="24"/>
          <w:lang w:eastAsia="pt-BR"/>
        </w:rPr>
        <w:t>391</w:t>
      </w:r>
      <w:r w:rsidR="00E15FBB" w:rsidRPr="005C5CBD">
        <w:rPr>
          <w:rFonts w:ascii="Garamond" w:eastAsia="Times New Roman" w:hAnsi="Garamond" w:cs="Calibri"/>
          <w:color w:val="000000"/>
          <w:sz w:val="24"/>
          <w:szCs w:val="24"/>
          <w:lang w:eastAsia="pt-BR"/>
        </w:rPr>
        <w:t>.</w:t>
      </w:r>
    </w:p>
    <w:p w14:paraId="5F956D4C" w14:textId="77777777" w:rsidR="00E15FBB" w:rsidRPr="005C5CBD" w:rsidRDefault="00E15FBB" w:rsidP="00F9137F">
      <w:pPr>
        <w:spacing w:after="0" w:line="240" w:lineRule="auto"/>
        <w:ind w:firstLine="567"/>
        <w:mirrorIndents/>
        <w:jc w:val="both"/>
        <w:rPr>
          <w:rFonts w:ascii="Garamond" w:eastAsia="Times New Roman" w:hAnsi="Garamond" w:cs="Calibri"/>
          <w:color w:val="000000"/>
          <w:sz w:val="24"/>
          <w:szCs w:val="24"/>
          <w:lang w:eastAsia="pt-BR"/>
        </w:rPr>
      </w:pPr>
    </w:p>
    <w:p w14:paraId="028EE3F1" w14:textId="7DF4BFF6" w:rsidR="00E15FBB" w:rsidRPr="005C5CBD" w:rsidRDefault="00E15FBB"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393. </w:t>
      </w:r>
      <w:r w:rsidRPr="005C5CBD">
        <w:rPr>
          <w:rFonts w:ascii="Garamond" w:eastAsia="Times New Roman" w:hAnsi="Garamond" w:cs="Calibri"/>
          <w:color w:val="000000"/>
          <w:sz w:val="24"/>
          <w:szCs w:val="24"/>
          <w:lang w:eastAsia="pt-BR"/>
        </w:rPr>
        <w:t xml:space="preserve">Nas hipóteses de realização de audiência, de envio de questionários ou de realização de verificação </w:t>
      </w:r>
      <w:r w:rsidRPr="005C5CBD">
        <w:rPr>
          <w:rFonts w:ascii="Garamond" w:eastAsia="Times New Roman" w:hAnsi="Garamond" w:cs="Calibri"/>
          <w:b/>
          <w:color w:val="000000"/>
          <w:sz w:val="24"/>
          <w:szCs w:val="24"/>
          <w:lang w:eastAsia="pt-BR"/>
        </w:rPr>
        <w:t>in loco</w:t>
      </w:r>
      <w:r w:rsidRPr="005C5CBD">
        <w:rPr>
          <w:rFonts w:ascii="Garamond" w:eastAsia="Times New Roman" w:hAnsi="Garamond" w:cs="Calibri"/>
          <w:color w:val="000000"/>
          <w:sz w:val="24"/>
          <w:szCs w:val="24"/>
          <w:lang w:eastAsia="pt-BR"/>
        </w:rPr>
        <w:t xml:space="preserve">, a </w:t>
      </w:r>
      <w:r w:rsidRPr="005C5CBD">
        <w:rPr>
          <w:rFonts w:ascii="Garamond" w:eastAsia="Times New Roman" w:hAnsi="Garamond" w:cs="Calibri"/>
          <w:sz w:val="24"/>
          <w:szCs w:val="24"/>
          <w:lang w:eastAsia="pt-BR"/>
        </w:rPr>
        <w:t>Subsecretaria de Defesa Comercial e Interesse Público</w:t>
      </w:r>
      <w:r w:rsidRPr="005C5CBD">
        <w:rPr>
          <w:rFonts w:ascii="Garamond" w:eastAsia="Times New Roman" w:hAnsi="Garamond" w:cs="Calibri"/>
          <w:color w:val="000000"/>
          <w:sz w:val="24"/>
          <w:szCs w:val="24"/>
          <w:lang w:eastAsia="pt-BR"/>
        </w:rPr>
        <w:t xml:space="preserve"> elaborará determinação final, no prazo de cento e vinte dias, contado da data de publicação do ato a que faz referência o art. </w:t>
      </w:r>
      <w:r w:rsidR="0045326D">
        <w:rPr>
          <w:rFonts w:ascii="Garamond" w:eastAsia="Times New Roman" w:hAnsi="Garamond" w:cs="Calibri"/>
          <w:color w:val="000000"/>
          <w:sz w:val="24"/>
          <w:szCs w:val="24"/>
          <w:lang w:eastAsia="pt-BR"/>
        </w:rPr>
        <w:t>386</w:t>
      </w:r>
      <w:r w:rsidRPr="005C5CBD">
        <w:rPr>
          <w:rFonts w:ascii="Garamond" w:eastAsia="Times New Roman" w:hAnsi="Garamond" w:cs="Calibri"/>
          <w:color w:val="000000"/>
          <w:sz w:val="24"/>
          <w:szCs w:val="24"/>
          <w:lang w:eastAsia="pt-BR"/>
        </w:rPr>
        <w:t>.</w:t>
      </w:r>
    </w:p>
    <w:p w14:paraId="3ECB342C" w14:textId="77777777" w:rsidR="00E15FBB" w:rsidRPr="005C5CBD" w:rsidRDefault="00E15FBB" w:rsidP="00F9137F">
      <w:pPr>
        <w:spacing w:after="0" w:line="240" w:lineRule="auto"/>
        <w:ind w:firstLine="567"/>
        <w:mirrorIndents/>
        <w:jc w:val="both"/>
        <w:rPr>
          <w:rFonts w:ascii="Garamond" w:eastAsia="Times New Roman" w:hAnsi="Garamond" w:cs="Calibri"/>
          <w:color w:val="000000"/>
          <w:sz w:val="24"/>
          <w:szCs w:val="24"/>
          <w:lang w:eastAsia="pt-BR"/>
        </w:rPr>
      </w:pPr>
    </w:p>
    <w:p w14:paraId="149D487E" w14:textId="3F6A5480" w:rsidR="00E15FBB" w:rsidRPr="005C5CBD" w:rsidRDefault="00E15FBB"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 1º Nas hipóteses de envio de questionários ao início da avaliação de escopo, os atos a que fazem referência os incisos IV e V do art. </w:t>
      </w:r>
      <w:r w:rsidR="0045326D">
        <w:rPr>
          <w:rFonts w:ascii="Garamond" w:eastAsia="Times New Roman" w:hAnsi="Garamond" w:cs="Calibri"/>
          <w:color w:val="000000"/>
          <w:sz w:val="24"/>
          <w:szCs w:val="24"/>
          <w:lang w:eastAsia="pt-BR"/>
        </w:rPr>
        <w:t>391</w:t>
      </w:r>
      <w:r w:rsidRPr="005C5CBD">
        <w:rPr>
          <w:rFonts w:ascii="Garamond" w:eastAsia="Times New Roman" w:hAnsi="Garamond" w:cs="Calibri"/>
          <w:color w:val="000000"/>
          <w:sz w:val="24"/>
          <w:szCs w:val="24"/>
          <w:lang w:eastAsia="pt-BR"/>
        </w:rPr>
        <w:t xml:space="preserve"> deverão observar os seguintes prazos:</w:t>
      </w:r>
    </w:p>
    <w:p w14:paraId="70F2BF58"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2BA38E4D"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I - noventa dias para manifestação e para submissão de elementos de prova;</w:t>
      </w:r>
    </w:p>
    <w:p w14:paraId="3C96F936"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06E37346"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II - cem dias para submissão de comentários finais sobre os elementos constantes dos autos.</w:t>
      </w:r>
    </w:p>
    <w:p w14:paraId="5EC9F20F"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04581B0B"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2º Na hipótese de ser necessário o envio de questionários durante a instrução da avaliação de escopo, será divulgado novo ato com os prazos para restituição dos questionários, manifestação e submissão de elementos de prova, comentários finais sobre os elementos constantes dos autos e para a elaboração de determinação final da avaliação de escopo.</w:t>
      </w:r>
    </w:p>
    <w:p w14:paraId="4312368F"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2CC3E351"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3º Os produtores ou os exportadores, os importadores e os produtores domésticos disporão do prazo de dez dias para restituir os questionários, contado da data de ciência da solicitação.</w:t>
      </w:r>
    </w:p>
    <w:p w14:paraId="71F46C52" w14:textId="77777777" w:rsidR="00395593" w:rsidRPr="005C5CBD" w:rsidRDefault="00395593" w:rsidP="00E15FBB">
      <w:pPr>
        <w:spacing w:after="0" w:line="240" w:lineRule="auto"/>
        <w:mirrorIndents/>
        <w:jc w:val="both"/>
        <w:rPr>
          <w:rFonts w:ascii="Garamond" w:eastAsia="Times New Roman" w:hAnsi="Garamond" w:cs="Calibri"/>
          <w:color w:val="000000"/>
          <w:sz w:val="24"/>
          <w:szCs w:val="24"/>
          <w:lang w:eastAsia="pt-BR"/>
        </w:rPr>
      </w:pPr>
    </w:p>
    <w:p w14:paraId="48EC7415" w14:textId="77777777"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Seção IV</w:t>
      </w:r>
    </w:p>
    <w:p w14:paraId="322E31DB" w14:textId="3B33610A" w:rsidR="009B5236" w:rsidRPr="003C53EA" w:rsidRDefault="00395593" w:rsidP="009B5236">
      <w:pPr>
        <w:pStyle w:val="Corpodetexto"/>
        <w:jc w:val="center"/>
        <w:rPr>
          <w:rFonts w:ascii="Garamond" w:hAnsi="Garamond"/>
          <w:b/>
          <w:lang w:eastAsia="pt-BR"/>
        </w:rPr>
      </w:pPr>
      <w:r w:rsidRPr="003C53EA">
        <w:rPr>
          <w:rFonts w:ascii="Garamond" w:hAnsi="Garamond"/>
          <w:b/>
          <w:lang w:eastAsia="pt-BR"/>
        </w:rPr>
        <w:t>Da audiência</w:t>
      </w:r>
    </w:p>
    <w:p w14:paraId="3D1E9486" w14:textId="77777777" w:rsidR="009B5236" w:rsidRPr="005C5CBD" w:rsidRDefault="009B5236" w:rsidP="00E15FBB">
      <w:pPr>
        <w:keepNext/>
        <w:spacing w:after="0" w:line="240" w:lineRule="auto"/>
        <w:jc w:val="center"/>
        <w:outlineLvl w:val="1"/>
        <w:rPr>
          <w:rFonts w:ascii="Garamond" w:eastAsia="Times New Roman" w:hAnsi="Garamond" w:cs="Calibri"/>
          <w:sz w:val="24"/>
          <w:szCs w:val="24"/>
          <w:lang w:eastAsia="pt-BR"/>
        </w:rPr>
      </w:pPr>
    </w:p>
    <w:p w14:paraId="313B6B70"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394. </w:t>
      </w:r>
      <w:r w:rsidRPr="005C5CBD">
        <w:rPr>
          <w:rFonts w:ascii="Garamond" w:eastAsia="Times New Roman" w:hAnsi="Garamond" w:cs="Calibri"/>
          <w:color w:val="000000"/>
          <w:sz w:val="24"/>
          <w:szCs w:val="24"/>
          <w:lang w:eastAsia="pt-BR"/>
        </w:rPr>
        <w:t xml:space="preserve">Será realizada, a pedido de uma ou mais partes interessadas habilitadas ou por iniciativa da </w:t>
      </w:r>
      <w:r w:rsidRPr="005C5CBD">
        <w:rPr>
          <w:rFonts w:ascii="Garamond" w:eastAsia="Times New Roman" w:hAnsi="Garamond" w:cs="Calibri"/>
          <w:sz w:val="24"/>
          <w:szCs w:val="24"/>
          <w:lang w:eastAsia="pt-BR"/>
        </w:rPr>
        <w:t>Subsecretaria de Defesa Comercial e Interesse Público</w:t>
      </w:r>
      <w:r w:rsidRPr="005C5CBD">
        <w:rPr>
          <w:rFonts w:ascii="Garamond" w:eastAsia="Times New Roman" w:hAnsi="Garamond" w:cs="Calibri"/>
          <w:color w:val="000000"/>
          <w:sz w:val="24"/>
          <w:szCs w:val="24"/>
          <w:lang w:eastAsia="pt-BR"/>
        </w:rPr>
        <w:t>, no prazo de quarenta dias, audiência, com as partes interessadas habilitadas, a fim de permitir o exercício do contraditório e da ampla defesa.</w:t>
      </w:r>
    </w:p>
    <w:p w14:paraId="4F956919"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31EDD3E0" w14:textId="188F2A65"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 1º As audiências deverão ser solicitadas por escrito, no prazo de vinte dias contados da data do início da avaliação de escopo, conforme disposto no inciso II do art. </w:t>
      </w:r>
      <w:r w:rsidR="0045326D">
        <w:rPr>
          <w:rFonts w:ascii="Garamond" w:eastAsia="Times New Roman" w:hAnsi="Garamond" w:cs="Calibri"/>
          <w:color w:val="000000"/>
          <w:sz w:val="24"/>
          <w:szCs w:val="24"/>
          <w:lang w:eastAsia="pt-BR"/>
        </w:rPr>
        <w:t>391</w:t>
      </w:r>
      <w:r w:rsidR="00E15FBB" w:rsidRPr="005C5CBD">
        <w:rPr>
          <w:rFonts w:ascii="Garamond" w:eastAsia="Times New Roman" w:hAnsi="Garamond" w:cs="Calibri"/>
          <w:color w:val="000000"/>
          <w:sz w:val="24"/>
          <w:szCs w:val="24"/>
          <w:lang w:eastAsia="pt-BR"/>
        </w:rPr>
        <w:t>,</w:t>
      </w:r>
      <w:r w:rsidRPr="005C5CBD">
        <w:rPr>
          <w:rFonts w:ascii="Garamond" w:eastAsia="Times New Roman" w:hAnsi="Garamond" w:cs="Calibri"/>
          <w:color w:val="000000"/>
          <w:sz w:val="24"/>
          <w:szCs w:val="24"/>
          <w:lang w:eastAsia="pt-BR"/>
        </w:rPr>
        <w:t xml:space="preserve"> e as solicitações deverão estar acompanhadas da relação dos temas específicos a serem nela tratados.</w:t>
      </w:r>
    </w:p>
    <w:p w14:paraId="0BE61284"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14611923"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2º Somente serão deferidos pedidos de realização de audiência a fim de esclarecer aspectos relativos ao escopo da medida compensatória em vigor.</w:t>
      </w:r>
    </w:p>
    <w:p w14:paraId="6C0E1C9E"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746CCF7C"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3º As partes interessadas habilitadas serão notificadas da realização da audiência e dos temas a serem tratados com antecedência mínima de vinte dias.</w:t>
      </w:r>
    </w:p>
    <w:p w14:paraId="0D60AC14"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50B6419F"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4º O comparecimento às audiências é facultativo e a ausência de qualquer parte interessada não será utilizada em seu prejuízo.</w:t>
      </w:r>
    </w:p>
    <w:p w14:paraId="7B00601A"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5873C280"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5º As partes interessadas habilitadas deverão enviar, por escrito, com pelo menos dez dias de antecedência, os argumentos que desejam tratar e indicar, com pelo menos três dias de antecedência, os representantes legais que estarão presentes à audiência, podendo as partes interessadas habilitadas apresentar informações adicionais oralmente na audiência.</w:t>
      </w:r>
    </w:p>
    <w:p w14:paraId="6BF9887B"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5EF5CAAC"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 6º As informações apresentadas oralmente durante a audiência somente serão consideradas pela </w:t>
      </w:r>
      <w:r w:rsidRPr="005C5CBD">
        <w:rPr>
          <w:rFonts w:ascii="Garamond" w:eastAsia="Times New Roman" w:hAnsi="Garamond" w:cs="Calibri"/>
          <w:sz w:val="24"/>
          <w:szCs w:val="24"/>
          <w:lang w:eastAsia="pt-BR"/>
        </w:rPr>
        <w:t>Subsecretaria de Defesa Comercial e Interesse Público</w:t>
      </w:r>
      <w:r w:rsidRPr="005C5CBD">
        <w:rPr>
          <w:rFonts w:ascii="Garamond" w:eastAsia="Times New Roman" w:hAnsi="Garamond" w:cs="Calibri"/>
          <w:color w:val="000000"/>
          <w:sz w:val="24"/>
          <w:szCs w:val="24"/>
          <w:lang w:eastAsia="pt-BR"/>
        </w:rPr>
        <w:t>, caso reproduzidas por escrito e protocoladas no prazo de cinco dias após a sua realização, a fim de que sejam anexadas aos autos restritos do processo.</w:t>
      </w:r>
    </w:p>
    <w:p w14:paraId="166D0938"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70076FEC"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 7º Na hipótese de as audiências serem gravadas, as manifestações orais feitas pelas partes interessadas habilitadas poderão ser utilizadas pela </w:t>
      </w:r>
      <w:r w:rsidRPr="005C5CBD">
        <w:rPr>
          <w:rFonts w:ascii="Garamond" w:eastAsia="Times New Roman" w:hAnsi="Garamond" w:cs="Calibri"/>
          <w:sz w:val="24"/>
          <w:szCs w:val="24"/>
          <w:lang w:eastAsia="pt-BR"/>
        </w:rPr>
        <w:t>Subsecretaria de Defesa Comercial e Interesse Público</w:t>
      </w:r>
      <w:r w:rsidRPr="005C5CBD">
        <w:rPr>
          <w:rFonts w:ascii="Garamond" w:eastAsia="Times New Roman" w:hAnsi="Garamond" w:cs="Calibri"/>
          <w:color w:val="000000"/>
          <w:sz w:val="24"/>
          <w:szCs w:val="24"/>
          <w:lang w:eastAsia="pt-BR"/>
        </w:rPr>
        <w:t xml:space="preserve"> na elaboração de suas determinações, ficando, nesse caso, as partes interessadas habilitadas desobrigadas de reproduzir por escrito as manifestações feitas.</w:t>
      </w:r>
    </w:p>
    <w:p w14:paraId="685DB4FB"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p>
    <w:p w14:paraId="6DF4F1F3" w14:textId="77777777" w:rsidR="00395593" w:rsidRPr="005C5CBD" w:rsidRDefault="00395593" w:rsidP="00F9137F">
      <w:pPr>
        <w:spacing w:after="0" w:line="240" w:lineRule="auto"/>
        <w:ind w:firstLine="567"/>
        <w:mirrorIndents/>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8º As gravações ou as respectivas transcrições, caso existam, serão igualmente anexadas aos autos restritos do processo.</w:t>
      </w:r>
    </w:p>
    <w:p w14:paraId="68F2DF47"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486C8521" w14:textId="77777777" w:rsidR="00395593" w:rsidRPr="003C53EA" w:rsidRDefault="00395593" w:rsidP="009B5236">
      <w:pPr>
        <w:pStyle w:val="Corpodetexto"/>
        <w:jc w:val="center"/>
        <w:rPr>
          <w:rFonts w:ascii="Garamond" w:hAnsi="Garamond"/>
          <w:b/>
          <w:lang w:eastAsia="pt-BR"/>
        </w:rPr>
      </w:pPr>
      <w:r w:rsidRPr="003C53EA" w:rsidDel="00582788">
        <w:rPr>
          <w:rFonts w:ascii="Garamond" w:hAnsi="Garamond"/>
          <w:b/>
          <w:lang w:eastAsia="pt-BR"/>
        </w:rPr>
        <w:t xml:space="preserve">CAPÍTULO </w:t>
      </w:r>
      <w:r w:rsidRPr="003C53EA">
        <w:rPr>
          <w:rFonts w:ascii="Garamond" w:hAnsi="Garamond"/>
          <w:b/>
          <w:lang w:eastAsia="pt-BR"/>
        </w:rPr>
        <w:t>X</w:t>
      </w:r>
    </w:p>
    <w:p w14:paraId="063C10C5" w14:textId="77777777"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DAS PETIÇÕES DE REDETERMINAÇÃO</w:t>
      </w:r>
    </w:p>
    <w:p w14:paraId="495BF782" w14:textId="77777777" w:rsidR="00395593" w:rsidRPr="003C53EA" w:rsidRDefault="00395593" w:rsidP="009B5236">
      <w:pPr>
        <w:pStyle w:val="Corpodetexto"/>
        <w:jc w:val="center"/>
        <w:rPr>
          <w:rFonts w:ascii="Garamond" w:hAnsi="Garamond"/>
          <w:b/>
          <w:lang w:eastAsia="pt-BR"/>
        </w:rPr>
      </w:pPr>
    </w:p>
    <w:p w14:paraId="68331AEE" w14:textId="77777777"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Seção I</w:t>
      </w:r>
    </w:p>
    <w:p w14:paraId="0B9CFB19" w14:textId="77777777" w:rsidR="00395593" w:rsidRPr="005C5CBD" w:rsidRDefault="00395593" w:rsidP="009B5236">
      <w:pPr>
        <w:pStyle w:val="Corpodetexto"/>
        <w:jc w:val="center"/>
        <w:rPr>
          <w:lang w:eastAsia="pt-BR"/>
        </w:rPr>
      </w:pPr>
      <w:r w:rsidRPr="003C53EA">
        <w:rPr>
          <w:rFonts w:ascii="Garamond" w:hAnsi="Garamond"/>
          <w:b/>
          <w:lang w:eastAsia="pt-BR"/>
        </w:rPr>
        <w:t>Das instruções gerais</w:t>
      </w:r>
    </w:p>
    <w:p w14:paraId="2059B15F"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2BF64156"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395. </w:t>
      </w:r>
      <w:r w:rsidRPr="005C5CBD">
        <w:rPr>
          <w:rFonts w:ascii="Garamond" w:eastAsia="Times New Roman" w:hAnsi="Garamond" w:cs="Calibri"/>
          <w:sz w:val="24"/>
          <w:szCs w:val="24"/>
          <w:lang w:eastAsia="pt-BR"/>
        </w:rPr>
        <w:t>As petições de redeterminação de que trata a Seção II do Capítulo X do Decreto nº 10.839, de 2021,</w:t>
      </w:r>
      <w:r w:rsidRPr="005C5CBD" w:rsidDel="009A275A">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deverão obedecer às disposições deste Capítulo.</w:t>
      </w:r>
    </w:p>
    <w:p w14:paraId="21354015" w14:textId="77777777" w:rsidR="00395593" w:rsidRPr="005C5CBD" w:rsidRDefault="00395593" w:rsidP="00F9137F">
      <w:pPr>
        <w:spacing w:after="0" w:line="240" w:lineRule="auto"/>
        <w:ind w:firstLine="567"/>
        <w:jc w:val="both"/>
        <w:rPr>
          <w:rFonts w:ascii="Garamond" w:eastAsia="Calibri" w:hAnsi="Garamond" w:cs="Calibri"/>
          <w:sz w:val="24"/>
          <w:szCs w:val="24"/>
          <w:lang w:eastAsia="pt-BR"/>
        </w:rPr>
      </w:pPr>
    </w:p>
    <w:p w14:paraId="12E8362E"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396. Nos termos do art. 150 do </w:t>
      </w:r>
      <w:r w:rsidRPr="005C5CBD">
        <w:rPr>
          <w:rFonts w:ascii="Garamond" w:eastAsia="Times New Roman" w:hAnsi="Garamond" w:cs="Calibri"/>
          <w:sz w:val="24"/>
          <w:szCs w:val="24"/>
          <w:lang w:eastAsia="pt-BR"/>
        </w:rPr>
        <w:t xml:space="preserve">Decreto nº 10.839, de 2021, </w:t>
      </w:r>
      <w:r w:rsidRPr="005C5CBD">
        <w:rPr>
          <w:rFonts w:ascii="Garamond" w:eastAsia="Times New Roman" w:hAnsi="Garamond" w:cs="Calibri"/>
          <w:color w:val="000000"/>
          <w:sz w:val="24"/>
          <w:szCs w:val="24"/>
          <w:lang w:eastAsia="pt-BR"/>
        </w:rPr>
        <w:t>os produtores domésticos do produto similar ou a entidade de classe que os represente poderão solicitar à Subsecretaria de Defesa Comercial e Interesse Público que proceda à redeterminação, a fim de determinar se uma medida compensatória aplicada está com sua eficácia comprometida</w:t>
      </w:r>
      <w:r w:rsidRPr="005C5CBD">
        <w:rPr>
          <w:rFonts w:ascii="Garamond" w:eastAsia="Times New Roman" w:hAnsi="Garamond" w:cs="Calibri"/>
          <w:sz w:val="24"/>
          <w:szCs w:val="24"/>
          <w:lang w:eastAsia="pt-BR"/>
        </w:rPr>
        <w:t>:</w:t>
      </w:r>
    </w:p>
    <w:p w14:paraId="7173404D" w14:textId="77777777" w:rsidR="00395593" w:rsidRPr="005C5CBD" w:rsidRDefault="00395593" w:rsidP="00F9137F">
      <w:pPr>
        <w:spacing w:after="0" w:line="240" w:lineRule="auto"/>
        <w:ind w:firstLine="567"/>
        <w:jc w:val="both"/>
        <w:rPr>
          <w:rFonts w:ascii="Garamond" w:eastAsia="Times New Roman" w:hAnsi="Garamond" w:cs="Calibri"/>
          <w:color w:val="000000"/>
          <w:sz w:val="24"/>
          <w:szCs w:val="24"/>
          <w:lang w:eastAsia="pt-BR"/>
        </w:rPr>
      </w:pPr>
    </w:p>
    <w:p w14:paraId="6D76AFA6" w14:textId="77777777" w:rsidR="00395593" w:rsidRPr="005C5CBD" w:rsidRDefault="00395593" w:rsidP="00F9137F">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I - em razão da forma de aplicação da medida; ou </w:t>
      </w:r>
    </w:p>
    <w:p w14:paraId="7D3D5FDF" w14:textId="77777777" w:rsidR="00395593" w:rsidRPr="005C5CBD" w:rsidRDefault="00395593" w:rsidP="00F9137F">
      <w:pPr>
        <w:spacing w:after="0" w:line="240" w:lineRule="auto"/>
        <w:ind w:firstLine="567"/>
        <w:jc w:val="both"/>
        <w:rPr>
          <w:rFonts w:ascii="Garamond" w:eastAsia="Times New Roman" w:hAnsi="Garamond" w:cs="Calibri"/>
          <w:color w:val="000000"/>
          <w:sz w:val="24"/>
          <w:szCs w:val="24"/>
          <w:lang w:eastAsia="pt-BR"/>
        </w:rPr>
      </w:pPr>
    </w:p>
    <w:p w14:paraId="3693F5DC" w14:textId="77777777" w:rsidR="00395593" w:rsidRPr="005C5CBD" w:rsidRDefault="00395593" w:rsidP="00F9137F">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II - em razão </w:t>
      </w:r>
      <w:r w:rsidRPr="005C5CBD">
        <w:rPr>
          <w:rFonts w:ascii="Garamond" w:eastAsia="Times New Roman" w:hAnsi="Garamond" w:cs="Calibri"/>
          <w:sz w:val="24"/>
          <w:szCs w:val="24"/>
          <w:lang w:eastAsia="pt-BR"/>
        </w:rPr>
        <w:t>da absorção da medida compensatória, por meio da</w:t>
      </w:r>
      <w:r w:rsidRPr="005C5CBD">
        <w:rPr>
          <w:rFonts w:ascii="Garamond" w:eastAsia="Times New Roman" w:hAnsi="Garamond" w:cs="Calibri"/>
          <w:color w:val="000000"/>
          <w:sz w:val="24"/>
          <w:szCs w:val="24"/>
          <w:lang w:eastAsia="pt-BR"/>
        </w:rPr>
        <w:t xml:space="preserve"> redução, da não alteração ou do aumento em valor inferior do preço de exportação em relação ao esperado com a aplicação, a alteração, a prorrogação ou a extensão de medida compensatória. </w:t>
      </w:r>
    </w:p>
    <w:p w14:paraId="654BB889"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br/>
        <w:t>§ 1º  Não serão conhecidas solicitações de empresa, conjunto de empresas, ou entidade de classe representativa do setor que representem menos de vinte e cinco por cento da produção nacional.</w:t>
      </w:r>
    </w:p>
    <w:p w14:paraId="24F341C7"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232F3940"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A Subsecretaria de Defesa Comercial e Interesse Público poderá, excepcionalmente, iniciar de ofício redeterminação.</w:t>
      </w:r>
    </w:p>
    <w:p w14:paraId="65B40A70" w14:textId="77777777" w:rsidR="00395593" w:rsidRPr="005C5CBD" w:rsidRDefault="00395593" w:rsidP="00F9137F">
      <w:pPr>
        <w:spacing w:after="0" w:line="240" w:lineRule="auto"/>
        <w:ind w:firstLine="567"/>
        <w:jc w:val="both"/>
        <w:rPr>
          <w:rFonts w:ascii="Garamond" w:eastAsia="Times New Roman" w:hAnsi="Garamond" w:cs="Calibri"/>
          <w:sz w:val="24"/>
          <w:szCs w:val="24"/>
          <w:highlight w:val="yellow"/>
          <w:lang w:eastAsia="pt-BR"/>
        </w:rPr>
      </w:pPr>
    </w:p>
    <w:p w14:paraId="470161C0"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397. </w:t>
      </w:r>
      <w:r w:rsidRPr="005C5CBD">
        <w:rPr>
          <w:rFonts w:ascii="Garamond" w:eastAsia="Times New Roman" w:hAnsi="Garamond" w:cs="Calibri"/>
          <w:sz w:val="24"/>
          <w:szCs w:val="24"/>
          <w:lang w:eastAsia="pt-BR"/>
        </w:rPr>
        <w:t>A petição deverá conter explicação pormenorizada, acompanhada dos indícios pertinentes e das razões que levam o peticionário a entender que a redeterminação é necessária.</w:t>
      </w:r>
    </w:p>
    <w:p w14:paraId="1B0FCE48"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4869573A" w14:textId="77777777" w:rsidR="00395593" w:rsidRPr="005C5CBD" w:rsidRDefault="00395593" w:rsidP="00F9137F">
      <w:pPr>
        <w:autoSpaceDE w:val="0"/>
        <w:autoSpaceDN w:val="0"/>
        <w:adjustRightInd w:val="0"/>
        <w:spacing w:after="0" w:line="240" w:lineRule="auto"/>
        <w:ind w:firstLine="567"/>
        <w:jc w:val="both"/>
        <w:rPr>
          <w:rFonts w:ascii="Garamond" w:eastAsia="Calibri" w:hAnsi="Garamond" w:cs="Calibri"/>
          <w:sz w:val="21"/>
          <w:szCs w:val="21"/>
        </w:rPr>
      </w:pPr>
      <w:r w:rsidRPr="005C5CBD">
        <w:rPr>
          <w:rFonts w:ascii="Garamond" w:eastAsia="Calibri" w:hAnsi="Garamond" w:cs="Calibri"/>
          <w:sz w:val="24"/>
          <w:szCs w:val="24"/>
        </w:rPr>
        <w:t>Art. 398. O peticionário deverá observar o disposto no art. 5º acerca das fontes de informação aceitas para fins de instrução da petição.</w:t>
      </w:r>
    </w:p>
    <w:p w14:paraId="0C443952"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3057ABD2"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399. </w:t>
      </w:r>
      <w:r w:rsidRPr="005C5CBD">
        <w:rPr>
          <w:rFonts w:ascii="Garamond" w:eastAsia="Times New Roman" w:hAnsi="Garamond" w:cs="Calibri"/>
          <w:sz w:val="24"/>
          <w:szCs w:val="24"/>
          <w:lang w:eastAsia="pt-BR"/>
        </w:rPr>
        <w:t>A petição protocolada em conformidade com este Capítulo será analisada no prazo de quinze dias, contado da data do seu protocolo.</w:t>
      </w:r>
    </w:p>
    <w:p w14:paraId="2E677780"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526025AB"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1º No caso de a petição estar devidamente instruída e de não serem necessárias informações complementares, o peticionário será notificado a respeito da decisão sobre o início da redeterminação no prazo adicional:</w:t>
      </w:r>
    </w:p>
    <w:p w14:paraId="4D91E57D"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711DDA7A"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de quinze dias, caso já tenham transcorrido nove meses da data de aplicação, alteração, prorrogação ou extensão da medida compensatória objeto da petição; ou</w:t>
      </w:r>
    </w:p>
    <w:p w14:paraId="21537402"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1996239B"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necessário ao transcurso do prazo de nove meses da data de aplicação, alteração, prorrogação ou extensão da medida compensatória objeto da petição, sendo de, no mínimo, quinze dias.</w:t>
      </w:r>
    </w:p>
    <w:p w14:paraId="2FE0B199"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5A0A0E93"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Caso haja a necessidade de informações complementares pouco expressivas, ou de correções e ajustes pontuais na petição, o peticionário será instado a emendá-la no prazo de cinco dias, contado da data de ciência da solicitação.</w:t>
      </w:r>
    </w:p>
    <w:p w14:paraId="4EDE0EFE"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37F20E33"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3º As informações complementares, as correções ou os ajustes serão analisados no prazo de dez dias, contado da data de seu recebimento.</w:t>
      </w:r>
    </w:p>
    <w:p w14:paraId="5C1791E4"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0F44D017"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4º Ao final do prazo previsto no § 3º, o peticionário será notificado a respeito da decisão sobre o início da redeterminação no prazo adicional:</w:t>
      </w:r>
    </w:p>
    <w:p w14:paraId="5DEFCA49"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53303ABE"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de quinze dias, caso já tenham transcorrido nove meses da data de aplicação, alteração, prorrogação ou extensão da medida compensatória objeto da petição; ou</w:t>
      </w:r>
    </w:p>
    <w:p w14:paraId="7C4A7E43"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50DAB81D"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necessário ao transcurso do prazo de nove meses da data de aplicação, alteração, prorrogação ou extensão da medida compensatória objeto da petição, sendo de, no mínimo, quinze dias.</w:t>
      </w:r>
    </w:p>
    <w:p w14:paraId="71D62066"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3EA5F087" w14:textId="77777777" w:rsidR="00395593" w:rsidRPr="005C5CBD" w:rsidRDefault="00395593" w:rsidP="00F9137F">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400. </w:t>
      </w:r>
      <w:r w:rsidRPr="005C5CBD">
        <w:rPr>
          <w:rFonts w:ascii="Garamond" w:eastAsia="Times New Roman" w:hAnsi="Garamond" w:cs="Calibri"/>
          <w:sz w:val="24"/>
          <w:szCs w:val="24"/>
          <w:lang w:eastAsia="pt-BR"/>
        </w:rPr>
        <w:t>Caso a redeterminação seja encerrada com base em determinação negativa, nova petição sobre a mesma medida compensatória só́ será́ analisada se protocolada ap</w:t>
      </w:r>
      <w:r w:rsidRPr="005C5CBD">
        <w:rPr>
          <w:rFonts w:ascii="Garamond" w:eastAsia="Times New Roman" w:hAnsi="Garamond" w:cs="Garamond"/>
          <w:sz w:val="24"/>
          <w:szCs w:val="24"/>
          <w:lang w:eastAsia="pt-BR"/>
        </w:rPr>
        <w:t>ó</w:t>
      </w:r>
      <w:r w:rsidRPr="005C5CBD">
        <w:rPr>
          <w:rFonts w:ascii="Garamond" w:eastAsia="Times New Roman" w:hAnsi="Garamond" w:cs="Calibri"/>
          <w:sz w:val="24"/>
          <w:szCs w:val="24"/>
          <w:lang w:eastAsia="pt-BR"/>
        </w:rPr>
        <w:t>s 12 (doze) meses contados da data do encerramento da redetermina</w:t>
      </w:r>
      <w:r w:rsidRPr="005C5CBD">
        <w:rPr>
          <w:rFonts w:ascii="Garamond" w:eastAsia="Times New Roman" w:hAnsi="Garamond" w:cs="Garamond"/>
          <w:sz w:val="24"/>
          <w:szCs w:val="24"/>
          <w:lang w:eastAsia="pt-BR"/>
        </w:rPr>
        <w:t>çã</w:t>
      </w:r>
      <w:r w:rsidRPr="005C5CBD">
        <w:rPr>
          <w:rFonts w:ascii="Garamond" w:eastAsia="Times New Roman" w:hAnsi="Garamond" w:cs="Calibri"/>
          <w:sz w:val="24"/>
          <w:szCs w:val="24"/>
          <w:lang w:eastAsia="pt-BR"/>
        </w:rPr>
        <w:t xml:space="preserve">o, </w:t>
      </w:r>
      <w:r w:rsidRPr="005C5CBD">
        <w:rPr>
          <w:rFonts w:ascii="Garamond" w:eastAsia="Times New Roman" w:hAnsi="Garamond" w:cs="Calibri"/>
          <w:color w:val="000000"/>
          <w:sz w:val="24"/>
          <w:szCs w:val="24"/>
          <w:lang w:eastAsia="pt-BR"/>
        </w:rPr>
        <w:t>podendo este prazo, em casos excepcionais e devidamente justificados, ser reduzido para 6 (seis) meses.</w:t>
      </w:r>
    </w:p>
    <w:p w14:paraId="7F092E1A"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1E3A8B17"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401. </w:t>
      </w:r>
      <w:r w:rsidRPr="005C5CBD">
        <w:rPr>
          <w:rFonts w:ascii="Garamond" w:eastAsia="Times New Roman" w:hAnsi="Garamond" w:cs="Calibri"/>
          <w:sz w:val="24"/>
          <w:szCs w:val="24"/>
          <w:lang w:eastAsia="pt-BR"/>
        </w:rPr>
        <w:t>Não serão conhecidas petições de redeterminação de medida compensatória para os quais estejam em curso revisões de alteração das circunstâncias ou de final de período a que se refere a Seção II do Capítulo IX do Decreto nº 10.839, de 2021.</w:t>
      </w:r>
    </w:p>
    <w:p w14:paraId="46F6BDB5"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02D8A61E" w14:textId="77777777"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Seção II</w:t>
      </w:r>
    </w:p>
    <w:p w14:paraId="4C698CD0" w14:textId="77777777"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Das medidas compensatórias passíveis de redeterminação</w:t>
      </w:r>
    </w:p>
    <w:p w14:paraId="084BDF16"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61B9F91A"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402. </w:t>
      </w:r>
      <w:r w:rsidRPr="005C5CBD">
        <w:rPr>
          <w:rFonts w:ascii="Garamond" w:eastAsia="Times New Roman" w:hAnsi="Garamond" w:cs="Calibri"/>
          <w:sz w:val="24"/>
          <w:szCs w:val="24"/>
          <w:lang w:eastAsia="pt-BR"/>
        </w:rPr>
        <w:t>Serão passíveis de redeterminação as medidas compensatórias que não sejam provisórias.</w:t>
      </w:r>
    </w:p>
    <w:p w14:paraId="3696376F"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3BD960C3" w14:textId="6D67D034"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403. </w:t>
      </w:r>
      <w:r w:rsidRPr="005C5CBD">
        <w:rPr>
          <w:rFonts w:ascii="Garamond" w:eastAsia="Times New Roman" w:hAnsi="Garamond" w:cs="Calibri"/>
          <w:sz w:val="24"/>
          <w:szCs w:val="24"/>
          <w:lang w:eastAsia="pt-BR"/>
        </w:rPr>
        <w:t xml:space="preserve">São passíveis de redeterminação em razão de absorção do direito apenas medidas compensatórias aplicadas em montante inferior ao montante de subsídios calculado na investigação ou revisão que aplicou, prorrogou, ou estendeu a medida compensatória objeto da redeterminação, conforme o disposto no inciso II do art. </w:t>
      </w:r>
      <w:r w:rsidR="0045326D">
        <w:rPr>
          <w:rFonts w:ascii="Garamond" w:eastAsia="Times New Roman" w:hAnsi="Garamond" w:cs="Calibri"/>
          <w:sz w:val="24"/>
          <w:szCs w:val="24"/>
          <w:lang w:eastAsia="pt-BR"/>
        </w:rPr>
        <w:t>396</w:t>
      </w:r>
      <w:r w:rsidR="00E15FBB" w:rsidRPr="005C5CBD">
        <w:rPr>
          <w:rFonts w:ascii="Garamond" w:eastAsia="Times New Roman" w:hAnsi="Garamond" w:cs="Calibri"/>
          <w:sz w:val="24"/>
          <w:szCs w:val="24"/>
          <w:lang w:eastAsia="pt-BR"/>
        </w:rPr>
        <w:t>.</w:t>
      </w:r>
    </w:p>
    <w:p w14:paraId="1D61DE9A"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4EA5718B" w14:textId="77777777"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Seção III</w:t>
      </w:r>
    </w:p>
    <w:p w14:paraId="3C01B2CB" w14:textId="77777777" w:rsidR="00395593" w:rsidRPr="005C5CBD" w:rsidRDefault="00395593" w:rsidP="009B5236">
      <w:pPr>
        <w:pStyle w:val="Corpodetexto"/>
        <w:jc w:val="center"/>
        <w:rPr>
          <w:lang w:eastAsia="pt-BR"/>
        </w:rPr>
      </w:pPr>
      <w:r w:rsidRPr="003C53EA">
        <w:rPr>
          <w:rFonts w:ascii="Garamond" w:hAnsi="Garamond"/>
          <w:b/>
          <w:lang w:eastAsia="pt-BR"/>
        </w:rPr>
        <w:t>Do período de análise da redeterminação</w:t>
      </w:r>
    </w:p>
    <w:p w14:paraId="2834F2A9"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124DF9DD"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404. </w:t>
      </w:r>
      <w:r w:rsidRPr="005C5CBD">
        <w:rPr>
          <w:rFonts w:ascii="Garamond" w:eastAsia="Times New Roman" w:hAnsi="Garamond" w:cs="Calibri"/>
          <w:sz w:val="24"/>
          <w:szCs w:val="24"/>
          <w:lang w:eastAsia="pt-BR"/>
        </w:rPr>
        <w:t>A petição de redeterminação deverá conter dados relativos a todo o período de vigência da medida compensatória, contemplando no mínimo seis meses da data da publicação da aplicação, alteração, prorrogação ou extensão da medida compensatória definitiva a que se refere a petição.</w:t>
      </w:r>
    </w:p>
    <w:p w14:paraId="54775D2A"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023DF1D9"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Caso seja superior a seis meses, o período de análise de redeterminação deverá necessariamente ser dividido em intervalos semestrais, nomeados PV1 até PVn, de modo que PV1 corresponda aos primeiros seis meses após a aplicação, alteração, prorrogação ou extensão do direito antidumping definitivo a que se refere a petição e PVn aos seis meses mais recentes do período de análise de redeterminação</w:t>
      </w:r>
    </w:p>
    <w:p w14:paraId="1D73C04A"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7CA4A209" w14:textId="0989F76C" w:rsidR="00395593" w:rsidRPr="005C5CBD" w:rsidRDefault="00395593" w:rsidP="00F9137F">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405. </w:t>
      </w:r>
      <w:r w:rsidRPr="005C5CBD">
        <w:rPr>
          <w:rFonts w:ascii="Garamond" w:eastAsia="Times New Roman" w:hAnsi="Garamond" w:cs="Calibri"/>
          <w:sz w:val="24"/>
          <w:szCs w:val="24"/>
          <w:lang w:eastAsia="pt-BR"/>
        </w:rPr>
        <w:t>O peticionário deverá apresentar a peti</w:t>
      </w:r>
      <w:r w:rsidRPr="005C5CBD">
        <w:rPr>
          <w:rFonts w:ascii="Garamond" w:eastAsia="Times New Roman" w:hAnsi="Garamond" w:cs="Garamond"/>
          <w:sz w:val="24"/>
          <w:szCs w:val="24"/>
          <w:lang w:eastAsia="pt-BR"/>
        </w:rPr>
        <w:t>çã</w:t>
      </w:r>
      <w:r w:rsidRPr="005C5CBD">
        <w:rPr>
          <w:rFonts w:ascii="Garamond" w:eastAsia="Times New Roman" w:hAnsi="Garamond" w:cs="Calibri"/>
          <w:sz w:val="24"/>
          <w:szCs w:val="24"/>
          <w:lang w:eastAsia="pt-BR"/>
        </w:rPr>
        <w:t xml:space="preserve">o até o </w:t>
      </w:r>
      <w:r w:rsidRPr="005C5CBD">
        <w:rPr>
          <w:rFonts w:ascii="Garamond" w:eastAsia="Times New Roman" w:hAnsi="Garamond" w:cs="Garamond"/>
          <w:sz w:val="24"/>
          <w:szCs w:val="24"/>
          <w:lang w:eastAsia="pt-BR"/>
        </w:rPr>
        <w:t>ú</w:t>
      </w:r>
      <w:r w:rsidRPr="005C5CBD">
        <w:rPr>
          <w:rFonts w:ascii="Garamond" w:eastAsia="Times New Roman" w:hAnsi="Garamond" w:cs="Calibri"/>
          <w:sz w:val="24"/>
          <w:szCs w:val="24"/>
          <w:lang w:eastAsia="pt-BR"/>
        </w:rPr>
        <w:t xml:space="preserve">ltimo dia </w:t>
      </w:r>
      <w:r w:rsidRPr="005C5CBD">
        <w:rPr>
          <w:rFonts w:ascii="Garamond" w:eastAsia="Times New Roman" w:hAnsi="Garamond" w:cs="Garamond"/>
          <w:sz w:val="24"/>
          <w:szCs w:val="24"/>
          <w:lang w:eastAsia="pt-BR"/>
        </w:rPr>
        <w:t>ú</w:t>
      </w:r>
      <w:r w:rsidRPr="005C5CBD">
        <w:rPr>
          <w:rFonts w:ascii="Garamond" w:eastAsia="Times New Roman" w:hAnsi="Garamond" w:cs="Calibri"/>
          <w:sz w:val="24"/>
          <w:szCs w:val="24"/>
          <w:lang w:eastAsia="pt-BR"/>
        </w:rPr>
        <w:t>til do segundo m</w:t>
      </w:r>
      <w:r w:rsidRPr="005C5CBD">
        <w:rPr>
          <w:rFonts w:ascii="Garamond" w:eastAsia="Times New Roman" w:hAnsi="Garamond" w:cs="Garamond"/>
          <w:sz w:val="24"/>
          <w:szCs w:val="24"/>
          <w:lang w:eastAsia="pt-BR"/>
        </w:rPr>
        <w:t>ê</w:t>
      </w:r>
      <w:r w:rsidRPr="005C5CBD">
        <w:rPr>
          <w:rFonts w:ascii="Garamond" w:eastAsia="Times New Roman" w:hAnsi="Garamond" w:cs="Calibri"/>
          <w:sz w:val="24"/>
          <w:szCs w:val="24"/>
          <w:lang w:eastAsia="pt-BR"/>
        </w:rPr>
        <w:t xml:space="preserve">s </w:t>
      </w:r>
      <w:r w:rsidRPr="005C5CBD">
        <w:rPr>
          <w:rFonts w:ascii="Garamond" w:eastAsia="Times New Roman" w:hAnsi="Garamond" w:cs="Calibri"/>
          <w:color w:val="000000"/>
          <w:sz w:val="24"/>
          <w:szCs w:val="24"/>
          <w:lang w:eastAsia="pt-BR"/>
        </w:rPr>
        <w:t xml:space="preserve">subsequente ao término do período de redeterminação a que se refere o art. </w:t>
      </w:r>
      <w:r w:rsidR="0045326D">
        <w:rPr>
          <w:rFonts w:ascii="Garamond" w:eastAsia="Times New Roman" w:hAnsi="Garamond" w:cs="Calibri"/>
          <w:color w:val="000000"/>
          <w:sz w:val="24"/>
          <w:szCs w:val="24"/>
          <w:lang w:eastAsia="pt-BR"/>
        </w:rPr>
        <w:t>404</w:t>
      </w:r>
      <w:r w:rsidR="00E15FBB" w:rsidRPr="005C5CBD">
        <w:rPr>
          <w:rFonts w:ascii="Garamond" w:eastAsia="Times New Roman" w:hAnsi="Garamond" w:cs="Calibri"/>
          <w:color w:val="000000"/>
          <w:sz w:val="24"/>
          <w:szCs w:val="24"/>
          <w:lang w:eastAsia="pt-BR"/>
        </w:rPr>
        <w:t>.</w:t>
      </w:r>
    </w:p>
    <w:p w14:paraId="52E92B3B" w14:textId="77777777" w:rsidR="00E15FBB" w:rsidRPr="005C5CBD" w:rsidRDefault="00E15FBB" w:rsidP="00E15FBB">
      <w:pPr>
        <w:spacing w:after="0" w:line="240" w:lineRule="auto"/>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 </w:t>
      </w:r>
    </w:p>
    <w:p w14:paraId="562C48EE"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7BF6ABC6" w14:textId="77777777"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Seção IV</w:t>
      </w:r>
    </w:p>
    <w:p w14:paraId="4128B88D" w14:textId="712462A3" w:rsidR="00395593" w:rsidRPr="005C5CBD" w:rsidRDefault="00395593" w:rsidP="009B5236">
      <w:pPr>
        <w:pStyle w:val="Corpodetexto"/>
        <w:jc w:val="center"/>
        <w:rPr>
          <w:lang w:eastAsia="pt-BR"/>
        </w:rPr>
      </w:pPr>
      <w:r w:rsidRPr="003C53EA">
        <w:rPr>
          <w:rFonts w:ascii="Garamond" w:hAnsi="Garamond"/>
          <w:b/>
          <w:lang w:eastAsia="pt-BR"/>
        </w:rPr>
        <w:t>Do conteúdo da petição</w:t>
      </w:r>
    </w:p>
    <w:p w14:paraId="523CC92C"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00FE6F8F"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406. </w:t>
      </w:r>
      <w:r w:rsidRPr="005C5CBD">
        <w:rPr>
          <w:rFonts w:ascii="Garamond" w:eastAsia="Times New Roman" w:hAnsi="Garamond" w:cs="Calibri"/>
          <w:sz w:val="24"/>
          <w:szCs w:val="24"/>
          <w:lang w:eastAsia="pt-BR"/>
        </w:rPr>
        <w:t>A petição de redeterminação deverá conter:</w:t>
      </w:r>
    </w:p>
    <w:p w14:paraId="3C0A7ADF"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79188025"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informações referentes à razão social, endereço completo, telefone e endereço eletrônico dos peticionários;</w:t>
      </w:r>
    </w:p>
    <w:p w14:paraId="3BF90D84"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5C886761"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nome, função, endereço completo, telefone e endereço eletrônico do representante legal habilitado junto à Subsecretaria de Defesa Comercial e Interesse Público;</w:t>
      </w:r>
    </w:p>
    <w:p w14:paraId="77F2D9B0"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3A9632E5"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indicação do ato que determinou a aplicação, a última alteração, prorrogação ou extensão da medida compensatória objeto da redeterminação;</w:t>
      </w:r>
    </w:p>
    <w:p w14:paraId="2F2B3BB5" w14:textId="77777777" w:rsidR="00395593" w:rsidRPr="005C5CBD" w:rsidRDefault="00395593" w:rsidP="00F9137F">
      <w:pPr>
        <w:spacing w:after="0" w:line="240" w:lineRule="auto"/>
        <w:ind w:firstLine="567"/>
        <w:jc w:val="both"/>
        <w:rPr>
          <w:rFonts w:ascii="Garamond" w:eastAsia="Times New Roman" w:hAnsi="Garamond" w:cs="Calibri"/>
          <w:b/>
          <w:bCs/>
          <w:sz w:val="24"/>
          <w:szCs w:val="24"/>
          <w:lang w:eastAsia="pt-BR"/>
        </w:rPr>
      </w:pPr>
    </w:p>
    <w:p w14:paraId="289E514B" w14:textId="3C4F3A97" w:rsidR="00395593" w:rsidRPr="005C5CBD" w:rsidRDefault="00395593" w:rsidP="00F9137F">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xml:space="preserve">IV - indicação dos intervalos semestrais considerados para fins da análise que indique a necessidade de redeterminação, observado o disposto no art. </w:t>
      </w:r>
      <w:r w:rsidR="003A627A">
        <w:rPr>
          <w:rFonts w:ascii="Garamond" w:eastAsia="Times New Roman" w:hAnsi="Garamond" w:cs="Calibri"/>
          <w:color w:val="000000"/>
          <w:sz w:val="24"/>
          <w:szCs w:val="24"/>
          <w:lang w:eastAsia="pt-BR"/>
        </w:rPr>
        <w:t>404</w:t>
      </w:r>
      <w:r w:rsidR="00E15FBB" w:rsidRPr="005C5CBD">
        <w:rPr>
          <w:rFonts w:ascii="Garamond" w:eastAsia="Times New Roman" w:hAnsi="Garamond" w:cs="Calibri"/>
          <w:color w:val="000000"/>
          <w:sz w:val="24"/>
          <w:szCs w:val="24"/>
          <w:lang w:eastAsia="pt-BR"/>
        </w:rPr>
        <w:t>;</w:t>
      </w:r>
    </w:p>
    <w:p w14:paraId="5CA1691C" w14:textId="77777777" w:rsidR="00E15FBB" w:rsidRPr="005C5CBD" w:rsidRDefault="00E15FBB" w:rsidP="00F9137F">
      <w:pPr>
        <w:spacing w:after="0" w:line="240" w:lineRule="auto"/>
        <w:ind w:firstLine="567"/>
        <w:jc w:val="both"/>
        <w:rPr>
          <w:rFonts w:ascii="Garamond" w:eastAsia="Times New Roman" w:hAnsi="Garamond" w:cs="Calibri"/>
          <w:sz w:val="24"/>
          <w:szCs w:val="24"/>
          <w:lang w:eastAsia="pt-BR"/>
        </w:rPr>
      </w:pPr>
    </w:p>
    <w:p w14:paraId="374A4039" w14:textId="3A9ABE1F" w:rsidR="00E15FBB" w:rsidRPr="005C5CBD" w:rsidRDefault="00E15FBB"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V - os dados solicitados no Apêndice II, os quais deverão ser relativos aos últimos seis meses do período a que se refere o </w:t>
      </w:r>
      <w:r w:rsidRPr="005C5CBD">
        <w:rPr>
          <w:rFonts w:ascii="Garamond" w:eastAsia="Times New Roman" w:hAnsi="Garamond" w:cs="Calibri"/>
          <w:color w:val="000000"/>
          <w:sz w:val="24"/>
          <w:szCs w:val="24"/>
          <w:lang w:eastAsia="pt-BR"/>
        </w:rPr>
        <w:t xml:space="preserve">art. </w:t>
      </w:r>
      <w:r w:rsidR="003A627A">
        <w:rPr>
          <w:rFonts w:ascii="Garamond" w:eastAsia="Times New Roman" w:hAnsi="Garamond" w:cs="Calibri"/>
          <w:color w:val="000000"/>
          <w:sz w:val="24"/>
          <w:szCs w:val="24"/>
          <w:lang w:eastAsia="pt-BR"/>
        </w:rPr>
        <w:t>404</w:t>
      </w:r>
      <w:r w:rsidRPr="005C5CBD">
        <w:rPr>
          <w:rFonts w:ascii="Garamond" w:eastAsia="Times New Roman" w:hAnsi="Garamond" w:cs="Calibri"/>
          <w:sz w:val="24"/>
          <w:szCs w:val="24"/>
          <w:lang w:eastAsia="pt-BR"/>
        </w:rPr>
        <w:t>;</w:t>
      </w:r>
    </w:p>
    <w:p w14:paraId="368E9782"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17573709" w14:textId="77777777" w:rsidR="00395593" w:rsidRPr="005C5CBD" w:rsidRDefault="00395593" w:rsidP="00F9137F">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VI - evolução das importações totais do produto objeto do direito e do produto similar, em quantidade e em valor, na condição CIF, por país exportador, desde a aplicação do direito até o fim do período de análise da redeterminação, conforme Apêndice XXVIII; e</w:t>
      </w:r>
    </w:p>
    <w:p w14:paraId="07E721D3"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color w:val="FF0000"/>
          <w:sz w:val="24"/>
          <w:szCs w:val="24"/>
          <w:lang w:eastAsia="pt-BR"/>
        </w:rPr>
        <w:t xml:space="preserve"> </w:t>
      </w:r>
    </w:p>
    <w:p w14:paraId="49094F0E" w14:textId="77777777" w:rsidR="00395593" w:rsidRPr="005C5CBD" w:rsidRDefault="00395593" w:rsidP="00F9137F">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VII - as informações apresentadas nos Apêndices XXV, XXVI e XXVII deverão ser discriminadas por período e por país de origem das exportações.</w:t>
      </w:r>
    </w:p>
    <w:p w14:paraId="052A96CB"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4DE7A0E5" w14:textId="77777777"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Seção V</w:t>
      </w:r>
    </w:p>
    <w:p w14:paraId="4A143F0B" w14:textId="77777777"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Da redeterminação em razão da forma de aplicação do direito</w:t>
      </w:r>
    </w:p>
    <w:p w14:paraId="05C35846"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321E2FA6"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407. </w:t>
      </w:r>
      <w:r w:rsidRPr="005C5CBD">
        <w:rPr>
          <w:rFonts w:ascii="Garamond" w:eastAsia="Times New Roman" w:hAnsi="Garamond" w:cs="Calibri"/>
          <w:sz w:val="24"/>
          <w:szCs w:val="24"/>
          <w:lang w:eastAsia="pt-BR"/>
        </w:rPr>
        <w:t>Na hipótese de redeterminação a que se refere o inciso I do art. 150 do Decreto nº 10.839, de 2021, a petição ainda deverá conter:</w:t>
      </w:r>
    </w:p>
    <w:p w14:paraId="4B16D250"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458F2D31"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 – a forma da medida compensatória objeto da redeterminação: alíquota </w:t>
      </w:r>
      <w:r w:rsidRPr="005C5CBD">
        <w:rPr>
          <w:rFonts w:ascii="Garamond" w:eastAsia="Times New Roman" w:hAnsi="Garamond" w:cs="Calibri"/>
          <w:b/>
          <w:sz w:val="24"/>
          <w:szCs w:val="24"/>
          <w:lang w:eastAsia="pt-BR"/>
        </w:rPr>
        <w:t>ad valorem</w:t>
      </w:r>
      <w:r w:rsidRPr="005C5CBD">
        <w:rPr>
          <w:rFonts w:ascii="Garamond" w:eastAsia="Times New Roman" w:hAnsi="Garamond" w:cs="Calibri"/>
          <w:sz w:val="24"/>
          <w:szCs w:val="24"/>
          <w:lang w:eastAsia="pt-BR"/>
        </w:rPr>
        <w:t xml:space="preserve"> ou específica, fixa ou variável, ou a conjugação de ambas;</w:t>
      </w:r>
    </w:p>
    <w:p w14:paraId="20C57A62"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52F4C350"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especificação da alteração pretendida da forma de aplicação da medida compensatória;</w:t>
      </w:r>
    </w:p>
    <w:p w14:paraId="12F5B95E"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77D514CD"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indicação da origem para a qual se pretende alterar a forma da medida compensatória; e</w:t>
      </w:r>
    </w:p>
    <w:p w14:paraId="448BEB84"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46D70849"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explicação pormenorizada das razões pelas quais uma redeterminação se faz necessária, acompanhada dos indícios pertinentes.</w:t>
      </w:r>
    </w:p>
    <w:p w14:paraId="4265B07C"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52306853" w14:textId="77777777" w:rsidR="00395593" w:rsidRPr="005C5CBD" w:rsidRDefault="00395593" w:rsidP="00F9137F">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Calibri" w:hAnsi="Garamond" w:cs="Calibri"/>
          <w:sz w:val="24"/>
          <w:szCs w:val="24"/>
          <w:lang w:eastAsia="pt-BR"/>
        </w:rPr>
        <w:t xml:space="preserve">Art. 408. </w:t>
      </w:r>
      <w:r w:rsidRPr="005C5CBD">
        <w:rPr>
          <w:rFonts w:ascii="Garamond" w:eastAsia="Times New Roman" w:hAnsi="Garamond" w:cs="Calibri"/>
          <w:color w:val="000000"/>
          <w:sz w:val="24"/>
          <w:szCs w:val="24"/>
          <w:lang w:eastAsia="pt-BR"/>
        </w:rPr>
        <w:t>Uma medida compensatória poderá ter a sua forma de aplicação alterada como resultado de uma redeterminação apenas uma vez a cada cinco anos, contados a partir da aplicação ou prorrogação da medida compensatória em questão.</w:t>
      </w:r>
    </w:p>
    <w:p w14:paraId="261F2BD8"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14E1C255" w14:textId="77777777"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Seção VI</w:t>
      </w:r>
    </w:p>
    <w:p w14:paraId="33E8E795" w14:textId="77777777"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Da redeterminação em razão da absorção da medida compensatória</w:t>
      </w:r>
    </w:p>
    <w:p w14:paraId="09091B85"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3D716F5E"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409. </w:t>
      </w:r>
      <w:r w:rsidRPr="005C5CBD">
        <w:rPr>
          <w:rFonts w:ascii="Garamond" w:eastAsia="Times New Roman" w:hAnsi="Garamond" w:cs="Calibri"/>
          <w:sz w:val="24"/>
          <w:szCs w:val="24"/>
          <w:lang w:eastAsia="pt-BR"/>
        </w:rPr>
        <w:t>Na hipótese de redeterminação a que se refere o inciso II do art. 150 Decreto nº 10.839, de 2021, a petição ainda deverá conter:</w:t>
      </w:r>
    </w:p>
    <w:p w14:paraId="43CA4FE0"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43671F57" w14:textId="77777777" w:rsidR="00395593" w:rsidRPr="005C5CBD" w:rsidRDefault="00395593" w:rsidP="00F9137F">
      <w:pPr>
        <w:spacing w:after="0" w:line="240" w:lineRule="auto"/>
        <w:ind w:firstLine="567"/>
        <w:jc w:val="both"/>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I – indícios de existência de associação ou relacionamento entre os produtores ou exportadores e os importadores ou uma terceira parte, ou de acordo compensatório entre si, se for o caso;</w:t>
      </w:r>
    </w:p>
    <w:p w14:paraId="662A13B6" w14:textId="77777777" w:rsidR="00395593" w:rsidRPr="005C5CBD" w:rsidRDefault="00395593" w:rsidP="00F9137F">
      <w:pPr>
        <w:spacing w:after="0" w:line="240" w:lineRule="auto"/>
        <w:ind w:firstLine="567"/>
        <w:jc w:val="both"/>
        <w:rPr>
          <w:rFonts w:ascii="Garamond" w:eastAsia="Times New Roman" w:hAnsi="Garamond" w:cs="Calibri"/>
          <w:color w:val="FF0000"/>
          <w:sz w:val="24"/>
          <w:szCs w:val="24"/>
          <w:lang w:eastAsia="pt-BR"/>
        </w:rPr>
      </w:pPr>
    </w:p>
    <w:p w14:paraId="7743156A"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 – explicação pormenorizada das razões pelas quais uma redeterminação se faz necessária, acompanhada dos indícios pertinentes; </w:t>
      </w:r>
    </w:p>
    <w:p w14:paraId="63997DB7"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1278B937"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os dados solicitados nos Apêndices XXVI e XXVII desta Portaria;</w:t>
      </w:r>
    </w:p>
    <w:p w14:paraId="3C661D64"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348257D3"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IV - nos casos em que houver associação, relacionamento ou acordo compensatório entre os produtores ou exportadores e os importadores ou uma terceira parte, além dos dados solicitados no inciso III, os dados solicitados no Apêndice XXV desta Portaria. </w:t>
      </w:r>
    </w:p>
    <w:p w14:paraId="077012F8"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71947B59"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As informações solicitadas nos Apêndices XXV a XXVIII desta Portaria deverão ser discriminadas por intervalo e por país de origem das exportações sujeito à medida compensatória objeto da redeterminação.</w:t>
      </w:r>
    </w:p>
    <w:p w14:paraId="684CFB91"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p>
    <w:p w14:paraId="6C5BDBCA" w14:textId="77777777" w:rsidR="00395593" w:rsidRPr="005C5CBD" w:rsidRDefault="00395593" w:rsidP="00F9137F">
      <w:pPr>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w:t>
      </w:r>
      <w:r w:rsidRPr="005C5CBD">
        <w:rPr>
          <w:rFonts w:ascii="Garamond" w:eastAsia="Calibri" w:hAnsi="Garamond" w:cs="Calibri"/>
          <w:b/>
          <w:sz w:val="24"/>
          <w:szCs w:val="24"/>
          <w:lang w:eastAsia="pt-BR"/>
        </w:rPr>
        <w:t>410.</w:t>
      </w:r>
      <w:r w:rsidRPr="005C5CBD">
        <w:rPr>
          <w:rFonts w:ascii="Garamond" w:eastAsia="Calibri" w:hAnsi="Garamond" w:cs="Calibri"/>
          <w:sz w:val="24"/>
          <w:szCs w:val="24"/>
          <w:lang w:eastAsia="pt-BR"/>
        </w:rPr>
        <w:t xml:space="preserve"> </w:t>
      </w:r>
      <w:r w:rsidRPr="005C5CBD">
        <w:rPr>
          <w:rFonts w:ascii="Garamond" w:eastAsia="Times New Roman" w:hAnsi="Garamond" w:cs="Calibri"/>
          <w:sz w:val="24"/>
          <w:szCs w:val="24"/>
          <w:lang w:eastAsia="pt-BR"/>
        </w:rPr>
        <w:t>Caso o processo que culminou na aplicação, alteração, prorrogação ou extensão da medida compensatória tenha utilizado código de identificação do produto (CODIP), este deverá ser reproduzido e considerado nas informações prestadas na petição de redeterminação.</w:t>
      </w:r>
    </w:p>
    <w:p w14:paraId="1B0BC6BA" w14:textId="77777777" w:rsidR="00395593" w:rsidRPr="005C5CBD" w:rsidRDefault="00395593" w:rsidP="00E15FBB">
      <w:pPr>
        <w:spacing w:after="0" w:line="240" w:lineRule="auto"/>
        <w:rPr>
          <w:rFonts w:ascii="Garamond" w:eastAsia="Times New Roman" w:hAnsi="Garamond" w:cs="Calibri"/>
          <w:b/>
          <w:sz w:val="24"/>
          <w:szCs w:val="24"/>
          <w:lang w:eastAsia="pt-BR"/>
        </w:rPr>
      </w:pPr>
    </w:p>
    <w:p w14:paraId="2DD3883E" w14:textId="77777777"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CAPÍTULO XI</w:t>
      </w:r>
    </w:p>
    <w:p w14:paraId="271E6E9E" w14:textId="46812732"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DAS PROPOSTAS DE COMPROMISSO</w:t>
      </w:r>
    </w:p>
    <w:p w14:paraId="558670CC" w14:textId="77777777" w:rsidR="00395593" w:rsidRPr="003C53EA" w:rsidRDefault="00395593" w:rsidP="003C53EA">
      <w:pPr>
        <w:pStyle w:val="Corpodetexto"/>
        <w:jc w:val="center"/>
        <w:rPr>
          <w:rFonts w:ascii="Garamond" w:hAnsi="Garamond"/>
          <w:b/>
          <w:lang w:eastAsia="pt-BR"/>
        </w:rPr>
      </w:pPr>
    </w:p>
    <w:p w14:paraId="21A2344D" w14:textId="77777777"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Seção I</w:t>
      </w:r>
    </w:p>
    <w:p w14:paraId="66BD40EB" w14:textId="77777777"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Das instruções gerais</w:t>
      </w:r>
    </w:p>
    <w:p w14:paraId="05705423" w14:textId="77777777" w:rsidR="00395593" w:rsidRPr="005C5CBD" w:rsidRDefault="00395593" w:rsidP="00E15FBB">
      <w:pPr>
        <w:spacing w:after="0" w:line="276" w:lineRule="auto"/>
        <w:jc w:val="both"/>
        <w:rPr>
          <w:rFonts w:ascii="Garamond" w:eastAsia="Times New Roman" w:hAnsi="Garamond" w:cs="Calibri"/>
          <w:sz w:val="24"/>
          <w:szCs w:val="24"/>
          <w:lang w:eastAsia="pt-BR"/>
        </w:rPr>
      </w:pPr>
    </w:p>
    <w:p w14:paraId="4158713F" w14:textId="77777777" w:rsidR="00395593" w:rsidRPr="005C5CBD" w:rsidRDefault="00395593" w:rsidP="00F9137F">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411. </w:t>
      </w:r>
      <w:r w:rsidRPr="005C5CBD">
        <w:rPr>
          <w:rFonts w:ascii="Garamond" w:eastAsia="Times New Roman" w:hAnsi="Garamond" w:cs="Calibri"/>
          <w:sz w:val="24"/>
          <w:szCs w:val="24"/>
          <w:lang w:eastAsia="pt-BR"/>
        </w:rPr>
        <w:t>As propostas de compromisso apresentadas por produtores/exportadores ou governo em investigações de subsídios, nos termos da Seção VI do Capítulo VI do Decreto nº 10.839, de 2021, deverão obedecer às disposições deste Capítulo.</w:t>
      </w:r>
    </w:p>
    <w:p w14:paraId="78FD5001" w14:textId="77777777" w:rsidR="00395593" w:rsidRPr="005C5CBD" w:rsidRDefault="00395593" w:rsidP="00F9137F">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28F33991" w14:textId="77777777" w:rsidR="00395593" w:rsidRPr="005C5CBD" w:rsidRDefault="00395593" w:rsidP="00F9137F">
      <w:pPr>
        <w:spacing w:after="0" w:line="276"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412. </w:t>
      </w:r>
      <w:r w:rsidRPr="005C5CBD">
        <w:rPr>
          <w:rFonts w:ascii="Garamond" w:eastAsia="Times New Roman" w:hAnsi="Garamond" w:cs="Calibri"/>
          <w:sz w:val="24"/>
          <w:szCs w:val="24"/>
          <w:lang w:eastAsia="pt-BR"/>
        </w:rPr>
        <w:t>A Subsecretaria de Defesa Comercial e Interesse Público poderá recusar propostas de compromisso consideradas ineficazes ou impraticáveis, inclusive por razões de política geral, nos termos do Artigo 18.3 do Acordo Sobre Subsídios e Medidas Compensatórias da Organização Mundial do Comércio e do § 11 do art. 63 do Decreto nº 10.839, de 2021.</w:t>
      </w:r>
    </w:p>
    <w:p w14:paraId="15F42541" w14:textId="77777777" w:rsidR="00395593" w:rsidRPr="005C5CBD" w:rsidRDefault="00395593" w:rsidP="00F9137F">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5245DD38" w14:textId="77777777" w:rsidR="00395593" w:rsidRPr="005C5CBD" w:rsidRDefault="00395593" w:rsidP="00F9137F">
      <w:pPr>
        <w:spacing w:after="0" w:line="276"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Parágrafo único. São exemplos que justificam a recusa de proposta de compromisso por razões de política geral os compromissos propostos em investigação ou revisão em que: </w:t>
      </w:r>
    </w:p>
    <w:p w14:paraId="5D44866F" w14:textId="77777777" w:rsidR="00395593" w:rsidRPr="005C5CBD" w:rsidRDefault="00395593" w:rsidP="00F9137F">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28E6290B" w14:textId="77777777" w:rsidR="00395593" w:rsidRPr="005C5CBD" w:rsidRDefault="00395593" w:rsidP="00F9137F">
      <w:pPr>
        <w:spacing w:after="0" w:line="276"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se constate a concessão de subsídios proibidos;</w:t>
      </w:r>
    </w:p>
    <w:p w14:paraId="20C140DF" w14:textId="77777777" w:rsidR="00395593" w:rsidRPr="005C5CBD" w:rsidRDefault="00395593" w:rsidP="00F9137F">
      <w:pPr>
        <w:spacing w:after="0" w:line="276" w:lineRule="auto"/>
        <w:ind w:firstLineChars="100" w:firstLine="240"/>
        <w:jc w:val="both"/>
        <w:rPr>
          <w:rFonts w:ascii="Garamond" w:eastAsia="Times New Roman" w:hAnsi="Garamond" w:cs="Calibri"/>
          <w:sz w:val="24"/>
          <w:szCs w:val="24"/>
          <w:lang w:eastAsia="pt-BR"/>
        </w:rPr>
      </w:pPr>
    </w:p>
    <w:p w14:paraId="30E2757E" w14:textId="77777777" w:rsidR="00395593" w:rsidRPr="005C5CBD" w:rsidRDefault="00395593" w:rsidP="00F9137F">
      <w:pPr>
        <w:spacing w:after="0" w:line="276"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o setor do produto objeto seja afetado por sobrecapacidade produtiva ou excesso de oferta mundial identificada no médio ou longo prazo; e</w:t>
      </w:r>
    </w:p>
    <w:p w14:paraId="7AC22B60" w14:textId="77777777" w:rsidR="00395593" w:rsidRPr="005C5CBD" w:rsidRDefault="00395593" w:rsidP="00F9137F">
      <w:pPr>
        <w:spacing w:after="0" w:line="276" w:lineRule="auto"/>
        <w:ind w:firstLineChars="100" w:firstLine="240"/>
        <w:jc w:val="both"/>
        <w:rPr>
          <w:rFonts w:ascii="Garamond" w:eastAsia="Times New Roman" w:hAnsi="Garamond" w:cs="Calibri"/>
          <w:sz w:val="24"/>
          <w:szCs w:val="24"/>
          <w:lang w:eastAsia="pt-BR"/>
        </w:rPr>
      </w:pPr>
    </w:p>
    <w:p w14:paraId="06070275" w14:textId="77777777" w:rsidR="00395593" w:rsidRPr="005C5CBD" w:rsidRDefault="00395593" w:rsidP="00F9137F">
      <w:pPr>
        <w:spacing w:after="0" w:line="276"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o produto objeto utilize insumo afetado por distorções devido a restrições à exportação estabelecidas pelo país investigado, com base no Inventário sobre restrições à exportação de matérias-primas industriais da Organização de Cooperação e de Desenvolvimento Econômico (OCDE) ou em qualquer outra base de dados da OCDE que substitua esta base de dados e identifique distorções com relação às matérias-primas.</w:t>
      </w:r>
    </w:p>
    <w:p w14:paraId="55F5EA4A" w14:textId="77777777" w:rsidR="00395593" w:rsidRPr="005C5CBD" w:rsidRDefault="00395593" w:rsidP="00F9137F">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562A0407" w14:textId="77777777" w:rsidR="00395593" w:rsidRPr="005C5CBD" w:rsidRDefault="00395593" w:rsidP="00F9137F">
      <w:pPr>
        <w:spacing w:after="0" w:line="276"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413. </w:t>
      </w:r>
      <w:r w:rsidRPr="005C5CBD">
        <w:rPr>
          <w:rFonts w:ascii="Garamond" w:eastAsia="Times New Roman" w:hAnsi="Garamond" w:cs="Calibri"/>
          <w:sz w:val="24"/>
          <w:szCs w:val="24"/>
          <w:lang w:eastAsia="pt-BR"/>
        </w:rPr>
        <w:t>Caso seja solicitada confidencialidade das informações constantes na proposta de compromisso, as partes que o propõem deverão obedecer ao disposto no art. 47 do Decreto nº 10.839, de 2021.</w:t>
      </w:r>
    </w:p>
    <w:p w14:paraId="24E97702" w14:textId="77777777" w:rsidR="00395593" w:rsidRPr="005C5CBD" w:rsidRDefault="00395593" w:rsidP="00F9137F">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2B8741DF" w14:textId="77777777" w:rsidR="00395593" w:rsidRPr="005C5CBD" w:rsidRDefault="00395593" w:rsidP="00F9137F">
      <w:pPr>
        <w:spacing w:after="0" w:line="276"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414. </w:t>
      </w:r>
      <w:r w:rsidRPr="005C5CBD">
        <w:rPr>
          <w:rFonts w:ascii="Garamond" w:eastAsia="Times New Roman" w:hAnsi="Garamond" w:cs="Calibri"/>
          <w:sz w:val="24"/>
          <w:szCs w:val="24"/>
          <w:lang w:eastAsia="pt-BR"/>
        </w:rPr>
        <w:t>Propostas de compromisso somente poderão ser oferecidas durante o período compreendido entre a data da publicação da determinação preliminar positiva da existência de subsídios, de dano à indústria doméstica e do nexo de causalidade entre ambos, e o encerramento da fase probatória.</w:t>
      </w:r>
    </w:p>
    <w:p w14:paraId="7EF6E00D" w14:textId="77777777" w:rsidR="00395593" w:rsidRPr="005C5CBD" w:rsidRDefault="00395593" w:rsidP="00E15FBB">
      <w:pPr>
        <w:shd w:val="clear" w:color="auto" w:fill="FFFFFF"/>
        <w:spacing w:after="0" w:line="240" w:lineRule="auto"/>
        <w:jc w:val="both"/>
        <w:rPr>
          <w:rFonts w:ascii="Garamond" w:eastAsia="Times New Roman" w:hAnsi="Garamond" w:cs="Calibri"/>
          <w:sz w:val="24"/>
          <w:szCs w:val="24"/>
          <w:lang w:eastAsia="pt-BR"/>
        </w:rPr>
      </w:pPr>
    </w:p>
    <w:p w14:paraId="5FFE3CF8" w14:textId="77777777"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Seção II</w:t>
      </w:r>
    </w:p>
    <w:p w14:paraId="3775E5D0" w14:textId="38A0BD82" w:rsidR="00395593" w:rsidRPr="003C53EA" w:rsidRDefault="00395593" w:rsidP="009B5236">
      <w:pPr>
        <w:pStyle w:val="Corpodetexto"/>
        <w:jc w:val="center"/>
        <w:rPr>
          <w:rFonts w:ascii="Garamond" w:hAnsi="Garamond"/>
          <w:b/>
          <w:lang w:eastAsia="pt-BR"/>
        </w:rPr>
      </w:pPr>
      <w:r w:rsidRPr="003C53EA">
        <w:rPr>
          <w:rFonts w:ascii="Garamond" w:hAnsi="Garamond"/>
          <w:b/>
          <w:lang w:eastAsia="pt-BR"/>
        </w:rPr>
        <w:t>Da proposta de compromisso de preços do produtor/exportador</w:t>
      </w:r>
    </w:p>
    <w:p w14:paraId="40FE2FBC" w14:textId="77777777" w:rsidR="00395593" w:rsidRPr="003C53EA" w:rsidRDefault="00395593" w:rsidP="003C53EA">
      <w:pPr>
        <w:pStyle w:val="Corpodetexto"/>
        <w:jc w:val="center"/>
        <w:rPr>
          <w:rFonts w:ascii="Garamond" w:hAnsi="Garamond"/>
          <w:b/>
          <w:lang w:eastAsia="pt-BR"/>
        </w:rPr>
      </w:pPr>
    </w:p>
    <w:p w14:paraId="727A0A99" w14:textId="77777777" w:rsidR="00395593" w:rsidRPr="003C53EA" w:rsidRDefault="00395593" w:rsidP="009B5236">
      <w:pPr>
        <w:pStyle w:val="Corpodetexto"/>
        <w:jc w:val="center"/>
        <w:rPr>
          <w:rFonts w:ascii="Garamond" w:eastAsia="MS Gothic" w:hAnsi="Garamond"/>
          <w:b/>
          <w:bCs/>
          <w:color w:val="4F81BD"/>
          <w:lang w:eastAsia="pt-BR"/>
        </w:rPr>
      </w:pPr>
      <w:r w:rsidRPr="003C53EA">
        <w:rPr>
          <w:rFonts w:ascii="Garamond" w:eastAsia="MS Gothic" w:hAnsi="Garamond"/>
          <w:b/>
          <w:bCs/>
          <w:lang w:eastAsia="pt-BR"/>
        </w:rPr>
        <w:t>Subseção I</w:t>
      </w:r>
    </w:p>
    <w:p w14:paraId="4EF57E7A" w14:textId="77777777" w:rsidR="00395593" w:rsidRPr="003C53EA" w:rsidRDefault="00395593" w:rsidP="009B5236">
      <w:pPr>
        <w:pStyle w:val="Corpodetexto"/>
        <w:jc w:val="center"/>
        <w:rPr>
          <w:rFonts w:ascii="Garamond" w:eastAsia="MS Gothic" w:hAnsi="Garamond"/>
          <w:b/>
          <w:bCs/>
          <w:color w:val="4F81BD"/>
          <w:lang w:eastAsia="pt-BR"/>
        </w:rPr>
      </w:pPr>
      <w:r w:rsidRPr="003C53EA">
        <w:rPr>
          <w:rFonts w:ascii="Garamond" w:eastAsia="MS Gothic" w:hAnsi="Garamond"/>
          <w:b/>
          <w:bCs/>
          <w:lang w:eastAsia="pt-BR"/>
        </w:rPr>
        <w:t xml:space="preserve">Das condições para apreciação da proposta do </w:t>
      </w:r>
      <w:r w:rsidRPr="003C53EA">
        <w:rPr>
          <w:rFonts w:ascii="Garamond" w:eastAsia="MS Gothic" w:hAnsi="Garamond"/>
          <w:b/>
          <w:bCs/>
          <w:color w:val="000000"/>
          <w:lang w:eastAsia="pt-BR"/>
        </w:rPr>
        <w:t>compromisso de preços do produtor/exportador</w:t>
      </w:r>
    </w:p>
    <w:p w14:paraId="3B01E191" w14:textId="77777777" w:rsidR="00395593" w:rsidRPr="005C5CBD" w:rsidRDefault="00395593" w:rsidP="00E15FBB">
      <w:pPr>
        <w:shd w:val="clear" w:color="auto" w:fill="FFFFFF"/>
        <w:spacing w:after="0" w:line="240" w:lineRule="auto"/>
        <w:ind w:left="708" w:firstLine="708"/>
        <w:rPr>
          <w:rFonts w:ascii="Garamond" w:eastAsia="Times New Roman" w:hAnsi="Garamond" w:cs="Calibri"/>
          <w:b/>
          <w:sz w:val="24"/>
          <w:szCs w:val="24"/>
          <w:lang w:eastAsia="pt-BR"/>
        </w:rPr>
      </w:pPr>
    </w:p>
    <w:p w14:paraId="523749F2" w14:textId="77777777" w:rsidR="00395593" w:rsidRPr="005C5CBD" w:rsidRDefault="00395593" w:rsidP="0081415C">
      <w:pPr>
        <w:spacing w:after="0" w:line="276"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415. </w:t>
      </w:r>
      <w:r w:rsidRPr="005C5CBD">
        <w:rPr>
          <w:rFonts w:ascii="Garamond" w:eastAsia="Times New Roman" w:hAnsi="Garamond" w:cs="Calibri"/>
          <w:sz w:val="24"/>
          <w:szCs w:val="24"/>
          <w:lang w:eastAsia="pt-BR"/>
        </w:rPr>
        <w:t>A proposta de compromisso de preços apresentada por produtor/exportador deverá garantir eliminação dos efeitos danosos causados pelas importações subsidiadas à indústria doméstica.</w:t>
      </w:r>
    </w:p>
    <w:p w14:paraId="2E1CB3B0"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w:t>
      </w:r>
    </w:p>
    <w:p w14:paraId="1E263A8F" w14:textId="77777777" w:rsidR="00395593" w:rsidRPr="005C5CBD" w:rsidRDefault="00395593" w:rsidP="0081415C">
      <w:pPr>
        <w:spacing w:after="0" w:line="276"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A proposta de compromisso de preços deverá garantir que a elevação de preços eliminará os efeitos danosos à indústria doméstica causados por todos os subsídios, sejam à exportação ou à produção (doméstico).</w:t>
      </w:r>
    </w:p>
    <w:p w14:paraId="3BA14EB3"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3654FF32"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Art. 416. A proposta de compromisso de preços de produtor/exportador somente será conhecida se apresentada por produtor/exportador que tenha respondido ao questionário, cujo montante individual de subsídios tenha sido apurado com base nas informações fornecidas pelo próprio produtor/exportador e que tenham sido verificadas pela Subsecretaria de Defesa Comercial e Interesse Público.</w:t>
      </w:r>
    </w:p>
    <w:p w14:paraId="75CEF6A7"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1FD96E8A"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1º A proposta apresentada por produtor/exportador deverá estar acompanhada de consentimento, por escrito, assinado por autoridade competente do governo do país exportador.    </w:t>
      </w:r>
    </w:p>
    <w:p w14:paraId="73725FFF"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05D9BEDD"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2º Não será conhecida proposta de compromisso de preços de produtor/exportador no caso em que o governo do país exportador não tenha cooperado com a investigação.</w:t>
      </w:r>
    </w:p>
    <w:p w14:paraId="0D7BD644" w14:textId="77777777" w:rsidR="00395593" w:rsidRPr="005C5CBD" w:rsidRDefault="00395593" w:rsidP="00E15FBB">
      <w:pPr>
        <w:shd w:val="clear" w:color="auto" w:fill="FFFFFF"/>
        <w:spacing w:after="0" w:line="240" w:lineRule="auto"/>
        <w:jc w:val="both"/>
        <w:rPr>
          <w:rFonts w:ascii="Garamond" w:eastAsia="Times New Roman" w:hAnsi="Garamond" w:cs="Calibri"/>
          <w:sz w:val="24"/>
          <w:szCs w:val="24"/>
          <w:lang w:eastAsia="pt-BR"/>
        </w:rPr>
      </w:pPr>
    </w:p>
    <w:p w14:paraId="62D7A819" w14:textId="77777777" w:rsidR="00395593" w:rsidRPr="003C53EA" w:rsidRDefault="00395593" w:rsidP="000B4A90">
      <w:pPr>
        <w:pStyle w:val="Corpodetexto"/>
        <w:jc w:val="center"/>
        <w:rPr>
          <w:rFonts w:ascii="Garamond" w:eastAsia="MS Gothic" w:hAnsi="Garamond"/>
          <w:b/>
          <w:color w:val="4F81BD"/>
          <w:lang w:eastAsia="pt-BR"/>
        </w:rPr>
      </w:pPr>
      <w:r w:rsidRPr="003C53EA">
        <w:rPr>
          <w:rFonts w:ascii="Garamond" w:eastAsia="MS Gothic" w:hAnsi="Garamond"/>
          <w:b/>
          <w:lang w:eastAsia="pt-BR"/>
        </w:rPr>
        <w:t>Subseção II</w:t>
      </w:r>
    </w:p>
    <w:p w14:paraId="0658A62B" w14:textId="77777777" w:rsidR="00395593" w:rsidRPr="003C53EA" w:rsidRDefault="00395593" w:rsidP="000B4A90">
      <w:pPr>
        <w:pStyle w:val="Corpodetexto"/>
        <w:jc w:val="center"/>
        <w:rPr>
          <w:rFonts w:ascii="Garamond" w:eastAsia="MS Gothic" w:hAnsi="Garamond"/>
          <w:b/>
          <w:color w:val="4F81BD"/>
          <w:lang w:eastAsia="pt-BR"/>
        </w:rPr>
      </w:pPr>
      <w:r w:rsidRPr="003C53EA">
        <w:rPr>
          <w:rFonts w:ascii="Garamond" w:eastAsia="MS Gothic" w:hAnsi="Garamond"/>
          <w:b/>
          <w:lang w:eastAsia="pt-BR"/>
        </w:rPr>
        <w:t>Do conteúdo da proposta de compromissos de preços</w:t>
      </w:r>
    </w:p>
    <w:p w14:paraId="11EB865B" w14:textId="77777777" w:rsidR="00395593" w:rsidRPr="005C5CBD" w:rsidRDefault="00395593" w:rsidP="00E15FBB">
      <w:pPr>
        <w:shd w:val="clear" w:color="auto" w:fill="FFFFFF"/>
        <w:spacing w:after="0" w:line="240" w:lineRule="auto"/>
        <w:jc w:val="center"/>
        <w:rPr>
          <w:rFonts w:ascii="Garamond" w:eastAsia="Times New Roman" w:hAnsi="Garamond" w:cs="Calibri"/>
          <w:sz w:val="24"/>
          <w:szCs w:val="24"/>
          <w:lang w:eastAsia="pt-BR"/>
        </w:rPr>
      </w:pPr>
    </w:p>
    <w:p w14:paraId="138E1685"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417. </w:t>
      </w:r>
      <w:r w:rsidRPr="005C5CBD">
        <w:rPr>
          <w:rFonts w:ascii="Garamond" w:eastAsia="Times New Roman" w:hAnsi="Garamond" w:cs="Calibri"/>
          <w:sz w:val="24"/>
          <w:szCs w:val="24"/>
          <w:lang w:eastAsia="pt-BR"/>
        </w:rPr>
        <w:t>A proposta de compromisso de preços dos produtores/exportadores deverá conter:</w:t>
      </w:r>
    </w:p>
    <w:p w14:paraId="4D02AE67"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7AE98732"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informações referentes à razão social, endereço completo, telefone e endereço eletrônico do produtor/exportador que pretende assumir compromissos;</w:t>
      </w:r>
    </w:p>
    <w:p w14:paraId="6BF48AF0"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1F830A1B"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II - nome, função, endereço completo, telefone e endereço eletrônico do representante da empresa e de representante legal habilitado junto à Subsecretaria de Defesa Comercial e Interesse Público, quando aplicável; </w:t>
      </w:r>
    </w:p>
    <w:p w14:paraId="01277D76"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6304CE90"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o número do processo administrativo relativo à investigação de subsídios nas exportações do produto objeto do compromisso e de dano decorrente de tal prática;</w:t>
      </w:r>
    </w:p>
    <w:p w14:paraId="4A755B15"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133401BC"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a descrição do produto objeto do compromisso;</w:t>
      </w:r>
    </w:p>
    <w:p w14:paraId="4D333940"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41282FAE"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 - o item da Nomenclatura Comum do MERCOSUL (NCM) em que se classifica o produto objeto do compromisso;</w:t>
      </w:r>
    </w:p>
    <w:p w14:paraId="3DBA0179"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23D761F0" w14:textId="77777777" w:rsidR="00395593" w:rsidRPr="005C5CBD" w:rsidRDefault="00395593" w:rsidP="0081415C">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VI - o país de origem das importações brasileiras do produto objeto do compromisso;</w:t>
      </w:r>
    </w:p>
    <w:p w14:paraId="18D50C02" w14:textId="77777777" w:rsidR="00395593" w:rsidRPr="005C5CBD" w:rsidRDefault="00395593" w:rsidP="00E15FBB">
      <w:pPr>
        <w:shd w:val="clear" w:color="auto" w:fill="FFFFFF"/>
        <w:spacing w:after="0" w:line="240" w:lineRule="auto"/>
        <w:ind w:firstLine="708"/>
        <w:jc w:val="both"/>
        <w:rPr>
          <w:rFonts w:ascii="Garamond" w:eastAsia="Times New Roman" w:hAnsi="Garamond" w:cs="Calibri"/>
          <w:sz w:val="24"/>
          <w:szCs w:val="24"/>
          <w:lang w:eastAsia="pt-BR"/>
        </w:rPr>
      </w:pPr>
    </w:p>
    <w:p w14:paraId="403A57B5"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VII - o preço de exportação CIF, ou equivalente, proposto pelo produtor/exportador do produto objeto do compromisso;</w:t>
      </w:r>
    </w:p>
    <w:p w14:paraId="19439053"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50048443"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VIII - a respectiva memória de cálculo que embasou a elaboração do compromisso proposto; e</w:t>
      </w:r>
    </w:p>
    <w:p w14:paraId="5852DC73"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7DE00702"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IX - os elementos que comprovem que a elevação do preço de exportação proposta é suficiente para neutralizar o montante individual de subsídios apurado ou eliminar seus efeitos danosos à indústria doméstica. </w:t>
      </w:r>
    </w:p>
    <w:p w14:paraId="1679D2C3"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5A974034" w14:textId="50134C04"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418. </w:t>
      </w:r>
      <w:r w:rsidRPr="005C5CBD">
        <w:rPr>
          <w:rFonts w:ascii="Garamond" w:eastAsia="Times New Roman" w:hAnsi="Garamond" w:cs="Calibri"/>
          <w:sz w:val="24"/>
          <w:szCs w:val="24"/>
          <w:lang w:eastAsia="pt-BR"/>
        </w:rPr>
        <w:t xml:space="preserve">Na hipótese de exportações para partes relacionadas ou associadas no Brasil, conforme os termos do art. </w:t>
      </w:r>
      <w:r w:rsidR="003A627A">
        <w:rPr>
          <w:rFonts w:ascii="Garamond" w:eastAsia="Times New Roman" w:hAnsi="Garamond" w:cs="Calibri"/>
          <w:sz w:val="24"/>
          <w:szCs w:val="24"/>
          <w:lang w:eastAsia="pt-BR"/>
        </w:rPr>
        <w:t>12</w:t>
      </w:r>
      <w:r w:rsidR="00E15FBB" w:rsidRPr="005C5CBD">
        <w:rPr>
          <w:rFonts w:ascii="Garamond" w:eastAsia="Times New Roman" w:hAnsi="Garamond" w:cs="Calibri"/>
          <w:sz w:val="24"/>
          <w:szCs w:val="24"/>
          <w:lang w:eastAsia="pt-BR"/>
        </w:rPr>
        <w:t xml:space="preserve">, o compromisso de preços proposto pelo produtor/exportador deverá conter, além das informações a que faz referência o art. </w:t>
      </w:r>
      <w:r w:rsidR="003A627A">
        <w:rPr>
          <w:rFonts w:ascii="Garamond" w:eastAsia="Times New Roman" w:hAnsi="Garamond" w:cs="Calibri"/>
          <w:sz w:val="24"/>
          <w:szCs w:val="24"/>
          <w:lang w:eastAsia="pt-BR"/>
        </w:rPr>
        <w:t>417</w:t>
      </w:r>
      <w:r w:rsidR="00E15FBB" w:rsidRPr="005C5CBD">
        <w:rPr>
          <w:rFonts w:ascii="Garamond" w:eastAsia="Times New Roman" w:hAnsi="Garamond" w:cs="Calibri"/>
          <w:sz w:val="24"/>
          <w:szCs w:val="24"/>
          <w:lang w:eastAsia="pt-BR"/>
        </w:rPr>
        <w:t>:</w:t>
      </w:r>
    </w:p>
    <w:p w14:paraId="77870206"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1165990B"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a razão social do importador no caso de relacionamento deste com o produtor/exportador que pretende assumir o compromisso de preços; e</w:t>
      </w:r>
    </w:p>
    <w:p w14:paraId="01ACEE07"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62342A67"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o preço pelo qual o produto importado será vendido ao primeiro comprador independente no Brasil já convertido para moeda estrangeira, acompanhado de sua memória de cálculo.</w:t>
      </w:r>
    </w:p>
    <w:p w14:paraId="064BA38A"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1ECDA1C1" w14:textId="59CC5B4E"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419. </w:t>
      </w:r>
      <w:r w:rsidRPr="005C5CBD">
        <w:rPr>
          <w:rFonts w:ascii="Garamond" w:eastAsia="Times New Roman" w:hAnsi="Garamond" w:cs="Calibri"/>
          <w:sz w:val="24"/>
          <w:szCs w:val="24"/>
          <w:lang w:eastAsia="pt-BR"/>
        </w:rPr>
        <w:t xml:space="preserve">Na proposta dos produtores/exportadores deverá ser indicado o prazo máximo para pagamento das exportações sujeitas ao compromisso de preços e, no caso do art. </w:t>
      </w:r>
      <w:r w:rsidR="008B3B5C">
        <w:rPr>
          <w:rFonts w:ascii="Garamond" w:eastAsia="Times New Roman" w:hAnsi="Garamond" w:cs="Calibri"/>
          <w:sz w:val="24"/>
          <w:szCs w:val="24"/>
          <w:lang w:eastAsia="pt-BR"/>
        </w:rPr>
        <w:t>418</w:t>
      </w:r>
      <w:r w:rsidR="00E15FBB" w:rsidRPr="005C5CBD">
        <w:rPr>
          <w:rFonts w:ascii="Garamond" w:eastAsia="Times New Roman" w:hAnsi="Garamond" w:cs="Calibri"/>
          <w:sz w:val="24"/>
          <w:szCs w:val="24"/>
          <w:lang w:eastAsia="pt-BR"/>
        </w:rPr>
        <w:t>,</w:t>
      </w:r>
      <w:r w:rsidRPr="005C5CBD">
        <w:rPr>
          <w:rFonts w:ascii="Garamond" w:eastAsia="Times New Roman" w:hAnsi="Garamond" w:cs="Calibri"/>
          <w:sz w:val="24"/>
          <w:szCs w:val="24"/>
          <w:lang w:eastAsia="pt-BR"/>
        </w:rPr>
        <w:t xml:space="preserve"> o prazo máximo para pagamento das vendas para o primeiro comprador independente no Brasil.</w:t>
      </w:r>
    </w:p>
    <w:p w14:paraId="51C31A91" w14:textId="77777777" w:rsidR="00395593" w:rsidRPr="005C5CBD" w:rsidRDefault="00395593" w:rsidP="00E15FBB">
      <w:pPr>
        <w:shd w:val="clear" w:color="auto" w:fill="FFFFFF"/>
        <w:spacing w:after="0" w:line="240" w:lineRule="auto"/>
        <w:jc w:val="both"/>
        <w:rPr>
          <w:rFonts w:ascii="Garamond" w:eastAsia="Times New Roman" w:hAnsi="Garamond" w:cs="Calibri"/>
          <w:sz w:val="24"/>
          <w:szCs w:val="24"/>
          <w:lang w:eastAsia="pt-BR"/>
        </w:rPr>
      </w:pPr>
    </w:p>
    <w:p w14:paraId="44DF0205" w14:textId="77777777" w:rsidR="00395593" w:rsidRPr="003C53EA" w:rsidRDefault="00395593" w:rsidP="000B4A90">
      <w:pPr>
        <w:pStyle w:val="Corpodetexto"/>
        <w:jc w:val="center"/>
        <w:rPr>
          <w:rFonts w:ascii="Garamond" w:eastAsia="MS Gothic" w:hAnsi="Garamond"/>
          <w:b/>
          <w:color w:val="4F81BD"/>
          <w:lang w:eastAsia="pt-BR"/>
        </w:rPr>
      </w:pPr>
      <w:r w:rsidRPr="003C53EA">
        <w:rPr>
          <w:rFonts w:ascii="Garamond" w:eastAsia="MS Gothic" w:hAnsi="Garamond"/>
          <w:b/>
          <w:lang w:eastAsia="pt-BR"/>
        </w:rPr>
        <w:t>Subseção III</w:t>
      </w:r>
    </w:p>
    <w:p w14:paraId="3A5D4F63" w14:textId="77777777" w:rsidR="00395593" w:rsidRPr="003C53EA" w:rsidRDefault="00395593" w:rsidP="000B4A90">
      <w:pPr>
        <w:pStyle w:val="Corpodetexto"/>
        <w:jc w:val="center"/>
        <w:rPr>
          <w:rFonts w:ascii="Garamond" w:eastAsia="MS Gothic" w:hAnsi="Garamond"/>
          <w:b/>
          <w:color w:val="4F81BD"/>
          <w:lang w:eastAsia="pt-BR"/>
        </w:rPr>
      </w:pPr>
      <w:r w:rsidRPr="003C53EA">
        <w:rPr>
          <w:rFonts w:ascii="Garamond" w:eastAsia="MS Gothic" w:hAnsi="Garamond"/>
          <w:b/>
          <w:lang w:eastAsia="pt-BR"/>
        </w:rPr>
        <w:t>Da correção do preço</w:t>
      </w:r>
    </w:p>
    <w:p w14:paraId="28BB4D14" w14:textId="77777777" w:rsidR="00395593" w:rsidRPr="005C5CBD" w:rsidRDefault="00395593" w:rsidP="00E15FBB">
      <w:pPr>
        <w:shd w:val="clear" w:color="auto" w:fill="FFFFFF"/>
        <w:spacing w:after="0" w:line="240" w:lineRule="auto"/>
        <w:jc w:val="center"/>
        <w:rPr>
          <w:rFonts w:ascii="Garamond" w:eastAsia="Times New Roman" w:hAnsi="Garamond" w:cs="Calibri"/>
          <w:b/>
          <w:sz w:val="24"/>
          <w:szCs w:val="24"/>
          <w:lang w:eastAsia="pt-BR"/>
        </w:rPr>
      </w:pPr>
    </w:p>
    <w:p w14:paraId="3488B003"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420. </w:t>
      </w:r>
      <w:r w:rsidRPr="005C5CBD">
        <w:rPr>
          <w:rFonts w:ascii="Garamond" w:eastAsia="Times New Roman" w:hAnsi="Garamond" w:cs="Calibri"/>
          <w:sz w:val="24"/>
          <w:szCs w:val="24"/>
          <w:lang w:eastAsia="pt-BR"/>
        </w:rPr>
        <w:t>A proposta de compromisso de preços realizada por produtor/exportador deverá conter:</w:t>
      </w:r>
    </w:p>
    <w:p w14:paraId="7AD54252"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625E3ED2"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a periodicidade das correções do preço do compromisso;</w:t>
      </w:r>
    </w:p>
    <w:p w14:paraId="549CE205"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2197AA97"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as fontes que determinarão as correções do preço do compromisso; e</w:t>
      </w:r>
    </w:p>
    <w:p w14:paraId="5278355A"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68A39702"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a fórmula matemática das correções propostas, bem como a justificativa dessas correções.</w:t>
      </w:r>
    </w:p>
    <w:p w14:paraId="66E51558"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7D70C734"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Caso o proponente entenda não ser necessária a correção de preços prevista neste artigo, indicar as justificativas que fundamentam tal entendimento.</w:t>
      </w:r>
    </w:p>
    <w:p w14:paraId="6A9707DB" w14:textId="77777777" w:rsidR="00395593" w:rsidRPr="005C5CBD" w:rsidRDefault="00395593" w:rsidP="00E15FBB">
      <w:pPr>
        <w:shd w:val="clear" w:color="auto" w:fill="FFFFFF"/>
        <w:spacing w:after="0" w:line="240" w:lineRule="auto"/>
        <w:jc w:val="both"/>
        <w:rPr>
          <w:rFonts w:ascii="Garamond" w:eastAsia="Times New Roman" w:hAnsi="Garamond" w:cs="Calibri"/>
          <w:sz w:val="24"/>
          <w:szCs w:val="24"/>
          <w:lang w:eastAsia="pt-BR"/>
        </w:rPr>
      </w:pPr>
    </w:p>
    <w:p w14:paraId="3F15410A" w14:textId="77777777" w:rsidR="00395593" w:rsidRPr="003C53EA" w:rsidRDefault="00395593" w:rsidP="000B4A90">
      <w:pPr>
        <w:pStyle w:val="Corpodetexto"/>
        <w:jc w:val="center"/>
        <w:rPr>
          <w:rFonts w:ascii="Garamond" w:eastAsia="MS Gothic" w:hAnsi="Garamond"/>
          <w:b/>
          <w:color w:val="4F81BD"/>
          <w:lang w:eastAsia="pt-BR"/>
        </w:rPr>
      </w:pPr>
      <w:r w:rsidRPr="003C53EA">
        <w:rPr>
          <w:rFonts w:ascii="Garamond" w:eastAsia="MS Gothic" w:hAnsi="Garamond"/>
          <w:b/>
          <w:lang w:eastAsia="pt-BR"/>
        </w:rPr>
        <w:t>Subseção IV</w:t>
      </w:r>
    </w:p>
    <w:p w14:paraId="2D6CE65D" w14:textId="77777777" w:rsidR="00395593" w:rsidRPr="003C53EA" w:rsidRDefault="00395593" w:rsidP="000B4A90">
      <w:pPr>
        <w:pStyle w:val="Corpodetexto"/>
        <w:jc w:val="center"/>
        <w:rPr>
          <w:rFonts w:ascii="Garamond" w:eastAsia="MS Gothic" w:hAnsi="Garamond"/>
          <w:b/>
          <w:color w:val="4F81BD"/>
          <w:lang w:eastAsia="pt-BR"/>
        </w:rPr>
      </w:pPr>
      <w:r w:rsidRPr="003C53EA">
        <w:rPr>
          <w:rFonts w:ascii="Garamond" w:eastAsia="MS Gothic" w:hAnsi="Garamond"/>
          <w:b/>
          <w:lang w:eastAsia="pt-BR"/>
        </w:rPr>
        <w:t>Do monitoramento do compromisso de preços assumido pelo produtor/exportador</w:t>
      </w:r>
    </w:p>
    <w:p w14:paraId="45CE4D6F" w14:textId="77777777" w:rsidR="00395593" w:rsidRPr="005C5CBD" w:rsidRDefault="00395593" w:rsidP="00E15FBB">
      <w:pPr>
        <w:shd w:val="clear" w:color="auto" w:fill="FFFFFF"/>
        <w:spacing w:after="0" w:line="240" w:lineRule="auto"/>
        <w:jc w:val="center"/>
        <w:rPr>
          <w:rFonts w:ascii="Garamond" w:eastAsia="Times New Roman" w:hAnsi="Garamond" w:cs="Calibri"/>
          <w:b/>
          <w:sz w:val="24"/>
          <w:szCs w:val="24"/>
          <w:lang w:eastAsia="pt-BR"/>
        </w:rPr>
      </w:pPr>
    </w:p>
    <w:p w14:paraId="167D7863" w14:textId="77777777" w:rsidR="00395593" w:rsidRPr="005C5CBD" w:rsidRDefault="00395593" w:rsidP="00F2230E">
      <w:pPr>
        <w:shd w:val="clear" w:color="auto" w:fill="FFFFFF"/>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421. </w:t>
      </w:r>
      <w:r w:rsidRPr="005C5CBD">
        <w:rPr>
          <w:rFonts w:ascii="Garamond" w:eastAsia="Times New Roman" w:hAnsi="Garamond" w:cs="Calibri"/>
          <w:sz w:val="24"/>
          <w:szCs w:val="24"/>
          <w:lang w:eastAsia="pt-BR"/>
        </w:rPr>
        <w:t>A proposta deverá informar a periodicidade com que o produtor/exportador fornecerá informações pertinentes ao cumprimento do compromisso de preços.</w:t>
      </w:r>
    </w:p>
    <w:p w14:paraId="6680385E" w14:textId="77777777" w:rsidR="00395593" w:rsidRPr="005C5CBD" w:rsidRDefault="00395593" w:rsidP="00F2230E">
      <w:pPr>
        <w:shd w:val="clear" w:color="auto" w:fill="FFFFFF"/>
        <w:spacing w:after="0" w:line="240" w:lineRule="auto"/>
        <w:ind w:firstLine="567"/>
        <w:jc w:val="both"/>
        <w:rPr>
          <w:rFonts w:ascii="Garamond" w:eastAsia="Times New Roman" w:hAnsi="Garamond" w:cs="Calibri"/>
          <w:sz w:val="24"/>
          <w:szCs w:val="24"/>
          <w:lang w:eastAsia="pt-BR"/>
        </w:rPr>
      </w:pPr>
    </w:p>
    <w:p w14:paraId="5FFF5626" w14:textId="77777777" w:rsidR="00395593" w:rsidRPr="005C5CBD" w:rsidRDefault="00395593" w:rsidP="00F2230E">
      <w:pPr>
        <w:shd w:val="clear" w:color="auto" w:fill="FFFFFF"/>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A proposta deverá indicar o prazo dentro do qual o relatório contendo todas as informações acordadas no âmbito do compromisso de preços deverá ser fornecido à Subsecretaria de Defesa Comercial e Interesse Público, contado a partir do último dia do encerramento do período.</w:t>
      </w:r>
    </w:p>
    <w:p w14:paraId="6198CE23" w14:textId="77777777" w:rsidR="00395593" w:rsidRPr="005C5CBD" w:rsidRDefault="00395593" w:rsidP="00F2230E">
      <w:pPr>
        <w:shd w:val="clear" w:color="auto" w:fill="FFFFFF"/>
        <w:spacing w:after="0" w:line="240" w:lineRule="auto"/>
        <w:ind w:firstLine="567"/>
        <w:jc w:val="both"/>
        <w:rPr>
          <w:rFonts w:ascii="Garamond" w:eastAsia="Times New Roman" w:hAnsi="Garamond" w:cs="Calibri"/>
          <w:sz w:val="24"/>
          <w:szCs w:val="24"/>
          <w:lang w:eastAsia="pt-BR"/>
        </w:rPr>
      </w:pPr>
    </w:p>
    <w:p w14:paraId="3E2908DB" w14:textId="77777777" w:rsidR="00395593" w:rsidRPr="005C5CBD" w:rsidRDefault="00395593" w:rsidP="00F2230E">
      <w:pPr>
        <w:shd w:val="clear" w:color="auto" w:fill="FFFFFF"/>
        <w:spacing w:after="0" w:line="240" w:lineRule="auto"/>
        <w:ind w:firstLine="567"/>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422. </w:t>
      </w:r>
      <w:r w:rsidRPr="005C5CBD">
        <w:rPr>
          <w:rFonts w:ascii="Garamond" w:eastAsia="Times New Roman" w:hAnsi="Garamond" w:cs="Calibri"/>
          <w:sz w:val="24"/>
          <w:szCs w:val="24"/>
          <w:lang w:eastAsia="pt-BR"/>
        </w:rPr>
        <w:t xml:space="preserve">A proposta de compromisso de preços apresentada por produtor/exportador deverá conter autorização expressa para que a Subsecretaria de Defesa Comercial e Interesse Público realize verificações </w:t>
      </w:r>
      <w:r w:rsidRPr="005C5CBD">
        <w:rPr>
          <w:rFonts w:ascii="Garamond" w:eastAsia="Times New Roman" w:hAnsi="Garamond" w:cs="Calibri"/>
          <w:b/>
          <w:sz w:val="24"/>
          <w:szCs w:val="24"/>
          <w:lang w:eastAsia="pt-BR"/>
        </w:rPr>
        <w:t>in loco</w:t>
      </w:r>
      <w:r w:rsidRPr="005C5CBD">
        <w:rPr>
          <w:rFonts w:ascii="Garamond" w:eastAsia="Times New Roman" w:hAnsi="Garamond" w:cs="Calibri"/>
          <w:sz w:val="24"/>
          <w:szCs w:val="24"/>
          <w:lang w:eastAsia="pt-BR"/>
        </w:rPr>
        <w:t xml:space="preserve"> dos dados pertinentes, tanto no produtor/exportador quanto nas eventuais partes relacionadas.</w:t>
      </w:r>
    </w:p>
    <w:p w14:paraId="474581DD" w14:textId="77777777" w:rsidR="00395593" w:rsidRPr="005C5CBD" w:rsidRDefault="00395593" w:rsidP="00E15FBB">
      <w:pPr>
        <w:shd w:val="clear" w:color="auto" w:fill="FFFFFF"/>
        <w:spacing w:after="0" w:line="240" w:lineRule="auto"/>
        <w:jc w:val="both"/>
        <w:rPr>
          <w:rFonts w:ascii="Garamond" w:eastAsia="Times New Roman" w:hAnsi="Garamond" w:cs="Calibri"/>
          <w:sz w:val="24"/>
          <w:szCs w:val="24"/>
          <w:lang w:eastAsia="pt-BR"/>
        </w:rPr>
      </w:pPr>
    </w:p>
    <w:p w14:paraId="5093DFFD" w14:textId="77777777" w:rsidR="00395593" w:rsidRPr="003C53EA" w:rsidRDefault="00395593" w:rsidP="000B4A90">
      <w:pPr>
        <w:pStyle w:val="Corpodetexto"/>
        <w:jc w:val="center"/>
        <w:rPr>
          <w:rFonts w:ascii="Garamond" w:eastAsia="MS Gothic" w:hAnsi="Garamond"/>
          <w:b/>
          <w:color w:val="4F81BD"/>
          <w:lang w:eastAsia="pt-BR"/>
        </w:rPr>
      </w:pPr>
      <w:r w:rsidRPr="003C53EA">
        <w:rPr>
          <w:rFonts w:ascii="Garamond" w:eastAsia="MS Gothic" w:hAnsi="Garamond"/>
          <w:b/>
          <w:lang w:eastAsia="pt-BR"/>
        </w:rPr>
        <w:t>Subseção V</w:t>
      </w:r>
    </w:p>
    <w:p w14:paraId="5404CB8B" w14:textId="77777777" w:rsidR="00395593" w:rsidRPr="003C53EA" w:rsidRDefault="00395593" w:rsidP="000B4A90">
      <w:pPr>
        <w:pStyle w:val="Corpodetexto"/>
        <w:jc w:val="center"/>
        <w:rPr>
          <w:rFonts w:ascii="Garamond" w:eastAsia="MS Gothic" w:hAnsi="Garamond"/>
          <w:b/>
          <w:color w:val="4F81BD"/>
          <w:lang w:eastAsia="pt-BR"/>
        </w:rPr>
      </w:pPr>
      <w:r w:rsidRPr="003C53EA">
        <w:rPr>
          <w:rFonts w:ascii="Garamond" w:eastAsia="MS Gothic" w:hAnsi="Garamond"/>
          <w:b/>
          <w:lang w:eastAsia="pt-BR"/>
        </w:rPr>
        <w:t>Das violações do compromisso</w:t>
      </w:r>
      <w:r w:rsidRPr="003C53EA">
        <w:rPr>
          <w:rFonts w:ascii="Garamond" w:eastAsia="MS Gothic" w:hAnsi="Garamond"/>
          <w:b/>
          <w:color w:val="4F81BD"/>
          <w:sz w:val="28"/>
          <w:szCs w:val="20"/>
          <w:lang w:eastAsia="pt-BR"/>
        </w:rPr>
        <w:t xml:space="preserve"> </w:t>
      </w:r>
      <w:r w:rsidRPr="003C53EA">
        <w:rPr>
          <w:rFonts w:ascii="Garamond" w:eastAsia="MS Gothic" w:hAnsi="Garamond"/>
          <w:b/>
          <w:lang w:eastAsia="pt-BR"/>
        </w:rPr>
        <w:t>de preços assumido pelo produtor/exportador</w:t>
      </w:r>
    </w:p>
    <w:p w14:paraId="57017D25" w14:textId="77777777" w:rsidR="00395593" w:rsidRPr="005C5CBD" w:rsidRDefault="00395593" w:rsidP="00E15FBB">
      <w:pPr>
        <w:shd w:val="clear" w:color="auto" w:fill="FFFFFF"/>
        <w:spacing w:after="0" w:line="240" w:lineRule="auto"/>
        <w:ind w:left="1"/>
        <w:jc w:val="both"/>
        <w:rPr>
          <w:rFonts w:ascii="Garamond" w:eastAsia="Times New Roman" w:hAnsi="Garamond" w:cs="Calibri"/>
          <w:sz w:val="24"/>
          <w:szCs w:val="24"/>
          <w:lang w:eastAsia="pt-BR"/>
        </w:rPr>
      </w:pPr>
    </w:p>
    <w:p w14:paraId="6F2AD2A0"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423. </w:t>
      </w:r>
      <w:r w:rsidRPr="005C5CBD">
        <w:rPr>
          <w:rFonts w:ascii="Garamond" w:eastAsia="Times New Roman" w:hAnsi="Garamond" w:cs="Calibri"/>
          <w:sz w:val="24"/>
          <w:szCs w:val="24"/>
          <w:lang w:eastAsia="pt-BR"/>
        </w:rPr>
        <w:t>O produtor/exportador, incluindo partes relacionadas, que propuserem compromisso de preços deverão se comprometer expressamente a, entre outras:</w:t>
      </w:r>
    </w:p>
    <w:p w14:paraId="58DF2A53"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0467A911"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não conceder descontos, abatimentos, ou qualquer outro benefício aos seus clientes, quer direta ou indiretamente ligados a uma venda do produto em questão, que implique preço compromissado inferior ao acordado;</w:t>
      </w:r>
    </w:p>
    <w:p w14:paraId="17CDAEC5"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48B67AE1"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não pagar comissão que implique preço compromissado inferior ao acordado;</w:t>
      </w:r>
    </w:p>
    <w:p w14:paraId="1B94F63D"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3CB7363C"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não apresentar descrições enganosas ou falsas das quantidades, características ou qualidades de qualquer venda do produto em questão;</w:t>
      </w:r>
    </w:p>
    <w:p w14:paraId="5BA87EDA"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6A174FFA"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não prestar declarações enganosas ou falsas sobre a classificação aduaneira do produto em questão;</w:t>
      </w:r>
    </w:p>
    <w:p w14:paraId="1B642169"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6B6268B9"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 - não prestar declarações enganosas ou falsas sobre a origem do produto em questão ou sobre a identidade do produtor/exportador;</w:t>
      </w:r>
    </w:p>
    <w:p w14:paraId="39586829"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0FA0B68D" w14:textId="4C91513C"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VI - não exportar mercadoria ao amparo deste Compromisso não fabricada pelos produtores relacionados no inciso I do art. </w:t>
      </w:r>
      <w:r w:rsidR="008B3B5C">
        <w:rPr>
          <w:rFonts w:ascii="Garamond" w:eastAsia="Times New Roman" w:hAnsi="Garamond" w:cs="Calibri"/>
          <w:sz w:val="24"/>
          <w:szCs w:val="24"/>
          <w:lang w:eastAsia="pt-BR"/>
        </w:rPr>
        <w:t>417</w:t>
      </w:r>
      <w:r w:rsidR="00E15FBB" w:rsidRPr="005C5CBD">
        <w:rPr>
          <w:rFonts w:ascii="Garamond" w:eastAsia="Times New Roman" w:hAnsi="Garamond" w:cs="Calibri"/>
          <w:sz w:val="24"/>
          <w:szCs w:val="24"/>
          <w:lang w:eastAsia="pt-BR"/>
        </w:rPr>
        <w:t xml:space="preserve"> e no inciso I do art. </w:t>
      </w:r>
      <w:r w:rsidR="008B3B5C">
        <w:rPr>
          <w:rFonts w:ascii="Garamond" w:eastAsia="Times New Roman" w:hAnsi="Garamond" w:cs="Calibri"/>
          <w:sz w:val="24"/>
          <w:szCs w:val="24"/>
          <w:lang w:eastAsia="pt-BR"/>
        </w:rPr>
        <w:t>418</w:t>
      </w:r>
    </w:p>
    <w:p w14:paraId="238807E8"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34A40A1A"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VII - não efetuar acerto de dívida relacionada a qualquer operação de exportação para o Brasil por meio de quaisquer acordos de compensação, através de troca direta, ou qualquer outra forma de pagamento que não dinheiro ou método equivalente;</w:t>
      </w:r>
    </w:p>
    <w:p w14:paraId="1424517A"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50567A7A"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VIII - não emitir fatura comercial ou nota fiscal de revenda cujos preços líquidos de venda não estejam em conformidade com os preços compromissados;</w:t>
      </w:r>
    </w:p>
    <w:p w14:paraId="20A58D43"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0A290F3F"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IX - não emitir fatura comercial ou nota fiscal de revenda para as quais a transação financeira subjacente (por exemplo, o valor efetivamente recebido do comprador após quaisquer ajustes das notas de crédito/débito e similares) não esteja em conformidade com o valor nominal da fatura comercial;</w:t>
      </w:r>
    </w:p>
    <w:p w14:paraId="643A976F"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36D07C54"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X - não se envolver em práticas de circunvenção;</w:t>
      </w:r>
    </w:p>
    <w:p w14:paraId="773E77C8"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3286289F"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XI - não exportar o produto objeto deste compromisso por meio de países intermediários, devendo o embarque destes originar-se sempre diretamente do país de origem para o Brasil;</w:t>
      </w:r>
    </w:p>
    <w:p w14:paraId="5FD12411"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756184E0"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XII - não se envolver em prática que se caracterize em repasse financeiro direto ou indireto ao importador.</w:t>
      </w:r>
    </w:p>
    <w:p w14:paraId="39338A60" w14:textId="77777777" w:rsidR="00395593" w:rsidRPr="005C5CBD" w:rsidRDefault="00395593" w:rsidP="00F2230E">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0950483D" w14:textId="77777777" w:rsidR="00395593" w:rsidRPr="005C5CBD" w:rsidRDefault="00395593" w:rsidP="00F2230E">
      <w:pPr>
        <w:spacing w:before="6" w:after="283" w:line="240" w:lineRule="auto"/>
        <w:ind w:firstLineChars="100" w:firstLine="240"/>
        <w:jc w:val="both"/>
        <w:rPr>
          <w:rFonts w:ascii="Garamond" w:eastAsia="Times New Roman" w:hAnsi="Garamond" w:cs="Calibri"/>
          <w:strike/>
          <w:sz w:val="24"/>
          <w:szCs w:val="24"/>
          <w:lang w:eastAsia="pt-BR"/>
        </w:rPr>
      </w:pPr>
      <w:r w:rsidRPr="005C5CBD">
        <w:rPr>
          <w:rFonts w:ascii="Garamond" w:eastAsia="Times New Roman" w:hAnsi="Garamond" w:cs="Calibri"/>
          <w:sz w:val="24"/>
          <w:szCs w:val="24"/>
          <w:lang w:eastAsia="pt-BR"/>
        </w:rPr>
        <w:t>Parágrafo único.  Havendo indícios de violação aos termos do compromisso de preços pelo produtor/exportador, com base em evidências fornecidas por partes interessadas ou obtidas de ofício pela autoridade investigadora, será dada oportunidade para que o produtor/exportador se manifeste.</w:t>
      </w:r>
    </w:p>
    <w:p w14:paraId="67F00AF3" w14:textId="77777777" w:rsidR="00395593" w:rsidRPr="003C53EA" w:rsidRDefault="00395593" w:rsidP="000B4A90">
      <w:pPr>
        <w:pStyle w:val="Corpodetexto"/>
        <w:jc w:val="center"/>
        <w:rPr>
          <w:rFonts w:ascii="Garamond" w:hAnsi="Garamond"/>
          <w:b/>
          <w:lang w:eastAsia="pt-BR"/>
        </w:rPr>
      </w:pPr>
      <w:r w:rsidRPr="003C53EA">
        <w:rPr>
          <w:rFonts w:ascii="Garamond" w:hAnsi="Garamond"/>
          <w:b/>
          <w:lang w:eastAsia="pt-BR"/>
        </w:rPr>
        <w:t>Seção II</w:t>
      </w:r>
    </w:p>
    <w:p w14:paraId="7EE0EE5B" w14:textId="77777777" w:rsidR="00395593" w:rsidRPr="003C53EA" w:rsidRDefault="00395593" w:rsidP="000B4A90">
      <w:pPr>
        <w:pStyle w:val="Corpodetexto"/>
        <w:jc w:val="center"/>
        <w:rPr>
          <w:rFonts w:ascii="Garamond" w:hAnsi="Garamond"/>
          <w:b/>
          <w:lang w:eastAsia="pt-BR"/>
        </w:rPr>
      </w:pPr>
      <w:r w:rsidRPr="003C53EA">
        <w:rPr>
          <w:rFonts w:ascii="Garamond" w:hAnsi="Garamond"/>
          <w:b/>
          <w:lang w:eastAsia="pt-BR"/>
        </w:rPr>
        <w:t>Da proposta de compromisso do governo</w:t>
      </w:r>
    </w:p>
    <w:p w14:paraId="16251059" w14:textId="77777777" w:rsidR="00395593" w:rsidRPr="003C53EA" w:rsidRDefault="00395593" w:rsidP="000B4A90">
      <w:pPr>
        <w:pStyle w:val="Corpodetexto"/>
        <w:jc w:val="center"/>
        <w:rPr>
          <w:rFonts w:ascii="Garamond" w:hAnsi="Garamond"/>
          <w:b/>
          <w:lang w:eastAsia="pt-BR"/>
        </w:rPr>
      </w:pPr>
    </w:p>
    <w:p w14:paraId="26F0E067" w14:textId="77777777" w:rsidR="00395593" w:rsidRPr="003C53EA" w:rsidRDefault="00395593" w:rsidP="000B4A90">
      <w:pPr>
        <w:pStyle w:val="Corpodetexto"/>
        <w:jc w:val="center"/>
        <w:rPr>
          <w:rFonts w:ascii="Garamond" w:eastAsia="MS Gothic" w:hAnsi="Garamond"/>
          <w:b/>
          <w:bCs/>
          <w:color w:val="4F81BD"/>
          <w:lang w:eastAsia="pt-BR"/>
        </w:rPr>
      </w:pPr>
      <w:r w:rsidRPr="003C53EA">
        <w:rPr>
          <w:rFonts w:ascii="Garamond" w:eastAsia="MS Gothic" w:hAnsi="Garamond"/>
          <w:b/>
          <w:bCs/>
          <w:lang w:eastAsia="pt-BR"/>
        </w:rPr>
        <w:t>Subseção I</w:t>
      </w:r>
    </w:p>
    <w:p w14:paraId="01DDA07F" w14:textId="77777777" w:rsidR="00395593" w:rsidRPr="005C5CBD" w:rsidRDefault="00395593" w:rsidP="000B4A90">
      <w:pPr>
        <w:pStyle w:val="Corpodetexto"/>
        <w:jc w:val="center"/>
        <w:rPr>
          <w:rFonts w:eastAsia="MS Gothic"/>
          <w:bCs/>
          <w:color w:val="4F81BD"/>
          <w:lang w:eastAsia="pt-BR"/>
        </w:rPr>
      </w:pPr>
      <w:r w:rsidRPr="003C53EA">
        <w:rPr>
          <w:rFonts w:ascii="Garamond" w:eastAsia="MS Gothic" w:hAnsi="Garamond"/>
          <w:b/>
          <w:bCs/>
          <w:lang w:eastAsia="pt-BR"/>
        </w:rPr>
        <w:t>Das condições para apreciação da proposta do compromisso do governo</w:t>
      </w:r>
    </w:p>
    <w:p w14:paraId="2E62C9C8"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1EE3C67E" w14:textId="77777777" w:rsidR="00395593" w:rsidRPr="005C5CBD" w:rsidRDefault="00395593" w:rsidP="00F2230E">
      <w:pPr>
        <w:spacing w:after="0" w:line="240" w:lineRule="auto"/>
        <w:ind w:firstLine="10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424. </w:t>
      </w:r>
      <w:r w:rsidRPr="005C5CBD">
        <w:rPr>
          <w:rFonts w:ascii="Garamond" w:eastAsia="Times New Roman" w:hAnsi="Garamond" w:cs="Calibri"/>
          <w:sz w:val="24"/>
          <w:szCs w:val="24"/>
          <w:lang w:eastAsia="pt-BR"/>
        </w:rPr>
        <w:t>A proposta de compromisso apresentada pelo governo do país exportador somente será conhecida caso o governo tenha colaborado com a investigação.</w:t>
      </w:r>
    </w:p>
    <w:p w14:paraId="2342892C" w14:textId="77777777" w:rsidR="00395593" w:rsidRPr="005C5CBD" w:rsidRDefault="00395593" w:rsidP="00F2230E">
      <w:pPr>
        <w:spacing w:after="0" w:line="240" w:lineRule="auto"/>
        <w:ind w:firstLine="100"/>
        <w:jc w:val="both"/>
        <w:rPr>
          <w:rFonts w:ascii="Garamond" w:eastAsia="Times New Roman" w:hAnsi="Garamond" w:cs="Calibri"/>
          <w:sz w:val="24"/>
          <w:szCs w:val="24"/>
          <w:lang w:eastAsia="pt-BR"/>
        </w:rPr>
      </w:pPr>
    </w:p>
    <w:p w14:paraId="4A9515B4" w14:textId="77777777" w:rsidR="00395593" w:rsidRPr="005C5CBD" w:rsidRDefault="00395593" w:rsidP="00F2230E">
      <w:pPr>
        <w:spacing w:after="0" w:line="240" w:lineRule="auto"/>
        <w:ind w:firstLine="10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Não serão conhecidas propostas de compromisso apresentadas caso qualquer produtor/exportador instado a responder ao questionário tenha tido seu montante individual de subsídio estabelecido com base na melhor informação disponível.</w:t>
      </w:r>
    </w:p>
    <w:p w14:paraId="546E877C" w14:textId="77777777" w:rsidR="00395593" w:rsidRPr="005C5CBD" w:rsidRDefault="00395593" w:rsidP="00F2230E">
      <w:pPr>
        <w:spacing w:after="0" w:line="240" w:lineRule="auto"/>
        <w:ind w:firstLine="100"/>
        <w:jc w:val="both"/>
        <w:rPr>
          <w:rFonts w:ascii="Garamond" w:eastAsia="Times New Roman" w:hAnsi="Garamond" w:cs="Calibri"/>
          <w:sz w:val="24"/>
          <w:szCs w:val="24"/>
          <w:lang w:eastAsia="pt-BR"/>
        </w:rPr>
      </w:pPr>
    </w:p>
    <w:p w14:paraId="2F508BDF" w14:textId="77777777" w:rsidR="00395593" w:rsidRPr="005C5CBD" w:rsidRDefault="00395593" w:rsidP="00F2230E">
      <w:pPr>
        <w:spacing w:after="0" w:line="276" w:lineRule="auto"/>
        <w:ind w:firstLine="10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425. </w:t>
      </w:r>
      <w:r w:rsidRPr="005C5CBD">
        <w:rPr>
          <w:rFonts w:ascii="Garamond" w:eastAsia="Times New Roman" w:hAnsi="Garamond" w:cs="Calibri"/>
          <w:sz w:val="24"/>
          <w:szCs w:val="24"/>
          <w:lang w:eastAsia="pt-BR"/>
        </w:rPr>
        <w:t xml:space="preserve">A proposta de compromisso apresentada pelo governo do país exportador deverá garantir a eliminação ou limitação dos subsídios à exportação e à produção (domésticos), ou adoção de medidas relativas à neutralização de todos os seus efeitos danosos.  </w:t>
      </w:r>
    </w:p>
    <w:p w14:paraId="4012AC19" w14:textId="77777777" w:rsidR="00395593" w:rsidRPr="005C5CBD" w:rsidRDefault="00395593" w:rsidP="00F2230E">
      <w:pPr>
        <w:spacing w:after="0" w:line="240" w:lineRule="auto"/>
        <w:ind w:firstLine="100"/>
        <w:jc w:val="both"/>
        <w:rPr>
          <w:rFonts w:ascii="Garamond" w:eastAsia="Times New Roman" w:hAnsi="Garamond" w:cs="Calibri"/>
          <w:sz w:val="24"/>
          <w:szCs w:val="24"/>
          <w:lang w:eastAsia="pt-BR"/>
        </w:rPr>
      </w:pPr>
    </w:p>
    <w:p w14:paraId="27611CDE" w14:textId="77777777" w:rsidR="00395593" w:rsidRPr="005C5CBD" w:rsidRDefault="00395593" w:rsidP="00F2230E">
      <w:pPr>
        <w:spacing w:after="0" w:line="240" w:lineRule="auto"/>
        <w:ind w:firstLine="10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426. </w:t>
      </w:r>
      <w:r w:rsidRPr="005C5CBD">
        <w:rPr>
          <w:rFonts w:ascii="Garamond" w:eastAsia="Times New Roman" w:hAnsi="Garamond" w:cs="Calibri"/>
          <w:sz w:val="24"/>
          <w:szCs w:val="24"/>
          <w:lang w:eastAsia="pt-BR"/>
        </w:rPr>
        <w:t>Apenas serão aceitas propostas de compromisso apresentadas pelo governo do país exportador.</w:t>
      </w:r>
    </w:p>
    <w:p w14:paraId="539D25B2" w14:textId="77777777" w:rsidR="00395593" w:rsidRPr="005C5CBD" w:rsidRDefault="00395593" w:rsidP="00F2230E">
      <w:pPr>
        <w:spacing w:after="0" w:line="240" w:lineRule="auto"/>
        <w:ind w:firstLine="100"/>
        <w:jc w:val="both"/>
        <w:rPr>
          <w:rFonts w:ascii="Garamond" w:eastAsia="Times New Roman" w:hAnsi="Garamond" w:cs="Calibri"/>
          <w:sz w:val="24"/>
          <w:szCs w:val="24"/>
          <w:lang w:eastAsia="pt-BR"/>
        </w:rPr>
      </w:pPr>
    </w:p>
    <w:p w14:paraId="4EBC0E95" w14:textId="77777777" w:rsidR="00395593" w:rsidRPr="005C5CBD" w:rsidRDefault="00395593" w:rsidP="00F2230E">
      <w:pPr>
        <w:spacing w:after="0" w:line="240" w:lineRule="auto"/>
        <w:ind w:firstLine="10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Parágrafo único. Em relação aos programas de subsídios concedidos pelos governos subnacionais do país exportador, a proposta de compromisso apresentada deverá garantir a eliminação, ou a limitação ou a adoção de medidas relativas a neutralizar todos os efeitos danosos.</w:t>
      </w:r>
    </w:p>
    <w:p w14:paraId="1F8839B4" w14:textId="77777777" w:rsidR="00395593" w:rsidRPr="005C5CBD" w:rsidRDefault="00395593" w:rsidP="00E15FBB">
      <w:pPr>
        <w:shd w:val="clear" w:color="auto" w:fill="FFFFFF"/>
        <w:spacing w:after="0" w:line="240" w:lineRule="auto"/>
        <w:jc w:val="center"/>
        <w:rPr>
          <w:rFonts w:ascii="Garamond" w:eastAsia="Times New Roman" w:hAnsi="Garamond" w:cs="Calibri"/>
          <w:sz w:val="24"/>
          <w:szCs w:val="24"/>
          <w:lang w:eastAsia="pt-BR"/>
        </w:rPr>
      </w:pPr>
    </w:p>
    <w:p w14:paraId="481A847C" w14:textId="77777777" w:rsidR="00395593" w:rsidRPr="003C53EA" w:rsidRDefault="00395593" w:rsidP="000B4A90">
      <w:pPr>
        <w:pStyle w:val="Corpodetexto"/>
        <w:jc w:val="center"/>
        <w:rPr>
          <w:rFonts w:ascii="Garamond" w:eastAsia="MS Gothic" w:hAnsi="Garamond"/>
          <w:b/>
          <w:color w:val="4F81BD"/>
          <w:lang w:eastAsia="pt-BR"/>
        </w:rPr>
      </w:pPr>
      <w:r w:rsidRPr="003C53EA">
        <w:rPr>
          <w:rFonts w:ascii="Garamond" w:eastAsia="MS Gothic" w:hAnsi="Garamond"/>
          <w:b/>
          <w:lang w:eastAsia="pt-BR"/>
        </w:rPr>
        <w:t>Subseção II</w:t>
      </w:r>
    </w:p>
    <w:p w14:paraId="3C595793" w14:textId="77777777" w:rsidR="00395593" w:rsidRPr="005C5CBD" w:rsidRDefault="00395593" w:rsidP="000B4A90">
      <w:pPr>
        <w:pStyle w:val="Corpodetexto"/>
        <w:jc w:val="center"/>
        <w:rPr>
          <w:rFonts w:eastAsia="MS Gothic"/>
          <w:color w:val="4F81BD"/>
          <w:lang w:eastAsia="pt-BR"/>
        </w:rPr>
      </w:pPr>
      <w:r w:rsidRPr="003C53EA">
        <w:rPr>
          <w:rFonts w:ascii="Garamond" w:eastAsia="MS Gothic" w:hAnsi="Garamond"/>
          <w:b/>
          <w:lang w:eastAsia="pt-BR"/>
        </w:rPr>
        <w:t>Do conteúdo da proposta de compromissos do governo</w:t>
      </w:r>
    </w:p>
    <w:p w14:paraId="4A8163AA"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60D9529D" w14:textId="77777777" w:rsidR="00395593" w:rsidRPr="005C5CBD" w:rsidRDefault="00395593" w:rsidP="00F2230E">
      <w:pPr>
        <w:spacing w:after="0" w:line="240" w:lineRule="auto"/>
        <w:ind w:firstLine="10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427. </w:t>
      </w:r>
      <w:r w:rsidRPr="005C5CBD">
        <w:rPr>
          <w:rFonts w:ascii="Garamond" w:eastAsia="Times New Roman" w:hAnsi="Garamond" w:cs="Calibri"/>
          <w:sz w:val="24"/>
          <w:szCs w:val="24"/>
          <w:lang w:eastAsia="pt-BR"/>
        </w:rPr>
        <w:t>A proposta de compromisso realizada pelo governo do país exportador deverá conter:</w:t>
      </w:r>
    </w:p>
    <w:p w14:paraId="0C43336B" w14:textId="77777777" w:rsidR="00395593" w:rsidRPr="005C5CBD" w:rsidRDefault="00395593" w:rsidP="00F2230E">
      <w:pPr>
        <w:spacing w:after="0" w:line="240" w:lineRule="auto"/>
        <w:ind w:firstLine="100"/>
        <w:jc w:val="both"/>
        <w:rPr>
          <w:rFonts w:ascii="Garamond" w:eastAsia="Times New Roman" w:hAnsi="Garamond" w:cs="Calibri"/>
          <w:sz w:val="24"/>
          <w:szCs w:val="24"/>
          <w:lang w:eastAsia="pt-BR"/>
        </w:rPr>
      </w:pPr>
    </w:p>
    <w:p w14:paraId="0918564F" w14:textId="77777777" w:rsidR="00395593" w:rsidRPr="005C5CBD" w:rsidRDefault="00395593" w:rsidP="00F2230E">
      <w:pPr>
        <w:spacing w:after="0" w:line="240" w:lineRule="auto"/>
        <w:ind w:firstLine="100"/>
        <w:jc w:val="both"/>
        <w:rPr>
          <w:rFonts w:ascii="Garamond" w:eastAsia="Calibri" w:hAnsi="Garamond" w:cs="Calibri"/>
          <w:sz w:val="24"/>
          <w:szCs w:val="24"/>
        </w:rPr>
      </w:pPr>
      <w:r w:rsidRPr="005C5CBD">
        <w:rPr>
          <w:rFonts w:ascii="Garamond" w:eastAsia="Calibri" w:hAnsi="Garamond" w:cs="Calibri"/>
          <w:sz w:val="24"/>
          <w:szCs w:val="24"/>
        </w:rPr>
        <w:t xml:space="preserve">I - nome, função, endereço completo, telefone e endereço eletrônico do representante legal habilitado junto à Subsecretaria de Defesa Comercial e Interesse Público; </w:t>
      </w:r>
    </w:p>
    <w:p w14:paraId="05B3BE4A" w14:textId="77777777" w:rsidR="00395593" w:rsidRPr="005C5CBD" w:rsidRDefault="00395593" w:rsidP="00F2230E">
      <w:pPr>
        <w:spacing w:after="0" w:line="240" w:lineRule="auto"/>
        <w:ind w:firstLine="100"/>
        <w:jc w:val="both"/>
        <w:rPr>
          <w:rFonts w:ascii="Garamond" w:eastAsia="Calibri" w:hAnsi="Garamond" w:cs="Calibri"/>
          <w:sz w:val="24"/>
          <w:szCs w:val="24"/>
        </w:rPr>
      </w:pPr>
    </w:p>
    <w:p w14:paraId="5B97C917" w14:textId="77777777" w:rsidR="00395593" w:rsidRPr="005C5CBD" w:rsidRDefault="00395593" w:rsidP="00F2230E">
      <w:pPr>
        <w:spacing w:after="0" w:line="240" w:lineRule="auto"/>
        <w:ind w:firstLine="100"/>
        <w:jc w:val="both"/>
        <w:rPr>
          <w:rFonts w:ascii="Garamond" w:eastAsia="Calibri" w:hAnsi="Garamond" w:cs="Calibri"/>
          <w:sz w:val="24"/>
          <w:szCs w:val="24"/>
        </w:rPr>
      </w:pPr>
      <w:r w:rsidRPr="005C5CBD">
        <w:rPr>
          <w:rFonts w:ascii="Garamond" w:eastAsia="Calibri" w:hAnsi="Garamond" w:cs="Calibri"/>
          <w:sz w:val="24"/>
          <w:szCs w:val="24"/>
        </w:rPr>
        <w:t>II - o país de origem das importações brasileiras do produto objeto do compromisso;</w:t>
      </w:r>
    </w:p>
    <w:p w14:paraId="690A57A3" w14:textId="77777777" w:rsidR="00395593" w:rsidRPr="005C5CBD" w:rsidRDefault="00395593" w:rsidP="00F2230E">
      <w:pPr>
        <w:spacing w:after="0" w:line="240" w:lineRule="auto"/>
        <w:ind w:firstLine="100"/>
        <w:jc w:val="both"/>
        <w:rPr>
          <w:rFonts w:ascii="Garamond" w:eastAsia="Calibri" w:hAnsi="Garamond" w:cs="Calibri"/>
          <w:sz w:val="24"/>
          <w:szCs w:val="24"/>
        </w:rPr>
      </w:pPr>
    </w:p>
    <w:p w14:paraId="4CD0F1B7" w14:textId="77777777" w:rsidR="00395593" w:rsidRPr="005C5CBD" w:rsidRDefault="00395593" w:rsidP="00F2230E">
      <w:pPr>
        <w:spacing w:after="0" w:line="240" w:lineRule="auto"/>
        <w:ind w:firstLine="100"/>
        <w:jc w:val="both"/>
        <w:rPr>
          <w:rFonts w:ascii="Garamond" w:eastAsia="Calibri" w:hAnsi="Garamond" w:cs="Calibri"/>
          <w:sz w:val="24"/>
          <w:szCs w:val="24"/>
        </w:rPr>
      </w:pPr>
      <w:r w:rsidRPr="005C5CBD">
        <w:rPr>
          <w:rFonts w:ascii="Garamond" w:eastAsia="Calibri" w:hAnsi="Garamond" w:cs="Calibri"/>
          <w:sz w:val="24"/>
          <w:szCs w:val="24"/>
        </w:rPr>
        <w:t>III - nome, função, endereço completo, telefone e endereço eletrônico do representante do governo habilitado junto à Subsecretaria de Defesa Comercial e Interesse Público;</w:t>
      </w:r>
    </w:p>
    <w:p w14:paraId="06D5C9BC" w14:textId="77777777" w:rsidR="00395593" w:rsidRPr="005C5CBD" w:rsidRDefault="00395593" w:rsidP="00F2230E">
      <w:pPr>
        <w:spacing w:after="0" w:line="240" w:lineRule="auto"/>
        <w:ind w:firstLine="100"/>
        <w:jc w:val="both"/>
        <w:rPr>
          <w:rFonts w:ascii="Garamond" w:eastAsia="Calibri" w:hAnsi="Garamond" w:cs="Calibri"/>
          <w:sz w:val="24"/>
          <w:szCs w:val="24"/>
        </w:rPr>
      </w:pPr>
    </w:p>
    <w:p w14:paraId="52A8D304" w14:textId="77777777" w:rsidR="00395593" w:rsidRPr="005C5CBD" w:rsidRDefault="00395593" w:rsidP="00F2230E">
      <w:pPr>
        <w:spacing w:after="0" w:line="240" w:lineRule="auto"/>
        <w:ind w:firstLine="10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o número do processo administrativo relativo à investigação de subsídios nas exportações do produto objeto do compromisso e de dano decorrente de tal prática;</w:t>
      </w:r>
    </w:p>
    <w:p w14:paraId="31B41041" w14:textId="77777777" w:rsidR="00395593" w:rsidRPr="005C5CBD" w:rsidRDefault="00395593" w:rsidP="00F2230E">
      <w:pPr>
        <w:spacing w:after="0" w:line="240" w:lineRule="auto"/>
        <w:ind w:firstLine="100"/>
        <w:jc w:val="both"/>
        <w:rPr>
          <w:rFonts w:ascii="Garamond" w:eastAsia="Times New Roman" w:hAnsi="Garamond" w:cs="Calibri"/>
          <w:sz w:val="24"/>
          <w:szCs w:val="24"/>
          <w:lang w:eastAsia="pt-BR"/>
        </w:rPr>
      </w:pPr>
    </w:p>
    <w:p w14:paraId="63E0523F" w14:textId="77777777" w:rsidR="00395593" w:rsidRPr="005C5CBD" w:rsidRDefault="00395593" w:rsidP="00F2230E">
      <w:pPr>
        <w:spacing w:after="0" w:line="240" w:lineRule="auto"/>
        <w:ind w:firstLine="10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 - a descrição do produto objeto do compromisso;</w:t>
      </w:r>
    </w:p>
    <w:p w14:paraId="2FC0236A" w14:textId="77777777" w:rsidR="00395593" w:rsidRPr="005C5CBD" w:rsidRDefault="00395593" w:rsidP="00F2230E">
      <w:pPr>
        <w:shd w:val="clear" w:color="auto" w:fill="FFFFFF"/>
        <w:spacing w:after="0" w:line="240" w:lineRule="auto"/>
        <w:ind w:firstLine="100"/>
        <w:jc w:val="both"/>
        <w:rPr>
          <w:rFonts w:ascii="Garamond" w:eastAsia="Times New Roman" w:hAnsi="Garamond" w:cs="Calibri"/>
          <w:sz w:val="24"/>
          <w:szCs w:val="24"/>
          <w:lang w:eastAsia="pt-BR"/>
        </w:rPr>
      </w:pPr>
    </w:p>
    <w:p w14:paraId="791B5BE4" w14:textId="77777777" w:rsidR="00395593" w:rsidRPr="005C5CBD" w:rsidRDefault="00395593" w:rsidP="00F2230E">
      <w:pPr>
        <w:shd w:val="clear" w:color="auto" w:fill="FFFFFF"/>
        <w:spacing w:after="0" w:line="240" w:lineRule="auto"/>
        <w:ind w:firstLine="10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VI - o item da Nomenclatura Comum do MERCOSUL (NCM) em que se classifica o produto objeto do compromisso;</w:t>
      </w:r>
    </w:p>
    <w:p w14:paraId="29A1377C" w14:textId="77777777" w:rsidR="00395593" w:rsidRPr="005C5CBD" w:rsidRDefault="00395593" w:rsidP="00F2230E">
      <w:pPr>
        <w:shd w:val="clear" w:color="auto" w:fill="FFFFFF"/>
        <w:spacing w:after="0" w:line="240" w:lineRule="auto"/>
        <w:ind w:firstLine="100"/>
        <w:jc w:val="both"/>
        <w:rPr>
          <w:rFonts w:ascii="Garamond" w:eastAsia="Times New Roman" w:hAnsi="Garamond" w:cs="Calibri"/>
          <w:sz w:val="24"/>
          <w:szCs w:val="24"/>
          <w:lang w:eastAsia="pt-BR"/>
        </w:rPr>
      </w:pPr>
    </w:p>
    <w:p w14:paraId="28DA5B0D" w14:textId="77777777" w:rsidR="00395593" w:rsidRPr="005C5CBD" w:rsidRDefault="00395593" w:rsidP="00F2230E">
      <w:pPr>
        <w:shd w:val="clear" w:color="auto" w:fill="FFFFFF"/>
        <w:spacing w:after="0" w:line="240" w:lineRule="auto"/>
        <w:ind w:firstLine="10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428. </w:t>
      </w:r>
      <w:r w:rsidRPr="005C5CBD">
        <w:rPr>
          <w:rFonts w:ascii="Garamond" w:eastAsia="Times New Roman" w:hAnsi="Garamond" w:cs="Calibri"/>
          <w:sz w:val="24"/>
          <w:szCs w:val="24"/>
          <w:lang w:eastAsia="pt-BR"/>
        </w:rPr>
        <w:t>A proposta de compromisso deverá conter descrição detalhada das</w:t>
      </w:r>
      <w:r w:rsidRPr="005C5CBD" w:rsidDel="00030763">
        <w:rPr>
          <w:rFonts w:ascii="Garamond" w:eastAsia="Times New Roman" w:hAnsi="Garamond" w:cs="Calibri"/>
          <w:sz w:val="24"/>
          <w:szCs w:val="24"/>
          <w:lang w:eastAsia="pt-BR"/>
        </w:rPr>
        <w:t xml:space="preserve"> </w:t>
      </w:r>
      <w:r w:rsidRPr="005C5CBD">
        <w:rPr>
          <w:rFonts w:ascii="Garamond" w:eastAsia="Times New Roman" w:hAnsi="Garamond" w:cs="Calibri"/>
          <w:sz w:val="24"/>
          <w:szCs w:val="24"/>
          <w:lang w:eastAsia="pt-BR"/>
        </w:rPr>
        <w:t xml:space="preserve">medidas a serem tomadas pelo governo do país exportador para garantir a eliminação ou limitação dos subsídios à exportação e à produção (domésticos), ou adoção de medidas relativas à neutralização de todos os seus efeitos danosos à indústria doméstica.  </w:t>
      </w:r>
    </w:p>
    <w:p w14:paraId="5BE3D4BE" w14:textId="77777777" w:rsidR="00395593" w:rsidRPr="005C5CBD" w:rsidRDefault="00395593" w:rsidP="00F2230E">
      <w:pPr>
        <w:spacing w:after="0" w:line="240" w:lineRule="auto"/>
        <w:ind w:firstLine="100"/>
        <w:rPr>
          <w:rFonts w:ascii="Garamond" w:eastAsia="Times New Roman" w:hAnsi="Garamond" w:cs="Calibri"/>
          <w:sz w:val="24"/>
          <w:szCs w:val="24"/>
          <w:lang w:eastAsia="pt-BR"/>
        </w:rPr>
      </w:pPr>
    </w:p>
    <w:p w14:paraId="4E6560C1" w14:textId="77777777" w:rsidR="00395593" w:rsidRPr="005C5CBD" w:rsidRDefault="00395593" w:rsidP="00F2230E">
      <w:pPr>
        <w:spacing w:after="0" w:line="240" w:lineRule="auto"/>
        <w:ind w:firstLine="10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Parágrafo único. Os elementos que demonstrem que as medidas sugeridas são suficientes para garantir a neutralização de todos os efeitos danosos causados pelos subsídios deverão ser apresentados, acompanhados de memória de cálculo e todas as explicações e justificativas necessárias para a comprovação de sua adequação. </w:t>
      </w:r>
    </w:p>
    <w:p w14:paraId="223D9CE3" w14:textId="77777777" w:rsidR="00395593" w:rsidRPr="005C5CBD" w:rsidRDefault="00395593" w:rsidP="00E15FBB">
      <w:pPr>
        <w:spacing w:after="0" w:line="240" w:lineRule="auto"/>
        <w:jc w:val="both"/>
        <w:rPr>
          <w:rFonts w:ascii="Garamond" w:eastAsia="Times New Roman" w:hAnsi="Garamond" w:cs="Calibri"/>
          <w:b/>
          <w:sz w:val="24"/>
          <w:szCs w:val="24"/>
          <w:lang w:eastAsia="pt-BR"/>
        </w:rPr>
      </w:pPr>
    </w:p>
    <w:p w14:paraId="30B882F6" w14:textId="77777777" w:rsidR="00395593" w:rsidRPr="003C53EA" w:rsidRDefault="00395593" w:rsidP="000B4A90">
      <w:pPr>
        <w:pStyle w:val="Corpodetexto"/>
        <w:jc w:val="center"/>
        <w:rPr>
          <w:rFonts w:ascii="Garamond" w:eastAsia="MS Gothic" w:hAnsi="Garamond"/>
          <w:b/>
          <w:color w:val="4F81BD"/>
          <w:lang w:eastAsia="pt-BR"/>
        </w:rPr>
      </w:pPr>
      <w:r w:rsidRPr="003C53EA">
        <w:rPr>
          <w:rFonts w:ascii="Garamond" w:eastAsia="MS Gothic" w:hAnsi="Garamond"/>
          <w:b/>
          <w:lang w:eastAsia="pt-BR"/>
        </w:rPr>
        <w:t>Subseção III</w:t>
      </w:r>
    </w:p>
    <w:p w14:paraId="3184F0AF" w14:textId="77777777" w:rsidR="00395593" w:rsidRPr="003C53EA" w:rsidRDefault="00395593" w:rsidP="000B4A90">
      <w:pPr>
        <w:pStyle w:val="Corpodetexto"/>
        <w:jc w:val="center"/>
        <w:rPr>
          <w:rFonts w:ascii="Garamond" w:eastAsia="MS Gothic" w:hAnsi="Garamond"/>
          <w:b/>
          <w:color w:val="4F81BD"/>
          <w:lang w:eastAsia="pt-BR"/>
        </w:rPr>
      </w:pPr>
      <w:r w:rsidRPr="003C53EA">
        <w:rPr>
          <w:rFonts w:ascii="Garamond" w:eastAsia="MS Gothic" w:hAnsi="Garamond"/>
          <w:b/>
          <w:lang w:eastAsia="pt-BR"/>
        </w:rPr>
        <w:t>Do monitoramento do compromisso assumido pelo governo</w:t>
      </w:r>
    </w:p>
    <w:p w14:paraId="541230D5" w14:textId="77777777" w:rsidR="00395593" w:rsidRPr="005C5CBD" w:rsidRDefault="00395593" w:rsidP="00E15FBB">
      <w:pPr>
        <w:shd w:val="clear" w:color="auto" w:fill="FFFFFF"/>
        <w:spacing w:after="0" w:line="240" w:lineRule="auto"/>
        <w:jc w:val="center"/>
        <w:rPr>
          <w:rFonts w:ascii="Garamond" w:eastAsia="Times New Roman" w:hAnsi="Garamond" w:cs="Calibri"/>
          <w:b/>
          <w:sz w:val="24"/>
          <w:szCs w:val="24"/>
          <w:lang w:eastAsia="pt-BR"/>
        </w:rPr>
      </w:pPr>
    </w:p>
    <w:p w14:paraId="58E82B40" w14:textId="77777777" w:rsidR="00395593" w:rsidRPr="005C5CBD" w:rsidRDefault="00395593" w:rsidP="001408A2">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429. </w:t>
      </w:r>
      <w:r w:rsidRPr="005C5CBD">
        <w:rPr>
          <w:rFonts w:ascii="Garamond" w:eastAsia="Times New Roman" w:hAnsi="Garamond" w:cs="Calibri"/>
          <w:sz w:val="24"/>
          <w:szCs w:val="24"/>
          <w:lang w:eastAsia="pt-BR"/>
        </w:rPr>
        <w:t>A proposta deverá informar a periodicidade com que o governo do país exportador fornecerá informações pertinentes ao cumprimento do compromisso.</w:t>
      </w:r>
    </w:p>
    <w:p w14:paraId="5DD02837" w14:textId="77777777" w:rsidR="00395593" w:rsidRPr="005C5CBD" w:rsidRDefault="00395593" w:rsidP="001408A2">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15A3AA63" w14:textId="77777777" w:rsidR="00395593" w:rsidRPr="005C5CBD" w:rsidRDefault="00395593" w:rsidP="001408A2">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430. </w:t>
      </w:r>
      <w:r w:rsidRPr="005C5CBD">
        <w:rPr>
          <w:rFonts w:ascii="Garamond" w:eastAsia="Times New Roman" w:hAnsi="Garamond" w:cs="Calibri"/>
          <w:sz w:val="24"/>
          <w:szCs w:val="24"/>
          <w:lang w:eastAsia="pt-BR"/>
        </w:rPr>
        <w:t xml:space="preserve">A proposta de compromisso realizada pelo governo do país exportador deverá conter autorização expressa para que o Subsecretaria de Defesa Comercial e Interesse Público realize verificações </w:t>
      </w:r>
      <w:r w:rsidRPr="005C5CBD">
        <w:rPr>
          <w:rFonts w:ascii="Garamond" w:eastAsia="Times New Roman" w:hAnsi="Garamond" w:cs="Calibri"/>
          <w:b/>
          <w:sz w:val="24"/>
          <w:szCs w:val="24"/>
          <w:lang w:eastAsia="pt-BR"/>
        </w:rPr>
        <w:t>in loco</w:t>
      </w:r>
      <w:r w:rsidRPr="005C5CBD">
        <w:rPr>
          <w:rFonts w:ascii="Garamond" w:eastAsia="Times New Roman" w:hAnsi="Garamond" w:cs="Calibri"/>
          <w:sz w:val="24"/>
          <w:szCs w:val="24"/>
          <w:lang w:eastAsia="pt-BR"/>
        </w:rPr>
        <w:t xml:space="preserve"> dos dados pertinentes apresentados pelo governo.</w:t>
      </w:r>
    </w:p>
    <w:p w14:paraId="42CC5ABA" w14:textId="77777777" w:rsidR="00395593" w:rsidRPr="005C5CBD" w:rsidRDefault="00395593" w:rsidP="001408A2">
      <w:pPr>
        <w:spacing w:after="0" w:line="240" w:lineRule="auto"/>
        <w:ind w:firstLineChars="100" w:firstLine="240"/>
        <w:rPr>
          <w:rFonts w:ascii="Garamond" w:eastAsia="Times New Roman" w:hAnsi="Garamond" w:cs="Calibri"/>
          <w:sz w:val="24"/>
          <w:szCs w:val="24"/>
          <w:lang w:eastAsia="pt-BR"/>
        </w:rPr>
      </w:pPr>
    </w:p>
    <w:p w14:paraId="34C16557" w14:textId="77777777" w:rsidR="00395593" w:rsidRPr="005C5CBD" w:rsidRDefault="00395593" w:rsidP="001408A2">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1º  Os procedimentos de verificação </w:t>
      </w:r>
      <w:r w:rsidRPr="005C5CBD">
        <w:rPr>
          <w:rFonts w:ascii="Garamond" w:eastAsia="Times New Roman" w:hAnsi="Garamond" w:cs="Calibri"/>
          <w:b/>
          <w:sz w:val="24"/>
          <w:szCs w:val="24"/>
          <w:lang w:eastAsia="pt-BR"/>
        </w:rPr>
        <w:t>in loco</w:t>
      </w:r>
      <w:r w:rsidRPr="005C5CBD">
        <w:rPr>
          <w:rFonts w:ascii="Garamond" w:eastAsia="Times New Roman" w:hAnsi="Garamond" w:cs="Calibri"/>
          <w:sz w:val="24"/>
          <w:szCs w:val="24"/>
          <w:lang w:eastAsia="pt-BR"/>
        </w:rPr>
        <w:t xml:space="preserve"> poderão ser estendidos aos governos subnacionais, bem como aos produtores/exportadores do país exportador. </w:t>
      </w:r>
    </w:p>
    <w:p w14:paraId="7A59974A" w14:textId="77777777" w:rsidR="00395593" w:rsidRPr="005C5CBD" w:rsidRDefault="00395593" w:rsidP="001408A2">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5A0DE62C" w14:textId="77777777" w:rsidR="00395593" w:rsidRPr="005C5CBD" w:rsidRDefault="00395593" w:rsidP="001408A2">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 2º  Caso haja subsídios investigados concedidos por governo subnacional, a proposta de compromisso deverá contar anuência expressa do governo subnacional para realização de verificações </w:t>
      </w:r>
      <w:r w:rsidRPr="005C5CBD">
        <w:rPr>
          <w:rFonts w:ascii="Garamond" w:eastAsia="Times New Roman" w:hAnsi="Garamond" w:cs="Calibri"/>
          <w:b/>
          <w:sz w:val="24"/>
          <w:szCs w:val="24"/>
          <w:lang w:eastAsia="pt-BR"/>
        </w:rPr>
        <w:t>in loco</w:t>
      </w:r>
      <w:r w:rsidRPr="005C5CBD">
        <w:rPr>
          <w:rFonts w:ascii="Garamond" w:eastAsia="Times New Roman" w:hAnsi="Garamond" w:cs="Calibri"/>
          <w:sz w:val="24"/>
          <w:szCs w:val="24"/>
          <w:lang w:eastAsia="pt-BR"/>
        </w:rPr>
        <w:t xml:space="preserve">. </w:t>
      </w:r>
    </w:p>
    <w:p w14:paraId="6243FC3A" w14:textId="77777777" w:rsidR="00395593" w:rsidRPr="005C5CBD" w:rsidRDefault="00395593" w:rsidP="001408A2">
      <w:pPr>
        <w:spacing w:after="0" w:line="240" w:lineRule="auto"/>
        <w:ind w:firstLineChars="100" w:firstLine="240"/>
        <w:rPr>
          <w:rFonts w:ascii="Garamond" w:eastAsia="Times New Roman" w:hAnsi="Garamond" w:cs="Calibri"/>
          <w:sz w:val="24"/>
          <w:szCs w:val="24"/>
          <w:lang w:eastAsia="pt-BR"/>
        </w:rPr>
      </w:pPr>
    </w:p>
    <w:p w14:paraId="65301988" w14:textId="77777777" w:rsidR="00395593" w:rsidRPr="005C5CBD" w:rsidRDefault="00395593" w:rsidP="001408A2">
      <w:pPr>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431. </w:t>
      </w:r>
      <w:r w:rsidRPr="005C5CBD">
        <w:rPr>
          <w:rFonts w:ascii="Garamond" w:eastAsia="Times New Roman" w:hAnsi="Garamond" w:cs="Calibri"/>
          <w:sz w:val="24"/>
          <w:szCs w:val="24"/>
          <w:lang w:eastAsia="pt-BR"/>
        </w:rPr>
        <w:t xml:space="preserve">Os governos do país exportador que propuserem compromisso deverão se comprometer expressamente a apresentar, para fins de prestação de contas e monitoramento, explicações e elementos de prova comprovando a efetividade das medidas governamentais adotadas para neutralizar os subsídios cobertos pelo compromisso proposto. </w:t>
      </w:r>
    </w:p>
    <w:p w14:paraId="015055CB"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p>
    <w:p w14:paraId="01F808FE" w14:textId="6FD25526" w:rsidR="00395593" w:rsidRPr="003C53EA" w:rsidRDefault="00395593" w:rsidP="000B4A90">
      <w:pPr>
        <w:pStyle w:val="Corpodetexto"/>
        <w:jc w:val="center"/>
        <w:rPr>
          <w:rFonts w:ascii="Garamond" w:eastAsia="MS Gothic" w:hAnsi="Garamond"/>
          <w:b/>
          <w:color w:val="4F81BD"/>
          <w:lang w:eastAsia="pt-BR"/>
        </w:rPr>
      </w:pPr>
      <w:r w:rsidRPr="003C53EA">
        <w:rPr>
          <w:rFonts w:ascii="Garamond" w:eastAsia="MS Gothic" w:hAnsi="Garamond"/>
          <w:b/>
          <w:lang w:eastAsia="pt-BR"/>
        </w:rPr>
        <w:t>Subseção IV</w:t>
      </w:r>
    </w:p>
    <w:p w14:paraId="237DAD40" w14:textId="77777777" w:rsidR="00395593" w:rsidRPr="003C53EA" w:rsidRDefault="00395593" w:rsidP="000B4A90">
      <w:pPr>
        <w:pStyle w:val="Corpodetexto"/>
        <w:jc w:val="center"/>
        <w:rPr>
          <w:rFonts w:ascii="Garamond" w:eastAsia="MS Gothic" w:hAnsi="Garamond"/>
          <w:b/>
          <w:color w:val="4F81BD"/>
          <w:lang w:eastAsia="pt-BR"/>
        </w:rPr>
      </w:pPr>
      <w:r w:rsidRPr="003C53EA">
        <w:rPr>
          <w:rFonts w:ascii="Garamond" w:eastAsia="MS Gothic" w:hAnsi="Garamond"/>
          <w:b/>
          <w:lang w:eastAsia="pt-BR"/>
        </w:rPr>
        <w:t>Das violações do compromisso assumido pelo governo</w:t>
      </w:r>
    </w:p>
    <w:p w14:paraId="276C3F56" w14:textId="77777777" w:rsidR="00395593" w:rsidRPr="005C5CBD" w:rsidRDefault="00395593" w:rsidP="00E15FBB">
      <w:pPr>
        <w:shd w:val="clear" w:color="auto" w:fill="FFFFFF"/>
        <w:spacing w:after="0" w:line="240" w:lineRule="auto"/>
        <w:jc w:val="center"/>
        <w:rPr>
          <w:rFonts w:ascii="Garamond" w:eastAsia="Times New Roman" w:hAnsi="Garamond" w:cs="Calibri"/>
          <w:b/>
          <w:sz w:val="24"/>
          <w:szCs w:val="24"/>
          <w:lang w:eastAsia="pt-BR"/>
        </w:rPr>
      </w:pPr>
    </w:p>
    <w:p w14:paraId="7EC69194" w14:textId="77777777" w:rsidR="00395593" w:rsidRPr="005C5CBD" w:rsidRDefault="00395593" w:rsidP="001408A2">
      <w:pPr>
        <w:shd w:val="clear" w:color="auto" w:fill="FFFFFF"/>
        <w:spacing w:after="0" w:line="240" w:lineRule="auto"/>
        <w:ind w:firstLineChars="100" w:firstLine="240"/>
        <w:jc w:val="both"/>
        <w:rPr>
          <w:rFonts w:ascii="Garamond" w:eastAsia="Times New Roman" w:hAnsi="Garamond" w:cs="Calibri"/>
          <w:sz w:val="24"/>
          <w:szCs w:val="24"/>
          <w:lang w:eastAsia="pt-BR"/>
        </w:rPr>
      </w:pPr>
      <w:r w:rsidRPr="005C5CBD">
        <w:rPr>
          <w:rFonts w:ascii="Garamond" w:eastAsia="Calibri" w:hAnsi="Garamond" w:cs="Calibri"/>
          <w:sz w:val="24"/>
          <w:szCs w:val="24"/>
          <w:lang w:eastAsia="pt-BR"/>
        </w:rPr>
        <w:t xml:space="preserve">Art. 432. </w:t>
      </w:r>
      <w:r w:rsidRPr="005C5CBD">
        <w:rPr>
          <w:rFonts w:ascii="Garamond" w:eastAsia="Times New Roman" w:hAnsi="Garamond" w:cs="Calibri"/>
          <w:sz w:val="24"/>
          <w:szCs w:val="24"/>
          <w:lang w:eastAsia="pt-BR"/>
        </w:rPr>
        <w:t>O governo que propuser compromisso deverá se comprometer expressamente a:</w:t>
      </w:r>
    </w:p>
    <w:p w14:paraId="22CBE054" w14:textId="77777777" w:rsidR="00395593" w:rsidRPr="005C5CBD" w:rsidRDefault="00395593" w:rsidP="001408A2">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0269B4A3" w14:textId="77777777" w:rsidR="00395593" w:rsidRPr="005C5CBD" w:rsidRDefault="00395593" w:rsidP="001408A2">
      <w:pPr>
        <w:spacing w:after="0" w:line="240" w:lineRule="auto"/>
        <w:ind w:firstLineChars="100" w:firstLine="240"/>
        <w:contextualSpacing/>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 - não adotar medidas que frustrem a eliminação ou limitação dos subsídios à exportação e à produção (domésticos), ou adoção de medidas relativas à neutralização de todos os seus efeitos danosos;</w:t>
      </w:r>
    </w:p>
    <w:p w14:paraId="2C437495" w14:textId="77777777" w:rsidR="00395593" w:rsidRPr="005C5CBD" w:rsidRDefault="00395593" w:rsidP="001408A2">
      <w:pPr>
        <w:shd w:val="clear" w:color="auto" w:fill="FFFFFF"/>
        <w:spacing w:after="0" w:line="240" w:lineRule="auto"/>
        <w:ind w:firstLineChars="100" w:firstLine="240"/>
        <w:contextualSpacing/>
        <w:jc w:val="both"/>
        <w:rPr>
          <w:rFonts w:ascii="Garamond" w:eastAsia="Times New Roman" w:hAnsi="Garamond" w:cs="Calibri"/>
          <w:sz w:val="24"/>
          <w:szCs w:val="24"/>
          <w:lang w:eastAsia="pt-BR"/>
        </w:rPr>
      </w:pPr>
    </w:p>
    <w:p w14:paraId="32DC47C8" w14:textId="77777777" w:rsidR="00395593" w:rsidRPr="005C5CBD" w:rsidRDefault="00395593" w:rsidP="001408A2">
      <w:pPr>
        <w:shd w:val="clear" w:color="auto" w:fill="FFFFFF"/>
        <w:spacing w:after="0" w:line="240" w:lineRule="auto"/>
        <w:ind w:firstLineChars="100" w:firstLine="240"/>
        <w:contextualSpacing/>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 - evitar que as empresas produtoras/exportadoras se envolvam em práticas de circunvenção;</w:t>
      </w:r>
    </w:p>
    <w:p w14:paraId="47BA915B" w14:textId="77777777" w:rsidR="00395593" w:rsidRPr="005C5CBD" w:rsidRDefault="00395593" w:rsidP="001408A2">
      <w:pPr>
        <w:shd w:val="clear" w:color="auto" w:fill="FFFFFF"/>
        <w:spacing w:after="0" w:line="240" w:lineRule="auto"/>
        <w:ind w:firstLineChars="100" w:firstLine="240"/>
        <w:contextualSpacing/>
        <w:jc w:val="both"/>
        <w:rPr>
          <w:rFonts w:ascii="Garamond" w:eastAsia="Times New Roman" w:hAnsi="Garamond" w:cs="Calibri"/>
          <w:sz w:val="24"/>
          <w:szCs w:val="24"/>
          <w:lang w:eastAsia="pt-BR"/>
        </w:rPr>
      </w:pPr>
    </w:p>
    <w:p w14:paraId="5B6737C2" w14:textId="77777777" w:rsidR="00395593" w:rsidRPr="005C5CBD" w:rsidRDefault="00395593" w:rsidP="001408A2">
      <w:pPr>
        <w:shd w:val="clear" w:color="auto" w:fill="FFFFFF"/>
        <w:spacing w:after="0" w:line="240" w:lineRule="auto"/>
        <w:ind w:firstLineChars="100" w:firstLine="240"/>
        <w:contextualSpacing/>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III - evitar que as empresas produtoras exportadoras apresentem descrições enganosas ou falsas das quantidades, características ou qualidades de qualquer venda do produto em questão; e,</w:t>
      </w:r>
    </w:p>
    <w:p w14:paraId="21D2F64E" w14:textId="77777777" w:rsidR="00395593" w:rsidRPr="005C5CBD" w:rsidRDefault="00395593" w:rsidP="001408A2">
      <w:pPr>
        <w:shd w:val="clear" w:color="auto" w:fill="FFFFFF"/>
        <w:spacing w:after="0" w:line="240" w:lineRule="auto"/>
        <w:ind w:firstLineChars="100" w:firstLine="240"/>
        <w:jc w:val="both"/>
        <w:rPr>
          <w:rFonts w:ascii="Garamond" w:eastAsia="Times New Roman" w:hAnsi="Garamond" w:cs="Calibri"/>
          <w:sz w:val="24"/>
          <w:szCs w:val="24"/>
          <w:lang w:eastAsia="pt-BR"/>
        </w:rPr>
      </w:pPr>
    </w:p>
    <w:p w14:paraId="353FC63C" w14:textId="77777777" w:rsidR="00395593" w:rsidRPr="005C5CBD" w:rsidRDefault="00395593" w:rsidP="001408A2">
      <w:pPr>
        <w:shd w:val="clear" w:color="auto" w:fill="FFFFFF"/>
        <w:spacing w:after="0" w:line="240" w:lineRule="auto"/>
        <w:ind w:firstLineChars="100" w:firstLine="240"/>
        <w:contextualSpacing/>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IV - não subsidiar, direta ou indiretamente, o produto objeto do compromisso por outros instrumentos, não investigados anteriormente.</w:t>
      </w:r>
    </w:p>
    <w:p w14:paraId="6AA4B29A" w14:textId="77777777" w:rsidR="00395593" w:rsidRPr="005C5CBD" w:rsidRDefault="00395593" w:rsidP="001408A2">
      <w:pPr>
        <w:spacing w:after="0" w:line="240" w:lineRule="auto"/>
        <w:ind w:firstLineChars="100" w:firstLine="240"/>
        <w:jc w:val="both"/>
        <w:rPr>
          <w:rFonts w:ascii="Garamond" w:eastAsia="Times New Roman" w:hAnsi="Garamond" w:cs="Calibri"/>
          <w:sz w:val="24"/>
          <w:szCs w:val="24"/>
          <w:lang w:eastAsia="pt-BR"/>
        </w:rPr>
      </w:pPr>
    </w:p>
    <w:p w14:paraId="4B64B0BC" w14:textId="77777777" w:rsidR="00395593" w:rsidRPr="005C5CBD" w:rsidRDefault="00395593" w:rsidP="001408A2">
      <w:pPr>
        <w:spacing w:before="6" w:after="283" w:line="240" w:lineRule="auto"/>
        <w:ind w:firstLineChars="100" w:firstLine="240"/>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xml:space="preserve">Parágrafo único. Havendo indícios de violação aos termos do compromisso pelo governo, com base em evidências fornecidas por partes interessadas ou obtidas de ofício pela autoridade investigadora, será dada oportunidade para que o governo se manifeste. </w:t>
      </w:r>
    </w:p>
    <w:p w14:paraId="70DD00A0" w14:textId="77777777" w:rsidR="00395593" w:rsidRPr="003C53EA" w:rsidRDefault="00395593" w:rsidP="000B4A90">
      <w:pPr>
        <w:pStyle w:val="Corpodetexto"/>
        <w:jc w:val="center"/>
        <w:rPr>
          <w:b/>
          <w:lang w:eastAsia="pt-BR"/>
        </w:rPr>
      </w:pPr>
      <w:r w:rsidRPr="003C53EA">
        <w:rPr>
          <w:b/>
          <w:lang w:eastAsia="pt-BR"/>
        </w:rPr>
        <w:t>CAPÍTULO XII</w:t>
      </w:r>
    </w:p>
    <w:p w14:paraId="696DDC47" w14:textId="77777777" w:rsidR="00395593" w:rsidRPr="003C53EA" w:rsidRDefault="00395593" w:rsidP="000B4A90">
      <w:pPr>
        <w:pStyle w:val="Corpodetexto"/>
        <w:jc w:val="center"/>
        <w:rPr>
          <w:b/>
          <w:lang w:eastAsia="pt-BR"/>
        </w:rPr>
      </w:pPr>
      <w:r w:rsidRPr="003C53EA">
        <w:rPr>
          <w:b/>
          <w:lang w:eastAsia="pt-BR"/>
        </w:rPr>
        <w:t>DAS DISPOSIÇÕES FINAIS</w:t>
      </w:r>
    </w:p>
    <w:p w14:paraId="36A88E33" w14:textId="77777777" w:rsidR="00395593" w:rsidRPr="005C5CBD" w:rsidRDefault="00395593" w:rsidP="00E15FBB">
      <w:pPr>
        <w:spacing w:after="0" w:line="240" w:lineRule="auto"/>
        <w:jc w:val="both"/>
        <w:rPr>
          <w:rFonts w:ascii="Garamond" w:eastAsia="Calibri" w:hAnsi="Garamond" w:cs="Calibri"/>
          <w:sz w:val="24"/>
          <w:szCs w:val="24"/>
        </w:rPr>
      </w:pPr>
    </w:p>
    <w:p w14:paraId="7B63FE69" w14:textId="77777777" w:rsidR="00395593" w:rsidRPr="005C5CBD" w:rsidRDefault="00395593" w:rsidP="001408A2">
      <w:pPr>
        <w:spacing w:after="0" w:line="240" w:lineRule="auto"/>
        <w:ind w:firstLine="567"/>
        <w:jc w:val="both"/>
        <w:rPr>
          <w:rFonts w:ascii="Garamond" w:eastAsia="Calibri" w:hAnsi="Garamond" w:cs="Calibri"/>
          <w:sz w:val="24"/>
          <w:szCs w:val="24"/>
        </w:rPr>
      </w:pPr>
      <w:bookmarkStart w:id="152" w:name="_Hlk91162186"/>
      <w:r w:rsidRPr="005C5CBD">
        <w:rPr>
          <w:rFonts w:ascii="Garamond" w:eastAsia="Calibri" w:hAnsi="Garamond" w:cs="Calibri"/>
          <w:sz w:val="24"/>
          <w:szCs w:val="24"/>
        </w:rPr>
        <w:t xml:space="preserve">Art. 433. Nos termos do art. 18 da Lei nº 12.995, de 18 de junho de 2014, </w:t>
      </w:r>
      <w:r w:rsidRPr="005C5CBD">
        <w:rPr>
          <w:rFonts w:ascii="Garamond" w:eastAsia="Calibri" w:hAnsi="Garamond" w:cs="Calibri"/>
          <w:color w:val="000000"/>
          <w:sz w:val="24"/>
          <w:szCs w:val="24"/>
        </w:rPr>
        <w:t xml:space="preserve">para fins das investigações de subsídios acionáveis, poderão ser incorporados aos autos do processo documentos elaborados nos idiomas oficiais da Organização Mundial do Comércio, e, no caso de documentos </w:t>
      </w:r>
      <w:r w:rsidRPr="005C5CBD">
        <w:rPr>
          <w:rFonts w:ascii="Garamond" w:eastAsia="Calibri" w:hAnsi="Garamond" w:cs="Calibri"/>
          <w:sz w:val="24"/>
          <w:szCs w:val="24"/>
        </w:rPr>
        <w:t>elaborados em idiomas estrangeiros para os quais não haja tradutor público no Brasil, serão aceitas traduções para o idioma português efetuadas pela representação oficial do país exportador no Brasil, desde que acompanhadas de comunicação oficial atestando a autoria da tradução.</w:t>
      </w:r>
    </w:p>
    <w:p w14:paraId="4623F1B6" w14:textId="77777777" w:rsidR="00395593" w:rsidRPr="005C5CBD" w:rsidRDefault="00395593" w:rsidP="00E15FBB">
      <w:pPr>
        <w:spacing w:after="0" w:line="240" w:lineRule="auto"/>
        <w:jc w:val="both"/>
        <w:rPr>
          <w:rFonts w:ascii="Garamond" w:eastAsia="Calibri" w:hAnsi="Garamond" w:cs="Calibri"/>
          <w:sz w:val="24"/>
          <w:szCs w:val="24"/>
        </w:rPr>
      </w:pPr>
    </w:p>
    <w:p w14:paraId="6BFCBEC9"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 1º Respeitado o previsto no </w:t>
      </w:r>
      <w:r w:rsidRPr="005C5CBD">
        <w:rPr>
          <w:rFonts w:ascii="Garamond" w:eastAsia="Calibri" w:hAnsi="Garamond" w:cs="Calibri"/>
          <w:b/>
          <w:bCs/>
          <w:sz w:val="24"/>
          <w:szCs w:val="24"/>
        </w:rPr>
        <w:t>caput</w:t>
      </w:r>
      <w:r w:rsidRPr="005C5CBD">
        <w:rPr>
          <w:rFonts w:ascii="Garamond" w:eastAsia="Calibri" w:hAnsi="Garamond" w:cs="Calibri"/>
          <w:sz w:val="24"/>
          <w:szCs w:val="24"/>
        </w:rPr>
        <w:t xml:space="preserve"> deste artigo e a critério da Subsecretaria de Defesa Comercial e Interesse Público, serão igualmente aceitas nos autos restritos das investigações de subsídios acionáveis:</w:t>
      </w:r>
    </w:p>
    <w:p w14:paraId="5A3025E5"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042AAC38"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color w:val="000000"/>
          <w:sz w:val="24"/>
          <w:szCs w:val="24"/>
        </w:rPr>
        <w:t xml:space="preserve">I - </w:t>
      </w:r>
      <w:r w:rsidRPr="005C5CBD">
        <w:rPr>
          <w:rFonts w:ascii="Garamond" w:eastAsia="Calibri" w:hAnsi="Garamond" w:cs="Calibri"/>
          <w:sz w:val="24"/>
          <w:szCs w:val="24"/>
        </w:rPr>
        <w:t>traduções para o idioma português efetuadas pela representação oficial do país exportador no Brasil, considerado o país de origem ou de exportação que é parte interessada em processo de defesa comercial, ou pelo próprio representante legal da parte interessada que a apresentar, desde que acompanhadas de comunicação oficial atestando a autoria, fidedignidade e exatidão da tradução; e</w:t>
      </w:r>
    </w:p>
    <w:p w14:paraId="741D94A4"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2DDC4F8A"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II - documentação nos idiomas oficiais da Organização Mundial do Comércio obtida diretamente de sítio governamental oficial ou outras fontes fiáveis e isentas, como bancos de textos legais ou o sítio eletrônico da Organização Mundial do Comércio; </w:t>
      </w:r>
    </w:p>
    <w:p w14:paraId="77E433A0"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089D80CE"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2º  No caso de documentos elaborados em idiomas estrangeiros para os quais não haja tradutor público no Brasil, serão aceitas nos autos confidenciais e restritos traduções para o idioma português efetuadas pela representação oficial do país exportador no Brasil, considerado o país de origem ou de exportação que é parte interessada em processo de defesa comercial, desde que acompanhadas de comunicação oficial atestando a autoria, fidedignidade e exatidão da tradução;</w:t>
      </w:r>
    </w:p>
    <w:p w14:paraId="1D632618"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7FB93697"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3º  As submissões realizadas com base no § 1º deverão, sob risco de não aceitação:</w:t>
      </w:r>
    </w:p>
    <w:p w14:paraId="7F7030D1"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0E0DCCC5"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ser anexadas aos autos restritos da investigação, de modo a permitir o contraditório das demais partes interessadas;</w:t>
      </w:r>
    </w:p>
    <w:p w14:paraId="42756B5F"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2DA4F221"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indicar de forma clara e verificável as fontes da documentação apresentada; e</w:t>
      </w:r>
    </w:p>
    <w:p w14:paraId="2BE9B4EE"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3FCED93D"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III - ser acompanhadas do inteiro teor do documento em sua língua original em formato digital pesquisável e editável, com uso de reconhecimento de caracteres, de forma que seja passível de análise facilitada pelas demais partes interessadas.</w:t>
      </w:r>
    </w:p>
    <w:p w14:paraId="7D70DDA3" w14:textId="77777777" w:rsidR="00395593" w:rsidRPr="005C5CBD" w:rsidRDefault="00395593" w:rsidP="00636917">
      <w:pPr>
        <w:spacing w:after="0" w:line="240" w:lineRule="auto"/>
        <w:ind w:firstLine="567"/>
        <w:jc w:val="both"/>
        <w:rPr>
          <w:rFonts w:ascii="Garamond" w:eastAsia="Times New Roman" w:hAnsi="Garamond" w:cs="Calibri"/>
          <w:sz w:val="24"/>
          <w:szCs w:val="24"/>
          <w:lang w:eastAsia="pt-BR"/>
        </w:rPr>
      </w:pPr>
    </w:p>
    <w:p w14:paraId="6DF3A64E"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4º Será presumida a conformidade dos documentos submetidos com base neste artigo, sendo que a Subsecretaria</w:t>
      </w:r>
      <w:r w:rsidRPr="005C5CBD">
        <w:rPr>
          <w:rFonts w:ascii="Garamond" w:eastAsia="Calibri" w:hAnsi="Garamond" w:cs="Calibri"/>
          <w:spacing w:val="-11"/>
          <w:sz w:val="24"/>
          <w:szCs w:val="24"/>
        </w:rPr>
        <w:t xml:space="preserve"> </w:t>
      </w:r>
      <w:r w:rsidRPr="005C5CBD">
        <w:rPr>
          <w:rFonts w:ascii="Garamond" w:eastAsia="Calibri" w:hAnsi="Garamond" w:cs="Calibri"/>
          <w:sz w:val="24"/>
          <w:szCs w:val="24"/>
        </w:rPr>
        <w:t>de</w:t>
      </w:r>
      <w:r w:rsidRPr="005C5CBD">
        <w:rPr>
          <w:rFonts w:ascii="Garamond" w:eastAsia="Calibri" w:hAnsi="Garamond" w:cs="Calibri"/>
          <w:spacing w:val="-12"/>
          <w:sz w:val="24"/>
          <w:szCs w:val="24"/>
        </w:rPr>
        <w:t xml:space="preserve"> </w:t>
      </w:r>
      <w:r w:rsidRPr="005C5CBD">
        <w:rPr>
          <w:rFonts w:ascii="Garamond" w:eastAsia="Calibri" w:hAnsi="Garamond" w:cs="Calibri"/>
          <w:sz w:val="24"/>
          <w:szCs w:val="24"/>
        </w:rPr>
        <w:t>Defesa</w:t>
      </w:r>
      <w:r w:rsidRPr="005C5CBD">
        <w:rPr>
          <w:rFonts w:ascii="Garamond" w:eastAsia="Calibri" w:hAnsi="Garamond" w:cs="Calibri"/>
          <w:spacing w:val="-11"/>
          <w:sz w:val="24"/>
          <w:szCs w:val="24"/>
        </w:rPr>
        <w:t xml:space="preserve"> </w:t>
      </w:r>
      <w:r w:rsidRPr="005C5CBD">
        <w:rPr>
          <w:rFonts w:ascii="Garamond" w:eastAsia="Calibri" w:hAnsi="Garamond" w:cs="Calibri"/>
          <w:sz w:val="24"/>
          <w:szCs w:val="24"/>
        </w:rPr>
        <w:t>Comercial</w:t>
      </w:r>
      <w:r w:rsidRPr="005C5CBD">
        <w:rPr>
          <w:rFonts w:ascii="Garamond" w:eastAsia="Calibri" w:hAnsi="Garamond" w:cs="Calibri"/>
          <w:spacing w:val="-10"/>
          <w:sz w:val="24"/>
          <w:szCs w:val="24"/>
        </w:rPr>
        <w:t xml:space="preserve"> </w:t>
      </w:r>
      <w:r w:rsidRPr="005C5CBD">
        <w:rPr>
          <w:rFonts w:ascii="Garamond" w:eastAsia="Calibri" w:hAnsi="Garamond" w:cs="Calibri"/>
          <w:sz w:val="24"/>
          <w:szCs w:val="24"/>
        </w:rPr>
        <w:t>e</w:t>
      </w:r>
      <w:r w:rsidRPr="005C5CBD">
        <w:rPr>
          <w:rFonts w:ascii="Garamond" w:eastAsia="Calibri" w:hAnsi="Garamond" w:cs="Calibri"/>
          <w:spacing w:val="-10"/>
          <w:sz w:val="24"/>
          <w:szCs w:val="24"/>
        </w:rPr>
        <w:t xml:space="preserve"> </w:t>
      </w:r>
      <w:r w:rsidRPr="005C5CBD">
        <w:rPr>
          <w:rFonts w:ascii="Garamond" w:eastAsia="Calibri" w:hAnsi="Garamond" w:cs="Calibri"/>
          <w:sz w:val="24"/>
          <w:szCs w:val="24"/>
        </w:rPr>
        <w:t>Interesse</w:t>
      </w:r>
      <w:r w:rsidRPr="005C5CBD">
        <w:rPr>
          <w:rFonts w:ascii="Garamond" w:eastAsia="Calibri" w:hAnsi="Garamond" w:cs="Calibri"/>
          <w:spacing w:val="-11"/>
          <w:sz w:val="24"/>
          <w:szCs w:val="24"/>
        </w:rPr>
        <w:t xml:space="preserve"> </w:t>
      </w:r>
      <w:r w:rsidRPr="005C5CBD">
        <w:rPr>
          <w:rFonts w:ascii="Garamond" w:eastAsia="Calibri" w:hAnsi="Garamond" w:cs="Calibri"/>
          <w:sz w:val="24"/>
          <w:szCs w:val="24"/>
        </w:rPr>
        <w:t>Público ou qualquer parte interessada podem impugnar as submissões em decorrência de:</w:t>
      </w:r>
    </w:p>
    <w:p w14:paraId="373FF459"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2B8DD778"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 - descumprimento dos requisitos formais apontados neste artigo; ou</w:t>
      </w:r>
    </w:p>
    <w:p w14:paraId="7B8FE7F6"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5AC2D29C"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II - ausência de fidedignidade ou inexatidão dos documentos apresentados, desde que devidamente justificada e acompanhada dos elementos de prova necessários.</w:t>
      </w:r>
    </w:p>
    <w:p w14:paraId="7F168974" w14:textId="77777777" w:rsidR="00395593" w:rsidRPr="005C5CBD" w:rsidRDefault="00395593" w:rsidP="00636917">
      <w:pPr>
        <w:spacing w:after="0" w:line="240" w:lineRule="auto"/>
        <w:ind w:firstLine="567"/>
        <w:jc w:val="both"/>
        <w:rPr>
          <w:rFonts w:ascii="Garamond" w:eastAsia="Times New Roman" w:hAnsi="Garamond" w:cs="Calibri"/>
          <w:sz w:val="24"/>
          <w:szCs w:val="24"/>
          <w:lang w:eastAsia="pt-BR"/>
        </w:rPr>
      </w:pPr>
    </w:p>
    <w:p w14:paraId="1EA41EBB" w14:textId="77777777" w:rsidR="00395593" w:rsidRPr="005C5CBD" w:rsidRDefault="00395593" w:rsidP="00636917">
      <w:pPr>
        <w:spacing w:after="0" w:line="240" w:lineRule="auto"/>
        <w:ind w:firstLine="567"/>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 5º Constatada não fidedignidade ou inexatidão nas informações prestadas ou contidas nos documentos apresentados à Subsecretaria de Defesa Comercial e Interesse Público, a parte interessada será instada a apresentar tradução firmada por tradutor público no Brasil, sob pena de utilização da melhor informação disponível nos autos.</w:t>
      </w:r>
    </w:p>
    <w:p w14:paraId="193B9B84" w14:textId="77777777" w:rsidR="00395593" w:rsidRPr="005C5CBD" w:rsidRDefault="00395593" w:rsidP="00636917">
      <w:pPr>
        <w:spacing w:after="0" w:line="240" w:lineRule="auto"/>
        <w:ind w:firstLine="567"/>
        <w:rPr>
          <w:rFonts w:ascii="Garamond" w:eastAsia="Times New Roman" w:hAnsi="Garamond" w:cs="Times New Roman"/>
          <w:sz w:val="20"/>
          <w:szCs w:val="20"/>
          <w:lang w:eastAsia="pt-BR"/>
        </w:rPr>
      </w:pPr>
    </w:p>
    <w:p w14:paraId="1EC9D78B" w14:textId="77777777" w:rsidR="00395593" w:rsidRPr="005C5CBD" w:rsidRDefault="00395593" w:rsidP="00636917">
      <w:pPr>
        <w:spacing w:after="0" w:line="240" w:lineRule="auto"/>
        <w:ind w:firstLine="567"/>
        <w:jc w:val="both"/>
        <w:rPr>
          <w:rFonts w:ascii="Garamond" w:eastAsia="Calibri" w:hAnsi="Garamond" w:cs="Times New Roman"/>
          <w:sz w:val="21"/>
          <w:szCs w:val="21"/>
        </w:rPr>
      </w:pPr>
      <w:r w:rsidRPr="005C5CBD">
        <w:rPr>
          <w:rFonts w:ascii="Garamond" w:eastAsia="Calibri" w:hAnsi="Garamond" w:cs="Calibri"/>
          <w:sz w:val="24"/>
          <w:szCs w:val="24"/>
        </w:rPr>
        <w:t>§ 6º Constatado dolo na utilização inadequada do previsto no §1º, será utilizada a melhor informação disponível, e as partes interessadas e seus representantes legais poderão ser responsabilizadas perante as esferas administrativa e cível e criminal.</w:t>
      </w:r>
    </w:p>
    <w:bookmarkEnd w:id="152"/>
    <w:p w14:paraId="405EB900"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0CEC161C"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434. Os prazos previstos nesta Portaria serão contabilizados em dias corridos, incluído o dia do vencimento.</w:t>
      </w:r>
    </w:p>
    <w:p w14:paraId="5818F33B"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50380E13"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Na hipótese de o vencimento ocorrer em dia não útil ou de o expediente ser encerrado antes da hora normal, o prazo será prorrogado até o primeiro dia útil seguinte.</w:t>
      </w:r>
    </w:p>
    <w:p w14:paraId="1180E179" w14:textId="77777777" w:rsidR="00395593" w:rsidRPr="005C5CBD" w:rsidRDefault="00395593" w:rsidP="00E15FBB">
      <w:pPr>
        <w:spacing w:after="0" w:line="240" w:lineRule="auto"/>
        <w:jc w:val="both"/>
        <w:rPr>
          <w:rFonts w:ascii="Garamond" w:eastAsia="Calibri" w:hAnsi="Garamond" w:cs="Calibri"/>
          <w:sz w:val="24"/>
          <w:szCs w:val="24"/>
        </w:rPr>
      </w:pPr>
    </w:p>
    <w:p w14:paraId="18568805"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435. Será presumido que os exportadores ou os produtores estrangeiros e os governos tenham ciência de questionário enviado pela Subsecretaria de Defesa Comercial e Interesse Público da Secretaria de Comércio Exterior no prazo de dez dias, contado da data de envio ou transmissão.</w:t>
      </w:r>
    </w:p>
    <w:p w14:paraId="4AACEFF9"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677EFA39"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1º  Com relação aos documentos transmitidos eletronicamente, a Subsecretaria de Defesa Comercial e Interesse Público do Ministério da Economia presumirá que as partes interessadas destes terão ciência 3 (três) dias após a data de sua transmissão, conforme disposto no art. 19 da Lei nº 12.995, de 2014.</w:t>
      </w:r>
    </w:p>
    <w:p w14:paraId="0D524396"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27F79408"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436.  A contagem de prazos começa no primeiro dia útil subsequente à data de publicação do ato ou, quando houver, de expedição da correspondência.</w:t>
      </w:r>
    </w:p>
    <w:p w14:paraId="5FF6B5C5"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16A82F9E"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437.  Os prazos estabelecidos em meses serão contados de data a data.</w:t>
      </w:r>
    </w:p>
    <w:p w14:paraId="4D378D33"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6730BE55"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Parágrafo único.  Se no mês do vencimento não houver o dia equivalente àquele do início do prazo, considera-se como termo o último dia do mês.</w:t>
      </w:r>
    </w:p>
    <w:p w14:paraId="5402B6CB"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072B6384"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438.  Os pedidos de prorrogação, quando admitidos, só poderão ser conhecidos se apresentados antes do vencimento do prazo original.</w:t>
      </w:r>
    </w:p>
    <w:p w14:paraId="2695634C"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4C0F11C2"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 xml:space="preserve">Parágrafo único. Na hipótese prevista no </w:t>
      </w:r>
      <w:r w:rsidRPr="005C5CBD">
        <w:rPr>
          <w:rFonts w:ascii="Garamond" w:eastAsia="Calibri" w:hAnsi="Garamond" w:cs="Calibri"/>
          <w:b/>
          <w:bCs/>
          <w:sz w:val="24"/>
          <w:szCs w:val="24"/>
        </w:rPr>
        <w:t>caput</w:t>
      </w:r>
      <w:r w:rsidRPr="005C5CBD">
        <w:rPr>
          <w:rFonts w:ascii="Garamond" w:eastAsia="Calibri" w:hAnsi="Garamond" w:cs="Calibri"/>
          <w:sz w:val="24"/>
          <w:szCs w:val="24"/>
        </w:rPr>
        <w:t>, o primeiro dia do prazo prorrogado será o dia subsequente ao do vencimento do prazo original.</w:t>
      </w:r>
    </w:p>
    <w:p w14:paraId="79290D53"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36F11ECA"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439. O prazo total resulta do prazo original acrescido do prazo de prorrogação, contado interruptamente.</w:t>
      </w:r>
    </w:p>
    <w:p w14:paraId="5B370C1D"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69D8A17B"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440. Em conformidade com o disposto no art. 189 do Decreto nº 10.839, de 2021, a Subsecretaria de Defesa Comercial e Interesse Público poderá prorrogar, uma vez por igual período, os prazos estabelecidos nesta Portaria, exceto aqueles em que a sua prorrogação ou a sua proibição já estejam previstos.</w:t>
      </w:r>
    </w:p>
    <w:p w14:paraId="36B7C992"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43BCB05E"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441. Fica revogada a Circular SECEX nº 20, de 2 de abril de 1996.</w:t>
      </w:r>
    </w:p>
    <w:p w14:paraId="38C6E72E" w14:textId="77777777" w:rsidR="00395593" w:rsidRPr="005C5CBD" w:rsidRDefault="00395593" w:rsidP="00636917">
      <w:pPr>
        <w:spacing w:after="0" w:line="240" w:lineRule="auto"/>
        <w:ind w:firstLine="567"/>
        <w:jc w:val="both"/>
        <w:rPr>
          <w:rFonts w:ascii="Garamond" w:eastAsia="Calibri" w:hAnsi="Garamond" w:cs="Calibri"/>
          <w:sz w:val="24"/>
          <w:szCs w:val="24"/>
        </w:rPr>
      </w:pPr>
    </w:p>
    <w:p w14:paraId="419FB22B" w14:textId="77777777" w:rsidR="00395593" w:rsidRPr="005C5CBD" w:rsidRDefault="00395593" w:rsidP="00636917">
      <w:pPr>
        <w:spacing w:after="0" w:line="240" w:lineRule="auto"/>
        <w:ind w:firstLine="567"/>
        <w:jc w:val="both"/>
        <w:rPr>
          <w:rFonts w:ascii="Garamond" w:eastAsia="Calibri" w:hAnsi="Garamond" w:cs="Calibri"/>
          <w:sz w:val="24"/>
          <w:szCs w:val="24"/>
        </w:rPr>
      </w:pPr>
      <w:r w:rsidRPr="005C5CBD">
        <w:rPr>
          <w:rFonts w:ascii="Garamond" w:eastAsia="Calibri" w:hAnsi="Garamond" w:cs="Calibri"/>
          <w:sz w:val="24"/>
          <w:szCs w:val="24"/>
        </w:rPr>
        <w:t>Art. 442. Esta Portaria entra em vigor no dia 16 de fevereiro de 2022.</w:t>
      </w:r>
    </w:p>
    <w:p w14:paraId="2682E906" w14:textId="77777777" w:rsidR="00E15FBB" w:rsidRPr="005C5CBD" w:rsidRDefault="00E15FBB" w:rsidP="00E15FBB">
      <w:pPr>
        <w:spacing w:after="0" w:line="240" w:lineRule="auto"/>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br/>
      </w:r>
    </w:p>
    <w:p w14:paraId="07325703" w14:textId="77777777" w:rsidR="00E15FBB" w:rsidRPr="005C5CBD" w:rsidRDefault="00E15FBB" w:rsidP="00E15FBB">
      <w:pPr>
        <w:spacing w:after="0" w:line="240" w:lineRule="auto"/>
        <w:jc w:val="both"/>
        <w:rPr>
          <w:rFonts w:ascii="Garamond" w:eastAsia="Calibri" w:hAnsi="Garamond" w:cs="Calibri"/>
          <w:sz w:val="24"/>
          <w:szCs w:val="24"/>
        </w:rPr>
        <w:sectPr w:rsidR="00E15FBB" w:rsidRPr="005C5CBD" w:rsidSect="00E15FBB">
          <w:footerReference w:type="default" r:id="rId242"/>
          <w:footerReference w:type="first" r:id="rId243"/>
          <w:pgSz w:w="11907" w:h="16840" w:code="9"/>
          <w:pgMar w:top="1418" w:right="907" w:bottom="1418" w:left="1418" w:header="720" w:footer="720" w:gutter="0"/>
          <w:cols w:space="720"/>
          <w:titlePg/>
          <w:docGrid w:linePitch="299"/>
        </w:sectPr>
      </w:pPr>
    </w:p>
    <w:tbl>
      <w:tblPr>
        <w:tblW w:w="5000" w:type="pct"/>
        <w:tblCellMar>
          <w:left w:w="70" w:type="dxa"/>
          <w:right w:w="70" w:type="dxa"/>
        </w:tblCellMar>
        <w:tblLook w:val="04A0" w:firstRow="1" w:lastRow="0" w:firstColumn="1" w:lastColumn="0" w:noHBand="0" w:noVBand="1"/>
      </w:tblPr>
      <w:tblGrid>
        <w:gridCol w:w="1244"/>
        <w:gridCol w:w="2250"/>
        <w:gridCol w:w="3107"/>
        <w:gridCol w:w="6603"/>
        <w:gridCol w:w="1113"/>
      </w:tblGrid>
      <w:tr w:rsidR="00395593" w:rsidRPr="00AC0363" w14:paraId="1B463540" w14:textId="77777777" w:rsidTr="00395593">
        <w:trPr>
          <w:gridAfter w:val="1"/>
          <w:wAfter w:w="4119" w:type="dxa"/>
          <w:trHeight w:val="300"/>
        </w:trPr>
        <w:tc>
          <w:tcPr>
            <w:tcW w:w="5000" w:type="pct"/>
            <w:gridSpan w:val="4"/>
            <w:tcBorders>
              <w:top w:val="nil"/>
              <w:left w:val="nil"/>
              <w:bottom w:val="nil"/>
              <w:right w:val="nil"/>
            </w:tcBorders>
            <w:shd w:val="clear" w:color="auto" w:fill="auto"/>
            <w:noWrap/>
            <w:vAlign w:val="bottom"/>
            <w:hideMark/>
          </w:tcPr>
          <w:p w14:paraId="3140BAAC" w14:textId="77777777" w:rsidR="00395593" w:rsidRPr="009827E4" w:rsidRDefault="00395593" w:rsidP="003B5DDA">
            <w:pPr>
              <w:pStyle w:val="Corpodetexto"/>
              <w:jc w:val="center"/>
              <w:rPr>
                <w:rFonts w:ascii="Garamond" w:hAnsi="Garamond"/>
                <w:b/>
                <w:lang w:eastAsia="pt-BR"/>
              </w:rPr>
            </w:pPr>
            <w:r w:rsidRPr="009827E4">
              <w:rPr>
                <w:rFonts w:ascii="Garamond" w:hAnsi="Garamond"/>
                <w:b/>
                <w:lang w:eastAsia="pt-BR"/>
              </w:rPr>
              <w:t>APÊNDICE I</w:t>
            </w:r>
          </w:p>
        </w:tc>
      </w:tr>
      <w:tr w:rsidR="00395593" w:rsidRPr="00AC0363" w14:paraId="0AC078C8" w14:textId="77777777" w:rsidTr="00395593">
        <w:trPr>
          <w:gridAfter w:val="1"/>
          <w:wAfter w:w="4119" w:type="dxa"/>
          <w:trHeight w:val="300"/>
        </w:trPr>
        <w:tc>
          <w:tcPr>
            <w:tcW w:w="5000" w:type="pct"/>
            <w:gridSpan w:val="4"/>
            <w:tcBorders>
              <w:top w:val="nil"/>
              <w:left w:val="nil"/>
              <w:bottom w:val="nil"/>
              <w:right w:val="nil"/>
            </w:tcBorders>
            <w:shd w:val="clear" w:color="auto" w:fill="auto"/>
            <w:noWrap/>
            <w:vAlign w:val="bottom"/>
            <w:hideMark/>
          </w:tcPr>
          <w:p w14:paraId="6F7586C7" w14:textId="77777777" w:rsidR="00395593" w:rsidRPr="009827E4" w:rsidRDefault="00395593" w:rsidP="003B5DDA">
            <w:pPr>
              <w:pStyle w:val="Corpodetexto"/>
              <w:jc w:val="center"/>
              <w:rPr>
                <w:rFonts w:ascii="Garamond" w:hAnsi="Garamond"/>
                <w:b/>
                <w:lang w:eastAsia="pt-BR"/>
              </w:rPr>
            </w:pPr>
            <w:r w:rsidRPr="009827E4">
              <w:rPr>
                <w:rFonts w:ascii="Garamond" w:hAnsi="Garamond"/>
                <w:b/>
                <w:lang w:eastAsia="pt-BR"/>
              </w:rPr>
              <w:t>APOIO DA INDÚSTRIA DOMÉSTICA À PETIÇÃO</w:t>
            </w:r>
          </w:p>
        </w:tc>
      </w:tr>
      <w:tr w:rsidR="00395593" w:rsidRPr="00AC0363" w14:paraId="11A874BE" w14:textId="77777777" w:rsidTr="005C5CBD">
        <w:trPr>
          <w:trHeight w:val="300"/>
        </w:trPr>
        <w:tc>
          <w:tcPr>
            <w:tcW w:w="532" w:type="pct"/>
            <w:tcBorders>
              <w:top w:val="nil"/>
              <w:left w:val="nil"/>
              <w:bottom w:val="nil"/>
              <w:right w:val="nil"/>
            </w:tcBorders>
            <w:shd w:val="clear" w:color="auto" w:fill="auto"/>
            <w:noWrap/>
            <w:vAlign w:val="bottom"/>
            <w:hideMark/>
          </w:tcPr>
          <w:p w14:paraId="14E64722"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883" w:type="pct"/>
            <w:tcBorders>
              <w:top w:val="nil"/>
              <w:left w:val="nil"/>
              <w:bottom w:val="nil"/>
              <w:right w:val="nil"/>
            </w:tcBorders>
            <w:shd w:val="clear" w:color="auto" w:fill="auto"/>
            <w:noWrap/>
            <w:vAlign w:val="bottom"/>
            <w:hideMark/>
          </w:tcPr>
          <w:p w14:paraId="614398D9"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1182" w:type="pct"/>
            <w:tcBorders>
              <w:top w:val="nil"/>
              <w:left w:val="nil"/>
              <w:bottom w:val="nil"/>
              <w:right w:val="nil"/>
            </w:tcBorders>
            <w:shd w:val="clear" w:color="auto" w:fill="auto"/>
            <w:noWrap/>
            <w:vAlign w:val="bottom"/>
            <w:hideMark/>
          </w:tcPr>
          <w:p w14:paraId="794BB131"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1224" w:type="pct"/>
            <w:tcBorders>
              <w:top w:val="nil"/>
              <w:left w:val="nil"/>
              <w:bottom w:val="nil"/>
              <w:right w:val="nil"/>
            </w:tcBorders>
            <w:shd w:val="clear" w:color="auto" w:fill="auto"/>
            <w:noWrap/>
            <w:vAlign w:val="bottom"/>
            <w:hideMark/>
          </w:tcPr>
          <w:p w14:paraId="67D9A85F"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1180" w:type="pct"/>
            <w:tcBorders>
              <w:top w:val="nil"/>
              <w:left w:val="nil"/>
              <w:bottom w:val="nil"/>
              <w:right w:val="nil"/>
            </w:tcBorders>
            <w:shd w:val="clear" w:color="auto" w:fill="auto"/>
            <w:noWrap/>
            <w:vAlign w:val="bottom"/>
            <w:hideMark/>
          </w:tcPr>
          <w:p w14:paraId="241D4338"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r>
      <w:tr w:rsidR="00395593" w:rsidRPr="00AC0363" w14:paraId="25D786B3" w14:textId="77777777" w:rsidTr="005C5CBD">
        <w:trPr>
          <w:trHeight w:val="720"/>
        </w:trPr>
        <w:tc>
          <w:tcPr>
            <w:tcW w:w="532" w:type="pct"/>
            <w:tcBorders>
              <w:top w:val="nil"/>
              <w:left w:val="nil"/>
              <w:bottom w:val="nil"/>
              <w:right w:val="nil"/>
            </w:tcBorders>
            <w:shd w:val="clear" w:color="auto" w:fill="auto"/>
            <w:noWrap/>
            <w:vAlign w:val="bottom"/>
            <w:hideMark/>
          </w:tcPr>
          <w:p w14:paraId="069355BF"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D471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Período</w:t>
            </w:r>
          </w:p>
        </w:tc>
        <w:tc>
          <w:tcPr>
            <w:tcW w:w="1182" w:type="pct"/>
            <w:tcBorders>
              <w:top w:val="single" w:sz="4" w:space="0" w:color="auto"/>
              <w:left w:val="nil"/>
              <w:bottom w:val="single" w:sz="4" w:space="0" w:color="auto"/>
              <w:right w:val="single" w:sz="4" w:space="0" w:color="auto"/>
            </w:tcBorders>
            <w:shd w:val="clear" w:color="auto" w:fill="auto"/>
            <w:vAlign w:val="center"/>
            <w:hideMark/>
          </w:tcPr>
          <w:p w14:paraId="78AE35B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das empresas que manifestaram apoio à petição (A)</w:t>
            </w:r>
          </w:p>
        </w:tc>
        <w:tc>
          <w:tcPr>
            <w:tcW w:w="1224" w:type="pct"/>
            <w:tcBorders>
              <w:top w:val="single" w:sz="4" w:space="0" w:color="auto"/>
              <w:left w:val="nil"/>
              <w:bottom w:val="single" w:sz="4" w:space="0" w:color="auto"/>
              <w:right w:val="single" w:sz="4" w:space="0" w:color="auto"/>
            </w:tcBorders>
            <w:shd w:val="clear" w:color="auto" w:fill="auto"/>
            <w:vAlign w:val="center"/>
            <w:hideMark/>
          </w:tcPr>
          <w:p w14:paraId="4E4FBC4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das demais empresas produtoras no Brasil (B)</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63F76B2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Produção Nacional (A+B)</w:t>
            </w:r>
          </w:p>
        </w:tc>
      </w:tr>
      <w:tr w:rsidR="00395593" w:rsidRPr="00AC0363" w14:paraId="206C0BE8" w14:textId="77777777" w:rsidTr="005C5CBD">
        <w:trPr>
          <w:trHeight w:val="480"/>
        </w:trPr>
        <w:tc>
          <w:tcPr>
            <w:tcW w:w="532"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8574356"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Volume da Produção</w:t>
            </w:r>
          </w:p>
        </w:tc>
        <w:tc>
          <w:tcPr>
            <w:tcW w:w="883" w:type="pct"/>
            <w:tcBorders>
              <w:top w:val="nil"/>
              <w:left w:val="nil"/>
              <w:bottom w:val="single" w:sz="4" w:space="0" w:color="auto"/>
              <w:right w:val="single" w:sz="4" w:space="0" w:color="auto"/>
            </w:tcBorders>
            <w:shd w:val="clear" w:color="auto" w:fill="auto"/>
            <w:vAlign w:val="center"/>
            <w:hideMark/>
          </w:tcPr>
          <w:p w14:paraId="26BF30E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P1</w:t>
            </w:r>
          </w:p>
        </w:tc>
        <w:tc>
          <w:tcPr>
            <w:tcW w:w="1182" w:type="pct"/>
            <w:tcBorders>
              <w:top w:val="nil"/>
              <w:left w:val="nil"/>
              <w:bottom w:val="nil"/>
              <w:right w:val="nil"/>
            </w:tcBorders>
            <w:shd w:val="clear" w:color="000000" w:fill="FFFFFF"/>
            <w:vAlign w:val="center"/>
            <w:hideMark/>
          </w:tcPr>
          <w:p w14:paraId="0FC4E983"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224" w:type="pct"/>
            <w:tcBorders>
              <w:top w:val="nil"/>
              <w:left w:val="single" w:sz="4" w:space="0" w:color="auto"/>
              <w:bottom w:val="nil"/>
              <w:right w:val="single" w:sz="4" w:space="0" w:color="auto"/>
            </w:tcBorders>
            <w:shd w:val="clear" w:color="000000" w:fill="FFFFFF"/>
            <w:vAlign w:val="center"/>
            <w:hideMark/>
          </w:tcPr>
          <w:p w14:paraId="103F124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180" w:type="pct"/>
            <w:tcBorders>
              <w:top w:val="nil"/>
              <w:left w:val="nil"/>
              <w:bottom w:val="nil"/>
              <w:right w:val="single" w:sz="4" w:space="0" w:color="auto"/>
            </w:tcBorders>
            <w:shd w:val="clear" w:color="000000" w:fill="F2F2F2"/>
            <w:vAlign w:val="center"/>
            <w:hideMark/>
          </w:tcPr>
          <w:p w14:paraId="5EACA613"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r>
      <w:tr w:rsidR="00395593" w:rsidRPr="00AC0363" w14:paraId="79A25C1B" w14:textId="77777777" w:rsidTr="005C5CBD">
        <w:trPr>
          <w:trHeight w:val="480"/>
        </w:trPr>
        <w:tc>
          <w:tcPr>
            <w:tcW w:w="532" w:type="pct"/>
            <w:vMerge/>
            <w:tcBorders>
              <w:top w:val="single" w:sz="4" w:space="0" w:color="auto"/>
              <w:left w:val="single" w:sz="4" w:space="0" w:color="auto"/>
              <w:bottom w:val="single" w:sz="4" w:space="0" w:color="000000"/>
              <w:right w:val="single" w:sz="4" w:space="0" w:color="auto"/>
            </w:tcBorders>
            <w:vAlign w:val="center"/>
            <w:hideMark/>
          </w:tcPr>
          <w:p w14:paraId="6C11976C"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83" w:type="pct"/>
            <w:tcBorders>
              <w:top w:val="nil"/>
              <w:left w:val="nil"/>
              <w:bottom w:val="single" w:sz="4" w:space="0" w:color="auto"/>
              <w:right w:val="single" w:sz="4" w:space="0" w:color="auto"/>
            </w:tcBorders>
            <w:shd w:val="clear" w:color="auto" w:fill="auto"/>
            <w:vAlign w:val="center"/>
            <w:hideMark/>
          </w:tcPr>
          <w:p w14:paraId="79EB09C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P2</w:t>
            </w:r>
          </w:p>
        </w:tc>
        <w:tc>
          <w:tcPr>
            <w:tcW w:w="1182" w:type="pct"/>
            <w:tcBorders>
              <w:top w:val="nil"/>
              <w:left w:val="nil"/>
              <w:bottom w:val="nil"/>
              <w:right w:val="nil"/>
            </w:tcBorders>
            <w:shd w:val="clear" w:color="000000" w:fill="FFFFFF"/>
            <w:vAlign w:val="center"/>
            <w:hideMark/>
          </w:tcPr>
          <w:p w14:paraId="48E25DAC"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224" w:type="pct"/>
            <w:tcBorders>
              <w:top w:val="nil"/>
              <w:left w:val="single" w:sz="4" w:space="0" w:color="auto"/>
              <w:bottom w:val="nil"/>
              <w:right w:val="single" w:sz="4" w:space="0" w:color="auto"/>
            </w:tcBorders>
            <w:shd w:val="clear" w:color="000000" w:fill="FFFFFF"/>
            <w:vAlign w:val="center"/>
            <w:hideMark/>
          </w:tcPr>
          <w:p w14:paraId="2F30759D"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180" w:type="pct"/>
            <w:tcBorders>
              <w:top w:val="nil"/>
              <w:left w:val="nil"/>
              <w:bottom w:val="nil"/>
              <w:right w:val="single" w:sz="4" w:space="0" w:color="auto"/>
            </w:tcBorders>
            <w:shd w:val="clear" w:color="000000" w:fill="F2F2F2"/>
            <w:vAlign w:val="center"/>
            <w:hideMark/>
          </w:tcPr>
          <w:p w14:paraId="711CD19D"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r>
      <w:tr w:rsidR="00395593" w:rsidRPr="00AC0363" w14:paraId="09C05ABF" w14:textId="77777777" w:rsidTr="005C5CBD">
        <w:trPr>
          <w:trHeight w:val="480"/>
        </w:trPr>
        <w:tc>
          <w:tcPr>
            <w:tcW w:w="532" w:type="pct"/>
            <w:vMerge/>
            <w:tcBorders>
              <w:top w:val="single" w:sz="4" w:space="0" w:color="auto"/>
              <w:left w:val="single" w:sz="4" w:space="0" w:color="auto"/>
              <w:bottom w:val="single" w:sz="4" w:space="0" w:color="000000"/>
              <w:right w:val="single" w:sz="4" w:space="0" w:color="auto"/>
            </w:tcBorders>
            <w:vAlign w:val="center"/>
            <w:hideMark/>
          </w:tcPr>
          <w:p w14:paraId="64B4838C"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83" w:type="pct"/>
            <w:tcBorders>
              <w:top w:val="nil"/>
              <w:left w:val="nil"/>
              <w:bottom w:val="single" w:sz="4" w:space="0" w:color="auto"/>
              <w:right w:val="single" w:sz="4" w:space="0" w:color="auto"/>
            </w:tcBorders>
            <w:shd w:val="clear" w:color="auto" w:fill="auto"/>
            <w:vAlign w:val="center"/>
            <w:hideMark/>
          </w:tcPr>
          <w:p w14:paraId="7C2788E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P3</w:t>
            </w:r>
          </w:p>
        </w:tc>
        <w:tc>
          <w:tcPr>
            <w:tcW w:w="1182" w:type="pct"/>
            <w:tcBorders>
              <w:top w:val="nil"/>
              <w:left w:val="nil"/>
              <w:bottom w:val="nil"/>
              <w:right w:val="nil"/>
            </w:tcBorders>
            <w:shd w:val="clear" w:color="000000" w:fill="FFFFFF"/>
            <w:vAlign w:val="center"/>
            <w:hideMark/>
          </w:tcPr>
          <w:p w14:paraId="13BC9144"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224" w:type="pct"/>
            <w:tcBorders>
              <w:top w:val="nil"/>
              <w:left w:val="single" w:sz="4" w:space="0" w:color="auto"/>
              <w:bottom w:val="nil"/>
              <w:right w:val="single" w:sz="4" w:space="0" w:color="auto"/>
            </w:tcBorders>
            <w:shd w:val="clear" w:color="000000" w:fill="FFFFFF"/>
            <w:vAlign w:val="center"/>
            <w:hideMark/>
          </w:tcPr>
          <w:p w14:paraId="441D94C7"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180" w:type="pct"/>
            <w:tcBorders>
              <w:top w:val="nil"/>
              <w:left w:val="nil"/>
              <w:bottom w:val="nil"/>
              <w:right w:val="single" w:sz="4" w:space="0" w:color="auto"/>
            </w:tcBorders>
            <w:shd w:val="clear" w:color="000000" w:fill="F2F2F2"/>
            <w:vAlign w:val="center"/>
            <w:hideMark/>
          </w:tcPr>
          <w:p w14:paraId="3DE15D2D"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r>
      <w:tr w:rsidR="00395593" w:rsidRPr="00AC0363" w14:paraId="3017CC6F" w14:textId="77777777" w:rsidTr="005C5CBD">
        <w:trPr>
          <w:trHeight w:val="480"/>
        </w:trPr>
        <w:tc>
          <w:tcPr>
            <w:tcW w:w="532" w:type="pct"/>
            <w:vMerge/>
            <w:tcBorders>
              <w:top w:val="single" w:sz="4" w:space="0" w:color="auto"/>
              <w:left w:val="single" w:sz="4" w:space="0" w:color="auto"/>
              <w:bottom w:val="single" w:sz="4" w:space="0" w:color="000000"/>
              <w:right w:val="single" w:sz="4" w:space="0" w:color="auto"/>
            </w:tcBorders>
            <w:vAlign w:val="center"/>
            <w:hideMark/>
          </w:tcPr>
          <w:p w14:paraId="33660B3C"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83" w:type="pct"/>
            <w:tcBorders>
              <w:top w:val="nil"/>
              <w:left w:val="nil"/>
              <w:bottom w:val="single" w:sz="4" w:space="0" w:color="auto"/>
              <w:right w:val="single" w:sz="4" w:space="0" w:color="auto"/>
            </w:tcBorders>
            <w:shd w:val="clear" w:color="auto" w:fill="auto"/>
            <w:vAlign w:val="center"/>
            <w:hideMark/>
          </w:tcPr>
          <w:p w14:paraId="6CC9B8F6"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P4</w:t>
            </w:r>
          </w:p>
        </w:tc>
        <w:tc>
          <w:tcPr>
            <w:tcW w:w="1182" w:type="pct"/>
            <w:tcBorders>
              <w:top w:val="nil"/>
              <w:left w:val="nil"/>
              <w:bottom w:val="nil"/>
              <w:right w:val="nil"/>
            </w:tcBorders>
            <w:shd w:val="clear" w:color="000000" w:fill="FFFFFF"/>
            <w:vAlign w:val="center"/>
            <w:hideMark/>
          </w:tcPr>
          <w:p w14:paraId="11C9B01A"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224" w:type="pct"/>
            <w:tcBorders>
              <w:top w:val="nil"/>
              <w:left w:val="single" w:sz="4" w:space="0" w:color="auto"/>
              <w:bottom w:val="nil"/>
              <w:right w:val="single" w:sz="4" w:space="0" w:color="auto"/>
            </w:tcBorders>
            <w:shd w:val="clear" w:color="000000" w:fill="FFFFFF"/>
            <w:vAlign w:val="center"/>
            <w:hideMark/>
          </w:tcPr>
          <w:p w14:paraId="01759D4E"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180" w:type="pct"/>
            <w:tcBorders>
              <w:top w:val="nil"/>
              <w:left w:val="nil"/>
              <w:bottom w:val="nil"/>
              <w:right w:val="single" w:sz="4" w:space="0" w:color="auto"/>
            </w:tcBorders>
            <w:shd w:val="clear" w:color="000000" w:fill="F2F2F2"/>
            <w:vAlign w:val="center"/>
            <w:hideMark/>
          </w:tcPr>
          <w:p w14:paraId="1820743B"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r>
      <w:tr w:rsidR="00395593" w:rsidRPr="00AC0363" w14:paraId="476B130D" w14:textId="77777777" w:rsidTr="005C5CBD">
        <w:trPr>
          <w:trHeight w:val="480"/>
        </w:trPr>
        <w:tc>
          <w:tcPr>
            <w:tcW w:w="532" w:type="pct"/>
            <w:vMerge/>
            <w:tcBorders>
              <w:top w:val="single" w:sz="4" w:space="0" w:color="auto"/>
              <w:left w:val="single" w:sz="4" w:space="0" w:color="auto"/>
              <w:bottom w:val="single" w:sz="4" w:space="0" w:color="000000"/>
              <w:right w:val="single" w:sz="4" w:space="0" w:color="auto"/>
            </w:tcBorders>
            <w:vAlign w:val="center"/>
            <w:hideMark/>
          </w:tcPr>
          <w:p w14:paraId="1C0A8ADE"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83" w:type="pct"/>
            <w:tcBorders>
              <w:top w:val="nil"/>
              <w:left w:val="nil"/>
              <w:bottom w:val="single" w:sz="4" w:space="0" w:color="auto"/>
              <w:right w:val="single" w:sz="4" w:space="0" w:color="auto"/>
            </w:tcBorders>
            <w:shd w:val="clear" w:color="auto" w:fill="auto"/>
            <w:vAlign w:val="center"/>
            <w:hideMark/>
          </w:tcPr>
          <w:p w14:paraId="5B7E1BE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P5</w:t>
            </w:r>
          </w:p>
        </w:tc>
        <w:tc>
          <w:tcPr>
            <w:tcW w:w="1182" w:type="pct"/>
            <w:tcBorders>
              <w:top w:val="nil"/>
              <w:left w:val="nil"/>
              <w:bottom w:val="single" w:sz="4" w:space="0" w:color="auto"/>
              <w:right w:val="nil"/>
            </w:tcBorders>
            <w:shd w:val="clear" w:color="000000" w:fill="FFFFFF"/>
            <w:vAlign w:val="center"/>
            <w:hideMark/>
          </w:tcPr>
          <w:p w14:paraId="10009C43"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224" w:type="pct"/>
            <w:tcBorders>
              <w:top w:val="nil"/>
              <w:left w:val="single" w:sz="4" w:space="0" w:color="auto"/>
              <w:bottom w:val="single" w:sz="4" w:space="0" w:color="auto"/>
              <w:right w:val="single" w:sz="4" w:space="0" w:color="auto"/>
            </w:tcBorders>
            <w:shd w:val="clear" w:color="000000" w:fill="FFFFFF"/>
            <w:vAlign w:val="center"/>
            <w:hideMark/>
          </w:tcPr>
          <w:p w14:paraId="0277686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180" w:type="pct"/>
            <w:tcBorders>
              <w:top w:val="nil"/>
              <w:left w:val="nil"/>
              <w:bottom w:val="single" w:sz="4" w:space="0" w:color="auto"/>
              <w:right w:val="single" w:sz="4" w:space="0" w:color="auto"/>
            </w:tcBorders>
            <w:shd w:val="clear" w:color="000000" w:fill="F2F2F2"/>
            <w:vAlign w:val="center"/>
            <w:hideMark/>
          </w:tcPr>
          <w:p w14:paraId="39ECAB0E"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r>
      <w:tr w:rsidR="00395593" w:rsidRPr="00AC0363" w14:paraId="4A659114" w14:textId="77777777" w:rsidTr="005C5CBD">
        <w:trPr>
          <w:trHeight w:val="1186"/>
        </w:trPr>
        <w:tc>
          <w:tcPr>
            <w:tcW w:w="532" w:type="pct"/>
            <w:tcBorders>
              <w:top w:val="nil"/>
              <w:left w:val="single" w:sz="4" w:space="0" w:color="auto"/>
              <w:bottom w:val="single" w:sz="4" w:space="0" w:color="auto"/>
              <w:right w:val="single" w:sz="4" w:space="0" w:color="auto"/>
            </w:tcBorders>
            <w:shd w:val="clear" w:color="auto" w:fill="auto"/>
            <w:textDirection w:val="btLr"/>
            <w:vAlign w:val="center"/>
            <w:hideMark/>
          </w:tcPr>
          <w:p w14:paraId="71C6B7D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Valor da Produção (R$)</w:t>
            </w:r>
          </w:p>
        </w:tc>
        <w:tc>
          <w:tcPr>
            <w:tcW w:w="883" w:type="pct"/>
            <w:tcBorders>
              <w:top w:val="nil"/>
              <w:left w:val="nil"/>
              <w:bottom w:val="single" w:sz="4" w:space="0" w:color="auto"/>
              <w:right w:val="single" w:sz="4" w:space="0" w:color="auto"/>
            </w:tcBorders>
            <w:shd w:val="clear" w:color="auto" w:fill="auto"/>
            <w:vAlign w:val="center"/>
            <w:hideMark/>
          </w:tcPr>
          <w:p w14:paraId="6F87459C"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P5</w:t>
            </w:r>
          </w:p>
        </w:tc>
        <w:tc>
          <w:tcPr>
            <w:tcW w:w="1182" w:type="pct"/>
            <w:tcBorders>
              <w:top w:val="nil"/>
              <w:left w:val="nil"/>
              <w:bottom w:val="single" w:sz="4" w:space="0" w:color="auto"/>
              <w:right w:val="nil"/>
            </w:tcBorders>
            <w:shd w:val="clear" w:color="000000" w:fill="FFFFFF"/>
            <w:vAlign w:val="center"/>
            <w:hideMark/>
          </w:tcPr>
          <w:p w14:paraId="33866CC8"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224" w:type="pct"/>
            <w:tcBorders>
              <w:top w:val="nil"/>
              <w:left w:val="single" w:sz="4" w:space="0" w:color="auto"/>
              <w:bottom w:val="single" w:sz="4" w:space="0" w:color="auto"/>
              <w:right w:val="single" w:sz="4" w:space="0" w:color="auto"/>
            </w:tcBorders>
            <w:shd w:val="clear" w:color="000000" w:fill="FFFFFF"/>
            <w:vAlign w:val="center"/>
            <w:hideMark/>
          </w:tcPr>
          <w:p w14:paraId="4707F8EA"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180" w:type="pct"/>
            <w:tcBorders>
              <w:top w:val="nil"/>
              <w:left w:val="nil"/>
              <w:bottom w:val="single" w:sz="4" w:space="0" w:color="auto"/>
              <w:right w:val="single" w:sz="4" w:space="0" w:color="auto"/>
            </w:tcBorders>
            <w:shd w:val="clear" w:color="000000" w:fill="F2F2F2"/>
            <w:vAlign w:val="center"/>
            <w:hideMark/>
          </w:tcPr>
          <w:p w14:paraId="17E5150F"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r>
      <w:tr w:rsidR="00395593" w:rsidRPr="00AC0363" w14:paraId="4EF004F8" w14:textId="77777777" w:rsidTr="005C5CBD">
        <w:trPr>
          <w:trHeight w:val="300"/>
        </w:trPr>
        <w:tc>
          <w:tcPr>
            <w:tcW w:w="1415" w:type="pct"/>
            <w:gridSpan w:val="2"/>
            <w:tcBorders>
              <w:top w:val="nil"/>
              <w:left w:val="nil"/>
              <w:bottom w:val="nil"/>
              <w:right w:val="nil"/>
            </w:tcBorders>
            <w:shd w:val="clear" w:color="auto" w:fill="auto"/>
            <w:noWrap/>
            <w:vAlign w:val="bottom"/>
            <w:hideMark/>
          </w:tcPr>
          <w:p w14:paraId="357B81AF"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 Somatório</w:t>
            </w:r>
          </w:p>
        </w:tc>
        <w:tc>
          <w:tcPr>
            <w:tcW w:w="1182" w:type="pct"/>
            <w:tcBorders>
              <w:top w:val="nil"/>
              <w:left w:val="nil"/>
              <w:bottom w:val="nil"/>
              <w:right w:val="nil"/>
            </w:tcBorders>
            <w:shd w:val="clear" w:color="auto" w:fill="auto"/>
            <w:noWrap/>
            <w:vAlign w:val="bottom"/>
            <w:hideMark/>
          </w:tcPr>
          <w:p w14:paraId="5E2AF31C"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1224" w:type="pct"/>
            <w:tcBorders>
              <w:top w:val="nil"/>
              <w:left w:val="nil"/>
              <w:bottom w:val="nil"/>
              <w:right w:val="nil"/>
            </w:tcBorders>
            <w:shd w:val="clear" w:color="auto" w:fill="auto"/>
            <w:noWrap/>
            <w:vAlign w:val="bottom"/>
            <w:hideMark/>
          </w:tcPr>
          <w:p w14:paraId="30BD5F86"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1180" w:type="pct"/>
            <w:tcBorders>
              <w:top w:val="nil"/>
              <w:left w:val="nil"/>
              <w:bottom w:val="nil"/>
              <w:right w:val="nil"/>
            </w:tcBorders>
            <w:shd w:val="clear" w:color="auto" w:fill="auto"/>
            <w:noWrap/>
            <w:vAlign w:val="bottom"/>
            <w:hideMark/>
          </w:tcPr>
          <w:p w14:paraId="6C067629"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r>
    </w:tbl>
    <w:p w14:paraId="68FB8485" w14:textId="77777777" w:rsidR="00395593" w:rsidRPr="005C5CBD" w:rsidRDefault="00395593" w:rsidP="0097041B">
      <w:pPr>
        <w:spacing w:after="200" w:line="276" w:lineRule="auto"/>
        <w:jc w:val="center"/>
        <w:rPr>
          <w:rFonts w:ascii="Garamond" w:eastAsia="Calibri" w:hAnsi="Garamond" w:cs="Calibri"/>
          <w:sz w:val="24"/>
          <w:szCs w:val="24"/>
        </w:rPr>
      </w:pPr>
    </w:p>
    <w:p w14:paraId="1417C7C6" w14:textId="77777777" w:rsidR="00395593" w:rsidRPr="005C5CBD" w:rsidRDefault="00395593" w:rsidP="0097041B">
      <w:pPr>
        <w:spacing w:after="200" w:line="276" w:lineRule="auto"/>
        <w:rPr>
          <w:rFonts w:ascii="Garamond" w:eastAsia="Calibri" w:hAnsi="Garamond" w:cs="Calibri"/>
          <w:sz w:val="24"/>
          <w:szCs w:val="24"/>
        </w:rPr>
      </w:pPr>
    </w:p>
    <w:p w14:paraId="6F57A828" w14:textId="77777777" w:rsidR="00395593" w:rsidRPr="005C5CBD" w:rsidRDefault="00395593" w:rsidP="0097041B">
      <w:pPr>
        <w:spacing w:after="200" w:line="276" w:lineRule="auto"/>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br w:type="page"/>
      </w:r>
    </w:p>
    <w:tbl>
      <w:tblPr>
        <w:tblW w:w="5000" w:type="pct"/>
        <w:tblCellMar>
          <w:left w:w="70" w:type="dxa"/>
          <w:right w:w="70" w:type="dxa"/>
        </w:tblCellMar>
        <w:tblLook w:val="04A0" w:firstRow="1" w:lastRow="0" w:firstColumn="1" w:lastColumn="0" w:noHBand="0" w:noVBand="1"/>
      </w:tblPr>
      <w:tblGrid>
        <w:gridCol w:w="1523"/>
        <w:gridCol w:w="2528"/>
        <w:gridCol w:w="3385"/>
        <w:gridCol w:w="3505"/>
        <w:gridCol w:w="3376"/>
      </w:tblGrid>
      <w:tr w:rsidR="00395593" w:rsidRPr="004F3D8C" w14:paraId="70CB698C" w14:textId="77777777" w:rsidTr="00395593">
        <w:trPr>
          <w:trHeight w:val="300"/>
        </w:trPr>
        <w:tc>
          <w:tcPr>
            <w:tcW w:w="5000" w:type="pct"/>
            <w:gridSpan w:val="5"/>
            <w:noWrap/>
            <w:vAlign w:val="bottom"/>
            <w:hideMark/>
          </w:tcPr>
          <w:p w14:paraId="10DAED56" w14:textId="4DDD3236" w:rsidR="00395593" w:rsidRPr="00BF3965" w:rsidRDefault="00395593" w:rsidP="003B5DDA">
            <w:pPr>
              <w:pStyle w:val="Corpodetexto"/>
              <w:jc w:val="center"/>
              <w:rPr>
                <w:rFonts w:ascii="Garamond" w:hAnsi="Garamond"/>
                <w:b/>
                <w:sz w:val="20"/>
                <w:szCs w:val="20"/>
                <w:lang w:eastAsia="pt-BR"/>
              </w:rPr>
            </w:pPr>
            <w:r w:rsidRPr="00BF3965">
              <w:rPr>
                <w:rFonts w:ascii="Garamond" w:hAnsi="Garamond"/>
                <w:b/>
                <w:lang w:eastAsia="pt-BR"/>
              </w:rPr>
              <w:t>APÊNDICE II</w:t>
            </w:r>
          </w:p>
          <w:p w14:paraId="39CFB7D0" w14:textId="77777777" w:rsidR="00395593" w:rsidRPr="005C5CBD" w:rsidRDefault="00395593" w:rsidP="003B5DDA">
            <w:pPr>
              <w:pStyle w:val="Corpodetexto"/>
              <w:jc w:val="center"/>
              <w:rPr>
                <w:color w:val="000000"/>
              </w:rPr>
            </w:pPr>
            <w:r w:rsidRPr="00BF3965">
              <w:rPr>
                <w:rFonts w:ascii="Garamond" w:hAnsi="Garamond"/>
                <w:b/>
                <w:color w:val="000000"/>
                <w:lang w:eastAsia="pt-BR"/>
              </w:rPr>
              <w:t>APOIO DA INDÚSTRIA DOMÉSTICA À PETIÇÃO DE REDETERMINAÇÃO</w:t>
            </w:r>
          </w:p>
        </w:tc>
      </w:tr>
      <w:tr w:rsidR="00395593" w:rsidRPr="004F3D8C" w14:paraId="115D402C" w14:textId="77777777" w:rsidTr="00395593">
        <w:trPr>
          <w:trHeight w:val="300"/>
        </w:trPr>
        <w:tc>
          <w:tcPr>
            <w:tcW w:w="5000" w:type="pct"/>
            <w:gridSpan w:val="5"/>
            <w:noWrap/>
            <w:vAlign w:val="bottom"/>
            <w:hideMark/>
          </w:tcPr>
          <w:p w14:paraId="469D0889" w14:textId="77777777" w:rsidR="00395593" w:rsidRPr="005C5CBD" w:rsidRDefault="00395593" w:rsidP="00E15FBB">
            <w:pPr>
              <w:spacing w:after="0" w:line="276" w:lineRule="auto"/>
              <w:jc w:val="center"/>
              <w:rPr>
                <w:rFonts w:ascii="Garamond" w:eastAsia="Times New Roman" w:hAnsi="Garamond" w:cs="Calibri"/>
                <w:b/>
                <w:color w:val="000000"/>
              </w:rPr>
            </w:pPr>
          </w:p>
        </w:tc>
      </w:tr>
      <w:tr w:rsidR="00395593" w:rsidRPr="004F3D8C" w14:paraId="23936505" w14:textId="77777777" w:rsidTr="00395593">
        <w:trPr>
          <w:trHeight w:val="300"/>
        </w:trPr>
        <w:tc>
          <w:tcPr>
            <w:tcW w:w="532" w:type="pct"/>
            <w:noWrap/>
            <w:vAlign w:val="bottom"/>
            <w:hideMark/>
          </w:tcPr>
          <w:p w14:paraId="417387A4" w14:textId="77777777" w:rsidR="00395593" w:rsidRPr="005C5CBD" w:rsidRDefault="00395593" w:rsidP="00E15FBB">
            <w:pPr>
              <w:spacing w:after="0" w:line="276" w:lineRule="auto"/>
              <w:rPr>
                <w:rFonts w:ascii="Garamond" w:eastAsia="Calibri" w:hAnsi="Garamond" w:cs="Calibri"/>
              </w:rPr>
            </w:pPr>
          </w:p>
        </w:tc>
        <w:tc>
          <w:tcPr>
            <w:tcW w:w="883" w:type="pct"/>
            <w:noWrap/>
            <w:vAlign w:val="bottom"/>
            <w:hideMark/>
          </w:tcPr>
          <w:p w14:paraId="08276623" w14:textId="77777777" w:rsidR="00395593" w:rsidRPr="005C5CBD" w:rsidRDefault="00395593" w:rsidP="00E15FBB">
            <w:pPr>
              <w:spacing w:after="0" w:line="276" w:lineRule="auto"/>
              <w:rPr>
                <w:rFonts w:ascii="Garamond" w:eastAsia="Calibri" w:hAnsi="Garamond" w:cs="Calibri"/>
              </w:rPr>
            </w:pPr>
          </w:p>
        </w:tc>
        <w:tc>
          <w:tcPr>
            <w:tcW w:w="1182" w:type="pct"/>
            <w:noWrap/>
            <w:vAlign w:val="bottom"/>
            <w:hideMark/>
          </w:tcPr>
          <w:p w14:paraId="6A861219" w14:textId="77777777" w:rsidR="00395593" w:rsidRPr="005C5CBD" w:rsidRDefault="00395593" w:rsidP="00E15FBB">
            <w:pPr>
              <w:spacing w:after="0" w:line="276" w:lineRule="auto"/>
              <w:rPr>
                <w:rFonts w:ascii="Garamond" w:eastAsia="Calibri" w:hAnsi="Garamond" w:cs="Calibri"/>
              </w:rPr>
            </w:pPr>
          </w:p>
        </w:tc>
        <w:tc>
          <w:tcPr>
            <w:tcW w:w="1224" w:type="pct"/>
            <w:noWrap/>
            <w:vAlign w:val="bottom"/>
            <w:hideMark/>
          </w:tcPr>
          <w:p w14:paraId="34712A91" w14:textId="77777777" w:rsidR="00395593" w:rsidRPr="005C5CBD" w:rsidRDefault="00395593" w:rsidP="00E15FBB">
            <w:pPr>
              <w:spacing w:after="0" w:line="276" w:lineRule="auto"/>
              <w:rPr>
                <w:rFonts w:ascii="Garamond" w:eastAsia="Calibri" w:hAnsi="Garamond" w:cs="Calibri"/>
              </w:rPr>
            </w:pPr>
          </w:p>
        </w:tc>
        <w:tc>
          <w:tcPr>
            <w:tcW w:w="1180" w:type="pct"/>
            <w:noWrap/>
            <w:vAlign w:val="bottom"/>
            <w:hideMark/>
          </w:tcPr>
          <w:p w14:paraId="747ABC36" w14:textId="77777777" w:rsidR="00395593" w:rsidRPr="005C5CBD" w:rsidRDefault="00395593" w:rsidP="00E15FBB">
            <w:pPr>
              <w:spacing w:after="0" w:line="276" w:lineRule="auto"/>
              <w:rPr>
                <w:rFonts w:ascii="Garamond" w:eastAsia="Calibri" w:hAnsi="Garamond" w:cs="Calibri"/>
              </w:rPr>
            </w:pPr>
          </w:p>
        </w:tc>
      </w:tr>
      <w:tr w:rsidR="00395593" w:rsidRPr="004F3D8C" w14:paraId="141EAD36" w14:textId="77777777" w:rsidTr="00395593">
        <w:trPr>
          <w:trHeight w:val="720"/>
        </w:trPr>
        <w:tc>
          <w:tcPr>
            <w:tcW w:w="532" w:type="pct"/>
            <w:noWrap/>
            <w:vAlign w:val="bottom"/>
            <w:hideMark/>
          </w:tcPr>
          <w:p w14:paraId="68973EF7" w14:textId="77777777" w:rsidR="00395593" w:rsidRPr="005C5CBD" w:rsidRDefault="00395593" w:rsidP="00E15FBB">
            <w:pPr>
              <w:spacing w:after="0" w:line="276" w:lineRule="auto"/>
              <w:rPr>
                <w:rFonts w:ascii="Garamond" w:eastAsia="Calibri" w:hAnsi="Garamond" w:cs="Calibri"/>
              </w:rPr>
            </w:pPr>
          </w:p>
        </w:tc>
        <w:tc>
          <w:tcPr>
            <w:tcW w:w="883" w:type="pct"/>
            <w:tcBorders>
              <w:top w:val="single" w:sz="4" w:space="0" w:color="auto"/>
              <w:left w:val="single" w:sz="4" w:space="0" w:color="auto"/>
              <w:bottom w:val="single" w:sz="4" w:space="0" w:color="auto"/>
              <w:right w:val="single" w:sz="4" w:space="0" w:color="auto"/>
            </w:tcBorders>
            <w:vAlign w:val="center"/>
            <w:hideMark/>
          </w:tcPr>
          <w:p w14:paraId="0D5774E2"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Período</w:t>
            </w:r>
          </w:p>
        </w:tc>
        <w:tc>
          <w:tcPr>
            <w:tcW w:w="1182" w:type="pct"/>
            <w:tcBorders>
              <w:top w:val="single" w:sz="4" w:space="0" w:color="auto"/>
              <w:left w:val="nil"/>
              <w:bottom w:val="single" w:sz="4" w:space="0" w:color="auto"/>
              <w:right w:val="single" w:sz="4" w:space="0" w:color="auto"/>
            </w:tcBorders>
            <w:vAlign w:val="center"/>
            <w:hideMark/>
          </w:tcPr>
          <w:p w14:paraId="6F2BABD6"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 das empresas que manifestaram apoio à petição (A)</w:t>
            </w:r>
          </w:p>
        </w:tc>
        <w:tc>
          <w:tcPr>
            <w:tcW w:w="1224" w:type="pct"/>
            <w:tcBorders>
              <w:top w:val="single" w:sz="4" w:space="0" w:color="auto"/>
              <w:left w:val="nil"/>
              <w:bottom w:val="single" w:sz="4" w:space="0" w:color="auto"/>
              <w:right w:val="single" w:sz="4" w:space="0" w:color="auto"/>
            </w:tcBorders>
            <w:vAlign w:val="center"/>
            <w:hideMark/>
          </w:tcPr>
          <w:p w14:paraId="796C113F"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 das demais empresas produtoras no Brasil (B)</w:t>
            </w:r>
          </w:p>
        </w:tc>
        <w:tc>
          <w:tcPr>
            <w:tcW w:w="1180" w:type="pct"/>
            <w:tcBorders>
              <w:top w:val="single" w:sz="4" w:space="0" w:color="auto"/>
              <w:left w:val="nil"/>
              <w:bottom w:val="single" w:sz="4" w:space="0" w:color="auto"/>
              <w:right w:val="single" w:sz="4" w:space="0" w:color="auto"/>
            </w:tcBorders>
            <w:vAlign w:val="center"/>
            <w:hideMark/>
          </w:tcPr>
          <w:p w14:paraId="41DE9C4A"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Produção Nacional (A+B)</w:t>
            </w:r>
          </w:p>
        </w:tc>
      </w:tr>
      <w:tr w:rsidR="00395593" w:rsidRPr="004F3D8C" w14:paraId="2365187F" w14:textId="77777777" w:rsidTr="00395593">
        <w:trPr>
          <w:trHeight w:val="1169"/>
        </w:trPr>
        <w:tc>
          <w:tcPr>
            <w:tcW w:w="532" w:type="pct"/>
            <w:tcBorders>
              <w:top w:val="single" w:sz="4" w:space="0" w:color="auto"/>
              <w:left w:val="single" w:sz="4" w:space="0" w:color="auto"/>
              <w:bottom w:val="single" w:sz="4" w:space="0" w:color="000000"/>
              <w:right w:val="single" w:sz="4" w:space="0" w:color="auto"/>
            </w:tcBorders>
            <w:noWrap/>
            <w:textDirection w:val="btLr"/>
            <w:vAlign w:val="center"/>
            <w:hideMark/>
          </w:tcPr>
          <w:p w14:paraId="77E79A6D"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Volume da Produção (t)</w:t>
            </w:r>
          </w:p>
        </w:tc>
        <w:tc>
          <w:tcPr>
            <w:tcW w:w="883" w:type="pct"/>
            <w:tcBorders>
              <w:top w:val="nil"/>
              <w:left w:val="nil"/>
              <w:bottom w:val="single" w:sz="4" w:space="0" w:color="auto"/>
              <w:right w:val="single" w:sz="4" w:space="0" w:color="auto"/>
            </w:tcBorders>
            <w:vAlign w:val="center"/>
          </w:tcPr>
          <w:p w14:paraId="0B1C2F14"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PX*</w:t>
            </w:r>
          </w:p>
        </w:tc>
        <w:tc>
          <w:tcPr>
            <w:tcW w:w="1182" w:type="pct"/>
            <w:shd w:val="clear" w:color="auto" w:fill="FFFFFF"/>
            <w:vAlign w:val="center"/>
          </w:tcPr>
          <w:p w14:paraId="5346BFE5" w14:textId="77777777" w:rsidR="00395593" w:rsidRPr="005C5CBD" w:rsidRDefault="00395593" w:rsidP="00E15FBB">
            <w:pPr>
              <w:spacing w:after="0" w:line="276" w:lineRule="auto"/>
              <w:jc w:val="right"/>
              <w:rPr>
                <w:rFonts w:ascii="Garamond" w:eastAsia="Times New Roman" w:hAnsi="Garamond" w:cs="Calibri"/>
                <w:color w:val="000000"/>
                <w:sz w:val="24"/>
                <w:szCs w:val="24"/>
              </w:rPr>
            </w:pPr>
          </w:p>
        </w:tc>
        <w:tc>
          <w:tcPr>
            <w:tcW w:w="1224" w:type="pct"/>
            <w:tcBorders>
              <w:top w:val="nil"/>
              <w:left w:val="single" w:sz="4" w:space="0" w:color="auto"/>
              <w:bottom w:val="nil"/>
              <w:right w:val="single" w:sz="4" w:space="0" w:color="auto"/>
            </w:tcBorders>
            <w:shd w:val="clear" w:color="auto" w:fill="FFFFFF"/>
            <w:vAlign w:val="center"/>
          </w:tcPr>
          <w:p w14:paraId="5C3CA5C8" w14:textId="77777777" w:rsidR="00395593" w:rsidRPr="005C5CBD" w:rsidRDefault="00395593" w:rsidP="00E15FBB">
            <w:pPr>
              <w:spacing w:after="0" w:line="276" w:lineRule="auto"/>
              <w:jc w:val="right"/>
              <w:rPr>
                <w:rFonts w:ascii="Garamond" w:eastAsia="Times New Roman" w:hAnsi="Garamond" w:cs="Calibri"/>
                <w:color w:val="000000"/>
                <w:sz w:val="24"/>
                <w:szCs w:val="24"/>
              </w:rPr>
            </w:pPr>
          </w:p>
        </w:tc>
        <w:tc>
          <w:tcPr>
            <w:tcW w:w="1180" w:type="pct"/>
            <w:tcBorders>
              <w:top w:val="nil"/>
              <w:left w:val="nil"/>
              <w:bottom w:val="nil"/>
              <w:right w:val="single" w:sz="4" w:space="0" w:color="auto"/>
            </w:tcBorders>
            <w:shd w:val="clear" w:color="auto" w:fill="F2F2F2"/>
            <w:vAlign w:val="center"/>
          </w:tcPr>
          <w:p w14:paraId="1DB0D196" w14:textId="77777777" w:rsidR="00395593" w:rsidRPr="005C5CBD" w:rsidRDefault="00395593" w:rsidP="00E15FBB">
            <w:pPr>
              <w:spacing w:after="0" w:line="276" w:lineRule="auto"/>
              <w:jc w:val="right"/>
              <w:rPr>
                <w:rFonts w:ascii="Garamond" w:eastAsia="Times New Roman" w:hAnsi="Garamond" w:cs="Calibri"/>
                <w:b/>
                <w:color w:val="000000"/>
                <w:sz w:val="24"/>
                <w:szCs w:val="24"/>
              </w:rPr>
            </w:pPr>
          </w:p>
        </w:tc>
      </w:tr>
      <w:tr w:rsidR="00395593" w:rsidRPr="004F3D8C" w14:paraId="0BCD2530" w14:textId="77777777" w:rsidTr="00395593">
        <w:trPr>
          <w:trHeight w:val="1251"/>
        </w:trPr>
        <w:tc>
          <w:tcPr>
            <w:tcW w:w="532" w:type="pct"/>
            <w:tcBorders>
              <w:top w:val="nil"/>
              <w:left w:val="single" w:sz="4" w:space="0" w:color="auto"/>
              <w:bottom w:val="single" w:sz="4" w:space="0" w:color="auto"/>
              <w:right w:val="single" w:sz="4" w:space="0" w:color="auto"/>
            </w:tcBorders>
            <w:textDirection w:val="btLr"/>
            <w:vAlign w:val="center"/>
            <w:hideMark/>
          </w:tcPr>
          <w:p w14:paraId="78699208"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Valor da Produção (R$)</w:t>
            </w:r>
          </w:p>
        </w:tc>
        <w:tc>
          <w:tcPr>
            <w:tcW w:w="883" w:type="pct"/>
            <w:tcBorders>
              <w:top w:val="nil"/>
              <w:left w:val="nil"/>
              <w:bottom w:val="single" w:sz="4" w:space="0" w:color="auto"/>
              <w:right w:val="single" w:sz="4" w:space="0" w:color="auto"/>
            </w:tcBorders>
            <w:vAlign w:val="center"/>
            <w:hideMark/>
          </w:tcPr>
          <w:p w14:paraId="05142B34"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PX*</w:t>
            </w:r>
          </w:p>
        </w:tc>
        <w:tc>
          <w:tcPr>
            <w:tcW w:w="1182" w:type="pct"/>
            <w:tcBorders>
              <w:top w:val="nil"/>
              <w:left w:val="nil"/>
              <w:bottom w:val="single" w:sz="4" w:space="0" w:color="auto"/>
              <w:right w:val="nil"/>
            </w:tcBorders>
            <w:shd w:val="clear" w:color="auto" w:fill="FFFFFF"/>
            <w:vAlign w:val="center"/>
            <w:hideMark/>
          </w:tcPr>
          <w:p w14:paraId="71CA2BC0" w14:textId="77777777" w:rsidR="00395593" w:rsidRPr="005C5CBD" w:rsidRDefault="00395593" w:rsidP="00E15FBB">
            <w:pPr>
              <w:spacing w:after="0" w:line="276" w:lineRule="auto"/>
              <w:jc w:val="right"/>
              <w:rPr>
                <w:rFonts w:ascii="Garamond" w:eastAsia="Times New Roman" w:hAnsi="Garamond" w:cs="Calibri"/>
                <w:color w:val="000000"/>
                <w:sz w:val="24"/>
                <w:szCs w:val="24"/>
              </w:rPr>
            </w:pPr>
            <w:r w:rsidRPr="005C5CBD">
              <w:rPr>
                <w:rFonts w:ascii="Garamond" w:eastAsia="Times New Roman" w:hAnsi="Garamond" w:cs="Calibri"/>
                <w:color w:val="000000"/>
                <w:sz w:val="24"/>
                <w:szCs w:val="24"/>
              </w:rPr>
              <w:t> </w:t>
            </w:r>
          </w:p>
        </w:tc>
        <w:tc>
          <w:tcPr>
            <w:tcW w:w="1224" w:type="pct"/>
            <w:tcBorders>
              <w:top w:val="nil"/>
              <w:left w:val="single" w:sz="4" w:space="0" w:color="auto"/>
              <w:bottom w:val="single" w:sz="4" w:space="0" w:color="auto"/>
              <w:right w:val="single" w:sz="4" w:space="0" w:color="auto"/>
            </w:tcBorders>
            <w:shd w:val="clear" w:color="auto" w:fill="FFFFFF"/>
            <w:vAlign w:val="center"/>
            <w:hideMark/>
          </w:tcPr>
          <w:p w14:paraId="73FD57FD" w14:textId="77777777" w:rsidR="00395593" w:rsidRPr="005C5CBD" w:rsidRDefault="00395593" w:rsidP="00E15FBB">
            <w:pPr>
              <w:spacing w:after="0" w:line="276" w:lineRule="auto"/>
              <w:jc w:val="right"/>
              <w:rPr>
                <w:rFonts w:ascii="Garamond" w:eastAsia="Times New Roman" w:hAnsi="Garamond" w:cs="Calibri"/>
                <w:color w:val="000000"/>
                <w:sz w:val="24"/>
                <w:szCs w:val="24"/>
              </w:rPr>
            </w:pPr>
            <w:r w:rsidRPr="005C5CBD">
              <w:rPr>
                <w:rFonts w:ascii="Garamond" w:eastAsia="Times New Roman" w:hAnsi="Garamond" w:cs="Calibri"/>
                <w:color w:val="000000"/>
                <w:sz w:val="24"/>
                <w:szCs w:val="24"/>
              </w:rPr>
              <w:t> </w:t>
            </w:r>
          </w:p>
        </w:tc>
        <w:tc>
          <w:tcPr>
            <w:tcW w:w="1180" w:type="pct"/>
            <w:tcBorders>
              <w:top w:val="nil"/>
              <w:left w:val="nil"/>
              <w:bottom w:val="single" w:sz="4" w:space="0" w:color="auto"/>
              <w:right w:val="single" w:sz="4" w:space="0" w:color="auto"/>
            </w:tcBorders>
            <w:shd w:val="clear" w:color="auto" w:fill="F2F2F2"/>
            <w:vAlign w:val="center"/>
            <w:hideMark/>
          </w:tcPr>
          <w:p w14:paraId="59256CD6" w14:textId="77777777" w:rsidR="00395593" w:rsidRPr="005C5CBD" w:rsidRDefault="00395593" w:rsidP="00E15FBB">
            <w:pPr>
              <w:spacing w:after="0" w:line="276" w:lineRule="auto"/>
              <w:jc w:val="right"/>
              <w:rPr>
                <w:rFonts w:ascii="Garamond" w:eastAsia="Times New Roman" w:hAnsi="Garamond" w:cs="Calibri"/>
                <w:b/>
                <w:color w:val="000000"/>
                <w:sz w:val="24"/>
                <w:szCs w:val="24"/>
              </w:rPr>
            </w:pPr>
          </w:p>
        </w:tc>
      </w:tr>
    </w:tbl>
    <w:p w14:paraId="581854F0" w14:textId="5DD69EEA" w:rsidR="00395593" w:rsidRPr="005C5CBD" w:rsidRDefault="00395593" w:rsidP="00E15FBB">
      <w:pPr>
        <w:spacing w:after="0" w:line="276" w:lineRule="auto"/>
        <w:rPr>
          <w:rFonts w:ascii="Garamond" w:eastAsia="Times New Roman" w:hAnsi="Garamond" w:cs="Calibri"/>
          <w:color w:val="000000"/>
        </w:rPr>
      </w:pPr>
      <w:r w:rsidRPr="005C5CBD">
        <w:rPr>
          <w:rFonts w:ascii="Garamond" w:eastAsia="Times New Roman" w:hAnsi="Garamond" w:cs="Calibri"/>
          <w:color w:val="000000"/>
        </w:rPr>
        <w:t xml:space="preserve">*Equivalente aos últimos seis meses do período de redeterminação, conforme o disposto no inciso V do </w:t>
      </w:r>
      <w:r w:rsidRPr="005C5CBD">
        <w:rPr>
          <w:rFonts w:ascii="Garamond" w:eastAsia="Times New Roman" w:hAnsi="Garamond" w:cs="Calibri"/>
          <w:color w:val="000000"/>
          <w:sz w:val="24"/>
          <w:szCs w:val="24"/>
          <w:lang w:eastAsia="pt-BR"/>
        </w:rPr>
        <w:t xml:space="preserve">art. </w:t>
      </w:r>
      <w:r w:rsidR="008B3B5C">
        <w:rPr>
          <w:rFonts w:ascii="Garamond" w:eastAsia="Times New Roman" w:hAnsi="Garamond" w:cs="Calibri"/>
          <w:color w:val="000000"/>
          <w:sz w:val="24"/>
          <w:szCs w:val="24"/>
          <w:lang w:eastAsia="pt-BR"/>
        </w:rPr>
        <w:t>406</w:t>
      </w:r>
      <w:r w:rsidRPr="005C5CBD">
        <w:rPr>
          <w:rFonts w:ascii="Garamond" w:eastAsia="Times New Roman" w:hAnsi="Garamond" w:cs="Calibri"/>
          <w:color w:val="000000"/>
          <w:sz w:val="24"/>
          <w:szCs w:val="24"/>
          <w:lang w:eastAsia="pt-BR"/>
        </w:rPr>
        <w:t xml:space="preserve"> </w:t>
      </w:r>
      <w:r w:rsidRPr="005C5CBD">
        <w:rPr>
          <w:rFonts w:ascii="Garamond" w:eastAsia="Times New Roman" w:hAnsi="Garamond" w:cs="Calibri"/>
          <w:color w:val="000000"/>
        </w:rPr>
        <w:t>desta Portaria.</w:t>
      </w:r>
    </w:p>
    <w:p w14:paraId="387F655D" w14:textId="77777777" w:rsidR="00395593" w:rsidRPr="005C5CBD" w:rsidRDefault="00395593" w:rsidP="0097041B">
      <w:pPr>
        <w:spacing w:after="200" w:line="276" w:lineRule="auto"/>
        <w:rPr>
          <w:rFonts w:ascii="Garamond" w:eastAsia="Times New Roman" w:hAnsi="Garamond" w:cs="Calibri"/>
          <w:color w:val="000000"/>
        </w:rPr>
      </w:pPr>
      <w:r w:rsidRPr="005C5CBD">
        <w:rPr>
          <w:rFonts w:ascii="Garamond" w:eastAsia="Times New Roman" w:hAnsi="Garamond" w:cs="Calibri"/>
          <w:color w:val="000000"/>
        </w:rPr>
        <w:t>∑ - Somatório</w:t>
      </w:r>
    </w:p>
    <w:p w14:paraId="0A606306" w14:textId="77777777" w:rsidR="00395593" w:rsidRPr="005C5CBD" w:rsidRDefault="00395593" w:rsidP="0097041B">
      <w:pPr>
        <w:spacing w:after="200" w:line="276" w:lineRule="auto"/>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br w:type="page"/>
      </w:r>
    </w:p>
    <w:p w14:paraId="2EC3A689" w14:textId="77777777" w:rsidR="00395593" w:rsidRPr="005C5CBD" w:rsidRDefault="00395593" w:rsidP="00E15FBB">
      <w:pPr>
        <w:spacing w:after="0" w:line="240" w:lineRule="auto"/>
        <w:rPr>
          <w:rFonts w:ascii="Garamond" w:eastAsia="Times New Roman" w:hAnsi="Garamond" w:cs="Calibri"/>
          <w:sz w:val="24"/>
          <w:szCs w:val="24"/>
          <w:lang w:eastAsia="pt-BR"/>
        </w:rPr>
      </w:pPr>
    </w:p>
    <w:tbl>
      <w:tblPr>
        <w:tblW w:w="14707" w:type="dxa"/>
        <w:tblCellMar>
          <w:left w:w="70" w:type="dxa"/>
          <w:right w:w="70" w:type="dxa"/>
        </w:tblCellMar>
        <w:tblLook w:val="04A0" w:firstRow="1" w:lastRow="0" w:firstColumn="1" w:lastColumn="0" w:noHBand="0" w:noVBand="1"/>
      </w:tblPr>
      <w:tblGrid>
        <w:gridCol w:w="2832"/>
        <w:gridCol w:w="9555"/>
        <w:gridCol w:w="2320"/>
      </w:tblGrid>
      <w:tr w:rsidR="00395593" w:rsidRPr="00AC0363" w14:paraId="55789137" w14:textId="77777777" w:rsidTr="00395593">
        <w:trPr>
          <w:trHeight w:val="425"/>
        </w:trPr>
        <w:tc>
          <w:tcPr>
            <w:tcW w:w="2832" w:type="dxa"/>
            <w:tcBorders>
              <w:top w:val="nil"/>
              <w:left w:val="nil"/>
              <w:bottom w:val="nil"/>
              <w:right w:val="nil"/>
            </w:tcBorders>
            <w:shd w:val="clear" w:color="auto" w:fill="auto"/>
            <w:noWrap/>
            <w:vAlign w:val="bottom"/>
            <w:hideMark/>
          </w:tcPr>
          <w:p w14:paraId="22D8A8F1" w14:textId="77777777" w:rsidR="00395593" w:rsidRPr="005C5CBD" w:rsidRDefault="00395593" w:rsidP="00E15FBB">
            <w:pPr>
              <w:spacing w:after="0" w:line="240" w:lineRule="auto"/>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br w:type="page"/>
            </w:r>
          </w:p>
        </w:tc>
        <w:tc>
          <w:tcPr>
            <w:tcW w:w="9555" w:type="dxa"/>
            <w:tcBorders>
              <w:top w:val="nil"/>
              <w:left w:val="nil"/>
              <w:bottom w:val="nil"/>
              <w:right w:val="nil"/>
            </w:tcBorders>
            <w:shd w:val="clear" w:color="auto" w:fill="auto"/>
            <w:noWrap/>
            <w:vAlign w:val="center"/>
            <w:hideMark/>
          </w:tcPr>
          <w:p w14:paraId="6CD5F0D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APÊNDICE III</w:t>
            </w:r>
          </w:p>
          <w:p w14:paraId="6685CA16"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DOS SUBSÍDIOS</w:t>
            </w:r>
          </w:p>
        </w:tc>
        <w:tc>
          <w:tcPr>
            <w:tcW w:w="2320" w:type="dxa"/>
            <w:tcBorders>
              <w:top w:val="nil"/>
              <w:left w:val="nil"/>
              <w:bottom w:val="nil"/>
              <w:right w:val="nil"/>
            </w:tcBorders>
            <w:shd w:val="clear" w:color="auto" w:fill="auto"/>
            <w:noWrap/>
            <w:vAlign w:val="bottom"/>
            <w:hideMark/>
          </w:tcPr>
          <w:p w14:paraId="35A6A79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r>
    </w:tbl>
    <w:p w14:paraId="0D67D5C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bl>
      <w:tblPr>
        <w:tblW w:w="5000" w:type="pct"/>
        <w:tblCellMar>
          <w:left w:w="70" w:type="dxa"/>
          <w:right w:w="70" w:type="dxa"/>
        </w:tblCellMar>
        <w:tblLook w:val="04A0" w:firstRow="1" w:lastRow="0" w:firstColumn="1" w:lastColumn="0" w:noHBand="0" w:noVBand="1"/>
      </w:tblPr>
      <w:tblGrid>
        <w:gridCol w:w="4770"/>
        <w:gridCol w:w="4770"/>
        <w:gridCol w:w="4767"/>
      </w:tblGrid>
      <w:tr w:rsidR="00395593" w:rsidRPr="00AC0363" w14:paraId="45749B0C" w14:textId="77777777" w:rsidTr="00395593">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020B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Autoridades envolvidas</w:t>
            </w:r>
          </w:p>
        </w:tc>
      </w:tr>
      <w:tr w:rsidR="00395593" w:rsidRPr="00AC0363" w14:paraId="0C4B83AA" w14:textId="77777777" w:rsidTr="00395593">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256CF18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1.0</w:t>
            </w:r>
          </w:p>
        </w:tc>
        <w:tc>
          <w:tcPr>
            <w:tcW w:w="1667" w:type="pct"/>
            <w:tcBorders>
              <w:top w:val="nil"/>
              <w:left w:val="nil"/>
              <w:bottom w:val="single" w:sz="4" w:space="0" w:color="auto"/>
              <w:right w:val="single" w:sz="4" w:space="0" w:color="auto"/>
            </w:tcBorders>
            <w:shd w:val="clear" w:color="auto" w:fill="auto"/>
            <w:noWrap/>
            <w:vAlign w:val="center"/>
            <w:hideMark/>
          </w:tcPr>
          <w:p w14:paraId="5F7A9D8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2.0</w:t>
            </w:r>
          </w:p>
        </w:tc>
        <w:tc>
          <w:tcPr>
            <w:tcW w:w="1666" w:type="pct"/>
            <w:tcBorders>
              <w:top w:val="nil"/>
              <w:left w:val="nil"/>
              <w:bottom w:val="single" w:sz="4" w:space="0" w:color="auto"/>
              <w:right w:val="single" w:sz="4" w:space="0" w:color="auto"/>
            </w:tcBorders>
            <w:shd w:val="clear" w:color="auto" w:fill="auto"/>
            <w:noWrap/>
            <w:vAlign w:val="center"/>
            <w:hideMark/>
          </w:tcPr>
          <w:p w14:paraId="7DFA744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3.0</w:t>
            </w:r>
          </w:p>
        </w:tc>
      </w:tr>
      <w:tr w:rsidR="00395593" w:rsidRPr="00AC0363" w14:paraId="75573E8F" w14:textId="77777777" w:rsidTr="00395593">
        <w:trPr>
          <w:trHeight w:val="567"/>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806C954"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País Exportador</w:t>
            </w:r>
          </w:p>
        </w:tc>
        <w:tc>
          <w:tcPr>
            <w:tcW w:w="1667" w:type="pct"/>
            <w:tcBorders>
              <w:top w:val="nil"/>
              <w:left w:val="nil"/>
              <w:bottom w:val="single" w:sz="4" w:space="0" w:color="auto"/>
              <w:right w:val="single" w:sz="4" w:space="0" w:color="auto"/>
            </w:tcBorders>
            <w:shd w:val="clear" w:color="auto" w:fill="auto"/>
            <w:vAlign w:val="center"/>
            <w:hideMark/>
          </w:tcPr>
          <w:p w14:paraId="47667AAD"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Nome da Autoridade Outorgante</w:t>
            </w:r>
          </w:p>
        </w:tc>
        <w:tc>
          <w:tcPr>
            <w:tcW w:w="1666" w:type="pct"/>
            <w:tcBorders>
              <w:top w:val="nil"/>
              <w:left w:val="nil"/>
              <w:bottom w:val="single" w:sz="4" w:space="0" w:color="auto"/>
              <w:right w:val="single" w:sz="4" w:space="0" w:color="auto"/>
            </w:tcBorders>
            <w:shd w:val="clear" w:color="auto" w:fill="auto"/>
            <w:vAlign w:val="center"/>
            <w:hideMark/>
          </w:tcPr>
          <w:p w14:paraId="417D0C8C"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Nome da Autoridade que administra o programa</w:t>
            </w:r>
          </w:p>
        </w:tc>
      </w:tr>
    </w:tbl>
    <w:p w14:paraId="2F07DCC6" w14:textId="77777777" w:rsidR="00395593" w:rsidRPr="005C5CBD" w:rsidRDefault="00395593" w:rsidP="00E15FBB">
      <w:pPr>
        <w:tabs>
          <w:tab w:val="left" w:pos="5385"/>
        </w:tabs>
        <w:spacing w:after="0" w:line="240" w:lineRule="auto"/>
        <w:rPr>
          <w:rFonts w:ascii="Garamond" w:eastAsia="Times New Roman" w:hAnsi="Garamond" w:cs="Calibri"/>
          <w:b/>
          <w:color w:val="000000"/>
          <w:sz w:val="24"/>
          <w:szCs w:val="24"/>
          <w:lang w:eastAsia="pt-BR"/>
        </w:rPr>
      </w:pPr>
    </w:p>
    <w:tbl>
      <w:tblPr>
        <w:tblW w:w="5027" w:type="pct"/>
        <w:tblLayout w:type="fixed"/>
        <w:tblCellMar>
          <w:left w:w="70" w:type="dxa"/>
          <w:right w:w="70" w:type="dxa"/>
        </w:tblCellMar>
        <w:tblLook w:val="04A0" w:firstRow="1" w:lastRow="0" w:firstColumn="1" w:lastColumn="0" w:noHBand="0" w:noVBand="1"/>
      </w:tblPr>
      <w:tblGrid>
        <w:gridCol w:w="1432"/>
        <w:gridCol w:w="707"/>
        <w:gridCol w:w="722"/>
        <w:gridCol w:w="1433"/>
        <w:gridCol w:w="1433"/>
        <w:gridCol w:w="713"/>
        <w:gridCol w:w="782"/>
        <w:gridCol w:w="1433"/>
        <w:gridCol w:w="12"/>
        <w:gridCol w:w="1421"/>
        <w:gridCol w:w="12"/>
        <w:gridCol w:w="1418"/>
        <w:gridCol w:w="14"/>
        <w:gridCol w:w="1413"/>
        <w:gridCol w:w="14"/>
        <w:gridCol w:w="1413"/>
        <w:gridCol w:w="12"/>
      </w:tblGrid>
      <w:tr w:rsidR="00E15FBB" w:rsidRPr="005C5CBD" w14:paraId="289EDC7B" w14:textId="77777777" w:rsidTr="005C5CBD">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AD7643" w14:textId="77777777" w:rsidR="00E15FBB" w:rsidRPr="005C5CBD" w:rsidRDefault="00E15FBB"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Informações gerais do programa</w:t>
            </w:r>
          </w:p>
        </w:tc>
      </w:tr>
      <w:tr w:rsidR="00E15FBB" w:rsidRPr="005C5CBD" w14:paraId="6286EDAB" w14:textId="77777777" w:rsidTr="005C5CBD">
        <w:trPr>
          <w:gridAfter w:val="1"/>
          <w:wAfter w:w="4" w:type="pct"/>
          <w:trHeight w:val="300"/>
        </w:trPr>
        <w:tc>
          <w:tcPr>
            <w:tcW w:w="3009" w:type="pct"/>
            <w:gridSpan w:val="8"/>
            <w:tcBorders>
              <w:top w:val="nil"/>
              <w:left w:val="single" w:sz="4" w:space="0" w:color="auto"/>
              <w:bottom w:val="single" w:sz="4" w:space="0" w:color="auto"/>
              <w:right w:val="single" w:sz="4" w:space="0" w:color="auto"/>
            </w:tcBorders>
            <w:shd w:val="clear" w:color="auto" w:fill="auto"/>
            <w:noWrap/>
            <w:vAlign w:val="center"/>
          </w:tcPr>
          <w:p w14:paraId="717D22FD" w14:textId="77777777" w:rsidR="00E15FBB" w:rsidRPr="005C5CBD" w:rsidRDefault="00E15FBB" w:rsidP="00E15FBB">
            <w:pPr>
              <w:spacing w:after="0" w:line="240" w:lineRule="auto"/>
              <w:jc w:val="center"/>
              <w:rPr>
                <w:rFonts w:ascii="Garamond" w:eastAsia="Times New Roman" w:hAnsi="Garamond" w:cs="Calibri"/>
                <w:b/>
                <w:i/>
                <w:color w:val="000000"/>
                <w:sz w:val="24"/>
                <w:szCs w:val="24"/>
                <w:lang w:eastAsia="pt-BR"/>
              </w:rPr>
            </w:pPr>
            <w:r w:rsidRPr="005C5CBD">
              <w:rPr>
                <w:rFonts w:ascii="Garamond" w:eastAsia="Times New Roman" w:hAnsi="Garamond" w:cs="Calibri"/>
                <w:b/>
                <w:i/>
                <w:color w:val="000000"/>
                <w:sz w:val="24"/>
                <w:szCs w:val="24"/>
                <w:lang w:eastAsia="pt-BR"/>
              </w:rPr>
              <w:t>Campos Obrigatórios</w:t>
            </w:r>
          </w:p>
        </w:tc>
        <w:tc>
          <w:tcPr>
            <w:tcW w:w="1987" w:type="pct"/>
            <w:gridSpan w:val="8"/>
            <w:tcBorders>
              <w:top w:val="nil"/>
              <w:left w:val="nil"/>
              <w:bottom w:val="single" w:sz="4" w:space="0" w:color="auto"/>
              <w:right w:val="single" w:sz="4" w:space="0" w:color="auto"/>
            </w:tcBorders>
          </w:tcPr>
          <w:p w14:paraId="68B4289D" w14:textId="77777777" w:rsidR="00E15FBB" w:rsidRPr="005C5CBD" w:rsidRDefault="00E15FBB" w:rsidP="00E15FBB">
            <w:pPr>
              <w:spacing w:after="0" w:line="240" w:lineRule="auto"/>
              <w:jc w:val="center"/>
              <w:rPr>
                <w:rFonts w:ascii="Garamond" w:eastAsia="Times New Roman" w:hAnsi="Garamond" w:cs="Calibri"/>
                <w:b/>
                <w:i/>
                <w:color w:val="000000"/>
                <w:sz w:val="24"/>
                <w:szCs w:val="24"/>
                <w:lang w:eastAsia="pt-BR"/>
              </w:rPr>
            </w:pPr>
            <w:r w:rsidRPr="005C5CBD">
              <w:rPr>
                <w:rFonts w:ascii="Garamond" w:eastAsia="Times New Roman" w:hAnsi="Garamond" w:cs="Calibri"/>
                <w:b/>
                <w:i/>
                <w:color w:val="000000"/>
                <w:sz w:val="24"/>
                <w:szCs w:val="24"/>
                <w:lang w:eastAsia="pt-BR"/>
              </w:rPr>
              <w:t>Preencher quando possível</w:t>
            </w:r>
          </w:p>
        </w:tc>
      </w:tr>
      <w:tr w:rsidR="00E15FBB" w:rsidRPr="005C5CBD" w14:paraId="135AC2E9" w14:textId="77777777" w:rsidTr="005C5CBD">
        <w:trPr>
          <w:gridAfter w:val="1"/>
          <w:wAfter w:w="4" w:type="pct"/>
          <w:trHeight w:val="300"/>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D58A2C4" w14:textId="77777777" w:rsidR="00E15FBB" w:rsidRPr="005C5CBD" w:rsidRDefault="00E15FBB"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4.0</w:t>
            </w:r>
          </w:p>
        </w:tc>
        <w:tc>
          <w:tcPr>
            <w:tcW w:w="497" w:type="pct"/>
            <w:gridSpan w:val="2"/>
            <w:tcBorders>
              <w:top w:val="nil"/>
              <w:left w:val="nil"/>
              <w:bottom w:val="single" w:sz="4" w:space="0" w:color="auto"/>
              <w:right w:val="single" w:sz="4" w:space="0" w:color="auto"/>
            </w:tcBorders>
            <w:shd w:val="clear" w:color="auto" w:fill="auto"/>
            <w:noWrap/>
            <w:vAlign w:val="center"/>
            <w:hideMark/>
          </w:tcPr>
          <w:p w14:paraId="7C693DBF" w14:textId="77777777" w:rsidR="00E15FBB" w:rsidRPr="005C5CBD" w:rsidRDefault="00E15FBB"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5.0</w:t>
            </w:r>
          </w:p>
        </w:tc>
        <w:tc>
          <w:tcPr>
            <w:tcW w:w="498" w:type="pct"/>
            <w:tcBorders>
              <w:top w:val="nil"/>
              <w:left w:val="nil"/>
              <w:bottom w:val="single" w:sz="4" w:space="0" w:color="auto"/>
              <w:right w:val="single" w:sz="4" w:space="0" w:color="auto"/>
            </w:tcBorders>
            <w:shd w:val="clear" w:color="auto" w:fill="auto"/>
            <w:noWrap/>
            <w:vAlign w:val="center"/>
            <w:hideMark/>
          </w:tcPr>
          <w:p w14:paraId="6C72D506" w14:textId="77777777" w:rsidR="00E15FBB" w:rsidRPr="005C5CBD" w:rsidRDefault="00E15FBB"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6.0</w:t>
            </w:r>
          </w:p>
        </w:tc>
        <w:tc>
          <w:tcPr>
            <w:tcW w:w="498" w:type="pct"/>
            <w:tcBorders>
              <w:top w:val="nil"/>
              <w:left w:val="nil"/>
              <w:bottom w:val="single" w:sz="4" w:space="0" w:color="auto"/>
              <w:right w:val="single" w:sz="4" w:space="0" w:color="auto"/>
            </w:tcBorders>
            <w:shd w:val="clear" w:color="auto" w:fill="auto"/>
            <w:noWrap/>
            <w:vAlign w:val="center"/>
            <w:hideMark/>
          </w:tcPr>
          <w:p w14:paraId="0C634523" w14:textId="77777777" w:rsidR="00E15FBB" w:rsidRPr="005C5CBD" w:rsidRDefault="00E15FBB"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7.0</w:t>
            </w:r>
          </w:p>
        </w:tc>
        <w:tc>
          <w:tcPr>
            <w:tcW w:w="520" w:type="pct"/>
            <w:gridSpan w:val="2"/>
            <w:tcBorders>
              <w:top w:val="nil"/>
              <w:left w:val="nil"/>
              <w:bottom w:val="single" w:sz="4" w:space="0" w:color="auto"/>
              <w:right w:val="single" w:sz="4" w:space="0" w:color="auto"/>
            </w:tcBorders>
            <w:shd w:val="clear" w:color="auto" w:fill="auto"/>
            <w:noWrap/>
            <w:vAlign w:val="center"/>
            <w:hideMark/>
          </w:tcPr>
          <w:p w14:paraId="5760103A" w14:textId="77777777" w:rsidR="00E15FBB" w:rsidRPr="005C5CBD" w:rsidRDefault="00E15FBB"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8.0</w:t>
            </w:r>
          </w:p>
        </w:tc>
        <w:tc>
          <w:tcPr>
            <w:tcW w:w="498" w:type="pct"/>
            <w:tcBorders>
              <w:top w:val="nil"/>
              <w:left w:val="nil"/>
              <w:bottom w:val="single" w:sz="4" w:space="0" w:color="auto"/>
              <w:right w:val="single" w:sz="4" w:space="0" w:color="auto"/>
            </w:tcBorders>
            <w:shd w:val="clear" w:color="auto" w:fill="auto"/>
            <w:noWrap/>
            <w:vAlign w:val="center"/>
            <w:hideMark/>
          </w:tcPr>
          <w:p w14:paraId="1B5B69F9" w14:textId="77777777" w:rsidR="00E15FBB" w:rsidRPr="005C5CBD" w:rsidRDefault="00E15FBB"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9.0</w:t>
            </w:r>
          </w:p>
        </w:tc>
        <w:tc>
          <w:tcPr>
            <w:tcW w:w="498" w:type="pct"/>
            <w:gridSpan w:val="2"/>
            <w:tcBorders>
              <w:top w:val="nil"/>
              <w:left w:val="nil"/>
              <w:bottom w:val="single" w:sz="4" w:space="0" w:color="auto"/>
              <w:right w:val="single" w:sz="4" w:space="0" w:color="auto"/>
            </w:tcBorders>
          </w:tcPr>
          <w:p w14:paraId="1CFD3453" w14:textId="77777777" w:rsidR="00E15FBB" w:rsidRPr="005C5CBD" w:rsidRDefault="00E15FBB"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10.0</w:t>
            </w:r>
          </w:p>
        </w:tc>
        <w:tc>
          <w:tcPr>
            <w:tcW w:w="497" w:type="pct"/>
            <w:gridSpan w:val="2"/>
            <w:tcBorders>
              <w:top w:val="nil"/>
              <w:left w:val="nil"/>
              <w:bottom w:val="single" w:sz="4" w:space="0" w:color="auto"/>
              <w:right w:val="single" w:sz="4" w:space="0" w:color="auto"/>
            </w:tcBorders>
          </w:tcPr>
          <w:p w14:paraId="38CD16D7" w14:textId="77777777" w:rsidR="00E15FBB" w:rsidRPr="005C5CBD" w:rsidRDefault="00E15FBB"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11.0</w:t>
            </w:r>
          </w:p>
        </w:tc>
        <w:tc>
          <w:tcPr>
            <w:tcW w:w="496" w:type="pct"/>
            <w:gridSpan w:val="2"/>
            <w:tcBorders>
              <w:top w:val="nil"/>
              <w:left w:val="nil"/>
              <w:bottom w:val="single" w:sz="4" w:space="0" w:color="auto"/>
              <w:right w:val="single" w:sz="4" w:space="0" w:color="auto"/>
            </w:tcBorders>
          </w:tcPr>
          <w:p w14:paraId="2EF202E9" w14:textId="77777777" w:rsidR="00E15FBB" w:rsidRPr="005C5CBD" w:rsidRDefault="00E15FBB"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12.0</w:t>
            </w:r>
          </w:p>
        </w:tc>
        <w:tc>
          <w:tcPr>
            <w:tcW w:w="496" w:type="pct"/>
            <w:gridSpan w:val="2"/>
            <w:tcBorders>
              <w:top w:val="nil"/>
              <w:left w:val="nil"/>
              <w:bottom w:val="single" w:sz="4" w:space="0" w:color="auto"/>
              <w:right w:val="single" w:sz="4" w:space="0" w:color="auto"/>
            </w:tcBorders>
          </w:tcPr>
          <w:p w14:paraId="15665F17" w14:textId="77777777" w:rsidR="00E15FBB" w:rsidRPr="005C5CBD" w:rsidRDefault="00E15FBB"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13.0</w:t>
            </w:r>
          </w:p>
        </w:tc>
      </w:tr>
      <w:tr w:rsidR="00E15FBB" w:rsidRPr="005C5CBD" w14:paraId="2C0782B9" w14:textId="77777777" w:rsidTr="005C5CBD">
        <w:trPr>
          <w:gridAfter w:val="1"/>
          <w:wAfter w:w="4" w:type="pct"/>
          <w:trHeight w:val="1800"/>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4180C" w14:textId="77777777" w:rsidR="00E15FBB" w:rsidRPr="005C5CBD" w:rsidRDefault="00E15FBB"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Nome do Programa</w:t>
            </w:r>
          </w:p>
        </w:tc>
        <w:tc>
          <w:tcPr>
            <w:tcW w:w="497" w:type="pct"/>
            <w:gridSpan w:val="2"/>
            <w:tcBorders>
              <w:top w:val="nil"/>
              <w:left w:val="nil"/>
              <w:bottom w:val="single" w:sz="4" w:space="0" w:color="auto"/>
              <w:right w:val="single" w:sz="4" w:space="0" w:color="auto"/>
            </w:tcBorders>
            <w:shd w:val="clear" w:color="auto" w:fill="auto"/>
            <w:vAlign w:val="center"/>
            <w:hideMark/>
          </w:tcPr>
          <w:p w14:paraId="7E4B4F0F" w14:textId="77777777" w:rsidR="00E15FBB" w:rsidRPr="005C5CBD" w:rsidRDefault="00E15FBB"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Descrição sucinta do programa</w:t>
            </w:r>
          </w:p>
        </w:tc>
        <w:tc>
          <w:tcPr>
            <w:tcW w:w="498" w:type="pct"/>
            <w:tcBorders>
              <w:top w:val="nil"/>
              <w:left w:val="nil"/>
              <w:bottom w:val="single" w:sz="4" w:space="0" w:color="auto"/>
              <w:right w:val="single" w:sz="4" w:space="0" w:color="auto"/>
            </w:tcBorders>
            <w:shd w:val="clear" w:color="auto" w:fill="auto"/>
            <w:vAlign w:val="center"/>
            <w:hideMark/>
          </w:tcPr>
          <w:p w14:paraId="2A24F653" w14:textId="2B693E5D" w:rsidR="00E15FBB" w:rsidRPr="005C5CBD" w:rsidRDefault="00E15FBB"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 xml:space="preserve">Forma de contribuição, conforme art. </w:t>
            </w:r>
            <w:r w:rsidRPr="005C5CBD">
              <w:rPr>
                <w:rFonts w:ascii="Garamond" w:eastAsia="Times New Roman" w:hAnsi="Garamond" w:cs="Calibri"/>
                <w:b/>
                <w:color w:val="000000"/>
                <w:lang w:eastAsia="pt-BR"/>
              </w:rPr>
              <w:fldChar w:fldCharType="begin"/>
            </w:r>
            <w:r w:rsidRPr="005C5CBD">
              <w:rPr>
                <w:rFonts w:ascii="Garamond" w:eastAsia="Times New Roman" w:hAnsi="Garamond" w:cs="Calibri"/>
                <w:b/>
                <w:color w:val="000000"/>
                <w:lang w:eastAsia="pt-BR"/>
              </w:rPr>
              <w:instrText xml:space="preserve"> REF _Ref54380809 \r \h  \* MERGEFORMAT </w:instrText>
            </w:r>
            <w:r w:rsidRPr="005C5CBD">
              <w:rPr>
                <w:rFonts w:ascii="Garamond" w:eastAsia="Times New Roman" w:hAnsi="Garamond" w:cs="Calibri"/>
                <w:b/>
                <w:color w:val="000000"/>
                <w:lang w:eastAsia="pt-BR"/>
              </w:rPr>
            </w:r>
            <w:r w:rsidRPr="005C5CBD">
              <w:rPr>
                <w:rFonts w:ascii="Garamond" w:eastAsia="Times New Roman" w:hAnsi="Garamond" w:cs="Calibri"/>
                <w:b/>
                <w:color w:val="000000"/>
                <w:lang w:eastAsia="pt-BR"/>
              </w:rPr>
              <w:fldChar w:fldCharType="separate"/>
            </w:r>
            <w:r w:rsidR="00AC4E61" w:rsidRPr="005C5CBD">
              <w:rPr>
                <w:rFonts w:ascii="Garamond" w:eastAsia="Times New Roman" w:hAnsi="Garamond" w:cs="Calibri"/>
                <w:bCs/>
                <w:color w:val="000000"/>
                <w:lang w:eastAsia="pt-BR"/>
              </w:rPr>
              <w:t>Erro! Fonte de referência não encontrada.</w:t>
            </w:r>
            <w:r w:rsidRPr="005C5CBD">
              <w:rPr>
                <w:rFonts w:ascii="Garamond" w:eastAsia="Times New Roman" w:hAnsi="Garamond" w:cs="Calibri"/>
                <w:b/>
                <w:color w:val="000000"/>
                <w:lang w:eastAsia="pt-BR"/>
              </w:rPr>
              <w:fldChar w:fldCharType="end"/>
            </w:r>
            <w:r w:rsidRPr="005C5CBD">
              <w:rPr>
                <w:rFonts w:ascii="Garamond" w:eastAsia="Times New Roman" w:hAnsi="Garamond" w:cs="Calibri"/>
                <w:b/>
                <w:color w:val="000000"/>
                <w:lang w:eastAsia="pt-BR"/>
              </w:rPr>
              <w:t>, III</w:t>
            </w:r>
          </w:p>
        </w:tc>
        <w:tc>
          <w:tcPr>
            <w:tcW w:w="498" w:type="pct"/>
            <w:tcBorders>
              <w:top w:val="nil"/>
              <w:left w:val="nil"/>
              <w:bottom w:val="single" w:sz="4" w:space="0" w:color="auto"/>
              <w:right w:val="single" w:sz="4" w:space="0" w:color="auto"/>
            </w:tcBorders>
            <w:shd w:val="clear" w:color="auto" w:fill="auto"/>
            <w:vAlign w:val="center"/>
            <w:hideMark/>
          </w:tcPr>
          <w:p w14:paraId="670A9C00" w14:textId="77777777" w:rsidR="00E15FBB" w:rsidRPr="005C5CBD" w:rsidRDefault="00E15FBB"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Legislação ou regulamento aplicável</w:t>
            </w:r>
          </w:p>
        </w:tc>
        <w:tc>
          <w:tcPr>
            <w:tcW w:w="520" w:type="pct"/>
            <w:gridSpan w:val="2"/>
            <w:tcBorders>
              <w:top w:val="nil"/>
              <w:left w:val="nil"/>
              <w:bottom w:val="single" w:sz="4" w:space="0" w:color="auto"/>
              <w:right w:val="single" w:sz="4" w:space="0" w:color="auto"/>
            </w:tcBorders>
            <w:shd w:val="clear" w:color="auto" w:fill="auto"/>
            <w:vAlign w:val="center"/>
            <w:hideMark/>
          </w:tcPr>
          <w:p w14:paraId="1D0FA1A4" w14:textId="77777777" w:rsidR="00E15FBB" w:rsidRPr="005C5CBD" w:rsidRDefault="00E15FBB"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Especificidade</w:t>
            </w:r>
          </w:p>
        </w:tc>
        <w:tc>
          <w:tcPr>
            <w:tcW w:w="498" w:type="pct"/>
            <w:tcBorders>
              <w:top w:val="nil"/>
              <w:left w:val="nil"/>
              <w:bottom w:val="single" w:sz="4" w:space="0" w:color="auto"/>
              <w:right w:val="single" w:sz="4" w:space="0" w:color="auto"/>
            </w:tcBorders>
            <w:shd w:val="clear" w:color="auto" w:fill="auto"/>
            <w:noWrap/>
            <w:vAlign w:val="center"/>
            <w:hideMark/>
          </w:tcPr>
          <w:p w14:paraId="7BB8CACB" w14:textId="77777777" w:rsidR="00E15FBB" w:rsidRPr="005C5CBD" w:rsidRDefault="00E15FBB"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Descrição sucinta do benefício concedido</w:t>
            </w:r>
            <w:r w:rsidRPr="005C5CBD" w:rsidDel="002A6455">
              <w:rPr>
                <w:rFonts w:ascii="Garamond" w:eastAsia="Times New Roman" w:hAnsi="Garamond" w:cs="Calibri"/>
                <w:b/>
                <w:color w:val="000000"/>
                <w:lang w:eastAsia="pt-BR"/>
              </w:rPr>
              <w:t xml:space="preserve"> </w:t>
            </w:r>
          </w:p>
        </w:tc>
        <w:tc>
          <w:tcPr>
            <w:tcW w:w="498" w:type="pct"/>
            <w:gridSpan w:val="2"/>
            <w:tcBorders>
              <w:top w:val="nil"/>
              <w:left w:val="nil"/>
              <w:bottom w:val="single" w:sz="4" w:space="0" w:color="auto"/>
              <w:right w:val="single" w:sz="4" w:space="0" w:color="auto"/>
            </w:tcBorders>
            <w:vAlign w:val="center"/>
          </w:tcPr>
          <w:p w14:paraId="7B48D31D" w14:textId="77777777" w:rsidR="00E15FBB" w:rsidRPr="005C5CBD" w:rsidRDefault="00E15FBB"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Data da entrada em vigor do programa</w:t>
            </w:r>
            <w:r w:rsidRPr="005C5CBD" w:rsidDel="002A6455">
              <w:rPr>
                <w:rFonts w:ascii="Garamond" w:eastAsia="Times New Roman" w:hAnsi="Garamond" w:cs="Calibri"/>
                <w:b/>
                <w:color w:val="000000"/>
                <w:lang w:eastAsia="pt-BR"/>
              </w:rPr>
              <w:t xml:space="preserve"> </w:t>
            </w:r>
          </w:p>
        </w:tc>
        <w:tc>
          <w:tcPr>
            <w:tcW w:w="497" w:type="pct"/>
            <w:gridSpan w:val="2"/>
            <w:tcBorders>
              <w:top w:val="nil"/>
              <w:left w:val="nil"/>
              <w:bottom w:val="single" w:sz="4" w:space="0" w:color="auto"/>
              <w:right w:val="single" w:sz="4" w:space="0" w:color="auto"/>
            </w:tcBorders>
            <w:vAlign w:val="center"/>
          </w:tcPr>
          <w:p w14:paraId="33D80C07" w14:textId="77777777" w:rsidR="00E15FBB" w:rsidRPr="005C5CBD" w:rsidRDefault="00E15FBB"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Data de encerramento do programa</w:t>
            </w:r>
          </w:p>
        </w:tc>
        <w:tc>
          <w:tcPr>
            <w:tcW w:w="496" w:type="pct"/>
            <w:gridSpan w:val="2"/>
            <w:tcBorders>
              <w:top w:val="nil"/>
              <w:left w:val="nil"/>
              <w:bottom w:val="single" w:sz="4" w:space="0" w:color="auto"/>
              <w:right w:val="single" w:sz="4" w:space="0" w:color="auto"/>
            </w:tcBorders>
            <w:vAlign w:val="center"/>
          </w:tcPr>
          <w:p w14:paraId="02523234" w14:textId="77777777" w:rsidR="00E15FBB" w:rsidRPr="005C5CBD" w:rsidRDefault="00E15FBB" w:rsidP="00E15FBB">
            <w:pPr>
              <w:spacing w:after="0" w:line="240" w:lineRule="auto"/>
              <w:jc w:val="center"/>
              <w:rPr>
                <w:rFonts w:ascii="Garamond" w:eastAsia="Times New Roman" w:hAnsi="Garamond" w:cs="Calibri"/>
                <w:b/>
                <w:color w:val="000000"/>
                <w:lang w:eastAsia="pt-BR"/>
              </w:rPr>
            </w:pPr>
          </w:p>
          <w:p w14:paraId="265C9736" w14:textId="77777777" w:rsidR="00E15FBB" w:rsidRPr="005C5CBD" w:rsidRDefault="00E15FBB"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Benchmark</w:t>
            </w:r>
          </w:p>
        </w:tc>
        <w:tc>
          <w:tcPr>
            <w:tcW w:w="496" w:type="pct"/>
            <w:gridSpan w:val="2"/>
            <w:tcBorders>
              <w:top w:val="nil"/>
              <w:left w:val="nil"/>
              <w:bottom w:val="single" w:sz="4" w:space="0" w:color="auto"/>
              <w:right w:val="single" w:sz="4" w:space="0" w:color="auto"/>
            </w:tcBorders>
            <w:vAlign w:val="center"/>
          </w:tcPr>
          <w:p w14:paraId="4921AD70" w14:textId="77777777" w:rsidR="00E15FBB" w:rsidRPr="005C5CBD" w:rsidRDefault="00E15FBB"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Montante estimado do subsídio concedido</w:t>
            </w:r>
          </w:p>
        </w:tc>
      </w:tr>
      <w:tr w:rsidR="00E15FBB" w:rsidRPr="005C5CBD" w14:paraId="21F9FAFA" w14:textId="77777777" w:rsidTr="005C5CBD">
        <w:trPr>
          <w:trHeight w:val="300"/>
        </w:trPr>
        <w:tc>
          <w:tcPr>
            <w:tcW w:w="744" w:type="pct"/>
            <w:gridSpan w:val="2"/>
            <w:tcBorders>
              <w:top w:val="nil"/>
              <w:left w:val="nil"/>
              <w:bottom w:val="nil"/>
              <w:right w:val="nil"/>
            </w:tcBorders>
            <w:shd w:val="clear" w:color="auto" w:fill="auto"/>
            <w:noWrap/>
            <w:vAlign w:val="bottom"/>
            <w:hideMark/>
          </w:tcPr>
          <w:p w14:paraId="372EAF4D" w14:textId="77777777" w:rsidR="00E15FBB" w:rsidRPr="005C5CBD" w:rsidRDefault="00E15FBB" w:rsidP="00E15FBB">
            <w:pPr>
              <w:spacing w:after="0" w:line="240" w:lineRule="auto"/>
              <w:rPr>
                <w:rFonts w:ascii="Garamond" w:eastAsia="Times New Roman" w:hAnsi="Garamond" w:cs="Calibri"/>
                <w:color w:val="000000"/>
                <w:sz w:val="24"/>
                <w:szCs w:val="24"/>
                <w:lang w:eastAsia="pt-BR"/>
              </w:rPr>
            </w:pPr>
          </w:p>
        </w:tc>
        <w:tc>
          <w:tcPr>
            <w:tcW w:w="749" w:type="pct"/>
            <w:gridSpan w:val="2"/>
            <w:tcBorders>
              <w:top w:val="nil"/>
              <w:left w:val="nil"/>
              <w:bottom w:val="nil"/>
              <w:right w:val="nil"/>
            </w:tcBorders>
            <w:shd w:val="clear" w:color="auto" w:fill="auto"/>
            <w:noWrap/>
            <w:vAlign w:val="bottom"/>
            <w:hideMark/>
          </w:tcPr>
          <w:p w14:paraId="1507EA60" w14:textId="77777777" w:rsidR="00E15FBB" w:rsidRPr="005C5CBD" w:rsidRDefault="00E15FBB" w:rsidP="00E15FBB">
            <w:pPr>
              <w:spacing w:after="0" w:line="240" w:lineRule="auto"/>
              <w:rPr>
                <w:rFonts w:ascii="Garamond" w:eastAsia="Times New Roman" w:hAnsi="Garamond" w:cs="Calibri"/>
                <w:sz w:val="24"/>
                <w:szCs w:val="24"/>
                <w:lang w:eastAsia="pt-BR"/>
              </w:rPr>
            </w:pPr>
          </w:p>
        </w:tc>
        <w:tc>
          <w:tcPr>
            <w:tcW w:w="746" w:type="pct"/>
            <w:gridSpan w:val="2"/>
            <w:tcBorders>
              <w:top w:val="nil"/>
              <w:left w:val="nil"/>
              <w:bottom w:val="nil"/>
              <w:right w:val="nil"/>
            </w:tcBorders>
            <w:shd w:val="clear" w:color="auto" w:fill="auto"/>
            <w:noWrap/>
            <w:vAlign w:val="bottom"/>
            <w:hideMark/>
          </w:tcPr>
          <w:p w14:paraId="6BB730B3" w14:textId="77777777" w:rsidR="00E15FBB" w:rsidRPr="005C5CBD" w:rsidRDefault="00E15FBB" w:rsidP="00E15FBB">
            <w:pPr>
              <w:spacing w:after="0" w:line="240" w:lineRule="auto"/>
              <w:rPr>
                <w:rFonts w:ascii="Garamond" w:eastAsia="Times New Roman" w:hAnsi="Garamond" w:cs="Calibri"/>
                <w:color w:val="000000"/>
                <w:sz w:val="24"/>
                <w:szCs w:val="24"/>
                <w:lang w:eastAsia="pt-BR"/>
              </w:rPr>
            </w:pPr>
          </w:p>
        </w:tc>
        <w:tc>
          <w:tcPr>
            <w:tcW w:w="774" w:type="pct"/>
            <w:gridSpan w:val="3"/>
            <w:tcBorders>
              <w:top w:val="nil"/>
              <w:left w:val="nil"/>
              <w:bottom w:val="nil"/>
              <w:right w:val="nil"/>
            </w:tcBorders>
            <w:shd w:val="clear" w:color="auto" w:fill="auto"/>
            <w:noWrap/>
            <w:vAlign w:val="bottom"/>
            <w:hideMark/>
          </w:tcPr>
          <w:p w14:paraId="6DD43C55" w14:textId="77777777" w:rsidR="00E15FBB" w:rsidRPr="005C5CBD" w:rsidRDefault="00E15FBB" w:rsidP="00E15FBB">
            <w:pPr>
              <w:spacing w:after="0" w:line="240" w:lineRule="auto"/>
              <w:rPr>
                <w:rFonts w:ascii="Garamond" w:eastAsia="Times New Roman" w:hAnsi="Garamond" w:cs="Calibri"/>
                <w:color w:val="000000"/>
                <w:sz w:val="24"/>
                <w:szCs w:val="24"/>
                <w:lang w:eastAsia="pt-BR"/>
              </w:rPr>
            </w:pPr>
          </w:p>
        </w:tc>
        <w:tc>
          <w:tcPr>
            <w:tcW w:w="498" w:type="pct"/>
            <w:gridSpan w:val="2"/>
            <w:tcBorders>
              <w:top w:val="nil"/>
              <w:left w:val="nil"/>
              <w:bottom w:val="nil"/>
              <w:right w:val="nil"/>
            </w:tcBorders>
          </w:tcPr>
          <w:p w14:paraId="021B8C15" w14:textId="77777777" w:rsidR="00E15FBB" w:rsidRPr="005C5CBD" w:rsidRDefault="00E15FBB" w:rsidP="00E15FBB">
            <w:pPr>
              <w:spacing w:after="0" w:line="240" w:lineRule="auto"/>
              <w:rPr>
                <w:rFonts w:ascii="Garamond" w:eastAsia="Times New Roman" w:hAnsi="Garamond" w:cs="Calibri"/>
                <w:color w:val="000000"/>
                <w:sz w:val="24"/>
                <w:szCs w:val="24"/>
                <w:lang w:eastAsia="pt-BR"/>
              </w:rPr>
            </w:pPr>
          </w:p>
        </w:tc>
        <w:tc>
          <w:tcPr>
            <w:tcW w:w="498" w:type="pct"/>
            <w:gridSpan w:val="2"/>
            <w:tcBorders>
              <w:top w:val="nil"/>
              <w:left w:val="nil"/>
              <w:bottom w:val="nil"/>
              <w:right w:val="nil"/>
            </w:tcBorders>
          </w:tcPr>
          <w:p w14:paraId="75D9B733" w14:textId="77777777" w:rsidR="00E15FBB" w:rsidRPr="005C5CBD" w:rsidRDefault="00E15FBB" w:rsidP="00E15FBB">
            <w:pPr>
              <w:spacing w:after="0" w:line="240" w:lineRule="auto"/>
              <w:rPr>
                <w:rFonts w:ascii="Garamond" w:eastAsia="Times New Roman" w:hAnsi="Garamond" w:cs="Calibri"/>
                <w:color w:val="000000"/>
                <w:sz w:val="24"/>
                <w:szCs w:val="24"/>
                <w:lang w:eastAsia="pt-BR"/>
              </w:rPr>
            </w:pPr>
          </w:p>
        </w:tc>
        <w:tc>
          <w:tcPr>
            <w:tcW w:w="496" w:type="pct"/>
            <w:gridSpan w:val="2"/>
            <w:tcBorders>
              <w:top w:val="nil"/>
              <w:left w:val="nil"/>
              <w:bottom w:val="nil"/>
              <w:right w:val="nil"/>
            </w:tcBorders>
          </w:tcPr>
          <w:p w14:paraId="3C561ADD" w14:textId="77777777" w:rsidR="00E15FBB" w:rsidRPr="005C5CBD" w:rsidRDefault="00E15FBB" w:rsidP="00E15FBB">
            <w:pPr>
              <w:spacing w:after="0" w:line="240" w:lineRule="auto"/>
              <w:rPr>
                <w:rFonts w:ascii="Garamond" w:eastAsia="Times New Roman" w:hAnsi="Garamond" w:cs="Calibri"/>
                <w:color w:val="000000"/>
                <w:sz w:val="24"/>
                <w:szCs w:val="24"/>
                <w:lang w:eastAsia="pt-BR"/>
              </w:rPr>
            </w:pPr>
          </w:p>
        </w:tc>
        <w:tc>
          <w:tcPr>
            <w:tcW w:w="495" w:type="pct"/>
            <w:gridSpan w:val="2"/>
            <w:tcBorders>
              <w:top w:val="nil"/>
              <w:left w:val="nil"/>
              <w:bottom w:val="nil"/>
              <w:right w:val="nil"/>
            </w:tcBorders>
          </w:tcPr>
          <w:p w14:paraId="4E515A17" w14:textId="77777777" w:rsidR="00E15FBB" w:rsidRPr="005C5CBD" w:rsidRDefault="00E15FBB" w:rsidP="00E15FBB">
            <w:pPr>
              <w:spacing w:after="0" w:line="240" w:lineRule="auto"/>
              <w:rPr>
                <w:rFonts w:ascii="Garamond" w:eastAsia="Times New Roman" w:hAnsi="Garamond" w:cs="Calibri"/>
                <w:color w:val="000000"/>
                <w:sz w:val="24"/>
                <w:szCs w:val="24"/>
                <w:lang w:eastAsia="pt-BR"/>
              </w:rPr>
            </w:pPr>
          </w:p>
        </w:tc>
      </w:tr>
    </w:tbl>
    <w:tbl>
      <w:tblPr>
        <w:tblpPr w:leftFromText="141" w:rightFromText="141" w:vertAnchor="text" w:tblpY="1"/>
        <w:tblOverlap w:val="never"/>
        <w:tblW w:w="13760" w:type="dxa"/>
        <w:tblLayout w:type="fixed"/>
        <w:tblCellMar>
          <w:left w:w="70" w:type="dxa"/>
          <w:right w:w="70" w:type="dxa"/>
        </w:tblCellMar>
        <w:tblLook w:val="04A0" w:firstRow="1" w:lastRow="0" w:firstColumn="1" w:lastColumn="0" w:noHBand="0" w:noVBand="1"/>
      </w:tblPr>
      <w:tblGrid>
        <w:gridCol w:w="1555"/>
        <w:gridCol w:w="1134"/>
        <w:gridCol w:w="425"/>
        <w:gridCol w:w="1030"/>
        <w:gridCol w:w="245"/>
        <w:gridCol w:w="820"/>
        <w:gridCol w:w="1040"/>
        <w:gridCol w:w="7511"/>
      </w:tblGrid>
      <w:tr w:rsidR="00E15FBB" w:rsidRPr="005C5CBD" w14:paraId="3747C451" w14:textId="77777777" w:rsidTr="005C5CBD">
        <w:trPr>
          <w:gridAfter w:val="1"/>
          <w:wAfter w:w="7511" w:type="dxa"/>
          <w:trHeight w:val="300"/>
        </w:trPr>
        <w:tc>
          <w:tcPr>
            <w:tcW w:w="1555" w:type="dxa"/>
            <w:tcBorders>
              <w:top w:val="single" w:sz="4" w:space="0" w:color="auto"/>
              <w:left w:val="single" w:sz="4" w:space="0" w:color="auto"/>
              <w:bottom w:val="single" w:sz="4" w:space="0" w:color="auto"/>
              <w:right w:val="single" w:sz="4" w:space="0" w:color="FFFFFF"/>
            </w:tcBorders>
            <w:shd w:val="clear" w:color="auto" w:fill="auto"/>
            <w:noWrap/>
            <w:vAlign w:val="center"/>
          </w:tcPr>
          <w:p w14:paraId="0E1DFB66" w14:textId="77777777" w:rsidR="00E15FBB" w:rsidRPr="005C5CBD" w:rsidRDefault="00E15FBB" w:rsidP="00E15FBB">
            <w:pPr>
              <w:spacing w:after="0" w:line="240" w:lineRule="auto"/>
              <w:jc w:val="center"/>
              <w:rPr>
                <w:rFonts w:ascii="Garamond" w:eastAsia="Times New Roman" w:hAnsi="Garamond" w:cs="Calibri"/>
                <w:color w:val="000000"/>
                <w:sz w:val="24"/>
                <w:szCs w:val="24"/>
                <w:lang w:eastAsia="pt-BR"/>
              </w:rPr>
            </w:pPr>
          </w:p>
        </w:tc>
        <w:tc>
          <w:tcPr>
            <w:tcW w:w="1559" w:type="dxa"/>
            <w:gridSpan w:val="2"/>
            <w:tcBorders>
              <w:top w:val="single" w:sz="4" w:space="0" w:color="auto"/>
              <w:left w:val="single" w:sz="4" w:space="0" w:color="FFFFFF"/>
              <w:bottom w:val="single" w:sz="4" w:space="0" w:color="auto"/>
              <w:right w:val="single" w:sz="4" w:space="0" w:color="auto"/>
            </w:tcBorders>
            <w:shd w:val="clear" w:color="auto" w:fill="auto"/>
            <w:noWrap/>
            <w:vAlign w:val="center"/>
          </w:tcPr>
          <w:p w14:paraId="2F4242D6" w14:textId="77777777" w:rsidR="00E15FBB" w:rsidRPr="005C5CBD" w:rsidRDefault="00E15FBB" w:rsidP="00E15FBB">
            <w:pPr>
              <w:spacing w:after="0" w:line="240" w:lineRule="auto"/>
              <w:jc w:val="center"/>
              <w:rPr>
                <w:rFonts w:ascii="Garamond" w:eastAsia="Times New Roman" w:hAnsi="Garamond" w:cs="Calibri"/>
                <w:color w:val="000000"/>
                <w:sz w:val="24"/>
                <w:szCs w:val="24"/>
                <w:lang w:eastAsia="pt-BR"/>
              </w:rPr>
            </w:pPr>
          </w:p>
        </w:tc>
        <w:tc>
          <w:tcPr>
            <w:tcW w:w="1275" w:type="dxa"/>
            <w:gridSpan w:val="2"/>
            <w:tcBorders>
              <w:top w:val="nil"/>
              <w:left w:val="nil"/>
              <w:bottom w:val="nil"/>
              <w:right w:val="nil"/>
            </w:tcBorders>
            <w:shd w:val="clear" w:color="auto" w:fill="auto"/>
            <w:noWrap/>
            <w:vAlign w:val="bottom"/>
          </w:tcPr>
          <w:p w14:paraId="1C0AC9DC" w14:textId="77777777" w:rsidR="00E15FBB" w:rsidRPr="005C5CBD" w:rsidRDefault="00E15FBB" w:rsidP="00E15FBB">
            <w:pPr>
              <w:spacing w:after="0" w:line="240" w:lineRule="auto"/>
              <w:jc w:val="center"/>
              <w:rPr>
                <w:rFonts w:ascii="Garamond" w:eastAsia="Times New Roman" w:hAnsi="Garamond" w:cs="Calibri"/>
                <w:color w:val="000000"/>
                <w:sz w:val="24"/>
                <w:szCs w:val="24"/>
                <w:lang w:eastAsia="pt-BR"/>
              </w:rPr>
            </w:pPr>
          </w:p>
        </w:tc>
        <w:tc>
          <w:tcPr>
            <w:tcW w:w="1860" w:type="dxa"/>
            <w:gridSpan w:val="2"/>
            <w:tcBorders>
              <w:top w:val="nil"/>
              <w:left w:val="nil"/>
              <w:bottom w:val="nil"/>
              <w:right w:val="nil"/>
            </w:tcBorders>
            <w:shd w:val="clear" w:color="auto" w:fill="auto"/>
            <w:noWrap/>
            <w:vAlign w:val="bottom"/>
          </w:tcPr>
          <w:p w14:paraId="64EEC6A6" w14:textId="77777777" w:rsidR="00E15FBB" w:rsidRPr="005C5CBD" w:rsidRDefault="00E15FBB" w:rsidP="00E15FBB">
            <w:pPr>
              <w:spacing w:after="0" w:line="240" w:lineRule="auto"/>
              <w:rPr>
                <w:rFonts w:ascii="Garamond" w:eastAsia="Times New Roman" w:hAnsi="Garamond" w:cs="Calibri"/>
                <w:sz w:val="24"/>
                <w:szCs w:val="24"/>
                <w:lang w:eastAsia="pt-BR"/>
              </w:rPr>
            </w:pPr>
          </w:p>
        </w:tc>
      </w:tr>
      <w:tr w:rsidR="00E15FBB" w:rsidRPr="005C5CBD" w14:paraId="2E861015" w14:textId="77777777" w:rsidTr="005C5CBD">
        <w:trPr>
          <w:gridAfter w:val="1"/>
          <w:wAfter w:w="7511" w:type="dxa"/>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3347C" w14:textId="77777777" w:rsidR="00E15FBB" w:rsidRPr="005C5CBD" w:rsidRDefault="00E15FBB"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14.0</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4169D0" w14:textId="77777777" w:rsidR="00E15FBB" w:rsidRPr="005C5CBD" w:rsidRDefault="00E15FBB"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15.0</w:t>
            </w:r>
          </w:p>
        </w:tc>
        <w:tc>
          <w:tcPr>
            <w:tcW w:w="1275" w:type="dxa"/>
            <w:gridSpan w:val="2"/>
            <w:tcBorders>
              <w:top w:val="nil"/>
              <w:left w:val="nil"/>
              <w:bottom w:val="nil"/>
              <w:right w:val="nil"/>
            </w:tcBorders>
            <w:shd w:val="clear" w:color="auto" w:fill="auto"/>
            <w:noWrap/>
            <w:vAlign w:val="bottom"/>
            <w:hideMark/>
          </w:tcPr>
          <w:p w14:paraId="10853891" w14:textId="77777777" w:rsidR="00E15FBB" w:rsidRPr="005C5CBD" w:rsidRDefault="00E15FBB" w:rsidP="00E15FBB">
            <w:pPr>
              <w:spacing w:after="0" w:line="240" w:lineRule="auto"/>
              <w:jc w:val="center"/>
              <w:rPr>
                <w:rFonts w:ascii="Garamond" w:eastAsia="Times New Roman" w:hAnsi="Garamond" w:cs="Calibri"/>
                <w:color w:val="000000"/>
                <w:sz w:val="24"/>
                <w:szCs w:val="24"/>
                <w:lang w:eastAsia="pt-BR"/>
              </w:rPr>
            </w:pPr>
          </w:p>
        </w:tc>
        <w:tc>
          <w:tcPr>
            <w:tcW w:w="1860" w:type="dxa"/>
            <w:gridSpan w:val="2"/>
            <w:tcBorders>
              <w:top w:val="nil"/>
              <w:left w:val="nil"/>
              <w:bottom w:val="nil"/>
              <w:right w:val="nil"/>
            </w:tcBorders>
            <w:shd w:val="clear" w:color="auto" w:fill="auto"/>
            <w:noWrap/>
            <w:vAlign w:val="bottom"/>
            <w:hideMark/>
          </w:tcPr>
          <w:p w14:paraId="61D7CAA5" w14:textId="77777777" w:rsidR="00E15FBB" w:rsidRPr="005C5CBD" w:rsidRDefault="00E15FBB" w:rsidP="00E15FBB">
            <w:pPr>
              <w:spacing w:after="0" w:line="240" w:lineRule="auto"/>
              <w:rPr>
                <w:rFonts w:ascii="Garamond" w:eastAsia="Times New Roman" w:hAnsi="Garamond" w:cs="Calibri"/>
                <w:sz w:val="24"/>
                <w:szCs w:val="24"/>
                <w:lang w:eastAsia="pt-BR"/>
              </w:rPr>
            </w:pPr>
          </w:p>
        </w:tc>
      </w:tr>
      <w:tr w:rsidR="00E15FBB" w:rsidRPr="005C5CBD" w14:paraId="60F5FF11" w14:textId="77777777" w:rsidTr="005C5CBD">
        <w:trPr>
          <w:gridAfter w:val="1"/>
          <w:wAfter w:w="7511" w:type="dxa"/>
          <w:trHeight w:val="7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823BDEF" w14:textId="77777777" w:rsidR="00E15FBB" w:rsidRPr="005C5CBD" w:rsidRDefault="00E15FBB"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Nome dos Produtores / Exportadores</w:t>
            </w:r>
          </w:p>
          <w:p w14:paraId="3E3A5E87" w14:textId="77777777" w:rsidR="00E15FBB" w:rsidRPr="005C5CBD" w:rsidRDefault="00E15FBB"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conhecidos</w:t>
            </w:r>
          </w:p>
        </w:tc>
        <w:tc>
          <w:tcPr>
            <w:tcW w:w="1559" w:type="dxa"/>
            <w:gridSpan w:val="2"/>
            <w:tcBorders>
              <w:top w:val="nil"/>
              <w:left w:val="nil"/>
              <w:bottom w:val="single" w:sz="4" w:space="0" w:color="auto"/>
              <w:right w:val="single" w:sz="4" w:space="0" w:color="auto"/>
            </w:tcBorders>
            <w:shd w:val="clear" w:color="auto" w:fill="auto"/>
            <w:vAlign w:val="center"/>
            <w:hideMark/>
          </w:tcPr>
          <w:p w14:paraId="60493FAD" w14:textId="77777777" w:rsidR="00E15FBB" w:rsidRPr="005C5CBD" w:rsidRDefault="00E15FBB"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Outras Informações</w:t>
            </w:r>
          </w:p>
        </w:tc>
        <w:tc>
          <w:tcPr>
            <w:tcW w:w="1275" w:type="dxa"/>
            <w:gridSpan w:val="2"/>
            <w:tcBorders>
              <w:top w:val="nil"/>
              <w:left w:val="nil"/>
              <w:bottom w:val="nil"/>
              <w:right w:val="nil"/>
            </w:tcBorders>
            <w:shd w:val="clear" w:color="auto" w:fill="auto"/>
            <w:noWrap/>
            <w:vAlign w:val="bottom"/>
            <w:hideMark/>
          </w:tcPr>
          <w:p w14:paraId="751CB97E" w14:textId="77777777" w:rsidR="00E15FBB" w:rsidRPr="005C5CBD" w:rsidRDefault="00E15FBB" w:rsidP="00E15FBB">
            <w:pPr>
              <w:spacing w:after="0" w:line="240" w:lineRule="auto"/>
              <w:jc w:val="center"/>
              <w:rPr>
                <w:rFonts w:ascii="Garamond" w:eastAsia="Times New Roman" w:hAnsi="Garamond" w:cs="Calibri"/>
                <w:color w:val="000000"/>
                <w:sz w:val="24"/>
                <w:szCs w:val="24"/>
                <w:lang w:eastAsia="pt-BR"/>
              </w:rPr>
            </w:pPr>
          </w:p>
        </w:tc>
        <w:tc>
          <w:tcPr>
            <w:tcW w:w="1860" w:type="dxa"/>
            <w:gridSpan w:val="2"/>
            <w:tcBorders>
              <w:top w:val="nil"/>
              <w:left w:val="nil"/>
              <w:bottom w:val="nil"/>
              <w:right w:val="nil"/>
            </w:tcBorders>
            <w:shd w:val="clear" w:color="auto" w:fill="auto"/>
            <w:noWrap/>
            <w:vAlign w:val="bottom"/>
            <w:hideMark/>
          </w:tcPr>
          <w:p w14:paraId="6A051B52" w14:textId="77777777" w:rsidR="00E15FBB" w:rsidRPr="005C5CBD" w:rsidRDefault="00E15FBB" w:rsidP="00E15FBB">
            <w:pPr>
              <w:spacing w:after="0" w:line="240" w:lineRule="auto"/>
              <w:rPr>
                <w:rFonts w:ascii="Garamond" w:eastAsia="Times New Roman" w:hAnsi="Garamond" w:cs="Calibri"/>
                <w:sz w:val="24"/>
                <w:szCs w:val="24"/>
                <w:lang w:eastAsia="pt-BR"/>
              </w:rPr>
            </w:pPr>
          </w:p>
        </w:tc>
      </w:tr>
      <w:tr w:rsidR="00E15FBB" w:rsidRPr="005C5CBD" w14:paraId="2214239C" w14:textId="77777777" w:rsidTr="005C5CBD">
        <w:trPr>
          <w:trHeight w:val="300"/>
        </w:trPr>
        <w:tc>
          <w:tcPr>
            <w:tcW w:w="1555" w:type="dxa"/>
            <w:tcBorders>
              <w:top w:val="nil"/>
              <w:left w:val="nil"/>
              <w:bottom w:val="nil"/>
              <w:right w:val="nil"/>
            </w:tcBorders>
            <w:shd w:val="clear" w:color="auto" w:fill="auto"/>
            <w:noWrap/>
            <w:vAlign w:val="bottom"/>
            <w:hideMark/>
          </w:tcPr>
          <w:p w14:paraId="584706B1" w14:textId="77777777" w:rsidR="00E15FBB" w:rsidRPr="005C5CBD" w:rsidRDefault="00E15FBB" w:rsidP="00E15FBB">
            <w:pPr>
              <w:spacing w:after="0" w:line="240" w:lineRule="auto"/>
              <w:rPr>
                <w:rFonts w:ascii="Garamond" w:eastAsia="Times New Roman" w:hAnsi="Garamond" w:cs="Calibri"/>
                <w:sz w:val="24"/>
                <w:szCs w:val="24"/>
                <w:lang w:eastAsia="pt-BR"/>
              </w:rPr>
            </w:pPr>
          </w:p>
        </w:tc>
        <w:tc>
          <w:tcPr>
            <w:tcW w:w="1134" w:type="dxa"/>
            <w:tcBorders>
              <w:top w:val="nil"/>
              <w:left w:val="nil"/>
              <w:bottom w:val="nil"/>
              <w:right w:val="nil"/>
            </w:tcBorders>
            <w:shd w:val="clear" w:color="auto" w:fill="auto"/>
            <w:noWrap/>
            <w:vAlign w:val="bottom"/>
            <w:hideMark/>
          </w:tcPr>
          <w:p w14:paraId="37D89423" w14:textId="77777777" w:rsidR="00E15FBB" w:rsidRPr="005C5CBD" w:rsidRDefault="00E15FBB" w:rsidP="00E15FBB">
            <w:pPr>
              <w:spacing w:after="0" w:line="240" w:lineRule="auto"/>
              <w:rPr>
                <w:rFonts w:ascii="Garamond" w:eastAsia="Times New Roman" w:hAnsi="Garamond" w:cs="Calibri"/>
                <w:sz w:val="24"/>
                <w:szCs w:val="24"/>
                <w:lang w:eastAsia="pt-BR"/>
              </w:rPr>
            </w:pPr>
          </w:p>
        </w:tc>
        <w:tc>
          <w:tcPr>
            <w:tcW w:w="1455" w:type="dxa"/>
            <w:gridSpan w:val="2"/>
            <w:tcBorders>
              <w:top w:val="nil"/>
              <w:left w:val="nil"/>
              <w:bottom w:val="nil"/>
              <w:right w:val="nil"/>
            </w:tcBorders>
            <w:shd w:val="clear" w:color="auto" w:fill="auto"/>
            <w:noWrap/>
            <w:vAlign w:val="bottom"/>
            <w:hideMark/>
          </w:tcPr>
          <w:p w14:paraId="0AB7C268" w14:textId="77777777" w:rsidR="00E15FBB" w:rsidRPr="005C5CBD" w:rsidRDefault="00E15FBB" w:rsidP="00E15FBB">
            <w:pPr>
              <w:spacing w:after="0" w:line="240" w:lineRule="auto"/>
              <w:rPr>
                <w:rFonts w:ascii="Garamond" w:eastAsia="Times New Roman" w:hAnsi="Garamond" w:cs="Calibri"/>
                <w:sz w:val="24"/>
                <w:szCs w:val="24"/>
                <w:lang w:eastAsia="pt-BR"/>
              </w:rPr>
            </w:pPr>
          </w:p>
        </w:tc>
        <w:tc>
          <w:tcPr>
            <w:tcW w:w="1065" w:type="dxa"/>
            <w:gridSpan w:val="2"/>
            <w:tcBorders>
              <w:top w:val="nil"/>
              <w:left w:val="nil"/>
              <w:bottom w:val="nil"/>
              <w:right w:val="nil"/>
            </w:tcBorders>
            <w:shd w:val="clear" w:color="auto" w:fill="auto"/>
            <w:noWrap/>
            <w:vAlign w:val="bottom"/>
            <w:hideMark/>
          </w:tcPr>
          <w:p w14:paraId="46A9D264" w14:textId="77777777" w:rsidR="00E15FBB" w:rsidRPr="005C5CBD" w:rsidRDefault="00E15FBB" w:rsidP="00E15FBB">
            <w:pPr>
              <w:spacing w:after="0" w:line="240" w:lineRule="auto"/>
              <w:rPr>
                <w:rFonts w:ascii="Garamond" w:eastAsia="Times New Roman" w:hAnsi="Garamond" w:cs="Calibri"/>
                <w:sz w:val="24"/>
                <w:szCs w:val="24"/>
                <w:lang w:eastAsia="pt-BR"/>
              </w:rPr>
            </w:pPr>
          </w:p>
        </w:tc>
        <w:tc>
          <w:tcPr>
            <w:tcW w:w="8551" w:type="dxa"/>
            <w:gridSpan w:val="2"/>
            <w:tcBorders>
              <w:top w:val="nil"/>
              <w:left w:val="nil"/>
              <w:bottom w:val="nil"/>
              <w:right w:val="nil"/>
            </w:tcBorders>
            <w:shd w:val="clear" w:color="auto" w:fill="auto"/>
            <w:noWrap/>
            <w:vAlign w:val="bottom"/>
            <w:hideMark/>
          </w:tcPr>
          <w:p w14:paraId="7BF93285" w14:textId="77777777" w:rsidR="00E15FBB" w:rsidRPr="005C5CBD" w:rsidRDefault="00E15FBB" w:rsidP="00E15FBB">
            <w:pPr>
              <w:spacing w:after="0" w:line="240" w:lineRule="auto"/>
              <w:rPr>
                <w:rFonts w:ascii="Garamond" w:eastAsia="Times New Roman" w:hAnsi="Garamond" w:cs="Calibri"/>
                <w:strike/>
                <w:color w:val="000000"/>
                <w:sz w:val="24"/>
                <w:szCs w:val="24"/>
                <w:lang w:eastAsia="pt-BR"/>
              </w:rPr>
            </w:pPr>
          </w:p>
        </w:tc>
      </w:tr>
    </w:tbl>
    <w:tbl>
      <w:tblPr>
        <w:tblStyle w:val="Tabelacomgrade1"/>
        <w:tblW w:w="5000" w:type="pct"/>
        <w:tblBorders>
          <w:insideH w:val="none" w:sz="0" w:space="0" w:color="auto"/>
          <w:insideV w:val="none" w:sz="0" w:space="0" w:color="auto"/>
        </w:tblBorders>
        <w:tblLook w:val="04A0" w:firstRow="1" w:lastRow="0" w:firstColumn="1" w:lastColumn="0" w:noHBand="0" w:noVBand="1"/>
      </w:tblPr>
      <w:tblGrid>
        <w:gridCol w:w="14307"/>
      </w:tblGrid>
      <w:tr w:rsidR="00E15FBB" w:rsidRPr="005C5CBD" w14:paraId="12A915FE" w14:textId="77777777" w:rsidTr="005C5CBD">
        <w:tc>
          <w:tcPr>
            <w:tcW w:w="5000" w:type="pct"/>
          </w:tcPr>
          <w:p w14:paraId="79A6E4EB"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br/>
              <w:t>Preencher os campos deste apêndice conforme descrição abaixo:</w:t>
            </w:r>
          </w:p>
        </w:tc>
      </w:tr>
      <w:tr w:rsidR="00E15FBB" w:rsidRPr="005C5CBD" w14:paraId="6465FD25" w14:textId="77777777" w:rsidTr="005C5CBD">
        <w:tc>
          <w:tcPr>
            <w:tcW w:w="5000" w:type="pct"/>
          </w:tcPr>
          <w:p w14:paraId="7BBD663F" w14:textId="77777777" w:rsidR="00E15FBB" w:rsidRPr="005C5CBD" w:rsidRDefault="00E15FBB" w:rsidP="00E15FBB">
            <w:pPr>
              <w:rPr>
                <w:rFonts w:ascii="Garamond" w:eastAsia="Calibri" w:hAnsi="Garamond" w:cs="Calibri"/>
                <w:sz w:val="24"/>
                <w:szCs w:val="24"/>
              </w:rPr>
            </w:pPr>
          </w:p>
          <w:p w14:paraId="2C0868D6"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Os campos 1.0 até 9.0 são de preenchimento obrigatório para cada programa.</w:t>
            </w:r>
          </w:p>
          <w:p w14:paraId="59AAAD96" w14:textId="77777777" w:rsidR="00E15FBB" w:rsidRPr="005C5CBD" w:rsidRDefault="00E15FBB" w:rsidP="00E15FBB">
            <w:pPr>
              <w:rPr>
                <w:rFonts w:ascii="Garamond" w:hAnsi="Garamond" w:cs="Calibri"/>
                <w:sz w:val="24"/>
                <w:szCs w:val="24"/>
              </w:rPr>
            </w:pPr>
            <w:r w:rsidRPr="005C5CBD">
              <w:rPr>
                <w:rFonts w:ascii="Garamond" w:hAnsi="Garamond" w:cs="Calibri"/>
                <w:sz w:val="24"/>
                <w:szCs w:val="24"/>
              </w:rPr>
              <w:t>Campo 1.0: O termo "país exportador" será entendido como o país, de origem ou de exportação, onde é concedido o subsídio. Caso o país de origem e o país de exportação concedam subsídios ao mesmo produto, ambos poderão ser simultaneamente investigados.     </w:t>
            </w:r>
          </w:p>
          <w:p w14:paraId="03D23727" w14:textId="77777777" w:rsidR="00E15FBB" w:rsidRPr="005C5CBD" w:rsidRDefault="00E15FBB" w:rsidP="00E15FBB">
            <w:pPr>
              <w:rPr>
                <w:rFonts w:ascii="Garamond" w:hAnsi="Garamond" w:cs="Calibri"/>
                <w:sz w:val="24"/>
                <w:szCs w:val="24"/>
              </w:rPr>
            </w:pPr>
          </w:p>
          <w:p w14:paraId="329A769C" w14:textId="77777777" w:rsidR="00E15FBB" w:rsidRPr="005C5CBD" w:rsidRDefault="00E15FBB" w:rsidP="00E15FBB">
            <w:pPr>
              <w:rPr>
                <w:rFonts w:ascii="Garamond" w:hAnsi="Garamond" w:cs="Calibri"/>
                <w:sz w:val="24"/>
                <w:szCs w:val="24"/>
              </w:rPr>
            </w:pPr>
            <w:r w:rsidRPr="005C5CBD">
              <w:rPr>
                <w:rFonts w:ascii="Garamond" w:hAnsi="Garamond" w:cs="Calibri"/>
                <w:sz w:val="24"/>
                <w:szCs w:val="24"/>
              </w:rPr>
              <w:t xml:space="preserve">Campo 2.0: Indicar a Autoridade Outorgante responsável pela concessão do subsídio, incluindo o nível de governo (nacional ou subnacional – províncias, estados, municípios ou qualquer outra denominação empregada no país investigado para entes subnacionais). </w:t>
            </w:r>
          </w:p>
          <w:p w14:paraId="6AC51549" w14:textId="77777777" w:rsidR="00E15FBB" w:rsidRPr="005C5CBD" w:rsidRDefault="00E15FBB" w:rsidP="00E15FBB">
            <w:pPr>
              <w:rPr>
                <w:rFonts w:ascii="Garamond" w:hAnsi="Garamond" w:cs="Calibri"/>
                <w:sz w:val="24"/>
                <w:szCs w:val="24"/>
              </w:rPr>
            </w:pPr>
          </w:p>
          <w:p w14:paraId="25CE90D3" w14:textId="77777777" w:rsidR="00E15FBB" w:rsidRPr="005C5CBD" w:rsidRDefault="00E15FBB" w:rsidP="00E15FBB">
            <w:pPr>
              <w:rPr>
                <w:rFonts w:ascii="Garamond" w:hAnsi="Garamond" w:cs="Calibri"/>
                <w:sz w:val="24"/>
                <w:szCs w:val="24"/>
              </w:rPr>
            </w:pPr>
            <w:r w:rsidRPr="005C5CBD">
              <w:rPr>
                <w:rFonts w:ascii="Garamond" w:hAnsi="Garamond" w:cs="Calibri"/>
                <w:sz w:val="24"/>
                <w:szCs w:val="24"/>
              </w:rPr>
              <w:t xml:space="preserve">Campo 3.0: Indicar a autoridade responsável pela administração do programa. Caso a autoridade seja a mesma do Campo 2.0, replicar a informação daquele campo. </w:t>
            </w:r>
          </w:p>
          <w:p w14:paraId="0096B983" w14:textId="77777777" w:rsidR="00E15FBB" w:rsidRPr="005C5CBD" w:rsidRDefault="00E15FBB" w:rsidP="00E15FBB">
            <w:pPr>
              <w:rPr>
                <w:rFonts w:ascii="Garamond" w:hAnsi="Garamond" w:cs="Calibri"/>
                <w:sz w:val="24"/>
                <w:szCs w:val="24"/>
              </w:rPr>
            </w:pPr>
            <w:r w:rsidRPr="005C5CBD">
              <w:rPr>
                <w:rFonts w:ascii="Garamond" w:hAnsi="Garamond" w:cs="Calibri"/>
                <w:sz w:val="24"/>
                <w:szCs w:val="24"/>
              </w:rPr>
              <w:t xml:space="preserve">                                                                                 </w:t>
            </w:r>
          </w:p>
          <w:p w14:paraId="31577550" w14:textId="77777777" w:rsidR="00E15FBB" w:rsidRPr="005C5CBD" w:rsidRDefault="00E15FBB" w:rsidP="00E15FBB">
            <w:pPr>
              <w:rPr>
                <w:rFonts w:ascii="Garamond" w:hAnsi="Garamond" w:cs="Calibri"/>
                <w:sz w:val="24"/>
                <w:szCs w:val="24"/>
              </w:rPr>
            </w:pPr>
            <w:r w:rsidRPr="005C5CBD">
              <w:rPr>
                <w:rFonts w:ascii="Garamond" w:hAnsi="Garamond" w:cs="Calibri"/>
                <w:sz w:val="24"/>
                <w:szCs w:val="24"/>
              </w:rPr>
              <w:t xml:space="preserve">Campo 4.0: Indicar o nome do programa. Caso exista, o programa deverá ser identificado pelo nome formalmente utilizado pelo governo do país exportador. Caso o programa não tenha uma denominação formal, identificar pelo nome usualmente empregado. </w:t>
            </w:r>
          </w:p>
          <w:p w14:paraId="033C43AD" w14:textId="77777777" w:rsidR="00E15FBB" w:rsidRPr="005C5CBD" w:rsidRDefault="00E15FBB" w:rsidP="00E15FBB">
            <w:pPr>
              <w:rPr>
                <w:rFonts w:ascii="Garamond" w:hAnsi="Garamond" w:cs="Calibri"/>
                <w:sz w:val="24"/>
                <w:szCs w:val="24"/>
              </w:rPr>
            </w:pPr>
          </w:p>
          <w:p w14:paraId="39FCF903" w14:textId="77777777" w:rsidR="00E15FBB" w:rsidRPr="005C5CBD" w:rsidRDefault="00E15FBB" w:rsidP="00E15FBB">
            <w:pPr>
              <w:rPr>
                <w:rFonts w:ascii="Garamond" w:hAnsi="Garamond" w:cs="Calibri"/>
                <w:sz w:val="24"/>
                <w:szCs w:val="24"/>
              </w:rPr>
            </w:pPr>
            <w:r w:rsidRPr="005C5CBD">
              <w:rPr>
                <w:rFonts w:ascii="Garamond" w:hAnsi="Garamond" w:cs="Calibri"/>
                <w:sz w:val="24"/>
                <w:szCs w:val="24"/>
              </w:rPr>
              <w:t>Campo 5.0: Apresentar breve descrição do programa;</w:t>
            </w:r>
          </w:p>
          <w:p w14:paraId="38E9A9EB" w14:textId="77777777" w:rsidR="00E15FBB" w:rsidRPr="005C5CBD" w:rsidRDefault="00E15FBB" w:rsidP="00E15FBB">
            <w:pPr>
              <w:rPr>
                <w:rFonts w:ascii="Garamond" w:hAnsi="Garamond" w:cs="Calibri"/>
                <w:sz w:val="24"/>
                <w:szCs w:val="24"/>
              </w:rPr>
            </w:pPr>
          </w:p>
          <w:p w14:paraId="7728698B" w14:textId="69B8D1FE" w:rsidR="00E15FBB" w:rsidRPr="005C5CBD" w:rsidRDefault="00E15FBB" w:rsidP="00F91AF5">
            <w:pPr>
              <w:rPr>
                <w:rFonts w:ascii="Garamond" w:hAnsi="Garamond" w:cs="Calibri"/>
                <w:sz w:val="24"/>
                <w:szCs w:val="24"/>
              </w:rPr>
            </w:pPr>
            <w:r w:rsidRPr="005C5CBD">
              <w:rPr>
                <w:rFonts w:ascii="Garamond" w:hAnsi="Garamond" w:cs="Calibri"/>
                <w:sz w:val="24"/>
                <w:szCs w:val="24"/>
              </w:rPr>
              <w:t xml:space="preserve">Campo 6.0: Classificar a forma de contribuição consoante as alíneas do art. </w:t>
            </w:r>
            <w:r w:rsidR="00F91AF5">
              <w:rPr>
                <w:rFonts w:ascii="Garamond" w:hAnsi="Garamond" w:cs="Calibri"/>
                <w:sz w:val="24"/>
                <w:szCs w:val="24"/>
              </w:rPr>
              <w:t>159</w:t>
            </w:r>
            <w:r w:rsidRPr="005C5CBD">
              <w:rPr>
                <w:rFonts w:ascii="Garamond" w:hAnsi="Garamond" w:cs="Calibri"/>
                <w:sz w:val="24"/>
                <w:szCs w:val="24"/>
              </w:rPr>
              <w:t xml:space="preserve">, III. Caso se aplique, poderá ser utilizado mais de um código simultaneamente (exemplo: Caso se trate fornecimento de bens pelo governo e também por entidades privadas instruídas e confiadas, preencher-se-ia no campo – “A, D” (sem aspas). </w:t>
            </w:r>
          </w:p>
        </w:tc>
      </w:tr>
      <w:tr w:rsidR="00E15FBB" w:rsidRPr="005C5CBD" w14:paraId="0F75A843" w14:textId="77777777" w:rsidTr="005C5CBD">
        <w:tc>
          <w:tcPr>
            <w:tcW w:w="5000" w:type="pct"/>
          </w:tcPr>
          <w:p w14:paraId="37AD53D3" w14:textId="77777777" w:rsidR="00E15FBB" w:rsidRPr="005C5CBD" w:rsidRDefault="00E15FBB" w:rsidP="00E15FBB">
            <w:pPr>
              <w:rPr>
                <w:rFonts w:ascii="Garamond" w:eastAsia="Calibri" w:hAnsi="Garamond" w:cs="Calibri"/>
                <w:sz w:val="24"/>
                <w:szCs w:val="24"/>
              </w:rPr>
            </w:pPr>
          </w:p>
        </w:tc>
      </w:tr>
      <w:tr w:rsidR="00E15FBB" w:rsidRPr="005C5CBD" w14:paraId="025A4A9F" w14:textId="77777777" w:rsidTr="005C5CBD">
        <w:tc>
          <w:tcPr>
            <w:tcW w:w="5000" w:type="pct"/>
          </w:tcPr>
          <w:p w14:paraId="2FC4C751" w14:textId="77777777" w:rsidR="00E15FBB" w:rsidRPr="005C5CBD" w:rsidRDefault="00E15FBB" w:rsidP="00E15FBB">
            <w:pPr>
              <w:rPr>
                <w:rFonts w:ascii="Garamond" w:eastAsia="Calibri" w:hAnsi="Garamond" w:cs="Calibri"/>
                <w:sz w:val="24"/>
                <w:szCs w:val="24"/>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4"/>
              <w:gridCol w:w="8251"/>
            </w:tblGrid>
            <w:tr w:rsidR="00E15FBB" w:rsidRPr="005C5CBD" w14:paraId="18C9A4BD" w14:textId="77777777" w:rsidTr="005C5CBD">
              <w:trPr>
                <w:trHeight w:val="50"/>
                <w:jc w:val="center"/>
              </w:trPr>
              <w:tc>
                <w:tcPr>
                  <w:tcW w:w="1354" w:type="dxa"/>
                  <w:noWrap/>
                  <w:vAlign w:val="bottom"/>
                  <w:hideMark/>
                </w:tcPr>
                <w:p w14:paraId="2B1F3203" w14:textId="77777777" w:rsidR="00E15FBB" w:rsidRPr="005C5CBD" w:rsidRDefault="00E15FBB" w:rsidP="00E15FBB">
                  <w:pPr>
                    <w:spacing w:after="0" w:line="276" w:lineRule="auto"/>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Código</w:t>
                  </w:r>
                </w:p>
              </w:tc>
              <w:tc>
                <w:tcPr>
                  <w:tcW w:w="8251" w:type="dxa"/>
                  <w:noWrap/>
                  <w:vAlign w:val="bottom"/>
                  <w:hideMark/>
                </w:tcPr>
                <w:p w14:paraId="66CE70C8" w14:textId="77777777" w:rsidR="00E15FBB" w:rsidRPr="005C5CBD" w:rsidRDefault="00E15FBB" w:rsidP="00E15FBB">
                  <w:pPr>
                    <w:spacing w:after="0" w:line="276" w:lineRule="auto"/>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Classificação</w:t>
                  </w:r>
                </w:p>
              </w:tc>
            </w:tr>
            <w:tr w:rsidR="00E15FBB" w:rsidRPr="005C5CBD" w14:paraId="25F82CBF" w14:textId="77777777" w:rsidTr="005C5CBD">
              <w:trPr>
                <w:trHeight w:val="315"/>
                <w:jc w:val="center"/>
              </w:trPr>
              <w:tc>
                <w:tcPr>
                  <w:tcW w:w="1354" w:type="dxa"/>
                  <w:noWrap/>
                  <w:vAlign w:val="center"/>
                  <w:hideMark/>
                </w:tcPr>
                <w:p w14:paraId="0AC1B8B6" w14:textId="77777777" w:rsidR="00E15FBB" w:rsidRPr="005C5CBD" w:rsidRDefault="00E15FBB" w:rsidP="00E15FBB">
                  <w:pPr>
                    <w:autoSpaceDE w:val="0"/>
                    <w:autoSpaceDN w:val="0"/>
                    <w:adjustRightInd w:val="0"/>
                    <w:spacing w:after="0" w:line="276" w:lineRule="auto"/>
                    <w:jc w:val="center"/>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A</w:t>
                  </w:r>
                </w:p>
              </w:tc>
              <w:tc>
                <w:tcPr>
                  <w:tcW w:w="8251" w:type="dxa"/>
                  <w:noWrap/>
                  <w:vAlign w:val="center"/>
                  <w:hideMark/>
                </w:tcPr>
                <w:p w14:paraId="44D7CD9F" w14:textId="77777777" w:rsidR="00E15FBB" w:rsidRPr="005C5CBD" w:rsidRDefault="00E15FBB" w:rsidP="00E15FBB">
                  <w:pPr>
                    <w:autoSpaceDE w:val="0"/>
                    <w:autoSpaceDN w:val="0"/>
                    <w:adjustRightInd w:val="0"/>
                    <w:spacing w:after="0" w:line="276" w:lineRule="auto"/>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t>Transferência direta de fundos (doações, empréstimos, aportes de capital, entre outros) ou potenciais transferências diretas de fundos (garantias de empréstimos, entre outros).</w:t>
                  </w:r>
                </w:p>
              </w:tc>
            </w:tr>
            <w:tr w:rsidR="00E15FBB" w:rsidRPr="005C5CBD" w14:paraId="098DFD3D" w14:textId="77777777" w:rsidTr="005C5CBD">
              <w:trPr>
                <w:trHeight w:val="315"/>
                <w:jc w:val="center"/>
              </w:trPr>
              <w:tc>
                <w:tcPr>
                  <w:tcW w:w="1354" w:type="dxa"/>
                  <w:noWrap/>
                  <w:vAlign w:val="center"/>
                  <w:hideMark/>
                </w:tcPr>
                <w:p w14:paraId="3CD96903" w14:textId="77777777" w:rsidR="00E15FBB" w:rsidRPr="005C5CBD" w:rsidRDefault="00E15FBB" w:rsidP="00E15FBB">
                  <w:pPr>
                    <w:autoSpaceDE w:val="0"/>
                    <w:autoSpaceDN w:val="0"/>
                    <w:adjustRightInd w:val="0"/>
                    <w:spacing w:after="0" w:line="276" w:lineRule="auto"/>
                    <w:jc w:val="center"/>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B</w:t>
                  </w:r>
                </w:p>
              </w:tc>
              <w:tc>
                <w:tcPr>
                  <w:tcW w:w="8251" w:type="dxa"/>
                  <w:noWrap/>
                  <w:vAlign w:val="center"/>
                  <w:hideMark/>
                </w:tcPr>
                <w:p w14:paraId="7B9E78D2" w14:textId="77777777" w:rsidR="00E15FBB" w:rsidRPr="005C5CBD" w:rsidRDefault="00E15FBB" w:rsidP="00E15FBB">
                  <w:pPr>
                    <w:autoSpaceDE w:val="0"/>
                    <w:autoSpaceDN w:val="0"/>
                    <w:adjustRightInd w:val="0"/>
                    <w:spacing w:after="0" w:line="276" w:lineRule="auto"/>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t>Perdão ou não recolhimento de receitas públicas devidas (incentivos fiscais, entre outros).</w:t>
                  </w:r>
                </w:p>
              </w:tc>
            </w:tr>
            <w:tr w:rsidR="00E15FBB" w:rsidRPr="005C5CBD" w14:paraId="0FA04DBC" w14:textId="77777777" w:rsidTr="005C5CBD">
              <w:trPr>
                <w:trHeight w:val="315"/>
                <w:jc w:val="center"/>
              </w:trPr>
              <w:tc>
                <w:tcPr>
                  <w:tcW w:w="1354" w:type="dxa"/>
                  <w:noWrap/>
                  <w:vAlign w:val="center"/>
                  <w:hideMark/>
                </w:tcPr>
                <w:p w14:paraId="2738C4D5" w14:textId="77777777" w:rsidR="00E15FBB" w:rsidRPr="005C5CBD" w:rsidRDefault="00E15FBB" w:rsidP="00E15FBB">
                  <w:pPr>
                    <w:autoSpaceDE w:val="0"/>
                    <w:autoSpaceDN w:val="0"/>
                    <w:adjustRightInd w:val="0"/>
                    <w:spacing w:after="0" w:line="276" w:lineRule="auto"/>
                    <w:jc w:val="center"/>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C</w:t>
                  </w:r>
                </w:p>
              </w:tc>
              <w:tc>
                <w:tcPr>
                  <w:tcW w:w="8251" w:type="dxa"/>
                  <w:noWrap/>
                  <w:vAlign w:val="center"/>
                  <w:hideMark/>
                </w:tcPr>
                <w:p w14:paraId="47E3F7A5" w14:textId="77777777" w:rsidR="00E15FBB" w:rsidRPr="005C5CBD" w:rsidRDefault="00E15FBB" w:rsidP="00E15FBB">
                  <w:pPr>
                    <w:autoSpaceDE w:val="0"/>
                    <w:autoSpaceDN w:val="0"/>
                    <w:adjustRightInd w:val="0"/>
                    <w:spacing w:after="0" w:line="276" w:lineRule="auto"/>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t>Fornecimento pelo governo de bens ou serviços além daqueles destinados à infraestrutura geral, ou a aquisição de bens pelo governo.</w:t>
                  </w:r>
                </w:p>
              </w:tc>
            </w:tr>
            <w:tr w:rsidR="00E15FBB" w:rsidRPr="005C5CBD" w14:paraId="0286A2AC" w14:textId="77777777" w:rsidTr="005C5CBD">
              <w:trPr>
                <w:trHeight w:val="315"/>
                <w:jc w:val="center"/>
              </w:trPr>
              <w:tc>
                <w:tcPr>
                  <w:tcW w:w="1354" w:type="dxa"/>
                  <w:noWrap/>
                  <w:vAlign w:val="center"/>
                </w:tcPr>
                <w:p w14:paraId="13D2E224" w14:textId="77777777" w:rsidR="00E15FBB" w:rsidRPr="005C5CBD" w:rsidRDefault="00E15FBB" w:rsidP="00E15FBB">
                  <w:pPr>
                    <w:autoSpaceDE w:val="0"/>
                    <w:autoSpaceDN w:val="0"/>
                    <w:adjustRightInd w:val="0"/>
                    <w:spacing w:after="0" w:line="276" w:lineRule="auto"/>
                    <w:jc w:val="center"/>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D</w:t>
                  </w:r>
                </w:p>
              </w:tc>
              <w:tc>
                <w:tcPr>
                  <w:tcW w:w="8251" w:type="dxa"/>
                  <w:noWrap/>
                  <w:vAlign w:val="center"/>
                </w:tcPr>
                <w:p w14:paraId="1C3A4570" w14:textId="77777777" w:rsidR="00E15FBB" w:rsidRPr="005C5CBD" w:rsidRDefault="00E15FBB" w:rsidP="00E15FBB">
                  <w:pPr>
                    <w:autoSpaceDE w:val="0"/>
                    <w:autoSpaceDN w:val="0"/>
                    <w:adjustRightInd w:val="0"/>
                    <w:spacing w:after="0" w:line="276" w:lineRule="auto"/>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t>Realização pelo governo de pagamentos a um mecanismo de financiamento, ou instrução ou confiança à entidade privada do desempenho de uma ou mais das funções descritas nas alíneas anteriores, as quais seriam normalmente incumbência do governo, e cuja atuação não difira, de modo significativo, da prática habitualmente seguida pelos governos.</w:t>
                  </w:r>
                </w:p>
              </w:tc>
            </w:tr>
            <w:tr w:rsidR="00E15FBB" w:rsidRPr="005C5CBD" w14:paraId="0542CE9E" w14:textId="77777777" w:rsidTr="005C5CBD">
              <w:trPr>
                <w:trHeight w:val="315"/>
                <w:jc w:val="center"/>
              </w:trPr>
              <w:tc>
                <w:tcPr>
                  <w:tcW w:w="1354" w:type="dxa"/>
                  <w:noWrap/>
                  <w:vAlign w:val="center"/>
                </w:tcPr>
                <w:p w14:paraId="021B50D1" w14:textId="77777777" w:rsidR="00E15FBB" w:rsidRPr="005C5CBD" w:rsidRDefault="00E15FBB" w:rsidP="00E15FBB">
                  <w:pPr>
                    <w:autoSpaceDE w:val="0"/>
                    <w:autoSpaceDN w:val="0"/>
                    <w:adjustRightInd w:val="0"/>
                    <w:spacing w:after="0" w:line="276" w:lineRule="auto"/>
                    <w:jc w:val="center"/>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E</w:t>
                  </w:r>
                </w:p>
              </w:tc>
              <w:tc>
                <w:tcPr>
                  <w:tcW w:w="8251" w:type="dxa"/>
                  <w:noWrap/>
                  <w:vAlign w:val="center"/>
                </w:tcPr>
                <w:p w14:paraId="6CF81B78" w14:textId="77777777" w:rsidR="00E15FBB" w:rsidRPr="005C5CBD" w:rsidRDefault="00E15FBB" w:rsidP="00E15FBB">
                  <w:pPr>
                    <w:autoSpaceDE w:val="0"/>
                    <w:autoSpaceDN w:val="0"/>
                    <w:adjustRightInd w:val="0"/>
                    <w:spacing w:after="0" w:line="276" w:lineRule="auto"/>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t>Sustentação de renda ou de preços que, direta ou indiretamente, contribua para aumentar exportações ou reduzir importações de um produto qualquer.</w:t>
                  </w:r>
                </w:p>
              </w:tc>
            </w:tr>
          </w:tbl>
          <w:p w14:paraId="6EFD3154" w14:textId="77777777" w:rsidR="00E15FBB" w:rsidRPr="005C5CBD" w:rsidRDefault="00E15FBB" w:rsidP="00E15FBB">
            <w:pPr>
              <w:rPr>
                <w:rFonts w:ascii="Garamond" w:eastAsia="Calibri" w:hAnsi="Garamond" w:cs="Calibri"/>
                <w:sz w:val="24"/>
                <w:szCs w:val="24"/>
              </w:rPr>
            </w:pPr>
          </w:p>
        </w:tc>
      </w:tr>
      <w:tr w:rsidR="00E15FBB" w:rsidRPr="005C5CBD" w14:paraId="5C2EF890" w14:textId="77777777" w:rsidTr="005C5CBD">
        <w:tc>
          <w:tcPr>
            <w:tcW w:w="5000" w:type="pct"/>
          </w:tcPr>
          <w:p w14:paraId="5CED66D7" w14:textId="77777777" w:rsidR="00E15FBB" w:rsidRPr="005C5CBD" w:rsidRDefault="00E15FBB" w:rsidP="00E15FBB">
            <w:pPr>
              <w:rPr>
                <w:rFonts w:ascii="Garamond" w:hAnsi="Garamond" w:cs="Calibri"/>
                <w:sz w:val="24"/>
                <w:szCs w:val="24"/>
              </w:rPr>
            </w:pPr>
            <w:r w:rsidRPr="005C5CBD">
              <w:rPr>
                <w:rFonts w:ascii="Garamond" w:hAnsi="Garamond" w:cs="Calibri"/>
                <w:sz w:val="24"/>
                <w:szCs w:val="24"/>
              </w:rPr>
              <w:t>Campo 7.0: Indicar a legislação e regulamentos conhecidos referentes ao programa (se aplicável). Todas as fontes de informação deverão ser anexadas aos autos do processo. No caso de ato normativo, apontar exatamente o dispositivo pertinente.</w:t>
            </w:r>
          </w:p>
          <w:p w14:paraId="1A8F1EFA" w14:textId="77777777" w:rsidR="00E15FBB" w:rsidRPr="005C5CBD" w:rsidRDefault="00E15FBB" w:rsidP="00E15FBB">
            <w:pPr>
              <w:rPr>
                <w:rFonts w:ascii="Garamond" w:hAnsi="Garamond" w:cs="Calibri"/>
                <w:sz w:val="24"/>
                <w:szCs w:val="24"/>
              </w:rPr>
            </w:pPr>
          </w:p>
          <w:p w14:paraId="7FA41144" w14:textId="62310205" w:rsidR="00E15FBB" w:rsidRPr="005C5CBD" w:rsidRDefault="00E15FBB" w:rsidP="00E15FBB">
            <w:pPr>
              <w:rPr>
                <w:rFonts w:ascii="Garamond" w:hAnsi="Garamond" w:cs="Calibri"/>
                <w:sz w:val="24"/>
                <w:szCs w:val="24"/>
              </w:rPr>
            </w:pPr>
            <w:r w:rsidRPr="005C5CBD">
              <w:rPr>
                <w:rFonts w:ascii="Garamond" w:hAnsi="Garamond" w:cs="Calibri"/>
                <w:sz w:val="24"/>
                <w:szCs w:val="24"/>
              </w:rPr>
              <w:t xml:space="preserve">Campo 8.0: Apontar a existência de especificidade do programa em questão, necessariamente classificando-o conforme descrito no art. </w:t>
            </w:r>
            <w:r w:rsidR="008B3B5C">
              <w:rPr>
                <w:rFonts w:ascii="Garamond" w:hAnsi="Garamond" w:cs="Calibri"/>
                <w:sz w:val="24"/>
                <w:szCs w:val="24"/>
              </w:rPr>
              <w:t>163</w:t>
            </w:r>
            <w:r w:rsidRPr="005C5CBD">
              <w:rPr>
                <w:rFonts w:ascii="Garamond" w:hAnsi="Garamond" w:cs="Calibri"/>
                <w:sz w:val="24"/>
                <w:szCs w:val="24"/>
              </w:rPr>
              <w:t>:</w:t>
            </w:r>
          </w:p>
          <w:p w14:paraId="54376399"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I - subsídio proibido por ser subsídio vinculado, de fato ou de direito, ao desempenho exportador ou ao uso preferencial de produtos domésticos em detrimento de produtos estrangeiros;</w:t>
            </w:r>
          </w:p>
          <w:p w14:paraId="6BF4D532" w14:textId="77777777" w:rsidR="00E15FBB" w:rsidRPr="005C5CBD" w:rsidRDefault="00E15FBB" w:rsidP="00E15FBB">
            <w:pPr>
              <w:rPr>
                <w:rFonts w:ascii="Garamond" w:hAnsi="Garamond" w:cs="Calibri"/>
                <w:sz w:val="24"/>
                <w:szCs w:val="24"/>
              </w:rPr>
            </w:pPr>
            <w:r w:rsidRPr="005C5CBD">
              <w:rPr>
                <w:rFonts w:ascii="Garamond" w:eastAsia="Calibri" w:hAnsi="Garamond" w:cs="Calibri"/>
                <w:sz w:val="24"/>
                <w:szCs w:val="24"/>
              </w:rPr>
              <w:t>II - subsídio</w:t>
            </w:r>
            <w:r w:rsidRPr="005C5CBD" w:rsidDel="00D56462">
              <w:rPr>
                <w:rFonts w:ascii="Garamond" w:eastAsia="Calibri" w:hAnsi="Garamond" w:cs="Calibri"/>
                <w:sz w:val="24"/>
                <w:szCs w:val="24"/>
              </w:rPr>
              <w:t xml:space="preserve"> </w:t>
            </w:r>
            <w:r w:rsidRPr="005C5CBD">
              <w:rPr>
                <w:rFonts w:ascii="Garamond" w:eastAsia="Calibri" w:hAnsi="Garamond" w:cs="Calibri"/>
                <w:sz w:val="24"/>
                <w:szCs w:val="24"/>
              </w:rPr>
              <w:t xml:space="preserve">específico “de direito”, destinado </w:t>
            </w:r>
            <w:r w:rsidRPr="005C5CBD">
              <w:rPr>
                <w:rFonts w:ascii="Garamond" w:hAnsi="Garamond" w:cs="Calibri"/>
                <w:sz w:val="24"/>
                <w:szCs w:val="24"/>
              </w:rPr>
              <w:t>a uma empresa ou indústria, ou a um grupo de empresas ou indústrias dentro da jurisdição da autoridade outorgante;</w:t>
            </w:r>
          </w:p>
          <w:p w14:paraId="2AA3DF98" w14:textId="77777777" w:rsidR="00E15FBB" w:rsidRPr="005C5CBD" w:rsidRDefault="00E15FBB" w:rsidP="00E15FBB">
            <w:pPr>
              <w:rPr>
                <w:rFonts w:ascii="Garamond" w:eastAsia="Calibri" w:hAnsi="Garamond" w:cs="Calibri"/>
                <w:sz w:val="21"/>
                <w:szCs w:val="21"/>
              </w:rPr>
            </w:pPr>
            <w:r w:rsidRPr="005C5CBD">
              <w:rPr>
                <w:rFonts w:ascii="Garamond" w:eastAsia="Calibri" w:hAnsi="Garamond" w:cs="Calibri"/>
                <w:sz w:val="24"/>
                <w:szCs w:val="24"/>
              </w:rPr>
              <w:t xml:space="preserve">III – subsídio específico “de fato”, destinado </w:t>
            </w:r>
            <w:r w:rsidRPr="005C5CBD">
              <w:rPr>
                <w:rFonts w:ascii="Garamond" w:hAnsi="Garamond" w:cs="Calibri"/>
                <w:sz w:val="24"/>
                <w:szCs w:val="24"/>
              </w:rPr>
              <w:t>a uma empresa ou indústria, ou a um grupo de empresas ou indústrias dentro da jurisdição da autoridade outorgante</w:t>
            </w:r>
            <w:r w:rsidRPr="005C5CBD">
              <w:rPr>
                <w:rFonts w:ascii="Garamond" w:eastAsia="Calibri" w:hAnsi="Garamond" w:cs="Calibri"/>
                <w:sz w:val="24"/>
                <w:szCs w:val="24"/>
              </w:rPr>
              <w:t>; ou</w:t>
            </w:r>
          </w:p>
          <w:p w14:paraId="6BC58A94" w14:textId="77777777" w:rsidR="00E15FBB" w:rsidRPr="005C5CBD" w:rsidRDefault="00E15FBB" w:rsidP="00E15FBB">
            <w:pPr>
              <w:autoSpaceDE w:val="0"/>
              <w:autoSpaceDN w:val="0"/>
              <w:adjustRightInd w:val="0"/>
              <w:rPr>
                <w:rFonts w:ascii="Garamond" w:hAnsi="Garamond" w:cs="Calibri"/>
                <w:sz w:val="24"/>
                <w:szCs w:val="24"/>
              </w:rPr>
            </w:pPr>
            <w:r w:rsidRPr="005C5CBD">
              <w:rPr>
                <w:rFonts w:ascii="Garamond" w:eastAsia="Calibri" w:hAnsi="Garamond" w:cs="Calibri"/>
                <w:sz w:val="24"/>
                <w:szCs w:val="24"/>
              </w:rPr>
              <w:t xml:space="preserve">IV – subsídio específico </w:t>
            </w:r>
            <w:r w:rsidRPr="005C5CBD">
              <w:rPr>
                <w:rFonts w:ascii="Garamond" w:hAnsi="Garamond" w:cs="Calibri"/>
                <w:sz w:val="24"/>
                <w:szCs w:val="24"/>
              </w:rPr>
              <w:t xml:space="preserve">em virtude de ser limitado a determinadas empresas localizadas dentro de região situada na jurisdição da autoridade outorgante. </w:t>
            </w:r>
          </w:p>
          <w:p w14:paraId="14625118" w14:textId="77777777" w:rsidR="00E15FBB" w:rsidRPr="005C5CBD" w:rsidRDefault="00E15FBB" w:rsidP="00E15FBB">
            <w:pPr>
              <w:rPr>
                <w:rFonts w:ascii="Garamond" w:hAnsi="Garamond" w:cs="Calibri"/>
                <w:sz w:val="24"/>
                <w:szCs w:val="24"/>
              </w:rPr>
            </w:pPr>
          </w:p>
          <w:p w14:paraId="1ACDCCFA" w14:textId="77777777" w:rsidR="00E15FBB" w:rsidRPr="005C5CBD" w:rsidRDefault="00E15FBB" w:rsidP="00E15FBB">
            <w:pPr>
              <w:rPr>
                <w:rFonts w:ascii="Garamond" w:hAnsi="Garamond" w:cs="Calibri"/>
                <w:sz w:val="24"/>
                <w:szCs w:val="24"/>
              </w:rPr>
            </w:pPr>
            <w:r w:rsidRPr="005C5CBD">
              <w:rPr>
                <w:rFonts w:ascii="Garamond" w:hAnsi="Garamond" w:cs="Calibri"/>
                <w:sz w:val="24"/>
                <w:szCs w:val="24"/>
              </w:rPr>
              <w:t>Campo 9.0: Descrição sucinta do benefício concedido.</w:t>
            </w:r>
          </w:p>
          <w:p w14:paraId="643D62B1" w14:textId="77777777" w:rsidR="00E15FBB" w:rsidRPr="005C5CBD" w:rsidRDefault="00E15FBB" w:rsidP="00E15FBB">
            <w:pPr>
              <w:rPr>
                <w:rFonts w:ascii="Garamond" w:hAnsi="Garamond" w:cs="Calibri"/>
                <w:sz w:val="24"/>
                <w:szCs w:val="24"/>
              </w:rPr>
            </w:pPr>
            <w:r w:rsidRPr="005C5CBD">
              <w:rPr>
                <w:rFonts w:ascii="Garamond" w:hAnsi="Garamond" w:cs="Calibri"/>
                <w:sz w:val="24"/>
                <w:szCs w:val="24"/>
              </w:rPr>
              <w:t xml:space="preserve">Exemplos: fornecimento de bens e serviços por remuneração inferior à adequada; empréstimos a taxas de juros preferenciais; dispensa de direitos de importação; dispensa de tributos sobre fornecimento de eletricidade; redução de imposto de renda devido; perdão de dívidas. </w:t>
            </w:r>
          </w:p>
          <w:p w14:paraId="22001245" w14:textId="77777777" w:rsidR="00E15FBB" w:rsidRPr="005C5CBD" w:rsidRDefault="00E15FBB" w:rsidP="00E15FBB">
            <w:pPr>
              <w:rPr>
                <w:rFonts w:ascii="Garamond" w:eastAsia="Calibri" w:hAnsi="Garamond" w:cs="Calibri"/>
                <w:sz w:val="24"/>
                <w:szCs w:val="24"/>
              </w:rPr>
            </w:pPr>
          </w:p>
          <w:p w14:paraId="77C99F1B"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Os campos 10.0 até 15.0 devem ser preenchidos apenas se possível/aplicável para cada programa.</w:t>
            </w:r>
          </w:p>
          <w:p w14:paraId="0CE9B7F0" w14:textId="77777777" w:rsidR="00E15FBB" w:rsidRPr="005C5CBD" w:rsidRDefault="00E15FBB" w:rsidP="00E15FBB">
            <w:pPr>
              <w:rPr>
                <w:rFonts w:ascii="Garamond" w:hAnsi="Garamond" w:cs="Calibri"/>
                <w:sz w:val="24"/>
                <w:szCs w:val="24"/>
              </w:rPr>
            </w:pPr>
          </w:p>
          <w:p w14:paraId="7D421FAA" w14:textId="77777777" w:rsidR="00E15FBB" w:rsidRPr="005C5CBD" w:rsidRDefault="00E15FBB" w:rsidP="00E15FBB">
            <w:pPr>
              <w:rPr>
                <w:rFonts w:ascii="Garamond" w:hAnsi="Garamond" w:cs="Calibri"/>
                <w:sz w:val="24"/>
                <w:szCs w:val="24"/>
              </w:rPr>
            </w:pPr>
            <w:r w:rsidRPr="005C5CBD">
              <w:rPr>
                <w:rFonts w:ascii="Garamond" w:hAnsi="Garamond" w:cs="Calibri"/>
                <w:sz w:val="24"/>
                <w:szCs w:val="24"/>
              </w:rPr>
              <w:t>Campo 10.0: Indicar a data da entrada em vigor do programa, conforme legislação ou outro ato (se aplicável).</w:t>
            </w:r>
          </w:p>
          <w:p w14:paraId="6CC5C6C6" w14:textId="77777777" w:rsidR="00E15FBB" w:rsidRPr="005C5CBD" w:rsidRDefault="00E15FBB" w:rsidP="00E15FBB">
            <w:pPr>
              <w:rPr>
                <w:rFonts w:ascii="Garamond" w:hAnsi="Garamond" w:cs="Calibri"/>
                <w:sz w:val="24"/>
                <w:szCs w:val="24"/>
              </w:rPr>
            </w:pPr>
          </w:p>
          <w:p w14:paraId="7A678A3E" w14:textId="77777777" w:rsidR="00E15FBB" w:rsidRPr="005C5CBD" w:rsidRDefault="00E15FBB" w:rsidP="00E15FBB">
            <w:pPr>
              <w:rPr>
                <w:rFonts w:ascii="Garamond" w:hAnsi="Garamond" w:cs="Calibri"/>
                <w:sz w:val="24"/>
                <w:szCs w:val="24"/>
              </w:rPr>
            </w:pPr>
            <w:r w:rsidRPr="005C5CBD">
              <w:rPr>
                <w:rFonts w:ascii="Garamond" w:hAnsi="Garamond" w:cs="Calibri"/>
                <w:sz w:val="24"/>
                <w:szCs w:val="24"/>
              </w:rPr>
              <w:t>Campo 11.0: Indicar a data de encerramento do programa, conforme legislação ou outro ato (se aplicável).</w:t>
            </w:r>
          </w:p>
          <w:p w14:paraId="712F7783" w14:textId="77777777" w:rsidR="00E15FBB" w:rsidRPr="005C5CBD" w:rsidRDefault="00E15FBB" w:rsidP="00E15FBB">
            <w:pPr>
              <w:rPr>
                <w:rFonts w:ascii="Garamond" w:hAnsi="Garamond" w:cs="Calibri"/>
                <w:sz w:val="24"/>
                <w:szCs w:val="24"/>
              </w:rPr>
            </w:pPr>
          </w:p>
          <w:p w14:paraId="4508DAB2" w14:textId="77777777" w:rsidR="00E15FBB" w:rsidRPr="005C5CBD" w:rsidRDefault="00E15FBB" w:rsidP="00E15FBB">
            <w:pPr>
              <w:rPr>
                <w:rFonts w:ascii="Garamond" w:hAnsi="Garamond" w:cs="Calibri"/>
                <w:sz w:val="24"/>
                <w:szCs w:val="24"/>
              </w:rPr>
            </w:pPr>
            <w:r w:rsidRPr="005C5CBD">
              <w:rPr>
                <w:rFonts w:ascii="Garamond" w:hAnsi="Garamond" w:cs="Calibri"/>
                <w:sz w:val="24"/>
                <w:szCs w:val="24"/>
              </w:rPr>
              <w:t>Campo 12.0: Indicar benchmarks conhecidos para a apuração do montante de benefício (se possível).</w:t>
            </w:r>
            <w:r w:rsidRPr="005C5CBD" w:rsidDel="00F47125">
              <w:rPr>
                <w:rFonts w:ascii="Garamond" w:hAnsi="Garamond" w:cs="Calibri"/>
                <w:sz w:val="24"/>
                <w:szCs w:val="24"/>
              </w:rPr>
              <w:t xml:space="preserve"> </w:t>
            </w:r>
          </w:p>
          <w:p w14:paraId="7FBAAD1C" w14:textId="77777777" w:rsidR="00E15FBB" w:rsidRPr="005C5CBD" w:rsidRDefault="00E15FBB" w:rsidP="00E15FBB">
            <w:pPr>
              <w:rPr>
                <w:rFonts w:ascii="Garamond" w:hAnsi="Garamond" w:cs="Calibri"/>
                <w:sz w:val="24"/>
                <w:szCs w:val="24"/>
              </w:rPr>
            </w:pPr>
          </w:p>
          <w:p w14:paraId="37901232" w14:textId="77777777" w:rsidR="00E15FBB" w:rsidRPr="005C5CBD" w:rsidRDefault="00E15FBB" w:rsidP="00E15FBB">
            <w:pPr>
              <w:rPr>
                <w:rFonts w:ascii="Garamond" w:hAnsi="Garamond" w:cs="Calibri"/>
                <w:sz w:val="24"/>
                <w:szCs w:val="24"/>
              </w:rPr>
            </w:pPr>
            <w:r w:rsidRPr="005C5CBD">
              <w:rPr>
                <w:rFonts w:ascii="Garamond" w:hAnsi="Garamond" w:cs="Calibri"/>
                <w:sz w:val="24"/>
                <w:szCs w:val="24"/>
              </w:rPr>
              <w:t>Campo 13.0: Na medida do possível, apurar o montante estimado do subsídio concedido aos produtores e/ou exportadores do produto em questão com base no benefício conferido, explicitando separadamente a metodologia empregada para o seu cálculo.</w:t>
            </w:r>
          </w:p>
          <w:p w14:paraId="2D16C7EE" w14:textId="77777777" w:rsidR="00E15FBB" w:rsidRPr="005C5CBD" w:rsidRDefault="00E15FBB" w:rsidP="00E15FBB">
            <w:pPr>
              <w:rPr>
                <w:rFonts w:ascii="Garamond" w:hAnsi="Garamond" w:cs="Calibri"/>
                <w:sz w:val="24"/>
                <w:szCs w:val="24"/>
              </w:rPr>
            </w:pPr>
          </w:p>
          <w:p w14:paraId="5E00BF0A" w14:textId="77777777" w:rsidR="00E15FBB" w:rsidRPr="005C5CBD" w:rsidRDefault="00E15FBB" w:rsidP="00E15FBB">
            <w:pPr>
              <w:rPr>
                <w:rFonts w:ascii="Garamond" w:hAnsi="Garamond" w:cs="Calibri"/>
                <w:sz w:val="24"/>
                <w:szCs w:val="24"/>
              </w:rPr>
            </w:pPr>
            <w:r w:rsidRPr="005C5CBD">
              <w:rPr>
                <w:rFonts w:ascii="Garamond" w:hAnsi="Garamond" w:cs="Calibri"/>
                <w:sz w:val="24"/>
                <w:szCs w:val="24"/>
              </w:rPr>
              <w:t>Camp</w:t>
            </w:r>
            <w:r w:rsidRPr="005C5CBD" w:rsidDel="00B37A08">
              <w:rPr>
                <w:rFonts w:ascii="Garamond" w:hAnsi="Garamond" w:cs="Calibri"/>
                <w:sz w:val="24"/>
                <w:szCs w:val="24"/>
              </w:rPr>
              <w:t>o</w:t>
            </w:r>
            <w:r w:rsidRPr="005C5CBD">
              <w:rPr>
                <w:rFonts w:ascii="Garamond" w:hAnsi="Garamond" w:cs="Calibri"/>
                <w:sz w:val="24"/>
                <w:szCs w:val="24"/>
              </w:rPr>
              <w:t xml:space="preserve"> 14.0: Indicar o nome dos produtores/exportadores conhecidos.</w:t>
            </w:r>
          </w:p>
          <w:p w14:paraId="5DADCAB5" w14:textId="77777777" w:rsidR="00E15FBB" w:rsidRPr="005C5CBD" w:rsidRDefault="00E15FBB" w:rsidP="00E15FBB">
            <w:pPr>
              <w:rPr>
                <w:rFonts w:ascii="Garamond" w:hAnsi="Garamond" w:cs="Calibri"/>
                <w:sz w:val="24"/>
                <w:szCs w:val="24"/>
              </w:rPr>
            </w:pPr>
          </w:p>
          <w:p w14:paraId="6F46670E" w14:textId="77777777" w:rsidR="00E15FBB" w:rsidRPr="005C5CBD" w:rsidRDefault="00E15FBB" w:rsidP="00E15FBB">
            <w:pPr>
              <w:rPr>
                <w:rFonts w:ascii="Garamond" w:hAnsi="Garamond" w:cs="Calibri"/>
                <w:sz w:val="24"/>
                <w:szCs w:val="24"/>
              </w:rPr>
            </w:pPr>
            <w:r w:rsidRPr="005C5CBD">
              <w:rPr>
                <w:rFonts w:ascii="Garamond" w:hAnsi="Garamond" w:cs="Calibri"/>
                <w:sz w:val="24"/>
                <w:szCs w:val="24"/>
              </w:rPr>
              <w:t xml:space="preserve">Campo 15.0: Indicar outras informações relevantes de forma sucinta. Exemplo: Consoante demonstrativos auditados. as empresas fornecedoras de bens ou serviços para os produtores/exportadores conhecidos são </w:t>
            </w:r>
            <w:r w:rsidRPr="005C5CBD">
              <w:rPr>
                <w:rFonts w:ascii="Garamond" w:hAnsi="Garamond" w:cs="Calibri"/>
                <w:i/>
                <w:sz w:val="24"/>
                <w:szCs w:val="24"/>
              </w:rPr>
              <w:t>X</w:t>
            </w:r>
            <w:r w:rsidRPr="005C5CBD">
              <w:rPr>
                <w:rFonts w:ascii="Garamond" w:hAnsi="Garamond" w:cs="Calibri"/>
                <w:sz w:val="24"/>
                <w:szCs w:val="24"/>
              </w:rPr>
              <w:t xml:space="preserve"> e </w:t>
            </w:r>
            <w:r w:rsidRPr="005C5CBD">
              <w:rPr>
                <w:rFonts w:ascii="Garamond" w:hAnsi="Garamond" w:cs="Calibri"/>
                <w:i/>
                <w:sz w:val="24"/>
                <w:szCs w:val="24"/>
              </w:rPr>
              <w:t>Y</w:t>
            </w:r>
            <w:r w:rsidRPr="005C5CBD">
              <w:rPr>
                <w:rFonts w:ascii="Garamond" w:hAnsi="Garamond" w:cs="Calibri"/>
                <w:sz w:val="24"/>
                <w:szCs w:val="24"/>
              </w:rPr>
              <w:t xml:space="preserve"> . No caso de apresentação de indícios em meio documental, apontar a página ou item relevantes.</w:t>
            </w:r>
          </w:p>
          <w:p w14:paraId="7AEC741A" w14:textId="77777777" w:rsidR="00E15FBB" w:rsidRPr="005C5CBD" w:rsidRDefault="00E15FBB" w:rsidP="00E15FBB">
            <w:pPr>
              <w:rPr>
                <w:rFonts w:ascii="Garamond" w:eastAsia="Calibri" w:hAnsi="Garamond" w:cs="Calibri"/>
                <w:sz w:val="24"/>
                <w:szCs w:val="24"/>
              </w:rPr>
            </w:pPr>
          </w:p>
        </w:tc>
      </w:tr>
    </w:tbl>
    <w:p w14:paraId="1102948A" w14:textId="77777777" w:rsidR="00395593" w:rsidRPr="005C5CBD" w:rsidRDefault="00395593" w:rsidP="00E15FBB">
      <w:pPr>
        <w:spacing w:after="0" w:line="240" w:lineRule="auto"/>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br w:type="page"/>
      </w:r>
    </w:p>
    <w:tbl>
      <w:tblPr>
        <w:tblW w:w="5000" w:type="pct"/>
        <w:jc w:val="center"/>
        <w:tblCellMar>
          <w:left w:w="70" w:type="dxa"/>
          <w:right w:w="70" w:type="dxa"/>
        </w:tblCellMar>
        <w:tblLook w:val="04A0" w:firstRow="1" w:lastRow="0" w:firstColumn="1" w:lastColumn="0" w:noHBand="0" w:noVBand="1"/>
      </w:tblPr>
      <w:tblGrid>
        <w:gridCol w:w="6783"/>
        <w:gridCol w:w="3697"/>
        <w:gridCol w:w="3837"/>
      </w:tblGrid>
      <w:tr w:rsidR="00395593" w:rsidRPr="00AC0363" w14:paraId="1CC31781" w14:textId="77777777" w:rsidTr="00395593">
        <w:trPr>
          <w:trHeight w:val="300"/>
          <w:jc w:val="center"/>
        </w:trPr>
        <w:tc>
          <w:tcPr>
            <w:tcW w:w="5000" w:type="pct"/>
            <w:gridSpan w:val="3"/>
            <w:tcBorders>
              <w:top w:val="nil"/>
              <w:left w:val="nil"/>
              <w:bottom w:val="nil"/>
              <w:right w:val="nil"/>
            </w:tcBorders>
            <w:shd w:val="clear" w:color="auto" w:fill="auto"/>
            <w:noWrap/>
            <w:vAlign w:val="bottom"/>
            <w:hideMark/>
          </w:tcPr>
          <w:p w14:paraId="2B093F03"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APÊNDICE IV</w:t>
            </w:r>
          </w:p>
        </w:tc>
      </w:tr>
      <w:tr w:rsidR="00395593" w:rsidRPr="00AC0363" w14:paraId="005F0C64" w14:textId="77777777" w:rsidTr="00395593">
        <w:trPr>
          <w:trHeight w:val="300"/>
          <w:jc w:val="center"/>
        </w:trPr>
        <w:tc>
          <w:tcPr>
            <w:tcW w:w="5000" w:type="pct"/>
            <w:gridSpan w:val="3"/>
            <w:tcBorders>
              <w:top w:val="nil"/>
              <w:left w:val="nil"/>
              <w:bottom w:val="nil"/>
              <w:right w:val="nil"/>
            </w:tcBorders>
            <w:shd w:val="clear" w:color="auto" w:fill="auto"/>
            <w:noWrap/>
            <w:vAlign w:val="bottom"/>
            <w:hideMark/>
          </w:tcPr>
          <w:p w14:paraId="0369794C"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PREÇO DE EXPORTAÇÃO</w:t>
            </w:r>
          </w:p>
        </w:tc>
      </w:tr>
      <w:tr w:rsidR="00395593" w:rsidRPr="00AC0363" w14:paraId="66354B4D" w14:textId="77777777" w:rsidTr="00395593">
        <w:trPr>
          <w:trHeight w:val="300"/>
          <w:jc w:val="center"/>
        </w:trPr>
        <w:tc>
          <w:tcPr>
            <w:tcW w:w="2369" w:type="pct"/>
            <w:tcBorders>
              <w:top w:val="nil"/>
              <w:left w:val="nil"/>
              <w:bottom w:val="nil"/>
              <w:right w:val="nil"/>
            </w:tcBorders>
            <w:shd w:val="clear" w:color="auto" w:fill="auto"/>
            <w:noWrap/>
            <w:vAlign w:val="bottom"/>
            <w:hideMark/>
          </w:tcPr>
          <w:p w14:paraId="596AF925"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1291" w:type="pct"/>
            <w:tcBorders>
              <w:top w:val="nil"/>
              <w:left w:val="nil"/>
              <w:bottom w:val="nil"/>
              <w:right w:val="nil"/>
            </w:tcBorders>
            <w:shd w:val="clear" w:color="auto" w:fill="auto"/>
            <w:noWrap/>
            <w:vAlign w:val="bottom"/>
            <w:hideMark/>
          </w:tcPr>
          <w:p w14:paraId="77E4EFB5"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1340" w:type="pct"/>
            <w:tcBorders>
              <w:top w:val="nil"/>
              <w:left w:val="nil"/>
              <w:bottom w:val="nil"/>
              <w:right w:val="nil"/>
            </w:tcBorders>
            <w:shd w:val="clear" w:color="auto" w:fill="auto"/>
            <w:noWrap/>
            <w:vAlign w:val="bottom"/>
            <w:hideMark/>
          </w:tcPr>
          <w:p w14:paraId="24CCF73B"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r>
      <w:tr w:rsidR="00395593" w:rsidRPr="00AC0363" w14:paraId="6C572FBF" w14:textId="77777777" w:rsidTr="00395593">
        <w:trPr>
          <w:trHeight w:val="720"/>
          <w:jc w:val="center"/>
        </w:trPr>
        <w:tc>
          <w:tcPr>
            <w:tcW w:w="3660" w:type="pct"/>
            <w:gridSpan w:val="2"/>
            <w:vMerge w:val="restart"/>
            <w:tcBorders>
              <w:top w:val="single" w:sz="4" w:space="0" w:color="auto"/>
              <w:left w:val="single" w:sz="4" w:space="0" w:color="auto"/>
              <w:bottom w:val="nil"/>
              <w:right w:val="nil"/>
            </w:tcBorders>
            <w:shd w:val="clear" w:color="auto" w:fill="auto"/>
            <w:vAlign w:val="center"/>
            <w:hideMark/>
          </w:tcPr>
          <w:p w14:paraId="2596C40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Rubricas</w:t>
            </w:r>
          </w:p>
        </w:tc>
        <w:tc>
          <w:tcPr>
            <w:tcW w:w="1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EA3DF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Valor Unitário</w:t>
            </w:r>
          </w:p>
        </w:tc>
      </w:tr>
      <w:tr w:rsidR="00395593" w:rsidRPr="00AC0363" w14:paraId="0BBA16FF" w14:textId="77777777" w:rsidTr="00395593">
        <w:trPr>
          <w:trHeight w:val="480"/>
          <w:jc w:val="center"/>
        </w:trPr>
        <w:tc>
          <w:tcPr>
            <w:tcW w:w="3660" w:type="pct"/>
            <w:gridSpan w:val="2"/>
            <w:vMerge/>
            <w:tcBorders>
              <w:top w:val="single" w:sz="4" w:space="0" w:color="auto"/>
              <w:left w:val="single" w:sz="4" w:space="0" w:color="auto"/>
              <w:bottom w:val="nil"/>
              <w:right w:val="nil"/>
            </w:tcBorders>
            <w:vAlign w:val="center"/>
            <w:hideMark/>
          </w:tcPr>
          <w:p w14:paraId="67CFB37C"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1340" w:type="pct"/>
            <w:tcBorders>
              <w:top w:val="nil"/>
              <w:left w:val="single" w:sz="4" w:space="0" w:color="auto"/>
              <w:bottom w:val="single" w:sz="4" w:space="0" w:color="auto"/>
              <w:right w:val="single" w:sz="4" w:space="0" w:color="auto"/>
            </w:tcBorders>
            <w:shd w:val="clear" w:color="auto" w:fill="auto"/>
            <w:vAlign w:val="center"/>
            <w:hideMark/>
          </w:tcPr>
          <w:p w14:paraId="26259B0D"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Informar moeda / unidade</w:t>
            </w:r>
          </w:p>
        </w:tc>
      </w:tr>
      <w:tr w:rsidR="00395593" w:rsidRPr="00AC0363" w14:paraId="24D9290C" w14:textId="77777777" w:rsidTr="00395593">
        <w:trPr>
          <w:trHeight w:val="585"/>
          <w:jc w:val="center"/>
        </w:trPr>
        <w:tc>
          <w:tcPr>
            <w:tcW w:w="366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D10DCDF"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(a)Preço CIF para o Brasil</w:t>
            </w:r>
          </w:p>
        </w:tc>
        <w:tc>
          <w:tcPr>
            <w:tcW w:w="1340" w:type="pct"/>
            <w:tcBorders>
              <w:top w:val="nil"/>
              <w:left w:val="nil"/>
              <w:bottom w:val="single" w:sz="4" w:space="0" w:color="auto"/>
              <w:right w:val="single" w:sz="4" w:space="0" w:color="auto"/>
            </w:tcBorders>
            <w:shd w:val="clear" w:color="000000" w:fill="FFFFFF"/>
            <w:vAlign w:val="center"/>
            <w:hideMark/>
          </w:tcPr>
          <w:p w14:paraId="0AF6459C"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4542EFE3" w14:textId="77777777" w:rsidTr="00395593">
        <w:trPr>
          <w:trHeight w:val="585"/>
          <w:jc w:val="center"/>
        </w:trPr>
        <w:tc>
          <w:tcPr>
            <w:tcW w:w="36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086DC1"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(b) Frete para o Brasil </w:t>
            </w:r>
          </w:p>
        </w:tc>
        <w:tc>
          <w:tcPr>
            <w:tcW w:w="1340" w:type="pct"/>
            <w:tcBorders>
              <w:top w:val="nil"/>
              <w:left w:val="nil"/>
              <w:bottom w:val="single" w:sz="4" w:space="0" w:color="auto"/>
              <w:right w:val="single" w:sz="4" w:space="0" w:color="auto"/>
            </w:tcBorders>
            <w:shd w:val="clear" w:color="000000" w:fill="FFFFFF"/>
            <w:vAlign w:val="center"/>
            <w:hideMark/>
          </w:tcPr>
          <w:p w14:paraId="70674806"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482B90FD" w14:textId="77777777" w:rsidTr="00395593">
        <w:trPr>
          <w:trHeight w:val="585"/>
          <w:jc w:val="center"/>
        </w:trPr>
        <w:tc>
          <w:tcPr>
            <w:tcW w:w="36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9ABE9"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(c) Seguro</w:t>
            </w:r>
          </w:p>
        </w:tc>
        <w:tc>
          <w:tcPr>
            <w:tcW w:w="1340" w:type="pct"/>
            <w:tcBorders>
              <w:top w:val="nil"/>
              <w:left w:val="nil"/>
              <w:bottom w:val="single" w:sz="4" w:space="0" w:color="auto"/>
              <w:right w:val="single" w:sz="4" w:space="0" w:color="auto"/>
            </w:tcBorders>
            <w:shd w:val="clear" w:color="000000" w:fill="FFFFFF"/>
            <w:vAlign w:val="center"/>
          </w:tcPr>
          <w:p w14:paraId="0C44D853"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r>
      <w:tr w:rsidR="00395593" w:rsidRPr="00AC0363" w14:paraId="4DFB90F4" w14:textId="77777777" w:rsidTr="00395593">
        <w:trPr>
          <w:trHeight w:val="585"/>
          <w:jc w:val="center"/>
        </w:trPr>
        <w:tc>
          <w:tcPr>
            <w:tcW w:w="36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61386"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(d) Preço FOB para o Brasil (a-b-c)</w:t>
            </w:r>
          </w:p>
        </w:tc>
        <w:tc>
          <w:tcPr>
            <w:tcW w:w="1340" w:type="pct"/>
            <w:tcBorders>
              <w:top w:val="nil"/>
              <w:left w:val="nil"/>
              <w:bottom w:val="single" w:sz="4" w:space="0" w:color="auto"/>
              <w:right w:val="single" w:sz="4" w:space="0" w:color="auto"/>
            </w:tcBorders>
            <w:shd w:val="clear" w:color="000000" w:fill="FFFFFF"/>
            <w:vAlign w:val="center"/>
          </w:tcPr>
          <w:p w14:paraId="4907DECF"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r>
      <w:tr w:rsidR="00395593" w:rsidRPr="00AC0363" w14:paraId="3158B589" w14:textId="77777777" w:rsidTr="00395593">
        <w:trPr>
          <w:trHeight w:val="585"/>
          <w:jc w:val="center"/>
        </w:trPr>
        <w:tc>
          <w:tcPr>
            <w:tcW w:w="2369" w:type="pct"/>
            <w:tcBorders>
              <w:top w:val="nil"/>
              <w:left w:val="single" w:sz="4" w:space="0" w:color="auto"/>
              <w:bottom w:val="single" w:sz="4" w:space="0" w:color="auto"/>
              <w:right w:val="single" w:sz="4" w:space="0" w:color="auto"/>
            </w:tcBorders>
            <w:shd w:val="clear" w:color="auto" w:fill="auto"/>
            <w:vAlign w:val="center"/>
            <w:hideMark/>
          </w:tcPr>
          <w:p w14:paraId="46F4ADBE"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(e) Custos de exportação para o Brasil </w:t>
            </w:r>
          </w:p>
        </w:tc>
        <w:tc>
          <w:tcPr>
            <w:tcW w:w="1291" w:type="pct"/>
            <w:tcBorders>
              <w:top w:val="nil"/>
              <w:left w:val="nil"/>
              <w:bottom w:val="single" w:sz="4" w:space="0" w:color="auto"/>
              <w:right w:val="single" w:sz="4" w:space="0" w:color="auto"/>
            </w:tcBorders>
            <w:shd w:val="clear" w:color="auto" w:fill="auto"/>
            <w:vAlign w:val="center"/>
            <w:hideMark/>
          </w:tcPr>
          <w:p w14:paraId="33BA2858"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especificar</w:t>
            </w:r>
          </w:p>
        </w:tc>
        <w:tc>
          <w:tcPr>
            <w:tcW w:w="1340" w:type="pct"/>
            <w:tcBorders>
              <w:top w:val="nil"/>
              <w:left w:val="nil"/>
              <w:bottom w:val="single" w:sz="4" w:space="0" w:color="auto"/>
              <w:right w:val="single" w:sz="4" w:space="0" w:color="auto"/>
            </w:tcBorders>
            <w:shd w:val="clear" w:color="000000" w:fill="FFFFFF"/>
            <w:vAlign w:val="center"/>
            <w:hideMark/>
          </w:tcPr>
          <w:p w14:paraId="07AA750A"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49A69991" w14:textId="77777777" w:rsidTr="00395593">
        <w:trPr>
          <w:trHeight w:val="585"/>
          <w:jc w:val="center"/>
        </w:trPr>
        <w:tc>
          <w:tcPr>
            <w:tcW w:w="2369" w:type="pct"/>
            <w:tcBorders>
              <w:top w:val="nil"/>
              <w:left w:val="single" w:sz="4" w:space="0" w:color="auto"/>
              <w:bottom w:val="single" w:sz="4" w:space="0" w:color="auto"/>
              <w:right w:val="single" w:sz="4" w:space="0" w:color="auto"/>
            </w:tcBorders>
            <w:shd w:val="clear" w:color="auto" w:fill="auto"/>
            <w:vAlign w:val="center"/>
            <w:hideMark/>
          </w:tcPr>
          <w:p w14:paraId="33390563"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(f) Outros </w:t>
            </w:r>
          </w:p>
        </w:tc>
        <w:tc>
          <w:tcPr>
            <w:tcW w:w="1291" w:type="pct"/>
            <w:tcBorders>
              <w:top w:val="nil"/>
              <w:left w:val="nil"/>
              <w:bottom w:val="single" w:sz="4" w:space="0" w:color="auto"/>
              <w:right w:val="single" w:sz="4" w:space="0" w:color="auto"/>
            </w:tcBorders>
            <w:shd w:val="clear" w:color="auto" w:fill="auto"/>
            <w:vAlign w:val="center"/>
            <w:hideMark/>
          </w:tcPr>
          <w:p w14:paraId="2D907EC8"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especificar</w:t>
            </w:r>
          </w:p>
        </w:tc>
        <w:tc>
          <w:tcPr>
            <w:tcW w:w="1340" w:type="pct"/>
            <w:tcBorders>
              <w:top w:val="nil"/>
              <w:left w:val="nil"/>
              <w:bottom w:val="single" w:sz="4" w:space="0" w:color="auto"/>
              <w:right w:val="single" w:sz="4" w:space="0" w:color="auto"/>
            </w:tcBorders>
            <w:shd w:val="clear" w:color="000000" w:fill="FFFFFF"/>
            <w:vAlign w:val="center"/>
            <w:hideMark/>
          </w:tcPr>
          <w:p w14:paraId="1B5C9401"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61F56D3D" w14:textId="77777777" w:rsidTr="00395593">
        <w:trPr>
          <w:trHeight w:val="585"/>
          <w:jc w:val="center"/>
        </w:trPr>
        <w:tc>
          <w:tcPr>
            <w:tcW w:w="36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5E3A27"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(D) Preço ex fabrica do produto destinado ao mercado brasileiro (d-e-f)</w:t>
            </w:r>
          </w:p>
        </w:tc>
        <w:tc>
          <w:tcPr>
            <w:tcW w:w="1340" w:type="pct"/>
            <w:tcBorders>
              <w:top w:val="nil"/>
              <w:left w:val="nil"/>
              <w:bottom w:val="single" w:sz="4" w:space="0" w:color="auto"/>
              <w:right w:val="single" w:sz="4" w:space="0" w:color="auto"/>
            </w:tcBorders>
            <w:shd w:val="clear" w:color="000000" w:fill="D9D9D9"/>
            <w:vAlign w:val="center"/>
            <w:hideMark/>
          </w:tcPr>
          <w:p w14:paraId="14E9A1E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bl>
    <w:p w14:paraId="1F6CB832" w14:textId="77777777" w:rsidR="00395593" w:rsidRPr="005C5CBD" w:rsidRDefault="00395593" w:rsidP="00E15FBB">
      <w:pPr>
        <w:spacing w:after="0" w:line="276" w:lineRule="auto"/>
        <w:jc w:val="center"/>
        <w:rPr>
          <w:rFonts w:ascii="Garamond" w:eastAsia="Calibri" w:hAnsi="Garamond" w:cs="Calibri"/>
          <w:sz w:val="24"/>
          <w:szCs w:val="24"/>
        </w:rPr>
      </w:pPr>
    </w:p>
    <w:p w14:paraId="28E31362" w14:textId="77777777" w:rsidR="00395593" w:rsidRPr="005C5CBD" w:rsidRDefault="00395593" w:rsidP="0097041B">
      <w:pPr>
        <w:spacing w:after="200" w:line="276" w:lineRule="auto"/>
        <w:rPr>
          <w:rFonts w:ascii="Garamond" w:eastAsia="Calibri" w:hAnsi="Garamond" w:cs="Calibri"/>
          <w:sz w:val="24"/>
          <w:szCs w:val="24"/>
        </w:rPr>
      </w:pPr>
      <w:r w:rsidRPr="005C5CBD">
        <w:rPr>
          <w:rFonts w:ascii="Garamond" w:eastAsia="Calibri" w:hAnsi="Garamond" w:cs="Calibri"/>
          <w:sz w:val="24"/>
          <w:szCs w:val="24"/>
        </w:rPr>
        <w:br w:type="page"/>
      </w:r>
    </w:p>
    <w:p w14:paraId="2A6B5970" w14:textId="77777777" w:rsidR="00395593" w:rsidRPr="005C5CBD" w:rsidRDefault="00395593" w:rsidP="00E15FBB">
      <w:pPr>
        <w:spacing w:after="0" w:line="240" w:lineRule="auto"/>
        <w:jc w:val="center"/>
        <w:rPr>
          <w:rFonts w:ascii="Garamond" w:eastAsia="Times New Roman" w:hAnsi="Garamond" w:cs="Calibri"/>
          <w:b/>
          <w:lang w:eastAsia="pt-BR"/>
        </w:rPr>
      </w:pPr>
      <w:r w:rsidRPr="005C5CBD">
        <w:rPr>
          <w:rFonts w:ascii="Garamond" w:eastAsia="Times New Roman" w:hAnsi="Garamond" w:cs="Calibri"/>
          <w:b/>
          <w:lang w:eastAsia="pt-BR"/>
        </w:rPr>
        <w:t>APÊNDICE V</w:t>
      </w:r>
    </w:p>
    <w:p w14:paraId="7352F86C" w14:textId="77777777" w:rsidR="00395593" w:rsidRPr="005C5CBD" w:rsidRDefault="00395593" w:rsidP="00E15FBB">
      <w:pPr>
        <w:spacing w:after="0" w:line="240" w:lineRule="auto"/>
        <w:jc w:val="center"/>
        <w:rPr>
          <w:rFonts w:ascii="Garamond" w:eastAsia="Times New Roman" w:hAnsi="Garamond" w:cs="Calibri"/>
          <w:b/>
          <w:lang w:eastAsia="pt-BR"/>
        </w:rPr>
      </w:pPr>
      <w:r w:rsidRPr="005C5CBD">
        <w:rPr>
          <w:rFonts w:ascii="Garamond" w:eastAsia="Times New Roman" w:hAnsi="Garamond" w:cs="Calibri"/>
          <w:b/>
          <w:lang w:eastAsia="pt-BR"/>
        </w:rPr>
        <w:t>VENDAS TOTAIS DA EMPRESA</w:t>
      </w:r>
    </w:p>
    <w:tbl>
      <w:tblPr>
        <w:tblStyle w:val="Tabelacomgrade1"/>
        <w:tblW w:w="4721" w:type="pct"/>
        <w:tblInd w:w="279" w:type="dxa"/>
        <w:tblLayout w:type="fixed"/>
        <w:tblLook w:val="04A0" w:firstRow="1" w:lastRow="0" w:firstColumn="1" w:lastColumn="0" w:noHBand="0" w:noVBand="1"/>
      </w:tblPr>
      <w:tblGrid>
        <w:gridCol w:w="406"/>
        <w:gridCol w:w="1040"/>
        <w:gridCol w:w="743"/>
        <w:gridCol w:w="743"/>
        <w:gridCol w:w="1092"/>
        <w:gridCol w:w="430"/>
        <w:gridCol w:w="621"/>
        <w:gridCol w:w="457"/>
        <w:gridCol w:w="805"/>
        <w:gridCol w:w="821"/>
        <w:gridCol w:w="883"/>
        <w:gridCol w:w="1070"/>
        <w:gridCol w:w="856"/>
        <w:gridCol w:w="856"/>
        <w:gridCol w:w="938"/>
        <w:gridCol w:w="708"/>
        <w:gridCol w:w="1040"/>
      </w:tblGrid>
      <w:tr w:rsidR="00395593" w:rsidRPr="00AC0363" w14:paraId="680C0B69" w14:textId="77777777" w:rsidTr="005C5CBD">
        <w:trPr>
          <w:gridAfter w:val="15"/>
          <w:wAfter w:w="4465" w:type="pct"/>
          <w:trHeight w:val="227"/>
        </w:trPr>
        <w:tc>
          <w:tcPr>
            <w:tcW w:w="150" w:type="pct"/>
            <w:tcBorders>
              <w:top w:val="single" w:sz="4" w:space="0" w:color="FFFFFF"/>
              <w:left w:val="single" w:sz="4" w:space="0" w:color="FFFFFF"/>
              <w:bottom w:val="single" w:sz="4" w:space="0" w:color="FFFFFF"/>
              <w:right w:val="single" w:sz="4" w:space="0" w:color="auto"/>
            </w:tcBorders>
            <w:noWrap/>
            <w:vAlign w:val="center"/>
            <w:hideMark/>
          </w:tcPr>
          <w:p w14:paraId="5111462A" w14:textId="77777777" w:rsidR="00395593" w:rsidRPr="005C5CBD" w:rsidRDefault="00395593" w:rsidP="0097041B">
            <w:pPr>
              <w:rPr>
                <w:rFonts w:ascii="Garamond" w:hAnsi="Garamond" w:cs="Calibri"/>
              </w:rPr>
            </w:pP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1EBD87B6" w14:textId="77777777" w:rsidR="00395593" w:rsidRPr="005C5CBD" w:rsidRDefault="00395593" w:rsidP="0097041B">
            <w:pPr>
              <w:jc w:val="center"/>
              <w:rPr>
                <w:rFonts w:ascii="Garamond" w:hAnsi="Garamond" w:cs="Calibri"/>
                <w:i/>
                <w:color w:val="FF0000"/>
              </w:rPr>
            </w:pPr>
            <w:r w:rsidRPr="005C5CBD">
              <w:rPr>
                <w:rFonts w:ascii="Garamond" w:hAnsi="Garamond" w:cs="Calibri"/>
                <w:i/>
                <w:color w:val="FF0000"/>
              </w:rPr>
              <w:t>Empresa</w:t>
            </w:r>
          </w:p>
        </w:tc>
      </w:tr>
      <w:tr w:rsidR="00395593" w:rsidRPr="00AC0363" w14:paraId="31FB4EDC" w14:textId="77777777" w:rsidTr="005C5CBD">
        <w:trPr>
          <w:trHeight w:val="600"/>
        </w:trPr>
        <w:tc>
          <w:tcPr>
            <w:tcW w:w="150" w:type="pct"/>
            <w:vMerge w:val="restart"/>
            <w:tcBorders>
              <w:top w:val="nil"/>
              <w:left w:val="single" w:sz="4" w:space="0" w:color="FFFFFF"/>
              <w:right w:val="single" w:sz="4" w:space="0" w:color="auto"/>
            </w:tcBorders>
            <w:noWrap/>
            <w:vAlign w:val="center"/>
          </w:tcPr>
          <w:p w14:paraId="311EA120" w14:textId="77777777" w:rsidR="00395593" w:rsidRPr="005C5CBD" w:rsidRDefault="00395593" w:rsidP="0097041B">
            <w:pPr>
              <w:rPr>
                <w:rFonts w:ascii="Garamond" w:hAnsi="Garamond" w:cs="Calibri"/>
                <w:sz w:val="16"/>
                <w:szCs w:val="16"/>
              </w:rPr>
            </w:pPr>
          </w:p>
        </w:tc>
        <w:tc>
          <w:tcPr>
            <w:tcW w:w="385" w:type="pct"/>
            <w:vMerge w:val="restart"/>
            <w:tcBorders>
              <w:top w:val="single" w:sz="4" w:space="0" w:color="auto"/>
              <w:left w:val="single" w:sz="4" w:space="0" w:color="auto"/>
              <w:bottom w:val="single" w:sz="4" w:space="0" w:color="auto"/>
              <w:right w:val="single" w:sz="4" w:space="0" w:color="auto"/>
            </w:tcBorders>
            <w:vAlign w:val="center"/>
          </w:tcPr>
          <w:p w14:paraId="7F180444" w14:textId="77777777" w:rsidR="00395593" w:rsidRPr="005C5CBD" w:rsidRDefault="00395593" w:rsidP="0097041B">
            <w:pPr>
              <w:rPr>
                <w:rFonts w:ascii="Garamond" w:hAnsi="Garamond" w:cs="Calibri"/>
                <w:color w:val="FF0000"/>
                <w:sz w:val="16"/>
                <w:szCs w:val="16"/>
              </w:rPr>
            </w:pPr>
            <w:r w:rsidRPr="005C5CBD">
              <w:rPr>
                <w:rFonts w:ascii="Garamond" w:hAnsi="Garamond" w:cs="Calibri"/>
                <w:color w:val="FF0000"/>
                <w:sz w:val="16"/>
                <w:szCs w:val="16"/>
              </w:rPr>
              <w:t>MERCADO</w:t>
            </w:r>
          </w:p>
          <w:p w14:paraId="57689505" w14:textId="77777777" w:rsidR="00395593" w:rsidRPr="005C5CBD" w:rsidRDefault="00395593" w:rsidP="0097041B">
            <w:pPr>
              <w:rPr>
                <w:rFonts w:ascii="Garamond" w:hAnsi="Garamond" w:cs="Calibri"/>
                <w:color w:val="FF0000"/>
                <w:sz w:val="16"/>
                <w:szCs w:val="16"/>
              </w:rPr>
            </w:pPr>
            <w:r w:rsidRPr="005C5CBD">
              <w:rPr>
                <w:rFonts w:ascii="Garamond" w:hAnsi="Garamond" w:cs="Calibri"/>
                <w:color w:val="FF0000"/>
                <w:sz w:val="16"/>
                <w:szCs w:val="16"/>
              </w:rPr>
              <w:t>PX*</w:t>
            </w:r>
          </w:p>
        </w:tc>
        <w:tc>
          <w:tcPr>
            <w:tcW w:w="2837" w:type="pct"/>
            <w:gridSpan w:val="10"/>
            <w:tcBorders>
              <w:top w:val="single" w:sz="4" w:space="0" w:color="auto"/>
              <w:left w:val="single" w:sz="4" w:space="0" w:color="auto"/>
              <w:bottom w:val="single" w:sz="4" w:space="0" w:color="auto"/>
              <w:right w:val="single" w:sz="4" w:space="0" w:color="auto"/>
            </w:tcBorders>
            <w:vAlign w:val="center"/>
          </w:tcPr>
          <w:p w14:paraId="6229C571"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VENDAS</w:t>
            </w:r>
          </w:p>
        </w:tc>
        <w:tc>
          <w:tcPr>
            <w:tcW w:w="981" w:type="pct"/>
            <w:gridSpan w:val="3"/>
            <w:tcBorders>
              <w:top w:val="single" w:sz="4" w:space="0" w:color="auto"/>
              <w:left w:val="single" w:sz="4" w:space="0" w:color="auto"/>
              <w:bottom w:val="single" w:sz="4" w:space="0" w:color="auto"/>
              <w:right w:val="single" w:sz="4" w:space="0" w:color="auto"/>
            </w:tcBorders>
            <w:vAlign w:val="center"/>
          </w:tcPr>
          <w:p w14:paraId="77887E14"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DEVOLUÇÕES</w:t>
            </w:r>
          </w:p>
        </w:tc>
        <w:tc>
          <w:tcPr>
            <w:tcW w:w="262" w:type="pct"/>
            <w:tcBorders>
              <w:top w:val="single" w:sz="4" w:space="0" w:color="auto"/>
              <w:left w:val="single" w:sz="4" w:space="0" w:color="auto"/>
              <w:bottom w:val="single" w:sz="4" w:space="0" w:color="auto"/>
              <w:right w:val="single" w:sz="4" w:space="0" w:color="auto"/>
            </w:tcBorders>
            <w:vAlign w:val="center"/>
          </w:tcPr>
          <w:p w14:paraId="4A59B309" w14:textId="77777777" w:rsidR="00395593" w:rsidRPr="005C5CBD" w:rsidRDefault="00395593" w:rsidP="0097041B">
            <w:pPr>
              <w:jc w:val="center"/>
              <w:rPr>
                <w:rFonts w:ascii="Garamond" w:hAnsi="Garamond" w:cs="Calibri"/>
                <w:sz w:val="16"/>
                <w:szCs w:val="16"/>
              </w:rPr>
            </w:pPr>
          </w:p>
        </w:tc>
        <w:tc>
          <w:tcPr>
            <w:tcW w:w="385" w:type="pct"/>
            <w:tcBorders>
              <w:top w:val="single" w:sz="4" w:space="0" w:color="auto"/>
              <w:left w:val="single" w:sz="4" w:space="0" w:color="auto"/>
              <w:bottom w:val="single" w:sz="4" w:space="0" w:color="auto"/>
              <w:right w:val="single" w:sz="4" w:space="0" w:color="auto"/>
            </w:tcBorders>
            <w:vAlign w:val="center"/>
          </w:tcPr>
          <w:p w14:paraId="6E363E27" w14:textId="77777777" w:rsidR="00395593" w:rsidRPr="005C5CBD" w:rsidRDefault="00395593" w:rsidP="0097041B">
            <w:pPr>
              <w:jc w:val="center"/>
              <w:rPr>
                <w:rFonts w:ascii="Garamond" w:hAnsi="Garamond" w:cs="Calibri"/>
                <w:sz w:val="16"/>
                <w:szCs w:val="16"/>
              </w:rPr>
            </w:pPr>
          </w:p>
        </w:tc>
      </w:tr>
      <w:tr w:rsidR="00395593" w:rsidRPr="00AC0363" w14:paraId="52B54091" w14:textId="77777777" w:rsidTr="005C5CBD">
        <w:trPr>
          <w:trHeight w:val="600"/>
        </w:trPr>
        <w:tc>
          <w:tcPr>
            <w:tcW w:w="150" w:type="pct"/>
            <w:vMerge/>
            <w:tcBorders>
              <w:top w:val="nil"/>
              <w:left w:val="single" w:sz="4" w:space="0" w:color="FFFFFF"/>
              <w:bottom w:val="single" w:sz="4" w:space="0" w:color="auto"/>
              <w:right w:val="single" w:sz="4" w:space="0" w:color="auto"/>
            </w:tcBorders>
            <w:noWrap/>
            <w:vAlign w:val="center"/>
            <w:hideMark/>
          </w:tcPr>
          <w:p w14:paraId="110D2EF5" w14:textId="77777777" w:rsidR="00395593" w:rsidRPr="005C5CBD" w:rsidRDefault="00395593" w:rsidP="0097041B">
            <w:pPr>
              <w:rPr>
                <w:rFonts w:ascii="Garamond" w:hAnsi="Garamond" w:cs="Calibri"/>
                <w:sz w:val="16"/>
                <w:szCs w:val="16"/>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41CF2919" w14:textId="77777777" w:rsidR="00395593" w:rsidRPr="005C5CBD" w:rsidRDefault="00395593" w:rsidP="0097041B">
            <w:pPr>
              <w:rPr>
                <w:rFonts w:ascii="Garamond" w:hAnsi="Garamond" w:cs="Calibri"/>
                <w:color w:val="FF0000"/>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4368717C"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Quant. vendida</w:t>
            </w:r>
          </w:p>
        </w:tc>
        <w:tc>
          <w:tcPr>
            <w:tcW w:w="275" w:type="pct"/>
            <w:tcBorders>
              <w:top w:val="single" w:sz="4" w:space="0" w:color="auto"/>
              <w:left w:val="single" w:sz="4" w:space="0" w:color="auto"/>
              <w:bottom w:val="single" w:sz="4" w:space="0" w:color="auto"/>
              <w:right w:val="single" w:sz="4" w:space="0" w:color="auto"/>
            </w:tcBorders>
            <w:vAlign w:val="center"/>
            <w:hideMark/>
          </w:tcPr>
          <w:p w14:paraId="18D66DE1"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Quant. vendida</w:t>
            </w:r>
          </w:p>
        </w:tc>
        <w:tc>
          <w:tcPr>
            <w:tcW w:w="404" w:type="pct"/>
            <w:tcBorders>
              <w:top w:val="single" w:sz="4" w:space="0" w:color="auto"/>
              <w:left w:val="single" w:sz="4" w:space="0" w:color="auto"/>
              <w:bottom w:val="single" w:sz="4" w:space="0" w:color="auto"/>
              <w:right w:val="single" w:sz="4" w:space="0" w:color="auto"/>
            </w:tcBorders>
            <w:vAlign w:val="center"/>
            <w:hideMark/>
          </w:tcPr>
          <w:p w14:paraId="7541FD51"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Faturamento Bruto (R$)</w:t>
            </w:r>
          </w:p>
        </w:tc>
        <w:tc>
          <w:tcPr>
            <w:tcW w:w="159" w:type="pct"/>
            <w:tcBorders>
              <w:top w:val="single" w:sz="4" w:space="0" w:color="auto"/>
              <w:left w:val="single" w:sz="4" w:space="0" w:color="auto"/>
              <w:bottom w:val="single" w:sz="4" w:space="0" w:color="auto"/>
              <w:right w:val="single" w:sz="4" w:space="0" w:color="auto"/>
            </w:tcBorders>
            <w:vAlign w:val="center"/>
            <w:hideMark/>
          </w:tcPr>
          <w:p w14:paraId="7FA00F8C"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IPI</w:t>
            </w:r>
          </w:p>
        </w:tc>
        <w:tc>
          <w:tcPr>
            <w:tcW w:w="230" w:type="pct"/>
            <w:tcBorders>
              <w:top w:val="single" w:sz="4" w:space="0" w:color="auto"/>
              <w:left w:val="single" w:sz="4" w:space="0" w:color="auto"/>
              <w:bottom w:val="single" w:sz="4" w:space="0" w:color="auto"/>
              <w:right w:val="single" w:sz="4" w:space="0" w:color="auto"/>
            </w:tcBorders>
            <w:vAlign w:val="center"/>
            <w:hideMark/>
          </w:tcPr>
          <w:p w14:paraId="3A816944"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ICMS</w:t>
            </w:r>
          </w:p>
        </w:tc>
        <w:tc>
          <w:tcPr>
            <w:tcW w:w="169" w:type="pct"/>
            <w:tcBorders>
              <w:top w:val="single" w:sz="4" w:space="0" w:color="auto"/>
              <w:left w:val="single" w:sz="4" w:space="0" w:color="auto"/>
              <w:bottom w:val="single" w:sz="4" w:space="0" w:color="auto"/>
              <w:right w:val="single" w:sz="4" w:space="0" w:color="auto"/>
            </w:tcBorders>
            <w:vAlign w:val="center"/>
            <w:hideMark/>
          </w:tcPr>
          <w:p w14:paraId="11B035D7"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PIS</w:t>
            </w:r>
          </w:p>
        </w:tc>
        <w:tc>
          <w:tcPr>
            <w:tcW w:w="298" w:type="pct"/>
            <w:tcBorders>
              <w:top w:val="single" w:sz="4" w:space="0" w:color="auto"/>
              <w:left w:val="single" w:sz="4" w:space="0" w:color="auto"/>
              <w:bottom w:val="single" w:sz="4" w:space="0" w:color="auto"/>
              <w:right w:val="single" w:sz="4" w:space="0" w:color="auto"/>
            </w:tcBorders>
            <w:vAlign w:val="center"/>
            <w:hideMark/>
          </w:tcPr>
          <w:p w14:paraId="300E2E4E"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COFINS</w:t>
            </w:r>
          </w:p>
        </w:tc>
        <w:tc>
          <w:tcPr>
            <w:tcW w:w="304" w:type="pct"/>
            <w:tcBorders>
              <w:top w:val="single" w:sz="4" w:space="0" w:color="auto"/>
              <w:left w:val="single" w:sz="4" w:space="0" w:color="auto"/>
              <w:bottom w:val="single" w:sz="4" w:space="0" w:color="auto"/>
              <w:right w:val="single" w:sz="4" w:space="0" w:color="auto"/>
            </w:tcBorders>
            <w:vAlign w:val="center"/>
            <w:hideMark/>
          </w:tcPr>
          <w:p w14:paraId="2B133ED4"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Total de Impostos</w:t>
            </w:r>
          </w:p>
        </w:tc>
        <w:tc>
          <w:tcPr>
            <w:tcW w:w="327" w:type="pct"/>
            <w:tcBorders>
              <w:top w:val="single" w:sz="4" w:space="0" w:color="auto"/>
              <w:left w:val="single" w:sz="4" w:space="0" w:color="auto"/>
              <w:bottom w:val="single" w:sz="4" w:space="0" w:color="auto"/>
              <w:right w:val="single" w:sz="4" w:space="0" w:color="auto"/>
            </w:tcBorders>
            <w:vAlign w:val="center"/>
            <w:hideMark/>
          </w:tcPr>
          <w:p w14:paraId="1C5E125A"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Descontos</w:t>
            </w:r>
          </w:p>
        </w:tc>
        <w:tc>
          <w:tcPr>
            <w:tcW w:w="395" w:type="pct"/>
            <w:tcBorders>
              <w:top w:val="single" w:sz="4" w:space="0" w:color="auto"/>
              <w:left w:val="single" w:sz="4" w:space="0" w:color="auto"/>
              <w:bottom w:val="single" w:sz="4" w:space="0" w:color="auto"/>
              <w:right w:val="single" w:sz="4" w:space="0" w:color="auto"/>
            </w:tcBorders>
            <w:vAlign w:val="center"/>
            <w:hideMark/>
          </w:tcPr>
          <w:p w14:paraId="5FF2B72C"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Abatimentos (em R$)</w:t>
            </w:r>
          </w:p>
        </w:tc>
        <w:tc>
          <w:tcPr>
            <w:tcW w:w="317" w:type="pct"/>
            <w:tcBorders>
              <w:top w:val="single" w:sz="4" w:space="0" w:color="auto"/>
              <w:left w:val="single" w:sz="4" w:space="0" w:color="auto"/>
              <w:bottom w:val="single" w:sz="4" w:space="0" w:color="auto"/>
              <w:right w:val="single" w:sz="4" w:space="0" w:color="auto"/>
            </w:tcBorders>
            <w:vAlign w:val="center"/>
            <w:hideMark/>
          </w:tcPr>
          <w:p w14:paraId="7D6A00D3"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Quant. devolvida</w:t>
            </w:r>
          </w:p>
        </w:tc>
        <w:tc>
          <w:tcPr>
            <w:tcW w:w="317" w:type="pct"/>
            <w:tcBorders>
              <w:top w:val="single" w:sz="4" w:space="0" w:color="auto"/>
              <w:left w:val="single" w:sz="4" w:space="0" w:color="auto"/>
              <w:bottom w:val="single" w:sz="4" w:space="0" w:color="auto"/>
              <w:right w:val="single" w:sz="4" w:space="0" w:color="auto"/>
            </w:tcBorders>
            <w:vAlign w:val="center"/>
            <w:hideMark/>
          </w:tcPr>
          <w:p w14:paraId="66AEA9CB"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Quant. devolvida</w:t>
            </w:r>
          </w:p>
        </w:tc>
        <w:tc>
          <w:tcPr>
            <w:tcW w:w="346" w:type="pct"/>
            <w:tcBorders>
              <w:top w:val="single" w:sz="4" w:space="0" w:color="auto"/>
              <w:left w:val="single" w:sz="4" w:space="0" w:color="auto"/>
              <w:bottom w:val="single" w:sz="4" w:space="0" w:color="auto"/>
              <w:right w:val="single" w:sz="4" w:space="0" w:color="auto"/>
            </w:tcBorders>
            <w:vAlign w:val="center"/>
            <w:hideMark/>
          </w:tcPr>
          <w:p w14:paraId="55B4B66C"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Valor das devoluções (em R$)</w:t>
            </w:r>
          </w:p>
        </w:tc>
        <w:tc>
          <w:tcPr>
            <w:tcW w:w="262" w:type="pct"/>
            <w:tcBorders>
              <w:top w:val="single" w:sz="4" w:space="0" w:color="auto"/>
              <w:left w:val="single" w:sz="4" w:space="0" w:color="auto"/>
              <w:bottom w:val="single" w:sz="4" w:space="0" w:color="auto"/>
              <w:right w:val="single" w:sz="4" w:space="0" w:color="auto"/>
            </w:tcBorders>
            <w:vAlign w:val="center"/>
            <w:hideMark/>
          </w:tcPr>
          <w:p w14:paraId="10C739BC"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Fretes sobre Vendas</w:t>
            </w:r>
          </w:p>
        </w:tc>
        <w:tc>
          <w:tcPr>
            <w:tcW w:w="385" w:type="pct"/>
            <w:tcBorders>
              <w:top w:val="single" w:sz="4" w:space="0" w:color="auto"/>
              <w:left w:val="single" w:sz="4" w:space="0" w:color="auto"/>
              <w:bottom w:val="single" w:sz="4" w:space="0" w:color="auto"/>
              <w:right w:val="single" w:sz="4" w:space="0" w:color="auto"/>
            </w:tcBorders>
            <w:vAlign w:val="center"/>
            <w:hideMark/>
          </w:tcPr>
          <w:p w14:paraId="45FE955F"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Receita Operacional Líquida (R$)</w:t>
            </w:r>
          </w:p>
        </w:tc>
      </w:tr>
      <w:tr w:rsidR="00395593" w:rsidRPr="00AC0363" w14:paraId="3B47525F" w14:textId="77777777" w:rsidTr="005C5CBD">
        <w:trPr>
          <w:trHeight w:val="405"/>
        </w:trPr>
        <w:tc>
          <w:tcPr>
            <w:tcW w:w="15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E7AD977" w14:textId="77777777" w:rsidR="00395593" w:rsidRPr="005C5CBD" w:rsidRDefault="00395593" w:rsidP="0097041B">
            <w:pPr>
              <w:jc w:val="center"/>
              <w:rPr>
                <w:rFonts w:ascii="Garamond" w:hAnsi="Garamond" w:cs="Calibri"/>
                <w:color w:val="000000"/>
                <w:sz w:val="16"/>
                <w:szCs w:val="16"/>
              </w:rPr>
            </w:pPr>
            <w:r w:rsidRPr="005C5CBD">
              <w:rPr>
                <w:rFonts w:ascii="Garamond" w:hAnsi="Garamond" w:cs="Calibri"/>
                <w:color w:val="000000"/>
                <w:sz w:val="16"/>
                <w:szCs w:val="16"/>
              </w:rPr>
              <w:t>Vendas Mercado Interno (I)</w:t>
            </w:r>
          </w:p>
        </w:tc>
        <w:tc>
          <w:tcPr>
            <w:tcW w:w="385" w:type="pct"/>
            <w:tcBorders>
              <w:top w:val="single" w:sz="4" w:space="0" w:color="auto"/>
              <w:left w:val="single" w:sz="4" w:space="0" w:color="auto"/>
              <w:bottom w:val="single" w:sz="4" w:space="0" w:color="auto"/>
              <w:right w:val="single" w:sz="4" w:space="0" w:color="auto"/>
            </w:tcBorders>
            <w:vAlign w:val="center"/>
            <w:hideMark/>
          </w:tcPr>
          <w:p w14:paraId="19F55518" w14:textId="77777777" w:rsidR="00395593" w:rsidRPr="005C5CBD" w:rsidRDefault="00395593" w:rsidP="0097041B">
            <w:pPr>
              <w:jc w:val="center"/>
              <w:rPr>
                <w:rFonts w:ascii="Garamond" w:hAnsi="Garamond" w:cs="Calibri"/>
                <w:color w:val="000000"/>
                <w:sz w:val="16"/>
                <w:szCs w:val="16"/>
              </w:rPr>
            </w:pPr>
            <w:r w:rsidRPr="005C5CBD">
              <w:rPr>
                <w:rFonts w:ascii="Garamond" w:hAnsi="Garamond" w:cs="Calibri"/>
                <w:color w:val="000000"/>
                <w:sz w:val="16"/>
                <w:szCs w:val="16"/>
              </w:rPr>
              <w:t>a) Produto similar doméstico</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73CE294C"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47132F90"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404" w:type="pct"/>
            <w:tcBorders>
              <w:top w:val="single" w:sz="4" w:space="0" w:color="auto"/>
              <w:left w:val="single" w:sz="4" w:space="0" w:color="auto"/>
              <w:bottom w:val="single" w:sz="4" w:space="0" w:color="auto"/>
              <w:right w:val="single" w:sz="4" w:space="0" w:color="auto"/>
            </w:tcBorders>
            <w:noWrap/>
            <w:vAlign w:val="center"/>
            <w:hideMark/>
          </w:tcPr>
          <w:p w14:paraId="461470F8"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159" w:type="pct"/>
            <w:tcBorders>
              <w:top w:val="single" w:sz="4" w:space="0" w:color="auto"/>
              <w:left w:val="single" w:sz="4" w:space="0" w:color="auto"/>
              <w:bottom w:val="single" w:sz="4" w:space="0" w:color="auto"/>
              <w:right w:val="single" w:sz="4" w:space="0" w:color="auto"/>
            </w:tcBorders>
            <w:noWrap/>
            <w:vAlign w:val="center"/>
            <w:hideMark/>
          </w:tcPr>
          <w:p w14:paraId="193EA2C7"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2F7671D"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169" w:type="pct"/>
            <w:tcBorders>
              <w:top w:val="single" w:sz="4" w:space="0" w:color="auto"/>
              <w:left w:val="single" w:sz="4" w:space="0" w:color="auto"/>
              <w:bottom w:val="single" w:sz="4" w:space="0" w:color="auto"/>
              <w:right w:val="single" w:sz="4" w:space="0" w:color="auto"/>
            </w:tcBorders>
            <w:noWrap/>
            <w:vAlign w:val="center"/>
            <w:hideMark/>
          </w:tcPr>
          <w:p w14:paraId="383B8D91"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98" w:type="pct"/>
            <w:tcBorders>
              <w:top w:val="single" w:sz="4" w:space="0" w:color="auto"/>
              <w:left w:val="single" w:sz="4" w:space="0" w:color="auto"/>
              <w:bottom w:val="single" w:sz="4" w:space="0" w:color="auto"/>
              <w:right w:val="single" w:sz="4" w:space="0" w:color="auto"/>
            </w:tcBorders>
            <w:noWrap/>
            <w:vAlign w:val="center"/>
            <w:hideMark/>
          </w:tcPr>
          <w:p w14:paraId="5FB2B8D5"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04" w:type="pct"/>
            <w:tcBorders>
              <w:top w:val="single" w:sz="4" w:space="0" w:color="auto"/>
              <w:left w:val="single" w:sz="4" w:space="0" w:color="auto"/>
              <w:bottom w:val="single" w:sz="4" w:space="0" w:color="auto"/>
              <w:right w:val="single" w:sz="4" w:space="0" w:color="auto"/>
            </w:tcBorders>
            <w:noWrap/>
            <w:vAlign w:val="center"/>
            <w:hideMark/>
          </w:tcPr>
          <w:p w14:paraId="6669B651"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008433B2"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95" w:type="pct"/>
            <w:tcBorders>
              <w:top w:val="single" w:sz="4" w:space="0" w:color="auto"/>
              <w:left w:val="single" w:sz="4" w:space="0" w:color="auto"/>
              <w:bottom w:val="single" w:sz="4" w:space="0" w:color="auto"/>
              <w:right w:val="single" w:sz="4" w:space="0" w:color="auto"/>
            </w:tcBorders>
            <w:noWrap/>
            <w:vAlign w:val="center"/>
            <w:hideMark/>
          </w:tcPr>
          <w:p w14:paraId="6ABFE736"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5F16019F"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6A49117E"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46" w:type="pct"/>
            <w:tcBorders>
              <w:top w:val="single" w:sz="4" w:space="0" w:color="auto"/>
              <w:left w:val="single" w:sz="4" w:space="0" w:color="auto"/>
              <w:bottom w:val="single" w:sz="4" w:space="0" w:color="auto"/>
              <w:right w:val="single" w:sz="4" w:space="0" w:color="auto"/>
            </w:tcBorders>
            <w:noWrap/>
            <w:vAlign w:val="center"/>
            <w:hideMark/>
          </w:tcPr>
          <w:p w14:paraId="1030FBB9"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42359FBB"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1E3D9344"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r>
      <w:tr w:rsidR="00395593" w:rsidRPr="00AC0363" w14:paraId="70B92577" w14:textId="77777777" w:rsidTr="005C5CBD">
        <w:trPr>
          <w:trHeight w:val="405"/>
        </w:trPr>
        <w:tc>
          <w:tcPr>
            <w:tcW w:w="150" w:type="pct"/>
            <w:vMerge/>
            <w:tcBorders>
              <w:top w:val="single" w:sz="4" w:space="0" w:color="auto"/>
              <w:left w:val="single" w:sz="4" w:space="0" w:color="auto"/>
              <w:bottom w:val="single" w:sz="4" w:space="0" w:color="auto"/>
              <w:right w:val="single" w:sz="4" w:space="0" w:color="auto"/>
            </w:tcBorders>
            <w:vAlign w:val="center"/>
            <w:hideMark/>
          </w:tcPr>
          <w:p w14:paraId="3A2FE8F8" w14:textId="77777777" w:rsidR="00395593" w:rsidRPr="005C5CBD" w:rsidRDefault="00395593" w:rsidP="0097041B">
            <w:pPr>
              <w:rPr>
                <w:rFonts w:ascii="Garamond" w:hAnsi="Garamond" w:cs="Calibri"/>
                <w:color w:val="000000"/>
                <w:sz w:val="16"/>
                <w:szCs w:val="16"/>
              </w:rPr>
            </w:pPr>
          </w:p>
        </w:tc>
        <w:tc>
          <w:tcPr>
            <w:tcW w:w="385" w:type="pct"/>
            <w:tcBorders>
              <w:top w:val="single" w:sz="4" w:space="0" w:color="auto"/>
              <w:left w:val="single" w:sz="4" w:space="0" w:color="auto"/>
              <w:bottom w:val="single" w:sz="4" w:space="0" w:color="auto"/>
              <w:right w:val="single" w:sz="4" w:space="0" w:color="auto"/>
            </w:tcBorders>
            <w:vAlign w:val="center"/>
            <w:hideMark/>
          </w:tcPr>
          <w:p w14:paraId="5B093F7E" w14:textId="77777777" w:rsidR="00395593" w:rsidRPr="005C5CBD" w:rsidRDefault="00395593" w:rsidP="0097041B">
            <w:pPr>
              <w:jc w:val="center"/>
              <w:rPr>
                <w:rFonts w:ascii="Garamond" w:hAnsi="Garamond" w:cs="Calibri"/>
                <w:color w:val="000000"/>
                <w:sz w:val="16"/>
                <w:szCs w:val="16"/>
              </w:rPr>
            </w:pPr>
            <w:r w:rsidRPr="005C5CBD">
              <w:rPr>
                <w:rFonts w:ascii="Garamond" w:hAnsi="Garamond" w:cs="Calibri"/>
                <w:color w:val="000000"/>
                <w:sz w:val="16"/>
                <w:szCs w:val="16"/>
              </w:rPr>
              <w:t>a.1) venda fabricação própria</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0CD5B6F8" w14:textId="77777777" w:rsidR="00395593" w:rsidRPr="005C5CBD" w:rsidRDefault="00395593" w:rsidP="0097041B">
            <w:pPr>
              <w:rPr>
                <w:rFonts w:ascii="Garamond" w:hAnsi="Garamond" w:cs="Calibri"/>
                <w:color w:val="000000"/>
                <w:sz w:val="16"/>
                <w:szCs w:val="16"/>
              </w:rPr>
            </w:pP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7DD8F4AC" w14:textId="77777777" w:rsidR="00395593" w:rsidRPr="005C5CBD" w:rsidRDefault="00395593" w:rsidP="0097041B">
            <w:pPr>
              <w:rPr>
                <w:rFonts w:ascii="Garamond" w:eastAsia="Calibri" w:hAnsi="Garamond" w:cs="Calibri"/>
              </w:rPr>
            </w:pPr>
          </w:p>
        </w:tc>
        <w:tc>
          <w:tcPr>
            <w:tcW w:w="404" w:type="pct"/>
            <w:tcBorders>
              <w:top w:val="single" w:sz="4" w:space="0" w:color="auto"/>
              <w:left w:val="single" w:sz="4" w:space="0" w:color="auto"/>
              <w:bottom w:val="single" w:sz="4" w:space="0" w:color="auto"/>
              <w:right w:val="single" w:sz="4" w:space="0" w:color="auto"/>
            </w:tcBorders>
            <w:noWrap/>
            <w:vAlign w:val="center"/>
            <w:hideMark/>
          </w:tcPr>
          <w:p w14:paraId="072F6D9D" w14:textId="77777777" w:rsidR="00395593" w:rsidRPr="005C5CBD" w:rsidRDefault="00395593" w:rsidP="0097041B">
            <w:pPr>
              <w:rPr>
                <w:rFonts w:ascii="Garamond" w:eastAsia="Calibri" w:hAnsi="Garamond" w:cs="Calibri"/>
              </w:rPr>
            </w:pPr>
          </w:p>
        </w:tc>
        <w:tc>
          <w:tcPr>
            <w:tcW w:w="159" w:type="pct"/>
            <w:tcBorders>
              <w:top w:val="single" w:sz="4" w:space="0" w:color="auto"/>
              <w:left w:val="single" w:sz="4" w:space="0" w:color="auto"/>
              <w:bottom w:val="single" w:sz="4" w:space="0" w:color="auto"/>
              <w:right w:val="single" w:sz="4" w:space="0" w:color="auto"/>
            </w:tcBorders>
            <w:noWrap/>
            <w:vAlign w:val="center"/>
            <w:hideMark/>
          </w:tcPr>
          <w:p w14:paraId="418CCEB7" w14:textId="77777777" w:rsidR="00395593" w:rsidRPr="005C5CBD" w:rsidRDefault="00395593" w:rsidP="0097041B">
            <w:pPr>
              <w:rPr>
                <w:rFonts w:ascii="Garamond" w:eastAsia="Calibri" w:hAnsi="Garamond" w:cs="Calibri"/>
              </w:rPr>
            </w:pP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51E3228A" w14:textId="77777777" w:rsidR="00395593" w:rsidRPr="005C5CBD" w:rsidRDefault="00395593" w:rsidP="0097041B">
            <w:pPr>
              <w:rPr>
                <w:rFonts w:ascii="Garamond" w:eastAsia="Calibri" w:hAnsi="Garamond" w:cs="Calibri"/>
              </w:rPr>
            </w:pPr>
          </w:p>
        </w:tc>
        <w:tc>
          <w:tcPr>
            <w:tcW w:w="169" w:type="pct"/>
            <w:tcBorders>
              <w:top w:val="single" w:sz="4" w:space="0" w:color="auto"/>
              <w:left w:val="single" w:sz="4" w:space="0" w:color="auto"/>
              <w:bottom w:val="single" w:sz="4" w:space="0" w:color="auto"/>
              <w:right w:val="single" w:sz="4" w:space="0" w:color="auto"/>
            </w:tcBorders>
            <w:noWrap/>
            <w:vAlign w:val="center"/>
            <w:hideMark/>
          </w:tcPr>
          <w:p w14:paraId="11B0DCBB" w14:textId="77777777" w:rsidR="00395593" w:rsidRPr="005C5CBD" w:rsidRDefault="00395593" w:rsidP="0097041B">
            <w:pPr>
              <w:rPr>
                <w:rFonts w:ascii="Garamond" w:eastAsia="Calibri" w:hAnsi="Garamond" w:cs="Calibri"/>
              </w:rPr>
            </w:pPr>
          </w:p>
        </w:tc>
        <w:tc>
          <w:tcPr>
            <w:tcW w:w="298" w:type="pct"/>
            <w:tcBorders>
              <w:top w:val="single" w:sz="4" w:space="0" w:color="auto"/>
              <w:left w:val="single" w:sz="4" w:space="0" w:color="auto"/>
              <w:bottom w:val="single" w:sz="4" w:space="0" w:color="auto"/>
              <w:right w:val="single" w:sz="4" w:space="0" w:color="auto"/>
            </w:tcBorders>
            <w:noWrap/>
            <w:vAlign w:val="center"/>
            <w:hideMark/>
          </w:tcPr>
          <w:p w14:paraId="4910A82E" w14:textId="77777777" w:rsidR="00395593" w:rsidRPr="005C5CBD" w:rsidRDefault="00395593" w:rsidP="0097041B">
            <w:pPr>
              <w:rPr>
                <w:rFonts w:ascii="Garamond" w:eastAsia="Calibri" w:hAnsi="Garamond" w:cs="Calibri"/>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14:paraId="1F10DA09"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4893F45" w14:textId="77777777" w:rsidR="00395593" w:rsidRPr="005C5CBD" w:rsidRDefault="00395593" w:rsidP="0097041B">
            <w:pPr>
              <w:rPr>
                <w:rFonts w:ascii="Garamond" w:hAnsi="Garamond" w:cs="Calibri"/>
                <w:sz w:val="16"/>
                <w:szCs w:val="16"/>
              </w:rPr>
            </w:pPr>
          </w:p>
        </w:tc>
        <w:tc>
          <w:tcPr>
            <w:tcW w:w="395" w:type="pct"/>
            <w:tcBorders>
              <w:top w:val="single" w:sz="4" w:space="0" w:color="auto"/>
              <w:left w:val="single" w:sz="4" w:space="0" w:color="auto"/>
              <w:bottom w:val="single" w:sz="4" w:space="0" w:color="auto"/>
              <w:right w:val="single" w:sz="4" w:space="0" w:color="auto"/>
            </w:tcBorders>
            <w:noWrap/>
            <w:vAlign w:val="center"/>
            <w:hideMark/>
          </w:tcPr>
          <w:p w14:paraId="004D1628" w14:textId="77777777" w:rsidR="00395593" w:rsidRPr="005C5CBD" w:rsidRDefault="00395593" w:rsidP="0097041B">
            <w:pPr>
              <w:rPr>
                <w:rFonts w:ascii="Garamond" w:eastAsia="Calibri" w:hAnsi="Garamond" w:cs="Calibri"/>
              </w:rPr>
            </w:pP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2857B913" w14:textId="77777777" w:rsidR="00395593" w:rsidRPr="005C5CBD" w:rsidRDefault="00395593" w:rsidP="0097041B">
            <w:pPr>
              <w:rPr>
                <w:rFonts w:ascii="Garamond" w:eastAsia="Calibri" w:hAnsi="Garamond" w:cs="Calibri"/>
              </w:rPr>
            </w:pP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4863DEC0" w14:textId="77777777" w:rsidR="00395593" w:rsidRPr="005C5CBD" w:rsidRDefault="00395593" w:rsidP="0097041B">
            <w:pPr>
              <w:rPr>
                <w:rFonts w:ascii="Garamond" w:eastAsia="Calibri" w:hAnsi="Garamond" w:cs="Calibri"/>
              </w:rPr>
            </w:pPr>
          </w:p>
        </w:tc>
        <w:tc>
          <w:tcPr>
            <w:tcW w:w="346" w:type="pct"/>
            <w:tcBorders>
              <w:top w:val="single" w:sz="4" w:space="0" w:color="auto"/>
              <w:left w:val="single" w:sz="4" w:space="0" w:color="auto"/>
              <w:bottom w:val="single" w:sz="4" w:space="0" w:color="auto"/>
              <w:right w:val="single" w:sz="4" w:space="0" w:color="auto"/>
            </w:tcBorders>
            <w:noWrap/>
            <w:vAlign w:val="center"/>
            <w:hideMark/>
          </w:tcPr>
          <w:p w14:paraId="3A65539A" w14:textId="77777777" w:rsidR="00395593" w:rsidRPr="005C5CBD" w:rsidRDefault="00395593" w:rsidP="0097041B">
            <w:pPr>
              <w:rPr>
                <w:rFonts w:ascii="Garamond" w:eastAsia="Calibri" w:hAnsi="Garamond" w:cs="Calibri"/>
              </w:rPr>
            </w:pP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5C450B58" w14:textId="77777777" w:rsidR="00395593" w:rsidRPr="005C5CBD" w:rsidRDefault="00395593" w:rsidP="0097041B">
            <w:pPr>
              <w:rPr>
                <w:rFonts w:ascii="Garamond" w:eastAsia="Calibri" w:hAnsi="Garamond" w:cs="Calibri"/>
              </w:rPr>
            </w:pP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5FD104FC"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r>
      <w:tr w:rsidR="00395593" w:rsidRPr="00AC0363" w14:paraId="28F7A285" w14:textId="77777777" w:rsidTr="005C5CBD">
        <w:trPr>
          <w:trHeight w:val="405"/>
        </w:trPr>
        <w:tc>
          <w:tcPr>
            <w:tcW w:w="150" w:type="pct"/>
            <w:vMerge/>
            <w:tcBorders>
              <w:top w:val="single" w:sz="4" w:space="0" w:color="auto"/>
              <w:left w:val="single" w:sz="4" w:space="0" w:color="auto"/>
              <w:bottom w:val="single" w:sz="4" w:space="0" w:color="auto"/>
              <w:right w:val="single" w:sz="4" w:space="0" w:color="auto"/>
            </w:tcBorders>
            <w:vAlign w:val="center"/>
            <w:hideMark/>
          </w:tcPr>
          <w:p w14:paraId="09DF31FB" w14:textId="77777777" w:rsidR="00395593" w:rsidRPr="005C5CBD" w:rsidRDefault="00395593" w:rsidP="0097041B">
            <w:pPr>
              <w:rPr>
                <w:rFonts w:ascii="Garamond" w:hAnsi="Garamond" w:cs="Calibri"/>
                <w:color w:val="000000"/>
                <w:sz w:val="16"/>
                <w:szCs w:val="16"/>
              </w:rPr>
            </w:pPr>
          </w:p>
        </w:tc>
        <w:tc>
          <w:tcPr>
            <w:tcW w:w="385" w:type="pct"/>
            <w:tcBorders>
              <w:top w:val="single" w:sz="4" w:space="0" w:color="auto"/>
              <w:left w:val="single" w:sz="4" w:space="0" w:color="auto"/>
              <w:bottom w:val="single" w:sz="4" w:space="0" w:color="auto"/>
              <w:right w:val="single" w:sz="4" w:space="0" w:color="auto"/>
            </w:tcBorders>
            <w:vAlign w:val="center"/>
            <w:hideMark/>
          </w:tcPr>
          <w:p w14:paraId="528D2573" w14:textId="77777777" w:rsidR="00395593" w:rsidRPr="005C5CBD" w:rsidRDefault="00395593" w:rsidP="0097041B">
            <w:pPr>
              <w:jc w:val="center"/>
              <w:rPr>
                <w:rFonts w:ascii="Garamond" w:hAnsi="Garamond" w:cs="Calibri"/>
                <w:color w:val="000000"/>
                <w:sz w:val="16"/>
                <w:szCs w:val="16"/>
              </w:rPr>
            </w:pPr>
            <w:r w:rsidRPr="005C5CBD">
              <w:rPr>
                <w:rFonts w:ascii="Garamond" w:hAnsi="Garamond" w:cs="Calibri"/>
                <w:color w:val="000000"/>
                <w:sz w:val="16"/>
                <w:szCs w:val="16"/>
              </w:rPr>
              <w:t>a.2) revenda produto importado e/ou adquirido no mercado brasileiro</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0BE2A09F" w14:textId="77777777" w:rsidR="00395593" w:rsidRPr="005C5CBD" w:rsidRDefault="00395593" w:rsidP="0097041B">
            <w:pPr>
              <w:rPr>
                <w:rFonts w:ascii="Garamond" w:hAnsi="Garamond" w:cs="Calibri"/>
                <w:color w:val="000000"/>
                <w:sz w:val="16"/>
                <w:szCs w:val="16"/>
              </w:rPr>
            </w:pP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1038A033" w14:textId="77777777" w:rsidR="00395593" w:rsidRPr="005C5CBD" w:rsidRDefault="00395593" w:rsidP="0097041B">
            <w:pPr>
              <w:rPr>
                <w:rFonts w:ascii="Garamond" w:eastAsia="Calibri" w:hAnsi="Garamond" w:cs="Calibri"/>
              </w:rPr>
            </w:pPr>
          </w:p>
        </w:tc>
        <w:tc>
          <w:tcPr>
            <w:tcW w:w="404" w:type="pct"/>
            <w:tcBorders>
              <w:top w:val="single" w:sz="4" w:space="0" w:color="auto"/>
              <w:left w:val="single" w:sz="4" w:space="0" w:color="auto"/>
              <w:bottom w:val="single" w:sz="4" w:space="0" w:color="auto"/>
              <w:right w:val="single" w:sz="4" w:space="0" w:color="auto"/>
            </w:tcBorders>
            <w:noWrap/>
            <w:vAlign w:val="center"/>
            <w:hideMark/>
          </w:tcPr>
          <w:p w14:paraId="67666CFD" w14:textId="77777777" w:rsidR="00395593" w:rsidRPr="005C5CBD" w:rsidRDefault="00395593" w:rsidP="0097041B">
            <w:pPr>
              <w:rPr>
                <w:rFonts w:ascii="Garamond" w:eastAsia="Calibri" w:hAnsi="Garamond" w:cs="Calibri"/>
              </w:rPr>
            </w:pPr>
          </w:p>
        </w:tc>
        <w:tc>
          <w:tcPr>
            <w:tcW w:w="159" w:type="pct"/>
            <w:tcBorders>
              <w:top w:val="single" w:sz="4" w:space="0" w:color="auto"/>
              <w:left w:val="single" w:sz="4" w:space="0" w:color="auto"/>
              <w:bottom w:val="single" w:sz="4" w:space="0" w:color="auto"/>
              <w:right w:val="single" w:sz="4" w:space="0" w:color="auto"/>
            </w:tcBorders>
            <w:noWrap/>
            <w:vAlign w:val="center"/>
            <w:hideMark/>
          </w:tcPr>
          <w:p w14:paraId="5F70030B" w14:textId="77777777" w:rsidR="00395593" w:rsidRPr="005C5CBD" w:rsidRDefault="00395593" w:rsidP="0097041B">
            <w:pPr>
              <w:rPr>
                <w:rFonts w:ascii="Garamond" w:eastAsia="Calibri" w:hAnsi="Garamond" w:cs="Calibri"/>
              </w:rPr>
            </w:pP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6731B4BB" w14:textId="77777777" w:rsidR="00395593" w:rsidRPr="005C5CBD" w:rsidRDefault="00395593" w:rsidP="0097041B">
            <w:pPr>
              <w:rPr>
                <w:rFonts w:ascii="Garamond" w:eastAsia="Calibri" w:hAnsi="Garamond" w:cs="Calibri"/>
              </w:rPr>
            </w:pPr>
          </w:p>
        </w:tc>
        <w:tc>
          <w:tcPr>
            <w:tcW w:w="169" w:type="pct"/>
            <w:tcBorders>
              <w:top w:val="single" w:sz="4" w:space="0" w:color="auto"/>
              <w:left w:val="single" w:sz="4" w:space="0" w:color="auto"/>
              <w:bottom w:val="single" w:sz="4" w:space="0" w:color="auto"/>
              <w:right w:val="single" w:sz="4" w:space="0" w:color="auto"/>
            </w:tcBorders>
            <w:noWrap/>
            <w:vAlign w:val="center"/>
            <w:hideMark/>
          </w:tcPr>
          <w:p w14:paraId="78EF4DCF" w14:textId="77777777" w:rsidR="00395593" w:rsidRPr="005C5CBD" w:rsidRDefault="00395593" w:rsidP="0097041B">
            <w:pPr>
              <w:rPr>
                <w:rFonts w:ascii="Garamond" w:eastAsia="Calibri" w:hAnsi="Garamond" w:cs="Calibri"/>
              </w:rPr>
            </w:pPr>
          </w:p>
        </w:tc>
        <w:tc>
          <w:tcPr>
            <w:tcW w:w="298" w:type="pct"/>
            <w:tcBorders>
              <w:top w:val="single" w:sz="4" w:space="0" w:color="auto"/>
              <w:left w:val="single" w:sz="4" w:space="0" w:color="auto"/>
              <w:bottom w:val="single" w:sz="4" w:space="0" w:color="auto"/>
              <w:right w:val="single" w:sz="4" w:space="0" w:color="auto"/>
            </w:tcBorders>
            <w:noWrap/>
            <w:vAlign w:val="center"/>
            <w:hideMark/>
          </w:tcPr>
          <w:p w14:paraId="0F890346" w14:textId="77777777" w:rsidR="00395593" w:rsidRPr="005C5CBD" w:rsidRDefault="00395593" w:rsidP="0097041B">
            <w:pPr>
              <w:rPr>
                <w:rFonts w:ascii="Garamond" w:eastAsia="Calibri" w:hAnsi="Garamond" w:cs="Calibri"/>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14:paraId="164F5EB0"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7DF039A2" w14:textId="77777777" w:rsidR="00395593" w:rsidRPr="005C5CBD" w:rsidRDefault="00395593" w:rsidP="0097041B">
            <w:pPr>
              <w:rPr>
                <w:rFonts w:ascii="Garamond" w:hAnsi="Garamond" w:cs="Calibri"/>
                <w:sz w:val="16"/>
                <w:szCs w:val="16"/>
              </w:rPr>
            </w:pPr>
          </w:p>
        </w:tc>
        <w:tc>
          <w:tcPr>
            <w:tcW w:w="395" w:type="pct"/>
            <w:tcBorders>
              <w:top w:val="single" w:sz="4" w:space="0" w:color="auto"/>
              <w:left w:val="single" w:sz="4" w:space="0" w:color="auto"/>
              <w:bottom w:val="single" w:sz="4" w:space="0" w:color="auto"/>
              <w:right w:val="single" w:sz="4" w:space="0" w:color="auto"/>
            </w:tcBorders>
            <w:noWrap/>
            <w:vAlign w:val="center"/>
            <w:hideMark/>
          </w:tcPr>
          <w:p w14:paraId="03E008CC" w14:textId="77777777" w:rsidR="00395593" w:rsidRPr="005C5CBD" w:rsidRDefault="00395593" w:rsidP="0097041B">
            <w:pPr>
              <w:rPr>
                <w:rFonts w:ascii="Garamond" w:eastAsia="Calibri" w:hAnsi="Garamond" w:cs="Calibri"/>
              </w:rPr>
            </w:pP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44BE20D9" w14:textId="77777777" w:rsidR="00395593" w:rsidRPr="005C5CBD" w:rsidRDefault="00395593" w:rsidP="0097041B">
            <w:pPr>
              <w:rPr>
                <w:rFonts w:ascii="Garamond" w:eastAsia="Calibri" w:hAnsi="Garamond" w:cs="Calibri"/>
              </w:rPr>
            </w:pP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4CFEFB26" w14:textId="77777777" w:rsidR="00395593" w:rsidRPr="005C5CBD" w:rsidRDefault="00395593" w:rsidP="0097041B">
            <w:pPr>
              <w:rPr>
                <w:rFonts w:ascii="Garamond" w:eastAsia="Calibri" w:hAnsi="Garamond" w:cs="Calibri"/>
              </w:rPr>
            </w:pPr>
          </w:p>
        </w:tc>
        <w:tc>
          <w:tcPr>
            <w:tcW w:w="346" w:type="pct"/>
            <w:tcBorders>
              <w:top w:val="single" w:sz="4" w:space="0" w:color="auto"/>
              <w:left w:val="single" w:sz="4" w:space="0" w:color="auto"/>
              <w:bottom w:val="single" w:sz="4" w:space="0" w:color="auto"/>
              <w:right w:val="single" w:sz="4" w:space="0" w:color="auto"/>
            </w:tcBorders>
            <w:noWrap/>
            <w:vAlign w:val="center"/>
            <w:hideMark/>
          </w:tcPr>
          <w:p w14:paraId="6CF5C43B" w14:textId="77777777" w:rsidR="00395593" w:rsidRPr="005C5CBD" w:rsidRDefault="00395593" w:rsidP="0097041B">
            <w:pPr>
              <w:rPr>
                <w:rFonts w:ascii="Garamond" w:eastAsia="Calibri" w:hAnsi="Garamond" w:cs="Calibri"/>
              </w:rPr>
            </w:pP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2B760D10" w14:textId="77777777" w:rsidR="00395593" w:rsidRPr="005C5CBD" w:rsidRDefault="00395593" w:rsidP="0097041B">
            <w:pPr>
              <w:rPr>
                <w:rFonts w:ascii="Garamond" w:eastAsia="Calibri" w:hAnsi="Garamond" w:cs="Calibri"/>
              </w:rPr>
            </w:pP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6ADFDB94"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r>
      <w:tr w:rsidR="00395593" w:rsidRPr="00AC0363" w14:paraId="0D2B228B" w14:textId="77777777" w:rsidTr="005C5CBD">
        <w:trPr>
          <w:trHeight w:val="405"/>
        </w:trPr>
        <w:tc>
          <w:tcPr>
            <w:tcW w:w="150" w:type="pct"/>
            <w:vMerge/>
            <w:tcBorders>
              <w:top w:val="single" w:sz="4" w:space="0" w:color="auto"/>
              <w:left w:val="single" w:sz="4" w:space="0" w:color="auto"/>
              <w:bottom w:val="single" w:sz="4" w:space="0" w:color="auto"/>
              <w:right w:val="single" w:sz="4" w:space="0" w:color="auto"/>
            </w:tcBorders>
            <w:vAlign w:val="center"/>
            <w:hideMark/>
          </w:tcPr>
          <w:p w14:paraId="3F229591" w14:textId="77777777" w:rsidR="00395593" w:rsidRPr="005C5CBD" w:rsidRDefault="00395593" w:rsidP="0097041B">
            <w:pPr>
              <w:rPr>
                <w:rFonts w:ascii="Garamond" w:hAnsi="Garamond" w:cs="Calibri"/>
                <w:color w:val="000000"/>
                <w:sz w:val="16"/>
                <w:szCs w:val="16"/>
              </w:rPr>
            </w:pPr>
          </w:p>
        </w:tc>
        <w:tc>
          <w:tcPr>
            <w:tcW w:w="385" w:type="pct"/>
            <w:tcBorders>
              <w:top w:val="single" w:sz="4" w:space="0" w:color="auto"/>
              <w:left w:val="single" w:sz="4" w:space="0" w:color="auto"/>
              <w:bottom w:val="single" w:sz="4" w:space="0" w:color="auto"/>
              <w:right w:val="single" w:sz="4" w:space="0" w:color="auto"/>
            </w:tcBorders>
            <w:vAlign w:val="center"/>
            <w:hideMark/>
          </w:tcPr>
          <w:p w14:paraId="2CD0BFEE" w14:textId="77777777" w:rsidR="00395593" w:rsidRPr="005C5CBD" w:rsidRDefault="00395593" w:rsidP="0097041B">
            <w:pPr>
              <w:jc w:val="center"/>
              <w:rPr>
                <w:rFonts w:ascii="Garamond" w:hAnsi="Garamond" w:cs="Calibri"/>
                <w:color w:val="000000"/>
                <w:sz w:val="16"/>
                <w:szCs w:val="16"/>
              </w:rPr>
            </w:pPr>
            <w:r w:rsidRPr="005C5CBD">
              <w:rPr>
                <w:rFonts w:ascii="Garamond" w:hAnsi="Garamond" w:cs="Calibri"/>
                <w:color w:val="000000"/>
                <w:sz w:val="16"/>
                <w:szCs w:val="16"/>
              </w:rPr>
              <w:t>b) Outros Produtos</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5F5FE8A6" w14:textId="77777777" w:rsidR="00395593" w:rsidRPr="005C5CBD" w:rsidRDefault="00395593" w:rsidP="0097041B">
            <w:pPr>
              <w:rPr>
                <w:rFonts w:ascii="Garamond" w:hAnsi="Garamond" w:cs="Calibri"/>
                <w:color w:val="000000"/>
                <w:sz w:val="16"/>
                <w:szCs w:val="16"/>
              </w:rPr>
            </w:pP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7D6D0450" w14:textId="77777777" w:rsidR="00395593" w:rsidRPr="005C5CBD" w:rsidRDefault="00395593" w:rsidP="0097041B">
            <w:pPr>
              <w:rPr>
                <w:rFonts w:ascii="Garamond" w:eastAsia="Calibri" w:hAnsi="Garamond" w:cs="Calibri"/>
              </w:rPr>
            </w:pPr>
          </w:p>
        </w:tc>
        <w:tc>
          <w:tcPr>
            <w:tcW w:w="404" w:type="pct"/>
            <w:tcBorders>
              <w:top w:val="single" w:sz="4" w:space="0" w:color="auto"/>
              <w:left w:val="single" w:sz="4" w:space="0" w:color="auto"/>
              <w:bottom w:val="single" w:sz="4" w:space="0" w:color="auto"/>
              <w:right w:val="single" w:sz="4" w:space="0" w:color="auto"/>
            </w:tcBorders>
            <w:noWrap/>
            <w:vAlign w:val="center"/>
            <w:hideMark/>
          </w:tcPr>
          <w:p w14:paraId="5A4B735D" w14:textId="77777777" w:rsidR="00395593" w:rsidRPr="005C5CBD" w:rsidRDefault="00395593" w:rsidP="0097041B">
            <w:pPr>
              <w:rPr>
                <w:rFonts w:ascii="Garamond" w:eastAsia="Calibri" w:hAnsi="Garamond" w:cs="Calibri"/>
              </w:rPr>
            </w:pPr>
          </w:p>
        </w:tc>
        <w:tc>
          <w:tcPr>
            <w:tcW w:w="159" w:type="pct"/>
            <w:tcBorders>
              <w:top w:val="single" w:sz="4" w:space="0" w:color="auto"/>
              <w:left w:val="single" w:sz="4" w:space="0" w:color="auto"/>
              <w:bottom w:val="single" w:sz="4" w:space="0" w:color="auto"/>
              <w:right w:val="single" w:sz="4" w:space="0" w:color="auto"/>
            </w:tcBorders>
            <w:noWrap/>
            <w:vAlign w:val="center"/>
            <w:hideMark/>
          </w:tcPr>
          <w:p w14:paraId="1B958BD5" w14:textId="77777777" w:rsidR="00395593" w:rsidRPr="005C5CBD" w:rsidRDefault="00395593" w:rsidP="0097041B">
            <w:pPr>
              <w:rPr>
                <w:rFonts w:ascii="Garamond" w:eastAsia="Calibri" w:hAnsi="Garamond" w:cs="Calibri"/>
              </w:rPr>
            </w:pP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53222413" w14:textId="77777777" w:rsidR="00395593" w:rsidRPr="005C5CBD" w:rsidRDefault="00395593" w:rsidP="0097041B">
            <w:pPr>
              <w:rPr>
                <w:rFonts w:ascii="Garamond" w:eastAsia="Calibri" w:hAnsi="Garamond" w:cs="Calibri"/>
              </w:rPr>
            </w:pPr>
          </w:p>
        </w:tc>
        <w:tc>
          <w:tcPr>
            <w:tcW w:w="169" w:type="pct"/>
            <w:tcBorders>
              <w:top w:val="single" w:sz="4" w:space="0" w:color="auto"/>
              <w:left w:val="single" w:sz="4" w:space="0" w:color="auto"/>
              <w:bottom w:val="single" w:sz="4" w:space="0" w:color="auto"/>
              <w:right w:val="single" w:sz="4" w:space="0" w:color="auto"/>
            </w:tcBorders>
            <w:noWrap/>
            <w:vAlign w:val="center"/>
            <w:hideMark/>
          </w:tcPr>
          <w:p w14:paraId="5FCEC17F" w14:textId="77777777" w:rsidR="00395593" w:rsidRPr="005C5CBD" w:rsidRDefault="00395593" w:rsidP="0097041B">
            <w:pPr>
              <w:rPr>
                <w:rFonts w:ascii="Garamond" w:eastAsia="Calibri" w:hAnsi="Garamond" w:cs="Calibri"/>
              </w:rPr>
            </w:pPr>
          </w:p>
        </w:tc>
        <w:tc>
          <w:tcPr>
            <w:tcW w:w="298" w:type="pct"/>
            <w:tcBorders>
              <w:top w:val="single" w:sz="4" w:space="0" w:color="auto"/>
              <w:left w:val="single" w:sz="4" w:space="0" w:color="auto"/>
              <w:bottom w:val="single" w:sz="4" w:space="0" w:color="auto"/>
              <w:right w:val="single" w:sz="4" w:space="0" w:color="auto"/>
            </w:tcBorders>
            <w:noWrap/>
            <w:vAlign w:val="center"/>
            <w:hideMark/>
          </w:tcPr>
          <w:p w14:paraId="19E201C0" w14:textId="77777777" w:rsidR="00395593" w:rsidRPr="005C5CBD" w:rsidRDefault="00395593" w:rsidP="0097041B">
            <w:pPr>
              <w:rPr>
                <w:rFonts w:ascii="Garamond" w:eastAsia="Calibri" w:hAnsi="Garamond" w:cs="Calibri"/>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14:paraId="0E69E9B6"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10379F1F" w14:textId="77777777" w:rsidR="00395593" w:rsidRPr="005C5CBD" w:rsidRDefault="00395593" w:rsidP="0097041B">
            <w:pPr>
              <w:rPr>
                <w:rFonts w:ascii="Garamond" w:hAnsi="Garamond" w:cs="Calibri"/>
                <w:sz w:val="16"/>
                <w:szCs w:val="16"/>
              </w:rPr>
            </w:pPr>
          </w:p>
        </w:tc>
        <w:tc>
          <w:tcPr>
            <w:tcW w:w="395" w:type="pct"/>
            <w:tcBorders>
              <w:top w:val="single" w:sz="4" w:space="0" w:color="auto"/>
              <w:left w:val="single" w:sz="4" w:space="0" w:color="auto"/>
              <w:bottom w:val="single" w:sz="4" w:space="0" w:color="auto"/>
              <w:right w:val="single" w:sz="4" w:space="0" w:color="auto"/>
            </w:tcBorders>
            <w:noWrap/>
            <w:vAlign w:val="center"/>
            <w:hideMark/>
          </w:tcPr>
          <w:p w14:paraId="40E01DFC" w14:textId="77777777" w:rsidR="00395593" w:rsidRPr="005C5CBD" w:rsidRDefault="00395593" w:rsidP="0097041B">
            <w:pPr>
              <w:rPr>
                <w:rFonts w:ascii="Garamond" w:eastAsia="Calibri" w:hAnsi="Garamond" w:cs="Calibri"/>
              </w:rPr>
            </w:pP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70EB2F73" w14:textId="77777777" w:rsidR="00395593" w:rsidRPr="005C5CBD" w:rsidRDefault="00395593" w:rsidP="0097041B">
            <w:pPr>
              <w:rPr>
                <w:rFonts w:ascii="Garamond" w:eastAsia="Calibri" w:hAnsi="Garamond" w:cs="Calibri"/>
              </w:rPr>
            </w:pP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098845FE" w14:textId="77777777" w:rsidR="00395593" w:rsidRPr="005C5CBD" w:rsidRDefault="00395593" w:rsidP="0097041B">
            <w:pPr>
              <w:rPr>
                <w:rFonts w:ascii="Garamond" w:eastAsia="Calibri" w:hAnsi="Garamond" w:cs="Calibri"/>
              </w:rPr>
            </w:pPr>
          </w:p>
        </w:tc>
        <w:tc>
          <w:tcPr>
            <w:tcW w:w="346" w:type="pct"/>
            <w:tcBorders>
              <w:top w:val="single" w:sz="4" w:space="0" w:color="auto"/>
              <w:left w:val="single" w:sz="4" w:space="0" w:color="auto"/>
              <w:bottom w:val="single" w:sz="4" w:space="0" w:color="auto"/>
              <w:right w:val="single" w:sz="4" w:space="0" w:color="auto"/>
            </w:tcBorders>
            <w:noWrap/>
            <w:vAlign w:val="center"/>
            <w:hideMark/>
          </w:tcPr>
          <w:p w14:paraId="4BF1D473" w14:textId="77777777" w:rsidR="00395593" w:rsidRPr="005C5CBD" w:rsidRDefault="00395593" w:rsidP="0097041B">
            <w:pPr>
              <w:rPr>
                <w:rFonts w:ascii="Garamond" w:eastAsia="Calibri" w:hAnsi="Garamond" w:cs="Calibri"/>
              </w:rPr>
            </w:pP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17701BF1" w14:textId="77777777" w:rsidR="00395593" w:rsidRPr="005C5CBD" w:rsidRDefault="00395593" w:rsidP="0097041B">
            <w:pPr>
              <w:rPr>
                <w:rFonts w:ascii="Garamond" w:eastAsia="Calibri" w:hAnsi="Garamond" w:cs="Calibri"/>
              </w:rPr>
            </w:pP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42ECB010"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r>
      <w:tr w:rsidR="00395593" w:rsidRPr="00AC0363" w14:paraId="2C20848C" w14:textId="77777777" w:rsidTr="005C5CBD">
        <w:trPr>
          <w:trHeight w:val="405"/>
        </w:trPr>
        <w:tc>
          <w:tcPr>
            <w:tcW w:w="150" w:type="pct"/>
            <w:vMerge/>
            <w:tcBorders>
              <w:top w:val="single" w:sz="4" w:space="0" w:color="auto"/>
              <w:left w:val="single" w:sz="4" w:space="0" w:color="auto"/>
              <w:bottom w:val="single" w:sz="4" w:space="0" w:color="auto"/>
              <w:right w:val="single" w:sz="4" w:space="0" w:color="auto"/>
            </w:tcBorders>
            <w:vAlign w:val="center"/>
            <w:hideMark/>
          </w:tcPr>
          <w:p w14:paraId="4AD8E1F9" w14:textId="77777777" w:rsidR="00395593" w:rsidRPr="005C5CBD" w:rsidRDefault="00395593" w:rsidP="0097041B">
            <w:pPr>
              <w:rPr>
                <w:rFonts w:ascii="Garamond" w:hAnsi="Garamond" w:cs="Calibri"/>
                <w:color w:val="000000"/>
                <w:sz w:val="16"/>
                <w:szCs w:val="16"/>
              </w:rPr>
            </w:pP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7D61DF20" w14:textId="77777777" w:rsidR="00395593" w:rsidRPr="005C5CBD" w:rsidRDefault="00395593" w:rsidP="0097041B">
            <w:pPr>
              <w:jc w:val="center"/>
              <w:rPr>
                <w:rFonts w:ascii="Garamond" w:hAnsi="Garamond" w:cs="Calibri"/>
                <w:color w:val="000000"/>
                <w:sz w:val="16"/>
                <w:szCs w:val="16"/>
              </w:rPr>
            </w:pPr>
            <w:r w:rsidRPr="005C5CBD">
              <w:rPr>
                <w:rFonts w:ascii="Garamond" w:hAnsi="Garamond" w:cs="Calibri"/>
                <w:color w:val="000000"/>
                <w:sz w:val="16"/>
                <w:szCs w:val="16"/>
              </w:rPr>
              <w:t>Total (I)</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2EB9CE61"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292F2D8A"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404" w:type="pct"/>
            <w:tcBorders>
              <w:top w:val="single" w:sz="4" w:space="0" w:color="auto"/>
              <w:left w:val="single" w:sz="4" w:space="0" w:color="auto"/>
              <w:bottom w:val="single" w:sz="4" w:space="0" w:color="auto"/>
              <w:right w:val="single" w:sz="4" w:space="0" w:color="auto"/>
            </w:tcBorders>
            <w:noWrap/>
            <w:vAlign w:val="center"/>
            <w:hideMark/>
          </w:tcPr>
          <w:p w14:paraId="11F2D9DB"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159" w:type="pct"/>
            <w:tcBorders>
              <w:top w:val="single" w:sz="4" w:space="0" w:color="auto"/>
              <w:left w:val="single" w:sz="4" w:space="0" w:color="auto"/>
              <w:bottom w:val="single" w:sz="4" w:space="0" w:color="auto"/>
              <w:right w:val="single" w:sz="4" w:space="0" w:color="auto"/>
            </w:tcBorders>
            <w:noWrap/>
            <w:vAlign w:val="center"/>
            <w:hideMark/>
          </w:tcPr>
          <w:p w14:paraId="2C9C6E6B"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844B9C5"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169" w:type="pct"/>
            <w:tcBorders>
              <w:top w:val="single" w:sz="4" w:space="0" w:color="auto"/>
              <w:left w:val="single" w:sz="4" w:space="0" w:color="auto"/>
              <w:bottom w:val="single" w:sz="4" w:space="0" w:color="auto"/>
              <w:right w:val="single" w:sz="4" w:space="0" w:color="auto"/>
            </w:tcBorders>
            <w:noWrap/>
            <w:vAlign w:val="center"/>
            <w:hideMark/>
          </w:tcPr>
          <w:p w14:paraId="4F976533"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98" w:type="pct"/>
            <w:tcBorders>
              <w:top w:val="single" w:sz="4" w:space="0" w:color="auto"/>
              <w:left w:val="single" w:sz="4" w:space="0" w:color="auto"/>
              <w:bottom w:val="single" w:sz="4" w:space="0" w:color="auto"/>
              <w:right w:val="single" w:sz="4" w:space="0" w:color="auto"/>
            </w:tcBorders>
            <w:noWrap/>
            <w:vAlign w:val="center"/>
            <w:hideMark/>
          </w:tcPr>
          <w:p w14:paraId="7E123CED"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04" w:type="pct"/>
            <w:tcBorders>
              <w:top w:val="single" w:sz="4" w:space="0" w:color="auto"/>
              <w:left w:val="single" w:sz="4" w:space="0" w:color="auto"/>
              <w:bottom w:val="single" w:sz="4" w:space="0" w:color="auto"/>
              <w:right w:val="single" w:sz="4" w:space="0" w:color="auto"/>
            </w:tcBorders>
            <w:noWrap/>
            <w:vAlign w:val="center"/>
            <w:hideMark/>
          </w:tcPr>
          <w:p w14:paraId="1CB8436A"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3FF01F6"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95" w:type="pct"/>
            <w:tcBorders>
              <w:top w:val="single" w:sz="4" w:space="0" w:color="auto"/>
              <w:left w:val="single" w:sz="4" w:space="0" w:color="auto"/>
              <w:bottom w:val="single" w:sz="4" w:space="0" w:color="auto"/>
              <w:right w:val="single" w:sz="4" w:space="0" w:color="auto"/>
            </w:tcBorders>
            <w:noWrap/>
            <w:vAlign w:val="center"/>
            <w:hideMark/>
          </w:tcPr>
          <w:p w14:paraId="48FB2D02"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66FA7C1E"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3278754C"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46" w:type="pct"/>
            <w:tcBorders>
              <w:top w:val="single" w:sz="4" w:space="0" w:color="auto"/>
              <w:left w:val="single" w:sz="4" w:space="0" w:color="auto"/>
              <w:bottom w:val="single" w:sz="4" w:space="0" w:color="auto"/>
              <w:right w:val="single" w:sz="4" w:space="0" w:color="auto"/>
            </w:tcBorders>
            <w:noWrap/>
            <w:vAlign w:val="center"/>
            <w:hideMark/>
          </w:tcPr>
          <w:p w14:paraId="5238BBC0"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6587981A"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1DE3181B"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r>
      <w:tr w:rsidR="00395593" w:rsidRPr="00AC0363" w14:paraId="65197EC2" w14:textId="77777777" w:rsidTr="005C5CBD">
        <w:trPr>
          <w:trHeight w:val="405"/>
        </w:trPr>
        <w:tc>
          <w:tcPr>
            <w:tcW w:w="15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689C64C" w14:textId="77777777" w:rsidR="00395593" w:rsidRPr="005C5CBD" w:rsidRDefault="00395593" w:rsidP="0097041B">
            <w:pPr>
              <w:jc w:val="center"/>
              <w:rPr>
                <w:rFonts w:ascii="Garamond" w:hAnsi="Garamond" w:cs="Calibri"/>
                <w:color w:val="000000"/>
                <w:sz w:val="16"/>
                <w:szCs w:val="16"/>
              </w:rPr>
            </w:pPr>
            <w:r w:rsidRPr="005C5CBD">
              <w:rPr>
                <w:rFonts w:ascii="Garamond" w:hAnsi="Garamond" w:cs="Calibri"/>
                <w:color w:val="000000"/>
                <w:sz w:val="16"/>
                <w:szCs w:val="16"/>
              </w:rPr>
              <w:t>Vendas Mercado Externo (II)</w:t>
            </w:r>
          </w:p>
        </w:tc>
        <w:tc>
          <w:tcPr>
            <w:tcW w:w="385" w:type="pct"/>
            <w:tcBorders>
              <w:top w:val="single" w:sz="4" w:space="0" w:color="auto"/>
              <w:left w:val="single" w:sz="4" w:space="0" w:color="auto"/>
              <w:bottom w:val="single" w:sz="4" w:space="0" w:color="auto"/>
              <w:right w:val="single" w:sz="4" w:space="0" w:color="auto"/>
            </w:tcBorders>
            <w:vAlign w:val="center"/>
            <w:hideMark/>
          </w:tcPr>
          <w:p w14:paraId="1E8950D7" w14:textId="77777777" w:rsidR="00395593" w:rsidRPr="005C5CBD" w:rsidRDefault="00395593" w:rsidP="0097041B">
            <w:pPr>
              <w:jc w:val="center"/>
              <w:rPr>
                <w:rFonts w:ascii="Garamond" w:hAnsi="Garamond" w:cs="Calibri"/>
                <w:color w:val="000000"/>
                <w:sz w:val="16"/>
                <w:szCs w:val="16"/>
              </w:rPr>
            </w:pPr>
            <w:r w:rsidRPr="005C5CBD">
              <w:rPr>
                <w:rFonts w:ascii="Garamond" w:hAnsi="Garamond" w:cs="Calibri"/>
                <w:color w:val="000000"/>
                <w:sz w:val="16"/>
                <w:szCs w:val="16"/>
              </w:rPr>
              <w:t>a) Produto similar doméstico</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14EF0C12"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31AEB85A"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404" w:type="pct"/>
            <w:tcBorders>
              <w:top w:val="single" w:sz="4" w:space="0" w:color="auto"/>
              <w:left w:val="single" w:sz="4" w:space="0" w:color="auto"/>
              <w:bottom w:val="single" w:sz="4" w:space="0" w:color="auto"/>
              <w:right w:val="single" w:sz="4" w:space="0" w:color="auto"/>
            </w:tcBorders>
            <w:noWrap/>
            <w:vAlign w:val="center"/>
            <w:hideMark/>
          </w:tcPr>
          <w:p w14:paraId="16E315D0"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159" w:type="pct"/>
            <w:tcBorders>
              <w:top w:val="single" w:sz="4" w:space="0" w:color="auto"/>
              <w:left w:val="single" w:sz="4" w:space="0" w:color="auto"/>
              <w:bottom w:val="single" w:sz="4" w:space="0" w:color="auto"/>
              <w:right w:val="single" w:sz="4" w:space="0" w:color="auto"/>
            </w:tcBorders>
            <w:noWrap/>
            <w:vAlign w:val="center"/>
            <w:hideMark/>
          </w:tcPr>
          <w:p w14:paraId="20C87A1F"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601BB85"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169" w:type="pct"/>
            <w:tcBorders>
              <w:top w:val="single" w:sz="4" w:space="0" w:color="auto"/>
              <w:left w:val="single" w:sz="4" w:space="0" w:color="auto"/>
              <w:bottom w:val="single" w:sz="4" w:space="0" w:color="auto"/>
              <w:right w:val="single" w:sz="4" w:space="0" w:color="auto"/>
            </w:tcBorders>
            <w:noWrap/>
            <w:vAlign w:val="center"/>
            <w:hideMark/>
          </w:tcPr>
          <w:p w14:paraId="4B83C95D"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98" w:type="pct"/>
            <w:tcBorders>
              <w:top w:val="single" w:sz="4" w:space="0" w:color="auto"/>
              <w:left w:val="single" w:sz="4" w:space="0" w:color="auto"/>
              <w:bottom w:val="single" w:sz="4" w:space="0" w:color="auto"/>
              <w:right w:val="single" w:sz="4" w:space="0" w:color="auto"/>
            </w:tcBorders>
            <w:noWrap/>
            <w:vAlign w:val="center"/>
            <w:hideMark/>
          </w:tcPr>
          <w:p w14:paraId="19D0CBC8"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04" w:type="pct"/>
            <w:tcBorders>
              <w:top w:val="single" w:sz="4" w:space="0" w:color="auto"/>
              <w:left w:val="single" w:sz="4" w:space="0" w:color="auto"/>
              <w:bottom w:val="single" w:sz="4" w:space="0" w:color="auto"/>
              <w:right w:val="single" w:sz="4" w:space="0" w:color="auto"/>
            </w:tcBorders>
            <w:noWrap/>
            <w:vAlign w:val="center"/>
            <w:hideMark/>
          </w:tcPr>
          <w:p w14:paraId="7A2666B5"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2E3F30A8"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95" w:type="pct"/>
            <w:tcBorders>
              <w:top w:val="single" w:sz="4" w:space="0" w:color="auto"/>
              <w:left w:val="single" w:sz="4" w:space="0" w:color="auto"/>
              <w:bottom w:val="single" w:sz="4" w:space="0" w:color="auto"/>
              <w:right w:val="single" w:sz="4" w:space="0" w:color="auto"/>
            </w:tcBorders>
            <w:noWrap/>
            <w:vAlign w:val="center"/>
            <w:hideMark/>
          </w:tcPr>
          <w:p w14:paraId="493A5D18"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5F12472C"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5B413A93"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46" w:type="pct"/>
            <w:tcBorders>
              <w:top w:val="single" w:sz="4" w:space="0" w:color="auto"/>
              <w:left w:val="single" w:sz="4" w:space="0" w:color="auto"/>
              <w:bottom w:val="single" w:sz="4" w:space="0" w:color="auto"/>
              <w:right w:val="single" w:sz="4" w:space="0" w:color="auto"/>
            </w:tcBorders>
            <w:noWrap/>
            <w:vAlign w:val="center"/>
            <w:hideMark/>
          </w:tcPr>
          <w:p w14:paraId="70710034"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A21ACD3"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38EFDDB7"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r>
      <w:tr w:rsidR="00395593" w:rsidRPr="00AC0363" w14:paraId="6F33234B" w14:textId="77777777" w:rsidTr="005C5CBD">
        <w:trPr>
          <w:trHeight w:val="405"/>
        </w:trPr>
        <w:tc>
          <w:tcPr>
            <w:tcW w:w="150" w:type="pct"/>
            <w:vMerge/>
            <w:tcBorders>
              <w:top w:val="single" w:sz="4" w:space="0" w:color="auto"/>
              <w:left w:val="single" w:sz="4" w:space="0" w:color="auto"/>
              <w:bottom w:val="single" w:sz="4" w:space="0" w:color="auto"/>
              <w:right w:val="single" w:sz="4" w:space="0" w:color="auto"/>
            </w:tcBorders>
            <w:vAlign w:val="center"/>
            <w:hideMark/>
          </w:tcPr>
          <w:p w14:paraId="1E20CB0B" w14:textId="77777777" w:rsidR="00395593" w:rsidRPr="005C5CBD" w:rsidRDefault="00395593" w:rsidP="0097041B">
            <w:pPr>
              <w:rPr>
                <w:rFonts w:ascii="Garamond" w:hAnsi="Garamond" w:cs="Calibri"/>
                <w:color w:val="000000"/>
                <w:sz w:val="16"/>
                <w:szCs w:val="16"/>
              </w:rPr>
            </w:pPr>
          </w:p>
        </w:tc>
        <w:tc>
          <w:tcPr>
            <w:tcW w:w="385" w:type="pct"/>
            <w:tcBorders>
              <w:top w:val="single" w:sz="4" w:space="0" w:color="auto"/>
              <w:left w:val="single" w:sz="4" w:space="0" w:color="auto"/>
              <w:bottom w:val="single" w:sz="4" w:space="0" w:color="auto"/>
              <w:right w:val="single" w:sz="4" w:space="0" w:color="auto"/>
            </w:tcBorders>
            <w:vAlign w:val="center"/>
            <w:hideMark/>
          </w:tcPr>
          <w:p w14:paraId="6B1A346B" w14:textId="77777777" w:rsidR="00395593" w:rsidRPr="005C5CBD" w:rsidRDefault="00395593" w:rsidP="0097041B">
            <w:pPr>
              <w:jc w:val="center"/>
              <w:rPr>
                <w:rFonts w:ascii="Garamond" w:hAnsi="Garamond" w:cs="Calibri"/>
                <w:color w:val="000000"/>
                <w:sz w:val="16"/>
                <w:szCs w:val="16"/>
              </w:rPr>
            </w:pPr>
            <w:r w:rsidRPr="005C5CBD">
              <w:rPr>
                <w:rFonts w:ascii="Garamond" w:hAnsi="Garamond" w:cs="Calibri"/>
                <w:color w:val="000000"/>
                <w:sz w:val="16"/>
                <w:szCs w:val="16"/>
              </w:rPr>
              <w:t>a.1) venda fabricação própria</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6759DB63" w14:textId="77777777" w:rsidR="00395593" w:rsidRPr="005C5CBD" w:rsidRDefault="00395593" w:rsidP="0097041B">
            <w:pPr>
              <w:rPr>
                <w:rFonts w:ascii="Garamond" w:hAnsi="Garamond" w:cs="Calibri"/>
                <w:color w:val="000000"/>
                <w:sz w:val="16"/>
                <w:szCs w:val="16"/>
              </w:rPr>
            </w:pP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7D42622B" w14:textId="77777777" w:rsidR="00395593" w:rsidRPr="005C5CBD" w:rsidRDefault="00395593" w:rsidP="0097041B">
            <w:pPr>
              <w:rPr>
                <w:rFonts w:ascii="Garamond" w:eastAsia="Calibri" w:hAnsi="Garamond" w:cs="Calibri"/>
              </w:rPr>
            </w:pPr>
          </w:p>
        </w:tc>
        <w:tc>
          <w:tcPr>
            <w:tcW w:w="404" w:type="pct"/>
            <w:tcBorders>
              <w:top w:val="single" w:sz="4" w:space="0" w:color="auto"/>
              <w:left w:val="single" w:sz="4" w:space="0" w:color="auto"/>
              <w:bottom w:val="single" w:sz="4" w:space="0" w:color="auto"/>
              <w:right w:val="single" w:sz="4" w:space="0" w:color="auto"/>
            </w:tcBorders>
            <w:noWrap/>
            <w:vAlign w:val="center"/>
            <w:hideMark/>
          </w:tcPr>
          <w:p w14:paraId="76BCF977" w14:textId="77777777" w:rsidR="00395593" w:rsidRPr="005C5CBD" w:rsidRDefault="00395593" w:rsidP="0097041B">
            <w:pPr>
              <w:rPr>
                <w:rFonts w:ascii="Garamond" w:eastAsia="Calibri" w:hAnsi="Garamond" w:cs="Calibri"/>
              </w:rPr>
            </w:pPr>
          </w:p>
        </w:tc>
        <w:tc>
          <w:tcPr>
            <w:tcW w:w="159" w:type="pct"/>
            <w:tcBorders>
              <w:top w:val="single" w:sz="4" w:space="0" w:color="auto"/>
              <w:left w:val="single" w:sz="4" w:space="0" w:color="auto"/>
              <w:bottom w:val="single" w:sz="4" w:space="0" w:color="auto"/>
              <w:right w:val="single" w:sz="4" w:space="0" w:color="auto"/>
            </w:tcBorders>
            <w:noWrap/>
            <w:vAlign w:val="center"/>
            <w:hideMark/>
          </w:tcPr>
          <w:p w14:paraId="4ABB2F29" w14:textId="77777777" w:rsidR="00395593" w:rsidRPr="005C5CBD" w:rsidRDefault="00395593" w:rsidP="0097041B">
            <w:pPr>
              <w:rPr>
                <w:rFonts w:ascii="Garamond" w:eastAsia="Calibri" w:hAnsi="Garamond" w:cs="Calibri"/>
              </w:rPr>
            </w:pP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A0D0526" w14:textId="77777777" w:rsidR="00395593" w:rsidRPr="005C5CBD" w:rsidRDefault="00395593" w:rsidP="0097041B">
            <w:pPr>
              <w:rPr>
                <w:rFonts w:ascii="Garamond" w:eastAsia="Calibri" w:hAnsi="Garamond" w:cs="Calibri"/>
              </w:rPr>
            </w:pPr>
          </w:p>
        </w:tc>
        <w:tc>
          <w:tcPr>
            <w:tcW w:w="169" w:type="pct"/>
            <w:tcBorders>
              <w:top w:val="single" w:sz="4" w:space="0" w:color="auto"/>
              <w:left w:val="single" w:sz="4" w:space="0" w:color="auto"/>
              <w:bottom w:val="single" w:sz="4" w:space="0" w:color="auto"/>
              <w:right w:val="single" w:sz="4" w:space="0" w:color="auto"/>
            </w:tcBorders>
            <w:noWrap/>
            <w:vAlign w:val="center"/>
            <w:hideMark/>
          </w:tcPr>
          <w:p w14:paraId="308B40B2" w14:textId="77777777" w:rsidR="00395593" w:rsidRPr="005C5CBD" w:rsidRDefault="00395593" w:rsidP="0097041B">
            <w:pPr>
              <w:rPr>
                <w:rFonts w:ascii="Garamond" w:eastAsia="Calibri" w:hAnsi="Garamond" w:cs="Calibri"/>
              </w:rPr>
            </w:pPr>
          </w:p>
        </w:tc>
        <w:tc>
          <w:tcPr>
            <w:tcW w:w="298" w:type="pct"/>
            <w:tcBorders>
              <w:top w:val="single" w:sz="4" w:space="0" w:color="auto"/>
              <w:left w:val="single" w:sz="4" w:space="0" w:color="auto"/>
              <w:bottom w:val="single" w:sz="4" w:space="0" w:color="auto"/>
              <w:right w:val="single" w:sz="4" w:space="0" w:color="auto"/>
            </w:tcBorders>
            <w:noWrap/>
            <w:vAlign w:val="center"/>
            <w:hideMark/>
          </w:tcPr>
          <w:p w14:paraId="693DC7D9" w14:textId="77777777" w:rsidR="00395593" w:rsidRPr="005C5CBD" w:rsidRDefault="00395593" w:rsidP="0097041B">
            <w:pPr>
              <w:rPr>
                <w:rFonts w:ascii="Garamond" w:eastAsia="Calibri" w:hAnsi="Garamond" w:cs="Calibri"/>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14:paraId="0228D236"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73151730" w14:textId="77777777" w:rsidR="00395593" w:rsidRPr="005C5CBD" w:rsidRDefault="00395593" w:rsidP="0097041B">
            <w:pPr>
              <w:rPr>
                <w:rFonts w:ascii="Garamond" w:hAnsi="Garamond" w:cs="Calibri"/>
                <w:sz w:val="16"/>
                <w:szCs w:val="16"/>
              </w:rPr>
            </w:pPr>
          </w:p>
        </w:tc>
        <w:tc>
          <w:tcPr>
            <w:tcW w:w="395" w:type="pct"/>
            <w:tcBorders>
              <w:top w:val="single" w:sz="4" w:space="0" w:color="auto"/>
              <w:left w:val="single" w:sz="4" w:space="0" w:color="auto"/>
              <w:bottom w:val="single" w:sz="4" w:space="0" w:color="auto"/>
              <w:right w:val="single" w:sz="4" w:space="0" w:color="auto"/>
            </w:tcBorders>
            <w:noWrap/>
            <w:vAlign w:val="center"/>
            <w:hideMark/>
          </w:tcPr>
          <w:p w14:paraId="0B2787C6" w14:textId="77777777" w:rsidR="00395593" w:rsidRPr="005C5CBD" w:rsidRDefault="00395593" w:rsidP="0097041B">
            <w:pPr>
              <w:rPr>
                <w:rFonts w:ascii="Garamond" w:eastAsia="Calibri" w:hAnsi="Garamond" w:cs="Calibri"/>
              </w:rPr>
            </w:pP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069080BD" w14:textId="77777777" w:rsidR="00395593" w:rsidRPr="005C5CBD" w:rsidRDefault="00395593" w:rsidP="0097041B">
            <w:pPr>
              <w:rPr>
                <w:rFonts w:ascii="Garamond" w:eastAsia="Calibri" w:hAnsi="Garamond" w:cs="Calibri"/>
              </w:rPr>
            </w:pP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70A782E9" w14:textId="77777777" w:rsidR="00395593" w:rsidRPr="005C5CBD" w:rsidRDefault="00395593" w:rsidP="0097041B">
            <w:pPr>
              <w:rPr>
                <w:rFonts w:ascii="Garamond" w:eastAsia="Calibri" w:hAnsi="Garamond" w:cs="Calibri"/>
              </w:rPr>
            </w:pPr>
          </w:p>
        </w:tc>
        <w:tc>
          <w:tcPr>
            <w:tcW w:w="346" w:type="pct"/>
            <w:tcBorders>
              <w:top w:val="single" w:sz="4" w:space="0" w:color="auto"/>
              <w:left w:val="single" w:sz="4" w:space="0" w:color="auto"/>
              <w:bottom w:val="single" w:sz="4" w:space="0" w:color="auto"/>
              <w:right w:val="single" w:sz="4" w:space="0" w:color="auto"/>
            </w:tcBorders>
            <w:noWrap/>
            <w:vAlign w:val="center"/>
            <w:hideMark/>
          </w:tcPr>
          <w:p w14:paraId="655623F2" w14:textId="77777777" w:rsidR="00395593" w:rsidRPr="005C5CBD" w:rsidRDefault="00395593" w:rsidP="0097041B">
            <w:pPr>
              <w:rPr>
                <w:rFonts w:ascii="Garamond" w:eastAsia="Calibri" w:hAnsi="Garamond" w:cs="Calibri"/>
              </w:rPr>
            </w:pP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4ADEC22" w14:textId="77777777" w:rsidR="00395593" w:rsidRPr="005C5CBD" w:rsidRDefault="00395593" w:rsidP="0097041B">
            <w:pPr>
              <w:rPr>
                <w:rFonts w:ascii="Garamond" w:eastAsia="Calibri" w:hAnsi="Garamond" w:cs="Calibri"/>
              </w:rPr>
            </w:pP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0F489970"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r>
      <w:tr w:rsidR="00395593" w:rsidRPr="00AC0363" w14:paraId="7C1BA16B" w14:textId="77777777" w:rsidTr="005C5CBD">
        <w:trPr>
          <w:trHeight w:val="405"/>
        </w:trPr>
        <w:tc>
          <w:tcPr>
            <w:tcW w:w="150" w:type="pct"/>
            <w:vMerge/>
            <w:tcBorders>
              <w:top w:val="single" w:sz="4" w:space="0" w:color="auto"/>
              <w:left w:val="single" w:sz="4" w:space="0" w:color="auto"/>
              <w:bottom w:val="single" w:sz="4" w:space="0" w:color="auto"/>
              <w:right w:val="single" w:sz="4" w:space="0" w:color="auto"/>
            </w:tcBorders>
            <w:vAlign w:val="center"/>
            <w:hideMark/>
          </w:tcPr>
          <w:p w14:paraId="17DDEAA3" w14:textId="77777777" w:rsidR="00395593" w:rsidRPr="005C5CBD" w:rsidRDefault="00395593" w:rsidP="0097041B">
            <w:pPr>
              <w:rPr>
                <w:rFonts w:ascii="Garamond" w:hAnsi="Garamond" w:cs="Calibri"/>
                <w:color w:val="000000"/>
                <w:sz w:val="16"/>
                <w:szCs w:val="16"/>
              </w:rPr>
            </w:pPr>
          </w:p>
        </w:tc>
        <w:tc>
          <w:tcPr>
            <w:tcW w:w="385" w:type="pct"/>
            <w:tcBorders>
              <w:top w:val="single" w:sz="4" w:space="0" w:color="auto"/>
              <w:left w:val="single" w:sz="4" w:space="0" w:color="auto"/>
              <w:bottom w:val="single" w:sz="4" w:space="0" w:color="auto"/>
              <w:right w:val="single" w:sz="4" w:space="0" w:color="auto"/>
            </w:tcBorders>
            <w:vAlign w:val="center"/>
            <w:hideMark/>
          </w:tcPr>
          <w:p w14:paraId="377F2264" w14:textId="77777777" w:rsidR="00395593" w:rsidRPr="005C5CBD" w:rsidRDefault="00395593" w:rsidP="0097041B">
            <w:pPr>
              <w:jc w:val="center"/>
              <w:rPr>
                <w:rFonts w:ascii="Garamond" w:hAnsi="Garamond" w:cs="Calibri"/>
                <w:color w:val="000000"/>
                <w:sz w:val="16"/>
                <w:szCs w:val="16"/>
              </w:rPr>
            </w:pPr>
            <w:r w:rsidRPr="005C5CBD">
              <w:rPr>
                <w:rFonts w:ascii="Garamond" w:hAnsi="Garamond" w:cs="Calibri"/>
                <w:color w:val="000000"/>
                <w:sz w:val="16"/>
                <w:szCs w:val="16"/>
              </w:rPr>
              <w:t>a.2) revenda produto importado e/ou adquirido no mercado brasileiro</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2357327E" w14:textId="77777777" w:rsidR="00395593" w:rsidRPr="005C5CBD" w:rsidRDefault="00395593" w:rsidP="0097041B">
            <w:pPr>
              <w:rPr>
                <w:rFonts w:ascii="Garamond" w:hAnsi="Garamond" w:cs="Calibri"/>
                <w:color w:val="000000"/>
                <w:sz w:val="16"/>
                <w:szCs w:val="16"/>
              </w:rPr>
            </w:pP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6338CF48" w14:textId="77777777" w:rsidR="00395593" w:rsidRPr="005C5CBD" w:rsidRDefault="00395593" w:rsidP="0097041B">
            <w:pPr>
              <w:rPr>
                <w:rFonts w:ascii="Garamond" w:eastAsia="Calibri" w:hAnsi="Garamond" w:cs="Calibri"/>
              </w:rPr>
            </w:pPr>
          </w:p>
        </w:tc>
        <w:tc>
          <w:tcPr>
            <w:tcW w:w="404" w:type="pct"/>
            <w:tcBorders>
              <w:top w:val="single" w:sz="4" w:space="0" w:color="auto"/>
              <w:left w:val="single" w:sz="4" w:space="0" w:color="auto"/>
              <w:bottom w:val="single" w:sz="4" w:space="0" w:color="auto"/>
              <w:right w:val="single" w:sz="4" w:space="0" w:color="auto"/>
            </w:tcBorders>
            <w:noWrap/>
            <w:vAlign w:val="center"/>
            <w:hideMark/>
          </w:tcPr>
          <w:p w14:paraId="1574F040" w14:textId="77777777" w:rsidR="00395593" w:rsidRPr="005C5CBD" w:rsidRDefault="00395593" w:rsidP="0097041B">
            <w:pPr>
              <w:rPr>
                <w:rFonts w:ascii="Garamond" w:eastAsia="Calibri" w:hAnsi="Garamond" w:cs="Calibri"/>
              </w:rPr>
            </w:pPr>
          </w:p>
        </w:tc>
        <w:tc>
          <w:tcPr>
            <w:tcW w:w="159" w:type="pct"/>
            <w:tcBorders>
              <w:top w:val="single" w:sz="4" w:space="0" w:color="auto"/>
              <w:left w:val="single" w:sz="4" w:space="0" w:color="auto"/>
              <w:bottom w:val="single" w:sz="4" w:space="0" w:color="auto"/>
              <w:right w:val="single" w:sz="4" w:space="0" w:color="auto"/>
            </w:tcBorders>
            <w:noWrap/>
            <w:vAlign w:val="center"/>
            <w:hideMark/>
          </w:tcPr>
          <w:p w14:paraId="42317ABA" w14:textId="77777777" w:rsidR="00395593" w:rsidRPr="005C5CBD" w:rsidRDefault="00395593" w:rsidP="0097041B">
            <w:pPr>
              <w:rPr>
                <w:rFonts w:ascii="Garamond" w:eastAsia="Calibri" w:hAnsi="Garamond" w:cs="Calibri"/>
              </w:rPr>
            </w:pP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F3E033D" w14:textId="77777777" w:rsidR="00395593" w:rsidRPr="005C5CBD" w:rsidRDefault="00395593" w:rsidP="0097041B">
            <w:pPr>
              <w:rPr>
                <w:rFonts w:ascii="Garamond" w:eastAsia="Calibri" w:hAnsi="Garamond" w:cs="Calibri"/>
              </w:rPr>
            </w:pPr>
          </w:p>
        </w:tc>
        <w:tc>
          <w:tcPr>
            <w:tcW w:w="169" w:type="pct"/>
            <w:tcBorders>
              <w:top w:val="single" w:sz="4" w:space="0" w:color="auto"/>
              <w:left w:val="single" w:sz="4" w:space="0" w:color="auto"/>
              <w:bottom w:val="single" w:sz="4" w:space="0" w:color="auto"/>
              <w:right w:val="single" w:sz="4" w:space="0" w:color="auto"/>
            </w:tcBorders>
            <w:noWrap/>
            <w:vAlign w:val="center"/>
            <w:hideMark/>
          </w:tcPr>
          <w:p w14:paraId="090F3AEB" w14:textId="77777777" w:rsidR="00395593" w:rsidRPr="005C5CBD" w:rsidRDefault="00395593" w:rsidP="0097041B">
            <w:pPr>
              <w:rPr>
                <w:rFonts w:ascii="Garamond" w:eastAsia="Calibri" w:hAnsi="Garamond" w:cs="Calibri"/>
              </w:rPr>
            </w:pPr>
          </w:p>
        </w:tc>
        <w:tc>
          <w:tcPr>
            <w:tcW w:w="298" w:type="pct"/>
            <w:tcBorders>
              <w:top w:val="single" w:sz="4" w:space="0" w:color="auto"/>
              <w:left w:val="single" w:sz="4" w:space="0" w:color="auto"/>
              <w:bottom w:val="single" w:sz="4" w:space="0" w:color="auto"/>
              <w:right w:val="single" w:sz="4" w:space="0" w:color="auto"/>
            </w:tcBorders>
            <w:noWrap/>
            <w:vAlign w:val="center"/>
            <w:hideMark/>
          </w:tcPr>
          <w:p w14:paraId="2853F14F" w14:textId="77777777" w:rsidR="00395593" w:rsidRPr="005C5CBD" w:rsidRDefault="00395593" w:rsidP="0097041B">
            <w:pPr>
              <w:rPr>
                <w:rFonts w:ascii="Garamond" w:eastAsia="Calibri" w:hAnsi="Garamond" w:cs="Calibri"/>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14:paraId="375D366C"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0DFD9518" w14:textId="77777777" w:rsidR="00395593" w:rsidRPr="005C5CBD" w:rsidRDefault="00395593" w:rsidP="0097041B">
            <w:pPr>
              <w:rPr>
                <w:rFonts w:ascii="Garamond" w:hAnsi="Garamond" w:cs="Calibri"/>
                <w:sz w:val="16"/>
                <w:szCs w:val="16"/>
              </w:rPr>
            </w:pPr>
          </w:p>
        </w:tc>
        <w:tc>
          <w:tcPr>
            <w:tcW w:w="395" w:type="pct"/>
            <w:tcBorders>
              <w:top w:val="single" w:sz="4" w:space="0" w:color="auto"/>
              <w:left w:val="single" w:sz="4" w:space="0" w:color="auto"/>
              <w:bottom w:val="single" w:sz="4" w:space="0" w:color="auto"/>
              <w:right w:val="single" w:sz="4" w:space="0" w:color="auto"/>
            </w:tcBorders>
            <w:noWrap/>
            <w:vAlign w:val="center"/>
            <w:hideMark/>
          </w:tcPr>
          <w:p w14:paraId="544D749D" w14:textId="77777777" w:rsidR="00395593" w:rsidRPr="005C5CBD" w:rsidRDefault="00395593" w:rsidP="0097041B">
            <w:pPr>
              <w:rPr>
                <w:rFonts w:ascii="Garamond" w:eastAsia="Calibri" w:hAnsi="Garamond" w:cs="Calibri"/>
              </w:rPr>
            </w:pP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3A7F7C09" w14:textId="77777777" w:rsidR="00395593" w:rsidRPr="005C5CBD" w:rsidRDefault="00395593" w:rsidP="0097041B">
            <w:pPr>
              <w:rPr>
                <w:rFonts w:ascii="Garamond" w:eastAsia="Calibri" w:hAnsi="Garamond" w:cs="Calibri"/>
              </w:rPr>
            </w:pP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47C6264F" w14:textId="77777777" w:rsidR="00395593" w:rsidRPr="005C5CBD" w:rsidRDefault="00395593" w:rsidP="0097041B">
            <w:pPr>
              <w:rPr>
                <w:rFonts w:ascii="Garamond" w:eastAsia="Calibri" w:hAnsi="Garamond" w:cs="Calibri"/>
              </w:rPr>
            </w:pPr>
          </w:p>
        </w:tc>
        <w:tc>
          <w:tcPr>
            <w:tcW w:w="346" w:type="pct"/>
            <w:tcBorders>
              <w:top w:val="single" w:sz="4" w:space="0" w:color="auto"/>
              <w:left w:val="single" w:sz="4" w:space="0" w:color="auto"/>
              <w:bottom w:val="single" w:sz="4" w:space="0" w:color="auto"/>
              <w:right w:val="single" w:sz="4" w:space="0" w:color="auto"/>
            </w:tcBorders>
            <w:noWrap/>
            <w:vAlign w:val="center"/>
            <w:hideMark/>
          </w:tcPr>
          <w:p w14:paraId="17B871A7" w14:textId="77777777" w:rsidR="00395593" w:rsidRPr="005C5CBD" w:rsidRDefault="00395593" w:rsidP="0097041B">
            <w:pPr>
              <w:rPr>
                <w:rFonts w:ascii="Garamond" w:eastAsia="Calibri" w:hAnsi="Garamond" w:cs="Calibri"/>
              </w:rPr>
            </w:pP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19ECDC0D" w14:textId="77777777" w:rsidR="00395593" w:rsidRPr="005C5CBD" w:rsidRDefault="00395593" w:rsidP="0097041B">
            <w:pPr>
              <w:rPr>
                <w:rFonts w:ascii="Garamond" w:eastAsia="Calibri" w:hAnsi="Garamond" w:cs="Calibri"/>
              </w:rPr>
            </w:pP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2EC2A408"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r>
      <w:tr w:rsidR="00395593" w:rsidRPr="00AC0363" w14:paraId="16094388" w14:textId="77777777" w:rsidTr="005C5CBD">
        <w:trPr>
          <w:trHeight w:val="405"/>
        </w:trPr>
        <w:tc>
          <w:tcPr>
            <w:tcW w:w="150" w:type="pct"/>
            <w:vMerge/>
            <w:tcBorders>
              <w:top w:val="single" w:sz="4" w:space="0" w:color="auto"/>
              <w:left w:val="single" w:sz="4" w:space="0" w:color="auto"/>
              <w:bottom w:val="single" w:sz="4" w:space="0" w:color="auto"/>
              <w:right w:val="single" w:sz="4" w:space="0" w:color="auto"/>
            </w:tcBorders>
            <w:vAlign w:val="center"/>
            <w:hideMark/>
          </w:tcPr>
          <w:p w14:paraId="4B0C6FE5" w14:textId="77777777" w:rsidR="00395593" w:rsidRPr="005C5CBD" w:rsidRDefault="00395593" w:rsidP="0097041B">
            <w:pPr>
              <w:rPr>
                <w:rFonts w:ascii="Garamond" w:hAnsi="Garamond" w:cs="Calibri"/>
                <w:color w:val="000000"/>
                <w:sz w:val="16"/>
                <w:szCs w:val="16"/>
              </w:rPr>
            </w:pPr>
          </w:p>
        </w:tc>
        <w:tc>
          <w:tcPr>
            <w:tcW w:w="385" w:type="pct"/>
            <w:tcBorders>
              <w:top w:val="single" w:sz="4" w:space="0" w:color="auto"/>
              <w:left w:val="single" w:sz="4" w:space="0" w:color="auto"/>
              <w:bottom w:val="single" w:sz="4" w:space="0" w:color="auto"/>
              <w:right w:val="single" w:sz="4" w:space="0" w:color="auto"/>
            </w:tcBorders>
            <w:vAlign w:val="center"/>
            <w:hideMark/>
          </w:tcPr>
          <w:p w14:paraId="372D7EEE" w14:textId="77777777" w:rsidR="00395593" w:rsidRPr="005C5CBD" w:rsidRDefault="00395593" w:rsidP="0097041B">
            <w:pPr>
              <w:jc w:val="center"/>
              <w:rPr>
                <w:rFonts w:ascii="Garamond" w:hAnsi="Garamond" w:cs="Calibri"/>
                <w:color w:val="000000"/>
                <w:sz w:val="16"/>
                <w:szCs w:val="16"/>
              </w:rPr>
            </w:pPr>
            <w:r w:rsidRPr="005C5CBD">
              <w:rPr>
                <w:rFonts w:ascii="Garamond" w:hAnsi="Garamond" w:cs="Calibri"/>
                <w:color w:val="000000"/>
                <w:sz w:val="16"/>
                <w:szCs w:val="16"/>
              </w:rPr>
              <w:t>b) Outros Produtos</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676B4906" w14:textId="77777777" w:rsidR="00395593" w:rsidRPr="005C5CBD" w:rsidRDefault="00395593" w:rsidP="0097041B">
            <w:pPr>
              <w:rPr>
                <w:rFonts w:ascii="Garamond" w:hAnsi="Garamond" w:cs="Calibri"/>
                <w:color w:val="000000"/>
                <w:sz w:val="16"/>
                <w:szCs w:val="16"/>
              </w:rPr>
            </w:pP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19DD5FD8" w14:textId="77777777" w:rsidR="00395593" w:rsidRPr="005C5CBD" w:rsidRDefault="00395593" w:rsidP="0097041B">
            <w:pPr>
              <w:rPr>
                <w:rFonts w:ascii="Garamond" w:eastAsia="Calibri" w:hAnsi="Garamond" w:cs="Calibri"/>
              </w:rPr>
            </w:pPr>
          </w:p>
        </w:tc>
        <w:tc>
          <w:tcPr>
            <w:tcW w:w="404" w:type="pct"/>
            <w:tcBorders>
              <w:top w:val="single" w:sz="4" w:space="0" w:color="auto"/>
              <w:left w:val="single" w:sz="4" w:space="0" w:color="auto"/>
              <w:bottom w:val="single" w:sz="4" w:space="0" w:color="auto"/>
              <w:right w:val="single" w:sz="4" w:space="0" w:color="auto"/>
            </w:tcBorders>
            <w:noWrap/>
            <w:vAlign w:val="center"/>
            <w:hideMark/>
          </w:tcPr>
          <w:p w14:paraId="5CB2B430" w14:textId="77777777" w:rsidR="00395593" w:rsidRPr="005C5CBD" w:rsidRDefault="00395593" w:rsidP="0097041B">
            <w:pPr>
              <w:rPr>
                <w:rFonts w:ascii="Garamond" w:eastAsia="Calibri" w:hAnsi="Garamond" w:cs="Calibri"/>
              </w:rPr>
            </w:pPr>
          </w:p>
        </w:tc>
        <w:tc>
          <w:tcPr>
            <w:tcW w:w="159" w:type="pct"/>
            <w:tcBorders>
              <w:top w:val="single" w:sz="4" w:space="0" w:color="auto"/>
              <w:left w:val="single" w:sz="4" w:space="0" w:color="auto"/>
              <w:bottom w:val="single" w:sz="4" w:space="0" w:color="auto"/>
              <w:right w:val="single" w:sz="4" w:space="0" w:color="auto"/>
            </w:tcBorders>
            <w:noWrap/>
            <w:vAlign w:val="center"/>
            <w:hideMark/>
          </w:tcPr>
          <w:p w14:paraId="4EB783A8" w14:textId="77777777" w:rsidR="00395593" w:rsidRPr="005C5CBD" w:rsidRDefault="00395593" w:rsidP="0097041B">
            <w:pPr>
              <w:rPr>
                <w:rFonts w:ascii="Garamond" w:eastAsia="Calibri" w:hAnsi="Garamond" w:cs="Calibri"/>
              </w:rPr>
            </w:pP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142A549" w14:textId="77777777" w:rsidR="00395593" w:rsidRPr="005C5CBD" w:rsidRDefault="00395593" w:rsidP="0097041B">
            <w:pPr>
              <w:rPr>
                <w:rFonts w:ascii="Garamond" w:eastAsia="Calibri" w:hAnsi="Garamond" w:cs="Calibri"/>
              </w:rPr>
            </w:pPr>
          </w:p>
        </w:tc>
        <w:tc>
          <w:tcPr>
            <w:tcW w:w="169" w:type="pct"/>
            <w:tcBorders>
              <w:top w:val="single" w:sz="4" w:space="0" w:color="auto"/>
              <w:left w:val="single" w:sz="4" w:space="0" w:color="auto"/>
              <w:bottom w:val="single" w:sz="4" w:space="0" w:color="auto"/>
              <w:right w:val="single" w:sz="4" w:space="0" w:color="auto"/>
            </w:tcBorders>
            <w:noWrap/>
            <w:vAlign w:val="center"/>
            <w:hideMark/>
          </w:tcPr>
          <w:p w14:paraId="24CBD8E2" w14:textId="77777777" w:rsidR="00395593" w:rsidRPr="005C5CBD" w:rsidRDefault="00395593" w:rsidP="0097041B">
            <w:pPr>
              <w:rPr>
                <w:rFonts w:ascii="Garamond" w:eastAsia="Calibri" w:hAnsi="Garamond" w:cs="Calibri"/>
              </w:rPr>
            </w:pPr>
          </w:p>
        </w:tc>
        <w:tc>
          <w:tcPr>
            <w:tcW w:w="298" w:type="pct"/>
            <w:tcBorders>
              <w:top w:val="single" w:sz="4" w:space="0" w:color="auto"/>
              <w:left w:val="single" w:sz="4" w:space="0" w:color="auto"/>
              <w:bottom w:val="single" w:sz="4" w:space="0" w:color="auto"/>
              <w:right w:val="single" w:sz="4" w:space="0" w:color="auto"/>
            </w:tcBorders>
            <w:noWrap/>
            <w:vAlign w:val="center"/>
            <w:hideMark/>
          </w:tcPr>
          <w:p w14:paraId="3B4C1737" w14:textId="77777777" w:rsidR="00395593" w:rsidRPr="005C5CBD" w:rsidRDefault="00395593" w:rsidP="0097041B">
            <w:pPr>
              <w:rPr>
                <w:rFonts w:ascii="Garamond" w:eastAsia="Calibri" w:hAnsi="Garamond" w:cs="Calibri"/>
              </w:rPr>
            </w:pPr>
          </w:p>
        </w:tc>
        <w:tc>
          <w:tcPr>
            <w:tcW w:w="304" w:type="pct"/>
            <w:tcBorders>
              <w:top w:val="single" w:sz="4" w:space="0" w:color="auto"/>
              <w:left w:val="single" w:sz="4" w:space="0" w:color="auto"/>
              <w:bottom w:val="single" w:sz="4" w:space="0" w:color="auto"/>
              <w:right w:val="single" w:sz="4" w:space="0" w:color="auto"/>
            </w:tcBorders>
            <w:noWrap/>
            <w:vAlign w:val="center"/>
            <w:hideMark/>
          </w:tcPr>
          <w:p w14:paraId="71236CE6"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77159E2D" w14:textId="77777777" w:rsidR="00395593" w:rsidRPr="005C5CBD" w:rsidRDefault="00395593" w:rsidP="0097041B">
            <w:pPr>
              <w:rPr>
                <w:rFonts w:ascii="Garamond" w:hAnsi="Garamond" w:cs="Calibri"/>
                <w:sz w:val="16"/>
                <w:szCs w:val="16"/>
              </w:rPr>
            </w:pPr>
          </w:p>
        </w:tc>
        <w:tc>
          <w:tcPr>
            <w:tcW w:w="395" w:type="pct"/>
            <w:tcBorders>
              <w:top w:val="single" w:sz="4" w:space="0" w:color="auto"/>
              <w:left w:val="single" w:sz="4" w:space="0" w:color="auto"/>
              <w:bottom w:val="single" w:sz="4" w:space="0" w:color="auto"/>
              <w:right w:val="single" w:sz="4" w:space="0" w:color="auto"/>
            </w:tcBorders>
            <w:noWrap/>
            <w:vAlign w:val="center"/>
            <w:hideMark/>
          </w:tcPr>
          <w:p w14:paraId="13621079" w14:textId="77777777" w:rsidR="00395593" w:rsidRPr="005C5CBD" w:rsidRDefault="00395593" w:rsidP="0097041B">
            <w:pPr>
              <w:rPr>
                <w:rFonts w:ascii="Garamond" w:eastAsia="Calibri" w:hAnsi="Garamond" w:cs="Calibri"/>
              </w:rPr>
            </w:pP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341EA9A1" w14:textId="77777777" w:rsidR="00395593" w:rsidRPr="005C5CBD" w:rsidRDefault="00395593" w:rsidP="0097041B">
            <w:pPr>
              <w:rPr>
                <w:rFonts w:ascii="Garamond" w:eastAsia="Calibri" w:hAnsi="Garamond" w:cs="Calibri"/>
              </w:rPr>
            </w:pP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175E5DC2" w14:textId="77777777" w:rsidR="00395593" w:rsidRPr="005C5CBD" w:rsidRDefault="00395593" w:rsidP="0097041B">
            <w:pPr>
              <w:rPr>
                <w:rFonts w:ascii="Garamond" w:eastAsia="Calibri" w:hAnsi="Garamond" w:cs="Calibri"/>
              </w:rPr>
            </w:pPr>
          </w:p>
        </w:tc>
        <w:tc>
          <w:tcPr>
            <w:tcW w:w="346" w:type="pct"/>
            <w:tcBorders>
              <w:top w:val="single" w:sz="4" w:space="0" w:color="auto"/>
              <w:left w:val="single" w:sz="4" w:space="0" w:color="auto"/>
              <w:bottom w:val="single" w:sz="4" w:space="0" w:color="auto"/>
              <w:right w:val="single" w:sz="4" w:space="0" w:color="auto"/>
            </w:tcBorders>
            <w:noWrap/>
            <w:vAlign w:val="center"/>
            <w:hideMark/>
          </w:tcPr>
          <w:p w14:paraId="1A3F8DE8" w14:textId="77777777" w:rsidR="00395593" w:rsidRPr="005C5CBD" w:rsidRDefault="00395593" w:rsidP="0097041B">
            <w:pPr>
              <w:rPr>
                <w:rFonts w:ascii="Garamond" w:eastAsia="Calibri" w:hAnsi="Garamond" w:cs="Calibri"/>
              </w:rPr>
            </w:pP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1333BA20" w14:textId="77777777" w:rsidR="00395593" w:rsidRPr="005C5CBD" w:rsidRDefault="00395593" w:rsidP="0097041B">
            <w:pPr>
              <w:rPr>
                <w:rFonts w:ascii="Garamond" w:eastAsia="Calibri" w:hAnsi="Garamond" w:cs="Calibri"/>
              </w:rPr>
            </w:pP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427823FC"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r>
      <w:tr w:rsidR="00395593" w:rsidRPr="00AC0363" w14:paraId="79C241DD" w14:textId="77777777" w:rsidTr="005C5CBD">
        <w:trPr>
          <w:trHeight w:val="405"/>
        </w:trPr>
        <w:tc>
          <w:tcPr>
            <w:tcW w:w="150" w:type="pct"/>
            <w:vMerge/>
            <w:tcBorders>
              <w:top w:val="single" w:sz="4" w:space="0" w:color="auto"/>
              <w:left w:val="single" w:sz="4" w:space="0" w:color="auto"/>
              <w:bottom w:val="single" w:sz="4" w:space="0" w:color="auto"/>
              <w:right w:val="single" w:sz="4" w:space="0" w:color="auto"/>
            </w:tcBorders>
            <w:vAlign w:val="center"/>
            <w:hideMark/>
          </w:tcPr>
          <w:p w14:paraId="7C7068BB" w14:textId="77777777" w:rsidR="00395593" w:rsidRPr="005C5CBD" w:rsidRDefault="00395593" w:rsidP="0097041B">
            <w:pPr>
              <w:rPr>
                <w:rFonts w:ascii="Garamond" w:hAnsi="Garamond" w:cs="Calibri"/>
                <w:color w:val="000000"/>
                <w:sz w:val="16"/>
                <w:szCs w:val="16"/>
              </w:rPr>
            </w:pPr>
          </w:p>
        </w:tc>
        <w:tc>
          <w:tcPr>
            <w:tcW w:w="385" w:type="pct"/>
            <w:tcBorders>
              <w:top w:val="single" w:sz="4" w:space="0" w:color="auto"/>
              <w:left w:val="single" w:sz="4" w:space="0" w:color="auto"/>
              <w:bottom w:val="single" w:sz="4" w:space="0" w:color="auto"/>
              <w:right w:val="single" w:sz="4" w:space="0" w:color="auto"/>
            </w:tcBorders>
            <w:vAlign w:val="center"/>
            <w:hideMark/>
          </w:tcPr>
          <w:p w14:paraId="7F6ED434" w14:textId="77777777" w:rsidR="00395593" w:rsidRPr="005C5CBD" w:rsidRDefault="00395593" w:rsidP="0097041B">
            <w:pPr>
              <w:jc w:val="center"/>
              <w:rPr>
                <w:rFonts w:ascii="Garamond" w:hAnsi="Garamond" w:cs="Calibri"/>
                <w:color w:val="000000"/>
                <w:sz w:val="16"/>
                <w:szCs w:val="16"/>
              </w:rPr>
            </w:pPr>
            <w:r w:rsidRPr="005C5CBD">
              <w:rPr>
                <w:rFonts w:ascii="Garamond" w:hAnsi="Garamond" w:cs="Calibri"/>
                <w:color w:val="000000"/>
                <w:sz w:val="16"/>
                <w:szCs w:val="16"/>
              </w:rPr>
              <w:t>Total (II)</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59CFBBE9"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1168BE93"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404" w:type="pct"/>
            <w:tcBorders>
              <w:top w:val="single" w:sz="4" w:space="0" w:color="auto"/>
              <w:left w:val="single" w:sz="4" w:space="0" w:color="auto"/>
              <w:bottom w:val="single" w:sz="4" w:space="0" w:color="auto"/>
              <w:right w:val="single" w:sz="4" w:space="0" w:color="auto"/>
            </w:tcBorders>
            <w:noWrap/>
            <w:vAlign w:val="center"/>
            <w:hideMark/>
          </w:tcPr>
          <w:p w14:paraId="7A63DA93"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159" w:type="pct"/>
            <w:tcBorders>
              <w:top w:val="single" w:sz="4" w:space="0" w:color="auto"/>
              <w:left w:val="single" w:sz="4" w:space="0" w:color="auto"/>
              <w:bottom w:val="single" w:sz="4" w:space="0" w:color="auto"/>
              <w:right w:val="single" w:sz="4" w:space="0" w:color="auto"/>
            </w:tcBorders>
            <w:noWrap/>
            <w:vAlign w:val="center"/>
            <w:hideMark/>
          </w:tcPr>
          <w:p w14:paraId="63C53D0D"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0C3FB1C"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169" w:type="pct"/>
            <w:tcBorders>
              <w:top w:val="single" w:sz="4" w:space="0" w:color="auto"/>
              <w:left w:val="single" w:sz="4" w:space="0" w:color="auto"/>
              <w:bottom w:val="single" w:sz="4" w:space="0" w:color="auto"/>
              <w:right w:val="single" w:sz="4" w:space="0" w:color="auto"/>
            </w:tcBorders>
            <w:noWrap/>
            <w:vAlign w:val="center"/>
            <w:hideMark/>
          </w:tcPr>
          <w:p w14:paraId="19851D6B"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98" w:type="pct"/>
            <w:tcBorders>
              <w:top w:val="single" w:sz="4" w:space="0" w:color="auto"/>
              <w:left w:val="single" w:sz="4" w:space="0" w:color="auto"/>
              <w:bottom w:val="single" w:sz="4" w:space="0" w:color="auto"/>
              <w:right w:val="single" w:sz="4" w:space="0" w:color="auto"/>
            </w:tcBorders>
            <w:noWrap/>
            <w:vAlign w:val="center"/>
            <w:hideMark/>
          </w:tcPr>
          <w:p w14:paraId="22C646D9"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04" w:type="pct"/>
            <w:tcBorders>
              <w:top w:val="single" w:sz="4" w:space="0" w:color="auto"/>
              <w:left w:val="single" w:sz="4" w:space="0" w:color="auto"/>
              <w:bottom w:val="single" w:sz="4" w:space="0" w:color="auto"/>
              <w:right w:val="single" w:sz="4" w:space="0" w:color="auto"/>
            </w:tcBorders>
            <w:noWrap/>
            <w:vAlign w:val="center"/>
            <w:hideMark/>
          </w:tcPr>
          <w:p w14:paraId="2B98B66B"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1C9AFA92"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95" w:type="pct"/>
            <w:tcBorders>
              <w:top w:val="single" w:sz="4" w:space="0" w:color="auto"/>
              <w:left w:val="single" w:sz="4" w:space="0" w:color="auto"/>
              <w:bottom w:val="single" w:sz="4" w:space="0" w:color="auto"/>
              <w:right w:val="single" w:sz="4" w:space="0" w:color="auto"/>
            </w:tcBorders>
            <w:noWrap/>
            <w:vAlign w:val="center"/>
            <w:hideMark/>
          </w:tcPr>
          <w:p w14:paraId="008B6266"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7E4A8EBC"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0D52BE88"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46" w:type="pct"/>
            <w:tcBorders>
              <w:top w:val="single" w:sz="4" w:space="0" w:color="auto"/>
              <w:left w:val="single" w:sz="4" w:space="0" w:color="auto"/>
              <w:bottom w:val="single" w:sz="4" w:space="0" w:color="auto"/>
              <w:right w:val="single" w:sz="4" w:space="0" w:color="auto"/>
            </w:tcBorders>
            <w:noWrap/>
            <w:vAlign w:val="center"/>
            <w:hideMark/>
          </w:tcPr>
          <w:p w14:paraId="3A642C91"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00E8341"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37CE2084"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r>
      <w:tr w:rsidR="00395593" w:rsidRPr="00AC0363" w14:paraId="3F291CB1" w14:textId="77777777" w:rsidTr="005C5CBD">
        <w:trPr>
          <w:trHeight w:val="405"/>
        </w:trPr>
        <w:tc>
          <w:tcPr>
            <w:tcW w:w="535" w:type="pct"/>
            <w:gridSpan w:val="2"/>
            <w:tcBorders>
              <w:top w:val="single" w:sz="4" w:space="0" w:color="auto"/>
              <w:left w:val="single" w:sz="4" w:space="0" w:color="auto"/>
              <w:bottom w:val="single" w:sz="4" w:space="0" w:color="auto"/>
              <w:right w:val="single" w:sz="4" w:space="0" w:color="auto"/>
            </w:tcBorders>
            <w:vAlign w:val="center"/>
            <w:hideMark/>
          </w:tcPr>
          <w:p w14:paraId="2C65BA4A" w14:textId="77777777" w:rsidR="00395593" w:rsidRPr="005C5CBD" w:rsidRDefault="00395593" w:rsidP="0097041B">
            <w:pPr>
              <w:jc w:val="center"/>
              <w:rPr>
                <w:rFonts w:ascii="Garamond" w:hAnsi="Garamond" w:cs="Calibri"/>
                <w:color w:val="000000"/>
                <w:sz w:val="16"/>
                <w:szCs w:val="16"/>
              </w:rPr>
            </w:pPr>
            <w:r w:rsidRPr="005C5CBD">
              <w:rPr>
                <w:rFonts w:ascii="Garamond" w:hAnsi="Garamond" w:cs="Calibri"/>
                <w:color w:val="000000"/>
                <w:sz w:val="16"/>
                <w:szCs w:val="16"/>
              </w:rPr>
              <w:t>Total (I) + (II)</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55A87E3A" w14:textId="77777777" w:rsidR="00395593" w:rsidRPr="005C5CBD" w:rsidRDefault="00395593" w:rsidP="0097041B">
            <w:pPr>
              <w:ind w:left="25" w:hanging="25"/>
              <w:rPr>
                <w:rFonts w:ascii="Garamond" w:hAnsi="Garamond" w:cs="Calibri"/>
                <w:color w:val="000000"/>
                <w:sz w:val="16"/>
                <w:szCs w:val="16"/>
              </w:rPr>
            </w:pP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3BFF4CA4" w14:textId="77777777" w:rsidR="00395593" w:rsidRPr="005C5CBD" w:rsidRDefault="00395593" w:rsidP="0097041B">
            <w:pPr>
              <w:rPr>
                <w:rFonts w:ascii="Garamond" w:eastAsia="Calibri" w:hAnsi="Garamond" w:cs="Calibri"/>
              </w:rPr>
            </w:pPr>
          </w:p>
        </w:tc>
        <w:tc>
          <w:tcPr>
            <w:tcW w:w="404" w:type="pct"/>
            <w:tcBorders>
              <w:top w:val="single" w:sz="4" w:space="0" w:color="auto"/>
              <w:left w:val="single" w:sz="4" w:space="0" w:color="auto"/>
              <w:bottom w:val="single" w:sz="4" w:space="0" w:color="auto"/>
              <w:right w:val="single" w:sz="4" w:space="0" w:color="auto"/>
            </w:tcBorders>
            <w:noWrap/>
            <w:vAlign w:val="center"/>
            <w:hideMark/>
          </w:tcPr>
          <w:p w14:paraId="4C2BF3B0"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159" w:type="pct"/>
            <w:tcBorders>
              <w:top w:val="single" w:sz="4" w:space="0" w:color="auto"/>
              <w:left w:val="single" w:sz="4" w:space="0" w:color="auto"/>
              <w:bottom w:val="single" w:sz="4" w:space="0" w:color="auto"/>
              <w:right w:val="single" w:sz="4" w:space="0" w:color="auto"/>
            </w:tcBorders>
            <w:noWrap/>
            <w:vAlign w:val="center"/>
            <w:hideMark/>
          </w:tcPr>
          <w:p w14:paraId="4D30850C"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596CFC98"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169" w:type="pct"/>
            <w:tcBorders>
              <w:top w:val="single" w:sz="4" w:space="0" w:color="auto"/>
              <w:left w:val="single" w:sz="4" w:space="0" w:color="auto"/>
              <w:bottom w:val="single" w:sz="4" w:space="0" w:color="auto"/>
              <w:right w:val="single" w:sz="4" w:space="0" w:color="auto"/>
            </w:tcBorders>
            <w:noWrap/>
            <w:vAlign w:val="center"/>
            <w:hideMark/>
          </w:tcPr>
          <w:p w14:paraId="452327E3"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98" w:type="pct"/>
            <w:tcBorders>
              <w:top w:val="single" w:sz="4" w:space="0" w:color="auto"/>
              <w:left w:val="single" w:sz="4" w:space="0" w:color="auto"/>
              <w:bottom w:val="single" w:sz="4" w:space="0" w:color="auto"/>
              <w:right w:val="single" w:sz="4" w:space="0" w:color="auto"/>
            </w:tcBorders>
            <w:noWrap/>
            <w:vAlign w:val="center"/>
            <w:hideMark/>
          </w:tcPr>
          <w:p w14:paraId="70BE130B"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04" w:type="pct"/>
            <w:tcBorders>
              <w:top w:val="single" w:sz="4" w:space="0" w:color="auto"/>
              <w:left w:val="single" w:sz="4" w:space="0" w:color="auto"/>
              <w:bottom w:val="single" w:sz="4" w:space="0" w:color="auto"/>
              <w:right w:val="single" w:sz="4" w:space="0" w:color="auto"/>
            </w:tcBorders>
            <w:noWrap/>
            <w:vAlign w:val="center"/>
            <w:hideMark/>
          </w:tcPr>
          <w:p w14:paraId="46ED7632"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1EDC36E8"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95" w:type="pct"/>
            <w:tcBorders>
              <w:top w:val="single" w:sz="4" w:space="0" w:color="auto"/>
              <w:left w:val="single" w:sz="4" w:space="0" w:color="auto"/>
              <w:bottom w:val="single" w:sz="4" w:space="0" w:color="auto"/>
              <w:right w:val="single" w:sz="4" w:space="0" w:color="auto"/>
            </w:tcBorders>
            <w:noWrap/>
            <w:vAlign w:val="center"/>
            <w:hideMark/>
          </w:tcPr>
          <w:p w14:paraId="0133147D"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1FA5A759" w14:textId="77777777" w:rsidR="00395593" w:rsidRPr="005C5CBD" w:rsidRDefault="00395593" w:rsidP="0097041B">
            <w:pPr>
              <w:rPr>
                <w:rFonts w:ascii="Garamond" w:hAnsi="Garamond" w:cs="Calibri"/>
                <w:sz w:val="16"/>
                <w:szCs w:val="16"/>
              </w:rPr>
            </w:pP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3111D40E" w14:textId="77777777" w:rsidR="00395593" w:rsidRPr="005C5CBD" w:rsidRDefault="00395593" w:rsidP="0097041B">
            <w:pPr>
              <w:rPr>
                <w:rFonts w:ascii="Garamond" w:eastAsia="Calibri" w:hAnsi="Garamond" w:cs="Calibri"/>
              </w:rPr>
            </w:pPr>
          </w:p>
        </w:tc>
        <w:tc>
          <w:tcPr>
            <w:tcW w:w="346" w:type="pct"/>
            <w:tcBorders>
              <w:top w:val="single" w:sz="4" w:space="0" w:color="auto"/>
              <w:left w:val="single" w:sz="4" w:space="0" w:color="auto"/>
              <w:bottom w:val="single" w:sz="4" w:space="0" w:color="auto"/>
              <w:right w:val="single" w:sz="4" w:space="0" w:color="auto"/>
            </w:tcBorders>
            <w:noWrap/>
            <w:vAlign w:val="center"/>
            <w:hideMark/>
          </w:tcPr>
          <w:p w14:paraId="1400F072"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3150EF6"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c>
          <w:tcPr>
            <w:tcW w:w="385" w:type="pct"/>
            <w:tcBorders>
              <w:top w:val="single" w:sz="4" w:space="0" w:color="auto"/>
              <w:left w:val="single" w:sz="4" w:space="0" w:color="auto"/>
              <w:bottom w:val="single" w:sz="4" w:space="0" w:color="auto"/>
              <w:right w:val="single" w:sz="4" w:space="0" w:color="auto"/>
            </w:tcBorders>
            <w:noWrap/>
            <w:vAlign w:val="center"/>
            <w:hideMark/>
          </w:tcPr>
          <w:p w14:paraId="59EB9E6A" w14:textId="77777777" w:rsidR="00395593" w:rsidRPr="005C5CBD" w:rsidRDefault="00395593" w:rsidP="0097041B">
            <w:pPr>
              <w:jc w:val="center"/>
              <w:rPr>
                <w:rFonts w:ascii="Garamond" w:hAnsi="Garamond" w:cs="Calibri"/>
                <w:sz w:val="16"/>
                <w:szCs w:val="16"/>
              </w:rPr>
            </w:pPr>
            <w:r w:rsidRPr="005C5CBD">
              <w:rPr>
                <w:rFonts w:ascii="Garamond" w:hAnsi="Garamond" w:cs="Calibri"/>
                <w:sz w:val="16"/>
                <w:szCs w:val="16"/>
              </w:rPr>
              <w:t>-</w:t>
            </w:r>
          </w:p>
        </w:tc>
      </w:tr>
    </w:tbl>
    <w:p w14:paraId="273E92BC" w14:textId="77777777" w:rsidR="00395593" w:rsidRPr="005C5CBD" w:rsidRDefault="00395593" w:rsidP="00E15FBB">
      <w:pPr>
        <w:spacing w:after="0" w:line="240" w:lineRule="auto"/>
        <w:rPr>
          <w:rFonts w:ascii="Garamond" w:eastAsia="Times New Roman" w:hAnsi="Garamond" w:cs="Calibri"/>
          <w:sz w:val="20"/>
          <w:szCs w:val="20"/>
          <w:lang w:eastAsia="pt-BR"/>
        </w:rPr>
      </w:pPr>
      <w:r w:rsidRPr="005C5CBD">
        <w:rPr>
          <w:rFonts w:ascii="Garamond" w:eastAsia="Times New Roman" w:hAnsi="Garamond" w:cs="Calibri"/>
          <w:sz w:val="20"/>
          <w:szCs w:val="20"/>
          <w:lang w:eastAsia="pt-BR"/>
        </w:rPr>
        <w:t xml:space="preserve">* PX: período de investigação/revisão de dano (ex.: P1, P2, P3 etc.) - a petição deverá apresentar a tabela anterior para todos os períodos de dano.  </w:t>
      </w:r>
      <w:r w:rsidRPr="005C5CBD">
        <w:rPr>
          <w:rFonts w:ascii="Garamond" w:eastAsia="Times New Roman" w:hAnsi="Garamond" w:cs="Calibri"/>
          <w:sz w:val="20"/>
          <w:szCs w:val="20"/>
          <w:lang w:eastAsia="pt-BR"/>
        </w:rPr>
        <w:br w:type="page"/>
      </w:r>
    </w:p>
    <w:p w14:paraId="2690075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sectPr w:rsidR="00395593" w:rsidRPr="005C5CBD" w:rsidSect="00E15FBB">
          <w:footnotePr>
            <w:numRestart w:val="eachSect"/>
          </w:footnotePr>
          <w:pgSz w:w="16840" w:h="11900" w:orient="landscape"/>
          <w:pgMar w:top="1418" w:right="1105" w:bottom="709" w:left="1418" w:header="720" w:footer="720" w:gutter="0"/>
          <w:cols w:space="720" w:equalWidth="0">
            <w:col w:w="14317"/>
          </w:cols>
          <w:noEndnote/>
          <w:docGrid w:linePitch="326"/>
        </w:sectPr>
      </w:pPr>
    </w:p>
    <w:tbl>
      <w:tblPr>
        <w:tblW w:w="8016" w:type="dxa"/>
        <w:jc w:val="center"/>
        <w:tblCellMar>
          <w:left w:w="70" w:type="dxa"/>
          <w:right w:w="70" w:type="dxa"/>
        </w:tblCellMar>
        <w:tblLook w:val="04A0" w:firstRow="1" w:lastRow="0" w:firstColumn="1" w:lastColumn="0" w:noHBand="0" w:noVBand="1"/>
      </w:tblPr>
      <w:tblGrid>
        <w:gridCol w:w="8016"/>
      </w:tblGrid>
      <w:tr w:rsidR="00395593" w:rsidRPr="00AC0363" w14:paraId="4BC9AA25" w14:textId="77777777" w:rsidTr="00395593">
        <w:trPr>
          <w:trHeight w:val="300"/>
          <w:jc w:val="center"/>
        </w:trPr>
        <w:tc>
          <w:tcPr>
            <w:tcW w:w="8016" w:type="dxa"/>
            <w:tcBorders>
              <w:top w:val="nil"/>
              <w:left w:val="nil"/>
              <w:bottom w:val="nil"/>
              <w:right w:val="nil"/>
            </w:tcBorders>
            <w:shd w:val="clear" w:color="auto" w:fill="auto"/>
            <w:noWrap/>
            <w:vAlign w:val="bottom"/>
            <w:hideMark/>
          </w:tcPr>
          <w:p w14:paraId="7E778F8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APÊNDICE VI</w:t>
            </w:r>
          </w:p>
        </w:tc>
      </w:tr>
      <w:tr w:rsidR="00395593" w:rsidRPr="00AC0363" w14:paraId="68CD2219" w14:textId="77777777" w:rsidTr="00395593">
        <w:trPr>
          <w:trHeight w:val="300"/>
          <w:jc w:val="center"/>
        </w:trPr>
        <w:tc>
          <w:tcPr>
            <w:tcW w:w="8016" w:type="dxa"/>
            <w:tcBorders>
              <w:top w:val="nil"/>
              <w:left w:val="nil"/>
              <w:bottom w:val="nil"/>
              <w:right w:val="nil"/>
            </w:tcBorders>
            <w:shd w:val="clear" w:color="auto" w:fill="auto"/>
            <w:noWrap/>
            <w:vAlign w:val="bottom"/>
            <w:hideMark/>
          </w:tcPr>
          <w:p w14:paraId="12913C9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CONSUMO CATIVO</w:t>
            </w:r>
          </w:p>
        </w:tc>
      </w:tr>
    </w:tbl>
    <w:p w14:paraId="20A2055B" w14:textId="77777777" w:rsidR="00395593" w:rsidRPr="005C5CBD" w:rsidRDefault="00395593" w:rsidP="00E15FBB">
      <w:pPr>
        <w:spacing w:after="0" w:line="240" w:lineRule="auto"/>
        <w:jc w:val="center"/>
        <w:rPr>
          <w:rFonts w:ascii="Garamond" w:eastAsia="Calibri" w:hAnsi="Garamond" w:cs="Calibri"/>
          <w:sz w:val="24"/>
          <w:szCs w:val="24"/>
        </w:rPr>
      </w:pPr>
    </w:p>
    <w:tbl>
      <w:tblPr>
        <w:tblW w:w="5000" w:type="pct"/>
        <w:jc w:val="center"/>
        <w:tblCellMar>
          <w:left w:w="70" w:type="dxa"/>
          <w:right w:w="70" w:type="dxa"/>
        </w:tblCellMar>
        <w:tblLook w:val="04A0" w:firstRow="1" w:lastRow="0" w:firstColumn="1" w:lastColumn="0" w:noHBand="0" w:noVBand="1"/>
      </w:tblPr>
      <w:tblGrid>
        <w:gridCol w:w="517"/>
        <w:gridCol w:w="1845"/>
        <w:gridCol w:w="2181"/>
        <w:gridCol w:w="2537"/>
        <w:gridCol w:w="2537"/>
      </w:tblGrid>
      <w:tr w:rsidR="00395593" w:rsidRPr="00AC0363" w14:paraId="3A0123B9" w14:textId="77777777" w:rsidTr="00395593">
        <w:trPr>
          <w:trHeight w:val="720"/>
          <w:jc w:val="center"/>
        </w:trPr>
        <w:tc>
          <w:tcPr>
            <w:tcW w:w="269" w:type="pct"/>
            <w:tcBorders>
              <w:top w:val="nil"/>
              <w:left w:val="nil"/>
              <w:bottom w:val="nil"/>
              <w:right w:val="nil"/>
            </w:tcBorders>
            <w:shd w:val="clear" w:color="auto" w:fill="auto"/>
            <w:noWrap/>
            <w:vAlign w:val="bottom"/>
            <w:hideMark/>
          </w:tcPr>
          <w:p w14:paraId="02B43999"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124546" w14:textId="77777777" w:rsidR="00395593" w:rsidRPr="005C5CBD" w:rsidRDefault="00395593" w:rsidP="00E15FBB">
            <w:pPr>
              <w:spacing w:after="0" w:line="240" w:lineRule="auto"/>
              <w:jc w:val="center"/>
              <w:rPr>
                <w:rFonts w:ascii="Garamond" w:eastAsia="Times New Roman" w:hAnsi="Garamond" w:cs="Calibri"/>
                <w:b/>
                <w:i/>
                <w:color w:val="FF0000"/>
                <w:sz w:val="24"/>
                <w:szCs w:val="24"/>
                <w:lang w:eastAsia="pt-BR"/>
              </w:rPr>
            </w:pPr>
            <w:r w:rsidRPr="005C5CBD">
              <w:rPr>
                <w:rFonts w:ascii="Garamond" w:eastAsia="Times New Roman" w:hAnsi="Garamond" w:cs="Calibri"/>
                <w:b/>
                <w:i/>
                <w:color w:val="FF0000"/>
                <w:sz w:val="24"/>
                <w:szCs w:val="24"/>
                <w:lang w:eastAsia="pt-BR"/>
              </w:rPr>
              <w:t xml:space="preserve">Empresa </w:t>
            </w:r>
          </w:p>
        </w:tc>
        <w:tc>
          <w:tcPr>
            <w:tcW w:w="1134" w:type="pct"/>
            <w:tcBorders>
              <w:top w:val="single" w:sz="4" w:space="0" w:color="auto"/>
              <w:left w:val="nil"/>
              <w:bottom w:val="single" w:sz="4" w:space="0" w:color="auto"/>
              <w:right w:val="single" w:sz="4" w:space="0" w:color="auto"/>
            </w:tcBorders>
            <w:shd w:val="clear" w:color="auto" w:fill="auto"/>
            <w:vAlign w:val="center"/>
            <w:hideMark/>
          </w:tcPr>
          <w:p w14:paraId="72F86C1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Quantidade consumida (peso)</w:t>
            </w:r>
          </w:p>
        </w:tc>
        <w:tc>
          <w:tcPr>
            <w:tcW w:w="1319" w:type="pct"/>
            <w:tcBorders>
              <w:top w:val="single" w:sz="4" w:space="0" w:color="auto"/>
              <w:left w:val="nil"/>
              <w:bottom w:val="single" w:sz="4" w:space="0" w:color="auto"/>
              <w:right w:val="single" w:sz="4" w:space="0" w:color="auto"/>
            </w:tcBorders>
            <w:shd w:val="clear" w:color="auto" w:fill="auto"/>
            <w:vAlign w:val="center"/>
            <w:hideMark/>
          </w:tcPr>
          <w:p w14:paraId="3F57A12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Quantidade consumida</w:t>
            </w:r>
            <w:r w:rsidRPr="005C5CBD" w:rsidDel="00C90474">
              <w:rPr>
                <w:rFonts w:ascii="Garamond" w:eastAsia="Times New Roman" w:hAnsi="Garamond" w:cs="Calibri"/>
                <w:b/>
                <w:color w:val="000000"/>
                <w:sz w:val="24"/>
                <w:szCs w:val="24"/>
                <w:lang w:eastAsia="pt-BR"/>
              </w:rPr>
              <w:t xml:space="preserve"> </w:t>
            </w:r>
            <w:r w:rsidRPr="005C5CBD">
              <w:rPr>
                <w:rFonts w:ascii="Garamond" w:eastAsia="Times New Roman" w:hAnsi="Garamond" w:cs="Calibri"/>
                <w:b/>
                <w:color w:val="000000"/>
                <w:sz w:val="24"/>
                <w:szCs w:val="24"/>
                <w:lang w:eastAsia="pt-BR"/>
              </w:rPr>
              <w:t>(unidade)</w:t>
            </w:r>
          </w:p>
        </w:tc>
        <w:tc>
          <w:tcPr>
            <w:tcW w:w="1320" w:type="pct"/>
            <w:tcBorders>
              <w:top w:val="single" w:sz="4" w:space="0" w:color="auto"/>
              <w:left w:val="nil"/>
              <w:bottom w:val="single" w:sz="4" w:space="0" w:color="auto"/>
              <w:right w:val="single" w:sz="4" w:space="0" w:color="auto"/>
            </w:tcBorders>
            <w:shd w:val="clear" w:color="auto" w:fill="auto"/>
            <w:vAlign w:val="center"/>
            <w:hideMark/>
          </w:tcPr>
          <w:p w14:paraId="1FCDECC6"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Valor total de transferência (R$)</w:t>
            </w:r>
          </w:p>
        </w:tc>
      </w:tr>
      <w:tr w:rsidR="00395593" w:rsidRPr="00AC0363" w14:paraId="2580F070" w14:textId="77777777" w:rsidTr="00395593">
        <w:trPr>
          <w:trHeight w:val="480"/>
          <w:jc w:val="center"/>
        </w:trPr>
        <w:tc>
          <w:tcPr>
            <w:tcW w:w="269"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8C4481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Período</w:t>
            </w:r>
          </w:p>
        </w:tc>
        <w:tc>
          <w:tcPr>
            <w:tcW w:w="959" w:type="pct"/>
            <w:tcBorders>
              <w:top w:val="nil"/>
              <w:left w:val="nil"/>
              <w:bottom w:val="single" w:sz="4" w:space="0" w:color="auto"/>
              <w:right w:val="single" w:sz="4" w:space="0" w:color="auto"/>
            </w:tcBorders>
            <w:shd w:val="clear" w:color="auto" w:fill="auto"/>
            <w:vAlign w:val="center"/>
            <w:hideMark/>
          </w:tcPr>
          <w:p w14:paraId="7D0EC36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P1</w:t>
            </w:r>
          </w:p>
        </w:tc>
        <w:tc>
          <w:tcPr>
            <w:tcW w:w="1134" w:type="pct"/>
            <w:tcBorders>
              <w:top w:val="nil"/>
              <w:left w:val="nil"/>
              <w:bottom w:val="nil"/>
              <w:right w:val="nil"/>
            </w:tcBorders>
            <w:shd w:val="clear" w:color="auto" w:fill="auto"/>
            <w:vAlign w:val="center"/>
            <w:hideMark/>
          </w:tcPr>
          <w:p w14:paraId="3A6ACB24"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1319" w:type="pct"/>
            <w:tcBorders>
              <w:top w:val="nil"/>
              <w:left w:val="single" w:sz="4" w:space="0" w:color="auto"/>
              <w:bottom w:val="nil"/>
              <w:right w:val="single" w:sz="4" w:space="0" w:color="auto"/>
            </w:tcBorders>
            <w:shd w:val="clear" w:color="auto" w:fill="auto"/>
            <w:vAlign w:val="center"/>
            <w:hideMark/>
          </w:tcPr>
          <w:p w14:paraId="2DFFE8A4"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20" w:type="pct"/>
            <w:tcBorders>
              <w:top w:val="nil"/>
              <w:left w:val="nil"/>
              <w:bottom w:val="nil"/>
              <w:right w:val="single" w:sz="4" w:space="0" w:color="auto"/>
            </w:tcBorders>
            <w:shd w:val="clear" w:color="auto" w:fill="auto"/>
            <w:vAlign w:val="center"/>
            <w:hideMark/>
          </w:tcPr>
          <w:p w14:paraId="4D8C96C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0EEBCEA3" w14:textId="77777777" w:rsidTr="00395593">
        <w:trPr>
          <w:trHeight w:val="480"/>
          <w:jc w:val="center"/>
        </w:trPr>
        <w:tc>
          <w:tcPr>
            <w:tcW w:w="269" w:type="pct"/>
            <w:vMerge/>
            <w:tcBorders>
              <w:top w:val="single" w:sz="4" w:space="0" w:color="auto"/>
              <w:left w:val="single" w:sz="4" w:space="0" w:color="auto"/>
              <w:bottom w:val="single" w:sz="4" w:space="0" w:color="000000"/>
              <w:right w:val="single" w:sz="4" w:space="0" w:color="auto"/>
            </w:tcBorders>
            <w:vAlign w:val="center"/>
            <w:hideMark/>
          </w:tcPr>
          <w:p w14:paraId="5E94CF9A"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959" w:type="pct"/>
            <w:tcBorders>
              <w:top w:val="nil"/>
              <w:left w:val="nil"/>
              <w:bottom w:val="single" w:sz="4" w:space="0" w:color="auto"/>
              <w:right w:val="single" w:sz="4" w:space="0" w:color="auto"/>
            </w:tcBorders>
            <w:shd w:val="clear" w:color="auto" w:fill="auto"/>
            <w:vAlign w:val="center"/>
            <w:hideMark/>
          </w:tcPr>
          <w:p w14:paraId="0DED3BC3"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P2</w:t>
            </w:r>
          </w:p>
        </w:tc>
        <w:tc>
          <w:tcPr>
            <w:tcW w:w="1134" w:type="pct"/>
            <w:tcBorders>
              <w:top w:val="nil"/>
              <w:left w:val="nil"/>
              <w:bottom w:val="nil"/>
              <w:right w:val="nil"/>
            </w:tcBorders>
            <w:shd w:val="clear" w:color="auto" w:fill="auto"/>
            <w:vAlign w:val="center"/>
            <w:hideMark/>
          </w:tcPr>
          <w:p w14:paraId="611A6222"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1319" w:type="pct"/>
            <w:tcBorders>
              <w:top w:val="nil"/>
              <w:left w:val="single" w:sz="4" w:space="0" w:color="auto"/>
              <w:bottom w:val="nil"/>
              <w:right w:val="single" w:sz="4" w:space="0" w:color="auto"/>
            </w:tcBorders>
            <w:shd w:val="clear" w:color="auto" w:fill="auto"/>
            <w:vAlign w:val="center"/>
            <w:hideMark/>
          </w:tcPr>
          <w:p w14:paraId="4C339854"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20" w:type="pct"/>
            <w:tcBorders>
              <w:top w:val="nil"/>
              <w:left w:val="nil"/>
              <w:bottom w:val="nil"/>
              <w:right w:val="single" w:sz="4" w:space="0" w:color="auto"/>
            </w:tcBorders>
            <w:shd w:val="clear" w:color="auto" w:fill="auto"/>
            <w:vAlign w:val="center"/>
            <w:hideMark/>
          </w:tcPr>
          <w:p w14:paraId="7267B08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263E5F4A" w14:textId="77777777" w:rsidTr="00395593">
        <w:trPr>
          <w:trHeight w:val="480"/>
          <w:jc w:val="center"/>
        </w:trPr>
        <w:tc>
          <w:tcPr>
            <w:tcW w:w="269" w:type="pct"/>
            <w:vMerge/>
            <w:tcBorders>
              <w:top w:val="single" w:sz="4" w:space="0" w:color="auto"/>
              <w:left w:val="single" w:sz="4" w:space="0" w:color="auto"/>
              <w:bottom w:val="single" w:sz="4" w:space="0" w:color="000000"/>
              <w:right w:val="single" w:sz="4" w:space="0" w:color="auto"/>
            </w:tcBorders>
            <w:vAlign w:val="center"/>
            <w:hideMark/>
          </w:tcPr>
          <w:p w14:paraId="0763017C"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959" w:type="pct"/>
            <w:tcBorders>
              <w:top w:val="nil"/>
              <w:left w:val="nil"/>
              <w:bottom w:val="single" w:sz="4" w:space="0" w:color="auto"/>
              <w:right w:val="single" w:sz="4" w:space="0" w:color="auto"/>
            </w:tcBorders>
            <w:shd w:val="clear" w:color="auto" w:fill="auto"/>
            <w:vAlign w:val="center"/>
            <w:hideMark/>
          </w:tcPr>
          <w:p w14:paraId="7C3CA35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P3</w:t>
            </w:r>
          </w:p>
        </w:tc>
        <w:tc>
          <w:tcPr>
            <w:tcW w:w="1134" w:type="pct"/>
            <w:tcBorders>
              <w:top w:val="nil"/>
              <w:left w:val="nil"/>
              <w:bottom w:val="nil"/>
              <w:right w:val="nil"/>
            </w:tcBorders>
            <w:shd w:val="clear" w:color="auto" w:fill="auto"/>
            <w:vAlign w:val="center"/>
            <w:hideMark/>
          </w:tcPr>
          <w:p w14:paraId="3D537B1A"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1319" w:type="pct"/>
            <w:tcBorders>
              <w:top w:val="nil"/>
              <w:left w:val="single" w:sz="4" w:space="0" w:color="auto"/>
              <w:bottom w:val="nil"/>
              <w:right w:val="single" w:sz="4" w:space="0" w:color="auto"/>
            </w:tcBorders>
            <w:shd w:val="clear" w:color="auto" w:fill="auto"/>
            <w:vAlign w:val="center"/>
            <w:hideMark/>
          </w:tcPr>
          <w:p w14:paraId="46A6725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20" w:type="pct"/>
            <w:tcBorders>
              <w:top w:val="nil"/>
              <w:left w:val="nil"/>
              <w:bottom w:val="nil"/>
              <w:right w:val="single" w:sz="4" w:space="0" w:color="auto"/>
            </w:tcBorders>
            <w:shd w:val="clear" w:color="auto" w:fill="auto"/>
            <w:vAlign w:val="center"/>
            <w:hideMark/>
          </w:tcPr>
          <w:p w14:paraId="7A7CF134"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5269DE37" w14:textId="77777777" w:rsidTr="00395593">
        <w:trPr>
          <w:trHeight w:val="480"/>
          <w:jc w:val="center"/>
        </w:trPr>
        <w:tc>
          <w:tcPr>
            <w:tcW w:w="269" w:type="pct"/>
            <w:vMerge/>
            <w:tcBorders>
              <w:top w:val="single" w:sz="4" w:space="0" w:color="auto"/>
              <w:left w:val="single" w:sz="4" w:space="0" w:color="auto"/>
              <w:bottom w:val="single" w:sz="4" w:space="0" w:color="000000"/>
              <w:right w:val="single" w:sz="4" w:space="0" w:color="auto"/>
            </w:tcBorders>
            <w:vAlign w:val="center"/>
            <w:hideMark/>
          </w:tcPr>
          <w:p w14:paraId="41DA560D"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959" w:type="pct"/>
            <w:tcBorders>
              <w:top w:val="nil"/>
              <w:left w:val="nil"/>
              <w:bottom w:val="single" w:sz="4" w:space="0" w:color="auto"/>
              <w:right w:val="single" w:sz="4" w:space="0" w:color="auto"/>
            </w:tcBorders>
            <w:shd w:val="clear" w:color="auto" w:fill="auto"/>
            <w:vAlign w:val="center"/>
            <w:hideMark/>
          </w:tcPr>
          <w:p w14:paraId="7024051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P4</w:t>
            </w:r>
          </w:p>
        </w:tc>
        <w:tc>
          <w:tcPr>
            <w:tcW w:w="1134" w:type="pct"/>
            <w:tcBorders>
              <w:top w:val="nil"/>
              <w:left w:val="nil"/>
              <w:bottom w:val="nil"/>
              <w:right w:val="nil"/>
            </w:tcBorders>
            <w:shd w:val="clear" w:color="auto" w:fill="auto"/>
            <w:vAlign w:val="center"/>
            <w:hideMark/>
          </w:tcPr>
          <w:p w14:paraId="30E4316D"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1319" w:type="pct"/>
            <w:tcBorders>
              <w:top w:val="nil"/>
              <w:left w:val="single" w:sz="4" w:space="0" w:color="auto"/>
              <w:bottom w:val="nil"/>
              <w:right w:val="single" w:sz="4" w:space="0" w:color="auto"/>
            </w:tcBorders>
            <w:shd w:val="clear" w:color="auto" w:fill="auto"/>
            <w:vAlign w:val="center"/>
            <w:hideMark/>
          </w:tcPr>
          <w:p w14:paraId="3D48F5FE"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20" w:type="pct"/>
            <w:tcBorders>
              <w:top w:val="nil"/>
              <w:left w:val="nil"/>
              <w:bottom w:val="nil"/>
              <w:right w:val="single" w:sz="4" w:space="0" w:color="auto"/>
            </w:tcBorders>
            <w:shd w:val="clear" w:color="auto" w:fill="auto"/>
            <w:vAlign w:val="center"/>
            <w:hideMark/>
          </w:tcPr>
          <w:p w14:paraId="3311F17C"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31AAD441" w14:textId="77777777" w:rsidTr="00395593">
        <w:trPr>
          <w:trHeight w:val="480"/>
          <w:jc w:val="center"/>
        </w:trPr>
        <w:tc>
          <w:tcPr>
            <w:tcW w:w="269" w:type="pct"/>
            <w:vMerge/>
            <w:tcBorders>
              <w:top w:val="single" w:sz="4" w:space="0" w:color="auto"/>
              <w:left w:val="single" w:sz="4" w:space="0" w:color="auto"/>
              <w:bottom w:val="single" w:sz="4" w:space="0" w:color="000000"/>
              <w:right w:val="single" w:sz="4" w:space="0" w:color="auto"/>
            </w:tcBorders>
            <w:vAlign w:val="center"/>
            <w:hideMark/>
          </w:tcPr>
          <w:p w14:paraId="427EB85A"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959" w:type="pct"/>
            <w:tcBorders>
              <w:top w:val="nil"/>
              <w:left w:val="nil"/>
              <w:bottom w:val="single" w:sz="4" w:space="0" w:color="auto"/>
              <w:right w:val="single" w:sz="4" w:space="0" w:color="auto"/>
            </w:tcBorders>
            <w:shd w:val="clear" w:color="auto" w:fill="auto"/>
            <w:vAlign w:val="center"/>
            <w:hideMark/>
          </w:tcPr>
          <w:p w14:paraId="12731C6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P5</w:t>
            </w:r>
          </w:p>
        </w:tc>
        <w:tc>
          <w:tcPr>
            <w:tcW w:w="1134" w:type="pct"/>
            <w:tcBorders>
              <w:top w:val="nil"/>
              <w:left w:val="nil"/>
              <w:bottom w:val="single" w:sz="4" w:space="0" w:color="auto"/>
              <w:right w:val="nil"/>
            </w:tcBorders>
            <w:shd w:val="clear" w:color="auto" w:fill="auto"/>
            <w:vAlign w:val="center"/>
            <w:hideMark/>
          </w:tcPr>
          <w:p w14:paraId="65156EBC"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19" w:type="pct"/>
            <w:tcBorders>
              <w:top w:val="nil"/>
              <w:left w:val="single" w:sz="4" w:space="0" w:color="auto"/>
              <w:bottom w:val="single" w:sz="4" w:space="0" w:color="auto"/>
              <w:right w:val="single" w:sz="4" w:space="0" w:color="auto"/>
            </w:tcBorders>
            <w:shd w:val="clear" w:color="auto" w:fill="auto"/>
            <w:vAlign w:val="center"/>
            <w:hideMark/>
          </w:tcPr>
          <w:p w14:paraId="024621E7"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20" w:type="pct"/>
            <w:tcBorders>
              <w:top w:val="nil"/>
              <w:left w:val="nil"/>
              <w:bottom w:val="single" w:sz="4" w:space="0" w:color="auto"/>
              <w:right w:val="single" w:sz="4" w:space="0" w:color="auto"/>
            </w:tcBorders>
            <w:shd w:val="clear" w:color="auto" w:fill="auto"/>
            <w:vAlign w:val="center"/>
            <w:hideMark/>
          </w:tcPr>
          <w:p w14:paraId="578F5B3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bl>
    <w:p w14:paraId="019D7D7C" w14:textId="77777777" w:rsidR="00395593" w:rsidRPr="005C5CBD" w:rsidRDefault="00395593" w:rsidP="00E15FBB">
      <w:pPr>
        <w:spacing w:after="0" w:line="240" w:lineRule="auto"/>
        <w:jc w:val="center"/>
        <w:rPr>
          <w:rFonts w:ascii="Garamond" w:eastAsia="Calibri" w:hAnsi="Garamond" w:cs="Calibri"/>
          <w:sz w:val="24"/>
          <w:szCs w:val="24"/>
        </w:rPr>
      </w:pPr>
    </w:p>
    <w:p w14:paraId="11E3B68C" w14:textId="77777777" w:rsidR="00395593" w:rsidRPr="00685C65" w:rsidRDefault="00395593" w:rsidP="00E15FBB">
      <w:pPr>
        <w:spacing w:after="0" w:line="240" w:lineRule="auto"/>
        <w:jc w:val="center"/>
        <w:rPr>
          <w:rFonts w:cstheme="minorHAnsi"/>
          <w:sz w:val="24"/>
          <w:szCs w:val="24"/>
        </w:rPr>
      </w:pPr>
      <w:r w:rsidRPr="005C5CBD">
        <w:rPr>
          <w:rFonts w:ascii="Garamond" w:eastAsia="Calibri" w:hAnsi="Garamond" w:cs="Calibri"/>
          <w:sz w:val="24"/>
          <w:szCs w:val="24"/>
        </w:rPr>
        <w:br w:type="page"/>
      </w:r>
    </w:p>
    <w:p w14:paraId="67DECAB0" w14:textId="77777777" w:rsidR="00395593" w:rsidRPr="004136FD" w:rsidRDefault="00395593" w:rsidP="00E15FBB">
      <w:pPr>
        <w:spacing w:after="0" w:line="240" w:lineRule="auto"/>
        <w:jc w:val="center"/>
        <w:rPr>
          <w:rFonts w:ascii="Garamond" w:hAnsi="Garamond" w:cstheme="minorHAnsi"/>
          <w:b/>
          <w:sz w:val="24"/>
          <w:szCs w:val="24"/>
        </w:rPr>
      </w:pPr>
      <w:r w:rsidRPr="004136FD">
        <w:rPr>
          <w:rFonts w:ascii="Garamond" w:eastAsia="Calibri" w:hAnsi="Garamond" w:cs="Calibri"/>
          <w:b/>
          <w:sz w:val="24"/>
          <w:szCs w:val="24"/>
        </w:rPr>
        <w:t>APÊNDICE VII</w:t>
      </w:r>
    </w:p>
    <w:p w14:paraId="69129F42" w14:textId="77777777" w:rsidR="00395593" w:rsidRPr="00685C65" w:rsidRDefault="00395593" w:rsidP="00E15FBB">
      <w:pPr>
        <w:tabs>
          <w:tab w:val="center" w:pos="6379"/>
          <w:tab w:val="center" w:pos="7513"/>
        </w:tabs>
        <w:spacing w:after="0" w:line="240" w:lineRule="auto"/>
        <w:jc w:val="center"/>
        <w:rPr>
          <w:rFonts w:cstheme="minorHAnsi"/>
          <w:b/>
          <w:sz w:val="24"/>
          <w:szCs w:val="24"/>
        </w:rPr>
      </w:pPr>
      <w:r w:rsidRPr="004136FD">
        <w:rPr>
          <w:rFonts w:ascii="Garamond" w:eastAsia="Calibri" w:hAnsi="Garamond" w:cs="Calibri"/>
          <w:b/>
          <w:sz w:val="24"/>
          <w:szCs w:val="24"/>
        </w:rPr>
        <w:t>VEN</w:t>
      </w:r>
      <w:r w:rsidRPr="004136FD">
        <w:rPr>
          <w:rFonts w:ascii="Garamond" w:hAnsi="Garamond" w:cstheme="minorHAnsi"/>
          <w:b/>
          <w:sz w:val="24"/>
          <w:szCs w:val="24"/>
        </w:rPr>
        <w:t>DAS NO MERCADO INTERNO</w:t>
      </w:r>
    </w:p>
    <w:p w14:paraId="0A749CEB" w14:textId="77777777" w:rsidR="00395593" w:rsidRPr="005C5CBD" w:rsidRDefault="00395593" w:rsidP="00E15FBB">
      <w:pPr>
        <w:tabs>
          <w:tab w:val="center" w:pos="6379"/>
          <w:tab w:val="center" w:pos="7513"/>
        </w:tabs>
        <w:spacing w:after="0" w:line="240" w:lineRule="auto"/>
        <w:jc w:val="center"/>
        <w:rPr>
          <w:rFonts w:ascii="Garamond" w:eastAsia="Calibri" w:hAnsi="Garamond" w:cs="Calibri"/>
          <w:b/>
          <w:sz w:val="24"/>
          <w:szCs w:val="24"/>
        </w:rPr>
      </w:pPr>
    </w:p>
    <w:p w14:paraId="36B4931A" w14:textId="77777777" w:rsidR="00395593" w:rsidRPr="005C5CBD" w:rsidRDefault="00395593" w:rsidP="00E15FBB">
      <w:pPr>
        <w:tabs>
          <w:tab w:val="center" w:pos="6379"/>
          <w:tab w:val="center" w:pos="7513"/>
        </w:tabs>
        <w:spacing w:after="0" w:line="240" w:lineRule="auto"/>
        <w:rPr>
          <w:rFonts w:ascii="Garamond" w:eastAsia="Calibri" w:hAnsi="Garamond" w:cs="Calibri"/>
          <w:b/>
          <w:sz w:val="24"/>
          <w:szCs w:val="24"/>
        </w:rPr>
      </w:pPr>
    </w:p>
    <w:tbl>
      <w:tblPr>
        <w:tblStyle w:val="Tabelacomgrade1"/>
        <w:tblW w:w="4887" w:type="pct"/>
        <w:tblLook w:val="04A0" w:firstRow="1" w:lastRow="0" w:firstColumn="1" w:lastColumn="0" w:noHBand="0" w:noVBand="1"/>
      </w:tblPr>
      <w:tblGrid>
        <w:gridCol w:w="1089"/>
        <w:gridCol w:w="1539"/>
        <w:gridCol w:w="1485"/>
        <w:gridCol w:w="1321"/>
        <w:gridCol w:w="1308"/>
        <w:gridCol w:w="1372"/>
        <w:gridCol w:w="1281"/>
      </w:tblGrid>
      <w:tr w:rsidR="00395593" w:rsidRPr="00AC0363" w14:paraId="2B30D928" w14:textId="77777777" w:rsidTr="005C5CBD">
        <w:trPr>
          <w:trHeight w:val="300"/>
        </w:trPr>
        <w:tc>
          <w:tcPr>
            <w:tcW w:w="581" w:type="pct"/>
            <w:noWrap/>
            <w:vAlign w:val="center"/>
            <w:hideMark/>
          </w:tcPr>
          <w:p w14:paraId="487C1AF8"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0.0</w:t>
            </w:r>
          </w:p>
        </w:tc>
        <w:tc>
          <w:tcPr>
            <w:tcW w:w="812" w:type="pct"/>
            <w:noWrap/>
            <w:vAlign w:val="center"/>
            <w:hideMark/>
          </w:tcPr>
          <w:p w14:paraId="5C2383B8"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1.0</w:t>
            </w:r>
          </w:p>
        </w:tc>
        <w:tc>
          <w:tcPr>
            <w:tcW w:w="792" w:type="pct"/>
            <w:noWrap/>
            <w:vAlign w:val="center"/>
            <w:hideMark/>
          </w:tcPr>
          <w:p w14:paraId="59810BB3"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2.0</w:t>
            </w:r>
          </w:p>
        </w:tc>
        <w:tc>
          <w:tcPr>
            <w:tcW w:w="704" w:type="pct"/>
            <w:noWrap/>
            <w:vAlign w:val="center"/>
            <w:hideMark/>
          </w:tcPr>
          <w:p w14:paraId="46AAB468"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3.0</w:t>
            </w:r>
          </w:p>
        </w:tc>
        <w:tc>
          <w:tcPr>
            <w:tcW w:w="697" w:type="pct"/>
            <w:noWrap/>
            <w:vAlign w:val="center"/>
            <w:hideMark/>
          </w:tcPr>
          <w:p w14:paraId="1DD7E694"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4.0</w:t>
            </w:r>
          </w:p>
        </w:tc>
        <w:tc>
          <w:tcPr>
            <w:tcW w:w="731" w:type="pct"/>
            <w:noWrap/>
            <w:vAlign w:val="center"/>
            <w:hideMark/>
          </w:tcPr>
          <w:p w14:paraId="7EB58BB6"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5.0</w:t>
            </w:r>
          </w:p>
        </w:tc>
        <w:tc>
          <w:tcPr>
            <w:tcW w:w="683" w:type="pct"/>
            <w:noWrap/>
            <w:vAlign w:val="center"/>
            <w:hideMark/>
          </w:tcPr>
          <w:p w14:paraId="15BDBE0E"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6.0</w:t>
            </w:r>
          </w:p>
        </w:tc>
      </w:tr>
      <w:tr w:rsidR="00395593" w:rsidRPr="00AC0363" w14:paraId="4D67AF33" w14:textId="77777777" w:rsidTr="005C5CBD">
        <w:trPr>
          <w:trHeight w:val="1200"/>
        </w:trPr>
        <w:tc>
          <w:tcPr>
            <w:tcW w:w="581" w:type="pct"/>
            <w:vAlign w:val="center"/>
            <w:hideMark/>
          </w:tcPr>
          <w:p w14:paraId="0C07A49B"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Empresa</w:t>
            </w:r>
          </w:p>
        </w:tc>
        <w:tc>
          <w:tcPr>
            <w:tcW w:w="812" w:type="pct"/>
            <w:vAlign w:val="center"/>
            <w:hideMark/>
          </w:tcPr>
          <w:p w14:paraId="1C429651"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Código do Produto (CODPROD)</w:t>
            </w:r>
          </w:p>
        </w:tc>
        <w:tc>
          <w:tcPr>
            <w:tcW w:w="792" w:type="pct"/>
            <w:vAlign w:val="center"/>
            <w:hideMark/>
          </w:tcPr>
          <w:p w14:paraId="418D6A42"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Código de Identificação do Produto (CODIP)</w:t>
            </w:r>
          </w:p>
        </w:tc>
        <w:tc>
          <w:tcPr>
            <w:tcW w:w="704" w:type="pct"/>
            <w:vAlign w:val="center"/>
            <w:hideMark/>
          </w:tcPr>
          <w:p w14:paraId="69322EBB"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Número da fatura/nota fiscal de venda (FAT)</w:t>
            </w:r>
          </w:p>
        </w:tc>
        <w:tc>
          <w:tcPr>
            <w:tcW w:w="697" w:type="pct"/>
            <w:vAlign w:val="center"/>
          </w:tcPr>
          <w:p w14:paraId="4537A415"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Data da fatura (DATFAT)</w:t>
            </w:r>
          </w:p>
        </w:tc>
        <w:tc>
          <w:tcPr>
            <w:tcW w:w="731" w:type="pct"/>
            <w:vAlign w:val="center"/>
          </w:tcPr>
          <w:p w14:paraId="029EA5E8"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Data do embarque (DATEMB)</w:t>
            </w:r>
          </w:p>
        </w:tc>
        <w:tc>
          <w:tcPr>
            <w:tcW w:w="683" w:type="pct"/>
            <w:vAlign w:val="center"/>
          </w:tcPr>
          <w:p w14:paraId="1B4F5474"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Código do Cliente (CLICOD)</w:t>
            </w:r>
          </w:p>
        </w:tc>
      </w:tr>
    </w:tbl>
    <w:p w14:paraId="1DB905D4" w14:textId="77777777" w:rsidR="00395593" w:rsidRPr="005C5CBD" w:rsidRDefault="00395593" w:rsidP="00E15FBB">
      <w:pPr>
        <w:tabs>
          <w:tab w:val="center" w:pos="6379"/>
          <w:tab w:val="center" w:pos="7513"/>
        </w:tabs>
        <w:spacing w:after="0" w:line="240" w:lineRule="auto"/>
        <w:jc w:val="center"/>
        <w:rPr>
          <w:rFonts w:ascii="Garamond" w:eastAsia="Calibri" w:hAnsi="Garamond" w:cs="Calibri"/>
          <w:b/>
          <w:sz w:val="24"/>
          <w:szCs w:val="24"/>
        </w:rPr>
      </w:pPr>
    </w:p>
    <w:tbl>
      <w:tblPr>
        <w:tblStyle w:val="Tabelacomgrade1"/>
        <w:tblW w:w="5000" w:type="pct"/>
        <w:tblLayout w:type="fixed"/>
        <w:tblLook w:val="04A0" w:firstRow="1" w:lastRow="0" w:firstColumn="1" w:lastColumn="0" w:noHBand="0" w:noVBand="1"/>
      </w:tblPr>
      <w:tblGrid>
        <w:gridCol w:w="913"/>
        <w:gridCol w:w="1128"/>
        <w:gridCol w:w="1734"/>
        <w:gridCol w:w="1009"/>
        <w:gridCol w:w="1417"/>
        <w:gridCol w:w="2167"/>
        <w:gridCol w:w="1244"/>
      </w:tblGrid>
      <w:tr w:rsidR="00395593" w:rsidRPr="00AC0363" w14:paraId="09E1C3AE" w14:textId="77777777" w:rsidTr="005C5CBD">
        <w:trPr>
          <w:trHeight w:val="300"/>
        </w:trPr>
        <w:tc>
          <w:tcPr>
            <w:tcW w:w="475" w:type="pct"/>
            <w:noWrap/>
            <w:vAlign w:val="center"/>
            <w:hideMark/>
          </w:tcPr>
          <w:p w14:paraId="5E2168BC"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7.0</w:t>
            </w:r>
          </w:p>
        </w:tc>
        <w:tc>
          <w:tcPr>
            <w:tcW w:w="587" w:type="pct"/>
            <w:noWrap/>
            <w:vAlign w:val="center"/>
            <w:hideMark/>
          </w:tcPr>
          <w:p w14:paraId="42BBE284"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8.0</w:t>
            </w:r>
          </w:p>
        </w:tc>
        <w:tc>
          <w:tcPr>
            <w:tcW w:w="902" w:type="pct"/>
            <w:noWrap/>
            <w:vAlign w:val="center"/>
            <w:hideMark/>
          </w:tcPr>
          <w:p w14:paraId="3CEDC336"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9.0</w:t>
            </w:r>
          </w:p>
        </w:tc>
        <w:tc>
          <w:tcPr>
            <w:tcW w:w="525" w:type="pct"/>
            <w:noWrap/>
            <w:vAlign w:val="center"/>
            <w:hideMark/>
          </w:tcPr>
          <w:p w14:paraId="0866BF9E"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10.0</w:t>
            </w:r>
          </w:p>
        </w:tc>
        <w:tc>
          <w:tcPr>
            <w:tcW w:w="737" w:type="pct"/>
            <w:noWrap/>
            <w:vAlign w:val="center"/>
            <w:hideMark/>
          </w:tcPr>
          <w:p w14:paraId="68D1D16F"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11.0</w:t>
            </w:r>
          </w:p>
        </w:tc>
        <w:tc>
          <w:tcPr>
            <w:tcW w:w="1127" w:type="pct"/>
            <w:noWrap/>
            <w:vAlign w:val="center"/>
            <w:hideMark/>
          </w:tcPr>
          <w:p w14:paraId="545C82A3"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12.0</w:t>
            </w:r>
          </w:p>
        </w:tc>
        <w:tc>
          <w:tcPr>
            <w:tcW w:w="647" w:type="pct"/>
            <w:noWrap/>
            <w:vAlign w:val="center"/>
            <w:hideMark/>
          </w:tcPr>
          <w:p w14:paraId="7C0C95F5"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13.0</w:t>
            </w:r>
          </w:p>
        </w:tc>
      </w:tr>
      <w:tr w:rsidR="00395593" w:rsidRPr="00AC0363" w14:paraId="008F2E14" w14:textId="77777777" w:rsidTr="005C5CBD">
        <w:trPr>
          <w:trHeight w:val="1200"/>
        </w:trPr>
        <w:tc>
          <w:tcPr>
            <w:tcW w:w="475" w:type="pct"/>
            <w:vAlign w:val="center"/>
            <w:hideMark/>
          </w:tcPr>
          <w:p w14:paraId="351C9E70"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Relação com o cliente (RELCLI)</w:t>
            </w:r>
          </w:p>
        </w:tc>
        <w:tc>
          <w:tcPr>
            <w:tcW w:w="587" w:type="pct"/>
            <w:vAlign w:val="center"/>
            <w:hideMark/>
          </w:tcPr>
          <w:p w14:paraId="25F6F951"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Categoria do cliente (CATCLI)</w:t>
            </w:r>
          </w:p>
        </w:tc>
        <w:tc>
          <w:tcPr>
            <w:tcW w:w="902" w:type="pct"/>
            <w:vAlign w:val="center"/>
          </w:tcPr>
          <w:p w14:paraId="0EC76EF9"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Data de recebimento do pagamento (PAGDT)</w:t>
            </w:r>
          </w:p>
        </w:tc>
        <w:tc>
          <w:tcPr>
            <w:tcW w:w="525" w:type="pct"/>
            <w:vAlign w:val="center"/>
          </w:tcPr>
          <w:p w14:paraId="13F8F211"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Termos de Entrega (TERENT)</w:t>
            </w:r>
          </w:p>
        </w:tc>
        <w:tc>
          <w:tcPr>
            <w:tcW w:w="737" w:type="pct"/>
            <w:vAlign w:val="center"/>
            <w:hideMark/>
          </w:tcPr>
          <w:p w14:paraId="506B4513" w14:textId="77777777" w:rsidR="00395593" w:rsidRPr="005C5CBD" w:rsidRDefault="00395593" w:rsidP="0097041B">
            <w:pPr>
              <w:jc w:val="center"/>
              <w:rPr>
                <w:rFonts w:ascii="Garamond" w:hAnsi="Garamond" w:cs="Calibri"/>
                <w:color w:val="FF0000"/>
                <w:sz w:val="24"/>
                <w:szCs w:val="24"/>
              </w:rPr>
            </w:pPr>
            <w:r w:rsidRPr="005C5CBD">
              <w:rPr>
                <w:rFonts w:ascii="Garamond" w:hAnsi="Garamond" w:cs="Calibri"/>
                <w:color w:val="FF0000"/>
                <w:sz w:val="24"/>
                <w:szCs w:val="24"/>
              </w:rPr>
              <w:t>Quantidade (unidade informada) (QTDVEND)</w:t>
            </w:r>
          </w:p>
        </w:tc>
        <w:tc>
          <w:tcPr>
            <w:tcW w:w="1127" w:type="pct"/>
            <w:vAlign w:val="center"/>
            <w:hideMark/>
          </w:tcPr>
          <w:p w14:paraId="3E45CE02" w14:textId="77777777" w:rsidR="00395593" w:rsidRPr="005C5CBD" w:rsidRDefault="00395593" w:rsidP="0097041B">
            <w:pPr>
              <w:jc w:val="center"/>
              <w:rPr>
                <w:rFonts w:ascii="Garamond" w:hAnsi="Garamond" w:cs="Calibri"/>
                <w:color w:val="FF0000"/>
                <w:sz w:val="24"/>
                <w:szCs w:val="24"/>
              </w:rPr>
            </w:pPr>
            <w:r w:rsidRPr="005C5CBD">
              <w:rPr>
                <w:rFonts w:ascii="Garamond" w:hAnsi="Garamond" w:cs="Calibri"/>
                <w:color w:val="FF0000"/>
                <w:sz w:val="24"/>
                <w:szCs w:val="24"/>
              </w:rPr>
              <w:t>Quantidade (unidade de comercialização) (QTDCOM)</w:t>
            </w:r>
          </w:p>
        </w:tc>
        <w:tc>
          <w:tcPr>
            <w:tcW w:w="647" w:type="pct"/>
            <w:vAlign w:val="center"/>
            <w:hideMark/>
          </w:tcPr>
          <w:p w14:paraId="16FCEFFB"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Preço unitário bruto (PRBRUTO)</w:t>
            </w:r>
          </w:p>
        </w:tc>
      </w:tr>
    </w:tbl>
    <w:p w14:paraId="0FE76A18" w14:textId="77777777" w:rsidR="00395593" w:rsidRPr="005C5CBD" w:rsidRDefault="00395593" w:rsidP="00E15FBB">
      <w:pPr>
        <w:tabs>
          <w:tab w:val="center" w:pos="6379"/>
          <w:tab w:val="center" w:pos="7513"/>
        </w:tabs>
        <w:spacing w:after="0" w:line="240" w:lineRule="auto"/>
        <w:jc w:val="center"/>
        <w:rPr>
          <w:rFonts w:ascii="Garamond" w:eastAsia="Calibri" w:hAnsi="Garamond" w:cs="Calibri"/>
          <w:b/>
          <w:sz w:val="24"/>
          <w:szCs w:val="24"/>
        </w:rPr>
      </w:pPr>
    </w:p>
    <w:tbl>
      <w:tblPr>
        <w:tblStyle w:val="Tabelacomgrade1"/>
        <w:tblW w:w="5000" w:type="pct"/>
        <w:tblLook w:val="04A0" w:firstRow="1" w:lastRow="0" w:firstColumn="1" w:lastColumn="0" w:noHBand="0" w:noVBand="1"/>
      </w:tblPr>
      <w:tblGrid>
        <w:gridCol w:w="1357"/>
        <w:gridCol w:w="1253"/>
        <w:gridCol w:w="1241"/>
        <w:gridCol w:w="1327"/>
        <w:gridCol w:w="1632"/>
        <w:gridCol w:w="1401"/>
        <w:gridCol w:w="1401"/>
      </w:tblGrid>
      <w:tr w:rsidR="00395593" w:rsidRPr="00AC0363" w14:paraId="42B15563" w14:textId="77777777" w:rsidTr="005C5CBD">
        <w:trPr>
          <w:trHeight w:val="300"/>
        </w:trPr>
        <w:tc>
          <w:tcPr>
            <w:tcW w:w="656" w:type="pct"/>
            <w:noWrap/>
            <w:vAlign w:val="center"/>
            <w:hideMark/>
          </w:tcPr>
          <w:p w14:paraId="3BDDD05F"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14.1</w:t>
            </w:r>
          </w:p>
        </w:tc>
        <w:tc>
          <w:tcPr>
            <w:tcW w:w="659" w:type="pct"/>
            <w:noWrap/>
            <w:vAlign w:val="center"/>
            <w:hideMark/>
          </w:tcPr>
          <w:p w14:paraId="478F8D96"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14.2</w:t>
            </w:r>
          </w:p>
        </w:tc>
        <w:tc>
          <w:tcPr>
            <w:tcW w:w="596" w:type="pct"/>
            <w:noWrap/>
            <w:vAlign w:val="center"/>
            <w:hideMark/>
          </w:tcPr>
          <w:p w14:paraId="69379725"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14.3</w:t>
            </w:r>
          </w:p>
        </w:tc>
        <w:tc>
          <w:tcPr>
            <w:tcW w:w="728" w:type="pct"/>
            <w:noWrap/>
            <w:vAlign w:val="center"/>
            <w:hideMark/>
          </w:tcPr>
          <w:p w14:paraId="14AE569D"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15.1</w:t>
            </w:r>
          </w:p>
        </w:tc>
        <w:tc>
          <w:tcPr>
            <w:tcW w:w="787" w:type="pct"/>
            <w:noWrap/>
            <w:vAlign w:val="center"/>
            <w:hideMark/>
          </w:tcPr>
          <w:p w14:paraId="7F3D7549"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16.0</w:t>
            </w:r>
          </w:p>
        </w:tc>
        <w:tc>
          <w:tcPr>
            <w:tcW w:w="787" w:type="pct"/>
            <w:noWrap/>
            <w:vAlign w:val="center"/>
            <w:hideMark/>
          </w:tcPr>
          <w:p w14:paraId="73C970D2"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16.1</w:t>
            </w:r>
          </w:p>
        </w:tc>
        <w:tc>
          <w:tcPr>
            <w:tcW w:w="787" w:type="pct"/>
            <w:noWrap/>
            <w:vAlign w:val="center"/>
            <w:hideMark/>
          </w:tcPr>
          <w:p w14:paraId="11FA1982"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16.2</w:t>
            </w:r>
          </w:p>
        </w:tc>
      </w:tr>
      <w:tr w:rsidR="00395593" w:rsidRPr="00AC0363" w14:paraId="3BDE10EA" w14:textId="77777777" w:rsidTr="005C5CBD">
        <w:trPr>
          <w:trHeight w:val="1200"/>
        </w:trPr>
        <w:tc>
          <w:tcPr>
            <w:tcW w:w="656" w:type="pct"/>
            <w:vAlign w:val="center"/>
          </w:tcPr>
          <w:p w14:paraId="2825838B"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Desconto para pagamento antecipado (DESPANT)</w:t>
            </w:r>
          </w:p>
        </w:tc>
        <w:tc>
          <w:tcPr>
            <w:tcW w:w="659" w:type="pct"/>
            <w:vAlign w:val="center"/>
          </w:tcPr>
          <w:p w14:paraId="42343766"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Desconto relativo à quantidade (DESQTD)</w:t>
            </w:r>
          </w:p>
        </w:tc>
        <w:tc>
          <w:tcPr>
            <w:tcW w:w="596" w:type="pct"/>
            <w:vAlign w:val="center"/>
          </w:tcPr>
          <w:p w14:paraId="683E1DF7" w14:textId="77777777" w:rsidR="00395593" w:rsidRPr="005C5CBD" w:rsidRDefault="00395593" w:rsidP="0097041B">
            <w:pPr>
              <w:jc w:val="center"/>
              <w:rPr>
                <w:rFonts w:ascii="Garamond" w:hAnsi="Garamond" w:cs="Calibri"/>
                <w:color w:val="FF0000"/>
                <w:sz w:val="24"/>
                <w:szCs w:val="24"/>
              </w:rPr>
            </w:pPr>
            <w:r w:rsidRPr="005C5CBD">
              <w:rPr>
                <w:rFonts w:ascii="Garamond" w:hAnsi="Garamond" w:cs="Calibri"/>
                <w:color w:val="FF0000"/>
                <w:sz w:val="24"/>
                <w:szCs w:val="24"/>
              </w:rPr>
              <w:t>Outros descontos (OUTDES)</w:t>
            </w:r>
          </w:p>
        </w:tc>
        <w:tc>
          <w:tcPr>
            <w:tcW w:w="728" w:type="pct"/>
            <w:vAlign w:val="center"/>
          </w:tcPr>
          <w:p w14:paraId="32108BBC" w14:textId="77777777" w:rsidR="00395593" w:rsidRPr="005C5CBD" w:rsidRDefault="00395593" w:rsidP="0097041B">
            <w:pPr>
              <w:jc w:val="center"/>
              <w:rPr>
                <w:rFonts w:ascii="Garamond" w:hAnsi="Garamond" w:cs="Calibri"/>
                <w:color w:val="FF0000"/>
                <w:sz w:val="24"/>
                <w:szCs w:val="24"/>
              </w:rPr>
            </w:pPr>
            <w:r w:rsidRPr="005C5CBD">
              <w:rPr>
                <w:rFonts w:ascii="Garamond" w:hAnsi="Garamond" w:cs="Calibri"/>
                <w:color w:val="FF0000"/>
                <w:sz w:val="24"/>
                <w:szCs w:val="24"/>
              </w:rPr>
              <w:t>Abatimentos (ABAT)</w:t>
            </w:r>
          </w:p>
        </w:tc>
        <w:tc>
          <w:tcPr>
            <w:tcW w:w="787" w:type="pct"/>
            <w:vAlign w:val="center"/>
            <w:hideMark/>
          </w:tcPr>
          <w:p w14:paraId="3FCD8091"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Frete da unidade de produção ou armazenagem para o cliente (FRETINTCLI)</w:t>
            </w:r>
          </w:p>
        </w:tc>
        <w:tc>
          <w:tcPr>
            <w:tcW w:w="787" w:type="pct"/>
            <w:vAlign w:val="center"/>
            <w:hideMark/>
          </w:tcPr>
          <w:p w14:paraId="49CA0946"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Frete da unidade de produção para o local de armazenagem (FRETINT)</w:t>
            </w:r>
          </w:p>
        </w:tc>
        <w:tc>
          <w:tcPr>
            <w:tcW w:w="787" w:type="pct"/>
            <w:vAlign w:val="center"/>
            <w:hideMark/>
          </w:tcPr>
          <w:p w14:paraId="66D2B106"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Despesas de armazenagem pré-venda (DARMPV)</w:t>
            </w:r>
          </w:p>
        </w:tc>
      </w:tr>
    </w:tbl>
    <w:p w14:paraId="513BC3C3" w14:textId="77777777" w:rsidR="00395593" w:rsidRPr="005C5CBD" w:rsidRDefault="00395593" w:rsidP="00E15FBB">
      <w:pPr>
        <w:tabs>
          <w:tab w:val="center" w:pos="6379"/>
          <w:tab w:val="center" w:pos="7513"/>
        </w:tabs>
        <w:spacing w:after="0" w:line="240" w:lineRule="auto"/>
        <w:jc w:val="center"/>
        <w:rPr>
          <w:rFonts w:ascii="Garamond" w:eastAsia="Calibri" w:hAnsi="Garamond" w:cs="Calibri"/>
          <w:b/>
          <w:sz w:val="24"/>
          <w:szCs w:val="24"/>
        </w:rPr>
      </w:pPr>
    </w:p>
    <w:tbl>
      <w:tblPr>
        <w:tblStyle w:val="Tabelacomgrade1"/>
        <w:tblW w:w="5000" w:type="pct"/>
        <w:tblLook w:val="04A0" w:firstRow="1" w:lastRow="0" w:firstColumn="1" w:lastColumn="0" w:noHBand="0" w:noVBand="1"/>
      </w:tblPr>
      <w:tblGrid>
        <w:gridCol w:w="1364"/>
        <w:gridCol w:w="1080"/>
        <w:gridCol w:w="1434"/>
        <w:gridCol w:w="1221"/>
        <w:gridCol w:w="1257"/>
        <w:gridCol w:w="1628"/>
        <w:gridCol w:w="1628"/>
      </w:tblGrid>
      <w:tr w:rsidR="00395593" w:rsidRPr="00AC0363" w14:paraId="79E230D6" w14:textId="77777777" w:rsidTr="005C5CBD">
        <w:trPr>
          <w:trHeight w:val="300"/>
        </w:trPr>
        <w:tc>
          <w:tcPr>
            <w:tcW w:w="709" w:type="pct"/>
            <w:noWrap/>
            <w:vAlign w:val="center"/>
            <w:hideMark/>
          </w:tcPr>
          <w:p w14:paraId="7CD1F91C"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17.0</w:t>
            </w:r>
          </w:p>
        </w:tc>
        <w:tc>
          <w:tcPr>
            <w:tcW w:w="562" w:type="pct"/>
            <w:noWrap/>
            <w:vAlign w:val="center"/>
            <w:hideMark/>
          </w:tcPr>
          <w:p w14:paraId="1E4EAF3E"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18.0</w:t>
            </w:r>
          </w:p>
        </w:tc>
        <w:tc>
          <w:tcPr>
            <w:tcW w:w="746" w:type="pct"/>
            <w:noWrap/>
            <w:vAlign w:val="center"/>
            <w:hideMark/>
          </w:tcPr>
          <w:p w14:paraId="4BA5B1F8"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19.1</w:t>
            </w:r>
          </w:p>
        </w:tc>
        <w:tc>
          <w:tcPr>
            <w:tcW w:w="635" w:type="pct"/>
            <w:noWrap/>
            <w:vAlign w:val="center"/>
            <w:hideMark/>
          </w:tcPr>
          <w:p w14:paraId="2EA945C5"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19.2</w:t>
            </w:r>
          </w:p>
        </w:tc>
        <w:tc>
          <w:tcPr>
            <w:tcW w:w="654" w:type="pct"/>
            <w:noWrap/>
            <w:vAlign w:val="center"/>
            <w:hideMark/>
          </w:tcPr>
          <w:p w14:paraId="2EE665C4"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19.3</w:t>
            </w:r>
          </w:p>
        </w:tc>
        <w:tc>
          <w:tcPr>
            <w:tcW w:w="847" w:type="pct"/>
            <w:noWrap/>
            <w:vAlign w:val="center"/>
            <w:hideMark/>
          </w:tcPr>
          <w:p w14:paraId="57DAE9D1"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19.4</w:t>
            </w:r>
          </w:p>
        </w:tc>
        <w:tc>
          <w:tcPr>
            <w:tcW w:w="847" w:type="pct"/>
            <w:noWrap/>
            <w:vAlign w:val="center"/>
            <w:hideMark/>
          </w:tcPr>
          <w:p w14:paraId="0448DA0F"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20.0</w:t>
            </w:r>
          </w:p>
        </w:tc>
      </w:tr>
      <w:tr w:rsidR="00395593" w:rsidRPr="00AC0363" w14:paraId="4147FC27" w14:textId="77777777" w:rsidTr="005C5CBD">
        <w:trPr>
          <w:trHeight w:val="1200"/>
        </w:trPr>
        <w:tc>
          <w:tcPr>
            <w:tcW w:w="709" w:type="pct"/>
            <w:vAlign w:val="center"/>
            <w:hideMark/>
          </w:tcPr>
          <w:p w14:paraId="75787534"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Seguro interno (SEGINT)</w:t>
            </w:r>
          </w:p>
        </w:tc>
        <w:tc>
          <w:tcPr>
            <w:tcW w:w="562" w:type="pct"/>
            <w:vAlign w:val="center"/>
            <w:hideMark/>
          </w:tcPr>
          <w:p w14:paraId="293548A6"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Destino (DEST)</w:t>
            </w:r>
          </w:p>
        </w:tc>
        <w:tc>
          <w:tcPr>
            <w:tcW w:w="746" w:type="pct"/>
            <w:vAlign w:val="center"/>
          </w:tcPr>
          <w:p w14:paraId="7C30CC69"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ICMS (ICMS)</w:t>
            </w:r>
          </w:p>
        </w:tc>
        <w:tc>
          <w:tcPr>
            <w:tcW w:w="635" w:type="pct"/>
            <w:vAlign w:val="center"/>
          </w:tcPr>
          <w:p w14:paraId="771EDC9D"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IPI (IPI)</w:t>
            </w:r>
          </w:p>
        </w:tc>
        <w:tc>
          <w:tcPr>
            <w:tcW w:w="654" w:type="pct"/>
            <w:vAlign w:val="center"/>
          </w:tcPr>
          <w:p w14:paraId="760278A1"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PIS (PIS)</w:t>
            </w:r>
          </w:p>
        </w:tc>
        <w:tc>
          <w:tcPr>
            <w:tcW w:w="847" w:type="pct"/>
            <w:vAlign w:val="center"/>
          </w:tcPr>
          <w:p w14:paraId="57DAB398" w14:textId="77777777" w:rsidR="00395593" w:rsidRPr="005C5CBD" w:rsidRDefault="00395593" w:rsidP="0097041B">
            <w:pPr>
              <w:jc w:val="center"/>
              <w:rPr>
                <w:rFonts w:ascii="Garamond" w:hAnsi="Garamond" w:cs="Calibri"/>
                <w:color w:val="000000"/>
                <w:sz w:val="24"/>
                <w:szCs w:val="24"/>
              </w:rPr>
            </w:pPr>
            <w:r w:rsidRPr="005C5CBD">
              <w:rPr>
                <w:rFonts w:ascii="Garamond" w:hAnsi="Garamond" w:cs="Calibri"/>
                <w:color w:val="000000"/>
                <w:sz w:val="24"/>
                <w:szCs w:val="24"/>
              </w:rPr>
              <w:t>COFINS (COFINS)</w:t>
            </w:r>
          </w:p>
        </w:tc>
        <w:tc>
          <w:tcPr>
            <w:tcW w:w="847" w:type="pct"/>
            <w:vAlign w:val="center"/>
          </w:tcPr>
          <w:p w14:paraId="7C28B8D7" w14:textId="77777777" w:rsidR="00395593" w:rsidRPr="005C5CBD" w:rsidRDefault="00395593" w:rsidP="0097041B">
            <w:pPr>
              <w:jc w:val="center"/>
              <w:rPr>
                <w:rFonts w:ascii="Garamond" w:hAnsi="Garamond" w:cs="Calibri"/>
                <w:color w:val="FF0000"/>
                <w:sz w:val="24"/>
                <w:szCs w:val="24"/>
              </w:rPr>
            </w:pPr>
            <w:r w:rsidRPr="005C5CBD">
              <w:rPr>
                <w:rFonts w:ascii="Garamond" w:hAnsi="Garamond" w:cs="Calibri"/>
                <w:color w:val="FF0000"/>
                <w:sz w:val="24"/>
                <w:szCs w:val="24"/>
              </w:rPr>
              <w:t>Outros</w:t>
            </w:r>
          </w:p>
        </w:tc>
      </w:tr>
    </w:tbl>
    <w:p w14:paraId="01A13B50" w14:textId="77777777" w:rsidR="00395593" w:rsidRPr="005C5CBD" w:rsidRDefault="00395593" w:rsidP="00E15FBB">
      <w:pPr>
        <w:spacing w:after="0" w:line="240" w:lineRule="auto"/>
        <w:jc w:val="center"/>
        <w:rPr>
          <w:rFonts w:ascii="Garamond" w:eastAsia="Calibri" w:hAnsi="Garamond" w:cs="Calibri"/>
          <w:sz w:val="24"/>
          <w:szCs w:val="24"/>
        </w:rPr>
      </w:pPr>
    </w:p>
    <w:tbl>
      <w:tblPr>
        <w:tblStyle w:val="Tabelacomgrade1"/>
        <w:tblW w:w="5000" w:type="pct"/>
        <w:tblBorders>
          <w:insideH w:val="none" w:sz="0" w:space="0" w:color="auto"/>
          <w:insideV w:val="none" w:sz="0" w:space="0" w:color="auto"/>
        </w:tblBorders>
        <w:tblLook w:val="04A0" w:firstRow="1" w:lastRow="0" w:firstColumn="1" w:lastColumn="0" w:noHBand="0" w:noVBand="1"/>
      </w:tblPr>
      <w:tblGrid>
        <w:gridCol w:w="9612"/>
      </w:tblGrid>
      <w:tr w:rsidR="00E15FBB" w:rsidRPr="005C5CBD" w14:paraId="73CCD261" w14:textId="77777777" w:rsidTr="005C5CBD">
        <w:tc>
          <w:tcPr>
            <w:tcW w:w="5000" w:type="pct"/>
          </w:tcPr>
          <w:p w14:paraId="216D290E"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Preencher os campos deste apêndice conforme descrição abaixo:</w:t>
            </w:r>
          </w:p>
        </w:tc>
      </w:tr>
      <w:tr w:rsidR="00E15FBB" w:rsidRPr="005C5CBD" w14:paraId="4877FCF3" w14:textId="77777777" w:rsidTr="005C5CBD">
        <w:tc>
          <w:tcPr>
            <w:tcW w:w="5000" w:type="pct"/>
          </w:tcPr>
          <w:p w14:paraId="13AFC5D8" w14:textId="77777777" w:rsidR="00E15FBB" w:rsidRPr="005C5CBD" w:rsidRDefault="00E15FBB" w:rsidP="00E15FBB">
            <w:pPr>
              <w:rPr>
                <w:rFonts w:ascii="Garamond" w:eastAsia="Calibri" w:hAnsi="Garamond" w:cs="Calibri"/>
                <w:sz w:val="24"/>
                <w:szCs w:val="24"/>
              </w:rPr>
            </w:pPr>
          </w:p>
          <w:p w14:paraId="5945AF3B"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0.0 – Indicar o nome da empresa cuja venda está sendo reportada.</w:t>
            </w:r>
          </w:p>
          <w:p w14:paraId="61605A60" w14:textId="77777777" w:rsidR="00E15FBB" w:rsidRPr="005C5CBD" w:rsidRDefault="00E15FBB" w:rsidP="00E15FBB">
            <w:pPr>
              <w:rPr>
                <w:rFonts w:ascii="Garamond" w:eastAsia="Calibri" w:hAnsi="Garamond" w:cs="Calibri"/>
                <w:sz w:val="24"/>
                <w:szCs w:val="24"/>
              </w:rPr>
            </w:pPr>
          </w:p>
        </w:tc>
      </w:tr>
      <w:tr w:rsidR="00E15FBB" w:rsidRPr="005C5CBD" w14:paraId="4D07ACC8" w14:textId="77777777" w:rsidTr="005C5CBD">
        <w:tc>
          <w:tcPr>
            <w:tcW w:w="5000" w:type="pct"/>
          </w:tcPr>
          <w:p w14:paraId="3E2FDB95"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 xml:space="preserve">Campo 1.0 - Código do produto (CODPROD): informar o código comercial utilizado pela empresa no curso normal de suas operações de venda. </w:t>
            </w:r>
          </w:p>
        </w:tc>
      </w:tr>
      <w:tr w:rsidR="00E15FBB" w:rsidRPr="005C5CBD" w14:paraId="5109AB35" w14:textId="77777777" w:rsidTr="005C5CBD">
        <w:tc>
          <w:tcPr>
            <w:tcW w:w="5000" w:type="pct"/>
          </w:tcPr>
          <w:p w14:paraId="3A7C63B3" w14:textId="77777777" w:rsidR="00E15FBB" w:rsidRPr="005C5CBD" w:rsidRDefault="00E15FBB" w:rsidP="00E15FBB">
            <w:pPr>
              <w:rPr>
                <w:rFonts w:ascii="Garamond" w:eastAsia="Calibri" w:hAnsi="Garamond" w:cs="Calibri"/>
                <w:sz w:val="24"/>
                <w:szCs w:val="24"/>
              </w:rPr>
            </w:pPr>
          </w:p>
        </w:tc>
      </w:tr>
      <w:tr w:rsidR="00E15FBB" w:rsidRPr="005C5CBD" w14:paraId="63F7A576" w14:textId="77777777" w:rsidTr="005C5CBD">
        <w:tc>
          <w:tcPr>
            <w:tcW w:w="5000" w:type="pct"/>
          </w:tcPr>
          <w:p w14:paraId="7AFA00A5"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 xml:space="preserve">Campo 2.0 - Código de Identificação do Produto (CODIP): informar o CODIP de acordo com as características apresentadas na petição. </w:t>
            </w:r>
          </w:p>
        </w:tc>
      </w:tr>
      <w:tr w:rsidR="00E15FBB" w:rsidRPr="005C5CBD" w14:paraId="6E76BAF8" w14:textId="77777777" w:rsidTr="005C5CBD">
        <w:tc>
          <w:tcPr>
            <w:tcW w:w="5000" w:type="pct"/>
          </w:tcPr>
          <w:p w14:paraId="2E9392E2" w14:textId="77777777" w:rsidR="00E15FBB" w:rsidRPr="005C5CBD" w:rsidRDefault="00E15FBB" w:rsidP="00E15FBB">
            <w:pPr>
              <w:rPr>
                <w:rFonts w:ascii="Garamond" w:eastAsia="Calibri" w:hAnsi="Garamond" w:cs="Calibri"/>
                <w:sz w:val="24"/>
                <w:szCs w:val="24"/>
              </w:rPr>
            </w:pPr>
          </w:p>
        </w:tc>
      </w:tr>
      <w:tr w:rsidR="00E15FBB" w:rsidRPr="005C5CBD" w14:paraId="167C4858" w14:textId="77777777" w:rsidTr="005C5CBD">
        <w:tc>
          <w:tcPr>
            <w:tcW w:w="5000" w:type="pct"/>
          </w:tcPr>
          <w:p w14:paraId="5BEFB840"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3.0 - Número da fatura/nota fiscal de venda (FAT): informar o número da fatura relacionado no sistema contábil da empresa.</w:t>
            </w:r>
          </w:p>
        </w:tc>
      </w:tr>
      <w:tr w:rsidR="00E15FBB" w:rsidRPr="005C5CBD" w14:paraId="6BC8C806" w14:textId="77777777" w:rsidTr="005C5CBD">
        <w:tc>
          <w:tcPr>
            <w:tcW w:w="5000" w:type="pct"/>
          </w:tcPr>
          <w:p w14:paraId="38F00A52" w14:textId="77777777" w:rsidR="00E15FBB" w:rsidRPr="005C5CBD" w:rsidRDefault="00E15FBB" w:rsidP="00E15FBB">
            <w:pPr>
              <w:rPr>
                <w:rFonts w:ascii="Garamond" w:eastAsia="Calibri" w:hAnsi="Garamond" w:cs="Calibri"/>
                <w:sz w:val="24"/>
                <w:szCs w:val="24"/>
              </w:rPr>
            </w:pPr>
          </w:p>
        </w:tc>
      </w:tr>
      <w:tr w:rsidR="00E15FBB" w:rsidRPr="005C5CBD" w14:paraId="114BD1F0" w14:textId="77777777" w:rsidTr="005C5CBD">
        <w:tc>
          <w:tcPr>
            <w:tcW w:w="5000" w:type="pct"/>
          </w:tcPr>
          <w:p w14:paraId="10AE7F06"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4.0 - Data da fatura (DATFAT): informar a data da fatura/nota fiscal.</w:t>
            </w:r>
          </w:p>
        </w:tc>
      </w:tr>
      <w:tr w:rsidR="00E15FBB" w:rsidRPr="005C5CBD" w14:paraId="34092DBB" w14:textId="77777777" w:rsidTr="005C5CBD">
        <w:tc>
          <w:tcPr>
            <w:tcW w:w="5000" w:type="pct"/>
          </w:tcPr>
          <w:p w14:paraId="24C1A5FA" w14:textId="77777777" w:rsidR="00E15FBB" w:rsidRPr="005C5CBD" w:rsidRDefault="00E15FBB" w:rsidP="00E15FBB">
            <w:pPr>
              <w:rPr>
                <w:rFonts w:ascii="Garamond" w:eastAsia="Calibri" w:hAnsi="Garamond" w:cs="Calibri"/>
                <w:sz w:val="24"/>
                <w:szCs w:val="24"/>
              </w:rPr>
            </w:pPr>
          </w:p>
        </w:tc>
      </w:tr>
      <w:tr w:rsidR="00E15FBB" w:rsidRPr="005C5CBD" w14:paraId="3B7FD8A6" w14:textId="77777777" w:rsidTr="005C5CBD">
        <w:tc>
          <w:tcPr>
            <w:tcW w:w="5000" w:type="pct"/>
          </w:tcPr>
          <w:p w14:paraId="39D06F7F" w14:textId="77777777" w:rsidR="00A9591C" w:rsidRDefault="00E15FBB" w:rsidP="00E15FBB">
            <w:pPr>
              <w:rPr>
                <w:rFonts w:ascii="Garamond" w:eastAsia="Calibri" w:hAnsi="Garamond" w:cs="Calibri"/>
                <w:sz w:val="24"/>
                <w:szCs w:val="24"/>
              </w:rPr>
            </w:pPr>
            <w:r w:rsidRPr="005C5CBD">
              <w:rPr>
                <w:rFonts w:ascii="Garamond" w:eastAsia="Calibri" w:hAnsi="Garamond" w:cs="Calibri"/>
                <w:sz w:val="24"/>
                <w:szCs w:val="24"/>
              </w:rPr>
              <w:t>Campo 5.0 - Data do embarque (DATEMB): informar a data de embarque da fábrica para o cliente ou do local de distribuição para o cliente. Entende-se por local de distribuição qualquer galpão ou armazém não localizado junto à</w:t>
            </w:r>
          </w:p>
          <w:p w14:paraId="5F2C2477" w14:textId="280A9A5B"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 xml:space="preserve"> unidade fabril da empresa.</w:t>
            </w:r>
          </w:p>
        </w:tc>
      </w:tr>
      <w:tr w:rsidR="00E15FBB" w:rsidRPr="005C5CBD" w14:paraId="53CE2084" w14:textId="77777777" w:rsidTr="005C5CBD">
        <w:tc>
          <w:tcPr>
            <w:tcW w:w="5000" w:type="pct"/>
          </w:tcPr>
          <w:p w14:paraId="32A735F7" w14:textId="77777777" w:rsidR="00E15FBB" w:rsidRPr="005C5CBD" w:rsidRDefault="00E15FBB" w:rsidP="00E15FBB">
            <w:pPr>
              <w:rPr>
                <w:rFonts w:ascii="Garamond" w:eastAsia="Calibri" w:hAnsi="Garamond" w:cs="Calibri"/>
                <w:sz w:val="24"/>
                <w:szCs w:val="24"/>
              </w:rPr>
            </w:pPr>
          </w:p>
        </w:tc>
      </w:tr>
      <w:tr w:rsidR="00E15FBB" w:rsidRPr="005C5CBD" w14:paraId="2B5118AA" w14:textId="77777777" w:rsidTr="005C5CBD">
        <w:tc>
          <w:tcPr>
            <w:tcW w:w="5000" w:type="pct"/>
          </w:tcPr>
          <w:p w14:paraId="25C2555A"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6.0 – Código do Cliente (CLICOD): informar o código de cada um dos clientes. Fornecer a lista completa de clientes, relacionando o código e a respectiva razão social.</w:t>
            </w:r>
          </w:p>
        </w:tc>
      </w:tr>
      <w:tr w:rsidR="00E15FBB" w:rsidRPr="005C5CBD" w14:paraId="717DE17C" w14:textId="77777777" w:rsidTr="005C5CBD">
        <w:tc>
          <w:tcPr>
            <w:tcW w:w="5000" w:type="pct"/>
          </w:tcPr>
          <w:p w14:paraId="612C09B9" w14:textId="77777777" w:rsidR="00E15FBB" w:rsidRPr="005C5CBD" w:rsidRDefault="00E15FBB" w:rsidP="00E15FBB">
            <w:pPr>
              <w:rPr>
                <w:rFonts w:ascii="Garamond" w:eastAsia="Calibri" w:hAnsi="Garamond" w:cs="Calibri"/>
                <w:sz w:val="24"/>
                <w:szCs w:val="24"/>
              </w:rPr>
            </w:pPr>
          </w:p>
        </w:tc>
      </w:tr>
      <w:tr w:rsidR="00E15FBB" w:rsidRPr="005C5CBD" w14:paraId="0DC02886" w14:textId="77777777" w:rsidTr="005C5CBD">
        <w:tc>
          <w:tcPr>
            <w:tcW w:w="5000" w:type="pct"/>
          </w:tcPr>
          <w:p w14:paraId="054045BD" w14:textId="7D60B741" w:rsidR="00E15FBB" w:rsidRPr="005C5CBD" w:rsidRDefault="00E15FBB" w:rsidP="00FA6E43">
            <w:pPr>
              <w:rPr>
                <w:rFonts w:ascii="Garamond" w:eastAsia="Calibri" w:hAnsi="Garamond" w:cs="Calibri"/>
                <w:sz w:val="24"/>
                <w:szCs w:val="24"/>
              </w:rPr>
            </w:pPr>
            <w:r w:rsidRPr="005C5CBD">
              <w:rPr>
                <w:rFonts w:ascii="Garamond" w:eastAsia="Calibri" w:hAnsi="Garamond" w:cs="Calibri"/>
                <w:sz w:val="24"/>
                <w:szCs w:val="24"/>
              </w:rPr>
              <w:t xml:space="preserve">Campo 7.0 – Relação com o cliente (RELCLI): classificar o cliente conforme a classificação abaixo, tendo por base a definição constante do art. </w:t>
            </w:r>
            <w:r w:rsidR="00FA6E43">
              <w:rPr>
                <w:rFonts w:ascii="Garamond" w:eastAsia="Calibri" w:hAnsi="Garamond" w:cs="Calibri"/>
                <w:sz w:val="24"/>
                <w:szCs w:val="24"/>
              </w:rPr>
              <w:t>12</w:t>
            </w:r>
            <w:r w:rsidRPr="005C5CBD">
              <w:rPr>
                <w:rFonts w:ascii="Garamond" w:eastAsia="Calibri" w:hAnsi="Garamond" w:cs="Calibri"/>
                <w:sz w:val="24"/>
                <w:szCs w:val="24"/>
              </w:rPr>
              <w:t>.</w:t>
            </w:r>
          </w:p>
        </w:tc>
      </w:tr>
      <w:tr w:rsidR="00E15FBB" w:rsidRPr="005C5CBD" w14:paraId="54A884FD" w14:textId="77777777" w:rsidTr="005C5CBD">
        <w:tc>
          <w:tcPr>
            <w:tcW w:w="5000" w:type="pct"/>
          </w:tcPr>
          <w:p w14:paraId="1FDF4D63"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1 = não relacionado</w:t>
            </w:r>
          </w:p>
        </w:tc>
      </w:tr>
      <w:tr w:rsidR="00E15FBB" w:rsidRPr="005C5CBD" w14:paraId="631974E1" w14:textId="77777777" w:rsidTr="005C5CBD">
        <w:tc>
          <w:tcPr>
            <w:tcW w:w="5000" w:type="pct"/>
          </w:tcPr>
          <w:p w14:paraId="6002B653"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 xml:space="preserve">2 = relacionado </w:t>
            </w:r>
          </w:p>
        </w:tc>
      </w:tr>
      <w:tr w:rsidR="00E15FBB" w:rsidRPr="005C5CBD" w14:paraId="0A5EDE80" w14:textId="77777777" w:rsidTr="005C5CBD">
        <w:tc>
          <w:tcPr>
            <w:tcW w:w="5000" w:type="pct"/>
          </w:tcPr>
          <w:p w14:paraId="62A5B6B3" w14:textId="77777777" w:rsidR="00E15FBB" w:rsidRPr="005C5CBD" w:rsidRDefault="00E15FBB" w:rsidP="00E15FBB">
            <w:pPr>
              <w:rPr>
                <w:rFonts w:ascii="Garamond" w:eastAsia="Calibri" w:hAnsi="Garamond" w:cs="Calibri"/>
                <w:sz w:val="24"/>
                <w:szCs w:val="24"/>
              </w:rPr>
            </w:pPr>
          </w:p>
        </w:tc>
      </w:tr>
      <w:tr w:rsidR="00E15FBB" w:rsidRPr="005C5CBD" w14:paraId="03BA1A89" w14:textId="77777777" w:rsidTr="005C5CBD">
        <w:tc>
          <w:tcPr>
            <w:tcW w:w="5000" w:type="pct"/>
          </w:tcPr>
          <w:p w14:paraId="748A966F"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8.0 - Categoria do cliente (CATCLI): informar a categoria do cliente.</w:t>
            </w:r>
          </w:p>
        </w:tc>
      </w:tr>
      <w:tr w:rsidR="00E15FBB" w:rsidRPr="005C5CBD" w14:paraId="1EB68A7D" w14:textId="77777777" w:rsidTr="005C5CBD">
        <w:tc>
          <w:tcPr>
            <w:tcW w:w="5000" w:type="pct"/>
          </w:tcPr>
          <w:p w14:paraId="1598B724"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1 = usuário/consumidor final</w:t>
            </w:r>
          </w:p>
        </w:tc>
      </w:tr>
      <w:tr w:rsidR="00E15FBB" w:rsidRPr="005C5CBD" w14:paraId="7BC83098" w14:textId="77777777" w:rsidTr="005C5CBD">
        <w:tc>
          <w:tcPr>
            <w:tcW w:w="5000" w:type="pct"/>
          </w:tcPr>
          <w:p w14:paraId="5BEBAFE8"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2 = distribuidor autorizado</w:t>
            </w:r>
          </w:p>
        </w:tc>
      </w:tr>
      <w:tr w:rsidR="00E15FBB" w:rsidRPr="005C5CBD" w14:paraId="0F7B1C0F" w14:textId="77777777" w:rsidTr="005C5CBD">
        <w:tc>
          <w:tcPr>
            <w:tcW w:w="5000" w:type="pct"/>
          </w:tcPr>
          <w:p w14:paraId="49FD24D7"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3 = outros distribuidores</w:t>
            </w:r>
          </w:p>
        </w:tc>
      </w:tr>
      <w:tr w:rsidR="00E15FBB" w:rsidRPr="005C5CBD" w14:paraId="15C86851" w14:textId="77777777" w:rsidTr="005C5CBD">
        <w:tc>
          <w:tcPr>
            <w:tcW w:w="5000" w:type="pct"/>
          </w:tcPr>
          <w:p w14:paraId="00F017A9"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4 até n = outras (especificar)</w:t>
            </w:r>
          </w:p>
        </w:tc>
      </w:tr>
      <w:tr w:rsidR="00E15FBB" w:rsidRPr="005C5CBD" w14:paraId="4C73A610" w14:textId="77777777" w:rsidTr="005C5CBD">
        <w:tc>
          <w:tcPr>
            <w:tcW w:w="5000" w:type="pct"/>
          </w:tcPr>
          <w:p w14:paraId="4456AE90" w14:textId="77777777" w:rsidR="00E15FBB" w:rsidRPr="005C5CBD" w:rsidRDefault="00E15FBB" w:rsidP="00E15FBB">
            <w:pPr>
              <w:rPr>
                <w:rFonts w:ascii="Garamond" w:eastAsia="Calibri" w:hAnsi="Garamond" w:cs="Calibri"/>
                <w:sz w:val="24"/>
                <w:szCs w:val="24"/>
              </w:rPr>
            </w:pPr>
          </w:p>
        </w:tc>
      </w:tr>
      <w:tr w:rsidR="00E15FBB" w:rsidRPr="005C5CBD" w14:paraId="74EF36A4" w14:textId="77777777" w:rsidTr="005C5CBD">
        <w:tc>
          <w:tcPr>
            <w:tcW w:w="5000" w:type="pct"/>
          </w:tcPr>
          <w:p w14:paraId="0BB68A95"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9.0 - Data de recebimento do pagamento (PAGDT): informar a data de registro do recebimento do pagamento efetuado pelo cliente. Caso não seja possível recuperar tal data, informar o prazo médio de pagamento acordado. Se uma fatura em particular não foi paga, deixar o campo em branco.</w:t>
            </w:r>
          </w:p>
        </w:tc>
      </w:tr>
      <w:tr w:rsidR="00E15FBB" w:rsidRPr="005C5CBD" w14:paraId="3CD49F8D" w14:textId="77777777" w:rsidTr="005C5CBD">
        <w:tc>
          <w:tcPr>
            <w:tcW w:w="5000" w:type="pct"/>
          </w:tcPr>
          <w:p w14:paraId="18101A7B" w14:textId="77777777" w:rsidR="00E15FBB" w:rsidRPr="005C5CBD" w:rsidRDefault="00E15FBB" w:rsidP="00E15FBB">
            <w:pPr>
              <w:rPr>
                <w:rFonts w:ascii="Garamond" w:eastAsia="Calibri" w:hAnsi="Garamond" w:cs="Calibri"/>
                <w:sz w:val="24"/>
                <w:szCs w:val="24"/>
              </w:rPr>
            </w:pPr>
          </w:p>
        </w:tc>
      </w:tr>
      <w:tr w:rsidR="00E15FBB" w:rsidRPr="005C5CBD" w14:paraId="5B850572" w14:textId="77777777" w:rsidTr="005C5CBD">
        <w:tc>
          <w:tcPr>
            <w:tcW w:w="5000" w:type="pct"/>
          </w:tcPr>
          <w:p w14:paraId="43F9A6E9"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10.0 - Termos de Entrega (TERENT): informar o termo de entrega. Descrever o termo de entrega, indicando os códigos utilizados e o significado de cada um e esclarecer as responsabilidades de cada parte (vendedor e comprador).</w:t>
            </w:r>
          </w:p>
        </w:tc>
      </w:tr>
      <w:tr w:rsidR="00E15FBB" w:rsidRPr="005C5CBD" w14:paraId="329DA342" w14:textId="77777777" w:rsidTr="005C5CBD">
        <w:tc>
          <w:tcPr>
            <w:tcW w:w="5000" w:type="pct"/>
          </w:tcPr>
          <w:p w14:paraId="192EC739"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1 = posto cliente</w:t>
            </w:r>
          </w:p>
        </w:tc>
      </w:tr>
      <w:tr w:rsidR="00E15FBB" w:rsidRPr="005C5CBD" w14:paraId="0E95E7BB" w14:textId="77777777" w:rsidTr="005C5CBD">
        <w:tc>
          <w:tcPr>
            <w:tcW w:w="5000" w:type="pct"/>
          </w:tcPr>
          <w:p w14:paraId="648CF4BD"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2 = posto lugar determinado pelo comprador</w:t>
            </w:r>
          </w:p>
        </w:tc>
      </w:tr>
      <w:tr w:rsidR="00E15FBB" w:rsidRPr="005C5CBD" w14:paraId="7D27FB7A" w14:textId="77777777" w:rsidTr="005C5CBD">
        <w:tc>
          <w:tcPr>
            <w:tcW w:w="5000" w:type="pct"/>
          </w:tcPr>
          <w:p w14:paraId="27E7A815"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3 = ex fabrica</w:t>
            </w:r>
          </w:p>
        </w:tc>
      </w:tr>
      <w:tr w:rsidR="00E15FBB" w:rsidRPr="005C5CBD" w14:paraId="264BD3BD" w14:textId="77777777" w:rsidTr="005C5CBD">
        <w:tc>
          <w:tcPr>
            <w:tcW w:w="5000" w:type="pct"/>
          </w:tcPr>
          <w:p w14:paraId="01E76CF6"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4 até n =  outros termos de entrega (especificar)</w:t>
            </w:r>
          </w:p>
        </w:tc>
      </w:tr>
      <w:tr w:rsidR="00E15FBB" w:rsidRPr="005C5CBD" w14:paraId="0C09FF6A" w14:textId="77777777" w:rsidTr="005C5CBD">
        <w:tc>
          <w:tcPr>
            <w:tcW w:w="5000" w:type="pct"/>
          </w:tcPr>
          <w:p w14:paraId="4606C03F" w14:textId="77777777" w:rsidR="00E15FBB" w:rsidRPr="005C5CBD" w:rsidRDefault="00E15FBB" w:rsidP="00E15FBB">
            <w:pPr>
              <w:rPr>
                <w:rFonts w:ascii="Garamond" w:eastAsia="Calibri" w:hAnsi="Garamond" w:cs="Calibri"/>
                <w:sz w:val="24"/>
                <w:szCs w:val="24"/>
              </w:rPr>
            </w:pPr>
          </w:p>
        </w:tc>
      </w:tr>
      <w:tr w:rsidR="00E15FBB" w:rsidRPr="005C5CBD" w14:paraId="4ADFD56C" w14:textId="77777777" w:rsidTr="005C5CBD">
        <w:tc>
          <w:tcPr>
            <w:tcW w:w="5000" w:type="pct"/>
          </w:tcPr>
          <w:p w14:paraId="769846C4"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 xml:space="preserve">Campo 11.0 - Quantidade (t) (QTDVEND): informar a quantidade vendida (t) em cada transação. </w:t>
            </w:r>
          </w:p>
        </w:tc>
      </w:tr>
      <w:tr w:rsidR="00E15FBB" w:rsidRPr="005C5CBD" w14:paraId="3A3E9D93" w14:textId="77777777" w:rsidTr="005C5CBD">
        <w:tc>
          <w:tcPr>
            <w:tcW w:w="5000" w:type="pct"/>
          </w:tcPr>
          <w:p w14:paraId="080B72C5" w14:textId="77777777" w:rsidR="00E15FBB" w:rsidRPr="005C5CBD" w:rsidRDefault="00E15FBB" w:rsidP="00E15FBB">
            <w:pPr>
              <w:rPr>
                <w:rFonts w:ascii="Garamond" w:eastAsia="Calibri" w:hAnsi="Garamond" w:cs="Calibri"/>
                <w:sz w:val="24"/>
                <w:szCs w:val="24"/>
              </w:rPr>
            </w:pPr>
          </w:p>
        </w:tc>
      </w:tr>
      <w:tr w:rsidR="00E15FBB" w:rsidRPr="005C5CBD" w14:paraId="39827D7E" w14:textId="77777777" w:rsidTr="005C5CBD">
        <w:tc>
          <w:tcPr>
            <w:tcW w:w="5000" w:type="pct"/>
          </w:tcPr>
          <w:p w14:paraId="0F2FD81D"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 xml:space="preserve">Campo 12.0 - Quantidade (unidade de comercialização) (QTDCOM): informar qual a unidade de comercialização. </w:t>
            </w:r>
          </w:p>
        </w:tc>
      </w:tr>
      <w:tr w:rsidR="00E15FBB" w:rsidRPr="005C5CBD" w14:paraId="6C136DBD" w14:textId="77777777" w:rsidTr="005C5CBD">
        <w:tc>
          <w:tcPr>
            <w:tcW w:w="5000" w:type="pct"/>
          </w:tcPr>
          <w:p w14:paraId="5E152403" w14:textId="77777777" w:rsidR="00E15FBB" w:rsidRPr="005C5CBD" w:rsidRDefault="00E15FBB" w:rsidP="00E15FBB">
            <w:pPr>
              <w:rPr>
                <w:rFonts w:ascii="Garamond" w:eastAsia="Calibri" w:hAnsi="Garamond" w:cs="Calibri"/>
                <w:sz w:val="24"/>
                <w:szCs w:val="24"/>
              </w:rPr>
            </w:pPr>
          </w:p>
        </w:tc>
      </w:tr>
      <w:tr w:rsidR="00E15FBB" w:rsidRPr="005C5CBD" w14:paraId="2036191F" w14:textId="77777777" w:rsidTr="005C5CBD">
        <w:tc>
          <w:tcPr>
            <w:tcW w:w="5000" w:type="pct"/>
          </w:tcPr>
          <w:p w14:paraId="4065E605"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 xml:space="preserve">Campo 13.0 - Preço unitário bruto (PRBRUTO): informar o preço unitário bruto. Indicar em que unidade está sendo informado esse preço (R$/t ou R$/unidade de comercialização). Os descontos e os abatimentos devem ser registrados separadamente nos campos 14 e 15, respectivamente. Informar os tributos sobre vendas incluídos neste preço. </w:t>
            </w:r>
          </w:p>
        </w:tc>
      </w:tr>
      <w:tr w:rsidR="00E15FBB" w:rsidRPr="005C5CBD" w14:paraId="689C78FD" w14:textId="77777777" w:rsidTr="005C5CBD">
        <w:tc>
          <w:tcPr>
            <w:tcW w:w="5000" w:type="pct"/>
          </w:tcPr>
          <w:p w14:paraId="566E82CB" w14:textId="77777777" w:rsidR="00E15FBB" w:rsidRPr="005C5CBD" w:rsidRDefault="00E15FBB" w:rsidP="00E15FBB">
            <w:pPr>
              <w:rPr>
                <w:rFonts w:ascii="Garamond" w:eastAsia="Calibri" w:hAnsi="Garamond" w:cs="Calibri"/>
                <w:sz w:val="24"/>
                <w:szCs w:val="24"/>
              </w:rPr>
            </w:pPr>
          </w:p>
        </w:tc>
      </w:tr>
      <w:tr w:rsidR="00E15FBB" w:rsidRPr="005C5CBD" w14:paraId="399C1145" w14:textId="77777777" w:rsidTr="005C5CBD">
        <w:tc>
          <w:tcPr>
            <w:tcW w:w="5000" w:type="pct"/>
          </w:tcPr>
          <w:p w14:paraId="55DA7A8B"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Campos 14 e 15 - Somente devem ser preenchidos caso o desconto/abatimento tenha sido concedido após a emissão da fatura/nota fiscal.</w:t>
            </w:r>
          </w:p>
        </w:tc>
      </w:tr>
      <w:tr w:rsidR="00E15FBB" w:rsidRPr="005C5CBD" w14:paraId="05E3C9B1" w14:textId="77777777" w:rsidTr="005C5CBD">
        <w:tc>
          <w:tcPr>
            <w:tcW w:w="5000" w:type="pct"/>
          </w:tcPr>
          <w:p w14:paraId="334F57B0" w14:textId="77777777" w:rsidR="00E15FBB" w:rsidRPr="005C5CBD" w:rsidRDefault="00E15FBB" w:rsidP="00E15FBB">
            <w:pPr>
              <w:rPr>
                <w:rFonts w:ascii="Garamond" w:eastAsia="Calibri" w:hAnsi="Garamond" w:cs="Calibri"/>
                <w:sz w:val="24"/>
                <w:szCs w:val="24"/>
              </w:rPr>
            </w:pPr>
          </w:p>
        </w:tc>
      </w:tr>
      <w:tr w:rsidR="00E15FBB" w:rsidRPr="005C5CBD" w14:paraId="0C91504E" w14:textId="77777777" w:rsidTr="005C5CBD">
        <w:tc>
          <w:tcPr>
            <w:tcW w:w="5000" w:type="pct"/>
          </w:tcPr>
          <w:p w14:paraId="0EBD3B1C"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14.1 - Desconto para pagamento antecipado (DESPANT): caso o pagamento tenha sido antecipado em relação à previsão originalmente consignada na fatura, e, por essa razão, tenha sido concedido desconto ao comprador, informar o valor unitário (R$/t ou R$/unidade de comercialização), esclarecendo se tal desconto foi concedido na forma de crédito, desconto em vendas futuras ou em mercadoria. Explicar a política da empresa para concessão de desconto para pagamento antecipado. Caso tal desconto varie de acordo com o cliente, explicar a política adotada para cada categoria de cliente. Explicar como foi calculado o desconto unitário.</w:t>
            </w:r>
          </w:p>
        </w:tc>
      </w:tr>
      <w:tr w:rsidR="00E15FBB" w:rsidRPr="005C5CBD" w14:paraId="6954938D" w14:textId="77777777" w:rsidTr="005C5CBD">
        <w:tc>
          <w:tcPr>
            <w:tcW w:w="5000" w:type="pct"/>
          </w:tcPr>
          <w:p w14:paraId="3DC27D7A" w14:textId="77777777" w:rsidR="00E15FBB" w:rsidRPr="005C5CBD" w:rsidRDefault="00E15FBB" w:rsidP="00E15FBB">
            <w:pPr>
              <w:rPr>
                <w:rFonts w:ascii="Garamond" w:eastAsia="Calibri" w:hAnsi="Garamond" w:cs="Calibri"/>
                <w:sz w:val="24"/>
                <w:szCs w:val="24"/>
              </w:rPr>
            </w:pPr>
          </w:p>
        </w:tc>
      </w:tr>
      <w:tr w:rsidR="00E15FBB" w:rsidRPr="005C5CBD" w14:paraId="535868D2" w14:textId="77777777" w:rsidTr="005C5CBD">
        <w:tc>
          <w:tcPr>
            <w:tcW w:w="5000" w:type="pct"/>
          </w:tcPr>
          <w:p w14:paraId="6CAD6714"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 xml:space="preserve">Campo 14.2 - Desconto relativo à quantidade (DESQTD): caso tenha sido concedido desconto em razão da quantidade vendida, informar o valor unitário desse desconto (R$/t ou R$/unidade de comercialização). Explicar a política da empresa para concessão de desconto relativo à quantidade, esclarecendo se tal desconto foi concedido na forma de crédito, desconto em vendas futuras ou em mercadoria. Caso tal desconto varie de acordo com o cliente, explicar a política adotada para cada categoria de cliente. Explicar como foi calculado o desconto unitário. </w:t>
            </w:r>
          </w:p>
        </w:tc>
      </w:tr>
      <w:tr w:rsidR="00E15FBB" w:rsidRPr="005C5CBD" w14:paraId="5A58835E" w14:textId="77777777" w:rsidTr="005C5CBD">
        <w:tc>
          <w:tcPr>
            <w:tcW w:w="5000" w:type="pct"/>
          </w:tcPr>
          <w:p w14:paraId="01BA1231" w14:textId="77777777" w:rsidR="00E15FBB" w:rsidRPr="005C5CBD" w:rsidRDefault="00E15FBB" w:rsidP="00E15FBB">
            <w:pPr>
              <w:rPr>
                <w:rFonts w:ascii="Garamond" w:eastAsia="Calibri" w:hAnsi="Garamond" w:cs="Calibri"/>
                <w:sz w:val="24"/>
                <w:szCs w:val="24"/>
              </w:rPr>
            </w:pPr>
          </w:p>
        </w:tc>
      </w:tr>
      <w:tr w:rsidR="00E15FBB" w:rsidRPr="005C5CBD" w14:paraId="7AD367C0" w14:textId="77777777" w:rsidTr="005C5CBD">
        <w:tc>
          <w:tcPr>
            <w:tcW w:w="5000" w:type="pct"/>
          </w:tcPr>
          <w:p w14:paraId="10B49561"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 xml:space="preserve">Campo 14.(3 até n) - Outros descontos (OUTDES): informar o valor unitário (R$/t ou R$/unidade de comercialização) de qualquer outro desconto concedido ao cliente. Criar um campo separado para cada um dos descontos existentes. Cada registro na base de dados deve corresponder a uma linha da fatura/nota fiscal. Explicar a política da empresa para concessão do desconto, esclarecendo se tal desconto foi concedido na forma de crédito, desconto em vendas futuras ou em mercadoria. Caso tal desconto varie de acordo com o cliente, explicar a política adotada para cada categoria de cliente. Explicar como foi calculado o desconto unitário. </w:t>
            </w:r>
          </w:p>
        </w:tc>
      </w:tr>
      <w:tr w:rsidR="00E15FBB" w:rsidRPr="005C5CBD" w14:paraId="095DA9E9" w14:textId="77777777" w:rsidTr="005C5CBD">
        <w:tc>
          <w:tcPr>
            <w:tcW w:w="5000" w:type="pct"/>
          </w:tcPr>
          <w:p w14:paraId="1B4035D3" w14:textId="77777777" w:rsidR="00E15FBB" w:rsidRPr="005C5CBD" w:rsidRDefault="00E15FBB" w:rsidP="00E15FBB">
            <w:pPr>
              <w:rPr>
                <w:rFonts w:ascii="Garamond" w:eastAsia="Calibri" w:hAnsi="Garamond" w:cs="Calibri"/>
                <w:sz w:val="24"/>
                <w:szCs w:val="24"/>
              </w:rPr>
            </w:pPr>
          </w:p>
        </w:tc>
      </w:tr>
      <w:tr w:rsidR="00E15FBB" w:rsidRPr="005C5CBD" w14:paraId="24292D8C" w14:textId="77777777" w:rsidTr="005C5CBD">
        <w:tc>
          <w:tcPr>
            <w:tcW w:w="5000" w:type="pct"/>
          </w:tcPr>
          <w:p w14:paraId="694C0358"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15.(1 até n) – Abatimentos (ABAT): informar o valor unitário (R$/t ou R$/unidade de comercialização) de cada abatimento concedido ao cliente. Criar um campo separado para cada um desses abatimentos. Explicar a política da empresa para a concessão de abatimentos, descrevendo cada um dos tipos. Caso os abatimentos variem de acordo com o cliente, explicar a política adotada para cada um deles.</w:t>
            </w:r>
          </w:p>
        </w:tc>
      </w:tr>
      <w:tr w:rsidR="00E15FBB" w:rsidRPr="005C5CBD" w14:paraId="578B73D0" w14:textId="77777777" w:rsidTr="005C5CBD">
        <w:tc>
          <w:tcPr>
            <w:tcW w:w="5000" w:type="pct"/>
          </w:tcPr>
          <w:p w14:paraId="5AC520E2" w14:textId="77777777" w:rsidR="00E15FBB" w:rsidRPr="005C5CBD" w:rsidRDefault="00E15FBB" w:rsidP="00E15FBB">
            <w:pPr>
              <w:rPr>
                <w:rFonts w:ascii="Garamond" w:eastAsia="Calibri" w:hAnsi="Garamond" w:cs="Calibri"/>
                <w:sz w:val="24"/>
                <w:szCs w:val="24"/>
              </w:rPr>
            </w:pPr>
          </w:p>
        </w:tc>
      </w:tr>
      <w:tr w:rsidR="00E15FBB" w:rsidRPr="005C5CBD" w14:paraId="024A656D" w14:textId="77777777" w:rsidTr="005C5CBD">
        <w:tc>
          <w:tcPr>
            <w:tcW w:w="5000" w:type="pct"/>
          </w:tcPr>
          <w:p w14:paraId="1BE6DA1E"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 xml:space="preserve">Campos 16 a 18 - Apresentar as informações solicitadas envolvendo o custo direto (R$/t ou R$/unidade de comercialização) incorrido para levar a mercadoria do local de produção até local de entrega designado pelo cliente. Todos os custos diretos incorridos para transportar a mercadoria devem estar especificados nesses campos. Caso haja necessidade, a empresa poderá acrescentar outros campos. </w:t>
            </w:r>
          </w:p>
        </w:tc>
      </w:tr>
      <w:tr w:rsidR="00E15FBB" w:rsidRPr="005C5CBD" w14:paraId="59D206B8" w14:textId="77777777" w:rsidTr="005C5CBD">
        <w:tc>
          <w:tcPr>
            <w:tcW w:w="5000" w:type="pct"/>
          </w:tcPr>
          <w:p w14:paraId="7B21C6BC" w14:textId="77777777" w:rsidR="00E15FBB" w:rsidRPr="005C5CBD" w:rsidRDefault="00E15FBB" w:rsidP="00E15FBB">
            <w:pPr>
              <w:rPr>
                <w:rFonts w:ascii="Garamond" w:eastAsia="Calibri" w:hAnsi="Garamond" w:cs="Calibri"/>
                <w:sz w:val="24"/>
                <w:szCs w:val="24"/>
              </w:rPr>
            </w:pPr>
          </w:p>
        </w:tc>
      </w:tr>
      <w:tr w:rsidR="00E15FBB" w:rsidRPr="005C5CBD" w14:paraId="09B1208A" w14:textId="77777777" w:rsidTr="005C5CBD">
        <w:tc>
          <w:tcPr>
            <w:tcW w:w="5000" w:type="pct"/>
          </w:tcPr>
          <w:p w14:paraId="6958AB51"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 xml:space="preserve">Campo 16.0 - Frete da unidade de produção ou armazenagem para o cliente (FRETINTCLI): informar o custo unitário do frete interno da unidade de produção ao local de entrega designado pelo cliente. Quando houver necessidade de alocar o frete em função da diversidade de itens incluídos no carregamento, a alocação será efetuada na base em que o frete foi calculado (ex.: peso, volume). Descrever os meios de transporte utilizados para entregar a mercadoria aos clientes. Se não houver possibilidade de identificar o custo de cada embarque, descrever como o frete unitário foi calculado, anexando as respectivas planilhas de cálculo. Caso a empresa utilize seus próprios veículos, explicar como o custo do frete para venda foi calculado, informando o total de despesas incorridas (ex.: combustível). </w:t>
            </w:r>
          </w:p>
        </w:tc>
      </w:tr>
      <w:tr w:rsidR="00E15FBB" w:rsidRPr="005C5CBD" w14:paraId="2C2B8609" w14:textId="77777777" w:rsidTr="005C5CBD">
        <w:tc>
          <w:tcPr>
            <w:tcW w:w="5000" w:type="pct"/>
          </w:tcPr>
          <w:p w14:paraId="6B3A0700" w14:textId="77777777" w:rsidR="00E15FBB" w:rsidRPr="005C5CBD" w:rsidRDefault="00E15FBB" w:rsidP="00E15FBB">
            <w:pPr>
              <w:rPr>
                <w:rFonts w:ascii="Garamond" w:eastAsia="Calibri" w:hAnsi="Garamond" w:cs="Calibri"/>
                <w:sz w:val="24"/>
                <w:szCs w:val="24"/>
              </w:rPr>
            </w:pPr>
          </w:p>
        </w:tc>
      </w:tr>
      <w:tr w:rsidR="00E15FBB" w:rsidRPr="005C5CBD" w14:paraId="50A171FD" w14:textId="77777777" w:rsidTr="005C5CBD">
        <w:tc>
          <w:tcPr>
            <w:tcW w:w="5000" w:type="pct"/>
          </w:tcPr>
          <w:p w14:paraId="1CC1C4A3"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16.1 – Frete da unidade de produção para o local de armazenagem (FRETINT): caso a empresa incorra em despesa de frete da unidade de produção até um local de armazenagem, poderá ser informado o custo unitário desse frete.</w:t>
            </w:r>
          </w:p>
        </w:tc>
      </w:tr>
      <w:tr w:rsidR="00E15FBB" w:rsidRPr="005C5CBD" w14:paraId="52A17418" w14:textId="77777777" w:rsidTr="005C5CBD">
        <w:tc>
          <w:tcPr>
            <w:tcW w:w="5000" w:type="pct"/>
          </w:tcPr>
          <w:p w14:paraId="5C9EC968" w14:textId="77777777" w:rsidR="00E15FBB" w:rsidRPr="005C5CBD" w:rsidRDefault="00E15FBB" w:rsidP="00E15FBB">
            <w:pPr>
              <w:rPr>
                <w:rFonts w:ascii="Garamond" w:eastAsia="Calibri" w:hAnsi="Garamond" w:cs="Calibri"/>
                <w:sz w:val="24"/>
                <w:szCs w:val="24"/>
              </w:rPr>
            </w:pPr>
          </w:p>
        </w:tc>
      </w:tr>
      <w:tr w:rsidR="00E15FBB" w:rsidRPr="005C5CBD" w14:paraId="03669B7C" w14:textId="77777777" w:rsidTr="005C5CBD">
        <w:tc>
          <w:tcPr>
            <w:tcW w:w="5000" w:type="pct"/>
          </w:tcPr>
          <w:p w14:paraId="16EFAA57"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16.2 – Despesas de armazenagem pré-venda (DARMPV): caso seja preenchido o campo 16.1, informar o custo unitário de armazenagem, esclarecendo como o custo unitário foi calculado e anexando as planilhas explicativas correspondentes.</w:t>
            </w:r>
          </w:p>
        </w:tc>
      </w:tr>
      <w:tr w:rsidR="00E15FBB" w:rsidRPr="005C5CBD" w14:paraId="290A99ED" w14:textId="77777777" w:rsidTr="005C5CBD">
        <w:tc>
          <w:tcPr>
            <w:tcW w:w="5000" w:type="pct"/>
          </w:tcPr>
          <w:p w14:paraId="1267894A" w14:textId="77777777" w:rsidR="00E15FBB" w:rsidRPr="005C5CBD" w:rsidRDefault="00E15FBB" w:rsidP="00E15FBB">
            <w:pPr>
              <w:rPr>
                <w:rFonts w:ascii="Garamond" w:eastAsia="Calibri" w:hAnsi="Garamond" w:cs="Calibri"/>
                <w:sz w:val="24"/>
                <w:szCs w:val="24"/>
              </w:rPr>
            </w:pPr>
          </w:p>
        </w:tc>
      </w:tr>
      <w:tr w:rsidR="00E15FBB" w:rsidRPr="005C5CBD" w14:paraId="59625AB1" w14:textId="77777777" w:rsidTr="005C5CBD">
        <w:tc>
          <w:tcPr>
            <w:tcW w:w="5000" w:type="pct"/>
          </w:tcPr>
          <w:p w14:paraId="16BFDBDD"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17.0 - Seguro interno (SEGINT): informar o custo unitário do seguro interno da unidade produção/armazenagem até o local de entrega designado pelo cliente, esclarecendo como este valor foi calculado. Descrever como a empresa calculou o custo unitário do seguro.</w:t>
            </w:r>
          </w:p>
        </w:tc>
      </w:tr>
      <w:tr w:rsidR="00E15FBB" w:rsidRPr="005C5CBD" w14:paraId="41B7FBD6" w14:textId="77777777" w:rsidTr="005C5CBD">
        <w:tc>
          <w:tcPr>
            <w:tcW w:w="5000" w:type="pct"/>
          </w:tcPr>
          <w:p w14:paraId="2D3E14FD" w14:textId="77777777" w:rsidR="00E15FBB" w:rsidRPr="005C5CBD" w:rsidRDefault="00E15FBB" w:rsidP="00E15FBB">
            <w:pPr>
              <w:rPr>
                <w:rFonts w:ascii="Garamond" w:eastAsia="Calibri" w:hAnsi="Garamond" w:cs="Calibri"/>
                <w:sz w:val="24"/>
                <w:szCs w:val="24"/>
              </w:rPr>
            </w:pPr>
          </w:p>
        </w:tc>
      </w:tr>
      <w:tr w:rsidR="00E15FBB" w:rsidRPr="005C5CBD" w14:paraId="578F9E02" w14:textId="77777777" w:rsidTr="005C5CBD">
        <w:tc>
          <w:tcPr>
            <w:tcW w:w="5000" w:type="pct"/>
          </w:tcPr>
          <w:p w14:paraId="4A4516FC"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18.0 – Destino (DEST): informar a unidade federativa (Estado) do destino da mercadoria (base de cálculo do ICMS).</w:t>
            </w:r>
          </w:p>
        </w:tc>
      </w:tr>
      <w:tr w:rsidR="00E15FBB" w:rsidRPr="005C5CBD" w14:paraId="0CCB1EC8" w14:textId="77777777" w:rsidTr="005C5CBD">
        <w:tc>
          <w:tcPr>
            <w:tcW w:w="5000" w:type="pct"/>
          </w:tcPr>
          <w:p w14:paraId="3BAD921C" w14:textId="77777777" w:rsidR="00E15FBB" w:rsidRPr="005C5CBD" w:rsidRDefault="00E15FBB" w:rsidP="00E15FBB">
            <w:pPr>
              <w:rPr>
                <w:rFonts w:ascii="Garamond" w:eastAsia="Calibri" w:hAnsi="Garamond" w:cs="Calibri"/>
                <w:sz w:val="24"/>
                <w:szCs w:val="24"/>
              </w:rPr>
            </w:pPr>
          </w:p>
        </w:tc>
      </w:tr>
      <w:tr w:rsidR="00E15FBB" w:rsidRPr="005C5CBD" w14:paraId="31F47170" w14:textId="77777777" w:rsidTr="005C5CBD">
        <w:tc>
          <w:tcPr>
            <w:tcW w:w="5000" w:type="pct"/>
          </w:tcPr>
          <w:p w14:paraId="676893A1"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19.1 – ICMS (ICM): informar o valor unitário (R$/t ou R$/unidade de comercialização).</w:t>
            </w:r>
          </w:p>
        </w:tc>
      </w:tr>
      <w:tr w:rsidR="00E15FBB" w:rsidRPr="005C5CBD" w14:paraId="595EEA51" w14:textId="77777777" w:rsidTr="005C5CBD">
        <w:tc>
          <w:tcPr>
            <w:tcW w:w="5000" w:type="pct"/>
          </w:tcPr>
          <w:p w14:paraId="09B0A963" w14:textId="77777777" w:rsidR="00E15FBB" w:rsidRPr="005C5CBD" w:rsidRDefault="00E15FBB" w:rsidP="00E15FBB">
            <w:pPr>
              <w:rPr>
                <w:rFonts w:ascii="Garamond" w:eastAsia="Calibri" w:hAnsi="Garamond" w:cs="Calibri"/>
                <w:sz w:val="24"/>
                <w:szCs w:val="24"/>
              </w:rPr>
            </w:pPr>
          </w:p>
        </w:tc>
      </w:tr>
      <w:tr w:rsidR="00E15FBB" w:rsidRPr="005C5CBD" w14:paraId="0195709D" w14:textId="77777777" w:rsidTr="005C5CBD">
        <w:tc>
          <w:tcPr>
            <w:tcW w:w="5000" w:type="pct"/>
          </w:tcPr>
          <w:p w14:paraId="29501DD6"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19.2 – IPI (IPI): informar o valor unitário (R$/t ou R$/unidade de comercialização).</w:t>
            </w:r>
          </w:p>
        </w:tc>
      </w:tr>
      <w:tr w:rsidR="00E15FBB" w:rsidRPr="005C5CBD" w14:paraId="7AD62AA8" w14:textId="77777777" w:rsidTr="005C5CBD">
        <w:tc>
          <w:tcPr>
            <w:tcW w:w="5000" w:type="pct"/>
          </w:tcPr>
          <w:p w14:paraId="5D0DF0A7" w14:textId="77777777" w:rsidR="00E15FBB" w:rsidRPr="005C5CBD" w:rsidRDefault="00E15FBB" w:rsidP="00E15FBB">
            <w:pPr>
              <w:rPr>
                <w:rFonts w:ascii="Garamond" w:eastAsia="Calibri" w:hAnsi="Garamond" w:cs="Calibri"/>
                <w:sz w:val="24"/>
                <w:szCs w:val="24"/>
              </w:rPr>
            </w:pPr>
          </w:p>
        </w:tc>
      </w:tr>
      <w:tr w:rsidR="00E15FBB" w:rsidRPr="005C5CBD" w14:paraId="04CBA501" w14:textId="77777777" w:rsidTr="005C5CBD">
        <w:tc>
          <w:tcPr>
            <w:tcW w:w="5000" w:type="pct"/>
          </w:tcPr>
          <w:p w14:paraId="052F5B3B"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19.3 – PIS (PIS): informar o valor unitário (R$/t ou R$/unidade de comercialização).</w:t>
            </w:r>
          </w:p>
        </w:tc>
      </w:tr>
      <w:tr w:rsidR="00E15FBB" w:rsidRPr="005C5CBD" w14:paraId="0CDDA1A3" w14:textId="77777777" w:rsidTr="005C5CBD">
        <w:tc>
          <w:tcPr>
            <w:tcW w:w="5000" w:type="pct"/>
          </w:tcPr>
          <w:p w14:paraId="1385BE2E" w14:textId="77777777" w:rsidR="00E15FBB" w:rsidRPr="005C5CBD" w:rsidRDefault="00E15FBB" w:rsidP="00E15FBB">
            <w:pPr>
              <w:rPr>
                <w:rFonts w:ascii="Garamond" w:eastAsia="Calibri" w:hAnsi="Garamond" w:cs="Calibri"/>
                <w:sz w:val="24"/>
                <w:szCs w:val="24"/>
              </w:rPr>
            </w:pPr>
          </w:p>
        </w:tc>
      </w:tr>
      <w:tr w:rsidR="00E15FBB" w:rsidRPr="005C5CBD" w14:paraId="54163788" w14:textId="77777777" w:rsidTr="005C5CBD">
        <w:tc>
          <w:tcPr>
            <w:tcW w:w="5000" w:type="pct"/>
          </w:tcPr>
          <w:p w14:paraId="2D8EA329" w14:textId="77777777" w:rsidR="00E15FBB" w:rsidRPr="005C5CBD" w:rsidRDefault="00E15FBB" w:rsidP="00E15FBB">
            <w:pPr>
              <w:rPr>
                <w:rFonts w:ascii="Garamond" w:eastAsia="Calibri" w:hAnsi="Garamond" w:cs="Calibri"/>
                <w:sz w:val="24"/>
                <w:szCs w:val="24"/>
              </w:rPr>
            </w:pPr>
            <w:r w:rsidRPr="005C5CBD">
              <w:rPr>
                <w:rFonts w:ascii="Garamond" w:eastAsia="Calibri" w:hAnsi="Garamond" w:cs="Calibri"/>
                <w:sz w:val="24"/>
                <w:szCs w:val="24"/>
              </w:rPr>
              <w:t>Campo 19.4 – COFINS (COFINS): informar o valor unitário (R$/t ou R$/unidade de comercialização).</w:t>
            </w:r>
          </w:p>
        </w:tc>
      </w:tr>
    </w:tbl>
    <w:p w14:paraId="735D3BDD" w14:textId="77777777" w:rsidR="00395593" w:rsidRPr="005C5CBD" w:rsidRDefault="00395593" w:rsidP="0097041B">
      <w:pPr>
        <w:spacing w:after="200" w:line="276" w:lineRule="auto"/>
        <w:rPr>
          <w:rFonts w:ascii="Garamond" w:eastAsia="Times New Roman" w:hAnsi="Garamond" w:cs="Calibri"/>
          <w:sz w:val="24"/>
          <w:szCs w:val="24"/>
          <w:highlight w:val="yellow"/>
          <w:lang w:eastAsia="pt-BR"/>
        </w:rPr>
      </w:pPr>
      <w:r w:rsidRPr="005C5CBD">
        <w:rPr>
          <w:rFonts w:ascii="Garamond" w:eastAsia="Times New Roman" w:hAnsi="Garamond" w:cs="Calibri"/>
          <w:sz w:val="24"/>
          <w:szCs w:val="24"/>
          <w:highlight w:val="yellow"/>
          <w:lang w:eastAsia="pt-BR"/>
        </w:rPr>
        <w:br w:type="page"/>
      </w:r>
    </w:p>
    <w:tbl>
      <w:tblPr>
        <w:tblW w:w="9796" w:type="dxa"/>
        <w:tblInd w:w="70" w:type="dxa"/>
        <w:tblCellMar>
          <w:left w:w="70" w:type="dxa"/>
          <w:right w:w="70" w:type="dxa"/>
        </w:tblCellMar>
        <w:tblLook w:val="04A0" w:firstRow="1" w:lastRow="0" w:firstColumn="1" w:lastColumn="0" w:noHBand="0" w:noVBand="1"/>
      </w:tblPr>
      <w:tblGrid>
        <w:gridCol w:w="9796"/>
      </w:tblGrid>
      <w:tr w:rsidR="00395593" w:rsidRPr="00AC0363" w14:paraId="3DB2AD37" w14:textId="77777777" w:rsidTr="00395593">
        <w:trPr>
          <w:trHeight w:val="300"/>
        </w:trPr>
        <w:tc>
          <w:tcPr>
            <w:tcW w:w="9796" w:type="dxa"/>
            <w:tcBorders>
              <w:top w:val="nil"/>
              <w:left w:val="nil"/>
              <w:bottom w:val="nil"/>
              <w:right w:val="nil"/>
            </w:tcBorders>
            <w:shd w:val="clear" w:color="auto" w:fill="auto"/>
            <w:noWrap/>
            <w:vAlign w:val="bottom"/>
            <w:hideMark/>
          </w:tcPr>
          <w:p w14:paraId="5ACE76DC"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APÊNDICE VIII</w:t>
            </w:r>
          </w:p>
        </w:tc>
      </w:tr>
      <w:tr w:rsidR="00395593" w:rsidRPr="00AC0363" w14:paraId="7F0673B1" w14:textId="77777777" w:rsidTr="00395593">
        <w:trPr>
          <w:trHeight w:val="300"/>
        </w:trPr>
        <w:tc>
          <w:tcPr>
            <w:tcW w:w="9796" w:type="dxa"/>
            <w:tcBorders>
              <w:top w:val="nil"/>
              <w:left w:val="nil"/>
              <w:bottom w:val="nil"/>
              <w:right w:val="nil"/>
            </w:tcBorders>
            <w:shd w:val="clear" w:color="auto" w:fill="auto"/>
            <w:noWrap/>
            <w:vAlign w:val="bottom"/>
            <w:hideMark/>
          </w:tcPr>
          <w:p w14:paraId="0AABE1E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CAPACIDADE INSTALADA</w:t>
            </w:r>
          </w:p>
        </w:tc>
      </w:tr>
    </w:tbl>
    <w:p w14:paraId="35915B84" w14:textId="77777777" w:rsidR="00395593" w:rsidRPr="005C5CBD" w:rsidRDefault="00395593" w:rsidP="00E15FBB">
      <w:pPr>
        <w:spacing w:after="0" w:line="240" w:lineRule="auto"/>
        <w:jc w:val="center"/>
        <w:rPr>
          <w:rFonts w:ascii="Garamond" w:eastAsia="Calibri" w:hAnsi="Garamond" w:cs="Calibri"/>
          <w:sz w:val="24"/>
          <w:szCs w:val="24"/>
        </w:rPr>
      </w:pPr>
    </w:p>
    <w:tbl>
      <w:tblPr>
        <w:tblW w:w="9780" w:type="dxa"/>
        <w:tblInd w:w="70" w:type="dxa"/>
        <w:tblCellMar>
          <w:left w:w="70" w:type="dxa"/>
          <w:right w:w="70" w:type="dxa"/>
        </w:tblCellMar>
        <w:tblLook w:val="04A0" w:firstRow="1" w:lastRow="0" w:firstColumn="1" w:lastColumn="0" w:noHBand="0" w:noVBand="1"/>
      </w:tblPr>
      <w:tblGrid>
        <w:gridCol w:w="424"/>
        <w:gridCol w:w="1340"/>
        <w:gridCol w:w="1334"/>
        <w:gridCol w:w="1334"/>
        <w:gridCol w:w="1340"/>
        <w:gridCol w:w="1340"/>
        <w:gridCol w:w="1334"/>
        <w:gridCol w:w="1334"/>
      </w:tblGrid>
      <w:tr w:rsidR="00395593" w:rsidRPr="00AC0363" w14:paraId="7EF64C89" w14:textId="77777777" w:rsidTr="00395593">
        <w:trPr>
          <w:trHeight w:val="705"/>
        </w:trPr>
        <w:tc>
          <w:tcPr>
            <w:tcW w:w="416" w:type="dxa"/>
            <w:tcBorders>
              <w:top w:val="nil"/>
              <w:left w:val="nil"/>
              <w:bottom w:val="nil"/>
              <w:right w:val="nil"/>
            </w:tcBorders>
            <w:shd w:val="clear" w:color="auto" w:fill="auto"/>
            <w:noWrap/>
            <w:vAlign w:val="bottom"/>
            <w:hideMark/>
          </w:tcPr>
          <w:p w14:paraId="2470A781"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6BD7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FF0000"/>
                <w:sz w:val="24"/>
                <w:szCs w:val="24"/>
                <w:lang w:eastAsia="pt-BR"/>
              </w:rPr>
              <w:t xml:space="preserve">Empresa </w:t>
            </w:r>
          </w:p>
        </w:tc>
        <w:tc>
          <w:tcPr>
            <w:tcW w:w="2672" w:type="dxa"/>
            <w:gridSpan w:val="2"/>
            <w:tcBorders>
              <w:top w:val="single" w:sz="4" w:space="0" w:color="auto"/>
              <w:left w:val="nil"/>
              <w:bottom w:val="single" w:sz="4" w:space="0" w:color="auto"/>
              <w:right w:val="single" w:sz="4" w:space="0" w:color="000000"/>
            </w:tcBorders>
            <w:shd w:val="clear" w:color="auto" w:fill="auto"/>
            <w:vAlign w:val="center"/>
            <w:hideMark/>
          </w:tcPr>
          <w:p w14:paraId="192EF0D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Capacidade Instalada de Produção </w:t>
            </w:r>
          </w:p>
        </w:tc>
        <w:tc>
          <w:tcPr>
            <w:tcW w:w="2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D96E6C"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Produção </w:t>
            </w:r>
          </w:p>
        </w:tc>
        <w:tc>
          <w:tcPr>
            <w:tcW w:w="2672" w:type="dxa"/>
            <w:gridSpan w:val="2"/>
            <w:tcBorders>
              <w:top w:val="single" w:sz="4" w:space="0" w:color="auto"/>
              <w:left w:val="nil"/>
              <w:bottom w:val="single" w:sz="4" w:space="0" w:color="auto"/>
              <w:right w:val="single" w:sz="4" w:space="0" w:color="auto"/>
            </w:tcBorders>
            <w:shd w:val="clear" w:color="auto" w:fill="auto"/>
            <w:vAlign w:val="center"/>
            <w:hideMark/>
          </w:tcPr>
          <w:p w14:paraId="086DFFA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Grau de Utilização da Capacidade Instalada</w:t>
            </w:r>
          </w:p>
        </w:tc>
      </w:tr>
      <w:tr w:rsidR="00395593" w:rsidRPr="00AC0363" w14:paraId="47D2679A" w14:textId="77777777" w:rsidTr="00395593">
        <w:trPr>
          <w:trHeight w:val="720"/>
        </w:trPr>
        <w:tc>
          <w:tcPr>
            <w:tcW w:w="416" w:type="dxa"/>
            <w:tcBorders>
              <w:top w:val="nil"/>
              <w:left w:val="nil"/>
              <w:bottom w:val="nil"/>
              <w:right w:val="nil"/>
            </w:tcBorders>
            <w:shd w:val="clear" w:color="auto" w:fill="auto"/>
            <w:noWrap/>
            <w:vAlign w:val="bottom"/>
            <w:hideMark/>
          </w:tcPr>
          <w:p w14:paraId="49E328EB"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AA590AB"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Linha de Produção / Planta</w:t>
            </w:r>
          </w:p>
        </w:tc>
        <w:tc>
          <w:tcPr>
            <w:tcW w:w="1336" w:type="dxa"/>
            <w:tcBorders>
              <w:top w:val="nil"/>
              <w:left w:val="nil"/>
              <w:bottom w:val="single" w:sz="4" w:space="0" w:color="auto"/>
              <w:right w:val="single" w:sz="4" w:space="0" w:color="auto"/>
            </w:tcBorders>
            <w:shd w:val="clear" w:color="auto" w:fill="auto"/>
            <w:vAlign w:val="center"/>
            <w:hideMark/>
          </w:tcPr>
          <w:p w14:paraId="2CABCD0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Nominal </w:t>
            </w:r>
          </w:p>
        </w:tc>
        <w:tc>
          <w:tcPr>
            <w:tcW w:w="1336" w:type="dxa"/>
            <w:tcBorders>
              <w:top w:val="nil"/>
              <w:left w:val="nil"/>
              <w:bottom w:val="single" w:sz="4" w:space="0" w:color="auto"/>
              <w:right w:val="single" w:sz="4" w:space="0" w:color="auto"/>
            </w:tcBorders>
            <w:shd w:val="clear" w:color="auto" w:fill="auto"/>
            <w:vAlign w:val="center"/>
            <w:hideMark/>
          </w:tcPr>
          <w:p w14:paraId="55E58EBC"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Efetiva </w:t>
            </w:r>
          </w:p>
        </w:tc>
        <w:tc>
          <w:tcPr>
            <w:tcW w:w="1340" w:type="dxa"/>
            <w:tcBorders>
              <w:top w:val="nil"/>
              <w:left w:val="nil"/>
              <w:bottom w:val="single" w:sz="4" w:space="0" w:color="auto"/>
              <w:right w:val="single" w:sz="4" w:space="0" w:color="auto"/>
            </w:tcBorders>
            <w:shd w:val="clear" w:color="auto" w:fill="auto"/>
            <w:vAlign w:val="center"/>
            <w:hideMark/>
          </w:tcPr>
          <w:p w14:paraId="62A1B28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Produto Similar Doméstico </w:t>
            </w:r>
          </w:p>
        </w:tc>
        <w:tc>
          <w:tcPr>
            <w:tcW w:w="1340" w:type="dxa"/>
            <w:tcBorders>
              <w:top w:val="nil"/>
              <w:left w:val="nil"/>
              <w:bottom w:val="single" w:sz="4" w:space="0" w:color="auto"/>
              <w:right w:val="single" w:sz="4" w:space="0" w:color="auto"/>
            </w:tcBorders>
            <w:shd w:val="clear" w:color="auto" w:fill="auto"/>
            <w:vAlign w:val="center"/>
            <w:hideMark/>
          </w:tcPr>
          <w:p w14:paraId="704B35B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Outros </w:t>
            </w:r>
          </w:p>
        </w:tc>
        <w:tc>
          <w:tcPr>
            <w:tcW w:w="1336" w:type="dxa"/>
            <w:tcBorders>
              <w:top w:val="nil"/>
              <w:left w:val="nil"/>
              <w:bottom w:val="single" w:sz="4" w:space="0" w:color="auto"/>
              <w:right w:val="single" w:sz="4" w:space="0" w:color="auto"/>
            </w:tcBorders>
            <w:shd w:val="clear" w:color="auto" w:fill="auto"/>
            <w:vAlign w:val="center"/>
            <w:hideMark/>
          </w:tcPr>
          <w:p w14:paraId="1058A8A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Nominal</w:t>
            </w:r>
          </w:p>
        </w:tc>
        <w:tc>
          <w:tcPr>
            <w:tcW w:w="1336" w:type="dxa"/>
            <w:tcBorders>
              <w:top w:val="nil"/>
              <w:left w:val="nil"/>
              <w:bottom w:val="single" w:sz="4" w:space="0" w:color="auto"/>
              <w:right w:val="single" w:sz="4" w:space="0" w:color="auto"/>
            </w:tcBorders>
            <w:shd w:val="clear" w:color="auto" w:fill="auto"/>
            <w:vAlign w:val="center"/>
            <w:hideMark/>
          </w:tcPr>
          <w:p w14:paraId="344B4CE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Efetiva</w:t>
            </w:r>
          </w:p>
        </w:tc>
      </w:tr>
      <w:tr w:rsidR="00395593" w:rsidRPr="00AC0363" w14:paraId="1605F264" w14:textId="77777777" w:rsidTr="00395593">
        <w:trPr>
          <w:trHeight w:val="480"/>
        </w:trPr>
        <w:tc>
          <w:tcPr>
            <w:tcW w:w="41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DDD5A6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Período</w:t>
            </w:r>
          </w:p>
        </w:tc>
        <w:tc>
          <w:tcPr>
            <w:tcW w:w="1340" w:type="dxa"/>
            <w:tcBorders>
              <w:top w:val="nil"/>
              <w:left w:val="nil"/>
              <w:bottom w:val="single" w:sz="4" w:space="0" w:color="auto"/>
              <w:right w:val="single" w:sz="4" w:space="0" w:color="auto"/>
            </w:tcBorders>
            <w:shd w:val="clear" w:color="auto" w:fill="auto"/>
            <w:vAlign w:val="center"/>
            <w:hideMark/>
          </w:tcPr>
          <w:p w14:paraId="5FE325D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P1</w:t>
            </w:r>
          </w:p>
        </w:tc>
        <w:tc>
          <w:tcPr>
            <w:tcW w:w="1336" w:type="dxa"/>
            <w:tcBorders>
              <w:top w:val="nil"/>
              <w:left w:val="nil"/>
              <w:bottom w:val="nil"/>
              <w:right w:val="nil"/>
            </w:tcBorders>
            <w:shd w:val="clear" w:color="auto" w:fill="auto"/>
            <w:vAlign w:val="center"/>
            <w:hideMark/>
          </w:tcPr>
          <w:p w14:paraId="282FC149"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single" w:sz="4" w:space="0" w:color="auto"/>
              <w:bottom w:val="nil"/>
              <w:right w:val="single" w:sz="4" w:space="0" w:color="auto"/>
            </w:tcBorders>
            <w:shd w:val="clear" w:color="auto" w:fill="auto"/>
            <w:vAlign w:val="center"/>
            <w:hideMark/>
          </w:tcPr>
          <w:p w14:paraId="4B16E3FD"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40" w:type="dxa"/>
            <w:tcBorders>
              <w:top w:val="nil"/>
              <w:left w:val="nil"/>
              <w:bottom w:val="nil"/>
              <w:right w:val="single" w:sz="4" w:space="0" w:color="auto"/>
            </w:tcBorders>
            <w:shd w:val="clear" w:color="auto" w:fill="auto"/>
            <w:vAlign w:val="center"/>
            <w:hideMark/>
          </w:tcPr>
          <w:p w14:paraId="48352BEA"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40" w:type="dxa"/>
            <w:tcBorders>
              <w:top w:val="nil"/>
              <w:left w:val="nil"/>
              <w:bottom w:val="nil"/>
              <w:right w:val="single" w:sz="4" w:space="0" w:color="auto"/>
            </w:tcBorders>
            <w:shd w:val="clear" w:color="auto" w:fill="auto"/>
            <w:vAlign w:val="center"/>
          </w:tcPr>
          <w:p w14:paraId="3AE28307"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nil"/>
              <w:bottom w:val="nil"/>
              <w:right w:val="single" w:sz="4" w:space="0" w:color="auto"/>
            </w:tcBorders>
            <w:shd w:val="clear" w:color="000000" w:fill="F2F2F2"/>
            <w:vAlign w:val="center"/>
          </w:tcPr>
          <w:p w14:paraId="1EC98746"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1336" w:type="dxa"/>
            <w:tcBorders>
              <w:top w:val="nil"/>
              <w:left w:val="nil"/>
              <w:bottom w:val="nil"/>
              <w:right w:val="single" w:sz="4" w:space="0" w:color="auto"/>
            </w:tcBorders>
            <w:shd w:val="clear" w:color="000000" w:fill="F2F2F2"/>
            <w:vAlign w:val="center"/>
          </w:tcPr>
          <w:p w14:paraId="3457593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r>
      <w:tr w:rsidR="00395593" w:rsidRPr="00AC0363" w14:paraId="6689C68C" w14:textId="77777777" w:rsidTr="00395593">
        <w:trPr>
          <w:trHeight w:val="480"/>
        </w:trPr>
        <w:tc>
          <w:tcPr>
            <w:tcW w:w="416" w:type="dxa"/>
            <w:vMerge/>
            <w:tcBorders>
              <w:top w:val="single" w:sz="4" w:space="0" w:color="auto"/>
              <w:left w:val="single" w:sz="4" w:space="0" w:color="auto"/>
              <w:bottom w:val="single" w:sz="4" w:space="0" w:color="000000"/>
              <w:right w:val="single" w:sz="4" w:space="0" w:color="auto"/>
            </w:tcBorders>
            <w:vAlign w:val="center"/>
            <w:hideMark/>
          </w:tcPr>
          <w:p w14:paraId="7D309947"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1340" w:type="dxa"/>
            <w:tcBorders>
              <w:top w:val="nil"/>
              <w:left w:val="nil"/>
              <w:bottom w:val="single" w:sz="4" w:space="0" w:color="auto"/>
              <w:right w:val="single" w:sz="4" w:space="0" w:color="auto"/>
            </w:tcBorders>
            <w:shd w:val="clear" w:color="auto" w:fill="auto"/>
            <w:vAlign w:val="center"/>
            <w:hideMark/>
          </w:tcPr>
          <w:p w14:paraId="4C75266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P2</w:t>
            </w:r>
          </w:p>
        </w:tc>
        <w:tc>
          <w:tcPr>
            <w:tcW w:w="1336" w:type="dxa"/>
            <w:tcBorders>
              <w:top w:val="nil"/>
              <w:left w:val="nil"/>
              <w:bottom w:val="nil"/>
              <w:right w:val="nil"/>
            </w:tcBorders>
            <w:shd w:val="clear" w:color="auto" w:fill="auto"/>
            <w:vAlign w:val="center"/>
            <w:hideMark/>
          </w:tcPr>
          <w:p w14:paraId="454F807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single" w:sz="4" w:space="0" w:color="auto"/>
              <w:bottom w:val="nil"/>
              <w:right w:val="single" w:sz="4" w:space="0" w:color="auto"/>
            </w:tcBorders>
            <w:shd w:val="clear" w:color="auto" w:fill="auto"/>
            <w:vAlign w:val="center"/>
            <w:hideMark/>
          </w:tcPr>
          <w:p w14:paraId="15FFDB14"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40" w:type="dxa"/>
            <w:tcBorders>
              <w:top w:val="nil"/>
              <w:left w:val="nil"/>
              <w:bottom w:val="nil"/>
              <w:right w:val="single" w:sz="4" w:space="0" w:color="auto"/>
            </w:tcBorders>
            <w:shd w:val="clear" w:color="auto" w:fill="auto"/>
            <w:vAlign w:val="center"/>
            <w:hideMark/>
          </w:tcPr>
          <w:p w14:paraId="13844830"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40" w:type="dxa"/>
            <w:tcBorders>
              <w:top w:val="nil"/>
              <w:left w:val="nil"/>
              <w:bottom w:val="nil"/>
              <w:right w:val="single" w:sz="4" w:space="0" w:color="auto"/>
            </w:tcBorders>
            <w:shd w:val="clear" w:color="auto" w:fill="auto"/>
            <w:vAlign w:val="center"/>
          </w:tcPr>
          <w:p w14:paraId="54D21C93"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nil"/>
              <w:bottom w:val="nil"/>
              <w:right w:val="single" w:sz="4" w:space="0" w:color="auto"/>
            </w:tcBorders>
            <w:shd w:val="clear" w:color="000000" w:fill="F2F2F2"/>
            <w:vAlign w:val="center"/>
          </w:tcPr>
          <w:p w14:paraId="1B9F03A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1336" w:type="dxa"/>
            <w:tcBorders>
              <w:top w:val="nil"/>
              <w:left w:val="nil"/>
              <w:bottom w:val="nil"/>
              <w:right w:val="single" w:sz="4" w:space="0" w:color="auto"/>
            </w:tcBorders>
            <w:shd w:val="clear" w:color="000000" w:fill="F2F2F2"/>
            <w:vAlign w:val="center"/>
          </w:tcPr>
          <w:p w14:paraId="3E5BE5C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r>
      <w:tr w:rsidR="00395593" w:rsidRPr="00AC0363" w14:paraId="65BF5483" w14:textId="77777777" w:rsidTr="00395593">
        <w:trPr>
          <w:trHeight w:val="480"/>
        </w:trPr>
        <w:tc>
          <w:tcPr>
            <w:tcW w:w="416" w:type="dxa"/>
            <w:vMerge/>
            <w:tcBorders>
              <w:top w:val="single" w:sz="4" w:space="0" w:color="auto"/>
              <w:left w:val="single" w:sz="4" w:space="0" w:color="auto"/>
              <w:bottom w:val="single" w:sz="4" w:space="0" w:color="000000"/>
              <w:right w:val="single" w:sz="4" w:space="0" w:color="auto"/>
            </w:tcBorders>
            <w:vAlign w:val="center"/>
            <w:hideMark/>
          </w:tcPr>
          <w:p w14:paraId="4E92D3DB"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1340" w:type="dxa"/>
            <w:tcBorders>
              <w:top w:val="nil"/>
              <w:left w:val="nil"/>
              <w:bottom w:val="single" w:sz="4" w:space="0" w:color="auto"/>
              <w:right w:val="single" w:sz="4" w:space="0" w:color="auto"/>
            </w:tcBorders>
            <w:shd w:val="clear" w:color="auto" w:fill="auto"/>
            <w:vAlign w:val="center"/>
            <w:hideMark/>
          </w:tcPr>
          <w:p w14:paraId="71D6611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P3</w:t>
            </w:r>
          </w:p>
        </w:tc>
        <w:tc>
          <w:tcPr>
            <w:tcW w:w="1336" w:type="dxa"/>
            <w:tcBorders>
              <w:top w:val="nil"/>
              <w:left w:val="nil"/>
              <w:bottom w:val="nil"/>
              <w:right w:val="nil"/>
            </w:tcBorders>
            <w:shd w:val="clear" w:color="auto" w:fill="auto"/>
            <w:vAlign w:val="center"/>
            <w:hideMark/>
          </w:tcPr>
          <w:p w14:paraId="48574B61"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single" w:sz="4" w:space="0" w:color="auto"/>
              <w:bottom w:val="nil"/>
              <w:right w:val="single" w:sz="4" w:space="0" w:color="auto"/>
            </w:tcBorders>
            <w:shd w:val="clear" w:color="auto" w:fill="auto"/>
            <w:vAlign w:val="center"/>
            <w:hideMark/>
          </w:tcPr>
          <w:p w14:paraId="57F39FAE"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40" w:type="dxa"/>
            <w:tcBorders>
              <w:top w:val="nil"/>
              <w:left w:val="nil"/>
              <w:bottom w:val="nil"/>
              <w:right w:val="single" w:sz="4" w:space="0" w:color="auto"/>
            </w:tcBorders>
            <w:shd w:val="clear" w:color="auto" w:fill="auto"/>
            <w:vAlign w:val="center"/>
            <w:hideMark/>
          </w:tcPr>
          <w:p w14:paraId="3841AF14"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40" w:type="dxa"/>
            <w:tcBorders>
              <w:top w:val="nil"/>
              <w:left w:val="nil"/>
              <w:bottom w:val="nil"/>
              <w:right w:val="single" w:sz="4" w:space="0" w:color="auto"/>
            </w:tcBorders>
            <w:shd w:val="clear" w:color="auto" w:fill="auto"/>
            <w:vAlign w:val="center"/>
          </w:tcPr>
          <w:p w14:paraId="4AE65613"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nil"/>
              <w:bottom w:val="nil"/>
              <w:right w:val="single" w:sz="4" w:space="0" w:color="auto"/>
            </w:tcBorders>
            <w:shd w:val="clear" w:color="000000" w:fill="F2F2F2"/>
            <w:vAlign w:val="center"/>
          </w:tcPr>
          <w:p w14:paraId="0180FF8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1336" w:type="dxa"/>
            <w:tcBorders>
              <w:top w:val="nil"/>
              <w:left w:val="nil"/>
              <w:bottom w:val="nil"/>
              <w:right w:val="single" w:sz="4" w:space="0" w:color="auto"/>
            </w:tcBorders>
            <w:shd w:val="clear" w:color="000000" w:fill="F2F2F2"/>
            <w:vAlign w:val="center"/>
          </w:tcPr>
          <w:p w14:paraId="4CD6C13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r>
      <w:tr w:rsidR="00395593" w:rsidRPr="00AC0363" w14:paraId="5326C389" w14:textId="77777777" w:rsidTr="00395593">
        <w:trPr>
          <w:trHeight w:val="480"/>
        </w:trPr>
        <w:tc>
          <w:tcPr>
            <w:tcW w:w="416" w:type="dxa"/>
            <w:vMerge/>
            <w:tcBorders>
              <w:top w:val="single" w:sz="4" w:space="0" w:color="auto"/>
              <w:left w:val="single" w:sz="4" w:space="0" w:color="auto"/>
              <w:bottom w:val="single" w:sz="4" w:space="0" w:color="000000"/>
              <w:right w:val="single" w:sz="4" w:space="0" w:color="auto"/>
            </w:tcBorders>
            <w:vAlign w:val="center"/>
            <w:hideMark/>
          </w:tcPr>
          <w:p w14:paraId="781A22B8"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1340" w:type="dxa"/>
            <w:tcBorders>
              <w:top w:val="nil"/>
              <w:left w:val="nil"/>
              <w:bottom w:val="single" w:sz="4" w:space="0" w:color="auto"/>
              <w:right w:val="single" w:sz="4" w:space="0" w:color="auto"/>
            </w:tcBorders>
            <w:shd w:val="clear" w:color="auto" w:fill="auto"/>
            <w:vAlign w:val="center"/>
            <w:hideMark/>
          </w:tcPr>
          <w:p w14:paraId="1DB2D3B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P4</w:t>
            </w:r>
          </w:p>
        </w:tc>
        <w:tc>
          <w:tcPr>
            <w:tcW w:w="1336" w:type="dxa"/>
            <w:tcBorders>
              <w:top w:val="nil"/>
              <w:left w:val="nil"/>
              <w:bottom w:val="nil"/>
              <w:right w:val="nil"/>
            </w:tcBorders>
            <w:shd w:val="clear" w:color="auto" w:fill="auto"/>
            <w:vAlign w:val="center"/>
            <w:hideMark/>
          </w:tcPr>
          <w:p w14:paraId="707122D1"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single" w:sz="4" w:space="0" w:color="auto"/>
              <w:bottom w:val="nil"/>
              <w:right w:val="single" w:sz="4" w:space="0" w:color="auto"/>
            </w:tcBorders>
            <w:shd w:val="clear" w:color="auto" w:fill="auto"/>
            <w:vAlign w:val="center"/>
            <w:hideMark/>
          </w:tcPr>
          <w:p w14:paraId="3F51981F"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40" w:type="dxa"/>
            <w:tcBorders>
              <w:top w:val="nil"/>
              <w:left w:val="nil"/>
              <w:bottom w:val="nil"/>
              <w:right w:val="single" w:sz="4" w:space="0" w:color="auto"/>
            </w:tcBorders>
            <w:shd w:val="clear" w:color="auto" w:fill="auto"/>
            <w:vAlign w:val="center"/>
            <w:hideMark/>
          </w:tcPr>
          <w:p w14:paraId="3845C231"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40" w:type="dxa"/>
            <w:tcBorders>
              <w:top w:val="nil"/>
              <w:left w:val="nil"/>
              <w:bottom w:val="nil"/>
              <w:right w:val="single" w:sz="4" w:space="0" w:color="auto"/>
            </w:tcBorders>
            <w:shd w:val="clear" w:color="auto" w:fill="auto"/>
            <w:vAlign w:val="center"/>
          </w:tcPr>
          <w:p w14:paraId="67379EFA"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nil"/>
              <w:bottom w:val="nil"/>
              <w:right w:val="single" w:sz="4" w:space="0" w:color="auto"/>
            </w:tcBorders>
            <w:shd w:val="clear" w:color="000000" w:fill="F2F2F2"/>
            <w:vAlign w:val="center"/>
          </w:tcPr>
          <w:p w14:paraId="5BDABA1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1336" w:type="dxa"/>
            <w:tcBorders>
              <w:top w:val="nil"/>
              <w:left w:val="nil"/>
              <w:bottom w:val="nil"/>
              <w:right w:val="single" w:sz="4" w:space="0" w:color="auto"/>
            </w:tcBorders>
            <w:shd w:val="clear" w:color="000000" w:fill="F2F2F2"/>
            <w:vAlign w:val="center"/>
          </w:tcPr>
          <w:p w14:paraId="71227D1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r>
      <w:tr w:rsidR="00395593" w:rsidRPr="00AC0363" w14:paraId="75EA372A" w14:textId="77777777" w:rsidTr="00395593">
        <w:trPr>
          <w:trHeight w:val="480"/>
        </w:trPr>
        <w:tc>
          <w:tcPr>
            <w:tcW w:w="416" w:type="dxa"/>
            <w:vMerge/>
            <w:tcBorders>
              <w:top w:val="single" w:sz="4" w:space="0" w:color="auto"/>
              <w:left w:val="single" w:sz="4" w:space="0" w:color="auto"/>
              <w:bottom w:val="single" w:sz="4" w:space="0" w:color="000000"/>
              <w:right w:val="single" w:sz="4" w:space="0" w:color="auto"/>
            </w:tcBorders>
            <w:vAlign w:val="center"/>
            <w:hideMark/>
          </w:tcPr>
          <w:p w14:paraId="11283E4E"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1340" w:type="dxa"/>
            <w:tcBorders>
              <w:top w:val="nil"/>
              <w:left w:val="nil"/>
              <w:bottom w:val="single" w:sz="4" w:space="0" w:color="auto"/>
              <w:right w:val="single" w:sz="4" w:space="0" w:color="auto"/>
            </w:tcBorders>
            <w:shd w:val="clear" w:color="auto" w:fill="auto"/>
            <w:vAlign w:val="center"/>
            <w:hideMark/>
          </w:tcPr>
          <w:p w14:paraId="4FEB008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P5</w:t>
            </w:r>
          </w:p>
        </w:tc>
        <w:tc>
          <w:tcPr>
            <w:tcW w:w="1336" w:type="dxa"/>
            <w:tcBorders>
              <w:top w:val="nil"/>
              <w:left w:val="nil"/>
              <w:bottom w:val="single" w:sz="4" w:space="0" w:color="auto"/>
              <w:right w:val="nil"/>
            </w:tcBorders>
            <w:shd w:val="clear" w:color="auto" w:fill="auto"/>
            <w:vAlign w:val="center"/>
            <w:hideMark/>
          </w:tcPr>
          <w:p w14:paraId="057F9B0D"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36" w:type="dxa"/>
            <w:tcBorders>
              <w:top w:val="nil"/>
              <w:left w:val="single" w:sz="4" w:space="0" w:color="auto"/>
              <w:bottom w:val="single" w:sz="4" w:space="0" w:color="auto"/>
              <w:right w:val="single" w:sz="4" w:space="0" w:color="auto"/>
            </w:tcBorders>
            <w:shd w:val="clear" w:color="auto" w:fill="auto"/>
            <w:vAlign w:val="center"/>
            <w:hideMark/>
          </w:tcPr>
          <w:p w14:paraId="0B6C0610"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40" w:type="dxa"/>
            <w:tcBorders>
              <w:top w:val="nil"/>
              <w:left w:val="nil"/>
              <w:bottom w:val="single" w:sz="4" w:space="0" w:color="auto"/>
              <w:right w:val="single" w:sz="4" w:space="0" w:color="auto"/>
            </w:tcBorders>
            <w:shd w:val="clear" w:color="auto" w:fill="auto"/>
            <w:vAlign w:val="center"/>
            <w:hideMark/>
          </w:tcPr>
          <w:p w14:paraId="4A313A1A"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1340" w:type="dxa"/>
            <w:tcBorders>
              <w:top w:val="nil"/>
              <w:left w:val="nil"/>
              <w:bottom w:val="single" w:sz="4" w:space="0" w:color="auto"/>
              <w:right w:val="single" w:sz="4" w:space="0" w:color="auto"/>
            </w:tcBorders>
            <w:shd w:val="clear" w:color="auto" w:fill="auto"/>
            <w:vAlign w:val="center"/>
          </w:tcPr>
          <w:p w14:paraId="5D8ECA51"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1336" w:type="dxa"/>
            <w:tcBorders>
              <w:top w:val="nil"/>
              <w:left w:val="nil"/>
              <w:bottom w:val="single" w:sz="4" w:space="0" w:color="auto"/>
              <w:right w:val="single" w:sz="4" w:space="0" w:color="auto"/>
            </w:tcBorders>
            <w:shd w:val="clear" w:color="000000" w:fill="F2F2F2"/>
            <w:vAlign w:val="center"/>
          </w:tcPr>
          <w:p w14:paraId="49F45B3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1336" w:type="dxa"/>
            <w:tcBorders>
              <w:top w:val="nil"/>
              <w:left w:val="nil"/>
              <w:bottom w:val="single" w:sz="4" w:space="0" w:color="auto"/>
              <w:right w:val="single" w:sz="4" w:space="0" w:color="auto"/>
            </w:tcBorders>
            <w:shd w:val="clear" w:color="000000" w:fill="F2F2F2"/>
            <w:vAlign w:val="center"/>
          </w:tcPr>
          <w:p w14:paraId="3E5C4C5C"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r>
    </w:tbl>
    <w:p w14:paraId="35534CFB" w14:textId="77777777" w:rsidR="00395593" w:rsidRPr="005C5CBD" w:rsidRDefault="00395593" w:rsidP="00E15FBB">
      <w:pPr>
        <w:spacing w:after="0" w:line="240" w:lineRule="auto"/>
        <w:jc w:val="center"/>
        <w:rPr>
          <w:rFonts w:ascii="Garamond" w:eastAsia="Calibri" w:hAnsi="Garamond" w:cs="Calibri"/>
          <w:sz w:val="24"/>
          <w:szCs w:val="24"/>
        </w:rPr>
      </w:pPr>
    </w:p>
    <w:tbl>
      <w:tblPr>
        <w:tblW w:w="5000" w:type="pct"/>
        <w:tblCellMar>
          <w:left w:w="70" w:type="dxa"/>
          <w:right w:w="70" w:type="dxa"/>
        </w:tblCellMar>
        <w:tblLook w:val="04A0" w:firstRow="1" w:lastRow="0" w:firstColumn="1" w:lastColumn="0" w:noHBand="0" w:noVBand="1"/>
      </w:tblPr>
      <w:tblGrid>
        <w:gridCol w:w="4373"/>
        <w:gridCol w:w="1205"/>
        <w:gridCol w:w="1208"/>
        <w:gridCol w:w="757"/>
        <w:gridCol w:w="983"/>
        <w:gridCol w:w="1096"/>
      </w:tblGrid>
      <w:tr w:rsidR="00395593" w:rsidRPr="00AC0363" w14:paraId="0600A3B5" w14:textId="77777777" w:rsidTr="00395593">
        <w:trPr>
          <w:trHeight w:val="315"/>
        </w:trPr>
        <w:tc>
          <w:tcPr>
            <w:tcW w:w="2090" w:type="pct"/>
            <w:tcBorders>
              <w:top w:val="nil"/>
              <w:left w:val="nil"/>
              <w:bottom w:val="nil"/>
              <w:right w:val="nil"/>
            </w:tcBorders>
            <w:shd w:val="clear" w:color="auto" w:fill="auto"/>
            <w:noWrap/>
            <w:hideMark/>
          </w:tcPr>
          <w:p w14:paraId="57BD0370"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Obs.: informar a unidade de medida utilizada.</w:t>
            </w:r>
          </w:p>
        </w:tc>
        <w:tc>
          <w:tcPr>
            <w:tcW w:w="663" w:type="pct"/>
            <w:tcBorders>
              <w:top w:val="nil"/>
              <w:left w:val="nil"/>
              <w:bottom w:val="nil"/>
              <w:right w:val="nil"/>
            </w:tcBorders>
            <w:shd w:val="clear" w:color="auto" w:fill="auto"/>
            <w:hideMark/>
          </w:tcPr>
          <w:p w14:paraId="0939B9C1" w14:textId="77777777" w:rsidR="00395593" w:rsidRPr="005C5CBD" w:rsidRDefault="00395593" w:rsidP="00E15FBB">
            <w:pPr>
              <w:spacing w:after="0" w:line="240" w:lineRule="auto"/>
              <w:rPr>
                <w:rFonts w:ascii="Garamond" w:eastAsia="Times New Roman" w:hAnsi="Garamond" w:cs="Calibri"/>
                <w:sz w:val="24"/>
                <w:szCs w:val="24"/>
                <w:lang w:eastAsia="pt-BR"/>
              </w:rPr>
            </w:pPr>
          </w:p>
        </w:tc>
        <w:tc>
          <w:tcPr>
            <w:tcW w:w="664" w:type="pct"/>
            <w:tcBorders>
              <w:top w:val="nil"/>
              <w:left w:val="nil"/>
              <w:bottom w:val="nil"/>
              <w:right w:val="nil"/>
            </w:tcBorders>
            <w:shd w:val="clear" w:color="auto" w:fill="auto"/>
            <w:hideMark/>
          </w:tcPr>
          <w:p w14:paraId="0697E155" w14:textId="77777777" w:rsidR="00395593" w:rsidRPr="005C5CBD" w:rsidRDefault="00395593" w:rsidP="00E15FBB">
            <w:pPr>
              <w:spacing w:after="0" w:line="240" w:lineRule="auto"/>
              <w:rPr>
                <w:rFonts w:ascii="Garamond" w:eastAsia="Times New Roman" w:hAnsi="Garamond" w:cs="Calibri"/>
                <w:sz w:val="24"/>
                <w:szCs w:val="24"/>
                <w:lang w:eastAsia="pt-BR"/>
              </w:rPr>
            </w:pPr>
          </w:p>
        </w:tc>
        <w:tc>
          <w:tcPr>
            <w:tcW w:w="430" w:type="pct"/>
            <w:tcBorders>
              <w:top w:val="nil"/>
              <w:left w:val="nil"/>
              <w:bottom w:val="nil"/>
              <w:right w:val="nil"/>
            </w:tcBorders>
            <w:shd w:val="clear" w:color="auto" w:fill="auto"/>
            <w:hideMark/>
          </w:tcPr>
          <w:p w14:paraId="0BAC208C" w14:textId="77777777" w:rsidR="00395593" w:rsidRPr="005C5CBD" w:rsidRDefault="00395593" w:rsidP="00E15FBB">
            <w:pPr>
              <w:spacing w:after="0" w:line="240" w:lineRule="auto"/>
              <w:rPr>
                <w:rFonts w:ascii="Garamond" w:eastAsia="Times New Roman" w:hAnsi="Garamond" w:cs="Calibri"/>
                <w:sz w:val="24"/>
                <w:szCs w:val="24"/>
                <w:lang w:eastAsia="pt-BR"/>
              </w:rPr>
            </w:pPr>
          </w:p>
        </w:tc>
        <w:tc>
          <w:tcPr>
            <w:tcW w:w="547" w:type="pct"/>
            <w:tcBorders>
              <w:top w:val="nil"/>
              <w:left w:val="nil"/>
              <w:bottom w:val="nil"/>
              <w:right w:val="nil"/>
            </w:tcBorders>
            <w:shd w:val="clear" w:color="auto" w:fill="auto"/>
            <w:hideMark/>
          </w:tcPr>
          <w:p w14:paraId="656943D8" w14:textId="77777777" w:rsidR="00395593" w:rsidRPr="005C5CBD" w:rsidRDefault="00395593" w:rsidP="00E15FBB">
            <w:pPr>
              <w:spacing w:after="0" w:line="240" w:lineRule="auto"/>
              <w:rPr>
                <w:rFonts w:ascii="Garamond" w:eastAsia="Times New Roman" w:hAnsi="Garamond" w:cs="Calibri"/>
                <w:sz w:val="24"/>
                <w:szCs w:val="24"/>
                <w:lang w:eastAsia="pt-BR"/>
              </w:rPr>
            </w:pPr>
          </w:p>
        </w:tc>
        <w:tc>
          <w:tcPr>
            <w:tcW w:w="606" w:type="pct"/>
            <w:tcBorders>
              <w:top w:val="nil"/>
              <w:left w:val="nil"/>
              <w:bottom w:val="nil"/>
              <w:right w:val="nil"/>
            </w:tcBorders>
            <w:shd w:val="clear" w:color="auto" w:fill="auto"/>
            <w:hideMark/>
          </w:tcPr>
          <w:p w14:paraId="125C9D06" w14:textId="77777777" w:rsidR="00395593" w:rsidRPr="005C5CBD" w:rsidRDefault="00395593" w:rsidP="00E15FBB">
            <w:pPr>
              <w:spacing w:after="0" w:line="240" w:lineRule="auto"/>
              <w:rPr>
                <w:rFonts w:ascii="Garamond" w:eastAsia="Times New Roman" w:hAnsi="Garamond" w:cs="Calibri"/>
                <w:sz w:val="24"/>
                <w:szCs w:val="24"/>
                <w:lang w:eastAsia="pt-BR"/>
              </w:rPr>
            </w:pPr>
          </w:p>
        </w:tc>
      </w:tr>
    </w:tbl>
    <w:p w14:paraId="619516E4" w14:textId="77777777" w:rsidR="00395593" w:rsidRPr="005C5CBD" w:rsidRDefault="00395593" w:rsidP="00E15FBB">
      <w:pPr>
        <w:spacing w:after="0" w:line="240" w:lineRule="auto"/>
        <w:jc w:val="center"/>
        <w:rPr>
          <w:rFonts w:ascii="Garamond" w:eastAsia="Calibri" w:hAnsi="Garamond" w:cs="Calibri"/>
          <w:sz w:val="24"/>
          <w:szCs w:val="24"/>
        </w:rPr>
        <w:sectPr w:rsidR="00395593" w:rsidRPr="005C5CBD" w:rsidSect="00E15FBB">
          <w:footnotePr>
            <w:numRestart w:val="eachSect"/>
          </w:footnotePr>
          <w:pgSz w:w="11900" w:h="16840"/>
          <w:pgMar w:top="1418" w:right="860" w:bottom="1134" w:left="1418" w:header="720" w:footer="720" w:gutter="0"/>
          <w:cols w:space="720" w:equalWidth="0">
            <w:col w:w="9622"/>
          </w:cols>
          <w:noEndnote/>
        </w:sectPr>
      </w:pPr>
    </w:p>
    <w:tbl>
      <w:tblPr>
        <w:tblW w:w="5000" w:type="pct"/>
        <w:tblCellMar>
          <w:left w:w="70" w:type="dxa"/>
          <w:right w:w="70" w:type="dxa"/>
        </w:tblCellMar>
        <w:tblLook w:val="04A0" w:firstRow="1" w:lastRow="0" w:firstColumn="1" w:lastColumn="0" w:noHBand="0" w:noVBand="1"/>
      </w:tblPr>
      <w:tblGrid>
        <w:gridCol w:w="14003"/>
      </w:tblGrid>
      <w:tr w:rsidR="00395593" w:rsidRPr="00AC0363" w14:paraId="11E80BB9" w14:textId="77777777" w:rsidTr="00395593">
        <w:trPr>
          <w:trHeight w:val="300"/>
        </w:trPr>
        <w:tc>
          <w:tcPr>
            <w:tcW w:w="5000" w:type="pct"/>
            <w:tcBorders>
              <w:top w:val="nil"/>
              <w:left w:val="nil"/>
              <w:bottom w:val="nil"/>
              <w:right w:val="nil"/>
            </w:tcBorders>
            <w:shd w:val="clear" w:color="auto" w:fill="auto"/>
            <w:noWrap/>
            <w:vAlign w:val="bottom"/>
            <w:hideMark/>
          </w:tcPr>
          <w:p w14:paraId="2F9C154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APÊNDICE IX</w:t>
            </w:r>
          </w:p>
        </w:tc>
      </w:tr>
      <w:tr w:rsidR="00395593" w:rsidRPr="00AC0363" w14:paraId="0F2D933B" w14:textId="77777777" w:rsidTr="00395593">
        <w:trPr>
          <w:trHeight w:val="300"/>
        </w:trPr>
        <w:tc>
          <w:tcPr>
            <w:tcW w:w="5000" w:type="pct"/>
            <w:tcBorders>
              <w:top w:val="nil"/>
              <w:left w:val="nil"/>
              <w:bottom w:val="nil"/>
              <w:right w:val="nil"/>
            </w:tcBorders>
            <w:shd w:val="clear" w:color="auto" w:fill="auto"/>
            <w:noWrap/>
            <w:vAlign w:val="bottom"/>
            <w:hideMark/>
          </w:tcPr>
          <w:p w14:paraId="0E167906"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ESTOQUES</w:t>
            </w:r>
          </w:p>
        </w:tc>
      </w:tr>
    </w:tbl>
    <w:p w14:paraId="6275ECD0" w14:textId="77777777" w:rsidR="00395593" w:rsidRPr="005C5CBD" w:rsidRDefault="00395593" w:rsidP="00E15FBB">
      <w:pPr>
        <w:spacing w:after="0" w:line="240" w:lineRule="auto"/>
        <w:jc w:val="center"/>
        <w:rPr>
          <w:rFonts w:ascii="Garamond" w:eastAsia="Calibri" w:hAnsi="Garamond" w:cs="Calibri"/>
          <w:sz w:val="24"/>
          <w:szCs w:val="24"/>
        </w:rPr>
      </w:pPr>
    </w:p>
    <w:tbl>
      <w:tblPr>
        <w:tblW w:w="5000" w:type="pct"/>
        <w:jc w:val="center"/>
        <w:tblCellMar>
          <w:left w:w="70" w:type="dxa"/>
          <w:right w:w="70" w:type="dxa"/>
        </w:tblCellMar>
        <w:tblLook w:val="04A0" w:firstRow="1" w:lastRow="0" w:firstColumn="1" w:lastColumn="0" w:noHBand="0" w:noVBand="1"/>
      </w:tblPr>
      <w:tblGrid>
        <w:gridCol w:w="2630"/>
        <w:gridCol w:w="554"/>
        <w:gridCol w:w="917"/>
        <w:gridCol w:w="897"/>
        <w:gridCol w:w="1222"/>
        <w:gridCol w:w="1113"/>
        <w:gridCol w:w="1041"/>
        <w:gridCol w:w="965"/>
        <w:gridCol w:w="1222"/>
        <w:gridCol w:w="443"/>
        <w:gridCol w:w="461"/>
        <w:gridCol w:w="470"/>
        <w:gridCol w:w="569"/>
        <w:gridCol w:w="572"/>
        <w:gridCol w:w="917"/>
      </w:tblGrid>
      <w:tr w:rsidR="00395593" w:rsidRPr="00AC0363" w14:paraId="0224C2D3" w14:textId="77777777" w:rsidTr="00395593">
        <w:trPr>
          <w:trHeight w:val="1800"/>
          <w:jc w:val="center"/>
        </w:trPr>
        <w:tc>
          <w:tcPr>
            <w:tcW w:w="11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0AD21C" w14:textId="77777777" w:rsidR="00395593" w:rsidRPr="005C5CBD" w:rsidRDefault="00395593" w:rsidP="00E15FBB">
            <w:pPr>
              <w:spacing w:after="0" w:line="240" w:lineRule="auto"/>
              <w:jc w:val="center"/>
              <w:rPr>
                <w:rFonts w:ascii="Garamond" w:eastAsia="Times New Roman" w:hAnsi="Garamond" w:cs="Calibri"/>
                <w:b/>
                <w:color w:val="FF0000"/>
                <w:lang w:eastAsia="pt-BR"/>
              </w:rPr>
            </w:pPr>
            <w:r w:rsidRPr="005C5CBD">
              <w:rPr>
                <w:rFonts w:ascii="Garamond" w:eastAsia="Times New Roman" w:hAnsi="Garamond" w:cs="Calibri"/>
                <w:b/>
                <w:color w:val="FF0000"/>
                <w:lang w:eastAsia="pt-BR"/>
              </w:rPr>
              <w:t xml:space="preserve">Empresa </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772B613F"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 xml:space="preserve"> Estoque Inicial </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563EAF5D"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 xml:space="preserve"> rodução </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3DDA57D4"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 xml:space="preserve"> Importação / Aquisição no mercado brasileiro </w:t>
            </w:r>
          </w:p>
        </w:tc>
        <w:tc>
          <w:tcPr>
            <w:tcW w:w="404" w:type="pct"/>
            <w:tcBorders>
              <w:top w:val="single" w:sz="4" w:space="0" w:color="auto"/>
              <w:left w:val="nil"/>
              <w:bottom w:val="single" w:sz="4" w:space="0" w:color="auto"/>
              <w:right w:val="single" w:sz="4" w:space="0" w:color="auto"/>
            </w:tcBorders>
            <w:shd w:val="clear" w:color="auto" w:fill="auto"/>
            <w:vAlign w:val="center"/>
            <w:hideMark/>
          </w:tcPr>
          <w:p w14:paraId="7C684012"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 xml:space="preserve"> Vendas do produto similar de fabricação própria no mercado interno </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466EED7F"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 xml:space="preserve"> Revendas do produto similar no mercado interno </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2899FDD3"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 xml:space="preserve"> Vendas Mercado Externo </w:t>
            </w:r>
          </w:p>
        </w:tc>
        <w:tc>
          <w:tcPr>
            <w:tcW w:w="426" w:type="pct"/>
            <w:tcBorders>
              <w:top w:val="single" w:sz="4" w:space="0" w:color="auto"/>
              <w:left w:val="nil"/>
              <w:bottom w:val="single" w:sz="4" w:space="0" w:color="auto"/>
              <w:right w:val="single" w:sz="4" w:space="0" w:color="auto"/>
            </w:tcBorders>
            <w:shd w:val="clear" w:color="auto" w:fill="auto"/>
            <w:vAlign w:val="center"/>
            <w:hideMark/>
          </w:tcPr>
          <w:p w14:paraId="36AB5594"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 xml:space="preserve"> Devoluções </w:t>
            </w:r>
          </w:p>
        </w:tc>
        <w:tc>
          <w:tcPr>
            <w:tcW w:w="920" w:type="pct"/>
            <w:gridSpan w:val="5"/>
            <w:tcBorders>
              <w:top w:val="single" w:sz="4" w:space="0" w:color="auto"/>
              <w:left w:val="nil"/>
              <w:bottom w:val="single" w:sz="4" w:space="0" w:color="auto"/>
              <w:right w:val="single" w:sz="4" w:space="0" w:color="auto"/>
            </w:tcBorders>
            <w:shd w:val="clear" w:color="auto" w:fill="auto"/>
            <w:vAlign w:val="center"/>
            <w:hideMark/>
          </w:tcPr>
          <w:p w14:paraId="65FEE502"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 xml:space="preserve"> Outras Entradas e Saídas </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7EA45A2F"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 xml:space="preserve"> Estoque Final </w:t>
            </w:r>
          </w:p>
        </w:tc>
      </w:tr>
      <w:tr w:rsidR="00395593" w:rsidRPr="00AC0363" w14:paraId="0E74F605" w14:textId="77777777" w:rsidTr="00395593">
        <w:trPr>
          <w:trHeight w:val="450"/>
          <w:jc w:val="center"/>
        </w:trPr>
        <w:tc>
          <w:tcPr>
            <w:tcW w:w="912" w:type="pct"/>
            <w:tcBorders>
              <w:top w:val="nil"/>
              <w:left w:val="single" w:sz="4" w:space="0" w:color="auto"/>
              <w:bottom w:val="single" w:sz="4" w:space="0" w:color="auto"/>
              <w:right w:val="nil"/>
            </w:tcBorders>
            <w:shd w:val="clear" w:color="000000" w:fill="FFFFFF"/>
            <w:vAlign w:val="center"/>
            <w:hideMark/>
          </w:tcPr>
          <w:p w14:paraId="5752D4F8"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Unidade (Peso/comercialização):</w:t>
            </w:r>
          </w:p>
        </w:tc>
        <w:tc>
          <w:tcPr>
            <w:tcW w:w="204" w:type="pct"/>
            <w:tcBorders>
              <w:top w:val="nil"/>
              <w:left w:val="nil"/>
              <w:bottom w:val="single" w:sz="4" w:space="0" w:color="auto"/>
              <w:right w:val="single" w:sz="4" w:space="0" w:color="auto"/>
            </w:tcBorders>
            <w:shd w:val="clear" w:color="000000" w:fill="FFFFFF"/>
            <w:noWrap/>
            <w:vAlign w:val="bottom"/>
            <w:hideMark/>
          </w:tcPr>
          <w:p w14:paraId="1FC11068"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321" w:type="pct"/>
            <w:tcBorders>
              <w:top w:val="nil"/>
              <w:left w:val="nil"/>
              <w:bottom w:val="single" w:sz="4" w:space="0" w:color="auto"/>
              <w:right w:val="single" w:sz="4" w:space="0" w:color="auto"/>
            </w:tcBorders>
            <w:shd w:val="clear" w:color="auto" w:fill="auto"/>
            <w:vAlign w:val="center"/>
            <w:hideMark/>
          </w:tcPr>
          <w:p w14:paraId="4C9F15E3"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A </w:t>
            </w:r>
          </w:p>
        </w:tc>
        <w:tc>
          <w:tcPr>
            <w:tcW w:w="325" w:type="pct"/>
            <w:tcBorders>
              <w:top w:val="nil"/>
              <w:left w:val="nil"/>
              <w:bottom w:val="single" w:sz="4" w:space="0" w:color="auto"/>
              <w:right w:val="single" w:sz="4" w:space="0" w:color="auto"/>
            </w:tcBorders>
            <w:shd w:val="clear" w:color="auto" w:fill="auto"/>
            <w:vAlign w:val="center"/>
            <w:hideMark/>
          </w:tcPr>
          <w:p w14:paraId="0E17707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B </w:t>
            </w:r>
          </w:p>
        </w:tc>
        <w:tc>
          <w:tcPr>
            <w:tcW w:w="443" w:type="pct"/>
            <w:tcBorders>
              <w:top w:val="nil"/>
              <w:left w:val="nil"/>
              <w:bottom w:val="single" w:sz="4" w:space="0" w:color="auto"/>
              <w:right w:val="single" w:sz="4" w:space="0" w:color="auto"/>
            </w:tcBorders>
            <w:shd w:val="clear" w:color="auto" w:fill="auto"/>
            <w:vAlign w:val="center"/>
            <w:hideMark/>
          </w:tcPr>
          <w:p w14:paraId="34427E9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C </w:t>
            </w:r>
          </w:p>
        </w:tc>
        <w:tc>
          <w:tcPr>
            <w:tcW w:w="404" w:type="pct"/>
            <w:tcBorders>
              <w:top w:val="nil"/>
              <w:left w:val="nil"/>
              <w:bottom w:val="single" w:sz="4" w:space="0" w:color="auto"/>
              <w:right w:val="single" w:sz="4" w:space="0" w:color="auto"/>
            </w:tcBorders>
            <w:shd w:val="clear" w:color="auto" w:fill="auto"/>
            <w:vAlign w:val="center"/>
            <w:hideMark/>
          </w:tcPr>
          <w:p w14:paraId="760030C3"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D </w:t>
            </w:r>
          </w:p>
        </w:tc>
        <w:tc>
          <w:tcPr>
            <w:tcW w:w="373" w:type="pct"/>
            <w:tcBorders>
              <w:top w:val="nil"/>
              <w:left w:val="nil"/>
              <w:bottom w:val="single" w:sz="4" w:space="0" w:color="auto"/>
              <w:right w:val="single" w:sz="4" w:space="0" w:color="auto"/>
            </w:tcBorders>
            <w:shd w:val="clear" w:color="auto" w:fill="auto"/>
            <w:vAlign w:val="center"/>
            <w:hideMark/>
          </w:tcPr>
          <w:p w14:paraId="005B9FF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E </w:t>
            </w:r>
          </w:p>
        </w:tc>
        <w:tc>
          <w:tcPr>
            <w:tcW w:w="351" w:type="pct"/>
            <w:tcBorders>
              <w:top w:val="nil"/>
              <w:left w:val="nil"/>
              <w:bottom w:val="single" w:sz="4" w:space="0" w:color="auto"/>
              <w:right w:val="single" w:sz="4" w:space="0" w:color="auto"/>
            </w:tcBorders>
            <w:shd w:val="clear" w:color="auto" w:fill="auto"/>
            <w:vAlign w:val="center"/>
            <w:hideMark/>
          </w:tcPr>
          <w:p w14:paraId="56150C7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F </w:t>
            </w:r>
          </w:p>
        </w:tc>
        <w:tc>
          <w:tcPr>
            <w:tcW w:w="426" w:type="pct"/>
            <w:tcBorders>
              <w:top w:val="nil"/>
              <w:left w:val="nil"/>
              <w:bottom w:val="single" w:sz="4" w:space="0" w:color="auto"/>
              <w:right w:val="single" w:sz="4" w:space="0" w:color="auto"/>
            </w:tcBorders>
            <w:shd w:val="clear" w:color="auto" w:fill="auto"/>
            <w:vAlign w:val="center"/>
            <w:hideMark/>
          </w:tcPr>
          <w:p w14:paraId="008C187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G </w:t>
            </w:r>
          </w:p>
        </w:tc>
        <w:tc>
          <w:tcPr>
            <w:tcW w:w="160" w:type="pct"/>
            <w:tcBorders>
              <w:top w:val="nil"/>
              <w:left w:val="nil"/>
              <w:bottom w:val="single" w:sz="4" w:space="0" w:color="auto"/>
              <w:right w:val="single" w:sz="4" w:space="0" w:color="auto"/>
            </w:tcBorders>
            <w:shd w:val="clear" w:color="auto" w:fill="auto"/>
            <w:vAlign w:val="center"/>
            <w:hideMark/>
          </w:tcPr>
          <w:p w14:paraId="19941A73"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H1 </w:t>
            </w:r>
          </w:p>
        </w:tc>
        <w:tc>
          <w:tcPr>
            <w:tcW w:w="160" w:type="pct"/>
            <w:tcBorders>
              <w:top w:val="nil"/>
              <w:left w:val="nil"/>
              <w:bottom w:val="single" w:sz="4" w:space="0" w:color="auto"/>
              <w:right w:val="single" w:sz="4" w:space="0" w:color="auto"/>
            </w:tcBorders>
            <w:shd w:val="clear" w:color="auto" w:fill="auto"/>
            <w:vAlign w:val="center"/>
            <w:hideMark/>
          </w:tcPr>
          <w:p w14:paraId="61C7799B"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H2 </w:t>
            </w:r>
          </w:p>
        </w:tc>
        <w:tc>
          <w:tcPr>
            <w:tcW w:w="182" w:type="pct"/>
            <w:tcBorders>
              <w:top w:val="nil"/>
              <w:left w:val="nil"/>
              <w:bottom w:val="single" w:sz="4" w:space="0" w:color="auto"/>
              <w:right w:val="single" w:sz="4" w:space="0" w:color="auto"/>
            </w:tcBorders>
            <w:shd w:val="clear" w:color="auto" w:fill="auto"/>
            <w:vAlign w:val="center"/>
            <w:hideMark/>
          </w:tcPr>
          <w:p w14:paraId="3C910DC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H3 </w:t>
            </w:r>
          </w:p>
        </w:tc>
        <w:tc>
          <w:tcPr>
            <w:tcW w:w="209" w:type="pct"/>
            <w:tcBorders>
              <w:top w:val="nil"/>
              <w:left w:val="nil"/>
              <w:bottom w:val="single" w:sz="4" w:space="0" w:color="auto"/>
              <w:right w:val="single" w:sz="4" w:space="0" w:color="auto"/>
            </w:tcBorders>
            <w:shd w:val="clear" w:color="auto" w:fill="auto"/>
            <w:vAlign w:val="center"/>
            <w:hideMark/>
          </w:tcPr>
          <w:p w14:paraId="23C9909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H4 </w:t>
            </w:r>
          </w:p>
        </w:tc>
        <w:tc>
          <w:tcPr>
            <w:tcW w:w="210" w:type="pct"/>
            <w:tcBorders>
              <w:top w:val="nil"/>
              <w:left w:val="nil"/>
              <w:bottom w:val="single" w:sz="4" w:space="0" w:color="auto"/>
              <w:right w:val="single" w:sz="4" w:space="0" w:color="auto"/>
            </w:tcBorders>
            <w:shd w:val="clear" w:color="auto" w:fill="auto"/>
            <w:vAlign w:val="center"/>
            <w:hideMark/>
          </w:tcPr>
          <w:p w14:paraId="06BBA9E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H5 </w:t>
            </w:r>
          </w:p>
        </w:tc>
        <w:tc>
          <w:tcPr>
            <w:tcW w:w="321" w:type="pct"/>
            <w:tcBorders>
              <w:top w:val="nil"/>
              <w:left w:val="nil"/>
              <w:bottom w:val="single" w:sz="4" w:space="0" w:color="auto"/>
              <w:right w:val="single" w:sz="4" w:space="0" w:color="auto"/>
            </w:tcBorders>
            <w:shd w:val="clear" w:color="auto" w:fill="auto"/>
            <w:vAlign w:val="center"/>
            <w:hideMark/>
          </w:tcPr>
          <w:p w14:paraId="687292C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I </w:t>
            </w:r>
          </w:p>
        </w:tc>
      </w:tr>
      <w:tr w:rsidR="00E74A36" w:rsidRPr="00AC0363" w14:paraId="3F2A066D" w14:textId="77777777" w:rsidTr="005C5CBD">
        <w:trPr>
          <w:trHeight w:val="510"/>
          <w:jc w:val="center"/>
        </w:trPr>
        <w:tc>
          <w:tcPr>
            <w:tcW w:w="912"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380ED39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Período</w:t>
            </w:r>
          </w:p>
        </w:tc>
        <w:tc>
          <w:tcPr>
            <w:tcW w:w="204" w:type="pct"/>
            <w:tcBorders>
              <w:top w:val="nil"/>
              <w:left w:val="nil"/>
              <w:bottom w:val="single" w:sz="4" w:space="0" w:color="auto"/>
              <w:right w:val="single" w:sz="4" w:space="0" w:color="auto"/>
            </w:tcBorders>
            <w:shd w:val="clear" w:color="auto" w:fill="auto"/>
            <w:vAlign w:val="center"/>
            <w:hideMark/>
          </w:tcPr>
          <w:p w14:paraId="2BD917E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P1</w:t>
            </w:r>
          </w:p>
        </w:tc>
        <w:tc>
          <w:tcPr>
            <w:tcW w:w="321" w:type="pct"/>
            <w:tcBorders>
              <w:top w:val="nil"/>
              <w:left w:val="nil"/>
              <w:bottom w:val="nil"/>
              <w:right w:val="nil"/>
            </w:tcBorders>
            <w:shd w:val="clear" w:color="auto" w:fill="D9D9D9"/>
            <w:vAlign w:val="center"/>
            <w:hideMark/>
          </w:tcPr>
          <w:p w14:paraId="4277125F"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w:t>
            </w:r>
          </w:p>
        </w:tc>
        <w:tc>
          <w:tcPr>
            <w:tcW w:w="325" w:type="pct"/>
            <w:tcBorders>
              <w:top w:val="nil"/>
              <w:left w:val="single" w:sz="4" w:space="0" w:color="auto"/>
              <w:bottom w:val="nil"/>
              <w:right w:val="single" w:sz="4" w:space="0" w:color="auto"/>
            </w:tcBorders>
            <w:shd w:val="clear" w:color="auto" w:fill="auto"/>
            <w:vAlign w:val="center"/>
            <w:hideMark/>
          </w:tcPr>
          <w:p w14:paraId="6D08A059"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0"/>
                <w:szCs w:val="20"/>
              </w:rPr>
              <w:t> </w:t>
            </w:r>
          </w:p>
        </w:tc>
        <w:tc>
          <w:tcPr>
            <w:tcW w:w="443" w:type="pct"/>
            <w:tcBorders>
              <w:top w:val="nil"/>
              <w:left w:val="nil"/>
              <w:bottom w:val="nil"/>
              <w:right w:val="single" w:sz="4" w:space="0" w:color="auto"/>
            </w:tcBorders>
            <w:shd w:val="clear" w:color="auto" w:fill="auto"/>
            <w:vAlign w:val="center"/>
            <w:hideMark/>
          </w:tcPr>
          <w:p w14:paraId="7EFC6E5D"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0"/>
                <w:szCs w:val="20"/>
              </w:rPr>
              <w:t> </w:t>
            </w:r>
          </w:p>
        </w:tc>
        <w:tc>
          <w:tcPr>
            <w:tcW w:w="404" w:type="pct"/>
            <w:tcBorders>
              <w:top w:val="nil"/>
              <w:left w:val="nil"/>
              <w:bottom w:val="nil"/>
              <w:right w:val="single" w:sz="4" w:space="0" w:color="auto"/>
            </w:tcBorders>
            <w:shd w:val="clear" w:color="auto" w:fill="auto"/>
            <w:vAlign w:val="center"/>
            <w:hideMark/>
          </w:tcPr>
          <w:p w14:paraId="3522E5B0"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0"/>
                <w:szCs w:val="20"/>
              </w:rPr>
              <w:t> </w:t>
            </w:r>
          </w:p>
        </w:tc>
        <w:tc>
          <w:tcPr>
            <w:tcW w:w="373" w:type="pct"/>
            <w:tcBorders>
              <w:top w:val="nil"/>
              <w:left w:val="nil"/>
              <w:bottom w:val="nil"/>
              <w:right w:val="single" w:sz="4" w:space="0" w:color="auto"/>
            </w:tcBorders>
            <w:shd w:val="clear" w:color="auto" w:fill="auto"/>
            <w:vAlign w:val="center"/>
            <w:hideMark/>
          </w:tcPr>
          <w:p w14:paraId="16D26D2D"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0"/>
                <w:szCs w:val="20"/>
              </w:rPr>
              <w:t> </w:t>
            </w:r>
          </w:p>
        </w:tc>
        <w:tc>
          <w:tcPr>
            <w:tcW w:w="351" w:type="pct"/>
            <w:tcBorders>
              <w:top w:val="nil"/>
              <w:left w:val="nil"/>
              <w:bottom w:val="nil"/>
              <w:right w:val="single" w:sz="4" w:space="0" w:color="auto"/>
            </w:tcBorders>
            <w:shd w:val="clear" w:color="auto" w:fill="auto"/>
            <w:vAlign w:val="center"/>
            <w:hideMark/>
          </w:tcPr>
          <w:p w14:paraId="21B321D4"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0"/>
                <w:szCs w:val="20"/>
              </w:rPr>
              <w:t> </w:t>
            </w:r>
          </w:p>
        </w:tc>
        <w:tc>
          <w:tcPr>
            <w:tcW w:w="426" w:type="pct"/>
            <w:tcBorders>
              <w:top w:val="nil"/>
              <w:left w:val="nil"/>
              <w:bottom w:val="nil"/>
              <w:right w:val="single" w:sz="4" w:space="0" w:color="auto"/>
            </w:tcBorders>
            <w:shd w:val="clear" w:color="auto" w:fill="auto"/>
            <w:vAlign w:val="center"/>
            <w:hideMark/>
          </w:tcPr>
          <w:p w14:paraId="70258A9E"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0"/>
                <w:szCs w:val="20"/>
              </w:rPr>
              <w:t> </w:t>
            </w:r>
          </w:p>
        </w:tc>
        <w:tc>
          <w:tcPr>
            <w:tcW w:w="160" w:type="pct"/>
            <w:tcBorders>
              <w:top w:val="nil"/>
              <w:left w:val="nil"/>
              <w:bottom w:val="nil"/>
              <w:right w:val="single" w:sz="4" w:space="0" w:color="auto"/>
            </w:tcBorders>
            <w:shd w:val="clear" w:color="auto" w:fill="auto"/>
            <w:vAlign w:val="center"/>
            <w:hideMark/>
          </w:tcPr>
          <w:p w14:paraId="6B43CFF9"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0"/>
                <w:szCs w:val="20"/>
              </w:rPr>
              <w:t> </w:t>
            </w:r>
          </w:p>
        </w:tc>
        <w:tc>
          <w:tcPr>
            <w:tcW w:w="160" w:type="pct"/>
            <w:tcBorders>
              <w:top w:val="nil"/>
              <w:left w:val="nil"/>
              <w:bottom w:val="nil"/>
              <w:right w:val="single" w:sz="4" w:space="0" w:color="auto"/>
            </w:tcBorders>
            <w:shd w:val="clear" w:color="auto" w:fill="auto"/>
            <w:vAlign w:val="center"/>
            <w:hideMark/>
          </w:tcPr>
          <w:p w14:paraId="238E77F9"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0"/>
                <w:szCs w:val="20"/>
              </w:rPr>
              <w:t> </w:t>
            </w:r>
          </w:p>
        </w:tc>
        <w:tc>
          <w:tcPr>
            <w:tcW w:w="182" w:type="pct"/>
            <w:tcBorders>
              <w:top w:val="nil"/>
              <w:left w:val="nil"/>
              <w:bottom w:val="nil"/>
              <w:right w:val="single" w:sz="4" w:space="0" w:color="auto"/>
            </w:tcBorders>
            <w:shd w:val="clear" w:color="auto" w:fill="auto"/>
            <w:vAlign w:val="center"/>
            <w:hideMark/>
          </w:tcPr>
          <w:p w14:paraId="2B9D5051"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0"/>
                <w:szCs w:val="20"/>
              </w:rPr>
              <w:t> </w:t>
            </w:r>
          </w:p>
        </w:tc>
        <w:tc>
          <w:tcPr>
            <w:tcW w:w="209" w:type="pct"/>
            <w:tcBorders>
              <w:top w:val="nil"/>
              <w:left w:val="nil"/>
              <w:bottom w:val="nil"/>
              <w:right w:val="single" w:sz="4" w:space="0" w:color="auto"/>
            </w:tcBorders>
            <w:shd w:val="clear" w:color="auto" w:fill="auto"/>
            <w:vAlign w:val="center"/>
            <w:hideMark/>
          </w:tcPr>
          <w:p w14:paraId="4D1F0A7E"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0"/>
                <w:szCs w:val="20"/>
              </w:rPr>
              <w:t> </w:t>
            </w:r>
          </w:p>
        </w:tc>
        <w:tc>
          <w:tcPr>
            <w:tcW w:w="210" w:type="pct"/>
            <w:tcBorders>
              <w:top w:val="nil"/>
              <w:left w:val="nil"/>
              <w:bottom w:val="nil"/>
              <w:right w:val="single" w:sz="4" w:space="0" w:color="auto"/>
            </w:tcBorders>
            <w:shd w:val="clear" w:color="auto" w:fill="auto"/>
            <w:vAlign w:val="center"/>
            <w:hideMark/>
          </w:tcPr>
          <w:p w14:paraId="3AE26029"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321" w:type="pct"/>
            <w:tcBorders>
              <w:top w:val="nil"/>
              <w:left w:val="nil"/>
              <w:bottom w:val="nil"/>
              <w:right w:val="single" w:sz="4" w:space="0" w:color="auto"/>
            </w:tcBorders>
            <w:shd w:val="clear" w:color="auto" w:fill="D9D9D9"/>
            <w:vAlign w:val="center"/>
            <w:hideMark/>
          </w:tcPr>
          <w:p w14:paraId="198FDD50"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w:t>
            </w:r>
          </w:p>
        </w:tc>
      </w:tr>
      <w:tr w:rsidR="00395593" w:rsidRPr="00AC0363" w14:paraId="2E42E621" w14:textId="77777777" w:rsidTr="005C5CBD">
        <w:trPr>
          <w:trHeight w:val="480"/>
          <w:jc w:val="center"/>
        </w:trPr>
        <w:tc>
          <w:tcPr>
            <w:tcW w:w="912" w:type="pct"/>
            <w:vMerge/>
            <w:tcBorders>
              <w:top w:val="nil"/>
              <w:left w:val="single" w:sz="4" w:space="0" w:color="auto"/>
              <w:bottom w:val="single" w:sz="4" w:space="0" w:color="000000"/>
              <w:right w:val="single" w:sz="4" w:space="0" w:color="auto"/>
            </w:tcBorders>
            <w:vAlign w:val="center"/>
            <w:hideMark/>
          </w:tcPr>
          <w:p w14:paraId="4A455E8F"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204" w:type="pct"/>
            <w:tcBorders>
              <w:top w:val="nil"/>
              <w:left w:val="nil"/>
              <w:bottom w:val="single" w:sz="4" w:space="0" w:color="auto"/>
              <w:right w:val="single" w:sz="4" w:space="0" w:color="auto"/>
            </w:tcBorders>
            <w:shd w:val="clear" w:color="auto" w:fill="auto"/>
            <w:vAlign w:val="center"/>
            <w:hideMark/>
          </w:tcPr>
          <w:p w14:paraId="6249816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P2</w:t>
            </w:r>
          </w:p>
        </w:tc>
        <w:tc>
          <w:tcPr>
            <w:tcW w:w="321" w:type="pct"/>
            <w:tcBorders>
              <w:top w:val="nil"/>
              <w:left w:val="nil"/>
              <w:bottom w:val="nil"/>
              <w:right w:val="single" w:sz="4" w:space="0" w:color="auto"/>
            </w:tcBorders>
            <w:shd w:val="clear" w:color="auto" w:fill="D9D9D9"/>
            <w:vAlign w:val="center"/>
            <w:hideMark/>
          </w:tcPr>
          <w:p w14:paraId="38F6CE2C"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w:t>
            </w:r>
          </w:p>
        </w:tc>
        <w:tc>
          <w:tcPr>
            <w:tcW w:w="325" w:type="pct"/>
            <w:tcBorders>
              <w:top w:val="nil"/>
              <w:left w:val="nil"/>
              <w:bottom w:val="nil"/>
              <w:right w:val="single" w:sz="4" w:space="0" w:color="auto"/>
            </w:tcBorders>
            <w:shd w:val="clear" w:color="auto" w:fill="auto"/>
            <w:vAlign w:val="center"/>
            <w:hideMark/>
          </w:tcPr>
          <w:p w14:paraId="6F5041D4"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443" w:type="pct"/>
            <w:tcBorders>
              <w:top w:val="nil"/>
              <w:left w:val="nil"/>
              <w:bottom w:val="nil"/>
              <w:right w:val="single" w:sz="4" w:space="0" w:color="auto"/>
            </w:tcBorders>
            <w:shd w:val="clear" w:color="auto" w:fill="auto"/>
            <w:vAlign w:val="center"/>
            <w:hideMark/>
          </w:tcPr>
          <w:p w14:paraId="74FA45AB"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404" w:type="pct"/>
            <w:tcBorders>
              <w:top w:val="nil"/>
              <w:left w:val="nil"/>
              <w:bottom w:val="nil"/>
              <w:right w:val="single" w:sz="4" w:space="0" w:color="auto"/>
            </w:tcBorders>
            <w:shd w:val="clear" w:color="auto" w:fill="auto"/>
            <w:vAlign w:val="center"/>
            <w:hideMark/>
          </w:tcPr>
          <w:p w14:paraId="404FA170"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373" w:type="pct"/>
            <w:tcBorders>
              <w:top w:val="nil"/>
              <w:left w:val="nil"/>
              <w:bottom w:val="nil"/>
              <w:right w:val="single" w:sz="4" w:space="0" w:color="auto"/>
            </w:tcBorders>
            <w:shd w:val="clear" w:color="auto" w:fill="auto"/>
            <w:vAlign w:val="center"/>
            <w:hideMark/>
          </w:tcPr>
          <w:p w14:paraId="49F12A51"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351" w:type="pct"/>
            <w:tcBorders>
              <w:top w:val="nil"/>
              <w:left w:val="nil"/>
              <w:bottom w:val="nil"/>
              <w:right w:val="single" w:sz="4" w:space="0" w:color="auto"/>
            </w:tcBorders>
            <w:shd w:val="clear" w:color="auto" w:fill="auto"/>
            <w:vAlign w:val="center"/>
            <w:hideMark/>
          </w:tcPr>
          <w:p w14:paraId="43F13D18"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426" w:type="pct"/>
            <w:tcBorders>
              <w:top w:val="nil"/>
              <w:left w:val="nil"/>
              <w:bottom w:val="nil"/>
              <w:right w:val="single" w:sz="4" w:space="0" w:color="auto"/>
            </w:tcBorders>
            <w:shd w:val="clear" w:color="auto" w:fill="auto"/>
            <w:vAlign w:val="center"/>
            <w:hideMark/>
          </w:tcPr>
          <w:p w14:paraId="18C18921"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160" w:type="pct"/>
            <w:tcBorders>
              <w:top w:val="nil"/>
              <w:left w:val="nil"/>
              <w:bottom w:val="nil"/>
              <w:right w:val="single" w:sz="4" w:space="0" w:color="auto"/>
            </w:tcBorders>
            <w:shd w:val="clear" w:color="auto" w:fill="auto"/>
            <w:vAlign w:val="center"/>
            <w:hideMark/>
          </w:tcPr>
          <w:p w14:paraId="53B66E6F"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160" w:type="pct"/>
            <w:tcBorders>
              <w:top w:val="nil"/>
              <w:left w:val="nil"/>
              <w:bottom w:val="nil"/>
              <w:right w:val="single" w:sz="4" w:space="0" w:color="auto"/>
            </w:tcBorders>
            <w:shd w:val="clear" w:color="auto" w:fill="auto"/>
            <w:vAlign w:val="center"/>
            <w:hideMark/>
          </w:tcPr>
          <w:p w14:paraId="18B7820D"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182" w:type="pct"/>
            <w:tcBorders>
              <w:top w:val="nil"/>
              <w:left w:val="nil"/>
              <w:bottom w:val="nil"/>
              <w:right w:val="single" w:sz="4" w:space="0" w:color="auto"/>
            </w:tcBorders>
            <w:shd w:val="clear" w:color="auto" w:fill="auto"/>
            <w:vAlign w:val="center"/>
            <w:hideMark/>
          </w:tcPr>
          <w:p w14:paraId="5304EB83"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209" w:type="pct"/>
            <w:tcBorders>
              <w:top w:val="nil"/>
              <w:left w:val="nil"/>
              <w:bottom w:val="nil"/>
              <w:right w:val="single" w:sz="4" w:space="0" w:color="auto"/>
            </w:tcBorders>
            <w:shd w:val="clear" w:color="auto" w:fill="auto"/>
            <w:vAlign w:val="center"/>
            <w:hideMark/>
          </w:tcPr>
          <w:p w14:paraId="7ECBE2AB"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210" w:type="pct"/>
            <w:tcBorders>
              <w:top w:val="nil"/>
              <w:left w:val="nil"/>
              <w:bottom w:val="nil"/>
              <w:right w:val="single" w:sz="4" w:space="0" w:color="auto"/>
            </w:tcBorders>
            <w:shd w:val="clear" w:color="auto" w:fill="auto"/>
            <w:vAlign w:val="center"/>
            <w:hideMark/>
          </w:tcPr>
          <w:p w14:paraId="6EC3B168"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321" w:type="pct"/>
            <w:tcBorders>
              <w:top w:val="nil"/>
              <w:left w:val="nil"/>
              <w:bottom w:val="nil"/>
              <w:right w:val="single" w:sz="4" w:space="0" w:color="auto"/>
            </w:tcBorders>
            <w:shd w:val="clear" w:color="auto" w:fill="D9D9D9"/>
            <w:vAlign w:val="center"/>
            <w:hideMark/>
          </w:tcPr>
          <w:p w14:paraId="6479C336"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w:t>
            </w:r>
          </w:p>
        </w:tc>
      </w:tr>
      <w:tr w:rsidR="00395593" w:rsidRPr="00AC0363" w14:paraId="616E51A0" w14:textId="77777777" w:rsidTr="005C5CBD">
        <w:trPr>
          <w:trHeight w:val="480"/>
          <w:jc w:val="center"/>
        </w:trPr>
        <w:tc>
          <w:tcPr>
            <w:tcW w:w="912" w:type="pct"/>
            <w:vMerge/>
            <w:tcBorders>
              <w:top w:val="nil"/>
              <w:left w:val="single" w:sz="4" w:space="0" w:color="auto"/>
              <w:bottom w:val="single" w:sz="4" w:space="0" w:color="000000"/>
              <w:right w:val="single" w:sz="4" w:space="0" w:color="auto"/>
            </w:tcBorders>
            <w:vAlign w:val="center"/>
            <w:hideMark/>
          </w:tcPr>
          <w:p w14:paraId="57834EF6"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204" w:type="pct"/>
            <w:tcBorders>
              <w:top w:val="nil"/>
              <w:left w:val="nil"/>
              <w:bottom w:val="single" w:sz="4" w:space="0" w:color="auto"/>
              <w:right w:val="single" w:sz="4" w:space="0" w:color="auto"/>
            </w:tcBorders>
            <w:shd w:val="clear" w:color="auto" w:fill="auto"/>
            <w:vAlign w:val="center"/>
            <w:hideMark/>
          </w:tcPr>
          <w:p w14:paraId="63791E7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P3</w:t>
            </w:r>
          </w:p>
        </w:tc>
        <w:tc>
          <w:tcPr>
            <w:tcW w:w="321" w:type="pct"/>
            <w:tcBorders>
              <w:top w:val="nil"/>
              <w:left w:val="nil"/>
              <w:bottom w:val="nil"/>
              <w:right w:val="single" w:sz="4" w:space="0" w:color="auto"/>
            </w:tcBorders>
            <w:shd w:val="clear" w:color="000000" w:fill="D9D9D9"/>
            <w:vAlign w:val="center"/>
            <w:hideMark/>
          </w:tcPr>
          <w:p w14:paraId="38919E2E"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w:t>
            </w:r>
          </w:p>
        </w:tc>
        <w:tc>
          <w:tcPr>
            <w:tcW w:w="325" w:type="pct"/>
            <w:tcBorders>
              <w:top w:val="nil"/>
              <w:left w:val="nil"/>
              <w:bottom w:val="nil"/>
              <w:right w:val="single" w:sz="4" w:space="0" w:color="auto"/>
            </w:tcBorders>
            <w:shd w:val="clear" w:color="auto" w:fill="auto"/>
            <w:vAlign w:val="center"/>
            <w:hideMark/>
          </w:tcPr>
          <w:p w14:paraId="456E2F57"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443" w:type="pct"/>
            <w:tcBorders>
              <w:top w:val="nil"/>
              <w:left w:val="nil"/>
              <w:bottom w:val="nil"/>
              <w:right w:val="single" w:sz="4" w:space="0" w:color="auto"/>
            </w:tcBorders>
            <w:shd w:val="clear" w:color="auto" w:fill="auto"/>
            <w:vAlign w:val="center"/>
            <w:hideMark/>
          </w:tcPr>
          <w:p w14:paraId="2F1AF446"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404" w:type="pct"/>
            <w:tcBorders>
              <w:top w:val="nil"/>
              <w:left w:val="nil"/>
              <w:bottom w:val="nil"/>
              <w:right w:val="single" w:sz="4" w:space="0" w:color="auto"/>
            </w:tcBorders>
            <w:shd w:val="clear" w:color="auto" w:fill="auto"/>
            <w:vAlign w:val="center"/>
            <w:hideMark/>
          </w:tcPr>
          <w:p w14:paraId="3819E8D6"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373" w:type="pct"/>
            <w:tcBorders>
              <w:top w:val="nil"/>
              <w:left w:val="nil"/>
              <w:bottom w:val="nil"/>
              <w:right w:val="single" w:sz="4" w:space="0" w:color="auto"/>
            </w:tcBorders>
            <w:shd w:val="clear" w:color="auto" w:fill="auto"/>
            <w:vAlign w:val="center"/>
            <w:hideMark/>
          </w:tcPr>
          <w:p w14:paraId="5506378D"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351" w:type="pct"/>
            <w:tcBorders>
              <w:top w:val="nil"/>
              <w:left w:val="nil"/>
              <w:bottom w:val="nil"/>
              <w:right w:val="single" w:sz="4" w:space="0" w:color="auto"/>
            </w:tcBorders>
            <w:shd w:val="clear" w:color="auto" w:fill="auto"/>
            <w:vAlign w:val="center"/>
            <w:hideMark/>
          </w:tcPr>
          <w:p w14:paraId="6A8E05F2"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426" w:type="pct"/>
            <w:tcBorders>
              <w:top w:val="nil"/>
              <w:left w:val="nil"/>
              <w:bottom w:val="nil"/>
              <w:right w:val="single" w:sz="4" w:space="0" w:color="auto"/>
            </w:tcBorders>
            <w:shd w:val="clear" w:color="auto" w:fill="auto"/>
            <w:vAlign w:val="center"/>
            <w:hideMark/>
          </w:tcPr>
          <w:p w14:paraId="6586FA11"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160" w:type="pct"/>
            <w:tcBorders>
              <w:top w:val="nil"/>
              <w:left w:val="nil"/>
              <w:bottom w:val="nil"/>
              <w:right w:val="single" w:sz="4" w:space="0" w:color="auto"/>
            </w:tcBorders>
            <w:shd w:val="clear" w:color="auto" w:fill="auto"/>
            <w:vAlign w:val="center"/>
            <w:hideMark/>
          </w:tcPr>
          <w:p w14:paraId="06344043"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160" w:type="pct"/>
            <w:tcBorders>
              <w:top w:val="nil"/>
              <w:left w:val="nil"/>
              <w:bottom w:val="nil"/>
              <w:right w:val="single" w:sz="4" w:space="0" w:color="auto"/>
            </w:tcBorders>
            <w:shd w:val="clear" w:color="auto" w:fill="auto"/>
            <w:vAlign w:val="center"/>
            <w:hideMark/>
          </w:tcPr>
          <w:p w14:paraId="1D91F4E7"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182" w:type="pct"/>
            <w:tcBorders>
              <w:top w:val="nil"/>
              <w:left w:val="nil"/>
              <w:bottom w:val="nil"/>
              <w:right w:val="single" w:sz="4" w:space="0" w:color="auto"/>
            </w:tcBorders>
            <w:shd w:val="clear" w:color="auto" w:fill="auto"/>
            <w:vAlign w:val="center"/>
            <w:hideMark/>
          </w:tcPr>
          <w:p w14:paraId="036CFBFE"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209" w:type="pct"/>
            <w:tcBorders>
              <w:top w:val="nil"/>
              <w:left w:val="nil"/>
              <w:bottom w:val="nil"/>
              <w:right w:val="single" w:sz="4" w:space="0" w:color="auto"/>
            </w:tcBorders>
            <w:shd w:val="clear" w:color="auto" w:fill="auto"/>
            <w:vAlign w:val="center"/>
            <w:hideMark/>
          </w:tcPr>
          <w:p w14:paraId="070BE9FD"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210" w:type="pct"/>
            <w:tcBorders>
              <w:top w:val="nil"/>
              <w:left w:val="nil"/>
              <w:bottom w:val="nil"/>
              <w:right w:val="single" w:sz="4" w:space="0" w:color="auto"/>
            </w:tcBorders>
            <w:shd w:val="clear" w:color="auto" w:fill="auto"/>
            <w:vAlign w:val="center"/>
            <w:hideMark/>
          </w:tcPr>
          <w:p w14:paraId="6F1C308D"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321" w:type="pct"/>
            <w:tcBorders>
              <w:top w:val="nil"/>
              <w:left w:val="nil"/>
              <w:bottom w:val="nil"/>
              <w:right w:val="single" w:sz="4" w:space="0" w:color="auto"/>
            </w:tcBorders>
            <w:shd w:val="clear" w:color="auto" w:fill="D9D9D9"/>
            <w:vAlign w:val="center"/>
            <w:hideMark/>
          </w:tcPr>
          <w:p w14:paraId="277F806B"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w:t>
            </w:r>
          </w:p>
        </w:tc>
      </w:tr>
      <w:tr w:rsidR="00395593" w:rsidRPr="00AC0363" w14:paraId="7D6486D2" w14:textId="77777777" w:rsidTr="005C5CBD">
        <w:trPr>
          <w:trHeight w:val="480"/>
          <w:jc w:val="center"/>
        </w:trPr>
        <w:tc>
          <w:tcPr>
            <w:tcW w:w="912" w:type="pct"/>
            <w:vMerge/>
            <w:tcBorders>
              <w:top w:val="nil"/>
              <w:left w:val="single" w:sz="4" w:space="0" w:color="auto"/>
              <w:bottom w:val="single" w:sz="4" w:space="0" w:color="000000"/>
              <w:right w:val="single" w:sz="4" w:space="0" w:color="auto"/>
            </w:tcBorders>
            <w:vAlign w:val="center"/>
            <w:hideMark/>
          </w:tcPr>
          <w:p w14:paraId="603E4F46"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204" w:type="pct"/>
            <w:tcBorders>
              <w:top w:val="nil"/>
              <w:left w:val="nil"/>
              <w:bottom w:val="single" w:sz="4" w:space="0" w:color="auto"/>
              <w:right w:val="single" w:sz="4" w:space="0" w:color="auto"/>
            </w:tcBorders>
            <w:shd w:val="clear" w:color="auto" w:fill="auto"/>
            <w:vAlign w:val="center"/>
            <w:hideMark/>
          </w:tcPr>
          <w:p w14:paraId="51741CB3"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P4</w:t>
            </w:r>
          </w:p>
        </w:tc>
        <w:tc>
          <w:tcPr>
            <w:tcW w:w="321" w:type="pct"/>
            <w:tcBorders>
              <w:top w:val="nil"/>
              <w:left w:val="nil"/>
              <w:bottom w:val="nil"/>
              <w:right w:val="single" w:sz="4" w:space="0" w:color="auto"/>
            </w:tcBorders>
            <w:shd w:val="clear" w:color="000000" w:fill="D9D9D9"/>
            <w:vAlign w:val="center"/>
            <w:hideMark/>
          </w:tcPr>
          <w:p w14:paraId="6E7DEAEC"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w:t>
            </w:r>
          </w:p>
        </w:tc>
        <w:tc>
          <w:tcPr>
            <w:tcW w:w="325" w:type="pct"/>
            <w:tcBorders>
              <w:top w:val="nil"/>
              <w:left w:val="nil"/>
              <w:bottom w:val="nil"/>
              <w:right w:val="single" w:sz="4" w:space="0" w:color="auto"/>
            </w:tcBorders>
            <w:shd w:val="clear" w:color="auto" w:fill="auto"/>
            <w:vAlign w:val="center"/>
            <w:hideMark/>
          </w:tcPr>
          <w:p w14:paraId="6FAA4F26"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443" w:type="pct"/>
            <w:tcBorders>
              <w:top w:val="nil"/>
              <w:left w:val="nil"/>
              <w:bottom w:val="nil"/>
              <w:right w:val="single" w:sz="4" w:space="0" w:color="auto"/>
            </w:tcBorders>
            <w:shd w:val="clear" w:color="auto" w:fill="auto"/>
            <w:vAlign w:val="center"/>
            <w:hideMark/>
          </w:tcPr>
          <w:p w14:paraId="73AB68E7"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404" w:type="pct"/>
            <w:tcBorders>
              <w:top w:val="nil"/>
              <w:left w:val="nil"/>
              <w:bottom w:val="nil"/>
              <w:right w:val="single" w:sz="4" w:space="0" w:color="auto"/>
            </w:tcBorders>
            <w:shd w:val="clear" w:color="auto" w:fill="auto"/>
            <w:vAlign w:val="center"/>
            <w:hideMark/>
          </w:tcPr>
          <w:p w14:paraId="11E448C0"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373" w:type="pct"/>
            <w:tcBorders>
              <w:top w:val="nil"/>
              <w:left w:val="nil"/>
              <w:bottom w:val="nil"/>
              <w:right w:val="single" w:sz="4" w:space="0" w:color="auto"/>
            </w:tcBorders>
            <w:shd w:val="clear" w:color="auto" w:fill="auto"/>
            <w:vAlign w:val="center"/>
            <w:hideMark/>
          </w:tcPr>
          <w:p w14:paraId="7DC7B7B3"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351" w:type="pct"/>
            <w:tcBorders>
              <w:top w:val="nil"/>
              <w:left w:val="nil"/>
              <w:bottom w:val="nil"/>
              <w:right w:val="single" w:sz="4" w:space="0" w:color="auto"/>
            </w:tcBorders>
            <w:shd w:val="clear" w:color="auto" w:fill="auto"/>
            <w:vAlign w:val="center"/>
            <w:hideMark/>
          </w:tcPr>
          <w:p w14:paraId="71DF58F1"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426" w:type="pct"/>
            <w:tcBorders>
              <w:top w:val="nil"/>
              <w:left w:val="nil"/>
              <w:bottom w:val="nil"/>
              <w:right w:val="single" w:sz="4" w:space="0" w:color="auto"/>
            </w:tcBorders>
            <w:shd w:val="clear" w:color="auto" w:fill="auto"/>
            <w:vAlign w:val="center"/>
            <w:hideMark/>
          </w:tcPr>
          <w:p w14:paraId="20640CC4"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160" w:type="pct"/>
            <w:tcBorders>
              <w:top w:val="nil"/>
              <w:left w:val="nil"/>
              <w:bottom w:val="nil"/>
              <w:right w:val="single" w:sz="4" w:space="0" w:color="auto"/>
            </w:tcBorders>
            <w:shd w:val="clear" w:color="auto" w:fill="auto"/>
            <w:vAlign w:val="center"/>
            <w:hideMark/>
          </w:tcPr>
          <w:p w14:paraId="394A6E61"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160" w:type="pct"/>
            <w:tcBorders>
              <w:top w:val="nil"/>
              <w:left w:val="nil"/>
              <w:bottom w:val="nil"/>
              <w:right w:val="single" w:sz="4" w:space="0" w:color="auto"/>
            </w:tcBorders>
            <w:shd w:val="clear" w:color="auto" w:fill="auto"/>
            <w:vAlign w:val="center"/>
            <w:hideMark/>
          </w:tcPr>
          <w:p w14:paraId="77795B66"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182" w:type="pct"/>
            <w:tcBorders>
              <w:top w:val="nil"/>
              <w:left w:val="nil"/>
              <w:bottom w:val="nil"/>
              <w:right w:val="single" w:sz="4" w:space="0" w:color="auto"/>
            </w:tcBorders>
            <w:shd w:val="clear" w:color="auto" w:fill="auto"/>
            <w:vAlign w:val="center"/>
            <w:hideMark/>
          </w:tcPr>
          <w:p w14:paraId="05B441EF"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209" w:type="pct"/>
            <w:tcBorders>
              <w:top w:val="nil"/>
              <w:left w:val="nil"/>
              <w:bottom w:val="nil"/>
              <w:right w:val="single" w:sz="4" w:space="0" w:color="auto"/>
            </w:tcBorders>
            <w:shd w:val="clear" w:color="auto" w:fill="auto"/>
            <w:vAlign w:val="center"/>
            <w:hideMark/>
          </w:tcPr>
          <w:p w14:paraId="6F521443"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210" w:type="pct"/>
            <w:tcBorders>
              <w:top w:val="nil"/>
              <w:left w:val="nil"/>
              <w:bottom w:val="nil"/>
              <w:right w:val="single" w:sz="4" w:space="0" w:color="auto"/>
            </w:tcBorders>
            <w:shd w:val="clear" w:color="auto" w:fill="auto"/>
            <w:vAlign w:val="center"/>
            <w:hideMark/>
          </w:tcPr>
          <w:p w14:paraId="3AE02F26"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321" w:type="pct"/>
            <w:tcBorders>
              <w:top w:val="nil"/>
              <w:left w:val="nil"/>
              <w:bottom w:val="nil"/>
              <w:right w:val="single" w:sz="4" w:space="0" w:color="auto"/>
            </w:tcBorders>
            <w:shd w:val="clear" w:color="auto" w:fill="D9D9D9"/>
            <w:vAlign w:val="center"/>
            <w:hideMark/>
          </w:tcPr>
          <w:p w14:paraId="457D925B"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w:t>
            </w:r>
          </w:p>
        </w:tc>
      </w:tr>
      <w:tr w:rsidR="00395593" w:rsidRPr="00AC0363" w14:paraId="4B3D6CC3" w14:textId="77777777" w:rsidTr="005C5CBD">
        <w:trPr>
          <w:trHeight w:val="480"/>
          <w:jc w:val="center"/>
        </w:trPr>
        <w:tc>
          <w:tcPr>
            <w:tcW w:w="912" w:type="pct"/>
            <w:vMerge/>
            <w:tcBorders>
              <w:top w:val="nil"/>
              <w:left w:val="single" w:sz="4" w:space="0" w:color="auto"/>
              <w:bottom w:val="single" w:sz="4" w:space="0" w:color="000000"/>
              <w:right w:val="single" w:sz="4" w:space="0" w:color="auto"/>
            </w:tcBorders>
            <w:vAlign w:val="center"/>
            <w:hideMark/>
          </w:tcPr>
          <w:p w14:paraId="1495175C"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204" w:type="pct"/>
            <w:tcBorders>
              <w:top w:val="nil"/>
              <w:left w:val="nil"/>
              <w:bottom w:val="single" w:sz="4" w:space="0" w:color="auto"/>
              <w:right w:val="single" w:sz="4" w:space="0" w:color="auto"/>
            </w:tcBorders>
            <w:shd w:val="clear" w:color="auto" w:fill="auto"/>
            <w:vAlign w:val="center"/>
            <w:hideMark/>
          </w:tcPr>
          <w:p w14:paraId="36ADDBA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P5</w:t>
            </w:r>
          </w:p>
        </w:tc>
        <w:tc>
          <w:tcPr>
            <w:tcW w:w="321" w:type="pct"/>
            <w:tcBorders>
              <w:top w:val="nil"/>
              <w:left w:val="nil"/>
              <w:bottom w:val="single" w:sz="4" w:space="0" w:color="auto"/>
              <w:right w:val="single" w:sz="4" w:space="0" w:color="auto"/>
            </w:tcBorders>
            <w:shd w:val="clear" w:color="000000" w:fill="D9D9D9"/>
            <w:vAlign w:val="center"/>
            <w:hideMark/>
          </w:tcPr>
          <w:p w14:paraId="46D01DC3"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w:t>
            </w:r>
          </w:p>
        </w:tc>
        <w:tc>
          <w:tcPr>
            <w:tcW w:w="325" w:type="pct"/>
            <w:tcBorders>
              <w:top w:val="nil"/>
              <w:left w:val="nil"/>
              <w:bottom w:val="single" w:sz="4" w:space="0" w:color="auto"/>
              <w:right w:val="single" w:sz="4" w:space="0" w:color="auto"/>
            </w:tcBorders>
            <w:shd w:val="clear" w:color="auto" w:fill="auto"/>
            <w:vAlign w:val="center"/>
            <w:hideMark/>
          </w:tcPr>
          <w:p w14:paraId="39128CFE"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443" w:type="pct"/>
            <w:tcBorders>
              <w:top w:val="nil"/>
              <w:left w:val="nil"/>
              <w:bottom w:val="single" w:sz="4" w:space="0" w:color="auto"/>
              <w:right w:val="single" w:sz="4" w:space="0" w:color="auto"/>
            </w:tcBorders>
            <w:shd w:val="clear" w:color="auto" w:fill="auto"/>
            <w:vAlign w:val="center"/>
            <w:hideMark/>
          </w:tcPr>
          <w:p w14:paraId="17B7CD3C"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404" w:type="pct"/>
            <w:tcBorders>
              <w:top w:val="nil"/>
              <w:left w:val="nil"/>
              <w:bottom w:val="single" w:sz="4" w:space="0" w:color="auto"/>
              <w:right w:val="single" w:sz="4" w:space="0" w:color="auto"/>
            </w:tcBorders>
            <w:shd w:val="clear" w:color="auto" w:fill="auto"/>
            <w:vAlign w:val="center"/>
            <w:hideMark/>
          </w:tcPr>
          <w:p w14:paraId="01492BED"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373" w:type="pct"/>
            <w:tcBorders>
              <w:top w:val="nil"/>
              <w:left w:val="nil"/>
              <w:bottom w:val="single" w:sz="4" w:space="0" w:color="auto"/>
              <w:right w:val="single" w:sz="4" w:space="0" w:color="auto"/>
            </w:tcBorders>
            <w:shd w:val="clear" w:color="auto" w:fill="auto"/>
            <w:vAlign w:val="center"/>
            <w:hideMark/>
          </w:tcPr>
          <w:p w14:paraId="6F26CE41"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351" w:type="pct"/>
            <w:tcBorders>
              <w:top w:val="nil"/>
              <w:left w:val="nil"/>
              <w:bottom w:val="single" w:sz="4" w:space="0" w:color="auto"/>
              <w:right w:val="single" w:sz="4" w:space="0" w:color="auto"/>
            </w:tcBorders>
            <w:shd w:val="clear" w:color="auto" w:fill="auto"/>
            <w:vAlign w:val="center"/>
            <w:hideMark/>
          </w:tcPr>
          <w:p w14:paraId="3EC3856E"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426" w:type="pct"/>
            <w:tcBorders>
              <w:top w:val="nil"/>
              <w:left w:val="nil"/>
              <w:bottom w:val="single" w:sz="4" w:space="0" w:color="auto"/>
              <w:right w:val="single" w:sz="4" w:space="0" w:color="auto"/>
            </w:tcBorders>
            <w:shd w:val="clear" w:color="auto" w:fill="auto"/>
            <w:vAlign w:val="center"/>
            <w:hideMark/>
          </w:tcPr>
          <w:p w14:paraId="6DE2AF0A"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160" w:type="pct"/>
            <w:tcBorders>
              <w:top w:val="nil"/>
              <w:left w:val="nil"/>
              <w:bottom w:val="single" w:sz="4" w:space="0" w:color="auto"/>
              <w:right w:val="single" w:sz="4" w:space="0" w:color="auto"/>
            </w:tcBorders>
            <w:shd w:val="clear" w:color="auto" w:fill="auto"/>
            <w:vAlign w:val="center"/>
            <w:hideMark/>
          </w:tcPr>
          <w:p w14:paraId="2C6209EC"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160" w:type="pct"/>
            <w:tcBorders>
              <w:top w:val="nil"/>
              <w:left w:val="nil"/>
              <w:bottom w:val="single" w:sz="4" w:space="0" w:color="auto"/>
              <w:right w:val="single" w:sz="4" w:space="0" w:color="auto"/>
            </w:tcBorders>
            <w:shd w:val="clear" w:color="auto" w:fill="auto"/>
            <w:vAlign w:val="center"/>
            <w:hideMark/>
          </w:tcPr>
          <w:p w14:paraId="48235CCE"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182" w:type="pct"/>
            <w:tcBorders>
              <w:top w:val="nil"/>
              <w:left w:val="nil"/>
              <w:bottom w:val="single" w:sz="4" w:space="0" w:color="auto"/>
              <w:right w:val="single" w:sz="4" w:space="0" w:color="auto"/>
            </w:tcBorders>
            <w:shd w:val="clear" w:color="auto" w:fill="auto"/>
            <w:vAlign w:val="center"/>
            <w:hideMark/>
          </w:tcPr>
          <w:p w14:paraId="0FAC1BE9"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209" w:type="pct"/>
            <w:tcBorders>
              <w:top w:val="nil"/>
              <w:left w:val="nil"/>
              <w:bottom w:val="single" w:sz="4" w:space="0" w:color="auto"/>
              <w:right w:val="single" w:sz="4" w:space="0" w:color="auto"/>
            </w:tcBorders>
            <w:shd w:val="clear" w:color="auto" w:fill="auto"/>
            <w:vAlign w:val="center"/>
            <w:hideMark/>
          </w:tcPr>
          <w:p w14:paraId="58B781A6"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210" w:type="pct"/>
            <w:tcBorders>
              <w:top w:val="nil"/>
              <w:left w:val="nil"/>
              <w:bottom w:val="single" w:sz="4" w:space="0" w:color="auto"/>
              <w:right w:val="single" w:sz="4" w:space="0" w:color="auto"/>
            </w:tcBorders>
            <w:shd w:val="clear" w:color="auto" w:fill="auto"/>
            <w:vAlign w:val="center"/>
            <w:hideMark/>
          </w:tcPr>
          <w:p w14:paraId="12F5AC80"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321" w:type="pct"/>
            <w:tcBorders>
              <w:top w:val="nil"/>
              <w:left w:val="nil"/>
              <w:bottom w:val="single" w:sz="4" w:space="0" w:color="auto"/>
              <w:right w:val="single" w:sz="4" w:space="0" w:color="auto"/>
            </w:tcBorders>
            <w:shd w:val="clear" w:color="auto" w:fill="D9D9D9"/>
            <w:vAlign w:val="center"/>
            <w:hideMark/>
          </w:tcPr>
          <w:p w14:paraId="75E77341"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w:t>
            </w:r>
          </w:p>
        </w:tc>
      </w:tr>
    </w:tbl>
    <w:p w14:paraId="0E826144" w14:textId="77777777" w:rsidR="00395593" w:rsidRPr="005C5CBD" w:rsidRDefault="00395593" w:rsidP="00E15FBB">
      <w:pPr>
        <w:spacing w:after="0" w:line="240" w:lineRule="auto"/>
        <w:jc w:val="center"/>
        <w:rPr>
          <w:rFonts w:ascii="Garamond" w:eastAsia="Calibri" w:hAnsi="Garamond" w:cs="Calibri"/>
          <w:sz w:val="24"/>
          <w:szCs w:val="24"/>
        </w:rPr>
      </w:pPr>
    </w:p>
    <w:p w14:paraId="3ADA1AD0" w14:textId="77777777" w:rsidR="00395593" w:rsidRPr="00685C65" w:rsidRDefault="00395593" w:rsidP="00E15FBB">
      <w:pPr>
        <w:spacing w:after="0" w:line="240" w:lineRule="auto"/>
        <w:jc w:val="both"/>
        <w:rPr>
          <w:rFonts w:eastAsia="Times New Roman" w:cstheme="minorHAnsi"/>
          <w:sz w:val="24"/>
          <w:szCs w:val="24"/>
          <w:lang w:eastAsia="pt-BR"/>
        </w:rPr>
        <w:sectPr w:rsidR="00395593" w:rsidRPr="00685C65" w:rsidSect="00E15FBB">
          <w:pgSz w:w="16838" w:h="11906" w:orient="landscape"/>
          <w:pgMar w:top="1418" w:right="1417" w:bottom="1701" w:left="1418" w:header="708" w:footer="708" w:gutter="0"/>
          <w:cols w:space="708"/>
          <w:docGrid w:linePitch="360"/>
        </w:sectPr>
      </w:pPr>
      <w:r w:rsidRPr="005C5CBD">
        <w:rPr>
          <w:rFonts w:ascii="Garamond" w:eastAsia="Times New Roman" w:hAnsi="Garamond" w:cs="Calibri"/>
          <w:sz w:val="24"/>
          <w:szCs w:val="24"/>
          <w:lang w:eastAsia="pt-BR"/>
        </w:rPr>
        <w:t>Obs.: Apresentar uma versão em unidades de peso (kg ou t) e outra em unidades</w:t>
      </w:r>
      <w:r w:rsidRPr="00685C65">
        <w:rPr>
          <w:rFonts w:eastAsia="Times New Roman" w:cstheme="minorHAnsi"/>
          <w:sz w:val="24"/>
          <w:szCs w:val="24"/>
          <w:lang w:eastAsia="pt-BR"/>
        </w:rPr>
        <w:t xml:space="preserve"> de comercialização (unidade, peça, litros).</w:t>
      </w:r>
    </w:p>
    <w:tbl>
      <w:tblPr>
        <w:tblW w:w="6176" w:type="dxa"/>
        <w:jc w:val="center"/>
        <w:tblCellMar>
          <w:left w:w="70" w:type="dxa"/>
          <w:right w:w="70" w:type="dxa"/>
        </w:tblCellMar>
        <w:tblLook w:val="04A0" w:firstRow="1" w:lastRow="0" w:firstColumn="1" w:lastColumn="0" w:noHBand="0" w:noVBand="1"/>
      </w:tblPr>
      <w:tblGrid>
        <w:gridCol w:w="6176"/>
      </w:tblGrid>
      <w:tr w:rsidR="00395593" w:rsidRPr="00AC0363" w14:paraId="1F886749" w14:textId="77777777" w:rsidTr="00395593">
        <w:trPr>
          <w:trHeight w:val="300"/>
          <w:jc w:val="center"/>
        </w:trPr>
        <w:tc>
          <w:tcPr>
            <w:tcW w:w="6176" w:type="dxa"/>
            <w:tcBorders>
              <w:top w:val="nil"/>
              <w:left w:val="nil"/>
              <w:bottom w:val="nil"/>
              <w:right w:val="nil"/>
            </w:tcBorders>
            <w:shd w:val="clear" w:color="auto" w:fill="auto"/>
            <w:noWrap/>
            <w:vAlign w:val="bottom"/>
            <w:hideMark/>
          </w:tcPr>
          <w:p w14:paraId="5C435E6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APÊNDICE X</w:t>
            </w:r>
          </w:p>
        </w:tc>
      </w:tr>
      <w:tr w:rsidR="00395593" w:rsidRPr="00AC0363" w14:paraId="491B64E3" w14:textId="77777777" w:rsidTr="00395593">
        <w:trPr>
          <w:trHeight w:val="300"/>
          <w:jc w:val="center"/>
        </w:trPr>
        <w:tc>
          <w:tcPr>
            <w:tcW w:w="6176" w:type="dxa"/>
            <w:tcBorders>
              <w:top w:val="nil"/>
              <w:left w:val="nil"/>
              <w:bottom w:val="nil"/>
              <w:right w:val="nil"/>
            </w:tcBorders>
            <w:shd w:val="clear" w:color="auto" w:fill="auto"/>
            <w:noWrap/>
            <w:vAlign w:val="bottom"/>
            <w:hideMark/>
          </w:tcPr>
          <w:p w14:paraId="4EEF3043"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VALOR DE ESTOQUE</w:t>
            </w:r>
          </w:p>
        </w:tc>
      </w:tr>
    </w:tbl>
    <w:p w14:paraId="3AFA3D8B" w14:textId="77777777" w:rsidR="00395593" w:rsidRPr="005C5CBD" w:rsidRDefault="00395593" w:rsidP="00E15FBB">
      <w:pPr>
        <w:spacing w:after="0" w:line="240" w:lineRule="auto"/>
        <w:jc w:val="center"/>
        <w:rPr>
          <w:rFonts w:ascii="Garamond" w:eastAsia="Times New Roman" w:hAnsi="Garamond" w:cs="Calibri"/>
          <w:sz w:val="24"/>
          <w:szCs w:val="24"/>
          <w:lang w:eastAsia="pt-BR"/>
        </w:rPr>
      </w:pPr>
    </w:p>
    <w:tbl>
      <w:tblPr>
        <w:tblW w:w="5000" w:type="pct"/>
        <w:jc w:val="center"/>
        <w:tblCellMar>
          <w:left w:w="70" w:type="dxa"/>
          <w:right w:w="70" w:type="dxa"/>
        </w:tblCellMar>
        <w:tblLook w:val="04A0" w:firstRow="1" w:lastRow="0" w:firstColumn="1" w:lastColumn="0" w:noHBand="0" w:noVBand="1"/>
      </w:tblPr>
      <w:tblGrid>
        <w:gridCol w:w="615"/>
        <w:gridCol w:w="1467"/>
        <w:gridCol w:w="1339"/>
        <w:gridCol w:w="1339"/>
        <w:gridCol w:w="1339"/>
        <w:gridCol w:w="1339"/>
        <w:gridCol w:w="1339"/>
      </w:tblGrid>
      <w:tr w:rsidR="00395593" w:rsidRPr="00AC0363" w14:paraId="07E4EE6C" w14:textId="77777777" w:rsidTr="00395593">
        <w:trPr>
          <w:trHeight w:val="540"/>
          <w:jc w:val="center"/>
        </w:trPr>
        <w:tc>
          <w:tcPr>
            <w:tcW w:w="118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D17D89C"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 xml:space="preserve">Empresa </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06DDADB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P1</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015E258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P2</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13D2F3B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P3</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1EDD032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P4</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1FCFF48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P5</w:t>
            </w:r>
          </w:p>
        </w:tc>
      </w:tr>
      <w:tr w:rsidR="00395593" w:rsidRPr="00AC0363" w14:paraId="28F3FA4D" w14:textId="77777777" w:rsidTr="00395593">
        <w:trPr>
          <w:trHeight w:val="510"/>
          <w:jc w:val="center"/>
        </w:trPr>
        <w:tc>
          <w:tcPr>
            <w:tcW w:w="350"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749B5B5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Mês</w:t>
            </w:r>
          </w:p>
        </w:tc>
        <w:tc>
          <w:tcPr>
            <w:tcW w:w="835" w:type="pct"/>
            <w:tcBorders>
              <w:top w:val="nil"/>
              <w:left w:val="nil"/>
              <w:bottom w:val="single" w:sz="4" w:space="0" w:color="auto"/>
              <w:right w:val="single" w:sz="4" w:space="0" w:color="auto"/>
            </w:tcBorders>
            <w:shd w:val="clear" w:color="auto" w:fill="auto"/>
            <w:vAlign w:val="center"/>
            <w:hideMark/>
          </w:tcPr>
          <w:p w14:paraId="070D1B3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Mês 1</w:t>
            </w:r>
          </w:p>
        </w:tc>
        <w:tc>
          <w:tcPr>
            <w:tcW w:w="763" w:type="pct"/>
            <w:tcBorders>
              <w:top w:val="nil"/>
              <w:left w:val="nil"/>
              <w:bottom w:val="nil"/>
              <w:right w:val="nil"/>
            </w:tcBorders>
            <w:shd w:val="clear" w:color="auto" w:fill="auto"/>
            <w:vAlign w:val="center"/>
            <w:hideMark/>
          </w:tcPr>
          <w:p w14:paraId="1CD940EE"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single" w:sz="4" w:space="0" w:color="auto"/>
              <w:bottom w:val="nil"/>
              <w:right w:val="single" w:sz="4" w:space="0" w:color="auto"/>
            </w:tcBorders>
            <w:shd w:val="clear" w:color="auto" w:fill="auto"/>
            <w:vAlign w:val="center"/>
            <w:hideMark/>
          </w:tcPr>
          <w:p w14:paraId="559CB64A"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780A07D3"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33DB2CC7"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7A51A35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67F3D8B2" w14:textId="77777777" w:rsidTr="00395593">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32D630B8"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5E17C70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Mês 2</w:t>
            </w:r>
          </w:p>
        </w:tc>
        <w:tc>
          <w:tcPr>
            <w:tcW w:w="763" w:type="pct"/>
            <w:tcBorders>
              <w:top w:val="nil"/>
              <w:left w:val="nil"/>
              <w:bottom w:val="nil"/>
              <w:right w:val="nil"/>
            </w:tcBorders>
            <w:shd w:val="clear" w:color="auto" w:fill="auto"/>
            <w:vAlign w:val="center"/>
            <w:hideMark/>
          </w:tcPr>
          <w:p w14:paraId="513B3C9F"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68917ADF"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3023B86B"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6566C0ED"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32043F0E"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10FCE6E3" w14:textId="77777777" w:rsidTr="00395593">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10CD11FD"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2637CAE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Mês 3</w:t>
            </w:r>
          </w:p>
        </w:tc>
        <w:tc>
          <w:tcPr>
            <w:tcW w:w="763" w:type="pct"/>
            <w:tcBorders>
              <w:top w:val="nil"/>
              <w:left w:val="nil"/>
              <w:bottom w:val="nil"/>
              <w:right w:val="nil"/>
            </w:tcBorders>
            <w:shd w:val="clear" w:color="auto" w:fill="auto"/>
            <w:vAlign w:val="center"/>
            <w:hideMark/>
          </w:tcPr>
          <w:p w14:paraId="457028BB"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7AD770D6"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3610B8F4"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3A94422E"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64BBBADF"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67C7EC69" w14:textId="77777777" w:rsidTr="00395593">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51325F31"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147AB4A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Mês 4</w:t>
            </w:r>
          </w:p>
        </w:tc>
        <w:tc>
          <w:tcPr>
            <w:tcW w:w="763" w:type="pct"/>
            <w:tcBorders>
              <w:top w:val="nil"/>
              <w:left w:val="nil"/>
              <w:bottom w:val="nil"/>
              <w:right w:val="nil"/>
            </w:tcBorders>
            <w:shd w:val="clear" w:color="auto" w:fill="auto"/>
            <w:vAlign w:val="center"/>
            <w:hideMark/>
          </w:tcPr>
          <w:p w14:paraId="4270C940"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7BE575A3"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2CDEE2CE"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7DAFC496"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5B15A0D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3FDD9C24" w14:textId="77777777" w:rsidTr="00395593">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7BC55A99"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5D31935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Mês 5</w:t>
            </w:r>
          </w:p>
        </w:tc>
        <w:tc>
          <w:tcPr>
            <w:tcW w:w="763" w:type="pct"/>
            <w:tcBorders>
              <w:top w:val="nil"/>
              <w:left w:val="nil"/>
              <w:bottom w:val="nil"/>
              <w:right w:val="nil"/>
            </w:tcBorders>
            <w:shd w:val="clear" w:color="auto" w:fill="auto"/>
            <w:vAlign w:val="center"/>
            <w:hideMark/>
          </w:tcPr>
          <w:p w14:paraId="51EE893C"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47139CB6"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566FCAC2"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19C249BF"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4D93F2FC"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5BCE8193" w14:textId="77777777" w:rsidTr="00395593">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33BBEED1"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4BC5845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Mês 6</w:t>
            </w:r>
          </w:p>
        </w:tc>
        <w:tc>
          <w:tcPr>
            <w:tcW w:w="763" w:type="pct"/>
            <w:tcBorders>
              <w:top w:val="nil"/>
              <w:left w:val="nil"/>
              <w:bottom w:val="nil"/>
              <w:right w:val="nil"/>
            </w:tcBorders>
            <w:shd w:val="clear" w:color="auto" w:fill="auto"/>
            <w:vAlign w:val="center"/>
            <w:hideMark/>
          </w:tcPr>
          <w:p w14:paraId="737200B2"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7791B4BB"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2BCF64BE"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4E589BC6"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385CD119"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73BA9017" w14:textId="77777777" w:rsidTr="00395593">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1C4DC7E9"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6EFAF18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Mês 7</w:t>
            </w:r>
          </w:p>
        </w:tc>
        <w:tc>
          <w:tcPr>
            <w:tcW w:w="763" w:type="pct"/>
            <w:tcBorders>
              <w:top w:val="nil"/>
              <w:left w:val="nil"/>
              <w:bottom w:val="nil"/>
              <w:right w:val="nil"/>
            </w:tcBorders>
            <w:shd w:val="clear" w:color="auto" w:fill="auto"/>
            <w:vAlign w:val="center"/>
            <w:hideMark/>
          </w:tcPr>
          <w:p w14:paraId="2C100D73"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7EE0CD1D"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1129D7A9"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0D43274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6446305F"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03C17EB6" w14:textId="77777777" w:rsidTr="00395593">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5736AB8E"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6760415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Mês 8</w:t>
            </w:r>
          </w:p>
        </w:tc>
        <w:tc>
          <w:tcPr>
            <w:tcW w:w="763" w:type="pct"/>
            <w:tcBorders>
              <w:top w:val="nil"/>
              <w:left w:val="nil"/>
              <w:bottom w:val="nil"/>
              <w:right w:val="nil"/>
            </w:tcBorders>
            <w:shd w:val="clear" w:color="auto" w:fill="auto"/>
            <w:vAlign w:val="center"/>
            <w:hideMark/>
          </w:tcPr>
          <w:p w14:paraId="72B6E5B7"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6D979224"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6ACE683C"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0B81BB10"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0AF212A2"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1C628A6B" w14:textId="77777777" w:rsidTr="00395593">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3126C5E3"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3782710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Mês 9</w:t>
            </w:r>
          </w:p>
        </w:tc>
        <w:tc>
          <w:tcPr>
            <w:tcW w:w="763" w:type="pct"/>
            <w:tcBorders>
              <w:top w:val="nil"/>
              <w:left w:val="nil"/>
              <w:bottom w:val="nil"/>
              <w:right w:val="nil"/>
            </w:tcBorders>
            <w:shd w:val="clear" w:color="auto" w:fill="auto"/>
            <w:vAlign w:val="center"/>
            <w:hideMark/>
          </w:tcPr>
          <w:p w14:paraId="2236F209"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30F00A9A"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03D38CCB"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65CCE8DD"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010E4B11"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53694EFF" w14:textId="77777777" w:rsidTr="00395593">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0B64EA0A"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3973455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Mês 10</w:t>
            </w:r>
          </w:p>
        </w:tc>
        <w:tc>
          <w:tcPr>
            <w:tcW w:w="763" w:type="pct"/>
            <w:tcBorders>
              <w:top w:val="nil"/>
              <w:left w:val="nil"/>
              <w:bottom w:val="nil"/>
              <w:right w:val="nil"/>
            </w:tcBorders>
            <w:shd w:val="clear" w:color="auto" w:fill="auto"/>
            <w:vAlign w:val="center"/>
            <w:hideMark/>
          </w:tcPr>
          <w:p w14:paraId="163798D9"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6DEF7939"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170A68FC"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056A46F8"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59314D24"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634F293E" w14:textId="77777777" w:rsidTr="00395593">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0A085C37"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7DC659B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Mês 11</w:t>
            </w:r>
          </w:p>
        </w:tc>
        <w:tc>
          <w:tcPr>
            <w:tcW w:w="763" w:type="pct"/>
            <w:tcBorders>
              <w:top w:val="nil"/>
              <w:left w:val="nil"/>
              <w:bottom w:val="nil"/>
              <w:right w:val="nil"/>
            </w:tcBorders>
            <w:shd w:val="clear" w:color="auto" w:fill="auto"/>
            <w:vAlign w:val="center"/>
            <w:hideMark/>
          </w:tcPr>
          <w:p w14:paraId="3D6C69A4"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763" w:type="pct"/>
            <w:tcBorders>
              <w:top w:val="nil"/>
              <w:left w:val="single" w:sz="4" w:space="0" w:color="auto"/>
              <w:bottom w:val="nil"/>
              <w:right w:val="single" w:sz="4" w:space="0" w:color="auto"/>
            </w:tcBorders>
            <w:shd w:val="clear" w:color="auto" w:fill="auto"/>
            <w:vAlign w:val="center"/>
            <w:hideMark/>
          </w:tcPr>
          <w:p w14:paraId="031DA03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2297CCC0"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34969DC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nil"/>
              <w:right w:val="single" w:sz="4" w:space="0" w:color="auto"/>
            </w:tcBorders>
            <w:shd w:val="clear" w:color="auto" w:fill="auto"/>
            <w:vAlign w:val="center"/>
            <w:hideMark/>
          </w:tcPr>
          <w:p w14:paraId="112F6C01"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6A8906AE" w14:textId="77777777" w:rsidTr="00395593">
        <w:trPr>
          <w:trHeight w:val="510"/>
          <w:jc w:val="center"/>
        </w:trPr>
        <w:tc>
          <w:tcPr>
            <w:tcW w:w="350" w:type="pct"/>
            <w:vMerge/>
            <w:tcBorders>
              <w:top w:val="nil"/>
              <w:left w:val="single" w:sz="4" w:space="0" w:color="auto"/>
              <w:bottom w:val="single" w:sz="4" w:space="0" w:color="000000"/>
              <w:right w:val="single" w:sz="4" w:space="0" w:color="auto"/>
            </w:tcBorders>
            <w:vAlign w:val="center"/>
            <w:hideMark/>
          </w:tcPr>
          <w:p w14:paraId="6EEE2948"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35" w:type="pct"/>
            <w:tcBorders>
              <w:top w:val="nil"/>
              <w:left w:val="nil"/>
              <w:bottom w:val="single" w:sz="4" w:space="0" w:color="auto"/>
              <w:right w:val="single" w:sz="4" w:space="0" w:color="auto"/>
            </w:tcBorders>
            <w:shd w:val="clear" w:color="auto" w:fill="auto"/>
            <w:vAlign w:val="center"/>
            <w:hideMark/>
          </w:tcPr>
          <w:p w14:paraId="41B28F5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Mês 12</w:t>
            </w:r>
          </w:p>
        </w:tc>
        <w:tc>
          <w:tcPr>
            <w:tcW w:w="763" w:type="pct"/>
            <w:tcBorders>
              <w:top w:val="nil"/>
              <w:left w:val="nil"/>
              <w:bottom w:val="single" w:sz="4" w:space="0" w:color="auto"/>
              <w:right w:val="nil"/>
            </w:tcBorders>
            <w:shd w:val="clear" w:color="auto" w:fill="auto"/>
            <w:vAlign w:val="center"/>
            <w:hideMark/>
          </w:tcPr>
          <w:p w14:paraId="7A32C550"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single" w:sz="4" w:space="0" w:color="auto"/>
              <w:bottom w:val="single" w:sz="4" w:space="0" w:color="auto"/>
              <w:right w:val="single" w:sz="4" w:space="0" w:color="auto"/>
            </w:tcBorders>
            <w:shd w:val="clear" w:color="auto" w:fill="auto"/>
            <w:vAlign w:val="center"/>
            <w:hideMark/>
          </w:tcPr>
          <w:p w14:paraId="08C888CC"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single" w:sz="4" w:space="0" w:color="auto"/>
              <w:right w:val="single" w:sz="4" w:space="0" w:color="auto"/>
            </w:tcBorders>
            <w:shd w:val="clear" w:color="auto" w:fill="auto"/>
            <w:vAlign w:val="center"/>
            <w:hideMark/>
          </w:tcPr>
          <w:p w14:paraId="1034C1F8"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single" w:sz="4" w:space="0" w:color="auto"/>
              <w:right w:val="single" w:sz="4" w:space="0" w:color="auto"/>
            </w:tcBorders>
            <w:shd w:val="clear" w:color="auto" w:fill="auto"/>
            <w:vAlign w:val="center"/>
            <w:hideMark/>
          </w:tcPr>
          <w:p w14:paraId="530201FD"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763" w:type="pct"/>
            <w:tcBorders>
              <w:top w:val="nil"/>
              <w:left w:val="nil"/>
              <w:bottom w:val="single" w:sz="4" w:space="0" w:color="auto"/>
              <w:right w:val="single" w:sz="4" w:space="0" w:color="auto"/>
            </w:tcBorders>
            <w:shd w:val="clear" w:color="auto" w:fill="auto"/>
            <w:vAlign w:val="center"/>
            <w:hideMark/>
          </w:tcPr>
          <w:p w14:paraId="0F1317E9"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bl>
    <w:p w14:paraId="25D23487" w14:textId="77777777" w:rsidR="00395593" w:rsidRPr="005C5CBD" w:rsidRDefault="00395593" w:rsidP="00E15FBB">
      <w:pPr>
        <w:spacing w:after="0" w:line="240" w:lineRule="auto"/>
        <w:jc w:val="center"/>
        <w:rPr>
          <w:rFonts w:ascii="Garamond" w:eastAsia="Times New Roman" w:hAnsi="Garamond" w:cs="Calibri"/>
          <w:sz w:val="24"/>
          <w:szCs w:val="24"/>
          <w:lang w:eastAsia="pt-BR"/>
        </w:rPr>
      </w:pPr>
    </w:p>
    <w:p w14:paraId="0C35E76D" w14:textId="77777777" w:rsidR="00395593" w:rsidRPr="005C5CBD" w:rsidRDefault="00395593" w:rsidP="0097041B">
      <w:pPr>
        <w:spacing w:after="200" w:line="276" w:lineRule="auto"/>
        <w:rPr>
          <w:rFonts w:ascii="Garamond" w:eastAsia="Calibri" w:hAnsi="Garamond" w:cs="Calibri"/>
          <w:sz w:val="24"/>
          <w:szCs w:val="24"/>
        </w:rPr>
      </w:pPr>
      <w:r w:rsidRPr="005C5CBD">
        <w:rPr>
          <w:rFonts w:ascii="Garamond" w:eastAsia="Times New Roman" w:hAnsi="Garamond" w:cs="Calibri"/>
          <w:sz w:val="24"/>
          <w:szCs w:val="24"/>
          <w:lang w:eastAsia="pt-BR"/>
        </w:rPr>
        <w:br w:type="page"/>
      </w:r>
    </w:p>
    <w:p w14:paraId="0AFC05E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sectPr w:rsidR="00395593" w:rsidRPr="005C5CBD" w:rsidSect="00E15FBB">
          <w:pgSz w:w="11906" w:h="16838"/>
          <w:pgMar w:top="1418" w:right="1701" w:bottom="1417" w:left="1418" w:header="708" w:footer="708" w:gutter="0"/>
          <w:cols w:space="708"/>
          <w:docGrid w:linePitch="360"/>
        </w:sectPr>
      </w:pPr>
    </w:p>
    <w:tbl>
      <w:tblPr>
        <w:tblW w:w="5000" w:type="pct"/>
        <w:tblCellMar>
          <w:left w:w="70" w:type="dxa"/>
          <w:right w:w="70" w:type="dxa"/>
        </w:tblCellMar>
        <w:tblLook w:val="04A0" w:firstRow="1" w:lastRow="0" w:firstColumn="1" w:lastColumn="0" w:noHBand="0" w:noVBand="1"/>
      </w:tblPr>
      <w:tblGrid>
        <w:gridCol w:w="8787"/>
      </w:tblGrid>
      <w:tr w:rsidR="00E15FBB" w:rsidRPr="005C5CBD" w14:paraId="777CA8C4" w14:textId="77777777" w:rsidTr="005C5CBD">
        <w:trPr>
          <w:trHeight w:val="345"/>
        </w:trPr>
        <w:tc>
          <w:tcPr>
            <w:tcW w:w="5000" w:type="pct"/>
            <w:tcBorders>
              <w:top w:val="nil"/>
              <w:left w:val="nil"/>
              <w:bottom w:val="nil"/>
              <w:right w:val="nil"/>
            </w:tcBorders>
            <w:shd w:val="clear" w:color="auto" w:fill="auto"/>
            <w:noWrap/>
            <w:vAlign w:val="bottom"/>
            <w:hideMark/>
          </w:tcPr>
          <w:p w14:paraId="017B6FCC" w14:textId="77777777" w:rsidR="00E15FBB" w:rsidRPr="009827E4" w:rsidRDefault="00E15FBB" w:rsidP="00E15FBB">
            <w:pPr>
              <w:spacing w:after="0" w:line="240" w:lineRule="auto"/>
              <w:jc w:val="center"/>
              <w:rPr>
                <w:rFonts w:ascii="Garamond" w:eastAsia="Times New Roman" w:hAnsi="Garamond" w:cs="Calibri"/>
                <w:b/>
                <w:color w:val="000000"/>
                <w:sz w:val="24"/>
                <w:szCs w:val="24"/>
                <w:lang w:eastAsia="pt-BR"/>
              </w:rPr>
            </w:pPr>
            <w:r w:rsidRPr="009827E4">
              <w:rPr>
                <w:rFonts w:ascii="Garamond" w:eastAsia="Times New Roman" w:hAnsi="Garamond" w:cs="Calibri"/>
                <w:b/>
                <w:color w:val="000000"/>
                <w:sz w:val="24"/>
                <w:szCs w:val="24"/>
                <w:lang w:eastAsia="pt-BR"/>
              </w:rPr>
              <w:t>APÊNDICE XI</w:t>
            </w:r>
          </w:p>
        </w:tc>
      </w:tr>
      <w:tr w:rsidR="00E15FBB" w:rsidRPr="005C5CBD" w14:paraId="468FB2F5" w14:textId="77777777" w:rsidTr="005C5CBD">
        <w:trPr>
          <w:trHeight w:val="345"/>
        </w:trPr>
        <w:tc>
          <w:tcPr>
            <w:tcW w:w="5000" w:type="pct"/>
            <w:tcBorders>
              <w:top w:val="nil"/>
              <w:left w:val="nil"/>
              <w:bottom w:val="nil"/>
              <w:right w:val="nil"/>
            </w:tcBorders>
            <w:shd w:val="clear" w:color="auto" w:fill="auto"/>
            <w:noWrap/>
            <w:vAlign w:val="bottom"/>
            <w:hideMark/>
          </w:tcPr>
          <w:p w14:paraId="74A27C91" w14:textId="0A19CB42" w:rsidR="00E15FBB" w:rsidRDefault="00E15FBB" w:rsidP="00FC5219">
            <w:pPr>
              <w:spacing w:after="0" w:line="240" w:lineRule="auto"/>
              <w:jc w:val="center"/>
              <w:rPr>
                <w:rFonts w:ascii="Garamond" w:eastAsia="Times New Roman" w:hAnsi="Garamond" w:cs="Calibri"/>
                <w:b/>
                <w:color w:val="000000"/>
                <w:sz w:val="24"/>
                <w:szCs w:val="24"/>
                <w:lang w:eastAsia="pt-BR"/>
              </w:rPr>
            </w:pPr>
            <w:r w:rsidRPr="009827E4">
              <w:rPr>
                <w:rFonts w:ascii="Garamond" w:eastAsia="Times New Roman" w:hAnsi="Garamond" w:cs="Calibri"/>
                <w:b/>
                <w:color w:val="000000"/>
                <w:sz w:val="24"/>
                <w:szCs w:val="24"/>
                <w:lang w:eastAsia="pt-BR"/>
              </w:rPr>
              <w:t>DEMONSTRAÇÃO DE RESULTADOS - VENDAS DO PRODUTO SIMILAR DOMÉSTICO NO MERCADO INTERNO</w:t>
            </w:r>
          </w:p>
          <w:p w14:paraId="1A974D04" w14:textId="77777777" w:rsidR="004136FD" w:rsidRDefault="004136FD" w:rsidP="00FC5219">
            <w:pPr>
              <w:spacing w:after="0" w:line="240" w:lineRule="auto"/>
              <w:jc w:val="center"/>
              <w:rPr>
                <w:rFonts w:ascii="Garamond" w:eastAsia="Times New Roman" w:hAnsi="Garamond" w:cs="Calibri"/>
                <w:b/>
                <w:color w:val="000000"/>
                <w:sz w:val="24"/>
                <w:szCs w:val="24"/>
                <w:lang w:eastAsia="pt-BR"/>
              </w:rPr>
            </w:pPr>
          </w:p>
          <w:tbl>
            <w:tblPr>
              <w:tblW w:w="5000" w:type="pct"/>
              <w:tblCellMar>
                <w:left w:w="70" w:type="dxa"/>
                <w:right w:w="70" w:type="dxa"/>
              </w:tblCellMar>
              <w:tblLook w:val="04A0" w:firstRow="1" w:lastRow="0" w:firstColumn="1" w:lastColumn="0" w:noHBand="0" w:noVBand="1"/>
            </w:tblPr>
            <w:tblGrid>
              <w:gridCol w:w="2649"/>
              <w:gridCol w:w="1196"/>
              <w:gridCol w:w="1195"/>
              <w:gridCol w:w="1195"/>
              <w:gridCol w:w="1195"/>
              <w:gridCol w:w="1207"/>
            </w:tblGrid>
            <w:tr w:rsidR="00E15FBB" w:rsidRPr="000E73BB" w14:paraId="5F2EF893" w14:textId="77777777" w:rsidTr="004136FD">
              <w:trPr>
                <w:trHeight w:val="345"/>
              </w:trPr>
              <w:tc>
                <w:tcPr>
                  <w:tcW w:w="1533" w:type="pct"/>
                  <w:tcBorders>
                    <w:top w:val="single" w:sz="4" w:space="0" w:color="auto"/>
                    <w:left w:val="single" w:sz="4" w:space="0" w:color="auto"/>
                    <w:bottom w:val="single" w:sz="4" w:space="0" w:color="auto"/>
                    <w:right w:val="nil"/>
                  </w:tcBorders>
                  <w:shd w:val="clear" w:color="auto" w:fill="auto"/>
                  <w:vAlign w:val="center"/>
                  <w:hideMark/>
                </w:tcPr>
                <w:p w14:paraId="1891BE6A" w14:textId="77777777" w:rsidR="00E15FBB" w:rsidRPr="000E73BB" w:rsidRDefault="00E15FBB" w:rsidP="00E15FBB">
                  <w:pPr>
                    <w:spacing w:after="0" w:line="240" w:lineRule="auto"/>
                    <w:rPr>
                      <w:rFonts w:ascii="Garamond" w:eastAsia="Times New Roman" w:hAnsi="Garamond" w:cs="Calibri"/>
                      <w:b/>
                      <w:color w:val="FF0000"/>
                      <w:sz w:val="24"/>
                      <w:szCs w:val="24"/>
                      <w:lang w:eastAsia="pt-BR"/>
                    </w:rPr>
                  </w:pPr>
                  <w:r w:rsidRPr="000E73BB">
                    <w:rPr>
                      <w:rFonts w:ascii="Garamond" w:eastAsia="Times New Roman" w:hAnsi="Garamond" w:cs="Calibri"/>
                      <w:b/>
                      <w:color w:val="FF0000"/>
                      <w:sz w:val="24"/>
                      <w:szCs w:val="24"/>
                      <w:lang w:eastAsia="pt-BR"/>
                    </w:rPr>
                    <w:t xml:space="preserve">Empresa </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42A62D"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 xml:space="preserve"> P1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59EDD2A1"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 xml:space="preserve"> P2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13B652DE"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 xml:space="preserve"> P3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5495C319"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 xml:space="preserve"> P4 </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106A759E"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 xml:space="preserve"> P5 </w:t>
                  </w:r>
                </w:p>
              </w:tc>
            </w:tr>
            <w:tr w:rsidR="00E15FBB" w:rsidRPr="000E73BB" w14:paraId="480A807B" w14:textId="77777777" w:rsidTr="004136FD">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280318DD"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1- Faturamento Bruto</w:t>
                  </w:r>
                </w:p>
              </w:tc>
              <w:tc>
                <w:tcPr>
                  <w:tcW w:w="692" w:type="pct"/>
                  <w:tcBorders>
                    <w:top w:val="nil"/>
                    <w:left w:val="nil"/>
                    <w:bottom w:val="single" w:sz="4" w:space="0" w:color="auto"/>
                    <w:right w:val="nil"/>
                  </w:tcBorders>
                  <w:shd w:val="clear" w:color="auto" w:fill="auto"/>
                  <w:vAlign w:val="center"/>
                  <w:hideMark/>
                </w:tcPr>
                <w:p w14:paraId="19DD9A9F"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p>
              </w:tc>
              <w:tc>
                <w:tcPr>
                  <w:tcW w:w="692" w:type="pct"/>
                  <w:tcBorders>
                    <w:top w:val="nil"/>
                    <w:left w:val="single" w:sz="4" w:space="0" w:color="auto"/>
                    <w:bottom w:val="single" w:sz="4" w:space="0" w:color="auto"/>
                    <w:right w:val="single" w:sz="4" w:space="0" w:color="auto"/>
                  </w:tcBorders>
                  <w:shd w:val="clear" w:color="auto" w:fill="auto"/>
                  <w:vAlign w:val="center"/>
                  <w:hideMark/>
                </w:tcPr>
                <w:p w14:paraId="65819269"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p>
              </w:tc>
              <w:tc>
                <w:tcPr>
                  <w:tcW w:w="692" w:type="pct"/>
                  <w:tcBorders>
                    <w:top w:val="nil"/>
                    <w:left w:val="nil"/>
                    <w:bottom w:val="single" w:sz="4" w:space="0" w:color="auto"/>
                    <w:right w:val="single" w:sz="4" w:space="0" w:color="auto"/>
                  </w:tcBorders>
                  <w:shd w:val="clear" w:color="auto" w:fill="auto"/>
                  <w:vAlign w:val="center"/>
                  <w:hideMark/>
                </w:tcPr>
                <w:p w14:paraId="36DABF61"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p>
              </w:tc>
              <w:tc>
                <w:tcPr>
                  <w:tcW w:w="692" w:type="pct"/>
                  <w:tcBorders>
                    <w:top w:val="nil"/>
                    <w:left w:val="nil"/>
                    <w:bottom w:val="single" w:sz="4" w:space="0" w:color="auto"/>
                    <w:right w:val="single" w:sz="4" w:space="0" w:color="auto"/>
                  </w:tcBorders>
                  <w:shd w:val="clear" w:color="auto" w:fill="auto"/>
                  <w:vAlign w:val="center"/>
                  <w:hideMark/>
                </w:tcPr>
                <w:p w14:paraId="00ECC209"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p>
              </w:tc>
              <w:tc>
                <w:tcPr>
                  <w:tcW w:w="699" w:type="pct"/>
                  <w:tcBorders>
                    <w:top w:val="nil"/>
                    <w:left w:val="nil"/>
                    <w:bottom w:val="single" w:sz="4" w:space="0" w:color="auto"/>
                    <w:right w:val="single" w:sz="4" w:space="0" w:color="auto"/>
                  </w:tcBorders>
                  <w:shd w:val="clear" w:color="auto" w:fill="auto"/>
                  <w:vAlign w:val="center"/>
                  <w:hideMark/>
                </w:tcPr>
                <w:p w14:paraId="15DC85ED"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p>
              </w:tc>
            </w:tr>
            <w:tr w:rsidR="00E15FBB" w:rsidRPr="000E73BB" w14:paraId="58E0313A" w14:textId="77777777" w:rsidTr="004136FD">
              <w:trPr>
                <w:trHeight w:val="345"/>
              </w:trPr>
              <w:tc>
                <w:tcPr>
                  <w:tcW w:w="1533" w:type="pct"/>
                  <w:tcBorders>
                    <w:top w:val="nil"/>
                    <w:left w:val="single" w:sz="4" w:space="0" w:color="auto"/>
                    <w:bottom w:val="nil"/>
                    <w:right w:val="single" w:sz="4" w:space="0" w:color="auto"/>
                  </w:tcBorders>
                  <w:shd w:val="clear" w:color="auto" w:fill="auto"/>
                  <w:vAlign w:val="center"/>
                  <w:hideMark/>
                </w:tcPr>
                <w:p w14:paraId="55EFDA8B"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1.1- IPI</w:t>
                  </w:r>
                </w:p>
              </w:tc>
              <w:tc>
                <w:tcPr>
                  <w:tcW w:w="692" w:type="pct"/>
                  <w:tcBorders>
                    <w:top w:val="nil"/>
                    <w:left w:val="nil"/>
                    <w:bottom w:val="nil"/>
                    <w:right w:val="nil"/>
                  </w:tcBorders>
                  <w:shd w:val="clear" w:color="auto" w:fill="auto"/>
                  <w:vAlign w:val="center"/>
                  <w:hideMark/>
                </w:tcPr>
                <w:p w14:paraId="6D9FDF35"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single" w:sz="4" w:space="0" w:color="auto"/>
                  </w:tcBorders>
                  <w:shd w:val="clear" w:color="auto" w:fill="auto"/>
                  <w:vAlign w:val="center"/>
                  <w:hideMark/>
                </w:tcPr>
                <w:p w14:paraId="2942F6DB"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0904FA1E"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1EFBFA1D"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nil"/>
                    <w:bottom w:val="nil"/>
                    <w:right w:val="single" w:sz="4" w:space="0" w:color="auto"/>
                  </w:tcBorders>
                  <w:shd w:val="clear" w:color="auto" w:fill="auto"/>
                  <w:vAlign w:val="center"/>
                  <w:hideMark/>
                </w:tcPr>
                <w:p w14:paraId="43B6DA44"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r>
            <w:tr w:rsidR="00E15FBB" w:rsidRPr="000E73BB" w14:paraId="57B606DA" w14:textId="77777777" w:rsidTr="004136FD">
              <w:trPr>
                <w:trHeight w:val="345"/>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D65B3"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2-Receita Operacional Bruta (1-1.1)</w:t>
                  </w:r>
                </w:p>
              </w:tc>
              <w:tc>
                <w:tcPr>
                  <w:tcW w:w="692" w:type="pct"/>
                  <w:tcBorders>
                    <w:top w:val="single" w:sz="4" w:space="0" w:color="auto"/>
                    <w:left w:val="nil"/>
                    <w:bottom w:val="single" w:sz="4" w:space="0" w:color="auto"/>
                    <w:right w:val="nil"/>
                  </w:tcBorders>
                  <w:shd w:val="clear" w:color="000000" w:fill="D9D9D9"/>
                  <w:vAlign w:val="center"/>
                  <w:hideMark/>
                </w:tcPr>
                <w:p w14:paraId="01C33F86"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3A68B3B3"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5DC2A076"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0E92B5D2"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D5602CC"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r>
            <w:tr w:rsidR="00E15FBB" w:rsidRPr="000E73BB" w14:paraId="083BF332" w14:textId="77777777" w:rsidTr="004136FD">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7D31C29E"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3-Deduções da Receita Bruta</w:t>
                  </w:r>
                </w:p>
              </w:tc>
              <w:tc>
                <w:tcPr>
                  <w:tcW w:w="692" w:type="pct"/>
                  <w:tcBorders>
                    <w:top w:val="nil"/>
                    <w:left w:val="nil"/>
                    <w:bottom w:val="single" w:sz="4" w:space="0" w:color="auto"/>
                    <w:right w:val="nil"/>
                  </w:tcBorders>
                  <w:shd w:val="clear" w:color="000000" w:fill="D9D9D9"/>
                  <w:vAlign w:val="center"/>
                  <w:hideMark/>
                </w:tcPr>
                <w:p w14:paraId="7904170A"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2CF4CD59"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4676ACC4"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51CEC873"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9" w:type="pct"/>
                  <w:tcBorders>
                    <w:top w:val="nil"/>
                    <w:left w:val="single" w:sz="4" w:space="0" w:color="auto"/>
                    <w:bottom w:val="single" w:sz="4" w:space="0" w:color="auto"/>
                    <w:right w:val="nil"/>
                  </w:tcBorders>
                  <w:shd w:val="clear" w:color="000000" w:fill="D9D9D9"/>
                  <w:vAlign w:val="center"/>
                  <w:hideMark/>
                </w:tcPr>
                <w:p w14:paraId="04ECB72D"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r>
            <w:tr w:rsidR="00E15FBB" w:rsidRPr="000E73BB" w14:paraId="247B6AF5" w14:textId="77777777" w:rsidTr="004136FD">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7EED8154"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3.1-Tributos sobre Vendas (informar alíquotas)</w:t>
                  </w:r>
                </w:p>
              </w:tc>
              <w:tc>
                <w:tcPr>
                  <w:tcW w:w="692" w:type="pct"/>
                  <w:tcBorders>
                    <w:top w:val="nil"/>
                    <w:left w:val="nil"/>
                    <w:bottom w:val="single" w:sz="4" w:space="0" w:color="auto"/>
                    <w:right w:val="nil"/>
                  </w:tcBorders>
                  <w:shd w:val="clear" w:color="000000" w:fill="D9D9D9"/>
                  <w:vAlign w:val="center"/>
                  <w:hideMark/>
                </w:tcPr>
                <w:p w14:paraId="78876E3F"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7E9D551A"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74D6CE23"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6FAF131E"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w:t>
                  </w:r>
                </w:p>
              </w:tc>
              <w:tc>
                <w:tcPr>
                  <w:tcW w:w="699" w:type="pct"/>
                  <w:tcBorders>
                    <w:top w:val="nil"/>
                    <w:left w:val="single" w:sz="4" w:space="0" w:color="auto"/>
                    <w:bottom w:val="single" w:sz="4" w:space="0" w:color="auto"/>
                    <w:right w:val="single" w:sz="4" w:space="0" w:color="auto"/>
                  </w:tcBorders>
                  <w:shd w:val="clear" w:color="000000" w:fill="D9D9D9"/>
                  <w:vAlign w:val="center"/>
                  <w:hideMark/>
                </w:tcPr>
                <w:p w14:paraId="2A7D5039"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w:t>
                  </w:r>
                </w:p>
              </w:tc>
            </w:tr>
            <w:tr w:rsidR="00E15FBB" w:rsidRPr="000E73BB" w14:paraId="0977E4A1" w14:textId="77777777" w:rsidTr="004136FD">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2DC30116"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3.1.1 - ICMS</w:t>
                  </w:r>
                </w:p>
              </w:tc>
              <w:tc>
                <w:tcPr>
                  <w:tcW w:w="692" w:type="pct"/>
                  <w:tcBorders>
                    <w:top w:val="nil"/>
                    <w:left w:val="nil"/>
                    <w:bottom w:val="nil"/>
                    <w:right w:val="nil"/>
                  </w:tcBorders>
                  <w:shd w:val="clear" w:color="auto" w:fill="auto"/>
                  <w:vAlign w:val="center"/>
                  <w:hideMark/>
                </w:tcPr>
                <w:p w14:paraId="2D0D78CB"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single" w:sz="4" w:space="0" w:color="auto"/>
                  </w:tcBorders>
                  <w:shd w:val="clear" w:color="auto" w:fill="auto"/>
                  <w:vAlign w:val="center"/>
                  <w:hideMark/>
                </w:tcPr>
                <w:p w14:paraId="78DFC861"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3C1719C4"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5D4436AA"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nil"/>
                    <w:bottom w:val="nil"/>
                    <w:right w:val="single" w:sz="4" w:space="0" w:color="auto"/>
                  </w:tcBorders>
                  <w:shd w:val="clear" w:color="auto" w:fill="auto"/>
                  <w:vAlign w:val="center"/>
                  <w:hideMark/>
                </w:tcPr>
                <w:p w14:paraId="1CF1F605"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r>
            <w:tr w:rsidR="00E15FBB" w:rsidRPr="000E73BB" w14:paraId="5D85CE03" w14:textId="77777777" w:rsidTr="004136FD">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578A9A8D"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 xml:space="preserve">3.1.2 - PIS </w:t>
                  </w:r>
                </w:p>
              </w:tc>
              <w:tc>
                <w:tcPr>
                  <w:tcW w:w="692" w:type="pct"/>
                  <w:tcBorders>
                    <w:top w:val="nil"/>
                    <w:left w:val="nil"/>
                    <w:bottom w:val="nil"/>
                    <w:right w:val="nil"/>
                  </w:tcBorders>
                  <w:shd w:val="clear" w:color="auto" w:fill="auto"/>
                  <w:vAlign w:val="center"/>
                  <w:hideMark/>
                </w:tcPr>
                <w:p w14:paraId="7B57F78C"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single" w:sz="4" w:space="0" w:color="auto"/>
                  </w:tcBorders>
                  <w:shd w:val="clear" w:color="auto" w:fill="auto"/>
                  <w:vAlign w:val="center"/>
                  <w:hideMark/>
                </w:tcPr>
                <w:p w14:paraId="78C0BE60"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15546748"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620AF91D"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nil"/>
                    <w:bottom w:val="nil"/>
                    <w:right w:val="single" w:sz="4" w:space="0" w:color="auto"/>
                  </w:tcBorders>
                  <w:shd w:val="clear" w:color="auto" w:fill="auto"/>
                  <w:vAlign w:val="center"/>
                  <w:hideMark/>
                </w:tcPr>
                <w:p w14:paraId="5A03C412"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r>
            <w:tr w:rsidR="00E15FBB" w:rsidRPr="000E73BB" w14:paraId="698CABBC" w14:textId="77777777" w:rsidTr="004136FD">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713D435F"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3.1.3 - COFINS</w:t>
                  </w:r>
                </w:p>
              </w:tc>
              <w:tc>
                <w:tcPr>
                  <w:tcW w:w="692" w:type="pct"/>
                  <w:tcBorders>
                    <w:top w:val="nil"/>
                    <w:left w:val="nil"/>
                    <w:bottom w:val="nil"/>
                    <w:right w:val="nil"/>
                  </w:tcBorders>
                  <w:shd w:val="clear" w:color="auto" w:fill="auto"/>
                  <w:vAlign w:val="center"/>
                  <w:hideMark/>
                </w:tcPr>
                <w:p w14:paraId="564E7E22"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single" w:sz="4" w:space="0" w:color="auto"/>
                  </w:tcBorders>
                  <w:shd w:val="clear" w:color="auto" w:fill="auto"/>
                  <w:vAlign w:val="center"/>
                  <w:hideMark/>
                </w:tcPr>
                <w:p w14:paraId="1C49CA7A"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55E961EB"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755E45AA"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nil"/>
                    <w:bottom w:val="nil"/>
                    <w:right w:val="single" w:sz="4" w:space="0" w:color="auto"/>
                  </w:tcBorders>
                  <w:shd w:val="clear" w:color="auto" w:fill="auto"/>
                  <w:vAlign w:val="center"/>
                  <w:hideMark/>
                </w:tcPr>
                <w:p w14:paraId="3CA38E08"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r>
            <w:tr w:rsidR="00E15FBB" w:rsidRPr="000E73BB" w14:paraId="0E8B86D9" w14:textId="77777777" w:rsidTr="004136FD">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54A53B8A"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3.2-Descontos e abatimentos</w:t>
                  </w:r>
                </w:p>
              </w:tc>
              <w:tc>
                <w:tcPr>
                  <w:tcW w:w="692" w:type="pct"/>
                  <w:tcBorders>
                    <w:top w:val="nil"/>
                    <w:left w:val="nil"/>
                    <w:bottom w:val="nil"/>
                    <w:right w:val="nil"/>
                  </w:tcBorders>
                  <w:shd w:val="clear" w:color="auto" w:fill="auto"/>
                  <w:vAlign w:val="center"/>
                  <w:hideMark/>
                </w:tcPr>
                <w:p w14:paraId="61E9FAB7"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single" w:sz="4" w:space="0" w:color="auto"/>
                  </w:tcBorders>
                  <w:shd w:val="clear" w:color="auto" w:fill="auto"/>
                  <w:vAlign w:val="center"/>
                  <w:hideMark/>
                </w:tcPr>
                <w:p w14:paraId="684439A9"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1C64F9EA"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68D44099"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nil"/>
                    <w:bottom w:val="nil"/>
                    <w:right w:val="single" w:sz="4" w:space="0" w:color="auto"/>
                  </w:tcBorders>
                  <w:shd w:val="clear" w:color="auto" w:fill="auto"/>
                  <w:vAlign w:val="center"/>
                  <w:hideMark/>
                </w:tcPr>
                <w:p w14:paraId="31BF2F6F"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r>
            <w:tr w:rsidR="00E15FBB" w:rsidRPr="000E73BB" w14:paraId="5FC4E763" w14:textId="77777777" w:rsidTr="004136FD">
              <w:trPr>
                <w:trHeight w:val="345"/>
              </w:trPr>
              <w:tc>
                <w:tcPr>
                  <w:tcW w:w="1533" w:type="pct"/>
                  <w:tcBorders>
                    <w:top w:val="nil"/>
                    <w:left w:val="single" w:sz="4" w:space="0" w:color="auto"/>
                    <w:bottom w:val="nil"/>
                    <w:right w:val="single" w:sz="4" w:space="0" w:color="auto"/>
                  </w:tcBorders>
                  <w:shd w:val="clear" w:color="auto" w:fill="auto"/>
                  <w:vAlign w:val="center"/>
                  <w:hideMark/>
                </w:tcPr>
                <w:p w14:paraId="19C0FE4A"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3.3-Devoluções</w:t>
                  </w:r>
                </w:p>
              </w:tc>
              <w:tc>
                <w:tcPr>
                  <w:tcW w:w="692" w:type="pct"/>
                  <w:tcBorders>
                    <w:top w:val="nil"/>
                    <w:left w:val="nil"/>
                    <w:bottom w:val="nil"/>
                    <w:right w:val="nil"/>
                  </w:tcBorders>
                  <w:shd w:val="clear" w:color="auto" w:fill="auto"/>
                  <w:vAlign w:val="center"/>
                  <w:hideMark/>
                </w:tcPr>
                <w:p w14:paraId="1BE80CFD"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single" w:sz="4" w:space="0" w:color="auto"/>
                  </w:tcBorders>
                  <w:shd w:val="clear" w:color="auto" w:fill="auto"/>
                  <w:vAlign w:val="center"/>
                  <w:hideMark/>
                </w:tcPr>
                <w:p w14:paraId="304710EA"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3160B408"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65E75445"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nil"/>
                    <w:bottom w:val="nil"/>
                    <w:right w:val="single" w:sz="4" w:space="0" w:color="auto"/>
                  </w:tcBorders>
                  <w:shd w:val="clear" w:color="auto" w:fill="auto"/>
                  <w:vAlign w:val="center"/>
                  <w:hideMark/>
                </w:tcPr>
                <w:p w14:paraId="7698D233"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r>
            <w:tr w:rsidR="00E15FBB" w:rsidRPr="000E73BB" w14:paraId="0DA455A4" w14:textId="77777777" w:rsidTr="004136FD">
              <w:trPr>
                <w:trHeight w:val="345"/>
              </w:trPr>
              <w:tc>
                <w:tcPr>
                  <w:tcW w:w="1533" w:type="pct"/>
                  <w:tcBorders>
                    <w:top w:val="single" w:sz="4" w:space="0" w:color="auto"/>
                    <w:left w:val="single" w:sz="4" w:space="0" w:color="auto"/>
                    <w:bottom w:val="nil"/>
                    <w:right w:val="single" w:sz="4" w:space="0" w:color="auto"/>
                  </w:tcBorders>
                  <w:shd w:val="clear" w:color="auto" w:fill="auto"/>
                  <w:vAlign w:val="center"/>
                  <w:hideMark/>
                </w:tcPr>
                <w:p w14:paraId="1FED9A5B"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3.4-Frete sobre venda</w:t>
                  </w:r>
                </w:p>
              </w:tc>
              <w:tc>
                <w:tcPr>
                  <w:tcW w:w="692" w:type="pct"/>
                  <w:tcBorders>
                    <w:top w:val="nil"/>
                    <w:left w:val="nil"/>
                    <w:bottom w:val="nil"/>
                    <w:right w:val="nil"/>
                  </w:tcBorders>
                  <w:shd w:val="clear" w:color="auto" w:fill="auto"/>
                  <w:vAlign w:val="center"/>
                  <w:hideMark/>
                </w:tcPr>
                <w:p w14:paraId="79476348"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42B8B346"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42C2507B"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33966689"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2BE8662B"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r>
            <w:tr w:rsidR="00E15FBB" w:rsidRPr="000E73BB" w14:paraId="6D7579F2" w14:textId="77777777" w:rsidTr="004136FD">
              <w:trPr>
                <w:trHeight w:val="345"/>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63C22"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4-Receita Operacional Líquida (2-3)</w:t>
                  </w:r>
                </w:p>
              </w:tc>
              <w:tc>
                <w:tcPr>
                  <w:tcW w:w="692" w:type="pct"/>
                  <w:tcBorders>
                    <w:top w:val="single" w:sz="4" w:space="0" w:color="auto"/>
                    <w:left w:val="nil"/>
                    <w:bottom w:val="single" w:sz="4" w:space="0" w:color="auto"/>
                    <w:right w:val="nil"/>
                  </w:tcBorders>
                  <w:shd w:val="clear" w:color="000000" w:fill="D9D9D9"/>
                  <w:vAlign w:val="center"/>
                  <w:hideMark/>
                </w:tcPr>
                <w:p w14:paraId="76EDD018"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1C5530B7"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0B3AAA09"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6499CEAB"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B9A672F"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r>
            <w:tr w:rsidR="00E15FBB" w:rsidRPr="000E73BB" w14:paraId="3CF9265E" w14:textId="77777777" w:rsidTr="004136FD">
              <w:trPr>
                <w:trHeight w:val="345"/>
              </w:trPr>
              <w:tc>
                <w:tcPr>
                  <w:tcW w:w="1533" w:type="pct"/>
                  <w:tcBorders>
                    <w:top w:val="nil"/>
                    <w:left w:val="single" w:sz="4" w:space="0" w:color="auto"/>
                    <w:bottom w:val="nil"/>
                    <w:right w:val="single" w:sz="4" w:space="0" w:color="auto"/>
                  </w:tcBorders>
                  <w:shd w:val="clear" w:color="auto" w:fill="auto"/>
                  <w:vAlign w:val="center"/>
                  <w:hideMark/>
                </w:tcPr>
                <w:p w14:paraId="4ED42D21"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5-Custo dos Produtos Vendidos</w:t>
                  </w:r>
                </w:p>
              </w:tc>
              <w:tc>
                <w:tcPr>
                  <w:tcW w:w="692" w:type="pct"/>
                  <w:tcBorders>
                    <w:top w:val="nil"/>
                    <w:left w:val="nil"/>
                    <w:bottom w:val="nil"/>
                    <w:right w:val="nil"/>
                  </w:tcBorders>
                  <w:shd w:val="clear" w:color="auto" w:fill="auto"/>
                  <w:vAlign w:val="center"/>
                  <w:hideMark/>
                </w:tcPr>
                <w:p w14:paraId="3CD41A56"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30033CCB"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074012A3"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4017B75B"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68E1E41D"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r>
            <w:tr w:rsidR="00E15FBB" w:rsidRPr="000E73BB" w14:paraId="767AC171" w14:textId="77777777" w:rsidTr="004136FD">
              <w:trPr>
                <w:trHeight w:val="345"/>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1CB53"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6- Resultado Bruto (4-5)</w:t>
                  </w:r>
                </w:p>
              </w:tc>
              <w:tc>
                <w:tcPr>
                  <w:tcW w:w="692" w:type="pct"/>
                  <w:tcBorders>
                    <w:top w:val="single" w:sz="4" w:space="0" w:color="auto"/>
                    <w:left w:val="nil"/>
                    <w:bottom w:val="single" w:sz="4" w:space="0" w:color="auto"/>
                    <w:right w:val="nil"/>
                  </w:tcBorders>
                  <w:shd w:val="clear" w:color="000000" w:fill="D9D9D9"/>
                  <w:vAlign w:val="center"/>
                  <w:hideMark/>
                </w:tcPr>
                <w:p w14:paraId="20220D90"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556F220E"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237A5DA3"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2866F4EE"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0CF2994"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r>
            <w:tr w:rsidR="00E15FBB" w:rsidRPr="000E73BB" w14:paraId="4F10DD3A" w14:textId="77777777" w:rsidTr="004136FD">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5E5C1278"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7-Despesas/Receitas Operacionais</w:t>
                  </w:r>
                </w:p>
              </w:tc>
              <w:tc>
                <w:tcPr>
                  <w:tcW w:w="692" w:type="pct"/>
                  <w:tcBorders>
                    <w:top w:val="nil"/>
                    <w:left w:val="nil"/>
                    <w:bottom w:val="single" w:sz="4" w:space="0" w:color="auto"/>
                    <w:right w:val="nil"/>
                  </w:tcBorders>
                  <w:shd w:val="clear" w:color="000000" w:fill="D9D9D9"/>
                  <w:vAlign w:val="center"/>
                  <w:hideMark/>
                </w:tcPr>
                <w:p w14:paraId="0D3D80B4"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0B7F3D94"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2B6A157B"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1FC6EACC"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9" w:type="pct"/>
                  <w:tcBorders>
                    <w:top w:val="nil"/>
                    <w:left w:val="single" w:sz="4" w:space="0" w:color="auto"/>
                    <w:bottom w:val="single" w:sz="4" w:space="0" w:color="auto"/>
                    <w:right w:val="single" w:sz="4" w:space="0" w:color="auto"/>
                  </w:tcBorders>
                  <w:shd w:val="clear" w:color="000000" w:fill="D9D9D9"/>
                  <w:vAlign w:val="center"/>
                  <w:hideMark/>
                </w:tcPr>
                <w:p w14:paraId="2D2A6928"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r>
            <w:tr w:rsidR="00E15FBB" w:rsidRPr="000E73BB" w14:paraId="31C07F30" w14:textId="77777777" w:rsidTr="004136FD">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5503CEAA"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7.1-Despesas Gerais e Administrativas</w:t>
                  </w:r>
                </w:p>
              </w:tc>
              <w:tc>
                <w:tcPr>
                  <w:tcW w:w="692" w:type="pct"/>
                  <w:tcBorders>
                    <w:top w:val="nil"/>
                    <w:left w:val="nil"/>
                    <w:bottom w:val="nil"/>
                    <w:right w:val="nil"/>
                  </w:tcBorders>
                  <w:shd w:val="clear" w:color="auto" w:fill="auto"/>
                  <w:vAlign w:val="center"/>
                  <w:hideMark/>
                </w:tcPr>
                <w:p w14:paraId="0E1C2C5F"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69DEFF77"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2AFB78F5"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0C5C2B18"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46EDF443"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r>
            <w:tr w:rsidR="00E15FBB" w:rsidRPr="000E73BB" w14:paraId="1E687C69" w14:textId="77777777" w:rsidTr="004136FD">
              <w:trPr>
                <w:trHeight w:val="450"/>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40DC2DE7"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7.2-Despesas com Vendas (exceto frete sobre venda)</w:t>
                  </w:r>
                </w:p>
              </w:tc>
              <w:tc>
                <w:tcPr>
                  <w:tcW w:w="692" w:type="pct"/>
                  <w:tcBorders>
                    <w:top w:val="nil"/>
                    <w:left w:val="nil"/>
                    <w:bottom w:val="nil"/>
                    <w:right w:val="nil"/>
                  </w:tcBorders>
                  <w:shd w:val="clear" w:color="auto" w:fill="auto"/>
                  <w:vAlign w:val="center"/>
                  <w:hideMark/>
                </w:tcPr>
                <w:p w14:paraId="59D9CC1C"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13783C2B"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06A909FA"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1DF072D2"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2C71A234"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r>
            <w:tr w:rsidR="00E15FBB" w:rsidRPr="000E73BB" w14:paraId="513B3700" w14:textId="77777777" w:rsidTr="004136FD">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2979819E"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7.3-Despesas Financeiras</w:t>
                  </w:r>
                </w:p>
              </w:tc>
              <w:tc>
                <w:tcPr>
                  <w:tcW w:w="692" w:type="pct"/>
                  <w:tcBorders>
                    <w:top w:val="nil"/>
                    <w:left w:val="nil"/>
                    <w:bottom w:val="nil"/>
                    <w:right w:val="nil"/>
                  </w:tcBorders>
                  <w:shd w:val="clear" w:color="auto" w:fill="auto"/>
                  <w:vAlign w:val="center"/>
                  <w:hideMark/>
                </w:tcPr>
                <w:p w14:paraId="356E4A17" w14:textId="77777777" w:rsidR="00E15FBB" w:rsidRPr="000E73BB" w:rsidRDefault="00E15FBB" w:rsidP="00E15FBB">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631D16F7" w14:textId="77777777" w:rsidR="00E15FBB" w:rsidRPr="000E73BB" w:rsidRDefault="00E15FBB" w:rsidP="00E15FBB">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6E06EDED" w14:textId="77777777" w:rsidR="00E15FBB" w:rsidRPr="000E73BB" w:rsidRDefault="00E15FBB" w:rsidP="00E15FBB">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1AE28207" w14:textId="77777777" w:rsidR="00E15FBB" w:rsidRPr="000E73BB" w:rsidRDefault="00E15FBB" w:rsidP="00E15FBB">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c>
                <w:tcPr>
                  <w:tcW w:w="699" w:type="pct"/>
                  <w:tcBorders>
                    <w:top w:val="nil"/>
                    <w:left w:val="single" w:sz="4" w:space="0" w:color="auto"/>
                    <w:bottom w:val="nil"/>
                    <w:right w:val="single" w:sz="4" w:space="0" w:color="auto"/>
                  </w:tcBorders>
                  <w:shd w:val="clear" w:color="auto" w:fill="auto"/>
                  <w:vAlign w:val="center"/>
                  <w:hideMark/>
                </w:tcPr>
                <w:p w14:paraId="7EA313CA" w14:textId="77777777" w:rsidR="00E15FBB" w:rsidRPr="000E73BB" w:rsidRDefault="00E15FBB" w:rsidP="00E15FBB">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r>
            <w:tr w:rsidR="00E15FBB" w:rsidRPr="000E73BB" w14:paraId="4F398455" w14:textId="77777777" w:rsidTr="004136FD">
              <w:trPr>
                <w:trHeight w:val="345"/>
              </w:trPr>
              <w:tc>
                <w:tcPr>
                  <w:tcW w:w="1533" w:type="pct"/>
                  <w:tcBorders>
                    <w:top w:val="nil"/>
                    <w:left w:val="single" w:sz="4" w:space="0" w:color="auto"/>
                    <w:bottom w:val="single" w:sz="4" w:space="0" w:color="auto"/>
                    <w:right w:val="single" w:sz="4" w:space="0" w:color="auto"/>
                  </w:tcBorders>
                  <w:shd w:val="clear" w:color="auto" w:fill="auto"/>
                  <w:vAlign w:val="center"/>
                  <w:hideMark/>
                </w:tcPr>
                <w:p w14:paraId="67B9D656"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7.4-Receitas Financeiras</w:t>
                  </w:r>
                </w:p>
              </w:tc>
              <w:tc>
                <w:tcPr>
                  <w:tcW w:w="692" w:type="pct"/>
                  <w:tcBorders>
                    <w:top w:val="nil"/>
                    <w:left w:val="nil"/>
                    <w:bottom w:val="nil"/>
                    <w:right w:val="nil"/>
                  </w:tcBorders>
                  <w:shd w:val="clear" w:color="auto" w:fill="auto"/>
                  <w:vAlign w:val="center"/>
                  <w:hideMark/>
                </w:tcPr>
                <w:p w14:paraId="5F608B30" w14:textId="77777777" w:rsidR="00E15FBB" w:rsidRPr="000E73BB" w:rsidRDefault="00E15FBB" w:rsidP="00E15FBB">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15C8AA80" w14:textId="77777777" w:rsidR="00E15FBB" w:rsidRPr="000E73BB" w:rsidRDefault="00E15FBB" w:rsidP="00E15FBB">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4E419FDB" w14:textId="77777777" w:rsidR="00E15FBB" w:rsidRPr="000E73BB" w:rsidRDefault="00E15FBB" w:rsidP="00E15FBB">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469E669B" w14:textId="77777777" w:rsidR="00E15FBB" w:rsidRPr="000E73BB" w:rsidRDefault="00E15FBB" w:rsidP="00E15FBB">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c>
                <w:tcPr>
                  <w:tcW w:w="699" w:type="pct"/>
                  <w:tcBorders>
                    <w:top w:val="nil"/>
                    <w:left w:val="single" w:sz="4" w:space="0" w:color="auto"/>
                    <w:bottom w:val="nil"/>
                    <w:right w:val="single" w:sz="4" w:space="0" w:color="auto"/>
                  </w:tcBorders>
                  <w:shd w:val="clear" w:color="auto" w:fill="auto"/>
                  <w:vAlign w:val="center"/>
                  <w:hideMark/>
                </w:tcPr>
                <w:p w14:paraId="45D31E2D" w14:textId="77777777" w:rsidR="00E15FBB" w:rsidRPr="000E73BB" w:rsidRDefault="00E15FBB" w:rsidP="00E15FBB">
                  <w:pPr>
                    <w:spacing w:after="0" w:line="240" w:lineRule="auto"/>
                    <w:jc w:val="right"/>
                    <w:rPr>
                      <w:rFonts w:ascii="Garamond" w:eastAsia="Times New Roman" w:hAnsi="Garamond" w:cs="Calibri"/>
                      <w:color w:val="000000"/>
                      <w:sz w:val="24"/>
                      <w:szCs w:val="24"/>
                      <w:lang w:eastAsia="pt-BR"/>
                    </w:rPr>
                  </w:pPr>
                  <w:r w:rsidRPr="000E73BB">
                    <w:rPr>
                      <w:rFonts w:ascii="Garamond" w:eastAsia="Times New Roman" w:hAnsi="Garamond" w:cs="Calibri"/>
                      <w:color w:val="000000"/>
                      <w:sz w:val="24"/>
                      <w:szCs w:val="24"/>
                      <w:lang w:eastAsia="pt-BR"/>
                    </w:rPr>
                    <w:t> </w:t>
                  </w:r>
                </w:p>
              </w:tc>
            </w:tr>
            <w:tr w:rsidR="00E15FBB" w:rsidRPr="000E73BB" w14:paraId="71417247" w14:textId="77777777" w:rsidTr="004136FD">
              <w:trPr>
                <w:trHeight w:val="345"/>
              </w:trPr>
              <w:tc>
                <w:tcPr>
                  <w:tcW w:w="1533" w:type="pct"/>
                  <w:tcBorders>
                    <w:top w:val="nil"/>
                    <w:left w:val="single" w:sz="4" w:space="0" w:color="auto"/>
                    <w:bottom w:val="nil"/>
                    <w:right w:val="single" w:sz="4" w:space="0" w:color="auto"/>
                  </w:tcBorders>
                  <w:shd w:val="clear" w:color="auto" w:fill="auto"/>
                  <w:vAlign w:val="center"/>
                  <w:hideMark/>
                </w:tcPr>
                <w:p w14:paraId="6C967E81"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7.5-Outras despesas operacionais</w:t>
                  </w:r>
                </w:p>
              </w:tc>
              <w:tc>
                <w:tcPr>
                  <w:tcW w:w="692" w:type="pct"/>
                  <w:tcBorders>
                    <w:top w:val="nil"/>
                    <w:left w:val="nil"/>
                    <w:bottom w:val="nil"/>
                    <w:right w:val="nil"/>
                  </w:tcBorders>
                  <w:shd w:val="clear" w:color="auto" w:fill="auto"/>
                  <w:vAlign w:val="center"/>
                  <w:hideMark/>
                </w:tcPr>
                <w:p w14:paraId="647FFB98"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1CE3E33E"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6D918003"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01E8DFAA"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5DD937E0"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r>
            <w:tr w:rsidR="00E15FBB" w:rsidRPr="000E73BB" w14:paraId="2386F603" w14:textId="77777777" w:rsidTr="004136FD">
              <w:trPr>
                <w:trHeight w:val="345"/>
              </w:trPr>
              <w:tc>
                <w:tcPr>
                  <w:tcW w:w="1533" w:type="pct"/>
                  <w:tcBorders>
                    <w:top w:val="single" w:sz="4" w:space="0" w:color="auto"/>
                    <w:left w:val="single" w:sz="4" w:space="0" w:color="auto"/>
                    <w:bottom w:val="nil"/>
                    <w:right w:val="single" w:sz="4" w:space="0" w:color="auto"/>
                  </w:tcBorders>
                  <w:shd w:val="clear" w:color="auto" w:fill="auto"/>
                  <w:vAlign w:val="center"/>
                  <w:hideMark/>
                </w:tcPr>
                <w:p w14:paraId="76C9FFD5"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7.6-Outras receitas operacionais</w:t>
                  </w:r>
                </w:p>
              </w:tc>
              <w:tc>
                <w:tcPr>
                  <w:tcW w:w="692" w:type="pct"/>
                  <w:tcBorders>
                    <w:top w:val="nil"/>
                    <w:left w:val="nil"/>
                    <w:bottom w:val="nil"/>
                    <w:right w:val="nil"/>
                  </w:tcBorders>
                  <w:shd w:val="clear" w:color="auto" w:fill="auto"/>
                  <w:vAlign w:val="center"/>
                  <w:hideMark/>
                </w:tcPr>
                <w:p w14:paraId="3E6879E7"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49195F92"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6D7436E8"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1E6B5E71"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1812C7C8" w14:textId="77777777" w:rsidR="00E15FBB" w:rsidRPr="000E73BB" w:rsidRDefault="00E15FBB" w:rsidP="00E15FBB">
                  <w:pPr>
                    <w:spacing w:after="0" w:line="240" w:lineRule="auto"/>
                    <w:jc w:val="center"/>
                    <w:rPr>
                      <w:rFonts w:ascii="Garamond" w:eastAsia="Times New Roman" w:hAnsi="Garamond" w:cs="Calibri"/>
                      <w:color w:val="000000"/>
                      <w:sz w:val="24"/>
                      <w:szCs w:val="24"/>
                      <w:lang w:eastAsia="pt-BR"/>
                    </w:rPr>
                  </w:pPr>
                </w:p>
              </w:tc>
            </w:tr>
            <w:tr w:rsidR="00E15FBB" w:rsidRPr="000E73BB" w14:paraId="0AA71F8E" w14:textId="77777777" w:rsidTr="004136FD">
              <w:trPr>
                <w:trHeight w:val="345"/>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9886F8" w14:textId="77777777" w:rsidR="00E15FBB" w:rsidRPr="000E73BB" w:rsidRDefault="00E15FBB" w:rsidP="00E15FBB">
                  <w:pPr>
                    <w:spacing w:after="0" w:line="240" w:lineRule="auto"/>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8-Resultado Operacional (6-7)</w:t>
                  </w:r>
                </w:p>
              </w:tc>
              <w:tc>
                <w:tcPr>
                  <w:tcW w:w="692" w:type="pct"/>
                  <w:tcBorders>
                    <w:top w:val="single" w:sz="4" w:space="0" w:color="auto"/>
                    <w:left w:val="nil"/>
                    <w:bottom w:val="single" w:sz="4" w:space="0" w:color="auto"/>
                    <w:right w:val="nil"/>
                  </w:tcBorders>
                  <w:shd w:val="clear" w:color="000000" w:fill="D9D9D9"/>
                  <w:vAlign w:val="center"/>
                  <w:hideMark/>
                </w:tcPr>
                <w:p w14:paraId="757E7C35"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106FEC3A"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30C620FF"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3BECABC1"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c>
                <w:tcPr>
                  <w:tcW w:w="69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185F225" w14:textId="77777777" w:rsidR="00E15FBB" w:rsidRPr="000E73BB" w:rsidRDefault="00E15FBB" w:rsidP="00E15FBB">
                  <w:pPr>
                    <w:spacing w:after="0" w:line="240" w:lineRule="auto"/>
                    <w:jc w:val="center"/>
                    <w:rPr>
                      <w:rFonts w:ascii="Garamond" w:eastAsia="Times New Roman" w:hAnsi="Garamond" w:cs="Calibri"/>
                      <w:b/>
                      <w:color w:val="000000"/>
                      <w:sz w:val="24"/>
                      <w:szCs w:val="24"/>
                      <w:lang w:eastAsia="pt-BR"/>
                    </w:rPr>
                  </w:pPr>
                  <w:r w:rsidRPr="000E73BB">
                    <w:rPr>
                      <w:rFonts w:ascii="Garamond" w:eastAsia="Times New Roman" w:hAnsi="Garamond" w:cs="Calibri"/>
                      <w:b/>
                      <w:color w:val="000000"/>
                      <w:sz w:val="24"/>
                      <w:szCs w:val="24"/>
                      <w:lang w:eastAsia="pt-BR"/>
                    </w:rPr>
                    <w:t>-</w:t>
                  </w:r>
                </w:p>
              </w:tc>
            </w:tr>
          </w:tbl>
          <w:p w14:paraId="48724136" w14:textId="77777777" w:rsidR="00E15FBB" w:rsidRPr="005C5CBD" w:rsidRDefault="00E15FBB" w:rsidP="00E15FBB">
            <w:pPr>
              <w:spacing w:after="0" w:line="240" w:lineRule="auto"/>
              <w:jc w:val="center"/>
              <w:rPr>
                <w:rFonts w:ascii="Garamond" w:eastAsia="Times New Roman" w:hAnsi="Garamond" w:cs="Calibri"/>
                <w:b/>
                <w:color w:val="000000"/>
                <w:sz w:val="16"/>
                <w:szCs w:val="16"/>
                <w:lang w:eastAsia="pt-BR"/>
              </w:rPr>
            </w:pPr>
          </w:p>
          <w:p w14:paraId="623C838D" w14:textId="77777777" w:rsidR="00E15FBB" w:rsidRPr="005C5CBD" w:rsidRDefault="00E15FBB" w:rsidP="00E15FBB">
            <w:pPr>
              <w:spacing w:after="0" w:line="240" w:lineRule="auto"/>
              <w:jc w:val="center"/>
              <w:rPr>
                <w:rFonts w:ascii="Garamond" w:eastAsia="Times New Roman" w:hAnsi="Garamond" w:cs="Calibri"/>
                <w:b/>
                <w:color w:val="000000"/>
                <w:sz w:val="16"/>
                <w:szCs w:val="16"/>
                <w:lang w:eastAsia="pt-BR"/>
              </w:rPr>
            </w:pPr>
          </w:p>
        </w:tc>
      </w:tr>
    </w:tbl>
    <w:p w14:paraId="11D128B7" w14:textId="77777777" w:rsidR="00395593" w:rsidRPr="005C5CBD" w:rsidRDefault="00395593" w:rsidP="0097041B">
      <w:pPr>
        <w:spacing w:after="200" w:line="276" w:lineRule="auto"/>
        <w:rPr>
          <w:rFonts w:ascii="Garamond" w:eastAsia="Calibri" w:hAnsi="Garamond" w:cs="Calibri"/>
          <w:sz w:val="24"/>
          <w:szCs w:val="24"/>
        </w:rPr>
      </w:pPr>
      <w:r w:rsidRPr="005C5CBD">
        <w:rPr>
          <w:rFonts w:ascii="Garamond" w:eastAsia="Times New Roman" w:hAnsi="Garamond" w:cs="Calibri"/>
          <w:sz w:val="24"/>
          <w:szCs w:val="24"/>
          <w:lang w:eastAsia="pt-BR"/>
        </w:rPr>
        <w:br w:type="page"/>
      </w:r>
    </w:p>
    <w:p w14:paraId="2013A171" w14:textId="77777777" w:rsidR="00395593" w:rsidRPr="005C5CBD" w:rsidRDefault="00395593" w:rsidP="00E15FBB">
      <w:pPr>
        <w:spacing w:after="0" w:line="240" w:lineRule="auto"/>
        <w:jc w:val="center"/>
        <w:rPr>
          <w:rFonts w:ascii="Garamond" w:eastAsia="Calibri" w:hAnsi="Garamond" w:cs="Calibri"/>
          <w:sz w:val="24"/>
          <w:szCs w:val="24"/>
        </w:rPr>
        <w:sectPr w:rsidR="00395593" w:rsidRPr="005C5CBD" w:rsidSect="000E73BB">
          <w:pgSz w:w="11906" w:h="16838"/>
          <w:pgMar w:top="1417" w:right="1701" w:bottom="1418" w:left="1418" w:header="708" w:footer="708" w:gutter="0"/>
          <w:cols w:space="708"/>
          <w:docGrid w:linePitch="360"/>
        </w:sectPr>
      </w:pPr>
    </w:p>
    <w:tbl>
      <w:tblPr>
        <w:tblW w:w="5000" w:type="pct"/>
        <w:tblCellMar>
          <w:left w:w="70" w:type="dxa"/>
          <w:right w:w="70" w:type="dxa"/>
        </w:tblCellMar>
        <w:tblLook w:val="04A0" w:firstRow="1" w:lastRow="0" w:firstColumn="1" w:lastColumn="0" w:noHBand="0" w:noVBand="1"/>
      </w:tblPr>
      <w:tblGrid>
        <w:gridCol w:w="14003"/>
      </w:tblGrid>
      <w:tr w:rsidR="00395593" w:rsidRPr="00AC0363" w14:paraId="272050C0" w14:textId="77777777" w:rsidTr="00395593">
        <w:trPr>
          <w:trHeight w:val="345"/>
        </w:trPr>
        <w:tc>
          <w:tcPr>
            <w:tcW w:w="5000" w:type="pct"/>
            <w:tcBorders>
              <w:top w:val="nil"/>
              <w:left w:val="nil"/>
              <w:bottom w:val="nil"/>
              <w:right w:val="nil"/>
            </w:tcBorders>
            <w:shd w:val="clear" w:color="auto" w:fill="auto"/>
            <w:noWrap/>
            <w:vAlign w:val="bottom"/>
            <w:hideMark/>
          </w:tcPr>
          <w:p w14:paraId="2C251EE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APÊNDICE XII</w:t>
            </w:r>
          </w:p>
        </w:tc>
      </w:tr>
      <w:tr w:rsidR="00395593" w:rsidRPr="00AC0363" w14:paraId="696ACF9D" w14:textId="77777777" w:rsidTr="00395593">
        <w:trPr>
          <w:trHeight w:val="345"/>
        </w:trPr>
        <w:tc>
          <w:tcPr>
            <w:tcW w:w="5000" w:type="pct"/>
            <w:tcBorders>
              <w:top w:val="nil"/>
              <w:left w:val="nil"/>
              <w:bottom w:val="nil"/>
              <w:right w:val="nil"/>
            </w:tcBorders>
            <w:shd w:val="clear" w:color="auto" w:fill="auto"/>
            <w:noWrap/>
            <w:vAlign w:val="bottom"/>
            <w:hideMark/>
          </w:tcPr>
          <w:p w14:paraId="1DC6A9B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DEMONSTRAÇÃO DE RESULTADOS - EXPORTAÇÕES DE PRODUTO SIMILAR</w:t>
            </w:r>
          </w:p>
        </w:tc>
      </w:tr>
    </w:tbl>
    <w:p w14:paraId="41ABA1F6" w14:textId="77777777" w:rsidR="00395593" w:rsidRPr="005C5CBD" w:rsidRDefault="00395593" w:rsidP="00E15FBB">
      <w:pPr>
        <w:spacing w:after="0" w:line="240" w:lineRule="auto"/>
        <w:jc w:val="center"/>
        <w:rPr>
          <w:rFonts w:ascii="Garamond" w:eastAsia="Calibri" w:hAnsi="Garamond" w:cs="Calibri"/>
          <w:sz w:val="24"/>
          <w:szCs w:val="24"/>
        </w:rPr>
      </w:pPr>
    </w:p>
    <w:tbl>
      <w:tblPr>
        <w:tblW w:w="5000" w:type="pct"/>
        <w:tblCellMar>
          <w:left w:w="70" w:type="dxa"/>
          <w:right w:w="70" w:type="dxa"/>
        </w:tblCellMar>
        <w:tblLook w:val="04A0" w:firstRow="1" w:lastRow="0" w:firstColumn="1" w:lastColumn="0" w:noHBand="0" w:noVBand="1"/>
      </w:tblPr>
      <w:tblGrid>
        <w:gridCol w:w="4288"/>
        <w:gridCol w:w="1938"/>
        <w:gridCol w:w="1937"/>
        <w:gridCol w:w="1937"/>
        <w:gridCol w:w="1937"/>
        <w:gridCol w:w="1956"/>
      </w:tblGrid>
      <w:tr w:rsidR="00395593" w:rsidRPr="00AC0363" w14:paraId="25C943B2" w14:textId="77777777" w:rsidTr="00395593">
        <w:trPr>
          <w:trHeight w:val="345"/>
        </w:trPr>
        <w:tc>
          <w:tcPr>
            <w:tcW w:w="1531" w:type="pct"/>
            <w:tcBorders>
              <w:top w:val="single" w:sz="4" w:space="0" w:color="auto"/>
              <w:left w:val="single" w:sz="4" w:space="0" w:color="auto"/>
              <w:bottom w:val="single" w:sz="4" w:space="0" w:color="auto"/>
              <w:right w:val="nil"/>
            </w:tcBorders>
            <w:shd w:val="clear" w:color="auto" w:fill="auto"/>
            <w:vAlign w:val="center"/>
            <w:hideMark/>
          </w:tcPr>
          <w:p w14:paraId="707131BB" w14:textId="77777777" w:rsidR="00395593" w:rsidRPr="005C5CBD" w:rsidRDefault="00395593" w:rsidP="00E15FBB">
            <w:pPr>
              <w:spacing w:after="0" w:line="240" w:lineRule="auto"/>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 xml:space="preserve">Empresa </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DCB3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P1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77B9052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P2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100831D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P3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256BE7A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P4 </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37A3E65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P5 </w:t>
            </w:r>
          </w:p>
        </w:tc>
      </w:tr>
      <w:tr w:rsidR="00395593" w:rsidRPr="00AC0363" w14:paraId="07350FFD" w14:textId="77777777" w:rsidTr="00395593">
        <w:trPr>
          <w:trHeight w:val="345"/>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3536C933"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1 - Receita Operacional Bruta</w:t>
            </w:r>
          </w:p>
        </w:tc>
        <w:tc>
          <w:tcPr>
            <w:tcW w:w="692" w:type="pct"/>
            <w:tcBorders>
              <w:top w:val="nil"/>
              <w:left w:val="nil"/>
              <w:bottom w:val="single" w:sz="4" w:space="0" w:color="auto"/>
              <w:right w:val="nil"/>
            </w:tcBorders>
            <w:shd w:val="clear" w:color="auto" w:fill="auto"/>
            <w:vAlign w:val="center"/>
            <w:hideMark/>
          </w:tcPr>
          <w:p w14:paraId="11D17296"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692" w:type="pct"/>
            <w:tcBorders>
              <w:top w:val="nil"/>
              <w:left w:val="single" w:sz="4" w:space="0" w:color="auto"/>
              <w:bottom w:val="single" w:sz="4" w:space="0" w:color="auto"/>
              <w:right w:val="nil"/>
            </w:tcBorders>
            <w:shd w:val="clear" w:color="auto" w:fill="auto"/>
            <w:vAlign w:val="center"/>
            <w:hideMark/>
          </w:tcPr>
          <w:p w14:paraId="2B259BCA"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692" w:type="pct"/>
            <w:tcBorders>
              <w:top w:val="nil"/>
              <w:left w:val="single" w:sz="4" w:space="0" w:color="auto"/>
              <w:bottom w:val="single" w:sz="4" w:space="0" w:color="auto"/>
              <w:right w:val="nil"/>
            </w:tcBorders>
            <w:shd w:val="clear" w:color="auto" w:fill="auto"/>
            <w:vAlign w:val="center"/>
            <w:hideMark/>
          </w:tcPr>
          <w:p w14:paraId="5CD6702B"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692" w:type="pct"/>
            <w:tcBorders>
              <w:top w:val="nil"/>
              <w:left w:val="single" w:sz="4" w:space="0" w:color="auto"/>
              <w:bottom w:val="single" w:sz="4" w:space="0" w:color="auto"/>
              <w:right w:val="nil"/>
            </w:tcBorders>
            <w:shd w:val="clear" w:color="auto" w:fill="auto"/>
            <w:vAlign w:val="center"/>
            <w:hideMark/>
          </w:tcPr>
          <w:p w14:paraId="299A0F05"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699" w:type="pct"/>
            <w:tcBorders>
              <w:top w:val="nil"/>
              <w:left w:val="single" w:sz="4" w:space="0" w:color="auto"/>
              <w:bottom w:val="single" w:sz="4" w:space="0" w:color="auto"/>
              <w:right w:val="single" w:sz="4" w:space="0" w:color="auto"/>
            </w:tcBorders>
            <w:shd w:val="clear" w:color="auto" w:fill="auto"/>
            <w:vAlign w:val="center"/>
            <w:hideMark/>
          </w:tcPr>
          <w:p w14:paraId="163EEDCA"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r>
      <w:tr w:rsidR="00395593" w:rsidRPr="00AC0363" w14:paraId="2745B0EA" w14:textId="77777777" w:rsidTr="00395593">
        <w:trPr>
          <w:trHeight w:val="345"/>
        </w:trPr>
        <w:tc>
          <w:tcPr>
            <w:tcW w:w="1531" w:type="pct"/>
            <w:tcBorders>
              <w:top w:val="nil"/>
              <w:left w:val="single" w:sz="4" w:space="0" w:color="auto"/>
              <w:bottom w:val="single" w:sz="4" w:space="0" w:color="auto"/>
              <w:right w:val="single" w:sz="4" w:space="0" w:color="auto"/>
            </w:tcBorders>
            <w:shd w:val="clear" w:color="000000" w:fill="D9D9D9"/>
            <w:vAlign w:val="center"/>
            <w:hideMark/>
          </w:tcPr>
          <w:p w14:paraId="19B319D4"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2 - Deduções da Receita Bruta</w:t>
            </w:r>
          </w:p>
        </w:tc>
        <w:tc>
          <w:tcPr>
            <w:tcW w:w="692" w:type="pct"/>
            <w:tcBorders>
              <w:top w:val="nil"/>
              <w:left w:val="nil"/>
              <w:bottom w:val="single" w:sz="4" w:space="0" w:color="auto"/>
              <w:right w:val="nil"/>
            </w:tcBorders>
            <w:shd w:val="clear" w:color="000000" w:fill="D9D9D9"/>
            <w:vAlign w:val="center"/>
            <w:hideMark/>
          </w:tcPr>
          <w:p w14:paraId="06F2A75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260A9FD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00A25F16"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70268503"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9" w:type="pct"/>
            <w:tcBorders>
              <w:top w:val="nil"/>
              <w:left w:val="single" w:sz="4" w:space="0" w:color="auto"/>
              <w:bottom w:val="single" w:sz="4" w:space="0" w:color="auto"/>
              <w:right w:val="single" w:sz="4" w:space="0" w:color="auto"/>
            </w:tcBorders>
            <w:shd w:val="clear" w:color="000000" w:fill="D9D9D9"/>
            <w:vAlign w:val="center"/>
            <w:hideMark/>
          </w:tcPr>
          <w:p w14:paraId="10C9C2D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AC0363" w14:paraId="662A7797" w14:textId="77777777" w:rsidTr="00395593">
        <w:trPr>
          <w:trHeight w:val="345"/>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37A0DAEC"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2.1 - Descontos e abatimentos</w:t>
            </w:r>
          </w:p>
        </w:tc>
        <w:tc>
          <w:tcPr>
            <w:tcW w:w="692" w:type="pct"/>
            <w:tcBorders>
              <w:top w:val="nil"/>
              <w:left w:val="nil"/>
              <w:bottom w:val="nil"/>
              <w:right w:val="nil"/>
            </w:tcBorders>
            <w:shd w:val="clear" w:color="auto" w:fill="auto"/>
            <w:vAlign w:val="center"/>
            <w:hideMark/>
          </w:tcPr>
          <w:p w14:paraId="30FB6860"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single" w:sz="4" w:space="0" w:color="auto"/>
            </w:tcBorders>
            <w:shd w:val="clear" w:color="auto" w:fill="auto"/>
            <w:vAlign w:val="center"/>
            <w:hideMark/>
          </w:tcPr>
          <w:p w14:paraId="37E00025"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27725A0B"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68F5203A"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nil"/>
              <w:bottom w:val="nil"/>
              <w:right w:val="single" w:sz="4" w:space="0" w:color="auto"/>
            </w:tcBorders>
            <w:shd w:val="clear" w:color="auto" w:fill="auto"/>
            <w:vAlign w:val="center"/>
            <w:hideMark/>
          </w:tcPr>
          <w:p w14:paraId="1EE22ECF"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r>
      <w:tr w:rsidR="00395593" w:rsidRPr="00AC0363" w14:paraId="435C0672" w14:textId="77777777" w:rsidTr="00395593">
        <w:trPr>
          <w:trHeight w:val="345"/>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063AC522"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2.2 - Devoluções</w:t>
            </w:r>
          </w:p>
        </w:tc>
        <w:tc>
          <w:tcPr>
            <w:tcW w:w="692" w:type="pct"/>
            <w:tcBorders>
              <w:top w:val="nil"/>
              <w:left w:val="nil"/>
              <w:bottom w:val="nil"/>
              <w:right w:val="nil"/>
            </w:tcBorders>
            <w:shd w:val="clear" w:color="auto" w:fill="auto"/>
            <w:vAlign w:val="center"/>
            <w:hideMark/>
          </w:tcPr>
          <w:p w14:paraId="17A964B3"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single" w:sz="4" w:space="0" w:color="auto"/>
            </w:tcBorders>
            <w:shd w:val="clear" w:color="auto" w:fill="auto"/>
            <w:vAlign w:val="center"/>
            <w:hideMark/>
          </w:tcPr>
          <w:p w14:paraId="5888D51B"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146461D9"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6A0A9107"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nil"/>
              <w:bottom w:val="nil"/>
              <w:right w:val="single" w:sz="4" w:space="0" w:color="auto"/>
            </w:tcBorders>
            <w:shd w:val="clear" w:color="auto" w:fill="auto"/>
            <w:vAlign w:val="center"/>
            <w:hideMark/>
          </w:tcPr>
          <w:p w14:paraId="326AB986"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r>
      <w:tr w:rsidR="00395593" w:rsidRPr="00AC0363" w14:paraId="1B330C28" w14:textId="77777777" w:rsidTr="00395593">
        <w:trPr>
          <w:trHeight w:val="345"/>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3C70292B"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2.3 - Frete sobre vendas</w:t>
            </w:r>
          </w:p>
        </w:tc>
        <w:tc>
          <w:tcPr>
            <w:tcW w:w="692" w:type="pct"/>
            <w:tcBorders>
              <w:top w:val="nil"/>
              <w:left w:val="nil"/>
              <w:bottom w:val="nil"/>
              <w:right w:val="nil"/>
            </w:tcBorders>
            <w:shd w:val="clear" w:color="auto" w:fill="auto"/>
            <w:vAlign w:val="center"/>
            <w:hideMark/>
          </w:tcPr>
          <w:p w14:paraId="35E823B9"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single" w:sz="4" w:space="0" w:color="auto"/>
            </w:tcBorders>
            <w:shd w:val="clear" w:color="auto" w:fill="auto"/>
            <w:vAlign w:val="center"/>
            <w:hideMark/>
          </w:tcPr>
          <w:p w14:paraId="25AF4687"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5031661C"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nil"/>
              <w:bottom w:val="nil"/>
              <w:right w:val="single" w:sz="4" w:space="0" w:color="auto"/>
            </w:tcBorders>
            <w:shd w:val="clear" w:color="auto" w:fill="auto"/>
            <w:vAlign w:val="center"/>
            <w:hideMark/>
          </w:tcPr>
          <w:p w14:paraId="12271B70"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nil"/>
              <w:bottom w:val="nil"/>
              <w:right w:val="single" w:sz="4" w:space="0" w:color="auto"/>
            </w:tcBorders>
            <w:shd w:val="clear" w:color="auto" w:fill="auto"/>
            <w:vAlign w:val="center"/>
            <w:hideMark/>
          </w:tcPr>
          <w:p w14:paraId="0154544F"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r>
      <w:tr w:rsidR="00395593" w:rsidRPr="00AC0363" w14:paraId="62504369" w14:textId="77777777" w:rsidTr="00395593">
        <w:trPr>
          <w:trHeight w:val="345"/>
        </w:trPr>
        <w:tc>
          <w:tcPr>
            <w:tcW w:w="1531" w:type="pct"/>
            <w:tcBorders>
              <w:top w:val="nil"/>
              <w:left w:val="single" w:sz="4" w:space="0" w:color="auto"/>
              <w:bottom w:val="nil"/>
              <w:right w:val="single" w:sz="4" w:space="0" w:color="auto"/>
            </w:tcBorders>
            <w:shd w:val="clear" w:color="auto" w:fill="auto"/>
            <w:vAlign w:val="center"/>
            <w:hideMark/>
          </w:tcPr>
          <w:p w14:paraId="10660984"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3-Custo dos Produtos Vendidos</w:t>
            </w:r>
          </w:p>
        </w:tc>
        <w:tc>
          <w:tcPr>
            <w:tcW w:w="692" w:type="pct"/>
            <w:tcBorders>
              <w:top w:val="nil"/>
              <w:left w:val="nil"/>
              <w:bottom w:val="nil"/>
              <w:right w:val="nil"/>
            </w:tcBorders>
            <w:shd w:val="clear" w:color="auto" w:fill="auto"/>
            <w:vAlign w:val="center"/>
            <w:hideMark/>
          </w:tcPr>
          <w:p w14:paraId="3587C7A9"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35037127"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6018C3BA"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31199941"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3E190E8E"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r>
      <w:tr w:rsidR="00395593" w:rsidRPr="00AC0363" w14:paraId="40EB700B" w14:textId="77777777" w:rsidTr="00395593">
        <w:trPr>
          <w:trHeight w:val="345"/>
        </w:trPr>
        <w:tc>
          <w:tcPr>
            <w:tcW w:w="153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C370D94"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4- Resultado Bruto (1-2-3)</w:t>
            </w:r>
          </w:p>
        </w:tc>
        <w:tc>
          <w:tcPr>
            <w:tcW w:w="692" w:type="pct"/>
            <w:tcBorders>
              <w:top w:val="single" w:sz="4" w:space="0" w:color="auto"/>
              <w:left w:val="nil"/>
              <w:bottom w:val="single" w:sz="4" w:space="0" w:color="auto"/>
              <w:right w:val="nil"/>
            </w:tcBorders>
            <w:shd w:val="clear" w:color="000000" w:fill="D9D9D9"/>
            <w:vAlign w:val="center"/>
            <w:hideMark/>
          </w:tcPr>
          <w:p w14:paraId="2710B8F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4794992C"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2AC504B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635321F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9" w:type="pct"/>
            <w:tcBorders>
              <w:top w:val="single" w:sz="4" w:space="0" w:color="auto"/>
              <w:left w:val="single" w:sz="4" w:space="0" w:color="auto"/>
              <w:bottom w:val="single" w:sz="4" w:space="0" w:color="auto"/>
              <w:right w:val="nil"/>
            </w:tcBorders>
            <w:shd w:val="clear" w:color="000000" w:fill="D9D9D9"/>
            <w:vAlign w:val="center"/>
            <w:hideMark/>
          </w:tcPr>
          <w:p w14:paraId="074A1A9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AC0363" w14:paraId="08E3F46A" w14:textId="77777777" w:rsidTr="00395593">
        <w:trPr>
          <w:trHeight w:val="345"/>
        </w:trPr>
        <w:tc>
          <w:tcPr>
            <w:tcW w:w="1531" w:type="pct"/>
            <w:tcBorders>
              <w:top w:val="nil"/>
              <w:left w:val="single" w:sz="4" w:space="0" w:color="auto"/>
              <w:bottom w:val="single" w:sz="4" w:space="0" w:color="auto"/>
              <w:right w:val="single" w:sz="4" w:space="0" w:color="auto"/>
            </w:tcBorders>
            <w:shd w:val="clear" w:color="000000" w:fill="D9D9D9"/>
            <w:vAlign w:val="center"/>
            <w:hideMark/>
          </w:tcPr>
          <w:p w14:paraId="233637A1"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5-Despesas/Receitas Operacionais</w:t>
            </w:r>
          </w:p>
        </w:tc>
        <w:tc>
          <w:tcPr>
            <w:tcW w:w="692" w:type="pct"/>
            <w:tcBorders>
              <w:top w:val="nil"/>
              <w:left w:val="nil"/>
              <w:bottom w:val="single" w:sz="4" w:space="0" w:color="auto"/>
              <w:right w:val="nil"/>
            </w:tcBorders>
            <w:shd w:val="clear" w:color="000000" w:fill="D9D9D9"/>
            <w:vAlign w:val="center"/>
            <w:hideMark/>
          </w:tcPr>
          <w:p w14:paraId="7200E8F6"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27F61E8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27FDEFF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53EAD4A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9" w:type="pct"/>
            <w:tcBorders>
              <w:top w:val="nil"/>
              <w:left w:val="single" w:sz="4" w:space="0" w:color="auto"/>
              <w:bottom w:val="single" w:sz="4" w:space="0" w:color="auto"/>
              <w:right w:val="single" w:sz="4" w:space="0" w:color="auto"/>
            </w:tcBorders>
            <w:shd w:val="clear" w:color="000000" w:fill="D9D9D9"/>
            <w:vAlign w:val="center"/>
            <w:hideMark/>
          </w:tcPr>
          <w:p w14:paraId="72ECFE4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AC0363" w14:paraId="780474F1" w14:textId="77777777" w:rsidTr="00395593">
        <w:trPr>
          <w:trHeight w:val="345"/>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2C243B7C"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5.1-Despesas Gerais e Administrativas</w:t>
            </w:r>
          </w:p>
        </w:tc>
        <w:tc>
          <w:tcPr>
            <w:tcW w:w="692" w:type="pct"/>
            <w:tcBorders>
              <w:top w:val="nil"/>
              <w:left w:val="nil"/>
              <w:bottom w:val="nil"/>
              <w:right w:val="nil"/>
            </w:tcBorders>
            <w:shd w:val="clear" w:color="auto" w:fill="auto"/>
            <w:vAlign w:val="center"/>
            <w:hideMark/>
          </w:tcPr>
          <w:p w14:paraId="050AC7A3"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0999658D"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5CD98193"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1F4CDCD0"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62BFED6E"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r>
      <w:tr w:rsidR="00395593" w:rsidRPr="00AC0363" w14:paraId="5703EAEA" w14:textId="77777777" w:rsidTr="00395593">
        <w:trPr>
          <w:trHeight w:val="45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5E07358A"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5.2-Despesas com Vendas (exceto frete sobre vendas)</w:t>
            </w:r>
          </w:p>
        </w:tc>
        <w:tc>
          <w:tcPr>
            <w:tcW w:w="692" w:type="pct"/>
            <w:tcBorders>
              <w:top w:val="nil"/>
              <w:left w:val="nil"/>
              <w:bottom w:val="nil"/>
              <w:right w:val="nil"/>
            </w:tcBorders>
            <w:shd w:val="clear" w:color="auto" w:fill="auto"/>
            <w:vAlign w:val="center"/>
            <w:hideMark/>
          </w:tcPr>
          <w:p w14:paraId="559DCFDD"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223C3E3C"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7C2C3B51"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47EC831E"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576EF6EE"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r>
      <w:tr w:rsidR="00395593" w:rsidRPr="00AC0363" w14:paraId="63A22EE1" w14:textId="77777777" w:rsidTr="00395593">
        <w:trPr>
          <w:trHeight w:val="345"/>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4C5806C6"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5.3-Despesas Financeiras</w:t>
            </w:r>
          </w:p>
        </w:tc>
        <w:tc>
          <w:tcPr>
            <w:tcW w:w="692" w:type="pct"/>
            <w:tcBorders>
              <w:top w:val="nil"/>
              <w:left w:val="nil"/>
              <w:bottom w:val="nil"/>
              <w:right w:val="nil"/>
            </w:tcBorders>
            <w:shd w:val="clear" w:color="auto" w:fill="auto"/>
            <w:vAlign w:val="center"/>
            <w:hideMark/>
          </w:tcPr>
          <w:p w14:paraId="6808A5C1"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2ECBD66C"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5CEDC9FF"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296B1088"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0B660388"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r>
      <w:tr w:rsidR="00395593" w:rsidRPr="00AC0363" w14:paraId="6F3B89DE" w14:textId="77777777" w:rsidTr="00395593">
        <w:trPr>
          <w:trHeight w:val="345"/>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5FED4999"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5.4-Receitas Financeiras</w:t>
            </w:r>
          </w:p>
        </w:tc>
        <w:tc>
          <w:tcPr>
            <w:tcW w:w="692" w:type="pct"/>
            <w:tcBorders>
              <w:top w:val="nil"/>
              <w:left w:val="nil"/>
              <w:bottom w:val="nil"/>
              <w:right w:val="nil"/>
            </w:tcBorders>
            <w:shd w:val="clear" w:color="auto" w:fill="auto"/>
            <w:vAlign w:val="center"/>
            <w:hideMark/>
          </w:tcPr>
          <w:p w14:paraId="2D2D66F2"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41D32F20"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5DC3B6F7"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384F017D"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49F8F77E"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r>
      <w:tr w:rsidR="00395593" w:rsidRPr="00AC0363" w14:paraId="6A0E376D" w14:textId="77777777" w:rsidTr="00395593">
        <w:trPr>
          <w:trHeight w:val="345"/>
        </w:trPr>
        <w:tc>
          <w:tcPr>
            <w:tcW w:w="1531" w:type="pct"/>
            <w:tcBorders>
              <w:top w:val="nil"/>
              <w:left w:val="single" w:sz="4" w:space="0" w:color="auto"/>
              <w:bottom w:val="nil"/>
              <w:right w:val="single" w:sz="4" w:space="0" w:color="auto"/>
            </w:tcBorders>
            <w:shd w:val="clear" w:color="auto" w:fill="auto"/>
            <w:vAlign w:val="center"/>
            <w:hideMark/>
          </w:tcPr>
          <w:p w14:paraId="5A24F578"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5.5-Outras despesas operacionais</w:t>
            </w:r>
          </w:p>
        </w:tc>
        <w:tc>
          <w:tcPr>
            <w:tcW w:w="692" w:type="pct"/>
            <w:tcBorders>
              <w:top w:val="nil"/>
              <w:left w:val="nil"/>
              <w:bottom w:val="nil"/>
              <w:right w:val="nil"/>
            </w:tcBorders>
            <w:shd w:val="clear" w:color="auto" w:fill="auto"/>
            <w:vAlign w:val="center"/>
            <w:hideMark/>
          </w:tcPr>
          <w:p w14:paraId="56E9E51E"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660798A5"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4C77EF99"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302F8B83"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2B07ECA5"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r>
      <w:tr w:rsidR="00395593" w:rsidRPr="00AC0363" w14:paraId="18D4E8CE" w14:textId="77777777" w:rsidTr="00395593">
        <w:trPr>
          <w:trHeight w:val="345"/>
        </w:trPr>
        <w:tc>
          <w:tcPr>
            <w:tcW w:w="1531" w:type="pct"/>
            <w:tcBorders>
              <w:top w:val="single" w:sz="4" w:space="0" w:color="auto"/>
              <w:left w:val="single" w:sz="4" w:space="0" w:color="auto"/>
              <w:bottom w:val="nil"/>
              <w:right w:val="single" w:sz="4" w:space="0" w:color="auto"/>
            </w:tcBorders>
            <w:shd w:val="clear" w:color="auto" w:fill="auto"/>
            <w:vAlign w:val="center"/>
            <w:hideMark/>
          </w:tcPr>
          <w:p w14:paraId="3E71475C"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5.6-Outras receitas operacionais</w:t>
            </w:r>
          </w:p>
        </w:tc>
        <w:tc>
          <w:tcPr>
            <w:tcW w:w="692" w:type="pct"/>
            <w:tcBorders>
              <w:top w:val="nil"/>
              <w:left w:val="nil"/>
              <w:bottom w:val="nil"/>
              <w:right w:val="nil"/>
            </w:tcBorders>
            <w:shd w:val="clear" w:color="auto" w:fill="auto"/>
            <w:vAlign w:val="center"/>
            <w:hideMark/>
          </w:tcPr>
          <w:p w14:paraId="1ACB6A71"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08BF389C"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2AEB7E0F"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274FC092"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399B6094"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r>
      <w:tr w:rsidR="00395593" w:rsidRPr="00AC0363" w14:paraId="685AD0E4" w14:textId="77777777" w:rsidTr="00395593">
        <w:trPr>
          <w:trHeight w:val="345"/>
        </w:trPr>
        <w:tc>
          <w:tcPr>
            <w:tcW w:w="153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AF3F4E9"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6-Resultado Operacional (4-5)</w:t>
            </w:r>
          </w:p>
        </w:tc>
        <w:tc>
          <w:tcPr>
            <w:tcW w:w="692" w:type="pct"/>
            <w:tcBorders>
              <w:top w:val="single" w:sz="4" w:space="0" w:color="auto"/>
              <w:left w:val="nil"/>
              <w:bottom w:val="single" w:sz="4" w:space="0" w:color="auto"/>
              <w:right w:val="nil"/>
            </w:tcBorders>
            <w:shd w:val="clear" w:color="000000" w:fill="D9D9D9"/>
            <w:vAlign w:val="center"/>
            <w:hideMark/>
          </w:tcPr>
          <w:p w14:paraId="3C0772D3"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04CCDCE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4242372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014A620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D9E98D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bl>
    <w:p w14:paraId="7F0C9D2B" w14:textId="77777777" w:rsidR="00395593" w:rsidRPr="005C5CBD" w:rsidRDefault="00395593" w:rsidP="00E15FBB">
      <w:pPr>
        <w:spacing w:after="0" w:line="240" w:lineRule="auto"/>
        <w:jc w:val="center"/>
        <w:rPr>
          <w:rFonts w:ascii="Garamond" w:eastAsia="Calibri" w:hAnsi="Garamond" w:cs="Calibri"/>
          <w:sz w:val="24"/>
          <w:szCs w:val="24"/>
        </w:rPr>
      </w:pPr>
    </w:p>
    <w:p w14:paraId="21F67727" w14:textId="77777777" w:rsidR="00395593" w:rsidRPr="005C5CBD" w:rsidRDefault="00395593" w:rsidP="0097041B">
      <w:pPr>
        <w:spacing w:after="200" w:line="276" w:lineRule="auto"/>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br w:type="page"/>
      </w:r>
    </w:p>
    <w:p w14:paraId="0745E8D1" w14:textId="77777777" w:rsidR="00395593" w:rsidRPr="005C5CBD" w:rsidRDefault="00395593" w:rsidP="00E15FBB">
      <w:pPr>
        <w:spacing w:after="0" w:line="240" w:lineRule="auto"/>
        <w:jc w:val="center"/>
        <w:rPr>
          <w:rFonts w:ascii="Garamond" w:eastAsia="Times New Roman" w:hAnsi="Garamond" w:cs="Calibri"/>
          <w:sz w:val="24"/>
          <w:szCs w:val="24"/>
          <w:lang w:eastAsia="pt-BR"/>
        </w:rPr>
        <w:sectPr w:rsidR="00395593" w:rsidRPr="005C5CBD" w:rsidSect="00E15FBB">
          <w:pgSz w:w="16838" w:h="11906" w:orient="landscape"/>
          <w:pgMar w:top="1418" w:right="1417" w:bottom="1701" w:left="1418" w:header="708" w:footer="708" w:gutter="0"/>
          <w:cols w:space="708"/>
          <w:docGrid w:linePitch="360"/>
        </w:sectPr>
      </w:pPr>
    </w:p>
    <w:tbl>
      <w:tblPr>
        <w:tblW w:w="5000" w:type="pct"/>
        <w:tblCellMar>
          <w:left w:w="70" w:type="dxa"/>
          <w:right w:w="70" w:type="dxa"/>
        </w:tblCellMar>
        <w:tblLook w:val="04A0" w:firstRow="1" w:lastRow="0" w:firstColumn="1" w:lastColumn="0" w:noHBand="0" w:noVBand="1"/>
      </w:tblPr>
      <w:tblGrid>
        <w:gridCol w:w="14003"/>
      </w:tblGrid>
      <w:tr w:rsidR="00395593" w:rsidRPr="00AC0363" w14:paraId="6ACCF391" w14:textId="77777777" w:rsidTr="00395593">
        <w:trPr>
          <w:trHeight w:val="345"/>
        </w:trPr>
        <w:tc>
          <w:tcPr>
            <w:tcW w:w="5000" w:type="pct"/>
            <w:tcBorders>
              <w:top w:val="nil"/>
              <w:left w:val="nil"/>
              <w:bottom w:val="nil"/>
              <w:right w:val="nil"/>
            </w:tcBorders>
            <w:shd w:val="clear" w:color="auto" w:fill="auto"/>
            <w:noWrap/>
            <w:vAlign w:val="bottom"/>
            <w:hideMark/>
          </w:tcPr>
          <w:p w14:paraId="20013EA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APÊNDICE XIII</w:t>
            </w:r>
          </w:p>
        </w:tc>
      </w:tr>
      <w:tr w:rsidR="00395593" w:rsidRPr="00AC0363" w14:paraId="10D77EAC" w14:textId="77777777" w:rsidTr="00395593">
        <w:trPr>
          <w:trHeight w:val="345"/>
        </w:trPr>
        <w:tc>
          <w:tcPr>
            <w:tcW w:w="5000" w:type="pct"/>
            <w:tcBorders>
              <w:top w:val="nil"/>
              <w:left w:val="nil"/>
              <w:bottom w:val="nil"/>
              <w:right w:val="nil"/>
            </w:tcBorders>
            <w:shd w:val="clear" w:color="auto" w:fill="auto"/>
            <w:noWrap/>
            <w:vAlign w:val="bottom"/>
            <w:hideMark/>
          </w:tcPr>
          <w:p w14:paraId="53A8E14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DEMONSTRAÇÃO DE RESULTADOS - REVENDAS DO PRODUTO NO MERCADO INTERNO E EXTERNO</w:t>
            </w:r>
          </w:p>
        </w:tc>
      </w:tr>
    </w:tbl>
    <w:p w14:paraId="36233519" w14:textId="77777777" w:rsidR="00395593" w:rsidRPr="005C5CBD" w:rsidRDefault="00395593" w:rsidP="00E15FBB">
      <w:pPr>
        <w:spacing w:after="0" w:line="240" w:lineRule="auto"/>
        <w:jc w:val="center"/>
        <w:rPr>
          <w:rFonts w:ascii="Garamond" w:eastAsia="Times New Roman" w:hAnsi="Garamond" w:cs="Calibri"/>
          <w:sz w:val="24"/>
          <w:szCs w:val="24"/>
          <w:lang w:eastAsia="pt-BR"/>
        </w:rPr>
      </w:pPr>
    </w:p>
    <w:tbl>
      <w:tblPr>
        <w:tblW w:w="5000" w:type="pct"/>
        <w:tblCellMar>
          <w:left w:w="70" w:type="dxa"/>
          <w:right w:w="70" w:type="dxa"/>
        </w:tblCellMar>
        <w:tblLook w:val="04A0" w:firstRow="1" w:lastRow="0" w:firstColumn="1" w:lastColumn="0" w:noHBand="0" w:noVBand="1"/>
      </w:tblPr>
      <w:tblGrid>
        <w:gridCol w:w="4288"/>
        <w:gridCol w:w="1938"/>
        <w:gridCol w:w="1937"/>
        <w:gridCol w:w="1937"/>
        <w:gridCol w:w="1937"/>
        <w:gridCol w:w="1956"/>
      </w:tblGrid>
      <w:tr w:rsidR="00395593" w:rsidRPr="00AC0363" w14:paraId="0BFCB4F1" w14:textId="77777777" w:rsidTr="00395593">
        <w:trPr>
          <w:trHeight w:val="20"/>
        </w:trPr>
        <w:tc>
          <w:tcPr>
            <w:tcW w:w="1531" w:type="pct"/>
            <w:tcBorders>
              <w:top w:val="single" w:sz="4" w:space="0" w:color="auto"/>
              <w:left w:val="single" w:sz="4" w:space="0" w:color="auto"/>
              <w:bottom w:val="single" w:sz="4" w:space="0" w:color="auto"/>
              <w:right w:val="nil"/>
            </w:tcBorders>
            <w:shd w:val="clear" w:color="auto" w:fill="auto"/>
            <w:vAlign w:val="center"/>
            <w:hideMark/>
          </w:tcPr>
          <w:p w14:paraId="7FB8C4CA" w14:textId="77777777" w:rsidR="00395593" w:rsidRPr="005C5CBD" w:rsidRDefault="00395593" w:rsidP="00E15FBB">
            <w:pPr>
              <w:spacing w:after="0" w:line="240" w:lineRule="auto"/>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Empresa</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268E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P1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505E3E0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P2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4A7D841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P3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4C41CE2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P4 </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138FBAC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P5 </w:t>
            </w:r>
          </w:p>
        </w:tc>
      </w:tr>
      <w:tr w:rsidR="00395593" w:rsidRPr="00AC0363" w14:paraId="6D77A129" w14:textId="77777777" w:rsidTr="00395593">
        <w:trPr>
          <w:trHeight w:val="2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78B63CD1"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1- Faturamento Bruto</w:t>
            </w:r>
          </w:p>
        </w:tc>
        <w:tc>
          <w:tcPr>
            <w:tcW w:w="692" w:type="pct"/>
            <w:tcBorders>
              <w:top w:val="nil"/>
              <w:left w:val="nil"/>
              <w:bottom w:val="single" w:sz="4" w:space="0" w:color="auto"/>
              <w:right w:val="nil"/>
            </w:tcBorders>
            <w:shd w:val="clear" w:color="auto" w:fill="auto"/>
            <w:vAlign w:val="center"/>
            <w:hideMark/>
          </w:tcPr>
          <w:p w14:paraId="024811C5"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692" w:type="pct"/>
            <w:tcBorders>
              <w:top w:val="nil"/>
              <w:left w:val="single" w:sz="4" w:space="0" w:color="auto"/>
              <w:bottom w:val="single" w:sz="4" w:space="0" w:color="auto"/>
              <w:right w:val="single" w:sz="4" w:space="0" w:color="auto"/>
            </w:tcBorders>
            <w:shd w:val="clear" w:color="auto" w:fill="auto"/>
            <w:vAlign w:val="center"/>
            <w:hideMark/>
          </w:tcPr>
          <w:p w14:paraId="21DE5F27"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692" w:type="pct"/>
            <w:tcBorders>
              <w:top w:val="nil"/>
              <w:left w:val="nil"/>
              <w:bottom w:val="single" w:sz="4" w:space="0" w:color="auto"/>
              <w:right w:val="single" w:sz="4" w:space="0" w:color="auto"/>
            </w:tcBorders>
            <w:shd w:val="clear" w:color="auto" w:fill="auto"/>
            <w:vAlign w:val="center"/>
            <w:hideMark/>
          </w:tcPr>
          <w:p w14:paraId="6AF51191"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692" w:type="pct"/>
            <w:tcBorders>
              <w:top w:val="nil"/>
              <w:left w:val="nil"/>
              <w:bottom w:val="single" w:sz="4" w:space="0" w:color="auto"/>
              <w:right w:val="single" w:sz="4" w:space="0" w:color="auto"/>
            </w:tcBorders>
            <w:shd w:val="clear" w:color="auto" w:fill="auto"/>
            <w:vAlign w:val="center"/>
            <w:hideMark/>
          </w:tcPr>
          <w:p w14:paraId="56AFD392"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699" w:type="pct"/>
            <w:tcBorders>
              <w:top w:val="nil"/>
              <w:left w:val="nil"/>
              <w:bottom w:val="single" w:sz="4" w:space="0" w:color="auto"/>
              <w:right w:val="single" w:sz="4" w:space="0" w:color="auto"/>
            </w:tcBorders>
            <w:shd w:val="clear" w:color="auto" w:fill="auto"/>
            <w:vAlign w:val="center"/>
            <w:hideMark/>
          </w:tcPr>
          <w:p w14:paraId="32547775"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r>
      <w:tr w:rsidR="00395593" w:rsidRPr="00AC0363" w14:paraId="3ED9B35A" w14:textId="77777777" w:rsidTr="00395593">
        <w:trPr>
          <w:trHeight w:val="20"/>
        </w:trPr>
        <w:tc>
          <w:tcPr>
            <w:tcW w:w="1531" w:type="pct"/>
            <w:tcBorders>
              <w:top w:val="nil"/>
              <w:left w:val="single" w:sz="4" w:space="0" w:color="auto"/>
              <w:bottom w:val="nil"/>
              <w:right w:val="single" w:sz="4" w:space="0" w:color="auto"/>
            </w:tcBorders>
            <w:shd w:val="clear" w:color="auto" w:fill="auto"/>
            <w:vAlign w:val="center"/>
            <w:hideMark/>
          </w:tcPr>
          <w:p w14:paraId="216EA40C"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1.1- IPI</w:t>
            </w:r>
          </w:p>
        </w:tc>
        <w:tc>
          <w:tcPr>
            <w:tcW w:w="692" w:type="pct"/>
            <w:tcBorders>
              <w:top w:val="nil"/>
              <w:left w:val="nil"/>
              <w:bottom w:val="nil"/>
              <w:right w:val="nil"/>
            </w:tcBorders>
            <w:shd w:val="clear" w:color="auto" w:fill="auto"/>
            <w:vAlign w:val="center"/>
            <w:hideMark/>
          </w:tcPr>
          <w:p w14:paraId="2C982778"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single" w:sz="4" w:space="0" w:color="auto"/>
            </w:tcBorders>
            <w:shd w:val="clear" w:color="auto" w:fill="auto"/>
            <w:vAlign w:val="center"/>
            <w:hideMark/>
          </w:tcPr>
          <w:p w14:paraId="642EE887"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nil"/>
              <w:bottom w:val="nil"/>
              <w:right w:val="single" w:sz="4" w:space="0" w:color="auto"/>
            </w:tcBorders>
            <w:shd w:val="clear" w:color="auto" w:fill="auto"/>
            <w:vAlign w:val="center"/>
            <w:hideMark/>
          </w:tcPr>
          <w:p w14:paraId="769B7D3F"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nil"/>
              <w:bottom w:val="nil"/>
              <w:right w:val="single" w:sz="4" w:space="0" w:color="auto"/>
            </w:tcBorders>
            <w:shd w:val="clear" w:color="auto" w:fill="auto"/>
            <w:vAlign w:val="center"/>
            <w:hideMark/>
          </w:tcPr>
          <w:p w14:paraId="4620E3E8"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9" w:type="pct"/>
            <w:tcBorders>
              <w:top w:val="nil"/>
              <w:left w:val="nil"/>
              <w:bottom w:val="nil"/>
              <w:right w:val="single" w:sz="4" w:space="0" w:color="auto"/>
            </w:tcBorders>
            <w:shd w:val="clear" w:color="auto" w:fill="auto"/>
            <w:vAlign w:val="center"/>
            <w:hideMark/>
          </w:tcPr>
          <w:p w14:paraId="76D4053C"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6ED6020D" w14:textId="77777777" w:rsidTr="00395593">
        <w:trPr>
          <w:trHeight w:val="20"/>
        </w:trPr>
        <w:tc>
          <w:tcPr>
            <w:tcW w:w="15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2548B"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2-Receita Operacional Bruta (1-1.1)</w:t>
            </w:r>
          </w:p>
        </w:tc>
        <w:tc>
          <w:tcPr>
            <w:tcW w:w="692" w:type="pct"/>
            <w:tcBorders>
              <w:top w:val="single" w:sz="4" w:space="0" w:color="auto"/>
              <w:left w:val="nil"/>
              <w:bottom w:val="single" w:sz="4" w:space="0" w:color="auto"/>
              <w:right w:val="nil"/>
            </w:tcBorders>
            <w:shd w:val="clear" w:color="000000" w:fill="D9D9D9"/>
            <w:vAlign w:val="center"/>
            <w:hideMark/>
          </w:tcPr>
          <w:p w14:paraId="7A3231F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72B37F8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6B317F0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64E2B636"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87515E6"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AC0363" w14:paraId="66FCB8E9" w14:textId="77777777" w:rsidTr="00395593">
        <w:trPr>
          <w:trHeight w:val="2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2319A356"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3-Deduções da Receita Bruta</w:t>
            </w:r>
          </w:p>
        </w:tc>
        <w:tc>
          <w:tcPr>
            <w:tcW w:w="692" w:type="pct"/>
            <w:tcBorders>
              <w:top w:val="nil"/>
              <w:left w:val="nil"/>
              <w:bottom w:val="single" w:sz="4" w:space="0" w:color="auto"/>
              <w:right w:val="nil"/>
            </w:tcBorders>
            <w:shd w:val="clear" w:color="000000" w:fill="D9D9D9"/>
            <w:vAlign w:val="center"/>
            <w:hideMark/>
          </w:tcPr>
          <w:p w14:paraId="299BE266"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5C4939D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003C142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1BDE782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9" w:type="pct"/>
            <w:tcBorders>
              <w:top w:val="nil"/>
              <w:left w:val="single" w:sz="4" w:space="0" w:color="auto"/>
              <w:bottom w:val="single" w:sz="4" w:space="0" w:color="auto"/>
              <w:right w:val="nil"/>
            </w:tcBorders>
            <w:shd w:val="clear" w:color="000000" w:fill="D9D9D9"/>
            <w:vAlign w:val="center"/>
            <w:hideMark/>
          </w:tcPr>
          <w:p w14:paraId="40B47BC3"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AC0363" w14:paraId="3346BAAD" w14:textId="77777777" w:rsidTr="00395593">
        <w:trPr>
          <w:trHeight w:val="2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084EB105"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3.1-Tributos sobre Vendas (informar alíquotas)</w:t>
            </w:r>
          </w:p>
        </w:tc>
        <w:tc>
          <w:tcPr>
            <w:tcW w:w="692" w:type="pct"/>
            <w:tcBorders>
              <w:top w:val="nil"/>
              <w:left w:val="nil"/>
              <w:bottom w:val="single" w:sz="4" w:space="0" w:color="auto"/>
              <w:right w:val="nil"/>
            </w:tcBorders>
            <w:shd w:val="clear" w:color="000000" w:fill="D9D9D9"/>
            <w:vAlign w:val="center"/>
            <w:hideMark/>
          </w:tcPr>
          <w:p w14:paraId="4DE9AF48"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18F64C47"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3BD90195"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0F1E770A"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w:t>
            </w:r>
          </w:p>
        </w:tc>
        <w:tc>
          <w:tcPr>
            <w:tcW w:w="699" w:type="pct"/>
            <w:tcBorders>
              <w:top w:val="nil"/>
              <w:left w:val="single" w:sz="4" w:space="0" w:color="auto"/>
              <w:bottom w:val="single" w:sz="4" w:space="0" w:color="auto"/>
              <w:right w:val="single" w:sz="4" w:space="0" w:color="auto"/>
            </w:tcBorders>
            <w:shd w:val="clear" w:color="000000" w:fill="D9D9D9"/>
            <w:vAlign w:val="center"/>
            <w:hideMark/>
          </w:tcPr>
          <w:p w14:paraId="1EC9802B"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w:t>
            </w:r>
          </w:p>
        </w:tc>
      </w:tr>
      <w:tr w:rsidR="00395593" w:rsidRPr="00AC0363" w14:paraId="49176333" w14:textId="77777777" w:rsidTr="00395593">
        <w:trPr>
          <w:trHeight w:val="2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3B745C82"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3.1.1 - ICMS</w:t>
            </w:r>
          </w:p>
        </w:tc>
        <w:tc>
          <w:tcPr>
            <w:tcW w:w="692" w:type="pct"/>
            <w:tcBorders>
              <w:top w:val="nil"/>
              <w:left w:val="nil"/>
              <w:bottom w:val="nil"/>
              <w:right w:val="nil"/>
            </w:tcBorders>
            <w:shd w:val="clear" w:color="auto" w:fill="auto"/>
            <w:vAlign w:val="center"/>
            <w:hideMark/>
          </w:tcPr>
          <w:p w14:paraId="7A0DC303"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single" w:sz="4" w:space="0" w:color="auto"/>
            </w:tcBorders>
            <w:shd w:val="clear" w:color="auto" w:fill="auto"/>
            <w:vAlign w:val="center"/>
            <w:hideMark/>
          </w:tcPr>
          <w:p w14:paraId="7CFF377B"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nil"/>
              <w:bottom w:val="nil"/>
              <w:right w:val="single" w:sz="4" w:space="0" w:color="auto"/>
            </w:tcBorders>
            <w:shd w:val="clear" w:color="auto" w:fill="auto"/>
            <w:vAlign w:val="center"/>
            <w:hideMark/>
          </w:tcPr>
          <w:p w14:paraId="66007160"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nil"/>
              <w:bottom w:val="nil"/>
              <w:right w:val="single" w:sz="4" w:space="0" w:color="auto"/>
            </w:tcBorders>
            <w:shd w:val="clear" w:color="auto" w:fill="auto"/>
            <w:vAlign w:val="center"/>
            <w:hideMark/>
          </w:tcPr>
          <w:p w14:paraId="3A0A6E48"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9" w:type="pct"/>
            <w:tcBorders>
              <w:top w:val="nil"/>
              <w:left w:val="nil"/>
              <w:bottom w:val="nil"/>
              <w:right w:val="single" w:sz="4" w:space="0" w:color="auto"/>
            </w:tcBorders>
            <w:shd w:val="clear" w:color="auto" w:fill="auto"/>
            <w:vAlign w:val="center"/>
            <w:hideMark/>
          </w:tcPr>
          <w:p w14:paraId="3D35840B"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2F03C308" w14:textId="77777777" w:rsidTr="00395593">
        <w:trPr>
          <w:trHeight w:val="2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21458720"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3.1.2 - PIS </w:t>
            </w:r>
          </w:p>
        </w:tc>
        <w:tc>
          <w:tcPr>
            <w:tcW w:w="692" w:type="pct"/>
            <w:tcBorders>
              <w:top w:val="nil"/>
              <w:left w:val="nil"/>
              <w:bottom w:val="nil"/>
              <w:right w:val="nil"/>
            </w:tcBorders>
            <w:shd w:val="clear" w:color="auto" w:fill="auto"/>
            <w:vAlign w:val="center"/>
            <w:hideMark/>
          </w:tcPr>
          <w:p w14:paraId="035DAA2D"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single" w:sz="4" w:space="0" w:color="auto"/>
            </w:tcBorders>
            <w:shd w:val="clear" w:color="auto" w:fill="auto"/>
            <w:vAlign w:val="center"/>
            <w:hideMark/>
          </w:tcPr>
          <w:p w14:paraId="3B5621C4"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nil"/>
              <w:bottom w:val="nil"/>
              <w:right w:val="single" w:sz="4" w:space="0" w:color="auto"/>
            </w:tcBorders>
            <w:shd w:val="clear" w:color="auto" w:fill="auto"/>
            <w:vAlign w:val="center"/>
            <w:hideMark/>
          </w:tcPr>
          <w:p w14:paraId="725A367D"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nil"/>
              <w:bottom w:val="nil"/>
              <w:right w:val="single" w:sz="4" w:space="0" w:color="auto"/>
            </w:tcBorders>
            <w:shd w:val="clear" w:color="auto" w:fill="auto"/>
            <w:vAlign w:val="center"/>
            <w:hideMark/>
          </w:tcPr>
          <w:p w14:paraId="09E954E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9" w:type="pct"/>
            <w:tcBorders>
              <w:top w:val="nil"/>
              <w:left w:val="nil"/>
              <w:bottom w:val="nil"/>
              <w:right w:val="single" w:sz="4" w:space="0" w:color="auto"/>
            </w:tcBorders>
            <w:shd w:val="clear" w:color="auto" w:fill="auto"/>
            <w:vAlign w:val="center"/>
            <w:hideMark/>
          </w:tcPr>
          <w:p w14:paraId="576A95DA"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43ABFC63" w14:textId="77777777" w:rsidTr="00395593">
        <w:trPr>
          <w:trHeight w:val="2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3E5DE6E5"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3.1.3 - COFINS</w:t>
            </w:r>
          </w:p>
        </w:tc>
        <w:tc>
          <w:tcPr>
            <w:tcW w:w="692" w:type="pct"/>
            <w:tcBorders>
              <w:top w:val="nil"/>
              <w:left w:val="nil"/>
              <w:bottom w:val="nil"/>
              <w:right w:val="nil"/>
            </w:tcBorders>
            <w:shd w:val="clear" w:color="auto" w:fill="auto"/>
            <w:vAlign w:val="center"/>
            <w:hideMark/>
          </w:tcPr>
          <w:p w14:paraId="336FA2A1"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single" w:sz="4" w:space="0" w:color="auto"/>
            </w:tcBorders>
            <w:shd w:val="clear" w:color="auto" w:fill="auto"/>
            <w:vAlign w:val="center"/>
            <w:hideMark/>
          </w:tcPr>
          <w:p w14:paraId="5CBEC03F"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nil"/>
              <w:bottom w:val="nil"/>
              <w:right w:val="single" w:sz="4" w:space="0" w:color="auto"/>
            </w:tcBorders>
            <w:shd w:val="clear" w:color="auto" w:fill="auto"/>
            <w:vAlign w:val="center"/>
            <w:hideMark/>
          </w:tcPr>
          <w:p w14:paraId="1CE20ED9"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nil"/>
              <w:bottom w:val="nil"/>
              <w:right w:val="single" w:sz="4" w:space="0" w:color="auto"/>
            </w:tcBorders>
            <w:shd w:val="clear" w:color="auto" w:fill="auto"/>
            <w:vAlign w:val="center"/>
            <w:hideMark/>
          </w:tcPr>
          <w:p w14:paraId="27606C22"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9" w:type="pct"/>
            <w:tcBorders>
              <w:top w:val="nil"/>
              <w:left w:val="nil"/>
              <w:bottom w:val="nil"/>
              <w:right w:val="single" w:sz="4" w:space="0" w:color="auto"/>
            </w:tcBorders>
            <w:shd w:val="clear" w:color="auto" w:fill="auto"/>
            <w:vAlign w:val="center"/>
            <w:hideMark/>
          </w:tcPr>
          <w:p w14:paraId="39210AE6"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06005E78" w14:textId="77777777" w:rsidTr="00395593">
        <w:trPr>
          <w:trHeight w:val="2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37FE2BD8"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3.2-Descontos e abatimentos</w:t>
            </w:r>
          </w:p>
        </w:tc>
        <w:tc>
          <w:tcPr>
            <w:tcW w:w="692" w:type="pct"/>
            <w:tcBorders>
              <w:top w:val="nil"/>
              <w:left w:val="nil"/>
              <w:bottom w:val="nil"/>
              <w:right w:val="nil"/>
            </w:tcBorders>
            <w:shd w:val="clear" w:color="auto" w:fill="auto"/>
            <w:vAlign w:val="center"/>
            <w:hideMark/>
          </w:tcPr>
          <w:p w14:paraId="2CE4DB0E"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single" w:sz="4" w:space="0" w:color="auto"/>
            </w:tcBorders>
            <w:shd w:val="clear" w:color="auto" w:fill="auto"/>
            <w:vAlign w:val="center"/>
            <w:hideMark/>
          </w:tcPr>
          <w:p w14:paraId="62B47CE7"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nil"/>
              <w:bottom w:val="nil"/>
              <w:right w:val="single" w:sz="4" w:space="0" w:color="auto"/>
            </w:tcBorders>
            <w:shd w:val="clear" w:color="auto" w:fill="auto"/>
            <w:vAlign w:val="center"/>
            <w:hideMark/>
          </w:tcPr>
          <w:p w14:paraId="41289B6F"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nil"/>
              <w:bottom w:val="nil"/>
              <w:right w:val="single" w:sz="4" w:space="0" w:color="auto"/>
            </w:tcBorders>
            <w:shd w:val="clear" w:color="auto" w:fill="auto"/>
            <w:vAlign w:val="center"/>
            <w:hideMark/>
          </w:tcPr>
          <w:p w14:paraId="4DDFD248"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9" w:type="pct"/>
            <w:tcBorders>
              <w:top w:val="nil"/>
              <w:left w:val="nil"/>
              <w:bottom w:val="nil"/>
              <w:right w:val="single" w:sz="4" w:space="0" w:color="auto"/>
            </w:tcBorders>
            <w:shd w:val="clear" w:color="auto" w:fill="auto"/>
            <w:vAlign w:val="center"/>
            <w:hideMark/>
          </w:tcPr>
          <w:p w14:paraId="1E92EFA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57E4597F" w14:textId="77777777" w:rsidTr="00395593">
        <w:trPr>
          <w:trHeight w:val="20"/>
        </w:trPr>
        <w:tc>
          <w:tcPr>
            <w:tcW w:w="1531" w:type="pct"/>
            <w:tcBorders>
              <w:top w:val="nil"/>
              <w:left w:val="single" w:sz="4" w:space="0" w:color="auto"/>
              <w:bottom w:val="nil"/>
              <w:right w:val="single" w:sz="4" w:space="0" w:color="auto"/>
            </w:tcBorders>
            <w:shd w:val="clear" w:color="auto" w:fill="auto"/>
            <w:vAlign w:val="center"/>
            <w:hideMark/>
          </w:tcPr>
          <w:p w14:paraId="5734C6AF"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3.3-Devoluções</w:t>
            </w:r>
          </w:p>
        </w:tc>
        <w:tc>
          <w:tcPr>
            <w:tcW w:w="692" w:type="pct"/>
            <w:tcBorders>
              <w:top w:val="nil"/>
              <w:left w:val="nil"/>
              <w:bottom w:val="nil"/>
              <w:right w:val="nil"/>
            </w:tcBorders>
            <w:shd w:val="clear" w:color="auto" w:fill="auto"/>
            <w:vAlign w:val="center"/>
            <w:hideMark/>
          </w:tcPr>
          <w:p w14:paraId="1EB6FE0B"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single" w:sz="4" w:space="0" w:color="auto"/>
            </w:tcBorders>
            <w:shd w:val="clear" w:color="auto" w:fill="auto"/>
            <w:vAlign w:val="center"/>
            <w:hideMark/>
          </w:tcPr>
          <w:p w14:paraId="6D3CB6FF"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nil"/>
              <w:bottom w:val="nil"/>
              <w:right w:val="single" w:sz="4" w:space="0" w:color="auto"/>
            </w:tcBorders>
            <w:shd w:val="clear" w:color="auto" w:fill="auto"/>
            <w:vAlign w:val="center"/>
            <w:hideMark/>
          </w:tcPr>
          <w:p w14:paraId="4D454E0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nil"/>
              <w:bottom w:val="nil"/>
              <w:right w:val="single" w:sz="4" w:space="0" w:color="auto"/>
            </w:tcBorders>
            <w:shd w:val="clear" w:color="auto" w:fill="auto"/>
            <w:vAlign w:val="center"/>
            <w:hideMark/>
          </w:tcPr>
          <w:p w14:paraId="76CEF98B"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9" w:type="pct"/>
            <w:tcBorders>
              <w:top w:val="nil"/>
              <w:left w:val="nil"/>
              <w:bottom w:val="nil"/>
              <w:right w:val="single" w:sz="4" w:space="0" w:color="auto"/>
            </w:tcBorders>
            <w:shd w:val="clear" w:color="auto" w:fill="auto"/>
            <w:vAlign w:val="center"/>
            <w:hideMark/>
          </w:tcPr>
          <w:p w14:paraId="7D4840A1"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1D785134" w14:textId="77777777" w:rsidTr="00395593">
        <w:trPr>
          <w:trHeight w:val="20"/>
        </w:trPr>
        <w:tc>
          <w:tcPr>
            <w:tcW w:w="1531" w:type="pct"/>
            <w:tcBorders>
              <w:top w:val="single" w:sz="4" w:space="0" w:color="auto"/>
              <w:left w:val="single" w:sz="4" w:space="0" w:color="auto"/>
              <w:bottom w:val="nil"/>
              <w:right w:val="single" w:sz="4" w:space="0" w:color="auto"/>
            </w:tcBorders>
            <w:shd w:val="clear" w:color="auto" w:fill="auto"/>
            <w:vAlign w:val="center"/>
            <w:hideMark/>
          </w:tcPr>
          <w:p w14:paraId="6E4A4476"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3.4-Fretes sobre vendas</w:t>
            </w:r>
          </w:p>
        </w:tc>
        <w:tc>
          <w:tcPr>
            <w:tcW w:w="692" w:type="pct"/>
            <w:tcBorders>
              <w:top w:val="nil"/>
              <w:left w:val="nil"/>
              <w:bottom w:val="nil"/>
              <w:right w:val="nil"/>
            </w:tcBorders>
            <w:shd w:val="clear" w:color="auto" w:fill="auto"/>
            <w:vAlign w:val="center"/>
            <w:hideMark/>
          </w:tcPr>
          <w:p w14:paraId="32314F37"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28B8BDA2"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524FC2B9"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58EE0900"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9" w:type="pct"/>
            <w:tcBorders>
              <w:top w:val="nil"/>
              <w:left w:val="single" w:sz="4" w:space="0" w:color="auto"/>
              <w:bottom w:val="nil"/>
              <w:right w:val="single" w:sz="4" w:space="0" w:color="auto"/>
            </w:tcBorders>
            <w:shd w:val="clear" w:color="auto" w:fill="auto"/>
            <w:vAlign w:val="center"/>
            <w:hideMark/>
          </w:tcPr>
          <w:p w14:paraId="3EDC1E04"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6640B1DC" w14:textId="77777777" w:rsidTr="00395593">
        <w:trPr>
          <w:trHeight w:val="20"/>
        </w:trPr>
        <w:tc>
          <w:tcPr>
            <w:tcW w:w="15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FF1E3"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4-Receita Operacional Líquida (2-3)</w:t>
            </w:r>
          </w:p>
        </w:tc>
        <w:tc>
          <w:tcPr>
            <w:tcW w:w="692" w:type="pct"/>
            <w:tcBorders>
              <w:top w:val="single" w:sz="4" w:space="0" w:color="auto"/>
              <w:left w:val="nil"/>
              <w:bottom w:val="single" w:sz="4" w:space="0" w:color="auto"/>
              <w:right w:val="nil"/>
            </w:tcBorders>
            <w:shd w:val="clear" w:color="000000" w:fill="D9D9D9"/>
            <w:vAlign w:val="center"/>
            <w:hideMark/>
          </w:tcPr>
          <w:p w14:paraId="637F5B9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27E8BC2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2687861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382F798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0569FE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AC0363" w14:paraId="208FA2C2" w14:textId="77777777" w:rsidTr="00395593">
        <w:trPr>
          <w:trHeight w:val="20"/>
        </w:trPr>
        <w:tc>
          <w:tcPr>
            <w:tcW w:w="1531" w:type="pct"/>
            <w:tcBorders>
              <w:top w:val="nil"/>
              <w:left w:val="single" w:sz="4" w:space="0" w:color="auto"/>
              <w:bottom w:val="nil"/>
              <w:right w:val="single" w:sz="4" w:space="0" w:color="auto"/>
            </w:tcBorders>
            <w:shd w:val="clear" w:color="auto" w:fill="auto"/>
            <w:vAlign w:val="center"/>
            <w:hideMark/>
          </w:tcPr>
          <w:p w14:paraId="5AF4426D"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5-Custo da Mercadoria Vendida</w:t>
            </w:r>
          </w:p>
        </w:tc>
        <w:tc>
          <w:tcPr>
            <w:tcW w:w="692" w:type="pct"/>
            <w:tcBorders>
              <w:top w:val="nil"/>
              <w:left w:val="nil"/>
              <w:bottom w:val="nil"/>
              <w:right w:val="nil"/>
            </w:tcBorders>
            <w:shd w:val="clear" w:color="auto" w:fill="auto"/>
            <w:vAlign w:val="center"/>
            <w:hideMark/>
          </w:tcPr>
          <w:p w14:paraId="67A532F3"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47A08EEF"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75984DEC"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2" w:type="pct"/>
            <w:tcBorders>
              <w:top w:val="nil"/>
              <w:left w:val="single" w:sz="4" w:space="0" w:color="auto"/>
              <w:bottom w:val="nil"/>
              <w:right w:val="nil"/>
            </w:tcBorders>
            <w:shd w:val="clear" w:color="auto" w:fill="auto"/>
            <w:vAlign w:val="center"/>
            <w:hideMark/>
          </w:tcPr>
          <w:p w14:paraId="6EF25489"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699" w:type="pct"/>
            <w:tcBorders>
              <w:top w:val="nil"/>
              <w:left w:val="single" w:sz="4" w:space="0" w:color="auto"/>
              <w:bottom w:val="nil"/>
              <w:right w:val="single" w:sz="4" w:space="0" w:color="auto"/>
            </w:tcBorders>
            <w:shd w:val="clear" w:color="auto" w:fill="auto"/>
            <w:vAlign w:val="center"/>
            <w:hideMark/>
          </w:tcPr>
          <w:p w14:paraId="61A20B12"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r>
      <w:tr w:rsidR="00395593" w:rsidRPr="00AC0363" w14:paraId="06544B60" w14:textId="77777777" w:rsidTr="00395593">
        <w:trPr>
          <w:trHeight w:val="20"/>
        </w:trPr>
        <w:tc>
          <w:tcPr>
            <w:tcW w:w="15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63B190"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6- Resultado Bruto (4-5)</w:t>
            </w:r>
          </w:p>
        </w:tc>
        <w:tc>
          <w:tcPr>
            <w:tcW w:w="692" w:type="pct"/>
            <w:tcBorders>
              <w:top w:val="single" w:sz="4" w:space="0" w:color="auto"/>
              <w:left w:val="nil"/>
              <w:bottom w:val="single" w:sz="4" w:space="0" w:color="auto"/>
              <w:right w:val="nil"/>
            </w:tcBorders>
            <w:shd w:val="clear" w:color="000000" w:fill="D9D9D9"/>
            <w:vAlign w:val="center"/>
            <w:hideMark/>
          </w:tcPr>
          <w:p w14:paraId="289FA6EC"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0FD37BC3"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3F3F9B0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062AC49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1C5A4E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AC0363" w14:paraId="3DB42CC6" w14:textId="77777777" w:rsidTr="00395593">
        <w:trPr>
          <w:trHeight w:val="2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6ADC5559"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7-Despesas/Receitas Operacionais</w:t>
            </w:r>
          </w:p>
        </w:tc>
        <w:tc>
          <w:tcPr>
            <w:tcW w:w="692" w:type="pct"/>
            <w:tcBorders>
              <w:top w:val="nil"/>
              <w:left w:val="nil"/>
              <w:bottom w:val="single" w:sz="4" w:space="0" w:color="auto"/>
              <w:right w:val="nil"/>
            </w:tcBorders>
            <w:shd w:val="clear" w:color="000000" w:fill="D9D9D9"/>
            <w:vAlign w:val="center"/>
            <w:hideMark/>
          </w:tcPr>
          <w:p w14:paraId="21C32F5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57FD02B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205CF61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nil"/>
              <w:left w:val="single" w:sz="4" w:space="0" w:color="auto"/>
              <w:bottom w:val="single" w:sz="4" w:space="0" w:color="auto"/>
              <w:right w:val="nil"/>
            </w:tcBorders>
            <w:shd w:val="clear" w:color="000000" w:fill="D9D9D9"/>
            <w:vAlign w:val="center"/>
            <w:hideMark/>
          </w:tcPr>
          <w:p w14:paraId="295A06F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9" w:type="pct"/>
            <w:tcBorders>
              <w:top w:val="nil"/>
              <w:left w:val="single" w:sz="4" w:space="0" w:color="auto"/>
              <w:bottom w:val="single" w:sz="4" w:space="0" w:color="auto"/>
              <w:right w:val="single" w:sz="4" w:space="0" w:color="auto"/>
            </w:tcBorders>
            <w:shd w:val="clear" w:color="000000" w:fill="D9D9D9"/>
            <w:vAlign w:val="center"/>
            <w:hideMark/>
          </w:tcPr>
          <w:p w14:paraId="7DC9B1B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AC0363" w14:paraId="179DB3CE" w14:textId="77777777" w:rsidTr="00395593">
        <w:trPr>
          <w:trHeight w:val="2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442679AD"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7.1-Despesas Gerais e Administrativas</w:t>
            </w:r>
          </w:p>
        </w:tc>
        <w:tc>
          <w:tcPr>
            <w:tcW w:w="692" w:type="pct"/>
            <w:tcBorders>
              <w:top w:val="nil"/>
              <w:left w:val="nil"/>
              <w:bottom w:val="nil"/>
              <w:right w:val="nil"/>
            </w:tcBorders>
            <w:shd w:val="clear" w:color="auto" w:fill="auto"/>
            <w:vAlign w:val="center"/>
            <w:hideMark/>
          </w:tcPr>
          <w:p w14:paraId="1316C23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6B25355B"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0D7CD68D"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093FA7AF"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9" w:type="pct"/>
            <w:tcBorders>
              <w:top w:val="nil"/>
              <w:left w:val="single" w:sz="4" w:space="0" w:color="auto"/>
              <w:bottom w:val="nil"/>
              <w:right w:val="single" w:sz="4" w:space="0" w:color="auto"/>
            </w:tcBorders>
            <w:shd w:val="clear" w:color="auto" w:fill="auto"/>
            <w:vAlign w:val="center"/>
            <w:hideMark/>
          </w:tcPr>
          <w:p w14:paraId="6A108A7C"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4D7AED7D" w14:textId="77777777" w:rsidTr="00395593">
        <w:trPr>
          <w:trHeight w:val="2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1807A9E0"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7.2-Despesas com Vendas (exceto frete sobre vendas)</w:t>
            </w:r>
          </w:p>
        </w:tc>
        <w:tc>
          <w:tcPr>
            <w:tcW w:w="692" w:type="pct"/>
            <w:tcBorders>
              <w:top w:val="nil"/>
              <w:left w:val="nil"/>
              <w:bottom w:val="nil"/>
              <w:right w:val="nil"/>
            </w:tcBorders>
            <w:shd w:val="clear" w:color="auto" w:fill="auto"/>
            <w:vAlign w:val="center"/>
            <w:hideMark/>
          </w:tcPr>
          <w:p w14:paraId="790CA726"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7575668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33EAF720"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58175560"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9" w:type="pct"/>
            <w:tcBorders>
              <w:top w:val="nil"/>
              <w:left w:val="single" w:sz="4" w:space="0" w:color="auto"/>
              <w:bottom w:val="nil"/>
              <w:right w:val="single" w:sz="4" w:space="0" w:color="auto"/>
            </w:tcBorders>
            <w:shd w:val="clear" w:color="auto" w:fill="auto"/>
            <w:vAlign w:val="center"/>
            <w:hideMark/>
          </w:tcPr>
          <w:p w14:paraId="12331A0C"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5F2D3016" w14:textId="77777777" w:rsidTr="00395593">
        <w:trPr>
          <w:trHeight w:val="2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7FF5B7E9"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7.3-Despesas Financeiras</w:t>
            </w:r>
          </w:p>
        </w:tc>
        <w:tc>
          <w:tcPr>
            <w:tcW w:w="692" w:type="pct"/>
            <w:tcBorders>
              <w:top w:val="nil"/>
              <w:left w:val="nil"/>
              <w:bottom w:val="nil"/>
              <w:right w:val="nil"/>
            </w:tcBorders>
            <w:shd w:val="clear" w:color="auto" w:fill="auto"/>
            <w:vAlign w:val="center"/>
            <w:hideMark/>
          </w:tcPr>
          <w:p w14:paraId="109D6E3E"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029AF919"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0E52ECE2"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1E564172"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9" w:type="pct"/>
            <w:tcBorders>
              <w:top w:val="nil"/>
              <w:left w:val="single" w:sz="4" w:space="0" w:color="auto"/>
              <w:bottom w:val="nil"/>
              <w:right w:val="single" w:sz="4" w:space="0" w:color="auto"/>
            </w:tcBorders>
            <w:shd w:val="clear" w:color="auto" w:fill="auto"/>
            <w:vAlign w:val="center"/>
            <w:hideMark/>
          </w:tcPr>
          <w:p w14:paraId="6E196464"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312AA50A" w14:textId="77777777" w:rsidTr="00395593">
        <w:trPr>
          <w:trHeight w:val="2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639A9B39"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7.4-Receitas Financeiras</w:t>
            </w:r>
          </w:p>
        </w:tc>
        <w:tc>
          <w:tcPr>
            <w:tcW w:w="692" w:type="pct"/>
            <w:tcBorders>
              <w:top w:val="nil"/>
              <w:left w:val="nil"/>
              <w:bottom w:val="nil"/>
              <w:right w:val="nil"/>
            </w:tcBorders>
            <w:shd w:val="clear" w:color="auto" w:fill="auto"/>
            <w:vAlign w:val="center"/>
            <w:hideMark/>
          </w:tcPr>
          <w:p w14:paraId="3D41D4BD"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218B3A3E"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75461F5B"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1E2DE72A"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9" w:type="pct"/>
            <w:tcBorders>
              <w:top w:val="nil"/>
              <w:left w:val="single" w:sz="4" w:space="0" w:color="auto"/>
              <w:bottom w:val="nil"/>
              <w:right w:val="single" w:sz="4" w:space="0" w:color="auto"/>
            </w:tcBorders>
            <w:shd w:val="clear" w:color="auto" w:fill="auto"/>
            <w:vAlign w:val="center"/>
            <w:hideMark/>
          </w:tcPr>
          <w:p w14:paraId="6209E888"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509ABA8B" w14:textId="77777777" w:rsidTr="00395593">
        <w:trPr>
          <w:trHeight w:val="20"/>
        </w:trPr>
        <w:tc>
          <w:tcPr>
            <w:tcW w:w="1531" w:type="pct"/>
            <w:tcBorders>
              <w:top w:val="nil"/>
              <w:left w:val="single" w:sz="4" w:space="0" w:color="auto"/>
              <w:bottom w:val="nil"/>
              <w:right w:val="single" w:sz="4" w:space="0" w:color="auto"/>
            </w:tcBorders>
            <w:shd w:val="clear" w:color="auto" w:fill="auto"/>
            <w:vAlign w:val="center"/>
            <w:hideMark/>
          </w:tcPr>
          <w:p w14:paraId="4C0A3F3B"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7.5-Outras despesas operacionais</w:t>
            </w:r>
          </w:p>
        </w:tc>
        <w:tc>
          <w:tcPr>
            <w:tcW w:w="692" w:type="pct"/>
            <w:tcBorders>
              <w:top w:val="nil"/>
              <w:left w:val="nil"/>
              <w:bottom w:val="nil"/>
              <w:right w:val="nil"/>
            </w:tcBorders>
            <w:shd w:val="clear" w:color="auto" w:fill="auto"/>
            <w:vAlign w:val="center"/>
            <w:hideMark/>
          </w:tcPr>
          <w:p w14:paraId="4028A907"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72E94F47"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7B93398C"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5A139948"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9" w:type="pct"/>
            <w:tcBorders>
              <w:top w:val="nil"/>
              <w:left w:val="single" w:sz="4" w:space="0" w:color="auto"/>
              <w:bottom w:val="nil"/>
              <w:right w:val="single" w:sz="4" w:space="0" w:color="auto"/>
            </w:tcBorders>
            <w:shd w:val="clear" w:color="auto" w:fill="auto"/>
            <w:vAlign w:val="center"/>
            <w:hideMark/>
          </w:tcPr>
          <w:p w14:paraId="3CEC4EE0"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66DBB58A" w14:textId="77777777" w:rsidTr="00395593">
        <w:trPr>
          <w:trHeight w:val="20"/>
        </w:trPr>
        <w:tc>
          <w:tcPr>
            <w:tcW w:w="1531" w:type="pct"/>
            <w:tcBorders>
              <w:top w:val="single" w:sz="4" w:space="0" w:color="auto"/>
              <w:left w:val="single" w:sz="4" w:space="0" w:color="auto"/>
              <w:bottom w:val="nil"/>
              <w:right w:val="single" w:sz="4" w:space="0" w:color="auto"/>
            </w:tcBorders>
            <w:shd w:val="clear" w:color="auto" w:fill="auto"/>
            <w:vAlign w:val="center"/>
            <w:hideMark/>
          </w:tcPr>
          <w:p w14:paraId="5AF35829"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7.6-Outras receitas operacionais</w:t>
            </w:r>
          </w:p>
        </w:tc>
        <w:tc>
          <w:tcPr>
            <w:tcW w:w="692" w:type="pct"/>
            <w:tcBorders>
              <w:top w:val="nil"/>
              <w:left w:val="nil"/>
              <w:bottom w:val="nil"/>
              <w:right w:val="nil"/>
            </w:tcBorders>
            <w:shd w:val="clear" w:color="auto" w:fill="auto"/>
            <w:vAlign w:val="center"/>
            <w:hideMark/>
          </w:tcPr>
          <w:p w14:paraId="448A0BCA"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7EF317A0"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4EDE4DC2"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2" w:type="pct"/>
            <w:tcBorders>
              <w:top w:val="nil"/>
              <w:left w:val="single" w:sz="4" w:space="0" w:color="auto"/>
              <w:bottom w:val="nil"/>
              <w:right w:val="nil"/>
            </w:tcBorders>
            <w:shd w:val="clear" w:color="auto" w:fill="auto"/>
            <w:vAlign w:val="center"/>
            <w:hideMark/>
          </w:tcPr>
          <w:p w14:paraId="4159F666"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699" w:type="pct"/>
            <w:tcBorders>
              <w:top w:val="nil"/>
              <w:left w:val="single" w:sz="4" w:space="0" w:color="auto"/>
              <w:bottom w:val="nil"/>
              <w:right w:val="single" w:sz="4" w:space="0" w:color="auto"/>
            </w:tcBorders>
            <w:shd w:val="clear" w:color="auto" w:fill="auto"/>
            <w:vAlign w:val="center"/>
            <w:hideMark/>
          </w:tcPr>
          <w:p w14:paraId="334E889D"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4DC1221A" w14:textId="77777777" w:rsidTr="00395593">
        <w:trPr>
          <w:trHeight w:val="20"/>
        </w:trPr>
        <w:tc>
          <w:tcPr>
            <w:tcW w:w="15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06C6A"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8-Resultado Operacional (6-7)</w:t>
            </w:r>
          </w:p>
        </w:tc>
        <w:tc>
          <w:tcPr>
            <w:tcW w:w="692" w:type="pct"/>
            <w:tcBorders>
              <w:top w:val="single" w:sz="4" w:space="0" w:color="auto"/>
              <w:left w:val="nil"/>
              <w:bottom w:val="single" w:sz="4" w:space="0" w:color="auto"/>
              <w:right w:val="nil"/>
            </w:tcBorders>
            <w:shd w:val="clear" w:color="000000" w:fill="D9D9D9"/>
            <w:vAlign w:val="center"/>
            <w:hideMark/>
          </w:tcPr>
          <w:p w14:paraId="77DBECF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4B1E53A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657C608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2" w:type="pct"/>
            <w:tcBorders>
              <w:top w:val="single" w:sz="4" w:space="0" w:color="auto"/>
              <w:left w:val="single" w:sz="4" w:space="0" w:color="auto"/>
              <w:bottom w:val="single" w:sz="4" w:space="0" w:color="auto"/>
              <w:right w:val="nil"/>
            </w:tcBorders>
            <w:shd w:val="clear" w:color="000000" w:fill="D9D9D9"/>
            <w:vAlign w:val="center"/>
            <w:hideMark/>
          </w:tcPr>
          <w:p w14:paraId="6F8FBE4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69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882D20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bl>
    <w:p w14:paraId="05461026" w14:textId="77777777" w:rsidR="00395593" w:rsidRPr="005C5CBD" w:rsidRDefault="00395593" w:rsidP="00E15FBB">
      <w:pPr>
        <w:spacing w:after="0" w:line="240" w:lineRule="auto"/>
        <w:jc w:val="center"/>
        <w:rPr>
          <w:rFonts w:ascii="Garamond" w:eastAsia="Times New Roman" w:hAnsi="Garamond" w:cs="Calibri"/>
          <w:sz w:val="24"/>
          <w:szCs w:val="24"/>
          <w:lang w:eastAsia="pt-BR"/>
        </w:rPr>
      </w:pPr>
    </w:p>
    <w:p w14:paraId="6BE626F7" w14:textId="77777777" w:rsidR="00395593" w:rsidRPr="005C5CBD" w:rsidRDefault="00395593" w:rsidP="00E15FBB">
      <w:pPr>
        <w:spacing w:after="0" w:line="240" w:lineRule="auto"/>
        <w:jc w:val="center"/>
        <w:rPr>
          <w:rFonts w:ascii="Garamond" w:eastAsia="Times New Roman" w:hAnsi="Garamond" w:cs="Calibri"/>
          <w:sz w:val="24"/>
          <w:szCs w:val="24"/>
          <w:lang w:eastAsia="pt-BR"/>
        </w:rPr>
        <w:sectPr w:rsidR="00395593" w:rsidRPr="005C5CBD" w:rsidSect="00E15FBB">
          <w:pgSz w:w="16838" w:h="11906" w:orient="landscape"/>
          <w:pgMar w:top="1418" w:right="1417" w:bottom="1701" w:left="1418" w:header="708" w:footer="708" w:gutter="0"/>
          <w:cols w:space="708"/>
          <w:docGrid w:linePitch="360"/>
        </w:sectPr>
      </w:pPr>
    </w:p>
    <w:tbl>
      <w:tblPr>
        <w:tblW w:w="5000" w:type="pct"/>
        <w:tblCellMar>
          <w:left w:w="70" w:type="dxa"/>
          <w:right w:w="70" w:type="dxa"/>
        </w:tblCellMar>
        <w:tblLook w:val="04A0" w:firstRow="1" w:lastRow="0" w:firstColumn="1" w:lastColumn="0" w:noHBand="0" w:noVBand="1"/>
      </w:tblPr>
      <w:tblGrid>
        <w:gridCol w:w="14003"/>
      </w:tblGrid>
      <w:tr w:rsidR="00395593" w:rsidRPr="00AC0363" w14:paraId="6519895D" w14:textId="77777777" w:rsidTr="00395593">
        <w:trPr>
          <w:trHeight w:val="300"/>
        </w:trPr>
        <w:tc>
          <w:tcPr>
            <w:tcW w:w="5000" w:type="pct"/>
            <w:tcBorders>
              <w:top w:val="nil"/>
              <w:left w:val="nil"/>
              <w:bottom w:val="nil"/>
              <w:right w:val="nil"/>
            </w:tcBorders>
            <w:shd w:val="clear" w:color="auto" w:fill="auto"/>
            <w:noWrap/>
            <w:vAlign w:val="bottom"/>
            <w:hideMark/>
          </w:tcPr>
          <w:p w14:paraId="7771D58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sz w:val="24"/>
                <w:szCs w:val="24"/>
                <w:lang w:eastAsia="pt-BR"/>
              </w:rPr>
              <w:br w:type="page"/>
            </w:r>
            <w:r w:rsidRPr="005C5CBD">
              <w:rPr>
                <w:rFonts w:ascii="Garamond" w:eastAsia="Times New Roman" w:hAnsi="Garamond" w:cs="Calibri"/>
                <w:sz w:val="24"/>
                <w:szCs w:val="24"/>
                <w:lang w:eastAsia="pt-BR"/>
              </w:rPr>
              <w:br w:type="page"/>
            </w:r>
            <w:r w:rsidRPr="005C5CBD">
              <w:rPr>
                <w:rFonts w:ascii="Garamond" w:eastAsia="Times New Roman" w:hAnsi="Garamond" w:cs="Calibri"/>
                <w:b/>
                <w:color w:val="000000"/>
                <w:sz w:val="24"/>
                <w:szCs w:val="24"/>
                <w:lang w:eastAsia="pt-BR"/>
              </w:rPr>
              <w:t>APÊNDICE XIV</w:t>
            </w:r>
          </w:p>
        </w:tc>
      </w:tr>
      <w:tr w:rsidR="00395593" w:rsidRPr="00AC0363" w14:paraId="5FFE60C3" w14:textId="77777777" w:rsidTr="00395593">
        <w:trPr>
          <w:trHeight w:val="300"/>
        </w:trPr>
        <w:tc>
          <w:tcPr>
            <w:tcW w:w="5000" w:type="pct"/>
            <w:tcBorders>
              <w:top w:val="nil"/>
              <w:left w:val="nil"/>
              <w:bottom w:val="nil"/>
              <w:right w:val="nil"/>
            </w:tcBorders>
            <w:shd w:val="clear" w:color="auto" w:fill="auto"/>
            <w:noWrap/>
            <w:vAlign w:val="bottom"/>
            <w:hideMark/>
          </w:tcPr>
          <w:p w14:paraId="1FB78F3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EMPREGO</w:t>
            </w:r>
          </w:p>
        </w:tc>
      </w:tr>
    </w:tbl>
    <w:p w14:paraId="3CD2F7A0" w14:textId="77777777" w:rsidR="00395593" w:rsidRPr="005C5CBD" w:rsidRDefault="00395593" w:rsidP="00E15FBB">
      <w:pPr>
        <w:spacing w:after="0" w:line="240" w:lineRule="auto"/>
        <w:jc w:val="center"/>
        <w:rPr>
          <w:rFonts w:ascii="Garamond" w:eastAsia="Times New Roman" w:hAnsi="Garamond" w:cs="Calibri"/>
          <w:sz w:val="24"/>
          <w:szCs w:val="24"/>
          <w:lang w:eastAsia="pt-BR"/>
        </w:rPr>
      </w:pPr>
    </w:p>
    <w:tbl>
      <w:tblPr>
        <w:tblW w:w="0" w:type="auto"/>
        <w:tblCellMar>
          <w:left w:w="70" w:type="dxa"/>
          <w:right w:w="70" w:type="dxa"/>
        </w:tblCellMar>
        <w:tblLook w:val="04A0" w:firstRow="1" w:lastRow="0" w:firstColumn="1" w:lastColumn="0" w:noHBand="0" w:noVBand="1"/>
      </w:tblPr>
      <w:tblGrid>
        <w:gridCol w:w="424"/>
        <w:gridCol w:w="1055"/>
        <w:gridCol w:w="840"/>
        <w:gridCol w:w="1013"/>
        <w:gridCol w:w="1190"/>
        <w:gridCol w:w="1685"/>
        <w:gridCol w:w="953"/>
        <w:gridCol w:w="1204"/>
        <w:gridCol w:w="1743"/>
        <w:gridCol w:w="972"/>
        <w:gridCol w:w="864"/>
      </w:tblGrid>
      <w:tr w:rsidR="00395593" w:rsidRPr="00AC0363" w14:paraId="7959A56E" w14:textId="77777777" w:rsidTr="00395593">
        <w:trPr>
          <w:trHeight w:val="300"/>
        </w:trPr>
        <w:tc>
          <w:tcPr>
            <w:tcW w:w="0" w:type="auto"/>
            <w:tcBorders>
              <w:top w:val="nil"/>
              <w:left w:val="nil"/>
              <w:bottom w:val="nil"/>
              <w:right w:val="nil"/>
            </w:tcBorders>
            <w:shd w:val="clear" w:color="auto" w:fill="auto"/>
            <w:noWrap/>
            <w:vAlign w:val="bottom"/>
            <w:hideMark/>
          </w:tcPr>
          <w:p w14:paraId="0472865A"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0" w:type="auto"/>
            <w:tcBorders>
              <w:top w:val="nil"/>
              <w:left w:val="nil"/>
              <w:bottom w:val="nil"/>
              <w:right w:val="nil"/>
            </w:tcBorders>
            <w:shd w:val="clear" w:color="auto" w:fill="auto"/>
            <w:noWrap/>
            <w:vAlign w:val="bottom"/>
            <w:hideMark/>
          </w:tcPr>
          <w:p w14:paraId="3898DA47"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A966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Produto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5A67F71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Demais Linhas </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FA7E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Total </w:t>
            </w:r>
          </w:p>
        </w:tc>
      </w:tr>
      <w:tr w:rsidR="00395593" w:rsidRPr="00AC0363" w14:paraId="267A1995" w14:textId="77777777" w:rsidTr="00395593">
        <w:trPr>
          <w:trHeight w:val="300"/>
        </w:trPr>
        <w:tc>
          <w:tcPr>
            <w:tcW w:w="0" w:type="auto"/>
            <w:tcBorders>
              <w:top w:val="nil"/>
              <w:left w:val="nil"/>
              <w:bottom w:val="nil"/>
              <w:right w:val="nil"/>
            </w:tcBorders>
            <w:shd w:val="clear" w:color="auto" w:fill="auto"/>
            <w:noWrap/>
            <w:vAlign w:val="bottom"/>
            <w:hideMark/>
          </w:tcPr>
          <w:p w14:paraId="7F2C5C9A"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0" w:type="auto"/>
            <w:tcBorders>
              <w:top w:val="nil"/>
              <w:left w:val="nil"/>
              <w:bottom w:val="nil"/>
              <w:right w:val="nil"/>
            </w:tcBorders>
            <w:shd w:val="clear" w:color="auto" w:fill="auto"/>
            <w:noWrap/>
            <w:vAlign w:val="bottom"/>
            <w:hideMark/>
          </w:tcPr>
          <w:p w14:paraId="63E972A9"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09AD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Número de empregados contratados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7CA0A44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Número de empregados contratados </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39CA71BC"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r>
      <w:tr w:rsidR="00395593" w:rsidRPr="00AC0363" w14:paraId="5A53465E" w14:textId="77777777" w:rsidTr="00395593">
        <w:trPr>
          <w:trHeight w:val="225"/>
        </w:trPr>
        <w:tc>
          <w:tcPr>
            <w:tcW w:w="0" w:type="auto"/>
            <w:tcBorders>
              <w:top w:val="nil"/>
              <w:left w:val="nil"/>
              <w:bottom w:val="nil"/>
              <w:right w:val="nil"/>
            </w:tcBorders>
            <w:shd w:val="clear" w:color="auto" w:fill="auto"/>
            <w:noWrap/>
            <w:vAlign w:val="bottom"/>
            <w:hideMark/>
          </w:tcPr>
          <w:p w14:paraId="35342C44"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tcBorders>
              <w:top w:val="nil"/>
              <w:left w:val="nil"/>
              <w:bottom w:val="nil"/>
              <w:right w:val="nil"/>
            </w:tcBorders>
            <w:shd w:val="clear" w:color="auto" w:fill="auto"/>
            <w:noWrap/>
            <w:vAlign w:val="bottom"/>
            <w:hideMark/>
          </w:tcPr>
          <w:p w14:paraId="2D92FCF4"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AFEE4B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Produção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995D0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Administração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91DA6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Vendas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75C3D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Produção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E60D8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Administração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A2D84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Vendas </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7D4EFD2B"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r>
      <w:tr w:rsidR="00395593" w:rsidRPr="00AC0363" w14:paraId="7E2A68E9" w14:textId="77777777" w:rsidTr="00395593">
        <w:trPr>
          <w:trHeight w:val="300"/>
        </w:trPr>
        <w:tc>
          <w:tcPr>
            <w:tcW w:w="0" w:type="auto"/>
            <w:tcBorders>
              <w:top w:val="nil"/>
              <w:left w:val="nil"/>
              <w:bottom w:val="nil"/>
              <w:right w:val="nil"/>
            </w:tcBorders>
            <w:shd w:val="clear" w:color="auto" w:fill="auto"/>
            <w:noWrap/>
            <w:vAlign w:val="bottom"/>
            <w:hideMark/>
          </w:tcPr>
          <w:p w14:paraId="47BF65C8"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14B07723"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 xml:space="preserve">Empresa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0D72626"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Direta </w:t>
            </w:r>
          </w:p>
        </w:tc>
        <w:tc>
          <w:tcPr>
            <w:tcW w:w="0" w:type="auto"/>
            <w:tcBorders>
              <w:top w:val="nil"/>
              <w:left w:val="nil"/>
              <w:bottom w:val="single" w:sz="4" w:space="0" w:color="auto"/>
              <w:right w:val="single" w:sz="4" w:space="0" w:color="auto"/>
            </w:tcBorders>
            <w:shd w:val="clear" w:color="auto" w:fill="auto"/>
            <w:vAlign w:val="center"/>
            <w:hideMark/>
          </w:tcPr>
          <w:p w14:paraId="68DF4EA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Indireta </w:t>
            </w:r>
          </w:p>
        </w:tc>
        <w:tc>
          <w:tcPr>
            <w:tcW w:w="0" w:type="auto"/>
            <w:tcBorders>
              <w:top w:val="nil"/>
              <w:left w:val="nil"/>
              <w:bottom w:val="single" w:sz="4" w:space="0" w:color="auto"/>
              <w:right w:val="single" w:sz="4" w:space="0" w:color="auto"/>
            </w:tcBorders>
            <w:shd w:val="clear" w:color="auto" w:fill="auto"/>
            <w:vAlign w:val="center"/>
            <w:hideMark/>
          </w:tcPr>
          <w:p w14:paraId="59D8539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Sub Total </w:t>
            </w:r>
          </w:p>
        </w:tc>
        <w:tc>
          <w:tcPr>
            <w:tcW w:w="0" w:type="auto"/>
            <w:vMerge/>
            <w:tcBorders>
              <w:top w:val="nil"/>
              <w:left w:val="single" w:sz="4" w:space="0" w:color="auto"/>
              <w:bottom w:val="single" w:sz="4" w:space="0" w:color="auto"/>
              <w:right w:val="single" w:sz="4" w:space="0" w:color="auto"/>
            </w:tcBorders>
            <w:vAlign w:val="center"/>
            <w:hideMark/>
          </w:tcPr>
          <w:p w14:paraId="5B0CF27F"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vMerge/>
            <w:tcBorders>
              <w:top w:val="nil"/>
              <w:left w:val="single" w:sz="4" w:space="0" w:color="auto"/>
              <w:bottom w:val="single" w:sz="4" w:space="0" w:color="auto"/>
              <w:right w:val="single" w:sz="4" w:space="0" w:color="auto"/>
            </w:tcBorders>
            <w:vAlign w:val="center"/>
            <w:hideMark/>
          </w:tcPr>
          <w:p w14:paraId="1ABFD605"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vMerge/>
            <w:tcBorders>
              <w:top w:val="nil"/>
              <w:left w:val="single" w:sz="4" w:space="0" w:color="auto"/>
              <w:bottom w:val="single" w:sz="4" w:space="0" w:color="auto"/>
              <w:right w:val="single" w:sz="4" w:space="0" w:color="auto"/>
            </w:tcBorders>
            <w:vAlign w:val="center"/>
            <w:hideMark/>
          </w:tcPr>
          <w:p w14:paraId="4C823629"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vMerge/>
            <w:tcBorders>
              <w:top w:val="nil"/>
              <w:left w:val="single" w:sz="4" w:space="0" w:color="auto"/>
              <w:bottom w:val="single" w:sz="4" w:space="0" w:color="auto"/>
              <w:right w:val="single" w:sz="4" w:space="0" w:color="auto"/>
            </w:tcBorders>
            <w:vAlign w:val="center"/>
            <w:hideMark/>
          </w:tcPr>
          <w:p w14:paraId="3A64B383"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vMerge/>
            <w:tcBorders>
              <w:top w:val="nil"/>
              <w:left w:val="single" w:sz="4" w:space="0" w:color="auto"/>
              <w:bottom w:val="single" w:sz="4" w:space="0" w:color="auto"/>
              <w:right w:val="single" w:sz="4" w:space="0" w:color="auto"/>
            </w:tcBorders>
            <w:vAlign w:val="center"/>
            <w:hideMark/>
          </w:tcPr>
          <w:p w14:paraId="444782A7"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066C2740"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r>
      <w:tr w:rsidR="00395593" w:rsidRPr="00AC0363" w14:paraId="729A184D" w14:textId="77777777" w:rsidTr="00395593">
        <w:trPr>
          <w:trHeight w:val="48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C07A85C"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Período</w:t>
            </w:r>
          </w:p>
        </w:tc>
        <w:tc>
          <w:tcPr>
            <w:tcW w:w="0" w:type="auto"/>
            <w:tcBorders>
              <w:top w:val="nil"/>
              <w:left w:val="nil"/>
              <w:bottom w:val="single" w:sz="4" w:space="0" w:color="auto"/>
              <w:right w:val="single" w:sz="4" w:space="0" w:color="auto"/>
            </w:tcBorders>
            <w:shd w:val="clear" w:color="auto" w:fill="auto"/>
            <w:vAlign w:val="center"/>
            <w:hideMark/>
          </w:tcPr>
          <w:p w14:paraId="0CD292B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P1</w:t>
            </w:r>
          </w:p>
        </w:tc>
        <w:tc>
          <w:tcPr>
            <w:tcW w:w="0" w:type="auto"/>
            <w:tcBorders>
              <w:top w:val="nil"/>
              <w:left w:val="nil"/>
              <w:bottom w:val="nil"/>
              <w:right w:val="nil"/>
            </w:tcBorders>
            <w:shd w:val="clear" w:color="auto" w:fill="auto"/>
            <w:vAlign w:val="center"/>
            <w:hideMark/>
          </w:tcPr>
          <w:p w14:paraId="0552256F"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c>
          <w:tcPr>
            <w:tcW w:w="0" w:type="auto"/>
            <w:tcBorders>
              <w:top w:val="nil"/>
              <w:left w:val="single" w:sz="4" w:space="0" w:color="auto"/>
              <w:bottom w:val="nil"/>
              <w:right w:val="single" w:sz="4" w:space="0" w:color="auto"/>
            </w:tcBorders>
            <w:shd w:val="clear" w:color="auto" w:fill="auto"/>
            <w:vAlign w:val="center"/>
            <w:hideMark/>
          </w:tcPr>
          <w:p w14:paraId="3B72CF58"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0" w:type="auto"/>
            <w:tcBorders>
              <w:top w:val="nil"/>
              <w:left w:val="nil"/>
              <w:bottom w:val="nil"/>
              <w:right w:val="single" w:sz="4" w:space="0" w:color="auto"/>
            </w:tcBorders>
            <w:shd w:val="clear" w:color="000000" w:fill="D9D9D9"/>
            <w:vAlign w:val="center"/>
            <w:hideMark/>
          </w:tcPr>
          <w:p w14:paraId="3E89296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0" w:type="auto"/>
            <w:tcBorders>
              <w:top w:val="nil"/>
              <w:left w:val="nil"/>
              <w:bottom w:val="nil"/>
              <w:right w:val="single" w:sz="4" w:space="0" w:color="auto"/>
            </w:tcBorders>
            <w:shd w:val="clear" w:color="auto" w:fill="auto"/>
            <w:vAlign w:val="center"/>
            <w:hideMark/>
          </w:tcPr>
          <w:p w14:paraId="2F06245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19ADFCB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42C4FF2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1A7C582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2F4D93E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864" w:type="dxa"/>
            <w:tcBorders>
              <w:top w:val="nil"/>
              <w:left w:val="nil"/>
              <w:bottom w:val="nil"/>
              <w:right w:val="single" w:sz="4" w:space="0" w:color="auto"/>
            </w:tcBorders>
            <w:shd w:val="clear" w:color="000000" w:fill="F2F2F2"/>
            <w:vAlign w:val="center"/>
            <w:hideMark/>
          </w:tcPr>
          <w:p w14:paraId="4E2EC07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AC0363" w14:paraId="1D9A890D" w14:textId="77777777" w:rsidTr="00395593">
        <w:trPr>
          <w:trHeight w:val="48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CA32CF9"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3B010E9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P2</w:t>
            </w:r>
          </w:p>
        </w:tc>
        <w:tc>
          <w:tcPr>
            <w:tcW w:w="0" w:type="auto"/>
            <w:tcBorders>
              <w:top w:val="nil"/>
              <w:left w:val="nil"/>
              <w:bottom w:val="nil"/>
              <w:right w:val="nil"/>
            </w:tcBorders>
            <w:shd w:val="clear" w:color="auto" w:fill="auto"/>
            <w:vAlign w:val="center"/>
            <w:hideMark/>
          </w:tcPr>
          <w:p w14:paraId="329AAC26"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c>
          <w:tcPr>
            <w:tcW w:w="0" w:type="auto"/>
            <w:tcBorders>
              <w:top w:val="nil"/>
              <w:left w:val="single" w:sz="4" w:space="0" w:color="auto"/>
              <w:bottom w:val="nil"/>
              <w:right w:val="single" w:sz="4" w:space="0" w:color="auto"/>
            </w:tcBorders>
            <w:shd w:val="clear" w:color="auto" w:fill="auto"/>
            <w:vAlign w:val="center"/>
            <w:hideMark/>
          </w:tcPr>
          <w:p w14:paraId="72CB0518"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0" w:type="auto"/>
            <w:tcBorders>
              <w:top w:val="nil"/>
              <w:left w:val="nil"/>
              <w:bottom w:val="nil"/>
              <w:right w:val="single" w:sz="4" w:space="0" w:color="auto"/>
            </w:tcBorders>
            <w:shd w:val="clear" w:color="000000" w:fill="D9D9D9"/>
            <w:vAlign w:val="center"/>
            <w:hideMark/>
          </w:tcPr>
          <w:p w14:paraId="718F5B0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0" w:type="auto"/>
            <w:tcBorders>
              <w:top w:val="nil"/>
              <w:left w:val="nil"/>
              <w:bottom w:val="nil"/>
              <w:right w:val="single" w:sz="4" w:space="0" w:color="auto"/>
            </w:tcBorders>
            <w:shd w:val="clear" w:color="auto" w:fill="auto"/>
            <w:vAlign w:val="center"/>
            <w:hideMark/>
          </w:tcPr>
          <w:p w14:paraId="23A34E2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4AF9A30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65EF34B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24C6BBD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7720A24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864" w:type="dxa"/>
            <w:tcBorders>
              <w:top w:val="nil"/>
              <w:left w:val="nil"/>
              <w:bottom w:val="nil"/>
              <w:right w:val="single" w:sz="4" w:space="0" w:color="auto"/>
            </w:tcBorders>
            <w:shd w:val="clear" w:color="000000" w:fill="F2F2F2"/>
            <w:vAlign w:val="center"/>
            <w:hideMark/>
          </w:tcPr>
          <w:p w14:paraId="39FF98E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AC0363" w14:paraId="004A6658" w14:textId="77777777" w:rsidTr="00395593">
        <w:trPr>
          <w:trHeight w:val="48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C88801A"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2BA7511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P3</w:t>
            </w:r>
          </w:p>
        </w:tc>
        <w:tc>
          <w:tcPr>
            <w:tcW w:w="0" w:type="auto"/>
            <w:tcBorders>
              <w:top w:val="nil"/>
              <w:left w:val="nil"/>
              <w:bottom w:val="nil"/>
              <w:right w:val="nil"/>
            </w:tcBorders>
            <w:shd w:val="clear" w:color="auto" w:fill="auto"/>
            <w:vAlign w:val="center"/>
            <w:hideMark/>
          </w:tcPr>
          <w:p w14:paraId="4CDFC669"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c>
          <w:tcPr>
            <w:tcW w:w="0" w:type="auto"/>
            <w:tcBorders>
              <w:top w:val="nil"/>
              <w:left w:val="single" w:sz="4" w:space="0" w:color="auto"/>
              <w:bottom w:val="nil"/>
              <w:right w:val="single" w:sz="4" w:space="0" w:color="auto"/>
            </w:tcBorders>
            <w:shd w:val="clear" w:color="auto" w:fill="auto"/>
            <w:vAlign w:val="center"/>
            <w:hideMark/>
          </w:tcPr>
          <w:p w14:paraId="3FCB942B"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0" w:type="auto"/>
            <w:tcBorders>
              <w:top w:val="nil"/>
              <w:left w:val="nil"/>
              <w:bottom w:val="nil"/>
              <w:right w:val="single" w:sz="4" w:space="0" w:color="auto"/>
            </w:tcBorders>
            <w:shd w:val="clear" w:color="000000" w:fill="D9D9D9"/>
            <w:vAlign w:val="center"/>
            <w:hideMark/>
          </w:tcPr>
          <w:p w14:paraId="0000104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0" w:type="auto"/>
            <w:tcBorders>
              <w:top w:val="nil"/>
              <w:left w:val="nil"/>
              <w:bottom w:val="nil"/>
              <w:right w:val="single" w:sz="4" w:space="0" w:color="auto"/>
            </w:tcBorders>
            <w:shd w:val="clear" w:color="auto" w:fill="auto"/>
            <w:vAlign w:val="center"/>
            <w:hideMark/>
          </w:tcPr>
          <w:p w14:paraId="1D7D921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755B5B5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4CCB38EC"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2B53916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3FFCC8F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864" w:type="dxa"/>
            <w:tcBorders>
              <w:top w:val="nil"/>
              <w:left w:val="nil"/>
              <w:bottom w:val="nil"/>
              <w:right w:val="single" w:sz="4" w:space="0" w:color="auto"/>
            </w:tcBorders>
            <w:shd w:val="clear" w:color="000000" w:fill="F2F2F2"/>
            <w:vAlign w:val="center"/>
            <w:hideMark/>
          </w:tcPr>
          <w:p w14:paraId="5FB6BBA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AC0363" w14:paraId="02A9A978" w14:textId="77777777" w:rsidTr="00395593">
        <w:trPr>
          <w:trHeight w:val="48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144DB91"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09A819D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P4</w:t>
            </w:r>
          </w:p>
        </w:tc>
        <w:tc>
          <w:tcPr>
            <w:tcW w:w="0" w:type="auto"/>
            <w:tcBorders>
              <w:top w:val="nil"/>
              <w:left w:val="nil"/>
              <w:bottom w:val="nil"/>
              <w:right w:val="nil"/>
            </w:tcBorders>
            <w:shd w:val="clear" w:color="auto" w:fill="auto"/>
            <w:vAlign w:val="center"/>
            <w:hideMark/>
          </w:tcPr>
          <w:p w14:paraId="10F48FB3"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c>
          <w:tcPr>
            <w:tcW w:w="0" w:type="auto"/>
            <w:tcBorders>
              <w:top w:val="nil"/>
              <w:left w:val="single" w:sz="4" w:space="0" w:color="auto"/>
              <w:bottom w:val="nil"/>
              <w:right w:val="single" w:sz="4" w:space="0" w:color="auto"/>
            </w:tcBorders>
            <w:shd w:val="clear" w:color="auto" w:fill="auto"/>
            <w:vAlign w:val="center"/>
            <w:hideMark/>
          </w:tcPr>
          <w:p w14:paraId="11396ECB"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0" w:type="auto"/>
            <w:tcBorders>
              <w:top w:val="nil"/>
              <w:left w:val="nil"/>
              <w:bottom w:val="nil"/>
              <w:right w:val="single" w:sz="4" w:space="0" w:color="auto"/>
            </w:tcBorders>
            <w:shd w:val="clear" w:color="000000" w:fill="D9D9D9"/>
            <w:vAlign w:val="center"/>
            <w:hideMark/>
          </w:tcPr>
          <w:p w14:paraId="635C0E0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0" w:type="auto"/>
            <w:tcBorders>
              <w:top w:val="nil"/>
              <w:left w:val="nil"/>
              <w:bottom w:val="nil"/>
              <w:right w:val="single" w:sz="4" w:space="0" w:color="auto"/>
            </w:tcBorders>
            <w:shd w:val="clear" w:color="auto" w:fill="auto"/>
            <w:vAlign w:val="center"/>
            <w:hideMark/>
          </w:tcPr>
          <w:p w14:paraId="5D9309C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6CEB961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24EB1A4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6A5ACDC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38965FC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864" w:type="dxa"/>
            <w:tcBorders>
              <w:top w:val="nil"/>
              <w:left w:val="nil"/>
              <w:bottom w:val="nil"/>
              <w:right w:val="single" w:sz="4" w:space="0" w:color="auto"/>
            </w:tcBorders>
            <w:shd w:val="clear" w:color="000000" w:fill="F2F2F2"/>
            <w:vAlign w:val="center"/>
            <w:hideMark/>
          </w:tcPr>
          <w:p w14:paraId="7BE45BF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AC0363" w14:paraId="58AC4828" w14:textId="77777777" w:rsidTr="00395593">
        <w:trPr>
          <w:trHeight w:val="48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1D708AE"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7174DBD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P5</w:t>
            </w:r>
          </w:p>
        </w:tc>
        <w:tc>
          <w:tcPr>
            <w:tcW w:w="0" w:type="auto"/>
            <w:tcBorders>
              <w:top w:val="nil"/>
              <w:left w:val="nil"/>
              <w:bottom w:val="single" w:sz="4" w:space="0" w:color="auto"/>
              <w:right w:val="nil"/>
            </w:tcBorders>
            <w:shd w:val="clear" w:color="auto" w:fill="auto"/>
            <w:vAlign w:val="center"/>
            <w:hideMark/>
          </w:tcPr>
          <w:p w14:paraId="2B23D0A1"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07896E"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0" w:type="auto"/>
            <w:tcBorders>
              <w:top w:val="nil"/>
              <w:left w:val="nil"/>
              <w:bottom w:val="single" w:sz="4" w:space="0" w:color="auto"/>
              <w:right w:val="single" w:sz="4" w:space="0" w:color="auto"/>
            </w:tcBorders>
            <w:shd w:val="clear" w:color="000000" w:fill="D9D9D9"/>
            <w:vAlign w:val="center"/>
            <w:hideMark/>
          </w:tcPr>
          <w:p w14:paraId="74300BB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0" w:type="auto"/>
            <w:tcBorders>
              <w:top w:val="nil"/>
              <w:left w:val="nil"/>
              <w:bottom w:val="single" w:sz="4" w:space="0" w:color="auto"/>
              <w:right w:val="single" w:sz="4" w:space="0" w:color="auto"/>
            </w:tcBorders>
            <w:shd w:val="clear" w:color="auto" w:fill="auto"/>
            <w:vAlign w:val="center"/>
            <w:hideMark/>
          </w:tcPr>
          <w:p w14:paraId="723F3623"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7E0CCCE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4C1CD0C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0882DBBC"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1F34629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864" w:type="dxa"/>
            <w:tcBorders>
              <w:top w:val="nil"/>
              <w:left w:val="nil"/>
              <w:bottom w:val="single" w:sz="4" w:space="0" w:color="auto"/>
              <w:right w:val="single" w:sz="4" w:space="0" w:color="auto"/>
            </w:tcBorders>
            <w:shd w:val="clear" w:color="000000" w:fill="F2F2F2"/>
            <w:vAlign w:val="center"/>
            <w:hideMark/>
          </w:tcPr>
          <w:p w14:paraId="37B5E8A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bl>
    <w:p w14:paraId="6459046A" w14:textId="77777777" w:rsidR="00395593" w:rsidRPr="005C5CBD" w:rsidRDefault="00395593" w:rsidP="00E15FBB">
      <w:pPr>
        <w:spacing w:after="0" w:line="240" w:lineRule="auto"/>
        <w:jc w:val="center"/>
        <w:rPr>
          <w:rFonts w:ascii="Garamond" w:eastAsia="Times New Roman" w:hAnsi="Garamond" w:cs="Calibri"/>
          <w:sz w:val="24"/>
          <w:szCs w:val="24"/>
          <w:lang w:eastAsia="pt-BR"/>
        </w:rPr>
      </w:pPr>
    </w:p>
    <w:tbl>
      <w:tblPr>
        <w:tblW w:w="0" w:type="auto"/>
        <w:tblCellMar>
          <w:left w:w="70" w:type="dxa"/>
          <w:right w:w="70" w:type="dxa"/>
        </w:tblCellMar>
        <w:tblLook w:val="04A0" w:firstRow="1" w:lastRow="0" w:firstColumn="1" w:lastColumn="0" w:noHBand="0" w:noVBand="1"/>
      </w:tblPr>
      <w:tblGrid>
        <w:gridCol w:w="424"/>
        <w:gridCol w:w="1055"/>
        <w:gridCol w:w="840"/>
        <w:gridCol w:w="1013"/>
        <w:gridCol w:w="1190"/>
        <w:gridCol w:w="1685"/>
        <w:gridCol w:w="953"/>
        <w:gridCol w:w="1220"/>
        <w:gridCol w:w="1766"/>
        <w:gridCol w:w="985"/>
        <w:gridCol w:w="743"/>
      </w:tblGrid>
      <w:tr w:rsidR="00395593" w:rsidRPr="00AC0363" w14:paraId="248CC9DE" w14:textId="77777777" w:rsidTr="00395593">
        <w:trPr>
          <w:trHeight w:val="300"/>
        </w:trPr>
        <w:tc>
          <w:tcPr>
            <w:tcW w:w="0" w:type="auto"/>
            <w:tcBorders>
              <w:top w:val="nil"/>
              <w:left w:val="nil"/>
              <w:bottom w:val="nil"/>
              <w:right w:val="nil"/>
            </w:tcBorders>
            <w:shd w:val="clear" w:color="auto" w:fill="auto"/>
            <w:noWrap/>
            <w:vAlign w:val="bottom"/>
            <w:hideMark/>
          </w:tcPr>
          <w:p w14:paraId="460B4733"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0" w:type="auto"/>
            <w:tcBorders>
              <w:top w:val="nil"/>
              <w:left w:val="nil"/>
              <w:bottom w:val="nil"/>
              <w:right w:val="nil"/>
            </w:tcBorders>
            <w:shd w:val="clear" w:color="auto" w:fill="auto"/>
            <w:noWrap/>
            <w:vAlign w:val="bottom"/>
            <w:hideMark/>
          </w:tcPr>
          <w:p w14:paraId="39B7508F"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9A606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Produto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6571432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Demais Linhas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52B2DE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Total </w:t>
            </w:r>
          </w:p>
        </w:tc>
      </w:tr>
      <w:tr w:rsidR="00395593" w:rsidRPr="00AC0363" w14:paraId="7885FCFA" w14:textId="77777777" w:rsidTr="00395593">
        <w:trPr>
          <w:trHeight w:val="300"/>
        </w:trPr>
        <w:tc>
          <w:tcPr>
            <w:tcW w:w="0" w:type="auto"/>
            <w:tcBorders>
              <w:top w:val="nil"/>
              <w:left w:val="nil"/>
              <w:bottom w:val="nil"/>
              <w:right w:val="nil"/>
            </w:tcBorders>
            <w:shd w:val="clear" w:color="auto" w:fill="auto"/>
            <w:noWrap/>
            <w:vAlign w:val="bottom"/>
            <w:hideMark/>
          </w:tcPr>
          <w:p w14:paraId="4829000C"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0" w:type="auto"/>
            <w:tcBorders>
              <w:top w:val="nil"/>
              <w:left w:val="nil"/>
              <w:bottom w:val="nil"/>
              <w:right w:val="nil"/>
            </w:tcBorders>
            <w:shd w:val="clear" w:color="auto" w:fill="auto"/>
            <w:noWrap/>
            <w:vAlign w:val="bottom"/>
            <w:hideMark/>
          </w:tcPr>
          <w:p w14:paraId="67F3A140"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7E0CB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Número de terceirizados contratados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66BB652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Número de terceirizados contratados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E23A537"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r>
      <w:tr w:rsidR="00395593" w:rsidRPr="00AC0363" w14:paraId="5F76DC2D" w14:textId="77777777" w:rsidTr="00395593">
        <w:trPr>
          <w:trHeight w:val="225"/>
        </w:trPr>
        <w:tc>
          <w:tcPr>
            <w:tcW w:w="0" w:type="auto"/>
            <w:tcBorders>
              <w:top w:val="nil"/>
              <w:left w:val="nil"/>
              <w:bottom w:val="nil"/>
              <w:right w:val="nil"/>
            </w:tcBorders>
            <w:shd w:val="clear" w:color="auto" w:fill="auto"/>
            <w:noWrap/>
            <w:vAlign w:val="bottom"/>
            <w:hideMark/>
          </w:tcPr>
          <w:p w14:paraId="47470665"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tcBorders>
              <w:top w:val="nil"/>
              <w:left w:val="nil"/>
              <w:bottom w:val="nil"/>
              <w:right w:val="nil"/>
            </w:tcBorders>
            <w:shd w:val="clear" w:color="auto" w:fill="auto"/>
            <w:noWrap/>
            <w:vAlign w:val="bottom"/>
            <w:hideMark/>
          </w:tcPr>
          <w:p w14:paraId="0ACD2909"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BABF7A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Produção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F4913D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Administração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18B0C4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Vendas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62CC3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Produção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4164A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Administração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AC0081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Vendas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403C3AF"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r>
      <w:tr w:rsidR="00395593" w:rsidRPr="00AC0363" w14:paraId="0DF2A1F1" w14:textId="77777777" w:rsidTr="00395593">
        <w:trPr>
          <w:trHeight w:val="300"/>
        </w:trPr>
        <w:tc>
          <w:tcPr>
            <w:tcW w:w="0" w:type="auto"/>
            <w:tcBorders>
              <w:top w:val="nil"/>
              <w:left w:val="nil"/>
              <w:bottom w:val="nil"/>
              <w:right w:val="nil"/>
            </w:tcBorders>
            <w:shd w:val="clear" w:color="auto" w:fill="auto"/>
            <w:noWrap/>
            <w:vAlign w:val="bottom"/>
            <w:hideMark/>
          </w:tcPr>
          <w:p w14:paraId="6DE98EC0"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341644E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FF0000"/>
                <w:sz w:val="24"/>
                <w:szCs w:val="24"/>
                <w:lang w:eastAsia="pt-BR"/>
              </w:rPr>
              <w:t xml:space="preserve">Empresa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55D193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Direta </w:t>
            </w:r>
          </w:p>
        </w:tc>
        <w:tc>
          <w:tcPr>
            <w:tcW w:w="0" w:type="auto"/>
            <w:tcBorders>
              <w:top w:val="nil"/>
              <w:left w:val="nil"/>
              <w:bottom w:val="single" w:sz="4" w:space="0" w:color="auto"/>
              <w:right w:val="single" w:sz="4" w:space="0" w:color="auto"/>
            </w:tcBorders>
            <w:shd w:val="clear" w:color="auto" w:fill="auto"/>
            <w:vAlign w:val="center"/>
            <w:hideMark/>
          </w:tcPr>
          <w:p w14:paraId="6F9D5CF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Indireta </w:t>
            </w:r>
          </w:p>
        </w:tc>
        <w:tc>
          <w:tcPr>
            <w:tcW w:w="0" w:type="auto"/>
            <w:tcBorders>
              <w:top w:val="nil"/>
              <w:left w:val="nil"/>
              <w:bottom w:val="single" w:sz="4" w:space="0" w:color="auto"/>
              <w:right w:val="single" w:sz="4" w:space="0" w:color="auto"/>
            </w:tcBorders>
            <w:shd w:val="clear" w:color="auto" w:fill="auto"/>
            <w:vAlign w:val="center"/>
            <w:hideMark/>
          </w:tcPr>
          <w:p w14:paraId="030592C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Sub Total </w:t>
            </w:r>
          </w:p>
        </w:tc>
        <w:tc>
          <w:tcPr>
            <w:tcW w:w="0" w:type="auto"/>
            <w:vMerge/>
            <w:tcBorders>
              <w:top w:val="nil"/>
              <w:left w:val="single" w:sz="4" w:space="0" w:color="auto"/>
              <w:bottom w:val="single" w:sz="4" w:space="0" w:color="000000"/>
              <w:right w:val="single" w:sz="4" w:space="0" w:color="auto"/>
            </w:tcBorders>
            <w:vAlign w:val="center"/>
            <w:hideMark/>
          </w:tcPr>
          <w:p w14:paraId="07DDBF88"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vMerge/>
            <w:tcBorders>
              <w:top w:val="nil"/>
              <w:left w:val="single" w:sz="4" w:space="0" w:color="auto"/>
              <w:bottom w:val="single" w:sz="4" w:space="0" w:color="000000"/>
              <w:right w:val="single" w:sz="4" w:space="0" w:color="auto"/>
            </w:tcBorders>
            <w:vAlign w:val="center"/>
            <w:hideMark/>
          </w:tcPr>
          <w:p w14:paraId="61097DF4"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vMerge/>
            <w:tcBorders>
              <w:top w:val="nil"/>
              <w:left w:val="single" w:sz="4" w:space="0" w:color="auto"/>
              <w:bottom w:val="single" w:sz="4" w:space="0" w:color="auto"/>
              <w:right w:val="single" w:sz="4" w:space="0" w:color="auto"/>
            </w:tcBorders>
            <w:vAlign w:val="center"/>
            <w:hideMark/>
          </w:tcPr>
          <w:p w14:paraId="4431D74B"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vMerge/>
            <w:tcBorders>
              <w:top w:val="nil"/>
              <w:left w:val="single" w:sz="4" w:space="0" w:color="auto"/>
              <w:bottom w:val="single" w:sz="4" w:space="0" w:color="auto"/>
              <w:right w:val="single" w:sz="4" w:space="0" w:color="auto"/>
            </w:tcBorders>
            <w:vAlign w:val="center"/>
            <w:hideMark/>
          </w:tcPr>
          <w:p w14:paraId="471D24BF"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vMerge/>
            <w:tcBorders>
              <w:top w:val="nil"/>
              <w:left w:val="single" w:sz="4" w:space="0" w:color="auto"/>
              <w:bottom w:val="single" w:sz="4" w:space="0" w:color="auto"/>
              <w:right w:val="single" w:sz="4" w:space="0" w:color="auto"/>
            </w:tcBorders>
            <w:vAlign w:val="center"/>
            <w:hideMark/>
          </w:tcPr>
          <w:p w14:paraId="44179EAF"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2F7D9C"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r>
      <w:tr w:rsidR="00395593" w:rsidRPr="00AC0363" w14:paraId="017A65A1" w14:textId="77777777" w:rsidTr="00395593">
        <w:trPr>
          <w:trHeight w:val="48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03B4CF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Período</w:t>
            </w:r>
          </w:p>
        </w:tc>
        <w:tc>
          <w:tcPr>
            <w:tcW w:w="0" w:type="auto"/>
            <w:tcBorders>
              <w:top w:val="nil"/>
              <w:left w:val="nil"/>
              <w:bottom w:val="single" w:sz="4" w:space="0" w:color="auto"/>
              <w:right w:val="single" w:sz="4" w:space="0" w:color="auto"/>
            </w:tcBorders>
            <w:shd w:val="clear" w:color="auto" w:fill="auto"/>
            <w:vAlign w:val="center"/>
            <w:hideMark/>
          </w:tcPr>
          <w:p w14:paraId="6E04F606"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P1</w:t>
            </w:r>
          </w:p>
        </w:tc>
        <w:tc>
          <w:tcPr>
            <w:tcW w:w="0" w:type="auto"/>
            <w:tcBorders>
              <w:top w:val="nil"/>
              <w:left w:val="nil"/>
              <w:bottom w:val="nil"/>
              <w:right w:val="nil"/>
            </w:tcBorders>
            <w:shd w:val="clear" w:color="auto" w:fill="auto"/>
            <w:vAlign w:val="center"/>
            <w:hideMark/>
          </w:tcPr>
          <w:p w14:paraId="4F5F30E6"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c>
          <w:tcPr>
            <w:tcW w:w="0" w:type="auto"/>
            <w:tcBorders>
              <w:top w:val="nil"/>
              <w:left w:val="single" w:sz="4" w:space="0" w:color="auto"/>
              <w:bottom w:val="nil"/>
              <w:right w:val="single" w:sz="4" w:space="0" w:color="auto"/>
            </w:tcBorders>
            <w:shd w:val="clear" w:color="auto" w:fill="auto"/>
            <w:vAlign w:val="center"/>
            <w:hideMark/>
          </w:tcPr>
          <w:p w14:paraId="11E3D6FA"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0" w:type="auto"/>
            <w:tcBorders>
              <w:top w:val="nil"/>
              <w:left w:val="nil"/>
              <w:bottom w:val="nil"/>
              <w:right w:val="single" w:sz="4" w:space="0" w:color="auto"/>
            </w:tcBorders>
            <w:shd w:val="clear" w:color="000000" w:fill="D9D9D9"/>
            <w:vAlign w:val="center"/>
            <w:hideMark/>
          </w:tcPr>
          <w:p w14:paraId="6CBAEC1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0" w:type="auto"/>
            <w:tcBorders>
              <w:top w:val="nil"/>
              <w:left w:val="nil"/>
              <w:bottom w:val="nil"/>
              <w:right w:val="single" w:sz="4" w:space="0" w:color="auto"/>
            </w:tcBorders>
            <w:shd w:val="clear" w:color="auto" w:fill="auto"/>
            <w:vAlign w:val="center"/>
            <w:hideMark/>
          </w:tcPr>
          <w:p w14:paraId="5A0116A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76D0250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2A29FF4C"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2833DA7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685077C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000000" w:fill="F2F2F2"/>
            <w:vAlign w:val="center"/>
            <w:hideMark/>
          </w:tcPr>
          <w:p w14:paraId="721096E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AC0363" w14:paraId="4C3403B8" w14:textId="77777777" w:rsidTr="00395593">
        <w:trPr>
          <w:trHeight w:val="48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F998410"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4F6C4AF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P2</w:t>
            </w:r>
          </w:p>
        </w:tc>
        <w:tc>
          <w:tcPr>
            <w:tcW w:w="0" w:type="auto"/>
            <w:tcBorders>
              <w:top w:val="nil"/>
              <w:left w:val="nil"/>
              <w:bottom w:val="nil"/>
              <w:right w:val="nil"/>
            </w:tcBorders>
            <w:shd w:val="clear" w:color="auto" w:fill="auto"/>
            <w:vAlign w:val="center"/>
            <w:hideMark/>
          </w:tcPr>
          <w:p w14:paraId="08846296"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c>
          <w:tcPr>
            <w:tcW w:w="0" w:type="auto"/>
            <w:tcBorders>
              <w:top w:val="nil"/>
              <w:left w:val="single" w:sz="4" w:space="0" w:color="auto"/>
              <w:bottom w:val="nil"/>
              <w:right w:val="single" w:sz="4" w:space="0" w:color="auto"/>
            </w:tcBorders>
            <w:shd w:val="clear" w:color="auto" w:fill="auto"/>
            <w:vAlign w:val="center"/>
            <w:hideMark/>
          </w:tcPr>
          <w:p w14:paraId="59C6D634"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0" w:type="auto"/>
            <w:tcBorders>
              <w:top w:val="nil"/>
              <w:left w:val="nil"/>
              <w:bottom w:val="nil"/>
              <w:right w:val="single" w:sz="4" w:space="0" w:color="auto"/>
            </w:tcBorders>
            <w:shd w:val="clear" w:color="000000" w:fill="D9D9D9"/>
            <w:vAlign w:val="center"/>
            <w:hideMark/>
          </w:tcPr>
          <w:p w14:paraId="3C146E3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0" w:type="auto"/>
            <w:tcBorders>
              <w:top w:val="nil"/>
              <w:left w:val="nil"/>
              <w:bottom w:val="nil"/>
              <w:right w:val="single" w:sz="4" w:space="0" w:color="auto"/>
            </w:tcBorders>
            <w:shd w:val="clear" w:color="auto" w:fill="auto"/>
            <w:vAlign w:val="center"/>
            <w:hideMark/>
          </w:tcPr>
          <w:p w14:paraId="76D43DD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475469F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0C72306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13B89D9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2C81809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000000" w:fill="F2F2F2"/>
            <w:vAlign w:val="center"/>
            <w:hideMark/>
          </w:tcPr>
          <w:p w14:paraId="7F2F148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AC0363" w14:paraId="4C63ED07" w14:textId="77777777" w:rsidTr="00395593">
        <w:trPr>
          <w:trHeight w:val="48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27F80FD"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708426E6"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P3</w:t>
            </w:r>
          </w:p>
        </w:tc>
        <w:tc>
          <w:tcPr>
            <w:tcW w:w="0" w:type="auto"/>
            <w:tcBorders>
              <w:top w:val="nil"/>
              <w:left w:val="nil"/>
              <w:bottom w:val="nil"/>
              <w:right w:val="nil"/>
            </w:tcBorders>
            <w:shd w:val="clear" w:color="auto" w:fill="auto"/>
            <w:vAlign w:val="center"/>
            <w:hideMark/>
          </w:tcPr>
          <w:p w14:paraId="18D54038"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c>
          <w:tcPr>
            <w:tcW w:w="0" w:type="auto"/>
            <w:tcBorders>
              <w:top w:val="nil"/>
              <w:left w:val="single" w:sz="4" w:space="0" w:color="auto"/>
              <w:bottom w:val="nil"/>
              <w:right w:val="single" w:sz="4" w:space="0" w:color="auto"/>
            </w:tcBorders>
            <w:shd w:val="clear" w:color="auto" w:fill="auto"/>
            <w:vAlign w:val="center"/>
            <w:hideMark/>
          </w:tcPr>
          <w:p w14:paraId="480D55B9"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0" w:type="auto"/>
            <w:tcBorders>
              <w:top w:val="nil"/>
              <w:left w:val="nil"/>
              <w:bottom w:val="nil"/>
              <w:right w:val="single" w:sz="4" w:space="0" w:color="auto"/>
            </w:tcBorders>
            <w:shd w:val="clear" w:color="000000" w:fill="D9D9D9"/>
            <w:vAlign w:val="center"/>
            <w:hideMark/>
          </w:tcPr>
          <w:p w14:paraId="429E689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0" w:type="auto"/>
            <w:tcBorders>
              <w:top w:val="nil"/>
              <w:left w:val="nil"/>
              <w:bottom w:val="nil"/>
              <w:right w:val="single" w:sz="4" w:space="0" w:color="auto"/>
            </w:tcBorders>
            <w:shd w:val="clear" w:color="auto" w:fill="auto"/>
            <w:vAlign w:val="center"/>
            <w:hideMark/>
          </w:tcPr>
          <w:p w14:paraId="521EF5D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08C93D0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2B36F0D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75C1290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0E50376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000000" w:fill="F2F2F2"/>
            <w:vAlign w:val="center"/>
            <w:hideMark/>
          </w:tcPr>
          <w:p w14:paraId="366B45D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AC0363" w14:paraId="4B028537" w14:textId="77777777" w:rsidTr="00395593">
        <w:trPr>
          <w:trHeight w:val="48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088F2CC"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10D73A0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P4</w:t>
            </w:r>
          </w:p>
        </w:tc>
        <w:tc>
          <w:tcPr>
            <w:tcW w:w="0" w:type="auto"/>
            <w:tcBorders>
              <w:top w:val="nil"/>
              <w:left w:val="nil"/>
              <w:bottom w:val="nil"/>
              <w:right w:val="nil"/>
            </w:tcBorders>
            <w:shd w:val="clear" w:color="auto" w:fill="auto"/>
            <w:vAlign w:val="center"/>
            <w:hideMark/>
          </w:tcPr>
          <w:p w14:paraId="2BD8ED30"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c>
          <w:tcPr>
            <w:tcW w:w="0" w:type="auto"/>
            <w:tcBorders>
              <w:top w:val="nil"/>
              <w:left w:val="single" w:sz="4" w:space="0" w:color="auto"/>
              <w:bottom w:val="nil"/>
              <w:right w:val="single" w:sz="4" w:space="0" w:color="auto"/>
            </w:tcBorders>
            <w:shd w:val="clear" w:color="auto" w:fill="auto"/>
            <w:vAlign w:val="center"/>
            <w:hideMark/>
          </w:tcPr>
          <w:p w14:paraId="3C102673"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0" w:type="auto"/>
            <w:tcBorders>
              <w:top w:val="nil"/>
              <w:left w:val="nil"/>
              <w:bottom w:val="nil"/>
              <w:right w:val="single" w:sz="4" w:space="0" w:color="auto"/>
            </w:tcBorders>
            <w:shd w:val="clear" w:color="000000" w:fill="D9D9D9"/>
            <w:vAlign w:val="center"/>
            <w:hideMark/>
          </w:tcPr>
          <w:p w14:paraId="529FE5B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0" w:type="auto"/>
            <w:tcBorders>
              <w:top w:val="nil"/>
              <w:left w:val="nil"/>
              <w:bottom w:val="nil"/>
              <w:right w:val="single" w:sz="4" w:space="0" w:color="auto"/>
            </w:tcBorders>
            <w:shd w:val="clear" w:color="auto" w:fill="auto"/>
            <w:vAlign w:val="center"/>
            <w:hideMark/>
          </w:tcPr>
          <w:p w14:paraId="5B3C7273"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38FF7ED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3CB2E35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35C94306"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auto" w:fill="auto"/>
            <w:vAlign w:val="center"/>
            <w:hideMark/>
          </w:tcPr>
          <w:p w14:paraId="051D07A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nil"/>
              <w:right w:val="single" w:sz="4" w:space="0" w:color="auto"/>
            </w:tcBorders>
            <w:shd w:val="clear" w:color="000000" w:fill="F2F2F2"/>
            <w:vAlign w:val="center"/>
            <w:hideMark/>
          </w:tcPr>
          <w:p w14:paraId="45BBA70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AC0363" w14:paraId="2B27D1EA" w14:textId="77777777" w:rsidTr="00395593">
        <w:trPr>
          <w:trHeight w:val="48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ABD5D22"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0DAAA62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P5</w:t>
            </w:r>
          </w:p>
        </w:tc>
        <w:tc>
          <w:tcPr>
            <w:tcW w:w="0" w:type="auto"/>
            <w:tcBorders>
              <w:top w:val="nil"/>
              <w:left w:val="nil"/>
              <w:bottom w:val="single" w:sz="4" w:space="0" w:color="auto"/>
              <w:right w:val="nil"/>
            </w:tcBorders>
            <w:shd w:val="clear" w:color="auto" w:fill="auto"/>
            <w:vAlign w:val="center"/>
            <w:hideMark/>
          </w:tcPr>
          <w:p w14:paraId="66B45CD0"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0597812"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0" w:type="auto"/>
            <w:tcBorders>
              <w:top w:val="nil"/>
              <w:left w:val="nil"/>
              <w:bottom w:val="single" w:sz="4" w:space="0" w:color="auto"/>
              <w:right w:val="single" w:sz="4" w:space="0" w:color="auto"/>
            </w:tcBorders>
            <w:shd w:val="clear" w:color="000000" w:fill="D9D9D9"/>
            <w:vAlign w:val="center"/>
            <w:hideMark/>
          </w:tcPr>
          <w:p w14:paraId="7360229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c>
          <w:tcPr>
            <w:tcW w:w="0" w:type="auto"/>
            <w:tcBorders>
              <w:top w:val="nil"/>
              <w:left w:val="nil"/>
              <w:bottom w:val="single" w:sz="4" w:space="0" w:color="auto"/>
              <w:right w:val="single" w:sz="4" w:space="0" w:color="auto"/>
            </w:tcBorders>
            <w:shd w:val="clear" w:color="auto" w:fill="auto"/>
            <w:vAlign w:val="center"/>
            <w:hideMark/>
          </w:tcPr>
          <w:p w14:paraId="4A1B7203"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19F1CCD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6C4AF45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128DABD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auto" w:fill="auto"/>
            <w:vAlign w:val="center"/>
            <w:hideMark/>
          </w:tcPr>
          <w:p w14:paraId="6005398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c>
        <w:tc>
          <w:tcPr>
            <w:tcW w:w="0" w:type="auto"/>
            <w:tcBorders>
              <w:top w:val="nil"/>
              <w:left w:val="nil"/>
              <w:bottom w:val="single" w:sz="4" w:space="0" w:color="auto"/>
              <w:right w:val="single" w:sz="4" w:space="0" w:color="auto"/>
            </w:tcBorders>
            <w:shd w:val="clear" w:color="000000" w:fill="F2F2F2"/>
            <w:vAlign w:val="center"/>
            <w:hideMark/>
          </w:tcPr>
          <w:p w14:paraId="437CF09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bl>
    <w:p w14:paraId="31ACC2CB"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p>
    <w:p w14:paraId="2E81FFFA"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t>APÊNDICE XV</w:t>
      </w:r>
    </w:p>
    <w:p w14:paraId="4C45F1DC" w14:textId="681CC341" w:rsidR="00395593" w:rsidRDefault="00395593" w:rsidP="00E15FBB">
      <w:pPr>
        <w:spacing w:after="0" w:line="240" w:lineRule="auto"/>
        <w:jc w:val="center"/>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t>MASSA SALARIAL</w:t>
      </w:r>
    </w:p>
    <w:p w14:paraId="327B8263" w14:textId="77777777" w:rsidR="004136FD" w:rsidRPr="005C5CBD" w:rsidRDefault="004136FD" w:rsidP="00E15FBB">
      <w:pPr>
        <w:spacing w:after="0" w:line="240" w:lineRule="auto"/>
        <w:jc w:val="center"/>
        <w:rPr>
          <w:rFonts w:ascii="Garamond" w:eastAsia="Times New Roman" w:hAnsi="Garamond" w:cs="Calibri"/>
          <w:b/>
          <w:sz w:val="24"/>
          <w:szCs w:val="24"/>
          <w:lang w:eastAsia="pt-BR"/>
        </w:rPr>
      </w:pPr>
    </w:p>
    <w:tbl>
      <w:tblPr>
        <w:tblW w:w="4998" w:type="pct"/>
        <w:tblInd w:w="5" w:type="dxa"/>
        <w:tblCellMar>
          <w:left w:w="70" w:type="dxa"/>
          <w:right w:w="70" w:type="dxa"/>
        </w:tblCellMar>
        <w:tblLook w:val="04A0" w:firstRow="1" w:lastRow="0" w:firstColumn="1" w:lastColumn="0" w:noHBand="0" w:noVBand="1"/>
      </w:tblPr>
      <w:tblGrid>
        <w:gridCol w:w="384"/>
        <w:gridCol w:w="366"/>
        <w:gridCol w:w="985"/>
        <w:gridCol w:w="839"/>
        <w:gridCol w:w="1407"/>
        <w:gridCol w:w="775"/>
        <w:gridCol w:w="962"/>
        <w:gridCol w:w="839"/>
        <w:gridCol w:w="1407"/>
        <w:gridCol w:w="775"/>
        <w:gridCol w:w="1007"/>
        <w:gridCol w:w="839"/>
        <w:gridCol w:w="1407"/>
        <w:gridCol w:w="775"/>
        <w:gridCol w:w="1220"/>
      </w:tblGrid>
      <w:tr w:rsidR="00395593" w:rsidRPr="00AC0363" w14:paraId="1F21B431" w14:textId="77777777" w:rsidTr="005C5CBD">
        <w:trPr>
          <w:gridBefore w:val="2"/>
          <w:wBefore w:w="268" w:type="pct"/>
          <w:trHeight w:val="480"/>
        </w:trPr>
        <w:tc>
          <w:tcPr>
            <w:tcW w:w="4732"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25C6F2C"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EMPREGADOS - PRODUTO</w:t>
            </w:r>
          </w:p>
        </w:tc>
      </w:tr>
      <w:tr w:rsidR="00D712F1" w:rsidRPr="00AC0363" w14:paraId="7C2C8500" w14:textId="77777777" w:rsidTr="005C5CBD">
        <w:trPr>
          <w:gridBefore w:val="2"/>
          <w:wBefore w:w="268" w:type="pct"/>
          <w:trHeight w:val="480"/>
        </w:trPr>
        <w:tc>
          <w:tcPr>
            <w:tcW w:w="143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0A8108"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Salários</w:t>
            </w:r>
          </w:p>
        </w:tc>
        <w:tc>
          <w:tcPr>
            <w:tcW w:w="1424" w:type="pct"/>
            <w:gridSpan w:val="4"/>
            <w:tcBorders>
              <w:top w:val="single" w:sz="4" w:space="0" w:color="auto"/>
              <w:left w:val="nil"/>
              <w:bottom w:val="single" w:sz="4" w:space="0" w:color="auto"/>
              <w:right w:val="single" w:sz="4" w:space="0" w:color="auto"/>
            </w:tcBorders>
            <w:shd w:val="clear" w:color="auto" w:fill="auto"/>
            <w:vAlign w:val="center"/>
          </w:tcPr>
          <w:p w14:paraId="0D0509D1"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Encargos</w:t>
            </w:r>
          </w:p>
        </w:tc>
        <w:tc>
          <w:tcPr>
            <w:tcW w:w="1440" w:type="pct"/>
            <w:gridSpan w:val="4"/>
            <w:tcBorders>
              <w:top w:val="single" w:sz="4" w:space="0" w:color="auto"/>
              <w:left w:val="nil"/>
              <w:bottom w:val="single" w:sz="4" w:space="0" w:color="auto"/>
              <w:right w:val="single" w:sz="4" w:space="0" w:color="auto"/>
            </w:tcBorders>
            <w:shd w:val="clear" w:color="auto" w:fill="auto"/>
            <w:vAlign w:val="center"/>
          </w:tcPr>
          <w:p w14:paraId="15565EC9"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Benefícios</w:t>
            </w:r>
          </w:p>
        </w:tc>
        <w:tc>
          <w:tcPr>
            <w:tcW w:w="436" w:type="pct"/>
            <w:vMerge w:val="restart"/>
            <w:tcBorders>
              <w:top w:val="single" w:sz="4" w:space="0" w:color="auto"/>
              <w:left w:val="nil"/>
              <w:right w:val="single" w:sz="4" w:space="0" w:color="auto"/>
            </w:tcBorders>
            <w:shd w:val="clear" w:color="000000" w:fill="F2F2F2"/>
            <w:vAlign w:val="center"/>
          </w:tcPr>
          <w:p w14:paraId="2D7EFFEA"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Total</w:t>
            </w:r>
          </w:p>
        </w:tc>
      </w:tr>
      <w:tr w:rsidR="00D712F1" w:rsidRPr="00AC0363" w14:paraId="56753D1F" w14:textId="77777777" w:rsidTr="005C5CBD">
        <w:trPr>
          <w:gridBefore w:val="2"/>
          <w:wBefore w:w="268" w:type="pct"/>
          <w:trHeight w:val="480"/>
        </w:trPr>
        <w:tc>
          <w:tcPr>
            <w:tcW w:w="6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F75EC3"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Produção</w:t>
            </w:r>
          </w:p>
        </w:tc>
        <w:tc>
          <w:tcPr>
            <w:tcW w:w="503" w:type="pct"/>
            <w:tcBorders>
              <w:top w:val="single" w:sz="4" w:space="0" w:color="auto"/>
              <w:left w:val="nil"/>
              <w:bottom w:val="single" w:sz="4" w:space="0" w:color="auto"/>
              <w:right w:val="single" w:sz="4" w:space="0" w:color="auto"/>
            </w:tcBorders>
            <w:shd w:val="clear" w:color="auto" w:fill="auto"/>
            <w:vAlign w:val="center"/>
          </w:tcPr>
          <w:p w14:paraId="76FB5227"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Administração</w:t>
            </w:r>
          </w:p>
        </w:tc>
        <w:tc>
          <w:tcPr>
            <w:tcW w:w="277" w:type="pct"/>
            <w:tcBorders>
              <w:top w:val="single" w:sz="4" w:space="0" w:color="auto"/>
              <w:left w:val="nil"/>
              <w:bottom w:val="single" w:sz="4" w:space="0" w:color="auto"/>
              <w:right w:val="single" w:sz="4" w:space="0" w:color="auto"/>
            </w:tcBorders>
            <w:shd w:val="clear" w:color="auto" w:fill="auto"/>
            <w:vAlign w:val="center"/>
          </w:tcPr>
          <w:p w14:paraId="228B90EA"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Vendas</w:t>
            </w:r>
          </w:p>
        </w:tc>
        <w:tc>
          <w:tcPr>
            <w:tcW w:w="644" w:type="pct"/>
            <w:gridSpan w:val="2"/>
            <w:tcBorders>
              <w:top w:val="single" w:sz="4" w:space="0" w:color="auto"/>
              <w:left w:val="nil"/>
              <w:bottom w:val="single" w:sz="4" w:space="0" w:color="auto"/>
              <w:right w:val="single" w:sz="4" w:space="0" w:color="auto"/>
            </w:tcBorders>
            <w:shd w:val="clear" w:color="auto" w:fill="auto"/>
            <w:vAlign w:val="center"/>
          </w:tcPr>
          <w:p w14:paraId="5F432677"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Produção</w:t>
            </w:r>
          </w:p>
        </w:tc>
        <w:tc>
          <w:tcPr>
            <w:tcW w:w="503" w:type="pct"/>
            <w:tcBorders>
              <w:top w:val="single" w:sz="4" w:space="0" w:color="auto"/>
              <w:left w:val="nil"/>
              <w:bottom w:val="single" w:sz="4" w:space="0" w:color="auto"/>
              <w:right w:val="single" w:sz="4" w:space="0" w:color="auto"/>
            </w:tcBorders>
            <w:shd w:val="clear" w:color="auto" w:fill="auto"/>
            <w:vAlign w:val="center"/>
          </w:tcPr>
          <w:p w14:paraId="2E278BAF"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Administração</w:t>
            </w:r>
          </w:p>
        </w:tc>
        <w:tc>
          <w:tcPr>
            <w:tcW w:w="277" w:type="pct"/>
            <w:tcBorders>
              <w:top w:val="single" w:sz="4" w:space="0" w:color="auto"/>
              <w:left w:val="nil"/>
              <w:bottom w:val="single" w:sz="4" w:space="0" w:color="auto"/>
              <w:right w:val="single" w:sz="4" w:space="0" w:color="auto"/>
            </w:tcBorders>
            <w:shd w:val="clear" w:color="auto" w:fill="auto"/>
            <w:vAlign w:val="center"/>
          </w:tcPr>
          <w:p w14:paraId="3E2673FE"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Vendas</w:t>
            </w:r>
          </w:p>
        </w:tc>
        <w:tc>
          <w:tcPr>
            <w:tcW w:w="660" w:type="pct"/>
            <w:gridSpan w:val="2"/>
            <w:tcBorders>
              <w:top w:val="single" w:sz="4" w:space="0" w:color="auto"/>
              <w:left w:val="nil"/>
              <w:bottom w:val="single" w:sz="4" w:space="0" w:color="auto"/>
              <w:right w:val="single" w:sz="4" w:space="0" w:color="auto"/>
            </w:tcBorders>
            <w:shd w:val="clear" w:color="auto" w:fill="auto"/>
            <w:vAlign w:val="center"/>
          </w:tcPr>
          <w:p w14:paraId="643CB2AF"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Produção</w:t>
            </w:r>
          </w:p>
        </w:tc>
        <w:tc>
          <w:tcPr>
            <w:tcW w:w="503" w:type="pct"/>
            <w:tcBorders>
              <w:top w:val="single" w:sz="4" w:space="0" w:color="auto"/>
              <w:left w:val="nil"/>
              <w:bottom w:val="single" w:sz="4" w:space="0" w:color="auto"/>
              <w:right w:val="single" w:sz="4" w:space="0" w:color="auto"/>
            </w:tcBorders>
            <w:shd w:val="clear" w:color="auto" w:fill="auto"/>
            <w:vAlign w:val="center"/>
          </w:tcPr>
          <w:p w14:paraId="079FD47F"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Administração</w:t>
            </w:r>
          </w:p>
        </w:tc>
        <w:tc>
          <w:tcPr>
            <w:tcW w:w="277" w:type="pct"/>
            <w:tcBorders>
              <w:top w:val="single" w:sz="4" w:space="0" w:color="auto"/>
              <w:left w:val="nil"/>
              <w:bottom w:val="single" w:sz="4" w:space="0" w:color="auto"/>
              <w:right w:val="single" w:sz="4" w:space="0" w:color="auto"/>
            </w:tcBorders>
            <w:shd w:val="clear" w:color="auto" w:fill="auto"/>
            <w:vAlign w:val="center"/>
          </w:tcPr>
          <w:p w14:paraId="19A7B55A"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Vendas</w:t>
            </w:r>
          </w:p>
        </w:tc>
        <w:tc>
          <w:tcPr>
            <w:tcW w:w="436" w:type="pct"/>
            <w:vMerge/>
            <w:tcBorders>
              <w:left w:val="nil"/>
              <w:right w:val="single" w:sz="4" w:space="0" w:color="auto"/>
            </w:tcBorders>
            <w:shd w:val="clear" w:color="000000" w:fill="F2F2F2"/>
            <w:vAlign w:val="center"/>
          </w:tcPr>
          <w:p w14:paraId="51E4ED6D"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p>
        </w:tc>
      </w:tr>
      <w:tr w:rsidR="006F1830" w:rsidRPr="00AC0363" w14:paraId="2DECDA81" w14:textId="77777777" w:rsidTr="005C5CBD">
        <w:trPr>
          <w:gridBefore w:val="2"/>
          <w:wBefore w:w="268" w:type="pct"/>
          <w:trHeight w:val="480"/>
        </w:trPr>
        <w:tc>
          <w:tcPr>
            <w:tcW w:w="352" w:type="pct"/>
            <w:tcBorders>
              <w:top w:val="single" w:sz="4" w:space="0" w:color="auto"/>
              <w:left w:val="single" w:sz="4" w:space="0" w:color="auto"/>
              <w:bottom w:val="single" w:sz="4" w:space="0" w:color="auto"/>
              <w:right w:val="nil"/>
            </w:tcBorders>
            <w:shd w:val="clear" w:color="auto" w:fill="auto"/>
            <w:vAlign w:val="center"/>
          </w:tcPr>
          <w:p w14:paraId="6AB6B5E3" w14:textId="77777777" w:rsidR="00395593" w:rsidRPr="005C5CBD" w:rsidRDefault="00395593" w:rsidP="00E15FBB">
            <w:pPr>
              <w:spacing w:after="0" w:line="240" w:lineRule="auto"/>
              <w:ind w:right="300"/>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Direta</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7E6CA751"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Indireta</w:t>
            </w:r>
          </w:p>
        </w:tc>
        <w:tc>
          <w:tcPr>
            <w:tcW w:w="503" w:type="pct"/>
            <w:tcBorders>
              <w:top w:val="single" w:sz="4" w:space="0" w:color="auto"/>
              <w:left w:val="nil"/>
              <w:bottom w:val="single" w:sz="4" w:space="0" w:color="auto"/>
              <w:right w:val="single" w:sz="4" w:space="0" w:color="auto"/>
            </w:tcBorders>
            <w:shd w:val="clear" w:color="auto" w:fill="auto"/>
            <w:vAlign w:val="center"/>
          </w:tcPr>
          <w:p w14:paraId="295BD72C"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p>
        </w:tc>
        <w:tc>
          <w:tcPr>
            <w:tcW w:w="277" w:type="pct"/>
            <w:tcBorders>
              <w:top w:val="single" w:sz="4" w:space="0" w:color="auto"/>
              <w:left w:val="nil"/>
              <w:bottom w:val="single" w:sz="4" w:space="0" w:color="auto"/>
              <w:right w:val="single" w:sz="4" w:space="0" w:color="auto"/>
            </w:tcBorders>
            <w:shd w:val="clear" w:color="auto" w:fill="auto"/>
            <w:vAlign w:val="center"/>
          </w:tcPr>
          <w:p w14:paraId="435A797E"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p>
        </w:tc>
        <w:tc>
          <w:tcPr>
            <w:tcW w:w="344" w:type="pct"/>
            <w:tcBorders>
              <w:top w:val="single" w:sz="4" w:space="0" w:color="auto"/>
              <w:left w:val="nil"/>
              <w:bottom w:val="single" w:sz="4" w:space="0" w:color="auto"/>
              <w:right w:val="single" w:sz="4" w:space="0" w:color="auto"/>
            </w:tcBorders>
            <w:shd w:val="clear" w:color="auto" w:fill="auto"/>
            <w:vAlign w:val="center"/>
          </w:tcPr>
          <w:p w14:paraId="00F3ADB2"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Direta</w:t>
            </w:r>
          </w:p>
        </w:tc>
        <w:tc>
          <w:tcPr>
            <w:tcW w:w="300" w:type="pct"/>
            <w:tcBorders>
              <w:top w:val="single" w:sz="4" w:space="0" w:color="auto"/>
              <w:left w:val="nil"/>
              <w:bottom w:val="single" w:sz="4" w:space="0" w:color="auto"/>
              <w:right w:val="single" w:sz="4" w:space="0" w:color="auto"/>
            </w:tcBorders>
            <w:shd w:val="clear" w:color="auto" w:fill="auto"/>
            <w:vAlign w:val="center"/>
          </w:tcPr>
          <w:p w14:paraId="1F5B2DC1"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Indireta</w:t>
            </w:r>
          </w:p>
        </w:tc>
        <w:tc>
          <w:tcPr>
            <w:tcW w:w="503" w:type="pct"/>
            <w:tcBorders>
              <w:top w:val="single" w:sz="4" w:space="0" w:color="auto"/>
              <w:left w:val="nil"/>
              <w:bottom w:val="single" w:sz="4" w:space="0" w:color="auto"/>
              <w:right w:val="single" w:sz="4" w:space="0" w:color="auto"/>
            </w:tcBorders>
            <w:shd w:val="clear" w:color="auto" w:fill="auto"/>
            <w:vAlign w:val="center"/>
          </w:tcPr>
          <w:p w14:paraId="07F6FF6A"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p>
        </w:tc>
        <w:tc>
          <w:tcPr>
            <w:tcW w:w="277" w:type="pct"/>
            <w:tcBorders>
              <w:top w:val="single" w:sz="4" w:space="0" w:color="auto"/>
              <w:left w:val="nil"/>
              <w:bottom w:val="single" w:sz="4" w:space="0" w:color="auto"/>
              <w:right w:val="single" w:sz="4" w:space="0" w:color="auto"/>
            </w:tcBorders>
            <w:shd w:val="clear" w:color="auto" w:fill="auto"/>
            <w:vAlign w:val="center"/>
          </w:tcPr>
          <w:p w14:paraId="29B12A43"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p>
        </w:tc>
        <w:tc>
          <w:tcPr>
            <w:tcW w:w="360" w:type="pct"/>
            <w:tcBorders>
              <w:top w:val="single" w:sz="4" w:space="0" w:color="auto"/>
              <w:left w:val="nil"/>
              <w:bottom w:val="single" w:sz="4" w:space="0" w:color="auto"/>
              <w:right w:val="single" w:sz="4" w:space="0" w:color="auto"/>
            </w:tcBorders>
            <w:shd w:val="clear" w:color="auto" w:fill="auto"/>
            <w:vAlign w:val="center"/>
          </w:tcPr>
          <w:p w14:paraId="0CAF16A2"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Direta</w:t>
            </w:r>
          </w:p>
        </w:tc>
        <w:tc>
          <w:tcPr>
            <w:tcW w:w="300" w:type="pct"/>
            <w:tcBorders>
              <w:top w:val="single" w:sz="4" w:space="0" w:color="auto"/>
              <w:left w:val="nil"/>
              <w:bottom w:val="single" w:sz="4" w:space="0" w:color="auto"/>
              <w:right w:val="single" w:sz="4" w:space="0" w:color="auto"/>
            </w:tcBorders>
            <w:shd w:val="clear" w:color="auto" w:fill="auto"/>
            <w:vAlign w:val="center"/>
          </w:tcPr>
          <w:p w14:paraId="34040F38"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Indireta</w:t>
            </w:r>
          </w:p>
        </w:tc>
        <w:tc>
          <w:tcPr>
            <w:tcW w:w="503" w:type="pct"/>
            <w:tcBorders>
              <w:top w:val="single" w:sz="4" w:space="0" w:color="auto"/>
              <w:left w:val="nil"/>
              <w:bottom w:val="single" w:sz="4" w:space="0" w:color="auto"/>
              <w:right w:val="single" w:sz="4" w:space="0" w:color="auto"/>
            </w:tcBorders>
            <w:shd w:val="clear" w:color="auto" w:fill="auto"/>
            <w:vAlign w:val="center"/>
          </w:tcPr>
          <w:p w14:paraId="1AC8A8AE"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p>
        </w:tc>
        <w:tc>
          <w:tcPr>
            <w:tcW w:w="277" w:type="pct"/>
            <w:tcBorders>
              <w:top w:val="single" w:sz="4" w:space="0" w:color="auto"/>
              <w:left w:val="nil"/>
              <w:bottom w:val="single" w:sz="4" w:space="0" w:color="auto"/>
              <w:right w:val="single" w:sz="4" w:space="0" w:color="auto"/>
            </w:tcBorders>
            <w:shd w:val="clear" w:color="auto" w:fill="auto"/>
            <w:vAlign w:val="center"/>
          </w:tcPr>
          <w:p w14:paraId="1EFBE86D"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p>
        </w:tc>
        <w:tc>
          <w:tcPr>
            <w:tcW w:w="436" w:type="pct"/>
            <w:vMerge/>
            <w:tcBorders>
              <w:left w:val="nil"/>
              <w:bottom w:val="single" w:sz="4" w:space="0" w:color="auto"/>
              <w:right w:val="single" w:sz="4" w:space="0" w:color="auto"/>
            </w:tcBorders>
            <w:shd w:val="clear" w:color="000000" w:fill="F2F2F2"/>
            <w:vAlign w:val="center"/>
          </w:tcPr>
          <w:p w14:paraId="41106B30"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p>
        </w:tc>
      </w:tr>
      <w:tr w:rsidR="00D712F1" w:rsidRPr="00AC0363" w14:paraId="127BE962" w14:textId="77777777" w:rsidTr="00395593">
        <w:trPr>
          <w:trHeight w:val="480"/>
        </w:trPr>
        <w:tc>
          <w:tcPr>
            <w:tcW w:w="137"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28762B9"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Período</w:t>
            </w:r>
          </w:p>
        </w:tc>
        <w:tc>
          <w:tcPr>
            <w:tcW w:w="131" w:type="pct"/>
            <w:tcBorders>
              <w:top w:val="single" w:sz="4" w:space="0" w:color="auto"/>
              <w:left w:val="nil"/>
              <w:bottom w:val="single" w:sz="4" w:space="0" w:color="auto"/>
              <w:right w:val="single" w:sz="4" w:space="0" w:color="auto"/>
            </w:tcBorders>
            <w:shd w:val="clear" w:color="auto" w:fill="auto"/>
            <w:vAlign w:val="center"/>
            <w:hideMark/>
          </w:tcPr>
          <w:p w14:paraId="4EE34792"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P1</w:t>
            </w:r>
          </w:p>
        </w:tc>
        <w:tc>
          <w:tcPr>
            <w:tcW w:w="352" w:type="pct"/>
            <w:tcBorders>
              <w:top w:val="single" w:sz="4" w:space="0" w:color="auto"/>
              <w:left w:val="nil"/>
              <w:bottom w:val="nil"/>
              <w:right w:val="nil"/>
            </w:tcBorders>
            <w:shd w:val="clear" w:color="auto" w:fill="auto"/>
            <w:vAlign w:val="center"/>
            <w:hideMark/>
          </w:tcPr>
          <w:p w14:paraId="003D8954"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p>
        </w:tc>
        <w:tc>
          <w:tcPr>
            <w:tcW w:w="300" w:type="pct"/>
            <w:tcBorders>
              <w:top w:val="single" w:sz="4" w:space="0" w:color="auto"/>
              <w:left w:val="single" w:sz="4" w:space="0" w:color="auto"/>
              <w:bottom w:val="nil"/>
              <w:right w:val="single" w:sz="4" w:space="0" w:color="auto"/>
            </w:tcBorders>
            <w:shd w:val="clear" w:color="auto" w:fill="auto"/>
            <w:vAlign w:val="center"/>
            <w:hideMark/>
          </w:tcPr>
          <w:p w14:paraId="53CA1476"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503" w:type="pct"/>
            <w:tcBorders>
              <w:top w:val="single" w:sz="4" w:space="0" w:color="auto"/>
              <w:left w:val="nil"/>
              <w:bottom w:val="nil"/>
              <w:right w:val="single" w:sz="4" w:space="0" w:color="auto"/>
            </w:tcBorders>
            <w:shd w:val="clear" w:color="auto" w:fill="auto"/>
            <w:vAlign w:val="center"/>
            <w:hideMark/>
          </w:tcPr>
          <w:p w14:paraId="0A7FCE82"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277" w:type="pct"/>
            <w:tcBorders>
              <w:top w:val="single" w:sz="4" w:space="0" w:color="auto"/>
              <w:left w:val="nil"/>
              <w:bottom w:val="nil"/>
              <w:right w:val="single" w:sz="4" w:space="0" w:color="auto"/>
            </w:tcBorders>
            <w:shd w:val="clear" w:color="auto" w:fill="auto"/>
            <w:vAlign w:val="center"/>
            <w:hideMark/>
          </w:tcPr>
          <w:p w14:paraId="642218B5"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44" w:type="pct"/>
            <w:tcBorders>
              <w:top w:val="single" w:sz="4" w:space="0" w:color="auto"/>
              <w:left w:val="nil"/>
              <w:bottom w:val="nil"/>
              <w:right w:val="single" w:sz="4" w:space="0" w:color="auto"/>
            </w:tcBorders>
            <w:shd w:val="clear" w:color="auto" w:fill="auto"/>
            <w:vAlign w:val="center"/>
            <w:hideMark/>
          </w:tcPr>
          <w:p w14:paraId="0B1ABC89"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00" w:type="pct"/>
            <w:tcBorders>
              <w:top w:val="single" w:sz="4" w:space="0" w:color="auto"/>
              <w:left w:val="nil"/>
              <w:bottom w:val="nil"/>
              <w:right w:val="single" w:sz="4" w:space="0" w:color="auto"/>
            </w:tcBorders>
            <w:shd w:val="clear" w:color="auto" w:fill="auto"/>
            <w:vAlign w:val="center"/>
            <w:hideMark/>
          </w:tcPr>
          <w:p w14:paraId="1BBF9303"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503" w:type="pct"/>
            <w:tcBorders>
              <w:top w:val="single" w:sz="4" w:space="0" w:color="auto"/>
              <w:left w:val="nil"/>
              <w:bottom w:val="nil"/>
              <w:right w:val="single" w:sz="4" w:space="0" w:color="auto"/>
            </w:tcBorders>
            <w:shd w:val="clear" w:color="auto" w:fill="auto"/>
            <w:vAlign w:val="center"/>
            <w:hideMark/>
          </w:tcPr>
          <w:p w14:paraId="1F779942"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277" w:type="pct"/>
            <w:tcBorders>
              <w:top w:val="single" w:sz="4" w:space="0" w:color="auto"/>
              <w:left w:val="nil"/>
              <w:bottom w:val="nil"/>
              <w:right w:val="single" w:sz="4" w:space="0" w:color="auto"/>
            </w:tcBorders>
            <w:shd w:val="clear" w:color="auto" w:fill="auto"/>
            <w:vAlign w:val="center"/>
            <w:hideMark/>
          </w:tcPr>
          <w:p w14:paraId="4A3F312C"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60" w:type="pct"/>
            <w:tcBorders>
              <w:top w:val="single" w:sz="4" w:space="0" w:color="auto"/>
              <w:left w:val="nil"/>
              <w:bottom w:val="nil"/>
              <w:right w:val="single" w:sz="4" w:space="0" w:color="auto"/>
            </w:tcBorders>
            <w:shd w:val="clear" w:color="auto" w:fill="auto"/>
            <w:vAlign w:val="center"/>
            <w:hideMark/>
          </w:tcPr>
          <w:p w14:paraId="754E47A9"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00" w:type="pct"/>
            <w:tcBorders>
              <w:top w:val="single" w:sz="4" w:space="0" w:color="auto"/>
              <w:left w:val="nil"/>
              <w:bottom w:val="nil"/>
              <w:right w:val="single" w:sz="4" w:space="0" w:color="auto"/>
            </w:tcBorders>
            <w:shd w:val="clear" w:color="auto" w:fill="auto"/>
            <w:vAlign w:val="center"/>
            <w:hideMark/>
          </w:tcPr>
          <w:p w14:paraId="57202710"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503" w:type="pct"/>
            <w:tcBorders>
              <w:top w:val="single" w:sz="4" w:space="0" w:color="auto"/>
              <w:left w:val="nil"/>
              <w:bottom w:val="nil"/>
              <w:right w:val="single" w:sz="4" w:space="0" w:color="auto"/>
            </w:tcBorders>
            <w:shd w:val="clear" w:color="auto" w:fill="auto"/>
            <w:vAlign w:val="center"/>
            <w:hideMark/>
          </w:tcPr>
          <w:p w14:paraId="078776A5"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277" w:type="pct"/>
            <w:tcBorders>
              <w:top w:val="single" w:sz="4" w:space="0" w:color="auto"/>
              <w:left w:val="nil"/>
              <w:bottom w:val="nil"/>
              <w:right w:val="single" w:sz="4" w:space="0" w:color="auto"/>
            </w:tcBorders>
            <w:shd w:val="clear" w:color="auto" w:fill="auto"/>
            <w:vAlign w:val="center"/>
            <w:hideMark/>
          </w:tcPr>
          <w:p w14:paraId="72DF45A5"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436" w:type="pct"/>
            <w:tcBorders>
              <w:top w:val="single" w:sz="4" w:space="0" w:color="auto"/>
              <w:left w:val="nil"/>
              <w:bottom w:val="nil"/>
              <w:right w:val="single" w:sz="4" w:space="0" w:color="auto"/>
            </w:tcBorders>
            <w:shd w:val="clear" w:color="000000" w:fill="F2F2F2"/>
            <w:vAlign w:val="center"/>
            <w:hideMark/>
          </w:tcPr>
          <w:p w14:paraId="7A7FC37F"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w:t>
            </w:r>
          </w:p>
        </w:tc>
      </w:tr>
      <w:tr w:rsidR="00D712F1" w:rsidRPr="00AC0363" w14:paraId="500F5200" w14:textId="77777777" w:rsidTr="00395593">
        <w:trPr>
          <w:trHeight w:val="480"/>
        </w:trPr>
        <w:tc>
          <w:tcPr>
            <w:tcW w:w="137" w:type="pct"/>
            <w:vMerge/>
            <w:tcBorders>
              <w:top w:val="single" w:sz="4" w:space="0" w:color="auto"/>
              <w:left w:val="single" w:sz="4" w:space="0" w:color="auto"/>
              <w:bottom w:val="single" w:sz="4" w:space="0" w:color="000000"/>
              <w:right w:val="single" w:sz="4" w:space="0" w:color="auto"/>
            </w:tcBorders>
            <w:vAlign w:val="center"/>
            <w:hideMark/>
          </w:tcPr>
          <w:p w14:paraId="36B50D06"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p>
        </w:tc>
        <w:tc>
          <w:tcPr>
            <w:tcW w:w="131" w:type="pct"/>
            <w:tcBorders>
              <w:top w:val="nil"/>
              <w:left w:val="nil"/>
              <w:bottom w:val="single" w:sz="4" w:space="0" w:color="auto"/>
              <w:right w:val="single" w:sz="4" w:space="0" w:color="auto"/>
            </w:tcBorders>
            <w:shd w:val="clear" w:color="auto" w:fill="auto"/>
            <w:vAlign w:val="center"/>
            <w:hideMark/>
          </w:tcPr>
          <w:p w14:paraId="5AC17067"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P2</w:t>
            </w:r>
          </w:p>
        </w:tc>
        <w:tc>
          <w:tcPr>
            <w:tcW w:w="352" w:type="pct"/>
            <w:tcBorders>
              <w:top w:val="nil"/>
              <w:left w:val="nil"/>
              <w:bottom w:val="nil"/>
              <w:right w:val="nil"/>
            </w:tcBorders>
            <w:shd w:val="clear" w:color="auto" w:fill="auto"/>
            <w:vAlign w:val="center"/>
            <w:hideMark/>
          </w:tcPr>
          <w:p w14:paraId="4A01F55C"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p>
        </w:tc>
        <w:tc>
          <w:tcPr>
            <w:tcW w:w="300" w:type="pct"/>
            <w:tcBorders>
              <w:top w:val="nil"/>
              <w:left w:val="single" w:sz="4" w:space="0" w:color="auto"/>
              <w:bottom w:val="nil"/>
              <w:right w:val="single" w:sz="4" w:space="0" w:color="auto"/>
            </w:tcBorders>
            <w:shd w:val="clear" w:color="auto" w:fill="auto"/>
            <w:vAlign w:val="center"/>
            <w:hideMark/>
          </w:tcPr>
          <w:p w14:paraId="482EB160"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503" w:type="pct"/>
            <w:tcBorders>
              <w:top w:val="nil"/>
              <w:left w:val="nil"/>
              <w:bottom w:val="nil"/>
              <w:right w:val="single" w:sz="4" w:space="0" w:color="auto"/>
            </w:tcBorders>
            <w:shd w:val="clear" w:color="auto" w:fill="auto"/>
            <w:vAlign w:val="center"/>
            <w:hideMark/>
          </w:tcPr>
          <w:p w14:paraId="42577961"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277" w:type="pct"/>
            <w:tcBorders>
              <w:top w:val="nil"/>
              <w:left w:val="nil"/>
              <w:bottom w:val="nil"/>
              <w:right w:val="single" w:sz="4" w:space="0" w:color="auto"/>
            </w:tcBorders>
            <w:shd w:val="clear" w:color="auto" w:fill="auto"/>
            <w:vAlign w:val="center"/>
            <w:hideMark/>
          </w:tcPr>
          <w:p w14:paraId="30D85F59"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44" w:type="pct"/>
            <w:tcBorders>
              <w:top w:val="nil"/>
              <w:left w:val="nil"/>
              <w:bottom w:val="nil"/>
              <w:right w:val="single" w:sz="4" w:space="0" w:color="auto"/>
            </w:tcBorders>
            <w:shd w:val="clear" w:color="auto" w:fill="auto"/>
            <w:vAlign w:val="center"/>
            <w:hideMark/>
          </w:tcPr>
          <w:p w14:paraId="77CE9C64"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00" w:type="pct"/>
            <w:tcBorders>
              <w:top w:val="nil"/>
              <w:left w:val="nil"/>
              <w:bottom w:val="nil"/>
              <w:right w:val="single" w:sz="4" w:space="0" w:color="auto"/>
            </w:tcBorders>
            <w:shd w:val="clear" w:color="auto" w:fill="auto"/>
            <w:vAlign w:val="center"/>
            <w:hideMark/>
          </w:tcPr>
          <w:p w14:paraId="4C5297F9"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503" w:type="pct"/>
            <w:tcBorders>
              <w:top w:val="nil"/>
              <w:left w:val="nil"/>
              <w:bottom w:val="nil"/>
              <w:right w:val="single" w:sz="4" w:space="0" w:color="auto"/>
            </w:tcBorders>
            <w:shd w:val="clear" w:color="auto" w:fill="auto"/>
            <w:vAlign w:val="center"/>
            <w:hideMark/>
          </w:tcPr>
          <w:p w14:paraId="179CF7D0"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277" w:type="pct"/>
            <w:tcBorders>
              <w:top w:val="nil"/>
              <w:left w:val="nil"/>
              <w:bottom w:val="nil"/>
              <w:right w:val="single" w:sz="4" w:space="0" w:color="auto"/>
            </w:tcBorders>
            <w:shd w:val="clear" w:color="auto" w:fill="auto"/>
            <w:vAlign w:val="center"/>
            <w:hideMark/>
          </w:tcPr>
          <w:p w14:paraId="7BDB9D8E"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60" w:type="pct"/>
            <w:tcBorders>
              <w:top w:val="nil"/>
              <w:left w:val="nil"/>
              <w:bottom w:val="nil"/>
              <w:right w:val="single" w:sz="4" w:space="0" w:color="auto"/>
            </w:tcBorders>
            <w:shd w:val="clear" w:color="auto" w:fill="auto"/>
            <w:vAlign w:val="center"/>
            <w:hideMark/>
          </w:tcPr>
          <w:p w14:paraId="33385D3A"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00" w:type="pct"/>
            <w:tcBorders>
              <w:top w:val="nil"/>
              <w:left w:val="nil"/>
              <w:bottom w:val="nil"/>
              <w:right w:val="single" w:sz="4" w:space="0" w:color="auto"/>
            </w:tcBorders>
            <w:shd w:val="clear" w:color="auto" w:fill="auto"/>
            <w:vAlign w:val="center"/>
            <w:hideMark/>
          </w:tcPr>
          <w:p w14:paraId="145D51AA"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503" w:type="pct"/>
            <w:tcBorders>
              <w:top w:val="nil"/>
              <w:left w:val="nil"/>
              <w:bottom w:val="nil"/>
              <w:right w:val="single" w:sz="4" w:space="0" w:color="auto"/>
            </w:tcBorders>
            <w:shd w:val="clear" w:color="auto" w:fill="auto"/>
            <w:vAlign w:val="center"/>
            <w:hideMark/>
          </w:tcPr>
          <w:p w14:paraId="5B12A732"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277" w:type="pct"/>
            <w:tcBorders>
              <w:top w:val="nil"/>
              <w:left w:val="nil"/>
              <w:bottom w:val="nil"/>
              <w:right w:val="single" w:sz="4" w:space="0" w:color="auto"/>
            </w:tcBorders>
            <w:shd w:val="clear" w:color="auto" w:fill="auto"/>
            <w:vAlign w:val="center"/>
            <w:hideMark/>
          </w:tcPr>
          <w:p w14:paraId="75A50B18"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436" w:type="pct"/>
            <w:tcBorders>
              <w:top w:val="nil"/>
              <w:left w:val="nil"/>
              <w:bottom w:val="nil"/>
              <w:right w:val="single" w:sz="4" w:space="0" w:color="auto"/>
            </w:tcBorders>
            <w:shd w:val="clear" w:color="000000" w:fill="F2F2F2"/>
            <w:vAlign w:val="center"/>
            <w:hideMark/>
          </w:tcPr>
          <w:p w14:paraId="57A78111"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w:t>
            </w:r>
          </w:p>
        </w:tc>
      </w:tr>
      <w:tr w:rsidR="00D712F1" w:rsidRPr="00AC0363" w14:paraId="59990BB3" w14:textId="77777777" w:rsidTr="00395593">
        <w:trPr>
          <w:trHeight w:val="480"/>
        </w:trPr>
        <w:tc>
          <w:tcPr>
            <w:tcW w:w="137" w:type="pct"/>
            <w:vMerge/>
            <w:tcBorders>
              <w:top w:val="single" w:sz="4" w:space="0" w:color="auto"/>
              <w:left w:val="single" w:sz="4" w:space="0" w:color="auto"/>
              <w:bottom w:val="single" w:sz="4" w:space="0" w:color="000000"/>
              <w:right w:val="single" w:sz="4" w:space="0" w:color="auto"/>
            </w:tcBorders>
            <w:vAlign w:val="center"/>
            <w:hideMark/>
          </w:tcPr>
          <w:p w14:paraId="76C9A842"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p>
        </w:tc>
        <w:tc>
          <w:tcPr>
            <w:tcW w:w="131" w:type="pct"/>
            <w:tcBorders>
              <w:top w:val="nil"/>
              <w:left w:val="nil"/>
              <w:bottom w:val="single" w:sz="4" w:space="0" w:color="auto"/>
              <w:right w:val="single" w:sz="4" w:space="0" w:color="auto"/>
            </w:tcBorders>
            <w:shd w:val="clear" w:color="auto" w:fill="auto"/>
            <w:vAlign w:val="center"/>
            <w:hideMark/>
          </w:tcPr>
          <w:p w14:paraId="3148D926"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P3</w:t>
            </w:r>
          </w:p>
        </w:tc>
        <w:tc>
          <w:tcPr>
            <w:tcW w:w="352" w:type="pct"/>
            <w:tcBorders>
              <w:top w:val="nil"/>
              <w:left w:val="nil"/>
              <w:bottom w:val="nil"/>
              <w:right w:val="nil"/>
            </w:tcBorders>
            <w:shd w:val="clear" w:color="auto" w:fill="auto"/>
            <w:vAlign w:val="center"/>
            <w:hideMark/>
          </w:tcPr>
          <w:p w14:paraId="52BF534E"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p>
        </w:tc>
        <w:tc>
          <w:tcPr>
            <w:tcW w:w="300" w:type="pct"/>
            <w:tcBorders>
              <w:top w:val="nil"/>
              <w:left w:val="single" w:sz="4" w:space="0" w:color="auto"/>
              <w:bottom w:val="nil"/>
              <w:right w:val="single" w:sz="4" w:space="0" w:color="auto"/>
            </w:tcBorders>
            <w:shd w:val="clear" w:color="auto" w:fill="auto"/>
            <w:vAlign w:val="center"/>
            <w:hideMark/>
          </w:tcPr>
          <w:p w14:paraId="10EBC2A3"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503" w:type="pct"/>
            <w:tcBorders>
              <w:top w:val="nil"/>
              <w:left w:val="nil"/>
              <w:bottom w:val="nil"/>
              <w:right w:val="single" w:sz="4" w:space="0" w:color="auto"/>
            </w:tcBorders>
            <w:shd w:val="clear" w:color="auto" w:fill="auto"/>
            <w:vAlign w:val="center"/>
            <w:hideMark/>
          </w:tcPr>
          <w:p w14:paraId="3F969EE3"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277" w:type="pct"/>
            <w:tcBorders>
              <w:top w:val="nil"/>
              <w:left w:val="nil"/>
              <w:bottom w:val="nil"/>
              <w:right w:val="single" w:sz="4" w:space="0" w:color="auto"/>
            </w:tcBorders>
            <w:shd w:val="clear" w:color="auto" w:fill="auto"/>
            <w:vAlign w:val="center"/>
            <w:hideMark/>
          </w:tcPr>
          <w:p w14:paraId="105A42BC"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44" w:type="pct"/>
            <w:tcBorders>
              <w:top w:val="nil"/>
              <w:left w:val="nil"/>
              <w:bottom w:val="nil"/>
              <w:right w:val="single" w:sz="4" w:space="0" w:color="auto"/>
            </w:tcBorders>
            <w:shd w:val="clear" w:color="auto" w:fill="auto"/>
            <w:vAlign w:val="center"/>
            <w:hideMark/>
          </w:tcPr>
          <w:p w14:paraId="71BED8B9"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00" w:type="pct"/>
            <w:tcBorders>
              <w:top w:val="nil"/>
              <w:left w:val="nil"/>
              <w:bottom w:val="nil"/>
              <w:right w:val="single" w:sz="4" w:space="0" w:color="auto"/>
            </w:tcBorders>
            <w:shd w:val="clear" w:color="auto" w:fill="auto"/>
            <w:vAlign w:val="center"/>
            <w:hideMark/>
          </w:tcPr>
          <w:p w14:paraId="418D146A"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503" w:type="pct"/>
            <w:tcBorders>
              <w:top w:val="nil"/>
              <w:left w:val="nil"/>
              <w:bottom w:val="nil"/>
              <w:right w:val="single" w:sz="4" w:space="0" w:color="auto"/>
            </w:tcBorders>
            <w:shd w:val="clear" w:color="auto" w:fill="auto"/>
            <w:vAlign w:val="center"/>
            <w:hideMark/>
          </w:tcPr>
          <w:p w14:paraId="5C54ECDD"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277" w:type="pct"/>
            <w:tcBorders>
              <w:top w:val="nil"/>
              <w:left w:val="nil"/>
              <w:bottom w:val="nil"/>
              <w:right w:val="single" w:sz="4" w:space="0" w:color="auto"/>
            </w:tcBorders>
            <w:shd w:val="clear" w:color="auto" w:fill="auto"/>
            <w:vAlign w:val="center"/>
            <w:hideMark/>
          </w:tcPr>
          <w:p w14:paraId="410FC9A1"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60" w:type="pct"/>
            <w:tcBorders>
              <w:top w:val="nil"/>
              <w:left w:val="nil"/>
              <w:bottom w:val="nil"/>
              <w:right w:val="single" w:sz="4" w:space="0" w:color="auto"/>
            </w:tcBorders>
            <w:shd w:val="clear" w:color="auto" w:fill="auto"/>
            <w:vAlign w:val="center"/>
            <w:hideMark/>
          </w:tcPr>
          <w:p w14:paraId="15B6FC2F"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00" w:type="pct"/>
            <w:tcBorders>
              <w:top w:val="nil"/>
              <w:left w:val="nil"/>
              <w:bottom w:val="nil"/>
              <w:right w:val="single" w:sz="4" w:space="0" w:color="auto"/>
            </w:tcBorders>
            <w:shd w:val="clear" w:color="auto" w:fill="auto"/>
            <w:vAlign w:val="center"/>
            <w:hideMark/>
          </w:tcPr>
          <w:p w14:paraId="27F5509F"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503" w:type="pct"/>
            <w:tcBorders>
              <w:top w:val="nil"/>
              <w:left w:val="nil"/>
              <w:bottom w:val="nil"/>
              <w:right w:val="single" w:sz="4" w:space="0" w:color="auto"/>
            </w:tcBorders>
            <w:shd w:val="clear" w:color="auto" w:fill="auto"/>
            <w:vAlign w:val="center"/>
            <w:hideMark/>
          </w:tcPr>
          <w:p w14:paraId="0922AA6C"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277" w:type="pct"/>
            <w:tcBorders>
              <w:top w:val="nil"/>
              <w:left w:val="nil"/>
              <w:bottom w:val="nil"/>
              <w:right w:val="single" w:sz="4" w:space="0" w:color="auto"/>
            </w:tcBorders>
            <w:shd w:val="clear" w:color="auto" w:fill="auto"/>
            <w:vAlign w:val="center"/>
            <w:hideMark/>
          </w:tcPr>
          <w:p w14:paraId="11F0AFBA"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436" w:type="pct"/>
            <w:tcBorders>
              <w:top w:val="nil"/>
              <w:left w:val="nil"/>
              <w:bottom w:val="nil"/>
              <w:right w:val="single" w:sz="4" w:space="0" w:color="auto"/>
            </w:tcBorders>
            <w:shd w:val="clear" w:color="000000" w:fill="F2F2F2"/>
            <w:vAlign w:val="center"/>
            <w:hideMark/>
          </w:tcPr>
          <w:p w14:paraId="599238C7"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w:t>
            </w:r>
          </w:p>
        </w:tc>
      </w:tr>
      <w:tr w:rsidR="00D712F1" w:rsidRPr="00AC0363" w14:paraId="63FED389" w14:textId="77777777" w:rsidTr="00395593">
        <w:trPr>
          <w:trHeight w:val="480"/>
        </w:trPr>
        <w:tc>
          <w:tcPr>
            <w:tcW w:w="137" w:type="pct"/>
            <w:vMerge/>
            <w:tcBorders>
              <w:top w:val="single" w:sz="4" w:space="0" w:color="auto"/>
              <w:left w:val="single" w:sz="4" w:space="0" w:color="auto"/>
              <w:bottom w:val="single" w:sz="4" w:space="0" w:color="000000"/>
              <w:right w:val="single" w:sz="4" w:space="0" w:color="auto"/>
            </w:tcBorders>
            <w:vAlign w:val="center"/>
            <w:hideMark/>
          </w:tcPr>
          <w:p w14:paraId="5F62B0F6"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p>
        </w:tc>
        <w:tc>
          <w:tcPr>
            <w:tcW w:w="131" w:type="pct"/>
            <w:tcBorders>
              <w:top w:val="nil"/>
              <w:left w:val="nil"/>
              <w:bottom w:val="single" w:sz="4" w:space="0" w:color="auto"/>
              <w:right w:val="single" w:sz="4" w:space="0" w:color="auto"/>
            </w:tcBorders>
            <w:shd w:val="clear" w:color="auto" w:fill="auto"/>
            <w:vAlign w:val="center"/>
            <w:hideMark/>
          </w:tcPr>
          <w:p w14:paraId="682BAC86"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P4</w:t>
            </w:r>
          </w:p>
        </w:tc>
        <w:tc>
          <w:tcPr>
            <w:tcW w:w="352" w:type="pct"/>
            <w:tcBorders>
              <w:top w:val="nil"/>
              <w:left w:val="nil"/>
              <w:bottom w:val="nil"/>
              <w:right w:val="nil"/>
            </w:tcBorders>
            <w:shd w:val="clear" w:color="auto" w:fill="auto"/>
            <w:vAlign w:val="center"/>
            <w:hideMark/>
          </w:tcPr>
          <w:p w14:paraId="6E8684BE"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p>
        </w:tc>
        <w:tc>
          <w:tcPr>
            <w:tcW w:w="300" w:type="pct"/>
            <w:tcBorders>
              <w:top w:val="nil"/>
              <w:left w:val="single" w:sz="4" w:space="0" w:color="auto"/>
              <w:bottom w:val="nil"/>
              <w:right w:val="single" w:sz="4" w:space="0" w:color="auto"/>
            </w:tcBorders>
            <w:shd w:val="clear" w:color="auto" w:fill="auto"/>
            <w:vAlign w:val="center"/>
            <w:hideMark/>
          </w:tcPr>
          <w:p w14:paraId="399F54BA"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503" w:type="pct"/>
            <w:tcBorders>
              <w:top w:val="nil"/>
              <w:left w:val="nil"/>
              <w:bottom w:val="nil"/>
              <w:right w:val="single" w:sz="4" w:space="0" w:color="auto"/>
            </w:tcBorders>
            <w:shd w:val="clear" w:color="auto" w:fill="auto"/>
            <w:vAlign w:val="center"/>
            <w:hideMark/>
          </w:tcPr>
          <w:p w14:paraId="30822608"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277" w:type="pct"/>
            <w:tcBorders>
              <w:top w:val="nil"/>
              <w:left w:val="nil"/>
              <w:bottom w:val="nil"/>
              <w:right w:val="single" w:sz="4" w:space="0" w:color="auto"/>
            </w:tcBorders>
            <w:shd w:val="clear" w:color="auto" w:fill="auto"/>
            <w:vAlign w:val="center"/>
            <w:hideMark/>
          </w:tcPr>
          <w:p w14:paraId="0BF9DF2B"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44" w:type="pct"/>
            <w:tcBorders>
              <w:top w:val="nil"/>
              <w:left w:val="nil"/>
              <w:bottom w:val="nil"/>
              <w:right w:val="single" w:sz="4" w:space="0" w:color="auto"/>
            </w:tcBorders>
            <w:shd w:val="clear" w:color="auto" w:fill="auto"/>
            <w:vAlign w:val="center"/>
            <w:hideMark/>
          </w:tcPr>
          <w:p w14:paraId="0BF33B6F"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00" w:type="pct"/>
            <w:tcBorders>
              <w:top w:val="nil"/>
              <w:left w:val="nil"/>
              <w:bottom w:val="nil"/>
              <w:right w:val="single" w:sz="4" w:space="0" w:color="auto"/>
            </w:tcBorders>
            <w:shd w:val="clear" w:color="auto" w:fill="auto"/>
            <w:vAlign w:val="center"/>
            <w:hideMark/>
          </w:tcPr>
          <w:p w14:paraId="0D3BB764"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503" w:type="pct"/>
            <w:tcBorders>
              <w:top w:val="nil"/>
              <w:left w:val="nil"/>
              <w:bottom w:val="nil"/>
              <w:right w:val="single" w:sz="4" w:space="0" w:color="auto"/>
            </w:tcBorders>
            <w:shd w:val="clear" w:color="auto" w:fill="auto"/>
            <w:vAlign w:val="center"/>
            <w:hideMark/>
          </w:tcPr>
          <w:p w14:paraId="46F7354B"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277" w:type="pct"/>
            <w:tcBorders>
              <w:top w:val="nil"/>
              <w:left w:val="nil"/>
              <w:bottom w:val="nil"/>
              <w:right w:val="single" w:sz="4" w:space="0" w:color="auto"/>
            </w:tcBorders>
            <w:shd w:val="clear" w:color="auto" w:fill="auto"/>
            <w:vAlign w:val="center"/>
            <w:hideMark/>
          </w:tcPr>
          <w:p w14:paraId="14C46068"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60" w:type="pct"/>
            <w:tcBorders>
              <w:top w:val="nil"/>
              <w:left w:val="nil"/>
              <w:bottom w:val="nil"/>
              <w:right w:val="single" w:sz="4" w:space="0" w:color="auto"/>
            </w:tcBorders>
            <w:shd w:val="clear" w:color="auto" w:fill="auto"/>
            <w:vAlign w:val="center"/>
            <w:hideMark/>
          </w:tcPr>
          <w:p w14:paraId="4CB3274F"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00" w:type="pct"/>
            <w:tcBorders>
              <w:top w:val="nil"/>
              <w:left w:val="nil"/>
              <w:bottom w:val="nil"/>
              <w:right w:val="single" w:sz="4" w:space="0" w:color="auto"/>
            </w:tcBorders>
            <w:shd w:val="clear" w:color="auto" w:fill="auto"/>
            <w:vAlign w:val="center"/>
            <w:hideMark/>
          </w:tcPr>
          <w:p w14:paraId="0FF7DE04"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503" w:type="pct"/>
            <w:tcBorders>
              <w:top w:val="nil"/>
              <w:left w:val="nil"/>
              <w:bottom w:val="nil"/>
              <w:right w:val="single" w:sz="4" w:space="0" w:color="auto"/>
            </w:tcBorders>
            <w:shd w:val="clear" w:color="auto" w:fill="auto"/>
            <w:vAlign w:val="center"/>
            <w:hideMark/>
          </w:tcPr>
          <w:p w14:paraId="330CEA8A"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277" w:type="pct"/>
            <w:tcBorders>
              <w:top w:val="nil"/>
              <w:left w:val="nil"/>
              <w:bottom w:val="nil"/>
              <w:right w:val="single" w:sz="4" w:space="0" w:color="auto"/>
            </w:tcBorders>
            <w:shd w:val="clear" w:color="auto" w:fill="auto"/>
            <w:vAlign w:val="center"/>
            <w:hideMark/>
          </w:tcPr>
          <w:p w14:paraId="118E749F"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436" w:type="pct"/>
            <w:tcBorders>
              <w:top w:val="nil"/>
              <w:left w:val="nil"/>
              <w:bottom w:val="nil"/>
              <w:right w:val="single" w:sz="4" w:space="0" w:color="auto"/>
            </w:tcBorders>
            <w:shd w:val="clear" w:color="000000" w:fill="F2F2F2"/>
            <w:vAlign w:val="center"/>
            <w:hideMark/>
          </w:tcPr>
          <w:p w14:paraId="211CABFD"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w:t>
            </w:r>
          </w:p>
        </w:tc>
      </w:tr>
      <w:tr w:rsidR="00D712F1" w:rsidRPr="00AC0363" w14:paraId="2CB803E2" w14:textId="77777777" w:rsidTr="00395593">
        <w:trPr>
          <w:trHeight w:val="480"/>
        </w:trPr>
        <w:tc>
          <w:tcPr>
            <w:tcW w:w="137" w:type="pct"/>
            <w:vMerge/>
            <w:tcBorders>
              <w:top w:val="single" w:sz="4" w:space="0" w:color="auto"/>
              <w:left w:val="single" w:sz="4" w:space="0" w:color="auto"/>
              <w:bottom w:val="single" w:sz="4" w:space="0" w:color="000000"/>
              <w:right w:val="single" w:sz="4" w:space="0" w:color="auto"/>
            </w:tcBorders>
            <w:vAlign w:val="center"/>
            <w:hideMark/>
          </w:tcPr>
          <w:p w14:paraId="42062BAD"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p>
        </w:tc>
        <w:tc>
          <w:tcPr>
            <w:tcW w:w="131" w:type="pct"/>
            <w:tcBorders>
              <w:top w:val="nil"/>
              <w:left w:val="nil"/>
              <w:bottom w:val="single" w:sz="4" w:space="0" w:color="auto"/>
              <w:right w:val="single" w:sz="4" w:space="0" w:color="auto"/>
            </w:tcBorders>
            <w:shd w:val="clear" w:color="auto" w:fill="auto"/>
            <w:vAlign w:val="center"/>
            <w:hideMark/>
          </w:tcPr>
          <w:p w14:paraId="01C65DD3"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P5</w:t>
            </w:r>
          </w:p>
        </w:tc>
        <w:tc>
          <w:tcPr>
            <w:tcW w:w="352" w:type="pct"/>
            <w:tcBorders>
              <w:top w:val="nil"/>
              <w:left w:val="nil"/>
              <w:bottom w:val="single" w:sz="4" w:space="0" w:color="auto"/>
              <w:right w:val="nil"/>
            </w:tcBorders>
            <w:shd w:val="clear" w:color="auto" w:fill="auto"/>
            <w:vAlign w:val="center"/>
            <w:hideMark/>
          </w:tcPr>
          <w:p w14:paraId="320A1031"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00" w:type="pct"/>
            <w:tcBorders>
              <w:top w:val="nil"/>
              <w:left w:val="single" w:sz="4" w:space="0" w:color="auto"/>
              <w:bottom w:val="single" w:sz="4" w:space="0" w:color="auto"/>
              <w:right w:val="single" w:sz="4" w:space="0" w:color="auto"/>
            </w:tcBorders>
            <w:shd w:val="clear" w:color="auto" w:fill="auto"/>
            <w:vAlign w:val="center"/>
            <w:hideMark/>
          </w:tcPr>
          <w:p w14:paraId="471BE58B"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503" w:type="pct"/>
            <w:tcBorders>
              <w:top w:val="nil"/>
              <w:left w:val="nil"/>
              <w:bottom w:val="single" w:sz="4" w:space="0" w:color="auto"/>
              <w:right w:val="single" w:sz="4" w:space="0" w:color="auto"/>
            </w:tcBorders>
            <w:shd w:val="clear" w:color="auto" w:fill="auto"/>
            <w:vAlign w:val="center"/>
            <w:hideMark/>
          </w:tcPr>
          <w:p w14:paraId="1441E9C1"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277" w:type="pct"/>
            <w:tcBorders>
              <w:top w:val="nil"/>
              <w:left w:val="nil"/>
              <w:bottom w:val="single" w:sz="4" w:space="0" w:color="auto"/>
              <w:right w:val="single" w:sz="4" w:space="0" w:color="auto"/>
            </w:tcBorders>
            <w:shd w:val="clear" w:color="auto" w:fill="auto"/>
            <w:vAlign w:val="center"/>
            <w:hideMark/>
          </w:tcPr>
          <w:p w14:paraId="3FB145F0"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44" w:type="pct"/>
            <w:tcBorders>
              <w:top w:val="nil"/>
              <w:left w:val="nil"/>
              <w:bottom w:val="single" w:sz="4" w:space="0" w:color="auto"/>
              <w:right w:val="single" w:sz="4" w:space="0" w:color="auto"/>
            </w:tcBorders>
            <w:shd w:val="clear" w:color="auto" w:fill="auto"/>
            <w:vAlign w:val="center"/>
            <w:hideMark/>
          </w:tcPr>
          <w:p w14:paraId="0ED4E434"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00" w:type="pct"/>
            <w:tcBorders>
              <w:top w:val="nil"/>
              <w:left w:val="nil"/>
              <w:bottom w:val="single" w:sz="4" w:space="0" w:color="auto"/>
              <w:right w:val="single" w:sz="4" w:space="0" w:color="auto"/>
            </w:tcBorders>
            <w:shd w:val="clear" w:color="auto" w:fill="auto"/>
            <w:vAlign w:val="center"/>
            <w:hideMark/>
          </w:tcPr>
          <w:p w14:paraId="18435478"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503" w:type="pct"/>
            <w:tcBorders>
              <w:top w:val="nil"/>
              <w:left w:val="nil"/>
              <w:bottom w:val="single" w:sz="4" w:space="0" w:color="auto"/>
              <w:right w:val="single" w:sz="4" w:space="0" w:color="auto"/>
            </w:tcBorders>
            <w:shd w:val="clear" w:color="auto" w:fill="auto"/>
            <w:vAlign w:val="center"/>
            <w:hideMark/>
          </w:tcPr>
          <w:p w14:paraId="6A0C2E32"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277" w:type="pct"/>
            <w:tcBorders>
              <w:top w:val="nil"/>
              <w:left w:val="nil"/>
              <w:bottom w:val="single" w:sz="4" w:space="0" w:color="auto"/>
              <w:right w:val="single" w:sz="4" w:space="0" w:color="auto"/>
            </w:tcBorders>
            <w:shd w:val="clear" w:color="auto" w:fill="auto"/>
            <w:vAlign w:val="center"/>
            <w:hideMark/>
          </w:tcPr>
          <w:p w14:paraId="7055339D"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60" w:type="pct"/>
            <w:tcBorders>
              <w:top w:val="nil"/>
              <w:left w:val="nil"/>
              <w:bottom w:val="single" w:sz="4" w:space="0" w:color="auto"/>
              <w:right w:val="single" w:sz="4" w:space="0" w:color="auto"/>
            </w:tcBorders>
            <w:shd w:val="clear" w:color="auto" w:fill="auto"/>
            <w:vAlign w:val="center"/>
            <w:hideMark/>
          </w:tcPr>
          <w:p w14:paraId="0FAA0D1E"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300" w:type="pct"/>
            <w:tcBorders>
              <w:top w:val="nil"/>
              <w:left w:val="nil"/>
              <w:bottom w:val="single" w:sz="4" w:space="0" w:color="auto"/>
              <w:right w:val="single" w:sz="4" w:space="0" w:color="auto"/>
            </w:tcBorders>
            <w:shd w:val="clear" w:color="auto" w:fill="auto"/>
            <w:vAlign w:val="center"/>
            <w:hideMark/>
          </w:tcPr>
          <w:p w14:paraId="09C5EDC7"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503" w:type="pct"/>
            <w:tcBorders>
              <w:top w:val="nil"/>
              <w:left w:val="nil"/>
              <w:bottom w:val="single" w:sz="4" w:space="0" w:color="auto"/>
              <w:right w:val="single" w:sz="4" w:space="0" w:color="auto"/>
            </w:tcBorders>
            <w:shd w:val="clear" w:color="auto" w:fill="auto"/>
            <w:vAlign w:val="center"/>
            <w:hideMark/>
          </w:tcPr>
          <w:p w14:paraId="093F8F69"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277" w:type="pct"/>
            <w:tcBorders>
              <w:top w:val="nil"/>
              <w:left w:val="nil"/>
              <w:bottom w:val="single" w:sz="4" w:space="0" w:color="auto"/>
              <w:right w:val="single" w:sz="4" w:space="0" w:color="auto"/>
            </w:tcBorders>
            <w:shd w:val="clear" w:color="auto" w:fill="auto"/>
            <w:vAlign w:val="center"/>
            <w:hideMark/>
          </w:tcPr>
          <w:p w14:paraId="666D77BF" w14:textId="77777777" w:rsidR="00395593" w:rsidRPr="005C5CBD" w:rsidRDefault="00395593" w:rsidP="00E15FBB">
            <w:pPr>
              <w:spacing w:after="0" w:line="240" w:lineRule="auto"/>
              <w:jc w:val="right"/>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w:t>
            </w:r>
          </w:p>
        </w:tc>
        <w:tc>
          <w:tcPr>
            <w:tcW w:w="436" w:type="pct"/>
            <w:tcBorders>
              <w:top w:val="nil"/>
              <w:left w:val="nil"/>
              <w:bottom w:val="single" w:sz="4" w:space="0" w:color="auto"/>
              <w:right w:val="single" w:sz="4" w:space="0" w:color="auto"/>
            </w:tcBorders>
            <w:shd w:val="clear" w:color="000000" w:fill="F2F2F2"/>
            <w:vAlign w:val="center"/>
            <w:hideMark/>
          </w:tcPr>
          <w:p w14:paraId="1097DAF8"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w:t>
            </w:r>
          </w:p>
        </w:tc>
      </w:tr>
    </w:tbl>
    <w:p w14:paraId="2A79B9E3"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p>
    <w:tbl>
      <w:tblPr>
        <w:tblW w:w="5000" w:type="pct"/>
        <w:tblCellMar>
          <w:left w:w="70" w:type="dxa"/>
          <w:right w:w="70" w:type="dxa"/>
        </w:tblCellMar>
        <w:tblLook w:val="04A0" w:firstRow="1" w:lastRow="0" w:firstColumn="1" w:lastColumn="0" w:noHBand="0" w:noVBand="1"/>
      </w:tblPr>
      <w:tblGrid>
        <w:gridCol w:w="767"/>
        <w:gridCol w:w="1887"/>
        <w:gridCol w:w="1951"/>
        <w:gridCol w:w="2396"/>
        <w:gridCol w:w="2954"/>
        <w:gridCol w:w="2394"/>
        <w:gridCol w:w="1649"/>
      </w:tblGrid>
      <w:tr w:rsidR="00395593" w:rsidRPr="004F3D8C" w14:paraId="781CD1C3" w14:textId="77777777" w:rsidTr="00395593">
        <w:trPr>
          <w:cantSplit/>
          <w:trHeight w:val="20"/>
        </w:trPr>
        <w:tc>
          <w:tcPr>
            <w:tcW w:w="274" w:type="pct"/>
            <w:tcBorders>
              <w:top w:val="nil"/>
              <w:left w:val="nil"/>
              <w:bottom w:val="nil"/>
              <w:right w:val="nil"/>
            </w:tcBorders>
            <w:shd w:val="clear" w:color="auto" w:fill="auto"/>
            <w:noWrap/>
            <w:vAlign w:val="bottom"/>
            <w:hideMark/>
          </w:tcPr>
          <w:p w14:paraId="1ADD0991"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r w:rsidRPr="005C5CBD">
              <w:rPr>
                <w:rFonts w:ascii="Garamond" w:eastAsia="Times New Roman" w:hAnsi="Garamond" w:cs="Calibri"/>
                <w:sz w:val="24"/>
                <w:szCs w:val="24"/>
                <w:lang w:eastAsia="pt-BR"/>
              </w:rPr>
              <w:br w:type="page"/>
            </w:r>
          </w:p>
        </w:tc>
        <w:tc>
          <w:tcPr>
            <w:tcW w:w="674" w:type="pct"/>
            <w:tcBorders>
              <w:top w:val="nil"/>
              <w:left w:val="nil"/>
              <w:bottom w:val="nil"/>
              <w:right w:val="nil"/>
            </w:tcBorders>
            <w:shd w:val="clear" w:color="auto" w:fill="auto"/>
            <w:noWrap/>
            <w:vAlign w:val="bottom"/>
            <w:hideMark/>
          </w:tcPr>
          <w:p w14:paraId="2CC4B9D2"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4052"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19855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TERCEIRIZADOS - PRODUTO </w:t>
            </w:r>
          </w:p>
        </w:tc>
      </w:tr>
      <w:tr w:rsidR="00395593" w:rsidRPr="004F3D8C" w14:paraId="279B56F7" w14:textId="77777777" w:rsidTr="00395593">
        <w:trPr>
          <w:cantSplit/>
          <w:trHeight w:val="20"/>
        </w:trPr>
        <w:tc>
          <w:tcPr>
            <w:tcW w:w="274" w:type="pct"/>
            <w:tcBorders>
              <w:top w:val="nil"/>
              <w:left w:val="nil"/>
              <w:bottom w:val="nil"/>
              <w:right w:val="nil"/>
            </w:tcBorders>
            <w:shd w:val="clear" w:color="auto" w:fill="auto"/>
            <w:noWrap/>
            <w:vAlign w:val="bottom"/>
            <w:hideMark/>
          </w:tcPr>
          <w:p w14:paraId="04A81569"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674" w:type="pct"/>
            <w:tcBorders>
              <w:top w:val="nil"/>
              <w:left w:val="nil"/>
              <w:bottom w:val="nil"/>
              <w:right w:val="nil"/>
            </w:tcBorders>
            <w:shd w:val="clear" w:color="auto" w:fill="auto"/>
            <w:noWrap/>
            <w:vAlign w:val="bottom"/>
            <w:hideMark/>
          </w:tcPr>
          <w:p w14:paraId="3F4A2274"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346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896A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Despesas com Mão de Obra terceirizada </w:t>
            </w:r>
          </w:p>
        </w:tc>
        <w:tc>
          <w:tcPr>
            <w:tcW w:w="58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586EB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Total </w:t>
            </w:r>
          </w:p>
        </w:tc>
      </w:tr>
      <w:tr w:rsidR="00395593" w:rsidRPr="004F3D8C" w14:paraId="18F2A863" w14:textId="77777777" w:rsidTr="00395593">
        <w:trPr>
          <w:cantSplit/>
          <w:trHeight w:val="20"/>
        </w:trPr>
        <w:tc>
          <w:tcPr>
            <w:tcW w:w="274" w:type="pct"/>
            <w:tcBorders>
              <w:top w:val="nil"/>
              <w:left w:val="nil"/>
              <w:bottom w:val="nil"/>
              <w:right w:val="nil"/>
            </w:tcBorders>
            <w:shd w:val="clear" w:color="auto" w:fill="auto"/>
            <w:noWrap/>
            <w:vAlign w:val="bottom"/>
            <w:hideMark/>
          </w:tcPr>
          <w:p w14:paraId="0D641355"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674" w:type="pct"/>
            <w:tcBorders>
              <w:top w:val="nil"/>
              <w:left w:val="nil"/>
              <w:bottom w:val="nil"/>
              <w:right w:val="nil"/>
            </w:tcBorders>
            <w:shd w:val="clear" w:color="auto" w:fill="auto"/>
            <w:noWrap/>
            <w:vAlign w:val="bottom"/>
            <w:hideMark/>
          </w:tcPr>
          <w:p w14:paraId="53464FF0" w14:textId="77777777" w:rsidR="00395593" w:rsidRPr="005C5CBD" w:rsidRDefault="00395593" w:rsidP="00E15FBB">
            <w:pPr>
              <w:spacing w:after="0" w:line="240" w:lineRule="auto"/>
              <w:rPr>
                <w:rFonts w:ascii="Garamond" w:eastAsia="Times New Roman" w:hAnsi="Garamond" w:cs="Calibri"/>
                <w:color w:val="000000"/>
                <w:sz w:val="24"/>
                <w:szCs w:val="24"/>
                <w:lang w:eastAsia="pt-BR"/>
              </w:rPr>
            </w:pPr>
          </w:p>
        </w:tc>
        <w:tc>
          <w:tcPr>
            <w:tcW w:w="15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757C8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Produção </w:t>
            </w:r>
          </w:p>
        </w:tc>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14:paraId="75375F2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Administração </w:t>
            </w:r>
          </w:p>
        </w:tc>
        <w:tc>
          <w:tcPr>
            <w:tcW w:w="855" w:type="pct"/>
            <w:vMerge w:val="restart"/>
            <w:tcBorders>
              <w:top w:val="nil"/>
              <w:left w:val="single" w:sz="4" w:space="0" w:color="auto"/>
              <w:bottom w:val="single" w:sz="4" w:space="0" w:color="auto"/>
              <w:right w:val="single" w:sz="4" w:space="0" w:color="auto"/>
            </w:tcBorders>
            <w:shd w:val="clear" w:color="auto" w:fill="auto"/>
            <w:vAlign w:val="center"/>
            <w:hideMark/>
          </w:tcPr>
          <w:p w14:paraId="684A044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Vendas </w:t>
            </w:r>
          </w:p>
        </w:tc>
        <w:tc>
          <w:tcPr>
            <w:tcW w:w="589" w:type="pct"/>
            <w:vMerge/>
            <w:tcBorders>
              <w:top w:val="nil"/>
              <w:left w:val="single" w:sz="4" w:space="0" w:color="auto"/>
              <w:bottom w:val="single" w:sz="4" w:space="0" w:color="auto"/>
              <w:right w:val="single" w:sz="4" w:space="0" w:color="auto"/>
            </w:tcBorders>
            <w:vAlign w:val="center"/>
            <w:hideMark/>
          </w:tcPr>
          <w:p w14:paraId="7A93F388"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r>
      <w:tr w:rsidR="00395593" w:rsidRPr="004F3D8C" w14:paraId="160FBD25" w14:textId="77777777" w:rsidTr="00395593">
        <w:trPr>
          <w:cantSplit/>
          <w:trHeight w:val="20"/>
        </w:trPr>
        <w:tc>
          <w:tcPr>
            <w:tcW w:w="274" w:type="pct"/>
            <w:tcBorders>
              <w:top w:val="nil"/>
              <w:left w:val="nil"/>
              <w:bottom w:val="nil"/>
              <w:right w:val="nil"/>
            </w:tcBorders>
            <w:shd w:val="clear" w:color="auto" w:fill="auto"/>
            <w:noWrap/>
            <w:vAlign w:val="bottom"/>
            <w:hideMark/>
          </w:tcPr>
          <w:p w14:paraId="30329ABC" w14:textId="77777777" w:rsidR="00395593" w:rsidRPr="005C5CBD" w:rsidRDefault="00395593" w:rsidP="00E15FBB">
            <w:pPr>
              <w:spacing w:after="0" w:line="240" w:lineRule="auto"/>
              <w:rPr>
                <w:rFonts w:ascii="Garamond" w:eastAsia="Times New Roman" w:hAnsi="Garamond" w:cs="Calibri"/>
                <w:color w:val="FF0000"/>
                <w:sz w:val="24"/>
                <w:szCs w:val="24"/>
                <w:lang w:eastAsia="pt-BR"/>
              </w:rPr>
            </w:pPr>
          </w:p>
        </w:tc>
        <w:tc>
          <w:tcPr>
            <w:tcW w:w="674" w:type="pct"/>
            <w:tcBorders>
              <w:top w:val="single" w:sz="4" w:space="0" w:color="auto"/>
              <w:left w:val="single" w:sz="4" w:space="0" w:color="auto"/>
              <w:bottom w:val="single" w:sz="4" w:space="0" w:color="auto"/>
              <w:right w:val="nil"/>
            </w:tcBorders>
            <w:shd w:val="clear" w:color="auto" w:fill="auto"/>
            <w:vAlign w:val="center"/>
            <w:hideMark/>
          </w:tcPr>
          <w:p w14:paraId="2066DDB0"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 xml:space="preserve">Empresa </w:t>
            </w:r>
          </w:p>
        </w:tc>
        <w:tc>
          <w:tcPr>
            <w:tcW w:w="697" w:type="pct"/>
            <w:tcBorders>
              <w:top w:val="nil"/>
              <w:left w:val="single" w:sz="4" w:space="0" w:color="auto"/>
              <w:bottom w:val="single" w:sz="4" w:space="0" w:color="auto"/>
              <w:right w:val="single" w:sz="4" w:space="0" w:color="auto"/>
            </w:tcBorders>
            <w:shd w:val="clear" w:color="auto" w:fill="auto"/>
            <w:vAlign w:val="center"/>
            <w:hideMark/>
          </w:tcPr>
          <w:p w14:paraId="2553760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Direta </w:t>
            </w:r>
          </w:p>
        </w:tc>
        <w:tc>
          <w:tcPr>
            <w:tcW w:w="855" w:type="pct"/>
            <w:tcBorders>
              <w:top w:val="nil"/>
              <w:left w:val="nil"/>
              <w:bottom w:val="single" w:sz="4" w:space="0" w:color="auto"/>
              <w:right w:val="single" w:sz="4" w:space="0" w:color="auto"/>
            </w:tcBorders>
            <w:shd w:val="clear" w:color="auto" w:fill="auto"/>
            <w:vAlign w:val="center"/>
            <w:hideMark/>
          </w:tcPr>
          <w:p w14:paraId="0DE433F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Indireta </w:t>
            </w:r>
          </w:p>
        </w:tc>
        <w:tc>
          <w:tcPr>
            <w:tcW w:w="1055" w:type="pct"/>
            <w:vMerge/>
            <w:tcBorders>
              <w:top w:val="nil"/>
              <w:left w:val="single" w:sz="4" w:space="0" w:color="auto"/>
              <w:bottom w:val="single" w:sz="4" w:space="0" w:color="auto"/>
              <w:right w:val="single" w:sz="4" w:space="0" w:color="auto"/>
            </w:tcBorders>
            <w:vAlign w:val="center"/>
            <w:hideMark/>
          </w:tcPr>
          <w:p w14:paraId="06A9D4B6"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855" w:type="pct"/>
            <w:vMerge/>
            <w:tcBorders>
              <w:top w:val="nil"/>
              <w:left w:val="single" w:sz="4" w:space="0" w:color="auto"/>
              <w:bottom w:val="single" w:sz="4" w:space="0" w:color="auto"/>
              <w:right w:val="single" w:sz="4" w:space="0" w:color="auto"/>
            </w:tcBorders>
            <w:vAlign w:val="center"/>
            <w:hideMark/>
          </w:tcPr>
          <w:p w14:paraId="3C51FF04"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589" w:type="pct"/>
            <w:vMerge/>
            <w:tcBorders>
              <w:top w:val="nil"/>
              <w:left w:val="single" w:sz="4" w:space="0" w:color="auto"/>
              <w:bottom w:val="single" w:sz="4" w:space="0" w:color="auto"/>
              <w:right w:val="single" w:sz="4" w:space="0" w:color="auto"/>
            </w:tcBorders>
            <w:vAlign w:val="center"/>
            <w:hideMark/>
          </w:tcPr>
          <w:p w14:paraId="30B11F6F"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r>
      <w:tr w:rsidR="00395593" w:rsidRPr="004F3D8C" w14:paraId="21D7B730" w14:textId="77777777" w:rsidTr="00395593">
        <w:trPr>
          <w:cantSplit/>
          <w:trHeight w:val="20"/>
        </w:trPr>
        <w:tc>
          <w:tcPr>
            <w:tcW w:w="274"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4D7E36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Período</w:t>
            </w:r>
          </w:p>
        </w:tc>
        <w:tc>
          <w:tcPr>
            <w:tcW w:w="674" w:type="pct"/>
            <w:tcBorders>
              <w:top w:val="nil"/>
              <w:left w:val="nil"/>
              <w:bottom w:val="single" w:sz="4" w:space="0" w:color="auto"/>
              <w:right w:val="single" w:sz="4" w:space="0" w:color="auto"/>
            </w:tcBorders>
            <w:shd w:val="clear" w:color="auto" w:fill="auto"/>
            <w:vAlign w:val="center"/>
            <w:hideMark/>
          </w:tcPr>
          <w:p w14:paraId="193C7BC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P1</w:t>
            </w:r>
          </w:p>
        </w:tc>
        <w:tc>
          <w:tcPr>
            <w:tcW w:w="697" w:type="pct"/>
            <w:tcBorders>
              <w:top w:val="nil"/>
              <w:left w:val="nil"/>
              <w:bottom w:val="nil"/>
              <w:right w:val="nil"/>
            </w:tcBorders>
            <w:shd w:val="clear" w:color="auto" w:fill="auto"/>
            <w:vAlign w:val="center"/>
            <w:hideMark/>
          </w:tcPr>
          <w:p w14:paraId="40665219"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c>
          <w:tcPr>
            <w:tcW w:w="855" w:type="pct"/>
            <w:tcBorders>
              <w:top w:val="nil"/>
              <w:left w:val="single" w:sz="4" w:space="0" w:color="auto"/>
              <w:bottom w:val="nil"/>
              <w:right w:val="single" w:sz="4" w:space="0" w:color="auto"/>
            </w:tcBorders>
            <w:shd w:val="clear" w:color="auto" w:fill="auto"/>
            <w:vAlign w:val="center"/>
            <w:hideMark/>
          </w:tcPr>
          <w:p w14:paraId="30684EC4"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1055" w:type="pct"/>
            <w:tcBorders>
              <w:top w:val="nil"/>
              <w:left w:val="nil"/>
              <w:bottom w:val="nil"/>
              <w:right w:val="single" w:sz="4" w:space="0" w:color="auto"/>
            </w:tcBorders>
            <w:shd w:val="clear" w:color="auto" w:fill="auto"/>
            <w:vAlign w:val="center"/>
            <w:hideMark/>
          </w:tcPr>
          <w:p w14:paraId="2CA28C32"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855" w:type="pct"/>
            <w:tcBorders>
              <w:top w:val="nil"/>
              <w:left w:val="nil"/>
              <w:bottom w:val="nil"/>
              <w:right w:val="single" w:sz="4" w:space="0" w:color="auto"/>
            </w:tcBorders>
            <w:shd w:val="clear" w:color="auto" w:fill="auto"/>
            <w:vAlign w:val="center"/>
            <w:hideMark/>
          </w:tcPr>
          <w:p w14:paraId="72E92F94"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589" w:type="pct"/>
            <w:tcBorders>
              <w:top w:val="nil"/>
              <w:left w:val="nil"/>
              <w:bottom w:val="nil"/>
              <w:right w:val="single" w:sz="4" w:space="0" w:color="auto"/>
            </w:tcBorders>
            <w:shd w:val="clear" w:color="000000" w:fill="F2F2F2"/>
            <w:vAlign w:val="center"/>
            <w:hideMark/>
          </w:tcPr>
          <w:p w14:paraId="76D343A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4F3D8C" w14:paraId="5DA2276B" w14:textId="77777777" w:rsidTr="00395593">
        <w:trPr>
          <w:cantSplit/>
          <w:trHeight w:val="20"/>
        </w:trPr>
        <w:tc>
          <w:tcPr>
            <w:tcW w:w="274" w:type="pct"/>
            <w:vMerge/>
            <w:tcBorders>
              <w:top w:val="single" w:sz="4" w:space="0" w:color="auto"/>
              <w:left w:val="single" w:sz="4" w:space="0" w:color="auto"/>
              <w:bottom w:val="single" w:sz="4" w:space="0" w:color="000000"/>
              <w:right w:val="single" w:sz="4" w:space="0" w:color="auto"/>
            </w:tcBorders>
            <w:vAlign w:val="center"/>
            <w:hideMark/>
          </w:tcPr>
          <w:p w14:paraId="6B9B6B9A"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674" w:type="pct"/>
            <w:tcBorders>
              <w:top w:val="nil"/>
              <w:left w:val="nil"/>
              <w:bottom w:val="single" w:sz="4" w:space="0" w:color="auto"/>
              <w:right w:val="single" w:sz="4" w:space="0" w:color="auto"/>
            </w:tcBorders>
            <w:shd w:val="clear" w:color="auto" w:fill="auto"/>
            <w:vAlign w:val="center"/>
            <w:hideMark/>
          </w:tcPr>
          <w:p w14:paraId="447BD18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P2</w:t>
            </w:r>
          </w:p>
        </w:tc>
        <w:tc>
          <w:tcPr>
            <w:tcW w:w="697" w:type="pct"/>
            <w:tcBorders>
              <w:top w:val="nil"/>
              <w:left w:val="nil"/>
              <w:bottom w:val="nil"/>
              <w:right w:val="nil"/>
            </w:tcBorders>
            <w:shd w:val="clear" w:color="auto" w:fill="auto"/>
            <w:vAlign w:val="center"/>
            <w:hideMark/>
          </w:tcPr>
          <w:p w14:paraId="5D2124B1"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c>
          <w:tcPr>
            <w:tcW w:w="855" w:type="pct"/>
            <w:tcBorders>
              <w:top w:val="nil"/>
              <w:left w:val="single" w:sz="4" w:space="0" w:color="auto"/>
              <w:bottom w:val="nil"/>
              <w:right w:val="single" w:sz="4" w:space="0" w:color="auto"/>
            </w:tcBorders>
            <w:shd w:val="clear" w:color="auto" w:fill="auto"/>
            <w:vAlign w:val="center"/>
            <w:hideMark/>
          </w:tcPr>
          <w:p w14:paraId="5B898A8B"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1055" w:type="pct"/>
            <w:tcBorders>
              <w:top w:val="nil"/>
              <w:left w:val="nil"/>
              <w:bottom w:val="nil"/>
              <w:right w:val="single" w:sz="4" w:space="0" w:color="auto"/>
            </w:tcBorders>
            <w:shd w:val="clear" w:color="auto" w:fill="auto"/>
            <w:vAlign w:val="center"/>
            <w:hideMark/>
          </w:tcPr>
          <w:p w14:paraId="4694D415"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855" w:type="pct"/>
            <w:tcBorders>
              <w:top w:val="nil"/>
              <w:left w:val="nil"/>
              <w:bottom w:val="nil"/>
              <w:right w:val="single" w:sz="4" w:space="0" w:color="auto"/>
            </w:tcBorders>
            <w:shd w:val="clear" w:color="auto" w:fill="auto"/>
            <w:vAlign w:val="center"/>
            <w:hideMark/>
          </w:tcPr>
          <w:p w14:paraId="5698FE72"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589" w:type="pct"/>
            <w:tcBorders>
              <w:top w:val="nil"/>
              <w:left w:val="nil"/>
              <w:bottom w:val="nil"/>
              <w:right w:val="single" w:sz="4" w:space="0" w:color="auto"/>
            </w:tcBorders>
            <w:shd w:val="clear" w:color="000000" w:fill="F2F2F2"/>
            <w:vAlign w:val="center"/>
            <w:hideMark/>
          </w:tcPr>
          <w:p w14:paraId="46664CE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4F3D8C" w14:paraId="348053A5" w14:textId="77777777" w:rsidTr="00395593">
        <w:trPr>
          <w:cantSplit/>
          <w:trHeight w:val="20"/>
        </w:trPr>
        <w:tc>
          <w:tcPr>
            <w:tcW w:w="274" w:type="pct"/>
            <w:vMerge/>
            <w:tcBorders>
              <w:top w:val="single" w:sz="4" w:space="0" w:color="auto"/>
              <w:left w:val="single" w:sz="4" w:space="0" w:color="auto"/>
              <w:bottom w:val="single" w:sz="4" w:space="0" w:color="000000"/>
              <w:right w:val="single" w:sz="4" w:space="0" w:color="auto"/>
            </w:tcBorders>
            <w:vAlign w:val="center"/>
            <w:hideMark/>
          </w:tcPr>
          <w:p w14:paraId="30CF0F5C"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674" w:type="pct"/>
            <w:tcBorders>
              <w:top w:val="nil"/>
              <w:left w:val="nil"/>
              <w:bottom w:val="single" w:sz="4" w:space="0" w:color="auto"/>
              <w:right w:val="single" w:sz="4" w:space="0" w:color="auto"/>
            </w:tcBorders>
            <w:shd w:val="clear" w:color="auto" w:fill="auto"/>
            <w:vAlign w:val="center"/>
            <w:hideMark/>
          </w:tcPr>
          <w:p w14:paraId="128D0DF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P3</w:t>
            </w:r>
          </w:p>
        </w:tc>
        <w:tc>
          <w:tcPr>
            <w:tcW w:w="697" w:type="pct"/>
            <w:tcBorders>
              <w:top w:val="nil"/>
              <w:left w:val="nil"/>
              <w:bottom w:val="nil"/>
              <w:right w:val="nil"/>
            </w:tcBorders>
            <w:shd w:val="clear" w:color="auto" w:fill="auto"/>
            <w:vAlign w:val="center"/>
            <w:hideMark/>
          </w:tcPr>
          <w:p w14:paraId="485CC85E"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c>
          <w:tcPr>
            <w:tcW w:w="855" w:type="pct"/>
            <w:tcBorders>
              <w:top w:val="nil"/>
              <w:left w:val="single" w:sz="4" w:space="0" w:color="auto"/>
              <w:bottom w:val="nil"/>
              <w:right w:val="single" w:sz="4" w:space="0" w:color="auto"/>
            </w:tcBorders>
            <w:shd w:val="clear" w:color="auto" w:fill="auto"/>
            <w:vAlign w:val="center"/>
            <w:hideMark/>
          </w:tcPr>
          <w:p w14:paraId="2A7F949E"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1055" w:type="pct"/>
            <w:tcBorders>
              <w:top w:val="nil"/>
              <w:left w:val="nil"/>
              <w:bottom w:val="nil"/>
              <w:right w:val="single" w:sz="4" w:space="0" w:color="auto"/>
            </w:tcBorders>
            <w:shd w:val="clear" w:color="auto" w:fill="auto"/>
            <w:vAlign w:val="center"/>
            <w:hideMark/>
          </w:tcPr>
          <w:p w14:paraId="7B753C66"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855" w:type="pct"/>
            <w:tcBorders>
              <w:top w:val="nil"/>
              <w:left w:val="nil"/>
              <w:bottom w:val="nil"/>
              <w:right w:val="single" w:sz="4" w:space="0" w:color="auto"/>
            </w:tcBorders>
            <w:shd w:val="clear" w:color="auto" w:fill="auto"/>
            <w:vAlign w:val="center"/>
            <w:hideMark/>
          </w:tcPr>
          <w:p w14:paraId="5B9B0E70"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589" w:type="pct"/>
            <w:tcBorders>
              <w:top w:val="nil"/>
              <w:left w:val="nil"/>
              <w:bottom w:val="nil"/>
              <w:right w:val="single" w:sz="4" w:space="0" w:color="auto"/>
            </w:tcBorders>
            <w:shd w:val="clear" w:color="000000" w:fill="F2F2F2"/>
            <w:vAlign w:val="center"/>
            <w:hideMark/>
          </w:tcPr>
          <w:p w14:paraId="6685C26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4F3D8C" w14:paraId="0C6F5504" w14:textId="77777777" w:rsidTr="00395593">
        <w:trPr>
          <w:cantSplit/>
          <w:trHeight w:val="20"/>
        </w:trPr>
        <w:tc>
          <w:tcPr>
            <w:tcW w:w="274" w:type="pct"/>
            <w:vMerge/>
            <w:tcBorders>
              <w:top w:val="single" w:sz="4" w:space="0" w:color="auto"/>
              <w:left w:val="single" w:sz="4" w:space="0" w:color="auto"/>
              <w:bottom w:val="single" w:sz="4" w:space="0" w:color="000000"/>
              <w:right w:val="single" w:sz="4" w:space="0" w:color="auto"/>
            </w:tcBorders>
            <w:vAlign w:val="center"/>
            <w:hideMark/>
          </w:tcPr>
          <w:p w14:paraId="3A15B370"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674" w:type="pct"/>
            <w:tcBorders>
              <w:top w:val="nil"/>
              <w:left w:val="nil"/>
              <w:bottom w:val="single" w:sz="4" w:space="0" w:color="auto"/>
              <w:right w:val="single" w:sz="4" w:space="0" w:color="auto"/>
            </w:tcBorders>
            <w:shd w:val="clear" w:color="auto" w:fill="auto"/>
            <w:vAlign w:val="center"/>
            <w:hideMark/>
          </w:tcPr>
          <w:p w14:paraId="6D91A90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P4</w:t>
            </w:r>
          </w:p>
        </w:tc>
        <w:tc>
          <w:tcPr>
            <w:tcW w:w="697" w:type="pct"/>
            <w:tcBorders>
              <w:top w:val="nil"/>
              <w:left w:val="nil"/>
              <w:bottom w:val="nil"/>
              <w:right w:val="nil"/>
            </w:tcBorders>
            <w:shd w:val="clear" w:color="auto" w:fill="auto"/>
            <w:vAlign w:val="center"/>
            <w:hideMark/>
          </w:tcPr>
          <w:p w14:paraId="080D52A0"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p>
        </w:tc>
        <w:tc>
          <w:tcPr>
            <w:tcW w:w="855" w:type="pct"/>
            <w:tcBorders>
              <w:top w:val="nil"/>
              <w:left w:val="single" w:sz="4" w:space="0" w:color="auto"/>
              <w:bottom w:val="nil"/>
              <w:right w:val="single" w:sz="4" w:space="0" w:color="auto"/>
            </w:tcBorders>
            <w:shd w:val="clear" w:color="auto" w:fill="auto"/>
            <w:vAlign w:val="center"/>
            <w:hideMark/>
          </w:tcPr>
          <w:p w14:paraId="02276DB7"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1055" w:type="pct"/>
            <w:tcBorders>
              <w:top w:val="nil"/>
              <w:left w:val="nil"/>
              <w:bottom w:val="nil"/>
              <w:right w:val="single" w:sz="4" w:space="0" w:color="auto"/>
            </w:tcBorders>
            <w:shd w:val="clear" w:color="auto" w:fill="auto"/>
            <w:vAlign w:val="center"/>
            <w:hideMark/>
          </w:tcPr>
          <w:p w14:paraId="3DA8B1B0"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855" w:type="pct"/>
            <w:tcBorders>
              <w:top w:val="nil"/>
              <w:left w:val="nil"/>
              <w:bottom w:val="nil"/>
              <w:right w:val="single" w:sz="4" w:space="0" w:color="auto"/>
            </w:tcBorders>
            <w:shd w:val="clear" w:color="auto" w:fill="auto"/>
            <w:vAlign w:val="center"/>
            <w:hideMark/>
          </w:tcPr>
          <w:p w14:paraId="0BB58D3A"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589" w:type="pct"/>
            <w:tcBorders>
              <w:top w:val="nil"/>
              <w:left w:val="nil"/>
              <w:bottom w:val="nil"/>
              <w:right w:val="single" w:sz="4" w:space="0" w:color="auto"/>
            </w:tcBorders>
            <w:shd w:val="clear" w:color="000000" w:fill="F2F2F2"/>
            <w:vAlign w:val="center"/>
            <w:hideMark/>
          </w:tcPr>
          <w:p w14:paraId="4EF79DD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r w:rsidR="00395593" w:rsidRPr="004F3D8C" w14:paraId="729D3457" w14:textId="77777777" w:rsidTr="00395593">
        <w:trPr>
          <w:cantSplit/>
          <w:trHeight w:val="20"/>
        </w:trPr>
        <w:tc>
          <w:tcPr>
            <w:tcW w:w="274" w:type="pct"/>
            <w:vMerge/>
            <w:tcBorders>
              <w:top w:val="single" w:sz="4" w:space="0" w:color="auto"/>
              <w:left w:val="single" w:sz="4" w:space="0" w:color="auto"/>
              <w:bottom w:val="single" w:sz="4" w:space="0" w:color="000000"/>
              <w:right w:val="single" w:sz="4" w:space="0" w:color="auto"/>
            </w:tcBorders>
            <w:vAlign w:val="center"/>
            <w:hideMark/>
          </w:tcPr>
          <w:p w14:paraId="261D435C"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p>
        </w:tc>
        <w:tc>
          <w:tcPr>
            <w:tcW w:w="674" w:type="pct"/>
            <w:tcBorders>
              <w:top w:val="nil"/>
              <w:left w:val="nil"/>
              <w:bottom w:val="single" w:sz="4" w:space="0" w:color="auto"/>
              <w:right w:val="single" w:sz="4" w:space="0" w:color="auto"/>
            </w:tcBorders>
            <w:shd w:val="clear" w:color="auto" w:fill="auto"/>
            <w:vAlign w:val="center"/>
            <w:hideMark/>
          </w:tcPr>
          <w:p w14:paraId="4BADF02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P5</w:t>
            </w:r>
          </w:p>
        </w:tc>
        <w:tc>
          <w:tcPr>
            <w:tcW w:w="697" w:type="pct"/>
            <w:tcBorders>
              <w:top w:val="nil"/>
              <w:left w:val="nil"/>
              <w:bottom w:val="single" w:sz="4" w:space="0" w:color="auto"/>
              <w:right w:val="nil"/>
            </w:tcBorders>
            <w:shd w:val="clear" w:color="auto" w:fill="auto"/>
            <w:vAlign w:val="center"/>
            <w:hideMark/>
          </w:tcPr>
          <w:p w14:paraId="6AE29F78"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855" w:type="pct"/>
            <w:tcBorders>
              <w:top w:val="nil"/>
              <w:left w:val="single" w:sz="4" w:space="0" w:color="auto"/>
              <w:bottom w:val="single" w:sz="4" w:space="0" w:color="auto"/>
              <w:right w:val="single" w:sz="4" w:space="0" w:color="auto"/>
            </w:tcBorders>
            <w:shd w:val="clear" w:color="auto" w:fill="auto"/>
            <w:vAlign w:val="center"/>
            <w:hideMark/>
          </w:tcPr>
          <w:p w14:paraId="130CAB3E"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1055" w:type="pct"/>
            <w:tcBorders>
              <w:top w:val="nil"/>
              <w:left w:val="nil"/>
              <w:bottom w:val="single" w:sz="4" w:space="0" w:color="auto"/>
              <w:right w:val="single" w:sz="4" w:space="0" w:color="auto"/>
            </w:tcBorders>
            <w:shd w:val="clear" w:color="auto" w:fill="auto"/>
            <w:vAlign w:val="center"/>
            <w:hideMark/>
          </w:tcPr>
          <w:p w14:paraId="68122BAF"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855" w:type="pct"/>
            <w:tcBorders>
              <w:top w:val="nil"/>
              <w:left w:val="nil"/>
              <w:bottom w:val="single" w:sz="4" w:space="0" w:color="auto"/>
              <w:right w:val="single" w:sz="4" w:space="0" w:color="auto"/>
            </w:tcBorders>
            <w:shd w:val="clear" w:color="auto" w:fill="auto"/>
            <w:vAlign w:val="center"/>
            <w:hideMark/>
          </w:tcPr>
          <w:p w14:paraId="1C22C154" w14:textId="77777777" w:rsidR="00395593" w:rsidRPr="005C5CBD" w:rsidRDefault="00395593" w:rsidP="00E15FBB">
            <w:pPr>
              <w:spacing w:after="0" w:line="240" w:lineRule="auto"/>
              <w:jc w:val="right"/>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w:t>
            </w:r>
          </w:p>
        </w:tc>
        <w:tc>
          <w:tcPr>
            <w:tcW w:w="589" w:type="pct"/>
            <w:tcBorders>
              <w:top w:val="nil"/>
              <w:left w:val="nil"/>
              <w:bottom w:val="single" w:sz="4" w:space="0" w:color="auto"/>
              <w:right w:val="single" w:sz="4" w:space="0" w:color="auto"/>
            </w:tcBorders>
            <w:shd w:val="clear" w:color="000000" w:fill="F2F2F2"/>
            <w:vAlign w:val="center"/>
            <w:hideMark/>
          </w:tcPr>
          <w:p w14:paraId="7C5F647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w:t>
            </w:r>
          </w:p>
        </w:tc>
      </w:tr>
    </w:tbl>
    <w:p w14:paraId="13EDE006"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p>
    <w:p w14:paraId="27B807BE"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p>
    <w:p w14:paraId="5A0DDB63"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sectPr w:rsidR="00395593" w:rsidRPr="005C5CBD" w:rsidSect="00E15FBB">
          <w:pgSz w:w="16838" w:h="11906" w:orient="landscape"/>
          <w:pgMar w:top="1418" w:right="1417" w:bottom="1701" w:left="1418" w:header="708" w:footer="708" w:gutter="0"/>
          <w:cols w:space="708"/>
          <w:docGrid w:linePitch="360"/>
        </w:sectPr>
      </w:pPr>
    </w:p>
    <w:tbl>
      <w:tblPr>
        <w:tblW w:w="5000" w:type="pct"/>
        <w:tblCellMar>
          <w:left w:w="70" w:type="dxa"/>
          <w:right w:w="70" w:type="dxa"/>
        </w:tblCellMar>
        <w:tblLook w:val="04A0" w:firstRow="1" w:lastRow="0" w:firstColumn="1" w:lastColumn="0" w:noHBand="0" w:noVBand="1"/>
      </w:tblPr>
      <w:tblGrid>
        <w:gridCol w:w="8787"/>
      </w:tblGrid>
      <w:tr w:rsidR="00395593" w:rsidRPr="00AC0363" w14:paraId="69534200" w14:textId="77777777" w:rsidTr="00395593">
        <w:trPr>
          <w:trHeight w:val="300"/>
        </w:trPr>
        <w:tc>
          <w:tcPr>
            <w:tcW w:w="5000" w:type="pct"/>
            <w:tcBorders>
              <w:top w:val="nil"/>
              <w:left w:val="nil"/>
              <w:bottom w:val="nil"/>
              <w:right w:val="nil"/>
            </w:tcBorders>
            <w:shd w:val="clear" w:color="auto" w:fill="auto"/>
            <w:noWrap/>
            <w:vAlign w:val="bottom"/>
            <w:hideMark/>
          </w:tcPr>
          <w:p w14:paraId="60A65D39" w14:textId="77777777" w:rsidR="00395593" w:rsidRPr="00F704EE" w:rsidRDefault="00395593" w:rsidP="00F329E3">
            <w:pPr>
              <w:pStyle w:val="Corpodetexto"/>
              <w:jc w:val="center"/>
              <w:rPr>
                <w:rFonts w:ascii="Garamond" w:hAnsi="Garamond"/>
                <w:b/>
              </w:rPr>
            </w:pPr>
            <w:r w:rsidRPr="00F704EE">
              <w:rPr>
                <w:rFonts w:ascii="Garamond" w:hAnsi="Garamond"/>
                <w:b/>
              </w:rPr>
              <w:t>APÊNDICE XVI</w:t>
            </w:r>
          </w:p>
        </w:tc>
      </w:tr>
      <w:tr w:rsidR="00395593" w:rsidRPr="00AC0363" w14:paraId="414E97F2" w14:textId="77777777" w:rsidTr="00395593">
        <w:trPr>
          <w:trHeight w:val="300"/>
        </w:trPr>
        <w:tc>
          <w:tcPr>
            <w:tcW w:w="5000" w:type="pct"/>
            <w:tcBorders>
              <w:top w:val="nil"/>
              <w:left w:val="nil"/>
              <w:bottom w:val="nil"/>
              <w:right w:val="nil"/>
            </w:tcBorders>
            <w:shd w:val="clear" w:color="auto" w:fill="auto"/>
            <w:noWrap/>
            <w:vAlign w:val="bottom"/>
            <w:hideMark/>
          </w:tcPr>
          <w:p w14:paraId="3A17E23A" w14:textId="77777777" w:rsidR="00395593" w:rsidRPr="00F704EE" w:rsidRDefault="00395593" w:rsidP="00F329E3">
            <w:pPr>
              <w:pStyle w:val="Corpodetexto"/>
              <w:jc w:val="center"/>
              <w:rPr>
                <w:rFonts w:ascii="Garamond" w:hAnsi="Garamond"/>
                <w:b/>
              </w:rPr>
            </w:pPr>
            <w:r w:rsidRPr="00F704EE">
              <w:rPr>
                <w:rFonts w:ascii="Garamond" w:hAnsi="Garamond"/>
                <w:b/>
              </w:rPr>
              <w:t>RETORNO SOBRE O INVESTIMENTO</w:t>
            </w:r>
          </w:p>
        </w:tc>
      </w:tr>
    </w:tbl>
    <w:p w14:paraId="7F2806B0" w14:textId="77777777" w:rsidR="00395593" w:rsidRPr="005C5CBD" w:rsidRDefault="00395593" w:rsidP="00E15FBB">
      <w:pPr>
        <w:spacing w:after="0" w:line="240" w:lineRule="auto"/>
        <w:jc w:val="center"/>
        <w:rPr>
          <w:rFonts w:ascii="Garamond" w:eastAsia="Times New Roman" w:hAnsi="Garamond" w:cs="Calibri"/>
          <w:sz w:val="24"/>
          <w:szCs w:val="24"/>
          <w:lang w:eastAsia="pt-BR"/>
        </w:rPr>
      </w:pPr>
    </w:p>
    <w:p w14:paraId="3D957DBB" w14:textId="77777777" w:rsidR="00395593" w:rsidRPr="005C5CBD" w:rsidRDefault="00395593" w:rsidP="00E15FBB">
      <w:pPr>
        <w:spacing w:after="0" w:line="240" w:lineRule="auto"/>
        <w:jc w:val="right"/>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Em R$</w:t>
      </w:r>
    </w:p>
    <w:tbl>
      <w:tblPr>
        <w:tblW w:w="4876" w:type="pct"/>
        <w:jc w:val="center"/>
        <w:tblCellMar>
          <w:left w:w="70" w:type="dxa"/>
          <w:right w:w="70" w:type="dxa"/>
        </w:tblCellMar>
        <w:tblLook w:val="04A0" w:firstRow="1" w:lastRow="0" w:firstColumn="1" w:lastColumn="0" w:noHBand="0" w:noVBand="1"/>
      </w:tblPr>
      <w:tblGrid>
        <w:gridCol w:w="2193"/>
        <w:gridCol w:w="743"/>
        <w:gridCol w:w="1407"/>
        <w:gridCol w:w="1407"/>
        <w:gridCol w:w="1405"/>
        <w:gridCol w:w="1404"/>
      </w:tblGrid>
      <w:tr w:rsidR="00395593" w:rsidRPr="00AC0363" w14:paraId="2DA90433" w14:textId="77777777" w:rsidTr="00395593">
        <w:trPr>
          <w:trHeight w:val="540"/>
          <w:jc w:val="center"/>
        </w:trPr>
        <w:tc>
          <w:tcPr>
            <w:tcW w:w="1281" w:type="pct"/>
            <w:tcBorders>
              <w:top w:val="single" w:sz="4" w:space="0" w:color="auto"/>
              <w:left w:val="single" w:sz="4" w:space="0" w:color="auto"/>
              <w:bottom w:val="single" w:sz="4" w:space="0" w:color="auto"/>
              <w:right w:val="nil"/>
            </w:tcBorders>
            <w:shd w:val="clear" w:color="auto" w:fill="auto"/>
            <w:vAlign w:val="center"/>
            <w:hideMark/>
          </w:tcPr>
          <w:p w14:paraId="2B054913" w14:textId="77777777" w:rsidR="00395593" w:rsidRPr="005C5CBD" w:rsidRDefault="00395593" w:rsidP="00E15FBB">
            <w:pPr>
              <w:spacing w:after="0" w:line="240" w:lineRule="auto"/>
              <w:rPr>
                <w:rFonts w:ascii="Garamond" w:eastAsia="Times New Roman" w:hAnsi="Garamond" w:cs="Calibri"/>
                <w:b/>
                <w:color w:val="FF0000"/>
                <w:sz w:val="24"/>
                <w:szCs w:val="24"/>
                <w:lang w:eastAsia="pt-BR"/>
              </w:rPr>
            </w:pPr>
            <w:r w:rsidRPr="005C5CBD">
              <w:rPr>
                <w:rFonts w:ascii="Garamond" w:eastAsia="Times New Roman" w:hAnsi="Garamond" w:cs="Calibri"/>
                <w:sz w:val="24"/>
                <w:szCs w:val="24"/>
                <w:lang w:eastAsia="pt-BR"/>
              </w:rPr>
              <w:br w:type="page"/>
            </w:r>
            <w:r w:rsidRPr="005C5CBD">
              <w:rPr>
                <w:rFonts w:ascii="Garamond" w:eastAsia="Times New Roman" w:hAnsi="Garamond" w:cs="Calibri"/>
                <w:b/>
                <w:color w:val="FF0000"/>
                <w:sz w:val="24"/>
                <w:szCs w:val="24"/>
                <w:lang w:eastAsia="pt-BR"/>
              </w:rPr>
              <w:t xml:space="preserve">Empresa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1251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P1</w:t>
            </w:r>
          </w:p>
        </w:tc>
        <w:tc>
          <w:tcPr>
            <w:tcW w:w="822" w:type="pct"/>
            <w:tcBorders>
              <w:top w:val="single" w:sz="4" w:space="0" w:color="auto"/>
              <w:left w:val="nil"/>
              <w:bottom w:val="single" w:sz="4" w:space="0" w:color="auto"/>
              <w:right w:val="single" w:sz="4" w:space="0" w:color="auto"/>
            </w:tcBorders>
            <w:shd w:val="clear" w:color="auto" w:fill="auto"/>
            <w:vAlign w:val="center"/>
            <w:hideMark/>
          </w:tcPr>
          <w:p w14:paraId="668885E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P2</w:t>
            </w:r>
          </w:p>
        </w:tc>
        <w:tc>
          <w:tcPr>
            <w:tcW w:w="822" w:type="pct"/>
            <w:tcBorders>
              <w:top w:val="single" w:sz="4" w:space="0" w:color="auto"/>
              <w:left w:val="nil"/>
              <w:bottom w:val="single" w:sz="4" w:space="0" w:color="auto"/>
              <w:right w:val="single" w:sz="4" w:space="0" w:color="auto"/>
            </w:tcBorders>
            <w:shd w:val="clear" w:color="auto" w:fill="auto"/>
            <w:vAlign w:val="center"/>
            <w:hideMark/>
          </w:tcPr>
          <w:p w14:paraId="1E85984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P3</w:t>
            </w:r>
          </w:p>
        </w:tc>
        <w:tc>
          <w:tcPr>
            <w:tcW w:w="821" w:type="pct"/>
            <w:tcBorders>
              <w:top w:val="single" w:sz="4" w:space="0" w:color="auto"/>
              <w:left w:val="nil"/>
              <w:bottom w:val="single" w:sz="4" w:space="0" w:color="auto"/>
              <w:right w:val="single" w:sz="4" w:space="0" w:color="auto"/>
            </w:tcBorders>
            <w:shd w:val="clear" w:color="auto" w:fill="auto"/>
            <w:vAlign w:val="center"/>
            <w:hideMark/>
          </w:tcPr>
          <w:p w14:paraId="062FBFD3"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P4</w:t>
            </w:r>
          </w:p>
        </w:tc>
        <w:tc>
          <w:tcPr>
            <w:tcW w:w="821" w:type="pct"/>
            <w:tcBorders>
              <w:top w:val="single" w:sz="4" w:space="0" w:color="auto"/>
              <w:left w:val="nil"/>
              <w:bottom w:val="single" w:sz="4" w:space="0" w:color="auto"/>
              <w:right w:val="single" w:sz="4" w:space="0" w:color="auto"/>
            </w:tcBorders>
            <w:shd w:val="clear" w:color="auto" w:fill="auto"/>
            <w:vAlign w:val="center"/>
            <w:hideMark/>
          </w:tcPr>
          <w:p w14:paraId="70DEC7E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P5</w:t>
            </w:r>
          </w:p>
        </w:tc>
      </w:tr>
      <w:tr w:rsidR="00395593" w:rsidRPr="00AC0363" w14:paraId="28919597" w14:textId="77777777" w:rsidTr="00395593">
        <w:trPr>
          <w:trHeight w:val="510"/>
          <w:jc w:val="center"/>
        </w:trPr>
        <w:tc>
          <w:tcPr>
            <w:tcW w:w="1281" w:type="pct"/>
            <w:tcBorders>
              <w:top w:val="nil"/>
              <w:left w:val="single" w:sz="4" w:space="0" w:color="auto"/>
              <w:bottom w:val="single" w:sz="4" w:space="0" w:color="auto"/>
              <w:right w:val="single" w:sz="4" w:space="0" w:color="auto"/>
            </w:tcBorders>
            <w:shd w:val="clear" w:color="auto" w:fill="auto"/>
            <w:vAlign w:val="center"/>
            <w:hideMark/>
          </w:tcPr>
          <w:p w14:paraId="4812F36A"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Lucro Líquido (A)</w:t>
            </w:r>
          </w:p>
        </w:tc>
        <w:tc>
          <w:tcPr>
            <w:tcW w:w="434" w:type="pct"/>
            <w:tcBorders>
              <w:top w:val="nil"/>
              <w:left w:val="nil"/>
              <w:bottom w:val="single" w:sz="4" w:space="0" w:color="auto"/>
              <w:right w:val="nil"/>
            </w:tcBorders>
            <w:shd w:val="clear" w:color="auto" w:fill="auto"/>
            <w:vAlign w:val="center"/>
            <w:hideMark/>
          </w:tcPr>
          <w:p w14:paraId="1A111003"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822" w:type="pct"/>
            <w:tcBorders>
              <w:top w:val="nil"/>
              <w:left w:val="single" w:sz="4" w:space="0" w:color="auto"/>
              <w:bottom w:val="single" w:sz="4" w:space="0" w:color="auto"/>
              <w:right w:val="single" w:sz="4" w:space="0" w:color="auto"/>
            </w:tcBorders>
            <w:shd w:val="clear" w:color="auto" w:fill="auto"/>
            <w:vAlign w:val="center"/>
            <w:hideMark/>
          </w:tcPr>
          <w:p w14:paraId="1BA00926"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822" w:type="pct"/>
            <w:tcBorders>
              <w:top w:val="nil"/>
              <w:left w:val="nil"/>
              <w:bottom w:val="single" w:sz="4" w:space="0" w:color="auto"/>
              <w:right w:val="single" w:sz="4" w:space="0" w:color="auto"/>
            </w:tcBorders>
            <w:shd w:val="clear" w:color="auto" w:fill="auto"/>
            <w:vAlign w:val="center"/>
            <w:hideMark/>
          </w:tcPr>
          <w:p w14:paraId="658BCA46"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821" w:type="pct"/>
            <w:tcBorders>
              <w:top w:val="nil"/>
              <w:left w:val="nil"/>
              <w:bottom w:val="single" w:sz="4" w:space="0" w:color="auto"/>
              <w:right w:val="single" w:sz="4" w:space="0" w:color="auto"/>
            </w:tcBorders>
            <w:shd w:val="clear" w:color="auto" w:fill="auto"/>
            <w:vAlign w:val="center"/>
            <w:hideMark/>
          </w:tcPr>
          <w:p w14:paraId="3EDBC69B"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821" w:type="pct"/>
            <w:tcBorders>
              <w:top w:val="nil"/>
              <w:left w:val="nil"/>
              <w:bottom w:val="single" w:sz="4" w:space="0" w:color="auto"/>
              <w:right w:val="single" w:sz="4" w:space="0" w:color="auto"/>
            </w:tcBorders>
            <w:shd w:val="clear" w:color="auto" w:fill="auto"/>
            <w:vAlign w:val="center"/>
            <w:hideMark/>
          </w:tcPr>
          <w:p w14:paraId="105F06B9"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1194C75D" w14:textId="77777777" w:rsidTr="00395593">
        <w:trPr>
          <w:trHeight w:val="510"/>
          <w:jc w:val="center"/>
        </w:trPr>
        <w:tc>
          <w:tcPr>
            <w:tcW w:w="1281" w:type="pct"/>
            <w:tcBorders>
              <w:top w:val="nil"/>
              <w:left w:val="single" w:sz="4" w:space="0" w:color="auto"/>
              <w:bottom w:val="single" w:sz="4" w:space="0" w:color="auto"/>
              <w:right w:val="single" w:sz="4" w:space="0" w:color="auto"/>
            </w:tcBorders>
            <w:shd w:val="clear" w:color="auto" w:fill="auto"/>
            <w:vAlign w:val="center"/>
            <w:hideMark/>
          </w:tcPr>
          <w:p w14:paraId="7424860A"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Ativo Total (B)</w:t>
            </w:r>
          </w:p>
        </w:tc>
        <w:tc>
          <w:tcPr>
            <w:tcW w:w="434" w:type="pct"/>
            <w:tcBorders>
              <w:top w:val="nil"/>
              <w:left w:val="nil"/>
              <w:bottom w:val="nil"/>
              <w:right w:val="nil"/>
            </w:tcBorders>
            <w:shd w:val="clear" w:color="auto" w:fill="auto"/>
            <w:vAlign w:val="center"/>
            <w:hideMark/>
          </w:tcPr>
          <w:p w14:paraId="383712B6"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p>
        </w:tc>
        <w:tc>
          <w:tcPr>
            <w:tcW w:w="822" w:type="pct"/>
            <w:tcBorders>
              <w:top w:val="nil"/>
              <w:left w:val="single" w:sz="4" w:space="0" w:color="auto"/>
              <w:bottom w:val="nil"/>
              <w:right w:val="single" w:sz="4" w:space="0" w:color="auto"/>
            </w:tcBorders>
            <w:shd w:val="clear" w:color="auto" w:fill="auto"/>
            <w:vAlign w:val="center"/>
            <w:hideMark/>
          </w:tcPr>
          <w:p w14:paraId="33D5AB4E"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822" w:type="pct"/>
            <w:tcBorders>
              <w:top w:val="nil"/>
              <w:left w:val="nil"/>
              <w:bottom w:val="nil"/>
              <w:right w:val="single" w:sz="4" w:space="0" w:color="auto"/>
            </w:tcBorders>
            <w:shd w:val="clear" w:color="auto" w:fill="auto"/>
            <w:vAlign w:val="center"/>
            <w:hideMark/>
          </w:tcPr>
          <w:p w14:paraId="2719AB5A"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821" w:type="pct"/>
            <w:tcBorders>
              <w:top w:val="nil"/>
              <w:left w:val="nil"/>
              <w:bottom w:val="nil"/>
              <w:right w:val="single" w:sz="4" w:space="0" w:color="auto"/>
            </w:tcBorders>
            <w:shd w:val="clear" w:color="auto" w:fill="auto"/>
            <w:vAlign w:val="center"/>
            <w:hideMark/>
          </w:tcPr>
          <w:p w14:paraId="1ECF5145"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c>
          <w:tcPr>
            <w:tcW w:w="821" w:type="pct"/>
            <w:tcBorders>
              <w:top w:val="nil"/>
              <w:left w:val="nil"/>
              <w:bottom w:val="nil"/>
              <w:right w:val="single" w:sz="4" w:space="0" w:color="auto"/>
            </w:tcBorders>
            <w:shd w:val="clear" w:color="auto" w:fill="auto"/>
            <w:vAlign w:val="center"/>
            <w:hideMark/>
          </w:tcPr>
          <w:p w14:paraId="126D990A" w14:textId="77777777" w:rsidR="00395593" w:rsidRPr="005C5CBD" w:rsidRDefault="00395593" w:rsidP="00E15FBB">
            <w:pPr>
              <w:spacing w:after="0" w:line="240" w:lineRule="auto"/>
              <w:jc w:val="right"/>
              <w:rPr>
                <w:rFonts w:ascii="Garamond" w:eastAsia="Times New Roman" w:hAnsi="Garamond" w:cs="Calibri"/>
                <w:color w:val="000000"/>
                <w:sz w:val="24"/>
                <w:szCs w:val="24"/>
                <w:lang w:eastAsia="pt-BR"/>
              </w:rPr>
            </w:pPr>
            <w:r w:rsidRPr="005C5CBD">
              <w:rPr>
                <w:rFonts w:ascii="Garamond" w:eastAsia="Times New Roman" w:hAnsi="Garamond" w:cs="Calibri"/>
                <w:color w:val="000000"/>
                <w:sz w:val="24"/>
                <w:szCs w:val="24"/>
                <w:lang w:eastAsia="pt-BR"/>
              </w:rPr>
              <w:t> </w:t>
            </w:r>
          </w:p>
        </w:tc>
      </w:tr>
      <w:tr w:rsidR="00395593" w:rsidRPr="00AC0363" w14:paraId="50487A79" w14:textId="77777777" w:rsidTr="00395593">
        <w:trPr>
          <w:trHeight w:val="510"/>
          <w:jc w:val="center"/>
        </w:trPr>
        <w:tc>
          <w:tcPr>
            <w:tcW w:w="1281" w:type="pct"/>
            <w:tcBorders>
              <w:top w:val="nil"/>
              <w:left w:val="single" w:sz="4" w:space="0" w:color="auto"/>
              <w:bottom w:val="single" w:sz="4" w:space="0" w:color="auto"/>
              <w:right w:val="single" w:sz="4" w:space="0" w:color="auto"/>
            </w:tcBorders>
            <w:shd w:val="clear" w:color="auto" w:fill="auto"/>
            <w:vAlign w:val="center"/>
            <w:hideMark/>
          </w:tcPr>
          <w:p w14:paraId="13B0ED24" w14:textId="77777777" w:rsidR="00395593" w:rsidRPr="005C5CBD" w:rsidRDefault="00395593" w:rsidP="00E15FBB">
            <w:pPr>
              <w:spacing w:after="0" w:line="240"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Retorno sobre o Investimento Total (A/B) (%)</w:t>
            </w:r>
          </w:p>
        </w:tc>
        <w:tc>
          <w:tcPr>
            <w:tcW w:w="434" w:type="pct"/>
            <w:tcBorders>
              <w:top w:val="single" w:sz="4" w:space="0" w:color="auto"/>
              <w:left w:val="nil"/>
              <w:bottom w:val="single" w:sz="4" w:space="0" w:color="auto"/>
              <w:right w:val="single" w:sz="4" w:space="0" w:color="auto"/>
            </w:tcBorders>
            <w:shd w:val="clear" w:color="000000" w:fill="D9D9D9"/>
            <w:vAlign w:val="center"/>
          </w:tcPr>
          <w:p w14:paraId="058633F5"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822" w:type="pct"/>
            <w:tcBorders>
              <w:top w:val="single" w:sz="4" w:space="0" w:color="auto"/>
              <w:left w:val="nil"/>
              <w:bottom w:val="single" w:sz="4" w:space="0" w:color="auto"/>
              <w:right w:val="single" w:sz="4" w:space="0" w:color="auto"/>
            </w:tcBorders>
            <w:shd w:val="clear" w:color="000000" w:fill="D9D9D9"/>
            <w:vAlign w:val="center"/>
          </w:tcPr>
          <w:p w14:paraId="0883E220"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822" w:type="pct"/>
            <w:tcBorders>
              <w:top w:val="single" w:sz="4" w:space="0" w:color="auto"/>
              <w:left w:val="nil"/>
              <w:bottom w:val="single" w:sz="4" w:space="0" w:color="auto"/>
              <w:right w:val="single" w:sz="4" w:space="0" w:color="auto"/>
            </w:tcBorders>
            <w:shd w:val="clear" w:color="000000" w:fill="D9D9D9"/>
            <w:vAlign w:val="center"/>
          </w:tcPr>
          <w:p w14:paraId="468687DE"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821" w:type="pct"/>
            <w:tcBorders>
              <w:top w:val="single" w:sz="4" w:space="0" w:color="auto"/>
              <w:left w:val="nil"/>
              <w:bottom w:val="single" w:sz="4" w:space="0" w:color="auto"/>
              <w:right w:val="single" w:sz="4" w:space="0" w:color="auto"/>
            </w:tcBorders>
            <w:shd w:val="clear" w:color="000000" w:fill="D9D9D9"/>
            <w:vAlign w:val="center"/>
          </w:tcPr>
          <w:p w14:paraId="321729DD"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c>
          <w:tcPr>
            <w:tcW w:w="821" w:type="pct"/>
            <w:tcBorders>
              <w:top w:val="single" w:sz="4" w:space="0" w:color="auto"/>
              <w:left w:val="nil"/>
              <w:bottom w:val="single" w:sz="4" w:space="0" w:color="auto"/>
              <w:right w:val="single" w:sz="4" w:space="0" w:color="auto"/>
            </w:tcBorders>
            <w:shd w:val="clear" w:color="000000" w:fill="D9D9D9"/>
            <w:vAlign w:val="center"/>
          </w:tcPr>
          <w:p w14:paraId="3DADD170" w14:textId="77777777" w:rsidR="00395593" w:rsidRPr="005C5CBD" w:rsidRDefault="00395593" w:rsidP="00E15FBB">
            <w:pPr>
              <w:spacing w:after="0" w:line="240" w:lineRule="auto"/>
              <w:jc w:val="center"/>
              <w:rPr>
                <w:rFonts w:ascii="Garamond" w:eastAsia="Times New Roman" w:hAnsi="Garamond" w:cs="Calibri"/>
                <w:color w:val="000000"/>
                <w:sz w:val="24"/>
                <w:szCs w:val="24"/>
                <w:lang w:eastAsia="pt-BR"/>
              </w:rPr>
            </w:pPr>
          </w:p>
        </w:tc>
      </w:tr>
    </w:tbl>
    <w:p w14:paraId="078F440F"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1E32AD99" w14:textId="77777777" w:rsidR="00395593" w:rsidRPr="005C5CBD" w:rsidRDefault="00395593" w:rsidP="00E15FBB">
      <w:pPr>
        <w:spacing w:after="0" w:line="240" w:lineRule="auto"/>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br w:type="page"/>
      </w:r>
    </w:p>
    <w:tbl>
      <w:tblPr>
        <w:tblW w:w="5000" w:type="pct"/>
        <w:tblCellMar>
          <w:left w:w="70" w:type="dxa"/>
          <w:right w:w="70" w:type="dxa"/>
        </w:tblCellMar>
        <w:tblLook w:val="04A0" w:firstRow="1" w:lastRow="0" w:firstColumn="1" w:lastColumn="0" w:noHBand="0" w:noVBand="1"/>
      </w:tblPr>
      <w:tblGrid>
        <w:gridCol w:w="403"/>
        <w:gridCol w:w="2361"/>
        <w:gridCol w:w="1010"/>
        <w:gridCol w:w="1002"/>
        <w:gridCol w:w="1002"/>
        <w:gridCol w:w="1003"/>
        <w:gridCol w:w="1003"/>
        <w:gridCol w:w="1003"/>
      </w:tblGrid>
      <w:tr w:rsidR="00395593" w:rsidRPr="00AC0363" w14:paraId="73246639" w14:textId="77777777" w:rsidTr="00395593">
        <w:trPr>
          <w:trHeight w:val="375"/>
        </w:trPr>
        <w:tc>
          <w:tcPr>
            <w:tcW w:w="5000" w:type="pct"/>
            <w:gridSpan w:val="8"/>
            <w:tcBorders>
              <w:top w:val="nil"/>
              <w:left w:val="nil"/>
              <w:bottom w:val="nil"/>
              <w:right w:val="nil"/>
            </w:tcBorders>
            <w:shd w:val="clear" w:color="auto" w:fill="auto"/>
            <w:noWrap/>
            <w:vAlign w:val="bottom"/>
            <w:hideMark/>
          </w:tcPr>
          <w:p w14:paraId="193A7843" w14:textId="77777777" w:rsidR="00395593" w:rsidRPr="005C5CBD" w:rsidRDefault="00395593" w:rsidP="00E15FBB">
            <w:pPr>
              <w:spacing w:after="0" w:line="240" w:lineRule="auto"/>
              <w:rPr>
                <w:rFonts w:ascii="Garamond" w:eastAsia="Times New Roman" w:hAnsi="Garamond" w:cs="Calibri"/>
                <w:b/>
                <w:sz w:val="24"/>
                <w:szCs w:val="24"/>
                <w:lang w:eastAsia="pt-BR"/>
              </w:rPr>
            </w:pPr>
          </w:p>
        </w:tc>
      </w:tr>
      <w:tr w:rsidR="00395593" w:rsidRPr="00AC0363" w14:paraId="02E2D11B" w14:textId="77777777" w:rsidTr="00395593">
        <w:trPr>
          <w:trHeight w:val="299"/>
        </w:trPr>
        <w:tc>
          <w:tcPr>
            <w:tcW w:w="8487" w:type="dxa"/>
            <w:gridSpan w:val="8"/>
            <w:tcBorders>
              <w:top w:val="nil"/>
              <w:left w:val="nil"/>
              <w:bottom w:val="nil"/>
              <w:right w:val="nil"/>
            </w:tcBorders>
            <w:shd w:val="clear" w:color="auto" w:fill="auto"/>
            <w:noWrap/>
            <w:vAlign w:val="bottom"/>
            <w:hideMark/>
          </w:tcPr>
          <w:p w14:paraId="56728846"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lang w:eastAsia="pt-BR"/>
              </w:rPr>
              <w:br w:type="page"/>
            </w:r>
            <w:r w:rsidRPr="005C5CBD">
              <w:rPr>
                <w:rFonts w:ascii="Garamond" w:eastAsia="Times New Roman" w:hAnsi="Garamond" w:cs="Calibri"/>
                <w:lang w:eastAsia="pt-BR"/>
              </w:rPr>
              <w:br w:type="page"/>
            </w:r>
            <w:r w:rsidRPr="005C5CBD">
              <w:rPr>
                <w:rFonts w:ascii="Garamond" w:eastAsia="Times New Roman" w:hAnsi="Garamond" w:cs="Calibri"/>
                <w:b/>
                <w:color w:val="000000"/>
                <w:lang w:eastAsia="pt-BR"/>
              </w:rPr>
              <w:t>APÊNDICE XVII</w:t>
            </w:r>
          </w:p>
        </w:tc>
      </w:tr>
      <w:tr w:rsidR="00395593" w:rsidRPr="00AC0363" w14:paraId="14041D08" w14:textId="77777777" w:rsidTr="00395593">
        <w:trPr>
          <w:trHeight w:val="299"/>
        </w:trPr>
        <w:tc>
          <w:tcPr>
            <w:tcW w:w="8487" w:type="dxa"/>
            <w:gridSpan w:val="8"/>
            <w:tcBorders>
              <w:top w:val="nil"/>
              <w:left w:val="nil"/>
              <w:bottom w:val="nil"/>
              <w:right w:val="nil"/>
            </w:tcBorders>
            <w:shd w:val="clear" w:color="auto" w:fill="auto"/>
            <w:noWrap/>
            <w:vAlign w:val="bottom"/>
            <w:hideMark/>
          </w:tcPr>
          <w:p w14:paraId="527CACF5"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FLUXO DE CAIXA</w:t>
            </w:r>
          </w:p>
        </w:tc>
      </w:tr>
      <w:tr w:rsidR="00395593" w:rsidRPr="00AC0363" w14:paraId="0D6FAEDD" w14:textId="77777777" w:rsidTr="00395593">
        <w:trPr>
          <w:trHeight w:val="299"/>
        </w:trPr>
        <w:tc>
          <w:tcPr>
            <w:tcW w:w="392" w:type="dxa"/>
            <w:tcBorders>
              <w:top w:val="nil"/>
              <w:left w:val="nil"/>
              <w:bottom w:val="nil"/>
              <w:right w:val="nil"/>
            </w:tcBorders>
            <w:shd w:val="clear" w:color="auto" w:fill="auto"/>
            <w:textDirection w:val="btLr"/>
            <w:vAlign w:val="bottom"/>
            <w:hideMark/>
          </w:tcPr>
          <w:p w14:paraId="7CDA8735" w14:textId="77777777" w:rsidR="00395593" w:rsidRPr="005C5CBD" w:rsidRDefault="00395593" w:rsidP="00E15FBB">
            <w:pPr>
              <w:spacing w:after="0" w:line="240" w:lineRule="auto"/>
              <w:rPr>
                <w:rFonts w:ascii="Garamond" w:eastAsia="Times New Roman" w:hAnsi="Garamond" w:cs="Calibri"/>
                <w:color w:val="000000"/>
                <w:lang w:eastAsia="pt-BR"/>
              </w:rPr>
            </w:pPr>
          </w:p>
        </w:tc>
        <w:tc>
          <w:tcPr>
            <w:tcW w:w="2281" w:type="dxa"/>
            <w:tcBorders>
              <w:top w:val="nil"/>
              <w:left w:val="nil"/>
              <w:bottom w:val="nil"/>
              <w:right w:val="nil"/>
            </w:tcBorders>
            <w:shd w:val="clear" w:color="auto" w:fill="auto"/>
            <w:noWrap/>
            <w:vAlign w:val="bottom"/>
            <w:hideMark/>
          </w:tcPr>
          <w:p w14:paraId="6681EB25" w14:textId="77777777" w:rsidR="00395593" w:rsidRPr="005C5CBD" w:rsidRDefault="00395593" w:rsidP="00E15FBB">
            <w:pPr>
              <w:spacing w:after="0" w:line="240" w:lineRule="auto"/>
              <w:rPr>
                <w:rFonts w:ascii="Garamond" w:eastAsia="Times New Roman" w:hAnsi="Garamond" w:cs="Calibri"/>
                <w:color w:val="000000"/>
                <w:lang w:eastAsia="pt-BR"/>
              </w:rPr>
            </w:pPr>
          </w:p>
        </w:tc>
        <w:tc>
          <w:tcPr>
            <w:tcW w:w="975" w:type="dxa"/>
            <w:tcBorders>
              <w:top w:val="nil"/>
              <w:left w:val="nil"/>
              <w:bottom w:val="nil"/>
              <w:right w:val="nil"/>
            </w:tcBorders>
            <w:shd w:val="clear" w:color="auto" w:fill="auto"/>
            <w:noWrap/>
            <w:vAlign w:val="bottom"/>
            <w:hideMark/>
          </w:tcPr>
          <w:p w14:paraId="2126E40D" w14:textId="77777777" w:rsidR="00395593" w:rsidRPr="005C5CBD" w:rsidRDefault="00395593" w:rsidP="00E15FBB">
            <w:pPr>
              <w:spacing w:after="0" w:line="240" w:lineRule="auto"/>
              <w:rPr>
                <w:rFonts w:ascii="Garamond" w:eastAsia="Times New Roman" w:hAnsi="Garamond" w:cs="Calibri"/>
                <w:color w:val="000000"/>
                <w:lang w:eastAsia="pt-BR"/>
              </w:rPr>
            </w:pPr>
          </w:p>
        </w:tc>
        <w:tc>
          <w:tcPr>
            <w:tcW w:w="967" w:type="dxa"/>
            <w:tcBorders>
              <w:top w:val="nil"/>
              <w:left w:val="nil"/>
              <w:bottom w:val="nil"/>
              <w:right w:val="nil"/>
            </w:tcBorders>
            <w:shd w:val="clear" w:color="auto" w:fill="auto"/>
            <w:noWrap/>
            <w:vAlign w:val="bottom"/>
            <w:hideMark/>
          </w:tcPr>
          <w:p w14:paraId="6C0798FE" w14:textId="77777777" w:rsidR="00395593" w:rsidRPr="005C5CBD" w:rsidRDefault="00395593" w:rsidP="00E15FBB">
            <w:pPr>
              <w:spacing w:after="0" w:line="240" w:lineRule="auto"/>
              <w:rPr>
                <w:rFonts w:ascii="Garamond" w:eastAsia="Times New Roman" w:hAnsi="Garamond" w:cs="Calibri"/>
                <w:color w:val="000000"/>
                <w:lang w:eastAsia="pt-BR"/>
              </w:rPr>
            </w:pPr>
          </w:p>
        </w:tc>
        <w:tc>
          <w:tcPr>
            <w:tcW w:w="967" w:type="dxa"/>
            <w:tcBorders>
              <w:top w:val="nil"/>
              <w:left w:val="nil"/>
              <w:bottom w:val="nil"/>
              <w:right w:val="nil"/>
            </w:tcBorders>
            <w:shd w:val="clear" w:color="auto" w:fill="auto"/>
            <w:noWrap/>
            <w:vAlign w:val="bottom"/>
            <w:hideMark/>
          </w:tcPr>
          <w:p w14:paraId="7A85330B" w14:textId="77777777" w:rsidR="00395593" w:rsidRPr="005C5CBD" w:rsidRDefault="00395593" w:rsidP="00E15FBB">
            <w:pPr>
              <w:spacing w:after="0" w:line="240" w:lineRule="auto"/>
              <w:rPr>
                <w:rFonts w:ascii="Garamond" w:eastAsia="Times New Roman" w:hAnsi="Garamond" w:cs="Calibri"/>
                <w:color w:val="000000"/>
                <w:lang w:eastAsia="pt-BR"/>
              </w:rPr>
            </w:pPr>
          </w:p>
        </w:tc>
        <w:tc>
          <w:tcPr>
            <w:tcW w:w="968" w:type="dxa"/>
            <w:tcBorders>
              <w:top w:val="nil"/>
              <w:left w:val="nil"/>
              <w:bottom w:val="nil"/>
              <w:right w:val="nil"/>
            </w:tcBorders>
            <w:shd w:val="clear" w:color="auto" w:fill="auto"/>
            <w:noWrap/>
            <w:vAlign w:val="bottom"/>
            <w:hideMark/>
          </w:tcPr>
          <w:p w14:paraId="6304270D" w14:textId="77777777" w:rsidR="00395593" w:rsidRPr="005C5CBD" w:rsidRDefault="00395593" w:rsidP="00E15FBB">
            <w:pPr>
              <w:spacing w:after="0" w:line="240" w:lineRule="auto"/>
              <w:rPr>
                <w:rFonts w:ascii="Garamond" w:eastAsia="Times New Roman" w:hAnsi="Garamond" w:cs="Calibri"/>
                <w:color w:val="000000"/>
                <w:lang w:eastAsia="pt-BR"/>
              </w:rPr>
            </w:pPr>
          </w:p>
        </w:tc>
        <w:tc>
          <w:tcPr>
            <w:tcW w:w="968" w:type="dxa"/>
            <w:tcBorders>
              <w:top w:val="nil"/>
              <w:left w:val="nil"/>
              <w:bottom w:val="nil"/>
              <w:right w:val="nil"/>
            </w:tcBorders>
            <w:shd w:val="clear" w:color="auto" w:fill="auto"/>
            <w:noWrap/>
            <w:vAlign w:val="bottom"/>
            <w:hideMark/>
          </w:tcPr>
          <w:p w14:paraId="315B19E1" w14:textId="77777777" w:rsidR="00395593" w:rsidRPr="005C5CBD" w:rsidRDefault="00395593" w:rsidP="00E15FBB">
            <w:pPr>
              <w:spacing w:after="0" w:line="240" w:lineRule="auto"/>
              <w:rPr>
                <w:rFonts w:ascii="Garamond" w:eastAsia="Times New Roman" w:hAnsi="Garamond" w:cs="Calibri"/>
                <w:color w:val="000000"/>
                <w:lang w:eastAsia="pt-BR"/>
              </w:rPr>
            </w:pPr>
          </w:p>
        </w:tc>
        <w:tc>
          <w:tcPr>
            <w:tcW w:w="968" w:type="dxa"/>
            <w:tcBorders>
              <w:top w:val="nil"/>
              <w:left w:val="nil"/>
              <w:bottom w:val="nil"/>
              <w:right w:val="nil"/>
            </w:tcBorders>
            <w:shd w:val="clear" w:color="auto" w:fill="auto"/>
            <w:noWrap/>
            <w:vAlign w:val="bottom"/>
            <w:hideMark/>
          </w:tcPr>
          <w:p w14:paraId="0EFCA5C2" w14:textId="77777777" w:rsidR="00395593" w:rsidRPr="005C5CBD" w:rsidRDefault="00395593" w:rsidP="00E15FBB">
            <w:pPr>
              <w:spacing w:after="0" w:line="240" w:lineRule="auto"/>
              <w:jc w:val="right"/>
              <w:rPr>
                <w:rFonts w:ascii="Garamond" w:eastAsia="Times New Roman" w:hAnsi="Garamond" w:cs="Calibri"/>
                <w:b/>
                <w:color w:val="000000"/>
                <w:lang w:eastAsia="pt-BR"/>
              </w:rPr>
            </w:pPr>
            <w:r w:rsidRPr="005C5CBD">
              <w:rPr>
                <w:rFonts w:ascii="Garamond" w:eastAsia="Times New Roman" w:hAnsi="Garamond" w:cs="Calibri"/>
                <w:b/>
                <w:color w:val="000000"/>
                <w:lang w:eastAsia="pt-BR"/>
              </w:rPr>
              <w:t>Em R$</w:t>
            </w:r>
          </w:p>
        </w:tc>
      </w:tr>
      <w:tr w:rsidR="00395593" w:rsidRPr="00AC0363" w14:paraId="5FDA957E" w14:textId="77777777" w:rsidTr="00395593">
        <w:trPr>
          <w:trHeight w:val="299"/>
        </w:trPr>
        <w:tc>
          <w:tcPr>
            <w:tcW w:w="392" w:type="dxa"/>
            <w:tcBorders>
              <w:top w:val="nil"/>
              <w:left w:val="nil"/>
              <w:bottom w:val="nil"/>
              <w:right w:val="nil"/>
            </w:tcBorders>
            <w:shd w:val="clear" w:color="auto" w:fill="auto"/>
            <w:textDirection w:val="btLr"/>
            <w:vAlign w:val="bottom"/>
            <w:hideMark/>
          </w:tcPr>
          <w:p w14:paraId="10940E48" w14:textId="77777777" w:rsidR="00395593" w:rsidRPr="005C5CBD" w:rsidRDefault="00395593" w:rsidP="00E15FBB">
            <w:pPr>
              <w:spacing w:after="0" w:line="240" w:lineRule="auto"/>
              <w:rPr>
                <w:rFonts w:ascii="Garamond" w:eastAsia="Times New Roman" w:hAnsi="Garamond" w:cs="Calibri"/>
                <w:color w:val="000000"/>
                <w:lang w:eastAsia="pt-BR"/>
              </w:rPr>
            </w:pPr>
          </w:p>
        </w:tc>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AF4AA43" w14:textId="77777777" w:rsidR="00395593" w:rsidRPr="005C5CBD" w:rsidRDefault="00395593" w:rsidP="00E15FBB">
            <w:pPr>
              <w:spacing w:after="0" w:line="240" w:lineRule="auto"/>
              <w:rPr>
                <w:rFonts w:ascii="Garamond" w:eastAsia="Times New Roman" w:hAnsi="Garamond" w:cs="Calibri"/>
                <w:b/>
                <w:color w:val="FF0000"/>
                <w:sz w:val="20"/>
                <w:szCs w:val="20"/>
                <w:lang w:eastAsia="pt-BR"/>
              </w:rPr>
            </w:pPr>
            <w:r w:rsidRPr="005C5CBD">
              <w:rPr>
                <w:rFonts w:ascii="Garamond" w:eastAsia="Times New Roman" w:hAnsi="Garamond" w:cs="Calibri"/>
                <w:b/>
                <w:color w:val="FF0000"/>
                <w:sz w:val="20"/>
                <w:szCs w:val="20"/>
                <w:lang w:eastAsia="pt-BR"/>
              </w:rPr>
              <w:t xml:space="preserve">Empresa </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37349878" w14:textId="77777777" w:rsidR="00395593" w:rsidRPr="005C5CBD" w:rsidRDefault="00395593" w:rsidP="00E15FBB">
            <w:pPr>
              <w:spacing w:after="0" w:line="240" w:lineRule="auto"/>
              <w:jc w:val="center"/>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P1</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77C9FC0C" w14:textId="77777777" w:rsidR="00395593" w:rsidRPr="005C5CBD" w:rsidRDefault="00395593" w:rsidP="00E15FBB">
            <w:pPr>
              <w:spacing w:after="0" w:line="240" w:lineRule="auto"/>
              <w:jc w:val="center"/>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P2</w:t>
            </w:r>
          </w:p>
        </w:tc>
        <w:tc>
          <w:tcPr>
            <w:tcW w:w="968" w:type="dxa"/>
            <w:tcBorders>
              <w:top w:val="single" w:sz="4" w:space="0" w:color="auto"/>
              <w:left w:val="nil"/>
              <w:bottom w:val="single" w:sz="4" w:space="0" w:color="auto"/>
              <w:right w:val="single" w:sz="4" w:space="0" w:color="auto"/>
            </w:tcBorders>
            <w:shd w:val="clear" w:color="auto" w:fill="auto"/>
            <w:vAlign w:val="center"/>
            <w:hideMark/>
          </w:tcPr>
          <w:p w14:paraId="1AD74B01" w14:textId="77777777" w:rsidR="00395593" w:rsidRPr="005C5CBD" w:rsidRDefault="00395593" w:rsidP="00E15FBB">
            <w:pPr>
              <w:spacing w:after="0" w:line="240" w:lineRule="auto"/>
              <w:jc w:val="center"/>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P3</w:t>
            </w:r>
          </w:p>
        </w:tc>
        <w:tc>
          <w:tcPr>
            <w:tcW w:w="968" w:type="dxa"/>
            <w:tcBorders>
              <w:top w:val="single" w:sz="4" w:space="0" w:color="auto"/>
              <w:left w:val="nil"/>
              <w:bottom w:val="single" w:sz="4" w:space="0" w:color="auto"/>
              <w:right w:val="single" w:sz="4" w:space="0" w:color="auto"/>
            </w:tcBorders>
            <w:shd w:val="clear" w:color="auto" w:fill="auto"/>
            <w:vAlign w:val="center"/>
            <w:hideMark/>
          </w:tcPr>
          <w:p w14:paraId="5065158B" w14:textId="77777777" w:rsidR="00395593" w:rsidRPr="005C5CBD" w:rsidRDefault="00395593" w:rsidP="00E15FBB">
            <w:pPr>
              <w:spacing w:after="0" w:line="240" w:lineRule="auto"/>
              <w:jc w:val="center"/>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P4</w:t>
            </w:r>
          </w:p>
        </w:tc>
        <w:tc>
          <w:tcPr>
            <w:tcW w:w="968" w:type="dxa"/>
            <w:tcBorders>
              <w:top w:val="single" w:sz="4" w:space="0" w:color="auto"/>
              <w:left w:val="nil"/>
              <w:bottom w:val="single" w:sz="4" w:space="0" w:color="auto"/>
              <w:right w:val="single" w:sz="4" w:space="0" w:color="auto"/>
            </w:tcBorders>
            <w:shd w:val="clear" w:color="auto" w:fill="auto"/>
            <w:vAlign w:val="center"/>
            <w:hideMark/>
          </w:tcPr>
          <w:p w14:paraId="50F84778" w14:textId="77777777" w:rsidR="00395593" w:rsidRPr="005C5CBD" w:rsidRDefault="00395593" w:rsidP="00E15FBB">
            <w:pPr>
              <w:spacing w:after="0" w:line="240" w:lineRule="auto"/>
              <w:jc w:val="center"/>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P5</w:t>
            </w:r>
          </w:p>
        </w:tc>
      </w:tr>
      <w:tr w:rsidR="00395593" w:rsidRPr="00AC0363" w14:paraId="0DC4F27E" w14:textId="77777777" w:rsidTr="00395593">
        <w:trPr>
          <w:trHeight w:val="299"/>
        </w:trPr>
        <w:tc>
          <w:tcPr>
            <w:tcW w:w="39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FA5E6E0" w14:textId="77777777" w:rsidR="00395593" w:rsidRPr="005C5CBD" w:rsidRDefault="00395593" w:rsidP="00E15FBB">
            <w:pPr>
              <w:spacing w:after="0" w:line="240" w:lineRule="auto"/>
              <w:jc w:val="center"/>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Atividades Operacionais</w:t>
            </w:r>
          </w:p>
        </w:tc>
        <w:tc>
          <w:tcPr>
            <w:tcW w:w="3256" w:type="dxa"/>
            <w:gridSpan w:val="2"/>
            <w:tcBorders>
              <w:top w:val="single" w:sz="4" w:space="0" w:color="auto"/>
              <w:left w:val="nil"/>
              <w:bottom w:val="single" w:sz="4" w:space="0" w:color="auto"/>
              <w:right w:val="single" w:sz="4" w:space="0" w:color="auto"/>
            </w:tcBorders>
            <w:shd w:val="clear" w:color="auto" w:fill="auto"/>
            <w:vAlign w:val="center"/>
            <w:hideMark/>
          </w:tcPr>
          <w:p w14:paraId="7A9712FC"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Lucro Líquido</w:t>
            </w:r>
          </w:p>
        </w:tc>
        <w:tc>
          <w:tcPr>
            <w:tcW w:w="967" w:type="dxa"/>
            <w:tcBorders>
              <w:top w:val="nil"/>
              <w:left w:val="nil"/>
              <w:bottom w:val="nil"/>
              <w:right w:val="nil"/>
            </w:tcBorders>
            <w:shd w:val="clear" w:color="000000" w:fill="FFFFFF"/>
            <w:vAlign w:val="center"/>
            <w:hideMark/>
          </w:tcPr>
          <w:p w14:paraId="10C0582B"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single" w:sz="4" w:space="0" w:color="auto"/>
              <w:bottom w:val="nil"/>
              <w:right w:val="single" w:sz="4" w:space="0" w:color="auto"/>
            </w:tcBorders>
            <w:shd w:val="clear" w:color="000000" w:fill="FFFFFF"/>
            <w:vAlign w:val="center"/>
            <w:hideMark/>
          </w:tcPr>
          <w:p w14:paraId="3E031E99"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18B9972C"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22E92051"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64899924"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49B43877"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57977B47"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val="restart"/>
            <w:tcBorders>
              <w:top w:val="nil"/>
              <w:left w:val="single" w:sz="4" w:space="0" w:color="auto"/>
              <w:bottom w:val="single" w:sz="4" w:space="0" w:color="auto"/>
              <w:right w:val="single" w:sz="4" w:space="0" w:color="auto"/>
            </w:tcBorders>
            <w:shd w:val="clear" w:color="auto" w:fill="auto"/>
            <w:vAlign w:val="center"/>
            <w:hideMark/>
          </w:tcPr>
          <w:p w14:paraId="696132C6"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Ajustes para reconciliar o lucro líquido ao caixa gerado pelas atividades operacionais</w:t>
            </w:r>
          </w:p>
        </w:tc>
        <w:tc>
          <w:tcPr>
            <w:tcW w:w="975" w:type="dxa"/>
            <w:tcBorders>
              <w:top w:val="nil"/>
              <w:left w:val="nil"/>
              <w:bottom w:val="single" w:sz="4" w:space="0" w:color="auto"/>
              <w:right w:val="single" w:sz="4" w:space="0" w:color="auto"/>
            </w:tcBorders>
            <w:shd w:val="clear" w:color="auto" w:fill="auto"/>
            <w:vAlign w:val="center"/>
            <w:hideMark/>
          </w:tcPr>
          <w:p w14:paraId="50E5C9EB"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nil"/>
            </w:tcBorders>
            <w:shd w:val="clear" w:color="000000" w:fill="FFFFFF"/>
            <w:vAlign w:val="center"/>
            <w:hideMark/>
          </w:tcPr>
          <w:p w14:paraId="1A801D1B"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3FE95B64"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7663E936"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71F6AD4E"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1F6390BC"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4D584965"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21E7019A"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363538A7"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32CB31FD"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nil"/>
            </w:tcBorders>
            <w:shd w:val="clear" w:color="000000" w:fill="FFFFFF"/>
            <w:vAlign w:val="center"/>
            <w:hideMark/>
          </w:tcPr>
          <w:p w14:paraId="38499027"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792BE874"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2481A480"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1C908DCE"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709CE05D"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38305173"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4F047A09"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79CA9D02"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6CF64B96"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nil"/>
            </w:tcBorders>
            <w:shd w:val="clear" w:color="000000" w:fill="FFFFFF"/>
            <w:vAlign w:val="center"/>
            <w:hideMark/>
          </w:tcPr>
          <w:p w14:paraId="3FBEAF0E"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114E85C7"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0C6EE708"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15A1D92D"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7D1560D2"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79D62B4E"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30B177AE"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23490BF4"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445C5CE4"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nil"/>
            </w:tcBorders>
            <w:shd w:val="clear" w:color="000000" w:fill="FFFFFF"/>
            <w:vAlign w:val="center"/>
            <w:hideMark/>
          </w:tcPr>
          <w:p w14:paraId="26647B16"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77D2AFD0"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68AFC0F0"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39899320"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6DDE0797"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r>
      <w:tr w:rsidR="00395593" w:rsidRPr="00AC0363" w14:paraId="37A394F5"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28484E7E"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3256" w:type="dxa"/>
            <w:gridSpan w:val="2"/>
            <w:tcBorders>
              <w:top w:val="single" w:sz="4" w:space="0" w:color="auto"/>
              <w:left w:val="nil"/>
              <w:bottom w:val="single" w:sz="4" w:space="0" w:color="auto"/>
              <w:right w:val="single" w:sz="4" w:space="0" w:color="000000"/>
            </w:tcBorders>
            <w:shd w:val="clear" w:color="000000" w:fill="D9D9D9"/>
            <w:vAlign w:val="center"/>
            <w:hideMark/>
          </w:tcPr>
          <w:p w14:paraId="78F7F4B0"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(Aumento) Redução dos Ativos</w:t>
            </w:r>
          </w:p>
        </w:tc>
        <w:tc>
          <w:tcPr>
            <w:tcW w:w="967" w:type="dxa"/>
            <w:tcBorders>
              <w:top w:val="single" w:sz="4" w:space="0" w:color="auto"/>
              <w:left w:val="nil"/>
              <w:bottom w:val="single" w:sz="4" w:space="0" w:color="auto"/>
              <w:right w:val="nil"/>
            </w:tcBorders>
            <w:shd w:val="clear" w:color="000000" w:fill="D9D9D9"/>
            <w:vAlign w:val="center"/>
            <w:hideMark/>
          </w:tcPr>
          <w:p w14:paraId="5B72F7A0"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7" w:type="dxa"/>
            <w:tcBorders>
              <w:top w:val="single" w:sz="4" w:space="0" w:color="auto"/>
              <w:left w:val="single" w:sz="4" w:space="0" w:color="auto"/>
              <w:bottom w:val="single" w:sz="4" w:space="0" w:color="auto"/>
              <w:right w:val="nil"/>
            </w:tcBorders>
            <w:shd w:val="clear" w:color="000000" w:fill="D9D9D9"/>
            <w:vAlign w:val="center"/>
            <w:hideMark/>
          </w:tcPr>
          <w:p w14:paraId="6492A058"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8" w:type="dxa"/>
            <w:tcBorders>
              <w:top w:val="single" w:sz="4" w:space="0" w:color="auto"/>
              <w:left w:val="single" w:sz="4" w:space="0" w:color="auto"/>
              <w:bottom w:val="single" w:sz="4" w:space="0" w:color="auto"/>
              <w:right w:val="nil"/>
            </w:tcBorders>
            <w:shd w:val="clear" w:color="000000" w:fill="D9D9D9"/>
            <w:vAlign w:val="center"/>
            <w:hideMark/>
          </w:tcPr>
          <w:p w14:paraId="681E4D66"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8" w:type="dxa"/>
            <w:tcBorders>
              <w:top w:val="single" w:sz="4" w:space="0" w:color="auto"/>
              <w:left w:val="single" w:sz="4" w:space="0" w:color="auto"/>
              <w:bottom w:val="single" w:sz="4" w:space="0" w:color="auto"/>
              <w:right w:val="nil"/>
            </w:tcBorders>
            <w:shd w:val="clear" w:color="000000" w:fill="D9D9D9"/>
            <w:vAlign w:val="center"/>
            <w:hideMark/>
          </w:tcPr>
          <w:p w14:paraId="6D8C1E70"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78AD78"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r>
      <w:tr w:rsidR="00395593" w:rsidRPr="00AC0363" w14:paraId="415EECF9"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199655F8"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3256" w:type="dxa"/>
            <w:gridSpan w:val="2"/>
            <w:tcBorders>
              <w:top w:val="single" w:sz="4" w:space="0" w:color="auto"/>
              <w:left w:val="nil"/>
              <w:bottom w:val="single" w:sz="4" w:space="0" w:color="auto"/>
              <w:right w:val="single" w:sz="4" w:space="0" w:color="auto"/>
            </w:tcBorders>
            <w:shd w:val="clear" w:color="auto" w:fill="auto"/>
            <w:vAlign w:val="center"/>
            <w:hideMark/>
          </w:tcPr>
          <w:p w14:paraId="376CD234"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Contas a receber de clientes</w:t>
            </w:r>
          </w:p>
        </w:tc>
        <w:tc>
          <w:tcPr>
            <w:tcW w:w="967" w:type="dxa"/>
            <w:tcBorders>
              <w:top w:val="nil"/>
              <w:left w:val="nil"/>
              <w:bottom w:val="nil"/>
              <w:right w:val="nil"/>
            </w:tcBorders>
            <w:shd w:val="clear" w:color="000000" w:fill="FFFFFF"/>
            <w:vAlign w:val="center"/>
            <w:hideMark/>
          </w:tcPr>
          <w:p w14:paraId="64C8D6D3"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07E656DD"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2A9F1994"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34A50C92"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3AE013A8"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694E4CC3"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71B5D73C"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3256" w:type="dxa"/>
            <w:gridSpan w:val="2"/>
            <w:tcBorders>
              <w:top w:val="single" w:sz="4" w:space="0" w:color="auto"/>
              <w:left w:val="nil"/>
              <w:bottom w:val="single" w:sz="4" w:space="0" w:color="auto"/>
              <w:right w:val="single" w:sz="4" w:space="0" w:color="auto"/>
            </w:tcBorders>
            <w:shd w:val="clear" w:color="auto" w:fill="auto"/>
            <w:vAlign w:val="center"/>
            <w:hideMark/>
          </w:tcPr>
          <w:p w14:paraId="680EFD46"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Estoques</w:t>
            </w:r>
          </w:p>
        </w:tc>
        <w:tc>
          <w:tcPr>
            <w:tcW w:w="967" w:type="dxa"/>
            <w:tcBorders>
              <w:top w:val="nil"/>
              <w:left w:val="nil"/>
              <w:bottom w:val="nil"/>
              <w:right w:val="nil"/>
            </w:tcBorders>
            <w:shd w:val="clear" w:color="000000" w:fill="FFFFFF"/>
            <w:vAlign w:val="center"/>
            <w:hideMark/>
          </w:tcPr>
          <w:p w14:paraId="22175699"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74620232"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6EFB3777"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368BC173"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2A891DF0"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1567F556"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7BE3C71A"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val="restart"/>
            <w:tcBorders>
              <w:top w:val="nil"/>
              <w:left w:val="single" w:sz="4" w:space="0" w:color="auto"/>
              <w:bottom w:val="single" w:sz="4" w:space="0" w:color="auto"/>
              <w:right w:val="single" w:sz="4" w:space="0" w:color="auto"/>
            </w:tcBorders>
            <w:shd w:val="clear" w:color="auto" w:fill="auto"/>
            <w:vAlign w:val="center"/>
            <w:hideMark/>
          </w:tcPr>
          <w:p w14:paraId="6C5A30B8"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Outras contas</w:t>
            </w:r>
          </w:p>
        </w:tc>
        <w:tc>
          <w:tcPr>
            <w:tcW w:w="975" w:type="dxa"/>
            <w:tcBorders>
              <w:top w:val="nil"/>
              <w:left w:val="nil"/>
              <w:bottom w:val="single" w:sz="4" w:space="0" w:color="auto"/>
              <w:right w:val="single" w:sz="4" w:space="0" w:color="auto"/>
            </w:tcBorders>
            <w:shd w:val="clear" w:color="auto" w:fill="auto"/>
            <w:vAlign w:val="center"/>
            <w:hideMark/>
          </w:tcPr>
          <w:p w14:paraId="5B0C01D9"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nil"/>
            </w:tcBorders>
            <w:shd w:val="clear" w:color="000000" w:fill="FFFFFF"/>
            <w:vAlign w:val="center"/>
            <w:hideMark/>
          </w:tcPr>
          <w:p w14:paraId="76AFB72C"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4E130EEA"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4C3011A1"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6B213988"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74A913C2"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11AD37DE"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503BA175"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1AADEEB5"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1DAB4A22"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nil"/>
            </w:tcBorders>
            <w:shd w:val="clear" w:color="000000" w:fill="FFFFFF"/>
            <w:vAlign w:val="center"/>
            <w:hideMark/>
          </w:tcPr>
          <w:p w14:paraId="4F47AC8E"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0BB391E4"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02F08431"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600BED4B"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449B3781"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3F70876B"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3D44F79F"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19DC5C8A"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35D6E271"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nil"/>
            </w:tcBorders>
            <w:shd w:val="clear" w:color="000000" w:fill="FFFFFF"/>
            <w:vAlign w:val="center"/>
            <w:hideMark/>
          </w:tcPr>
          <w:p w14:paraId="0FB9C765"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652325F6"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10743805"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5595CFA3"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6F4B866A"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7E38E863"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5B07F7E6"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5BBE1F33"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27BFCFE7"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nil"/>
            </w:tcBorders>
            <w:shd w:val="clear" w:color="000000" w:fill="FFFFFF"/>
            <w:vAlign w:val="center"/>
            <w:hideMark/>
          </w:tcPr>
          <w:p w14:paraId="0497ABBC"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49A40478"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344C39C6"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6B513406"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2545B4E1"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61D19A64"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68381732"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3256" w:type="dxa"/>
            <w:gridSpan w:val="2"/>
            <w:tcBorders>
              <w:top w:val="single" w:sz="4" w:space="0" w:color="auto"/>
              <w:left w:val="nil"/>
              <w:bottom w:val="single" w:sz="4" w:space="0" w:color="auto"/>
              <w:right w:val="single" w:sz="4" w:space="0" w:color="000000"/>
            </w:tcBorders>
            <w:shd w:val="clear" w:color="000000" w:fill="D9D9D9"/>
            <w:vAlign w:val="center"/>
            <w:hideMark/>
          </w:tcPr>
          <w:p w14:paraId="4ADED578" w14:textId="77777777" w:rsidR="00395593" w:rsidRPr="005C5CBD" w:rsidRDefault="00395593" w:rsidP="00E15FBB">
            <w:pPr>
              <w:spacing w:after="0" w:line="240" w:lineRule="auto"/>
              <w:rPr>
                <w:rFonts w:ascii="Garamond" w:eastAsia="Times New Roman" w:hAnsi="Garamond" w:cs="Calibri"/>
                <w:b/>
                <w:color w:val="000000"/>
                <w:sz w:val="18"/>
                <w:szCs w:val="18"/>
                <w:lang w:eastAsia="pt-BR"/>
              </w:rPr>
            </w:pPr>
            <w:r w:rsidRPr="005C5CBD">
              <w:rPr>
                <w:rFonts w:ascii="Garamond" w:eastAsia="Times New Roman" w:hAnsi="Garamond" w:cs="Calibri"/>
                <w:b/>
                <w:color w:val="000000"/>
                <w:sz w:val="18"/>
                <w:szCs w:val="18"/>
                <w:lang w:eastAsia="pt-BR"/>
              </w:rPr>
              <w:t>Aumento (Redução) dos Passivos</w:t>
            </w:r>
          </w:p>
        </w:tc>
        <w:tc>
          <w:tcPr>
            <w:tcW w:w="967" w:type="dxa"/>
            <w:tcBorders>
              <w:top w:val="single" w:sz="4" w:space="0" w:color="auto"/>
              <w:left w:val="nil"/>
              <w:bottom w:val="single" w:sz="4" w:space="0" w:color="auto"/>
              <w:right w:val="nil"/>
            </w:tcBorders>
            <w:shd w:val="clear" w:color="000000" w:fill="D9D9D9"/>
            <w:vAlign w:val="center"/>
            <w:hideMark/>
          </w:tcPr>
          <w:p w14:paraId="61B0438B"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xml:space="preserve">0,00 </w:t>
            </w:r>
          </w:p>
        </w:tc>
        <w:tc>
          <w:tcPr>
            <w:tcW w:w="967" w:type="dxa"/>
            <w:tcBorders>
              <w:top w:val="single" w:sz="4" w:space="0" w:color="auto"/>
              <w:left w:val="single" w:sz="4" w:space="0" w:color="auto"/>
              <w:bottom w:val="single" w:sz="4" w:space="0" w:color="auto"/>
              <w:right w:val="nil"/>
            </w:tcBorders>
            <w:shd w:val="clear" w:color="000000" w:fill="D9D9D9"/>
            <w:vAlign w:val="center"/>
            <w:hideMark/>
          </w:tcPr>
          <w:p w14:paraId="421C1B5D"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xml:space="preserve">0,00 </w:t>
            </w:r>
          </w:p>
        </w:tc>
        <w:tc>
          <w:tcPr>
            <w:tcW w:w="968" w:type="dxa"/>
            <w:tcBorders>
              <w:top w:val="single" w:sz="4" w:space="0" w:color="auto"/>
              <w:left w:val="single" w:sz="4" w:space="0" w:color="auto"/>
              <w:bottom w:val="single" w:sz="4" w:space="0" w:color="auto"/>
              <w:right w:val="nil"/>
            </w:tcBorders>
            <w:shd w:val="clear" w:color="000000" w:fill="D9D9D9"/>
            <w:vAlign w:val="center"/>
            <w:hideMark/>
          </w:tcPr>
          <w:p w14:paraId="4B529FE4"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xml:space="preserve">0,00 </w:t>
            </w:r>
          </w:p>
        </w:tc>
        <w:tc>
          <w:tcPr>
            <w:tcW w:w="968" w:type="dxa"/>
            <w:tcBorders>
              <w:top w:val="single" w:sz="4" w:space="0" w:color="auto"/>
              <w:left w:val="single" w:sz="4" w:space="0" w:color="auto"/>
              <w:bottom w:val="single" w:sz="4" w:space="0" w:color="auto"/>
              <w:right w:val="nil"/>
            </w:tcBorders>
            <w:shd w:val="clear" w:color="000000" w:fill="D9D9D9"/>
            <w:vAlign w:val="center"/>
            <w:hideMark/>
          </w:tcPr>
          <w:p w14:paraId="3BCCD741"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xml:space="preserve">0,00 </w:t>
            </w:r>
          </w:p>
        </w:tc>
        <w:tc>
          <w:tcPr>
            <w:tcW w:w="96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6AA1E5"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xml:space="preserve">0,00 </w:t>
            </w:r>
          </w:p>
        </w:tc>
      </w:tr>
      <w:tr w:rsidR="00395593" w:rsidRPr="00AC0363" w14:paraId="6968D240"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411CE41E"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3256" w:type="dxa"/>
            <w:gridSpan w:val="2"/>
            <w:tcBorders>
              <w:top w:val="single" w:sz="4" w:space="0" w:color="auto"/>
              <w:left w:val="nil"/>
              <w:bottom w:val="single" w:sz="4" w:space="0" w:color="auto"/>
              <w:right w:val="single" w:sz="4" w:space="0" w:color="auto"/>
            </w:tcBorders>
            <w:shd w:val="clear" w:color="auto" w:fill="auto"/>
            <w:vAlign w:val="center"/>
            <w:hideMark/>
          </w:tcPr>
          <w:p w14:paraId="0C681B0F"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Fornecedores</w:t>
            </w:r>
          </w:p>
        </w:tc>
        <w:tc>
          <w:tcPr>
            <w:tcW w:w="967" w:type="dxa"/>
            <w:tcBorders>
              <w:top w:val="nil"/>
              <w:left w:val="nil"/>
              <w:bottom w:val="nil"/>
              <w:right w:val="nil"/>
            </w:tcBorders>
            <w:shd w:val="clear" w:color="000000" w:fill="FFFFFF"/>
            <w:vAlign w:val="center"/>
            <w:hideMark/>
          </w:tcPr>
          <w:p w14:paraId="10E2BEDB"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65C09812"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2896D371"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3D3A54EB"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01D87E10"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0F2910AA"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7556C20F"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val="restart"/>
            <w:tcBorders>
              <w:top w:val="nil"/>
              <w:left w:val="single" w:sz="4" w:space="0" w:color="auto"/>
              <w:bottom w:val="single" w:sz="4" w:space="0" w:color="auto"/>
              <w:right w:val="single" w:sz="4" w:space="0" w:color="auto"/>
            </w:tcBorders>
            <w:shd w:val="clear" w:color="auto" w:fill="auto"/>
            <w:vAlign w:val="center"/>
            <w:hideMark/>
          </w:tcPr>
          <w:p w14:paraId="1C5F9E01"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Outras contas</w:t>
            </w:r>
          </w:p>
        </w:tc>
        <w:tc>
          <w:tcPr>
            <w:tcW w:w="975" w:type="dxa"/>
            <w:tcBorders>
              <w:top w:val="nil"/>
              <w:left w:val="nil"/>
              <w:bottom w:val="single" w:sz="4" w:space="0" w:color="auto"/>
              <w:right w:val="single" w:sz="4" w:space="0" w:color="auto"/>
            </w:tcBorders>
            <w:shd w:val="clear" w:color="auto" w:fill="auto"/>
            <w:vAlign w:val="center"/>
            <w:hideMark/>
          </w:tcPr>
          <w:p w14:paraId="1B3D5D37"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nil"/>
            </w:tcBorders>
            <w:shd w:val="clear" w:color="000000" w:fill="FFFFFF"/>
            <w:vAlign w:val="center"/>
            <w:hideMark/>
          </w:tcPr>
          <w:p w14:paraId="1C2DBA16"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21488CD3"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774F4248"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36AEB6DF"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67AA6672"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7E6B748B"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3570F6CA"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49B88397"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469D1A63"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nil"/>
            </w:tcBorders>
            <w:shd w:val="clear" w:color="000000" w:fill="FFFFFF"/>
            <w:vAlign w:val="center"/>
            <w:hideMark/>
          </w:tcPr>
          <w:p w14:paraId="140A1C56"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62EDD6F2"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595BFB99"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38CFF5D3"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1D165FF1"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1BF93AC8"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7B62EA16"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1CBB35EC"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55104FD0"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nil"/>
            </w:tcBorders>
            <w:shd w:val="clear" w:color="000000" w:fill="FFFFFF"/>
            <w:vAlign w:val="center"/>
            <w:hideMark/>
          </w:tcPr>
          <w:p w14:paraId="6DD2B76D"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47D3BAC5"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20B1003E"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41631AD9"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1209C5E2"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60FB147F"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4350CFAA"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0E3B91C4"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1E53B9FD"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nil"/>
            </w:tcBorders>
            <w:shd w:val="clear" w:color="000000" w:fill="FFFFFF"/>
            <w:vAlign w:val="center"/>
            <w:hideMark/>
          </w:tcPr>
          <w:p w14:paraId="0D12D1B7"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260412CD"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05521A98"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39D2DDB6"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69905433"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7265CC9D" w14:textId="77777777" w:rsidTr="00395593">
        <w:trPr>
          <w:trHeight w:val="299"/>
        </w:trPr>
        <w:tc>
          <w:tcPr>
            <w:tcW w:w="392" w:type="dxa"/>
            <w:vMerge/>
            <w:tcBorders>
              <w:top w:val="single" w:sz="4" w:space="0" w:color="auto"/>
              <w:left w:val="single" w:sz="4" w:space="0" w:color="auto"/>
              <w:bottom w:val="single" w:sz="4" w:space="0" w:color="000000"/>
              <w:right w:val="single" w:sz="4" w:space="0" w:color="auto"/>
            </w:tcBorders>
            <w:vAlign w:val="center"/>
            <w:hideMark/>
          </w:tcPr>
          <w:p w14:paraId="1B4E4287"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3256" w:type="dxa"/>
            <w:gridSpan w:val="2"/>
            <w:tcBorders>
              <w:top w:val="single" w:sz="4" w:space="0" w:color="auto"/>
              <w:left w:val="nil"/>
              <w:bottom w:val="single" w:sz="4" w:space="0" w:color="auto"/>
              <w:right w:val="single" w:sz="4" w:space="0" w:color="000000"/>
            </w:tcBorders>
            <w:shd w:val="clear" w:color="000000" w:fill="D9D9D9"/>
            <w:vAlign w:val="center"/>
            <w:hideMark/>
          </w:tcPr>
          <w:p w14:paraId="245AE839" w14:textId="77777777" w:rsidR="00395593" w:rsidRPr="005C5CBD" w:rsidRDefault="00395593" w:rsidP="00E15FBB">
            <w:pPr>
              <w:spacing w:after="0" w:line="240" w:lineRule="auto"/>
              <w:rPr>
                <w:rFonts w:ascii="Garamond" w:eastAsia="Times New Roman" w:hAnsi="Garamond" w:cs="Calibri"/>
                <w:b/>
                <w:color w:val="000000"/>
                <w:sz w:val="18"/>
                <w:szCs w:val="18"/>
                <w:lang w:eastAsia="pt-BR"/>
              </w:rPr>
            </w:pPr>
            <w:r w:rsidRPr="005C5CBD">
              <w:rPr>
                <w:rFonts w:ascii="Garamond" w:eastAsia="Times New Roman" w:hAnsi="Garamond" w:cs="Calibri"/>
                <w:b/>
                <w:color w:val="000000"/>
                <w:sz w:val="18"/>
                <w:szCs w:val="18"/>
                <w:lang w:eastAsia="pt-BR"/>
              </w:rPr>
              <w:t>Caixa Líquido Gerado nas Atividades Operacionais</w:t>
            </w:r>
          </w:p>
        </w:tc>
        <w:tc>
          <w:tcPr>
            <w:tcW w:w="967" w:type="dxa"/>
            <w:tcBorders>
              <w:top w:val="single" w:sz="4" w:space="0" w:color="auto"/>
              <w:left w:val="nil"/>
              <w:bottom w:val="single" w:sz="4" w:space="0" w:color="auto"/>
              <w:right w:val="nil"/>
            </w:tcBorders>
            <w:shd w:val="clear" w:color="000000" w:fill="D9D9D9"/>
            <w:vAlign w:val="center"/>
            <w:hideMark/>
          </w:tcPr>
          <w:p w14:paraId="4E8B8881"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7" w:type="dxa"/>
            <w:tcBorders>
              <w:top w:val="single" w:sz="4" w:space="0" w:color="auto"/>
              <w:left w:val="single" w:sz="4" w:space="0" w:color="auto"/>
              <w:bottom w:val="single" w:sz="4" w:space="0" w:color="auto"/>
              <w:right w:val="nil"/>
            </w:tcBorders>
            <w:shd w:val="clear" w:color="000000" w:fill="D9D9D9"/>
            <w:vAlign w:val="center"/>
            <w:hideMark/>
          </w:tcPr>
          <w:p w14:paraId="5A00A6BC"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8" w:type="dxa"/>
            <w:tcBorders>
              <w:top w:val="single" w:sz="4" w:space="0" w:color="auto"/>
              <w:left w:val="single" w:sz="4" w:space="0" w:color="auto"/>
              <w:bottom w:val="single" w:sz="4" w:space="0" w:color="auto"/>
              <w:right w:val="nil"/>
            </w:tcBorders>
            <w:shd w:val="clear" w:color="000000" w:fill="D9D9D9"/>
            <w:vAlign w:val="center"/>
            <w:hideMark/>
          </w:tcPr>
          <w:p w14:paraId="66096D62"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8" w:type="dxa"/>
            <w:tcBorders>
              <w:top w:val="single" w:sz="4" w:space="0" w:color="auto"/>
              <w:left w:val="single" w:sz="4" w:space="0" w:color="auto"/>
              <w:bottom w:val="single" w:sz="4" w:space="0" w:color="auto"/>
              <w:right w:val="nil"/>
            </w:tcBorders>
            <w:shd w:val="clear" w:color="000000" w:fill="D9D9D9"/>
            <w:vAlign w:val="center"/>
            <w:hideMark/>
          </w:tcPr>
          <w:p w14:paraId="12B648CF"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613D881"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r>
      <w:tr w:rsidR="00395593" w:rsidRPr="00AC0363" w14:paraId="52F71E68" w14:textId="77777777" w:rsidTr="00395593">
        <w:trPr>
          <w:trHeight w:val="299"/>
        </w:trPr>
        <w:tc>
          <w:tcPr>
            <w:tcW w:w="39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66797B3" w14:textId="77777777" w:rsidR="00395593" w:rsidRPr="005C5CBD" w:rsidRDefault="00395593" w:rsidP="00E15FBB">
            <w:pPr>
              <w:spacing w:after="0" w:line="240" w:lineRule="auto"/>
              <w:jc w:val="center"/>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Atividades de Investimento</w:t>
            </w:r>
          </w:p>
        </w:tc>
        <w:tc>
          <w:tcPr>
            <w:tcW w:w="3256" w:type="dxa"/>
            <w:gridSpan w:val="2"/>
            <w:tcBorders>
              <w:top w:val="single" w:sz="4" w:space="0" w:color="auto"/>
              <w:left w:val="nil"/>
              <w:bottom w:val="single" w:sz="4" w:space="0" w:color="auto"/>
              <w:right w:val="single" w:sz="4" w:space="0" w:color="auto"/>
            </w:tcBorders>
            <w:shd w:val="clear" w:color="auto" w:fill="auto"/>
            <w:vAlign w:val="center"/>
            <w:hideMark/>
          </w:tcPr>
          <w:p w14:paraId="0F3380D4"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Imobilizado</w:t>
            </w:r>
          </w:p>
        </w:tc>
        <w:tc>
          <w:tcPr>
            <w:tcW w:w="967" w:type="dxa"/>
            <w:tcBorders>
              <w:top w:val="nil"/>
              <w:left w:val="nil"/>
              <w:bottom w:val="nil"/>
              <w:right w:val="nil"/>
            </w:tcBorders>
            <w:shd w:val="clear" w:color="000000" w:fill="FFFFFF"/>
            <w:vAlign w:val="center"/>
            <w:hideMark/>
          </w:tcPr>
          <w:p w14:paraId="45E1ED7A"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07603E76"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1248DFE1"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10C17842"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692F3452"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r>
      <w:tr w:rsidR="00395593" w:rsidRPr="00AC0363" w14:paraId="54CCF804" w14:textId="77777777" w:rsidTr="00395593">
        <w:trPr>
          <w:trHeight w:val="299"/>
        </w:trPr>
        <w:tc>
          <w:tcPr>
            <w:tcW w:w="392" w:type="dxa"/>
            <w:vMerge/>
            <w:tcBorders>
              <w:top w:val="nil"/>
              <w:left w:val="single" w:sz="4" w:space="0" w:color="auto"/>
              <w:bottom w:val="single" w:sz="4" w:space="0" w:color="000000"/>
              <w:right w:val="single" w:sz="4" w:space="0" w:color="auto"/>
            </w:tcBorders>
            <w:vAlign w:val="center"/>
            <w:hideMark/>
          </w:tcPr>
          <w:p w14:paraId="6D5655D8"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3256" w:type="dxa"/>
            <w:gridSpan w:val="2"/>
            <w:tcBorders>
              <w:top w:val="single" w:sz="4" w:space="0" w:color="auto"/>
              <w:left w:val="nil"/>
              <w:bottom w:val="single" w:sz="4" w:space="0" w:color="auto"/>
              <w:right w:val="single" w:sz="4" w:space="0" w:color="auto"/>
            </w:tcBorders>
            <w:shd w:val="clear" w:color="auto" w:fill="auto"/>
            <w:vAlign w:val="center"/>
            <w:hideMark/>
          </w:tcPr>
          <w:p w14:paraId="2428260C"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Investimentos</w:t>
            </w:r>
          </w:p>
        </w:tc>
        <w:tc>
          <w:tcPr>
            <w:tcW w:w="967" w:type="dxa"/>
            <w:tcBorders>
              <w:top w:val="nil"/>
              <w:left w:val="nil"/>
              <w:bottom w:val="nil"/>
              <w:right w:val="nil"/>
            </w:tcBorders>
            <w:shd w:val="clear" w:color="000000" w:fill="FFFFFF"/>
            <w:vAlign w:val="center"/>
            <w:hideMark/>
          </w:tcPr>
          <w:p w14:paraId="33486776"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7BB5F02E"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0DCC1E82"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6ABB1633"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264F8C7A"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r>
      <w:tr w:rsidR="00395593" w:rsidRPr="00AC0363" w14:paraId="02DB1F16" w14:textId="77777777" w:rsidTr="00395593">
        <w:trPr>
          <w:trHeight w:val="299"/>
        </w:trPr>
        <w:tc>
          <w:tcPr>
            <w:tcW w:w="392" w:type="dxa"/>
            <w:vMerge/>
            <w:tcBorders>
              <w:top w:val="nil"/>
              <w:left w:val="single" w:sz="4" w:space="0" w:color="auto"/>
              <w:bottom w:val="single" w:sz="4" w:space="0" w:color="000000"/>
              <w:right w:val="single" w:sz="4" w:space="0" w:color="auto"/>
            </w:tcBorders>
            <w:vAlign w:val="center"/>
            <w:hideMark/>
          </w:tcPr>
          <w:p w14:paraId="5653872C"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val="restart"/>
            <w:tcBorders>
              <w:top w:val="nil"/>
              <w:left w:val="single" w:sz="4" w:space="0" w:color="auto"/>
              <w:bottom w:val="single" w:sz="4" w:space="0" w:color="auto"/>
              <w:right w:val="single" w:sz="4" w:space="0" w:color="auto"/>
            </w:tcBorders>
            <w:shd w:val="clear" w:color="auto" w:fill="auto"/>
            <w:vAlign w:val="center"/>
            <w:hideMark/>
          </w:tcPr>
          <w:p w14:paraId="5D757508"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Outras contas</w:t>
            </w:r>
          </w:p>
        </w:tc>
        <w:tc>
          <w:tcPr>
            <w:tcW w:w="975" w:type="dxa"/>
            <w:tcBorders>
              <w:top w:val="nil"/>
              <w:left w:val="nil"/>
              <w:bottom w:val="single" w:sz="4" w:space="0" w:color="auto"/>
              <w:right w:val="single" w:sz="4" w:space="0" w:color="auto"/>
            </w:tcBorders>
            <w:shd w:val="clear" w:color="auto" w:fill="auto"/>
            <w:vAlign w:val="center"/>
            <w:hideMark/>
          </w:tcPr>
          <w:p w14:paraId="7E1789C5"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nil"/>
            </w:tcBorders>
            <w:shd w:val="clear" w:color="000000" w:fill="FFFFFF"/>
            <w:vAlign w:val="center"/>
            <w:hideMark/>
          </w:tcPr>
          <w:p w14:paraId="680D50E9"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61E5EEB5"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4D037D74"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19F0B3F8"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4234E8FE"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r>
      <w:tr w:rsidR="00395593" w:rsidRPr="00AC0363" w14:paraId="391F9626" w14:textId="77777777" w:rsidTr="00395593">
        <w:trPr>
          <w:trHeight w:val="299"/>
        </w:trPr>
        <w:tc>
          <w:tcPr>
            <w:tcW w:w="392" w:type="dxa"/>
            <w:vMerge/>
            <w:tcBorders>
              <w:top w:val="nil"/>
              <w:left w:val="single" w:sz="4" w:space="0" w:color="auto"/>
              <w:bottom w:val="single" w:sz="4" w:space="0" w:color="000000"/>
              <w:right w:val="single" w:sz="4" w:space="0" w:color="auto"/>
            </w:tcBorders>
            <w:vAlign w:val="center"/>
            <w:hideMark/>
          </w:tcPr>
          <w:p w14:paraId="2B44350F"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72B43E6A"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07CB61AC"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nil"/>
            </w:tcBorders>
            <w:shd w:val="clear" w:color="000000" w:fill="FFFFFF"/>
            <w:vAlign w:val="center"/>
            <w:hideMark/>
          </w:tcPr>
          <w:p w14:paraId="206EAC06"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50CA1FEB"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75376DFC"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6A8340CC"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4859D3CF"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r>
      <w:tr w:rsidR="00395593" w:rsidRPr="00AC0363" w14:paraId="6B9F71EB" w14:textId="77777777" w:rsidTr="00395593">
        <w:trPr>
          <w:trHeight w:val="299"/>
        </w:trPr>
        <w:tc>
          <w:tcPr>
            <w:tcW w:w="392" w:type="dxa"/>
            <w:vMerge/>
            <w:tcBorders>
              <w:top w:val="nil"/>
              <w:left w:val="single" w:sz="4" w:space="0" w:color="auto"/>
              <w:bottom w:val="single" w:sz="4" w:space="0" w:color="000000"/>
              <w:right w:val="single" w:sz="4" w:space="0" w:color="auto"/>
            </w:tcBorders>
            <w:vAlign w:val="center"/>
            <w:hideMark/>
          </w:tcPr>
          <w:p w14:paraId="0BD00381"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46231B38"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4BD80564"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nil"/>
            </w:tcBorders>
            <w:shd w:val="clear" w:color="000000" w:fill="FFFFFF"/>
            <w:vAlign w:val="center"/>
            <w:hideMark/>
          </w:tcPr>
          <w:p w14:paraId="3953A332"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58A89525"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566EA06E"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6D0D7CB1"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39757F3F"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r>
      <w:tr w:rsidR="00395593" w:rsidRPr="00AC0363" w14:paraId="3ED52CB5" w14:textId="77777777" w:rsidTr="00395593">
        <w:trPr>
          <w:trHeight w:val="299"/>
        </w:trPr>
        <w:tc>
          <w:tcPr>
            <w:tcW w:w="392" w:type="dxa"/>
            <w:vMerge/>
            <w:tcBorders>
              <w:top w:val="nil"/>
              <w:left w:val="single" w:sz="4" w:space="0" w:color="auto"/>
              <w:bottom w:val="single" w:sz="4" w:space="0" w:color="000000"/>
              <w:right w:val="single" w:sz="4" w:space="0" w:color="auto"/>
            </w:tcBorders>
            <w:vAlign w:val="center"/>
            <w:hideMark/>
          </w:tcPr>
          <w:p w14:paraId="5EE24300"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29312FF1"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5F08FB54"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nil"/>
            </w:tcBorders>
            <w:shd w:val="clear" w:color="000000" w:fill="FFFFFF"/>
            <w:vAlign w:val="center"/>
            <w:hideMark/>
          </w:tcPr>
          <w:p w14:paraId="769EA9FE"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single" w:sz="4" w:space="0" w:color="auto"/>
              <w:bottom w:val="nil"/>
              <w:right w:val="nil"/>
            </w:tcBorders>
            <w:shd w:val="clear" w:color="000000" w:fill="FFFFFF"/>
            <w:vAlign w:val="center"/>
            <w:hideMark/>
          </w:tcPr>
          <w:p w14:paraId="3FEC655E"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6AF996CB"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nil"/>
            </w:tcBorders>
            <w:shd w:val="clear" w:color="000000" w:fill="FFFFFF"/>
            <w:vAlign w:val="center"/>
            <w:hideMark/>
          </w:tcPr>
          <w:p w14:paraId="041AED2D"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single" w:sz="4" w:space="0" w:color="auto"/>
              <w:bottom w:val="nil"/>
              <w:right w:val="single" w:sz="4" w:space="0" w:color="auto"/>
            </w:tcBorders>
            <w:shd w:val="clear" w:color="000000" w:fill="FFFFFF"/>
            <w:vAlign w:val="center"/>
            <w:hideMark/>
          </w:tcPr>
          <w:p w14:paraId="18097B8A"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19022BF6" w14:textId="77777777" w:rsidTr="00395593">
        <w:trPr>
          <w:trHeight w:val="299"/>
        </w:trPr>
        <w:tc>
          <w:tcPr>
            <w:tcW w:w="392" w:type="dxa"/>
            <w:vMerge/>
            <w:tcBorders>
              <w:top w:val="nil"/>
              <w:left w:val="single" w:sz="4" w:space="0" w:color="auto"/>
              <w:bottom w:val="single" w:sz="4" w:space="0" w:color="000000"/>
              <w:right w:val="single" w:sz="4" w:space="0" w:color="auto"/>
            </w:tcBorders>
            <w:vAlign w:val="center"/>
            <w:hideMark/>
          </w:tcPr>
          <w:p w14:paraId="1320F1D9"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3256" w:type="dxa"/>
            <w:gridSpan w:val="2"/>
            <w:tcBorders>
              <w:top w:val="single" w:sz="4" w:space="0" w:color="auto"/>
              <w:left w:val="nil"/>
              <w:bottom w:val="single" w:sz="4" w:space="0" w:color="auto"/>
              <w:right w:val="single" w:sz="4" w:space="0" w:color="000000"/>
            </w:tcBorders>
            <w:shd w:val="clear" w:color="000000" w:fill="D9D9D9"/>
            <w:vAlign w:val="center"/>
            <w:hideMark/>
          </w:tcPr>
          <w:p w14:paraId="71EAE05B" w14:textId="77777777" w:rsidR="00395593" w:rsidRPr="005C5CBD" w:rsidRDefault="00395593" w:rsidP="00E15FBB">
            <w:pPr>
              <w:spacing w:after="0" w:line="240" w:lineRule="auto"/>
              <w:rPr>
                <w:rFonts w:ascii="Garamond" w:eastAsia="Times New Roman" w:hAnsi="Garamond" w:cs="Calibri"/>
                <w:b/>
                <w:color w:val="000000"/>
                <w:sz w:val="18"/>
                <w:szCs w:val="18"/>
                <w:lang w:eastAsia="pt-BR"/>
              </w:rPr>
            </w:pPr>
            <w:r w:rsidRPr="005C5CBD">
              <w:rPr>
                <w:rFonts w:ascii="Garamond" w:eastAsia="Times New Roman" w:hAnsi="Garamond" w:cs="Calibri"/>
                <w:b/>
                <w:color w:val="000000"/>
                <w:sz w:val="18"/>
                <w:szCs w:val="18"/>
                <w:lang w:eastAsia="pt-BR"/>
              </w:rPr>
              <w:t>Caixa Líquido Utilizado nas Atividades de Investimentos</w:t>
            </w:r>
          </w:p>
        </w:tc>
        <w:tc>
          <w:tcPr>
            <w:tcW w:w="967" w:type="dxa"/>
            <w:tcBorders>
              <w:top w:val="single" w:sz="4" w:space="0" w:color="auto"/>
              <w:left w:val="nil"/>
              <w:bottom w:val="single" w:sz="4" w:space="0" w:color="auto"/>
              <w:right w:val="nil"/>
            </w:tcBorders>
            <w:shd w:val="clear" w:color="000000" w:fill="D9D9D9"/>
            <w:vAlign w:val="center"/>
            <w:hideMark/>
          </w:tcPr>
          <w:p w14:paraId="5AADEAAF"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7" w:type="dxa"/>
            <w:tcBorders>
              <w:top w:val="single" w:sz="4" w:space="0" w:color="auto"/>
              <w:left w:val="single" w:sz="4" w:space="0" w:color="auto"/>
              <w:bottom w:val="single" w:sz="4" w:space="0" w:color="auto"/>
              <w:right w:val="nil"/>
            </w:tcBorders>
            <w:shd w:val="clear" w:color="000000" w:fill="D9D9D9"/>
            <w:vAlign w:val="center"/>
            <w:hideMark/>
          </w:tcPr>
          <w:p w14:paraId="5D111D81"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8" w:type="dxa"/>
            <w:tcBorders>
              <w:top w:val="single" w:sz="4" w:space="0" w:color="auto"/>
              <w:left w:val="single" w:sz="4" w:space="0" w:color="auto"/>
              <w:bottom w:val="single" w:sz="4" w:space="0" w:color="auto"/>
              <w:right w:val="nil"/>
            </w:tcBorders>
            <w:shd w:val="clear" w:color="000000" w:fill="D9D9D9"/>
            <w:vAlign w:val="center"/>
            <w:hideMark/>
          </w:tcPr>
          <w:p w14:paraId="74A5C736"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8" w:type="dxa"/>
            <w:tcBorders>
              <w:top w:val="single" w:sz="4" w:space="0" w:color="auto"/>
              <w:left w:val="single" w:sz="4" w:space="0" w:color="auto"/>
              <w:bottom w:val="single" w:sz="4" w:space="0" w:color="auto"/>
              <w:right w:val="nil"/>
            </w:tcBorders>
            <w:shd w:val="clear" w:color="000000" w:fill="D9D9D9"/>
            <w:vAlign w:val="center"/>
            <w:hideMark/>
          </w:tcPr>
          <w:p w14:paraId="16D84B4B"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CD4CA6"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r>
      <w:tr w:rsidR="00395593" w:rsidRPr="00AC0363" w14:paraId="71310CB7" w14:textId="77777777" w:rsidTr="00395593">
        <w:trPr>
          <w:trHeight w:val="299"/>
        </w:trPr>
        <w:tc>
          <w:tcPr>
            <w:tcW w:w="392" w:type="dxa"/>
            <w:vMerge w:val="restart"/>
            <w:tcBorders>
              <w:top w:val="nil"/>
              <w:left w:val="single" w:sz="4" w:space="0" w:color="auto"/>
              <w:bottom w:val="single" w:sz="4" w:space="0" w:color="000000"/>
              <w:right w:val="nil"/>
            </w:tcBorders>
            <w:shd w:val="clear" w:color="auto" w:fill="auto"/>
            <w:textDirection w:val="btLr"/>
            <w:vAlign w:val="center"/>
            <w:hideMark/>
          </w:tcPr>
          <w:p w14:paraId="035D43EE" w14:textId="77777777" w:rsidR="00395593" w:rsidRPr="005C5CBD" w:rsidRDefault="00395593" w:rsidP="00E15FBB">
            <w:pPr>
              <w:spacing w:after="0" w:line="240" w:lineRule="auto"/>
              <w:jc w:val="center"/>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Atividades de Financiamento</w:t>
            </w:r>
          </w:p>
        </w:tc>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03B77C"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Empréstimos e financiamentos</w:t>
            </w:r>
          </w:p>
        </w:tc>
        <w:tc>
          <w:tcPr>
            <w:tcW w:w="967" w:type="dxa"/>
            <w:tcBorders>
              <w:top w:val="nil"/>
              <w:left w:val="nil"/>
              <w:bottom w:val="nil"/>
              <w:right w:val="single" w:sz="4" w:space="0" w:color="auto"/>
            </w:tcBorders>
            <w:shd w:val="clear" w:color="000000" w:fill="FFFFFF"/>
            <w:vAlign w:val="center"/>
            <w:hideMark/>
          </w:tcPr>
          <w:p w14:paraId="25A2E877"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nil"/>
              <w:bottom w:val="nil"/>
              <w:right w:val="single" w:sz="4" w:space="0" w:color="auto"/>
            </w:tcBorders>
            <w:shd w:val="clear" w:color="000000" w:fill="FFFFFF"/>
            <w:vAlign w:val="center"/>
            <w:hideMark/>
          </w:tcPr>
          <w:p w14:paraId="75BCDD97"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698DEB2E"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04843156"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5E6559C0"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5C0F27F0" w14:textId="77777777" w:rsidTr="00395593">
        <w:trPr>
          <w:trHeight w:val="299"/>
        </w:trPr>
        <w:tc>
          <w:tcPr>
            <w:tcW w:w="392" w:type="dxa"/>
            <w:vMerge/>
            <w:tcBorders>
              <w:top w:val="nil"/>
              <w:left w:val="single" w:sz="4" w:space="0" w:color="auto"/>
              <w:bottom w:val="single" w:sz="4" w:space="0" w:color="000000"/>
              <w:right w:val="nil"/>
            </w:tcBorders>
            <w:vAlign w:val="center"/>
            <w:hideMark/>
          </w:tcPr>
          <w:p w14:paraId="01C1ACE3"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124339"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Capital</w:t>
            </w:r>
          </w:p>
        </w:tc>
        <w:tc>
          <w:tcPr>
            <w:tcW w:w="967" w:type="dxa"/>
            <w:tcBorders>
              <w:top w:val="nil"/>
              <w:left w:val="nil"/>
              <w:bottom w:val="nil"/>
              <w:right w:val="single" w:sz="4" w:space="0" w:color="auto"/>
            </w:tcBorders>
            <w:shd w:val="clear" w:color="000000" w:fill="FFFFFF"/>
            <w:vAlign w:val="center"/>
            <w:hideMark/>
          </w:tcPr>
          <w:p w14:paraId="1DA9DBD8"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7" w:type="dxa"/>
            <w:tcBorders>
              <w:top w:val="nil"/>
              <w:left w:val="nil"/>
              <w:bottom w:val="nil"/>
              <w:right w:val="single" w:sz="4" w:space="0" w:color="auto"/>
            </w:tcBorders>
            <w:shd w:val="clear" w:color="000000" w:fill="FFFFFF"/>
            <w:vAlign w:val="center"/>
            <w:hideMark/>
          </w:tcPr>
          <w:p w14:paraId="1863BADF"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4504C8D7"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6399B30D"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1A76D67D"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r w:rsidRPr="005C5CBD">
              <w:rPr>
                <w:rFonts w:ascii="Garamond" w:eastAsia="Times New Roman" w:hAnsi="Garamond" w:cs="Calibri"/>
                <w:color w:val="000000"/>
                <w:sz w:val="16"/>
                <w:szCs w:val="16"/>
                <w:lang w:eastAsia="pt-BR"/>
              </w:rPr>
              <w:t> </w:t>
            </w:r>
          </w:p>
        </w:tc>
      </w:tr>
      <w:tr w:rsidR="00395593" w:rsidRPr="00AC0363" w14:paraId="716D48AD" w14:textId="77777777" w:rsidTr="00395593">
        <w:trPr>
          <w:trHeight w:val="299"/>
        </w:trPr>
        <w:tc>
          <w:tcPr>
            <w:tcW w:w="392" w:type="dxa"/>
            <w:vMerge/>
            <w:tcBorders>
              <w:top w:val="nil"/>
              <w:left w:val="single" w:sz="4" w:space="0" w:color="auto"/>
              <w:bottom w:val="single" w:sz="4" w:space="0" w:color="000000"/>
              <w:right w:val="nil"/>
            </w:tcBorders>
            <w:vAlign w:val="center"/>
            <w:hideMark/>
          </w:tcPr>
          <w:p w14:paraId="4C7C1AAC"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181552"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Dividendos</w:t>
            </w:r>
          </w:p>
        </w:tc>
        <w:tc>
          <w:tcPr>
            <w:tcW w:w="967" w:type="dxa"/>
            <w:tcBorders>
              <w:top w:val="nil"/>
              <w:left w:val="nil"/>
              <w:bottom w:val="nil"/>
              <w:right w:val="single" w:sz="4" w:space="0" w:color="auto"/>
            </w:tcBorders>
            <w:shd w:val="clear" w:color="000000" w:fill="FFFFFF"/>
            <w:vAlign w:val="center"/>
            <w:hideMark/>
          </w:tcPr>
          <w:p w14:paraId="46F6C6A7"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7" w:type="dxa"/>
            <w:tcBorders>
              <w:top w:val="nil"/>
              <w:left w:val="nil"/>
              <w:bottom w:val="nil"/>
              <w:right w:val="single" w:sz="4" w:space="0" w:color="auto"/>
            </w:tcBorders>
            <w:shd w:val="clear" w:color="000000" w:fill="FFFFFF"/>
            <w:vAlign w:val="center"/>
            <w:hideMark/>
          </w:tcPr>
          <w:p w14:paraId="042FC2AC"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374BF755"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785C5037"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087E541B"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r>
      <w:tr w:rsidR="00395593" w:rsidRPr="00AC0363" w14:paraId="383F6366" w14:textId="77777777" w:rsidTr="00395593">
        <w:trPr>
          <w:trHeight w:val="299"/>
        </w:trPr>
        <w:tc>
          <w:tcPr>
            <w:tcW w:w="392" w:type="dxa"/>
            <w:vMerge/>
            <w:tcBorders>
              <w:top w:val="nil"/>
              <w:left w:val="single" w:sz="4" w:space="0" w:color="auto"/>
              <w:bottom w:val="single" w:sz="4" w:space="0" w:color="000000"/>
              <w:right w:val="nil"/>
            </w:tcBorders>
            <w:vAlign w:val="center"/>
            <w:hideMark/>
          </w:tcPr>
          <w:p w14:paraId="088A0FE2"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val="restart"/>
            <w:tcBorders>
              <w:top w:val="nil"/>
              <w:left w:val="single" w:sz="4" w:space="0" w:color="auto"/>
              <w:bottom w:val="single" w:sz="4" w:space="0" w:color="auto"/>
              <w:right w:val="single" w:sz="4" w:space="0" w:color="auto"/>
            </w:tcBorders>
            <w:shd w:val="clear" w:color="auto" w:fill="auto"/>
            <w:vAlign w:val="center"/>
            <w:hideMark/>
          </w:tcPr>
          <w:p w14:paraId="33900E78"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Outras contas</w:t>
            </w:r>
          </w:p>
        </w:tc>
        <w:tc>
          <w:tcPr>
            <w:tcW w:w="975" w:type="dxa"/>
            <w:tcBorders>
              <w:top w:val="nil"/>
              <w:left w:val="nil"/>
              <w:bottom w:val="single" w:sz="4" w:space="0" w:color="auto"/>
              <w:right w:val="single" w:sz="4" w:space="0" w:color="auto"/>
            </w:tcBorders>
            <w:shd w:val="clear" w:color="auto" w:fill="auto"/>
            <w:vAlign w:val="center"/>
            <w:hideMark/>
          </w:tcPr>
          <w:p w14:paraId="3887E25E"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single" w:sz="4" w:space="0" w:color="auto"/>
            </w:tcBorders>
            <w:shd w:val="clear" w:color="000000" w:fill="FFFFFF"/>
            <w:vAlign w:val="center"/>
            <w:hideMark/>
          </w:tcPr>
          <w:p w14:paraId="500402A5"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7" w:type="dxa"/>
            <w:tcBorders>
              <w:top w:val="nil"/>
              <w:left w:val="nil"/>
              <w:bottom w:val="nil"/>
              <w:right w:val="single" w:sz="4" w:space="0" w:color="auto"/>
            </w:tcBorders>
            <w:shd w:val="clear" w:color="000000" w:fill="FFFFFF"/>
            <w:vAlign w:val="center"/>
            <w:hideMark/>
          </w:tcPr>
          <w:p w14:paraId="44E64D42"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522EA43C"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625F61AB"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0032CF17"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r>
      <w:tr w:rsidR="00395593" w:rsidRPr="00AC0363" w14:paraId="70B41788" w14:textId="77777777" w:rsidTr="00395593">
        <w:trPr>
          <w:trHeight w:val="299"/>
        </w:trPr>
        <w:tc>
          <w:tcPr>
            <w:tcW w:w="392" w:type="dxa"/>
            <w:vMerge/>
            <w:tcBorders>
              <w:top w:val="nil"/>
              <w:left w:val="single" w:sz="4" w:space="0" w:color="auto"/>
              <w:bottom w:val="single" w:sz="4" w:space="0" w:color="000000"/>
              <w:right w:val="nil"/>
            </w:tcBorders>
            <w:vAlign w:val="center"/>
            <w:hideMark/>
          </w:tcPr>
          <w:p w14:paraId="72D502D1"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70D9EE14"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738F73AB"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single" w:sz="4" w:space="0" w:color="auto"/>
            </w:tcBorders>
            <w:shd w:val="clear" w:color="000000" w:fill="FFFFFF"/>
            <w:vAlign w:val="center"/>
            <w:hideMark/>
          </w:tcPr>
          <w:p w14:paraId="61555171"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7" w:type="dxa"/>
            <w:tcBorders>
              <w:top w:val="nil"/>
              <w:left w:val="nil"/>
              <w:bottom w:val="nil"/>
              <w:right w:val="single" w:sz="4" w:space="0" w:color="auto"/>
            </w:tcBorders>
            <w:shd w:val="clear" w:color="000000" w:fill="FFFFFF"/>
            <w:vAlign w:val="center"/>
            <w:hideMark/>
          </w:tcPr>
          <w:p w14:paraId="212252AA"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3CCA0BD7"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2E3506E8"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4356B6EA"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r>
      <w:tr w:rsidR="00395593" w:rsidRPr="00AC0363" w14:paraId="4A317FB9" w14:textId="77777777" w:rsidTr="00395593">
        <w:trPr>
          <w:trHeight w:val="299"/>
        </w:trPr>
        <w:tc>
          <w:tcPr>
            <w:tcW w:w="392" w:type="dxa"/>
            <w:vMerge/>
            <w:tcBorders>
              <w:top w:val="nil"/>
              <w:left w:val="single" w:sz="4" w:space="0" w:color="auto"/>
              <w:bottom w:val="single" w:sz="4" w:space="0" w:color="000000"/>
              <w:right w:val="nil"/>
            </w:tcBorders>
            <w:vAlign w:val="center"/>
            <w:hideMark/>
          </w:tcPr>
          <w:p w14:paraId="47F7A528"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0287C6FA"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2DE91753"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single" w:sz="4" w:space="0" w:color="auto"/>
            </w:tcBorders>
            <w:shd w:val="clear" w:color="000000" w:fill="FFFFFF"/>
            <w:vAlign w:val="center"/>
            <w:hideMark/>
          </w:tcPr>
          <w:p w14:paraId="62308EF7"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7" w:type="dxa"/>
            <w:tcBorders>
              <w:top w:val="nil"/>
              <w:left w:val="nil"/>
              <w:bottom w:val="nil"/>
              <w:right w:val="single" w:sz="4" w:space="0" w:color="auto"/>
            </w:tcBorders>
            <w:shd w:val="clear" w:color="000000" w:fill="FFFFFF"/>
            <w:vAlign w:val="center"/>
            <w:hideMark/>
          </w:tcPr>
          <w:p w14:paraId="7BE972F7"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45EC7ABF"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1C2DC589"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22FFCB93"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r>
      <w:tr w:rsidR="00395593" w:rsidRPr="00AC0363" w14:paraId="7AA89423" w14:textId="77777777" w:rsidTr="00395593">
        <w:trPr>
          <w:trHeight w:val="299"/>
        </w:trPr>
        <w:tc>
          <w:tcPr>
            <w:tcW w:w="392" w:type="dxa"/>
            <w:vMerge/>
            <w:tcBorders>
              <w:top w:val="nil"/>
              <w:left w:val="single" w:sz="4" w:space="0" w:color="auto"/>
              <w:bottom w:val="single" w:sz="4" w:space="0" w:color="000000"/>
              <w:right w:val="nil"/>
            </w:tcBorders>
            <w:vAlign w:val="center"/>
            <w:hideMark/>
          </w:tcPr>
          <w:p w14:paraId="67FDB452"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0AFB9F02"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720FD4CF"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single" w:sz="4" w:space="0" w:color="auto"/>
            </w:tcBorders>
            <w:shd w:val="clear" w:color="000000" w:fill="FFFFFF"/>
            <w:vAlign w:val="center"/>
            <w:hideMark/>
          </w:tcPr>
          <w:p w14:paraId="6463F52B"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7" w:type="dxa"/>
            <w:tcBorders>
              <w:top w:val="nil"/>
              <w:left w:val="nil"/>
              <w:bottom w:val="nil"/>
              <w:right w:val="single" w:sz="4" w:space="0" w:color="auto"/>
            </w:tcBorders>
            <w:shd w:val="clear" w:color="000000" w:fill="FFFFFF"/>
            <w:vAlign w:val="center"/>
            <w:hideMark/>
          </w:tcPr>
          <w:p w14:paraId="69C16915"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3BE92B23"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7B28B5C1"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63D1975C"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r>
      <w:tr w:rsidR="00395593" w:rsidRPr="00AC0363" w14:paraId="7EF551FB" w14:textId="77777777" w:rsidTr="00395593">
        <w:trPr>
          <w:trHeight w:val="299"/>
        </w:trPr>
        <w:tc>
          <w:tcPr>
            <w:tcW w:w="392" w:type="dxa"/>
            <w:vMerge/>
            <w:tcBorders>
              <w:top w:val="nil"/>
              <w:left w:val="single" w:sz="4" w:space="0" w:color="auto"/>
              <w:bottom w:val="single" w:sz="4" w:space="0" w:color="000000"/>
              <w:right w:val="nil"/>
            </w:tcBorders>
            <w:vAlign w:val="center"/>
            <w:hideMark/>
          </w:tcPr>
          <w:p w14:paraId="3047FC40"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325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54A4EEB4" w14:textId="77777777" w:rsidR="00395593" w:rsidRPr="005C5CBD" w:rsidRDefault="00395593" w:rsidP="00E15FBB">
            <w:pPr>
              <w:spacing w:after="0" w:line="240" w:lineRule="auto"/>
              <w:rPr>
                <w:rFonts w:ascii="Garamond" w:eastAsia="Times New Roman" w:hAnsi="Garamond" w:cs="Calibri"/>
                <w:b/>
                <w:color w:val="000000"/>
                <w:sz w:val="18"/>
                <w:szCs w:val="18"/>
                <w:lang w:eastAsia="pt-BR"/>
              </w:rPr>
            </w:pPr>
            <w:r w:rsidRPr="005C5CBD">
              <w:rPr>
                <w:rFonts w:ascii="Garamond" w:eastAsia="Times New Roman" w:hAnsi="Garamond" w:cs="Calibri"/>
                <w:b/>
                <w:color w:val="000000"/>
                <w:sz w:val="18"/>
                <w:szCs w:val="18"/>
                <w:lang w:eastAsia="pt-BR"/>
              </w:rPr>
              <w:t>Caixa Líquido Utilizado nas Atividades de Financiamento</w:t>
            </w:r>
          </w:p>
        </w:tc>
        <w:tc>
          <w:tcPr>
            <w:tcW w:w="967" w:type="dxa"/>
            <w:tcBorders>
              <w:top w:val="single" w:sz="4" w:space="0" w:color="auto"/>
              <w:left w:val="nil"/>
              <w:bottom w:val="single" w:sz="4" w:space="0" w:color="auto"/>
              <w:right w:val="single" w:sz="4" w:space="0" w:color="auto"/>
            </w:tcBorders>
            <w:shd w:val="clear" w:color="000000" w:fill="D9D9D9"/>
            <w:vAlign w:val="center"/>
            <w:hideMark/>
          </w:tcPr>
          <w:p w14:paraId="566645DB"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7" w:type="dxa"/>
            <w:tcBorders>
              <w:top w:val="single" w:sz="4" w:space="0" w:color="auto"/>
              <w:left w:val="nil"/>
              <w:bottom w:val="single" w:sz="4" w:space="0" w:color="auto"/>
              <w:right w:val="single" w:sz="4" w:space="0" w:color="auto"/>
            </w:tcBorders>
            <w:shd w:val="clear" w:color="000000" w:fill="D9D9D9"/>
            <w:vAlign w:val="center"/>
            <w:hideMark/>
          </w:tcPr>
          <w:p w14:paraId="2C92D3ED"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8" w:type="dxa"/>
            <w:tcBorders>
              <w:top w:val="single" w:sz="4" w:space="0" w:color="auto"/>
              <w:left w:val="nil"/>
              <w:bottom w:val="single" w:sz="4" w:space="0" w:color="auto"/>
              <w:right w:val="single" w:sz="4" w:space="0" w:color="auto"/>
            </w:tcBorders>
            <w:shd w:val="clear" w:color="000000" w:fill="D9D9D9"/>
            <w:vAlign w:val="center"/>
            <w:hideMark/>
          </w:tcPr>
          <w:p w14:paraId="17D8FE1F"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8" w:type="dxa"/>
            <w:tcBorders>
              <w:top w:val="single" w:sz="4" w:space="0" w:color="auto"/>
              <w:left w:val="nil"/>
              <w:bottom w:val="single" w:sz="4" w:space="0" w:color="auto"/>
              <w:right w:val="single" w:sz="4" w:space="0" w:color="auto"/>
            </w:tcBorders>
            <w:shd w:val="clear" w:color="000000" w:fill="D9D9D9"/>
            <w:vAlign w:val="center"/>
            <w:hideMark/>
          </w:tcPr>
          <w:p w14:paraId="7A99A8A0"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8" w:type="dxa"/>
            <w:tcBorders>
              <w:top w:val="single" w:sz="4" w:space="0" w:color="auto"/>
              <w:left w:val="nil"/>
              <w:bottom w:val="single" w:sz="4" w:space="0" w:color="auto"/>
              <w:right w:val="single" w:sz="4" w:space="0" w:color="auto"/>
            </w:tcBorders>
            <w:shd w:val="clear" w:color="000000" w:fill="D9D9D9"/>
            <w:vAlign w:val="center"/>
            <w:hideMark/>
          </w:tcPr>
          <w:p w14:paraId="73E6F942"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r>
      <w:tr w:rsidR="00395593" w:rsidRPr="00AC0363" w14:paraId="3F581538" w14:textId="77777777" w:rsidTr="00395593">
        <w:trPr>
          <w:trHeight w:val="299"/>
        </w:trPr>
        <w:tc>
          <w:tcPr>
            <w:tcW w:w="392" w:type="dxa"/>
            <w:tcBorders>
              <w:top w:val="nil"/>
              <w:left w:val="nil"/>
              <w:bottom w:val="nil"/>
              <w:right w:val="nil"/>
            </w:tcBorders>
            <w:shd w:val="clear" w:color="auto" w:fill="auto"/>
            <w:textDirection w:val="btLr"/>
            <w:vAlign w:val="center"/>
            <w:hideMark/>
          </w:tcPr>
          <w:p w14:paraId="245717E0" w14:textId="77777777" w:rsidR="00395593" w:rsidRPr="005C5CBD" w:rsidRDefault="00395593" w:rsidP="00E15FBB">
            <w:pPr>
              <w:spacing w:after="0" w:line="240" w:lineRule="auto"/>
              <w:jc w:val="center"/>
              <w:rPr>
                <w:rFonts w:ascii="Garamond" w:eastAsia="Times New Roman" w:hAnsi="Garamond" w:cs="Calibri"/>
                <w:b/>
                <w:color w:val="000000"/>
                <w:sz w:val="16"/>
                <w:szCs w:val="16"/>
                <w:lang w:eastAsia="pt-BR"/>
              </w:rPr>
            </w:pPr>
          </w:p>
        </w:tc>
        <w:tc>
          <w:tcPr>
            <w:tcW w:w="2281" w:type="dxa"/>
            <w:vMerge w:val="restart"/>
            <w:tcBorders>
              <w:top w:val="nil"/>
              <w:left w:val="single" w:sz="4" w:space="0" w:color="auto"/>
              <w:bottom w:val="single" w:sz="4" w:space="0" w:color="auto"/>
              <w:right w:val="single" w:sz="4" w:space="0" w:color="auto"/>
            </w:tcBorders>
            <w:shd w:val="clear" w:color="auto" w:fill="auto"/>
            <w:vAlign w:val="center"/>
            <w:hideMark/>
          </w:tcPr>
          <w:p w14:paraId="3C3BB26F"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Outras contas</w:t>
            </w:r>
          </w:p>
        </w:tc>
        <w:tc>
          <w:tcPr>
            <w:tcW w:w="975" w:type="dxa"/>
            <w:tcBorders>
              <w:top w:val="nil"/>
              <w:left w:val="nil"/>
              <w:bottom w:val="single" w:sz="4" w:space="0" w:color="auto"/>
              <w:right w:val="single" w:sz="4" w:space="0" w:color="auto"/>
            </w:tcBorders>
            <w:shd w:val="clear" w:color="auto" w:fill="auto"/>
            <w:vAlign w:val="center"/>
            <w:hideMark/>
          </w:tcPr>
          <w:p w14:paraId="59391FCB"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single" w:sz="4" w:space="0" w:color="auto"/>
            </w:tcBorders>
            <w:shd w:val="clear" w:color="000000" w:fill="FFFFFF"/>
            <w:vAlign w:val="center"/>
            <w:hideMark/>
          </w:tcPr>
          <w:p w14:paraId="7F8595EB"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7" w:type="dxa"/>
            <w:tcBorders>
              <w:top w:val="nil"/>
              <w:left w:val="nil"/>
              <w:bottom w:val="nil"/>
              <w:right w:val="single" w:sz="4" w:space="0" w:color="auto"/>
            </w:tcBorders>
            <w:shd w:val="clear" w:color="000000" w:fill="FFFFFF"/>
            <w:vAlign w:val="center"/>
            <w:hideMark/>
          </w:tcPr>
          <w:p w14:paraId="42D55D25"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0E632930"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0D2FDAA0"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7FE2EAD6"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r>
      <w:tr w:rsidR="00395593" w:rsidRPr="00AC0363" w14:paraId="590329DA" w14:textId="77777777" w:rsidTr="00395593">
        <w:trPr>
          <w:trHeight w:val="299"/>
        </w:trPr>
        <w:tc>
          <w:tcPr>
            <w:tcW w:w="392" w:type="dxa"/>
            <w:tcBorders>
              <w:top w:val="nil"/>
              <w:left w:val="nil"/>
              <w:bottom w:val="nil"/>
              <w:right w:val="nil"/>
            </w:tcBorders>
            <w:shd w:val="clear" w:color="auto" w:fill="auto"/>
            <w:textDirection w:val="btLr"/>
            <w:vAlign w:val="center"/>
            <w:hideMark/>
          </w:tcPr>
          <w:p w14:paraId="3132DA63" w14:textId="77777777" w:rsidR="00395593" w:rsidRPr="005C5CBD" w:rsidRDefault="00395593" w:rsidP="00E15FBB">
            <w:pPr>
              <w:spacing w:after="0" w:line="240" w:lineRule="auto"/>
              <w:jc w:val="center"/>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06F0E807"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630202C6"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single" w:sz="4" w:space="0" w:color="auto"/>
            </w:tcBorders>
            <w:shd w:val="clear" w:color="000000" w:fill="FFFFFF"/>
            <w:vAlign w:val="center"/>
            <w:hideMark/>
          </w:tcPr>
          <w:p w14:paraId="5F31428A"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7" w:type="dxa"/>
            <w:tcBorders>
              <w:top w:val="nil"/>
              <w:left w:val="nil"/>
              <w:bottom w:val="nil"/>
              <w:right w:val="single" w:sz="4" w:space="0" w:color="auto"/>
            </w:tcBorders>
            <w:shd w:val="clear" w:color="000000" w:fill="FFFFFF"/>
            <w:vAlign w:val="center"/>
            <w:hideMark/>
          </w:tcPr>
          <w:p w14:paraId="7FD29573"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4CBC5D81"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715BFA19"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709681EC"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r>
      <w:tr w:rsidR="00395593" w:rsidRPr="00AC0363" w14:paraId="649B6544" w14:textId="77777777" w:rsidTr="00395593">
        <w:trPr>
          <w:trHeight w:val="299"/>
        </w:trPr>
        <w:tc>
          <w:tcPr>
            <w:tcW w:w="392" w:type="dxa"/>
            <w:tcBorders>
              <w:top w:val="nil"/>
              <w:left w:val="nil"/>
              <w:bottom w:val="nil"/>
              <w:right w:val="nil"/>
            </w:tcBorders>
            <w:shd w:val="clear" w:color="auto" w:fill="auto"/>
            <w:textDirection w:val="btLr"/>
            <w:vAlign w:val="center"/>
            <w:hideMark/>
          </w:tcPr>
          <w:p w14:paraId="6969786B" w14:textId="77777777" w:rsidR="00395593" w:rsidRPr="005C5CBD" w:rsidRDefault="00395593" w:rsidP="00E15FBB">
            <w:pPr>
              <w:spacing w:after="0" w:line="240" w:lineRule="auto"/>
              <w:jc w:val="center"/>
              <w:rPr>
                <w:rFonts w:ascii="Garamond" w:eastAsia="Times New Roman" w:hAnsi="Garamond" w:cs="Calibri"/>
                <w:b/>
                <w:color w:val="000000"/>
                <w:sz w:val="16"/>
                <w:szCs w:val="16"/>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0E3D941D"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6B67DDF2"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single" w:sz="4" w:space="0" w:color="auto"/>
            </w:tcBorders>
            <w:shd w:val="clear" w:color="000000" w:fill="FFFFFF"/>
            <w:vAlign w:val="center"/>
            <w:hideMark/>
          </w:tcPr>
          <w:p w14:paraId="0ABA7CB6"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7" w:type="dxa"/>
            <w:tcBorders>
              <w:top w:val="nil"/>
              <w:left w:val="nil"/>
              <w:bottom w:val="nil"/>
              <w:right w:val="single" w:sz="4" w:space="0" w:color="auto"/>
            </w:tcBorders>
            <w:shd w:val="clear" w:color="000000" w:fill="FFFFFF"/>
            <w:vAlign w:val="center"/>
            <w:hideMark/>
          </w:tcPr>
          <w:p w14:paraId="2F4F05E5"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05A1E961"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2F82D0C8"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48905861"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r>
      <w:tr w:rsidR="00395593" w:rsidRPr="00AC0363" w14:paraId="4C4F2577" w14:textId="77777777" w:rsidTr="00395593">
        <w:trPr>
          <w:trHeight w:val="299"/>
        </w:trPr>
        <w:tc>
          <w:tcPr>
            <w:tcW w:w="392" w:type="dxa"/>
            <w:tcBorders>
              <w:top w:val="nil"/>
              <w:left w:val="nil"/>
              <w:bottom w:val="nil"/>
              <w:right w:val="nil"/>
            </w:tcBorders>
            <w:shd w:val="clear" w:color="auto" w:fill="auto"/>
            <w:textDirection w:val="btLr"/>
            <w:vAlign w:val="bottom"/>
            <w:hideMark/>
          </w:tcPr>
          <w:p w14:paraId="3888CE5A" w14:textId="77777777" w:rsidR="00395593" w:rsidRPr="005C5CBD" w:rsidRDefault="00395593" w:rsidP="00E15FBB">
            <w:pPr>
              <w:spacing w:after="0" w:line="240" w:lineRule="auto"/>
              <w:rPr>
                <w:rFonts w:ascii="Garamond" w:eastAsia="Times New Roman" w:hAnsi="Garamond" w:cs="Calibri"/>
                <w:b/>
                <w:color w:val="000000"/>
                <w:lang w:eastAsia="pt-BR"/>
              </w:rPr>
            </w:pPr>
          </w:p>
        </w:tc>
        <w:tc>
          <w:tcPr>
            <w:tcW w:w="2281" w:type="dxa"/>
            <w:vMerge/>
            <w:tcBorders>
              <w:top w:val="nil"/>
              <w:left w:val="single" w:sz="4" w:space="0" w:color="auto"/>
              <w:bottom w:val="single" w:sz="4" w:space="0" w:color="auto"/>
              <w:right w:val="single" w:sz="4" w:space="0" w:color="auto"/>
            </w:tcBorders>
            <w:vAlign w:val="center"/>
            <w:hideMark/>
          </w:tcPr>
          <w:p w14:paraId="736114B4"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c>
          <w:tcPr>
            <w:tcW w:w="975" w:type="dxa"/>
            <w:tcBorders>
              <w:top w:val="nil"/>
              <w:left w:val="nil"/>
              <w:bottom w:val="single" w:sz="4" w:space="0" w:color="auto"/>
              <w:right w:val="single" w:sz="4" w:space="0" w:color="auto"/>
            </w:tcBorders>
            <w:shd w:val="clear" w:color="auto" w:fill="auto"/>
            <w:vAlign w:val="center"/>
            <w:hideMark/>
          </w:tcPr>
          <w:p w14:paraId="6E643E91" w14:textId="77777777" w:rsidR="00395593" w:rsidRPr="005C5CBD" w:rsidRDefault="00395593" w:rsidP="00E15FBB">
            <w:pPr>
              <w:spacing w:after="0" w:line="240" w:lineRule="auto"/>
              <w:rPr>
                <w:rFonts w:ascii="Garamond" w:eastAsia="Times New Roman" w:hAnsi="Garamond" w:cs="Calibri"/>
                <w:b/>
                <w:color w:val="FF0000"/>
                <w:sz w:val="16"/>
                <w:szCs w:val="16"/>
                <w:lang w:eastAsia="pt-BR"/>
              </w:rPr>
            </w:pPr>
            <w:r w:rsidRPr="005C5CBD">
              <w:rPr>
                <w:rFonts w:ascii="Garamond" w:eastAsia="Times New Roman" w:hAnsi="Garamond" w:cs="Calibri"/>
                <w:b/>
                <w:color w:val="FF0000"/>
                <w:sz w:val="16"/>
                <w:szCs w:val="16"/>
                <w:lang w:eastAsia="pt-BR"/>
              </w:rPr>
              <w:t>especificar</w:t>
            </w:r>
          </w:p>
        </w:tc>
        <w:tc>
          <w:tcPr>
            <w:tcW w:w="967" w:type="dxa"/>
            <w:tcBorders>
              <w:top w:val="nil"/>
              <w:left w:val="nil"/>
              <w:bottom w:val="nil"/>
              <w:right w:val="single" w:sz="4" w:space="0" w:color="auto"/>
            </w:tcBorders>
            <w:shd w:val="clear" w:color="000000" w:fill="FFFFFF"/>
            <w:vAlign w:val="center"/>
            <w:hideMark/>
          </w:tcPr>
          <w:p w14:paraId="16C12036"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7" w:type="dxa"/>
            <w:tcBorders>
              <w:top w:val="nil"/>
              <w:left w:val="nil"/>
              <w:bottom w:val="nil"/>
              <w:right w:val="single" w:sz="4" w:space="0" w:color="auto"/>
            </w:tcBorders>
            <w:shd w:val="clear" w:color="000000" w:fill="FFFFFF"/>
            <w:vAlign w:val="center"/>
            <w:hideMark/>
          </w:tcPr>
          <w:p w14:paraId="09FD81E0"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5D6C2213"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1864197B"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c>
          <w:tcPr>
            <w:tcW w:w="968" w:type="dxa"/>
            <w:tcBorders>
              <w:top w:val="nil"/>
              <w:left w:val="nil"/>
              <w:bottom w:val="nil"/>
              <w:right w:val="single" w:sz="4" w:space="0" w:color="auto"/>
            </w:tcBorders>
            <w:shd w:val="clear" w:color="000000" w:fill="FFFFFF"/>
            <w:vAlign w:val="center"/>
            <w:hideMark/>
          </w:tcPr>
          <w:p w14:paraId="533250B6"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w:t>
            </w:r>
          </w:p>
        </w:tc>
      </w:tr>
      <w:tr w:rsidR="00395593" w:rsidRPr="00AC0363" w14:paraId="40ADF9D0" w14:textId="77777777" w:rsidTr="00395593">
        <w:trPr>
          <w:trHeight w:val="299"/>
        </w:trPr>
        <w:tc>
          <w:tcPr>
            <w:tcW w:w="392" w:type="dxa"/>
            <w:tcBorders>
              <w:top w:val="nil"/>
              <w:left w:val="nil"/>
              <w:bottom w:val="nil"/>
              <w:right w:val="nil"/>
            </w:tcBorders>
            <w:shd w:val="clear" w:color="auto" w:fill="auto"/>
            <w:textDirection w:val="btLr"/>
            <w:vAlign w:val="bottom"/>
            <w:hideMark/>
          </w:tcPr>
          <w:p w14:paraId="135D2DC9" w14:textId="77777777" w:rsidR="00395593" w:rsidRPr="005C5CBD" w:rsidRDefault="00395593" w:rsidP="00E15FBB">
            <w:pPr>
              <w:spacing w:after="0" w:line="240" w:lineRule="auto"/>
              <w:rPr>
                <w:rFonts w:ascii="Garamond" w:eastAsia="Times New Roman" w:hAnsi="Garamond" w:cs="Calibri"/>
                <w:b/>
                <w:color w:val="000000"/>
                <w:lang w:eastAsia="pt-BR"/>
              </w:rPr>
            </w:pPr>
          </w:p>
        </w:tc>
        <w:tc>
          <w:tcPr>
            <w:tcW w:w="3256"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78B22C8B" w14:textId="77777777" w:rsidR="00395593" w:rsidRPr="005C5CBD" w:rsidRDefault="00395593" w:rsidP="00E15FBB">
            <w:pPr>
              <w:spacing w:after="0" w:line="240" w:lineRule="auto"/>
              <w:rPr>
                <w:rFonts w:ascii="Garamond" w:eastAsia="Times New Roman" w:hAnsi="Garamond" w:cs="Calibri"/>
                <w:b/>
                <w:color w:val="000000"/>
                <w:sz w:val="18"/>
                <w:szCs w:val="18"/>
                <w:lang w:eastAsia="pt-BR"/>
              </w:rPr>
            </w:pPr>
            <w:r w:rsidRPr="005C5CBD">
              <w:rPr>
                <w:rFonts w:ascii="Garamond" w:eastAsia="Times New Roman" w:hAnsi="Garamond" w:cs="Calibri"/>
                <w:b/>
                <w:color w:val="000000"/>
                <w:sz w:val="18"/>
                <w:szCs w:val="18"/>
                <w:lang w:eastAsia="pt-BR"/>
              </w:rPr>
              <w:t>Aumento Líquido nas Disponibilidades</w:t>
            </w:r>
          </w:p>
        </w:tc>
        <w:tc>
          <w:tcPr>
            <w:tcW w:w="967" w:type="dxa"/>
            <w:tcBorders>
              <w:top w:val="single" w:sz="4" w:space="0" w:color="auto"/>
              <w:left w:val="nil"/>
              <w:bottom w:val="single" w:sz="4" w:space="0" w:color="auto"/>
              <w:right w:val="single" w:sz="4" w:space="0" w:color="auto"/>
            </w:tcBorders>
            <w:shd w:val="clear" w:color="000000" w:fill="D9D9D9"/>
            <w:vAlign w:val="center"/>
            <w:hideMark/>
          </w:tcPr>
          <w:p w14:paraId="6663B6FF"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7" w:type="dxa"/>
            <w:tcBorders>
              <w:top w:val="single" w:sz="4" w:space="0" w:color="auto"/>
              <w:left w:val="nil"/>
              <w:bottom w:val="single" w:sz="4" w:space="0" w:color="auto"/>
              <w:right w:val="single" w:sz="4" w:space="0" w:color="auto"/>
            </w:tcBorders>
            <w:shd w:val="clear" w:color="000000" w:fill="D9D9D9"/>
            <w:vAlign w:val="center"/>
            <w:hideMark/>
          </w:tcPr>
          <w:p w14:paraId="1A704110"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8" w:type="dxa"/>
            <w:tcBorders>
              <w:top w:val="single" w:sz="4" w:space="0" w:color="auto"/>
              <w:left w:val="nil"/>
              <w:bottom w:val="single" w:sz="4" w:space="0" w:color="auto"/>
              <w:right w:val="single" w:sz="4" w:space="0" w:color="auto"/>
            </w:tcBorders>
            <w:shd w:val="clear" w:color="000000" w:fill="D9D9D9"/>
            <w:vAlign w:val="center"/>
            <w:hideMark/>
          </w:tcPr>
          <w:p w14:paraId="5F7CAFEB"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8" w:type="dxa"/>
            <w:tcBorders>
              <w:top w:val="single" w:sz="4" w:space="0" w:color="auto"/>
              <w:left w:val="nil"/>
              <w:bottom w:val="single" w:sz="4" w:space="0" w:color="auto"/>
              <w:right w:val="single" w:sz="4" w:space="0" w:color="auto"/>
            </w:tcBorders>
            <w:shd w:val="clear" w:color="000000" w:fill="D9D9D9"/>
            <w:vAlign w:val="center"/>
            <w:hideMark/>
          </w:tcPr>
          <w:p w14:paraId="4D75B18C"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c>
          <w:tcPr>
            <w:tcW w:w="968" w:type="dxa"/>
            <w:tcBorders>
              <w:top w:val="single" w:sz="4" w:space="0" w:color="auto"/>
              <w:left w:val="nil"/>
              <w:bottom w:val="single" w:sz="4" w:space="0" w:color="auto"/>
              <w:right w:val="single" w:sz="4" w:space="0" w:color="auto"/>
            </w:tcBorders>
            <w:shd w:val="clear" w:color="000000" w:fill="D9D9D9"/>
            <w:vAlign w:val="center"/>
            <w:hideMark/>
          </w:tcPr>
          <w:p w14:paraId="37292645"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r w:rsidRPr="005C5CBD">
              <w:rPr>
                <w:rFonts w:ascii="Garamond" w:eastAsia="Times New Roman" w:hAnsi="Garamond" w:cs="Calibri"/>
                <w:b/>
                <w:color w:val="000000"/>
                <w:sz w:val="16"/>
                <w:szCs w:val="16"/>
                <w:lang w:eastAsia="pt-BR"/>
              </w:rPr>
              <w:t xml:space="preserve">0,00 </w:t>
            </w:r>
          </w:p>
        </w:tc>
      </w:tr>
    </w:tbl>
    <w:p w14:paraId="6D5564BF" w14:textId="77777777" w:rsidR="00395593" w:rsidRPr="005C5CBD" w:rsidRDefault="00395593" w:rsidP="00E15FBB">
      <w:pPr>
        <w:spacing w:after="0" w:line="240" w:lineRule="auto"/>
        <w:rPr>
          <w:rFonts w:ascii="Garamond" w:eastAsia="Calibri" w:hAnsi="Garamond" w:cs="Calibri"/>
          <w:sz w:val="24"/>
          <w:szCs w:val="24"/>
        </w:rPr>
        <w:sectPr w:rsidR="00395593" w:rsidRPr="005C5CBD" w:rsidSect="00E15FBB">
          <w:pgSz w:w="11906" w:h="16838"/>
          <w:pgMar w:top="1418" w:right="1701" w:bottom="1417" w:left="1418" w:header="708" w:footer="708" w:gutter="0"/>
          <w:cols w:space="708"/>
          <w:docGrid w:linePitch="360"/>
        </w:sectPr>
      </w:pPr>
    </w:p>
    <w:p w14:paraId="0006D878" w14:textId="77777777" w:rsidR="00395593" w:rsidRPr="00685C65" w:rsidRDefault="00395593" w:rsidP="00E15FBB">
      <w:pPr>
        <w:spacing w:after="0" w:line="240" w:lineRule="auto"/>
        <w:jc w:val="center"/>
        <w:rPr>
          <w:rFonts w:cstheme="minorHAnsi"/>
          <w:b/>
        </w:rPr>
      </w:pPr>
      <w:r w:rsidRPr="005C5CBD" w:rsidDel="003018BA">
        <w:rPr>
          <w:rFonts w:ascii="Garamond" w:eastAsia="Calibri" w:hAnsi="Garamond" w:cs="Calibri"/>
          <w:b/>
        </w:rPr>
        <w:t>APÊNDICE XVII</w:t>
      </w:r>
      <w:r w:rsidRPr="00685C65">
        <w:rPr>
          <w:rFonts w:cstheme="minorHAnsi"/>
          <w:b/>
        </w:rPr>
        <w:t>I</w:t>
      </w:r>
    </w:p>
    <w:p w14:paraId="21AB286C" w14:textId="77777777" w:rsidR="00395593" w:rsidRPr="005C5CBD" w:rsidRDefault="00395593" w:rsidP="00E15FBB">
      <w:pPr>
        <w:spacing w:after="0" w:line="240" w:lineRule="auto"/>
        <w:jc w:val="center"/>
        <w:rPr>
          <w:rFonts w:ascii="Garamond" w:eastAsia="Times New Roman" w:hAnsi="Garamond" w:cs="Calibri"/>
          <w:b/>
          <w:lang w:eastAsia="pt-BR"/>
        </w:rPr>
      </w:pPr>
      <w:r w:rsidRPr="005C5CBD">
        <w:rPr>
          <w:rFonts w:ascii="Garamond" w:eastAsia="Times New Roman" w:hAnsi="Garamond" w:cs="Calibri"/>
          <w:b/>
          <w:lang w:eastAsia="pt-BR"/>
        </w:rPr>
        <w:t>CUSTO DE PRODUÇÃO DO PRODUTO POR PERÍODO</w:t>
      </w:r>
    </w:p>
    <w:p w14:paraId="3E3A6CE3" w14:textId="77777777" w:rsidR="00395593" w:rsidRPr="005C5CBD" w:rsidRDefault="00395593" w:rsidP="00E15FBB">
      <w:pPr>
        <w:spacing w:after="0" w:line="240" w:lineRule="auto"/>
        <w:jc w:val="center"/>
        <w:rPr>
          <w:rFonts w:ascii="Garamond" w:eastAsia="Calibri" w:hAnsi="Garamond" w:cs="Calibri"/>
          <w:sz w:val="16"/>
          <w:szCs w:val="16"/>
        </w:rPr>
      </w:pPr>
    </w:p>
    <w:p w14:paraId="627003AC" w14:textId="77777777" w:rsidR="00395593" w:rsidRPr="005C5CBD" w:rsidRDefault="00395593" w:rsidP="00E15FBB">
      <w:pPr>
        <w:spacing w:after="0" w:line="240" w:lineRule="auto"/>
        <w:jc w:val="center"/>
        <w:rPr>
          <w:rFonts w:ascii="Garamond" w:eastAsia="Calibri" w:hAnsi="Garamond" w:cs="Calibri"/>
          <w:sz w:val="16"/>
          <w:szCs w:val="16"/>
        </w:rPr>
      </w:pPr>
    </w:p>
    <w:tbl>
      <w:tblPr>
        <w:tblW w:w="14322" w:type="dxa"/>
        <w:tblCellMar>
          <w:left w:w="70" w:type="dxa"/>
          <w:right w:w="70" w:type="dxa"/>
        </w:tblCellMar>
        <w:tblLook w:val="04A0" w:firstRow="1" w:lastRow="0" w:firstColumn="1" w:lastColumn="0" w:noHBand="0" w:noVBand="1"/>
      </w:tblPr>
      <w:tblGrid>
        <w:gridCol w:w="979"/>
        <w:gridCol w:w="858"/>
        <w:gridCol w:w="1192"/>
        <w:gridCol w:w="1025"/>
        <w:gridCol w:w="1182"/>
        <w:gridCol w:w="1276"/>
        <w:gridCol w:w="1145"/>
        <w:gridCol w:w="834"/>
        <w:gridCol w:w="1309"/>
        <w:gridCol w:w="952"/>
        <w:gridCol w:w="2116"/>
        <w:gridCol w:w="1454"/>
      </w:tblGrid>
      <w:tr w:rsidR="00395593" w:rsidRPr="00AC0363" w14:paraId="7B7A17A8" w14:textId="77777777" w:rsidTr="0039559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9DB10"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65DF22"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92E11F6"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73F8E4"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4.0</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071FF33C"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FC3054F"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AF909A"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7.0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4B22D0"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83483F"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9.0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D778C0E"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44AF9B"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11A1D3"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12</w:t>
            </w:r>
          </w:p>
        </w:tc>
      </w:tr>
      <w:tr w:rsidR="00395593" w:rsidRPr="00AC0363" w14:paraId="6DFEBFED" w14:textId="77777777" w:rsidTr="00395593">
        <w:trPr>
          <w:trHeight w:val="11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EA798D"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Empresa</w:t>
            </w:r>
          </w:p>
        </w:tc>
        <w:tc>
          <w:tcPr>
            <w:tcW w:w="0" w:type="auto"/>
            <w:tcBorders>
              <w:top w:val="nil"/>
              <w:left w:val="nil"/>
              <w:bottom w:val="single" w:sz="4" w:space="0" w:color="auto"/>
              <w:right w:val="single" w:sz="4" w:space="0" w:color="auto"/>
            </w:tcBorders>
            <w:shd w:val="clear" w:color="auto" w:fill="auto"/>
            <w:vAlign w:val="center"/>
            <w:hideMark/>
          </w:tcPr>
          <w:p w14:paraId="5F45D0E4"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CODIP</w:t>
            </w:r>
          </w:p>
        </w:tc>
        <w:tc>
          <w:tcPr>
            <w:tcW w:w="0" w:type="auto"/>
            <w:tcBorders>
              <w:top w:val="nil"/>
              <w:left w:val="nil"/>
              <w:bottom w:val="single" w:sz="4" w:space="0" w:color="auto"/>
              <w:right w:val="single" w:sz="4" w:space="0" w:color="auto"/>
            </w:tcBorders>
            <w:shd w:val="clear" w:color="auto" w:fill="auto"/>
            <w:vAlign w:val="center"/>
            <w:hideMark/>
          </w:tcPr>
          <w:p w14:paraId="146B9D49"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PERÍODO</w:t>
            </w:r>
          </w:p>
        </w:tc>
        <w:tc>
          <w:tcPr>
            <w:tcW w:w="0" w:type="auto"/>
            <w:tcBorders>
              <w:top w:val="nil"/>
              <w:left w:val="nil"/>
              <w:bottom w:val="single" w:sz="4" w:space="0" w:color="auto"/>
              <w:right w:val="single" w:sz="4" w:space="0" w:color="auto"/>
            </w:tcBorders>
            <w:shd w:val="clear" w:color="auto" w:fill="auto"/>
            <w:vAlign w:val="center"/>
            <w:hideMark/>
          </w:tcPr>
          <w:p w14:paraId="7F7DC6EB" w14:textId="77777777" w:rsidR="00395593" w:rsidRPr="005C5CBD" w:rsidRDefault="00395593" w:rsidP="00E15FBB">
            <w:pPr>
              <w:spacing w:after="0" w:line="240" w:lineRule="auto"/>
              <w:jc w:val="center"/>
              <w:rPr>
                <w:rFonts w:ascii="Garamond" w:eastAsia="Times New Roman" w:hAnsi="Garamond" w:cs="Calibri"/>
                <w:b/>
                <w:color w:val="FF0000"/>
                <w:lang w:eastAsia="pt-BR"/>
              </w:rPr>
            </w:pPr>
            <w:r w:rsidRPr="005C5CBD">
              <w:rPr>
                <w:rFonts w:ascii="Garamond" w:eastAsia="Times New Roman" w:hAnsi="Garamond" w:cs="Calibri"/>
                <w:b/>
                <w:color w:val="FF0000"/>
                <w:lang w:eastAsia="pt-BR"/>
              </w:rPr>
              <w:t>Matéria-prima 1</w:t>
            </w:r>
          </w:p>
        </w:tc>
        <w:tc>
          <w:tcPr>
            <w:tcW w:w="1182" w:type="dxa"/>
            <w:tcBorders>
              <w:top w:val="nil"/>
              <w:left w:val="nil"/>
              <w:bottom w:val="single" w:sz="4" w:space="0" w:color="auto"/>
              <w:right w:val="single" w:sz="4" w:space="0" w:color="auto"/>
            </w:tcBorders>
            <w:shd w:val="clear" w:color="auto" w:fill="auto"/>
            <w:vAlign w:val="center"/>
            <w:hideMark/>
          </w:tcPr>
          <w:p w14:paraId="17451791" w14:textId="77777777" w:rsidR="00395593" w:rsidRPr="005C5CBD" w:rsidRDefault="00395593" w:rsidP="00E15FBB">
            <w:pPr>
              <w:spacing w:after="0" w:line="240" w:lineRule="auto"/>
              <w:jc w:val="center"/>
              <w:rPr>
                <w:rFonts w:ascii="Garamond" w:eastAsia="Times New Roman" w:hAnsi="Garamond" w:cs="Calibri"/>
                <w:b/>
                <w:color w:val="FF0000"/>
                <w:lang w:eastAsia="pt-BR"/>
              </w:rPr>
            </w:pPr>
            <w:r w:rsidRPr="005C5CBD">
              <w:rPr>
                <w:rFonts w:ascii="Garamond" w:eastAsia="Times New Roman" w:hAnsi="Garamond" w:cs="Calibri"/>
                <w:b/>
                <w:color w:val="FF0000"/>
                <w:lang w:eastAsia="pt-BR"/>
              </w:rPr>
              <w:t>Outros insumos 1</w:t>
            </w:r>
          </w:p>
        </w:tc>
        <w:tc>
          <w:tcPr>
            <w:tcW w:w="1276" w:type="dxa"/>
            <w:tcBorders>
              <w:top w:val="nil"/>
              <w:left w:val="nil"/>
              <w:bottom w:val="single" w:sz="4" w:space="0" w:color="auto"/>
              <w:right w:val="single" w:sz="4" w:space="0" w:color="auto"/>
            </w:tcBorders>
            <w:shd w:val="clear" w:color="auto" w:fill="auto"/>
            <w:vAlign w:val="center"/>
            <w:hideMark/>
          </w:tcPr>
          <w:p w14:paraId="50A5C242" w14:textId="77777777" w:rsidR="00395593" w:rsidRPr="005C5CBD" w:rsidRDefault="00395593" w:rsidP="00E15FBB">
            <w:pPr>
              <w:spacing w:after="0" w:line="240" w:lineRule="auto"/>
              <w:jc w:val="center"/>
              <w:rPr>
                <w:rFonts w:ascii="Garamond" w:eastAsia="Times New Roman" w:hAnsi="Garamond" w:cs="Calibri"/>
                <w:b/>
                <w:color w:val="FF0000"/>
                <w:lang w:eastAsia="pt-BR"/>
              </w:rPr>
            </w:pPr>
            <w:r w:rsidRPr="005C5CBD">
              <w:rPr>
                <w:rFonts w:ascii="Garamond" w:eastAsia="Times New Roman" w:hAnsi="Garamond" w:cs="Calibri"/>
                <w:b/>
                <w:color w:val="FF0000"/>
                <w:lang w:eastAsia="pt-BR"/>
              </w:rPr>
              <w:t>Utilidades 1</w:t>
            </w:r>
          </w:p>
        </w:tc>
        <w:tc>
          <w:tcPr>
            <w:tcW w:w="0" w:type="auto"/>
            <w:tcBorders>
              <w:top w:val="nil"/>
              <w:left w:val="nil"/>
              <w:bottom w:val="single" w:sz="4" w:space="0" w:color="auto"/>
              <w:right w:val="single" w:sz="4" w:space="0" w:color="auto"/>
            </w:tcBorders>
            <w:shd w:val="clear" w:color="auto" w:fill="auto"/>
            <w:vAlign w:val="center"/>
            <w:hideMark/>
          </w:tcPr>
          <w:p w14:paraId="021A3ABE" w14:textId="77777777" w:rsidR="00395593" w:rsidRPr="005C5CBD" w:rsidRDefault="00395593" w:rsidP="00E15FBB">
            <w:pPr>
              <w:spacing w:after="0" w:line="240" w:lineRule="auto"/>
              <w:jc w:val="center"/>
              <w:rPr>
                <w:rFonts w:ascii="Garamond" w:eastAsia="Times New Roman" w:hAnsi="Garamond" w:cs="Calibri"/>
                <w:b/>
                <w:color w:val="FF0000"/>
                <w:lang w:eastAsia="pt-BR"/>
              </w:rPr>
            </w:pPr>
            <w:r w:rsidRPr="005C5CBD">
              <w:rPr>
                <w:rFonts w:ascii="Garamond" w:eastAsia="Times New Roman" w:hAnsi="Garamond" w:cs="Calibri"/>
                <w:b/>
                <w:color w:val="FF0000"/>
                <w:lang w:eastAsia="pt-BR"/>
              </w:rPr>
              <w:t xml:space="preserve"> Outros custos variáveis 1</w:t>
            </w:r>
          </w:p>
        </w:tc>
        <w:tc>
          <w:tcPr>
            <w:tcW w:w="0" w:type="auto"/>
            <w:tcBorders>
              <w:top w:val="nil"/>
              <w:left w:val="nil"/>
              <w:bottom w:val="single" w:sz="4" w:space="0" w:color="auto"/>
              <w:right w:val="single" w:sz="4" w:space="0" w:color="auto"/>
            </w:tcBorders>
            <w:shd w:val="clear" w:color="auto" w:fill="auto"/>
            <w:vAlign w:val="center"/>
            <w:hideMark/>
          </w:tcPr>
          <w:p w14:paraId="434C398E"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Mão de obra direta</w:t>
            </w:r>
          </w:p>
        </w:tc>
        <w:tc>
          <w:tcPr>
            <w:tcW w:w="0" w:type="auto"/>
            <w:tcBorders>
              <w:top w:val="nil"/>
              <w:left w:val="nil"/>
              <w:bottom w:val="single" w:sz="4" w:space="0" w:color="auto"/>
              <w:right w:val="single" w:sz="4" w:space="0" w:color="auto"/>
            </w:tcBorders>
            <w:shd w:val="clear" w:color="auto" w:fill="auto"/>
            <w:vAlign w:val="center"/>
            <w:hideMark/>
          </w:tcPr>
          <w:p w14:paraId="5E48CEB5"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 xml:space="preserve">Depreciação </w:t>
            </w:r>
          </w:p>
        </w:tc>
        <w:tc>
          <w:tcPr>
            <w:tcW w:w="0" w:type="auto"/>
            <w:tcBorders>
              <w:top w:val="nil"/>
              <w:left w:val="nil"/>
              <w:bottom w:val="single" w:sz="4" w:space="0" w:color="auto"/>
              <w:right w:val="single" w:sz="4" w:space="0" w:color="auto"/>
            </w:tcBorders>
            <w:shd w:val="clear" w:color="auto" w:fill="auto"/>
            <w:vAlign w:val="center"/>
            <w:hideMark/>
          </w:tcPr>
          <w:p w14:paraId="2A2EE998" w14:textId="77777777" w:rsidR="00395593" w:rsidRPr="005C5CBD" w:rsidRDefault="00395593" w:rsidP="00E15FBB">
            <w:pPr>
              <w:spacing w:after="0" w:line="240" w:lineRule="auto"/>
              <w:jc w:val="center"/>
              <w:rPr>
                <w:rFonts w:ascii="Garamond" w:eastAsia="Times New Roman" w:hAnsi="Garamond" w:cs="Calibri"/>
                <w:b/>
                <w:color w:val="FF0000"/>
                <w:lang w:eastAsia="pt-BR"/>
              </w:rPr>
            </w:pPr>
            <w:r w:rsidRPr="005C5CBD">
              <w:rPr>
                <w:rFonts w:ascii="Garamond" w:eastAsia="Times New Roman" w:hAnsi="Garamond" w:cs="Calibri"/>
                <w:b/>
                <w:color w:val="FF0000"/>
                <w:lang w:eastAsia="pt-BR"/>
              </w:rPr>
              <w:t>Outros custos fixos 1</w:t>
            </w:r>
          </w:p>
        </w:tc>
        <w:tc>
          <w:tcPr>
            <w:tcW w:w="0" w:type="auto"/>
            <w:tcBorders>
              <w:top w:val="nil"/>
              <w:left w:val="nil"/>
              <w:bottom w:val="single" w:sz="4" w:space="0" w:color="auto"/>
              <w:right w:val="single" w:sz="4" w:space="0" w:color="auto"/>
            </w:tcBorders>
            <w:shd w:val="clear" w:color="auto" w:fill="auto"/>
            <w:vAlign w:val="center"/>
            <w:hideMark/>
          </w:tcPr>
          <w:p w14:paraId="64C43F03"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Quantidade produzida em unidades de comercialização</w:t>
            </w:r>
          </w:p>
        </w:tc>
        <w:tc>
          <w:tcPr>
            <w:tcW w:w="0" w:type="auto"/>
            <w:tcBorders>
              <w:top w:val="nil"/>
              <w:left w:val="nil"/>
              <w:bottom w:val="single" w:sz="4" w:space="0" w:color="auto"/>
              <w:right w:val="single" w:sz="4" w:space="0" w:color="auto"/>
            </w:tcBorders>
            <w:shd w:val="clear" w:color="auto" w:fill="auto"/>
            <w:vAlign w:val="center"/>
            <w:hideMark/>
          </w:tcPr>
          <w:p w14:paraId="57B24B47" w14:textId="77777777" w:rsidR="00395593" w:rsidRPr="005C5CBD" w:rsidRDefault="00395593" w:rsidP="00E15FBB">
            <w:pPr>
              <w:spacing w:after="0" w:line="240" w:lineRule="auto"/>
              <w:jc w:val="center"/>
              <w:rPr>
                <w:rFonts w:ascii="Garamond" w:eastAsia="Times New Roman" w:hAnsi="Garamond" w:cs="Calibri"/>
                <w:b/>
                <w:color w:val="000000"/>
                <w:lang w:eastAsia="pt-BR"/>
              </w:rPr>
            </w:pPr>
            <w:r w:rsidRPr="005C5CBD">
              <w:rPr>
                <w:rFonts w:ascii="Garamond" w:eastAsia="Times New Roman" w:hAnsi="Garamond" w:cs="Calibri"/>
                <w:b/>
                <w:color w:val="000000"/>
                <w:lang w:eastAsia="pt-BR"/>
              </w:rPr>
              <w:t>Quantidade produzida em kg</w:t>
            </w:r>
          </w:p>
        </w:tc>
      </w:tr>
    </w:tbl>
    <w:p w14:paraId="6115DED5"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p>
    <w:p w14:paraId="1F127569" w14:textId="77777777" w:rsidR="00395593" w:rsidRPr="005C5CBD" w:rsidRDefault="00395593" w:rsidP="0097041B">
      <w:pPr>
        <w:spacing w:after="200" w:line="276" w:lineRule="auto"/>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br w:type="page"/>
      </w:r>
    </w:p>
    <w:p w14:paraId="222F036E"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t>APÊNDICE XIX</w:t>
      </w:r>
    </w:p>
    <w:p w14:paraId="00A354FA"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t>CUSTO DE PRODUÇÃO MENSAL (P5)</w:t>
      </w:r>
    </w:p>
    <w:p w14:paraId="14FFAF46" w14:textId="77777777" w:rsidR="00395593" w:rsidRPr="005C5CBD" w:rsidRDefault="00395593" w:rsidP="00E15FBB">
      <w:pPr>
        <w:spacing w:after="0" w:line="240" w:lineRule="auto"/>
        <w:jc w:val="center"/>
        <w:rPr>
          <w:rFonts w:ascii="Garamond" w:eastAsia="Calibri" w:hAnsi="Garamond" w:cs="Calibri"/>
          <w:sz w:val="24"/>
          <w:szCs w:val="24"/>
        </w:rPr>
      </w:pPr>
    </w:p>
    <w:tbl>
      <w:tblPr>
        <w:tblW w:w="0" w:type="auto"/>
        <w:tblCellMar>
          <w:left w:w="70" w:type="dxa"/>
          <w:right w:w="70" w:type="dxa"/>
        </w:tblCellMar>
        <w:tblLook w:val="04A0" w:firstRow="1" w:lastRow="0" w:firstColumn="1" w:lastColumn="0" w:noHBand="0" w:noVBand="1"/>
      </w:tblPr>
      <w:tblGrid>
        <w:gridCol w:w="1055"/>
        <w:gridCol w:w="923"/>
        <w:gridCol w:w="653"/>
        <w:gridCol w:w="1944"/>
        <w:gridCol w:w="2094"/>
        <w:gridCol w:w="1545"/>
        <w:gridCol w:w="2782"/>
        <w:gridCol w:w="1998"/>
      </w:tblGrid>
      <w:tr w:rsidR="00395593" w:rsidRPr="00AC0363" w14:paraId="53ED9B22" w14:textId="77777777" w:rsidTr="0039559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9EEA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451D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59CCC"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3</w:t>
            </w:r>
          </w:p>
        </w:tc>
        <w:tc>
          <w:tcPr>
            <w:tcW w:w="0" w:type="auto"/>
            <w:tcBorders>
              <w:top w:val="single" w:sz="4" w:space="0" w:color="auto"/>
              <w:left w:val="single" w:sz="4" w:space="0" w:color="auto"/>
              <w:bottom w:val="single" w:sz="4" w:space="0" w:color="auto"/>
              <w:right w:val="single" w:sz="4" w:space="0" w:color="auto"/>
            </w:tcBorders>
            <w:vAlign w:val="center"/>
          </w:tcPr>
          <w:p w14:paraId="3D2D0E3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4.n</w:t>
            </w:r>
          </w:p>
        </w:tc>
        <w:tc>
          <w:tcPr>
            <w:tcW w:w="0" w:type="auto"/>
            <w:tcBorders>
              <w:top w:val="single" w:sz="4" w:space="0" w:color="auto"/>
              <w:left w:val="single" w:sz="4" w:space="0" w:color="auto"/>
              <w:bottom w:val="single" w:sz="4" w:space="0" w:color="auto"/>
              <w:right w:val="single" w:sz="4" w:space="0" w:color="auto"/>
            </w:tcBorders>
            <w:vAlign w:val="center"/>
          </w:tcPr>
          <w:p w14:paraId="0486E7C4"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5.n</w:t>
            </w:r>
          </w:p>
        </w:tc>
        <w:tc>
          <w:tcPr>
            <w:tcW w:w="0" w:type="auto"/>
            <w:tcBorders>
              <w:top w:val="single" w:sz="4" w:space="0" w:color="auto"/>
              <w:left w:val="single" w:sz="4" w:space="0" w:color="auto"/>
              <w:bottom w:val="single" w:sz="4" w:space="0" w:color="auto"/>
              <w:right w:val="single" w:sz="4" w:space="0" w:color="auto"/>
            </w:tcBorders>
            <w:vAlign w:val="center"/>
          </w:tcPr>
          <w:p w14:paraId="4675FBE1"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6.n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CD0FD"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7.n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A431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8.0</w:t>
            </w:r>
          </w:p>
        </w:tc>
      </w:tr>
      <w:tr w:rsidR="00395593" w:rsidRPr="00AC0363" w14:paraId="614C927C" w14:textId="77777777" w:rsidTr="00395593">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653AE5"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Empresa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915157"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CODIP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EA2A8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MÊS</w:t>
            </w:r>
          </w:p>
        </w:tc>
        <w:tc>
          <w:tcPr>
            <w:tcW w:w="0" w:type="auto"/>
            <w:tcBorders>
              <w:top w:val="single" w:sz="4" w:space="0" w:color="auto"/>
              <w:left w:val="single" w:sz="4" w:space="0" w:color="auto"/>
              <w:bottom w:val="single" w:sz="4" w:space="0" w:color="auto"/>
              <w:right w:val="single" w:sz="4" w:space="0" w:color="auto"/>
            </w:tcBorders>
            <w:vAlign w:val="center"/>
          </w:tcPr>
          <w:p w14:paraId="366E7887"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Matéria-prima (n)</w:t>
            </w:r>
          </w:p>
          <w:p w14:paraId="471293B5"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(Especificar)</w:t>
            </w:r>
          </w:p>
        </w:tc>
        <w:tc>
          <w:tcPr>
            <w:tcW w:w="0" w:type="auto"/>
            <w:tcBorders>
              <w:top w:val="single" w:sz="4" w:space="0" w:color="auto"/>
              <w:left w:val="single" w:sz="4" w:space="0" w:color="auto"/>
              <w:bottom w:val="single" w:sz="4" w:space="0" w:color="auto"/>
              <w:right w:val="single" w:sz="4" w:space="0" w:color="auto"/>
            </w:tcBorders>
            <w:vAlign w:val="center"/>
          </w:tcPr>
          <w:p w14:paraId="2EB9573A"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Outros insumos (n)</w:t>
            </w:r>
          </w:p>
          <w:p w14:paraId="1754290F"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(Especificar)</w:t>
            </w:r>
          </w:p>
        </w:tc>
        <w:tc>
          <w:tcPr>
            <w:tcW w:w="0" w:type="auto"/>
            <w:tcBorders>
              <w:top w:val="single" w:sz="4" w:space="0" w:color="auto"/>
              <w:left w:val="single" w:sz="4" w:space="0" w:color="auto"/>
              <w:bottom w:val="single" w:sz="4" w:space="0" w:color="auto"/>
              <w:right w:val="single" w:sz="4" w:space="0" w:color="auto"/>
            </w:tcBorders>
            <w:vAlign w:val="center"/>
          </w:tcPr>
          <w:p w14:paraId="12B7E7E3"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Utilidades (n)</w:t>
            </w:r>
          </w:p>
          <w:p w14:paraId="3447B539"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(Especificar)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0029AB"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Outros custos variáveis (n)</w:t>
            </w:r>
          </w:p>
          <w:p w14:paraId="274B566C"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(Especificar)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3F23C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Mão de obra direta</w:t>
            </w:r>
          </w:p>
        </w:tc>
      </w:tr>
    </w:tbl>
    <w:p w14:paraId="519C8F4A" w14:textId="77777777" w:rsidR="00395593" w:rsidRPr="005C5CBD" w:rsidRDefault="00395593" w:rsidP="00E15FBB">
      <w:pPr>
        <w:spacing w:after="0" w:line="240" w:lineRule="auto"/>
        <w:rPr>
          <w:rFonts w:ascii="Garamond" w:eastAsia="Times New Roman" w:hAnsi="Garamond" w:cs="Calibri"/>
          <w:sz w:val="32"/>
          <w:szCs w:val="32"/>
          <w:lang w:eastAsia="pt-BR"/>
        </w:rPr>
      </w:pPr>
    </w:p>
    <w:p w14:paraId="7E31E777" w14:textId="77777777" w:rsidR="00395593" w:rsidRPr="005C5CBD" w:rsidRDefault="00395593" w:rsidP="00E15FBB">
      <w:pPr>
        <w:spacing w:after="0" w:line="240" w:lineRule="auto"/>
        <w:rPr>
          <w:rFonts w:ascii="Garamond" w:eastAsia="Times New Roman" w:hAnsi="Garamond" w:cs="Calibri"/>
          <w:sz w:val="32"/>
          <w:szCs w:val="32"/>
          <w:lang w:eastAsia="pt-BR"/>
        </w:rPr>
      </w:pPr>
    </w:p>
    <w:tbl>
      <w:tblPr>
        <w:tblW w:w="2350" w:type="pct"/>
        <w:tblCellMar>
          <w:left w:w="70" w:type="dxa"/>
          <w:right w:w="70" w:type="dxa"/>
        </w:tblCellMar>
        <w:tblLook w:val="04A0" w:firstRow="1" w:lastRow="0" w:firstColumn="1" w:lastColumn="0" w:noHBand="0" w:noVBand="1"/>
      </w:tblPr>
      <w:tblGrid>
        <w:gridCol w:w="1442"/>
        <w:gridCol w:w="1455"/>
        <w:gridCol w:w="1780"/>
        <w:gridCol w:w="1430"/>
      </w:tblGrid>
      <w:tr w:rsidR="00395593" w:rsidRPr="00AC0363" w14:paraId="397EB499" w14:textId="77777777" w:rsidTr="00395593">
        <w:trPr>
          <w:trHeight w:val="300"/>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9BB6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9.0</w:t>
            </w:r>
          </w:p>
        </w:tc>
        <w:tc>
          <w:tcPr>
            <w:tcW w:w="1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79CA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10.n</w:t>
            </w:r>
          </w:p>
        </w:tc>
        <w:tc>
          <w:tcPr>
            <w:tcW w:w="1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1E05A"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11</w:t>
            </w:r>
          </w:p>
        </w:tc>
        <w:tc>
          <w:tcPr>
            <w:tcW w:w="1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8B82F"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12</w:t>
            </w:r>
          </w:p>
        </w:tc>
      </w:tr>
      <w:tr w:rsidR="00395593" w:rsidRPr="00AC0363" w14:paraId="024449F5" w14:textId="77777777" w:rsidTr="00395593">
        <w:trPr>
          <w:trHeight w:val="112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31D0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Depreciação</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DB8BD"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 xml:space="preserve">Outros custos fixos </w:t>
            </w:r>
          </w:p>
          <w:p w14:paraId="3804F5AA" w14:textId="77777777" w:rsidR="00395593" w:rsidRPr="005C5CBD" w:rsidRDefault="00395593" w:rsidP="00E15FBB">
            <w:pPr>
              <w:spacing w:after="0" w:line="240" w:lineRule="auto"/>
              <w:jc w:val="center"/>
              <w:rPr>
                <w:rFonts w:ascii="Garamond" w:eastAsia="Times New Roman" w:hAnsi="Garamond" w:cs="Calibri"/>
                <w:b/>
                <w:color w:val="FF0000"/>
                <w:sz w:val="24"/>
                <w:szCs w:val="24"/>
                <w:lang w:eastAsia="pt-BR"/>
              </w:rPr>
            </w:pPr>
            <w:r w:rsidRPr="005C5CBD">
              <w:rPr>
                <w:rFonts w:ascii="Garamond" w:eastAsia="Times New Roman" w:hAnsi="Garamond" w:cs="Calibri"/>
                <w:b/>
                <w:color w:val="FF0000"/>
                <w:sz w:val="24"/>
                <w:szCs w:val="24"/>
                <w:lang w:eastAsia="pt-BR"/>
              </w:rPr>
              <w:t>(Especificar)</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14DC8"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Quantidade produzida em unidades de comercialização</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1AF06"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Quantidade produzida em kg</w:t>
            </w:r>
          </w:p>
        </w:tc>
      </w:tr>
    </w:tbl>
    <w:p w14:paraId="10D5E824"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79376007" w14:textId="77777777" w:rsidR="00395593" w:rsidRPr="005C5CBD" w:rsidRDefault="00395593" w:rsidP="00E15FBB">
      <w:pPr>
        <w:spacing w:after="0" w:line="240" w:lineRule="auto"/>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Obs.: Para os campos de números 4, 5, 6, 7 e 10, adicionar quantas colunas forem necessárias.</w:t>
      </w:r>
    </w:p>
    <w:p w14:paraId="5C6BF12A"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340FC594" w14:textId="77777777" w:rsidR="00395593" w:rsidRPr="005C5CBD" w:rsidRDefault="00395593" w:rsidP="00E15FBB">
      <w:pPr>
        <w:spacing w:after="0" w:line="240" w:lineRule="auto"/>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br w:type="page"/>
      </w:r>
    </w:p>
    <w:p w14:paraId="5C1B9921" w14:textId="77777777" w:rsidR="00395593" w:rsidRPr="005C5CBD" w:rsidRDefault="00395593" w:rsidP="00E15FBB">
      <w:pPr>
        <w:spacing w:after="0" w:line="240" w:lineRule="auto"/>
        <w:rPr>
          <w:rFonts w:ascii="Garamond" w:eastAsia="Times New Roman" w:hAnsi="Garamond" w:cs="Calibri"/>
          <w:sz w:val="24"/>
          <w:szCs w:val="24"/>
          <w:lang w:eastAsia="pt-BR"/>
        </w:rPr>
      </w:pPr>
    </w:p>
    <w:tbl>
      <w:tblPr>
        <w:tblW w:w="5000" w:type="pct"/>
        <w:tblLook w:val="04A0" w:firstRow="1" w:lastRow="0" w:firstColumn="1" w:lastColumn="0" w:noHBand="0" w:noVBand="1"/>
      </w:tblPr>
      <w:tblGrid>
        <w:gridCol w:w="1026"/>
        <w:gridCol w:w="1271"/>
        <w:gridCol w:w="1124"/>
        <w:gridCol w:w="1272"/>
        <w:gridCol w:w="1124"/>
        <w:gridCol w:w="1272"/>
        <w:gridCol w:w="296"/>
        <w:gridCol w:w="827"/>
        <w:gridCol w:w="1272"/>
        <w:gridCol w:w="1124"/>
        <w:gridCol w:w="1272"/>
        <w:gridCol w:w="1124"/>
      </w:tblGrid>
      <w:tr w:rsidR="00395593" w:rsidRPr="00AC0363" w14:paraId="6DBBB2CE" w14:textId="77777777" w:rsidTr="00395593">
        <w:trPr>
          <w:trHeight w:val="300"/>
        </w:trPr>
        <w:tc>
          <w:tcPr>
            <w:tcW w:w="5000" w:type="pct"/>
            <w:gridSpan w:val="12"/>
            <w:tcBorders>
              <w:top w:val="nil"/>
              <w:left w:val="nil"/>
              <w:bottom w:val="nil"/>
              <w:right w:val="nil"/>
            </w:tcBorders>
            <w:shd w:val="clear" w:color="auto" w:fill="auto"/>
            <w:noWrap/>
            <w:vAlign w:val="center"/>
            <w:hideMark/>
          </w:tcPr>
          <w:p w14:paraId="29CE6314" w14:textId="77777777" w:rsidR="00395593" w:rsidRPr="005C5CBD" w:rsidRDefault="00395593" w:rsidP="00E15FBB">
            <w:pPr>
              <w:spacing w:after="0" w:line="240"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APÊNDICE XX</w:t>
            </w:r>
          </w:p>
        </w:tc>
      </w:tr>
      <w:tr w:rsidR="00395593" w:rsidRPr="00AC0363" w14:paraId="048825E7" w14:textId="77777777" w:rsidTr="00395593">
        <w:trPr>
          <w:trHeight w:val="300"/>
        </w:trPr>
        <w:tc>
          <w:tcPr>
            <w:tcW w:w="5000" w:type="pct"/>
            <w:gridSpan w:val="12"/>
            <w:tcBorders>
              <w:top w:val="nil"/>
              <w:left w:val="nil"/>
              <w:bottom w:val="nil"/>
              <w:right w:val="nil"/>
            </w:tcBorders>
            <w:shd w:val="clear" w:color="auto" w:fill="auto"/>
            <w:noWrap/>
            <w:vAlign w:val="center"/>
            <w:hideMark/>
          </w:tcPr>
          <w:p w14:paraId="54C7800C" w14:textId="77777777" w:rsidR="00395593" w:rsidRPr="005C5CBD" w:rsidRDefault="00395593" w:rsidP="00E15FBB">
            <w:pPr>
              <w:spacing w:after="0" w:line="240"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EXPORTAÇÕES DO(S) PAÍS(ES) SUJEITO(S) À MEDIDA</w:t>
            </w:r>
          </w:p>
        </w:tc>
      </w:tr>
      <w:tr w:rsidR="00395593" w:rsidRPr="00AC0363" w14:paraId="45B28042" w14:textId="77777777" w:rsidTr="00395593">
        <w:trPr>
          <w:trHeight w:val="315"/>
        </w:trPr>
        <w:tc>
          <w:tcPr>
            <w:tcW w:w="395" w:type="pct"/>
            <w:tcBorders>
              <w:top w:val="nil"/>
              <w:left w:val="nil"/>
              <w:bottom w:val="nil"/>
              <w:right w:val="nil"/>
            </w:tcBorders>
            <w:shd w:val="clear" w:color="auto" w:fill="auto"/>
            <w:noWrap/>
            <w:vAlign w:val="bottom"/>
            <w:hideMark/>
          </w:tcPr>
          <w:p w14:paraId="7622C4B7" w14:textId="77777777" w:rsidR="00395593" w:rsidRPr="005C5CBD" w:rsidRDefault="00395593" w:rsidP="00E15FBB">
            <w:pPr>
              <w:spacing w:after="0" w:line="240" w:lineRule="auto"/>
              <w:jc w:val="center"/>
              <w:rPr>
                <w:rFonts w:ascii="Garamond" w:eastAsia="Times New Roman" w:hAnsi="Garamond" w:cs="Calibri"/>
                <w:b/>
                <w:color w:val="000000"/>
              </w:rPr>
            </w:pPr>
          </w:p>
        </w:tc>
        <w:tc>
          <w:tcPr>
            <w:tcW w:w="489" w:type="pct"/>
            <w:tcBorders>
              <w:top w:val="nil"/>
              <w:left w:val="nil"/>
              <w:bottom w:val="nil"/>
              <w:right w:val="nil"/>
            </w:tcBorders>
            <w:shd w:val="clear" w:color="auto" w:fill="auto"/>
            <w:noWrap/>
            <w:vAlign w:val="bottom"/>
            <w:hideMark/>
          </w:tcPr>
          <w:p w14:paraId="2EE18A5B" w14:textId="77777777" w:rsidR="00395593" w:rsidRPr="005C5CBD" w:rsidRDefault="00395593" w:rsidP="00E15FBB">
            <w:pPr>
              <w:spacing w:after="0" w:line="240" w:lineRule="auto"/>
              <w:rPr>
                <w:rFonts w:ascii="Garamond" w:eastAsia="Times New Roman" w:hAnsi="Garamond" w:cs="Calibri"/>
                <w:sz w:val="20"/>
                <w:szCs w:val="20"/>
              </w:rPr>
            </w:pPr>
          </w:p>
        </w:tc>
        <w:tc>
          <w:tcPr>
            <w:tcW w:w="432" w:type="pct"/>
            <w:tcBorders>
              <w:top w:val="nil"/>
              <w:left w:val="nil"/>
              <w:bottom w:val="nil"/>
              <w:right w:val="nil"/>
            </w:tcBorders>
            <w:shd w:val="clear" w:color="auto" w:fill="auto"/>
            <w:noWrap/>
            <w:vAlign w:val="bottom"/>
            <w:hideMark/>
          </w:tcPr>
          <w:p w14:paraId="1D8591DD" w14:textId="77777777" w:rsidR="00395593" w:rsidRPr="005C5CBD" w:rsidRDefault="00395593" w:rsidP="00E15FBB">
            <w:pPr>
              <w:spacing w:after="0" w:line="240" w:lineRule="auto"/>
              <w:rPr>
                <w:rFonts w:ascii="Garamond" w:eastAsia="Times New Roman" w:hAnsi="Garamond" w:cs="Calibri"/>
                <w:sz w:val="20"/>
                <w:szCs w:val="20"/>
              </w:rPr>
            </w:pPr>
          </w:p>
        </w:tc>
        <w:tc>
          <w:tcPr>
            <w:tcW w:w="489" w:type="pct"/>
            <w:tcBorders>
              <w:top w:val="nil"/>
              <w:left w:val="nil"/>
              <w:bottom w:val="nil"/>
              <w:right w:val="nil"/>
            </w:tcBorders>
            <w:shd w:val="clear" w:color="auto" w:fill="auto"/>
            <w:noWrap/>
            <w:vAlign w:val="bottom"/>
            <w:hideMark/>
          </w:tcPr>
          <w:p w14:paraId="283985BB" w14:textId="77777777" w:rsidR="00395593" w:rsidRPr="005C5CBD" w:rsidRDefault="00395593" w:rsidP="00E15FBB">
            <w:pPr>
              <w:spacing w:after="0" w:line="240" w:lineRule="auto"/>
              <w:rPr>
                <w:rFonts w:ascii="Garamond" w:eastAsia="Times New Roman" w:hAnsi="Garamond" w:cs="Calibri"/>
                <w:sz w:val="20"/>
                <w:szCs w:val="20"/>
              </w:rPr>
            </w:pPr>
          </w:p>
        </w:tc>
        <w:tc>
          <w:tcPr>
            <w:tcW w:w="432" w:type="pct"/>
            <w:tcBorders>
              <w:top w:val="nil"/>
              <w:left w:val="nil"/>
              <w:bottom w:val="nil"/>
              <w:right w:val="nil"/>
            </w:tcBorders>
            <w:shd w:val="clear" w:color="auto" w:fill="auto"/>
            <w:noWrap/>
            <w:vAlign w:val="bottom"/>
            <w:hideMark/>
          </w:tcPr>
          <w:p w14:paraId="41CC247C" w14:textId="77777777" w:rsidR="00395593" w:rsidRPr="005C5CBD" w:rsidRDefault="00395593" w:rsidP="00E15FBB">
            <w:pPr>
              <w:spacing w:after="0" w:line="240" w:lineRule="auto"/>
              <w:rPr>
                <w:rFonts w:ascii="Garamond" w:eastAsia="Times New Roman" w:hAnsi="Garamond" w:cs="Calibri"/>
                <w:sz w:val="20"/>
                <w:szCs w:val="20"/>
              </w:rPr>
            </w:pPr>
          </w:p>
        </w:tc>
        <w:tc>
          <w:tcPr>
            <w:tcW w:w="603" w:type="pct"/>
            <w:gridSpan w:val="2"/>
            <w:tcBorders>
              <w:top w:val="nil"/>
              <w:left w:val="nil"/>
              <w:bottom w:val="nil"/>
              <w:right w:val="nil"/>
            </w:tcBorders>
            <w:shd w:val="clear" w:color="auto" w:fill="auto"/>
            <w:noWrap/>
            <w:vAlign w:val="bottom"/>
            <w:hideMark/>
          </w:tcPr>
          <w:p w14:paraId="4FA082CF" w14:textId="77777777" w:rsidR="00395593" w:rsidRPr="005C5CBD" w:rsidRDefault="00395593" w:rsidP="00E15FBB">
            <w:pPr>
              <w:spacing w:after="0" w:line="240" w:lineRule="auto"/>
              <w:rPr>
                <w:rFonts w:ascii="Garamond" w:eastAsia="Times New Roman" w:hAnsi="Garamond" w:cs="Calibri"/>
                <w:sz w:val="20"/>
                <w:szCs w:val="20"/>
              </w:rPr>
            </w:pPr>
          </w:p>
        </w:tc>
        <w:tc>
          <w:tcPr>
            <w:tcW w:w="318" w:type="pct"/>
            <w:tcBorders>
              <w:top w:val="nil"/>
              <w:left w:val="nil"/>
              <w:bottom w:val="nil"/>
              <w:right w:val="nil"/>
            </w:tcBorders>
            <w:shd w:val="clear" w:color="auto" w:fill="auto"/>
            <w:noWrap/>
            <w:vAlign w:val="bottom"/>
            <w:hideMark/>
          </w:tcPr>
          <w:p w14:paraId="5BC73044" w14:textId="77777777" w:rsidR="00395593" w:rsidRPr="005C5CBD" w:rsidRDefault="00395593" w:rsidP="00E15FBB">
            <w:pPr>
              <w:spacing w:after="0" w:line="240" w:lineRule="auto"/>
              <w:rPr>
                <w:rFonts w:ascii="Garamond" w:eastAsia="Times New Roman" w:hAnsi="Garamond" w:cs="Calibri"/>
                <w:sz w:val="20"/>
                <w:szCs w:val="20"/>
              </w:rPr>
            </w:pPr>
          </w:p>
        </w:tc>
        <w:tc>
          <w:tcPr>
            <w:tcW w:w="489" w:type="pct"/>
            <w:tcBorders>
              <w:top w:val="nil"/>
              <w:left w:val="nil"/>
              <w:bottom w:val="nil"/>
              <w:right w:val="nil"/>
            </w:tcBorders>
            <w:shd w:val="clear" w:color="auto" w:fill="auto"/>
            <w:noWrap/>
            <w:vAlign w:val="bottom"/>
            <w:hideMark/>
          </w:tcPr>
          <w:p w14:paraId="03937E38" w14:textId="77777777" w:rsidR="00395593" w:rsidRPr="005C5CBD" w:rsidRDefault="00395593" w:rsidP="00E15FBB">
            <w:pPr>
              <w:spacing w:after="0" w:line="240" w:lineRule="auto"/>
              <w:rPr>
                <w:rFonts w:ascii="Garamond" w:eastAsia="Times New Roman" w:hAnsi="Garamond" w:cs="Calibri"/>
                <w:sz w:val="20"/>
                <w:szCs w:val="20"/>
              </w:rPr>
            </w:pPr>
          </w:p>
        </w:tc>
        <w:tc>
          <w:tcPr>
            <w:tcW w:w="432" w:type="pct"/>
            <w:tcBorders>
              <w:top w:val="nil"/>
              <w:left w:val="nil"/>
              <w:bottom w:val="nil"/>
              <w:right w:val="nil"/>
            </w:tcBorders>
            <w:shd w:val="clear" w:color="auto" w:fill="auto"/>
            <w:noWrap/>
            <w:vAlign w:val="bottom"/>
            <w:hideMark/>
          </w:tcPr>
          <w:p w14:paraId="4C5DD1D5" w14:textId="77777777" w:rsidR="00395593" w:rsidRPr="005C5CBD" w:rsidRDefault="00395593" w:rsidP="00E15FBB">
            <w:pPr>
              <w:spacing w:after="0" w:line="240" w:lineRule="auto"/>
              <w:rPr>
                <w:rFonts w:ascii="Garamond" w:eastAsia="Times New Roman" w:hAnsi="Garamond" w:cs="Calibri"/>
                <w:sz w:val="20"/>
                <w:szCs w:val="20"/>
              </w:rPr>
            </w:pPr>
          </w:p>
        </w:tc>
        <w:tc>
          <w:tcPr>
            <w:tcW w:w="489" w:type="pct"/>
            <w:tcBorders>
              <w:top w:val="nil"/>
              <w:left w:val="nil"/>
              <w:bottom w:val="nil"/>
              <w:right w:val="nil"/>
            </w:tcBorders>
            <w:shd w:val="clear" w:color="auto" w:fill="auto"/>
            <w:noWrap/>
            <w:vAlign w:val="bottom"/>
            <w:hideMark/>
          </w:tcPr>
          <w:p w14:paraId="4647A7A7" w14:textId="77777777" w:rsidR="00395593" w:rsidRPr="005C5CBD" w:rsidRDefault="00395593" w:rsidP="00E15FBB">
            <w:pPr>
              <w:spacing w:after="0" w:line="240" w:lineRule="auto"/>
              <w:rPr>
                <w:rFonts w:ascii="Garamond" w:eastAsia="Times New Roman" w:hAnsi="Garamond" w:cs="Calibri"/>
                <w:sz w:val="20"/>
                <w:szCs w:val="20"/>
              </w:rPr>
            </w:pPr>
          </w:p>
        </w:tc>
        <w:tc>
          <w:tcPr>
            <w:tcW w:w="433" w:type="pct"/>
            <w:tcBorders>
              <w:top w:val="nil"/>
              <w:left w:val="nil"/>
              <w:bottom w:val="nil"/>
              <w:right w:val="nil"/>
            </w:tcBorders>
            <w:shd w:val="clear" w:color="auto" w:fill="auto"/>
            <w:noWrap/>
            <w:vAlign w:val="bottom"/>
            <w:hideMark/>
          </w:tcPr>
          <w:p w14:paraId="45F79240" w14:textId="77777777" w:rsidR="00395593" w:rsidRPr="005C5CBD" w:rsidRDefault="00395593" w:rsidP="00E15FBB">
            <w:pPr>
              <w:spacing w:after="0" w:line="240" w:lineRule="auto"/>
              <w:rPr>
                <w:rFonts w:ascii="Garamond" w:eastAsia="Times New Roman" w:hAnsi="Garamond" w:cs="Calibri"/>
                <w:sz w:val="20"/>
                <w:szCs w:val="20"/>
              </w:rPr>
            </w:pPr>
          </w:p>
        </w:tc>
      </w:tr>
      <w:tr w:rsidR="00395593" w:rsidRPr="00AC0363" w14:paraId="288BA9BA" w14:textId="77777777" w:rsidTr="00395593">
        <w:trPr>
          <w:trHeight w:val="315"/>
        </w:trPr>
        <w:tc>
          <w:tcPr>
            <w:tcW w:w="395" w:type="pct"/>
            <w:tcBorders>
              <w:top w:val="nil"/>
              <w:left w:val="nil"/>
              <w:bottom w:val="nil"/>
              <w:right w:val="nil"/>
            </w:tcBorders>
            <w:shd w:val="clear" w:color="auto" w:fill="auto"/>
            <w:noWrap/>
            <w:vAlign w:val="center"/>
            <w:hideMark/>
          </w:tcPr>
          <w:p w14:paraId="6BEF4A1A" w14:textId="77777777" w:rsidR="00395593" w:rsidRPr="005C5CBD" w:rsidRDefault="00395593" w:rsidP="00E15FBB">
            <w:pPr>
              <w:spacing w:after="0" w:line="240" w:lineRule="auto"/>
              <w:rPr>
                <w:rFonts w:ascii="Garamond" w:eastAsia="Times New Roman" w:hAnsi="Garamond" w:cs="Calibri"/>
              </w:rPr>
            </w:pPr>
          </w:p>
        </w:tc>
        <w:tc>
          <w:tcPr>
            <w:tcW w:w="920" w:type="pct"/>
            <w:gridSpan w:val="2"/>
            <w:tcBorders>
              <w:top w:val="single" w:sz="8" w:space="0" w:color="auto"/>
              <w:left w:val="single" w:sz="8" w:space="0" w:color="auto"/>
              <w:bottom w:val="nil"/>
              <w:right w:val="single" w:sz="8" w:space="0" w:color="auto"/>
            </w:tcBorders>
            <w:shd w:val="clear" w:color="auto" w:fill="auto"/>
            <w:noWrap/>
            <w:vAlign w:val="center"/>
            <w:hideMark/>
          </w:tcPr>
          <w:p w14:paraId="55FAB763" w14:textId="77777777" w:rsidR="00395593" w:rsidRPr="005C5CBD" w:rsidRDefault="00395593" w:rsidP="00E15FBB">
            <w:pPr>
              <w:spacing w:after="0" w:line="240" w:lineRule="auto"/>
              <w:jc w:val="center"/>
              <w:rPr>
                <w:rFonts w:ascii="Garamond" w:eastAsia="Times New Roman" w:hAnsi="Garamond" w:cs="Calibri"/>
                <w:b/>
                <w:color w:val="000000"/>
              </w:rPr>
            </w:pPr>
            <w:r w:rsidRPr="005C5CBD">
              <w:rPr>
                <w:rFonts w:ascii="Garamond" w:eastAsia="Times New Roman" w:hAnsi="Garamond" w:cs="Calibri"/>
                <w:b/>
                <w:color w:val="000000"/>
              </w:rPr>
              <w:t>P1</w:t>
            </w:r>
          </w:p>
        </w:tc>
        <w:tc>
          <w:tcPr>
            <w:tcW w:w="920" w:type="pct"/>
            <w:gridSpan w:val="2"/>
            <w:tcBorders>
              <w:top w:val="single" w:sz="8" w:space="0" w:color="auto"/>
              <w:left w:val="single" w:sz="8" w:space="0" w:color="auto"/>
              <w:bottom w:val="nil"/>
              <w:right w:val="single" w:sz="8" w:space="0" w:color="auto"/>
            </w:tcBorders>
            <w:shd w:val="clear" w:color="auto" w:fill="auto"/>
            <w:noWrap/>
            <w:vAlign w:val="center"/>
            <w:hideMark/>
          </w:tcPr>
          <w:p w14:paraId="0E5A3932" w14:textId="77777777" w:rsidR="00395593" w:rsidRPr="005C5CBD" w:rsidRDefault="00395593" w:rsidP="00E15FBB">
            <w:pPr>
              <w:spacing w:after="0" w:line="240" w:lineRule="auto"/>
              <w:jc w:val="center"/>
              <w:rPr>
                <w:rFonts w:ascii="Garamond" w:eastAsia="Times New Roman" w:hAnsi="Garamond" w:cs="Calibri"/>
                <w:b/>
                <w:color w:val="000000"/>
              </w:rPr>
            </w:pPr>
            <w:r w:rsidRPr="005C5CBD">
              <w:rPr>
                <w:rFonts w:ascii="Garamond" w:eastAsia="Times New Roman" w:hAnsi="Garamond" w:cs="Calibri"/>
                <w:b/>
                <w:color w:val="000000"/>
              </w:rPr>
              <w:t>P2</w:t>
            </w:r>
          </w:p>
        </w:tc>
        <w:tc>
          <w:tcPr>
            <w:tcW w:w="921" w:type="pct"/>
            <w:gridSpan w:val="3"/>
            <w:tcBorders>
              <w:top w:val="single" w:sz="8" w:space="0" w:color="auto"/>
              <w:left w:val="single" w:sz="8" w:space="0" w:color="auto"/>
              <w:bottom w:val="nil"/>
              <w:right w:val="single" w:sz="8" w:space="0" w:color="auto"/>
            </w:tcBorders>
            <w:shd w:val="clear" w:color="auto" w:fill="auto"/>
            <w:noWrap/>
            <w:vAlign w:val="center"/>
            <w:hideMark/>
          </w:tcPr>
          <w:p w14:paraId="3650D9AE" w14:textId="77777777" w:rsidR="00395593" w:rsidRPr="005C5CBD" w:rsidRDefault="00395593" w:rsidP="00E15FBB">
            <w:pPr>
              <w:spacing w:after="0" w:line="240" w:lineRule="auto"/>
              <w:jc w:val="center"/>
              <w:rPr>
                <w:rFonts w:ascii="Garamond" w:eastAsia="Times New Roman" w:hAnsi="Garamond" w:cs="Calibri"/>
                <w:b/>
                <w:color w:val="000000"/>
              </w:rPr>
            </w:pPr>
            <w:r w:rsidRPr="005C5CBD">
              <w:rPr>
                <w:rFonts w:ascii="Garamond" w:eastAsia="Times New Roman" w:hAnsi="Garamond" w:cs="Calibri"/>
                <w:b/>
                <w:color w:val="000000"/>
              </w:rPr>
              <w:t>P3</w:t>
            </w:r>
          </w:p>
        </w:tc>
        <w:tc>
          <w:tcPr>
            <w:tcW w:w="921" w:type="pct"/>
            <w:gridSpan w:val="2"/>
            <w:tcBorders>
              <w:top w:val="single" w:sz="8" w:space="0" w:color="auto"/>
              <w:left w:val="single" w:sz="8" w:space="0" w:color="auto"/>
              <w:bottom w:val="nil"/>
              <w:right w:val="single" w:sz="8" w:space="0" w:color="auto"/>
            </w:tcBorders>
            <w:shd w:val="clear" w:color="auto" w:fill="auto"/>
            <w:noWrap/>
            <w:vAlign w:val="center"/>
            <w:hideMark/>
          </w:tcPr>
          <w:p w14:paraId="56BBA99F" w14:textId="77777777" w:rsidR="00395593" w:rsidRPr="005C5CBD" w:rsidRDefault="00395593" w:rsidP="00E15FBB">
            <w:pPr>
              <w:spacing w:after="0" w:line="240" w:lineRule="auto"/>
              <w:jc w:val="center"/>
              <w:rPr>
                <w:rFonts w:ascii="Garamond" w:eastAsia="Times New Roman" w:hAnsi="Garamond" w:cs="Calibri"/>
                <w:b/>
                <w:color w:val="000000"/>
              </w:rPr>
            </w:pPr>
            <w:r w:rsidRPr="005C5CBD">
              <w:rPr>
                <w:rFonts w:ascii="Garamond" w:eastAsia="Times New Roman" w:hAnsi="Garamond" w:cs="Calibri"/>
                <w:b/>
                <w:color w:val="000000"/>
              </w:rPr>
              <w:t>P4</w:t>
            </w:r>
          </w:p>
        </w:tc>
        <w:tc>
          <w:tcPr>
            <w:tcW w:w="922" w:type="pct"/>
            <w:gridSpan w:val="2"/>
            <w:tcBorders>
              <w:top w:val="single" w:sz="8" w:space="0" w:color="auto"/>
              <w:left w:val="single" w:sz="8" w:space="0" w:color="auto"/>
              <w:bottom w:val="nil"/>
              <w:right w:val="single" w:sz="8" w:space="0" w:color="000000"/>
            </w:tcBorders>
            <w:shd w:val="clear" w:color="auto" w:fill="auto"/>
            <w:noWrap/>
            <w:vAlign w:val="center"/>
            <w:hideMark/>
          </w:tcPr>
          <w:p w14:paraId="7867288D" w14:textId="77777777" w:rsidR="00395593" w:rsidRPr="005C5CBD" w:rsidRDefault="00395593" w:rsidP="00E15FBB">
            <w:pPr>
              <w:spacing w:after="0" w:line="240" w:lineRule="auto"/>
              <w:jc w:val="center"/>
              <w:rPr>
                <w:rFonts w:ascii="Garamond" w:eastAsia="Times New Roman" w:hAnsi="Garamond" w:cs="Calibri"/>
                <w:b/>
                <w:color w:val="000000"/>
              </w:rPr>
            </w:pPr>
            <w:r w:rsidRPr="005C5CBD">
              <w:rPr>
                <w:rFonts w:ascii="Garamond" w:eastAsia="Times New Roman" w:hAnsi="Garamond" w:cs="Calibri"/>
                <w:b/>
                <w:color w:val="000000"/>
              </w:rPr>
              <w:t>P5</w:t>
            </w:r>
          </w:p>
        </w:tc>
      </w:tr>
      <w:tr w:rsidR="00395593" w:rsidRPr="00AC0363" w14:paraId="7A4B32A7" w14:textId="77777777" w:rsidTr="00395593">
        <w:trPr>
          <w:trHeight w:val="930"/>
        </w:trPr>
        <w:tc>
          <w:tcPr>
            <w:tcW w:w="395"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10FB0BD5" w14:textId="77777777" w:rsidR="00395593" w:rsidRPr="005C5CBD" w:rsidRDefault="00395593" w:rsidP="00E15FBB">
            <w:pPr>
              <w:spacing w:after="0" w:line="240" w:lineRule="auto"/>
              <w:jc w:val="center"/>
              <w:rPr>
                <w:rFonts w:ascii="Garamond" w:eastAsia="Times New Roman" w:hAnsi="Garamond" w:cs="Calibri"/>
                <w:b/>
                <w:color w:val="000000"/>
                <w:sz w:val="20"/>
                <w:szCs w:val="20"/>
              </w:rPr>
            </w:pPr>
            <w:r w:rsidRPr="005C5CBD">
              <w:rPr>
                <w:rFonts w:ascii="Garamond" w:eastAsia="Times New Roman" w:hAnsi="Garamond" w:cs="Calibri"/>
                <w:b/>
                <w:color w:val="000000"/>
                <w:sz w:val="20"/>
                <w:szCs w:val="20"/>
              </w:rPr>
              <w:t>País(es) sujeito(s) à medida</w:t>
            </w:r>
          </w:p>
        </w:tc>
        <w:tc>
          <w:tcPr>
            <w:tcW w:w="489" w:type="pct"/>
            <w:tcBorders>
              <w:top w:val="single" w:sz="8" w:space="0" w:color="auto"/>
              <w:left w:val="nil"/>
              <w:bottom w:val="single" w:sz="4" w:space="0" w:color="auto"/>
              <w:right w:val="single" w:sz="4" w:space="0" w:color="auto"/>
            </w:tcBorders>
            <w:shd w:val="clear" w:color="auto" w:fill="auto"/>
            <w:vAlign w:val="center"/>
            <w:hideMark/>
          </w:tcPr>
          <w:p w14:paraId="0A0193E5" w14:textId="77777777" w:rsidR="00395593" w:rsidRPr="005C5CBD" w:rsidRDefault="00395593" w:rsidP="00E15FBB">
            <w:pPr>
              <w:spacing w:after="0" w:line="240" w:lineRule="auto"/>
              <w:jc w:val="center"/>
              <w:rPr>
                <w:rFonts w:ascii="Garamond" w:eastAsia="Times New Roman" w:hAnsi="Garamond" w:cs="Calibri"/>
                <w:b/>
                <w:color w:val="000000"/>
                <w:sz w:val="20"/>
                <w:szCs w:val="20"/>
              </w:rPr>
            </w:pPr>
            <w:r w:rsidRPr="005C5CBD">
              <w:rPr>
                <w:rFonts w:ascii="Garamond" w:eastAsia="Times New Roman" w:hAnsi="Garamond" w:cs="Calibri"/>
                <w:b/>
                <w:color w:val="000000"/>
                <w:sz w:val="20"/>
                <w:szCs w:val="20"/>
              </w:rPr>
              <w:t>Quantidade exportada</w:t>
            </w:r>
          </w:p>
        </w:tc>
        <w:tc>
          <w:tcPr>
            <w:tcW w:w="432" w:type="pct"/>
            <w:tcBorders>
              <w:top w:val="single" w:sz="8" w:space="0" w:color="auto"/>
              <w:left w:val="nil"/>
              <w:bottom w:val="single" w:sz="4" w:space="0" w:color="auto"/>
              <w:right w:val="single" w:sz="8" w:space="0" w:color="auto"/>
            </w:tcBorders>
            <w:shd w:val="clear" w:color="auto" w:fill="auto"/>
            <w:vAlign w:val="center"/>
            <w:hideMark/>
          </w:tcPr>
          <w:p w14:paraId="79935D6D" w14:textId="77777777" w:rsidR="00395593" w:rsidRPr="005C5CBD" w:rsidRDefault="00395593" w:rsidP="00E15FBB">
            <w:pPr>
              <w:spacing w:after="0" w:line="240" w:lineRule="auto"/>
              <w:jc w:val="center"/>
              <w:rPr>
                <w:rFonts w:ascii="Garamond" w:eastAsia="Times New Roman" w:hAnsi="Garamond" w:cs="Calibri"/>
                <w:b/>
                <w:color w:val="000000"/>
                <w:sz w:val="20"/>
                <w:szCs w:val="20"/>
              </w:rPr>
            </w:pPr>
            <w:r w:rsidRPr="005C5CBD">
              <w:rPr>
                <w:rFonts w:ascii="Garamond" w:eastAsia="Times New Roman" w:hAnsi="Garamond" w:cs="Calibri"/>
                <w:b/>
                <w:color w:val="000000"/>
                <w:sz w:val="20"/>
                <w:szCs w:val="20"/>
              </w:rPr>
              <w:t xml:space="preserve">Valor exportado </w:t>
            </w:r>
          </w:p>
        </w:tc>
        <w:tc>
          <w:tcPr>
            <w:tcW w:w="48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2574295E" w14:textId="77777777" w:rsidR="00395593" w:rsidRPr="005C5CBD" w:rsidRDefault="00395593" w:rsidP="00E15FBB">
            <w:pPr>
              <w:spacing w:after="0" w:line="240" w:lineRule="auto"/>
              <w:jc w:val="center"/>
              <w:rPr>
                <w:rFonts w:ascii="Garamond" w:eastAsia="Times New Roman" w:hAnsi="Garamond" w:cs="Calibri"/>
                <w:b/>
                <w:color w:val="000000"/>
                <w:sz w:val="20"/>
                <w:szCs w:val="20"/>
              </w:rPr>
            </w:pPr>
            <w:r w:rsidRPr="005C5CBD">
              <w:rPr>
                <w:rFonts w:ascii="Garamond" w:eastAsia="Times New Roman" w:hAnsi="Garamond" w:cs="Calibri"/>
                <w:b/>
                <w:color w:val="000000"/>
                <w:sz w:val="20"/>
                <w:szCs w:val="20"/>
              </w:rPr>
              <w:t xml:space="preserve">Quantidade exportada </w:t>
            </w:r>
          </w:p>
        </w:tc>
        <w:tc>
          <w:tcPr>
            <w:tcW w:w="432" w:type="pct"/>
            <w:tcBorders>
              <w:top w:val="single" w:sz="8" w:space="0" w:color="auto"/>
              <w:left w:val="nil"/>
              <w:bottom w:val="single" w:sz="4" w:space="0" w:color="auto"/>
              <w:right w:val="single" w:sz="8" w:space="0" w:color="auto"/>
            </w:tcBorders>
            <w:shd w:val="clear" w:color="auto" w:fill="auto"/>
            <w:vAlign w:val="center"/>
            <w:hideMark/>
          </w:tcPr>
          <w:p w14:paraId="7463BDE8" w14:textId="77777777" w:rsidR="00395593" w:rsidRPr="005C5CBD" w:rsidRDefault="00395593" w:rsidP="00E15FBB">
            <w:pPr>
              <w:spacing w:after="0" w:line="240" w:lineRule="auto"/>
              <w:jc w:val="center"/>
              <w:rPr>
                <w:rFonts w:ascii="Garamond" w:eastAsia="Times New Roman" w:hAnsi="Garamond" w:cs="Calibri"/>
                <w:b/>
                <w:color w:val="000000"/>
                <w:sz w:val="20"/>
                <w:szCs w:val="20"/>
              </w:rPr>
            </w:pPr>
            <w:r w:rsidRPr="005C5CBD">
              <w:rPr>
                <w:rFonts w:ascii="Garamond" w:eastAsia="Times New Roman" w:hAnsi="Garamond" w:cs="Calibri"/>
                <w:b/>
                <w:color w:val="000000"/>
                <w:sz w:val="20"/>
                <w:szCs w:val="20"/>
              </w:rPr>
              <w:t xml:space="preserve">Valor exportado </w:t>
            </w:r>
          </w:p>
        </w:tc>
        <w:tc>
          <w:tcPr>
            <w:tcW w:w="48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3179676A" w14:textId="77777777" w:rsidR="00395593" w:rsidRPr="005C5CBD" w:rsidRDefault="00395593" w:rsidP="00E15FBB">
            <w:pPr>
              <w:spacing w:after="0" w:line="240" w:lineRule="auto"/>
              <w:jc w:val="center"/>
              <w:rPr>
                <w:rFonts w:ascii="Garamond" w:eastAsia="Times New Roman" w:hAnsi="Garamond" w:cs="Calibri"/>
                <w:b/>
                <w:color w:val="000000"/>
                <w:sz w:val="20"/>
                <w:szCs w:val="20"/>
              </w:rPr>
            </w:pPr>
            <w:r w:rsidRPr="005C5CBD">
              <w:rPr>
                <w:rFonts w:ascii="Garamond" w:eastAsia="Times New Roman" w:hAnsi="Garamond" w:cs="Calibri"/>
                <w:b/>
                <w:color w:val="000000"/>
                <w:sz w:val="20"/>
                <w:szCs w:val="20"/>
              </w:rPr>
              <w:t xml:space="preserve">Quantidade exportada </w:t>
            </w:r>
          </w:p>
        </w:tc>
        <w:tc>
          <w:tcPr>
            <w:tcW w:w="432" w:type="pct"/>
            <w:gridSpan w:val="2"/>
            <w:tcBorders>
              <w:top w:val="single" w:sz="8" w:space="0" w:color="auto"/>
              <w:left w:val="nil"/>
              <w:bottom w:val="single" w:sz="4" w:space="0" w:color="auto"/>
              <w:right w:val="single" w:sz="8" w:space="0" w:color="auto"/>
            </w:tcBorders>
            <w:shd w:val="clear" w:color="auto" w:fill="auto"/>
            <w:vAlign w:val="center"/>
            <w:hideMark/>
          </w:tcPr>
          <w:p w14:paraId="19812A59" w14:textId="77777777" w:rsidR="00395593" w:rsidRPr="005C5CBD" w:rsidRDefault="00395593" w:rsidP="00E15FBB">
            <w:pPr>
              <w:spacing w:after="0" w:line="240" w:lineRule="auto"/>
              <w:jc w:val="center"/>
              <w:rPr>
                <w:rFonts w:ascii="Garamond" w:eastAsia="Times New Roman" w:hAnsi="Garamond" w:cs="Calibri"/>
                <w:b/>
                <w:color w:val="000000"/>
                <w:sz w:val="20"/>
                <w:szCs w:val="20"/>
              </w:rPr>
            </w:pPr>
            <w:r w:rsidRPr="005C5CBD">
              <w:rPr>
                <w:rFonts w:ascii="Garamond" w:eastAsia="Times New Roman" w:hAnsi="Garamond" w:cs="Calibri"/>
                <w:b/>
                <w:color w:val="000000"/>
                <w:sz w:val="20"/>
                <w:szCs w:val="20"/>
              </w:rPr>
              <w:t xml:space="preserve">Valor exportado </w:t>
            </w:r>
          </w:p>
        </w:tc>
        <w:tc>
          <w:tcPr>
            <w:tcW w:w="48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B424DD6" w14:textId="77777777" w:rsidR="00395593" w:rsidRPr="005C5CBD" w:rsidRDefault="00395593" w:rsidP="00E15FBB">
            <w:pPr>
              <w:spacing w:after="0" w:line="240" w:lineRule="auto"/>
              <w:jc w:val="center"/>
              <w:rPr>
                <w:rFonts w:ascii="Garamond" w:eastAsia="Times New Roman" w:hAnsi="Garamond" w:cs="Calibri"/>
                <w:b/>
                <w:color w:val="000000"/>
                <w:sz w:val="20"/>
                <w:szCs w:val="20"/>
              </w:rPr>
            </w:pPr>
            <w:r w:rsidRPr="005C5CBD">
              <w:rPr>
                <w:rFonts w:ascii="Garamond" w:eastAsia="Times New Roman" w:hAnsi="Garamond" w:cs="Calibri"/>
                <w:b/>
                <w:color w:val="000000"/>
                <w:sz w:val="20"/>
                <w:szCs w:val="20"/>
              </w:rPr>
              <w:t xml:space="preserve">Quantidade exportada </w:t>
            </w:r>
          </w:p>
        </w:tc>
        <w:tc>
          <w:tcPr>
            <w:tcW w:w="432" w:type="pct"/>
            <w:tcBorders>
              <w:top w:val="single" w:sz="8" w:space="0" w:color="auto"/>
              <w:left w:val="nil"/>
              <w:bottom w:val="single" w:sz="4" w:space="0" w:color="auto"/>
              <w:right w:val="single" w:sz="8" w:space="0" w:color="auto"/>
            </w:tcBorders>
            <w:shd w:val="clear" w:color="auto" w:fill="auto"/>
            <w:vAlign w:val="center"/>
            <w:hideMark/>
          </w:tcPr>
          <w:p w14:paraId="09B0B262" w14:textId="77777777" w:rsidR="00395593" w:rsidRPr="005C5CBD" w:rsidRDefault="00395593" w:rsidP="00E15FBB">
            <w:pPr>
              <w:spacing w:after="0" w:line="240" w:lineRule="auto"/>
              <w:jc w:val="center"/>
              <w:rPr>
                <w:rFonts w:ascii="Garamond" w:eastAsia="Times New Roman" w:hAnsi="Garamond" w:cs="Calibri"/>
                <w:b/>
                <w:color w:val="000000"/>
                <w:sz w:val="20"/>
                <w:szCs w:val="20"/>
              </w:rPr>
            </w:pPr>
            <w:r w:rsidRPr="005C5CBD">
              <w:rPr>
                <w:rFonts w:ascii="Garamond" w:eastAsia="Times New Roman" w:hAnsi="Garamond" w:cs="Calibri"/>
                <w:b/>
                <w:color w:val="000000"/>
                <w:sz w:val="20"/>
                <w:szCs w:val="20"/>
              </w:rPr>
              <w:t xml:space="preserve">Valor exportado </w:t>
            </w:r>
          </w:p>
        </w:tc>
        <w:tc>
          <w:tcPr>
            <w:tcW w:w="48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AB81073" w14:textId="77777777" w:rsidR="00395593" w:rsidRPr="005C5CBD" w:rsidRDefault="00395593" w:rsidP="00E15FBB">
            <w:pPr>
              <w:spacing w:after="0" w:line="240" w:lineRule="auto"/>
              <w:jc w:val="center"/>
              <w:rPr>
                <w:rFonts w:ascii="Garamond" w:eastAsia="Times New Roman" w:hAnsi="Garamond" w:cs="Calibri"/>
                <w:b/>
                <w:color w:val="000000"/>
                <w:sz w:val="20"/>
                <w:szCs w:val="20"/>
              </w:rPr>
            </w:pPr>
            <w:r w:rsidRPr="005C5CBD">
              <w:rPr>
                <w:rFonts w:ascii="Garamond" w:eastAsia="Times New Roman" w:hAnsi="Garamond" w:cs="Calibri"/>
                <w:b/>
                <w:color w:val="000000"/>
                <w:sz w:val="20"/>
                <w:szCs w:val="20"/>
              </w:rPr>
              <w:t>Quantidade exportada</w:t>
            </w:r>
            <w:r w:rsidRPr="005C5CBD">
              <w:rPr>
                <w:rFonts w:ascii="Garamond" w:eastAsia="Times New Roman" w:hAnsi="Garamond" w:cs="Calibri"/>
                <w:b/>
                <w:color w:val="FF0000"/>
                <w:sz w:val="20"/>
                <w:szCs w:val="20"/>
              </w:rPr>
              <w:t xml:space="preserve"> </w:t>
            </w:r>
          </w:p>
        </w:tc>
        <w:tc>
          <w:tcPr>
            <w:tcW w:w="433" w:type="pct"/>
            <w:tcBorders>
              <w:top w:val="single" w:sz="8" w:space="0" w:color="auto"/>
              <w:left w:val="nil"/>
              <w:bottom w:val="single" w:sz="4" w:space="0" w:color="auto"/>
              <w:right w:val="single" w:sz="8" w:space="0" w:color="auto"/>
            </w:tcBorders>
            <w:shd w:val="clear" w:color="auto" w:fill="auto"/>
            <w:vAlign w:val="center"/>
            <w:hideMark/>
          </w:tcPr>
          <w:p w14:paraId="625BE41E" w14:textId="77777777" w:rsidR="00395593" w:rsidRPr="005C5CBD" w:rsidRDefault="00395593" w:rsidP="00E15FBB">
            <w:pPr>
              <w:spacing w:after="0" w:line="240" w:lineRule="auto"/>
              <w:jc w:val="center"/>
              <w:rPr>
                <w:rFonts w:ascii="Garamond" w:eastAsia="Times New Roman" w:hAnsi="Garamond" w:cs="Calibri"/>
                <w:b/>
                <w:color w:val="000000"/>
                <w:sz w:val="20"/>
                <w:szCs w:val="20"/>
              </w:rPr>
            </w:pPr>
            <w:r w:rsidRPr="005C5CBD">
              <w:rPr>
                <w:rFonts w:ascii="Garamond" w:eastAsia="Times New Roman" w:hAnsi="Garamond" w:cs="Calibri"/>
                <w:b/>
                <w:color w:val="000000"/>
                <w:sz w:val="20"/>
                <w:szCs w:val="20"/>
              </w:rPr>
              <w:t xml:space="preserve">Valor exportado </w:t>
            </w:r>
          </w:p>
        </w:tc>
      </w:tr>
      <w:tr w:rsidR="00395593" w:rsidRPr="00AC0363" w14:paraId="3FBD75AB" w14:textId="77777777" w:rsidTr="00395593">
        <w:trPr>
          <w:trHeight w:val="510"/>
        </w:trPr>
        <w:tc>
          <w:tcPr>
            <w:tcW w:w="395" w:type="pct"/>
            <w:vMerge/>
            <w:tcBorders>
              <w:top w:val="single" w:sz="8" w:space="0" w:color="auto"/>
              <w:left w:val="single" w:sz="8" w:space="0" w:color="auto"/>
              <w:bottom w:val="single" w:sz="4" w:space="0" w:color="auto"/>
              <w:right w:val="single" w:sz="8" w:space="0" w:color="auto"/>
            </w:tcBorders>
            <w:vAlign w:val="center"/>
            <w:hideMark/>
          </w:tcPr>
          <w:p w14:paraId="31E3361E" w14:textId="77777777" w:rsidR="00395593" w:rsidRPr="005C5CBD" w:rsidRDefault="00395593" w:rsidP="00E15FBB">
            <w:pPr>
              <w:spacing w:after="0" w:line="240" w:lineRule="auto"/>
              <w:rPr>
                <w:rFonts w:ascii="Garamond" w:eastAsia="Times New Roman" w:hAnsi="Garamond" w:cs="Calibri"/>
                <w:b/>
                <w:color w:val="000000"/>
                <w:sz w:val="20"/>
                <w:szCs w:val="20"/>
              </w:rPr>
            </w:pPr>
          </w:p>
        </w:tc>
        <w:tc>
          <w:tcPr>
            <w:tcW w:w="489" w:type="pct"/>
            <w:tcBorders>
              <w:top w:val="nil"/>
              <w:left w:val="nil"/>
              <w:bottom w:val="single" w:sz="4" w:space="0" w:color="auto"/>
              <w:right w:val="single" w:sz="4" w:space="0" w:color="auto"/>
            </w:tcBorders>
            <w:shd w:val="clear" w:color="auto" w:fill="auto"/>
            <w:vAlign w:val="center"/>
            <w:hideMark/>
          </w:tcPr>
          <w:p w14:paraId="749FE3B4" w14:textId="77777777" w:rsidR="00395593" w:rsidRPr="005C5CBD" w:rsidRDefault="00395593" w:rsidP="00E15FBB">
            <w:pPr>
              <w:spacing w:after="0" w:line="240" w:lineRule="auto"/>
              <w:jc w:val="center"/>
              <w:rPr>
                <w:rFonts w:ascii="Garamond" w:eastAsia="Times New Roman" w:hAnsi="Garamond" w:cs="Calibri"/>
                <w:b/>
                <w:color w:val="FF0000"/>
                <w:sz w:val="20"/>
                <w:szCs w:val="20"/>
              </w:rPr>
            </w:pPr>
            <w:r w:rsidRPr="005C5CBD">
              <w:rPr>
                <w:rFonts w:ascii="Garamond" w:eastAsia="Times New Roman" w:hAnsi="Garamond" w:cs="Calibri"/>
                <w:b/>
                <w:color w:val="FF0000"/>
                <w:sz w:val="20"/>
                <w:szCs w:val="20"/>
              </w:rPr>
              <w:t>(Informar unidade de medida)</w:t>
            </w:r>
          </w:p>
        </w:tc>
        <w:tc>
          <w:tcPr>
            <w:tcW w:w="432" w:type="pct"/>
            <w:tcBorders>
              <w:top w:val="nil"/>
              <w:left w:val="nil"/>
              <w:bottom w:val="single" w:sz="4" w:space="0" w:color="auto"/>
              <w:right w:val="single" w:sz="8" w:space="0" w:color="auto"/>
            </w:tcBorders>
            <w:shd w:val="clear" w:color="auto" w:fill="auto"/>
            <w:vAlign w:val="center"/>
            <w:hideMark/>
          </w:tcPr>
          <w:p w14:paraId="34EF632F" w14:textId="77777777" w:rsidR="00395593" w:rsidRPr="005C5CBD" w:rsidRDefault="00395593" w:rsidP="00E15FBB">
            <w:pPr>
              <w:spacing w:after="0" w:line="240" w:lineRule="auto"/>
              <w:jc w:val="center"/>
              <w:rPr>
                <w:rFonts w:ascii="Garamond" w:eastAsia="Times New Roman" w:hAnsi="Garamond" w:cs="Calibri"/>
                <w:b/>
                <w:color w:val="FF0000"/>
                <w:sz w:val="20"/>
                <w:szCs w:val="20"/>
              </w:rPr>
            </w:pPr>
            <w:r w:rsidRPr="005C5CBD">
              <w:rPr>
                <w:rFonts w:ascii="Garamond" w:eastAsia="Times New Roman" w:hAnsi="Garamond" w:cs="Calibri"/>
                <w:b/>
                <w:color w:val="FF0000"/>
                <w:sz w:val="20"/>
                <w:szCs w:val="20"/>
              </w:rPr>
              <w:t>(Informar moeda)</w:t>
            </w:r>
          </w:p>
        </w:tc>
        <w:tc>
          <w:tcPr>
            <w:tcW w:w="489" w:type="pct"/>
            <w:tcBorders>
              <w:top w:val="nil"/>
              <w:left w:val="single" w:sz="8" w:space="0" w:color="auto"/>
              <w:bottom w:val="single" w:sz="4" w:space="0" w:color="auto"/>
              <w:right w:val="single" w:sz="4" w:space="0" w:color="auto"/>
            </w:tcBorders>
            <w:shd w:val="clear" w:color="auto" w:fill="auto"/>
            <w:vAlign w:val="center"/>
            <w:hideMark/>
          </w:tcPr>
          <w:p w14:paraId="5EBCC00A" w14:textId="77777777" w:rsidR="00395593" w:rsidRPr="005C5CBD" w:rsidRDefault="00395593" w:rsidP="00E15FBB">
            <w:pPr>
              <w:spacing w:after="0" w:line="240" w:lineRule="auto"/>
              <w:jc w:val="center"/>
              <w:rPr>
                <w:rFonts w:ascii="Garamond" w:eastAsia="Times New Roman" w:hAnsi="Garamond" w:cs="Calibri"/>
                <w:b/>
                <w:color w:val="FF0000"/>
                <w:sz w:val="20"/>
                <w:szCs w:val="20"/>
              </w:rPr>
            </w:pPr>
            <w:r w:rsidRPr="005C5CBD">
              <w:rPr>
                <w:rFonts w:ascii="Garamond" w:eastAsia="Times New Roman" w:hAnsi="Garamond" w:cs="Calibri"/>
                <w:b/>
                <w:color w:val="FF0000"/>
                <w:sz w:val="20"/>
                <w:szCs w:val="20"/>
              </w:rPr>
              <w:t>(Informar unidade de medida)</w:t>
            </w:r>
          </w:p>
        </w:tc>
        <w:tc>
          <w:tcPr>
            <w:tcW w:w="432" w:type="pct"/>
            <w:tcBorders>
              <w:top w:val="nil"/>
              <w:left w:val="nil"/>
              <w:bottom w:val="single" w:sz="4" w:space="0" w:color="auto"/>
              <w:right w:val="single" w:sz="8" w:space="0" w:color="auto"/>
            </w:tcBorders>
            <w:shd w:val="clear" w:color="auto" w:fill="auto"/>
            <w:vAlign w:val="center"/>
            <w:hideMark/>
          </w:tcPr>
          <w:p w14:paraId="0A2021CB" w14:textId="77777777" w:rsidR="00395593" w:rsidRPr="005C5CBD" w:rsidRDefault="00395593" w:rsidP="00E15FBB">
            <w:pPr>
              <w:spacing w:after="0" w:line="240" w:lineRule="auto"/>
              <w:jc w:val="center"/>
              <w:rPr>
                <w:rFonts w:ascii="Garamond" w:eastAsia="Times New Roman" w:hAnsi="Garamond" w:cs="Calibri"/>
                <w:b/>
                <w:color w:val="FF0000"/>
                <w:sz w:val="20"/>
                <w:szCs w:val="20"/>
              </w:rPr>
            </w:pPr>
            <w:r w:rsidRPr="005C5CBD">
              <w:rPr>
                <w:rFonts w:ascii="Garamond" w:eastAsia="Times New Roman" w:hAnsi="Garamond" w:cs="Calibri"/>
                <w:b/>
                <w:color w:val="FF0000"/>
                <w:sz w:val="20"/>
                <w:szCs w:val="20"/>
              </w:rPr>
              <w:t>(Informar moeda)</w:t>
            </w:r>
          </w:p>
        </w:tc>
        <w:tc>
          <w:tcPr>
            <w:tcW w:w="489" w:type="pct"/>
            <w:tcBorders>
              <w:top w:val="nil"/>
              <w:left w:val="single" w:sz="8" w:space="0" w:color="auto"/>
              <w:bottom w:val="single" w:sz="4" w:space="0" w:color="auto"/>
              <w:right w:val="single" w:sz="4" w:space="0" w:color="auto"/>
            </w:tcBorders>
            <w:shd w:val="clear" w:color="auto" w:fill="auto"/>
            <w:vAlign w:val="center"/>
            <w:hideMark/>
          </w:tcPr>
          <w:p w14:paraId="0DBD1A47" w14:textId="77777777" w:rsidR="00395593" w:rsidRPr="005C5CBD" w:rsidRDefault="00395593" w:rsidP="00E15FBB">
            <w:pPr>
              <w:spacing w:after="0" w:line="240" w:lineRule="auto"/>
              <w:jc w:val="center"/>
              <w:rPr>
                <w:rFonts w:ascii="Garamond" w:eastAsia="Times New Roman" w:hAnsi="Garamond" w:cs="Calibri"/>
                <w:b/>
                <w:color w:val="FF0000"/>
                <w:sz w:val="20"/>
                <w:szCs w:val="20"/>
              </w:rPr>
            </w:pPr>
            <w:r w:rsidRPr="005C5CBD">
              <w:rPr>
                <w:rFonts w:ascii="Garamond" w:eastAsia="Times New Roman" w:hAnsi="Garamond" w:cs="Calibri"/>
                <w:b/>
                <w:color w:val="FF0000"/>
                <w:sz w:val="20"/>
                <w:szCs w:val="20"/>
              </w:rPr>
              <w:t>(Informar unidade de medida)</w:t>
            </w:r>
          </w:p>
        </w:tc>
        <w:tc>
          <w:tcPr>
            <w:tcW w:w="432" w:type="pct"/>
            <w:gridSpan w:val="2"/>
            <w:tcBorders>
              <w:top w:val="nil"/>
              <w:left w:val="nil"/>
              <w:bottom w:val="single" w:sz="4" w:space="0" w:color="auto"/>
              <w:right w:val="single" w:sz="8" w:space="0" w:color="auto"/>
            </w:tcBorders>
            <w:shd w:val="clear" w:color="auto" w:fill="auto"/>
            <w:vAlign w:val="center"/>
            <w:hideMark/>
          </w:tcPr>
          <w:p w14:paraId="2AA5CBBE" w14:textId="77777777" w:rsidR="00395593" w:rsidRPr="005C5CBD" w:rsidRDefault="00395593" w:rsidP="00E15FBB">
            <w:pPr>
              <w:spacing w:after="0" w:line="240" w:lineRule="auto"/>
              <w:jc w:val="center"/>
              <w:rPr>
                <w:rFonts w:ascii="Garamond" w:eastAsia="Times New Roman" w:hAnsi="Garamond" w:cs="Calibri"/>
                <w:b/>
                <w:color w:val="FF0000"/>
                <w:sz w:val="20"/>
                <w:szCs w:val="20"/>
              </w:rPr>
            </w:pPr>
            <w:r w:rsidRPr="005C5CBD">
              <w:rPr>
                <w:rFonts w:ascii="Garamond" w:eastAsia="Times New Roman" w:hAnsi="Garamond" w:cs="Calibri"/>
                <w:b/>
                <w:color w:val="FF0000"/>
                <w:sz w:val="20"/>
                <w:szCs w:val="20"/>
              </w:rPr>
              <w:t>(Informar moeda)</w:t>
            </w:r>
          </w:p>
        </w:tc>
        <w:tc>
          <w:tcPr>
            <w:tcW w:w="489" w:type="pct"/>
            <w:tcBorders>
              <w:top w:val="nil"/>
              <w:left w:val="single" w:sz="8" w:space="0" w:color="auto"/>
              <w:bottom w:val="single" w:sz="4" w:space="0" w:color="auto"/>
              <w:right w:val="single" w:sz="4" w:space="0" w:color="auto"/>
            </w:tcBorders>
            <w:shd w:val="clear" w:color="auto" w:fill="auto"/>
            <w:vAlign w:val="center"/>
            <w:hideMark/>
          </w:tcPr>
          <w:p w14:paraId="35860979" w14:textId="77777777" w:rsidR="00395593" w:rsidRPr="005C5CBD" w:rsidRDefault="00395593" w:rsidP="00E15FBB">
            <w:pPr>
              <w:spacing w:after="0" w:line="240" w:lineRule="auto"/>
              <w:jc w:val="center"/>
              <w:rPr>
                <w:rFonts w:ascii="Garamond" w:eastAsia="Times New Roman" w:hAnsi="Garamond" w:cs="Calibri"/>
                <w:b/>
                <w:color w:val="FF0000"/>
                <w:sz w:val="20"/>
                <w:szCs w:val="20"/>
              </w:rPr>
            </w:pPr>
            <w:r w:rsidRPr="005C5CBD">
              <w:rPr>
                <w:rFonts w:ascii="Garamond" w:eastAsia="Times New Roman" w:hAnsi="Garamond" w:cs="Calibri"/>
                <w:b/>
                <w:color w:val="FF0000"/>
                <w:sz w:val="20"/>
                <w:szCs w:val="20"/>
              </w:rPr>
              <w:t>(Informar unidade de medida)</w:t>
            </w:r>
          </w:p>
        </w:tc>
        <w:tc>
          <w:tcPr>
            <w:tcW w:w="432" w:type="pct"/>
            <w:tcBorders>
              <w:top w:val="nil"/>
              <w:left w:val="nil"/>
              <w:bottom w:val="single" w:sz="4" w:space="0" w:color="auto"/>
              <w:right w:val="single" w:sz="8" w:space="0" w:color="auto"/>
            </w:tcBorders>
            <w:shd w:val="clear" w:color="auto" w:fill="auto"/>
            <w:vAlign w:val="center"/>
            <w:hideMark/>
          </w:tcPr>
          <w:p w14:paraId="72262B70" w14:textId="77777777" w:rsidR="00395593" w:rsidRPr="005C5CBD" w:rsidRDefault="00395593" w:rsidP="00E15FBB">
            <w:pPr>
              <w:spacing w:after="0" w:line="240" w:lineRule="auto"/>
              <w:jc w:val="center"/>
              <w:rPr>
                <w:rFonts w:ascii="Garamond" w:eastAsia="Times New Roman" w:hAnsi="Garamond" w:cs="Calibri"/>
                <w:b/>
                <w:color w:val="FF0000"/>
                <w:sz w:val="20"/>
                <w:szCs w:val="20"/>
              </w:rPr>
            </w:pPr>
            <w:r w:rsidRPr="005C5CBD">
              <w:rPr>
                <w:rFonts w:ascii="Garamond" w:eastAsia="Times New Roman" w:hAnsi="Garamond" w:cs="Calibri"/>
                <w:b/>
                <w:color w:val="FF0000"/>
                <w:sz w:val="20"/>
                <w:szCs w:val="20"/>
              </w:rPr>
              <w:t>(Informar moeda)</w:t>
            </w:r>
          </w:p>
        </w:tc>
        <w:tc>
          <w:tcPr>
            <w:tcW w:w="489" w:type="pct"/>
            <w:tcBorders>
              <w:top w:val="nil"/>
              <w:left w:val="single" w:sz="8" w:space="0" w:color="auto"/>
              <w:bottom w:val="single" w:sz="4" w:space="0" w:color="auto"/>
              <w:right w:val="single" w:sz="4" w:space="0" w:color="auto"/>
            </w:tcBorders>
            <w:shd w:val="clear" w:color="auto" w:fill="auto"/>
            <w:vAlign w:val="center"/>
            <w:hideMark/>
          </w:tcPr>
          <w:p w14:paraId="3D5D68A4" w14:textId="77777777" w:rsidR="00395593" w:rsidRPr="005C5CBD" w:rsidRDefault="00395593" w:rsidP="00E15FBB">
            <w:pPr>
              <w:spacing w:after="0" w:line="240" w:lineRule="auto"/>
              <w:jc w:val="center"/>
              <w:rPr>
                <w:rFonts w:ascii="Garamond" w:eastAsia="Times New Roman" w:hAnsi="Garamond" w:cs="Calibri"/>
                <w:b/>
                <w:color w:val="FF0000"/>
                <w:sz w:val="20"/>
                <w:szCs w:val="20"/>
              </w:rPr>
            </w:pPr>
            <w:r w:rsidRPr="005C5CBD">
              <w:rPr>
                <w:rFonts w:ascii="Garamond" w:eastAsia="Times New Roman" w:hAnsi="Garamond" w:cs="Calibri"/>
                <w:b/>
                <w:color w:val="FF0000"/>
                <w:sz w:val="20"/>
                <w:szCs w:val="20"/>
              </w:rPr>
              <w:t>(Informar unidade de medida)</w:t>
            </w:r>
          </w:p>
        </w:tc>
        <w:tc>
          <w:tcPr>
            <w:tcW w:w="433" w:type="pct"/>
            <w:tcBorders>
              <w:top w:val="nil"/>
              <w:left w:val="nil"/>
              <w:bottom w:val="single" w:sz="4" w:space="0" w:color="auto"/>
              <w:right w:val="single" w:sz="8" w:space="0" w:color="auto"/>
            </w:tcBorders>
            <w:shd w:val="clear" w:color="auto" w:fill="auto"/>
            <w:vAlign w:val="center"/>
            <w:hideMark/>
          </w:tcPr>
          <w:p w14:paraId="43842648" w14:textId="77777777" w:rsidR="00395593" w:rsidRPr="005C5CBD" w:rsidRDefault="00395593" w:rsidP="00E15FBB">
            <w:pPr>
              <w:spacing w:after="0" w:line="240" w:lineRule="auto"/>
              <w:jc w:val="center"/>
              <w:rPr>
                <w:rFonts w:ascii="Garamond" w:eastAsia="Times New Roman" w:hAnsi="Garamond" w:cs="Calibri"/>
                <w:b/>
                <w:color w:val="FF0000"/>
                <w:sz w:val="20"/>
                <w:szCs w:val="20"/>
              </w:rPr>
            </w:pPr>
            <w:r w:rsidRPr="005C5CBD">
              <w:rPr>
                <w:rFonts w:ascii="Garamond" w:eastAsia="Times New Roman" w:hAnsi="Garamond" w:cs="Calibri"/>
                <w:b/>
                <w:color w:val="FF0000"/>
                <w:sz w:val="20"/>
                <w:szCs w:val="20"/>
              </w:rPr>
              <w:t>(Informar moeda)</w:t>
            </w:r>
          </w:p>
        </w:tc>
      </w:tr>
      <w:tr w:rsidR="00395593" w:rsidRPr="00AC0363" w14:paraId="36B42825" w14:textId="77777777" w:rsidTr="00395593">
        <w:trPr>
          <w:trHeight w:val="300"/>
        </w:trPr>
        <w:tc>
          <w:tcPr>
            <w:tcW w:w="395" w:type="pct"/>
            <w:tcBorders>
              <w:top w:val="nil"/>
              <w:left w:val="single" w:sz="8" w:space="0" w:color="auto"/>
              <w:bottom w:val="single" w:sz="4" w:space="0" w:color="auto"/>
              <w:right w:val="single" w:sz="8" w:space="0" w:color="auto"/>
            </w:tcBorders>
            <w:shd w:val="clear" w:color="auto" w:fill="auto"/>
            <w:vAlign w:val="center"/>
            <w:hideMark/>
          </w:tcPr>
          <w:p w14:paraId="6257EEF8" w14:textId="77777777" w:rsidR="00395593" w:rsidRPr="005C5CBD" w:rsidRDefault="00395593" w:rsidP="00E15FBB">
            <w:pPr>
              <w:spacing w:after="0" w:line="240" w:lineRule="auto"/>
              <w:jc w:val="center"/>
              <w:rPr>
                <w:rFonts w:ascii="Garamond" w:eastAsia="Times New Roman" w:hAnsi="Garamond" w:cs="Calibri"/>
                <w:b/>
                <w:color w:val="000000"/>
                <w:sz w:val="20"/>
                <w:szCs w:val="20"/>
              </w:rPr>
            </w:pPr>
            <w:r w:rsidRPr="005C5CBD">
              <w:rPr>
                <w:rFonts w:ascii="Garamond" w:eastAsia="Times New Roman" w:hAnsi="Garamond" w:cs="Calibri"/>
                <w:b/>
                <w:color w:val="000000"/>
                <w:sz w:val="20"/>
                <w:szCs w:val="20"/>
              </w:rPr>
              <w:t> </w:t>
            </w:r>
          </w:p>
        </w:tc>
        <w:tc>
          <w:tcPr>
            <w:tcW w:w="489" w:type="pct"/>
            <w:tcBorders>
              <w:top w:val="nil"/>
              <w:left w:val="nil"/>
              <w:bottom w:val="single" w:sz="4" w:space="0" w:color="auto"/>
              <w:right w:val="single" w:sz="4" w:space="0" w:color="auto"/>
            </w:tcBorders>
            <w:shd w:val="clear" w:color="auto" w:fill="auto"/>
            <w:noWrap/>
            <w:vAlign w:val="center"/>
            <w:hideMark/>
          </w:tcPr>
          <w:p w14:paraId="627795BB"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32" w:type="pct"/>
            <w:tcBorders>
              <w:top w:val="nil"/>
              <w:left w:val="nil"/>
              <w:bottom w:val="single" w:sz="4" w:space="0" w:color="auto"/>
              <w:right w:val="single" w:sz="8" w:space="0" w:color="auto"/>
            </w:tcBorders>
            <w:shd w:val="clear" w:color="auto" w:fill="auto"/>
            <w:noWrap/>
            <w:vAlign w:val="center"/>
            <w:hideMark/>
          </w:tcPr>
          <w:p w14:paraId="20B80785"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89" w:type="pct"/>
            <w:tcBorders>
              <w:top w:val="nil"/>
              <w:left w:val="single" w:sz="8" w:space="0" w:color="auto"/>
              <w:bottom w:val="single" w:sz="4" w:space="0" w:color="auto"/>
              <w:right w:val="single" w:sz="4" w:space="0" w:color="auto"/>
            </w:tcBorders>
            <w:shd w:val="clear" w:color="auto" w:fill="auto"/>
            <w:noWrap/>
            <w:vAlign w:val="center"/>
            <w:hideMark/>
          </w:tcPr>
          <w:p w14:paraId="4F0531F6"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32" w:type="pct"/>
            <w:tcBorders>
              <w:top w:val="nil"/>
              <w:left w:val="nil"/>
              <w:bottom w:val="single" w:sz="4" w:space="0" w:color="auto"/>
              <w:right w:val="single" w:sz="8" w:space="0" w:color="auto"/>
            </w:tcBorders>
            <w:shd w:val="clear" w:color="auto" w:fill="auto"/>
            <w:noWrap/>
            <w:vAlign w:val="center"/>
            <w:hideMark/>
          </w:tcPr>
          <w:p w14:paraId="155A907F"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89" w:type="pct"/>
            <w:tcBorders>
              <w:top w:val="nil"/>
              <w:left w:val="single" w:sz="8" w:space="0" w:color="auto"/>
              <w:bottom w:val="single" w:sz="4" w:space="0" w:color="auto"/>
              <w:right w:val="single" w:sz="4" w:space="0" w:color="auto"/>
            </w:tcBorders>
            <w:shd w:val="clear" w:color="auto" w:fill="auto"/>
            <w:noWrap/>
            <w:vAlign w:val="center"/>
            <w:hideMark/>
          </w:tcPr>
          <w:p w14:paraId="4E6621B7"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32" w:type="pct"/>
            <w:gridSpan w:val="2"/>
            <w:tcBorders>
              <w:top w:val="nil"/>
              <w:left w:val="nil"/>
              <w:bottom w:val="single" w:sz="4" w:space="0" w:color="auto"/>
              <w:right w:val="single" w:sz="8" w:space="0" w:color="auto"/>
            </w:tcBorders>
            <w:shd w:val="clear" w:color="auto" w:fill="auto"/>
            <w:noWrap/>
            <w:vAlign w:val="center"/>
            <w:hideMark/>
          </w:tcPr>
          <w:p w14:paraId="3F28518E"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89" w:type="pct"/>
            <w:tcBorders>
              <w:top w:val="nil"/>
              <w:left w:val="single" w:sz="8" w:space="0" w:color="auto"/>
              <w:bottom w:val="single" w:sz="4" w:space="0" w:color="auto"/>
              <w:right w:val="single" w:sz="4" w:space="0" w:color="auto"/>
            </w:tcBorders>
            <w:shd w:val="clear" w:color="auto" w:fill="auto"/>
            <w:noWrap/>
            <w:vAlign w:val="center"/>
            <w:hideMark/>
          </w:tcPr>
          <w:p w14:paraId="08CD99E5"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32" w:type="pct"/>
            <w:tcBorders>
              <w:top w:val="nil"/>
              <w:left w:val="nil"/>
              <w:bottom w:val="single" w:sz="4" w:space="0" w:color="auto"/>
              <w:right w:val="single" w:sz="8" w:space="0" w:color="auto"/>
            </w:tcBorders>
            <w:shd w:val="clear" w:color="auto" w:fill="auto"/>
            <w:noWrap/>
            <w:vAlign w:val="center"/>
            <w:hideMark/>
          </w:tcPr>
          <w:p w14:paraId="5295897B"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89" w:type="pct"/>
            <w:tcBorders>
              <w:top w:val="nil"/>
              <w:left w:val="single" w:sz="8" w:space="0" w:color="auto"/>
              <w:bottom w:val="single" w:sz="4" w:space="0" w:color="auto"/>
              <w:right w:val="single" w:sz="4" w:space="0" w:color="auto"/>
            </w:tcBorders>
            <w:shd w:val="clear" w:color="auto" w:fill="auto"/>
            <w:noWrap/>
            <w:vAlign w:val="center"/>
            <w:hideMark/>
          </w:tcPr>
          <w:p w14:paraId="4DC822BA"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33" w:type="pct"/>
            <w:tcBorders>
              <w:top w:val="nil"/>
              <w:left w:val="nil"/>
              <w:bottom w:val="single" w:sz="4" w:space="0" w:color="auto"/>
              <w:right w:val="single" w:sz="8" w:space="0" w:color="auto"/>
            </w:tcBorders>
            <w:shd w:val="clear" w:color="auto" w:fill="auto"/>
            <w:noWrap/>
            <w:vAlign w:val="center"/>
            <w:hideMark/>
          </w:tcPr>
          <w:p w14:paraId="11E91AC1"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r>
      <w:tr w:rsidR="00395593" w:rsidRPr="00AC0363" w14:paraId="39F6DFBA" w14:textId="77777777" w:rsidTr="00395593">
        <w:trPr>
          <w:trHeight w:val="315"/>
        </w:trPr>
        <w:tc>
          <w:tcPr>
            <w:tcW w:w="395" w:type="pct"/>
            <w:tcBorders>
              <w:top w:val="nil"/>
              <w:left w:val="single" w:sz="8" w:space="0" w:color="auto"/>
              <w:bottom w:val="single" w:sz="8" w:space="0" w:color="auto"/>
              <w:right w:val="single" w:sz="8" w:space="0" w:color="auto"/>
            </w:tcBorders>
            <w:shd w:val="clear" w:color="auto" w:fill="auto"/>
            <w:vAlign w:val="center"/>
            <w:hideMark/>
          </w:tcPr>
          <w:p w14:paraId="3874D89A" w14:textId="77777777" w:rsidR="00395593" w:rsidRPr="005C5CBD" w:rsidRDefault="00395593" w:rsidP="00E15FBB">
            <w:pPr>
              <w:spacing w:after="0" w:line="240" w:lineRule="auto"/>
              <w:jc w:val="center"/>
              <w:rPr>
                <w:rFonts w:ascii="Garamond" w:eastAsia="Times New Roman" w:hAnsi="Garamond" w:cs="Calibri"/>
                <w:b/>
                <w:color w:val="000000"/>
                <w:sz w:val="20"/>
                <w:szCs w:val="20"/>
              </w:rPr>
            </w:pPr>
            <w:r w:rsidRPr="005C5CBD">
              <w:rPr>
                <w:rFonts w:ascii="Garamond" w:eastAsia="Times New Roman" w:hAnsi="Garamond" w:cs="Calibri"/>
                <w:b/>
                <w:color w:val="000000"/>
                <w:sz w:val="20"/>
                <w:szCs w:val="20"/>
              </w:rPr>
              <w:t> </w:t>
            </w:r>
          </w:p>
        </w:tc>
        <w:tc>
          <w:tcPr>
            <w:tcW w:w="489" w:type="pct"/>
            <w:tcBorders>
              <w:top w:val="nil"/>
              <w:left w:val="nil"/>
              <w:bottom w:val="single" w:sz="8" w:space="0" w:color="auto"/>
              <w:right w:val="single" w:sz="4" w:space="0" w:color="auto"/>
            </w:tcBorders>
            <w:shd w:val="clear" w:color="auto" w:fill="auto"/>
            <w:noWrap/>
            <w:vAlign w:val="center"/>
            <w:hideMark/>
          </w:tcPr>
          <w:p w14:paraId="75A65885"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32" w:type="pct"/>
            <w:tcBorders>
              <w:top w:val="nil"/>
              <w:left w:val="nil"/>
              <w:bottom w:val="single" w:sz="8" w:space="0" w:color="auto"/>
              <w:right w:val="single" w:sz="8" w:space="0" w:color="auto"/>
            </w:tcBorders>
            <w:shd w:val="clear" w:color="auto" w:fill="auto"/>
            <w:noWrap/>
            <w:vAlign w:val="center"/>
            <w:hideMark/>
          </w:tcPr>
          <w:p w14:paraId="099ED896"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89" w:type="pct"/>
            <w:tcBorders>
              <w:top w:val="nil"/>
              <w:left w:val="single" w:sz="8" w:space="0" w:color="auto"/>
              <w:bottom w:val="single" w:sz="8" w:space="0" w:color="auto"/>
              <w:right w:val="single" w:sz="4" w:space="0" w:color="auto"/>
            </w:tcBorders>
            <w:shd w:val="clear" w:color="auto" w:fill="auto"/>
            <w:noWrap/>
            <w:vAlign w:val="center"/>
            <w:hideMark/>
          </w:tcPr>
          <w:p w14:paraId="2DE7A61F"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32" w:type="pct"/>
            <w:tcBorders>
              <w:top w:val="nil"/>
              <w:left w:val="nil"/>
              <w:bottom w:val="single" w:sz="8" w:space="0" w:color="auto"/>
              <w:right w:val="single" w:sz="8" w:space="0" w:color="auto"/>
            </w:tcBorders>
            <w:shd w:val="clear" w:color="auto" w:fill="auto"/>
            <w:noWrap/>
            <w:vAlign w:val="center"/>
            <w:hideMark/>
          </w:tcPr>
          <w:p w14:paraId="2ADCAC82"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89" w:type="pct"/>
            <w:tcBorders>
              <w:top w:val="nil"/>
              <w:left w:val="single" w:sz="8" w:space="0" w:color="auto"/>
              <w:bottom w:val="single" w:sz="8" w:space="0" w:color="auto"/>
              <w:right w:val="single" w:sz="4" w:space="0" w:color="auto"/>
            </w:tcBorders>
            <w:shd w:val="clear" w:color="auto" w:fill="auto"/>
            <w:noWrap/>
            <w:vAlign w:val="center"/>
            <w:hideMark/>
          </w:tcPr>
          <w:p w14:paraId="6ED2C85F"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32" w:type="pct"/>
            <w:gridSpan w:val="2"/>
            <w:tcBorders>
              <w:top w:val="nil"/>
              <w:left w:val="nil"/>
              <w:bottom w:val="single" w:sz="8" w:space="0" w:color="auto"/>
              <w:right w:val="single" w:sz="8" w:space="0" w:color="auto"/>
            </w:tcBorders>
            <w:shd w:val="clear" w:color="auto" w:fill="auto"/>
            <w:noWrap/>
            <w:vAlign w:val="center"/>
            <w:hideMark/>
          </w:tcPr>
          <w:p w14:paraId="275DD9DA"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89" w:type="pct"/>
            <w:tcBorders>
              <w:top w:val="nil"/>
              <w:left w:val="single" w:sz="8" w:space="0" w:color="auto"/>
              <w:bottom w:val="single" w:sz="8" w:space="0" w:color="auto"/>
              <w:right w:val="single" w:sz="4" w:space="0" w:color="auto"/>
            </w:tcBorders>
            <w:shd w:val="clear" w:color="auto" w:fill="auto"/>
            <w:noWrap/>
            <w:vAlign w:val="center"/>
            <w:hideMark/>
          </w:tcPr>
          <w:p w14:paraId="567B450E"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32" w:type="pct"/>
            <w:tcBorders>
              <w:top w:val="nil"/>
              <w:left w:val="nil"/>
              <w:bottom w:val="single" w:sz="8" w:space="0" w:color="auto"/>
              <w:right w:val="single" w:sz="8" w:space="0" w:color="auto"/>
            </w:tcBorders>
            <w:shd w:val="clear" w:color="auto" w:fill="auto"/>
            <w:noWrap/>
            <w:vAlign w:val="center"/>
            <w:hideMark/>
          </w:tcPr>
          <w:p w14:paraId="52150127"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89" w:type="pct"/>
            <w:tcBorders>
              <w:top w:val="nil"/>
              <w:left w:val="single" w:sz="8" w:space="0" w:color="auto"/>
              <w:bottom w:val="single" w:sz="8" w:space="0" w:color="auto"/>
              <w:right w:val="single" w:sz="4" w:space="0" w:color="auto"/>
            </w:tcBorders>
            <w:shd w:val="clear" w:color="auto" w:fill="auto"/>
            <w:noWrap/>
            <w:vAlign w:val="center"/>
            <w:hideMark/>
          </w:tcPr>
          <w:p w14:paraId="0ADA118F"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c>
          <w:tcPr>
            <w:tcW w:w="433" w:type="pct"/>
            <w:tcBorders>
              <w:top w:val="nil"/>
              <w:left w:val="nil"/>
              <w:bottom w:val="single" w:sz="8" w:space="0" w:color="auto"/>
              <w:right w:val="single" w:sz="8" w:space="0" w:color="auto"/>
            </w:tcBorders>
            <w:shd w:val="clear" w:color="auto" w:fill="auto"/>
            <w:noWrap/>
            <w:vAlign w:val="center"/>
            <w:hideMark/>
          </w:tcPr>
          <w:p w14:paraId="6AE04D00" w14:textId="77777777" w:rsidR="00395593" w:rsidRPr="005C5CBD" w:rsidRDefault="00395593" w:rsidP="00E15FBB">
            <w:pPr>
              <w:spacing w:after="0" w:line="240" w:lineRule="auto"/>
              <w:jc w:val="center"/>
              <w:rPr>
                <w:rFonts w:ascii="Garamond" w:eastAsia="Times New Roman" w:hAnsi="Garamond" w:cs="Calibri"/>
                <w:color w:val="000000"/>
                <w:sz w:val="20"/>
                <w:szCs w:val="20"/>
              </w:rPr>
            </w:pPr>
            <w:r w:rsidRPr="005C5CBD">
              <w:rPr>
                <w:rFonts w:ascii="Garamond" w:eastAsia="Times New Roman" w:hAnsi="Garamond" w:cs="Calibri"/>
                <w:color w:val="000000"/>
                <w:sz w:val="20"/>
                <w:szCs w:val="20"/>
              </w:rPr>
              <w:t> </w:t>
            </w:r>
          </w:p>
        </w:tc>
      </w:tr>
    </w:tbl>
    <w:p w14:paraId="4EF1BD9C"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r w:rsidRPr="005C5CBD">
        <w:rPr>
          <w:rFonts w:ascii="Garamond" w:eastAsia="Times New Roman" w:hAnsi="Garamond" w:cs="Calibri"/>
          <w:sz w:val="24"/>
          <w:szCs w:val="24"/>
          <w:lang w:eastAsia="pt-BR"/>
        </w:rPr>
        <w:br w:type="page"/>
      </w:r>
      <w:r w:rsidRPr="005C5CBD">
        <w:rPr>
          <w:rFonts w:ascii="Garamond" w:eastAsia="Times New Roman" w:hAnsi="Garamond" w:cs="Calibri"/>
          <w:b/>
          <w:sz w:val="24"/>
          <w:szCs w:val="24"/>
          <w:lang w:eastAsia="pt-BR"/>
        </w:rPr>
        <w:t>APÊNDICE XXI</w:t>
      </w:r>
    </w:p>
    <w:p w14:paraId="2B03D7C0"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t>IMPORTAÇÕES DO PRODUTO OBJETO (P5)</w:t>
      </w:r>
    </w:p>
    <w:p w14:paraId="4D789E91" w14:textId="77777777" w:rsidR="00395593" w:rsidRPr="005C5CBD" w:rsidRDefault="00395593" w:rsidP="00E15FBB">
      <w:pPr>
        <w:spacing w:after="0" w:line="240" w:lineRule="auto"/>
        <w:rPr>
          <w:rFonts w:ascii="Garamond" w:eastAsia="Times New Roman" w:hAnsi="Garamond" w:cs="Calibri"/>
          <w:sz w:val="24"/>
          <w:szCs w:val="24"/>
          <w:lang w:eastAsia="pt-BR"/>
        </w:rPr>
      </w:pPr>
    </w:p>
    <w:tbl>
      <w:tblPr>
        <w:tblW w:w="5000" w:type="pct"/>
        <w:jc w:val="center"/>
        <w:tblLook w:val="04A0" w:firstRow="1" w:lastRow="0" w:firstColumn="1" w:lastColumn="0" w:noHBand="0" w:noVBand="1"/>
      </w:tblPr>
      <w:tblGrid>
        <w:gridCol w:w="1381"/>
        <w:gridCol w:w="1279"/>
        <w:gridCol w:w="1104"/>
        <w:gridCol w:w="1551"/>
        <w:gridCol w:w="1253"/>
        <w:gridCol w:w="1377"/>
        <w:gridCol w:w="1367"/>
        <w:gridCol w:w="1302"/>
        <w:gridCol w:w="990"/>
        <w:gridCol w:w="1390"/>
      </w:tblGrid>
      <w:tr w:rsidR="00395593" w:rsidRPr="00AC0363" w14:paraId="57694384" w14:textId="77777777" w:rsidTr="00395593">
        <w:trPr>
          <w:trHeight w:val="315"/>
          <w:jc w:val="center"/>
        </w:trPr>
        <w:tc>
          <w:tcPr>
            <w:tcW w:w="5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7F4E6"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01</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5A2AD553"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02</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14:paraId="3846ACB7"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03</w:t>
            </w:r>
          </w:p>
        </w:tc>
        <w:tc>
          <w:tcPr>
            <w:tcW w:w="597" w:type="pct"/>
            <w:tcBorders>
              <w:top w:val="single" w:sz="4" w:space="0" w:color="auto"/>
              <w:left w:val="nil"/>
              <w:bottom w:val="single" w:sz="4" w:space="0" w:color="auto"/>
              <w:right w:val="single" w:sz="4" w:space="0" w:color="auto"/>
            </w:tcBorders>
            <w:shd w:val="clear" w:color="auto" w:fill="auto"/>
            <w:noWrap/>
            <w:vAlign w:val="bottom"/>
            <w:hideMark/>
          </w:tcPr>
          <w:p w14:paraId="0A5CC0F9"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04</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14:paraId="2363D7CA"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05</w:t>
            </w:r>
          </w:p>
        </w:tc>
        <w:tc>
          <w:tcPr>
            <w:tcW w:w="530" w:type="pct"/>
            <w:tcBorders>
              <w:top w:val="single" w:sz="4" w:space="0" w:color="auto"/>
              <w:left w:val="nil"/>
              <w:bottom w:val="single" w:sz="4" w:space="0" w:color="auto"/>
              <w:right w:val="single" w:sz="4" w:space="0" w:color="auto"/>
            </w:tcBorders>
            <w:shd w:val="clear" w:color="auto" w:fill="auto"/>
            <w:noWrap/>
            <w:vAlign w:val="bottom"/>
            <w:hideMark/>
          </w:tcPr>
          <w:p w14:paraId="485A3739"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06</w:t>
            </w:r>
          </w:p>
        </w:tc>
        <w:tc>
          <w:tcPr>
            <w:tcW w:w="526" w:type="pct"/>
            <w:tcBorders>
              <w:top w:val="single" w:sz="4" w:space="0" w:color="auto"/>
              <w:left w:val="nil"/>
              <w:bottom w:val="single" w:sz="4" w:space="0" w:color="auto"/>
              <w:right w:val="single" w:sz="4" w:space="0" w:color="auto"/>
            </w:tcBorders>
            <w:shd w:val="clear" w:color="auto" w:fill="auto"/>
            <w:noWrap/>
            <w:vAlign w:val="bottom"/>
            <w:hideMark/>
          </w:tcPr>
          <w:p w14:paraId="4805738D"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07</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14:paraId="142ECD01"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08</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14:paraId="627B5E9A"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09</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31E91F79"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10</w:t>
            </w:r>
          </w:p>
        </w:tc>
      </w:tr>
      <w:tr w:rsidR="00395593" w:rsidRPr="00AC0363" w14:paraId="29CC0DD3" w14:textId="77777777" w:rsidTr="00395593">
        <w:trPr>
          <w:trHeight w:val="630"/>
          <w:jc w:val="center"/>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7C5001A1"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Declaração de Importação (DI)</w:t>
            </w:r>
          </w:p>
        </w:tc>
        <w:tc>
          <w:tcPr>
            <w:tcW w:w="492" w:type="pct"/>
            <w:tcBorders>
              <w:top w:val="nil"/>
              <w:left w:val="nil"/>
              <w:bottom w:val="single" w:sz="4" w:space="0" w:color="auto"/>
              <w:right w:val="single" w:sz="4" w:space="0" w:color="auto"/>
            </w:tcBorders>
            <w:shd w:val="clear" w:color="auto" w:fill="auto"/>
            <w:vAlign w:val="center"/>
            <w:hideMark/>
          </w:tcPr>
          <w:p w14:paraId="245B8629"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Data do Embarque</w:t>
            </w:r>
          </w:p>
        </w:tc>
        <w:tc>
          <w:tcPr>
            <w:tcW w:w="425" w:type="pct"/>
            <w:tcBorders>
              <w:top w:val="nil"/>
              <w:left w:val="nil"/>
              <w:bottom w:val="single" w:sz="4" w:space="0" w:color="auto"/>
              <w:right w:val="single" w:sz="4" w:space="0" w:color="auto"/>
            </w:tcBorders>
            <w:shd w:val="clear" w:color="auto" w:fill="auto"/>
            <w:vAlign w:val="center"/>
            <w:hideMark/>
          </w:tcPr>
          <w:p w14:paraId="6636925B"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Data de Chegada no Brasil</w:t>
            </w:r>
          </w:p>
        </w:tc>
        <w:tc>
          <w:tcPr>
            <w:tcW w:w="597" w:type="pct"/>
            <w:tcBorders>
              <w:top w:val="nil"/>
              <w:left w:val="nil"/>
              <w:bottom w:val="single" w:sz="4" w:space="0" w:color="auto"/>
              <w:right w:val="single" w:sz="4" w:space="0" w:color="auto"/>
            </w:tcBorders>
            <w:shd w:val="clear" w:color="auto" w:fill="auto"/>
            <w:vAlign w:val="center"/>
            <w:hideMark/>
          </w:tcPr>
          <w:p w14:paraId="5699A77E"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 xml:space="preserve">Data do </w:t>
            </w:r>
            <w:r w:rsidRPr="005C5CBD">
              <w:rPr>
                <w:rFonts w:ascii="Garamond" w:eastAsia="Times New Roman" w:hAnsi="Garamond" w:cs="Calibri"/>
                <w:b/>
              </w:rPr>
              <w:br/>
              <w:t>Desembaraço</w:t>
            </w:r>
          </w:p>
        </w:tc>
        <w:tc>
          <w:tcPr>
            <w:tcW w:w="482" w:type="pct"/>
            <w:tcBorders>
              <w:top w:val="nil"/>
              <w:left w:val="nil"/>
              <w:bottom w:val="single" w:sz="4" w:space="0" w:color="auto"/>
              <w:right w:val="single" w:sz="4" w:space="0" w:color="auto"/>
            </w:tcBorders>
            <w:shd w:val="clear" w:color="auto" w:fill="auto"/>
            <w:vAlign w:val="center"/>
            <w:hideMark/>
          </w:tcPr>
          <w:p w14:paraId="5FBB5EF8"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Fatura Comercial (</w:t>
            </w:r>
            <w:r w:rsidRPr="005C5CBD">
              <w:rPr>
                <w:rFonts w:ascii="Garamond" w:eastAsia="Times New Roman" w:hAnsi="Garamond" w:cs="Calibri"/>
                <w:b/>
                <w:i/>
              </w:rPr>
              <w:t>invoice</w:t>
            </w:r>
            <w:r w:rsidRPr="005C5CBD">
              <w:rPr>
                <w:rFonts w:ascii="Garamond" w:eastAsia="Times New Roman" w:hAnsi="Garamond" w:cs="Calibri"/>
                <w:b/>
              </w:rPr>
              <w:t>)</w:t>
            </w:r>
          </w:p>
        </w:tc>
        <w:tc>
          <w:tcPr>
            <w:tcW w:w="530" w:type="pct"/>
            <w:tcBorders>
              <w:top w:val="nil"/>
              <w:left w:val="nil"/>
              <w:bottom w:val="single" w:sz="4" w:space="0" w:color="auto"/>
              <w:right w:val="single" w:sz="4" w:space="0" w:color="auto"/>
            </w:tcBorders>
            <w:shd w:val="clear" w:color="auto" w:fill="auto"/>
            <w:vAlign w:val="center"/>
            <w:hideMark/>
          </w:tcPr>
          <w:p w14:paraId="323733E6"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Exportador</w:t>
            </w:r>
          </w:p>
        </w:tc>
        <w:tc>
          <w:tcPr>
            <w:tcW w:w="526" w:type="pct"/>
            <w:tcBorders>
              <w:top w:val="nil"/>
              <w:left w:val="nil"/>
              <w:bottom w:val="single" w:sz="4" w:space="0" w:color="auto"/>
              <w:right w:val="single" w:sz="4" w:space="0" w:color="auto"/>
            </w:tcBorders>
            <w:shd w:val="clear" w:color="auto" w:fill="auto"/>
            <w:vAlign w:val="center"/>
            <w:hideMark/>
          </w:tcPr>
          <w:p w14:paraId="0ACED64D"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País de Exportação</w:t>
            </w:r>
          </w:p>
        </w:tc>
        <w:tc>
          <w:tcPr>
            <w:tcW w:w="501" w:type="pct"/>
            <w:tcBorders>
              <w:top w:val="nil"/>
              <w:left w:val="nil"/>
              <w:bottom w:val="single" w:sz="4" w:space="0" w:color="auto"/>
              <w:right w:val="single" w:sz="4" w:space="0" w:color="auto"/>
            </w:tcBorders>
            <w:shd w:val="clear" w:color="auto" w:fill="auto"/>
            <w:vAlign w:val="center"/>
            <w:hideMark/>
          </w:tcPr>
          <w:p w14:paraId="3BFFEFFC"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Fabricante</w:t>
            </w:r>
          </w:p>
        </w:tc>
        <w:tc>
          <w:tcPr>
            <w:tcW w:w="381" w:type="pct"/>
            <w:tcBorders>
              <w:top w:val="nil"/>
              <w:left w:val="nil"/>
              <w:bottom w:val="single" w:sz="4" w:space="0" w:color="auto"/>
              <w:right w:val="single" w:sz="4" w:space="0" w:color="auto"/>
            </w:tcBorders>
            <w:shd w:val="clear" w:color="auto" w:fill="auto"/>
            <w:vAlign w:val="center"/>
            <w:hideMark/>
          </w:tcPr>
          <w:p w14:paraId="64A6703C"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País de Origem</w:t>
            </w:r>
          </w:p>
        </w:tc>
        <w:tc>
          <w:tcPr>
            <w:tcW w:w="535" w:type="pct"/>
            <w:tcBorders>
              <w:top w:val="nil"/>
              <w:left w:val="nil"/>
              <w:bottom w:val="single" w:sz="4" w:space="0" w:color="auto"/>
              <w:right w:val="single" w:sz="4" w:space="0" w:color="auto"/>
            </w:tcBorders>
            <w:shd w:val="clear" w:color="auto" w:fill="auto"/>
            <w:vAlign w:val="center"/>
            <w:hideMark/>
          </w:tcPr>
          <w:p w14:paraId="602C97E5"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 xml:space="preserve">Quantidade </w:t>
            </w:r>
            <w:r w:rsidRPr="005C5CBD">
              <w:rPr>
                <w:rFonts w:ascii="Garamond" w:eastAsia="Times New Roman" w:hAnsi="Garamond" w:cs="Calibri"/>
                <w:b/>
                <w:color w:val="FF0000"/>
              </w:rPr>
              <w:t>(unidade)</w:t>
            </w:r>
          </w:p>
        </w:tc>
      </w:tr>
    </w:tbl>
    <w:p w14:paraId="143B2522" w14:textId="77777777" w:rsidR="00395593" w:rsidRPr="005C5CBD" w:rsidRDefault="00395593" w:rsidP="00E15FBB">
      <w:pPr>
        <w:spacing w:after="0" w:line="240" w:lineRule="auto"/>
        <w:rPr>
          <w:rFonts w:ascii="Garamond" w:eastAsia="Times New Roman" w:hAnsi="Garamond" w:cs="Calibri"/>
          <w:sz w:val="24"/>
          <w:szCs w:val="24"/>
          <w:lang w:eastAsia="pt-BR"/>
        </w:rPr>
      </w:pPr>
    </w:p>
    <w:tbl>
      <w:tblPr>
        <w:tblW w:w="5000" w:type="pct"/>
        <w:tblLook w:val="04A0" w:firstRow="1" w:lastRow="0" w:firstColumn="1" w:lastColumn="0" w:noHBand="0" w:noVBand="1"/>
      </w:tblPr>
      <w:tblGrid>
        <w:gridCol w:w="1798"/>
        <w:gridCol w:w="807"/>
        <w:gridCol w:w="970"/>
        <w:gridCol w:w="970"/>
        <w:gridCol w:w="1438"/>
        <w:gridCol w:w="1438"/>
        <w:gridCol w:w="1053"/>
        <w:gridCol w:w="1539"/>
        <w:gridCol w:w="1747"/>
        <w:gridCol w:w="1234"/>
      </w:tblGrid>
      <w:tr w:rsidR="00395593" w:rsidRPr="00AC0363" w14:paraId="28D10E1F" w14:textId="77777777" w:rsidTr="00395593">
        <w:trPr>
          <w:trHeight w:val="315"/>
        </w:trPr>
        <w:tc>
          <w:tcPr>
            <w:tcW w:w="6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C35C9"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11</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14:paraId="3B782ED8"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12</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14:paraId="0CA9F19C"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13</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6EA698AE"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14</w:t>
            </w:r>
          </w:p>
        </w:tc>
        <w:tc>
          <w:tcPr>
            <w:tcW w:w="528" w:type="pct"/>
            <w:tcBorders>
              <w:top w:val="single" w:sz="4" w:space="0" w:color="auto"/>
              <w:left w:val="nil"/>
              <w:bottom w:val="single" w:sz="4" w:space="0" w:color="auto"/>
              <w:right w:val="single" w:sz="4" w:space="0" w:color="auto"/>
            </w:tcBorders>
            <w:shd w:val="clear" w:color="auto" w:fill="auto"/>
            <w:noWrap/>
            <w:vAlign w:val="bottom"/>
            <w:hideMark/>
          </w:tcPr>
          <w:p w14:paraId="083C2F18"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15</w:t>
            </w:r>
          </w:p>
        </w:tc>
        <w:tc>
          <w:tcPr>
            <w:tcW w:w="528" w:type="pct"/>
            <w:tcBorders>
              <w:top w:val="single" w:sz="4" w:space="0" w:color="auto"/>
              <w:left w:val="nil"/>
              <w:bottom w:val="single" w:sz="4" w:space="0" w:color="auto"/>
              <w:right w:val="single" w:sz="4" w:space="0" w:color="auto"/>
            </w:tcBorders>
            <w:shd w:val="clear" w:color="auto" w:fill="auto"/>
            <w:noWrap/>
            <w:vAlign w:val="bottom"/>
            <w:hideMark/>
          </w:tcPr>
          <w:p w14:paraId="07E76425"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16</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14:paraId="52F98A4D"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17</w:t>
            </w:r>
          </w:p>
        </w:tc>
        <w:tc>
          <w:tcPr>
            <w:tcW w:w="612" w:type="pct"/>
            <w:tcBorders>
              <w:top w:val="single" w:sz="4" w:space="0" w:color="auto"/>
              <w:left w:val="nil"/>
              <w:bottom w:val="single" w:sz="4" w:space="0" w:color="auto"/>
              <w:right w:val="single" w:sz="4" w:space="0" w:color="auto"/>
            </w:tcBorders>
            <w:shd w:val="clear" w:color="auto" w:fill="auto"/>
            <w:noWrap/>
            <w:vAlign w:val="bottom"/>
            <w:hideMark/>
          </w:tcPr>
          <w:p w14:paraId="4A3B81EA"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18</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67F3D4F5"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19</w:t>
            </w:r>
          </w:p>
        </w:tc>
        <w:tc>
          <w:tcPr>
            <w:tcW w:w="453" w:type="pct"/>
            <w:tcBorders>
              <w:top w:val="single" w:sz="4" w:space="0" w:color="auto"/>
              <w:left w:val="nil"/>
              <w:bottom w:val="single" w:sz="4" w:space="0" w:color="auto"/>
              <w:right w:val="single" w:sz="4" w:space="0" w:color="auto"/>
            </w:tcBorders>
            <w:shd w:val="clear" w:color="auto" w:fill="auto"/>
            <w:noWrap/>
            <w:vAlign w:val="bottom"/>
            <w:hideMark/>
          </w:tcPr>
          <w:p w14:paraId="103DAAE0"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20</w:t>
            </w:r>
          </w:p>
        </w:tc>
      </w:tr>
      <w:tr w:rsidR="00395593" w:rsidRPr="00AC0363" w14:paraId="5C538A6E" w14:textId="77777777" w:rsidTr="00395593">
        <w:trPr>
          <w:trHeight w:val="630"/>
        </w:trPr>
        <w:tc>
          <w:tcPr>
            <w:tcW w:w="671" w:type="pct"/>
            <w:tcBorders>
              <w:top w:val="nil"/>
              <w:left w:val="single" w:sz="4" w:space="0" w:color="auto"/>
              <w:bottom w:val="single" w:sz="4" w:space="0" w:color="auto"/>
              <w:right w:val="single" w:sz="4" w:space="0" w:color="auto"/>
            </w:tcBorders>
            <w:shd w:val="clear" w:color="auto" w:fill="auto"/>
            <w:vAlign w:val="center"/>
            <w:hideMark/>
          </w:tcPr>
          <w:p w14:paraId="77177E52"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Quantidade                                          (unidade de comercialização)</w:t>
            </w:r>
          </w:p>
        </w:tc>
        <w:tc>
          <w:tcPr>
            <w:tcW w:w="398" w:type="pct"/>
            <w:tcBorders>
              <w:top w:val="nil"/>
              <w:left w:val="nil"/>
              <w:bottom w:val="single" w:sz="4" w:space="0" w:color="auto"/>
              <w:right w:val="single" w:sz="4" w:space="0" w:color="auto"/>
            </w:tcBorders>
            <w:shd w:val="clear" w:color="auto" w:fill="auto"/>
            <w:vAlign w:val="center"/>
            <w:hideMark/>
          </w:tcPr>
          <w:p w14:paraId="5B55FF6E"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Valor Total CIF [DI] (US$)</w:t>
            </w:r>
          </w:p>
        </w:tc>
        <w:tc>
          <w:tcPr>
            <w:tcW w:w="398" w:type="pct"/>
            <w:tcBorders>
              <w:top w:val="nil"/>
              <w:left w:val="nil"/>
              <w:bottom w:val="single" w:sz="4" w:space="0" w:color="auto"/>
              <w:right w:val="single" w:sz="4" w:space="0" w:color="auto"/>
            </w:tcBorders>
            <w:shd w:val="clear" w:color="auto" w:fill="auto"/>
            <w:vAlign w:val="center"/>
            <w:hideMark/>
          </w:tcPr>
          <w:p w14:paraId="0D3511AE"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Nota Fiscal de Entrada</w:t>
            </w:r>
          </w:p>
        </w:tc>
        <w:tc>
          <w:tcPr>
            <w:tcW w:w="399" w:type="pct"/>
            <w:tcBorders>
              <w:top w:val="nil"/>
              <w:left w:val="nil"/>
              <w:bottom w:val="single" w:sz="4" w:space="0" w:color="auto"/>
              <w:right w:val="single" w:sz="4" w:space="0" w:color="auto"/>
            </w:tcBorders>
            <w:shd w:val="clear" w:color="auto" w:fill="auto"/>
            <w:vAlign w:val="center"/>
            <w:hideMark/>
          </w:tcPr>
          <w:p w14:paraId="47F3F735"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Data da Nota Fiscal de Entrada</w:t>
            </w:r>
          </w:p>
        </w:tc>
        <w:tc>
          <w:tcPr>
            <w:tcW w:w="528" w:type="pct"/>
            <w:tcBorders>
              <w:top w:val="nil"/>
              <w:left w:val="nil"/>
              <w:bottom w:val="single" w:sz="4" w:space="0" w:color="auto"/>
              <w:right w:val="single" w:sz="4" w:space="0" w:color="auto"/>
            </w:tcBorders>
            <w:shd w:val="clear" w:color="auto" w:fill="auto"/>
            <w:vAlign w:val="center"/>
            <w:hideMark/>
          </w:tcPr>
          <w:p w14:paraId="755F9287"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Frete internacional</w:t>
            </w:r>
          </w:p>
        </w:tc>
        <w:tc>
          <w:tcPr>
            <w:tcW w:w="528" w:type="pct"/>
            <w:tcBorders>
              <w:top w:val="nil"/>
              <w:left w:val="nil"/>
              <w:bottom w:val="single" w:sz="4" w:space="0" w:color="auto"/>
              <w:right w:val="single" w:sz="4" w:space="0" w:color="auto"/>
            </w:tcBorders>
            <w:shd w:val="clear" w:color="auto" w:fill="auto"/>
            <w:vAlign w:val="center"/>
            <w:hideMark/>
          </w:tcPr>
          <w:p w14:paraId="6E8542EC"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Seguro internacional</w:t>
            </w:r>
          </w:p>
        </w:tc>
        <w:tc>
          <w:tcPr>
            <w:tcW w:w="391" w:type="pct"/>
            <w:tcBorders>
              <w:top w:val="nil"/>
              <w:left w:val="nil"/>
              <w:bottom w:val="single" w:sz="4" w:space="0" w:color="auto"/>
              <w:right w:val="single" w:sz="4" w:space="0" w:color="auto"/>
            </w:tcBorders>
            <w:shd w:val="clear" w:color="auto" w:fill="auto"/>
            <w:vAlign w:val="center"/>
            <w:hideMark/>
          </w:tcPr>
          <w:p w14:paraId="09653792"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AFRMM</w:t>
            </w:r>
          </w:p>
        </w:tc>
        <w:tc>
          <w:tcPr>
            <w:tcW w:w="612" w:type="pct"/>
            <w:tcBorders>
              <w:top w:val="nil"/>
              <w:left w:val="nil"/>
              <w:bottom w:val="single" w:sz="4" w:space="0" w:color="auto"/>
              <w:right w:val="single" w:sz="4" w:space="0" w:color="auto"/>
            </w:tcBorders>
            <w:shd w:val="clear" w:color="auto" w:fill="auto"/>
            <w:vAlign w:val="center"/>
            <w:hideMark/>
          </w:tcPr>
          <w:p w14:paraId="0B119BCE"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Taxa de liberação de conhecimento de embarque</w:t>
            </w:r>
          </w:p>
        </w:tc>
        <w:tc>
          <w:tcPr>
            <w:tcW w:w="621" w:type="pct"/>
            <w:tcBorders>
              <w:top w:val="nil"/>
              <w:left w:val="nil"/>
              <w:bottom w:val="single" w:sz="4" w:space="0" w:color="auto"/>
              <w:right w:val="single" w:sz="4" w:space="0" w:color="auto"/>
            </w:tcBorders>
            <w:shd w:val="clear" w:color="auto" w:fill="auto"/>
            <w:vAlign w:val="center"/>
            <w:hideMark/>
          </w:tcPr>
          <w:p w14:paraId="3D92F76A"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Taxa de desconsolidação</w:t>
            </w:r>
          </w:p>
        </w:tc>
        <w:tc>
          <w:tcPr>
            <w:tcW w:w="453" w:type="pct"/>
            <w:tcBorders>
              <w:top w:val="nil"/>
              <w:left w:val="nil"/>
              <w:bottom w:val="single" w:sz="4" w:space="0" w:color="auto"/>
              <w:right w:val="single" w:sz="4" w:space="0" w:color="auto"/>
            </w:tcBorders>
            <w:shd w:val="clear" w:color="auto" w:fill="auto"/>
            <w:vAlign w:val="center"/>
            <w:hideMark/>
          </w:tcPr>
          <w:p w14:paraId="4A2A8595"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Capatazias / THC</w:t>
            </w:r>
          </w:p>
        </w:tc>
      </w:tr>
    </w:tbl>
    <w:p w14:paraId="0BF28DFB" w14:textId="77777777" w:rsidR="00395593" w:rsidRPr="005C5CBD" w:rsidRDefault="00395593" w:rsidP="00E15FBB">
      <w:pPr>
        <w:spacing w:after="0" w:line="240" w:lineRule="auto"/>
        <w:rPr>
          <w:rFonts w:ascii="Garamond" w:eastAsia="Times New Roman" w:hAnsi="Garamond" w:cs="Calibri"/>
          <w:sz w:val="24"/>
          <w:szCs w:val="24"/>
          <w:lang w:eastAsia="pt-BR"/>
        </w:rPr>
      </w:pPr>
    </w:p>
    <w:tbl>
      <w:tblPr>
        <w:tblW w:w="5000" w:type="pct"/>
        <w:tblLook w:val="04A0" w:firstRow="1" w:lastRow="0" w:firstColumn="1" w:lastColumn="0" w:noHBand="0" w:noVBand="1"/>
      </w:tblPr>
      <w:tblGrid>
        <w:gridCol w:w="1392"/>
        <w:gridCol w:w="1377"/>
        <w:gridCol w:w="1338"/>
        <w:gridCol w:w="1338"/>
        <w:gridCol w:w="1376"/>
        <w:gridCol w:w="1122"/>
        <w:gridCol w:w="1216"/>
        <w:gridCol w:w="1216"/>
        <w:gridCol w:w="1387"/>
        <w:gridCol w:w="1232"/>
      </w:tblGrid>
      <w:tr w:rsidR="00395593" w:rsidRPr="00AC0363" w14:paraId="04075690" w14:textId="77777777" w:rsidTr="00395593">
        <w:trPr>
          <w:trHeight w:val="315"/>
        </w:trPr>
        <w:tc>
          <w:tcPr>
            <w:tcW w:w="5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D9EDC"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21</w:t>
            </w:r>
          </w:p>
        </w:tc>
        <w:tc>
          <w:tcPr>
            <w:tcW w:w="534" w:type="pct"/>
            <w:tcBorders>
              <w:top w:val="single" w:sz="4" w:space="0" w:color="auto"/>
              <w:left w:val="nil"/>
              <w:bottom w:val="single" w:sz="4" w:space="0" w:color="auto"/>
              <w:right w:val="single" w:sz="4" w:space="0" w:color="auto"/>
            </w:tcBorders>
            <w:shd w:val="clear" w:color="auto" w:fill="auto"/>
            <w:noWrap/>
            <w:vAlign w:val="bottom"/>
            <w:hideMark/>
          </w:tcPr>
          <w:p w14:paraId="1E046578"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22</w:t>
            </w:r>
          </w:p>
        </w:tc>
        <w:tc>
          <w:tcPr>
            <w:tcW w:w="513" w:type="pct"/>
            <w:tcBorders>
              <w:top w:val="single" w:sz="4" w:space="0" w:color="auto"/>
              <w:left w:val="nil"/>
              <w:bottom w:val="single" w:sz="4" w:space="0" w:color="auto"/>
              <w:right w:val="single" w:sz="4" w:space="0" w:color="auto"/>
            </w:tcBorders>
            <w:shd w:val="clear" w:color="auto" w:fill="auto"/>
            <w:noWrap/>
            <w:vAlign w:val="bottom"/>
            <w:hideMark/>
          </w:tcPr>
          <w:p w14:paraId="29B576B3"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23</w:t>
            </w:r>
          </w:p>
        </w:tc>
        <w:tc>
          <w:tcPr>
            <w:tcW w:w="513" w:type="pct"/>
            <w:tcBorders>
              <w:top w:val="single" w:sz="4" w:space="0" w:color="auto"/>
              <w:left w:val="nil"/>
              <w:bottom w:val="single" w:sz="4" w:space="0" w:color="auto"/>
              <w:right w:val="single" w:sz="4" w:space="0" w:color="auto"/>
            </w:tcBorders>
            <w:shd w:val="clear" w:color="auto" w:fill="auto"/>
            <w:noWrap/>
            <w:vAlign w:val="bottom"/>
            <w:hideMark/>
          </w:tcPr>
          <w:p w14:paraId="31977D28"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24</w:t>
            </w:r>
          </w:p>
        </w:tc>
        <w:tc>
          <w:tcPr>
            <w:tcW w:w="534" w:type="pct"/>
            <w:tcBorders>
              <w:top w:val="single" w:sz="4" w:space="0" w:color="auto"/>
              <w:left w:val="nil"/>
              <w:bottom w:val="single" w:sz="4" w:space="0" w:color="auto"/>
              <w:right w:val="single" w:sz="4" w:space="0" w:color="auto"/>
            </w:tcBorders>
            <w:shd w:val="clear" w:color="auto" w:fill="auto"/>
            <w:noWrap/>
            <w:vAlign w:val="bottom"/>
            <w:hideMark/>
          </w:tcPr>
          <w:p w14:paraId="1BA92FFD"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25</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14:paraId="44A2C930"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26</w:t>
            </w:r>
          </w:p>
        </w:tc>
        <w:tc>
          <w:tcPr>
            <w:tcW w:w="465" w:type="pct"/>
            <w:tcBorders>
              <w:top w:val="single" w:sz="4" w:space="0" w:color="auto"/>
              <w:left w:val="nil"/>
              <w:bottom w:val="single" w:sz="4" w:space="0" w:color="auto"/>
              <w:right w:val="single" w:sz="4" w:space="0" w:color="auto"/>
            </w:tcBorders>
            <w:shd w:val="clear" w:color="auto" w:fill="auto"/>
            <w:noWrap/>
            <w:vAlign w:val="bottom"/>
            <w:hideMark/>
          </w:tcPr>
          <w:p w14:paraId="340D0CD5"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27</w:t>
            </w:r>
          </w:p>
        </w:tc>
        <w:tc>
          <w:tcPr>
            <w:tcW w:w="465" w:type="pct"/>
            <w:tcBorders>
              <w:top w:val="single" w:sz="4" w:space="0" w:color="auto"/>
              <w:left w:val="nil"/>
              <w:bottom w:val="single" w:sz="4" w:space="0" w:color="auto"/>
              <w:right w:val="single" w:sz="4" w:space="0" w:color="auto"/>
            </w:tcBorders>
            <w:shd w:val="clear" w:color="auto" w:fill="auto"/>
            <w:noWrap/>
            <w:vAlign w:val="bottom"/>
            <w:hideMark/>
          </w:tcPr>
          <w:p w14:paraId="73B20B69"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28</w:t>
            </w:r>
          </w:p>
        </w:tc>
        <w:tc>
          <w:tcPr>
            <w:tcW w:w="526" w:type="pct"/>
            <w:tcBorders>
              <w:top w:val="single" w:sz="4" w:space="0" w:color="auto"/>
              <w:left w:val="nil"/>
              <w:bottom w:val="single" w:sz="4" w:space="0" w:color="auto"/>
              <w:right w:val="single" w:sz="4" w:space="0" w:color="auto"/>
            </w:tcBorders>
            <w:shd w:val="clear" w:color="auto" w:fill="auto"/>
            <w:noWrap/>
            <w:vAlign w:val="bottom"/>
            <w:hideMark/>
          </w:tcPr>
          <w:p w14:paraId="106CB8A7"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29</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35F49BBC" w14:textId="77777777" w:rsidR="00395593" w:rsidRPr="005C5CBD" w:rsidRDefault="00395593"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30</w:t>
            </w:r>
          </w:p>
        </w:tc>
      </w:tr>
      <w:tr w:rsidR="00395593" w:rsidRPr="00AC0363" w14:paraId="33515370" w14:textId="77777777" w:rsidTr="00395593">
        <w:trPr>
          <w:trHeight w:val="630"/>
        </w:trPr>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908EEE"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Taxa de movimentação de container</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81847"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Armazenagem (Porto ou Aeroporto)</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83123"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Transporte interno (Porto ou Aeroporto p/local de desembaraço)</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61E148"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Desova de container (antes do desembaraço)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C71A2"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Armazenagem (local de desembaraçao</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00B99"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Taxa siscomex e Taxa de licença de importação</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9CBD1"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Honorários despachante aduaneiro</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CE598"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Sindicato de despachante aduaneiro (SDA)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50DBCC"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Transporte interno (local desembaraço p/importador)</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D0A4E"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Sobreestadia de container (demurrage)</w:t>
            </w:r>
          </w:p>
        </w:tc>
      </w:tr>
    </w:tbl>
    <w:p w14:paraId="51FAC854" w14:textId="77777777" w:rsidR="00395593" w:rsidRPr="005C5CBD" w:rsidRDefault="00395593" w:rsidP="00E15FBB">
      <w:pPr>
        <w:spacing w:after="0" w:line="240" w:lineRule="auto"/>
        <w:rPr>
          <w:rFonts w:ascii="Garamond" w:eastAsia="Times New Roman" w:hAnsi="Garamond" w:cs="Calibri"/>
          <w:sz w:val="24"/>
          <w:szCs w:val="24"/>
          <w:lang w:eastAsia="pt-BR"/>
        </w:rPr>
      </w:pPr>
    </w:p>
    <w:tbl>
      <w:tblPr>
        <w:tblW w:w="0" w:type="auto"/>
        <w:tblLook w:val="04A0" w:firstRow="1" w:lastRow="0" w:firstColumn="1" w:lastColumn="0" w:noHBand="0" w:noVBand="1"/>
      </w:tblPr>
      <w:tblGrid>
        <w:gridCol w:w="1190"/>
        <w:gridCol w:w="1341"/>
        <w:gridCol w:w="1460"/>
        <w:gridCol w:w="1317"/>
        <w:gridCol w:w="1317"/>
        <w:gridCol w:w="1317"/>
        <w:gridCol w:w="1317"/>
        <w:gridCol w:w="1317"/>
        <w:gridCol w:w="1100"/>
        <w:gridCol w:w="1318"/>
      </w:tblGrid>
      <w:tr w:rsidR="00395593" w:rsidRPr="00D431FA" w14:paraId="65213387" w14:textId="77777777" w:rsidTr="00395593">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413C9"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31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D7D49E"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32</w:t>
            </w:r>
          </w:p>
        </w:tc>
        <w:tc>
          <w:tcPr>
            <w:tcW w:w="0" w:type="auto"/>
            <w:tcBorders>
              <w:top w:val="single" w:sz="4" w:space="0" w:color="auto"/>
              <w:left w:val="nil"/>
              <w:bottom w:val="single" w:sz="4" w:space="0" w:color="auto"/>
              <w:right w:val="single" w:sz="4" w:space="0" w:color="auto"/>
            </w:tcBorders>
          </w:tcPr>
          <w:p w14:paraId="17049FFF"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AB103"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33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E57C7C"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34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6E563F6"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35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388FB6"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36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EE0D8F"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37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8B1BFD"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38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BD8842" w14:textId="77777777" w:rsidR="00395593" w:rsidRPr="005C5CBD" w:rsidRDefault="00395593" w:rsidP="00E15FBB">
            <w:pPr>
              <w:spacing w:after="0" w:line="240" w:lineRule="auto"/>
              <w:jc w:val="center"/>
              <w:rPr>
                <w:rFonts w:ascii="Garamond" w:eastAsia="Times New Roman" w:hAnsi="Garamond" w:cs="Calibri"/>
                <w:b/>
                <w:color w:val="FF0000"/>
              </w:rPr>
            </w:pPr>
            <w:r w:rsidRPr="005C5CBD">
              <w:rPr>
                <w:rFonts w:ascii="Garamond" w:eastAsia="Times New Roman" w:hAnsi="Garamond" w:cs="Calibri"/>
                <w:b/>
                <w:color w:val="FF0000"/>
              </w:rPr>
              <w:t>39</w:t>
            </w:r>
          </w:p>
        </w:tc>
      </w:tr>
      <w:tr w:rsidR="00395593" w:rsidRPr="00D431FA" w14:paraId="3CD1E186" w14:textId="77777777" w:rsidTr="00395593">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C29CEE"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Imposto de Importação</w:t>
            </w:r>
          </w:p>
        </w:tc>
        <w:tc>
          <w:tcPr>
            <w:tcW w:w="0" w:type="auto"/>
            <w:tcBorders>
              <w:top w:val="nil"/>
              <w:left w:val="nil"/>
              <w:bottom w:val="single" w:sz="4" w:space="0" w:color="auto"/>
              <w:right w:val="single" w:sz="4" w:space="0" w:color="auto"/>
            </w:tcBorders>
            <w:shd w:val="clear" w:color="auto" w:fill="auto"/>
            <w:vAlign w:val="center"/>
            <w:hideMark/>
          </w:tcPr>
          <w:p w14:paraId="560B3CF6"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Direito Antidumping  (se aplicável)</w:t>
            </w:r>
          </w:p>
        </w:tc>
        <w:tc>
          <w:tcPr>
            <w:tcW w:w="0" w:type="auto"/>
            <w:tcBorders>
              <w:top w:val="nil"/>
              <w:left w:val="nil"/>
              <w:bottom w:val="single" w:sz="4" w:space="0" w:color="auto"/>
              <w:right w:val="single" w:sz="4" w:space="0" w:color="auto"/>
            </w:tcBorders>
          </w:tcPr>
          <w:p w14:paraId="082E95CB"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Direito compensatório (se aplicável)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E3539D9"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Outras [1] (discriminar)</w:t>
            </w:r>
          </w:p>
        </w:tc>
        <w:tc>
          <w:tcPr>
            <w:tcW w:w="0" w:type="auto"/>
            <w:tcBorders>
              <w:top w:val="nil"/>
              <w:left w:val="nil"/>
              <w:bottom w:val="single" w:sz="4" w:space="0" w:color="auto"/>
              <w:right w:val="single" w:sz="4" w:space="0" w:color="auto"/>
            </w:tcBorders>
            <w:shd w:val="clear" w:color="auto" w:fill="auto"/>
            <w:vAlign w:val="center"/>
            <w:hideMark/>
          </w:tcPr>
          <w:p w14:paraId="5AF9475F"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Outras [2] (discriminar)</w:t>
            </w:r>
          </w:p>
        </w:tc>
        <w:tc>
          <w:tcPr>
            <w:tcW w:w="0" w:type="auto"/>
            <w:tcBorders>
              <w:top w:val="nil"/>
              <w:left w:val="nil"/>
              <w:bottom w:val="single" w:sz="4" w:space="0" w:color="auto"/>
              <w:right w:val="single" w:sz="4" w:space="0" w:color="auto"/>
            </w:tcBorders>
            <w:shd w:val="clear" w:color="auto" w:fill="auto"/>
            <w:vAlign w:val="center"/>
            <w:hideMark/>
          </w:tcPr>
          <w:p w14:paraId="2833E600"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Outras [3] (discriminar)</w:t>
            </w:r>
          </w:p>
        </w:tc>
        <w:tc>
          <w:tcPr>
            <w:tcW w:w="0" w:type="auto"/>
            <w:tcBorders>
              <w:top w:val="nil"/>
              <w:left w:val="nil"/>
              <w:bottom w:val="single" w:sz="4" w:space="0" w:color="auto"/>
              <w:right w:val="single" w:sz="4" w:space="0" w:color="auto"/>
            </w:tcBorders>
            <w:shd w:val="clear" w:color="auto" w:fill="auto"/>
            <w:vAlign w:val="center"/>
            <w:hideMark/>
          </w:tcPr>
          <w:p w14:paraId="6A0B4359"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Outras [4] (discriminar)</w:t>
            </w:r>
          </w:p>
        </w:tc>
        <w:tc>
          <w:tcPr>
            <w:tcW w:w="0" w:type="auto"/>
            <w:tcBorders>
              <w:top w:val="nil"/>
              <w:left w:val="nil"/>
              <w:bottom w:val="single" w:sz="4" w:space="0" w:color="auto"/>
              <w:right w:val="single" w:sz="4" w:space="0" w:color="auto"/>
            </w:tcBorders>
            <w:shd w:val="clear" w:color="auto" w:fill="auto"/>
            <w:vAlign w:val="center"/>
            <w:hideMark/>
          </w:tcPr>
          <w:p w14:paraId="4D2393C2"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Outras [5] (discriminar)</w:t>
            </w:r>
          </w:p>
        </w:tc>
        <w:tc>
          <w:tcPr>
            <w:tcW w:w="0" w:type="auto"/>
            <w:tcBorders>
              <w:top w:val="nil"/>
              <w:left w:val="nil"/>
              <w:bottom w:val="single" w:sz="4" w:space="0" w:color="auto"/>
              <w:right w:val="single" w:sz="4" w:space="0" w:color="auto"/>
            </w:tcBorders>
            <w:shd w:val="clear" w:color="auto" w:fill="auto"/>
            <w:vAlign w:val="center"/>
            <w:hideMark/>
          </w:tcPr>
          <w:p w14:paraId="68E85EED"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Valor total das despesas de internação</w:t>
            </w:r>
          </w:p>
        </w:tc>
        <w:tc>
          <w:tcPr>
            <w:tcW w:w="0" w:type="auto"/>
            <w:tcBorders>
              <w:top w:val="nil"/>
              <w:left w:val="nil"/>
              <w:bottom w:val="single" w:sz="4" w:space="0" w:color="auto"/>
              <w:right w:val="single" w:sz="4" w:space="0" w:color="auto"/>
            </w:tcBorders>
            <w:shd w:val="clear" w:color="auto" w:fill="auto"/>
            <w:vAlign w:val="center"/>
            <w:hideMark/>
          </w:tcPr>
          <w:p w14:paraId="358EA80E" w14:textId="77777777" w:rsidR="00395593" w:rsidRPr="005C5CBD" w:rsidRDefault="00395593" w:rsidP="00E15FBB">
            <w:pPr>
              <w:spacing w:after="0" w:line="240" w:lineRule="auto"/>
              <w:jc w:val="center"/>
              <w:rPr>
                <w:rFonts w:ascii="Garamond" w:eastAsia="Times New Roman" w:hAnsi="Garamond" w:cs="Calibri"/>
                <w:b/>
                <w:color w:val="FF0000"/>
              </w:rPr>
            </w:pPr>
            <w:r w:rsidRPr="005C5CBD">
              <w:rPr>
                <w:rFonts w:ascii="Garamond" w:eastAsia="Times New Roman" w:hAnsi="Garamond" w:cs="Calibri"/>
                <w:b/>
                <w:color w:val="FF0000"/>
              </w:rPr>
              <w:t>Código de Identificação do Produto (CODIP)</w:t>
            </w:r>
          </w:p>
        </w:tc>
      </w:tr>
    </w:tbl>
    <w:p w14:paraId="5AC5B39C"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6D885105" w14:textId="77777777" w:rsidR="00395593" w:rsidRPr="005C5CBD" w:rsidRDefault="00395593" w:rsidP="0097041B">
      <w:pPr>
        <w:spacing w:after="200" w:line="276" w:lineRule="auto"/>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br w:type="page"/>
      </w:r>
    </w:p>
    <w:p w14:paraId="2199157E"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t>APÊNDICE XXII</w:t>
      </w:r>
    </w:p>
    <w:p w14:paraId="08DA532D"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t>IMPORTAÇÕES DO PRODUTO OBJETO (P1 A P4)</w:t>
      </w:r>
    </w:p>
    <w:p w14:paraId="3AB59501" w14:textId="77777777" w:rsidR="00C171A2" w:rsidRPr="005C5CBD" w:rsidRDefault="00C171A2" w:rsidP="00E15FBB">
      <w:pPr>
        <w:spacing w:after="0" w:line="240" w:lineRule="auto"/>
        <w:jc w:val="center"/>
        <w:rPr>
          <w:rFonts w:ascii="Garamond" w:eastAsia="Times New Roman" w:hAnsi="Garamond" w:cs="Calibri"/>
          <w:b/>
          <w:color w:val="000000"/>
          <w:sz w:val="24"/>
          <w:szCs w:val="24"/>
          <w:lang w:eastAsia="pt-BR"/>
        </w:rPr>
      </w:pPr>
    </w:p>
    <w:tbl>
      <w:tblPr>
        <w:tblW w:w="13340" w:type="dxa"/>
        <w:tblLook w:val="04A0" w:firstRow="1" w:lastRow="0" w:firstColumn="1" w:lastColumn="0" w:noHBand="0" w:noVBand="1"/>
      </w:tblPr>
      <w:tblGrid>
        <w:gridCol w:w="2740"/>
        <w:gridCol w:w="1760"/>
        <w:gridCol w:w="1520"/>
        <w:gridCol w:w="1580"/>
        <w:gridCol w:w="3120"/>
        <w:gridCol w:w="2620"/>
      </w:tblGrid>
      <w:tr w:rsidR="00E15FBB" w:rsidRPr="005C5CBD" w14:paraId="755F60A2" w14:textId="77777777" w:rsidTr="005C5CBD">
        <w:trPr>
          <w:trHeight w:val="315"/>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20EEB" w14:textId="77777777" w:rsidR="00E15FBB" w:rsidRPr="005C5CBD" w:rsidRDefault="00E15FBB"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01</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2CA3391F" w14:textId="77777777" w:rsidR="00E15FBB" w:rsidRPr="005C5CBD" w:rsidRDefault="00E15FBB"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02</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CD31562" w14:textId="77777777" w:rsidR="00E15FBB" w:rsidRPr="005C5CBD" w:rsidRDefault="00E15FBB"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03</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18E81025" w14:textId="77777777" w:rsidR="00E15FBB" w:rsidRPr="005C5CBD" w:rsidRDefault="00E15FBB"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04</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14:paraId="19C0101E" w14:textId="77777777" w:rsidR="00E15FBB" w:rsidRPr="005C5CBD" w:rsidRDefault="00E15FBB"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05</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78371CF8" w14:textId="77777777" w:rsidR="00E15FBB" w:rsidRPr="005C5CBD" w:rsidRDefault="00E15FBB" w:rsidP="00E15FBB">
            <w:pPr>
              <w:spacing w:after="0" w:line="240" w:lineRule="auto"/>
              <w:jc w:val="center"/>
              <w:rPr>
                <w:rFonts w:ascii="Garamond" w:eastAsia="Times New Roman" w:hAnsi="Garamond" w:cs="Calibri"/>
                <w:b/>
                <w:color w:val="FF0000"/>
                <w:sz w:val="24"/>
                <w:szCs w:val="24"/>
              </w:rPr>
            </w:pPr>
            <w:r w:rsidRPr="005C5CBD">
              <w:rPr>
                <w:rFonts w:ascii="Garamond" w:eastAsia="Times New Roman" w:hAnsi="Garamond" w:cs="Calibri"/>
                <w:b/>
                <w:color w:val="FF0000"/>
                <w:sz w:val="24"/>
                <w:szCs w:val="24"/>
              </w:rPr>
              <w:t>06</w:t>
            </w:r>
          </w:p>
        </w:tc>
      </w:tr>
      <w:tr w:rsidR="00E15FBB" w:rsidRPr="005C5CBD" w14:paraId="75C46862" w14:textId="77777777" w:rsidTr="005C5CBD">
        <w:trPr>
          <w:trHeight w:val="630"/>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670B2182" w14:textId="77777777" w:rsidR="00E15FBB" w:rsidRPr="005C5CBD" w:rsidRDefault="00E15FBB"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Declaração de Importação (DI)</w:t>
            </w:r>
          </w:p>
        </w:tc>
        <w:tc>
          <w:tcPr>
            <w:tcW w:w="1760" w:type="dxa"/>
            <w:tcBorders>
              <w:top w:val="nil"/>
              <w:left w:val="nil"/>
              <w:bottom w:val="single" w:sz="4" w:space="0" w:color="auto"/>
              <w:right w:val="single" w:sz="4" w:space="0" w:color="auto"/>
            </w:tcBorders>
            <w:shd w:val="clear" w:color="auto" w:fill="auto"/>
            <w:vAlign w:val="center"/>
            <w:hideMark/>
          </w:tcPr>
          <w:p w14:paraId="31115F67" w14:textId="77777777" w:rsidR="00E15FBB" w:rsidRPr="005C5CBD" w:rsidRDefault="00E15FBB"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 xml:space="preserve">Data do </w:t>
            </w:r>
            <w:r w:rsidRPr="005C5CBD">
              <w:rPr>
                <w:rFonts w:ascii="Garamond" w:eastAsia="Times New Roman" w:hAnsi="Garamond" w:cs="Calibri"/>
                <w:b/>
                <w:sz w:val="24"/>
                <w:szCs w:val="24"/>
              </w:rPr>
              <w:br/>
              <w:t>Desembaraço</w:t>
            </w:r>
          </w:p>
        </w:tc>
        <w:tc>
          <w:tcPr>
            <w:tcW w:w="1520" w:type="dxa"/>
            <w:tcBorders>
              <w:top w:val="nil"/>
              <w:left w:val="nil"/>
              <w:bottom w:val="single" w:sz="4" w:space="0" w:color="auto"/>
              <w:right w:val="single" w:sz="4" w:space="0" w:color="auto"/>
            </w:tcBorders>
            <w:shd w:val="clear" w:color="auto" w:fill="auto"/>
            <w:vAlign w:val="center"/>
            <w:hideMark/>
          </w:tcPr>
          <w:p w14:paraId="0285D0D5" w14:textId="77777777" w:rsidR="00E15FBB" w:rsidRPr="005C5CBD" w:rsidRDefault="00E15FBB"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País de Origem</w:t>
            </w:r>
          </w:p>
        </w:tc>
        <w:tc>
          <w:tcPr>
            <w:tcW w:w="1580" w:type="dxa"/>
            <w:tcBorders>
              <w:top w:val="nil"/>
              <w:left w:val="nil"/>
              <w:bottom w:val="single" w:sz="4" w:space="0" w:color="auto"/>
              <w:right w:val="single" w:sz="4" w:space="0" w:color="auto"/>
            </w:tcBorders>
            <w:shd w:val="clear" w:color="auto" w:fill="auto"/>
            <w:vAlign w:val="center"/>
            <w:hideMark/>
          </w:tcPr>
          <w:p w14:paraId="62A929C2" w14:textId="77777777" w:rsidR="00E15FBB" w:rsidRPr="005C5CBD" w:rsidRDefault="00E15FBB"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 xml:space="preserve">Quantidade </w:t>
            </w:r>
            <w:r w:rsidRPr="005C5CBD">
              <w:rPr>
                <w:rFonts w:ascii="Garamond" w:eastAsia="Times New Roman" w:hAnsi="Garamond" w:cs="Calibri"/>
                <w:b/>
                <w:color w:val="FF0000"/>
                <w:sz w:val="24"/>
                <w:szCs w:val="24"/>
              </w:rPr>
              <w:t>(unidade)</w:t>
            </w:r>
          </w:p>
        </w:tc>
        <w:tc>
          <w:tcPr>
            <w:tcW w:w="3120" w:type="dxa"/>
            <w:tcBorders>
              <w:top w:val="nil"/>
              <w:left w:val="nil"/>
              <w:bottom w:val="single" w:sz="4" w:space="0" w:color="auto"/>
              <w:right w:val="single" w:sz="4" w:space="0" w:color="auto"/>
            </w:tcBorders>
            <w:shd w:val="clear" w:color="auto" w:fill="auto"/>
            <w:vAlign w:val="center"/>
            <w:hideMark/>
          </w:tcPr>
          <w:p w14:paraId="0EB3E208" w14:textId="77777777" w:rsidR="00E15FBB" w:rsidRPr="005C5CBD" w:rsidRDefault="00E15FBB" w:rsidP="00E15FBB">
            <w:pPr>
              <w:spacing w:after="0" w:line="240" w:lineRule="auto"/>
              <w:jc w:val="center"/>
              <w:rPr>
                <w:rFonts w:ascii="Garamond" w:eastAsia="Times New Roman" w:hAnsi="Garamond" w:cs="Calibri"/>
                <w:b/>
                <w:sz w:val="24"/>
                <w:szCs w:val="24"/>
              </w:rPr>
            </w:pPr>
            <w:r w:rsidRPr="005C5CBD">
              <w:rPr>
                <w:rFonts w:ascii="Garamond" w:eastAsia="Times New Roman" w:hAnsi="Garamond" w:cs="Calibri"/>
                <w:b/>
                <w:sz w:val="24"/>
                <w:szCs w:val="24"/>
              </w:rPr>
              <w:t>Quantidade                                          (unidade de comercialização)</w:t>
            </w:r>
          </w:p>
        </w:tc>
        <w:tc>
          <w:tcPr>
            <w:tcW w:w="2620" w:type="dxa"/>
            <w:tcBorders>
              <w:top w:val="nil"/>
              <w:left w:val="nil"/>
              <w:bottom w:val="single" w:sz="4" w:space="0" w:color="auto"/>
              <w:right w:val="single" w:sz="4" w:space="0" w:color="auto"/>
            </w:tcBorders>
            <w:shd w:val="clear" w:color="auto" w:fill="auto"/>
            <w:vAlign w:val="center"/>
            <w:hideMark/>
          </w:tcPr>
          <w:p w14:paraId="25F2FC43" w14:textId="77777777" w:rsidR="00E15FBB" w:rsidRPr="005C5CBD" w:rsidRDefault="00E15FBB" w:rsidP="00E15FBB">
            <w:pPr>
              <w:spacing w:after="0" w:line="240" w:lineRule="auto"/>
              <w:jc w:val="center"/>
              <w:rPr>
                <w:rFonts w:ascii="Garamond" w:eastAsia="Times New Roman" w:hAnsi="Garamond" w:cs="Calibri"/>
                <w:b/>
                <w:color w:val="FF0000"/>
                <w:sz w:val="24"/>
                <w:szCs w:val="24"/>
              </w:rPr>
            </w:pPr>
            <w:r w:rsidRPr="005C5CBD">
              <w:rPr>
                <w:rFonts w:ascii="Garamond" w:eastAsia="Times New Roman" w:hAnsi="Garamond" w:cs="Calibri"/>
                <w:b/>
                <w:color w:val="FF0000"/>
                <w:sz w:val="24"/>
                <w:szCs w:val="24"/>
              </w:rPr>
              <w:t>Código de Identificação do Produto (CODIP)</w:t>
            </w:r>
          </w:p>
        </w:tc>
      </w:tr>
      <w:tr w:rsidR="00E15FBB" w:rsidRPr="005C5CBD" w14:paraId="2919D8FE" w14:textId="77777777" w:rsidTr="005C5CBD">
        <w:trPr>
          <w:trHeight w:val="33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AE573D6" w14:textId="77777777" w:rsidR="00E15FBB" w:rsidRPr="005C5CBD" w:rsidRDefault="00E15FBB" w:rsidP="00E15FBB">
            <w:pPr>
              <w:spacing w:after="0" w:line="240" w:lineRule="auto"/>
              <w:rPr>
                <w:rFonts w:ascii="Garamond" w:eastAsia="Times New Roman" w:hAnsi="Garamond" w:cs="Calibri"/>
                <w:sz w:val="24"/>
                <w:szCs w:val="24"/>
              </w:rPr>
            </w:pPr>
            <w:r w:rsidRPr="005C5CBD">
              <w:rPr>
                <w:rFonts w:ascii="Garamond" w:eastAsia="Times New Roman" w:hAnsi="Garamond" w:cs="Calibri"/>
                <w:sz w:val="24"/>
                <w:szCs w:val="24"/>
              </w:rPr>
              <w:t> </w:t>
            </w:r>
          </w:p>
        </w:tc>
        <w:tc>
          <w:tcPr>
            <w:tcW w:w="1760" w:type="dxa"/>
            <w:tcBorders>
              <w:top w:val="nil"/>
              <w:left w:val="nil"/>
              <w:bottom w:val="single" w:sz="4" w:space="0" w:color="auto"/>
              <w:right w:val="single" w:sz="4" w:space="0" w:color="auto"/>
            </w:tcBorders>
            <w:shd w:val="clear" w:color="auto" w:fill="auto"/>
            <w:noWrap/>
            <w:vAlign w:val="bottom"/>
            <w:hideMark/>
          </w:tcPr>
          <w:p w14:paraId="1F999284" w14:textId="77777777" w:rsidR="00E15FBB" w:rsidRPr="005C5CBD" w:rsidRDefault="00E15FBB" w:rsidP="00E15FBB">
            <w:pPr>
              <w:spacing w:after="0" w:line="240" w:lineRule="auto"/>
              <w:rPr>
                <w:rFonts w:ascii="Garamond" w:eastAsia="Times New Roman" w:hAnsi="Garamond" w:cs="Calibri"/>
                <w:sz w:val="24"/>
                <w:szCs w:val="24"/>
              </w:rPr>
            </w:pPr>
            <w:r w:rsidRPr="005C5CBD">
              <w:rPr>
                <w:rFonts w:ascii="Garamond" w:eastAsia="Times New Roman" w:hAnsi="Garamond" w:cs="Calibri"/>
                <w:sz w:val="24"/>
                <w:szCs w:val="24"/>
              </w:rPr>
              <w:t> </w:t>
            </w:r>
          </w:p>
        </w:tc>
        <w:tc>
          <w:tcPr>
            <w:tcW w:w="1520" w:type="dxa"/>
            <w:tcBorders>
              <w:top w:val="nil"/>
              <w:left w:val="nil"/>
              <w:bottom w:val="single" w:sz="4" w:space="0" w:color="auto"/>
              <w:right w:val="single" w:sz="4" w:space="0" w:color="auto"/>
            </w:tcBorders>
            <w:shd w:val="clear" w:color="auto" w:fill="auto"/>
            <w:noWrap/>
            <w:vAlign w:val="bottom"/>
            <w:hideMark/>
          </w:tcPr>
          <w:p w14:paraId="61968727" w14:textId="77777777" w:rsidR="00E15FBB" w:rsidRPr="005C5CBD" w:rsidRDefault="00E15FBB" w:rsidP="00E15FBB">
            <w:pPr>
              <w:spacing w:after="0" w:line="240" w:lineRule="auto"/>
              <w:rPr>
                <w:rFonts w:ascii="Garamond" w:eastAsia="Times New Roman" w:hAnsi="Garamond" w:cs="Calibri"/>
                <w:sz w:val="24"/>
                <w:szCs w:val="24"/>
              </w:rPr>
            </w:pPr>
            <w:r w:rsidRPr="005C5CBD">
              <w:rPr>
                <w:rFonts w:ascii="Garamond" w:eastAsia="Times New Roman" w:hAnsi="Garamond" w:cs="Calibri"/>
                <w:sz w:val="24"/>
                <w:szCs w:val="24"/>
              </w:rPr>
              <w:t> </w:t>
            </w:r>
          </w:p>
        </w:tc>
        <w:tc>
          <w:tcPr>
            <w:tcW w:w="1580" w:type="dxa"/>
            <w:tcBorders>
              <w:top w:val="nil"/>
              <w:left w:val="nil"/>
              <w:bottom w:val="single" w:sz="4" w:space="0" w:color="auto"/>
              <w:right w:val="single" w:sz="4" w:space="0" w:color="auto"/>
            </w:tcBorders>
            <w:shd w:val="clear" w:color="auto" w:fill="auto"/>
            <w:noWrap/>
            <w:vAlign w:val="bottom"/>
            <w:hideMark/>
          </w:tcPr>
          <w:p w14:paraId="66CBBBA8" w14:textId="77777777" w:rsidR="00E15FBB" w:rsidRPr="005C5CBD" w:rsidRDefault="00E15FBB" w:rsidP="00E15FBB">
            <w:pPr>
              <w:spacing w:after="0" w:line="240" w:lineRule="auto"/>
              <w:rPr>
                <w:rFonts w:ascii="Garamond" w:eastAsia="Times New Roman" w:hAnsi="Garamond" w:cs="Calibri"/>
                <w:sz w:val="24"/>
                <w:szCs w:val="24"/>
              </w:rPr>
            </w:pPr>
            <w:r w:rsidRPr="005C5CBD">
              <w:rPr>
                <w:rFonts w:ascii="Garamond" w:eastAsia="Times New Roman" w:hAnsi="Garamond" w:cs="Calibri"/>
                <w:sz w:val="24"/>
                <w:szCs w:val="24"/>
              </w:rPr>
              <w:t> </w:t>
            </w:r>
          </w:p>
        </w:tc>
        <w:tc>
          <w:tcPr>
            <w:tcW w:w="3120" w:type="dxa"/>
            <w:tcBorders>
              <w:top w:val="nil"/>
              <w:left w:val="nil"/>
              <w:bottom w:val="single" w:sz="4" w:space="0" w:color="auto"/>
              <w:right w:val="single" w:sz="4" w:space="0" w:color="auto"/>
            </w:tcBorders>
            <w:shd w:val="clear" w:color="auto" w:fill="auto"/>
            <w:noWrap/>
            <w:vAlign w:val="bottom"/>
            <w:hideMark/>
          </w:tcPr>
          <w:p w14:paraId="30EB09BA" w14:textId="77777777" w:rsidR="00E15FBB" w:rsidRPr="005C5CBD" w:rsidRDefault="00E15FBB" w:rsidP="00E15FBB">
            <w:pPr>
              <w:spacing w:after="0" w:line="240" w:lineRule="auto"/>
              <w:rPr>
                <w:rFonts w:ascii="Garamond" w:eastAsia="Times New Roman" w:hAnsi="Garamond" w:cs="Calibri"/>
                <w:sz w:val="24"/>
                <w:szCs w:val="24"/>
              </w:rPr>
            </w:pPr>
            <w:r w:rsidRPr="005C5CBD">
              <w:rPr>
                <w:rFonts w:ascii="Garamond" w:eastAsia="Times New Roman" w:hAnsi="Garamond" w:cs="Calibri"/>
                <w:sz w:val="24"/>
                <w:szCs w:val="24"/>
              </w:rPr>
              <w:t> </w:t>
            </w:r>
          </w:p>
        </w:tc>
        <w:tc>
          <w:tcPr>
            <w:tcW w:w="2620" w:type="dxa"/>
            <w:tcBorders>
              <w:top w:val="nil"/>
              <w:left w:val="nil"/>
              <w:bottom w:val="single" w:sz="4" w:space="0" w:color="auto"/>
              <w:right w:val="single" w:sz="4" w:space="0" w:color="auto"/>
            </w:tcBorders>
            <w:shd w:val="clear" w:color="auto" w:fill="auto"/>
            <w:noWrap/>
            <w:vAlign w:val="bottom"/>
            <w:hideMark/>
          </w:tcPr>
          <w:p w14:paraId="43E0FB6A" w14:textId="77777777" w:rsidR="00E15FBB" w:rsidRPr="005C5CBD" w:rsidRDefault="00E15FBB" w:rsidP="00E15FBB">
            <w:pPr>
              <w:spacing w:after="0" w:line="240" w:lineRule="auto"/>
              <w:rPr>
                <w:rFonts w:ascii="Garamond" w:eastAsia="Times New Roman" w:hAnsi="Garamond" w:cs="Calibri"/>
                <w:color w:val="FF0000"/>
                <w:sz w:val="24"/>
                <w:szCs w:val="24"/>
              </w:rPr>
            </w:pPr>
            <w:r w:rsidRPr="005C5CBD">
              <w:rPr>
                <w:rFonts w:ascii="Garamond" w:eastAsia="Times New Roman" w:hAnsi="Garamond" w:cs="Calibri"/>
                <w:color w:val="FF0000"/>
                <w:sz w:val="24"/>
                <w:szCs w:val="24"/>
              </w:rPr>
              <w:t> </w:t>
            </w:r>
          </w:p>
        </w:tc>
      </w:tr>
    </w:tbl>
    <w:p w14:paraId="5FA646B0"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p w14:paraId="08F2B38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p w14:paraId="61DE9AA9"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p w14:paraId="33E023F5" w14:textId="77777777" w:rsidR="00395593" w:rsidRPr="005C5CBD" w:rsidRDefault="00395593" w:rsidP="0097041B">
      <w:pPr>
        <w:spacing w:after="200" w:line="276" w:lineRule="auto"/>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br w:type="page"/>
      </w:r>
    </w:p>
    <w:p w14:paraId="38D02A52"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t>APÊNDICE XXIII</w:t>
      </w:r>
    </w:p>
    <w:p w14:paraId="24F46E19"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t>REVENDA DO PRODUTO OBJETO IMPORTADO (P5)</w:t>
      </w:r>
    </w:p>
    <w:p w14:paraId="5030748C"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p>
    <w:tbl>
      <w:tblPr>
        <w:tblW w:w="5000" w:type="pct"/>
        <w:tblLook w:val="04A0" w:firstRow="1" w:lastRow="0" w:firstColumn="1" w:lastColumn="0" w:noHBand="0" w:noVBand="1"/>
      </w:tblPr>
      <w:tblGrid>
        <w:gridCol w:w="1451"/>
        <w:gridCol w:w="1411"/>
        <w:gridCol w:w="1502"/>
        <w:gridCol w:w="2565"/>
        <w:gridCol w:w="1211"/>
        <w:gridCol w:w="1736"/>
        <w:gridCol w:w="1120"/>
        <w:gridCol w:w="982"/>
        <w:gridCol w:w="1016"/>
      </w:tblGrid>
      <w:tr w:rsidR="00395593" w:rsidRPr="00AC0363" w14:paraId="2EA60261" w14:textId="77777777" w:rsidTr="004136FD">
        <w:trPr>
          <w:trHeight w:val="315"/>
        </w:trPr>
        <w:tc>
          <w:tcPr>
            <w:tcW w:w="5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B66A8"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01</w:t>
            </w:r>
          </w:p>
        </w:tc>
        <w:tc>
          <w:tcPr>
            <w:tcW w:w="543" w:type="pct"/>
            <w:tcBorders>
              <w:top w:val="single" w:sz="4" w:space="0" w:color="auto"/>
              <w:left w:val="nil"/>
              <w:bottom w:val="single" w:sz="4" w:space="0" w:color="auto"/>
              <w:right w:val="single" w:sz="4" w:space="0" w:color="auto"/>
            </w:tcBorders>
            <w:shd w:val="clear" w:color="auto" w:fill="auto"/>
            <w:noWrap/>
            <w:vAlign w:val="bottom"/>
            <w:hideMark/>
          </w:tcPr>
          <w:p w14:paraId="2A5E1EEA"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02</w:t>
            </w:r>
          </w:p>
        </w:tc>
        <w:tc>
          <w:tcPr>
            <w:tcW w:w="578" w:type="pct"/>
            <w:tcBorders>
              <w:top w:val="single" w:sz="4" w:space="0" w:color="auto"/>
              <w:left w:val="nil"/>
              <w:bottom w:val="single" w:sz="4" w:space="0" w:color="auto"/>
              <w:right w:val="single" w:sz="4" w:space="0" w:color="auto"/>
            </w:tcBorders>
            <w:shd w:val="clear" w:color="auto" w:fill="auto"/>
            <w:noWrap/>
            <w:vAlign w:val="bottom"/>
            <w:hideMark/>
          </w:tcPr>
          <w:p w14:paraId="77D4AF5A"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03.1</w:t>
            </w:r>
          </w:p>
        </w:tc>
        <w:tc>
          <w:tcPr>
            <w:tcW w:w="987" w:type="pct"/>
            <w:tcBorders>
              <w:top w:val="single" w:sz="4" w:space="0" w:color="auto"/>
              <w:left w:val="nil"/>
              <w:bottom w:val="single" w:sz="4" w:space="0" w:color="auto"/>
              <w:right w:val="single" w:sz="4" w:space="0" w:color="auto"/>
            </w:tcBorders>
            <w:shd w:val="clear" w:color="auto" w:fill="auto"/>
            <w:noWrap/>
            <w:vAlign w:val="bottom"/>
            <w:hideMark/>
          </w:tcPr>
          <w:p w14:paraId="35580050" w14:textId="77777777" w:rsidR="00395593" w:rsidRPr="005C5CBD" w:rsidRDefault="00395593" w:rsidP="00E15FBB">
            <w:pPr>
              <w:spacing w:after="0" w:line="240" w:lineRule="auto"/>
              <w:jc w:val="center"/>
              <w:rPr>
                <w:rFonts w:ascii="Garamond" w:eastAsia="Times New Roman" w:hAnsi="Garamond" w:cs="Calibri"/>
                <w:b/>
                <w:color w:val="FF0000"/>
              </w:rPr>
            </w:pPr>
            <w:r w:rsidRPr="005C5CBD">
              <w:rPr>
                <w:rFonts w:ascii="Garamond" w:eastAsia="Times New Roman" w:hAnsi="Garamond" w:cs="Calibri"/>
                <w:b/>
                <w:color w:val="FF0000"/>
              </w:rPr>
              <w:t>03.2</w:t>
            </w:r>
          </w:p>
        </w:tc>
        <w:tc>
          <w:tcPr>
            <w:tcW w:w="466" w:type="pct"/>
            <w:tcBorders>
              <w:top w:val="single" w:sz="4" w:space="0" w:color="auto"/>
              <w:left w:val="nil"/>
              <w:bottom w:val="single" w:sz="4" w:space="0" w:color="auto"/>
              <w:right w:val="single" w:sz="4" w:space="0" w:color="auto"/>
            </w:tcBorders>
            <w:shd w:val="clear" w:color="auto" w:fill="auto"/>
            <w:noWrap/>
            <w:vAlign w:val="bottom"/>
            <w:hideMark/>
          </w:tcPr>
          <w:p w14:paraId="0C10D734"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04</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14:paraId="7D1CAD12"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05</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14:paraId="50287ACF"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06</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3BFC2700"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07</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5370EFA2"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08.1</w:t>
            </w:r>
          </w:p>
        </w:tc>
      </w:tr>
      <w:tr w:rsidR="00395593" w:rsidRPr="00AC0363" w14:paraId="3F41CF9F" w14:textId="77777777" w:rsidTr="004136FD">
        <w:trPr>
          <w:trHeight w:val="63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31B605A0"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Número da Nota Fiscal de Venda</w:t>
            </w:r>
          </w:p>
        </w:tc>
        <w:tc>
          <w:tcPr>
            <w:tcW w:w="543" w:type="pct"/>
            <w:tcBorders>
              <w:top w:val="nil"/>
              <w:left w:val="nil"/>
              <w:bottom w:val="single" w:sz="4" w:space="0" w:color="auto"/>
              <w:right w:val="single" w:sz="4" w:space="0" w:color="auto"/>
            </w:tcBorders>
            <w:shd w:val="clear" w:color="auto" w:fill="auto"/>
            <w:vAlign w:val="center"/>
            <w:hideMark/>
          </w:tcPr>
          <w:p w14:paraId="2F02A26B"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Data da Nota Fiscal de Venda</w:t>
            </w:r>
          </w:p>
        </w:tc>
        <w:tc>
          <w:tcPr>
            <w:tcW w:w="578" w:type="pct"/>
            <w:tcBorders>
              <w:top w:val="nil"/>
              <w:left w:val="nil"/>
              <w:bottom w:val="nil"/>
              <w:right w:val="single" w:sz="4" w:space="0" w:color="auto"/>
            </w:tcBorders>
            <w:shd w:val="clear" w:color="auto" w:fill="auto"/>
            <w:vAlign w:val="center"/>
            <w:hideMark/>
          </w:tcPr>
          <w:p w14:paraId="131DADCD"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Código do Produto</w:t>
            </w:r>
          </w:p>
        </w:tc>
        <w:tc>
          <w:tcPr>
            <w:tcW w:w="987" w:type="pct"/>
            <w:tcBorders>
              <w:top w:val="nil"/>
              <w:left w:val="nil"/>
              <w:bottom w:val="nil"/>
              <w:right w:val="single" w:sz="4" w:space="0" w:color="auto"/>
            </w:tcBorders>
            <w:shd w:val="clear" w:color="auto" w:fill="auto"/>
            <w:vAlign w:val="center"/>
            <w:hideMark/>
          </w:tcPr>
          <w:p w14:paraId="74A15D86" w14:textId="77777777" w:rsidR="00395593" w:rsidRPr="005C5CBD" w:rsidRDefault="00395593" w:rsidP="00E15FBB">
            <w:pPr>
              <w:spacing w:after="0" w:line="240" w:lineRule="auto"/>
              <w:jc w:val="center"/>
              <w:rPr>
                <w:rFonts w:ascii="Garamond" w:eastAsia="Times New Roman" w:hAnsi="Garamond" w:cs="Calibri"/>
                <w:b/>
                <w:color w:val="FF0000"/>
              </w:rPr>
            </w:pPr>
            <w:r w:rsidRPr="005C5CBD">
              <w:rPr>
                <w:rFonts w:ascii="Garamond" w:eastAsia="Times New Roman" w:hAnsi="Garamond" w:cs="Calibri"/>
                <w:b/>
                <w:color w:val="FF0000"/>
              </w:rPr>
              <w:t>Código de Identificação do Produto (CODIP)</w:t>
            </w:r>
          </w:p>
        </w:tc>
        <w:tc>
          <w:tcPr>
            <w:tcW w:w="466" w:type="pct"/>
            <w:tcBorders>
              <w:top w:val="nil"/>
              <w:left w:val="nil"/>
              <w:bottom w:val="nil"/>
              <w:right w:val="single" w:sz="4" w:space="0" w:color="auto"/>
            </w:tcBorders>
            <w:shd w:val="clear" w:color="auto" w:fill="auto"/>
            <w:vAlign w:val="center"/>
            <w:hideMark/>
          </w:tcPr>
          <w:p w14:paraId="6D8DC587"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Nome do Cliente</w:t>
            </w:r>
          </w:p>
        </w:tc>
        <w:tc>
          <w:tcPr>
            <w:tcW w:w="668" w:type="pct"/>
            <w:tcBorders>
              <w:top w:val="nil"/>
              <w:left w:val="nil"/>
              <w:bottom w:val="nil"/>
              <w:right w:val="single" w:sz="4" w:space="0" w:color="auto"/>
            </w:tcBorders>
            <w:shd w:val="clear" w:color="auto" w:fill="auto"/>
            <w:vAlign w:val="center"/>
            <w:hideMark/>
          </w:tcPr>
          <w:p w14:paraId="72DFC2F4"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Relacionamento com o Cliente</w:t>
            </w:r>
          </w:p>
        </w:tc>
        <w:tc>
          <w:tcPr>
            <w:tcW w:w="431" w:type="pct"/>
            <w:tcBorders>
              <w:top w:val="nil"/>
              <w:left w:val="nil"/>
              <w:bottom w:val="nil"/>
              <w:right w:val="single" w:sz="4" w:space="0" w:color="auto"/>
            </w:tcBorders>
            <w:shd w:val="clear" w:color="auto" w:fill="auto"/>
            <w:vAlign w:val="center"/>
            <w:hideMark/>
          </w:tcPr>
          <w:p w14:paraId="0D46EEAC"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Categoria do Cliente</w:t>
            </w:r>
          </w:p>
        </w:tc>
        <w:tc>
          <w:tcPr>
            <w:tcW w:w="378" w:type="pct"/>
            <w:tcBorders>
              <w:top w:val="nil"/>
              <w:left w:val="nil"/>
              <w:bottom w:val="nil"/>
              <w:right w:val="single" w:sz="4" w:space="0" w:color="auto"/>
            </w:tcBorders>
            <w:shd w:val="clear" w:color="auto" w:fill="auto"/>
            <w:vAlign w:val="center"/>
            <w:hideMark/>
          </w:tcPr>
          <w:p w14:paraId="753F02D7"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Data da Venda</w:t>
            </w:r>
          </w:p>
        </w:tc>
        <w:tc>
          <w:tcPr>
            <w:tcW w:w="392" w:type="pct"/>
            <w:tcBorders>
              <w:top w:val="nil"/>
              <w:left w:val="nil"/>
              <w:bottom w:val="nil"/>
              <w:right w:val="single" w:sz="4" w:space="0" w:color="auto"/>
            </w:tcBorders>
            <w:shd w:val="clear" w:color="auto" w:fill="auto"/>
            <w:vAlign w:val="center"/>
            <w:hideMark/>
          </w:tcPr>
          <w:p w14:paraId="0D5CE174" w14:textId="77777777" w:rsidR="00395593" w:rsidRPr="005C5CBD" w:rsidRDefault="00395593" w:rsidP="00E15FBB">
            <w:pPr>
              <w:spacing w:after="0" w:line="240" w:lineRule="auto"/>
              <w:jc w:val="center"/>
              <w:rPr>
                <w:rFonts w:ascii="Garamond" w:eastAsia="Times New Roman" w:hAnsi="Garamond" w:cs="Calibri"/>
                <w:b/>
              </w:rPr>
            </w:pPr>
            <w:r w:rsidRPr="005C5CBD">
              <w:rPr>
                <w:rFonts w:ascii="Garamond" w:eastAsia="Times New Roman" w:hAnsi="Garamond" w:cs="Calibri"/>
                <w:b/>
              </w:rPr>
              <w:t>Termos de Entrega</w:t>
            </w:r>
          </w:p>
        </w:tc>
      </w:tr>
      <w:tr w:rsidR="00395593" w:rsidRPr="00AC0363" w14:paraId="60056C31" w14:textId="77777777" w:rsidTr="004136FD">
        <w:trPr>
          <w:trHeight w:val="315"/>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14:paraId="5AC6CE3E" w14:textId="77777777" w:rsidR="00395593" w:rsidRPr="005C5CBD" w:rsidRDefault="00395593" w:rsidP="00E15FBB">
            <w:pPr>
              <w:spacing w:after="0" w:line="240" w:lineRule="auto"/>
              <w:rPr>
                <w:rFonts w:ascii="Garamond" w:eastAsia="Times New Roman" w:hAnsi="Garamond" w:cs="Calibri"/>
                <w:b/>
              </w:rPr>
            </w:pPr>
            <w:r w:rsidRPr="005C5CBD">
              <w:rPr>
                <w:rFonts w:ascii="Garamond" w:eastAsia="Times New Roman" w:hAnsi="Garamond" w:cs="Calibri"/>
                <w:b/>
              </w:rPr>
              <w:t> </w:t>
            </w:r>
          </w:p>
        </w:tc>
        <w:tc>
          <w:tcPr>
            <w:tcW w:w="543" w:type="pct"/>
            <w:tcBorders>
              <w:top w:val="nil"/>
              <w:left w:val="nil"/>
              <w:bottom w:val="single" w:sz="4" w:space="0" w:color="auto"/>
              <w:right w:val="single" w:sz="4" w:space="0" w:color="auto"/>
            </w:tcBorders>
            <w:shd w:val="clear" w:color="auto" w:fill="auto"/>
            <w:noWrap/>
            <w:vAlign w:val="bottom"/>
            <w:hideMark/>
          </w:tcPr>
          <w:p w14:paraId="17E3054E" w14:textId="77777777" w:rsidR="00395593" w:rsidRPr="005C5CBD" w:rsidRDefault="00395593" w:rsidP="00E15FBB">
            <w:pPr>
              <w:spacing w:after="0" w:line="240" w:lineRule="auto"/>
              <w:rPr>
                <w:rFonts w:ascii="Garamond" w:eastAsia="Times New Roman" w:hAnsi="Garamond" w:cs="Calibri"/>
                <w:b/>
              </w:rPr>
            </w:pPr>
            <w:r w:rsidRPr="005C5CBD">
              <w:rPr>
                <w:rFonts w:ascii="Garamond" w:eastAsia="Times New Roman" w:hAnsi="Garamond" w:cs="Calibri"/>
                <w:b/>
              </w:rPr>
              <w:t> </w:t>
            </w:r>
          </w:p>
        </w:tc>
        <w:tc>
          <w:tcPr>
            <w:tcW w:w="578" w:type="pct"/>
            <w:tcBorders>
              <w:top w:val="single" w:sz="4" w:space="0" w:color="auto"/>
              <w:left w:val="nil"/>
              <w:bottom w:val="single" w:sz="4" w:space="0" w:color="auto"/>
              <w:right w:val="single" w:sz="4" w:space="0" w:color="auto"/>
            </w:tcBorders>
            <w:shd w:val="clear" w:color="auto" w:fill="auto"/>
            <w:noWrap/>
            <w:vAlign w:val="bottom"/>
            <w:hideMark/>
          </w:tcPr>
          <w:p w14:paraId="7B4F4092" w14:textId="77777777" w:rsidR="00395593" w:rsidRPr="005C5CBD" w:rsidRDefault="00395593" w:rsidP="00E15FBB">
            <w:pPr>
              <w:spacing w:after="0" w:line="240" w:lineRule="auto"/>
              <w:rPr>
                <w:rFonts w:ascii="Garamond" w:eastAsia="Times New Roman" w:hAnsi="Garamond" w:cs="Calibri"/>
                <w:b/>
              </w:rPr>
            </w:pPr>
            <w:r w:rsidRPr="005C5CBD">
              <w:rPr>
                <w:rFonts w:ascii="Garamond" w:eastAsia="Times New Roman" w:hAnsi="Garamond" w:cs="Calibri"/>
                <w:b/>
              </w:rPr>
              <w:t> </w:t>
            </w:r>
          </w:p>
        </w:tc>
        <w:tc>
          <w:tcPr>
            <w:tcW w:w="987" w:type="pct"/>
            <w:tcBorders>
              <w:top w:val="single" w:sz="4" w:space="0" w:color="auto"/>
              <w:left w:val="nil"/>
              <w:bottom w:val="single" w:sz="4" w:space="0" w:color="auto"/>
              <w:right w:val="single" w:sz="4" w:space="0" w:color="auto"/>
            </w:tcBorders>
            <w:shd w:val="clear" w:color="auto" w:fill="auto"/>
            <w:noWrap/>
            <w:vAlign w:val="bottom"/>
            <w:hideMark/>
          </w:tcPr>
          <w:p w14:paraId="2A6D2CEF" w14:textId="77777777" w:rsidR="00395593" w:rsidRPr="005C5CBD" w:rsidRDefault="00395593" w:rsidP="00E15FBB">
            <w:pPr>
              <w:spacing w:after="0" w:line="240" w:lineRule="auto"/>
              <w:rPr>
                <w:rFonts w:ascii="Garamond" w:eastAsia="Times New Roman" w:hAnsi="Garamond" w:cs="Calibri"/>
                <w:b/>
                <w:color w:val="FF0000"/>
              </w:rPr>
            </w:pPr>
            <w:r w:rsidRPr="005C5CBD">
              <w:rPr>
                <w:rFonts w:ascii="Garamond" w:eastAsia="Times New Roman" w:hAnsi="Garamond" w:cs="Calibri"/>
                <w:b/>
                <w:color w:val="FF0000"/>
              </w:rPr>
              <w:t> </w:t>
            </w:r>
          </w:p>
        </w:tc>
        <w:tc>
          <w:tcPr>
            <w:tcW w:w="466" w:type="pct"/>
            <w:tcBorders>
              <w:top w:val="single" w:sz="4" w:space="0" w:color="auto"/>
              <w:left w:val="nil"/>
              <w:bottom w:val="single" w:sz="4" w:space="0" w:color="auto"/>
              <w:right w:val="single" w:sz="4" w:space="0" w:color="auto"/>
            </w:tcBorders>
            <w:shd w:val="clear" w:color="auto" w:fill="auto"/>
            <w:noWrap/>
            <w:vAlign w:val="bottom"/>
            <w:hideMark/>
          </w:tcPr>
          <w:p w14:paraId="39618519" w14:textId="77777777" w:rsidR="00395593" w:rsidRPr="005C5CBD" w:rsidRDefault="00395593" w:rsidP="00E15FBB">
            <w:pPr>
              <w:spacing w:after="0" w:line="240" w:lineRule="auto"/>
              <w:rPr>
                <w:rFonts w:ascii="Garamond" w:eastAsia="Times New Roman" w:hAnsi="Garamond" w:cs="Calibri"/>
                <w:b/>
              </w:rPr>
            </w:pPr>
            <w:r w:rsidRPr="005C5CBD">
              <w:rPr>
                <w:rFonts w:ascii="Garamond" w:eastAsia="Times New Roman" w:hAnsi="Garamond" w:cs="Calibri"/>
                <w:b/>
              </w:rPr>
              <w:t> </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14:paraId="6D3BD35D" w14:textId="77777777" w:rsidR="00395593" w:rsidRPr="005C5CBD" w:rsidRDefault="00395593" w:rsidP="00E15FBB">
            <w:pPr>
              <w:spacing w:after="0" w:line="240" w:lineRule="auto"/>
              <w:rPr>
                <w:rFonts w:ascii="Garamond" w:eastAsia="Times New Roman" w:hAnsi="Garamond" w:cs="Calibri"/>
                <w:b/>
              </w:rPr>
            </w:pPr>
            <w:r w:rsidRPr="005C5CBD">
              <w:rPr>
                <w:rFonts w:ascii="Garamond" w:eastAsia="Times New Roman" w:hAnsi="Garamond" w:cs="Calibri"/>
                <w:b/>
              </w:rPr>
              <w:t> </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14:paraId="2B289B56" w14:textId="77777777" w:rsidR="00395593" w:rsidRPr="005C5CBD" w:rsidRDefault="00395593" w:rsidP="00E15FBB">
            <w:pPr>
              <w:spacing w:after="0" w:line="240" w:lineRule="auto"/>
              <w:rPr>
                <w:rFonts w:ascii="Garamond" w:eastAsia="Times New Roman" w:hAnsi="Garamond" w:cs="Calibri"/>
                <w:b/>
              </w:rPr>
            </w:pPr>
            <w:r w:rsidRPr="005C5CBD">
              <w:rPr>
                <w:rFonts w:ascii="Garamond" w:eastAsia="Times New Roman" w:hAnsi="Garamond" w:cs="Calibri"/>
                <w:b/>
              </w:rPr>
              <w:t> </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14:paraId="4FDBF228" w14:textId="77777777" w:rsidR="00395593" w:rsidRPr="005C5CBD" w:rsidRDefault="00395593" w:rsidP="00E15FBB">
            <w:pPr>
              <w:spacing w:after="0" w:line="240" w:lineRule="auto"/>
              <w:rPr>
                <w:rFonts w:ascii="Garamond" w:eastAsia="Times New Roman" w:hAnsi="Garamond" w:cs="Calibri"/>
                <w:b/>
              </w:rPr>
            </w:pPr>
            <w:r w:rsidRPr="005C5CBD">
              <w:rPr>
                <w:rFonts w:ascii="Garamond" w:eastAsia="Times New Roman" w:hAnsi="Garamond" w:cs="Calibri"/>
                <w:b/>
              </w:rPr>
              <w:t> </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14:paraId="43E5C00C" w14:textId="77777777" w:rsidR="00395593" w:rsidRPr="005C5CBD" w:rsidRDefault="00395593" w:rsidP="00E15FBB">
            <w:pPr>
              <w:spacing w:after="0" w:line="240" w:lineRule="auto"/>
              <w:rPr>
                <w:rFonts w:ascii="Garamond" w:eastAsia="Times New Roman" w:hAnsi="Garamond" w:cs="Calibri"/>
                <w:b/>
              </w:rPr>
            </w:pPr>
            <w:r w:rsidRPr="005C5CBD">
              <w:rPr>
                <w:rFonts w:ascii="Garamond" w:eastAsia="Times New Roman" w:hAnsi="Garamond" w:cs="Calibri"/>
                <w:b/>
              </w:rPr>
              <w:t> </w:t>
            </w:r>
          </w:p>
        </w:tc>
      </w:tr>
    </w:tbl>
    <w:p w14:paraId="4B1479DA" w14:textId="77777777" w:rsidR="00395593" w:rsidRPr="005C5CBD" w:rsidRDefault="00395593" w:rsidP="0097041B">
      <w:pPr>
        <w:spacing w:after="200" w:line="276" w:lineRule="auto"/>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br w:type="page"/>
      </w:r>
    </w:p>
    <w:tbl>
      <w:tblPr>
        <w:tblW w:w="5000" w:type="pct"/>
        <w:jc w:val="center"/>
        <w:tblCellMar>
          <w:left w:w="70" w:type="dxa"/>
          <w:right w:w="70" w:type="dxa"/>
        </w:tblCellMar>
        <w:tblLook w:val="04A0" w:firstRow="1" w:lastRow="0" w:firstColumn="1" w:lastColumn="0" w:noHBand="0" w:noVBand="1"/>
      </w:tblPr>
      <w:tblGrid>
        <w:gridCol w:w="13004"/>
      </w:tblGrid>
      <w:tr w:rsidR="00395593" w:rsidRPr="00AC0363" w14:paraId="6AFE90DA" w14:textId="77777777" w:rsidTr="00395593">
        <w:trPr>
          <w:trHeight w:val="525"/>
          <w:jc w:val="center"/>
        </w:trPr>
        <w:tc>
          <w:tcPr>
            <w:tcW w:w="5000" w:type="pct"/>
            <w:tcBorders>
              <w:top w:val="nil"/>
              <w:left w:val="nil"/>
              <w:bottom w:val="nil"/>
              <w:right w:val="nil"/>
            </w:tcBorders>
            <w:shd w:val="clear" w:color="auto" w:fill="auto"/>
            <w:noWrap/>
            <w:vAlign w:val="bottom"/>
            <w:hideMark/>
          </w:tcPr>
          <w:p w14:paraId="6B93892B"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 xml:space="preserve"> APÊNDICE XXIV</w:t>
            </w:r>
          </w:p>
          <w:p w14:paraId="160222D2"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IMPORTAÇÕES DO PRODUTO OBJETO (Período de apuração do montante de direito a ser restituído)</w:t>
            </w:r>
          </w:p>
        </w:tc>
      </w:tr>
    </w:tbl>
    <w:p w14:paraId="4307EEBC" w14:textId="77777777" w:rsidR="00395593" w:rsidRPr="005C5CBD" w:rsidRDefault="00395593" w:rsidP="00E15FBB">
      <w:pPr>
        <w:spacing w:after="0" w:line="240" w:lineRule="auto"/>
        <w:rPr>
          <w:rFonts w:ascii="Garamond" w:eastAsia="Times New Roman" w:hAnsi="Garamond" w:cs="Calibri"/>
          <w:sz w:val="24"/>
          <w:szCs w:val="24"/>
          <w:lang w:eastAsia="pt-BR"/>
        </w:rPr>
      </w:pPr>
    </w:p>
    <w:tbl>
      <w:tblPr>
        <w:tblStyle w:val="Tabelacomgrade1"/>
        <w:tblW w:w="5000" w:type="pct"/>
        <w:tblLook w:val="04A0" w:firstRow="1" w:lastRow="0" w:firstColumn="1" w:lastColumn="0" w:noHBand="0" w:noVBand="1"/>
      </w:tblPr>
      <w:tblGrid>
        <w:gridCol w:w="2166"/>
        <w:gridCol w:w="2166"/>
        <w:gridCol w:w="2166"/>
        <w:gridCol w:w="2166"/>
        <w:gridCol w:w="2165"/>
        <w:gridCol w:w="2165"/>
      </w:tblGrid>
      <w:tr w:rsidR="00395593" w:rsidRPr="00AC0363" w14:paraId="136F9597" w14:textId="77777777" w:rsidTr="005C5CBD">
        <w:trPr>
          <w:trHeight w:val="448"/>
        </w:trPr>
        <w:tc>
          <w:tcPr>
            <w:tcW w:w="833" w:type="pct"/>
            <w:vAlign w:val="center"/>
          </w:tcPr>
          <w:p w14:paraId="1E57162E"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01</w:t>
            </w:r>
          </w:p>
        </w:tc>
        <w:tc>
          <w:tcPr>
            <w:tcW w:w="833" w:type="pct"/>
            <w:vAlign w:val="center"/>
          </w:tcPr>
          <w:p w14:paraId="0DFAB61C"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02</w:t>
            </w:r>
          </w:p>
        </w:tc>
        <w:tc>
          <w:tcPr>
            <w:tcW w:w="833" w:type="pct"/>
            <w:vAlign w:val="center"/>
          </w:tcPr>
          <w:p w14:paraId="66290A04"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03</w:t>
            </w:r>
          </w:p>
        </w:tc>
        <w:tc>
          <w:tcPr>
            <w:tcW w:w="833" w:type="pct"/>
            <w:vAlign w:val="center"/>
          </w:tcPr>
          <w:p w14:paraId="4F721DFC"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04</w:t>
            </w:r>
          </w:p>
        </w:tc>
        <w:tc>
          <w:tcPr>
            <w:tcW w:w="833" w:type="pct"/>
            <w:vAlign w:val="center"/>
          </w:tcPr>
          <w:p w14:paraId="67F520EA"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05</w:t>
            </w:r>
          </w:p>
        </w:tc>
        <w:tc>
          <w:tcPr>
            <w:tcW w:w="833" w:type="pct"/>
            <w:vAlign w:val="center"/>
          </w:tcPr>
          <w:p w14:paraId="41FC9F14"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06</w:t>
            </w:r>
          </w:p>
        </w:tc>
      </w:tr>
      <w:tr w:rsidR="00395593" w:rsidRPr="00AC0363" w14:paraId="15C3A0FF" w14:textId="77777777" w:rsidTr="005C5CBD">
        <w:trPr>
          <w:trHeight w:val="709"/>
        </w:trPr>
        <w:tc>
          <w:tcPr>
            <w:tcW w:w="833" w:type="pct"/>
            <w:vAlign w:val="center"/>
          </w:tcPr>
          <w:p w14:paraId="3ACA74BC"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Declaração de Importação (DI)</w:t>
            </w:r>
          </w:p>
        </w:tc>
        <w:tc>
          <w:tcPr>
            <w:tcW w:w="833" w:type="pct"/>
            <w:vAlign w:val="center"/>
          </w:tcPr>
          <w:p w14:paraId="03ED1097"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Data do Embarque</w:t>
            </w:r>
          </w:p>
        </w:tc>
        <w:tc>
          <w:tcPr>
            <w:tcW w:w="833" w:type="pct"/>
            <w:vAlign w:val="center"/>
          </w:tcPr>
          <w:p w14:paraId="38A21E7D"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Data de Chegada no Brasil</w:t>
            </w:r>
          </w:p>
        </w:tc>
        <w:tc>
          <w:tcPr>
            <w:tcW w:w="833" w:type="pct"/>
            <w:vAlign w:val="center"/>
          </w:tcPr>
          <w:p w14:paraId="3E786CA3"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 xml:space="preserve">Data do </w:t>
            </w:r>
          </w:p>
          <w:p w14:paraId="2CEC9124"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Desembaraço</w:t>
            </w:r>
          </w:p>
        </w:tc>
        <w:tc>
          <w:tcPr>
            <w:tcW w:w="833" w:type="pct"/>
            <w:vAlign w:val="center"/>
          </w:tcPr>
          <w:p w14:paraId="0A88E973"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Número da fatura comercial (invoice)</w:t>
            </w:r>
          </w:p>
        </w:tc>
        <w:tc>
          <w:tcPr>
            <w:tcW w:w="833" w:type="pct"/>
            <w:vAlign w:val="center"/>
          </w:tcPr>
          <w:p w14:paraId="41708C50"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Data da fatura comercial (invoice)</w:t>
            </w:r>
          </w:p>
        </w:tc>
      </w:tr>
    </w:tbl>
    <w:p w14:paraId="0D041881" w14:textId="77777777" w:rsidR="00395593" w:rsidRPr="005C5CBD" w:rsidRDefault="00395593" w:rsidP="00E15FBB">
      <w:pPr>
        <w:spacing w:after="0" w:line="240" w:lineRule="auto"/>
        <w:rPr>
          <w:rFonts w:ascii="Garamond" w:eastAsia="Calibri" w:hAnsi="Garamond" w:cs="Calibri"/>
          <w:b/>
          <w:sz w:val="24"/>
          <w:szCs w:val="24"/>
        </w:rPr>
      </w:pPr>
    </w:p>
    <w:tbl>
      <w:tblPr>
        <w:tblStyle w:val="Tabelacomgrade1"/>
        <w:tblW w:w="5000" w:type="pct"/>
        <w:tblLook w:val="04A0" w:firstRow="1" w:lastRow="0" w:firstColumn="1" w:lastColumn="0" w:noHBand="0" w:noVBand="1"/>
      </w:tblPr>
      <w:tblGrid>
        <w:gridCol w:w="2166"/>
        <w:gridCol w:w="2166"/>
        <w:gridCol w:w="2166"/>
        <w:gridCol w:w="2166"/>
        <w:gridCol w:w="2165"/>
        <w:gridCol w:w="2165"/>
      </w:tblGrid>
      <w:tr w:rsidR="00395593" w:rsidRPr="00AC0363" w14:paraId="30467D64" w14:textId="77777777" w:rsidTr="005C5CBD">
        <w:trPr>
          <w:trHeight w:val="448"/>
        </w:trPr>
        <w:tc>
          <w:tcPr>
            <w:tcW w:w="833" w:type="pct"/>
            <w:vAlign w:val="center"/>
          </w:tcPr>
          <w:p w14:paraId="712CB360"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07</w:t>
            </w:r>
          </w:p>
        </w:tc>
        <w:tc>
          <w:tcPr>
            <w:tcW w:w="833" w:type="pct"/>
            <w:vAlign w:val="center"/>
          </w:tcPr>
          <w:p w14:paraId="5AEA51A6"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08</w:t>
            </w:r>
          </w:p>
        </w:tc>
        <w:tc>
          <w:tcPr>
            <w:tcW w:w="833" w:type="pct"/>
            <w:vAlign w:val="center"/>
          </w:tcPr>
          <w:p w14:paraId="6A4B3D2C"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09</w:t>
            </w:r>
          </w:p>
        </w:tc>
        <w:tc>
          <w:tcPr>
            <w:tcW w:w="833" w:type="pct"/>
            <w:vAlign w:val="center"/>
          </w:tcPr>
          <w:p w14:paraId="6376A217"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10</w:t>
            </w:r>
          </w:p>
        </w:tc>
        <w:tc>
          <w:tcPr>
            <w:tcW w:w="833" w:type="pct"/>
            <w:vAlign w:val="center"/>
          </w:tcPr>
          <w:p w14:paraId="593535C7"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11</w:t>
            </w:r>
          </w:p>
        </w:tc>
        <w:tc>
          <w:tcPr>
            <w:tcW w:w="833" w:type="pct"/>
            <w:vAlign w:val="center"/>
          </w:tcPr>
          <w:p w14:paraId="695D02EF"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12</w:t>
            </w:r>
          </w:p>
        </w:tc>
      </w:tr>
      <w:tr w:rsidR="00395593" w:rsidRPr="00AC0363" w14:paraId="484237DE" w14:textId="77777777" w:rsidTr="005C5CBD">
        <w:trPr>
          <w:trHeight w:val="709"/>
        </w:trPr>
        <w:tc>
          <w:tcPr>
            <w:tcW w:w="833" w:type="pct"/>
            <w:vAlign w:val="center"/>
          </w:tcPr>
          <w:p w14:paraId="1B4534C1"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Exportador</w:t>
            </w:r>
          </w:p>
        </w:tc>
        <w:tc>
          <w:tcPr>
            <w:tcW w:w="833" w:type="pct"/>
            <w:vAlign w:val="center"/>
          </w:tcPr>
          <w:p w14:paraId="49059845"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País de Exportação</w:t>
            </w:r>
          </w:p>
        </w:tc>
        <w:tc>
          <w:tcPr>
            <w:tcW w:w="833" w:type="pct"/>
            <w:vAlign w:val="center"/>
          </w:tcPr>
          <w:p w14:paraId="76AF65D5"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Fabricante</w:t>
            </w:r>
          </w:p>
        </w:tc>
        <w:tc>
          <w:tcPr>
            <w:tcW w:w="833" w:type="pct"/>
            <w:vAlign w:val="center"/>
          </w:tcPr>
          <w:p w14:paraId="41E28341"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País de Origem</w:t>
            </w:r>
          </w:p>
        </w:tc>
        <w:tc>
          <w:tcPr>
            <w:tcW w:w="833" w:type="pct"/>
            <w:vAlign w:val="center"/>
          </w:tcPr>
          <w:p w14:paraId="29D23D97"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 xml:space="preserve">Quantidade </w:t>
            </w:r>
            <w:r w:rsidRPr="005C5CBD">
              <w:rPr>
                <w:rFonts w:ascii="Garamond" w:eastAsia="Calibri" w:hAnsi="Garamond" w:cs="Calibri"/>
                <w:color w:val="FF0000"/>
                <w:sz w:val="24"/>
                <w:szCs w:val="24"/>
              </w:rPr>
              <w:t>(informar unidade)</w:t>
            </w:r>
          </w:p>
        </w:tc>
        <w:tc>
          <w:tcPr>
            <w:tcW w:w="833" w:type="pct"/>
            <w:vAlign w:val="center"/>
          </w:tcPr>
          <w:p w14:paraId="01918FB1"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 xml:space="preserve">Quantidade                                          </w:t>
            </w:r>
            <w:r w:rsidRPr="005C5CBD">
              <w:rPr>
                <w:rFonts w:ascii="Garamond" w:eastAsia="Calibri" w:hAnsi="Garamond" w:cs="Calibri"/>
                <w:color w:val="FF0000"/>
                <w:sz w:val="24"/>
                <w:szCs w:val="24"/>
              </w:rPr>
              <w:t>(informar unidade de comercialização)</w:t>
            </w:r>
          </w:p>
        </w:tc>
      </w:tr>
    </w:tbl>
    <w:p w14:paraId="2F660CD4" w14:textId="77777777" w:rsidR="00395593" w:rsidRPr="005C5CBD" w:rsidRDefault="00395593" w:rsidP="00E15FBB">
      <w:pPr>
        <w:spacing w:after="0" w:line="240" w:lineRule="auto"/>
        <w:rPr>
          <w:rFonts w:ascii="Garamond" w:eastAsia="Calibri" w:hAnsi="Garamond" w:cs="Calibri"/>
          <w:b/>
          <w:sz w:val="24"/>
          <w:szCs w:val="24"/>
        </w:rPr>
      </w:pPr>
    </w:p>
    <w:tbl>
      <w:tblPr>
        <w:tblStyle w:val="Tabelacomgrade1"/>
        <w:tblW w:w="5000" w:type="pct"/>
        <w:tblLook w:val="04A0" w:firstRow="1" w:lastRow="0" w:firstColumn="1" w:lastColumn="0" w:noHBand="0" w:noVBand="1"/>
      </w:tblPr>
      <w:tblGrid>
        <w:gridCol w:w="3247"/>
        <w:gridCol w:w="3249"/>
        <w:gridCol w:w="3249"/>
        <w:gridCol w:w="3249"/>
      </w:tblGrid>
      <w:tr w:rsidR="00395593" w:rsidRPr="00AC0363" w14:paraId="62744FE2" w14:textId="77777777" w:rsidTr="005C5CBD">
        <w:trPr>
          <w:trHeight w:val="448"/>
        </w:trPr>
        <w:tc>
          <w:tcPr>
            <w:tcW w:w="1249" w:type="pct"/>
            <w:vAlign w:val="center"/>
          </w:tcPr>
          <w:p w14:paraId="7906E366"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13</w:t>
            </w:r>
          </w:p>
        </w:tc>
        <w:tc>
          <w:tcPr>
            <w:tcW w:w="1250" w:type="pct"/>
            <w:vAlign w:val="center"/>
          </w:tcPr>
          <w:p w14:paraId="184EBDB6"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14</w:t>
            </w:r>
          </w:p>
        </w:tc>
        <w:tc>
          <w:tcPr>
            <w:tcW w:w="1250" w:type="pct"/>
            <w:vAlign w:val="center"/>
          </w:tcPr>
          <w:p w14:paraId="1FD0BA1F"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15</w:t>
            </w:r>
          </w:p>
        </w:tc>
        <w:tc>
          <w:tcPr>
            <w:tcW w:w="1250" w:type="pct"/>
          </w:tcPr>
          <w:p w14:paraId="25810A49"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16</w:t>
            </w:r>
          </w:p>
        </w:tc>
      </w:tr>
      <w:tr w:rsidR="00395593" w:rsidRPr="00AC0363" w14:paraId="4A3E0268" w14:textId="77777777" w:rsidTr="005C5CBD">
        <w:trPr>
          <w:trHeight w:val="709"/>
        </w:trPr>
        <w:tc>
          <w:tcPr>
            <w:tcW w:w="1249" w:type="pct"/>
            <w:vAlign w:val="center"/>
          </w:tcPr>
          <w:p w14:paraId="2329883D"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Preço unitário CIF [DI] (US$)</w:t>
            </w:r>
          </w:p>
        </w:tc>
        <w:tc>
          <w:tcPr>
            <w:tcW w:w="1250" w:type="pct"/>
            <w:vAlign w:val="center"/>
          </w:tcPr>
          <w:p w14:paraId="0B5C5EA9"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Nota Fiscal de Entrada</w:t>
            </w:r>
          </w:p>
        </w:tc>
        <w:tc>
          <w:tcPr>
            <w:tcW w:w="1250" w:type="pct"/>
            <w:vAlign w:val="center"/>
          </w:tcPr>
          <w:p w14:paraId="71A82C58"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Data da Nota Fiscal de Entrada</w:t>
            </w:r>
          </w:p>
        </w:tc>
        <w:tc>
          <w:tcPr>
            <w:tcW w:w="1250" w:type="pct"/>
            <w:vAlign w:val="center"/>
          </w:tcPr>
          <w:p w14:paraId="5BBA1996"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Direito compensatório recolhido</w:t>
            </w:r>
          </w:p>
          <w:p w14:paraId="0D7485CF" w14:textId="77777777" w:rsidR="00395593" w:rsidRPr="005C5CBD" w:rsidRDefault="00395593" w:rsidP="00E15FBB">
            <w:pPr>
              <w:jc w:val="center"/>
              <w:rPr>
                <w:rFonts w:ascii="Garamond" w:eastAsia="Calibri" w:hAnsi="Garamond" w:cs="Calibri"/>
                <w:sz w:val="24"/>
                <w:szCs w:val="24"/>
              </w:rPr>
            </w:pPr>
            <w:r w:rsidRPr="005C5CBD">
              <w:rPr>
                <w:rFonts w:ascii="Garamond" w:eastAsia="Calibri" w:hAnsi="Garamond" w:cs="Calibri"/>
                <w:sz w:val="24"/>
                <w:szCs w:val="24"/>
              </w:rPr>
              <w:t>(R$)</w:t>
            </w:r>
          </w:p>
        </w:tc>
      </w:tr>
    </w:tbl>
    <w:p w14:paraId="47EF3010"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3E13BF50"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169F3050"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740D3524" w14:textId="77777777" w:rsidR="00395593" w:rsidRPr="005C5CBD" w:rsidRDefault="00395593" w:rsidP="0097041B">
      <w:pPr>
        <w:spacing w:after="200" w:line="276" w:lineRule="auto"/>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br w:type="page"/>
      </w:r>
    </w:p>
    <w:p w14:paraId="39BC9C3E"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APÊNDICE XXV</w:t>
      </w:r>
    </w:p>
    <w:p w14:paraId="13C2BB3C" w14:textId="77777777" w:rsidR="00395593" w:rsidRPr="005C5CBD" w:rsidRDefault="00395593" w:rsidP="00E15FBB">
      <w:pPr>
        <w:spacing w:after="0" w:line="240" w:lineRule="auto"/>
        <w:jc w:val="center"/>
        <w:rPr>
          <w:rFonts w:ascii="Garamond" w:eastAsia="Times New Roman" w:hAnsi="Garamond" w:cs="Calibri"/>
          <w:b/>
          <w:color w:val="000000"/>
          <w:sz w:val="24"/>
          <w:szCs w:val="24"/>
          <w:lang w:eastAsia="pt-BR"/>
        </w:rPr>
      </w:pPr>
      <w:r w:rsidRPr="005C5CBD">
        <w:rPr>
          <w:rFonts w:ascii="Garamond" w:eastAsia="Times New Roman" w:hAnsi="Garamond" w:cs="Calibri"/>
          <w:b/>
          <w:color w:val="000000"/>
          <w:sz w:val="24"/>
          <w:szCs w:val="24"/>
          <w:lang w:eastAsia="pt-BR"/>
        </w:rPr>
        <w:t>PREÇO DE EXPORTAÇÃO CONSTRUÍDO A PARTIR DO PREÇO DE REVENDA</w:t>
      </w:r>
    </w:p>
    <w:p w14:paraId="3095B5EE" w14:textId="77777777" w:rsidR="00395593" w:rsidRPr="005C5CBD" w:rsidRDefault="00395593" w:rsidP="00E15FBB">
      <w:pPr>
        <w:spacing w:after="0" w:line="240" w:lineRule="auto"/>
        <w:jc w:val="center"/>
        <w:rPr>
          <w:rFonts w:ascii="Garamond" w:eastAsia="Times New Roman" w:hAnsi="Garamond" w:cs="Calibri"/>
          <w:sz w:val="24"/>
          <w:szCs w:val="24"/>
          <w:lang w:eastAsia="pt-BR"/>
        </w:rPr>
      </w:pPr>
    </w:p>
    <w:tbl>
      <w:tblPr>
        <w:tblW w:w="5004" w:type="pct"/>
        <w:jc w:val="center"/>
        <w:tblCellMar>
          <w:left w:w="70" w:type="dxa"/>
          <w:right w:w="70" w:type="dxa"/>
        </w:tblCellMar>
        <w:tblLook w:val="04A0" w:firstRow="1" w:lastRow="0" w:firstColumn="1" w:lastColumn="0" w:noHBand="0" w:noVBand="1"/>
      </w:tblPr>
      <w:tblGrid>
        <w:gridCol w:w="7574"/>
        <w:gridCol w:w="2603"/>
        <w:gridCol w:w="2827"/>
      </w:tblGrid>
      <w:tr w:rsidR="00395593" w:rsidRPr="00AC0363" w14:paraId="492897B7" w14:textId="77777777" w:rsidTr="00395593">
        <w:trPr>
          <w:trHeight w:val="525"/>
          <w:jc w:val="center"/>
        </w:trPr>
        <w:tc>
          <w:tcPr>
            <w:tcW w:w="3913" w:type="pct"/>
            <w:gridSpan w:val="2"/>
            <w:vMerge w:val="restart"/>
            <w:tcBorders>
              <w:top w:val="single" w:sz="4" w:space="0" w:color="auto"/>
              <w:left w:val="single" w:sz="4" w:space="0" w:color="auto"/>
              <w:bottom w:val="nil"/>
              <w:right w:val="nil"/>
            </w:tcBorders>
            <w:shd w:val="clear" w:color="auto" w:fill="auto"/>
            <w:vAlign w:val="center"/>
            <w:hideMark/>
          </w:tcPr>
          <w:p w14:paraId="7A7129B9"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Rubricas</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A9C3C" w14:textId="77777777" w:rsidR="00395593" w:rsidRPr="005C5CBD" w:rsidRDefault="00395593" w:rsidP="00E15FBB">
            <w:pPr>
              <w:spacing w:after="0" w:line="240" w:lineRule="auto"/>
              <w:jc w:val="center"/>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Preço Unitário</w:t>
            </w:r>
          </w:p>
        </w:tc>
      </w:tr>
      <w:tr w:rsidR="00395593" w:rsidRPr="00AC0363" w14:paraId="020C1C21" w14:textId="77777777" w:rsidTr="00395593">
        <w:trPr>
          <w:trHeight w:val="525"/>
          <w:jc w:val="center"/>
        </w:trPr>
        <w:tc>
          <w:tcPr>
            <w:tcW w:w="3913" w:type="pct"/>
            <w:gridSpan w:val="2"/>
            <w:vMerge/>
            <w:tcBorders>
              <w:top w:val="single" w:sz="4" w:space="0" w:color="auto"/>
              <w:left w:val="single" w:sz="4" w:space="0" w:color="auto"/>
              <w:bottom w:val="nil"/>
              <w:right w:val="nil"/>
            </w:tcBorders>
            <w:vAlign w:val="center"/>
            <w:hideMark/>
          </w:tcPr>
          <w:p w14:paraId="3551333A"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p>
        </w:tc>
        <w:tc>
          <w:tcPr>
            <w:tcW w:w="1087" w:type="pct"/>
            <w:tcBorders>
              <w:top w:val="nil"/>
              <w:left w:val="single" w:sz="4" w:space="0" w:color="auto"/>
              <w:bottom w:val="single" w:sz="4" w:space="0" w:color="auto"/>
              <w:right w:val="single" w:sz="4" w:space="0" w:color="auto"/>
            </w:tcBorders>
            <w:shd w:val="clear" w:color="auto" w:fill="auto"/>
            <w:vAlign w:val="center"/>
            <w:hideMark/>
          </w:tcPr>
          <w:p w14:paraId="0727198E" w14:textId="77777777" w:rsidR="00395593" w:rsidRPr="005C5CBD" w:rsidRDefault="00395593" w:rsidP="00E15FBB">
            <w:pPr>
              <w:spacing w:after="0" w:line="240" w:lineRule="auto"/>
              <w:jc w:val="center"/>
              <w:rPr>
                <w:rFonts w:ascii="Garamond" w:eastAsia="Times New Roman" w:hAnsi="Garamond" w:cs="Calibri"/>
                <w:b/>
                <w:color w:val="FF0000"/>
                <w:sz w:val="20"/>
                <w:szCs w:val="20"/>
                <w:lang w:eastAsia="pt-BR"/>
              </w:rPr>
            </w:pPr>
            <w:r w:rsidRPr="005C5CBD">
              <w:rPr>
                <w:rFonts w:ascii="Garamond" w:eastAsia="Times New Roman" w:hAnsi="Garamond" w:cs="Calibri"/>
                <w:b/>
                <w:color w:val="FF0000"/>
                <w:sz w:val="20"/>
                <w:szCs w:val="20"/>
                <w:lang w:eastAsia="pt-BR"/>
              </w:rPr>
              <w:t>Informar moeda / unidade</w:t>
            </w:r>
          </w:p>
        </w:tc>
      </w:tr>
      <w:tr w:rsidR="00395593" w:rsidRPr="00AC0363" w14:paraId="5D24938F" w14:textId="77777777" w:rsidTr="00395593">
        <w:trPr>
          <w:trHeight w:val="525"/>
          <w:jc w:val="center"/>
        </w:trPr>
        <w:tc>
          <w:tcPr>
            <w:tcW w:w="391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9FD2AA"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xml:space="preserve">(A) Preço de revenda do </w:t>
            </w:r>
            <w:r w:rsidRPr="005C5CBD">
              <w:rPr>
                <w:rFonts w:ascii="Garamond" w:eastAsia="Times New Roman" w:hAnsi="Garamond" w:cs="Calibri"/>
                <w:b/>
                <w:sz w:val="20"/>
                <w:szCs w:val="20"/>
                <w:lang w:eastAsia="pt-BR"/>
              </w:rPr>
              <w:t>produto objeto da investigação</w:t>
            </w:r>
            <w:r w:rsidRPr="005C5CBD">
              <w:rPr>
                <w:rFonts w:ascii="Garamond" w:eastAsia="Times New Roman" w:hAnsi="Garamond" w:cs="Calibri"/>
                <w:b/>
                <w:color w:val="000000"/>
                <w:sz w:val="20"/>
                <w:szCs w:val="20"/>
                <w:lang w:eastAsia="pt-BR"/>
              </w:rPr>
              <w:t xml:space="preserve"> ao primeiro comprador interno independente</w:t>
            </w:r>
          </w:p>
        </w:tc>
        <w:tc>
          <w:tcPr>
            <w:tcW w:w="1087" w:type="pct"/>
            <w:tcBorders>
              <w:top w:val="nil"/>
              <w:left w:val="nil"/>
              <w:bottom w:val="single" w:sz="4" w:space="0" w:color="auto"/>
              <w:right w:val="single" w:sz="4" w:space="0" w:color="auto"/>
            </w:tcBorders>
            <w:shd w:val="clear" w:color="000000" w:fill="FFFFFF"/>
            <w:vAlign w:val="center"/>
          </w:tcPr>
          <w:p w14:paraId="7F6191D5" w14:textId="77777777" w:rsidR="00395593" w:rsidRPr="005C5CBD" w:rsidRDefault="00395593" w:rsidP="00E15FBB">
            <w:pPr>
              <w:spacing w:after="0" w:line="240" w:lineRule="auto"/>
              <w:jc w:val="right"/>
              <w:rPr>
                <w:rFonts w:ascii="Garamond" w:eastAsia="Times New Roman" w:hAnsi="Garamond" w:cs="Calibri"/>
                <w:color w:val="000000"/>
                <w:sz w:val="20"/>
                <w:szCs w:val="20"/>
                <w:lang w:eastAsia="pt-BR"/>
              </w:rPr>
            </w:pPr>
          </w:p>
        </w:tc>
      </w:tr>
      <w:tr w:rsidR="00395593" w:rsidRPr="00AC0363" w14:paraId="7DA0759E" w14:textId="77777777" w:rsidTr="00395593">
        <w:trPr>
          <w:trHeight w:val="525"/>
          <w:jc w:val="center"/>
        </w:trPr>
        <w:tc>
          <w:tcPr>
            <w:tcW w:w="2912" w:type="pct"/>
            <w:tcBorders>
              <w:top w:val="nil"/>
              <w:left w:val="single" w:sz="4" w:space="0" w:color="auto"/>
              <w:bottom w:val="single" w:sz="4" w:space="0" w:color="auto"/>
              <w:right w:val="single" w:sz="4" w:space="0" w:color="auto"/>
            </w:tcBorders>
            <w:shd w:val="clear" w:color="auto" w:fill="auto"/>
            <w:vAlign w:val="center"/>
            <w:hideMark/>
          </w:tcPr>
          <w:p w14:paraId="5F3DC677"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(B) Tributos sobre venda 1</w:t>
            </w:r>
          </w:p>
        </w:tc>
        <w:tc>
          <w:tcPr>
            <w:tcW w:w="1001" w:type="pct"/>
            <w:tcBorders>
              <w:top w:val="nil"/>
              <w:left w:val="nil"/>
              <w:bottom w:val="single" w:sz="4" w:space="0" w:color="auto"/>
              <w:right w:val="single" w:sz="4" w:space="0" w:color="auto"/>
            </w:tcBorders>
            <w:shd w:val="clear" w:color="auto" w:fill="auto"/>
            <w:vAlign w:val="center"/>
            <w:hideMark/>
          </w:tcPr>
          <w:p w14:paraId="5FF3A430" w14:textId="77777777" w:rsidR="00395593" w:rsidRPr="005C5CBD" w:rsidRDefault="00395593" w:rsidP="00E15FBB">
            <w:pPr>
              <w:spacing w:after="0" w:line="240" w:lineRule="auto"/>
              <w:jc w:val="center"/>
              <w:rPr>
                <w:rFonts w:ascii="Garamond" w:eastAsia="Times New Roman" w:hAnsi="Garamond" w:cs="Calibri"/>
                <w:b/>
                <w:color w:val="FF0000"/>
                <w:sz w:val="20"/>
                <w:szCs w:val="20"/>
                <w:lang w:eastAsia="pt-BR"/>
              </w:rPr>
            </w:pPr>
            <w:r w:rsidRPr="005C5CBD">
              <w:rPr>
                <w:rFonts w:ascii="Garamond" w:eastAsia="Times New Roman" w:hAnsi="Garamond" w:cs="Calibri"/>
                <w:b/>
                <w:color w:val="FF0000"/>
                <w:sz w:val="20"/>
                <w:szCs w:val="20"/>
                <w:lang w:eastAsia="pt-BR"/>
              </w:rPr>
              <w:t>especificar</w:t>
            </w:r>
          </w:p>
        </w:tc>
        <w:tc>
          <w:tcPr>
            <w:tcW w:w="1087" w:type="pct"/>
            <w:tcBorders>
              <w:top w:val="nil"/>
              <w:left w:val="nil"/>
              <w:bottom w:val="single" w:sz="4" w:space="0" w:color="auto"/>
              <w:right w:val="single" w:sz="4" w:space="0" w:color="auto"/>
            </w:tcBorders>
            <w:shd w:val="clear" w:color="000000" w:fill="FFFFFF"/>
            <w:vAlign w:val="center"/>
          </w:tcPr>
          <w:p w14:paraId="20EEA0ED"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p>
        </w:tc>
      </w:tr>
      <w:tr w:rsidR="00395593" w:rsidRPr="00AC0363" w14:paraId="078FB792" w14:textId="77777777" w:rsidTr="00395593">
        <w:trPr>
          <w:trHeight w:val="525"/>
          <w:jc w:val="center"/>
        </w:trPr>
        <w:tc>
          <w:tcPr>
            <w:tcW w:w="2912" w:type="pct"/>
            <w:tcBorders>
              <w:top w:val="nil"/>
              <w:left w:val="single" w:sz="4" w:space="0" w:color="auto"/>
              <w:bottom w:val="single" w:sz="4" w:space="0" w:color="auto"/>
              <w:right w:val="single" w:sz="4" w:space="0" w:color="auto"/>
            </w:tcBorders>
            <w:shd w:val="clear" w:color="auto" w:fill="auto"/>
            <w:vAlign w:val="center"/>
            <w:hideMark/>
          </w:tcPr>
          <w:p w14:paraId="0FCD2038"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(B) Tributos sobre venda 2</w:t>
            </w:r>
          </w:p>
        </w:tc>
        <w:tc>
          <w:tcPr>
            <w:tcW w:w="1001" w:type="pct"/>
            <w:tcBorders>
              <w:top w:val="nil"/>
              <w:left w:val="nil"/>
              <w:bottom w:val="single" w:sz="4" w:space="0" w:color="auto"/>
              <w:right w:val="single" w:sz="4" w:space="0" w:color="auto"/>
            </w:tcBorders>
            <w:shd w:val="clear" w:color="auto" w:fill="auto"/>
            <w:vAlign w:val="center"/>
            <w:hideMark/>
          </w:tcPr>
          <w:p w14:paraId="4B59B486" w14:textId="77777777" w:rsidR="00395593" w:rsidRPr="005C5CBD" w:rsidRDefault="00395593" w:rsidP="00E15FBB">
            <w:pPr>
              <w:spacing w:after="0" w:line="240" w:lineRule="auto"/>
              <w:jc w:val="center"/>
              <w:rPr>
                <w:rFonts w:ascii="Garamond" w:eastAsia="Times New Roman" w:hAnsi="Garamond" w:cs="Calibri"/>
                <w:b/>
                <w:color w:val="FF0000"/>
                <w:sz w:val="20"/>
                <w:szCs w:val="20"/>
                <w:lang w:eastAsia="pt-BR"/>
              </w:rPr>
            </w:pPr>
            <w:r w:rsidRPr="005C5CBD">
              <w:rPr>
                <w:rFonts w:ascii="Garamond" w:eastAsia="Times New Roman" w:hAnsi="Garamond" w:cs="Calibri"/>
                <w:b/>
                <w:color w:val="FF0000"/>
                <w:sz w:val="20"/>
                <w:szCs w:val="20"/>
                <w:lang w:eastAsia="pt-BR"/>
              </w:rPr>
              <w:t>especificar</w:t>
            </w:r>
          </w:p>
        </w:tc>
        <w:tc>
          <w:tcPr>
            <w:tcW w:w="1087" w:type="pct"/>
            <w:tcBorders>
              <w:top w:val="nil"/>
              <w:left w:val="nil"/>
              <w:bottom w:val="single" w:sz="4" w:space="0" w:color="auto"/>
              <w:right w:val="single" w:sz="4" w:space="0" w:color="auto"/>
            </w:tcBorders>
            <w:shd w:val="clear" w:color="000000" w:fill="FFFFFF"/>
            <w:vAlign w:val="center"/>
          </w:tcPr>
          <w:p w14:paraId="4B6F4AA7"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p>
        </w:tc>
      </w:tr>
      <w:tr w:rsidR="00395593" w:rsidRPr="00AC0363" w14:paraId="5391DA89" w14:textId="77777777" w:rsidTr="00395593">
        <w:trPr>
          <w:trHeight w:val="525"/>
          <w:jc w:val="center"/>
        </w:trPr>
        <w:tc>
          <w:tcPr>
            <w:tcW w:w="391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8219C8"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(C) Lucro com a revenda</w:t>
            </w:r>
          </w:p>
        </w:tc>
        <w:tc>
          <w:tcPr>
            <w:tcW w:w="1087" w:type="pct"/>
            <w:tcBorders>
              <w:top w:val="nil"/>
              <w:left w:val="nil"/>
              <w:bottom w:val="single" w:sz="4" w:space="0" w:color="auto"/>
              <w:right w:val="single" w:sz="4" w:space="0" w:color="auto"/>
            </w:tcBorders>
            <w:shd w:val="clear" w:color="000000" w:fill="FFFFFF"/>
            <w:vAlign w:val="center"/>
          </w:tcPr>
          <w:p w14:paraId="2D23DAE9"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p>
        </w:tc>
      </w:tr>
      <w:tr w:rsidR="00395593" w:rsidRPr="00AC0363" w14:paraId="19D0A14D" w14:textId="77777777" w:rsidTr="00395593">
        <w:trPr>
          <w:trHeight w:val="525"/>
          <w:jc w:val="center"/>
        </w:trPr>
        <w:tc>
          <w:tcPr>
            <w:tcW w:w="2912" w:type="pct"/>
            <w:tcBorders>
              <w:top w:val="nil"/>
              <w:left w:val="single" w:sz="4" w:space="0" w:color="auto"/>
              <w:bottom w:val="single" w:sz="4" w:space="0" w:color="auto"/>
              <w:right w:val="single" w:sz="4" w:space="0" w:color="auto"/>
            </w:tcBorders>
            <w:shd w:val="clear" w:color="auto" w:fill="auto"/>
            <w:vAlign w:val="center"/>
            <w:hideMark/>
          </w:tcPr>
          <w:p w14:paraId="1D7994F6"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(D) Despesas do importador com a revenda 1</w:t>
            </w:r>
          </w:p>
        </w:tc>
        <w:tc>
          <w:tcPr>
            <w:tcW w:w="1001" w:type="pct"/>
            <w:tcBorders>
              <w:top w:val="nil"/>
              <w:left w:val="nil"/>
              <w:bottom w:val="single" w:sz="4" w:space="0" w:color="auto"/>
              <w:right w:val="single" w:sz="4" w:space="0" w:color="auto"/>
            </w:tcBorders>
            <w:shd w:val="clear" w:color="auto" w:fill="auto"/>
            <w:vAlign w:val="center"/>
            <w:hideMark/>
          </w:tcPr>
          <w:p w14:paraId="5C545704" w14:textId="77777777" w:rsidR="00395593" w:rsidRPr="005C5CBD" w:rsidRDefault="00395593" w:rsidP="00E15FBB">
            <w:pPr>
              <w:spacing w:after="0" w:line="240" w:lineRule="auto"/>
              <w:jc w:val="center"/>
              <w:rPr>
                <w:rFonts w:ascii="Garamond" w:eastAsia="Times New Roman" w:hAnsi="Garamond" w:cs="Calibri"/>
                <w:b/>
                <w:color w:val="FF0000"/>
                <w:sz w:val="20"/>
                <w:szCs w:val="20"/>
                <w:lang w:eastAsia="pt-BR"/>
              </w:rPr>
            </w:pPr>
            <w:r w:rsidRPr="005C5CBD">
              <w:rPr>
                <w:rFonts w:ascii="Garamond" w:eastAsia="Times New Roman" w:hAnsi="Garamond" w:cs="Calibri"/>
                <w:b/>
                <w:color w:val="FF0000"/>
                <w:sz w:val="20"/>
                <w:szCs w:val="20"/>
                <w:lang w:eastAsia="pt-BR"/>
              </w:rPr>
              <w:t>especificar</w:t>
            </w:r>
          </w:p>
        </w:tc>
        <w:tc>
          <w:tcPr>
            <w:tcW w:w="1087" w:type="pct"/>
            <w:tcBorders>
              <w:top w:val="nil"/>
              <w:left w:val="nil"/>
              <w:bottom w:val="single" w:sz="4" w:space="0" w:color="auto"/>
              <w:right w:val="single" w:sz="4" w:space="0" w:color="auto"/>
            </w:tcBorders>
            <w:shd w:val="clear" w:color="000000" w:fill="FFFFFF"/>
            <w:vAlign w:val="center"/>
          </w:tcPr>
          <w:p w14:paraId="2A9B1064"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p>
        </w:tc>
      </w:tr>
      <w:tr w:rsidR="00395593" w:rsidRPr="00AC0363" w14:paraId="5A9095E4" w14:textId="77777777" w:rsidTr="00395593">
        <w:trPr>
          <w:trHeight w:val="525"/>
          <w:jc w:val="center"/>
        </w:trPr>
        <w:tc>
          <w:tcPr>
            <w:tcW w:w="2912" w:type="pct"/>
            <w:tcBorders>
              <w:top w:val="nil"/>
              <w:left w:val="single" w:sz="4" w:space="0" w:color="auto"/>
              <w:bottom w:val="single" w:sz="4" w:space="0" w:color="auto"/>
              <w:right w:val="single" w:sz="4" w:space="0" w:color="auto"/>
            </w:tcBorders>
            <w:shd w:val="clear" w:color="auto" w:fill="auto"/>
            <w:vAlign w:val="center"/>
            <w:hideMark/>
          </w:tcPr>
          <w:p w14:paraId="73C8B9B2"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(D) Despesas do importador com a revenda 2</w:t>
            </w:r>
          </w:p>
        </w:tc>
        <w:tc>
          <w:tcPr>
            <w:tcW w:w="1001" w:type="pct"/>
            <w:tcBorders>
              <w:top w:val="nil"/>
              <w:left w:val="nil"/>
              <w:bottom w:val="single" w:sz="4" w:space="0" w:color="auto"/>
              <w:right w:val="single" w:sz="4" w:space="0" w:color="auto"/>
            </w:tcBorders>
            <w:shd w:val="clear" w:color="auto" w:fill="auto"/>
            <w:vAlign w:val="center"/>
            <w:hideMark/>
          </w:tcPr>
          <w:p w14:paraId="7688E0BD" w14:textId="77777777" w:rsidR="00395593" w:rsidRPr="005C5CBD" w:rsidRDefault="00395593" w:rsidP="00E15FBB">
            <w:pPr>
              <w:spacing w:after="0" w:line="240" w:lineRule="auto"/>
              <w:jc w:val="center"/>
              <w:rPr>
                <w:rFonts w:ascii="Garamond" w:eastAsia="Times New Roman" w:hAnsi="Garamond" w:cs="Calibri"/>
                <w:b/>
                <w:color w:val="FF0000"/>
                <w:sz w:val="20"/>
                <w:szCs w:val="20"/>
                <w:lang w:eastAsia="pt-BR"/>
              </w:rPr>
            </w:pPr>
            <w:r w:rsidRPr="005C5CBD">
              <w:rPr>
                <w:rFonts w:ascii="Garamond" w:eastAsia="Times New Roman" w:hAnsi="Garamond" w:cs="Calibri"/>
                <w:b/>
                <w:color w:val="FF0000"/>
                <w:sz w:val="20"/>
                <w:szCs w:val="20"/>
                <w:lang w:eastAsia="pt-BR"/>
              </w:rPr>
              <w:t>especificar</w:t>
            </w:r>
          </w:p>
        </w:tc>
        <w:tc>
          <w:tcPr>
            <w:tcW w:w="1087" w:type="pct"/>
            <w:tcBorders>
              <w:top w:val="nil"/>
              <w:left w:val="nil"/>
              <w:bottom w:val="single" w:sz="4" w:space="0" w:color="auto"/>
              <w:right w:val="single" w:sz="4" w:space="0" w:color="auto"/>
            </w:tcBorders>
            <w:shd w:val="clear" w:color="000000" w:fill="FFFFFF"/>
            <w:vAlign w:val="center"/>
          </w:tcPr>
          <w:p w14:paraId="7C22B542"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p>
        </w:tc>
      </w:tr>
      <w:tr w:rsidR="00395593" w:rsidRPr="00AC0363" w14:paraId="366CE62D" w14:textId="77777777" w:rsidTr="00395593">
        <w:trPr>
          <w:trHeight w:val="525"/>
          <w:jc w:val="center"/>
        </w:trPr>
        <w:tc>
          <w:tcPr>
            <w:tcW w:w="391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D341D6"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xml:space="preserve">(E) Preço do </w:t>
            </w:r>
            <w:r w:rsidRPr="005C5CBD">
              <w:rPr>
                <w:rFonts w:ascii="Garamond" w:eastAsia="Times New Roman" w:hAnsi="Garamond" w:cs="Calibri"/>
                <w:b/>
                <w:sz w:val="20"/>
                <w:szCs w:val="20"/>
                <w:lang w:eastAsia="pt-BR"/>
              </w:rPr>
              <w:t>produto objeto da investigação</w:t>
            </w:r>
            <w:r w:rsidRPr="005C5CBD">
              <w:rPr>
                <w:rFonts w:ascii="Garamond" w:eastAsia="Times New Roman" w:hAnsi="Garamond" w:cs="Calibri"/>
                <w:b/>
                <w:color w:val="000000"/>
                <w:sz w:val="20"/>
                <w:szCs w:val="20"/>
                <w:lang w:eastAsia="pt-BR"/>
              </w:rPr>
              <w:t xml:space="preserve"> no revendedor  (A-B-C-D)</w:t>
            </w:r>
          </w:p>
        </w:tc>
        <w:tc>
          <w:tcPr>
            <w:tcW w:w="1087" w:type="pct"/>
            <w:tcBorders>
              <w:top w:val="nil"/>
              <w:left w:val="nil"/>
              <w:bottom w:val="single" w:sz="4" w:space="0" w:color="auto"/>
              <w:right w:val="single" w:sz="4" w:space="0" w:color="auto"/>
            </w:tcBorders>
            <w:shd w:val="clear" w:color="auto" w:fill="auto"/>
            <w:vAlign w:val="center"/>
          </w:tcPr>
          <w:p w14:paraId="7E91B22A"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p>
        </w:tc>
      </w:tr>
      <w:tr w:rsidR="00395593" w:rsidRPr="00AC0363" w14:paraId="2BCAB76F" w14:textId="77777777" w:rsidTr="00395593">
        <w:trPr>
          <w:trHeight w:val="525"/>
          <w:jc w:val="center"/>
        </w:trPr>
        <w:tc>
          <w:tcPr>
            <w:tcW w:w="391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C71C00"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(F) Frete, no Brasil, do porto ao revendedor</w:t>
            </w:r>
          </w:p>
        </w:tc>
        <w:tc>
          <w:tcPr>
            <w:tcW w:w="1087" w:type="pct"/>
            <w:tcBorders>
              <w:top w:val="nil"/>
              <w:left w:val="nil"/>
              <w:bottom w:val="single" w:sz="4" w:space="0" w:color="auto"/>
              <w:right w:val="single" w:sz="4" w:space="0" w:color="auto"/>
            </w:tcBorders>
            <w:shd w:val="clear" w:color="000000" w:fill="FFFFFF"/>
            <w:vAlign w:val="center"/>
          </w:tcPr>
          <w:p w14:paraId="1389E2B3"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p>
        </w:tc>
      </w:tr>
      <w:tr w:rsidR="00395593" w:rsidRPr="00AC0363" w14:paraId="3C36ADED" w14:textId="77777777" w:rsidTr="00395593">
        <w:trPr>
          <w:trHeight w:val="525"/>
          <w:jc w:val="center"/>
        </w:trPr>
        <w:tc>
          <w:tcPr>
            <w:tcW w:w="2912" w:type="pct"/>
            <w:tcBorders>
              <w:top w:val="nil"/>
              <w:left w:val="single" w:sz="4" w:space="0" w:color="auto"/>
              <w:bottom w:val="single" w:sz="4" w:space="0" w:color="auto"/>
              <w:right w:val="single" w:sz="4" w:space="0" w:color="auto"/>
            </w:tcBorders>
            <w:shd w:val="clear" w:color="auto" w:fill="auto"/>
            <w:vAlign w:val="center"/>
            <w:hideMark/>
          </w:tcPr>
          <w:p w14:paraId="1AEBDEF7"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(G) Custos de internação 1</w:t>
            </w:r>
          </w:p>
        </w:tc>
        <w:tc>
          <w:tcPr>
            <w:tcW w:w="1001" w:type="pct"/>
            <w:tcBorders>
              <w:top w:val="nil"/>
              <w:left w:val="nil"/>
              <w:bottom w:val="single" w:sz="4" w:space="0" w:color="auto"/>
              <w:right w:val="single" w:sz="4" w:space="0" w:color="auto"/>
            </w:tcBorders>
            <w:shd w:val="clear" w:color="auto" w:fill="auto"/>
            <w:vAlign w:val="center"/>
            <w:hideMark/>
          </w:tcPr>
          <w:p w14:paraId="65D561B3" w14:textId="77777777" w:rsidR="00395593" w:rsidRPr="005C5CBD" w:rsidRDefault="00395593" w:rsidP="00E15FBB">
            <w:pPr>
              <w:spacing w:after="0" w:line="240" w:lineRule="auto"/>
              <w:jc w:val="center"/>
              <w:rPr>
                <w:rFonts w:ascii="Garamond" w:eastAsia="Times New Roman" w:hAnsi="Garamond" w:cs="Calibri"/>
                <w:b/>
                <w:color w:val="FF0000"/>
                <w:sz w:val="20"/>
                <w:szCs w:val="20"/>
                <w:lang w:eastAsia="pt-BR"/>
              </w:rPr>
            </w:pPr>
            <w:r w:rsidRPr="005C5CBD">
              <w:rPr>
                <w:rFonts w:ascii="Garamond" w:eastAsia="Times New Roman" w:hAnsi="Garamond" w:cs="Calibri"/>
                <w:b/>
                <w:color w:val="FF0000"/>
                <w:sz w:val="20"/>
                <w:szCs w:val="20"/>
                <w:lang w:eastAsia="pt-BR"/>
              </w:rPr>
              <w:t>especificar</w:t>
            </w:r>
          </w:p>
        </w:tc>
        <w:tc>
          <w:tcPr>
            <w:tcW w:w="1087" w:type="pct"/>
            <w:tcBorders>
              <w:top w:val="nil"/>
              <w:left w:val="nil"/>
              <w:bottom w:val="single" w:sz="4" w:space="0" w:color="auto"/>
              <w:right w:val="single" w:sz="4" w:space="0" w:color="auto"/>
            </w:tcBorders>
            <w:shd w:val="clear" w:color="000000" w:fill="FFFFFF"/>
            <w:vAlign w:val="center"/>
          </w:tcPr>
          <w:p w14:paraId="4612042B"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p>
        </w:tc>
      </w:tr>
      <w:tr w:rsidR="00395593" w:rsidRPr="00AC0363" w14:paraId="7ACA3BAF" w14:textId="77777777" w:rsidTr="00395593">
        <w:trPr>
          <w:trHeight w:val="525"/>
          <w:jc w:val="center"/>
        </w:trPr>
        <w:tc>
          <w:tcPr>
            <w:tcW w:w="2912" w:type="pct"/>
            <w:tcBorders>
              <w:top w:val="nil"/>
              <w:left w:val="single" w:sz="4" w:space="0" w:color="auto"/>
              <w:bottom w:val="single" w:sz="4" w:space="0" w:color="auto"/>
              <w:right w:val="single" w:sz="4" w:space="0" w:color="auto"/>
            </w:tcBorders>
            <w:shd w:val="clear" w:color="auto" w:fill="auto"/>
            <w:vAlign w:val="center"/>
            <w:hideMark/>
          </w:tcPr>
          <w:p w14:paraId="18BB41CE"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(G) Custos de internação 2</w:t>
            </w:r>
          </w:p>
        </w:tc>
        <w:tc>
          <w:tcPr>
            <w:tcW w:w="1001" w:type="pct"/>
            <w:tcBorders>
              <w:top w:val="nil"/>
              <w:left w:val="nil"/>
              <w:bottom w:val="single" w:sz="4" w:space="0" w:color="auto"/>
              <w:right w:val="single" w:sz="4" w:space="0" w:color="auto"/>
            </w:tcBorders>
            <w:shd w:val="clear" w:color="auto" w:fill="auto"/>
            <w:vAlign w:val="center"/>
            <w:hideMark/>
          </w:tcPr>
          <w:p w14:paraId="62D8341B" w14:textId="77777777" w:rsidR="00395593" w:rsidRPr="005C5CBD" w:rsidRDefault="00395593" w:rsidP="00E15FBB">
            <w:pPr>
              <w:spacing w:after="0" w:line="240" w:lineRule="auto"/>
              <w:jc w:val="center"/>
              <w:rPr>
                <w:rFonts w:ascii="Garamond" w:eastAsia="Times New Roman" w:hAnsi="Garamond" w:cs="Calibri"/>
                <w:b/>
                <w:color w:val="FF0000"/>
                <w:sz w:val="20"/>
                <w:szCs w:val="20"/>
                <w:lang w:eastAsia="pt-BR"/>
              </w:rPr>
            </w:pPr>
            <w:r w:rsidRPr="005C5CBD">
              <w:rPr>
                <w:rFonts w:ascii="Garamond" w:eastAsia="Times New Roman" w:hAnsi="Garamond" w:cs="Calibri"/>
                <w:b/>
                <w:color w:val="FF0000"/>
                <w:sz w:val="20"/>
                <w:szCs w:val="20"/>
                <w:lang w:eastAsia="pt-BR"/>
              </w:rPr>
              <w:t>especificar</w:t>
            </w:r>
          </w:p>
        </w:tc>
        <w:tc>
          <w:tcPr>
            <w:tcW w:w="1087" w:type="pct"/>
            <w:tcBorders>
              <w:top w:val="nil"/>
              <w:left w:val="nil"/>
              <w:bottom w:val="single" w:sz="4" w:space="0" w:color="auto"/>
              <w:right w:val="single" w:sz="4" w:space="0" w:color="auto"/>
            </w:tcBorders>
            <w:shd w:val="clear" w:color="000000" w:fill="FFFFFF"/>
            <w:vAlign w:val="center"/>
          </w:tcPr>
          <w:p w14:paraId="1B53D976" w14:textId="77777777" w:rsidR="00395593" w:rsidRPr="005C5CBD" w:rsidRDefault="00395593" w:rsidP="00E15FBB">
            <w:pPr>
              <w:spacing w:after="0" w:line="240" w:lineRule="auto"/>
              <w:jc w:val="right"/>
              <w:rPr>
                <w:rFonts w:ascii="Garamond" w:eastAsia="Times New Roman" w:hAnsi="Garamond" w:cs="Calibri"/>
                <w:color w:val="000000"/>
                <w:sz w:val="16"/>
                <w:szCs w:val="16"/>
                <w:lang w:eastAsia="pt-BR"/>
              </w:rPr>
            </w:pPr>
          </w:p>
        </w:tc>
      </w:tr>
      <w:tr w:rsidR="00395593" w:rsidRPr="00AC0363" w14:paraId="342F3C15" w14:textId="77777777" w:rsidTr="00395593">
        <w:trPr>
          <w:trHeight w:val="525"/>
          <w:jc w:val="center"/>
        </w:trPr>
        <w:tc>
          <w:tcPr>
            <w:tcW w:w="391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B60B524"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(H) AFRMM (25% s/ frete)</w:t>
            </w:r>
          </w:p>
        </w:tc>
        <w:tc>
          <w:tcPr>
            <w:tcW w:w="1087" w:type="pct"/>
            <w:tcBorders>
              <w:top w:val="nil"/>
              <w:left w:val="nil"/>
              <w:bottom w:val="single" w:sz="4" w:space="0" w:color="auto"/>
              <w:right w:val="single" w:sz="4" w:space="0" w:color="auto"/>
            </w:tcBorders>
            <w:shd w:val="clear" w:color="auto" w:fill="auto"/>
            <w:vAlign w:val="center"/>
          </w:tcPr>
          <w:p w14:paraId="0811F6A1"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p>
        </w:tc>
      </w:tr>
      <w:tr w:rsidR="00395593" w:rsidRPr="00AC0363" w14:paraId="39F578CC" w14:textId="77777777" w:rsidTr="00395593">
        <w:trPr>
          <w:trHeight w:val="525"/>
          <w:jc w:val="center"/>
        </w:trPr>
        <w:tc>
          <w:tcPr>
            <w:tcW w:w="391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20B0F2"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xml:space="preserve">(I) Imposto de Importação </w:t>
            </w:r>
          </w:p>
        </w:tc>
        <w:tc>
          <w:tcPr>
            <w:tcW w:w="1087" w:type="pct"/>
            <w:tcBorders>
              <w:top w:val="nil"/>
              <w:left w:val="nil"/>
              <w:bottom w:val="single" w:sz="4" w:space="0" w:color="auto"/>
              <w:right w:val="single" w:sz="4" w:space="0" w:color="auto"/>
            </w:tcBorders>
            <w:shd w:val="clear" w:color="auto" w:fill="auto"/>
            <w:vAlign w:val="center"/>
          </w:tcPr>
          <w:p w14:paraId="6830FA0B"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p>
        </w:tc>
      </w:tr>
      <w:tr w:rsidR="00395593" w:rsidRPr="00AC0363" w14:paraId="4E4BEE38" w14:textId="77777777" w:rsidTr="00395593">
        <w:trPr>
          <w:trHeight w:val="525"/>
          <w:jc w:val="center"/>
        </w:trPr>
        <w:tc>
          <w:tcPr>
            <w:tcW w:w="391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9280D2B"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(J) Direitos antidumping</w:t>
            </w:r>
          </w:p>
        </w:tc>
        <w:tc>
          <w:tcPr>
            <w:tcW w:w="1087" w:type="pct"/>
            <w:tcBorders>
              <w:top w:val="single" w:sz="4" w:space="0" w:color="auto"/>
              <w:left w:val="nil"/>
              <w:bottom w:val="single" w:sz="4" w:space="0" w:color="auto"/>
              <w:right w:val="single" w:sz="4" w:space="0" w:color="auto"/>
            </w:tcBorders>
            <w:shd w:val="clear" w:color="auto" w:fill="auto"/>
            <w:vAlign w:val="center"/>
          </w:tcPr>
          <w:p w14:paraId="308DE30B" w14:textId="77777777" w:rsidR="00395593" w:rsidRPr="005C5CBD" w:rsidRDefault="00395593" w:rsidP="00E15FBB">
            <w:pPr>
              <w:spacing w:after="0" w:line="240" w:lineRule="auto"/>
              <w:rPr>
                <w:rFonts w:ascii="Garamond" w:eastAsia="Times New Roman" w:hAnsi="Garamond" w:cs="Calibri"/>
                <w:b/>
                <w:color w:val="000000"/>
                <w:sz w:val="16"/>
                <w:szCs w:val="16"/>
                <w:lang w:eastAsia="pt-BR"/>
              </w:rPr>
            </w:pPr>
          </w:p>
        </w:tc>
      </w:tr>
      <w:tr w:rsidR="00395593" w:rsidRPr="00AC0363" w14:paraId="359A3676" w14:textId="77777777" w:rsidTr="00395593">
        <w:trPr>
          <w:trHeight w:val="525"/>
          <w:jc w:val="center"/>
        </w:trPr>
        <w:tc>
          <w:tcPr>
            <w:tcW w:w="391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FEB049"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(K) Preço CIF para o Brasil (E-F-G-H-I-J)</w:t>
            </w:r>
          </w:p>
        </w:tc>
        <w:tc>
          <w:tcPr>
            <w:tcW w:w="1087" w:type="pct"/>
            <w:tcBorders>
              <w:top w:val="nil"/>
              <w:left w:val="nil"/>
              <w:bottom w:val="single" w:sz="4" w:space="0" w:color="auto"/>
              <w:right w:val="single" w:sz="4" w:space="0" w:color="auto"/>
            </w:tcBorders>
            <w:shd w:val="clear" w:color="auto" w:fill="auto"/>
            <w:vAlign w:val="center"/>
          </w:tcPr>
          <w:p w14:paraId="32BDC779"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p>
        </w:tc>
      </w:tr>
      <w:tr w:rsidR="00395593" w:rsidRPr="00AC0363" w14:paraId="04A7B176" w14:textId="77777777" w:rsidTr="00395593">
        <w:trPr>
          <w:trHeight w:val="525"/>
          <w:jc w:val="center"/>
        </w:trPr>
        <w:tc>
          <w:tcPr>
            <w:tcW w:w="391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282DF9"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xml:space="preserve">(L) Frete para o Brasil </w:t>
            </w:r>
          </w:p>
        </w:tc>
        <w:tc>
          <w:tcPr>
            <w:tcW w:w="1087" w:type="pct"/>
            <w:tcBorders>
              <w:top w:val="nil"/>
              <w:left w:val="nil"/>
              <w:bottom w:val="single" w:sz="4" w:space="0" w:color="auto"/>
              <w:right w:val="single" w:sz="4" w:space="0" w:color="auto"/>
            </w:tcBorders>
            <w:shd w:val="clear" w:color="auto" w:fill="auto"/>
            <w:vAlign w:val="center"/>
          </w:tcPr>
          <w:p w14:paraId="387892E2"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p>
        </w:tc>
      </w:tr>
      <w:tr w:rsidR="00395593" w:rsidRPr="00AC0363" w14:paraId="4D0660B3" w14:textId="77777777" w:rsidTr="00395593">
        <w:trPr>
          <w:trHeight w:val="525"/>
          <w:jc w:val="center"/>
        </w:trPr>
        <w:tc>
          <w:tcPr>
            <w:tcW w:w="391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04FA8AD"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 xml:space="preserve">(M) Seguro </w:t>
            </w:r>
          </w:p>
        </w:tc>
        <w:tc>
          <w:tcPr>
            <w:tcW w:w="1087" w:type="pct"/>
            <w:tcBorders>
              <w:top w:val="nil"/>
              <w:left w:val="nil"/>
              <w:bottom w:val="single" w:sz="4" w:space="0" w:color="auto"/>
              <w:right w:val="single" w:sz="4" w:space="0" w:color="auto"/>
            </w:tcBorders>
            <w:shd w:val="clear" w:color="auto" w:fill="auto"/>
            <w:vAlign w:val="center"/>
          </w:tcPr>
          <w:p w14:paraId="7B06C026"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p>
        </w:tc>
      </w:tr>
      <w:tr w:rsidR="00395593" w:rsidRPr="00AC0363" w14:paraId="7628A6CC" w14:textId="77777777" w:rsidTr="00395593">
        <w:trPr>
          <w:trHeight w:val="525"/>
          <w:jc w:val="center"/>
        </w:trPr>
        <w:tc>
          <w:tcPr>
            <w:tcW w:w="391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8B88647"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(N) Preço FOB para o Brasil (K-L-M)</w:t>
            </w:r>
          </w:p>
        </w:tc>
        <w:tc>
          <w:tcPr>
            <w:tcW w:w="1087" w:type="pct"/>
            <w:tcBorders>
              <w:top w:val="nil"/>
              <w:left w:val="nil"/>
              <w:bottom w:val="single" w:sz="4" w:space="0" w:color="auto"/>
              <w:right w:val="single" w:sz="4" w:space="0" w:color="auto"/>
            </w:tcBorders>
            <w:shd w:val="clear" w:color="auto" w:fill="auto"/>
            <w:vAlign w:val="center"/>
          </w:tcPr>
          <w:p w14:paraId="2A03FDB4"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p>
        </w:tc>
      </w:tr>
      <w:tr w:rsidR="00395593" w:rsidRPr="00AC0363" w14:paraId="40811C55" w14:textId="77777777" w:rsidTr="00395593">
        <w:trPr>
          <w:trHeight w:val="525"/>
          <w:jc w:val="center"/>
        </w:trPr>
        <w:tc>
          <w:tcPr>
            <w:tcW w:w="2912" w:type="pct"/>
            <w:tcBorders>
              <w:top w:val="nil"/>
              <w:left w:val="single" w:sz="4" w:space="0" w:color="auto"/>
              <w:bottom w:val="single" w:sz="4" w:space="0" w:color="auto"/>
              <w:right w:val="nil"/>
            </w:tcBorders>
            <w:shd w:val="clear" w:color="auto" w:fill="auto"/>
            <w:vAlign w:val="center"/>
            <w:hideMark/>
          </w:tcPr>
          <w:p w14:paraId="1093DA19"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(O) Despesas de exportação para o Brasil no país exportador 1</w:t>
            </w:r>
          </w:p>
        </w:tc>
        <w:tc>
          <w:tcPr>
            <w:tcW w:w="1001" w:type="pct"/>
            <w:tcBorders>
              <w:top w:val="nil"/>
              <w:left w:val="single" w:sz="4" w:space="0" w:color="auto"/>
              <w:bottom w:val="single" w:sz="4" w:space="0" w:color="auto"/>
              <w:right w:val="single" w:sz="4" w:space="0" w:color="auto"/>
            </w:tcBorders>
            <w:shd w:val="clear" w:color="auto" w:fill="auto"/>
            <w:vAlign w:val="center"/>
            <w:hideMark/>
          </w:tcPr>
          <w:p w14:paraId="13229979" w14:textId="77777777" w:rsidR="00395593" w:rsidRPr="005C5CBD" w:rsidRDefault="00395593" w:rsidP="00E15FBB">
            <w:pPr>
              <w:spacing w:after="0" w:line="240" w:lineRule="auto"/>
              <w:jc w:val="center"/>
              <w:rPr>
                <w:rFonts w:ascii="Garamond" w:eastAsia="Times New Roman" w:hAnsi="Garamond" w:cs="Calibri"/>
                <w:b/>
                <w:color w:val="FF0000"/>
                <w:sz w:val="20"/>
                <w:szCs w:val="20"/>
                <w:lang w:eastAsia="pt-BR"/>
              </w:rPr>
            </w:pPr>
            <w:r w:rsidRPr="005C5CBD">
              <w:rPr>
                <w:rFonts w:ascii="Garamond" w:eastAsia="Times New Roman" w:hAnsi="Garamond" w:cs="Calibri"/>
                <w:b/>
                <w:color w:val="FF0000"/>
                <w:sz w:val="20"/>
                <w:szCs w:val="20"/>
                <w:lang w:eastAsia="pt-BR"/>
              </w:rPr>
              <w:t>especificar</w:t>
            </w:r>
          </w:p>
        </w:tc>
        <w:tc>
          <w:tcPr>
            <w:tcW w:w="1087" w:type="pct"/>
            <w:tcBorders>
              <w:top w:val="nil"/>
              <w:left w:val="nil"/>
              <w:bottom w:val="single" w:sz="4" w:space="0" w:color="auto"/>
              <w:right w:val="single" w:sz="4" w:space="0" w:color="auto"/>
            </w:tcBorders>
            <w:shd w:val="clear" w:color="auto" w:fill="auto"/>
            <w:vAlign w:val="center"/>
          </w:tcPr>
          <w:p w14:paraId="316666C3"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p>
        </w:tc>
      </w:tr>
      <w:tr w:rsidR="00395593" w:rsidRPr="00AC0363" w14:paraId="7A353359" w14:textId="77777777" w:rsidTr="00395593">
        <w:trPr>
          <w:trHeight w:val="525"/>
          <w:jc w:val="center"/>
        </w:trPr>
        <w:tc>
          <w:tcPr>
            <w:tcW w:w="2912" w:type="pct"/>
            <w:tcBorders>
              <w:top w:val="nil"/>
              <w:left w:val="single" w:sz="4" w:space="0" w:color="auto"/>
              <w:bottom w:val="single" w:sz="4" w:space="0" w:color="auto"/>
              <w:right w:val="nil"/>
            </w:tcBorders>
            <w:shd w:val="clear" w:color="auto" w:fill="auto"/>
            <w:vAlign w:val="center"/>
            <w:hideMark/>
          </w:tcPr>
          <w:p w14:paraId="3428CC62"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(O) Despesas de exportação para o Brasil no país exportador 2</w:t>
            </w:r>
          </w:p>
        </w:tc>
        <w:tc>
          <w:tcPr>
            <w:tcW w:w="1001" w:type="pct"/>
            <w:tcBorders>
              <w:top w:val="nil"/>
              <w:left w:val="single" w:sz="4" w:space="0" w:color="auto"/>
              <w:bottom w:val="single" w:sz="4" w:space="0" w:color="auto"/>
              <w:right w:val="single" w:sz="4" w:space="0" w:color="auto"/>
            </w:tcBorders>
            <w:shd w:val="clear" w:color="auto" w:fill="auto"/>
            <w:vAlign w:val="center"/>
            <w:hideMark/>
          </w:tcPr>
          <w:p w14:paraId="1C35ADD6" w14:textId="77777777" w:rsidR="00395593" w:rsidRPr="005C5CBD" w:rsidRDefault="00395593" w:rsidP="00E15FBB">
            <w:pPr>
              <w:spacing w:after="0" w:line="240" w:lineRule="auto"/>
              <w:jc w:val="center"/>
              <w:rPr>
                <w:rFonts w:ascii="Garamond" w:eastAsia="Times New Roman" w:hAnsi="Garamond" w:cs="Calibri"/>
                <w:b/>
                <w:color w:val="FF0000"/>
                <w:sz w:val="20"/>
                <w:szCs w:val="20"/>
                <w:lang w:eastAsia="pt-BR"/>
              </w:rPr>
            </w:pPr>
            <w:r w:rsidRPr="005C5CBD">
              <w:rPr>
                <w:rFonts w:ascii="Garamond" w:eastAsia="Times New Roman" w:hAnsi="Garamond" w:cs="Calibri"/>
                <w:b/>
                <w:color w:val="FF0000"/>
                <w:sz w:val="20"/>
                <w:szCs w:val="20"/>
                <w:lang w:eastAsia="pt-BR"/>
              </w:rPr>
              <w:t>especificar</w:t>
            </w:r>
          </w:p>
        </w:tc>
        <w:tc>
          <w:tcPr>
            <w:tcW w:w="1087" w:type="pct"/>
            <w:tcBorders>
              <w:top w:val="nil"/>
              <w:left w:val="nil"/>
              <w:bottom w:val="single" w:sz="4" w:space="0" w:color="auto"/>
              <w:right w:val="single" w:sz="4" w:space="0" w:color="auto"/>
            </w:tcBorders>
            <w:shd w:val="clear" w:color="auto" w:fill="auto"/>
            <w:vAlign w:val="center"/>
          </w:tcPr>
          <w:p w14:paraId="525AA33D"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p>
        </w:tc>
      </w:tr>
      <w:tr w:rsidR="00395593" w:rsidRPr="00AC0363" w14:paraId="31106024" w14:textId="77777777" w:rsidTr="00395593">
        <w:trPr>
          <w:trHeight w:val="525"/>
          <w:jc w:val="center"/>
        </w:trPr>
        <w:tc>
          <w:tcPr>
            <w:tcW w:w="391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5FFD584" w14:textId="77777777" w:rsidR="00395593" w:rsidRPr="005C5CBD" w:rsidRDefault="00395593" w:rsidP="00E15FBB">
            <w:pPr>
              <w:spacing w:after="0" w:line="240" w:lineRule="auto"/>
              <w:rPr>
                <w:rFonts w:ascii="Garamond" w:eastAsia="Times New Roman" w:hAnsi="Garamond" w:cs="Calibri"/>
                <w:b/>
                <w:color w:val="000000"/>
                <w:sz w:val="20"/>
                <w:szCs w:val="20"/>
                <w:lang w:eastAsia="pt-BR"/>
              </w:rPr>
            </w:pPr>
            <w:r w:rsidRPr="005C5CBD">
              <w:rPr>
                <w:rFonts w:ascii="Garamond" w:eastAsia="Times New Roman" w:hAnsi="Garamond" w:cs="Calibri"/>
                <w:b/>
                <w:color w:val="000000"/>
                <w:sz w:val="20"/>
                <w:szCs w:val="20"/>
                <w:lang w:eastAsia="pt-BR"/>
              </w:rPr>
              <w:t>(P) Preço ex fabrica (N-O)</w:t>
            </w:r>
          </w:p>
        </w:tc>
        <w:tc>
          <w:tcPr>
            <w:tcW w:w="1087" w:type="pct"/>
            <w:tcBorders>
              <w:top w:val="nil"/>
              <w:left w:val="nil"/>
              <w:bottom w:val="single" w:sz="4" w:space="0" w:color="auto"/>
              <w:right w:val="single" w:sz="4" w:space="0" w:color="auto"/>
            </w:tcBorders>
            <w:shd w:val="clear" w:color="auto" w:fill="auto"/>
            <w:vAlign w:val="center"/>
          </w:tcPr>
          <w:p w14:paraId="22AF1048" w14:textId="77777777" w:rsidR="00395593" w:rsidRPr="005C5CBD" w:rsidRDefault="00395593" w:rsidP="00E15FBB">
            <w:pPr>
              <w:spacing w:after="0" w:line="240" w:lineRule="auto"/>
              <w:jc w:val="right"/>
              <w:rPr>
                <w:rFonts w:ascii="Garamond" w:eastAsia="Times New Roman" w:hAnsi="Garamond" w:cs="Calibri"/>
                <w:b/>
                <w:color w:val="000000"/>
                <w:sz w:val="16"/>
                <w:szCs w:val="16"/>
                <w:lang w:eastAsia="pt-BR"/>
              </w:rPr>
            </w:pPr>
          </w:p>
        </w:tc>
      </w:tr>
    </w:tbl>
    <w:p w14:paraId="5C451194"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60C04610"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4B4CB1D9"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584FAA19"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033D59E0" w14:textId="77777777" w:rsidR="00395593" w:rsidRPr="005C5CBD" w:rsidRDefault="00395593" w:rsidP="0097041B">
      <w:pPr>
        <w:spacing w:after="200" w:line="276" w:lineRule="auto"/>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br w:type="page"/>
      </w:r>
    </w:p>
    <w:tbl>
      <w:tblPr>
        <w:tblW w:w="5000" w:type="pct"/>
        <w:jc w:val="center"/>
        <w:tblCellMar>
          <w:left w:w="70" w:type="dxa"/>
          <w:right w:w="70" w:type="dxa"/>
        </w:tblCellMar>
        <w:tblLook w:val="04A0" w:firstRow="1" w:lastRow="0" w:firstColumn="1" w:lastColumn="0" w:noHBand="0" w:noVBand="1"/>
      </w:tblPr>
      <w:tblGrid>
        <w:gridCol w:w="6161"/>
        <w:gridCol w:w="3358"/>
        <w:gridCol w:w="3485"/>
      </w:tblGrid>
      <w:tr w:rsidR="00395593" w:rsidRPr="004F3D8C" w14:paraId="175B61B5" w14:textId="77777777" w:rsidTr="00395593">
        <w:trPr>
          <w:trHeight w:val="300"/>
          <w:jc w:val="center"/>
        </w:trPr>
        <w:tc>
          <w:tcPr>
            <w:tcW w:w="5000" w:type="pct"/>
            <w:gridSpan w:val="3"/>
            <w:noWrap/>
            <w:vAlign w:val="bottom"/>
            <w:hideMark/>
          </w:tcPr>
          <w:p w14:paraId="63ADA337"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APÊNDICE XXVI</w:t>
            </w:r>
          </w:p>
        </w:tc>
      </w:tr>
      <w:tr w:rsidR="00395593" w:rsidRPr="004F3D8C" w14:paraId="0F272E81" w14:textId="77777777" w:rsidTr="00395593">
        <w:trPr>
          <w:trHeight w:val="300"/>
          <w:jc w:val="center"/>
        </w:trPr>
        <w:tc>
          <w:tcPr>
            <w:tcW w:w="5000" w:type="pct"/>
            <w:gridSpan w:val="3"/>
            <w:noWrap/>
            <w:vAlign w:val="bottom"/>
            <w:hideMark/>
          </w:tcPr>
          <w:p w14:paraId="27C01660"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PREÇO DE EXPORTAÇÃO PARA REDETERMINAÇÃO</w:t>
            </w:r>
          </w:p>
        </w:tc>
      </w:tr>
      <w:tr w:rsidR="00395593" w:rsidRPr="004F3D8C" w14:paraId="69F77DB1" w14:textId="77777777" w:rsidTr="00395593">
        <w:trPr>
          <w:trHeight w:val="300"/>
          <w:jc w:val="center"/>
        </w:trPr>
        <w:tc>
          <w:tcPr>
            <w:tcW w:w="2369" w:type="pct"/>
            <w:noWrap/>
            <w:vAlign w:val="bottom"/>
            <w:hideMark/>
          </w:tcPr>
          <w:p w14:paraId="6D2FC53B" w14:textId="77777777" w:rsidR="00395593" w:rsidRPr="005C5CBD" w:rsidRDefault="00395593" w:rsidP="00E15FBB">
            <w:pPr>
              <w:spacing w:after="0" w:line="240" w:lineRule="auto"/>
              <w:rPr>
                <w:rFonts w:ascii="Garamond" w:eastAsia="Times New Roman" w:hAnsi="Garamond" w:cs="Calibri"/>
                <w:b/>
                <w:color w:val="000000"/>
                <w:sz w:val="24"/>
                <w:szCs w:val="24"/>
              </w:rPr>
            </w:pPr>
          </w:p>
        </w:tc>
        <w:tc>
          <w:tcPr>
            <w:tcW w:w="1291" w:type="pct"/>
            <w:noWrap/>
            <w:vAlign w:val="bottom"/>
            <w:hideMark/>
          </w:tcPr>
          <w:p w14:paraId="5CAE5561" w14:textId="77777777" w:rsidR="00395593" w:rsidRPr="005C5CBD" w:rsidRDefault="00395593" w:rsidP="00E15FBB">
            <w:pPr>
              <w:spacing w:after="0" w:line="276" w:lineRule="auto"/>
              <w:rPr>
                <w:rFonts w:ascii="Garamond" w:eastAsia="Calibri" w:hAnsi="Garamond" w:cs="Calibri"/>
                <w:sz w:val="24"/>
                <w:szCs w:val="24"/>
              </w:rPr>
            </w:pPr>
          </w:p>
        </w:tc>
        <w:tc>
          <w:tcPr>
            <w:tcW w:w="1340" w:type="pct"/>
            <w:noWrap/>
            <w:vAlign w:val="bottom"/>
            <w:hideMark/>
          </w:tcPr>
          <w:p w14:paraId="270E4846" w14:textId="77777777" w:rsidR="00395593" w:rsidRPr="005C5CBD" w:rsidRDefault="00395593" w:rsidP="00E15FBB">
            <w:pPr>
              <w:spacing w:after="0" w:line="276" w:lineRule="auto"/>
              <w:rPr>
                <w:rFonts w:ascii="Garamond" w:eastAsia="Calibri" w:hAnsi="Garamond" w:cs="Calibri"/>
                <w:sz w:val="24"/>
                <w:szCs w:val="24"/>
              </w:rPr>
            </w:pPr>
          </w:p>
        </w:tc>
      </w:tr>
      <w:tr w:rsidR="00395593" w:rsidRPr="004F3D8C" w14:paraId="200D0BB1" w14:textId="77777777" w:rsidTr="00395593">
        <w:trPr>
          <w:trHeight w:val="720"/>
          <w:jc w:val="center"/>
        </w:trPr>
        <w:tc>
          <w:tcPr>
            <w:tcW w:w="3660" w:type="pct"/>
            <w:gridSpan w:val="2"/>
            <w:vMerge w:val="restart"/>
            <w:tcBorders>
              <w:top w:val="single" w:sz="4" w:space="0" w:color="auto"/>
              <w:left w:val="single" w:sz="4" w:space="0" w:color="auto"/>
              <w:bottom w:val="nil"/>
              <w:right w:val="nil"/>
            </w:tcBorders>
            <w:vAlign w:val="center"/>
            <w:hideMark/>
          </w:tcPr>
          <w:p w14:paraId="569DEE74"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Rubricas</w:t>
            </w:r>
          </w:p>
        </w:tc>
        <w:tc>
          <w:tcPr>
            <w:tcW w:w="1340" w:type="pct"/>
            <w:tcBorders>
              <w:top w:val="single" w:sz="4" w:space="0" w:color="auto"/>
              <w:left w:val="single" w:sz="4" w:space="0" w:color="auto"/>
              <w:bottom w:val="single" w:sz="4" w:space="0" w:color="auto"/>
              <w:right w:val="single" w:sz="4" w:space="0" w:color="auto"/>
            </w:tcBorders>
            <w:vAlign w:val="center"/>
            <w:hideMark/>
          </w:tcPr>
          <w:p w14:paraId="03D1BB5A"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Valor Unitário</w:t>
            </w:r>
          </w:p>
        </w:tc>
      </w:tr>
      <w:tr w:rsidR="00395593" w:rsidRPr="004F3D8C" w14:paraId="1E8BC2BE" w14:textId="77777777" w:rsidTr="00395593">
        <w:trPr>
          <w:trHeight w:val="480"/>
          <w:jc w:val="center"/>
        </w:trPr>
        <w:tc>
          <w:tcPr>
            <w:tcW w:w="3660" w:type="pct"/>
            <w:gridSpan w:val="2"/>
            <w:vMerge/>
            <w:tcBorders>
              <w:top w:val="single" w:sz="4" w:space="0" w:color="auto"/>
              <w:left w:val="single" w:sz="4" w:space="0" w:color="auto"/>
              <w:bottom w:val="nil"/>
              <w:right w:val="nil"/>
            </w:tcBorders>
            <w:vAlign w:val="center"/>
            <w:hideMark/>
          </w:tcPr>
          <w:p w14:paraId="2F864E48" w14:textId="77777777" w:rsidR="00395593" w:rsidRPr="005C5CBD" w:rsidRDefault="00395593" w:rsidP="00E15FBB">
            <w:pPr>
              <w:spacing w:after="0" w:line="276" w:lineRule="auto"/>
              <w:rPr>
                <w:rFonts w:ascii="Garamond" w:eastAsia="Times New Roman" w:hAnsi="Garamond" w:cs="Calibri"/>
                <w:b/>
                <w:color w:val="000000"/>
                <w:sz w:val="24"/>
                <w:szCs w:val="24"/>
              </w:rPr>
            </w:pPr>
          </w:p>
        </w:tc>
        <w:tc>
          <w:tcPr>
            <w:tcW w:w="1340" w:type="pct"/>
            <w:tcBorders>
              <w:top w:val="nil"/>
              <w:left w:val="single" w:sz="4" w:space="0" w:color="auto"/>
              <w:bottom w:val="single" w:sz="4" w:space="0" w:color="auto"/>
              <w:right w:val="single" w:sz="4" w:space="0" w:color="auto"/>
            </w:tcBorders>
            <w:vAlign w:val="center"/>
            <w:hideMark/>
          </w:tcPr>
          <w:p w14:paraId="4E75F6D9" w14:textId="77777777" w:rsidR="00395593" w:rsidRPr="005C5CBD" w:rsidRDefault="00395593" w:rsidP="00E15FBB">
            <w:pPr>
              <w:spacing w:after="0" w:line="276" w:lineRule="auto"/>
              <w:jc w:val="center"/>
              <w:rPr>
                <w:rFonts w:ascii="Garamond" w:eastAsia="Times New Roman" w:hAnsi="Garamond" w:cs="Calibri"/>
                <w:b/>
                <w:color w:val="FF0000"/>
                <w:sz w:val="24"/>
                <w:szCs w:val="24"/>
              </w:rPr>
            </w:pPr>
            <w:r w:rsidRPr="005C5CBD">
              <w:rPr>
                <w:rFonts w:ascii="Garamond" w:eastAsia="Times New Roman" w:hAnsi="Garamond" w:cs="Calibri"/>
                <w:b/>
                <w:color w:val="FF0000"/>
                <w:sz w:val="24"/>
                <w:szCs w:val="24"/>
              </w:rPr>
              <w:t>Informar moeda / unidade</w:t>
            </w:r>
          </w:p>
        </w:tc>
      </w:tr>
      <w:tr w:rsidR="00395593" w:rsidRPr="004F3D8C" w14:paraId="3737AB89" w14:textId="77777777" w:rsidTr="00395593">
        <w:trPr>
          <w:trHeight w:val="585"/>
          <w:jc w:val="center"/>
        </w:trPr>
        <w:tc>
          <w:tcPr>
            <w:tcW w:w="3660" w:type="pct"/>
            <w:gridSpan w:val="2"/>
            <w:tcBorders>
              <w:top w:val="single" w:sz="4" w:space="0" w:color="auto"/>
              <w:left w:val="single" w:sz="4" w:space="0" w:color="auto"/>
              <w:bottom w:val="single" w:sz="4" w:space="0" w:color="auto"/>
              <w:right w:val="single" w:sz="4" w:space="0" w:color="000000"/>
            </w:tcBorders>
            <w:vAlign w:val="center"/>
            <w:hideMark/>
          </w:tcPr>
          <w:p w14:paraId="72BAB9AE" w14:textId="77777777" w:rsidR="00395593" w:rsidRPr="005C5CBD" w:rsidRDefault="00395593" w:rsidP="00E15FBB">
            <w:pPr>
              <w:spacing w:after="0" w:line="276" w:lineRule="auto"/>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(A)Preço FOB mensal para o Brasil</w:t>
            </w:r>
          </w:p>
        </w:tc>
        <w:tc>
          <w:tcPr>
            <w:tcW w:w="1340" w:type="pct"/>
            <w:tcBorders>
              <w:top w:val="nil"/>
              <w:left w:val="nil"/>
              <w:bottom w:val="single" w:sz="4" w:space="0" w:color="auto"/>
              <w:right w:val="single" w:sz="4" w:space="0" w:color="auto"/>
            </w:tcBorders>
            <w:shd w:val="clear" w:color="auto" w:fill="FFFFFF"/>
            <w:vAlign w:val="center"/>
            <w:hideMark/>
          </w:tcPr>
          <w:p w14:paraId="00722D12" w14:textId="77777777" w:rsidR="00395593" w:rsidRPr="005C5CBD" w:rsidRDefault="00395593" w:rsidP="00E15FBB">
            <w:pPr>
              <w:spacing w:after="0" w:line="276" w:lineRule="auto"/>
              <w:jc w:val="right"/>
              <w:rPr>
                <w:rFonts w:ascii="Garamond" w:eastAsia="Times New Roman" w:hAnsi="Garamond" w:cs="Calibri"/>
                <w:color w:val="000000"/>
                <w:sz w:val="24"/>
                <w:szCs w:val="24"/>
              </w:rPr>
            </w:pPr>
            <w:r w:rsidRPr="005C5CBD">
              <w:rPr>
                <w:rFonts w:ascii="Garamond" w:eastAsia="Times New Roman" w:hAnsi="Garamond" w:cs="Calibri"/>
                <w:color w:val="000000"/>
                <w:sz w:val="24"/>
                <w:szCs w:val="24"/>
              </w:rPr>
              <w:t> </w:t>
            </w:r>
          </w:p>
        </w:tc>
      </w:tr>
    </w:tbl>
    <w:p w14:paraId="6DBC6FC0" w14:textId="77777777" w:rsidR="00395593" w:rsidRPr="005C5CBD" w:rsidRDefault="00395593" w:rsidP="00E15FBB">
      <w:pPr>
        <w:spacing w:after="0" w:line="276" w:lineRule="auto"/>
        <w:jc w:val="center"/>
        <w:rPr>
          <w:rFonts w:ascii="Garamond" w:eastAsia="Calibri" w:hAnsi="Garamond" w:cs="Calibri"/>
        </w:rPr>
      </w:pPr>
    </w:p>
    <w:p w14:paraId="7117FAE7" w14:textId="77777777" w:rsidR="00395593" w:rsidRPr="005C5CBD" w:rsidRDefault="00395593" w:rsidP="00E15FBB">
      <w:pPr>
        <w:spacing w:after="0" w:line="276" w:lineRule="auto"/>
        <w:jc w:val="center"/>
        <w:rPr>
          <w:rFonts w:ascii="Garamond" w:eastAsia="Calibri" w:hAnsi="Garamond" w:cs="Calibri"/>
        </w:rPr>
      </w:pPr>
    </w:p>
    <w:p w14:paraId="40016E53" w14:textId="77777777" w:rsidR="00395593" w:rsidRPr="005C5CBD" w:rsidRDefault="00395593" w:rsidP="00E15FBB">
      <w:pPr>
        <w:spacing w:after="0" w:line="276" w:lineRule="auto"/>
        <w:jc w:val="center"/>
        <w:rPr>
          <w:rFonts w:ascii="Garamond" w:eastAsia="Calibri" w:hAnsi="Garamond" w:cs="Calibri"/>
        </w:rPr>
      </w:pPr>
    </w:p>
    <w:p w14:paraId="11F22A1E" w14:textId="77777777" w:rsidR="00395593" w:rsidRPr="005C5CBD" w:rsidRDefault="00395593" w:rsidP="00E15FBB">
      <w:pPr>
        <w:spacing w:after="0" w:line="240" w:lineRule="auto"/>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br w:type="page"/>
      </w:r>
    </w:p>
    <w:tbl>
      <w:tblPr>
        <w:tblW w:w="5000" w:type="pct"/>
        <w:jc w:val="center"/>
        <w:tblCellMar>
          <w:left w:w="70" w:type="dxa"/>
          <w:right w:w="70" w:type="dxa"/>
        </w:tblCellMar>
        <w:tblLook w:val="04A0" w:firstRow="1" w:lastRow="0" w:firstColumn="1" w:lastColumn="0" w:noHBand="0" w:noVBand="1"/>
      </w:tblPr>
      <w:tblGrid>
        <w:gridCol w:w="13004"/>
      </w:tblGrid>
      <w:tr w:rsidR="00395593" w:rsidRPr="004F3D8C" w14:paraId="5535705A" w14:textId="77777777" w:rsidTr="00395593">
        <w:trPr>
          <w:trHeight w:val="525"/>
          <w:jc w:val="center"/>
        </w:trPr>
        <w:tc>
          <w:tcPr>
            <w:tcW w:w="5000" w:type="pct"/>
            <w:noWrap/>
            <w:vAlign w:val="bottom"/>
            <w:hideMark/>
          </w:tcPr>
          <w:p w14:paraId="12466AB6"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APÊNDICE XXVII</w:t>
            </w:r>
          </w:p>
          <w:p w14:paraId="3278893B"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PREÇO CIF INTERNADO</w:t>
            </w:r>
          </w:p>
        </w:tc>
      </w:tr>
      <w:tr w:rsidR="00395593" w:rsidRPr="004F3D8C" w14:paraId="499F6A79" w14:textId="77777777" w:rsidTr="00395593">
        <w:trPr>
          <w:trHeight w:val="525"/>
          <w:jc w:val="center"/>
        </w:trPr>
        <w:tc>
          <w:tcPr>
            <w:tcW w:w="5000" w:type="pct"/>
            <w:noWrap/>
            <w:vAlign w:val="bottom"/>
            <w:hideMark/>
          </w:tcPr>
          <w:p w14:paraId="7E241751"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p>
        </w:tc>
      </w:tr>
    </w:tbl>
    <w:p w14:paraId="03C47B1A" w14:textId="77777777" w:rsidR="00395593" w:rsidRPr="005C5CBD" w:rsidRDefault="00395593" w:rsidP="00E15FBB">
      <w:pPr>
        <w:spacing w:after="0" w:line="240" w:lineRule="auto"/>
        <w:ind w:firstLine="708"/>
        <w:jc w:val="both"/>
        <w:rPr>
          <w:rFonts w:ascii="Garamond" w:eastAsia="Times New Roman" w:hAnsi="Garamond" w:cs="Calibri"/>
          <w:sz w:val="24"/>
          <w:szCs w:val="24"/>
          <w:lang w:eastAsia="pt-BR"/>
        </w:rPr>
      </w:pPr>
    </w:p>
    <w:tbl>
      <w:tblPr>
        <w:tblStyle w:val="Tabelacomgrade1"/>
        <w:tblW w:w="5000" w:type="pct"/>
        <w:tblLook w:val="04A0" w:firstRow="1" w:lastRow="0" w:firstColumn="1" w:lastColumn="0" w:noHBand="0" w:noVBand="1"/>
      </w:tblPr>
      <w:tblGrid>
        <w:gridCol w:w="7147"/>
        <w:gridCol w:w="2931"/>
        <w:gridCol w:w="2916"/>
      </w:tblGrid>
      <w:tr w:rsidR="00395593" w:rsidRPr="004F3D8C" w14:paraId="33B3C949" w14:textId="77777777" w:rsidTr="005C5CBD">
        <w:trPr>
          <w:trHeight w:val="330"/>
        </w:trPr>
        <w:tc>
          <w:tcPr>
            <w:tcW w:w="2750" w:type="pct"/>
            <w:tcBorders>
              <w:top w:val="single" w:sz="4" w:space="0" w:color="FFFFFF"/>
              <w:left w:val="single" w:sz="4" w:space="0" w:color="FFFFFF"/>
            </w:tcBorders>
            <w:noWrap/>
            <w:hideMark/>
          </w:tcPr>
          <w:p w14:paraId="23B35170" w14:textId="77777777" w:rsidR="00395593" w:rsidRPr="005C5CBD" w:rsidRDefault="00395593" w:rsidP="0097041B">
            <w:pPr>
              <w:rPr>
                <w:rFonts w:ascii="Garamond" w:hAnsi="Garamond" w:cs="Calibri"/>
                <w:sz w:val="24"/>
                <w:szCs w:val="24"/>
              </w:rPr>
            </w:pPr>
          </w:p>
        </w:tc>
        <w:tc>
          <w:tcPr>
            <w:tcW w:w="2250" w:type="pct"/>
            <w:gridSpan w:val="2"/>
            <w:noWrap/>
            <w:hideMark/>
          </w:tcPr>
          <w:p w14:paraId="314809FC"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000000"/>
                <w:sz w:val="24"/>
                <w:szCs w:val="24"/>
              </w:rPr>
              <w:t>Preço CIF internado</w:t>
            </w:r>
          </w:p>
        </w:tc>
      </w:tr>
      <w:tr w:rsidR="00395593" w:rsidRPr="004F3D8C" w14:paraId="4FAC21E8" w14:textId="77777777" w:rsidTr="005C5CBD">
        <w:trPr>
          <w:trHeight w:val="330"/>
        </w:trPr>
        <w:tc>
          <w:tcPr>
            <w:tcW w:w="2750" w:type="pct"/>
            <w:noWrap/>
            <w:hideMark/>
          </w:tcPr>
          <w:p w14:paraId="133DCCF7" w14:textId="77777777" w:rsidR="00395593" w:rsidRPr="005C5CBD" w:rsidRDefault="00395593" w:rsidP="0097041B">
            <w:pPr>
              <w:spacing w:line="276" w:lineRule="auto"/>
              <w:rPr>
                <w:rFonts w:ascii="Garamond" w:hAnsi="Garamond" w:cs="Calibri"/>
                <w:color w:val="000000"/>
                <w:sz w:val="24"/>
                <w:szCs w:val="24"/>
              </w:rPr>
            </w:pPr>
            <w:r w:rsidRPr="005C5CBD">
              <w:rPr>
                <w:rFonts w:ascii="Garamond" w:hAnsi="Garamond" w:cs="Calibri"/>
                <w:color w:val="000000"/>
                <w:sz w:val="24"/>
                <w:szCs w:val="24"/>
              </w:rPr>
              <w:t>Origens Investigadas</w:t>
            </w:r>
          </w:p>
        </w:tc>
        <w:tc>
          <w:tcPr>
            <w:tcW w:w="1128" w:type="pct"/>
            <w:hideMark/>
          </w:tcPr>
          <w:p w14:paraId="44ECD23B"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000000"/>
                <w:sz w:val="24"/>
                <w:szCs w:val="24"/>
              </w:rPr>
              <w:t>P1</w:t>
            </w:r>
          </w:p>
        </w:tc>
        <w:tc>
          <w:tcPr>
            <w:tcW w:w="1122" w:type="pct"/>
            <w:hideMark/>
          </w:tcPr>
          <w:p w14:paraId="4C4A0B9B"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FF0000"/>
                <w:sz w:val="24"/>
                <w:szCs w:val="24"/>
              </w:rPr>
              <w:t>Px</w:t>
            </w:r>
          </w:p>
        </w:tc>
      </w:tr>
      <w:tr w:rsidR="00395593" w:rsidRPr="004F3D8C" w14:paraId="0909F66B" w14:textId="77777777" w:rsidTr="005C5CBD">
        <w:trPr>
          <w:trHeight w:val="330"/>
        </w:trPr>
        <w:tc>
          <w:tcPr>
            <w:tcW w:w="2750" w:type="pct"/>
            <w:noWrap/>
            <w:hideMark/>
          </w:tcPr>
          <w:p w14:paraId="199DB101" w14:textId="77777777" w:rsidR="00395593" w:rsidRPr="005C5CBD" w:rsidRDefault="00395593" w:rsidP="0097041B">
            <w:pPr>
              <w:spacing w:line="276" w:lineRule="auto"/>
              <w:rPr>
                <w:rFonts w:ascii="Garamond" w:hAnsi="Garamond" w:cs="Calibri"/>
                <w:color w:val="000000"/>
                <w:sz w:val="24"/>
                <w:szCs w:val="24"/>
              </w:rPr>
            </w:pPr>
            <w:r w:rsidRPr="005C5CBD">
              <w:rPr>
                <w:rFonts w:ascii="Garamond" w:hAnsi="Garamond" w:cs="Calibri"/>
                <w:color w:val="000000"/>
                <w:sz w:val="24"/>
                <w:szCs w:val="24"/>
              </w:rPr>
              <w:t>CIF R$/(t)</w:t>
            </w:r>
          </w:p>
        </w:tc>
        <w:tc>
          <w:tcPr>
            <w:tcW w:w="1128" w:type="pct"/>
            <w:hideMark/>
          </w:tcPr>
          <w:p w14:paraId="519C202B"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000000"/>
                <w:sz w:val="24"/>
                <w:szCs w:val="24"/>
              </w:rPr>
              <w:t>-</w:t>
            </w:r>
          </w:p>
        </w:tc>
        <w:tc>
          <w:tcPr>
            <w:tcW w:w="1122" w:type="pct"/>
            <w:hideMark/>
          </w:tcPr>
          <w:p w14:paraId="6D8B0349"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000000"/>
                <w:sz w:val="24"/>
                <w:szCs w:val="24"/>
              </w:rPr>
              <w:t>-</w:t>
            </w:r>
          </w:p>
        </w:tc>
      </w:tr>
      <w:tr w:rsidR="00395593" w:rsidRPr="004F3D8C" w14:paraId="3B1DB57F" w14:textId="77777777" w:rsidTr="005C5CBD">
        <w:trPr>
          <w:trHeight w:val="330"/>
        </w:trPr>
        <w:tc>
          <w:tcPr>
            <w:tcW w:w="2750" w:type="pct"/>
            <w:noWrap/>
            <w:hideMark/>
          </w:tcPr>
          <w:p w14:paraId="5E3F13C0" w14:textId="77777777" w:rsidR="00395593" w:rsidRPr="005C5CBD" w:rsidRDefault="00395593" w:rsidP="0097041B">
            <w:pPr>
              <w:spacing w:line="276" w:lineRule="auto"/>
              <w:rPr>
                <w:rFonts w:ascii="Garamond" w:hAnsi="Garamond" w:cs="Calibri"/>
                <w:color w:val="000000"/>
                <w:sz w:val="24"/>
                <w:szCs w:val="24"/>
              </w:rPr>
            </w:pPr>
            <w:r w:rsidRPr="005C5CBD">
              <w:rPr>
                <w:rFonts w:ascii="Garamond" w:hAnsi="Garamond" w:cs="Calibri"/>
                <w:color w:val="000000"/>
                <w:sz w:val="24"/>
                <w:szCs w:val="24"/>
              </w:rPr>
              <w:t>Imposto de Importação R$/(t)</w:t>
            </w:r>
          </w:p>
        </w:tc>
        <w:tc>
          <w:tcPr>
            <w:tcW w:w="1128" w:type="pct"/>
            <w:hideMark/>
          </w:tcPr>
          <w:p w14:paraId="34E5A563"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000000"/>
                <w:sz w:val="24"/>
                <w:szCs w:val="24"/>
              </w:rPr>
              <w:t>-</w:t>
            </w:r>
          </w:p>
        </w:tc>
        <w:tc>
          <w:tcPr>
            <w:tcW w:w="1122" w:type="pct"/>
            <w:hideMark/>
          </w:tcPr>
          <w:p w14:paraId="69068B5F"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000000"/>
                <w:sz w:val="24"/>
                <w:szCs w:val="24"/>
              </w:rPr>
              <w:t>-</w:t>
            </w:r>
          </w:p>
        </w:tc>
      </w:tr>
      <w:tr w:rsidR="00395593" w:rsidRPr="004F3D8C" w14:paraId="2E611C37" w14:textId="77777777" w:rsidTr="005C5CBD">
        <w:trPr>
          <w:trHeight w:val="330"/>
        </w:trPr>
        <w:tc>
          <w:tcPr>
            <w:tcW w:w="2750" w:type="pct"/>
            <w:noWrap/>
            <w:hideMark/>
          </w:tcPr>
          <w:p w14:paraId="7DC897E2" w14:textId="77777777" w:rsidR="00395593" w:rsidRPr="005C5CBD" w:rsidRDefault="00395593" w:rsidP="0097041B">
            <w:pPr>
              <w:spacing w:line="276" w:lineRule="auto"/>
              <w:rPr>
                <w:rFonts w:ascii="Garamond" w:hAnsi="Garamond" w:cs="Calibri"/>
                <w:color w:val="000000"/>
                <w:sz w:val="24"/>
                <w:szCs w:val="24"/>
              </w:rPr>
            </w:pPr>
            <w:r w:rsidRPr="005C5CBD">
              <w:rPr>
                <w:rFonts w:ascii="Garamond" w:hAnsi="Garamond" w:cs="Calibri"/>
                <w:color w:val="000000"/>
                <w:sz w:val="24"/>
                <w:szCs w:val="24"/>
              </w:rPr>
              <w:t>AFRMM R$/(t)</w:t>
            </w:r>
          </w:p>
        </w:tc>
        <w:tc>
          <w:tcPr>
            <w:tcW w:w="1128" w:type="pct"/>
            <w:hideMark/>
          </w:tcPr>
          <w:p w14:paraId="1377B5A3"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000000"/>
                <w:sz w:val="24"/>
                <w:szCs w:val="24"/>
              </w:rPr>
              <w:t>-</w:t>
            </w:r>
          </w:p>
        </w:tc>
        <w:tc>
          <w:tcPr>
            <w:tcW w:w="1122" w:type="pct"/>
            <w:hideMark/>
          </w:tcPr>
          <w:p w14:paraId="727FDD7E"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000000"/>
                <w:sz w:val="24"/>
                <w:szCs w:val="24"/>
              </w:rPr>
              <w:t>-</w:t>
            </w:r>
          </w:p>
        </w:tc>
      </w:tr>
      <w:tr w:rsidR="00395593" w:rsidRPr="004F3D8C" w14:paraId="4F05DF83" w14:textId="77777777" w:rsidTr="005C5CBD">
        <w:trPr>
          <w:trHeight w:val="330"/>
        </w:trPr>
        <w:tc>
          <w:tcPr>
            <w:tcW w:w="2750" w:type="pct"/>
            <w:noWrap/>
            <w:hideMark/>
          </w:tcPr>
          <w:p w14:paraId="5E84441E" w14:textId="77777777" w:rsidR="00395593" w:rsidRPr="005C5CBD" w:rsidRDefault="00395593" w:rsidP="0097041B">
            <w:pPr>
              <w:spacing w:line="276" w:lineRule="auto"/>
              <w:rPr>
                <w:rFonts w:ascii="Garamond" w:hAnsi="Garamond" w:cs="Calibri"/>
                <w:color w:val="000000"/>
                <w:sz w:val="24"/>
                <w:szCs w:val="24"/>
              </w:rPr>
            </w:pPr>
            <w:r w:rsidRPr="005C5CBD">
              <w:rPr>
                <w:rFonts w:ascii="Garamond" w:hAnsi="Garamond" w:cs="Calibri"/>
                <w:color w:val="000000"/>
                <w:sz w:val="24"/>
                <w:szCs w:val="24"/>
              </w:rPr>
              <w:t>Despesas de Internação R$/(t)</w:t>
            </w:r>
          </w:p>
        </w:tc>
        <w:tc>
          <w:tcPr>
            <w:tcW w:w="1128" w:type="pct"/>
            <w:hideMark/>
          </w:tcPr>
          <w:p w14:paraId="13362072"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000000"/>
                <w:sz w:val="24"/>
                <w:szCs w:val="24"/>
              </w:rPr>
              <w:t>-</w:t>
            </w:r>
          </w:p>
        </w:tc>
        <w:tc>
          <w:tcPr>
            <w:tcW w:w="1122" w:type="pct"/>
            <w:hideMark/>
          </w:tcPr>
          <w:p w14:paraId="1E877E52"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000000"/>
                <w:sz w:val="24"/>
                <w:szCs w:val="24"/>
              </w:rPr>
              <w:t>-</w:t>
            </w:r>
          </w:p>
        </w:tc>
      </w:tr>
      <w:tr w:rsidR="00395593" w:rsidRPr="004F3D8C" w14:paraId="22F63F54" w14:textId="77777777" w:rsidTr="005C5CBD">
        <w:trPr>
          <w:trHeight w:val="330"/>
        </w:trPr>
        <w:tc>
          <w:tcPr>
            <w:tcW w:w="2750" w:type="pct"/>
            <w:noWrap/>
            <w:hideMark/>
          </w:tcPr>
          <w:p w14:paraId="2F5C889F" w14:textId="77777777" w:rsidR="00395593" w:rsidRPr="005C5CBD" w:rsidRDefault="00395593" w:rsidP="0097041B">
            <w:pPr>
              <w:spacing w:line="276" w:lineRule="auto"/>
              <w:rPr>
                <w:rFonts w:ascii="Garamond" w:hAnsi="Garamond" w:cs="Calibri"/>
                <w:color w:val="000000"/>
                <w:sz w:val="24"/>
                <w:szCs w:val="24"/>
              </w:rPr>
            </w:pPr>
            <w:r w:rsidRPr="005C5CBD">
              <w:rPr>
                <w:rFonts w:ascii="Garamond" w:hAnsi="Garamond" w:cs="Calibri"/>
                <w:color w:val="000000"/>
                <w:sz w:val="24"/>
                <w:szCs w:val="24"/>
              </w:rPr>
              <w:t>Antidumping R$/(t)</w:t>
            </w:r>
          </w:p>
        </w:tc>
        <w:tc>
          <w:tcPr>
            <w:tcW w:w="1128" w:type="pct"/>
            <w:hideMark/>
          </w:tcPr>
          <w:p w14:paraId="0BF2020C"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000000"/>
                <w:sz w:val="24"/>
                <w:szCs w:val="24"/>
              </w:rPr>
              <w:t>-</w:t>
            </w:r>
          </w:p>
        </w:tc>
        <w:tc>
          <w:tcPr>
            <w:tcW w:w="1122" w:type="pct"/>
            <w:hideMark/>
          </w:tcPr>
          <w:p w14:paraId="5E45485F"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000000"/>
                <w:sz w:val="24"/>
                <w:szCs w:val="24"/>
              </w:rPr>
              <w:t>-</w:t>
            </w:r>
          </w:p>
        </w:tc>
      </w:tr>
      <w:tr w:rsidR="00395593" w:rsidRPr="004F3D8C" w14:paraId="7CDE5C0B" w14:textId="77777777" w:rsidTr="005C5CBD">
        <w:trPr>
          <w:trHeight w:val="330"/>
        </w:trPr>
        <w:tc>
          <w:tcPr>
            <w:tcW w:w="2750" w:type="pct"/>
            <w:noWrap/>
            <w:hideMark/>
          </w:tcPr>
          <w:p w14:paraId="5BE832AF" w14:textId="77777777" w:rsidR="00395593" w:rsidRPr="005C5CBD" w:rsidRDefault="00395593" w:rsidP="0097041B">
            <w:pPr>
              <w:spacing w:line="276" w:lineRule="auto"/>
              <w:rPr>
                <w:rFonts w:ascii="Garamond" w:hAnsi="Garamond" w:cs="Calibri"/>
                <w:color w:val="000000"/>
                <w:sz w:val="24"/>
                <w:szCs w:val="24"/>
              </w:rPr>
            </w:pPr>
            <w:r w:rsidRPr="005C5CBD">
              <w:rPr>
                <w:rFonts w:ascii="Garamond" w:hAnsi="Garamond" w:cs="Calibri"/>
                <w:color w:val="000000"/>
                <w:sz w:val="24"/>
                <w:szCs w:val="24"/>
              </w:rPr>
              <w:t>CIF Internado R$/(t)</w:t>
            </w:r>
          </w:p>
        </w:tc>
        <w:tc>
          <w:tcPr>
            <w:tcW w:w="1128" w:type="pct"/>
            <w:hideMark/>
          </w:tcPr>
          <w:p w14:paraId="75ED541D"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000000"/>
                <w:sz w:val="24"/>
                <w:szCs w:val="24"/>
              </w:rPr>
              <w:t>-</w:t>
            </w:r>
          </w:p>
        </w:tc>
        <w:tc>
          <w:tcPr>
            <w:tcW w:w="1122" w:type="pct"/>
            <w:hideMark/>
          </w:tcPr>
          <w:p w14:paraId="2CC0D5FF"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000000"/>
                <w:sz w:val="24"/>
                <w:szCs w:val="24"/>
              </w:rPr>
              <w:t>-</w:t>
            </w:r>
          </w:p>
        </w:tc>
      </w:tr>
      <w:tr w:rsidR="00395593" w:rsidRPr="004F3D8C" w14:paraId="06294DB7" w14:textId="77777777" w:rsidTr="005C5CBD">
        <w:trPr>
          <w:trHeight w:val="330"/>
        </w:trPr>
        <w:tc>
          <w:tcPr>
            <w:tcW w:w="2750" w:type="pct"/>
            <w:noWrap/>
            <w:hideMark/>
          </w:tcPr>
          <w:p w14:paraId="797E0BFA" w14:textId="77777777" w:rsidR="00395593" w:rsidRPr="005C5CBD" w:rsidRDefault="00395593" w:rsidP="0097041B">
            <w:pPr>
              <w:spacing w:line="276" w:lineRule="auto"/>
              <w:rPr>
                <w:rFonts w:ascii="Garamond" w:hAnsi="Garamond" w:cs="Calibri"/>
                <w:color w:val="000000"/>
                <w:sz w:val="24"/>
                <w:szCs w:val="24"/>
              </w:rPr>
            </w:pPr>
            <w:r w:rsidRPr="005C5CBD">
              <w:rPr>
                <w:rFonts w:ascii="Garamond" w:hAnsi="Garamond" w:cs="Calibri"/>
                <w:color w:val="000000"/>
                <w:sz w:val="24"/>
                <w:szCs w:val="24"/>
              </w:rPr>
              <w:t>CIF Internado R$ atualizados/(t)</w:t>
            </w:r>
          </w:p>
        </w:tc>
        <w:tc>
          <w:tcPr>
            <w:tcW w:w="1128" w:type="pct"/>
            <w:hideMark/>
          </w:tcPr>
          <w:p w14:paraId="739E6AEE"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000000"/>
                <w:sz w:val="24"/>
                <w:szCs w:val="24"/>
              </w:rPr>
              <w:t>-</w:t>
            </w:r>
          </w:p>
        </w:tc>
        <w:tc>
          <w:tcPr>
            <w:tcW w:w="1122" w:type="pct"/>
            <w:hideMark/>
          </w:tcPr>
          <w:p w14:paraId="1F792912" w14:textId="77777777" w:rsidR="00395593" w:rsidRPr="005C5CBD" w:rsidRDefault="00395593" w:rsidP="0097041B">
            <w:pPr>
              <w:spacing w:line="276" w:lineRule="auto"/>
              <w:jc w:val="center"/>
              <w:rPr>
                <w:rFonts w:ascii="Garamond" w:hAnsi="Garamond" w:cs="Calibri"/>
                <w:color w:val="000000"/>
                <w:sz w:val="24"/>
                <w:szCs w:val="24"/>
              </w:rPr>
            </w:pPr>
            <w:r w:rsidRPr="005C5CBD">
              <w:rPr>
                <w:rFonts w:ascii="Garamond" w:hAnsi="Garamond" w:cs="Calibri"/>
                <w:color w:val="000000"/>
                <w:sz w:val="24"/>
                <w:szCs w:val="24"/>
              </w:rPr>
              <w:t>-</w:t>
            </w:r>
          </w:p>
        </w:tc>
      </w:tr>
    </w:tbl>
    <w:p w14:paraId="79972577"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Obs.: Px – Incluir o número necessário de colunas referentes a cada período de, no mínimo, seis meses.</w:t>
      </w:r>
    </w:p>
    <w:p w14:paraId="36854B14" w14:textId="77777777" w:rsidR="00395593" w:rsidRPr="005C5CBD" w:rsidRDefault="00395593" w:rsidP="00E15FBB">
      <w:pPr>
        <w:spacing w:after="0" w:line="240" w:lineRule="auto"/>
        <w:ind w:firstLine="708"/>
        <w:jc w:val="both"/>
        <w:rPr>
          <w:rFonts w:ascii="Garamond" w:eastAsia="Times New Roman" w:hAnsi="Garamond" w:cs="Calibri"/>
          <w:color w:val="FF0000"/>
          <w:sz w:val="24"/>
          <w:szCs w:val="24"/>
          <w:lang w:eastAsia="pt-BR"/>
        </w:rPr>
      </w:pPr>
    </w:p>
    <w:p w14:paraId="329E1A0E" w14:textId="77777777" w:rsidR="00395593" w:rsidRPr="005C5CBD" w:rsidRDefault="00395593" w:rsidP="00E15FBB">
      <w:pPr>
        <w:spacing w:after="0" w:line="240" w:lineRule="auto"/>
        <w:ind w:firstLine="708"/>
        <w:jc w:val="both"/>
        <w:rPr>
          <w:rFonts w:ascii="Garamond" w:eastAsia="Times New Roman" w:hAnsi="Garamond" w:cs="Calibri"/>
          <w:color w:val="FF0000"/>
          <w:sz w:val="24"/>
          <w:szCs w:val="24"/>
          <w:lang w:eastAsia="pt-BR"/>
        </w:rPr>
      </w:pPr>
    </w:p>
    <w:p w14:paraId="765A521D" w14:textId="77777777" w:rsidR="00395593" w:rsidRPr="005C5CBD" w:rsidRDefault="00395593" w:rsidP="00E15FBB">
      <w:pPr>
        <w:spacing w:after="0" w:line="276" w:lineRule="auto"/>
        <w:jc w:val="center"/>
        <w:rPr>
          <w:rFonts w:ascii="Garamond" w:eastAsia="Calibri" w:hAnsi="Garamond" w:cs="Calibri"/>
        </w:rPr>
      </w:pPr>
    </w:p>
    <w:p w14:paraId="020D2A3C" w14:textId="77777777" w:rsidR="00395593" w:rsidRPr="005C5CBD" w:rsidRDefault="00395593" w:rsidP="00E15FBB">
      <w:pPr>
        <w:spacing w:after="0" w:line="276" w:lineRule="auto"/>
        <w:jc w:val="center"/>
        <w:rPr>
          <w:rFonts w:ascii="Garamond" w:eastAsia="Calibri" w:hAnsi="Garamond" w:cs="Calibri"/>
        </w:rPr>
      </w:pPr>
    </w:p>
    <w:p w14:paraId="4E19F179" w14:textId="77777777" w:rsidR="00395593" w:rsidRPr="005C5CBD" w:rsidRDefault="00395593" w:rsidP="00E15FBB">
      <w:pPr>
        <w:spacing w:after="0" w:line="276" w:lineRule="auto"/>
        <w:jc w:val="center"/>
        <w:rPr>
          <w:rFonts w:ascii="Garamond" w:eastAsia="Calibri" w:hAnsi="Garamond" w:cs="Calibri"/>
        </w:rPr>
      </w:pPr>
    </w:p>
    <w:p w14:paraId="54519935" w14:textId="77777777" w:rsidR="00395593" w:rsidRPr="005C5CBD" w:rsidRDefault="00395593" w:rsidP="00E15FBB">
      <w:pPr>
        <w:spacing w:after="0" w:line="240" w:lineRule="auto"/>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br w:type="page"/>
      </w:r>
    </w:p>
    <w:tbl>
      <w:tblPr>
        <w:tblW w:w="5000" w:type="pct"/>
        <w:jc w:val="center"/>
        <w:tblCellMar>
          <w:left w:w="70" w:type="dxa"/>
          <w:right w:w="70" w:type="dxa"/>
        </w:tblCellMar>
        <w:tblLook w:val="04A0" w:firstRow="1" w:lastRow="0" w:firstColumn="1" w:lastColumn="0" w:noHBand="0" w:noVBand="1"/>
      </w:tblPr>
      <w:tblGrid>
        <w:gridCol w:w="13004"/>
      </w:tblGrid>
      <w:tr w:rsidR="00395593" w:rsidRPr="004F3D8C" w14:paraId="0F81E06D" w14:textId="77777777" w:rsidTr="00395593">
        <w:trPr>
          <w:trHeight w:val="525"/>
          <w:jc w:val="center"/>
        </w:trPr>
        <w:tc>
          <w:tcPr>
            <w:tcW w:w="5000" w:type="pct"/>
            <w:noWrap/>
            <w:vAlign w:val="bottom"/>
            <w:hideMark/>
          </w:tcPr>
          <w:p w14:paraId="596F6676"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Calibri" w:hAnsi="Garamond" w:cs="Calibri"/>
              </w:rPr>
              <w:br w:type="page"/>
            </w:r>
            <w:r w:rsidRPr="005C5CBD">
              <w:rPr>
                <w:rFonts w:ascii="Garamond" w:eastAsia="Times New Roman" w:hAnsi="Garamond" w:cs="Calibri"/>
                <w:b/>
                <w:color w:val="000000"/>
                <w:sz w:val="24"/>
                <w:szCs w:val="24"/>
              </w:rPr>
              <w:t>APÊNDICE XXVIII</w:t>
            </w:r>
          </w:p>
          <w:p w14:paraId="21BA9F66"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EVOLUÇÃO DAS IMPORTAÇÕES</w:t>
            </w:r>
          </w:p>
        </w:tc>
      </w:tr>
    </w:tbl>
    <w:p w14:paraId="048B7D4F" w14:textId="77777777" w:rsidR="00395593" w:rsidRPr="005C5CBD" w:rsidRDefault="00395593" w:rsidP="00E15FBB">
      <w:pPr>
        <w:spacing w:after="0" w:line="240" w:lineRule="auto"/>
        <w:ind w:firstLine="708"/>
        <w:jc w:val="both"/>
        <w:rPr>
          <w:rFonts w:ascii="Garamond" w:eastAsia="Times New Roman" w:hAnsi="Garamond" w:cs="Calibri"/>
          <w:sz w:val="24"/>
          <w:szCs w:val="24"/>
          <w:lang w:eastAsia="pt-BR"/>
        </w:rPr>
      </w:pPr>
    </w:p>
    <w:tbl>
      <w:tblPr>
        <w:tblW w:w="5000" w:type="pct"/>
        <w:jc w:val="center"/>
        <w:tblCellMar>
          <w:left w:w="70" w:type="dxa"/>
          <w:right w:w="70" w:type="dxa"/>
        </w:tblCellMar>
        <w:tblLook w:val="04A0" w:firstRow="1" w:lastRow="0" w:firstColumn="1" w:lastColumn="0" w:noHBand="0" w:noVBand="1"/>
      </w:tblPr>
      <w:tblGrid>
        <w:gridCol w:w="4921"/>
        <w:gridCol w:w="2020"/>
        <w:gridCol w:w="2010"/>
        <w:gridCol w:w="2025"/>
        <w:gridCol w:w="2023"/>
      </w:tblGrid>
      <w:tr w:rsidR="00395593" w:rsidRPr="004F3D8C" w14:paraId="5EF1C1B5" w14:textId="77777777" w:rsidTr="00395593">
        <w:trPr>
          <w:trHeight w:val="330"/>
          <w:jc w:val="center"/>
        </w:trPr>
        <w:tc>
          <w:tcPr>
            <w:tcW w:w="1893" w:type="pct"/>
            <w:tcBorders>
              <w:top w:val="nil"/>
              <w:left w:val="nil"/>
              <w:bottom w:val="nil"/>
              <w:right w:val="single" w:sz="4" w:space="0" w:color="auto"/>
            </w:tcBorders>
            <w:noWrap/>
            <w:vAlign w:val="bottom"/>
            <w:hideMark/>
          </w:tcPr>
          <w:p w14:paraId="7652ECA7" w14:textId="77777777" w:rsidR="00395593" w:rsidRPr="005C5CBD" w:rsidRDefault="00395593" w:rsidP="00E15FBB">
            <w:pPr>
              <w:spacing w:after="0" w:line="240" w:lineRule="auto"/>
              <w:rPr>
                <w:rFonts w:ascii="Garamond" w:eastAsia="Times New Roman" w:hAnsi="Garamond" w:cs="Calibri"/>
                <w:sz w:val="24"/>
                <w:szCs w:val="24"/>
                <w:lang w:eastAsia="pt-BR"/>
              </w:rPr>
            </w:pPr>
          </w:p>
        </w:tc>
        <w:tc>
          <w:tcPr>
            <w:tcW w:w="1549" w:type="pct"/>
            <w:gridSpan w:val="2"/>
            <w:tcBorders>
              <w:top w:val="single" w:sz="4" w:space="0" w:color="auto"/>
              <w:left w:val="single" w:sz="4" w:space="0" w:color="auto"/>
              <w:bottom w:val="single" w:sz="4" w:space="0" w:color="auto"/>
              <w:right w:val="single" w:sz="4" w:space="0" w:color="auto"/>
            </w:tcBorders>
            <w:noWrap/>
            <w:vAlign w:val="center"/>
            <w:hideMark/>
          </w:tcPr>
          <w:p w14:paraId="664DC245"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P5</w:t>
            </w:r>
          </w:p>
        </w:tc>
        <w:tc>
          <w:tcPr>
            <w:tcW w:w="1557" w:type="pct"/>
            <w:gridSpan w:val="2"/>
            <w:tcBorders>
              <w:top w:val="single" w:sz="4" w:space="0" w:color="auto"/>
              <w:left w:val="single" w:sz="4" w:space="0" w:color="auto"/>
              <w:bottom w:val="single" w:sz="4" w:space="0" w:color="auto"/>
              <w:right w:val="single" w:sz="4" w:space="0" w:color="auto"/>
            </w:tcBorders>
            <w:hideMark/>
          </w:tcPr>
          <w:p w14:paraId="5022B7CB"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FF0000"/>
                <w:sz w:val="24"/>
                <w:szCs w:val="24"/>
              </w:rPr>
              <w:t>Px</w:t>
            </w:r>
          </w:p>
        </w:tc>
      </w:tr>
      <w:tr w:rsidR="00395593" w:rsidRPr="004F3D8C" w14:paraId="1854631B" w14:textId="77777777" w:rsidTr="00395593">
        <w:trPr>
          <w:trHeight w:val="330"/>
          <w:jc w:val="center"/>
        </w:trPr>
        <w:tc>
          <w:tcPr>
            <w:tcW w:w="1893" w:type="pct"/>
            <w:tcBorders>
              <w:top w:val="single" w:sz="8" w:space="0" w:color="auto"/>
              <w:left w:val="single" w:sz="8" w:space="0" w:color="auto"/>
              <w:bottom w:val="single" w:sz="8" w:space="0" w:color="auto"/>
              <w:right w:val="single" w:sz="4" w:space="0" w:color="auto"/>
            </w:tcBorders>
            <w:noWrap/>
            <w:vAlign w:val="center"/>
            <w:hideMark/>
          </w:tcPr>
          <w:p w14:paraId="7BA12A39" w14:textId="77777777" w:rsidR="00395593" w:rsidRPr="005C5CBD" w:rsidRDefault="00395593" w:rsidP="00E15FBB">
            <w:pPr>
              <w:spacing w:after="0" w:line="276" w:lineRule="auto"/>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Origem</w:t>
            </w:r>
          </w:p>
        </w:tc>
        <w:tc>
          <w:tcPr>
            <w:tcW w:w="777" w:type="pct"/>
            <w:tcBorders>
              <w:top w:val="single" w:sz="4" w:space="0" w:color="auto"/>
              <w:left w:val="single" w:sz="4" w:space="0" w:color="auto"/>
              <w:bottom w:val="single" w:sz="4" w:space="0" w:color="auto"/>
              <w:right w:val="single" w:sz="4" w:space="0" w:color="auto"/>
            </w:tcBorders>
            <w:vAlign w:val="center"/>
            <w:hideMark/>
          </w:tcPr>
          <w:p w14:paraId="70DDB501"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Quantidade (t)</w:t>
            </w:r>
          </w:p>
        </w:tc>
        <w:tc>
          <w:tcPr>
            <w:tcW w:w="773" w:type="pct"/>
            <w:tcBorders>
              <w:top w:val="single" w:sz="4" w:space="0" w:color="auto"/>
              <w:left w:val="single" w:sz="4" w:space="0" w:color="auto"/>
              <w:bottom w:val="single" w:sz="4" w:space="0" w:color="auto"/>
              <w:right w:val="single" w:sz="4" w:space="0" w:color="auto"/>
            </w:tcBorders>
            <w:vAlign w:val="center"/>
            <w:hideMark/>
          </w:tcPr>
          <w:p w14:paraId="0475E193"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sz w:val="24"/>
                <w:szCs w:val="24"/>
              </w:rPr>
              <w:t>Valor CIF (R$)</w:t>
            </w:r>
          </w:p>
        </w:tc>
        <w:tc>
          <w:tcPr>
            <w:tcW w:w="779" w:type="pct"/>
            <w:tcBorders>
              <w:top w:val="single" w:sz="4" w:space="0" w:color="auto"/>
              <w:left w:val="single" w:sz="4" w:space="0" w:color="auto"/>
              <w:bottom w:val="single" w:sz="4" w:space="0" w:color="auto"/>
              <w:right w:val="single" w:sz="4" w:space="0" w:color="auto"/>
            </w:tcBorders>
            <w:vAlign w:val="center"/>
            <w:hideMark/>
          </w:tcPr>
          <w:p w14:paraId="395B81C5" w14:textId="77777777" w:rsidR="00395593" w:rsidRPr="005C5CBD" w:rsidRDefault="00395593" w:rsidP="00E15FBB">
            <w:pPr>
              <w:spacing w:after="0" w:line="276" w:lineRule="auto"/>
              <w:jc w:val="center"/>
              <w:rPr>
                <w:rFonts w:ascii="Garamond" w:eastAsia="Times New Roman" w:hAnsi="Garamond" w:cs="Calibri"/>
                <w:b/>
                <w:sz w:val="24"/>
                <w:szCs w:val="24"/>
              </w:rPr>
            </w:pPr>
            <w:r w:rsidRPr="005C5CBD">
              <w:rPr>
                <w:rFonts w:ascii="Garamond" w:eastAsia="Times New Roman" w:hAnsi="Garamond" w:cs="Calibri"/>
                <w:b/>
                <w:color w:val="000000"/>
                <w:sz w:val="24"/>
                <w:szCs w:val="24"/>
              </w:rPr>
              <w:t>Quantidade (t)</w:t>
            </w:r>
          </w:p>
        </w:tc>
        <w:tc>
          <w:tcPr>
            <w:tcW w:w="779" w:type="pct"/>
            <w:tcBorders>
              <w:top w:val="single" w:sz="4" w:space="0" w:color="auto"/>
              <w:left w:val="single" w:sz="4" w:space="0" w:color="auto"/>
              <w:bottom w:val="single" w:sz="4" w:space="0" w:color="auto"/>
              <w:right w:val="single" w:sz="4" w:space="0" w:color="auto"/>
            </w:tcBorders>
            <w:vAlign w:val="center"/>
            <w:hideMark/>
          </w:tcPr>
          <w:p w14:paraId="068E3358" w14:textId="77777777" w:rsidR="00395593" w:rsidRPr="005C5CBD" w:rsidRDefault="00395593" w:rsidP="00E15FBB">
            <w:pPr>
              <w:spacing w:after="0" w:line="276" w:lineRule="auto"/>
              <w:jc w:val="center"/>
              <w:rPr>
                <w:rFonts w:ascii="Garamond" w:eastAsia="Times New Roman" w:hAnsi="Garamond" w:cs="Calibri"/>
                <w:b/>
                <w:sz w:val="24"/>
                <w:szCs w:val="24"/>
              </w:rPr>
            </w:pPr>
            <w:r w:rsidRPr="005C5CBD">
              <w:rPr>
                <w:rFonts w:ascii="Garamond" w:eastAsia="Times New Roman" w:hAnsi="Garamond" w:cs="Calibri"/>
                <w:b/>
                <w:sz w:val="24"/>
                <w:szCs w:val="24"/>
              </w:rPr>
              <w:t>Valor CIF (R$)</w:t>
            </w:r>
          </w:p>
        </w:tc>
      </w:tr>
      <w:tr w:rsidR="00395593" w:rsidRPr="004F3D8C" w14:paraId="2D22CE72" w14:textId="77777777" w:rsidTr="00395593">
        <w:trPr>
          <w:trHeight w:val="330"/>
          <w:jc w:val="center"/>
        </w:trPr>
        <w:tc>
          <w:tcPr>
            <w:tcW w:w="1893" w:type="pct"/>
            <w:tcBorders>
              <w:top w:val="nil"/>
              <w:left w:val="single" w:sz="8" w:space="0" w:color="auto"/>
              <w:bottom w:val="single" w:sz="8" w:space="0" w:color="auto"/>
              <w:right w:val="single" w:sz="4" w:space="0" w:color="auto"/>
            </w:tcBorders>
            <w:noWrap/>
            <w:vAlign w:val="center"/>
            <w:hideMark/>
          </w:tcPr>
          <w:p w14:paraId="786AB5C2" w14:textId="77777777" w:rsidR="00395593" w:rsidRPr="005C5CBD" w:rsidRDefault="00395593" w:rsidP="00E15FBB">
            <w:pPr>
              <w:spacing w:after="0" w:line="276" w:lineRule="auto"/>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Origem 1</w:t>
            </w:r>
          </w:p>
        </w:tc>
        <w:tc>
          <w:tcPr>
            <w:tcW w:w="777" w:type="pct"/>
            <w:tcBorders>
              <w:top w:val="single" w:sz="4" w:space="0" w:color="auto"/>
              <w:left w:val="single" w:sz="4" w:space="0" w:color="auto"/>
              <w:bottom w:val="single" w:sz="4" w:space="0" w:color="auto"/>
              <w:right w:val="single" w:sz="4" w:space="0" w:color="auto"/>
            </w:tcBorders>
            <w:vAlign w:val="center"/>
            <w:hideMark/>
          </w:tcPr>
          <w:p w14:paraId="30CBC119"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w:t>
            </w:r>
          </w:p>
        </w:tc>
        <w:tc>
          <w:tcPr>
            <w:tcW w:w="773" w:type="pct"/>
            <w:tcBorders>
              <w:top w:val="single" w:sz="4" w:space="0" w:color="auto"/>
              <w:left w:val="single" w:sz="4" w:space="0" w:color="auto"/>
              <w:bottom w:val="single" w:sz="4" w:space="0" w:color="auto"/>
              <w:right w:val="single" w:sz="4" w:space="0" w:color="auto"/>
            </w:tcBorders>
            <w:vAlign w:val="center"/>
            <w:hideMark/>
          </w:tcPr>
          <w:p w14:paraId="13BBAC09"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w:t>
            </w:r>
          </w:p>
        </w:tc>
        <w:tc>
          <w:tcPr>
            <w:tcW w:w="779" w:type="pct"/>
            <w:tcBorders>
              <w:top w:val="single" w:sz="4" w:space="0" w:color="auto"/>
              <w:left w:val="single" w:sz="4" w:space="0" w:color="auto"/>
              <w:bottom w:val="single" w:sz="4" w:space="0" w:color="auto"/>
              <w:right w:val="single" w:sz="4" w:space="0" w:color="auto"/>
            </w:tcBorders>
            <w:vAlign w:val="center"/>
            <w:hideMark/>
          </w:tcPr>
          <w:p w14:paraId="21C3817B"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w:t>
            </w:r>
          </w:p>
        </w:tc>
        <w:tc>
          <w:tcPr>
            <w:tcW w:w="779" w:type="pct"/>
            <w:tcBorders>
              <w:top w:val="single" w:sz="4" w:space="0" w:color="auto"/>
              <w:left w:val="single" w:sz="4" w:space="0" w:color="auto"/>
              <w:bottom w:val="single" w:sz="4" w:space="0" w:color="auto"/>
              <w:right w:val="single" w:sz="4" w:space="0" w:color="auto"/>
            </w:tcBorders>
            <w:vAlign w:val="center"/>
            <w:hideMark/>
          </w:tcPr>
          <w:p w14:paraId="644B059A"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w:t>
            </w:r>
          </w:p>
        </w:tc>
      </w:tr>
      <w:tr w:rsidR="00395593" w:rsidRPr="004F3D8C" w14:paraId="1598DA3C" w14:textId="77777777" w:rsidTr="00395593">
        <w:trPr>
          <w:trHeight w:val="330"/>
          <w:jc w:val="center"/>
        </w:trPr>
        <w:tc>
          <w:tcPr>
            <w:tcW w:w="1893" w:type="pct"/>
            <w:tcBorders>
              <w:top w:val="nil"/>
              <w:left w:val="single" w:sz="8" w:space="0" w:color="auto"/>
              <w:bottom w:val="single" w:sz="4" w:space="0" w:color="auto"/>
              <w:right w:val="single" w:sz="4" w:space="0" w:color="auto"/>
            </w:tcBorders>
            <w:noWrap/>
            <w:vAlign w:val="center"/>
            <w:hideMark/>
          </w:tcPr>
          <w:p w14:paraId="2B56BBAA" w14:textId="77777777" w:rsidR="00395593" w:rsidRPr="005C5CBD" w:rsidRDefault="00395593" w:rsidP="00E15FBB">
            <w:pPr>
              <w:spacing w:after="0" w:line="276" w:lineRule="auto"/>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Origem 2</w:t>
            </w:r>
          </w:p>
        </w:tc>
        <w:tc>
          <w:tcPr>
            <w:tcW w:w="777" w:type="pct"/>
            <w:tcBorders>
              <w:top w:val="single" w:sz="4" w:space="0" w:color="auto"/>
              <w:left w:val="single" w:sz="4" w:space="0" w:color="auto"/>
              <w:bottom w:val="single" w:sz="4" w:space="0" w:color="auto"/>
              <w:right w:val="single" w:sz="4" w:space="0" w:color="auto"/>
            </w:tcBorders>
            <w:vAlign w:val="center"/>
            <w:hideMark/>
          </w:tcPr>
          <w:p w14:paraId="396A30D7"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w:t>
            </w:r>
          </w:p>
        </w:tc>
        <w:tc>
          <w:tcPr>
            <w:tcW w:w="773" w:type="pct"/>
            <w:tcBorders>
              <w:top w:val="single" w:sz="4" w:space="0" w:color="auto"/>
              <w:left w:val="single" w:sz="4" w:space="0" w:color="auto"/>
              <w:bottom w:val="single" w:sz="4" w:space="0" w:color="auto"/>
              <w:right w:val="single" w:sz="4" w:space="0" w:color="auto"/>
            </w:tcBorders>
            <w:vAlign w:val="center"/>
            <w:hideMark/>
          </w:tcPr>
          <w:p w14:paraId="39E077E8"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w:t>
            </w:r>
          </w:p>
        </w:tc>
        <w:tc>
          <w:tcPr>
            <w:tcW w:w="779" w:type="pct"/>
            <w:tcBorders>
              <w:top w:val="single" w:sz="4" w:space="0" w:color="auto"/>
              <w:left w:val="single" w:sz="4" w:space="0" w:color="auto"/>
              <w:bottom w:val="single" w:sz="4" w:space="0" w:color="auto"/>
              <w:right w:val="single" w:sz="4" w:space="0" w:color="auto"/>
            </w:tcBorders>
            <w:vAlign w:val="center"/>
            <w:hideMark/>
          </w:tcPr>
          <w:p w14:paraId="7364C3EA"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w:t>
            </w:r>
          </w:p>
        </w:tc>
        <w:tc>
          <w:tcPr>
            <w:tcW w:w="779" w:type="pct"/>
            <w:tcBorders>
              <w:top w:val="single" w:sz="4" w:space="0" w:color="auto"/>
              <w:left w:val="single" w:sz="4" w:space="0" w:color="auto"/>
              <w:bottom w:val="single" w:sz="4" w:space="0" w:color="auto"/>
              <w:right w:val="single" w:sz="4" w:space="0" w:color="auto"/>
            </w:tcBorders>
            <w:vAlign w:val="center"/>
            <w:hideMark/>
          </w:tcPr>
          <w:p w14:paraId="7BBCD088"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w:t>
            </w:r>
          </w:p>
        </w:tc>
      </w:tr>
      <w:tr w:rsidR="00395593" w:rsidRPr="004F3D8C" w14:paraId="29397333" w14:textId="77777777" w:rsidTr="00395593">
        <w:trPr>
          <w:trHeight w:val="330"/>
          <w:jc w:val="center"/>
        </w:trPr>
        <w:tc>
          <w:tcPr>
            <w:tcW w:w="1893" w:type="pct"/>
            <w:tcBorders>
              <w:top w:val="single" w:sz="4" w:space="0" w:color="auto"/>
              <w:left w:val="single" w:sz="8" w:space="0" w:color="auto"/>
              <w:bottom w:val="single" w:sz="8" w:space="0" w:color="auto"/>
              <w:right w:val="single" w:sz="4" w:space="0" w:color="auto"/>
            </w:tcBorders>
            <w:noWrap/>
            <w:vAlign w:val="center"/>
            <w:hideMark/>
          </w:tcPr>
          <w:p w14:paraId="23F8E7C5" w14:textId="77777777" w:rsidR="00395593" w:rsidRPr="005C5CBD" w:rsidRDefault="00395593" w:rsidP="00E15FBB">
            <w:pPr>
              <w:spacing w:after="0" w:line="276" w:lineRule="auto"/>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Origem 3</w:t>
            </w:r>
          </w:p>
        </w:tc>
        <w:tc>
          <w:tcPr>
            <w:tcW w:w="777" w:type="pct"/>
            <w:tcBorders>
              <w:top w:val="single" w:sz="4" w:space="0" w:color="auto"/>
              <w:left w:val="single" w:sz="4" w:space="0" w:color="auto"/>
              <w:bottom w:val="single" w:sz="4" w:space="0" w:color="auto"/>
              <w:right w:val="single" w:sz="4" w:space="0" w:color="auto"/>
            </w:tcBorders>
            <w:vAlign w:val="center"/>
            <w:hideMark/>
          </w:tcPr>
          <w:p w14:paraId="1EE03E58"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w:t>
            </w:r>
          </w:p>
        </w:tc>
        <w:tc>
          <w:tcPr>
            <w:tcW w:w="773" w:type="pct"/>
            <w:tcBorders>
              <w:top w:val="single" w:sz="4" w:space="0" w:color="auto"/>
              <w:left w:val="single" w:sz="4" w:space="0" w:color="auto"/>
              <w:bottom w:val="single" w:sz="4" w:space="0" w:color="auto"/>
              <w:right w:val="single" w:sz="4" w:space="0" w:color="auto"/>
            </w:tcBorders>
            <w:vAlign w:val="center"/>
            <w:hideMark/>
          </w:tcPr>
          <w:p w14:paraId="1BC47E47"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w:t>
            </w:r>
          </w:p>
        </w:tc>
        <w:tc>
          <w:tcPr>
            <w:tcW w:w="779" w:type="pct"/>
            <w:tcBorders>
              <w:top w:val="single" w:sz="4" w:space="0" w:color="auto"/>
              <w:left w:val="single" w:sz="4" w:space="0" w:color="auto"/>
              <w:bottom w:val="single" w:sz="4" w:space="0" w:color="auto"/>
              <w:right w:val="single" w:sz="4" w:space="0" w:color="auto"/>
            </w:tcBorders>
            <w:vAlign w:val="center"/>
            <w:hideMark/>
          </w:tcPr>
          <w:p w14:paraId="5C2D2822"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w:t>
            </w:r>
          </w:p>
        </w:tc>
        <w:tc>
          <w:tcPr>
            <w:tcW w:w="779" w:type="pct"/>
            <w:tcBorders>
              <w:top w:val="single" w:sz="4" w:space="0" w:color="auto"/>
              <w:left w:val="single" w:sz="4" w:space="0" w:color="auto"/>
              <w:bottom w:val="single" w:sz="4" w:space="0" w:color="auto"/>
              <w:right w:val="single" w:sz="4" w:space="0" w:color="auto"/>
            </w:tcBorders>
            <w:vAlign w:val="center"/>
            <w:hideMark/>
          </w:tcPr>
          <w:p w14:paraId="4B697EFC" w14:textId="77777777" w:rsidR="00395593" w:rsidRPr="005C5CBD" w:rsidRDefault="00395593" w:rsidP="00E15FBB">
            <w:pPr>
              <w:spacing w:after="0" w:line="276" w:lineRule="auto"/>
              <w:jc w:val="center"/>
              <w:rPr>
                <w:rFonts w:ascii="Garamond" w:eastAsia="Times New Roman" w:hAnsi="Garamond" w:cs="Calibri"/>
                <w:b/>
                <w:color w:val="000000"/>
                <w:sz w:val="24"/>
                <w:szCs w:val="24"/>
              </w:rPr>
            </w:pPr>
            <w:r w:rsidRPr="005C5CBD">
              <w:rPr>
                <w:rFonts w:ascii="Garamond" w:eastAsia="Times New Roman" w:hAnsi="Garamond" w:cs="Calibri"/>
                <w:b/>
                <w:color w:val="000000"/>
                <w:sz w:val="24"/>
                <w:szCs w:val="24"/>
              </w:rPr>
              <w:t>-</w:t>
            </w:r>
          </w:p>
        </w:tc>
      </w:tr>
    </w:tbl>
    <w:p w14:paraId="1C05235A" w14:textId="77777777" w:rsidR="00395593" w:rsidRPr="005C5CBD" w:rsidRDefault="00395593" w:rsidP="00E15FBB">
      <w:pPr>
        <w:spacing w:after="0" w:line="240" w:lineRule="auto"/>
        <w:ind w:firstLine="708"/>
        <w:jc w:val="both"/>
        <w:rPr>
          <w:rFonts w:ascii="Garamond" w:eastAsia="Times New Roman" w:hAnsi="Garamond" w:cs="Calibri"/>
          <w:color w:val="FF0000"/>
          <w:sz w:val="24"/>
          <w:szCs w:val="24"/>
          <w:lang w:eastAsia="pt-BR"/>
        </w:rPr>
      </w:pPr>
    </w:p>
    <w:p w14:paraId="0C29F38A" w14:textId="77777777" w:rsidR="00395593" w:rsidRPr="005C5CBD" w:rsidRDefault="00395593" w:rsidP="00E15FBB">
      <w:pPr>
        <w:spacing w:after="0" w:line="240" w:lineRule="auto"/>
        <w:jc w:val="both"/>
        <w:rPr>
          <w:rFonts w:ascii="Garamond" w:eastAsia="Times New Roman" w:hAnsi="Garamond" w:cs="Calibri"/>
          <w:sz w:val="24"/>
          <w:szCs w:val="24"/>
          <w:lang w:eastAsia="pt-BR"/>
        </w:rPr>
      </w:pPr>
      <w:r w:rsidRPr="005C5CBD">
        <w:rPr>
          <w:rFonts w:ascii="Garamond" w:eastAsia="Times New Roman" w:hAnsi="Garamond" w:cs="Calibri"/>
          <w:sz w:val="24"/>
          <w:szCs w:val="24"/>
          <w:lang w:eastAsia="pt-BR"/>
        </w:rPr>
        <w:t>Obs.: Px – Incluir o número necessário de colunas referentes a cada período de, no mínimo, seis meses.</w:t>
      </w:r>
    </w:p>
    <w:p w14:paraId="40709F51" w14:textId="77777777" w:rsidR="00395593" w:rsidRPr="005C5CBD" w:rsidRDefault="00395593" w:rsidP="00E15FBB">
      <w:pPr>
        <w:spacing w:after="0" w:line="240" w:lineRule="auto"/>
        <w:ind w:firstLine="708"/>
        <w:jc w:val="both"/>
        <w:rPr>
          <w:rFonts w:ascii="Garamond" w:eastAsia="Times New Roman" w:hAnsi="Garamond" w:cs="Calibri"/>
          <w:color w:val="FF0000"/>
          <w:sz w:val="24"/>
          <w:szCs w:val="24"/>
          <w:lang w:eastAsia="pt-BR"/>
        </w:rPr>
      </w:pPr>
    </w:p>
    <w:p w14:paraId="3B9CCA61"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090CD0EB"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4BB78D81"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5BBC684D"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65FA3507"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4AD12C54"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559E63BD"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38651F9B"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1A7A3DE6"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5EA56A0F"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0AE2A28F" w14:textId="77777777" w:rsidR="00395593" w:rsidRPr="005C5CBD" w:rsidRDefault="00395593" w:rsidP="00E15FBB">
      <w:pPr>
        <w:spacing w:after="0" w:line="240" w:lineRule="auto"/>
        <w:rPr>
          <w:rFonts w:ascii="Garamond" w:eastAsia="Times New Roman" w:hAnsi="Garamond" w:cs="Calibri"/>
          <w:sz w:val="24"/>
          <w:szCs w:val="24"/>
          <w:lang w:eastAsia="pt-BR"/>
        </w:rPr>
      </w:pPr>
      <w:r w:rsidRPr="005C5CBD">
        <w:rPr>
          <w:rFonts w:ascii="Garamond" w:eastAsia="Times New Roman" w:hAnsi="Garamond" w:cs="Calibri"/>
          <w:b/>
          <w:sz w:val="24"/>
          <w:szCs w:val="24"/>
          <w:lang w:eastAsia="pt-BR"/>
        </w:rPr>
        <w:br w:type="page"/>
      </w:r>
    </w:p>
    <w:tbl>
      <w:tblPr>
        <w:tblW w:w="5000" w:type="pct"/>
        <w:tblCellMar>
          <w:left w:w="70" w:type="dxa"/>
          <w:right w:w="70" w:type="dxa"/>
        </w:tblCellMar>
        <w:tblLook w:val="04A0" w:firstRow="1" w:lastRow="0" w:firstColumn="1" w:lastColumn="0" w:noHBand="0" w:noVBand="1"/>
      </w:tblPr>
      <w:tblGrid>
        <w:gridCol w:w="13004"/>
      </w:tblGrid>
      <w:tr w:rsidR="00395593" w:rsidRPr="00AC0363" w14:paraId="454A3B5F" w14:textId="77777777" w:rsidTr="00395593">
        <w:trPr>
          <w:trHeight w:val="300"/>
        </w:trPr>
        <w:tc>
          <w:tcPr>
            <w:tcW w:w="5000" w:type="pct"/>
            <w:tcBorders>
              <w:top w:val="nil"/>
              <w:left w:val="nil"/>
              <w:bottom w:val="nil"/>
              <w:right w:val="nil"/>
            </w:tcBorders>
            <w:shd w:val="clear" w:color="auto" w:fill="auto"/>
            <w:noWrap/>
            <w:vAlign w:val="bottom"/>
            <w:hideMark/>
          </w:tcPr>
          <w:p w14:paraId="33830B03" w14:textId="77777777" w:rsidR="00395593" w:rsidRPr="00310959" w:rsidRDefault="00395593" w:rsidP="00D90BB1">
            <w:pPr>
              <w:pStyle w:val="Corpodetexto"/>
              <w:jc w:val="center"/>
              <w:rPr>
                <w:rFonts w:ascii="Garamond" w:hAnsi="Garamond"/>
                <w:b/>
              </w:rPr>
            </w:pPr>
            <w:r w:rsidRPr="00310959">
              <w:rPr>
                <w:rFonts w:ascii="Garamond" w:hAnsi="Garamond"/>
                <w:b/>
              </w:rPr>
              <w:t>ANEXO I</w:t>
            </w:r>
          </w:p>
        </w:tc>
      </w:tr>
      <w:tr w:rsidR="00395593" w:rsidRPr="00AC0363" w14:paraId="310176E8" w14:textId="77777777" w:rsidTr="00395593">
        <w:trPr>
          <w:trHeight w:val="300"/>
        </w:trPr>
        <w:tc>
          <w:tcPr>
            <w:tcW w:w="5000" w:type="pct"/>
            <w:tcBorders>
              <w:top w:val="nil"/>
              <w:left w:val="nil"/>
              <w:bottom w:val="nil"/>
              <w:right w:val="nil"/>
            </w:tcBorders>
            <w:shd w:val="clear" w:color="auto" w:fill="auto"/>
            <w:noWrap/>
            <w:vAlign w:val="bottom"/>
            <w:hideMark/>
          </w:tcPr>
          <w:p w14:paraId="4BD477B7" w14:textId="77777777" w:rsidR="00395593" w:rsidRPr="00310959" w:rsidRDefault="00395593" w:rsidP="00D90BB1">
            <w:pPr>
              <w:pStyle w:val="Corpodetexto"/>
              <w:jc w:val="center"/>
              <w:rPr>
                <w:rFonts w:ascii="Garamond" w:hAnsi="Garamond"/>
                <w:b/>
              </w:rPr>
            </w:pPr>
            <w:r w:rsidRPr="00310959">
              <w:rPr>
                <w:rFonts w:ascii="Garamond" w:hAnsi="Garamond"/>
                <w:b/>
              </w:rPr>
              <w:t>METODOLOGIA DE ALOCAÇÃO DE SUBSÍDIOS NÃO RECORRENTES AO LONGO DO TEMPO</w:t>
            </w:r>
          </w:p>
        </w:tc>
      </w:tr>
    </w:tbl>
    <w:p w14:paraId="226F2175"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1C634605"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2781F05B" w14:textId="77777777" w:rsidR="00395593" w:rsidRPr="005C5CBD" w:rsidRDefault="000B0773" w:rsidP="00E15FBB">
      <w:pPr>
        <w:spacing w:after="0" w:line="240" w:lineRule="auto"/>
        <w:rPr>
          <w:rFonts w:ascii="Garamond" w:eastAsia="Times New Roman" w:hAnsi="Garamond" w:cs="Calibri"/>
          <w:sz w:val="24"/>
          <w:szCs w:val="24"/>
          <w:lang w:eastAsia="pt-BR"/>
        </w:rPr>
      </w:pPr>
      <m:oMathPara>
        <m:oMath>
          <m:r>
            <w:rPr>
              <w:rFonts w:ascii="Cambria Math" w:eastAsia="Times New Roman" w:hAnsi="Cambria Math" w:cs="Calibri"/>
              <w:sz w:val="40"/>
              <w:szCs w:val="40"/>
              <w:lang w:eastAsia="pt-BR"/>
            </w:rPr>
            <m:t>A</m:t>
          </m:r>
          <m:r>
            <m:rPr>
              <m:sty m:val="p"/>
            </m:rPr>
            <w:rPr>
              <w:rFonts w:ascii="Cambria Math" w:eastAsia="Times New Roman" w:hAnsi="Cambria Math" w:cs="Calibri"/>
              <w:sz w:val="40"/>
              <w:szCs w:val="40"/>
              <w:lang w:eastAsia="pt-BR"/>
            </w:rPr>
            <m:t>=</m:t>
          </m:r>
          <m:f>
            <m:fPr>
              <m:ctrlPr>
                <w:rPr>
                  <w:rFonts w:ascii="Cambria Math" w:eastAsia="Times New Roman" w:hAnsi="Cambria Math" w:cs="Calibri"/>
                  <w:i/>
                  <w:sz w:val="40"/>
                  <w:szCs w:val="40"/>
                  <w:lang w:eastAsia="pt-BR"/>
                </w:rPr>
              </m:ctrlPr>
            </m:fPr>
            <m:num>
              <m:r>
                <w:rPr>
                  <w:rFonts w:ascii="Cambria Math" w:eastAsia="Times New Roman" w:hAnsi="Cambria Math" w:cs="Calibri"/>
                  <w:sz w:val="40"/>
                  <w:szCs w:val="40"/>
                  <w:lang w:eastAsia="pt-BR"/>
                </w:rPr>
                <m:t>y</m:t>
              </m:r>
            </m:num>
            <m:den>
              <m:r>
                <w:rPr>
                  <w:rFonts w:ascii="Cambria Math" w:eastAsia="Times New Roman" w:hAnsi="Cambria Math" w:cs="Calibri"/>
                  <w:sz w:val="40"/>
                  <w:szCs w:val="40"/>
                  <w:lang w:eastAsia="pt-BR"/>
                </w:rPr>
                <m:t>n</m:t>
              </m:r>
            </m:den>
          </m:f>
          <m:r>
            <w:rPr>
              <w:rFonts w:ascii="Cambria Math" w:eastAsia="Times New Roman" w:hAnsi="Cambria Math" w:cs="Calibri"/>
              <w:sz w:val="40"/>
              <w:szCs w:val="40"/>
              <w:lang w:eastAsia="pt-BR"/>
            </w:rPr>
            <m:t>+</m:t>
          </m:r>
          <m:f>
            <m:fPr>
              <m:type m:val="lin"/>
              <m:ctrlPr>
                <w:rPr>
                  <w:rFonts w:ascii="Cambria Math" w:eastAsia="Times New Roman" w:hAnsi="Cambria Math" w:cs="Calibri"/>
                  <w:i/>
                  <w:sz w:val="40"/>
                  <w:szCs w:val="40"/>
                  <w:lang w:eastAsia="pt-BR"/>
                </w:rPr>
              </m:ctrlPr>
            </m:fPr>
            <m:num>
              <m:d>
                <m:dPr>
                  <m:ctrlPr>
                    <w:rPr>
                      <w:rFonts w:ascii="Cambria Math" w:eastAsia="Times New Roman" w:hAnsi="Cambria Math" w:cs="Calibri"/>
                      <w:i/>
                      <w:sz w:val="40"/>
                      <w:szCs w:val="40"/>
                      <w:lang w:eastAsia="pt-BR"/>
                    </w:rPr>
                  </m:ctrlPr>
                </m:dPr>
                <m:e>
                  <m:nary>
                    <m:naryPr>
                      <m:chr m:val="∑"/>
                      <m:limLoc m:val="undOvr"/>
                      <m:ctrlPr>
                        <w:rPr>
                          <w:rFonts w:ascii="Cambria Math" w:eastAsia="Times New Roman" w:hAnsi="Cambria Math" w:cs="Calibri"/>
                          <w:i/>
                          <w:sz w:val="40"/>
                          <w:szCs w:val="40"/>
                          <w:lang w:eastAsia="pt-BR"/>
                        </w:rPr>
                      </m:ctrlPr>
                    </m:naryPr>
                    <m:sub>
                      <m:r>
                        <w:rPr>
                          <w:rFonts w:ascii="Cambria Math" w:eastAsia="Times New Roman" w:hAnsi="Cambria Math" w:cs="Calibri"/>
                          <w:sz w:val="40"/>
                          <w:szCs w:val="40"/>
                          <w:lang w:eastAsia="pt-BR"/>
                        </w:rPr>
                        <m:t>k=1</m:t>
                      </m:r>
                    </m:sub>
                    <m:sup>
                      <m:r>
                        <w:rPr>
                          <w:rFonts w:ascii="Cambria Math" w:eastAsia="Times New Roman" w:hAnsi="Cambria Math" w:cs="Calibri"/>
                          <w:sz w:val="40"/>
                          <w:szCs w:val="40"/>
                          <w:lang w:eastAsia="pt-BR"/>
                        </w:rPr>
                        <m:t>n</m:t>
                      </m:r>
                    </m:sup>
                    <m:e>
                      <m:d>
                        <m:dPr>
                          <m:ctrlPr>
                            <w:rPr>
                              <w:rFonts w:ascii="Cambria Math" w:eastAsia="Times New Roman" w:hAnsi="Cambria Math" w:cs="Calibri"/>
                              <w:i/>
                              <w:sz w:val="40"/>
                              <w:szCs w:val="40"/>
                              <w:lang w:eastAsia="pt-BR"/>
                            </w:rPr>
                          </m:ctrlPr>
                        </m:dPr>
                        <m:e>
                          <m:d>
                            <m:dPr>
                              <m:ctrlPr>
                                <w:rPr>
                                  <w:rFonts w:ascii="Cambria Math" w:eastAsia="Times New Roman" w:hAnsi="Cambria Math" w:cs="Calibri"/>
                                  <w:i/>
                                  <w:sz w:val="40"/>
                                  <w:szCs w:val="40"/>
                                  <w:lang w:eastAsia="pt-BR"/>
                                </w:rPr>
                              </m:ctrlPr>
                            </m:dPr>
                            <m:e>
                              <m:r>
                                <w:rPr>
                                  <w:rFonts w:ascii="Cambria Math" w:eastAsia="Times New Roman" w:hAnsi="Cambria Math" w:cs="Calibri"/>
                                  <w:sz w:val="40"/>
                                  <w:szCs w:val="40"/>
                                  <w:lang w:eastAsia="pt-BR"/>
                                </w:rPr>
                                <m:t>y-</m:t>
                              </m:r>
                              <m:d>
                                <m:dPr>
                                  <m:ctrlPr>
                                    <w:rPr>
                                      <w:rFonts w:ascii="Cambria Math" w:eastAsia="Times New Roman" w:hAnsi="Cambria Math" w:cs="Calibri"/>
                                      <w:i/>
                                      <w:sz w:val="40"/>
                                      <w:szCs w:val="40"/>
                                      <w:lang w:eastAsia="pt-BR"/>
                                    </w:rPr>
                                  </m:ctrlPr>
                                </m:dPr>
                                <m:e>
                                  <m:f>
                                    <m:fPr>
                                      <m:ctrlPr>
                                        <w:rPr>
                                          <w:rFonts w:ascii="Cambria Math" w:eastAsia="Times New Roman" w:hAnsi="Cambria Math" w:cs="Calibri"/>
                                          <w:i/>
                                          <w:sz w:val="40"/>
                                          <w:szCs w:val="40"/>
                                          <w:lang w:eastAsia="pt-BR"/>
                                        </w:rPr>
                                      </m:ctrlPr>
                                    </m:fPr>
                                    <m:num>
                                      <m:r>
                                        <w:rPr>
                                          <w:rFonts w:ascii="Cambria Math" w:eastAsia="Times New Roman" w:hAnsi="Cambria Math" w:cs="Calibri"/>
                                          <w:sz w:val="40"/>
                                          <w:szCs w:val="40"/>
                                          <w:lang w:eastAsia="pt-BR"/>
                                        </w:rPr>
                                        <m:t>y</m:t>
                                      </m:r>
                                    </m:num>
                                    <m:den>
                                      <m:r>
                                        <w:rPr>
                                          <w:rFonts w:ascii="Cambria Math" w:eastAsia="Times New Roman" w:hAnsi="Cambria Math" w:cs="Calibri"/>
                                          <w:sz w:val="40"/>
                                          <w:szCs w:val="40"/>
                                          <w:lang w:eastAsia="pt-BR"/>
                                        </w:rPr>
                                        <m:t>n</m:t>
                                      </m:r>
                                    </m:den>
                                  </m:f>
                                  <m:r>
                                    <w:rPr>
                                      <w:rFonts w:ascii="Cambria Math" w:eastAsia="Times New Roman" w:hAnsi="Cambria Math" w:cs="Calibri"/>
                                      <w:sz w:val="40"/>
                                      <w:szCs w:val="40"/>
                                      <w:lang w:eastAsia="pt-BR"/>
                                    </w:rPr>
                                    <m:t>*</m:t>
                                  </m:r>
                                  <m:d>
                                    <m:dPr>
                                      <m:ctrlPr>
                                        <w:rPr>
                                          <w:rFonts w:ascii="Cambria Math" w:eastAsia="Times New Roman" w:hAnsi="Cambria Math" w:cs="Calibri"/>
                                          <w:i/>
                                          <w:sz w:val="40"/>
                                          <w:szCs w:val="40"/>
                                          <w:lang w:eastAsia="pt-BR"/>
                                        </w:rPr>
                                      </m:ctrlPr>
                                    </m:dPr>
                                    <m:e>
                                      <m:r>
                                        <w:rPr>
                                          <w:rFonts w:ascii="Cambria Math" w:eastAsia="Times New Roman" w:hAnsi="Cambria Math" w:cs="Calibri"/>
                                          <w:sz w:val="40"/>
                                          <w:szCs w:val="40"/>
                                          <w:lang w:eastAsia="pt-BR"/>
                                        </w:rPr>
                                        <m:t>k-1</m:t>
                                      </m:r>
                                    </m:e>
                                  </m:d>
                                </m:e>
                              </m:d>
                            </m:e>
                          </m:d>
                          <m:r>
                            <w:rPr>
                              <w:rFonts w:ascii="Cambria Math" w:eastAsia="Times New Roman" w:hAnsi="Cambria Math" w:cs="Calibri"/>
                              <w:sz w:val="40"/>
                              <w:szCs w:val="40"/>
                              <w:lang w:eastAsia="pt-BR"/>
                            </w:rPr>
                            <m:t>*d</m:t>
                          </m:r>
                        </m:e>
                      </m:d>
                    </m:e>
                  </m:nary>
                </m:e>
              </m:d>
            </m:num>
            <m:den>
              <m:r>
                <w:rPr>
                  <w:rFonts w:ascii="Cambria Math" w:eastAsia="Times New Roman" w:hAnsi="Cambria Math" w:cs="Calibri"/>
                  <w:sz w:val="40"/>
                  <w:szCs w:val="40"/>
                  <w:lang w:eastAsia="pt-BR"/>
                </w:rPr>
                <m:t>n</m:t>
              </m:r>
            </m:den>
          </m:f>
        </m:oMath>
      </m:oMathPara>
    </w:p>
    <w:p w14:paraId="3EEE91EC"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6160F3C8" w14:textId="77777777" w:rsidR="00395593" w:rsidRPr="005C5CBD" w:rsidRDefault="00395593" w:rsidP="00E15FBB">
      <w:pPr>
        <w:spacing w:after="0" w:line="240" w:lineRule="auto"/>
        <w:rPr>
          <w:rFonts w:ascii="Garamond" w:eastAsia="Times New Roman" w:hAnsi="Garamond" w:cs="Calibri"/>
          <w:sz w:val="24"/>
          <w:szCs w:val="24"/>
          <w:lang w:eastAsia="pt-BR"/>
        </w:rPr>
      </w:pPr>
    </w:p>
    <w:p w14:paraId="5F7532D2" w14:textId="77777777" w:rsidR="00395593" w:rsidRPr="005C5CBD" w:rsidRDefault="00395593" w:rsidP="00E15FBB">
      <w:pPr>
        <w:tabs>
          <w:tab w:val="left" w:pos="2574"/>
        </w:tabs>
        <w:spacing w:after="0" w:line="240" w:lineRule="auto"/>
        <w:rPr>
          <w:rFonts w:ascii="Garamond" w:eastAsia="Times New Roman" w:hAnsi="Garamond" w:cs="Calibri"/>
          <w:sz w:val="24"/>
          <w:szCs w:val="24"/>
          <w:lang w:eastAsia="pt-BR"/>
        </w:rPr>
      </w:pPr>
    </w:p>
    <w:p w14:paraId="2E2B8319"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r w:rsidRPr="005C5CBD">
        <w:rPr>
          <w:rFonts w:ascii="Garamond" w:eastAsia="Times New Roman" w:hAnsi="Garamond" w:cs="Calibri"/>
          <w:b/>
          <w:sz w:val="24"/>
          <w:szCs w:val="24"/>
          <w:lang w:eastAsia="pt-BR"/>
        </w:rPr>
        <w:t>Legenda:</w:t>
      </w:r>
    </w:p>
    <w:p w14:paraId="565123A2" w14:textId="77777777" w:rsidR="00395593" w:rsidRPr="005C5CBD" w:rsidRDefault="00395593" w:rsidP="00E15FBB">
      <w:pPr>
        <w:spacing w:after="0" w:line="240" w:lineRule="auto"/>
        <w:jc w:val="center"/>
        <w:rPr>
          <w:rFonts w:ascii="Garamond" w:eastAsia="Times New Roman" w:hAnsi="Garamond" w:cs="Calibri"/>
          <w:b/>
          <w:sz w:val="24"/>
          <w:szCs w:val="24"/>
          <w:lang w:eastAsia="pt-BR"/>
        </w:rPr>
      </w:pPr>
    </w:p>
    <w:p w14:paraId="01D0D79F" w14:textId="77777777" w:rsidR="00395593" w:rsidRPr="005C5CBD" w:rsidRDefault="000B0773" w:rsidP="00E15FBB">
      <w:pPr>
        <w:spacing w:after="0" w:line="240" w:lineRule="auto"/>
        <w:ind w:left="1985"/>
        <w:rPr>
          <w:rFonts w:ascii="Garamond" w:eastAsia="Times New Roman" w:hAnsi="Garamond" w:cs="Calibri"/>
          <w:sz w:val="24"/>
          <w:szCs w:val="24"/>
          <w:lang w:eastAsia="pt-BR"/>
        </w:rPr>
      </w:pPr>
      <m:oMath>
        <m:r>
          <w:rPr>
            <w:rFonts w:ascii="Cambria Math" w:eastAsia="Times New Roman" w:hAnsi="Cambria Math" w:cs="Calibri"/>
            <w:sz w:val="24"/>
            <w:szCs w:val="24"/>
            <w:lang w:eastAsia="pt-BR"/>
          </w:rPr>
          <m:t>A</m:t>
        </m:r>
      </m:oMath>
      <w:r w:rsidR="00395593" w:rsidRPr="005C5CBD">
        <w:rPr>
          <w:rFonts w:ascii="Garamond" w:eastAsia="Times New Roman" w:hAnsi="Garamond" w:cs="Calibri"/>
          <w:sz w:val="24"/>
          <w:szCs w:val="24"/>
          <w:lang w:eastAsia="pt-BR"/>
        </w:rPr>
        <w:t>: montante de benefício alocado ao período de investigação de dano;</w:t>
      </w:r>
    </w:p>
    <w:p w14:paraId="43EC931A" w14:textId="77777777" w:rsidR="00395593" w:rsidRPr="005C5CBD" w:rsidRDefault="000B0773" w:rsidP="00E15FBB">
      <w:pPr>
        <w:spacing w:after="0" w:line="240" w:lineRule="auto"/>
        <w:ind w:left="1985"/>
        <w:rPr>
          <w:rFonts w:ascii="Garamond" w:eastAsia="Times New Roman" w:hAnsi="Garamond" w:cs="Calibri"/>
          <w:sz w:val="24"/>
          <w:szCs w:val="24"/>
          <w:lang w:eastAsia="pt-BR"/>
        </w:rPr>
      </w:pPr>
      <m:oMath>
        <m:r>
          <m:rPr>
            <m:sty m:val="p"/>
          </m:rPr>
          <w:rPr>
            <w:rFonts w:ascii="Cambria Math" w:eastAsia="Times New Roman" w:hAnsi="Cambria Math" w:cs="Calibri"/>
            <w:sz w:val="24"/>
            <w:szCs w:val="24"/>
            <w:lang w:eastAsia="pt-BR"/>
          </w:rPr>
          <m:t>y</m:t>
        </m:r>
      </m:oMath>
      <w:r w:rsidR="00395593" w:rsidRPr="005C5CBD">
        <w:rPr>
          <w:rFonts w:ascii="Garamond" w:eastAsia="Times New Roman" w:hAnsi="Garamond" w:cs="Calibri"/>
          <w:sz w:val="24"/>
          <w:szCs w:val="24"/>
          <w:lang w:eastAsia="pt-BR"/>
        </w:rPr>
        <w:t>: valor de face do subsídio;</w:t>
      </w:r>
    </w:p>
    <w:p w14:paraId="65D429F5" w14:textId="77777777" w:rsidR="00395593" w:rsidRPr="005C5CBD" w:rsidRDefault="000B0773" w:rsidP="00E15FBB">
      <w:pPr>
        <w:spacing w:after="0" w:line="240" w:lineRule="auto"/>
        <w:ind w:left="1985"/>
        <w:rPr>
          <w:rFonts w:ascii="Garamond" w:eastAsia="Times New Roman" w:hAnsi="Garamond" w:cs="Calibri"/>
          <w:sz w:val="24"/>
          <w:szCs w:val="24"/>
          <w:lang w:eastAsia="pt-BR"/>
        </w:rPr>
      </w:pPr>
      <m:oMath>
        <m:r>
          <w:rPr>
            <w:rFonts w:ascii="Cambria Math" w:eastAsia="Times New Roman" w:hAnsi="Cambria Math" w:cs="Calibri"/>
            <w:sz w:val="24"/>
            <w:szCs w:val="24"/>
            <w:lang w:eastAsia="pt-BR"/>
          </w:rPr>
          <m:t>n</m:t>
        </m:r>
      </m:oMath>
      <w:r w:rsidR="00395593" w:rsidRPr="005C5CBD">
        <w:rPr>
          <w:rFonts w:ascii="Garamond" w:eastAsia="Times New Roman" w:hAnsi="Garamond" w:cs="Calibri"/>
          <w:sz w:val="24"/>
          <w:szCs w:val="24"/>
          <w:lang w:eastAsia="pt-BR"/>
        </w:rPr>
        <w:t>: vida útil média dos ativos fixos da empresa investigada;</w:t>
      </w:r>
    </w:p>
    <w:p w14:paraId="175A80DC" w14:textId="77777777" w:rsidR="00395593" w:rsidRPr="005C5CBD" w:rsidRDefault="000B0773" w:rsidP="00E15FBB">
      <w:pPr>
        <w:spacing w:after="0" w:line="240" w:lineRule="auto"/>
        <w:ind w:left="1985"/>
        <w:rPr>
          <w:rFonts w:ascii="Garamond" w:eastAsia="Times New Roman" w:hAnsi="Garamond" w:cs="Calibri"/>
          <w:sz w:val="24"/>
          <w:szCs w:val="24"/>
          <w:lang w:eastAsia="pt-BR"/>
        </w:rPr>
      </w:pPr>
      <m:oMath>
        <m:r>
          <w:rPr>
            <w:rFonts w:ascii="Cambria Math" w:eastAsia="Times New Roman" w:hAnsi="Cambria Math" w:cs="Calibri"/>
            <w:sz w:val="24"/>
            <w:szCs w:val="24"/>
            <w:lang w:eastAsia="pt-BR"/>
          </w:rPr>
          <m:t>k</m:t>
        </m:r>
      </m:oMath>
      <w:r w:rsidR="00395593" w:rsidRPr="005C5CBD">
        <w:rPr>
          <w:rFonts w:ascii="Garamond" w:eastAsia="Times New Roman" w:hAnsi="Garamond" w:cs="Calibri"/>
          <w:sz w:val="24"/>
          <w:szCs w:val="24"/>
          <w:lang w:eastAsia="pt-BR"/>
        </w:rPr>
        <w:t>: varia entre o ano de recebimento (</w:t>
      </w:r>
      <w:r w:rsidR="00395593" w:rsidRPr="005C5CBD">
        <w:rPr>
          <w:rFonts w:ascii="Garamond" w:eastAsia="Times New Roman" w:hAnsi="Garamond" w:cs="Calibri"/>
          <w:i/>
          <w:iCs/>
          <w:sz w:val="24"/>
          <w:szCs w:val="24"/>
          <w:lang w:eastAsia="pt-BR"/>
        </w:rPr>
        <w:t>k</w:t>
      </w:r>
      <w:r w:rsidR="00395593" w:rsidRPr="005C5CBD">
        <w:rPr>
          <w:rFonts w:ascii="Garamond" w:eastAsia="Times New Roman" w:hAnsi="Garamond" w:cs="Calibri"/>
          <w:sz w:val="24"/>
          <w:szCs w:val="24"/>
          <w:lang w:eastAsia="pt-BR"/>
        </w:rPr>
        <w:t xml:space="preserve"> igual a 1) e os anos da vida útil média (</w:t>
      </w:r>
      <w:r w:rsidR="00395593" w:rsidRPr="005C5CBD">
        <w:rPr>
          <w:rFonts w:ascii="Garamond" w:eastAsia="Times New Roman" w:hAnsi="Garamond" w:cs="Calibri"/>
          <w:i/>
          <w:iCs/>
          <w:sz w:val="24"/>
          <w:szCs w:val="24"/>
          <w:lang w:eastAsia="pt-BR"/>
        </w:rPr>
        <w:t xml:space="preserve">k </w:t>
      </w:r>
      <w:r w:rsidR="00395593" w:rsidRPr="005C5CBD">
        <w:rPr>
          <w:rFonts w:ascii="Garamond" w:eastAsia="Times New Roman" w:hAnsi="Garamond" w:cs="Calibri"/>
          <w:sz w:val="24"/>
          <w:szCs w:val="24"/>
          <w:lang w:eastAsia="pt-BR"/>
        </w:rPr>
        <w:t xml:space="preserve">igual a </w:t>
      </w:r>
      <w:r w:rsidR="00395593" w:rsidRPr="005C5CBD">
        <w:rPr>
          <w:rFonts w:ascii="Garamond" w:eastAsia="Times New Roman" w:hAnsi="Garamond" w:cs="Calibri"/>
          <w:i/>
          <w:iCs/>
          <w:sz w:val="24"/>
          <w:szCs w:val="24"/>
          <w:lang w:eastAsia="pt-BR"/>
        </w:rPr>
        <w:t>n</w:t>
      </w:r>
      <w:r w:rsidR="00395593" w:rsidRPr="005C5CBD">
        <w:rPr>
          <w:rFonts w:ascii="Garamond" w:eastAsia="Times New Roman" w:hAnsi="Garamond" w:cs="Calibri"/>
          <w:sz w:val="24"/>
          <w:szCs w:val="24"/>
          <w:lang w:eastAsia="pt-BR"/>
        </w:rPr>
        <w:t>);</w:t>
      </w:r>
    </w:p>
    <w:p w14:paraId="060E3E22" w14:textId="77777777" w:rsidR="00395593" w:rsidRPr="005C5CBD" w:rsidRDefault="000B0773" w:rsidP="00E15FBB">
      <w:pPr>
        <w:spacing w:after="0" w:line="240" w:lineRule="auto"/>
        <w:ind w:left="1985"/>
        <w:rPr>
          <w:rFonts w:ascii="Garamond" w:eastAsia="Times New Roman" w:hAnsi="Garamond" w:cs="Calibri"/>
          <w:sz w:val="24"/>
          <w:szCs w:val="24"/>
          <w:lang w:eastAsia="pt-BR"/>
        </w:rPr>
      </w:pPr>
      <m:oMath>
        <m:r>
          <m:rPr>
            <m:sty m:val="p"/>
          </m:rPr>
          <w:rPr>
            <w:rFonts w:ascii="Cambria Math" w:eastAsia="Times New Roman" w:hAnsi="Cambria Math" w:cs="Calibri"/>
            <w:sz w:val="24"/>
            <w:szCs w:val="24"/>
            <w:lang w:eastAsia="pt-BR"/>
          </w:rPr>
          <m:t>d</m:t>
        </m:r>
      </m:oMath>
      <w:r w:rsidR="00395593" w:rsidRPr="005C5CBD">
        <w:rPr>
          <w:rFonts w:ascii="Garamond" w:eastAsia="Times New Roman" w:hAnsi="Garamond" w:cs="Calibri"/>
          <w:sz w:val="24"/>
          <w:szCs w:val="24"/>
          <w:lang w:eastAsia="pt-BR"/>
        </w:rPr>
        <w:t>: taxa de juros de longo prazo.</w:t>
      </w:r>
    </w:p>
    <w:p w14:paraId="0E21E881" w14:textId="696380B6" w:rsidR="00D6741B" w:rsidRDefault="00D6741B" w:rsidP="003775F1">
      <w:pPr>
        <w:jc w:val="both"/>
        <w:rPr>
          <w:rFonts w:ascii="Garamond" w:hAnsi="Garamond"/>
        </w:rPr>
        <w:sectPr w:rsidR="00D6741B" w:rsidSect="00C171A2">
          <w:pgSz w:w="15840" w:h="12240" w:orient="landscape"/>
          <w:pgMar w:top="1418" w:right="1418" w:bottom="1418" w:left="1418" w:header="720" w:footer="720" w:gutter="0"/>
          <w:cols w:space="720"/>
          <w:docGrid w:linePitch="299"/>
        </w:sectPr>
      </w:pPr>
    </w:p>
    <w:p w14:paraId="6B089CAE" w14:textId="2160EE9B" w:rsidR="00BD7B39" w:rsidRPr="00395593" w:rsidRDefault="004C46F0" w:rsidP="003775F1">
      <w:pPr>
        <w:jc w:val="both"/>
        <w:rPr>
          <w:rFonts w:ascii="Garamond" w:hAnsi="Garamond"/>
        </w:rPr>
      </w:pPr>
      <w:r>
        <w:rPr>
          <w:rFonts w:ascii="Garamond" w:hAnsi="Garamond"/>
          <w:noProof/>
          <w:lang w:eastAsia="pt-BR"/>
        </w:rPr>
        <w:drawing>
          <wp:inline distT="0" distB="0" distL="0" distR="0" wp14:anchorId="1EAE7F96" wp14:editId="0D70BA33">
            <wp:extent cx="5838190" cy="825754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RTE D.pn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5838190" cy="8257540"/>
                    </a:xfrm>
                    <a:prstGeom prst="rect">
                      <a:avLst/>
                    </a:prstGeom>
                  </pic:spPr>
                </pic:pic>
              </a:graphicData>
            </a:graphic>
          </wp:inline>
        </w:drawing>
      </w:r>
    </w:p>
    <w:p w14:paraId="0017B36E" w14:textId="185C591F" w:rsidR="00F955A3" w:rsidRPr="001212FB" w:rsidRDefault="00F955A3" w:rsidP="00112608">
      <w:pPr>
        <w:tabs>
          <w:tab w:val="left" w:pos="1605"/>
          <w:tab w:val="left" w:pos="1680"/>
          <w:tab w:val="center" w:pos="4530"/>
        </w:tabs>
        <w:jc w:val="center"/>
        <w:outlineLvl w:val="0"/>
        <w:rPr>
          <w:rFonts w:ascii="Garamond" w:hAnsi="Garamond" w:cstheme="majorHAnsi"/>
          <w:b/>
          <w:smallCaps/>
          <w:sz w:val="28"/>
          <w:szCs w:val="28"/>
        </w:rPr>
      </w:pPr>
      <w:bookmarkStart w:id="153" w:name="_Toc96003815"/>
      <w:r w:rsidRPr="001212FB">
        <w:rPr>
          <w:rFonts w:ascii="Garamond" w:hAnsi="Garamond" w:cstheme="majorHAnsi"/>
          <w:b/>
          <w:smallCaps/>
          <w:sz w:val="28"/>
          <w:szCs w:val="28"/>
        </w:rPr>
        <w:t xml:space="preserve">Parte </w:t>
      </w:r>
      <w:r w:rsidR="008A3B26">
        <w:rPr>
          <w:rFonts w:ascii="Garamond" w:hAnsi="Garamond" w:cstheme="majorHAnsi"/>
          <w:b/>
          <w:smallCaps/>
          <w:sz w:val="28"/>
          <w:szCs w:val="28"/>
        </w:rPr>
        <w:t>D</w:t>
      </w:r>
      <w:r w:rsidRPr="001212FB">
        <w:rPr>
          <w:rFonts w:ascii="Garamond" w:hAnsi="Garamond" w:cstheme="majorHAnsi"/>
          <w:b/>
          <w:smallCaps/>
          <w:sz w:val="28"/>
          <w:szCs w:val="28"/>
        </w:rPr>
        <w:t xml:space="preserve"> – Normas </w:t>
      </w:r>
      <w:r>
        <w:rPr>
          <w:rFonts w:ascii="Garamond" w:hAnsi="Garamond" w:cstheme="majorHAnsi"/>
          <w:b/>
          <w:smallCaps/>
          <w:sz w:val="28"/>
          <w:szCs w:val="28"/>
        </w:rPr>
        <w:t>Específicas de Salvaguarda</w:t>
      </w:r>
      <w:bookmarkEnd w:id="153"/>
    </w:p>
    <w:p w14:paraId="0675D2A2" w14:textId="4BF5EE6F" w:rsidR="00B73003" w:rsidRPr="005C26A4" w:rsidRDefault="00D44A7A" w:rsidP="00F955A3">
      <w:pPr>
        <w:pStyle w:val="Ttulo"/>
        <w:tabs>
          <w:tab w:val="clear" w:pos="4249"/>
          <w:tab w:val="clear" w:pos="8498"/>
          <w:tab w:val="left" w:pos="2655"/>
          <w:tab w:val="center" w:pos="4702"/>
        </w:tabs>
        <w:outlineLvl w:val="1"/>
      </w:pPr>
      <w:bookmarkStart w:id="154" w:name="_Toc96003816"/>
      <w:r w:rsidRPr="00395593">
        <w:t>A</w:t>
      </w:r>
      <w:r w:rsidR="00E92169" w:rsidRPr="00395593">
        <w:t xml:space="preserve">cordo </w:t>
      </w:r>
      <w:r w:rsidR="00F50FBF">
        <w:t>sobre</w:t>
      </w:r>
      <w:r w:rsidR="00E92169" w:rsidRPr="00395593">
        <w:t xml:space="preserve"> </w:t>
      </w:r>
      <w:r w:rsidRPr="00395593">
        <w:t>S</w:t>
      </w:r>
      <w:r w:rsidR="00E92169" w:rsidRPr="00395593">
        <w:t>alvaguarda</w:t>
      </w:r>
      <w:r w:rsidR="00F50FBF">
        <w:t>s</w:t>
      </w:r>
      <w:bookmarkEnd w:id="154"/>
    </w:p>
    <w:p w14:paraId="711E558F" w14:textId="6017A4CF" w:rsidR="00B73003" w:rsidRDefault="00B73003" w:rsidP="00B73003">
      <w:pPr>
        <w:jc w:val="both"/>
        <w:rPr>
          <w:rFonts w:ascii="Garamond" w:hAnsi="Garamond" w:cstheme="majorHAnsi"/>
        </w:rPr>
      </w:pPr>
    </w:p>
    <w:p w14:paraId="7FB20054" w14:textId="077F5E2F" w:rsidR="00D44A7A" w:rsidRPr="00395593" w:rsidRDefault="00D44A7A" w:rsidP="00F955A3">
      <w:pPr>
        <w:pStyle w:val="Corpodetexto"/>
        <w:tabs>
          <w:tab w:val="center" w:pos="5172"/>
        </w:tabs>
        <w:spacing w:before="90"/>
        <w:ind w:left="941"/>
        <w:rPr>
          <w:rFonts w:ascii="Garamond" w:hAnsi="Garamond"/>
        </w:rPr>
      </w:pPr>
      <w:r w:rsidRPr="00395593">
        <w:rPr>
          <w:rFonts w:ascii="Garamond" w:hAnsi="Garamond"/>
        </w:rPr>
        <w:t>Os</w:t>
      </w:r>
      <w:r w:rsidRPr="00395593">
        <w:rPr>
          <w:rFonts w:ascii="Garamond" w:hAnsi="Garamond"/>
          <w:spacing w:val="-1"/>
        </w:rPr>
        <w:t xml:space="preserve"> </w:t>
      </w:r>
      <w:r w:rsidRPr="00395593">
        <w:rPr>
          <w:rFonts w:ascii="Garamond" w:hAnsi="Garamond"/>
        </w:rPr>
        <w:t>Membros,</w:t>
      </w:r>
      <w:r w:rsidR="00F955A3">
        <w:rPr>
          <w:rFonts w:ascii="Garamond" w:hAnsi="Garamond"/>
        </w:rPr>
        <w:tab/>
      </w:r>
    </w:p>
    <w:p w14:paraId="6AC38D20" w14:textId="77777777" w:rsidR="00D44A7A" w:rsidRPr="00395593" w:rsidRDefault="00D44A7A" w:rsidP="00D44A7A">
      <w:pPr>
        <w:pStyle w:val="Corpodetexto"/>
        <w:spacing w:before="11"/>
        <w:rPr>
          <w:rFonts w:ascii="Garamond" w:hAnsi="Garamond"/>
          <w:sz w:val="23"/>
        </w:rPr>
      </w:pPr>
    </w:p>
    <w:p w14:paraId="6B09F324" w14:textId="77777777" w:rsidR="00D44A7A" w:rsidRPr="00395593" w:rsidRDefault="00D44A7A" w:rsidP="00D44A7A">
      <w:pPr>
        <w:pStyle w:val="Corpodetexto"/>
        <w:ind w:left="222" w:right="164" w:firstLine="719"/>
        <w:jc w:val="both"/>
        <w:rPr>
          <w:rFonts w:ascii="Garamond" w:hAnsi="Garamond"/>
        </w:rPr>
      </w:pPr>
      <w:r w:rsidRPr="00395593">
        <w:rPr>
          <w:rFonts w:ascii="Garamond" w:hAnsi="Garamond"/>
        </w:rPr>
        <w:t>Considerando o objetivo geral dos Membros de melhorar e fortalecer o sistema de</w:t>
      </w:r>
      <w:r w:rsidRPr="00395593">
        <w:rPr>
          <w:rFonts w:ascii="Garamond" w:hAnsi="Garamond"/>
          <w:spacing w:val="1"/>
        </w:rPr>
        <w:t xml:space="preserve"> </w:t>
      </w:r>
      <w:r w:rsidRPr="00395593">
        <w:rPr>
          <w:rFonts w:ascii="Garamond" w:hAnsi="Garamond"/>
        </w:rPr>
        <w:t>comércio</w:t>
      </w:r>
      <w:r w:rsidRPr="00395593">
        <w:rPr>
          <w:rFonts w:ascii="Garamond" w:hAnsi="Garamond"/>
          <w:spacing w:val="-1"/>
        </w:rPr>
        <w:t xml:space="preserve"> </w:t>
      </w:r>
      <w:r w:rsidRPr="00395593">
        <w:rPr>
          <w:rFonts w:ascii="Garamond" w:hAnsi="Garamond"/>
        </w:rPr>
        <w:t>internacional baseado no GATT 1994;</w:t>
      </w:r>
    </w:p>
    <w:p w14:paraId="77C1A935" w14:textId="77777777" w:rsidR="00D44A7A" w:rsidRPr="00395593" w:rsidRDefault="00D44A7A" w:rsidP="00D44A7A">
      <w:pPr>
        <w:pStyle w:val="Corpodetexto"/>
        <w:rPr>
          <w:rFonts w:ascii="Garamond" w:hAnsi="Garamond"/>
        </w:rPr>
      </w:pPr>
    </w:p>
    <w:p w14:paraId="5B853D47" w14:textId="77777777" w:rsidR="00D44A7A" w:rsidRPr="00395593" w:rsidRDefault="00D44A7A" w:rsidP="00D44A7A">
      <w:pPr>
        <w:pStyle w:val="Corpodetexto"/>
        <w:ind w:left="222" w:right="162" w:firstLine="719"/>
        <w:jc w:val="both"/>
        <w:rPr>
          <w:rFonts w:ascii="Garamond" w:hAnsi="Garamond"/>
        </w:rPr>
      </w:pPr>
      <w:r w:rsidRPr="00395593">
        <w:rPr>
          <w:rFonts w:ascii="Garamond" w:hAnsi="Garamond"/>
        </w:rPr>
        <w:t>Reconhecendo</w:t>
      </w:r>
      <w:r w:rsidRPr="00395593">
        <w:rPr>
          <w:rFonts w:ascii="Garamond" w:hAnsi="Garamond"/>
          <w:spacing w:val="13"/>
        </w:rPr>
        <w:t xml:space="preserve"> </w:t>
      </w:r>
      <w:r w:rsidRPr="00395593">
        <w:rPr>
          <w:rFonts w:ascii="Garamond" w:hAnsi="Garamond"/>
        </w:rPr>
        <w:t>a</w:t>
      </w:r>
      <w:r w:rsidRPr="00395593">
        <w:rPr>
          <w:rFonts w:ascii="Garamond" w:hAnsi="Garamond"/>
          <w:spacing w:val="12"/>
        </w:rPr>
        <w:t xml:space="preserve"> </w:t>
      </w:r>
      <w:r w:rsidRPr="00395593">
        <w:rPr>
          <w:rFonts w:ascii="Garamond" w:hAnsi="Garamond"/>
        </w:rPr>
        <w:t>necessidade</w:t>
      </w:r>
      <w:r w:rsidRPr="00395593">
        <w:rPr>
          <w:rFonts w:ascii="Garamond" w:hAnsi="Garamond"/>
          <w:spacing w:val="13"/>
        </w:rPr>
        <w:t xml:space="preserve"> </w:t>
      </w:r>
      <w:r w:rsidRPr="00395593">
        <w:rPr>
          <w:rFonts w:ascii="Garamond" w:hAnsi="Garamond"/>
        </w:rPr>
        <w:t>de</w:t>
      </w:r>
      <w:r w:rsidRPr="00395593">
        <w:rPr>
          <w:rFonts w:ascii="Garamond" w:hAnsi="Garamond"/>
          <w:spacing w:val="12"/>
        </w:rPr>
        <w:t xml:space="preserve"> </w:t>
      </w:r>
      <w:r w:rsidRPr="00395593">
        <w:rPr>
          <w:rFonts w:ascii="Garamond" w:hAnsi="Garamond"/>
        </w:rPr>
        <w:t>esclarecer</w:t>
      </w:r>
      <w:r w:rsidRPr="00395593">
        <w:rPr>
          <w:rFonts w:ascii="Garamond" w:hAnsi="Garamond"/>
          <w:spacing w:val="12"/>
        </w:rPr>
        <w:t xml:space="preserve"> </w:t>
      </w:r>
      <w:r w:rsidRPr="00395593">
        <w:rPr>
          <w:rFonts w:ascii="Garamond" w:hAnsi="Garamond"/>
        </w:rPr>
        <w:t>e</w:t>
      </w:r>
      <w:r w:rsidRPr="00395593">
        <w:rPr>
          <w:rFonts w:ascii="Garamond" w:hAnsi="Garamond"/>
          <w:spacing w:val="13"/>
        </w:rPr>
        <w:t xml:space="preserve"> </w:t>
      </w:r>
      <w:r w:rsidRPr="00395593">
        <w:rPr>
          <w:rFonts w:ascii="Garamond" w:hAnsi="Garamond"/>
        </w:rPr>
        <w:t>reforçar</w:t>
      </w:r>
      <w:r w:rsidRPr="00395593">
        <w:rPr>
          <w:rFonts w:ascii="Garamond" w:hAnsi="Garamond"/>
          <w:spacing w:val="14"/>
        </w:rPr>
        <w:t xml:space="preserve"> </w:t>
      </w:r>
      <w:r w:rsidRPr="00395593">
        <w:rPr>
          <w:rFonts w:ascii="Garamond" w:hAnsi="Garamond"/>
        </w:rPr>
        <w:t>as</w:t>
      </w:r>
      <w:r w:rsidRPr="00395593">
        <w:rPr>
          <w:rFonts w:ascii="Garamond" w:hAnsi="Garamond"/>
          <w:spacing w:val="13"/>
        </w:rPr>
        <w:t xml:space="preserve"> </w:t>
      </w:r>
      <w:r w:rsidRPr="00395593">
        <w:rPr>
          <w:rFonts w:ascii="Garamond" w:hAnsi="Garamond"/>
        </w:rPr>
        <w:t>disciplinas</w:t>
      </w:r>
      <w:r w:rsidRPr="00395593">
        <w:rPr>
          <w:rFonts w:ascii="Garamond" w:hAnsi="Garamond"/>
          <w:spacing w:val="13"/>
        </w:rPr>
        <w:t xml:space="preserve"> </w:t>
      </w:r>
      <w:r w:rsidRPr="00395593">
        <w:rPr>
          <w:rFonts w:ascii="Garamond" w:hAnsi="Garamond"/>
        </w:rPr>
        <w:t>do</w:t>
      </w:r>
      <w:r w:rsidRPr="00395593">
        <w:rPr>
          <w:rFonts w:ascii="Garamond" w:hAnsi="Garamond"/>
          <w:spacing w:val="13"/>
        </w:rPr>
        <w:t xml:space="preserve"> </w:t>
      </w:r>
      <w:r w:rsidRPr="00395593">
        <w:rPr>
          <w:rFonts w:ascii="Garamond" w:hAnsi="Garamond"/>
        </w:rPr>
        <w:t>GATT</w:t>
      </w:r>
      <w:r w:rsidRPr="00395593">
        <w:rPr>
          <w:rFonts w:ascii="Garamond" w:hAnsi="Garamond"/>
          <w:spacing w:val="12"/>
        </w:rPr>
        <w:t xml:space="preserve"> </w:t>
      </w:r>
      <w:r w:rsidRPr="00395593">
        <w:rPr>
          <w:rFonts w:ascii="Garamond" w:hAnsi="Garamond"/>
        </w:rPr>
        <w:t>1994</w:t>
      </w:r>
      <w:r w:rsidRPr="00395593">
        <w:rPr>
          <w:rFonts w:ascii="Garamond" w:hAnsi="Garamond"/>
          <w:spacing w:val="-57"/>
        </w:rPr>
        <w:t xml:space="preserve"> </w:t>
      </w:r>
      <w:r w:rsidRPr="00395593">
        <w:rPr>
          <w:rFonts w:ascii="Garamond" w:hAnsi="Garamond"/>
        </w:rPr>
        <w:t>e especificamente as do seu Artigo XIX (Medidas de emergência com relação à importação</w:t>
      </w:r>
      <w:r w:rsidRPr="00395593">
        <w:rPr>
          <w:rFonts w:ascii="Garamond" w:hAnsi="Garamond"/>
          <w:spacing w:val="-57"/>
        </w:rPr>
        <w:t xml:space="preserve"> </w:t>
      </w:r>
      <w:r w:rsidRPr="00395593">
        <w:rPr>
          <w:rFonts w:ascii="Garamond" w:hAnsi="Garamond"/>
        </w:rPr>
        <w:t>de produtos particulares) de restabelecer o controle multilateral sobre as salvaguardas e de</w:t>
      </w:r>
      <w:r w:rsidRPr="00395593">
        <w:rPr>
          <w:rFonts w:ascii="Garamond" w:hAnsi="Garamond"/>
          <w:spacing w:val="1"/>
        </w:rPr>
        <w:t xml:space="preserve"> </w:t>
      </w:r>
      <w:r w:rsidRPr="00395593">
        <w:rPr>
          <w:rFonts w:ascii="Garamond" w:hAnsi="Garamond"/>
        </w:rPr>
        <w:t>eliminar</w:t>
      </w:r>
      <w:r w:rsidRPr="00395593">
        <w:rPr>
          <w:rFonts w:ascii="Garamond" w:hAnsi="Garamond"/>
          <w:spacing w:val="-1"/>
        </w:rPr>
        <w:t xml:space="preserve"> </w:t>
      </w:r>
      <w:r w:rsidRPr="00395593">
        <w:rPr>
          <w:rFonts w:ascii="Garamond" w:hAnsi="Garamond"/>
        </w:rPr>
        <w:t>as medidas que</w:t>
      </w:r>
      <w:r w:rsidRPr="00395593">
        <w:rPr>
          <w:rFonts w:ascii="Garamond" w:hAnsi="Garamond"/>
          <w:spacing w:val="1"/>
        </w:rPr>
        <w:t xml:space="preserve"> </w:t>
      </w:r>
      <w:r w:rsidRPr="00395593">
        <w:rPr>
          <w:rFonts w:ascii="Garamond" w:hAnsi="Garamond"/>
        </w:rPr>
        <w:t>escapem</w:t>
      </w:r>
      <w:r w:rsidRPr="00395593">
        <w:rPr>
          <w:rFonts w:ascii="Garamond" w:hAnsi="Garamond"/>
          <w:spacing w:val="2"/>
        </w:rPr>
        <w:t xml:space="preserve"> </w:t>
      </w:r>
      <w:r w:rsidRPr="00395593">
        <w:rPr>
          <w:rFonts w:ascii="Garamond" w:hAnsi="Garamond"/>
        </w:rPr>
        <w:t>a</w:t>
      </w:r>
      <w:r w:rsidRPr="00395593">
        <w:rPr>
          <w:rFonts w:ascii="Garamond" w:hAnsi="Garamond"/>
          <w:spacing w:val="-1"/>
        </w:rPr>
        <w:t xml:space="preserve"> </w:t>
      </w:r>
      <w:r w:rsidRPr="00395593">
        <w:rPr>
          <w:rFonts w:ascii="Garamond" w:hAnsi="Garamond"/>
        </w:rPr>
        <w:t>tal controle;</w:t>
      </w:r>
    </w:p>
    <w:p w14:paraId="218CC3B5" w14:textId="77777777" w:rsidR="00D44A7A" w:rsidRPr="00395593" w:rsidRDefault="00D44A7A" w:rsidP="00D44A7A">
      <w:pPr>
        <w:pStyle w:val="Corpodetexto"/>
        <w:rPr>
          <w:rFonts w:ascii="Garamond" w:hAnsi="Garamond"/>
        </w:rPr>
      </w:pPr>
    </w:p>
    <w:p w14:paraId="303CB459" w14:textId="77777777" w:rsidR="00D44A7A" w:rsidRPr="00395593" w:rsidRDefault="00D44A7A" w:rsidP="00D44A7A">
      <w:pPr>
        <w:pStyle w:val="Corpodetexto"/>
        <w:ind w:left="222" w:right="158" w:firstLine="719"/>
        <w:jc w:val="both"/>
        <w:rPr>
          <w:rFonts w:ascii="Garamond" w:hAnsi="Garamond"/>
        </w:rPr>
      </w:pPr>
      <w:r w:rsidRPr="00395593">
        <w:rPr>
          <w:rFonts w:ascii="Garamond" w:hAnsi="Garamond"/>
        </w:rPr>
        <w:t>Reconhecendo a importância do ajustamento estrutural e a necessidade de estimular</w:t>
      </w:r>
      <w:r w:rsidRPr="00395593">
        <w:rPr>
          <w:rFonts w:ascii="Garamond" w:hAnsi="Garamond"/>
          <w:spacing w:val="1"/>
        </w:rPr>
        <w:t xml:space="preserve"> </w:t>
      </w:r>
      <w:r w:rsidRPr="00395593">
        <w:rPr>
          <w:rFonts w:ascii="Garamond" w:hAnsi="Garamond"/>
        </w:rPr>
        <w:t>ao</w:t>
      </w:r>
      <w:r w:rsidRPr="00395593">
        <w:rPr>
          <w:rFonts w:ascii="Garamond" w:hAnsi="Garamond"/>
          <w:spacing w:val="-1"/>
        </w:rPr>
        <w:t xml:space="preserve"> </w:t>
      </w:r>
      <w:r w:rsidRPr="00395593">
        <w:rPr>
          <w:rFonts w:ascii="Garamond" w:hAnsi="Garamond"/>
        </w:rPr>
        <w:t>invés de</w:t>
      </w:r>
      <w:r w:rsidRPr="00395593">
        <w:rPr>
          <w:rFonts w:ascii="Garamond" w:hAnsi="Garamond"/>
          <w:spacing w:val="-2"/>
        </w:rPr>
        <w:t xml:space="preserve"> </w:t>
      </w:r>
      <w:r w:rsidRPr="00395593">
        <w:rPr>
          <w:rFonts w:ascii="Garamond" w:hAnsi="Garamond"/>
        </w:rPr>
        <w:t>limitar</w:t>
      </w:r>
      <w:r w:rsidRPr="00395593">
        <w:rPr>
          <w:rFonts w:ascii="Garamond" w:hAnsi="Garamond"/>
          <w:spacing w:val="-2"/>
        </w:rPr>
        <w:t xml:space="preserve"> </w:t>
      </w:r>
      <w:r w:rsidRPr="00395593">
        <w:rPr>
          <w:rFonts w:ascii="Garamond" w:hAnsi="Garamond"/>
        </w:rPr>
        <w:t>a</w:t>
      </w:r>
      <w:r w:rsidRPr="00395593">
        <w:rPr>
          <w:rFonts w:ascii="Garamond" w:hAnsi="Garamond"/>
          <w:spacing w:val="-1"/>
        </w:rPr>
        <w:t xml:space="preserve"> </w:t>
      </w:r>
      <w:r w:rsidRPr="00395593">
        <w:rPr>
          <w:rFonts w:ascii="Garamond" w:hAnsi="Garamond"/>
        </w:rPr>
        <w:t>concorrência nos mercados</w:t>
      </w:r>
      <w:r w:rsidRPr="00395593">
        <w:rPr>
          <w:rFonts w:ascii="Garamond" w:hAnsi="Garamond"/>
          <w:spacing w:val="-1"/>
        </w:rPr>
        <w:t xml:space="preserve"> </w:t>
      </w:r>
      <w:r w:rsidRPr="00395593">
        <w:rPr>
          <w:rFonts w:ascii="Garamond" w:hAnsi="Garamond"/>
        </w:rPr>
        <w:t>internacionais; e</w:t>
      </w:r>
    </w:p>
    <w:p w14:paraId="23DF79A6" w14:textId="77777777" w:rsidR="00D44A7A" w:rsidRPr="00395593" w:rsidRDefault="00D44A7A" w:rsidP="00D44A7A">
      <w:pPr>
        <w:pStyle w:val="Corpodetexto"/>
        <w:spacing w:before="1"/>
        <w:rPr>
          <w:rFonts w:ascii="Garamond" w:hAnsi="Garamond"/>
        </w:rPr>
      </w:pPr>
    </w:p>
    <w:p w14:paraId="4F4A9B70" w14:textId="77777777" w:rsidR="00D44A7A" w:rsidRPr="00395593" w:rsidRDefault="00D44A7A" w:rsidP="00D44A7A">
      <w:pPr>
        <w:pStyle w:val="Corpodetexto"/>
        <w:ind w:left="222" w:right="161" w:firstLine="719"/>
        <w:jc w:val="both"/>
        <w:rPr>
          <w:rFonts w:ascii="Garamond" w:hAnsi="Garamond"/>
        </w:rPr>
      </w:pPr>
      <w:r w:rsidRPr="00395593">
        <w:rPr>
          <w:rFonts w:ascii="Garamond" w:hAnsi="Garamond"/>
        </w:rPr>
        <w:t>Reconhecendo ademais que, para esses fins, faz-se necessário um acordo abrangente</w:t>
      </w:r>
      <w:r w:rsidRPr="00395593">
        <w:rPr>
          <w:rFonts w:ascii="Garamond" w:hAnsi="Garamond"/>
          <w:spacing w:val="-58"/>
        </w:rPr>
        <w:t xml:space="preserve"> </w:t>
      </w:r>
      <w:r w:rsidRPr="00395593">
        <w:rPr>
          <w:rFonts w:ascii="Garamond" w:hAnsi="Garamond"/>
        </w:rPr>
        <w:t>aplicável</w:t>
      </w:r>
      <w:r w:rsidRPr="00395593">
        <w:rPr>
          <w:rFonts w:ascii="Garamond" w:hAnsi="Garamond"/>
          <w:spacing w:val="-1"/>
        </w:rPr>
        <w:t xml:space="preserve"> </w:t>
      </w:r>
      <w:r w:rsidRPr="00395593">
        <w:rPr>
          <w:rFonts w:ascii="Garamond" w:hAnsi="Garamond"/>
        </w:rPr>
        <w:t>a todos os Membros e</w:t>
      </w:r>
      <w:r w:rsidRPr="00395593">
        <w:rPr>
          <w:rFonts w:ascii="Garamond" w:hAnsi="Garamond"/>
          <w:spacing w:val="-2"/>
        </w:rPr>
        <w:t xml:space="preserve"> </w:t>
      </w:r>
      <w:r w:rsidRPr="00395593">
        <w:rPr>
          <w:rFonts w:ascii="Garamond" w:hAnsi="Garamond"/>
        </w:rPr>
        <w:t>fundado nos princípios básicos</w:t>
      </w:r>
      <w:r w:rsidRPr="00395593">
        <w:rPr>
          <w:rFonts w:ascii="Garamond" w:hAnsi="Garamond"/>
          <w:spacing w:val="1"/>
        </w:rPr>
        <w:t xml:space="preserve"> </w:t>
      </w:r>
      <w:r w:rsidRPr="00395593">
        <w:rPr>
          <w:rFonts w:ascii="Garamond" w:hAnsi="Garamond"/>
        </w:rPr>
        <w:t>do GATT 1994;</w:t>
      </w:r>
    </w:p>
    <w:p w14:paraId="7C39F21F" w14:textId="77777777" w:rsidR="00D44A7A" w:rsidRPr="00395593" w:rsidRDefault="00D44A7A" w:rsidP="00D44A7A">
      <w:pPr>
        <w:pStyle w:val="Corpodetexto"/>
        <w:rPr>
          <w:rFonts w:ascii="Garamond" w:hAnsi="Garamond"/>
        </w:rPr>
      </w:pPr>
    </w:p>
    <w:p w14:paraId="560A98AE" w14:textId="77777777" w:rsidR="00D44A7A" w:rsidRPr="00395593" w:rsidRDefault="00D44A7A" w:rsidP="00D44A7A">
      <w:pPr>
        <w:pStyle w:val="Corpodetexto"/>
        <w:ind w:left="941"/>
        <w:rPr>
          <w:rFonts w:ascii="Garamond" w:hAnsi="Garamond"/>
        </w:rPr>
      </w:pPr>
      <w:r w:rsidRPr="00395593">
        <w:rPr>
          <w:rFonts w:ascii="Garamond" w:hAnsi="Garamond"/>
        </w:rPr>
        <w:t>Concordam</w:t>
      </w:r>
      <w:r w:rsidRPr="00395593">
        <w:rPr>
          <w:rFonts w:ascii="Garamond" w:hAnsi="Garamond"/>
          <w:spacing w:val="-2"/>
        </w:rPr>
        <w:t xml:space="preserve"> </w:t>
      </w:r>
      <w:r w:rsidRPr="00395593">
        <w:rPr>
          <w:rFonts w:ascii="Garamond" w:hAnsi="Garamond"/>
        </w:rPr>
        <w:t>o</w:t>
      </w:r>
      <w:r w:rsidRPr="00395593">
        <w:rPr>
          <w:rFonts w:ascii="Garamond" w:hAnsi="Garamond"/>
          <w:spacing w:val="-2"/>
        </w:rPr>
        <w:t xml:space="preserve"> </w:t>
      </w:r>
      <w:r w:rsidRPr="00395593">
        <w:rPr>
          <w:rFonts w:ascii="Garamond" w:hAnsi="Garamond"/>
        </w:rPr>
        <w:t>seguinte:</w:t>
      </w:r>
    </w:p>
    <w:p w14:paraId="6F902A24" w14:textId="77777777" w:rsidR="00D44A7A" w:rsidRPr="00395593" w:rsidRDefault="00D44A7A" w:rsidP="00D44A7A">
      <w:pPr>
        <w:pStyle w:val="Corpodetexto"/>
        <w:rPr>
          <w:rFonts w:ascii="Garamond" w:hAnsi="Garamond"/>
        </w:rPr>
      </w:pPr>
    </w:p>
    <w:p w14:paraId="08ADAC9B" w14:textId="77777777" w:rsidR="00D44A7A" w:rsidRPr="00395593" w:rsidRDefault="00D44A7A" w:rsidP="00D44A7A">
      <w:pPr>
        <w:pStyle w:val="Corpodetexto"/>
        <w:spacing w:line="360" w:lineRule="auto"/>
        <w:ind w:left="3720" w:right="3651" w:firstLine="522"/>
        <w:rPr>
          <w:rFonts w:ascii="Garamond" w:hAnsi="Garamond"/>
          <w:b/>
        </w:rPr>
      </w:pPr>
      <w:r w:rsidRPr="00395593">
        <w:rPr>
          <w:rFonts w:ascii="Garamond" w:hAnsi="Garamond"/>
          <w:b/>
        </w:rPr>
        <w:t>Artigo 1</w:t>
      </w:r>
      <w:r w:rsidRPr="00395593">
        <w:rPr>
          <w:rFonts w:ascii="Garamond" w:hAnsi="Garamond"/>
          <w:b/>
          <w:spacing w:val="1"/>
        </w:rPr>
        <w:t xml:space="preserve"> </w:t>
      </w:r>
      <w:r w:rsidRPr="00395593">
        <w:rPr>
          <w:rFonts w:ascii="Garamond" w:hAnsi="Garamond"/>
          <w:b/>
        </w:rPr>
        <w:t>Disposições</w:t>
      </w:r>
      <w:r w:rsidRPr="00395593">
        <w:rPr>
          <w:rFonts w:ascii="Garamond" w:hAnsi="Garamond"/>
          <w:b/>
          <w:spacing w:val="-15"/>
        </w:rPr>
        <w:t xml:space="preserve"> </w:t>
      </w:r>
      <w:r w:rsidRPr="00395593">
        <w:rPr>
          <w:rFonts w:ascii="Garamond" w:hAnsi="Garamond"/>
          <w:b/>
        </w:rPr>
        <w:t>Gerais</w:t>
      </w:r>
    </w:p>
    <w:p w14:paraId="09C35DCD" w14:textId="77777777" w:rsidR="00D44A7A" w:rsidRPr="00395593" w:rsidRDefault="00D44A7A" w:rsidP="00D44A7A">
      <w:pPr>
        <w:pStyle w:val="Corpodetexto"/>
        <w:ind w:left="222" w:right="167" w:firstLine="719"/>
        <w:jc w:val="both"/>
        <w:rPr>
          <w:rFonts w:ascii="Garamond" w:hAnsi="Garamond"/>
        </w:rPr>
      </w:pPr>
      <w:r w:rsidRPr="00395593">
        <w:rPr>
          <w:rFonts w:ascii="Garamond" w:hAnsi="Garamond"/>
        </w:rPr>
        <w:t>O presente Acordo estabelece regras para a aplicação de medidas de salvaguarda,</w:t>
      </w:r>
      <w:r w:rsidRPr="00395593">
        <w:rPr>
          <w:rFonts w:ascii="Garamond" w:hAnsi="Garamond"/>
          <w:spacing w:val="1"/>
        </w:rPr>
        <w:t xml:space="preserve"> </w:t>
      </w:r>
      <w:r w:rsidRPr="00395593">
        <w:rPr>
          <w:rFonts w:ascii="Garamond" w:hAnsi="Garamond"/>
        </w:rPr>
        <w:t>entendendo-se</w:t>
      </w:r>
      <w:r w:rsidRPr="00395593">
        <w:rPr>
          <w:rFonts w:ascii="Garamond" w:hAnsi="Garamond"/>
          <w:spacing w:val="-2"/>
        </w:rPr>
        <w:t xml:space="preserve"> </w:t>
      </w:r>
      <w:r w:rsidRPr="00395593">
        <w:rPr>
          <w:rFonts w:ascii="Garamond" w:hAnsi="Garamond"/>
        </w:rPr>
        <w:t>como tal</w:t>
      </w:r>
      <w:r w:rsidRPr="00395593">
        <w:rPr>
          <w:rFonts w:ascii="Garamond" w:hAnsi="Garamond"/>
          <w:spacing w:val="-1"/>
        </w:rPr>
        <w:t xml:space="preserve"> </w:t>
      </w:r>
      <w:r w:rsidRPr="00395593">
        <w:rPr>
          <w:rFonts w:ascii="Garamond" w:hAnsi="Garamond"/>
        </w:rPr>
        <w:t>as medidas previstas</w:t>
      </w:r>
      <w:r w:rsidRPr="00395593">
        <w:rPr>
          <w:rFonts w:ascii="Garamond" w:hAnsi="Garamond"/>
          <w:spacing w:val="-1"/>
        </w:rPr>
        <w:t xml:space="preserve"> </w:t>
      </w:r>
      <w:r w:rsidRPr="00395593">
        <w:rPr>
          <w:rFonts w:ascii="Garamond" w:hAnsi="Garamond"/>
        </w:rPr>
        <w:t>no Artigo XIX do GATT 1994.</w:t>
      </w:r>
    </w:p>
    <w:p w14:paraId="26F22A63" w14:textId="77777777" w:rsidR="00D44A7A" w:rsidRPr="00395593" w:rsidRDefault="00D44A7A" w:rsidP="00D44A7A">
      <w:pPr>
        <w:pStyle w:val="Corpodetexto"/>
        <w:rPr>
          <w:rFonts w:ascii="Garamond" w:hAnsi="Garamond"/>
        </w:rPr>
      </w:pPr>
    </w:p>
    <w:p w14:paraId="61874ED9" w14:textId="77777777" w:rsidR="004136FD" w:rsidRDefault="00D44A7A" w:rsidP="004136FD">
      <w:pPr>
        <w:pStyle w:val="Corpodetexto"/>
        <w:spacing w:line="360" w:lineRule="auto"/>
        <w:ind w:right="48"/>
        <w:jc w:val="center"/>
        <w:rPr>
          <w:rFonts w:ascii="Garamond" w:hAnsi="Garamond"/>
          <w:b/>
        </w:rPr>
      </w:pPr>
      <w:r w:rsidRPr="00395593">
        <w:rPr>
          <w:rFonts w:ascii="Garamond" w:hAnsi="Garamond"/>
          <w:b/>
        </w:rPr>
        <w:t>Artigo</w:t>
      </w:r>
      <w:r w:rsidR="004136FD">
        <w:rPr>
          <w:rFonts w:ascii="Garamond" w:hAnsi="Garamond"/>
          <w:b/>
        </w:rPr>
        <w:t xml:space="preserve"> 2</w:t>
      </w:r>
    </w:p>
    <w:p w14:paraId="3350D22F" w14:textId="5699B37B" w:rsidR="00D44A7A" w:rsidRPr="00395593" w:rsidRDefault="00D44A7A" w:rsidP="004136FD">
      <w:pPr>
        <w:pStyle w:val="Corpodetexto"/>
        <w:spacing w:line="360" w:lineRule="auto"/>
        <w:ind w:right="48"/>
        <w:jc w:val="center"/>
        <w:rPr>
          <w:rFonts w:ascii="Garamond" w:hAnsi="Garamond"/>
          <w:b/>
        </w:rPr>
      </w:pPr>
      <w:r w:rsidRPr="00395593">
        <w:rPr>
          <w:rFonts w:ascii="Garamond" w:hAnsi="Garamond"/>
          <w:b/>
        </w:rPr>
        <w:t>Condições</w:t>
      </w:r>
    </w:p>
    <w:p w14:paraId="3E9C3415" w14:textId="77777777" w:rsidR="00D44A7A" w:rsidRPr="00395593" w:rsidRDefault="00D44A7A" w:rsidP="002C4340">
      <w:pPr>
        <w:pStyle w:val="PargrafodaLista"/>
        <w:widowControl w:val="0"/>
        <w:numPr>
          <w:ilvl w:val="0"/>
          <w:numId w:val="77"/>
        </w:numPr>
        <w:tabs>
          <w:tab w:val="left" w:pos="930"/>
        </w:tabs>
        <w:autoSpaceDE w:val="0"/>
        <w:autoSpaceDN w:val="0"/>
        <w:spacing w:after="0" w:line="240" w:lineRule="auto"/>
        <w:ind w:right="159" w:firstLine="0"/>
        <w:contextualSpacing w:val="0"/>
        <w:jc w:val="both"/>
        <w:rPr>
          <w:rFonts w:ascii="Garamond" w:hAnsi="Garamond"/>
          <w:sz w:val="24"/>
        </w:rPr>
      </w:pPr>
      <w:r w:rsidRPr="00395593">
        <w:rPr>
          <w:rFonts w:ascii="Garamond" w:hAnsi="Garamond"/>
          <w:sz w:val="24"/>
        </w:rPr>
        <w:t xml:space="preserve">Um Membro </w:t>
      </w:r>
      <w:r w:rsidRPr="00395593">
        <w:rPr>
          <w:rFonts w:ascii="Garamond" w:hAnsi="Garamond"/>
          <w:sz w:val="24"/>
          <w:vertAlign w:val="superscript"/>
        </w:rPr>
        <w:t>1</w:t>
      </w:r>
      <w:r w:rsidRPr="00395593">
        <w:rPr>
          <w:rFonts w:ascii="Garamond" w:hAnsi="Garamond"/>
          <w:sz w:val="24"/>
        </w:rPr>
        <w:t xml:space="preserve"> só poderá aplicar uma medida de salvaguarda a um produto após</w:t>
      </w:r>
      <w:r w:rsidRPr="00395593">
        <w:rPr>
          <w:rFonts w:ascii="Garamond" w:hAnsi="Garamond"/>
          <w:spacing w:val="1"/>
          <w:sz w:val="24"/>
        </w:rPr>
        <w:t xml:space="preserve"> </w:t>
      </w:r>
      <w:r w:rsidRPr="00395593">
        <w:rPr>
          <w:rFonts w:ascii="Garamond" w:hAnsi="Garamond"/>
          <w:sz w:val="24"/>
        </w:rPr>
        <w:t>haver</w:t>
      </w:r>
      <w:r w:rsidRPr="00395593">
        <w:rPr>
          <w:rFonts w:ascii="Garamond" w:hAnsi="Garamond"/>
          <w:spacing w:val="1"/>
          <w:sz w:val="24"/>
        </w:rPr>
        <w:t xml:space="preserve"> </w:t>
      </w:r>
      <w:r w:rsidRPr="00395593">
        <w:rPr>
          <w:rFonts w:ascii="Garamond" w:hAnsi="Garamond"/>
          <w:sz w:val="24"/>
        </w:rPr>
        <w:t>determinado,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conformidade</w:t>
      </w:r>
      <w:r w:rsidRPr="00395593">
        <w:rPr>
          <w:rFonts w:ascii="Garamond" w:hAnsi="Garamond"/>
          <w:spacing w:val="1"/>
          <w:sz w:val="24"/>
        </w:rPr>
        <w:t xml:space="preserve"> </w:t>
      </w:r>
      <w:r w:rsidRPr="00395593">
        <w:rPr>
          <w:rFonts w:ascii="Garamond" w:hAnsi="Garamond"/>
          <w:sz w:val="24"/>
        </w:rPr>
        <w:t>com</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disposições</w:t>
      </w:r>
      <w:r w:rsidRPr="00395593">
        <w:rPr>
          <w:rFonts w:ascii="Garamond" w:hAnsi="Garamond"/>
          <w:spacing w:val="1"/>
          <w:sz w:val="24"/>
        </w:rPr>
        <w:t xml:space="preserve"> </w:t>
      </w:r>
      <w:r w:rsidRPr="00395593">
        <w:rPr>
          <w:rFonts w:ascii="Garamond" w:hAnsi="Garamond"/>
          <w:sz w:val="24"/>
        </w:rPr>
        <w:t>enunciadas</w:t>
      </w:r>
      <w:r w:rsidRPr="00395593">
        <w:rPr>
          <w:rFonts w:ascii="Garamond" w:hAnsi="Garamond"/>
          <w:spacing w:val="1"/>
          <w:sz w:val="24"/>
        </w:rPr>
        <w:t xml:space="preserve"> </w:t>
      </w:r>
      <w:r w:rsidRPr="00395593">
        <w:rPr>
          <w:rFonts w:ascii="Garamond" w:hAnsi="Garamond"/>
          <w:sz w:val="24"/>
        </w:rPr>
        <w:t>abaixo,</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importações daquele produto em seu território tenham aumentado em quantidades tais, seja</w:t>
      </w:r>
      <w:r w:rsidRPr="00395593">
        <w:rPr>
          <w:rFonts w:ascii="Garamond" w:hAnsi="Garamond"/>
          <w:spacing w:val="1"/>
          <w:sz w:val="24"/>
        </w:rPr>
        <w:t xml:space="preserve"> </w:t>
      </w:r>
      <w:r w:rsidRPr="00395593">
        <w:rPr>
          <w:rFonts w:ascii="Garamond" w:hAnsi="Garamond"/>
          <w:sz w:val="24"/>
        </w:rPr>
        <w:t>em termos absolutos, seja em proporção à produção nacional, e ocorram em condições tais</w:t>
      </w:r>
      <w:r w:rsidRPr="00395593">
        <w:rPr>
          <w:rFonts w:ascii="Garamond" w:hAnsi="Garamond"/>
          <w:spacing w:val="1"/>
          <w:sz w:val="24"/>
        </w:rPr>
        <w:t xml:space="preserve"> </w:t>
      </w:r>
      <w:r w:rsidRPr="00395593">
        <w:rPr>
          <w:rFonts w:ascii="Garamond" w:hAnsi="Garamond"/>
          <w:sz w:val="24"/>
        </w:rPr>
        <w:t>que causam ou ameaçam causar prejuízo grave ao setor nacional que produz bens similares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diretamente concorrentes.</w:t>
      </w:r>
    </w:p>
    <w:p w14:paraId="0986EFC3" w14:textId="77777777" w:rsidR="00D44A7A" w:rsidRPr="00395593" w:rsidRDefault="00D44A7A" w:rsidP="00D44A7A">
      <w:pPr>
        <w:pStyle w:val="Corpodetexto"/>
        <w:rPr>
          <w:rFonts w:ascii="Garamond" w:hAnsi="Garamond"/>
          <w:sz w:val="20"/>
        </w:rPr>
      </w:pPr>
    </w:p>
    <w:p w14:paraId="18A8AF0F" w14:textId="77777777" w:rsidR="00D44A7A" w:rsidRPr="00395593" w:rsidRDefault="00D44A7A" w:rsidP="00D44A7A">
      <w:pPr>
        <w:pStyle w:val="Corpodetexto"/>
        <w:rPr>
          <w:rFonts w:ascii="Garamond" w:hAnsi="Garamond"/>
          <w:sz w:val="20"/>
        </w:rPr>
      </w:pPr>
    </w:p>
    <w:p w14:paraId="1A50942A" w14:textId="77777777" w:rsidR="00D44A7A" w:rsidRPr="00395593" w:rsidRDefault="00D44A7A" w:rsidP="00D44A7A">
      <w:pPr>
        <w:pStyle w:val="Corpodetexto"/>
        <w:rPr>
          <w:rFonts w:ascii="Garamond" w:hAnsi="Garamond"/>
          <w:sz w:val="20"/>
        </w:rPr>
      </w:pPr>
    </w:p>
    <w:p w14:paraId="2050CE33" w14:textId="0C2898D5" w:rsidR="00D44A7A" w:rsidRPr="00395593" w:rsidRDefault="00D44A7A" w:rsidP="00D44A7A">
      <w:pPr>
        <w:pStyle w:val="Corpodetexto"/>
        <w:spacing w:before="1"/>
        <w:rPr>
          <w:rFonts w:ascii="Garamond" w:hAnsi="Garamond"/>
          <w:sz w:val="11"/>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91" behindDoc="1" locked="0" layoutInCell="1" allowOverlap="1" wp14:anchorId="6E1179DF" wp14:editId="0E632254">
                <wp:simplePos x="0" y="0"/>
                <wp:positionH relativeFrom="page">
                  <wp:posOffset>1080770</wp:posOffset>
                </wp:positionH>
                <wp:positionV relativeFrom="paragraph">
                  <wp:posOffset>96520</wp:posOffset>
                </wp:positionV>
                <wp:extent cx="1828800" cy="7620"/>
                <wp:effectExtent l="4445" t="635" r="0" b="1270"/>
                <wp:wrapTopAndBottom/>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0FDBE" id="Retângulo 15" o:spid="_x0000_s1026" style="position:absolute;margin-left:85.1pt;margin-top:7.6pt;width:2in;height:.6pt;z-index:-2516581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KfgIAAPw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" fillcolor="black" stroked="f">
                <w10:wrap type="topAndBottom" anchorx="page"/>
              </v:rect>
            </w:pict>
          </mc:Fallback>
        </mc:AlternateContent>
      </w:r>
    </w:p>
    <w:p w14:paraId="5703442E" w14:textId="77777777" w:rsidR="00D44A7A" w:rsidRPr="00395593" w:rsidRDefault="00D44A7A" w:rsidP="00D44A7A">
      <w:pPr>
        <w:spacing w:before="103"/>
        <w:ind w:left="222" w:right="159"/>
        <w:jc w:val="both"/>
        <w:rPr>
          <w:rFonts w:ascii="Garamond" w:hAnsi="Garamond"/>
          <w:sz w:val="20"/>
        </w:rPr>
      </w:pPr>
      <w:r w:rsidRPr="00395593">
        <w:rPr>
          <w:rFonts w:ascii="Garamond" w:hAnsi="Garamond"/>
          <w:sz w:val="20"/>
          <w:vertAlign w:val="superscript"/>
        </w:rPr>
        <w:t>1</w:t>
      </w:r>
      <w:r w:rsidRPr="00395593">
        <w:rPr>
          <w:rFonts w:ascii="Garamond" w:hAnsi="Garamond"/>
          <w:sz w:val="20"/>
        </w:rPr>
        <w:t xml:space="preserve"> Uma união aduaneira poderá aplicar medida de salvaguarda como entidade única ou em nome de um</w:t>
      </w:r>
      <w:r w:rsidRPr="00395593">
        <w:rPr>
          <w:rFonts w:ascii="Garamond" w:hAnsi="Garamond"/>
          <w:spacing w:val="1"/>
          <w:sz w:val="20"/>
        </w:rPr>
        <w:t xml:space="preserve"> </w:t>
      </w:r>
      <w:r w:rsidRPr="00395593">
        <w:rPr>
          <w:rFonts w:ascii="Garamond" w:hAnsi="Garamond"/>
          <w:sz w:val="20"/>
        </w:rPr>
        <w:t>Estado-Membro. Quando a união aduaneira aplicar medida de salvaguarda como entidade única, todas as</w:t>
      </w:r>
      <w:r w:rsidRPr="00395593">
        <w:rPr>
          <w:rFonts w:ascii="Garamond" w:hAnsi="Garamond"/>
          <w:spacing w:val="1"/>
          <w:sz w:val="20"/>
        </w:rPr>
        <w:t xml:space="preserve"> </w:t>
      </w:r>
      <w:r w:rsidRPr="00395593">
        <w:rPr>
          <w:rFonts w:ascii="Garamond" w:hAnsi="Garamond"/>
          <w:sz w:val="20"/>
        </w:rPr>
        <w:t>exigências para a determinação de existência ou ameaça de prejuízo grave nos termos do presente Acordo se</w:t>
      </w:r>
      <w:r w:rsidRPr="00395593">
        <w:rPr>
          <w:rFonts w:ascii="Garamond" w:hAnsi="Garamond"/>
          <w:spacing w:val="1"/>
          <w:sz w:val="20"/>
        </w:rPr>
        <w:t xml:space="preserve"> </w:t>
      </w:r>
      <w:r w:rsidRPr="00395593">
        <w:rPr>
          <w:rFonts w:ascii="Garamond" w:hAnsi="Garamond"/>
          <w:sz w:val="20"/>
        </w:rPr>
        <w:t>basearão</w:t>
      </w:r>
      <w:r w:rsidRPr="00395593">
        <w:rPr>
          <w:rFonts w:ascii="Garamond" w:hAnsi="Garamond"/>
          <w:spacing w:val="1"/>
          <w:sz w:val="20"/>
        </w:rPr>
        <w:t xml:space="preserve"> </w:t>
      </w:r>
      <w:r w:rsidRPr="00395593">
        <w:rPr>
          <w:rFonts w:ascii="Garamond" w:hAnsi="Garamond"/>
          <w:sz w:val="20"/>
        </w:rPr>
        <w:t>nas condições vigentes</w:t>
      </w:r>
      <w:r w:rsidRPr="00395593">
        <w:rPr>
          <w:rFonts w:ascii="Garamond" w:hAnsi="Garamond"/>
          <w:spacing w:val="1"/>
          <w:sz w:val="20"/>
        </w:rPr>
        <w:t xml:space="preserve"> </w:t>
      </w:r>
      <w:r w:rsidRPr="00395593">
        <w:rPr>
          <w:rFonts w:ascii="Garamond" w:hAnsi="Garamond"/>
          <w:sz w:val="20"/>
        </w:rPr>
        <w:t>na</w:t>
      </w:r>
      <w:r w:rsidRPr="00395593">
        <w:rPr>
          <w:rFonts w:ascii="Garamond" w:hAnsi="Garamond"/>
          <w:spacing w:val="1"/>
          <w:sz w:val="20"/>
        </w:rPr>
        <w:t xml:space="preserve"> </w:t>
      </w:r>
      <w:r w:rsidRPr="00395593">
        <w:rPr>
          <w:rFonts w:ascii="Garamond" w:hAnsi="Garamond"/>
          <w:sz w:val="20"/>
        </w:rPr>
        <w:t>união</w:t>
      </w:r>
      <w:r w:rsidRPr="00395593">
        <w:rPr>
          <w:rFonts w:ascii="Garamond" w:hAnsi="Garamond"/>
          <w:spacing w:val="1"/>
          <w:sz w:val="20"/>
        </w:rPr>
        <w:t xml:space="preserve"> </w:t>
      </w:r>
      <w:r w:rsidRPr="00395593">
        <w:rPr>
          <w:rFonts w:ascii="Garamond" w:hAnsi="Garamond"/>
          <w:sz w:val="20"/>
        </w:rPr>
        <w:t>aduaneira</w:t>
      </w:r>
      <w:r w:rsidRPr="00395593">
        <w:rPr>
          <w:rFonts w:ascii="Garamond" w:hAnsi="Garamond"/>
          <w:spacing w:val="1"/>
          <w:sz w:val="20"/>
        </w:rPr>
        <w:t xml:space="preserve"> </w:t>
      </w:r>
      <w:r w:rsidRPr="00395593">
        <w:rPr>
          <w:rFonts w:ascii="Garamond" w:hAnsi="Garamond"/>
          <w:sz w:val="20"/>
        </w:rPr>
        <w:t>considerada</w:t>
      </w:r>
      <w:r w:rsidRPr="00395593">
        <w:rPr>
          <w:rFonts w:ascii="Garamond" w:hAnsi="Garamond"/>
          <w:spacing w:val="1"/>
          <w:sz w:val="20"/>
        </w:rPr>
        <w:t xml:space="preserve"> </w:t>
      </w:r>
      <w:r w:rsidRPr="00395593">
        <w:rPr>
          <w:rFonts w:ascii="Garamond" w:hAnsi="Garamond"/>
          <w:sz w:val="20"/>
        </w:rPr>
        <w:t>em seu conjunto.</w:t>
      </w:r>
      <w:r w:rsidRPr="00395593">
        <w:rPr>
          <w:rFonts w:ascii="Garamond" w:hAnsi="Garamond"/>
          <w:spacing w:val="1"/>
          <w:sz w:val="20"/>
        </w:rPr>
        <w:t xml:space="preserve"> </w:t>
      </w:r>
      <w:r w:rsidRPr="00395593">
        <w:rPr>
          <w:rFonts w:ascii="Garamond" w:hAnsi="Garamond"/>
          <w:sz w:val="20"/>
        </w:rPr>
        <w:t>Quando</w:t>
      </w:r>
      <w:r w:rsidRPr="00395593">
        <w:rPr>
          <w:rFonts w:ascii="Garamond" w:hAnsi="Garamond"/>
          <w:spacing w:val="1"/>
          <w:sz w:val="20"/>
        </w:rPr>
        <w:t xml:space="preserve"> </w:t>
      </w:r>
      <w:r w:rsidRPr="00395593">
        <w:rPr>
          <w:rFonts w:ascii="Garamond" w:hAnsi="Garamond"/>
          <w:sz w:val="20"/>
        </w:rPr>
        <w:t>for</w:t>
      </w:r>
      <w:r w:rsidRPr="00395593">
        <w:rPr>
          <w:rFonts w:ascii="Garamond" w:hAnsi="Garamond"/>
          <w:spacing w:val="50"/>
          <w:sz w:val="20"/>
        </w:rPr>
        <w:t xml:space="preserve"> </w:t>
      </w:r>
      <w:r w:rsidRPr="00395593">
        <w:rPr>
          <w:rFonts w:ascii="Garamond" w:hAnsi="Garamond"/>
          <w:sz w:val="20"/>
        </w:rPr>
        <w:t>aplicada</w:t>
      </w:r>
      <w:r w:rsidRPr="00395593">
        <w:rPr>
          <w:rFonts w:ascii="Garamond" w:hAnsi="Garamond"/>
          <w:spacing w:val="1"/>
          <w:sz w:val="20"/>
        </w:rPr>
        <w:t xml:space="preserve"> </w:t>
      </w:r>
      <w:r w:rsidRPr="00395593">
        <w:rPr>
          <w:rFonts w:ascii="Garamond" w:hAnsi="Garamond"/>
          <w:sz w:val="20"/>
        </w:rPr>
        <w:t>medida</w:t>
      </w:r>
      <w:r w:rsidRPr="00395593">
        <w:rPr>
          <w:rFonts w:ascii="Garamond" w:hAnsi="Garamond"/>
          <w:spacing w:val="1"/>
          <w:sz w:val="20"/>
        </w:rPr>
        <w:t xml:space="preserve"> </w:t>
      </w:r>
      <w:r w:rsidRPr="00395593">
        <w:rPr>
          <w:rFonts w:ascii="Garamond" w:hAnsi="Garamond"/>
          <w:sz w:val="20"/>
        </w:rPr>
        <w:t>de</w:t>
      </w:r>
      <w:r w:rsidRPr="00395593">
        <w:rPr>
          <w:rFonts w:ascii="Garamond" w:hAnsi="Garamond"/>
          <w:spacing w:val="1"/>
          <w:sz w:val="20"/>
        </w:rPr>
        <w:t xml:space="preserve"> </w:t>
      </w:r>
      <w:r w:rsidRPr="00395593">
        <w:rPr>
          <w:rFonts w:ascii="Garamond" w:hAnsi="Garamond"/>
          <w:sz w:val="20"/>
        </w:rPr>
        <w:t>salvaguarda</w:t>
      </w:r>
      <w:r w:rsidRPr="00395593">
        <w:rPr>
          <w:rFonts w:ascii="Garamond" w:hAnsi="Garamond"/>
          <w:spacing w:val="1"/>
          <w:sz w:val="20"/>
        </w:rPr>
        <w:t xml:space="preserve"> </w:t>
      </w:r>
      <w:r w:rsidRPr="00395593">
        <w:rPr>
          <w:rFonts w:ascii="Garamond" w:hAnsi="Garamond"/>
          <w:sz w:val="20"/>
        </w:rPr>
        <w:t>em</w:t>
      </w:r>
      <w:r w:rsidRPr="00395593">
        <w:rPr>
          <w:rFonts w:ascii="Garamond" w:hAnsi="Garamond"/>
          <w:spacing w:val="1"/>
          <w:sz w:val="20"/>
        </w:rPr>
        <w:t xml:space="preserve"> </w:t>
      </w:r>
      <w:r w:rsidRPr="00395593">
        <w:rPr>
          <w:rFonts w:ascii="Garamond" w:hAnsi="Garamond"/>
          <w:sz w:val="20"/>
        </w:rPr>
        <w:t>nome</w:t>
      </w:r>
      <w:r w:rsidRPr="00395593">
        <w:rPr>
          <w:rFonts w:ascii="Garamond" w:hAnsi="Garamond"/>
          <w:spacing w:val="1"/>
          <w:sz w:val="20"/>
        </w:rPr>
        <w:t xml:space="preserve"> </w:t>
      </w:r>
      <w:r w:rsidRPr="00395593">
        <w:rPr>
          <w:rFonts w:ascii="Garamond" w:hAnsi="Garamond"/>
          <w:sz w:val="20"/>
        </w:rPr>
        <w:t>de</w:t>
      </w:r>
      <w:r w:rsidRPr="00395593">
        <w:rPr>
          <w:rFonts w:ascii="Garamond" w:hAnsi="Garamond"/>
          <w:spacing w:val="1"/>
          <w:sz w:val="20"/>
        </w:rPr>
        <w:t xml:space="preserve"> </w:t>
      </w:r>
      <w:r w:rsidRPr="00395593">
        <w:rPr>
          <w:rFonts w:ascii="Garamond" w:hAnsi="Garamond"/>
          <w:sz w:val="20"/>
        </w:rPr>
        <w:t>um</w:t>
      </w:r>
      <w:r w:rsidRPr="00395593">
        <w:rPr>
          <w:rFonts w:ascii="Garamond" w:hAnsi="Garamond"/>
          <w:spacing w:val="1"/>
          <w:sz w:val="20"/>
        </w:rPr>
        <w:t xml:space="preserve"> </w:t>
      </w:r>
      <w:r w:rsidRPr="00395593">
        <w:rPr>
          <w:rFonts w:ascii="Garamond" w:hAnsi="Garamond"/>
          <w:sz w:val="20"/>
        </w:rPr>
        <w:t>Estado-Membro,</w:t>
      </w:r>
      <w:r w:rsidRPr="00395593">
        <w:rPr>
          <w:rFonts w:ascii="Garamond" w:hAnsi="Garamond"/>
          <w:spacing w:val="1"/>
          <w:sz w:val="20"/>
        </w:rPr>
        <w:t xml:space="preserve"> </w:t>
      </w:r>
      <w:r w:rsidRPr="00395593">
        <w:rPr>
          <w:rFonts w:ascii="Garamond" w:hAnsi="Garamond"/>
          <w:sz w:val="20"/>
        </w:rPr>
        <w:t>todas</w:t>
      </w:r>
      <w:r w:rsidRPr="00395593">
        <w:rPr>
          <w:rFonts w:ascii="Garamond" w:hAnsi="Garamond"/>
          <w:spacing w:val="1"/>
          <w:sz w:val="20"/>
        </w:rPr>
        <w:t xml:space="preserve"> </w:t>
      </w:r>
      <w:r w:rsidRPr="00395593">
        <w:rPr>
          <w:rFonts w:ascii="Garamond" w:hAnsi="Garamond"/>
          <w:sz w:val="20"/>
        </w:rPr>
        <w:t>as</w:t>
      </w:r>
      <w:r w:rsidRPr="00395593">
        <w:rPr>
          <w:rFonts w:ascii="Garamond" w:hAnsi="Garamond"/>
          <w:spacing w:val="1"/>
          <w:sz w:val="20"/>
        </w:rPr>
        <w:t xml:space="preserve"> </w:t>
      </w:r>
      <w:r w:rsidRPr="00395593">
        <w:rPr>
          <w:rFonts w:ascii="Garamond" w:hAnsi="Garamond"/>
          <w:sz w:val="20"/>
        </w:rPr>
        <w:t>exigências</w:t>
      </w:r>
      <w:r w:rsidRPr="00395593">
        <w:rPr>
          <w:rFonts w:ascii="Garamond" w:hAnsi="Garamond"/>
          <w:spacing w:val="1"/>
          <w:sz w:val="20"/>
        </w:rPr>
        <w:t xml:space="preserve"> </w:t>
      </w:r>
      <w:r w:rsidRPr="00395593">
        <w:rPr>
          <w:rFonts w:ascii="Garamond" w:hAnsi="Garamond"/>
          <w:sz w:val="20"/>
        </w:rPr>
        <w:t>para</w:t>
      </w:r>
      <w:r w:rsidRPr="00395593">
        <w:rPr>
          <w:rFonts w:ascii="Garamond" w:hAnsi="Garamond"/>
          <w:spacing w:val="1"/>
          <w:sz w:val="20"/>
        </w:rPr>
        <w:t xml:space="preserve"> </w:t>
      </w:r>
      <w:r w:rsidRPr="00395593">
        <w:rPr>
          <w:rFonts w:ascii="Garamond" w:hAnsi="Garamond"/>
          <w:sz w:val="20"/>
        </w:rPr>
        <w:t>a</w:t>
      </w:r>
      <w:r w:rsidRPr="00395593">
        <w:rPr>
          <w:rFonts w:ascii="Garamond" w:hAnsi="Garamond"/>
          <w:spacing w:val="1"/>
          <w:sz w:val="20"/>
        </w:rPr>
        <w:t xml:space="preserve"> </w:t>
      </w:r>
      <w:r w:rsidRPr="00395593">
        <w:rPr>
          <w:rFonts w:ascii="Garamond" w:hAnsi="Garamond"/>
          <w:sz w:val="20"/>
        </w:rPr>
        <w:t>determinação</w:t>
      </w:r>
      <w:r w:rsidRPr="00395593">
        <w:rPr>
          <w:rFonts w:ascii="Garamond" w:hAnsi="Garamond"/>
          <w:spacing w:val="1"/>
          <w:sz w:val="20"/>
        </w:rPr>
        <w:t xml:space="preserve"> </w:t>
      </w:r>
      <w:r w:rsidRPr="00395593">
        <w:rPr>
          <w:rFonts w:ascii="Garamond" w:hAnsi="Garamond"/>
          <w:sz w:val="20"/>
        </w:rPr>
        <w:t>de</w:t>
      </w:r>
      <w:r w:rsidRPr="00395593">
        <w:rPr>
          <w:rFonts w:ascii="Garamond" w:hAnsi="Garamond"/>
          <w:spacing w:val="1"/>
          <w:sz w:val="20"/>
        </w:rPr>
        <w:t xml:space="preserve"> </w:t>
      </w:r>
      <w:r w:rsidRPr="00395593">
        <w:rPr>
          <w:rFonts w:ascii="Garamond" w:hAnsi="Garamond"/>
          <w:sz w:val="20"/>
        </w:rPr>
        <w:t>existência ou ameaça de prejuízo grave se basearão nas condições vigentes naquele Estado-Membro e a</w:t>
      </w:r>
      <w:r w:rsidRPr="00395593">
        <w:rPr>
          <w:rFonts w:ascii="Garamond" w:hAnsi="Garamond"/>
          <w:spacing w:val="1"/>
          <w:sz w:val="20"/>
        </w:rPr>
        <w:t xml:space="preserve"> </w:t>
      </w:r>
      <w:r w:rsidRPr="00395593">
        <w:rPr>
          <w:rFonts w:ascii="Garamond" w:hAnsi="Garamond"/>
          <w:sz w:val="20"/>
        </w:rPr>
        <w:t>medida</w:t>
      </w:r>
      <w:r w:rsidRPr="00395593">
        <w:rPr>
          <w:rFonts w:ascii="Garamond" w:hAnsi="Garamond"/>
          <w:spacing w:val="1"/>
          <w:sz w:val="20"/>
        </w:rPr>
        <w:t xml:space="preserve"> </w:t>
      </w:r>
      <w:r w:rsidRPr="00395593">
        <w:rPr>
          <w:rFonts w:ascii="Garamond" w:hAnsi="Garamond"/>
          <w:sz w:val="20"/>
        </w:rPr>
        <w:t>se</w:t>
      </w:r>
      <w:r w:rsidRPr="00395593">
        <w:rPr>
          <w:rFonts w:ascii="Garamond" w:hAnsi="Garamond"/>
          <w:spacing w:val="1"/>
          <w:sz w:val="20"/>
        </w:rPr>
        <w:t xml:space="preserve"> </w:t>
      </w:r>
      <w:r w:rsidRPr="00395593">
        <w:rPr>
          <w:rFonts w:ascii="Garamond" w:hAnsi="Garamond"/>
          <w:sz w:val="20"/>
        </w:rPr>
        <w:t>limitará</w:t>
      </w:r>
      <w:r w:rsidRPr="00395593">
        <w:rPr>
          <w:rFonts w:ascii="Garamond" w:hAnsi="Garamond"/>
          <w:spacing w:val="1"/>
          <w:sz w:val="20"/>
        </w:rPr>
        <w:t xml:space="preserve"> </w:t>
      </w:r>
      <w:r w:rsidRPr="00395593">
        <w:rPr>
          <w:rFonts w:ascii="Garamond" w:hAnsi="Garamond"/>
          <w:sz w:val="20"/>
        </w:rPr>
        <w:t>àquele</w:t>
      </w:r>
      <w:r w:rsidRPr="00395593">
        <w:rPr>
          <w:rFonts w:ascii="Garamond" w:hAnsi="Garamond"/>
          <w:spacing w:val="1"/>
          <w:sz w:val="20"/>
        </w:rPr>
        <w:t xml:space="preserve"> </w:t>
      </w:r>
      <w:r w:rsidRPr="00395593">
        <w:rPr>
          <w:rFonts w:ascii="Garamond" w:hAnsi="Garamond"/>
          <w:sz w:val="20"/>
        </w:rPr>
        <w:t>Estado-Membro.</w:t>
      </w:r>
      <w:r w:rsidRPr="00395593">
        <w:rPr>
          <w:rFonts w:ascii="Garamond" w:hAnsi="Garamond"/>
          <w:spacing w:val="1"/>
          <w:sz w:val="20"/>
        </w:rPr>
        <w:t xml:space="preserve"> </w:t>
      </w:r>
      <w:r w:rsidRPr="00395593">
        <w:rPr>
          <w:rFonts w:ascii="Garamond" w:hAnsi="Garamond"/>
          <w:sz w:val="20"/>
        </w:rPr>
        <w:t>Nenhuma</w:t>
      </w:r>
      <w:r w:rsidRPr="00395593">
        <w:rPr>
          <w:rFonts w:ascii="Garamond" w:hAnsi="Garamond"/>
          <w:spacing w:val="1"/>
          <w:sz w:val="20"/>
        </w:rPr>
        <w:t xml:space="preserve"> </w:t>
      </w:r>
      <w:r w:rsidRPr="00395593">
        <w:rPr>
          <w:rFonts w:ascii="Garamond" w:hAnsi="Garamond"/>
          <w:sz w:val="20"/>
        </w:rPr>
        <w:t>disposição</w:t>
      </w:r>
      <w:r w:rsidRPr="00395593">
        <w:rPr>
          <w:rFonts w:ascii="Garamond" w:hAnsi="Garamond"/>
          <w:spacing w:val="1"/>
          <w:sz w:val="20"/>
        </w:rPr>
        <w:t xml:space="preserve"> </w:t>
      </w:r>
      <w:r w:rsidRPr="00395593">
        <w:rPr>
          <w:rFonts w:ascii="Garamond" w:hAnsi="Garamond"/>
          <w:sz w:val="20"/>
        </w:rPr>
        <w:t>do</w:t>
      </w:r>
      <w:r w:rsidRPr="00395593">
        <w:rPr>
          <w:rFonts w:ascii="Garamond" w:hAnsi="Garamond"/>
          <w:spacing w:val="1"/>
          <w:sz w:val="20"/>
        </w:rPr>
        <w:t xml:space="preserve"> </w:t>
      </w:r>
      <w:r w:rsidRPr="00395593">
        <w:rPr>
          <w:rFonts w:ascii="Garamond" w:hAnsi="Garamond"/>
          <w:sz w:val="20"/>
        </w:rPr>
        <w:t>presente</w:t>
      </w:r>
      <w:r w:rsidRPr="00395593">
        <w:rPr>
          <w:rFonts w:ascii="Garamond" w:hAnsi="Garamond"/>
          <w:spacing w:val="1"/>
          <w:sz w:val="20"/>
        </w:rPr>
        <w:t xml:space="preserve"> </w:t>
      </w:r>
      <w:r w:rsidRPr="00395593">
        <w:rPr>
          <w:rFonts w:ascii="Garamond" w:hAnsi="Garamond"/>
          <w:sz w:val="20"/>
        </w:rPr>
        <w:t>Acordo</w:t>
      </w:r>
      <w:r w:rsidRPr="00395593">
        <w:rPr>
          <w:rFonts w:ascii="Garamond" w:hAnsi="Garamond"/>
          <w:spacing w:val="1"/>
          <w:sz w:val="20"/>
        </w:rPr>
        <w:t xml:space="preserve"> </w:t>
      </w:r>
      <w:r w:rsidRPr="00395593">
        <w:rPr>
          <w:rFonts w:ascii="Garamond" w:hAnsi="Garamond"/>
          <w:sz w:val="20"/>
        </w:rPr>
        <w:t>prejulgará</w:t>
      </w:r>
      <w:r w:rsidRPr="00395593">
        <w:rPr>
          <w:rFonts w:ascii="Garamond" w:hAnsi="Garamond"/>
          <w:spacing w:val="50"/>
          <w:sz w:val="20"/>
        </w:rPr>
        <w:t xml:space="preserve"> </w:t>
      </w:r>
      <w:r w:rsidRPr="00395593">
        <w:rPr>
          <w:rFonts w:ascii="Garamond" w:hAnsi="Garamond"/>
          <w:sz w:val="20"/>
        </w:rPr>
        <w:t>a</w:t>
      </w:r>
      <w:r w:rsidRPr="00395593">
        <w:rPr>
          <w:rFonts w:ascii="Garamond" w:hAnsi="Garamond"/>
          <w:spacing w:val="1"/>
          <w:sz w:val="20"/>
        </w:rPr>
        <w:t xml:space="preserve"> </w:t>
      </w:r>
      <w:r w:rsidRPr="00395593">
        <w:rPr>
          <w:rFonts w:ascii="Garamond" w:hAnsi="Garamond"/>
          <w:sz w:val="20"/>
        </w:rPr>
        <w:t>interpretação da</w:t>
      </w:r>
      <w:r w:rsidRPr="00395593">
        <w:rPr>
          <w:rFonts w:ascii="Garamond" w:hAnsi="Garamond"/>
          <w:spacing w:val="-1"/>
          <w:sz w:val="20"/>
        </w:rPr>
        <w:t xml:space="preserve"> </w:t>
      </w:r>
      <w:r w:rsidRPr="00395593">
        <w:rPr>
          <w:rFonts w:ascii="Garamond" w:hAnsi="Garamond"/>
          <w:sz w:val="20"/>
        </w:rPr>
        <w:t>relação</w:t>
      </w:r>
      <w:r w:rsidRPr="00395593">
        <w:rPr>
          <w:rFonts w:ascii="Garamond" w:hAnsi="Garamond"/>
          <w:spacing w:val="-2"/>
          <w:sz w:val="20"/>
        </w:rPr>
        <w:t xml:space="preserve"> </w:t>
      </w:r>
      <w:r w:rsidRPr="00395593">
        <w:rPr>
          <w:rFonts w:ascii="Garamond" w:hAnsi="Garamond"/>
          <w:sz w:val="20"/>
        </w:rPr>
        <w:t>que</w:t>
      </w:r>
      <w:r w:rsidRPr="00395593">
        <w:rPr>
          <w:rFonts w:ascii="Garamond" w:hAnsi="Garamond"/>
          <w:spacing w:val="-1"/>
          <w:sz w:val="20"/>
        </w:rPr>
        <w:t xml:space="preserve"> </w:t>
      </w:r>
      <w:r w:rsidRPr="00395593">
        <w:rPr>
          <w:rFonts w:ascii="Garamond" w:hAnsi="Garamond"/>
          <w:sz w:val="20"/>
        </w:rPr>
        <w:t>existe</w:t>
      </w:r>
      <w:r w:rsidRPr="00395593">
        <w:rPr>
          <w:rFonts w:ascii="Garamond" w:hAnsi="Garamond"/>
          <w:spacing w:val="-1"/>
          <w:sz w:val="20"/>
        </w:rPr>
        <w:t xml:space="preserve"> </w:t>
      </w:r>
      <w:r w:rsidRPr="00395593">
        <w:rPr>
          <w:rFonts w:ascii="Garamond" w:hAnsi="Garamond"/>
          <w:sz w:val="20"/>
        </w:rPr>
        <w:t>entre</w:t>
      </w:r>
      <w:r w:rsidRPr="00395593">
        <w:rPr>
          <w:rFonts w:ascii="Garamond" w:hAnsi="Garamond"/>
          <w:spacing w:val="-1"/>
          <w:sz w:val="20"/>
        </w:rPr>
        <w:t xml:space="preserve"> </w:t>
      </w:r>
      <w:r w:rsidRPr="00395593">
        <w:rPr>
          <w:rFonts w:ascii="Garamond" w:hAnsi="Garamond"/>
          <w:sz w:val="20"/>
        </w:rPr>
        <w:t>o Artigo XIX</w:t>
      </w:r>
      <w:r w:rsidRPr="00395593">
        <w:rPr>
          <w:rFonts w:ascii="Garamond" w:hAnsi="Garamond"/>
          <w:spacing w:val="-1"/>
          <w:sz w:val="20"/>
        </w:rPr>
        <w:t xml:space="preserve"> </w:t>
      </w:r>
      <w:r w:rsidRPr="00395593">
        <w:rPr>
          <w:rFonts w:ascii="Garamond" w:hAnsi="Garamond"/>
          <w:sz w:val="20"/>
        </w:rPr>
        <w:t>e</w:t>
      </w:r>
      <w:r w:rsidRPr="00395593">
        <w:rPr>
          <w:rFonts w:ascii="Garamond" w:hAnsi="Garamond"/>
          <w:spacing w:val="-1"/>
          <w:sz w:val="20"/>
        </w:rPr>
        <w:t xml:space="preserve"> </w:t>
      </w:r>
      <w:r w:rsidRPr="00395593">
        <w:rPr>
          <w:rFonts w:ascii="Garamond" w:hAnsi="Garamond"/>
          <w:sz w:val="20"/>
        </w:rPr>
        <w:t>o parágrafo</w:t>
      </w:r>
      <w:r w:rsidRPr="00395593">
        <w:rPr>
          <w:rFonts w:ascii="Garamond" w:hAnsi="Garamond"/>
          <w:spacing w:val="1"/>
          <w:sz w:val="20"/>
        </w:rPr>
        <w:t xml:space="preserve"> </w:t>
      </w:r>
      <w:r w:rsidRPr="00395593">
        <w:rPr>
          <w:rFonts w:ascii="Garamond" w:hAnsi="Garamond"/>
          <w:sz w:val="20"/>
        </w:rPr>
        <w:t>8 do artigo XXIV</w:t>
      </w:r>
      <w:r w:rsidRPr="00395593">
        <w:rPr>
          <w:rFonts w:ascii="Garamond" w:hAnsi="Garamond"/>
          <w:spacing w:val="-1"/>
          <w:sz w:val="20"/>
        </w:rPr>
        <w:t xml:space="preserve"> </w:t>
      </w:r>
      <w:r w:rsidRPr="00395593">
        <w:rPr>
          <w:rFonts w:ascii="Garamond" w:hAnsi="Garamond"/>
          <w:sz w:val="20"/>
        </w:rPr>
        <w:t>do</w:t>
      </w:r>
      <w:r w:rsidRPr="00395593">
        <w:rPr>
          <w:rFonts w:ascii="Garamond" w:hAnsi="Garamond"/>
          <w:spacing w:val="-2"/>
          <w:sz w:val="20"/>
        </w:rPr>
        <w:t xml:space="preserve"> </w:t>
      </w:r>
      <w:r w:rsidRPr="00395593">
        <w:rPr>
          <w:rFonts w:ascii="Garamond" w:hAnsi="Garamond"/>
          <w:sz w:val="20"/>
        </w:rPr>
        <w:t>GATT</w:t>
      </w:r>
      <w:r w:rsidRPr="00395593">
        <w:rPr>
          <w:rFonts w:ascii="Garamond" w:hAnsi="Garamond"/>
          <w:spacing w:val="2"/>
          <w:sz w:val="20"/>
        </w:rPr>
        <w:t xml:space="preserve"> </w:t>
      </w:r>
      <w:r w:rsidRPr="00395593">
        <w:rPr>
          <w:rFonts w:ascii="Garamond" w:hAnsi="Garamond"/>
          <w:sz w:val="20"/>
        </w:rPr>
        <w:t>1994.</w:t>
      </w:r>
    </w:p>
    <w:p w14:paraId="335B87C1" w14:textId="77777777" w:rsidR="00D44A7A" w:rsidRPr="00395593" w:rsidRDefault="00D44A7A" w:rsidP="00D44A7A">
      <w:pPr>
        <w:jc w:val="both"/>
        <w:rPr>
          <w:rFonts w:ascii="Garamond" w:hAnsi="Garamond"/>
          <w:sz w:val="20"/>
        </w:rPr>
        <w:sectPr w:rsidR="00D44A7A" w:rsidRPr="00395593" w:rsidSect="00D6741B">
          <w:pgSz w:w="12240" w:h="15840"/>
          <w:pgMar w:top="1418" w:right="1418" w:bottom="1418" w:left="1418" w:header="720" w:footer="720" w:gutter="0"/>
          <w:cols w:space="720"/>
          <w:docGrid w:linePitch="299"/>
        </w:sectPr>
      </w:pPr>
    </w:p>
    <w:p w14:paraId="5973D84B" w14:textId="77777777" w:rsidR="00D44A7A" w:rsidRPr="00395593" w:rsidRDefault="00D44A7A" w:rsidP="002C4340">
      <w:pPr>
        <w:pStyle w:val="PargrafodaLista"/>
        <w:widowControl w:val="0"/>
        <w:numPr>
          <w:ilvl w:val="0"/>
          <w:numId w:val="77"/>
        </w:numPr>
        <w:tabs>
          <w:tab w:val="left" w:pos="930"/>
        </w:tabs>
        <w:autoSpaceDE w:val="0"/>
        <w:autoSpaceDN w:val="0"/>
        <w:spacing w:before="68" w:after="0" w:line="240" w:lineRule="auto"/>
        <w:ind w:right="157" w:firstLine="0"/>
        <w:contextualSpacing w:val="0"/>
        <w:jc w:val="both"/>
        <w:rPr>
          <w:rFonts w:ascii="Garamond" w:hAnsi="Garamond"/>
          <w:sz w:val="24"/>
        </w:rPr>
      </w:pPr>
      <w:r w:rsidRPr="00395593">
        <w:rPr>
          <w:rFonts w:ascii="Garamond" w:hAnsi="Garamond"/>
          <w:sz w:val="24"/>
        </w:rPr>
        <w:t>Medidas</w:t>
      </w:r>
      <w:r w:rsidRPr="00395593">
        <w:rPr>
          <w:rFonts w:ascii="Garamond" w:hAnsi="Garamond"/>
          <w:spacing w:val="26"/>
          <w:sz w:val="24"/>
        </w:rPr>
        <w:t xml:space="preserve"> </w:t>
      </w:r>
      <w:r w:rsidRPr="00395593">
        <w:rPr>
          <w:rFonts w:ascii="Garamond" w:hAnsi="Garamond"/>
          <w:sz w:val="24"/>
        </w:rPr>
        <w:t>de</w:t>
      </w:r>
      <w:r w:rsidRPr="00395593">
        <w:rPr>
          <w:rFonts w:ascii="Garamond" w:hAnsi="Garamond"/>
          <w:spacing w:val="26"/>
          <w:sz w:val="24"/>
        </w:rPr>
        <w:t xml:space="preserve"> </w:t>
      </w:r>
      <w:r w:rsidRPr="00395593">
        <w:rPr>
          <w:rFonts w:ascii="Garamond" w:hAnsi="Garamond"/>
          <w:sz w:val="24"/>
        </w:rPr>
        <w:t>salvaguarda</w:t>
      </w:r>
      <w:r w:rsidRPr="00395593">
        <w:rPr>
          <w:rFonts w:ascii="Garamond" w:hAnsi="Garamond"/>
          <w:spacing w:val="28"/>
          <w:sz w:val="24"/>
        </w:rPr>
        <w:t xml:space="preserve"> </w:t>
      </w:r>
      <w:r w:rsidRPr="00395593">
        <w:rPr>
          <w:rFonts w:ascii="Garamond" w:hAnsi="Garamond"/>
          <w:sz w:val="24"/>
        </w:rPr>
        <w:t>serão</w:t>
      </w:r>
      <w:r w:rsidRPr="00395593">
        <w:rPr>
          <w:rFonts w:ascii="Garamond" w:hAnsi="Garamond"/>
          <w:spacing w:val="27"/>
          <w:sz w:val="24"/>
        </w:rPr>
        <w:t xml:space="preserve"> </w:t>
      </w:r>
      <w:r w:rsidRPr="00395593">
        <w:rPr>
          <w:rFonts w:ascii="Garamond" w:hAnsi="Garamond"/>
          <w:sz w:val="24"/>
        </w:rPr>
        <w:t>aplicadas</w:t>
      </w:r>
      <w:r w:rsidRPr="00395593">
        <w:rPr>
          <w:rFonts w:ascii="Garamond" w:hAnsi="Garamond"/>
          <w:spacing w:val="27"/>
          <w:sz w:val="24"/>
        </w:rPr>
        <w:t xml:space="preserve"> </w:t>
      </w:r>
      <w:r w:rsidRPr="00395593">
        <w:rPr>
          <w:rFonts w:ascii="Garamond" w:hAnsi="Garamond"/>
          <w:sz w:val="24"/>
        </w:rPr>
        <w:t>ao</w:t>
      </w:r>
      <w:r w:rsidRPr="00395593">
        <w:rPr>
          <w:rFonts w:ascii="Garamond" w:hAnsi="Garamond"/>
          <w:spacing w:val="27"/>
          <w:sz w:val="24"/>
        </w:rPr>
        <w:t xml:space="preserve"> </w:t>
      </w:r>
      <w:r w:rsidRPr="00395593">
        <w:rPr>
          <w:rFonts w:ascii="Garamond" w:hAnsi="Garamond"/>
          <w:sz w:val="24"/>
        </w:rPr>
        <w:t>produto</w:t>
      </w:r>
      <w:r w:rsidRPr="00395593">
        <w:rPr>
          <w:rFonts w:ascii="Garamond" w:hAnsi="Garamond"/>
          <w:spacing w:val="28"/>
          <w:sz w:val="24"/>
        </w:rPr>
        <w:t xml:space="preserve"> </w:t>
      </w:r>
      <w:r w:rsidRPr="00395593">
        <w:rPr>
          <w:rFonts w:ascii="Garamond" w:hAnsi="Garamond"/>
          <w:sz w:val="24"/>
        </w:rPr>
        <w:t>importado</w:t>
      </w:r>
      <w:r w:rsidRPr="00395593">
        <w:rPr>
          <w:rFonts w:ascii="Garamond" w:hAnsi="Garamond"/>
          <w:spacing w:val="26"/>
          <w:sz w:val="24"/>
        </w:rPr>
        <w:t xml:space="preserve"> </w:t>
      </w:r>
      <w:r w:rsidRPr="00395593">
        <w:rPr>
          <w:rFonts w:ascii="Garamond" w:hAnsi="Garamond"/>
          <w:sz w:val="24"/>
        </w:rPr>
        <w:t>independentemente</w:t>
      </w:r>
      <w:r w:rsidRPr="00395593">
        <w:rPr>
          <w:rFonts w:ascii="Garamond" w:hAnsi="Garamond"/>
          <w:spacing w:val="-57"/>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sua</w:t>
      </w:r>
      <w:r w:rsidRPr="00395593">
        <w:rPr>
          <w:rFonts w:ascii="Garamond" w:hAnsi="Garamond"/>
          <w:spacing w:val="-2"/>
          <w:sz w:val="24"/>
        </w:rPr>
        <w:t xml:space="preserve"> </w:t>
      </w:r>
      <w:r w:rsidRPr="00395593">
        <w:rPr>
          <w:rFonts w:ascii="Garamond" w:hAnsi="Garamond"/>
          <w:sz w:val="24"/>
        </w:rPr>
        <w:t>procedência.</w:t>
      </w:r>
    </w:p>
    <w:p w14:paraId="4C3DA5A3" w14:textId="77777777" w:rsidR="00D44A7A" w:rsidRPr="00395593" w:rsidRDefault="00D44A7A" w:rsidP="00D44A7A">
      <w:pPr>
        <w:pStyle w:val="Corpodetexto"/>
        <w:rPr>
          <w:rFonts w:ascii="Garamond" w:hAnsi="Garamond"/>
        </w:rPr>
      </w:pPr>
    </w:p>
    <w:p w14:paraId="30B0566A" w14:textId="0DA74D57" w:rsidR="004136FD" w:rsidRDefault="00D44A7A" w:rsidP="004136FD">
      <w:pPr>
        <w:pStyle w:val="Corpodetexto"/>
        <w:spacing w:line="360" w:lineRule="auto"/>
        <w:ind w:right="68"/>
        <w:jc w:val="center"/>
        <w:rPr>
          <w:rFonts w:ascii="Garamond" w:hAnsi="Garamond"/>
          <w:b/>
        </w:rPr>
      </w:pPr>
      <w:r w:rsidRPr="00395593">
        <w:rPr>
          <w:rFonts w:ascii="Garamond" w:hAnsi="Garamond"/>
          <w:b/>
        </w:rPr>
        <w:t>Artigo</w:t>
      </w:r>
      <w:r w:rsidR="004136FD">
        <w:rPr>
          <w:rFonts w:ascii="Garamond" w:hAnsi="Garamond"/>
          <w:b/>
        </w:rPr>
        <w:t xml:space="preserve"> 3</w:t>
      </w:r>
    </w:p>
    <w:p w14:paraId="740849BC" w14:textId="1FD45AE9" w:rsidR="00D44A7A" w:rsidRPr="00395593" w:rsidRDefault="00D44A7A" w:rsidP="004136FD">
      <w:pPr>
        <w:pStyle w:val="Corpodetexto"/>
        <w:spacing w:line="360" w:lineRule="auto"/>
        <w:ind w:right="68"/>
        <w:jc w:val="center"/>
        <w:rPr>
          <w:rFonts w:ascii="Garamond" w:hAnsi="Garamond"/>
          <w:b/>
        </w:rPr>
      </w:pPr>
      <w:r w:rsidRPr="00395593">
        <w:rPr>
          <w:rFonts w:ascii="Garamond" w:hAnsi="Garamond"/>
          <w:b/>
          <w:spacing w:val="-1"/>
        </w:rPr>
        <w:t>Investigação</w:t>
      </w:r>
    </w:p>
    <w:p w14:paraId="7D01A43C" w14:textId="77777777" w:rsidR="00D44A7A" w:rsidRPr="00395593" w:rsidRDefault="00D44A7A" w:rsidP="002C4340">
      <w:pPr>
        <w:pStyle w:val="PargrafodaLista"/>
        <w:widowControl w:val="0"/>
        <w:numPr>
          <w:ilvl w:val="0"/>
          <w:numId w:val="76"/>
        </w:numPr>
        <w:tabs>
          <w:tab w:val="left" w:pos="472"/>
        </w:tabs>
        <w:autoSpaceDE w:val="0"/>
        <w:autoSpaceDN w:val="0"/>
        <w:spacing w:after="0" w:line="240" w:lineRule="auto"/>
        <w:ind w:right="160" w:firstLine="0"/>
        <w:contextualSpacing w:val="0"/>
        <w:jc w:val="both"/>
        <w:rPr>
          <w:rFonts w:ascii="Garamond" w:hAnsi="Garamond"/>
          <w:sz w:val="24"/>
        </w:rPr>
      </w:pPr>
      <w:r w:rsidRPr="00395593">
        <w:rPr>
          <w:rFonts w:ascii="Garamond" w:hAnsi="Garamond"/>
          <w:sz w:val="24"/>
        </w:rPr>
        <w:t>Um Membro só poderá aplicar uma medida de salvaguarda após investigação conduzida</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suas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competentes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conformidade</w:t>
      </w:r>
      <w:r w:rsidRPr="00395593">
        <w:rPr>
          <w:rFonts w:ascii="Garamond" w:hAnsi="Garamond"/>
          <w:spacing w:val="1"/>
          <w:sz w:val="24"/>
        </w:rPr>
        <w:t xml:space="preserve"> </w:t>
      </w:r>
      <w:r w:rsidRPr="00395593">
        <w:rPr>
          <w:rFonts w:ascii="Garamond" w:hAnsi="Garamond"/>
          <w:sz w:val="24"/>
        </w:rPr>
        <w:t>com</w:t>
      </w:r>
      <w:r w:rsidRPr="00395593">
        <w:rPr>
          <w:rFonts w:ascii="Garamond" w:hAnsi="Garamond"/>
          <w:spacing w:val="1"/>
          <w:sz w:val="24"/>
        </w:rPr>
        <w:t xml:space="preserve"> </w:t>
      </w:r>
      <w:r w:rsidRPr="00395593">
        <w:rPr>
          <w:rFonts w:ascii="Garamond" w:hAnsi="Garamond"/>
          <w:sz w:val="24"/>
        </w:rPr>
        <w:t>procedimentos</w:t>
      </w:r>
      <w:r w:rsidRPr="00395593">
        <w:rPr>
          <w:rFonts w:ascii="Garamond" w:hAnsi="Garamond"/>
          <w:spacing w:val="1"/>
          <w:sz w:val="24"/>
        </w:rPr>
        <w:t xml:space="preserve"> </w:t>
      </w:r>
      <w:r w:rsidRPr="00395593">
        <w:rPr>
          <w:rFonts w:ascii="Garamond" w:hAnsi="Garamond"/>
          <w:sz w:val="24"/>
        </w:rPr>
        <w:t>previamente</w:t>
      </w:r>
      <w:r w:rsidRPr="00395593">
        <w:rPr>
          <w:rFonts w:ascii="Garamond" w:hAnsi="Garamond"/>
          <w:spacing w:val="1"/>
          <w:sz w:val="24"/>
        </w:rPr>
        <w:t xml:space="preserve"> </w:t>
      </w:r>
      <w:r w:rsidRPr="00395593">
        <w:rPr>
          <w:rFonts w:ascii="Garamond" w:hAnsi="Garamond"/>
          <w:sz w:val="24"/>
        </w:rPr>
        <w:t>estabelecidos e tornados públicos nos termos do Artigo X do GATT 1994. Tal investigação</w:t>
      </w:r>
      <w:r w:rsidRPr="00395593">
        <w:rPr>
          <w:rFonts w:ascii="Garamond" w:hAnsi="Garamond"/>
          <w:spacing w:val="1"/>
          <w:sz w:val="24"/>
        </w:rPr>
        <w:t xml:space="preserve"> </w:t>
      </w:r>
      <w:r w:rsidRPr="00395593">
        <w:rPr>
          <w:rFonts w:ascii="Garamond" w:hAnsi="Garamond"/>
          <w:sz w:val="24"/>
        </w:rPr>
        <w:t>compreenderá a publicação de um aviso destinado a informar razoavelmente todas as partes</w:t>
      </w:r>
      <w:r w:rsidRPr="00395593">
        <w:rPr>
          <w:rFonts w:ascii="Garamond" w:hAnsi="Garamond"/>
          <w:spacing w:val="-57"/>
          <w:sz w:val="24"/>
        </w:rPr>
        <w:t xml:space="preserve"> </w:t>
      </w:r>
      <w:r w:rsidRPr="00395593">
        <w:rPr>
          <w:rFonts w:ascii="Garamond" w:hAnsi="Garamond"/>
          <w:sz w:val="24"/>
        </w:rPr>
        <w:t>interessadas,</w:t>
      </w:r>
      <w:r w:rsidRPr="00395593">
        <w:rPr>
          <w:rFonts w:ascii="Garamond" w:hAnsi="Garamond"/>
          <w:spacing w:val="1"/>
          <w:sz w:val="24"/>
        </w:rPr>
        <w:t xml:space="preserve"> </w:t>
      </w:r>
      <w:r w:rsidRPr="00395593">
        <w:rPr>
          <w:rFonts w:ascii="Garamond" w:hAnsi="Garamond"/>
          <w:sz w:val="24"/>
        </w:rPr>
        <w:t>assim</w:t>
      </w:r>
      <w:r w:rsidRPr="00395593">
        <w:rPr>
          <w:rFonts w:ascii="Garamond" w:hAnsi="Garamond"/>
          <w:spacing w:val="1"/>
          <w:sz w:val="24"/>
        </w:rPr>
        <w:t xml:space="preserve"> </w:t>
      </w:r>
      <w:r w:rsidRPr="00395593">
        <w:rPr>
          <w:rFonts w:ascii="Garamond" w:hAnsi="Garamond"/>
          <w:sz w:val="24"/>
        </w:rPr>
        <w:t>como</w:t>
      </w:r>
      <w:r w:rsidRPr="00395593">
        <w:rPr>
          <w:rFonts w:ascii="Garamond" w:hAnsi="Garamond"/>
          <w:spacing w:val="1"/>
          <w:sz w:val="24"/>
        </w:rPr>
        <w:t xml:space="preserve"> </w:t>
      </w:r>
      <w:r w:rsidRPr="00395593">
        <w:rPr>
          <w:rFonts w:ascii="Garamond" w:hAnsi="Garamond"/>
          <w:sz w:val="24"/>
        </w:rPr>
        <w:t>audiências</w:t>
      </w:r>
      <w:r w:rsidRPr="00395593">
        <w:rPr>
          <w:rFonts w:ascii="Garamond" w:hAnsi="Garamond"/>
          <w:spacing w:val="1"/>
          <w:sz w:val="24"/>
        </w:rPr>
        <w:t xml:space="preserve"> </w:t>
      </w:r>
      <w:r w:rsidRPr="00395593">
        <w:rPr>
          <w:rFonts w:ascii="Garamond" w:hAnsi="Garamond"/>
          <w:sz w:val="24"/>
        </w:rPr>
        <w:t>públicas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outros</w:t>
      </w:r>
      <w:r w:rsidRPr="00395593">
        <w:rPr>
          <w:rFonts w:ascii="Garamond" w:hAnsi="Garamond"/>
          <w:spacing w:val="1"/>
          <w:sz w:val="24"/>
        </w:rPr>
        <w:t xml:space="preserve"> </w:t>
      </w:r>
      <w:r w:rsidRPr="00395593">
        <w:rPr>
          <w:rFonts w:ascii="Garamond" w:hAnsi="Garamond"/>
          <w:sz w:val="24"/>
        </w:rPr>
        <w:t>meios</w:t>
      </w:r>
      <w:r w:rsidRPr="00395593">
        <w:rPr>
          <w:rFonts w:ascii="Garamond" w:hAnsi="Garamond"/>
          <w:spacing w:val="1"/>
          <w:sz w:val="24"/>
        </w:rPr>
        <w:t xml:space="preserve"> </w:t>
      </w:r>
      <w:r w:rsidRPr="00395593">
        <w:rPr>
          <w:rFonts w:ascii="Garamond" w:hAnsi="Garamond"/>
          <w:sz w:val="24"/>
        </w:rPr>
        <w:t>idôneos</w:t>
      </w:r>
      <w:r w:rsidRPr="00395593">
        <w:rPr>
          <w:rFonts w:ascii="Garamond" w:hAnsi="Garamond"/>
          <w:spacing w:val="1"/>
          <w:sz w:val="24"/>
        </w:rPr>
        <w:t xml:space="preserve"> </w:t>
      </w:r>
      <w:r w:rsidRPr="00395593">
        <w:rPr>
          <w:rFonts w:ascii="Garamond" w:hAnsi="Garamond"/>
          <w:sz w:val="24"/>
        </w:rPr>
        <w:t>pelos</w:t>
      </w:r>
      <w:r w:rsidRPr="00395593">
        <w:rPr>
          <w:rFonts w:ascii="Garamond" w:hAnsi="Garamond"/>
          <w:spacing w:val="1"/>
          <w:sz w:val="24"/>
        </w:rPr>
        <w:t xml:space="preserve"> </w:t>
      </w:r>
      <w:r w:rsidRPr="00395593">
        <w:rPr>
          <w:rFonts w:ascii="Garamond" w:hAnsi="Garamond"/>
          <w:sz w:val="24"/>
        </w:rPr>
        <w:t>quais</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57"/>
          <w:sz w:val="24"/>
        </w:rPr>
        <w:t xml:space="preserve"> </w:t>
      </w:r>
      <w:r w:rsidRPr="00395593">
        <w:rPr>
          <w:rFonts w:ascii="Garamond" w:hAnsi="Garamond"/>
          <w:sz w:val="24"/>
        </w:rPr>
        <w:t>importadores os exportadores e outras partes interessadas possam apresentar provas e expor</w:t>
      </w:r>
      <w:r w:rsidRPr="00395593">
        <w:rPr>
          <w:rFonts w:ascii="Garamond" w:hAnsi="Garamond"/>
          <w:spacing w:val="-57"/>
          <w:sz w:val="24"/>
        </w:rPr>
        <w:t xml:space="preserve"> </w:t>
      </w:r>
      <w:r w:rsidRPr="00395593">
        <w:rPr>
          <w:rFonts w:ascii="Garamond" w:hAnsi="Garamond"/>
          <w:sz w:val="24"/>
        </w:rPr>
        <w:t>suas razões, e ter ainda a oportunidade de responder a argumentação das outras partes e</w:t>
      </w:r>
      <w:r w:rsidRPr="00395593">
        <w:rPr>
          <w:rFonts w:ascii="Garamond" w:hAnsi="Garamond"/>
          <w:spacing w:val="1"/>
          <w:sz w:val="24"/>
        </w:rPr>
        <w:t xml:space="preserve"> </w:t>
      </w:r>
      <w:r w:rsidRPr="00395593">
        <w:rPr>
          <w:rFonts w:ascii="Garamond" w:hAnsi="Garamond"/>
          <w:sz w:val="24"/>
        </w:rPr>
        <w:t>apresentar suas opiniões, inclusive, entre outras coisas, sobre se a aplicação da medida de</w:t>
      </w:r>
      <w:r w:rsidRPr="00395593">
        <w:rPr>
          <w:rFonts w:ascii="Garamond" w:hAnsi="Garamond"/>
          <w:spacing w:val="1"/>
          <w:sz w:val="24"/>
        </w:rPr>
        <w:t xml:space="preserve"> </w:t>
      </w:r>
      <w:r w:rsidRPr="00395593">
        <w:rPr>
          <w:rFonts w:ascii="Garamond" w:hAnsi="Garamond"/>
          <w:sz w:val="24"/>
        </w:rPr>
        <w:t>salvaguarda</w:t>
      </w:r>
      <w:r w:rsidRPr="00395593">
        <w:rPr>
          <w:rFonts w:ascii="Garamond" w:hAnsi="Garamond"/>
          <w:spacing w:val="-2"/>
          <w:sz w:val="24"/>
        </w:rPr>
        <w:t xml:space="preserve"> </w:t>
      </w:r>
      <w:r w:rsidRPr="00395593">
        <w:rPr>
          <w:rFonts w:ascii="Garamond" w:hAnsi="Garamond"/>
          <w:sz w:val="24"/>
        </w:rPr>
        <w:t>seria</w:t>
      </w:r>
      <w:r w:rsidRPr="00395593">
        <w:rPr>
          <w:rFonts w:ascii="Garamond" w:hAnsi="Garamond"/>
          <w:spacing w:val="-2"/>
          <w:sz w:val="24"/>
        </w:rPr>
        <w:t xml:space="preserve"> </w:t>
      </w:r>
      <w:r w:rsidRPr="00395593">
        <w:rPr>
          <w:rFonts w:ascii="Garamond" w:hAnsi="Garamond"/>
          <w:sz w:val="24"/>
        </w:rPr>
        <w:t>ou não</w:t>
      </w:r>
      <w:r w:rsidRPr="00395593">
        <w:rPr>
          <w:rFonts w:ascii="Garamond" w:hAnsi="Garamond"/>
          <w:spacing w:val="2"/>
          <w:sz w:val="24"/>
        </w:rPr>
        <w:t xml:space="preserve"> </w:t>
      </w:r>
      <w:r w:rsidRPr="00395593">
        <w:rPr>
          <w:rFonts w:ascii="Garamond" w:hAnsi="Garamond"/>
          <w:sz w:val="24"/>
        </w:rPr>
        <w:t>do interesse público.</w:t>
      </w:r>
    </w:p>
    <w:p w14:paraId="43068436" w14:textId="77777777" w:rsidR="00D44A7A" w:rsidRPr="00395593" w:rsidRDefault="00D44A7A" w:rsidP="00D44A7A">
      <w:pPr>
        <w:pStyle w:val="Corpodetexto"/>
        <w:spacing w:before="1"/>
        <w:rPr>
          <w:rFonts w:ascii="Garamond" w:hAnsi="Garamond"/>
        </w:rPr>
      </w:pPr>
    </w:p>
    <w:p w14:paraId="6C0AF38A" w14:textId="77777777" w:rsidR="00D44A7A" w:rsidRPr="00395593" w:rsidRDefault="00D44A7A" w:rsidP="002C4340">
      <w:pPr>
        <w:pStyle w:val="PargrafodaLista"/>
        <w:widowControl w:val="0"/>
        <w:numPr>
          <w:ilvl w:val="0"/>
          <w:numId w:val="76"/>
        </w:numPr>
        <w:tabs>
          <w:tab w:val="left" w:pos="930"/>
        </w:tabs>
        <w:autoSpaceDE w:val="0"/>
        <w:autoSpaceDN w:val="0"/>
        <w:spacing w:after="0" w:line="240" w:lineRule="auto"/>
        <w:ind w:right="157" w:firstLine="0"/>
        <w:contextualSpacing w:val="0"/>
        <w:jc w:val="both"/>
        <w:rPr>
          <w:rFonts w:ascii="Garamond" w:hAnsi="Garamond"/>
          <w:sz w:val="24"/>
        </w:rPr>
      </w:pPr>
      <w:r w:rsidRPr="00395593">
        <w:rPr>
          <w:rFonts w:ascii="Garamond" w:hAnsi="Garamond"/>
          <w:sz w:val="24"/>
        </w:rPr>
        <w:t>Toda</w:t>
      </w:r>
      <w:r w:rsidRPr="00395593">
        <w:rPr>
          <w:rFonts w:ascii="Garamond" w:hAnsi="Garamond"/>
          <w:spacing w:val="1"/>
          <w:sz w:val="24"/>
        </w:rPr>
        <w:t xml:space="preserve"> </w:t>
      </w:r>
      <w:r w:rsidRPr="00395593">
        <w:rPr>
          <w:rFonts w:ascii="Garamond" w:hAnsi="Garamond"/>
          <w:sz w:val="24"/>
        </w:rPr>
        <w:t>informação</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sua</w:t>
      </w:r>
      <w:r w:rsidRPr="00395593">
        <w:rPr>
          <w:rFonts w:ascii="Garamond" w:hAnsi="Garamond"/>
          <w:spacing w:val="1"/>
          <w:sz w:val="24"/>
        </w:rPr>
        <w:t xml:space="preserve"> </w:t>
      </w:r>
      <w:r w:rsidRPr="00395593">
        <w:rPr>
          <w:rFonts w:ascii="Garamond" w:hAnsi="Garamond"/>
          <w:sz w:val="24"/>
        </w:rPr>
        <w:t>natureza,</w:t>
      </w:r>
      <w:r w:rsidRPr="00395593">
        <w:rPr>
          <w:rFonts w:ascii="Garamond" w:hAnsi="Garamond"/>
          <w:spacing w:val="1"/>
          <w:sz w:val="24"/>
        </w:rPr>
        <w:t xml:space="preserve"> </w:t>
      </w:r>
      <w:r w:rsidRPr="00395593">
        <w:rPr>
          <w:rFonts w:ascii="Garamond" w:hAnsi="Garamond"/>
          <w:sz w:val="24"/>
        </w:rPr>
        <w:t>seja</w:t>
      </w:r>
      <w:r w:rsidRPr="00395593">
        <w:rPr>
          <w:rFonts w:ascii="Garamond" w:hAnsi="Garamond"/>
          <w:spacing w:val="1"/>
          <w:sz w:val="24"/>
        </w:rPr>
        <w:t xml:space="preserve"> </w:t>
      </w:r>
      <w:r w:rsidRPr="00395593">
        <w:rPr>
          <w:rFonts w:ascii="Garamond" w:hAnsi="Garamond"/>
          <w:sz w:val="24"/>
        </w:rPr>
        <w:t>confidencial</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tenha</w:t>
      </w:r>
      <w:r w:rsidRPr="00395593">
        <w:rPr>
          <w:rFonts w:ascii="Garamond" w:hAnsi="Garamond"/>
          <w:spacing w:val="1"/>
          <w:sz w:val="24"/>
        </w:rPr>
        <w:t xml:space="preserve"> </w:t>
      </w:r>
      <w:r w:rsidRPr="00395593">
        <w:rPr>
          <w:rFonts w:ascii="Garamond" w:hAnsi="Garamond"/>
          <w:sz w:val="24"/>
        </w:rPr>
        <w:t>sido</w:t>
      </w:r>
      <w:r w:rsidRPr="00395593">
        <w:rPr>
          <w:rFonts w:ascii="Garamond" w:hAnsi="Garamond"/>
          <w:spacing w:val="1"/>
          <w:sz w:val="24"/>
        </w:rPr>
        <w:t xml:space="preserve"> </w:t>
      </w:r>
      <w:r w:rsidRPr="00395593">
        <w:rPr>
          <w:rFonts w:ascii="Garamond" w:hAnsi="Garamond"/>
          <w:sz w:val="24"/>
        </w:rPr>
        <w:t>fornecida com caráter confidencial, será, após a devida justificação, tratada como tal pelas</w:t>
      </w:r>
      <w:r w:rsidRPr="00395593">
        <w:rPr>
          <w:rFonts w:ascii="Garamond" w:hAnsi="Garamond"/>
          <w:spacing w:val="1"/>
          <w:sz w:val="24"/>
        </w:rPr>
        <w:t xml:space="preserve"> </w:t>
      </w:r>
      <w:r w:rsidRPr="00395593">
        <w:rPr>
          <w:rFonts w:ascii="Garamond" w:hAnsi="Garamond"/>
          <w:sz w:val="24"/>
        </w:rPr>
        <w:t>autoridades competentes. Tal informação não será revelada sem autorização por parte de</w:t>
      </w:r>
      <w:r w:rsidRPr="00395593">
        <w:rPr>
          <w:rFonts w:ascii="Garamond" w:hAnsi="Garamond"/>
          <w:spacing w:val="1"/>
          <w:sz w:val="24"/>
        </w:rPr>
        <w:t xml:space="preserve"> </w:t>
      </w:r>
      <w:r w:rsidRPr="00395593">
        <w:rPr>
          <w:rFonts w:ascii="Garamond" w:hAnsi="Garamond"/>
          <w:sz w:val="24"/>
        </w:rPr>
        <w:t>quem a tenha apresentado. Poder-se-á solicitar às partes responsáveis pela apresentação de</w:t>
      </w:r>
      <w:r w:rsidRPr="00395593">
        <w:rPr>
          <w:rFonts w:ascii="Garamond" w:hAnsi="Garamond"/>
          <w:spacing w:val="1"/>
          <w:sz w:val="24"/>
        </w:rPr>
        <w:t xml:space="preserve"> </w:t>
      </w:r>
      <w:r w:rsidRPr="00395593">
        <w:rPr>
          <w:rFonts w:ascii="Garamond" w:hAnsi="Garamond"/>
          <w:sz w:val="24"/>
        </w:rPr>
        <w:t>informação confidencial que forneçam resumos não-confidenciais da mesma ou, se aquelas</w:t>
      </w:r>
      <w:r w:rsidRPr="00395593">
        <w:rPr>
          <w:rFonts w:ascii="Garamond" w:hAnsi="Garamond"/>
          <w:spacing w:val="1"/>
          <w:sz w:val="24"/>
        </w:rPr>
        <w:t xml:space="preserve"> </w:t>
      </w:r>
      <w:r w:rsidRPr="00395593">
        <w:rPr>
          <w:rFonts w:ascii="Garamond" w:hAnsi="Garamond"/>
          <w:sz w:val="24"/>
        </w:rPr>
        <w:t>partes indicarem que tal informação não pode ser resumida, que exponham as razões pelas</w:t>
      </w:r>
      <w:r w:rsidRPr="00395593">
        <w:rPr>
          <w:rFonts w:ascii="Garamond" w:hAnsi="Garamond"/>
          <w:spacing w:val="1"/>
          <w:sz w:val="24"/>
        </w:rPr>
        <w:t xml:space="preserve"> </w:t>
      </w:r>
      <w:r w:rsidRPr="00395593">
        <w:rPr>
          <w:rFonts w:ascii="Garamond" w:hAnsi="Garamond"/>
          <w:sz w:val="24"/>
        </w:rPr>
        <w:t>quais</w:t>
      </w:r>
      <w:r w:rsidRPr="00395593">
        <w:rPr>
          <w:rFonts w:ascii="Garamond" w:hAnsi="Garamond"/>
          <w:spacing w:val="1"/>
          <w:sz w:val="24"/>
        </w:rPr>
        <w:t xml:space="preserve"> </w:t>
      </w:r>
      <w:r w:rsidRPr="00395593">
        <w:rPr>
          <w:rFonts w:ascii="Garamond" w:hAnsi="Garamond"/>
          <w:sz w:val="24"/>
        </w:rPr>
        <w:t>um</w:t>
      </w:r>
      <w:r w:rsidRPr="00395593">
        <w:rPr>
          <w:rFonts w:ascii="Garamond" w:hAnsi="Garamond"/>
          <w:spacing w:val="1"/>
          <w:sz w:val="24"/>
        </w:rPr>
        <w:t xml:space="preserve"> </w:t>
      </w:r>
      <w:r w:rsidRPr="00395593">
        <w:rPr>
          <w:rFonts w:ascii="Garamond" w:hAnsi="Garamond"/>
          <w:sz w:val="24"/>
        </w:rPr>
        <w:t>resumo</w:t>
      </w:r>
      <w:r w:rsidRPr="00395593">
        <w:rPr>
          <w:rFonts w:ascii="Garamond" w:hAnsi="Garamond"/>
          <w:spacing w:val="1"/>
          <w:sz w:val="24"/>
        </w:rPr>
        <w:t xml:space="preserve"> </w:t>
      </w:r>
      <w:r w:rsidRPr="00395593">
        <w:rPr>
          <w:rFonts w:ascii="Garamond" w:hAnsi="Garamond"/>
          <w:sz w:val="24"/>
        </w:rPr>
        <w:t>não</w:t>
      </w:r>
      <w:r w:rsidRPr="00395593">
        <w:rPr>
          <w:rFonts w:ascii="Garamond" w:hAnsi="Garamond"/>
          <w:spacing w:val="1"/>
          <w:sz w:val="24"/>
        </w:rPr>
        <w:t xml:space="preserve"> </w:t>
      </w:r>
      <w:r w:rsidRPr="00395593">
        <w:rPr>
          <w:rFonts w:ascii="Garamond" w:hAnsi="Garamond"/>
          <w:sz w:val="24"/>
        </w:rPr>
        <w:t>pode</w:t>
      </w:r>
      <w:r w:rsidRPr="00395593">
        <w:rPr>
          <w:rFonts w:ascii="Garamond" w:hAnsi="Garamond"/>
          <w:spacing w:val="1"/>
          <w:sz w:val="24"/>
        </w:rPr>
        <w:t xml:space="preserve"> </w:t>
      </w:r>
      <w:r w:rsidRPr="00395593">
        <w:rPr>
          <w:rFonts w:ascii="Garamond" w:hAnsi="Garamond"/>
          <w:sz w:val="24"/>
        </w:rPr>
        <w:t>ser</w:t>
      </w:r>
      <w:r w:rsidRPr="00395593">
        <w:rPr>
          <w:rFonts w:ascii="Garamond" w:hAnsi="Garamond"/>
          <w:spacing w:val="1"/>
          <w:sz w:val="24"/>
        </w:rPr>
        <w:t xml:space="preserve"> </w:t>
      </w:r>
      <w:r w:rsidRPr="00395593">
        <w:rPr>
          <w:rFonts w:ascii="Garamond" w:hAnsi="Garamond"/>
          <w:sz w:val="24"/>
        </w:rPr>
        <w:t>apresentado.</w:t>
      </w:r>
      <w:r w:rsidRPr="00395593">
        <w:rPr>
          <w:rFonts w:ascii="Garamond" w:hAnsi="Garamond"/>
          <w:spacing w:val="1"/>
          <w:sz w:val="24"/>
        </w:rPr>
        <w:t xml:space="preserve"> </w:t>
      </w:r>
      <w:r w:rsidRPr="00395593">
        <w:rPr>
          <w:rFonts w:ascii="Garamond" w:hAnsi="Garamond"/>
          <w:sz w:val="24"/>
        </w:rPr>
        <w:t>Todavia,</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competentes</w:t>
      </w:r>
      <w:r w:rsidRPr="00395593">
        <w:rPr>
          <w:rFonts w:ascii="Garamond" w:hAnsi="Garamond"/>
          <w:spacing w:val="1"/>
          <w:sz w:val="24"/>
        </w:rPr>
        <w:t xml:space="preserve"> </w:t>
      </w:r>
      <w:r w:rsidRPr="00395593">
        <w:rPr>
          <w:rFonts w:ascii="Garamond" w:hAnsi="Garamond"/>
          <w:sz w:val="24"/>
        </w:rPr>
        <w:t>concluírem que uma solicitação para que se considere uma informação como confidencial</w:t>
      </w:r>
      <w:r w:rsidRPr="00395593">
        <w:rPr>
          <w:rFonts w:ascii="Garamond" w:hAnsi="Garamond"/>
          <w:spacing w:val="1"/>
          <w:sz w:val="24"/>
        </w:rPr>
        <w:t xml:space="preserve"> </w:t>
      </w:r>
      <w:r w:rsidRPr="00395593">
        <w:rPr>
          <w:rFonts w:ascii="Garamond" w:hAnsi="Garamond"/>
          <w:sz w:val="24"/>
        </w:rPr>
        <w:t>não se justifica, e se a parte interessada não deseja torná-la pública nem autorizar sua</w:t>
      </w:r>
      <w:r w:rsidRPr="00395593">
        <w:rPr>
          <w:rFonts w:ascii="Garamond" w:hAnsi="Garamond"/>
          <w:spacing w:val="1"/>
          <w:sz w:val="24"/>
        </w:rPr>
        <w:t xml:space="preserve"> </w:t>
      </w:r>
      <w:r w:rsidRPr="00395593">
        <w:rPr>
          <w:rFonts w:ascii="Garamond" w:hAnsi="Garamond"/>
          <w:sz w:val="24"/>
        </w:rPr>
        <w:t>divulgação</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termos</w:t>
      </w:r>
      <w:r w:rsidRPr="00395593">
        <w:rPr>
          <w:rFonts w:ascii="Garamond" w:hAnsi="Garamond"/>
          <w:spacing w:val="1"/>
          <w:sz w:val="24"/>
        </w:rPr>
        <w:t xml:space="preserve"> </w:t>
      </w:r>
      <w:r w:rsidRPr="00395593">
        <w:rPr>
          <w:rFonts w:ascii="Garamond" w:hAnsi="Garamond"/>
          <w:sz w:val="24"/>
        </w:rPr>
        <w:t>gerais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resumidos,</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poderão</w:t>
      </w:r>
      <w:r w:rsidRPr="00395593">
        <w:rPr>
          <w:rFonts w:ascii="Garamond" w:hAnsi="Garamond"/>
          <w:spacing w:val="1"/>
          <w:sz w:val="24"/>
        </w:rPr>
        <w:t xml:space="preserve"> </w:t>
      </w:r>
      <w:r w:rsidRPr="00395593">
        <w:rPr>
          <w:rFonts w:ascii="Garamond" w:hAnsi="Garamond"/>
          <w:sz w:val="24"/>
        </w:rPr>
        <w:t>desconsiderar</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informação</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tela,</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menos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lhes</w:t>
      </w:r>
      <w:r w:rsidRPr="00395593">
        <w:rPr>
          <w:rFonts w:ascii="Garamond" w:hAnsi="Garamond"/>
          <w:spacing w:val="1"/>
          <w:sz w:val="24"/>
        </w:rPr>
        <w:t xml:space="preserve"> </w:t>
      </w:r>
      <w:r w:rsidRPr="00395593">
        <w:rPr>
          <w:rFonts w:ascii="Garamond" w:hAnsi="Garamond"/>
          <w:sz w:val="24"/>
        </w:rPr>
        <w:t>seja</w:t>
      </w:r>
      <w:r w:rsidRPr="00395593">
        <w:rPr>
          <w:rFonts w:ascii="Garamond" w:hAnsi="Garamond"/>
          <w:spacing w:val="1"/>
          <w:sz w:val="24"/>
        </w:rPr>
        <w:t xml:space="preserve"> </w:t>
      </w:r>
      <w:r w:rsidRPr="00395593">
        <w:rPr>
          <w:rFonts w:ascii="Garamond" w:hAnsi="Garamond"/>
          <w:sz w:val="24"/>
        </w:rPr>
        <w:t>satisfatoriamente</w:t>
      </w:r>
      <w:r w:rsidRPr="00395593">
        <w:rPr>
          <w:rFonts w:ascii="Garamond" w:hAnsi="Garamond"/>
          <w:spacing w:val="1"/>
          <w:sz w:val="24"/>
        </w:rPr>
        <w:t xml:space="preserve"> </w:t>
      </w:r>
      <w:r w:rsidRPr="00395593">
        <w:rPr>
          <w:rFonts w:ascii="Garamond" w:hAnsi="Garamond"/>
          <w:sz w:val="24"/>
        </w:rPr>
        <w:t>demonstrado,</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fontes</w:t>
      </w:r>
      <w:r w:rsidRPr="00395593">
        <w:rPr>
          <w:rFonts w:ascii="Garamond" w:hAnsi="Garamond"/>
          <w:spacing w:val="-57"/>
          <w:sz w:val="24"/>
        </w:rPr>
        <w:t xml:space="preserve"> </w:t>
      </w:r>
      <w:r w:rsidRPr="00395593">
        <w:rPr>
          <w:rFonts w:ascii="Garamond" w:hAnsi="Garamond"/>
          <w:sz w:val="24"/>
        </w:rPr>
        <w:t>apropriadas,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informação é</w:t>
      </w:r>
      <w:r w:rsidRPr="00395593">
        <w:rPr>
          <w:rFonts w:ascii="Garamond" w:hAnsi="Garamond"/>
          <w:spacing w:val="1"/>
          <w:sz w:val="24"/>
        </w:rPr>
        <w:t xml:space="preserve"> </w:t>
      </w:r>
      <w:r w:rsidRPr="00395593">
        <w:rPr>
          <w:rFonts w:ascii="Garamond" w:hAnsi="Garamond"/>
          <w:sz w:val="24"/>
        </w:rPr>
        <w:t>correta.</w:t>
      </w:r>
    </w:p>
    <w:p w14:paraId="7B2DF2DC" w14:textId="77777777" w:rsidR="00D44A7A" w:rsidRPr="00395593" w:rsidRDefault="00D44A7A" w:rsidP="00D44A7A">
      <w:pPr>
        <w:pStyle w:val="Corpodetexto"/>
        <w:spacing w:before="1"/>
        <w:rPr>
          <w:rFonts w:ascii="Garamond" w:hAnsi="Garamond"/>
        </w:rPr>
      </w:pPr>
    </w:p>
    <w:p w14:paraId="2CCADA55" w14:textId="77777777" w:rsidR="00D44A7A" w:rsidRPr="00395593" w:rsidRDefault="00D44A7A" w:rsidP="00D44A7A">
      <w:pPr>
        <w:pStyle w:val="Corpodetexto"/>
        <w:spacing w:line="360" w:lineRule="auto"/>
        <w:ind w:left="1318" w:right="1259"/>
        <w:jc w:val="center"/>
        <w:rPr>
          <w:rFonts w:ascii="Garamond" w:hAnsi="Garamond"/>
          <w:b/>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4</w:t>
      </w:r>
    </w:p>
    <w:p w14:paraId="7D26C4D1" w14:textId="77777777" w:rsidR="00D44A7A" w:rsidRPr="00395593" w:rsidRDefault="00D44A7A" w:rsidP="00D44A7A">
      <w:pPr>
        <w:pStyle w:val="Corpodetexto"/>
        <w:spacing w:line="360" w:lineRule="auto"/>
        <w:ind w:left="1318" w:right="1262"/>
        <w:jc w:val="center"/>
        <w:rPr>
          <w:rFonts w:ascii="Garamond" w:hAnsi="Garamond"/>
          <w:b/>
        </w:rPr>
      </w:pPr>
      <w:r w:rsidRPr="00395593">
        <w:rPr>
          <w:rFonts w:ascii="Garamond" w:hAnsi="Garamond"/>
          <w:b/>
        </w:rPr>
        <w:t>Determinação</w:t>
      </w:r>
      <w:r w:rsidRPr="00395593">
        <w:rPr>
          <w:rFonts w:ascii="Garamond" w:hAnsi="Garamond"/>
          <w:b/>
          <w:spacing w:val="-1"/>
        </w:rPr>
        <w:t xml:space="preserve"> </w:t>
      </w:r>
      <w:r w:rsidRPr="00395593">
        <w:rPr>
          <w:rFonts w:ascii="Garamond" w:hAnsi="Garamond"/>
          <w:b/>
        </w:rPr>
        <w:t>de</w:t>
      </w:r>
      <w:r w:rsidRPr="00395593">
        <w:rPr>
          <w:rFonts w:ascii="Garamond" w:hAnsi="Garamond"/>
          <w:b/>
          <w:spacing w:val="-2"/>
        </w:rPr>
        <w:t xml:space="preserve"> </w:t>
      </w:r>
      <w:r w:rsidRPr="00395593">
        <w:rPr>
          <w:rFonts w:ascii="Garamond" w:hAnsi="Garamond"/>
          <w:b/>
        </w:rPr>
        <w:t>prejuízo</w:t>
      </w:r>
      <w:r w:rsidRPr="00395593">
        <w:rPr>
          <w:rFonts w:ascii="Garamond" w:hAnsi="Garamond"/>
          <w:b/>
          <w:spacing w:val="-1"/>
        </w:rPr>
        <w:t xml:space="preserve"> </w:t>
      </w:r>
      <w:r w:rsidRPr="00395593">
        <w:rPr>
          <w:rFonts w:ascii="Garamond" w:hAnsi="Garamond"/>
          <w:b/>
        </w:rPr>
        <w:t>ou</w:t>
      </w:r>
      <w:r w:rsidRPr="00395593">
        <w:rPr>
          <w:rFonts w:ascii="Garamond" w:hAnsi="Garamond"/>
          <w:b/>
          <w:spacing w:val="-1"/>
        </w:rPr>
        <w:t xml:space="preserve"> </w:t>
      </w:r>
      <w:r w:rsidRPr="00395593">
        <w:rPr>
          <w:rFonts w:ascii="Garamond" w:hAnsi="Garamond"/>
          <w:b/>
        </w:rPr>
        <w:t>ameaça</w:t>
      </w:r>
      <w:r w:rsidRPr="00395593">
        <w:rPr>
          <w:rFonts w:ascii="Garamond" w:hAnsi="Garamond"/>
          <w:b/>
          <w:spacing w:val="-2"/>
        </w:rPr>
        <w:t xml:space="preserve"> </w:t>
      </w:r>
      <w:r w:rsidRPr="00395593">
        <w:rPr>
          <w:rFonts w:ascii="Garamond" w:hAnsi="Garamond"/>
          <w:b/>
        </w:rPr>
        <w:t>de</w:t>
      </w:r>
      <w:r w:rsidRPr="00395593">
        <w:rPr>
          <w:rFonts w:ascii="Garamond" w:hAnsi="Garamond"/>
          <w:b/>
          <w:spacing w:val="-2"/>
        </w:rPr>
        <w:t xml:space="preserve"> </w:t>
      </w:r>
      <w:r w:rsidRPr="00395593">
        <w:rPr>
          <w:rFonts w:ascii="Garamond" w:hAnsi="Garamond"/>
          <w:b/>
        </w:rPr>
        <w:t>prejuízo</w:t>
      </w:r>
      <w:r w:rsidRPr="00395593">
        <w:rPr>
          <w:rFonts w:ascii="Garamond" w:hAnsi="Garamond"/>
          <w:b/>
          <w:spacing w:val="-1"/>
        </w:rPr>
        <w:t xml:space="preserve"> </w:t>
      </w:r>
      <w:r w:rsidRPr="00395593">
        <w:rPr>
          <w:rFonts w:ascii="Garamond" w:hAnsi="Garamond"/>
          <w:b/>
        </w:rPr>
        <w:t>grave</w:t>
      </w:r>
    </w:p>
    <w:p w14:paraId="5359933D" w14:textId="77777777" w:rsidR="00D44A7A" w:rsidRPr="00395593" w:rsidRDefault="00D44A7A" w:rsidP="00D44A7A">
      <w:pPr>
        <w:pStyle w:val="Corpodetexto"/>
        <w:rPr>
          <w:rFonts w:ascii="Garamond" w:hAnsi="Garamond"/>
        </w:rPr>
      </w:pPr>
    </w:p>
    <w:p w14:paraId="2E727B2E" w14:textId="77777777" w:rsidR="00D44A7A" w:rsidRPr="00395593" w:rsidRDefault="00D44A7A" w:rsidP="002C4340">
      <w:pPr>
        <w:pStyle w:val="PargrafodaLista"/>
        <w:widowControl w:val="0"/>
        <w:numPr>
          <w:ilvl w:val="0"/>
          <w:numId w:val="75"/>
        </w:numPr>
        <w:tabs>
          <w:tab w:val="left" w:pos="930"/>
        </w:tabs>
        <w:autoSpaceDE w:val="0"/>
        <w:autoSpaceDN w:val="0"/>
        <w:spacing w:after="0" w:line="240" w:lineRule="auto"/>
        <w:contextualSpacing w:val="0"/>
        <w:jc w:val="both"/>
        <w:rPr>
          <w:rFonts w:ascii="Garamond" w:hAnsi="Garamond"/>
          <w:sz w:val="24"/>
        </w:rPr>
      </w:pPr>
      <w:r w:rsidRPr="00395593">
        <w:rPr>
          <w:rFonts w:ascii="Garamond" w:hAnsi="Garamond"/>
          <w:sz w:val="24"/>
        </w:rPr>
        <w:t>Para</w:t>
      </w:r>
      <w:r w:rsidRPr="00395593">
        <w:rPr>
          <w:rFonts w:ascii="Garamond" w:hAnsi="Garamond"/>
          <w:spacing w:val="-3"/>
          <w:sz w:val="24"/>
        </w:rPr>
        <w:t xml:space="preserve"> </w:t>
      </w:r>
      <w:r w:rsidRPr="00395593">
        <w:rPr>
          <w:rFonts w:ascii="Garamond" w:hAnsi="Garamond"/>
          <w:sz w:val="24"/>
        </w:rPr>
        <w:t>fins deste</w:t>
      </w:r>
      <w:r w:rsidRPr="00395593">
        <w:rPr>
          <w:rFonts w:ascii="Garamond" w:hAnsi="Garamond"/>
          <w:spacing w:val="-1"/>
          <w:sz w:val="24"/>
        </w:rPr>
        <w:t xml:space="preserve"> </w:t>
      </w:r>
      <w:r w:rsidRPr="00395593">
        <w:rPr>
          <w:rFonts w:ascii="Garamond" w:hAnsi="Garamond"/>
          <w:sz w:val="24"/>
        </w:rPr>
        <w:t>Acordo:</w:t>
      </w:r>
    </w:p>
    <w:p w14:paraId="78EC5C63" w14:textId="77777777" w:rsidR="00D44A7A" w:rsidRPr="00395593" w:rsidRDefault="00D44A7A" w:rsidP="00D44A7A">
      <w:pPr>
        <w:pStyle w:val="Corpodetexto"/>
        <w:rPr>
          <w:rFonts w:ascii="Garamond" w:hAnsi="Garamond"/>
        </w:rPr>
      </w:pPr>
    </w:p>
    <w:p w14:paraId="1EA14983" w14:textId="77777777" w:rsidR="00D44A7A" w:rsidRPr="00395593" w:rsidRDefault="00D44A7A" w:rsidP="002C4340">
      <w:pPr>
        <w:pStyle w:val="PargrafodaLista"/>
        <w:widowControl w:val="0"/>
        <w:numPr>
          <w:ilvl w:val="1"/>
          <w:numId w:val="75"/>
        </w:numPr>
        <w:tabs>
          <w:tab w:val="left" w:pos="1293"/>
        </w:tabs>
        <w:autoSpaceDE w:val="0"/>
        <w:autoSpaceDN w:val="0"/>
        <w:spacing w:after="0" w:line="240" w:lineRule="auto"/>
        <w:ind w:right="165" w:firstLine="719"/>
        <w:contextualSpacing w:val="0"/>
        <w:jc w:val="both"/>
        <w:rPr>
          <w:rFonts w:ascii="Garamond" w:hAnsi="Garamond"/>
          <w:sz w:val="24"/>
        </w:rPr>
      </w:pPr>
      <w:r w:rsidRPr="00395593">
        <w:rPr>
          <w:rFonts w:ascii="Garamond" w:hAnsi="Garamond"/>
          <w:sz w:val="24"/>
        </w:rPr>
        <w:t>entender-se-á</w:t>
      </w:r>
      <w:r w:rsidRPr="00395593">
        <w:rPr>
          <w:rFonts w:ascii="Garamond" w:hAnsi="Garamond"/>
          <w:spacing w:val="23"/>
          <w:sz w:val="24"/>
        </w:rPr>
        <w:t xml:space="preserve"> </w:t>
      </w:r>
      <w:r w:rsidRPr="00395593">
        <w:rPr>
          <w:rFonts w:ascii="Garamond" w:hAnsi="Garamond"/>
          <w:sz w:val="24"/>
        </w:rPr>
        <w:t>por</w:t>
      </w:r>
      <w:r w:rsidRPr="00395593">
        <w:rPr>
          <w:rFonts w:ascii="Garamond" w:hAnsi="Garamond"/>
          <w:spacing w:val="25"/>
          <w:sz w:val="24"/>
        </w:rPr>
        <w:t xml:space="preserve"> </w:t>
      </w:r>
      <w:r w:rsidRPr="00395593">
        <w:rPr>
          <w:rFonts w:ascii="Garamond" w:hAnsi="Garamond"/>
          <w:sz w:val="24"/>
        </w:rPr>
        <w:t>'prejuízo</w:t>
      </w:r>
      <w:r w:rsidRPr="00395593">
        <w:rPr>
          <w:rFonts w:ascii="Garamond" w:hAnsi="Garamond"/>
          <w:spacing w:val="24"/>
          <w:sz w:val="24"/>
        </w:rPr>
        <w:t xml:space="preserve"> </w:t>
      </w:r>
      <w:r w:rsidRPr="00395593">
        <w:rPr>
          <w:rFonts w:ascii="Garamond" w:hAnsi="Garamond"/>
          <w:sz w:val="24"/>
        </w:rPr>
        <w:t>grave'</w:t>
      </w:r>
      <w:r w:rsidRPr="00395593">
        <w:rPr>
          <w:rFonts w:ascii="Garamond" w:hAnsi="Garamond"/>
          <w:spacing w:val="24"/>
          <w:sz w:val="24"/>
        </w:rPr>
        <w:t xml:space="preserve"> </w:t>
      </w:r>
      <w:r w:rsidRPr="00395593">
        <w:rPr>
          <w:rFonts w:ascii="Garamond" w:hAnsi="Garamond"/>
          <w:sz w:val="24"/>
        </w:rPr>
        <w:t>a</w:t>
      </w:r>
      <w:r w:rsidRPr="00395593">
        <w:rPr>
          <w:rFonts w:ascii="Garamond" w:hAnsi="Garamond"/>
          <w:spacing w:val="24"/>
          <w:sz w:val="24"/>
        </w:rPr>
        <w:t xml:space="preserve"> </w:t>
      </w:r>
      <w:r w:rsidRPr="00395593">
        <w:rPr>
          <w:rFonts w:ascii="Garamond" w:hAnsi="Garamond"/>
          <w:sz w:val="24"/>
        </w:rPr>
        <w:t>deterioração</w:t>
      </w:r>
      <w:r w:rsidRPr="00395593">
        <w:rPr>
          <w:rFonts w:ascii="Garamond" w:hAnsi="Garamond"/>
          <w:spacing w:val="26"/>
          <w:sz w:val="24"/>
        </w:rPr>
        <w:t xml:space="preserve"> </w:t>
      </w:r>
      <w:r w:rsidRPr="00395593">
        <w:rPr>
          <w:rFonts w:ascii="Garamond" w:hAnsi="Garamond"/>
          <w:sz w:val="24"/>
        </w:rPr>
        <w:t>geral</w:t>
      </w:r>
      <w:r w:rsidRPr="00395593">
        <w:rPr>
          <w:rFonts w:ascii="Garamond" w:hAnsi="Garamond"/>
          <w:spacing w:val="24"/>
          <w:sz w:val="24"/>
        </w:rPr>
        <w:t xml:space="preserve"> </w:t>
      </w:r>
      <w:r w:rsidRPr="00395593">
        <w:rPr>
          <w:rFonts w:ascii="Garamond" w:hAnsi="Garamond"/>
          <w:sz w:val="24"/>
        </w:rPr>
        <w:t>significativa</w:t>
      </w:r>
      <w:r w:rsidRPr="00395593">
        <w:rPr>
          <w:rFonts w:ascii="Garamond" w:hAnsi="Garamond"/>
          <w:spacing w:val="23"/>
          <w:sz w:val="24"/>
        </w:rPr>
        <w:t xml:space="preserve"> </w:t>
      </w:r>
      <w:r w:rsidRPr="00395593">
        <w:rPr>
          <w:rFonts w:ascii="Garamond" w:hAnsi="Garamond"/>
          <w:sz w:val="24"/>
        </w:rPr>
        <w:t>da</w:t>
      </w:r>
      <w:r w:rsidRPr="00395593">
        <w:rPr>
          <w:rFonts w:ascii="Garamond" w:hAnsi="Garamond"/>
          <w:spacing w:val="24"/>
          <w:sz w:val="24"/>
        </w:rPr>
        <w:t xml:space="preserve"> </w:t>
      </w:r>
      <w:r w:rsidRPr="00395593">
        <w:rPr>
          <w:rFonts w:ascii="Garamond" w:hAnsi="Garamond"/>
          <w:sz w:val="24"/>
        </w:rPr>
        <w:t>situação</w:t>
      </w:r>
      <w:r w:rsidRPr="00395593">
        <w:rPr>
          <w:rFonts w:ascii="Garamond" w:hAnsi="Garamond"/>
          <w:spacing w:val="-58"/>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uma indústria</w:t>
      </w:r>
      <w:r w:rsidRPr="00395593">
        <w:rPr>
          <w:rFonts w:ascii="Garamond" w:hAnsi="Garamond"/>
          <w:spacing w:val="-2"/>
          <w:sz w:val="24"/>
        </w:rPr>
        <w:t xml:space="preserve"> </w:t>
      </w:r>
      <w:r w:rsidRPr="00395593">
        <w:rPr>
          <w:rFonts w:ascii="Garamond" w:hAnsi="Garamond"/>
          <w:sz w:val="24"/>
        </w:rPr>
        <w:t>nacional.</w:t>
      </w:r>
    </w:p>
    <w:p w14:paraId="2C8DF0B2" w14:textId="77777777" w:rsidR="00D44A7A" w:rsidRPr="00395593" w:rsidRDefault="00D44A7A" w:rsidP="00D44A7A">
      <w:pPr>
        <w:pStyle w:val="Corpodetexto"/>
        <w:rPr>
          <w:rFonts w:ascii="Garamond" w:hAnsi="Garamond"/>
        </w:rPr>
      </w:pPr>
    </w:p>
    <w:p w14:paraId="5C57A8CA" w14:textId="77777777" w:rsidR="00D44A7A" w:rsidRPr="00395593" w:rsidRDefault="00D44A7A" w:rsidP="002C4340">
      <w:pPr>
        <w:pStyle w:val="PargrafodaLista"/>
        <w:widowControl w:val="0"/>
        <w:numPr>
          <w:ilvl w:val="1"/>
          <w:numId w:val="75"/>
        </w:numPr>
        <w:tabs>
          <w:tab w:val="left" w:pos="1377"/>
        </w:tabs>
        <w:autoSpaceDE w:val="0"/>
        <w:autoSpaceDN w:val="0"/>
        <w:spacing w:before="1" w:after="0" w:line="240" w:lineRule="auto"/>
        <w:ind w:right="161" w:firstLine="719"/>
        <w:contextualSpacing w:val="0"/>
        <w:jc w:val="both"/>
        <w:rPr>
          <w:rFonts w:ascii="Garamond" w:hAnsi="Garamond"/>
          <w:sz w:val="24"/>
        </w:rPr>
      </w:pPr>
      <w:r w:rsidRPr="00395593">
        <w:rPr>
          <w:rFonts w:ascii="Garamond" w:hAnsi="Garamond"/>
          <w:sz w:val="24"/>
        </w:rPr>
        <w:t>entender-se-á</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'ameaça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prejuízo</w:t>
      </w:r>
      <w:r w:rsidRPr="00395593">
        <w:rPr>
          <w:rFonts w:ascii="Garamond" w:hAnsi="Garamond"/>
          <w:spacing w:val="1"/>
          <w:sz w:val="24"/>
        </w:rPr>
        <w:t xml:space="preserve"> </w:t>
      </w:r>
      <w:r w:rsidRPr="00395593">
        <w:rPr>
          <w:rFonts w:ascii="Garamond" w:hAnsi="Garamond"/>
          <w:sz w:val="24"/>
        </w:rPr>
        <w:t>grave'</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prejuízo</w:t>
      </w:r>
      <w:r w:rsidRPr="00395593">
        <w:rPr>
          <w:rFonts w:ascii="Garamond" w:hAnsi="Garamond"/>
          <w:spacing w:val="1"/>
          <w:sz w:val="24"/>
        </w:rPr>
        <w:t xml:space="preserve"> </w:t>
      </w:r>
      <w:r w:rsidRPr="00395593">
        <w:rPr>
          <w:rFonts w:ascii="Garamond" w:hAnsi="Garamond"/>
          <w:sz w:val="24"/>
        </w:rPr>
        <w:t>grave</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seja</w:t>
      </w:r>
      <w:r w:rsidRPr="00395593">
        <w:rPr>
          <w:rFonts w:ascii="Garamond" w:hAnsi="Garamond"/>
          <w:spacing w:val="1"/>
          <w:sz w:val="24"/>
        </w:rPr>
        <w:t xml:space="preserve"> </w:t>
      </w:r>
      <w:r w:rsidRPr="00395593">
        <w:rPr>
          <w:rFonts w:ascii="Garamond" w:hAnsi="Garamond"/>
          <w:sz w:val="24"/>
        </w:rPr>
        <w:t>claramente iminente, de acordo com as disposições do parágrafo segundo. A determinação</w:t>
      </w:r>
      <w:r w:rsidRPr="00395593">
        <w:rPr>
          <w:rFonts w:ascii="Garamond" w:hAnsi="Garamond"/>
          <w:spacing w:val="1"/>
          <w:sz w:val="24"/>
        </w:rPr>
        <w:t xml:space="preserve"> </w:t>
      </w:r>
      <w:r w:rsidRPr="00395593">
        <w:rPr>
          <w:rFonts w:ascii="Garamond" w:hAnsi="Garamond"/>
          <w:sz w:val="24"/>
        </w:rPr>
        <w:t>de existência de uma ameaça de prejuízo grave será baseada em fatos e não simplesmente</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alegações, conjecturas ou possibilidades remotas; e</w:t>
      </w:r>
    </w:p>
    <w:p w14:paraId="29F33C34" w14:textId="77777777" w:rsidR="00D44A7A" w:rsidRPr="00395593" w:rsidRDefault="00D44A7A" w:rsidP="00D44A7A">
      <w:pPr>
        <w:pStyle w:val="Corpodetexto"/>
        <w:spacing w:before="11"/>
        <w:rPr>
          <w:rFonts w:ascii="Garamond" w:hAnsi="Garamond"/>
          <w:sz w:val="23"/>
        </w:rPr>
      </w:pPr>
    </w:p>
    <w:p w14:paraId="7359632A" w14:textId="77777777" w:rsidR="00D44A7A" w:rsidRPr="00395593" w:rsidRDefault="00D44A7A" w:rsidP="002C4340">
      <w:pPr>
        <w:pStyle w:val="PargrafodaLista"/>
        <w:widowControl w:val="0"/>
        <w:numPr>
          <w:ilvl w:val="1"/>
          <w:numId w:val="75"/>
        </w:numPr>
        <w:tabs>
          <w:tab w:val="left" w:pos="1295"/>
        </w:tabs>
        <w:autoSpaceDE w:val="0"/>
        <w:autoSpaceDN w:val="0"/>
        <w:spacing w:after="0" w:line="240" w:lineRule="auto"/>
        <w:ind w:right="161" w:firstLine="719"/>
        <w:contextualSpacing w:val="0"/>
        <w:jc w:val="both"/>
        <w:rPr>
          <w:rFonts w:ascii="Garamond" w:hAnsi="Garamond"/>
          <w:sz w:val="24"/>
        </w:rPr>
      </w:pPr>
      <w:r w:rsidRPr="00395593">
        <w:rPr>
          <w:rFonts w:ascii="Garamond" w:hAnsi="Garamond"/>
          <w:sz w:val="24"/>
        </w:rPr>
        <w:t>para fins de determinação da existência de prejuízo ou de ameaça de prejuízo</w:t>
      </w:r>
      <w:r w:rsidRPr="00395593">
        <w:rPr>
          <w:rFonts w:ascii="Garamond" w:hAnsi="Garamond"/>
          <w:spacing w:val="1"/>
          <w:sz w:val="24"/>
        </w:rPr>
        <w:t xml:space="preserve"> </w:t>
      </w:r>
      <w:r w:rsidRPr="00395593">
        <w:rPr>
          <w:rFonts w:ascii="Garamond" w:hAnsi="Garamond"/>
          <w:sz w:val="24"/>
        </w:rPr>
        <w:t>entender-se-á por 'indústria nacional' o</w:t>
      </w:r>
      <w:r w:rsidRPr="00395593">
        <w:rPr>
          <w:rFonts w:ascii="Garamond" w:hAnsi="Garamond"/>
          <w:spacing w:val="1"/>
          <w:sz w:val="24"/>
        </w:rPr>
        <w:t xml:space="preserve"> </w:t>
      </w:r>
      <w:r w:rsidRPr="00395593">
        <w:rPr>
          <w:rFonts w:ascii="Garamond" w:hAnsi="Garamond"/>
          <w:sz w:val="24"/>
        </w:rPr>
        <w:t>conjunto</w:t>
      </w:r>
      <w:r w:rsidRPr="00395593">
        <w:rPr>
          <w:rFonts w:ascii="Garamond" w:hAnsi="Garamond"/>
          <w:spacing w:val="1"/>
          <w:sz w:val="24"/>
        </w:rPr>
        <w:t xml:space="preserve"> </w:t>
      </w:r>
      <w:r w:rsidRPr="00395593">
        <w:rPr>
          <w:rFonts w:ascii="Garamond" w:hAnsi="Garamond"/>
          <w:sz w:val="24"/>
        </w:rPr>
        <w:t>dos</w:t>
      </w:r>
      <w:r w:rsidRPr="00395593">
        <w:rPr>
          <w:rFonts w:ascii="Garamond" w:hAnsi="Garamond"/>
          <w:spacing w:val="1"/>
          <w:sz w:val="24"/>
        </w:rPr>
        <w:t xml:space="preserve"> </w:t>
      </w:r>
      <w:r w:rsidRPr="00395593">
        <w:rPr>
          <w:rFonts w:ascii="Garamond" w:hAnsi="Garamond"/>
          <w:sz w:val="24"/>
        </w:rPr>
        <w:t>produtores</w:t>
      </w:r>
      <w:r w:rsidRPr="00395593">
        <w:rPr>
          <w:rFonts w:ascii="Garamond" w:hAnsi="Garamond"/>
          <w:spacing w:val="1"/>
          <w:sz w:val="24"/>
        </w:rPr>
        <w:t xml:space="preserve"> </w:t>
      </w:r>
      <w:r w:rsidRPr="00395593">
        <w:rPr>
          <w:rFonts w:ascii="Garamond" w:hAnsi="Garamond"/>
          <w:sz w:val="24"/>
        </w:rPr>
        <w:t>dos</w:t>
      </w:r>
      <w:r w:rsidRPr="00395593">
        <w:rPr>
          <w:rFonts w:ascii="Garamond" w:hAnsi="Garamond"/>
          <w:spacing w:val="1"/>
          <w:sz w:val="24"/>
        </w:rPr>
        <w:t xml:space="preserve"> </w:t>
      </w:r>
      <w:r w:rsidRPr="00395593">
        <w:rPr>
          <w:rFonts w:ascii="Garamond" w:hAnsi="Garamond"/>
          <w:sz w:val="24"/>
        </w:rPr>
        <w:t>bens</w:t>
      </w:r>
      <w:r w:rsidRPr="00395593">
        <w:rPr>
          <w:rFonts w:ascii="Garamond" w:hAnsi="Garamond"/>
          <w:spacing w:val="1"/>
          <w:sz w:val="24"/>
        </w:rPr>
        <w:t xml:space="preserve"> </w:t>
      </w:r>
      <w:r w:rsidRPr="00395593">
        <w:rPr>
          <w:rFonts w:ascii="Garamond" w:hAnsi="Garamond"/>
          <w:sz w:val="24"/>
        </w:rPr>
        <w:t>similares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diretamente</w:t>
      </w:r>
      <w:r w:rsidRPr="00395593">
        <w:rPr>
          <w:rFonts w:ascii="Garamond" w:hAnsi="Garamond"/>
          <w:spacing w:val="22"/>
          <w:sz w:val="24"/>
        </w:rPr>
        <w:t xml:space="preserve"> </w:t>
      </w:r>
      <w:r w:rsidRPr="00395593">
        <w:rPr>
          <w:rFonts w:ascii="Garamond" w:hAnsi="Garamond"/>
          <w:sz w:val="24"/>
        </w:rPr>
        <w:t>concorrentes</w:t>
      </w:r>
      <w:r w:rsidRPr="00395593">
        <w:rPr>
          <w:rFonts w:ascii="Garamond" w:hAnsi="Garamond"/>
          <w:spacing w:val="22"/>
          <w:sz w:val="24"/>
        </w:rPr>
        <w:t xml:space="preserve"> </w:t>
      </w:r>
      <w:r w:rsidRPr="00395593">
        <w:rPr>
          <w:rFonts w:ascii="Garamond" w:hAnsi="Garamond"/>
          <w:sz w:val="24"/>
        </w:rPr>
        <w:t>que</w:t>
      </w:r>
      <w:r w:rsidRPr="00395593">
        <w:rPr>
          <w:rFonts w:ascii="Garamond" w:hAnsi="Garamond"/>
          <w:spacing w:val="19"/>
          <w:sz w:val="24"/>
        </w:rPr>
        <w:t xml:space="preserve"> </w:t>
      </w:r>
      <w:r w:rsidRPr="00395593">
        <w:rPr>
          <w:rFonts w:ascii="Garamond" w:hAnsi="Garamond"/>
          <w:sz w:val="24"/>
        </w:rPr>
        <w:t>operem</w:t>
      </w:r>
      <w:r w:rsidRPr="00395593">
        <w:rPr>
          <w:rFonts w:ascii="Garamond" w:hAnsi="Garamond"/>
          <w:spacing w:val="20"/>
          <w:sz w:val="24"/>
        </w:rPr>
        <w:t xml:space="preserve"> </w:t>
      </w:r>
      <w:r w:rsidRPr="00395593">
        <w:rPr>
          <w:rFonts w:ascii="Garamond" w:hAnsi="Garamond"/>
          <w:sz w:val="24"/>
        </w:rPr>
        <w:t>dentro</w:t>
      </w:r>
      <w:r w:rsidRPr="00395593">
        <w:rPr>
          <w:rFonts w:ascii="Garamond" w:hAnsi="Garamond"/>
          <w:spacing w:val="20"/>
          <w:sz w:val="24"/>
        </w:rPr>
        <w:t xml:space="preserve"> </w:t>
      </w:r>
      <w:r w:rsidRPr="00395593">
        <w:rPr>
          <w:rFonts w:ascii="Garamond" w:hAnsi="Garamond"/>
          <w:sz w:val="24"/>
        </w:rPr>
        <w:t>do</w:t>
      </w:r>
      <w:r w:rsidRPr="00395593">
        <w:rPr>
          <w:rFonts w:ascii="Garamond" w:hAnsi="Garamond"/>
          <w:spacing w:val="21"/>
          <w:sz w:val="24"/>
        </w:rPr>
        <w:t xml:space="preserve"> </w:t>
      </w:r>
      <w:r w:rsidRPr="00395593">
        <w:rPr>
          <w:rFonts w:ascii="Garamond" w:hAnsi="Garamond"/>
          <w:sz w:val="24"/>
        </w:rPr>
        <w:t>território</w:t>
      </w:r>
      <w:r w:rsidRPr="00395593">
        <w:rPr>
          <w:rFonts w:ascii="Garamond" w:hAnsi="Garamond"/>
          <w:spacing w:val="20"/>
          <w:sz w:val="24"/>
        </w:rPr>
        <w:t xml:space="preserve"> </w:t>
      </w:r>
      <w:r w:rsidRPr="00395593">
        <w:rPr>
          <w:rFonts w:ascii="Garamond" w:hAnsi="Garamond"/>
          <w:sz w:val="24"/>
        </w:rPr>
        <w:t>de</w:t>
      </w:r>
      <w:r w:rsidRPr="00395593">
        <w:rPr>
          <w:rFonts w:ascii="Garamond" w:hAnsi="Garamond"/>
          <w:spacing w:val="21"/>
          <w:sz w:val="24"/>
        </w:rPr>
        <w:t xml:space="preserve"> </w:t>
      </w:r>
      <w:r w:rsidRPr="00395593">
        <w:rPr>
          <w:rFonts w:ascii="Garamond" w:hAnsi="Garamond"/>
          <w:sz w:val="24"/>
        </w:rPr>
        <w:t>um</w:t>
      </w:r>
      <w:r w:rsidRPr="00395593">
        <w:rPr>
          <w:rFonts w:ascii="Garamond" w:hAnsi="Garamond"/>
          <w:spacing w:val="20"/>
          <w:sz w:val="24"/>
        </w:rPr>
        <w:t xml:space="preserve"> </w:t>
      </w:r>
      <w:r w:rsidRPr="00395593">
        <w:rPr>
          <w:rFonts w:ascii="Garamond" w:hAnsi="Garamond"/>
          <w:sz w:val="24"/>
        </w:rPr>
        <w:t>Membro</w:t>
      </w:r>
      <w:r w:rsidRPr="00395593">
        <w:rPr>
          <w:rFonts w:ascii="Garamond" w:hAnsi="Garamond"/>
          <w:spacing w:val="22"/>
          <w:sz w:val="24"/>
        </w:rPr>
        <w:t xml:space="preserve"> </w:t>
      </w:r>
      <w:r w:rsidRPr="00395593">
        <w:rPr>
          <w:rFonts w:ascii="Garamond" w:hAnsi="Garamond"/>
          <w:sz w:val="24"/>
        </w:rPr>
        <w:t>ou</w:t>
      </w:r>
      <w:r w:rsidRPr="00395593">
        <w:rPr>
          <w:rFonts w:ascii="Garamond" w:hAnsi="Garamond"/>
          <w:spacing w:val="20"/>
          <w:sz w:val="24"/>
        </w:rPr>
        <w:t xml:space="preserve"> </w:t>
      </w:r>
      <w:r w:rsidRPr="00395593">
        <w:rPr>
          <w:rFonts w:ascii="Garamond" w:hAnsi="Garamond"/>
          <w:sz w:val="24"/>
        </w:rPr>
        <w:t>aqueles</w:t>
      </w:r>
      <w:r w:rsidRPr="00395593">
        <w:rPr>
          <w:rFonts w:ascii="Garamond" w:hAnsi="Garamond"/>
          <w:spacing w:val="21"/>
          <w:sz w:val="24"/>
        </w:rPr>
        <w:t xml:space="preserve"> </w:t>
      </w:r>
      <w:r w:rsidRPr="00395593">
        <w:rPr>
          <w:rFonts w:ascii="Garamond" w:hAnsi="Garamond"/>
          <w:sz w:val="24"/>
        </w:rPr>
        <w:t>cuja</w:t>
      </w:r>
    </w:p>
    <w:p w14:paraId="473E3F03" w14:textId="77777777" w:rsidR="00D44A7A" w:rsidRPr="00395593" w:rsidRDefault="00D44A7A" w:rsidP="00D44A7A">
      <w:pPr>
        <w:jc w:val="both"/>
        <w:rPr>
          <w:rFonts w:ascii="Garamond" w:hAnsi="Garamond"/>
          <w:sz w:val="24"/>
        </w:rPr>
        <w:sectPr w:rsidR="00D44A7A" w:rsidRPr="00395593" w:rsidSect="00E15FBB">
          <w:pgSz w:w="12240" w:h="15840"/>
          <w:pgMar w:top="1418" w:right="1540" w:bottom="280" w:left="1418" w:header="720" w:footer="720" w:gutter="0"/>
          <w:cols w:space="720"/>
        </w:sectPr>
      </w:pPr>
    </w:p>
    <w:p w14:paraId="3A044090" w14:textId="77777777" w:rsidR="00D44A7A" w:rsidRPr="00395593" w:rsidRDefault="00D44A7A" w:rsidP="00D44A7A">
      <w:pPr>
        <w:pStyle w:val="Corpodetexto"/>
        <w:spacing w:before="68"/>
        <w:ind w:left="222" w:right="157"/>
        <w:rPr>
          <w:rFonts w:ascii="Garamond" w:hAnsi="Garamond"/>
        </w:rPr>
      </w:pPr>
      <w:r w:rsidRPr="00395593">
        <w:rPr>
          <w:rFonts w:ascii="Garamond" w:hAnsi="Garamond"/>
        </w:rPr>
        <w:t>produção</w:t>
      </w:r>
      <w:r w:rsidRPr="00395593">
        <w:rPr>
          <w:rFonts w:ascii="Garamond" w:hAnsi="Garamond"/>
          <w:spacing w:val="12"/>
        </w:rPr>
        <w:t xml:space="preserve"> </w:t>
      </w:r>
      <w:r w:rsidRPr="00395593">
        <w:rPr>
          <w:rFonts w:ascii="Garamond" w:hAnsi="Garamond"/>
        </w:rPr>
        <w:t>conjunta</w:t>
      </w:r>
      <w:r w:rsidRPr="00395593">
        <w:rPr>
          <w:rFonts w:ascii="Garamond" w:hAnsi="Garamond"/>
          <w:spacing w:val="11"/>
        </w:rPr>
        <w:t xml:space="preserve"> </w:t>
      </w:r>
      <w:r w:rsidRPr="00395593">
        <w:rPr>
          <w:rFonts w:ascii="Garamond" w:hAnsi="Garamond"/>
        </w:rPr>
        <w:t>de</w:t>
      </w:r>
      <w:r w:rsidRPr="00395593">
        <w:rPr>
          <w:rFonts w:ascii="Garamond" w:hAnsi="Garamond"/>
          <w:spacing w:val="11"/>
        </w:rPr>
        <w:t xml:space="preserve"> </w:t>
      </w:r>
      <w:r w:rsidRPr="00395593">
        <w:rPr>
          <w:rFonts w:ascii="Garamond" w:hAnsi="Garamond"/>
        </w:rPr>
        <w:t>bens</w:t>
      </w:r>
      <w:r w:rsidRPr="00395593">
        <w:rPr>
          <w:rFonts w:ascii="Garamond" w:hAnsi="Garamond"/>
          <w:spacing w:val="13"/>
        </w:rPr>
        <w:t xml:space="preserve"> </w:t>
      </w:r>
      <w:r w:rsidRPr="00395593">
        <w:rPr>
          <w:rFonts w:ascii="Garamond" w:hAnsi="Garamond"/>
        </w:rPr>
        <w:t>similares</w:t>
      </w:r>
      <w:r w:rsidRPr="00395593">
        <w:rPr>
          <w:rFonts w:ascii="Garamond" w:hAnsi="Garamond"/>
          <w:spacing w:val="12"/>
        </w:rPr>
        <w:t xml:space="preserve"> </w:t>
      </w:r>
      <w:r w:rsidRPr="00395593">
        <w:rPr>
          <w:rFonts w:ascii="Garamond" w:hAnsi="Garamond"/>
        </w:rPr>
        <w:t>ou</w:t>
      </w:r>
      <w:r w:rsidRPr="00395593">
        <w:rPr>
          <w:rFonts w:ascii="Garamond" w:hAnsi="Garamond"/>
          <w:spacing w:val="12"/>
        </w:rPr>
        <w:t xml:space="preserve"> </w:t>
      </w:r>
      <w:r w:rsidRPr="00395593">
        <w:rPr>
          <w:rFonts w:ascii="Garamond" w:hAnsi="Garamond"/>
        </w:rPr>
        <w:t>diretamente</w:t>
      </w:r>
      <w:r w:rsidRPr="00395593">
        <w:rPr>
          <w:rFonts w:ascii="Garamond" w:hAnsi="Garamond"/>
          <w:spacing w:val="12"/>
        </w:rPr>
        <w:t xml:space="preserve"> </w:t>
      </w:r>
      <w:r w:rsidRPr="00395593">
        <w:rPr>
          <w:rFonts w:ascii="Garamond" w:hAnsi="Garamond"/>
        </w:rPr>
        <w:t>concorrentes</w:t>
      </w:r>
      <w:r w:rsidRPr="00395593">
        <w:rPr>
          <w:rFonts w:ascii="Garamond" w:hAnsi="Garamond"/>
          <w:spacing w:val="11"/>
        </w:rPr>
        <w:t xml:space="preserve"> </w:t>
      </w:r>
      <w:r w:rsidRPr="00395593">
        <w:rPr>
          <w:rFonts w:ascii="Garamond" w:hAnsi="Garamond"/>
        </w:rPr>
        <w:t>constitua</w:t>
      </w:r>
      <w:r w:rsidRPr="00395593">
        <w:rPr>
          <w:rFonts w:ascii="Garamond" w:hAnsi="Garamond"/>
          <w:spacing w:val="11"/>
        </w:rPr>
        <w:t xml:space="preserve"> </w:t>
      </w:r>
      <w:r w:rsidRPr="00395593">
        <w:rPr>
          <w:rFonts w:ascii="Garamond" w:hAnsi="Garamond"/>
        </w:rPr>
        <w:t>uma</w:t>
      </w:r>
      <w:r w:rsidRPr="00395593">
        <w:rPr>
          <w:rFonts w:ascii="Garamond" w:hAnsi="Garamond"/>
          <w:spacing w:val="12"/>
        </w:rPr>
        <w:t xml:space="preserve"> </w:t>
      </w:r>
      <w:r w:rsidRPr="00395593">
        <w:rPr>
          <w:rFonts w:ascii="Garamond" w:hAnsi="Garamond"/>
        </w:rPr>
        <w:t>proporção</w:t>
      </w:r>
      <w:r w:rsidRPr="00395593">
        <w:rPr>
          <w:rFonts w:ascii="Garamond" w:hAnsi="Garamond"/>
          <w:spacing w:val="-57"/>
        </w:rPr>
        <w:t xml:space="preserve"> </w:t>
      </w:r>
      <w:r w:rsidRPr="00395593">
        <w:rPr>
          <w:rFonts w:ascii="Garamond" w:hAnsi="Garamond"/>
        </w:rPr>
        <w:t>substancial</w:t>
      </w:r>
      <w:r w:rsidRPr="00395593">
        <w:rPr>
          <w:rFonts w:ascii="Garamond" w:hAnsi="Garamond"/>
          <w:spacing w:val="-1"/>
        </w:rPr>
        <w:t xml:space="preserve"> </w:t>
      </w:r>
      <w:r w:rsidRPr="00395593">
        <w:rPr>
          <w:rFonts w:ascii="Garamond" w:hAnsi="Garamond"/>
        </w:rPr>
        <w:t>da</w:t>
      </w:r>
      <w:r w:rsidRPr="00395593">
        <w:rPr>
          <w:rFonts w:ascii="Garamond" w:hAnsi="Garamond"/>
          <w:spacing w:val="-1"/>
        </w:rPr>
        <w:t xml:space="preserve"> </w:t>
      </w:r>
      <w:r w:rsidRPr="00395593">
        <w:rPr>
          <w:rFonts w:ascii="Garamond" w:hAnsi="Garamond"/>
        </w:rPr>
        <w:t>produção</w:t>
      </w:r>
      <w:r w:rsidRPr="00395593">
        <w:rPr>
          <w:rFonts w:ascii="Garamond" w:hAnsi="Garamond"/>
          <w:spacing w:val="2"/>
        </w:rPr>
        <w:t xml:space="preserve"> </w:t>
      </w:r>
      <w:r w:rsidRPr="00395593">
        <w:rPr>
          <w:rFonts w:ascii="Garamond" w:hAnsi="Garamond"/>
        </w:rPr>
        <w:t>nacional de</w:t>
      </w:r>
      <w:r w:rsidRPr="00395593">
        <w:rPr>
          <w:rFonts w:ascii="Garamond" w:hAnsi="Garamond"/>
          <w:spacing w:val="-1"/>
        </w:rPr>
        <w:t xml:space="preserve"> </w:t>
      </w:r>
      <w:r w:rsidRPr="00395593">
        <w:rPr>
          <w:rFonts w:ascii="Garamond" w:hAnsi="Garamond"/>
        </w:rPr>
        <w:t>tais bens.</w:t>
      </w:r>
    </w:p>
    <w:p w14:paraId="502DB26C" w14:textId="77777777" w:rsidR="00D44A7A" w:rsidRPr="00395593" w:rsidRDefault="00D44A7A" w:rsidP="00D44A7A">
      <w:pPr>
        <w:pStyle w:val="Corpodetexto"/>
        <w:rPr>
          <w:rFonts w:ascii="Garamond" w:hAnsi="Garamond"/>
        </w:rPr>
      </w:pPr>
    </w:p>
    <w:p w14:paraId="0422B879" w14:textId="77777777" w:rsidR="00D44A7A" w:rsidRPr="00395593" w:rsidRDefault="00D44A7A" w:rsidP="002C4340">
      <w:pPr>
        <w:pStyle w:val="PargrafodaLista"/>
        <w:widowControl w:val="0"/>
        <w:numPr>
          <w:ilvl w:val="0"/>
          <w:numId w:val="75"/>
        </w:numPr>
        <w:tabs>
          <w:tab w:val="left" w:pos="930"/>
        </w:tabs>
        <w:autoSpaceDE w:val="0"/>
        <w:autoSpaceDN w:val="0"/>
        <w:spacing w:after="0" w:line="240" w:lineRule="auto"/>
        <w:ind w:left="222" w:right="160" w:firstLine="0"/>
        <w:contextualSpacing w:val="0"/>
        <w:jc w:val="both"/>
        <w:rPr>
          <w:rFonts w:ascii="Garamond" w:hAnsi="Garamond"/>
          <w:sz w:val="24"/>
        </w:rPr>
      </w:pPr>
      <w:r w:rsidRPr="00395593">
        <w:rPr>
          <w:rFonts w:ascii="Garamond" w:hAnsi="Garamond"/>
          <w:sz w:val="24"/>
        </w:rPr>
        <w:t>(a) No curso da investigação destinada a determinar se o aumento das importações</w:t>
      </w:r>
      <w:r w:rsidRPr="00395593">
        <w:rPr>
          <w:rFonts w:ascii="Garamond" w:hAnsi="Garamond"/>
          <w:spacing w:val="1"/>
          <w:sz w:val="24"/>
        </w:rPr>
        <w:t xml:space="preserve"> </w:t>
      </w:r>
      <w:r w:rsidRPr="00395593">
        <w:rPr>
          <w:rFonts w:ascii="Garamond" w:hAnsi="Garamond"/>
          <w:sz w:val="24"/>
        </w:rPr>
        <w:t>tem causado ou ameaçam causar prejuízo grave a uma indústria nacional, nos termos do</w:t>
      </w:r>
      <w:r w:rsidRPr="00395593">
        <w:rPr>
          <w:rFonts w:ascii="Garamond" w:hAnsi="Garamond"/>
          <w:spacing w:val="1"/>
          <w:sz w:val="24"/>
        </w:rPr>
        <w:t xml:space="preserve"> </w:t>
      </w:r>
      <w:r w:rsidRPr="00395593">
        <w:rPr>
          <w:rFonts w:ascii="Garamond" w:hAnsi="Garamond"/>
          <w:sz w:val="24"/>
        </w:rPr>
        <w:t>presente</w:t>
      </w:r>
      <w:r w:rsidRPr="00395593">
        <w:rPr>
          <w:rFonts w:ascii="Garamond" w:hAnsi="Garamond"/>
          <w:spacing w:val="1"/>
          <w:sz w:val="24"/>
        </w:rPr>
        <w:t xml:space="preserve"> </w:t>
      </w:r>
      <w:r w:rsidRPr="00395593">
        <w:rPr>
          <w:rFonts w:ascii="Garamond" w:hAnsi="Garamond"/>
          <w:sz w:val="24"/>
        </w:rPr>
        <w:t>Acordo,</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autoridades</w:t>
      </w:r>
      <w:r w:rsidRPr="00395593">
        <w:rPr>
          <w:rFonts w:ascii="Garamond" w:hAnsi="Garamond"/>
          <w:spacing w:val="1"/>
          <w:sz w:val="24"/>
        </w:rPr>
        <w:t xml:space="preserve"> </w:t>
      </w:r>
      <w:r w:rsidRPr="00395593">
        <w:rPr>
          <w:rFonts w:ascii="Garamond" w:hAnsi="Garamond"/>
          <w:sz w:val="24"/>
        </w:rPr>
        <w:t>competentes</w:t>
      </w:r>
      <w:r w:rsidRPr="00395593">
        <w:rPr>
          <w:rFonts w:ascii="Garamond" w:hAnsi="Garamond"/>
          <w:spacing w:val="1"/>
          <w:sz w:val="24"/>
        </w:rPr>
        <w:t xml:space="preserve"> </w:t>
      </w:r>
      <w:r w:rsidRPr="00395593">
        <w:rPr>
          <w:rFonts w:ascii="Garamond" w:hAnsi="Garamond"/>
          <w:sz w:val="24"/>
        </w:rPr>
        <w:t>avaliarão</w:t>
      </w:r>
      <w:r w:rsidRPr="00395593">
        <w:rPr>
          <w:rFonts w:ascii="Garamond" w:hAnsi="Garamond"/>
          <w:spacing w:val="1"/>
          <w:sz w:val="24"/>
        </w:rPr>
        <w:t xml:space="preserve"> </w:t>
      </w:r>
      <w:r w:rsidRPr="00395593">
        <w:rPr>
          <w:rFonts w:ascii="Garamond" w:hAnsi="Garamond"/>
          <w:sz w:val="24"/>
        </w:rPr>
        <w:t>todos</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fatores</w:t>
      </w:r>
      <w:r w:rsidRPr="00395593">
        <w:rPr>
          <w:rFonts w:ascii="Garamond" w:hAnsi="Garamond"/>
          <w:spacing w:val="1"/>
          <w:sz w:val="24"/>
        </w:rPr>
        <w:t xml:space="preserve"> </w:t>
      </w:r>
      <w:r w:rsidRPr="00395593">
        <w:rPr>
          <w:rFonts w:ascii="Garamond" w:hAnsi="Garamond"/>
          <w:sz w:val="24"/>
        </w:rPr>
        <w:t>relevantes</w:t>
      </w:r>
      <w:r w:rsidRPr="00395593">
        <w:rPr>
          <w:rFonts w:ascii="Garamond" w:hAnsi="Garamond"/>
          <w:spacing w:val="60"/>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caráter</w:t>
      </w:r>
      <w:r w:rsidRPr="00395593">
        <w:rPr>
          <w:rFonts w:ascii="Garamond" w:hAnsi="Garamond"/>
          <w:spacing w:val="1"/>
          <w:sz w:val="24"/>
        </w:rPr>
        <w:t xml:space="preserve"> </w:t>
      </w:r>
      <w:r w:rsidRPr="00395593">
        <w:rPr>
          <w:rFonts w:ascii="Garamond" w:hAnsi="Garamond"/>
          <w:sz w:val="24"/>
        </w:rPr>
        <w:t>objetivo</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quantificável</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tenham</w:t>
      </w:r>
      <w:r w:rsidRPr="00395593">
        <w:rPr>
          <w:rFonts w:ascii="Garamond" w:hAnsi="Garamond"/>
          <w:spacing w:val="1"/>
          <w:sz w:val="24"/>
        </w:rPr>
        <w:t xml:space="preserve"> </w:t>
      </w:r>
      <w:r w:rsidRPr="00395593">
        <w:rPr>
          <w:rFonts w:ascii="Garamond" w:hAnsi="Garamond"/>
          <w:sz w:val="24"/>
        </w:rPr>
        <w:t>relação</w:t>
      </w:r>
      <w:r w:rsidRPr="00395593">
        <w:rPr>
          <w:rFonts w:ascii="Garamond" w:hAnsi="Garamond"/>
          <w:spacing w:val="1"/>
          <w:sz w:val="24"/>
        </w:rPr>
        <w:t xml:space="preserve"> </w:t>
      </w:r>
      <w:r w:rsidRPr="00395593">
        <w:rPr>
          <w:rFonts w:ascii="Garamond" w:hAnsi="Garamond"/>
          <w:sz w:val="24"/>
        </w:rPr>
        <w:t>com</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situação</w:t>
      </w:r>
      <w:r w:rsidRPr="00395593">
        <w:rPr>
          <w:rFonts w:ascii="Garamond" w:hAnsi="Garamond"/>
          <w:spacing w:val="1"/>
          <w:sz w:val="24"/>
        </w:rPr>
        <w:t xml:space="preserve"> </w:t>
      </w:r>
      <w:r w:rsidRPr="00395593">
        <w:rPr>
          <w:rFonts w:ascii="Garamond" w:hAnsi="Garamond"/>
          <w:sz w:val="24"/>
        </w:rPr>
        <w:t>daquela</w:t>
      </w:r>
      <w:r w:rsidRPr="00395593">
        <w:rPr>
          <w:rFonts w:ascii="Garamond" w:hAnsi="Garamond"/>
          <w:spacing w:val="1"/>
          <w:sz w:val="24"/>
        </w:rPr>
        <w:t xml:space="preserve"> </w:t>
      </w:r>
      <w:r w:rsidRPr="00395593">
        <w:rPr>
          <w:rFonts w:ascii="Garamond" w:hAnsi="Garamond"/>
          <w:sz w:val="24"/>
        </w:rPr>
        <w:t>indústria,</w:t>
      </w:r>
      <w:r w:rsidRPr="00395593">
        <w:rPr>
          <w:rFonts w:ascii="Garamond" w:hAnsi="Garamond"/>
          <w:spacing w:val="-57"/>
          <w:sz w:val="24"/>
        </w:rPr>
        <w:t xml:space="preserve"> </w:t>
      </w:r>
      <w:r w:rsidRPr="00395593">
        <w:rPr>
          <w:rFonts w:ascii="Garamond" w:hAnsi="Garamond"/>
          <w:sz w:val="24"/>
        </w:rPr>
        <w:t>especialmente o ritmo de crescimento das importações do produto considerado, bem como</w:t>
      </w:r>
      <w:r w:rsidRPr="00395593">
        <w:rPr>
          <w:rFonts w:ascii="Garamond" w:hAnsi="Garamond"/>
          <w:spacing w:val="1"/>
          <w:sz w:val="24"/>
        </w:rPr>
        <w:t xml:space="preserve"> </w:t>
      </w:r>
      <w:r w:rsidRPr="00395593">
        <w:rPr>
          <w:rFonts w:ascii="Garamond" w:hAnsi="Garamond"/>
          <w:sz w:val="24"/>
        </w:rPr>
        <w:t>seu crescimento em volume, em termos absolutos e relativos, a parcela do mercado interno</w:t>
      </w:r>
      <w:r w:rsidRPr="00395593">
        <w:rPr>
          <w:rFonts w:ascii="Garamond" w:hAnsi="Garamond"/>
          <w:spacing w:val="1"/>
          <w:sz w:val="24"/>
        </w:rPr>
        <w:t xml:space="preserve"> </w:t>
      </w:r>
      <w:r w:rsidRPr="00395593">
        <w:rPr>
          <w:rFonts w:ascii="Garamond" w:hAnsi="Garamond"/>
          <w:sz w:val="24"/>
        </w:rPr>
        <w:t>absorvida pelas importações em acréscimo, as alterações no nível de vendas, a produção, a</w:t>
      </w:r>
      <w:r w:rsidRPr="00395593">
        <w:rPr>
          <w:rFonts w:ascii="Garamond" w:hAnsi="Garamond"/>
          <w:spacing w:val="1"/>
          <w:sz w:val="24"/>
        </w:rPr>
        <w:t xml:space="preserve"> </w:t>
      </w:r>
      <w:r w:rsidRPr="00395593">
        <w:rPr>
          <w:rFonts w:ascii="Garamond" w:hAnsi="Garamond"/>
          <w:sz w:val="24"/>
        </w:rPr>
        <w:t>produtividade,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utilização da</w:t>
      </w:r>
      <w:r w:rsidRPr="00395593">
        <w:rPr>
          <w:rFonts w:ascii="Garamond" w:hAnsi="Garamond"/>
          <w:spacing w:val="-1"/>
          <w:sz w:val="24"/>
        </w:rPr>
        <w:t xml:space="preserve"> </w:t>
      </w:r>
      <w:r w:rsidRPr="00395593">
        <w:rPr>
          <w:rFonts w:ascii="Garamond" w:hAnsi="Garamond"/>
          <w:sz w:val="24"/>
        </w:rPr>
        <w:t>capacidade, os</w:t>
      </w:r>
      <w:r w:rsidRPr="00395593">
        <w:rPr>
          <w:rFonts w:ascii="Garamond" w:hAnsi="Garamond"/>
          <w:spacing w:val="-1"/>
          <w:sz w:val="24"/>
        </w:rPr>
        <w:t xml:space="preserve"> </w:t>
      </w:r>
      <w:r w:rsidRPr="00395593">
        <w:rPr>
          <w:rFonts w:ascii="Garamond" w:hAnsi="Garamond"/>
          <w:sz w:val="24"/>
        </w:rPr>
        <w:t>lucros e</w:t>
      </w:r>
      <w:r w:rsidRPr="00395593">
        <w:rPr>
          <w:rFonts w:ascii="Garamond" w:hAnsi="Garamond"/>
          <w:spacing w:val="-1"/>
          <w:sz w:val="24"/>
        </w:rPr>
        <w:t xml:space="preserve"> </w:t>
      </w:r>
      <w:r w:rsidRPr="00395593">
        <w:rPr>
          <w:rFonts w:ascii="Garamond" w:hAnsi="Garamond"/>
          <w:sz w:val="24"/>
        </w:rPr>
        <w:t>perdas</w:t>
      </w:r>
      <w:r w:rsidRPr="00395593">
        <w:rPr>
          <w:rFonts w:ascii="Garamond" w:hAnsi="Garamond"/>
          <w:spacing w:val="2"/>
          <w:sz w:val="24"/>
        </w:rPr>
        <w:t xml:space="preserve"> </w:t>
      </w:r>
      <w:r w:rsidRPr="00395593">
        <w:rPr>
          <w:rFonts w:ascii="Garamond" w:hAnsi="Garamond"/>
          <w:sz w:val="24"/>
        </w:rPr>
        <w:t>e</w:t>
      </w:r>
      <w:r w:rsidRPr="00395593">
        <w:rPr>
          <w:rFonts w:ascii="Garamond" w:hAnsi="Garamond"/>
          <w:spacing w:val="-2"/>
          <w:sz w:val="24"/>
        </w:rPr>
        <w:t xml:space="preserve"> </w:t>
      </w:r>
      <w:r w:rsidRPr="00395593">
        <w:rPr>
          <w:rFonts w:ascii="Garamond" w:hAnsi="Garamond"/>
          <w:sz w:val="24"/>
        </w:rPr>
        <w:t>o emprego.</w:t>
      </w:r>
    </w:p>
    <w:p w14:paraId="430BA843" w14:textId="77777777" w:rsidR="00D44A7A" w:rsidRPr="00395593" w:rsidRDefault="00D44A7A" w:rsidP="00D44A7A">
      <w:pPr>
        <w:pStyle w:val="Corpodetexto"/>
        <w:rPr>
          <w:rFonts w:ascii="Garamond" w:hAnsi="Garamond"/>
        </w:rPr>
      </w:pPr>
    </w:p>
    <w:p w14:paraId="3142F5EC" w14:textId="77777777" w:rsidR="00D44A7A" w:rsidRPr="00395593" w:rsidRDefault="00D44A7A" w:rsidP="002C4340">
      <w:pPr>
        <w:pStyle w:val="PargrafodaLista"/>
        <w:widowControl w:val="0"/>
        <w:numPr>
          <w:ilvl w:val="0"/>
          <w:numId w:val="74"/>
        </w:numPr>
        <w:tabs>
          <w:tab w:val="left" w:pos="1281"/>
        </w:tabs>
        <w:autoSpaceDE w:val="0"/>
        <w:autoSpaceDN w:val="0"/>
        <w:spacing w:after="0" w:line="240" w:lineRule="auto"/>
        <w:ind w:right="161" w:firstLine="719"/>
        <w:contextualSpacing w:val="0"/>
        <w:jc w:val="both"/>
        <w:rPr>
          <w:rFonts w:ascii="Garamond" w:hAnsi="Garamond"/>
          <w:sz w:val="24"/>
        </w:rPr>
      </w:pPr>
      <w:r w:rsidRPr="00395593">
        <w:rPr>
          <w:rFonts w:ascii="Garamond" w:hAnsi="Garamond"/>
          <w:sz w:val="24"/>
        </w:rPr>
        <w:t>Não se procederá à determinação a que se refere o subparágrafo (a), a menos que</w:t>
      </w:r>
      <w:r w:rsidRPr="00395593">
        <w:rPr>
          <w:rFonts w:ascii="Garamond" w:hAnsi="Garamond"/>
          <w:spacing w:val="-57"/>
          <w:sz w:val="24"/>
        </w:rPr>
        <w:t xml:space="preserve"> </w:t>
      </w:r>
      <w:r w:rsidRPr="00395593">
        <w:rPr>
          <w:rFonts w:ascii="Garamond" w:hAnsi="Garamond"/>
          <w:sz w:val="24"/>
        </w:rPr>
        <w:t>a investigação demonstre , com base em provas objetivas, a existência de um nexo de</w:t>
      </w:r>
      <w:r w:rsidRPr="00395593">
        <w:rPr>
          <w:rFonts w:ascii="Garamond" w:hAnsi="Garamond"/>
          <w:spacing w:val="1"/>
          <w:sz w:val="24"/>
        </w:rPr>
        <w:t xml:space="preserve"> </w:t>
      </w:r>
      <w:r w:rsidRPr="00395593">
        <w:rPr>
          <w:rFonts w:ascii="Garamond" w:hAnsi="Garamond"/>
          <w:sz w:val="24"/>
        </w:rPr>
        <w:t>causalidade entre o aumento das importações do produto em questão e o prejuízo grave oiu</w:t>
      </w:r>
      <w:r w:rsidRPr="00395593">
        <w:rPr>
          <w:rFonts w:ascii="Garamond" w:hAnsi="Garamond"/>
          <w:spacing w:val="1"/>
          <w:sz w:val="24"/>
        </w:rPr>
        <w:t xml:space="preserve"> </w:t>
      </w:r>
      <w:r w:rsidRPr="00395593">
        <w:rPr>
          <w:rFonts w:ascii="Garamond" w:hAnsi="Garamond"/>
          <w:sz w:val="24"/>
        </w:rPr>
        <w:t>a ameaça de prejuízo grave. Quando outros fatores que não o aumento das importações</w:t>
      </w:r>
      <w:r w:rsidRPr="00395593">
        <w:rPr>
          <w:rFonts w:ascii="Garamond" w:hAnsi="Garamond"/>
          <w:spacing w:val="1"/>
          <w:sz w:val="24"/>
        </w:rPr>
        <w:t xml:space="preserve"> </w:t>
      </w:r>
      <w:r w:rsidRPr="00395593">
        <w:rPr>
          <w:rFonts w:ascii="Garamond" w:hAnsi="Garamond"/>
          <w:sz w:val="24"/>
        </w:rPr>
        <w:t>estiverem simultaneamente causando prejuízo à indústria nacional, tal prejuízo não poderá</w:t>
      </w:r>
      <w:r w:rsidRPr="00395593">
        <w:rPr>
          <w:rFonts w:ascii="Garamond" w:hAnsi="Garamond"/>
          <w:spacing w:val="1"/>
          <w:sz w:val="24"/>
        </w:rPr>
        <w:t xml:space="preserve"> </w:t>
      </w:r>
      <w:r w:rsidRPr="00395593">
        <w:rPr>
          <w:rFonts w:ascii="Garamond" w:hAnsi="Garamond"/>
          <w:sz w:val="24"/>
        </w:rPr>
        <w:t>ser</w:t>
      </w:r>
      <w:r w:rsidRPr="00395593">
        <w:rPr>
          <w:rFonts w:ascii="Garamond" w:hAnsi="Garamond"/>
          <w:spacing w:val="-1"/>
          <w:sz w:val="24"/>
        </w:rPr>
        <w:t xml:space="preserve"> </w:t>
      </w:r>
      <w:r w:rsidRPr="00395593">
        <w:rPr>
          <w:rFonts w:ascii="Garamond" w:hAnsi="Garamond"/>
          <w:sz w:val="24"/>
        </w:rPr>
        <w:t>atribuído ao aumento das importações.</w:t>
      </w:r>
    </w:p>
    <w:p w14:paraId="70E12191" w14:textId="77777777" w:rsidR="00D44A7A" w:rsidRPr="00395593" w:rsidRDefault="00D44A7A" w:rsidP="00D44A7A">
      <w:pPr>
        <w:pStyle w:val="Corpodetexto"/>
        <w:spacing w:before="1"/>
        <w:rPr>
          <w:rFonts w:ascii="Garamond" w:hAnsi="Garamond"/>
        </w:rPr>
      </w:pPr>
    </w:p>
    <w:p w14:paraId="07D1B8C8" w14:textId="77777777" w:rsidR="00D44A7A" w:rsidRPr="00395593" w:rsidRDefault="00D44A7A" w:rsidP="002C4340">
      <w:pPr>
        <w:pStyle w:val="PargrafodaLista"/>
        <w:widowControl w:val="0"/>
        <w:numPr>
          <w:ilvl w:val="0"/>
          <w:numId w:val="74"/>
        </w:numPr>
        <w:tabs>
          <w:tab w:val="left" w:pos="1273"/>
        </w:tabs>
        <w:autoSpaceDE w:val="0"/>
        <w:autoSpaceDN w:val="0"/>
        <w:spacing w:after="0" w:line="240" w:lineRule="auto"/>
        <w:ind w:right="164" w:firstLine="719"/>
        <w:contextualSpacing w:val="0"/>
        <w:jc w:val="both"/>
        <w:rPr>
          <w:rFonts w:ascii="Garamond" w:hAnsi="Garamond"/>
          <w:sz w:val="24"/>
        </w:rPr>
      </w:pPr>
      <w:r w:rsidRPr="00395593">
        <w:rPr>
          <w:rFonts w:ascii="Garamond" w:hAnsi="Garamond"/>
          <w:sz w:val="24"/>
        </w:rPr>
        <w:t>As autoridades competentes providenciarão com presteza, de conformidade com</w:t>
      </w:r>
      <w:r w:rsidRPr="00395593">
        <w:rPr>
          <w:rFonts w:ascii="Garamond" w:hAnsi="Garamond"/>
          <w:spacing w:val="1"/>
          <w:sz w:val="24"/>
        </w:rPr>
        <w:t xml:space="preserve"> </w:t>
      </w:r>
      <w:r w:rsidRPr="00395593">
        <w:rPr>
          <w:rFonts w:ascii="Garamond" w:hAnsi="Garamond"/>
          <w:sz w:val="24"/>
        </w:rPr>
        <w:t>as disposições do Artigo 3, a publicação de uma análise pormenorizada do caso que está</w:t>
      </w:r>
      <w:r w:rsidRPr="00395593">
        <w:rPr>
          <w:rFonts w:ascii="Garamond" w:hAnsi="Garamond"/>
          <w:spacing w:val="1"/>
          <w:sz w:val="24"/>
        </w:rPr>
        <w:t xml:space="preserve"> </w:t>
      </w:r>
      <w:r w:rsidRPr="00395593">
        <w:rPr>
          <w:rFonts w:ascii="Garamond" w:hAnsi="Garamond"/>
          <w:sz w:val="24"/>
        </w:rPr>
        <w:t>sendo</w:t>
      </w:r>
      <w:r w:rsidRPr="00395593">
        <w:rPr>
          <w:rFonts w:ascii="Garamond" w:hAnsi="Garamond"/>
          <w:spacing w:val="1"/>
          <w:sz w:val="24"/>
        </w:rPr>
        <w:t xml:space="preserve"> </w:t>
      </w:r>
      <w:r w:rsidRPr="00395593">
        <w:rPr>
          <w:rFonts w:ascii="Garamond" w:hAnsi="Garamond"/>
          <w:sz w:val="24"/>
        </w:rPr>
        <w:t>objeto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investigação,</w:t>
      </w:r>
      <w:r w:rsidRPr="00395593">
        <w:rPr>
          <w:rFonts w:ascii="Garamond" w:hAnsi="Garamond"/>
          <w:spacing w:val="1"/>
          <w:sz w:val="24"/>
        </w:rPr>
        <w:t xml:space="preserve"> </w:t>
      </w:r>
      <w:r w:rsidRPr="00395593">
        <w:rPr>
          <w:rFonts w:ascii="Garamond" w:hAnsi="Garamond"/>
          <w:sz w:val="24"/>
        </w:rPr>
        <w:t>bem</w:t>
      </w:r>
      <w:r w:rsidRPr="00395593">
        <w:rPr>
          <w:rFonts w:ascii="Garamond" w:hAnsi="Garamond"/>
          <w:spacing w:val="1"/>
          <w:sz w:val="24"/>
        </w:rPr>
        <w:t xml:space="preserve"> </w:t>
      </w:r>
      <w:r w:rsidRPr="00395593">
        <w:rPr>
          <w:rFonts w:ascii="Garamond" w:hAnsi="Garamond"/>
          <w:sz w:val="24"/>
        </w:rPr>
        <w:t>como</w:t>
      </w:r>
      <w:r w:rsidRPr="00395593">
        <w:rPr>
          <w:rFonts w:ascii="Garamond" w:hAnsi="Garamond"/>
          <w:spacing w:val="1"/>
          <w:sz w:val="24"/>
        </w:rPr>
        <w:t xml:space="preserve"> </w:t>
      </w:r>
      <w:r w:rsidRPr="00395593">
        <w:rPr>
          <w:rFonts w:ascii="Garamond" w:hAnsi="Garamond"/>
          <w:sz w:val="24"/>
        </w:rPr>
        <w:t>uma</w:t>
      </w:r>
      <w:r w:rsidRPr="00395593">
        <w:rPr>
          <w:rFonts w:ascii="Garamond" w:hAnsi="Garamond"/>
          <w:spacing w:val="1"/>
          <w:sz w:val="24"/>
        </w:rPr>
        <w:t xml:space="preserve"> </w:t>
      </w:r>
      <w:r w:rsidRPr="00395593">
        <w:rPr>
          <w:rFonts w:ascii="Garamond" w:hAnsi="Garamond"/>
          <w:sz w:val="24"/>
        </w:rPr>
        <w:t>demonstração</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relevância dos</w:t>
      </w:r>
      <w:r w:rsidRPr="00395593">
        <w:rPr>
          <w:rFonts w:ascii="Garamond" w:hAnsi="Garamond"/>
          <w:spacing w:val="1"/>
          <w:sz w:val="24"/>
        </w:rPr>
        <w:t xml:space="preserve"> </w:t>
      </w:r>
      <w:r w:rsidRPr="00395593">
        <w:rPr>
          <w:rFonts w:ascii="Garamond" w:hAnsi="Garamond"/>
          <w:sz w:val="24"/>
        </w:rPr>
        <w:t>fatores</w:t>
      </w:r>
      <w:r w:rsidRPr="00395593">
        <w:rPr>
          <w:rFonts w:ascii="Garamond" w:hAnsi="Garamond"/>
          <w:spacing w:val="-57"/>
          <w:sz w:val="24"/>
        </w:rPr>
        <w:t xml:space="preserve"> </w:t>
      </w:r>
      <w:r w:rsidRPr="00395593">
        <w:rPr>
          <w:rFonts w:ascii="Garamond" w:hAnsi="Garamond"/>
          <w:sz w:val="24"/>
        </w:rPr>
        <w:t>examinados.</w:t>
      </w:r>
    </w:p>
    <w:p w14:paraId="13AA82F0" w14:textId="77777777" w:rsidR="00D44A7A" w:rsidRPr="00395593" w:rsidRDefault="00D44A7A" w:rsidP="00D44A7A">
      <w:pPr>
        <w:pStyle w:val="Corpodetexto"/>
        <w:rPr>
          <w:rFonts w:ascii="Garamond" w:hAnsi="Garamond"/>
        </w:rPr>
      </w:pPr>
    </w:p>
    <w:p w14:paraId="0F6DE019" w14:textId="77777777" w:rsidR="00D44A7A" w:rsidRPr="00395593" w:rsidRDefault="00D44A7A" w:rsidP="00D44A7A">
      <w:pPr>
        <w:pStyle w:val="Corpodetexto"/>
        <w:spacing w:line="360" w:lineRule="auto"/>
        <w:ind w:left="1318" w:right="1259"/>
        <w:jc w:val="center"/>
        <w:rPr>
          <w:rFonts w:ascii="Garamond" w:hAnsi="Garamond"/>
          <w:b/>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5</w:t>
      </w:r>
    </w:p>
    <w:p w14:paraId="053AC753" w14:textId="77777777" w:rsidR="00D44A7A" w:rsidRPr="00395593" w:rsidRDefault="00D44A7A" w:rsidP="00D44A7A">
      <w:pPr>
        <w:pStyle w:val="Corpodetexto"/>
        <w:spacing w:before="1" w:line="360" w:lineRule="auto"/>
        <w:ind w:left="1318" w:right="1261"/>
        <w:jc w:val="center"/>
        <w:rPr>
          <w:rFonts w:ascii="Garamond" w:hAnsi="Garamond"/>
        </w:rPr>
      </w:pPr>
      <w:r w:rsidRPr="00395593">
        <w:rPr>
          <w:rFonts w:ascii="Garamond" w:hAnsi="Garamond"/>
          <w:b/>
        </w:rPr>
        <w:t>Aplicação</w:t>
      </w:r>
      <w:r w:rsidRPr="00395593">
        <w:rPr>
          <w:rFonts w:ascii="Garamond" w:hAnsi="Garamond"/>
          <w:b/>
          <w:spacing w:val="-1"/>
        </w:rPr>
        <w:t xml:space="preserve"> </w:t>
      </w:r>
      <w:r w:rsidRPr="00395593">
        <w:rPr>
          <w:rFonts w:ascii="Garamond" w:hAnsi="Garamond"/>
          <w:b/>
        </w:rPr>
        <w:t>de</w:t>
      </w:r>
      <w:r w:rsidRPr="00395593">
        <w:rPr>
          <w:rFonts w:ascii="Garamond" w:hAnsi="Garamond"/>
          <w:b/>
          <w:spacing w:val="-2"/>
        </w:rPr>
        <w:t xml:space="preserve"> </w:t>
      </w:r>
      <w:r w:rsidRPr="00395593">
        <w:rPr>
          <w:rFonts w:ascii="Garamond" w:hAnsi="Garamond"/>
          <w:b/>
        </w:rPr>
        <w:t>Medidas</w:t>
      </w:r>
      <w:r w:rsidRPr="00395593">
        <w:rPr>
          <w:rFonts w:ascii="Garamond" w:hAnsi="Garamond"/>
          <w:b/>
          <w:spacing w:val="-1"/>
        </w:rPr>
        <w:t xml:space="preserve"> </w:t>
      </w:r>
      <w:r w:rsidRPr="00395593">
        <w:rPr>
          <w:rFonts w:ascii="Garamond" w:hAnsi="Garamond"/>
          <w:b/>
        </w:rPr>
        <w:t>de Salvaguarda</w:t>
      </w:r>
    </w:p>
    <w:p w14:paraId="3AFD5D05" w14:textId="77777777" w:rsidR="00D44A7A" w:rsidRPr="00395593" w:rsidRDefault="00D44A7A" w:rsidP="00D44A7A">
      <w:pPr>
        <w:pStyle w:val="Corpodetexto"/>
        <w:spacing w:before="11"/>
        <w:rPr>
          <w:rFonts w:ascii="Garamond" w:hAnsi="Garamond"/>
          <w:sz w:val="23"/>
        </w:rPr>
      </w:pPr>
    </w:p>
    <w:p w14:paraId="24E6668E" w14:textId="24E8AD68" w:rsidR="00D44A7A" w:rsidRPr="00395593" w:rsidRDefault="00D44A7A" w:rsidP="002C4340">
      <w:pPr>
        <w:pStyle w:val="PargrafodaLista"/>
        <w:widowControl w:val="0"/>
        <w:numPr>
          <w:ilvl w:val="0"/>
          <w:numId w:val="73"/>
        </w:numPr>
        <w:tabs>
          <w:tab w:val="left" w:pos="930"/>
        </w:tabs>
        <w:autoSpaceDE w:val="0"/>
        <w:autoSpaceDN w:val="0"/>
        <w:spacing w:after="0" w:line="240" w:lineRule="auto"/>
        <w:ind w:right="163" w:firstLine="0"/>
        <w:contextualSpacing w:val="0"/>
        <w:jc w:val="both"/>
        <w:rPr>
          <w:rFonts w:ascii="Garamond" w:hAnsi="Garamond"/>
          <w:sz w:val="24"/>
        </w:rPr>
      </w:pPr>
      <w:r w:rsidRPr="00395593">
        <w:rPr>
          <w:rFonts w:ascii="Garamond" w:hAnsi="Garamond"/>
          <w:sz w:val="24"/>
        </w:rPr>
        <w:t>As medidas de salvaguarda só serão aplicadas na proporção necessária para prevenir</w:t>
      </w:r>
      <w:r w:rsidRPr="00395593">
        <w:rPr>
          <w:rFonts w:ascii="Garamond" w:hAnsi="Garamond"/>
          <w:spacing w:val="-57"/>
          <w:sz w:val="24"/>
        </w:rPr>
        <w:t xml:space="preserve"> </w:t>
      </w:r>
      <w:r w:rsidR="00BD0C49">
        <w:rPr>
          <w:rFonts w:ascii="Garamond" w:hAnsi="Garamond"/>
          <w:spacing w:val="-57"/>
          <w:sz w:val="24"/>
        </w:rPr>
        <w:t xml:space="preserve">      </w:t>
      </w:r>
      <w:r w:rsidRPr="00395593">
        <w:rPr>
          <w:rFonts w:ascii="Garamond" w:hAnsi="Garamond"/>
          <w:sz w:val="24"/>
        </w:rPr>
        <w:t>ou remediar prejuízo grave e facilitar o ajustamento. Se é utilizada restrição quantitativa, tal</w:t>
      </w:r>
      <w:r w:rsidRPr="00395593">
        <w:rPr>
          <w:rFonts w:ascii="Garamond" w:hAnsi="Garamond"/>
          <w:spacing w:val="-57"/>
          <w:sz w:val="24"/>
        </w:rPr>
        <w:t xml:space="preserve"> </w:t>
      </w:r>
      <w:r w:rsidRPr="00395593">
        <w:rPr>
          <w:rFonts w:ascii="Garamond" w:hAnsi="Garamond"/>
          <w:sz w:val="24"/>
        </w:rPr>
        <w:t>medida não reduzirá a quantidade das importações abaixo do nível de um período recente,</w:t>
      </w:r>
      <w:r w:rsidRPr="00395593">
        <w:rPr>
          <w:rFonts w:ascii="Garamond" w:hAnsi="Garamond"/>
          <w:spacing w:val="1"/>
          <w:sz w:val="24"/>
        </w:rPr>
        <w:t xml:space="preserve"> </w:t>
      </w:r>
      <w:r w:rsidRPr="00395593">
        <w:rPr>
          <w:rFonts w:ascii="Garamond" w:hAnsi="Garamond"/>
          <w:sz w:val="24"/>
        </w:rPr>
        <w:t>que corresponderá à média das importações efetuadas nos três últimos anos representativos</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quais</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disponha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estatísticas,</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menos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demonstre</w:t>
      </w:r>
      <w:r w:rsidRPr="00395593">
        <w:rPr>
          <w:rFonts w:ascii="Garamond" w:hAnsi="Garamond"/>
          <w:spacing w:val="1"/>
          <w:sz w:val="24"/>
        </w:rPr>
        <w:t xml:space="preserve"> </w:t>
      </w:r>
      <w:r w:rsidRPr="00395593">
        <w:rPr>
          <w:rFonts w:ascii="Garamond" w:hAnsi="Garamond"/>
          <w:sz w:val="24"/>
        </w:rPr>
        <w:t>claramente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necessidade de se estabelecer um</w:t>
      </w:r>
      <w:r w:rsidRPr="00395593">
        <w:rPr>
          <w:rFonts w:ascii="Garamond" w:hAnsi="Garamond"/>
          <w:spacing w:val="60"/>
          <w:sz w:val="24"/>
        </w:rPr>
        <w:t xml:space="preserve"> </w:t>
      </w:r>
      <w:r w:rsidRPr="00395593">
        <w:rPr>
          <w:rFonts w:ascii="Garamond" w:hAnsi="Garamond"/>
          <w:sz w:val="24"/>
        </w:rPr>
        <w:t>nível diferente para prevenir ou remediar o prejuízo</w:t>
      </w:r>
      <w:r w:rsidRPr="00395593">
        <w:rPr>
          <w:rFonts w:ascii="Garamond" w:hAnsi="Garamond"/>
          <w:spacing w:val="1"/>
          <w:sz w:val="24"/>
        </w:rPr>
        <w:t xml:space="preserve"> </w:t>
      </w:r>
      <w:r w:rsidRPr="00395593">
        <w:rPr>
          <w:rFonts w:ascii="Garamond" w:hAnsi="Garamond"/>
          <w:sz w:val="24"/>
        </w:rPr>
        <w:t>grave.</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Membros</w:t>
      </w:r>
      <w:r w:rsidRPr="00395593">
        <w:rPr>
          <w:rFonts w:ascii="Garamond" w:hAnsi="Garamond"/>
          <w:spacing w:val="1"/>
          <w:sz w:val="24"/>
        </w:rPr>
        <w:t xml:space="preserve"> </w:t>
      </w:r>
      <w:r w:rsidRPr="00395593">
        <w:rPr>
          <w:rFonts w:ascii="Garamond" w:hAnsi="Garamond"/>
          <w:sz w:val="24"/>
        </w:rPr>
        <w:t>deverão</w:t>
      </w:r>
      <w:r w:rsidRPr="00395593">
        <w:rPr>
          <w:rFonts w:ascii="Garamond" w:hAnsi="Garamond"/>
          <w:spacing w:val="1"/>
          <w:sz w:val="24"/>
        </w:rPr>
        <w:t xml:space="preserve"> </w:t>
      </w:r>
      <w:r w:rsidRPr="00395593">
        <w:rPr>
          <w:rFonts w:ascii="Garamond" w:hAnsi="Garamond"/>
          <w:sz w:val="24"/>
        </w:rPr>
        <w:t>escolher</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medidas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mais</w:t>
      </w:r>
      <w:r w:rsidRPr="00395593">
        <w:rPr>
          <w:rFonts w:ascii="Garamond" w:hAnsi="Garamond"/>
          <w:spacing w:val="1"/>
          <w:sz w:val="24"/>
        </w:rPr>
        <w:t xml:space="preserve"> </w:t>
      </w:r>
      <w:r w:rsidRPr="00395593">
        <w:rPr>
          <w:rFonts w:ascii="Garamond" w:hAnsi="Garamond"/>
          <w:sz w:val="24"/>
        </w:rPr>
        <w:t>convenham</w:t>
      </w:r>
      <w:r w:rsidRPr="00395593">
        <w:rPr>
          <w:rFonts w:ascii="Garamond" w:hAnsi="Garamond"/>
          <w:spacing w:val="1"/>
          <w:sz w:val="24"/>
        </w:rPr>
        <w:t xml:space="preserve"> </w:t>
      </w:r>
      <w:r w:rsidRPr="00395593">
        <w:rPr>
          <w:rFonts w:ascii="Garamond" w:hAnsi="Garamond"/>
          <w:sz w:val="24"/>
        </w:rPr>
        <w:t>à</w:t>
      </w:r>
      <w:r w:rsidRPr="00395593">
        <w:rPr>
          <w:rFonts w:ascii="Garamond" w:hAnsi="Garamond"/>
          <w:spacing w:val="1"/>
          <w:sz w:val="24"/>
        </w:rPr>
        <w:t xml:space="preserve"> </w:t>
      </w:r>
      <w:r w:rsidRPr="00395593">
        <w:rPr>
          <w:rFonts w:ascii="Garamond" w:hAnsi="Garamond"/>
          <w:sz w:val="24"/>
        </w:rPr>
        <w:t>consecução</w:t>
      </w:r>
      <w:r w:rsidRPr="00395593">
        <w:rPr>
          <w:rFonts w:ascii="Garamond" w:hAnsi="Garamond"/>
          <w:spacing w:val="-57"/>
          <w:sz w:val="24"/>
        </w:rPr>
        <w:t xml:space="preserve"> </w:t>
      </w:r>
      <w:r w:rsidRPr="00395593">
        <w:rPr>
          <w:rFonts w:ascii="Garamond" w:hAnsi="Garamond"/>
          <w:sz w:val="24"/>
        </w:rPr>
        <w:t>daqueles</w:t>
      </w:r>
      <w:r w:rsidRPr="00395593">
        <w:rPr>
          <w:rFonts w:ascii="Garamond" w:hAnsi="Garamond"/>
          <w:spacing w:val="-1"/>
          <w:sz w:val="24"/>
        </w:rPr>
        <w:t xml:space="preserve"> </w:t>
      </w:r>
      <w:r w:rsidRPr="00395593">
        <w:rPr>
          <w:rFonts w:ascii="Garamond" w:hAnsi="Garamond"/>
          <w:sz w:val="24"/>
        </w:rPr>
        <w:t>objetivos.</w:t>
      </w:r>
    </w:p>
    <w:p w14:paraId="35F911FB" w14:textId="77777777" w:rsidR="00D44A7A" w:rsidRPr="00395593" w:rsidRDefault="00D44A7A" w:rsidP="00D44A7A">
      <w:pPr>
        <w:pStyle w:val="Corpodetexto"/>
        <w:rPr>
          <w:rFonts w:ascii="Garamond" w:hAnsi="Garamond"/>
        </w:rPr>
      </w:pPr>
    </w:p>
    <w:p w14:paraId="2F338D19" w14:textId="77777777" w:rsidR="00D44A7A" w:rsidRPr="00395593" w:rsidRDefault="00D44A7A" w:rsidP="002C4340">
      <w:pPr>
        <w:pStyle w:val="PargrafodaLista"/>
        <w:widowControl w:val="0"/>
        <w:numPr>
          <w:ilvl w:val="0"/>
          <w:numId w:val="73"/>
        </w:numPr>
        <w:tabs>
          <w:tab w:val="left" w:pos="930"/>
        </w:tabs>
        <w:autoSpaceDE w:val="0"/>
        <w:autoSpaceDN w:val="0"/>
        <w:spacing w:after="0" w:line="240" w:lineRule="auto"/>
        <w:ind w:right="156" w:firstLine="0"/>
        <w:contextualSpacing w:val="0"/>
        <w:jc w:val="both"/>
        <w:rPr>
          <w:rFonts w:ascii="Garamond" w:hAnsi="Garamond"/>
          <w:sz w:val="24"/>
        </w:rPr>
      </w:pPr>
      <w:r w:rsidRPr="00395593">
        <w:rPr>
          <w:rFonts w:ascii="Garamond" w:hAnsi="Garamond"/>
          <w:sz w:val="24"/>
        </w:rPr>
        <w:t>(a) Nos casos em que seja distribuída uma quota entre países supridores, o Membro</w:t>
      </w:r>
      <w:r w:rsidRPr="00395593">
        <w:rPr>
          <w:rFonts w:ascii="Garamond" w:hAnsi="Garamond"/>
          <w:spacing w:val="1"/>
          <w:sz w:val="24"/>
        </w:rPr>
        <w:t xml:space="preserve"> </w:t>
      </w:r>
      <w:r w:rsidRPr="00395593">
        <w:rPr>
          <w:rFonts w:ascii="Garamond" w:hAnsi="Garamond"/>
          <w:sz w:val="24"/>
        </w:rPr>
        <w:t>que aplica as restrições</w:t>
      </w:r>
      <w:r w:rsidRPr="00395593">
        <w:rPr>
          <w:rFonts w:ascii="Garamond" w:hAnsi="Garamond"/>
          <w:spacing w:val="60"/>
          <w:sz w:val="24"/>
        </w:rPr>
        <w:t xml:space="preserve"> </w:t>
      </w:r>
      <w:r w:rsidRPr="00395593">
        <w:rPr>
          <w:rFonts w:ascii="Garamond" w:hAnsi="Garamond"/>
          <w:sz w:val="24"/>
        </w:rPr>
        <w:t>poderá buscar um acordo quanto à distribuição das parcelas da</w:t>
      </w:r>
      <w:r w:rsidRPr="00395593">
        <w:rPr>
          <w:rFonts w:ascii="Garamond" w:hAnsi="Garamond"/>
          <w:spacing w:val="1"/>
          <w:sz w:val="24"/>
        </w:rPr>
        <w:t xml:space="preserve"> </w:t>
      </w:r>
      <w:r w:rsidRPr="00395593">
        <w:rPr>
          <w:rFonts w:ascii="Garamond" w:hAnsi="Garamond"/>
          <w:sz w:val="24"/>
        </w:rPr>
        <w:t>quota com todos o demais Membros que tenham um interesse substancial no suprimento do</w:t>
      </w:r>
      <w:r w:rsidRPr="00395593">
        <w:rPr>
          <w:rFonts w:ascii="Garamond" w:hAnsi="Garamond"/>
          <w:spacing w:val="-57"/>
          <w:sz w:val="24"/>
        </w:rPr>
        <w:t xml:space="preserve"> </w:t>
      </w:r>
      <w:r w:rsidRPr="00395593">
        <w:rPr>
          <w:rFonts w:ascii="Garamond" w:hAnsi="Garamond"/>
          <w:sz w:val="24"/>
        </w:rPr>
        <w:t>produto em questão. Nos casos em que tal método não seja razoavelmente factível,</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Membro</w:t>
      </w:r>
      <w:r w:rsidRPr="00395593">
        <w:rPr>
          <w:rFonts w:ascii="Garamond" w:hAnsi="Garamond"/>
          <w:spacing w:val="1"/>
          <w:sz w:val="24"/>
        </w:rPr>
        <w:t xml:space="preserve"> </w:t>
      </w:r>
      <w:r w:rsidRPr="00395593">
        <w:rPr>
          <w:rFonts w:ascii="Garamond" w:hAnsi="Garamond"/>
          <w:sz w:val="24"/>
        </w:rPr>
        <w:t>interessado</w:t>
      </w:r>
      <w:r w:rsidRPr="00395593">
        <w:rPr>
          <w:rFonts w:ascii="Garamond" w:hAnsi="Garamond"/>
          <w:spacing w:val="1"/>
          <w:sz w:val="24"/>
        </w:rPr>
        <w:t xml:space="preserve"> </w:t>
      </w:r>
      <w:r w:rsidRPr="00395593">
        <w:rPr>
          <w:rFonts w:ascii="Garamond" w:hAnsi="Garamond"/>
          <w:sz w:val="24"/>
        </w:rPr>
        <w:t>atribuirá</w:t>
      </w:r>
      <w:r w:rsidRPr="00395593">
        <w:rPr>
          <w:rFonts w:ascii="Garamond" w:hAnsi="Garamond"/>
          <w:spacing w:val="1"/>
          <w:sz w:val="24"/>
        </w:rPr>
        <w:t xml:space="preserve"> </w:t>
      </w:r>
      <w:r w:rsidRPr="00395593">
        <w:rPr>
          <w:rFonts w:ascii="Garamond" w:hAnsi="Garamond"/>
          <w:sz w:val="24"/>
        </w:rPr>
        <w:t>aos</w:t>
      </w:r>
      <w:r w:rsidRPr="00395593">
        <w:rPr>
          <w:rFonts w:ascii="Garamond" w:hAnsi="Garamond"/>
          <w:spacing w:val="1"/>
          <w:sz w:val="24"/>
        </w:rPr>
        <w:t xml:space="preserve"> </w:t>
      </w:r>
      <w:r w:rsidRPr="00395593">
        <w:rPr>
          <w:rFonts w:ascii="Garamond" w:hAnsi="Garamond"/>
          <w:sz w:val="24"/>
        </w:rPr>
        <w:t>Membros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tenham</w:t>
      </w:r>
      <w:r w:rsidRPr="00395593">
        <w:rPr>
          <w:rFonts w:ascii="Garamond" w:hAnsi="Garamond"/>
          <w:spacing w:val="1"/>
          <w:sz w:val="24"/>
        </w:rPr>
        <w:t xml:space="preserve"> </w:t>
      </w:r>
      <w:r w:rsidRPr="00395593">
        <w:rPr>
          <w:rFonts w:ascii="Garamond" w:hAnsi="Garamond"/>
          <w:sz w:val="24"/>
        </w:rPr>
        <w:t>um</w:t>
      </w:r>
      <w:r w:rsidRPr="00395593">
        <w:rPr>
          <w:rFonts w:ascii="Garamond" w:hAnsi="Garamond"/>
          <w:spacing w:val="1"/>
          <w:sz w:val="24"/>
        </w:rPr>
        <w:t xml:space="preserve"> </w:t>
      </w:r>
      <w:r w:rsidRPr="00395593">
        <w:rPr>
          <w:rFonts w:ascii="Garamond" w:hAnsi="Garamond"/>
          <w:sz w:val="24"/>
        </w:rPr>
        <w:t>interesse</w:t>
      </w:r>
      <w:r w:rsidRPr="00395593">
        <w:rPr>
          <w:rFonts w:ascii="Garamond" w:hAnsi="Garamond"/>
          <w:spacing w:val="1"/>
          <w:sz w:val="24"/>
        </w:rPr>
        <w:t xml:space="preserve"> </w:t>
      </w:r>
      <w:r w:rsidRPr="00395593">
        <w:rPr>
          <w:rFonts w:ascii="Garamond" w:hAnsi="Garamond"/>
          <w:sz w:val="24"/>
        </w:rPr>
        <w:t>substancial</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suprimento do produto, parcelas baseadas nas proporções da quantidade ou valor totais das</w:t>
      </w:r>
      <w:r w:rsidRPr="00395593">
        <w:rPr>
          <w:rFonts w:ascii="Garamond" w:hAnsi="Garamond"/>
          <w:spacing w:val="1"/>
          <w:sz w:val="24"/>
        </w:rPr>
        <w:t xml:space="preserve"> </w:t>
      </w:r>
      <w:r w:rsidRPr="00395593">
        <w:rPr>
          <w:rFonts w:ascii="Garamond" w:hAnsi="Garamond"/>
          <w:sz w:val="24"/>
        </w:rPr>
        <w:t>importações do produto efetuadas por tais Membros durante um período representativo</w:t>
      </w:r>
      <w:r w:rsidRPr="00395593">
        <w:rPr>
          <w:rFonts w:ascii="Garamond" w:hAnsi="Garamond"/>
          <w:spacing w:val="1"/>
          <w:sz w:val="24"/>
        </w:rPr>
        <w:t xml:space="preserve"> </w:t>
      </w:r>
      <w:r w:rsidRPr="00395593">
        <w:rPr>
          <w:rFonts w:ascii="Garamond" w:hAnsi="Garamond"/>
          <w:sz w:val="24"/>
        </w:rPr>
        <w:t>anterior, levando devidamente em conta quaisquer fatores especiais que possam ter afetado</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estar</w:t>
      </w:r>
      <w:r w:rsidRPr="00395593">
        <w:rPr>
          <w:rFonts w:ascii="Garamond" w:hAnsi="Garamond"/>
          <w:spacing w:val="-1"/>
          <w:sz w:val="24"/>
        </w:rPr>
        <w:t xml:space="preserve"> </w:t>
      </w:r>
      <w:r w:rsidRPr="00395593">
        <w:rPr>
          <w:rFonts w:ascii="Garamond" w:hAnsi="Garamond"/>
          <w:sz w:val="24"/>
        </w:rPr>
        <w:t>afetando o comércio desse</w:t>
      </w:r>
      <w:r w:rsidRPr="00395593">
        <w:rPr>
          <w:rFonts w:ascii="Garamond" w:hAnsi="Garamond"/>
          <w:spacing w:val="-1"/>
          <w:sz w:val="24"/>
        </w:rPr>
        <w:t xml:space="preserve"> </w:t>
      </w:r>
      <w:r w:rsidRPr="00395593">
        <w:rPr>
          <w:rFonts w:ascii="Garamond" w:hAnsi="Garamond"/>
          <w:sz w:val="24"/>
        </w:rPr>
        <w:t>produto.</w:t>
      </w:r>
    </w:p>
    <w:p w14:paraId="67B8B36C" w14:textId="77777777" w:rsidR="00D44A7A" w:rsidRPr="00395593" w:rsidRDefault="00D44A7A" w:rsidP="00D44A7A">
      <w:pPr>
        <w:jc w:val="both"/>
        <w:rPr>
          <w:rFonts w:ascii="Garamond" w:hAnsi="Garamond"/>
          <w:sz w:val="24"/>
        </w:rPr>
        <w:sectPr w:rsidR="00D44A7A" w:rsidRPr="00395593" w:rsidSect="00E15FBB">
          <w:pgSz w:w="12240" w:h="15840"/>
          <w:pgMar w:top="1418" w:right="1540" w:bottom="280" w:left="1418" w:header="720" w:footer="720" w:gutter="0"/>
          <w:cols w:space="720"/>
        </w:sectPr>
      </w:pPr>
    </w:p>
    <w:p w14:paraId="33C8310B" w14:textId="77777777" w:rsidR="00D44A7A" w:rsidRPr="00395593" w:rsidRDefault="00D44A7A" w:rsidP="00D44A7A">
      <w:pPr>
        <w:pStyle w:val="Corpodetexto"/>
        <w:spacing w:before="68"/>
        <w:ind w:left="222" w:right="158" w:firstLine="707"/>
        <w:jc w:val="both"/>
        <w:rPr>
          <w:rFonts w:ascii="Garamond" w:hAnsi="Garamond"/>
        </w:rPr>
      </w:pPr>
      <w:r w:rsidRPr="00395593">
        <w:rPr>
          <w:rFonts w:ascii="Garamond" w:hAnsi="Garamond"/>
        </w:rPr>
        <w:t>(b) Um Membro poderá afastar-se de disposto no subparágrafo (a) desde que se</w:t>
      </w:r>
      <w:r w:rsidRPr="00395593">
        <w:rPr>
          <w:rFonts w:ascii="Garamond" w:hAnsi="Garamond"/>
          <w:spacing w:val="1"/>
        </w:rPr>
        <w:t xml:space="preserve"> </w:t>
      </w:r>
      <w:r w:rsidRPr="00395593">
        <w:rPr>
          <w:rFonts w:ascii="Garamond" w:hAnsi="Garamond"/>
        </w:rPr>
        <w:t>realizem consultas ao amparo do parágrafo 3 do Artigo 12 sob os auspícios do Comitê de</w:t>
      </w:r>
      <w:r w:rsidRPr="00395593">
        <w:rPr>
          <w:rFonts w:ascii="Garamond" w:hAnsi="Garamond"/>
          <w:spacing w:val="1"/>
        </w:rPr>
        <w:t xml:space="preserve"> </w:t>
      </w:r>
      <w:r w:rsidRPr="00395593">
        <w:rPr>
          <w:rFonts w:ascii="Garamond" w:hAnsi="Garamond"/>
        </w:rPr>
        <w:t>Salvaguardas criado nos termos do parágrafo primeiro do Artigo 13 e com a condição de</w:t>
      </w:r>
      <w:r w:rsidRPr="00395593">
        <w:rPr>
          <w:rFonts w:ascii="Garamond" w:hAnsi="Garamond"/>
          <w:spacing w:val="1"/>
        </w:rPr>
        <w:t xml:space="preserve"> </w:t>
      </w:r>
      <w:r w:rsidRPr="00395593">
        <w:rPr>
          <w:rFonts w:ascii="Garamond" w:hAnsi="Garamond"/>
        </w:rPr>
        <w:t>que seja apresentada ao Comitê demonstração clara de que: (i) as importações procedentes</w:t>
      </w:r>
      <w:r w:rsidRPr="00395593">
        <w:rPr>
          <w:rFonts w:ascii="Garamond" w:hAnsi="Garamond"/>
          <w:spacing w:val="1"/>
        </w:rPr>
        <w:t xml:space="preserve"> </w:t>
      </w:r>
      <w:r w:rsidRPr="00395593">
        <w:rPr>
          <w:rFonts w:ascii="Garamond" w:hAnsi="Garamond"/>
        </w:rPr>
        <w:t>de certos Membros aumentaram em percentuais desproporcionais relativamente ao aumento</w:t>
      </w:r>
      <w:r w:rsidRPr="00395593">
        <w:rPr>
          <w:rFonts w:ascii="Garamond" w:hAnsi="Garamond"/>
          <w:spacing w:val="-57"/>
        </w:rPr>
        <w:t xml:space="preserve"> </w:t>
      </w:r>
      <w:r w:rsidRPr="00395593">
        <w:rPr>
          <w:rFonts w:ascii="Garamond" w:hAnsi="Garamond"/>
        </w:rPr>
        <w:t>total das importações do produto em pauta no período representativo; (ii) as razões para o</w:t>
      </w:r>
      <w:r w:rsidRPr="00395593">
        <w:rPr>
          <w:rFonts w:ascii="Garamond" w:hAnsi="Garamond"/>
          <w:spacing w:val="1"/>
        </w:rPr>
        <w:t xml:space="preserve"> </w:t>
      </w:r>
      <w:r w:rsidRPr="00395593">
        <w:rPr>
          <w:rFonts w:ascii="Garamond" w:hAnsi="Garamond"/>
        </w:rPr>
        <w:t>afastamento do disposto no subparágrafo (a) são justificadas; e (iii) as condições de tal</w:t>
      </w:r>
      <w:r w:rsidRPr="00395593">
        <w:rPr>
          <w:rFonts w:ascii="Garamond" w:hAnsi="Garamond"/>
          <w:spacing w:val="1"/>
        </w:rPr>
        <w:t xml:space="preserve"> </w:t>
      </w:r>
      <w:r w:rsidRPr="00395593">
        <w:rPr>
          <w:rFonts w:ascii="Garamond" w:hAnsi="Garamond"/>
        </w:rPr>
        <w:t>afastamento são eqüitativas para todos os supridores do produto em pauta. A duração de</w:t>
      </w:r>
      <w:r w:rsidRPr="00395593">
        <w:rPr>
          <w:rFonts w:ascii="Garamond" w:hAnsi="Garamond"/>
          <w:spacing w:val="1"/>
        </w:rPr>
        <w:t xml:space="preserve"> </w:t>
      </w:r>
      <w:r w:rsidRPr="00395593">
        <w:rPr>
          <w:rFonts w:ascii="Garamond" w:hAnsi="Garamond"/>
        </w:rPr>
        <w:t>qualquer medida dessa natureza não se prolongará além do período inicial previsto no</w:t>
      </w:r>
      <w:r w:rsidRPr="00395593">
        <w:rPr>
          <w:rFonts w:ascii="Garamond" w:hAnsi="Garamond"/>
          <w:spacing w:val="1"/>
        </w:rPr>
        <w:t xml:space="preserve"> </w:t>
      </w:r>
      <w:r w:rsidRPr="00395593">
        <w:rPr>
          <w:rFonts w:ascii="Garamond" w:hAnsi="Garamond"/>
        </w:rPr>
        <w:t>parágrafo primeiro do Artigo 7. O afastamento mencionado acima não será permitido em</w:t>
      </w:r>
      <w:r w:rsidRPr="00395593">
        <w:rPr>
          <w:rFonts w:ascii="Garamond" w:hAnsi="Garamond"/>
          <w:spacing w:val="1"/>
        </w:rPr>
        <w:t xml:space="preserve"> </w:t>
      </w:r>
      <w:r w:rsidRPr="00395593">
        <w:rPr>
          <w:rFonts w:ascii="Garamond" w:hAnsi="Garamond"/>
        </w:rPr>
        <w:t>caso</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ameaça</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prejuízo grave.</w:t>
      </w:r>
    </w:p>
    <w:p w14:paraId="220E41AC" w14:textId="77777777" w:rsidR="00D44A7A" w:rsidRPr="00395593" w:rsidRDefault="00D44A7A" w:rsidP="00D44A7A">
      <w:pPr>
        <w:pStyle w:val="Corpodetexto"/>
        <w:rPr>
          <w:rFonts w:ascii="Garamond" w:hAnsi="Garamond"/>
        </w:rPr>
      </w:pPr>
    </w:p>
    <w:p w14:paraId="17FA32B0" w14:textId="77777777" w:rsidR="00D44A7A" w:rsidRPr="00395593" w:rsidRDefault="00D44A7A" w:rsidP="00D44A7A">
      <w:pPr>
        <w:pStyle w:val="Corpodetexto"/>
        <w:spacing w:line="360" w:lineRule="auto"/>
        <w:ind w:left="1318" w:right="1259"/>
        <w:jc w:val="center"/>
        <w:rPr>
          <w:rFonts w:ascii="Garamond" w:hAnsi="Garamond"/>
          <w:b/>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6</w:t>
      </w:r>
    </w:p>
    <w:p w14:paraId="74773D30" w14:textId="77777777" w:rsidR="00D44A7A" w:rsidRPr="00395593" w:rsidRDefault="00D44A7A" w:rsidP="00D44A7A">
      <w:pPr>
        <w:pStyle w:val="Corpodetexto"/>
        <w:spacing w:line="360" w:lineRule="auto"/>
        <w:ind w:left="1318" w:right="1258"/>
        <w:jc w:val="center"/>
        <w:rPr>
          <w:rFonts w:ascii="Garamond" w:hAnsi="Garamond"/>
          <w:b/>
        </w:rPr>
      </w:pPr>
      <w:r w:rsidRPr="00395593">
        <w:rPr>
          <w:rFonts w:ascii="Garamond" w:hAnsi="Garamond"/>
          <w:b/>
        </w:rPr>
        <w:t>Medidas</w:t>
      </w:r>
      <w:r w:rsidRPr="00395593">
        <w:rPr>
          <w:rFonts w:ascii="Garamond" w:hAnsi="Garamond"/>
          <w:b/>
          <w:spacing w:val="-1"/>
        </w:rPr>
        <w:t xml:space="preserve"> </w:t>
      </w:r>
      <w:r w:rsidRPr="00395593">
        <w:rPr>
          <w:rFonts w:ascii="Garamond" w:hAnsi="Garamond"/>
          <w:b/>
        </w:rPr>
        <w:t>de</w:t>
      </w:r>
      <w:r w:rsidRPr="00395593">
        <w:rPr>
          <w:rFonts w:ascii="Garamond" w:hAnsi="Garamond"/>
          <w:b/>
          <w:spacing w:val="-3"/>
        </w:rPr>
        <w:t xml:space="preserve"> </w:t>
      </w:r>
      <w:r w:rsidRPr="00395593">
        <w:rPr>
          <w:rFonts w:ascii="Garamond" w:hAnsi="Garamond"/>
          <w:b/>
        </w:rPr>
        <w:t>Salvaguarda</w:t>
      </w:r>
      <w:r w:rsidRPr="00395593">
        <w:rPr>
          <w:rFonts w:ascii="Garamond" w:hAnsi="Garamond"/>
          <w:b/>
          <w:spacing w:val="-1"/>
        </w:rPr>
        <w:t xml:space="preserve"> </w:t>
      </w:r>
      <w:r w:rsidRPr="00395593">
        <w:rPr>
          <w:rFonts w:ascii="Garamond" w:hAnsi="Garamond"/>
          <w:b/>
        </w:rPr>
        <w:t>Provisórias</w:t>
      </w:r>
    </w:p>
    <w:p w14:paraId="1D733D92" w14:textId="77777777" w:rsidR="00D44A7A" w:rsidRPr="00395593" w:rsidRDefault="00D44A7A" w:rsidP="00D44A7A">
      <w:pPr>
        <w:pStyle w:val="Corpodetexto"/>
        <w:rPr>
          <w:rFonts w:ascii="Garamond" w:hAnsi="Garamond"/>
        </w:rPr>
      </w:pPr>
    </w:p>
    <w:p w14:paraId="690DC980" w14:textId="77777777" w:rsidR="00D44A7A" w:rsidRPr="00395593" w:rsidRDefault="00D44A7A" w:rsidP="00D44A7A">
      <w:pPr>
        <w:pStyle w:val="Corpodetexto"/>
        <w:ind w:left="222" w:right="160" w:firstLine="719"/>
        <w:jc w:val="both"/>
        <w:rPr>
          <w:rFonts w:ascii="Garamond" w:hAnsi="Garamond"/>
        </w:rPr>
      </w:pPr>
      <w:r w:rsidRPr="00395593">
        <w:rPr>
          <w:rFonts w:ascii="Garamond" w:hAnsi="Garamond"/>
        </w:rPr>
        <w:t>Em</w:t>
      </w:r>
      <w:r w:rsidRPr="00395593">
        <w:rPr>
          <w:rFonts w:ascii="Garamond" w:hAnsi="Garamond"/>
          <w:spacing w:val="59"/>
        </w:rPr>
        <w:t xml:space="preserve"> </w:t>
      </w:r>
      <w:r w:rsidRPr="00395593">
        <w:rPr>
          <w:rFonts w:ascii="Garamond" w:hAnsi="Garamond"/>
        </w:rPr>
        <w:t>circunstâncias</w:t>
      </w:r>
      <w:r w:rsidRPr="00395593">
        <w:rPr>
          <w:rFonts w:ascii="Garamond" w:hAnsi="Garamond"/>
          <w:spacing w:val="58"/>
        </w:rPr>
        <w:t xml:space="preserve"> </w:t>
      </w:r>
      <w:r w:rsidRPr="00395593">
        <w:rPr>
          <w:rFonts w:ascii="Garamond" w:hAnsi="Garamond"/>
        </w:rPr>
        <w:t>críticas,</w:t>
      </w:r>
      <w:r w:rsidRPr="00395593">
        <w:rPr>
          <w:rFonts w:ascii="Garamond" w:hAnsi="Garamond"/>
          <w:spacing w:val="59"/>
        </w:rPr>
        <w:t xml:space="preserve"> </w:t>
      </w:r>
      <w:r w:rsidRPr="00395593">
        <w:rPr>
          <w:rFonts w:ascii="Garamond" w:hAnsi="Garamond"/>
        </w:rPr>
        <w:t>em</w:t>
      </w:r>
      <w:r w:rsidRPr="00395593">
        <w:rPr>
          <w:rFonts w:ascii="Garamond" w:hAnsi="Garamond"/>
          <w:spacing w:val="59"/>
        </w:rPr>
        <w:t xml:space="preserve"> </w:t>
      </w:r>
      <w:r w:rsidRPr="00395593">
        <w:rPr>
          <w:rFonts w:ascii="Garamond" w:hAnsi="Garamond"/>
        </w:rPr>
        <w:t>que</w:t>
      </w:r>
      <w:r w:rsidRPr="00395593">
        <w:rPr>
          <w:rFonts w:ascii="Garamond" w:hAnsi="Garamond"/>
          <w:spacing w:val="57"/>
        </w:rPr>
        <w:t xml:space="preserve"> </w:t>
      </w:r>
      <w:r w:rsidRPr="00395593">
        <w:rPr>
          <w:rFonts w:ascii="Garamond" w:hAnsi="Garamond"/>
        </w:rPr>
        <w:t>qualquer</w:t>
      </w:r>
      <w:r w:rsidRPr="00395593">
        <w:rPr>
          <w:rFonts w:ascii="Garamond" w:hAnsi="Garamond"/>
          <w:spacing w:val="57"/>
        </w:rPr>
        <w:t xml:space="preserve"> </w:t>
      </w:r>
      <w:r w:rsidRPr="00395593">
        <w:rPr>
          <w:rFonts w:ascii="Garamond" w:hAnsi="Garamond"/>
        </w:rPr>
        <w:t>demora</w:t>
      </w:r>
      <w:r w:rsidRPr="00395593">
        <w:rPr>
          <w:rFonts w:ascii="Garamond" w:hAnsi="Garamond"/>
          <w:spacing w:val="57"/>
        </w:rPr>
        <w:t xml:space="preserve"> </w:t>
      </w:r>
      <w:r w:rsidRPr="00395593">
        <w:rPr>
          <w:rFonts w:ascii="Garamond" w:hAnsi="Garamond"/>
        </w:rPr>
        <w:t>acarretaria</w:t>
      </w:r>
      <w:r w:rsidRPr="00395593">
        <w:rPr>
          <w:rFonts w:ascii="Garamond" w:hAnsi="Garamond"/>
          <w:spacing w:val="57"/>
        </w:rPr>
        <w:t xml:space="preserve"> </w:t>
      </w:r>
      <w:r w:rsidRPr="00395593">
        <w:rPr>
          <w:rFonts w:ascii="Garamond" w:hAnsi="Garamond"/>
        </w:rPr>
        <w:t>dano</w:t>
      </w:r>
      <w:r w:rsidRPr="00395593">
        <w:rPr>
          <w:rFonts w:ascii="Garamond" w:hAnsi="Garamond"/>
          <w:spacing w:val="58"/>
        </w:rPr>
        <w:t xml:space="preserve"> </w:t>
      </w:r>
      <w:r w:rsidRPr="00395593">
        <w:rPr>
          <w:rFonts w:ascii="Garamond" w:hAnsi="Garamond"/>
        </w:rPr>
        <w:t>difícil</w:t>
      </w:r>
      <w:r w:rsidRPr="00395593">
        <w:rPr>
          <w:rFonts w:ascii="Garamond" w:hAnsi="Garamond"/>
          <w:spacing w:val="59"/>
        </w:rPr>
        <w:t xml:space="preserve"> </w:t>
      </w:r>
      <w:r w:rsidRPr="00395593">
        <w:rPr>
          <w:rFonts w:ascii="Garamond" w:hAnsi="Garamond"/>
        </w:rPr>
        <w:t>de</w:t>
      </w:r>
      <w:r w:rsidRPr="00395593">
        <w:rPr>
          <w:rFonts w:ascii="Garamond" w:hAnsi="Garamond"/>
          <w:spacing w:val="-58"/>
        </w:rPr>
        <w:t xml:space="preserve"> </w:t>
      </w:r>
      <w:r w:rsidRPr="00395593">
        <w:rPr>
          <w:rFonts w:ascii="Garamond" w:hAnsi="Garamond"/>
        </w:rPr>
        <w:t>reparar,</w:t>
      </w:r>
      <w:r w:rsidRPr="00395593">
        <w:rPr>
          <w:rFonts w:ascii="Garamond" w:hAnsi="Garamond"/>
          <w:spacing w:val="1"/>
        </w:rPr>
        <w:t xml:space="preserve"> </w:t>
      </w:r>
      <w:r w:rsidRPr="00395593">
        <w:rPr>
          <w:rFonts w:ascii="Garamond" w:hAnsi="Garamond"/>
        </w:rPr>
        <w:t>poderá</w:t>
      </w:r>
      <w:r w:rsidRPr="00395593">
        <w:rPr>
          <w:rFonts w:ascii="Garamond" w:hAnsi="Garamond"/>
          <w:spacing w:val="1"/>
        </w:rPr>
        <w:t xml:space="preserve"> </w:t>
      </w:r>
      <w:r w:rsidRPr="00395593">
        <w:rPr>
          <w:rFonts w:ascii="Garamond" w:hAnsi="Garamond"/>
        </w:rPr>
        <w:t>ser</w:t>
      </w:r>
      <w:r w:rsidRPr="00395593">
        <w:rPr>
          <w:rFonts w:ascii="Garamond" w:hAnsi="Garamond"/>
          <w:spacing w:val="1"/>
        </w:rPr>
        <w:t xml:space="preserve"> </w:t>
      </w:r>
      <w:r w:rsidRPr="00395593">
        <w:rPr>
          <w:rFonts w:ascii="Garamond" w:hAnsi="Garamond"/>
        </w:rPr>
        <w:t>adotada</w:t>
      </w:r>
      <w:r w:rsidRPr="00395593">
        <w:rPr>
          <w:rFonts w:ascii="Garamond" w:hAnsi="Garamond"/>
          <w:spacing w:val="1"/>
        </w:rPr>
        <w:t xml:space="preserve"> </w:t>
      </w:r>
      <w:r w:rsidRPr="00395593">
        <w:rPr>
          <w:rFonts w:ascii="Garamond" w:hAnsi="Garamond"/>
        </w:rPr>
        <w:t>medida</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salvaguarda</w:t>
      </w:r>
      <w:r w:rsidRPr="00395593">
        <w:rPr>
          <w:rFonts w:ascii="Garamond" w:hAnsi="Garamond"/>
          <w:spacing w:val="1"/>
        </w:rPr>
        <w:t xml:space="preserve"> </w:t>
      </w:r>
      <w:r w:rsidRPr="00395593">
        <w:rPr>
          <w:rFonts w:ascii="Garamond" w:hAnsi="Garamond"/>
        </w:rPr>
        <w:t>provisória</w:t>
      </w:r>
      <w:r w:rsidRPr="00395593">
        <w:rPr>
          <w:rFonts w:ascii="Garamond" w:hAnsi="Garamond"/>
          <w:spacing w:val="1"/>
        </w:rPr>
        <w:t xml:space="preserve"> </w:t>
      </w:r>
      <w:r w:rsidRPr="00395593">
        <w:rPr>
          <w:rFonts w:ascii="Garamond" w:hAnsi="Garamond"/>
        </w:rPr>
        <w:t>em</w:t>
      </w:r>
      <w:r w:rsidRPr="00395593">
        <w:rPr>
          <w:rFonts w:ascii="Garamond" w:hAnsi="Garamond"/>
          <w:spacing w:val="1"/>
        </w:rPr>
        <w:t xml:space="preserve"> </w:t>
      </w:r>
      <w:r w:rsidRPr="00395593">
        <w:rPr>
          <w:rFonts w:ascii="Garamond" w:hAnsi="Garamond"/>
        </w:rPr>
        <w:t>decorrência</w:t>
      </w:r>
      <w:r w:rsidRPr="00395593">
        <w:rPr>
          <w:rFonts w:ascii="Garamond" w:hAnsi="Garamond"/>
          <w:spacing w:val="1"/>
        </w:rPr>
        <w:t xml:space="preserve"> </w:t>
      </w:r>
      <w:r w:rsidRPr="00395593">
        <w:rPr>
          <w:rFonts w:ascii="Garamond" w:hAnsi="Garamond"/>
        </w:rPr>
        <w:t>de</w:t>
      </w:r>
      <w:r w:rsidRPr="00395593">
        <w:rPr>
          <w:rFonts w:ascii="Garamond" w:hAnsi="Garamond"/>
          <w:spacing w:val="1"/>
        </w:rPr>
        <w:t xml:space="preserve"> </w:t>
      </w:r>
      <w:r w:rsidRPr="00395593">
        <w:rPr>
          <w:rFonts w:ascii="Garamond" w:hAnsi="Garamond"/>
        </w:rPr>
        <w:t>determinação preliminar da existência de provas claras de que o aumento das importações</w:t>
      </w:r>
      <w:r w:rsidRPr="00395593">
        <w:rPr>
          <w:rFonts w:ascii="Garamond" w:hAnsi="Garamond"/>
          <w:spacing w:val="1"/>
        </w:rPr>
        <w:t xml:space="preserve"> </w:t>
      </w:r>
      <w:r w:rsidRPr="00395593">
        <w:rPr>
          <w:rFonts w:ascii="Garamond" w:hAnsi="Garamond"/>
        </w:rPr>
        <w:t>tem</w:t>
      </w:r>
      <w:r w:rsidRPr="00395593">
        <w:rPr>
          <w:rFonts w:ascii="Garamond" w:hAnsi="Garamond"/>
          <w:spacing w:val="1"/>
        </w:rPr>
        <w:t xml:space="preserve"> </w:t>
      </w:r>
      <w:r w:rsidRPr="00395593">
        <w:rPr>
          <w:rFonts w:ascii="Garamond" w:hAnsi="Garamond"/>
        </w:rPr>
        <w:t>causado</w:t>
      </w:r>
      <w:r w:rsidRPr="00395593">
        <w:rPr>
          <w:rFonts w:ascii="Garamond" w:hAnsi="Garamond"/>
          <w:spacing w:val="1"/>
        </w:rPr>
        <w:t xml:space="preserve"> </w:t>
      </w:r>
      <w:r w:rsidRPr="00395593">
        <w:rPr>
          <w:rFonts w:ascii="Garamond" w:hAnsi="Garamond"/>
        </w:rPr>
        <w:t>ou</w:t>
      </w:r>
      <w:r w:rsidRPr="00395593">
        <w:rPr>
          <w:rFonts w:ascii="Garamond" w:hAnsi="Garamond"/>
          <w:spacing w:val="1"/>
        </w:rPr>
        <w:t xml:space="preserve"> </w:t>
      </w:r>
      <w:r w:rsidRPr="00395593">
        <w:rPr>
          <w:rFonts w:ascii="Garamond" w:hAnsi="Garamond"/>
        </w:rPr>
        <w:t>ameaça</w:t>
      </w:r>
      <w:r w:rsidRPr="00395593">
        <w:rPr>
          <w:rFonts w:ascii="Garamond" w:hAnsi="Garamond"/>
          <w:spacing w:val="1"/>
        </w:rPr>
        <w:t xml:space="preserve"> </w:t>
      </w:r>
      <w:r w:rsidRPr="00395593">
        <w:rPr>
          <w:rFonts w:ascii="Garamond" w:hAnsi="Garamond"/>
        </w:rPr>
        <w:t>causar</w:t>
      </w:r>
      <w:r w:rsidRPr="00395593">
        <w:rPr>
          <w:rFonts w:ascii="Garamond" w:hAnsi="Garamond"/>
          <w:spacing w:val="1"/>
        </w:rPr>
        <w:t xml:space="preserve"> </w:t>
      </w:r>
      <w:r w:rsidRPr="00395593">
        <w:rPr>
          <w:rFonts w:ascii="Garamond" w:hAnsi="Garamond"/>
        </w:rPr>
        <w:t>prejuízo</w:t>
      </w:r>
      <w:r w:rsidRPr="00395593">
        <w:rPr>
          <w:rFonts w:ascii="Garamond" w:hAnsi="Garamond"/>
          <w:spacing w:val="1"/>
        </w:rPr>
        <w:t xml:space="preserve"> </w:t>
      </w:r>
      <w:r w:rsidRPr="00395593">
        <w:rPr>
          <w:rFonts w:ascii="Garamond" w:hAnsi="Garamond"/>
        </w:rPr>
        <w:t>grave.</w:t>
      </w:r>
      <w:r w:rsidRPr="00395593">
        <w:rPr>
          <w:rFonts w:ascii="Garamond" w:hAnsi="Garamond"/>
          <w:spacing w:val="1"/>
        </w:rPr>
        <w:t xml:space="preserve"> </w:t>
      </w:r>
      <w:r w:rsidRPr="00395593">
        <w:rPr>
          <w:rFonts w:ascii="Garamond" w:hAnsi="Garamond"/>
        </w:rPr>
        <w:t>A</w:t>
      </w:r>
      <w:r w:rsidRPr="00395593">
        <w:rPr>
          <w:rFonts w:ascii="Garamond" w:hAnsi="Garamond"/>
          <w:spacing w:val="1"/>
        </w:rPr>
        <w:t xml:space="preserve"> </w:t>
      </w:r>
      <w:r w:rsidRPr="00395593">
        <w:rPr>
          <w:rFonts w:ascii="Garamond" w:hAnsi="Garamond"/>
        </w:rPr>
        <w:t>duração</w:t>
      </w:r>
      <w:r w:rsidRPr="00395593">
        <w:rPr>
          <w:rFonts w:ascii="Garamond" w:hAnsi="Garamond"/>
          <w:spacing w:val="1"/>
        </w:rPr>
        <w:t xml:space="preserve"> </w:t>
      </w:r>
      <w:r w:rsidRPr="00395593">
        <w:rPr>
          <w:rFonts w:ascii="Garamond" w:hAnsi="Garamond"/>
        </w:rPr>
        <w:t>da</w:t>
      </w:r>
      <w:r w:rsidRPr="00395593">
        <w:rPr>
          <w:rFonts w:ascii="Garamond" w:hAnsi="Garamond"/>
          <w:spacing w:val="1"/>
        </w:rPr>
        <w:t xml:space="preserve"> </w:t>
      </w:r>
      <w:r w:rsidRPr="00395593">
        <w:rPr>
          <w:rFonts w:ascii="Garamond" w:hAnsi="Garamond"/>
        </w:rPr>
        <w:t>medida</w:t>
      </w:r>
      <w:r w:rsidRPr="00395593">
        <w:rPr>
          <w:rFonts w:ascii="Garamond" w:hAnsi="Garamond"/>
          <w:spacing w:val="1"/>
        </w:rPr>
        <w:t xml:space="preserve"> </w:t>
      </w:r>
      <w:r w:rsidRPr="00395593">
        <w:rPr>
          <w:rFonts w:ascii="Garamond" w:hAnsi="Garamond"/>
        </w:rPr>
        <w:t>provisória</w:t>
      </w:r>
      <w:r w:rsidRPr="00395593">
        <w:rPr>
          <w:rFonts w:ascii="Garamond" w:hAnsi="Garamond"/>
          <w:spacing w:val="1"/>
        </w:rPr>
        <w:t xml:space="preserve"> </w:t>
      </w:r>
      <w:r w:rsidRPr="00395593">
        <w:rPr>
          <w:rFonts w:ascii="Garamond" w:hAnsi="Garamond"/>
        </w:rPr>
        <w:t>não</w:t>
      </w:r>
      <w:r w:rsidRPr="00395593">
        <w:rPr>
          <w:rFonts w:ascii="Garamond" w:hAnsi="Garamond"/>
          <w:spacing w:val="1"/>
        </w:rPr>
        <w:t xml:space="preserve"> </w:t>
      </w:r>
      <w:r w:rsidRPr="00395593">
        <w:rPr>
          <w:rFonts w:ascii="Garamond" w:hAnsi="Garamond"/>
        </w:rPr>
        <w:t>excederá</w:t>
      </w:r>
      <w:r w:rsidRPr="00395593">
        <w:rPr>
          <w:rFonts w:ascii="Garamond" w:hAnsi="Garamond"/>
          <w:spacing w:val="1"/>
        </w:rPr>
        <w:t xml:space="preserve"> </w:t>
      </w:r>
      <w:r w:rsidRPr="00395593">
        <w:rPr>
          <w:rFonts w:ascii="Garamond" w:hAnsi="Garamond"/>
        </w:rPr>
        <w:t>200</w:t>
      </w:r>
      <w:r w:rsidRPr="00395593">
        <w:rPr>
          <w:rFonts w:ascii="Garamond" w:hAnsi="Garamond"/>
          <w:spacing w:val="1"/>
        </w:rPr>
        <w:t xml:space="preserve"> </w:t>
      </w:r>
      <w:r w:rsidRPr="00395593">
        <w:rPr>
          <w:rFonts w:ascii="Garamond" w:hAnsi="Garamond"/>
        </w:rPr>
        <w:t>dias</w:t>
      </w:r>
      <w:r w:rsidRPr="00395593">
        <w:rPr>
          <w:rFonts w:ascii="Garamond" w:hAnsi="Garamond"/>
          <w:spacing w:val="1"/>
        </w:rPr>
        <w:t xml:space="preserve"> </w:t>
      </w:r>
      <w:r w:rsidRPr="00395593">
        <w:rPr>
          <w:rFonts w:ascii="Garamond" w:hAnsi="Garamond"/>
        </w:rPr>
        <w:t>e</w:t>
      </w:r>
      <w:r w:rsidRPr="00395593">
        <w:rPr>
          <w:rFonts w:ascii="Garamond" w:hAnsi="Garamond"/>
          <w:spacing w:val="1"/>
        </w:rPr>
        <w:t xml:space="preserve"> </w:t>
      </w:r>
      <w:r w:rsidRPr="00395593">
        <w:rPr>
          <w:rFonts w:ascii="Garamond" w:hAnsi="Garamond"/>
        </w:rPr>
        <w:t>durante</w:t>
      </w:r>
      <w:r w:rsidRPr="00395593">
        <w:rPr>
          <w:rFonts w:ascii="Garamond" w:hAnsi="Garamond"/>
          <w:spacing w:val="1"/>
        </w:rPr>
        <w:t xml:space="preserve"> </w:t>
      </w:r>
      <w:r w:rsidRPr="00395593">
        <w:rPr>
          <w:rFonts w:ascii="Garamond" w:hAnsi="Garamond"/>
        </w:rPr>
        <w:t>esse</w:t>
      </w:r>
      <w:r w:rsidRPr="00395593">
        <w:rPr>
          <w:rFonts w:ascii="Garamond" w:hAnsi="Garamond"/>
          <w:spacing w:val="1"/>
        </w:rPr>
        <w:t xml:space="preserve"> </w:t>
      </w:r>
      <w:r w:rsidRPr="00395593">
        <w:rPr>
          <w:rFonts w:ascii="Garamond" w:hAnsi="Garamond"/>
        </w:rPr>
        <w:t>período</w:t>
      </w:r>
      <w:r w:rsidRPr="00395593">
        <w:rPr>
          <w:rFonts w:ascii="Garamond" w:hAnsi="Garamond"/>
          <w:spacing w:val="1"/>
        </w:rPr>
        <w:t xml:space="preserve"> </w:t>
      </w:r>
      <w:r w:rsidRPr="00395593">
        <w:rPr>
          <w:rFonts w:ascii="Garamond" w:hAnsi="Garamond"/>
        </w:rPr>
        <w:t>se</w:t>
      </w:r>
      <w:r w:rsidRPr="00395593">
        <w:rPr>
          <w:rFonts w:ascii="Garamond" w:hAnsi="Garamond"/>
          <w:spacing w:val="1"/>
        </w:rPr>
        <w:t xml:space="preserve"> </w:t>
      </w:r>
      <w:r w:rsidRPr="00395593">
        <w:rPr>
          <w:rFonts w:ascii="Garamond" w:hAnsi="Garamond"/>
        </w:rPr>
        <w:t>cumprirão</w:t>
      </w:r>
      <w:r w:rsidRPr="00395593">
        <w:rPr>
          <w:rFonts w:ascii="Garamond" w:hAnsi="Garamond"/>
          <w:spacing w:val="1"/>
        </w:rPr>
        <w:t xml:space="preserve"> </w:t>
      </w:r>
      <w:r w:rsidRPr="00395593">
        <w:rPr>
          <w:rFonts w:ascii="Garamond" w:hAnsi="Garamond"/>
        </w:rPr>
        <w:t>as</w:t>
      </w:r>
      <w:r w:rsidRPr="00395593">
        <w:rPr>
          <w:rFonts w:ascii="Garamond" w:hAnsi="Garamond"/>
          <w:spacing w:val="1"/>
        </w:rPr>
        <w:t xml:space="preserve"> </w:t>
      </w:r>
      <w:r w:rsidRPr="00395593">
        <w:rPr>
          <w:rFonts w:ascii="Garamond" w:hAnsi="Garamond"/>
        </w:rPr>
        <w:t>exigências</w:t>
      </w:r>
      <w:r w:rsidRPr="00395593">
        <w:rPr>
          <w:rFonts w:ascii="Garamond" w:hAnsi="Garamond"/>
          <w:spacing w:val="1"/>
        </w:rPr>
        <w:t xml:space="preserve"> </w:t>
      </w:r>
      <w:r w:rsidRPr="00395593">
        <w:rPr>
          <w:rFonts w:ascii="Garamond" w:hAnsi="Garamond"/>
        </w:rPr>
        <w:t>pertinentes</w:t>
      </w:r>
      <w:r w:rsidRPr="00395593">
        <w:rPr>
          <w:rFonts w:ascii="Garamond" w:hAnsi="Garamond"/>
          <w:spacing w:val="60"/>
        </w:rPr>
        <w:t xml:space="preserve"> </w:t>
      </w:r>
      <w:r w:rsidRPr="00395593">
        <w:rPr>
          <w:rFonts w:ascii="Garamond" w:hAnsi="Garamond"/>
        </w:rPr>
        <w:t>dos</w:t>
      </w:r>
      <w:r w:rsidRPr="00395593">
        <w:rPr>
          <w:rFonts w:ascii="Garamond" w:hAnsi="Garamond"/>
          <w:spacing w:val="-57"/>
        </w:rPr>
        <w:t xml:space="preserve"> </w:t>
      </w:r>
      <w:r w:rsidRPr="00395593">
        <w:rPr>
          <w:rFonts w:ascii="Garamond" w:hAnsi="Garamond"/>
        </w:rPr>
        <w:t>Artigos 2 a 7 e 12. As medidas dessa natureza deverão assumir a forma de aumentos nos</w:t>
      </w:r>
      <w:r w:rsidRPr="00395593">
        <w:rPr>
          <w:rFonts w:ascii="Garamond" w:hAnsi="Garamond"/>
          <w:spacing w:val="1"/>
        </w:rPr>
        <w:t xml:space="preserve"> </w:t>
      </w:r>
      <w:r w:rsidRPr="00395593">
        <w:rPr>
          <w:rFonts w:ascii="Garamond" w:hAnsi="Garamond"/>
        </w:rPr>
        <w:t>impostos</w:t>
      </w:r>
      <w:r w:rsidRPr="00395593">
        <w:rPr>
          <w:rFonts w:ascii="Garamond" w:hAnsi="Garamond"/>
          <w:spacing w:val="12"/>
        </w:rPr>
        <w:t xml:space="preserve"> </w:t>
      </w:r>
      <w:r w:rsidRPr="00395593">
        <w:rPr>
          <w:rFonts w:ascii="Garamond" w:hAnsi="Garamond"/>
        </w:rPr>
        <w:t>de</w:t>
      </w:r>
      <w:r w:rsidRPr="00395593">
        <w:rPr>
          <w:rFonts w:ascii="Garamond" w:hAnsi="Garamond"/>
          <w:spacing w:val="12"/>
        </w:rPr>
        <w:t xml:space="preserve"> </w:t>
      </w:r>
      <w:r w:rsidRPr="00395593">
        <w:rPr>
          <w:rFonts w:ascii="Garamond" w:hAnsi="Garamond"/>
        </w:rPr>
        <w:t>importação,</w:t>
      </w:r>
      <w:r w:rsidRPr="00395593">
        <w:rPr>
          <w:rFonts w:ascii="Garamond" w:hAnsi="Garamond"/>
          <w:spacing w:val="15"/>
        </w:rPr>
        <w:t xml:space="preserve"> </w:t>
      </w:r>
      <w:r w:rsidRPr="00395593">
        <w:rPr>
          <w:rFonts w:ascii="Garamond" w:hAnsi="Garamond"/>
        </w:rPr>
        <w:t>que</w:t>
      </w:r>
      <w:r w:rsidRPr="00395593">
        <w:rPr>
          <w:rFonts w:ascii="Garamond" w:hAnsi="Garamond"/>
          <w:spacing w:val="12"/>
        </w:rPr>
        <w:t xml:space="preserve"> </w:t>
      </w:r>
      <w:r w:rsidRPr="00395593">
        <w:rPr>
          <w:rFonts w:ascii="Garamond" w:hAnsi="Garamond"/>
        </w:rPr>
        <w:t>serão</w:t>
      </w:r>
      <w:r w:rsidRPr="00395593">
        <w:rPr>
          <w:rFonts w:ascii="Garamond" w:hAnsi="Garamond"/>
          <w:spacing w:val="15"/>
        </w:rPr>
        <w:t xml:space="preserve"> </w:t>
      </w:r>
      <w:r w:rsidRPr="00395593">
        <w:rPr>
          <w:rFonts w:ascii="Garamond" w:hAnsi="Garamond"/>
        </w:rPr>
        <w:t>prontamente</w:t>
      </w:r>
      <w:r w:rsidRPr="00395593">
        <w:rPr>
          <w:rFonts w:ascii="Garamond" w:hAnsi="Garamond"/>
          <w:spacing w:val="14"/>
        </w:rPr>
        <w:t xml:space="preserve"> </w:t>
      </w:r>
      <w:r w:rsidRPr="00395593">
        <w:rPr>
          <w:rFonts w:ascii="Garamond" w:hAnsi="Garamond"/>
        </w:rPr>
        <w:t>reembolsados</w:t>
      </w:r>
      <w:r w:rsidRPr="00395593">
        <w:rPr>
          <w:rFonts w:ascii="Garamond" w:hAnsi="Garamond"/>
          <w:spacing w:val="13"/>
        </w:rPr>
        <w:t xml:space="preserve"> </w:t>
      </w:r>
      <w:r w:rsidRPr="00395593">
        <w:rPr>
          <w:rFonts w:ascii="Garamond" w:hAnsi="Garamond"/>
        </w:rPr>
        <w:t>se</w:t>
      </w:r>
      <w:r w:rsidRPr="00395593">
        <w:rPr>
          <w:rFonts w:ascii="Garamond" w:hAnsi="Garamond"/>
          <w:spacing w:val="14"/>
        </w:rPr>
        <w:t xml:space="preserve"> </w:t>
      </w:r>
      <w:r w:rsidRPr="00395593">
        <w:rPr>
          <w:rFonts w:ascii="Garamond" w:hAnsi="Garamond"/>
        </w:rPr>
        <w:t>na</w:t>
      </w:r>
      <w:r w:rsidRPr="00395593">
        <w:rPr>
          <w:rFonts w:ascii="Garamond" w:hAnsi="Garamond"/>
          <w:spacing w:val="14"/>
        </w:rPr>
        <w:t xml:space="preserve"> </w:t>
      </w:r>
      <w:r w:rsidRPr="00395593">
        <w:rPr>
          <w:rFonts w:ascii="Garamond" w:hAnsi="Garamond"/>
        </w:rPr>
        <w:t>investigação</w:t>
      </w:r>
      <w:r w:rsidRPr="00395593">
        <w:rPr>
          <w:rFonts w:ascii="Garamond" w:hAnsi="Garamond"/>
          <w:spacing w:val="13"/>
        </w:rPr>
        <w:t xml:space="preserve"> </w:t>
      </w:r>
      <w:r w:rsidRPr="00395593">
        <w:rPr>
          <w:rFonts w:ascii="Garamond" w:hAnsi="Garamond"/>
        </w:rPr>
        <w:t>posterior</w:t>
      </w:r>
      <w:r w:rsidRPr="00395593">
        <w:rPr>
          <w:rFonts w:ascii="Garamond" w:hAnsi="Garamond"/>
          <w:spacing w:val="-58"/>
        </w:rPr>
        <w:t xml:space="preserve"> </w:t>
      </w:r>
      <w:r w:rsidRPr="00395593">
        <w:rPr>
          <w:rFonts w:ascii="Garamond" w:hAnsi="Garamond"/>
        </w:rPr>
        <w:t>a que se refere o parágrafo segundo do Artigo 4 não fique determinado que o aumento das</w:t>
      </w:r>
      <w:r w:rsidRPr="00395593">
        <w:rPr>
          <w:rFonts w:ascii="Garamond" w:hAnsi="Garamond"/>
          <w:spacing w:val="1"/>
        </w:rPr>
        <w:t xml:space="preserve"> </w:t>
      </w:r>
      <w:r w:rsidRPr="00395593">
        <w:rPr>
          <w:rFonts w:ascii="Garamond" w:hAnsi="Garamond"/>
        </w:rPr>
        <w:t>importações haja causado ou ameaçado causar prejuízo grave a uma indústria nacional.</w:t>
      </w:r>
      <w:r w:rsidRPr="00395593">
        <w:rPr>
          <w:rFonts w:ascii="Garamond" w:hAnsi="Garamond"/>
          <w:spacing w:val="1"/>
        </w:rPr>
        <w:t xml:space="preserve"> </w:t>
      </w:r>
      <w:r w:rsidRPr="00395593">
        <w:rPr>
          <w:rFonts w:ascii="Garamond" w:hAnsi="Garamond"/>
        </w:rPr>
        <w:t>Contar-se-á</w:t>
      </w:r>
      <w:r w:rsidRPr="00395593">
        <w:rPr>
          <w:rFonts w:ascii="Garamond" w:hAnsi="Garamond"/>
          <w:spacing w:val="1"/>
        </w:rPr>
        <w:t xml:space="preserve"> </w:t>
      </w:r>
      <w:r w:rsidRPr="00395593">
        <w:rPr>
          <w:rFonts w:ascii="Garamond" w:hAnsi="Garamond"/>
        </w:rPr>
        <w:t>como</w:t>
      </w:r>
      <w:r w:rsidRPr="00395593">
        <w:rPr>
          <w:rFonts w:ascii="Garamond" w:hAnsi="Garamond"/>
          <w:spacing w:val="1"/>
        </w:rPr>
        <w:t xml:space="preserve"> </w:t>
      </w:r>
      <w:r w:rsidRPr="00395593">
        <w:rPr>
          <w:rFonts w:ascii="Garamond" w:hAnsi="Garamond"/>
        </w:rPr>
        <w:t>parte</w:t>
      </w:r>
      <w:r w:rsidRPr="00395593">
        <w:rPr>
          <w:rFonts w:ascii="Garamond" w:hAnsi="Garamond"/>
          <w:spacing w:val="1"/>
        </w:rPr>
        <w:t xml:space="preserve"> </w:t>
      </w:r>
      <w:r w:rsidRPr="00395593">
        <w:rPr>
          <w:rFonts w:ascii="Garamond" w:hAnsi="Garamond"/>
        </w:rPr>
        <w:t>do</w:t>
      </w:r>
      <w:r w:rsidRPr="00395593">
        <w:rPr>
          <w:rFonts w:ascii="Garamond" w:hAnsi="Garamond"/>
          <w:spacing w:val="1"/>
        </w:rPr>
        <w:t xml:space="preserve"> </w:t>
      </w:r>
      <w:r w:rsidRPr="00395593">
        <w:rPr>
          <w:rFonts w:ascii="Garamond" w:hAnsi="Garamond"/>
        </w:rPr>
        <w:t>período</w:t>
      </w:r>
      <w:r w:rsidRPr="00395593">
        <w:rPr>
          <w:rFonts w:ascii="Garamond" w:hAnsi="Garamond"/>
          <w:spacing w:val="1"/>
        </w:rPr>
        <w:t xml:space="preserve"> </w:t>
      </w:r>
      <w:r w:rsidRPr="00395593">
        <w:rPr>
          <w:rFonts w:ascii="Garamond" w:hAnsi="Garamond"/>
        </w:rPr>
        <w:t>inicial</w:t>
      </w:r>
      <w:r w:rsidRPr="00395593">
        <w:rPr>
          <w:rFonts w:ascii="Garamond" w:hAnsi="Garamond"/>
          <w:spacing w:val="1"/>
        </w:rPr>
        <w:t xml:space="preserve"> </w:t>
      </w:r>
      <w:r w:rsidRPr="00395593">
        <w:rPr>
          <w:rFonts w:ascii="Garamond" w:hAnsi="Garamond"/>
        </w:rPr>
        <w:t>e</w:t>
      </w:r>
      <w:r w:rsidRPr="00395593">
        <w:rPr>
          <w:rFonts w:ascii="Garamond" w:hAnsi="Garamond"/>
          <w:spacing w:val="1"/>
        </w:rPr>
        <w:t xml:space="preserve"> </w:t>
      </w:r>
      <w:r w:rsidRPr="00395593">
        <w:rPr>
          <w:rFonts w:ascii="Garamond" w:hAnsi="Garamond"/>
        </w:rPr>
        <w:t>das</w:t>
      </w:r>
      <w:r w:rsidRPr="00395593">
        <w:rPr>
          <w:rFonts w:ascii="Garamond" w:hAnsi="Garamond"/>
          <w:spacing w:val="1"/>
        </w:rPr>
        <w:t xml:space="preserve"> </w:t>
      </w:r>
      <w:r w:rsidRPr="00395593">
        <w:rPr>
          <w:rFonts w:ascii="Garamond" w:hAnsi="Garamond"/>
        </w:rPr>
        <w:t>prorrogações</w:t>
      </w:r>
      <w:r w:rsidRPr="00395593">
        <w:rPr>
          <w:rFonts w:ascii="Garamond" w:hAnsi="Garamond"/>
          <w:spacing w:val="1"/>
        </w:rPr>
        <w:t xml:space="preserve"> </w:t>
      </w:r>
      <w:r w:rsidRPr="00395593">
        <w:rPr>
          <w:rFonts w:ascii="Garamond" w:hAnsi="Garamond"/>
        </w:rPr>
        <w:t>a</w:t>
      </w:r>
      <w:r w:rsidRPr="00395593">
        <w:rPr>
          <w:rFonts w:ascii="Garamond" w:hAnsi="Garamond"/>
          <w:spacing w:val="1"/>
        </w:rPr>
        <w:t xml:space="preserve"> </w:t>
      </w:r>
      <w:r w:rsidRPr="00395593">
        <w:rPr>
          <w:rFonts w:ascii="Garamond" w:hAnsi="Garamond"/>
        </w:rPr>
        <w:t>que</w:t>
      </w:r>
      <w:r w:rsidRPr="00395593">
        <w:rPr>
          <w:rFonts w:ascii="Garamond" w:hAnsi="Garamond"/>
          <w:spacing w:val="1"/>
        </w:rPr>
        <w:t xml:space="preserve"> </w:t>
      </w:r>
      <w:r w:rsidRPr="00395593">
        <w:rPr>
          <w:rFonts w:ascii="Garamond" w:hAnsi="Garamond"/>
        </w:rPr>
        <w:t>se</w:t>
      </w:r>
      <w:r w:rsidRPr="00395593">
        <w:rPr>
          <w:rFonts w:ascii="Garamond" w:hAnsi="Garamond"/>
          <w:spacing w:val="1"/>
        </w:rPr>
        <w:t xml:space="preserve"> </w:t>
      </w:r>
      <w:r w:rsidRPr="00395593">
        <w:rPr>
          <w:rFonts w:ascii="Garamond" w:hAnsi="Garamond"/>
        </w:rPr>
        <w:t>referem</w:t>
      </w:r>
      <w:r w:rsidRPr="00395593">
        <w:rPr>
          <w:rFonts w:ascii="Garamond" w:hAnsi="Garamond"/>
          <w:spacing w:val="60"/>
        </w:rPr>
        <w:t xml:space="preserve"> </w:t>
      </w:r>
      <w:r w:rsidRPr="00395593">
        <w:rPr>
          <w:rFonts w:ascii="Garamond" w:hAnsi="Garamond"/>
        </w:rPr>
        <w:t>os</w:t>
      </w:r>
      <w:r w:rsidRPr="00395593">
        <w:rPr>
          <w:rFonts w:ascii="Garamond" w:hAnsi="Garamond"/>
          <w:spacing w:val="1"/>
        </w:rPr>
        <w:t xml:space="preserve"> </w:t>
      </w:r>
      <w:r w:rsidRPr="00395593">
        <w:rPr>
          <w:rFonts w:ascii="Garamond" w:hAnsi="Garamond"/>
        </w:rPr>
        <w:t>parágrafos</w:t>
      </w:r>
      <w:r w:rsidRPr="00395593">
        <w:rPr>
          <w:rFonts w:ascii="Garamond" w:hAnsi="Garamond"/>
          <w:spacing w:val="-1"/>
        </w:rPr>
        <w:t xml:space="preserve"> </w:t>
      </w:r>
      <w:r w:rsidRPr="00395593">
        <w:rPr>
          <w:rFonts w:ascii="Garamond" w:hAnsi="Garamond"/>
        </w:rPr>
        <w:t>1, 2 e</w:t>
      </w:r>
      <w:r w:rsidRPr="00395593">
        <w:rPr>
          <w:rFonts w:ascii="Garamond" w:hAnsi="Garamond"/>
          <w:spacing w:val="-2"/>
        </w:rPr>
        <w:t xml:space="preserve"> </w:t>
      </w:r>
      <w:r w:rsidRPr="00395593">
        <w:rPr>
          <w:rFonts w:ascii="Garamond" w:hAnsi="Garamond"/>
        </w:rPr>
        <w:t>3</w:t>
      </w:r>
      <w:r w:rsidRPr="00395593">
        <w:rPr>
          <w:rFonts w:ascii="Garamond" w:hAnsi="Garamond"/>
          <w:spacing w:val="-1"/>
        </w:rPr>
        <w:t xml:space="preserve"> </w:t>
      </w:r>
      <w:r w:rsidRPr="00395593">
        <w:rPr>
          <w:rFonts w:ascii="Garamond" w:hAnsi="Garamond"/>
        </w:rPr>
        <w:t>do</w:t>
      </w:r>
      <w:r w:rsidRPr="00395593">
        <w:rPr>
          <w:rFonts w:ascii="Garamond" w:hAnsi="Garamond"/>
          <w:spacing w:val="2"/>
        </w:rPr>
        <w:t xml:space="preserve"> </w:t>
      </w:r>
      <w:r w:rsidRPr="00395593">
        <w:rPr>
          <w:rFonts w:ascii="Garamond" w:hAnsi="Garamond"/>
        </w:rPr>
        <w:t>Artigo 7 a</w:t>
      </w:r>
      <w:r w:rsidRPr="00395593">
        <w:rPr>
          <w:rFonts w:ascii="Garamond" w:hAnsi="Garamond"/>
          <w:spacing w:val="-1"/>
        </w:rPr>
        <w:t xml:space="preserve"> </w:t>
      </w:r>
      <w:r w:rsidRPr="00395593">
        <w:rPr>
          <w:rFonts w:ascii="Garamond" w:hAnsi="Garamond"/>
        </w:rPr>
        <w:t>duração</w:t>
      </w:r>
      <w:r w:rsidRPr="00395593">
        <w:rPr>
          <w:rFonts w:ascii="Garamond" w:hAnsi="Garamond"/>
          <w:spacing w:val="-1"/>
        </w:rPr>
        <w:t xml:space="preserve"> </w:t>
      </w:r>
      <w:r w:rsidRPr="00395593">
        <w:rPr>
          <w:rFonts w:ascii="Garamond" w:hAnsi="Garamond"/>
        </w:rPr>
        <w:t>dessas</w:t>
      </w:r>
      <w:r w:rsidRPr="00395593">
        <w:rPr>
          <w:rFonts w:ascii="Garamond" w:hAnsi="Garamond"/>
          <w:spacing w:val="1"/>
        </w:rPr>
        <w:t xml:space="preserve"> </w:t>
      </w:r>
      <w:r w:rsidRPr="00395593">
        <w:rPr>
          <w:rFonts w:ascii="Garamond" w:hAnsi="Garamond"/>
        </w:rPr>
        <w:t>medidas provisórias.</w:t>
      </w:r>
    </w:p>
    <w:p w14:paraId="50F82DEF" w14:textId="77777777" w:rsidR="00D44A7A" w:rsidRPr="00395593" w:rsidRDefault="00D44A7A" w:rsidP="00D44A7A">
      <w:pPr>
        <w:pStyle w:val="Corpodetexto"/>
        <w:spacing w:before="1"/>
        <w:rPr>
          <w:rFonts w:ascii="Garamond" w:hAnsi="Garamond"/>
        </w:rPr>
      </w:pPr>
    </w:p>
    <w:p w14:paraId="5C06FC05" w14:textId="77777777" w:rsidR="00D44A7A" w:rsidRPr="00395593" w:rsidRDefault="00D44A7A" w:rsidP="00D44A7A">
      <w:pPr>
        <w:pStyle w:val="Corpodetexto"/>
        <w:spacing w:line="360" w:lineRule="auto"/>
        <w:ind w:left="1318" w:right="1259"/>
        <w:jc w:val="center"/>
        <w:rPr>
          <w:rFonts w:ascii="Garamond" w:hAnsi="Garamond"/>
          <w:b/>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7</w:t>
      </w:r>
    </w:p>
    <w:p w14:paraId="12FF2FA0" w14:textId="77777777" w:rsidR="00D44A7A" w:rsidRPr="00395593" w:rsidRDefault="00D44A7A" w:rsidP="00D44A7A">
      <w:pPr>
        <w:pStyle w:val="Corpodetexto"/>
        <w:spacing w:line="360" w:lineRule="auto"/>
        <w:ind w:left="1318" w:right="1261"/>
        <w:jc w:val="center"/>
        <w:rPr>
          <w:rFonts w:ascii="Garamond" w:hAnsi="Garamond"/>
          <w:b/>
        </w:rPr>
      </w:pPr>
      <w:r w:rsidRPr="00395593">
        <w:rPr>
          <w:rFonts w:ascii="Garamond" w:hAnsi="Garamond"/>
          <w:b/>
        </w:rPr>
        <w:t>Duração</w:t>
      </w:r>
      <w:r w:rsidRPr="00395593">
        <w:rPr>
          <w:rFonts w:ascii="Garamond" w:hAnsi="Garamond"/>
          <w:b/>
          <w:spacing w:val="-1"/>
        </w:rPr>
        <w:t xml:space="preserve"> </w:t>
      </w:r>
      <w:r w:rsidRPr="00395593">
        <w:rPr>
          <w:rFonts w:ascii="Garamond" w:hAnsi="Garamond"/>
          <w:b/>
        </w:rPr>
        <w:t>e</w:t>
      </w:r>
      <w:r w:rsidRPr="00395593">
        <w:rPr>
          <w:rFonts w:ascii="Garamond" w:hAnsi="Garamond"/>
          <w:b/>
          <w:spacing w:val="-2"/>
        </w:rPr>
        <w:t xml:space="preserve"> </w:t>
      </w:r>
      <w:r w:rsidRPr="00395593">
        <w:rPr>
          <w:rFonts w:ascii="Garamond" w:hAnsi="Garamond"/>
          <w:b/>
        </w:rPr>
        <w:t>Revisão</w:t>
      </w:r>
      <w:r w:rsidRPr="00395593">
        <w:rPr>
          <w:rFonts w:ascii="Garamond" w:hAnsi="Garamond"/>
          <w:b/>
          <w:spacing w:val="-1"/>
        </w:rPr>
        <w:t xml:space="preserve"> </w:t>
      </w:r>
      <w:r w:rsidRPr="00395593">
        <w:rPr>
          <w:rFonts w:ascii="Garamond" w:hAnsi="Garamond"/>
          <w:b/>
        </w:rPr>
        <w:t>das</w:t>
      </w:r>
      <w:r w:rsidRPr="00395593">
        <w:rPr>
          <w:rFonts w:ascii="Garamond" w:hAnsi="Garamond"/>
          <w:b/>
          <w:spacing w:val="1"/>
        </w:rPr>
        <w:t xml:space="preserve"> </w:t>
      </w:r>
      <w:r w:rsidRPr="00395593">
        <w:rPr>
          <w:rFonts w:ascii="Garamond" w:hAnsi="Garamond"/>
          <w:b/>
        </w:rPr>
        <w:t>Medidas</w:t>
      </w:r>
      <w:r w:rsidRPr="00395593">
        <w:rPr>
          <w:rFonts w:ascii="Garamond" w:hAnsi="Garamond"/>
          <w:b/>
          <w:spacing w:val="-1"/>
        </w:rPr>
        <w:t xml:space="preserve"> </w:t>
      </w:r>
      <w:r w:rsidRPr="00395593">
        <w:rPr>
          <w:rFonts w:ascii="Garamond" w:hAnsi="Garamond"/>
          <w:b/>
        </w:rPr>
        <w:t>de</w:t>
      </w:r>
      <w:r w:rsidRPr="00395593">
        <w:rPr>
          <w:rFonts w:ascii="Garamond" w:hAnsi="Garamond"/>
          <w:b/>
          <w:spacing w:val="-3"/>
        </w:rPr>
        <w:t xml:space="preserve"> </w:t>
      </w:r>
      <w:r w:rsidRPr="00395593">
        <w:rPr>
          <w:rFonts w:ascii="Garamond" w:hAnsi="Garamond"/>
          <w:b/>
        </w:rPr>
        <w:t>Salvaguarda</w:t>
      </w:r>
    </w:p>
    <w:p w14:paraId="62D2BE80" w14:textId="77777777" w:rsidR="00D44A7A" w:rsidRPr="00395593" w:rsidRDefault="00D44A7A" w:rsidP="00D44A7A">
      <w:pPr>
        <w:pStyle w:val="Corpodetexto"/>
        <w:rPr>
          <w:rFonts w:ascii="Garamond" w:hAnsi="Garamond"/>
        </w:rPr>
      </w:pPr>
    </w:p>
    <w:p w14:paraId="49E3293D" w14:textId="77777777" w:rsidR="00D44A7A" w:rsidRPr="00395593" w:rsidRDefault="00D44A7A" w:rsidP="002C4340">
      <w:pPr>
        <w:pStyle w:val="PargrafodaLista"/>
        <w:widowControl w:val="0"/>
        <w:numPr>
          <w:ilvl w:val="0"/>
          <w:numId w:val="72"/>
        </w:numPr>
        <w:tabs>
          <w:tab w:val="left" w:pos="930"/>
        </w:tabs>
        <w:autoSpaceDE w:val="0"/>
        <w:autoSpaceDN w:val="0"/>
        <w:spacing w:after="0" w:line="240" w:lineRule="auto"/>
        <w:ind w:right="164" w:firstLine="0"/>
        <w:contextualSpacing w:val="0"/>
        <w:jc w:val="both"/>
        <w:rPr>
          <w:rFonts w:ascii="Garamond" w:hAnsi="Garamond"/>
          <w:sz w:val="24"/>
        </w:rPr>
      </w:pPr>
      <w:r w:rsidRPr="00395593">
        <w:rPr>
          <w:rFonts w:ascii="Garamond" w:hAnsi="Garamond"/>
          <w:sz w:val="24"/>
        </w:rPr>
        <w:t>As medidas de salvaguarda só serão aplicadas durante o período que seja necessário</w:t>
      </w:r>
      <w:r w:rsidRPr="00395593">
        <w:rPr>
          <w:rFonts w:ascii="Garamond" w:hAnsi="Garamond"/>
          <w:spacing w:val="1"/>
          <w:sz w:val="24"/>
        </w:rPr>
        <w:t xml:space="preserve"> </w:t>
      </w:r>
      <w:r w:rsidRPr="00395593">
        <w:rPr>
          <w:rFonts w:ascii="Garamond" w:hAnsi="Garamond"/>
          <w:sz w:val="24"/>
        </w:rPr>
        <w:t>para prevenir ou remediar o prejuízo grave e facilitar o ajustamento. Tal período não será</w:t>
      </w:r>
      <w:r w:rsidRPr="00395593">
        <w:rPr>
          <w:rFonts w:ascii="Garamond" w:hAnsi="Garamond"/>
          <w:spacing w:val="1"/>
          <w:sz w:val="24"/>
        </w:rPr>
        <w:t xml:space="preserve"> </w:t>
      </w:r>
      <w:r w:rsidRPr="00395593">
        <w:rPr>
          <w:rFonts w:ascii="Garamond" w:hAnsi="Garamond"/>
          <w:sz w:val="24"/>
        </w:rPr>
        <w:t>superior</w:t>
      </w:r>
      <w:r w:rsidRPr="00395593">
        <w:rPr>
          <w:rFonts w:ascii="Garamond" w:hAnsi="Garamond"/>
          <w:spacing w:val="-2"/>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quatro anos,</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menos que</w:t>
      </w:r>
      <w:r w:rsidRPr="00395593">
        <w:rPr>
          <w:rFonts w:ascii="Garamond" w:hAnsi="Garamond"/>
          <w:spacing w:val="-2"/>
          <w:sz w:val="24"/>
        </w:rPr>
        <w:t xml:space="preserve"> </w:t>
      </w:r>
      <w:r w:rsidRPr="00395593">
        <w:rPr>
          <w:rFonts w:ascii="Garamond" w:hAnsi="Garamond"/>
          <w:sz w:val="24"/>
        </w:rPr>
        <w:t>seja</w:t>
      </w:r>
      <w:r w:rsidRPr="00395593">
        <w:rPr>
          <w:rFonts w:ascii="Garamond" w:hAnsi="Garamond"/>
          <w:spacing w:val="-1"/>
          <w:sz w:val="24"/>
        </w:rPr>
        <w:t xml:space="preserve"> </w:t>
      </w:r>
      <w:r w:rsidRPr="00395593">
        <w:rPr>
          <w:rFonts w:ascii="Garamond" w:hAnsi="Garamond"/>
          <w:sz w:val="24"/>
        </w:rPr>
        <w:t>prorrogado nos termos</w:t>
      </w:r>
      <w:r w:rsidRPr="00395593">
        <w:rPr>
          <w:rFonts w:ascii="Garamond" w:hAnsi="Garamond"/>
          <w:spacing w:val="-1"/>
          <w:sz w:val="24"/>
        </w:rPr>
        <w:t xml:space="preserve"> </w:t>
      </w:r>
      <w:r w:rsidRPr="00395593">
        <w:rPr>
          <w:rFonts w:ascii="Garamond" w:hAnsi="Garamond"/>
          <w:sz w:val="24"/>
        </w:rPr>
        <w:t>do parágrafo segundo.</w:t>
      </w:r>
    </w:p>
    <w:p w14:paraId="2AB1E2DA" w14:textId="77777777" w:rsidR="00D44A7A" w:rsidRPr="00395593" w:rsidRDefault="00D44A7A" w:rsidP="00D44A7A">
      <w:pPr>
        <w:pStyle w:val="Corpodetexto"/>
        <w:rPr>
          <w:rFonts w:ascii="Garamond" w:hAnsi="Garamond"/>
        </w:rPr>
      </w:pPr>
    </w:p>
    <w:p w14:paraId="055888EF" w14:textId="77777777" w:rsidR="00D44A7A" w:rsidRPr="00395593" w:rsidRDefault="00D44A7A" w:rsidP="002C4340">
      <w:pPr>
        <w:pStyle w:val="PargrafodaLista"/>
        <w:widowControl w:val="0"/>
        <w:numPr>
          <w:ilvl w:val="0"/>
          <w:numId w:val="72"/>
        </w:numPr>
        <w:tabs>
          <w:tab w:val="left" w:pos="930"/>
        </w:tabs>
        <w:autoSpaceDE w:val="0"/>
        <w:autoSpaceDN w:val="0"/>
        <w:spacing w:after="0" w:line="240" w:lineRule="auto"/>
        <w:ind w:right="162" w:firstLine="0"/>
        <w:contextualSpacing w:val="0"/>
        <w:jc w:val="both"/>
        <w:rPr>
          <w:rFonts w:ascii="Garamond" w:hAnsi="Garamond"/>
          <w:sz w:val="24"/>
        </w:rPr>
      </w:pPr>
      <w:r w:rsidRPr="00395593">
        <w:rPr>
          <w:rFonts w:ascii="Garamond" w:hAnsi="Garamond"/>
          <w:sz w:val="24"/>
        </w:rPr>
        <w:t>O período mencionado no parágrafo primeiro poderá ser prorrogado desde que as</w:t>
      </w:r>
      <w:r w:rsidRPr="00395593">
        <w:rPr>
          <w:rFonts w:ascii="Garamond" w:hAnsi="Garamond"/>
          <w:spacing w:val="1"/>
          <w:sz w:val="24"/>
        </w:rPr>
        <w:t xml:space="preserve"> </w:t>
      </w:r>
      <w:r w:rsidRPr="00395593">
        <w:rPr>
          <w:rFonts w:ascii="Garamond" w:hAnsi="Garamond"/>
          <w:sz w:val="24"/>
        </w:rPr>
        <w:t>autoridades competentes do Membro importador hajam determinado, de conformidade com</w:t>
      </w:r>
      <w:r w:rsidRPr="00395593">
        <w:rPr>
          <w:rFonts w:ascii="Garamond" w:hAnsi="Garamond"/>
          <w:spacing w:val="-57"/>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procedimentos</w:t>
      </w:r>
      <w:r w:rsidRPr="00395593">
        <w:rPr>
          <w:rFonts w:ascii="Garamond" w:hAnsi="Garamond"/>
          <w:spacing w:val="1"/>
          <w:sz w:val="24"/>
        </w:rPr>
        <w:t xml:space="preserve"> </w:t>
      </w:r>
      <w:r w:rsidRPr="00395593">
        <w:rPr>
          <w:rFonts w:ascii="Garamond" w:hAnsi="Garamond"/>
          <w:sz w:val="24"/>
        </w:rPr>
        <w:t>estabelecidos</w:t>
      </w:r>
      <w:r w:rsidRPr="00395593">
        <w:rPr>
          <w:rFonts w:ascii="Garamond" w:hAnsi="Garamond"/>
          <w:spacing w:val="1"/>
          <w:sz w:val="24"/>
        </w:rPr>
        <w:t xml:space="preserve"> </w:t>
      </w:r>
      <w:r w:rsidRPr="00395593">
        <w:rPr>
          <w:rFonts w:ascii="Garamond" w:hAnsi="Garamond"/>
          <w:sz w:val="24"/>
        </w:rPr>
        <w:t>nos</w:t>
      </w:r>
      <w:r w:rsidRPr="00395593">
        <w:rPr>
          <w:rFonts w:ascii="Garamond" w:hAnsi="Garamond"/>
          <w:spacing w:val="1"/>
          <w:sz w:val="24"/>
        </w:rPr>
        <w:t xml:space="preserve"> </w:t>
      </w:r>
      <w:r w:rsidRPr="00395593">
        <w:rPr>
          <w:rFonts w:ascii="Garamond" w:hAnsi="Garamond"/>
          <w:sz w:val="24"/>
        </w:rPr>
        <w:t>Artigos</w:t>
      </w:r>
      <w:r w:rsidRPr="00395593">
        <w:rPr>
          <w:rFonts w:ascii="Garamond" w:hAnsi="Garamond"/>
          <w:spacing w:val="1"/>
          <w:sz w:val="24"/>
        </w:rPr>
        <w:t xml:space="preserve"> </w:t>
      </w:r>
      <w:r w:rsidRPr="00395593">
        <w:rPr>
          <w:rFonts w:ascii="Garamond" w:hAnsi="Garamond"/>
          <w:sz w:val="24"/>
        </w:rPr>
        <w:t>2,</w:t>
      </w:r>
      <w:r w:rsidRPr="00395593">
        <w:rPr>
          <w:rFonts w:ascii="Garamond" w:hAnsi="Garamond"/>
          <w:spacing w:val="1"/>
          <w:sz w:val="24"/>
        </w:rPr>
        <w:t xml:space="preserve"> </w:t>
      </w:r>
      <w:r w:rsidRPr="00395593">
        <w:rPr>
          <w:rFonts w:ascii="Garamond" w:hAnsi="Garamond"/>
          <w:sz w:val="24"/>
        </w:rPr>
        <w:t>3,</w:t>
      </w:r>
      <w:r w:rsidRPr="00395593">
        <w:rPr>
          <w:rFonts w:ascii="Garamond" w:hAnsi="Garamond"/>
          <w:spacing w:val="1"/>
          <w:sz w:val="24"/>
        </w:rPr>
        <w:t xml:space="preserve"> </w:t>
      </w:r>
      <w:r w:rsidRPr="00395593">
        <w:rPr>
          <w:rFonts w:ascii="Garamond" w:hAnsi="Garamond"/>
          <w:sz w:val="24"/>
        </w:rPr>
        <w:t>4</w:t>
      </w:r>
      <w:r w:rsidRPr="00395593">
        <w:rPr>
          <w:rFonts w:ascii="Garamond" w:hAnsi="Garamond"/>
          <w:spacing w:val="1"/>
          <w:sz w:val="24"/>
        </w:rPr>
        <w:t xml:space="preserve"> </w:t>
      </w:r>
      <w:r w:rsidRPr="00395593">
        <w:rPr>
          <w:rFonts w:ascii="Garamond" w:hAnsi="Garamond"/>
          <w:sz w:val="24"/>
        </w:rPr>
        <w:t>e 5</w:t>
      </w:r>
      <w:r w:rsidRPr="00395593">
        <w:rPr>
          <w:rFonts w:ascii="Garamond" w:hAnsi="Garamond"/>
          <w:spacing w:val="1"/>
          <w:sz w:val="24"/>
        </w:rPr>
        <w:t xml:space="preserve"> </w:t>
      </w:r>
      <w:r w:rsidRPr="00395593">
        <w:rPr>
          <w:rFonts w:ascii="Garamond" w:hAnsi="Garamond"/>
          <w:sz w:val="24"/>
        </w:rPr>
        <w:t>que a medida de salvaguarda</w:t>
      </w:r>
      <w:r w:rsidRPr="00395593">
        <w:rPr>
          <w:rFonts w:ascii="Garamond" w:hAnsi="Garamond"/>
          <w:spacing w:val="1"/>
          <w:sz w:val="24"/>
        </w:rPr>
        <w:t xml:space="preserve"> </w:t>
      </w:r>
      <w:r w:rsidRPr="00395593">
        <w:rPr>
          <w:rFonts w:ascii="Garamond" w:hAnsi="Garamond"/>
          <w:sz w:val="24"/>
        </w:rPr>
        <w:t>continua a ser necessária para prevenir ou remediar o prejuízo grave, de que haja provas de</w:t>
      </w:r>
      <w:r w:rsidRPr="00395593">
        <w:rPr>
          <w:rFonts w:ascii="Garamond" w:hAnsi="Garamond"/>
          <w:spacing w:val="1"/>
          <w:sz w:val="24"/>
        </w:rPr>
        <w:t xml:space="preserve"> </w:t>
      </w:r>
      <w:r w:rsidRPr="00395593">
        <w:rPr>
          <w:rFonts w:ascii="Garamond" w:hAnsi="Garamond"/>
          <w:sz w:val="24"/>
        </w:rPr>
        <w:t>que a indústria está em processo de ajustamento e com a condição de que sejam observadas</w:t>
      </w:r>
      <w:r w:rsidRPr="00395593">
        <w:rPr>
          <w:rFonts w:ascii="Garamond" w:hAnsi="Garamond"/>
          <w:spacing w:val="-57"/>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disposições pertinentes dos Artigos 8 e</w:t>
      </w:r>
      <w:r w:rsidRPr="00395593">
        <w:rPr>
          <w:rFonts w:ascii="Garamond" w:hAnsi="Garamond"/>
          <w:spacing w:val="-1"/>
          <w:sz w:val="24"/>
        </w:rPr>
        <w:t xml:space="preserve"> </w:t>
      </w:r>
      <w:r w:rsidRPr="00395593">
        <w:rPr>
          <w:rFonts w:ascii="Garamond" w:hAnsi="Garamond"/>
          <w:sz w:val="24"/>
        </w:rPr>
        <w:t>12.</w:t>
      </w:r>
    </w:p>
    <w:p w14:paraId="3089F418" w14:textId="77777777" w:rsidR="00D44A7A" w:rsidRPr="00395593" w:rsidRDefault="00D44A7A" w:rsidP="00D44A7A">
      <w:pPr>
        <w:pStyle w:val="Corpodetexto"/>
        <w:rPr>
          <w:rFonts w:ascii="Garamond" w:hAnsi="Garamond"/>
        </w:rPr>
      </w:pPr>
    </w:p>
    <w:p w14:paraId="37660A32" w14:textId="77777777" w:rsidR="00D44A7A" w:rsidRPr="00395593" w:rsidRDefault="00D44A7A" w:rsidP="002C4340">
      <w:pPr>
        <w:pStyle w:val="PargrafodaLista"/>
        <w:widowControl w:val="0"/>
        <w:numPr>
          <w:ilvl w:val="0"/>
          <w:numId w:val="72"/>
        </w:numPr>
        <w:tabs>
          <w:tab w:val="left" w:pos="930"/>
        </w:tabs>
        <w:autoSpaceDE w:val="0"/>
        <w:autoSpaceDN w:val="0"/>
        <w:spacing w:before="1" w:after="0" w:line="240" w:lineRule="auto"/>
        <w:ind w:right="158" w:firstLine="0"/>
        <w:contextualSpacing w:val="0"/>
        <w:jc w:val="both"/>
        <w:rPr>
          <w:rFonts w:ascii="Garamond" w:hAnsi="Garamond"/>
          <w:sz w:val="24"/>
        </w:rPr>
      </w:pPr>
      <w:r w:rsidRPr="00395593">
        <w:rPr>
          <w:rFonts w:ascii="Garamond" w:hAnsi="Garamond"/>
          <w:sz w:val="24"/>
        </w:rPr>
        <w:t>O período total de aplicação de uma medida de salvaguarda, contados o período de</w:t>
      </w:r>
      <w:r w:rsidRPr="00395593">
        <w:rPr>
          <w:rFonts w:ascii="Garamond" w:hAnsi="Garamond"/>
          <w:spacing w:val="1"/>
          <w:sz w:val="24"/>
        </w:rPr>
        <w:t xml:space="preserve"> </w:t>
      </w:r>
      <w:r w:rsidRPr="00395593">
        <w:rPr>
          <w:rFonts w:ascii="Garamond" w:hAnsi="Garamond"/>
          <w:sz w:val="24"/>
        </w:rPr>
        <w:t>aplicação de qualquer medida provisória, o período de aplicação inicial e de qualquer</w:t>
      </w:r>
      <w:r w:rsidRPr="00395593">
        <w:rPr>
          <w:rFonts w:ascii="Garamond" w:hAnsi="Garamond"/>
          <w:spacing w:val="1"/>
          <w:sz w:val="24"/>
        </w:rPr>
        <w:t xml:space="preserve"> </w:t>
      </w:r>
      <w:r w:rsidRPr="00395593">
        <w:rPr>
          <w:rFonts w:ascii="Garamond" w:hAnsi="Garamond"/>
          <w:sz w:val="24"/>
        </w:rPr>
        <w:t>prorrogação</w:t>
      </w:r>
      <w:r w:rsidRPr="00395593">
        <w:rPr>
          <w:rFonts w:ascii="Garamond" w:hAnsi="Garamond"/>
          <w:spacing w:val="-1"/>
          <w:sz w:val="24"/>
        </w:rPr>
        <w:t xml:space="preserve"> </w:t>
      </w:r>
      <w:r w:rsidRPr="00395593">
        <w:rPr>
          <w:rFonts w:ascii="Garamond" w:hAnsi="Garamond"/>
          <w:sz w:val="24"/>
        </w:rPr>
        <w:t>deste, não será</w:t>
      </w:r>
      <w:r w:rsidRPr="00395593">
        <w:rPr>
          <w:rFonts w:ascii="Garamond" w:hAnsi="Garamond"/>
          <w:spacing w:val="-2"/>
          <w:sz w:val="24"/>
        </w:rPr>
        <w:t xml:space="preserve"> </w:t>
      </w:r>
      <w:r w:rsidRPr="00395593">
        <w:rPr>
          <w:rFonts w:ascii="Garamond" w:hAnsi="Garamond"/>
          <w:sz w:val="24"/>
        </w:rPr>
        <w:t>superior</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oito anos.</w:t>
      </w:r>
    </w:p>
    <w:p w14:paraId="60A1F2F5" w14:textId="77777777" w:rsidR="00D44A7A" w:rsidRPr="00395593" w:rsidRDefault="00D44A7A" w:rsidP="00D44A7A">
      <w:pPr>
        <w:jc w:val="both"/>
        <w:rPr>
          <w:rFonts w:ascii="Garamond" w:hAnsi="Garamond"/>
          <w:sz w:val="24"/>
        </w:rPr>
        <w:sectPr w:rsidR="00D44A7A" w:rsidRPr="00395593" w:rsidSect="00E15FBB">
          <w:pgSz w:w="12240" w:h="15840"/>
          <w:pgMar w:top="1418" w:right="1540" w:bottom="280" w:left="1418" w:header="720" w:footer="720" w:gutter="0"/>
          <w:cols w:space="720"/>
        </w:sectPr>
      </w:pPr>
    </w:p>
    <w:p w14:paraId="3FF29631" w14:textId="77777777" w:rsidR="00D44A7A" w:rsidRPr="00395593" w:rsidRDefault="00D44A7A" w:rsidP="002C4340">
      <w:pPr>
        <w:pStyle w:val="PargrafodaLista"/>
        <w:widowControl w:val="0"/>
        <w:numPr>
          <w:ilvl w:val="0"/>
          <w:numId w:val="72"/>
        </w:numPr>
        <w:tabs>
          <w:tab w:val="left" w:pos="930"/>
        </w:tabs>
        <w:autoSpaceDE w:val="0"/>
        <w:autoSpaceDN w:val="0"/>
        <w:spacing w:before="68" w:after="0" w:line="240" w:lineRule="auto"/>
        <w:ind w:right="157" w:firstLine="0"/>
        <w:contextualSpacing w:val="0"/>
        <w:jc w:val="both"/>
        <w:rPr>
          <w:rFonts w:ascii="Garamond" w:hAnsi="Garamond"/>
          <w:sz w:val="24"/>
        </w:rPr>
      </w:pP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fim</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facilitar</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ajustamento,</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duração</w:t>
      </w:r>
      <w:r w:rsidRPr="00395593">
        <w:rPr>
          <w:rFonts w:ascii="Garamond" w:hAnsi="Garamond"/>
          <w:spacing w:val="1"/>
          <w:sz w:val="24"/>
        </w:rPr>
        <w:t xml:space="preserve"> </w:t>
      </w:r>
      <w:r w:rsidRPr="00395593">
        <w:rPr>
          <w:rFonts w:ascii="Garamond" w:hAnsi="Garamond"/>
          <w:sz w:val="24"/>
        </w:rPr>
        <w:t>prevista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uma</w:t>
      </w:r>
      <w:r w:rsidRPr="00395593">
        <w:rPr>
          <w:rFonts w:ascii="Garamond" w:hAnsi="Garamond"/>
          <w:spacing w:val="1"/>
          <w:sz w:val="24"/>
        </w:rPr>
        <w:t xml:space="preserve"> </w:t>
      </w:r>
      <w:r w:rsidRPr="00395593">
        <w:rPr>
          <w:rFonts w:ascii="Garamond" w:hAnsi="Garamond"/>
          <w:sz w:val="24"/>
        </w:rPr>
        <w:t>medida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salvaguarda, notificada</w:t>
      </w:r>
      <w:r w:rsidRPr="00395593">
        <w:rPr>
          <w:rFonts w:ascii="Garamond" w:hAnsi="Garamond"/>
          <w:spacing w:val="1"/>
          <w:sz w:val="24"/>
        </w:rPr>
        <w:t xml:space="preserve"> </w:t>
      </w:r>
      <w:r w:rsidRPr="00395593">
        <w:rPr>
          <w:rFonts w:ascii="Garamond" w:hAnsi="Garamond"/>
          <w:sz w:val="24"/>
        </w:rPr>
        <w:t>de conformidade com as disposições do parágrafo primeiro do</w:t>
      </w:r>
      <w:r w:rsidRPr="00395593">
        <w:rPr>
          <w:rFonts w:ascii="Garamond" w:hAnsi="Garamond"/>
          <w:spacing w:val="1"/>
          <w:sz w:val="24"/>
        </w:rPr>
        <w:t xml:space="preserve"> </w:t>
      </w:r>
      <w:r w:rsidRPr="00395593">
        <w:rPr>
          <w:rFonts w:ascii="Garamond" w:hAnsi="Garamond"/>
          <w:sz w:val="24"/>
        </w:rPr>
        <w:t>Artigo</w:t>
      </w:r>
      <w:r w:rsidRPr="00395593">
        <w:rPr>
          <w:rFonts w:ascii="Garamond" w:hAnsi="Garamond"/>
          <w:spacing w:val="1"/>
          <w:sz w:val="24"/>
        </w:rPr>
        <w:t xml:space="preserve"> </w:t>
      </w:r>
      <w:r w:rsidRPr="00395593">
        <w:rPr>
          <w:rFonts w:ascii="Garamond" w:hAnsi="Garamond"/>
          <w:sz w:val="24"/>
        </w:rPr>
        <w:t>12,</w:t>
      </w:r>
      <w:r w:rsidRPr="00395593">
        <w:rPr>
          <w:rFonts w:ascii="Garamond" w:hAnsi="Garamond"/>
          <w:spacing w:val="1"/>
          <w:sz w:val="24"/>
        </w:rPr>
        <w:t xml:space="preserve"> </w:t>
      </w:r>
      <w:r w:rsidRPr="00395593">
        <w:rPr>
          <w:rFonts w:ascii="Garamond" w:hAnsi="Garamond"/>
          <w:sz w:val="24"/>
        </w:rPr>
        <w:t>for</w:t>
      </w:r>
      <w:r w:rsidRPr="00395593">
        <w:rPr>
          <w:rFonts w:ascii="Garamond" w:hAnsi="Garamond"/>
          <w:spacing w:val="1"/>
          <w:sz w:val="24"/>
        </w:rPr>
        <w:t xml:space="preserve"> </w:t>
      </w:r>
      <w:r w:rsidRPr="00395593">
        <w:rPr>
          <w:rFonts w:ascii="Garamond" w:hAnsi="Garamond"/>
          <w:sz w:val="24"/>
        </w:rPr>
        <w:t>superior</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um</w:t>
      </w:r>
      <w:r w:rsidRPr="00395593">
        <w:rPr>
          <w:rFonts w:ascii="Garamond" w:hAnsi="Garamond"/>
          <w:spacing w:val="1"/>
          <w:sz w:val="24"/>
        </w:rPr>
        <w:t xml:space="preserve"> </w:t>
      </w:r>
      <w:r w:rsidRPr="00395593">
        <w:rPr>
          <w:rFonts w:ascii="Garamond" w:hAnsi="Garamond"/>
          <w:sz w:val="24"/>
        </w:rPr>
        <w:t>ano,</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medida</w:t>
      </w:r>
      <w:r w:rsidRPr="00395593">
        <w:rPr>
          <w:rFonts w:ascii="Garamond" w:hAnsi="Garamond"/>
          <w:spacing w:val="1"/>
          <w:sz w:val="24"/>
        </w:rPr>
        <w:t xml:space="preserve"> </w:t>
      </w:r>
      <w:r w:rsidRPr="00395593">
        <w:rPr>
          <w:rFonts w:ascii="Garamond" w:hAnsi="Garamond"/>
          <w:sz w:val="24"/>
        </w:rPr>
        <w:t>será</w:t>
      </w:r>
      <w:r w:rsidRPr="00395593">
        <w:rPr>
          <w:rFonts w:ascii="Garamond" w:hAnsi="Garamond"/>
          <w:spacing w:val="1"/>
          <w:sz w:val="24"/>
        </w:rPr>
        <w:t xml:space="preserve"> </w:t>
      </w:r>
      <w:r w:rsidRPr="00395593">
        <w:rPr>
          <w:rFonts w:ascii="Garamond" w:hAnsi="Garamond"/>
          <w:sz w:val="24"/>
        </w:rPr>
        <w:t>liberalizada</w:t>
      </w:r>
      <w:r w:rsidRPr="00395593">
        <w:rPr>
          <w:rFonts w:ascii="Garamond" w:hAnsi="Garamond"/>
          <w:spacing w:val="1"/>
          <w:sz w:val="24"/>
        </w:rPr>
        <w:t xml:space="preserve"> </w:t>
      </w:r>
      <w:r w:rsidRPr="00395593">
        <w:rPr>
          <w:rFonts w:ascii="Garamond" w:hAnsi="Garamond"/>
          <w:sz w:val="24"/>
        </w:rPr>
        <w:t>progressivamente,</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intervalos regulares, durante o período de aplicação. Se a duração da medida for superior a</w:t>
      </w:r>
      <w:r w:rsidRPr="00395593">
        <w:rPr>
          <w:rFonts w:ascii="Garamond" w:hAnsi="Garamond"/>
          <w:spacing w:val="1"/>
          <w:sz w:val="24"/>
        </w:rPr>
        <w:t xml:space="preserve"> </w:t>
      </w:r>
      <w:r w:rsidRPr="00395593">
        <w:rPr>
          <w:rFonts w:ascii="Garamond" w:hAnsi="Garamond"/>
          <w:sz w:val="24"/>
        </w:rPr>
        <w:t>três anos, o Membro que a aplicar examinará a situação o mais tardar na metade do período</w:t>
      </w:r>
      <w:r w:rsidRPr="00395593">
        <w:rPr>
          <w:rFonts w:ascii="Garamond" w:hAnsi="Garamond"/>
          <w:spacing w:val="1"/>
          <w:sz w:val="24"/>
        </w:rPr>
        <w:t xml:space="preserve"> </w:t>
      </w:r>
      <w:r w:rsidRPr="00395593">
        <w:rPr>
          <w:rFonts w:ascii="Garamond" w:hAnsi="Garamond"/>
          <w:sz w:val="24"/>
        </w:rPr>
        <w:t>de aplicação da medida e, se for o caso, suspenderá a medida ou acelerará o ritmo da</w:t>
      </w:r>
      <w:r w:rsidRPr="00395593">
        <w:rPr>
          <w:rFonts w:ascii="Garamond" w:hAnsi="Garamond"/>
          <w:spacing w:val="1"/>
          <w:sz w:val="24"/>
        </w:rPr>
        <w:t xml:space="preserve"> </w:t>
      </w:r>
      <w:r w:rsidRPr="00395593">
        <w:rPr>
          <w:rFonts w:ascii="Garamond" w:hAnsi="Garamond"/>
          <w:sz w:val="24"/>
        </w:rPr>
        <w:t>liberalização. Uma medida prorrogada nos termos do parágrafo segundo não será mais</w:t>
      </w:r>
      <w:r w:rsidRPr="00395593">
        <w:rPr>
          <w:rFonts w:ascii="Garamond" w:hAnsi="Garamond"/>
          <w:spacing w:val="1"/>
          <w:sz w:val="24"/>
        </w:rPr>
        <w:t xml:space="preserve"> </w:t>
      </w:r>
      <w:r w:rsidRPr="00395593">
        <w:rPr>
          <w:rFonts w:ascii="Garamond" w:hAnsi="Garamond"/>
          <w:sz w:val="24"/>
        </w:rPr>
        <w:t>restritiva</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2"/>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era</w:t>
      </w:r>
      <w:r w:rsidRPr="00395593">
        <w:rPr>
          <w:rFonts w:ascii="Garamond" w:hAnsi="Garamond"/>
          <w:spacing w:val="-2"/>
          <w:sz w:val="24"/>
        </w:rPr>
        <w:t xml:space="preserve"> </w:t>
      </w:r>
      <w:r w:rsidRPr="00395593">
        <w:rPr>
          <w:rFonts w:ascii="Garamond" w:hAnsi="Garamond"/>
          <w:sz w:val="24"/>
        </w:rPr>
        <w:t>ao</w:t>
      </w:r>
      <w:r w:rsidRPr="00395593">
        <w:rPr>
          <w:rFonts w:ascii="Garamond" w:hAnsi="Garamond"/>
          <w:spacing w:val="1"/>
          <w:sz w:val="24"/>
        </w:rPr>
        <w:t xml:space="preserve"> </w:t>
      </w:r>
      <w:r w:rsidRPr="00395593">
        <w:rPr>
          <w:rFonts w:ascii="Garamond" w:hAnsi="Garamond"/>
          <w:sz w:val="24"/>
        </w:rPr>
        <w:t>cabo do</w:t>
      </w:r>
      <w:r w:rsidRPr="00395593">
        <w:rPr>
          <w:rFonts w:ascii="Garamond" w:hAnsi="Garamond"/>
          <w:spacing w:val="-1"/>
          <w:sz w:val="24"/>
        </w:rPr>
        <w:t xml:space="preserve"> </w:t>
      </w:r>
      <w:r w:rsidRPr="00395593">
        <w:rPr>
          <w:rFonts w:ascii="Garamond" w:hAnsi="Garamond"/>
          <w:sz w:val="24"/>
        </w:rPr>
        <w:t>período</w:t>
      </w:r>
      <w:r w:rsidRPr="00395593">
        <w:rPr>
          <w:rFonts w:ascii="Garamond" w:hAnsi="Garamond"/>
          <w:spacing w:val="-1"/>
          <w:sz w:val="24"/>
        </w:rPr>
        <w:t xml:space="preserve"> </w:t>
      </w:r>
      <w:r w:rsidRPr="00395593">
        <w:rPr>
          <w:rFonts w:ascii="Garamond" w:hAnsi="Garamond"/>
          <w:sz w:val="24"/>
        </w:rPr>
        <w:t>inicial</w:t>
      </w:r>
      <w:r w:rsidRPr="00395593">
        <w:rPr>
          <w:rFonts w:ascii="Garamond" w:hAnsi="Garamond"/>
          <w:spacing w:val="2"/>
          <w:sz w:val="24"/>
        </w:rPr>
        <w:t xml:space="preserve"> </w:t>
      </w:r>
      <w:r w:rsidRPr="00395593">
        <w:rPr>
          <w:rFonts w:ascii="Garamond" w:hAnsi="Garamond"/>
          <w:sz w:val="24"/>
        </w:rPr>
        <w:t>e sua</w:t>
      </w:r>
      <w:r w:rsidRPr="00395593">
        <w:rPr>
          <w:rFonts w:ascii="Garamond" w:hAnsi="Garamond"/>
          <w:spacing w:val="-1"/>
          <w:sz w:val="24"/>
        </w:rPr>
        <w:t xml:space="preserve"> </w:t>
      </w:r>
      <w:r w:rsidRPr="00395593">
        <w:rPr>
          <w:rFonts w:ascii="Garamond" w:hAnsi="Garamond"/>
          <w:sz w:val="24"/>
        </w:rPr>
        <w:t>liberalização</w:t>
      </w:r>
      <w:r w:rsidRPr="00395593">
        <w:rPr>
          <w:rFonts w:ascii="Garamond" w:hAnsi="Garamond"/>
          <w:spacing w:val="-1"/>
          <w:sz w:val="24"/>
        </w:rPr>
        <w:t xml:space="preserve"> </w:t>
      </w:r>
      <w:r w:rsidRPr="00395593">
        <w:rPr>
          <w:rFonts w:ascii="Garamond" w:hAnsi="Garamond"/>
          <w:sz w:val="24"/>
        </w:rPr>
        <w:t>deverá</w:t>
      </w:r>
      <w:r w:rsidRPr="00395593">
        <w:rPr>
          <w:rFonts w:ascii="Garamond" w:hAnsi="Garamond"/>
          <w:spacing w:val="1"/>
          <w:sz w:val="24"/>
        </w:rPr>
        <w:t xml:space="preserve"> </w:t>
      </w:r>
      <w:r w:rsidRPr="00395593">
        <w:rPr>
          <w:rFonts w:ascii="Garamond" w:hAnsi="Garamond"/>
          <w:sz w:val="24"/>
        </w:rPr>
        <w:t>prosseguir.</w:t>
      </w:r>
    </w:p>
    <w:p w14:paraId="5878B2EF" w14:textId="77777777" w:rsidR="00D44A7A" w:rsidRPr="00395593" w:rsidRDefault="00D44A7A" w:rsidP="00D44A7A">
      <w:pPr>
        <w:pStyle w:val="Corpodetexto"/>
        <w:rPr>
          <w:rFonts w:ascii="Garamond" w:hAnsi="Garamond"/>
        </w:rPr>
      </w:pPr>
    </w:p>
    <w:p w14:paraId="29757290" w14:textId="77777777" w:rsidR="00D44A7A" w:rsidRPr="00395593" w:rsidRDefault="00D44A7A" w:rsidP="002C4340">
      <w:pPr>
        <w:pStyle w:val="PargrafodaLista"/>
        <w:widowControl w:val="0"/>
        <w:numPr>
          <w:ilvl w:val="0"/>
          <w:numId w:val="72"/>
        </w:numPr>
        <w:tabs>
          <w:tab w:val="left" w:pos="930"/>
        </w:tabs>
        <w:autoSpaceDE w:val="0"/>
        <w:autoSpaceDN w:val="0"/>
        <w:spacing w:after="0" w:line="240" w:lineRule="auto"/>
        <w:ind w:right="160" w:firstLine="0"/>
        <w:contextualSpacing w:val="0"/>
        <w:jc w:val="both"/>
        <w:rPr>
          <w:rFonts w:ascii="Garamond" w:hAnsi="Garamond"/>
          <w:sz w:val="24"/>
        </w:rPr>
      </w:pPr>
      <w:r w:rsidRPr="00395593">
        <w:rPr>
          <w:rFonts w:ascii="Garamond" w:hAnsi="Garamond"/>
          <w:sz w:val="24"/>
        </w:rPr>
        <w:t>Nenhuma medida de salvaguarda voltará a ser aplicada à importação de um produto</w:t>
      </w:r>
      <w:r w:rsidRPr="00395593">
        <w:rPr>
          <w:rFonts w:ascii="Garamond" w:hAnsi="Garamond"/>
          <w:spacing w:val="1"/>
          <w:sz w:val="24"/>
        </w:rPr>
        <w:t xml:space="preserve"> </w:t>
      </w:r>
      <w:r w:rsidRPr="00395593">
        <w:rPr>
          <w:rFonts w:ascii="Garamond" w:hAnsi="Garamond"/>
          <w:sz w:val="24"/>
        </w:rPr>
        <w:t>que tenha estado sujeito a uma medida dessa natureza adotada após a data de entrada em</w:t>
      </w:r>
      <w:r w:rsidRPr="00395593">
        <w:rPr>
          <w:rFonts w:ascii="Garamond" w:hAnsi="Garamond"/>
          <w:spacing w:val="1"/>
          <w:sz w:val="24"/>
        </w:rPr>
        <w:t xml:space="preserve"> </w:t>
      </w:r>
      <w:r w:rsidRPr="00395593">
        <w:rPr>
          <w:rFonts w:ascii="Garamond" w:hAnsi="Garamond"/>
          <w:sz w:val="24"/>
        </w:rPr>
        <w:t>vigor do Acordo que cria a Organização Mundial de Comércio até que seja transcorrido</w:t>
      </w:r>
      <w:r w:rsidRPr="00395593">
        <w:rPr>
          <w:rFonts w:ascii="Garamond" w:hAnsi="Garamond"/>
          <w:spacing w:val="1"/>
          <w:sz w:val="24"/>
        </w:rPr>
        <w:t xml:space="preserve"> </w:t>
      </w:r>
      <w:r w:rsidRPr="00395593">
        <w:rPr>
          <w:rFonts w:ascii="Garamond" w:hAnsi="Garamond"/>
          <w:sz w:val="24"/>
        </w:rPr>
        <w:t>período igual àquele durante o qual se tenha aplicado anteriormente tal medida, desde que o</w:t>
      </w:r>
      <w:r w:rsidRPr="00395593">
        <w:rPr>
          <w:rFonts w:ascii="Garamond" w:hAnsi="Garamond"/>
          <w:spacing w:val="-57"/>
          <w:sz w:val="24"/>
        </w:rPr>
        <w:t xml:space="preserve"> </w:t>
      </w:r>
      <w:r w:rsidRPr="00395593">
        <w:rPr>
          <w:rFonts w:ascii="Garamond" w:hAnsi="Garamond"/>
          <w:sz w:val="24"/>
        </w:rPr>
        <w:t>período</w:t>
      </w:r>
      <w:r w:rsidRPr="00395593">
        <w:rPr>
          <w:rFonts w:ascii="Garamond" w:hAnsi="Garamond"/>
          <w:spacing w:val="-1"/>
          <w:sz w:val="24"/>
        </w:rPr>
        <w:t xml:space="preserve"> </w:t>
      </w:r>
      <w:r w:rsidRPr="00395593">
        <w:rPr>
          <w:rFonts w:ascii="Garamond" w:hAnsi="Garamond"/>
          <w:sz w:val="24"/>
        </w:rPr>
        <w:t>inicial e</w:t>
      </w:r>
      <w:r w:rsidRPr="00395593">
        <w:rPr>
          <w:rFonts w:ascii="Garamond" w:hAnsi="Garamond"/>
          <w:spacing w:val="-1"/>
          <w:sz w:val="24"/>
        </w:rPr>
        <w:t xml:space="preserve"> </w:t>
      </w:r>
      <w:r w:rsidRPr="00395593">
        <w:rPr>
          <w:rFonts w:ascii="Garamond" w:hAnsi="Garamond"/>
          <w:sz w:val="24"/>
        </w:rPr>
        <w:t>sua</w:t>
      </w:r>
      <w:r w:rsidRPr="00395593">
        <w:rPr>
          <w:rFonts w:ascii="Garamond" w:hAnsi="Garamond"/>
          <w:spacing w:val="-1"/>
          <w:sz w:val="24"/>
        </w:rPr>
        <w:t xml:space="preserve"> </w:t>
      </w:r>
      <w:r w:rsidRPr="00395593">
        <w:rPr>
          <w:rFonts w:ascii="Garamond" w:hAnsi="Garamond"/>
          <w:sz w:val="24"/>
        </w:rPr>
        <w:t>liberalização deverá</w:t>
      </w:r>
      <w:r w:rsidRPr="00395593">
        <w:rPr>
          <w:rFonts w:ascii="Garamond" w:hAnsi="Garamond"/>
          <w:spacing w:val="-2"/>
          <w:sz w:val="24"/>
        </w:rPr>
        <w:t xml:space="preserve"> </w:t>
      </w:r>
      <w:r w:rsidRPr="00395593">
        <w:rPr>
          <w:rFonts w:ascii="Garamond" w:hAnsi="Garamond"/>
          <w:sz w:val="24"/>
        </w:rPr>
        <w:t>prosseguir.</w:t>
      </w:r>
    </w:p>
    <w:p w14:paraId="19B8BBD5" w14:textId="77777777" w:rsidR="00D44A7A" w:rsidRPr="00395593" w:rsidRDefault="00D44A7A" w:rsidP="00D44A7A">
      <w:pPr>
        <w:pStyle w:val="Corpodetexto"/>
        <w:spacing w:before="1"/>
        <w:rPr>
          <w:rFonts w:ascii="Garamond" w:hAnsi="Garamond"/>
        </w:rPr>
      </w:pPr>
    </w:p>
    <w:p w14:paraId="5F0A92B9" w14:textId="77777777" w:rsidR="00D44A7A" w:rsidRPr="00395593" w:rsidRDefault="00D44A7A" w:rsidP="002C4340">
      <w:pPr>
        <w:pStyle w:val="PargrafodaLista"/>
        <w:widowControl w:val="0"/>
        <w:numPr>
          <w:ilvl w:val="0"/>
          <w:numId w:val="72"/>
        </w:numPr>
        <w:tabs>
          <w:tab w:val="left" w:pos="930"/>
        </w:tabs>
        <w:autoSpaceDE w:val="0"/>
        <w:autoSpaceDN w:val="0"/>
        <w:spacing w:after="0" w:line="240" w:lineRule="auto"/>
        <w:ind w:right="164" w:firstLine="0"/>
        <w:contextualSpacing w:val="0"/>
        <w:jc w:val="both"/>
        <w:rPr>
          <w:rFonts w:ascii="Garamond" w:hAnsi="Garamond"/>
          <w:sz w:val="24"/>
        </w:rPr>
      </w:pPr>
      <w:r w:rsidRPr="00395593">
        <w:rPr>
          <w:rFonts w:ascii="Garamond" w:hAnsi="Garamond"/>
          <w:sz w:val="24"/>
        </w:rPr>
        <w:t>Não obstante o disposto no parágrafo 5, poderá voltar a ser aplicada à importação de</w:t>
      </w:r>
      <w:r w:rsidRPr="00395593">
        <w:rPr>
          <w:rFonts w:ascii="Garamond" w:hAnsi="Garamond"/>
          <w:spacing w:val="-57"/>
          <w:sz w:val="24"/>
        </w:rPr>
        <w:t xml:space="preserve"> </w:t>
      </w:r>
      <w:r w:rsidRPr="00395593">
        <w:rPr>
          <w:rFonts w:ascii="Garamond" w:hAnsi="Garamond"/>
          <w:sz w:val="24"/>
        </w:rPr>
        <w:t>um</w:t>
      </w:r>
      <w:r w:rsidRPr="00395593">
        <w:rPr>
          <w:rFonts w:ascii="Garamond" w:hAnsi="Garamond"/>
          <w:spacing w:val="-1"/>
          <w:sz w:val="24"/>
        </w:rPr>
        <w:t xml:space="preserve"> </w:t>
      </w:r>
      <w:r w:rsidRPr="00395593">
        <w:rPr>
          <w:rFonts w:ascii="Garamond" w:hAnsi="Garamond"/>
          <w:sz w:val="24"/>
        </w:rPr>
        <w:t>produto uma</w:t>
      </w:r>
      <w:r w:rsidRPr="00395593">
        <w:rPr>
          <w:rFonts w:ascii="Garamond" w:hAnsi="Garamond"/>
          <w:spacing w:val="-1"/>
          <w:sz w:val="24"/>
        </w:rPr>
        <w:t xml:space="preserve"> </w:t>
      </w:r>
      <w:r w:rsidRPr="00395593">
        <w:rPr>
          <w:rFonts w:ascii="Garamond" w:hAnsi="Garamond"/>
          <w:sz w:val="24"/>
        </w:rPr>
        <w:t>medida</w:t>
      </w:r>
      <w:r w:rsidRPr="00395593">
        <w:rPr>
          <w:rFonts w:ascii="Garamond" w:hAnsi="Garamond"/>
          <w:spacing w:val="-2"/>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salvaguarda</w:t>
      </w:r>
      <w:r w:rsidRPr="00395593">
        <w:rPr>
          <w:rFonts w:ascii="Garamond" w:hAnsi="Garamond"/>
          <w:spacing w:val="-2"/>
          <w:sz w:val="24"/>
        </w:rPr>
        <w:t xml:space="preserve"> </w:t>
      </w:r>
      <w:r w:rsidRPr="00395593">
        <w:rPr>
          <w:rFonts w:ascii="Garamond" w:hAnsi="Garamond"/>
          <w:sz w:val="24"/>
        </w:rPr>
        <w:t>cuja</w:t>
      </w:r>
      <w:r w:rsidRPr="00395593">
        <w:rPr>
          <w:rFonts w:ascii="Garamond" w:hAnsi="Garamond"/>
          <w:spacing w:val="-1"/>
          <w:sz w:val="24"/>
        </w:rPr>
        <w:t xml:space="preserve"> </w:t>
      </w:r>
      <w:r w:rsidRPr="00395593">
        <w:rPr>
          <w:rFonts w:ascii="Garamond" w:hAnsi="Garamond"/>
          <w:sz w:val="24"/>
        </w:rPr>
        <w:t>duração</w:t>
      </w:r>
      <w:r w:rsidRPr="00395593">
        <w:rPr>
          <w:rFonts w:ascii="Garamond" w:hAnsi="Garamond"/>
          <w:spacing w:val="-1"/>
          <w:sz w:val="24"/>
        </w:rPr>
        <w:t xml:space="preserve"> </w:t>
      </w:r>
      <w:r w:rsidRPr="00395593">
        <w:rPr>
          <w:rFonts w:ascii="Garamond" w:hAnsi="Garamond"/>
          <w:sz w:val="24"/>
        </w:rPr>
        <w:t>seja de</w:t>
      </w:r>
      <w:r w:rsidRPr="00395593">
        <w:rPr>
          <w:rFonts w:ascii="Garamond" w:hAnsi="Garamond"/>
          <w:spacing w:val="-1"/>
          <w:sz w:val="24"/>
        </w:rPr>
        <w:t xml:space="preserve"> </w:t>
      </w:r>
      <w:r w:rsidRPr="00395593">
        <w:rPr>
          <w:rFonts w:ascii="Garamond" w:hAnsi="Garamond"/>
          <w:sz w:val="24"/>
        </w:rPr>
        <w:t>180 dias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menos, caso:</w:t>
      </w:r>
    </w:p>
    <w:p w14:paraId="33ABB3D3" w14:textId="77777777" w:rsidR="00D44A7A" w:rsidRPr="00395593" w:rsidRDefault="00D44A7A" w:rsidP="00D44A7A">
      <w:pPr>
        <w:pStyle w:val="Corpodetexto"/>
        <w:rPr>
          <w:rFonts w:ascii="Garamond" w:hAnsi="Garamond"/>
        </w:rPr>
      </w:pPr>
    </w:p>
    <w:p w14:paraId="5D1E7FB7" w14:textId="77777777" w:rsidR="00D44A7A" w:rsidRPr="00395593" w:rsidRDefault="00D44A7A" w:rsidP="002C4340">
      <w:pPr>
        <w:pStyle w:val="PargrafodaLista"/>
        <w:widowControl w:val="0"/>
        <w:numPr>
          <w:ilvl w:val="1"/>
          <w:numId w:val="72"/>
        </w:numPr>
        <w:tabs>
          <w:tab w:val="left" w:pos="1273"/>
        </w:tabs>
        <w:autoSpaceDE w:val="0"/>
        <w:autoSpaceDN w:val="0"/>
        <w:spacing w:after="0" w:line="240" w:lineRule="auto"/>
        <w:ind w:right="161" w:hanging="360"/>
        <w:contextualSpacing w:val="0"/>
        <w:jc w:val="both"/>
        <w:rPr>
          <w:rFonts w:ascii="Garamond" w:hAnsi="Garamond"/>
          <w:sz w:val="24"/>
        </w:rPr>
      </w:pPr>
      <w:r w:rsidRPr="00395593">
        <w:rPr>
          <w:rFonts w:ascii="Garamond" w:hAnsi="Garamond"/>
          <w:sz w:val="24"/>
        </w:rPr>
        <w:t>haja transcorrido pelo menos um ano desde a data de introdução de uma medida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2"/>
          <w:sz w:val="24"/>
        </w:rPr>
        <w:t xml:space="preserve"> </w:t>
      </w:r>
      <w:r w:rsidRPr="00395593">
        <w:rPr>
          <w:rFonts w:ascii="Garamond" w:hAnsi="Garamond"/>
          <w:sz w:val="24"/>
        </w:rPr>
        <w:t>salvaguarda</w:t>
      </w:r>
      <w:r w:rsidRPr="00395593">
        <w:rPr>
          <w:rFonts w:ascii="Garamond" w:hAnsi="Garamond"/>
          <w:spacing w:val="-2"/>
          <w:sz w:val="24"/>
        </w:rPr>
        <w:t xml:space="preserve"> </w:t>
      </w:r>
      <w:r w:rsidRPr="00395593">
        <w:rPr>
          <w:rFonts w:ascii="Garamond" w:hAnsi="Garamond"/>
          <w:sz w:val="24"/>
        </w:rPr>
        <w:t>à</w:t>
      </w:r>
      <w:r w:rsidRPr="00395593">
        <w:rPr>
          <w:rFonts w:ascii="Garamond" w:hAnsi="Garamond"/>
          <w:spacing w:val="-1"/>
          <w:sz w:val="24"/>
        </w:rPr>
        <w:t xml:space="preserve"> </w:t>
      </w:r>
      <w:r w:rsidRPr="00395593">
        <w:rPr>
          <w:rFonts w:ascii="Garamond" w:hAnsi="Garamond"/>
          <w:sz w:val="24"/>
        </w:rPr>
        <w:t>importação daquele produto; e</w:t>
      </w:r>
    </w:p>
    <w:p w14:paraId="7616760E" w14:textId="77777777" w:rsidR="00D44A7A" w:rsidRPr="00395593" w:rsidRDefault="00D44A7A" w:rsidP="00D44A7A">
      <w:pPr>
        <w:pStyle w:val="Corpodetexto"/>
        <w:rPr>
          <w:rFonts w:ascii="Garamond" w:hAnsi="Garamond"/>
        </w:rPr>
      </w:pPr>
    </w:p>
    <w:p w14:paraId="56BBEA79" w14:textId="77777777" w:rsidR="00D44A7A" w:rsidRPr="00395593" w:rsidRDefault="00D44A7A" w:rsidP="002C4340">
      <w:pPr>
        <w:pStyle w:val="PargrafodaLista"/>
        <w:widowControl w:val="0"/>
        <w:numPr>
          <w:ilvl w:val="1"/>
          <w:numId w:val="72"/>
        </w:numPr>
        <w:tabs>
          <w:tab w:val="left" w:pos="1305"/>
        </w:tabs>
        <w:autoSpaceDE w:val="0"/>
        <w:autoSpaceDN w:val="0"/>
        <w:spacing w:after="0" w:line="240" w:lineRule="auto"/>
        <w:ind w:right="160" w:hanging="360"/>
        <w:contextualSpacing w:val="0"/>
        <w:jc w:val="both"/>
        <w:rPr>
          <w:rFonts w:ascii="Garamond" w:hAnsi="Garamond"/>
          <w:sz w:val="24"/>
        </w:rPr>
      </w:pPr>
      <w:r w:rsidRPr="00395593">
        <w:rPr>
          <w:rFonts w:ascii="Garamond" w:hAnsi="Garamond"/>
          <w:sz w:val="24"/>
        </w:rPr>
        <w:t>não tenha sido aplicada tal medida de salvaguarda ao mesmo produto mais de</w:t>
      </w:r>
      <w:r w:rsidRPr="00395593">
        <w:rPr>
          <w:rFonts w:ascii="Garamond" w:hAnsi="Garamond"/>
          <w:spacing w:val="1"/>
          <w:sz w:val="24"/>
        </w:rPr>
        <w:t xml:space="preserve"> </w:t>
      </w:r>
      <w:r w:rsidRPr="00395593">
        <w:rPr>
          <w:rFonts w:ascii="Garamond" w:hAnsi="Garamond"/>
          <w:sz w:val="24"/>
        </w:rPr>
        <w:t>duas</w:t>
      </w:r>
      <w:r w:rsidRPr="00395593">
        <w:rPr>
          <w:rFonts w:ascii="Garamond" w:hAnsi="Garamond"/>
          <w:spacing w:val="1"/>
          <w:sz w:val="24"/>
        </w:rPr>
        <w:t xml:space="preserve"> </w:t>
      </w:r>
      <w:r w:rsidRPr="00395593">
        <w:rPr>
          <w:rFonts w:ascii="Garamond" w:hAnsi="Garamond"/>
          <w:sz w:val="24"/>
        </w:rPr>
        <w:t>vezes</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período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cinco</w:t>
      </w:r>
      <w:r w:rsidRPr="00395593">
        <w:rPr>
          <w:rFonts w:ascii="Garamond" w:hAnsi="Garamond"/>
          <w:spacing w:val="1"/>
          <w:sz w:val="24"/>
        </w:rPr>
        <w:t xml:space="preserve"> </w:t>
      </w:r>
      <w:r w:rsidRPr="00395593">
        <w:rPr>
          <w:rFonts w:ascii="Garamond" w:hAnsi="Garamond"/>
          <w:sz w:val="24"/>
        </w:rPr>
        <w:t>anos</w:t>
      </w:r>
      <w:r w:rsidRPr="00395593">
        <w:rPr>
          <w:rFonts w:ascii="Garamond" w:hAnsi="Garamond"/>
          <w:spacing w:val="1"/>
          <w:sz w:val="24"/>
        </w:rPr>
        <w:t xml:space="preserve"> </w:t>
      </w:r>
      <w:r w:rsidRPr="00395593">
        <w:rPr>
          <w:rFonts w:ascii="Garamond" w:hAnsi="Garamond"/>
          <w:sz w:val="24"/>
        </w:rPr>
        <w:t>imediatamente</w:t>
      </w:r>
      <w:r w:rsidRPr="00395593">
        <w:rPr>
          <w:rFonts w:ascii="Garamond" w:hAnsi="Garamond"/>
          <w:spacing w:val="1"/>
          <w:sz w:val="24"/>
        </w:rPr>
        <w:t xml:space="preserve"> </w:t>
      </w:r>
      <w:r w:rsidRPr="00395593">
        <w:rPr>
          <w:rFonts w:ascii="Garamond" w:hAnsi="Garamond"/>
          <w:sz w:val="24"/>
        </w:rPr>
        <w:t>anterior</w:t>
      </w:r>
      <w:r w:rsidRPr="00395593">
        <w:rPr>
          <w:rFonts w:ascii="Garamond" w:hAnsi="Garamond"/>
          <w:spacing w:val="1"/>
          <w:sz w:val="24"/>
        </w:rPr>
        <w:t xml:space="preserve"> </w:t>
      </w:r>
      <w:r w:rsidRPr="00395593">
        <w:rPr>
          <w:rFonts w:ascii="Garamond" w:hAnsi="Garamond"/>
          <w:sz w:val="24"/>
        </w:rPr>
        <w:t>à</w:t>
      </w:r>
      <w:r w:rsidRPr="00395593">
        <w:rPr>
          <w:rFonts w:ascii="Garamond" w:hAnsi="Garamond"/>
          <w:spacing w:val="1"/>
          <w:sz w:val="24"/>
        </w:rPr>
        <w:t xml:space="preserve"> </w:t>
      </w:r>
      <w:r w:rsidRPr="00395593">
        <w:rPr>
          <w:rFonts w:ascii="Garamond" w:hAnsi="Garamond"/>
          <w:sz w:val="24"/>
        </w:rPr>
        <w:t>data</w:t>
      </w:r>
      <w:r w:rsidRPr="00395593">
        <w:rPr>
          <w:rFonts w:ascii="Garamond" w:hAnsi="Garamond"/>
          <w:spacing w:val="60"/>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introdução</w:t>
      </w:r>
      <w:r w:rsidRPr="00395593">
        <w:rPr>
          <w:rFonts w:ascii="Garamond" w:hAnsi="Garamond"/>
          <w:spacing w:val="-1"/>
          <w:sz w:val="24"/>
        </w:rPr>
        <w:t xml:space="preserve"> </w:t>
      </w:r>
      <w:r w:rsidRPr="00395593">
        <w:rPr>
          <w:rFonts w:ascii="Garamond" w:hAnsi="Garamond"/>
          <w:sz w:val="24"/>
        </w:rPr>
        <w:t>da</w:t>
      </w:r>
      <w:r w:rsidRPr="00395593">
        <w:rPr>
          <w:rFonts w:ascii="Garamond" w:hAnsi="Garamond"/>
          <w:spacing w:val="-1"/>
          <w:sz w:val="24"/>
        </w:rPr>
        <w:t xml:space="preserve"> </w:t>
      </w:r>
      <w:r w:rsidRPr="00395593">
        <w:rPr>
          <w:rFonts w:ascii="Garamond" w:hAnsi="Garamond"/>
          <w:sz w:val="24"/>
        </w:rPr>
        <w:t>medida.</w:t>
      </w:r>
    </w:p>
    <w:p w14:paraId="021F19AC" w14:textId="77777777" w:rsidR="00D44A7A" w:rsidRPr="00395593" w:rsidRDefault="00D44A7A" w:rsidP="00D44A7A">
      <w:pPr>
        <w:pStyle w:val="Corpodetexto"/>
        <w:spacing w:line="360" w:lineRule="auto"/>
        <w:ind w:left="1318" w:right="1259"/>
        <w:jc w:val="center"/>
        <w:rPr>
          <w:rFonts w:ascii="Garamond" w:hAnsi="Garamond"/>
          <w:b/>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8</w:t>
      </w:r>
    </w:p>
    <w:p w14:paraId="7E289CAB" w14:textId="77777777" w:rsidR="00D44A7A" w:rsidRPr="00395593" w:rsidRDefault="00D44A7A" w:rsidP="00D44A7A">
      <w:pPr>
        <w:pStyle w:val="Corpodetexto"/>
        <w:spacing w:before="1" w:line="360" w:lineRule="auto"/>
        <w:ind w:left="1318" w:right="1259"/>
        <w:jc w:val="center"/>
        <w:rPr>
          <w:rFonts w:ascii="Garamond" w:hAnsi="Garamond"/>
          <w:b/>
        </w:rPr>
      </w:pPr>
      <w:r w:rsidRPr="00395593">
        <w:rPr>
          <w:rFonts w:ascii="Garamond" w:hAnsi="Garamond"/>
          <w:b/>
        </w:rPr>
        <w:t>Nível</w:t>
      </w:r>
      <w:r w:rsidRPr="00395593">
        <w:rPr>
          <w:rFonts w:ascii="Garamond" w:hAnsi="Garamond"/>
          <w:b/>
          <w:spacing w:val="-1"/>
        </w:rPr>
        <w:t xml:space="preserve"> </w:t>
      </w:r>
      <w:r w:rsidRPr="00395593">
        <w:rPr>
          <w:rFonts w:ascii="Garamond" w:hAnsi="Garamond"/>
          <w:b/>
        </w:rPr>
        <w:t>das</w:t>
      </w:r>
      <w:r w:rsidRPr="00395593">
        <w:rPr>
          <w:rFonts w:ascii="Garamond" w:hAnsi="Garamond"/>
          <w:b/>
          <w:spacing w:val="-2"/>
        </w:rPr>
        <w:t xml:space="preserve"> </w:t>
      </w:r>
      <w:r w:rsidRPr="00395593">
        <w:rPr>
          <w:rFonts w:ascii="Garamond" w:hAnsi="Garamond"/>
          <w:b/>
        </w:rPr>
        <w:t>Concessões e Outras</w:t>
      </w:r>
      <w:r w:rsidRPr="00395593">
        <w:rPr>
          <w:rFonts w:ascii="Garamond" w:hAnsi="Garamond"/>
          <w:b/>
          <w:spacing w:val="-1"/>
        </w:rPr>
        <w:t xml:space="preserve"> </w:t>
      </w:r>
      <w:r w:rsidRPr="00395593">
        <w:rPr>
          <w:rFonts w:ascii="Garamond" w:hAnsi="Garamond"/>
          <w:b/>
        </w:rPr>
        <w:t>Obrigações</w:t>
      </w:r>
    </w:p>
    <w:p w14:paraId="770F4D5F" w14:textId="77777777" w:rsidR="00D44A7A" w:rsidRPr="00395593" w:rsidRDefault="00D44A7A" w:rsidP="00D44A7A">
      <w:pPr>
        <w:pStyle w:val="Corpodetexto"/>
        <w:spacing w:before="11"/>
        <w:rPr>
          <w:rFonts w:ascii="Garamond" w:hAnsi="Garamond"/>
          <w:sz w:val="23"/>
        </w:rPr>
      </w:pPr>
    </w:p>
    <w:p w14:paraId="21183305" w14:textId="77777777" w:rsidR="00D44A7A" w:rsidRPr="00395593" w:rsidRDefault="00D44A7A" w:rsidP="002C4340">
      <w:pPr>
        <w:pStyle w:val="PargrafodaLista"/>
        <w:widowControl w:val="0"/>
        <w:numPr>
          <w:ilvl w:val="0"/>
          <w:numId w:val="71"/>
        </w:numPr>
        <w:tabs>
          <w:tab w:val="left" w:pos="930"/>
        </w:tabs>
        <w:autoSpaceDE w:val="0"/>
        <w:autoSpaceDN w:val="0"/>
        <w:spacing w:after="0" w:line="240" w:lineRule="auto"/>
        <w:ind w:right="161" w:firstLine="0"/>
        <w:contextualSpacing w:val="0"/>
        <w:jc w:val="both"/>
        <w:rPr>
          <w:rFonts w:ascii="Garamond" w:hAnsi="Garamond"/>
          <w:sz w:val="24"/>
        </w:rPr>
      </w:pPr>
      <w:r w:rsidRPr="00395593">
        <w:rPr>
          <w:rFonts w:ascii="Garamond" w:hAnsi="Garamond"/>
          <w:sz w:val="24"/>
        </w:rPr>
        <w:t>Todo</w:t>
      </w:r>
      <w:r w:rsidRPr="00395593">
        <w:rPr>
          <w:rFonts w:ascii="Garamond" w:hAnsi="Garamond"/>
          <w:spacing w:val="1"/>
          <w:sz w:val="24"/>
        </w:rPr>
        <w:t xml:space="preserve"> </w:t>
      </w:r>
      <w:r w:rsidRPr="00395593">
        <w:rPr>
          <w:rFonts w:ascii="Garamond" w:hAnsi="Garamond"/>
          <w:sz w:val="24"/>
        </w:rPr>
        <w:t>Membro</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proponha</w:t>
      </w:r>
      <w:r w:rsidRPr="00395593">
        <w:rPr>
          <w:rFonts w:ascii="Garamond" w:hAnsi="Garamond"/>
          <w:spacing w:val="1"/>
          <w:sz w:val="24"/>
        </w:rPr>
        <w:t xml:space="preserve"> </w:t>
      </w:r>
      <w:r w:rsidRPr="00395593">
        <w:rPr>
          <w:rFonts w:ascii="Garamond" w:hAnsi="Garamond"/>
          <w:sz w:val="24"/>
        </w:rPr>
        <w:t>aplicar</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queira</w:t>
      </w:r>
      <w:r w:rsidRPr="00395593">
        <w:rPr>
          <w:rFonts w:ascii="Garamond" w:hAnsi="Garamond"/>
          <w:spacing w:val="1"/>
          <w:sz w:val="24"/>
        </w:rPr>
        <w:t xml:space="preserve"> </w:t>
      </w:r>
      <w:r w:rsidRPr="00395593">
        <w:rPr>
          <w:rFonts w:ascii="Garamond" w:hAnsi="Garamond"/>
          <w:sz w:val="24"/>
        </w:rPr>
        <w:t>prorrogar</w:t>
      </w:r>
      <w:r w:rsidRPr="00395593">
        <w:rPr>
          <w:rFonts w:ascii="Garamond" w:hAnsi="Garamond"/>
          <w:spacing w:val="1"/>
          <w:sz w:val="24"/>
        </w:rPr>
        <w:t xml:space="preserve"> </w:t>
      </w:r>
      <w:r w:rsidRPr="00395593">
        <w:rPr>
          <w:rFonts w:ascii="Garamond" w:hAnsi="Garamond"/>
          <w:sz w:val="24"/>
        </w:rPr>
        <w:t>uma</w:t>
      </w:r>
      <w:r w:rsidRPr="00395593">
        <w:rPr>
          <w:rFonts w:ascii="Garamond" w:hAnsi="Garamond"/>
          <w:spacing w:val="1"/>
          <w:sz w:val="24"/>
        </w:rPr>
        <w:t xml:space="preserve"> </w:t>
      </w:r>
      <w:r w:rsidRPr="00395593">
        <w:rPr>
          <w:rFonts w:ascii="Garamond" w:hAnsi="Garamond"/>
          <w:sz w:val="24"/>
        </w:rPr>
        <w:t>medida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salvaguarda procurará, de conformidade com as disposições do parágrafo 3 do Artigo 12,</w:t>
      </w:r>
      <w:r w:rsidRPr="00395593">
        <w:rPr>
          <w:rFonts w:ascii="Garamond" w:hAnsi="Garamond"/>
          <w:spacing w:val="1"/>
          <w:sz w:val="24"/>
        </w:rPr>
        <w:t xml:space="preserve"> </w:t>
      </w:r>
      <w:r w:rsidRPr="00395593">
        <w:rPr>
          <w:rFonts w:ascii="Garamond" w:hAnsi="Garamond"/>
          <w:sz w:val="24"/>
        </w:rPr>
        <w:t>manter um nível de concessões e de outras obrigações substancialmente equivalente ao</w:t>
      </w:r>
      <w:r w:rsidRPr="00395593">
        <w:rPr>
          <w:rFonts w:ascii="Garamond" w:hAnsi="Garamond"/>
          <w:spacing w:val="1"/>
          <w:sz w:val="24"/>
        </w:rPr>
        <w:t xml:space="preserve"> </w:t>
      </w:r>
      <w:r w:rsidRPr="00395593">
        <w:rPr>
          <w:rFonts w:ascii="Garamond" w:hAnsi="Garamond"/>
          <w:sz w:val="24"/>
        </w:rPr>
        <w:t>existente nos termos do GATT 1994 entre tal Membro e o Membros exportadores que</w:t>
      </w:r>
      <w:r w:rsidRPr="00395593">
        <w:rPr>
          <w:rFonts w:ascii="Garamond" w:hAnsi="Garamond"/>
          <w:spacing w:val="1"/>
          <w:sz w:val="24"/>
        </w:rPr>
        <w:t xml:space="preserve"> </w:t>
      </w:r>
      <w:r w:rsidRPr="00395593">
        <w:rPr>
          <w:rFonts w:ascii="Garamond" w:hAnsi="Garamond"/>
          <w:sz w:val="24"/>
        </w:rPr>
        <w:t>seriam</w:t>
      </w:r>
      <w:r w:rsidRPr="00395593">
        <w:rPr>
          <w:rFonts w:ascii="Garamond" w:hAnsi="Garamond"/>
          <w:spacing w:val="1"/>
          <w:sz w:val="24"/>
        </w:rPr>
        <w:t xml:space="preserve"> </w:t>
      </w:r>
      <w:r w:rsidRPr="00395593">
        <w:rPr>
          <w:rFonts w:ascii="Garamond" w:hAnsi="Garamond"/>
          <w:sz w:val="24"/>
        </w:rPr>
        <w:t>afetados</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tal</w:t>
      </w:r>
      <w:r w:rsidRPr="00395593">
        <w:rPr>
          <w:rFonts w:ascii="Garamond" w:hAnsi="Garamond"/>
          <w:spacing w:val="1"/>
          <w:sz w:val="24"/>
        </w:rPr>
        <w:t xml:space="preserve"> </w:t>
      </w:r>
      <w:r w:rsidRPr="00395593">
        <w:rPr>
          <w:rFonts w:ascii="Garamond" w:hAnsi="Garamond"/>
          <w:sz w:val="24"/>
        </w:rPr>
        <w:t>medida.</w:t>
      </w:r>
      <w:r w:rsidRPr="00395593">
        <w:rPr>
          <w:rFonts w:ascii="Garamond" w:hAnsi="Garamond"/>
          <w:spacing w:val="1"/>
          <w:sz w:val="24"/>
        </w:rPr>
        <w:t xml:space="preserve"> </w:t>
      </w:r>
      <w:r w:rsidRPr="00395593">
        <w:rPr>
          <w:rFonts w:ascii="Garamond" w:hAnsi="Garamond"/>
          <w:sz w:val="24"/>
        </w:rPr>
        <w:t>Com</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fim</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alcançar</w:t>
      </w:r>
      <w:r w:rsidRPr="00395593">
        <w:rPr>
          <w:rFonts w:ascii="Garamond" w:hAnsi="Garamond"/>
          <w:spacing w:val="1"/>
          <w:sz w:val="24"/>
        </w:rPr>
        <w:t xml:space="preserve"> </w:t>
      </w:r>
      <w:r w:rsidRPr="00395593">
        <w:rPr>
          <w:rFonts w:ascii="Garamond" w:hAnsi="Garamond"/>
          <w:sz w:val="24"/>
        </w:rPr>
        <w:t>esse</w:t>
      </w:r>
      <w:r w:rsidRPr="00395593">
        <w:rPr>
          <w:rFonts w:ascii="Garamond" w:hAnsi="Garamond"/>
          <w:spacing w:val="1"/>
          <w:sz w:val="24"/>
        </w:rPr>
        <w:t xml:space="preserve"> </w:t>
      </w:r>
      <w:r w:rsidRPr="00395593">
        <w:rPr>
          <w:rFonts w:ascii="Garamond" w:hAnsi="Garamond"/>
          <w:sz w:val="24"/>
        </w:rPr>
        <w:t>objetivo,</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Membros</w:t>
      </w:r>
      <w:r w:rsidRPr="00395593">
        <w:rPr>
          <w:rFonts w:ascii="Garamond" w:hAnsi="Garamond"/>
          <w:spacing w:val="1"/>
          <w:sz w:val="24"/>
        </w:rPr>
        <w:t xml:space="preserve"> </w:t>
      </w:r>
      <w:r w:rsidRPr="00395593">
        <w:rPr>
          <w:rFonts w:ascii="Garamond" w:hAnsi="Garamond"/>
          <w:sz w:val="24"/>
        </w:rPr>
        <w:t>interessados</w:t>
      </w:r>
      <w:r w:rsidRPr="00395593">
        <w:rPr>
          <w:rFonts w:ascii="Garamond" w:hAnsi="Garamond"/>
          <w:spacing w:val="1"/>
          <w:sz w:val="24"/>
        </w:rPr>
        <w:t xml:space="preserve"> </w:t>
      </w:r>
      <w:r w:rsidRPr="00395593">
        <w:rPr>
          <w:rFonts w:ascii="Garamond" w:hAnsi="Garamond"/>
          <w:sz w:val="24"/>
        </w:rPr>
        <w:t>poderão</w:t>
      </w:r>
      <w:r w:rsidRPr="00395593">
        <w:rPr>
          <w:rFonts w:ascii="Garamond" w:hAnsi="Garamond"/>
          <w:spacing w:val="1"/>
          <w:sz w:val="24"/>
        </w:rPr>
        <w:t xml:space="preserve"> </w:t>
      </w:r>
      <w:r w:rsidRPr="00395593">
        <w:rPr>
          <w:rFonts w:ascii="Garamond" w:hAnsi="Garamond"/>
          <w:sz w:val="24"/>
        </w:rPr>
        <w:t>chegar</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acordo</w:t>
      </w:r>
      <w:r w:rsidRPr="00395593">
        <w:rPr>
          <w:rFonts w:ascii="Garamond" w:hAnsi="Garamond"/>
          <w:spacing w:val="1"/>
          <w:sz w:val="24"/>
        </w:rPr>
        <w:t xml:space="preserve"> </w:t>
      </w:r>
      <w:r w:rsidRPr="00395593">
        <w:rPr>
          <w:rFonts w:ascii="Garamond" w:hAnsi="Garamond"/>
          <w:sz w:val="24"/>
        </w:rPr>
        <w:t>com</w:t>
      </w:r>
      <w:r w:rsidRPr="00395593">
        <w:rPr>
          <w:rFonts w:ascii="Garamond" w:hAnsi="Garamond"/>
          <w:spacing w:val="1"/>
          <w:sz w:val="24"/>
        </w:rPr>
        <w:t xml:space="preserve"> </w:t>
      </w:r>
      <w:r w:rsidRPr="00395593">
        <w:rPr>
          <w:rFonts w:ascii="Garamond" w:hAnsi="Garamond"/>
          <w:sz w:val="24"/>
        </w:rPr>
        <w:t>relação</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qualquer</w:t>
      </w:r>
      <w:r w:rsidRPr="00395593">
        <w:rPr>
          <w:rFonts w:ascii="Garamond" w:hAnsi="Garamond"/>
          <w:spacing w:val="1"/>
          <w:sz w:val="24"/>
        </w:rPr>
        <w:t xml:space="preserve"> </w:t>
      </w:r>
      <w:r w:rsidRPr="00395593">
        <w:rPr>
          <w:rFonts w:ascii="Garamond" w:hAnsi="Garamond"/>
          <w:sz w:val="24"/>
        </w:rPr>
        <w:t>forma</w:t>
      </w:r>
      <w:r w:rsidRPr="00395593">
        <w:rPr>
          <w:rFonts w:ascii="Garamond" w:hAnsi="Garamond"/>
          <w:spacing w:val="1"/>
          <w:sz w:val="24"/>
        </w:rPr>
        <w:t xml:space="preserve"> </w:t>
      </w:r>
      <w:r w:rsidRPr="00395593">
        <w:rPr>
          <w:rFonts w:ascii="Garamond" w:hAnsi="Garamond"/>
          <w:sz w:val="24"/>
        </w:rPr>
        <w:t>adequada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compensação</w:t>
      </w:r>
      <w:r w:rsidRPr="00395593">
        <w:rPr>
          <w:rFonts w:ascii="Garamond" w:hAnsi="Garamond"/>
          <w:spacing w:val="-1"/>
          <w:sz w:val="24"/>
        </w:rPr>
        <w:t xml:space="preserve"> </w:t>
      </w:r>
      <w:r w:rsidRPr="00395593">
        <w:rPr>
          <w:rFonts w:ascii="Garamond" w:hAnsi="Garamond"/>
          <w:sz w:val="24"/>
        </w:rPr>
        <w:t>comercial</w:t>
      </w:r>
      <w:r w:rsidRPr="00395593">
        <w:rPr>
          <w:rFonts w:ascii="Garamond" w:hAnsi="Garamond"/>
          <w:spacing w:val="3"/>
          <w:sz w:val="24"/>
        </w:rPr>
        <w:t xml:space="preserve"> </w:t>
      </w:r>
      <w:r w:rsidRPr="00395593">
        <w:rPr>
          <w:rFonts w:ascii="Garamond" w:hAnsi="Garamond"/>
          <w:sz w:val="24"/>
        </w:rPr>
        <w:t>pelos</w:t>
      </w:r>
      <w:r w:rsidRPr="00395593">
        <w:rPr>
          <w:rFonts w:ascii="Garamond" w:hAnsi="Garamond"/>
          <w:spacing w:val="-1"/>
          <w:sz w:val="24"/>
        </w:rPr>
        <w:t xml:space="preserve"> </w:t>
      </w:r>
      <w:r w:rsidRPr="00395593">
        <w:rPr>
          <w:rFonts w:ascii="Garamond" w:hAnsi="Garamond"/>
          <w:sz w:val="24"/>
        </w:rPr>
        <w:t>efeitos adversos da</w:t>
      </w:r>
      <w:r w:rsidRPr="00395593">
        <w:rPr>
          <w:rFonts w:ascii="Garamond" w:hAnsi="Garamond"/>
          <w:spacing w:val="-1"/>
          <w:sz w:val="24"/>
        </w:rPr>
        <w:t xml:space="preserve"> </w:t>
      </w:r>
      <w:r w:rsidRPr="00395593">
        <w:rPr>
          <w:rFonts w:ascii="Garamond" w:hAnsi="Garamond"/>
          <w:sz w:val="24"/>
        </w:rPr>
        <w:t>medida</w:t>
      </w:r>
      <w:r w:rsidRPr="00395593">
        <w:rPr>
          <w:rFonts w:ascii="Garamond" w:hAnsi="Garamond"/>
          <w:spacing w:val="-1"/>
          <w:sz w:val="24"/>
        </w:rPr>
        <w:t xml:space="preserve"> </w:t>
      </w:r>
      <w:r w:rsidRPr="00395593">
        <w:rPr>
          <w:rFonts w:ascii="Garamond" w:hAnsi="Garamond"/>
          <w:sz w:val="24"/>
        </w:rPr>
        <w:t>sobre</w:t>
      </w:r>
      <w:r w:rsidRPr="00395593">
        <w:rPr>
          <w:rFonts w:ascii="Garamond" w:hAnsi="Garamond"/>
          <w:spacing w:val="-3"/>
          <w:sz w:val="24"/>
        </w:rPr>
        <w:t xml:space="preserve"> </w:t>
      </w:r>
      <w:r w:rsidRPr="00395593">
        <w:rPr>
          <w:rFonts w:ascii="Garamond" w:hAnsi="Garamond"/>
          <w:sz w:val="24"/>
        </w:rPr>
        <w:t>o seu</w:t>
      </w:r>
      <w:r w:rsidRPr="00395593">
        <w:rPr>
          <w:rFonts w:ascii="Garamond" w:hAnsi="Garamond"/>
          <w:spacing w:val="2"/>
          <w:sz w:val="24"/>
        </w:rPr>
        <w:t xml:space="preserve"> </w:t>
      </w:r>
      <w:r w:rsidRPr="00395593">
        <w:rPr>
          <w:rFonts w:ascii="Garamond" w:hAnsi="Garamond"/>
          <w:sz w:val="24"/>
        </w:rPr>
        <w:t>comércio.</w:t>
      </w:r>
    </w:p>
    <w:p w14:paraId="386A03E2" w14:textId="77777777" w:rsidR="00D44A7A" w:rsidRPr="00395593" w:rsidRDefault="00D44A7A" w:rsidP="00D44A7A">
      <w:pPr>
        <w:pStyle w:val="Corpodetexto"/>
        <w:rPr>
          <w:rFonts w:ascii="Garamond" w:hAnsi="Garamond"/>
        </w:rPr>
      </w:pPr>
    </w:p>
    <w:p w14:paraId="5623D05D" w14:textId="77777777" w:rsidR="00D44A7A" w:rsidRPr="00395593" w:rsidRDefault="00D44A7A" w:rsidP="002C4340">
      <w:pPr>
        <w:pStyle w:val="PargrafodaLista"/>
        <w:widowControl w:val="0"/>
        <w:numPr>
          <w:ilvl w:val="0"/>
          <w:numId w:val="71"/>
        </w:numPr>
        <w:tabs>
          <w:tab w:val="left" w:pos="930"/>
        </w:tabs>
        <w:autoSpaceDE w:val="0"/>
        <w:autoSpaceDN w:val="0"/>
        <w:spacing w:after="0" w:line="240" w:lineRule="auto"/>
        <w:ind w:right="159" w:firstLine="0"/>
        <w:contextualSpacing w:val="0"/>
        <w:jc w:val="both"/>
        <w:rPr>
          <w:rFonts w:ascii="Garamond" w:hAnsi="Garamond"/>
          <w:sz w:val="24"/>
        </w:rPr>
      </w:pPr>
      <w:r w:rsidRPr="00395593">
        <w:rPr>
          <w:rFonts w:ascii="Garamond" w:hAnsi="Garamond"/>
          <w:sz w:val="24"/>
        </w:rPr>
        <w:t>Se, nas consultas que se realizem ao amparo do parágrafo 3 do Artigo 12 não se</w:t>
      </w:r>
      <w:r w:rsidRPr="00395593">
        <w:rPr>
          <w:rFonts w:ascii="Garamond" w:hAnsi="Garamond"/>
          <w:spacing w:val="1"/>
          <w:sz w:val="24"/>
        </w:rPr>
        <w:t xml:space="preserve"> </w:t>
      </w:r>
      <w:r w:rsidRPr="00395593">
        <w:rPr>
          <w:rFonts w:ascii="Garamond" w:hAnsi="Garamond"/>
          <w:sz w:val="24"/>
        </w:rPr>
        <w:t>alcançar acordo dentro de um prazo de 30 dias, os Membros exportadores afetados poderão,</w:t>
      </w:r>
      <w:r w:rsidRPr="00395593">
        <w:rPr>
          <w:rFonts w:ascii="Garamond" w:hAnsi="Garamond"/>
          <w:spacing w:val="-57"/>
          <w:sz w:val="24"/>
        </w:rPr>
        <w:t xml:space="preserve"> </w:t>
      </w:r>
      <w:r w:rsidRPr="00395593">
        <w:rPr>
          <w:rFonts w:ascii="Garamond" w:hAnsi="Garamond"/>
          <w:sz w:val="24"/>
        </w:rPr>
        <w:t>o mais tardar 90 dias após a data a partir da qual a medida seja aplicada, suspender, ao</w:t>
      </w:r>
      <w:r w:rsidRPr="00395593">
        <w:rPr>
          <w:rFonts w:ascii="Garamond" w:hAnsi="Garamond"/>
          <w:spacing w:val="1"/>
          <w:sz w:val="24"/>
        </w:rPr>
        <w:t xml:space="preserve"> </w:t>
      </w:r>
      <w:r w:rsidRPr="00395593">
        <w:rPr>
          <w:rFonts w:ascii="Garamond" w:hAnsi="Garamond"/>
          <w:sz w:val="24"/>
        </w:rPr>
        <w:t>expirar um prazo de 30 dias contado a partir da data em que o Conselho para o Comércio de</w:t>
      </w:r>
      <w:r w:rsidRPr="00395593">
        <w:rPr>
          <w:rFonts w:ascii="Garamond" w:hAnsi="Garamond"/>
          <w:spacing w:val="-58"/>
          <w:sz w:val="24"/>
        </w:rPr>
        <w:t xml:space="preserve"> </w:t>
      </w:r>
      <w:r w:rsidRPr="00395593">
        <w:rPr>
          <w:rFonts w:ascii="Garamond" w:hAnsi="Garamond"/>
          <w:sz w:val="24"/>
        </w:rPr>
        <w:t>Bens</w:t>
      </w:r>
      <w:r w:rsidRPr="00395593">
        <w:rPr>
          <w:rFonts w:ascii="Garamond" w:hAnsi="Garamond"/>
          <w:spacing w:val="1"/>
          <w:sz w:val="24"/>
        </w:rPr>
        <w:t xml:space="preserve"> </w:t>
      </w:r>
      <w:r w:rsidRPr="00395593">
        <w:rPr>
          <w:rFonts w:ascii="Garamond" w:hAnsi="Garamond"/>
          <w:sz w:val="24"/>
        </w:rPr>
        <w:t>tenha</w:t>
      </w:r>
      <w:r w:rsidRPr="00395593">
        <w:rPr>
          <w:rFonts w:ascii="Garamond" w:hAnsi="Garamond"/>
          <w:spacing w:val="1"/>
          <w:sz w:val="24"/>
        </w:rPr>
        <w:t xml:space="preserve"> </w:t>
      </w:r>
      <w:r w:rsidRPr="00395593">
        <w:rPr>
          <w:rFonts w:ascii="Garamond" w:hAnsi="Garamond"/>
          <w:sz w:val="24"/>
        </w:rPr>
        <w:t>recebido</w:t>
      </w:r>
      <w:r w:rsidRPr="00395593">
        <w:rPr>
          <w:rFonts w:ascii="Garamond" w:hAnsi="Garamond"/>
          <w:spacing w:val="1"/>
          <w:sz w:val="24"/>
        </w:rPr>
        <w:t xml:space="preserve"> </w:t>
      </w:r>
      <w:r w:rsidRPr="00395593">
        <w:rPr>
          <w:rFonts w:ascii="Garamond" w:hAnsi="Garamond"/>
          <w:sz w:val="24"/>
        </w:rPr>
        <w:t>aviso</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escrito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tal</w:t>
      </w:r>
      <w:r w:rsidRPr="00395593">
        <w:rPr>
          <w:rFonts w:ascii="Garamond" w:hAnsi="Garamond"/>
          <w:spacing w:val="1"/>
          <w:sz w:val="24"/>
        </w:rPr>
        <w:t xml:space="preserve"> </w:t>
      </w:r>
      <w:r w:rsidRPr="00395593">
        <w:rPr>
          <w:rFonts w:ascii="Garamond" w:hAnsi="Garamond"/>
          <w:sz w:val="24"/>
        </w:rPr>
        <w:t>suspensão,</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aplicação,</w:t>
      </w:r>
      <w:r w:rsidRPr="00395593">
        <w:rPr>
          <w:rFonts w:ascii="Garamond" w:hAnsi="Garamond"/>
          <w:spacing w:val="1"/>
          <w:sz w:val="24"/>
        </w:rPr>
        <w:t xml:space="preserve"> </w:t>
      </w:r>
      <w:r w:rsidRPr="00395593">
        <w:rPr>
          <w:rFonts w:ascii="Garamond" w:hAnsi="Garamond"/>
          <w:sz w:val="24"/>
        </w:rPr>
        <w:t>ao</w:t>
      </w:r>
      <w:r w:rsidRPr="00395593">
        <w:rPr>
          <w:rFonts w:ascii="Garamond" w:hAnsi="Garamond"/>
          <w:spacing w:val="1"/>
          <w:sz w:val="24"/>
        </w:rPr>
        <w:t xml:space="preserve"> </w:t>
      </w:r>
      <w:r w:rsidRPr="00395593">
        <w:rPr>
          <w:rFonts w:ascii="Garamond" w:hAnsi="Garamond"/>
          <w:sz w:val="24"/>
        </w:rPr>
        <w:t>comércio</w:t>
      </w:r>
      <w:r w:rsidRPr="00395593">
        <w:rPr>
          <w:rFonts w:ascii="Garamond" w:hAnsi="Garamond"/>
          <w:spacing w:val="60"/>
          <w:sz w:val="24"/>
        </w:rPr>
        <w:t xml:space="preserve"> </w:t>
      </w:r>
      <w:r w:rsidRPr="00395593">
        <w:rPr>
          <w:rFonts w:ascii="Garamond" w:hAnsi="Garamond"/>
          <w:sz w:val="24"/>
        </w:rPr>
        <w:t>do</w:t>
      </w:r>
      <w:r w:rsidRPr="00395593">
        <w:rPr>
          <w:rFonts w:ascii="Garamond" w:hAnsi="Garamond"/>
          <w:spacing w:val="-57"/>
          <w:sz w:val="24"/>
        </w:rPr>
        <w:t xml:space="preserve"> </w:t>
      </w:r>
      <w:r w:rsidRPr="00395593">
        <w:rPr>
          <w:rFonts w:ascii="Garamond" w:hAnsi="Garamond"/>
          <w:sz w:val="24"/>
        </w:rPr>
        <w:t>Membro</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aplique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medida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salvaguarda,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concessões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outras</w:t>
      </w:r>
      <w:r w:rsidRPr="00395593">
        <w:rPr>
          <w:rFonts w:ascii="Garamond" w:hAnsi="Garamond"/>
          <w:spacing w:val="1"/>
          <w:sz w:val="24"/>
        </w:rPr>
        <w:t xml:space="preserve"> </w:t>
      </w:r>
      <w:r w:rsidRPr="00395593">
        <w:rPr>
          <w:rFonts w:ascii="Garamond" w:hAnsi="Garamond"/>
          <w:sz w:val="24"/>
        </w:rPr>
        <w:t>obrigações</w:t>
      </w:r>
      <w:r w:rsidRPr="00395593">
        <w:rPr>
          <w:rFonts w:ascii="Garamond" w:hAnsi="Garamond"/>
          <w:spacing w:val="1"/>
          <w:sz w:val="24"/>
        </w:rPr>
        <w:t xml:space="preserve"> </w:t>
      </w:r>
      <w:r w:rsidRPr="00395593">
        <w:rPr>
          <w:rFonts w:ascii="Garamond" w:hAnsi="Garamond"/>
          <w:sz w:val="24"/>
        </w:rPr>
        <w:t>substancialmente equivalentes resultantes do GATT 1994, desde que tal suspensão não seja</w:t>
      </w:r>
      <w:r w:rsidRPr="00395593">
        <w:rPr>
          <w:rFonts w:ascii="Garamond" w:hAnsi="Garamond"/>
          <w:spacing w:val="-57"/>
          <w:sz w:val="24"/>
        </w:rPr>
        <w:t xml:space="preserve"> </w:t>
      </w:r>
      <w:r w:rsidRPr="00395593">
        <w:rPr>
          <w:rFonts w:ascii="Garamond" w:hAnsi="Garamond"/>
          <w:sz w:val="24"/>
        </w:rPr>
        <w:t>desaprovada</w:t>
      </w:r>
      <w:r w:rsidRPr="00395593">
        <w:rPr>
          <w:rFonts w:ascii="Garamond" w:hAnsi="Garamond"/>
          <w:spacing w:val="-2"/>
          <w:sz w:val="24"/>
        </w:rPr>
        <w:t xml:space="preserve"> </w:t>
      </w:r>
      <w:r w:rsidRPr="00395593">
        <w:rPr>
          <w:rFonts w:ascii="Garamond" w:hAnsi="Garamond"/>
          <w:sz w:val="24"/>
        </w:rPr>
        <w:t>pelo Conselho para</w:t>
      </w:r>
      <w:r w:rsidRPr="00395593">
        <w:rPr>
          <w:rFonts w:ascii="Garamond" w:hAnsi="Garamond"/>
          <w:spacing w:val="-2"/>
          <w:sz w:val="24"/>
        </w:rPr>
        <w:t xml:space="preserve"> </w:t>
      </w:r>
      <w:r w:rsidRPr="00395593">
        <w:rPr>
          <w:rFonts w:ascii="Garamond" w:hAnsi="Garamond"/>
          <w:sz w:val="24"/>
        </w:rPr>
        <w:t>o Comércio de</w:t>
      </w:r>
      <w:r w:rsidRPr="00395593">
        <w:rPr>
          <w:rFonts w:ascii="Garamond" w:hAnsi="Garamond"/>
          <w:spacing w:val="1"/>
          <w:sz w:val="24"/>
        </w:rPr>
        <w:t xml:space="preserve"> </w:t>
      </w:r>
      <w:r w:rsidRPr="00395593">
        <w:rPr>
          <w:rFonts w:ascii="Garamond" w:hAnsi="Garamond"/>
          <w:sz w:val="24"/>
        </w:rPr>
        <w:t>Bens.</w:t>
      </w:r>
    </w:p>
    <w:p w14:paraId="36FD62C4" w14:textId="77777777" w:rsidR="00D44A7A" w:rsidRPr="00395593" w:rsidRDefault="00D44A7A" w:rsidP="00D44A7A">
      <w:pPr>
        <w:pStyle w:val="Corpodetexto"/>
        <w:spacing w:before="1"/>
        <w:rPr>
          <w:rFonts w:ascii="Garamond" w:hAnsi="Garamond"/>
        </w:rPr>
      </w:pPr>
    </w:p>
    <w:p w14:paraId="31C2D105" w14:textId="77777777" w:rsidR="00D44A7A" w:rsidRPr="00395593" w:rsidRDefault="00D44A7A" w:rsidP="002C4340">
      <w:pPr>
        <w:pStyle w:val="PargrafodaLista"/>
        <w:widowControl w:val="0"/>
        <w:numPr>
          <w:ilvl w:val="0"/>
          <w:numId w:val="71"/>
        </w:numPr>
        <w:tabs>
          <w:tab w:val="left" w:pos="930"/>
        </w:tabs>
        <w:autoSpaceDE w:val="0"/>
        <w:autoSpaceDN w:val="0"/>
        <w:spacing w:before="68" w:after="0" w:line="240" w:lineRule="auto"/>
        <w:ind w:right="161" w:firstLine="0"/>
        <w:contextualSpacing w:val="0"/>
        <w:jc w:val="both"/>
        <w:rPr>
          <w:rFonts w:ascii="Garamond" w:hAnsi="Garamond"/>
        </w:rPr>
      </w:pPr>
      <w:r w:rsidRPr="00395593">
        <w:rPr>
          <w:rFonts w:ascii="Garamond" w:hAnsi="Garamond"/>
          <w:sz w:val="24"/>
        </w:rPr>
        <w:t>Não</w:t>
      </w:r>
      <w:r w:rsidRPr="00395593">
        <w:rPr>
          <w:rFonts w:ascii="Garamond" w:hAnsi="Garamond"/>
          <w:spacing w:val="1"/>
          <w:sz w:val="24"/>
        </w:rPr>
        <w:t xml:space="preserve"> </w:t>
      </w:r>
      <w:r w:rsidRPr="00395593">
        <w:rPr>
          <w:rFonts w:ascii="Garamond" w:hAnsi="Garamond"/>
          <w:sz w:val="24"/>
        </w:rPr>
        <w:t>será exercido</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direito</w:t>
      </w:r>
      <w:r w:rsidRPr="00395593">
        <w:rPr>
          <w:rFonts w:ascii="Garamond" w:hAnsi="Garamond"/>
          <w:spacing w:val="1"/>
          <w:sz w:val="24"/>
        </w:rPr>
        <w:t xml:space="preserve"> </w:t>
      </w:r>
      <w:r w:rsidRPr="00395593">
        <w:rPr>
          <w:rFonts w:ascii="Garamond" w:hAnsi="Garamond"/>
          <w:sz w:val="24"/>
        </w:rPr>
        <w:t>de suspensão</w:t>
      </w:r>
      <w:r w:rsidRPr="00395593">
        <w:rPr>
          <w:rFonts w:ascii="Garamond" w:hAnsi="Garamond"/>
          <w:spacing w:val="1"/>
          <w:sz w:val="24"/>
        </w:rPr>
        <w:t xml:space="preserve"> </w:t>
      </w:r>
      <w:r w:rsidRPr="00395593">
        <w:rPr>
          <w:rFonts w:ascii="Garamond" w:hAnsi="Garamond"/>
          <w:sz w:val="24"/>
        </w:rPr>
        <w:t>a que se refere o</w:t>
      </w:r>
      <w:r w:rsidRPr="00395593">
        <w:rPr>
          <w:rFonts w:ascii="Garamond" w:hAnsi="Garamond"/>
          <w:spacing w:val="1"/>
          <w:sz w:val="24"/>
        </w:rPr>
        <w:t xml:space="preserve"> </w:t>
      </w:r>
      <w:r w:rsidRPr="00395593">
        <w:rPr>
          <w:rFonts w:ascii="Garamond" w:hAnsi="Garamond"/>
          <w:sz w:val="24"/>
        </w:rPr>
        <w:t>parágrafo</w:t>
      </w:r>
      <w:r w:rsidRPr="00395593">
        <w:rPr>
          <w:rFonts w:ascii="Garamond" w:hAnsi="Garamond"/>
          <w:spacing w:val="60"/>
          <w:sz w:val="24"/>
        </w:rPr>
        <w:t xml:space="preserve"> </w:t>
      </w:r>
      <w:r w:rsidRPr="00395593">
        <w:rPr>
          <w:rFonts w:ascii="Garamond" w:hAnsi="Garamond"/>
          <w:sz w:val="24"/>
        </w:rPr>
        <w:t>segundo</w:t>
      </w:r>
      <w:r w:rsidRPr="00395593">
        <w:rPr>
          <w:rFonts w:ascii="Garamond" w:hAnsi="Garamond"/>
          <w:spacing w:val="1"/>
          <w:sz w:val="24"/>
        </w:rPr>
        <w:t xml:space="preserve"> </w:t>
      </w:r>
      <w:r w:rsidRPr="00395593">
        <w:rPr>
          <w:rFonts w:ascii="Garamond" w:hAnsi="Garamond"/>
          <w:sz w:val="24"/>
        </w:rPr>
        <w:t>durante</w:t>
      </w:r>
      <w:r w:rsidRPr="00395593">
        <w:rPr>
          <w:rFonts w:ascii="Garamond" w:hAnsi="Garamond"/>
          <w:spacing w:val="36"/>
          <w:sz w:val="24"/>
        </w:rPr>
        <w:t xml:space="preserve"> </w:t>
      </w:r>
      <w:r w:rsidRPr="00395593">
        <w:rPr>
          <w:rFonts w:ascii="Garamond" w:hAnsi="Garamond"/>
          <w:sz w:val="24"/>
        </w:rPr>
        <w:t>os</w:t>
      </w:r>
      <w:r w:rsidRPr="00395593">
        <w:rPr>
          <w:rFonts w:ascii="Garamond" w:hAnsi="Garamond"/>
          <w:spacing w:val="38"/>
          <w:sz w:val="24"/>
        </w:rPr>
        <w:t xml:space="preserve"> </w:t>
      </w:r>
      <w:r w:rsidRPr="00395593">
        <w:rPr>
          <w:rFonts w:ascii="Garamond" w:hAnsi="Garamond"/>
          <w:sz w:val="24"/>
        </w:rPr>
        <w:t>três</w:t>
      </w:r>
      <w:r w:rsidRPr="00395593">
        <w:rPr>
          <w:rFonts w:ascii="Garamond" w:hAnsi="Garamond"/>
          <w:spacing w:val="39"/>
          <w:sz w:val="24"/>
        </w:rPr>
        <w:t xml:space="preserve"> </w:t>
      </w:r>
      <w:r w:rsidRPr="00395593">
        <w:rPr>
          <w:rFonts w:ascii="Garamond" w:hAnsi="Garamond"/>
          <w:sz w:val="24"/>
        </w:rPr>
        <w:t>primeiros</w:t>
      </w:r>
      <w:r w:rsidRPr="00395593">
        <w:rPr>
          <w:rFonts w:ascii="Garamond" w:hAnsi="Garamond"/>
          <w:spacing w:val="38"/>
          <w:sz w:val="24"/>
        </w:rPr>
        <w:t xml:space="preserve"> </w:t>
      </w:r>
      <w:r w:rsidRPr="00395593">
        <w:rPr>
          <w:rFonts w:ascii="Garamond" w:hAnsi="Garamond"/>
          <w:sz w:val="24"/>
        </w:rPr>
        <w:t>anos</w:t>
      </w:r>
      <w:r w:rsidRPr="00395593">
        <w:rPr>
          <w:rFonts w:ascii="Garamond" w:hAnsi="Garamond"/>
          <w:spacing w:val="38"/>
          <w:sz w:val="24"/>
        </w:rPr>
        <w:t xml:space="preserve"> </w:t>
      </w:r>
      <w:r w:rsidRPr="00395593">
        <w:rPr>
          <w:rFonts w:ascii="Garamond" w:hAnsi="Garamond"/>
          <w:sz w:val="24"/>
        </w:rPr>
        <w:t>de</w:t>
      </w:r>
      <w:r w:rsidRPr="00395593">
        <w:rPr>
          <w:rFonts w:ascii="Garamond" w:hAnsi="Garamond"/>
          <w:spacing w:val="36"/>
          <w:sz w:val="24"/>
        </w:rPr>
        <w:t xml:space="preserve"> </w:t>
      </w:r>
      <w:r w:rsidRPr="00395593">
        <w:rPr>
          <w:rFonts w:ascii="Garamond" w:hAnsi="Garamond"/>
          <w:sz w:val="24"/>
        </w:rPr>
        <w:t>vigência</w:t>
      </w:r>
      <w:r w:rsidRPr="00395593">
        <w:rPr>
          <w:rFonts w:ascii="Garamond" w:hAnsi="Garamond"/>
          <w:spacing w:val="37"/>
          <w:sz w:val="24"/>
        </w:rPr>
        <w:t xml:space="preserve"> </w:t>
      </w:r>
      <w:r w:rsidRPr="00395593">
        <w:rPr>
          <w:rFonts w:ascii="Garamond" w:hAnsi="Garamond"/>
          <w:sz w:val="24"/>
        </w:rPr>
        <w:t>de</w:t>
      </w:r>
      <w:r w:rsidRPr="00395593">
        <w:rPr>
          <w:rFonts w:ascii="Garamond" w:hAnsi="Garamond"/>
          <w:spacing w:val="37"/>
          <w:sz w:val="24"/>
        </w:rPr>
        <w:t xml:space="preserve"> </w:t>
      </w:r>
      <w:r w:rsidRPr="00395593">
        <w:rPr>
          <w:rFonts w:ascii="Garamond" w:hAnsi="Garamond"/>
          <w:sz w:val="24"/>
        </w:rPr>
        <w:t>uma</w:t>
      </w:r>
      <w:r w:rsidRPr="00395593">
        <w:rPr>
          <w:rFonts w:ascii="Garamond" w:hAnsi="Garamond"/>
          <w:spacing w:val="36"/>
          <w:sz w:val="24"/>
        </w:rPr>
        <w:t xml:space="preserve"> </w:t>
      </w:r>
      <w:r w:rsidRPr="00395593">
        <w:rPr>
          <w:rFonts w:ascii="Garamond" w:hAnsi="Garamond"/>
          <w:sz w:val="24"/>
        </w:rPr>
        <w:t>medida</w:t>
      </w:r>
      <w:r w:rsidRPr="00395593">
        <w:rPr>
          <w:rFonts w:ascii="Garamond" w:hAnsi="Garamond"/>
          <w:spacing w:val="37"/>
          <w:sz w:val="24"/>
        </w:rPr>
        <w:t xml:space="preserve"> </w:t>
      </w:r>
      <w:r w:rsidRPr="00395593">
        <w:rPr>
          <w:rFonts w:ascii="Garamond" w:hAnsi="Garamond"/>
          <w:sz w:val="24"/>
        </w:rPr>
        <w:t>de</w:t>
      </w:r>
      <w:r w:rsidRPr="00395593">
        <w:rPr>
          <w:rFonts w:ascii="Garamond" w:hAnsi="Garamond"/>
          <w:spacing w:val="36"/>
          <w:sz w:val="24"/>
        </w:rPr>
        <w:t xml:space="preserve"> </w:t>
      </w:r>
      <w:r w:rsidRPr="00395593">
        <w:rPr>
          <w:rFonts w:ascii="Garamond" w:hAnsi="Garamond"/>
          <w:sz w:val="24"/>
        </w:rPr>
        <w:t>salvaguarda,</w:t>
      </w:r>
      <w:r w:rsidRPr="00395593">
        <w:rPr>
          <w:rFonts w:ascii="Garamond" w:hAnsi="Garamond"/>
          <w:spacing w:val="38"/>
          <w:sz w:val="24"/>
        </w:rPr>
        <w:t xml:space="preserve"> </w:t>
      </w:r>
      <w:r w:rsidRPr="00395593">
        <w:rPr>
          <w:rFonts w:ascii="Garamond" w:hAnsi="Garamond"/>
          <w:sz w:val="24"/>
        </w:rPr>
        <w:t>desde</w:t>
      </w:r>
      <w:r w:rsidRPr="00395593">
        <w:rPr>
          <w:rFonts w:ascii="Garamond" w:hAnsi="Garamond"/>
          <w:spacing w:val="37"/>
          <w:sz w:val="24"/>
        </w:rPr>
        <w:t xml:space="preserve"> </w:t>
      </w:r>
      <w:r w:rsidRPr="00395593">
        <w:rPr>
          <w:rFonts w:ascii="Garamond" w:hAnsi="Garamond"/>
          <w:sz w:val="24"/>
        </w:rPr>
        <w:t>que</w:t>
      </w:r>
      <w:r w:rsidRPr="00395593">
        <w:rPr>
          <w:rFonts w:ascii="Garamond" w:hAnsi="Garamond"/>
          <w:spacing w:val="36"/>
          <w:sz w:val="24"/>
        </w:rPr>
        <w:t xml:space="preserve"> </w:t>
      </w:r>
      <w:r w:rsidRPr="00395593">
        <w:rPr>
          <w:rFonts w:ascii="Garamond" w:hAnsi="Garamond"/>
          <w:sz w:val="24"/>
        </w:rPr>
        <w:t xml:space="preserve">a </w:t>
      </w:r>
      <w:r w:rsidRPr="00395593">
        <w:rPr>
          <w:rFonts w:ascii="Garamond" w:hAnsi="Garamond"/>
        </w:rPr>
        <w:t>medida de salvaguarda tenha sido adotada como resultado de um aumento em termos</w:t>
      </w:r>
      <w:r w:rsidRPr="00395593">
        <w:rPr>
          <w:rFonts w:ascii="Garamond" w:hAnsi="Garamond"/>
          <w:spacing w:val="1"/>
        </w:rPr>
        <w:t xml:space="preserve"> </w:t>
      </w:r>
      <w:r w:rsidRPr="00395593">
        <w:rPr>
          <w:rFonts w:ascii="Garamond" w:hAnsi="Garamond"/>
        </w:rPr>
        <w:t>absolutos das importações e desde que tal medida se conforme com as disposições do</w:t>
      </w:r>
      <w:r w:rsidRPr="00395593">
        <w:rPr>
          <w:rFonts w:ascii="Garamond" w:hAnsi="Garamond"/>
          <w:spacing w:val="1"/>
        </w:rPr>
        <w:t xml:space="preserve"> </w:t>
      </w:r>
      <w:r w:rsidRPr="00395593">
        <w:rPr>
          <w:rFonts w:ascii="Garamond" w:hAnsi="Garamond"/>
        </w:rPr>
        <w:t>presente</w:t>
      </w:r>
      <w:r w:rsidRPr="00395593">
        <w:rPr>
          <w:rFonts w:ascii="Garamond" w:hAnsi="Garamond"/>
          <w:spacing w:val="-1"/>
        </w:rPr>
        <w:t xml:space="preserve"> </w:t>
      </w:r>
      <w:r w:rsidRPr="00395593">
        <w:rPr>
          <w:rFonts w:ascii="Garamond" w:hAnsi="Garamond"/>
        </w:rPr>
        <w:t>Acordo.</w:t>
      </w:r>
    </w:p>
    <w:p w14:paraId="19D9822A" w14:textId="77777777" w:rsidR="00D44A7A" w:rsidRPr="00395593" w:rsidRDefault="00D44A7A" w:rsidP="00D44A7A">
      <w:pPr>
        <w:pStyle w:val="Corpodetexto"/>
        <w:rPr>
          <w:rFonts w:ascii="Garamond" w:hAnsi="Garamond"/>
        </w:rPr>
      </w:pPr>
    </w:p>
    <w:p w14:paraId="48633476" w14:textId="77777777" w:rsidR="00D44A7A" w:rsidRPr="00395593" w:rsidRDefault="00D44A7A" w:rsidP="00D44A7A">
      <w:pPr>
        <w:pStyle w:val="Corpodetexto"/>
        <w:spacing w:line="360" w:lineRule="auto"/>
        <w:ind w:left="1318" w:right="1259"/>
        <w:jc w:val="center"/>
        <w:rPr>
          <w:rFonts w:ascii="Garamond" w:hAnsi="Garamond"/>
          <w:b/>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9</w:t>
      </w:r>
    </w:p>
    <w:p w14:paraId="20E07D58" w14:textId="77777777" w:rsidR="00D44A7A" w:rsidRPr="00395593" w:rsidRDefault="00D44A7A" w:rsidP="00D44A7A">
      <w:pPr>
        <w:pStyle w:val="Corpodetexto"/>
        <w:spacing w:line="360" w:lineRule="auto"/>
        <w:ind w:left="1318" w:right="1257"/>
        <w:jc w:val="center"/>
        <w:rPr>
          <w:rFonts w:ascii="Garamond" w:hAnsi="Garamond"/>
          <w:b/>
        </w:rPr>
      </w:pPr>
      <w:r w:rsidRPr="00395593">
        <w:rPr>
          <w:rFonts w:ascii="Garamond" w:hAnsi="Garamond"/>
          <w:b/>
        </w:rPr>
        <w:t>Países</w:t>
      </w:r>
      <w:r w:rsidRPr="00395593">
        <w:rPr>
          <w:rFonts w:ascii="Garamond" w:hAnsi="Garamond"/>
          <w:b/>
          <w:spacing w:val="-1"/>
        </w:rPr>
        <w:t xml:space="preserve"> </w:t>
      </w:r>
      <w:r w:rsidRPr="00395593">
        <w:rPr>
          <w:rFonts w:ascii="Garamond" w:hAnsi="Garamond"/>
          <w:b/>
        </w:rPr>
        <w:t>em</w:t>
      </w:r>
      <w:r w:rsidRPr="00395593">
        <w:rPr>
          <w:rFonts w:ascii="Garamond" w:hAnsi="Garamond"/>
          <w:b/>
          <w:spacing w:val="-1"/>
        </w:rPr>
        <w:t xml:space="preserve"> </w:t>
      </w:r>
      <w:r w:rsidRPr="00395593">
        <w:rPr>
          <w:rFonts w:ascii="Garamond" w:hAnsi="Garamond"/>
          <w:b/>
        </w:rPr>
        <w:t>Desenvolvimento</w:t>
      </w:r>
      <w:r w:rsidRPr="00395593">
        <w:rPr>
          <w:rFonts w:ascii="Garamond" w:hAnsi="Garamond"/>
          <w:b/>
          <w:spacing w:val="-1"/>
        </w:rPr>
        <w:t xml:space="preserve"> </w:t>
      </w:r>
      <w:r w:rsidRPr="00395593">
        <w:rPr>
          <w:rFonts w:ascii="Garamond" w:hAnsi="Garamond"/>
          <w:b/>
        </w:rPr>
        <w:t>Membros</w:t>
      </w:r>
    </w:p>
    <w:p w14:paraId="5F3550B7" w14:textId="77777777" w:rsidR="00D44A7A" w:rsidRPr="00395593" w:rsidRDefault="00D44A7A" w:rsidP="00D44A7A">
      <w:pPr>
        <w:pStyle w:val="Corpodetexto"/>
        <w:rPr>
          <w:rFonts w:ascii="Garamond" w:hAnsi="Garamond"/>
        </w:rPr>
      </w:pPr>
    </w:p>
    <w:p w14:paraId="1B665BB8" w14:textId="77777777" w:rsidR="00D44A7A" w:rsidRPr="00395593" w:rsidRDefault="00D44A7A" w:rsidP="002C4340">
      <w:pPr>
        <w:pStyle w:val="PargrafodaLista"/>
        <w:widowControl w:val="0"/>
        <w:numPr>
          <w:ilvl w:val="0"/>
          <w:numId w:val="70"/>
        </w:numPr>
        <w:tabs>
          <w:tab w:val="left" w:pos="930"/>
        </w:tabs>
        <w:autoSpaceDE w:val="0"/>
        <w:autoSpaceDN w:val="0"/>
        <w:spacing w:after="0" w:line="240" w:lineRule="auto"/>
        <w:ind w:right="161" w:firstLine="0"/>
        <w:contextualSpacing w:val="0"/>
        <w:jc w:val="both"/>
        <w:rPr>
          <w:rFonts w:ascii="Garamond" w:hAnsi="Garamond"/>
          <w:sz w:val="24"/>
        </w:rPr>
      </w:pPr>
      <w:r w:rsidRPr="00395593">
        <w:rPr>
          <w:rFonts w:ascii="Garamond" w:hAnsi="Garamond"/>
          <w:sz w:val="24"/>
        </w:rPr>
        <w:t>Não se aplicarão medidas de salvaguarda contra produto procedente de país em de</w:t>
      </w:r>
      <w:r w:rsidRPr="00395593">
        <w:rPr>
          <w:rFonts w:ascii="Garamond" w:hAnsi="Garamond"/>
          <w:spacing w:val="1"/>
          <w:sz w:val="24"/>
        </w:rPr>
        <w:t xml:space="preserve"> </w:t>
      </w:r>
      <w:r w:rsidRPr="00395593">
        <w:rPr>
          <w:rFonts w:ascii="Garamond" w:hAnsi="Garamond"/>
          <w:sz w:val="24"/>
        </w:rPr>
        <w:t>desenvolvimento Membro quando a parcela que lhe corresponda nas importações efetuadas</w:t>
      </w:r>
      <w:r w:rsidRPr="00395593">
        <w:rPr>
          <w:rFonts w:ascii="Garamond" w:hAnsi="Garamond"/>
          <w:spacing w:val="-57"/>
          <w:sz w:val="24"/>
        </w:rPr>
        <w:t xml:space="preserve"> </w:t>
      </w:r>
      <w:r w:rsidRPr="00395593">
        <w:rPr>
          <w:rFonts w:ascii="Garamond" w:hAnsi="Garamond"/>
          <w:sz w:val="24"/>
        </w:rPr>
        <w:t>pelo Membro importador do produto considerado não for superior a 3 por cento, contanto</w:t>
      </w:r>
      <w:r w:rsidRPr="00395593">
        <w:rPr>
          <w:rFonts w:ascii="Garamond" w:hAnsi="Garamond"/>
          <w:spacing w:val="1"/>
          <w:sz w:val="24"/>
        </w:rPr>
        <w:t xml:space="preserve"> </w:t>
      </w:r>
      <w:r w:rsidRPr="00395593">
        <w:rPr>
          <w:rFonts w:ascii="Garamond" w:hAnsi="Garamond"/>
          <w:sz w:val="24"/>
        </w:rPr>
        <w:t>que os países em desenvolvimento Membros com participação nas importações inferior a 3</w:t>
      </w:r>
      <w:r w:rsidRPr="00395593">
        <w:rPr>
          <w:rFonts w:ascii="Garamond" w:hAnsi="Garamond"/>
          <w:spacing w:val="1"/>
          <w:sz w:val="24"/>
        </w:rPr>
        <w:t xml:space="preserve"> </w:t>
      </w:r>
      <w:r w:rsidRPr="00395593">
        <w:rPr>
          <w:rFonts w:ascii="Garamond" w:hAnsi="Garamond"/>
          <w:sz w:val="24"/>
        </w:rPr>
        <w:t>por cento não representem, em conjunto, mais de 9 por cento das importações totais do</w:t>
      </w:r>
      <w:r w:rsidRPr="00395593">
        <w:rPr>
          <w:rFonts w:ascii="Garamond" w:hAnsi="Garamond"/>
          <w:spacing w:val="1"/>
          <w:sz w:val="24"/>
        </w:rPr>
        <w:t xml:space="preserve"> </w:t>
      </w:r>
      <w:r w:rsidRPr="00395593">
        <w:rPr>
          <w:rFonts w:ascii="Garamond" w:hAnsi="Garamond"/>
          <w:sz w:val="24"/>
        </w:rPr>
        <w:t>produto em questão</w:t>
      </w:r>
      <w:r w:rsidRPr="00395593">
        <w:rPr>
          <w:rFonts w:ascii="Garamond" w:hAnsi="Garamond"/>
          <w:spacing w:val="-1"/>
          <w:sz w:val="24"/>
        </w:rPr>
        <w:t xml:space="preserve"> </w:t>
      </w:r>
      <w:r w:rsidRPr="00395593">
        <w:rPr>
          <w:rFonts w:ascii="Garamond" w:hAnsi="Garamond"/>
          <w:sz w:val="24"/>
          <w:vertAlign w:val="superscript"/>
        </w:rPr>
        <w:t>2</w:t>
      </w:r>
      <w:r w:rsidRPr="00395593">
        <w:rPr>
          <w:rFonts w:ascii="Garamond" w:hAnsi="Garamond"/>
          <w:sz w:val="24"/>
        </w:rPr>
        <w:t>.</w:t>
      </w:r>
    </w:p>
    <w:p w14:paraId="40D95026" w14:textId="77777777" w:rsidR="00D44A7A" w:rsidRPr="00395593" w:rsidRDefault="00D44A7A" w:rsidP="00D44A7A">
      <w:pPr>
        <w:pStyle w:val="Corpodetexto"/>
        <w:spacing w:before="1"/>
        <w:rPr>
          <w:rFonts w:ascii="Garamond" w:hAnsi="Garamond"/>
        </w:rPr>
      </w:pPr>
    </w:p>
    <w:p w14:paraId="6BE4A562" w14:textId="77777777" w:rsidR="00D44A7A" w:rsidRPr="00395593" w:rsidRDefault="00D44A7A" w:rsidP="002C4340">
      <w:pPr>
        <w:pStyle w:val="PargrafodaLista"/>
        <w:widowControl w:val="0"/>
        <w:numPr>
          <w:ilvl w:val="0"/>
          <w:numId w:val="70"/>
        </w:numPr>
        <w:tabs>
          <w:tab w:val="left" w:pos="930"/>
        </w:tabs>
        <w:autoSpaceDE w:val="0"/>
        <w:autoSpaceDN w:val="0"/>
        <w:spacing w:after="0" w:line="240" w:lineRule="auto"/>
        <w:ind w:right="158" w:firstLine="0"/>
        <w:contextualSpacing w:val="0"/>
        <w:jc w:val="both"/>
        <w:rPr>
          <w:rFonts w:ascii="Garamond" w:hAnsi="Garamond"/>
          <w:sz w:val="24"/>
        </w:rPr>
      </w:pPr>
      <w:r w:rsidRPr="00395593">
        <w:rPr>
          <w:rFonts w:ascii="Garamond" w:hAnsi="Garamond"/>
          <w:sz w:val="24"/>
        </w:rPr>
        <w:t>Todo país em desenvolvimento Membro terá o direito de prorrogar o período de</w:t>
      </w:r>
      <w:r w:rsidRPr="00395593">
        <w:rPr>
          <w:rFonts w:ascii="Garamond" w:hAnsi="Garamond"/>
          <w:spacing w:val="1"/>
          <w:sz w:val="24"/>
        </w:rPr>
        <w:t xml:space="preserve"> </w:t>
      </w:r>
      <w:r w:rsidRPr="00395593">
        <w:rPr>
          <w:rFonts w:ascii="Garamond" w:hAnsi="Garamond"/>
          <w:sz w:val="24"/>
        </w:rPr>
        <w:t>aplicação de uma medida de salvaguarda por um prazo de ate dois anos além do período</w:t>
      </w:r>
      <w:r w:rsidRPr="00395593">
        <w:rPr>
          <w:rFonts w:ascii="Garamond" w:hAnsi="Garamond"/>
          <w:spacing w:val="1"/>
          <w:sz w:val="24"/>
        </w:rPr>
        <w:t xml:space="preserve"> </w:t>
      </w:r>
      <w:r w:rsidRPr="00395593">
        <w:rPr>
          <w:rFonts w:ascii="Garamond" w:hAnsi="Garamond"/>
          <w:sz w:val="24"/>
        </w:rPr>
        <w:t>máximo estabelecido no parágrafo 9 do Artigo 7. Não obstante o disposto no parágrafo 5 do</w:t>
      </w:r>
      <w:r w:rsidRPr="00395593">
        <w:rPr>
          <w:rFonts w:ascii="Garamond" w:hAnsi="Garamond"/>
          <w:spacing w:val="-58"/>
          <w:sz w:val="24"/>
        </w:rPr>
        <w:t xml:space="preserve"> </w:t>
      </w:r>
      <w:r w:rsidRPr="00395593">
        <w:rPr>
          <w:rFonts w:ascii="Garamond" w:hAnsi="Garamond"/>
          <w:sz w:val="24"/>
        </w:rPr>
        <w:t>Artigo 7, um país em desenvolvimento Membro terá o direito de voltar a aplicar medida de</w:t>
      </w:r>
      <w:r w:rsidRPr="00395593">
        <w:rPr>
          <w:rFonts w:ascii="Garamond" w:hAnsi="Garamond"/>
          <w:spacing w:val="1"/>
          <w:sz w:val="24"/>
        </w:rPr>
        <w:t xml:space="preserve"> </w:t>
      </w:r>
      <w:r w:rsidRPr="00395593">
        <w:rPr>
          <w:rFonts w:ascii="Garamond" w:hAnsi="Garamond"/>
          <w:sz w:val="24"/>
        </w:rPr>
        <w:t>salvaguarda à importação de um produto que tenha estado sujeito a medida dessa natureza,</w:t>
      </w:r>
      <w:r w:rsidRPr="00395593">
        <w:rPr>
          <w:rFonts w:ascii="Garamond" w:hAnsi="Garamond"/>
          <w:spacing w:val="1"/>
          <w:sz w:val="24"/>
        </w:rPr>
        <w:t xml:space="preserve"> </w:t>
      </w:r>
      <w:r w:rsidRPr="00395593">
        <w:rPr>
          <w:rFonts w:ascii="Garamond" w:hAnsi="Garamond"/>
          <w:sz w:val="24"/>
        </w:rPr>
        <w:t>tomada após a data da entrada em vigor do Acordo Constitutivo da OMC, depois de um</w:t>
      </w:r>
      <w:r w:rsidRPr="00395593">
        <w:rPr>
          <w:rFonts w:ascii="Garamond" w:hAnsi="Garamond"/>
          <w:spacing w:val="1"/>
          <w:sz w:val="24"/>
        </w:rPr>
        <w:t xml:space="preserve"> </w:t>
      </w:r>
      <w:r w:rsidRPr="00395593">
        <w:rPr>
          <w:rFonts w:ascii="Garamond" w:hAnsi="Garamond"/>
          <w:sz w:val="24"/>
        </w:rPr>
        <w:t>período igual à metade daquele durante o qual se tenha aplicado anteriormente tal medida,</w:t>
      </w:r>
      <w:r w:rsidRPr="00395593">
        <w:rPr>
          <w:rFonts w:ascii="Garamond" w:hAnsi="Garamond"/>
          <w:spacing w:val="1"/>
          <w:sz w:val="24"/>
        </w:rPr>
        <w:t xml:space="preserve"> </w:t>
      </w:r>
      <w:r w:rsidRPr="00395593">
        <w:rPr>
          <w:rFonts w:ascii="Garamond" w:hAnsi="Garamond"/>
          <w:sz w:val="24"/>
        </w:rPr>
        <w:t>contanto</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o período de</w:t>
      </w:r>
      <w:r w:rsidRPr="00395593">
        <w:rPr>
          <w:rFonts w:ascii="Garamond" w:hAnsi="Garamond"/>
          <w:spacing w:val="-1"/>
          <w:sz w:val="24"/>
        </w:rPr>
        <w:t xml:space="preserve"> </w:t>
      </w:r>
      <w:r w:rsidRPr="00395593">
        <w:rPr>
          <w:rFonts w:ascii="Garamond" w:hAnsi="Garamond"/>
          <w:sz w:val="24"/>
        </w:rPr>
        <w:t>não-aplicação seja de</w:t>
      </w:r>
      <w:r w:rsidRPr="00395593">
        <w:rPr>
          <w:rFonts w:ascii="Garamond" w:hAnsi="Garamond"/>
          <w:spacing w:val="-2"/>
          <w:sz w:val="24"/>
        </w:rPr>
        <w:t xml:space="preserve"> </w:t>
      </w:r>
      <w:r w:rsidRPr="00395593">
        <w:rPr>
          <w:rFonts w:ascii="Garamond" w:hAnsi="Garamond"/>
          <w:sz w:val="24"/>
        </w:rPr>
        <w:t>dois anos pelo menos.</w:t>
      </w:r>
    </w:p>
    <w:p w14:paraId="3DA989CD" w14:textId="77777777" w:rsidR="00D44A7A" w:rsidRPr="00395593" w:rsidRDefault="00D44A7A" w:rsidP="00D44A7A">
      <w:pPr>
        <w:pStyle w:val="Corpodetexto"/>
        <w:rPr>
          <w:rFonts w:ascii="Garamond" w:hAnsi="Garamond"/>
        </w:rPr>
      </w:pPr>
    </w:p>
    <w:p w14:paraId="2C185836" w14:textId="77777777" w:rsidR="00D44A7A" w:rsidRPr="00395593" w:rsidRDefault="00D44A7A" w:rsidP="00D44A7A">
      <w:pPr>
        <w:pStyle w:val="Corpodetexto"/>
        <w:spacing w:line="360" w:lineRule="auto"/>
        <w:ind w:left="1318" w:right="1259"/>
        <w:jc w:val="center"/>
        <w:rPr>
          <w:rFonts w:ascii="Garamond" w:hAnsi="Garamond"/>
          <w:b/>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10</w:t>
      </w:r>
    </w:p>
    <w:p w14:paraId="3CFCE82F" w14:textId="77777777" w:rsidR="00D44A7A" w:rsidRPr="00395593" w:rsidRDefault="00D44A7A" w:rsidP="00D44A7A">
      <w:pPr>
        <w:pStyle w:val="Corpodetexto"/>
        <w:spacing w:before="1" w:line="360" w:lineRule="auto"/>
        <w:ind w:left="1318" w:right="1261"/>
        <w:jc w:val="center"/>
        <w:rPr>
          <w:rFonts w:ascii="Garamond" w:hAnsi="Garamond"/>
        </w:rPr>
      </w:pPr>
      <w:r w:rsidRPr="00395593">
        <w:rPr>
          <w:rFonts w:ascii="Garamond" w:hAnsi="Garamond"/>
          <w:b/>
        </w:rPr>
        <w:t>Medidas</w:t>
      </w:r>
      <w:r w:rsidRPr="00395593">
        <w:rPr>
          <w:rFonts w:ascii="Garamond" w:hAnsi="Garamond"/>
          <w:b/>
          <w:spacing w:val="-1"/>
        </w:rPr>
        <w:t xml:space="preserve"> </w:t>
      </w:r>
      <w:r w:rsidRPr="00395593">
        <w:rPr>
          <w:rFonts w:ascii="Garamond" w:hAnsi="Garamond"/>
          <w:b/>
        </w:rPr>
        <w:t>ao</w:t>
      </w:r>
      <w:r w:rsidRPr="00395593">
        <w:rPr>
          <w:rFonts w:ascii="Garamond" w:hAnsi="Garamond"/>
          <w:b/>
          <w:spacing w:val="-1"/>
        </w:rPr>
        <w:t xml:space="preserve"> </w:t>
      </w:r>
      <w:r w:rsidRPr="00395593">
        <w:rPr>
          <w:rFonts w:ascii="Garamond" w:hAnsi="Garamond"/>
          <w:b/>
        </w:rPr>
        <w:t>Amparo</w:t>
      </w:r>
      <w:r w:rsidRPr="00395593">
        <w:rPr>
          <w:rFonts w:ascii="Garamond" w:hAnsi="Garamond"/>
          <w:b/>
          <w:spacing w:val="-1"/>
        </w:rPr>
        <w:t xml:space="preserve"> </w:t>
      </w:r>
      <w:r w:rsidRPr="00395593">
        <w:rPr>
          <w:rFonts w:ascii="Garamond" w:hAnsi="Garamond"/>
          <w:b/>
        </w:rPr>
        <w:t>do Artigo</w:t>
      </w:r>
      <w:r w:rsidRPr="00395593">
        <w:rPr>
          <w:rFonts w:ascii="Garamond" w:hAnsi="Garamond"/>
          <w:b/>
          <w:spacing w:val="-1"/>
        </w:rPr>
        <w:t xml:space="preserve"> </w:t>
      </w:r>
      <w:r w:rsidRPr="00395593">
        <w:rPr>
          <w:rFonts w:ascii="Garamond" w:hAnsi="Garamond"/>
          <w:b/>
        </w:rPr>
        <w:t>XIX</w:t>
      </w:r>
      <w:r w:rsidRPr="00395593">
        <w:rPr>
          <w:rFonts w:ascii="Garamond" w:hAnsi="Garamond"/>
          <w:b/>
          <w:spacing w:val="-1"/>
        </w:rPr>
        <w:t xml:space="preserve"> </w:t>
      </w:r>
      <w:r w:rsidRPr="00395593">
        <w:rPr>
          <w:rFonts w:ascii="Garamond" w:hAnsi="Garamond"/>
          <w:b/>
        </w:rPr>
        <w:t>Já</w:t>
      </w:r>
      <w:r w:rsidRPr="00395593">
        <w:rPr>
          <w:rFonts w:ascii="Garamond" w:hAnsi="Garamond"/>
          <w:b/>
          <w:spacing w:val="-2"/>
        </w:rPr>
        <w:t xml:space="preserve"> </w:t>
      </w:r>
      <w:r w:rsidRPr="00395593">
        <w:rPr>
          <w:rFonts w:ascii="Garamond" w:hAnsi="Garamond"/>
          <w:b/>
        </w:rPr>
        <w:t>Vigentes</w:t>
      </w:r>
    </w:p>
    <w:p w14:paraId="4D642160" w14:textId="77777777" w:rsidR="00D44A7A" w:rsidRPr="00395593" w:rsidRDefault="00D44A7A" w:rsidP="00D44A7A">
      <w:pPr>
        <w:pStyle w:val="Corpodetexto"/>
        <w:spacing w:before="11"/>
        <w:rPr>
          <w:rFonts w:ascii="Garamond" w:hAnsi="Garamond"/>
          <w:sz w:val="23"/>
        </w:rPr>
      </w:pPr>
    </w:p>
    <w:p w14:paraId="15613299" w14:textId="77777777" w:rsidR="00D44A7A" w:rsidRPr="00395593" w:rsidRDefault="00D44A7A" w:rsidP="00D44A7A">
      <w:pPr>
        <w:pStyle w:val="Corpodetexto"/>
        <w:ind w:left="222" w:right="162"/>
        <w:jc w:val="both"/>
        <w:rPr>
          <w:rFonts w:ascii="Garamond" w:hAnsi="Garamond"/>
        </w:rPr>
      </w:pPr>
      <w:r w:rsidRPr="00395593">
        <w:rPr>
          <w:rFonts w:ascii="Garamond" w:hAnsi="Garamond"/>
        </w:rPr>
        <w:t xml:space="preserve">1.    </w:t>
      </w:r>
      <w:r w:rsidRPr="00395593">
        <w:rPr>
          <w:rFonts w:ascii="Garamond" w:hAnsi="Garamond"/>
          <w:spacing w:val="1"/>
        </w:rPr>
        <w:t xml:space="preserve"> </w:t>
      </w:r>
      <w:r w:rsidRPr="00395593">
        <w:rPr>
          <w:rFonts w:ascii="Garamond" w:hAnsi="Garamond"/>
        </w:rPr>
        <w:t>Os Membros darão por encerradas todas as medidas de salvaguarda tomadas do</w:t>
      </w:r>
      <w:r w:rsidRPr="00395593">
        <w:rPr>
          <w:rFonts w:ascii="Garamond" w:hAnsi="Garamond"/>
          <w:spacing w:val="1"/>
        </w:rPr>
        <w:t xml:space="preserve"> </w:t>
      </w:r>
      <w:r w:rsidRPr="00395593">
        <w:rPr>
          <w:rFonts w:ascii="Garamond" w:hAnsi="Garamond"/>
        </w:rPr>
        <w:t>amparo do Artigo XIX do GATT 1947 que estejam em vigor no momento da entrada em</w:t>
      </w:r>
      <w:r w:rsidRPr="00395593">
        <w:rPr>
          <w:rFonts w:ascii="Garamond" w:hAnsi="Garamond"/>
          <w:spacing w:val="1"/>
        </w:rPr>
        <w:t xml:space="preserve"> </w:t>
      </w:r>
      <w:r w:rsidRPr="00395593">
        <w:rPr>
          <w:rFonts w:ascii="Garamond" w:hAnsi="Garamond"/>
        </w:rPr>
        <w:t>vigor do Acordo Constitutivo da OMC o mais tardar oito anos após a data em que tenham</w:t>
      </w:r>
      <w:r w:rsidRPr="00395593">
        <w:rPr>
          <w:rFonts w:ascii="Garamond" w:hAnsi="Garamond"/>
          <w:spacing w:val="1"/>
        </w:rPr>
        <w:t xml:space="preserve"> </w:t>
      </w:r>
      <w:r w:rsidRPr="00395593">
        <w:rPr>
          <w:rFonts w:ascii="Garamond" w:hAnsi="Garamond"/>
        </w:rPr>
        <w:t>sido aplicadas pela primeira vez ou cinco anos após a data de entrada em vigor do Acordo</w:t>
      </w:r>
      <w:r w:rsidRPr="00395593">
        <w:rPr>
          <w:rFonts w:ascii="Garamond" w:hAnsi="Garamond"/>
          <w:spacing w:val="1"/>
        </w:rPr>
        <w:t xml:space="preserve"> </w:t>
      </w:r>
      <w:r w:rsidRPr="00395593">
        <w:rPr>
          <w:rFonts w:ascii="Garamond" w:hAnsi="Garamond"/>
        </w:rPr>
        <w:t>Constitutivo</w:t>
      </w:r>
      <w:r w:rsidRPr="00395593">
        <w:rPr>
          <w:rFonts w:ascii="Garamond" w:hAnsi="Garamond"/>
          <w:spacing w:val="-1"/>
        </w:rPr>
        <w:t xml:space="preserve"> </w:t>
      </w:r>
      <w:r w:rsidRPr="00395593">
        <w:rPr>
          <w:rFonts w:ascii="Garamond" w:hAnsi="Garamond"/>
        </w:rPr>
        <w:t>da</w:t>
      </w:r>
      <w:r w:rsidRPr="00395593">
        <w:rPr>
          <w:rFonts w:ascii="Garamond" w:hAnsi="Garamond"/>
          <w:spacing w:val="-1"/>
        </w:rPr>
        <w:t xml:space="preserve"> </w:t>
      </w:r>
      <w:r w:rsidRPr="00395593">
        <w:rPr>
          <w:rFonts w:ascii="Garamond" w:hAnsi="Garamond"/>
        </w:rPr>
        <w:t>OMC, se</w:t>
      </w:r>
      <w:r w:rsidRPr="00395593">
        <w:rPr>
          <w:rFonts w:ascii="Garamond" w:hAnsi="Garamond"/>
          <w:spacing w:val="-4"/>
        </w:rPr>
        <w:t xml:space="preserve"> </w:t>
      </w:r>
      <w:r w:rsidRPr="00395593">
        <w:rPr>
          <w:rFonts w:ascii="Garamond" w:hAnsi="Garamond"/>
        </w:rPr>
        <w:t>essa data for posterior.</w:t>
      </w:r>
    </w:p>
    <w:p w14:paraId="4CDEDF70" w14:textId="77777777" w:rsidR="00D44A7A" w:rsidRPr="00395593" w:rsidRDefault="00D44A7A" w:rsidP="00D44A7A">
      <w:pPr>
        <w:pStyle w:val="Corpodetexto"/>
        <w:rPr>
          <w:rFonts w:ascii="Garamond" w:hAnsi="Garamond"/>
          <w:sz w:val="26"/>
        </w:rPr>
      </w:pPr>
    </w:p>
    <w:p w14:paraId="1D2EACF2" w14:textId="77777777" w:rsidR="00D44A7A" w:rsidRPr="00395593" w:rsidRDefault="00D44A7A" w:rsidP="00D44A7A">
      <w:pPr>
        <w:pStyle w:val="Corpodetexto"/>
        <w:rPr>
          <w:rFonts w:ascii="Garamond" w:hAnsi="Garamond"/>
          <w:sz w:val="22"/>
        </w:rPr>
      </w:pPr>
    </w:p>
    <w:p w14:paraId="22AD90EA" w14:textId="77777777" w:rsidR="00D44A7A" w:rsidRPr="00395593" w:rsidRDefault="00D44A7A" w:rsidP="00D44A7A">
      <w:pPr>
        <w:pStyle w:val="Corpodetexto"/>
        <w:spacing w:line="360" w:lineRule="auto"/>
        <w:ind w:left="1318" w:right="1259"/>
        <w:jc w:val="center"/>
        <w:rPr>
          <w:rFonts w:ascii="Garamond" w:hAnsi="Garamond"/>
          <w:b/>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11</w:t>
      </w:r>
    </w:p>
    <w:p w14:paraId="779D220B" w14:textId="77777777" w:rsidR="00D44A7A" w:rsidRPr="00395593" w:rsidRDefault="00D44A7A" w:rsidP="00D44A7A">
      <w:pPr>
        <w:pStyle w:val="Corpodetexto"/>
        <w:spacing w:line="360" w:lineRule="auto"/>
        <w:ind w:left="1318" w:right="1261"/>
        <w:jc w:val="center"/>
        <w:rPr>
          <w:rFonts w:ascii="Garamond" w:hAnsi="Garamond"/>
        </w:rPr>
      </w:pPr>
      <w:r w:rsidRPr="00395593">
        <w:rPr>
          <w:rFonts w:ascii="Garamond" w:hAnsi="Garamond"/>
          <w:b/>
        </w:rPr>
        <w:t>Proibição</w:t>
      </w:r>
      <w:r w:rsidRPr="00395593">
        <w:rPr>
          <w:rFonts w:ascii="Garamond" w:hAnsi="Garamond"/>
          <w:b/>
          <w:spacing w:val="-2"/>
        </w:rPr>
        <w:t xml:space="preserve"> </w:t>
      </w:r>
      <w:r w:rsidRPr="00395593">
        <w:rPr>
          <w:rFonts w:ascii="Garamond" w:hAnsi="Garamond"/>
          <w:b/>
        </w:rPr>
        <w:t>e</w:t>
      </w:r>
      <w:r w:rsidRPr="00395593">
        <w:rPr>
          <w:rFonts w:ascii="Garamond" w:hAnsi="Garamond"/>
          <w:b/>
          <w:spacing w:val="-2"/>
        </w:rPr>
        <w:t xml:space="preserve"> </w:t>
      </w:r>
      <w:r w:rsidRPr="00395593">
        <w:rPr>
          <w:rFonts w:ascii="Garamond" w:hAnsi="Garamond"/>
          <w:b/>
        </w:rPr>
        <w:t>Eliminação</w:t>
      </w:r>
      <w:r w:rsidRPr="00395593">
        <w:rPr>
          <w:rFonts w:ascii="Garamond" w:hAnsi="Garamond"/>
          <w:b/>
          <w:spacing w:val="-1"/>
        </w:rPr>
        <w:t xml:space="preserve"> </w:t>
      </w:r>
      <w:r w:rsidRPr="00395593">
        <w:rPr>
          <w:rFonts w:ascii="Garamond" w:hAnsi="Garamond"/>
          <w:b/>
        </w:rPr>
        <w:t>de</w:t>
      </w:r>
      <w:r w:rsidRPr="00395593">
        <w:rPr>
          <w:rFonts w:ascii="Garamond" w:hAnsi="Garamond"/>
          <w:b/>
          <w:spacing w:val="-2"/>
        </w:rPr>
        <w:t xml:space="preserve"> </w:t>
      </w:r>
      <w:r w:rsidRPr="00395593">
        <w:rPr>
          <w:rFonts w:ascii="Garamond" w:hAnsi="Garamond"/>
          <w:b/>
        </w:rPr>
        <w:t>Certas</w:t>
      </w:r>
      <w:r w:rsidRPr="00395593">
        <w:rPr>
          <w:rFonts w:ascii="Garamond" w:hAnsi="Garamond"/>
          <w:b/>
          <w:spacing w:val="-1"/>
        </w:rPr>
        <w:t xml:space="preserve"> </w:t>
      </w:r>
      <w:r w:rsidRPr="00395593">
        <w:rPr>
          <w:rFonts w:ascii="Garamond" w:hAnsi="Garamond"/>
          <w:b/>
        </w:rPr>
        <w:t>Medidas</w:t>
      </w:r>
    </w:p>
    <w:p w14:paraId="622FF34F" w14:textId="77777777" w:rsidR="00D44A7A" w:rsidRPr="00395593" w:rsidRDefault="00D44A7A" w:rsidP="00D44A7A">
      <w:pPr>
        <w:pStyle w:val="Corpodetexto"/>
        <w:spacing w:before="1"/>
        <w:rPr>
          <w:rFonts w:ascii="Garamond" w:hAnsi="Garamond"/>
        </w:rPr>
      </w:pPr>
    </w:p>
    <w:p w14:paraId="64960C84" w14:textId="77777777" w:rsidR="00D44A7A" w:rsidRPr="00395593" w:rsidRDefault="00D44A7A" w:rsidP="002C4340">
      <w:pPr>
        <w:pStyle w:val="PargrafodaLista"/>
        <w:widowControl w:val="0"/>
        <w:numPr>
          <w:ilvl w:val="0"/>
          <w:numId w:val="69"/>
        </w:numPr>
        <w:tabs>
          <w:tab w:val="left" w:pos="489"/>
        </w:tabs>
        <w:autoSpaceDE w:val="0"/>
        <w:autoSpaceDN w:val="0"/>
        <w:spacing w:after="0" w:line="240" w:lineRule="auto"/>
        <w:ind w:right="161" w:hanging="632"/>
        <w:contextualSpacing w:val="0"/>
        <w:jc w:val="both"/>
        <w:rPr>
          <w:rFonts w:ascii="Garamond" w:hAnsi="Garamond"/>
          <w:sz w:val="24"/>
        </w:rPr>
      </w:pPr>
      <w:r w:rsidRPr="00395593">
        <w:rPr>
          <w:rFonts w:ascii="Garamond" w:hAnsi="Garamond"/>
          <w:sz w:val="24"/>
        </w:rPr>
        <w:t>(a) Nenhum Membro adotará nem procurara adorar medidas de emergência, tais como</w:t>
      </w:r>
      <w:r w:rsidRPr="00395593">
        <w:rPr>
          <w:rFonts w:ascii="Garamond" w:hAnsi="Garamond"/>
          <w:spacing w:val="1"/>
          <w:sz w:val="24"/>
        </w:rPr>
        <w:t xml:space="preserve"> </w:t>
      </w:r>
      <w:r w:rsidRPr="00395593">
        <w:rPr>
          <w:rFonts w:ascii="Garamond" w:hAnsi="Garamond"/>
          <w:sz w:val="24"/>
        </w:rPr>
        <w:t>definidas no Artigo XIX do GATT 1994, com relação a produtos particulares, a</w:t>
      </w:r>
      <w:r w:rsidRPr="00395593">
        <w:rPr>
          <w:rFonts w:ascii="Garamond" w:hAnsi="Garamond"/>
          <w:spacing w:val="1"/>
          <w:sz w:val="24"/>
        </w:rPr>
        <w:t xml:space="preserve"> </w:t>
      </w:r>
      <w:r w:rsidRPr="00395593">
        <w:rPr>
          <w:rFonts w:ascii="Garamond" w:hAnsi="Garamond"/>
          <w:sz w:val="24"/>
        </w:rPr>
        <w:t>menos que tais medidas estejam em conformidade com as disposições do referido</w:t>
      </w:r>
      <w:r w:rsidRPr="00395593">
        <w:rPr>
          <w:rFonts w:ascii="Garamond" w:hAnsi="Garamond"/>
          <w:spacing w:val="1"/>
          <w:sz w:val="24"/>
        </w:rPr>
        <w:t xml:space="preserve"> </w:t>
      </w:r>
      <w:r w:rsidRPr="00395593">
        <w:rPr>
          <w:rFonts w:ascii="Garamond" w:hAnsi="Garamond"/>
          <w:sz w:val="24"/>
        </w:rPr>
        <w:t>Artigo</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2"/>
          <w:sz w:val="24"/>
        </w:rPr>
        <w:t xml:space="preserve"> </w:t>
      </w:r>
      <w:r w:rsidRPr="00395593">
        <w:rPr>
          <w:rFonts w:ascii="Garamond" w:hAnsi="Garamond"/>
          <w:sz w:val="24"/>
        </w:rPr>
        <w:t>sejam</w:t>
      </w:r>
      <w:r w:rsidRPr="00395593">
        <w:rPr>
          <w:rFonts w:ascii="Garamond" w:hAnsi="Garamond"/>
          <w:spacing w:val="-1"/>
          <w:sz w:val="24"/>
        </w:rPr>
        <w:t xml:space="preserve"> </w:t>
      </w:r>
      <w:r w:rsidRPr="00395593">
        <w:rPr>
          <w:rFonts w:ascii="Garamond" w:hAnsi="Garamond"/>
          <w:sz w:val="24"/>
        </w:rPr>
        <w:t>aplicadas</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consonância com</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disposições</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presente</w:t>
      </w:r>
      <w:r w:rsidRPr="00395593">
        <w:rPr>
          <w:rFonts w:ascii="Garamond" w:hAnsi="Garamond"/>
          <w:spacing w:val="1"/>
          <w:sz w:val="24"/>
        </w:rPr>
        <w:t xml:space="preserve"> </w:t>
      </w:r>
      <w:r w:rsidRPr="00395593">
        <w:rPr>
          <w:rFonts w:ascii="Garamond" w:hAnsi="Garamond"/>
          <w:sz w:val="24"/>
        </w:rPr>
        <w:t>Acordo.</w:t>
      </w:r>
    </w:p>
    <w:p w14:paraId="6B6B1697" w14:textId="77777777" w:rsidR="00D44A7A" w:rsidRPr="00395593" w:rsidRDefault="00D44A7A" w:rsidP="00D44A7A">
      <w:pPr>
        <w:pStyle w:val="Corpodetexto"/>
        <w:rPr>
          <w:rFonts w:ascii="Garamond" w:hAnsi="Garamond"/>
          <w:sz w:val="20"/>
        </w:rPr>
      </w:pPr>
    </w:p>
    <w:p w14:paraId="064E9B9D" w14:textId="1EBE5D56" w:rsidR="00D44A7A" w:rsidRPr="00395593" w:rsidRDefault="00D44A7A" w:rsidP="00D44A7A">
      <w:pPr>
        <w:pStyle w:val="Corpodetexto"/>
        <w:rPr>
          <w:rFonts w:ascii="Garamond" w:hAnsi="Garamond"/>
          <w:sz w:val="27"/>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92" behindDoc="1" locked="0" layoutInCell="1" allowOverlap="1" wp14:anchorId="2F7D59C6" wp14:editId="047F326E">
                <wp:simplePos x="0" y="0"/>
                <wp:positionH relativeFrom="page">
                  <wp:posOffset>1080770</wp:posOffset>
                </wp:positionH>
                <wp:positionV relativeFrom="paragraph">
                  <wp:posOffset>212725</wp:posOffset>
                </wp:positionV>
                <wp:extent cx="1828800" cy="7620"/>
                <wp:effectExtent l="4445" t="0" r="0" b="0"/>
                <wp:wrapTopAndBottom/>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3CFCA" id="Retângulo 14" o:spid="_x0000_s1026" style="position:absolute;margin-left:85.1pt;margin-top:16.75pt;width:2in;height:.6pt;z-index:-2516581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qmfgIAAPw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" fillcolor="black" stroked="f">
                <w10:wrap type="topAndBottom" anchorx="page"/>
              </v:rect>
            </w:pict>
          </mc:Fallback>
        </mc:AlternateContent>
      </w:r>
    </w:p>
    <w:p w14:paraId="10B49A26" w14:textId="77777777" w:rsidR="00D44A7A" w:rsidRPr="00395593" w:rsidRDefault="00D44A7A" w:rsidP="00D44A7A">
      <w:pPr>
        <w:spacing w:before="103"/>
        <w:ind w:left="222"/>
        <w:rPr>
          <w:rFonts w:ascii="Garamond" w:hAnsi="Garamond"/>
          <w:sz w:val="20"/>
        </w:rPr>
      </w:pPr>
      <w:r w:rsidRPr="00395593">
        <w:rPr>
          <w:rFonts w:ascii="Garamond" w:hAnsi="Garamond"/>
          <w:sz w:val="20"/>
          <w:vertAlign w:val="superscript"/>
        </w:rPr>
        <w:t>2</w:t>
      </w:r>
      <w:r w:rsidRPr="00395593">
        <w:rPr>
          <w:rFonts w:ascii="Garamond" w:hAnsi="Garamond"/>
          <w:spacing w:val="26"/>
          <w:sz w:val="20"/>
        </w:rPr>
        <w:t xml:space="preserve"> </w:t>
      </w:r>
      <w:r w:rsidRPr="00395593">
        <w:rPr>
          <w:rFonts w:ascii="Garamond" w:hAnsi="Garamond"/>
          <w:sz w:val="20"/>
        </w:rPr>
        <w:t>Todo</w:t>
      </w:r>
      <w:r w:rsidRPr="00395593">
        <w:rPr>
          <w:rFonts w:ascii="Garamond" w:hAnsi="Garamond"/>
          <w:spacing w:val="24"/>
          <w:sz w:val="20"/>
        </w:rPr>
        <w:t xml:space="preserve"> </w:t>
      </w:r>
      <w:r w:rsidRPr="00395593">
        <w:rPr>
          <w:rFonts w:ascii="Garamond" w:hAnsi="Garamond"/>
          <w:sz w:val="20"/>
        </w:rPr>
        <w:t>Membro</w:t>
      </w:r>
      <w:r w:rsidRPr="00395593">
        <w:rPr>
          <w:rFonts w:ascii="Garamond" w:hAnsi="Garamond"/>
          <w:spacing w:val="28"/>
          <w:sz w:val="20"/>
        </w:rPr>
        <w:t xml:space="preserve"> </w:t>
      </w:r>
      <w:r w:rsidRPr="00395593">
        <w:rPr>
          <w:rFonts w:ascii="Garamond" w:hAnsi="Garamond"/>
          <w:sz w:val="20"/>
        </w:rPr>
        <w:t>notificará</w:t>
      </w:r>
      <w:r w:rsidRPr="00395593">
        <w:rPr>
          <w:rFonts w:ascii="Garamond" w:hAnsi="Garamond"/>
          <w:spacing w:val="26"/>
          <w:sz w:val="20"/>
        </w:rPr>
        <w:t xml:space="preserve"> </w:t>
      </w:r>
      <w:r w:rsidRPr="00395593">
        <w:rPr>
          <w:rFonts w:ascii="Garamond" w:hAnsi="Garamond"/>
          <w:sz w:val="20"/>
        </w:rPr>
        <w:t>imediatamente</w:t>
      </w:r>
      <w:r w:rsidRPr="00395593">
        <w:rPr>
          <w:rFonts w:ascii="Garamond" w:hAnsi="Garamond"/>
          <w:spacing w:val="27"/>
          <w:sz w:val="20"/>
        </w:rPr>
        <w:t xml:space="preserve"> </w:t>
      </w:r>
      <w:r w:rsidRPr="00395593">
        <w:rPr>
          <w:rFonts w:ascii="Garamond" w:hAnsi="Garamond"/>
          <w:sz w:val="20"/>
        </w:rPr>
        <w:t>ao</w:t>
      </w:r>
      <w:r w:rsidRPr="00395593">
        <w:rPr>
          <w:rFonts w:ascii="Garamond" w:hAnsi="Garamond"/>
          <w:spacing w:val="27"/>
          <w:sz w:val="20"/>
        </w:rPr>
        <w:t xml:space="preserve"> </w:t>
      </w:r>
      <w:r w:rsidRPr="00395593">
        <w:rPr>
          <w:rFonts w:ascii="Garamond" w:hAnsi="Garamond"/>
          <w:sz w:val="20"/>
        </w:rPr>
        <w:t>Comitê</w:t>
      </w:r>
      <w:r w:rsidRPr="00395593">
        <w:rPr>
          <w:rFonts w:ascii="Garamond" w:hAnsi="Garamond"/>
          <w:spacing w:val="26"/>
          <w:sz w:val="20"/>
        </w:rPr>
        <w:t xml:space="preserve"> </w:t>
      </w:r>
      <w:r w:rsidRPr="00395593">
        <w:rPr>
          <w:rFonts w:ascii="Garamond" w:hAnsi="Garamond"/>
          <w:sz w:val="20"/>
        </w:rPr>
        <w:t>de</w:t>
      </w:r>
      <w:r w:rsidRPr="00395593">
        <w:rPr>
          <w:rFonts w:ascii="Garamond" w:hAnsi="Garamond"/>
          <w:spacing w:val="27"/>
          <w:sz w:val="20"/>
        </w:rPr>
        <w:t xml:space="preserve"> </w:t>
      </w:r>
      <w:r w:rsidRPr="00395593">
        <w:rPr>
          <w:rFonts w:ascii="Garamond" w:hAnsi="Garamond"/>
          <w:sz w:val="20"/>
        </w:rPr>
        <w:t>salvaguardas</w:t>
      </w:r>
      <w:r w:rsidRPr="00395593">
        <w:rPr>
          <w:rFonts w:ascii="Garamond" w:hAnsi="Garamond"/>
          <w:spacing w:val="25"/>
          <w:sz w:val="20"/>
        </w:rPr>
        <w:t xml:space="preserve"> </w:t>
      </w:r>
      <w:r w:rsidRPr="00395593">
        <w:rPr>
          <w:rFonts w:ascii="Garamond" w:hAnsi="Garamond"/>
          <w:sz w:val="20"/>
        </w:rPr>
        <w:t>as</w:t>
      </w:r>
      <w:r w:rsidRPr="00395593">
        <w:rPr>
          <w:rFonts w:ascii="Garamond" w:hAnsi="Garamond"/>
          <w:spacing w:val="28"/>
          <w:sz w:val="20"/>
        </w:rPr>
        <w:t xml:space="preserve"> </w:t>
      </w:r>
      <w:r w:rsidRPr="00395593">
        <w:rPr>
          <w:rFonts w:ascii="Garamond" w:hAnsi="Garamond"/>
          <w:sz w:val="20"/>
        </w:rPr>
        <w:t>medidas</w:t>
      </w:r>
      <w:r w:rsidRPr="00395593">
        <w:rPr>
          <w:rFonts w:ascii="Garamond" w:hAnsi="Garamond"/>
          <w:spacing w:val="26"/>
          <w:sz w:val="20"/>
        </w:rPr>
        <w:t xml:space="preserve"> </w:t>
      </w:r>
      <w:r w:rsidRPr="00395593">
        <w:rPr>
          <w:rFonts w:ascii="Garamond" w:hAnsi="Garamond"/>
          <w:sz w:val="20"/>
        </w:rPr>
        <w:t>que</w:t>
      </w:r>
      <w:r w:rsidRPr="00395593">
        <w:rPr>
          <w:rFonts w:ascii="Garamond" w:hAnsi="Garamond"/>
          <w:spacing w:val="28"/>
          <w:sz w:val="20"/>
        </w:rPr>
        <w:t xml:space="preserve"> </w:t>
      </w:r>
      <w:r w:rsidRPr="00395593">
        <w:rPr>
          <w:rFonts w:ascii="Garamond" w:hAnsi="Garamond"/>
          <w:sz w:val="20"/>
        </w:rPr>
        <w:t>adote</w:t>
      </w:r>
      <w:r w:rsidRPr="00395593">
        <w:rPr>
          <w:rFonts w:ascii="Garamond" w:hAnsi="Garamond"/>
          <w:spacing w:val="27"/>
          <w:sz w:val="20"/>
        </w:rPr>
        <w:t xml:space="preserve"> </w:t>
      </w:r>
      <w:r w:rsidRPr="00395593">
        <w:rPr>
          <w:rFonts w:ascii="Garamond" w:hAnsi="Garamond"/>
          <w:sz w:val="20"/>
        </w:rPr>
        <w:t>ao</w:t>
      </w:r>
      <w:r w:rsidRPr="00395593">
        <w:rPr>
          <w:rFonts w:ascii="Garamond" w:hAnsi="Garamond"/>
          <w:spacing w:val="27"/>
          <w:sz w:val="20"/>
        </w:rPr>
        <w:t xml:space="preserve"> </w:t>
      </w:r>
      <w:r w:rsidRPr="00395593">
        <w:rPr>
          <w:rFonts w:ascii="Garamond" w:hAnsi="Garamond"/>
          <w:sz w:val="20"/>
        </w:rPr>
        <w:t>amparo</w:t>
      </w:r>
      <w:r w:rsidRPr="00395593">
        <w:rPr>
          <w:rFonts w:ascii="Garamond" w:hAnsi="Garamond"/>
          <w:spacing w:val="27"/>
          <w:sz w:val="20"/>
        </w:rPr>
        <w:t xml:space="preserve"> </w:t>
      </w:r>
      <w:r w:rsidRPr="00395593">
        <w:rPr>
          <w:rFonts w:ascii="Garamond" w:hAnsi="Garamond"/>
          <w:sz w:val="20"/>
        </w:rPr>
        <w:t>do</w:t>
      </w:r>
      <w:r w:rsidRPr="00395593">
        <w:rPr>
          <w:rFonts w:ascii="Garamond" w:hAnsi="Garamond"/>
          <w:spacing w:val="-47"/>
          <w:sz w:val="20"/>
        </w:rPr>
        <w:t xml:space="preserve"> </w:t>
      </w:r>
      <w:r w:rsidRPr="00395593">
        <w:rPr>
          <w:rFonts w:ascii="Garamond" w:hAnsi="Garamond"/>
          <w:sz w:val="20"/>
        </w:rPr>
        <w:t>parágrafo primeiro</w:t>
      </w:r>
      <w:r w:rsidRPr="00395593">
        <w:rPr>
          <w:rFonts w:ascii="Garamond" w:hAnsi="Garamond"/>
          <w:spacing w:val="1"/>
          <w:sz w:val="20"/>
        </w:rPr>
        <w:t xml:space="preserve"> </w:t>
      </w:r>
      <w:r w:rsidRPr="00395593">
        <w:rPr>
          <w:rFonts w:ascii="Garamond" w:hAnsi="Garamond"/>
          <w:sz w:val="20"/>
        </w:rPr>
        <w:t>do</w:t>
      </w:r>
      <w:r w:rsidRPr="00395593">
        <w:rPr>
          <w:rFonts w:ascii="Garamond" w:hAnsi="Garamond"/>
          <w:spacing w:val="1"/>
          <w:sz w:val="20"/>
        </w:rPr>
        <w:t xml:space="preserve"> </w:t>
      </w:r>
      <w:r w:rsidRPr="00395593">
        <w:rPr>
          <w:rFonts w:ascii="Garamond" w:hAnsi="Garamond"/>
          <w:sz w:val="20"/>
        </w:rPr>
        <w:t>Artigo</w:t>
      </w:r>
      <w:r w:rsidRPr="00395593">
        <w:rPr>
          <w:rFonts w:ascii="Garamond" w:hAnsi="Garamond"/>
          <w:spacing w:val="1"/>
          <w:sz w:val="20"/>
        </w:rPr>
        <w:t xml:space="preserve"> </w:t>
      </w:r>
      <w:r w:rsidRPr="00395593">
        <w:rPr>
          <w:rFonts w:ascii="Garamond" w:hAnsi="Garamond"/>
          <w:sz w:val="20"/>
        </w:rPr>
        <w:t>9.</w:t>
      </w:r>
    </w:p>
    <w:p w14:paraId="7B8A5B8C" w14:textId="77777777" w:rsidR="00D44A7A" w:rsidRPr="00395593" w:rsidRDefault="00D44A7A" w:rsidP="00D44A7A">
      <w:pPr>
        <w:rPr>
          <w:rFonts w:ascii="Garamond" w:hAnsi="Garamond"/>
          <w:sz w:val="20"/>
        </w:rPr>
        <w:sectPr w:rsidR="00D44A7A" w:rsidRPr="00395593" w:rsidSect="00E15FBB">
          <w:pgSz w:w="12240" w:h="15840"/>
          <w:pgMar w:top="1418" w:right="1540" w:bottom="280" w:left="1418" w:header="720" w:footer="720" w:gutter="0"/>
          <w:cols w:space="720"/>
        </w:sectPr>
      </w:pPr>
    </w:p>
    <w:p w14:paraId="05E70F76" w14:textId="77777777" w:rsidR="00D44A7A" w:rsidRPr="00395593" w:rsidRDefault="00D44A7A" w:rsidP="002C4340">
      <w:pPr>
        <w:pStyle w:val="PargrafodaLista"/>
        <w:widowControl w:val="0"/>
        <w:numPr>
          <w:ilvl w:val="0"/>
          <w:numId w:val="68"/>
        </w:numPr>
        <w:tabs>
          <w:tab w:val="left" w:pos="846"/>
        </w:tabs>
        <w:autoSpaceDE w:val="0"/>
        <w:autoSpaceDN w:val="0"/>
        <w:spacing w:before="68" w:after="0" w:line="240" w:lineRule="auto"/>
        <w:ind w:right="155" w:hanging="365"/>
        <w:contextualSpacing w:val="0"/>
        <w:jc w:val="both"/>
        <w:rPr>
          <w:rFonts w:ascii="Garamond" w:hAnsi="Garamond"/>
          <w:sz w:val="24"/>
        </w:rPr>
      </w:pPr>
      <w:r w:rsidRPr="00395593">
        <w:rPr>
          <w:rFonts w:ascii="Garamond" w:hAnsi="Garamond"/>
          <w:sz w:val="24"/>
        </w:rPr>
        <w:t>Ademais, nenhum Membro procurará adotar, nem adotará, nem manterá restrições</w:t>
      </w:r>
      <w:r w:rsidRPr="00395593">
        <w:rPr>
          <w:rFonts w:ascii="Garamond" w:hAnsi="Garamond"/>
          <w:spacing w:val="1"/>
          <w:sz w:val="24"/>
        </w:rPr>
        <w:t xml:space="preserve"> </w:t>
      </w:r>
      <w:r w:rsidRPr="00395593">
        <w:rPr>
          <w:rFonts w:ascii="Garamond" w:hAnsi="Garamond"/>
          <w:sz w:val="24"/>
        </w:rPr>
        <w:t>voluntárias às exportações, acordos de organização de mercado ou quaisquer outras</w:t>
      </w:r>
      <w:r w:rsidRPr="00395593">
        <w:rPr>
          <w:rFonts w:ascii="Garamond" w:hAnsi="Garamond"/>
          <w:spacing w:val="1"/>
          <w:sz w:val="24"/>
        </w:rPr>
        <w:t xml:space="preserve"> </w:t>
      </w:r>
      <w:r w:rsidRPr="00395593">
        <w:rPr>
          <w:rFonts w:ascii="Garamond" w:hAnsi="Garamond"/>
          <w:spacing w:val="-1"/>
          <w:sz w:val="24"/>
        </w:rPr>
        <w:t xml:space="preserve">medidas similares </w:t>
      </w:r>
      <w:r w:rsidRPr="00395593">
        <w:rPr>
          <w:rFonts w:ascii="Garamond" w:hAnsi="Garamond"/>
          <w:sz w:val="24"/>
        </w:rPr>
        <w:t xml:space="preserve">no que diz respeito tanto às exportações quanto às importações </w:t>
      </w:r>
      <w:r w:rsidRPr="00395593">
        <w:rPr>
          <w:rFonts w:ascii="Garamond" w:hAnsi="Garamond"/>
          <w:sz w:val="24"/>
          <w:vertAlign w:val="superscript"/>
        </w:rPr>
        <w:t>3,</w:t>
      </w:r>
      <w:r w:rsidRPr="00395593">
        <w:rPr>
          <w:rFonts w:ascii="Garamond" w:hAnsi="Garamond"/>
          <w:sz w:val="24"/>
        </w:rPr>
        <w:t xml:space="preserve"> </w:t>
      </w:r>
      <w:r w:rsidRPr="00395593">
        <w:rPr>
          <w:rFonts w:ascii="Garamond" w:hAnsi="Garamond"/>
          <w:sz w:val="24"/>
          <w:vertAlign w:val="superscript"/>
        </w:rPr>
        <w:t>4</w:t>
      </w:r>
      <w:r w:rsidRPr="00395593">
        <w:rPr>
          <w:rFonts w:ascii="Garamond" w:hAnsi="Garamond"/>
          <w:sz w:val="24"/>
        </w:rPr>
        <w:t>.</w:t>
      </w:r>
      <w:r w:rsidRPr="00395593">
        <w:rPr>
          <w:rFonts w:ascii="Garamond" w:hAnsi="Garamond"/>
          <w:spacing w:val="-57"/>
          <w:sz w:val="24"/>
        </w:rPr>
        <w:t xml:space="preserve"> </w:t>
      </w:r>
      <w:r w:rsidRPr="00395593">
        <w:rPr>
          <w:rFonts w:ascii="Garamond" w:hAnsi="Garamond"/>
          <w:sz w:val="24"/>
        </w:rPr>
        <w:t>Estas compreendem medidas adotadas por um Membro individualmente ou mediante</w:t>
      </w:r>
      <w:r w:rsidRPr="00395593">
        <w:rPr>
          <w:rFonts w:ascii="Garamond" w:hAnsi="Garamond"/>
          <w:spacing w:val="-57"/>
          <w:sz w:val="24"/>
        </w:rPr>
        <w:t xml:space="preserve"> </w:t>
      </w:r>
      <w:r w:rsidRPr="00395593">
        <w:rPr>
          <w:rFonts w:ascii="Garamond" w:hAnsi="Garamond"/>
          <w:sz w:val="24"/>
        </w:rPr>
        <w:t>acordos,</w:t>
      </w:r>
      <w:r w:rsidRPr="00395593">
        <w:rPr>
          <w:rFonts w:ascii="Garamond" w:hAnsi="Garamond"/>
          <w:spacing w:val="1"/>
          <w:sz w:val="24"/>
        </w:rPr>
        <w:t xml:space="preserve"> </w:t>
      </w:r>
      <w:r w:rsidRPr="00395593">
        <w:rPr>
          <w:rFonts w:ascii="Garamond" w:hAnsi="Garamond"/>
          <w:sz w:val="24"/>
        </w:rPr>
        <w:t>arranjos e entendimentos firmados por dois ou mais Membros. Todas as</w:t>
      </w:r>
      <w:r w:rsidRPr="00395593">
        <w:rPr>
          <w:rFonts w:ascii="Garamond" w:hAnsi="Garamond"/>
          <w:spacing w:val="1"/>
          <w:sz w:val="24"/>
        </w:rPr>
        <w:t xml:space="preserve"> </w:t>
      </w:r>
      <w:r w:rsidRPr="00395593">
        <w:rPr>
          <w:rFonts w:ascii="Garamond" w:hAnsi="Garamond"/>
          <w:sz w:val="24"/>
        </w:rPr>
        <w:t>medidas dessa natureza, vigentes na data de entrada em vigor do Acordo Constitutivo</w:t>
      </w:r>
      <w:r w:rsidRPr="00395593">
        <w:rPr>
          <w:rFonts w:ascii="Garamond" w:hAnsi="Garamond"/>
          <w:spacing w:val="-57"/>
          <w:sz w:val="24"/>
        </w:rPr>
        <w:t xml:space="preserve"> </w:t>
      </w:r>
      <w:r w:rsidRPr="00395593">
        <w:rPr>
          <w:rFonts w:ascii="Garamond" w:hAnsi="Garamond"/>
          <w:sz w:val="24"/>
        </w:rPr>
        <w:t>da Organização Mundial de Comercio, devem ser adaptadas aos termos deste Acordo</w:t>
      </w:r>
      <w:r w:rsidRPr="00395593">
        <w:rPr>
          <w:rFonts w:ascii="Garamond" w:hAnsi="Garamond"/>
          <w:spacing w:val="-57"/>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gradualmente</w:t>
      </w:r>
      <w:r w:rsidRPr="00395593">
        <w:rPr>
          <w:rFonts w:ascii="Garamond" w:hAnsi="Garamond"/>
          <w:spacing w:val="1"/>
          <w:sz w:val="24"/>
        </w:rPr>
        <w:t xml:space="preserve"> </w:t>
      </w:r>
      <w:r w:rsidRPr="00395593">
        <w:rPr>
          <w:rFonts w:ascii="Garamond" w:hAnsi="Garamond"/>
          <w:sz w:val="24"/>
        </w:rPr>
        <w:t>eliminadas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acordo com</w:t>
      </w:r>
      <w:r w:rsidRPr="00395593">
        <w:rPr>
          <w:rFonts w:ascii="Garamond" w:hAnsi="Garamond"/>
          <w:spacing w:val="-1"/>
          <w:sz w:val="24"/>
        </w:rPr>
        <w:t xml:space="preserve"> </w:t>
      </w:r>
      <w:r w:rsidRPr="00395593">
        <w:rPr>
          <w:rFonts w:ascii="Garamond" w:hAnsi="Garamond"/>
          <w:sz w:val="24"/>
        </w:rPr>
        <w:t>o parágrafo segundo.</w:t>
      </w:r>
    </w:p>
    <w:p w14:paraId="0C48D040" w14:textId="77777777" w:rsidR="00D44A7A" w:rsidRPr="00395593" w:rsidRDefault="00D44A7A" w:rsidP="00D44A7A">
      <w:pPr>
        <w:pStyle w:val="Corpodetexto"/>
        <w:rPr>
          <w:rFonts w:ascii="Garamond" w:hAnsi="Garamond"/>
        </w:rPr>
      </w:pPr>
    </w:p>
    <w:p w14:paraId="6069EB6F" w14:textId="77777777" w:rsidR="00D44A7A" w:rsidRPr="00395593" w:rsidRDefault="00D44A7A" w:rsidP="002C4340">
      <w:pPr>
        <w:pStyle w:val="PargrafodaLista"/>
        <w:widowControl w:val="0"/>
        <w:numPr>
          <w:ilvl w:val="0"/>
          <w:numId w:val="68"/>
        </w:numPr>
        <w:tabs>
          <w:tab w:val="left" w:pos="731"/>
        </w:tabs>
        <w:autoSpaceDE w:val="0"/>
        <w:autoSpaceDN w:val="0"/>
        <w:spacing w:after="0" w:line="240" w:lineRule="auto"/>
        <w:ind w:left="810" w:right="160" w:hanging="408"/>
        <w:contextualSpacing w:val="0"/>
        <w:jc w:val="both"/>
        <w:rPr>
          <w:rFonts w:ascii="Garamond" w:hAnsi="Garamond"/>
          <w:sz w:val="24"/>
        </w:rPr>
      </w:pPr>
      <w:r w:rsidRPr="00395593">
        <w:rPr>
          <w:rFonts w:ascii="Garamond" w:hAnsi="Garamond"/>
          <w:sz w:val="24"/>
        </w:rPr>
        <w:t>O presente Acordo não se aplica às medidas que um Membro procure adotar, adote ou</w:t>
      </w:r>
      <w:r w:rsidRPr="00395593">
        <w:rPr>
          <w:rFonts w:ascii="Garamond" w:hAnsi="Garamond"/>
          <w:spacing w:val="-57"/>
          <w:sz w:val="24"/>
        </w:rPr>
        <w:t xml:space="preserve"> </w:t>
      </w:r>
      <w:r w:rsidRPr="00395593">
        <w:rPr>
          <w:rFonts w:ascii="Garamond" w:hAnsi="Garamond"/>
          <w:sz w:val="24"/>
        </w:rPr>
        <w:t>mantenha de conformidade com outras disposições do GATT 1994, além das do</w:t>
      </w:r>
      <w:r w:rsidRPr="00395593">
        <w:rPr>
          <w:rFonts w:ascii="Garamond" w:hAnsi="Garamond"/>
          <w:spacing w:val="1"/>
          <w:sz w:val="24"/>
        </w:rPr>
        <w:t xml:space="preserve"> </w:t>
      </w:r>
      <w:r w:rsidRPr="00395593">
        <w:rPr>
          <w:rFonts w:ascii="Garamond" w:hAnsi="Garamond"/>
          <w:sz w:val="24"/>
        </w:rPr>
        <w:t>Artigo XIX e dos Acordos Comerciais Multilaterais incluídos no Anexo l A, à parte o</w:t>
      </w:r>
      <w:r w:rsidRPr="00395593">
        <w:rPr>
          <w:rFonts w:ascii="Garamond" w:hAnsi="Garamond"/>
          <w:spacing w:val="-57"/>
          <w:sz w:val="24"/>
        </w:rPr>
        <w:t xml:space="preserve"> </w:t>
      </w:r>
      <w:r w:rsidRPr="00395593">
        <w:rPr>
          <w:rFonts w:ascii="Garamond" w:hAnsi="Garamond"/>
          <w:sz w:val="24"/>
        </w:rPr>
        <w:t>presente</w:t>
      </w:r>
      <w:r w:rsidRPr="00395593">
        <w:rPr>
          <w:rFonts w:ascii="Garamond" w:hAnsi="Garamond"/>
          <w:spacing w:val="1"/>
          <w:sz w:val="24"/>
        </w:rPr>
        <w:t xml:space="preserve"> </w:t>
      </w:r>
      <w:r w:rsidRPr="00395593">
        <w:rPr>
          <w:rFonts w:ascii="Garamond" w:hAnsi="Garamond"/>
          <w:sz w:val="24"/>
        </w:rPr>
        <w:t>Acordo,</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conformidade</w:t>
      </w:r>
      <w:r w:rsidRPr="00395593">
        <w:rPr>
          <w:rFonts w:ascii="Garamond" w:hAnsi="Garamond"/>
          <w:spacing w:val="1"/>
          <w:sz w:val="24"/>
        </w:rPr>
        <w:t xml:space="preserve"> </w:t>
      </w:r>
      <w:r w:rsidRPr="00395593">
        <w:rPr>
          <w:rFonts w:ascii="Garamond" w:hAnsi="Garamond"/>
          <w:sz w:val="24"/>
        </w:rPr>
        <w:t>com</w:t>
      </w:r>
      <w:r w:rsidRPr="00395593">
        <w:rPr>
          <w:rFonts w:ascii="Garamond" w:hAnsi="Garamond"/>
          <w:spacing w:val="1"/>
          <w:sz w:val="24"/>
        </w:rPr>
        <w:t xml:space="preserve"> </w:t>
      </w:r>
      <w:r w:rsidRPr="00395593">
        <w:rPr>
          <w:rFonts w:ascii="Garamond" w:hAnsi="Garamond"/>
          <w:sz w:val="24"/>
        </w:rPr>
        <w:t>protocolos</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acordos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convênios</w:t>
      </w:r>
      <w:r w:rsidRPr="00395593">
        <w:rPr>
          <w:rFonts w:ascii="Garamond" w:hAnsi="Garamond"/>
          <w:spacing w:val="1"/>
          <w:sz w:val="24"/>
        </w:rPr>
        <w:t xml:space="preserve"> </w:t>
      </w:r>
      <w:r w:rsidRPr="00395593">
        <w:rPr>
          <w:rFonts w:ascii="Garamond" w:hAnsi="Garamond"/>
          <w:sz w:val="24"/>
        </w:rPr>
        <w:t>concluídos</w:t>
      </w:r>
      <w:r w:rsidRPr="00395593">
        <w:rPr>
          <w:rFonts w:ascii="Garamond" w:hAnsi="Garamond"/>
          <w:spacing w:val="-1"/>
          <w:sz w:val="24"/>
        </w:rPr>
        <w:t xml:space="preserve"> </w:t>
      </w:r>
      <w:r w:rsidRPr="00395593">
        <w:rPr>
          <w:rFonts w:ascii="Garamond" w:hAnsi="Garamond"/>
          <w:sz w:val="24"/>
        </w:rPr>
        <w:t>no âmbito do GATT 1994.</w:t>
      </w:r>
    </w:p>
    <w:p w14:paraId="5A79E667" w14:textId="77777777" w:rsidR="00D44A7A" w:rsidRPr="00395593" w:rsidRDefault="00D44A7A" w:rsidP="00D44A7A">
      <w:pPr>
        <w:pStyle w:val="Corpodetexto"/>
        <w:spacing w:before="1"/>
        <w:rPr>
          <w:rFonts w:ascii="Garamond" w:hAnsi="Garamond"/>
        </w:rPr>
      </w:pPr>
    </w:p>
    <w:p w14:paraId="1188D889" w14:textId="77777777" w:rsidR="00D44A7A" w:rsidRPr="00395593" w:rsidRDefault="00D44A7A" w:rsidP="002C4340">
      <w:pPr>
        <w:pStyle w:val="PargrafodaLista"/>
        <w:widowControl w:val="0"/>
        <w:numPr>
          <w:ilvl w:val="0"/>
          <w:numId w:val="69"/>
        </w:numPr>
        <w:tabs>
          <w:tab w:val="left" w:pos="930"/>
        </w:tabs>
        <w:autoSpaceDE w:val="0"/>
        <w:autoSpaceDN w:val="0"/>
        <w:spacing w:after="0" w:line="240" w:lineRule="auto"/>
        <w:ind w:left="222" w:right="156" w:firstLine="0"/>
        <w:contextualSpacing w:val="0"/>
        <w:jc w:val="both"/>
        <w:rPr>
          <w:rFonts w:ascii="Garamond" w:hAnsi="Garamond"/>
          <w:sz w:val="24"/>
        </w:rPr>
      </w:pP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eliminação</w:t>
      </w:r>
      <w:r w:rsidRPr="00395593">
        <w:rPr>
          <w:rFonts w:ascii="Garamond" w:hAnsi="Garamond"/>
          <w:spacing w:val="1"/>
          <w:sz w:val="24"/>
        </w:rPr>
        <w:t xml:space="preserve"> </w:t>
      </w:r>
      <w:r w:rsidRPr="00395593">
        <w:rPr>
          <w:rFonts w:ascii="Garamond" w:hAnsi="Garamond"/>
          <w:sz w:val="24"/>
        </w:rPr>
        <w:t>progressiva</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medidas</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refere</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parágrafo</w:t>
      </w:r>
      <w:r w:rsidRPr="00395593">
        <w:rPr>
          <w:rFonts w:ascii="Garamond" w:hAnsi="Garamond"/>
          <w:spacing w:val="1"/>
          <w:sz w:val="24"/>
        </w:rPr>
        <w:t xml:space="preserve"> </w:t>
      </w:r>
      <w:r w:rsidRPr="00395593">
        <w:rPr>
          <w:rFonts w:ascii="Garamond" w:hAnsi="Garamond"/>
          <w:sz w:val="24"/>
        </w:rPr>
        <w:t>(b)</w:t>
      </w:r>
      <w:r w:rsidRPr="00395593">
        <w:rPr>
          <w:rFonts w:ascii="Garamond" w:hAnsi="Garamond"/>
          <w:spacing w:val="1"/>
          <w:sz w:val="24"/>
        </w:rPr>
        <w:t xml:space="preserve"> </w:t>
      </w:r>
      <w:r w:rsidRPr="00395593">
        <w:rPr>
          <w:rFonts w:ascii="Garamond" w:hAnsi="Garamond"/>
          <w:sz w:val="24"/>
        </w:rPr>
        <w:t>será</w:t>
      </w:r>
      <w:r w:rsidRPr="00395593">
        <w:rPr>
          <w:rFonts w:ascii="Garamond" w:hAnsi="Garamond"/>
          <w:spacing w:val="1"/>
          <w:sz w:val="24"/>
        </w:rPr>
        <w:t xml:space="preserve"> </w:t>
      </w:r>
      <w:r w:rsidRPr="00395593">
        <w:rPr>
          <w:rFonts w:ascii="Garamond" w:hAnsi="Garamond"/>
          <w:sz w:val="24"/>
        </w:rPr>
        <w:t>implementada de acordo com calendários que os Membros interessados submeterão ao</w:t>
      </w:r>
      <w:r w:rsidRPr="00395593">
        <w:rPr>
          <w:rFonts w:ascii="Garamond" w:hAnsi="Garamond"/>
          <w:spacing w:val="1"/>
          <w:sz w:val="24"/>
        </w:rPr>
        <w:t xml:space="preserve"> </w:t>
      </w:r>
      <w:r w:rsidRPr="00395593">
        <w:rPr>
          <w:rFonts w:ascii="Garamond" w:hAnsi="Garamond"/>
          <w:sz w:val="24"/>
        </w:rPr>
        <w:t>Comitê de Salvaguardas o mais tardar 180 dias após a data de entrada em vigor do Acordo</w:t>
      </w:r>
      <w:r w:rsidRPr="00395593">
        <w:rPr>
          <w:rFonts w:ascii="Garamond" w:hAnsi="Garamond"/>
          <w:spacing w:val="1"/>
          <w:sz w:val="24"/>
        </w:rPr>
        <w:t xml:space="preserve"> </w:t>
      </w:r>
      <w:r w:rsidRPr="00395593">
        <w:rPr>
          <w:rFonts w:ascii="Garamond" w:hAnsi="Garamond"/>
          <w:sz w:val="24"/>
        </w:rPr>
        <w:t>Constitutivo da OMC. Em tais calendários prever-se-á que todas as medidas mencionadas</w:t>
      </w:r>
      <w:r w:rsidRPr="00395593">
        <w:rPr>
          <w:rFonts w:ascii="Garamond" w:hAnsi="Garamond"/>
          <w:spacing w:val="1"/>
          <w:sz w:val="24"/>
        </w:rPr>
        <w:t xml:space="preserve"> </w:t>
      </w:r>
      <w:r w:rsidRPr="00395593">
        <w:rPr>
          <w:rFonts w:ascii="Garamond" w:hAnsi="Garamond"/>
          <w:sz w:val="24"/>
        </w:rPr>
        <w:t>no</w:t>
      </w:r>
      <w:r w:rsidRPr="00395593">
        <w:rPr>
          <w:rFonts w:ascii="Garamond" w:hAnsi="Garamond"/>
          <w:spacing w:val="1"/>
          <w:sz w:val="24"/>
        </w:rPr>
        <w:t xml:space="preserve"> </w:t>
      </w:r>
      <w:r w:rsidRPr="00395593">
        <w:rPr>
          <w:rFonts w:ascii="Garamond" w:hAnsi="Garamond"/>
          <w:sz w:val="24"/>
        </w:rPr>
        <w:t>parágrafo</w:t>
      </w:r>
      <w:r w:rsidRPr="00395593">
        <w:rPr>
          <w:rFonts w:ascii="Garamond" w:hAnsi="Garamond"/>
          <w:spacing w:val="1"/>
          <w:sz w:val="24"/>
        </w:rPr>
        <w:t xml:space="preserve"> </w:t>
      </w:r>
      <w:r w:rsidRPr="00395593">
        <w:rPr>
          <w:rFonts w:ascii="Garamond" w:hAnsi="Garamond"/>
          <w:sz w:val="24"/>
        </w:rPr>
        <w:t>primeiro</w:t>
      </w:r>
      <w:r w:rsidRPr="00395593">
        <w:rPr>
          <w:rFonts w:ascii="Garamond" w:hAnsi="Garamond"/>
          <w:spacing w:val="1"/>
          <w:sz w:val="24"/>
        </w:rPr>
        <w:t xml:space="preserve"> </w:t>
      </w:r>
      <w:r w:rsidRPr="00395593">
        <w:rPr>
          <w:rFonts w:ascii="Garamond" w:hAnsi="Garamond"/>
          <w:sz w:val="24"/>
        </w:rPr>
        <w:t>sejam</w:t>
      </w:r>
      <w:r w:rsidRPr="00395593">
        <w:rPr>
          <w:rFonts w:ascii="Garamond" w:hAnsi="Garamond"/>
          <w:spacing w:val="1"/>
          <w:sz w:val="24"/>
        </w:rPr>
        <w:t xml:space="preserve"> </w:t>
      </w:r>
      <w:r w:rsidRPr="00395593">
        <w:rPr>
          <w:rFonts w:ascii="Garamond" w:hAnsi="Garamond"/>
          <w:sz w:val="24"/>
        </w:rPr>
        <w:t>progressivamente</w:t>
      </w:r>
      <w:r w:rsidRPr="00395593">
        <w:rPr>
          <w:rFonts w:ascii="Garamond" w:hAnsi="Garamond"/>
          <w:spacing w:val="1"/>
          <w:sz w:val="24"/>
        </w:rPr>
        <w:t xml:space="preserve"> </w:t>
      </w:r>
      <w:r w:rsidRPr="00395593">
        <w:rPr>
          <w:rFonts w:ascii="Garamond" w:hAnsi="Garamond"/>
          <w:sz w:val="24"/>
        </w:rPr>
        <w:t>eliminadas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sejam</w:t>
      </w:r>
      <w:r w:rsidRPr="00395593">
        <w:rPr>
          <w:rFonts w:ascii="Garamond" w:hAnsi="Garamond"/>
          <w:spacing w:val="1"/>
          <w:sz w:val="24"/>
        </w:rPr>
        <w:t xml:space="preserve"> </w:t>
      </w:r>
      <w:r w:rsidRPr="00395593">
        <w:rPr>
          <w:rFonts w:ascii="Garamond" w:hAnsi="Garamond"/>
          <w:sz w:val="24"/>
        </w:rPr>
        <w:t>postas</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conformidade com o presente Acordo dentro de um prazo que não seja superior a quatro</w:t>
      </w:r>
      <w:r w:rsidRPr="00395593">
        <w:rPr>
          <w:rFonts w:ascii="Garamond" w:hAnsi="Garamond"/>
          <w:spacing w:val="1"/>
          <w:sz w:val="24"/>
        </w:rPr>
        <w:t xml:space="preserve"> </w:t>
      </w:r>
      <w:r w:rsidRPr="00395593">
        <w:rPr>
          <w:rFonts w:ascii="Garamond" w:hAnsi="Garamond"/>
          <w:sz w:val="24"/>
        </w:rPr>
        <w:t>anos contado a partir da data de entrada em vigor do Acordo Constitutivo da OMC, exceção</w:t>
      </w:r>
      <w:r w:rsidRPr="00395593">
        <w:rPr>
          <w:rFonts w:ascii="Garamond" w:hAnsi="Garamond"/>
          <w:spacing w:val="-57"/>
          <w:sz w:val="24"/>
        </w:rPr>
        <w:t xml:space="preserve"> </w:t>
      </w:r>
      <w:r w:rsidRPr="00395593">
        <w:rPr>
          <w:rFonts w:ascii="Garamond" w:hAnsi="Garamond"/>
          <w:sz w:val="24"/>
        </w:rPr>
        <w:t xml:space="preserve">feita de uma medida específica no máximo por Membro importador </w:t>
      </w:r>
      <w:r w:rsidRPr="00395593">
        <w:rPr>
          <w:rFonts w:ascii="Garamond" w:hAnsi="Garamond"/>
          <w:sz w:val="24"/>
          <w:vertAlign w:val="superscript"/>
        </w:rPr>
        <w:t>5</w:t>
      </w:r>
      <w:r w:rsidRPr="00395593">
        <w:rPr>
          <w:rFonts w:ascii="Garamond" w:hAnsi="Garamond"/>
          <w:sz w:val="24"/>
        </w:rPr>
        <w:t>, medida essa cuja</w:t>
      </w:r>
      <w:r w:rsidRPr="00395593">
        <w:rPr>
          <w:rFonts w:ascii="Garamond" w:hAnsi="Garamond"/>
          <w:spacing w:val="1"/>
          <w:sz w:val="24"/>
        </w:rPr>
        <w:t xml:space="preserve"> </w:t>
      </w:r>
      <w:r w:rsidRPr="00395593">
        <w:rPr>
          <w:rFonts w:ascii="Garamond" w:hAnsi="Garamond"/>
          <w:sz w:val="24"/>
        </w:rPr>
        <w:t>duração não se estenderá além de 31 de dezembro de 1999. Toda exceção dessa natureza</w:t>
      </w:r>
      <w:r w:rsidRPr="00395593">
        <w:rPr>
          <w:rFonts w:ascii="Garamond" w:hAnsi="Garamond"/>
          <w:spacing w:val="1"/>
          <w:sz w:val="24"/>
        </w:rPr>
        <w:t xml:space="preserve"> </w:t>
      </w:r>
      <w:r w:rsidRPr="00395593">
        <w:rPr>
          <w:rFonts w:ascii="Garamond" w:hAnsi="Garamond"/>
          <w:sz w:val="24"/>
        </w:rPr>
        <w:t>deverá ser objeto de acordo mútuo entre os Membros diretamente interessados e notificada</w:t>
      </w:r>
      <w:r w:rsidRPr="00395593">
        <w:rPr>
          <w:rFonts w:ascii="Garamond" w:hAnsi="Garamond"/>
          <w:spacing w:val="1"/>
          <w:sz w:val="24"/>
        </w:rPr>
        <w:t xml:space="preserve"> </w:t>
      </w:r>
      <w:r w:rsidRPr="00395593">
        <w:rPr>
          <w:rFonts w:ascii="Garamond" w:hAnsi="Garamond"/>
          <w:sz w:val="24"/>
        </w:rPr>
        <w:t>ao Comitê de Salvaguardas para consideração</w:t>
      </w:r>
      <w:r w:rsidRPr="00395593">
        <w:rPr>
          <w:rFonts w:ascii="Garamond" w:hAnsi="Garamond"/>
          <w:spacing w:val="1"/>
          <w:sz w:val="24"/>
        </w:rPr>
        <w:t xml:space="preserve"> </w:t>
      </w:r>
      <w:r w:rsidRPr="00395593">
        <w:rPr>
          <w:rFonts w:ascii="Garamond" w:hAnsi="Garamond"/>
          <w:sz w:val="24"/>
        </w:rPr>
        <w:t>e aceitação dentro do prazo de 90 dias</w:t>
      </w:r>
      <w:r w:rsidRPr="00395593">
        <w:rPr>
          <w:rFonts w:ascii="Garamond" w:hAnsi="Garamond"/>
          <w:spacing w:val="1"/>
          <w:sz w:val="24"/>
        </w:rPr>
        <w:t xml:space="preserve"> </w:t>
      </w:r>
      <w:r w:rsidRPr="00395593">
        <w:rPr>
          <w:rFonts w:ascii="Garamond" w:hAnsi="Garamond"/>
          <w:sz w:val="24"/>
        </w:rPr>
        <w:t>subseqüentes à data da entrada em vigor do Acordo Constitutivo da OMC. No Anexo ao</w:t>
      </w:r>
      <w:r w:rsidRPr="00395593">
        <w:rPr>
          <w:rFonts w:ascii="Garamond" w:hAnsi="Garamond"/>
          <w:spacing w:val="1"/>
          <w:sz w:val="24"/>
        </w:rPr>
        <w:t xml:space="preserve"> </w:t>
      </w:r>
      <w:r w:rsidRPr="00395593">
        <w:rPr>
          <w:rFonts w:ascii="Garamond" w:hAnsi="Garamond"/>
          <w:sz w:val="24"/>
        </w:rPr>
        <w:t>presente Acordo é indicada uma medida que se acordou considerar como sendo amparada</w:t>
      </w:r>
      <w:r w:rsidRPr="00395593">
        <w:rPr>
          <w:rFonts w:ascii="Garamond" w:hAnsi="Garamond"/>
          <w:spacing w:val="1"/>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essa exceção.</w:t>
      </w:r>
    </w:p>
    <w:p w14:paraId="49E7AE73" w14:textId="77777777" w:rsidR="00D44A7A" w:rsidRPr="00395593" w:rsidRDefault="00D44A7A" w:rsidP="00D44A7A">
      <w:pPr>
        <w:pStyle w:val="Corpodetexto"/>
        <w:spacing w:before="1"/>
        <w:rPr>
          <w:rFonts w:ascii="Garamond" w:hAnsi="Garamond"/>
        </w:rPr>
      </w:pPr>
    </w:p>
    <w:p w14:paraId="581C51D6" w14:textId="77777777" w:rsidR="00D44A7A" w:rsidRPr="00395593" w:rsidRDefault="00D44A7A" w:rsidP="002C4340">
      <w:pPr>
        <w:pStyle w:val="PargrafodaLista"/>
        <w:widowControl w:val="0"/>
        <w:numPr>
          <w:ilvl w:val="0"/>
          <w:numId w:val="69"/>
        </w:numPr>
        <w:tabs>
          <w:tab w:val="left" w:pos="930"/>
        </w:tabs>
        <w:autoSpaceDE w:val="0"/>
        <w:autoSpaceDN w:val="0"/>
        <w:spacing w:after="0" w:line="240" w:lineRule="auto"/>
        <w:ind w:left="222" w:right="162" w:firstLine="0"/>
        <w:contextualSpacing w:val="0"/>
        <w:jc w:val="both"/>
        <w:rPr>
          <w:rFonts w:ascii="Garamond" w:hAnsi="Garamond"/>
          <w:sz w:val="24"/>
        </w:rPr>
      </w:pP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Membros</w:t>
      </w:r>
      <w:r w:rsidRPr="00395593">
        <w:rPr>
          <w:rFonts w:ascii="Garamond" w:hAnsi="Garamond"/>
          <w:spacing w:val="1"/>
          <w:sz w:val="24"/>
        </w:rPr>
        <w:t xml:space="preserve"> </w:t>
      </w:r>
      <w:r w:rsidRPr="00395593">
        <w:rPr>
          <w:rFonts w:ascii="Garamond" w:hAnsi="Garamond"/>
          <w:sz w:val="24"/>
        </w:rPr>
        <w:t>não</w:t>
      </w:r>
      <w:r w:rsidRPr="00395593">
        <w:rPr>
          <w:rFonts w:ascii="Garamond" w:hAnsi="Garamond"/>
          <w:spacing w:val="1"/>
          <w:sz w:val="24"/>
        </w:rPr>
        <w:t xml:space="preserve"> </w:t>
      </w:r>
      <w:r w:rsidRPr="00395593">
        <w:rPr>
          <w:rFonts w:ascii="Garamond" w:hAnsi="Garamond"/>
          <w:sz w:val="24"/>
        </w:rPr>
        <w:t>estimularão</w:t>
      </w:r>
      <w:r w:rsidRPr="00395593">
        <w:rPr>
          <w:rFonts w:ascii="Garamond" w:hAnsi="Garamond"/>
          <w:spacing w:val="1"/>
          <w:sz w:val="24"/>
        </w:rPr>
        <w:t xml:space="preserve"> </w:t>
      </w:r>
      <w:r w:rsidRPr="00395593">
        <w:rPr>
          <w:rFonts w:ascii="Garamond" w:hAnsi="Garamond"/>
          <w:sz w:val="24"/>
        </w:rPr>
        <w:t>nem</w:t>
      </w:r>
      <w:r w:rsidRPr="00395593">
        <w:rPr>
          <w:rFonts w:ascii="Garamond" w:hAnsi="Garamond"/>
          <w:spacing w:val="1"/>
          <w:sz w:val="24"/>
        </w:rPr>
        <w:t xml:space="preserve"> </w:t>
      </w:r>
      <w:r w:rsidRPr="00395593">
        <w:rPr>
          <w:rFonts w:ascii="Garamond" w:hAnsi="Garamond"/>
          <w:sz w:val="24"/>
        </w:rPr>
        <w:t>apoiarão</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adoção</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manutenção,</w:t>
      </w:r>
      <w:r w:rsidRPr="00395593">
        <w:rPr>
          <w:rFonts w:ascii="Garamond" w:hAnsi="Garamond"/>
          <w:spacing w:val="60"/>
          <w:sz w:val="24"/>
        </w:rPr>
        <w:t xml:space="preserve"> </w:t>
      </w:r>
      <w:r w:rsidRPr="00395593">
        <w:rPr>
          <w:rFonts w:ascii="Garamond" w:hAnsi="Garamond"/>
          <w:sz w:val="24"/>
        </w:rPr>
        <w:t>por</w:t>
      </w:r>
      <w:r w:rsidRPr="00395593">
        <w:rPr>
          <w:rFonts w:ascii="Garamond" w:hAnsi="Garamond"/>
          <w:spacing w:val="1"/>
          <w:sz w:val="24"/>
        </w:rPr>
        <w:t xml:space="preserve"> </w:t>
      </w:r>
      <w:r w:rsidRPr="00395593">
        <w:rPr>
          <w:rFonts w:ascii="Garamond" w:hAnsi="Garamond"/>
          <w:sz w:val="24"/>
        </w:rPr>
        <w:t>empresas públicas ou privadas, de medidas não-governamentais equivalentes às medidas a</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2"/>
          <w:sz w:val="24"/>
        </w:rPr>
        <w:t xml:space="preserve"> </w:t>
      </w:r>
      <w:r w:rsidRPr="00395593">
        <w:rPr>
          <w:rFonts w:ascii="Garamond" w:hAnsi="Garamond"/>
          <w:sz w:val="24"/>
        </w:rPr>
        <w:t>me refere</w:t>
      </w:r>
      <w:r w:rsidRPr="00395593">
        <w:rPr>
          <w:rFonts w:ascii="Garamond" w:hAnsi="Garamond"/>
          <w:spacing w:val="-1"/>
          <w:sz w:val="24"/>
        </w:rPr>
        <w:t xml:space="preserve"> </w:t>
      </w:r>
      <w:r w:rsidRPr="00395593">
        <w:rPr>
          <w:rFonts w:ascii="Garamond" w:hAnsi="Garamond"/>
          <w:sz w:val="24"/>
        </w:rPr>
        <w:t>o parágrafo primeiro.</w:t>
      </w:r>
    </w:p>
    <w:p w14:paraId="517C5356" w14:textId="77777777" w:rsidR="00D44A7A" w:rsidRPr="00395593" w:rsidRDefault="00D44A7A" w:rsidP="00D44A7A">
      <w:pPr>
        <w:pStyle w:val="Corpodetexto"/>
        <w:rPr>
          <w:rFonts w:ascii="Garamond" w:hAnsi="Garamond"/>
        </w:rPr>
      </w:pPr>
    </w:p>
    <w:p w14:paraId="2995E6DB" w14:textId="77777777" w:rsidR="00D44A7A" w:rsidRPr="00395593" w:rsidRDefault="00D44A7A" w:rsidP="00FE5BDB">
      <w:pPr>
        <w:pStyle w:val="Corpodetexto"/>
        <w:tabs>
          <w:tab w:val="left" w:pos="5954"/>
        </w:tabs>
        <w:spacing w:line="360" w:lineRule="auto"/>
        <w:ind w:left="3447" w:right="3266" w:firstLine="731"/>
        <w:rPr>
          <w:rFonts w:ascii="Garamond" w:hAnsi="Garamond"/>
          <w:b/>
        </w:rPr>
      </w:pPr>
      <w:r w:rsidRPr="00395593">
        <w:rPr>
          <w:rFonts w:ascii="Garamond" w:hAnsi="Garamond"/>
          <w:b/>
        </w:rPr>
        <w:t>Artigo 12</w:t>
      </w:r>
      <w:r w:rsidRPr="00395593">
        <w:rPr>
          <w:rFonts w:ascii="Garamond" w:hAnsi="Garamond"/>
          <w:b/>
          <w:spacing w:val="1"/>
        </w:rPr>
        <w:t xml:space="preserve"> </w:t>
      </w:r>
      <w:r w:rsidRPr="00395593">
        <w:rPr>
          <w:rFonts w:ascii="Garamond" w:hAnsi="Garamond"/>
          <w:b/>
        </w:rPr>
        <w:t>Notificações</w:t>
      </w:r>
      <w:r w:rsidRPr="00395593">
        <w:rPr>
          <w:rFonts w:ascii="Garamond" w:hAnsi="Garamond"/>
          <w:b/>
          <w:spacing w:val="-7"/>
        </w:rPr>
        <w:t xml:space="preserve"> </w:t>
      </w:r>
      <w:r w:rsidRPr="00395593">
        <w:rPr>
          <w:rFonts w:ascii="Garamond" w:hAnsi="Garamond"/>
          <w:b/>
        </w:rPr>
        <w:t>e</w:t>
      </w:r>
      <w:r w:rsidRPr="00395593">
        <w:rPr>
          <w:rFonts w:ascii="Garamond" w:hAnsi="Garamond"/>
          <w:b/>
          <w:spacing w:val="-9"/>
        </w:rPr>
        <w:t xml:space="preserve"> </w:t>
      </w:r>
      <w:r w:rsidRPr="00395593">
        <w:rPr>
          <w:rFonts w:ascii="Garamond" w:hAnsi="Garamond"/>
          <w:b/>
        </w:rPr>
        <w:t>Consultas</w:t>
      </w:r>
    </w:p>
    <w:p w14:paraId="76C62683" w14:textId="77777777" w:rsidR="00D44A7A" w:rsidRPr="00395593" w:rsidRDefault="00D44A7A" w:rsidP="00D44A7A">
      <w:pPr>
        <w:pStyle w:val="Corpodetexto"/>
        <w:rPr>
          <w:rFonts w:ascii="Garamond" w:hAnsi="Garamond"/>
          <w:sz w:val="20"/>
        </w:rPr>
      </w:pPr>
    </w:p>
    <w:p w14:paraId="2AC07051" w14:textId="3D68765E" w:rsidR="00D44A7A" w:rsidRPr="00395593" w:rsidRDefault="00D44A7A" w:rsidP="00D44A7A">
      <w:pPr>
        <w:pStyle w:val="Corpodetexto"/>
        <w:spacing w:before="1"/>
        <w:rPr>
          <w:rFonts w:ascii="Garamond" w:hAnsi="Garamond"/>
          <w:sz w:val="27"/>
        </w:rPr>
      </w:pPr>
      <w:r w:rsidRPr="00395593">
        <w:rPr>
          <w:rFonts w:ascii="Garamond" w:hAnsi="Garamond"/>
          <w:noProof/>
          <w:color w:val="2B579A"/>
          <w:shd w:val="clear" w:color="auto" w:fill="E6E6E6"/>
          <w:lang w:eastAsia="pt-BR"/>
        </w:rPr>
        <mc:AlternateContent>
          <mc:Choice Requires="wps">
            <w:drawing>
              <wp:anchor distT="0" distB="0" distL="0" distR="0" simplePos="0" relativeHeight="251658293" behindDoc="1" locked="0" layoutInCell="1" allowOverlap="1" wp14:anchorId="76E9BAD9" wp14:editId="7C78B298">
                <wp:simplePos x="0" y="0"/>
                <wp:positionH relativeFrom="page">
                  <wp:posOffset>1080770</wp:posOffset>
                </wp:positionH>
                <wp:positionV relativeFrom="paragraph">
                  <wp:posOffset>213360</wp:posOffset>
                </wp:positionV>
                <wp:extent cx="1828800" cy="7620"/>
                <wp:effectExtent l="4445" t="0" r="0" b="3175"/>
                <wp:wrapTopAndBottom/>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44126" id="Retângulo 13" o:spid="_x0000_s1026" style="position:absolute;margin-left:85.1pt;margin-top:16.8pt;width:2in;height:.6pt;z-index:-2516581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" fillcolor="black" stroked="f">
                <w10:wrap type="topAndBottom" anchorx="page"/>
              </v:rect>
            </w:pict>
          </mc:Fallback>
        </mc:AlternateContent>
      </w:r>
    </w:p>
    <w:p w14:paraId="33A1AFAA" w14:textId="77777777" w:rsidR="00D44A7A" w:rsidRPr="00395593" w:rsidRDefault="00D44A7A" w:rsidP="00D44A7A">
      <w:pPr>
        <w:spacing w:before="103"/>
        <w:ind w:left="222" w:right="160"/>
        <w:jc w:val="both"/>
        <w:rPr>
          <w:rFonts w:ascii="Garamond" w:hAnsi="Garamond"/>
          <w:sz w:val="20"/>
        </w:rPr>
      </w:pPr>
      <w:r w:rsidRPr="00395593">
        <w:rPr>
          <w:rFonts w:ascii="Garamond" w:hAnsi="Garamond"/>
          <w:sz w:val="20"/>
          <w:vertAlign w:val="superscript"/>
        </w:rPr>
        <w:t>3</w:t>
      </w:r>
      <w:r w:rsidRPr="00395593">
        <w:rPr>
          <w:rFonts w:ascii="Garamond" w:hAnsi="Garamond"/>
          <w:sz w:val="20"/>
        </w:rPr>
        <w:t xml:space="preserve"> Uma quota de importação aplicada como medida de salvaguarda em conformidade com as disposições</w:t>
      </w:r>
      <w:r w:rsidRPr="00395593">
        <w:rPr>
          <w:rFonts w:ascii="Garamond" w:hAnsi="Garamond"/>
          <w:spacing w:val="1"/>
          <w:sz w:val="20"/>
        </w:rPr>
        <w:t xml:space="preserve"> </w:t>
      </w:r>
      <w:r w:rsidRPr="00395593">
        <w:rPr>
          <w:rFonts w:ascii="Garamond" w:hAnsi="Garamond"/>
          <w:sz w:val="20"/>
        </w:rPr>
        <w:t>relevantes do GATT 1994 e do presente Acordo poderá, por acordo mútuo, ser administrada pelo Membro</w:t>
      </w:r>
      <w:r w:rsidRPr="00395593">
        <w:rPr>
          <w:rFonts w:ascii="Garamond" w:hAnsi="Garamond"/>
          <w:spacing w:val="1"/>
          <w:sz w:val="20"/>
        </w:rPr>
        <w:t xml:space="preserve"> </w:t>
      </w:r>
      <w:r w:rsidRPr="00395593">
        <w:rPr>
          <w:rFonts w:ascii="Garamond" w:hAnsi="Garamond"/>
          <w:sz w:val="20"/>
        </w:rPr>
        <w:t>exportador.</w:t>
      </w:r>
    </w:p>
    <w:p w14:paraId="5CDCD73C" w14:textId="77777777" w:rsidR="00D44A7A" w:rsidRPr="00395593" w:rsidRDefault="00D44A7A" w:rsidP="00D44A7A">
      <w:pPr>
        <w:ind w:left="222" w:right="166"/>
        <w:jc w:val="both"/>
        <w:rPr>
          <w:rFonts w:ascii="Garamond" w:hAnsi="Garamond"/>
          <w:sz w:val="20"/>
        </w:rPr>
      </w:pPr>
      <w:r w:rsidRPr="00395593">
        <w:rPr>
          <w:rFonts w:ascii="Garamond" w:hAnsi="Garamond"/>
          <w:sz w:val="20"/>
          <w:vertAlign w:val="superscript"/>
        </w:rPr>
        <w:t>4</w:t>
      </w:r>
      <w:r w:rsidRPr="00395593">
        <w:rPr>
          <w:rFonts w:ascii="Garamond" w:hAnsi="Garamond"/>
          <w:sz w:val="20"/>
        </w:rPr>
        <w:t xml:space="preserve"> São exemplos de medidas similares a moderação das exportações, os sistemas de vigilância dos preços de</w:t>
      </w:r>
      <w:r w:rsidRPr="00395593">
        <w:rPr>
          <w:rFonts w:ascii="Garamond" w:hAnsi="Garamond"/>
          <w:spacing w:val="1"/>
          <w:sz w:val="20"/>
        </w:rPr>
        <w:t xml:space="preserve"> </w:t>
      </w:r>
      <w:r w:rsidRPr="00395593">
        <w:rPr>
          <w:rFonts w:ascii="Garamond" w:hAnsi="Garamond"/>
          <w:sz w:val="20"/>
        </w:rPr>
        <w:t>exportação ou dos preços de importação, a vigilância das exportações ou das importações, os cartéis de</w:t>
      </w:r>
      <w:r w:rsidRPr="00395593">
        <w:rPr>
          <w:rFonts w:ascii="Garamond" w:hAnsi="Garamond"/>
          <w:spacing w:val="1"/>
          <w:sz w:val="20"/>
        </w:rPr>
        <w:t xml:space="preserve"> </w:t>
      </w:r>
      <w:r w:rsidRPr="00395593">
        <w:rPr>
          <w:rFonts w:ascii="Garamond" w:hAnsi="Garamond"/>
          <w:sz w:val="20"/>
        </w:rPr>
        <w:t>importação</w:t>
      </w:r>
      <w:r w:rsidRPr="00395593">
        <w:rPr>
          <w:rFonts w:ascii="Garamond" w:hAnsi="Garamond"/>
          <w:spacing w:val="23"/>
          <w:sz w:val="20"/>
        </w:rPr>
        <w:t xml:space="preserve"> </w:t>
      </w:r>
      <w:r w:rsidRPr="00395593">
        <w:rPr>
          <w:rFonts w:ascii="Garamond" w:hAnsi="Garamond"/>
          <w:sz w:val="20"/>
        </w:rPr>
        <w:t>compulsórios</w:t>
      </w:r>
      <w:r w:rsidRPr="00395593">
        <w:rPr>
          <w:rFonts w:ascii="Garamond" w:hAnsi="Garamond"/>
          <w:spacing w:val="21"/>
          <w:sz w:val="20"/>
        </w:rPr>
        <w:t xml:space="preserve"> </w:t>
      </w:r>
      <w:r w:rsidRPr="00395593">
        <w:rPr>
          <w:rFonts w:ascii="Garamond" w:hAnsi="Garamond"/>
          <w:sz w:val="20"/>
        </w:rPr>
        <w:t>e</w:t>
      </w:r>
      <w:r w:rsidRPr="00395593">
        <w:rPr>
          <w:rFonts w:ascii="Garamond" w:hAnsi="Garamond"/>
          <w:spacing w:val="22"/>
          <w:sz w:val="20"/>
        </w:rPr>
        <w:t xml:space="preserve"> </w:t>
      </w:r>
      <w:r w:rsidRPr="00395593">
        <w:rPr>
          <w:rFonts w:ascii="Garamond" w:hAnsi="Garamond"/>
          <w:sz w:val="20"/>
        </w:rPr>
        <w:t>os</w:t>
      </w:r>
      <w:r w:rsidRPr="00395593">
        <w:rPr>
          <w:rFonts w:ascii="Garamond" w:hAnsi="Garamond"/>
          <w:spacing w:val="22"/>
          <w:sz w:val="20"/>
        </w:rPr>
        <w:t xml:space="preserve"> </w:t>
      </w:r>
      <w:r w:rsidRPr="00395593">
        <w:rPr>
          <w:rFonts w:ascii="Garamond" w:hAnsi="Garamond"/>
          <w:sz w:val="20"/>
        </w:rPr>
        <w:t>regimes</w:t>
      </w:r>
      <w:r w:rsidRPr="00395593">
        <w:rPr>
          <w:rFonts w:ascii="Garamond" w:hAnsi="Garamond"/>
          <w:spacing w:val="21"/>
          <w:sz w:val="20"/>
        </w:rPr>
        <w:t xml:space="preserve"> </w:t>
      </w:r>
      <w:r w:rsidRPr="00395593">
        <w:rPr>
          <w:rFonts w:ascii="Garamond" w:hAnsi="Garamond"/>
          <w:sz w:val="20"/>
        </w:rPr>
        <w:t>discricionários</w:t>
      </w:r>
      <w:r w:rsidRPr="00395593">
        <w:rPr>
          <w:rFonts w:ascii="Garamond" w:hAnsi="Garamond"/>
          <w:spacing w:val="21"/>
          <w:sz w:val="20"/>
        </w:rPr>
        <w:t xml:space="preserve"> </w:t>
      </w:r>
      <w:r w:rsidRPr="00395593">
        <w:rPr>
          <w:rFonts w:ascii="Garamond" w:hAnsi="Garamond"/>
          <w:sz w:val="20"/>
        </w:rPr>
        <w:t>de</w:t>
      </w:r>
      <w:r w:rsidRPr="00395593">
        <w:rPr>
          <w:rFonts w:ascii="Garamond" w:hAnsi="Garamond"/>
          <w:spacing w:val="23"/>
          <w:sz w:val="20"/>
        </w:rPr>
        <w:t xml:space="preserve"> </w:t>
      </w:r>
      <w:r w:rsidRPr="00395593">
        <w:rPr>
          <w:rFonts w:ascii="Garamond" w:hAnsi="Garamond"/>
          <w:sz w:val="20"/>
        </w:rPr>
        <w:t>licenças</w:t>
      </w:r>
      <w:r w:rsidRPr="00395593">
        <w:rPr>
          <w:rFonts w:ascii="Garamond" w:hAnsi="Garamond"/>
          <w:spacing w:val="21"/>
          <w:sz w:val="20"/>
        </w:rPr>
        <w:t xml:space="preserve"> </w:t>
      </w:r>
      <w:r w:rsidRPr="00395593">
        <w:rPr>
          <w:rFonts w:ascii="Garamond" w:hAnsi="Garamond"/>
          <w:sz w:val="20"/>
        </w:rPr>
        <w:t>de</w:t>
      </w:r>
      <w:r w:rsidRPr="00395593">
        <w:rPr>
          <w:rFonts w:ascii="Garamond" w:hAnsi="Garamond"/>
          <w:spacing w:val="22"/>
          <w:sz w:val="20"/>
        </w:rPr>
        <w:t xml:space="preserve"> </w:t>
      </w:r>
      <w:r w:rsidRPr="00395593">
        <w:rPr>
          <w:rFonts w:ascii="Garamond" w:hAnsi="Garamond"/>
          <w:sz w:val="20"/>
        </w:rPr>
        <w:t>exportação</w:t>
      </w:r>
      <w:r w:rsidRPr="00395593">
        <w:rPr>
          <w:rFonts w:ascii="Garamond" w:hAnsi="Garamond"/>
          <w:spacing w:val="23"/>
          <w:sz w:val="20"/>
        </w:rPr>
        <w:t xml:space="preserve"> </w:t>
      </w:r>
      <w:r w:rsidRPr="00395593">
        <w:rPr>
          <w:rFonts w:ascii="Garamond" w:hAnsi="Garamond"/>
          <w:sz w:val="20"/>
        </w:rPr>
        <w:t>ou</w:t>
      </w:r>
      <w:r w:rsidRPr="00395593">
        <w:rPr>
          <w:rFonts w:ascii="Garamond" w:hAnsi="Garamond"/>
          <w:spacing w:val="21"/>
          <w:sz w:val="20"/>
        </w:rPr>
        <w:t xml:space="preserve"> </w:t>
      </w:r>
      <w:r w:rsidRPr="00395593">
        <w:rPr>
          <w:rFonts w:ascii="Garamond" w:hAnsi="Garamond"/>
          <w:sz w:val="20"/>
        </w:rPr>
        <w:t>de</w:t>
      </w:r>
      <w:r w:rsidRPr="00395593">
        <w:rPr>
          <w:rFonts w:ascii="Garamond" w:hAnsi="Garamond"/>
          <w:spacing w:val="22"/>
          <w:sz w:val="20"/>
        </w:rPr>
        <w:t xml:space="preserve"> </w:t>
      </w:r>
      <w:r w:rsidRPr="00395593">
        <w:rPr>
          <w:rFonts w:ascii="Garamond" w:hAnsi="Garamond"/>
          <w:sz w:val="20"/>
        </w:rPr>
        <w:t>importação,</w:t>
      </w:r>
      <w:r w:rsidRPr="00395593">
        <w:rPr>
          <w:rFonts w:ascii="Garamond" w:hAnsi="Garamond"/>
          <w:spacing w:val="22"/>
          <w:sz w:val="20"/>
        </w:rPr>
        <w:t xml:space="preserve"> </w:t>
      </w:r>
      <w:r w:rsidRPr="00395593">
        <w:rPr>
          <w:rFonts w:ascii="Garamond" w:hAnsi="Garamond"/>
          <w:sz w:val="20"/>
        </w:rPr>
        <w:t>sempre</w:t>
      </w:r>
      <w:r w:rsidRPr="00395593">
        <w:rPr>
          <w:rFonts w:ascii="Garamond" w:hAnsi="Garamond"/>
          <w:spacing w:val="-47"/>
          <w:sz w:val="20"/>
        </w:rPr>
        <w:t xml:space="preserve"> </w:t>
      </w:r>
      <w:r w:rsidRPr="00395593">
        <w:rPr>
          <w:rFonts w:ascii="Garamond" w:hAnsi="Garamond"/>
          <w:sz w:val="20"/>
        </w:rPr>
        <w:t>que</w:t>
      </w:r>
      <w:r w:rsidRPr="00395593">
        <w:rPr>
          <w:rFonts w:ascii="Garamond" w:hAnsi="Garamond"/>
          <w:spacing w:val="-1"/>
          <w:sz w:val="20"/>
        </w:rPr>
        <w:t xml:space="preserve"> </w:t>
      </w:r>
      <w:r w:rsidRPr="00395593">
        <w:rPr>
          <w:rFonts w:ascii="Garamond" w:hAnsi="Garamond"/>
          <w:sz w:val="20"/>
        </w:rPr>
        <w:t>ofereçam</w:t>
      </w:r>
      <w:r w:rsidRPr="00395593">
        <w:rPr>
          <w:rFonts w:ascii="Garamond" w:hAnsi="Garamond"/>
          <w:spacing w:val="-4"/>
          <w:sz w:val="20"/>
        </w:rPr>
        <w:t xml:space="preserve"> </w:t>
      </w:r>
      <w:r w:rsidRPr="00395593">
        <w:rPr>
          <w:rFonts w:ascii="Garamond" w:hAnsi="Garamond"/>
          <w:sz w:val="20"/>
        </w:rPr>
        <w:t>proteção.</w:t>
      </w:r>
    </w:p>
    <w:p w14:paraId="1F3A07C5" w14:textId="77777777" w:rsidR="00D44A7A" w:rsidRPr="00395593" w:rsidRDefault="00D44A7A" w:rsidP="00D44A7A">
      <w:pPr>
        <w:spacing w:before="1"/>
        <w:ind w:left="222"/>
        <w:jc w:val="both"/>
        <w:rPr>
          <w:rFonts w:ascii="Garamond" w:hAnsi="Garamond"/>
          <w:sz w:val="20"/>
        </w:rPr>
      </w:pPr>
      <w:r w:rsidRPr="00395593">
        <w:rPr>
          <w:rFonts w:ascii="Garamond" w:hAnsi="Garamond"/>
          <w:sz w:val="20"/>
          <w:vertAlign w:val="superscript"/>
        </w:rPr>
        <w:t>5</w:t>
      </w:r>
      <w:r w:rsidRPr="00395593">
        <w:rPr>
          <w:rFonts w:ascii="Garamond" w:hAnsi="Garamond"/>
          <w:spacing w:val="-2"/>
          <w:sz w:val="20"/>
        </w:rPr>
        <w:t xml:space="preserve"> </w:t>
      </w:r>
      <w:r w:rsidRPr="00395593">
        <w:rPr>
          <w:rFonts w:ascii="Garamond" w:hAnsi="Garamond"/>
          <w:sz w:val="20"/>
        </w:rPr>
        <w:t>A</w:t>
      </w:r>
      <w:r w:rsidRPr="00395593">
        <w:rPr>
          <w:rFonts w:ascii="Garamond" w:hAnsi="Garamond"/>
          <w:spacing w:val="-2"/>
          <w:sz w:val="20"/>
        </w:rPr>
        <w:t xml:space="preserve"> </w:t>
      </w:r>
      <w:r w:rsidRPr="00395593">
        <w:rPr>
          <w:rFonts w:ascii="Garamond" w:hAnsi="Garamond"/>
          <w:sz w:val="20"/>
        </w:rPr>
        <w:t>única</w:t>
      </w:r>
      <w:r w:rsidRPr="00395593">
        <w:rPr>
          <w:rFonts w:ascii="Garamond" w:hAnsi="Garamond"/>
          <w:spacing w:val="-2"/>
          <w:sz w:val="20"/>
        </w:rPr>
        <w:t xml:space="preserve"> </w:t>
      </w:r>
      <w:r w:rsidRPr="00395593">
        <w:rPr>
          <w:rFonts w:ascii="Garamond" w:hAnsi="Garamond"/>
          <w:sz w:val="20"/>
        </w:rPr>
        <w:t>de</w:t>
      </w:r>
      <w:r w:rsidRPr="00395593">
        <w:rPr>
          <w:rFonts w:ascii="Garamond" w:hAnsi="Garamond"/>
          <w:spacing w:val="-2"/>
          <w:sz w:val="20"/>
        </w:rPr>
        <w:t xml:space="preserve"> </w:t>
      </w:r>
      <w:r w:rsidRPr="00395593">
        <w:rPr>
          <w:rFonts w:ascii="Garamond" w:hAnsi="Garamond"/>
          <w:sz w:val="20"/>
        </w:rPr>
        <w:t>tais</w:t>
      </w:r>
      <w:r w:rsidRPr="00395593">
        <w:rPr>
          <w:rFonts w:ascii="Garamond" w:hAnsi="Garamond"/>
          <w:spacing w:val="-3"/>
          <w:sz w:val="20"/>
        </w:rPr>
        <w:t xml:space="preserve"> </w:t>
      </w:r>
      <w:r w:rsidRPr="00395593">
        <w:rPr>
          <w:rFonts w:ascii="Garamond" w:hAnsi="Garamond"/>
          <w:sz w:val="20"/>
        </w:rPr>
        <w:t>exceções</w:t>
      </w:r>
      <w:r w:rsidRPr="00395593">
        <w:rPr>
          <w:rFonts w:ascii="Garamond" w:hAnsi="Garamond"/>
          <w:spacing w:val="-2"/>
          <w:sz w:val="20"/>
        </w:rPr>
        <w:t xml:space="preserve"> </w:t>
      </w:r>
      <w:r w:rsidRPr="00395593">
        <w:rPr>
          <w:rFonts w:ascii="Garamond" w:hAnsi="Garamond"/>
          <w:sz w:val="20"/>
        </w:rPr>
        <w:t>a</w:t>
      </w:r>
      <w:r w:rsidRPr="00395593">
        <w:rPr>
          <w:rFonts w:ascii="Garamond" w:hAnsi="Garamond"/>
          <w:spacing w:val="-2"/>
          <w:sz w:val="20"/>
        </w:rPr>
        <w:t xml:space="preserve"> </w:t>
      </w:r>
      <w:r w:rsidRPr="00395593">
        <w:rPr>
          <w:rFonts w:ascii="Garamond" w:hAnsi="Garamond"/>
          <w:sz w:val="20"/>
        </w:rPr>
        <w:t>que</w:t>
      </w:r>
      <w:r w:rsidRPr="00395593">
        <w:rPr>
          <w:rFonts w:ascii="Garamond" w:hAnsi="Garamond"/>
          <w:spacing w:val="-2"/>
          <w:sz w:val="20"/>
        </w:rPr>
        <w:t xml:space="preserve"> </w:t>
      </w:r>
      <w:r w:rsidRPr="00395593">
        <w:rPr>
          <w:rFonts w:ascii="Garamond" w:hAnsi="Garamond"/>
          <w:sz w:val="20"/>
        </w:rPr>
        <w:t>tem</w:t>
      </w:r>
      <w:r w:rsidRPr="00395593">
        <w:rPr>
          <w:rFonts w:ascii="Garamond" w:hAnsi="Garamond"/>
          <w:spacing w:val="-6"/>
          <w:sz w:val="20"/>
        </w:rPr>
        <w:t xml:space="preserve"> </w:t>
      </w:r>
      <w:r w:rsidRPr="00395593">
        <w:rPr>
          <w:rFonts w:ascii="Garamond" w:hAnsi="Garamond"/>
          <w:sz w:val="20"/>
        </w:rPr>
        <w:t>direito</w:t>
      </w:r>
      <w:r w:rsidRPr="00395593">
        <w:rPr>
          <w:rFonts w:ascii="Garamond" w:hAnsi="Garamond"/>
          <w:spacing w:val="-1"/>
          <w:sz w:val="20"/>
        </w:rPr>
        <w:t xml:space="preserve"> </w:t>
      </w:r>
      <w:r w:rsidRPr="00395593">
        <w:rPr>
          <w:rFonts w:ascii="Garamond" w:hAnsi="Garamond"/>
          <w:sz w:val="20"/>
        </w:rPr>
        <w:t>as Comunidades</w:t>
      </w:r>
      <w:r w:rsidRPr="00395593">
        <w:rPr>
          <w:rFonts w:ascii="Garamond" w:hAnsi="Garamond"/>
          <w:spacing w:val="-2"/>
          <w:sz w:val="20"/>
        </w:rPr>
        <w:t xml:space="preserve"> </w:t>
      </w:r>
      <w:r w:rsidRPr="00395593">
        <w:rPr>
          <w:rFonts w:ascii="Garamond" w:hAnsi="Garamond"/>
          <w:sz w:val="20"/>
        </w:rPr>
        <w:t>Européias</w:t>
      </w:r>
      <w:r w:rsidRPr="00395593">
        <w:rPr>
          <w:rFonts w:ascii="Garamond" w:hAnsi="Garamond"/>
          <w:spacing w:val="-3"/>
          <w:sz w:val="20"/>
        </w:rPr>
        <w:t xml:space="preserve"> </w:t>
      </w:r>
      <w:r w:rsidRPr="00395593">
        <w:rPr>
          <w:rFonts w:ascii="Garamond" w:hAnsi="Garamond"/>
          <w:sz w:val="20"/>
        </w:rPr>
        <w:t>figura</w:t>
      </w:r>
      <w:r w:rsidRPr="00395593">
        <w:rPr>
          <w:rFonts w:ascii="Garamond" w:hAnsi="Garamond"/>
          <w:spacing w:val="-2"/>
          <w:sz w:val="20"/>
        </w:rPr>
        <w:t xml:space="preserve"> </w:t>
      </w:r>
      <w:r w:rsidRPr="00395593">
        <w:rPr>
          <w:rFonts w:ascii="Garamond" w:hAnsi="Garamond"/>
          <w:sz w:val="20"/>
        </w:rPr>
        <w:t>no</w:t>
      </w:r>
      <w:r w:rsidRPr="00395593">
        <w:rPr>
          <w:rFonts w:ascii="Garamond" w:hAnsi="Garamond"/>
          <w:spacing w:val="1"/>
          <w:sz w:val="20"/>
        </w:rPr>
        <w:t xml:space="preserve"> </w:t>
      </w:r>
      <w:r w:rsidRPr="00395593">
        <w:rPr>
          <w:rFonts w:ascii="Garamond" w:hAnsi="Garamond"/>
          <w:sz w:val="20"/>
        </w:rPr>
        <w:t>Anexo</w:t>
      </w:r>
      <w:r w:rsidRPr="00395593">
        <w:rPr>
          <w:rFonts w:ascii="Garamond" w:hAnsi="Garamond"/>
          <w:spacing w:val="-1"/>
          <w:sz w:val="20"/>
        </w:rPr>
        <w:t xml:space="preserve"> </w:t>
      </w:r>
      <w:r w:rsidRPr="00395593">
        <w:rPr>
          <w:rFonts w:ascii="Garamond" w:hAnsi="Garamond"/>
          <w:sz w:val="20"/>
        </w:rPr>
        <w:t>ao</w:t>
      </w:r>
      <w:r w:rsidRPr="00395593">
        <w:rPr>
          <w:rFonts w:ascii="Garamond" w:hAnsi="Garamond"/>
          <w:spacing w:val="-1"/>
          <w:sz w:val="20"/>
        </w:rPr>
        <w:t xml:space="preserve"> </w:t>
      </w:r>
      <w:r w:rsidRPr="00395593">
        <w:rPr>
          <w:rFonts w:ascii="Garamond" w:hAnsi="Garamond"/>
          <w:sz w:val="20"/>
        </w:rPr>
        <w:t>presente</w:t>
      </w:r>
      <w:r w:rsidRPr="00395593">
        <w:rPr>
          <w:rFonts w:ascii="Garamond" w:hAnsi="Garamond"/>
          <w:spacing w:val="-2"/>
          <w:sz w:val="20"/>
        </w:rPr>
        <w:t xml:space="preserve"> </w:t>
      </w:r>
      <w:r w:rsidRPr="00395593">
        <w:rPr>
          <w:rFonts w:ascii="Garamond" w:hAnsi="Garamond"/>
          <w:sz w:val="20"/>
        </w:rPr>
        <w:t>Acordo.</w:t>
      </w:r>
    </w:p>
    <w:p w14:paraId="1048C46C" w14:textId="77777777" w:rsidR="00D44A7A" w:rsidRPr="00395593" w:rsidRDefault="00D44A7A" w:rsidP="00D44A7A">
      <w:pPr>
        <w:jc w:val="both"/>
        <w:rPr>
          <w:rFonts w:ascii="Garamond" w:hAnsi="Garamond"/>
          <w:sz w:val="20"/>
        </w:rPr>
        <w:sectPr w:rsidR="00D44A7A" w:rsidRPr="00395593" w:rsidSect="00E15FBB">
          <w:pgSz w:w="12240" w:h="15840"/>
          <w:pgMar w:top="1418" w:right="1540" w:bottom="280" w:left="1418" w:header="720" w:footer="720" w:gutter="0"/>
          <w:cols w:space="720"/>
        </w:sectPr>
      </w:pPr>
    </w:p>
    <w:p w14:paraId="52A40B05" w14:textId="77777777" w:rsidR="00D44A7A" w:rsidRPr="00395593" w:rsidRDefault="00D44A7A" w:rsidP="002C4340">
      <w:pPr>
        <w:pStyle w:val="PargrafodaLista"/>
        <w:widowControl w:val="0"/>
        <w:numPr>
          <w:ilvl w:val="0"/>
          <w:numId w:val="67"/>
        </w:numPr>
        <w:tabs>
          <w:tab w:val="left" w:pos="930"/>
        </w:tabs>
        <w:autoSpaceDE w:val="0"/>
        <w:autoSpaceDN w:val="0"/>
        <w:spacing w:before="68" w:after="0" w:line="240" w:lineRule="auto"/>
        <w:ind w:right="164" w:firstLine="0"/>
        <w:contextualSpacing w:val="0"/>
        <w:jc w:val="both"/>
        <w:rPr>
          <w:rFonts w:ascii="Garamond" w:hAnsi="Garamond"/>
          <w:sz w:val="24"/>
        </w:rPr>
      </w:pPr>
      <w:r w:rsidRPr="00395593">
        <w:rPr>
          <w:rFonts w:ascii="Garamond" w:hAnsi="Garamond"/>
          <w:sz w:val="24"/>
        </w:rPr>
        <w:t>Todo</w:t>
      </w:r>
      <w:r w:rsidRPr="00395593">
        <w:rPr>
          <w:rFonts w:ascii="Garamond" w:hAnsi="Garamond"/>
          <w:spacing w:val="1"/>
          <w:sz w:val="24"/>
        </w:rPr>
        <w:t xml:space="preserve"> </w:t>
      </w:r>
      <w:r w:rsidRPr="00395593">
        <w:rPr>
          <w:rFonts w:ascii="Garamond" w:hAnsi="Garamond"/>
          <w:sz w:val="24"/>
        </w:rPr>
        <w:t>Membro</w:t>
      </w:r>
      <w:r w:rsidRPr="00395593">
        <w:rPr>
          <w:rFonts w:ascii="Garamond" w:hAnsi="Garamond"/>
          <w:spacing w:val="1"/>
          <w:sz w:val="24"/>
        </w:rPr>
        <w:t xml:space="preserve"> </w:t>
      </w:r>
      <w:r w:rsidRPr="00395593">
        <w:rPr>
          <w:rFonts w:ascii="Garamond" w:hAnsi="Garamond"/>
          <w:sz w:val="24"/>
        </w:rPr>
        <w:t>fará</w:t>
      </w:r>
      <w:r w:rsidRPr="00395593">
        <w:rPr>
          <w:rFonts w:ascii="Garamond" w:hAnsi="Garamond"/>
          <w:spacing w:val="1"/>
          <w:sz w:val="24"/>
        </w:rPr>
        <w:t xml:space="preserve"> </w:t>
      </w:r>
      <w:r w:rsidRPr="00395593">
        <w:rPr>
          <w:rFonts w:ascii="Garamond" w:hAnsi="Garamond"/>
          <w:sz w:val="24"/>
        </w:rPr>
        <w:t>imediatamente</w:t>
      </w:r>
      <w:r w:rsidRPr="00395593">
        <w:rPr>
          <w:rFonts w:ascii="Garamond" w:hAnsi="Garamond"/>
          <w:spacing w:val="1"/>
          <w:sz w:val="24"/>
        </w:rPr>
        <w:t xml:space="preserve"> </w:t>
      </w:r>
      <w:r w:rsidRPr="00395593">
        <w:rPr>
          <w:rFonts w:ascii="Garamond" w:hAnsi="Garamond"/>
          <w:sz w:val="24"/>
        </w:rPr>
        <w:t>uma</w:t>
      </w:r>
      <w:r w:rsidRPr="00395593">
        <w:rPr>
          <w:rFonts w:ascii="Garamond" w:hAnsi="Garamond"/>
          <w:spacing w:val="1"/>
          <w:sz w:val="24"/>
        </w:rPr>
        <w:t xml:space="preserve"> </w:t>
      </w:r>
      <w:r w:rsidRPr="00395593">
        <w:rPr>
          <w:rFonts w:ascii="Garamond" w:hAnsi="Garamond"/>
          <w:sz w:val="24"/>
        </w:rPr>
        <w:t>notificação</w:t>
      </w:r>
      <w:r w:rsidRPr="00395593">
        <w:rPr>
          <w:rFonts w:ascii="Garamond" w:hAnsi="Garamond"/>
          <w:spacing w:val="1"/>
          <w:sz w:val="24"/>
        </w:rPr>
        <w:t xml:space="preserve"> </w:t>
      </w:r>
      <w:r w:rsidRPr="00395593">
        <w:rPr>
          <w:rFonts w:ascii="Garamond" w:hAnsi="Garamond"/>
          <w:sz w:val="24"/>
        </w:rPr>
        <w:t>ao</w:t>
      </w:r>
      <w:r w:rsidRPr="00395593">
        <w:rPr>
          <w:rFonts w:ascii="Garamond" w:hAnsi="Garamond"/>
          <w:spacing w:val="1"/>
          <w:sz w:val="24"/>
        </w:rPr>
        <w:t xml:space="preserve"> </w:t>
      </w:r>
      <w:r w:rsidRPr="00395593">
        <w:rPr>
          <w:rFonts w:ascii="Garamond" w:hAnsi="Garamond"/>
          <w:sz w:val="24"/>
        </w:rPr>
        <w:t>Comitê</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Salvaguardas</w:t>
      </w:r>
      <w:r w:rsidRPr="00395593">
        <w:rPr>
          <w:rFonts w:ascii="Garamond" w:hAnsi="Garamond"/>
          <w:spacing w:val="-57"/>
          <w:sz w:val="24"/>
        </w:rPr>
        <w:t xml:space="preserve"> </w:t>
      </w:r>
      <w:r w:rsidRPr="00395593">
        <w:rPr>
          <w:rFonts w:ascii="Garamond" w:hAnsi="Garamond"/>
          <w:sz w:val="24"/>
        </w:rPr>
        <w:t>sempre</w:t>
      </w:r>
      <w:r w:rsidRPr="00395593">
        <w:rPr>
          <w:rFonts w:ascii="Garamond" w:hAnsi="Garamond"/>
          <w:spacing w:val="-3"/>
          <w:sz w:val="24"/>
        </w:rPr>
        <w:t xml:space="preserve"> </w:t>
      </w:r>
      <w:r w:rsidRPr="00395593">
        <w:rPr>
          <w:rFonts w:ascii="Garamond" w:hAnsi="Garamond"/>
          <w:sz w:val="24"/>
        </w:rPr>
        <w:t>que:</w:t>
      </w:r>
    </w:p>
    <w:p w14:paraId="7A47A9F6" w14:textId="77777777" w:rsidR="00D44A7A" w:rsidRPr="00395593" w:rsidRDefault="00D44A7A" w:rsidP="00D44A7A">
      <w:pPr>
        <w:pStyle w:val="Corpodetexto"/>
        <w:rPr>
          <w:rFonts w:ascii="Garamond" w:hAnsi="Garamond"/>
        </w:rPr>
      </w:pPr>
    </w:p>
    <w:p w14:paraId="2A5038D5" w14:textId="77777777" w:rsidR="00D44A7A" w:rsidRPr="00395593" w:rsidRDefault="00D44A7A" w:rsidP="002C4340">
      <w:pPr>
        <w:pStyle w:val="PargrafodaLista"/>
        <w:widowControl w:val="0"/>
        <w:numPr>
          <w:ilvl w:val="1"/>
          <w:numId w:val="67"/>
        </w:numPr>
        <w:tabs>
          <w:tab w:val="left" w:pos="1245"/>
        </w:tabs>
        <w:autoSpaceDE w:val="0"/>
        <w:autoSpaceDN w:val="0"/>
        <w:spacing w:after="0" w:line="240" w:lineRule="auto"/>
        <w:ind w:right="163" w:hanging="360"/>
        <w:contextualSpacing w:val="0"/>
        <w:jc w:val="both"/>
        <w:rPr>
          <w:rFonts w:ascii="Garamond" w:hAnsi="Garamond"/>
          <w:sz w:val="24"/>
        </w:rPr>
      </w:pPr>
      <w:r w:rsidRPr="00395593">
        <w:rPr>
          <w:rFonts w:ascii="Garamond" w:hAnsi="Garamond"/>
          <w:sz w:val="24"/>
        </w:rPr>
        <w:t>iniciar</w:t>
      </w:r>
      <w:r w:rsidRPr="00395593">
        <w:rPr>
          <w:rFonts w:ascii="Garamond" w:hAnsi="Garamond"/>
          <w:spacing w:val="54"/>
          <w:sz w:val="24"/>
        </w:rPr>
        <w:t xml:space="preserve"> </w:t>
      </w:r>
      <w:r w:rsidRPr="00395593">
        <w:rPr>
          <w:rFonts w:ascii="Garamond" w:hAnsi="Garamond"/>
          <w:sz w:val="24"/>
        </w:rPr>
        <w:t>um</w:t>
      </w:r>
      <w:r w:rsidRPr="00395593">
        <w:rPr>
          <w:rFonts w:ascii="Garamond" w:hAnsi="Garamond"/>
          <w:spacing w:val="55"/>
          <w:sz w:val="24"/>
        </w:rPr>
        <w:t xml:space="preserve"> </w:t>
      </w:r>
      <w:r w:rsidRPr="00395593">
        <w:rPr>
          <w:rFonts w:ascii="Garamond" w:hAnsi="Garamond"/>
          <w:sz w:val="24"/>
        </w:rPr>
        <w:t>processo</w:t>
      </w:r>
      <w:r w:rsidRPr="00395593">
        <w:rPr>
          <w:rFonts w:ascii="Garamond" w:hAnsi="Garamond"/>
          <w:spacing w:val="59"/>
          <w:sz w:val="24"/>
        </w:rPr>
        <w:t xml:space="preserve"> </w:t>
      </w:r>
      <w:r w:rsidRPr="00395593">
        <w:rPr>
          <w:rFonts w:ascii="Garamond" w:hAnsi="Garamond"/>
          <w:sz w:val="24"/>
        </w:rPr>
        <w:t>de</w:t>
      </w:r>
      <w:r w:rsidRPr="00395593">
        <w:rPr>
          <w:rFonts w:ascii="Garamond" w:hAnsi="Garamond"/>
          <w:spacing w:val="54"/>
          <w:sz w:val="24"/>
        </w:rPr>
        <w:t xml:space="preserve"> </w:t>
      </w:r>
      <w:r w:rsidRPr="00395593">
        <w:rPr>
          <w:rFonts w:ascii="Garamond" w:hAnsi="Garamond"/>
          <w:sz w:val="24"/>
        </w:rPr>
        <w:t>investigação</w:t>
      </w:r>
      <w:r w:rsidRPr="00395593">
        <w:rPr>
          <w:rFonts w:ascii="Garamond" w:hAnsi="Garamond"/>
          <w:spacing w:val="55"/>
          <w:sz w:val="24"/>
        </w:rPr>
        <w:t xml:space="preserve"> </w:t>
      </w:r>
      <w:r w:rsidRPr="00395593">
        <w:rPr>
          <w:rFonts w:ascii="Garamond" w:hAnsi="Garamond"/>
          <w:sz w:val="24"/>
        </w:rPr>
        <w:t>relativo</w:t>
      </w:r>
      <w:r w:rsidRPr="00395593">
        <w:rPr>
          <w:rFonts w:ascii="Garamond" w:hAnsi="Garamond"/>
          <w:spacing w:val="59"/>
          <w:sz w:val="24"/>
        </w:rPr>
        <w:t xml:space="preserve"> </w:t>
      </w:r>
      <w:r w:rsidRPr="00395593">
        <w:rPr>
          <w:rFonts w:ascii="Garamond" w:hAnsi="Garamond"/>
          <w:sz w:val="24"/>
        </w:rPr>
        <w:t>a</w:t>
      </w:r>
      <w:r w:rsidRPr="00395593">
        <w:rPr>
          <w:rFonts w:ascii="Garamond" w:hAnsi="Garamond"/>
          <w:spacing w:val="54"/>
          <w:sz w:val="24"/>
        </w:rPr>
        <w:t xml:space="preserve"> </w:t>
      </w:r>
      <w:r w:rsidRPr="00395593">
        <w:rPr>
          <w:rFonts w:ascii="Garamond" w:hAnsi="Garamond"/>
          <w:sz w:val="24"/>
        </w:rPr>
        <w:t>prejuízo</w:t>
      </w:r>
      <w:r w:rsidRPr="00395593">
        <w:rPr>
          <w:rFonts w:ascii="Garamond" w:hAnsi="Garamond"/>
          <w:spacing w:val="55"/>
          <w:sz w:val="24"/>
        </w:rPr>
        <w:t xml:space="preserve"> </w:t>
      </w:r>
      <w:r w:rsidRPr="00395593">
        <w:rPr>
          <w:rFonts w:ascii="Garamond" w:hAnsi="Garamond"/>
          <w:sz w:val="24"/>
        </w:rPr>
        <w:t>grave</w:t>
      </w:r>
      <w:r w:rsidRPr="00395593">
        <w:rPr>
          <w:rFonts w:ascii="Garamond" w:hAnsi="Garamond"/>
          <w:spacing w:val="55"/>
          <w:sz w:val="24"/>
        </w:rPr>
        <w:t xml:space="preserve"> </w:t>
      </w:r>
      <w:r w:rsidRPr="00395593">
        <w:rPr>
          <w:rFonts w:ascii="Garamond" w:hAnsi="Garamond"/>
          <w:sz w:val="24"/>
        </w:rPr>
        <w:t>ou</w:t>
      </w:r>
      <w:r w:rsidRPr="00395593">
        <w:rPr>
          <w:rFonts w:ascii="Garamond" w:hAnsi="Garamond"/>
          <w:spacing w:val="55"/>
          <w:sz w:val="24"/>
        </w:rPr>
        <w:t xml:space="preserve"> </w:t>
      </w:r>
      <w:r w:rsidRPr="00395593">
        <w:rPr>
          <w:rFonts w:ascii="Garamond" w:hAnsi="Garamond"/>
          <w:sz w:val="24"/>
        </w:rPr>
        <w:t>ameaça</w:t>
      </w:r>
      <w:r w:rsidRPr="00395593">
        <w:rPr>
          <w:rFonts w:ascii="Garamond" w:hAnsi="Garamond"/>
          <w:spacing w:val="55"/>
          <w:sz w:val="24"/>
        </w:rPr>
        <w:t xml:space="preserve"> </w:t>
      </w:r>
      <w:r w:rsidRPr="00395593">
        <w:rPr>
          <w:rFonts w:ascii="Garamond" w:hAnsi="Garamond"/>
          <w:sz w:val="24"/>
        </w:rPr>
        <w:t>de</w:t>
      </w:r>
      <w:r w:rsidRPr="00395593">
        <w:rPr>
          <w:rFonts w:ascii="Garamond" w:hAnsi="Garamond"/>
          <w:spacing w:val="-57"/>
          <w:sz w:val="24"/>
        </w:rPr>
        <w:t xml:space="preserve"> </w:t>
      </w:r>
      <w:r w:rsidRPr="00395593">
        <w:rPr>
          <w:rFonts w:ascii="Garamond" w:hAnsi="Garamond"/>
          <w:sz w:val="24"/>
        </w:rPr>
        <w:t>prejuízo</w:t>
      </w:r>
      <w:r w:rsidRPr="00395593">
        <w:rPr>
          <w:rFonts w:ascii="Garamond" w:hAnsi="Garamond"/>
          <w:spacing w:val="-1"/>
          <w:sz w:val="24"/>
        </w:rPr>
        <w:t xml:space="preserve"> </w:t>
      </w:r>
      <w:r w:rsidRPr="00395593">
        <w:rPr>
          <w:rFonts w:ascii="Garamond" w:hAnsi="Garamond"/>
          <w:sz w:val="24"/>
        </w:rPr>
        <w:t>grave</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razões do mesmo;</w:t>
      </w:r>
    </w:p>
    <w:p w14:paraId="62A0FD99" w14:textId="77777777" w:rsidR="00D44A7A" w:rsidRPr="00395593" w:rsidRDefault="00D44A7A" w:rsidP="00D44A7A">
      <w:pPr>
        <w:pStyle w:val="Corpodetexto"/>
        <w:rPr>
          <w:rFonts w:ascii="Garamond" w:hAnsi="Garamond"/>
        </w:rPr>
      </w:pPr>
    </w:p>
    <w:p w14:paraId="552DB597" w14:textId="77777777" w:rsidR="00D44A7A" w:rsidRPr="00395593" w:rsidRDefault="00D44A7A" w:rsidP="002C4340">
      <w:pPr>
        <w:pStyle w:val="PargrafodaLista"/>
        <w:widowControl w:val="0"/>
        <w:numPr>
          <w:ilvl w:val="1"/>
          <w:numId w:val="67"/>
        </w:numPr>
        <w:tabs>
          <w:tab w:val="left" w:pos="1218"/>
        </w:tabs>
        <w:autoSpaceDE w:val="0"/>
        <w:autoSpaceDN w:val="0"/>
        <w:spacing w:after="0" w:line="240" w:lineRule="auto"/>
        <w:ind w:right="161" w:hanging="360"/>
        <w:contextualSpacing w:val="0"/>
        <w:jc w:val="both"/>
        <w:rPr>
          <w:rFonts w:ascii="Garamond" w:hAnsi="Garamond"/>
          <w:sz w:val="24"/>
        </w:rPr>
      </w:pPr>
      <w:r w:rsidRPr="00395593">
        <w:rPr>
          <w:rFonts w:ascii="Garamond" w:hAnsi="Garamond"/>
          <w:sz w:val="24"/>
        </w:rPr>
        <w:t>constatar</w:t>
      </w:r>
      <w:r w:rsidRPr="00395593">
        <w:rPr>
          <w:rFonts w:ascii="Garamond" w:hAnsi="Garamond"/>
          <w:spacing w:val="13"/>
          <w:sz w:val="24"/>
        </w:rPr>
        <w:t xml:space="preserve"> </w:t>
      </w:r>
      <w:r w:rsidRPr="00395593">
        <w:rPr>
          <w:rFonts w:ascii="Garamond" w:hAnsi="Garamond"/>
          <w:sz w:val="24"/>
        </w:rPr>
        <w:t>que</w:t>
      </w:r>
      <w:r w:rsidRPr="00395593">
        <w:rPr>
          <w:rFonts w:ascii="Garamond" w:hAnsi="Garamond"/>
          <w:spacing w:val="13"/>
          <w:sz w:val="24"/>
        </w:rPr>
        <w:t xml:space="preserve"> </w:t>
      </w:r>
      <w:r w:rsidRPr="00395593">
        <w:rPr>
          <w:rFonts w:ascii="Garamond" w:hAnsi="Garamond"/>
          <w:sz w:val="24"/>
        </w:rPr>
        <w:t>existe</w:t>
      </w:r>
      <w:r w:rsidRPr="00395593">
        <w:rPr>
          <w:rFonts w:ascii="Garamond" w:hAnsi="Garamond"/>
          <w:spacing w:val="14"/>
          <w:sz w:val="24"/>
        </w:rPr>
        <w:t xml:space="preserve"> </w:t>
      </w:r>
      <w:r w:rsidRPr="00395593">
        <w:rPr>
          <w:rFonts w:ascii="Garamond" w:hAnsi="Garamond"/>
          <w:sz w:val="24"/>
        </w:rPr>
        <w:t>prejuízo</w:t>
      </w:r>
      <w:r w:rsidRPr="00395593">
        <w:rPr>
          <w:rFonts w:ascii="Garamond" w:hAnsi="Garamond"/>
          <w:spacing w:val="14"/>
          <w:sz w:val="24"/>
        </w:rPr>
        <w:t xml:space="preserve"> </w:t>
      </w:r>
      <w:r w:rsidRPr="00395593">
        <w:rPr>
          <w:rFonts w:ascii="Garamond" w:hAnsi="Garamond"/>
          <w:sz w:val="24"/>
        </w:rPr>
        <w:t>grave</w:t>
      </w:r>
      <w:r w:rsidRPr="00395593">
        <w:rPr>
          <w:rFonts w:ascii="Garamond" w:hAnsi="Garamond"/>
          <w:spacing w:val="14"/>
          <w:sz w:val="24"/>
        </w:rPr>
        <w:t xml:space="preserve"> </w:t>
      </w:r>
      <w:r w:rsidRPr="00395593">
        <w:rPr>
          <w:rFonts w:ascii="Garamond" w:hAnsi="Garamond"/>
          <w:sz w:val="24"/>
        </w:rPr>
        <w:t>ou</w:t>
      </w:r>
      <w:r w:rsidRPr="00395593">
        <w:rPr>
          <w:rFonts w:ascii="Garamond" w:hAnsi="Garamond"/>
          <w:spacing w:val="14"/>
          <w:sz w:val="24"/>
        </w:rPr>
        <w:t xml:space="preserve"> </w:t>
      </w:r>
      <w:r w:rsidRPr="00395593">
        <w:rPr>
          <w:rFonts w:ascii="Garamond" w:hAnsi="Garamond"/>
          <w:sz w:val="24"/>
        </w:rPr>
        <w:t>ameaça</w:t>
      </w:r>
      <w:r w:rsidRPr="00395593">
        <w:rPr>
          <w:rFonts w:ascii="Garamond" w:hAnsi="Garamond"/>
          <w:spacing w:val="16"/>
          <w:sz w:val="24"/>
        </w:rPr>
        <w:t xml:space="preserve"> </w:t>
      </w:r>
      <w:r w:rsidRPr="00395593">
        <w:rPr>
          <w:rFonts w:ascii="Garamond" w:hAnsi="Garamond"/>
          <w:sz w:val="24"/>
        </w:rPr>
        <w:t>de</w:t>
      </w:r>
      <w:r w:rsidRPr="00395593">
        <w:rPr>
          <w:rFonts w:ascii="Garamond" w:hAnsi="Garamond"/>
          <w:spacing w:val="13"/>
          <w:sz w:val="24"/>
        </w:rPr>
        <w:t xml:space="preserve"> </w:t>
      </w:r>
      <w:r w:rsidRPr="00395593">
        <w:rPr>
          <w:rFonts w:ascii="Garamond" w:hAnsi="Garamond"/>
          <w:sz w:val="24"/>
        </w:rPr>
        <w:t>prejuízo</w:t>
      </w:r>
      <w:r w:rsidRPr="00395593">
        <w:rPr>
          <w:rFonts w:ascii="Garamond" w:hAnsi="Garamond"/>
          <w:spacing w:val="15"/>
          <w:sz w:val="24"/>
        </w:rPr>
        <w:t xml:space="preserve"> </w:t>
      </w:r>
      <w:r w:rsidRPr="00395593">
        <w:rPr>
          <w:rFonts w:ascii="Garamond" w:hAnsi="Garamond"/>
          <w:sz w:val="24"/>
        </w:rPr>
        <w:t>grave</w:t>
      </w:r>
      <w:r w:rsidRPr="00395593">
        <w:rPr>
          <w:rFonts w:ascii="Garamond" w:hAnsi="Garamond"/>
          <w:spacing w:val="13"/>
          <w:sz w:val="24"/>
        </w:rPr>
        <w:t xml:space="preserve"> </w:t>
      </w:r>
      <w:r w:rsidRPr="00395593">
        <w:rPr>
          <w:rFonts w:ascii="Garamond" w:hAnsi="Garamond"/>
          <w:sz w:val="24"/>
        </w:rPr>
        <w:t>em</w:t>
      </w:r>
      <w:r w:rsidRPr="00395593">
        <w:rPr>
          <w:rFonts w:ascii="Garamond" w:hAnsi="Garamond"/>
          <w:spacing w:val="16"/>
          <w:sz w:val="24"/>
        </w:rPr>
        <w:t xml:space="preserve"> </w:t>
      </w:r>
      <w:r w:rsidRPr="00395593">
        <w:rPr>
          <w:rFonts w:ascii="Garamond" w:hAnsi="Garamond"/>
          <w:sz w:val="24"/>
        </w:rPr>
        <w:t>decorrência</w:t>
      </w:r>
      <w:r w:rsidRPr="00395593">
        <w:rPr>
          <w:rFonts w:ascii="Garamond" w:hAnsi="Garamond"/>
          <w:spacing w:val="-57"/>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aumento das importações; e</w:t>
      </w:r>
    </w:p>
    <w:p w14:paraId="559C47FB" w14:textId="77777777" w:rsidR="00D44A7A" w:rsidRPr="00395593" w:rsidRDefault="00D44A7A" w:rsidP="00D44A7A">
      <w:pPr>
        <w:pStyle w:val="Corpodetexto"/>
        <w:rPr>
          <w:rFonts w:ascii="Garamond" w:hAnsi="Garamond"/>
        </w:rPr>
      </w:pPr>
    </w:p>
    <w:p w14:paraId="67825820" w14:textId="77777777" w:rsidR="00D44A7A" w:rsidRPr="00395593" w:rsidRDefault="00D44A7A" w:rsidP="002C4340">
      <w:pPr>
        <w:pStyle w:val="PargrafodaLista"/>
        <w:widowControl w:val="0"/>
        <w:numPr>
          <w:ilvl w:val="1"/>
          <w:numId w:val="67"/>
        </w:numPr>
        <w:tabs>
          <w:tab w:val="left" w:pos="1188"/>
        </w:tabs>
        <w:autoSpaceDE w:val="0"/>
        <w:autoSpaceDN w:val="0"/>
        <w:spacing w:after="0" w:line="240" w:lineRule="auto"/>
        <w:ind w:left="1187" w:hanging="247"/>
        <w:contextualSpacing w:val="0"/>
        <w:jc w:val="both"/>
        <w:rPr>
          <w:rFonts w:ascii="Garamond" w:hAnsi="Garamond"/>
          <w:sz w:val="24"/>
        </w:rPr>
      </w:pPr>
      <w:r w:rsidRPr="00395593">
        <w:rPr>
          <w:rFonts w:ascii="Garamond" w:hAnsi="Garamond"/>
          <w:sz w:val="24"/>
        </w:rPr>
        <w:t>adotar</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3"/>
          <w:sz w:val="24"/>
        </w:rPr>
        <w:t xml:space="preserve"> </w:t>
      </w:r>
      <w:r w:rsidRPr="00395593">
        <w:rPr>
          <w:rFonts w:ascii="Garamond" w:hAnsi="Garamond"/>
          <w:sz w:val="24"/>
        </w:rPr>
        <w:t>decisão</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aplicar</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prorrogar uma</w:t>
      </w:r>
      <w:r w:rsidRPr="00395593">
        <w:rPr>
          <w:rFonts w:ascii="Garamond" w:hAnsi="Garamond"/>
          <w:spacing w:val="-1"/>
          <w:sz w:val="24"/>
        </w:rPr>
        <w:t xml:space="preserve"> </w:t>
      </w:r>
      <w:r w:rsidRPr="00395593">
        <w:rPr>
          <w:rFonts w:ascii="Garamond" w:hAnsi="Garamond"/>
          <w:sz w:val="24"/>
        </w:rPr>
        <w:t>medida</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3"/>
          <w:sz w:val="24"/>
        </w:rPr>
        <w:t xml:space="preserve"> </w:t>
      </w:r>
      <w:r w:rsidRPr="00395593">
        <w:rPr>
          <w:rFonts w:ascii="Garamond" w:hAnsi="Garamond"/>
          <w:sz w:val="24"/>
        </w:rPr>
        <w:t>salvaguarda.</w:t>
      </w:r>
    </w:p>
    <w:p w14:paraId="0E7BABB4" w14:textId="77777777" w:rsidR="00D44A7A" w:rsidRPr="00395593" w:rsidRDefault="00D44A7A" w:rsidP="00D44A7A">
      <w:pPr>
        <w:pStyle w:val="Corpodetexto"/>
        <w:rPr>
          <w:rFonts w:ascii="Garamond" w:hAnsi="Garamond"/>
        </w:rPr>
      </w:pPr>
    </w:p>
    <w:p w14:paraId="3976D755" w14:textId="77777777" w:rsidR="00D44A7A" w:rsidRPr="00395593" w:rsidRDefault="00D44A7A" w:rsidP="002C4340">
      <w:pPr>
        <w:pStyle w:val="PargrafodaLista"/>
        <w:widowControl w:val="0"/>
        <w:numPr>
          <w:ilvl w:val="0"/>
          <w:numId w:val="67"/>
        </w:numPr>
        <w:tabs>
          <w:tab w:val="left" w:pos="930"/>
        </w:tabs>
        <w:autoSpaceDE w:val="0"/>
        <w:autoSpaceDN w:val="0"/>
        <w:spacing w:after="0" w:line="240" w:lineRule="auto"/>
        <w:ind w:right="161" w:firstLine="0"/>
        <w:contextualSpacing w:val="0"/>
        <w:jc w:val="both"/>
        <w:rPr>
          <w:rFonts w:ascii="Garamond" w:hAnsi="Garamond"/>
          <w:sz w:val="24"/>
        </w:rPr>
      </w:pPr>
      <w:r w:rsidRPr="00395593">
        <w:rPr>
          <w:rFonts w:ascii="Garamond" w:hAnsi="Garamond"/>
          <w:sz w:val="24"/>
        </w:rPr>
        <w:t>Ao fazer as notificações a que se referem os parágrafos 1 (b) e 1 (c), o Membro que</w:t>
      </w:r>
      <w:r w:rsidRPr="00395593">
        <w:rPr>
          <w:rFonts w:ascii="Garamond" w:hAnsi="Garamond"/>
          <w:spacing w:val="1"/>
          <w:sz w:val="24"/>
        </w:rPr>
        <w:t xml:space="preserve"> </w:t>
      </w:r>
      <w:r w:rsidRPr="00395593">
        <w:rPr>
          <w:rFonts w:ascii="Garamond" w:hAnsi="Garamond"/>
          <w:sz w:val="24"/>
        </w:rPr>
        <w:t>se proponha aplicar ou prorrogar uma medida de salvaguarda proporcionará ao Comitê de</w:t>
      </w:r>
      <w:r w:rsidRPr="00395593">
        <w:rPr>
          <w:rFonts w:ascii="Garamond" w:hAnsi="Garamond"/>
          <w:spacing w:val="1"/>
          <w:sz w:val="24"/>
        </w:rPr>
        <w:t xml:space="preserve"> </w:t>
      </w:r>
      <w:r w:rsidRPr="00395593">
        <w:rPr>
          <w:rFonts w:ascii="Garamond" w:hAnsi="Garamond"/>
          <w:sz w:val="24"/>
        </w:rPr>
        <w:t>salvaguardas todas as informações pertinentes, as quais incluirão provas do prejuízo grave</w:t>
      </w:r>
      <w:r w:rsidRPr="00395593">
        <w:rPr>
          <w:rFonts w:ascii="Garamond" w:hAnsi="Garamond"/>
          <w:spacing w:val="1"/>
          <w:sz w:val="24"/>
        </w:rPr>
        <w:t xml:space="preserve"> </w:t>
      </w:r>
      <w:r w:rsidRPr="00395593">
        <w:rPr>
          <w:rFonts w:ascii="Garamond" w:hAnsi="Garamond"/>
          <w:sz w:val="24"/>
        </w:rPr>
        <w:t>ou da ameaça de prejuízo grave causado pelo aumento das importações, a descrição precisa</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22"/>
          <w:sz w:val="24"/>
        </w:rPr>
        <w:t xml:space="preserve"> </w:t>
      </w:r>
      <w:r w:rsidRPr="00395593">
        <w:rPr>
          <w:rFonts w:ascii="Garamond" w:hAnsi="Garamond"/>
          <w:sz w:val="24"/>
        </w:rPr>
        <w:t>produto</w:t>
      </w:r>
      <w:r w:rsidRPr="00395593">
        <w:rPr>
          <w:rFonts w:ascii="Garamond" w:hAnsi="Garamond"/>
          <w:spacing w:val="24"/>
          <w:sz w:val="24"/>
        </w:rPr>
        <w:t xml:space="preserve"> </w:t>
      </w:r>
      <w:r w:rsidRPr="00395593">
        <w:rPr>
          <w:rFonts w:ascii="Garamond" w:hAnsi="Garamond"/>
          <w:sz w:val="24"/>
        </w:rPr>
        <w:t>em</w:t>
      </w:r>
      <w:r w:rsidRPr="00395593">
        <w:rPr>
          <w:rFonts w:ascii="Garamond" w:hAnsi="Garamond"/>
          <w:spacing w:val="24"/>
          <w:sz w:val="24"/>
        </w:rPr>
        <w:t xml:space="preserve"> </w:t>
      </w:r>
      <w:r w:rsidRPr="00395593">
        <w:rPr>
          <w:rFonts w:ascii="Garamond" w:hAnsi="Garamond"/>
          <w:sz w:val="24"/>
        </w:rPr>
        <w:t>pauta</w:t>
      </w:r>
      <w:r w:rsidRPr="00395593">
        <w:rPr>
          <w:rFonts w:ascii="Garamond" w:hAnsi="Garamond"/>
          <w:spacing w:val="22"/>
          <w:sz w:val="24"/>
        </w:rPr>
        <w:t xml:space="preserve"> </w:t>
      </w:r>
      <w:r w:rsidRPr="00395593">
        <w:rPr>
          <w:rFonts w:ascii="Garamond" w:hAnsi="Garamond"/>
          <w:sz w:val="24"/>
        </w:rPr>
        <w:t>e</w:t>
      </w:r>
      <w:r w:rsidRPr="00395593">
        <w:rPr>
          <w:rFonts w:ascii="Garamond" w:hAnsi="Garamond"/>
          <w:spacing w:val="22"/>
          <w:sz w:val="24"/>
        </w:rPr>
        <w:t xml:space="preserve"> </w:t>
      </w:r>
      <w:r w:rsidRPr="00395593">
        <w:rPr>
          <w:rFonts w:ascii="Garamond" w:hAnsi="Garamond"/>
          <w:sz w:val="24"/>
        </w:rPr>
        <w:t>da</w:t>
      </w:r>
      <w:r w:rsidRPr="00395593">
        <w:rPr>
          <w:rFonts w:ascii="Garamond" w:hAnsi="Garamond"/>
          <w:spacing w:val="22"/>
          <w:sz w:val="24"/>
        </w:rPr>
        <w:t xml:space="preserve"> </w:t>
      </w:r>
      <w:r w:rsidRPr="00395593">
        <w:rPr>
          <w:rFonts w:ascii="Garamond" w:hAnsi="Garamond"/>
          <w:sz w:val="24"/>
        </w:rPr>
        <w:t>medida</w:t>
      </w:r>
      <w:r w:rsidRPr="00395593">
        <w:rPr>
          <w:rFonts w:ascii="Garamond" w:hAnsi="Garamond"/>
          <w:spacing w:val="21"/>
          <w:sz w:val="24"/>
        </w:rPr>
        <w:t xml:space="preserve"> </w:t>
      </w:r>
      <w:r w:rsidRPr="00395593">
        <w:rPr>
          <w:rFonts w:ascii="Garamond" w:hAnsi="Garamond"/>
          <w:sz w:val="24"/>
        </w:rPr>
        <w:t>cogitada,</w:t>
      </w:r>
      <w:r w:rsidRPr="00395593">
        <w:rPr>
          <w:rFonts w:ascii="Garamond" w:hAnsi="Garamond"/>
          <w:spacing w:val="23"/>
          <w:sz w:val="24"/>
        </w:rPr>
        <w:t xml:space="preserve"> </w:t>
      </w:r>
      <w:r w:rsidRPr="00395593">
        <w:rPr>
          <w:rFonts w:ascii="Garamond" w:hAnsi="Garamond"/>
          <w:sz w:val="24"/>
        </w:rPr>
        <w:t>a</w:t>
      </w:r>
      <w:r w:rsidRPr="00395593">
        <w:rPr>
          <w:rFonts w:ascii="Garamond" w:hAnsi="Garamond"/>
          <w:spacing w:val="22"/>
          <w:sz w:val="24"/>
        </w:rPr>
        <w:t xml:space="preserve"> </w:t>
      </w:r>
      <w:r w:rsidRPr="00395593">
        <w:rPr>
          <w:rFonts w:ascii="Garamond" w:hAnsi="Garamond"/>
          <w:sz w:val="24"/>
        </w:rPr>
        <w:t>data</w:t>
      </w:r>
      <w:r w:rsidRPr="00395593">
        <w:rPr>
          <w:rFonts w:ascii="Garamond" w:hAnsi="Garamond"/>
          <w:spacing w:val="22"/>
          <w:sz w:val="24"/>
        </w:rPr>
        <w:t xml:space="preserve"> </w:t>
      </w:r>
      <w:r w:rsidRPr="00395593">
        <w:rPr>
          <w:rFonts w:ascii="Garamond" w:hAnsi="Garamond"/>
          <w:sz w:val="24"/>
        </w:rPr>
        <w:t>proposta</w:t>
      </w:r>
      <w:r w:rsidRPr="00395593">
        <w:rPr>
          <w:rFonts w:ascii="Garamond" w:hAnsi="Garamond"/>
          <w:spacing w:val="23"/>
          <w:sz w:val="24"/>
        </w:rPr>
        <w:t xml:space="preserve"> </w:t>
      </w:r>
      <w:r w:rsidRPr="00395593">
        <w:rPr>
          <w:rFonts w:ascii="Garamond" w:hAnsi="Garamond"/>
          <w:sz w:val="24"/>
        </w:rPr>
        <w:t>para</w:t>
      </w:r>
      <w:r w:rsidRPr="00395593">
        <w:rPr>
          <w:rFonts w:ascii="Garamond" w:hAnsi="Garamond"/>
          <w:spacing w:val="22"/>
          <w:sz w:val="24"/>
        </w:rPr>
        <w:t xml:space="preserve"> </w:t>
      </w:r>
      <w:r w:rsidRPr="00395593">
        <w:rPr>
          <w:rFonts w:ascii="Garamond" w:hAnsi="Garamond"/>
          <w:sz w:val="24"/>
        </w:rPr>
        <w:t>a</w:t>
      </w:r>
      <w:r w:rsidRPr="00395593">
        <w:rPr>
          <w:rFonts w:ascii="Garamond" w:hAnsi="Garamond"/>
          <w:spacing w:val="21"/>
          <w:sz w:val="24"/>
        </w:rPr>
        <w:t xml:space="preserve"> </w:t>
      </w:r>
      <w:r w:rsidRPr="00395593">
        <w:rPr>
          <w:rFonts w:ascii="Garamond" w:hAnsi="Garamond"/>
          <w:sz w:val="24"/>
        </w:rPr>
        <w:t>introdução</w:t>
      </w:r>
      <w:r w:rsidRPr="00395593">
        <w:rPr>
          <w:rFonts w:ascii="Garamond" w:hAnsi="Garamond"/>
          <w:spacing w:val="23"/>
          <w:sz w:val="24"/>
        </w:rPr>
        <w:t xml:space="preserve"> </w:t>
      </w:r>
      <w:r w:rsidRPr="00395593">
        <w:rPr>
          <w:rFonts w:ascii="Garamond" w:hAnsi="Garamond"/>
          <w:sz w:val="24"/>
        </w:rPr>
        <w:t>da</w:t>
      </w:r>
      <w:r w:rsidRPr="00395593">
        <w:rPr>
          <w:rFonts w:ascii="Garamond" w:hAnsi="Garamond"/>
          <w:spacing w:val="22"/>
          <w:sz w:val="24"/>
        </w:rPr>
        <w:t xml:space="preserve"> </w:t>
      </w:r>
      <w:r w:rsidRPr="00395593">
        <w:rPr>
          <w:rFonts w:ascii="Garamond" w:hAnsi="Garamond"/>
          <w:sz w:val="24"/>
        </w:rPr>
        <w:t>medida,</w:t>
      </w:r>
      <w:r w:rsidRPr="00395593">
        <w:rPr>
          <w:rFonts w:ascii="Garamond" w:hAnsi="Garamond"/>
          <w:spacing w:val="-58"/>
          <w:sz w:val="24"/>
        </w:rPr>
        <w:t xml:space="preserve"> </w:t>
      </w:r>
      <w:r w:rsidRPr="00395593">
        <w:rPr>
          <w:rFonts w:ascii="Garamond" w:hAnsi="Garamond"/>
          <w:sz w:val="24"/>
        </w:rPr>
        <w:t>sua</w:t>
      </w:r>
      <w:r w:rsidRPr="00395593">
        <w:rPr>
          <w:rFonts w:ascii="Garamond" w:hAnsi="Garamond"/>
          <w:spacing w:val="40"/>
          <w:sz w:val="24"/>
        </w:rPr>
        <w:t xml:space="preserve"> </w:t>
      </w:r>
      <w:r w:rsidRPr="00395593">
        <w:rPr>
          <w:rFonts w:ascii="Garamond" w:hAnsi="Garamond"/>
          <w:sz w:val="24"/>
        </w:rPr>
        <w:t>duração</w:t>
      </w:r>
      <w:r w:rsidRPr="00395593">
        <w:rPr>
          <w:rFonts w:ascii="Garamond" w:hAnsi="Garamond"/>
          <w:spacing w:val="40"/>
          <w:sz w:val="24"/>
        </w:rPr>
        <w:t xml:space="preserve"> </w:t>
      </w:r>
      <w:r w:rsidRPr="00395593">
        <w:rPr>
          <w:rFonts w:ascii="Garamond" w:hAnsi="Garamond"/>
          <w:sz w:val="24"/>
        </w:rPr>
        <w:t>prevista</w:t>
      </w:r>
      <w:r w:rsidRPr="00395593">
        <w:rPr>
          <w:rFonts w:ascii="Garamond" w:hAnsi="Garamond"/>
          <w:spacing w:val="40"/>
          <w:sz w:val="24"/>
        </w:rPr>
        <w:t xml:space="preserve"> </w:t>
      </w:r>
      <w:r w:rsidRPr="00395593">
        <w:rPr>
          <w:rFonts w:ascii="Garamond" w:hAnsi="Garamond"/>
          <w:sz w:val="24"/>
        </w:rPr>
        <w:t>e</w:t>
      </w:r>
      <w:r w:rsidRPr="00395593">
        <w:rPr>
          <w:rFonts w:ascii="Garamond" w:hAnsi="Garamond"/>
          <w:spacing w:val="42"/>
          <w:sz w:val="24"/>
        </w:rPr>
        <w:t xml:space="preserve"> </w:t>
      </w:r>
      <w:r w:rsidRPr="00395593">
        <w:rPr>
          <w:rFonts w:ascii="Garamond" w:hAnsi="Garamond"/>
          <w:sz w:val="24"/>
        </w:rPr>
        <w:t>o</w:t>
      </w:r>
      <w:r w:rsidRPr="00395593">
        <w:rPr>
          <w:rFonts w:ascii="Garamond" w:hAnsi="Garamond"/>
          <w:spacing w:val="41"/>
          <w:sz w:val="24"/>
        </w:rPr>
        <w:t xml:space="preserve"> </w:t>
      </w:r>
      <w:r w:rsidRPr="00395593">
        <w:rPr>
          <w:rFonts w:ascii="Garamond" w:hAnsi="Garamond"/>
          <w:sz w:val="24"/>
        </w:rPr>
        <w:t>calendário</w:t>
      </w:r>
      <w:r w:rsidRPr="00395593">
        <w:rPr>
          <w:rFonts w:ascii="Garamond" w:hAnsi="Garamond"/>
          <w:spacing w:val="40"/>
          <w:sz w:val="24"/>
        </w:rPr>
        <w:t xml:space="preserve"> </w:t>
      </w:r>
      <w:r w:rsidRPr="00395593">
        <w:rPr>
          <w:rFonts w:ascii="Garamond" w:hAnsi="Garamond"/>
          <w:sz w:val="24"/>
        </w:rPr>
        <w:t>estabelecido</w:t>
      </w:r>
      <w:r w:rsidRPr="00395593">
        <w:rPr>
          <w:rFonts w:ascii="Garamond" w:hAnsi="Garamond"/>
          <w:spacing w:val="40"/>
          <w:sz w:val="24"/>
        </w:rPr>
        <w:t xml:space="preserve"> </w:t>
      </w:r>
      <w:r w:rsidRPr="00395593">
        <w:rPr>
          <w:rFonts w:ascii="Garamond" w:hAnsi="Garamond"/>
          <w:sz w:val="24"/>
        </w:rPr>
        <w:t>para</w:t>
      </w:r>
      <w:r w:rsidRPr="00395593">
        <w:rPr>
          <w:rFonts w:ascii="Garamond" w:hAnsi="Garamond"/>
          <w:spacing w:val="39"/>
          <w:sz w:val="24"/>
        </w:rPr>
        <w:t xml:space="preserve"> </w:t>
      </w:r>
      <w:r w:rsidRPr="00395593">
        <w:rPr>
          <w:rFonts w:ascii="Garamond" w:hAnsi="Garamond"/>
          <w:sz w:val="24"/>
        </w:rPr>
        <w:t>sua</w:t>
      </w:r>
      <w:r w:rsidRPr="00395593">
        <w:rPr>
          <w:rFonts w:ascii="Garamond" w:hAnsi="Garamond"/>
          <w:spacing w:val="40"/>
          <w:sz w:val="24"/>
        </w:rPr>
        <w:t xml:space="preserve"> </w:t>
      </w:r>
      <w:r w:rsidRPr="00395593">
        <w:rPr>
          <w:rFonts w:ascii="Garamond" w:hAnsi="Garamond"/>
          <w:sz w:val="24"/>
        </w:rPr>
        <w:t>liberalização</w:t>
      </w:r>
      <w:r w:rsidRPr="00395593">
        <w:rPr>
          <w:rFonts w:ascii="Garamond" w:hAnsi="Garamond"/>
          <w:spacing w:val="43"/>
          <w:sz w:val="24"/>
        </w:rPr>
        <w:t xml:space="preserve"> </w:t>
      </w:r>
      <w:r w:rsidRPr="00395593">
        <w:rPr>
          <w:rFonts w:ascii="Garamond" w:hAnsi="Garamond"/>
          <w:sz w:val="24"/>
        </w:rPr>
        <w:t>progressiva.</w:t>
      </w:r>
      <w:r w:rsidRPr="00395593">
        <w:rPr>
          <w:rFonts w:ascii="Garamond" w:hAnsi="Garamond"/>
          <w:spacing w:val="41"/>
          <w:sz w:val="24"/>
        </w:rPr>
        <w:t xml:space="preserve"> </w:t>
      </w:r>
      <w:r w:rsidRPr="00395593">
        <w:rPr>
          <w:rFonts w:ascii="Garamond" w:hAnsi="Garamond"/>
          <w:sz w:val="24"/>
        </w:rPr>
        <w:t>Em</w:t>
      </w:r>
      <w:r w:rsidRPr="00395593">
        <w:rPr>
          <w:rFonts w:ascii="Garamond" w:hAnsi="Garamond"/>
          <w:spacing w:val="-58"/>
          <w:sz w:val="24"/>
        </w:rPr>
        <w:t xml:space="preserve"> </w:t>
      </w:r>
      <w:r w:rsidRPr="00395593">
        <w:rPr>
          <w:rFonts w:ascii="Garamond" w:hAnsi="Garamond"/>
          <w:sz w:val="24"/>
        </w:rPr>
        <w:t>caso de prorrogação de uma medida, serão igualmente fornecidas provas de que a indústria</w:t>
      </w:r>
      <w:r w:rsidRPr="00395593">
        <w:rPr>
          <w:rFonts w:ascii="Garamond" w:hAnsi="Garamond"/>
          <w:spacing w:val="1"/>
          <w:sz w:val="24"/>
        </w:rPr>
        <w:t xml:space="preserve"> </w:t>
      </w:r>
      <w:r w:rsidRPr="00395593">
        <w:rPr>
          <w:rFonts w:ascii="Garamond" w:hAnsi="Garamond"/>
          <w:sz w:val="24"/>
        </w:rPr>
        <w:t>afetada está em</w:t>
      </w:r>
      <w:r w:rsidRPr="00395593">
        <w:rPr>
          <w:rFonts w:ascii="Garamond" w:hAnsi="Garamond"/>
          <w:spacing w:val="1"/>
          <w:sz w:val="24"/>
        </w:rPr>
        <w:t xml:space="preserve"> </w:t>
      </w:r>
      <w:r w:rsidRPr="00395593">
        <w:rPr>
          <w:rFonts w:ascii="Garamond" w:hAnsi="Garamond"/>
          <w:sz w:val="24"/>
        </w:rPr>
        <w:t>processo</w:t>
      </w:r>
      <w:r w:rsidRPr="00395593">
        <w:rPr>
          <w:rFonts w:ascii="Garamond" w:hAnsi="Garamond"/>
          <w:spacing w:val="1"/>
          <w:sz w:val="24"/>
        </w:rPr>
        <w:t xml:space="preserve"> </w:t>
      </w:r>
      <w:r w:rsidRPr="00395593">
        <w:rPr>
          <w:rFonts w:ascii="Garamond" w:hAnsi="Garamond"/>
          <w:sz w:val="24"/>
        </w:rPr>
        <w:t>de ajustamento. O Conselho</w:t>
      </w:r>
      <w:r w:rsidRPr="00395593">
        <w:rPr>
          <w:rFonts w:ascii="Garamond" w:hAnsi="Garamond"/>
          <w:spacing w:val="1"/>
          <w:sz w:val="24"/>
        </w:rPr>
        <w:t xml:space="preserve"> </w:t>
      </w:r>
      <w:r w:rsidRPr="00395593">
        <w:rPr>
          <w:rFonts w:ascii="Garamond" w:hAnsi="Garamond"/>
          <w:sz w:val="24"/>
        </w:rPr>
        <w:t>para o Comércio</w:t>
      </w:r>
      <w:r w:rsidRPr="00395593">
        <w:rPr>
          <w:rFonts w:ascii="Garamond" w:hAnsi="Garamond"/>
          <w:spacing w:val="60"/>
          <w:sz w:val="24"/>
        </w:rPr>
        <w:t xml:space="preserve"> </w:t>
      </w:r>
      <w:r w:rsidRPr="00395593">
        <w:rPr>
          <w:rFonts w:ascii="Garamond" w:hAnsi="Garamond"/>
          <w:sz w:val="24"/>
        </w:rPr>
        <w:t>de Bens ou o</w:t>
      </w:r>
      <w:r w:rsidRPr="00395593">
        <w:rPr>
          <w:rFonts w:ascii="Garamond" w:hAnsi="Garamond"/>
          <w:spacing w:val="1"/>
          <w:sz w:val="24"/>
        </w:rPr>
        <w:t xml:space="preserve"> </w:t>
      </w:r>
      <w:r w:rsidRPr="00395593">
        <w:rPr>
          <w:rFonts w:ascii="Garamond" w:hAnsi="Garamond"/>
          <w:sz w:val="24"/>
        </w:rPr>
        <w:t>Comitê</w:t>
      </w:r>
      <w:r w:rsidRPr="00395593">
        <w:rPr>
          <w:rFonts w:ascii="Garamond" w:hAnsi="Garamond"/>
          <w:spacing w:val="6"/>
          <w:sz w:val="24"/>
        </w:rPr>
        <w:t xml:space="preserve"> </w:t>
      </w:r>
      <w:r w:rsidRPr="00395593">
        <w:rPr>
          <w:rFonts w:ascii="Garamond" w:hAnsi="Garamond"/>
          <w:sz w:val="24"/>
        </w:rPr>
        <w:t>de</w:t>
      </w:r>
      <w:r w:rsidRPr="00395593">
        <w:rPr>
          <w:rFonts w:ascii="Garamond" w:hAnsi="Garamond"/>
          <w:spacing w:val="7"/>
          <w:sz w:val="24"/>
        </w:rPr>
        <w:t xml:space="preserve"> </w:t>
      </w:r>
      <w:r w:rsidRPr="00395593">
        <w:rPr>
          <w:rFonts w:ascii="Garamond" w:hAnsi="Garamond"/>
          <w:sz w:val="24"/>
        </w:rPr>
        <w:t>Salvaguardas</w:t>
      </w:r>
      <w:r w:rsidRPr="00395593">
        <w:rPr>
          <w:rFonts w:ascii="Garamond" w:hAnsi="Garamond"/>
          <w:spacing w:val="11"/>
          <w:sz w:val="24"/>
        </w:rPr>
        <w:t xml:space="preserve"> </w:t>
      </w:r>
      <w:r w:rsidRPr="00395593">
        <w:rPr>
          <w:rFonts w:ascii="Garamond" w:hAnsi="Garamond"/>
          <w:sz w:val="24"/>
        </w:rPr>
        <w:t>poderá</w:t>
      </w:r>
      <w:r w:rsidRPr="00395593">
        <w:rPr>
          <w:rFonts w:ascii="Garamond" w:hAnsi="Garamond"/>
          <w:spacing w:val="6"/>
          <w:sz w:val="24"/>
        </w:rPr>
        <w:t xml:space="preserve"> </w:t>
      </w:r>
      <w:r w:rsidRPr="00395593">
        <w:rPr>
          <w:rFonts w:ascii="Garamond" w:hAnsi="Garamond"/>
          <w:sz w:val="24"/>
        </w:rPr>
        <w:t>solicitar,</w:t>
      </w:r>
      <w:r w:rsidRPr="00395593">
        <w:rPr>
          <w:rFonts w:ascii="Garamond" w:hAnsi="Garamond"/>
          <w:spacing w:val="7"/>
          <w:sz w:val="24"/>
        </w:rPr>
        <w:t xml:space="preserve"> </w:t>
      </w:r>
      <w:r w:rsidRPr="00395593">
        <w:rPr>
          <w:rFonts w:ascii="Garamond" w:hAnsi="Garamond"/>
          <w:sz w:val="24"/>
        </w:rPr>
        <w:t>ao</w:t>
      </w:r>
      <w:r w:rsidRPr="00395593">
        <w:rPr>
          <w:rFonts w:ascii="Garamond" w:hAnsi="Garamond"/>
          <w:spacing w:val="8"/>
          <w:sz w:val="24"/>
        </w:rPr>
        <w:t xml:space="preserve"> </w:t>
      </w:r>
      <w:r w:rsidRPr="00395593">
        <w:rPr>
          <w:rFonts w:ascii="Garamond" w:hAnsi="Garamond"/>
          <w:sz w:val="24"/>
        </w:rPr>
        <w:t>Membro</w:t>
      </w:r>
      <w:r w:rsidRPr="00395593">
        <w:rPr>
          <w:rFonts w:ascii="Garamond" w:hAnsi="Garamond"/>
          <w:spacing w:val="8"/>
          <w:sz w:val="24"/>
        </w:rPr>
        <w:t xml:space="preserve"> </w:t>
      </w:r>
      <w:r w:rsidRPr="00395593">
        <w:rPr>
          <w:rFonts w:ascii="Garamond" w:hAnsi="Garamond"/>
          <w:sz w:val="24"/>
        </w:rPr>
        <w:t>que</w:t>
      </w:r>
      <w:r w:rsidRPr="00395593">
        <w:rPr>
          <w:rFonts w:ascii="Garamond" w:hAnsi="Garamond"/>
          <w:spacing w:val="7"/>
          <w:sz w:val="24"/>
        </w:rPr>
        <w:t xml:space="preserve"> </w:t>
      </w:r>
      <w:r w:rsidRPr="00395593">
        <w:rPr>
          <w:rFonts w:ascii="Garamond" w:hAnsi="Garamond"/>
          <w:sz w:val="24"/>
        </w:rPr>
        <w:t>cogita</w:t>
      </w:r>
      <w:r w:rsidRPr="00395593">
        <w:rPr>
          <w:rFonts w:ascii="Garamond" w:hAnsi="Garamond"/>
          <w:spacing w:val="7"/>
          <w:sz w:val="24"/>
        </w:rPr>
        <w:t xml:space="preserve"> </w:t>
      </w:r>
      <w:r w:rsidRPr="00395593">
        <w:rPr>
          <w:rFonts w:ascii="Garamond" w:hAnsi="Garamond"/>
          <w:sz w:val="24"/>
        </w:rPr>
        <w:t>de</w:t>
      </w:r>
      <w:r w:rsidRPr="00395593">
        <w:rPr>
          <w:rFonts w:ascii="Garamond" w:hAnsi="Garamond"/>
          <w:spacing w:val="7"/>
          <w:sz w:val="24"/>
        </w:rPr>
        <w:t xml:space="preserve"> </w:t>
      </w:r>
      <w:r w:rsidRPr="00395593">
        <w:rPr>
          <w:rFonts w:ascii="Garamond" w:hAnsi="Garamond"/>
          <w:sz w:val="24"/>
        </w:rPr>
        <w:t>aplicar</w:t>
      </w:r>
      <w:r w:rsidRPr="00395593">
        <w:rPr>
          <w:rFonts w:ascii="Garamond" w:hAnsi="Garamond"/>
          <w:spacing w:val="9"/>
          <w:sz w:val="24"/>
        </w:rPr>
        <w:t xml:space="preserve"> </w:t>
      </w:r>
      <w:r w:rsidRPr="00395593">
        <w:rPr>
          <w:rFonts w:ascii="Garamond" w:hAnsi="Garamond"/>
          <w:sz w:val="24"/>
        </w:rPr>
        <w:t>ou</w:t>
      </w:r>
      <w:r w:rsidRPr="00395593">
        <w:rPr>
          <w:rFonts w:ascii="Garamond" w:hAnsi="Garamond"/>
          <w:spacing w:val="8"/>
          <w:sz w:val="24"/>
        </w:rPr>
        <w:t xml:space="preserve"> </w:t>
      </w:r>
      <w:r w:rsidRPr="00395593">
        <w:rPr>
          <w:rFonts w:ascii="Garamond" w:hAnsi="Garamond"/>
          <w:sz w:val="24"/>
        </w:rPr>
        <w:t>de</w:t>
      </w:r>
      <w:r w:rsidRPr="00395593">
        <w:rPr>
          <w:rFonts w:ascii="Garamond" w:hAnsi="Garamond"/>
          <w:spacing w:val="7"/>
          <w:sz w:val="24"/>
        </w:rPr>
        <w:t xml:space="preserve"> </w:t>
      </w:r>
      <w:r w:rsidRPr="00395593">
        <w:rPr>
          <w:rFonts w:ascii="Garamond" w:hAnsi="Garamond"/>
          <w:sz w:val="24"/>
        </w:rPr>
        <w:t>prorrogar</w:t>
      </w:r>
      <w:r w:rsidRPr="00395593">
        <w:rPr>
          <w:rFonts w:ascii="Garamond" w:hAnsi="Garamond"/>
          <w:spacing w:val="-58"/>
          <w:sz w:val="24"/>
        </w:rPr>
        <w:t xml:space="preserve"> </w:t>
      </w:r>
      <w:r w:rsidRPr="00395593">
        <w:rPr>
          <w:rFonts w:ascii="Garamond" w:hAnsi="Garamond"/>
          <w:sz w:val="24"/>
        </w:rPr>
        <w:t>a</w:t>
      </w:r>
      <w:r w:rsidRPr="00395593">
        <w:rPr>
          <w:rFonts w:ascii="Garamond" w:hAnsi="Garamond"/>
          <w:spacing w:val="-2"/>
          <w:sz w:val="24"/>
        </w:rPr>
        <w:t xml:space="preserve"> </w:t>
      </w:r>
      <w:r w:rsidRPr="00395593">
        <w:rPr>
          <w:rFonts w:ascii="Garamond" w:hAnsi="Garamond"/>
          <w:sz w:val="24"/>
        </w:rPr>
        <w:t>medida, informações adicionais que considere</w:t>
      </w:r>
      <w:r w:rsidRPr="00395593">
        <w:rPr>
          <w:rFonts w:ascii="Garamond" w:hAnsi="Garamond"/>
          <w:spacing w:val="-1"/>
          <w:sz w:val="24"/>
        </w:rPr>
        <w:t xml:space="preserve"> </w:t>
      </w:r>
      <w:r w:rsidRPr="00395593">
        <w:rPr>
          <w:rFonts w:ascii="Garamond" w:hAnsi="Garamond"/>
          <w:sz w:val="24"/>
        </w:rPr>
        <w:t>necessárias.</w:t>
      </w:r>
    </w:p>
    <w:p w14:paraId="1F2FA189" w14:textId="77777777" w:rsidR="00D44A7A" w:rsidRPr="00395593" w:rsidRDefault="00D44A7A" w:rsidP="00D44A7A">
      <w:pPr>
        <w:pStyle w:val="Corpodetexto"/>
        <w:spacing w:before="1"/>
        <w:rPr>
          <w:rFonts w:ascii="Garamond" w:hAnsi="Garamond"/>
        </w:rPr>
      </w:pPr>
    </w:p>
    <w:p w14:paraId="0154CD74" w14:textId="77777777" w:rsidR="00D44A7A" w:rsidRPr="00395593" w:rsidRDefault="00D44A7A" w:rsidP="002C4340">
      <w:pPr>
        <w:pStyle w:val="PargrafodaLista"/>
        <w:widowControl w:val="0"/>
        <w:numPr>
          <w:ilvl w:val="0"/>
          <w:numId w:val="67"/>
        </w:numPr>
        <w:tabs>
          <w:tab w:val="left" w:pos="930"/>
        </w:tabs>
        <w:autoSpaceDE w:val="0"/>
        <w:autoSpaceDN w:val="0"/>
        <w:spacing w:after="0" w:line="240" w:lineRule="auto"/>
        <w:ind w:right="156" w:firstLine="0"/>
        <w:contextualSpacing w:val="0"/>
        <w:jc w:val="both"/>
        <w:rPr>
          <w:rFonts w:ascii="Garamond" w:hAnsi="Garamond"/>
          <w:sz w:val="24"/>
        </w:rPr>
      </w:pPr>
      <w:r w:rsidRPr="00395593">
        <w:rPr>
          <w:rFonts w:ascii="Garamond" w:hAnsi="Garamond"/>
          <w:sz w:val="24"/>
        </w:rPr>
        <w:t>O Membro que se proponha aplicar ou prorrogar uma medida de salvaguarda dará</w:t>
      </w:r>
      <w:r w:rsidRPr="00395593">
        <w:rPr>
          <w:rFonts w:ascii="Garamond" w:hAnsi="Garamond"/>
          <w:spacing w:val="1"/>
          <w:sz w:val="24"/>
        </w:rPr>
        <w:t xml:space="preserve"> </w:t>
      </w:r>
      <w:r w:rsidRPr="00395593">
        <w:rPr>
          <w:rFonts w:ascii="Garamond" w:hAnsi="Garamond"/>
          <w:sz w:val="24"/>
        </w:rPr>
        <w:t>oportunidades adequadas para que se realizem consultas prévias com os Membros que</w:t>
      </w:r>
      <w:r w:rsidRPr="00395593">
        <w:rPr>
          <w:rFonts w:ascii="Garamond" w:hAnsi="Garamond"/>
          <w:spacing w:val="1"/>
          <w:sz w:val="24"/>
        </w:rPr>
        <w:t xml:space="preserve"> </w:t>
      </w:r>
      <w:r w:rsidRPr="00395593">
        <w:rPr>
          <w:rFonts w:ascii="Garamond" w:hAnsi="Garamond"/>
          <w:sz w:val="24"/>
        </w:rPr>
        <w:t>tenham um interesse substancial como exportadores do produto em questão com vistas a,</w:t>
      </w:r>
      <w:r w:rsidRPr="00395593">
        <w:rPr>
          <w:rFonts w:ascii="Garamond" w:hAnsi="Garamond"/>
          <w:spacing w:val="1"/>
          <w:sz w:val="24"/>
        </w:rPr>
        <w:t xml:space="preserve"> </w:t>
      </w:r>
      <w:r w:rsidRPr="00395593">
        <w:rPr>
          <w:rFonts w:ascii="Garamond" w:hAnsi="Garamond"/>
          <w:sz w:val="24"/>
        </w:rPr>
        <w:t>entre outras coisas, examinar a informação fornecida em conformidade com o parágrafo</w:t>
      </w:r>
      <w:r w:rsidRPr="00395593">
        <w:rPr>
          <w:rFonts w:ascii="Garamond" w:hAnsi="Garamond"/>
          <w:spacing w:val="1"/>
          <w:sz w:val="24"/>
        </w:rPr>
        <w:t xml:space="preserve"> </w:t>
      </w:r>
      <w:r w:rsidRPr="00395593">
        <w:rPr>
          <w:rFonts w:ascii="Garamond" w:hAnsi="Garamond"/>
          <w:sz w:val="24"/>
        </w:rPr>
        <w:t>segundo,</w:t>
      </w:r>
      <w:r w:rsidRPr="00395593">
        <w:rPr>
          <w:rFonts w:ascii="Garamond" w:hAnsi="Garamond"/>
          <w:spacing w:val="58"/>
          <w:sz w:val="24"/>
        </w:rPr>
        <w:t xml:space="preserve"> </w:t>
      </w:r>
      <w:r w:rsidRPr="00395593">
        <w:rPr>
          <w:rFonts w:ascii="Garamond" w:hAnsi="Garamond"/>
          <w:sz w:val="24"/>
        </w:rPr>
        <w:t>intercambiar</w:t>
      </w:r>
      <w:r w:rsidRPr="00395593">
        <w:rPr>
          <w:rFonts w:ascii="Garamond" w:hAnsi="Garamond"/>
          <w:spacing w:val="58"/>
          <w:sz w:val="24"/>
        </w:rPr>
        <w:t xml:space="preserve"> </w:t>
      </w:r>
      <w:r w:rsidRPr="00395593">
        <w:rPr>
          <w:rFonts w:ascii="Garamond" w:hAnsi="Garamond"/>
          <w:sz w:val="24"/>
        </w:rPr>
        <w:t>opiniões</w:t>
      </w:r>
      <w:r w:rsidRPr="00395593">
        <w:rPr>
          <w:rFonts w:ascii="Garamond" w:hAnsi="Garamond"/>
          <w:spacing w:val="59"/>
          <w:sz w:val="24"/>
        </w:rPr>
        <w:t xml:space="preserve"> </w:t>
      </w:r>
      <w:r w:rsidRPr="00395593">
        <w:rPr>
          <w:rFonts w:ascii="Garamond" w:hAnsi="Garamond"/>
          <w:sz w:val="24"/>
        </w:rPr>
        <w:t>sobre</w:t>
      </w:r>
      <w:r w:rsidRPr="00395593">
        <w:rPr>
          <w:rFonts w:ascii="Garamond" w:hAnsi="Garamond"/>
          <w:spacing w:val="57"/>
          <w:sz w:val="24"/>
        </w:rPr>
        <w:t xml:space="preserve"> </w:t>
      </w:r>
      <w:r w:rsidRPr="00395593">
        <w:rPr>
          <w:rFonts w:ascii="Garamond" w:hAnsi="Garamond"/>
          <w:sz w:val="24"/>
        </w:rPr>
        <w:t>a</w:t>
      </w:r>
      <w:r w:rsidRPr="00395593">
        <w:rPr>
          <w:rFonts w:ascii="Garamond" w:hAnsi="Garamond"/>
          <w:spacing w:val="57"/>
          <w:sz w:val="24"/>
        </w:rPr>
        <w:t xml:space="preserve"> </w:t>
      </w:r>
      <w:r w:rsidRPr="00395593">
        <w:rPr>
          <w:rFonts w:ascii="Garamond" w:hAnsi="Garamond"/>
          <w:sz w:val="24"/>
        </w:rPr>
        <w:t>medida</w:t>
      </w:r>
      <w:r w:rsidRPr="00395593">
        <w:rPr>
          <w:rFonts w:ascii="Garamond" w:hAnsi="Garamond"/>
          <w:spacing w:val="59"/>
          <w:sz w:val="24"/>
        </w:rPr>
        <w:t xml:space="preserve"> </w:t>
      </w:r>
      <w:r w:rsidRPr="00395593">
        <w:rPr>
          <w:rFonts w:ascii="Garamond" w:hAnsi="Garamond"/>
          <w:sz w:val="24"/>
        </w:rPr>
        <w:t>e</w:t>
      </w:r>
      <w:r w:rsidRPr="00395593">
        <w:rPr>
          <w:rFonts w:ascii="Garamond" w:hAnsi="Garamond"/>
          <w:spacing w:val="57"/>
          <w:sz w:val="24"/>
        </w:rPr>
        <w:t xml:space="preserve"> </w:t>
      </w:r>
      <w:r w:rsidRPr="00395593">
        <w:rPr>
          <w:rFonts w:ascii="Garamond" w:hAnsi="Garamond"/>
          <w:sz w:val="24"/>
        </w:rPr>
        <w:t>chegar</w:t>
      </w:r>
      <w:r w:rsidRPr="00395593">
        <w:rPr>
          <w:rFonts w:ascii="Garamond" w:hAnsi="Garamond"/>
          <w:spacing w:val="60"/>
          <w:sz w:val="24"/>
        </w:rPr>
        <w:t xml:space="preserve"> </w:t>
      </w:r>
      <w:r w:rsidRPr="00395593">
        <w:rPr>
          <w:rFonts w:ascii="Garamond" w:hAnsi="Garamond"/>
          <w:sz w:val="24"/>
        </w:rPr>
        <w:t>a</w:t>
      </w:r>
      <w:r w:rsidRPr="00395593">
        <w:rPr>
          <w:rFonts w:ascii="Garamond" w:hAnsi="Garamond"/>
          <w:spacing w:val="57"/>
          <w:sz w:val="24"/>
        </w:rPr>
        <w:t xml:space="preserve"> </w:t>
      </w:r>
      <w:r w:rsidRPr="00395593">
        <w:rPr>
          <w:rFonts w:ascii="Garamond" w:hAnsi="Garamond"/>
          <w:sz w:val="24"/>
        </w:rPr>
        <w:t>um</w:t>
      </w:r>
      <w:r w:rsidRPr="00395593">
        <w:rPr>
          <w:rFonts w:ascii="Garamond" w:hAnsi="Garamond"/>
          <w:spacing w:val="59"/>
          <w:sz w:val="24"/>
        </w:rPr>
        <w:t xml:space="preserve"> </w:t>
      </w:r>
      <w:r w:rsidRPr="00395593">
        <w:rPr>
          <w:rFonts w:ascii="Garamond" w:hAnsi="Garamond"/>
          <w:sz w:val="24"/>
        </w:rPr>
        <w:t>entendimento</w:t>
      </w:r>
      <w:r w:rsidRPr="00395593">
        <w:rPr>
          <w:rFonts w:ascii="Garamond" w:hAnsi="Garamond"/>
          <w:spacing w:val="59"/>
          <w:sz w:val="24"/>
        </w:rPr>
        <w:t xml:space="preserve"> </w:t>
      </w:r>
      <w:r w:rsidRPr="00395593">
        <w:rPr>
          <w:rFonts w:ascii="Garamond" w:hAnsi="Garamond"/>
          <w:sz w:val="24"/>
        </w:rPr>
        <w:t>sobre</w:t>
      </w:r>
      <w:r w:rsidRPr="00395593">
        <w:rPr>
          <w:rFonts w:ascii="Garamond" w:hAnsi="Garamond"/>
          <w:spacing w:val="57"/>
          <w:sz w:val="24"/>
        </w:rPr>
        <w:t xml:space="preserve"> </w:t>
      </w:r>
      <w:r w:rsidRPr="00395593">
        <w:rPr>
          <w:rFonts w:ascii="Garamond" w:hAnsi="Garamond"/>
          <w:sz w:val="24"/>
        </w:rPr>
        <w:t>as</w:t>
      </w:r>
      <w:r w:rsidRPr="00395593">
        <w:rPr>
          <w:rFonts w:ascii="Garamond" w:hAnsi="Garamond"/>
          <w:spacing w:val="-58"/>
          <w:sz w:val="24"/>
        </w:rPr>
        <w:t xml:space="preserve"> </w:t>
      </w:r>
      <w:r w:rsidRPr="00395593">
        <w:rPr>
          <w:rFonts w:ascii="Garamond" w:hAnsi="Garamond"/>
          <w:sz w:val="24"/>
        </w:rPr>
        <w:t>formas</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2"/>
          <w:sz w:val="24"/>
        </w:rPr>
        <w:t xml:space="preserve"> </w:t>
      </w:r>
      <w:r w:rsidRPr="00395593">
        <w:rPr>
          <w:rFonts w:ascii="Garamond" w:hAnsi="Garamond"/>
          <w:sz w:val="24"/>
        </w:rPr>
        <w:t>alcançar o</w:t>
      </w:r>
      <w:r w:rsidRPr="00395593">
        <w:rPr>
          <w:rFonts w:ascii="Garamond" w:hAnsi="Garamond"/>
          <w:spacing w:val="-1"/>
          <w:sz w:val="24"/>
        </w:rPr>
        <w:t xml:space="preserve"> </w:t>
      </w:r>
      <w:r w:rsidRPr="00395593">
        <w:rPr>
          <w:rFonts w:ascii="Garamond" w:hAnsi="Garamond"/>
          <w:sz w:val="24"/>
        </w:rPr>
        <w:t>objetivo descrito no</w:t>
      </w:r>
      <w:r w:rsidRPr="00395593">
        <w:rPr>
          <w:rFonts w:ascii="Garamond" w:hAnsi="Garamond"/>
          <w:spacing w:val="-1"/>
          <w:sz w:val="24"/>
        </w:rPr>
        <w:t xml:space="preserve"> </w:t>
      </w:r>
      <w:r w:rsidRPr="00395593">
        <w:rPr>
          <w:rFonts w:ascii="Garamond" w:hAnsi="Garamond"/>
          <w:sz w:val="24"/>
        </w:rPr>
        <w:t>parágrafo primeiro do Artigo</w:t>
      </w:r>
      <w:r w:rsidRPr="00395593">
        <w:rPr>
          <w:rFonts w:ascii="Garamond" w:hAnsi="Garamond"/>
          <w:spacing w:val="-1"/>
          <w:sz w:val="24"/>
        </w:rPr>
        <w:t xml:space="preserve"> </w:t>
      </w:r>
      <w:r w:rsidRPr="00395593">
        <w:rPr>
          <w:rFonts w:ascii="Garamond" w:hAnsi="Garamond"/>
          <w:sz w:val="24"/>
        </w:rPr>
        <w:t>8.</w:t>
      </w:r>
    </w:p>
    <w:p w14:paraId="2D5A95F6" w14:textId="77777777" w:rsidR="00D44A7A" w:rsidRPr="00395593" w:rsidRDefault="00D44A7A" w:rsidP="00D44A7A">
      <w:pPr>
        <w:pStyle w:val="Corpodetexto"/>
        <w:spacing w:before="1"/>
        <w:rPr>
          <w:rFonts w:ascii="Garamond" w:hAnsi="Garamond"/>
        </w:rPr>
      </w:pPr>
    </w:p>
    <w:p w14:paraId="0737C867" w14:textId="77777777" w:rsidR="00D44A7A" w:rsidRPr="00395593" w:rsidRDefault="00D44A7A" w:rsidP="002C4340">
      <w:pPr>
        <w:pStyle w:val="PargrafodaLista"/>
        <w:widowControl w:val="0"/>
        <w:numPr>
          <w:ilvl w:val="0"/>
          <w:numId w:val="67"/>
        </w:numPr>
        <w:tabs>
          <w:tab w:val="left" w:pos="930"/>
        </w:tabs>
        <w:autoSpaceDE w:val="0"/>
        <w:autoSpaceDN w:val="0"/>
        <w:spacing w:after="0" w:line="240" w:lineRule="auto"/>
        <w:ind w:right="158" w:firstLine="0"/>
        <w:contextualSpacing w:val="0"/>
        <w:jc w:val="both"/>
        <w:rPr>
          <w:rFonts w:ascii="Garamond" w:hAnsi="Garamond"/>
          <w:sz w:val="24"/>
        </w:rPr>
      </w:pPr>
      <w:r w:rsidRPr="00395593">
        <w:rPr>
          <w:rFonts w:ascii="Garamond" w:hAnsi="Garamond"/>
          <w:sz w:val="24"/>
        </w:rPr>
        <w:t>Antes de adotar uma medida de salvaguarda provisória, nos termos do Artigo 6, o</w:t>
      </w:r>
      <w:r w:rsidRPr="00395593">
        <w:rPr>
          <w:rFonts w:ascii="Garamond" w:hAnsi="Garamond"/>
          <w:spacing w:val="1"/>
          <w:sz w:val="24"/>
        </w:rPr>
        <w:t xml:space="preserve"> </w:t>
      </w:r>
      <w:r w:rsidRPr="00395593">
        <w:rPr>
          <w:rFonts w:ascii="Garamond" w:hAnsi="Garamond"/>
          <w:sz w:val="24"/>
        </w:rPr>
        <w:t>Membro</w:t>
      </w:r>
      <w:r w:rsidRPr="00395593">
        <w:rPr>
          <w:rFonts w:ascii="Garamond" w:hAnsi="Garamond"/>
          <w:spacing w:val="1"/>
          <w:sz w:val="24"/>
        </w:rPr>
        <w:t xml:space="preserve"> </w:t>
      </w:r>
      <w:r w:rsidRPr="00395593">
        <w:rPr>
          <w:rFonts w:ascii="Garamond" w:hAnsi="Garamond"/>
          <w:sz w:val="24"/>
        </w:rPr>
        <w:t>fará</w:t>
      </w:r>
      <w:r w:rsidRPr="00395593">
        <w:rPr>
          <w:rFonts w:ascii="Garamond" w:hAnsi="Garamond"/>
          <w:spacing w:val="1"/>
          <w:sz w:val="24"/>
        </w:rPr>
        <w:t xml:space="preserve"> </w:t>
      </w:r>
      <w:r w:rsidRPr="00395593">
        <w:rPr>
          <w:rFonts w:ascii="Garamond" w:hAnsi="Garamond"/>
          <w:sz w:val="24"/>
        </w:rPr>
        <w:t>uma</w:t>
      </w:r>
      <w:r w:rsidRPr="00395593">
        <w:rPr>
          <w:rFonts w:ascii="Garamond" w:hAnsi="Garamond"/>
          <w:spacing w:val="1"/>
          <w:sz w:val="24"/>
        </w:rPr>
        <w:t xml:space="preserve"> </w:t>
      </w:r>
      <w:r w:rsidRPr="00395593">
        <w:rPr>
          <w:rFonts w:ascii="Garamond" w:hAnsi="Garamond"/>
          <w:sz w:val="24"/>
        </w:rPr>
        <w:t>notificação</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respeito</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Comitê</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Salvaguardas.</w:t>
      </w:r>
      <w:r w:rsidRPr="00395593">
        <w:rPr>
          <w:rFonts w:ascii="Garamond" w:hAnsi="Garamond"/>
          <w:spacing w:val="1"/>
          <w:sz w:val="24"/>
        </w:rPr>
        <w:t xml:space="preserve"> </w:t>
      </w:r>
      <w:r w:rsidRPr="00395593">
        <w:rPr>
          <w:rFonts w:ascii="Garamond" w:hAnsi="Garamond"/>
          <w:sz w:val="24"/>
        </w:rPr>
        <w:t>Realizar-se-ão</w:t>
      </w:r>
      <w:r w:rsidRPr="00395593">
        <w:rPr>
          <w:rFonts w:ascii="Garamond" w:hAnsi="Garamond"/>
          <w:spacing w:val="1"/>
          <w:sz w:val="24"/>
        </w:rPr>
        <w:t xml:space="preserve"> </w:t>
      </w:r>
      <w:r w:rsidRPr="00395593">
        <w:rPr>
          <w:rFonts w:ascii="Garamond" w:hAnsi="Garamond"/>
          <w:sz w:val="24"/>
        </w:rPr>
        <w:t>consultas</w:t>
      </w:r>
      <w:r w:rsidRPr="00395593">
        <w:rPr>
          <w:rFonts w:ascii="Garamond" w:hAnsi="Garamond"/>
          <w:spacing w:val="-1"/>
          <w:sz w:val="24"/>
        </w:rPr>
        <w:t xml:space="preserve"> </w:t>
      </w:r>
      <w:r w:rsidRPr="00395593">
        <w:rPr>
          <w:rFonts w:ascii="Garamond" w:hAnsi="Garamond"/>
          <w:sz w:val="24"/>
        </w:rPr>
        <w:t>imediatamente</w:t>
      </w:r>
      <w:r w:rsidRPr="00395593">
        <w:rPr>
          <w:rFonts w:ascii="Garamond" w:hAnsi="Garamond"/>
          <w:spacing w:val="1"/>
          <w:sz w:val="24"/>
        </w:rPr>
        <w:t xml:space="preserve"> </w:t>
      </w:r>
      <w:r w:rsidRPr="00395593">
        <w:rPr>
          <w:rFonts w:ascii="Garamond" w:hAnsi="Garamond"/>
          <w:sz w:val="24"/>
        </w:rPr>
        <w:t>depois que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medida</w:t>
      </w:r>
      <w:r w:rsidRPr="00395593">
        <w:rPr>
          <w:rFonts w:ascii="Garamond" w:hAnsi="Garamond"/>
          <w:spacing w:val="1"/>
          <w:sz w:val="24"/>
        </w:rPr>
        <w:t xml:space="preserve"> </w:t>
      </w:r>
      <w:r w:rsidRPr="00395593">
        <w:rPr>
          <w:rFonts w:ascii="Garamond" w:hAnsi="Garamond"/>
          <w:sz w:val="24"/>
        </w:rPr>
        <w:t>for adotada.</w:t>
      </w:r>
    </w:p>
    <w:p w14:paraId="020FC1B8" w14:textId="77777777" w:rsidR="00D44A7A" w:rsidRPr="00395593" w:rsidRDefault="00D44A7A" w:rsidP="00D44A7A">
      <w:pPr>
        <w:pStyle w:val="Corpodetexto"/>
        <w:rPr>
          <w:rFonts w:ascii="Garamond" w:hAnsi="Garamond"/>
        </w:rPr>
      </w:pPr>
    </w:p>
    <w:p w14:paraId="318764B5" w14:textId="77777777" w:rsidR="00D44A7A" w:rsidRPr="00395593" w:rsidRDefault="00D44A7A" w:rsidP="002C4340">
      <w:pPr>
        <w:pStyle w:val="PargrafodaLista"/>
        <w:widowControl w:val="0"/>
        <w:numPr>
          <w:ilvl w:val="0"/>
          <w:numId w:val="67"/>
        </w:numPr>
        <w:tabs>
          <w:tab w:val="left" w:pos="930"/>
        </w:tabs>
        <w:autoSpaceDE w:val="0"/>
        <w:autoSpaceDN w:val="0"/>
        <w:spacing w:after="0" w:line="240" w:lineRule="auto"/>
        <w:ind w:right="160" w:firstLine="0"/>
        <w:contextualSpacing w:val="0"/>
        <w:jc w:val="both"/>
        <w:rPr>
          <w:rFonts w:ascii="Garamond" w:hAnsi="Garamond"/>
          <w:sz w:val="24"/>
        </w:rPr>
      </w:pPr>
      <w:r w:rsidRPr="00395593">
        <w:rPr>
          <w:rFonts w:ascii="Garamond" w:hAnsi="Garamond"/>
          <w:sz w:val="24"/>
        </w:rPr>
        <w:t>Os Membros interessados notificarão imediatamente ao Conselho para o Comércio</w:t>
      </w:r>
      <w:r w:rsidRPr="00395593">
        <w:rPr>
          <w:rFonts w:ascii="Garamond" w:hAnsi="Garamond"/>
          <w:spacing w:val="1"/>
          <w:sz w:val="24"/>
        </w:rPr>
        <w:t xml:space="preserve"> </w:t>
      </w:r>
      <w:r w:rsidRPr="00395593">
        <w:rPr>
          <w:rFonts w:ascii="Garamond" w:hAnsi="Garamond"/>
          <w:sz w:val="24"/>
        </w:rPr>
        <w:t>de Bens</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resultados</w:t>
      </w:r>
      <w:r w:rsidRPr="00395593">
        <w:rPr>
          <w:rFonts w:ascii="Garamond" w:hAnsi="Garamond"/>
          <w:spacing w:val="1"/>
          <w:sz w:val="24"/>
        </w:rPr>
        <w:t xml:space="preserve"> </w:t>
      </w:r>
      <w:r w:rsidRPr="00395593">
        <w:rPr>
          <w:rFonts w:ascii="Garamond" w:hAnsi="Garamond"/>
          <w:sz w:val="24"/>
        </w:rPr>
        <w:t>das</w:t>
      </w:r>
      <w:r w:rsidRPr="00395593">
        <w:rPr>
          <w:rFonts w:ascii="Garamond" w:hAnsi="Garamond"/>
          <w:spacing w:val="1"/>
          <w:sz w:val="24"/>
        </w:rPr>
        <w:t xml:space="preserve"> </w:t>
      </w:r>
      <w:r w:rsidRPr="00395593">
        <w:rPr>
          <w:rFonts w:ascii="Garamond" w:hAnsi="Garamond"/>
          <w:sz w:val="24"/>
        </w:rPr>
        <w:t>consultas</w:t>
      </w:r>
      <w:r w:rsidRPr="00395593">
        <w:rPr>
          <w:rFonts w:ascii="Garamond" w:hAnsi="Garamond"/>
          <w:spacing w:val="1"/>
          <w:sz w:val="24"/>
        </w:rPr>
        <w:t xml:space="preserve"> </w:t>
      </w:r>
      <w:r w:rsidRPr="00395593">
        <w:rPr>
          <w:rFonts w:ascii="Garamond" w:hAnsi="Garamond"/>
          <w:sz w:val="24"/>
        </w:rPr>
        <w:t>a que se refere o</w:t>
      </w:r>
      <w:r w:rsidRPr="00395593">
        <w:rPr>
          <w:rFonts w:ascii="Garamond" w:hAnsi="Garamond"/>
          <w:spacing w:val="1"/>
          <w:sz w:val="24"/>
        </w:rPr>
        <w:t xml:space="preserve"> </w:t>
      </w:r>
      <w:r w:rsidRPr="00395593">
        <w:rPr>
          <w:rFonts w:ascii="Garamond" w:hAnsi="Garamond"/>
          <w:sz w:val="24"/>
        </w:rPr>
        <w:t>presente Artigo,</w:t>
      </w:r>
      <w:r w:rsidRPr="00395593">
        <w:rPr>
          <w:rFonts w:ascii="Garamond" w:hAnsi="Garamond"/>
          <w:spacing w:val="1"/>
          <w:sz w:val="24"/>
        </w:rPr>
        <w:t xml:space="preserve"> </w:t>
      </w:r>
      <w:r w:rsidRPr="00395593">
        <w:rPr>
          <w:rFonts w:ascii="Garamond" w:hAnsi="Garamond"/>
          <w:sz w:val="24"/>
        </w:rPr>
        <w:t>bem</w:t>
      </w:r>
      <w:r w:rsidRPr="00395593">
        <w:rPr>
          <w:rFonts w:ascii="Garamond" w:hAnsi="Garamond"/>
          <w:spacing w:val="1"/>
          <w:sz w:val="24"/>
        </w:rPr>
        <w:t xml:space="preserve"> </w:t>
      </w:r>
      <w:r w:rsidRPr="00395593">
        <w:rPr>
          <w:rFonts w:ascii="Garamond" w:hAnsi="Garamond"/>
          <w:sz w:val="24"/>
        </w:rPr>
        <w:t>como</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resultados dos exames de metade do período a que me refere o parágrafo 4 do Artigo 7, as</w:t>
      </w:r>
      <w:r w:rsidRPr="00395593">
        <w:rPr>
          <w:rFonts w:ascii="Garamond" w:hAnsi="Garamond"/>
          <w:spacing w:val="1"/>
          <w:sz w:val="24"/>
        </w:rPr>
        <w:t xml:space="preserve"> </w:t>
      </w:r>
      <w:r w:rsidRPr="00395593">
        <w:rPr>
          <w:rFonts w:ascii="Garamond" w:hAnsi="Garamond"/>
          <w:sz w:val="24"/>
        </w:rPr>
        <w:t>formas de compensação a que se refere o parágrafo primeiro do Artigo 8 e as propostas</w:t>
      </w:r>
      <w:r w:rsidRPr="00395593">
        <w:rPr>
          <w:rFonts w:ascii="Garamond" w:hAnsi="Garamond"/>
          <w:spacing w:val="1"/>
          <w:sz w:val="24"/>
        </w:rPr>
        <w:t xml:space="preserve"> </w:t>
      </w:r>
      <w:r w:rsidRPr="00395593">
        <w:rPr>
          <w:rFonts w:ascii="Garamond" w:hAnsi="Garamond"/>
          <w:sz w:val="24"/>
        </w:rPr>
        <w:t>suspensões de concessões e outras obrigações</w:t>
      </w:r>
      <w:r w:rsidRPr="00395593">
        <w:rPr>
          <w:rFonts w:ascii="Garamond" w:hAnsi="Garamond"/>
          <w:spacing w:val="60"/>
          <w:sz w:val="24"/>
        </w:rPr>
        <w:t xml:space="preserve"> </w:t>
      </w:r>
      <w:r w:rsidRPr="00395593">
        <w:rPr>
          <w:rFonts w:ascii="Garamond" w:hAnsi="Garamond"/>
          <w:sz w:val="24"/>
        </w:rPr>
        <w:t>a que se refere o parágrafo segundo do</w:t>
      </w:r>
      <w:r w:rsidRPr="00395593">
        <w:rPr>
          <w:rFonts w:ascii="Garamond" w:hAnsi="Garamond"/>
          <w:spacing w:val="1"/>
          <w:sz w:val="24"/>
        </w:rPr>
        <w:t xml:space="preserve"> </w:t>
      </w:r>
      <w:r w:rsidRPr="00395593">
        <w:rPr>
          <w:rFonts w:ascii="Garamond" w:hAnsi="Garamond"/>
          <w:sz w:val="24"/>
        </w:rPr>
        <w:t>Artigo</w:t>
      </w:r>
      <w:r w:rsidRPr="00395593">
        <w:rPr>
          <w:rFonts w:ascii="Garamond" w:hAnsi="Garamond"/>
          <w:spacing w:val="-1"/>
          <w:sz w:val="24"/>
        </w:rPr>
        <w:t xml:space="preserve"> </w:t>
      </w:r>
      <w:r w:rsidRPr="00395593">
        <w:rPr>
          <w:rFonts w:ascii="Garamond" w:hAnsi="Garamond"/>
          <w:sz w:val="24"/>
        </w:rPr>
        <w:t>8.</w:t>
      </w:r>
    </w:p>
    <w:p w14:paraId="322F4012" w14:textId="77777777" w:rsidR="00D44A7A" w:rsidRPr="00395593" w:rsidRDefault="00D44A7A" w:rsidP="00D44A7A">
      <w:pPr>
        <w:pStyle w:val="Corpodetexto"/>
        <w:rPr>
          <w:rFonts w:ascii="Garamond" w:hAnsi="Garamond"/>
        </w:rPr>
      </w:pPr>
    </w:p>
    <w:p w14:paraId="59B9D03C" w14:textId="77777777" w:rsidR="00D44A7A" w:rsidRPr="00395593" w:rsidRDefault="00D44A7A" w:rsidP="002C4340">
      <w:pPr>
        <w:pStyle w:val="PargrafodaLista"/>
        <w:widowControl w:val="0"/>
        <w:numPr>
          <w:ilvl w:val="0"/>
          <w:numId w:val="67"/>
        </w:numPr>
        <w:tabs>
          <w:tab w:val="left" w:pos="930"/>
        </w:tabs>
        <w:autoSpaceDE w:val="0"/>
        <w:autoSpaceDN w:val="0"/>
        <w:spacing w:before="1" w:after="0" w:line="240" w:lineRule="auto"/>
        <w:ind w:right="160" w:firstLine="0"/>
        <w:contextualSpacing w:val="0"/>
        <w:jc w:val="both"/>
        <w:rPr>
          <w:rFonts w:ascii="Garamond" w:hAnsi="Garamond"/>
          <w:sz w:val="24"/>
        </w:rPr>
      </w:pP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Membros</w:t>
      </w:r>
      <w:r w:rsidRPr="00395593">
        <w:rPr>
          <w:rFonts w:ascii="Garamond" w:hAnsi="Garamond"/>
          <w:spacing w:val="1"/>
          <w:sz w:val="24"/>
        </w:rPr>
        <w:t xml:space="preserve"> </w:t>
      </w:r>
      <w:r w:rsidRPr="00395593">
        <w:rPr>
          <w:rFonts w:ascii="Garamond" w:hAnsi="Garamond"/>
          <w:sz w:val="24"/>
        </w:rPr>
        <w:t>notificarão</w:t>
      </w:r>
      <w:r w:rsidRPr="00395593">
        <w:rPr>
          <w:rFonts w:ascii="Garamond" w:hAnsi="Garamond"/>
          <w:spacing w:val="1"/>
          <w:sz w:val="24"/>
        </w:rPr>
        <w:t xml:space="preserve"> </w:t>
      </w:r>
      <w:r w:rsidRPr="00395593">
        <w:rPr>
          <w:rFonts w:ascii="Garamond" w:hAnsi="Garamond"/>
          <w:sz w:val="24"/>
        </w:rPr>
        <w:t>prontamente</w:t>
      </w:r>
      <w:r w:rsidRPr="00395593">
        <w:rPr>
          <w:rFonts w:ascii="Garamond" w:hAnsi="Garamond"/>
          <w:spacing w:val="1"/>
          <w:sz w:val="24"/>
        </w:rPr>
        <w:t xml:space="preserve"> </w:t>
      </w:r>
      <w:r w:rsidRPr="00395593">
        <w:rPr>
          <w:rFonts w:ascii="Garamond" w:hAnsi="Garamond"/>
          <w:sz w:val="24"/>
        </w:rPr>
        <w:t>ao</w:t>
      </w:r>
      <w:r w:rsidRPr="00395593">
        <w:rPr>
          <w:rFonts w:ascii="Garamond" w:hAnsi="Garamond"/>
          <w:spacing w:val="1"/>
          <w:sz w:val="24"/>
        </w:rPr>
        <w:t xml:space="preserve"> </w:t>
      </w:r>
      <w:r w:rsidRPr="00395593">
        <w:rPr>
          <w:rFonts w:ascii="Garamond" w:hAnsi="Garamond"/>
          <w:sz w:val="24"/>
        </w:rPr>
        <w:t>Comitê</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Salvaguardas</w:t>
      </w:r>
      <w:r w:rsidRPr="00395593">
        <w:rPr>
          <w:rFonts w:ascii="Garamond" w:hAnsi="Garamond"/>
          <w:spacing w:val="1"/>
          <w:sz w:val="24"/>
        </w:rPr>
        <w:t xml:space="preserve"> </w:t>
      </w:r>
      <w:r w:rsidRPr="00395593">
        <w:rPr>
          <w:rFonts w:ascii="Garamond" w:hAnsi="Garamond"/>
          <w:sz w:val="24"/>
        </w:rPr>
        <w:t>suas</w:t>
      </w:r>
      <w:r w:rsidRPr="00395593">
        <w:rPr>
          <w:rFonts w:ascii="Garamond" w:hAnsi="Garamond"/>
          <w:spacing w:val="1"/>
          <w:sz w:val="24"/>
        </w:rPr>
        <w:t xml:space="preserve"> </w:t>
      </w:r>
      <w:r w:rsidRPr="00395593">
        <w:rPr>
          <w:rFonts w:ascii="Garamond" w:hAnsi="Garamond"/>
          <w:sz w:val="24"/>
        </w:rPr>
        <w:t>leis,</w:t>
      </w:r>
      <w:r w:rsidRPr="00395593">
        <w:rPr>
          <w:rFonts w:ascii="Garamond" w:hAnsi="Garamond"/>
          <w:spacing w:val="1"/>
          <w:sz w:val="24"/>
        </w:rPr>
        <w:t xml:space="preserve"> </w:t>
      </w:r>
      <w:r w:rsidRPr="00395593">
        <w:rPr>
          <w:rFonts w:ascii="Garamond" w:hAnsi="Garamond"/>
          <w:sz w:val="24"/>
        </w:rPr>
        <w:t>regulamentos e procedimentos administrativos em matéria de medidas de salvaguarda, bem</w:t>
      </w:r>
      <w:r w:rsidRPr="00395593">
        <w:rPr>
          <w:rFonts w:ascii="Garamond" w:hAnsi="Garamond"/>
          <w:spacing w:val="1"/>
          <w:sz w:val="24"/>
        </w:rPr>
        <w:t xml:space="preserve"> </w:t>
      </w:r>
      <w:r w:rsidRPr="00395593">
        <w:rPr>
          <w:rFonts w:ascii="Garamond" w:hAnsi="Garamond"/>
          <w:sz w:val="24"/>
        </w:rPr>
        <w:t>como</w:t>
      </w:r>
      <w:r w:rsidRPr="00395593">
        <w:rPr>
          <w:rFonts w:ascii="Garamond" w:hAnsi="Garamond"/>
          <w:spacing w:val="-1"/>
          <w:sz w:val="24"/>
        </w:rPr>
        <w:t xml:space="preserve"> </w:t>
      </w:r>
      <w:r w:rsidRPr="00395593">
        <w:rPr>
          <w:rFonts w:ascii="Garamond" w:hAnsi="Garamond"/>
          <w:sz w:val="24"/>
        </w:rPr>
        <w:t>quaisquer modificações dos mesmos.</w:t>
      </w:r>
    </w:p>
    <w:p w14:paraId="48768040" w14:textId="77777777" w:rsidR="00D44A7A" w:rsidRPr="00395593" w:rsidRDefault="00D44A7A" w:rsidP="00D44A7A">
      <w:pPr>
        <w:pStyle w:val="Corpodetexto"/>
        <w:spacing w:before="11"/>
        <w:rPr>
          <w:rFonts w:ascii="Garamond" w:hAnsi="Garamond"/>
          <w:sz w:val="23"/>
        </w:rPr>
      </w:pPr>
    </w:p>
    <w:p w14:paraId="0522EF5F" w14:textId="77777777" w:rsidR="00D44A7A" w:rsidRPr="00395593" w:rsidRDefault="00D44A7A" w:rsidP="002C4340">
      <w:pPr>
        <w:pStyle w:val="PargrafodaLista"/>
        <w:widowControl w:val="0"/>
        <w:numPr>
          <w:ilvl w:val="0"/>
          <w:numId w:val="67"/>
        </w:numPr>
        <w:tabs>
          <w:tab w:val="left" w:pos="930"/>
        </w:tabs>
        <w:autoSpaceDE w:val="0"/>
        <w:autoSpaceDN w:val="0"/>
        <w:spacing w:after="0" w:line="240" w:lineRule="auto"/>
        <w:ind w:right="164" w:firstLine="0"/>
        <w:contextualSpacing w:val="0"/>
        <w:jc w:val="both"/>
        <w:rPr>
          <w:rFonts w:ascii="Garamond" w:hAnsi="Garamond"/>
          <w:sz w:val="24"/>
        </w:rPr>
      </w:pPr>
      <w:r w:rsidRPr="00395593">
        <w:rPr>
          <w:rFonts w:ascii="Garamond" w:hAnsi="Garamond"/>
          <w:sz w:val="24"/>
        </w:rPr>
        <w:t>Os Membros que na data de entrada em vigor do Acordo Constitutivo da OMC</w:t>
      </w:r>
      <w:r w:rsidRPr="00395593">
        <w:rPr>
          <w:rFonts w:ascii="Garamond" w:hAnsi="Garamond"/>
          <w:spacing w:val="1"/>
          <w:sz w:val="24"/>
        </w:rPr>
        <w:t xml:space="preserve"> </w:t>
      </w:r>
      <w:r w:rsidRPr="00395593">
        <w:rPr>
          <w:rFonts w:ascii="Garamond" w:hAnsi="Garamond"/>
          <w:sz w:val="24"/>
        </w:rPr>
        <w:t>mantiverem</w:t>
      </w:r>
      <w:r w:rsidRPr="00395593">
        <w:rPr>
          <w:rFonts w:ascii="Garamond" w:hAnsi="Garamond"/>
          <w:spacing w:val="23"/>
          <w:sz w:val="24"/>
        </w:rPr>
        <w:t xml:space="preserve"> </w:t>
      </w:r>
      <w:r w:rsidRPr="00395593">
        <w:rPr>
          <w:rFonts w:ascii="Garamond" w:hAnsi="Garamond"/>
          <w:sz w:val="24"/>
        </w:rPr>
        <w:t>medidas</w:t>
      </w:r>
      <w:r w:rsidRPr="00395593">
        <w:rPr>
          <w:rFonts w:ascii="Garamond" w:hAnsi="Garamond"/>
          <w:spacing w:val="23"/>
          <w:sz w:val="24"/>
        </w:rPr>
        <w:t xml:space="preserve"> </w:t>
      </w:r>
      <w:r w:rsidRPr="00395593">
        <w:rPr>
          <w:rFonts w:ascii="Garamond" w:hAnsi="Garamond"/>
          <w:sz w:val="24"/>
        </w:rPr>
        <w:t>previstas</w:t>
      </w:r>
      <w:r w:rsidRPr="00395593">
        <w:rPr>
          <w:rFonts w:ascii="Garamond" w:hAnsi="Garamond"/>
          <w:spacing w:val="23"/>
          <w:sz w:val="24"/>
        </w:rPr>
        <w:t xml:space="preserve"> </w:t>
      </w:r>
      <w:r w:rsidRPr="00395593">
        <w:rPr>
          <w:rFonts w:ascii="Garamond" w:hAnsi="Garamond"/>
          <w:sz w:val="24"/>
        </w:rPr>
        <w:t>no</w:t>
      </w:r>
      <w:r w:rsidRPr="00395593">
        <w:rPr>
          <w:rFonts w:ascii="Garamond" w:hAnsi="Garamond"/>
          <w:spacing w:val="22"/>
          <w:sz w:val="24"/>
        </w:rPr>
        <w:t xml:space="preserve"> </w:t>
      </w:r>
      <w:r w:rsidRPr="00395593">
        <w:rPr>
          <w:rFonts w:ascii="Garamond" w:hAnsi="Garamond"/>
          <w:sz w:val="24"/>
        </w:rPr>
        <w:t>Artigo</w:t>
      </w:r>
      <w:r w:rsidRPr="00395593">
        <w:rPr>
          <w:rFonts w:ascii="Garamond" w:hAnsi="Garamond"/>
          <w:spacing w:val="22"/>
          <w:sz w:val="24"/>
        </w:rPr>
        <w:t xml:space="preserve"> </w:t>
      </w:r>
      <w:r w:rsidRPr="00395593">
        <w:rPr>
          <w:rFonts w:ascii="Garamond" w:hAnsi="Garamond"/>
          <w:sz w:val="24"/>
        </w:rPr>
        <w:t>10</w:t>
      </w:r>
      <w:r w:rsidRPr="00395593">
        <w:rPr>
          <w:rFonts w:ascii="Garamond" w:hAnsi="Garamond"/>
          <w:spacing w:val="22"/>
          <w:sz w:val="24"/>
        </w:rPr>
        <w:t xml:space="preserve"> </w:t>
      </w:r>
      <w:r w:rsidRPr="00395593">
        <w:rPr>
          <w:rFonts w:ascii="Garamond" w:hAnsi="Garamond"/>
          <w:sz w:val="24"/>
        </w:rPr>
        <w:t>e</w:t>
      </w:r>
      <w:r w:rsidRPr="00395593">
        <w:rPr>
          <w:rFonts w:ascii="Garamond" w:hAnsi="Garamond"/>
          <w:spacing w:val="23"/>
          <w:sz w:val="24"/>
        </w:rPr>
        <w:t xml:space="preserve"> </w:t>
      </w:r>
      <w:r w:rsidRPr="00395593">
        <w:rPr>
          <w:rFonts w:ascii="Garamond" w:hAnsi="Garamond"/>
          <w:sz w:val="24"/>
        </w:rPr>
        <w:t>no</w:t>
      </w:r>
      <w:r w:rsidRPr="00395593">
        <w:rPr>
          <w:rFonts w:ascii="Garamond" w:hAnsi="Garamond"/>
          <w:spacing w:val="22"/>
          <w:sz w:val="24"/>
        </w:rPr>
        <w:t xml:space="preserve"> </w:t>
      </w:r>
      <w:r w:rsidRPr="00395593">
        <w:rPr>
          <w:rFonts w:ascii="Garamond" w:hAnsi="Garamond"/>
          <w:sz w:val="24"/>
        </w:rPr>
        <w:t>parágrafo</w:t>
      </w:r>
      <w:r w:rsidRPr="00395593">
        <w:rPr>
          <w:rFonts w:ascii="Garamond" w:hAnsi="Garamond"/>
          <w:spacing w:val="24"/>
          <w:sz w:val="24"/>
        </w:rPr>
        <w:t xml:space="preserve"> </w:t>
      </w:r>
      <w:r w:rsidRPr="00395593">
        <w:rPr>
          <w:rFonts w:ascii="Garamond" w:hAnsi="Garamond"/>
          <w:sz w:val="24"/>
        </w:rPr>
        <w:t>primeiro</w:t>
      </w:r>
      <w:r w:rsidRPr="00395593">
        <w:rPr>
          <w:rFonts w:ascii="Garamond" w:hAnsi="Garamond"/>
          <w:spacing w:val="24"/>
          <w:sz w:val="24"/>
        </w:rPr>
        <w:t xml:space="preserve"> </w:t>
      </w:r>
      <w:r w:rsidRPr="00395593">
        <w:rPr>
          <w:rFonts w:ascii="Garamond" w:hAnsi="Garamond"/>
          <w:sz w:val="24"/>
        </w:rPr>
        <w:t>do</w:t>
      </w:r>
      <w:r w:rsidRPr="00395593">
        <w:rPr>
          <w:rFonts w:ascii="Garamond" w:hAnsi="Garamond"/>
          <w:spacing w:val="22"/>
          <w:sz w:val="24"/>
        </w:rPr>
        <w:t xml:space="preserve"> </w:t>
      </w:r>
      <w:r w:rsidRPr="00395593">
        <w:rPr>
          <w:rFonts w:ascii="Garamond" w:hAnsi="Garamond"/>
          <w:sz w:val="24"/>
        </w:rPr>
        <w:t>Artigo</w:t>
      </w:r>
      <w:r w:rsidRPr="00395593">
        <w:rPr>
          <w:rFonts w:ascii="Garamond" w:hAnsi="Garamond"/>
          <w:spacing w:val="24"/>
          <w:sz w:val="24"/>
        </w:rPr>
        <w:t xml:space="preserve"> </w:t>
      </w:r>
      <w:r w:rsidRPr="00395593">
        <w:rPr>
          <w:rFonts w:ascii="Garamond" w:hAnsi="Garamond"/>
          <w:sz w:val="24"/>
        </w:rPr>
        <w:t>11</w:t>
      </w:r>
    </w:p>
    <w:p w14:paraId="2845B401" w14:textId="77777777" w:rsidR="00D44A7A" w:rsidRPr="00395593" w:rsidRDefault="00D44A7A" w:rsidP="00D44A7A">
      <w:pPr>
        <w:jc w:val="both"/>
        <w:rPr>
          <w:rFonts w:ascii="Garamond" w:hAnsi="Garamond"/>
          <w:sz w:val="24"/>
        </w:rPr>
        <w:sectPr w:rsidR="00D44A7A" w:rsidRPr="00395593" w:rsidSect="00E15FBB">
          <w:pgSz w:w="12240" w:h="15840"/>
          <w:pgMar w:top="1418" w:right="1540" w:bottom="280" w:left="1418" w:header="720" w:footer="720" w:gutter="0"/>
          <w:cols w:space="720"/>
        </w:sectPr>
      </w:pPr>
    </w:p>
    <w:p w14:paraId="15174F73" w14:textId="77777777" w:rsidR="00D44A7A" w:rsidRPr="00395593" w:rsidRDefault="00D44A7A" w:rsidP="00D44A7A">
      <w:pPr>
        <w:pStyle w:val="Corpodetexto"/>
        <w:spacing w:before="68"/>
        <w:ind w:left="222" w:right="153"/>
        <w:rPr>
          <w:rFonts w:ascii="Garamond" w:hAnsi="Garamond"/>
        </w:rPr>
      </w:pPr>
      <w:r w:rsidRPr="00395593">
        <w:rPr>
          <w:rFonts w:ascii="Garamond" w:hAnsi="Garamond"/>
        </w:rPr>
        <w:t>notificarão tais</w:t>
      </w:r>
      <w:r w:rsidRPr="00395593">
        <w:rPr>
          <w:rFonts w:ascii="Garamond" w:hAnsi="Garamond"/>
          <w:spacing w:val="1"/>
        </w:rPr>
        <w:t xml:space="preserve"> </w:t>
      </w:r>
      <w:r w:rsidRPr="00395593">
        <w:rPr>
          <w:rFonts w:ascii="Garamond" w:hAnsi="Garamond"/>
        </w:rPr>
        <w:t>medidas</w:t>
      </w:r>
      <w:r w:rsidRPr="00395593">
        <w:rPr>
          <w:rFonts w:ascii="Garamond" w:hAnsi="Garamond"/>
          <w:spacing w:val="1"/>
        </w:rPr>
        <w:t xml:space="preserve"> </w:t>
      </w:r>
      <w:r w:rsidRPr="00395593">
        <w:rPr>
          <w:rFonts w:ascii="Garamond" w:hAnsi="Garamond"/>
        </w:rPr>
        <w:t>ao</w:t>
      </w:r>
      <w:r w:rsidRPr="00395593">
        <w:rPr>
          <w:rFonts w:ascii="Garamond" w:hAnsi="Garamond"/>
          <w:spacing w:val="1"/>
        </w:rPr>
        <w:t xml:space="preserve"> </w:t>
      </w:r>
      <w:r w:rsidRPr="00395593">
        <w:rPr>
          <w:rFonts w:ascii="Garamond" w:hAnsi="Garamond"/>
        </w:rPr>
        <w:t>Comitê de Salvaguardas</w:t>
      </w:r>
      <w:r w:rsidRPr="00395593">
        <w:rPr>
          <w:rFonts w:ascii="Garamond" w:hAnsi="Garamond"/>
          <w:spacing w:val="1"/>
        </w:rPr>
        <w:t xml:space="preserve"> </w:t>
      </w:r>
      <w:r w:rsidRPr="00395593">
        <w:rPr>
          <w:rFonts w:ascii="Garamond" w:hAnsi="Garamond"/>
        </w:rPr>
        <w:t>o mais</w:t>
      </w:r>
      <w:r w:rsidRPr="00395593">
        <w:rPr>
          <w:rFonts w:ascii="Garamond" w:hAnsi="Garamond"/>
          <w:spacing w:val="1"/>
        </w:rPr>
        <w:t xml:space="preserve"> </w:t>
      </w:r>
      <w:r w:rsidRPr="00395593">
        <w:rPr>
          <w:rFonts w:ascii="Garamond" w:hAnsi="Garamond"/>
        </w:rPr>
        <w:t>tardar 60</w:t>
      </w:r>
      <w:r w:rsidRPr="00395593">
        <w:rPr>
          <w:rFonts w:ascii="Garamond" w:hAnsi="Garamond"/>
          <w:spacing w:val="1"/>
        </w:rPr>
        <w:t xml:space="preserve"> </w:t>
      </w:r>
      <w:r w:rsidRPr="00395593">
        <w:rPr>
          <w:rFonts w:ascii="Garamond" w:hAnsi="Garamond"/>
        </w:rPr>
        <w:t>dias após</w:t>
      </w:r>
      <w:r w:rsidRPr="00395593">
        <w:rPr>
          <w:rFonts w:ascii="Garamond" w:hAnsi="Garamond"/>
          <w:spacing w:val="1"/>
        </w:rPr>
        <w:t xml:space="preserve"> </w:t>
      </w:r>
      <w:r w:rsidRPr="00395593">
        <w:rPr>
          <w:rFonts w:ascii="Garamond" w:hAnsi="Garamond"/>
        </w:rPr>
        <w:t>a entrada em</w:t>
      </w:r>
      <w:r w:rsidRPr="00395593">
        <w:rPr>
          <w:rFonts w:ascii="Garamond" w:hAnsi="Garamond"/>
          <w:spacing w:val="-57"/>
        </w:rPr>
        <w:t xml:space="preserve"> </w:t>
      </w:r>
      <w:r w:rsidRPr="00395593">
        <w:rPr>
          <w:rFonts w:ascii="Garamond" w:hAnsi="Garamond"/>
        </w:rPr>
        <w:t>vigor</w:t>
      </w:r>
      <w:r w:rsidRPr="00395593">
        <w:rPr>
          <w:rFonts w:ascii="Garamond" w:hAnsi="Garamond"/>
          <w:spacing w:val="-1"/>
        </w:rPr>
        <w:t xml:space="preserve"> </w:t>
      </w:r>
      <w:r w:rsidRPr="00395593">
        <w:rPr>
          <w:rFonts w:ascii="Garamond" w:hAnsi="Garamond"/>
        </w:rPr>
        <w:t>do</w:t>
      </w:r>
      <w:r w:rsidRPr="00395593">
        <w:rPr>
          <w:rFonts w:ascii="Garamond" w:hAnsi="Garamond"/>
          <w:spacing w:val="-1"/>
        </w:rPr>
        <w:t xml:space="preserve"> </w:t>
      </w:r>
      <w:r w:rsidRPr="00395593">
        <w:rPr>
          <w:rFonts w:ascii="Garamond" w:hAnsi="Garamond"/>
        </w:rPr>
        <w:t>Acordo</w:t>
      </w:r>
      <w:r w:rsidRPr="00395593">
        <w:rPr>
          <w:rFonts w:ascii="Garamond" w:hAnsi="Garamond"/>
          <w:spacing w:val="-1"/>
        </w:rPr>
        <w:t xml:space="preserve"> </w:t>
      </w:r>
      <w:r w:rsidRPr="00395593">
        <w:rPr>
          <w:rFonts w:ascii="Garamond" w:hAnsi="Garamond"/>
        </w:rPr>
        <w:t>Constitutivo da</w:t>
      </w:r>
      <w:r w:rsidRPr="00395593">
        <w:rPr>
          <w:rFonts w:ascii="Garamond" w:hAnsi="Garamond"/>
          <w:spacing w:val="-1"/>
        </w:rPr>
        <w:t xml:space="preserve"> </w:t>
      </w:r>
      <w:r w:rsidRPr="00395593">
        <w:rPr>
          <w:rFonts w:ascii="Garamond" w:hAnsi="Garamond"/>
        </w:rPr>
        <w:t>OMC.</w:t>
      </w:r>
    </w:p>
    <w:p w14:paraId="3A4FB463" w14:textId="77777777" w:rsidR="00D44A7A" w:rsidRPr="00395593" w:rsidRDefault="00D44A7A" w:rsidP="00D44A7A">
      <w:pPr>
        <w:pStyle w:val="Corpodetexto"/>
        <w:rPr>
          <w:rFonts w:ascii="Garamond" w:hAnsi="Garamond"/>
        </w:rPr>
      </w:pPr>
    </w:p>
    <w:p w14:paraId="1EC809FE" w14:textId="77777777" w:rsidR="00D44A7A" w:rsidRPr="00395593" w:rsidRDefault="00D44A7A" w:rsidP="002C4340">
      <w:pPr>
        <w:pStyle w:val="PargrafodaLista"/>
        <w:widowControl w:val="0"/>
        <w:numPr>
          <w:ilvl w:val="0"/>
          <w:numId w:val="67"/>
        </w:numPr>
        <w:tabs>
          <w:tab w:val="left" w:pos="930"/>
        </w:tabs>
        <w:autoSpaceDE w:val="0"/>
        <w:autoSpaceDN w:val="0"/>
        <w:spacing w:after="0" w:line="240" w:lineRule="auto"/>
        <w:ind w:right="160" w:firstLine="0"/>
        <w:contextualSpacing w:val="0"/>
        <w:jc w:val="both"/>
        <w:rPr>
          <w:rFonts w:ascii="Garamond" w:hAnsi="Garamond"/>
          <w:sz w:val="24"/>
        </w:rPr>
      </w:pPr>
      <w:r w:rsidRPr="00395593">
        <w:rPr>
          <w:rFonts w:ascii="Garamond" w:hAnsi="Garamond"/>
          <w:sz w:val="24"/>
        </w:rPr>
        <w:t>Qualquer</w:t>
      </w:r>
      <w:r w:rsidRPr="00395593">
        <w:rPr>
          <w:rFonts w:ascii="Garamond" w:hAnsi="Garamond"/>
          <w:spacing w:val="1"/>
          <w:sz w:val="24"/>
        </w:rPr>
        <w:t xml:space="preserve"> </w:t>
      </w:r>
      <w:r w:rsidRPr="00395593">
        <w:rPr>
          <w:rFonts w:ascii="Garamond" w:hAnsi="Garamond"/>
          <w:sz w:val="24"/>
        </w:rPr>
        <w:t>Membro</w:t>
      </w:r>
      <w:r w:rsidRPr="00395593">
        <w:rPr>
          <w:rFonts w:ascii="Garamond" w:hAnsi="Garamond"/>
          <w:spacing w:val="1"/>
          <w:sz w:val="24"/>
        </w:rPr>
        <w:t xml:space="preserve"> </w:t>
      </w:r>
      <w:r w:rsidRPr="00395593">
        <w:rPr>
          <w:rFonts w:ascii="Garamond" w:hAnsi="Garamond"/>
          <w:sz w:val="24"/>
        </w:rPr>
        <w:t>poderá</w:t>
      </w:r>
      <w:r w:rsidRPr="00395593">
        <w:rPr>
          <w:rFonts w:ascii="Garamond" w:hAnsi="Garamond"/>
          <w:spacing w:val="1"/>
          <w:sz w:val="24"/>
        </w:rPr>
        <w:t xml:space="preserve"> </w:t>
      </w:r>
      <w:r w:rsidRPr="00395593">
        <w:rPr>
          <w:rFonts w:ascii="Garamond" w:hAnsi="Garamond"/>
          <w:sz w:val="24"/>
        </w:rPr>
        <w:t>notificar</w:t>
      </w:r>
      <w:r w:rsidRPr="00395593">
        <w:rPr>
          <w:rFonts w:ascii="Garamond" w:hAnsi="Garamond"/>
          <w:spacing w:val="1"/>
          <w:sz w:val="24"/>
        </w:rPr>
        <w:t xml:space="preserve"> </w:t>
      </w:r>
      <w:r w:rsidRPr="00395593">
        <w:rPr>
          <w:rFonts w:ascii="Garamond" w:hAnsi="Garamond"/>
          <w:sz w:val="24"/>
        </w:rPr>
        <w:t>ao</w:t>
      </w:r>
      <w:r w:rsidRPr="00395593">
        <w:rPr>
          <w:rFonts w:ascii="Garamond" w:hAnsi="Garamond"/>
          <w:spacing w:val="1"/>
          <w:sz w:val="24"/>
        </w:rPr>
        <w:t xml:space="preserve"> </w:t>
      </w:r>
      <w:r w:rsidRPr="00395593">
        <w:rPr>
          <w:rFonts w:ascii="Garamond" w:hAnsi="Garamond"/>
          <w:sz w:val="24"/>
        </w:rPr>
        <w:t>Comitê</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Salvaguardas</w:t>
      </w:r>
      <w:r w:rsidRPr="00395593">
        <w:rPr>
          <w:rFonts w:ascii="Garamond" w:hAnsi="Garamond"/>
          <w:spacing w:val="1"/>
          <w:sz w:val="24"/>
        </w:rPr>
        <w:t xml:space="preserve"> </w:t>
      </w:r>
      <w:r w:rsidRPr="00395593">
        <w:rPr>
          <w:rFonts w:ascii="Garamond" w:hAnsi="Garamond"/>
          <w:sz w:val="24"/>
        </w:rPr>
        <w:t>todas</w:t>
      </w:r>
      <w:r w:rsidRPr="00395593">
        <w:rPr>
          <w:rFonts w:ascii="Garamond" w:hAnsi="Garamond"/>
          <w:spacing w:val="1"/>
          <w:sz w:val="24"/>
        </w:rPr>
        <w:t xml:space="preserve"> </w:t>
      </w:r>
      <w:r w:rsidRPr="00395593">
        <w:rPr>
          <w:rFonts w:ascii="Garamond" w:hAnsi="Garamond"/>
          <w:sz w:val="24"/>
        </w:rPr>
        <w:t>as</w:t>
      </w:r>
      <w:r w:rsidRPr="00395593">
        <w:rPr>
          <w:rFonts w:ascii="Garamond" w:hAnsi="Garamond"/>
          <w:spacing w:val="1"/>
          <w:sz w:val="24"/>
        </w:rPr>
        <w:t xml:space="preserve"> </w:t>
      </w:r>
      <w:r w:rsidRPr="00395593">
        <w:rPr>
          <w:rFonts w:ascii="Garamond" w:hAnsi="Garamond"/>
          <w:sz w:val="24"/>
        </w:rPr>
        <w:t>leis,</w:t>
      </w:r>
      <w:r w:rsidRPr="00395593">
        <w:rPr>
          <w:rFonts w:ascii="Garamond" w:hAnsi="Garamond"/>
          <w:spacing w:val="1"/>
          <w:sz w:val="24"/>
        </w:rPr>
        <w:t xml:space="preserve"> </w:t>
      </w:r>
      <w:r w:rsidRPr="00395593">
        <w:rPr>
          <w:rFonts w:ascii="Garamond" w:hAnsi="Garamond"/>
          <w:sz w:val="24"/>
        </w:rPr>
        <w:t>regulamentos,</w:t>
      </w:r>
      <w:r w:rsidRPr="00395593">
        <w:rPr>
          <w:rFonts w:ascii="Garamond" w:hAnsi="Garamond"/>
          <w:spacing w:val="1"/>
          <w:sz w:val="24"/>
        </w:rPr>
        <w:t xml:space="preserve"> </w:t>
      </w:r>
      <w:r w:rsidRPr="00395593">
        <w:rPr>
          <w:rFonts w:ascii="Garamond" w:hAnsi="Garamond"/>
          <w:sz w:val="24"/>
        </w:rPr>
        <w:t>procedimentos</w:t>
      </w:r>
      <w:r w:rsidRPr="00395593">
        <w:rPr>
          <w:rFonts w:ascii="Garamond" w:hAnsi="Garamond"/>
          <w:spacing w:val="1"/>
          <w:sz w:val="24"/>
        </w:rPr>
        <w:t xml:space="preserve"> </w:t>
      </w:r>
      <w:r w:rsidRPr="00395593">
        <w:rPr>
          <w:rFonts w:ascii="Garamond" w:hAnsi="Garamond"/>
          <w:sz w:val="24"/>
        </w:rPr>
        <w:t>administrativos</w:t>
      </w:r>
      <w:r w:rsidRPr="00395593">
        <w:rPr>
          <w:rFonts w:ascii="Garamond" w:hAnsi="Garamond"/>
          <w:spacing w:val="1"/>
          <w:sz w:val="24"/>
        </w:rPr>
        <w:t xml:space="preserve"> </w:t>
      </w:r>
      <w:r w:rsidRPr="00395593">
        <w:rPr>
          <w:rFonts w:ascii="Garamond" w:hAnsi="Garamond"/>
          <w:sz w:val="24"/>
        </w:rPr>
        <w:t>e</w:t>
      </w:r>
      <w:r w:rsidRPr="00395593">
        <w:rPr>
          <w:rFonts w:ascii="Garamond" w:hAnsi="Garamond"/>
          <w:spacing w:val="1"/>
          <w:sz w:val="24"/>
        </w:rPr>
        <w:t xml:space="preserve"> </w:t>
      </w:r>
      <w:r w:rsidRPr="00395593">
        <w:rPr>
          <w:rFonts w:ascii="Garamond" w:hAnsi="Garamond"/>
          <w:sz w:val="24"/>
        </w:rPr>
        <w:t>quaisquer</w:t>
      </w:r>
      <w:r w:rsidRPr="00395593">
        <w:rPr>
          <w:rFonts w:ascii="Garamond" w:hAnsi="Garamond"/>
          <w:spacing w:val="1"/>
          <w:sz w:val="24"/>
        </w:rPr>
        <w:t xml:space="preserve"> </w:t>
      </w:r>
      <w:r w:rsidRPr="00395593">
        <w:rPr>
          <w:rFonts w:ascii="Garamond" w:hAnsi="Garamond"/>
          <w:sz w:val="24"/>
        </w:rPr>
        <w:t>medidas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ações</w:t>
      </w:r>
      <w:r w:rsidRPr="00395593">
        <w:rPr>
          <w:rFonts w:ascii="Garamond" w:hAnsi="Garamond"/>
          <w:spacing w:val="1"/>
          <w:sz w:val="24"/>
        </w:rPr>
        <w:t xml:space="preserve"> </w:t>
      </w:r>
      <w:r w:rsidRPr="00395593">
        <w:rPr>
          <w:rFonts w:ascii="Garamond" w:hAnsi="Garamond"/>
          <w:sz w:val="24"/>
        </w:rPr>
        <w:t>objeto</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presente Acordo que não tenham sido notificados por outros Membros que sejam obrigados</w:t>
      </w:r>
      <w:r w:rsidRPr="00395593">
        <w:rPr>
          <w:rFonts w:ascii="Garamond" w:hAnsi="Garamond"/>
          <w:spacing w:val="-57"/>
          <w:sz w:val="24"/>
        </w:rPr>
        <w:t xml:space="preserve"> </w:t>
      </w:r>
      <w:r w:rsidRPr="00395593">
        <w:rPr>
          <w:rFonts w:ascii="Garamond" w:hAnsi="Garamond"/>
          <w:sz w:val="24"/>
        </w:rPr>
        <w:t>pelo</w:t>
      </w:r>
      <w:r w:rsidRPr="00395593">
        <w:rPr>
          <w:rFonts w:ascii="Garamond" w:hAnsi="Garamond"/>
          <w:spacing w:val="-1"/>
          <w:sz w:val="24"/>
        </w:rPr>
        <w:t xml:space="preserve"> </w:t>
      </w:r>
      <w:r w:rsidRPr="00395593">
        <w:rPr>
          <w:rFonts w:ascii="Garamond" w:hAnsi="Garamond"/>
          <w:sz w:val="24"/>
        </w:rPr>
        <w:t>presente</w:t>
      </w:r>
      <w:r w:rsidRPr="00395593">
        <w:rPr>
          <w:rFonts w:ascii="Garamond" w:hAnsi="Garamond"/>
          <w:spacing w:val="1"/>
          <w:sz w:val="24"/>
        </w:rPr>
        <w:t xml:space="preserve"> </w:t>
      </w:r>
      <w:r w:rsidRPr="00395593">
        <w:rPr>
          <w:rFonts w:ascii="Garamond" w:hAnsi="Garamond"/>
          <w:sz w:val="24"/>
        </w:rPr>
        <w:t>Acordo</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fazê-lo.</w:t>
      </w:r>
    </w:p>
    <w:p w14:paraId="7B340872" w14:textId="77777777" w:rsidR="00D44A7A" w:rsidRPr="00395593" w:rsidRDefault="00D44A7A" w:rsidP="00D44A7A">
      <w:pPr>
        <w:pStyle w:val="Corpodetexto"/>
        <w:rPr>
          <w:rFonts w:ascii="Garamond" w:hAnsi="Garamond"/>
        </w:rPr>
      </w:pPr>
    </w:p>
    <w:p w14:paraId="1634FFF1" w14:textId="77777777" w:rsidR="00D44A7A" w:rsidRPr="00395593" w:rsidRDefault="00D44A7A" w:rsidP="002C4340">
      <w:pPr>
        <w:pStyle w:val="PargrafodaLista"/>
        <w:widowControl w:val="0"/>
        <w:numPr>
          <w:ilvl w:val="0"/>
          <w:numId w:val="67"/>
        </w:numPr>
        <w:tabs>
          <w:tab w:val="left" w:pos="930"/>
        </w:tabs>
        <w:autoSpaceDE w:val="0"/>
        <w:autoSpaceDN w:val="0"/>
        <w:spacing w:after="0" w:line="240" w:lineRule="auto"/>
        <w:ind w:right="161" w:firstLine="0"/>
        <w:contextualSpacing w:val="0"/>
        <w:jc w:val="both"/>
        <w:rPr>
          <w:rFonts w:ascii="Garamond" w:hAnsi="Garamond"/>
          <w:sz w:val="24"/>
        </w:rPr>
      </w:pPr>
      <w:r w:rsidRPr="00395593">
        <w:rPr>
          <w:rFonts w:ascii="Garamond" w:hAnsi="Garamond"/>
          <w:sz w:val="24"/>
        </w:rPr>
        <w:t>Qualquer Membro poderá notificar ao Comitê de Salvaguardas quaisquer medidas</w:t>
      </w:r>
      <w:r w:rsidRPr="00395593">
        <w:rPr>
          <w:rFonts w:ascii="Garamond" w:hAnsi="Garamond"/>
          <w:spacing w:val="1"/>
          <w:sz w:val="24"/>
        </w:rPr>
        <w:t xml:space="preserve"> </w:t>
      </w:r>
      <w:r w:rsidRPr="00395593">
        <w:rPr>
          <w:rFonts w:ascii="Garamond" w:hAnsi="Garamond"/>
          <w:sz w:val="24"/>
        </w:rPr>
        <w:t>não-governamentais</w:t>
      </w:r>
      <w:r w:rsidRPr="00395593">
        <w:rPr>
          <w:rFonts w:ascii="Garamond" w:hAnsi="Garamond"/>
          <w:spacing w:val="-1"/>
          <w:sz w:val="24"/>
        </w:rPr>
        <w:t xml:space="preserve"> </w:t>
      </w:r>
      <w:r w:rsidRPr="00395593">
        <w:rPr>
          <w:rFonts w:ascii="Garamond" w:hAnsi="Garamond"/>
          <w:sz w:val="24"/>
        </w:rPr>
        <w:t>a que</w:t>
      </w:r>
      <w:r w:rsidRPr="00395593">
        <w:rPr>
          <w:rFonts w:ascii="Garamond" w:hAnsi="Garamond"/>
          <w:spacing w:val="-1"/>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refere</w:t>
      </w:r>
      <w:r w:rsidRPr="00395593">
        <w:rPr>
          <w:rFonts w:ascii="Garamond" w:hAnsi="Garamond"/>
          <w:spacing w:val="-2"/>
          <w:sz w:val="24"/>
        </w:rPr>
        <w:t xml:space="preserve"> </w:t>
      </w:r>
      <w:r w:rsidRPr="00395593">
        <w:rPr>
          <w:rFonts w:ascii="Garamond" w:hAnsi="Garamond"/>
          <w:sz w:val="24"/>
        </w:rPr>
        <w:t>o parágrafo 3</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Artigo 11.</w:t>
      </w:r>
    </w:p>
    <w:p w14:paraId="0A4B8437" w14:textId="77777777" w:rsidR="00D44A7A" w:rsidRPr="00395593" w:rsidRDefault="00D44A7A" w:rsidP="00D44A7A">
      <w:pPr>
        <w:pStyle w:val="Corpodetexto"/>
        <w:rPr>
          <w:rFonts w:ascii="Garamond" w:hAnsi="Garamond"/>
        </w:rPr>
      </w:pPr>
    </w:p>
    <w:p w14:paraId="0E1BE649" w14:textId="77777777" w:rsidR="00D44A7A" w:rsidRPr="00395593" w:rsidRDefault="00D44A7A" w:rsidP="002C4340">
      <w:pPr>
        <w:pStyle w:val="PargrafodaLista"/>
        <w:widowControl w:val="0"/>
        <w:numPr>
          <w:ilvl w:val="0"/>
          <w:numId w:val="67"/>
        </w:numPr>
        <w:tabs>
          <w:tab w:val="left" w:pos="930"/>
        </w:tabs>
        <w:autoSpaceDE w:val="0"/>
        <w:autoSpaceDN w:val="0"/>
        <w:spacing w:after="0" w:line="240" w:lineRule="auto"/>
        <w:ind w:right="161" w:firstLine="0"/>
        <w:contextualSpacing w:val="0"/>
        <w:jc w:val="both"/>
        <w:rPr>
          <w:rFonts w:ascii="Garamond" w:hAnsi="Garamond"/>
          <w:sz w:val="24"/>
        </w:rPr>
      </w:pPr>
      <w:r w:rsidRPr="00395593">
        <w:rPr>
          <w:rFonts w:ascii="Garamond" w:hAnsi="Garamond"/>
          <w:sz w:val="24"/>
        </w:rPr>
        <w:t>Todas as notificações ao Conselho para o Comércio de Bens a que se refere o</w:t>
      </w:r>
      <w:r w:rsidRPr="00395593">
        <w:rPr>
          <w:rFonts w:ascii="Garamond" w:hAnsi="Garamond"/>
          <w:spacing w:val="1"/>
          <w:sz w:val="24"/>
        </w:rPr>
        <w:t xml:space="preserve"> </w:t>
      </w:r>
      <w:r w:rsidRPr="00395593">
        <w:rPr>
          <w:rFonts w:ascii="Garamond" w:hAnsi="Garamond"/>
          <w:sz w:val="24"/>
        </w:rPr>
        <w:t>presente</w:t>
      </w:r>
      <w:r w:rsidRPr="00395593">
        <w:rPr>
          <w:rFonts w:ascii="Garamond" w:hAnsi="Garamond"/>
          <w:spacing w:val="-1"/>
          <w:sz w:val="24"/>
        </w:rPr>
        <w:t xml:space="preserve"> </w:t>
      </w:r>
      <w:r w:rsidRPr="00395593">
        <w:rPr>
          <w:rFonts w:ascii="Garamond" w:hAnsi="Garamond"/>
          <w:sz w:val="24"/>
        </w:rPr>
        <w:t>Acordo</w:t>
      </w:r>
      <w:r w:rsidRPr="00395593">
        <w:rPr>
          <w:rFonts w:ascii="Garamond" w:hAnsi="Garamond"/>
          <w:spacing w:val="-2"/>
          <w:sz w:val="24"/>
        </w:rPr>
        <w:t xml:space="preserve"> </w:t>
      </w:r>
      <w:r w:rsidRPr="00395593">
        <w:rPr>
          <w:rFonts w:ascii="Garamond" w:hAnsi="Garamond"/>
          <w:sz w:val="24"/>
        </w:rPr>
        <w:t>se</w:t>
      </w:r>
      <w:r w:rsidRPr="00395593">
        <w:rPr>
          <w:rFonts w:ascii="Garamond" w:hAnsi="Garamond"/>
          <w:spacing w:val="1"/>
          <w:sz w:val="24"/>
        </w:rPr>
        <w:t xml:space="preserve"> </w:t>
      </w:r>
      <w:r w:rsidRPr="00395593">
        <w:rPr>
          <w:rFonts w:ascii="Garamond" w:hAnsi="Garamond"/>
          <w:sz w:val="24"/>
        </w:rPr>
        <w:t>farão</w:t>
      </w:r>
      <w:r w:rsidRPr="00395593">
        <w:rPr>
          <w:rFonts w:ascii="Garamond" w:hAnsi="Garamond"/>
          <w:spacing w:val="1"/>
          <w:sz w:val="24"/>
        </w:rPr>
        <w:t xml:space="preserve"> </w:t>
      </w:r>
      <w:r w:rsidRPr="00395593">
        <w:rPr>
          <w:rFonts w:ascii="Garamond" w:hAnsi="Garamond"/>
          <w:sz w:val="24"/>
        </w:rPr>
        <w:t>normalmente por</w:t>
      </w:r>
      <w:r w:rsidRPr="00395593">
        <w:rPr>
          <w:rFonts w:ascii="Garamond" w:hAnsi="Garamond"/>
          <w:spacing w:val="-3"/>
          <w:sz w:val="24"/>
        </w:rPr>
        <w:t xml:space="preserve"> </w:t>
      </w:r>
      <w:r w:rsidRPr="00395593">
        <w:rPr>
          <w:rFonts w:ascii="Garamond" w:hAnsi="Garamond"/>
          <w:sz w:val="24"/>
        </w:rPr>
        <w:t>intermédio do</w:t>
      </w:r>
      <w:r w:rsidRPr="00395593">
        <w:rPr>
          <w:rFonts w:ascii="Garamond" w:hAnsi="Garamond"/>
          <w:spacing w:val="-1"/>
          <w:sz w:val="24"/>
        </w:rPr>
        <w:t xml:space="preserve"> </w:t>
      </w:r>
      <w:r w:rsidRPr="00395593">
        <w:rPr>
          <w:rFonts w:ascii="Garamond" w:hAnsi="Garamond"/>
          <w:sz w:val="24"/>
        </w:rPr>
        <w:t>Comitê</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2"/>
          <w:sz w:val="24"/>
        </w:rPr>
        <w:t xml:space="preserve"> </w:t>
      </w:r>
      <w:r w:rsidRPr="00395593">
        <w:rPr>
          <w:rFonts w:ascii="Garamond" w:hAnsi="Garamond"/>
          <w:sz w:val="24"/>
        </w:rPr>
        <w:t>Salvaguardas.</w:t>
      </w:r>
    </w:p>
    <w:p w14:paraId="5F5E29C0" w14:textId="77777777" w:rsidR="00D44A7A" w:rsidRPr="00395593" w:rsidRDefault="00D44A7A" w:rsidP="00D44A7A">
      <w:pPr>
        <w:pStyle w:val="Corpodetexto"/>
        <w:spacing w:before="1"/>
        <w:rPr>
          <w:rFonts w:ascii="Garamond" w:hAnsi="Garamond"/>
        </w:rPr>
      </w:pPr>
    </w:p>
    <w:p w14:paraId="3A74A389" w14:textId="77777777" w:rsidR="00D44A7A" w:rsidRPr="00395593" w:rsidRDefault="00D44A7A" w:rsidP="002C4340">
      <w:pPr>
        <w:pStyle w:val="PargrafodaLista"/>
        <w:widowControl w:val="0"/>
        <w:numPr>
          <w:ilvl w:val="0"/>
          <w:numId w:val="67"/>
        </w:numPr>
        <w:tabs>
          <w:tab w:val="left" w:pos="930"/>
        </w:tabs>
        <w:autoSpaceDE w:val="0"/>
        <w:autoSpaceDN w:val="0"/>
        <w:spacing w:after="0" w:line="240" w:lineRule="auto"/>
        <w:ind w:right="161" w:firstLine="0"/>
        <w:contextualSpacing w:val="0"/>
        <w:jc w:val="both"/>
        <w:rPr>
          <w:rFonts w:ascii="Garamond" w:hAnsi="Garamond"/>
          <w:sz w:val="24"/>
        </w:rPr>
      </w:pPr>
      <w:r w:rsidRPr="00395593">
        <w:rPr>
          <w:rFonts w:ascii="Garamond" w:hAnsi="Garamond"/>
          <w:sz w:val="24"/>
        </w:rPr>
        <w:t>As disposições do presente Acordo relativas a notificação não obrigarão nenhum</w:t>
      </w:r>
      <w:r w:rsidRPr="00395593">
        <w:rPr>
          <w:rFonts w:ascii="Garamond" w:hAnsi="Garamond"/>
          <w:spacing w:val="1"/>
          <w:sz w:val="24"/>
        </w:rPr>
        <w:t xml:space="preserve"> </w:t>
      </w:r>
      <w:r w:rsidRPr="00395593">
        <w:rPr>
          <w:rFonts w:ascii="Garamond" w:hAnsi="Garamond"/>
          <w:sz w:val="24"/>
        </w:rPr>
        <w:t>Membro a revelar informações</w:t>
      </w:r>
      <w:r w:rsidRPr="00395593">
        <w:rPr>
          <w:rFonts w:ascii="Garamond" w:hAnsi="Garamond"/>
          <w:spacing w:val="60"/>
          <w:sz w:val="24"/>
        </w:rPr>
        <w:t xml:space="preserve"> </w:t>
      </w:r>
      <w:r w:rsidRPr="00395593">
        <w:rPr>
          <w:rFonts w:ascii="Garamond" w:hAnsi="Garamond"/>
          <w:sz w:val="24"/>
        </w:rPr>
        <w:t>confidenciais cuja divulgação possa constituir obstáculo</w:t>
      </w:r>
      <w:r w:rsidRPr="00395593">
        <w:rPr>
          <w:rFonts w:ascii="Garamond" w:hAnsi="Garamond"/>
          <w:spacing w:val="1"/>
          <w:sz w:val="24"/>
        </w:rPr>
        <w:t xml:space="preserve"> </w:t>
      </w:r>
      <w:r w:rsidRPr="00395593">
        <w:rPr>
          <w:rFonts w:ascii="Garamond" w:hAnsi="Garamond"/>
          <w:sz w:val="24"/>
        </w:rPr>
        <w:t>para o cumprimento das leis ou ser de outra forma contrária ao interesse público ou ainda</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2"/>
          <w:sz w:val="24"/>
        </w:rPr>
        <w:t xml:space="preserve"> </w:t>
      </w:r>
      <w:r w:rsidRPr="00395593">
        <w:rPr>
          <w:rFonts w:ascii="Garamond" w:hAnsi="Garamond"/>
          <w:sz w:val="24"/>
        </w:rPr>
        <w:t>possa</w:t>
      </w:r>
      <w:r w:rsidRPr="00395593">
        <w:rPr>
          <w:rFonts w:ascii="Garamond" w:hAnsi="Garamond"/>
          <w:spacing w:val="-1"/>
          <w:sz w:val="24"/>
        </w:rPr>
        <w:t xml:space="preserve"> </w:t>
      </w:r>
      <w:r w:rsidRPr="00395593">
        <w:rPr>
          <w:rFonts w:ascii="Garamond" w:hAnsi="Garamond"/>
          <w:sz w:val="24"/>
        </w:rPr>
        <w:t>prejudicar</w:t>
      </w:r>
      <w:r w:rsidRPr="00395593">
        <w:rPr>
          <w:rFonts w:ascii="Garamond" w:hAnsi="Garamond"/>
          <w:spacing w:val="-1"/>
          <w:sz w:val="24"/>
        </w:rPr>
        <w:t xml:space="preserve"> </w:t>
      </w:r>
      <w:r w:rsidRPr="00395593">
        <w:rPr>
          <w:rFonts w:ascii="Garamond" w:hAnsi="Garamond"/>
          <w:sz w:val="24"/>
        </w:rPr>
        <w:t>os</w:t>
      </w:r>
      <w:r w:rsidRPr="00395593">
        <w:rPr>
          <w:rFonts w:ascii="Garamond" w:hAnsi="Garamond"/>
          <w:spacing w:val="-1"/>
          <w:sz w:val="24"/>
        </w:rPr>
        <w:t xml:space="preserve"> </w:t>
      </w:r>
      <w:r w:rsidRPr="00395593">
        <w:rPr>
          <w:rFonts w:ascii="Garamond" w:hAnsi="Garamond"/>
          <w:sz w:val="24"/>
        </w:rPr>
        <w:t>interesses</w:t>
      </w:r>
      <w:r w:rsidRPr="00395593">
        <w:rPr>
          <w:rFonts w:ascii="Garamond" w:hAnsi="Garamond"/>
          <w:spacing w:val="-1"/>
          <w:sz w:val="24"/>
        </w:rPr>
        <w:t xml:space="preserve"> </w:t>
      </w:r>
      <w:r w:rsidRPr="00395593">
        <w:rPr>
          <w:rFonts w:ascii="Garamond" w:hAnsi="Garamond"/>
          <w:sz w:val="24"/>
        </w:rPr>
        <w:t>comerciais</w:t>
      </w:r>
      <w:r w:rsidRPr="00395593">
        <w:rPr>
          <w:rFonts w:ascii="Garamond" w:hAnsi="Garamond"/>
          <w:spacing w:val="-1"/>
          <w:sz w:val="24"/>
        </w:rPr>
        <w:t xml:space="preserve"> </w:t>
      </w:r>
      <w:r w:rsidRPr="00395593">
        <w:rPr>
          <w:rFonts w:ascii="Garamond" w:hAnsi="Garamond"/>
          <w:sz w:val="24"/>
        </w:rPr>
        <w:t>legítimos de</w:t>
      </w:r>
      <w:r w:rsidRPr="00395593">
        <w:rPr>
          <w:rFonts w:ascii="Garamond" w:hAnsi="Garamond"/>
          <w:spacing w:val="-2"/>
          <w:sz w:val="24"/>
        </w:rPr>
        <w:t xml:space="preserve"> </w:t>
      </w:r>
      <w:r w:rsidRPr="00395593">
        <w:rPr>
          <w:rFonts w:ascii="Garamond" w:hAnsi="Garamond"/>
          <w:sz w:val="24"/>
        </w:rPr>
        <w:t>empresas</w:t>
      </w:r>
      <w:r w:rsidRPr="00395593">
        <w:rPr>
          <w:rFonts w:ascii="Garamond" w:hAnsi="Garamond"/>
          <w:spacing w:val="-1"/>
          <w:sz w:val="24"/>
        </w:rPr>
        <w:t xml:space="preserve"> </w:t>
      </w:r>
      <w:r w:rsidRPr="00395593">
        <w:rPr>
          <w:rFonts w:ascii="Garamond" w:hAnsi="Garamond"/>
          <w:sz w:val="24"/>
        </w:rPr>
        <w:t>públicas</w:t>
      </w:r>
      <w:r w:rsidRPr="00395593">
        <w:rPr>
          <w:rFonts w:ascii="Garamond" w:hAnsi="Garamond"/>
          <w:spacing w:val="-1"/>
          <w:sz w:val="24"/>
        </w:rPr>
        <w:t xml:space="preserve"> </w:t>
      </w:r>
      <w:r w:rsidRPr="00395593">
        <w:rPr>
          <w:rFonts w:ascii="Garamond" w:hAnsi="Garamond"/>
          <w:sz w:val="24"/>
        </w:rPr>
        <w:t>ou</w:t>
      </w:r>
      <w:r w:rsidRPr="00395593">
        <w:rPr>
          <w:rFonts w:ascii="Garamond" w:hAnsi="Garamond"/>
          <w:spacing w:val="-1"/>
          <w:sz w:val="24"/>
        </w:rPr>
        <w:t xml:space="preserve"> </w:t>
      </w:r>
      <w:r w:rsidRPr="00395593">
        <w:rPr>
          <w:rFonts w:ascii="Garamond" w:hAnsi="Garamond"/>
          <w:sz w:val="24"/>
        </w:rPr>
        <w:t>privadas.</w:t>
      </w:r>
    </w:p>
    <w:p w14:paraId="27B2911E" w14:textId="77777777" w:rsidR="00D44A7A" w:rsidRPr="00395593" w:rsidRDefault="00D44A7A" w:rsidP="00D44A7A">
      <w:pPr>
        <w:pStyle w:val="Corpodetexto"/>
        <w:rPr>
          <w:rFonts w:ascii="Garamond" w:hAnsi="Garamond"/>
          <w:sz w:val="26"/>
        </w:rPr>
      </w:pPr>
    </w:p>
    <w:p w14:paraId="0875F748" w14:textId="77777777" w:rsidR="00D44A7A" w:rsidRPr="00395593" w:rsidRDefault="00D44A7A" w:rsidP="00D44A7A">
      <w:pPr>
        <w:pStyle w:val="Corpodetexto"/>
        <w:spacing w:before="230" w:line="360" w:lineRule="auto"/>
        <w:ind w:left="4139" w:right="4077" w:firstLine="40"/>
        <w:jc w:val="both"/>
        <w:rPr>
          <w:rFonts w:ascii="Garamond" w:hAnsi="Garamond"/>
          <w:b/>
        </w:rPr>
      </w:pPr>
      <w:r w:rsidRPr="00395593">
        <w:rPr>
          <w:rFonts w:ascii="Garamond" w:hAnsi="Garamond"/>
          <w:b/>
        </w:rPr>
        <w:t>Artigo 13</w:t>
      </w:r>
      <w:r w:rsidRPr="00395593">
        <w:rPr>
          <w:rFonts w:ascii="Garamond" w:hAnsi="Garamond"/>
          <w:b/>
          <w:spacing w:val="-57"/>
        </w:rPr>
        <w:t xml:space="preserve"> </w:t>
      </w:r>
      <w:r w:rsidRPr="00395593">
        <w:rPr>
          <w:rFonts w:ascii="Garamond" w:hAnsi="Garamond"/>
          <w:b/>
        </w:rPr>
        <w:t>Vigilância</w:t>
      </w:r>
    </w:p>
    <w:p w14:paraId="309C2E4B" w14:textId="77777777" w:rsidR="00D44A7A" w:rsidRPr="00395593" w:rsidRDefault="00D44A7A" w:rsidP="002C4340">
      <w:pPr>
        <w:pStyle w:val="PargrafodaLista"/>
        <w:widowControl w:val="0"/>
        <w:numPr>
          <w:ilvl w:val="0"/>
          <w:numId w:val="66"/>
        </w:numPr>
        <w:tabs>
          <w:tab w:val="left" w:pos="930"/>
        </w:tabs>
        <w:autoSpaceDE w:val="0"/>
        <w:autoSpaceDN w:val="0"/>
        <w:spacing w:after="0" w:line="240" w:lineRule="auto"/>
        <w:ind w:right="160" w:firstLine="0"/>
        <w:contextualSpacing w:val="0"/>
        <w:jc w:val="both"/>
        <w:rPr>
          <w:rFonts w:ascii="Garamond" w:hAnsi="Garamond"/>
          <w:sz w:val="24"/>
        </w:rPr>
      </w:pPr>
      <w:r w:rsidRPr="00395593">
        <w:rPr>
          <w:rFonts w:ascii="Garamond" w:hAnsi="Garamond"/>
          <w:sz w:val="24"/>
        </w:rPr>
        <w:t>Criar-se-á</w:t>
      </w:r>
      <w:r w:rsidRPr="00395593">
        <w:rPr>
          <w:rFonts w:ascii="Garamond" w:hAnsi="Garamond"/>
          <w:spacing w:val="1"/>
          <w:sz w:val="24"/>
        </w:rPr>
        <w:t xml:space="preserve"> </w:t>
      </w:r>
      <w:r w:rsidRPr="00395593">
        <w:rPr>
          <w:rFonts w:ascii="Garamond" w:hAnsi="Garamond"/>
          <w:sz w:val="24"/>
        </w:rPr>
        <w:t>um</w:t>
      </w:r>
      <w:r w:rsidRPr="00395593">
        <w:rPr>
          <w:rFonts w:ascii="Garamond" w:hAnsi="Garamond"/>
          <w:spacing w:val="1"/>
          <w:sz w:val="24"/>
        </w:rPr>
        <w:t xml:space="preserve"> </w:t>
      </w:r>
      <w:r w:rsidRPr="00395593">
        <w:rPr>
          <w:rFonts w:ascii="Garamond" w:hAnsi="Garamond"/>
          <w:sz w:val="24"/>
        </w:rPr>
        <w:t>Comitê</w:t>
      </w:r>
      <w:r w:rsidRPr="00395593">
        <w:rPr>
          <w:rFonts w:ascii="Garamond" w:hAnsi="Garamond"/>
          <w:spacing w:val="1"/>
          <w:sz w:val="24"/>
        </w:rPr>
        <w:t xml:space="preserve"> </w:t>
      </w:r>
      <w:r w:rsidRPr="00395593">
        <w:rPr>
          <w:rFonts w:ascii="Garamond" w:hAnsi="Garamond"/>
          <w:sz w:val="24"/>
        </w:rPr>
        <w:t>de</w:t>
      </w:r>
      <w:r w:rsidRPr="00395593">
        <w:rPr>
          <w:rFonts w:ascii="Garamond" w:hAnsi="Garamond"/>
          <w:spacing w:val="1"/>
          <w:sz w:val="24"/>
        </w:rPr>
        <w:t xml:space="preserve"> </w:t>
      </w:r>
      <w:r w:rsidRPr="00395593">
        <w:rPr>
          <w:rFonts w:ascii="Garamond" w:hAnsi="Garamond"/>
          <w:sz w:val="24"/>
        </w:rPr>
        <w:t>Salvaguardas</w:t>
      </w:r>
      <w:r w:rsidRPr="00395593">
        <w:rPr>
          <w:rFonts w:ascii="Garamond" w:hAnsi="Garamond"/>
          <w:spacing w:val="1"/>
          <w:sz w:val="24"/>
        </w:rPr>
        <w:t xml:space="preserve"> </w:t>
      </w:r>
      <w:r w:rsidRPr="00395593">
        <w:rPr>
          <w:rFonts w:ascii="Garamond" w:hAnsi="Garamond"/>
          <w:sz w:val="24"/>
        </w:rPr>
        <w:t>sob</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autoridade</w:t>
      </w:r>
      <w:r w:rsidRPr="00395593">
        <w:rPr>
          <w:rFonts w:ascii="Garamond" w:hAnsi="Garamond"/>
          <w:spacing w:val="1"/>
          <w:sz w:val="24"/>
        </w:rPr>
        <w:t xml:space="preserve"> </w:t>
      </w:r>
      <w:r w:rsidRPr="00395593">
        <w:rPr>
          <w:rFonts w:ascii="Garamond" w:hAnsi="Garamond"/>
          <w:sz w:val="24"/>
        </w:rPr>
        <w:t>do</w:t>
      </w:r>
      <w:r w:rsidRPr="00395593">
        <w:rPr>
          <w:rFonts w:ascii="Garamond" w:hAnsi="Garamond"/>
          <w:spacing w:val="1"/>
          <w:sz w:val="24"/>
        </w:rPr>
        <w:t xml:space="preserve"> </w:t>
      </w:r>
      <w:r w:rsidRPr="00395593">
        <w:rPr>
          <w:rFonts w:ascii="Garamond" w:hAnsi="Garamond"/>
          <w:sz w:val="24"/>
        </w:rPr>
        <w:t>Conselho</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1"/>
          <w:sz w:val="24"/>
        </w:rPr>
        <w:t xml:space="preserve"> </w:t>
      </w:r>
      <w:r w:rsidRPr="00395593">
        <w:rPr>
          <w:rFonts w:ascii="Garamond" w:hAnsi="Garamond"/>
          <w:sz w:val="24"/>
        </w:rPr>
        <w:t>o</w:t>
      </w:r>
      <w:r w:rsidRPr="00395593">
        <w:rPr>
          <w:rFonts w:ascii="Garamond" w:hAnsi="Garamond"/>
          <w:spacing w:val="1"/>
          <w:sz w:val="24"/>
        </w:rPr>
        <w:t xml:space="preserve"> </w:t>
      </w:r>
      <w:r w:rsidRPr="00395593">
        <w:rPr>
          <w:rFonts w:ascii="Garamond" w:hAnsi="Garamond"/>
          <w:sz w:val="24"/>
        </w:rPr>
        <w:t>Comércio</w:t>
      </w:r>
      <w:r w:rsidRPr="00395593">
        <w:rPr>
          <w:rFonts w:ascii="Garamond" w:hAnsi="Garamond"/>
          <w:spacing w:val="40"/>
          <w:sz w:val="24"/>
        </w:rPr>
        <w:t xml:space="preserve"> </w:t>
      </w:r>
      <w:r w:rsidRPr="00395593">
        <w:rPr>
          <w:rFonts w:ascii="Garamond" w:hAnsi="Garamond"/>
          <w:sz w:val="24"/>
        </w:rPr>
        <w:t>de</w:t>
      </w:r>
      <w:r w:rsidRPr="00395593">
        <w:rPr>
          <w:rFonts w:ascii="Garamond" w:hAnsi="Garamond"/>
          <w:spacing w:val="41"/>
          <w:sz w:val="24"/>
        </w:rPr>
        <w:t xml:space="preserve"> </w:t>
      </w:r>
      <w:r w:rsidRPr="00395593">
        <w:rPr>
          <w:rFonts w:ascii="Garamond" w:hAnsi="Garamond"/>
          <w:sz w:val="24"/>
        </w:rPr>
        <w:t>Bens</w:t>
      </w:r>
      <w:r w:rsidRPr="00395593">
        <w:rPr>
          <w:rFonts w:ascii="Garamond" w:hAnsi="Garamond"/>
          <w:spacing w:val="42"/>
          <w:sz w:val="24"/>
        </w:rPr>
        <w:t xml:space="preserve"> </w:t>
      </w:r>
      <w:r w:rsidRPr="00395593">
        <w:rPr>
          <w:rFonts w:ascii="Garamond" w:hAnsi="Garamond"/>
          <w:sz w:val="24"/>
        </w:rPr>
        <w:t>e</w:t>
      </w:r>
      <w:r w:rsidRPr="00395593">
        <w:rPr>
          <w:rFonts w:ascii="Garamond" w:hAnsi="Garamond"/>
          <w:spacing w:val="38"/>
          <w:sz w:val="24"/>
        </w:rPr>
        <w:t xml:space="preserve"> </w:t>
      </w:r>
      <w:r w:rsidRPr="00395593">
        <w:rPr>
          <w:rFonts w:ascii="Garamond" w:hAnsi="Garamond"/>
          <w:sz w:val="24"/>
        </w:rPr>
        <w:t>do</w:t>
      </w:r>
      <w:r w:rsidRPr="00395593">
        <w:rPr>
          <w:rFonts w:ascii="Garamond" w:hAnsi="Garamond"/>
          <w:spacing w:val="41"/>
          <w:sz w:val="24"/>
        </w:rPr>
        <w:t xml:space="preserve"> </w:t>
      </w:r>
      <w:r w:rsidRPr="00395593">
        <w:rPr>
          <w:rFonts w:ascii="Garamond" w:hAnsi="Garamond"/>
          <w:sz w:val="24"/>
        </w:rPr>
        <w:t>qual</w:t>
      </w:r>
      <w:r w:rsidRPr="00395593">
        <w:rPr>
          <w:rFonts w:ascii="Garamond" w:hAnsi="Garamond"/>
          <w:spacing w:val="41"/>
          <w:sz w:val="24"/>
        </w:rPr>
        <w:t xml:space="preserve"> </w:t>
      </w:r>
      <w:r w:rsidRPr="00395593">
        <w:rPr>
          <w:rFonts w:ascii="Garamond" w:hAnsi="Garamond"/>
          <w:sz w:val="24"/>
        </w:rPr>
        <w:t>poderão</w:t>
      </w:r>
      <w:r w:rsidRPr="00395593">
        <w:rPr>
          <w:rFonts w:ascii="Garamond" w:hAnsi="Garamond"/>
          <w:spacing w:val="39"/>
          <w:sz w:val="24"/>
        </w:rPr>
        <w:t xml:space="preserve"> </w:t>
      </w:r>
      <w:r w:rsidRPr="00395593">
        <w:rPr>
          <w:rFonts w:ascii="Garamond" w:hAnsi="Garamond"/>
          <w:sz w:val="24"/>
        </w:rPr>
        <w:t>participar</w:t>
      </w:r>
      <w:r w:rsidRPr="00395593">
        <w:rPr>
          <w:rFonts w:ascii="Garamond" w:hAnsi="Garamond"/>
          <w:spacing w:val="41"/>
          <w:sz w:val="24"/>
        </w:rPr>
        <w:t xml:space="preserve"> </w:t>
      </w:r>
      <w:r w:rsidRPr="00395593">
        <w:rPr>
          <w:rFonts w:ascii="Garamond" w:hAnsi="Garamond"/>
          <w:sz w:val="24"/>
        </w:rPr>
        <w:t>todos</w:t>
      </w:r>
      <w:r w:rsidRPr="00395593">
        <w:rPr>
          <w:rFonts w:ascii="Garamond" w:hAnsi="Garamond"/>
          <w:spacing w:val="40"/>
          <w:sz w:val="24"/>
        </w:rPr>
        <w:t xml:space="preserve"> </w:t>
      </w:r>
      <w:r w:rsidRPr="00395593">
        <w:rPr>
          <w:rFonts w:ascii="Garamond" w:hAnsi="Garamond"/>
          <w:sz w:val="24"/>
        </w:rPr>
        <w:t>os</w:t>
      </w:r>
      <w:r w:rsidRPr="00395593">
        <w:rPr>
          <w:rFonts w:ascii="Garamond" w:hAnsi="Garamond"/>
          <w:spacing w:val="39"/>
          <w:sz w:val="24"/>
        </w:rPr>
        <w:t xml:space="preserve"> </w:t>
      </w:r>
      <w:r w:rsidRPr="00395593">
        <w:rPr>
          <w:rFonts w:ascii="Garamond" w:hAnsi="Garamond"/>
          <w:sz w:val="24"/>
        </w:rPr>
        <w:t>Membros</w:t>
      </w:r>
      <w:r w:rsidRPr="00395593">
        <w:rPr>
          <w:rFonts w:ascii="Garamond" w:hAnsi="Garamond"/>
          <w:spacing w:val="40"/>
          <w:sz w:val="24"/>
        </w:rPr>
        <w:t xml:space="preserve"> </w:t>
      </w:r>
      <w:r w:rsidRPr="00395593">
        <w:rPr>
          <w:rFonts w:ascii="Garamond" w:hAnsi="Garamond"/>
          <w:sz w:val="24"/>
        </w:rPr>
        <w:t>que</w:t>
      </w:r>
      <w:r w:rsidRPr="00395593">
        <w:rPr>
          <w:rFonts w:ascii="Garamond" w:hAnsi="Garamond"/>
          <w:spacing w:val="40"/>
          <w:sz w:val="24"/>
        </w:rPr>
        <w:t xml:space="preserve"> </w:t>
      </w:r>
      <w:r w:rsidRPr="00395593">
        <w:rPr>
          <w:rFonts w:ascii="Garamond" w:hAnsi="Garamond"/>
          <w:sz w:val="24"/>
        </w:rPr>
        <w:t>me</w:t>
      </w:r>
      <w:r w:rsidRPr="00395593">
        <w:rPr>
          <w:rFonts w:ascii="Garamond" w:hAnsi="Garamond"/>
          <w:spacing w:val="39"/>
          <w:sz w:val="24"/>
        </w:rPr>
        <w:t xml:space="preserve"> </w:t>
      </w:r>
      <w:r w:rsidRPr="00395593">
        <w:rPr>
          <w:rFonts w:ascii="Garamond" w:hAnsi="Garamond"/>
          <w:sz w:val="24"/>
        </w:rPr>
        <w:t>manifestem</w:t>
      </w:r>
      <w:r w:rsidRPr="00395593">
        <w:rPr>
          <w:rFonts w:ascii="Garamond" w:hAnsi="Garamond"/>
          <w:spacing w:val="-57"/>
          <w:sz w:val="24"/>
        </w:rPr>
        <w:t xml:space="preserve"> </w:t>
      </w:r>
      <w:r w:rsidRPr="00395593">
        <w:rPr>
          <w:rFonts w:ascii="Garamond" w:hAnsi="Garamond"/>
          <w:sz w:val="24"/>
        </w:rPr>
        <w:t>nesse</w:t>
      </w:r>
      <w:r w:rsidRPr="00395593">
        <w:rPr>
          <w:rFonts w:ascii="Garamond" w:hAnsi="Garamond"/>
          <w:spacing w:val="-1"/>
          <w:sz w:val="24"/>
        </w:rPr>
        <w:t xml:space="preserve"> </w:t>
      </w:r>
      <w:r w:rsidRPr="00395593">
        <w:rPr>
          <w:rFonts w:ascii="Garamond" w:hAnsi="Garamond"/>
          <w:sz w:val="24"/>
        </w:rPr>
        <w:t>sentido. O Comitê terá</w:t>
      </w:r>
      <w:r w:rsidRPr="00395593">
        <w:rPr>
          <w:rFonts w:ascii="Garamond" w:hAnsi="Garamond"/>
          <w:spacing w:val="-2"/>
          <w:sz w:val="24"/>
        </w:rPr>
        <w:t xml:space="preserve"> </w:t>
      </w:r>
      <w:r w:rsidRPr="00395593">
        <w:rPr>
          <w:rFonts w:ascii="Garamond" w:hAnsi="Garamond"/>
          <w:sz w:val="24"/>
        </w:rPr>
        <w:t>as seguintes</w:t>
      </w:r>
      <w:r w:rsidRPr="00395593">
        <w:rPr>
          <w:rFonts w:ascii="Garamond" w:hAnsi="Garamond"/>
          <w:spacing w:val="1"/>
          <w:sz w:val="24"/>
        </w:rPr>
        <w:t xml:space="preserve"> </w:t>
      </w:r>
      <w:r w:rsidRPr="00395593">
        <w:rPr>
          <w:rFonts w:ascii="Garamond" w:hAnsi="Garamond"/>
          <w:sz w:val="24"/>
        </w:rPr>
        <w:t>funções:</w:t>
      </w:r>
    </w:p>
    <w:p w14:paraId="72A8C25E" w14:textId="77777777" w:rsidR="00D44A7A" w:rsidRPr="00395593" w:rsidRDefault="00D44A7A" w:rsidP="00D44A7A">
      <w:pPr>
        <w:pStyle w:val="Corpodetexto"/>
        <w:spacing w:before="1"/>
        <w:rPr>
          <w:rFonts w:ascii="Garamond" w:hAnsi="Garamond"/>
        </w:rPr>
      </w:pPr>
    </w:p>
    <w:p w14:paraId="4F358928" w14:textId="77777777" w:rsidR="00D44A7A" w:rsidRPr="00395593" w:rsidRDefault="00D44A7A" w:rsidP="002C4340">
      <w:pPr>
        <w:pStyle w:val="PargrafodaLista"/>
        <w:widowControl w:val="0"/>
        <w:numPr>
          <w:ilvl w:val="0"/>
          <w:numId w:val="65"/>
        </w:numPr>
        <w:tabs>
          <w:tab w:val="left" w:pos="494"/>
        </w:tabs>
        <w:autoSpaceDE w:val="0"/>
        <w:autoSpaceDN w:val="0"/>
        <w:spacing w:after="0" w:line="240" w:lineRule="auto"/>
        <w:ind w:right="157" w:firstLine="0"/>
        <w:contextualSpacing w:val="0"/>
        <w:jc w:val="both"/>
        <w:rPr>
          <w:rFonts w:ascii="Garamond" w:hAnsi="Garamond"/>
          <w:sz w:val="24"/>
        </w:rPr>
      </w:pPr>
      <w:r w:rsidRPr="00395593">
        <w:rPr>
          <w:rFonts w:ascii="Garamond" w:hAnsi="Garamond"/>
          <w:sz w:val="24"/>
        </w:rPr>
        <w:t>acompanhar a aplicação geral do presente Acordo, apresentar anualmente ao Conselho</w:t>
      </w:r>
      <w:r w:rsidRPr="00395593">
        <w:rPr>
          <w:rFonts w:ascii="Garamond" w:hAnsi="Garamond"/>
          <w:spacing w:val="1"/>
          <w:sz w:val="24"/>
        </w:rPr>
        <w:t xml:space="preserve"> </w:t>
      </w:r>
      <w:r w:rsidRPr="00395593">
        <w:rPr>
          <w:rFonts w:ascii="Garamond" w:hAnsi="Garamond"/>
          <w:sz w:val="24"/>
        </w:rPr>
        <w:t>para o Comércio de Bens um relatório sobre essa aplicação e fazer recomendações para seu</w:t>
      </w:r>
      <w:r w:rsidRPr="00395593">
        <w:rPr>
          <w:rFonts w:ascii="Garamond" w:hAnsi="Garamond"/>
          <w:spacing w:val="1"/>
          <w:sz w:val="24"/>
        </w:rPr>
        <w:t xml:space="preserve"> </w:t>
      </w:r>
      <w:r w:rsidRPr="00395593">
        <w:rPr>
          <w:rFonts w:ascii="Garamond" w:hAnsi="Garamond"/>
          <w:sz w:val="24"/>
        </w:rPr>
        <w:t>aperfeiçoamento;</w:t>
      </w:r>
    </w:p>
    <w:p w14:paraId="53DBAADB" w14:textId="77777777" w:rsidR="00D44A7A" w:rsidRPr="00395593" w:rsidRDefault="00D44A7A" w:rsidP="00D44A7A">
      <w:pPr>
        <w:pStyle w:val="Corpodetexto"/>
        <w:rPr>
          <w:rFonts w:ascii="Garamond" w:hAnsi="Garamond"/>
        </w:rPr>
      </w:pPr>
    </w:p>
    <w:p w14:paraId="2D367FE8" w14:textId="77777777" w:rsidR="00D44A7A" w:rsidRPr="00395593" w:rsidRDefault="00D44A7A" w:rsidP="002C4340">
      <w:pPr>
        <w:pStyle w:val="PargrafodaLista"/>
        <w:widowControl w:val="0"/>
        <w:numPr>
          <w:ilvl w:val="0"/>
          <w:numId w:val="65"/>
        </w:numPr>
        <w:tabs>
          <w:tab w:val="left" w:pos="498"/>
        </w:tabs>
        <w:autoSpaceDE w:val="0"/>
        <w:autoSpaceDN w:val="0"/>
        <w:spacing w:after="0" w:line="240" w:lineRule="auto"/>
        <w:ind w:right="161" w:firstLine="0"/>
        <w:contextualSpacing w:val="0"/>
        <w:jc w:val="both"/>
        <w:rPr>
          <w:rFonts w:ascii="Garamond" w:hAnsi="Garamond"/>
          <w:sz w:val="24"/>
        </w:rPr>
      </w:pPr>
      <w:r w:rsidRPr="00395593">
        <w:rPr>
          <w:rFonts w:ascii="Garamond" w:hAnsi="Garamond"/>
          <w:sz w:val="24"/>
        </w:rPr>
        <w:t>averiguar, por solicitação de um Membro afetado, se foram cumpridas as exigências de</w:t>
      </w:r>
      <w:r w:rsidRPr="00395593">
        <w:rPr>
          <w:rFonts w:ascii="Garamond" w:hAnsi="Garamond"/>
          <w:spacing w:val="1"/>
          <w:sz w:val="24"/>
        </w:rPr>
        <w:t xml:space="preserve"> </w:t>
      </w:r>
      <w:r w:rsidRPr="00395593">
        <w:rPr>
          <w:rFonts w:ascii="Garamond" w:hAnsi="Garamond"/>
          <w:sz w:val="24"/>
        </w:rPr>
        <w:t>procedimento do presente Acordo com relação a uma medida de salvaguarda e comunicar</w:t>
      </w:r>
      <w:r w:rsidRPr="00395593">
        <w:rPr>
          <w:rFonts w:ascii="Garamond" w:hAnsi="Garamond"/>
          <w:spacing w:val="1"/>
          <w:sz w:val="24"/>
        </w:rPr>
        <w:t xml:space="preserve"> </w:t>
      </w:r>
      <w:r w:rsidRPr="00395593">
        <w:rPr>
          <w:rFonts w:ascii="Garamond" w:hAnsi="Garamond"/>
          <w:sz w:val="24"/>
        </w:rPr>
        <w:t>suas</w:t>
      </w:r>
      <w:r w:rsidRPr="00395593">
        <w:rPr>
          <w:rFonts w:ascii="Garamond" w:hAnsi="Garamond"/>
          <w:spacing w:val="-1"/>
          <w:sz w:val="24"/>
        </w:rPr>
        <w:t xml:space="preserve"> </w:t>
      </w:r>
      <w:r w:rsidRPr="00395593">
        <w:rPr>
          <w:rFonts w:ascii="Garamond" w:hAnsi="Garamond"/>
          <w:sz w:val="24"/>
        </w:rPr>
        <w:t>conclusões ao Conselho para</w:t>
      </w:r>
      <w:r w:rsidRPr="00395593">
        <w:rPr>
          <w:rFonts w:ascii="Garamond" w:hAnsi="Garamond"/>
          <w:spacing w:val="-1"/>
          <w:sz w:val="24"/>
        </w:rPr>
        <w:t xml:space="preserve"> </w:t>
      </w:r>
      <w:r w:rsidRPr="00395593">
        <w:rPr>
          <w:rFonts w:ascii="Garamond" w:hAnsi="Garamond"/>
          <w:sz w:val="24"/>
        </w:rPr>
        <w:t>o Comércio de Bens;</w:t>
      </w:r>
    </w:p>
    <w:p w14:paraId="1ED5B3C9" w14:textId="77777777" w:rsidR="00D44A7A" w:rsidRPr="00395593" w:rsidRDefault="00D44A7A" w:rsidP="00D44A7A">
      <w:pPr>
        <w:pStyle w:val="Corpodetexto"/>
        <w:rPr>
          <w:rFonts w:ascii="Garamond" w:hAnsi="Garamond"/>
        </w:rPr>
      </w:pPr>
    </w:p>
    <w:p w14:paraId="075EEAF5" w14:textId="77777777" w:rsidR="00D44A7A" w:rsidRPr="00395593" w:rsidRDefault="00D44A7A" w:rsidP="002C4340">
      <w:pPr>
        <w:pStyle w:val="PargrafodaLista"/>
        <w:widowControl w:val="0"/>
        <w:numPr>
          <w:ilvl w:val="0"/>
          <w:numId w:val="65"/>
        </w:numPr>
        <w:tabs>
          <w:tab w:val="left" w:pos="582"/>
        </w:tabs>
        <w:autoSpaceDE w:val="0"/>
        <w:autoSpaceDN w:val="0"/>
        <w:spacing w:after="0" w:line="240" w:lineRule="auto"/>
        <w:ind w:right="165" w:firstLine="0"/>
        <w:contextualSpacing w:val="0"/>
        <w:jc w:val="both"/>
        <w:rPr>
          <w:rFonts w:ascii="Garamond" w:hAnsi="Garamond"/>
          <w:sz w:val="24"/>
        </w:rPr>
      </w:pPr>
      <w:r w:rsidRPr="00395593">
        <w:rPr>
          <w:rFonts w:ascii="Garamond" w:hAnsi="Garamond"/>
          <w:sz w:val="24"/>
        </w:rPr>
        <w:t>prestar</w:t>
      </w:r>
      <w:r w:rsidRPr="00395593">
        <w:rPr>
          <w:rFonts w:ascii="Garamond" w:hAnsi="Garamond"/>
          <w:spacing w:val="1"/>
          <w:sz w:val="24"/>
        </w:rPr>
        <w:t xml:space="preserve"> </w:t>
      </w:r>
      <w:r w:rsidRPr="00395593">
        <w:rPr>
          <w:rFonts w:ascii="Garamond" w:hAnsi="Garamond"/>
          <w:sz w:val="24"/>
        </w:rPr>
        <w:t>assistência</w:t>
      </w:r>
      <w:r w:rsidRPr="00395593">
        <w:rPr>
          <w:rFonts w:ascii="Garamond" w:hAnsi="Garamond"/>
          <w:spacing w:val="1"/>
          <w:sz w:val="24"/>
        </w:rPr>
        <w:t xml:space="preserve"> </w:t>
      </w:r>
      <w:r w:rsidRPr="00395593">
        <w:rPr>
          <w:rFonts w:ascii="Garamond" w:hAnsi="Garamond"/>
          <w:sz w:val="24"/>
        </w:rPr>
        <w:t>aos</w:t>
      </w:r>
      <w:r w:rsidRPr="00395593">
        <w:rPr>
          <w:rFonts w:ascii="Garamond" w:hAnsi="Garamond"/>
          <w:spacing w:val="1"/>
          <w:sz w:val="24"/>
        </w:rPr>
        <w:t xml:space="preserve"> </w:t>
      </w:r>
      <w:r w:rsidRPr="00395593">
        <w:rPr>
          <w:rFonts w:ascii="Garamond" w:hAnsi="Garamond"/>
          <w:sz w:val="24"/>
        </w:rPr>
        <w:t>Membros</w:t>
      </w:r>
      <w:r w:rsidRPr="00395593">
        <w:rPr>
          <w:rFonts w:ascii="Garamond" w:hAnsi="Garamond"/>
          <w:spacing w:val="1"/>
          <w:sz w:val="24"/>
        </w:rPr>
        <w:t xml:space="preserve"> </w:t>
      </w:r>
      <w:r w:rsidRPr="00395593">
        <w:rPr>
          <w:rFonts w:ascii="Garamond" w:hAnsi="Garamond"/>
          <w:sz w:val="24"/>
        </w:rPr>
        <w:t>que</w:t>
      </w:r>
      <w:r w:rsidRPr="00395593">
        <w:rPr>
          <w:rFonts w:ascii="Garamond" w:hAnsi="Garamond"/>
          <w:spacing w:val="1"/>
          <w:sz w:val="24"/>
        </w:rPr>
        <w:t xml:space="preserve"> </w:t>
      </w:r>
      <w:r w:rsidRPr="00395593">
        <w:rPr>
          <w:rFonts w:ascii="Garamond" w:hAnsi="Garamond"/>
          <w:sz w:val="24"/>
        </w:rPr>
        <w:t>a</w:t>
      </w:r>
      <w:r w:rsidRPr="00395593">
        <w:rPr>
          <w:rFonts w:ascii="Garamond" w:hAnsi="Garamond"/>
          <w:spacing w:val="1"/>
          <w:sz w:val="24"/>
        </w:rPr>
        <w:t xml:space="preserve"> </w:t>
      </w:r>
      <w:r w:rsidRPr="00395593">
        <w:rPr>
          <w:rFonts w:ascii="Garamond" w:hAnsi="Garamond"/>
          <w:sz w:val="24"/>
        </w:rPr>
        <w:t>solicitem</w:t>
      </w:r>
      <w:r w:rsidRPr="00395593">
        <w:rPr>
          <w:rFonts w:ascii="Garamond" w:hAnsi="Garamond"/>
          <w:spacing w:val="1"/>
          <w:sz w:val="24"/>
        </w:rPr>
        <w:t xml:space="preserve"> </w:t>
      </w:r>
      <w:r w:rsidRPr="00395593">
        <w:rPr>
          <w:rFonts w:ascii="Garamond" w:hAnsi="Garamond"/>
          <w:sz w:val="24"/>
        </w:rPr>
        <w:t>nas</w:t>
      </w:r>
      <w:r w:rsidRPr="00395593">
        <w:rPr>
          <w:rFonts w:ascii="Garamond" w:hAnsi="Garamond"/>
          <w:spacing w:val="1"/>
          <w:sz w:val="24"/>
        </w:rPr>
        <w:t xml:space="preserve"> </w:t>
      </w:r>
      <w:r w:rsidRPr="00395593">
        <w:rPr>
          <w:rFonts w:ascii="Garamond" w:hAnsi="Garamond"/>
          <w:sz w:val="24"/>
        </w:rPr>
        <w:t>consultas</w:t>
      </w:r>
      <w:r w:rsidRPr="00395593">
        <w:rPr>
          <w:rFonts w:ascii="Garamond" w:hAnsi="Garamond"/>
          <w:spacing w:val="1"/>
          <w:sz w:val="24"/>
        </w:rPr>
        <w:t xml:space="preserve"> </w:t>
      </w:r>
      <w:r w:rsidRPr="00395593">
        <w:rPr>
          <w:rFonts w:ascii="Garamond" w:hAnsi="Garamond"/>
          <w:sz w:val="24"/>
        </w:rPr>
        <w:t>realizadas</w:t>
      </w:r>
      <w:r w:rsidRPr="00395593">
        <w:rPr>
          <w:rFonts w:ascii="Garamond" w:hAnsi="Garamond"/>
          <w:spacing w:val="1"/>
          <w:sz w:val="24"/>
        </w:rPr>
        <w:t xml:space="preserve"> </w:t>
      </w:r>
      <w:r w:rsidRPr="00395593">
        <w:rPr>
          <w:rFonts w:ascii="Garamond" w:hAnsi="Garamond"/>
          <w:sz w:val="24"/>
        </w:rPr>
        <w:t>em</w:t>
      </w:r>
      <w:r w:rsidRPr="00395593">
        <w:rPr>
          <w:rFonts w:ascii="Garamond" w:hAnsi="Garamond"/>
          <w:spacing w:val="1"/>
          <w:sz w:val="24"/>
        </w:rPr>
        <w:t xml:space="preserve"> </w:t>
      </w:r>
      <w:r w:rsidRPr="00395593">
        <w:rPr>
          <w:rFonts w:ascii="Garamond" w:hAnsi="Garamond"/>
          <w:sz w:val="24"/>
        </w:rPr>
        <w:t>conformidade com as disposições do presente</w:t>
      </w:r>
      <w:r w:rsidRPr="00395593">
        <w:rPr>
          <w:rFonts w:ascii="Garamond" w:hAnsi="Garamond"/>
          <w:spacing w:val="-1"/>
          <w:sz w:val="24"/>
        </w:rPr>
        <w:t xml:space="preserve"> </w:t>
      </w:r>
      <w:r w:rsidRPr="00395593">
        <w:rPr>
          <w:rFonts w:ascii="Garamond" w:hAnsi="Garamond"/>
          <w:sz w:val="24"/>
        </w:rPr>
        <w:t>Acordo;</w:t>
      </w:r>
    </w:p>
    <w:p w14:paraId="5F6870AD" w14:textId="77777777" w:rsidR="00D44A7A" w:rsidRPr="00395593" w:rsidRDefault="00D44A7A" w:rsidP="00D44A7A">
      <w:pPr>
        <w:pStyle w:val="Corpodetexto"/>
        <w:rPr>
          <w:rFonts w:ascii="Garamond" w:hAnsi="Garamond"/>
        </w:rPr>
      </w:pPr>
    </w:p>
    <w:p w14:paraId="44B7751D" w14:textId="77777777" w:rsidR="00D44A7A" w:rsidRPr="00395593" w:rsidRDefault="00D44A7A" w:rsidP="002C4340">
      <w:pPr>
        <w:pStyle w:val="PargrafodaLista"/>
        <w:widowControl w:val="0"/>
        <w:numPr>
          <w:ilvl w:val="0"/>
          <w:numId w:val="65"/>
        </w:numPr>
        <w:tabs>
          <w:tab w:val="left" w:pos="510"/>
        </w:tabs>
        <w:autoSpaceDE w:val="0"/>
        <w:autoSpaceDN w:val="0"/>
        <w:spacing w:before="1" w:after="0" w:line="240" w:lineRule="auto"/>
        <w:ind w:right="162" w:firstLine="0"/>
        <w:contextualSpacing w:val="0"/>
        <w:jc w:val="both"/>
        <w:rPr>
          <w:rFonts w:ascii="Garamond" w:hAnsi="Garamond"/>
          <w:sz w:val="24"/>
        </w:rPr>
      </w:pPr>
      <w:r w:rsidRPr="00395593">
        <w:rPr>
          <w:rFonts w:ascii="Garamond" w:hAnsi="Garamond"/>
          <w:sz w:val="24"/>
        </w:rPr>
        <w:t>examinar as medidas cobertas pelo Artigo 10 e pelo parágrafo primeiro do Artigo 11,</w:t>
      </w:r>
      <w:r w:rsidRPr="00395593">
        <w:rPr>
          <w:rFonts w:ascii="Garamond" w:hAnsi="Garamond"/>
          <w:spacing w:val="1"/>
          <w:sz w:val="24"/>
        </w:rPr>
        <w:t xml:space="preserve"> </w:t>
      </w:r>
      <w:r w:rsidRPr="00395593">
        <w:rPr>
          <w:rFonts w:ascii="Garamond" w:hAnsi="Garamond"/>
          <w:sz w:val="24"/>
        </w:rPr>
        <w:t>acompanhar a eliminação progressiva de tais medidas e relatar o que couber ao Conselho</w:t>
      </w:r>
      <w:r w:rsidRPr="00395593">
        <w:rPr>
          <w:rFonts w:ascii="Garamond" w:hAnsi="Garamond"/>
          <w:spacing w:val="1"/>
          <w:sz w:val="24"/>
        </w:rPr>
        <w:t xml:space="preserve"> </w:t>
      </w:r>
      <w:r w:rsidRPr="00395593">
        <w:rPr>
          <w:rFonts w:ascii="Garamond" w:hAnsi="Garamond"/>
          <w:sz w:val="24"/>
        </w:rPr>
        <w:t>para</w:t>
      </w:r>
      <w:r w:rsidRPr="00395593">
        <w:rPr>
          <w:rFonts w:ascii="Garamond" w:hAnsi="Garamond"/>
          <w:spacing w:val="-3"/>
          <w:sz w:val="24"/>
        </w:rPr>
        <w:t xml:space="preserve"> </w:t>
      </w:r>
      <w:r w:rsidRPr="00395593">
        <w:rPr>
          <w:rFonts w:ascii="Garamond" w:hAnsi="Garamond"/>
          <w:sz w:val="24"/>
        </w:rPr>
        <w:t>o Comércio de</w:t>
      </w:r>
      <w:r w:rsidRPr="00395593">
        <w:rPr>
          <w:rFonts w:ascii="Garamond" w:hAnsi="Garamond"/>
          <w:spacing w:val="1"/>
          <w:sz w:val="24"/>
        </w:rPr>
        <w:t xml:space="preserve"> </w:t>
      </w:r>
      <w:r w:rsidRPr="00395593">
        <w:rPr>
          <w:rFonts w:ascii="Garamond" w:hAnsi="Garamond"/>
          <w:sz w:val="24"/>
        </w:rPr>
        <w:t>Bens;</w:t>
      </w:r>
    </w:p>
    <w:p w14:paraId="4D14B253" w14:textId="77777777" w:rsidR="00D44A7A" w:rsidRPr="00395593" w:rsidRDefault="00D44A7A" w:rsidP="00D44A7A">
      <w:pPr>
        <w:pStyle w:val="Corpodetexto"/>
        <w:spacing w:before="11"/>
        <w:rPr>
          <w:rFonts w:ascii="Garamond" w:hAnsi="Garamond"/>
          <w:sz w:val="23"/>
        </w:rPr>
      </w:pPr>
    </w:p>
    <w:p w14:paraId="2E09FD5C" w14:textId="77777777" w:rsidR="00D44A7A" w:rsidRPr="00395593" w:rsidRDefault="00D44A7A" w:rsidP="002C4340">
      <w:pPr>
        <w:pStyle w:val="PargrafodaLista"/>
        <w:widowControl w:val="0"/>
        <w:numPr>
          <w:ilvl w:val="0"/>
          <w:numId w:val="65"/>
        </w:numPr>
        <w:tabs>
          <w:tab w:val="left" w:pos="472"/>
        </w:tabs>
        <w:autoSpaceDE w:val="0"/>
        <w:autoSpaceDN w:val="0"/>
        <w:spacing w:after="0" w:line="240" w:lineRule="auto"/>
        <w:ind w:right="157" w:firstLine="0"/>
        <w:contextualSpacing w:val="0"/>
        <w:jc w:val="both"/>
        <w:rPr>
          <w:rFonts w:ascii="Garamond" w:hAnsi="Garamond"/>
          <w:sz w:val="24"/>
        </w:rPr>
      </w:pPr>
      <w:r w:rsidRPr="00395593">
        <w:rPr>
          <w:rFonts w:ascii="Garamond" w:hAnsi="Garamond"/>
          <w:sz w:val="24"/>
        </w:rPr>
        <w:t>examinar, por solicitação de Membro que adote medida de salvaguarda, se as concessões</w:t>
      </w:r>
      <w:r w:rsidRPr="00395593">
        <w:rPr>
          <w:rFonts w:ascii="Garamond" w:hAnsi="Garamond"/>
          <w:spacing w:val="-57"/>
          <w:sz w:val="24"/>
        </w:rPr>
        <w:t xml:space="preserve"> </w:t>
      </w:r>
      <w:r w:rsidRPr="00395593">
        <w:rPr>
          <w:rFonts w:ascii="Garamond" w:hAnsi="Garamond"/>
          <w:sz w:val="24"/>
        </w:rPr>
        <w:t>ou outras obrigações objeto de propostas de suspensão são “substancialmente equivalentes”</w:t>
      </w:r>
      <w:r w:rsidRPr="00395593">
        <w:rPr>
          <w:rFonts w:ascii="Garamond" w:hAnsi="Garamond"/>
          <w:spacing w:val="-57"/>
          <w:sz w:val="24"/>
        </w:rPr>
        <w:t xml:space="preserve"> </w:t>
      </w:r>
      <w:r w:rsidRPr="00395593">
        <w:rPr>
          <w:rFonts w:ascii="Garamond" w:hAnsi="Garamond"/>
          <w:sz w:val="24"/>
        </w:rPr>
        <w:t>e</w:t>
      </w:r>
      <w:r w:rsidRPr="00395593">
        <w:rPr>
          <w:rFonts w:ascii="Garamond" w:hAnsi="Garamond"/>
          <w:spacing w:val="-2"/>
          <w:sz w:val="24"/>
        </w:rPr>
        <w:t xml:space="preserve"> </w:t>
      </w:r>
      <w:r w:rsidRPr="00395593">
        <w:rPr>
          <w:rFonts w:ascii="Garamond" w:hAnsi="Garamond"/>
          <w:sz w:val="24"/>
        </w:rPr>
        <w:t>relatar o que</w:t>
      </w:r>
      <w:r w:rsidRPr="00395593">
        <w:rPr>
          <w:rFonts w:ascii="Garamond" w:hAnsi="Garamond"/>
          <w:spacing w:val="1"/>
          <w:sz w:val="24"/>
        </w:rPr>
        <w:t xml:space="preserve"> </w:t>
      </w:r>
      <w:r w:rsidRPr="00395593">
        <w:rPr>
          <w:rFonts w:ascii="Garamond" w:hAnsi="Garamond"/>
          <w:sz w:val="24"/>
        </w:rPr>
        <w:t>couber</w:t>
      </w:r>
      <w:r w:rsidRPr="00395593">
        <w:rPr>
          <w:rFonts w:ascii="Garamond" w:hAnsi="Garamond"/>
          <w:spacing w:val="1"/>
          <w:sz w:val="24"/>
        </w:rPr>
        <w:t xml:space="preserve"> </w:t>
      </w:r>
      <w:r w:rsidRPr="00395593">
        <w:rPr>
          <w:rFonts w:ascii="Garamond" w:hAnsi="Garamond"/>
          <w:sz w:val="24"/>
        </w:rPr>
        <w:t>ao</w:t>
      </w:r>
      <w:r w:rsidRPr="00395593">
        <w:rPr>
          <w:rFonts w:ascii="Garamond" w:hAnsi="Garamond"/>
          <w:spacing w:val="1"/>
          <w:sz w:val="24"/>
        </w:rPr>
        <w:t xml:space="preserve"> </w:t>
      </w:r>
      <w:r w:rsidRPr="00395593">
        <w:rPr>
          <w:rFonts w:ascii="Garamond" w:hAnsi="Garamond"/>
          <w:sz w:val="24"/>
        </w:rPr>
        <w:t>Conselho para</w:t>
      </w:r>
      <w:r w:rsidRPr="00395593">
        <w:rPr>
          <w:rFonts w:ascii="Garamond" w:hAnsi="Garamond"/>
          <w:spacing w:val="-1"/>
          <w:sz w:val="24"/>
        </w:rPr>
        <w:t xml:space="preserve"> </w:t>
      </w:r>
      <w:r w:rsidRPr="00395593">
        <w:rPr>
          <w:rFonts w:ascii="Garamond" w:hAnsi="Garamond"/>
          <w:sz w:val="24"/>
        </w:rPr>
        <w:t>o Comércio de</w:t>
      </w:r>
      <w:r w:rsidRPr="00395593">
        <w:rPr>
          <w:rFonts w:ascii="Garamond" w:hAnsi="Garamond"/>
          <w:spacing w:val="-2"/>
          <w:sz w:val="24"/>
        </w:rPr>
        <w:t xml:space="preserve"> </w:t>
      </w:r>
      <w:r w:rsidRPr="00395593">
        <w:rPr>
          <w:rFonts w:ascii="Garamond" w:hAnsi="Garamond"/>
          <w:sz w:val="24"/>
        </w:rPr>
        <w:t>Bens;</w:t>
      </w:r>
    </w:p>
    <w:p w14:paraId="504978C7" w14:textId="77777777" w:rsidR="00D44A7A" w:rsidRPr="00395593" w:rsidRDefault="00D44A7A" w:rsidP="00D44A7A">
      <w:pPr>
        <w:jc w:val="both"/>
        <w:rPr>
          <w:rFonts w:ascii="Garamond" w:hAnsi="Garamond"/>
          <w:sz w:val="24"/>
        </w:rPr>
        <w:sectPr w:rsidR="00D44A7A" w:rsidRPr="00395593" w:rsidSect="00E15FBB">
          <w:pgSz w:w="12240" w:h="15840"/>
          <w:pgMar w:top="1418" w:right="1540" w:bottom="280" w:left="1418" w:header="720" w:footer="720" w:gutter="0"/>
          <w:cols w:space="720"/>
        </w:sectPr>
      </w:pPr>
    </w:p>
    <w:p w14:paraId="2DAB59A3" w14:textId="77777777" w:rsidR="00D44A7A" w:rsidRPr="00395593" w:rsidRDefault="00D44A7A" w:rsidP="002C4340">
      <w:pPr>
        <w:pStyle w:val="PargrafodaLista"/>
        <w:widowControl w:val="0"/>
        <w:numPr>
          <w:ilvl w:val="0"/>
          <w:numId w:val="65"/>
        </w:numPr>
        <w:tabs>
          <w:tab w:val="left" w:pos="474"/>
        </w:tabs>
        <w:autoSpaceDE w:val="0"/>
        <w:autoSpaceDN w:val="0"/>
        <w:spacing w:before="184" w:after="0" w:line="240" w:lineRule="auto"/>
        <w:ind w:right="165" w:firstLine="0"/>
        <w:contextualSpacing w:val="0"/>
        <w:jc w:val="both"/>
        <w:rPr>
          <w:rFonts w:ascii="Garamond" w:hAnsi="Garamond"/>
          <w:sz w:val="24"/>
        </w:rPr>
      </w:pPr>
      <w:r w:rsidRPr="00395593">
        <w:rPr>
          <w:rFonts w:ascii="Garamond" w:hAnsi="Garamond"/>
          <w:sz w:val="24"/>
        </w:rPr>
        <w:t>receber e examinar todas as notificações previstas no presente Acordo e relatar o que</w:t>
      </w:r>
      <w:r w:rsidRPr="00395593">
        <w:rPr>
          <w:rFonts w:ascii="Garamond" w:hAnsi="Garamond"/>
          <w:spacing w:val="1"/>
          <w:sz w:val="24"/>
        </w:rPr>
        <w:t xml:space="preserve"> </w:t>
      </w:r>
      <w:r w:rsidRPr="00395593">
        <w:rPr>
          <w:rFonts w:ascii="Garamond" w:hAnsi="Garamond"/>
          <w:sz w:val="24"/>
        </w:rPr>
        <w:t>couber</w:t>
      </w:r>
      <w:r w:rsidRPr="00395593">
        <w:rPr>
          <w:rFonts w:ascii="Garamond" w:hAnsi="Garamond"/>
          <w:spacing w:val="-1"/>
          <w:sz w:val="24"/>
        </w:rPr>
        <w:t xml:space="preserve"> </w:t>
      </w:r>
      <w:r w:rsidRPr="00395593">
        <w:rPr>
          <w:rFonts w:ascii="Garamond" w:hAnsi="Garamond"/>
          <w:sz w:val="24"/>
        </w:rPr>
        <w:t>ao Conselho para</w:t>
      </w:r>
      <w:r w:rsidRPr="00395593">
        <w:rPr>
          <w:rFonts w:ascii="Garamond" w:hAnsi="Garamond"/>
          <w:spacing w:val="1"/>
          <w:sz w:val="24"/>
        </w:rPr>
        <w:t xml:space="preserve"> </w:t>
      </w:r>
      <w:r w:rsidRPr="00395593">
        <w:rPr>
          <w:rFonts w:ascii="Garamond" w:hAnsi="Garamond"/>
          <w:sz w:val="24"/>
        </w:rPr>
        <w:t>o Comércio de Bens;</w:t>
      </w:r>
    </w:p>
    <w:p w14:paraId="219A98E9" w14:textId="77777777" w:rsidR="00D44A7A" w:rsidRPr="00395593" w:rsidRDefault="00D44A7A" w:rsidP="00D44A7A">
      <w:pPr>
        <w:pStyle w:val="Corpodetexto"/>
        <w:rPr>
          <w:rFonts w:ascii="Garamond" w:hAnsi="Garamond"/>
        </w:rPr>
      </w:pPr>
    </w:p>
    <w:p w14:paraId="42E8DC31" w14:textId="77777777" w:rsidR="00D44A7A" w:rsidRPr="00395593" w:rsidRDefault="00D44A7A" w:rsidP="00D44A7A">
      <w:pPr>
        <w:pStyle w:val="Corpodetexto"/>
        <w:ind w:left="222" w:right="162"/>
        <w:jc w:val="both"/>
        <w:rPr>
          <w:rFonts w:ascii="Garamond" w:hAnsi="Garamond"/>
        </w:rPr>
      </w:pPr>
      <w:r w:rsidRPr="00395593">
        <w:rPr>
          <w:rFonts w:ascii="Garamond" w:hAnsi="Garamond"/>
        </w:rPr>
        <w:t>q) desempenhar as demais funções relacionadas com o presente Acordo que o Conselho</w:t>
      </w:r>
      <w:r w:rsidRPr="00395593">
        <w:rPr>
          <w:rFonts w:ascii="Garamond" w:hAnsi="Garamond"/>
          <w:spacing w:val="1"/>
        </w:rPr>
        <w:t xml:space="preserve"> </w:t>
      </w:r>
      <w:r w:rsidRPr="00395593">
        <w:rPr>
          <w:rFonts w:ascii="Garamond" w:hAnsi="Garamond"/>
        </w:rPr>
        <w:t>para</w:t>
      </w:r>
      <w:r w:rsidRPr="00395593">
        <w:rPr>
          <w:rFonts w:ascii="Garamond" w:hAnsi="Garamond"/>
          <w:spacing w:val="-3"/>
        </w:rPr>
        <w:t xml:space="preserve"> </w:t>
      </w:r>
      <w:r w:rsidRPr="00395593">
        <w:rPr>
          <w:rFonts w:ascii="Garamond" w:hAnsi="Garamond"/>
        </w:rPr>
        <w:t>o Comércio de</w:t>
      </w:r>
      <w:r w:rsidRPr="00395593">
        <w:rPr>
          <w:rFonts w:ascii="Garamond" w:hAnsi="Garamond"/>
          <w:spacing w:val="1"/>
        </w:rPr>
        <w:t xml:space="preserve"> </w:t>
      </w:r>
      <w:r w:rsidRPr="00395593">
        <w:rPr>
          <w:rFonts w:ascii="Garamond" w:hAnsi="Garamond"/>
        </w:rPr>
        <w:t>Bens</w:t>
      </w:r>
      <w:r w:rsidRPr="00395593">
        <w:rPr>
          <w:rFonts w:ascii="Garamond" w:hAnsi="Garamond"/>
          <w:spacing w:val="2"/>
        </w:rPr>
        <w:t xml:space="preserve"> </w:t>
      </w:r>
      <w:r w:rsidRPr="00395593">
        <w:rPr>
          <w:rFonts w:ascii="Garamond" w:hAnsi="Garamond"/>
        </w:rPr>
        <w:t>haja por</w:t>
      </w:r>
      <w:r w:rsidRPr="00395593">
        <w:rPr>
          <w:rFonts w:ascii="Garamond" w:hAnsi="Garamond"/>
          <w:spacing w:val="-2"/>
        </w:rPr>
        <w:t xml:space="preserve"> </w:t>
      </w:r>
      <w:r w:rsidRPr="00395593">
        <w:rPr>
          <w:rFonts w:ascii="Garamond" w:hAnsi="Garamond"/>
        </w:rPr>
        <w:t>bem encomendar-lhe.</w:t>
      </w:r>
    </w:p>
    <w:p w14:paraId="7A540A74" w14:textId="77777777" w:rsidR="00D44A7A" w:rsidRPr="00395593" w:rsidRDefault="00D44A7A" w:rsidP="00D44A7A">
      <w:pPr>
        <w:pStyle w:val="Corpodetexto"/>
        <w:rPr>
          <w:rFonts w:ascii="Garamond" w:hAnsi="Garamond"/>
        </w:rPr>
      </w:pPr>
    </w:p>
    <w:p w14:paraId="05220F5C" w14:textId="77777777" w:rsidR="00D44A7A" w:rsidRPr="00395593" w:rsidRDefault="00D44A7A" w:rsidP="002C4340">
      <w:pPr>
        <w:pStyle w:val="PargrafodaLista"/>
        <w:widowControl w:val="0"/>
        <w:numPr>
          <w:ilvl w:val="0"/>
          <w:numId w:val="66"/>
        </w:numPr>
        <w:tabs>
          <w:tab w:val="left" w:pos="930"/>
        </w:tabs>
        <w:autoSpaceDE w:val="0"/>
        <w:autoSpaceDN w:val="0"/>
        <w:spacing w:after="0" w:line="240" w:lineRule="auto"/>
        <w:ind w:right="157" w:firstLine="0"/>
        <w:contextualSpacing w:val="0"/>
        <w:jc w:val="both"/>
        <w:rPr>
          <w:rFonts w:ascii="Garamond" w:hAnsi="Garamond"/>
          <w:sz w:val="24"/>
        </w:rPr>
      </w:pPr>
      <w:r w:rsidRPr="00395593">
        <w:rPr>
          <w:rFonts w:ascii="Garamond" w:hAnsi="Garamond"/>
          <w:sz w:val="24"/>
        </w:rPr>
        <w:t>Para auxiliar o Comitê no desempenho de</w:t>
      </w:r>
      <w:r w:rsidRPr="00395593">
        <w:rPr>
          <w:rFonts w:ascii="Garamond" w:hAnsi="Garamond"/>
          <w:spacing w:val="60"/>
          <w:sz w:val="24"/>
        </w:rPr>
        <w:t xml:space="preserve"> </w:t>
      </w:r>
      <w:r w:rsidRPr="00395593">
        <w:rPr>
          <w:rFonts w:ascii="Garamond" w:hAnsi="Garamond"/>
          <w:sz w:val="24"/>
        </w:rPr>
        <w:t>sua função de vigilância, o Secretariado</w:t>
      </w:r>
      <w:r w:rsidRPr="00395593">
        <w:rPr>
          <w:rFonts w:ascii="Garamond" w:hAnsi="Garamond"/>
          <w:spacing w:val="1"/>
          <w:sz w:val="24"/>
        </w:rPr>
        <w:t xml:space="preserve"> </w:t>
      </w:r>
      <w:r w:rsidRPr="00395593">
        <w:rPr>
          <w:rFonts w:ascii="Garamond" w:hAnsi="Garamond"/>
          <w:sz w:val="24"/>
        </w:rPr>
        <w:t>da OMC elaborará anualmente, com base nas notificações e demais informações fidedignas</w:t>
      </w:r>
      <w:r w:rsidRPr="00395593">
        <w:rPr>
          <w:rFonts w:ascii="Garamond" w:hAnsi="Garamond"/>
          <w:spacing w:val="-57"/>
          <w:sz w:val="24"/>
        </w:rPr>
        <w:t xml:space="preserve"> </w:t>
      </w:r>
      <w:r w:rsidRPr="00395593">
        <w:rPr>
          <w:rFonts w:ascii="Garamond" w:hAnsi="Garamond"/>
          <w:sz w:val="24"/>
        </w:rPr>
        <w:t>disponíveis,</w:t>
      </w:r>
      <w:r w:rsidRPr="00395593">
        <w:rPr>
          <w:rFonts w:ascii="Garamond" w:hAnsi="Garamond"/>
          <w:spacing w:val="-1"/>
          <w:sz w:val="24"/>
        </w:rPr>
        <w:t xml:space="preserve"> </w:t>
      </w:r>
      <w:r w:rsidRPr="00395593">
        <w:rPr>
          <w:rFonts w:ascii="Garamond" w:hAnsi="Garamond"/>
          <w:sz w:val="24"/>
        </w:rPr>
        <w:t>um relatório factual sobre</w:t>
      </w:r>
      <w:r w:rsidRPr="00395593">
        <w:rPr>
          <w:rFonts w:ascii="Garamond" w:hAnsi="Garamond"/>
          <w:spacing w:val="-1"/>
          <w:sz w:val="24"/>
        </w:rPr>
        <w:t xml:space="preserve"> </w:t>
      </w:r>
      <w:r w:rsidRPr="00395593">
        <w:rPr>
          <w:rFonts w:ascii="Garamond" w:hAnsi="Garamond"/>
          <w:sz w:val="24"/>
        </w:rPr>
        <w:t>o funcionamento do Acordo.</w:t>
      </w:r>
    </w:p>
    <w:p w14:paraId="06B402C9" w14:textId="77777777" w:rsidR="00D44A7A" w:rsidRPr="00395593" w:rsidRDefault="00D44A7A" w:rsidP="00D44A7A">
      <w:pPr>
        <w:pStyle w:val="Corpodetexto"/>
        <w:rPr>
          <w:rFonts w:ascii="Garamond" w:hAnsi="Garamond"/>
        </w:rPr>
      </w:pPr>
    </w:p>
    <w:p w14:paraId="42DB7BA3" w14:textId="77777777" w:rsidR="00D44A7A" w:rsidRPr="00395593" w:rsidRDefault="00D44A7A" w:rsidP="00D44A7A">
      <w:pPr>
        <w:pStyle w:val="Corpodetexto"/>
        <w:spacing w:line="360" w:lineRule="auto"/>
        <w:ind w:left="1315" w:right="1258"/>
        <w:jc w:val="center"/>
        <w:rPr>
          <w:rFonts w:ascii="Garamond" w:hAnsi="Garamond"/>
          <w:b/>
          <w:spacing w:val="1"/>
        </w:rPr>
      </w:pPr>
      <w:r w:rsidRPr="00395593">
        <w:rPr>
          <w:rFonts w:ascii="Garamond" w:hAnsi="Garamond"/>
          <w:b/>
        </w:rPr>
        <w:t>Artigo 14</w:t>
      </w:r>
    </w:p>
    <w:p w14:paraId="7922F2E7" w14:textId="77777777" w:rsidR="00D44A7A" w:rsidRPr="00395593" w:rsidRDefault="00D44A7A" w:rsidP="00D44A7A">
      <w:pPr>
        <w:pStyle w:val="Corpodetexto"/>
        <w:spacing w:line="360" w:lineRule="auto"/>
        <w:ind w:left="1315" w:right="1264"/>
        <w:jc w:val="center"/>
        <w:rPr>
          <w:rFonts w:ascii="Garamond" w:hAnsi="Garamond"/>
          <w:b/>
        </w:rPr>
      </w:pPr>
      <w:r w:rsidRPr="00395593">
        <w:rPr>
          <w:rFonts w:ascii="Garamond" w:hAnsi="Garamond"/>
          <w:b/>
        </w:rPr>
        <w:t>Solução</w:t>
      </w:r>
      <w:r w:rsidRPr="00395593">
        <w:rPr>
          <w:rFonts w:ascii="Garamond" w:hAnsi="Garamond"/>
          <w:b/>
          <w:spacing w:val="-9"/>
        </w:rPr>
        <w:t xml:space="preserve"> </w:t>
      </w:r>
      <w:r w:rsidRPr="00395593">
        <w:rPr>
          <w:rFonts w:ascii="Garamond" w:hAnsi="Garamond"/>
          <w:b/>
        </w:rPr>
        <w:t>de</w:t>
      </w:r>
      <w:r w:rsidRPr="00395593">
        <w:rPr>
          <w:rFonts w:ascii="Garamond" w:hAnsi="Garamond"/>
          <w:b/>
          <w:spacing w:val="-10"/>
        </w:rPr>
        <w:t xml:space="preserve"> </w:t>
      </w:r>
      <w:r w:rsidRPr="00395593">
        <w:rPr>
          <w:rFonts w:ascii="Garamond" w:hAnsi="Garamond"/>
          <w:b/>
        </w:rPr>
        <w:t>Controvérsias</w:t>
      </w:r>
    </w:p>
    <w:p w14:paraId="4CCD8E30" w14:textId="77777777" w:rsidR="00D44A7A" w:rsidRPr="00395593" w:rsidRDefault="00D44A7A" w:rsidP="00D44A7A">
      <w:pPr>
        <w:pStyle w:val="Corpodetexto"/>
        <w:ind w:left="1318" w:right="1264"/>
        <w:jc w:val="center"/>
        <w:rPr>
          <w:rFonts w:ascii="Garamond" w:hAnsi="Garamond"/>
          <w:b/>
        </w:rPr>
      </w:pPr>
    </w:p>
    <w:p w14:paraId="04D4B476" w14:textId="77777777" w:rsidR="00D44A7A" w:rsidRPr="00395593" w:rsidRDefault="00D44A7A" w:rsidP="00D44A7A">
      <w:pPr>
        <w:pStyle w:val="Corpodetexto"/>
        <w:spacing w:before="1"/>
        <w:ind w:left="222" w:right="156" w:firstLine="719"/>
        <w:jc w:val="both"/>
        <w:rPr>
          <w:rFonts w:ascii="Garamond" w:hAnsi="Garamond"/>
        </w:rPr>
      </w:pPr>
      <w:r w:rsidRPr="00395593">
        <w:rPr>
          <w:rFonts w:ascii="Garamond" w:hAnsi="Garamond"/>
        </w:rPr>
        <w:t>Aplicar-se-ão às consultas e à solução das controvérsias que surjam no âmbito do</w:t>
      </w:r>
      <w:r w:rsidRPr="00395593">
        <w:rPr>
          <w:rFonts w:ascii="Garamond" w:hAnsi="Garamond"/>
          <w:spacing w:val="1"/>
        </w:rPr>
        <w:t xml:space="preserve"> </w:t>
      </w:r>
      <w:r w:rsidRPr="00395593">
        <w:rPr>
          <w:rFonts w:ascii="Garamond" w:hAnsi="Garamond"/>
        </w:rPr>
        <w:t>presente Acordo as disposições dos Artigos XXII e XXIII do GATT 1994, tais como</w:t>
      </w:r>
      <w:r w:rsidRPr="00395593">
        <w:rPr>
          <w:rFonts w:ascii="Garamond" w:hAnsi="Garamond"/>
          <w:spacing w:val="1"/>
        </w:rPr>
        <w:t xml:space="preserve"> </w:t>
      </w:r>
      <w:r w:rsidRPr="00395593">
        <w:rPr>
          <w:rFonts w:ascii="Garamond" w:hAnsi="Garamond"/>
        </w:rPr>
        <w:t>desenvolvidas</w:t>
      </w:r>
      <w:r w:rsidRPr="00395593">
        <w:rPr>
          <w:rFonts w:ascii="Garamond" w:hAnsi="Garamond"/>
          <w:spacing w:val="-2"/>
        </w:rPr>
        <w:t xml:space="preserve"> </w:t>
      </w:r>
      <w:r w:rsidRPr="00395593">
        <w:rPr>
          <w:rFonts w:ascii="Garamond" w:hAnsi="Garamond"/>
        </w:rPr>
        <w:t>e</w:t>
      </w:r>
      <w:r w:rsidRPr="00395593">
        <w:rPr>
          <w:rFonts w:ascii="Garamond" w:hAnsi="Garamond"/>
          <w:spacing w:val="-2"/>
        </w:rPr>
        <w:t xml:space="preserve"> </w:t>
      </w:r>
      <w:r w:rsidRPr="00395593">
        <w:rPr>
          <w:rFonts w:ascii="Garamond" w:hAnsi="Garamond"/>
        </w:rPr>
        <w:t>aplicadas</w:t>
      </w:r>
      <w:r w:rsidRPr="00395593">
        <w:rPr>
          <w:rFonts w:ascii="Garamond" w:hAnsi="Garamond"/>
          <w:spacing w:val="-1"/>
        </w:rPr>
        <w:t xml:space="preserve"> </w:t>
      </w:r>
      <w:r w:rsidRPr="00395593">
        <w:rPr>
          <w:rFonts w:ascii="Garamond" w:hAnsi="Garamond"/>
        </w:rPr>
        <w:t>em</w:t>
      </w:r>
      <w:r w:rsidRPr="00395593">
        <w:rPr>
          <w:rFonts w:ascii="Garamond" w:hAnsi="Garamond"/>
          <w:spacing w:val="-1"/>
        </w:rPr>
        <w:t xml:space="preserve"> </w:t>
      </w:r>
      <w:r w:rsidRPr="00395593">
        <w:rPr>
          <w:rFonts w:ascii="Garamond" w:hAnsi="Garamond"/>
        </w:rPr>
        <w:t>decorrência</w:t>
      </w:r>
      <w:r w:rsidRPr="00395593">
        <w:rPr>
          <w:rFonts w:ascii="Garamond" w:hAnsi="Garamond"/>
          <w:spacing w:val="-1"/>
        </w:rPr>
        <w:t xml:space="preserve"> </w:t>
      </w:r>
      <w:r w:rsidRPr="00395593">
        <w:rPr>
          <w:rFonts w:ascii="Garamond" w:hAnsi="Garamond"/>
        </w:rPr>
        <w:t>do Entendimento</w:t>
      </w:r>
      <w:r w:rsidRPr="00395593">
        <w:rPr>
          <w:rFonts w:ascii="Garamond" w:hAnsi="Garamond"/>
          <w:spacing w:val="-1"/>
        </w:rPr>
        <w:t xml:space="preserve"> </w:t>
      </w:r>
      <w:r w:rsidRPr="00395593">
        <w:rPr>
          <w:rFonts w:ascii="Garamond" w:hAnsi="Garamond"/>
        </w:rPr>
        <w:t>sobre</w:t>
      </w:r>
      <w:r w:rsidRPr="00395593">
        <w:rPr>
          <w:rFonts w:ascii="Garamond" w:hAnsi="Garamond"/>
          <w:spacing w:val="-3"/>
        </w:rPr>
        <w:t xml:space="preserve"> </w:t>
      </w:r>
      <w:r w:rsidRPr="00395593">
        <w:rPr>
          <w:rFonts w:ascii="Garamond" w:hAnsi="Garamond"/>
        </w:rPr>
        <w:t>Solução</w:t>
      </w:r>
      <w:r w:rsidRPr="00395593">
        <w:rPr>
          <w:rFonts w:ascii="Garamond" w:hAnsi="Garamond"/>
          <w:spacing w:val="1"/>
        </w:rPr>
        <w:t xml:space="preserve"> </w:t>
      </w:r>
      <w:r w:rsidRPr="00395593">
        <w:rPr>
          <w:rFonts w:ascii="Garamond" w:hAnsi="Garamond"/>
        </w:rPr>
        <w:t>de</w:t>
      </w:r>
      <w:r w:rsidRPr="00395593">
        <w:rPr>
          <w:rFonts w:ascii="Garamond" w:hAnsi="Garamond"/>
          <w:spacing w:val="-2"/>
        </w:rPr>
        <w:t xml:space="preserve"> </w:t>
      </w:r>
      <w:r w:rsidRPr="00395593">
        <w:rPr>
          <w:rFonts w:ascii="Garamond" w:hAnsi="Garamond"/>
        </w:rPr>
        <w:t>controvérsias</w:t>
      </w:r>
    </w:p>
    <w:p w14:paraId="6F1BD15B" w14:textId="77777777" w:rsidR="00D44A7A" w:rsidRPr="00395593" w:rsidRDefault="00D44A7A" w:rsidP="00D44A7A">
      <w:pPr>
        <w:pStyle w:val="Corpodetexto"/>
        <w:spacing w:before="230" w:line="360" w:lineRule="auto"/>
        <w:ind w:left="1318" w:right="1258"/>
        <w:jc w:val="center"/>
        <w:rPr>
          <w:rFonts w:ascii="Garamond" w:hAnsi="Garamond"/>
          <w:b/>
        </w:rPr>
      </w:pPr>
      <w:r w:rsidRPr="00395593">
        <w:rPr>
          <w:rFonts w:ascii="Garamond" w:hAnsi="Garamond"/>
          <w:b/>
        </w:rPr>
        <w:t>ANEXO</w:t>
      </w:r>
    </w:p>
    <w:p w14:paraId="193B7CA2" w14:textId="77777777" w:rsidR="00D44A7A" w:rsidRPr="00395593" w:rsidRDefault="00D44A7A" w:rsidP="00D44A7A">
      <w:pPr>
        <w:pStyle w:val="Corpodetexto"/>
        <w:spacing w:line="360" w:lineRule="auto"/>
        <w:ind w:left="1318" w:right="1264"/>
        <w:jc w:val="center"/>
        <w:rPr>
          <w:rFonts w:ascii="Garamond" w:hAnsi="Garamond"/>
          <w:b/>
        </w:rPr>
      </w:pPr>
      <w:r w:rsidRPr="00395593">
        <w:rPr>
          <w:rFonts w:ascii="Garamond" w:hAnsi="Garamond"/>
          <w:b/>
        </w:rPr>
        <w:t>EXCEÇAO</w:t>
      </w:r>
      <w:r w:rsidRPr="00395593">
        <w:rPr>
          <w:rFonts w:ascii="Garamond" w:hAnsi="Garamond"/>
          <w:b/>
          <w:spacing w:val="-2"/>
        </w:rPr>
        <w:t xml:space="preserve"> </w:t>
      </w:r>
      <w:r w:rsidRPr="00395593">
        <w:rPr>
          <w:rFonts w:ascii="Garamond" w:hAnsi="Garamond"/>
          <w:b/>
        </w:rPr>
        <w:t>MENCIONADA</w:t>
      </w:r>
      <w:r w:rsidRPr="00395593">
        <w:rPr>
          <w:rFonts w:ascii="Garamond" w:hAnsi="Garamond"/>
          <w:b/>
          <w:spacing w:val="-1"/>
        </w:rPr>
        <w:t xml:space="preserve"> </w:t>
      </w:r>
      <w:r w:rsidRPr="00395593">
        <w:rPr>
          <w:rFonts w:ascii="Garamond" w:hAnsi="Garamond"/>
          <w:b/>
        </w:rPr>
        <w:t>NO</w:t>
      </w:r>
      <w:r w:rsidRPr="00395593">
        <w:rPr>
          <w:rFonts w:ascii="Garamond" w:hAnsi="Garamond"/>
          <w:b/>
          <w:spacing w:val="-1"/>
        </w:rPr>
        <w:t xml:space="preserve"> </w:t>
      </w:r>
      <w:r w:rsidRPr="00395593">
        <w:rPr>
          <w:rFonts w:ascii="Garamond" w:hAnsi="Garamond"/>
          <w:b/>
        </w:rPr>
        <w:t>PARÁGRAFO 2</w:t>
      </w:r>
      <w:r w:rsidRPr="00395593">
        <w:rPr>
          <w:rFonts w:ascii="Garamond" w:hAnsi="Garamond"/>
          <w:b/>
          <w:spacing w:val="-1"/>
        </w:rPr>
        <w:t xml:space="preserve"> </w:t>
      </w:r>
      <w:r w:rsidRPr="00395593">
        <w:rPr>
          <w:rFonts w:ascii="Garamond" w:hAnsi="Garamond"/>
          <w:b/>
        </w:rPr>
        <w:t>DO</w:t>
      </w:r>
      <w:r w:rsidRPr="00395593">
        <w:rPr>
          <w:rFonts w:ascii="Garamond" w:hAnsi="Garamond"/>
          <w:b/>
          <w:spacing w:val="-3"/>
        </w:rPr>
        <w:t xml:space="preserve"> </w:t>
      </w:r>
      <w:r w:rsidRPr="00395593">
        <w:rPr>
          <w:rFonts w:ascii="Garamond" w:hAnsi="Garamond"/>
          <w:b/>
        </w:rPr>
        <w:t>ARTIGO</w:t>
      </w:r>
      <w:r w:rsidRPr="00395593">
        <w:rPr>
          <w:rFonts w:ascii="Garamond" w:hAnsi="Garamond"/>
          <w:b/>
          <w:spacing w:val="-2"/>
        </w:rPr>
        <w:t xml:space="preserve"> </w:t>
      </w:r>
      <w:r w:rsidRPr="00395593">
        <w:rPr>
          <w:rFonts w:ascii="Garamond" w:hAnsi="Garamond"/>
          <w:b/>
        </w:rPr>
        <w:t>11</w:t>
      </w:r>
    </w:p>
    <w:p w14:paraId="1A290DF9" w14:textId="77777777" w:rsidR="00D44A7A" w:rsidRPr="00395593" w:rsidRDefault="00D44A7A" w:rsidP="00D44A7A">
      <w:pPr>
        <w:pStyle w:val="Corpodetexto"/>
        <w:spacing w:before="8"/>
        <w:rPr>
          <w:rFonts w:ascii="Garamond" w:hAnsi="Garamond"/>
        </w:rPr>
      </w:pPr>
    </w:p>
    <w:tbl>
      <w:tblPr>
        <w:tblStyle w:val="NormalTable0"/>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2993"/>
        <w:gridCol w:w="2993"/>
      </w:tblGrid>
      <w:tr w:rsidR="00D44A7A" w:rsidRPr="00824AF0" w14:paraId="75F4150F" w14:textId="77777777" w:rsidTr="00CC433B">
        <w:trPr>
          <w:trHeight w:val="275"/>
        </w:trPr>
        <w:tc>
          <w:tcPr>
            <w:tcW w:w="2993" w:type="dxa"/>
          </w:tcPr>
          <w:p w14:paraId="3409C8FF" w14:textId="77777777" w:rsidR="00D44A7A" w:rsidRPr="00395593" w:rsidRDefault="00D44A7A" w:rsidP="00CC433B">
            <w:pPr>
              <w:pStyle w:val="TableParagraph"/>
              <w:ind w:left="333"/>
              <w:rPr>
                <w:rFonts w:ascii="Garamond" w:hAnsi="Garamond"/>
                <w:b/>
                <w:sz w:val="24"/>
              </w:rPr>
            </w:pPr>
            <w:r w:rsidRPr="00395593">
              <w:rPr>
                <w:rFonts w:ascii="Garamond" w:hAnsi="Garamond"/>
                <w:b/>
                <w:sz w:val="24"/>
              </w:rPr>
              <w:t>Membros</w:t>
            </w:r>
            <w:r w:rsidRPr="00395593">
              <w:rPr>
                <w:rFonts w:ascii="Garamond" w:hAnsi="Garamond"/>
                <w:b/>
                <w:spacing w:val="-3"/>
                <w:sz w:val="24"/>
              </w:rPr>
              <w:t xml:space="preserve"> </w:t>
            </w:r>
            <w:r w:rsidRPr="00395593">
              <w:rPr>
                <w:rFonts w:ascii="Garamond" w:hAnsi="Garamond"/>
                <w:b/>
                <w:sz w:val="24"/>
              </w:rPr>
              <w:t>Interessados</w:t>
            </w:r>
          </w:p>
        </w:tc>
        <w:tc>
          <w:tcPr>
            <w:tcW w:w="2993" w:type="dxa"/>
          </w:tcPr>
          <w:p w14:paraId="7670B9AC" w14:textId="77777777" w:rsidR="00D44A7A" w:rsidRPr="00395593" w:rsidRDefault="00D44A7A" w:rsidP="00CC433B">
            <w:pPr>
              <w:pStyle w:val="TableParagraph"/>
              <w:ind w:left="940"/>
              <w:rPr>
                <w:rFonts w:ascii="Garamond" w:hAnsi="Garamond"/>
                <w:b/>
                <w:sz w:val="24"/>
              </w:rPr>
            </w:pPr>
            <w:r w:rsidRPr="00395593">
              <w:rPr>
                <w:rFonts w:ascii="Garamond" w:hAnsi="Garamond"/>
                <w:b/>
                <w:sz w:val="24"/>
              </w:rPr>
              <w:t>Produto</w:t>
            </w:r>
          </w:p>
        </w:tc>
        <w:tc>
          <w:tcPr>
            <w:tcW w:w="2993" w:type="dxa"/>
          </w:tcPr>
          <w:p w14:paraId="5D8FEFEC" w14:textId="77777777" w:rsidR="00D44A7A" w:rsidRPr="00395593" w:rsidRDefault="00D44A7A" w:rsidP="00CC433B">
            <w:pPr>
              <w:pStyle w:val="TableParagraph"/>
              <w:ind w:left="949"/>
              <w:rPr>
                <w:rFonts w:ascii="Garamond" w:hAnsi="Garamond"/>
                <w:b/>
                <w:sz w:val="24"/>
              </w:rPr>
            </w:pPr>
            <w:r w:rsidRPr="00395593">
              <w:rPr>
                <w:rFonts w:ascii="Garamond" w:hAnsi="Garamond"/>
                <w:b/>
                <w:sz w:val="24"/>
              </w:rPr>
              <w:t>Expiração</w:t>
            </w:r>
          </w:p>
        </w:tc>
      </w:tr>
      <w:tr w:rsidR="00D44A7A" w:rsidRPr="00824AF0" w14:paraId="7D34B126" w14:textId="77777777" w:rsidTr="00CC433B">
        <w:trPr>
          <w:trHeight w:val="2762"/>
        </w:trPr>
        <w:tc>
          <w:tcPr>
            <w:tcW w:w="2993" w:type="dxa"/>
          </w:tcPr>
          <w:p w14:paraId="2FD8E8F8" w14:textId="77777777" w:rsidR="00D44A7A" w:rsidRPr="00395593" w:rsidRDefault="00D44A7A" w:rsidP="00CC433B">
            <w:pPr>
              <w:pStyle w:val="TableParagraph"/>
              <w:spacing w:line="268" w:lineRule="exact"/>
              <w:ind w:left="107"/>
              <w:rPr>
                <w:rFonts w:ascii="Garamond" w:hAnsi="Garamond"/>
                <w:sz w:val="24"/>
              </w:rPr>
            </w:pPr>
            <w:r w:rsidRPr="00395593">
              <w:rPr>
                <w:rFonts w:ascii="Garamond" w:hAnsi="Garamond"/>
                <w:sz w:val="24"/>
              </w:rPr>
              <w:t>CE/Japao</w:t>
            </w:r>
          </w:p>
        </w:tc>
        <w:tc>
          <w:tcPr>
            <w:tcW w:w="2993" w:type="dxa"/>
          </w:tcPr>
          <w:p w14:paraId="2F6E4A23" w14:textId="77777777" w:rsidR="00D44A7A" w:rsidRPr="00395593" w:rsidRDefault="00D44A7A" w:rsidP="00CC433B">
            <w:pPr>
              <w:pStyle w:val="TableParagraph"/>
              <w:ind w:right="99"/>
              <w:jc w:val="both"/>
              <w:rPr>
                <w:rFonts w:ascii="Garamond" w:hAnsi="Garamond"/>
                <w:sz w:val="24"/>
                <w:lang w:val="pt-BR"/>
              </w:rPr>
            </w:pPr>
            <w:r w:rsidRPr="00395593">
              <w:rPr>
                <w:rFonts w:ascii="Garamond" w:hAnsi="Garamond"/>
                <w:sz w:val="24"/>
                <w:lang w:val="pt-BR"/>
              </w:rPr>
              <w:t>Veículos automotores para o</w:t>
            </w:r>
            <w:r w:rsidRPr="00395593">
              <w:rPr>
                <w:rFonts w:ascii="Garamond" w:hAnsi="Garamond"/>
                <w:spacing w:val="-57"/>
                <w:sz w:val="24"/>
                <w:lang w:val="pt-BR"/>
              </w:rPr>
              <w:t xml:space="preserve"> </w:t>
            </w:r>
            <w:r w:rsidRPr="00395593">
              <w:rPr>
                <w:rFonts w:ascii="Garamond" w:hAnsi="Garamond"/>
                <w:sz w:val="24"/>
                <w:lang w:val="pt-BR"/>
              </w:rPr>
              <w:t>transporte</w:t>
            </w:r>
            <w:r w:rsidRPr="00395593">
              <w:rPr>
                <w:rFonts w:ascii="Garamond" w:hAnsi="Garamond"/>
                <w:spacing w:val="1"/>
                <w:sz w:val="24"/>
                <w:lang w:val="pt-BR"/>
              </w:rPr>
              <w:t xml:space="preserve"> </w:t>
            </w:r>
            <w:r w:rsidRPr="00395593">
              <w:rPr>
                <w:rFonts w:ascii="Garamond" w:hAnsi="Garamond"/>
                <w:sz w:val="24"/>
                <w:lang w:val="pt-BR"/>
              </w:rPr>
              <w:t>de</w:t>
            </w:r>
            <w:r w:rsidRPr="00395593">
              <w:rPr>
                <w:rFonts w:ascii="Garamond" w:hAnsi="Garamond"/>
                <w:spacing w:val="1"/>
                <w:sz w:val="24"/>
                <w:lang w:val="pt-BR"/>
              </w:rPr>
              <w:t xml:space="preserve"> </w:t>
            </w:r>
            <w:r w:rsidRPr="00395593">
              <w:rPr>
                <w:rFonts w:ascii="Garamond" w:hAnsi="Garamond"/>
                <w:sz w:val="24"/>
                <w:lang w:val="pt-BR"/>
              </w:rPr>
              <w:t>pessoas,</w:t>
            </w:r>
            <w:r w:rsidRPr="00395593">
              <w:rPr>
                <w:rFonts w:ascii="Garamond" w:hAnsi="Garamond"/>
                <w:spacing w:val="1"/>
                <w:sz w:val="24"/>
                <w:lang w:val="pt-BR"/>
              </w:rPr>
              <w:t xml:space="preserve"> </w:t>
            </w:r>
            <w:r w:rsidRPr="00395593">
              <w:rPr>
                <w:rFonts w:ascii="Garamond" w:hAnsi="Garamond"/>
                <w:sz w:val="24"/>
                <w:lang w:val="pt-BR"/>
              </w:rPr>
              <w:t>veículos</w:t>
            </w:r>
            <w:r w:rsidRPr="00395593">
              <w:rPr>
                <w:rFonts w:ascii="Garamond" w:hAnsi="Garamond"/>
                <w:spacing w:val="1"/>
                <w:sz w:val="24"/>
                <w:lang w:val="pt-BR"/>
              </w:rPr>
              <w:t xml:space="preserve"> </w:t>
            </w:r>
            <w:r w:rsidRPr="00395593">
              <w:rPr>
                <w:rFonts w:ascii="Garamond" w:hAnsi="Garamond"/>
                <w:sz w:val="24"/>
                <w:lang w:val="pt-BR"/>
              </w:rPr>
              <w:t>para</w:t>
            </w:r>
            <w:r w:rsidRPr="00395593">
              <w:rPr>
                <w:rFonts w:ascii="Garamond" w:hAnsi="Garamond"/>
                <w:spacing w:val="1"/>
                <w:sz w:val="24"/>
                <w:lang w:val="pt-BR"/>
              </w:rPr>
              <w:t xml:space="preserve"> </w:t>
            </w:r>
            <w:r w:rsidRPr="00395593">
              <w:rPr>
                <w:rFonts w:ascii="Garamond" w:hAnsi="Garamond"/>
                <w:sz w:val="24"/>
                <w:lang w:val="pt-BR"/>
              </w:rPr>
              <w:t>todo</w:t>
            </w:r>
            <w:r w:rsidRPr="00395593">
              <w:rPr>
                <w:rFonts w:ascii="Garamond" w:hAnsi="Garamond"/>
                <w:spacing w:val="1"/>
                <w:sz w:val="24"/>
                <w:lang w:val="pt-BR"/>
              </w:rPr>
              <w:t xml:space="preserve"> </w:t>
            </w:r>
            <w:r w:rsidRPr="00395593">
              <w:rPr>
                <w:rFonts w:ascii="Garamond" w:hAnsi="Garamond"/>
                <w:sz w:val="24"/>
                <w:lang w:val="pt-BR"/>
              </w:rPr>
              <w:t>terreno,</w:t>
            </w:r>
            <w:r w:rsidRPr="00395593">
              <w:rPr>
                <w:rFonts w:ascii="Garamond" w:hAnsi="Garamond"/>
                <w:spacing w:val="-57"/>
                <w:sz w:val="24"/>
                <w:lang w:val="pt-BR"/>
              </w:rPr>
              <w:t xml:space="preserve"> </w:t>
            </w:r>
            <w:r w:rsidRPr="00395593">
              <w:rPr>
                <w:rFonts w:ascii="Garamond" w:hAnsi="Garamond"/>
                <w:sz w:val="24"/>
                <w:lang w:val="pt-BR"/>
              </w:rPr>
              <w:t>veículos</w:t>
            </w:r>
            <w:r w:rsidRPr="00395593">
              <w:rPr>
                <w:rFonts w:ascii="Garamond" w:hAnsi="Garamond"/>
                <w:spacing w:val="1"/>
                <w:sz w:val="24"/>
                <w:lang w:val="pt-BR"/>
              </w:rPr>
              <w:t xml:space="preserve"> </w:t>
            </w:r>
            <w:r w:rsidRPr="00395593">
              <w:rPr>
                <w:rFonts w:ascii="Garamond" w:hAnsi="Garamond"/>
                <w:sz w:val="24"/>
                <w:lang w:val="pt-BR"/>
              </w:rPr>
              <w:t>comerciais</w:t>
            </w:r>
            <w:r w:rsidRPr="00395593">
              <w:rPr>
                <w:rFonts w:ascii="Garamond" w:hAnsi="Garamond"/>
                <w:spacing w:val="1"/>
                <w:sz w:val="24"/>
                <w:lang w:val="pt-BR"/>
              </w:rPr>
              <w:t xml:space="preserve"> </w:t>
            </w:r>
            <w:r w:rsidRPr="00395593">
              <w:rPr>
                <w:rFonts w:ascii="Garamond" w:hAnsi="Garamond"/>
                <w:sz w:val="24"/>
                <w:lang w:val="pt-BR"/>
              </w:rPr>
              <w:t>leves,</w:t>
            </w:r>
            <w:r w:rsidRPr="00395593">
              <w:rPr>
                <w:rFonts w:ascii="Garamond" w:hAnsi="Garamond"/>
                <w:spacing w:val="-57"/>
                <w:sz w:val="24"/>
                <w:lang w:val="pt-BR"/>
              </w:rPr>
              <w:t xml:space="preserve"> </w:t>
            </w:r>
            <w:r w:rsidRPr="00395593">
              <w:rPr>
                <w:rFonts w:ascii="Garamond" w:hAnsi="Garamond"/>
                <w:sz w:val="24"/>
                <w:lang w:val="pt-BR"/>
              </w:rPr>
              <w:t>caminhões</w:t>
            </w:r>
            <w:r w:rsidRPr="00395593">
              <w:rPr>
                <w:rFonts w:ascii="Garamond" w:hAnsi="Garamond"/>
                <w:spacing w:val="1"/>
                <w:sz w:val="24"/>
                <w:lang w:val="pt-BR"/>
              </w:rPr>
              <w:t xml:space="preserve"> </w:t>
            </w:r>
            <w:r w:rsidRPr="00395593">
              <w:rPr>
                <w:rFonts w:ascii="Garamond" w:hAnsi="Garamond"/>
                <w:sz w:val="24"/>
                <w:lang w:val="pt-BR"/>
              </w:rPr>
              <w:t>leves</w:t>
            </w:r>
            <w:r w:rsidRPr="00395593">
              <w:rPr>
                <w:rFonts w:ascii="Garamond" w:hAnsi="Garamond"/>
                <w:spacing w:val="1"/>
                <w:sz w:val="24"/>
                <w:lang w:val="pt-BR"/>
              </w:rPr>
              <w:t xml:space="preserve"> </w:t>
            </w:r>
            <w:r w:rsidRPr="00395593">
              <w:rPr>
                <w:rFonts w:ascii="Garamond" w:hAnsi="Garamond"/>
                <w:sz w:val="24"/>
                <w:lang w:val="pt-BR"/>
              </w:rPr>
              <w:t>(de</w:t>
            </w:r>
            <w:r w:rsidRPr="00395593">
              <w:rPr>
                <w:rFonts w:ascii="Garamond" w:hAnsi="Garamond"/>
                <w:spacing w:val="1"/>
                <w:sz w:val="24"/>
                <w:lang w:val="pt-BR"/>
              </w:rPr>
              <w:t xml:space="preserve"> </w:t>
            </w:r>
            <w:r w:rsidRPr="00395593">
              <w:rPr>
                <w:rFonts w:ascii="Garamond" w:hAnsi="Garamond"/>
                <w:sz w:val="24"/>
                <w:lang w:val="pt-BR"/>
              </w:rPr>
              <w:t>até</w:t>
            </w:r>
            <w:r w:rsidRPr="00395593">
              <w:rPr>
                <w:rFonts w:ascii="Garamond" w:hAnsi="Garamond"/>
                <w:spacing w:val="1"/>
                <w:sz w:val="24"/>
                <w:lang w:val="pt-BR"/>
              </w:rPr>
              <w:t xml:space="preserve"> </w:t>
            </w:r>
            <w:r w:rsidRPr="00395593">
              <w:rPr>
                <w:rFonts w:ascii="Garamond" w:hAnsi="Garamond"/>
                <w:sz w:val="24"/>
                <w:lang w:val="pt-BR"/>
              </w:rPr>
              <w:t>5</w:t>
            </w:r>
            <w:r w:rsidRPr="00395593">
              <w:rPr>
                <w:rFonts w:ascii="Garamond" w:hAnsi="Garamond"/>
                <w:spacing w:val="1"/>
                <w:sz w:val="24"/>
                <w:lang w:val="pt-BR"/>
              </w:rPr>
              <w:t xml:space="preserve"> </w:t>
            </w:r>
            <w:r w:rsidRPr="00395593">
              <w:rPr>
                <w:rFonts w:ascii="Garamond" w:hAnsi="Garamond"/>
                <w:sz w:val="24"/>
                <w:lang w:val="pt-BR"/>
              </w:rPr>
              <w:t>toneladas)</w:t>
            </w:r>
            <w:r w:rsidRPr="00395593">
              <w:rPr>
                <w:rFonts w:ascii="Garamond" w:hAnsi="Garamond"/>
                <w:spacing w:val="1"/>
                <w:sz w:val="24"/>
                <w:lang w:val="pt-BR"/>
              </w:rPr>
              <w:t xml:space="preserve"> </w:t>
            </w:r>
            <w:r w:rsidRPr="00395593">
              <w:rPr>
                <w:rFonts w:ascii="Garamond" w:hAnsi="Garamond"/>
                <w:sz w:val="24"/>
                <w:lang w:val="pt-BR"/>
              </w:rPr>
              <w:t>e</w:t>
            </w:r>
            <w:r w:rsidRPr="00395593">
              <w:rPr>
                <w:rFonts w:ascii="Garamond" w:hAnsi="Garamond"/>
                <w:spacing w:val="1"/>
                <w:sz w:val="24"/>
                <w:lang w:val="pt-BR"/>
              </w:rPr>
              <w:t xml:space="preserve"> </w:t>
            </w:r>
            <w:r w:rsidRPr="00395593">
              <w:rPr>
                <w:rFonts w:ascii="Garamond" w:hAnsi="Garamond"/>
                <w:sz w:val="24"/>
                <w:lang w:val="pt-BR"/>
              </w:rPr>
              <w:t>estes</w:t>
            </w:r>
            <w:r w:rsidRPr="00395593">
              <w:rPr>
                <w:rFonts w:ascii="Garamond" w:hAnsi="Garamond"/>
                <w:spacing w:val="1"/>
                <w:sz w:val="24"/>
                <w:lang w:val="pt-BR"/>
              </w:rPr>
              <w:t xml:space="preserve"> </w:t>
            </w:r>
            <w:r w:rsidRPr="00395593">
              <w:rPr>
                <w:rFonts w:ascii="Garamond" w:hAnsi="Garamond"/>
                <w:sz w:val="24"/>
                <w:lang w:val="pt-BR"/>
              </w:rPr>
              <w:t>mesmos</w:t>
            </w:r>
            <w:r w:rsidRPr="00395593">
              <w:rPr>
                <w:rFonts w:ascii="Garamond" w:hAnsi="Garamond"/>
                <w:spacing w:val="1"/>
                <w:sz w:val="24"/>
                <w:lang w:val="pt-BR"/>
              </w:rPr>
              <w:t xml:space="preserve"> </w:t>
            </w:r>
            <w:r w:rsidRPr="00395593">
              <w:rPr>
                <w:rFonts w:ascii="Garamond" w:hAnsi="Garamond"/>
                <w:sz w:val="24"/>
                <w:lang w:val="pt-BR"/>
              </w:rPr>
              <w:t>veículos</w:t>
            </w:r>
            <w:r w:rsidRPr="00395593">
              <w:rPr>
                <w:rFonts w:ascii="Garamond" w:hAnsi="Garamond"/>
                <w:spacing w:val="1"/>
                <w:sz w:val="24"/>
                <w:lang w:val="pt-BR"/>
              </w:rPr>
              <w:t xml:space="preserve"> </w:t>
            </w:r>
            <w:r w:rsidRPr="00395593">
              <w:rPr>
                <w:rFonts w:ascii="Garamond" w:hAnsi="Garamond"/>
                <w:sz w:val="24"/>
                <w:lang w:val="pt-BR"/>
              </w:rPr>
              <w:t>totalmente</w:t>
            </w:r>
            <w:r w:rsidRPr="00395593">
              <w:rPr>
                <w:rFonts w:ascii="Garamond" w:hAnsi="Garamond"/>
                <w:spacing w:val="1"/>
                <w:sz w:val="24"/>
                <w:lang w:val="pt-BR"/>
              </w:rPr>
              <w:t xml:space="preserve"> </w:t>
            </w:r>
            <w:r w:rsidRPr="00395593">
              <w:rPr>
                <w:rFonts w:ascii="Garamond" w:hAnsi="Garamond"/>
                <w:sz w:val="24"/>
                <w:lang w:val="pt-BR"/>
              </w:rPr>
              <w:t>por</w:t>
            </w:r>
            <w:r w:rsidRPr="00395593">
              <w:rPr>
                <w:rFonts w:ascii="Garamond" w:hAnsi="Garamond"/>
                <w:spacing w:val="-57"/>
                <w:sz w:val="24"/>
                <w:lang w:val="pt-BR"/>
              </w:rPr>
              <w:t xml:space="preserve"> </w:t>
            </w:r>
            <w:r w:rsidRPr="00395593">
              <w:rPr>
                <w:rFonts w:ascii="Garamond" w:hAnsi="Garamond"/>
                <w:sz w:val="24"/>
                <w:lang w:val="pt-BR"/>
              </w:rPr>
              <w:t>montar (conjuntos de peças</w:t>
            </w:r>
            <w:r w:rsidRPr="00395593">
              <w:rPr>
                <w:rFonts w:ascii="Garamond" w:hAnsi="Garamond"/>
                <w:spacing w:val="1"/>
                <w:sz w:val="24"/>
                <w:lang w:val="pt-BR"/>
              </w:rPr>
              <w:t xml:space="preserve"> </w:t>
            </w:r>
            <w:r w:rsidRPr="00395593">
              <w:rPr>
                <w:rFonts w:ascii="Garamond" w:hAnsi="Garamond"/>
                <w:sz w:val="24"/>
                <w:lang w:val="pt-BR"/>
              </w:rPr>
              <w:t>sem</w:t>
            </w:r>
            <w:r w:rsidRPr="00395593">
              <w:rPr>
                <w:rFonts w:ascii="Garamond" w:hAnsi="Garamond"/>
                <w:spacing w:val="-1"/>
                <w:sz w:val="24"/>
                <w:lang w:val="pt-BR"/>
              </w:rPr>
              <w:t xml:space="preserve"> </w:t>
            </w:r>
            <w:r w:rsidRPr="00395593">
              <w:rPr>
                <w:rFonts w:ascii="Garamond" w:hAnsi="Garamond"/>
                <w:sz w:val="24"/>
                <w:lang w:val="pt-BR"/>
              </w:rPr>
              <w:t>montar)</w:t>
            </w:r>
          </w:p>
        </w:tc>
        <w:tc>
          <w:tcPr>
            <w:tcW w:w="2993" w:type="dxa"/>
          </w:tcPr>
          <w:p w14:paraId="351EE49A" w14:textId="77777777" w:rsidR="00D44A7A" w:rsidRPr="00395593" w:rsidRDefault="00D44A7A" w:rsidP="00CC433B">
            <w:pPr>
              <w:pStyle w:val="TableParagraph"/>
              <w:spacing w:line="268" w:lineRule="exact"/>
              <w:ind w:left="947"/>
              <w:rPr>
                <w:rFonts w:ascii="Garamond" w:hAnsi="Garamond"/>
                <w:sz w:val="24"/>
              </w:rPr>
            </w:pPr>
            <w:r w:rsidRPr="00395593">
              <w:rPr>
                <w:rFonts w:ascii="Garamond" w:hAnsi="Garamond"/>
                <w:sz w:val="24"/>
              </w:rPr>
              <w:t>31/12/99</w:t>
            </w:r>
          </w:p>
        </w:tc>
      </w:tr>
    </w:tbl>
    <w:p w14:paraId="697CEA66" w14:textId="77777777" w:rsidR="00D44A7A" w:rsidRPr="00395593" w:rsidRDefault="00D44A7A" w:rsidP="00D44A7A">
      <w:pPr>
        <w:rPr>
          <w:rFonts w:ascii="Garamond" w:hAnsi="Garamond"/>
        </w:rPr>
      </w:pPr>
    </w:p>
    <w:p w14:paraId="7F5E129B" w14:textId="7414C958" w:rsidR="008D2CB0" w:rsidRDefault="008D2CB0">
      <w:pPr>
        <w:rPr>
          <w:rFonts w:ascii="Garamond" w:hAnsi="Garamond" w:cstheme="majorHAnsi"/>
        </w:rPr>
      </w:pPr>
      <w:r>
        <w:rPr>
          <w:rFonts w:ascii="Garamond" w:hAnsi="Garamond" w:cstheme="majorHAnsi"/>
        </w:rPr>
        <w:br w:type="page"/>
      </w:r>
    </w:p>
    <w:p w14:paraId="33C53E72" w14:textId="531965F3" w:rsidR="00B73003" w:rsidRPr="005C26A4" w:rsidRDefault="008D2CB0" w:rsidP="00F955A3">
      <w:pPr>
        <w:pStyle w:val="Ttulo"/>
        <w:outlineLvl w:val="1"/>
      </w:pPr>
      <w:bookmarkStart w:id="155" w:name="_Toc96003817"/>
      <w:r w:rsidRPr="00395593">
        <w:t>D</w:t>
      </w:r>
      <w:r w:rsidR="001F139A" w:rsidRPr="00395593">
        <w:t>ecreto n</w:t>
      </w:r>
      <w:r w:rsidRPr="00395593">
        <w:t>º</w:t>
      </w:r>
      <w:r w:rsidRPr="005C26A4">
        <w:t xml:space="preserve"> 1.488</w:t>
      </w:r>
      <w:r w:rsidR="007904C9">
        <w:t>,</w:t>
      </w:r>
      <w:r w:rsidRPr="005C26A4">
        <w:t xml:space="preserve"> </w:t>
      </w:r>
      <w:r w:rsidR="001F139A" w:rsidRPr="00395593">
        <w:t>de</w:t>
      </w:r>
      <w:r w:rsidRPr="005C26A4">
        <w:t xml:space="preserve"> 11 </w:t>
      </w:r>
      <w:r w:rsidR="001F139A" w:rsidRPr="00395593">
        <w:t>de</w:t>
      </w:r>
      <w:r w:rsidRPr="00395593">
        <w:t xml:space="preserve"> </w:t>
      </w:r>
      <w:r w:rsidR="001F139A" w:rsidRPr="00395593">
        <w:t>maio</w:t>
      </w:r>
      <w:r w:rsidRPr="00395593">
        <w:t xml:space="preserve"> </w:t>
      </w:r>
      <w:r w:rsidR="001F139A" w:rsidRPr="00395593">
        <w:t>de</w:t>
      </w:r>
      <w:r w:rsidRPr="005C26A4">
        <w:t xml:space="preserve"> 1995</w:t>
      </w:r>
      <w:bookmarkEnd w:id="155"/>
    </w:p>
    <w:tbl>
      <w:tblPr>
        <w:tblW w:w="5000" w:type="pct"/>
        <w:tblCellSpacing w:w="0" w:type="dxa"/>
        <w:tblCellMar>
          <w:left w:w="0" w:type="dxa"/>
          <w:right w:w="0" w:type="dxa"/>
        </w:tblCellMar>
        <w:tblLook w:val="04A0" w:firstRow="1" w:lastRow="0" w:firstColumn="1" w:lastColumn="0" w:noHBand="0" w:noVBand="1"/>
      </w:tblPr>
      <w:tblGrid>
        <w:gridCol w:w="4393"/>
        <w:gridCol w:w="4394"/>
      </w:tblGrid>
      <w:tr w:rsidR="008D2CB0" w:rsidRPr="005830D8" w14:paraId="61FD90C8" w14:textId="77777777" w:rsidTr="00CB06CD">
        <w:trPr>
          <w:tblCellSpacing w:w="0" w:type="dxa"/>
        </w:trPr>
        <w:tc>
          <w:tcPr>
            <w:tcW w:w="2500" w:type="pct"/>
            <w:vAlign w:val="center"/>
            <w:hideMark/>
          </w:tcPr>
          <w:p w14:paraId="521C9415" w14:textId="77777777" w:rsidR="00847C8A" w:rsidRDefault="00AF5590" w:rsidP="00CB06CD">
            <w:pPr>
              <w:spacing w:after="0" w:line="240" w:lineRule="auto"/>
              <w:jc w:val="both"/>
              <w:rPr>
                <w:rFonts w:ascii="Garamond" w:hAnsi="Garamond" w:cstheme="majorHAnsi"/>
              </w:rPr>
            </w:pPr>
            <w:r>
              <w:rPr>
                <w:rFonts w:ascii="Garamond" w:hAnsi="Garamond" w:cstheme="majorHAnsi"/>
              </w:rPr>
              <w:tab/>
            </w:r>
          </w:p>
          <w:p w14:paraId="4FB633F0" w14:textId="144C671E" w:rsidR="008D2CB0" w:rsidRPr="00395593" w:rsidRDefault="008D2CB0" w:rsidP="00CB06CD">
            <w:pPr>
              <w:spacing w:after="0" w:line="240" w:lineRule="auto"/>
              <w:jc w:val="both"/>
              <w:rPr>
                <w:rFonts w:ascii="Garamond" w:eastAsia="Times New Roman" w:hAnsi="Garamond" w:cs="Times New Roman"/>
                <w:sz w:val="24"/>
                <w:szCs w:val="24"/>
                <w:lang w:eastAsia="pt-BR"/>
              </w:rPr>
            </w:pPr>
            <w:r w:rsidRPr="00395593">
              <w:rPr>
                <w:rFonts w:ascii="Garamond" w:eastAsia="Times New Roman" w:hAnsi="Garamond" w:cs="Times New Roman"/>
                <w:sz w:val="24"/>
                <w:szCs w:val="24"/>
                <w:lang w:eastAsia="pt-BR"/>
              </w:rPr>
              <w:t> </w:t>
            </w:r>
          </w:p>
        </w:tc>
        <w:tc>
          <w:tcPr>
            <w:tcW w:w="2500" w:type="pct"/>
            <w:vAlign w:val="center"/>
            <w:hideMark/>
          </w:tcPr>
          <w:p w14:paraId="1BF35B2D" w14:textId="400787BF" w:rsidR="008D2CB0" w:rsidRPr="00395593" w:rsidRDefault="008D2CB0" w:rsidP="00CB06CD">
            <w:pPr>
              <w:spacing w:before="100" w:beforeAutospacing="1" w:after="100" w:afterAutospacing="1" w:line="240" w:lineRule="auto"/>
              <w:jc w:val="both"/>
              <w:rPr>
                <w:rFonts w:ascii="Garamond" w:eastAsia="Times New Roman" w:hAnsi="Garamond" w:cs="Times New Roman"/>
                <w:sz w:val="24"/>
                <w:szCs w:val="24"/>
                <w:lang w:eastAsia="pt-BR"/>
              </w:rPr>
            </w:pPr>
            <w:r w:rsidRPr="00395593">
              <w:rPr>
                <w:rFonts w:ascii="Garamond" w:eastAsia="Times New Roman" w:hAnsi="Garamond" w:cs="Arial"/>
                <w:color w:val="000000" w:themeColor="text1"/>
                <w:sz w:val="24"/>
                <w:szCs w:val="24"/>
                <w:lang w:eastAsia="pt-BR"/>
              </w:rPr>
              <w:t>Regulamenta as normas que disciplinam os procedimentos administrativos relativos à aplicação de medidas de salvaguarda.</w:t>
            </w:r>
          </w:p>
        </w:tc>
      </w:tr>
    </w:tbl>
    <w:p w14:paraId="57A834C7" w14:textId="77777777" w:rsidR="008D2CB0" w:rsidRPr="00395593" w:rsidRDefault="008D2CB0" w:rsidP="115E7D8A">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themeColor="text1"/>
          <w:sz w:val="24"/>
          <w:szCs w:val="24"/>
          <w:lang w:eastAsia="pt-BR"/>
        </w:rPr>
        <w:t xml:space="preserve">        O </w:t>
      </w:r>
      <w:r w:rsidRPr="005C5CBD">
        <w:rPr>
          <w:rFonts w:ascii="Garamond" w:eastAsia="Times New Roman" w:hAnsi="Garamond" w:cs="Arial"/>
          <w:b/>
          <w:bCs/>
          <w:color w:val="000000" w:themeColor="text1"/>
          <w:sz w:val="24"/>
          <w:szCs w:val="24"/>
          <w:lang w:eastAsia="pt-BR"/>
        </w:rPr>
        <w:t>PRESIDENTE DA REPÚBLICA</w:t>
      </w:r>
      <w:r w:rsidRPr="00395593">
        <w:rPr>
          <w:rFonts w:ascii="Garamond" w:eastAsia="Times New Roman" w:hAnsi="Garamond" w:cs="Arial"/>
          <w:color w:val="000000" w:themeColor="text1"/>
          <w:sz w:val="24"/>
          <w:szCs w:val="24"/>
          <w:lang w:eastAsia="pt-BR"/>
        </w:rPr>
        <w:t> , no uso das atribuições que lhe confere o art. 84, incisos IV e VI, da Constituição e tendo em vista o disposto no Acordo Sobre Salvaguarda, aprovado pelo Decreto Legislativo nº 30, de 15 de dezembro de 1994, e promulgado pelo Decreto nº 1.355, de 30 de dezembro de 1994, constante do Acordo Geral sobre Tarifas Aduaneiras e Comércio - GATT, adotado pela Lei nº 313, de 30 de julho de 1948,</w:t>
      </w:r>
    </w:p>
    <w:p w14:paraId="6AFD9440" w14:textId="77777777" w:rsidR="008D2CB0" w:rsidRPr="005C5CBD" w:rsidRDefault="008D2CB0" w:rsidP="008D2CB0">
      <w:pPr>
        <w:spacing w:before="100" w:beforeAutospacing="1" w:after="100" w:afterAutospacing="1" w:line="240" w:lineRule="auto"/>
        <w:jc w:val="both"/>
        <w:rPr>
          <w:rFonts w:ascii="Garamond" w:eastAsia="Times New Roman" w:hAnsi="Garamond" w:cs="Times New Roman"/>
          <w:bCs/>
          <w:color w:val="000000"/>
          <w:sz w:val="24"/>
          <w:szCs w:val="24"/>
          <w:lang w:eastAsia="pt-BR"/>
        </w:rPr>
      </w:pPr>
      <w:r w:rsidRPr="005C5CBD">
        <w:rPr>
          <w:rFonts w:ascii="Garamond" w:eastAsia="Times New Roman" w:hAnsi="Garamond" w:cs="Arial"/>
          <w:bCs/>
          <w:color w:val="000000"/>
          <w:sz w:val="24"/>
          <w:szCs w:val="24"/>
          <w:lang w:eastAsia="pt-BR"/>
        </w:rPr>
        <w:t>        DECRETA:</w:t>
      </w:r>
    </w:p>
    <w:p w14:paraId="1D2D52EA" w14:textId="77777777" w:rsidR="008D2CB0" w:rsidRPr="00395593" w:rsidRDefault="008D2CB0" w:rsidP="008D2CB0">
      <w:pPr>
        <w:spacing w:before="100" w:beforeAutospacing="1" w:after="100" w:afterAutospacing="1" w:line="240" w:lineRule="auto"/>
        <w:jc w:val="center"/>
        <w:rPr>
          <w:rFonts w:ascii="Garamond" w:eastAsia="Times New Roman" w:hAnsi="Garamond" w:cs="Times New Roman"/>
          <w:b/>
          <w:color w:val="000000"/>
          <w:sz w:val="24"/>
          <w:szCs w:val="24"/>
          <w:lang w:eastAsia="pt-BR"/>
        </w:rPr>
      </w:pPr>
      <w:r w:rsidRPr="00395593">
        <w:rPr>
          <w:rFonts w:ascii="Garamond" w:eastAsia="Times New Roman" w:hAnsi="Garamond" w:cs="Arial"/>
          <w:b/>
          <w:color w:val="000000"/>
          <w:sz w:val="24"/>
          <w:szCs w:val="24"/>
          <w:lang w:eastAsia="pt-BR"/>
        </w:rPr>
        <w:t>Capítulo I</w:t>
      </w:r>
    </w:p>
    <w:p w14:paraId="6ED291A1" w14:textId="77777777" w:rsidR="008D2CB0" w:rsidRPr="00395593" w:rsidRDefault="008D2CB0" w:rsidP="008D2CB0">
      <w:pPr>
        <w:spacing w:before="100" w:beforeAutospacing="1" w:after="100" w:afterAutospacing="1" w:line="240" w:lineRule="auto"/>
        <w:jc w:val="center"/>
        <w:rPr>
          <w:rFonts w:ascii="Garamond" w:eastAsia="Times New Roman" w:hAnsi="Garamond" w:cs="Times New Roman"/>
          <w:b/>
          <w:color w:val="000000"/>
          <w:sz w:val="24"/>
          <w:szCs w:val="24"/>
          <w:lang w:eastAsia="pt-BR"/>
        </w:rPr>
      </w:pPr>
      <w:r w:rsidRPr="00395593">
        <w:rPr>
          <w:rFonts w:ascii="Garamond" w:eastAsia="Times New Roman" w:hAnsi="Garamond" w:cs="Arial"/>
          <w:b/>
          <w:color w:val="000000"/>
          <w:sz w:val="24"/>
          <w:szCs w:val="24"/>
          <w:lang w:eastAsia="pt-BR"/>
        </w:rPr>
        <w:t>CONDIÇÕES DE APLICAÇÃO</w:t>
      </w:r>
    </w:p>
    <w:p w14:paraId="1F29B74A"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156" w:name="art1"/>
      <w:bookmarkEnd w:id="156"/>
      <w:r w:rsidRPr="00395593">
        <w:rPr>
          <w:rFonts w:ascii="Garamond" w:eastAsia="Times New Roman" w:hAnsi="Garamond" w:cs="Arial"/>
          <w:color w:val="000000"/>
          <w:sz w:val="24"/>
          <w:szCs w:val="24"/>
          <w:lang w:eastAsia="pt-BR"/>
        </w:rPr>
        <w:t>Art. 1º Poderão ser aplicadas medidas de salvaguarda a um produto se de uma investigação resultar a constatação, de acordo com as disposições previstas neste regulamento, de que as importações desse produto aumentaram em tais quantidades e, em termos absolutos ou em relação à produção nacional, e em tais condições que causem ou ameacem causar prejuízo grave à indústria doméstica de bens similares ou diretamente concorrentes.</w:t>
      </w:r>
    </w:p>
    <w:p w14:paraId="1E6957A5"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Art. 2º Compete ao Ministro da Indústria, do Comércio e do Turismo e ao Ministro da Fazenda, em ato conjunto, a aplicação de medidas de salvaguarda disciplinadas por este regulamento.</w:t>
      </w:r>
    </w:p>
    <w:p w14:paraId="4A540C8A"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157" w:name="art2§1"/>
      <w:bookmarkEnd w:id="157"/>
      <w:r w:rsidRPr="00395593">
        <w:rPr>
          <w:rFonts w:ascii="Garamond" w:eastAsia="Times New Roman" w:hAnsi="Garamond" w:cs="Arial"/>
          <w:color w:val="000000"/>
          <w:sz w:val="24"/>
          <w:szCs w:val="24"/>
          <w:lang w:eastAsia="pt-BR"/>
        </w:rPr>
        <w:t>§ 1º A aplicação de medidas de salvaguarda será precedida de investigação, pela Secretaria de Comércio Exterior SECEX, do Ministério da Indústria, do Comércio e do Turismo.</w:t>
      </w:r>
    </w:p>
    <w:p w14:paraId="1571DB6F"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 2º As decisões relativas à aplicação, suspensão ou alteração dos prazos de aplicação de medidas de salvaguarda serão tomadas com base no parecer da SECEX, ouvidos o Ministério das Relações Exteriores e, quando for o caso, os ministérios em cuja área de competência relacionar-se as decisões, as quais deverão ser publicadas no Diário Oficial da União.</w:t>
      </w:r>
    </w:p>
    <w:p w14:paraId="4BFBE7DF" w14:textId="77777777" w:rsidR="008D2CB0" w:rsidRPr="00395593" w:rsidRDefault="008D2CB0" w:rsidP="008D2CB0">
      <w:pPr>
        <w:spacing w:before="100" w:beforeAutospacing="1" w:after="100" w:afterAutospacing="1" w:line="240" w:lineRule="auto"/>
        <w:ind w:firstLine="225"/>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Art. 3º A solicitação de aplicação de medida de salvaguarda poderá ser apresentada:</w:t>
      </w:r>
    </w:p>
    <w:p w14:paraId="19FB38D8" w14:textId="77777777" w:rsidR="008D2CB0" w:rsidRPr="00395593" w:rsidRDefault="008D2CB0" w:rsidP="008D2CB0">
      <w:pPr>
        <w:spacing w:before="100" w:beforeAutospacing="1" w:after="100" w:afterAutospacing="1" w:line="240" w:lineRule="auto"/>
        <w:ind w:firstLine="225"/>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I - pela SECEX;</w:t>
      </w:r>
    </w:p>
    <w:p w14:paraId="55C08059" w14:textId="77777777" w:rsidR="008D2CB0" w:rsidRPr="00395593" w:rsidRDefault="008D2CB0" w:rsidP="008D2CB0">
      <w:pPr>
        <w:spacing w:before="100" w:beforeAutospacing="1" w:after="100" w:afterAutospacing="1" w:line="240" w:lineRule="auto"/>
        <w:ind w:firstLine="225"/>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II - pelos demais órgãos e entidades interessadas do Governo Federal;</w:t>
      </w:r>
    </w:p>
    <w:p w14:paraId="5508B3EB" w14:textId="77777777" w:rsidR="008D2CB0" w:rsidRPr="00395593" w:rsidRDefault="008D2CB0" w:rsidP="008D2CB0">
      <w:pPr>
        <w:spacing w:before="100" w:beforeAutospacing="1" w:after="100" w:afterAutospacing="1" w:line="240" w:lineRule="auto"/>
        <w:ind w:firstLine="225"/>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III - por empresas ou associações representativas de empresas que produzam o produto objeto da solicitação.</w:t>
      </w:r>
    </w:p>
    <w:p w14:paraId="49EB1331" w14:textId="77777777" w:rsidR="008D2CB0" w:rsidRPr="00395593" w:rsidRDefault="008D2CB0" w:rsidP="008D2CB0">
      <w:pPr>
        <w:spacing w:before="100" w:beforeAutospacing="1" w:after="100" w:afterAutospacing="1" w:line="240" w:lineRule="auto"/>
        <w:ind w:firstLine="1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 1º Os pedidos de aplicação de medidas de salvaguarda deverão ser formulados por escrito, de acordo com roteiro elaborado pela SECEX, instruídos com elementos suficientes de prova, demonstrativos do aumento das importações, do prejuízo grave ou da ameaça de prejuízo grave por elas causado e da relação causal entre ambas as circunstâncias.</w:t>
      </w:r>
    </w:p>
    <w:p w14:paraId="5A4C09F4" w14:textId="77777777" w:rsidR="008D2CB0" w:rsidRPr="00395593" w:rsidRDefault="008D2CB0" w:rsidP="008D2CB0">
      <w:pPr>
        <w:spacing w:before="100" w:beforeAutospacing="1" w:after="100" w:afterAutospacing="1" w:line="240" w:lineRule="auto"/>
        <w:ind w:firstLine="1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 2º A decisão sobre início de investigação, destinada a deliberar acerca da aplicação de medidas de salvaguarda, será objeto de Circular da SECEX, publicada no Diário Oficial da União, cabendo ao Ministério das Relações Exteriores transmitir as informações pertinentes ao Comitê de Salvaguardas da Organização Mundial de Comércio - OMC.</w:t>
      </w:r>
    </w:p>
    <w:p w14:paraId="3226B699" w14:textId="77777777" w:rsidR="008D2CB0" w:rsidRPr="00395593" w:rsidRDefault="008D2CB0" w:rsidP="008D2CB0">
      <w:pPr>
        <w:spacing w:before="100" w:beforeAutospacing="1" w:after="100" w:afterAutospacing="1" w:line="240" w:lineRule="auto"/>
        <w:ind w:firstLine="1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 3º Serão ouvidas, em audiência, no prazo de trinta dias, as partes interessadas, que terão oportunidade para apresentar elementos de prova e manifestar-se sobre as alegações das outras partes interessadas. Os pedidos para audiências serão formulados por escrito à SECEX.</w:t>
      </w:r>
    </w:p>
    <w:p w14:paraId="1237E713" w14:textId="77777777" w:rsidR="008D2CB0" w:rsidRPr="00395593" w:rsidRDefault="008D2CB0" w:rsidP="008D2CB0">
      <w:pPr>
        <w:spacing w:before="100" w:beforeAutospacing="1" w:after="100" w:afterAutospacing="1" w:line="240" w:lineRule="auto"/>
        <w:ind w:firstLine="1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 4º Dar-se-á oportunidade adequada para que se realizem consultas prévias com qualquer Governo que tenha um interesse substancial como país exportador do produto em questão, com vistas a examinar a informação fornecida pelo solicitante, trocar opiniões sobre a medida e buscar um entendimento sobre as formas de alcançar o objetivo de manter o nível equivalente de direitos e obrigações nos termos do GATT 1994.</w:t>
      </w:r>
    </w:p>
    <w:p w14:paraId="05A86F11" w14:textId="77777777" w:rsidR="008D2CB0" w:rsidRPr="00395593" w:rsidRDefault="008D2CB0" w:rsidP="008D2CB0">
      <w:pPr>
        <w:spacing w:before="100" w:beforeAutospacing="1" w:after="100" w:afterAutospacing="1" w:line="240" w:lineRule="auto"/>
        <w:ind w:firstLine="1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 5º As determinações das autoridades de que trata o caput art. 2º serão objeto de portaria interministerial, que conterá as decisões de fato e de direito, com análise detalhada do caso e demonstração da relevância dos fatores examinados.</w:t>
      </w:r>
    </w:p>
    <w:p w14:paraId="29B98444" w14:textId="77777777" w:rsidR="008D2CB0" w:rsidRPr="00395593" w:rsidRDefault="008D2CB0" w:rsidP="008D2CB0">
      <w:pPr>
        <w:spacing w:before="100" w:beforeAutospacing="1" w:after="100" w:afterAutospacing="1" w:line="240" w:lineRule="auto"/>
        <w:ind w:firstLine="1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 6º Toda informação prestada em caráter sigiloso pelos interessados em uma investigação de salvaguardas será, mediante prévia justificação, classificada como tal pela SECEX e não poderá ser divulgada sem o consentimento expresso da parte que a forneceu.</w:t>
      </w:r>
    </w:p>
    <w:p w14:paraId="4D13FB2B" w14:textId="77777777" w:rsidR="008D2CB0" w:rsidRPr="00395593" w:rsidRDefault="008D2CB0" w:rsidP="008D2CB0">
      <w:pPr>
        <w:spacing w:before="100" w:beforeAutospacing="1" w:after="100" w:afterAutospacing="1" w:line="240" w:lineRule="auto"/>
        <w:ind w:firstLine="1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 7º A SECEX poderá convidar as partes que forneceram informações sigilosas a apresentarem um resumo não sigiloso das mesmas e, na hipótese de declararem que a informação não pode ser resumida, deverão expor as razões dessa impossibilidade.</w:t>
      </w:r>
    </w:p>
    <w:p w14:paraId="129791FE" w14:textId="77777777" w:rsidR="008D2CB0" w:rsidRPr="00395593" w:rsidRDefault="008D2CB0" w:rsidP="008D2CB0">
      <w:pPr>
        <w:spacing w:before="100" w:beforeAutospacing="1" w:after="100" w:afterAutospacing="1" w:line="240" w:lineRule="auto"/>
        <w:ind w:firstLine="1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 8º Caso a SECEX venha entender que um pedido de tratamento sigiloso não é justificado, e se a parte que prestou a informação não desejar torná-la pública, nem autorizar a sua divulgação no todo ou em parte, a SECEX reserva-se o direito de não levá-la em consideração, salvo se lhe for demonstrado, de maneira convincente e por fonte fidedigna, que a mesma é correta.</w:t>
      </w:r>
    </w:p>
    <w:p w14:paraId="5BC869EE" w14:textId="77777777" w:rsidR="008D2CB0" w:rsidRPr="00395593" w:rsidRDefault="008D2CB0" w:rsidP="008D2CB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II</w:t>
      </w:r>
    </w:p>
    <w:p w14:paraId="3294B331" w14:textId="77777777" w:rsidR="008D2CB0" w:rsidRPr="00395593" w:rsidRDefault="008D2CB0" w:rsidP="008D2CB0">
      <w:pPr>
        <w:spacing w:before="100" w:beforeAutospacing="1" w:after="100" w:afterAutospacing="1" w:line="240" w:lineRule="auto"/>
        <w:jc w:val="center"/>
        <w:rPr>
          <w:rFonts w:ascii="Garamond" w:eastAsia="Times New Roman" w:hAnsi="Garamond" w:cs="Times New Roman"/>
          <w:b/>
          <w:color w:val="000000"/>
          <w:sz w:val="24"/>
          <w:szCs w:val="24"/>
          <w:lang w:eastAsia="pt-BR"/>
        </w:rPr>
      </w:pPr>
      <w:r w:rsidRPr="00395593">
        <w:rPr>
          <w:rFonts w:ascii="Garamond" w:eastAsia="Times New Roman" w:hAnsi="Garamond" w:cs="Arial"/>
          <w:b/>
          <w:color w:val="000000"/>
          <w:sz w:val="24"/>
          <w:szCs w:val="24"/>
          <w:lang w:eastAsia="pt-BR"/>
        </w:rPr>
        <w:t>MEDIDAS DE SALVAGUARDA PROVISÓRIA</w:t>
      </w:r>
    </w:p>
    <w:p w14:paraId="0DAB2F94" w14:textId="77777777" w:rsidR="008D2CB0" w:rsidRPr="00395593" w:rsidRDefault="008D2CB0" w:rsidP="008D2CB0">
      <w:pPr>
        <w:spacing w:before="100" w:beforeAutospacing="1" w:after="100" w:afterAutospacing="1" w:line="240" w:lineRule="auto"/>
        <w:ind w:firstLine="1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bookmarkStart w:id="158" w:name="art4"/>
      <w:bookmarkEnd w:id="158"/>
      <w:r w:rsidRPr="00395593">
        <w:rPr>
          <w:rFonts w:ascii="Garamond" w:eastAsia="Times New Roman" w:hAnsi="Garamond" w:cs="Arial"/>
          <w:color w:val="000000"/>
          <w:sz w:val="24"/>
          <w:szCs w:val="24"/>
          <w:lang w:eastAsia="pt-BR"/>
        </w:rPr>
        <w:t>Art. 4º Medida de salvaguarda provisória poderá ser aplicada em circunstâncias críticas, nos casos em que qualquer demora possa causar prejuízo grave de difícil reparação, após uma determinação preliminar da existência de elementos de prova claros de que o aumento das importações causou ou esteja ameaçando causar prejuízo grave à indústria doméstica, devendo ser as consultas com qualquer Governo envolvido iniciadas imediatamente após a sua aplicação.</w:t>
      </w:r>
    </w:p>
    <w:p w14:paraId="7B4CECE5" w14:textId="77777777" w:rsidR="008D2CB0" w:rsidRPr="00395593" w:rsidRDefault="008D2CB0" w:rsidP="008D2CB0">
      <w:pPr>
        <w:spacing w:before="100" w:beforeAutospacing="1" w:after="100" w:afterAutospacing="1" w:line="240" w:lineRule="auto"/>
        <w:ind w:firstLine="1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 1º A medida de salvaguarda provisória terá duração máxima de duzentos dias, podendo ser suspensa por decisão interministerial antes do prazo final estabelecido.</w:t>
      </w:r>
    </w:p>
    <w:p w14:paraId="51290CDE" w14:textId="77777777" w:rsidR="008D2CB0" w:rsidRPr="00395593" w:rsidRDefault="008D2CB0" w:rsidP="008D2CB0">
      <w:pPr>
        <w:spacing w:before="100" w:beforeAutospacing="1" w:after="100" w:afterAutospacing="1" w:line="240" w:lineRule="auto"/>
        <w:ind w:firstLine="1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 2º Quando se decidir pela adoção de medida de salvaguarda definitiva, o prazo de sua aplicação em caráter provisório será computado para efeito da vigência total da mesma.</w:t>
      </w:r>
    </w:p>
    <w:p w14:paraId="2EDF8E45" w14:textId="77777777" w:rsidR="008D2CB0" w:rsidRPr="00395593" w:rsidRDefault="008D2CB0" w:rsidP="008D2CB0">
      <w:pPr>
        <w:spacing w:before="100" w:beforeAutospacing="1" w:after="100" w:afterAutospacing="1" w:line="240" w:lineRule="auto"/>
        <w:ind w:firstLine="1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strike/>
          <w:color w:val="000000"/>
          <w:sz w:val="24"/>
          <w:szCs w:val="24"/>
          <w:lang w:eastAsia="pt-BR"/>
        </w:rPr>
        <w:t>§ 3º Medidas de salvaguarda provisórias serão cobradas independentemente de qualquer obrigações de natureza tributária, mediante aplicações de alíquota ad valorem , de alíquota específica ou da combinação de ambas e arrecadadas como entradas compensatórias, de acordo com o disposto no art. 3º, parágrafo único, da </w:t>
      </w:r>
      <w:hyperlink r:id="rId245" w:history="1">
        <w:r w:rsidRPr="00395593">
          <w:rPr>
            <w:rFonts w:ascii="Garamond" w:eastAsia="Times New Roman" w:hAnsi="Garamond" w:cs="Arial"/>
            <w:strike/>
            <w:color w:val="0000FF"/>
            <w:sz w:val="24"/>
            <w:szCs w:val="24"/>
            <w:u w:val="single"/>
            <w:lang w:eastAsia="pt-BR"/>
          </w:rPr>
          <w:t>Lei nº 4.320, de 17 de março de 1964</w:t>
        </w:r>
      </w:hyperlink>
      <w:r w:rsidRPr="00395593">
        <w:rPr>
          <w:rFonts w:ascii="Garamond" w:eastAsia="Times New Roman" w:hAnsi="Garamond" w:cs="Arial"/>
          <w:strike/>
          <w:color w:val="000000"/>
          <w:sz w:val="24"/>
          <w:szCs w:val="24"/>
          <w:lang w:eastAsia="pt-BR"/>
        </w:rPr>
        <w:t>.</w:t>
      </w:r>
      <w:r w:rsidRPr="00395593">
        <w:rPr>
          <w:rFonts w:ascii="Garamond" w:eastAsia="Times New Roman" w:hAnsi="Garamond" w:cs="Arial"/>
          <w:strike/>
          <w:color w:val="000000"/>
          <w:sz w:val="24"/>
          <w:szCs w:val="24"/>
          <w:lang w:eastAsia="pt-BR"/>
        </w:rPr>
        <w:br/>
        <w:t>   </w:t>
      </w:r>
      <w:r w:rsidRPr="00395593">
        <w:rPr>
          <w:rFonts w:ascii="Garamond" w:eastAsia="Times New Roman" w:hAnsi="Garamond" w:cs="Times New Roman"/>
          <w:strike/>
          <w:color w:val="000000"/>
          <w:sz w:val="24"/>
          <w:szCs w:val="24"/>
          <w:lang w:eastAsia="pt-BR"/>
        </w:rPr>
        <w:t>   </w:t>
      </w:r>
      <w:r w:rsidRPr="00395593">
        <w:rPr>
          <w:rFonts w:ascii="Garamond" w:eastAsia="Times New Roman" w:hAnsi="Garamond" w:cs="Arial"/>
          <w:strike/>
          <w:color w:val="000000"/>
          <w:sz w:val="24"/>
          <w:szCs w:val="24"/>
          <w:lang w:eastAsia="pt-BR"/>
        </w:rPr>
        <w:t>  § 4º O valor correspondente à medida de salvaguarda provisória poderá ser recolhido ou ficar depositado em garantia, devendo o eventual ressarcimento ser feito em moeda, preservado o valor real dos depósitos efetuados.</w:t>
      </w:r>
      <w:r w:rsidRPr="00395593">
        <w:rPr>
          <w:rFonts w:ascii="Garamond" w:eastAsia="Times New Roman" w:hAnsi="Garamond" w:cs="Arial"/>
          <w:strike/>
          <w:color w:val="000000"/>
          <w:sz w:val="24"/>
          <w:szCs w:val="24"/>
          <w:lang w:eastAsia="pt-BR"/>
        </w:rPr>
        <w:br/>
        <w:t>   </w:t>
      </w:r>
      <w:r w:rsidRPr="00395593">
        <w:rPr>
          <w:rFonts w:ascii="Garamond" w:eastAsia="Times New Roman" w:hAnsi="Garamond" w:cs="Times New Roman"/>
          <w:strike/>
          <w:color w:val="000000"/>
          <w:sz w:val="24"/>
          <w:szCs w:val="24"/>
          <w:lang w:eastAsia="pt-BR"/>
        </w:rPr>
        <w:t>     </w:t>
      </w:r>
      <w:r w:rsidRPr="00395593">
        <w:rPr>
          <w:rFonts w:ascii="Garamond" w:eastAsia="Times New Roman" w:hAnsi="Garamond" w:cs="Arial"/>
          <w:strike/>
          <w:color w:val="000000"/>
          <w:sz w:val="24"/>
          <w:szCs w:val="24"/>
          <w:lang w:eastAsia="pt-BR"/>
        </w:rPr>
        <w:t>§ 5º Ocorrerá o ressarcimento imediato sempre que a investigação a concluir pela improcedência de aplicação de medida de salvaguarda defin</w:t>
      </w:r>
      <w:r w:rsidRPr="00395593">
        <w:rPr>
          <w:rFonts w:ascii="Garamond" w:eastAsia="Times New Roman" w:hAnsi="Garamond" w:cs="Arial"/>
          <w:color w:val="000000"/>
          <w:sz w:val="24"/>
          <w:szCs w:val="24"/>
          <w:lang w:eastAsia="pt-BR"/>
        </w:rPr>
        <w:t>itiva.</w:t>
      </w:r>
    </w:p>
    <w:p w14:paraId="5161BCF0"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159" w:name="art4§3"/>
      <w:bookmarkEnd w:id="159"/>
      <w:r w:rsidRPr="00395593">
        <w:rPr>
          <w:rFonts w:ascii="Garamond" w:eastAsia="Times New Roman" w:hAnsi="Garamond" w:cs="Arial"/>
          <w:color w:val="000000"/>
          <w:sz w:val="24"/>
          <w:szCs w:val="24"/>
          <w:lang w:eastAsia="pt-BR"/>
        </w:rPr>
        <w:t>§ 3° Medidas de salvaguarda provisórias serão aplicadas como elevação do imposto de importação, por meio de adicional à Tarifa Externa Comum - TEC, sob a forma de alíquota ad valorem, de alíquota específica ou da combinação de ambas.           </w:t>
      </w:r>
      <w:hyperlink r:id="rId246" w:anchor="art1" w:history="1">
        <w:r w:rsidRPr="00395593">
          <w:rPr>
            <w:rFonts w:ascii="Garamond" w:eastAsia="Times New Roman" w:hAnsi="Garamond" w:cs="Arial"/>
            <w:color w:val="0000FF"/>
            <w:sz w:val="24"/>
            <w:szCs w:val="24"/>
            <w:u w:val="single"/>
            <w:lang w:eastAsia="pt-BR"/>
          </w:rPr>
          <w:t>(Redação dada pelo Decreto nº 1.936, de 1996)</w:t>
        </w:r>
      </w:hyperlink>
    </w:p>
    <w:p w14:paraId="2D9A3528"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 4° Ocorrerá a restituição do valor correspondente à medida de salvaguarda provisória, nos termos da legislação vigente, sempre que a investigação concluir pela improcedência de aplicação de medidas de salvaguarda definitivas.          </w:t>
      </w:r>
      <w:hyperlink r:id="rId247" w:anchor="art1" w:history="1">
        <w:r w:rsidRPr="00395593">
          <w:rPr>
            <w:rFonts w:ascii="Garamond" w:eastAsia="Times New Roman" w:hAnsi="Garamond" w:cs="Arial"/>
            <w:color w:val="0000FF"/>
            <w:sz w:val="24"/>
            <w:szCs w:val="24"/>
            <w:u w:val="single"/>
            <w:lang w:eastAsia="pt-BR"/>
          </w:rPr>
          <w:t>(Redação dada pelo Decreto nº 1.936, de 1996)</w:t>
        </w:r>
      </w:hyperlink>
    </w:p>
    <w:p w14:paraId="0FF5FD93" w14:textId="77777777" w:rsidR="008D2CB0" w:rsidRPr="00395593" w:rsidRDefault="008D2CB0" w:rsidP="008D2CB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III</w:t>
      </w:r>
    </w:p>
    <w:p w14:paraId="6B0DB329" w14:textId="77777777" w:rsidR="008D2CB0" w:rsidRPr="00395593" w:rsidRDefault="008D2CB0" w:rsidP="008D2CB0">
      <w:pPr>
        <w:spacing w:before="100" w:beforeAutospacing="1" w:after="100" w:afterAutospacing="1" w:line="240" w:lineRule="auto"/>
        <w:jc w:val="center"/>
        <w:rPr>
          <w:rFonts w:ascii="Garamond" w:eastAsia="Times New Roman" w:hAnsi="Garamond" w:cs="Times New Roman"/>
          <w:b/>
          <w:color w:val="000000"/>
          <w:sz w:val="24"/>
          <w:szCs w:val="24"/>
          <w:lang w:eastAsia="pt-BR"/>
        </w:rPr>
      </w:pPr>
      <w:r w:rsidRPr="00395593">
        <w:rPr>
          <w:rFonts w:ascii="Garamond" w:eastAsia="Times New Roman" w:hAnsi="Garamond" w:cs="Arial"/>
          <w:b/>
          <w:color w:val="000000"/>
          <w:sz w:val="24"/>
          <w:szCs w:val="24"/>
          <w:lang w:eastAsia="pt-BR"/>
        </w:rPr>
        <w:t>NÃO SELETIVIDADE</w:t>
      </w:r>
    </w:p>
    <w:p w14:paraId="079F2608"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Arial"/>
          <w:strike/>
          <w:color w:val="000000"/>
          <w:sz w:val="24"/>
          <w:szCs w:val="24"/>
          <w:lang w:eastAsia="pt-BR"/>
        </w:rPr>
        <w:t>Art. 5º As medidas de salvaguarda provisória serão aplicadas ao produto importado independentemente de sua origem, exceto nos casos previstos nas disposições transitórias aplicáveis a produtos têxteis.</w:t>
      </w:r>
    </w:p>
    <w:p w14:paraId="7F82B760"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160" w:name="art5"/>
      <w:bookmarkEnd w:id="160"/>
      <w:r w:rsidRPr="00395593">
        <w:rPr>
          <w:rFonts w:ascii="Garamond" w:eastAsia="Times New Roman" w:hAnsi="Garamond" w:cs="Arial"/>
          <w:color w:val="000000"/>
          <w:sz w:val="24"/>
          <w:szCs w:val="24"/>
          <w:lang w:eastAsia="pt-BR"/>
        </w:rPr>
        <w:t>Art. 5° As medidas de salvaguarda serão aplicadas ao produto importado independentemente de sua origem, exceto nos casos previstos nas disposições transitórias aplicáveis a produtos têxteis.           </w:t>
      </w:r>
      <w:hyperlink r:id="rId248" w:anchor="art1" w:history="1">
        <w:r w:rsidRPr="00395593">
          <w:rPr>
            <w:rFonts w:ascii="Garamond" w:eastAsia="Times New Roman" w:hAnsi="Garamond" w:cs="Arial"/>
            <w:color w:val="0000FF"/>
            <w:sz w:val="24"/>
            <w:szCs w:val="24"/>
            <w:u w:val="single"/>
            <w:lang w:eastAsia="pt-BR"/>
          </w:rPr>
          <w:t>(Redação dada pelo Decreto nº 1.936, de 1996)</w:t>
        </w:r>
      </w:hyperlink>
    </w:p>
    <w:p w14:paraId="54C1E019" w14:textId="77777777" w:rsidR="008D2CB0" w:rsidRPr="00395593" w:rsidRDefault="008D2CB0" w:rsidP="008D2CB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IV</w:t>
      </w:r>
    </w:p>
    <w:p w14:paraId="2CBF1399" w14:textId="77777777" w:rsidR="008D2CB0" w:rsidRPr="00395593" w:rsidRDefault="008D2CB0" w:rsidP="008D2CB0">
      <w:pPr>
        <w:spacing w:before="100" w:beforeAutospacing="1" w:after="100" w:afterAutospacing="1" w:line="240" w:lineRule="auto"/>
        <w:jc w:val="center"/>
        <w:rPr>
          <w:rFonts w:ascii="Garamond" w:eastAsia="Times New Roman" w:hAnsi="Garamond" w:cs="Times New Roman"/>
          <w:color w:val="000000"/>
          <w:sz w:val="24"/>
          <w:szCs w:val="24"/>
          <w:lang w:eastAsia="pt-BR"/>
        </w:rPr>
      </w:pPr>
      <w:r w:rsidRPr="00395593">
        <w:rPr>
          <w:rFonts w:ascii="Garamond" w:eastAsia="Times New Roman" w:hAnsi="Garamond" w:cs="Arial"/>
          <w:b/>
          <w:color w:val="000000"/>
          <w:sz w:val="24"/>
          <w:szCs w:val="24"/>
          <w:lang w:eastAsia="pt-BR"/>
        </w:rPr>
        <w:t>PREJUÍZO GRAVE E AMEAÇA DE PREJUÍZO GRAVE</w:t>
      </w:r>
    </w:p>
    <w:p w14:paraId="395F995E"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Art. 6º Para os efeitos do presente regulamento, entender-se-á por:</w:t>
      </w:r>
    </w:p>
    <w:p w14:paraId="238B7B40"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I - prejuízo grave: a deterioração geral significativa da situação de uma determinada indústria doméstica;</w:t>
      </w:r>
    </w:p>
    <w:p w14:paraId="39040065"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II - ameaça de prejuízo grave: o prejuízo grave claramente iminente, determinado com base nos fatos e não apenas em alegações, conjecturas ou possibilidades remotas;</w:t>
      </w:r>
    </w:p>
    <w:p w14:paraId="698FFABB"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III - indústria doméstica a proveniente do conjunto dos produtores de bens similares ou diretamente concorrentes, estabelecidos no território brasileiro, ou aqueles, cuja produção conjunta de bens similares ou diretamente concorrentes constitua uma proporção substancial da produção nacional de tais bens.</w:t>
      </w:r>
    </w:p>
    <w:p w14:paraId="5392C22E" w14:textId="77777777" w:rsidR="008D2CB0" w:rsidRPr="00395593" w:rsidRDefault="008D2CB0" w:rsidP="008D2CB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V</w:t>
      </w:r>
    </w:p>
    <w:p w14:paraId="40304E48" w14:textId="77777777" w:rsidR="008D2CB0" w:rsidRPr="00395593" w:rsidRDefault="008D2CB0" w:rsidP="008D2CB0">
      <w:pPr>
        <w:spacing w:before="100" w:beforeAutospacing="1" w:after="100" w:afterAutospacing="1" w:line="240" w:lineRule="auto"/>
        <w:jc w:val="center"/>
        <w:rPr>
          <w:rFonts w:ascii="Garamond" w:eastAsia="Times New Roman" w:hAnsi="Garamond" w:cs="Times New Roman"/>
          <w:color w:val="000000"/>
          <w:sz w:val="24"/>
          <w:szCs w:val="24"/>
          <w:lang w:eastAsia="pt-BR"/>
        </w:rPr>
      </w:pPr>
      <w:r w:rsidRPr="00395593">
        <w:rPr>
          <w:rFonts w:ascii="Garamond" w:eastAsia="Times New Roman" w:hAnsi="Garamond" w:cs="Arial"/>
          <w:b/>
          <w:color w:val="000000"/>
          <w:sz w:val="24"/>
          <w:szCs w:val="24"/>
          <w:lang w:eastAsia="pt-BR"/>
        </w:rPr>
        <w:t>DA INVESTIGAÇÃO</w:t>
      </w:r>
    </w:p>
    <w:p w14:paraId="1837E565"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Art. 7º A investigação para a determinação de prejuízo grave ou ameaça de prejuízo grave decorrente do aumento das importações de determinado produto deverá levar em conta todos os fatores objetivos e quantificáveis relacionados à situação da indústria doméstica afetada, particularmente os seguintes:</w:t>
      </w:r>
    </w:p>
    <w:p w14:paraId="336800E0"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I - o volume e a taxa de crescimento das importações do produto, em termos absolutos e relativos;</w:t>
      </w:r>
    </w:p>
    <w:p w14:paraId="37F65928"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II - a parcela do mercado interno absorvida por importações crescentes;</w:t>
      </w:r>
    </w:p>
    <w:p w14:paraId="00C72DD3"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III - o preço das importações, sobretudo para determinar se houve subcotação significativa em relação ao preço do produto doméstico similar;</w:t>
      </w:r>
    </w:p>
    <w:p w14:paraId="7435A668"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IV - o conseqüente impacto sobre a indústria doméstica dos produtos similares ou diretamente concorrentes, evidenciado pelas alterações de fatores econômicos tais como: produção, capacidade utilizada, estoques, vendas, participação no mercado, preços (quedas ou sua não elevação, que poderia ter ocorrido na ausência de importações), lucros e perdas, rendimento de capital investido, fluxo de caixa e emprego;</w:t>
      </w:r>
    </w:p>
    <w:p w14:paraId="493DCACF"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V - outros fatores que, embora não relacionados com a evolução das importações, possuam relação de causalidade com o prejuízo ou ameaça de prejuízo à indústria doméstica em causa.</w:t>
      </w:r>
    </w:p>
    <w:p w14:paraId="629A4349"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 1º A determinação de prejuízo grave ou de ameaça de prejuízo grave será baseada em provas objetivas, que demonstrem a existência de nexo causal entre o aumento das importações do produto de que se trata e o alegado prejuízo grave ou ameaça de prejuízo grave.</w:t>
      </w:r>
    </w:p>
    <w:p w14:paraId="53142A6D"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 2º Existindo outros fatores, distintos dos aumentos das importações que, concomitantemente, estejam causando ameaça de prejuízo ou prejuízo grave à indústria doméstica em questão, este prejuízo grave não será atribuído ao aumento das importações.</w:t>
      </w:r>
    </w:p>
    <w:p w14:paraId="47AC6872"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Times New Roman"/>
          <w:color w:val="000000"/>
          <w:sz w:val="24"/>
          <w:szCs w:val="24"/>
          <w:lang w:eastAsia="pt-BR"/>
        </w:rPr>
        <w:t>   </w:t>
      </w:r>
      <w:r w:rsidRPr="00395593">
        <w:rPr>
          <w:rFonts w:ascii="Garamond" w:eastAsia="Times New Roman" w:hAnsi="Garamond" w:cs="Arial"/>
          <w:color w:val="000000"/>
          <w:sz w:val="24"/>
          <w:szCs w:val="24"/>
          <w:lang w:eastAsia="pt-BR"/>
        </w:rPr>
        <w:t>§ 3º A SECEX examinará, quando for alegada ameaça de prejuízo grave, se é claramente previsível que o caso venha a se transformar em prejuízo grave, levando em conta fatores como a taxa de aumento das exportações para o Brasil e a capacidade de exportação do país de origem ou de exportação, existente ou potencial, e a probabilidade de as exportações resultantes dessa capacidade se destinarem ao mercado brasileiro.</w:t>
      </w:r>
    </w:p>
    <w:p w14:paraId="3C2FB6E1" w14:textId="77777777" w:rsidR="008D2CB0" w:rsidRPr="00395593" w:rsidRDefault="008D2CB0" w:rsidP="008D2CB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VI</w:t>
      </w:r>
    </w:p>
    <w:p w14:paraId="0D87AAEF" w14:textId="77777777" w:rsidR="008D2CB0" w:rsidRPr="00395593" w:rsidRDefault="008D2CB0" w:rsidP="008D2CB0">
      <w:pPr>
        <w:spacing w:before="100" w:beforeAutospacing="1" w:after="100" w:afterAutospacing="1" w:line="240" w:lineRule="auto"/>
        <w:jc w:val="center"/>
        <w:rPr>
          <w:rFonts w:ascii="Garamond" w:eastAsia="Times New Roman" w:hAnsi="Garamond" w:cs="Times New Roman"/>
          <w:b/>
          <w:color w:val="000000"/>
          <w:sz w:val="24"/>
          <w:szCs w:val="24"/>
          <w:lang w:eastAsia="pt-BR"/>
        </w:rPr>
      </w:pPr>
      <w:r w:rsidRPr="00395593">
        <w:rPr>
          <w:rFonts w:ascii="Garamond" w:eastAsia="Times New Roman" w:hAnsi="Garamond" w:cs="Arial"/>
          <w:b/>
          <w:color w:val="000000"/>
          <w:sz w:val="24"/>
          <w:szCs w:val="24"/>
          <w:lang w:eastAsia="pt-BR"/>
        </w:rPr>
        <w:t>DA MEDIDA DE SALVAGUARDA DEFINITIVA</w:t>
      </w:r>
    </w:p>
    <w:p w14:paraId="28B55A75"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strike/>
          <w:color w:val="000000"/>
          <w:sz w:val="24"/>
          <w:szCs w:val="24"/>
          <w:lang w:eastAsia="pt-BR"/>
        </w:rPr>
        <w:t>Art. 8º As medidas de salvaguarda serão aplicadas na extensão necessária para prevenir a ameaça de prejuízo ou reparar o prejuízo grave e facilitar o ajustamento, podendo ser adotadas sob a forma de:</w:t>
      </w:r>
      <w:r w:rsidRPr="00395593">
        <w:rPr>
          <w:rFonts w:ascii="Garamond" w:eastAsia="Times New Roman" w:hAnsi="Garamond" w:cs="Arial"/>
          <w:strike/>
          <w:color w:val="000000"/>
          <w:sz w:val="24"/>
          <w:szCs w:val="24"/>
          <w:lang w:eastAsia="pt-BR"/>
        </w:rPr>
        <w:br/>
        <w:t>        I - alíquota ad valorem , aplicação de uma alíquota específica, ou, da combinação de ambas;</w:t>
      </w:r>
    </w:p>
    <w:p w14:paraId="505C06DB"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w:t>
      </w:r>
      <w:bookmarkStart w:id="161" w:name="art8"/>
      <w:bookmarkEnd w:id="161"/>
      <w:r w:rsidRPr="00395593">
        <w:rPr>
          <w:rFonts w:ascii="Garamond" w:eastAsia="Times New Roman" w:hAnsi="Garamond" w:cs="Arial"/>
          <w:color w:val="000000"/>
          <w:sz w:val="24"/>
          <w:szCs w:val="24"/>
          <w:lang w:eastAsia="pt-BR"/>
        </w:rPr>
        <w:t>Art. 8° As medidas de salvaguarda definitivas serão aplicadas, na extensão necessária, para prevenir ou reparar o prejuízo grave e facilitar o ajustamento da indústria doméstica, da seguinte forma:         </w:t>
      </w:r>
      <w:hyperlink r:id="rId249" w:anchor="art1" w:history="1">
        <w:r w:rsidRPr="00395593">
          <w:rPr>
            <w:rFonts w:ascii="Garamond" w:eastAsia="Times New Roman" w:hAnsi="Garamond" w:cs="Arial"/>
            <w:color w:val="0000FF"/>
            <w:sz w:val="24"/>
            <w:szCs w:val="24"/>
            <w:u w:val="single"/>
            <w:lang w:eastAsia="pt-BR"/>
          </w:rPr>
          <w:t>(Redação dada pelo Decreto nº 1.936, de 1996)</w:t>
        </w:r>
      </w:hyperlink>
    </w:p>
    <w:p w14:paraId="757FDCEB"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I - elevação do imposto de importação, por meio de adicional à Tarifa Externa Comum - TEC, sob a forma de alíquota ad valorem, de alíquota específica ou da combinação de ambas;          </w:t>
      </w:r>
      <w:hyperlink r:id="rId250" w:anchor="art1" w:history="1">
        <w:r w:rsidRPr="00395593">
          <w:rPr>
            <w:rFonts w:ascii="Garamond" w:eastAsia="Times New Roman" w:hAnsi="Garamond" w:cs="Arial"/>
            <w:color w:val="0000FF"/>
            <w:sz w:val="24"/>
            <w:szCs w:val="24"/>
            <w:u w:val="single"/>
            <w:lang w:eastAsia="pt-BR"/>
          </w:rPr>
          <w:t>(Redação dada pelo Decreto nº 1.936, de 1996)</w:t>
        </w:r>
      </w:hyperlink>
    </w:p>
    <w:p w14:paraId="454B09A6"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II - restrições quantitativas.</w:t>
      </w:r>
    </w:p>
    <w:p w14:paraId="6ABDFCE5"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1º No caso de utilização de restrições quantitativas, tais medidas não reduzirão o volume das importações abaixo do nível de um período recente, como tal considerado a média das importações nos últimos três anos representativos para os quais se disponha de dados estatísticos, a não ser que exista uma justificativa clara de que é necessário um nível diferente para prevenir a ameaça de prejuízo grave ou reparar o prejuízo grave.</w:t>
      </w:r>
    </w:p>
    <w:p w14:paraId="159BC3FF"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2º Nos casos de utilização de quotas, o Governo brasileiro poderá celebrar acordo com os Governos dos países diretamente interessados no fornecimento do produto, sobre a distribuição das quotas entre os mesmos.</w:t>
      </w:r>
    </w:p>
    <w:p w14:paraId="13BAC935"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3º Não sendo viável o acordo, será fixada quota para cada país diretamente interessado, tomando por base a participação relativa de cada um, em termos de valor ou de quantidade, na importação do produto, considerando um período representativo anterior e levando em conta fatores especiais que possam estar afetando o comércio deste produto.</w:t>
      </w:r>
    </w:p>
    <w:p w14:paraId="7FC5B93C"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4º Poderão ser adotados outros critérios na alocação de quotas, mediante consultas com os Governos dos países interessados, realizadas sobre os auspícios do Comitê de Salvaguardas da OMC, desde que o comitê considere terem sido oferecidas demonstrações claras de que as importações originárias de determinados países aumentaram mais do que proporcionalmente em relação ao crescimento total das importações do produto em questão no período representativo, e de que as condições para aplicação desses critérios são eqüitativas para todos os supridores do produto em pauta. Medidas dessa natureza poderão ser aplicadas somente aos casos de determinação de prejuízo grave e terão a duração máxima limitada ao período de quatro anos estabelecido no § 1º do art. 9º.</w:t>
      </w:r>
    </w:p>
    <w:p w14:paraId="5F6041D5" w14:textId="77777777" w:rsidR="008D2CB0" w:rsidRPr="00395593" w:rsidRDefault="008D2CB0" w:rsidP="008D2CB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VII</w:t>
      </w:r>
    </w:p>
    <w:p w14:paraId="0ACA7F25" w14:textId="77777777" w:rsidR="008D2CB0" w:rsidRPr="00395593" w:rsidRDefault="008D2CB0" w:rsidP="008D2CB0">
      <w:pPr>
        <w:spacing w:before="100" w:beforeAutospacing="1" w:after="100" w:afterAutospacing="1" w:line="240" w:lineRule="auto"/>
        <w:jc w:val="center"/>
        <w:rPr>
          <w:rFonts w:ascii="Garamond" w:eastAsia="Times New Roman" w:hAnsi="Garamond" w:cs="Times New Roman"/>
          <w:b/>
          <w:color w:val="000000"/>
          <w:sz w:val="24"/>
          <w:szCs w:val="24"/>
          <w:lang w:eastAsia="pt-BR"/>
        </w:rPr>
      </w:pPr>
      <w:r w:rsidRPr="00395593">
        <w:rPr>
          <w:rFonts w:ascii="Garamond" w:eastAsia="Times New Roman" w:hAnsi="Garamond" w:cs="Arial"/>
          <w:b/>
          <w:color w:val="000000"/>
          <w:sz w:val="24"/>
          <w:szCs w:val="24"/>
          <w:lang w:eastAsia="pt-BR"/>
        </w:rPr>
        <w:t>DA DURAÇÃO</w:t>
      </w:r>
    </w:p>
    <w:p w14:paraId="157C5E19"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Art 9º As medidas de salvaguarda serão aplicadas somente durante o período necessário para prevenir ou reparar o prejuízo grave e para facilitar o ajustamento.</w:t>
      </w:r>
    </w:p>
    <w:p w14:paraId="5F32ACA3"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1º Não serão aplicadas medidas de salvaguarda por período superior a quatro anos, salvo nos casos em que ocorra uma extensão nos termos descritos no § 2º.</w:t>
      </w:r>
    </w:p>
    <w:p w14:paraId="3615D4F6"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2º O período de aplicação de medidas de salvaguarda poderá ser estendido se as autoridades referidas no caput do art. 2º determinarem, de acordo com os procedimentos estabelecidos no presente regulamento, e com base em parecer da SECEX, que sua aplicação continua necessária para prevenir ou reparar um prejuízo grave, e que haja provas de que a indústria está em processo de ajustamento, nos termos do compromisso firmado com o Governo, observadas as disposições no âmbito da OMC, com respeito a consultas e notificações.</w:t>
      </w:r>
    </w:p>
    <w:p w14:paraId="7E97C2D8"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3º A duração total da medida de salvaguarda, incluindo o período de aplicação inicial e toda extensão da mesma, não será superior a dez anos, conforme estabelecido no § 2° do art. 9º do Acordo de Salvaguarda.</w:t>
      </w:r>
    </w:p>
    <w:p w14:paraId="1F1AE4BD"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4º As medidas de salvaguarda, cujo período de aplicação seja superior a um ano, serão liberalizadas progressivamente, a intervalos regulares, durante o período de aplicação.</w:t>
      </w:r>
    </w:p>
    <w:p w14:paraId="65C5DB55"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5º Quando a duração da medida de salvaguarda exceder a três anos, a SECEX, no máximo até a metade do período de aplicação nela fixado, examinará os efeitos concretos por ela produzidos e, se for o caso, elaborará parecer fundamentado, que proponha às autoridades referidas no caput do art. 2º, a revogação da medida ou a aceleração do processo de liberalização.</w:t>
      </w:r>
    </w:p>
    <w:p w14:paraId="727C4051"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6º As medidas que forem prorrogadas não serão mais restritivas do que as que estavam em vigor no final do período inicial e continuarão sendo liberalizadas.</w:t>
      </w:r>
    </w:p>
    <w:p w14:paraId="23BC479B"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7º Em casos excepcionais, a serem julgados pelas autoridades referidas no caput do art. 2º, com base em parecer da SECEX, o processo de liberalização poderá ser iniciado a partir do segundo ano.&lt; p&gt; § 8º Antes de decorridos pelo menos dois anos do término do período de duração de uma medida de salvaguarda, é vedada a aplicação de nova medida sobre um mesmo produto.</w:t>
      </w:r>
    </w:p>
    <w:p w14:paraId="0913D99B"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9º Caso a medida de salvaguarda tenha sido aplicada por período superior a quatro anos, a vedação de que trata o parágrafo anterior se aplica a prazo igual à metade do período de sua duração.</w:t>
      </w:r>
    </w:p>
    <w:p w14:paraId="598FD00C"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10. Não obstante o disposto nos parágrafos anteriores, poderão ser novamente aplicadas medidas de salvaguarda contra as importações de um mesmo produto por um prazo máximo de 180 dias, se:</w:t>
      </w:r>
    </w:p>
    <w:p w14:paraId="7D2D33CC"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a) houver transcorrido pelo menos um ano desde a data de aplicação da medida de salvaguarda contra a importação desse produto;</w:t>
      </w:r>
    </w:p>
    <w:p w14:paraId="4A291856"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b) nos cinco anos imediatamente anteriores à data de introdução da medida de salvaguarda, não se tenha aplicado tal medida mais de duas vezes ao mesmo produto.</w:t>
      </w:r>
    </w:p>
    <w:p w14:paraId="25978591" w14:textId="77777777" w:rsidR="008D2CB0" w:rsidRPr="00395593" w:rsidRDefault="008D2CB0" w:rsidP="008D2CB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VIII</w:t>
      </w:r>
    </w:p>
    <w:p w14:paraId="40EBDBD9" w14:textId="77777777" w:rsidR="008D2CB0" w:rsidRPr="00395593" w:rsidRDefault="008D2CB0" w:rsidP="008D2CB0">
      <w:pPr>
        <w:spacing w:before="100" w:beforeAutospacing="1" w:after="100" w:afterAutospacing="1" w:line="240" w:lineRule="auto"/>
        <w:jc w:val="center"/>
        <w:rPr>
          <w:rFonts w:ascii="Garamond" w:eastAsia="Times New Roman" w:hAnsi="Garamond" w:cs="Times New Roman"/>
          <w:color w:val="000000"/>
          <w:sz w:val="24"/>
          <w:szCs w:val="24"/>
          <w:lang w:eastAsia="pt-BR"/>
        </w:rPr>
      </w:pPr>
      <w:r w:rsidRPr="00395593">
        <w:rPr>
          <w:rFonts w:ascii="Garamond" w:eastAsia="Times New Roman" w:hAnsi="Garamond" w:cs="Arial"/>
          <w:b/>
          <w:color w:val="000000"/>
          <w:sz w:val="24"/>
          <w:szCs w:val="24"/>
          <w:lang w:eastAsia="pt-BR"/>
        </w:rPr>
        <w:t>ACOMPANHAMENTO E SUSPENSÃO DA MEDIDA</w:t>
      </w:r>
    </w:p>
    <w:p w14:paraId="335DFB4F"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Art. 10. Compete à SECEX acompanhar a situação da indústria prejudicada durante o período de vigência da medida de salvaguarda, sendo-lhe facultado propor às autoridades referidas no caput do art. 2º, com base em parecer fundamentado, a suspensão da medida, desde que constatada a insuficiência ou a inadequação dos esforços no sentido do ajuste pretendido e alterações nas circunstâncias que suscitaram originalmente a aplicação da medida.</w:t>
      </w:r>
    </w:p>
    <w:p w14:paraId="377ED99F" w14:textId="77777777" w:rsidR="008D2CB0" w:rsidRPr="00395593" w:rsidRDefault="008D2CB0" w:rsidP="008D2CB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IX</w:t>
      </w:r>
    </w:p>
    <w:p w14:paraId="186F6D06" w14:textId="77777777" w:rsidR="008D2CB0" w:rsidRPr="00395593" w:rsidRDefault="008D2CB0" w:rsidP="008D2CB0">
      <w:pPr>
        <w:spacing w:before="100" w:beforeAutospacing="1" w:after="100" w:afterAutospacing="1" w:line="240" w:lineRule="auto"/>
        <w:jc w:val="center"/>
        <w:rPr>
          <w:rFonts w:ascii="Garamond" w:eastAsia="Times New Roman" w:hAnsi="Garamond" w:cs="Times New Roman"/>
          <w:b/>
          <w:color w:val="000000"/>
          <w:sz w:val="24"/>
          <w:szCs w:val="24"/>
          <w:lang w:eastAsia="pt-BR"/>
        </w:rPr>
      </w:pPr>
      <w:r w:rsidRPr="00395593">
        <w:rPr>
          <w:rFonts w:ascii="Garamond" w:eastAsia="Times New Roman" w:hAnsi="Garamond" w:cs="Arial"/>
          <w:b/>
          <w:color w:val="000000"/>
          <w:sz w:val="24"/>
          <w:szCs w:val="24"/>
          <w:lang w:eastAsia="pt-BR"/>
        </w:rPr>
        <w:t>NÍVEL DE CONCESSÕES E OUTRAS OBRIGAÇÕES NO ÂMBITO DO GATT 1994</w:t>
      </w:r>
    </w:p>
    <w:p w14:paraId="05B644DE"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Art. 11. Ao aplicar medidas de salvaguarda ou estender seu prazo de vigência, o Governo brasileiro procurará manter o equilíbrio das concessões tarifárias e outras obrigações assumidas no âmbito do GATT - 1994.</w:t>
      </w:r>
    </w:p>
    <w:p w14:paraId="3C7CA947"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1º Para os fins do disposto neste artigo poderão ser celebrados acordos com relação a qualquer forma adequada de compensação comercial pelos efeitos adversos da medida de salvaguarda sobre o comércio.</w:t>
      </w:r>
    </w:p>
    <w:p w14:paraId="1576DE37"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2º Na tomada de decisão sobre a introdução de uma medida de salvaguarda, o Governo brasileiro levará igualmente em conta o fato de que, nos casos em que não haja acordo sobre compensação adequada, os Governos interessados podem, nos termos do Acordo de Salvaguarda - GATT - 1994, suspender concessões substancialmente equivalentes, desde que tal suspensão não seja desaprovada pelo Conselho para o Comércio de Bens da OMC.</w:t>
      </w:r>
    </w:p>
    <w:p w14:paraId="0C379A28"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3º O direito de suspensão de concessões equivalentes não será exercido durante os três primeiros anos de vigência de uma medida de salvaguarda, desde que esta tenha sido adotada como resultado de um aumento das importações em termos absolutos.</w:t>
      </w:r>
    </w:p>
    <w:p w14:paraId="4C21B085" w14:textId="77777777" w:rsidR="008D2CB0" w:rsidRPr="00395593" w:rsidRDefault="008D2CB0" w:rsidP="008D2CB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X</w:t>
      </w:r>
    </w:p>
    <w:p w14:paraId="437DBCCD" w14:textId="77777777" w:rsidR="008D2CB0" w:rsidRPr="00395593" w:rsidRDefault="008D2CB0" w:rsidP="008D2CB0">
      <w:pPr>
        <w:spacing w:before="100" w:beforeAutospacing="1" w:after="100" w:afterAutospacing="1" w:line="240" w:lineRule="auto"/>
        <w:jc w:val="center"/>
        <w:rPr>
          <w:rFonts w:ascii="Garamond" w:eastAsia="Times New Roman" w:hAnsi="Garamond" w:cs="Times New Roman"/>
          <w:b/>
          <w:color w:val="000000"/>
          <w:sz w:val="24"/>
          <w:szCs w:val="24"/>
          <w:lang w:eastAsia="pt-BR"/>
        </w:rPr>
      </w:pPr>
      <w:r w:rsidRPr="00395593">
        <w:rPr>
          <w:rFonts w:ascii="Garamond" w:eastAsia="Times New Roman" w:hAnsi="Garamond" w:cs="Arial"/>
          <w:b/>
          <w:color w:val="000000"/>
          <w:sz w:val="24"/>
          <w:szCs w:val="24"/>
          <w:lang w:eastAsia="pt-BR"/>
        </w:rPr>
        <w:t>TRATAMENTO DIFERENCIADO PARA PAÍSES EM DESENVOLVIMENTO</w:t>
      </w:r>
    </w:p>
    <w:p w14:paraId="49C0E02F"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Art. 12. Não se aplicarão medidas de salvaguarda contra produto procedente de países em desenvolvimento.</w:t>
      </w:r>
    </w:p>
    <w:p w14:paraId="07655181"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I - quando a parcela que lhe corresponde nas importações do produto considerado não for superior a 3%; e</w:t>
      </w:r>
    </w:p>
    <w:p w14:paraId="54F480F4"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II - quando a participação do conjunto dos países em desenvolvimento, com participação nas importações inferior a 3%, não represente, em conjunto, mais do que 9% das importações do produto considerado.</w:t>
      </w:r>
    </w:p>
    <w:p w14:paraId="4303E83B" w14:textId="77777777" w:rsidR="008D2CB0" w:rsidRPr="00395593" w:rsidRDefault="008D2CB0" w:rsidP="008D2CB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XI</w:t>
      </w:r>
    </w:p>
    <w:p w14:paraId="07F1063D" w14:textId="77777777" w:rsidR="008D2CB0" w:rsidRPr="00395593" w:rsidRDefault="008D2CB0" w:rsidP="008D2CB0">
      <w:pPr>
        <w:tabs>
          <w:tab w:val="left" w:pos="6660"/>
        </w:tabs>
        <w:spacing w:before="100" w:beforeAutospacing="1" w:after="100" w:afterAutospacing="1" w:line="240" w:lineRule="auto"/>
        <w:jc w:val="center"/>
        <w:rPr>
          <w:rFonts w:ascii="Garamond" w:eastAsia="Times New Roman" w:hAnsi="Garamond" w:cs="Times New Roman"/>
          <w:color w:val="000000"/>
          <w:sz w:val="24"/>
          <w:szCs w:val="24"/>
          <w:lang w:eastAsia="pt-BR"/>
        </w:rPr>
      </w:pPr>
      <w:r w:rsidRPr="00395593">
        <w:rPr>
          <w:rFonts w:ascii="Garamond" w:eastAsia="Times New Roman" w:hAnsi="Garamond" w:cs="Arial"/>
          <w:b/>
          <w:color w:val="000000"/>
          <w:sz w:val="24"/>
          <w:szCs w:val="24"/>
          <w:lang w:eastAsia="pt-BR"/>
        </w:rPr>
        <w:t>DISPOSIÇÕES TRANSITÓRIAS RELATIVAS A PRODUTOS TÊXTEIS</w:t>
      </w:r>
    </w:p>
    <w:p w14:paraId="44890DBA"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Art. 13. Durante o período de transição para integração do setor de têxteis e vestuário estabelecido pelo Acordo sobre Têxteis e Vestuário do GATT 1994, poderão ser aplicadas salvaguardas transitórias aos produtos que não tiverem sido incorporados pelo Brasil ao GATT 1994 e para as quais o Governo brasileiro reservou seus direitos de recorrer a tais medidas.</w:t>
      </w:r>
    </w:p>
    <w:p w14:paraId="58E081EB"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1º Salvaguardas transitórias poderão ser adotadas ao amparo das presentes disposições quando, por determinação das autoridades referidas no caput do art. 2º, com base em parecer da SECEX, se demonstre que as importações de determinado produto, aumentaram em quantidade tal que causem prejuízo grave ou ameacem realmente causar prejuízo grave ao setor de indústria doméstica que fabrica produtos similares diretamente competitivos ou que com eles competem diretamente.</w:t>
      </w:r>
    </w:p>
    <w:p w14:paraId="37E4FD0C"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2º Compete à SECEX demonstrar que o prejuízo grave ou a ameaça real de prejuízo grave são causados pelo aumento no total das importações do produto e não por outros fatores, tais como inovações tecnológicas ou mudanças nas preferências dos consumidores.</w:t>
      </w:r>
    </w:p>
    <w:p w14:paraId="66CC85AE"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3º Ao emitir o parecer, com vistas à determinação de prejuízo grave ou de ameaça real de prejuízo grave, a SECEX levará em consideração os efeitos dessas importações sobre a indústria doméstica em questão, refletidas em alterações de variáveis econômicas pertinentes como produção, produtividade, utilização da capacidade, estoques, parcela de mercado, exportações, salários, níveis de emprego, preços internos, lucros e investimentos, ainda que nenhum desses fatores, de maneira isolada ou em conjunto com outros fatores, se constitua, necessariamente, ainda que critério decisivo.</w:t>
      </w:r>
    </w:p>
    <w:p w14:paraId="4F31599F"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4º Toda medida, a que se recorra ao amparo do disposto neste artigo, deverá ser aplicada país a país.</w:t>
      </w:r>
    </w:p>
    <w:p w14:paraId="33481ACE"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5º a determinação do país ou países de origem aos quais se deve atribuir o prejuízo grave ou ameaça real de prejuízo grave, será feita tendo por base um crescimento substancial e repentino, real ou iminente, das importações procedentes desses países considerados individualmente, e com base no nível de importações comparado com as de outras fontes, parcela de mercado, preços internos e de importação em etapa comparável da transação comercial, ainda que nenhum desses fatores, de maneira isolada ou em conjunto com outros fatores, se constitua, necessariamente, um critério decisivo.</w:t>
      </w:r>
    </w:p>
    <w:p w14:paraId="703915D8"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6º O crescimento iminente deverá ser mensurável e sua ocorrência não deverá ser determinada com base em alegação, conjectura ou mera possibilidade, resultante entre outros fatores, da existência de capacidade de produção nos membros exportadores.</w:t>
      </w:r>
    </w:p>
    <w:p w14:paraId="5907E479"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7º Salvaguarda transitória não será aplicada às exportações de qualquer país cujas exportações do produto em questão já se encontrem sujeitas à restrição em virtude de outras disposições do Acordo sobre Têxteis e Vestuários do GATT 1994.</w:t>
      </w:r>
    </w:p>
    <w:p w14:paraId="1ED4CA1B"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8º O período de validade de toda determinação de prejuízo grave ou de ameaça real de prejuízo grave para efeitos do recurso às medidas de salvaguarda, não será superior a noventa dias a partir da data da notificação inicial.</w:t>
      </w:r>
    </w:p>
    <w:p w14:paraId="645A209C"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9º Na aplicação da salvaguarda transitória, serão levados em especial consideração os interesses dos países exportadores, nos seguintes termos:</w:t>
      </w:r>
    </w:p>
    <w:p w14:paraId="70A1E05A"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a) será concedido aos países de menor desenvolvimento relativo, Membros da OMC, tratamento consideravelmente mais favorável do que o outorgado aos demais grupos de Membros referidos neste parágrafo, de preferência em todos os seus elementos ou, pelo menos, em termos gerais;</w:t>
      </w:r>
    </w:p>
    <w:p w14:paraId="0D28DB2D"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b) ao se fixar as condições econômicas previstas neste artigo, será concedido tratamento diferenciado e mais favorável aos Membros da OMC, cujo volume total de exportações de têxteis e vestuário seja pequeno, comparado com o volume total de exportações de outros membros, e aos quais corresponda somente uma pequena percentagem do total de importações do produto em questão e, com respeito a tais fornecedores, deverão ser levadas na devida consideração as possibilidades futuras de desenvolvimento de seu comércio e a necessidade de admitir importações deles procedentes em quantidades comerciais;</w:t>
      </w:r>
    </w:p>
    <w:p w14:paraId="736D1833"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c) com respeito aos produtos de lã provenientes de países em desenvolvimento cujas economias e comércio de têxteis e vestuário consistem quase que exclusivamente daqueles produtos e cujo volume de comércio de têxteis e vestuário no mercado doméstico é comparativamente pequeno, serão levadas em especial consideração as necessidades de exportação de tais países ao se examinar os níveis de restrição, os coeficientes de crescimento e a flexibilidade;</w:t>
      </w:r>
    </w:p>
    <w:p w14:paraId="3B4647FA"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d) será concedido tratamento mais favorável às reimportações de produtos têxteis e de vestuário que tenham sido exportados para outro país para elaboração e subseqüente reexportação para o Brasil, e sujeita a procedimentos adequados de controle e certificação, sempre que tais produtos tenham sido reimportados de um país para o qual esse tipo de comércio represente proporção significativa de suas exportações totais de têxteis e vestuário.</w:t>
      </w:r>
    </w:p>
    <w:p w14:paraId="12440795"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10. Ao propor a adoção de salvaguarda transitória, o Ministério das Relações Exteriores solicitará consultas com o Governo do país ou países que serão afetados por tal medida.</w:t>
      </w:r>
    </w:p>
    <w:p w14:paraId="56E396BA"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11. O pedido de consultas será acompanhado de informação factual específica e pertinente, a mais atualizada possível, sobretudo com respeito aos:</w:t>
      </w:r>
    </w:p>
    <w:p w14:paraId="741A2EDD"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a) fatores referidos no § 3º, nos quais se baseou a determinação de prejuízo grave ou de ameaça real de prejuízo grave;</w:t>
      </w:r>
    </w:p>
    <w:p w14:paraId="2B84D790"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b) fatores referidos no § 5º, com base nos quais o Governo brasileiros pretende recorrer à medida com respeito ao país ou países interessados.</w:t>
      </w:r>
    </w:p>
    <w:p w14:paraId="224E6BC8"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12. A informação que acompanha os pedidos formulados deverá estar relacionada, o mais estreitamente possível, com os segmentos identificáveis da produção e com o período de referência estabelecido no § 16.</w:t>
      </w:r>
    </w:p>
    <w:p w14:paraId="3589A189"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13. O Governo brasileiro indicará também o nível específico no qual propõe restringir as importações do produto em questão do país ou países interessados, sendo que este nível não será inferior ao referido no § 16.&lt; p&gt; § 14. Concomitantemente, o Ministério das Relações Exteriores comunicará ao Presidente do Órgão de Supervisão de Têxteis (OST) o pedido de consultas, incluindo todos os dados factuais pertinentes referido nos §§ 3º e 5º, juntamente com o nível de restrição proposto.</w:t>
      </w:r>
    </w:p>
    <w:p w14:paraId="7C06E25A"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15. O país ou países interessados deverão responder ao pedido prontamente, e as consultas serão realizadas sem demora devendo estar concluídas no prazo de sessenta dias, a partir da data em que o pedido foi recebido.</w:t>
      </w:r>
    </w:p>
    <w:p w14:paraId="2F2691E1"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16. Caso se alcance, nas consultas, entendimento mútuo de que a situação exige restrição às exportações de determinado produto do país ou países interessados, tal restrição será fixada em nível não inferior ao nível efetivo das exportações ou importações, procedentes do país interessado, durante o período de doze meses anteriores, que termina dois meses antes do mês no qual o pedido de consulta foi apresentado.</w:t>
      </w:r>
    </w:p>
    <w:p w14:paraId="75B72FE3"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17. Os pormenores da medida de restrição acordada serão comunicados ao OST no prazo de sessenta dias a partir da data da assinatura do entendimento. O OST determinará se o entendimento se justifica conforme as disposições do Acordo sobre Têxteis e Vestuário do GATT 1994.</w:t>
      </w:r>
    </w:p>
    <w:p w14:paraId="0FB51ECA"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18. Após a expiração do prazo de sessenta dias, a partir da data do recebimento do pedido de consultas, se não houver acordo entre os países interessados, o Governo brasileiro poderá introduzir a restrição em função da data de importação ou de exportação, conforme as disposições do presente Regulamento, dentro dos trinta dias seguintes ao período de sessenta dias para consultas e, concomitantemente, submeter a questão ao OST.</w:t>
      </w:r>
    </w:p>
    <w:p w14:paraId="326AE0A8"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19. qualquer dos países interessados, conforme disposições do Acordo sobre Têxteis e Vestuário do GATT 1994, poderá submeter a questão ao OST antes da expiração do prazo de sessenta dias. O OST fará as recomendações aos países interessados, no prazo de trinta dias.</w:t>
      </w:r>
    </w:p>
    <w:p w14:paraId="49396C7D"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20. em circunstâncias excepcionais e críticas, nas quais qualquer demora poderia causar prejuízo grave dificilmente reparável, poderão ser adotadas, provisoriamente, as medidas previstas no § 18, com a condição de que o pedido de consultas e a notificação ao OST se façam no prazo de cinco dias úteis a partir da data da adoção da medida:</w:t>
      </w:r>
    </w:p>
    <w:p w14:paraId="3B03E0FC"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a) caso não se chegue a acordo durante as consultas, o OST será notificado do final das mesmas no prazo máximo de sessenta dias, a partir da data de aplicação da medida.</w:t>
      </w:r>
    </w:p>
    <w:p w14:paraId="1EDAFAC4"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b) o OST, conforme disposições do Acordo sobre Têxteis e Vestuário do GATT 1994, deverá proceder prontamente ao exame da questão e fazer recomendações aos países interessados no prazo de trinta dias.</w:t>
      </w:r>
    </w:p>
    <w:p w14:paraId="51D2F52A"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c) caso se chegue a acordo durante as consultas, o Ministério das Relações Exteriores notificará o OST do final das mesmas no prazo máximo de noventa dias, a partir da data da aplicação da medida.</w:t>
      </w:r>
    </w:p>
    <w:p w14:paraId="25141C6F"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21. As medidas adotadas, ao amparo das presentes disposições, poderão ser mantidas em vigor por um prazo máximo de três anos sem extensão, ou até que o produto seja integrado ao GATT 1994, o que ocorrer primeiro.</w:t>
      </w:r>
    </w:p>
    <w:p w14:paraId="0F938F71"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22. A medida de restrição permanecendo em vigor por um período superior a um ano, o nível de restrição para os anos subseqüentes será o nível especificado para o primeiro ano, aumentado a cada ano, pela aplicação de uma taxa não inferior a seis por cento, salvo se outro coeficiente for justificado perante o OST.</w:t>
      </w:r>
    </w:p>
    <w:p w14:paraId="2AF28F9C"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23. O nível de restrição para o produto em questão poderá ser excedido em um ou outro de qualquer dos dois anos subseqüentes, mediante utilização antecipada de cinco por cento ou transferência de remanescentes em dez por cento, ou ambos.</w:t>
      </w:r>
    </w:p>
    <w:p w14:paraId="367C17EF"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24. Não poderão ser impostas restrições quantitativas à utilização combinada de transferência de remanescentes, utilização antecipada e do disposto no parágrafo seguinte.</w:t>
      </w:r>
    </w:p>
    <w:p w14:paraId="51AEF182"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25. Quando o Governo brasileiro, ao amparo das presentes disposições, submeter à restrição mais de um produto procedente de outro país, o nível de restrição acordado, segundo as presentes disposições, para cada um desses produtos poderá ser excedido em sete por cento, desde que o total das exportações sujeitas à restrição, não exceda o total dos níveis estabelecidos para todos os produtos restringidos, com base em unidades comuns acordadas. Quando os períodos de aplicação das restrições desses produtos não coincidirem, a presente disposição será aplicada pro rata a todo período em que haja superposição.</w:t>
      </w:r>
    </w:p>
    <w:p w14:paraId="3F73DF38"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26. Quando as autoridades referidas no caput do art. 2º decidirem, com base em parecer da SECEX, aplicar uma restrição, conforme as presentes disposições, a produto para o qual estas não são aplicadas ao amparo do art. 2º do Acordo sobre Têxteis e Vestuário do GATT 1994, serão adotadas medidas apropriadas que:</w:t>
      </w:r>
    </w:p>
    <w:p w14:paraId="5B473CC3"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a) levem em consideração fatores como classificação tarifária estabelecida e unidades quantitativas, baseadas em práticas comerciais correntes em operações de exportação e importação tanto no que se refere à composição de fibras quanto em termos de concorrência para o mesmo setor em seu mercado interno;</w:t>
      </w:r>
    </w:p>
    <w:p w14:paraId="56F2E160"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b) evitem uma categorização excessiva.</w:t>
      </w:r>
    </w:p>
    <w:p w14:paraId="3EBD063A"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27. Para efeitos deste regulamento, o termo indústria inclui também as atividades ligadas à agricultura.</w:t>
      </w:r>
    </w:p>
    <w:p w14:paraId="74A4BD8D"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28. As autoridades, referidas no caput do art. 2º, expedirão as instruções necessárias ao cumprimento do disposto neste decreto.</w:t>
      </w:r>
    </w:p>
    <w:p w14:paraId="6F08CC4C"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29. As presentes disposições transitórias relativas a produtos têxteis vigorarão até o primeiro dia do 121º mês de vigência do Acordo Constitutivo da Organização Mundial do Comércio (OMC), data em que o setor de têxteis e vestuário estará plenamente integrado ao GATT 1994.</w:t>
      </w:r>
    </w:p>
    <w:p w14:paraId="3F926609" w14:textId="77777777" w:rsidR="008D2CB0" w:rsidRPr="00395593" w:rsidRDefault="008D2CB0" w:rsidP="008D2CB0">
      <w:pPr>
        <w:spacing w:before="100" w:beforeAutospacing="1" w:after="100" w:afterAutospacing="1" w:line="240" w:lineRule="auto"/>
        <w:ind w:firstLine="450"/>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Art. 14. Este Decreto entra em vigor na data de sua publicação.</w:t>
      </w:r>
    </w:p>
    <w:p w14:paraId="6E614CCB" w14:textId="77777777" w:rsidR="008D2CB0" w:rsidRPr="00395593" w:rsidRDefault="008D2CB0" w:rsidP="008D2CB0">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sz w:val="24"/>
          <w:szCs w:val="24"/>
          <w:lang w:eastAsia="pt-BR"/>
        </w:rPr>
        <w:t>        Brasília, 11 de maio de 1995; 174º da Independência e 107º da República.</w:t>
      </w:r>
    </w:p>
    <w:p w14:paraId="25CC0CAC" w14:textId="77777777" w:rsidR="008D2CB0" w:rsidRPr="00847C8A" w:rsidRDefault="008D2CB0" w:rsidP="008D2CB0">
      <w:pPr>
        <w:spacing w:before="100" w:beforeAutospacing="1" w:after="100" w:afterAutospacing="1" w:line="240" w:lineRule="auto"/>
        <w:jc w:val="center"/>
        <w:rPr>
          <w:rFonts w:ascii="Garamond" w:eastAsia="Times New Roman" w:hAnsi="Garamond" w:cs="Arial"/>
          <w:i/>
          <w:color w:val="000000"/>
          <w:sz w:val="24"/>
          <w:szCs w:val="24"/>
          <w:lang w:eastAsia="pt-BR"/>
        </w:rPr>
      </w:pPr>
      <w:r w:rsidRPr="00395593">
        <w:rPr>
          <w:rFonts w:ascii="Garamond" w:eastAsia="Times New Roman" w:hAnsi="Garamond" w:cs="Arial"/>
          <w:color w:val="000000"/>
          <w:sz w:val="24"/>
          <w:szCs w:val="24"/>
          <w:lang w:eastAsia="pt-BR"/>
        </w:rPr>
        <w:t>FERNANDO HENRIQUE CARDOSO</w:t>
      </w:r>
      <w:r w:rsidRPr="00395593">
        <w:rPr>
          <w:rFonts w:ascii="Garamond" w:eastAsia="Times New Roman" w:hAnsi="Garamond" w:cs="Arial"/>
          <w:color w:val="000000"/>
          <w:sz w:val="24"/>
          <w:szCs w:val="24"/>
          <w:lang w:eastAsia="pt-BR"/>
        </w:rPr>
        <w:br/>
      </w:r>
      <w:r w:rsidRPr="00847C8A">
        <w:rPr>
          <w:rFonts w:ascii="Garamond" w:eastAsia="Times New Roman" w:hAnsi="Garamond" w:cs="Arial"/>
          <w:i/>
          <w:iCs/>
          <w:color w:val="000000"/>
          <w:sz w:val="24"/>
          <w:szCs w:val="24"/>
          <w:lang w:eastAsia="pt-BR"/>
        </w:rPr>
        <w:t>Luiz Felipe Lampreia</w:t>
      </w:r>
      <w:r w:rsidRPr="00847C8A">
        <w:rPr>
          <w:rFonts w:ascii="Garamond" w:eastAsia="Times New Roman" w:hAnsi="Garamond" w:cs="Arial"/>
          <w:i/>
          <w:iCs/>
          <w:color w:val="000000"/>
          <w:sz w:val="24"/>
          <w:szCs w:val="24"/>
          <w:lang w:eastAsia="pt-BR"/>
        </w:rPr>
        <w:br/>
        <w:t>Pedro Malan</w:t>
      </w:r>
      <w:r w:rsidRPr="00847C8A">
        <w:rPr>
          <w:rFonts w:ascii="Garamond" w:eastAsia="Times New Roman" w:hAnsi="Garamond" w:cs="Arial"/>
          <w:i/>
          <w:iCs/>
          <w:color w:val="000000"/>
          <w:sz w:val="24"/>
          <w:szCs w:val="24"/>
          <w:lang w:eastAsia="pt-BR"/>
        </w:rPr>
        <w:br/>
        <w:t>José Eduardo de Andrade Vieira</w:t>
      </w:r>
      <w:r w:rsidRPr="00847C8A">
        <w:rPr>
          <w:rFonts w:ascii="Garamond" w:eastAsia="Times New Roman" w:hAnsi="Garamond" w:cs="Arial"/>
          <w:i/>
          <w:iCs/>
          <w:color w:val="000000"/>
          <w:sz w:val="24"/>
          <w:szCs w:val="24"/>
          <w:lang w:eastAsia="pt-BR"/>
        </w:rPr>
        <w:br/>
        <w:t>Dorothea Werneck</w:t>
      </w:r>
      <w:r w:rsidRPr="00847C8A">
        <w:rPr>
          <w:rFonts w:ascii="Garamond" w:eastAsia="Times New Roman" w:hAnsi="Garamond" w:cs="Arial"/>
          <w:i/>
          <w:iCs/>
          <w:color w:val="000000"/>
          <w:sz w:val="24"/>
          <w:szCs w:val="24"/>
          <w:lang w:eastAsia="pt-BR"/>
        </w:rPr>
        <w:br/>
        <w:t>José Serra</w:t>
      </w:r>
    </w:p>
    <w:p w14:paraId="68F23FE0" w14:textId="6A2A9885" w:rsidR="00B73003" w:rsidRPr="004F5838" w:rsidRDefault="00B73003" w:rsidP="008D2CB0">
      <w:pPr>
        <w:jc w:val="both"/>
        <w:rPr>
          <w:rFonts w:ascii="Garamond" w:hAnsi="Garamond" w:cstheme="majorHAnsi"/>
          <w:b/>
          <w:bCs/>
        </w:rPr>
      </w:pPr>
    </w:p>
    <w:p w14:paraId="30896225" w14:textId="63A78B1D" w:rsidR="00762EBE" w:rsidRDefault="00762EBE">
      <w:pPr>
        <w:rPr>
          <w:rFonts w:ascii="Garamond" w:hAnsi="Garamond" w:cstheme="majorHAnsi"/>
        </w:rPr>
      </w:pPr>
      <w:r>
        <w:rPr>
          <w:rFonts w:ascii="Garamond" w:hAnsi="Garamond" w:cstheme="majorHAnsi"/>
        </w:rPr>
        <w:br w:type="page"/>
      </w:r>
    </w:p>
    <w:p w14:paraId="2D90C711" w14:textId="77777777" w:rsidR="00B73003" w:rsidRDefault="00B73003" w:rsidP="00B73003">
      <w:pPr>
        <w:jc w:val="both"/>
        <w:rPr>
          <w:rFonts w:ascii="Garamond" w:hAnsi="Garamond" w:cstheme="majorHAnsi"/>
        </w:rPr>
      </w:pPr>
    </w:p>
    <w:p w14:paraId="7729DCBA" w14:textId="08E5ED83" w:rsidR="005705DA" w:rsidRPr="005C26A4" w:rsidRDefault="00543362" w:rsidP="00F955A3">
      <w:pPr>
        <w:pStyle w:val="Ttulo"/>
        <w:outlineLvl w:val="1"/>
      </w:pPr>
      <w:bookmarkStart w:id="162" w:name="_Toc96003818"/>
      <w:r w:rsidRPr="00395593">
        <w:t>Decreto nº</w:t>
      </w:r>
      <w:r w:rsidRPr="005C26A4">
        <w:t xml:space="preserve"> 1.936, </w:t>
      </w:r>
      <w:r w:rsidRPr="00395593">
        <w:t>de</w:t>
      </w:r>
      <w:r w:rsidRPr="005C26A4">
        <w:t xml:space="preserve"> 20 </w:t>
      </w:r>
      <w:r w:rsidRPr="00395593">
        <w:t>de junho de</w:t>
      </w:r>
      <w:r w:rsidRPr="005C26A4">
        <w:t xml:space="preserve"> 1996</w:t>
      </w:r>
      <w:bookmarkEnd w:id="162"/>
    </w:p>
    <w:tbl>
      <w:tblPr>
        <w:tblW w:w="5000" w:type="pct"/>
        <w:tblCellSpacing w:w="0" w:type="dxa"/>
        <w:tblCellMar>
          <w:left w:w="0" w:type="dxa"/>
          <w:right w:w="0" w:type="dxa"/>
        </w:tblCellMar>
        <w:tblLook w:val="04A0" w:firstRow="1" w:lastRow="0" w:firstColumn="1" w:lastColumn="0" w:noHBand="0" w:noVBand="1"/>
      </w:tblPr>
      <w:tblGrid>
        <w:gridCol w:w="4393"/>
        <w:gridCol w:w="4394"/>
      </w:tblGrid>
      <w:tr w:rsidR="00543362" w:rsidRPr="0056616F" w14:paraId="5B7AEB20" w14:textId="77777777" w:rsidTr="115E7D8A">
        <w:trPr>
          <w:tblCellSpacing w:w="0" w:type="dxa"/>
        </w:trPr>
        <w:tc>
          <w:tcPr>
            <w:tcW w:w="2500" w:type="pct"/>
            <w:vAlign w:val="center"/>
            <w:hideMark/>
          </w:tcPr>
          <w:p w14:paraId="742FA39C" w14:textId="77777777" w:rsidR="00543362" w:rsidRPr="00395593" w:rsidRDefault="00543362" w:rsidP="00CB06CD">
            <w:pPr>
              <w:spacing w:after="0" w:line="240" w:lineRule="auto"/>
              <w:rPr>
                <w:rFonts w:ascii="Garamond" w:eastAsia="Times New Roman" w:hAnsi="Garamond" w:cs="Times New Roman"/>
                <w:color w:val="000000"/>
                <w:sz w:val="24"/>
                <w:szCs w:val="24"/>
                <w:lang w:eastAsia="pt-BR"/>
              </w:rPr>
            </w:pPr>
          </w:p>
        </w:tc>
        <w:tc>
          <w:tcPr>
            <w:tcW w:w="2500" w:type="pct"/>
            <w:vAlign w:val="center"/>
            <w:hideMark/>
          </w:tcPr>
          <w:p w14:paraId="743D3813" w14:textId="50767176" w:rsidR="00543362" w:rsidRPr="00395593" w:rsidRDefault="00543362" w:rsidP="115E7D8A">
            <w:pPr>
              <w:spacing w:after="0" w:line="240" w:lineRule="auto"/>
              <w:rPr>
                <w:rFonts w:ascii="Garamond" w:eastAsia="Times New Roman" w:hAnsi="Garamond" w:cs="Times New Roman"/>
                <w:color w:val="000000" w:themeColor="text1"/>
                <w:sz w:val="24"/>
                <w:szCs w:val="24"/>
                <w:lang w:eastAsia="pt-BR"/>
              </w:rPr>
            </w:pPr>
            <w:r w:rsidRPr="00395593">
              <w:rPr>
                <w:rFonts w:ascii="Garamond" w:eastAsia="Times New Roman" w:hAnsi="Garamond" w:cs="Arial"/>
                <w:color w:val="000000" w:themeColor="text1"/>
                <w:sz w:val="24"/>
                <w:szCs w:val="24"/>
                <w:lang w:eastAsia="pt-BR"/>
              </w:rPr>
              <w:t>Altera dispositivos do Decreto n° 1.488, de 11 de maio de 1995, que regulamenta as normas que disciplinam os procedimentos administrativos relativos à aplicação de medidas de salvaguarda.</w:t>
            </w:r>
          </w:p>
          <w:p w14:paraId="62A47DCC" w14:textId="1EA2AAB4" w:rsidR="00543362" w:rsidRPr="00395593" w:rsidRDefault="00543362" w:rsidP="115E7D8A">
            <w:pPr>
              <w:spacing w:after="0" w:line="240" w:lineRule="auto"/>
              <w:rPr>
                <w:rFonts w:ascii="Garamond" w:eastAsia="Times New Roman" w:hAnsi="Garamond" w:cs="Arial"/>
                <w:color w:val="000000" w:themeColor="text1"/>
                <w:sz w:val="24"/>
                <w:szCs w:val="24"/>
                <w:lang w:eastAsia="pt-BR"/>
              </w:rPr>
            </w:pPr>
          </w:p>
        </w:tc>
      </w:tr>
    </w:tbl>
    <w:p w14:paraId="159B19AC" w14:textId="36650AAF" w:rsidR="00543362" w:rsidRPr="00395593" w:rsidRDefault="00543362" w:rsidP="115E7D8A">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5C5CBD">
        <w:rPr>
          <w:rFonts w:ascii="Garamond" w:eastAsia="Times New Roman" w:hAnsi="Garamond" w:cs="Arial"/>
          <w:b/>
          <w:bCs/>
          <w:color w:val="000000" w:themeColor="text1"/>
          <w:sz w:val="24"/>
          <w:szCs w:val="24"/>
          <w:lang w:eastAsia="pt-BR"/>
        </w:rPr>
        <w:t>        O PRESIDENTE DA REPÚBLICA</w:t>
      </w:r>
      <w:r w:rsidRPr="00395593">
        <w:rPr>
          <w:rFonts w:ascii="Garamond" w:eastAsia="Times New Roman" w:hAnsi="Garamond" w:cs="Arial"/>
          <w:color w:val="000000" w:themeColor="text1"/>
          <w:sz w:val="24"/>
          <w:szCs w:val="24"/>
          <w:lang w:eastAsia="pt-BR"/>
        </w:rPr>
        <w:t>, no uso da atribuição que lhe confere o art. 84, incisos IV e VI, da Constituição, e tendo em vista o disposto no Acordo Sobre Salvaguardas, aprovado pelo Decreto Legislativo n° 30, de 15 de dezembro de 1994, e promulgado pelo Decreto n° 1.355, de 30 de dezembro de 1994,</w:t>
      </w:r>
    </w:p>
    <w:p w14:paraId="7A34964D" w14:textId="77777777" w:rsidR="00543362" w:rsidRPr="005C5CBD" w:rsidRDefault="00543362" w:rsidP="0097041B">
      <w:pPr>
        <w:spacing w:before="100" w:beforeAutospacing="1" w:after="100" w:afterAutospacing="1" w:line="240" w:lineRule="auto"/>
        <w:jc w:val="both"/>
        <w:rPr>
          <w:rFonts w:ascii="Garamond" w:eastAsia="Times New Roman" w:hAnsi="Garamond" w:cs="Times New Roman"/>
          <w:b/>
          <w:bCs/>
          <w:color w:val="000000"/>
          <w:kern w:val="36"/>
          <w:sz w:val="24"/>
          <w:szCs w:val="24"/>
          <w:lang w:eastAsia="pt-BR"/>
        </w:rPr>
      </w:pPr>
      <w:r w:rsidRPr="005C5CBD">
        <w:rPr>
          <w:rFonts w:ascii="Garamond" w:eastAsia="Times New Roman" w:hAnsi="Garamond" w:cs="Arial"/>
          <w:b/>
          <w:bCs/>
          <w:color w:val="000000"/>
          <w:kern w:val="36"/>
          <w:sz w:val="24"/>
          <w:szCs w:val="24"/>
          <w:lang w:eastAsia="pt-BR"/>
        </w:rPr>
        <w:t>        DECRETA:</w:t>
      </w:r>
    </w:p>
    <w:p w14:paraId="4E76F85D" w14:textId="77777777" w:rsidR="00543362" w:rsidRPr="00395593" w:rsidRDefault="00543362" w:rsidP="115E7D8A">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themeColor="text1"/>
          <w:sz w:val="24"/>
          <w:szCs w:val="24"/>
          <w:lang w:eastAsia="pt-BR"/>
        </w:rPr>
        <w:t>        Art. 1° Os dispositivos abaixo indicados do Decreto n° 1.488, de 11 de maio de 1995, passam a vigorar com as seguintes alterações:</w:t>
      </w:r>
    </w:p>
    <w:p w14:paraId="4522F34F" w14:textId="77777777" w:rsidR="00543362" w:rsidRPr="00395593" w:rsidRDefault="00543362" w:rsidP="115E7D8A">
      <w:pPr>
        <w:spacing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themeColor="text1"/>
          <w:sz w:val="24"/>
          <w:szCs w:val="24"/>
          <w:lang w:eastAsia="pt-BR"/>
        </w:rPr>
        <w:t>"Art. 4º ...................................................</w:t>
      </w:r>
    </w:p>
    <w:p w14:paraId="68DCEA46" w14:textId="77777777" w:rsidR="00543362" w:rsidRPr="00395593" w:rsidRDefault="00543362" w:rsidP="115E7D8A">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themeColor="text1"/>
          <w:sz w:val="24"/>
          <w:szCs w:val="24"/>
          <w:lang w:eastAsia="pt-BR"/>
        </w:rPr>
        <w:t>................................................... ........</w:t>
      </w:r>
    </w:p>
    <w:p w14:paraId="7E1471B1" w14:textId="77777777" w:rsidR="00543362" w:rsidRPr="00395593" w:rsidRDefault="00C43D68" w:rsidP="115E7D8A">
      <w:pPr>
        <w:spacing w:before="100" w:beforeAutospacing="1" w:after="100" w:afterAutospacing="1" w:line="240" w:lineRule="auto"/>
        <w:jc w:val="both"/>
        <w:rPr>
          <w:rFonts w:ascii="Garamond" w:eastAsia="Times New Roman" w:hAnsi="Garamond" w:cs="Times New Roman"/>
          <w:color w:val="000000"/>
          <w:sz w:val="24"/>
          <w:szCs w:val="24"/>
          <w:lang w:eastAsia="pt-BR"/>
        </w:rPr>
      </w:pPr>
      <w:hyperlink r:id="rId251" w:anchor="art4%C2%A73">
        <w:r w:rsidR="00543362" w:rsidRPr="00395593">
          <w:rPr>
            <w:rFonts w:ascii="Garamond" w:eastAsia="Times New Roman" w:hAnsi="Garamond" w:cs="Arial"/>
            <w:color w:val="0000FF"/>
            <w:sz w:val="24"/>
            <w:szCs w:val="24"/>
            <w:u w:val="single"/>
            <w:lang w:eastAsia="pt-BR"/>
          </w:rPr>
          <w:t>§ 3°</w:t>
        </w:r>
      </w:hyperlink>
      <w:r w:rsidR="00543362" w:rsidRPr="00395593">
        <w:rPr>
          <w:rFonts w:ascii="Garamond" w:eastAsia="Times New Roman" w:hAnsi="Garamond" w:cs="Arial"/>
          <w:color w:val="000000" w:themeColor="text1"/>
          <w:sz w:val="24"/>
          <w:szCs w:val="24"/>
          <w:lang w:eastAsia="pt-BR"/>
        </w:rPr>
        <w:t> Medidas de salvaguarda provisórias serão aplicadas como elevação do imposto de importação, por meio de adicional à Tarifa Externa Comum - TEC, sob a forma de alíquota ad valorem, de alíquota específica ou da combinação de ambas.</w:t>
      </w:r>
    </w:p>
    <w:p w14:paraId="715A9393" w14:textId="77777777" w:rsidR="00543362" w:rsidRPr="00395593" w:rsidRDefault="00543362" w:rsidP="115E7D8A">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themeColor="text1"/>
          <w:sz w:val="24"/>
          <w:szCs w:val="24"/>
          <w:lang w:eastAsia="pt-BR"/>
        </w:rPr>
        <w:t>§ 4° Ocorrerá a restituição do valor correspondente à medida de salvaguarda provisória, nos termos da legislação vigente, sempre que a investigação concluir pela improcedência de aplicação de medidas de salvaguarda definitivas."</w:t>
      </w:r>
    </w:p>
    <w:p w14:paraId="3ADC6D68" w14:textId="77777777" w:rsidR="00543362" w:rsidRPr="00395593" w:rsidRDefault="00543362" w:rsidP="115E7D8A">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themeColor="text1"/>
          <w:sz w:val="24"/>
          <w:szCs w:val="24"/>
          <w:lang w:eastAsia="pt-BR"/>
        </w:rPr>
        <w:t>"</w:t>
      </w:r>
      <w:hyperlink r:id="rId252" w:anchor="art5">
        <w:r w:rsidRPr="00395593">
          <w:rPr>
            <w:rFonts w:ascii="Garamond" w:eastAsia="Times New Roman" w:hAnsi="Garamond" w:cs="Arial"/>
            <w:color w:val="0000FF"/>
            <w:sz w:val="24"/>
            <w:szCs w:val="24"/>
            <w:u w:val="single"/>
            <w:lang w:eastAsia="pt-BR"/>
          </w:rPr>
          <w:t>Art. 5°</w:t>
        </w:r>
      </w:hyperlink>
      <w:r w:rsidRPr="00395593">
        <w:rPr>
          <w:rFonts w:ascii="Garamond" w:eastAsia="Times New Roman" w:hAnsi="Garamond" w:cs="Arial"/>
          <w:color w:val="000000" w:themeColor="text1"/>
          <w:sz w:val="24"/>
          <w:szCs w:val="24"/>
          <w:lang w:eastAsia="pt-BR"/>
        </w:rPr>
        <w:t> As medidas de salvaguarda serão aplicadas ao produto importado independentemente de sua origem, exceto nos casos previstos nas disposições transitórias aplicáveis a produtos têxteis."</w:t>
      </w:r>
    </w:p>
    <w:p w14:paraId="355E0420" w14:textId="77777777" w:rsidR="00543362" w:rsidRPr="00395593" w:rsidRDefault="00543362" w:rsidP="115E7D8A">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themeColor="text1"/>
          <w:sz w:val="24"/>
          <w:szCs w:val="24"/>
          <w:lang w:eastAsia="pt-BR"/>
        </w:rPr>
        <w:t>"</w:t>
      </w:r>
      <w:hyperlink r:id="rId253" w:anchor="art8">
        <w:r w:rsidRPr="00395593">
          <w:rPr>
            <w:rFonts w:ascii="Garamond" w:eastAsia="Times New Roman" w:hAnsi="Garamond" w:cs="Arial"/>
            <w:color w:val="0000FF"/>
            <w:sz w:val="24"/>
            <w:szCs w:val="24"/>
            <w:u w:val="single"/>
            <w:lang w:eastAsia="pt-BR"/>
          </w:rPr>
          <w:t>Art. 8°</w:t>
        </w:r>
      </w:hyperlink>
      <w:r w:rsidRPr="00395593">
        <w:rPr>
          <w:rFonts w:ascii="Garamond" w:eastAsia="Times New Roman" w:hAnsi="Garamond" w:cs="Arial"/>
          <w:color w:val="000000" w:themeColor="text1"/>
          <w:sz w:val="24"/>
          <w:szCs w:val="24"/>
          <w:lang w:eastAsia="pt-BR"/>
        </w:rPr>
        <w:t> As medidas de salvaguarda definitivas serão aplicadas, na extensão necessária, para prevenir ou reparar o prejuízo grave e facilitar o ajustamento da indústria doméstica, da seguinte forma:</w:t>
      </w:r>
    </w:p>
    <w:p w14:paraId="72D11531" w14:textId="77777777" w:rsidR="00543362" w:rsidRPr="00395593" w:rsidRDefault="00543362" w:rsidP="115E7D8A">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themeColor="text1"/>
          <w:sz w:val="24"/>
          <w:szCs w:val="24"/>
          <w:lang w:eastAsia="pt-BR"/>
        </w:rPr>
        <w:t>I - elevação do imposto de importação, por meio de adicional à Tarifa Externa Comum - TEC, sob a forma de alíquota ad valorem, de alíquota específica ou da combinação de ambas;</w:t>
      </w:r>
    </w:p>
    <w:p w14:paraId="5A26E346" w14:textId="77777777" w:rsidR="00543362" w:rsidRPr="00395593" w:rsidRDefault="00543362" w:rsidP="115E7D8A">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themeColor="text1"/>
          <w:sz w:val="24"/>
          <w:szCs w:val="24"/>
          <w:lang w:eastAsia="pt-BR"/>
        </w:rPr>
        <w:t>................................................... ......."</w:t>
      </w:r>
    </w:p>
    <w:p w14:paraId="20E9D29E" w14:textId="77777777" w:rsidR="00543362" w:rsidRPr="00395593" w:rsidRDefault="00543362" w:rsidP="115E7D8A">
      <w:pPr>
        <w:spacing w:before="100" w:beforeAutospacing="1" w:after="100" w:afterAutospacing="1" w:line="240" w:lineRule="auto"/>
        <w:jc w:val="both"/>
        <w:rPr>
          <w:rFonts w:ascii="Garamond" w:eastAsia="Times New Roman" w:hAnsi="Garamond" w:cs="Times New Roman"/>
          <w:color w:val="000000"/>
          <w:sz w:val="24"/>
          <w:szCs w:val="24"/>
          <w:lang w:eastAsia="pt-BR"/>
        </w:rPr>
      </w:pPr>
      <w:r w:rsidRPr="00395593">
        <w:rPr>
          <w:rFonts w:ascii="Garamond" w:eastAsia="Times New Roman" w:hAnsi="Garamond" w:cs="Arial"/>
          <w:color w:val="000000" w:themeColor="text1"/>
          <w:sz w:val="24"/>
          <w:szCs w:val="24"/>
          <w:lang w:eastAsia="pt-BR"/>
        </w:rPr>
        <w:t>        Art. 2° Este Decreto entra em vigor na data de sua publicação.</w:t>
      </w:r>
    </w:p>
    <w:p w14:paraId="4541B73D" w14:textId="77777777" w:rsidR="00543362" w:rsidRPr="00395593" w:rsidRDefault="00543362" w:rsidP="115E7D8A">
      <w:pPr>
        <w:spacing w:before="100" w:beforeAutospacing="1" w:after="100" w:afterAutospacing="1" w:line="240" w:lineRule="auto"/>
        <w:rPr>
          <w:rFonts w:ascii="Garamond" w:eastAsia="Times New Roman" w:hAnsi="Garamond" w:cs="Times New Roman"/>
          <w:color w:val="000000"/>
          <w:sz w:val="24"/>
          <w:szCs w:val="24"/>
          <w:lang w:eastAsia="pt-BR"/>
        </w:rPr>
      </w:pPr>
      <w:r w:rsidRPr="00395593">
        <w:rPr>
          <w:rFonts w:ascii="Garamond" w:eastAsia="Times New Roman" w:hAnsi="Garamond" w:cs="Arial"/>
          <w:color w:val="000000" w:themeColor="text1"/>
          <w:sz w:val="24"/>
          <w:szCs w:val="24"/>
          <w:lang w:eastAsia="pt-BR"/>
        </w:rPr>
        <w:t>        Brasília, 20 de junho de 1996; 175° da Independência e 108° da República.</w:t>
      </w:r>
    </w:p>
    <w:p w14:paraId="5C306044" w14:textId="171CAC2C" w:rsidR="115E7D8A" w:rsidRPr="00395593" w:rsidRDefault="115E7D8A" w:rsidP="115E7D8A">
      <w:pPr>
        <w:spacing w:beforeAutospacing="1" w:afterAutospacing="1" w:line="240" w:lineRule="auto"/>
        <w:rPr>
          <w:rFonts w:ascii="Garamond" w:eastAsia="Times New Roman" w:hAnsi="Garamond" w:cs="Arial"/>
          <w:color w:val="000000" w:themeColor="text1"/>
          <w:sz w:val="24"/>
          <w:szCs w:val="24"/>
          <w:lang w:eastAsia="pt-BR"/>
        </w:rPr>
      </w:pPr>
    </w:p>
    <w:p w14:paraId="051F6FB6" w14:textId="3D58D93F" w:rsidR="00543362" w:rsidRPr="005C5CBD" w:rsidRDefault="00543362" w:rsidP="00543362">
      <w:pPr>
        <w:spacing w:before="100" w:beforeAutospacing="1" w:after="100" w:afterAutospacing="1" w:line="240" w:lineRule="auto"/>
        <w:jc w:val="center"/>
        <w:rPr>
          <w:rFonts w:ascii="Garamond" w:eastAsia="Times New Roman" w:hAnsi="Garamond" w:cs="Arial"/>
          <w:i/>
          <w:iCs/>
          <w:color w:val="000000"/>
          <w:sz w:val="20"/>
          <w:szCs w:val="20"/>
          <w:lang w:eastAsia="pt-BR"/>
        </w:rPr>
      </w:pPr>
      <w:r w:rsidRPr="00395593">
        <w:rPr>
          <w:rFonts w:ascii="Garamond" w:eastAsia="Times New Roman" w:hAnsi="Garamond" w:cs="Arial"/>
          <w:color w:val="000000"/>
          <w:sz w:val="24"/>
          <w:szCs w:val="24"/>
          <w:lang w:eastAsia="pt-BR"/>
        </w:rPr>
        <w:t>FERNANDO HENRIQUE CARDOSO</w:t>
      </w:r>
      <w:r w:rsidRPr="00395593">
        <w:rPr>
          <w:rFonts w:ascii="Garamond" w:eastAsia="Times New Roman" w:hAnsi="Garamond" w:cs="Arial"/>
          <w:color w:val="000000"/>
          <w:sz w:val="24"/>
          <w:szCs w:val="24"/>
          <w:lang w:eastAsia="pt-BR"/>
        </w:rPr>
        <w:br/>
      </w:r>
      <w:r w:rsidRPr="005C5CBD">
        <w:rPr>
          <w:rFonts w:ascii="Garamond" w:eastAsia="Times New Roman" w:hAnsi="Garamond" w:cs="Arial"/>
          <w:i/>
          <w:iCs/>
          <w:color w:val="000000"/>
          <w:sz w:val="24"/>
          <w:szCs w:val="24"/>
          <w:lang w:eastAsia="pt-BR"/>
        </w:rPr>
        <w:t>Luiz Felipe Lampreia</w:t>
      </w:r>
      <w:r w:rsidRPr="005C5CBD">
        <w:rPr>
          <w:rFonts w:ascii="Garamond" w:eastAsia="Times New Roman" w:hAnsi="Garamond" w:cs="Arial"/>
          <w:i/>
          <w:iCs/>
          <w:color w:val="000000"/>
          <w:sz w:val="24"/>
          <w:szCs w:val="24"/>
          <w:lang w:eastAsia="pt-BR"/>
        </w:rPr>
        <w:br/>
        <w:t>Pedro Malan</w:t>
      </w:r>
      <w:r w:rsidRPr="005C5CBD">
        <w:rPr>
          <w:rFonts w:ascii="Garamond" w:eastAsia="Times New Roman" w:hAnsi="Garamond" w:cs="Arial"/>
          <w:i/>
          <w:iCs/>
          <w:color w:val="000000"/>
          <w:sz w:val="24"/>
          <w:szCs w:val="24"/>
          <w:lang w:eastAsia="pt-BR"/>
        </w:rPr>
        <w:br/>
        <w:t>Arlindo Porto Neto</w:t>
      </w:r>
      <w:r w:rsidRPr="005C5CBD">
        <w:rPr>
          <w:rFonts w:ascii="Garamond" w:eastAsia="Times New Roman" w:hAnsi="Garamond" w:cs="Arial"/>
          <w:i/>
          <w:iCs/>
          <w:color w:val="000000"/>
          <w:sz w:val="24"/>
          <w:szCs w:val="24"/>
          <w:lang w:eastAsia="pt-BR"/>
        </w:rPr>
        <w:br/>
      </w:r>
      <w:r w:rsidRPr="005C5CBD">
        <w:rPr>
          <w:rFonts w:ascii="Garamond" w:eastAsia="Times New Roman" w:hAnsi="Garamond" w:cs="Arial"/>
          <w:i/>
          <w:iCs/>
          <w:color w:val="000000"/>
          <w:sz w:val="20"/>
          <w:szCs w:val="20"/>
          <w:lang w:eastAsia="pt-BR"/>
        </w:rPr>
        <w:t>Francisco Dornelles</w:t>
      </w:r>
      <w:r w:rsidRPr="005C5CBD">
        <w:rPr>
          <w:rFonts w:ascii="Garamond" w:eastAsia="Times New Roman" w:hAnsi="Garamond" w:cs="Arial"/>
          <w:i/>
          <w:iCs/>
          <w:color w:val="000000"/>
          <w:sz w:val="20"/>
          <w:szCs w:val="20"/>
          <w:lang w:eastAsia="pt-BR"/>
        </w:rPr>
        <w:br/>
        <w:t>Antonio Kandir</w:t>
      </w:r>
    </w:p>
    <w:p w14:paraId="236B1309" w14:textId="77777777" w:rsidR="00E3439D" w:rsidRPr="00395593" w:rsidRDefault="00E3439D" w:rsidP="0097041B">
      <w:pPr>
        <w:spacing w:before="100" w:beforeAutospacing="1" w:after="100" w:afterAutospacing="1" w:line="240" w:lineRule="auto"/>
        <w:jc w:val="center"/>
        <w:rPr>
          <w:rFonts w:ascii="Garamond" w:eastAsia="Times New Roman" w:hAnsi="Garamond" w:cs="Times New Roman"/>
          <w:color w:val="000000"/>
          <w:sz w:val="27"/>
          <w:szCs w:val="27"/>
          <w:lang w:eastAsia="pt-BR"/>
        </w:rPr>
      </w:pPr>
    </w:p>
    <w:p w14:paraId="125207F4" w14:textId="77777777" w:rsidR="00E3439D" w:rsidRPr="00395593" w:rsidRDefault="00E3439D" w:rsidP="0097041B">
      <w:pPr>
        <w:rPr>
          <w:rFonts w:ascii="Garamond" w:eastAsia="Times New Roman" w:hAnsi="Garamond" w:cs="Times New Roman"/>
          <w:color w:val="000000"/>
          <w:sz w:val="27"/>
          <w:szCs w:val="27"/>
          <w:lang w:eastAsia="pt-BR"/>
        </w:rPr>
      </w:pPr>
      <w:r w:rsidRPr="00395593">
        <w:rPr>
          <w:rFonts w:ascii="Garamond" w:eastAsia="Times New Roman" w:hAnsi="Garamond" w:cs="Times New Roman"/>
          <w:color w:val="000000"/>
          <w:sz w:val="27"/>
          <w:szCs w:val="27"/>
          <w:lang w:eastAsia="pt-BR"/>
        </w:rPr>
        <w:br w:type="page"/>
      </w:r>
    </w:p>
    <w:p w14:paraId="4EEEDA13" w14:textId="60ACE8DB" w:rsidR="00543362" w:rsidRPr="005C26A4" w:rsidRDefault="005C26A4" w:rsidP="00F955A3">
      <w:pPr>
        <w:pStyle w:val="Ttulo"/>
        <w:outlineLvl w:val="1"/>
      </w:pPr>
      <w:bookmarkStart w:id="163" w:name="_Toc96003819"/>
      <w:r w:rsidRPr="00395593">
        <w:t>D</w:t>
      </w:r>
      <w:r w:rsidR="004A423E" w:rsidRPr="00395593">
        <w:t>ecreto nº</w:t>
      </w:r>
      <w:r w:rsidR="00543362" w:rsidRPr="005C26A4">
        <w:t xml:space="preserve"> 2.667, </w:t>
      </w:r>
      <w:r w:rsidR="004A423E" w:rsidRPr="00395593">
        <w:t>de</w:t>
      </w:r>
      <w:r w:rsidR="00543362" w:rsidRPr="005C26A4">
        <w:t xml:space="preserve"> </w:t>
      </w:r>
      <w:r w:rsidR="00464D0F">
        <w:t xml:space="preserve">10 </w:t>
      </w:r>
      <w:r w:rsidR="004A423E" w:rsidRPr="00395593">
        <w:t>de</w:t>
      </w:r>
      <w:r w:rsidR="00464D0F" w:rsidRPr="00395593">
        <w:t xml:space="preserve"> </w:t>
      </w:r>
      <w:r w:rsidR="004A423E" w:rsidRPr="00395593">
        <w:t>julho de</w:t>
      </w:r>
      <w:r w:rsidR="00464D0F">
        <w:t xml:space="preserve"> 1998</w:t>
      </w:r>
      <w:bookmarkEnd w:id="163"/>
    </w:p>
    <w:tbl>
      <w:tblPr>
        <w:tblW w:w="8931" w:type="dxa"/>
        <w:jc w:val="center"/>
        <w:tblCellSpacing w:w="0" w:type="dxa"/>
        <w:tblCellMar>
          <w:top w:w="15" w:type="dxa"/>
          <w:left w:w="15" w:type="dxa"/>
          <w:bottom w:w="15" w:type="dxa"/>
          <w:right w:w="15" w:type="dxa"/>
        </w:tblCellMar>
        <w:tblLook w:val="04A0" w:firstRow="1" w:lastRow="0" w:firstColumn="1" w:lastColumn="0" w:noHBand="0" w:noVBand="1"/>
      </w:tblPr>
      <w:tblGrid>
        <w:gridCol w:w="4680"/>
        <w:gridCol w:w="4251"/>
      </w:tblGrid>
      <w:tr w:rsidR="001F139A" w:rsidRPr="00395593" w14:paraId="012CCB85" w14:textId="77777777" w:rsidTr="00872C0E">
        <w:trPr>
          <w:tblCellSpacing w:w="0" w:type="dxa"/>
          <w:jc w:val="center"/>
        </w:trPr>
        <w:tc>
          <w:tcPr>
            <w:tcW w:w="2620" w:type="pct"/>
            <w:vAlign w:val="center"/>
            <w:hideMark/>
          </w:tcPr>
          <w:p w14:paraId="22AB1CBD" w14:textId="77777777" w:rsidR="001F139A" w:rsidRPr="00395593" w:rsidRDefault="001F139A" w:rsidP="00AF5590">
            <w:pPr>
              <w:spacing w:after="0" w:line="240" w:lineRule="auto"/>
              <w:rPr>
                <w:rFonts w:ascii="Garamond" w:eastAsia="Times New Roman" w:hAnsi="Garamond" w:cs="Times New Roman"/>
                <w:color w:val="000000"/>
                <w:sz w:val="24"/>
                <w:szCs w:val="24"/>
                <w:lang w:eastAsia="pt-BR"/>
              </w:rPr>
            </w:pPr>
          </w:p>
        </w:tc>
        <w:tc>
          <w:tcPr>
            <w:tcW w:w="2380" w:type="pct"/>
            <w:vAlign w:val="center"/>
            <w:hideMark/>
          </w:tcPr>
          <w:p w14:paraId="197A3AC1" w14:textId="77777777" w:rsidR="001F139A" w:rsidRPr="00395593" w:rsidRDefault="001F139A" w:rsidP="00AF5590">
            <w:pPr>
              <w:spacing w:before="100" w:beforeAutospacing="1" w:after="100" w:afterAutospacing="1" w:line="240" w:lineRule="auto"/>
              <w:jc w:val="both"/>
              <w:rPr>
                <w:rFonts w:ascii="Garamond" w:eastAsia="Times New Roman" w:hAnsi="Garamond" w:cs="Times New Roman"/>
                <w:sz w:val="24"/>
                <w:szCs w:val="24"/>
                <w:lang w:eastAsia="pt-BR"/>
              </w:rPr>
            </w:pPr>
            <w:r w:rsidRPr="00395593">
              <w:rPr>
                <w:rFonts w:ascii="Garamond" w:eastAsia="Times New Roman" w:hAnsi="Garamond" w:cs="Arial"/>
                <w:color w:val="000000" w:themeColor="text1"/>
                <w:sz w:val="24"/>
                <w:szCs w:val="24"/>
                <w:lang w:eastAsia="pt-BR"/>
              </w:rPr>
              <w:t>Dispõe sobre a execução do Décimo Nono Protocolo Adicional ao Acordo de Complementação Econômica n º 18, entre Brasil, Argentina, Paraguai e Uruguai, de 17 de dezembro de 1997</w:t>
            </w:r>
          </w:p>
        </w:tc>
      </w:tr>
    </w:tbl>
    <w:p w14:paraId="2E8852C8" w14:textId="2CAE1368" w:rsidR="001F139A" w:rsidRPr="00395593" w:rsidRDefault="001F139A"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Arial"/>
          <w:b/>
          <w:bCs/>
          <w:color w:val="000000"/>
          <w:sz w:val="24"/>
          <w:szCs w:val="24"/>
          <w:lang w:eastAsia="pt-BR"/>
        </w:rPr>
        <w:t>O PRESIDENTE DA REPÚBLICA</w:t>
      </w:r>
      <w:r w:rsidRPr="00395593">
        <w:rPr>
          <w:rFonts w:ascii="Garamond" w:eastAsia="Times New Roman" w:hAnsi="Garamond" w:cs="Arial"/>
          <w:color w:val="000000"/>
          <w:sz w:val="24"/>
          <w:szCs w:val="24"/>
          <w:lang w:eastAsia="pt-BR"/>
        </w:rPr>
        <w:t>, no uso das atribuições que lhe confere o artigo 84, inciso IV, da Constituição Federal,</w:t>
      </w:r>
    </w:p>
    <w:p w14:paraId="3EDC959A" w14:textId="77777777" w:rsidR="001F139A" w:rsidRPr="00395593" w:rsidRDefault="001F139A"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CONSIDERANDO que o Tratado de Montevidéu de 1980, que criou a Associação Latino-Americana de Integração (ALADI), firmado pelo Brasil em 12 de agosto de 1980 e aprovado pelo Congresso Nacional por meio do Decreto Legislativo nº 66 </w:t>
      </w:r>
      <w:r w:rsidRPr="00395593">
        <w:rPr>
          <w:rFonts w:ascii="Garamond" w:eastAsia="Times New Roman" w:hAnsi="Garamond" w:cs="Arial"/>
          <w:color w:val="000000"/>
          <w:sz w:val="24"/>
          <w:szCs w:val="24"/>
          <w:vertAlign w:val="superscript"/>
          <w:lang w:eastAsia="pt-BR"/>
        </w:rPr>
        <w:t>(1)</w:t>
      </w:r>
      <w:r w:rsidRPr="00395593">
        <w:rPr>
          <w:rFonts w:ascii="Garamond" w:eastAsia="Times New Roman" w:hAnsi="Garamond" w:cs="Arial"/>
          <w:color w:val="000000"/>
          <w:sz w:val="24"/>
          <w:szCs w:val="24"/>
          <w:lang w:eastAsia="pt-BR"/>
        </w:rPr>
        <w:t> , de 16 de novembro de 1981, prevê a modalidade de Acordo de Complementação Econômica;</w:t>
      </w:r>
    </w:p>
    <w:p w14:paraId="2F641D36" w14:textId="77777777" w:rsidR="001F139A" w:rsidRPr="00395593" w:rsidRDefault="001F139A"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CONSIDERANDO que os Plenipotenciários da República Federativa do Brasil, da República Argentina, da República do Paraguai e da República Oriental do Uruguai, com base no Tratado de Montevidéu de 1980, assinaram em 17 de dezembro de 1997, em Montevidéu, o Décimo Nono Protocolo Adicional ao Acordo de Complementação Econômica nº 18, entre Brasil, Argentina, Paraguai e Uruguai, que formaliza, no âmbito da ALADI, o "Regulamento Relativo à Aplicação de Medidas de Salvaguarda às Importações Provenientes de Países Não Membros do Mercado Comum do Sul (MERCOSUL)";</w:t>
      </w:r>
    </w:p>
    <w:p w14:paraId="2EC15DC3" w14:textId="77777777" w:rsidR="001F139A" w:rsidRPr="00395593" w:rsidRDefault="001F139A"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CONSIDERANDO que o Conselho do Mercado Comum do MERCOSUL aprovou em sua XI Reunião, por meio da Decisão nº 17/96, o "Regulamento Relativo à Aplicação de Medidas de Salvaguarda às Importações Provenientes de Países Não Membros do Mercado Comum do Sul (MERCOSUL)";</w:t>
      </w:r>
    </w:p>
    <w:p w14:paraId="4B36BDB5" w14:textId="77777777" w:rsidR="001F139A" w:rsidRPr="00395593" w:rsidRDefault="001F139A"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CONSIDERANDO que o Acordo Constitutivo da Organização Mundial de Comércio (OMC) e seus anexos, dentre eles o Acordo Geral sobre Tarifas e Comércio - GATT 1994 e o Acordo sobre Salvaguardas, foram firmados pelo Brasil em 12 de abril de 1994 e aprovados pelo Congresso Nacional por meio do Decreto Legislativo nº 30 </w:t>
      </w:r>
      <w:r w:rsidRPr="00395593">
        <w:rPr>
          <w:rFonts w:ascii="Garamond" w:eastAsia="Times New Roman" w:hAnsi="Garamond" w:cs="Arial"/>
          <w:color w:val="000000"/>
          <w:sz w:val="24"/>
          <w:szCs w:val="24"/>
          <w:vertAlign w:val="superscript"/>
          <w:lang w:eastAsia="pt-BR"/>
        </w:rPr>
        <w:t>(2)</w:t>
      </w:r>
      <w:r w:rsidRPr="00395593">
        <w:rPr>
          <w:rFonts w:ascii="Garamond" w:eastAsia="Times New Roman" w:hAnsi="Garamond" w:cs="Arial"/>
          <w:color w:val="000000"/>
          <w:sz w:val="24"/>
          <w:szCs w:val="24"/>
          <w:lang w:eastAsia="pt-BR"/>
        </w:rPr>
        <w:t> , de 15 de dezembro de 1994,</w:t>
      </w:r>
    </w:p>
    <w:p w14:paraId="0E18A79E" w14:textId="77777777" w:rsidR="001F139A" w:rsidRPr="00395593" w:rsidRDefault="001F139A"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w:t>
      </w:r>
      <w:r w:rsidRPr="00395593">
        <w:rPr>
          <w:rFonts w:ascii="Garamond" w:eastAsia="Times New Roman" w:hAnsi="Garamond" w:cs="Arial"/>
          <w:b/>
          <w:bCs/>
          <w:color w:val="000000"/>
          <w:sz w:val="24"/>
          <w:szCs w:val="24"/>
          <w:lang w:eastAsia="pt-BR"/>
        </w:rPr>
        <w:t>DECRETA:</w:t>
      </w:r>
    </w:p>
    <w:p w14:paraId="62E30A39" w14:textId="77777777" w:rsidR="001F139A" w:rsidRPr="00395593" w:rsidRDefault="001F139A"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1º O Décimo Nono Protocolo Adicional ao Acordo de Complementação Econômica nº 18, entre Brasil, Argentina, Paraguai e Uruguai, apenso por cópia ao presente Decreto, será executado e cumprido tão integralmente como nele se contém.</w:t>
      </w:r>
    </w:p>
    <w:p w14:paraId="3B0C24E5" w14:textId="77777777" w:rsidR="001F139A" w:rsidRPr="00395593" w:rsidRDefault="001F139A"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2º Este Decreto entra em vigor na data de sua publicação.</w:t>
      </w:r>
    </w:p>
    <w:p w14:paraId="5BF02627" w14:textId="77777777" w:rsidR="001F139A" w:rsidRPr="00395593" w:rsidRDefault="001F139A" w:rsidP="00AF5590">
      <w:pPr>
        <w:spacing w:before="100" w:beforeAutospacing="1" w:after="100" w:afterAutospacing="1" w:line="240" w:lineRule="auto"/>
        <w:jc w:val="center"/>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FERNANDO HENRIQUE CARDOSO</w:t>
      </w:r>
      <w:r w:rsidRPr="00395593">
        <w:rPr>
          <w:rFonts w:ascii="Garamond" w:eastAsia="Times New Roman" w:hAnsi="Garamond" w:cs="Arial"/>
          <w:color w:val="000000"/>
          <w:sz w:val="24"/>
          <w:szCs w:val="24"/>
          <w:lang w:eastAsia="pt-BR"/>
        </w:rPr>
        <w:br/>
      </w:r>
      <w:r w:rsidRPr="00395593">
        <w:rPr>
          <w:rFonts w:ascii="Garamond" w:eastAsia="Times New Roman" w:hAnsi="Garamond" w:cs="Arial"/>
          <w:i/>
          <w:iCs/>
          <w:color w:val="000000"/>
          <w:sz w:val="24"/>
          <w:szCs w:val="24"/>
          <w:lang w:eastAsia="pt-BR"/>
        </w:rPr>
        <w:t>Luiz Felipe Lampreia</w:t>
      </w:r>
    </w:p>
    <w:p w14:paraId="43E6E6E4" w14:textId="77777777" w:rsidR="00847C8A" w:rsidRDefault="00847C8A">
      <w:pPr>
        <w:rPr>
          <w:rFonts w:ascii="Garamond" w:eastAsia="Times New Roman" w:hAnsi="Garamond" w:cs="Arial"/>
          <w:b/>
          <w:color w:val="000000"/>
          <w:sz w:val="24"/>
          <w:szCs w:val="24"/>
          <w:lang w:eastAsia="pt-BR"/>
        </w:rPr>
      </w:pPr>
      <w:r>
        <w:rPr>
          <w:rFonts w:ascii="Garamond" w:eastAsia="Times New Roman" w:hAnsi="Garamond" w:cs="Arial"/>
          <w:b/>
          <w:color w:val="000000"/>
          <w:sz w:val="24"/>
          <w:szCs w:val="24"/>
          <w:lang w:eastAsia="pt-BR"/>
        </w:rPr>
        <w:br w:type="page"/>
      </w:r>
    </w:p>
    <w:p w14:paraId="119F6E67" w14:textId="41C1D3CB" w:rsidR="00AE2E10" w:rsidRPr="00395593" w:rsidRDefault="00AE2E10" w:rsidP="00AF5590">
      <w:pPr>
        <w:spacing w:before="100" w:beforeAutospacing="1" w:after="100" w:afterAutospacing="1" w:line="240" w:lineRule="auto"/>
        <w:jc w:val="both"/>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ACORDO DE COMPLEMENTAÇÃO ECONÔMICA N º 18 CELEBRADO ENTRE A ARGENTINA, BRASIL, PARAGUAI E URUGUAI</w:t>
      </w:r>
    </w:p>
    <w:p w14:paraId="2C5B1633"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Décimo Nono Protocolo Adicional</w:t>
      </w:r>
    </w:p>
    <w:p w14:paraId="3D6F5F8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Os Plenipotenciários da República Argentina, da República Federativa do Brasil, da República do Paraguai e da República Oriental do Uruguai, acreditados por seus respectivos Governos segundo poderes outorgados em boa e devida forma, depositados oportunamente na Secretaria-Geral da Associação,</w:t>
      </w:r>
    </w:p>
    <w:p w14:paraId="74B0459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CONVÊM EM:</w:t>
      </w:r>
    </w:p>
    <w:p w14:paraId="296B58C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1º De conformidade com o disposto pelo Artigo 1º do Décimo Oitavo Protocolo Adicional do presente Acordo, formalizar o "Regulamento relativo à aplicação de Medidas de Salvaguarda às importações provenientes de países não membros do Mercado Comum do Sul (MERCOSUL)", registrado como anexo e que faz parte deste Protocolo.</w:t>
      </w:r>
    </w:p>
    <w:p w14:paraId="16397B60"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2º O presente Protocolo entrará em vigência na data de sua assinatura.</w:t>
      </w:r>
    </w:p>
    <w:p w14:paraId="363EC461"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 Secretaria-Geral da Associação será depositária do presente Protocolo, do qual enviará cópias devidamente autenticadas aos Governos dos países signatários e aos demais países-membros da Associação.</w:t>
      </w:r>
    </w:p>
    <w:p w14:paraId="2100810D"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EM FÉ DO QUE os respectivos Plenipotenciários subscrevem o presente Protocolo na cidade de Montevidéu, aos dezessete dias do mês de dezembro de mil novecentos e noventa e sete, em um original nos idiomas português e espanhol, sendo ambos os textos igualmente válidos.</w:t>
      </w:r>
    </w:p>
    <w:p w14:paraId="2B6391F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Pelo Governo da República Argentina: Jesús Sabra</w:t>
      </w:r>
    </w:p>
    <w:p w14:paraId="25E353B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Pelo Governo da República Federativa do Brasil: José Artur Denot Medeiros</w:t>
      </w:r>
    </w:p>
    <w:p w14:paraId="1D0FB361"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Pelo Governo da República do Paraguai: Efraín Darío Centurión</w:t>
      </w:r>
    </w:p>
    <w:p w14:paraId="7E615B8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Pelo Governo da República Oriental do Uruguai: Adolfo Castells</w:t>
      </w:r>
    </w:p>
    <w:p w14:paraId="7801AC0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REGULAMENTO RELATIVO À APLICAÇÃO DE MEDIDAS DE SALVAGUARDA ÀS IMPORTAÇÕES PROVENIENTES DE PAÍSES NÃO MEMBROS DO MERCADO COMUM DO SUL (MERCOSUL)</w:t>
      </w:r>
    </w:p>
    <w:p w14:paraId="73315BC9"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I</w:t>
      </w:r>
    </w:p>
    <w:p w14:paraId="479B26BB"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DO ÂMBITO DE APLICAÇÃO</w:t>
      </w:r>
    </w:p>
    <w:p w14:paraId="26299F63"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1º O presente Regulamento estabelece as normas para aplicação de medidas de salvaguarda, entendidas como as medidas previstas no Artigo XIX do Acordo Geral sobre Tarifas e Comércio - GATT 1994 (Medidas de Emergência sobre as Importações de Determinados Produtos), aplicáveis às importações provenientes de países não membros do Mercado Comum do Sul (MERCOSUL), e conforme interpretado pelo Acordo sobre Salvaguardas da Organização Mundial de Comércio (OMC).</w:t>
      </w:r>
    </w:p>
    <w:p w14:paraId="25D46F6F"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II</w:t>
      </w:r>
    </w:p>
    <w:p w14:paraId="61C3C053"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DAS CONDIÇÕES DE APLICAÇÃO</w:t>
      </w:r>
    </w:p>
    <w:p w14:paraId="2DB6298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2º O MERCOSUL poderá adotar uma medida de salvaguarda para um produto, como entidade única ou em nome de um de seus Estados-Partes, quando uma investigação determinar que as importações daquele produto no território do MERCOSUL, em seu conjunto ou de um de seus Estados-Partes, tenham aumentado em tais quantidades - em termos absolutos ou em relação à produção doméstica do MERCOSUL ou de um de seus Estados-Partes - e ocorram em tais condições, que causam ou ameaçam causar prejuízo grave </w:t>
      </w:r>
      <w:r w:rsidRPr="00395593">
        <w:rPr>
          <w:rFonts w:ascii="Garamond" w:eastAsia="Times New Roman" w:hAnsi="Garamond" w:cs="Arial"/>
          <w:color w:val="000000"/>
          <w:sz w:val="24"/>
          <w:szCs w:val="24"/>
          <w:vertAlign w:val="superscript"/>
          <w:lang w:eastAsia="pt-BR"/>
        </w:rPr>
        <w:t>1</w:t>
      </w:r>
      <w:r w:rsidRPr="00395593">
        <w:rPr>
          <w:rFonts w:ascii="Garamond" w:eastAsia="Times New Roman" w:hAnsi="Garamond" w:cs="Arial"/>
          <w:color w:val="000000"/>
          <w:sz w:val="24"/>
          <w:szCs w:val="24"/>
          <w:lang w:eastAsia="pt-BR"/>
        </w:rPr>
        <w:t> à produção doméstica do MERCOSUL ou de um de seus Estados-Partes de produtos similares ou diretamente concorrentes, de acordo com as disposições dos §§ 1º e 2º.</w:t>
      </w:r>
    </w:p>
    <w:p w14:paraId="40645080"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1º Quando se tratar da adoção de medida de salvaguarda como entidade única, os requisitos para a determinação da existência de prejuízo grave ou de ameaça de prejuízo grave, de acordo com o disposto no artigo 4º, deverão basear-se nas condições existentes no MERCOSUL considerado em seu conjunto.</w:t>
      </w:r>
    </w:p>
    <w:p w14:paraId="63710F4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2º Quando se tratar da adoção da medida de salvaguarda em nome de um Estado-Parte, os requisitos para a determinação da existência de prejuízo grave ou de ameaça de prejuízo grave, de acordo com o disposto no artigo 4º, deverão basear-se nas condições existentes nesse Estado-Parte e a medida limitar-se-á a este.</w:t>
      </w:r>
    </w:p>
    <w:p w14:paraId="0363C2EE"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3º As medidas de salvaguarda serão aplicadas ao produto importado independentemente de sua procedência, excetuando-se o caso a que se refere o artigo 81, no que diz respeito aos produtos têxteis.</w:t>
      </w:r>
    </w:p>
    <w:p w14:paraId="2539D76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1 Para os fins deste Regulamento, as expressões "prejuízo grave" ou "ameaça de prejuízo grave", em português, equivalem, respectivamente, a "dano grave" e "ameaça de dano grave", na versão deste Regulamento em espanhol, nos termos do Artigo 4 do Acordo sobre Salvaguardas da OMC.</w:t>
      </w:r>
    </w:p>
    <w:p w14:paraId="3709C4C4"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III</w:t>
      </w:r>
    </w:p>
    <w:p w14:paraId="0CCE6315"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 PRODUÇÃO DOMÉSTICA DO MERCOSUL OU DE UM DE SEUS ESTADOS-PARTES</w:t>
      </w:r>
    </w:p>
    <w:p w14:paraId="64BBC1DE"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3º Para os efeitos do presente Regulamento entende-se por "produção doméstica do MERCOSUL ou de um de seus Estados-Partes" o conjunto dos produtores de produtos similares ou diretamente concorrentes que operem no MERCOSUL ou em um de seus Estados-Partes, ou aqueles cuja produção conjunta de produtos similares ou diretamente concorrentes constitua uma proporção importante da produção total de tais produtos no MERCOSUL ou em um de seus Estados-Partes.</w:t>
      </w:r>
    </w:p>
    <w:p w14:paraId="1209460E"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IV</w:t>
      </w:r>
    </w:p>
    <w:p w14:paraId="08D149DA" w14:textId="77777777" w:rsidR="00AE2E10" w:rsidRPr="00395593" w:rsidRDefault="00AE2E10" w:rsidP="00AF5590">
      <w:pPr>
        <w:spacing w:before="100" w:beforeAutospacing="1" w:after="100" w:afterAutospacing="1" w:line="240" w:lineRule="auto"/>
        <w:jc w:val="center"/>
        <w:rPr>
          <w:rFonts w:ascii="Garamond" w:eastAsia="Times New Roman" w:hAnsi="Garamond" w:cs="Arial"/>
          <w:color w:val="000000"/>
          <w:sz w:val="24"/>
          <w:szCs w:val="24"/>
          <w:lang w:eastAsia="pt-BR"/>
        </w:rPr>
      </w:pPr>
      <w:r w:rsidRPr="00395593">
        <w:rPr>
          <w:rFonts w:ascii="Garamond" w:eastAsia="Times New Roman" w:hAnsi="Garamond" w:cs="Arial"/>
          <w:b/>
          <w:color w:val="000000"/>
          <w:sz w:val="24"/>
          <w:szCs w:val="24"/>
          <w:lang w:eastAsia="pt-BR"/>
        </w:rPr>
        <w:t>DA DETERMINAÇÃO DA EXISTÊNCIA DE PREJUÍZO GRAVE E AMEAÇA DE PREJUÍZO GRAVE</w:t>
      </w:r>
    </w:p>
    <w:p w14:paraId="600ADD9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4º Para os efeitos do presente Regulamento, entende-se por:</w:t>
      </w:r>
    </w:p>
    <w:p w14:paraId="1BE439A2"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 - "prejuízo grave": uma degradação geral significativa da situação de uma determinada produção doméstica do MERCOSUL ou de um de seus Estados-Partes;</w:t>
      </w:r>
    </w:p>
    <w:p w14:paraId="1D83C9C8"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II - "ameaça de prejuízo grave": a clara iminência de prejuízo grave, em conformidade com as disposições do artigo 5º.</w:t>
      </w:r>
    </w:p>
    <w:p w14:paraId="63E0AD8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Parágrafo único. A determinação da existência de ameaça de prejuízo grave se baseará em fatos e não apenas em alegações, conjecturas ou possibilidades remotas.</w:t>
      </w:r>
    </w:p>
    <w:p w14:paraId="3D6E3D3B"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5º Na investigação para determinar se o aumento das importações causou ou ameaça causar prejuízo grave à produção doméstica do MERCOSUL ou de um de seus Estados-Partes, serão avaliados os fatores relevantes objetivos e quantificáveis relacionados com a situação da produção doméstica afetada, particularmente os seguintes:</w:t>
      </w:r>
    </w:p>
    <w:p w14:paraId="492FDFD1"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 - o montante e o ritmo de crescimento das importações do produto, em termos absolutos e relativos;</w:t>
      </w:r>
    </w:p>
    <w:p w14:paraId="4CAA3788"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II - a parcela do mercado doméstico do MERCOSUL ou de um de seus Estados-Partes absorvida por importações crescentes;</w:t>
      </w:r>
    </w:p>
    <w:p w14:paraId="392137B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III - alterações no nível de vendas, produção, produtividade, utilização da capacidade, lucros, e perdas e emprego.</w:t>
      </w:r>
    </w:p>
    <w:p w14:paraId="4A645DF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6º Para efeitos da investigação a que se refere o artigo 5º, poderão ser também analisados outros fatores, como preços das importações, em especial para determinar se houve uma significativa subcotação em relação ao preço do produto similar no mercado doméstico, e a evolução dos preços domésticos dos produtos similares ou diretamente concorrentes, para determinar se houve queda ou se não ocorreram aumentos de preços que se poderiam ter verificado de outro modo.</w:t>
      </w:r>
    </w:p>
    <w:p w14:paraId="0775ED28"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7º Quando for alegada ameaça de prejuízo grave, será examinado, além dos fatores mencionados, se é previsível que uma situação particular seja suscetível de se transformar efetivamente em prejuízo grave. Para esse fim, poderão ser levados em conta fatores tais como a taxa de aumento das exportações para o MERCOSUL ou para um de seus Estados-Partes e a capacidade de exportação de país de origem ou de exportação, atual ou potencial, no futuro próximo, e a probabilidade de que essa capacidade seja utilizada para se exportar ao MERCOSUL ou a um de seus Estados-Partes.</w:t>
      </w:r>
    </w:p>
    <w:p w14:paraId="5217C6E3"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8º A determinação da existência de prejuízo grave, ou de ameaça de prejuízo grave referida no artigo 5º, será baseada em provas objetivas que demonstrem a existência de nexo causal entre o aumento das importações do produto de que se trata e o prejuízo grave ou ameaça de prejuízo grave. Se existirem outros fatores, distintos do aumento das importações que, ao mesmo tempo, estejam causando prejuízo à produção doméstica em questão, este prejuízo não será atribuído ao aumento das importações.</w:t>
      </w:r>
    </w:p>
    <w:p w14:paraId="7535C482"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V</w:t>
      </w:r>
    </w:p>
    <w:p w14:paraId="2AC0AB76"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 ADOÇÃO DE MEDIDA DE SALVAGUARDA PELO MERCOSUL COMO ENTIDADE ÚNICA</w:t>
      </w:r>
    </w:p>
    <w:p w14:paraId="3C7E87A3"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SEÇÃO I</w:t>
      </w:r>
    </w:p>
    <w:p w14:paraId="5D2653C7"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Das Competências</w:t>
      </w:r>
    </w:p>
    <w:p w14:paraId="2268D1C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9º Compete ao Comitê de Defesa Comercial e Salvaguardas - doravante denominado "Comitê" - zelar pelo cumprimento das disposições do presente Regulamento e conduzir a investigação a fim de determinar a existência de aumento das importações do produto em questão, e de prejuízo grave ou ameaça de prejuízo grave à produção doméstica do MERCOSUL, fabricante do produto similar ou diretamente concorrente, e de nexo causal entre o aumento das importações do produto em questão e o prejuízo grave ou ameaça de prejuízo grave.</w:t>
      </w:r>
    </w:p>
    <w:p w14:paraId="2A44D35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10. Compete à Comissão de Comércio do MERCOSUL - doravante denominada "Comissão"-, com base em parecer do Comitê, decidir o início da investigação, a adoção de medidas de salvaguarda provisória ou de medidas de salvaguarda pelo MERCOSUL, o encerramento de investigação sem adoção de medidas, a prorrogação, a revogação ou a aceleração do ritmo de liberalização das medidas.</w:t>
      </w:r>
    </w:p>
    <w:p w14:paraId="2D6CFA8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11. Compete à Presidência Pro Tempore do MERCOSUL efetuar as notificações ao Comitê de Salvaguardas da OMC, de acordo com os termos do artigos 79 e 80.</w:t>
      </w:r>
    </w:p>
    <w:p w14:paraId="48D4479D"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SEÇÃO II</w:t>
      </w:r>
    </w:p>
    <w:p w14:paraId="12CC36D1"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 Petição</w:t>
      </w:r>
    </w:p>
    <w:p w14:paraId="3F5FAF2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12. A petição para adoção de medida de salvaguarda pelo MERCOSUL como entidade única deverá ser apresentada por empresas ou entidades de classe que as representem, por escrito, às Seções Nacionais do Comitê - doravante denominadas "Seções Nacionais" - e conter elementos de prova suficientes do aumento das importações, do prejuízo grave e de nexo causal entre ambas as circunstâncias, bem como plano de ajuste que coloque a produção doméstica do MERCOSUL em melhores condições de competitividade frente às importações.</w:t>
      </w:r>
    </w:p>
    <w:p w14:paraId="54CFC3C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1º As petições deverão ser apresentadas de acordo com formulário elaborado pelo Comitê e formuladas de forma individual ou conjunta.</w:t>
      </w:r>
    </w:p>
    <w:p w14:paraId="4196D494"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2º A Seção Nacional que houver recebido a petição enviará, por intermédio da Presidência Pro Tempore do Comitê, cópia da mesma às demais Seções Nacionais, no prazo de três dias, contado da data de recebimento da petição.</w:t>
      </w:r>
    </w:p>
    <w:p w14:paraId="52661472"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3º As Seções Nacionais realizarão exame conjunto sobre a admissibilidade da petição e o seu resultado será notificado ao peticionário.</w:t>
      </w:r>
    </w:p>
    <w:p w14:paraId="312B3BB9"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SEÇÃO III</w:t>
      </w:r>
    </w:p>
    <w:p w14:paraId="629EE7AB" w14:textId="77777777" w:rsidR="00AE2E10" w:rsidRPr="00395593" w:rsidRDefault="00AE2E10" w:rsidP="00AF5590">
      <w:pPr>
        <w:spacing w:before="100" w:beforeAutospacing="1" w:after="100" w:afterAutospacing="1" w:line="240" w:lineRule="auto"/>
        <w:jc w:val="center"/>
        <w:rPr>
          <w:rFonts w:ascii="Garamond" w:eastAsia="Times New Roman" w:hAnsi="Garamond" w:cs="Arial"/>
          <w:color w:val="000000"/>
          <w:sz w:val="24"/>
          <w:szCs w:val="24"/>
          <w:lang w:eastAsia="pt-BR"/>
        </w:rPr>
      </w:pPr>
      <w:r w:rsidRPr="00395593">
        <w:rPr>
          <w:rFonts w:ascii="Garamond" w:eastAsia="Times New Roman" w:hAnsi="Garamond" w:cs="Arial"/>
          <w:b/>
          <w:color w:val="000000"/>
          <w:sz w:val="24"/>
          <w:szCs w:val="24"/>
          <w:lang w:eastAsia="pt-BR"/>
        </w:rPr>
        <w:t>Da Abertura</w:t>
      </w:r>
    </w:p>
    <w:p w14:paraId="052A858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13. Uma vez admitida a petição, as Seções Nacionais elaborarão conjuntamente parecer sobre a abertura de investigação, o qual deverá conter determinação preliminar sobre a existência de prejuízo grave ou ameaça de prejuízo grave à produção doméstica do MERCOSUL, causado pelo aumento das importações do produto em questão, assim como análise preliminar do plano de ajuste apresentado pelo peticionário.</w:t>
      </w:r>
    </w:p>
    <w:p w14:paraId="4B526AC8"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Parágrafo único. O Comitê encaminhará o parecer à Comissão.</w:t>
      </w:r>
    </w:p>
    <w:p w14:paraId="33D75E7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14. A Comissão, em sua primeira reunião subseqüente ao recebimento do parecer, decidirá sobre a abertura da investigação mediante Diretriz.</w:t>
      </w:r>
    </w:p>
    <w:p w14:paraId="684FAC9B"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1º A Diretriz de abertura de investigação conterá resumo dos elementos que serviram de base para a decisão, com vistas a informar a todas as partes interessadas.</w:t>
      </w:r>
    </w:p>
    <w:p w14:paraId="539DAB0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2º A Diretriz de abertura estabelecerá:</w:t>
      </w:r>
    </w:p>
    <w:p w14:paraId="62B7C50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 o prazo no qual as partes interessadas poderão apresentar às Seções Nacionais elementos de prova e expor suas alegações, por escrito, de forma que possam ser levados em consideração durante a investigação, e dentro do qual terão a oportunidade de responder às comunicações de outras partes, bem como de manifestar suas opiniões, inclusive sobre a existência de interesse público na aplicação de medida de salvaguarda;</w:t>
      </w:r>
    </w:p>
    <w:p w14:paraId="3F0F477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b) o prazo no qual as partes interessadas poderão requerer às Seções Nacionais a realização de audiências, de acordo com artigo 18.</w:t>
      </w:r>
    </w:p>
    <w:p w14:paraId="48353523"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3º A Diretriz de abertura de investigação será incorporada aos ordenamentos jurídicos dos Estados-Partes.</w:t>
      </w:r>
    </w:p>
    <w:p w14:paraId="3C444D31"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4º A Presidência Pro Tempore do MERCOSUL notificará a Diretriz de abertura de investigação ao Comitê de Salvaguardas da OMC, assim como os instrumentos que vierem a incorporá-la aos ordenamentos jurídicos dos Estados-Partes, no prazo de cinco dias, contado da data do recebimento do último desses instrumentos.</w:t>
      </w:r>
    </w:p>
    <w:p w14:paraId="2352239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5º Quando a Comissão decidir não iniciar a investigação, as Seções Nacionais notificarão ao peticionário tal decisão devidamente fundamentada e se procederá ao arquivamento do processo.</w:t>
      </w:r>
    </w:p>
    <w:p w14:paraId="212C7369"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SEÇÃO IV</w:t>
      </w:r>
    </w:p>
    <w:p w14:paraId="415439EB"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 Investigação</w:t>
      </w:r>
    </w:p>
    <w:p w14:paraId="573EBDBE"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15. O Comitê será responsável pela condução das investigações para fins de adoção de medidas de salvaguarda.</w:t>
      </w:r>
    </w:p>
    <w:p w14:paraId="1D0205E8"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Parágrafo único. As Seções Nacionais serão responsáveis pela realização das investigações e, para esse fim, colherão as informações e dados pertinentes.</w:t>
      </w:r>
    </w:p>
    <w:p w14:paraId="71A94DA0"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16. No curso da investigação, as Seções Nacionais poderão enviar questionários às partes interessadas, consultar outras fontes de informação, bem como realizar verificações in loco .</w:t>
      </w:r>
    </w:p>
    <w:p w14:paraId="0713E3B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17. As partes interessadas na investigação de salvaguardas deverão credenciar, por escrito, seus representantes legais.</w:t>
      </w:r>
    </w:p>
    <w:p w14:paraId="2114CA2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18. As Seções Nacionais ouvirão as partes interessadas que demonstrem poder ser efetivamente afetadas pelo resultado da investigação e ter razão especial para serem ouvidas, desde que requeiram, por escrito, a realização de audiências no prazo determinado pela Diretriz de que trata o § 2º do artigo 14.</w:t>
      </w:r>
    </w:p>
    <w:p w14:paraId="359C7471"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19. Durante a investigação, as Seções Nacionais avaliarão as ações previstas no plano de ajuste apresentado pela produção doméstica do MERCOSUL, com o objetivo de verificar se o plano é adequado para os fins a que se propõe, conforme o disposto no artigo 12.</w:t>
      </w:r>
    </w:p>
    <w:p w14:paraId="4E2BDBF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20. As Seções Nacionais elaborarão conjuntamente parecer sobre a determinação da existência de prejuízo grave ou de ameaça de prejuízo grave à produção doméstica do MERCOSUL, causado pelo aumento das importações do produto em questão, bem como sobre a viabilidade do plano de ajuste da produção doméstica, para fins de decisão sobre a adoção de medida de salvaguarda.</w:t>
      </w:r>
    </w:p>
    <w:p w14:paraId="03A215BB"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Parágrafo único. O parecer será encaminhado pelo Comitê para a Comissão para fins de decisão sobre adoção de medida de salvaguarda.</w:t>
      </w:r>
    </w:p>
    <w:p w14:paraId="7C28649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21. Toda informação de natureza confidencial ou que tenha sido prestada em caráter confidencial pelas partes interessadas em uma investigação de salvaguardas será, mediante prévia justificativa, tratada como tal pelas Seções Nacionais e pelo Comitê. Essa informação não poderá ser divulgada sem o consentimento expresso da parte que a forneceu. As partes que fornecerem tais informações poderão ser convidadas a apresentar um resumo não-confidencial das mesmas. Na hipótese de declararem que a informação não pode ser resumida, deverão expor as razões dessa impossibilidade. Quando as Seções Nacionais julgarem que um pedido de tratamento confidencial não é justificado, e se a parte interessada não desejar torná-la pública nem autorizar a sua divulgação no todo ou em parte, as Seções Nacionais terão o direito de desprezar tal informação, salvo se lhes for demonstrado, de maneira convincente e por fonte fidedigna, que a mesma é correta.</w:t>
      </w:r>
    </w:p>
    <w:p w14:paraId="34A82E3B"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SEÇÃO V</w:t>
      </w:r>
    </w:p>
    <w:p w14:paraId="33024F99"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Das Consultas</w:t>
      </w:r>
    </w:p>
    <w:p w14:paraId="7AB462F7"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22. A Comissão, em sua primeira reunião subseqüente ao recebimento do parecer, a que se refere o artigo 20, pronunciar-se-á, mediante Diretriz, sobre a intenção de adotar medida de salvaguarda, com base na determinação de:</w:t>
      </w:r>
    </w:p>
    <w:p w14:paraId="75459B62"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 - existência de prejuízo grave ou ameaça de prejuízo grave à produção doméstica do MERCOSUL, causado pelo aumento das importações; e</w:t>
      </w:r>
    </w:p>
    <w:p w14:paraId="0A66EFF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II - viabilidade do plano de ajuste e de adequação das ações previstas aos objetivos que se propõe.</w:t>
      </w:r>
    </w:p>
    <w:p w14:paraId="2A10D031"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1º Caso qualquer uma das condições previstas nos incisos I e II deste artigo não seja atendida, a investigação será encerrada sem adoção de medida de salvaguarda, aplicando-se o disposto nos §§ 1º, 2º e 3º do artigo 29.</w:t>
      </w:r>
    </w:p>
    <w:p w14:paraId="620FAC22"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2º Quando a Comissão se propuser adotar uma medida de salvaguarda, a Presidência Pro Tempore do MERCOSUL notificará o Comitê de Salvaguardas da OMC, antes da eventual adoção de medida de salvaguarda, nos termos dos artigos 79 e 80. A notificação indicará a disposição dos Estados-Partes do MERCOSUL de realizar consultas.</w:t>
      </w:r>
    </w:p>
    <w:p w14:paraId="0E4B875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3º Quando a Comissão se propuser adotar medida de salvaguarda, será dada oportunidade adequada para que sejam realizadas consultas, prévias à aplicação da medida de salvaguarda, com os governos dos países que tenham um interesse substancial como exportadores do produto em questão, com vistas a, entre outros objetivos, examinar a informação fornecida ao Comitê de Salvaguardas da OMC, trocar opiniões sobre a medida que se pretenda adotar e chegar a um entendimento sobre as formas de alcançar o objetivo de manter o nível substancialmente equivalente de concessões e outras obrigações nos termos do GATT 1994, de acordo com o previsto no artigo 75.</w:t>
      </w:r>
    </w:p>
    <w:p w14:paraId="0294F40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 4º O Comitê coordenará o procedimento de consultas.</w:t>
      </w:r>
    </w:p>
    <w:p w14:paraId="2762399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5º O Comitê elaborará e encaminhará para a Comissão relatório sobre as consultas, para fins de decisão sobre a adoção de medida de salvaguarda a que se refere o artigo 29.</w:t>
      </w:r>
    </w:p>
    <w:p w14:paraId="7E48EEB0"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23. A Presidência Pro Tempore do MERCOSUL notificará o Comitê de Salvaguardas da OMC do resultado das consultas a que se refere o § 3º do artigo 22.</w:t>
      </w:r>
    </w:p>
    <w:p w14:paraId="4EF9BEB0" w14:textId="5A77A18B"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SE</w:t>
      </w:r>
      <w:r w:rsidR="0090796B" w:rsidRPr="00395593">
        <w:rPr>
          <w:rFonts w:ascii="Garamond" w:eastAsia="Times New Roman" w:hAnsi="Garamond" w:cs="Arial"/>
          <w:b/>
          <w:color w:val="000000"/>
          <w:sz w:val="24"/>
          <w:szCs w:val="24"/>
          <w:lang w:eastAsia="pt-BR"/>
        </w:rPr>
        <w:t>ÇÃ</w:t>
      </w:r>
      <w:r w:rsidRPr="00395593">
        <w:rPr>
          <w:rFonts w:ascii="Garamond" w:eastAsia="Times New Roman" w:hAnsi="Garamond" w:cs="Arial"/>
          <w:b/>
          <w:color w:val="000000"/>
          <w:sz w:val="24"/>
          <w:szCs w:val="24"/>
          <w:lang w:eastAsia="pt-BR"/>
        </w:rPr>
        <w:t>O VI</w:t>
      </w:r>
    </w:p>
    <w:p w14:paraId="5E153D61"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Das Medidas de Salvaguarda Provisórias</w:t>
      </w:r>
    </w:p>
    <w:p w14:paraId="6FE08B1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Art 24. Em circunstâncias críticas, nas quais qualquer demora na aplicação de medida de salvaguarda possa causar dano dificilmente reparável, a Comissão poderá adotar medida de salvaguarda provisória, após determinação preliminar da existência de elementos de provas claras de aumento das importações, que tenha causado ou ameaçado causar prejuízo grave à produção doméstica do MERCOSUL.</w:t>
      </w:r>
    </w:p>
    <w:p w14:paraId="14454E9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1º No caso de solicitação de adoção de medida de salvaguarda provisória, as Seções Nacionais elaborarão conjuntamente parecer sobre determinação preliminar de prejuízo grave ou de ameaça de prejuízo grave, causado pelo aumento das importações do produto em questão, e sobre a existência de circunstâncias críticas que tornem necessária uma medida imediata.</w:t>
      </w:r>
    </w:p>
    <w:p w14:paraId="41E5EC13"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2º O Comitê encaminhará o parecer a que se refere o § 1º à Comissão, que, em sua primeira reunião subseqüente ao recebimento do mesmo, decidirá, mediante Diretriz, sobre a adoção de medida de salvaguarda provisória.</w:t>
      </w:r>
    </w:p>
    <w:p w14:paraId="2C9E653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3º A Diretriz de adoção de medida de salvaguarda provisória conterá resumo da determinação preliminar de prejuízo grave ou de ameaça de prejuízo grave à produção doméstica do MERCOSUL e de nexo causal entre o aumento das importações e o prejuízo grave ou ameaça de prejuízo grave, bem como da existência de circunstâncias críticas.</w:t>
      </w:r>
    </w:p>
    <w:p w14:paraId="539E311E"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4º A decisão de adoção de uma medida de salvaguarda provisória será notificada pela Presidência Pro Tempore do MERCOSUL ao Comitê de Salvaguardas da OMC antes da aplicação da medida.</w:t>
      </w:r>
    </w:p>
    <w:p w14:paraId="76CF3DF0"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5º A Diretriz de adoção de medida de salvaguarda provisória será incorporada aos ordenamentos jurídicos dos Estados-Partes.</w:t>
      </w:r>
    </w:p>
    <w:p w14:paraId="07880B90"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6º A Presidência Pro Tempore do MERCOSUL notificará a Diretriz e os instrumentos que vierem a incorporá-la aos ordenamentos jurídicos dos Estados-Partes ao Comitê de Salvaguardas da OMC, no prazo de cinco dias, contado da data de recebimento do último desses instrumentos. A notificação indicará a disposição dos Estados-Partes do MERCOSUL de realizar consultas, logo após a aplicação da medida de salvaguarda provisória.</w:t>
      </w:r>
    </w:p>
    <w:p w14:paraId="09305208"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vertAlign w:val="superscript"/>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 7º O Comitê coordenará o procedimento de consultas com os países que tenham um interesse substancial como exportadores do produto de que se trate</w:t>
      </w:r>
      <w:r w:rsidRPr="00395593">
        <w:rPr>
          <w:rFonts w:ascii="Garamond" w:eastAsia="Times New Roman" w:hAnsi="Garamond" w:cs="Arial"/>
          <w:color w:val="000000"/>
          <w:sz w:val="24"/>
          <w:szCs w:val="24"/>
          <w:vertAlign w:val="superscript"/>
          <w:lang w:eastAsia="pt-BR"/>
        </w:rPr>
        <w:t>.</w:t>
      </w:r>
    </w:p>
    <w:p w14:paraId="1DC7B1A8"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 8º O Comitê elaborará e encaminhará para a Comissão relatório sobre as consultas.</w:t>
      </w:r>
    </w:p>
    <w:p w14:paraId="10F74F14"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 9º A Presidência Pro Tempore do MERCOSUL notificará ao Comitê de Salvaguardas da OMC o resultado das consultas.</w:t>
      </w:r>
    </w:p>
    <w:p w14:paraId="7AA16BF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25. A duração da medida de salvaguarda provisória não excederá a duzentos dias, e durante esse período cumprir-se-ão as disposições pertinentes dos Capítulos II a V e IX relativos à investigação, notificação e consultas.</w:t>
      </w:r>
    </w:p>
    <w:p w14:paraId="1DB790F7"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Art 26. Medidas de salvaguarda provisórias serão adotadas como aumento do imposto de importação, por meio de adicional à Tarifa Externa Comum - TEC, sob a forma de:</w:t>
      </w:r>
    </w:p>
    <w:p w14:paraId="26410A0E"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 - alíquota ad valorem ;</w:t>
      </w:r>
    </w:p>
    <w:p w14:paraId="282B8903"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Il - alíquota específica; ou</w:t>
      </w:r>
    </w:p>
    <w:p w14:paraId="29340E5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III - combinação de ambas.</w:t>
      </w:r>
    </w:p>
    <w:p w14:paraId="4D16AF57"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vertAlign w:val="superscript"/>
          <w:lang w:eastAsia="pt-BR"/>
        </w:rPr>
      </w:pPr>
      <w:r w:rsidRPr="00395593">
        <w:rPr>
          <w:rFonts w:ascii="Garamond" w:eastAsia="Times New Roman" w:hAnsi="Garamond" w:cs="Arial"/>
          <w:color w:val="000000"/>
          <w:sz w:val="24"/>
          <w:szCs w:val="24"/>
          <w:lang w:eastAsia="pt-BR"/>
        </w:rPr>
        <w:t>        Art 27. Se ao final da investigação a que se refere o artigo 5º não for determinada a existência de prejuízo grave ou ameaça de prejuízo grave decorrente do aumento de importações, ocorrerá a imediata restituição dos montantes recolhidos a título de medidas de salvaguarda provisórias, nos termos das legislações nacionais vigentes</w:t>
      </w:r>
      <w:r w:rsidRPr="00395593">
        <w:rPr>
          <w:rFonts w:ascii="Garamond" w:eastAsia="Times New Roman" w:hAnsi="Garamond" w:cs="Arial"/>
          <w:color w:val="000000"/>
          <w:sz w:val="24"/>
          <w:szCs w:val="24"/>
          <w:vertAlign w:val="superscript"/>
          <w:lang w:eastAsia="pt-BR"/>
        </w:rPr>
        <w:t>.</w:t>
      </w:r>
    </w:p>
    <w:p w14:paraId="7A517BF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28. O prazo de duração das medidas de salvaguarda provisórias será computado como parte do período inicial de aplicação da medida de salvaguarda e de suas prorrogações, a que se referem os artigos 34, 35 e 36.</w:t>
      </w:r>
    </w:p>
    <w:p w14:paraId="230E7B85"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SEÇÃO VII</w:t>
      </w:r>
    </w:p>
    <w:p w14:paraId="7DA5524A"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 Aplicação de Medida de Salvaguarda</w:t>
      </w:r>
    </w:p>
    <w:p w14:paraId="4A52CAD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Art 29. Com base no relatório sobre as consultas, e com base em parecer a que se refere o artigo 20, a Comissão decidirá, mediante Diretriz, sobre a adoção de medida de salvaguarda, nos termos do artigo 30.</w:t>
      </w:r>
    </w:p>
    <w:p w14:paraId="653C213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vertAlign w:val="superscript"/>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 1º A Diretriz que contenha decisão sobre adoção de medida de salvaguarda conterá as constatações e conclusões fundamentadas a que se tenha chegado sobre todas as questões pertinentes de fato e de direito levadas em consideração, bem como uma análise detalhada do caso sob investigação e uma demonstração da relevância dos fatores examinados</w:t>
      </w:r>
      <w:r w:rsidRPr="00395593">
        <w:rPr>
          <w:rFonts w:ascii="Garamond" w:eastAsia="Times New Roman" w:hAnsi="Garamond" w:cs="Arial"/>
          <w:color w:val="000000"/>
          <w:sz w:val="24"/>
          <w:szCs w:val="24"/>
          <w:vertAlign w:val="superscript"/>
          <w:lang w:eastAsia="pt-BR"/>
        </w:rPr>
        <w:t>.</w:t>
      </w:r>
    </w:p>
    <w:p w14:paraId="4ED36B5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2º A Diretriz será incorporada aos ordenamentos jurídicos dos Estados-Partes.</w:t>
      </w:r>
    </w:p>
    <w:p w14:paraId="1FCA9898"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 3º A Presidência Pro Tempore do MERCOSUL notificará a Diretriz e os instrumentos que vierem a incorporá-la aos ordenamentos jurídicos dos Estados-Partes ao Comitê de Salvaguardas da OMC, nos termos dos artigos 79 e 80, no prazo de cinco dias, contado da data de recebimento do último desses instrumentos.</w:t>
      </w:r>
    </w:p>
    <w:p w14:paraId="3A4CAF7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Art 30. O MERCOSUL somente decidirá pela adoção de medidas de salvaguarda na extensão necessária para prevenir ou reparar o prejuízo grave e facilitar o ajuste da produção doméstica do MERCOSUL.</w:t>
      </w:r>
    </w:p>
    <w:p w14:paraId="2AF48DE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31. A medida de salvaguarda será aplicada:</w:t>
      </w:r>
    </w:p>
    <w:p w14:paraId="02F47B5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 - como aumento do imposto de importação, por meio de adicional à TEC, sob a forma de:</w:t>
      </w:r>
    </w:p>
    <w:p w14:paraId="782C505B"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 alíquota ad valorem ;</w:t>
      </w:r>
    </w:p>
    <w:p w14:paraId="5713A327"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b) alíquota específica; ou</w:t>
      </w:r>
    </w:p>
    <w:p w14:paraId="2766F5E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c) a combinação de ambas; ou</w:t>
      </w:r>
    </w:p>
    <w:p w14:paraId="33F42D28"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II - sob a forma de restrições quantitativas.</w:t>
      </w:r>
    </w:p>
    <w:p w14:paraId="39751EA4"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Parágrafo único. No caso de utilização de restrições quantitativas, tais medidas não reduzirão o volume das importações abaixo do nível de um período recente, o qual será a média das importações nos últimos três anos representativos para os quais se disponha de dados estatísticos, a não ser que exista uma justificativa clara de que é necessário um nível diferente para prevenir ou reparar o prejuízo grave.</w:t>
      </w:r>
    </w:p>
    <w:p w14:paraId="5D253B83"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Art 32. Nos casos de distribuição de quotas entre os países fornecedores, o Comitê poderá buscar um acordo com os governos dos países com interesse substancial no fornecimento do produto sobre a distribuição das quotas entre os mesmos. Se este método não for razoavelmente viável, a Comissão, com base em parecer do Comitê, alocará quota para cada país que tenha interesse substancial, tomando por base a participação relativa de cada um, em termos de valor ou de quantidade, na importação do produto, considerando um período representativo anterior e levando em conta fatores especiais que possam haver afetado ou estar afetando o comércio deste produto.</w:t>
      </w:r>
    </w:p>
    <w:p w14:paraId="78690ACB"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33. A Comissão, com base em parecer do Comitê, poderá adotar outros critérios na alocação de quotas, que não os estabelecidos no artigo 32, nos casos de determinação da existência de prejuízo grave, mas não de ameaça de prejuízo grave, sempre que se celebrem consultas com os Governos dos países interessados, sob os auspícios do Comitê de Salvaguardas da OMC, de acordo com as disposições do § 3º do artigo 22, e se ficar claramente demonstrado que as importações originárias de determinados países aumentaram mais do que proporcionalmente em relação ao crescimento total das importações do produto em questão no período representativo.</w:t>
      </w:r>
    </w:p>
    <w:p w14:paraId="70D017C3"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Parágrafo único. Os motivos para se afastar dos critérios estipulados no artigo 32 deverão ser justificados e as condições para aplicação desses novos critérios deverão ser eqüitativas para todos os supridores do produto em pauta. A duração de qualquer medida dessa natureza não se prolongará além do período inicial de quatro anos previsto no artigo 34.</w:t>
      </w:r>
    </w:p>
    <w:p w14:paraId="7A2C8427"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SEÇÃO VIII</w:t>
      </w:r>
    </w:p>
    <w:p w14:paraId="18D6D72A" w14:textId="77777777" w:rsidR="00AE2E10" w:rsidRPr="00395593" w:rsidRDefault="00AE2E10" w:rsidP="00AF5590">
      <w:pPr>
        <w:spacing w:before="100" w:beforeAutospacing="1" w:after="100" w:afterAutospacing="1" w:line="240" w:lineRule="auto"/>
        <w:jc w:val="center"/>
        <w:rPr>
          <w:rFonts w:ascii="Garamond" w:eastAsia="Times New Roman" w:hAnsi="Garamond" w:cs="Arial"/>
          <w:color w:val="000000"/>
          <w:sz w:val="24"/>
          <w:szCs w:val="24"/>
          <w:lang w:eastAsia="pt-BR"/>
        </w:rPr>
      </w:pPr>
      <w:r w:rsidRPr="00395593">
        <w:rPr>
          <w:rFonts w:ascii="Garamond" w:eastAsia="Times New Roman" w:hAnsi="Garamond" w:cs="Arial"/>
          <w:b/>
          <w:color w:val="000000"/>
          <w:sz w:val="24"/>
          <w:szCs w:val="24"/>
          <w:lang w:eastAsia="pt-BR"/>
        </w:rPr>
        <w:t>Da Duração e Revisão das Medidas de Salvaguarda</w:t>
      </w:r>
    </w:p>
    <w:p w14:paraId="050917A4"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34. O MERCOSUL somente adotará medidas de salvaguarda durante o período necessário para prevenir ou reparar o prejuízo grave e facilitar o ajuste da produção doméstica do MERCOSUL. Esse período não excederá quatro anos, salvo nos casos em que ocorra uma extensão nos termos descritos no artigo 35.</w:t>
      </w:r>
    </w:p>
    <w:p w14:paraId="48DC9697"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Art 35. O período de aplicação de medidas de salvaguarda poderá ser prorrogado se, de acordo com os      procedimentos estabelecidos nos Capítulos II a IV e nas Seções I a V e VII do Capítulo V, a Comissão determinar que sua aplicação continua sendo necessária para prevenir ou reparar um prejuízo grave, e que há provas suficientes que demonstrem que a produção afetada está em processo de ajuste.</w:t>
      </w:r>
    </w:p>
    <w:p w14:paraId="5189F88B"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1º Antes de ser prorrogado o período de aplicação de uma medida de salvaguarda, a Presidência Pro Tempore do MERCOSUL notificará o Comitê de Salvaguardas da OMC, nos termos dos artigos 79 e 80. A notificação indicará a intenção de se prorrogar o período de aplicação da medida de salvaguarda e a disposição dos Estados-Partes do MERCOSUL de realizar consultas.</w:t>
      </w:r>
    </w:p>
    <w:p w14:paraId="3510D698"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2º Quando a Comissão se propuser prorrogar o período de aplicação da medida de salvaguarda, será dada oportunidade adequada para que sejam realizadas consultas, prévias à prorrogação da medida, com os Governos dos países que tenham um interesse substancial como exportadores do produto em questão, com o fim de, entre outros, examinar a informação proporcionada ao Comitê de Salvaguardas da OMC, trocar opiniões sobre a medida que se pretende prorrogar e chegar a um entendimento sobre as formas de alcançar o objetivo de se manter um nível de concessões e outras obrigações substancialmente equivalente ao existente em virtude do GATT 1994, de acordo com o disposto no artigo 75.</w:t>
      </w:r>
    </w:p>
    <w:p w14:paraId="620566D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3º O Comitê coordenará o procedimento de consultas com os países que tenham um interesse substancial como exportadores do produto de que se trate e elaborará relatório sobre as consultas.</w:t>
      </w:r>
    </w:p>
    <w:p w14:paraId="044786AD"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4º A Presidência Pro Tempore do MERCOSUL notificará o Comitê de Salvaguardas da OMC do resultado das consultas a que se refere o § 3º.</w:t>
      </w:r>
    </w:p>
    <w:p w14:paraId="47064748"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5º A Comissão, com base no relatório sobre as consultas e em parecer do Comitê, decidirá sobre a prorrogação da medida de salvaguarda, mediante Diretriz.</w:t>
      </w:r>
    </w:p>
    <w:p w14:paraId="56E963FB"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6º A Diretriz sobre prorrogação do período de aplicação da medida de salvaguarda conterá as constatações e conclusões fundamentadas a que se tenha chegado sobre todas as questões pertinentes de fato e de direito levadas em consideração, incluindo uma análise detalhada do caso sob investigação e uma demonstração da relevância dos fatores examinados.</w:t>
      </w:r>
    </w:p>
    <w:p w14:paraId="52AD7152"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7º A Diretriz será incorporada aos ordenamentos jurídicos dos Estados-Partes.</w:t>
      </w:r>
    </w:p>
    <w:p w14:paraId="62E1282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8º Ao ser adotada a decisão sobre prorrogação do período de aplicação da medida de salvaguarda, a Diretriz que contenha tal decisão, assim como os instrumentos que vierem a incorporá-la os ordenamentos jurídicos dos Estados-Partes serão notificados ao Comitê de Salvaguardas da OMC pela Presidência Pro Tempore do MERCOSUL no prazo de cinco dias, contado da data do recebimento do último desses instrumentos, nos termos dos artigos 79 e 80.</w:t>
      </w:r>
    </w:p>
    <w:p w14:paraId="72CE90C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36. O período total de aplicação de uma medida de salvaguarda, incluindo o período de aplicação de qualquer medida de salvaguarda provisória, o período de aplicação inicial e toda prorrogação, não será superior a oito anos. Em vista das disposições do Artigo 9 do Acordo sobre Salvaguardas da OMC, a Comissão poderá prorrogar o período de aplicação de uma medida de salvaguarda por um prazo de até dois anos além do período máximo de oito anos estabelecido para a vigência de uma medida de salvaguarda.</w:t>
      </w:r>
    </w:p>
    <w:p w14:paraId="7994DAA3"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37. De maneira a facilitar o ajuste da produção doméstica do MERCOSUL, as medidas de salvaguarda, cujo período de aplicação previsto seja superior a um ano, e que tenham sido notificadas de acordo com as disposições do § 3º do artigo 29, serão liberalizadas progressivamente, a intervalos regulares, durante o período de aplicação. Quando a duração da medida exceder três anos, o Comitê examinará os efeitos concretos por ela produzidos, no mais tardar na metade do período de aplicação, e, se for apropriado, a Comissão, com base em parecer do Comitê, revogará a medida ou acelerará o processo de liberalização. As medidas que forem prorrogadas em conformidade com o artigo 35 não serão mais restritivas do que as que estavam em vigor no final do período inicial e continuarão sendo liberalizadas.</w:t>
      </w:r>
    </w:p>
    <w:p w14:paraId="5E948FD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Parágrafo único. O resultado do exame mencionado neste artigo será notificado pela Presidência Pro Tempore do MERCOSUL ao Comitê de Salvaguarda da OMC.</w:t>
      </w:r>
    </w:p>
    <w:p w14:paraId="045EB88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38. A qualquer momento em que a Comissão, com base em parecer do Comitê, constate a insuficiência ou a inadequação dos esforços no sentido do ajuste proposto pela produção doméstica do MERCOSUL ou alterações na situação que resultou na aplicação da medida de salvaguarda, a Comissão poderá revogar a medida ou acelerar o ritmo de liberalização.</w:t>
      </w:r>
    </w:p>
    <w:p w14:paraId="40D98D80"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39. É vedada uma nova aplicação de medida de salvaguarda sobre um produto que tenha estado sujeito à medida dessa natureza, antes de decorrido um período igual à metade daquele durante o qual se tenha aplicado anteriormente à medida, com a condição de que o período de não aplicação seja de no mínimo dois anos.</w:t>
      </w:r>
    </w:p>
    <w:p w14:paraId="75163067"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40. Não obstante o disposto no artigo 39, poderão ser novamente aplicadas às importações de um produto medidas de salvaguarda cuja duração seja de 180 dias ou menos, quando:</w:t>
      </w:r>
    </w:p>
    <w:p w14:paraId="6F4BD581"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 - houver transcorrido pelo menos um ano desde a data de introdução da medida de salvaguarda sobre a importação desse produto; e</w:t>
      </w:r>
    </w:p>
    <w:p w14:paraId="4B4A99E4"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Il - nos cinco anos imediatamente anteriores à data de introdução da medida de salvaguarda, não se tenha aplicado tal medida mais de duas vezes para o mesmo produto.</w:t>
      </w:r>
    </w:p>
    <w:p w14:paraId="07FEAC8E"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VI</w:t>
      </w:r>
    </w:p>
    <w:p w14:paraId="502E6634"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 ADOÇÃO DE MEDIDA DE SALVAGUARDA PELO MERCOSUL EM NOME DE UM ESTADO-PARTE</w:t>
      </w:r>
    </w:p>
    <w:p w14:paraId="1F13AF96"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SEÇÃO I</w:t>
      </w:r>
    </w:p>
    <w:p w14:paraId="5143C709"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 Petição</w:t>
      </w:r>
    </w:p>
    <w:p w14:paraId="3037914B"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41. A petição para adoção de medida de salvaguarda pelo MERCOSUL em nome de um Estado-Parte deverá ser apresentada por empresas ou entidades de classe que as representem, por escrito, aos órgãos técnicos competentes desse Estado-Parte, doravante denominados "órgãos técnicos", e conter elementos de prova suficientes do aumento das importações, do prejuízo grave ou da ameaça de prejuízo grave e de nexo causal entre ambas as circunstâncias, bem como de plano de ajuste que coloque a produção doméstica do Estado-Parte em melhores condições de competitividade frente às importações.</w:t>
      </w:r>
    </w:p>
    <w:p w14:paraId="5ECDA8B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1º As petições para adoção de medida de salvaguarda pelo MERCOSUL em nome de um Estado-Parte deverão ser apresentadas de acordo com formulário elaborado pelo Comitê.</w:t>
      </w:r>
    </w:p>
    <w:p w14:paraId="12CF20D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2º Os órgãos técnicos realizarão exame da admissibilidade da petição e o seu resultado será notificado ao peticionário e, por intermédio da Presidência Pro Tempore da Comissão, aos demais Estados-Partes.</w:t>
      </w:r>
    </w:p>
    <w:p w14:paraId="2F2CC60E" w14:textId="337F268B" w:rsidR="00AE2E10" w:rsidRPr="00847C8A" w:rsidRDefault="00AE2E10" w:rsidP="00847C8A">
      <w:pPr>
        <w:spacing w:before="100" w:beforeAutospacing="1" w:after="100" w:afterAutospacing="1" w:line="240" w:lineRule="auto"/>
        <w:jc w:val="center"/>
        <w:rPr>
          <w:rFonts w:ascii="Garamond" w:eastAsia="Times New Roman" w:hAnsi="Garamond" w:cs="Arial"/>
          <w:b/>
          <w:color w:val="000000"/>
          <w:sz w:val="24"/>
          <w:szCs w:val="24"/>
          <w:lang w:eastAsia="pt-BR"/>
        </w:rPr>
      </w:pPr>
      <w:r w:rsidRPr="00847C8A">
        <w:rPr>
          <w:rFonts w:ascii="Garamond" w:eastAsia="Times New Roman" w:hAnsi="Garamond" w:cs="Arial"/>
          <w:b/>
          <w:color w:val="000000"/>
          <w:sz w:val="24"/>
          <w:szCs w:val="24"/>
          <w:lang w:eastAsia="pt-BR"/>
        </w:rPr>
        <w:t>SE</w:t>
      </w:r>
      <w:r w:rsidR="00847C8A">
        <w:rPr>
          <w:rFonts w:ascii="Garamond" w:eastAsia="Times New Roman" w:hAnsi="Garamond" w:cs="Arial"/>
          <w:b/>
          <w:color w:val="000000"/>
          <w:sz w:val="24"/>
          <w:szCs w:val="24"/>
          <w:lang w:eastAsia="pt-BR"/>
        </w:rPr>
        <w:t>ÇÃ</w:t>
      </w:r>
      <w:r w:rsidRPr="00847C8A">
        <w:rPr>
          <w:rFonts w:ascii="Garamond" w:eastAsia="Times New Roman" w:hAnsi="Garamond" w:cs="Arial"/>
          <w:b/>
          <w:color w:val="000000"/>
          <w:sz w:val="24"/>
          <w:szCs w:val="24"/>
          <w:lang w:eastAsia="pt-BR"/>
        </w:rPr>
        <w:t>O II</w:t>
      </w:r>
    </w:p>
    <w:p w14:paraId="63B6E605" w14:textId="77777777" w:rsidR="00AE2E10" w:rsidRPr="00847C8A" w:rsidRDefault="00AE2E10" w:rsidP="00847C8A">
      <w:pPr>
        <w:spacing w:before="100" w:beforeAutospacing="1" w:after="100" w:afterAutospacing="1" w:line="240" w:lineRule="auto"/>
        <w:jc w:val="center"/>
        <w:rPr>
          <w:rFonts w:ascii="Garamond" w:eastAsia="Times New Roman" w:hAnsi="Garamond" w:cs="Arial"/>
          <w:b/>
          <w:color w:val="000000"/>
          <w:sz w:val="24"/>
          <w:szCs w:val="24"/>
          <w:lang w:eastAsia="pt-BR"/>
        </w:rPr>
      </w:pPr>
      <w:r w:rsidRPr="00847C8A">
        <w:rPr>
          <w:rFonts w:ascii="Garamond" w:eastAsia="Times New Roman" w:hAnsi="Garamond" w:cs="Arial"/>
          <w:b/>
          <w:color w:val="000000"/>
          <w:sz w:val="24"/>
          <w:szCs w:val="24"/>
          <w:lang w:eastAsia="pt-BR"/>
        </w:rPr>
        <w:t>Da Abertura</w:t>
      </w:r>
    </w:p>
    <w:p w14:paraId="7AA32CF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42. Uma vez admitida a petição, os órgãos técnicos elaborarão parecer sobre a abertura de investigação, o qual deverá conter determinação preliminar sobre a existência de prejuízo grave ou ameaça de prejuízo grave à produção doméstica do Estado-Parte, causado pelo aumento das importações do produto em questão, assim como análise preliminar do plano de ajuste apresentado pelo peticionário.</w:t>
      </w:r>
    </w:p>
    <w:p w14:paraId="6101408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43. O Estado-Parte envolvido encaminhará aos demais Estados-Partes, por intermédio da Presidência Pro Tempore da Comissão, cópia do parecer.</w:t>
      </w:r>
    </w:p>
    <w:p w14:paraId="0815161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Art 44. Com base no parecer sobre a abertura de investigação, as autoridades de aplicação competentes do Estado-Parte interessado - doravante denominadas "autoridades de aplicação" - decidirão sobre a abertura de investigação de salvaguardas.</w:t>
      </w:r>
    </w:p>
    <w:p w14:paraId="2BFD602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1º O ato público que contenha a decisão de abertura de investigação deverá conter resumo dos elementos que serviram de base para a decisão de abertura, com vistas a informar a todas as partes interessadas.</w:t>
      </w:r>
    </w:p>
    <w:p w14:paraId="325E6BF2"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2º O ato público que contenha decisão de abertura de investigação estabelecerá:</w:t>
      </w:r>
    </w:p>
    <w:p w14:paraId="6B5FEA18"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 o prazo no qual as partes interessadas poderão apresentar aos órgãos técnicos elementos de prova e expor suas alegações, por escrito, de forma que possam ser levados em consideração durante a investigação, e dentro do qual terão a oportunidade de responder às comunicações de outras partes, bem como manifestar suas opiniões inclusive sobre a existência de interesse público na aplicação da medida de salvaguarda;</w:t>
      </w:r>
    </w:p>
    <w:p w14:paraId="59A489F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b) o prazo no qual as partes interessadas poderão requerer aos órgãos técnicos a realização de audiências, de acordo com o artigo 49.</w:t>
      </w:r>
    </w:p>
    <w:p w14:paraId="184E7EB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3º O Estado-Parte interessado encaminhará à Presidência Pro Tempore da Comissão comunicação a respeito do ato a que se refere o § 1º, acompanhada de documentação pertinente, para fins de comunicação ao Comitê de Salvaguardas da OMC. A Presidência Pro Tempore da Comissão fará circular cópia dessa comunicação aos demais Estados-Partes.</w:t>
      </w:r>
    </w:p>
    <w:p w14:paraId="165FD0C1"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4º A Presidência Pro Tempore do MERCOSUL notificará ao Comitê de Salvaguardas da OMC a decisão do MERCOSUL de abertura de investigação em nome de um Estado-Parte, no prazo de cinco dias, contado da data de publicação do ato a que se refere o § 1º, nos termos dos artigos 79 e 80.</w:t>
      </w:r>
    </w:p>
    <w:p w14:paraId="74D83E4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5º Quando a decisão das autoridades de aplicação for pela não-abertura de investigação, os órgãos técnicos notificarão o peticionário e, por intermédio da Presidência Pro Tempore da Comissão, os demais Estados-Partes acerca dessa decisão devidamente fundamentada e proceder-se-á ao arquivamento do processo.</w:t>
      </w:r>
    </w:p>
    <w:p w14:paraId="26D9EC2E"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SEÇÃO III</w:t>
      </w:r>
    </w:p>
    <w:p w14:paraId="11467828"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 Investigação</w:t>
      </w:r>
    </w:p>
    <w:p w14:paraId="577C4908"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45. Os órgãos técnicos serão responsáveis pela condução das investigações para fins de aplicação de medida de salvaguarda.</w:t>
      </w:r>
    </w:p>
    <w:p w14:paraId="560AA214"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Art 46. O Comitê será informado sobre os trabalhos dos órgãos técnicos.</w:t>
      </w:r>
    </w:p>
    <w:p w14:paraId="70F8C1DD"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47. No curso da investigação, os órgãos técnicos poderão enviar questionários às partes interessadas e consultar outras fontes de informação, a fim de colherem dados pertinentes, bem como realizar verificações in loco.</w:t>
      </w:r>
    </w:p>
    <w:p w14:paraId="12322B02"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48. As partes interessadas na investigação de salvaguardas deverão credenciar, por escrito, seus representantes legais.</w:t>
      </w:r>
    </w:p>
    <w:p w14:paraId="29A8989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vertAlign w:val="superscript"/>
          <w:lang w:eastAsia="pt-BR"/>
        </w:rPr>
        <w:t xml:space="preserve">        </w:t>
      </w:r>
      <w:r w:rsidRPr="00395593">
        <w:rPr>
          <w:rFonts w:ascii="Garamond" w:eastAsia="Times New Roman" w:hAnsi="Garamond" w:cs="Arial"/>
          <w:color w:val="000000"/>
          <w:sz w:val="24"/>
          <w:szCs w:val="24"/>
          <w:lang w:eastAsia="pt-BR"/>
        </w:rPr>
        <w:t>Art 49. Os órgãos técnicos ouvirão as partes interessadas que demonstrem poder ser efetivamente afetadas pelo resultado da investigação e ter razão especial para serem ouvidas, desde que requeiram, por escrito, a realização de audiências no prazo determinado pelo ato de que trata o § 2º do artigo 44.</w:t>
      </w:r>
    </w:p>
    <w:p w14:paraId="43F36AF1"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50. Durante a investigação, os órgãos técnicos avaliarão as ações previstas no plano de ajuste apresentado pela produção doméstica do Estado-Parte, com o objetivo de verificar se o plano é adequado para os fins que se propõe, conforme o disposto no artigo 41.</w:t>
      </w:r>
    </w:p>
    <w:p w14:paraId="6C5A8A52"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51. Os órgãos técnicos elaborarão parecer sobre a determinação da existência de prejuízo grave ou de ameaça de prejuízo grave à produção doméstica do Estado-Parte, causado pelo aumento das importações do produto em questão, bem como sobre a viabilidade do plano de ajuste da produção doméstica, para fins de decisão sobre a aplicação de medida de salvaguarda.</w:t>
      </w:r>
    </w:p>
    <w:p w14:paraId="687965C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52. O Estado-Parte interessado encaminhará, por intermédio da Presidência Pro Tempore da Comissão, cópia do parecer aos demais Estados-Partes.</w:t>
      </w:r>
    </w:p>
    <w:p w14:paraId="14422BA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53. Toda informação de natureza confidencial ou que tenha sido prestada em caráter confidencial pelas partes interessadas em uma investigação de salvaguardas será, mediante prévia justificativa, tratada como tal pelos órgãos técnicos e pelas autoridades de aplicação. Essa informação não poderá ser divulgada sem o consentimento expresso da parte que a forneceu. As partes que fornecerem tais informações poderão ser convidadas a apresentarem um resumo não confidencial das mesmas. Na hipótese de declararem que a informação não pode ser resumida, deverão expor as razões dessa impossibilidade. Quando os órgãos técnicos julgarem que um pedido de tratamento confidencial não é justificado, e se a parte interessada não desejar torná-la pública, nem autorizar a sua divulgação no todo ou em parte, os órgãos técnicos poderão não levar em consideração tal informação, salvo se lhes for demonstrado, de maneira convincente e por fonte fidedigna, que a mesma é correta.</w:t>
      </w:r>
    </w:p>
    <w:p w14:paraId="49928861"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SEÇÃO IV</w:t>
      </w:r>
    </w:p>
    <w:p w14:paraId="1586C6BC"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Das Consultas</w:t>
      </w:r>
    </w:p>
    <w:p w14:paraId="6E82D770"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vertAlign w:val="superscript"/>
          <w:lang w:eastAsia="pt-BR"/>
        </w:rPr>
        <w:t>       </w:t>
      </w:r>
      <w:r w:rsidRPr="00395593">
        <w:rPr>
          <w:rFonts w:ascii="Garamond" w:eastAsia="Times New Roman" w:hAnsi="Garamond" w:cs="Arial"/>
          <w:color w:val="000000"/>
          <w:sz w:val="24"/>
          <w:szCs w:val="24"/>
          <w:lang w:eastAsia="pt-BR"/>
        </w:rPr>
        <w:t xml:space="preserve"> Art 54. As autoridades de aplicação pronunciar-se-ão sobre a intenção de aplicação de medida de salvaguarda, com base no parecer a que se refere o artigo 51, o qual conterá determinação sobre:</w:t>
      </w:r>
    </w:p>
    <w:p w14:paraId="2C8FC5E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 - a existência de prejuízo grave ou ameaça de prejuízo grave à produção doméstica do Estado-Parte, causado pelo aumento das importações; e</w:t>
      </w:r>
    </w:p>
    <w:p w14:paraId="22A8A74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Il - a viabilidade do plano de ajuste e a adequação das ações previstas aos objetivos que se propõem.</w:t>
      </w:r>
    </w:p>
    <w:p w14:paraId="3B273A7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1º Caso qualquer uma das condições previstas nos incisos I e II deste artigo não seja atendida, a investigação será encerrada sem aplicação de medida de salvaguarda, aplicando-se o disposto nos §§ 1º, 2º e 3º do artigo 62.</w:t>
      </w:r>
    </w:p>
    <w:p w14:paraId="6AFBE7D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2º Quando as autoridades de aplicação se propuserem aplicar medida de salvaguarda, será encaminhada à Presidência Pro Tempore da Comissão comunicação a respeito, acompanhada de documentação pertinente, para fins de notificação ao Comitê de Salvaguardas da OMC. A Presidência Pro Tempore da Comissão fará circular cópia dessa comunicação aos demais Estados-Partes.</w:t>
      </w:r>
    </w:p>
    <w:p w14:paraId="5CF9E471"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3º A Presidência Pro Tempore do MERCOSUL notificará o Comitê de Salvaguardas da OMC, antes da eventual aplicação de medida de salvaguarda, nos termos dos artigos 79 e 80, no prazo de cinco dias, contado a partir da data de recebimento da comunicação. A notificação indicará a disposição dos Estados-Partes do MERCOSUL de realizar consultas.</w:t>
      </w:r>
    </w:p>
    <w:p w14:paraId="79BDABD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4º Será dada oportunidade adequada para que sejam realizadas consultas, prévias à aplicação de uma medida de salvaguarda, com os governos dos países que tenham um interesse substancial como exportadores do produto em questão, com vistas a, entre outros objetivos, examinar a informação fornecida ao Comitê de Salvaguardas da OMC, trocar opiniões sobre a medida que se pretenda aplicar e chegar a um entendimento sobre as formas de alcançar o objetivo de manter o nível substancialmente equivalente de concessões e outras obrigações nos termos do GATT 1994, de acordo com o previsto no artigo 75.</w:t>
      </w:r>
    </w:p>
    <w:p w14:paraId="7C778EA2"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5º As consultas referidas no § 4º com os países exportadores interessados serão efetuadas com a participação dos demais Estados-Partes. O não comparecimento de algum dos Estados-Partes, devidamente notificado, não impedirá a realização de consultas.</w:t>
      </w:r>
    </w:p>
    <w:p w14:paraId="11A7CA2D"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6º No caso de consultas para fins de estabelecimento de acordo sobre os meios adequados de compensação comercial dos efeitos desfavoráveis da medida, as mesmas serão efetuadas com a participação coordenada dos Estados-Partes, com vistas à definição das características e do alcance da compensação comercial.</w:t>
      </w:r>
    </w:p>
    <w:p w14:paraId="6D03D46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7º Quando um Estado-Parte acordar os meios de compensação comercial, fá-lo-á de forma tal que não implique prejuízo aos interesses comerciais dos demais Estados-Partes.</w:t>
      </w:r>
    </w:p>
    <w:p w14:paraId="46F9164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8º Os órgãos técnicos elaborarão relatório acerca das consultas, para fins de decisão pelas autoridades de aplicação, sobre a aplicação de medida de salvaguarda a que se refere o artigo 62.</w:t>
      </w:r>
    </w:p>
    <w:p w14:paraId="5CD8F3D1"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9º O Estado-Parte interessado encaminhará à Presidência Pro Tempore da Comissão comunicação sobre resultado de consultas, acompanhado de documentação pertinente, para fins de notificação ao Comitê de Salvaguardas da OMC. A Presidência Pro Tempore da Comissão fará circular cópia de tal comunicação pelos demais Estados-Partes.</w:t>
      </w:r>
    </w:p>
    <w:p w14:paraId="0A0E7817"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10. A Presidência Pro Tempore do MERCOSUL notificará o Comitê de Salvaguardas da OMC do resultado das consultas, no prazo de cinco dias, contado da data de recebimento da comunicação, nos termos dos artigos 79 e 80.</w:t>
      </w:r>
    </w:p>
    <w:p w14:paraId="6821B1B1"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SEÇÃO V</w:t>
      </w:r>
    </w:p>
    <w:p w14:paraId="6FAABB00"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Das Medidas de Salvaguarda Provisórias</w:t>
      </w:r>
    </w:p>
    <w:p w14:paraId="03D4D7D4"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55. Em circunstâncias críticas, nas quais qualquer demora na aplicação de medida de salvaguarda possa causar dano dificilmente reparável, poderá ser adotada pelo MERCOSUL medida de salvaguarda provisória em nome de um Estado-Parte, após determinação preliminar da existência de elementos de provas claras de aumento das importações, que tenha causado ou ameace causar prejuízo grave à produção doméstica do Estado-Parte.</w:t>
      </w:r>
    </w:p>
    <w:p w14:paraId="176897FD"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Parágrafo único. No caso de solicitação de adoção de medida de salvaguarda provisória, os órgãos técnicos elaborarão parecer sobre determinação preliminar de prejuízo grave ou de ameaça de prejuízo grave à produção doméstica do Estado-Parte, causado pelo aumento das importações do produto em questão, e sobre a existência de circunstâncias críticas que tornem necessária uma medida imediata.</w:t>
      </w:r>
    </w:p>
    <w:p w14:paraId="229B92B0"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56. O Estado-Parte interessado encaminhará, por intermédio da Presidência Pro Tempore da Comissão, cópia do parecer aos demais Estados-Partes.</w:t>
      </w:r>
    </w:p>
    <w:p w14:paraId="4557323E"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57. As autoridades de aplicação, com base no parecer a que se refere o parágrafo único do artigo 55, decidirão sobre a aplicação de medida de salvaguarda provisória.</w:t>
      </w:r>
    </w:p>
    <w:p w14:paraId="3D2F593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1º Antes da aplicação da medida de salvaguarda provisória, o Estado-Parte interessado encaminhará à Presidência Pro Tempore da Comissão comunicação a respeito, acompanhada de documentação pertinente, para fins de comunicação ao Comitê de Salvaguardas da OMC. A Presidência Pro Tempore da Comissão fará circular cópia dessa comunicação para os demais Estados-Partes.</w:t>
      </w:r>
    </w:p>
    <w:p w14:paraId="5C7EE4B4"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2º A Presidência Pro Tempore do MERCOSUL notificará ao Comitê de Salvaguardas da OMC a intenção do MERCOSUL de adotar medida de salvaguarda provisória em nome de um Estado-Parte, no prazo de cinco dias, contado da data de recebimento da comunicação a que se refere o § 1º.</w:t>
      </w:r>
    </w:p>
    <w:p w14:paraId="0B18B70B"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3º O ato público que contenha a decisão de aplicação de uma medida de salvaguarda provisória conterá resumo da determinação preliminar de prejuízo grave ou ameaça de prejuízo grave à produção doméstica do Estado-Parte e de nexo causal entre o aumento das importações e o prejuízo grave ou ameaça de prejuízo grave, bem como da existência de circunstâncias críticas.</w:t>
      </w:r>
    </w:p>
    <w:p w14:paraId="4E32D8D1"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4º Após a aplicação da medida de salvaguarda provisória, o Estado-Parte interessado encaminhará à Presidência Pro Tempore da Comissão cópia do ato a que se refere o § 3º, acompanhada de documentação pertinente, para fins de comunicação ao Comitê de Salvaguardas da OMC. A Presidência Pro Tempore da Comissão fará circular cópia dessa comunicação para os demais Estados-Partes.</w:t>
      </w:r>
    </w:p>
    <w:p w14:paraId="0FB4B022"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5º A Presidência Pro Tempore do MERCOSUL notificará ao Comitê de Salvaguardas da OMC a decisão do MERCOSUL de adoção de medida de salvaguarda provisória em nome de um Estado-Parte, no prazo de cinco dias, contado da data de publicação do ato a que se refere o § 3º. A notificação indicará a disposição dos Estados-Partes do MERCOSUL de realizar consultas, logo após a aplicação de medida de salvaguarda provisória.</w:t>
      </w:r>
    </w:p>
    <w:p w14:paraId="21D5B28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6º As consultas referidas no § 5º com os países exportadores interessados serão efetuadas com a participação dos demais Estados-Partes. O não comparecimento de algum dos Estados-Partes, devidamente notificado, não impedirá a realização de consultas.</w:t>
      </w:r>
    </w:p>
    <w:p w14:paraId="1E2F15B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7º Os órgãos técnicos elaborarão e encaminharão para as autoridades de aplicação relatório acerca das consultas.</w:t>
      </w:r>
    </w:p>
    <w:p w14:paraId="0F613FE3"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8º O Estado-Parte encaminhará à Presidência Pro Tempore da Comissão comunicação sobre o resultado das consultas, acompanhado de documentação pertinente, para fins de notificação ao Comitê de Salvaguardas da OMC. A Presidência Pro Tempore da Comissão fará circular cópia da comunicação aos demais Estados-Partes.</w:t>
      </w:r>
    </w:p>
    <w:p w14:paraId="20DCAD9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9º A Presidência Pro Tempore do MERCOSUL notificará o Comitê de Salvaguardas da OMC do resultado das consultas no prazo de cinco dias, contado da data de recebimento da comunicação a que se refere o § 8º.</w:t>
      </w:r>
    </w:p>
    <w:p w14:paraId="4CFCA10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58. A duração da medida de salvaguarda provisória não excederá duzentos dias, e durante esse período se cumprirão as disposições pertinentes dos Capítulos II a IV, VI e IX relativos à investigação, notificação e consultas.</w:t>
      </w:r>
    </w:p>
    <w:p w14:paraId="12BA1FE0"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59. As medidas de salvaguarda provisórias serão aplicadas como aumento do imposto de importação, por meio de adicional a Tarifa Externa Comum - TEC, sob a forma de:</w:t>
      </w:r>
    </w:p>
    <w:p w14:paraId="09658CCD"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 - alíquota ad valorem;</w:t>
      </w:r>
    </w:p>
    <w:p w14:paraId="17D73F5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II - alíquota específica; ou</w:t>
      </w:r>
    </w:p>
    <w:p w14:paraId="37A575D3"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III - combinação de ambas.</w:t>
      </w:r>
    </w:p>
    <w:p w14:paraId="61A5E03D"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60. Se ao final da investigação a que se refere o artigo 5º não for determinada a existência de prejuízo grave ou ameaça de prejuízo grave decorrente do aumento de importações, ocorrerá a imediata restituição dos montantes recolhidos a título de medidas de salvaguarda provisórias, nos termos das legislações nacionais vigentes.</w:t>
      </w:r>
    </w:p>
    <w:p w14:paraId="33987407"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61. O prazo de duração das medidas de salvaguarda provisórias será computado como parte do período inicial de aplicação da medida de salvaguarda e de suas prorrogações, a que se referem os artigos 67, 68 e 69.</w:t>
      </w:r>
    </w:p>
    <w:p w14:paraId="7AA811A6"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SEÇÃO VI</w:t>
      </w:r>
    </w:p>
    <w:p w14:paraId="1CB9F6BB"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 Aplicação de Medida de Salvaguarda</w:t>
      </w:r>
    </w:p>
    <w:p w14:paraId="253B2D4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62. Com base no relatório sobre as consultas, e com base em parecer a que se refere o artigo 51, as autoridades de aplicação decidirão sobre a aplicação de medida de salvaguarda, nos termos do artigo 63.</w:t>
      </w:r>
    </w:p>
    <w:p w14:paraId="6A45430D"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1º O ato público que contenha decisão sobre aplicação de medida de salvaguarda conterá as constatações e conclusões fundamentadas a que se tenha chegado sobre todas as questões pertinentes de fato e de direito levadas em consideração, bem como uma análise detalhada do caso sob investigação e uma demonstração da relevância dos fatores examinados.</w:t>
      </w:r>
    </w:p>
    <w:p w14:paraId="7E2A3B63"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2º O Estado-Parte interessado encaminhará à Presidência Pro Tempore da Comissão cópia do ato a que se refere o § 1º, acompanhada de documentação pertinente, para fins de comunicação ao Comitê de Salvaguardas da OMC. A Presidência Pro Tempore da Comissão fará circular cópia dessa comunicação para os demais Estados-Partes.</w:t>
      </w:r>
    </w:p>
    <w:p w14:paraId="353533D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3º A Presidência Pro Tempore do MERCOSUL notificará o Comitê de Salvaguardas da OMC da decisão do MERCOSUL sobre a adoção de medida de salvaguarda em nome de um Estado-Parte, no prazo de cinco dias, contado da data de publicação do ato a que se refere o § 1º, nos termos dos artigos 79 e 80.</w:t>
      </w:r>
    </w:p>
    <w:p w14:paraId="5513522B"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63. O MERCOSUL somente adotará medida de salvaguarda na extensão necessária para prevenir ou reparar prejuízo grave decorrente do aumento de importações e facilitar o ajuste da produção doméstica do Estado-Parte.</w:t>
      </w:r>
    </w:p>
    <w:p w14:paraId="61440DE4"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64. A medida de salvaguarda será aplicada:</w:t>
      </w:r>
    </w:p>
    <w:p w14:paraId="0AD5CE9B"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 - como aumento do imposto de importação, por meio de adicional a TEC, sob a forma de:</w:t>
      </w:r>
    </w:p>
    <w:p w14:paraId="4763BD91"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 alíquota ad valorem;</w:t>
      </w:r>
    </w:p>
    <w:p w14:paraId="586C326D"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b) alíquota específica;</w:t>
      </w:r>
    </w:p>
    <w:p w14:paraId="49D755C4"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c) combinação de ambas; ou</w:t>
      </w:r>
    </w:p>
    <w:p w14:paraId="650215B2"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II - sob a forma de restrições quantitativas.</w:t>
      </w:r>
    </w:p>
    <w:p w14:paraId="1C07312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Parágrafo único. No caso de utilização de restrições quantitativas, tais medidas não reduzirão o volume das importações abaixo do nível de um período recente, o qual será a média das importações nos últimos três anos representativos para os quais se disponha de dados estatísticos, a não ser que exista uma justificativa clara de que é necessário um nível diferente para prevenir ou reparar o prejuízo grave.</w:t>
      </w:r>
    </w:p>
    <w:p w14:paraId="5AF620D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65. Nos casos de distribuição de quotas entre os países fornecedores, poder-se-á buscar um acordo com os governos dos países com interesse substancial no fornecimento do produto, sobre a distribuição das quotas entre os mesmos. Se este método não for razoavelmente viável, as autoridades de aplicação alocarão quota, com base em parecer dos órgãos técnicos, para cada país que tiver interesse substancial, tomando por base a participação relativa de cada um, em termos de valor ou de quantidade, na importação do produto, considerando um período representativo anterior e levando em conta fatores especiais que possam haver afetado ou estar afetando o comércio deste produto.</w:t>
      </w:r>
    </w:p>
    <w:p w14:paraId="2F572A0E"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66. As autoridades de aplicação, com base em parecer dos órgãos técnicos, poderão adotar outros critérios na alocação de quotas, que não os estabelecidos no artigo 65, nos casos de determinação da existência de prejuízo grave, mas não de ameaça de prejuízo grave, sempre que se celebrem consultas com os governos dos países interessados, sob os auspícios do Comitê de Salvaguardas da OMC, de acordo com as disposições do § 4º do artigo 54, e se ficar claramente demonstrado que as importações originárias de determinados países aumentaram mais do que proporcionalmente em relação ao crescimento total das importações do produto em questão no período representativo.</w:t>
      </w:r>
    </w:p>
    <w:p w14:paraId="3DF53347"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Parágrafo único. Os motivos para se afastar dos critérios estipulados no artigo 66 deverão ser justificados e as condições para aplicação desses novos critérios deverão ser eqüitativas para todos os supridores do produto em pauta. A duração de qualquer medida dessa natureza não se prolongará além do período inicial de quatro anos previsto no artigo 67.</w:t>
      </w:r>
    </w:p>
    <w:p w14:paraId="02BCFC9E"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SEÇÃO VII</w:t>
      </w:r>
    </w:p>
    <w:p w14:paraId="2733FA5D"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 Duração e Revisão das Medidas de Salvaguarda</w:t>
      </w:r>
    </w:p>
    <w:p w14:paraId="101887C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67. Medidas de salvaguarda somente serão adotadas pelo MERCOSUL durante o período necessário para prevenir ou reparar o prejuízo grave e facilitar o ajuste da produção doméstica do Estado-Parte. Esse período não excederá quatro anos, salvo nos casos em que ocorra uma extensão nos termos descritos no artigo 68.</w:t>
      </w:r>
    </w:p>
    <w:p w14:paraId="181D7413"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68. O período de aplicação de medidas de salvaguarda poderá ser prorrogado se, de acordo com os procedimentos estabelecidos nos Capítulos II a IV e nas Seções I a IV e VI do Capítulo VI, as autoridades de aplicação determinarem que sua aplicação continua sendo necessária para prevenir ou reparar um prejuízo grave, e que há provas satisfatórias que demostrem que a produção afetada está em processo de ajuste.</w:t>
      </w:r>
    </w:p>
    <w:p w14:paraId="3CFAB8C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1º Quando as autoridades de aplicação se proponham prorrogar o período de aplicação de uma medida de salvaguarda, o Estado-Parte interessado encaminhará à Presidência Pro Tempore da Comissão comunicação a respeito, acompanhada de documentação pertinente, para fins de notificação ao Comitê de Salvaguardas da OMC. A Presidência Pro Tempore da Comissão fará circular cópia da comunicação para os demais Estados-Partes.</w:t>
      </w:r>
    </w:p>
    <w:p w14:paraId="798F3C6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2º A Presidência Pro Tempore do MERCOSUL notificará ao Comitê de Salvaguardas da OMC a intenção de se prorrogar o período de aplicação de medida de salvaguarda, no prazo de cinco dias, contado da data de recebimento da comunicação. A notificação indicará a disposição do Estado-Parte do MERCOSUL de realizar consultas.</w:t>
      </w:r>
    </w:p>
    <w:p w14:paraId="070DF9CB"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3º Será dada oportunidade adequada para que sejam realizadas consultas, prévias à prorrogação da medida, com os governos dos países que tenham um interesse substancial como exportadores do produto em questão, com o fim de, entre outros, examinar a informação proporcionada ao Comitê de Salvaguardas da OMC, trocar opiniões sobre a medida que se pretende prorrogar e chegar a um entendimento sobre as formas de alcançar o objetivo de se manter um nível de concessões e outras obrigações substancialmente equivalente ao existente em virtude do GATT 1994, de acordo com o disposto no artigo 75.</w:t>
      </w:r>
    </w:p>
    <w:p w14:paraId="3E348C48"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4º As consultas referidas no § 3º com os países exportadores interessados serão efetuadas com a participação dos demais Estados-Partes. O não comparecimento de algum dos Estados-Partes, devidamente notificado, não impedirá a realização de consultas.</w:t>
      </w:r>
    </w:p>
    <w:p w14:paraId="00F66E17"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5º No caso de consultas para fins de estabelecimento de acordo sobre os meios adequados de compensação comercial dos efeitos desfavoráveis da medida, as mesmas serão efetuadas com a participação coordenada dos Estados-Partes, com vistas à definição das características e do alcance da compensação comercial.</w:t>
      </w:r>
    </w:p>
    <w:p w14:paraId="08EA2A3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6º Quando um Estado-Parte acordar os meios de compensação comercial, fá-lo-á de forma tal que não implique prejuízo aos interesses comerciais dos demais Estados-Partes.</w:t>
      </w:r>
    </w:p>
    <w:p w14:paraId="1A62733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7º Os órgãos técnicos elaborarão relatório sobre as consultas e o encaminharão às autoridades de aplicação, para fins de decisão sobre a prorrogação da medida de salvaguarda.</w:t>
      </w:r>
    </w:p>
    <w:p w14:paraId="4DEB1E9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8º O Estado-Parte interessado encaminhará à Presidência Pro Tempore da Comissão comunicação sobre resultado das consultas, acompanhada de documentação pertinente, para fins de comunicação ao Comitê de Salvaguardas da OMC. A Presidência Pro Tempore da Comissão fará circular cópia dessa comunicação para os demais Estados-Partes.</w:t>
      </w:r>
    </w:p>
    <w:p w14:paraId="500291D7"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9º A Presidência Pro Tempore do MERCOSUL notificará ao Comitê de Salvaguardas da OMC o resultado das consultas, no prazo de cinco dias, contado da data de recebimento da comunicação a que se refere o § 8º.</w:t>
      </w:r>
    </w:p>
    <w:p w14:paraId="0DA1BF9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10. As autoridades de aplicação, com base em parecer dos órgãos técnicos e no relatório sobre as consultas, decidirão sobre a prorrogação da medida de salvaguarda.</w:t>
      </w:r>
    </w:p>
    <w:p w14:paraId="1140FA6D"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11. O ato público que contenha decisão sobre prorrogação do período de aplicação da medida de salvaguarda conterá as constatações e conclusões fundamentadas a que se tenha chegado sobre todas as questões pertinentes de fato e de direito levadas em consideração, incluindo uma análise detalhada do caso sob investigação e uma demonstração da relevância dos fatores examinados.</w:t>
      </w:r>
    </w:p>
    <w:p w14:paraId="04D3DBE7"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12. O Estado-Parte interessado encaminhará à Presidência Pro Tempore da Comissão cópia do ato a que se refere o § 11, acompanhada de documentação pertinente, para fins de comunicação ao Comitê de Salvaguardas da OMC. A Presidência Pro Tempore da Comissão fará circular cópia dessa comunicação para os demais Estados-Partes.</w:t>
      </w:r>
    </w:p>
    <w:p w14:paraId="4EA7D827"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 13. A Presidência Pro Tempore do MERCOSUL notificará ao Comitê de Salvaguardas da OMC a decisão do MERCOSUL de prorrogação de medida de salvaguarda em nome de um Estado-Parte, no prazo de cinco dias, contado da data de publicação do ato a que se refere o § 11.</w:t>
      </w:r>
    </w:p>
    <w:p w14:paraId="181C2298"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69. O período total de aplicação de uma medida de salvaguarda, incluindo o período de aplicação de qualquer medida de salvaguarda provisória, o período de aplicação inicial e toda prorrogação, não será superior a oito anos. Em vista das disposições do Artigo 9 do Acordo sobre Salvaguardas da OMC, poderá ser prorrogado o período de aplicação de uma medida de salvaguarda por um prazo de até dois anos além do período máximo de oito anos estabelecido para a vigência de uma medida de salvaguarda.</w:t>
      </w:r>
    </w:p>
    <w:p w14:paraId="0A67CD3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70. De maneira a facilitar o ajuste da produção doméstica do Estado-Parte, as medidas de salvaguarda, cujo período de aplicação previsto seja superior a um ano, e que tenham sido notificadas de acordo com as disposições do § 3º do artigo 62, serão liberalizadas progressivamente, a intervalos regulares, durante o período de aplicação. Quando a duração da medida exceder três anos, os órgãos técnicos examinarão os efeitos concretos por ela produzidos, no mais tardar na metade do período de aplicação, e, se for apropriado, as autoridades de aplicação, com base em parecer dos órgãos técnicos, revogarão a medida ou acelerarão o processo de liberalização. As medidas que forem prorrogadas em conformidade com o artigo 68 não serão mais restritivas do que as que estavam em vigor no final do período inicial e continuarão sendo liberalizadas.</w:t>
      </w:r>
    </w:p>
    <w:p w14:paraId="4B380F4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71. O Estado-Parte interessado encaminhará à Presidência Pro Tempore da Comissão comunicação sobre resultado do exame mencionado no artigo 70, acompanhada de documentação pertinente, para fins de comunicação ao Comitê de Salvaguardas da OMC. A Presidência Pro Tempore da Comissão fará circular cópia dessa comunicação para os demais Estados-Partes.</w:t>
      </w:r>
    </w:p>
    <w:p w14:paraId="40AE9991"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Parágrafo único. A Presidência Pro Tempore do MERCOSUL notificará ao Comitê de Salvaguardas da OMC o resultado do exame mencionado no artigo 70, no prazo de cinco dias, contado da data de recebimento da comunicação a que se refere este artigo, nos termos dos artigos 79 e 80.</w:t>
      </w:r>
    </w:p>
    <w:p w14:paraId="05461ECE"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72. A qualquer momento em que as autoridades de aplicação, com base em parecer dos órgãos técnicos, constatarem a insuficiência ou a inadequação dos esforços no sentido do ajuste proposto pela produção doméstica ou alterações na situação que resultou na aplicação da medida de salvaguarda, as autoridades de aplicação poderão revogar a medida ou acelerar o ritmo de liberalização.</w:t>
      </w:r>
    </w:p>
    <w:p w14:paraId="6E18711E"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73. É vedada uma nova aplicação de medida de salvaguarda sobre produto que tenha estado sujeito à medida dessa natureza, antes de decorrido um período igual à metade daquele durante o qual se tenha aplicado anteriormente a medida, com a condição de que o período de não aplicação seja de no mínimo dois anos.</w:t>
      </w:r>
    </w:p>
    <w:p w14:paraId="3AB8732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74. Não obstante o disposto no artigo 73, poderão ser novamente aplicadas às importações de um produto medidas de salvaguarda cuja duração seja de 180 dias ou menos, quando:</w:t>
      </w:r>
    </w:p>
    <w:p w14:paraId="51265E5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 - houver transcorrido pelo menos um ano desde a data de introdução da medida de salvaguarda contra a importação desse produto; e</w:t>
      </w:r>
    </w:p>
    <w:p w14:paraId="47FDC170"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II - nos cinco anos imediatamente anteriores à data de introdução da medida de salvaguarda, não se tenha aplicado tal medida mais de duas vezes ao mesmo produto.</w:t>
      </w:r>
    </w:p>
    <w:p w14:paraId="6CF2C85E"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VII</w:t>
      </w:r>
    </w:p>
    <w:p w14:paraId="38FDA075"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DO NÍVEL DE CONCESSÕES E OUTRAS OBRIGAÇÕES DO MERCOSUL NO ÂMBITO DO GATT 1994</w:t>
      </w:r>
    </w:p>
    <w:p w14:paraId="750167F7"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75. Ao adotar medidas de salvaguarda ou estender seu período de vigência, de acordo com os artigos 29, 35, 62 e 68, o MERCOSUL procurará manter um nível de concessões e de outras obrigações substancialmente equivalente às assumidas pelos Estados-Partes do MERCOSUL no âmbito do Acordo Geral sobre Tarifas e Comércio - GATT 1994. Com o fim de alcançar esse objetivo, poderão ser celebrados acordos entre o MERCOSUL e os países exportadores com relação a qualquer meio adequado de compensação comercial pelos efeitos adversos da medida de salvaguarda sobre o comércio.</w:t>
      </w:r>
    </w:p>
    <w:p w14:paraId="51FE692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76. Na tomada de decisão sobre a introdução de uma medida de salvaguarda será levado em conta que, se nas consultas que celebrem com base no § 3º do artigo 22 e no § 4º do artigo 54, não se obtenha acordo sobre os meios adequados de compensação comercial, os países exportadores afetados podem, nos termos do Acordo sobre Salvaguardas da OMC, suspender a aplicação, ao comércio do MERCOSUL ou de um de seus Estados-Partes, de concessões e outras obrigações substancialmente equivalentes decorrentes do GATT 1994, desde que tal suspensão não seja desaprovada pelo Conselho para o Comércio de Bens da OMC. O direito de suspensão de concessões e de outras obrigações substancialmente equivalentes aqui referido não será exercido durante os três primeiros anos de vigência de uma medida de salvaguarda, desde que esta tenha sido adotada como resultado de um aumento das importações em termos absolutos, e que tal medida esteja de acordo com as disposições do Acordo sobre Salvaguardas da OMC.</w:t>
      </w:r>
    </w:p>
    <w:p w14:paraId="2815429B"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77. A Presidência Pro Tempore do MERCOSUL notificará o Comitê de Salvaguardas da OMC do resultado das consultas referidas neste Regulamento, bem como da forma das compensações e da suspensão de concessões e de outras obrigações de que tratam os artigos 75 e 76.</w:t>
      </w:r>
    </w:p>
    <w:p w14:paraId="52A8FFB0"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VIII</w:t>
      </w:r>
    </w:p>
    <w:p w14:paraId="3865D270"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DO TRATAMENTO DIFERENCIADO PARA PAÍSES EM DESENVOLVIMENTO</w:t>
      </w:r>
    </w:p>
    <w:p w14:paraId="3546E1D0"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78. Não se aplicarão medidas de salvaguarda contra produto originário de país em desenvolvimento quando a parcela que lhe corresponda nas importações efetuadas pelo MERCOSUL ou pelo Estado-Parte do produto considerado não for superior a três por cento, contanto que os países em desenvolvimento com participação nas importações inferior a três por cento não representem, em conjunto, mais do que nove por cento das importações totais do produto em questão.</w:t>
      </w:r>
    </w:p>
    <w:p w14:paraId="7B51BB35"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IX</w:t>
      </w:r>
    </w:p>
    <w:p w14:paraId="0987C782"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DAS NOTIFICAÇÕES</w:t>
      </w:r>
    </w:p>
    <w:p w14:paraId="38FD8564"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79. Ao encaminhar ao Comitê de Salvaguardas da OMC as notificações de que trata este Regulamento, a Presidência Pro Tempore do MERCOSUL proporcionará àquele Comitê toda a informação pertinente, que incluirá provas de prejuízo grave ou ameaça de prejuízo grave causado pelo aumento das importações, descrição precisa do produto em questão e da medida proposta, a data de sua aplicação, sua duração prevista e o calendário de sua liberalização progressiva. No caso de prorrogação de uma medida, também se encaminharão as provas de que a produção doméstica em questão está em processo de ajuste.</w:t>
      </w:r>
    </w:p>
    <w:p w14:paraId="70F32BE3"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80. As disposições deste Regulamento relativas à notificação não obrigam o MERCOSUL a revelar informações confidenciais cuja divulgação possa constituir um obstáculo para o cumprimento das legislações dos Estados-Partes na matéria, ou ser contrária ao interesse público, ou que ainda possa lesar os interesses comerciais legítimos de empresas públicas ou privadas.</w:t>
      </w:r>
    </w:p>
    <w:p w14:paraId="3BE78625"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X</w:t>
      </w:r>
    </w:p>
    <w:p w14:paraId="3C121BD3"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DAS DISPOSIÇÕES GERAIS</w:t>
      </w:r>
    </w:p>
    <w:p w14:paraId="1DC2341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81. Nos casos de produtos agrícolas e produtos têxteis, aplicar-se-ão, no que couber, as disposições do Acordo sobre Agricultura e do Acordo sobre Têxteis e Vestuário, da OMC.</w:t>
      </w:r>
    </w:p>
    <w:p w14:paraId="3E54FFF1"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82. O produto objeto de medida de salvaguarda, aplicada pelo MERCOSUL em nome de um Estado-Parte, estará sujeito ao regime de origem do MERCOSUL no comércio entre os Estados-Partes.</w:t>
      </w:r>
    </w:p>
    <w:p w14:paraId="5DEB931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83. Todos os atos, termos ou alegações previstos neste regulamento serão escritos e as audiências reduzidas a termo, sendo obrigatório o uso dos idiomas oficiais do MERCOSUL e devendo ser traduzidos, por tradutor juramentado, os documentos escritos em outro idioma.</w:t>
      </w:r>
    </w:p>
    <w:p w14:paraId="3177EC8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84. A Comissão adotará normas complementares relativas à aplicação deste Regulamento.</w:t>
      </w:r>
    </w:p>
    <w:p w14:paraId="60BA79FE"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85. A Comissão poderá propor revisão das disposições do presente Regulamento.</w:t>
      </w:r>
    </w:p>
    <w:p w14:paraId="6CE6FBE2"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86. No caso de investigação para fins de adoção de medida de salvaguarda pelo MERCOSUL como entidade única, se existirem no Comitê distintas opiniões a respeito do parecer elaborado conjuntamente pelas Seções Nacionais, as mesmas serão elevadas à Comissão.</w:t>
      </w:r>
    </w:p>
    <w:p w14:paraId="7459FB8B"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XI</w:t>
      </w:r>
    </w:p>
    <w:p w14:paraId="3B13F9CF" w14:textId="77777777" w:rsidR="00AE2E10" w:rsidRPr="00395593" w:rsidRDefault="00AE2E10" w:rsidP="00AF5590">
      <w:pPr>
        <w:spacing w:before="100" w:beforeAutospacing="1" w:after="100" w:afterAutospacing="1" w:line="240" w:lineRule="auto"/>
        <w:jc w:val="center"/>
        <w:rPr>
          <w:rFonts w:ascii="Garamond" w:eastAsia="Times New Roman" w:hAnsi="Garamond" w:cs="Arial"/>
          <w:color w:val="000000"/>
          <w:sz w:val="24"/>
          <w:szCs w:val="24"/>
          <w:lang w:eastAsia="pt-BR"/>
        </w:rPr>
      </w:pPr>
      <w:r w:rsidRPr="00395593">
        <w:rPr>
          <w:rFonts w:ascii="Garamond" w:eastAsia="Times New Roman" w:hAnsi="Garamond" w:cs="Arial"/>
          <w:b/>
          <w:color w:val="000000"/>
          <w:sz w:val="24"/>
          <w:szCs w:val="24"/>
          <w:lang w:eastAsia="pt-BR"/>
        </w:rPr>
        <w:t>DA SOLUÇÃO DE CONTROVÉRSIAS</w:t>
      </w:r>
    </w:p>
    <w:p w14:paraId="08634CD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87. As divergências relativas à aplicação, interpretação ou descumprimento das disposições contidas no presente Regulamento aplica-se o disposto no Protocolo de Brasília para a Solução de Controvérsias e no Procedimento Geral para Reclamações Perante a Comissão de Comércio do MERCOSUL, previsto no Anexo ao Protocolo de Ouro Preto.</w:t>
      </w:r>
    </w:p>
    <w:p w14:paraId="6487E1B8"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XII</w:t>
      </w:r>
    </w:p>
    <w:p w14:paraId="4BEB3539" w14:textId="77777777" w:rsidR="00AE2E10" w:rsidRPr="00395593" w:rsidRDefault="00AE2E10" w:rsidP="00AF5590">
      <w:pPr>
        <w:spacing w:before="100" w:beforeAutospacing="1" w:after="100" w:afterAutospacing="1" w:line="240" w:lineRule="auto"/>
        <w:jc w:val="center"/>
        <w:rPr>
          <w:rFonts w:ascii="Garamond" w:eastAsia="Times New Roman" w:hAnsi="Garamond" w:cs="Arial"/>
          <w:color w:val="000000"/>
          <w:sz w:val="24"/>
          <w:szCs w:val="24"/>
          <w:lang w:eastAsia="pt-BR"/>
        </w:rPr>
      </w:pPr>
      <w:r w:rsidRPr="00395593">
        <w:rPr>
          <w:rFonts w:ascii="Garamond" w:eastAsia="Times New Roman" w:hAnsi="Garamond" w:cs="Arial"/>
          <w:b/>
          <w:color w:val="000000"/>
          <w:sz w:val="24"/>
          <w:szCs w:val="24"/>
          <w:lang w:eastAsia="pt-BR"/>
        </w:rPr>
        <w:t>DAS DISPOSIÇÕES TRANSITÓRIAS</w:t>
      </w:r>
    </w:p>
    <w:p w14:paraId="19659C5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88. As disposições deste Regulamento serão aplicadas a investigações e revisões de medidas de salvaguarda em vigor que tenham sido iniciadas com base em petições apresentadas na data ou após a data de entrada em vigor deste Regulamento.</w:t>
      </w:r>
    </w:p>
    <w:p w14:paraId="6A2B2D70"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89. As presentes Disposições Transitórias terão vigência até 31 de dezembro de 1998.</w:t>
      </w:r>
    </w:p>
    <w:p w14:paraId="157B033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90. No período de vigência das presentes Disposições Transitórias, o processo de investigação para a adoção de medidas de salvaguarda pelo MERCOSUL em nome de um Estado-Parte será conduzido pelas autoridades competentes do Estado-Parte interessado, mediante a aplicação da legislação nacional sobre a matéria. Os Estados-Partes aplicarão suas legislações nacionais de acordo com as disposições do presente Regulamento.</w:t>
      </w:r>
    </w:p>
    <w:p w14:paraId="2B384E65"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91. Eventuais ajustes das legislações nacionais com vistas à sua harmonização progressiva com o Regulamento comum serão efetuados, ao longo do período das presentes Disposições Transitórias, no momento e na extensão que os Estados-Partes julgarem apropriado.</w:t>
      </w:r>
    </w:p>
    <w:p w14:paraId="2A244F9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92. O Estado-Parte interessado encaminhará à Presidência Pro Tempore da Comissão comunicação relativa às decisões tomadas no processo de investigação para a aplicação de medida de salvaguarda. A Presidência Pro Tempore do MERCOSUL, efetuará as notificações previstas no Artigo 12 do Acordo sobre Salvaguardas da OMC ao Comitê de Salvaguardas da OMC. Tais notificações serão realizadas no prazo de cinco dias, contado da data do recebimento da comunicação do Estado-Parte.</w:t>
      </w:r>
    </w:p>
    <w:p w14:paraId="4E0EE21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93. As notificações a que se refere o artigo 92 serão efetuadas pelo MERCOSUL em nome do Estado-Parte interessado.</w:t>
      </w:r>
    </w:p>
    <w:p w14:paraId="2C059FEC"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94. A Presidência Pro Tempore da Comissão remeterá aos demais Estados-Partes cópia das notificações referidas no artigo 92.</w:t>
      </w:r>
    </w:p>
    <w:p w14:paraId="6ED4E059"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95. As consultas com os países exportadores interessados, posteriores à aplicação de medidas de salvaguarda provisória ou prévias à aplicação ou prorrogação de medidas de salvaguarda, conforme disposto no artigo 90, serão realizadas com a participação dos demais Estados-Partes. O não comparecimento de algum Estado-Parte, devidamente notificado, não impedirá a realização de consultas.</w:t>
      </w:r>
    </w:p>
    <w:p w14:paraId="77AF9856"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96. Quando um Estado-Parte se propuser aplicar ou prorrogar uma medida de salvaguarda de acordo com o artigo 90, as consultas com os países exportadores interessados para fins de estabelecer acordo sobre os meios adequados de compensação comercial dos efeitos desfavoráveis da medida serão realizadas com a participação coordenada dos Estados-Partes com vistas à definição das características e do alcance da compensação comercial.</w:t>
      </w:r>
    </w:p>
    <w:p w14:paraId="26740B90"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97. Quando um Estado-Parte acordar os meios de compensação comercial referidos no artigo 96, fá-lo-á de forma tal que não implique prejuízo aos interesses comerciais dos demais Estados-Partes.</w:t>
      </w:r>
    </w:p>
    <w:p w14:paraId="4CEC5194"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98. Quando forem aplicadas medidas de salvaguarda de acordo com o disposto no artigo 90, excluir-se-ão das mesmas as importações originárias dos Estados-Partes.</w:t>
      </w:r>
    </w:p>
    <w:p w14:paraId="2102726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99. Os Estados-Partes realizarão um acompanhamento das importações do produto que for objeto de medida de salvaguarda por um Estado-Parte.</w:t>
      </w:r>
    </w:p>
    <w:p w14:paraId="75ECD3BA"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100. Durante a vigência das Disposições Transitórias, a Comissão procederá à elaboração de normas complementares relativas à aplicação do presente Regulamento e poderá propor aperfeiçoamentos em suas disposições.</w:t>
      </w:r>
    </w:p>
    <w:p w14:paraId="19838ABF"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101. Durante a vigência das Disposições Transitórias, os Estados-Partes considerarão a possibilidade de aplicação do presente Regulamento no que se refere a medidas de salvaguarda como entidade única.</w:t>
      </w:r>
    </w:p>
    <w:p w14:paraId="666E84BF"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CAPÍTULO XIII</w:t>
      </w:r>
    </w:p>
    <w:p w14:paraId="38E7788A" w14:textId="77777777" w:rsidR="00AE2E10" w:rsidRPr="00395593" w:rsidRDefault="00AE2E10" w:rsidP="00AF5590">
      <w:pPr>
        <w:spacing w:before="100" w:beforeAutospacing="1" w:after="100" w:afterAutospacing="1" w:line="240" w:lineRule="auto"/>
        <w:jc w:val="center"/>
        <w:rPr>
          <w:rFonts w:ascii="Garamond" w:eastAsia="Times New Roman" w:hAnsi="Garamond" w:cs="Arial"/>
          <w:b/>
          <w:color w:val="000000"/>
          <w:sz w:val="24"/>
          <w:szCs w:val="24"/>
          <w:lang w:eastAsia="pt-BR"/>
        </w:rPr>
      </w:pPr>
      <w:r w:rsidRPr="00395593">
        <w:rPr>
          <w:rFonts w:ascii="Garamond" w:eastAsia="Times New Roman" w:hAnsi="Garamond" w:cs="Arial"/>
          <w:b/>
          <w:color w:val="000000"/>
          <w:sz w:val="24"/>
          <w:szCs w:val="24"/>
          <w:lang w:eastAsia="pt-BR"/>
        </w:rPr>
        <w:t>DA ENTRADA EM VIGOR</w:t>
      </w:r>
    </w:p>
    <w:p w14:paraId="23082837" w14:textId="77777777" w:rsidR="00AE2E10" w:rsidRPr="00395593" w:rsidRDefault="00AE2E10" w:rsidP="00AF5590">
      <w:pPr>
        <w:spacing w:before="100" w:beforeAutospacing="1" w:after="100" w:afterAutospacing="1" w:line="240" w:lineRule="auto"/>
        <w:jc w:val="both"/>
        <w:rPr>
          <w:rFonts w:ascii="Garamond" w:eastAsia="Times New Roman" w:hAnsi="Garamond" w:cs="Arial"/>
          <w:color w:val="000000"/>
          <w:sz w:val="24"/>
          <w:szCs w:val="24"/>
          <w:lang w:eastAsia="pt-BR"/>
        </w:rPr>
      </w:pPr>
      <w:r w:rsidRPr="00395593">
        <w:rPr>
          <w:rFonts w:ascii="Garamond" w:eastAsia="Times New Roman" w:hAnsi="Garamond" w:cs="Arial"/>
          <w:color w:val="000000"/>
          <w:sz w:val="24"/>
          <w:szCs w:val="24"/>
          <w:lang w:eastAsia="pt-BR"/>
        </w:rPr>
        <w:t>        Art 102. Este Regulamento entra em vigor na data de sua publicação.</w:t>
      </w:r>
    </w:p>
    <w:p w14:paraId="3E1989B0" w14:textId="46AE85B3" w:rsidR="00543362" w:rsidRDefault="00543362" w:rsidP="005705DA">
      <w:pPr>
        <w:jc w:val="both"/>
        <w:rPr>
          <w:rFonts w:ascii="Garamond" w:hAnsi="Garamond" w:cstheme="majorHAnsi"/>
        </w:rPr>
      </w:pPr>
    </w:p>
    <w:p w14:paraId="5BC09BC8" w14:textId="77777777" w:rsidR="00543362" w:rsidRDefault="00543362">
      <w:pPr>
        <w:rPr>
          <w:rFonts w:ascii="Garamond" w:hAnsi="Garamond" w:cstheme="majorHAnsi"/>
        </w:rPr>
      </w:pPr>
      <w:r>
        <w:rPr>
          <w:rFonts w:ascii="Garamond" w:hAnsi="Garamond" w:cstheme="majorHAnsi"/>
        </w:rPr>
        <w:br w:type="page"/>
      </w:r>
    </w:p>
    <w:p w14:paraId="21870341" w14:textId="4B8EE6C8" w:rsidR="00B73003" w:rsidRPr="00395593" w:rsidRDefault="004A423E" w:rsidP="00F955A3">
      <w:pPr>
        <w:pStyle w:val="Ttulo"/>
        <w:outlineLvl w:val="1"/>
        <w:rPr>
          <w:sz w:val="24"/>
          <w:szCs w:val="24"/>
        </w:rPr>
      </w:pPr>
      <w:bookmarkStart w:id="164" w:name="_Toc96003820"/>
      <w:r w:rsidRPr="00395593">
        <w:rPr>
          <w:sz w:val="24"/>
          <w:szCs w:val="24"/>
        </w:rPr>
        <w:t>Portaria</w:t>
      </w:r>
      <w:r w:rsidR="00E25558" w:rsidRPr="00395593">
        <w:rPr>
          <w:sz w:val="24"/>
          <w:szCs w:val="24"/>
        </w:rPr>
        <w:t xml:space="preserve"> </w:t>
      </w:r>
      <w:r w:rsidR="001E097F">
        <w:rPr>
          <w:sz w:val="24"/>
          <w:szCs w:val="24"/>
        </w:rPr>
        <w:t xml:space="preserve">SECEX </w:t>
      </w:r>
      <w:r w:rsidRPr="00395593">
        <w:rPr>
          <w:sz w:val="24"/>
          <w:szCs w:val="24"/>
        </w:rPr>
        <w:t>n</w:t>
      </w:r>
      <w:r w:rsidR="00E25558" w:rsidRPr="00395593">
        <w:rPr>
          <w:sz w:val="24"/>
          <w:szCs w:val="24"/>
        </w:rPr>
        <w:t xml:space="preserve">º </w:t>
      </w:r>
      <w:r w:rsidR="00E25558" w:rsidRPr="00395593">
        <w:rPr>
          <w:rFonts w:eastAsiaTheme="minorEastAsia"/>
          <w:sz w:val="24"/>
          <w:szCs w:val="24"/>
        </w:rPr>
        <w:t>169</w:t>
      </w:r>
      <w:r w:rsidR="00E25558" w:rsidRPr="00395593">
        <w:rPr>
          <w:sz w:val="24"/>
          <w:szCs w:val="24"/>
        </w:rPr>
        <w:t xml:space="preserve">, </w:t>
      </w:r>
      <w:r w:rsidRPr="00395593">
        <w:rPr>
          <w:sz w:val="24"/>
          <w:szCs w:val="24"/>
        </w:rPr>
        <w:t>de</w:t>
      </w:r>
      <w:r w:rsidR="00E25558" w:rsidRPr="00395593">
        <w:rPr>
          <w:sz w:val="24"/>
          <w:szCs w:val="24"/>
        </w:rPr>
        <w:t xml:space="preserve"> 25 </w:t>
      </w:r>
      <w:r w:rsidRPr="00395593">
        <w:rPr>
          <w:sz w:val="24"/>
          <w:szCs w:val="24"/>
        </w:rPr>
        <w:t>de</w:t>
      </w:r>
      <w:r w:rsidR="00E25558" w:rsidRPr="00395593">
        <w:rPr>
          <w:sz w:val="24"/>
          <w:szCs w:val="24"/>
        </w:rPr>
        <w:t xml:space="preserve"> </w:t>
      </w:r>
      <w:r w:rsidRPr="00395593">
        <w:rPr>
          <w:sz w:val="24"/>
          <w:szCs w:val="24"/>
        </w:rPr>
        <w:t>janeiro</w:t>
      </w:r>
      <w:r w:rsidR="00E25558" w:rsidRPr="00395593">
        <w:rPr>
          <w:sz w:val="24"/>
          <w:szCs w:val="24"/>
        </w:rPr>
        <w:t xml:space="preserve"> </w:t>
      </w:r>
      <w:r w:rsidRPr="00395593">
        <w:rPr>
          <w:sz w:val="24"/>
          <w:szCs w:val="24"/>
        </w:rPr>
        <w:t>de</w:t>
      </w:r>
      <w:r w:rsidR="00E25558" w:rsidRPr="00395593">
        <w:rPr>
          <w:sz w:val="24"/>
          <w:szCs w:val="24"/>
        </w:rPr>
        <w:t xml:space="preserve"> 2022</w:t>
      </w:r>
      <w:bookmarkEnd w:id="164"/>
    </w:p>
    <w:p w14:paraId="4408C89B" w14:textId="77777777" w:rsidR="00E25558" w:rsidRPr="00395593" w:rsidRDefault="00E25558" w:rsidP="00CC23EA">
      <w:pPr>
        <w:shd w:val="clear" w:color="auto" w:fill="FFFFFF"/>
        <w:spacing w:after="450" w:line="240" w:lineRule="auto"/>
        <w:ind w:left="4536"/>
        <w:jc w:val="both"/>
        <w:rPr>
          <w:rFonts w:ascii="Garamond" w:hAnsi="Garamond"/>
          <w:color w:val="000000"/>
        </w:rPr>
      </w:pPr>
      <w:r w:rsidRPr="00395593">
        <w:rPr>
          <w:rFonts w:ascii="Garamond" w:hAnsi="Garamond"/>
          <w:color w:val="000000"/>
        </w:rPr>
        <w:t>Dispõe sobre as normas específicas dos procedimentos administrativos relativos à aplicação de medidas de salvaguarda previstos pelo Decreto nº 1.488, de 11 de maio de 1995, até então amparadas nas Circulares SECEX nº 19 de 02 de abril de 1996 e nº 59, de 28 de novembro de 2001.</w:t>
      </w:r>
    </w:p>
    <w:p w14:paraId="70E68D25" w14:textId="4CD9E276"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A SECRETÁRIA DE COMÉRCIO EXTERIOR SUBSTITUTA, DA SECRETARIA ESPECIAL DE COMÉRCIO EXTERIOR E ASSUNTOS INTERNACIONAIS DO MINISTÉRIO DA ECONOMIA, no uso das atribuições que lhe confere o inciso VIII do art. 91 do Anexo I do Decreto nº 9.745, de 8 de abril de 2019, e considerando as competências da Subsecretaria de Defesa Comercial e Interesse Público estabelecidas no art. 96 do Anexo I do Decreto nº 9.745, de 2019, para fins de cumprimento do Decreto no 10.139, de 28 de novembro de 2019, resolve:</w:t>
      </w:r>
    </w:p>
    <w:p w14:paraId="57C1C6BE" w14:textId="77777777" w:rsidR="00E25558" w:rsidRPr="00395593" w:rsidRDefault="00E25558" w:rsidP="00E25558">
      <w:pPr>
        <w:pStyle w:val="textocentralizado12"/>
        <w:spacing w:before="0" w:beforeAutospacing="0" w:after="120" w:afterAutospacing="0"/>
        <w:jc w:val="center"/>
        <w:rPr>
          <w:rFonts w:ascii="Garamond" w:hAnsi="Garamond"/>
          <w:color w:val="000000"/>
        </w:rPr>
      </w:pPr>
      <w:r w:rsidRPr="00395593">
        <w:rPr>
          <w:rFonts w:ascii="Garamond" w:hAnsi="Garamond"/>
          <w:color w:val="000000"/>
        </w:rPr>
        <w:t> </w:t>
      </w:r>
    </w:p>
    <w:p w14:paraId="3FF23C11" w14:textId="77777777" w:rsidR="00E25558" w:rsidRPr="00395593" w:rsidRDefault="00E25558" w:rsidP="00847C8A">
      <w:pPr>
        <w:pStyle w:val="textocentralizado12"/>
        <w:spacing w:before="0" w:beforeAutospacing="0" w:after="0" w:afterAutospacing="0"/>
        <w:jc w:val="center"/>
        <w:rPr>
          <w:rFonts w:ascii="Garamond" w:hAnsi="Garamond"/>
          <w:color w:val="000000"/>
        </w:rPr>
      </w:pPr>
      <w:r w:rsidRPr="00395593">
        <w:rPr>
          <w:rStyle w:val="Forte"/>
          <w:rFonts w:ascii="Garamond" w:eastAsia="Arial" w:hAnsi="Garamond"/>
          <w:color w:val="000000"/>
        </w:rPr>
        <w:t>CAPÍTULO I</w:t>
      </w:r>
    </w:p>
    <w:p w14:paraId="4AF7383C" w14:textId="77777777" w:rsidR="00E25558" w:rsidRPr="00395593" w:rsidRDefault="00E25558" w:rsidP="00847C8A">
      <w:pPr>
        <w:pStyle w:val="textocentralizado12"/>
        <w:spacing w:before="0" w:beforeAutospacing="0" w:after="0" w:afterAutospacing="0"/>
        <w:jc w:val="center"/>
        <w:rPr>
          <w:rFonts w:ascii="Garamond" w:hAnsi="Garamond"/>
          <w:color w:val="000000"/>
        </w:rPr>
      </w:pPr>
      <w:r w:rsidRPr="00395593">
        <w:rPr>
          <w:rStyle w:val="Forte"/>
          <w:rFonts w:ascii="Garamond" w:eastAsia="Arial" w:hAnsi="Garamond"/>
          <w:color w:val="000000"/>
        </w:rPr>
        <w:t>DAS DISPOSIÇÕES GERAIS</w:t>
      </w:r>
    </w:p>
    <w:p w14:paraId="09352A65"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w:t>
      </w:r>
    </w:p>
    <w:p w14:paraId="57A81AF0"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Art. 1º A regulamentação de normas específicas que disciplinam os procedimentos administrativos relativos à aplicação de medidas de salvaguarda previstas no Decreto nº 1.488, de 11 de maio de 1995, referentes aos pedidos de aplicação de medidas de salvaguarda de que trata o seu §1º do art. 3º, bem como ao tratamento da informação confidencial, à contagem de prazos processuais e à apresentação de informações em língua estrangeira, são objeto da presente Portaria.</w:t>
      </w:r>
    </w:p>
    <w:p w14:paraId="671E5681"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Art. 2º Aplicam-se subsidiariamente a esta Portaria as normas gerais utilizadas nos processos de defesa comercial, previstas na Portaria SECEX nº 162, de 06 de janeiro de 2022.</w:t>
      </w:r>
    </w:p>
    <w:p w14:paraId="11E99398" w14:textId="77777777" w:rsidR="00E25558" w:rsidRPr="00395593" w:rsidRDefault="00E25558" w:rsidP="00E25558">
      <w:pPr>
        <w:pStyle w:val="textocentralizado12"/>
        <w:spacing w:before="0" w:beforeAutospacing="0" w:after="120" w:afterAutospacing="0"/>
        <w:jc w:val="center"/>
        <w:rPr>
          <w:rFonts w:ascii="Garamond" w:hAnsi="Garamond"/>
          <w:color w:val="000000"/>
        </w:rPr>
      </w:pPr>
      <w:r w:rsidRPr="00395593">
        <w:rPr>
          <w:rFonts w:ascii="Garamond" w:hAnsi="Garamond"/>
          <w:color w:val="000000"/>
        </w:rPr>
        <w:t> </w:t>
      </w:r>
    </w:p>
    <w:p w14:paraId="48CFE3F1" w14:textId="77777777" w:rsidR="00E25558" w:rsidRPr="00395593" w:rsidRDefault="00E25558" w:rsidP="00847C8A">
      <w:pPr>
        <w:pStyle w:val="textocentralizado12"/>
        <w:spacing w:before="0" w:beforeAutospacing="0" w:after="0" w:afterAutospacing="0"/>
        <w:jc w:val="center"/>
        <w:rPr>
          <w:rFonts w:ascii="Garamond" w:hAnsi="Garamond"/>
          <w:color w:val="000000"/>
        </w:rPr>
      </w:pPr>
      <w:r w:rsidRPr="00395593">
        <w:rPr>
          <w:rStyle w:val="Forte"/>
          <w:rFonts w:ascii="Garamond" w:eastAsia="Arial" w:hAnsi="Garamond"/>
          <w:color w:val="000000"/>
        </w:rPr>
        <w:t>CAPÍTULO II</w:t>
      </w:r>
    </w:p>
    <w:p w14:paraId="6A687774" w14:textId="77777777" w:rsidR="00E25558" w:rsidRPr="00395593" w:rsidRDefault="00E25558" w:rsidP="00E25558">
      <w:pPr>
        <w:pStyle w:val="textocentralizado12"/>
        <w:spacing w:before="0" w:beforeAutospacing="0" w:after="120" w:afterAutospacing="0"/>
        <w:jc w:val="center"/>
        <w:rPr>
          <w:rFonts w:ascii="Garamond" w:hAnsi="Garamond"/>
          <w:color w:val="000000"/>
        </w:rPr>
      </w:pPr>
      <w:r w:rsidRPr="00395593">
        <w:rPr>
          <w:rStyle w:val="Forte"/>
          <w:rFonts w:ascii="Garamond" w:eastAsia="Arial" w:hAnsi="Garamond"/>
          <w:color w:val="000000"/>
        </w:rPr>
        <w:t>DO PEDIDO DE APLICAÇÃO DE MEDIDAS DE SALVAGUARDA</w:t>
      </w:r>
    </w:p>
    <w:p w14:paraId="44BB945A"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w:t>
      </w:r>
    </w:p>
    <w:p w14:paraId="6B371A28"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Art. 3º Os pedidos de aplicação de medidas de salvaguarda, de que trata o §1º do art. 3° do Decreto n° 1.488, de 1995, deverão ser formulados por meio de petição, de acordo com o roteiro anexo à presente Portaria.</w:t>
      </w:r>
    </w:p>
    <w:p w14:paraId="3BF36C17"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Art. 4º A petição de aplicação de medidas de salvaguarda objeto do art. 1º, bem como toda a documentação relativa à condução do procedimento administrativo iniciado para essa finalidade, deverão ser submetidas via Sistema Eletrônico de Informação – SEI/ME, conforme regido por ato da SECEX.</w:t>
      </w:r>
    </w:p>
    <w:p w14:paraId="04867611"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Art. 5º Dúvidas e solicitações de esclarecimentos devem ser encaminhadas à SDCOM por meio do endereço eletrônico sdcom@economia.gov.br.</w:t>
      </w:r>
    </w:p>
    <w:p w14:paraId="356C1722" w14:textId="77777777" w:rsidR="00E25558" w:rsidRPr="00395593" w:rsidRDefault="00E25558" w:rsidP="00E25558">
      <w:pPr>
        <w:pStyle w:val="textocentralizado12"/>
        <w:spacing w:before="0" w:beforeAutospacing="0" w:after="120" w:afterAutospacing="0"/>
        <w:jc w:val="center"/>
        <w:rPr>
          <w:rFonts w:ascii="Garamond" w:hAnsi="Garamond"/>
          <w:color w:val="000000"/>
        </w:rPr>
      </w:pPr>
      <w:r w:rsidRPr="00395593">
        <w:rPr>
          <w:rFonts w:ascii="Garamond" w:hAnsi="Garamond"/>
          <w:color w:val="000000"/>
        </w:rPr>
        <w:t> </w:t>
      </w:r>
    </w:p>
    <w:p w14:paraId="0EC04C98" w14:textId="77777777" w:rsidR="00E25558" w:rsidRPr="00395593" w:rsidRDefault="00E25558" w:rsidP="00847C8A">
      <w:pPr>
        <w:pStyle w:val="textocentralizado12"/>
        <w:spacing w:before="0" w:beforeAutospacing="0" w:after="0" w:afterAutospacing="0"/>
        <w:jc w:val="center"/>
        <w:rPr>
          <w:rFonts w:ascii="Garamond" w:hAnsi="Garamond"/>
          <w:color w:val="000000"/>
        </w:rPr>
      </w:pPr>
      <w:r w:rsidRPr="00395593">
        <w:rPr>
          <w:rStyle w:val="Forte"/>
          <w:rFonts w:ascii="Garamond" w:eastAsia="Arial" w:hAnsi="Garamond"/>
          <w:color w:val="000000"/>
        </w:rPr>
        <w:t>CAPÍTULO III</w:t>
      </w:r>
    </w:p>
    <w:p w14:paraId="02472383" w14:textId="77777777" w:rsidR="00E25558" w:rsidRPr="00395593" w:rsidRDefault="00E25558" w:rsidP="00E25558">
      <w:pPr>
        <w:pStyle w:val="textocentralizado12"/>
        <w:spacing w:before="0" w:beforeAutospacing="0" w:after="120" w:afterAutospacing="0"/>
        <w:jc w:val="center"/>
        <w:rPr>
          <w:rFonts w:ascii="Garamond" w:hAnsi="Garamond"/>
          <w:color w:val="000000"/>
        </w:rPr>
      </w:pPr>
      <w:r w:rsidRPr="00395593">
        <w:rPr>
          <w:rStyle w:val="Forte"/>
          <w:rFonts w:ascii="Garamond" w:eastAsia="Arial" w:hAnsi="Garamond"/>
          <w:color w:val="000000"/>
        </w:rPr>
        <w:t>DAS INFORMAÇÕES PRESTADAS EM CARÁTER SIGILOSO</w:t>
      </w:r>
    </w:p>
    <w:p w14:paraId="7E2A0638"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w:t>
      </w:r>
    </w:p>
    <w:p w14:paraId="2D3D83F0"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Art. 6º Nos termos dos §§ 6º, 7º e 8º do art. 3º do Decreto nº 1.488, de 1995, as informações prestadas em caráter sigiloso, entendidas como “confidenciais”, estarão sujeitas às exigências do presente capítulo.</w:t>
      </w:r>
    </w:p>
    <w:p w14:paraId="2BFB66D4"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Art. 7º As informações confidenciais serão juntadas aos autos confidenciais do processo.</w:t>
      </w:r>
    </w:p>
    <w:p w14:paraId="66A4A848"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1º Serão tratadas como informações confidenciais aquelas assim identificadas pelas partes interessadas, desde que o pedido seja devidamente justificado, não podendo, nesse caso, serem reveladas sem autorização expressa da parte que a forneceu.</w:t>
      </w:r>
    </w:p>
    <w:p w14:paraId="55D8C71E"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2º As partes interessadas que fornecerem informações confidenciais deverão apresentar resumos restritos com detalhes que permitam a compreensão da informação fornecida, sob pena de ser desconsiderada a informação confidencial.</w:t>
      </w:r>
    </w:p>
    <w:p w14:paraId="785BB87D"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3º Nos casos em que não seja possível a apresentação do resumo, as partes deverão justificar por escrito tal circunstância.</w:t>
      </w:r>
    </w:p>
    <w:p w14:paraId="71C19782"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4º As justificativas referidas nos § 1º e § 3º não constituem informação confidencial.</w:t>
      </w:r>
    </w:p>
    <w:p w14:paraId="2ADE390F"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5º Não serão consideradas adequadas justificativas de confidencialidade para documentos, dados e informações, entre outros:</w:t>
      </w:r>
    </w:p>
    <w:p w14:paraId="2A3FBE68"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I - quando tenham notória natureza pública no Brasil, ou sejam de domínio público, no Brasil ou no exterior; ou</w:t>
      </w:r>
    </w:p>
    <w:p w14:paraId="6A7859F8"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II - os relativos:</w:t>
      </w:r>
    </w:p>
    <w:p w14:paraId="26207628"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a) à composição acionária e identificação do respectivo controlador;</w:t>
      </w:r>
    </w:p>
    <w:p w14:paraId="4661A80F"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b) à organização societária do grupo de que faça parte;</w:t>
      </w:r>
    </w:p>
    <w:p w14:paraId="2B7924E3"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c) ao volume da produção, das vendas internas, das exportações, das importações e dos estoques;</w:t>
      </w:r>
    </w:p>
    <w:p w14:paraId="6188DF58"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d) a quaisquer contratos celebrados por escritura pública ou arquivados perante notário público ou em junta comercial, no Brasil ou no exterior; e</w:t>
      </w:r>
    </w:p>
    <w:p w14:paraId="5AED2CBA"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e) a demonstrações patrimoniais, financeiras e empresariais de companhia aberta; companhia equiparada à companhia aberta; ou de empresas controladas por companhias abertas, inclusive as estrangeiras, e suas subsidiárias integrais, que devam ser publicadas ou divulgadas em virtude da legislação societária ou do mercado de valores mobiliários.</w:t>
      </w:r>
    </w:p>
    <w:p w14:paraId="57D9BBC7"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6º O resumo restrito relativo a informações numéricas confidenciais deverá ser apresentado em formato numérico, na forma de números-índice, entre outros.</w:t>
      </w:r>
    </w:p>
    <w:p w14:paraId="5705A3D3"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7º Os documentos, as respostas aos questionários e outras manifestações, em todas as suas versões, devem ser apresentados simultaneamente para o cumprimento dos prazos e das obrigações estabelecidos no Decreto nº 1.488, de 1995.</w:t>
      </w:r>
    </w:p>
    <w:p w14:paraId="0E6AAA06"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8º A critério da SDCOM, não serão considerados documentos, dados e informações apresentados em bases confidenciais, quando o tratamento confidencial puder resultar no cerceamento do direito de defesa e do contraditório das demais partes interessadas.</w:t>
      </w:r>
    </w:p>
    <w:p w14:paraId="2D096FE3"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9º Caso a SDCOM considere injustificado o pedido de confidencialidade e a parte interessada que houver fornecido a informação se recuse a adequá-la para anexação em autos não confidenciais, a informação poderá ser desconsiderada, exceto se demonstrado, a contento e por fonte apropriada, que tal informação é correta.</w:t>
      </w:r>
    </w:p>
    <w:p w14:paraId="5E162AC9"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10. A indicação de confidencialidade dos documentos apresentados é de responsabilidade da parte interessada e deverá constar de todas as suas páginas, centralizada no alto e no pé de cada página, em cor vermelha.</w:t>
      </w:r>
    </w:p>
    <w:p w14:paraId="13743A43"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11. As páginas devem ser numeradas sequencialmente e devem conter indicação sobre o número total de páginas que compõem o documento.</w:t>
      </w:r>
    </w:p>
    <w:p w14:paraId="6CEBDCA0" w14:textId="77777777" w:rsidR="00E25558" w:rsidRPr="00395593" w:rsidRDefault="00E25558" w:rsidP="00E25558">
      <w:pPr>
        <w:pStyle w:val="textocentralizado12"/>
        <w:spacing w:before="0" w:beforeAutospacing="0" w:after="120" w:afterAutospacing="0"/>
        <w:jc w:val="center"/>
        <w:rPr>
          <w:rFonts w:ascii="Garamond" w:hAnsi="Garamond"/>
          <w:color w:val="000000"/>
        </w:rPr>
      </w:pPr>
      <w:r w:rsidRPr="00395593">
        <w:rPr>
          <w:rFonts w:ascii="Garamond" w:hAnsi="Garamond"/>
          <w:color w:val="000000"/>
        </w:rPr>
        <w:t> </w:t>
      </w:r>
    </w:p>
    <w:p w14:paraId="2F7BE07C" w14:textId="77777777" w:rsidR="00E25558" w:rsidRPr="00395593" w:rsidRDefault="00E25558" w:rsidP="00847C8A">
      <w:pPr>
        <w:pStyle w:val="textocentralizado12"/>
        <w:spacing w:before="0" w:beforeAutospacing="0" w:after="0" w:afterAutospacing="0"/>
        <w:jc w:val="center"/>
        <w:rPr>
          <w:rFonts w:ascii="Garamond" w:hAnsi="Garamond"/>
          <w:color w:val="000000"/>
        </w:rPr>
      </w:pPr>
      <w:r w:rsidRPr="00395593">
        <w:rPr>
          <w:rStyle w:val="Forte"/>
          <w:rFonts w:ascii="Garamond" w:eastAsia="Arial" w:hAnsi="Garamond"/>
          <w:color w:val="000000"/>
        </w:rPr>
        <w:t>CAPÍTULO IV</w:t>
      </w:r>
    </w:p>
    <w:p w14:paraId="3E5FC05A" w14:textId="77777777" w:rsidR="00E25558" w:rsidRPr="00395593" w:rsidRDefault="00E25558" w:rsidP="00E25558">
      <w:pPr>
        <w:pStyle w:val="textocentralizado12"/>
        <w:spacing w:before="0" w:beforeAutospacing="0" w:after="120" w:afterAutospacing="0"/>
        <w:jc w:val="center"/>
        <w:rPr>
          <w:rFonts w:ascii="Garamond" w:hAnsi="Garamond"/>
          <w:color w:val="000000"/>
        </w:rPr>
      </w:pPr>
      <w:r w:rsidRPr="00395593">
        <w:rPr>
          <w:rStyle w:val="Forte"/>
          <w:rFonts w:ascii="Garamond" w:eastAsia="Arial" w:hAnsi="Garamond"/>
          <w:color w:val="000000"/>
        </w:rPr>
        <w:t>DA CONTAGEM DE PRAZO</w:t>
      </w:r>
    </w:p>
    <w:p w14:paraId="7A630539"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w:t>
      </w:r>
    </w:p>
    <w:p w14:paraId="43CC5551"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Art. 8º Os prazos começam a correr a partir da data da cientificação oficial, excluindo-se da contagem o dia do começo e incluindo-se o do vencimento.</w:t>
      </w:r>
    </w:p>
    <w:p w14:paraId="10F1D6C6"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Parágrafo único. Considera-se prorrogado o prazo até o primeiro dia útil seguinte, se o vencimento cair em dia em que não houver expediente ou este for encerrado antes da hora normal.</w:t>
      </w:r>
    </w:p>
    <w:p w14:paraId="28C9354F"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bookmarkStart w:id="165" w:name="art186"/>
      <w:bookmarkStart w:id="166" w:name="art187"/>
      <w:bookmarkEnd w:id="165"/>
      <w:bookmarkEnd w:id="166"/>
      <w:r w:rsidRPr="00395593">
        <w:rPr>
          <w:rFonts w:ascii="Garamond" w:hAnsi="Garamond"/>
          <w:color w:val="000000"/>
        </w:rPr>
        <w:t>Art. 9º A contagem de prazos começa no primeiro dia útil subsequente à publicação do ato.</w:t>
      </w:r>
    </w:p>
    <w:p w14:paraId="4A0EE733"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Parágrafo único. Presume-se que as partes interessadas terão ciência de documentos impressos enviados pela SDCOM 5 (cinco) dias após a data de seu envio ou transmissão, no caso de partes interessadas nacionais, e 10 (dez) dias, caso sejam estrangeiras, e, no caso de processos administrativos eletrônicos, presume-se a ciência de documentos transmitidos eletronicamente 3 (três) dias após a data de transmissão.</w:t>
      </w:r>
    </w:p>
    <w:p w14:paraId="38C85EA7"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bookmarkStart w:id="167" w:name="art188"/>
      <w:bookmarkEnd w:id="167"/>
      <w:r w:rsidRPr="00395593">
        <w:rPr>
          <w:rFonts w:ascii="Garamond" w:hAnsi="Garamond"/>
          <w:color w:val="000000"/>
        </w:rPr>
        <w:t>Art. 10. Os prazos expressos em dias contam-se de modo contínuo. Os prazos fixados em meses ou anos contam-se de data a data.</w:t>
      </w:r>
    </w:p>
    <w:p w14:paraId="79E3FF50"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Parágrafo único. Se no mês do vencimento não houver o dia equivalente àquele do início do prazo, tem-se como termo o último dia do mês.</w:t>
      </w:r>
    </w:p>
    <w:p w14:paraId="3AC68750"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bookmarkStart w:id="168" w:name="art189"/>
      <w:bookmarkEnd w:id="168"/>
      <w:r w:rsidRPr="00395593">
        <w:rPr>
          <w:rFonts w:ascii="Garamond" w:hAnsi="Garamond"/>
          <w:color w:val="000000"/>
        </w:rPr>
        <w:t>Art. 11. Os pedidos de prorrogação, quando admitidos, só poderão ser conhecidos se apresentados antes do vencimento do prazo original e o primeiro dia do prazo prorrogado será o dia subsequente ao do vencimento do prazo original.</w:t>
      </w:r>
    </w:p>
    <w:p w14:paraId="6D41ED97"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bookmarkStart w:id="169" w:name="art190"/>
      <w:bookmarkEnd w:id="169"/>
      <w:r w:rsidRPr="00395593">
        <w:rPr>
          <w:rFonts w:ascii="Garamond" w:hAnsi="Garamond"/>
          <w:color w:val="000000"/>
        </w:rPr>
        <w:t>Art. 12. O prazo de prorrogação acresce ao original, sendo o prazo total resultante contado ininterruptamente do início do prazo original.</w:t>
      </w:r>
    </w:p>
    <w:p w14:paraId="1544986B" w14:textId="77777777" w:rsidR="00E25558" w:rsidRPr="00395593" w:rsidRDefault="00E25558" w:rsidP="00E25558">
      <w:pPr>
        <w:pStyle w:val="textocentralizado12"/>
        <w:spacing w:before="0" w:beforeAutospacing="0" w:after="120" w:afterAutospacing="0"/>
        <w:jc w:val="center"/>
        <w:rPr>
          <w:rFonts w:ascii="Garamond" w:hAnsi="Garamond"/>
          <w:color w:val="000000"/>
        </w:rPr>
      </w:pPr>
      <w:r w:rsidRPr="00395593">
        <w:rPr>
          <w:rFonts w:ascii="Garamond" w:hAnsi="Garamond"/>
          <w:color w:val="000000"/>
        </w:rPr>
        <w:t> </w:t>
      </w:r>
    </w:p>
    <w:p w14:paraId="0397FD58" w14:textId="77777777" w:rsidR="00E25558" w:rsidRPr="00395593" w:rsidRDefault="00E25558" w:rsidP="00847C8A">
      <w:pPr>
        <w:pStyle w:val="textocentralizado12"/>
        <w:spacing w:before="0" w:beforeAutospacing="0" w:after="0" w:afterAutospacing="0"/>
        <w:jc w:val="center"/>
        <w:rPr>
          <w:rFonts w:ascii="Garamond" w:hAnsi="Garamond"/>
          <w:color w:val="000000"/>
        </w:rPr>
      </w:pPr>
      <w:r w:rsidRPr="00395593">
        <w:rPr>
          <w:rStyle w:val="Forte"/>
          <w:rFonts w:ascii="Garamond" w:eastAsia="Arial" w:hAnsi="Garamond"/>
          <w:color w:val="000000"/>
        </w:rPr>
        <w:t>CAPÍTULO V</w:t>
      </w:r>
    </w:p>
    <w:p w14:paraId="78DEBC7B" w14:textId="77777777" w:rsidR="00E25558" w:rsidRPr="00395593" w:rsidRDefault="00E25558" w:rsidP="00E25558">
      <w:pPr>
        <w:pStyle w:val="textocentralizado12"/>
        <w:spacing w:before="0" w:beforeAutospacing="0" w:after="120" w:afterAutospacing="0"/>
        <w:jc w:val="center"/>
        <w:rPr>
          <w:rFonts w:ascii="Garamond" w:hAnsi="Garamond"/>
          <w:color w:val="000000"/>
        </w:rPr>
      </w:pPr>
      <w:r w:rsidRPr="00395593">
        <w:rPr>
          <w:rStyle w:val="Forte"/>
          <w:rFonts w:ascii="Garamond" w:eastAsia="Arial" w:hAnsi="Garamond"/>
          <w:color w:val="000000"/>
        </w:rPr>
        <w:t>DOS DOCUMENTOS APRESENTADOS EM LÍNGUAS ESTRANGEIRAS</w:t>
      </w:r>
    </w:p>
    <w:p w14:paraId="13F1BEA3"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w:t>
      </w:r>
    </w:p>
    <w:p w14:paraId="3C2B21BF"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Art. 13. Nos termos do art. 18 da Lei n</w:t>
      </w:r>
      <w:r w:rsidRPr="00395593">
        <w:rPr>
          <w:rFonts w:ascii="Garamond" w:hAnsi="Garamond"/>
          <w:color w:val="000000"/>
          <w:u w:val="single"/>
          <w:vertAlign w:val="superscript"/>
        </w:rPr>
        <w:t>o</w:t>
      </w:r>
      <w:r w:rsidRPr="00395593">
        <w:rPr>
          <w:rFonts w:ascii="Garamond" w:hAnsi="Garamond"/>
          <w:color w:val="000000"/>
        </w:rPr>
        <w:t> 12.995, de 18 de junho de 2014, para fins das investigações relativas à aplicação de medidas de salvaguarda, realizadas ao amparo do Acordo que regulamenta as provisões do artigo XIX do GATT, aprovado pelo Decreto nº 1.355, de 30 de dezembro de 1994, poderão ser incorporados aos autos do processo documentos elaborados nos idiomas oficiais da Organização Mundial do Comércio, e, no caso de documentos elaborados em idiomas estrangeiros para os quais não haja tradutor público no Brasil, serão aceitas traduções para o idioma português efetuadas pela representação oficial da origem exportadora no Brasil, desde que acompanhadas de comunicação oficial atestando a autoria da tradução.</w:t>
      </w:r>
    </w:p>
    <w:p w14:paraId="5DBA6E82"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1º Respeitado o previsto no </w:t>
      </w:r>
      <w:r w:rsidRPr="00395593">
        <w:rPr>
          <w:rStyle w:val="nfase"/>
          <w:rFonts w:ascii="Garamond" w:hAnsi="Garamond"/>
          <w:color w:val="000000"/>
        </w:rPr>
        <w:t>caput</w:t>
      </w:r>
      <w:r w:rsidRPr="00395593">
        <w:rPr>
          <w:rFonts w:ascii="Garamond" w:hAnsi="Garamond"/>
          <w:color w:val="000000"/>
        </w:rPr>
        <w:t> deste artigo e a critério da SDCOM, serão igualmente aceitas nos autos restritos dos procedimentos administrativos relativos à aplicação de medidas de salvaguarda:</w:t>
      </w:r>
    </w:p>
    <w:p w14:paraId="542E4E10"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I – traduções para o idioma português efetuadas pela representação oficial do país exportador no Brasil, considerado o país de origem ou de exportação que é parte interessada em processo de defesa comercial, ou pelo próprio representante legal da parte interessada que a apresentar, desde que acompanhadas de comunicação oficial atestando a autoria, fidedignidade e exatidão da tradução; e</w:t>
      </w:r>
    </w:p>
    <w:p w14:paraId="0F7597AE"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II – documentação nos idiomas oficiais da Organização Mundial do Comércio obtida diretamente de sítio governamental oficial ou outras fontes fiáveis e isentas, como bancos de textos legais ou o sítio eletrônico da Organização Mundial do Comércio.</w:t>
      </w:r>
    </w:p>
    <w:p w14:paraId="2D4895D9" w14:textId="4BB0043C"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xml:space="preserve">§ 2º No caso de documentos elaborados em idiomas estrangeiros para os quais não haja tradutor público no Brasil, serão aceitas nos autos </w:t>
      </w:r>
      <w:r w:rsidR="00F61896">
        <w:rPr>
          <w:rFonts w:ascii="Garamond" w:hAnsi="Garamond"/>
          <w:color w:val="000000"/>
        </w:rPr>
        <w:t>de</w:t>
      </w:r>
      <w:r w:rsidRPr="00395593">
        <w:rPr>
          <w:rFonts w:ascii="Garamond" w:hAnsi="Garamond"/>
          <w:color w:val="000000"/>
        </w:rPr>
        <w:t>iais e restritos traduções para o idioma português efetuadas pela representação oficial do país exportador no Brasil, considerado o país de origem ou de exportação que é parte interessada em processo de defesa comercial, desde que acompanhadas de comunicação oficial atestando a autoria, fidedignidade e exatidão da tradução;</w:t>
      </w:r>
    </w:p>
    <w:p w14:paraId="54A9830B"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3º As submissões realizadas com base no § 1º deverão, sob risco de não aceitação:</w:t>
      </w:r>
    </w:p>
    <w:p w14:paraId="06151557"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I - ser anexadas aos autos restritos da investigação, de modo a permitir o contraditório das demais partes interessadas;</w:t>
      </w:r>
    </w:p>
    <w:p w14:paraId="71E063FF"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II – indicar de forma clara e verificável as fontes da documentação apresentada; e</w:t>
      </w:r>
    </w:p>
    <w:p w14:paraId="48693315"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III – ser acompanhadas do inteiro teor do documento em sua língua original em formato digital pesquisável e editável com uso de reconhecimento de caracteres, de forma que seja passível de análise facilitada pelas demais partes interessadas.</w:t>
      </w:r>
    </w:p>
    <w:p w14:paraId="06D999CE"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4º Será presumida a conformidade dos documentos submetidos com base neste artigo, sendo que a Subsecretaria de Defesa Comercial e Interesse Público ou qualquer parte interessada podem impugnar as submissões em decorrência de:</w:t>
      </w:r>
    </w:p>
    <w:p w14:paraId="64EE19E6"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I – descumprimento dos requisitos formais apontados neste artigo; ou</w:t>
      </w:r>
    </w:p>
    <w:p w14:paraId="1D6470E3"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II – ausência de fidedignidade ou inexatidão dos documentos apresentados, desde que devidamente justificada e acompanhada dos elementos de prova necessários.</w:t>
      </w:r>
    </w:p>
    <w:p w14:paraId="314B7042"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5º Constatada não fidedignidade ou inexatidão nas informações prestadas ou contidas nos documentos apresentados à SDCOM, a parte interessada será instada a apresentar tradução firmada por tradutor público no Brasil, sob pena de utilização da melhor informação disponível nos autos.</w:t>
      </w:r>
    </w:p>
    <w:p w14:paraId="361E6BDE"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6º Constatado dolo na utilização inadequada do previsto no §1º, será utilizada a melhor informação disponível, e as partes interessadas e seus representantes legais poderão ser responsabilizadas perante as esferas administrativa e cível.</w:t>
      </w:r>
    </w:p>
    <w:p w14:paraId="481CFFF6" w14:textId="77777777" w:rsidR="00E25558" w:rsidRPr="00395593" w:rsidRDefault="00E25558" w:rsidP="00E25558">
      <w:pPr>
        <w:pStyle w:val="textocentralizado12"/>
        <w:spacing w:before="0" w:beforeAutospacing="0" w:after="120" w:afterAutospacing="0"/>
        <w:jc w:val="center"/>
        <w:rPr>
          <w:rFonts w:ascii="Garamond" w:hAnsi="Garamond"/>
          <w:color w:val="000000"/>
        </w:rPr>
      </w:pPr>
      <w:r w:rsidRPr="00395593">
        <w:rPr>
          <w:rFonts w:ascii="Garamond" w:hAnsi="Garamond"/>
          <w:color w:val="000000"/>
        </w:rPr>
        <w:t> </w:t>
      </w:r>
    </w:p>
    <w:p w14:paraId="1B9451D1" w14:textId="77777777" w:rsidR="00E25558" w:rsidRPr="00395593" w:rsidRDefault="00E25558" w:rsidP="00847C8A">
      <w:pPr>
        <w:pStyle w:val="textocentralizado12"/>
        <w:spacing w:before="0" w:beforeAutospacing="0" w:after="0" w:afterAutospacing="0"/>
        <w:jc w:val="center"/>
        <w:rPr>
          <w:rFonts w:ascii="Garamond" w:hAnsi="Garamond"/>
          <w:color w:val="000000"/>
        </w:rPr>
      </w:pPr>
      <w:r w:rsidRPr="00395593">
        <w:rPr>
          <w:rStyle w:val="Forte"/>
          <w:rFonts w:ascii="Garamond" w:eastAsia="Arial" w:hAnsi="Garamond"/>
          <w:color w:val="000000"/>
        </w:rPr>
        <w:t>CAPÍTULO VI</w:t>
      </w:r>
    </w:p>
    <w:p w14:paraId="2413836A" w14:textId="77777777" w:rsidR="00E25558" w:rsidRPr="00395593" w:rsidRDefault="00E25558" w:rsidP="00E25558">
      <w:pPr>
        <w:pStyle w:val="textocentralizado12"/>
        <w:spacing w:before="0" w:beforeAutospacing="0" w:after="120" w:afterAutospacing="0"/>
        <w:jc w:val="center"/>
        <w:rPr>
          <w:rFonts w:ascii="Garamond" w:hAnsi="Garamond"/>
          <w:color w:val="000000"/>
        </w:rPr>
      </w:pPr>
      <w:r w:rsidRPr="00395593">
        <w:rPr>
          <w:rStyle w:val="Forte"/>
          <w:rFonts w:ascii="Garamond" w:eastAsia="Arial" w:hAnsi="Garamond"/>
          <w:color w:val="000000"/>
        </w:rPr>
        <w:t>DISPOSIÇÕES FINAIS</w:t>
      </w:r>
    </w:p>
    <w:p w14:paraId="1BA52DBC"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 </w:t>
      </w:r>
    </w:p>
    <w:p w14:paraId="2AD84FED"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Art. 14. Ficam revogadas:</w:t>
      </w:r>
    </w:p>
    <w:p w14:paraId="477F0DA4"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I - a Circular SECEX nº 19, de 2 de abril de 1996, publicada no Diário Oficial da União de 8 de abril de 1996; e</w:t>
      </w:r>
    </w:p>
    <w:p w14:paraId="703B1E8C"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II - a Circular SECEX nº 59, de 28 de novembro de 2001, publicada no Diário Oficial da União de 10 de dezembro de 2001.</w:t>
      </w:r>
    </w:p>
    <w:p w14:paraId="270FD620" w14:textId="77777777" w:rsidR="00E25558" w:rsidRPr="00395593" w:rsidRDefault="00E25558" w:rsidP="00E25558">
      <w:pPr>
        <w:pStyle w:val="textojustificadorecuoprimeiralinha"/>
        <w:spacing w:before="0" w:beforeAutospacing="0" w:after="120" w:afterAutospacing="0"/>
        <w:ind w:firstLine="1418"/>
        <w:jc w:val="both"/>
        <w:rPr>
          <w:rFonts w:ascii="Garamond" w:hAnsi="Garamond"/>
          <w:color w:val="000000"/>
        </w:rPr>
      </w:pPr>
      <w:r w:rsidRPr="00395593">
        <w:rPr>
          <w:rFonts w:ascii="Garamond" w:hAnsi="Garamond"/>
          <w:color w:val="000000"/>
        </w:rPr>
        <w:t>Art. 15. Esta Portaria entra em vigor no dia 1º de fevereiro de 2022.</w:t>
      </w:r>
    </w:p>
    <w:p w14:paraId="25964771" w14:textId="77777777" w:rsidR="00E25558" w:rsidRPr="00395593" w:rsidRDefault="00E25558" w:rsidP="00E25558">
      <w:pPr>
        <w:pStyle w:val="textocentralizado12"/>
        <w:spacing w:before="0" w:beforeAutospacing="0" w:after="120" w:afterAutospacing="0"/>
        <w:jc w:val="center"/>
        <w:rPr>
          <w:rFonts w:ascii="Garamond" w:hAnsi="Garamond"/>
          <w:color w:val="000000"/>
        </w:rPr>
      </w:pPr>
      <w:r w:rsidRPr="00395593">
        <w:rPr>
          <w:rFonts w:ascii="Garamond" w:hAnsi="Garamond"/>
          <w:color w:val="000000"/>
        </w:rPr>
        <w:t> </w:t>
      </w:r>
    </w:p>
    <w:p w14:paraId="113F8E46" w14:textId="77777777" w:rsidR="00E25558" w:rsidRPr="00395593" w:rsidRDefault="00E25558" w:rsidP="00E25558">
      <w:pPr>
        <w:pStyle w:val="textocentralizado12"/>
        <w:spacing w:before="0" w:beforeAutospacing="0" w:after="120" w:afterAutospacing="0"/>
        <w:jc w:val="center"/>
        <w:rPr>
          <w:rFonts w:ascii="Garamond" w:hAnsi="Garamond"/>
          <w:color w:val="000000"/>
        </w:rPr>
      </w:pPr>
      <w:r w:rsidRPr="00395593">
        <w:rPr>
          <w:rFonts w:ascii="Garamond" w:hAnsi="Garamond"/>
          <w:color w:val="000000"/>
        </w:rPr>
        <w:t>GLENDA BEZERRA LUSTOSA</w:t>
      </w:r>
    </w:p>
    <w:p w14:paraId="1286CF9A" w14:textId="77777777" w:rsidR="003765AB" w:rsidRPr="00395593" w:rsidRDefault="003765AB" w:rsidP="003775F1">
      <w:pPr>
        <w:jc w:val="both"/>
        <w:rPr>
          <w:rFonts w:ascii="Garamond" w:hAnsi="Garamond"/>
        </w:rPr>
      </w:pPr>
    </w:p>
    <w:p w14:paraId="4A23D4FA" w14:textId="77777777" w:rsidR="003765AB" w:rsidRPr="00395593" w:rsidRDefault="003765AB">
      <w:pPr>
        <w:rPr>
          <w:rFonts w:ascii="Garamond" w:hAnsi="Garamond"/>
        </w:rPr>
      </w:pPr>
      <w:r w:rsidRPr="00395593">
        <w:rPr>
          <w:rFonts w:ascii="Garamond" w:hAnsi="Garamond"/>
        </w:rPr>
        <w:br w:type="page"/>
      </w:r>
    </w:p>
    <w:p w14:paraId="5BAE496B" w14:textId="77777777" w:rsidR="003765AB" w:rsidRPr="00395593" w:rsidRDefault="003765AB" w:rsidP="003765AB">
      <w:pPr>
        <w:spacing w:after="120" w:line="240" w:lineRule="auto"/>
        <w:jc w:val="center"/>
        <w:rPr>
          <w:rFonts w:ascii="Garamond" w:eastAsia="Times New Roman" w:hAnsi="Garamond" w:cs="Times New Roman"/>
          <w:color w:val="000000"/>
          <w:sz w:val="28"/>
          <w:szCs w:val="28"/>
          <w:lang w:eastAsia="pt-BR"/>
        </w:rPr>
      </w:pPr>
      <w:r w:rsidRPr="005C5CBD">
        <w:rPr>
          <w:rFonts w:ascii="Garamond" w:eastAsia="Times New Roman" w:hAnsi="Garamond" w:cs="Times New Roman"/>
          <w:b/>
          <w:bCs/>
          <w:color w:val="000000"/>
          <w:sz w:val="28"/>
          <w:szCs w:val="28"/>
          <w:lang w:eastAsia="pt-BR"/>
        </w:rPr>
        <w:t>ANEXO ÚNICO</w:t>
      </w:r>
    </w:p>
    <w:p w14:paraId="48437C77" w14:textId="77777777" w:rsidR="003765AB" w:rsidRPr="00395593" w:rsidRDefault="003765AB" w:rsidP="003765AB">
      <w:pPr>
        <w:spacing w:after="120" w:line="240" w:lineRule="auto"/>
        <w:jc w:val="center"/>
        <w:rPr>
          <w:rFonts w:ascii="Garamond" w:eastAsia="Times New Roman" w:hAnsi="Garamond" w:cs="Times New Roman"/>
          <w:color w:val="000000"/>
          <w:sz w:val="28"/>
          <w:szCs w:val="28"/>
          <w:lang w:eastAsia="pt-BR"/>
        </w:rPr>
      </w:pPr>
      <w:r w:rsidRPr="005C5CBD">
        <w:rPr>
          <w:rFonts w:ascii="Garamond" w:eastAsia="Times New Roman" w:hAnsi="Garamond" w:cs="Times New Roman"/>
          <w:b/>
          <w:bCs/>
          <w:color w:val="000000"/>
          <w:sz w:val="28"/>
          <w:szCs w:val="28"/>
          <w:lang w:eastAsia="pt-BR"/>
        </w:rPr>
        <w:t>ROTEIRO PARA A APRESENTAÇÃO DE PETIÇÕES DE SOLICITAÇÃO DE APLICAÇÃO DE MEDIDAS DE SALVAGUARDA</w:t>
      </w:r>
    </w:p>
    <w:p w14:paraId="600ABEF7"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w:t>
      </w:r>
    </w:p>
    <w:p w14:paraId="174CEC7D"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5C5CBD">
        <w:rPr>
          <w:rFonts w:ascii="Garamond" w:eastAsia="Times New Roman" w:hAnsi="Garamond" w:cs="Times New Roman"/>
          <w:b/>
          <w:bCs/>
          <w:color w:val="000000"/>
          <w:sz w:val="24"/>
          <w:szCs w:val="24"/>
          <w:lang w:eastAsia="pt-BR"/>
        </w:rPr>
        <w:t>I. DAS INSTRUÇÕES GERAIS</w:t>
      </w:r>
    </w:p>
    <w:p w14:paraId="7D193A51"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1. A petição deverá conter informações que indiquem o aumento expressivo das importações, do prejuízo grave ou ameaça de prejuízo grave à indústria doméstica e da relação causal entre estes.</w:t>
      </w:r>
    </w:p>
    <w:p w14:paraId="4BDF3D7F"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2. As informações solicitadas no roteiro apresentado a seguir têm caráter de referência.</w:t>
      </w:r>
    </w:p>
    <w:p w14:paraId="4E470595"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3. As respostas correspondentes deverão abarcar o maior número possível de quesitos, para a efetiva fundamentação da petição.</w:t>
      </w:r>
    </w:p>
    <w:p w14:paraId="15ADF3CE"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4. Caso alguma das informações fornecidas pelos peticionários seja de caráter confidencial, tal caráter deverá ser devidamente justificado. Neste caso, deverão ser fornecidas duas versões da petição, uma que contenha todas as informações, inclusive as confidenciais, e outra que contenha as informações não confidenciais, bem como resumo não confidencial das informações tidas como sigilosas. Nos casos em que não for possível a apresentação de tal resumo, a não apresentação deverá ser devidamente justificada.</w:t>
      </w:r>
    </w:p>
    <w:p w14:paraId="4D6EF509"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 Indicar a fonte das informações apresentadas, quando as informações não forem  pertinentes ao(s) próprio(s) peticionário(s).</w:t>
      </w:r>
    </w:p>
    <w:p w14:paraId="34BB33E3"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5C5CBD">
        <w:rPr>
          <w:rFonts w:ascii="Garamond" w:eastAsia="Times New Roman" w:hAnsi="Garamond" w:cs="Times New Roman"/>
          <w:b/>
          <w:bCs/>
          <w:color w:val="000000"/>
          <w:sz w:val="24"/>
          <w:szCs w:val="24"/>
          <w:lang w:eastAsia="pt-BR"/>
        </w:rPr>
        <w:t>II. DAS INFORMAÇÕES NECESSÁRIAS</w:t>
      </w:r>
    </w:p>
    <w:p w14:paraId="0CC2483C"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5C5CBD">
        <w:rPr>
          <w:rFonts w:ascii="Garamond" w:eastAsia="Times New Roman" w:hAnsi="Garamond" w:cs="Times New Roman"/>
          <w:b/>
          <w:bCs/>
          <w:color w:val="000000"/>
          <w:sz w:val="24"/>
          <w:szCs w:val="24"/>
          <w:lang w:eastAsia="pt-BR"/>
        </w:rPr>
        <w:t>1. Da Qualificação do(s) Peticionário(s)</w:t>
      </w:r>
    </w:p>
    <w:p w14:paraId="1459E530"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1.1. Do(s) Peticionário(s):</w:t>
      </w:r>
    </w:p>
    <w:p w14:paraId="57BA2F8A"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1.1.1. Denominação Social:</w:t>
      </w:r>
    </w:p>
    <w:p w14:paraId="1CBE9774"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1.1.2. Endereço:</w:t>
      </w:r>
    </w:p>
    <w:p w14:paraId="56C4FA35"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1.1.3. Telefone:</w:t>
      </w:r>
    </w:p>
    <w:p w14:paraId="5DBF9E84"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1.1.4. E-mail:</w:t>
      </w:r>
    </w:p>
    <w:p w14:paraId="1B3110F0"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1.2. Do(s) Representante(s) Legal(is) Autorizado(s) junto à SECEX:</w:t>
      </w:r>
    </w:p>
    <w:p w14:paraId="446378A4"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1.2.1. Nome:</w:t>
      </w:r>
    </w:p>
    <w:p w14:paraId="371800EC"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1.2.2. Endereço:</w:t>
      </w:r>
    </w:p>
    <w:p w14:paraId="2EE8334E"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1.2.3. Telefone:</w:t>
      </w:r>
    </w:p>
    <w:p w14:paraId="1D04FB73"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1.2.4. E-mail:</w:t>
      </w:r>
    </w:p>
    <w:p w14:paraId="632F2286"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1.2.5. Cargo:</w:t>
      </w:r>
    </w:p>
    <w:p w14:paraId="224C4DEA"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5C5CBD">
        <w:rPr>
          <w:rFonts w:ascii="Garamond" w:eastAsia="Times New Roman" w:hAnsi="Garamond" w:cs="Times New Roman"/>
          <w:b/>
          <w:bCs/>
          <w:color w:val="000000"/>
          <w:sz w:val="24"/>
          <w:szCs w:val="24"/>
          <w:lang w:eastAsia="pt-BR"/>
        </w:rPr>
        <w:t>Obs</w:t>
      </w:r>
      <w:r w:rsidRPr="00395593">
        <w:rPr>
          <w:rFonts w:ascii="Garamond" w:eastAsia="Times New Roman" w:hAnsi="Garamond" w:cs="Times New Roman"/>
          <w:color w:val="000000"/>
          <w:sz w:val="24"/>
          <w:szCs w:val="24"/>
          <w:lang w:eastAsia="pt-BR"/>
        </w:rPr>
        <w:t>: Anexar documentação pertinente no SEI/ME.</w:t>
      </w:r>
    </w:p>
    <w:p w14:paraId="6455DEAD"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5C5CBD">
        <w:rPr>
          <w:rFonts w:ascii="Garamond" w:eastAsia="Times New Roman" w:hAnsi="Garamond" w:cs="Times New Roman"/>
          <w:b/>
          <w:bCs/>
          <w:color w:val="000000"/>
          <w:sz w:val="24"/>
          <w:szCs w:val="24"/>
          <w:lang w:eastAsia="pt-BR"/>
        </w:rPr>
        <w:t>2. Do Produto Objeto do Pedido de Investigação</w:t>
      </w:r>
    </w:p>
    <w:p w14:paraId="4D4C766D"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2.1. Identificação do produto e Classificação Tarifária (NCM).</w:t>
      </w:r>
    </w:p>
    <w:p w14:paraId="09681CCD"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2.2. Evolução do Imposto de Importação (dos últimos 5 anos até o mês em curso).</w:t>
      </w:r>
    </w:p>
    <w:p w14:paraId="7A2598D8"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2.3. Forneça descrição detalhada do produto importado e do similar e/ou concorrente fabricado internamente. Tal descrição deverá conter informação das características técnicas, indicando conforme o caso tipo, modelo, classe, dimensão, capacidade, potência, composição química e/ou outro elemento particular do produto. Anexe catálogos atualizados, folheto de venda ou outras ilustrações que especifiquem as características do produto.</w:t>
      </w:r>
    </w:p>
    <w:p w14:paraId="0F659567"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2.4. Identifique as principais aplicações do produto.</w:t>
      </w:r>
    </w:p>
    <w:p w14:paraId="47213881"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5C5CBD">
        <w:rPr>
          <w:rFonts w:ascii="Garamond" w:eastAsia="Times New Roman" w:hAnsi="Garamond" w:cs="Times New Roman"/>
          <w:b/>
          <w:bCs/>
          <w:color w:val="000000"/>
          <w:sz w:val="24"/>
          <w:szCs w:val="24"/>
          <w:lang w:eastAsia="pt-BR"/>
        </w:rPr>
        <w:t>3. Da Produção Nacional e da Representatividade do Peticionário  (informações dos últimos 12 meses)</w:t>
      </w:r>
    </w:p>
    <w:p w14:paraId="60818D85"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3.1. Apresente a relação do conjunto dos fabricantes do produto em questão no país, fornecendo nome, endereço, telefone e fax, identificando aqueles representados nesta petição.</w:t>
      </w:r>
    </w:p>
    <w:p w14:paraId="651F0D4B"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3.2. Informe o volume e o valor, estimados, da produção nacional do produto similar.</w:t>
      </w:r>
    </w:p>
    <w:p w14:paraId="734DD840"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3.3. Indique a parcela (%) da produção nacional (quantidade e valor) do produto em questão atribuída aos fabricantes representados nesta petição. No caso da petição ser apresentada por entidade de classe, indique o nome dos produtores representados, bem como o volume e o valor da produção que lhes corresponda.</w:t>
      </w:r>
    </w:p>
    <w:p w14:paraId="0C6DFF92"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5C5CBD">
        <w:rPr>
          <w:rFonts w:ascii="Garamond" w:eastAsia="Times New Roman" w:hAnsi="Garamond" w:cs="Times New Roman"/>
          <w:b/>
          <w:bCs/>
          <w:color w:val="000000"/>
          <w:sz w:val="24"/>
          <w:szCs w:val="24"/>
          <w:lang w:eastAsia="pt-BR"/>
        </w:rPr>
        <w:t>4. Das Importações do Produto em Questão</w:t>
      </w:r>
    </w:p>
    <w:p w14:paraId="72F2424D"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4.1. Evolução das importações do produto em questão, em quantidade e valor, dos últimos  5 (cinco) anos, até 2 meses antes da data de entrada da petição, segundo país de origem.</w:t>
      </w:r>
    </w:p>
    <w:p w14:paraId="52E68200"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4.2. Indique as principais firmas importadoras do seu conhecimento.</w:t>
      </w:r>
    </w:p>
    <w:p w14:paraId="701627EB"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4.3. Forneça os preços médios mensais de exportação (em US$) para o Brasil, por país de origem, nos últimos 5 anos até 2 meses antes da data da entrega da petição:</w:t>
      </w:r>
    </w:p>
    <w:p w14:paraId="1D064E1F" w14:textId="77777777" w:rsidR="003765AB" w:rsidRPr="00395593" w:rsidRDefault="003765AB" w:rsidP="003765AB">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78"/>
        <w:gridCol w:w="704"/>
        <w:gridCol w:w="709"/>
        <w:gridCol w:w="676"/>
      </w:tblGrid>
      <w:tr w:rsidR="003765AB" w:rsidRPr="0045126E" w14:paraId="17C78060"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5EFB688"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3A4CE2"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5C5CBD">
              <w:rPr>
                <w:rFonts w:ascii="Garamond" w:eastAsia="Times New Roman" w:hAnsi="Garamond" w:cs="Times New Roman"/>
                <w:b/>
                <w:bCs/>
                <w:color w:val="000000"/>
                <w:lang w:eastAsia="pt-BR"/>
              </w:rPr>
              <w:t>País A</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44CE5"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5C5CBD">
              <w:rPr>
                <w:rFonts w:ascii="Garamond" w:eastAsia="Times New Roman" w:hAnsi="Garamond" w:cs="Times New Roman"/>
                <w:b/>
                <w:bCs/>
                <w:color w:val="000000"/>
                <w:lang w:eastAsia="pt-BR"/>
              </w:rPr>
              <w:t>País B</w:t>
            </w:r>
          </w:p>
        </w:tc>
        <w:tc>
          <w:tcPr>
            <w:tcW w:w="0" w:type="auto"/>
            <w:tcBorders>
              <w:top w:val="outset" w:sz="6" w:space="0" w:color="auto"/>
              <w:left w:val="outset" w:sz="6" w:space="0" w:color="auto"/>
              <w:bottom w:val="outset" w:sz="6" w:space="0" w:color="auto"/>
              <w:right w:val="outset" w:sz="6" w:space="0" w:color="auto"/>
            </w:tcBorders>
            <w:vAlign w:val="center"/>
            <w:hideMark/>
          </w:tcPr>
          <w:p w14:paraId="3D26E261"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5C5CBD">
              <w:rPr>
                <w:rFonts w:ascii="Garamond" w:eastAsia="Times New Roman" w:hAnsi="Garamond" w:cs="Times New Roman"/>
                <w:b/>
                <w:bCs/>
                <w:color w:val="000000"/>
                <w:lang w:eastAsia="pt-BR"/>
              </w:rPr>
              <w:t>País...</w:t>
            </w:r>
          </w:p>
        </w:tc>
      </w:tr>
      <w:tr w:rsidR="003765AB" w:rsidRPr="0045126E" w14:paraId="6A10F067"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B94B43F"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Preço FOB</w:t>
            </w:r>
          </w:p>
        </w:tc>
        <w:tc>
          <w:tcPr>
            <w:tcW w:w="0" w:type="auto"/>
            <w:tcBorders>
              <w:top w:val="outset" w:sz="6" w:space="0" w:color="auto"/>
              <w:left w:val="outset" w:sz="6" w:space="0" w:color="auto"/>
              <w:bottom w:val="outset" w:sz="6" w:space="0" w:color="auto"/>
              <w:right w:val="outset" w:sz="6" w:space="0" w:color="auto"/>
            </w:tcBorders>
            <w:vAlign w:val="center"/>
            <w:hideMark/>
          </w:tcPr>
          <w:p w14:paraId="72D3B8C3"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6415EA"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A97C42"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53249A8C"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6E38626"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Frete</w:t>
            </w:r>
          </w:p>
        </w:tc>
        <w:tc>
          <w:tcPr>
            <w:tcW w:w="0" w:type="auto"/>
            <w:tcBorders>
              <w:top w:val="outset" w:sz="6" w:space="0" w:color="auto"/>
              <w:left w:val="outset" w:sz="6" w:space="0" w:color="auto"/>
              <w:bottom w:val="outset" w:sz="6" w:space="0" w:color="auto"/>
              <w:right w:val="outset" w:sz="6" w:space="0" w:color="auto"/>
            </w:tcBorders>
            <w:vAlign w:val="center"/>
            <w:hideMark/>
          </w:tcPr>
          <w:p w14:paraId="019E1469"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81A0E4"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060CC5"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53DE11B6"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E49DF2A"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Seguro</w:t>
            </w:r>
          </w:p>
        </w:tc>
        <w:tc>
          <w:tcPr>
            <w:tcW w:w="0" w:type="auto"/>
            <w:tcBorders>
              <w:top w:val="outset" w:sz="6" w:space="0" w:color="auto"/>
              <w:left w:val="outset" w:sz="6" w:space="0" w:color="auto"/>
              <w:bottom w:val="outset" w:sz="6" w:space="0" w:color="auto"/>
              <w:right w:val="outset" w:sz="6" w:space="0" w:color="auto"/>
            </w:tcBorders>
            <w:vAlign w:val="center"/>
            <w:hideMark/>
          </w:tcPr>
          <w:p w14:paraId="33031870"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CD53C9"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40A5B"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40B5787A"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95A45FE"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Preço CIF</w:t>
            </w:r>
          </w:p>
        </w:tc>
        <w:tc>
          <w:tcPr>
            <w:tcW w:w="0" w:type="auto"/>
            <w:tcBorders>
              <w:top w:val="outset" w:sz="6" w:space="0" w:color="auto"/>
              <w:left w:val="outset" w:sz="6" w:space="0" w:color="auto"/>
              <w:bottom w:val="outset" w:sz="6" w:space="0" w:color="auto"/>
              <w:right w:val="outset" w:sz="6" w:space="0" w:color="auto"/>
            </w:tcBorders>
            <w:vAlign w:val="center"/>
            <w:hideMark/>
          </w:tcPr>
          <w:p w14:paraId="673BD0B3"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C26267"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460187"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31BB5B13"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CDBB165"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Imposto de Importação</w:t>
            </w:r>
          </w:p>
        </w:tc>
        <w:tc>
          <w:tcPr>
            <w:tcW w:w="0" w:type="auto"/>
            <w:tcBorders>
              <w:top w:val="outset" w:sz="6" w:space="0" w:color="auto"/>
              <w:left w:val="outset" w:sz="6" w:space="0" w:color="auto"/>
              <w:bottom w:val="outset" w:sz="6" w:space="0" w:color="auto"/>
              <w:right w:val="outset" w:sz="6" w:space="0" w:color="auto"/>
            </w:tcBorders>
            <w:vAlign w:val="center"/>
            <w:hideMark/>
          </w:tcPr>
          <w:p w14:paraId="633137B2"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3296DB"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D23EAE"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7EABCBDE"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BA1B4C7"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Outros custos de imp.(especifique)</w:t>
            </w:r>
          </w:p>
        </w:tc>
        <w:tc>
          <w:tcPr>
            <w:tcW w:w="0" w:type="auto"/>
            <w:tcBorders>
              <w:top w:val="outset" w:sz="6" w:space="0" w:color="auto"/>
              <w:left w:val="outset" w:sz="6" w:space="0" w:color="auto"/>
              <w:bottom w:val="outset" w:sz="6" w:space="0" w:color="auto"/>
              <w:right w:val="outset" w:sz="6" w:space="0" w:color="auto"/>
            </w:tcBorders>
            <w:vAlign w:val="center"/>
            <w:hideMark/>
          </w:tcPr>
          <w:p w14:paraId="05A11E13"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0B620C"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BD211A"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204064B3"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FB8F35E"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D3066"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1664F7"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C1C23"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bl>
    <w:p w14:paraId="6163F5C6"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w:t>
      </w:r>
    </w:p>
    <w:p w14:paraId="52D8A976"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4.4. Dados do potencial de exportação para o Brasil - capacidade de produção efetiva ou potencial do(s) país(es) exportadores para o Brasil - Identifique a(s) fonte(s) utilizadas</w:t>
      </w:r>
    </w:p>
    <w:p w14:paraId="5CE9E95C"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5C5CBD">
        <w:rPr>
          <w:rFonts w:ascii="Garamond" w:eastAsia="Times New Roman" w:hAnsi="Garamond" w:cs="Times New Roman"/>
          <w:b/>
          <w:bCs/>
          <w:color w:val="000000"/>
          <w:sz w:val="24"/>
          <w:szCs w:val="24"/>
          <w:lang w:eastAsia="pt-BR"/>
        </w:rPr>
        <w:t>5. Do Prejuízo Grave ou Ameaça de Prejuízo Grave</w:t>
      </w:r>
    </w:p>
    <w:p w14:paraId="14AA51EE"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5C5CBD">
        <w:rPr>
          <w:rFonts w:ascii="Garamond" w:eastAsia="Times New Roman" w:hAnsi="Garamond" w:cs="Times New Roman"/>
          <w:b/>
          <w:bCs/>
          <w:color w:val="000000"/>
          <w:sz w:val="24"/>
          <w:szCs w:val="24"/>
          <w:lang w:eastAsia="pt-BR"/>
        </w:rPr>
        <w:t>Obs:</w:t>
      </w:r>
      <w:r w:rsidRPr="00395593">
        <w:rPr>
          <w:rFonts w:ascii="Garamond" w:eastAsia="Times New Roman" w:hAnsi="Garamond" w:cs="Times New Roman"/>
          <w:color w:val="000000"/>
          <w:sz w:val="24"/>
          <w:szCs w:val="24"/>
          <w:lang w:eastAsia="pt-BR"/>
        </w:rPr>
        <w:t> Todas as informações solicitadas neste item devem ser fornecidas anualmente para os     últimos 5 anos até 2 meses antes da data de entrada da petição.</w:t>
      </w:r>
    </w:p>
    <w:p w14:paraId="6515D354"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Os valores deverão ser apresentados em moeda corrente e em US$, devendo ser explicitadas as taxas de câmbio, bem como a metodologia utilizada na conversão.</w:t>
      </w:r>
    </w:p>
    <w:p w14:paraId="11591C61"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5.1. Dados da produção nacional do produto similar ou concorrente do importado, em qualidade e valor.</w:t>
      </w:r>
    </w:p>
    <w:p w14:paraId="22A26711"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5.1.1. Produção anual.</w:t>
      </w:r>
    </w:p>
    <w:p w14:paraId="4B58C8FF"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5.1.2. Estoque anual.</w:t>
      </w:r>
    </w:p>
    <w:p w14:paraId="2823C5F7"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5.1.3. Exportação anual.</w:t>
      </w:r>
    </w:p>
    <w:p w14:paraId="7F6E5AB6"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5.1.4. Vendas anuais para o mercado interno.</w:t>
      </w:r>
    </w:p>
    <w:p w14:paraId="479AEAFB"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5.1.5 Consumo aparente anual:</w:t>
      </w:r>
    </w:p>
    <w:p w14:paraId="1D358A8F"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Caso se trate de produto sazonal, apresentar as informações solicitadas agregadas segundo os períodos relevantes.</w:t>
      </w:r>
    </w:p>
    <w:p w14:paraId="2A114E97"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5.2. Dados do Peticionário (Informação por empresa).</w:t>
      </w:r>
    </w:p>
    <w:p w14:paraId="7500CAFF"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5.2.1. Relacione as linhas de produção da empresa, e apresente o valor do faturamento total e por linha de produção.</w:t>
      </w:r>
    </w:p>
    <w:p w14:paraId="3A78982A"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5.2.2. Em relação ao produto em questão e demais linhas relevantes de produção (isto é, aquelas que em conjunto com a produção do produto em exame representem pelo menos 70% do faturamento total da empresa), indique separadamente:</w:t>
      </w:r>
    </w:p>
    <w:p w14:paraId="3F726317"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Evolução da capacidade instalada, especificando regime operacional (1,2 ou 3 turnos) e do grau de ocupação; (No caso de produtos agrícolas, forneça a evolução da área plantada);</w:t>
      </w:r>
    </w:p>
    <w:p w14:paraId="22504F69"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Produção anual, quantidade e valor; (No caso de produtos agrícolas, informe também a quantidade de sementes plantadas e a produtividade);</w:t>
      </w:r>
    </w:p>
    <w:p w14:paraId="7E0331C1"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Vendas anuais para o mercado interno, quantidade e valor (Total e segundo os tipos de mercado);</w:t>
      </w:r>
    </w:p>
    <w:p w14:paraId="5B98A54F"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Exportação anual, quantidade e valor;</w:t>
      </w:r>
    </w:p>
    <w:p w14:paraId="0A0AACA2"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Evolução dos preços mensais no mercado interno e no mercado externo;</w:t>
      </w:r>
    </w:p>
    <w:p w14:paraId="568D69AA"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Evolução dos estoques anuais, quantidade, e</w:t>
      </w:r>
    </w:p>
    <w:p w14:paraId="0A1B7C0C"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Evolução do emprego na produção, na administração e em vendas.</w:t>
      </w:r>
    </w:p>
    <w:p w14:paraId="5B72914E"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Caso se trate de produto sazonal, apresentar as informações solicitadas agregadas segundo os períodos relevantes.</w:t>
      </w:r>
    </w:p>
    <w:p w14:paraId="553D38F9"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5.2.3. Em relação ao produto similar e/ou diretamente concorrente ao produto importado, apresente a estrutura de custo, discriminada de acordo com os itens abaixo.</w:t>
      </w:r>
    </w:p>
    <w:p w14:paraId="28BF87EB" w14:textId="77777777" w:rsidR="003765AB" w:rsidRPr="00395593" w:rsidRDefault="003765AB" w:rsidP="003765AB">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82"/>
        <w:gridCol w:w="1981"/>
        <w:gridCol w:w="1474"/>
        <w:gridCol w:w="1153"/>
      </w:tblGrid>
      <w:tr w:rsidR="003765AB" w:rsidRPr="0045126E" w14:paraId="4BF4FF59"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6CE0595"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B8FC59"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5C5CBD">
              <w:rPr>
                <w:rFonts w:ascii="Garamond" w:eastAsia="Times New Roman" w:hAnsi="Garamond" w:cs="Times New Roman"/>
                <w:b/>
                <w:bCs/>
                <w:color w:val="000000"/>
                <w:lang w:eastAsia="pt-BR"/>
              </w:rPr>
              <w:t>Coeficiente</w:t>
            </w:r>
            <w:r w:rsidRPr="00395593">
              <w:rPr>
                <w:rFonts w:ascii="Garamond" w:eastAsia="Times New Roman" w:hAnsi="Garamond" w:cs="Times New Roman"/>
                <w:color w:val="000000"/>
                <w:lang w:eastAsia="pt-BR"/>
              </w:rPr>
              <w:t> </w:t>
            </w:r>
            <w:r w:rsidRPr="005C5CBD">
              <w:rPr>
                <w:rFonts w:ascii="Garamond" w:eastAsia="Times New Roman" w:hAnsi="Garamond" w:cs="Times New Roman"/>
                <w:b/>
                <w:bCs/>
                <w:color w:val="000000"/>
                <w:lang w:eastAsia="pt-BR"/>
              </w:rPr>
              <w:t>Técnico</w:t>
            </w:r>
          </w:p>
        </w:tc>
        <w:tc>
          <w:tcPr>
            <w:tcW w:w="0" w:type="auto"/>
            <w:tcBorders>
              <w:top w:val="outset" w:sz="6" w:space="0" w:color="auto"/>
              <w:left w:val="outset" w:sz="6" w:space="0" w:color="auto"/>
              <w:bottom w:val="outset" w:sz="6" w:space="0" w:color="auto"/>
              <w:right w:val="outset" w:sz="6" w:space="0" w:color="auto"/>
            </w:tcBorders>
            <w:vAlign w:val="center"/>
            <w:hideMark/>
          </w:tcPr>
          <w:p w14:paraId="2BB5A64B"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5C5CBD">
              <w:rPr>
                <w:rFonts w:ascii="Garamond" w:eastAsia="Times New Roman" w:hAnsi="Garamond" w:cs="Times New Roman"/>
                <w:b/>
                <w:bCs/>
                <w:color w:val="000000"/>
                <w:lang w:eastAsia="pt-BR"/>
              </w:rPr>
              <w:t>Preço</w:t>
            </w:r>
            <w:r w:rsidRPr="00395593">
              <w:rPr>
                <w:rFonts w:ascii="Garamond" w:eastAsia="Times New Roman" w:hAnsi="Garamond" w:cs="Times New Roman"/>
                <w:color w:val="000000"/>
                <w:lang w:eastAsia="pt-BR"/>
              </w:rPr>
              <w:t> </w:t>
            </w:r>
            <w:r w:rsidRPr="005C5CBD">
              <w:rPr>
                <w:rFonts w:ascii="Garamond" w:eastAsia="Times New Roman" w:hAnsi="Garamond" w:cs="Times New Roman"/>
                <w:b/>
                <w:bCs/>
                <w:color w:val="000000"/>
                <w:lang w:eastAsia="pt-BR"/>
              </w:rPr>
              <w:t>Unitário</w:t>
            </w:r>
          </w:p>
        </w:tc>
        <w:tc>
          <w:tcPr>
            <w:tcW w:w="0" w:type="auto"/>
            <w:tcBorders>
              <w:top w:val="outset" w:sz="6" w:space="0" w:color="auto"/>
              <w:left w:val="outset" w:sz="6" w:space="0" w:color="auto"/>
              <w:bottom w:val="outset" w:sz="6" w:space="0" w:color="auto"/>
              <w:right w:val="outset" w:sz="6" w:space="0" w:color="auto"/>
            </w:tcBorders>
            <w:vAlign w:val="center"/>
            <w:hideMark/>
          </w:tcPr>
          <w:p w14:paraId="72B95B6B"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5C5CBD">
              <w:rPr>
                <w:rFonts w:ascii="Garamond" w:eastAsia="Times New Roman" w:hAnsi="Garamond" w:cs="Times New Roman"/>
                <w:b/>
                <w:bCs/>
                <w:color w:val="000000"/>
                <w:lang w:eastAsia="pt-BR"/>
              </w:rPr>
              <w:t>CustoTotal</w:t>
            </w:r>
          </w:p>
        </w:tc>
      </w:tr>
      <w:tr w:rsidR="003765AB" w:rsidRPr="0045126E" w14:paraId="0FA9CAD7"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0F4CD54"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a) Matéria prima (especifique)</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5DABF"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5592F3"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F34BA6"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143DADF9"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FD76208"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b) Mão-de-obra direta</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8DB80"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696417"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318EBC"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318C4083"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D47DDAF"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c) Outros Custos (especifique)</w:t>
            </w:r>
          </w:p>
        </w:tc>
        <w:tc>
          <w:tcPr>
            <w:tcW w:w="0" w:type="auto"/>
            <w:tcBorders>
              <w:top w:val="outset" w:sz="6" w:space="0" w:color="auto"/>
              <w:left w:val="outset" w:sz="6" w:space="0" w:color="auto"/>
              <w:bottom w:val="outset" w:sz="6" w:space="0" w:color="auto"/>
              <w:right w:val="outset" w:sz="6" w:space="0" w:color="auto"/>
            </w:tcBorders>
            <w:vAlign w:val="center"/>
            <w:hideMark/>
          </w:tcPr>
          <w:p w14:paraId="69104D33"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6E9A6F"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27664B"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7B21D15E"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C939F67"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d)Total Custo de Produção (A+B+C)</w:t>
            </w:r>
          </w:p>
        </w:tc>
        <w:tc>
          <w:tcPr>
            <w:tcW w:w="0" w:type="auto"/>
            <w:tcBorders>
              <w:top w:val="outset" w:sz="6" w:space="0" w:color="auto"/>
              <w:left w:val="outset" w:sz="6" w:space="0" w:color="auto"/>
              <w:bottom w:val="outset" w:sz="6" w:space="0" w:color="auto"/>
              <w:right w:val="outset" w:sz="6" w:space="0" w:color="auto"/>
            </w:tcBorders>
            <w:vAlign w:val="center"/>
            <w:hideMark/>
          </w:tcPr>
          <w:p w14:paraId="76572CFF"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663923"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AAA8FD"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23087FF1"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B69ECB9"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e)Despesas Administrativas (especifique)</w:t>
            </w:r>
          </w:p>
        </w:tc>
        <w:tc>
          <w:tcPr>
            <w:tcW w:w="0" w:type="auto"/>
            <w:tcBorders>
              <w:top w:val="outset" w:sz="6" w:space="0" w:color="auto"/>
              <w:left w:val="outset" w:sz="6" w:space="0" w:color="auto"/>
              <w:bottom w:val="outset" w:sz="6" w:space="0" w:color="auto"/>
              <w:right w:val="outset" w:sz="6" w:space="0" w:color="auto"/>
            </w:tcBorders>
            <w:vAlign w:val="center"/>
            <w:hideMark/>
          </w:tcPr>
          <w:p w14:paraId="09AB4C81"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A2956F"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4B6903"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4D90C495"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821111A"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f) Despesas Comerciais (especifique)</w:t>
            </w:r>
          </w:p>
        </w:tc>
        <w:tc>
          <w:tcPr>
            <w:tcW w:w="0" w:type="auto"/>
            <w:tcBorders>
              <w:top w:val="outset" w:sz="6" w:space="0" w:color="auto"/>
              <w:left w:val="outset" w:sz="6" w:space="0" w:color="auto"/>
              <w:bottom w:val="outset" w:sz="6" w:space="0" w:color="auto"/>
              <w:right w:val="outset" w:sz="6" w:space="0" w:color="auto"/>
            </w:tcBorders>
            <w:vAlign w:val="center"/>
            <w:hideMark/>
          </w:tcPr>
          <w:p w14:paraId="4799D009"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CECEF2"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E6066A"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654CBACD"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5D26B30"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g) Custo Total (D+E+F)</w:t>
            </w:r>
          </w:p>
        </w:tc>
        <w:tc>
          <w:tcPr>
            <w:tcW w:w="0" w:type="auto"/>
            <w:tcBorders>
              <w:top w:val="outset" w:sz="6" w:space="0" w:color="auto"/>
              <w:left w:val="outset" w:sz="6" w:space="0" w:color="auto"/>
              <w:bottom w:val="outset" w:sz="6" w:space="0" w:color="auto"/>
              <w:right w:val="outset" w:sz="6" w:space="0" w:color="auto"/>
            </w:tcBorders>
            <w:vAlign w:val="center"/>
            <w:hideMark/>
          </w:tcPr>
          <w:p w14:paraId="3466DFDD"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A6E970"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566AD1"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09AE3D2F"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BA7335F"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h) Lucro</w:t>
            </w:r>
          </w:p>
        </w:tc>
        <w:tc>
          <w:tcPr>
            <w:tcW w:w="0" w:type="auto"/>
            <w:tcBorders>
              <w:top w:val="outset" w:sz="6" w:space="0" w:color="auto"/>
              <w:left w:val="outset" w:sz="6" w:space="0" w:color="auto"/>
              <w:bottom w:val="outset" w:sz="6" w:space="0" w:color="auto"/>
              <w:right w:val="outset" w:sz="6" w:space="0" w:color="auto"/>
            </w:tcBorders>
            <w:vAlign w:val="center"/>
            <w:hideMark/>
          </w:tcPr>
          <w:p w14:paraId="686AA8BD"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D843B5"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AA69EC"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7BDAEF13"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C6DDB42"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i) Preço " ex-fábrica" (G+H)</w:t>
            </w:r>
          </w:p>
        </w:tc>
        <w:tc>
          <w:tcPr>
            <w:tcW w:w="0" w:type="auto"/>
            <w:tcBorders>
              <w:top w:val="outset" w:sz="6" w:space="0" w:color="auto"/>
              <w:left w:val="outset" w:sz="6" w:space="0" w:color="auto"/>
              <w:bottom w:val="outset" w:sz="6" w:space="0" w:color="auto"/>
              <w:right w:val="outset" w:sz="6" w:space="0" w:color="auto"/>
            </w:tcBorders>
            <w:vAlign w:val="center"/>
            <w:hideMark/>
          </w:tcPr>
          <w:p w14:paraId="1D81731B"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A299DAA"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9247D7"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bl>
    <w:p w14:paraId="1912A25E"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w:t>
      </w:r>
    </w:p>
    <w:p w14:paraId="7AEBAA5D"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5.2.4. Em relação ao produto em questão, apresente:</w:t>
      </w:r>
    </w:p>
    <w:p w14:paraId="3DF3B728"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a) a rota tecnológica de produção;</w:t>
      </w:r>
    </w:p>
    <w:p w14:paraId="49C65FA9"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b) diferenças na tecnologia de produção utilizada pela empresa e a(s) utilizada(s) na produção do produto importado.</w:t>
      </w:r>
    </w:p>
    <w:p w14:paraId="5A509FF9"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5.2.5. Forneça as demonstrações financeiras e o balanço patrimonial auditado.</w:t>
      </w:r>
    </w:p>
    <w:p w14:paraId="6215FB88"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5.2.6. Apresente o demonstrativo de resultados da linha de produção do produto em questão e das demais linhas de produção relevante.</w:t>
      </w:r>
    </w:p>
    <w:p w14:paraId="005F75B7"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5.2.7. Evolução dos empréstimos tomados pela empresa, discriminando-os segundo as fontes (interno ou externo, público ou privado)</w:t>
      </w:r>
    </w:p>
    <w:p w14:paraId="693390C5"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5.2.8. Apresente os investimentos realizados pela empresa de acordo com o quadro abaixo:</w:t>
      </w:r>
    </w:p>
    <w:p w14:paraId="7A45C49C" w14:textId="77777777" w:rsidR="003765AB" w:rsidRPr="00395593" w:rsidRDefault="003765AB" w:rsidP="003765AB">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bl>
      <w:tblPr>
        <w:tblW w:w="951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5"/>
        <w:gridCol w:w="1020"/>
        <w:gridCol w:w="855"/>
        <w:gridCol w:w="960"/>
        <w:gridCol w:w="1050"/>
        <w:gridCol w:w="2460"/>
      </w:tblGrid>
      <w:tr w:rsidR="003765AB" w:rsidRPr="0045126E" w14:paraId="3F599CA1"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194843D"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5C5CBD">
              <w:rPr>
                <w:rFonts w:ascii="Garamond" w:eastAsia="Times New Roman" w:hAnsi="Garamond" w:cs="Times New Roman"/>
                <w:b/>
                <w:bCs/>
                <w:color w:val="000000"/>
                <w:lang w:eastAsia="pt-BR"/>
              </w:rPr>
              <w:t>Itens</w:t>
            </w:r>
          </w:p>
        </w:tc>
        <w:tc>
          <w:tcPr>
            <w:tcW w:w="1020" w:type="dxa"/>
            <w:tcBorders>
              <w:top w:val="outset" w:sz="6" w:space="0" w:color="auto"/>
              <w:left w:val="outset" w:sz="6" w:space="0" w:color="auto"/>
              <w:bottom w:val="outset" w:sz="6" w:space="0" w:color="auto"/>
              <w:right w:val="outset" w:sz="6" w:space="0" w:color="auto"/>
            </w:tcBorders>
            <w:vAlign w:val="center"/>
            <w:hideMark/>
          </w:tcPr>
          <w:p w14:paraId="19A203D6"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5C5CBD">
              <w:rPr>
                <w:rFonts w:ascii="Garamond" w:eastAsia="Times New Roman" w:hAnsi="Garamond" w:cs="Times New Roman"/>
                <w:b/>
                <w:bCs/>
                <w:color w:val="000000"/>
                <w:lang w:eastAsia="pt-BR"/>
              </w:rPr>
              <w:t>Total</w:t>
            </w:r>
          </w:p>
        </w:tc>
        <w:tc>
          <w:tcPr>
            <w:tcW w:w="855" w:type="dxa"/>
            <w:tcBorders>
              <w:top w:val="outset" w:sz="6" w:space="0" w:color="auto"/>
              <w:left w:val="outset" w:sz="6" w:space="0" w:color="auto"/>
              <w:bottom w:val="outset" w:sz="6" w:space="0" w:color="auto"/>
              <w:right w:val="outset" w:sz="6" w:space="0" w:color="auto"/>
            </w:tcBorders>
            <w:vAlign w:val="center"/>
            <w:hideMark/>
          </w:tcPr>
          <w:p w14:paraId="7779DCE4"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5C5CBD">
              <w:rPr>
                <w:rFonts w:ascii="Garamond" w:eastAsia="Times New Roman" w:hAnsi="Garamond" w:cs="Times New Roman"/>
                <w:b/>
                <w:bCs/>
                <w:color w:val="000000"/>
                <w:lang w:eastAsia="pt-BR"/>
              </w:rPr>
              <w:t>A</w:t>
            </w:r>
          </w:p>
        </w:tc>
        <w:tc>
          <w:tcPr>
            <w:tcW w:w="960" w:type="dxa"/>
            <w:tcBorders>
              <w:top w:val="outset" w:sz="6" w:space="0" w:color="auto"/>
              <w:left w:val="outset" w:sz="6" w:space="0" w:color="auto"/>
              <w:bottom w:val="outset" w:sz="6" w:space="0" w:color="auto"/>
              <w:right w:val="outset" w:sz="6" w:space="0" w:color="auto"/>
            </w:tcBorders>
            <w:vAlign w:val="center"/>
            <w:hideMark/>
          </w:tcPr>
          <w:p w14:paraId="191C00DB"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5C5CBD">
              <w:rPr>
                <w:rFonts w:ascii="Garamond" w:eastAsia="Times New Roman" w:hAnsi="Garamond" w:cs="Times New Roman"/>
                <w:b/>
                <w:bCs/>
                <w:color w:val="000000"/>
                <w:lang w:eastAsia="pt-BR"/>
              </w:rPr>
              <w:t>B</w:t>
            </w:r>
          </w:p>
        </w:tc>
        <w:tc>
          <w:tcPr>
            <w:tcW w:w="1050" w:type="dxa"/>
            <w:tcBorders>
              <w:top w:val="outset" w:sz="6" w:space="0" w:color="auto"/>
              <w:left w:val="outset" w:sz="6" w:space="0" w:color="auto"/>
              <w:bottom w:val="outset" w:sz="6" w:space="0" w:color="auto"/>
              <w:right w:val="outset" w:sz="6" w:space="0" w:color="auto"/>
            </w:tcBorders>
            <w:vAlign w:val="center"/>
            <w:hideMark/>
          </w:tcPr>
          <w:p w14:paraId="625985EF"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5C5CBD">
              <w:rPr>
                <w:rFonts w:ascii="Garamond" w:eastAsia="Times New Roman" w:hAnsi="Garamond" w:cs="Times New Roman"/>
                <w:b/>
                <w:bCs/>
                <w:color w:val="000000"/>
                <w:lang w:eastAsia="pt-BR"/>
              </w:rPr>
              <w:t>C</w:t>
            </w:r>
          </w:p>
        </w:tc>
        <w:tc>
          <w:tcPr>
            <w:tcW w:w="2460" w:type="dxa"/>
            <w:tcBorders>
              <w:top w:val="outset" w:sz="6" w:space="0" w:color="auto"/>
              <w:left w:val="outset" w:sz="6" w:space="0" w:color="auto"/>
              <w:bottom w:val="outset" w:sz="6" w:space="0" w:color="auto"/>
              <w:right w:val="outset" w:sz="6" w:space="0" w:color="auto"/>
            </w:tcBorders>
            <w:vAlign w:val="center"/>
            <w:hideMark/>
          </w:tcPr>
          <w:p w14:paraId="1F73FA64"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5C5CBD">
              <w:rPr>
                <w:rFonts w:ascii="Garamond" w:eastAsia="Times New Roman" w:hAnsi="Garamond" w:cs="Times New Roman"/>
                <w:b/>
                <w:bCs/>
                <w:color w:val="000000"/>
                <w:lang w:eastAsia="pt-BR"/>
              </w:rPr>
              <w:t>Produtos</w:t>
            </w:r>
            <w:r w:rsidRPr="00395593">
              <w:rPr>
                <w:rFonts w:ascii="Garamond" w:eastAsia="Times New Roman" w:hAnsi="Garamond" w:cs="Times New Roman"/>
                <w:color w:val="000000"/>
                <w:lang w:eastAsia="pt-BR"/>
              </w:rPr>
              <w:t> </w:t>
            </w:r>
            <w:r w:rsidRPr="005C5CBD">
              <w:rPr>
                <w:rFonts w:ascii="Garamond" w:eastAsia="Times New Roman" w:hAnsi="Garamond" w:cs="Times New Roman"/>
                <w:b/>
                <w:bCs/>
                <w:color w:val="000000"/>
                <w:lang w:eastAsia="pt-BR"/>
              </w:rPr>
              <w:t>em</w:t>
            </w:r>
            <w:r w:rsidRPr="00395593">
              <w:rPr>
                <w:rFonts w:ascii="Garamond" w:eastAsia="Times New Roman" w:hAnsi="Garamond" w:cs="Times New Roman"/>
                <w:color w:val="000000"/>
                <w:lang w:eastAsia="pt-BR"/>
              </w:rPr>
              <w:t> </w:t>
            </w:r>
            <w:r w:rsidRPr="005C5CBD">
              <w:rPr>
                <w:rFonts w:ascii="Garamond" w:eastAsia="Times New Roman" w:hAnsi="Garamond" w:cs="Times New Roman"/>
                <w:b/>
                <w:bCs/>
                <w:color w:val="000000"/>
                <w:lang w:eastAsia="pt-BR"/>
              </w:rPr>
              <w:t>questão</w:t>
            </w:r>
          </w:p>
        </w:tc>
      </w:tr>
      <w:tr w:rsidR="003765AB" w:rsidRPr="0045126E" w14:paraId="0EE30F26"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BDA9F35"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1) Treinamento de Pessoal</w:t>
            </w:r>
          </w:p>
        </w:tc>
        <w:tc>
          <w:tcPr>
            <w:tcW w:w="1020" w:type="dxa"/>
            <w:tcBorders>
              <w:top w:val="outset" w:sz="6" w:space="0" w:color="auto"/>
              <w:left w:val="outset" w:sz="6" w:space="0" w:color="auto"/>
              <w:bottom w:val="outset" w:sz="6" w:space="0" w:color="auto"/>
              <w:right w:val="outset" w:sz="6" w:space="0" w:color="auto"/>
            </w:tcBorders>
            <w:vAlign w:val="center"/>
            <w:hideMark/>
          </w:tcPr>
          <w:p w14:paraId="3D1AA279"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855" w:type="dxa"/>
            <w:tcBorders>
              <w:top w:val="outset" w:sz="6" w:space="0" w:color="auto"/>
              <w:left w:val="outset" w:sz="6" w:space="0" w:color="auto"/>
              <w:bottom w:val="outset" w:sz="6" w:space="0" w:color="auto"/>
              <w:right w:val="outset" w:sz="6" w:space="0" w:color="auto"/>
            </w:tcBorders>
            <w:vAlign w:val="center"/>
            <w:hideMark/>
          </w:tcPr>
          <w:p w14:paraId="41D7DD4A"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960" w:type="dxa"/>
            <w:tcBorders>
              <w:top w:val="outset" w:sz="6" w:space="0" w:color="auto"/>
              <w:left w:val="outset" w:sz="6" w:space="0" w:color="auto"/>
              <w:bottom w:val="outset" w:sz="6" w:space="0" w:color="auto"/>
              <w:right w:val="outset" w:sz="6" w:space="0" w:color="auto"/>
            </w:tcBorders>
            <w:vAlign w:val="center"/>
            <w:hideMark/>
          </w:tcPr>
          <w:p w14:paraId="115137DA"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14:paraId="73D8631C"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2460" w:type="dxa"/>
            <w:tcBorders>
              <w:top w:val="outset" w:sz="6" w:space="0" w:color="auto"/>
              <w:left w:val="outset" w:sz="6" w:space="0" w:color="auto"/>
              <w:bottom w:val="outset" w:sz="6" w:space="0" w:color="auto"/>
              <w:right w:val="outset" w:sz="6" w:space="0" w:color="auto"/>
            </w:tcBorders>
            <w:vAlign w:val="center"/>
            <w:hideMark/>
          </w:tcPr>
          <w:p w14:paraId="4F5F1CDC"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4198A161"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7C8D582"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2) Gastos em manutenção</w:t>
            </w:r>
          </w:p>
        </w:tc>
        <w:tc>
          <w:tcPr>
            <w:tcW w:w="1020" w:type="dxa"/>
            <w:tcBorders>
              <w:top w:val="outset" w:sz="6" w:space="0" w:color="auto"/>
              <w:left w:val="outset" w:sz="6" w:space="0" w:color="auto"/>
              <w:bottom w:val="outset" w:sz="6" w:space="0" w:color="auto"/>
              <w:right w:val="outset" w:sz="6" w:space="0" w:color="auto"/>
            </w:tcBorders>
            <w:vAlign w:val="center"/>
            <w:hideMark/>
          </w:tcPr>
          <w:p w14:paraId="2EB3B89D"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855" w:type="dxa"/>
            <w:tcBorders>
              <w:top w:val="outset" w:sz="6" w:space="0" w:color="auto"/>
              <w:left w:val="outset" w:sz="6" w:space="0" w:color="auto"/>
              <w:bottom w:val="outset" w:sz="6" w:space="0" w:color="auto"/>
              <w:right w:val="outset" w:sz="6" w:space="0" w:color="auto"/>
            </w:tcBorders>
            <w:vAlign w:val="center"/>
            <w:hideMark/>
          </w:tcPr>
          <w:p w14:paraId="3FBE3773"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960" w:type="dxa"/>
            <w:tcBorders>
              <w:top w:val="outset" w:sz="6" w:space="0" w:color="auto"/>
              <w:left w:val="outset" w:sz="6" w:space="0" w:color="auto"/>
              <w:bottom w:val="outset" w:sz="6" w:space="0" w:color="auto"/>
              <w:right w:val="outset" w:sz="6" w:space="0" w:color="auto"/>
            </w:tcBorders>
            <w:vAlign w:val="center"/>
            <w:hideMark/>
          </w:tcPr>
          <w:p w14:paraId="7F621D80"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14:paraId="7212B8D3"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2460" w:type="dxa"/>
            <w:tcBorders>
              <w:top w:val="outset" w:sz="6" w:space="0" w:color="auto"/>
              <w:left w:val="outset" w:sz="6" w:space="0" w:color="auto"/>
              <w:bottom w:val="outset" w:sz="6" w:space="0" w:color="auto"/>
              <w:right w:val="outset" w:sz="6" w:space="0" w:color="auto"/>
            </w:tcBorders>
            <w:vAlign w:val="center"/>
            <w:hideMark/>
          </w:tcPr>
          <w:p w14:paraId="53496446"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53BB5B37"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773D8D0"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3) Ampliação capacidade</w:t>
            </w:r>
          </w:p>
        </w:tc>
        <w:tc>
          <w:tcPr>
            <w:tcW w:w="1020" w:type="dxa"/>
            <w:tcBorders>
              <w:top w:val="outset" w:sz="6" w:space="0" w:color="auto"/>
              <w:left w:val="outset" w:sz="6" w:space="0" w:color="auto"/>
              <w:bottom w:val="outset" w:sz="6" w:space="0" w:color="auto"/>
              <w:right w:val="outset" w:sz="6" w:space="0" w:color="auto"/>
            </w:tcBorders>
            <w:vAlign w:val="center"/>
            <w:hideMark/>
          </w:tcPr>
          <w:p w14:paraId="52515D7B"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855" w:type="dxa"/>
            <w:tcBorders>
              <w:top w:val="outset" w:sz="6" w:space="0" w:color="auto"/>
              <w:left w:val="outset" w:sz="6" w:space="0" w:color="auto"/>
              <w:bottom w:val="outset" w:sz="6" w:space="0" w:color="auto"/>
              <w:right w:val="outset" w:sz="6" w:space="0" w:color="auto"/>
            </w:tcBorders>
            <w:vAlign w:val="center"/>
            <w:hideMark/>
          </w:tcPr>
          <w:p w14:paraId="167C212F"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960" w:type="dxa"/>
            <w:tcBorders>
              <w:top w:val="outset" w:sz="6" w:space="0" w:color="auto"/>
              <w:left w:val="outset" w:sz="6" w:space="0" w:color="auto"/>
              <w:bottom w:val="outset" w:sz="6" w:space="0" w:color="auto"/>
              <w:right w:val="outset" w:sz="6" w:space="0" w:color="auto"/>
            </w:tcBorders>
            <w:vAlign w:val="center"/>
            <w:hideMark/>
          </w:tcPr>
          <w:p w14:paraId="3311D853"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14:paraId="4EA4B03C"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2460" w:type="dxa"/>
            <w:tcBorders>
              <w:top w:val="outset" w:sz="6" w:space="0" w:color="auto"/>
              <w:left w:val="outset" w:sz="6" w:space="0" w:color="auto"/>
              <w:bottom w:val="outset" w:sz="6" w:space="0" w:color="auto"/>
              <w:right w:val="outset" w:sz="6" w:space="0" w:color="auto"/>
            </w:tcBorders>
            <w:vAlign w:val="center"/>
            <w:hideMark/>
          </w:tcPr>
          <w:p w14:paraId="1F09BD99"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17B070E7"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5A73581"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4) Melhoria tecnológica</w:t>
            </w:r>
          </w:p>
        </w:tc>
        <w:tc>
          <w:tcPr>
            <w:tcW w:w="1020" w:type="dxa"/>
            <w:tcBorders>
              <w:top w:val="outset" w:sz="6" w:space="0" w:color="auto"/>
              <w:left w:val="outset" w:sz="6" w:space="0" w:color="auto"/>
              <w:bottom w:val="outset" w:sz="6" w:space="0" w:color="auto"/>
              <w:right w:val="outset" w:sz="6" w:space="0" w:color="auto"/>
            </w:tcBorders>
            <w:vAlign w:val="center"/>
            <w:hideMark/>
          </w:tcPr>
          <w:p w14:paraId="0ABC7E9E"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855" w:type="dxa"/>
            <w:tcBorders>
              <w:top w:val="outset" w:sz="6" w:space="0" w:color="auto"/>
              <w:left w:val="outset" w:sz="6" w:space="0" w:color="auto"/>
              <w:bottom w:val="outset" w:sz="6" w:space="0" w:color="auto"/>
              <w:right w:val="outset" w:sz="6" w:space="0" w:color="auto"/>
            </w:tcBorders>
            <w:vAlign w:val="center"/>
            <w:hideMark/>
          </w:tcPr>
          <w:p w14:paraId="7C522453"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960" w:type="dxa"/>
            <w:tcBorders>
              <w:top w:val="outset" w:sz="6" w:space="0" w:color="auto"/>
              <w:left w:val="outset" w:sz="6" w:space="0" w:color="auto"/>
              <w:bottom w:val="outset" w:sz="6" w:space="0" w:color="auto"/>
              <w:right w:val="outset" w:sz="6" w:space="0" w:color="auto"/>
            </w:tcBorders>
            <w:vAlign w:val="center"/>
            <w:hideMark/>
          </w:tcPr>
          <w:p w14:paraId="76487571"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14:paraId="54CE6277"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2460" w:type="dxa"/>
            <w:tcBorders>
              <w:top w:val="outset" w:sz="6" w:space="0" w:color="auto"/>
              <w:left w:val="outset" w:sz="6" w:space="0" w:color="auto"/>
              <w:bottom w:val="outset" w:sz="6" w:space="0" w:color="auto"/>
              <w:right w:val="outset" w:sz="6" w:space="0" w:color="auto"/>
            </w:tcBorders>
            <w:vAlign w:val="center"/>
            <w:hideMark/>
          </w:tcPr>
          <w:p w14:paraId="0CA45729"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7BCAFAF0"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6E7F973"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Produto</w:t>
            </w:r>
          </w:p>
        </w:tc>
        <w:tc>
          <w:tcPr>
            <w:tcW w:w="1020" w:type="dxa"/>
            <w:tcBorders>
              <w:top w:val="outset" w:sz="6" w:space="0" w:color="auto"/>
              <w:left w:val="outset" w:sz="6" w:space="0" w:color="auto"/>
              <w:bottom w:val="outset" w:sz="6" w:space="0" w:color="auto"/>
              <w:right w:val="outset" w:sz="6" w:space="0" w:color="auto"/>
            </w:tcBorders>
            <w:vAlign w:val="center"/>
            <w:hideMark/>
          </w:tcPr>
          <w:p w14:paraId="6C599F12"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855" w:type="dxa"/>
            <w:tcBorders>
              <w:top w:val="outset" w:sz="6" w:space="0" w:color="auto"/>
              <w:left w:val="outset" w:sz="6" w:space="0" w:color="auto"/>
              <w:bottom w:val="outset" w:sz="6" w:space="0" w:color="auto"/>
              <w:right w:val="outset" w:sz="6" w:space="0" w:color="auto"/>
            </w:tcBorders>
            <w:vAlign w:val="center"/>
            <w:hideMark/>
          </w:tcPr>
          <w:p w14:paraId="45385DC4"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960" w:type="dxa"/>
            <w:tcBorders>
              <w:top w:val="outset" w:sz="6" w:space="0" w:color="auto"/>
              <w:left w:val="outset" w:sz="6" w:space="0" w:color="auto"/>
              <w:bottom w:val="outset" w:sz="6" w:space="0" w:color="auto"/>
              <w:right w:val="outset" w:sz="6" w:space="0" w:color="auto"/>
            </w:tcBorders>
            <w:vAlign w:val="center"/>
            <w:hideMark/>
          </w:tcPr>
          <w:p w14:paraId="1E71F528"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14:paraId="14D6C7EA"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2460" w:type="dxa"/>
            <w:tcBorders>
              <w:top w:val="outset" w:sz="6" w:space="0" w:color="auto"/>
              <w:left w:val="outset" w:sz="6" w:space="0" w:color="auto"/>
              <w:bottom w:val="outset" w:sz="6" w:space="0" w:color="auto"/>
              <w:right w:val="outset" w:sz="6" w:space="0" w:color="auto"/>
            </w:tcBorders>
            <w:vAlign w:val="center"/>
            <w:hideMark/>
          </w:tcPr>
          <w:p w14:paraId="0EC02152"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16C50847"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509B336"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Aquisição de tecnologia</w:t>
            </w:r>
          </w:p>
        </w:tc>
        <w:tc>
          <w:tcPr>
            <w:tcW w:w="1020" w:type="dxa"/>
            <w:tcBorders>
              <w:top w:val="outset" w:sz="6" w:space="0" w:color="auto"/>
              <w:left w:val="outset" w:sz="6" w:space="0" w:color="auto"/>
              <w:bottom w:val="outset" w:sz="6" w:space="0" w:color="auto"/>
              <w:right w:val="outset" w:sz="6" w:space="0" w:color="auto"/>
            </w:tcBorders>
            <w:vAlign w:val="center"/>
            <w:hideMark/>
          </w:tcPr>
          <w:p w14:paraId="502CF95B"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855" w:type="dxa"/>
            <w:tcBorders>
              <w:top w:val="outset" w:sz="6" w:space="0" w:color="auto"/>
              <w:left w:val="outset" w:sz="6" w:space="0" w:color="auto"/>
              <w:bottom w:val="outset" w:sz="6" w:space="0" w:color="auto"/>
              <w:right w:val="outset" w:sz="6" w:space="0" w:color="auto"/>
            </w:tcBorders>
            <w:vAlign w:val="center"/>
            <w:hideMark/>
          </w:tcPr>
          <w:p w14:paraId="6866F09F"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960" w:type="dxa"/>
            <w:tcBorders>
              <w:top w:val="outset" w:sz="6" w:space="0" w:color="auto"/>
              <w:left w:val="outset" w:sz="6" w:space="0" w:color="auto"/>
              <w:bottom w:val="outset" w:sz="6" w:space="0" w:color="auto"/>
              <w:right w:val="outset" w:sz="6" w:space="0" w:color="auto"/>
            </w:tcBorders>
            <w:vAlign w:val="center"/>
            <w:hideMark/>
          </w:tcPr>
          <w:p w14:paraId="5029F86D"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14:paraId="752C4051"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2460" w:type="dxa"/>
            <w:tcBorders>
              <w:top w:val="outset" w:sz="6" w:space="0" w:color="auto"/>
              <w:left w:val="outset" w:sz="6" w:space="0" w:color="auto"/>
              <w:bottom w:val="outset" w:sz="6" w:space="0" w:color="auto"/>
              <w:right w:val="outset" w:sz="6" w:space="0" w:color="auto"/>
            </w:tcBorders>
            <w:vAlign w:val="center"/>
            <w:hideMark/>
          </w:tcPr>
          <w:p w14:paraId="3DAC51A5"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2FBCEC04"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FDB3D66"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Desenvolvimento de tecnologia</w:t>
            </w:r>
          </w:p>
        </w:tc>
        <w:tc>
          <w:tcPr>
            <w:tcW w:w="1020" w:type="dxa"/>
            <w:tcBorders>
              <w:top w:val="outset" w:sz="6" w:space="0" w:color="auto"/>
              <w:left w:val="outset" w:sz="6" w:space="0" w:color="auto"/>
              <w:bottom w:val="outset" w:sz="6" w:space="0" w:color="auto"/>
              <w:right w:val="outset" w:sz="6" w:space="0" w:color="auto"/>
            </w:tcBorders>
            <w:vAlign w:val="center"/>
            <w:hideMark/>
          </w:tcPr>
          <w:p w14:paraId="38CF2EF9"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855" w:type="dxa"/>
            <w:tcBorders>
              <w:top w:val="outset" w:sz="6" w:space="0" w:color="auto"/>
              <w:left w:val="outset" w:sz="6" w:space="0" w:color="auto"/>
              <w:bottom w:val="outset" w:sz="6" w:space="0" w:color="auto"/>
              <w:right w:val="outset" w:sz="6" w:space="0" w:color="auto"/>
            </w:tcBorders>
            <w:vAlign w:val="center"/>
            <w:hideMark/>
          </w:tcPr>
          <w:p w14:paraId="7F49D3C8"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960" w:type="dxa"/>
            <w:tcBorders>
              <w:top w:val="outset" w:sz="6" w:space="0" w:color="auto"/>
              <w:left w:val="outset" w:sz="6" w:space="0" w:color="auto"/>
              <w:bottom w:val="outset" w:sz="6" w:space="0" w:color="auto"/>
              <w:right w:val="outset" w:sz="6" w:space="0" w:color="auto"/>
            </w:tcBorders>
            <w:vAlign w:val="center"/>
            <w:hideMark/>
          </w:tcPr>
          <w:p w14:paraId="4E4E8AE1"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14:paraId="3632B0E1"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2460" w:type="dxa"/>
            <w:tcBorders>
              <w:top w:val="outset" w:sz="6" w:space="0" w:color="auto"/>
              <w:left w:val="outset" w:sz="6" w:space="0" w:color="auto"/>
              <w:bottom w:val="outset" w:sz="6" w:space="0" w:color="auto"/>
              <w:right w:val="outset" w:sz="6" w:space="0" w:color="auto"/>
            </w:tcBorders>
            <w:vAlign w:val="center"/>
            <w:hideMark/>
          </w:tcPr>
          <w:p w14:paraId="51B88B18"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18E04A67"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DB71630"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Processo</w:t>
            </w:r>
          </w:p>
        </w:tc>
        <w:tc>
          <w:tcPr>
            <w:tcW w:w="1020" w:type="dxa"/>
            <w:tcBorders>
              <w:top w:val="outset" w:sz="6" w:space="0" w:color="auto"/>
              <w:left w:val="outset" w:sz="6" w:space="0" w:color="auto"/>
              <w:bottom w:val="outset" w:sz="6" w:space="0" w:color="auto"/>
              <w:right w:val="outset" w:sz="6" w:space="0" w:color="auto"/>
            </w:tcBorders>
            <w:vAlign w:val="center"/>
            <w:hideMark/>
          </w:tcPr>
          <w:p w14:paraId="73DB2D3D"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855" w:type="dxa"/>
            <w:tcBorders>
              <w:top w:val="outset" w:sz="6" w:space="0" w:color="auto"/>
              <w:left w:val="outset" w:sz="6" w:space="0" w:color="auto"/>
              <w:bottom w:val="outset" w:sz="6" w:space="0" w:color="auto"/>
              <w:right w:val="outset" w:sz="6" w:space="0" w:color="auto"/>
            </w:tcBorders>
            <w:vAlign w:val="center"/>
            <w:hideMark/>
          </w:tcPr>
          <w:p w14:paraId="3A637C77"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960" w:type="dxa"/>
            <w:tcBorders>
              <w:top w:val="outset" w:sz="6" w:space="0" w:color="auto"/>
              <w:left w:val="outset" w:sz="6" w:space="0" w:color="auto"/>
              <w:bottom w:val="outset" w:sz="6" w:space="0" w:color="auto"/>
              <w:right w:val="outset" w:sz="6" w:space="0" w:color="auto"/>
            </w:tcBorders>
            <w:vAlign w:val="center"/>
            <w:hideMark/>
          </w:tcPr>
          <w:p w14:paraId="15AAAC16"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14:paraId="4F988D13"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2460" w:type="dxa"/>
            <w:tcBorders>
              <w:top w:val="outset" w:sz="6" w:space="0" w:color="auto"/>
              <w:left w:val="outset" w:sz="6" w:space="0" w:color="auto"/>
              <w:bottom w:val="outset" w:sz="6" w:space="0" w:color="auto"/>
              <w:right w:val="outset" w:sz="6" w:space="0" w:color="auto"/>
            </w:tcBorders>
            <w:vAlign w:val="center"/>
            <w:hideMark/>
          </w:tcPr>
          <w:p w14:paraId="2A68FDE0"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305C90EF"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F930497"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Aquisição de tecnologia</w:t>
            </w:r>
          </w:p>
        </w:tc>
        <w:tc>
          <w:tcPr>
            <w:tcW w:w="1020" w:type="dxa"/>
            <w:tcBorders>
              <w:top w:val="outset" w:sz="6" w:space="0" w:color="auto"/>
              <w:left w:val="outset" w:sz="6" w:space="0" w:color="auto"/>
              <w:bottom w:val="outset" w:sz="6" w:space="0" w:color="auto"/>
              <w:right w:val="outset" w:sz="6" w:space="0" w:color="auto"/>
            </w:tcBorders>
            <w:vAlign w:val="center"/>
            <w:hideMark/>
          </w:tcPr>
          <w:p w14:paraId="76241761"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855" w:type="dxa"/>
            <w:tcBorders>
              <w:top w:val="outset" w:sz="6" w:space="0" w:color="auto"/>
              <w:left w:val="outset" w:sz="6" w:space="0" w:color="auto"/>
              <w:bottom w:val="outset" w:sz="6" w:space="0" w:color="auto"/>
              <w:right w:val="outset" w:sz="6" w:space="0" w:color="auto"/>
            </w:tcBorders>
            <w:vAlign w:val="center"/>
            <w:hideMark/>
          </w:tcPr>
          <w:p w14:paraId="61A1CE43"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960" w:type="dxa"/>
            <w:tcBorders>
              <w:top w:val="outset" w:sz="6" w:space="0" w:color="auto"/>
              <w:left w:val="outset" w:sz="6" w:space="0" w:color="auto"/>
              <w:bottom w:val="outset" w:sz="6" w:space="0" w:color="auto"/>
              <w:right w:val="outset" w:sz="6" w:space="0" w:color="auto"/>
            </w:tcBorders>
            <w:vAlign w:val="center"/>
            <w:hideMark/>
          </w:tcPr>
          <w:p w14:paraId="1772BB15"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14:paraId="277FC6D5"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2460" w:type="dxa"/>
            <w:tcBorders>
              <w:top w:val="outset" w:sz="6" w:space="0" w:color="auto"/>
              <w:left w:val="outset" w:sz="6" w:space="0" w:color="auto"/>
              <w:bottom w:val="outset" w:sz="6" w:space="0" w:color="auto"/>
              <w:right w:val="outset" w:sz="6" w:space="0" w:color="auto"/>
            </w:tcBorders>
            <w:vAlign w:val="center"/>
            <w:hideMark/>
          </w:tcPr>
          <w:p w14:paraId="6BFBA7AD"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286FCDFB"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A30E8AE"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Desenvolvimento de tecnologia</w:t>
            </w:r>
          </w:p>
        </w:tc>
        <w:tc>
          <w:tcPr>
            <w:tcW w:w="1020" w:type="dxa"/>
            <w:tcBorders>
              <w:top w:val="outset" w:sz="6" w:space="0" w:color="auto"/>
              <w:left w:val="outset" w:sz="6" w:space="0" w:color="auto"/>
              <w:bottom w:val="outset" w:sz="6" w:space="0" w:color="auto"/>
              <w:right w:val="outset" w:sz="6" w:space="0" w:color="auto"/>
            </w:tcBorders>
            <w:vAlign w:val="center"/>
            <w:hideMark/>
          </w:tcPr>
          <w:p w14:paraId="715B3C77"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855" w:type="dxa"/>
            <w:tcBorders>
              <w:top w:val="outset" w:sz="6" w:space="0" w:color="auto"/>
              <w:left w:val="outset" w:sz="6" w:space="0" w:color="auto"/>
              <w:bottom w:val="outset" w:sz="6" w:space="0" w:color="auto"/>
              <w:right w:val="outset" w:sz="6" w:space="0" w:color="auto"/>
            </w:tcBorders>
            <w:vAlign w:val="center"/>
            <w:hideMark/>
          </w:tcPr>
          <w:p w14:paraId="542B9897"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960" w:type="dxa"/>
            <w:tcBorders>
              <w:top w:val="outset" w:sz="6" w:space="0" w:color="auto"/>
              <w:left w:val="outset" w:sz="6" w:space="0" w:color="auto"/>
              <w:bottom w:val="outset" w:sz="6" w:space="0" w:color="auto"/>
              <w:right w:val="outset" w:sz="6" w:space="0" w:color="auto"/>
            </w:tcBorders>
            <w:vAlign w:val="center"/>
            <w:hideMark/>
          </w:tcPr>
          <w:p w14:paraId="2789C055"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14:paraId="6AA450CC"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2460" w:type="dxa"/>
            <w:tcBorders>
              <w:top w:val="outset" w:sz="6" w:space="0" w:color="auto"/>
              <w:left w:val="outset" w:sz="6" w:space="0" w:color="auto"/>
              <w:bottom w:val="outset" w:sz="6" w:space="0" w:color="auto"/>
              <w:right w:val="outset" w:sz="6" w:space="0" w:color="auto"/>
            </w:tcBorders>
            <w:vAlign w:val="center"/>
            <w:hideMark/>
          </w:tcPr>
          <w:p w14:paraId="3CBC8CBC"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7EEDD2F5"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43DED2C"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5) Técnicas gerenciais</w:t>
            </w:r>
          </w:p>
        </w:tc>
        <w:tc>
          <w:tcPr>
            <w:tcW w:w="1020" w:type="dxa"/>
            <w:tcBorders>
              <w:top w:val="outset" w:sz="6" w:space="0" w:color="auto"/>
              <w:left w:val="outset" w:sz="6" w:space="0" w:color="auto"/>
              <w:bottom w:val="outset" w:sz="6" w:space="0" w:color="auto"/>
              <w:right w:val="outset" w:sz="6" w:space="0" w:color="auto"/>
            </w:tcBorders>
            <w:vAlign w:val="center"/>
            <w:hideMark/>
          </w:tcPr>
          <w:p w14:paraId="36C0ACC4"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855" w:type="dxa"/>
            <w:tcBorders>
              <w:top w:val="outset" w:sz="6" w:space="0" w:color="auto"/>
              <w:left w:val="outset" w:sz="6" w:space="0" w:color="auto"/>
              <w:bottom w:val="outset" w:sz="6" w:space="0" w:color="auto"/>
              <w:right w:val="outset" w:sz="6" w:space="0" w:color="auto"/>
            </w:tcBorders>
            <w:vAlign w:val="center"/>
            <w:hideMark/>
          </w:tcPr>
          <w:p w14:paraId="18B0B7BE"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960" w:type="dxa"/>
            <w:tcBorders>
              <w:top w:val="outset" w:sz="6" w:space="0" w:color="auto"/>
              <w:left w:val="outset" w:sz="6" w:space="0" w:color="auto"/>
              <w:bottom w:val="outset" w:sz="6" w:space="0" w:color="auto"/>
              <w:right w:val="outset" w:sz="6" w:space="0" w:color="auto"/>
            </w:tcBorders>
            <w:vAlign w:val="center"/>
            <w:hideMark/>
          </w:tcPr>
          <w:p w14:paraId="4E85B403"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14:paraId="7A57B592"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2460" w:type="dxa"/>
            <w:tcBorders>
              <w:top w:val="outset" w:sz="6" w:space="0" w:color="auto"/>
              <w:left w:val="outset" w:sz="6" w:space="0" w:color="auto"/>
              <w:bottom w:val="outset" w:sz="6" w:space="0" w:color="auto"/>
              <w:right w:val="outset" w:sz="6" w:space="0" w:color="auto"/>
            </w:tcBorders>
            <w:vAlign w:val="center"/>
            <w:hideMark/>
          </w:tcPr>
          <w:p w14:paraId="11DDA41E"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06BF142E"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4C30CD3"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6) Rede de distribuição</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9CFAC08"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855" w:type="dxa"/>
            <w:tcBorders>
              <w:top w:val="outset" w:sz="6" w:space="0" w:color="auto"/>
              <w:left w:val="outset" w:sz="6" w:space="0" w:color="auto"/>
              <w:bottom w:val="outset" w:sz="6" w:space="0" w:color="auto"/>
              <w:right w:val="outset" w:sz="6" w:space="0" w:color="auto"/>
            </w:tcBorders>
            <w:vAlign w:val="center"/>
            <w:hideMark/>
          </w:tcPr>
          <w:p w14:paraId="3F077D48"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960" w:type="dxa"/>
            <w:tcBorders>
              <w:top w:val="outset" w:sz="6" w:space="0" w:color="auto"/>
              <w:left w:val="outset" w:sz="6" w:space="0" w:color="auto"/>
              <w:bottom w:val="outset" w:sz="6" w:space="0" w:color="auto"/>
              <w:right w:val="outset" w:sz="6" w:space="0" w:color="auto"/>
            </w:tcBorders>
            <w:vAlign w:val="center"/>
            <w:hideMark/>
          </w:tcPr>
          <w:p w14:paraId="1D5E0CD9"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14:paraId="3C1FA491"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2460" w:type="dxa"/>
            <w:tcBorders>
              <w:top w:val="outset" w:sz="6" w:space="0" w:color="auto"/>
              <w:left w:val="outset" w:sz="6" w:space="0" w:color="auto"/>
              <w:bottom w:val="outset" w:sz="6" w:space="0" w:color="auto"/>
              <w:right w:val="outset" w:sz="6" w:space="0" w:color="auto"/>
            </w:tcBorders>
            <w:vAlign w:val="center"/>
            <w:hideMark/>
          </w:tcPr>
          <w:p w14:paraId="24F9304F"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3D1ACE59"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B75D524"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7) Assistência consumidor</w:t>
            </w:r>
          </w:p>
        </w:tc>
        <w:tc>
          <w:tcPr>
            <w:tcW w:w="1020" w:type="dxa"/>
            <w:tcBorders>
              <w:top w:val="outset" w:sz="6" w:space="0" w:color="auto"/>
              <w:left w:val="outset" w:sz="6" w:space="0" w:color="auto"/>
              <w:bottom w:val="outset" w:sz="6" w:space="0" w:color="auto"/>
              <w:right w:val="outset" w:sz="6" w:space="0" w:color="auto"/>
            </w:tcBorders>
            <w:vAlign w:val="center"/>
            <w:hideMark/>
          </w:tcPr>
          <w:p w14:paraId="227EBB45"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855" w:type="dxa"/>
            <w:tcBorders>
              <w:top w:val="outset" w:sz="6" w:space="0" w:color="auto"/>
              <w:left w:val="outset" w:sz="6" w:space="0" w:color="auto"/>
              <w:bottom w:val="outset" w:sz="6" w:space="0" w:color="auto"/>
              <w:right w:val="outset" w:sz="6" w:space="0" w:color="auto"/>
            </w:tcBorders>
            <w:vAlign w:val="center"/>
            <w:hideMark/>
          </w:tcPr>
          <w:p w14:paraId="72E2FCD6"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960" w:type="dxa"/>
            <w:tcBorders>
              <w:top w:val="outset" w:sz="6" w:space="0" w:color="auto"/>
              <w:left w:val="outset" w:sz="6" w:space="0" w:color="auto"/>
              <w:bottom w:val="outset" w:sz="6" w:space="0" w:color="auto"/>
              <w:right w:val="outset" w:sz="6" w:space="0" w:color="auto"/>
            </w:tcBorders>
            <w:vAlign w:val="center"/>
            <w:hideMark/>
          </w:tcPr>
          <w:p w14:paraId="090A957B"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14:paraId="76154D59"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2460" w:type="dxa"/>
            <w:tcBorders>
              <w:top w:val="outset" w:sz="6" w:space="0" w:color="auto"/>
              <w:left w:val="outset" w:sz="6" w:space="0" w:color="auto"/>
              <w:bottom w:val="outset" w:sz="6" w:space="0" w:color="auto"/>
              <w:right w:val="outset" w:sz="6" w:space="0" w:color="auto"/>
            </w:tcBorders>
            <w:vAlign w:val="center"/>
            <w:hideMark/>
          </w:tcPr>
          <w:p w14:paraId="2A453BFB"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r w:rsidR="003765AB" w:rsidRPr="0045126E" w14:paraId="7BCD31EF" w14:textId="77777777" w:rsidTr="00CC7F1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86AEEB8" w14:textId="77777777" w:rsidR="003765AB" w:rsidRPr="00395593" w:rsidRDefault="003765AB" w:rsidP="00CB06CD">
            <w:pPr>
              <w:spacing w:before="40" w:after="80" w:line="240" w:lineRule="auto"/>
              <w:ind w:left="40" w:right="40"/>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8) Outros (especificar)</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954E023"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855" w:type="dxa"/>
            <w:tcBorders>
              <w:top w:val="outset" w:sz="6" w:space="0" w:color="auto"/>
              <w:left w:val="outset" w:sz="6" w:space="0" w:color="auto"/>
              <w:bottom w:val="outset" w:sz="6" w:space="0" w:color="auto"/>
              <w:right w:val="outset" w:sz="6" w:space="0" w:color="auto"/>
            </w:tcBorders>
            <w:vAlign w:val="center"/>
            <w:hideMark/>
          </w:tcPr>
          <w:p w14:paraId="582769A4"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960" w:type="dxa"/>
            <w:tcBorders>
              <w:top w:val="outset" w:sz="6" w:space="0" w:color="auto"/>
              <w:left w:val="outset" w:sz="6" w:space="0" w:color="auto"/>
              <w:bottom w:val="outset" w:sz="6" w:space="0" w:color="auto"/>
              <w:right w:val="outset" w:sz="6" w:space="0" w:color="auto"/>
            </w:tcBorders>
            <w:vAlign w:val="center"/>
            <w:hideMark/>
          </w:tcPr>
          <w:p w14:paraId="7B0CAAFE"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14:paraId="3008BA20"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c>
          <w:tcPr>
            <w:tcW w:w="2460" w:type="dxa"/>
            <w:tcBorders>
              <w:top w:val="outset" w:sz="6" w:space="0" w:color="auto"/>
              <w:left w:val="outset" w:sz="6" w:space="0" w:color="auto"/>
              <w:bottom w:val="outset" w:sz="6" w:space="0" w:color="auto"/>
              <w:right w:val="outset" w:sz="6" w:space="0" w:color="auto"/>
            </w:tcBorders>
            <w:vAlign w:val="center"/>
            <w:hideMark/>
          </w:tcPr>
          <w:p w14:paraId="59D92E2C" w14:textId="77777777" w:rsidR="003765AB" w:rsidRPr="00395593" w:rsidRDefault="003765AB" w:rsidP="00CB06CD">
            <w:pPr>
              <w:spacing w:before="40" w:after="80" w:line="240" w:lineRule="auto"/>
              <w:ind w:left="40" w:right="40"/>
              <w:jc w:val="center"/>
              <w:rPr>
                <w:rFonts w:ascii="Garamond" w:eastAsia="Times New Roman" w:hAnsi="Garamond" w:cs="Times New Roman"/>
                <w:color w:val="000000"/>
                <w:lang w:eastAsia="pt-BR"/>
              </w:rPr>
            </w:pPr>
            <w:r w:rsidRPr="00395593">
              <w:rPr>
                <w:rFonts w:ascii="Garamond" w:eastAsia="Times New Roman" w:hAnsi="Garamond" w:cs="Times New Roman"/>
                <w:color w:val="000000"/>
                <w:lang w:eastAsia="pt-BR"/>
              </w:rPr>
              <w:t>                             </w:t>
            </w:r>
          </w:p>
        </w:tc>
      </w:tr>
    </w:tbl>
    <w:p w14:paraId="0A01A9DE"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w:t>
      </w:r>
    </w:p>
    <w:p w14:paraId="7CDE6FDA"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a) Forneça uma descrição detalhada dos gastos acima relacionados, por item, especificando seus objetivos e resultados alcançados em termos de eficiência/competitividade.</w:t>
      </w:r>
    </w:p>
    <w:p w14:paraId="7C7605F6"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b) Indique se a empresa tem sido ou não capaz de gerar recursos para financiar a modernização da sua planta.</w:t>
      </w:r>
    </w:p>
    <w:p w14:paraId="56CFB3AA"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5.2.9. Forneça as informações abaixo solicitadas para o produto em questão:</w:t>
      </w:r>
    </w:p>
    <w:p w14:paraId="792C5FFD"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a) Características da demanda:</w:t>
      </w:r>
    </w:p>
    <w:p w14:paraId="366B67F1"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indicação dos principais clientes com suas respectivas participações no total das vendas da empresa, bem como suas áreas de atividade;</w:t>
      </w:r>
    </w:p>
    <w:p w14:paraId="517F6C48"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identificação dos canais de distribuição e suas respectivas participações no total das vendas da empresa;</w:t>
      </w:r>
    </w:p>
    <w:p w14:paraId="2069D6EE"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identificação das políticas de comercialização por tipo de cliente, região geográfica, etc.</w:t>
      </w:r>
    </w:p>
    <w:p w14:paraId="17673AF6"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b) Características da oferta:</w:t>
      </w:r>
    </w:p>
    <w:p w14:paraId="6E4DA251"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formas de concorrência (preço, diferenciação de produto, assistência técnica, rede de distribuição, propaganda, etc);</w:t>
      </w:r>
    </w:p>
    <w:p w14:paraId="3358EB0C"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investimento mínimo necessário para a operação da planta;</w:t>
      </w:r>
    </w:p>
    <w:p w14:paraId="753DFB4E"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escala mínima eficiente;</w:t>
      </w:r>
    </w:p>
    <w:p w14:paraId="65DED845"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existência de patentes, concessões, etc;</w:t>
      </w:r>
    </w:p>
    <w:p w14:paraId="311BAF80"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acesso à tecnologia de produto e de processo;</w:t>
      </w:r>
    </w:p>
    <w:p w14:paraId="0E289293"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condições de fornecimento dos principais insumos, indicando principais fornecedores por insumo e grau  de concentração do capital na oferta dos principais insumos.</w:t>
      </w:r>
    </w:p>
    <w:p w14:paraId="458BD969"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5.3. Das Políticas Governamentais:</w:t>
      </w:r>
    </w:p>
    <w:p w14:paraId="212059FA"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5.3.1. Descreva as políticas de governo (política cambial, tributária, de incentivos, etc.) que afetaram a produção nacional, avaliando seus respectivos impactos, positivos ou negativos.</w:t>
      </w:r>
    </w:p>
    <w:p w14:paraId="71289493"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5.3.2. Indique quais medidas poderiam ter sido adotadas pelo governo, ao longo do período analisado, que teriam contribuído para evitar o alegado prejuízo da produção nacional.</w:t>
      </w:r>
    </w:p>
    <w:p w14:paraId="3CD8B38E"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5C5CBD">
        <w:rPr>
          <w:rFonts w:ascii="Garamond" w:eastAsia="Times New Roman" w:hAnsi="Garamond" w:cs="Times New Roman"/>
          <w:b/>
          <w:bCs/>
          <w:color w:val="000000"/>
          <w:sz w:val="24"/>
          <w:szCs w:val="24"/>
          <w:lang w:eastAsia="pt-BR"/>
        </w:rPr>
        <w:t>6. Do Compromisso de Ajuste</w:t>
      </w:r>
    </w:p>
    <w:p w14:paraId="606D14A4"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A aplicação de uma medida de salvaguarda tem o objetivo de facilitar o ajustamento da indústria doméstica. Nesse sentido, apresente o programa de ajustamento proposto pela indústria doméstica, explicitando para cada empresa que a compõe o prazo para o mesmo e as medidas a serem adotadas em relação aos seguintes itens:</w:t>
      </w:r>
    </w:p>
    <w:p w14:paraId="53BDD169"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Aumento de produtividade;</w:t>
      </w:r>
    </w:p>
    <w:p w14:paraId="34179052"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Atualização das técnicas de produção;</w:t>
      </w:r>
    </w:p>
    <w:p w14:paraId="07087834"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Atualização do produto;</w:t>
      </w:r>
    </w:p>
    <w:p w14:paraId="6AF81145"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Atualização das técnicas de gerenciamento;</w:t>
      </w:r>
    </w:p>
    <w:p w14:paraId="49BB6E9D"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Programa de gastos em P&amp;D, e aquisição de tecnologia;</w:t>
      </w:r>
    </w:p>
    <w:p w14:paraId="368F6244"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Programa de qualificação do produto: qualidade, desenho, embalagem, segurança;</w:t>
      </w:r>
    </w:p>
    <w:p w14:paraId="35B98D64"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Adequação/melhoria-prazos de entrega, serviço de assistência técnica;</w:t>
      </w:r>
    </w:p>
    <w:p w14:paraId="2A720222"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Programa de investimento;</w:t>
      </w:r>
    </w:p>
    <w:p w14:paraId="72C88CCB"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Treinamento de mão-de-obra, e</w:t>
      </w:r>
    </w:p>
    <w:p w14:paraId="12CE3BAA"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 Programa de redução dos custos.</w:t>
      </w:r>
    </w:p>
    <w:p w14:paraId="0CD39C3D"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5C5CBD">
        <w:rPr>
          <w:rFonts w:ascii="Garamond" w:eastAsia="Times New Roman" w:hAnsi="Garamond" w:cs="Times New Roman"/>
          <w:b/>
          <w:bCs/>
          <w:color w:val="000000"/>
          <w:sz w:val="24"/>
          <w:szCs w:val="24"/>
          <w:lang w:eastAsia="pt-BR"/>
        </w:rPr>
        <w:t>7. Dados Complementares</w:t>
      </w:r>
    </w:p>
    <w:p w14:paraId="2D1D7B78" w14:textId="77777777" w:rsidR="003765AB" w:rsidRPr="00395593" w:rsidRDefault="003765AB" w:rsidP="003765AB">
      <w:pPr>
        <w:spacing w:after="120" w:line="240" w:lineRule="auto"/>
        <w:ind w:firstLine="1418"/>
        <w:jc w:val="both"/>
        <w:rPr>
          <w:rFonts w:ascii="Garamond" w:eastAsia="Times New Roman" w:hAnsi="Garamond" w:cs="Times New Roman"/>
          <w:color w:val="000000"/>
          <w:sz w:val="24"/>
          <w:szCs w:val="24"/>
          <w:lang w:eastAsia="pt-BR"/>
        </w:rPr>
      </w:pPr>
      <w:r w:rsidRPr="00395593">
        <w:rPr>
          <w:rFonts w:ascii="Garamond" w:eastAsia="Times New Roman" w:hAnsi="Garamond" w:cs="Times New Roman"/>
          <w:color w:val="000000"/>
          <w:sz w:val="24"/>
          <w:szCs w:val="24"/>
          <w:lang w:eastAsia="pt-BR"/>
        </w:rPr>
        <w:t>Durante a análise da petição, a SECEX poderá, se necessário, solicitar ao(s) peticionário(s) informações complementares relativas ao pleito.</w:t>
      </w:r>
    </w:p>
    <w:p w14:paraId="78D7023F" w14:textId="58D6F939" w:rsidR="00BD7B39" w:rsidRPr="00395593" w:rsidRDefault="00BD7B39" w:rsidP="003775F1">
      <w:pPr>
        <w:jc w:val="both"/>
        <w:rPr>
          <w:rFonts w:ascii="Garamond" w:hAnsi="Garamond"/>
        </w:rPr>
      </w:pPr>
      <w:r w:rsidRPr="00395593">
        <w:rPr>
          <w:rFonts w:ascii="Garamond" w:hAnsi="Garamond"/>
        </w:rPr>
        <w:br w:type="page"/>
      </w:r>
    </w:p>
    <w:p w14:paraId="244AD02D" w14:textId="3D3234E5" w:rsidR="004E3695" w:rsidRPr="00395593" w:rsidRDefault="004C46F0" w:rsidP="003775F1">
      <w:pPr>
        <w:jc w:val="both"/>
        <w:rPr>
          <w:rFonts w:ascii="Garamond" w:hAnsi="Garamond"/>
        </w:rPr>
      </w:pPr>
      <w:r>
        <w:rPr>
          <w:rFonts w:ascii="Garamond" w:hAnsi="Garamond"/>
          <w:noProof/>
          <w:lang w:eastAsia="pt-BR"/>
        </w:rPr>
        <w:drawing>
          <wp:inline distT="0" distB="0" distL="0" distR="0" wp14:anchorId="4A241BC5" wp14:editId="530EAF21">
            <wp:extent cx="5579745" cy="7892415"/>
            <wp:effectExtent l="0" t="0" r="190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RTE E.pn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5579745" cy="7892415"/>
                    </a:xfrm>
                    <a:prstGeom prst="rect">
                      <a:avLst/>
                    </a:prstGeom>
                  </pic:spPr>
                </pic:pic>
              </a:graphicData>
            </a:graphic>
          </wp:inline>
        </w:drawing>
      </w:r>
    </w:p>
    <w:p w14:paraId="22D5F367" w14:textId="77777777" w:rsidR="004E3695" w:rsidRPr="00395593" w:rsidRDefault="004E3695" w:rsidP="003775F1">
      <w:pPr>
        <w:jc w:val="both"/>
        <w:rPr>
          <w:rFonts w:ascii="Garamond" w:hAnsi="Garamond"/>
        </w:rPr>
      </w:pPr>
    </w:p>
    <w:p w14:paraId="3B99CF02" w14:textId="23F272E9" w:rsidR="001E097F" w:rsidRPr="004C71F2" w:rsidRDefault="00685429" w:rsidP="004C46F0">
      <w:pPr>
        <w:jc w:val="center"/>
        <w:outlineLvl w:val="0"/>
        <w:rPr>
          <w:rFonts w:ascii="Garamond" w:hAnsi="Garamond"/>
        </w:rPr>
      </w:pPr>
      <w:r w:rsidRPr="00395593">
        <w:rPr>
          <w:rFonts w:ascii="Garamond" w:hAnsi="Garamond"/>
        </w:rPr>
        <w:br w:type="page"/>
      </w:r>
      <w:bookmarkStart w:id="170" w:name="_Toc96003821"/>
      <w:r w:rsidR="004C71F2" w:rsidRPr="001212FB">
        <w:rPr>
          <w:rFonts w:ascii="Garamond" w:hAnsi="Garamond" w:cstheme="majorHAnsi"/>
          <w:b/>
          <w:smallCaps/>
          <w:sz w:val="28"/>
          <w:szCs w:val="28"/>
        </w:rPr>
        <w:t xml:space="preserve">Parte </w:t>
      </w:r>
      <w:r w:rsidR="0055218F">
        <w:rPr>
          <w:rFonts w:ascii="Garamond" w:hAnsi="Garamond" w:cstheme="majorHAnsi"/>
          <w:b/>
          <w:smallCaps/>
          <w:sz w:val="28"/>
          <w:szCs w:val="28"/>
        </w:rPr>
        <w:t>E</w:t>
      </w:r>
      <w:r w:rsidR="004C71F2" w:rsidRPr="001212FB">
        <w:rPr>
          <w:rFonts w:ascii="Garamond" w:hAnsi="Garamond" w:cstheme="majorHAnsi"/>
          <w:b/>
          <w:smallCaps/>
          <w:sz w:val="28"/>
          <w:szCs w:val="28"/>
        </w:rPr>
        <w:t xml:space="preserve"> – Normas gerais </w:t>
      </w:r>
      <w:r w:rsidR="0055218F">
        <w:rPr>
          <w:rFonts w:ascii="Garamond" w:hAnsi="Garamond" w:cstheme="majorHAnsi"/>
          <w:b/>
          <w:smallCaps/>
          <w:sz w:val="28"/>
          <w:szCs w:val="28"/>
        </w:rPr>
        <w:t>de</w:t>
      </w:r>
      <w:r w:rsidR="004C71F2" w:rsidRPr="001212FB">
        <w:rPr>
          <w:rFonts w:ascii="Garamond" w:hAnsi="Garamond" w:cstheme="majorHAnsi"/>
          <w:b/>
          <w:smallCaps/>
          <w:sz w:val="28"/>
          <w:szCs w:val="28"/>
        </w:rPr>
        <w:t xml:space="preserve"> </w:t>
      </w:r>
      <w:r w:rsidR="0055218F">
        <w:rPr>
          <w:rFonts w:ascii="Garamond" w:hAnsi="Garamond" w:cstheme="majorHAnsi"/>
          <w:b/>
          <w:smallCaps/>
          <w:sz w:val="28"/>
          <w:szCs w:val="28"/>
        </w:rPr>
        <w:t>Interesse Público</w:t>
      </w:r>
      <w:bookmarkEnd w:id="170"/>
      <w:r w:rsidR="00DF2936" w:rsidRPr="005C5CBD">
        <w:rPr>
          <w:rFonts w:ascii="Garamond" w:hAnsi="Garamond"/>
        </w:rPr>
        <w:tab/>
      </w:r>
    </w:p>
    <w:p w14:paraId="64A98B62" w14:textId="7312DF8D" w:rsidR="00DD75F9" w:rsidRPr="00464D0F" w:rsidRDefault="000C7719" w:rsidP="00DF2936">
      <w:pPr>
        <w:pStyle w:val="Ttulo"/>
        <w:outlineLvl w:val="1"/>
      </w:pPr>
      <w:bookmarkStart w:id="171" w:name="_Toc96003822"/>
      <w:r w:rsidRPr="000C7719">
        <w:t>Acordo sobre a implementação do artigo VI do acordo geral sobre tarifas e comércio 1994 – Acordo Antidumping</w:t>
      </w:r>
      <w:bookmarkEnd w:id="171"/>
      <w:r w:rsidR="001E4004" w:rsidRPr="001E4004">
        <w:t xml:space="preserve"> </w:t>
      </w:r>
    </w:p>
    <w:p w14:paraId="17B23A70" w14:textId="77777777" w:rsidR="006C7319" w:rsidRDefault="006C7319" w:rsidP="006C7319">
      <w:pPr>
        <w:rPr>
          <w:rFonts w:ascii="Garamond" w:eastAsia="Times New Roman" w:hAnsi="Garamond" w:cs="Arial"/>
          <w:color w:val="162937"/>
          <w:sz w:val="24"/>
          <w:szCs w:val="24"/>
          <w:lang w:eastAsia="pt-BR"/>
        </w:rPr>
      </w:pPr>
    </w:p>
    <w:p w14:paraId="2B78AC10" w14:textId="77777777" w:rsidR="006C7319" w:rsidRDefault="006C7319" w:rsidP="006C7319">
      <w:pPr>
        <w:rPr>
          <w:rFonts w:ascii="Garamond" w:eastAsia="Times New Roman" w:hAnsi="Garamond" w:cs="Arial"/>
          <w:color w:val="162937"/>
          <w:sz w:val="24"/>
          <w:szCs w:val="24"/>
          <w:lang w:eastAsia="pt-BR"/>
        </w:rPr>
      </w:pPr>
      <w:r w:rsidRPr="009675FB">
        <w:rPr>
          <w:rFonts w:ascii="Garamond" w:eastAsia="Times New Roman" w:hAnsi="Garamond" w:cs="Arial"/>
          <w:color w:val="162937"/>
          <w:sz w:val="24"/>
          <w:szCs w:val="24"/>
          <w:lang w:eastAsia="pt-BR"/>
        </w:rPr>
        <w:t>[...]</w:t>
      </w:r>
    </w:p>
    <w:p w14:paraId="4F6D9F54" w14:textId="77777777" w:rsidR="006C7319" w:rsidRDefault="006C7319" w:rsidP="006C7319">
      <w:pPr>
        <w:rPr>
          <w:rFonts w:ascii="Garamond" w:eastAsia="Times New Roman" w:hAnsi="Garamond" w:cs="Arial"/>
          <w:color w:val="162937"/>
          <w:sz w:val="24"/>
          <w:szCs w:val="24"/>
          <w:lang w:eastAsia="pt-BR"/>
        </w:rPr>
      </w:pPr>
    </w:p>
    <w:p w14:paraId="0B7D134E" w14:textId="3D776888" w:rsidR="00631C50" w:rsidRPr="00395593" w:rsidRDefault="00631C50" w:rsidP="006C7319">
      <w:pPr>
        <w:pStyle w:val="Corpodetexto"/>
        <w:spacing w:before="230" w:line="360" w:lineRule="auto"/>
        <w:ind w:left="176" w:right="194"/>
        <w:jc w:val="center"/>
        <w:rPr>
          <w:rFonts w:ascii="Garamond" w:hAnsi="Garamond"/>
          <w:b/>
          <w:i/>
        </w:rPr>
      </w:pPr>
      <w:r w:rsidRPr="00395593">
        <w:rPr>
          <w:rFonts w:ascii="Garamond" w:hAnsi="Garamond"/>
          <w:b/>
        </w:rPr>
        <w:t>Artigo</w:t>
      </w:r>
      <w:r w:rsidRPr="00395593">
        <w:rPr>
          <w:rFonts w:ascii="Garamond" w:hAnsi="Garamond"/>
          <w:b/>
          <w:spacing w:val="-3"/>
        </w:rPr>
        <w:t xml:space="preserve"> </w:t>
      </w:r>
      <w:r w:rsidRPr="00395593">
        <w:rPr>
          <w:rFonts w:ascii="Garamond" w:hAnsi="Garamond"/>
          <w:b/>
        </w:rPr>
        <w:t>9</w:t>
      </w:r>
      <w:r w:rsidR="006C7319">
        <w:rPr>
          <w:rFonts w:ascii="Garamond" w:hAnsi="Garamond"/>
          <w:b/>
        </w:rPr>
        <w:t xml:space="preserve"> - </w:t>
      </w:r>
      <w:r w:rsidRPr="00395593">
        <w:rPr>
          <w:rFonts w:ascii="Garamond" w:hAnsi="Garamond"/>
          <w:b/>
        </w:rPr>
        <w:t>Imposição</w:t>
      </w:r>
      <w:r w:rsidRPr="00395593">
        <w:rPr>
          <w:rFonts w:ascii="Garamond" w:hAnsi="Garamond"/>
          <w:b/>
          <w:spacing w:val="-2"/>
        </w:rPr>
        <w:t xml:space="preserve"> </w:t>
      </w:r>
      <w:r w:rsidRPr="00395593">
        <w:rPr>
          <w:rFonts w:ascii="Garamond" w:hAnsi="Garamond"/>
          <w:b/>
        </w:rPr>
        <w:t>e</w:t>
      </w:r>
      <w:r w:rsidRPr="00395593">
        <w:rPr>
          <w:rFonts w:ascii="Garamond" w:hAnsi="Garamond"/>
          <w:b/>
          <w:spacing w:val="-2"/>
        </w:rPr>
        <w:t xml:space="preserve"> </w:t>
      </w:r>
      <w:r w:rsidRPr="00395593">
        <w:rPr>
          <w:rFonts w:ascii="Garamond" w:hAnsi="Garamond"/>
          <w:b/>
        </w:rPr>
        <w:t>Cobrança</w:t>
      </w:r>
      <w:r w:rsidRPr="00395593">
        <w:rPr>
          <w:rFonts w:ascii="Garamond" w:hAnsi="Garamond"/>
          <w:b/>
          <w:spacing w:val="-2"/>
        </w:rPr>
        <w:t xml:space="preserve"> </w:t>
      </w:r>
      <w:r w:rsidRPr="00395593">
        <w:rPr>
          <w:rFonts w:ascii="Garamond" w:hAnsi="Garamond"/>
          <w:b/>
        </w:rPr>
        <w:t>de Direitos</w:t>
      </w:r>
      <w:r w:rsidRPr="00395593">
        <w:rPr>
          <w:rFonts w:ascii="Garamond" w:hAnsi="Garamond"/>
          <w:b/>
          <w:spacing w:val="2"/>
        </w:rPr>
        <w:t xml:space="preserve"> </w:t>
      </w:r>
      <w:r w:rsidRPr="00395593">
        <w:rPr>
          <w:rFonts w:ascii="Garamond" w:hAnsi="Garamond"/>
          <w:b/>
          <w:i/>
        </w:rPr>
        <w:t>Anti</w:t>
      </w:r>
      <w:r w:rsidRPr="00395593">
        <w:rPr>
          <w:rFonts w:ascii="Garamond" w:hAnsi="Garamond"/>
          <w:b/>
        </w:rPr>
        <w:t>-</w:t>
      </w:r>
      <w:r w:rsidRPr="00395593">
        <w:rPr>
          <w:rFonts w:ascii="Garamond" w:hAnsi="Garamond"/>
          <w:b/>
          <w:i/>
        </w:rPr>
        <w:t>Dumping</w:t>
      </w:r>
    </w:p>
    <w:p w14:paraId="1D1CC668" w14:textId="669E5533" w:rsidR="00631C50" w:rsidRPr="00395593" w:rsidRDefault="00631C50" w:rsidP="00631C50">
      <w:pPr>
        <w:pStyle w:val="PargrafodaLista"/>
        <w:widowControl w:val="0"/>
        <w:numPr>
          <w:ilvl w:val="0"/>
          <w:numId w:val="82"/>
        </w:numPr>
        <w:tabs>
          <w:tab w:val="left" w:pos="810"/>
        </w:tabs>
        <w:autoSpaceDE w:val="0"/>
        <w:autoSpaceDN w:val="0"/>
        <w:spacing w:after="0" w:line="240" w:lineRule="auto"/>
        <w:ind w:right="118"/>
        <w:contextualSpacing w:val="0"/>
        <w:jc w:val="both"/>
        <w:rPr>
          <w:rFonts w:ascii="Garamond" w:hAnsi="Garamond"/>
          <w:sz w:val="24"/>
        </w:rPr>
      </w:pPr>
      <w:r w:rsidRPr="00631C50">
        <w:rPr>
          <w:rFonts w:ascii="Garamond" w:hAnsi="Garamond"/>
          <w:sz w:val="24"/>
          <w:u w:val="single"/>
        </w:rPr>
        <w:t>São</w:t>
      </w:r>
      <w:r w:rsidRPr="00631C50">
        <w:rPr>
          <w:rFonts w:ascii="Garamond" w:hAnsi="Garamond"/>
          <w:spacing w:val="1"/>
          <w:sz w:val="24"/>
          <w:u w:val="single"/>
        </w:rPr>
        <w:t xml:space="preserve"> </w:t>
      </w:r>
      <w:r w:rsidRPr="00631C50">
        <w:rPr>
          <w:rFonts w:ascii="Garamond" w:hAnsi="Garamond"/>
          <w:sz w:val="24"/>
          <w:u w:val="single"/>
        </w:rPr>
        <w:t>da</w:t>
      </w:r>
      <w:r w:rsidRPr="00631C50">
        <w:rPr>
          <w:rFonts w:ascii="Garamond" w:hAnsi="Garamond"/>
          <w:spacing w:val="1"/>
          <w:sz w:val="24"/>
          <w:u w:val="single"/>
        </w:rPr>
        <w:t xml:space="preserve"> </w:t>
      </w:r>
      <w:r w:rsidRPr="00631C50">
        <w:rPr>
          <w:rFonts w:ascii="Garamond" w:hAnsi="Garamond"/>
          <w:sz w:val="24"/>
          <w:u w:val="single"/>
        </w:rPr>
        <w:t>competência</w:t>
      </w:r>
      <w:r w:rsidRPr="00631C50">
        <w:rPr>
          <w:rFonts w:ascii="Garamond" w:hAnsi="Garamond"/>
          <w:spacing w:val="1"/>
          <w:sz w:val="24"/>
          <w:u w:val="single"/>
        </w:rPr>
        <w:t xml:space="preserve"> </w:t>
      </w:r>
      <w:r w:rsidRPr="00631C50">
        <w:rPr>
          <w:rFonts w:ascii="Garamond" w:hAnsi="Garamond"/>
          <w:sz w:val="24"/>
          <w:u w:val="single"/>
        </w:rPr>
        <w:t>das</w:t>
      </w:r>
      <w:r w:rsidRPr="00631C50">
        <w:rPr>
          <w:rFonts w:ascii="Garamond" w:hAnsi="Garamond"/>
          <w:spacing w:val="1"/>
          <w:sz w:val="24"/>
          <w:u w:val="single"/>
        </w:rPr>
        <w:t xml:space="preserve"> </w:t>
      </w:r>
      <w:r w:rsidRPr="00631C50">
        <w:rPr>
          <w:rFonts w:ascii="Garamond" w:hAnsi="Garamond"/>
          <w:sz w:val="24"/>
          <w:u w:val="single"/>
        </w:rPr>
        <w:t>autoridades</w:t>
      </w:r>
      <w:r w:rsidRPr="00631C50">
        <w:rPr>
          <w:rFonts w:ascii="Garamond" w:hAnsi="Garamond"/>
          <w:spacing w:val="1"/>
          <w:sz w:val="24"/>
          <w:u w:val="single"/>
        </w:rPr>
        <w:t xml:space="preserve"> </w:t>
      </w:r>
      <w:r w:rsidRPr="00631C50">
        <w:rPr>
          <w:rFonts w:ascii="Garamond" w:hAnsi="Garamond"/>
          <w:sz w:val="24"/>
          <w:u w:val="single"/>
        </w:rPr>
        <w:t>do</w:t>
      </w:r>
      <w:r w:rsidRPr="00631C50">
        <w:rPr>
          <w:rFonts w:ascii="Garamond" w:hAnsi="Garamond"/>
          <w:spacing w:val="1"/>
          <w:sz w:val="24"/>
          <w:u w:val="single"/>
        </w:rPr>
        <w:t xml:space="preserve"> </w:t>
      </w:r>
      <w:r w:rsidRPr="00631C50">
        <w:rPr>
          <w:rFonts w:ascii="Garamond" w:hAnsi="Garamond"/>
          <w:sz w:val="24"/>
          <w:u w:val="single"/>
        </w:rPr>
        <w:t>Membro</w:t>
      </w:r>
      <w:r w:rsidRPr="00631C50">
        <w:rPr>
          <w:rFonts w:ascii="Garamond" w:hAnsi="Garamond"/>
          <w:spacing w:val="1"/>
          <w:sz w:val="24"/>
          <w:u w:val="single"/>
        </w:rPr>
        <w:t xml:space="preserve"> </w:t>
      </w:r>
      <w:r w:rsidRPr="00631C50">
        <w:rPr>
          <w:rFonts w:ascii="Garamond" w:hAnsi="Garamond"/>
          <w:sz w:val="24"/>
          <w:u w:val="single"/>
        </w:rPr>
        <w:t>importador</w:t>
      </w:r>
      <w:r w:rsidRPr="00631C50">
        <w:rPr>
          <w:rFonts w:ascii="Garamond" w:hAnsi="Garamond"/>
          <w:spacing w:val="1"/>
          <w:sz w:val="24"/>
          <w:u w:val="single"/>
        </w:rPr>
        <w:t xml:space="preserve"> </w:t>
      </w:r>
      <w:r w:rsidRPr="00631C50">
        <w:rPr>
          <w:rFonts w:ascii="Garamond" w:hAnsi="Garamond"/>
          <w:sz w:val="24"/>
          <w:u w:val="single"/>
        </w:rPr>
        <w:t>a</w:t>
      </w:r>
      <w:r w:rsidRPr="00631C50">
        <w:rPr>
          <w:rFonts w:ascii="Garamond" w:hAnsi="Garamond"/>
          <w:spacing w:val="1"/>
          <w:sz w:val="24"/>
          <w:u w:val="single"/>
        </w:rPr>
        <w:t xml:space="preserve"> </w:t>
      </w:r>
      <w:r w:rsidRPr="00631C50">
        <w:rPr>
          <w:rFonts w:ascii="Garamond" w:hAnsi="Garamond"/>
          <w:sz w:val="24"/>
          <w:u w:val="single"/>
        </w:rPr>
        <w:t>decisão</w:t>
      </w:r>
      <w:r w:rsidRPr="00631C50">
        <w:rPr>
          <w:rFonts w:ascii="Garamond" w:hAnsi="Garamond"/>
          <w:spacing w:val="1"/>
          <w:sz w:val="24"/>
          <w:u w:val="single"/>
        </w:rPr>
        <w:t xml:space="preserve"> </w:t>
      </w:r>
      <w:r w:rsidRPr="00631C50">
        <w:rPr>
          <w:rFonts w:ascii="Garamond" w:hAnsi="Garamond"/>
          <w:sz w:val="24"/>
          <w:u w:val="single"/>
        </w:rPr>
        <w:t>sobre</w:t>
      </w:r>
      <w:r w:rsidRPr="00631C50">
        <w:rPr>
          <w:rFonts w:ascii="Garamond" w:hAnsi="Garamond"/>
          <w:spacing w:val="1"/>
          <w:sz w:val="24"/>
          <w:u w:val="single"/>
        </w:rPr>
        <w:t xml:space="preserve"> </w:t>
      </w:r>
      <w:r w:rsidRPr="00631C50">
        <w:rPr>
          <w:rFonts w:ascii="Garamond" w:hAnsi="Garamond"/>
          <w:sz w:val="24"/>
          <w:u w:val="single"/>
        </w:rPr>
        <w:t>a</w:t>
      </w:r>
      <w:r w:rsidRPr="00631C50">
        <w:rPr>
          <w:rFonts w:ascii="Garamond" w:hAnsi="Garamond"/>
          <w:spacing w:val="-58"/>
          <w:sz w:val="24"/>
          <w:u w:val="single"/>
        </w:rPr>
        <w:t xml:space="preserve"> </w:t>
      </w:r>
      <w:r w:rsidRPr="00631C50">
        <w:rPr>
          <w:rFonts w:ascii="Garamond" w:hAnsi="Garamond"/>
          <w:sz w:val="24"/>
          <w:u w:val="single"/>
        </w:rPr>
        <w:t xml:space="preserve">imposição ou não de direito </w:t>
      </w:r>
      <w:r w:rsidRPr="00631C50">
        <w:rPr>
          <w:rFonts w:ascii="Garamond" w:hAnsi="Garamond"/>
          <w:i/>
          <w:sz w:val="24"/>
          <w:u w:val="single"/>
        </w:rPr>
        <w:t>anti</w:t>
      </w:r>
      <w:r w:rsidRPr="00631C50">
        <w:rPr>
          <w:rFonts w:ascii="Garamond" w:hAnsi="Garamond"/>
          <w:sz w:val="24"/>
          <w:u w:val="single"/>
        </w:rPr>
        <w:t>-</w:t>
      </w:r>
      <w:r w:rsidRPr="00631C50">
        <w:rPr>
          <w:rFonts w:ascii="Garamond" w:hAnsi="Garamond"/>
          <w:i/>
          <w:sz w:val="24"/>
          <w:u w:val="single"/>
        </w:rPr>
        <w:t>dumping</w:t>
      </w:r>
      <w:r w:rsidRPr="00395593">
        <w:rPr>
          <w:rFonts w:ascii="Garamond" w:hAnsi="Garamond"/>
          <w:sz w:val="24"/>
        </w:rPr>
        <w:t>, quando estiverem preenchidos os requisitos</w:t>
      </w:r>
      <w:r w:rsidRPr="00395593">
        <w:rPr>
          <w:rFonts w:ascii="Garamond" w:hAnsi="Garamond"/>
          <w:spacing w:val="1"/>
          <w:sz w:val="24"/>
        </w:rPr>
        <w:t xml:space="preserve"> </w:t>
      </w:r>
      <w:r w:rsidRPr="00395593">
        <w:rPr>
          <w:rFonts w:ascii="Garamond" w:hAnsi="Garamond"/>
          <w:sz w:val="24"/>
        </w:rPr>
        <w:t xml:space="preserve">necessários, e a decisão, sobre se o montante do direito </w:t>
      </w:r>
      <w:r w:rsidRPr="00395593">
        <w:rPr>
          <w:rFonts w:ascii="Garamond" w:hAnsi="Garamond"/>
          <w:i/>
          <w:sz w:val="24"/>
        </w:rPr>
        <w:t>anti</w:t>
      </w:r>
      <w:r w:rsidRPr="00395593">
        <w:rPr>
          <w:rFonts w:ascii="Garamond" w:hAnsi="Garamond"/>
          <w:sz w:val="24"/>
        </w:rPr>
        <w:t>-</w:t>
      </w:r>
      <w:r w:rsidRPr="00395593">
        <w:rPr>
          <w:rFonts w:ascii="Garamond" w:hAnsi="Garamond"/>
          <w:i/>
          <w:sz w:val="24"/>
        </w:rPr>
        <w:t xml:space="preserve">dumping </w:t>
      </w:r>
      <w:r w:rsidRPr="00395593">
        <w:rPr>
          <w:rFonts w:ascii="Garamond" w:hAnsi="Garamond"/>
          <w:sz w:val="24"/>
        </w:rPr>
        <w:t>a ser imposto será a</w:t>
      </w:r>
      <w:r w:rsidRPr="00395593">
        <w:rPr>
          <w:rFonts w:ascii="Garamond" w:hAnsi="Garamond"/>
          <w:spacing w:val="1"/>
          <w:sz w:val="24"/>
        </w:rPr>
        <w:t xml:space="preserve"> </w:t>
      </w:r>
      <w:r w:rsidRPr="00395593">
        <w:rPr>
          <w:rFonts w:ascii="Garamond" w:hAnsi="Garamond"/>
          <w:sz w:val="24"/>
        </w:rPr>
        <w:t>totalidade da margem de</w:t>
      </w:r>
      <w:r w:rsidRPr="00395593">
        <w:rPr>
          <w:rFonts w:ascii="Garamond" w:hAnsi="Garamond"/>
          <w:spacing w:val="60"/>
          <w:sz w:val="24"/>
        </w:rPr>
        <w:t xml:space="preserve"> </w:t>
      </w:r>
      <w:r w:rsidRPr="00395593">
        <w:rPr>
          <w:rFonts w:ascii="Garamond" w:hAnsi="Garamond"/>
          <w:i/>
          <w:sz w:val="24"/>
        </w:rPr>
        <w:t xml:space="preserve">dumping </w:t>
      </w:r>
      <w:r w:rsidRPr="00395593">
        <w:rPr>
          <w:rFonts w:ascii="Garamond" w:hAnsi="Garamond"/>
          <w:sz w:val="24"/>
        </w:rPr>
        <w:t>ou menos do que esse valor. E desejável que o direito</w:t>
      </w:r>
      <w:r w:rsidRPr="00395593">
        <w:rPr>
          <w:rFonts w:ascii="Garamond" w:hAnsi="Garamond"/>
          <w:spacing w:val="1"/>
          <w:sz w:val="24"/>
        </w:rPr>
        <w:t xml:space="preserve"> </w:t>
      </w:r>
      <w:r w:rsidRPr="00395593">
        <w:rPr>
          <w:rFonts w:ascii="Garamond" w:hAnsi="Garamond"/>
          <w:sz w:val="24"/>
        </w:rPr>
        <w:t>seja facultativo no território de todos os Membros e que seu montante seja menor do que a</w:t>
      </w:r>
      <w:r w:rsidRPr="00395593">
        <w:rPr>
          <w:rFonts w:ascii="Garamond" w:hAnsi="Garamond"/>
          <w:spacing w:val="1"/>
          <w:sz w:val="24"/>
        </w:rPr>
        <w:t xml:space="preserve"> </w:t>
      </w:r>
      <w:r w:rsidRPr="00395593">
        <w:rPr>
          <w:rFonts w:ascii="Garamond" w:hAnsi="Garamond"/>
          <w:sz w:val="24"/>
        </w:rPr>
        <w:t xml:space="preserve">margem de </w:t>
      </w:r>
      <w:r w:rsidRPr="00395593">
        <w:rPr>
          <w:rFonts w:ascii="Garamond" w:hAnsi="Garamond"/>
          <w:i/>
          <w:sz w:val="24"/>
        </w:rPr>
        <w:t>dumping</w:t>
      </w:r>
      <w:r w:rsidRPr="00395593">
        <w:rPr>
          <w:rFonts w:ascii="Garamond" w:hAnsi="Garamond"/>
          <w:sz w:val="24"/>
        </w:rPr>
        <w:t>, caso tal valor inferior seja suficiente para eliminar o dano à indústria</w:t>
      </w:r>
      <w:r w:rsidRPr="00395593">
        <w:rPr>
          <w:rFonts w:ascii="Garamond" w:hAnsi="Garamond"/>
          <w:spacing w:val="1"/>
          <w:sz w:val="24"/>
        </w:rPr>
        <w:t xml:space="preserve"> </w:t>
      </w:r>
      <w:r w:rsidRPr="00395593">
        <w:rPr>
          <w:rFonts w:ascii="Garamond" w:hAnsi="Garamond"/>
          <w:sz w:val="24"/>
        </w:rPr>
        <w:t>nacional.</w:t>
      </w:r>
    </w:p>
    <w:p w14:paraId="6E094663" w14:textId="77777777" w:rsidR="00631C50" w:rsidRDefault="00631C50" w:rsidP="00356D6B">
      <w:pPr>
        <w:rPr>
          <w:rFonts w:ascii="Garamond" w:eastAsia="Times New Roman" w:hAnsi="Garamond" w:cs="Arial"/>
          <w:color w:val="162937"/>
          <w:sz w:val="24"/>
          <w:szCs w:val="24"/>
          <w:lang w:eastAsia="pt-BR"/>
        </w:rPr>
      </w:pPr>
    </w:p>
    <w:p w14:paraId="668B7F38" w14:textId="2134E913" w:rsidR="00631C50" w:rsidRDefault="00631C50" w:rsidP="00356D6B">
      <w:pPr>
        <w:rPr>
          <w:rFonts w:ascii="Garamond" w:eastAsia="Times New Roman" w:hAnsi="Garamond" w:cs="Arial"/>
          <w:color w:val="162937"/>
          <w:sz w:val="24"/>
          <w:szCs w:val="24"/>
          <w:lang w:eastAsia="pt-BR"/>
        </w:rPr>
      </w:pPr>
      <w:r w:rsidRPr="009675FB">
        <w:rPr>
          <w:rFonts w:ascii="Garamond" w:eastAsia="Times New Roman" w:hAnsi="Garamond" w:cs="Arial"/>
          <w:color w:val="162937"/>
          <w:sz w:val="24"/>
          <w:szCs w:val="24"/>
          <w:lang w:eastAsia="pt-BR"/>
        </w:rPr>
        <w:t>[...]</w:t>
      </w:r>
    </w:p>
    <w:p w14:paraId="66413CA3" w14:textId="48A72FD8" w:rsidR="00631C50" w:rsidRDefault="00CC7F15" w:rsidP="00356D6B">
      <w:pPr>
        <w:rPr>
          <w:rFonts w:ascii="Garamond" w:eastAsia="Times New Roman" w:hAnsi="Garamond" w:cs="Arial"/>
          <w:color w:val="162937"/>
          <w:sz w:val="24"/>
          <w:szCs w:val="24"/>
          <w:lang w:eastAsia="pt-BR"/>
        </w:rPr>
      </w:pPr>
      <w:r>
        <w:rPr>
          <w:rFonts w:ascii="Garamond" w:eastAsia="Times New Roman" w:hAnsi="Garamond" w:cs="Arial"/>
          <w:color w:val="162937"/>
          <w:sz w:val="24"/>
          <w:szCs w:val="24"/>
          <w:lang w:eastAsia="pt-BR"/>
        </w:rPr>
        <w:br w:type="page"/>
      </w:r>
    </w:p>
    <w:p w14:paraId="6FC01C31" w14:textId="77777777" w:rsidR="00356D6B" w:rsidRPr="00464D0F" w:rsidRDefault="001E4004" w:rsidP="00DF2936">
      <w:pPr>
        <w:pStyle w:val="Ttulo"/>
        <w:outlineLvl w:val="1"/>
      </w:pPr>
      <w:bookmarkStart w:id="172" w:name="_Toc96003823"/>
      <w:r w:rsidRPr="001E4004">
        <w:t>Decreto n° 8.058, de 26 de julho de 2013</w:t>
      </w:r>
      <w:bookmarkEnd w:id="172"/>
      <w:r w:rsidRPr="001E4004">
        <w:t xml:space="preserve"> </w:t>
      </w:r>
    </w:p>
    <w:p w14:paraId="074487FB" w14:textId="77777777" w:rsidR="006C7319" w:rsidRDefault="006C7319" w:rsidP="006C7319">
      <w:pPr>
        <w:rPr>
          <w:rFonts w:ascii="Garamond" w:eastAsia="Times New Roman" w:hAnsi="Garamond" w:cs="Arial"/>
          <w:color w:val="162937"/>
          <w:sz w:val="24"/>
          <w:szCs w:val="24"/>
          <w:lang w:eastAsia="pt-BR"/>
        </w:rPr>
      </w:pPr>
    </w:p>
    <w:p w14:paraId="6B21512B" w14:textId="77777777" w:rsidR="006C7319" w:rsidRDefault="006C7319" w:rsidP="006C7319">
      <w:pPr>
        <w:rPr>
          <w:rFonts w:ascii="Garamond" w:eastAsia="Times New Roman" w:hAnsi="Garamond" w:cs="Arial"/>
          <w:color w:val="162937"/>
          <w:sz w:val="24"/>
          <w:szCs w:val="24"/>
          <w:lang w:eastAsia="pt-BR"/>
        </w:rPr>
      </w:pPr>
      <w:r w:rsidRPr="009675FB">
        <w:rPr>
          <w:rFonts w:ascii="Garamond" w:eastAsia="Times New Roman" w:hAnsi="Garamond" w:cs="Arial"/>
          <w:color w:val="162937"/>
          <w:sz w:val="24"/>
          <w:szCs w:val="24"/>
          <w:lang w:eastAsia="pt-BR"/>
        </w:rPr>
        <w:t>[...]</w:t>
      </w:r>
    </w:p>
    <w:p w14:paraId="7833C62B" w14:textId="0324F8BC" w:rsidR="006C7319" w:rsidRDefault="00DF2936" w:rsidP="00DF2936">
      <w:pPr>
        <w:tabs>
          <w:tab w:val="left" w:pos="5460"/>
        </w:tabs>
        <w:rPr>
          <w:rFonts w:ascii="Garamond" w:eastAsia="Times New Roman" w:hAnsi="Garamond" w:cs="Arial"/>
          <w:color w:val="162937"/>
          <w:sz w:val="24"/>
          <w:szCs w:val="24"/>
          <w:lang w:eastAsia="pt-BR"/>
        </w:rPr>
      </w:pPr>
      <w:r w:rsidRPr="005C5CBD">
        <w:rPr>
          <w:rFonts w:ascii="Garamond" w:eastAsia="Times New Roman" w:hAnsi="Garamond" w:cs="Arial"/>
          <w:color w:val="162937"/>
          <w:sz w:val="24"/>
          <w:szCs w:val="24"/>
          <w:lang w:eastAsia="pt-BR"/>
        </w:rPr>
        <w:tab/>
      </w:r>
    </w:p>
    <w:p w14:paraId="1A191121" w14:textId="77777777" w:rsidR="00DE2F67" w:rsidRPr="009675FB" w:rsidRDefault="00DE2F67" w:rsidP="00DE2F67">
      <w:pPr>
        <w:tabs>
          <w:tab w:val="left" w:pos="3105"/>
        </w:tabs>
        <w:jc w:val="both"/>
        <w:rPr>
          <w:rFonts w:ascii="Garamond" w:hAnsi="Garamond" w:cstheme="majorHAnsi"/>
          <w:sz w:val="24"/>
          <w:szCs w:val="24"/>
        </w:rPr>
      </w:pPr>
      <w:r w:rsidRPr="009675FB">
        <w:rPr>
          <w:rFonts w:ascii="Garamond" w:hAnsi="Garamond" w:cstheme="majorHAnsi"/>
          <w:sz w:val="24"/>
          <w:szCs w:val="24"/>
          <w:u w:val="single"/>
        </w:rPr>
        <w:t>Art. 3º Em circunstâncias excepcionais, o Conselho de Ministros poderá, em razão de interesse público</w:t>
      </w:r>
      <w:r w:rsidRPr="009675FB">
        <w:rPr>
          <w:rFonts w:ascii="Garamond" w:hAnsi="Garamond" w:cstheme="majorHAnsi"/>
          <w:sz w:val="24"/>
          <w:szCs w:val="24"/>
        </w:rPr>
        <w:t>:</w:t>
      </w:r>
    </w:p>
    <w:p w14:paraId="4EB2EF03" w14:textId="77777777" w:rsidR="00DE2F67" w:rsidRPr="009675FB" w:rsidRDefault="00DE2F67" w:rsidP="00DE2F67">
      <w:pPr>
        <w:tabs>
          <w:tab w:val="left" w:pos="3105"/>
        </w:tabs>
        <w:jc w:val="both"/>
        <w:rPr>
          <w:rFonts w:ascii="Garamond" w:hAnsi="Garamond" w:cstheme="majorHAnsi"/>
          <w:sz w:val="24"/>
          <w:szCs w:val="24"/>
        </w:rPr>
      </w:pPr>
      <w:r w:rsidRPr="009675FB">
        <w:rPr>
          <w:rFonts w:ascii="Garamond" w:hAnsi="Garamond" w:cstheme="majorHAnsi"/>
          <w:sz w:val="24"/>
          <w:szCs w:val="24"/>
        </w:rPr>
        <w:t>I - suspender, por até um ano, prorrogável uma única vez por igual período, a exigibilidade de direito antidumping definitivo, ou de compromisso de preços, em vigor;</w:t>
      </w:r>
    </w:p>
    <w:p w14:paraId="41881FA1" w14:textId="50C230B5" w:rsidR="00DE2F67" w:rsidRPr="009675FB" w:rsidRDefault="00DE2F67" w:rsidP="00DE2F67">
      <w:pPr>
        <w:tabs>
          <w:tab w:val="left" w:pos="3105"/>
        </w:tabs>
        <w:jc w:val="both"/>
        <w:rPr>
          <w:rFonts w:ascii="Garamond" w:hAnsi="Garamond" w:cstheme="majorHAnsi"/>
          <w:sz w:val="24"/>
          <w:szCs w:val="24"/>
        </w:rPr>
      </w:pPr>
      <w:r w:rsidRPr="009675FB">
        <w:rPr>
          <w:rFonts w:ascii="Garamond" w:hAnsi="Garamond" w:cstheme="majorHAnsi"/>
          <w:sz w:val="24"/>
          <w:szCs w:val="24"/>
        </w:rPr>
        <w:t>II - não aplicar direitos antidumping provisórios; ou</w:t>
      </w:r>
    </w:p>
    <w:p w14:paraId="1E323FA7" w14:textId="44D37F9F" w:rsidR="00DE2F67" w:rsidRPr="009675FB" w:rsidRDefault="00DE2F67" w:rsidP="00DE2F67">
      <w:pPr>
        <w:tabs>
          <w:tab w:val="left" w:pos="3105"/>
        </w:tabs>
        <w:jc w:val="both"/>
        <w:rPr>
          <w:rFonts w:ascii="Garamond" w:hAnsi="Garamond" w:cstheme="majorHAnsi"/>
          <w:sz w:val="24"/>
          <w:szCs w:val="24"/>
        </w:rPr>
      </w:pPr>
      <w:r w:rsidRPr="009675FB">
        <w:rPr>
          <w:rFonts w:ascii="Garamond" w:hAnsi="Garamond" w:cstheme="majorHAnsi"/>
          <w:sz w:val="24"/>
          <w:szCs w:val="24"/>
        </w:rPr>
        <w:t>III- homologar compromisso de preços ou aplicar direito antidumping definitivo em valor diferente do que o recomendado, respeitado o disposto no § 4º do art. 67 e no § 2º do art. 78.</w:t>
      </w:r>
    </w:p>
    <w:p w14:paraId="08C0AD2F" w14:textId="77777777" w:rsidR="00DE2F67" w:rsidRPr="009675FB" w:rsidRDefault="00DE2F67" w:rsidP="00DE2F67">
      <w:pPr>
        <w:tabs>
          <w:tab w:val="left" w:pos="3105"/>
        </w:tabs>
        <w:jc w:val="both"/>
        <w:rPr>
          <w:rFonts w:ascii="Garamond" w:hAnsi="Garamond" w:cstheme="majorHAnsi"/>
          <w:sz w:val="24"/>
          <w:szCs w:val="24"/>
        </w:rPr>
      </w:pPr>
      <w:r w:rsidRPr="009675FB">
        <w:rPr>
          <w:rFonts w:ascii="Garamond" w:hAnsi="Garamond" w:cstheme="majorHAnsi"/>
          <w:sz w:val="24"/>
          <w:szCs w:val="24"/>
        </w:rPr>
        <w:t>§ 1º Os direitos antidumping ou os compromissos de preços suspensos com base no inciso I do caput poderão ser reaplicados a qualquer momento, por decisão do Conselho.</w:t>
      </w:r>
    </w:p>
    <w:p w14:paraId="62C08A70" w14:textId="77777777" w:rsidR="00DE2F67" w:rsidRPr="009675FB" w:rsidRDefault="00DE2F67" w:rsidP="00DE2F67">
      <w:pPr>
        <w:tabs>
          <w:tab w:val="left" w:pos="3105"/>
        </w:tabs>
        <w:jc w:val="both"/>
        <w:rPr>
          <w:rFonts w:ascii="Garamond" w:hAnsi="Garamond" w:cstheme="majorHAnsi"/>
          <w:sz w:val="24"/>
          <w:szCs w:val="24"/>
        </w:rPr>
      </w:pPr>
      <w:r w:rsidRPr="009675FB">
        <w:rPr>
          <w:rFonts w:ascii="Garamond" w:hAnsi="Garamond" w:cstheme="majorHAnsi"/>
          <w:sz w:val="24"/>
          <w:szCs w:val="24"/>
        </w:rPr>
        <w:t>§ 2º Os direitos antidumping ou os compromissos de preços serão extintos ao final do período de suspensão previsto no inciso I do caput, caso não tenham sido reaplicados nos termos do § 1º ou caso o ato de suspensão não estabelecer expressamente a reaplicação ao final do período de suspensão.</w:t>
      </w:r>
    </w:p>
    <w:p w14:paraId="0F8BC488" w14:textId="77777777" w:rsidR="00DE2F67" w:rsidRPr="009675FB" w:rsidRDefault="00DE2F67" w:rsidP="00DE2F67">
      <w:pPr>
        <w:tabs>
          <w:tab w:val="left" w:pos="3105"/>
        </w:tabs>
        <w:jc w:val="both"/>
        <w:rPr>
          <w:rFonts w:ascii="Garamond" w:hAnsi="Garamond" w:cstheme="majorHAnsi"/>
          <w:sz w:val="24"/>
          <w:szCs w:val="24"/>
        </w:rPr>
      </w:pPr>
      <w:r w:rsidRPr="009675FB">
        <w:rPr>
          <w:rFonts w:ascii="Garamond" w:hAnsi="Garamond" w:cstheme="majorHAnsi"/>
          <w:sz w:val="24"/>
          <w:szCs w:val="24"/>
        </w:rPr>
        <w:t>§ 3º Os setores industriais usuários do produto objeto da investigação e as organizações de consumidores poderão fornecer informações julgadas relevantes a respeito dos efeitos de uma determinação positiva de dumping, de dano e de nexo de causalidade entre ambos.</w:t>
      </w:r>
    </w:p>
    <w:p w14:paraId="7FFF40B6" w14:textId="77777777" w:rsidR="00DE2F67" w:rsidRPr="009675FB" w:rsidRDefault="00DE2F67" w:rsidP="00DE2F67">
      <w:pPr>
        <w:tabs>
          <w:tab w:val="left" w:pos="3105"/>
        </w:tabs>
        <w:jc w:val="both"/>
        <w:rPr>
          <w:rFonts w:ascii="Garamond" w:hAnsi="Garamond" w:cstheme="majorHAnsi"/>
          <w:sz w:val="24"/>
          <w:szCs w:val="24"/>
        </w:rPr>
      </w:pPr>
      <w:r w:rsidRPr="009675FB">
        <w:rPr>
          <w:rFonts w:ascii="Garamond" w:hAnsi="Garamond" w:cstheme="majorHAnsi"/>
          <w:sz w:val="24"/>
          <w:szCs w:val="24"/>
        </w:rPr>
        <w:t>§ 4º As informações fornecidas nos termos do § 3º deverão ser endereçadas à Secretaria-Executiva da CAMEX e serão consideradas no processo de tomada de decisão relativo a interesse público.</w:t>
      </w:r>
    </w:p>
    <w:p w14:paraId="7E6285DE" w14:textId="77777777" w:rsidR="00DE2F67" w:rsidRPr="009675FB" w:rsidRDefault="00DE2F67" w:rsidP="00DE2F67">
      <w:pPr>
        <w:tabs>
          <w:tab w:val="left" w:pos="3105"/>
        </w:tabs>
        <w:jc w:val="both"/>
        <w:rPr>
          <w:rFonts w:ascii="Garamond" w:hAnsi="Garamond" w:cstheme="majorHAnsi"/>
          <w:sz w:val="24"/>
          <w:szCs w:val="24"/>
        </w:rPr>
      </w:pPr>
      <w:r w:rsidRPr="009675FB">
        <w:rPr>
          <w:rFonts w:ascii="Garamond" w:hAnsi="Garamond" w:cstheme="majorHAnsi"/>
          <w:sz w:val="24"/>
          <w:szCs w:val="24"/>
        </w:rPr>
        <w:t>§ 5º A análise de interesse público deverá observar os procedimentos estabelecidos em ato específico publicado pela CAMEX.</w:t>
      </w:r>
    </w:p>
    <w:p w14:paraId="24B68A50" w14:textId="77777777" w:rsidR="00DE2F67" w:rsidRPr="009675FB" w:rsidRDefault="00DE2F67" w:rsidP="00DE2F67">
      <w:pPr>
        <w:tabs>
          <w:tab w:val="left" w:pos="3105"/>
        </w:tabs>
        <w:jc w:val="both"/>
        <w:rPr>
          <w:rFonts w:ascii="Garamond" w:hAnsi="Garamond" w:cstheme="majorHAnsi"/>
          <w:sz w:val="24"/>
          <w:szCs w:val="24"/>
        </w:rPr>
      </w:pPr>
      <w:r w:rsidRPr="009675FB">
        <w:rPr>
          <w:rFonts w:ascii="Garamond" w:hAnsi="Garamond" w:cstheme="majorHAnsi"/>
          <w:sz w:val="24"/>
          <w:szCs w:val="24"/>
        </w:rPr>
        <w:t>§ 6º As decisões do Conselho de Ministros, inclusive as amparadas em interesse público, deverão sempre se fazer acompanhar da fundamentação que as motivou.</w:t>
      </w:r>
    </w:p>
    <w:p w14:paraId="16CCC93F" w14:textId="77777777" w:rsidR="003770FC" w:rsidRDefault="003770FC" w:rsidP="00356D6B">
      <w:pPr>
        <w:rPr>
          <w:rFonts w:ascii="Garamond" w:eastAsia="Times New Roman" w:hAnsi="Garamond" w:cs="Arial"/>
          <w:color w:val="162937"/>
          <w:sz w:val="24"/>
          <w:szCs w:val="24"/>
          <w:lang w:eastAsia="pt-BR"/>
        </w:rPr>
      </w:pPr>
    </w:p>
    <w:p w14:paraId="32DB1749" w14:textId="6CFBE6A9" w:rsidR="00DE2F67" w:rsidRPr="009675FB" w:rsidRDefault="00DE2F67" w:rsidP="00356D6B">
      <w:pPr>
        <w:rPr>
          <w:rFonts w:ascii="Garamond" w:eastAsia="Times New Roman" w:hAnsi="Garamond" w:cs="Arial"/>
          <w:color w:val="162937"/>
          <w:sz w:val="24"/>
          <w:szCs w:val="24"/>
          <w:lang w:eastAsia="pt-BR"/>
        </w:rPr>
      </w:pPr>
      <w:r w:rsidRPr="009675FB">
        <w:rPr>
          <w:rFonts w:ascii="Garamond" w:eastAsia="Times New Roman" w:hAnsi="Garamond" w:cs="Arial"/>
          <w:color w:val="162937"/>
          <w:sz w:val="24"/>
          <w:szCs w:val="24"/>
          <w:lang w:eastAsia="pt-BR"/>
        </w:rPr>
        <w:t>[...]</w:t>
      </w:r>
    </w:p>
    <w:p w14:paraId="1C44DE00" w14:textId="77777777" w:rsidR="00356D6B" w:rsidRDefault="00356D6B">
      <w:pPr>
        <w:rPr>
          <w:rFonts w:ascii="Garamond" w:hAnsi="Garamond"/>
          <w:b/>
          <w:bCs/>
        </w:rPr>
      </w:pPr>
      <w:r w:rsidRPr="005C5CBD">
        <w:rPr>
          <w:rFonts w:ascii="Garamond" w:hAnsi="Garamond"/>
        </w:rPr>
        <w:br w:type="page"/>
      </w:r>
    </w:p>
    <w:p w14:paraId="514A39CE" w14:textId="1BBE8CA6" w:rsidR="001E097F" w:rsidRPr="00464D0F" w:rsidRDefault="001E097F" w:rsidP="00DF2936">
      <w:pPr>
        <w:pStyle w:val="Ttulo"/>
        <w:outlineLvl w:val="1"/>
      </w:pPr>
      <w:bookmarkStart w:id="173" w:name="_Toc96003824"/>
      <w:r w:rsidRPr="000C7719">
        <w:t xml:space="preserve">Acordo sobre </w:t>
      </w:r>
      <w:r>
        <w:t>Subsídios e Medidas Compensatórias</w:t>
      </w:r>
      <w:bookmarkEnd w:id="173"/>
      <w:r w:rsidR="001E4004" w:rsidRPr="001E4004">
        <w:t xml:space="preserve"> </w:t>
      </w:r>
    </w:p>
    <w:p w14:paraId="3A7FF099" w14:textId="77777777" w:rsidR="006C7319" w:rsidRDefault="006C7319" w:rsidP="006C7319">
      <w:pPr>
        <w:rPr>
          <w:rFonts w:ascii="Garamond" w:eastAsia="Times New Roman" w:hAnsi="Garamond" w:cs="Arial"/>
          <w:color w:val="162937"/>
          <w:sz w:val="24"/>
          <w:szCs w:val="24"/>
          <w:lang w:eastAsia="pt-BR"/>
        </w:rPr>
      </w:pPr>
    </w:p>
    <w:p w14:paraId="593DF88B" w14:textId="77777777" w:rsidR="006C7319" w:rsidRDefault="006C7319" w:rsidP="006C7319">
      <w:pPr>
        <w:rPr>
          <w:rFonts w:ascii="Garamond" w:eastAsia="Times New Roman" w:hAnsi="Garamond" w:cs="Arial"/>
          <w:color w:val="162937"/>
          <w:sz w:val="24"/>
          <w:szCs w:val="24"/>
          <w:lang w:eastAsia="pt-BR"/>
        </w:rPr>
      </w:pPr>
      <w:r w:rsidRPr="009675FB">
        <w:rPr>
          <w:rFonts w:ascii="Garamond" w:eastAsia="Times New Roman" w:hAnsi="Garamond" w:cs="Arial"/>
          <w:color w:val="162937"/>
          <w:sz w:val="24"/>
          <w:szCs w:val="24"/>
          <w:lang w:eastAsia="pt-BR"/>
        </w:rPr>
        <w:t>[...]</w:t>
      </w:r>
    </w:p>
    <w:p w14:paraId="3974D9F8" w14:textId="77777777" w:rsidR="006C7319" w:rsidRDefault="006C7319" w:rsidP="006C7319">
      <w:pPr>
        <w:rPr>
          <w:rFonts w:ascii="Garamond" w:eastAsia="Times New Roman" w:hAnsi="Garamond" w:cs="Arial"/>
          <w:color w:val="162937"/>
          <w:sz w:val="24"/>
          <w:szCs w:val="24"/>
          <w:lang w:eastAsia="pt-BR"/>
        </w:rPr>
      </w:pPr>
    </w:p>
    <w:p w14:paraId="198F3B6B" w14:textId="534F0C4A" w:rsidR="009675FB" w:rsidRPr="00395593" w:rsidRDefault="009675FB" w:rsidP="006C7319">
      <w:pPr>
        <w:widowControl w:val="0"/>
        <w:autoSpaceDE w:val="0"/>
        <w:autoSpaceDN w:val="0"/>
        <w:spacing w:before="1" w:after="0" w:line="240" w:lineRule="auto"/>
        <w:ind w:right="146"/>
        <w:jc w:val="center"/>
        <w:rPr>
          <w:rFonts w:ascii="Garamond" w:eastAsia="Times New Roman" w:hAnsi="Garamond" w:cs="Times New Roman"/>
          <w:b/>
          <w:sz w:val="24"/>
          <w:szCs w:val="24"/>
        </w:rPr>
      </w:pPr>
      <w:r w:rsidRPr="00395593">
        <w:rPr>
          <w:rFonts w:ascii="Garamond" w:eastAsia="Times New Roman" w:hAnsi="Garamond" w:cs="Times New Roman"/>
          <w:b/>
          <w:sz w:val="24"/>
          <w:szCs w:val="24"/>
        </w:rPr>
        <w:t>A</w:t>
      </w:r>
      <w:r w:rsidR="006C7319">
        <w:rPr>
          <w:rFonts w:ascii="Garamond" w:eastAsia="Times New Roman" w:hAnsi="Garamond" w:cs="Times New Roman"/>
          <w:b/>
          <w:sz w:val="24"/>
          <w:szCs w:val="24"/>
        </w:rPr>
        <w:t xml:space="preserve">rtigo </w:t>
      </w:r>
      <w:r w:rsidRPr="00395593">
        <w:rPr>
          <w:rFonts w:ascii="Garamond" w:eastAsia="Times New Roman" w:hAnsi="Garamond" w:cs="Times New Roman"/>
          <w:b/>
          <w:sz w:val="24"/>
          <w:szCs w:val="24"/>
        </w:rPr>
        <w:t>19</w:t>
      </w:r>
      <w:r w:rsidR="006C7319">
        <w:rPr>
          <w:rFonts w:ascii="Garamond" w:eastAsia="Times New Roman" w:hAnsi="Garamond" w:cs="Times New Roman"/>
          <w:b/>
          <w:sz w:val="24"/>
          <w:szCs w:val="24"/>
        </w:rPr>
        <w:t xml:space="preserve"> - </w:t>
      </w:r>
      <w:r w:rsidRPr="00395593">
        <w:rPr>
          <w:rFonts w:ascii="Garamond" w:eastAsia="Times New Roman" w:hAnsi="Garamond" w:cs="Times New Roman"/>
          <w:b/>
          <w:sz w:val="24"/>
          <w:szCs w:val="24"/>
        </w:rPr>
        <w:t>Imposição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e</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Percepção</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de</w:t>
      </w:r>
      <w:r w:rsidRPr="00395593">
        <w:rPr>
          <w:rFonts w:ascii="Garamond" w:eastAsia="Times New Roman" w:hAnsi="Garamond" w:cs="Times New Roman"/>
          <w:b/>
          <w:spacing w:val="-2"/>
          <w:sz w:val="24"/>
          <w:szCs w:val="24"/>
        </w:rPr>
        <w:t xml:space="preserve"> </w:t>
      </w:r>
      <w:r w:rsidRPr="00395593">
        <w:rPr>
          <w:rFonts w:ascii="Garamond" w:eastAsia="Times New Roman" w:hAnsi="Garamond" w:cs="Times New Roman"/>
          <w:b/>
          <w:sz w:val="24"/>
          <w:szCs w:val="24"/>
        </w:rPr>
        <w:t>Direitos</w:t>
      </w:r>
      <w:r w:rsidRPr="00395593">
        <w:rPr>
          <w:rFonts w:ascii="Garamond" w:eastAsia="Times New Roman" w:hAnsi="Garamond" w:cs="Times New Roman"/>
          <w:b/>
          <w:spacing w:val="-1"/>
          <w:sz w:val="24"/>
          <w:szCs w:val="24"/>
        </w:rPr>
        <w:t xml:space="preserve"> </w:t>
      </w:r>
      <w:r w:rsidRPr="00395593">
        <w:rPr>
          <w:rFonts w:ascii="Garamond" w:eastAsia="Times New Roman" w:hAnsi="Garamond" w:cs="Times New Roman"/>
          <w:b/>
          <w:sz w:val="24"/>
          <w:szCs w:val="24"/>
        </w:rPr>
        <w:t>Compensatórios</w:t>
      </w:r>
    </w:p>
    <w:p w14:paraId="26E72C79" w14:textId="77777777" w:rsidR="009675FB" w:rsidRPr="00395593" w:rsidRDefault="009675FB" w:rsidP="009675FB">
      <w:pPr>
        <w:widowControl w:val="0"/>
        <w:autoSpaceDE w:val="0"/>
        <w:autoSpaceDN w:val="0"/>
        <w:spacing w:after="0" w:line="240" w:lineRule="auto"/>
        <w:jc w:val="center"/>
        <w:rPr>
          <w:rFonts w:ascii="Garamond" w:eastAsia="Times New Roman" w:hAnsi="Garamond" w:cs="Times New Roman"/>
          <w:sz w:val="24"/>
          <w:szCs w:val="24"/>
        </w:rPr>
      </w:pPr>
    </w:p>
    <w:p w14:paraId="7312D640" w14:textId="3324C1C2" w:rsidR="009675FB" w:rsidRPr="006C7319" w:rsidRDefault="009675FB" w:rsidP="006C7319">
      <w:pPr>
        <w:pStyle w:val="PargrafodaLista"/>
        <w:widowControl w:val="0"/>
        <w:numPr>
          <w:ilvl w:val="0"/>
          <w:numId w:val="82"/>
        </w:numPr>
        <w:tabs>
          <w:tab w:val="left" w:pos="810"/>
        </w:tabs>
        <w:autoSpaceDE w:val="0"/>
        <w:autoSpaceDN w:val="0"/>
        <w:spacing w:after="0" w:line="240" w:lineRule="auto"/>
        <w:ind w:right="116"/>
        <w:jc w:val="both"/>
        <w:rPr>
          <w:rFonts w:ascii="Garamond" w:eastAsia="Times New Roman" w:hAnsi="Garamond" w:cs="Times New Roman"/>
          <w:sz w:val="24"/>
        </w:rPr>
      </w:pPr>
      <w:r w:rsidRPr="006C7319">
        <w:rPr>
          <w:rFonts w:ascii="Garamond" w:eastAsia="Times New Roman" w:hAnsi="Garamond" w:cs="Times New Roman"/>
          <w:sz w:val="24"/>
          <w:u w:val="single"/>
        </w:rPr>
        <w:t>São de competência das autoridades do Membro importador as decisões sobre impor</w:t>
      </w:r>
      <w:r w:rsidRPr="006C7319">
        <w:rPr>
          <w:rFonts w:ascii="Garamond" w:eastAsia="Times New Roman" w:hAnsi="Garamond" w:cs="Times New Roman"/>
          <w:spacing w:val="-57"/>
          <w:sz w:val="24"/>
          <w:u w:val="single"/>
        </w:rPr>
        <w:t xml:space="preserve">         </w:t>
      </w:r>
      <w:r w:rsidRPr="006C7319">
        <w:rPr>
          <w:rFonts w:ascii="Garamond" w:eastAsia="Times New Roman" w:hAnsi="Garamond" w:cs="Times New Roman"/>
          <w:sz w:val="24"/>
          <w:u w:val="single"/>
        </w:rPr>
        <w:t xml:space="preserve"> ou</w:t>
      </w:r>
      <w:r w:rsidRPr="006C7319">
        <w:rPr>
          <w:rFonts w:ascii="Garamond" w:eastAsia="Times New Roman" w:hAnsi="Garamond" w:cs="Times New Roman"/>
          <w:spacing w:val="1"/>
          <w:sz w:val="24"/>
          <w:u w:val="single"/>
        </w:rPr>
        <w:t xml:space="preserve"> </w:t>
      </w:r>
      <w:r w:rsidRPr="006C7319">
        <w:rPr>
          <w:rFonts w:ascii="Garamond" w:eastAsia="Times New Roman" w:hAnsi="Garamond" w:cs="Times New Roman"/>
          <w:sz w:val="24"/>
          <w:u w:val="single"/>
        </w:rPr>
        <w:t>não</w:t>
      </w:r>
      <w:r w:rsidRPr="006C7319">
        <w:rPr>
          <w:rFonts w:ascii="Garamond" w:eastAsia="Times New Roman" w:hAnsi="Garamond" w:cs="Times New Roman"/>
          <w:spacing w:val="1"/>
          <w:sz w:val="24"/>
          <w:u w:val="single"/>
        </w:rPr>
        <w:t xml:space="preserve"> </w:t>
      </w:r>
      <w:r w:rsidRPr="006C7319">
        <w:rPr>
          <w:rFonts w:ascii="Garamond" w:eastAsia="Times New Roman" w:hAnsi="Garamond" w:cs="Times New Roman"/>
          <w:sz w:val="24"/>
          <w:u w:val="single"/>
        </w:rPr>
        <w:t>direito</w:t>
      </w:r>
      <w:r w:rsidRPr="006C7319">
        <w:rPr>
          <w:rFonts w:ascii="Garamond" w:eastAsia="Times New Roman" w:hAnsi="Garamond" w:cs="Times New Roman"/>
          <w:spacing w:val="1"/>
          <w:sz w:val="24"/>
          <w:u w:val="single"/>
        </w:rPr>
        <w:t xml:space="preserve"> </w:t>
      </w:r>
      <w:r w:rsidRPr="006C7319">
        <w:rPr>
          <w:rFonts w:ascii="Garamond" w:eastAsia="Times New Roman" w:hAnsi="Garamond" w:cs="Times New Roman"/>
          <w:sz w:val="24"/>
          <w:u w:val="single"/>
        </w:rPr>
        <w:t>compensatório</w:t>
      </w:r>
      <w:r w:rsidRPr="006C7319">
        <w:rPr>
          <w:rFonts w:ascii="Garamond" w:eastAsia="Times New Roman" w:hAnsi="Garamond" w:cs="Times New Roman"/>
          <w:spacing w:val="1"/>
          <w:sz w:val="24"/>
        </w:rPr>
        <w:t xml:space="preserve"> </w:t>
      </w:r>
      <w:r w:rsidRPr="006C7319">
        <w:rPr>
          <w:rFonts w:ascii="Garamond" w:eastAsia="Times New Roman" w:hAnsi="Garamond" w:cs="Times New Roman"/>
          <w:sz w:val="24"/>
        </w:rPr>
        <w:t>naqueles</w:t>
      </w:r>
      <w:r w:rsidRPr="006C7319">
        <w:rPr>
          <w:rFonts w:ascii="Garamond" w:eastAsia="Times New Roman" w:hAnsi="Garamond" w:cs="Times New Roman"/>
          <w:spacing w:val="1"/>
          <w:sz w:val="24"/>
        </w:rPr>
        <w:t xml:space="preserve"> </w:t>
      </w:r>
      <w:r w:rsidRPr="006C7319">
        <w:rPr>
          <w:rFonts w:ascii="Garamond" w:eastAsia="Times New Roman" w:hAnsi="Garamond" w:cs="Times New Roman"/>
          <w:sz w:val="24"/>
        </w:rPr>
        <w:t>casos</w:t>
      </w:r>
      <w:r w:rsidRPr="006C7319">
        <w:rPr>
          <w:rFonts w:ascii="Garamond" w:eastAsia="Times New Roman" w:hAnsi="Garamond" w:cs="Times New Roman"/>
          <w:spacing w:val="1"/>
          <w:sz w:val="24"/>
        </w:rPr>
        <w:t xml:space="preserve"> </w:t>
      </w:r>
      <w:r w:rsidRPr="006C7319">
        <w:rPr>
          <w:rFonts w:ascii="Garamond" w:eastAsia="Times New Roman" w:hAnsi="Garamond" w:cs="Times New Roman"/>
          <w:sz w:val="24"/>
        </w:rPr>
        <w:t>em</w:t>
      </w:r>
      <w:r w:rsidRPr="006C7319">
        <w:rPr>
          <w:rFonts w:ascii="Garamond" w:eastAsia="Times New Roman" w:hAnsi="Garamond" w:cs="Times New Roman"/>
          <w:spacing w:val="1"/>
          <w:sz w:val="24"/>
        </w:rPr>
        <w:t xml:space="preserve"> </w:t>
      </w:r>
      <w:r w:rsidRPr="006C7319">
        <w:rPr>
          <w:rFonts w:ascii="Garamond" w:eastAsia="Times New Roman" w:hAnsi="Garamond" w:cs="Times New Roman"/>
          <w:sz w:val="24"/>
        </w:rPr>
        <w:t>que</w:t>
      </w:r>
      <w:r w:rsidRPr="006C7319">
        <w:rPr>
          <w:rFonts w:ascii="Garamond" w:eastAsia="Times New Roman" w:hAnsi="Garamond" w:cs="Times New Roman"/>
          <w:spacing w:val="1"/>
          <w:sz w:val="24"/>
        </w:rPr>
        <w:t xml:space="preserve"> </w:t>
      </w:r>
      <w:r w:rsidRPr="006C7319">
        <w:rPr>
          <w:rFonts w:ascii="Garamond" w:eastAsia="Times New Roman" w:hAnsi="Garamond" w:cs="Times New Roman"/>
          <w:sz w:val="24"/>
        </w:rPr>
        <w:t>todos</w:t>
      </w:r>
      <w:r w:rsidRPr="006C7319">
        <w:rPr>
          <w:rFonts w:ascii="Garamond" w:eastAsia="Times New Roman" w:hAnsi="Garamond" w:cs="Times New Roman"/>
          <w:spacing w:val="1"/>
          <w:sz w:val="24"/>
        </w:rPr>
        <w:t xml:space="preserve"> </w:t>
      </w:r>
      <w:r w:rsidRPr="006C7319">
        <w:rPr>
          <w:rFonts w:ascii="Garamond" w:eastAsia="Times New Roman" w:hAnsi="Garamond" w:cs="Times New Roman"/>
          <w:sz w:val="24"/>
        </w:rPr>
        <w:t>os</w:t>
      </w:r>
      <w:r w:rsidRPr="006C7319">
        <w:rPr>
          <w:rFonts w:ascii="Garamond" w:eastAsia="Times New Roman" w:hAnsi="Garamond" w:cs="Times New Roman"/>
          <w:spacing w:val="1"/>
          <w:sz w:val="24"/>
        </w:rPr>
        <w:t xml:space="preserve"> </w:t>
      </w:r>
      <w:r w:rsidRPr="006C7319">
        <w:rPr>
          <w:rFonts w:ascii="Garamond" w:eastAsia="Times New Roman" w:hAnsi="Garamond" w:cs="Times New Roman"/>
          <w:sz w:val="24"/>
        </w:rPr>
        <w:t>requisitos</w:t>
      </w:r>
      <w:r w:rsidRPr="006C7319">
        <w:rPr>
          <w:rFonts w:ascii="Garamond" w:eastAsia="Times New Roman" w:hAnsi="Garamond" w:cs="Times New Roman"/>
          <w:spacing w:val="1"/>
          <w:sz w:val="24"/>
        </w:rPr>
        <w:t xml:space="preserve"> </w:t>
      </w:r>
      <w:r w:rsidRPr="006C7319">
        <w:rPr>
          <w:rFonts w:ascii="Garamond" w:eastAsia="Times New Roman" w:hAnsi="Garamond" w:cs="Times New Roman"/>
          <w:sz w:val="24"/>
        </w:rPr>
        <w:t>para</w:t>
      </w:r>
      <w:r w:rsidRPr="006C7319">
        <w:rPr>
          <w:rFonts w:ascii="Garamond" w:eastAsia="Times New Roman" w:hAnsi="Garamond" w:cs="Times New Roman"/>
          <w:spacing w:val="60"/>
          <w:sz w:val="24"/>
        </w:rPr>
        <w:t xml:space="preserve"> </w:t>
      </w:r>
      <w:r w:rsidRPr="006C7319">
        <w:rPr>
          <w:rFonts w:ascii="Garamond" w:eastAsia="Times New Roman" w:hAnsi="Garamond" w:cs="Times New Roman"/>
          <w:sz w:val="24"/>
        </w:rPr>
        <w:t>fazê-lo</w:t>
      </w:r>
      <w:r w:rsidRPr="006C7319">
        <w:rPr>
          <w:rFonts w:ascii="Garamond" w:eastAsia="Times New Roman" w:hAnsi="Garamond" w:cs="Times New Roman"/>
          <w:spacing w:val="-57"/>
          <w:sz w:val="24"/>
        </w:rPr>
        <w:t xml:space="preserve">     </w:t>
      </w:r>
      <w:r w:rsidRPr="006C7319">
        <w:rPr>
          <w:rFonts w:ascii="Garamond" w:eastAsia="Times New Roman" w:hAnsi="Garamond" w:cs="Times New Roman"/>
          <w:sz w:val="24"/>
        </w:rPr>
        <w:t xml:space="preserve"> tiverem sido preenchidos e sobre se o montante do direito compensatório deve ser igual ou</w:t>
      </w:r>
      <w:r w:rsidRPr="006C7319">
        <w:rPr>
          <w:rFonts w:ascii="Garamond" w:eastAsia="Times New Roman" w:hAnsi="Garamond" w:cs="Times New Roman"/>
          <w:spacing w:val="1"/>
          <w:sz w:val="24"/>
        </w:rPr>
        <w:t xml:space="preserve"> </w:t>
      </w:r>
      <w:r w:rsidRPr="006C7319">
        <w:rPr>
          <w:rFonts w:ascii="Garamond" w:eastAsia="Times New Roman" w:hAnsi="Garamond" w:cs="Times New Roman"/>
          <w:sz w:val="24"/>
        </w:rPr>
        <w:t>menor do que a totalidade do subsídio. É desejável que a imposição seja facultativa no</w:t>
      </w:r>
      <w:r w:rsidRPr="006C7319">
        <w:rPr>
          <w:rFonts w:ascii="Garamond" w:eastAsia="Times New Roman" w:hAnsi="Garamond" w:cs="Times New Roman"/>
          <w:spacing w:val="1"/>
          <w:sz w:val="24"/>
        </w:rPr>
        <w:t xml:space="preserve"> </w:t>
      </w:r>
      <w:r w:rsidRPr="006C7319">
        <w:rPr>
          <w:rFonts w:ascii="Garamond" w:eastAsia="Times New Roman" w:hAnsi="Garamond" w:cs="Times New Roman"/>
          <w:sz w:val="24"/>
        </w:rPr>
        <w:t>território</w:t>
      </w:r>
      <w:r w:rsidRPr="006C7319">
        <w:rPr>
          <w:rFonts w:ascii="Garamond" w:eastAsia="Times New Roman" w:hAnsi="Garamond" w:cs="Times New Roman"/>
          <w:spacing w:val="29"/>
          <w:sz w:val="24"/>
        </w:rPr>
        <w:t xml:space="preserve"> </w:t>
      </w:r>
      <w:r w:rsidRPr="006C7319">
        <w:rPr>
          <w:rFonts w:ascii="Garamond" w:eastAsia="Times New Roman" w:hAnsi="Garamond" w:cs="Times New Roman"/>
          <w:sz w:val="24"/>
        </w:rPr>
        <w:t>de</w:t>
      </w:r>
      <w:r w:rsidRPr="006C7319">
        <w:rPr>
          <w:rFonts w:ascii="Garamond" w:eastAsia="Times New Roman" w:hAnsi="Garamond" w:cs="Times New Roman"/>
          <w:spacing w:val="29"/>
          <w:sz w:val="24"/>
        </w:rPr>
        <w:t xml:space="preserve"> </w:t>
      </w:r>
      <w:r w:rsidRPr="006C7319">
        <w:rPr>
          <w:rFonts w:ascii="Garamond" w:eastAsia="Times New Roman" w:hAnsi="Garamond" w:cs="Times New Roman"/>
          <w:sz w:val="24"/>
        </w:rPr>
        <w:t>todos</w:t>
      </w:r>
      <w:r w:rsidRPr="006C7319">
        <w:rPr>
          <w:rFonts w:ascii="Garamond" w:eastAsia="Times New Roman" w:hAnsi="Garamond" w:cs="Times New Roman"/>
          <w:spacing w:val="31"/>
          <w:sz w:val="24"/>
        </w:rPr>
        <w:t xml:space="preserve"> </w:t>
      </w:r>
      <w:r w:rsidRPr="006C7319">
        <w:rPr>
          <w:rFonts w:ascii="Garamond" w:eastAsia="Times New Roman" w:hAnsi="Garamond" w:cs="Times New Roman"/>
          <w:sz w:val="24"/>
        </w:rPr>
        <w:t>os</w:t>
      </w:r>
      <w:r w:rsidRPr="006C7319">
        <w:rPr>
          <w:rFonts w:ascii="Garamond" w:eastAsia="Times New Roman" w:hAnsi="Garamond" w:cs="Times New Roman"/>
          <w:spacing w:val="30"/>
          <w:sz w:val="24"/>
        </w:rPr>
        <w:t xml:space="preserve"> </w:t>
      </w:r>
      <w:r w:rsidRPr="006C7319">
        <w:rPr>
          <w:rFonts w:ascii="Garamond" w:eastAsia="Times New Roman" w:hAnsi="Garamond" w:cs="Times New Roman"/>
          <w:sz w:val="24"/>
        </w:rPr>
        <w:t>Membros</w:t>
      </w:r>
      <w:r w:rsidRPr="006C7319">
        <w:rPr>
          <w:rFonts w:ascii="Garamond" w:eastAsia="Times New Roman" w:hAnsi="Garamond" w:cs="Times New Roman"/>
          <w:spacing w:val="31"/>
          <w:sz w:val="24"/>
        </w:rPr>
        <w:t xml:space="preserve"> </w:t>
      </w:r>
      <w:r w:rsidRPr="006C7319">
        <w:rPr>
          <w:rFonts w:ascii="Garamond" w:eastAsia="Times New Roman" w:hAnsi="Garamond" w:cs="Times New Roman"/>
          <w:sz w:val="24"/>
        </w:rPr>
        <w:t>que</w:t>
      </w:r>
      <w:r w:rsidRPr="006C7319">
        <w:rPr>
          <w:rFonts w:ascii="Garamond" w:eastAsia="Times New Roman" w:hAnsi="Garamond" w:cs="Times New Roman"/>
          <w:spacing w:val="29"/>
          <w:sz w:val="24"/>
        </w:rPr>
        <w:t xml:space="preserve"> </w:t>
      </w:r>
      <w:r w:rsidRPr="006C7319">
        <w:rPr>
          <w:rFonts w:ascii="Garamond" w:eastAsia="Times New Roman" w:hAnsi="Garamond" w:cs="Times New Roman"/>
          <w:sz w:val="24"/>
        </w:rPr>
        <w:t>o</w:t>
      </w:r>
      <w:r w:rsidRPr="006C7319">
        <w:rPr>
          <w:rFonts w:ascii="Garamond" w:eastAsia="Times New Roman" w:hAnsi="Garamond" w:cs="Times New Roman"/>
          <w:spacing w:val="29"/>
          <w:sz w:val="24"/>
        </w:rPr>
        <w:t xml:space="preserve"> </w:t>
      </w:r>
      <w:r w:rsidRPr="006C7319">
        <w:rPr>
          <w:rFonts w:ascii="Garamond" w:eastAsia="Times New Roman" w:hAnsi="Garamond" w:cs="Times New Roman"/>
          <w:sz w:val="24"/>
        </w:rPr>
        <w:t>direito</w:t>
      </w:r>
      <w:r w:rsidRPr="006C7319">
        <w:rPr>
          <w:rFonts w:ascii="Garamond" w:eastAsia="Times New Roman" w:hAnsi="Garamond" w:cs="Times New Roman"/>
          <w:spacing w:val="30"/>
          <w:sz w:val="24"/>
        </w:rPr>
        <w:t xml:space="preserve"> </w:t>
      </w:r>
      <w:r w:rsidRPr="006C7319">
        <w:rPr>
          <w:rFonts w:ascii="Garamond" w:eastAsia="Times New Roman" w:hAnsi="Garamond" w:cs="Times New Roman"/>
          <w:sz w:val="24"/>
        </w:rPr>
        <w:t>seja</w:t>
      </w:r>
      <w:r w:rsidRPr="006C7319">
        <w:rPr>
          <w:rFonts w:ascii="Garamond" w:eastAsia="Times New Roman" w:hAnsi="Garamond" w:cs="Times New Roman"/>
          <w:spacing w:val="29"/>
          <w:sz w:val="24"/>
        </w:rPr>
        <w:t xml:space="preserve"> </w:t>
      </w:r>
      <w:r w:rsidRPr="006C7319">
        <w:rPr>
          <w:rFonts w:ascii="Garamond" w:eastAsia="Times New Roman" w:hAnsi="Garamond" w:cs="Times New Roman"/>
          <w:sz w:val="24"/>
        </w:rPr>
        <w:t>inferior</w:t>
      </w:r>
      <w:r w:rsidRPr="006C7319">
        <w:rPr>
          <w:rFonts w:ascii="Garamond" w:eastAsia="Times New Roman" w:hAnsi="Garamond" w:cs="Times New Roman"/>
          <w:spacing w:val="30"/>
          <w:sz w:val="24"/>
        </w:rPr>
        <w:t xml:space="preserve"> </w:t>
      </w:r>
      <w:r w:rsidRPr="006C7319">
        <w:rPr>
          <w:rFonts w:ascii="Garamond" w:eastAsia="Times New Roman" w:hAnsi="Garamond" w:cs="Times New Roman"/>
          <w:sz w:val="24"/>
        </w:rPr>
        <w:t>ao</w:t>
      </w:r>
      <w:r w:rsidRPr="006C7319">
        <w:rPr>
          <w:rFonts w:ascii="Garamond" w:eastAsia="Times New Roman" w:hAnsi="Garamond" w:cs="Times New Roman"/>
          <w:spacing w:val="29"/>
          <w:sz w:val="24"/>
        </w:rPr>
        <w:t xml:space="preserve"> </w:t>
      </w:r>
      <w:r w:rsidRPr="006C7319">
        <w:rPr>
          <w:rFonts w:ascii="Garamond" w:eastAsia="Times New Roman" w:hAnsi="Garamond" w:cs="Times New Roman"/>
          <w:sz w:val="24"/>
        </w:rPr>
        <w:t>montante</w:t>
      </w:r>
      <w:r w:rsidRPr="006C7319">
        <w:rPr>
          <w:rFonts w:ascii="Garamond" w:eastAsia="Times New Roman" w:hAnsi="Garamond" w:cs="Times New Roman"/>
          <w:spacing w:val="30"/>
          <w:sz w:val="24"/>
        </w:rPr>
        <w:t xml:space="preserve"> </w:t>
      </w:r>
      <w:r w:rsidRPr="006C7319">
        <w:rPr>
          <w:rFonts w:ascii="Garamond" w:eastAsia="Times New Roman" w:hAnsi="Garamond" w:cs="Times New Roman"/>
          <w:sz w:val="24"/>
        </w:rPr>
        <w:t>total</w:t>
      </w:r>
      <w:r w:rsidRPr="006C7319">
        <w:rPr>
          <w:rFonts w:ascii="Garamond" w:eastAsia="Times New Roman" w:hAnsi="Garamond" w:cs="Times New Roman"/>
          <w:spacing w:val="29"/>
          <w:sz w:val="24"/>
        </w:rPr>
        <w:t xml:space="preserve"> </w:t>
      </w:r>
      <w:r w:rsidRPr="006C7319">
        <w:rPr>
          <w:rFonts w:ascii="Garamond" w:eastAsia="Times New Roman" w:hAnsi="Garamond" w:cs="Times New Roman"/>
          <w:sz w:val="24"/>
        </w:rPr>
        <w:t>do</w:t>
      </w:r>
      <w:r w:rsidRPr="006C7319">
        <w:rPr>
          <w:rFonts w:ascii="Garamond" w:eastAsia="Times New Roman" w:hAnsi="Garamond" w:cs="Times New Roman"/>
          <w:spacing w:val="29"/>
          <w:sz w:val="24"/>
        </w:rPr>
        <w:t xml:space="preserve"> </w:t>
      </w:r>
      <w:r w:rsidRPr="006C7319">
        <w:rPr>
          <w:rFonts w:ascii="Garamond" w:eastAsia="Times New Roman" w:hAnsi="Garamond" w:cs="Times New Roman"/>
          <w:sz w:val="24"/>
        </w:rPr>
        <w:t>subsídio,</w:t>
      </w:r>
      <w:r w:rsidRPr="006C7319">
        <w:rPr>
          <w:rFonts w:ascii="Garamond" w:eastAsia="Times New Roman" w:hAnsi="Garamond" w:cs="Times New Roman"/>
          <w:spacing w:val="-57"/>
          <w:sz w:val="24"/>
        </w:rPr>
        <w:t xml:space="preserve"> </w:t>
      </w:r>
      <w:r w:rsidRPr="006C7319">
        <w:rPr>
          <w:rFonts w:ascii="Garamond" w:eastAsia="Times New Roman" w:hAnsi="Garamond" w:cs="Times New Roman"/>
          <w:sz w:val="24"/>
        </w:rPr>
        <w:t>caso tal direito inferior sela suficiente para eliminar o dano causado à indústria nacional e</w:t>
      </w:r>
      <w:r w:rsidRPr="006C7319">
        <w:rPr>
          <w:rFonts w:ascii="Garamond" w:eastAsia="Times New Roman" w:hAnsi="Garamond" w:cs="Times New Roman"/>
          <w:spacing w:val="1"/>
          <w:sz w:val="24"/>
        </w:rPr>
        <w:t xml:space="preserve"> </w:t>
      </w:r>
      <w:r w:rsidRPr="006C7319">
        <w:rPr>
          <w:rFonts w:ascii="Garamond" w:eastAsia="Times New Roman" w:hAnsi="Garamond" w:cs="Times New Roman"/>
          <w:sz w:val="24"/>
        </w:rPr>
        <w:t>que</w:t>
      </w:r>
      <w:r w:rsidRPr="006C7319">
        <w:rPr>
          <w:rFonts w:ascii="Garamond" w:eastAsia="Times New Roman" w:hAnsi="Garamond" w:cs="Times New Roman"/>
          <w:spacing w:val="56"/>
          <w:sz w:val="24"/>
        </w:rPr>
        <w:t xml:space="preserve"> </w:t>
      </w:r>
      <w:r w:rsidRPr="006C7319">
        <w:rPr>
          <w:rFonts w:ascii="Garamond" w:eastAsia="Times New Roman" w:hAnsi="Garamond" w:cs="Times New Roman"/>
          <w:sz w:val="24"/>
        </w:rPr>
        <w:t>se</w:t>
      </w:r>
      <w:r w:rsidRPr="006C7319">
        <w:rPr>
          <w:rFonts w:ascii="Garamond" w:eastAsia="Times New Roman" w:hAnsi="Garamond" w:cs="Times New Roman"/>
          <w:spacing w:val="58"/>
          <w:sz w:val="24"/>
        </w:rPr>
        <w:t xml:space="preserve"> </w:t>
      </w:r>
      <w:r w:rsidRPr="006C7319">
        <w:rPr>
          <w:rFonts w:ascii="Garamond" w:eastAsia="Times New Roman" w:hAnsi="Garamond" w:cs="Times New Roman"/>
          <w:sz w:val="24"/>
        </w:rPr>
        <w:t>tomem</w:t>
      </w:r>
      <w:r w:rsidRPr="006C7319">
        <w:rPr>
          <w:rFonts w:ascii="Garamond" w:eastAsia="Times New Roman" w:hAnsi="Garamond" w:cs="Times New Roman"/>
          <w:spacing w:val="58"/>
          <w:sz w:val="24"/>
        </w:rPr>
        <w:t xml:space="preserve"> </w:t>
      </w:r>
      <w:r w:rsidRPr="006C7319">
        <w:rPr>
          <w:rFonts w:ascii="Garamond" w:eastAsia="Times New Roman" w:hAnsi="Garamond" w:cs="Times New Roman"/>
          <w:sz w:val="24"/>
        </w:rPr>
        <w:t>providências</w:t>
      </w:r>
      <w:r w:rsidRPr="006C7319">
        <w:rPr>
          <w:rFonts w:ascii="Garamond" w:eastAsia="Times New Roman" w:hAnsi="Garamond" w:cs="Times New Roman"/>
          <w:spacing w:val="58"/>
          <w:sz w:val="24"/>
        </w:rPr>
        <w:t xml:space="preserve"> </w:t>
      </w:r>
      <w:r w:rsidRPr="006C7319">
        <w:rPr>
          <w:rFonts w:ascii="Garamond" w:eastAsia="Times New Roman" w:hAnsi="Garamond" w:cs="Times New Roman"/>
          <w:sz w:val="24"/>
        </w:rPr>
        <w:t>no sentido</w:t>
      </w:r>
      <w:r w:rsidRPr="006C7319">
        <w:rPr>
          <w:rFonts w:ascii="Garamond" w:eastAsia="Times New Roman" w:hAnsi="Garamond" w:cs="Times New Roman"/>
          <w:spacing w:val="57"/>
          <w:sz w:val="24"/>
        </w:rPr>
        <w:t xml:space="preserve"> </w:t>
      </w:r>
      <w:r w:rsidRPr="006C7319">
        <w:rPr>
          <w:rFonts w:ascii="Garamond" w:eastAsia="Times New Roman" w:hAnsi="Garamond" w:cs="Times New Roman"/>
          <w:sz w:val="24"/>
        </w:rPr>
        <w:t>de</w:t>
      </w:r>
      <w:r w:rsidRPr="006C7319">
        <w:rPr>
          <w:rFonts w:ascii="Garamond" w:eastAsia="Times New Roman" w:hAnsi="Garamond" w:cs="Times New Roman"/>
          <w:spacing w:val="57"/>
          <w:sz w:val="24"/>
        </w:rPr>
        <w:t xml:space="preserve"> </w:t>
      </w:r>
      <w:r w:rsidRPr="006C7319">
        <w:rPr>
          <w:rFonts w:ascii="Garamond" w:eastAsia="Times New Roman" w:hAnsi="Garamond" w:cs="Times New Roman"/>
          <w:sz w:val="24"/>
        </w:rPr>
        <w:t>permitir</w:t>
      </w:r>
      <w:r w:rsidRPr="006C7319">
        <w:rPr>
          <w:rFonts w:ascii="Garamond" w:eastAsia="Times New Roman" w:hAnsi="Garamond" w:cs="Times New Roman"/>
          <w:spacing w:val="58"/>
          <w:sz w:val="24"/>
        </w:rPr>
        <w:t xml:space="preserve"> </w:t>
      </w:r>
      <w:r w:rsidRPr="006C7319">
        <w:rPr>
          <w:rFonts w:ascii="Garamond" w:eastAsia="Times New Roman" w:hAnsi="Garamond" w:cs="Times New Roman"/>
          <w:sz w:val="24"/>
        </w:rPr>
        <w:t>às</w:t>
      </w:r>
      <w:r w:rsidRPr="006C7319">
        <w:rPr>
          <w:rFonts w:ascii="Garamond" w:eastAsia="Times New Roman" w:hAnsi="Garamond" w:cs="Times New Roman"/>
          <w:spacing w:val="58"/>
          <w:sz w:val="24"/>
        </w:rPr>
        <w:t xml:space="preserve"> </w:t>
      </w:r>
      <w:r w:rsidRPr="006C7319">
        <w:rPr>
          <w:rFonts w:ascii="Garamond" w:eastAsia="Times New Roman" w:hAnsi="Garamond" w:cs="Times New Roman"/>
          <w:sz w:val="24"/>
        </w:rPr>
        <w:t>autoridades</w:t>
      </w:r>
      <w:r w:rsidRPr="006C7319">
        <w:rPr>
          <w:rFonts w:ascii="Garamond" w:eastAsia="Times New Roman" w:hAnsi="Garamond" w:cs="Times New Roman"/>
          <w:spacing w:val="59"/>
          <w:sz w:val="24"/>
        </w:rPr>
        <w:t xml:space="preserve"> </w:t>
      </w:r>
      <w:r w:rsidRPr="006C7319">
        <w:rPr>
          <w:rFonts w:ascii="Garamond" w:eastAsia="Times New Roman" w:hAnsi="Garamond" w:cs="Times New Roman"/>
          <w:sz w:val="24"/>
        </w:rPr>
        <w:t>competentes</w:t>
      </w:r>
      <w:r w:rsidRPr="006C7319">
        <w:rPr>
          <w:rFonts w:ascii="Garamond" w:eastAsia="Times New Roman" w:hAnsi="Garamond" w:cs="Times New Roman"/>
          <w:spacing w:val="57"/>
          <w:sz w:val="24"/>
        </w:rPr>
        <w:t xml:space="preserve"> </w:t>
      </w:r>
      <w:r w:rsidRPr="006C7319">
        <w:rPr>
          <w:rFonts w:ascii="Garamond" w:eastAsia="Times New Roman" w:hAnsi="Garamond" w:cs="Times New Roman"/>
          <w:sz w:val="24"/>
        </w:rPr>
        <w:t>avaliar</w:t>
      </w:r>
      <w:r w:rsidRPr="006C7319">
        <w:rPr>
          <w:rFonts w:ascii="Garamond" w:eastAsia="Times New Roman" w:hAnsi="Garamond" w:cs="Times New Roman"/>
          <w:spacing w:val="-57"/>
          <w:sz w:val="24"/>
        </w:rPr>
        <w:t xml:space="preserve"> </w:t>
      </w:r>
      <w:r w:rsidRPr="006C7319">
        <w:rPr>
          <w:rFonts w:ascii="Garamond" w:eastAsia="Times New Roman" w:hAnsi="Garamond" w:cs="Times New Roman"/>
          <w:sz w:val="24"/>
        </w:rPr>
        <w:t xml:space="preserve">corretamente as representações feitas por partes nacionais interessadas </w:t>
      </w:r>
      <w:r w:rsidRPr="006C7319">
        <w:rPr>
          <w:rFonts w:ascii="Garamond" w:eastAsia="Times New Roman" w:hAnsi="Garamond" w:cs="Times New Roman"/>
          <w:sz w:val="24"/>
          <w:vertAlign w:val="superscript"/>
        </w:rPr>
        <w:t>50</w:t>
      </w:r>
      <w:r w:rsidRPr="006C7319">
        <w:rPr>
          <w:rFonts w:ascii="Garamond" w:eastAsia="Times New Roman" w:hAnsi="Garamond" w:cs="Times New Roman"/>
          <w:sz w:val="24"/>
        </w:rPr>
        <w:t>, cujos interesses</w:t>
      </w:r>
      <w:r w:rsidRPr="006C7319">
        <w:rPr>
          <w:rFonts w:ascii="Garamond" w:eastAsia="Times New Roman" w:hAnsi="Garamond" w:cs="Times New Roman"/>
          <w:spacing w:val="1"/>
          <w:sz w:val="24"/>
        </w:rPr>
        <w:t xml:space="preserve"> </w:t>
      </w:r>
      <w:r w:rsidRPr="006C7319">
        <w:rPr>
          <w:rFonts w:ascii="Garamond" w:eastAsia="Times New Roman" w:hAnsi="Garamond" w:cs="Times New Roman"/>
          <w:sz w:val="24"/>
        </w:rPr>
        <w:t>tenham</w:t>
      </w:r>
      <w:r w:rsidRPr="006C7319">
        <w:rPr>
          <w:rFonts w:ascii="Garamond" w:eastAsia="Times New Roman" w:hAnsi="Garamond" w:cs="Times New Roman"/>
          <w:spacing w:val="-1"/>
          <w:sz w:val="24"/>
        </w:rPr>
        <w:t xml:space="preserve"> </w:t>
      </w:r>
      <w:r w:rsidRPr="006C7319">
        <w:rPr>
          <w:rFonts w:ascii="Garamond" w:eastAsia="Times New Roman" w:hAnsi="Garamond" w:cs="Times New Roman"/>
          <w:sz w:val="24"/>
        </w:rPr>
        <w:t>sido prejudicados</w:t>
      </w:r>
      <w:r w:rsidRPr="006C7319">
        <w:rPr>
          <w:rFonts w:ascii="Garamond" w:eastAsia="Times New Roman" w:hAnsi="Garamond" w:cs="Times New Roman"/>
          <w:spacing w:val="2"/>
          <w:sz w:val="24"/>
        </w:rPr>
        <w:t xml:space="preserve"> </w:t>
      </w:r>
      <w:r w:rsidRPr="006C7319">
        <w:rPr>
          <w:rFonts w:ascii="Garamond" w:eastAsia="Times New Roman" w:hAnsi="Garamond" w:cs="Times New Roman"/>
          <w:sz w:val="24"/>
        </w:rPr>
        <w:t>pela</w:t>
      </w:r>
      <w:r w:rsidRPr="006C7319">
        <w:rPr>
          <w:rFonts w:ascii="Garamond" w:eastAsia="Times New Roman" w:hAnsi="Garamond" w:cs="Times New Roman"/>
          <w:spacing w:val="-1"/>
          <w:sz w:val="24"/>
        </w:rPr>
        <w:t xml:space="preserve"> </w:t>
      </w:r>
      <w:r w:rsidRPr="006C7319">
        <w:rPr>
          <w:rFonts w:ascii="Garamond" w:eastAsia="Times New Roman" w:hAnsi="Garamond" w:cs="Times New Roman"/>
          <w:sz w:val="24"/>
        </w:rPr>
        <w:t>imposição de</w:t>
      </w:r>
      <w:r w:rsidRPr="006C7319">
        <w:rPr>
          <w:rFonts w:ascii="Garamond" w:eastAsia="Times New Roman" w:hAnsi="Garamond" w:cs="Times New Roman"/>
          <w:spacing w:val="-1"/>
          <w:sz w:val="24"/>
        </w:rPr>
        <w:t xml:space="preserve"> </w:t>
      </w:r>
      <w:r w:rsidRPr="006C7319">
        <w:rPr>
          <w:rFonts w:ascii="Garamond" w:eastAsia="Times New Roman" w:hAnsi="Garamond" w:cs="Times New Roman"/>
          <w:sz w:val="24"/>
        </w:rPr>
        <w:t>um direito</w:t>
      </w:r>
      <w:r w:rsidRPr="006C7319">
        <w:rPr>
          <w:rFonts w:ascii="Garamond" w:eastAsia="Times New Roman" w:hAnsi="Garamond" w:cs="Times New Roman"/>
          <w:spacing w:val="-1"/>
          <w:sz w:val="24"/>
        </w:rPr>
        <w:t xml:space="preserve"> </w:t>
      </w:r>
      <w:r w:rsidRPr="006C7319">
        <w:rPr>
          <w:rFonts w:ascii="Garamond" w:eastAsia="Times New Roman" w:hAnsi="Garamond" w:cs="Times New Roman"/>
          <w:sz w:val="24"/>
        </w:rPr>
        <w:t>compensatório.</w:t>
      </w:r>
    </w:p>
    <w:p w14:paraId="0D1995B0" w14:textId="77777777" w:rsidR="006C7319" w:rsidRDefault="006C7319" w:rsidP="006C7319">
      <w:pPr>
        <w:rPr>
          <w:rFonts w:ascii="Garamond" w:eastAsia="Times New Roman" w:hAnsi="Garamond" w:cs="Arial"/>
          <w:color w:val="162937"/>
          <w:sz w:val="24"/>
          <w:szCs w:val="24"/>
          <w:lang w:eastAsia="pt-BR"/>
        </w:rPr>
      </w:pPr>
    </w:p>
    <w:p w14:paraId="2990286D" w14:textId="77777777" w:rsidR="006C7319" w:rsidRDefault="006C7319" w:rsidP="006C7319">
      <w:pPr>
        <w:rPr>
          <w:rFonts w:ascii="Garamond" w:eastAsia="Times New Roman" w:hAnsi="Garamond" w:cs="Arial"/>
          <w:color w:val="162937"/>
          <w:sz w:val="24"/>
          <w:szCs w:val="24"/>
          <w:lang w:eastAsia="pt-BR"/>
        </w:rPr>
      </w:pPr>
      <w:r w:rsidRPr="009675FB">
        <w:rPr>
          <w:rFonts w:ascii="Garamond" w:eastAsia="Times New Roman" w:hAnsi="Garamond" w:cs="Arial"/>
          <w:color w:val="162937"/>
          <w:sz w:val="24"/>
          <w:szCs w:val="24"/>
          <w:lang w:eastAsia="pt-BR"/>
        </w:rPr>
        <w:t>[...]</w:t>
      </w:r>
    </w:p>
    <w:p w14:paraId="7D825C3D" w14:textId="38D28078" w:rsidR="006C7319" w:rsidRDefault="00CC7F15" w:rsidP="001E097F">
      <w:pPr>
        <w:rPr>
          <w:rFonts w:ascii="Garamond" w:eastAsia="Times New Roman" w:hAnsi="Garamond" w:cs="Arial"/>
          <w:color w:val="162937"/>
          <w:sz w:val="24"/>
          <w:szCs w:val="24"/>
          <w:lang w:eastAsia="pt-BR"/>
        </w:rPr>
      </w:pPr>
      <w:r>
        <w:rPr>
          <w:rFonts w:ascii="Garamond" w:eastAsia="Times New Roman" w:hAnsi="Garamond" w:cs="Arial"/>
          <w:color w:val="162937"/>
          <w:sz w:val="24"/>
          <w:szCs w:val="24"/>
          <w:lang w:eastAsia="pt-BR"/>
        </w:rPr>
        <w:br w:type="page"/>
      </w:r>
    </w:p>
    <w:p w14:paraId="6271834B" w14:textId="18B8CC22" w:rsidR="001E097F" w:rsidRPr="00464D0F" w:rsidRDefault="001E4004" w:rsidP="00DF2936">
      <w:pPr>
        <w:pStyle w:val="Ttulo"/>
        <w:outlineLvl w:val="1"/>
      </w:pPr>
      <w:bookmarkStart w:id="174" w:name="_Toc96003825"/>
      <w:r w:rsidRPr="001E4004">
        <w:t xml:space="preserve">Decreto n° </w:t>
      </w:r>
      <w:r w:rsidR="00497E87">
        <w:t>10.839,</w:t>
      </w:r>
      <w:r w:rsidRPr="001E4004">
        <w:t xml:space="preserve"> de </w:t>
      </w:r>
      <w:r w:rsidR="00497E87">
        <w:t>18</w:t>
      </w:r>
      <w:r w:rsidRPr="001E4004">
        <w:t xml:space="preserve"> de </w:t>
      </w:r>
      <w:r w:rsidR="00497E87">
        <w:t>outubro</w:t>
      </w:r>
      <w:r w:rsidRPr="001E4004">
        <w:t xml:space="preserve"> de 20</w:t>
      </w:r>
      <w:r w:rsidR="00497E87">
        <w:t>21</w:t>
      </w:r>
      <w:bookmarkEnd w:id="174"/>
      <w:r w:rsidRPr="001E4004">
        <w:t xml:space="preserve"> </w:t>
      </w:r>
    </w:p>
    <w:p w14:paraId="6D5342ED" w14:textId="77777777" w:rsidR="006C7319" w:rsidRDefault="006C7319" w:rsidP="006C7319">
      <w:pPr>
        <w:rPr>
          <w:rFonts w:ascii="Garamond" w:eastAsia="Times New Roman" w:hAnsi="Garamond" w:cs="Arial"/>
          <w:color w:val="162937"/>
          <w:sz w:val="24"/>
          <w:szCs w:val="24"/>
          <w:lang w:eastAsia="pt-BR"/>
        </w:rPr>
      </w:pPr>
    </w:p>
    <w:p w14:paraId="2E3B692C" w14:textId="77777777" w:rsidR="006C7319" w:rsidRDefault="006C7319" w:rsidP="006C7319">
      <w:pPr>
        <w:rPr>
          <w:rFonts w:ascii="Garamond" w:eastAsia="Times New Roman" w:hAnsi="Garamond" w:cs="Arial"/>
          <w:color w:val="162937"/>
          <w:sz w:val="24"/>
          <w:szCs w:val="24"/>
          <w:lang w:eastAsia="pt-BR"/>
        </w:rPr>
      </w:pPr>
      <w:r w:rsidRPr="009675FB">
        <w:rPr>
          <w:rFonts w:ascii="Garamond" w:eastAsia="Times New Roman" w:hAnsi="Garamond" w:cs="Arial"/>
          <w:color w:val="162937"/>
          <w:sz w:val="24"/>
          <w:szCs w:val="24"/>
          <w:lang w:eastAsia="pt-BR"/>
        </w:rPr>
        <w:t>[...]</w:t>
      </w:r>
    </w:p>
    <w:p w14:paraId="383E8631" w14:textId="77777777" w:rsidR="006C7319" w:rsidRDefault="006C7319" w:rsidP="006C7319">
      <w:pPr>
        <w:rPr>
          <w:rFonts w:ascii="Garamond" w:eastAsia="Times New Roman" w:hAnsi="Garamond" w:cs="Arial"/>
          <w:color w:val="162937"/>
          <w:sz w:val="24"/>
          <w:szCs w:val="24"/>
          <w:lang w:eastAsia="pt-BR"/>
        </w:rPr>
      </w:pPr>
    </w:p>
    <w:p w14:paraId="72B77A5B" w14:textId="77777777" w:rsidR="000F0BC5" w:rsidRPr="00395593" w:rsidRDefault="000F0BC5" w:rsidP="000F0BC5">
      <w:pPr>
        <w:pStyle w:val="dou-paragraph"/>
        <w:shd w:val="clear" w:color="auto" w:fill="FFFFFF"/>
        <w:spacing w:before="0" w:beforeAutospacing="0" w:after="150" w:afterAutospacing="0"/>
        <w:jc w:val="both"/>
        <w:rPr>
          <w:rFonts w:ascii="Garamond" w:hAnsi="Garamond" w:cs="Arial"/>
          <w:color w:val="162937"/>
        </w:rPr>
      </w:pPr>
      <w:r w:rsidRPr="000F0BC5">
        <w:rPr>
          <w:rFonts w:ascii="Garamond" w:hAnsi="Garamond" w:cs="Arial"/>
          <w:color w:val="162937"/>
          <w:u w:val="single"/>
        </w:rPr>
        <w:t>Art. 4º Em circunstâncias excepcionais, em razão de interesse público, a Câmara de Comércio Exterior poderá</w:t>
      </w:r>
      <w:r w:rsidRPr="00395593">
        <w:rPr>
          <w:rFonts w:ascii="Garamond" w:hAnsi="Garamond" w:cs="Arial"/>
          <w:color w:val="162937"/>
        </w:rPr>
        <w:t>:</w:t>
      </w:r>
    </w:p>
    <w:p w14:paraId="03DDDA84" w14:textId="77777777" w:rsidR="000F0BC5" w:rsidRPr="00395593" w:rsidRDefault="000F0BC5" w:rsidP="000F0BC5">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suspender a exigibilidade de direito compensatório definitivo ou de compromisso em vigor;</w:t>
      </w:r>
    </w:p>
    <w:p w14:paraId="7114AB54" w14:textId="77777777" w:rsidR="000F0BC5" w:rsidRPr="00395593" w:rsidRDefault="000F0BC5" w:rsidP="000F0BC5">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II - não aplicar medidas compensatórias provisórias; ou</w:t>
      </w:r>
    </w:p>
    <w:p w14:paraId="40FDAA41" w14:textId="77777777" w:rsidR="000F0BC5" w:rsidRPr="00395593" w:rsidRDefault="000F0BC5" w:rsidP="000F0BC5">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III - homologar compromisso ou aplicar direito compensatório definitivo em valor diferente do recomendado, respeitado o disposto no § 4º do art. 63 e no </w:t>
      </w:r>
      <w:r w:rsidRPr="00395593">
        <w:rPr>
          <w:rFonts w:ascii="Garamond" w:hAnsi="Garamond" w:cs="Arial"/>
          <w:b/>
          <w:color w:val="162937"/>
        </w:rPr>
        <w:t>caput</w:t>
      </w:r>
      <w:r w:rsidRPr="00395593">
        <w:rPr>
          <w:rFonts w:ascii="Garamond" w:hAnsi="Garamond" w:cs="Arial"/>
          <w:color w:val="162937"/>
        </w:rPr>
        <w:t xml:space="preserve"> do art. 74.</w:t>
      </w:r>
    </w:p>
    <w:p w14:paraId="5E795973" w14:textId="77777777" w:rsidR="000F0BC5" w:rsidRPr="00395593" w:rsidRDefault="000F0BC5" w:rsidP="000F0BC5">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1º Nas hipóteses previstas nos incisos I e III do </w:t>
      </w:r>
      <w:r w:rsidRPr="00395593">
        <w:rPr>
          <w:rFonts w:ascii="Garamond" w:hAnsi="Garamond" w:cs="Arial"/>
          <w:b/>
          <w:color w:val="162937"/>
        </w:rPr>
        <w:t>caput</w:t>
      </w:r>
      <w:r w:rsidRPr="00395593">
        <w:rPr>
          <w:rFonts w:ascii="Garamond" w:hAnsi="Garamond" w:cs="Arial"/>
          <w:color w:val="162937"/>
        </w:rPr>
        <w:t>, caso o ato de suspensão ou de alteração não estabeleça expressamente o prazo, a suspensão ou a alteração subsistirá pelo período de vigência remanescente da medida compensatória.</w:t>
      </w:r>
    </w:p>
    <w:p w14:paraId="706988CF" w14:textId="77777777" w:rsidR="000F0BC5" w:rsidRPr="00395593" w:rsidRDefault="000F0BC5" w:rsidP="000F0BC5">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2º Na hipótese prevista no inciso I do </w:t>
      </w:r>
      <w:r w:rsidRPr="00395593">
        <w:rPr>
          <w:rFonts w:ascii="Garamond" w:hAnsi="Garamond" w:cs="Arial"/>
          <w:b/>
          <w:color w:val="162937"/>
        </w:rPr>
        <w:t>caput</w:t>
      </w:r>
      <w:r w:rsidRPr="00395593">
        <w:rPr>
          <w:rFonts w:ascii="Garamond" w:hAnsi="Garamond" w:cs="Arial"/>
          <w:color w:val="162937"/>
        </w:rPr>
        <w:t>, o ato de suspensão poderá estabelecer expressamente a reaplicação automática dos direitos compensatórios ou dos compromissos ao final do período de suspensão previsto.</w:t>
      </w:r>
    </w:p>
    <w:p w14:paraId="1BB26CF4" w14:textId="77777777" w:rsidR="000F0BC5" w:rsidRPr="00395593" w:rsidRDefault="000F0BC5" w:rsidP="000F0BC5">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 3º Os direitos compensatórios ou os compromissos suspensos na forma prevista no inciso I do </w:t>
      </w:r>
      <w:r w:rsidRPr="00395593">
        <w:rPr>
          <w:rFonts w:ascii="Garamond" w:hAnsi="Garamond" w:cs="Arial"/>
          <w:b/>
          <w:color w:val="162937"/>
        </w:rPr>
        <w:t>caput</w:t>
      </w:r>
      <w:r w:rsidRPr="00395593">
        <w:rPr>
          <w:rFonts w:ascii="Garamond" w:hAnsi="Garamond" w:cs="Arial"/>
          <w:color w:val="162937"/>
        </w:rPr>
        <w:t>:</w:t>
      </w:r>
    </w:p>
    <w:p w14:paraId="270A9AF1" w14:textId="77777777" w:rsidR="000F0BC5" w:rsidRPr="00395593" w:rsidRDefault="000F0BC5" w:rsidP="000F0BC5">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I - poderão ser reaplicados a qualquer momento por decisão da Câmara de Comércio Exterior; ou</w:t>
      </w:r>
    </w:p>
    <w:p w14:paraId="5CE6E245" w14:textId="77777777" w:rsidR="000F0BC5" w:rsidRPr="00395593" w:rsidRDefault="000F0BC5" w:rsidP="000F0BC5">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xml:space="preserve">II - se não forem reaplicados no prazo estabelecido no </w:t>
      </w:r>
      <w:r w:rsidRPr="00395593">
        <w:rPr>
          <w:rFonts w:ascii="Garamond" w:hAnsi="Garamond" w:cs="Arial"/>
          <w:b/>
          <w:color w:val="162937"/>
        </w:rPr>
        <w:t>caput</w:t>
      </w:r>
      <w:r w:rsidRPr="00395593">
        <w:rPr>
          <w:rFonts w:ascii="Garamond" w:hAnsi="Garamond" w:cs="Arial"/>
          <w:color w:val="162937"/>
        </w:rPr>
        <w:t xml:space="preserve"> do art. 108, serão automaticamente extintos após o encerramento de sua vigência.</w:t>
      </w:r>
    </w:p>
    <w:p w14:paraId="20835F4A" w14:textId="77777777" w:rsidR="000F0BC5" w:rsidRPr="00395593" w:rsidRDefault="000F0BC5" w:rsidP="000F0BC5">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4º As partes interessadas nacionais, os setores industriais usuários do produto objeto da investigação e os consumidores cujos interesses sejam adversamente afetados poderão fornecer informações consideradas relevantes a respeito dos efeitos de imposição de medidas compensatórias.</w:t>
      </w:r>
    </w:p>
    <w:p w14:paraId="6AEB54C6" w14:textId="77777777" w:rsidR="000F0BC5" w:rsidRPr="00395593" w:rsidRDefault="000F0BC5" w:rsidP="000F0BC5">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5º As diretrizes sobre a avaliação de interesse público de que trata este artigo serão estabelecidas pela Câmara de Comércio Exterior.</w:t>
      </w:r>
    </w:p>
    <w:p w14:paraId="6120274A" w14:textId="77777777" w:rsidR="000F0BC5" w:rsidRPr="00395593" w:rsidRDefault="000F0BC5" w:rsidP="000F0BC5">
      <w:pPr>
        <w:pStyle w:val="dou-paragraph"/>
        <w:shd w:val="clear" w:color="auto" w:fill="FFFFFF"/>
        <w:spacing w:before="0" w:beforeAutospacing="0" w:after="150" w:afterAutospacing="0"/>
        <w:ind w:firstLine="1200"/>
        <w:jc w:val="both"/>
        <w:rPr>
          <w:rFonts w:ascii="Garamond" w:hAnsi="Garamond" w:cs="Arial"/>
          <w:color w:val="162937"/>
        </w:rPr>
      </w:pPr>
      <w:r w:rsidRPr="00395593">
        <w:rPr>
          <w:rFonts w:ascii="Garamond" w:hAnsi="Garamond" w:cs="Arial"/>
          <w:color w:val="162937"/>
        </w:rPr>
        <w:t>§ 6º As decisões da Câmara de Comércio Exterior, inclusive aquelas amparadas nas hipóteses de interesse público, serão acompanhadas da fundamentação que as motivou.</w:t>
      </w:r>
    </w:p>
    <w:p w14:paraId="6485B4C9" w14:textId="77777777" w:rsidR="006C7319" w:rsidRDefault="006C7319" w:rsidP="006C7319">
      <w:pPr>
        <w:rPr>
          <w:rFonts w:ascii="Garamond" w:eastAsia="Times New Roman" w:hAnsi="Garamond" w:cs="Arial"/>
          <w:color w:val="162937"/>
          <w:sz w:val="24"/>
          <w:szCs w:val="24"/>
          <w:lang w:eastAsia="pt-BR"/>
        </w:rPr>
      </w:pPr>
    </w:p>
    <w:p w14:paraId="78756001" w14:textId="77777777" w:rsidR="006C7319" w:rsidRDefault="006C7319" w:rsidP="006C7319">
      <w:pPr>
        <w:rPr>
          <w:rFonts w:ascii="Garamond" w:eastAsia="Times New Roman" w:hAnsi="Garamond" w:cs="Arial"/>
          <w:color w:val="162937"/>
          <w:sz w:val="24"/>
          <w:szCs w:val="24"/>
          <w:lang w:eastAsia="pt-BR"/>
        </w:rPr>
      </w:pPr>
      <w:r w:rsidRPr="009675FB">
        <w:rPr>
          <w:rFonts w:ascii="Garamond" w:eastAsia="Times New Roman" w:hAnsi="Garamond" w:cs="Arial"/>
          <w:color w:val="162937"/>
          <w:sz w:val="24"/>
          <w:szCs w:val="24"/>
          <w:lang w:eastAsia="pt-BR"/>
        </w:rPr>
        <w:t>[...]</w:t>
      </w:r>
    </w:p>
    <w:p w14:paraId="49F0F029" w14:textId="77777777" w:rsidR="006C7319" w:rsidRDefault="006C7319" w:rsidP="006C7319">
      <w:pPr>
        <w:rPr>
          <w:rFonts w:ascii="Garamond" w:eastAsia="Times New Roman" w:hAnsi="Garamond" w:cs="Arial"/>
          <w:color w:val="162937"/>
          <w:sz w:val="24"/>
          <w:szCs w:val="24"/>
          <w:lang w:eastAsia="pt-BR"/>
        </w:rPr>
      </w:pPr>
    </w:p>
    <w:p w14:paraId="50C41A2E" w14:textId="2F4C5C62" w:rsidR="00B518FA" w:rsidRDefault="00B518FA">
      <w:pPr>
        <w:rPr>
          <w:rFonts w:ascii="Garamond" w:eastAsia="Times New Roman" w:hAnsi="Garamond" w:cs="Arial"/>
          <w:color w:val="162937"/>
          <w:sz w:val="24"/>
          <w:szCs w:val="24"/>
          <w:lang w:eastAsia="pt-BR"/>
        </w:rPr>
      </w:pPr>
      <w:r>
        <w:rPr>
          <w:rFonts w:ascii="Garamond" w:eastAsia="Times New Roman" w:hAnsi="Garamond" w:cs="Arial"/>
          <w:color w:val="162937"/>
          <w:sz w:val="24"/>
          <w:szCs w:val="24"/>
          <w:lang w:eastAsia="pt-BR"/>
        </w:rPr>
        <w:br w:type="page"/>
      </w:r>
    </w:p>
    <w:p w14:paraId="65BD091A" w14:textId="6BFC1C6B" w:rsidR="00497E87" w:rsidRPr="00464D0F" w:rsidRDefault="00497E87" w:rsidP="00DF2936">
      <w:pPr>
        <w:pStyle w:val="Ttulo"/>
        <w:outlineLvl w:val="1"/>
      </w:pPr>
      <w:bookmarkStart w:id="175" w:name="_Toc96003826"/>
      <w:r w:rsidRPr="000C7719">
        <w:t xml:space="preserve">Acordo </w:t>
      </w:r>
      <w:r>
        <w:t>de Salvaguarda</w:t>
      </w:r>
      <w:bookmarkEnd w:id="175"/>
      <w:r w:rsidR="001E4004" w:rsidRPr="001E4004">
        <w:t xml:space="preserve"> </w:t>
      </w:r>
    </w:p>
    <w:p w14:paraId="7064F7CD" w14:textId="77777777" w:rsidR="006C7319" w:rsidRDefault="006C7319" w:rsidP="006C7319">
      <w:pPr>
        <w:rPr>
          <w:rFonts w:ascii="Garamond" w:eastAsia="Times New Roman" w:hAnsi="Garamond" w:cs="Arial"/>
          <w:color w:val="162937"/>
          <w:sz w:val="24"/>
          <w:szCs w:val="24"/>
          <w:lang w:eastAsia="pt-BR"/>
        </w:rPr>
      </w:pPr>
    </w:p>
    <w:p w14:paraId="6C8376BF" w14:textId="77777777" w:rsidR="006C7319" w:rsidRDefault="006C7319" w:rsidP="006C7319">
      <w:pPr>
        <w:rPr>
          <w:rFonts w:ascii="Garamond" w:eastAsia="Times New Roman" w:hAnsi="Garamond" w:cs="Arial"/>
          <w:color w:val="162937"/>
          <w:sz w:val="24"/>
          <w:szCs w:val="24"/>
          <w:lang w:eastAsia="pt-BR"/>
        </w:rPr>
      </w:pPr>
      <w:r w:rsidRPr="009675FB">
        <w:rPr>
          <w:rFonts w:ascii="Garamond" w:eastAsia="Times New Roman" w:hAnsi="Garamond" w:cs="Arial"/>
          <w:color w:val="162937"/>
          <w:sz w:val="24"/>
          <w:szCs w:val="24"/>
          <w:lang w:eastAsia="pt-BR"/>
        </w:rPr>
        <w:t>[...]</w:t>
      </w:r>
    </w:p>
    <w:p w14:paraId="0A6F6039" w14:textId="77777777" w:rsidR="006C7319" w:rsidRDefault="006C7319" w:rsidP="006C7319">
      <w:pPr>
        <w:rPr>
          <w:rFonts w:ascii="Garamond" w:eastAsia="Times New Roman" w:hAnsi="Garamond" w:cs="Arial"/>
          <w:color w:val="162937"/>
          <w:sz w:val="24"/>
          <w:szCs w:val="24"/>
          <w:lang w:eastAsia="pt-BR"/>
        </w:rPr>
      </w:pPr>
    </w:p>
    <w:p w14:paraId="47102B9A" w14:textId="77777777" w:rsidR="00270CB2" w:rsidRPr="00395593" w:rsidRDefault="00270CB2" w:rsidP="00270CB2">
      <w:pPr>
        <w:pStyle w:val="Corpodetexto"/>
        <w:spacing w:line="360" w:lineRule="auto"/>
        <w:ind w:left="1416" w:right="3833" w:firstLine="708"/>
        <w:jc w:val="center"/>
        <w:rPr>
          <w:rFonts w:ascii="Garamond" w:hAnsi="Garamond"/>
          <w:b/>
        </w:rPr>
      </w:pPr>
      <w:r w:rsidRPr="00395593">
        <w:rPr>
          <w:rFonts w:ascii="Garamond" w:hAnsi="Garamond"/>
          <w:b/>
        </w:rPr>
        <w:t>Artigo 3</w:t>
      </w:r>
      <w:r w:rsidRPr="00395593">
        <w:rPr>
          <w:rFonts w:ascii="Garamond" w:hAnsi="Garamond"/>
          <w:b/>
          <w:spacing w:val="1"/>
        </w:rPr>
        <w:t xml:space="preserve"> </w:t>
      </w:r>
      <w:r w:rsidRPr="00395593">
        <w:rPr>
          <w:rFonts w:ascii="Garamond" w:hAnsi="Garamond"/>
          <w:b/>
          <w:spacing w:val="-1"/>
        </w:rPr>
        <w:t>Investigação</w:t>
      </w:r>
    </w:p>
    <w:p w14:paraId="526589C9" w14:textId="358C9C3B" w:rsidR="00270CB2" w:rsidRPr="00270CB2" w:rsidRDefault="00270CB2" w:rsidP="00270CB2">
      <w:pPr>
        <w:pStyle w:val="PargrafodaLista"/>
        <w:widowControl w:val="0"/>
        <w:numPr>
          <w:ilvl w:val="0"/>
          <w:numId w:val="83"/>
        </w:numPr>
        <w:tabs>
          <w:tab w:val="left" w:pos="472"/>
        </w:tabs>
        <w:autoSpaceDE w:val="0"/>
        <w:autoSpaceDN w:val="0"/>
        <w:spacing w:after="0" w:line="240" w:lineRule="auto"/>
        <w:ind w:right="160"/>
        <w:jc w:val="both"/>
        <w:rPr>
          <w:rFonts w:ascii="Garamond" w:hAnsi="Garamond"/>
          <w:sz w:val="24"/>
        </w:rPr>
      </w:pPr>
      <w:r w:rsidRPr="00270CB2">
        <w:rPr>
          <w:rFonts w:ascii="Garamond" w:hAnsi="Garamond"/>
          <w:sz w:val="24"/>
        </w:rPr>
        <w:t>Um Membro só poderá aplicar uma medida de salvaguarda após investigação conduzida</w:t>
      </w:r>
      <w:r w:rsidRPr="00270CB2">
        <w:rPr>
          <w:rFonts w:ascii="Garamond" w:hAnsi="Garamond"/>
          <w:spacing w:val="1"/>
          <w:sz w:val="24"/>
        </w:rPr>
        <w:t xml:space="preserve"> </w:t>
      </w:r>
      <w:r w:rsidRPr="00270CB2">
        <w:rPr>
          <w:rFonts w:ascii="Garamond" w:hAnsi="Garamond"/>
          <w:sz w:val="24"/>
        </w:rPr>
        <w:t>por</w:t>
      </w:r>
      <w:r w:rsidRPr="00270CB2">
        <w:rPr>
          <w:rFonts w:ascii="Garamond" w:hAnsi="Garamond"/>
          <w:spacing w:val="1"/>
          <w:sz w:val="24"/>
        </w:rPr>
        <w:t xml:space="preserve"> </w:t>
      </w:r>
      <w:r w:rsidRPr="00270CB2">
        <w:rPr>
          <w:rFonts w:ascii="Garamond" w:hAnsi="Garamond"/>
          <w:sz w:val="24"/>
        </w:rPr>
        <w:t>suas</w:t>
      </w:r>
      <w:r w:rsidRPr="00270CB2">
        <w:rPr>
          <w:rFonts w:ascii="Garamond" w:hAnsi="Garamond"/>
          <w:spacing w:val="1"/>
          <w:sz w:val="24"/>
        </w:rPr>
        <w:t xml:space="preserve"> </w:t>
      </w:r>
      <w:r w:rsidRPr="00270CB2">
        <w:rPr>
          <w:rFonts w:ascii="Garamond" w:hAnsi="Garamond"/>
          <w:sz w:val="24"/>
        </w:rPr>
        <w:t>autoridades</w:t>
      </w:r>
      <w:r w:rsidRPr="00270CB2">
        <w:rPr>
          <w:rFonts w:ascii="Garamond" w:hAnsi="Garamond"/>
          <w:spacing w:val="1"/>
          <w:sz w:val="24"/>
        </w:rPr>
        <w:t xml:space="preserve"> </w:t>
      </w:r>
      <w:r w:rsidRPr="00270CB2">
        <w:rPr>
          <w:rFonts w:ascii="Garamond" w:hAnsi="Garamond"/>
          <w:sz w:val="24"/>
        </w:rPr>
        <w:t>competentes</w:t>
      </w:r>
      <w:r w:rsidRPr="00270CB2">
        <w:rPr>
          <w:rFonts w:ascii="Garamond" w:hAnsi="Garamond"/>
          <w:spacing w:val="1"/>
          <w:sz w:val="24"/>
        </w:rPr>
        <w:t xml:space="preserve"> </w:t>
      </w:r>
      <w:r w:rsidRPr="00270CB2">
        <w:rPr>
          <w:rFonts w:ascii="Garamond" w:hAnsi="Garamond"/>
          <w:sz w:val="24"/>
        </w:rPr>
        <w:t>de</w:t>
      </w:r>
      <w:r w:rsidRPr="00270CB2">
        <w:rPr>
          <w:rFonts w:ascii="Garamond" w:hAnsi="Garamond"/>
          <w:spacing w:val="1"/>
          <w:sz w:val="24"/>
        </w:rPr>
        <w:t xml:space="preserve"> </w:t>
      </w:r>
      <w:r w:rsidRPr="00270CB2">
        <w:rPr>
          <w:rFonts w:ascii="Garamond" w:hAnsi="Garamond"/>
          <w:sz w:val="24"/>
        </w:rPr>
        <w:t>conformidade</w:t>
      </w:r>
      <w:r w:rsidRPr="00270CB2">
        <w:rPr>
          <w:rFonts w:ascii="Garamond" w:hAnsi="Garamond"/>
          <w:spacing w:val="1"/>
          <w:sz w:val="24"/>
        </w:rPr>
        <w:t xml:space="preserve"> </w:t>
      </w:r>
      <w:r w:rsidRPr="00270CB2">
        <w:rPr>
          <w:rFonts w:ascii="Garamond" w:hAnsi="Garamond"/>
          <w:sz w:val="24"/>
        </w:rPr>
        <w:t>com</w:t>
      </w:r>
      <w:r w:rsidRPr="00270CB2">
        <w:rPr>
          <w:rFonts w:ascii="Garamond" w:hAnsi="Garamond"/>
          <w:spacing w:val="1"/>
          <w:sz w:val="24"/>
        </w:rPr>
        <w:t xml:space="preserve"> </w:t>
      </w:r>
      <w:r w:rsidRPr="00270CB2">
        <w:rPr>
          <w:rFonts w:ascii="Garamond" w:hAnsi="Garamond"/>
          <w:sz w:val="24"/>
        </w:rPr>
        <w:t>procedimentos</w:t>
      </w:r>
      <w:r w:rsidRPr="00270CB2">
        <w:rPr>
          <w:rFonts w:ascii="Garamond" w:hAnsi="Garamond"/>
          <w:spacing w:val="1"/>
          <w:sz w:val="24"/>
        </w:rPr>
        <w:t xml:space="preserve"> </w:t>
      </w:r>
      <w:r w:rsidRPr="00270CB2">
        <w:rPr>
          <w:rFonts w:ascii="Garamond" w:hAnsi="Garamond"/>
          <w:sz w:val="24"/>
        </w:rPr>
        <w:t>previamente</w:t>
      </w:r>
      <w:r w:rsidRPr="00270CB2">
        <w:rPr>
          <w:rFonts w:ascii="Garamond" w:hAnsi="Garamond"/>
          <w:spacing w:val="1"/>
          <w:sz w:val="24"/>
        </w:rPr>
        <w:t xml:space="preserve"> </w:t>
      </w:r>
      <w:r w:rsidRPr="00270CB2">
        <w:rPr>
          <w:rFonts w:ascii="Garamond" w:hAnsi="Garamond"/>
          <w:sz w:val="24"/>
        </w:rPr>
        <w:t>estabelecidos e tornados públicos nos termos do Artigo X do GATT 1994. Tal investigação</w:t>
      </w:r>
      <w:r w:rsidRPr="00270CB2">
        <w:rPr>
          <w:rFonts w:ascii="Garamond" w:hAnsi="Garamond"/>
          <w:spacing w:val="1"/>
          <w:sz w:val="24"/>
        </w:rPr>
        <w:t xml:space="preserve"> </w:t>
      </w:r>
      <w:r w:rsidRPr="00270CB2">
        <w:rPr>
          <w:rFonts w:ascii="Garamond" w:hAnsi="Garamond"/>
          <w:sz w:val="24"/>
        </w:rPr>
        <w:t>compreenderá a publicação de um aviso destinado a informar razoavelmente todas as partes</w:t>
      </w:r>
      <w:r w:rsidRPr="00270CB2">
        <w:rPr>
          <w:rFonts w:ascii="Garamond" w:hAnsi="Garamond"/>
          <w:spacing w:val="-57"/>
          <w:sz w:val="24"/>
        </w:rPr>
        <w:t xml:space="preserve"> </w:t>
      </w:r>
      <w:r w:rsidRPr="00270CB2">
        <w:rPr>
          <w:rFonts w:ascii="Garamond" w:hAnsi="Garamond"/>
          <w:sz w:val="24"/>
        </w:rPr>
        <w:t>interessadas,</w:t>
      </w:r>
      <w:r w:rsidRPr="00270CB2">
        <w:rPr>
          <w:rFonts w:ascii="Garamond" w:hAnsi="Garamond"/>
          <w:spacing w:val="1"/>
          <w:sz w:val="24"/>
        </w:rPr>
        <w:t xml:space="preserve"> </w:t>
      </w:r>
      <w:r w:rsidRPr="00270CB2">
        <w:rPr>
          <w:rFonts w:ascii="Garamond" w:hAnsi="Garamond"/>
          <w:sz w:val="24"/>
        </w:rPr>
        <w:t>assim</w:t>
      </w:r>
      <w:r w:rsidRPr="00270CB2">
        <w:rPr>
          <w:rFonts w:ascii="Garamond" w:hAnsi="Garamond"/>
          <w:spacing w:val="1"/>
          <w:sz w:val="24"/>
        </w:rPr>
        <w:t xml:space="preserve"> </w:t>
      </w:r>
      <w:r w:rsidRPr="00270CB2">
        <w:rPr>
          <w:rFonts w:ascii="Garamond" w:hAnsi="Garamond"/>
          <w:sz w:val="24"/>
        </w:rPr>
        <w:t>como</w:t>
      </w:r>
      <w:r w:rsidRPr="00270CB2">
        <w:rPr>
          <w:rFonts w:ascii="Garamond" w:hAnsi="Garamond"/>
          <w:spacing w:val="1"/>
          <w:sz w:val="24"/>
        </w:rPr>
        <w:t xml:space="preserve"> </w:t>
      </w:r>
      <w:r w:rsidRPr="00270CB2">
        <w:rPr>
          <w:rFonts w:ascii="Garamond" w:hAnsi="Garamond"/>
          <w:sz w:val="24"/>
        </w:rPr>
        <w:t>audiências</w:t>
      </w:r>
      <w:r w:rsidRPr="00270CB2">
        <w:rPr>
          <w:rFonts w:ascii="Garamond" w:hAnsi="Garamond"/>
          <w:spacing w:val="1"/>
          <w:sz w:val="24"/>
        </w:rPr>
        <w:t xml:space="preserve"> </w:t>
      </w:r>
      <w:r w:rsidRPr="00270CB2">
        <w:rPr>
          <w:rFonts w:ascii="Garamond" w:hAnsi="Garamond"/>
          <w:sz w:val="24"/>
        </w:rPr>
        <w:t>públicas</w:t>
      </w:r>
      <w:r w:rsidRPr="00270CB2">
        <w:rPr>
          <w:rFonts w:ascii="Garamond" w:hAnsi="Garamond"/>
          <w:spacing w:val="1"/>
          <w:sz w:val="24"/>
        </w:rPr>
        <w:t xml:space="preserve"> </w:t>
      </w:r>
      <w:r w:rsidRPr="00270CB2">
        <w:rPr>
          <w:rFonts w:ascii="Garamond" w:hAnsi="Garamond"/>
          <w:sz w:val="24"/>
        </w:rPr>
        <w:t>ou</w:t>
      </w:r>
      <w:r w:rsidRPr="00270CB2">
        <w:rPr>
          <w:rFonts w:ascii="Garamond" w:hAnsi="Garamond"/>
          <w:spacing w:val="1"/>
          <w:sz w:val="24"/>
        </w:rPr>
        <w:t xml:space="preserve"> </w:t>
      </w:r>
      <w:r w:rsidRPr="00270CB2">
        <w:rPr>
          <w:rFonts w:ascii="Garamond" w:hAnsi="Garamond"/>
          <w:sz w:val="24"/>
        </w:rPr>
        <w:t>outros</w:t>
      </w:r>
      <w:r w:rsidRPr="00270CB2">
        <w:rPr>
          <w:rFonts w:ascii="Garamond" w:hAnsi="Garamond"/>
          <w:spacing w:val="1"/>
          <w:sz w:val="24"/>
        </w:rPr>
        <w:t xml:space="preserve"> </w:t>
      </w:r>
      <w:r w:rsidRPr="00270CB2">
        <w:rPr>
          <w:rFonts w:ascii="Garamond" w:hAnsi="Garamond"/>
          <w:sz w:val="24"/>
        </w:rPr>
        <w:t>meios</w:t>
      </w:r>
      <w:r w:rsidRPr="00270CB2">
        <w:rPr>
          <w:rFonts w:ascii="Garamond" w:hAnsi="Garamond"/>
          <w:spacing w:val="1"/>
          <w:sz w:val="24"/>
        </w:rPr>
        <w:t xml:space="preserve"> </w:t>
      </w:r>
      <w:r w:rsidRPr="00270CB2">
        <w:rPr>
          <w:rFonts w:ascii="Garamond" w:hAnsi="Garamond"/>
          <w:sz w:val="24"/>
        </w:rPr>
        <w:t>idôneos</w:t>
      </w:r>
      <w:r w:rsidRPr="00270CB2">
        <w:rPr>
          <w:rFonts w:ascii="Garamond" w:hAnsi="Garamond"/>
          <w:spacing w:val="1"/>
          <w:sz w:val="24"/>
        </w:rPr>
        <w:t xml:space="preserve"> </w:t>
      </w:r>
      <w:r w:rsidRPr="00270CB2">
        <w:rPr>
          <w:rFonts w:ascii="Garamond" w:hAnsi="Garamond"/>
          <w:sz w:val="24"/>
        </w:rPr>
        <w:t>pelos</w:t>
      </w:r>
      <w:r w:rsidRPr="00270CB2">
        <w:rPr>
          <w:rFonts w:ascii="Garamond" w:hAnsi="Garamond"/>
          <w:spacing w:val="1"/>
          <w:sz w:val="24"/>
        </w:rPr>
        <w:t xml:space="preserve"> </w:t>
      </w:r>
      <w:r w:rsidRPr="00270CB2">
        <w:rPr>
          <w:rFonts w:ascii="Garamond" w:hAnsi="Garamond"/>
          <w:sz w:val="24"/>
        </w:rPr>
        <w:t>quais</w:t>
      </w:r>
      <w:r w:rsidRPr="00270CB2">
        <w:rPr>
          <w:rFonts w:ascii="Garamond" w:hAnsi="Garamond"/>
          <w:spacing w:val="1"/>
          <w:sz w:val="24"/>
        </w:rPr>
        <w:t xml:space="preserve"> </w:t>
      </w:r>
      <w:r w:rsidRPr="00270CB2">
        <w:rPr>
          <w:rFonts w:ascii="Garamond" w:hAnsi="Garamond"/>
          <w:sz w:val="24"/>
        </w:rPr>
        <w:t>os</w:t>
      </w:r>
      <w:r w:rsidRPr="00270CB2">
        <w:rPr>
          <w:rFonts w:ascii="Garamond" w:hAnsi="Garamond"/>
          <w:spacing w:val="-57"/>
          <w:sz w:val="24"/>
        </w:rPr>
        <w:t xml:space="preserve"> </w:t>
      </w:r>
      <w:r w:rsidRPr="00270CB2">
        <w:rPr>
          <w:rFonts w:ascii="Garamond" w:hAnsi="Garamond"/>
          <w:sz w:val="24"/>
        </w:rPr>
        <w:t>importadores os exportadores e outras partes interessadas possam apresentar provas e expor</w:t>
      </w:r>
      <w:r w:rsidRPr="00270CB2">
        <w:rPr>
          <w:rFonts w:ascii="Garamond" w:hAnsi="Garamond"/>
          <w:spacing w:val="-57"/>
          <w:sz w:val="24"/>
        </w:rPr>
        <w:t xml:space="preserve"> </w:t>
      </w:r>
      <w:r w:rsidRPr="00270CB2">
        <w:rPr>
          <w:rFonts w:ascii="Garamond" w:hAnsi="Garamond"/>
          <w:sz w:val="24"/>
        </w:rPr>
        <w:t>suas razões, e ter ainda a oportunidade de responder a argumentação das outras partes e</w:t>
      </w:r>
      <w:r w:rsidRPr="00270CB2">
        <w:rPr>
          <w:rFonts w:ascii="Garamond" w:hAnsi="Garamond"/>
          <w:spacing w:val="1"/>
          <w:sz w:val="24"/>
        </w:rPr>
        <w:t xml:space="preserve"> </w:t>
      </w:r>
      <w:r w:rsidRPr="00270CB2">
        <w:rPr>
          <w:rFonts w:ascii="Garamond" w:hAnsi="Garamond"/>
          <w:sz w:val="24"/>
        </w:rPr>
        <w:t xml:space="preserve">apresentar suas opiniões, </w:t>
      </w:r>
      <w:r w:rsidRPr="00270CB2">
        <w:rPr>
          <w:rFonts w:ascii="Garamond" w:hAnsi="Garamond"/>
          <w:sz w:val="24"/>
          <w:u w:val="single"/>
        </w:rPr>
        <w:t>inclusive, entre outras coisas, sobre se a aplicação da medida de</w:t>
      </w:r>
      <w:r w:rsidRPr="00270CB2">
        <w:rPr>
          <w:rFonts w:ascii="Garamond" w:hAnsi="Garamond"/>
          <w:spacing w:val="1"/>
          <w:sz w:val="24"/>
          <w:u w:val="single"/>
        </w:rPr>
        <w:t xml:space="preserve"> </w:t>
      </w:r>
      <w:r w:rsidRPr="00270CB2">
        <w:rPr>
          <w:rFonts w:ascii="Garamond" w:hAnsi="Garamond"/>
          <w:sz w:val="24"/>
          <w:u w:val="single"/>
        </w:rPr>
        <w:t>salvaguarda</w:t>
      </w:r>
      <w:r w:rsidRPr="00270CB2">
        <w:rPr>
          <w:rFonts w:ascii="Garamond" w:hAnsi="Garamond"/>
          <w:spacing w:val="-2"/>
          <w:sz w:val="24"/>
          <w:u w:val="single"/>
        </w:rPr>
        <w:t xml:space="preserve"> </w:t>
      </w:r>
      <w:r w:rsidRPr="00270CB2">
        <w:rPr>
          <w:rFonts w:ascii="Garamond" w:hAnsi="Garamond"/>
          <w:sz w:val="24"/>
          <w:u w:val="single"/>
        </w:rPr>
        <w:t>seria</w:t>
      </w:r>
      <w:r w:rsidRPr="00270CB2">
        <w:rPr>
          <w:rFonts w:ascii="Garamond" w:hAnsi="Garamond"/>
          <w:spacing w:val="-2"/>
          <w:sz w:val="24"/>
          <w:u w:val="single"/>
        </w:rPr>
        <w:t xml:space="preserve"> </w:t>
      </w:r>
      <w:r w:rsidRPr="00270CB2">
        <w:rPr>
          <w:rFonts w:ascii="Garamond" w:hAnsi="Garamond"/>
          <w:sz w:val="24"/>
          <w:u w:val="single"/>
        </w:rPr>
        <w:t>ou não</w:t>
      </w:r>
      <w:r w:rsidRPr="00270CB2">
        <w:rPr>
          <w:rFonts w:ascii="Garamond" w:hAnsi="Garamond"/>
          <w:spacing w:val="2"/>
          <w:sz w:val="24"/>
          <w:u w:val="single"/>
        </w:rPr>
        <w:t xml:space="preserve"> </w:t>
      </w:r>
      <w:r w:rsidRPr="00270CB2">
        <w:rPr>
          <w:rFonts w:ascii="Garamond" w:hAnsi="Garamond"/>
          <w:sz w:val="24"/>
          <w:u w:val="single"/>
        </w:rPr>
        <w:t>do interesse público</w:t>
      </w:r>
      <w:r w:rsidRPr="00270CB2">
        <w:rPr>
          <w:rFonts w:ascii="Garamond" w:hAnsi="Garamond"/>
          <w:sz w:val="24"/>
        </w:rPr>
        <w:t>.</w:t>
      </w:r>
    </w:p>
    <w:p w14:paraId="2F7330DA" w14:textId="77777777" w:rsidR="000F0BC5" w:rsidRDefault="000F0BC5" w:rsidP="000F0BC5">
      <w:pPr>
        <w:rPr>
          <w:rFonts w:ascii="Garamond" w:eastAsia="Times New Roman" w:hAnsi="Garamond" w:cs="Arial"/>
          <w:color w:val="162937"/>
          <w:sz w:val="24"/>
          <w:szCs w:val="24"/>
          <w:lang w:eastAsia="pt-BR"/>
        </w:rPr>
      </w:pPr>
    </w:p>
    <w:p w14:paraId="20131FB6" w14:textId="31409617" w:rsidR="00497E87" w:rsidRDefault="000F0BC5" w:rsidP="00497E87">
      <w:pPr>
        <w:rPr>
          <w:rFonts w:ascii="Garamond" w:eastAsia="Times New Roman" w:hAnsi="Garamond" w:cs="Arial"/>
          <w:color w:val="162937"/>
          <w:sz w:val="24"/>
          <w:szCs w:val="24"/>
          <w:lang w:eastAsia="pt-BR"/>
        </w:rPr>
      </w:pPr>
      <w:r>
        <w:rPr>
          <w:rFonts w:ascii="Garamond" w:eastAsia="Times New Roman" w:hAnsi="Garamond" w:cs="Arial"/>
          <w:color w:val="162937"/>
          <w:sz w:val="24"/>
          <w:szCs w:val="24"/>
          <w:lang w:eastAsia="pt-BR"/>
        </w:rPr>
        <w:t>[...]</w:t>
      </w:r>
    </w:p>
    <w:p w14:paraId="2014CDD4" w14:textId="44AD2FEB" w:rsidR="000F0BC5" w:rsidRDefault="00CC7F15" w:rsidP="00497E87">
      <w:pPr>
        <w:rPr>
          <w:rFonts w:ascii="Garamond" w:eastAsia="Times New Roman" w:hAnsi="Garamond" w:cs="Arial"/>
          <w:color w:val="162937"/>
          <w:sz w:val="24"/>
          <w:szCs w:val="24"/>
          <w:lang w:eastAsia="pt-BR"/>
        </w:rPr>
      </w:pPr>
      <w:r>
        <w:rPr>
          <w:rFonts w:ascii="Garamond" w:eastAsia="Times New Roman" w:hAnsi="Garamond" w:cs="Arial"/>
          <w:color w:val="162937"/>
          <w:sz w:val="24"/>
          <w:szCs w:val="24"/>
          <w:lang w:eastAsia="pt-BR"/>
        </w:rPr>
        <w:br w:type="page"/>
      </w:r>
    </w:p>
    <w:p w14:paraId="18B446DC" w14:textId="7667B6A2" w:rsidR="00497E87" w:rsidRPr="00464D0F" w:rsidRDefault="001E4004" w:rsidP="00DF2936">
      <w:pPr>
        <w:pStyle w:val="Ttulo"/>
        <w:outlineLvl w:val="1"/>
      </w:pPr>
      <w:bookmarkStart w:id="176" w:name="_Toc96003827"/>
      <w:r w:rsidRPr="001E4004">
        <w:t xml:space="preserve">Decreto n° </w:t>
      </w:r>
      <w:r w:rsidR="00497E87">
        <w:t>1.488,</w:t>
      </w:r>
      <w:r w:rsidRPr="001E4004">
        <w:t xml:space="preserve"> de </w:t>
      </w:r>
      <w:r w:rsidR="00497E87">
        <w:t>11</w:t>
      </w:r>
      <w:r w:rsidRPr="001E4004">
        <w:t xml:space="preserve"> de </w:t>
      </w:r>
      <w:r w:rsidR="00497E87">
        <w:t>maio de 1995</w:t>
      </w:r>
      <w:bookmarkEnd w:id="176"/>
      <w:r w:rsidRPr="001E4004">
        <w:t xml:space="preserve"> </w:t>
      </w:r>
    </w:p>
    <w:p w14:paraId="210755A0" w14:textId="77777777" w:rsidR="006C7319" w:rsidRDefault="006C7319" w:rsidP="006C7319">
      <w:pPr>
        <w:rPr>
          <w:rFonts w:ascii="Garamond" w:eastAsia="Times New Roman" w:hAnsi="Garamond" w:cs="Arial"/>
          <w:color w:val="162937"/>
          <w:sz w:val="24"/>
          <w:szCs w:val="24"/>
          <w:lang w:eastAsia="pt-BR"/>
        </w:rPr>
      </w:pPr>
    </w:p>
    <w:p w14:paraId="316CA2C2" w14:textId="77777777" w:rsidR="006C7319" w:rsidRDefault="006C7319" w:rsidP="006C7319">
      <w:pPr>
        <w:rPr>
          <w:rFonts w:ascii="Garamond" w:eastAsia="Times New Roman" w:hAnsi="Garamond" w:cs="Arial"/>
          <w:color w:val="162937"/>
          <w:sz w:val="24"/>
          <w:szCs w:val="24"/>
          <w:lang w:eastAsia="pt-BR"/>
        </w:rPr>
      </w:pPr>
      <w:r w:rsidRPr="009675FB">
        <w:rPr>
          <w:rFonts w:ascii="Garamond" w:eastAsia="Times New Roman" w:hAnsi="Garamond" w:cs="Arial"/>
          <w:color w:val="162937"/>
          <w:sz w:val="24"/>
          <w:szCs w:val="24"/>
          <w:lang w:eastAsia="pt-BR"/>
        </w:rPr>
        <w:t>[...]</w:t>
      </w:r>
    </w:p>
    <w:p w14:paraId="2FACB8D4" w14:textId="77777777" w:rsidR="006C7319" w:rsidRDefault="006C7319" w:rsidP="006C7319">
      <w:pPr>
        <w:rPr>
          <w:rFonts w:ascii="Garamond" w:eastAsia="Times New Roman" w:hAnsi="Garamond" w:cs="Arial"/>
          <w:color w:val="162937"/>
          <w:sz w:val="24"/>
          <w:szCs w:val="24"/>
          <w:lang w:eastAsia="pt-BR"/>
        </w:rPr>
      </w:pPr>
    </w:p>
    <w:p w14:paraId="2589BF9B" w14:textId="77777777" w:rsidR="00D712F1" w:rsidRPr="00D712F1" w:rsidRDefault="00D712F1" w:rsidP="00D712F1">
      <w:pPr>
        <w:pStyle w:val="PargrafodaLista"/>
        <w:widowControl w:val="0"/>
        <w:tabs>
          <w:tab w:val="left" w:pos="472"/>
        </w:tabs>
        <w:autoSpaceDE w:val="0"/>
        <w:autoSpaceDN w:val="0"/>
        <w:spacing w:after="0" w:line="240" w:lineRule="auto"/>
        <w:ind w:left="332" w:right="160"/>
        <w:jc w:val="center"/>
        <w:rPr>
          <w:rFonts w:ascii="Garamond" w:hAnsi="Garamond"/>
          <w:b/>
          <w:bCs/>
          <w:sz w:val="24"/>
        </w:rPr>
      </w:pPr>
      <w:r w:rsidRPr="00D712F1">
        <w:rPr>
          <w:rFonts w:ascii="Garamond" w:hAnsi="Garamond"/>
          <w:b/>
          <w:bCs/>
          <w:sz w:val="24"/>
        </w:rPr>
        <w:t>Capítulo I</w:t>
      </w:r>
    </w:p>
    <w:p w14:paraId="30886B03" w14:textId="77777777" w:rsidR="00D712F1" w:rsidRPr="00D712F1" w:rsidRDefault="00D712F1" w:rsidP="00D712F1">
      <w:pPr>
        <w:pStyle w:val="PargrafodaLista"/>
        <w:widowControl w:val="0"/>
        <w:tabs>
          <w:tab w:val="left" w:pos="472"/>
        </w:tabs>
        <w:autoSpaceDE w:val="0"/>
        <w:autoSpaceDN w:val="0"/>
        <w:spacing w:after="0" w:line="240" w:lineRule="auto"/>
        <w:ind w:left="332" w:right="160"/>
        <w:jc w:val="center"/>
        <w:rPr>
          <w:rFonts w:ascii="Garamond" w:hAnsi="Garamond"/>
          <w:b/>
          <w:bCs/>
          <w:sz w:val="24"/>
        </w:rPr>
      </w:pPr>
      <w:r w:rsidRPr="00D712F1">
        <w:rPr>
          <w:rFonts w:ascii="Garamond" w:hAnsi="Garamond"/>
          <w:b/>
          <w:bCs/>
          <w:sz w:val="24"/>
        </w:rPr>
        <w:t>CONDIÇÕES DE APLICAÇÃO</w:t>
      </w:r>
    </w:p>
    <w:p w14:paraId="66D4A231" w14:textId="77777777" w:rsidR="00D712F1" w:rsidRPr="00D712F1" w:rsidRDefault="00D712F1" w:rsidP="00D712F1">
      <w:pPr>
        <w:pStyle w:val="PargrafodaLista"/>
        <w:widowControl w:val="0"/>
        <w:tabs>
          <w:tab w:val="left" w:pos="472"/>
        </w:tabs>
        <w:autoSpaceDE w:val="0"/>
        <w:autoSpaceDN w:val="0"/>
        <w:spacing w:after="0" w:line="240" w:lineRule="auto"/>
        <w:ind w:left="332" w:right="160"/>
        <w:jc w:val="center"/>
        <w:rPr>
          <w:rFonts w:ascii="Garamond" w:hAnsi="Garamond"/>
          <w:sz w:val="24"/>
        </w:rPr>
      </w:pPr>
    </w:p>
    <w:p w14:paraId="7C7E136D" w14:textId="1FB52828" w:rsidR="00D712F1" w:rsidRPr="00D712F1" w:rsidRDefault="00D712F1" w:rsidP="00D712F1">
      <w:pPr>
        <w:pStyle w:val="PargrafodaLista"/>
        <w:widowControl w:val="0"/>
        <w:tabs>
          <w:tab w:val="left" w:pos="472"/>
        </w:tabs>
        <w:autoSpaceDE w:val="0"/>
        <w:autoSpaceDN w:val="0"/>
        <w:spacing w:after="0" w:line="240" w:lineRule="auto"/>
        <w:ind w:left="332" w:right="160"/>
        <w:jc w:val="both"/>
        <w:rPr>
          <w:rFonts w:ascii="Garamond" w:hAnsi="Garamond"/>
          <w:sz w:val="24"/>
        </w:rPr>
      </w:pPr>
      <w:r w:rsidRPr="00D712F1">
        <w:rPr>
          <w:rFonts w:ascii="Garamond" w:hAnsi="Garamond"/>
          <w:sz w:val="24"/>
        </w:rPr>
        <w:t xml:space="preserve">Art. 1º </w:t>
      </w:r>
      <w:r w:rsidRPr="00D712F1">
        <w:rPr>
          <w:rFonts w:ascii="Garamond" w:hAnsi="Garamond"/>
          <w:sz w:val="24"/>
          <w:u w:val="single"/>
        </w:rPr>
        <w:t>Poderão ser aplicadas</w:t>
      </w:r>
      <w:r w:rsidRPr="00D712F1">
        <w:rPr>
          <w:rFonts w:ascii="Garamond" w:hAnsi="Garamond"/>
          <w:sz w:val="24"/>
        </w:rPr>
        <w:t xml:space="preserve"> medidas de salvaguarda a um produto se de uma investigação resultar a constatação, de acordo com as disposições previstas neste regulamento, de que as importações desse produto aumentaram em tais quantidades e, em termos absolutos ou em relação à produção nacional, e em tais condições que causem ou ameacem causar prejuízo grave à indústria doméstica de bens similares ou diretamente concorrentes.</w:t>
      </w:r>
    </w:p>
    <w:p w14:paraId="3E521A81" w14:textId="77777777" w:rsidR="006C7319" w:rsidRDefault="006C7319" w:rsidP="006C7319">
      <w:pPr>
        <w:rPr>
          <w:rFonts w:ascii="Garamond" w:eastAsia="Times New Roman" w:hAnsi="Garamond" w:cs="Arial"/>
          <w:color w:val="162937"/>
          <w:sz w:val="24"/>
          <w:szCs w:val="24"/>
          <w:lang w:eastAsia="pt-BR"/>
        </w:rPr>
      </w:pPr>
    </w:p>
    <w:p w14:paraId="6ECF9AA1" w14:textId="77777777" w:rsidR="006C7319" w:rsidRDefault="006C7319" w:rsidP="006C7319">
      <w:pPr>
        <w:rPr>
          <w:rFonts w:ascii="Garamond" w:eastAsia="Times New Roman" w:hAnsi="Garamond" w:cs="Arial"/>
          <w:color w:val="162937"/>
          <w:sz w:val="24"/>
          <w:szCs w:val="24"/>
          <w:lang w:eastAsia="pt-BR"/>
        </w:rPr>
      </w:pPr>
      <w:r w:rsidRPr="009675FB">
        <w:rPr>
          <w:rFonts w:ascii="Garamond" w:eastAsia="Times New Roman" w:hAnsi="Garamond" w:cs="Arial"/>
          <w:color w:val="162937"/>
          <w:sz w:val="24"/>
          <w:szCs w:val="24"/>
          <w:lang w:eastAsia="pt-BR"/>
        </w:rPr>
        <w:t>[...]</w:t>
      </w:r>
    </w:p>
    <w:p w14:paraId="5AF3F764" w14:textId="77777777" w:rsidR="000F0BC5" w:rsidRDefault="000F0BC5" w:rsidP="00497E87">
      <w:pPr>
        <w:rPr>
          <w:rFonts w:ascii="Garamond" w:eastAsia="Times New Roman" w:hAnsi="Garamond" w:cs="Arial"/>
          <w:color w:val="162937"/>
          <w:sz w:val="24"/>
          <w:szCs w:val="24"/>
          <w:lang w:eastAsia="pt-BR"/>
        </w:rPr>
      </w:pPr>
    </w:p>
    <w:p w14:paraId="7D2B033C" w14:textId="77777777" w:rsidR="00497E87" w:rsidRDefault="00497E87" w:rsidP="00497E87">
      <w:pPr>
        <w:rPr>
          <w:rFonts w:ascii="Garamond" w:eastAsia="Times New Roman" w:hAnsi="Garamond" w:cs="Arial"/>
          <w:color w:val="162937"/>
          <w:sz w:val="24"/>
          <w:szCs w:val="24"/>
          <w:lang w:eastAsia="pt-BR"/>
        </w:rPr>
      </w:pPr>
      <w:r>
        <w:rPr>
          <w:rFonts w:ascii="Garamond" w:eastAsia="Times New Roman" w:hAnsi="Garamond" w:cs="Arial"/>
          <w:color w:val="162937"/>
          <w:sz w:val="24"/>
          <w:szCs w:val="24"/>
          <w:lang w:eastAsia="pt-BR"/>
        </w:rPr>
        <w:br w:type="page"/>
      </w:r>
    </w:p>
    <w:p w14:paraId="3E881289" w14:textId="7F3A923E" w:rsidR="00B518FA" w:rsidRPr="00464D0F" w:rsidRDefault="00B518FA" w:rsidP="00B54507">
      <w:pPr>
        <w:pStyle w:val="Ttulo"/>
        <w:outlineLvl w:val="1"/>
      </w:pPr>
      <w:bookmarkStart w:id="177" w:name="_Toc96003828"/>
      <w:r w:rsidRPr="00395593">
        <w:t xml:space="preserve">Portaria </w:t>
      </w:r>
      <w:r w:rsidR="001E097F">
        <w:t xml:space="preserve">SECEX </w:t>
      </w:r>
      <w:r w:rsidRPr="00395593">
        <w:t>nº 13, de 29 de janeiro de 2020</w:t>
      </w:r>
      <w:bookmarkEnd w:id="177"/>
    </w:p>
    <w:p w14:paraId="7716BE1B" w14:textId="3A3BE1A8" w:rsidR="00B518FA" w:rsidRPr="00395593" w:rsidRDefault="00B518FA" w:rsidP="00CC7F15">
      <w:pPr>
        <w:shd w:val="clear" w:color="auto" w:fill="FFFFFF"/>
        <w:spacing w:after="450" w:line="240" w:lineRule="auto"/>
        <w:ind w:left="4536"/>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Disciplina os procedimentos administrativos de avaliação de interesse público em medidas de defesa comercial</w:t>
      </w:r>
    </w:p>
    <w:p w14:paraId="0DF98D19"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O SECRETÁRIO DE COMÉRCIO EXTERIOR, DA SECRETARIA ESPECIAL DE COMÉRCIO EXTERIOR E ASSUNTOS INTERNACIONAIS DO MINISTÉRIO DA ECONOMIA, no uso das atribuições que lhe confere o art. 91, inciso VIII, do Decreto nº 9.745, de 8 de abril de 2019, e com fundamento no art. 3º, do Decreto nº 8.058, de 26 de julho de 2013, e no art. 73, § 3º, do Decreto nº 1.751, de 19 de dezembro de 1995, e:</w:t>
      </w:r>
    </w:p>
    <w:p w14:paraId="39A6B35A"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CONSIDERANDO o Decreto nº 9.745, de 2019, que aprovou a estrutura regimental do Ministério da Economia e alterou, em seus arts. 91 e 96, as competências da Secretaria de Comércio Exterior e da Subsecretaria de Defesa Comercial e Interesse Público;</w:t>
      </w:r>
    </w:p>
    <w:p w14:paraId="4B3B512C"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CONSIDERANDO que, nos termos do art. 91, incisos VIII e X, alínea "c", do Decreto nº 9.745, de 2019, compete à Secretaria de Comércio Exterior regulamentar os procedimentos relativos às investigações de defesa comercial e às avaliações de interesse público, bem como decidir sobre a abertura de avaliação de interesse público;</w:t>
      </w:r>
    </w:p>
    <w:p w14:paraId="3DA5D7C8"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CONSIDERANDO que todas as atividades referentes à instrução técnica de avaliações de interesse público passaram a ser exercidas pela Subsecretaria de Defesa Comercial e Interesse Público;</w:t>
      </w:r>
    </w:p>
    <w:p w14:paraId="1E53E27C"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CONSIDERANDO que, nos termos do art. 96, inciso XVII, do Decreto nº 9.745, de 2019, compete à Subsecretaria de Defesa Comercial e Interesse Público examinar a procedência e o mérito de petições de avaliação de interesse público, com vistas a avaliar o impacto das medidas de defesa comercial sobre a economia nacional;</w:t>
      </w:r>
    </w:p>
    <w:p w14:paraId="132465D3"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CONSIDERANDO que, nos termos do art. 96, inciso XVIII, do Decreto nº 9.745, de 2019, compete à Subsecretaria de Defesa Comercial e Interesse Público propor a suspensão ou alteração de aplicação de medidas antidumping ou compensatórias em razão de interesse público;</w:t>
      </w:r>
    </w:p>
    <w:p w14:paraId="7662FAA8"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CONSIDERANDO que a avaliação de interesse público, conduzida pela Subsecretaria de Defesa Comercial e Interesse Público, convergirá para seguir o mesmo rito processual das investigações de dumping ou de subsídios, também conduzidas por esta Subsecretaria;</w:t>
      </w:r>
    </w:p>
    <w:p w14:paraId="4E370946"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CONSIDERANDO que, nos termos do art. 7º, inciso VI, do Decreto nº 10.044, de 2019, compete ao Comitê-Executivo de Gestão da Câmara de Comércio Exterior fixar direitos antidumping e compensatórios, provisórios ou definitivos, e salvaguardas, resolve:</w:t>
      </w:r>
    </w:p>
    <w:p w14:paraId="306BA137"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1º Disciplinar o processo administrativo de avaliação de interesse público, a ser conduzido na Subsecretaria de Defesa Comercial e Interesse Público.</w:t>
      </w:r>
    </w:p>
    <w:p w14:paraId="134A019F" w14:textId="77777777" w:rsidR="003C710A" w:rsidRPr="00395593" w:rsidRDefault="003C710A">
      <w:pPr>
        <w:rPr>
          <w:rFonts w:ascii="Garamond" w:eastAsia="Times New Roman" w:hAnsi="Garamond" w:cs="Arial"/>
          <w:b/>
          <w:color w:val="162937"/>
          <w:sz w:val="24"/>
          <w:szCs w:val="24"/>
          <w:lang w:eastAsia="pt-BR"/>
        </w:rPr>
      </w:pPr>
      <w:r w:rsidRPr="00395593">
        <w:rPr>
          <w:rFonts w:ascii="Garamond" w:eastAsia="Times New Roman" w:hAnsi="Garamond" w:cs="Arial"/>
          <w:b/>
          <w:color w:val="162937"/>
          <w:sz w:val="24"/>
          <w:szCs w:val="24"/>
          <w:lang w:eastAsia="pt-BR"/>
        </w:rPr>
        <w:br w:type="page"/>
      </w:r>
    </w:p>
    <w:p w14:paraId="2C148C34" w14:textId="6AD89E9E" w:rsidR="004E3695" w:rsidRPr="00395593" w:rsidRDefault="004E3695" w:rsidP="00847C8A">
      <w:pPr>
        <w:shd w:val="clear" w:color="auto" w:fill="FFFFFF"/>
        <w:spacing w:after="0" w:line="240" w:lineRule="auto"/>
        <w:jc w:val="center"/>
        <w:rPr>
          <w:rFonts w:ascii="Garamond" w:eastAsia="Times New Roman" w:hAnsi="Garamond" w:cs="Arial"/>
          <w:b/>
          <w:color w:val="162937"/>
          <w:sz w:val="24"/>
          <w:szCs w:val="24"/>
          <w:lang w:eastAsia="pt-BR"/>
        </w:rPr>
      </w:pPr>
      <w:r w:rsidRPr="00395593">
        <w:rPr>
          <w:rFonts w:ascii="Garamond" w:eastAsia="Times New Roman" w:hAnsi="Garamond" w:cs="Arial"/>
          <w:b/>
          <w:color w:val="162937"/>
          <w:sz w:val="24"/>
          <w:szCs w:val="24"/>
          <w:lang w:eastAsia="pt-BR"/>
        </w:rPr>
        <w:t>CAPÍTULO I</w:t>
      </w:r>
    </w:p>
    <w:p w14:paraId="2B537CD6" w14:textId="77777777" w:rsidR="004E3695" w:rsidRPr="00395593" w:rsidRDefault="004E3695" w:rsidP="00847C8A">
      <w:pPr>
        <w:shd w:val="clear" w:color="auto" w:fill="FFFFFF"/>
        <w:spacing w:after="0" w:line="240" w:lineRule="auto"/>
        <w:jc w:val="center"/>
        <w:rPr>
          <w:rFonts w:ascii="Garamond" w:eastAsia="Times New Roman" w:hAnsi="Garamond" w:cs="Arial"/>
          <w:b/>
          <w:color w:val="162937"/>
          <w:sz w:val="24"/>
          <w:szCs w:val="24"/>
          <w:lang w:eastAsia="pt-BR"/>
        </w:rPr>
      </w:pPr>
      <w:r w:rsidRPr="00395593">
        <w:rPr>
          <w:rFonts w:ascii="Garamond" w:eastAsia="Times New Roman" w:hAnsi="Garamond" w:cs="Arial"/>
          <w:b/>
          <w:color w:val="162937"/>
          <w:sz w:val="24"/>
          <w:szCs w:val="24"/>
          <w:lang w:eastAsia="pt-BR"/>
        </w:rPr>
        <w:t>DELIMITAÇÃO DA AVALIAÇÃO DE INTERESSE PÚBLICO</w:t>
      </w:r>
    </w:p>
    <w:p w14:paraId="3CE8DE55"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2º A avaliação de interesse público tem por objetivo avaliar a existência de elementos que excepcionalmente justifiquem a suspensão ou a alteração de medidas antidumping definitivas e compensatórias provisórias ou definitivas, bem como a não aplicação de medidas antidumping provisórias.</w:t>
      </w:r>
    </w:p>
    <w:p w14:paraId="4CA62C62"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3º Verifica-se presente o interesse público, para fins desta Portaria, quando o impacto da imposição da medida antidumping e compensatória sobre os agentes econômicos como um todo se mostrar potencialmente mais danoso, se comparado aos efeitos positivos da aplicação da medida de defesa comercial.</w:t>
      </w:r>
    </w:p>
    <w:p w14:paraId="1E018CB6"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1º Na avaliação da Subsecretaria de Defesa Comercial e Interesse Público, poderão ser observados critérios como o impacto na cadeia a jusante e a montante, a disponibilidade de produtos substitutos em origens não afetadas pela medida de defesa comercial, bem como a estrutura do mercado e a concorrência.</w:t>
      </w:r>
    </w:p>
    <w:p w14:paraId="3C7FE52E"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2º No caso de avaliação de interesse público facultativa, ex officio, a critério da Subsecretaria de Defesa Comercial e Interesse Público, prevista no art. 6º, serão preponderantemente considerados, dentre outros fatores, a temporalidade da medida de defesa comercial em vigor e a caracterização do produto sob análise como insumo para a cadeia a jusante, bem como o fato de a medida objeto da revisão de final de período ou de eventuais medidas que a precederam já terem sido objeto de avaliação que resultou em sua suspensão ou alteração por razões de interesse público.</w:t>
      </w:r>
    </w:p>
    <w:p w14:paraId="1187DEFE"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3º Os critérios a que fazem referência os § § 1º e 2º não constituem lista exaustiva e nenhum deles, isoladamente ou em conjunto, será necessariamente capaz de fornecer indicação decisiva.</w:t>
      </w:r>
    </w:p>
    <w:p w14:paraId="2482827A" w14:textId="77777777" w:rsidR="004E3695" w:rsidRPr="00395593" w:rsidRDefault="004E3695" w:rsidP="00847C8A">
      <w:pPr>
        <w:shd w:val="clear" w:color="auto" w:fill="FFFFFF"/>
        <w:spacing w:after="0" w:line="240" w:lineRule="auto"/>
        <w:jc w:val="center"/>
        <w:rPr>
          <w:rFonts w:ascii="Garamond" w:eastAsia="Times New Roman" w:hAnsi="Garamond" w:cs="Arial"/>
          <w:b/>
          <w:color w:val="162937"/>
          <w:sz w:val="24"/>
          <w:szCs w:val="24"/>
          <w:lang w:eastAsia="pt-BR"/>
        </w:rPr>
      </w:pPr>
      <w:r w:rsidRPr="00395593">
        <w:rPr>
          <w:rFonts w:ascii="Garamond" w:eastAsia="Times New Roman" w:hAnsi="Garamond" w:cs="Arial"/>
          <w:b/>
          <w:color w:val="162937"/>
          <w:sz w:val="24"/>
          <w:szCs w:val="24"/>
          <w:lang w:eastAsia="pt-BR"/>
        </w:rPr>
        <w:t>CAPÍTULO II</w:t>
      </w:r>
    </w:p>
    <w:p w14:paraId="3DD451BF" w14:textId="77777777" w:rsidR="004E3695" w:rsidRPr="00395593" w:rsidRDefault="004E3695" w:rsidP="009057A6">
      <w:pPr>
        <w:shd w:val="clear" w:color="auto" w:fill="FFFFFF"/>
        <w:spacing w:after="150" w:line="240" w:lineRule="auto"/>
        <w:ind w:firstLine="1200"/>
        <w:jc w:val="center"/>
        <w:rPr>
          <w:rFonts w:ascii="Garamond" w:eastAsia="Times New Roman" w:hAnsi="Garamond" w:cs="Arial"/>
          <w:b/>
          <w:color w:val="162937"/>
          <w:sz w:val="24"/>
          <w:szCs w:val="24"/>
          <w:lang w:eastAsia="pt-BR"/>
        </w:rPr>
      </w:pPr>
      <w:r w:rsidRPr="00395593">
        <w:rPr>
          <w:rFonts w:ascii="Garamond" w:eastAsia="Times New Roman" w:hAnsi="Garamond" w:cs="Arial"/>
          <w:b/>
          <w:color w:val="162937"/>
          <w:sz w:val="24"/>
          <w:szCs w:val="24"/>
          <w:lang w:eastAsia="pt-BR"/>
        </w:rPr>
        <w:t>AVALIAÇÃO DE INTERESSE PÚBLICO NAS INVESTIGAÇÕES DE DUMPING E DE SUBSÍDIOS</w:t>
      </w:r>
    </w:p>
    <w:p w14:paraId="1550D48C"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4º O processo de avaliação de interesse público será conduzido concomitantemente à investigação original de dumping ou de subsídios ou à revisão de final de período de medida antidumping ou compensatória.</w:t>
      </w:r>
    </w:p>
    <w:p w14:paraId="58F6AF43"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Parágrafo único. Em circunstâncias excepcionais, nos termos do art. 7º, o processo de avaliação de interesse público poderá ser iniciado e conduzido de forma não concomitante à investigação original de dumping ou de subsídios ou à revisão de final de período de medida antidumping ou compensatória.</w:t>
      </w:r>
    </w:p>
    <w:p w14:paraId="0AAE8438"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5º Nas investigações originais de dumping ou de subsídios, a avaliação de interesse público será obrigatória e iniciada na Subsecretaria de Defesa Comercial e Interesse Público por meio do ato da Secretaria de Comércio Exterior que der início à investigação original de dumping ou de subsídios.</w:t>
      </w:r>
    </w:p>
    <w:p w14:paraId="64131AE1"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1º Concomitantemente ao parecer de determinação preliminar elaborado no âmbito de investigação original de dumping ou subsídios, a Subsecretaria de Defesa Comercial e Interesse Público apresentará suas conclusões preliminares acerca da avaliação de interesse público, que subsidiará a decisão sobre a aplicação ou não de direitos antidumping provisórios ou sobre a suspensão ou alteração de direitos compensatórios provisórios.</w:t>
      </w:r>
    </w:p>
    <w:p w14:paraId="4BFB0EF7"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2º A Subsecretaria de Defesa Comercial e Interesse Público baseará suas conclusões preliminares nas informações trazidas aos autos pelas partes interessadas e pelos membros e convidados do Comitê-Executivo de Gestão da Câmara de Comércio Exterior, nos termos do Decreto nº 10.044, de 2019, e sua respectiva regulamentação, até o prazo para submissão do Questionário de Interesse Público, que deverá ser protocolado no mesmo prazo concedido ao importador ou ao produtor nacional para restituição de seus respectivos questionários no âmbito da investigação original de dumping ou de subsídios.</w:t>
      </w:r>
    </w:p>
    <w:p w14:paraId="797A02C7"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3º A critério da Subsecretaria de Defesa Comercial e Interesse Público, mediante solicitação acompanhada de justificativa protocolada nos autos do processo de avaliação de interesse público correspondente no âmbito do Sistema Eletrônico de Informações do Ministério da Economia - SEI/ME, o prazo previsto no § 2º poderá ser prorrogado por até 30 (trinta) dias.</w:t>
      </w:r>
    </w:p>
    <w:p w14:paraId="58C97F75"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4º Os questionários de interesse público apresentados após os prazos previstos nos § § 2º e 3º poderão ser considerados para fins de determinação final, desde que submetidos em até 60 (sessenta) dias da data de publicação das conclusões preliminares.</w:t>
      </w:r>
    </w:p>
    <w:p w14:paraId="452B8C63"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5º Em casos nos quais não haja necessidade de realização de verificação in loco para comprovação das informações trazidas no questionário de interesse público, o prazo a que faz referência o parágrafo anterior poderá ser prorrogado por até 30 (trinta) dias, condicionado a pedido prévio da parte interessada e deferimento pela SDCOM.</w:t>
      </w:r>
    </w:p>
    <w:p w14:paraId="32B5867C"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6º Concomitantemente ao parecer de determinação final elaborado no âmbito de investigação original de dumping ou subsídios, a Subsecretaria de Defesa Comercial e Interesse Público apresentará suas conclusões finais acerca da avaliação de interesse público, que subsidiará a decisão final da autoridade competente.</w:t>
      </w:r>
    </w:p>
    <w:p w14:paraId="78F518B0"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7º A Subsecretaria de Defesa Comercial e Interesse Público baseará suas conclusões finais nas informações trazidas aos autos pelas partes interessadas e pelos membros e convidados do Comitê-Executivo de Gestão da Câmara de Comércio Exterior, nos termos do Decreto nº 10.044, de 2019, e sua respectiva regulamentação, desde o ato da Secretaria de Comércio Exterior de início de investigação original de dumping ou subsídios até o fim da fase probatória, com exceção às hipóteses dos § § 4º e 5º.</w:t>
      </w:r>
    </w:p>
    <w:p w14:paraId="6DC10960"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8º A Subsecretaria de Defesa Comercial e Interesse Público poderá utilizar informações disponíveis nos autos do processo de investigação original de dumping ou de subsídios e/ou em fontes alternativas de informação.</w:t>
      </w:r>
    </w:p>
    <w:p w14:paraId="2191A861"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6º Nas revisões de final de período de medida antidumping ou compensatória, a avaliação de interesse público será facultativa, mediante pleito apresentado com base em Questionário de Interesse Público devidamente preenchido, ou ex officio, a critério da Subsecretaria de Defesa Comercial e Interesse Público.</w:t>
      </w:r>
    </w:p>
    <w:p w14:paraId="6BF5587E"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1º Concomitantemente à publicação de ato da Secretaria de Comércio Exterior contendo os prazos da revisão ou parecer de determinação preliminar, se aplicável ao caso, elaborado no âmbito de revisão de final de período, a Subsecretaria de Defesa Comercial e Interesse Público apresentará, salvo nas hipóteses dos § § 4º e 5º, suas conclusões preliminares acerca da avaliação de interesse público, que subsidiará a decisão sobre a abertura ou não de uma avaliação de interesse público.</w:t>
      </w:r>
    </w:p>
    <w:p w14:paraId="3E50D003"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2º A Subsecretaria de Defesa Comercial e Interesse Público baseará suas conclusões preliminares nas informações trazidas aos autos pelas partes interessadas e pelos membros e convidados do Comitê-Executivo de Gestão da Câmara de Comércio Exterior, nos termos do Decreto nº 10.044, de 2019, e sua respectiva regulamentação, até o prazo para submissão do Questionário de Interesse Público, que deverá ser protocolado no mesmo prazo concedido ao importador ou ao produtor nacional para restituição de seus respectivos questionários no âmbito da revisão de final de período de medida antidumping ou compensatória.</w:t>
      </w:r>
    </w:p>
    <w:p w14:paraId="3D48CED8"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3º A critério da Subsecretaria de Defesa Comercial e Interesse Público, mediante solicitação acompanhada de justificativa protocolada nos autos do processo de avaliação de interesse público correspondente no âmbito do SEI/ME, o prazo previsto no § 2º poderá ser prorrogado por até 30 (trinta) dias.</w:t>
      </w:r>
    </w:p>
    <w:p w14:paraId="2D340073"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4º Os Questionários de Interesse Público apresentados após os prazos previstos nos § § 2º e 3º poderão ser considerados para fins de determinação final, desde que submetidos em até 60 (sessenta) dias da data de publicação das conclusões preliminares.</w:t>
      </w:r>
    </w:p>
    <w:p w14:paraId="3F01F64C"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5º Em casos nos quais não haja necessidade de realização de verificação in loco para comprovação das informações trazidas no questionário de interesse público, o prazo a que faz referência o parágrafo anterior poderá ser prorrogado por até 30 dias, condicionado a pedido prévio da parte interessada e deferimento pela SDCOM.</w:t>
      </w:r>
    </w:p>
    <w:p w14:paraId="49529621"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6º Não será admitida a abertura de avaliação de interesse público nas revisões de final de período de medida antidumping ou compensatória mediante pleito submetido pelas partes interessadas com base em Questionário de Interesse Público que não apresente, na narrativa dos seus fatos e fundamentos, indícios de interesse público e/ou elementos mínimos de inteligibilidade, podendo a Subsecretaria de Defesa Comercial e Interesse Público indeferir o pleito, sem análise do mérito.</w:t>
      </w:r>
    </w:p>
    <w:p w14:paraId="005645A3"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7º Não será admitida a abertura de avaliação de interesse público nas revisões de final de período de medida antidumping ou compensatória mediante pleito apresentado com base em Questionário de Interesse Público submetido exclusivamente por produtores ou exportadores estrangeiros ou alguma de suas partes relacionadas e/ou por governos estrangeiros que não colaborem com a revisão de final de período em curso.</w:t>
      </w:r>
    </w:p>
    <w:p w14:paraId="08BA22EF"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8º Caso tenha sido aberta uma avaliação de interesse público, a Subsecretaria de Defesa Comercial e Interesse Público, concomitantemente ao parecer de determinação final no âmbito de revisão de final de período de medida antidumping ou compensatória, apresentará suas conclusões finais acerca da avaliação de interesse público, que subsidiará a decisão final da autoridade competente.</w:t>
      </w:r>
    </w:p>
    <w:p w14:paraId="67DADE73"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9º A Subsecretaria de Defesa Comercial e Interesse Público baseará suas conclusões finais nas informações trazidas aos autos pelas partes interessadas e pelos membros e convidados do Comitê-Executivo de Gestão da Câmara de Comércio Exterior, nos termos do Decreto nº 10.044, de 2019, e sua respectiva regulamentação, desde o ato da Secretaria de Comércio Exterior de início da revisão de final de período de medida antidumping ou compensatória até o fim da fase probatória, com exceção às hipóteses dos § § 4º e 5º.</w:t>
      </w:r>
    </w:p>
    <w:p w14:paraId="5294CFC3"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10º A Subsecretaria de Defesa Comercial e Interesse Público poderá utilizar informações disponíveis nos autos do processo de revisão de final de período de medida antidumping ou compensatória e em fontes alternativas de informação.</w:t>
      </w:r>
    </w:p>
    <w:p w14:paraId="31F34F45"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7º Fora as hipóteses dos arts. 5º e 6º, poderá ser excepcionalmente aberta uma avaliação de interesse público mediante pleito apresentado com base em Questionário de Interesse Público devidamente preenchido, desde que sejam atendidos, cumulativamente, os seguintes requisitos:</w:t>
      </w:r>
    </w:p>
    <w:p w14:paraId="5E34E554"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 - prazo de, no mínimo, 1 (um) ano da aplicação ou da última prorrogação da medida antidumping ou compensatória, e</w:t>
      </w:r>
    </w:p>
    <w:p w14:paraId="2E4EAA7F"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II - comprovação, mediante evidências, da ocorrência de fato superveniente excepcional.</w:t>
      </w:r>
    </w:p>
    <w:p w14:paraId="1AEFA1F5"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1º Excepcionalmente, a avaliação de interesse público de que trata o caput poderá ser aberta ex officio, a critério da Subsecretaria de Defesa Comercial e Interesse Público, desde que observados os requisitos previstos nos incisos I e II do caput, não sendo exigido Questionário de Interesse Público.</w:t>
      </w:r>
    </w:p>
    <w:p w14:paraId="7624E2FB"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2º Poderá ser considerado fato superveniente excepcional, entre outros fatores, a comprovada interrupção permanente da produção da indústria doméstica do produto sob análise ou a produção em volume irrisório para atendimento do mercado brasileiro.</w:t>
      </w:r>
    </w:p>
    <w:p w14:paraId="0024B31F"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3º Os processos de avaliação de interesse público instaurados na hipótese excepcional deste artigo obedecerão, no que couber, aos procedimentos e aos prazos estabelecidos para revisões de final de período de medida antidumping ou compensatória, nos termos do art. 6º desta Portaria.</w:t>
      </w:r>
    </w:p>
    <w:p w14:paraId="1AF84A29"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4º Não será admitida a abertura de avaliação de interesse público excepcional mediante pleito apresentado com base em Questionário de Interesse Público submetido exclusivamente por produtores ou exportadores estrangeiros ou alguma de suas partes relacionadas e/ou por governos estrangeiros que não tenham colaborado com a investigação original de dumping ou de subsídios ou com a revisão de final de período de medida antidumping ou compensatória correspondente.</w:t>
      </w:r>
    </w:p>
    <w:p w14:paraId="4241CC94"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8º Para fins dessa Portaria, serão consideradas partes interessadas no processo de avaliação de interesse público aquelas que puderem ser afetadas pela decisão de aplicação de medidas de defesa comercial, desde que apresentem procuração com poderes específicos e que submetam o Questionário de Interesse Público disponibilizado na página eletrônica deste Ministério.</w:t>
      </w:r>
    </w:p>
    <w:p w14:paraId="71522F24"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1º Os peticionários da investigação de defesa comercial poderão apresentar no SEI/ME, desde o protocolo da sua petição nesse sistema, informações a respeito da avaliação de interesse público, conforme Questionário de Interesse Público disponibilizado na página da internet deste Ministério. (</w:t>
      </w:r>
      <w:hyperlink r:id="rId255" w:history="1">
        <w:r w:rsidRPr="00395593">
          <w:rPr>
            <w:rStyle w:val="Hyperlink"/>
            <w:rFonts w:ascii="Garamond" w:eastAsia="Times New Roman" w:hAnsi="Garamond" w:cs="Arial"/>
            <w:sz w:val="24"/>
            <w:szCs w:val="24"/>
            <w:lang w:eastAsia="pt-BR"/>
          </w:rPr>
          <w:t>Alteração trazida pela Portaria Nº 103 de 27 de julho de 2021</w:t>
        </w:r>
      </w:hyperlink>
      <w:r w:rsidRPr="00395593">
        <w:rPr>
          <w:rFonts w:ascii="Garamond" w:eastAsia="Times New Roman" w:hAnsi="Garamond" w:cs="Arial"/>
          <w:color w:val="162937"/>
          <w:sz w:val="24"/>
          <w:szCs w:val="24"/>
          <w:lang w:eastAsia="pt-BR"/>
        </w:rPr>
        <w:t>)</w:t>
      </w:r>
    </w:p>
    <w:p w14:paraId="78E76F10"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2º Serão automaticamente consideradas como partes interessadas no processo de avaliação de interesse público as partes interessadas na investigação de dumping ou de subsídios.</w:t>
      </w:r>
    </w:p>
    <w:p w14:paraId="619CA3BC"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9º As partes interessadas deverão indicar claramente, em seu Questionário de Interesse Público e suas demais manifestações, quais informações são confidenciais, sob pena de serem tratadas como públicas.</w:t>
      </w:r>
    </w:p>
    <w:p w14:paraId="514244ED"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1º Em virtude de sigilo decorrente de lei ou por constituir informação relativa à atividade empresarial de pessoas físicas ou jurídicas de direito privado cuja divulgação possa representar vantagem competitiva a outros agentes econômicos, poderá ser deferido o tratamento confidencial aos autos, documentos, objetos, dados e informações relacionados a</w:t>
      </w:r>
    </w:p>
    <w:p w14:paraId="765B2BEF"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 - escrituração mercantil;</w:t>
      </w:r>
    </w:p>
    <w:p w14:paraId="22B168FC"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II - situação econômico-financeira de empresa;</w:t>
      </w:r>
    </w:p>
    <w:p w14:paraId="0B155A73"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III - sigilo fiscal ou bancário;</w:t>
      </w:r>
    </w:p>
    <w:p w14:paraId="4D3BAB85"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IV - segredos de empresa;</w:t>
      </w:r>
    </w:p>
    <w:p w14:paraId="052FDA92"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V - processo produtivo e segredos de indústria, notadamente ligados a processos industriais e fórmulas relativas à fabricação de produtos;</w:t>
      </w:r>
    </w:p>
    <w:p w14:paraId="17E0D0EF"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VI - faturamento;</w:t>
      </w:r>
    </w:p>
    <w:p w14:paraId="26BC15A7"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VII - último relatório anual elaborado para os acionistas ou quotistas, exceto quando o documento tiver caráter público;</w:t>
      </w:r>
    </w:p>
    <w:p w14:paraId="18975D52"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VIII - valor e quantidade das vendas e demonstrações financeiras;</w:t>
      </w:r>
    </w:p>
    <w:p w14:paraId="01E3C85E"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IX - clientes e fornecedores;</w:t>
      </w:r>
    </w:p>
    <w:p w14:paraId="1A8A6CC2"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X - capacidade instalada;</w:t>
      </w:r>
    </w:p>
    <w:p w14:paraId="4B7B0134"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XI - custos de produção e despesas com pesquisa e desenvolvimento de novos produtos ou serviços; ou</w:t>
      </w:r>
    </w:p>
    <w:p w14:paraId="48EA179C"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XIV - outras hipóteses, a critério da autoridade concedente.</w:t>
      </w:r>
    </w:p>
    <w:p w14:paraId="57988ED7"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2º Havendo informações confidenciais no Questionário de Interesse Público ou em qualquer outra manifestação, a parte interessada que submeteu a informação confidencial deverá, simultaneamente,</w:t>
      </w:r>
    </w:p>
    <w:p w14:paraId="12ACBFC6"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 - protocolar nos autos confidenciais uma versão integral, com os elementos reputados como confidenciais destacados, identificada no topo de cada página com o termo [VERSÃO CONFIDENCIAL], em vermelho; e</w:t>
      </w:r>
    </w:p>
    <w:p w14:paraId="0845D777"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II - protocolar nos autos públicos uma versão parcial, identificada no topo de cada página com o termo [VERSÃO PÚBLICA], devendo conter resumos públicos com justificativas para a confidencialidade de cada dado identificado como confidencial e com detalhes que permitam a compreensão da informação fornecida para o exercício do contraditório e da ampla defesa, bem como ser editada com marcas, rasuras ou supressões, de modo a omitirem-se estritamente os elementos reputados como confidenciais.</w:t>
      </w:r>
    </w:p>
    <w:p w14:paraId="7A679D1C"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3° A impossibilidade de se apresentar versão pública da peça confidencial correspondente deverá ser devida e excepcionalmente justificada e tal justificativa deverá ser necessariamente pública.</w:t>
      </w:r>
    </w:p>
    <w:p w14:paraId="740333CE"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4º Caso a Subsecretaria de Defesa Comercial e Interesse Público considere injustificado o pedido de confidencialidade e a parte interessada que houver fornecido a informação se recuse a adequá-la para anexação em autos públicos, a informação poderá ser desconsiderada, exceto se demonstrado, a contento e por fonte apropriada, que tal informação é correta.</w:t>
      </w:r>
    </w:p>
    <w:p w14:paraId="39E750C2"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5º A versão pública de informações numéricas confidenciais passíveis de sumarização deverá ser apresentada na forma de números-índice ou outro indicador que permita a compreensão sobre a natureza da informação.</w:t>
      </w:r>
    </w:p>
    <w:p w14:paraId="7A12041B"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6º A divulgação de informação confidencial por erro na protocolização ou na classificação do documento no SEI/ME é de responsabilidade exclusiva da parte interessada que o submeteu.</w:t>
      </w:r>
    </w:p>
    <w:p w14:paraId="203473A6"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7º No caso de inconsistência entre o teor do documento enviado e as indicações de confidencialidade realizadas previamente no SEI/ME pelo representante acerca do referido documento, prevalecerão as indicações realizadas pelo representante no SEI/ME.</w:t>
      </w:r>
    </w:p>
    <w:p w14:paraId="17457A41" w14:textId="77777777" w:rsidR="004E3695" w:rsidRPr="00395593" w:rsidRDefault="004E3695" w:rsidP="00847C8A">
      <w:pPr>
        <w:shd w:val="clear" w:color="auto" w:fill="FFFFFF"/>
        <w:spacing w:after="0" w:line="240" w:lineRule="auto"/>
        <w:jc w:val="center"/>
        <w:rPr>
          <w:rFonts w:ascii="Garamond" w:eastAsia="Times New Roman" w:hAnsi="Garamond" w:cs="Arial"/>
          <w:b/>
          <w:color w:val="162937"/>
          <w:sz w:val="24"/>
          <w:szCs w:val="24"/>
          <w:lang w:eastAsia="pt-BR"/>
        </w:rPr>
      </w:pPr>
      <w:r w:rsidRPr="00395593">
        <w:rPr>
          <w:rFonts w:ascii="Garamond" w:eastAsia="Times New Roman" w:hAnsi="Garamond" w:cs="Arial"/>
          <w:b/>
          <w:color w:val="162937"/>
          <w:sz w:val="24"/>
          <w:szCs w:val="24"/>
          <w:lang w:eastAsia="pt-BR"/>
        </w:rPr>
        <w:t>CAPÍTULO III</w:t>
      </w:r>
    </w:p>
    <w:p w14:paraId="5F6FC602" w14:textId="77777777" w:rsidR="004E3695" w:rsidRPr="00395593" w:rsidRDefault="004E3695" w:rsidP="009057A6">
      <w:pPr>
        <w:shd w:val="clear" w:color="auto" w:fill="FFFFFF"/>
        <w:spacing w:after="150" w:line="240" w:lineRule="auto"/>
        <w:jc w:val="center"/>
        <w:rPr>
          <w:rFonts w:ascii="Garamond" w:eastAsia="Times New Roman" w:hAnsi="Garamond" w:cs="Arial"/>
          <w:b/>
          <w:color w:val="162937"/>
          <w:sz w:val="24"/>
          <w:szCs w:val="24"/>
          <w:lang w:eastAsia="pt-BR"/>
        </w:rPr>
      </w:pPr>
      <w:r w:rsidRPr="00395593">
        <w:rPr>
          <w:rFonts w:ascii="Garamond" w:eastAsia="Times New Roman" w:hAnsi="Garamond" w:cs="Arial"/>
          <w:b/>
          <w:color w:val="162937"/>
          <w:sz w:val="24"/>
          <w:szCs w:val="24"/>
          <w:lang w:eastAsia="pt-BR"/>
        </w:rPr>
        <w:t>INSTRUÇÃO</w:t>
      </w:r>
    </w:p>
    <w:p w14:paraId="5E0C35FB"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10 A partir da publicação de ato da Secretaria de Comércio Exterior de início de investigação original de dumping ou de subsídios ou de revisão de final de período de medida antidumping ou compensatória, e ao longo de toda a instrução processual da avaliação de interesse público, a Subsecretaria de Defesa Comercial e Interesse Público poderá</w:t>
      </w:r>
    </w:p>
    <w:p w14:paraId="157FD6AC"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 - enviar ofícios contendo solicitação de informações às partes interessadas e a quaisquer outros entes que julgar necessário;</w:t>
      </w:r>
    </w:p>
    <w:p w14:paraId="645B3AF5"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II - convocar reuniões com representantes de outros órgãos e entidades governamentais, quando o assunto em pauta incluir matéria de suas respectivas esferas de atuação, bem como solicitar-lhes informações que auxiliem na instrução do processo;</w:t>
      </w:r>
    </w:p>
    <w:p w14:paraId="1AF1A4DE"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III - realizar, a seu critério de conveniência e oportunidade, verificações in loco, com vistas a comprovar as informações apresentadas pelas partes interessadas;</w:t>
      </w:r>
    </w:p>
    <w:p w14:paraId="434EA6A6"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IV - realizar audiências com as partes interessadas;</w:t>
      </w:r>
    </w:p>
    <w:p w14:paraId="3B5C0B84"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V - adotar quaisquer outras providências necessárias para a obtenção de informações relevantes à avaliação de interesse público relacionada a medidas antidumping ou compensatórias.</w:t>
      </w:r>
    </w:p>
    <w:p w14:paraId="55329F4B"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Parágrafo único. A Subsecretaria de Defesa Comercial e Interesse Público informará da avaliação de interesse público aos membros e convidados do Comitê-Executivo de Gestão da Câmara de Comércio Exterior para que, caso queiram, manifestem suas preocupações relacionadas a interesse público antes do encerramento da fase probatória dessas avaliações.</w:t>
      </w:r>
    </w:p>
    <w:p w14:paraId="1215E002"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11 A realização das verificações in loco, prevista no art. 10, inciso III desta Portaria, será condicionada à anuência das partes interessadas envolvidas.</w:t>
      </w:r>
    </w:p>
    <w:p w14:paraId="6C3F6572"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1ºA intenção de se realizar verificações in loco será comunicada por escrito, com uma antecedência mínima de 20 (vinte) dias da data sugerida para a verificação.</w:t>
      </w:r>
    </w:p>
    <w:p w14:paraId="5723B382"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2º No prazo de 2 (dois) dias, contados da data de ciência da comunicação a que faz referência o parágrafo anterior, o interessado deverá manifestar, por escrito, sua anuência à realização da verificação.</w:t>
      </w:r>
    </w:p>
    <w:p w14:paraId="0FAA6E0D"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3º Presume-se que as partes interessadas terão ciência dos documentos transmitidos eletronicamente pela Subsecretaria de Defesa Comercial e Interesse Público 3 (três) dias após a transmissão eletrônica da comunicação ou, no caso de documentos impressos enviados por esta Subsecretaria, 5 (cinco) dias após a data do envio físico da comunicação, caso sejam partes interessadas nacionais, e 10 (dez) dias após a data do envio físico da comunicação, caso sejam partes interessadas estrangeiras.</w:t>
      </w:r>
    </w:p>
    <w:p w14:paraId="184CAAD0"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4º Caso o interessado concorde com a verificação, a Subsecretaria de Defesa Comercial e Interesse Público enviará, pelo menos 10 (dez) dias antes da data de sua realização, comunicação contendo as informações que serão solicitadas e analisadas, bem como a lista de documentos que deverão ser apresentados durante a visita.</w:t>
      </w:r>
    </w:p>
    <w:p w14:paraId="5041A8FB"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5º Antes de iniciada a verificação in loco, os envolvidos terão a oportunidade de fornecer esclarecimentos relativos às informações previamente apresentadas para a equipe verificadora.</w:t>
      </w:r>
    </w:p>
    <w:p w14:paraId="01FC809A"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6º Novas informações em verificação in loco somente serão aceitas para efetuar pequenas correções e desde que apresentadas para avaliação à equipe verificadora, previamente ao início da análise dos itens selecionados.</w:t>
      </w:r>
    </w:p>
    <w:p w14:paraId="4EDE3823"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7º Os relatórios das verificações in loco serão juntados aos respectivos autos do processo em até 15 (quinze) dias contados a partir do primeiro dia útil após o término da visita.</w:t>
      </w:r>
    </w:p>
    <w:p w14:paraId="3E1C664B"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8º O não cumprimento do prazo de que trata o § 2º, a recusa em permitir a realização da verificação in loco, bem como a não-comprovação dos dados apresentados na resposta ao Questionário de Interesse Público, poderá levar a Subsecretaria de Defesa Comercial e Interesse Público a desconsiderar as informações fornecidas pela parte interessada e dará ensejo à utilização dos elementos de fato e de direito disponíveis nos autos do processo para suprir as lacunas decorrentes da não cooperação.</w:t>
      </w:r>
    </w:p>
    <w:p w14:paraId="628D11FA"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12 A data de realização da audiência entre as partes interessadas e a Subsecretaria de Defesa Comercial e Interesse Público, prevista no art. 10, inciso IV desta Portaria, será comunicada às partes interessadas por ofício com antecedência mínima de 20 (vinte) dias e, a critério desta Subsecretaria, o número de representantes legais por parte interessada poderá ser limitado.</w:t>
      </w:r>
    </w:p>
    <w:p w14:paraId="58F78FA4"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1º O comparecimento à audiência é facultativo e a ausência de qualquer parte interessada não será utilizada em seu prejuízo.</w:t>
      </w:r>
    </w:p>
    <w:p w14:paraId="2C4E6F08"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2º As partes interessadas deverão enviar, por escrito, com pelo menos 10 (dez) dias de antecedência, os argumentos que desejam tratar e indicar, e, com pelo menos 3 (três) dias de antecedência, os representantes legais que estarão presentes à audiência, podendo as partes interessadas apresentar informações adicionais oralmente na audiência.</w:t>
      </w:r>
    </w:p>
    <w:p w14:paraId="58064153"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3º As informações apresentadas oralmente durante a audiência somente serão consideradas pela Subsecretaria de Defesa Comercial e Interesse Público, caso reproduzidas por escrito e protocoladas nos autos do processo de avaliação de interesse público no prazo de até 10 (dez) dias após a sua realização.</w:t>
      </w:r>
    </w:p>
    <w:p w14:paraId="0304E892"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4º Os membros do Comitê-Executivo de Gestão da Câmara de Comércio Exterior poderão comparecer, caso queiram, às audiências realizadas entre as partes interessadas e a Subsecretaria de Defesa Comercial e Interesse Público.</w:t>
      </w:r>
    </w:p>
    <w:p w14:paraId="6E5ACD3A"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13 A fase de instrução do processo de avaliação de interesse público seguirá os mesmos prazos de instrução das investigações originais de dumping ou subsídios ou revisões de final de período de medida antidumping ou compensatória, conforme os arts. 59 a 62 do Decreto nº 8.058, de 2013, e o art. 43 do Decreto nº 1.751, de1995.</w:t>
      </w:r>
    </w:p>
    <w:p w14:paraId="2C802003" w14:textId="77777777" w:rsidR="004E3695" w:rsidRPr="00395593" w:rsidRDefault="004E3695" w:rsidP="00847C8A">
      <w:pPr>
        <w:shd w:val="clear" w:color="auto" w:fill="FFFFFF"/>
        <w:spacing w:after="0" w:line="240" w:lineRule="auto"/>
        <w:jc w:val="center"/>
        <w:rPr>
          <w:rFonts w:ascii="Garamond" w:eastAsia="Times New Roman" w:hAnsi="Garamond" w:cs="Arial"/>
          <w:b/>
          <w:color w:val="162937"/>
          <w:sz w:val="24"/>
          <w:szCs w:val="24"/>
          <w:lang w:eastAsia="pt-BR"/>
        </w:rPr>
      </w:pPr>
      <w:r w:rsidRPr="00395593">
        <w:rPr>
          <w:rFonts w:ascii="Garamond" w:eastAsia="Times New Roman" w:hAnsi="Garamond" w:cs="Arial"/>
          <w:b/>
          <w:color w:val="162937"/>
          <w:sz w:val="24"/>
          <w:szCs w:val="24"/>
          <w:lang w:eastAsia="pt-BR"/>
        </w:rPr>
        <w:t>CAPÍTULO IV</w:t>
      </w:r>
    </w:p>
    <w:p w14:paraId="4A58D9E6" w14:textId="77777777" w:rsidR="004E3695" w:rsidRPr="00395593" w:rsidRDefault="004E3695" w:rsidP="009057A6">
      <w:pPr>
        <w:shd w:val="clear" w:color="auto" w:fill="FFFFFF"/>
        <w:spacing w:after="150" w:line="240" w:lineRule="auto"/>
        <w:jc w:val="center"/>
        <w:rPr>
          <w:rFonts w:ascii="Garamond" w:eastAsia="Times New Roman" w:hAnsi="Garamond" w:cs="Arial"/>
          <w:color w:val="162937"/>
          <w:sz w:val="24"/>
          <w:szCs w:val="24"/>
          <w:lang w:eastAsia="pt-BR"/>
        </w:rPr>
      </w:pPr>
      <w:r w:rsidRPr="00395593">
        <w:rPr>
          <w:rFonts w:ascii="Garamond" w:eastAsia="Times New Roman" w:hAnsi="Garamond" w:cs="Arial"/>
          <w:b/>
          <w:color w:val="162937"/>
          <w:sz w:val="24"/>
          <w:szCs w:val="24"/>
          <w:lang w:eastAsia="pt-BR"/>
        </w:rPr>
        <w:t>CONCLUSÃO DA AVALIAÇÃO DE INTERESSE PÚBLICO</w:t>
      </w:r>
    </w:p>
    <w:p w14:paraId="4DAC18FB"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14 Em razão de interesse público, a Subsecretaria de Defesa Comercial e Interesse Público poderá recomendar:</w:t>
      </w:r>
    </w:p>
    <w:p w14:paraId="5E473983"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 - a suspensão, por até um ano, prorrogável uma única vez por igual período, da exigibilidade de direito antidumping definitivo ou de compromissos de preços, em vigor, nos termos do art. 3º, inciso I, do Decreto nº 8.058, de 2013;</w:t>
      </w:r>
    </w:p>
    <w:p w14:paraId="6D7638BE"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II - a não aplicação do direito antidumping provisório, nos termos do art. 3º, inciso II, do Decreto nº 8.058, de 2013;</w:t>
      </w:r>
    </w:p>
    <w:p w14:paraId="6B6BCF46"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III - a homologação de compromisso de preços ou a aplicação de direito antidumping definitivo em valor diferente do recomendado, nos termos do art. 3º, inciso III, do Decreto nº 8.058, de 2013;</w:t>
      </w:r>
    </w:p>
    <w:p w14:paraId="21FBB32F"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IV - a suspensão da aplicação de direito compensatório provisório ou definitivo ou a não homologação de compromissos, nos termos do art. 73, § 3º, do Decreto nº 1.751, de 1995;</w:t>
      </w:r>
    </w:p>
    <w:p w14:paraId="5015C433"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V - a aplicação do direito compensatório provisório ou definitivo em valor diferente do recomendado, nos termos do art. 73, § 3º, do Decreto nº 1.751, de 1995.</w:t>
      </w:r>
    </w:p>
    <w:p w14:paraId="6E14C638"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1º O montante de direito antidumping ou de direito compensatório recomendado nos termos deste artigo não excederá a margem de dumping ou o montante de subsídios acionável apurado.</w:t>
      </w:r>
    </w:p>
    <w:p w14:paraId="2E054F8D"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2º Em caso de determinação negativa de aplicação ou de prorrogação de medida antidumping ou compensatória, nos termos do inciso IX do art. 91 do Decreto nº 9.745, de 2019, compete à Secretaria de Comércio Exterior o encerramento da avaliação de interesse público concomitantemente ao encerramento da investigação original de dumping ou de subsídios ou da revisão de final de período de medida antidumping ou compensatória correspondente, por perda de objeto da avaliação de interesse público.</w:t>
      </w:r>
    </w:p>
    <w:p w14:paraId="1CC99BC8"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3º Em caso de determinação positiva de aplicação ou de prorrogação de medida antidumping ou compensatória, nos termos dos incisos VI e VIII do art. 7º do Decreto nº 10.044, de 2019, e em caso de medidas antidumping ou compensatórias em vigor, compete ao Comitê-Executivo de Gestão da Câmara de Comércio Exterior o encerramento da avaliação de interesse público e a decisão final acerca das hipóteses previstas no caput, acompanhada da fundamentação que a motivou, nos termos do inciso VII do art. 7º do Decreto nº 10.044, de 2019.</w:t>
      </w:r>
    </w:p>
    <w:p w14:paraId="7D6A0D09"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4º Na hipótese de aplicação de medida antidumping ou compensatória em valor diferente do recomendado, prevista nos incisos III e V do caput, a Subsecretaria de Defesa Comercial e Interesse Público definirá no âmbito de cada caso concreto a metodologia a ser utilizada no cálculo do montante a ser recomendado por razões de interesse público, considerando-se, se aplicável, entre outros fatores, informações e sugestões de parâmetros trazidos aos autos pelas partes interessadas.</w:t>
      </w:r>
    </w:p>
    <w:p w14:paraId="68831A1D"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5º Nas hipóteses previstas nos incisos III, IV e V, caso o ato de suspensão ou de alteração não tenha sua validade expressamente prevista, a suspensão ou a alteração subsistirá pelo prazo remanescente da medida antidumping ou compensatória.</w:t>
      </w:r>
    </w:p>
    <w:p w14:paraId="088DB084"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6º Em observação ao disposto no § 2º do art. 3º do Decreto nº 8.058, de 2013, as medidas antidumping suspensas nos termos no inciso I serão automaticamente extintas ao final do período de suspensão, caso não tenham sido reaplicadas por decisão do Comitê-Executivo de Gestão da Câmara de Comércio Exterior ou caso o ato de suspensão não estabeleça expressamente a reaplicação ao final do período de suspensão.</w:t>
      </w:r>
    </w:p>
    <w:p w14:paraId="3EB97399" w14:textId="77777777" w:rsidR="004E3695" w:rsidRPr="00395593" w:rsidRDefault="004E3695" w:rsidP="00847C8A">
      <w:pPr>
        <w:shd w:val="clear" w:color="auto" w:fill="FFFFFF"/>
        <w:spacing w:after="0" w:line="240" w:lineRule="auto"/>
        <w:jc w:val="center"/>
        <w:rPr>
          <w:rFonts w:ascii="Garamond" w:eastAsia="Times New Roman" w:hAnsi="Garamond" w:cs="Arial"/>
          <w:b/>
          <w:color w:val="162937"/>
          <w:sz w:val="24"/>
          <w:szCs w:val="24"/>
          <w:lang w:eastAsia="pt-BR"/>
        </w:rPr>
      </w:pPr>
      <w:r w:rsidRPr="00395593">
        <w:rPr>
          <w:rFonts w:ascii="Garamond" w:eastAsia="Times New Roman" w:hAnsi="Garamond" w:cs="Arial"/>
          <w:b/>
          <w:color w:val="162937"/>
          <w:sz w:val="24"/>
          <w:szCs w:val="24"/>
          <w:lang w:eastAsia="pt-BR"/>
        </w:rPr>
        <w:t>CAPÍTULO V</w:t>
      </w:r>
    </w:p>
    <w:p w14:paraId="6B947E89" w14:textId="77777777" w:rsidR="004E3695" w:rsidRPr="00395593" w:rsidRDefault="004E3695" w:rsidP="009057A6">
      <w:pPr>
        <w:shd w:val="clear" w:color="auto" w:fill="FFFFFF"/>
        <w:spacing w:after="150" w:line="240" w:lineRule="auto"/>
        <w:jc w:val="center"/>
        <w:rPr>
          <w:rFonts w:ascii="Garamond" w:eastAsia="Times New Roman" w:hAnsi="Garamond" w:cs="Arial"/>
          <w:b/>
          <w:color w:val="162937"/>
          <w:sz w:val="24"/>
          <w:szCs w:val="24"/>
          <w:lang w:eastAsia="pt-BR"/>
        </w:rPr>
      </w:pPr>
      <w:r w:rsidRPr="00395593">
        <w:rPr>
          <w:rFonts w:ascii="Garamond" w:eastAsia="Times New Roman" w:hAnsi="Garamond" w:cs="Arial"/>
          <w:b/>
          <w:color w:val="162937"/>
          <w:sz w:val="24"/>
          <w:szCs w:val="24"/>
          <w:lang w:eastAsia="pt-BR"/>
        </w:rPr>
        <w:t>REAPLICAÇÃO DAS MEDIDAS ANTIDUMPING E COMPENSATÓRIAS</w:t>
      </w:r>
    </w:p>
    <w:p w14:paraId="3AC73253"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15 Caso o ato de suspensão previsto no art. 14, inciso I, não estabeleça a reaplicação automática da medida antidumping ao final do período de suspensão nele previsto, poderão ser apresentados pedidos de reaplicação da medida antidumping definitiva pelo prazo remanescente de sua vigência.</w:t>
      </w:r>
    </w:p>
    <w:p w14:paraId="06E26B01"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1º Na hipótese prevista no caput, caso não sejam apresentados pedidos de reaplicação da medida antidumping, a Subsecretaria de Defesa Comercial e Interesse Público remeterá automaticamente ao Comitê-Executivo de Gestão da Câmara de Comércio Exterior, após expirado o prazo mínimo previsto no § 3º, recomendação de prorrogação da suspensão por mais 1 (um) ano ou, em casos em que a prorrogação já tiver ocorrido, recomendação de extinção da medida antidumping.</w:t>
      </w:r>
    </w:p>
    <w:p w14:paraId="372FB877"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2º Eventual pedido de reaplicação deverá ser apresentado sob a forma do Questionário de Interesse Público, que deverá ser preenchido com fatos supervenientes que possam alterar as conclusões constantes do parecer final da avaliação de interesse público anterior que recomendou a suspensão da medida antidumping definitiva.</w:t>
      </w:r>
    </w:p>
    <w:p w14:paraId="3CC4826D"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3º O Questionário de Interesse Público deverá ser protocolado nos autos do processo de avaliação de interesse público que deu origem à suspensão, disponível no SEI/ME, no prazo mínimo de 3 (três) meses e máximo de 4 (quatro) meses antes do vencimento da suspensão da medida antidumping definitiva.</w:t>
      </w:r>
    </w:p>
    <w:p w14:paraId="59CC573A"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4º Caso preenchidos os requisitos previstos no § 2º, a Subsecretaria de Defesa Comercial e Interesse Público dará publicidade ao pedido de reaplicação da medida antidumping por meio de ato da Secretaria de Comércio Exterior, o qual abrirá prazo improrrogável de 30 (trinta) dias, contado da data de sua publicação, para que as partes interessadas submetam suas manifestações acerca do pleito de reaplicação da medida antidumping, após o qual não serão conhecidas novas informações trazidas aos autos pelas partes interessadas.</w:t>
      </w:r>
    </w:p>
    <w:p w14:paraId="0F3B3ECA"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5º A Subsecretaria de Defesa Comercial e Interesse Público emitirá seu parecer final e o remeterá para apreciação do Comitê-Executivo de Gestão da Câmara de Comércio Exterior.</w:t>
      </w:r>
    </w:p>
    <w:p w14:paraId="6EE48261"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6° Ao final da análise da necessidade de reaplicação da medida antidumping, a Subsecretaria de Defesa Comercial e Interesse Público poderá recomendar:</w:t>
      </w:r>
    </w:p>
    <w:p w14:paraId="4F6AA984"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 - por mais uma única vez, a prorrogação da suspensão por até 1 (um) ano, em casos em que tal prorrogação não tiver ocorrido;</w:t>
      </w:r>
    </w:p>
    <w:p w14:paraId="49F6048B"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II - a reaplicação da medida antidumping definitiva, em valor igual ou diferente daquele previamente aplicado, pelo prazo de vigência remanescente dessa medida; ou</w:t>
      </w:r>
    </w:p>
    <w:p w14:paraId="7E192F4B"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III - a extinção da medida antidumping definitiva.</w:t>
      </w:r>
    </w:p>
    <w:p w14:paraId="2738588B"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7° A recomendação da Subsecretaria de Defesa Comercial e Interesse Público, prevista no § 1º ou no § 6º, acerca da prorrogação da suspensão por mais 1 (um) ano, da extinção ou da reaplicação da medida antidumping definitiva, subsidiará a decisão do Comitê-Executivo de Gestão da Câmara de Comércio Exterior, que deverá ser publicada até o vencimento do período de suspensão previsto no caput.</w:t>
      </w:r>
    </w:p>
    <w:p w14:paraId="37A98F8F"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16 Caso o ato de suspensão previsto no art. 14, inciso IV, não estabeleça a reaplicação automática da medida compensatória definitiva ao final do período de suspensão nele previsto, poderão ser apresentados pedidos de reaplicação da medida compensatória definitiva pelo prazo remanescente de sua vigência.</w:t>
      </w:r>
    </w:p>
    <w:p w14:paraId="7EF52A3A"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1º Na hipótese prevista no caput, caso não sejam apresentados pedidos de reaplicação da medida compensatória, a Subsecretaria de Defesa Comercial e Interesse Público remeterá automaticamente ao Comitê-Executivo de Gestão da Câmara de Comércio Exterior, após expirado o prazo mínimo de 3 (três) meses previsto nos § § 3º e 4º, recomendação de prorrogação da suspensão pelo prazo de vigência remanescente da medida compensatória definitiva.</w:t>
      </w:r>
    </w:p>
    <w:p w14:paraId="1E61E5A3"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2º Eventual pedido de reaplicação deverá ser apresentado sob a forma do Questionário de Interesse Público, que deverá ser preenchido com fatos supervenientes que possam alterar as conclusões constantes do parecer final da avaliação de interesse público anterior que recomendou a suspensão da medida compensatória definitiva.</w:t>
      </w:r>
    </w:p>
    <w:p w14:paraId="2CB36DB7"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3º O Questionário de Interesse Público deverá ser protocolado nos autos do processo de avaliação de interesse público que deu origem à suspensão, disponível no SEI/ME, após transcorrido, no mínimo, 1 (um) ano da publicação do ato de suspensão a que faz referência o caput e, no mínimo, 3 (três) e no máximo 4 (quatro) meses antes do vencimento da suspensão da medida de defesa comercial.</w:t>
      </w:r>
    </w:p>
    <w:p w14:paraId="7A84D49A"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4º O disposto no parágrafo anterior não se aplica caso o período de suspensão previsto no ato a que faz referência o caput seja igual ou inferior a 1 (um) ano, hipótese na qual o Questionário de Interesse Público deverá ser protocolado nos autos do processo de avaliação de interesse público que deu origem à suspensão, disponível no SEI/ME, no prazo mínimo de 3 (três) meses e máximo de 4 (quatro) meses antes do vencimento da suspensão da medida compensatória definitiva.</w:t>
      </w:r>
    </w:p>
    <w:p w14:paraId="54DD10F4"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5º Caso preenchidos os requisitos previstos nos § § 2º e 3º, a Subsecretaria de Defesa Comercial e Interesse Público dará publicidade ao pedido de reaplicação da medida compensatória por meio de ato da Secretaria de Comércio Exterior, o qual abrirá prazo improrrogável de 30 (trinta) dias, contado da data de sua publicação, para que as partes interessadas submetam suas manifestações acerca do pleito de reaplicação da medida compensatória, após o qual não serão conhecidas novas informações trazidas aos autos pelas partes interessadas.</w:t>
      </w:r>
    </w:p>
    <w:p w14:paraId="3FE047F8"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6º A Subsecretaria de Defesa Comercial e Interesse Público emitirá seu parecer final e o remeterá para apreciação do Comitê-Executivo de Gestão da Câmara de Comércio Exterior.</w:t>
      </w:r>
    </w:p>
    <w:p w14:paraId="1A35BB14"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7° Ao final da análise da necessidade de reaplicação da medida compensatória definitiva, a Subsecretaria de Defesa Comercial e Interesse Público poderá recomendar:</w:t>
      </w:r>
    </w:p>
    <w:p w14:paraId="1A56BAC5"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 - a manutenção da suspensão da medida compensatória definitiva pelo prazo de vigência remanescente dessa suspensão ou pelo prazo de vigência remanescente da medida compensatória definitiva; ou</w:t>
      </w:r>
    </w:p>
    <w:p w14:paraId="0C47DC81"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II - a reaplicação da medida compensatória, em valor igual ou diferente daquele previamente aplicado, pelo prazo de vigência remanescente dessa medida.</w:t>
      </w:r>
    </w:p>
    <w:p w14:paraId="3BE2F889"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8º Somente será realizada uma análise de necessidade de reaplicação de medida compensatória definitiva durante o período de suspensão previsto no ato a que faz referência o caput.</w:t>
      </w:r>
    </w:p>
    <w:p w14:paraId="0D65780A"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9° A recomendação da Subsecretaria de Defesa Comercial e Interesse Público, prevista no § 1º ou no § 7º, acerca da manutenção da suspensão ou da reaplicação da medida compensatória definitiva, subsidiará a decisão do Comitê-Executivo de Gestão da Câmara de Comércio Exterior, que deverá ser publicada até o vencimento do período de suspensão previsto no caput.</w:t>
      </w:r>
    </w:p>
    <w:p w14:paraId="08BACA10" w14:textId="77777777" w:rsidR="004E3695" w:rsidRPr="00395593" w:rsidRDefault="004E3695" w:rsidP="00847C8A">
      <w:pPr>
        <w:shd w:val="clear" w:color="auto" w:fill="FFFFFF"/>
        <w:spacing w:after="0" w:line="240" w:lineRule="auto"/>
        <w:jc w:val="center"/>
        <w:rPr>
          <w:rFonts w:ascii="Garamond" w:eastAsia="Times New Roman" w:hAnsi="Garamond" w:cs="Arial"/>
          <w:b/>
          <w:color w:val="162937"/>
          <w:sz w:val="24"/>
          <w:szCs w:val="24"/>
          <w:lang w:eastAsia="pt-BR"/>
        </w:rPr>
      </w:pPr>
      <w:r w:rsidRPr="00395593">
        <w:rPr>
          <w:rFonts w:ascii="Garamond" w:eastAsia="Times New Roman" w:hAnsi="Garamond" w:cs="Arial"/>
          <w:b/>
          <w:color w:val="162937"/>
          <w:sz w:val="24"/>
          <w:szCs w:val="24"/>
          <w:lang w:eastAsia="pt-BR"/>
        </w:rPr>
        <w:t>CAPÍTULO VI</w:t>
      </w:r>
    </w:p>
    <w:p w14:paraId="00E684A9" w14:textId="77777777" w:rsidR="004E3695" w:rsidRPr="00395593" w:rsidRDefault="004E3695" w:rsidP="009057A6">
      <w:pPr>
        <w:shd w:val="clear" w:color="auto" w:fill="FFFFFF"/>
        <w:spacing w:after="150" w:line="240" w:lineRule="auto"/>
        <w:jc w:val="center"/>
        <w:rPr>
          <w:rFonts w:ascii="Garamond" w:eastAsia="Times New Roman" w:hAnsi="Garamond" w:cs="Arial"/>
          <w:b/>
          <w:color w:val="162937"/>
          <w:sz w:val="24"/>
          <w:szCs w:val="24"/>
          <w:lang w:eastAsia="pt-BR"/>
        </w:rPr>
      </w:pPr>
      <w:r w:rsidRPr="00395593">
        <w:rPr>
          <w:rFonts w:ascii="Garamond" w:eastAsia="Times New Roman" w:hAnsi="Garamond" w:cs="Arial"/>
          <w:b/>
          <w:color w:val="162937"/>
          <w:sz w:val="24"/>
          <w:szCs w:val="24"/>
          <w:lang w:eastAsia="pt-BR"/>
        </w:rPr>
        <w:t>PRORROGAÇÃO DAS SUSPENSÕES DE MEDIDAS ANTIDUMPING E COMPENSATÓRIAS</w:t>
      </w:r>
    </w:p>
    <w:p w14:paraId="267BE764"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17. Caso o ato de suspensão previsto no art. 14, inciso I estabeleça expressamente a reaplicação da medida antidumping definitiva ao final do período de suspensão, poderão ser apresentados pedidos de prorrogação da suspensão da exigibilidade da medida antidumping, caso esta ainda não tenha sido prorrogada.</w:t>
      </w:r>
    </w:p>
    <w:p w14:paraId="7A68B04E"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1º Os pedidos de prorrogação de medida antidumping obedecerão, no que couber, ao disposto no art. 15.</w:t>
      </w:r>
    </w:p>
    <w:p w14:paraId="1D40A8E5"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2º Caso não seja apresentado pedido de prorrogação da suspensão, a Subsecretaria de Defesa Comercial e Interesse Público remeterá automaticamente ao Comitê-Executivo de Gestão da Câmara de Comércio Exterior recomendação de reaplicação, pelo prazo de vigência remanescente, da medida antidumping definitiva ao final do período previsto no ato de suspensão correspondente.</w:t>
      </w:r>
    </w:p>
    <w:p w14:paraId="549C217F"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18. Caso o ato de suspensão previsto no art. 14, inciso IV, estabeleça prazo de validade para a suspensão inferior ao prazo total de vigência do direito compensatório definitivo e estabeleça expressamente a reaplicação desse direito ao final do período de suspensão, poderão ser apresentados pedidos de prorrogação da suspensão da exigibilidade do direito compensatório definitivo.</w:t>
      </w:r>
    </w:p>
    <w:p w14:paraId="04BDE9D8"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1º Os pedidos de prorrogação da suspensão de direito compensatório definitivo obedecerão, no que couber, ao disposto no art. 16.</w:t>
      </w:r>
    </w:p>
    <w:p w14:paraId="04C0BBBE"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2º Caso não seja apresentado pedido de prorrogação da suspensão, a Subsecretaria de Defesa Comercial e Interesse Público remeterá automaticamente ao Comitê-Executivo de Gestão da Câmara de Comércio Exterior recomendação de reaplicação, pelo prazo de vigência remanescente, do direito compensatório definitivo ao final do período previsto no ato de suspensão correspondente.</w:t>
      </w:r>
    </w:p>
    <w:p w14:paraId="70EF2B4E"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3° Ao final da análise da necessidade de prorrogação da suspensão da exigibilidade do direito compensatório definitivo, a Subsecretaria de Defesa Comercial e Interesse Público poderá recomendar:</w:t>
      </w:r>
    </w:p>
    <w:p w14:paraId="225D53E3"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 - a prorrogação da suspensão da exigibilidade do direito compensatório definitivo pelo prazo de vigência remanescente desse direito; ou</w:t>
      </w:r>
    </w:p>
    <w:p w14:paraId="7167EB60"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II - a reaplicação do direito compensatório definitivo, em valor igual ou diferente daquele previamente aplicado, pelo prazo de vigência remanescente desse direito.</w:t>
      </w:r>
    </w:p>
    <w:p w14:paraId="3ABDBFC1" w14:textId="3CDFA73F" w:rsidR="004E3695" w:rsidRPr="00395593" w:rsidRDefault="004E3695" w:rsidP="00847C8A">
      <w:pPr>
        <w:shd w:val="clear" w:color="auto" w:fill="FFFFFF"/>
        <w:spacing w:after="0" w:line="240" w:lineRule="auto"/>
        <w:jc w:val="center"/>
        <w:rPr>
          <w:rFonts w:ascii="Garamond" w:eastAsia="Times New Roman" w:hAnsi="Garamond" w:cs="Arial"/>
          <w:b/>
          <w:color w:val="162937"/>
          <w:sz w:val="24"/>
          <w:szCs w:val="24"/>
          <w:lang w:eastAsia="pt-BR"/>
        </w:rPr>
      </w:pPr>
      <w:r w:rsidRPr="00395593">
        <w:rPr>
          <w:rFonts w:ascii="Garamond" w:eastAsia="Times New Roman" w:hAnsi="Garamond" w:cs="Arial"/>
          <w:b/>
          <w:color w:val="162937"/>
          <w:sz w:val="24"/>
          <w:szCs w:val="24"/>
          <w:lang w:eastAsia="pt-BR"/>
        </w:rPr>
        <w:t>CAPÍTULO VII</w:t>
      </w:r>
    </w:p>
    <w:p w14:paraId="1C722EF3" w14:textId="7D207423" w:rsidR="004E3695" w:rsidRDefault="004E3695" w:rsidP="00847C8A">
      <w:pPr>
        <w:shd w:val="clear" w:color="auto" w:fill="FFFFFF"/>
        <w:spacing w:after="0" w:line="240" w:lineRule="auto"/>
        <w:jc w:val="center"/>
        <w:rPr>
          <w:rFonts w:ascii="Garamond" w:eastAsia="Times New Roman" w:hAnsi="Garamond" w:cs="Arial"/>
          <w:b/>
          <w:color w:val="162937"/>
          <w:sz w:val="24"/>
          <w:szCs w:val="24"/>
          <w:lang w:eastAsia="pt-BR"/>
        </w:rPr>
      </w:pPr>
      <w:r w:rsidRPr="00395593">
        <w:rPr>
          <w:rFonts w:ascii="Garamond" w:eastAsia="Times New Roman" w:hAnsi="Garamond" w:cs="Arial"/>
          <w:b/>
          <w:color w:val="162937"/>
          <w:sz w:val="24"/>
          <w:szCs w:val="24"/>
          <w:lang w:eastAsia="pt-BR"/>
        </w:rPr>
        <w:t>ALTERAÇÃO DO VALOR OU SUSPENSÃO DA EXIGIBILIDADE DAS MEDIDAS ANTIDUMPING E COMPENSATÓRIAS OBJETO DE DECISÃO DE INTERESSE PÚBLICO</w:t>
      </w:r>
    </w:p>
    <w:p w14:paraId="61145966" w14:textId="77777777" w:rsidR="00847C8A" w:rsidRPr="00395593" w:rsidRDefault="00847C8A" w:rsidP="00847C8A">
      <w:pPr>
        <w:shd w:val="clear" w:color="auto" w:fill="FFFFFF"/>
        <w:spacing w:after="0" w:line="240" w:lineRule="auto"/>
        <w:jc w:val="center"/>
        <w:rPr>
          <w:rFonts w:ascii="Garamond" w:eastAsia="Times New Roman" w:hAnsi="Garamond" w:cs="Arial"/>
          <w:b/>
          <w:color w:val="162937"/>
          <w:sz w:val="24"/>
          <w:szCs w:val="24"/>
          <w:lang w:eastAsia="pt-BR"/>
        </w:rPr>
      </w:pPr>
    </w:p>
    <w:p w14:paraId="637FDFF7"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19. Caso o ato que aplicar direito antidumping definitivo ou compensatório provisório ou definitivo ou homologar compromisso de preços em valor diferente do recomendado, conforme previsto no art. 14, incisos III e V, estabeleça prazo que se encerre antes do término da vigência da medida antidumping ou compensatória, ao final desse prazo, a Subsecretaria de Defesa Comercial e Interesse Público encaminhará ao Comitê-Executivo de Gestão da Câmara de Comércio Exterior recomendação de prorrogação da aplicação do direito antidumping ou compensatório ou da homologação do compromisso de preços no valor previamente aplicado ou homologado por razões de interesse público, pelo prazo remanescente da medida antidumping ou compensatória.</w:t>
      </w:r>
    </w:p>
    <w:p w14:paraId="3BBFEFB5"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1º O disposto no caput não se aplica quando for apresentado pleito fundamentado de alteração do valor ou de suspensão da exigibilidade da medida antidumping ou compensatória.</w:t>
      </w:r>
    </w:p>
    <w:p w14:paraId="4D5BB896"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2º Os pedidos de alteração do valor ou de suspensão da exigibilidade da medida antidumping ou compensatória de que trata o parágrafo anterior obedecerão, no que couber, ao disposto no Capítulo V, salvo se disposto de forma contrária neste artigo.</w:t>
      </w:r>
    </w:p>
    <w:p w14:paraId="52C5376B"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 3º Ao final da análise, a Subsecretaria de Defesa Comercial e Interesse Público poderá recomendar:</w:t>
      </w:r>
    </w:p>
    <w:p w14:paraId="72EBF768"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 - a manutenção do direito antidumping ou compensatório, pelo prazo remanescente da medida;</w:t>
      </w:r>
    </w:p>
    <w:p w14:paraId="617F546E"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II - a aplicação do direito antidumping ou compensatório em outro valor diferente do previamente aplicado por razões de interesse público, pelo prazo remanescente da medida em questão;</w:t>
      </w:r>
    </w:p>
    <w:p w14:paraId="6CD6DF58"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III - a suspensão, por até um ano, prorrogável uma única vez por igual período, da exigibilidade de direito antidumping definitivo ou de compromissos de preços, em vigor, nos termos do art. 3º, inciso I, do Decreto nº 8.058, de 2013;</w:t>
      </w:r>
    </w:p>
    <w:p w14:paraId="0A431594"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IV - a suspensão da aplicação de direito compensatório definitivo ou a não homologação de compromissos, nos termos do art. 73, § 3º, do Decreto nº 1.751, de 1995.</w:t>
      </w:r>
    </w:p>
    <w:p w14:paraId="4A9F83BD" w14:textId="77777777" w:rsidR="004E3695" w:rsidRPr="00395593" w:rsidRDefault="004E3695" w:rsidP="00847C8A">
      <w:pPr>
        <w:shd w:val="clear" w:color="auto" w:fill="FFFFFF"/>
        <w:spacing w:after="0" w:line="240" w:lineRule="auto"/>
        <w:jc w:val="center"/>
        <w:rPr>
          <w:rFonts w:ascii="Garamond" w:eastAsia="Times New Roman" w:hAnsi="Garamond" w:cs="Arial"/>
          <w:b/>
          <w:color w:val="162937"/>
          <w:sz w:val="24"/>
          <w:szCs w:val="24"/>
          <w:lang w:eastAsia="pt-BR"/>
        </w:rPr>
      </w:pPr>
      <w:r w:rsidRPr="00395593">
        <w:rPr>
          <w:rFonts w:ascii="Garamond" w:eastAsia="Times New Roman" w:hAnsi="Garamond" w:cs="Arial"/>
          <w:b/>
          <w:color w:val="162937"/>
          <w:sz w:val="24"/>
          <w:szCs w:val="24"/>
          <w:lang w:eastAsia="pt-BR"/>
        </w:rPr>
        <w:t>CAPÍTULO VII</w:t>
      </w:r>
    </w:p>
    <w:p w14:paraId="648DD39B" w14:textId="5084BB8A" w:rsidR="004E3695" w:rsidRDefault="004E3695" w:rsidP="00847C8A">
      <w:pPr>
        <w:shd w:val="clear" w:color="auto" w:fill="FFFFFF"/>
        <w:spacing w:after="0" w:line="240" w:lineRule="auto"/>
        <w:jc w:val="center"/>
        <w:rPr>
          <w:rFonts w:ascii="Garamond" w:eastAsia="Times New Roman" w:hAnsi="Garamond" w:cs="Arial"/>
          <w:b/>
          <w:color w:val="162937"/>
          <w:sz w:val="24"/>
          <w:szCs w:val="24"/>
          <w:lang w:eastAsia="pt-BR"/>
        </w:rPr>
      </w:pPr>
      <w:r w:rsidRPr="00395593">
        <w:rPr>
          <w:rFonts w:ascii="Garamond" w:eastAsia="Times New Roman" w:hAnsi="Garamond" w:cs="Arial"/>
          <w:b/>
          <w:color w:val="162937"/>
          <w:sz w:val="24"/>
          <w:szCs w:val="24"/>
          <w:lang w:eastAsia="pt-BR"/>
        </w:rPr>
        <w:t>DISPOSIÇÕES GERAIS</w:t>
      </w:r>
    </w:p>
    <w:p w14:paraId="0F1B8343" w14:textId="77777777" w:rsidR="00847C8A" w:rsidRPr="00395593" w:rsidRDefault="00847C8A" w:rsidP="00847C8A">
      <w:pPr>
        <w:shd w:val="clear" w:color="auto" w:fill="FFFFFF"/>
        <w:spacing w:after="0" w:line="240" w:lineRule="auto"/>
        <w:jc w:val="center"/>
        <w:rPr>
          <w:rFonts w:ascii="Garamond" w:eastAsia="Times New Roman" w:hAnsi="Garamond" w:cs="Arial"/>
          <w:color w:val="162937"/>
          <w:sz w:val="24"/>
          <w:szCs w:val="24"/>
          <w:lang w:eastAsia="pt-BR"/>
        </w:rPr>
      </w:pPr>
    </w:p>
    <w:p w14:paraId="2FFBDB5E"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21. Toda a documentação referente a processo de avaliação de interesse público deve ser protocolada diretamente no SEI/ME.</w:t>
      </w:r>
    </w:p>
    <w:p w14:paraId="6C1B7ADD"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22. A Subsecretaria de Defesa Comercial e Interesse Público não conhecerá de informações e/ou documentos trazidos em desconformidade com esta Portaria.</w:t>
      </w:r>
    </w:p>
    <w:p w14:paraId="754568B1"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23. Os prazos previstos nesta Portaria serão contabilizados de forma corrida, excluindo-se o dia do começo e incluindo-se o dia do vencimento.</w:t>
      </w:r>
    </w:p>
    <w:p w14:paraId="02CE4A9C"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24. A contagem de prazos começa no primeiro dia útil subsequente à publicação do ato ou à confirmação de recebimento da correspondência, quando houver. Parágrafo único. Considera-se prorrogado o prazo até o primeiro dia útil seguinte, se no dia do vencimento não houver expediente ou se este for encerrado antes da hora normal.</w:t>
      </w:r>
    </w:p>
    <w:p w14:paraId="3F110356"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25. Os prazos fixados em meses são contados de data a data.</w:t>
      </w:r>
    </w:p>
    <w:p w14:paraId="0AB9CAB9"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Parágrafo único. Se no mês do vencimento não houver o dia equivalente àquele do início do prazo, tem-se como termo o último dia do mês.</w:t>
      </w:r>
    </w:p>
    <w:p w14:paraId="14A2C279"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26. A Subsecretaria de Defesa Comercial e Interesse Público poderá requerer o envio, em meio eletrônico, de informações escritas que constem dos autos, com o objetivo de facilitar a avaliação e o processamento das informações.</w:t>
      </w:r>
    </w:p>
    <w:p w14:paraId="430B5654"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27. Para fins das avaliações de interesse público, poderão ser incorporados aos autos documentos elaborados nos idiomas oficiais da Organização Mundial do Comércio, e, no caso de documentos elaborados em idiomas estrangeiros para os quais não haja tradutor público no Brasil, serão aceitas traduções para o idioma português efetuadas pela representação oficial da origem exportadora no Brasil, desde que acompanhadas de comunicação oficial atestando a autoria da tradução.</w:t>
      </w:r>
    </w:p>
    <w:p w14:paraId="24FB9B1A"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28. Os procedimentos previstos na presente Portaria se aplicam, no que couber, aos processos de avaliação de interesse público que se encontrem em trâmite na data de sua publicação.</w:t>
      </w:r>
    </w:p>
    <w:p w14:paraId="6379EBF7"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29. O disposto nesta Portaria não exclui as competências do Comitê-Executivo de Gestão da Câmara de Comércio Exterior de decidir em razão de interesse público, de regulamentar os respectivos processos decisórios no âmbito da Câmara de Comércio Exterior e de estabelecer diretrizes para os procedimentos de análise de interesse público, nos termos do art. 3º, § 5º, do Decreto nº 8.058, de 2013 c/c art. 7º, inciso X, do Decreto nº 10.044, de 2019.</w:t>
      </w:r>
    </w:p>
    <w:p w14:paraId="575E536C" w14:textId="77777777" w:rsidR="004E3695" w:rsidRPr="00395593" w:rsidRDefault="004E3695" w:rsidP="003775F1">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30. Aplicam-se as disposições desta Portaria, no que couber, aos procedimentos administrativos relativos à investigação das salvaguardas a que se refere o Acordo de Salvaguardas aprovado pelo Decreto Legislativo nº 30, de 1994, e promulgado pelo Decreto nº 1.355, de 1994, regulamentado pelos Decretos nº 1.488, de 1995 e nº 1.936, de 1996, bem como às investigações de salvaguardas preferenciais previstas nos acordos de comércio dos quais o Brasil seja parte.</w:t>
      </w:r>
    </w:p>
    <w:p w14:paraId="163BB000" w14:textId="33FB94EB" w:rsidR="004E3695" w:rsidRPr="00395593" w:rsidRDefault="004E3695" w:rsidP="009057A6">
      <w:pPr>
        <w:shd w:val="clear" w:color="auto" w:fill="FFFFFF"/>
        <w:spacing w:after="150" w:line="240" w:lineRule="auto"/>
        <w:ind w:firstLine="1200"/>
        <w:jc w:val="both"/>
        <w:rPr>
          <w:rFonts w:ascii="Garamond" w:eastAsia="Times New Roman" w:hAnsi="Garamond" w:cs="Arial"/>
          <w:color w:val="162937"/>
          <w:sz w:val="24"/>
          <w:szCs w:val="24"/>
          <w:lang w:eastAsia="pt-BR"/>
        </w:rPr>
      </w:pPr>
      <w:r w:rsidRPr="00395593">
        <w:rPr>
          <w:rFonts w:ascii="Garamond" w:eastAsia="Times New Roman" w:hAnsi="Garamond" w:cs="Arial"/>
          <w:color w:val="162937"/>
          <w:sz w:val="24"/>
          <w:szCs w:val="24"/>
          <w:lang w:eastAsia="pt-BR"/>
        </w:rPr>
        <w:t>Art. 31. Esta Portaria entra em vigor na data de sua publicação, revogando-se a Portaria SECEX nº 8, de 15 de abril de 2019.</w:t>
      </w:r>
    </w:p>
    <w:p w14:paraId="72F5202D" w14:textId="77777777" w:rsidR="009057A6" w:rsidRPr="005C5CBD" w:rsidRDefault="009057A6" w:rsidP="009057A6">
      <w:pPr>
        <w:shd w:val="clear" w:color="auto" w:fill="FFFFFF"/>
        <w:spacing w:before="300" w:line="240" w:lineRule="auto"/>
        <w:jc w:val="center"/>
        <w:rPr>
          <w:rFonts w:ascii="Garamond" w:eastAsia="Times New Roman" w:hAnsi="Garamond" w:cs="Arial"/>
          <w:bCs/>
          <w:caps/>
          <w:color w:val="162937"/>
          <w:sz w:val="24"/>
          <w:szCs w:val="24"/>
          <w:lang w:eastAsia="pt-BR"/>
        </w:rPr>
      </w:pPr>
      <w:r w:rsidRPr="005C5CBD">
        <w:rPr>
          <w:rFonts w:ascii="Garamond" w:eastAsia="Times New Roman" w:hAnsi="Garamond" w:cs="Arial"/>
          <w:bCs/>
          <w:caps/>
          <w:color w:val="162937"/>
          <w:sz w:val="24"/>
          <w:szCs w:val="24"/>
          <w:lang w:eastAsia="pt-BR"/>
        </w:rPr>
        <w:t>LUCAS FERRAZ</w:t>
      </w:r>
    </w:p>
    <w:p w14:paraId="558CD330" w14:textId="77777777" w:rsidR="009057A6" w:rsidRPr="00395593" w:rsidRDefault="009057A6" w:rsidP="009057A6">
      <w:pPr>
        <w:shd w:val="clear" w:color="auto" w:fill="FFFFFF"/>
        <w:spacing w:after="150" w:line="240" w:lineRule="auto"/>
        <w:ind w:firstLine="1200"/>
        <w:jc w:val="both"/>
        <w:rPr>
          <w:rFonts w:ascii="Garamond" w:hAnsi="Garamond"/>
        </w:rPr>
      </w:pPr>
    </w:p>
    <w:p w14:paraId="00646DE4" w14:textId="744AE8EF" w:rsidR="00BD7B39" w:rsidRPr="00395593" w:rsidRDefault="00BD7B39" w:rsidP="003775F1">
      <w:pPr>
        <w:jc w:val="both"/>
        <w:rPr>
          <w:rFonts w:ascii="Garamond" w:hAnsi="Garamond"/>
        </w:rPr>
      </w:pPr>
    </w:p>
    <w:sectPr w:rsidR="00BD7B39" w:rsidRPr="00395593" w:rsidSect="00E15FBB">
      <w:pgSz w:w="11906" w:h="16838"/>
      <w:pgMar w:top="1418" w:right="1701" w:bottom="1417" w:left="1418"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manda Athayde Linhares Martins Rivera" w:date="2022-02-17T16:59:00Z" w:initials="AALMR">
    <w:p w14:paraId="42DE50C9" w14:textId="77777777" w:rsidR="00A73C0F" w:rsidRDefault="00A73C0F" w:rsidP="00E74A36">
      <w:pPr>
        <w:pStyle w:val="Textodecomentrio"/>
      </w:pPr>
      <w:r>
        <w:rPr>
          <w:rStyle w:val="Refdecomentrio"/>
        </w:rPr>
        <w:annotationRef/>
      </w:r>
      <w:r>
        <w:t>Incluir parágrafo sobre a consolidação, nos termos do decreto 10139, conforme as notas à imprensa</w:t>
      </w:r>
    </w:p>
  </w:comment>
  <w:comment w:id="1" w:author="Amanda Athayde Linhares Martins Rivera" w:date="2022-02-07T15:06:00Z" w:initials="AALMR">
    <w:p w14:paraId="063CEB77" w14:textId="04F0B4B1" w:rsidR="00A73C0F" w:rsidRDefault="00A73C0F">
      <w:pPr>
        <w:pStyle w:val="Textodecomentrio"/>
      </w:pPr>
      <w:r>
        <w:rPr>
          <w:rStyle w:val="Refdecomentrio"/>
        </w:rPr>
        <w:annotationRef/>
      </w:r>
      <w:r>
        <w:t>Incluir sumário, indicando as partes respectivas e quais as normas estão dentro de cada parte, por favor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DE50C9" w15:done="0"/>
  <w15:commentEx w15:paraId="063CEB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8FD5B" w16cex:dateUtc="2022-02-17T19:59:00Z"/>
  <w16cex:commentExtensible w16cex:durableId="25ABB403" w16cex:dateUtc="2022-02-07T18: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DE50C9" w16cid:durableId="25B8FD5B"/>
  <w16cid:commentId w16cid:paraId="063CEB77" w16cid:durableId="25ABB4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09CE4" w14:textId="77777777" w:rsidR="00C43D68" w:rsidRDefault="00C43D68" w:rsidP="00BD7B39">
      <w:pPr>
        <w:spacing w:after="0" w:line="240" w:lineRule="auto"/>
      </w:pPr>
      <w:r>
        <w:separator/>
      </w:r>
    </w:p>
  </w:endnote>
  <w:endnote w:type="continuationSeparator" w:id="0">
    <w:p w14:paraId="56908C44" w14:textId="77777777" w:rsidR="00C43D68" w:rsidRDefault="00C43D68" w:rsidP="00BD7B39">
      <w:pPr>
        <w:spacing w:after="0" w:line="240" w:lineRule="auto"/>
      </w:pPr>
      <w:r>
        <w:continuationSeparator/>
      </w:r>
    </w:p>
  </w:endnote>
  <w:endnote w:type="continuationNotice" w:id="1">
    <w:p w14:paraId="04CCE685" w14:textId="77777777" w:rsidR="00C43D68" w:rsidRDefault="00C43D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0"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EFF" w:usb1="C0007843" w:usb2="00000009" w:usb3="00000000" w:csb0="000001FF" w:csb1="00000000"/>
  </w:font>
  <w:font w:name="Univers (WN)">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Rawline-Bold">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54832" w14:textId="7272919D" w:rsidR="00A73C0F" w:rsidRDefault="00A73C0F">
    <w:pPr>
      <w:pStyle w:val="Rodap"/>
      <w:jc w:val="right"/>
    </w:pPr>
  </w:p>
  <w:p w14:paraId="19F20CB3" w14:textId="77777777" w:rsidR="00A73C0F" w:rsidRDefault="00A73C0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350715"/>
      <w:docPartObj>
        <w:docPartGallery w:val="Page Numbers (Bottom of Page)"/>
        <w:docPartUnique/>
      </w:docPartObj>
    </w:sdtPr>
    <w:sdtEndPr/>
    <w:sdtContent>
      <w:sdt>
        <w:sdtPr>
          <w:id w:val="1815519801"/>
          <w:docPartObj>
            <w:docPartGallery w:val="Page Numbers (Top of Page)"/>
            <w:docPartUnique/>
          </w:docPartObj>
        </w:sdtPr>
        <w:sdtEndPr/>
        <w:sdtContent>
          <w:p w14:paraId="6AAB675C" w14:textId="31B8DFB2" w:rsidR="00FA2E9E" w:rsidRDefault="00FA2E9E" w:rsidP="00D815D9">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A84D1A">
              <w:rPr>
                <w:b/>
                <w:bCs/>
                <w:noProof/>
              </w:rPr>
              <w:t>26</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A84D1A">
              <w:rPr>
                <w:b/>
                <w:bCs/>
                <w:noProof/>
              </w:rPr>
              <w:t>542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181809"/>
      <w:docPartObj>
        <w:docPartGallery w:val="Page Numbers (Bottom of Page)"/>
        <w:docPartUnique/>
      </w:docPartObj>
    </w:sdtPr>
    <w:sdtEndPr/>
    <w:sdtContent>
      <w:sdt>
        <w:sdtPr>
          <w:id w:val="-1769616900"/>
          <w:docPartObj>
            <w:docPartGallery w:val="Page Numbers (Top of Page)"/>
            <w:docPartUnique/>
          </w:docPartObj>
        </w:sdtPr>
        <w:sdtEndPr/>
        <w:sdtContent>
          <w:p w14:paraId="6C4F5FDA" w14:textId="441A64A4" w:rsidR="00A73C0F" w:rsidRDefault="00A73C0F">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485645">
              <w:rPr>
                <w:b/>
                <w:bCs/>
                <w:noProof/>
              </w:rPr>
              <w:t>265</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485645">
              <w:rPr>
                <w:b/>
                <w:bCs/>
                <w:noProof/>
              </w:rPr>
              <w:t>542</w:t>
            </w:r>
            <w:r>
              <w:rPr>
                <w:b/>
                <w:bCs/>
                <w:sz w:val="24"/>
                <w:szCs w:val="24"/>
              </w:rPr>
              <w:fldChar w:fldCharType="end"/>
            </w:r>
          </w:p>
        </w:sdtContent>
      </w:sdt>
    </w:sdtContent>
  </w:sdt>
  <w:p w14:paraId="71903BD9" w14:textId="77777777" w:rsidR="00A73C0F" w:rsidRDefault="00A73C0F">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415533"/>
      <w:docPartObj>
        <w:docPartGallery w:val="Page Numbers (Bottom of Page)"/>
        <w:docPartUnique/>
      </w:docPartObj>
    </w:sdtPr>
    <w:sdtEndPr/>
    <w:sdtContent>
      <w:p w14:paraId="420F9769" w14:textId="77777777" w:rsidR="00A73C0F" w:rsidRDefault="00A73C0F">
        <w:pPr>
          <w:pStyle w:val="Rodap"/>
          <w:jc w:val="center"/>
        </w:pPr>
        <w:r>
          <w:fldChar w:fldCharType="begin"/>
        </w:r>
        <w:r>
          <w:instrText>PAGE   \* MERGEFORMAT</w:instrText>
        </w:r>
        <w:r>
          <w:fldChar w:fldCharType="separate"/>
        </w:r>
        <w:r>
          <w:rPr>
            <w:noProof/>
          </w:rPr>
          <w:t>270</w:t>
        </w:r>
        <w:r>
          <w:fldChar w:fldCharType="end"/>
        </w:r>
      </w:p>
    </w:sdtContent>
  </w:sdt>
  <w:p w14:paraId="6293C385" w14:textId="77777777" w:rsidR="00A73C0F" w:rsidRDefault="00A73C0F">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841862"/>
      <w:docPartObj>
        <w:docPartGallery w:val="Page Numbers (Bottom of Page)"/>
        <w:docPartUnique/>
      </w:docPartObj>
    </w:sdtPr>
    <w:sdtEndPr/>
    <w:sdtContent>
      <w:sdt>
        <w:sdtPr>
          <w:id w:val="552123427"/>
          <w:docPartObj>
            <w:docPartGallery w:val="Page Numbers (Top of Page)"/>
            <w:docPartUnique/>
          </w:docPartObj>
        </w:sdtPr>
        <w:sdtEndPr/>
        <w:sdtContent>
          <w:p w14:paraId="7FBECA4E" w14:textId="0C2ECA8F" w:rsidR="00A73C0F" w:rsidRDefault="00A73C0F">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F2624C">
              <w:rPr>
                <w:b/>
                <w:bCs/>
                <w:noProof/>
              </w:rPr>
              <w:t>542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F2624C">
              <w:rPr>
                <w:b/>
                <w:bCs/>
                <w:noProof/>
              </w:rPr>
              <w:t>542</w:t>
            </w:r>
            <w:r>
              <w:rPr>
                <w:b/>
                <w:bCs/>
                <w:sz w:val="24"/>
                <w:szCs w:val="24"/>
              </w:rPr>
              <w:fldChar w:fldCharType="end"/>
            </w:r>
          </w:p>
        </w:sdtContent>
      </w:sdt>
    </w:sdtContent>
  </w:sdt>
  <w:p w14:paraId="1CDC56A1" w14:textId="77777777" w:rsidR="00A73C0F" w:rsidRDefault="00A73C0F">
    <w:pPr>
      <w:pStyle w:val="Rodap"/>
      <w:ind w:right="360" w:firstLine="70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554001"/>
      <w:docPartObj>
        <w:docPartGallery w:val="Page Numbers (Bottom of Page)"/>
        <w:docPartUnique/>
      </w:docPartObj>
    </w:sdtPr>
    <w:sdtEndPr/>
    <w:sdtContent>
      <w:sdt>
        <w:sdtPr>
          <w:id w:val="2060971259"/>
          <w:docPartObj>
            <w:docPartGallery w:val="Page Numbers (Top of Page)"/>
            <w:docPartUnique/>
          </w:docPartObj>
        </w:sdtPr>
        <w:sdtEndPr/>
        <w:sdtContent>
          <w:p w14:paraId="5B060FD1" w14:textId="3D58B6FC" w:rsidR="00A73C0F" w:rsidRDefault="00A73C0F">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485645">
              <w:rPr>
                <w:b/>
                <w:bCs/>
                <w:noProof/>
              </w:rPr>
              <w:t>266</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485645">
              <w:rPr>
                <w:b/>
                <w:bCs/>
                <w:noProof/>
              </w:rPr>
              <w:t>542</w:t>
            </w:r>
            <w:r>
              <w:rPr>
                <w:b/>
                <w:bCs/>
                <w:sz w:val="24"/>
                <w:szCs w:val="24"/>
              </w:rPr>
              <w:fldChar w:fldCharType="end"/>
            </w:r>
          </w:p>
        </w:sdtContent>
      </w:sdt>
    </w:sdtContent>
  </w:sdt>
  <w:p w14:paraId="67D0CAEF" w14:textId="77777777" w:rsidR="00A73C0F" w:rsidRDefault="00A73C0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FCDBF" w14:textId="77777777" w:rsidR="00C43D68" w:rsidRDefault="00C43D68" w:rsidP="00BD7B39">
      <w:pPr>
        <w:spacing w:after="0" w:line="240" w:lineRule="auto"/>
      </w:pPr>
      <w:r>
        <w:separator/>
      </w:r>
    </w:p>
  </w:footnote>
  <w:footnote w:type="continuationSeparator" w:id="0">
    <w:p w14:paraId="22A3E31A" w14:textId="77777777" w:rsidR="00C43D68" w:rsidRDefault="00C43D68" w:rsidP="00BD7B39">
      <w:pPr>
        <w:spacing w:after="0" w:line="240" w:lineRule="auto"/>
      </w:pPr>
      <w:r>
        <w:continuationSeparator/>
      </w:r>
    </w:p>
  </w:footnote>
  <w:footnote w:type="continuationNotice" w:id="1">
    <w:p w14:paraId="7A724432" w14:textId="77777777" w:rsidR="00C43D68" w:rsidRDefault="00C43D68">
      <w:pPr>
        <w:spacing w:after="0" w:line="240" w:lineRule="auto"/>
      </w:pPr>
    </w:p>
  </w:footnote>
  <w:footnote w:id="2">
    <w:p w14:paraId="33C13D64" w14:textId="218EC4BF" w:rsidR="00A73C0F" w:rsidRDefault="00A73C0F">
      <w:pPr>
        <w:pStyle w:val="Textodenotaderodap"/>
      </w:pPr>
      <w:r>
        <w:rPr>
          <w:rStyle w:val="Refdenotaderodap"/>
        </w:rPr>
        <w:footnoteRef/>
      </w:r>
      <w:r>
        <w:t xml:space="preserve"> </w:t>
      </w:r>
      <w:r w:rsidRPr="00395593">
        <w:rPr>
          <w:rFonts w:ascii="Garamond" w:hAnsi="Garamond"/>
        </w:rPr>
        <w:t>No presente texto entende-se o termo “iniciadas” como o ato pelo qual um Membro dá início a uma</w:t>
      </w:r>
      <w:r w:rsidRPr="00395593">
        <w:rPr>
          <w:rFonts w:ascii="Garamond" w:hAnsi="Garamond"/>
          <w:spacing w:val="1"/>
        </w:rPr>
        <w:t xml:space="preserve"> </w:t>
      </w:r>
      <w:r w:rsidRPr="00395593">
        <w:rPr>
          <w:rFonts w:ascii="Garamond" w:hAnsi="Garamond"/>
        </w:rPr>
        <w:t>investigação segundo</w:t>
      </w:r>
      <w:r w:rsidRPr="00395593">
        <w:rPr>
          <w:rFonts w:ascii="Garamond" w:hAnsi="Garamond"/>
          <w:spacing w:val="1"/>
        </w:rPr>
        <w:t xml:space="preserve"> </w:t>
      </w:r>
      <w:r w:rsidRPr="00395593">
        <w:rPr>
          <w:rFonts w:ascii="Garamond" w:hAnsi="Garamond"/>
        </w:rPr>
        <w:t>o</w:t>
      </w:r>
      <w:r w:rsidRPr="00395593">
        <w:rPr>
          <w:rFonts w:ascii="Garamond" w:hAnsi="Garamond"/>
          <w:spacing w:val="1"/>
        </w:rPr>
        <w:t xml:space="preserve"> </w:t>
      </w:r>
      <w:r w:rsidRPr="00395593">
        <w:rPr>
          <w:rFonts w:ascii="Garamond" w:hAnsi="Garamond"/>
        </w:rPr>
        <w:t>disposto</w:t>
      </w:r>
      <w:r w:rsidRPr="00395593">
        <w:rPr>
          <w:rFonts w:ascii="Garamond" w:hAnsi="Garamond"/>
          <w:spacing w:val="1"/>
        </w:rPr>
        <w:t xml:space="preserve"> </w:t>
      </w:r>
      <w:r w:rsidRPr="00395593">
        <w:rPr>
          <w:rFonts w:ascii="Garamond" w:hAnsi="Garamond"/>
        </w:rPr>
        <w:t>no</w:t>
      </w:r>
      <w:r w:rsidRPr="00395593">
        <w:rPr>
          <w:rFonts w:ascii="Garamond" w:hAnsi="Garamond"/>
          <w:spacing w:val="1"/>
        </w:rPr>
        <w:t xml:space="preserve"> </w:t>
      </w:r>
      <w:r w:rsidRPr="00395593">
        <w:rPr>
          <w:rFonts w:ascii="Garamond" w:hAnsi="Garamond"/>
        </w:rPr>
        <w:t>artigo</w:t>
      </w:r>
      <w:r w:rsidRPr="00395593">
        <w:rPr>
          <w:rFonts w:ascii="Garamond" w:hAnsi="Garamond"/>
          <w:spacing w:val="1"/>
        </w:rPr>
        <w:t xml:space="preserve"> </w:t>
      </w:r>
      <w:r w:rsidRPr="00395593">
        <w:rPr>
          <w:rFonts w:ascii="Garamond" w:hAnsi="Garamond"/>
        </w:rPr>
        <w:t>5</w:t>
      </w:r>
    </w:p>
  </w:footnote>
  <w:footnote w:id="3">
    <w:p w14:paraId="3C631A25" w14:textId="77777777" w:rsidR="00A73C0F" w:rsidRPr="00395593" w:rsidRDefault="00A73C0F" w:rsidP="003D7342">
      <w:pPr>
        <w:spacing w:after="0"/>
        <w:ind w:right="116"/>
        <w:jc w:val="both"/>
        <w:rPr>
          <w:rFonts w:ascii="Garamond" w:hAnsi="Garamond"/>
          <w:sz w:val="20"/>
        </w:rPr>
      </w:pPr>
      <w:r>
        <w:rPr>
          <w:rStyle w:val="Refdenotaderodap"/>
        </w:rPr>
        <w:footnoteRef/>
      </w:r>
      <w:r>
        <w:t xml:space="preserve"> </w:t>
      </w:r>
      <w:r w:rsidRPr="00395593">
        <w:rPr>
          <w:rFonts w:ascii="Garamond" w:hAnsi="Garamond"/>
          <w:sz w:val="20"/>
        </w:rPr>
        <w:t>Serão normalmente considerados como em quantidade suficiente para a determinação de valor normal as</w:t>
      </w:r>
      <w:r w:rsidRPr="00395593">
        <w:rPr>
          <w:rFonts w:ascii="Garamond" w:hAnsi="Garamond"/>
          <w:spacing w:val="1"/>
          <w:sz w:val="20"/>
        </w:rPr>
        <w:t xml:space="preserve"> </w:t>
      </w:r>
      <w:r w:rsidRPr="00395593">
        <w:rPr>
          <w:rFonts w:ascii="Garamond" w:hAnsi="Garamond"/>
          <w:sz w:val="20"/>
        </w:rPr>
        <w:t>vendas de produto similar destinadas ao consumo do mercado interno do país exportador que constitua 5 por</w:t>
      </w:r>
      <w:r w:rsidRPr="00395593">
        <w:rPr>
          <w:rFonts w:ascii="Garamond" w:hAnsi="Garamond"/>
          <w:spacing w:val="1"/>
          <w:sz w:val="20"/>
        </w:rPr>
        <w:t xml:space="preserve"> </w:t>
      </w:r>
      <w:r w:rsidRPr="00395593">
        <w:rPr>
          <w:rFonts w:ascii="Garamond" w:hAnsi="Garamond"/>
          <w:sz w:val="20"/>
        </w:rPr>
        <w:t>cento ou mais das vendas</w:t>
      </w:r>
      <w:r w:rsidRPr="00395593">
        <w:rPr>
          <w:rFonts w:ascii="Garamond" w:hAnsi="Garamond"/>
          <w:spacing w:val="1"/>
          <w:sz w:val="20"/>
        </w:rPr>
        <w:t xml:space="preserve"> </w:t>
      </w:r>
      <w:r w:rsidRPr="00395593">
        <w:rPr>
          <w:rFonts w:ascii="Garamond" w:hAnsi="Garamond"/>
          <w:sz w:val="20"/>
        </w:rPr>
        <w:t>do produto em questão ao país importador admitindo-se percentual menor quando</w:t>
      </w:r>
      <w:r w:rsidRPr="00395593">
        <w:rPr>
          <w:rFonts w:ascii="Garamond" w:hAnsi="Garamond"/>
          <w:spacing w:val="1"/>
          <w:sz w:val="20"/>
        </w:rPr>
        <w:t xml:space="preserve"> </w:t>
      </w:r>
      <w:r w:rsidRPr="00395593">
        <w:rPr>
          <w:rFonts w:ascii="Garamond" w:hAnsi="Garamond"/>
          <w:sz w:val="20"/>
        </w:rPr>
        <w:t>for</w:t>
      </w:r>
      <w:r w:rsidRPr="00395593">
        <w:rPr>
          <w:rFonts w:ascii="Garamond" w:hAnsi="Garamond"/>
          <w:spacing w:val="1"/>
          <w:sz w:val="20"/>
        </w:rPr>
        <w:t xml:space="preserve"> </w:t>
      </w:r>
      <w:r w:rsidRPr="00395593">
        <w:rPr>
          <w:rFonts w:ascii="Garamond" w:hAnsi="Garamond"/>
          <w:sz w:val="20"/>
        </w:rPr>
        <w:t>demonstrável</w:t>
      </w:r>
      <w:r w:rsidRPr="00395593">
        <w:rPr>
          <w:rFonts w:ascii="Garamond" w:hAnsi="Garamond"/>
          <w:spacing w:val="1"/>
          <w:sz w:val="20"/>
        </w:rPr>
        <w:t xml:space="preserve"> </w:t>
      </w:r>
      <w:r w:rsidRPr="00395593">
        <w:rPr>
          <w:rFonts w:ascii="Garamond" w:hAnsi="Garamond"/>
          <w:sz w:val="20"/>
        </w:rPr>
        <w:t>que</w:t>
      </w:r>
      <w:r w:rsidRPr="00395593">
        <w:rPr>
          <w:rFonts w:ascii="Garamond" w:hAnsi="Garamond"/>
          <w:spacing w:val="1"/>
          <w:sz w:val="20"/>
        </w:rPr>
        <w:t xml:space="preserve"> </w:t>
      </w:r>
      <w:r w:rsidRPr="00395593">
        <w:rPr>
          <w:rFonts w:ascii="Garamond" w:hAnsi="Garamond"/>
          <w:sz w:val="20"/>
        </w:rPr>
        <w:t>vendas</w:t>
      </w:r>
      <w:r w:rsidRPr="00395593">
        <w:rPr>
          <w:rFonts w:ascii="Garamond" w:hAnsi="Garamond"/>
          <w:spacing w:val="1"/>
          <w:sz w:val="20"/>
        </w:rPr>
        <w:t xml:space="preserve"> </w:t>
      </w:r>
      <w:r w:rsidRPr="00395593">
        <w:rPr>
          <w:rFonts w:ascii="Garamond" w:hAnsi="Garamond"/>
          <w:sz w:val="20"/>
        </w:rPr>
        <w:t>internas</w:t>
      </w:r>
      <w:r w:rsidRPr="00395593">
        <w:rPr>
          <w:rFonts w:ascii="Garamond" w:hAnsi="Garamond"/>
          <w:spacing w:val="1"/>
          <w:sz w:val="20"/>
        </w:rPr>
        <w:t xml:space="preserve"> </w:t>
      </w:r>
      <w:r w:rsidRPr="00395593">
        <w:rPr>
          <w:rFonts w:ascii="Garamond" w:hAnsi="Garamond"/>
          <w:sz w:val="20"/>
        </w:rPr>
        <w:t>nesse</w:t>
      </w:r>
      <w:r w:rsidRPr="00395593">
        <w:rPr>
          <w:rFonts w:ascii="Garamond" w:hAnsi="Garamond"/>
          <w:spacing w:val="1"/>
          <w:sz w:val="20"/>
        </w:rPr>
        <w:t xml:space="preserve"> </w:t>
      </w:r>
      <w:r w:rsidRPr="00395593">
        <w:rPr>
          <w:rFonts w:ascii="Garamond" w:hAnsi="Garamond"/>
          <w:sz w:val="20"/>
        </w:rPr>
        <w:t>porcentual</w:t>
      </w:r>
      <w:r w:rsidRPr="00395593">
        <w:rPr>
          <w:rFonts w:ascii="Garamond" w:hAnsi="Garamond"/>
          <w:spacing w:val="1"/>
          <w:sz w:val="20"/>
        </w:rPr>
        <w:t xml:space="preserve"> </w:t>
      </w:r>
      <w:r w:rsidRPr="00395593">
        <w:rPr>
          <w:rFonts w:ascii="Garamond" w:hAnsi="Garamond"/>
          <w:sz w:val="20"/>
        </w:rPr>
        <w:t>inferior</w:t>
      </w:r>
      <w:r w:rsidRPr="00395593">
        <w:rPr>
          <w:rFonts w:ascii="Garamond" w:hAnsi="Garamond"/>
          <w:spacing w:val="1"/>
          <w:sz w:val="20"/>
        </w:rPr>
        <w:t xml:space="preserve"> </w:t>
      </w:r>
      <w:r w:rsidRPr="00395593">
        <w:rPr>
          <w:rFonts w:ascii="Garamond" w:hAnsi="Garamond"/>
          <w:sz w:val="20"/>
        </w:rPr>
        <w:t>ocorrem,</w:t>
      </w:r>
      <w:r w:rsidRPr="00395593">
        <w:rPr>
          <w:rFonts w:ascii="Garamond" w:hAnsi="Garamond"/>
          <w:spacing w:val="1"/>
          <w:sz w:val="20"/>
        </w:rPr>
        <w:t xml:space="preserve"> </w:t>
      </w:r>
      <w:r w:rsidRPr="00395593">
        <w:rPr>
          <w:rFonts w:ascii="Garamond" w:hAnsi="Garamond"/>
          <w:sz w:val="20"/>
        </w:rPr>
        <w:t>ainda</w:t>
      </w:r>
      <w:r w:rsidRPr="00395593">
        <w:rPr>
          <w:rFonts w:ascii="Garamond" w:hAnsi="Garamond"/>
          <w:spacing w:val="1"/>
          <w:sz w:val="20"/>
        </w:rPr>
        <w:t xml:space="preserve"> </w:t>
      </w:r>
      <w:r w:rsidRPr="00395593">
        <w:rPr>
          <w:rFonts w:ascii="Garamond" w:hAnsi="Garamond"/>
          <w:sz w:val="20"/>
        </w:rPr>
        <w:t>assim,</w:t>
      </w:r>
      <w:r w:rsidRPr="00395593">
        <w:rPr>
          <w:rFonts w:ascii="Garamond" w:hAnsi="Garamond"/>
          <w:spacing w:val="1"/>
          <w:sz w:val="20"/>
        </w:rPr>
        <w:t xml:space="preserve"> </w:t>
      </w:r>
      <w:r w:rsidRPr="00395593">
        <w:rPr>
          <w:rFonts w:ascii="Garamond" w:hAnsi="Garamond"/>
          <w:sz w:val="20"/>
        </w:rPr>
        <w:t>em</w:t>
      </w:r>
      <w:r w:rsidRPr="00395593">
        <w:rPr>
          <w:rFonts w:ascii="Garamond" w:hAnsi="Garamond"/>
          <w:spacing w:val="50"/>
          <w:sz w:val="20"/>
        </w:rPr>
        <w:t xml:space="preserve"> </w:t>
      </w:r>
      <w:r w:rsidRPr="00395593">
        <w:rPr>
          <w:rFonts w:ascii="Garamond" w:hAnsi="Garamond"/>
          <w:sz w:val="20"/>
        </w:rPr>
        <w:t>quantidade</w:t>
      </w:r>
      <w:r w:rsidRPr="00395593">
        <w:rPr>
          <w:rFonts w:ascii="Garamond" w:hAnsi="Garamond"/>
          <w:spacing w:val="1"/>
          <w:sz w:val="20"/>
        </w:rPr>
        <w:t xml:space="preserve"> </w:t>
      </w:r>
      <w:r w:rsidRPr="00395593">
        <w:rPr>
          <w:rFonts w:ascii="Garamond" w:hAnsi="Garamond"/>
          <w:sz w:val="20"/>
        </w:rPr>
        <w:t>suficiente</w:t>
      </w:r>
      <w:r w:rsidRPr="00395593">
        <w:rPr>
          <w:rFonts w:ascii="Garamond" w:hAnsi="Garamond"/>
          <w:spacing w:val="-1"/>
          <w:sz w:val="20"/>
        </w:rPr>
        <w:t xml:space="preserve"> </w:t>
      </w:r>
      <w:r w:rsidRPr="00395593">
        <w:rPr>
          <w:rFonts w:ascii="Garamond" w:hAnsi="Garamond"/>
          <w:sz w:val="20"/>
        </w:rPr>
        <w:t>que permita</w:t>
      </w:r>
      <w:r w:rsidRPr="00395593">
        <w:rPr>
          <w:rFonts w:ascii="Garamond" w:hAnsi="Garamond"/>
          <w:spacing w:val="1"/>
          <w:sz w:val="20"/>
        </w:rPr>
        <w:t xml:space="preserve"> </w:t>
      </w:r>
      <w:r w:rsidRPr="00395593">
        <w:rPr>
          <w:rFonts w:ascii="Garamond" w:hAnsi="Garamond"/>
          <w:sz w:val="20"/>
        </w:rPr>
        <w:t>cooperação</w:t>
      </w:r>
      <w:r w:rsidRPr="00395593">
        <w:rPr>
          <w:rFonts w:ascii="Garamond" w:hAnsi="Garamond"/>
          <w:spacing w:val="3"/>
          <w:sz w:val="20"/>
        </w:rPr>
        <w:t xml:space="preserve"> </w:t>
      </w:r>
      <w:r w:rsidRPr="00395593">
        <w:rPr>
          <w:rFonts w:ascii="Garamond" w:hAnsi="Garamond"/>
          <w:sz w:val="20"/>
        </w:rPr>
        <w:t>adequada.</w:t>
      </w:r>
    </w:p>
    <w:p w14:paraId="71540B3F" w14:textId="7F3380E6" w:rsidR="00A73C0F" w:rsidRDefault="00A73C0F">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84A7" w14:textId="62B8BE39" w:rsidR="00A73C0F" w:rsidRDefault="00A73C0F">
    <w:pPr>
      <w:pStyle w:val="Corpodetexto"/>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C402" w14:textId="77777777" w:rsidR="00A73C0F" w:rsidRDefault="00A73C0F">
    <w:pPr>
      <w:pStyle w:val="Corpodetex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33B1"/>
    <w:multiLevelType w:val="hybridMultilevel"/>
    <w:tmpl w:val="B09C0248"/>
    <w:lvl w:ilvl="0" w:tplc="CBF63878">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C062EF28">
      <w:numFmt w:val="bullet"/>
      <w:lvlText w:val="•"/>
      <w:lvlJc w:val="left"/>
      <w:pPr>
        <w:ind w:left="996" w:hanging="708"/>
      </w:pPr>
      <w:rPr>
        <w:rFonts w:hint="default"/>
        <w:lang w:val="pt-BR" w:eastAsia="en-US" w:bidi="ar-SA"/>
      </w:rPr>
    </w:lvl>
    <w:lvl w:ilvl="2" w:tplc="5D6A37EC">
      <w:numFmt w:val="bullet"/>
      <w:lvlText w:val="•"/>
      <w:lvlJc w:val="left"/>
      <w:pPr>
        <w:ind w:left="1892" w:hanging="708"/>
      </w:pPr>
      <w:rPr>
        <w:rFonts w:hint="default"/>
        <w:lang w:val="pt-BR" w:eastAsia="en-US" w:bidi="ar-SA"/>
      </w:rPr>
    </w:lvl>
    <w:lvl w:ilvl="3" w:tplc="E4902F42">
      <w:numFmt w:val="bullet"/>
      <w:lvlText w:val="•"/>
      <w:lvlJc w:val="left"/>
      <w:pPr>
        <w:ind w:left="2788" w:hanging="708"/>
      </w:pPr>
      <w:rPr>
        <w:rFonts w:hint="default"/>
        <w:lang w:val="pt-BR" w:eastAsia="en-US" w:bidi="ar-SA"/>
      </w:rPr>
    </w:lvl>
    <w:lvl w:ilvl="4" w:tplc="5DA05E52">
      <w:numFmt w:val="bullet"/>
      <w:lvlText w:val="•"/>
      <w:lvlJc w:val="left"/>
      <w:pPr>
        <w:ind w:left="3684" w:hanging="708"/>
      </w:pPr>
      <w:rPr>
        <w:rFonts w:hint="default"/>
        <w:lang w:val="pt-BR" w:eastAsia="en-US" w:bidi="ar-SA"/>
      </w:rPr>
    </w:lvl>
    <w:lvl w:ilvl="5" w:tplc="06125F1E">
      <w:numFmt w:val="bullet"/>
      <w:lvlText w:val="•"/>
      <w:lvlJc w:val="left"/>
      <w:pPr>
        <w:ind w:left="4580" w:hanging="708"/>
      </w:pPr>
      <w:rPr>
        <w:rFonts w:hint="default"/>
        <w:lang w:val="pt-BR" w:eastAsia="en-US" w:bidi="ar-SA"/>
      </w:rPr>
    </w:lvl>
    <w:lvl w:ilvl="6" w:tplc="983486DE">
      <w:numFmt w:val="bullet"/>
      <w:lvlText w:val="•"/>
      <w:lvlJc w:val="left"/>
      <w:pPr>
        <w:ind w:left="5476" w:hanging="708"/>
      </w:pPr>
      <w:rPr>
        <w:rFonts w:hint="default"/>
        <w:lang w:val="pt-BR" w:eastAsia="en-US" w:bidi="ar-SA"/>
      </w:rPr>
    </w:lvl>
    <w:lvl w:ilvl="7" w:tplc="65B4086A">
      <w:numFmt w:val="bullet"/>
      <w:lvlText w:val="•"/>
      <w:lvlJc w:val="left"/>
      <w:pPr>
        <w:ind w:left="6372" w:hanging="708"/>
      </w:pPr>
      <w:rPr>
        <w:rFonts w:hint="default"/>
        <w:lang w:val="pt-BR" w:eastAsia="en-US" w:bidi="ar-SA"/>
      </w:rPr>
    </w:lvl>
    <w:lvl w:ilvl="8" w:tplc="0A26A1DA">
      <w:numFmt w:val="bullet"/>
      <w:lvlText w:val="•"/>
      <w:lvlJc w:val="left"/>
      <w:pPr>
        <w:ind w:left="7268" w:hanging="708"/>
      </w:pPr>
      <w:rPr>
        <w:rFonts w:hint="default"/>
        <w:lang w:val="pt-BR" w:eastAsia="en-US" w:bidi="ar-SA"/>
      </w:rPr>
    </w:lvl>
  </w:abstractNum>
  <w:abstractNum w:abstractNumId="1" w15:restartNumberingAfterBreak="0">
    <w:nsid w:val="03520A82"/>
    <w:multiLevelType w:val="hybridMultilevel"/>
    <w:tmpl w:val="BB0A2722"/>
    <w:lvl w:ilvl="0" w:tplc="D0222888">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3E7446D4">
      <w:numFmt w:val="bullet"/>
      <w:lvlText w:val="•"/>
      <w:lvlJc w:val="left"/>
      <w:pPr>
        <w:ind w:left="996" w:hanging="708"/>
      </w:pPr>
      <w:rPr>
        <w:rFonts w:hint="default"/>
        <w:lang w:val="pt-BR" w:eastAsia="en-US" w:bidi="ar-SA"/>
      </w:rPr>
    </w:lvl>
    <w:lvl w:ilvl="2" w:tplc="C1E62FEA">
      <w:numFmt w:val="bullet"/>
      <w:lvlText w:val="•"/>
      <w:lvlJc w:val="left"/>
      <w:pPr>
        <w:ind w:left="1892" w:hanging="708"/>
      </w:pPr>
      <w:rPr>
        <w:rFonts w:hint="default"/>
        <w:lang w:val="pt-BR" w:eastAsia="en-US" w:bidi="ar-SA"/>
      </w:rPr>
    </w:lvl>
    <w:lvl w:ilvl="3" w:tplc="A6C2F77C">
      <w:numFmt w:val="bullet"/>
      <w:lvlText w:val="•"/>
      <w:lvlJc w:val="left"/>
      <w:pPr>
        <w:ind w:left="2788" w:hanging="708"/>
      </w:pPr>
      <w:rPr>
        <w:rFonts w:hint="default"/>
        <w:lang w:val="pt-BR" w:eastAsia="en-US" w:bidi="ar-SA"/>
      </w:rPr>
    </w:lvl>
    <w:lvl w:ilvl="4" w:tplc="EB3C2048">
      <w:numFmt w:val="bullet"/>
      <w:lvlText w:val="•"/>
      <w:lvlJc w:val="left"/>
      <w:pPr>
        <w:ind w:left="3684" w:hanging="708"/>
      </w:pPr>
      <w:rPr>
        <w:rFonts w:hint="default"/>
        <w:lang w:val="pt-BR" w:eastAsia="en-US" w:bidi="ar-SA"/>
      </w:rPr>
    </w:lvl>
    <w:lvl w:ilvl="5" w:tplc="AC108BC6">
      <w:numFmt w:val="bullet"/>
      <w:lvlText w:val="•"/>
      <w:lvlJc w:val="left"/>
      <w:pPr>
        <w:ind w:left="4580" w:hanging="708"/>
      </w:pPr>
      <w:rPr>
        <w:rFonts w:hint="default"/>
        <w:lang w:val="pt-BR" w:eastAsia="en-US" w:bidi="ar-SA"/>
      </w:rPr>
    </w:lvl>
    <w:lvl w:ilvl="6" w:tplc="AFDC0A36">
      <w:numFmt w:val="bullet"/>
      <w:lvlText w:val="•"/>
      <w:lvlJc w:val="left"/>
      <w:pPr>
        <w:ind w:left="5476" w:hanging="708"/>
      </w:pPr>
      <w:rPr>
        <w:rFonts w:hint="default"/>
        <w:lang w:val="pt-BR" w:eastAsia="en-US" w:bidi="ar-SA"/>
      </w:rPr>
    </w:lvl>
    <w:lvl w:ilvl="7" w:tplc="103AC154">
      <w:numFmt w:val="bullet"/>
      <w:lvlText w:val="•"/>
      <w:lvlJc w:val="left"/>
      <w:pPr>
        <w:ind w:left="6372" w:hanging="708"/>
      </w:pPr>
      <w:rPr>
        <w:rFonts w:hint="default"/>
        <w:lang w:val="pt-BR" w:eastAsia="en-US" w:bidi="ar-SA"/>
      </w:rPr>
    </w:lvl>
    <w:lvl w:ilvl="8" w:tplc="37B238DC">
      <w:numFmt w:val="bullet"/>
      <w:lvlText w:val="•"/>
      <w:lvlJc w:val="left"/>
      <w:pPr>
        <w:ind w:left="7268" w:hanging="708"/>
      </w:pPr>
      <w:rPr>
        <w:rFonts w:hint="default"/>
        <w:lang w:val="pt-BR" w:eastAsia="en-US" w:bidi="ar-SA"/>
      </w:rPr>
    </w:lvl>
  </w:abstractNum>
  <w:abstractNum w:abstractNumId="2" w15:restartNumberingAfterBreak="0">
    <w:nsid w:val="037D7CA9"/>
    <w:multiLevelType w:val="hybridMultilevel"/>
    <w:tmpl w:val="51848C26"/>
    <w:lvl w:ilvl="0" w:tplc="0492A560">
      <w:start w:val="1"/>
      <w:numFmt w:val="decimal"/>
      <w:lvlText w:val="%1."/>
      <w:lvlJc w:val="left"/>
      <w:pPr>
        <w:ind w:left="810" w:hanging="708"/>
      </w:pPr>
      <w:rPr>
        <w:rFonts w:ascii="Times New Roman" w:eastAsia="Times New Roman" w:hAnsi="Times New Roman" w:cs="Times New Roman" w:hint="default"/>
        <w:b w:val="0"/>
        <w:bCs w:val="0"/>
        <w:i w:val="0"/>
        <w:iCs w:val="0"/>
        <w:w w:val="100"/>
        <w:sz w:val="24"/>
        <w:szCs w:val="24"/>
        <w:lang w:val="pt-BR" w:eastAsia="en-US" w:bidi="ar-SA"/>
      </w:rPr>
    </w:lvl>
    <w:lvl w:ilvl="1" w:tplc="DD2A1EB0">
      <w:start w:val="1"/>
      <w:numFmt w:val="lowerLetter"/>
      <w:lvlText w:val="(%2)"/>
      <w:lvlJc w:val="left"/>
      <w:pPr>
        <w:ind w:left="822" w:hanging="346"/>
      </w:pPr>
      <w:rPr>
        <w:rFonts w:ascii="Times New Roman" w:eastAsia="Times New Roman" w:hAnsi="Times New Roman" w:cs="Times New Roman" w:hint="default"/>
        <w:b w:val="0"/>
        <w:bCs w:val="0"/>
        <w:i w:val="0"/>
        <w:iCs w:val="0"/>
        <w:spacing w:val="-2"/>
        <w:w w:val="99"/>
        <w:sz w:val="24"/>
        <w:szCs w:val="24"/>
        <w:lang w:val="pt-BR" w:eastAsia="en-US" w:bidi="ar-SA"/>
      </w:rPr>
    </w:lvl>
    <w:lvl w:ilvl="2" w:tplc="91B6915A">
      <w:numFmt w:val="bullet"/>
      <w:lvlText w:val="•"/>
      <w:lvlJc w:val="left"/>
      <w:pPr>
        <w:ind w:left="2468" w:hanging="346"/>
      </w:pPr>
      <w:rPr>
        <w:rFonts w:hint="default"/>
        <w:lang w:val="pt-BR" w:eastAsia="en-US" w:bidi="ar-SA"/>
      </w:rPr>
    </w:lvl>
    <w:lvl w:ilvl="3" w:tplc="A1B6697C">
      <w:numFmt w:val="bullet"/>
      <w:lvlText w:val="•"/>
      <w:lvlJc w:val="left"/>
      <w:pPr>
        <w:ind w:left="3292" w:hanging="346"/>
      </w:pPr>
      <w:rPr>
        <w:rFonts w:hint="default"/>
        <w:lang w:val="pt-BR" w:eastAsia="en-US" w:bidi="ar-SA"/>
      </w:rPr>
    </w:lvl>
    <w:lvl w:ilvl="4" w:tplc="45AC5B2A">
      <w:numFmt w:val="bullet"/>
      <w:lvlText w:val="•"/>
      <w:lvlJc w:val="left"/>
      <w:pPr>
        <w:ind w:left="4116" w:hanging="346"/>
      </w:pPr>
      <w:rPr>
        <w:rFonts w:hint="default"/>
        <w:lang w:val="pt-BR" w:eastAsia="en-US" w:bidi="ar-SA"/>
      </w:rPr>
    </w:lvl>
    <w:lvl w:ilvl="5" w:tplc="AECEB7D2">
      <w:numFmt w:val="bullet"/>
      <w:lvlText w:val="•"/>
      <w:lvlJc w:val="left"/>
      <w:pPr>
        <w:ind w:left="4940" w:hanging="346"/>
      </w:pPr>
      <w:rPr>
        <w:rFonts w:hint="default"/>
        <w:lang w:val="pt-BR" w:eastAsia="en-US" w:bidi="ar-SA"/>
      </w:rPr>
    </w:lvl>
    <w:lvl w:ilvl="6" w:tplc="AC8CED72">
      <w:numFmt w:val="bullet"/>
      <w:lvlText w:val="•"/>
      <w:lvlJc w:val="left"/>
      <w:pPr>
        <w:ind w:left="5764" w:hanging="346"/>
      </w:pPr>
      <w:rPr>
        <w:rFonts w:hint="default"/>
        <w:lang w:val="pt-BR" w:eastAsia="en-US" w:bidi="ar-SA"/>
      </w:rPr>
    </w:lvl>
    <w:lvl w:ilvl="7" w:tplc="E34ED210">
      <w:numFmt w:val="bullet"/>
      <w:lvlText w:val="•"/>
      <w:lvlJc w:val="left"/>
      <w:pPr>
        <w:ind w:left="6588" w:hanging="346"/>
      </w:pPr>
      <w:rPr>
        <w:rFonts w:hint="default"/>
        <w:lang w:val="pt-BR" w:eastAsia="en-US" w:bidi="ar-SA"/>
      </w:rPr>
    </w:lvl>
    <w:lvl w:ilvl="8" w:tplc="375AF0C4">
      <w:numFmt w:val="bullet"/>
      <w:lvlText w:val="•"/>
      <w:lvlJc w:val="left"/>
      <w:pPr>
        <w:ind w:left="7412" w:hanging="346"/>
      </w:pPr>
      <w:rPr>
        <w:rFonts w:hint="default"/>
        <w:lang w:val="pt-BR" w:eastAsia="en-US" w:bidi="ar-SA"/>
      </w:rPr>
    </w:lvl>
  </w:abstractNum>
  <w:abstractNum w:abstractNumId="3" w15:restartNumberingAfterBreak="0">
    <w:nsid w:val="04B66350"/>
    <w:multiLevelType w:val="hybridMultilevel"/>
    <w:tmpl w:val="9872E60A"/>
    <w:lvl w:ilvl="0" w:tplc="CDE08B86">
      <w:start w:val="1"/>
      <w:numFmt w:val="decimal"/>
      <w:lvlText w:val="%1."/>
      <w:lvlJc w:val="left"/>
      <w:pPr>
        <w:ind w:left="222" w:hanging="708"/>
      </w:pPr>
      <w:rPr>
        <w:rFonts w:ascii="Times New Roman" w:eastAsia="Times New Roman" w:hAnsi="Times New Roman" w:cs="Times New Roman" w:hint="default"/>
        <w:b w:val="0"/>
        <w:bCs w:val="0"/>
        <w:i w:val="0"/>
        <w:iCs w:val="0"/>
        <w:w w:val="100"/>
        <w:sz w:val="24"/>
        <w:szCs w:val="24"/>
        <w:lang w:val="pt-BR" w:eastAsia="en-US" w:bidi="ar-SA"/>
      </w:rPr>
    </w:lvl>
    <w:lvl w:ilvl="1" w:tplc="3CEEDB78">
      <w:numFmt w:val="bullet"/>
      <w:lvlText w:val="•"/>
      <w:lvlJc w:val="left"/>
      <w:pPr>
        <w:ind w:left="1120" w:hanging="708"/>
      </w:pPr>
      <w:rPr>
        <w:rFonts w:hint="default"/>
        <w:lang w:val="pt-BR" w:eastAsia="en-US" w:bidi="ar-SA"/>
      </w:rPr>
    </w:lvl>
    <w:lvl w:ilvl="2" w:tplc="1FA44DF8">
      <w:numFmt w:val="bullet"/>
      <w:lvlText w:val="•"/>
      <w:lvlJc w:val="left"/>
      <w:pPr>
        <w:ind w:left="2020" w:hanging="708"/>
      </w:pPr>
      <w:rPr>
        <w:rFonts w:hint="default"/>
        <w:lang w:val="pt-BR" w:eastAsia="en-US" w:bidi="ar-SA"/>
      </w:rPr>
    </w:lvl>
    <w:lvl w:ilvl="3" w:tplc="A5C272EE">
      <w:numFmt w:val="bullet"/>
      <w:lvlText w:val="•"/>
      <w:lvlJc w:val="left"/>
      <w:pPr>
        <w:ind w:left="2920" w:hanging="708"/>
      </w:pPr>
      <w:rPr>
        <w:rFonts w:hint="default"/>
        <w:lang w:val="pt-BR" w:eastAsia="en-US" w:bidi="ar-SA"/>
      </w:rPr>
    </w:lvl>
    <w:lvl w:ilvl="4" w:tplc="A6208AE8">
      <w:numFmt w:val="bullet"/>
      <w:lvlText w:val="•"/>
      <w:lvlJc w:val="left"/>
      <w:pPr>
        <w:ind w:left="3820" w:hanging="708"/>
      </w:pPr>
      <w:rPr>
        <w:rFonts w:hint="default"/>
        <w:lang w:val="pt-BR" w:eastAsia="en-US" w:bidi="ar-SA"/>
      </w:rPr>
    </w:lvl>
    <w:lvl w:ilvl="5" w:tplc="6870128A">
      <w:numFmt w:val="bullet"/>
      <w:lvlText w:val="•"/>
      <w:lvlJc w:val="left"/>
      <w:pPr>
        <w:ind w:left="4720" w:hanging="708"/>
      </w:pPr>
      <w:rPr>
        <w:rFonts w:hint="default"/>
        <w:lang w:val="pt-BR" w:eastAsia="en-US" w:bidi="ar-SA"/>
      </w:rPr>
    </w:lvl>
    <w:lvl w:ilvl="6" w:tplc="923EC82A">
      <w:numFmt w:val="bullet"/>
      <w:lvlText w:val="•"/>
      <w:lvlJc w:val="left"/>
      <w:pPr>
        <w:ind w:left="5620" w:hanging="708"/>
      </w:pPr>
      <w:rPr>
        <w:rFonts w:hint="default"/>
        <w:lang w:val="pt-BR" w:eastAsia="en-US" w:bidi="ar-SA"/>
      </w:rPr>
    </w:lvl>
    <w:lvl w:ilvl="7" w:tplc="7562C5A2">
      <w:numFmt w:val="bullet"/>
      <w:lvlText w:val="•"/>
      <w:lvlJc w:val="left"/>
      <w:pPr>
        <w:ind w:left="6520" w:hanging="708"/>
      </w:pPr>
      <w:rPr>
        <w:rFonts w:hint="default"/>
        <w:lang w:val="pt-BR" w:eastAsia="en-US" w:bidi="ar-SA"/>
      </w:rPr>
    </w:lvl>
    <w:lvl w:ilvl="8" w:tplc="7C903A90">
      <w:numFmt w:val="bullet"/>
      <w:lvlText w:val="•"/>
      <w:lvlJc w:val="left"/>
      <w:pPr>
        <w:ind w:left="7420" w:hanging="708"/>
      </w:pPr>
      <w:rPr>
        <w:rFonts w:hint="default"/>
        <w:lang w:val="pt-BR" w:eastAsia="en-US" w:bidi="ar-SA"/>
      </w:rPr>
    </w:lvl>
  </w:abstractNum>
  <w:abstractNum w:abstractNumId="4" w15:restartNumberingAfterBreak="0">
    <w:nsid w:val="05204A73"/>
    <w:multiLevelType w:val="hybridMultilevel"/>
    <w:tmpl w:val="CEA656D6"/>
    <w:lvl w:ilvl="0" w:tplc="EB34EDCA">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1992437C">
      <w:numFmt w:val="bullet"/>
      <w:lvlText w:val="•"/>
      <w:lvlJc w:val="left"/>
      <w:pPr>
        <w:ind w:left="996" w:hanging="708"/>
      </w:pPr>
      <w:rPr>
        <w:rFonts w:hint="default"/>
        <w:lang w:val="pt-BR" w:eastAsia="en-US" w:bidi="ar-SA"/>
      </w:rPr>
    </w:lvl>
    <w:lvl w:ilvl="2" w:tplc="5C489500">
      <w:numFmt w:val="bullet"/>
      <w:lvlText w:val="•"/>
      <w:lvlJc w:val="left"/>
      <w:pPr>
        <w:ind w:left="1892" w:hanging="708"/>
      </w:pPr>
      <w:rPr>
        <w:rFonts w:hint="default"/>
        <w:lang w:val="pt-BR" w:eastAsia="en-US" w:bidi="ar-SA"/>
      </w:rPr>
    </w:lvl>
    <w:lvl w:ilvl="3" w:tplc="8C0C0CF8">
      <w:numFmt w:val="bullet"/>
      <w:lvlText w:val="•"/>
      <w:lvlJc w:val="left"/>
      <w:pPr>
        <w:ind w:left="2788" w:hanging="708"/>
      </w:pPr>
      <w:rPr>
        <w:rFonts w:hint="default"/>
        <w:lang w:val="pt-BR" w:eastAsia="en-US" w:bidi="ar-SA"/>
      </w:rPr>
    </w:lvl>
    <w:lvl w:ilvl="4" w:tplc="D8AE1762">
      <w:numFmt w:val="bullet"/>
      <w:lvlText w:val="•"/>
      <w:lvlJc w:val="left"/>
      <w:pPr>
        <w:ind w:left="3684" w:hanging="708"/>
      </w:pPr>
      <w:rPr>
        <w:rFonts w:hint="default"/>
        <w:lang w:val="pt-BR" w:eastAsia="en-US" w:bidi="ar-SA"/>
      </w:rPr>
    </w:lvl>
    <w:lvl w:ilvl="5" w:tplc="59766188">
      <w:numFmt w:val="bullet"/>
      <w:lvlText w:val="•"/>
      <w:lvlJc w:val="left"/>
      <w:pPr>
        <w:ind w:left="4580" w:hanging="708"/>
      </w:pPr>
      <w:rPr>
        <w:rFonts w:hint="default"/>
        <w:lang w:val="pt-BR" w:eastAsia="en-US" w:bidi="ar-SA"/>
      </w:rPr>
    </w:lvl>
    <w:lvl w:ilvl="6" w:tplc="37C03560">
      <w:numFmt w:val="bullet"/>
      <w:lvlText w:val="•"/>
      <w:lvlJc w:val="left"/>
      <w:pPr>
        <w:ind w:left="5476" w:hanging="708"/>
      </w:pPr>
      <w:rPr>
        <w:rFonts w:hint="default"/>
        <w:lang w:val="pt-BR" w:eastAsia="en-US" w:bidi="ar-SA"/>
      </w:rPr>
    </w:lvl>
    <w:lvl w:ilvl="7" w:tplc="1E169372">
      <w:numFmt w:val="bullet"/>
      <w:lvlText w:val="•"/>
      <w:lvlJc w:val="left"/>
      <w:pPr>
        <w:ind w:left="6372" w:hanging="708"/>
      </w:pPr>
      <w:rPr>
        <w:rFonts w:hint="default"/>
        <w:lang w:val="pt-BR" w:eastAsia="en-US" w:bidi="ar-SA"/>
      </w:rPr>
    </w:lvl>
    <w:lvl w:ilvl="8" w:tplc="0B8A04C6">
      <w:numFmt w:val="bullet"/>
      <w:lvlText w:val="•"/>
      <w:lvlJc w:val="left"/>
      <w:pPr>
        <w:ind w:left="7268" w:hanging="708"/>
      </w:pPr>
      <w:rPr>
        <w:rFonts w:hint="default"/>
        <w:lang w:val="pt-BR" w:eastAsia="en-US" w:bidi="ar-SA"/>
      </w:rPr>
    </w:lvl>
  </w:abstractNum>
  <w:abstractNum w:abstractNumId="5" w15:restartNumberingAfterBreak="0">
    <w:nsid w:val="05D90F04"/>
    <w:multiLevelType w:val="hybridMultilevel"/>
    <w:tmpl w:val="9CC24DA2"/>
    <w:lvl w:ilvl="0" w:tplc="D6284EEC">
      <w:start w:val="1"/>
      <w:numFmt w:val="decimal"/>
      <w:lvlText w:val="%1."/>
      <w:lvlJc w:val="left"/>
      <w:pPr>
        <w:ind w:left="222" w:hanging="708"/>
      </w:pPr>
      <w:rPr>
        <w:rFonts w:ascii="Times New Roman" w:eastAsia="Times New Roman" w:hAnsi="Times New Roman" w:cs="Times New Roman" w:hint="default"/>
        <w:b w:val="0"/>
        <w:bCs w:val="0"/>
        <w:i w:val="0"/>
        <w:iCs w:val="0"/>
        <w:w w:val="100"/>
        <w:sz w:val="24"/>
        <w:szCs w:val="24"/>
        <w:lang w:val="pt-BR" w:eastAsia="en-US" w:bidi="ar-SA"/>
      </w:rPr>
    </w:lvl>
    <w:lvl w:ilvl="1" w:tplc="408EEC18">
      <w:start w:val="1"/>
      <w:numFmt w:val="lowerLetter"/>
      <w:lvlText w:val="(%2)"/>
      <w:lvlJc w:val="left"/>
      <w:pPr>
        <w:ind w:left="1302" w:hanging="331"/>
      </w:pPr>
      <w:rPr>
        <w:rFonts w:ascii="Times New Roman" w:eastAsia="Times New Roman" w:hAnsi="Times New Roman" w:cs="Times New Roman" w:hint="default"/>
        <w:b w:val="0"/>
        <w:bCs w:val="0"/>
        <w:i w:val="0"/>
        <w:iCs w:val="0"/>
        <w:spacing w:val="-2"/>
        <w:w w:val="99"/>
        <w:sz w:val="24"/>
        <w:szCs w:val="24"/>
        <w:lang w:val="pt-BR" w:eastAsia="en-US" w:bidi="ar-SA"/>
      </w:rPr>
    </w:lvl>
    <w:lvl w:ilvl="2" w:tplc="D9227512">
      <w:numFmt w:val="bullet"/>
      <w:lvlText w:val="•"/>
      <w:lvlJc w:val="left"/>
      <w:pPr>
        <w:ind w:left="2180" w:hanging="331"/>
      </w:pPr>
      <w:rPr>
        <w:rFonts w:hint="default"/>
        <w:lang w:val="pt-BR" w:eastAsia="en-US" w:bidi="ar-SA"/>
      </w:rPr>
    </w:lvl>
    <w:lvl w:ilvl="3" w:tplc="C1DCB6D8">
      <w:numFmt w:val="bullet"/>
      <w:lvlText w:val="•"/>
      <w:lvlJc w:val="left"/>
      <w:pPr>
        <w:ind w:left="3060" w:hanging="331"/>
      </w:pPr>
      <w:rPr>
        <w:rFonts w:hint="default"/>
        <w:lang w:val="pt-BR" w:eastAsia="en-US" w:bidi="ar-SA"/>
      </w:rPr>
    </w:lvl>
    <w:lvl w:ilvl="4" w:tplc="FF24C890">
      <w:numFmt w:val="bullet"/>
      <w:lvlText w:val="•"/>
      <w:lvlJc w:val="left"/>
      <w:pPr>
        <w:ind w:left="3940" w:hanging="331"/>
      </w:pPr>
      <w:rPr>
        <w:rFonts w:hint="default"/>
        <w:lang w:val="pt-BR" w:eastAsia="en-US" w:bidi="ar-SA"/>
      </w:rPr>
    </w:lvl>
    <w:lvl w:ilvl="5" w:tplc="E6FE4C1E">
      <w:numFmt w:val="bullet"/>
      <w:lvlText w:val="•"/>
      <w:lvlJc w:val="left"/>
      <w:pPr>
        <w:ind w:left="4820" w:hanging="331"/>
      </w:pPr>
      <w:rPr>
        <w:rFonts w:hint="default"/>
        <w:lang w:val="pt-BR" w:eastAsia="en-US" w:bidi="ar-SA"/>
      </w:rPr>
    </w:lvl>
    <w:lvl w:ilvl="6" w:tplc="8056DA0A">
      <w:numFmt w:val="bullet"/>
      <w:lvlText w:val="•"/>
      <w:lvlJc w:val="left"/>
      <w:pPr>
        <w:ind w:left="5700" w:hanging="331"/>
      </w:pPr>
      <w:rPr>
        <w:rFonts w:hint="default"/>
        <w:lang w:val="pt-BR" w:eastAsia="en-US" w:bidi="ar-SA"/>
      </w:rPr>
    </w:lvl>
    <w:lvl w:ilvl="7" w:tplc="29167E24">
      <w:numFmt w:val="bullet"/>
      <w:lvlText w:val="•"/>
      <w:lvlJc w:val="left"/>
      <w:pPr>
        <w:ind w:left="6580" w:hanging="331"/>
      </w:pPr>
      <w:rPr>
        <w:rFonts w:hint="default"/>
        <w:lang w:val="pt-BR" w:eastAsia="en-US" w:bidi="ar-SA"/>
      </w:rPr>
    </w:lvl>
    <w:lvl w:ilvl="8" w:tplc="CC1A9914">
      <w:numFmt w:val="bullet"/>
      <w:lvlText w:val="•"/>
      <w:lvlJc w:val="left"/>
      <w:pPr>
        <w:ind w:left="7460" w:hanging="331"/>
      </w:pPr>
      <w:rPr>
        <w:rFonts w:hint="default"/>
        <w:lang w:val="pt-BR" w:eastAsia="en-US" w:bidi="ar-SA"/>
      </w:rPr>
    </w:lvl>
  </w:abstractNum>
  <w:abstractNum w:abstractNumId="6" w15:restartNumberingAfterBreak="0">
    <w:nsid w:val="09D0237B"/>
    <w:multiLevelType w:val="hybridMultilevel"/>
    <w:tmpl w:val="BC4AD8E6"/>
    <w:lvl w:ilvl="0" w:tplc="A4B68434">
      <w:start w:val="1"/>
      <w:numFmt w:val="decimal"/>
      <w:lvlText w:val="%1."/>
      <w:lvlJc w:val="left"/>
      <w:pPr>
        <w:ind w:left="222" w:hanging="250"/>
      </w:pPr>
      <w:rPr>
        <w:rFonts w:ascii="Times New Roman" w:eastAsia="Times New Roman" w:hAnsi="Times New Roman" w:cs="Times New Roman" w:hint="default"/>
        <w:b w:val="0"/>
        <w:bCs w:val="0"/>
        <w:i w:val="0"/>
        <w:iCs w:val="0"/>
        <w:w w:val="100"/>
        <w:sz w:val="24"/>
        <w:szCs w:val="24"/>
        <w:lang w:val="pt-BR" w:eastAsia="en-US" w:bidi="ar-SA"/>
      </w:rPr>
    </w:lvl>
    <w:lvl w:ilvl="1" w:tplc="5FCA3E74">
      <w:numFmt w:val="bullet"/>
      <w:lvlText w:val="•"/>
      <w:lvlJc w:val="left"/>
      <w:pPr>
        <w:ind w:left="1120" w:hanging="250"/>
      </w:pPr>
      <w:rPr>
        <w:rFonts w:hint="default"/>
        <w:lang w:val="pt-BR" w:eastAsia="en-US" w:bidi="ar-SA"/>
      </w:rPr>
    </w:lvl>
    <w:lvl w:ilvl="2" w:tplc="79C01F3C">
      <w:numFmt w:val="bullet"/>
      <w:lvlText w:val="•"/>
      <w:lvlJc w:val="left"/>
      <w:pPr>
        <w:ind w:left="2020" w:hanging="250"/>
      </w:pPr>
      <w:rPr>
        <w:rFonts w:hint="default"/>
        <w:lang w:val="pt-BR" w:eastAsia="en-US" w:bidi="ar-SA"/>
      </w:rPr>
    </w:lvl>
    <w:lvl w:ilvl="3" w:tplc="CC243A70">
      <w:numFmt w:val="bullet"/>
      <w:lvlText w:val="•"/>
      <w:lvlJc w:val="left"/>
      <w:pPr>
        <w:ind w:left="2920" w:hanging="250"/>
      </w:pPr>
      <w:rPr>
        <w:rFonts w:hint="default"/>
        <w:lang w:val="pt-BR" w:eastAsia="en-US" w:bidi="ar-SA"/>
      </w:rPr>
    </w:lvl>
    <w:lvl w:ilvl="4" w:tplc="6CDCBDF8">
      <w:numFmt w:val="bullet"/>
      <w:lvlText w:val="•"/>
      <w:lvlJc w:val="left"/>
      <w:pPr>
        <w:ind w:left="3820" w:hanging="250"/>
      </w:pPr>
      <w:rPr>
        <w:rFonts w:hint="default"/>
        <w:lang w:val="pt-BR" w:eastAsia="en-US" w:bidi="ar-SA"/>
      </w:rPr>
    </w:lvl>
    <w:lvl w:ilvl="5" w:tplc="7BDADA3C">
      <w:numFmt w:val="bullet"/>
      <w:lvlText w:val="•"/>
      <w:lvlJc w:val="left"/>
      <w:pPr>
        <w:ind w:left="4720" w:hanging="250"/>
      </w:pPr>
      <w:rPr>
        <w:rFonts w:hint="default"/>
        <w:lang w:val="pt-BR" w:eastAsia="en-US" w:bidi="ar-SA"/>
      </w:rPr>
    </w:lvl>
    <w:lvl w:ilvl="6" w:tplc="E1F643B8">
      <w:numFmt w:val="bullet"/>
      <w:lvlText w:val="•"/>
      <w:lvlJc w:val="left"/>
      <w:pPr>
        <w:ind w:left="5620" w:hanging="250"/>
      </w:pPr>
      <w:rPr>
        <w:rFonts w:hint="default"/>
        <w:lang w:val="pt-BR" w:eastAsia="en-US" w:bidi="ar-SA"/>
      </w:rPr>
    </w:lvl>
    <w:lvl w:ilvl="7" w:tplc="3A0A1F70">
      <w:numFmt w:val="bullet"/>
      <w:lvlText w:val="•"/>
      <w:lvlJc w:val="left"/>
      <w:pPr>
        <w:ind w:left="6520" w:hanging="250"/>
      </w:pPr>
      <w:rPr>
        <w:rFonts w:hint="default"/>
        <w:lang w:val="pt-BR" w:eastAsia="en-US" w:bidi="ar-SA"/>
      </w:rPr>
    </w:lvl>
    <w:lvl w:ilvl="8" w:tplc="59FEF51E">
      <w:numFmt w:val="bullet"/>
      <w:lvlText w:val="•"/>
      <w:lvlJc w:val="left"/>
      <w:pPr>
        <w:ind w:left="7420" w:hanging="250"/>
      </w:pPr>
      <w:rPr>
        <w:rFonts w:hint="default"/>
        <w:lang w:val="pt-BR" w:eastAsia="en-US" w:bidi="ar-SA"/>
      </w:rPr>
    </w:lvl>
  </w:abstractNum>
  <w:abstractNum w:abstractNumId="7" w15:restartNumberingAfterBreak="0">
    <w:nsid w:val="0ACB3BE4"/>
    <w:multiLevelType w:val="hybridMultilevel"/>
    <w:tmpl w:val="91364276"/>
    <w:lvl w:ilvl="0" w:tplc="1668D75C">
      <w:start w:val="1"/>
      <w:numFmt w:val="lowerRoman"/>
      <w:lvlText w:val="(%1)"/>
      <w:lvlJc w:val="left"/>
      <w:pPr>
        <w:ind w:left="1182" w:hanging="317"/>
      </w:pPr>
      <w:rPr>
        <w:rFonts w:ascii="Times New Roman" w:eastAsia="Times New Roman" w:hAnsi="Times New Roman" w:cs="Times New Roman" w:hint="default"/>
        <w:b w:val="0"/>
        <w:bCs w:val="0"/>
        <w:i w:val="0"/>
        <w:iCs w:val="0"/>
        <w:w w:val="99"/>
        <w:sz w:val="24"/>
        <w:szCs w:val="24"/>
        <w:lang w:val="pt-BR" w:eastAsia="en-US" w:bidi="ar-SA"/>
      </w:rPr>
    </w:lvl>
    <w:lvl w:ilvl="1" w:tplc="85AEF914">
      <w:numFmt w:val="bullet"/>
      <w:lvlText w:val="-"/>
      <w:lvlJc w:val="left"/>
      <w:pPr>
        <w:ind w:left="1542" w:hanging="147"/>
      </w:pPr>
      <w:rPr>
        <w:rFonts w:ascii="Times New Roman" w:eastAsia="Times New Roman" w:hAnsi="Times New Roman" w:cs="Times New Roman" w:hint="default"/>
        <w:b w:val="0"/>
        <w:bCs w:val="0"/>
        <w:i w:val="0"/>
        <w:iCs w:val="0"/>
        <w:w w:val="99"/>
        <w:sz w:val="24"/>
        <w:szCs w:val="24"/>
        <w:lang w:val="pt-BR" w:eastAsia="en-US" w:bidi="ar-SA"/>
      </w:rPr>
    </w:lvl>
    <w:lvl w:ilvl="2" w:tplc="08B2D7A0">
      <w:numFmt w:val="bullet"/>
      <w:lvlText w:val="•"/>
      <w:lvlJc w:val="left"/>
      <w:pPr>
        <w:ind w:left="2375" w:hanging="147"/>
      </w:pPr>
      <w:rPr>
        <w:rFonts w:hint="default"/>
        <w:lang w:val="pt-BR" w:eastAsia="en-US" w:bidi="ar-SA"/>
      </w:rPr>
    </w:lvl>
    <w:lvl w:ilvl="3" w:tplc="AD8C4FFC">
      <w:numFmt w:val="bullet"/>
      <w:lvlText w:val="•"/>
      <w:lvlJc w:val="left"/>
      <w:pPr>
        <w:ind w:left="3211" w:hanging="147"/>
      </w:pPr>
      <w:rPr>
        <w:rFonts w:hint="default"/>
        <w:lang w:val="pt-BR" w:eastAsia="en-US" w:bidi="ar-SA"/>
      </w:rPr>
    </w:lvl>
    <w:lvl w:ilvl="4" w:tplc="D3EE04DA">
      <w:numFmt w:val="bullet"/>
      <w:lvlText w:val="•"/>
      <w:lvlJc w:val="left"/>
      <w:pPr>
        <w:ind w:left="4046" w:hanging="147"/>
      </w:pPr>
      <w:rPr>
        <w:rFonts w:hint="default"/>
        <w:lang w:val="pt-BR" w:eastAsia="en-US" w:bidi="ar-SA"/>
      </w:rPr>
    </w:lvl>
    <w:lvl w:ilvl="5" w:tplc="5E1EF7F4">
      <w:numFmt w:val="bullet"/>
      <w:lvlText w:val="•"/>
      <w:lvlJc w:val="left"/>
      <w:pPr>
        <w:ind w:left="4882" w:hanging="147"/>
      </w:pPr>
      <w:rPr>
        <w:rFonts w:hint="default"/>
        <w:lang w:val="pt-BR" w:eastAsia="en-US" w:bidi="ar-SA"/>
      </w:rPr>
    </w:lvl>
    <w:lvl w:ilvl="6" w:tplc="0338EB16">
      <w:numFmt w:val="bullet"/>
      <w:lvlText w:val="•"/>
      <w:lvlJc w:val="left"/>
      <w:pPr>
        <w:ind w:left="5717" w:hanging="147"/>
      </w:pPr>
      <w:rPr>
        <w:rFonts w:hint="default"/>
        <w:lang w:val="pt-BR" w:eastAsia="en-US" w:bidi="ar-SA"/>
      </w:rPr>
    </w:lvl>
    <w:lvl w:ilvl="7" w:tplc="3904AA42">
      <w:numFmt w:val="bullet"/>
      <w:lvlText w:val="•"/>
      <w:lvlJc w:val="left"/>
      <w:pPr>
        <w:ind w:left="6553" w:hanging="147"/>
      </w:pPr>
      <w:rPr>
        <w:rFonts w:hint="default"/>
        <w:lang w:val="pt-BR" w:eastAsia="en-US" w:bidi="ar-SA"/>
      </w:rPr>
    </w:lvl>
    <w:lvl w:ilvl="8" w:tplc="4260B24A">
      <w:numFmt w:val="bullet"/>
      <w:lvlText w:val="•"/>
      <w:lvlJc w:val="left"/>
      <w:pPr>
        <w:ind w:left="7388" w:hanging="147"/>
      </w:pPr>
      <w:rPr>
        <w:rFonts w:hint="default"/>
        <w:lang w:val="pt-BR" w:eastAsia="en-US" w:bidi="ar-SA"/>
      </w:rPr>
    </w:lvl>
  </w:abstractNum>
  <w:abstractNum w:abstractNumId="8" w15:restartNumberingAfterBreak="0">
    <w:nsid w:val="0AD426BF"/>
    <w:multiLevelType w:val="hybridMultilevel"/>
    <w:tmpl w:val="5CB64CC6"/>
    <w:lvl w:ilvl="0" w:tplc="DD18862E">
      <w:start w:val="1"/>
      <w:numFmt w:val="decimal"/>
      <w:lvlText w:val="%1."/>
      <w:lvlJc w:val="left"/>
      <w:pPr>
        <w:ind w:left="930" w:hanging="708"/>
      </w:pPr>
      <w:rPr>
        <w:rFonts w:ascii="Times New Roman" w:eastAsia="Times New Roman" w:hAnsi="Times New Roman" w:cs="Times New Roman" w:hint="default"/>
        <w:b w:val="0"/>
        <w:bCs w:val="0"/>
        <w:i w:val="0"/>
        <w:iCs w:val="0"/>
        <w:w w:val="100"/>
        <w:sz w:val="24"/>
        <w:szCs w:val="24"/>
        <w:lang w:val="pt-BR" w:eastAsia="en-US" w:bidi="ar-SA"/>
      </w:rPr>
    </w:lvl>
    <w:lvl w:ilvl="1" w:tplc="1CC28CBC">
      <w:start w:val="1"/>
      <w:numFmt w:val="lowerLetter"/>
      <w:lvlText w:val="(%2)"/>
      <w:lvlJc w:val="left"/>
      <w:pPr>
        <w:ind w:left="222" w:hanging="351"/>
      </w:pPr>
      <w:rPr>
        <w:rFonts w:ascii="Times New Roman" w:eastAsia="Times New Roman" w:hAnsi="Times New Roman" w:cs="Times New Roman" w:hint="default"/>
        <w:b w:val="0"/>
        <w:bCs w:val="0"/>
        <w:i w:val="0"/>
        <w:iCs w:val="0"/>
        <w:spacing w:val="-2"/>
        <w:w w:val="99"/>
        <w:sz w:val="24"/>
        <w:szCs w:val="24"/>
        <w:lang w:val="pt-BR" w:eastAsia="en-US" w:bidi="ar-SA"/>
      </w:rPr>
    </w:lvl>
    <w:lvl w:ilvl="2" w:tplc="77EAB53C">
      <w:numFmt w:val="bullet"/>
      <w:lvlText w:val="•"/>
      <w:lvlJc w:val="left"/>
      <w:pPr>
        <w:ind w:left="1860" w:hanging="351"/>
      </w:pPr>
      <w:rPr>
        <w:rFonts w:hint="default"/>
        <w:lang w:val="pt-BR" w:eastAsia="en-US" w:bidi="ar-SA"/>
      </w:rPr>
    </w:lvl>
    <w:lvl w:ilvl="3" w:tplc="3CA4DF5E">
      <w:numFmt w:val="bullet"/>
      <w:lvlText w:val="•"/>
      <w:lvlJc w:val="left"/>
      <w:pPr>
        <w:ind w:left="2780" w:hanging="351"/>
      </w:pPr>
      <w:rPr>
        <w:rFonts w:hint="default"/>
        <w:lang w:val="pt-BR" w:eastAsia="en-US" w:bidi="ar-SA"/>
      </w:rPr>
    </w:lvl>
    <w:lvl w:ilvl="4" w:tplc="A6B84B4A">
      <w:numFmt w:val="bullet"/>
      <w:lvlText w:val="•"/>
      <w:lvlJc w:val="left"/>
      <w:pPr>
        <w:ind w:left="3700" w:hanging="351"/>
      </w:pPr>
      <w:rPr>
        <w:rFonts w:hint="default"/>
        <w:lang w:val="pt-BR" w:eastAsia="en-US" w:bidi="ar-SA"/>
      </w:rPr>
    </w:lvl>
    <w:lvl w:ilvl="5" w:tplc="D4402354">
      <w:numFmt w:val="bullet"/>
      <w:lvlText w:val="•"/>
      <w:lvlJc w:val="left"/>
      <w:pPr>
        <w:ind w:left="4620" w:hanging="351"/>
      </w:pPr>
      <w:rPr>
        <w:rFonts w:hint="default"/>
        <w:lang w:val="pt-BR" w:eastAsia="en-US" w:bidi="ar-SA"/>
      </w:rPr>
    </w:lvl>
    <w:lvl w:ilvl="6" w:tplc="91F62D80">
      <w:numFmt w:val="bullet"/>
      <w:lvlText w:val="•"/>
      <w:lvlJc w:val="left"/>
      <w:pPr>
        <w:ind w:left="5540" w:hanging="351"/>
      </w:pPr>
      <w:rPr>
        <w:rFonts w:hint="default"/>
        <w:lang w:val="pt-BR" w:eastAsia="en-US" w:bidi="ar-SA"/>
      </w:rPr>
    </w:lvl>
    <w:lvl w:ilvl="7" w:tplc="FF646696">
      <w:numFmt w:val="bullet"/>
      <w:lvlText w:val="•"/>
      <w:lvlJc w:val="left"/>
      <w:pPr>
        <w:ind w:left="6460" w:hanging="351"/>
      </w:pPr>
      <w:rPr>
        <w:rFonts w:hint="default"/>
        <w:lang w:val="pt-BR" w:eastAsia="en-US" w:bidi="ar-SA"/>
      </w:rPr>
    </w:lvl>
    <w:lvl w:ilvl="8" w:tplc="143453E6">
      <w:numFmt w:val="bullet"/>
      <w:lvlText w:val="•"/>
      <w:lvlJc w:val="left"/>
      <w:pPr>
        <w:ind w:left="7380" w:hanging="351"/>
      </w:pPr>
      <w:rPr>
        <w:rFonts w:hint="default"/>
        <w:lang w:val="pt-BR" w:eastAsia="en-US" w:bidi="ar-SA"/>
      </w:rPr>
    </w:lvl>
  </w:abstractNum>
  <w:abstractNum w:abstractNumId="9" w15:restartNumberingAfterBreak="0">
    <w:nsid w:val="0BCF37DD"/>
    <w:multiLevelType w:val="hybridMultilevel"/>
    <w:tmpl w:val="9EB65742"/>
    <w:lvl w:ilvl="0" w:tplc="035C1D82">
      <w:start w:val="1"/>
      <w:numFmt w:val="lowerLetter"/>
      <w:lvlText w:val="(%1)"/>
      <w:lvlJc w:val="left"/>
      <w:pPr>
        <w:ind w:left="102" w:hanging="343"/>
      </w:pPr>
      <w:rPr>
        <w:rFonts w:ascii="Times New Roman" w:eastAsia="Times New Roman" w:hAnsi="Times New Roman" w:cs="Times New Roman" w:hint="default"/>
        <w:b w:val="0"/>
        <w:bCs w:val="0"/>
        <w:i w:val="0"/>
        <w:iCs w:val="0"/>
        <w:spacing w:val="-2"/>
        <w:w w:val="99"/>
        <w:sz w:val="24"/>
        <w:szCs w:val="24"/>
        <w:lang w:val="pt-BR" w:eastAsia="en-US" w:bidi="ar-SA"/>
      </w:rPr>
    </w:lvl>
    <w:lvl w:ilvl="1" w:tplc="5F5A782A">
      <w:numFmt w:val="bullet"/>
      <w:lvlText w:val="•"/>
      <w:lvlJc w:val="left"/>
      <w:pPr>
        <w:ind w:left="996" w:hanging="343"/>
      </w:pPr>
      <w:rPr>
        <w:rFonts w:hint="default"/>
        <w:lang w:val="pt-BR" w:eastAsia="en-US" w:bidi="ar-SA"/>
      </w:rPr>
    </w:lvl>
    <w:lvl w:ilvl="2" w:tplc="639CE31A">
      <w:numFmt w:val="bullet"/>
      <w:lvlText w:val="•"/>
      <w:lvlJc w:val="left"/>
      <w:pPr>
        <w:ind w:left="1892" w:hanging="343"/>
      </w:pPr>
      <w:rPr>
        <w:rFonts w:hint="default"/>
        <w:lang w:val="pt-BR" w:eastAsia="en-US" w:bidi="ar-SA"/>
      </w:rPr>
    </w:lvl>
    <w:lvl w:ilvl="3" w:tplc="DC1A4B9E">
      <w:numFmt w:val="bullet"/>
      <w:lvlText w:val="•"/>
      <w:lvlJc w:val="left"/>
      <w:pPr>
        <w:ind w:left="2788" w:hanging="343"/>
      </w:pPr>
      <w:rPr>
        <w:rFonts w:hint="default"/>
        <w:lang w:val="pt-BR" w:eastAsia="en-US" w:bidi="ar-SA"/>
      </w:rPr>
    </w:lvl>
    <w:lvl w:ilvl="4" w:tplc="59046120">
      <w:numFmt w:val="bullet"/>
      <w:lvlText w:val="•"/>
      <w:lvlJc w:val="left"/>
      <w:pPr>
        <w:ind w:left="3684" w:hanging="343"/>
      </w:pPr>
      <w:rPr>
        <w:rFonts w:hint="default"/>
        <w:lang w:val="pt-BR" w:eastAsia="en-US" w:bidi="ar-SA"/>
      </w:rPr>
    </w:lvl>
    <w:lvl w:ilvl="5" w:tplc="78A49E8A">
      <w:numFmt w:val="bullet"/>
      <w:lvlText w:val="•"/>
      <w:lvlJc w:val="left"/>
      <w:pPr>
        <w:ind w:left="4580" w:hanging="343"/>
      </w:pPr>
      <w:rPr>
        <w:rFonts w:hint="default"/>
        <w:lang w:val="pt-BR" w:eastAsia="en-US" w:bidi="ar-SA"/>
      </w:rPr>
    </w:lvl>
    <w:lvl w:ilvl="6" w:tplc="7F3460CE">
      <w:numFmt w:val="bullet"/>
      <w:lvlText w:val="•"/>
      <w:lvlJc w:val="left"/>
      <w:pPr>
        <w:ind w:left="5476" w:hanging="343"/>
      </w:pPr>
      <w:rPr>
        <w:rFonts w:hint="default"/>
        <w:lang w:val="pt-BR" w:eastAsia="en-US" w:bidi="ar-SA"/>
      </w:rPr>
    </w:lvl>
    <w:lvl w:ilvl="7" w:tplc="4164EBD8">
      <w:numFmt w:val="bullet"/>
      <w:lvlText w:val="•"/>
      <w:lvlJc w:val="left"/>
      <w:pPr>
        <w:ind w:left="6372" w:hanging="343"/>
      </w:pPr>
      <w:rPr>
        <w:rFonts w:hint="default"/>
        <w:lang w:val="pt-BR" w:eastAsia="en-US" w:bidi="ar-SA"/>
      </w:rPr>
    </w:lvl>
    <w:lvl w:ilvl="8" w:tplc="4A8659CC">
      <w:numFmt w:val="bullet"/>
      <w:lvlText w:val="•"/>
      <w:lvlJc w:val="left"/>
      <w:pPr>
        <w:ind w:left="7268" w:hanging="343"/>
      </w:pPr>
      <w:rPr>
        <w:rFonts w:hint="default"/>
        <w:lang w:val="pt-BR" w:eastAsia="en-US" w:bidi="ar-SA"/>
      </w:rPr>
    </w:lvl>
  </w:abstractNum>
  <w:abstractNum w:abstractNumId="10" w15:restartNumberingAfterBreak="0">
    <w:nsid w:val="0CE01541"/>
    <w:multiLevelType w:val="hybridMultilevel"/>
    <w:tmpl w:val="4C804894"/>
    <w:lvl w:ilvl="0" w:tplc="BA84ED88">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210C2972">
      <w:numFmt w:val="bullet"/>
      <w:lvlText w:val="•"/>
      <w:lvlJc w:val="left"/>
      <w:pPr>
        <w:ind w:left="996" w:hanging="708"/>
      </w:pPr>
      <w:rPr>
        <w:rFonts w:hint="default"/>
        <w:lang w:val="pt-BR" w:eastAsia="en-US" w:bidi="ar-SA"/>
      </w:rPr>
    </w:lvl>
    <w:lvl w:ilvl="2" w:tplc="49F0023C">
      <w:numFmt w:val="bullet"/>
      <w:lvlText w:val="•"/>
      <w:lvlJc w:val="left"/>
      <w:pPr>
        <w:ind w:left="1892" w:hanging="708"/>
      </w:pPr>
      <w:rPr>
        <w:rFonts w:hint="default"/>
        <w:lang w:val="pt-BR" w:eastAsia="en-US" w:bidi="ar-SA"/>
      </w:rPr>
    </w:lvl>
    <w:lvl w:ilvl="3" w:tplc="182490BE">
      <w:numFmt w:val="bullet"/>
      <w:lvlText w:val="•"/>
      <w:lvlJc w:val="left"/>
      <w:pPr>
        <w:ind w:left="2788" w:hanging="708"/>
      </w:pPr>
      <w:rPr>
        <w:rFonts w:hint="default"/>
        <w:lang w:val="pt-BR" w:eastAsia="en-US" w:bidi="ar-SA"/>
      </w:rPr>
    </w:lvl>
    <w:lvl w:ilvl="4" w:tplc="30B4D524">
      <w:numFmt w:val="bullet"/>
      <w:lvlText w:val="•"/>
      <w:lvlJc w:val="left"/>
      <w:pPr>
        <w:ind w:left="3684" w:hanging="708"/>
      </w:pPr>
      <w:rPr>
        <w:rFonts w:hint="default"/>
        <w:lang w:val="pt-BR" w:eastAsia="en-US" w:bidi="ar-SA"/>
      </w:rPr>
    </w:lvl>
    <w:lvl w:ilvl="5" w:tplc="567AE65C">
      <w:numFmt w:val="bullet"/>
      <w:lvlText w:val="•"/>
      <w:lvlJc w:val="left"/>
      <w:pPr>
        <w:ind w:left="4580" w:hanging="708"/>
      </w:pPr>
      <w:rPr>
        <w:rFonts w:hint="default"/>
        <w:lang w:val="pt-BR" w:eastAsia="en-US" w:bidi="ar-SA"/>
      </w:rPr>
    </w:lvl>
    <w:lvl w:ilvl="6" w:tplc="E318C5EE">
      <w:numFmt w:val="bullet"/>
      <w:lvlText w:val="•"/>
      <w:lvlJc w:val="left"/>
      <w:pPr>
        <w:ind w:left="5476" w:hanging="708"/>
      </w:pPr>
      <w:rPr>
        <w:rFonts w:hint="default"/>
        <w:lang w:val="pt-BR" w:eastAsia="en-US" w:bidi="ar-SA"/>
      </w:rPr>
    </w:lvl>
    <w:lvl w:ilvl="7" w:tplc="CA20D6C4">
      <w:numFmt w:val="bullet"/>
      <w:lvlText w:val="•"/>
      <w:lvlJc w:val="left"/>
      <w:pPr>
        <w:ind w:left="6372" w:hanging="708"/>
      </w:pPr>
      <w:rPr>
        <w:rFonts w:hint="default"/>
        <w:lang w:val="pt-BR" w:eastAsia="en-US" w:bidi="ar-SA"/>
      </w:rPr>
    </w:lvl>
    <w:lvl w:ilvl="8" w:tplc="BE18128A">
      <w:numFmt w:val="bullet"/>
      <w:lvlText w:val="•"/>
      <w:lvlJc w:val="left"/>
      <w:pPr>
        <w:ind w:left="7268" w:hanging="708"/>
      </w:pPr>
      <w:rPr>
        <w:rFonts w:hint="default"/>
        <w:lang w:val="pt-BR" w:eastAsia="en-US" w:bidi="ar-SA"/>
      </w:rPr>
    </w:lvl>
  </w:abstractNum>
  <w:abstractNum w:abstractNumId="11" w15:restartNumberingAfterBreak="0">
    <w:nsid w:val="0FF6745F"/>
    <w:multiLevelType w:val="hybridMultilevel"/>
    <w:tmpl w:val="5CF47340"/>
    <w:lvl w:ilvl="0" w:tplc="C750C4FA">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2BE8ACE6">
      <w:start w:val="1"/>
      <w:numFmt w:val="lowerLetter"/>
      <w:lvlText w:val="(%2)"/>
      <w:lvlJc w:val="left"/>
      <w:pPr>
        <w:ind w:left="1182" w:hanging="331"/>
      </w:pPr>
      <w:rPr>
        <w:rFonts w:ascii="Times New Roman" w:eastAsia="Times New Roman" w:hAnsi="Times New Roman" w:cs="Times New Roman" w:hint="default"/>
        <w:b w:val="0"/>
        <w:bCs w:val="0"/>
        <w:i w:val="0"/>
        <w:iCs w:val="0"/>
        <w:spacing w:val="-2"/>
        <w:w w:val="99"/>
        <w:sz w:val="24"/>
        <w:szCs w:val="24"/>
        <w:lang w:val="pt-BR" w:eastAsia="en-US" w:bidi="ar-SA"/>
      </w:rPr>
    </w:lvl>
    <w:lvl w:ilvl="2" w:tplc="98905564">
      <w:numFmt w:val="bullet"/>
      <w:lvlText w:val="•"/>
      <w:lvlJc w:val="left"/>
      <w:pPr>
        <w:ind w:left="2055" w:hanging="331"/>
      </w:pPr>
      <w:rPr>
        <w:rFonts w:hint="default"/>
        <w:lang w:val="pt-BR" w:eastAsia="en-US" w:bidi="ar-SA"/>
      </w:rPr>
    </w:lvl>
    <w:lvl w:ilvl="3" w:tplc="44A860B6">
      <w:numFmt w:val="bullet"/>
      <w:lvlText w:val="•"/>
      <w:lvlJc w:val="left"/>
      <w:pPr>
        <w:ind w:left="2931" w:hanging="331"/>
      </w:pPr>
      <w:rPr>
        <w:rFonts w:hint="default"/>
        <w:lang w:val="pt-BR" w:eastAsia="en-US" w:bidi="ar-SA"/>
      </w:rPr>
    </w:lvl>
    <w:lvl w:ilvl="4" w:tplc="C2B886B2">
      <w:numFmt w:val="bullet"/>
      <w:lvlText w:val="•"/>
      <w:lvlJc w:val="left"/>
      <w:pPr>
        <w:ind w:left="3806" w:hanging="331"/>
      </w:pPr>
      <w:rPr>
        <w:rFonts w:hint="default"/>
        <w:lang w:val="pt-BR" w:eastAsia="en-US" w:bidi="ar-SA"/>
      </w:rPr>
    </w:lvl>
    <w:lvl w:ilvl="5" w:tplc="C3065EBE">
      <w:numFmt w:val="bullet"/>
      <w:lvlText w:val="•"/>
      <w:lvlJc w:val="left"/>
      <w:pPr>
        <w:ind w:left="4682" w:hanging="331"/>
      </w:pPr>
      <w:rPr>
        <w:rFonts w:hint="default"/>
        <w:lang w:val="pt-BR" w:eastAsia="en-US" w:bidi="ar-SA"/>
      </w:rPr>
    </w:lvl>
    <w:lvl w:ilvl="6" w:tplc="347274C8">
      <w:numFmt w:val="bullet"/>
      <w:lvlText w:val="•"/>
      <w:lvlJc w:val="left"/>
      <w:pPr>
        <w:ind w:left="5557" w:hanging="331"/>
      </w:pPr>
      <w:rPr>
        <w:rFonts w:hint="default"/>
        <w:lang w:val="pt-BR" w:eastAsia="en-US" w:bidi="ar-SA"/>
      </w:rPr>
    </w:lvl>
    <w:lvl w:ilvl="7" w:tplc="B750F538">
      <w:numFmt w:val="bullet"/>
      <w:lvlText w:val="•"/>
      <w:lvlJc w:val="left"/>
      <w:pPr>
        <w:ind w:left="6433" w:hanging="331"/>
      </w:pPr>
      <w:rPr>
        <w:rFonts w:hint="default"/>
        <w:lang w:val="pt-BR" w:eastAsia="en-US" w:bidi="ar-SA"/>
      </w:rPr>
    </w:lvl>
    <w:lvl w:ilvl="8" w:tplc="1678761C">
      <w:numFmt w:val="bullet"/>
      <w:lvlText w:val="•"/>
      <w:lvlJc w:val="left"/>
      <w:pPr>
        <w:ind w:left="7308" w:hanging="331"/>
      </w:pPr>
      <w:rPr>
        <w:rFonts w:hint="default"/>
        <w:lang w:val="pt-BR" w:eastAsia="en-US" w:bidi="ar-SA"/>
      </w:rPr>
    </w:lvl>
  </w:abstractNum>
  <w:abstractNum w:abstractNumId="12" w15:restartNumberingAfterBreak="0">
    <w:nsid w:val="1047155F"/>
    <w:multiLevelType w:val="hybridMultilevel"/>
    <w:tmpl w:val="18DCFF66"/>
    <w:lvl w:ilvl="0" w:tplc="6F3CEE28">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308E439E">
      <w:numFmt w:val="bullet"/>
      <w:lvlText w:val="•"/>
      <w:lvlJc w:val="left"/>
      <w:pPr>
        <w:ind w:left="996" w:hanging="708"/>
      </w:pPr>
      <w:rPr>
        <w:rFonts w:hint="default"/>
        <w:lang w:val="pt-BR" w:eastAsia="en-US" w:bidi="ar-SA"/>
      </w:rPr>
    </w:lvl>
    <w:lvl w:ilvl="2" w:tplc="5108F36C">
      <w:numFmt w:val="bullet"/>
      <w:lvlText w:val="•"/>
      <w:lvlJc w:val="left"/>
      <w:pPr>
        <w:ind w:left="1892" w:hanging="708"/>
      </w:pPr>
      <w:rPr>
        <w:rFonts w:hint="default"/>
        <w:lang w:val="pt-BR" w:eastAsia="en-US" w:bidi="ar-SA"/>
      </w:rPr>
    </w:lvl>
    <w:lvl w:ilvl="3" w:tplc="108046CC">
      <w:numFmt w:val="bullet"/>
      <w:lvlText w:val="•"/>
      <w:lvlJc w:val="left"/>
      <w:pPr>
        <w:ind w:left="2788" w:hanging="708"/>
      </w:pPr>
      <w:rPr>
        <w:rFonts w:hint="default"/>
        <w:lang w:val="pt-BR" w:eastAsia="en-US" w:bidi="ar-SA"/>
      </w:rPr>
    </w:lvl>
    <w:lvl w:ilvl="4" w:tplc="8A06821E">
      <w:numFmt w:val="bullet"/>
      <w:lvlText w:val="•"/>
      <w:lvlJc w:val="left"/>
      <w:pPr>
        <w:ind w:left="3684" w:hanging="708"/>
      </w:pPr>
      <w:rPr>
        <w:rFonts w:hint="default"/>
        <w:lang w:val="pt-BR" w:eastAsia="en-US" w:bidi="ar-SA"/>
      </w:rPr>
    </w:lvl>
    <w:lvl w:ilvl="5" w:tplc="4DAC157C">
      <w:numFmt w:val="bullet"/>
      <w:lvlText w:val="•"/>
      <w:lvlJc w:val="left"/>
      <w:pPr>
        <w:ind w:left="4580" w:hanging="708"/>
      </w:pPr>
      <w:rPr>
        <w:rFonts w:hint="default"/>
        <w:lang w:val="pt-BR" w:eastAsia="en-US" w:bidi="ar-SA"/>
      </w:rPr>
    </w:lvl>
    <w:lvl w:ilvl="6" w:tplc="9EB4CE00">
      <w:numFmt w:val="bullet"/>
      <w:lvlText w:val="•"/>
      <w:lvlJc w:val="left"/>
      <w:pPr>
        <w:ind w:left="5476" w:hanging="708"/>
      </w:pPr>
      <w:rPr>
        <w:rFonts w:hint="default"/>
        <w:lang w:val="pt-BR" w:eastAsia="en-US" w:bidi="ar-SA"/>
      </w:rPr>
    </w:lvl>
    <w:lvl w:ilvl="7" w:tplc="83141DDC">
      <w:numFmt w:val="bullet"/>
      <w:lvlText w:val="•"/>
      <w:lvlJc w:val="left"/>
      <w:pPr>
        <w:ind w:left="6372" w:hanging="708"/>
      </w:pPr>
      <w:rPr>
        <w:rFonts w:hint="default"/>
        <w:lang w:val="pt-BR" w:eastAsia="en-US" w:bidi="ar-SA"/>
      </w:rPr>
    </w:lvl>
    <w:lvl w:ilvl="8" w:tplc="DB3ABE60">
      <w:numFmt w:val="bullet"/>
      <w:lvlText w:val="•"/>
      <w:lvlJc w:val="left"/>
      <w:pPr>
        <w:ind w:left="7268" w:hanging="708"/>
      </w:pPr>
      <w:rPr>
        <w:rFonts w:hint="default"/>
        <w:lang w:val="pt-BR" w:eastAsia="en-US" w:bidi="ar-SA"/>
      </w:rPr>
    </w:lvl>
  </w:abstractNum>
  <w:abstractNum w:abstractNumId="13" w15:restartNumberingAfterBreak="0">
    <w:nsid w:val="111A571D"/>
    <w:multiLevelType w:val="hybridMultilevel"/>
    <w:tmpl w:val="62026492"/>
    <w:lvl w:ilvl="0" w:tplc="B82C148E">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D9C4E6C2">
      <w:start w:val="2"/>
      <w:numFmt w:val="lowerLetter"/>
      <w:lvlText w:val="(%2)"/>
      <w:lvlJc w:val="left"/>
      <w:pPr>
        <w:ind w:left="102" w:hanging="708"/>
        <w:jc w:val="right"/>
      </w:pPr>
      <w:rPr>
        <w:rFonts w:ascii="Times New Roman" w:eastAsia="Times New Roman" w:hAnsi="Times New Roman" w:cs="Times New Roman" w:hint="default"/>
        <w:b w:val="0"/>
        <w:bCs w:val="0"/>
        <w:i w:val="0"/>
        <w:iCs w:val="0"/>
        <w:w w:val="99"/>
        <w:sz w:val="24"/>
        <w:szCs w:val="24"/>
        <w:lang w:val="pt-BR" w:eastAsia="en-US" w:bidi="ar-SA"/>
      </w:rPr>
    </w:lvl>
    <w:lvl w:ilvl="2" w:tplc="4D2617C4">
      <w:start w:val="1"/>
      <w:numFmt w:val="lowerRoman"/>
      <w:lvlText w:val="(%3)"/>
      <w:lvlJc w:val="left"/>
      <w:pPr>
        <w:ind w:left="822" w:hanging="293"/>
      </w:pPr>
      <w:rPr>
        <w:rFonts w:ascii="Times New Roman" w:eastAsia="Times New Roman" w:hAnsi="Times New Roman" w:cs="Times New Roman" w:hint="default"/>
        <w:b w:val="0"/>
        <w:bCs w:val="0"/>
        <w:i w:val="0"/>
        <w:iCs w:val="0"/>
        <w:w w:val="99"/>
        <w:sz w:val="24"/>
        <w:szCs w:val="24"/>
        <w:lang w:val="pt-BR" w:eastAsia="en-US" w:bidi="ar-SA"/>
      </w:rPr>
    </w:lvl>
    <w:lvl w:ilvl="3" w:tplc="390A93F8">
      <w:numFmt w:val="bullet"/>
      <w:lvlText w:val="•"/>
      <w:lvlJc w:val="left"/>
      <w:pPr>
        <w:ind w:left="2651" w:hanging="293"/>
      </w:pPr>
      <w:rPr>
        <w:rFonts w:hint="default"/>
        <w:lang w:val="pt-BR" w:eastAsia="en-US" w:bidi="ar-SA"/>
      </w:rPr>
    </w:lvl>
    <w:lvl w:ilvl="4" w:tplc="041877B8">
      <w:numFmt w:val="bullet"/>
      <w:lvlText w:val="•"/>
      <w:lvlJc w:val="left"/>
      <w:pPr>
        <w:ind w:left="3566" w:hanging="293"/>
      </w:pPr>
      <w:rPr>
        <w:rFonts w:hint="default"/>
        <w:lang w:val="pt-BR" w:eastAsia="en-US" w:bidi="ar-SA"/>
      </w:rPr>
    </w:lvl>
    <w:lvl w:ilvl="5" w:tplc="5D447406">
      <w:numFmt w:val="bullet"/>
      <w:lvlText w:val="•"/>
      <w:lvlJc w:val="left"/>
      <w:pPr>
        <w:ind w:left="4482" w:hanging="293"/>
      </w:pPr>
      <w:rPr>
        <w:rFonts w:hint="default"/>
        <w:lang w:val="pt-BR" w:eastAsia="en-US" w:bidi="ar-SA"/>
      </w:rPr>
    </w:lvl>
    <w:lvl w:ilvl="6" w:tplc="65C4801A">
      <w:numFmt w:val="bullet"/>
      <w:lvlText w:val="•"/>
      <w:lvlJc w:val="left"/>
      <w:pPr>
        <w:ind w:left="5397" w:hanging="293"/>
      </w:pPr>
      <w:rPr>
        <w:rFonts w:hint="default"/>
        <w:lang w:val="pt-BR" w:eastAsia="en-US" w:bidi="ar-SA"/>
      </w:rPr>
    </w:lvl>
    <w:lvl w:ilvl="7" w:tplc="0DA249C0">
      <w:numFmt w:val="bullet"/>
      <w:lvlText w:val="•"/>
      <w:lvlJc w:val="left"/>
      <w:pPr>
        <w:ind w:left="6313" w:hanging="293"/>
      </w:pPr>
      <w:rPr>
        <w:rFonts w:hint="default"/>
        <w:lang w:val="pt-BR" w:eastAsia="en-US" w:bidi="ar-SA"/>
      </w:rPr>
    </w:lvl>
    <w:lvl w:ilvl="8" w:tplc="B726DD34">
      <w:numFmt w:val="bullet"/>
      <w:lvlText w:val="•"/>
      <w:lvlJc w:val="left"/>
      <w:pPr>
        <w:ind w:left="7228" w:hanging="293"/>
      </w:pPr>
      <w:rPr>
        <w:rFonts w:hint="default"/>
        <w:lang w:val="pt-BR" w:eastAsia="en-US" w:bidi="ar-SA"/>
      </w:rPr>
    </w:lvl>
  </w:abstractNum>
  <w:abstractNum w:abstractNumId="14" w15:restartNumberingAfterBreak="0">
    <w:nsid w:val="1139743D"/>
    <w:multiLevelType w:val="hybridMultilevel"/>
    <w:tmpl w:val="29864CC0"/>
    <w:lvl w:ilvl="0" w:tplc="D7FEBBD8">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BF7EC6C4">
      <w:start w:val="1"/>
      <w:numFmt w:val="lowerLetter"/>
      <w:lvlText w:val="(%2)"/>
      <w:lvlJc w:val="left"/>
      <w:pPr>
        <w:ind w:left="822" w:hanging="384"/>
      </w:pPr>
      <w:rPr>
        <w:rFonts w:ascii="Times New Roman" w:eastAsia="Times New Roman" w:hAnsi="Times New Roman" w:cs="Times New Roman" w:hint="default"/>
        <w:b w:val="0"/>
        <w:bCs w:val="0"/>
        <w:i w:val="0"/>
        <w:iCs w:val="0"/>
        <w:spacing w:val="-2"/>
        <w:w w:val="99"/>
        <w:sz w:val="24"/>
        <w:szCs w:val="24"/>
        <w:lang w:val="pt-BR" w:eastAsia="en-US" w:bidi="ar-SA"/>
      </w:rPr>
    </w:lvl>
    <w:lvl w:ilvl="2" w:tplc="0B365550">
      <w:numFmt w:val="bullet"/>
      <w:lvlText w:val="•"/>
      <w:lvlJc w:val="left"/>
      <w:pPr>
        <w:ind w:left="1735" w:hanging="384"/>
      </w:pPr>
      <w:rPr>
        <w:rFonts w:hint="default"/>
        <w:lang w:val="pt-BR" w:eastAsia="en-US" w:bidi="ar-SA"/>
      </w:rPr>
    </w:lvl>
    <w:lvl w:ilvl="3" w:tplc="61429CCA">
      <w:numFmt w:val="bullet"/>
      <w:lvlText w:val="•"/>
      <w:lvlJc w:val="left"/>
      <w:pPr>
        <w:ind w:left="2651" w:hanging="384"/>
      </w:pPr>
      <w:rPr>
        <w:rFonts w:hint="default"/>
        <w:lang w:val="pt-BR" w:eastAsia="en-US" w:bidi="ar-SA"/>
      </w:rPr>
    </w:lvl>
    <w:lvl w:ilvl="4" w:tplc="5B1A65A6">
      <w:numFmt w:val="bullet"/>
      <w:lvlText w:val="•"/>
      <w:lvlJc w:val="left"/>
      <w:pPr>
        <w:ind w:left="3566" w:hanging="384"/>
      </w:pPr>
      <w:rPr>
        <w:rFonts w:hint="default"/>
        <w:lang w:val="pt-BR" w:eastAsia="en-US" w:bidi="ar-SA"/>
      </w:rPr>
    </w:lvl>
    <w:lvl w:ilvl="5" w:tplc="1E447D14">
      <w:numFmt w:val="bullet"/>
      <w:lvlText w:val="•"/>
      <w:lvlJc w:val="left"/>
      <w:pPr>
        <w:ind w:left="4482" w:hanging="384"/>
      </w:pPr>
      <w:rPr>
        <w:rFonts w:hint="default"/>
        <w:lang w:val="pt-BR" w:eastAsia="en-US" w:bidi="ar-SA"/>
      </w:rPr>
    </w:lvl>
    <w:lvl w:ilvl="6" w:tplc="F76C97F6">
      <w:numFmt w:val="bullet"/>
      <w:lvlText w:val="•"/>
      <w:lvlJc w:val="left"/>
      <w:pPr>
        <w:ind w:left="5397" w:hanging="384"/>
      </w:pPr>
      <w:rPr>
        <w:rFonts w:hint="default"/>
        <w:lang w:val="pt-BR" w:eastAsia="en-US" w:bidi="ar-SA"/>
      </w:rPr>
    </w:lvl>
    <w:lvl w:ilvl="7" w:tplc="524A4160">
      <w:numFmt w:val="bullet"/>
      <w:lvlText w:val="•"/>
      <w:lvlJc w:val="left"/>
      <w:pPr>
        <w:ind w:left="6313" w:hanging="384"/>
      </w:pPr>
      <w:rPr>
        <w:rFonts w:hint="default"/>
        <w:lang w:val="pt-BR" w:eastAsia="en-US" w:bidi="ar-SA"/>
      </w:rPr>
    </w:lvl>
    <w:lvl w:ilvl="8" w:tplc="8BACA680">
      <w:numFmt w:val="bullet"/>
      <w:lvlText w:val="•"/>
      <w:lvlJc w:val="left"/>
      <w:pPr>
        <w:ind w:left="7228" w:hanging="384"/>
      </w:pPr>
      <w:rPr>
        <w:rFonts w:hint="default"/>
        <w:lang w:val="pt-BR" w:eastAsia="en-US" w:bidi="ar-SA"/>
      </w:rPr>
    </w:lvl>
  </w:abstractNum>
  <w:abstractNum w:abstractNumId="15" w15:restartNumberingAfterBreak="0">
    <w:nsid w:val="15470758"/>
    <w:multiLevelType w:val="hybridMultilevel"/>
    <w:tmpl w:val="D94CFB18"/>
    <w:lvl w:ilvl="0" w:tplc="8EBA073C">
      <w:start w:val="1"/>
      <w:numFmt w:val="decimal"/>
      <w:lvlText w:val="%1."/>
      <w:lvlJc w:val="left"/>
      <w:pPr>
        <w:ind w:left="222" w:hanging="708"/>
      </w:pPr>
      <w:rPr>
        <w:rFonts w:ascii="Times New Roman" w:eastAsia="Times New Roman" w:hAnsi="Times New Roman" w:cs="Times New Roman" w:hint="default"/>
        <w:b w:val="0"/>
        <w:bCs w:val="0"/>
        <w:i w:val="0"/>
        <w:iCs w:val="0"/>
        <w:w w:val="100"/>
        <w:sz w:val="24"/>
        <w:szCs w:val="24"/>
        <w:lang w:val="pt-BR" w:eastAsia="en-US" w:bidi="ar-SA"/>
      </w:rPr>
    </w:lvl>
    <w:lvl w:ilvl="1" w:tplc="E87EC0B0">
      <w:numFmt w:val="bullet"/>
      <w:lvlText w:val="•"/>
      <w:lvlJc w:val="left"/>
      <w:pPr>
        <w:ind w:left="1120" w:hanging="708"/>
      </w:pPr>
      <w:rPr>
        <w:rFonts w:hint="default"/>
        <w:lang w:val="pt-BR" w:eastAsia="en-US" w:bidi="ar-SA"/>
      </w:rPr>
    </w:lvl>
    <w:lvl w:ilvl="2" w:tplc="AB42923A">
      <w:numFmt w:val="bullet"/>
      <w:lvlText w:val="•"/>
      <w:lvlJc w:val="left"/>
      <w:pPr>
        <w:ind w:left="2020" w:hanging="708"/>
      </w:pPr>
      <w:rPr>
        <w:rFonts w:hint="default"/>
        <w:lang w:val="pt-BR" w:eastAsia="en-US" w:bidi="ar-SA"/>
      </w:rPr>
    </w:lvl>
    <w:lvl w:ilvl="3" w:tplc="3A16CEC8">
      <w:numFmt w:val="bullet"/>
      <w:lvlText w:val="•"/>
      <w:lvlJc w:val="left"/>
      <w:pPr>
        <w:ind w:left="2920" w:hanging="708"/>
      </w:pPr>
      <w:rPr>
        <w:rFonts w:hint="default"/>
        <w:lang w:val="pt-BR" w:eastAsia="en-US" w:bidi="ar-SA"/>
      </w:rPr>
    </w:lvl>
    <w:lvl w:ilvl="4" w:tplc="444EB7B2">
      <w:numFmt w:val="bullet"/>
      <w:lvlText w:val="•"/>
      <w:lvlJc w:val="left"/>
      <w:pPr>
        <w:ind w:left="3820" w:hanging="708"/>
      </w:pPr>
      <w:rPr>
        <w:rFonts w:hint="default"/>
        <w:lang w:val="pt-BR" w:eastAsia="en-US" w:bidi="ar-SA"/>
      </w:rPr>
    </w:lvl>
    <w:lvl w:ilvl="5" w:tplc="E0D862C8">
      <w:numFmt w:val="bullet"/>
      <w:lvlText w:val="•"/>
      <w:lvlJc w:val="left"/>
      <w:pPr>
        <w:ind w:left="4720" w:hanging="708"/>
      </w:pPr>
      <w:rPr>
        <w:rFonts w:hint="default"/>
        <w:lang w:val="pt-BR" w:eastAsia="en-US" w:bidi="ar-SA"/>
      </w:rPr>
    </w:lvl>
    <w:lvl w:ilvl="6" w:tplc="1FC4F81C">
      <w:numFmt w:val="bullet"/>
      <w:lvlText w:val="•"/>
      <w:lvlJc w:val="left"/>
      <w:pPr>
        <w:ind w:left="5620" w:hanging="708"/>
      </w:pPr>
      <w:rPr>
        <w:rFonts w:hint="default"/>
        <w:lang w:val="pt-BR" w:eastAsia="en-US" w:bidi="ar-SA"/>
      </w:rPr>
    </w:lvl>
    <w:lvl w:ilvl="7" w:tplc="CC06ABE0">
      <w:numFmt w:val="bullet"/>
      <w:lvlText w:val="•"/>
      <w:lvlJc w:val="left"/>
      <w:pPr>
        <w:ind w:left="6520" w:hanging="708"/>
      </w:pPr>
      <w:rPr>
        <w:rFonts w:hint="default"/>
        <w:lang w:val="pt-BR" w:eastAsia="en-US" w:bidi="ar-SA"/>
      </w:rPr>
    </w:lvl>
    <w:lvl w:ilvl="8" w:tplc="34202248">
      <w:numFmt w:val="bullet"/>
      <w:lvlText w:val="•"/>
      <w:lvlJc w:val="left"/>
      <w:pPr>
        <w:ind w:left="7420" w:hanging="708"/>
      </w:pPr>
      <w:rPr>
        <w:rFonts w:hint="default"/>
        <w:lang w:val="pt-BR" w:eastAsia="en-US" w:bidi="ar-SA"/>
      </w:rPr>
    </w:lvl>
  </w:abstractNum>
  <w:abstractNum w:abstractNumId="16" w15:restartNumberingAfterBreak="0">
    <w:nsid w:val="16B7310B"/>
    <w:multiLevelType w:val="hybridMultilevel"/>
    <w:tmpl w:val="62EC903C"/>
    <w:lvl w:ilvl="0" w:tplc="BF688DDE">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DF741644">
      <w:numFmt w:val="bullet"/>
      <w:lvlText w:val="•"/>
      <w:lvlJc w:val="left"/>
      <w:pPr>
        <w:ind w:left="996" w:hanging="708"/>
      </w:pPr>
      <w:rPr>
        <w:rFonts w:hint="default"/>
        <w:lang w:val="pt-BR" w:eastAsia="en-US" w:bidi="ar-SA"/>
      </w:rPr>
    </w:lvl>
    <w:lvl w:ilvl="2" w:tplc="81C4C5C6">
      <w:numFmt w:val="bullet"/>
      <w:lvlText w:val="•"/>
      <w:lvlJc w:val="left"/>
      <w:pPr>
        <w:ind w:left="1892" w:hanging="708"/>
      </w:pPr>
      <w:rPr>
        <w:rFonts w:hint="default"/>
        <w:lang w:val="pt-BR" w:eastAsia="en-US" w:bidi="ar-SA"/>
      </w:rPr>
    </w:lvl>
    <w:lvl w:ilvl="3" w:tplc="BD7A9CBA">
      <w:numFmt w:val="bullet"/>
      <w:lvlText w:val="•"/>
      <w:lvlJc w:val="left"/>
      <w:pPr>
        <w:ind w:left="2788" w:hanging="708"/>
      </w:pPr>
      <w:rPr>
        <w:rFonts w:hint="default"/>
        <w:lang w:val="pt-BR" w:eastAsia="en-US" w:bidi="ar-SA"/>
      </w:rPr>
    </w:lvl>
    <w:lvl w:ilvl="4" w:tplc="1EDAF32C">
      <w:numFmt w:val="bullet"/>
      <w:lvlText w:val="•"/>
      <w:lvlJc w:val="left"/>
      <w:pPr>
        <w:ind w:left="3684" w:hanging="708"/>
      </w:pPr>
      <w:rPr>
        <w:rFonts w:hint="default"/>
        <w:lang w:val="pt-BR" w:eastAsia="en-US" w:bidi="ar-SA"/>
      </w:rPr>
    </w:lvl>
    <w:lvl w:ilvl="5" w:tplc="95F0A678">
      <w:numFmt w:val="bullet"/>
      <w:lvlText w:val="•"/>
      <w:lvlJc w:val="left"/>
      <w:pPr>
        <w:ind w:left="4580" w:hanging="708"/>
      </w:pPr>
      <w:rPr>
        <w:rFonts w:hint="default"/>
        <w:lang w:val="pt-BR" w:eastAsia="en-US" w:bidi="ar-SA"/>
      </w:rPr>
    </w:lvl>
    <w:lvl w:ilvl="6" w:tplc="F5BAA850">
      <w:numFmt w:val="bullet"/>
      <w:lvlText w:val="•"/>
      <w:lvlJc w:val="left"/>
      <w:pPr>
        <w:ind w:left="5476" w:hanging="708"/>
      </w:pPr>
      <w:rPr>
        <w:rFonts w:hint="default"/>
        <w:lang w:val="pt-BR" w:eastAsia="en-US" w:bidi="ar-SA"/>
      </w:rPr>
    </w:lvl>
    <w:lvl w:ilvl="7" w:tplc="7E3C4E42">
      <w:numFmt w:val="bullet"/>
      <w:lvlText w:val="•"/>
      <w:lvlJc w:val="left"/>
      <w:pPr>
        <w:ind w:left="6372" w:hanging="708"/>
      </w:pPr>
      <w:rPr>
        <w:rFonts w:hint="default"/>
        <w:lang w:val="pt-BR" w:eastAsia="en-US" w:bidi="ar-SA"/>
      </w:rPr>
    </w:lvl>
    <w:lvl w:ilvl="8" w:tplc="99E8026A">
      <w:numFmt w:val="bullet"/>
      <w:lvlText w:val="•"/>
      <w:lvlJc w:val="left"/>
      <w:pPr>
        <w:ind w:left="7268" w:hanging="708"/>
      </w:pPr>
      <w:rPr>
        <w:rFonts w:hint="default"/>
        <w:lang w:val="pt-BR" w:eastAsia="en-US" w:bidi="ar-SA"/>
      </w:rPr>
    </w:lvl>
  </w:abstractNum>
  <w:abstractNum w:abstractNumId="17" w15:restartNumberingAfterBreak="0">
    <w:nsid w:val="16EC0265"/>
    <w:multiLevelType w:val="hybridMultilevel"/>
    <w:tmpl w:val="032AB35A"/>
    <w:lvl w:ilvl="0" w:tplc="17A6B6A6">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739CAFD2">
      <w:numFmt w:val="bullet"/>
      <w:lvlText w:val="•"/>
      <w:lvlJc w:val="left"/>
      <w:pPr>
        <w:ind w:left="996" w:hanging="708"/>
      </w:pPr>
      <w:rPr>
        <w:rFonts w:hint="default"/>
        <w:lang w:val="pt-BR" w:eastAsia="en-US" w:bidi="ar-SA"/>
      </w:rPr>
    </w:lvl>
    <w:lvl w:ilvl="2" w:tplc="8B6C17B6">
      <w:numFmt w:val="bullet"/>
      <w:lvlText w:val="•"/>
      <w:lvlJc w:val="left"/>
      <w:pPr>
        <w:ind w:left="1892" w:hanging="708"/>
      </w:pPr>
      <w:rPr>
        <w:rFonts w:hint="default"/>
        <w:lang w:val="pt-BR" w:eastAsia="en-US" w:bidi="ar-SA"/>
      </w:rPr>
    </w:lvl>
    <w:lvl w:ilvl="3" w:tplc="E4AE6D14">
      <w:numFmt w:val="bullet"/>
      <w:lvlText w:val="•"/>
      <w:lvlJc w:val="left"/>
      <w:pPr>
        <w:ind w:left="2788" w:hanging="708"/>
      </w:pPr>
      <w:rPr>
        <w:rFonts w:hint="default"/>
        <w:lang w:val="pt-BR" w:eastAsia="en-US" w:bidi="ar-SA"/>
      </w:rPr>
    </w:lvl>
    <w:lvl w:ilvl="4" w:tplc="159AFC36">
      <w:numFmt w:val="bullet"/>
      <w:lvlText w:val="•"/>
      <w:lvlJc w:val="left"/>
      <w:pPr>
        <w:ind w:left="3684" w:hanging="708"/>
      </w:pPr>
      <w:rPr>
        <w:rFonts w:hint="default"/>
        <w:lang w:val="pt-BR" w:eastAsia="en-US" w:bidi="ar-SA"/>
      </w:rPr>
    </w:lvl>
    <w:lvl w:ilvl="5" w:tplc="2E36430A">
      <w:numFmt w:val="bullet"/>
      <w:lvlText w:val="•"/>
      <w:lvlJc w:val="left"/>
      <w:pPr>
        <w:ind w:left="4580" w:hanging="708"/>
      </w:pPr>
      <w:rPr>
        <w:rFonts w:hint="default"/>
        <w:lang w:val="pt-BR" w:eastAsia="en-US" w:bidi="ar-SA"/>
      </w:rPr>
    </w:lvl>
    <w:lvl w:ilvl="6" w:tplc="4A0E6DE4">
      <w:numFmt w:val="bullet"/>
      <w:lvlText w:val="•"/>
      <w:lvlJc w:val="left"/>
      <w:pPr>
        <w:ind w:left="5476" w:hanging="708"/>
      </w:pPr>
      <w:rPr>
        <w:rFonts w:hint="default"/>
        <w:lang w:val="pt-BR" w:eastAsia="en-US" w:bidi="ar-SA"/>
      </w:rPr>
    </w:lvl>
    <w:lvl w:ilvl="7" w:tplc="5C826344">
      <w:numFmt w:val="bullet"/>
      <w:lvlText w:val="•"/>
      <w:lvlJc w:val="left"/>
      <w:pPr>
        <w:ind w:left="6372" w:hanging="708"/>
      </w:pPr>
      <w:rPr>
        <w:rFonts w:hint="default"/>
        <w:lang w:val="pt-BR" w:eastAsia="en-US" w:bidi="ar-SA"/>
      </w:rPr>
    </w:lvl>
    <w:lvl w:ilvl="8" w:tplc="886E56F6">
      <w:numFmt w:val="bullet"/>
      <w:lvlText w:val="•"/>
      <w:lvlJc w:val="left"/>
      <w:pPr>
        <w:ind w:left="7268" w:hanging="708"/>
      </w:pPr>
      <w:rPr>
        <w:rFonts w:hint="default"/>
        <w:lang w:val="pt-BR" w:eastAsia="en-US" w:bidi="ar-SA"/>
      </w:rPr>
    </w:lvl>
  </w:abstractNum>
  <w:abstractNum w:abstractNumId="18" w15:restartNumberingAfterBreak="0">
    <w:nsid w:val="182452AE"/>
    <w:multiLevelType w:val="hybridMultilevel"/>
    <w:tmpl w:val="3BFA480E"/>
    <w:lvl w:ilvl="0" w:tplc="B70832F4">
      <w:start w:val="2"/>
      <w:numFmt w:val="lowerLetter"/>
      <w:lvlText w:val="(%1)"/>
      <w:lvlJc w:val="left"/>
      <w:pPr>
        <w:ind w:left="222" w:hanging="339"/>
      </w:pPr>
      <w:rPr>
        <w:rFonts w:ascii="Times New Roman" w:eastAsia="Times New Roman" w:hAnsi="Times New Roman" w:cs="Times New Roman" w:hint="default"/>
        <w:b w:val="0"/>
        <w:bCs w:val="0"/>
        <w:i w:val="0"/>
        <w:iCs w:val="0"/>
        <w:w w:val="99"/>
        <w:sz w:val="24"/>
        <w:szCs w:val="24"/>
        <w:lang w:val="pt-BR" w:eastAsia="en-US" w:bidi="ar-SA"/>
      </w:rPr>
    </w:lvl>
    <w:lvl w:ilvl="1" w:tplc="20EED4A6">
      <w:numFmt w:val="bullet"/>
      <w:lvlText w:val="•"/>
      <w:lvlJc w:val="left"/>
      <w:pPr>
        <w:ind w:left="1120" w:hanging="339"/>
      </w:pPr>
      <w:rPr>
        <w:rFonts w:hint="default"/>
        <w:lang w:val="pt-BR" w:eastAsia="en-US" w:bidi="ar-SA"/>
      </w:rPr>
    </w:lvl>
    <w:lvl w:ilvl="2" w:tplc="732CF350">
      <w:numFmt w:val="bullet"/>
      <w:lvlText w:val="•"/>
      <w:lvlJc w:val="left"/>
      <w:pPr>
        <w:ind w:left="2020" w:hanging="339"/>
      </w:pPr>
      <w:rPr>
        <w:rFonts w:hint="default"/>
        <w:lang w:val="pt-BR" w:eastAsia="en-US" w:bidi="ar-SA"/>
      </w:rPr>
    </w:lvl>
    <w:lvl w:ilvl="3" w:tplc="08CE1D82">
      <w:numFmt w:val="bullet"/>
      <w:lvlText w:val="•"/>
      <w:lvlJc w:val="left"/>
      <w:pPr>
        <w:ind w:left="2920" w:hanging="339"/>
      </w:pPr>
      <w:rPr>
        <w:rFonts w:hint="default"/>
        <w:lang w:val="pt-BR" w:eastAsia="en-US" w:bidi="ar-SA"/>
      </w:rPr>
    </w:lvl>
    <w:lvl w:ilvl="4" w:tplc="6330ACB8">
      <w:numFmt w:val="bullet"/>
      <w:lvlText w:val="•"/>
      <w:lvlJc w:val="left"/>
      <w:pPr>
        <w:ind w:left="3820" w:hanging="339"/>
      </w:pPr>
      <w:rPr>
        <w:rFonts w:hint="default"/>
        <w:lang w:val="pt-BR" w:eastAsia="en-US" w:bidi="ar-SA"/>
      </w:rPr>
    </w:lvl>
    <w:lvl w:ilvl="5" w:tplc="B9D265B0">
      <w:numFmt w:val="bullet"/>
      <w:lvlText w:val="•"/>
      <w:lvlJc w:val="left"/>
      <w:pPr>
        <w:ind w:left="4720" w:hanging="339"/>
      </w:pPr>
      <w:rPr>
        <w:rFonts w:hint="default"/>
        <w:lang w:val="pt-BR" w:eastAsia="en-US" w:bidi="ar-SA"/>
      </w:rPr>
    </w:lvl>
    <w:lvl w:ilvl="6" w:tplc="A08C99CA">
      <w:numFmt w:val="bullet"/>
      <w:lvlText w:val="•"/>
      <w:lvlJc w:val="left"/>
      <w:pPr>
        <w:ind w:left="5620" w:hanging="339"/>
      </w:pPr>
      <w:rPr>
        <w:rFonts w:hint="default"/>
        <w:lang w:val="pt-BR" w:eastAsia="en-US" w:bidi="ar-SA"/>
      </w:rPr>
    </w:lvl>
    <w:lvl w:ilvl="7" w:tplc="79AC2C86">
      <w:numFmt w:val="bullet"/>
      <w:lvlText w:val="•"/>
      <w:lvlJc w:val="left"/>
      <w:pPr>
        <w:ind w:left="6520" w:hanging="339"/>
      </w:pPr>
      <w:rPr>
        <w:rFonts w:hint="default"/>
        <w:lang w:val="pt-BR" w:eastAsia="en-US" w:bidi="ar-SA"/>
      </w:rPr>
    </w:lvl>
    <w:lvl w:ilvl="8" w:tplc="627A6B5C">
      <w:numFmt w:val="bullet"/>
      <w:lvlText w:val="•"/>
      <w:lvlJc w:val="left"/>
      <w:pPr>
        <w:ind w:left="7420" w:hanging="339"/>
      </w:pPr>
      <w:rPr>
        <w:rFonts w:hint="default"/>
        <w:lang w:val="pt-BR" w:eastAsia="en-US" w:bidi="ar-SA"/>
      </w:rPr>
    </w:lvl>
  </w:abstractNum>
  <w:abstractNum w:abstractNumId="19" w15:restartNumberingAfterBreak="0">
    <w:nsid w:val="1C9C4F25"/>
    <w:multiLevelType w:val="hybridMultilevel"/>
    <w:tmpl w:val="01660A80"/>
    <w:lvl w:ilvl="0" w:tplc="4A22692E">
      <w:start w:val="1"/>
      <w:numFmt w:val="decimal"/>
      <w:lvlText w:val="%1."/>
      <w:lvlJc w:val="left"/>
      <w:pPr>
        <w:ind w:left="222" w:hanging="708"/>
      </w:pPr>
      <w:rPr>
        <w:rFonts w:ascii="Times New Roman" w:eastAsia="Times New Roman" w:hAnsi="Times New Roman" w:cs="Times New Roman" w:hint="default"/>
        <w:b w:val="0"/>
        <w:bCs w:val="0"/>
        <w:i w:val="0"/>
        <w:iCs w:val="0"/>
        <w:w w:val="100"/>
        <w:sz w:val="24"/>
        <w:szCs w:val="24"/>
        <w:lang w:val="pt-BR" w:eastAsia="en-US" w:bidi="ar-SA"/>
      </w:rPr>
    </w:lvl>
    <w:lvl w:ilvl="1" w:tplc="7996F1D6">
      <w:numFmt w:val="bullet"/>
      <w:lvlText w:val="•"/>
      <w:lvlJc w:val="left"/>
      <w:pPr>
        <w:ind w:left="1120" w:hanging="708"/>
      </w:pPr>
      <w:rPr>
        <w:rFonts w:hint="default"/>
        <w:lang w:val="pt-BR" w:eastAsia="en-US" w:bidi="ar-SA"/>
      </w:rPr>
    </w:lvl>
    <w:lvl w:ilvl="2" w:tplc="4F922462">
      <w:numFmt w:val="bullet"/>
      <w:lvlText w:val="•"/>
      <w:lvlJc w:val="left"/>
      <w:pPr>
        <w:ind w:left="2020" w:hanging="708"/>
      </w:pPr>
      <w:rPr>
        <w:rFonts w:hint="default"/>
        <w:lang w:val="pt-BR" w:eastAsia="en-US" w:bidi="ar-SA"/>
      </w:rPr>
    </w:lvl>
    <w:lvl w:ilvl="3" w:tplc="4A18F0AE">
      <w:numFmt w:val="bullet"/>
      <w:lvlText w:val="•"/>
      <w:lvlJc w:val="left"/>
      <w:pPr>
        <w:ind w:left="2920" w:hanging="708"/>
      </w:pPr>
      <w:rPr>
        <w:rFonts w:hint="default"/>
        <w:lang w:val="pt-BR" w:eastAsia="en-US" w:bidi="ar-SA"/>
      </w:rPr>
    </w:lvl>
    <w:lvl w:ilvl="4" w:tplc="DDC21D02">
      <w:numFmt w:val="bullet"/>
      <w:lvlText w:val="•"/>
      <w:lvlJc w:val="left"/>
      <w:pPr>
        <w:ind w:left="3820" w:hanging="708"/>
      </w:pPr>
      <w:rPr>
        <w:rFonts w:hint="default"/>
        <w:lang w:val="pt-BR" w:eastAsia="en-US" w:bidi="ar-SA"/>
      </w:rPr>
    </w:lvl>
    <w:lvl w:ilvl="5" w:tplc="43CA206A">
      <w:numFmt w:val="bullet"/>
      <w:lvlText w:val="•"/>
      <w:lvlJc w:val="left"/>
      <w:pPr>
        <w:ind w:left="4720" w:hanging="708"/>
      </w:pPr>
      <w:rPr>
        <w:rFonts w:hint="default"/>
        <w:lang w:val="pt-BR" w:eastAsia="en-US" w:bidi="ar-SA"/>
      </w:rPr>
    </w:lvl>
    <w:lvl w:ilvl="6" w:tplc="E334E93E">
      <w:numFmt w:val="bullet"/>
      <w:lvlText w:val="•"/>
      <w:lvlJc w:val="left"/>
      <w:pPr>
        <w:ind w:left="5620" w:hanging="708"/>
      </w:pPr>
      <w:rPr>
        <w:rFonts w:hint="default"/>
        <w:lang w:val="pt-BR" w:eastAsia="en-US" w:bidi="ar-SA"/>
      </w:rPr>
    </w:lvl>
    <w:lvl w:ilvl="7" w:tplc="A72CC94A">
      <w:numFmt w:val="bullet"/>
      <w:lvlText w:val="•"/>
      <w:lvlJc w:val="left"/>
      <w:pPr>
        <w:ind w:left="6520" w:hanging="708"/>
      </w:pPr>
      <w:rPr>
        <w:rFonts w:hint="default"/>
        <w:lang w:val="pt-BR" w:eastAsia="en-US" w:bidi="ar-SA"/>
      </w:rPr>
    </w:lvl>
    <w:lvl w:ilvl="8" w:tplc="938A9D54">
      <w:numFmt w:val="bullet"/>
      <w:lvlText w:val="•"/>
      <w:lvlJc w:val="left"/>
      <w:pPr>
        <w:ind w:left="7420" w:hanging="708"/>
      </w:pPr>
      <w:rPr>
        <w:rFonts w:hint="default"/>
        <w:lang w:val="pt-BR" w:eastAsia="en-US" w:bidi="ar-SA"/>
      </w:rPr>
    </w:lvl>
  </w:abstractNum>
  <w:abstractNum w:abstractNumId="20" w15:restartNumberingAfterBreak="0">
    <w:nsid w:val="1CAC244D"/>
    <w:multiLevelType w:val="hybridMultilevel"/>
    <w:tmpl w:val="B52282C0"/>
    <w:lvl w:ilvl="0" w:tplc="84483634">
      <w:start w:val="2"/>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D78EF5CE">
      <w:start w:val="1"/>
      <w:numFmt w:val="lowerLetter"/>
      <w:lvlText w:val="(%2)"/>
      <w:lvlJc w:val="left"/>
      <w:pPr>
        <w:ind w:left="642" w:hanging="379"/>
      </w:pPr>
      <w:rPr>
        <w:rFonts w:ascii="Times New Roman" w:eastAsia="Times New Roman" w:hAnsi="Times New Roman" w:cs="Times New Roman" w:hint="default"/>
        <w:b w:val="0"/>
        <w:bCs w:val="0"/>
        <w:i w:val="0"/>
        <w:iCs w:val="0"/>
        <w:spacing w:val="-2"/>
        <w:w w:val="99"/>
        <w:sz w:val="24"/>
        <w:szCs w:val="24"/>
        <w:lang w:val="pt-BR" w:eastAsia="en-US" w:bidi="ar-SA"/>
      </w:rPr>
    </w:lvl>
    <w:lvl w:ilvl="2" w:tplc="AA889D30">
      <w:numFmt w:val="bullet"/>
      <w:lvlText w:val="•"/>
      <w:lvlJc w:val="left"/>
      <w:pPr>
        <w:ind w:left="1575" w:hanging="379"/>
      </w:pPr>
      <w:rPr>
        <w:rFonts w:hint="default"/>
        <w:lang w:val="pt-BR" w:eastAsia="en-US" w:bidi="ar-SA"/>
      </w:rPr>
    </w:lvl>
    <w:lvl w:ilvl="3" w:tplc="B65210A0">
      <w:numFmt w:val="bullet"/>
      <w:lvlText w:val="•"/>
      <w:lvlJc w:val="left"/>
      <w:pPr>
        <w:ind w:left="2511" w:hanging="379"/>
      </w:pPr>
      <w:rPr>
        <w:rFonts w:hint="default"/>
        <w:lang w:val="pt-BR" w:eastAsia="en-US" w:bidi="ar-SA"/>
      </w:rPr>
    </w:lvl>
    <w:lvl w:ilvl="4" w:tplc="3EE085F6">
      <w:numFmt w:val="bullet"/>
      <w:lvlText w:val="•"/>
      <w:lvlJc w:val="left"/>
      <w:pPr>
        <w:ind w:left="3446" w:hanging="379"/>
      </w:pPr>
      <w:rPr>
        <w:rFonts w:hint="default"/>
        <w:lang w:val="pt-BR" w:eastAsia="en-US" w:bidi="ar-SA"/>
      </w:rPr>
    </w:lvl>
    <w:lvl w:ilvl="5" w:tplc="9AFE6D52">
      <w:numFmt w:val="bullet"/>
      <w:lvlText w:val="•"/>
      <w:lvlJc w:val="left"/>
      <w:pPr>
        <w:ind w:left="4382" w:hanging="379"/>
      </w:pPr>
      <w:rPr>
        <w:rFonts w:hint="default"/>
        <w:lang w:val="pt-BR" w:eastAsia="en-US" w:bidi="ar-SA"/>
      </w:rPr>
    </w:lvl>
    <w:lvl w:ilvl="6" w:tplc="450AF0E0">
      <w:numFmt w:val="bullet"/>
      <w:lvlText w:val="•"/>
      <w:lvlJc w:val="left"/>
      <w:pPr>
        <w:ind w:left="5317" w:hanging="379"/>
      </w:pPr>
      <w:rPr>
        <w:rFonts w:hint="default"/>
        <w:lang w:val="pt-BR" w:eastAsia="en-US" w:bidi="ar-SA"/>
      </w:rPr>
    </w:lvl>
    <w:lvl w:ilvl="7" w:tplc="7924FDAA">
      <w:numFmt w:val="bullet"/>
      <w:lvlText w:val="•"/>
      <w:lvlJc w:val="left"/>
      <w:pPr>
        <w:ind w:left="6253" w:hanging="379"/>
      </w:pPr>
      <w:rPr>
        <w:rFonts w:hint="default"/>
        <w:lang w:val="pt-BR" w:eastAsia="en-US" w:bidi="ar-SA"/>
      </w:rPr>
    </w:lvl>
    <w:lvl w:ilvl="8" w:tplc="F36E4404">
      <w:numFmt w:val="bullet"/>
      <w:lvlText w:val="•"/>
      <w:lvlJc w:val="left"/>
      <w:pPr>
        <w:ind w:left="7188" w:hanging="379"/>
      </w:pPr>
      <w:rPr>
        <w:rFonts w:hint="default"/>
        <w:lang w:val="pt-BR" w:eastAsia="en-US" w:bidi="ar-SA"/>
      </w:rPr>
    </w:lvl>
  </w:abstractNum>
  <w:abstractNum w:abstractNumId="21" w15:restartNumberingAfterBreak="0">
    <w:nsid w:val="1D0A3B5A"/>
    <w:multiLevelType w:val="hybridMultilevel"/>
    <w:tmpl w:val="361E712C"/>
    <w:lvl w:ilvl="0" w:tplc="1EDC3DC8">
      <w:start w:val="1"/>
      <w:numFmt w:val="lowerLetter"/>
      <w:lvlText w:val="(%1)"/>
      <w:lvlJc w:val="left"/>
      <w:pPr>
        <w:ind w:left="102" w:hanging="336"/>
        <w:jc w:val="right"/>
      </w:pPr>
      <w:rPr>
        <w:rFonts w:ascii="Times New Roman" w:eastAsia="Times New Roman" w:hAnsi="Times New Roman" w:cs="Times New Roman" w:hint="default"/>
        <w:b w:val="0"/>
        <w:bCs w:val="0"/>
        <w:i w:val="0"/>
        <w:iCs w:val="0"/>
        <w:spacing w:val="-2"/>
        <w:w w:val="99"/>
        <w:sz w:val="24"/>
        <w:szCs w:val="24"/>
        <w:lang w:val="pt-BR" w:eastAsia="en-US" w:bidi="ar-SA"/>
      </w:rPr>
    </w:lvl>
    <w:lvl w:ilvl="1" w:tplc="811CA436">
      <w:start w:val="1"/>
      <w:numFmt w:val="lowerLetter"/>
      <w:lvlText w:val="(%2)"/>
      <w:lvlJc w:val="left"/>
      <w:pPr>
        <w:ind w:left="1182" w:hanging="327"/>
      </w:pPr>
      <w:rPr>
        <w:rFonts w:ascii="Times New Roman" w:eastAsia="Times New Roman" w:hAnsi="Times New Roman" w:cs="Times New Roman" w:hint="default"/>
        <w:b w:val="0"/>
        <w:bCs w:val="0"/>
        <w:i w:val="0"/>
        <w:iCs w:val="0"/>
        <w:spacing w:val="-2"/>
        <w:w w:val="99"/>
        <w:sz w:val="24"/>
        <w:szCs w:val="24"/>
        <w:lang w:val="pt-BR" w:eastAsia="en-US" w:bidi="ar-SA"/>
      </w:rPr>
    </w:lvl>
    <w:lvl w:ilvl="2" w:tplc="4DCE3EC0">
      <w:numFmt w:val="bullet"/>
      <w:lvlText w:val="•"/>
      <w:lvlJc w:val="left"/>
      <w:pPr>
        <w:ind w:left="2055" w:hanging="327"/>
      </w:pPr>
      <w:rPr>
        <w:rFonts w:hint="default"/>
        <w:lang w:val="pt-BR" w:eastAsia="en-US" w:bidi="ar-SA"/>
      </w:rPr>
    </w:lvl>
    <w:lvl w:ilvl="3" w:tplc="BAF83046">
      <w:numFmt w:val="bullet"/>
      <w:lvlText w:val="•"/>
      <w:lvlJc w:val="left"/>
      <w:pPr>
        <w:ind w:left="2931" w:hanging="327"/>
      </w:pPr>
      <w:rPr>
        <w:rFonts w:hint="default"/>
        <w:lang w:val="pt-BR" w:eastAsia="en-US" w:bidi="ar-SA"/>
      </w:rPr>
    </w:lvl>
    <w:lvl w:ilvl="4" w:tplc="50C2ABF0">
      <w:numFmt w:val="bullet"/>
      <w:lvlText w:val="•"/>
      <w:lvlJc w:val="left"/>
      <w:pPr>
        <w:ind w:left="3806" w:hanging="327"/>
      </w:pPr>
      <w:rPr>
        <w:rFonts w:hint="default"/>
        <w:lang w:val="pt-BR" w:eastAsia="en-US" w:bidi="ar-SA"/>
      </w:rPr>
    </w:lvl>
    <w:lvl w:ilvl="5" w:tplc="8BA23AB2">
      <w:numFmt w:val="bullet"/>
      <w:lvlText w:val="•"/>
      <w:lvlJc w:val="left"/>
      <w:pPr>
        <w:ind w:left="4682" w:hanging="327"/>
      </w:pPr>
      <w:rPr>
        <w:rFonts w:hint="default"/>
        <w:lang w:val="pt-BR" w:eastAsia="en-US" w:bidi="ar-SA"/>
      </w:rPr>
    </w:lvl>
    <w:lvl w:ilvl="6" w:tplc="17C891F2">
      <w:numFmt w:val="bullet"/>
      <w:lvlText w:val="•"/>
      <w:lvlJc w:val="left"/>
      <w:pPr>
        <w:ind w:left="5557" w:hanging="327"/>
      </w:pPr>
      <w:rPr>
        <w:rFonts w:hint="default"/>
        <w:lang w:val="pt-BR" w:eastAsia="en-US" w:bidi="ar-SA"/>
      </w:rPr>
    </w:lvl>
    <w:lvl w:ilvl="7" w:tplc="6B7E2ED2">
      <w:numFmt w:val="bullet"/>
      <w:lvlText w:val="•"/>
      <w:lvlJc w:val="left"/>
      <w:pPr>
        <w:ind w:left="6433" w:hanging="327"/>
      </w:pPr>
      <w:rPr>
        <w:rFonts w:hint="default"/>
        <w:lang w:val="pt-BR" w:eastAsia="en-US" w:bidi="ar-SA"/>
      </w:rPr>
    </w:lvl>
    <w:lvl w:ilvl="8" w:tplc="BB1A5BD8">
      <w:numFmt w:val="bullet"/>
      <w:lvlText w:val="•"/>
      <w:lvlJc w:val="left"/>
      <w:pPr>
        <w:ind w:left="7308" w:hanging="327"/>
      </w:pPr>
      <w:rPr>
        <w:rFonts w:hint="default"/>
        <w:lang w:val="pt-BR" w:eastAsia="en-US" w:bidi="ar-SA"/>
      </w:rPr>
    </w:lvl>
  </w:abstractNum>
  <w:abstractNum w:abstractNumId="22" w15:restartNumberingAfterBreak="0">
    <w:nsid w:val="1EA97DD3"/>
    <w:multiLevelType w:val="hybridMultilevel"/>
    <w:tmpl w:val="CCA21D7A"/>
    <w:lvl w:ilvl="0" w:tplc="1152D980">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B80AF42A">
      <w:numFmt w:val="bullet"/>
      <w:lvlText w:val="•"/>
      <w:lvlJc w:val="left"/>
      <w:pPr>
        <w:ind w:left="996" w:hanging="708"/>
      </w:pPr>
      <w:rPr>
        <w:rFonts w:hint="default"/>
        <w:lang w:val="pt-BR" w:eastAsia="en-US" w:bidi="ar-SA"/>
      </w:rPr>
    </w:lvl>
    <w:lvl w:ilvl="2" w:tplc="92C05C58">
      <w:numFmt w:val="bullet"/>
      <w:lvlText w:val="•"/>
      <w:lvlJc w:val="left"/>
      <w:pPr>
        <w:ind w:left="1892" w:hanging="708"/>
      </w:pPr>
      <w:rPr>
        <w:rFonts w:hint="default"/>
        <w:lang w:val="pt-BR" w:eastAsia="en-US" w:bidi="ar-SA"/>
      </w:rPr>
    </w:lvl>
    <w:lvl w:ilvl="3" w:tplc="F13C2DA6">
      <w:numFmt w:val="bullet"/>
      <w:lvlText w:val="•"/>
      <w:lvlJc w:val="left"/>
      <w:pPr>
        <w:ind w:left="2788" w:hanging="708"/>
      </w:pPr>
      <w:rPr>
        <w:rFonts w:hint="default"/>
        <w:lang w:val="pt-BR" w:eastAsia="en-US" w:bidi="ar-SA"/>
      </w:rPr>
    </w:lvl>
    <w:lvl w:ilvl="4" w:tplc="AC7A5174">
      <w:numFmt w:val="bullet"/>
      <w:lvlText w:val="•"/>
      <w:lvlJc w:val="left"/>
      <w:pPr>
        <w:ind w:left="3684" w:hanging="708"/>
      </w:pPr>
      <w:rPr>
        <w:rFonts w:hint="default"/>
        <w:lang w:val="pt-BR" w:eastAsia="en-US" w:bidi="ar-SA"/>
      </w:rPr>
    </w:lvl>
    <w:lvl w:ilvl="5" w:tplc="4296D27C">
      <w:numFmt w:val="bullet"/>
      <w:lvlText w:val="•"/>
      <w:lvlJc w:val="left"/>
      <w:pPr>
        <w:ind w:left="4580" w:hanging="708"/>
      </w:pPr>
      <w:rPr>
        <w:rFonts w:hint="default"/>
        <w:lang w:val="pt-BR" w:eastAsia="en-US" w:bidi="ar-SA"/>
      </w:rPr>
    </w:lvl>
    <w:lvl w:ilvl="6" w:tplc="71380628">
      <w:numFmt w:val="bullet"/>
      <w:lvlText w:val="•"/>
      <w:lvlJc w:val="left"/>
      <w:pPr>
        <w:ind w:left="5476" w:hanging="708"/>
      </w:pPr>
      <w:rPr>
        <w:rFonts w:hint="default"/>
        <w:lang w:val="pt-BR" w:eastAsia="en-US" w:bidi="ar-SA"/>
      </w:rPr>
    </w:lvl>
    <w:lvl w:ilvl="7" w:tplc="7F96279E">
      <w:numFmt w:val="bullet"/>
      <w:lvlText w:val="•"/>
      <w:lvlJc w:val="left"/>
      <w:pPr>
        <w:ind w:left="6372" w:hanging="708"/>
      </w:pPr>
      <w:rPr>
        <w:rFonts w:hint="default"/>
        <w:lang w:val="pt-BR" w:eastAsia="en-US" w:bidi="ar-SA"/>
      </w:rPr>
    </w:lvl>
    <w:lvl w:ilvl="8" w:tplc="42FAD276">
      <w:numFmt w:val="bullet"/>
      <w:lvlText w:val="•"/>
      <w:lvlJc w:val="left"/>
      <w:pPr>
        <w:ind w:left="7268" w:hanging="708"/>
      </w:pPr>
      <w:rPr>
        <w:rFonts w:hint="default"/>
        <w:lang w:val="pt-BR" w:eastAsia="en-US" w:bidi="ar-SA"/>
      </w:rPr>
    </w:lvl>
  </w:abstractNum>
  <w:abstractNum w:abstractNumId="23" w15:restartNumberingAfterBreak="0">
    <w:nsid w:val="1F4D7C3F"/>
    <w:multiLevelType w:val="hybridMultilevel"/>
    <w:tmpl w:val="C1A0B546"/>
    <w:lvl w:ilvl="0" w:tplc="D2D279BC">
      <w:start w:val="2"/>
      <w:numFmt w:val="lowerLetter"/>
      <w:lvlText w:val="(%1)"/>
      <w:lvlJc w:val="left"/>
      <w:pPr>
        <w:ind w:left="822" w:hanging="363"/>
      </w:pPr>
      <w:rPr>
        <w:rFonts w:ascii="Times New Roman" w:eastAsia="Times New Roman" w:hAnsi="Times New Roman" w:cs="Times New Roman" w:hint="default"/>
        <w:b w:val="0"/>
        <w:bCs w:val="0"/>
        <w:i w:val="0"/>
        <w:iCs w:val="0"/>
        <w:w w:val="99"/>
        <w:sz w:val="24"/>
        <w:szCs w:val="24"/>
        <w:lang w:val="pt-BR" w:eastAsia="en-US" w:bidi="ar-SA"/>
      </w:rPr>
    </w:lvl>
    <w:lvl w:ilvl="1" w:tplc="BA68D554">
      <w:numFmt w:val="bullet"/>
      <w:lvlText w:val="•"/>
      <w:lvlJc w:val="left"/>
      <w:pPr>
        <w:ind w:left="1644" w:hanging="363"/>
      </w:pPr>
      <w:rPr>
        <w:rFonts w:hint="default"/>
        <w:lang w:val="pt-BR" w:eastAsia="en-US" w:bidi="ar-SA"/>
      </w:rPr>
    </w:lvl>
    <w:lvl w:ilvl="2" w:tplc="B4CC9232">
      <w:numFmt w:val="bullet"/>
      <w:lvlText w:val="•"/>
      <w:lvlJc w:val="left"/>
      <w:pPr>
        <w:ind w:left="2468" w:hanging="363"/>
      </w:pPr>
      <w:rPr>
        <w:rFonts w:hint="default"/>
        <w:lang w:val="pt-BR" w:eastAsia="en-US" w:bidi="ar-SA"/>
      </w:rPr>
    </w:lvl>
    <w:lvl w:ilvl="3" w:tplc="34EA7BBA">
      <w:numFmt w:val="bullet"/>
      <w:lvlText w:val="•"/>
      <w:lvlJc w:val="left"/>
      <w:pPr>
        <w:ind w:left="3292" w:hanging="363"/>
      </w:pPr>
      <w:rPr>
        <w:rFonts w:hint="default"/>
        <w:lang w:val="pt-BR" w:eastAsia="en-US" w:bidi="ar-SA"/>
      </w:rPr>
    </w:lvl>
    <w:lvl w:ilvl="4" w:tplc="101EA162">
      <w:numFmt w:val="bullet"/>
      <w:lvlText w:val="•"/>
      <w:lvlJc w:val="left"/>
      <w:pPr>
        <w:ind w:left="4116" w:hanging="363"/>
      </w:pPr>
      <w:rPr>
        <w:rFonts w:hint="default"/>
        <w:lang w:val="pt-BR" w:eastAsia="en-US" w:bidi="ar-SA"/>
      </w:rPr>
    </w:lvl>
    <w:lvl w:ilvl="5" w:tplc="9588EC8C">
      <w:numFmt w:val="bullet"/>
      <w:lvlText w:val="•"/>
      <w:lvlJc w:val="left"/>
      <w:pPr>
        <w:ind w:left="4940" w:hanging="363"/>
      </w:pPr>
      <w:rPr>
        <w:rFonts w:hint="default"/>
        <w:lang w:val="pt-BR" w:eastAsia="en-US" w:bidi="ar-SA"/>
      </w:rPr>
    </w:lvl>
    <w:lvl w:ilvl="6" w:tplc="5F64E9E2">
      <w:numFmt w:val="bullet"/>
      <w:lvlText w:val="•"/>
      <w:lvlJc w:val="left"/>
      <w:pPr>
        <w:ind w:left="5764" w:hanging="363"/>
      </w:pPr>
      <w:rPr>
        <w:rFonts w:hint="default"/>
        <w:lang w:val="pt-BR" w:eastAsia="en-US" w:bidi="ar-SA"/>
      </w:rPr>
    </w:lvl>
    <w:lvl w:ilvl="7" w:tplc="4B58F13A">
      <w:numFmt w:val="bullet"/>
      <w:lvlText w:val="•"/>
      <w:lvlJc w:val="left"/>
      <w:pPr>
        <w:ind w:left="6588" w:hanging="363"/>
      </w:pPr>
      <w:rPr>
        <w:rFonts w:hint="default"/>
        <w:lang w:val="pt-BR" w:eastAsia="en-US" w:bidi="ar-SA"/>
      </w:rPr>
    </w:lvl>
    <w:lvl w:ilvl="8" w:tplc="C53E7456">
      <w:numFmt w:val="bullet"/>
      <w:lvlText w:val="•"/>
      <w:lvlJc w:val="left"/>
      <w:pPr>
        <w:ind w:left="7412" w:hanging="363"/>
      </w:pPr>
      <w:rPr>
        <w:rFonts w:hint="default"/>
        <w:lang w:val="pt-BR" w:eastAsia="en-US" w:bidi="ar-SA"/>
      </w:rPr>
    </w:lvl>
  </w:abstractNum>
  <w:abstractNum w:abstractNumId="24" w15:restartNumberingAfterBreak="0">
    <w:nsid w:val="1F831DD1"/>
    <w:multiLevelType w:val="hybridMultilevel"/>
    <w:tmpl w:val="02409E2A"/>
    <w:lvl w:ilvl="0" w:tplc="4606C9B8">
      <w:start w:val="4"/>
      <w:numFmt w:val="decimal"/>
      <w:lvlText w:val="%1."/>
      <w:lvlJc w:val="left"/>
      <w:pPr>
        <w:ind w:left="822" w:hanging="720"/>
      </w:pPr>
      <w:rPr>
        <w:rFonts w:ascii="Times New Roman" w:eastAsia="Times New Roman" w:hAnsi="Times New Roman" w:cs="Times New Roman" w:hint="default"/>
        <w:b w:val="0"/>
        <w:bCs w:val="0"/>
        <w:i w:val="0"/>
        <w:iCs w:val="0"/>
        <w:w w:val="100"/>
        <w:sz w:val="24"/>
        <w:szCs w:val="24"/>
        <w:lang w:val="pt-BR" w:eastAsia="en-US" w:bidi="ar-SA"/>
      </w:rPr>
    </w:lvl>
    <w:lvl w:ilvl="1" w:tplc="2B90806A">
      <w:start w:val="1"/>
      <w:numFmt w:val="lowerRoman"/>
      <w:lvlText w:val="(%2)"/>
      <w:lvlJc w:val="left"/>
      <w:pPr>
        <w:ind w:left="1182" w:hanging="336"/>
      </w:pPr>
      <w:rPr>
        <w:rFonts w:ascii="Times New Roman" w:eastAsia="Times New Roman" w:hAnsi="Times New Roman" w:cs="Times New Roman" w:hint="default"/>
        <w:b w:val="0"/>
        <w:bCs w:val="0"/>
        <w:i w:val="0"/>
        <w:iCs w:val="0"/>
        <w:w w:val="99"/>
        <w:sz w:val="24"/>
        <w:szCs w:val="24"/>
        <w:lang w:val="pt-BR" w:eastAsia="en-US" w:bidi="ar-SA"/>
      </w:rPr>
    </w:lvl>
    <w:lvl w:ilvl="2" w:tplc="0B307FDC">
      <w:numFmt w:val="bullet"/>
      <w:lvlText w:val="•"/>
      <w:lvlJc w:val="left"/>
      <w:pPr>
        <w:ind w:left="2055" w:hanging="336"/>
      </w:pPr>
      <w:rPr>
        <w:rFonts w:hint="default"/>
        <w:lang w:val="pt-BR" w:eastAsia="en-US" w:bidi="ar-SA"/>
      </w:rPr>
    </w:lvl>
    <w:lvl w:ilvl="3" w:tplc="B844C254">
      <w:numFmt w:val="bullet"/>
      <w:lvlText w:val="•"/>
      <w:lvlJc w:val="left"/>
      <w:pPr>
        <w:ind w:left="2931" w:hanging="336"/>
      </w:pPr>
      <w:rPr>
        <w:rFonts w:hint="default"/>
        <w:lang w:val="pt-BR" w:eastAsia="en-US" w:bidi="ar-SA"/>
      </w:rPr>
    </w:lvl>
    <w:lvl w:ilvl="4" w:tplc="9D0071FE">
      <w:numFmt w:val="bullet"/>
      <w:lvlText w:val="•"/>
      <w:lvlJc w:val="left"/>
      <w:pPr>
        <w:ind w:left="3806" w:hanging="336"/>
      </w:pPr>
      <w:rPr>
        <w:rFonts w:hint="default"/>
        <w:lang w:val="pt-BR" w:eastAsia="en-US" w:bidi="ar-SA"/>
      </w:rPr>
    </w:lvl>
    <w:lvl w:ilvl="5" w:tplc="BDD63A72">
      <w:numFmt w:val="bullet"/>
      <w:lvlText w:val="•"/>
      <w:lvlJc w:val="left"/>
      <w:pPr>
        <w:ind w:left="4682" w:hanging="336"/>
      </w:pPr>
      <w:rPr>
        <w:rFonts w:hint="default"/>
        <w:lang w:val="pt-BR" w:eastAsia="en-US" w:bidi="ar-SA"/>
      </w:rPr>
    </w:lvl>
    <w:lvl w:ilvl="6" w:tplc="9C562326">
      <w:numFmt w:val="bullet"/>
      <w:lvlText w:val="•"/>
      <w:lvlJc w:val="left"/>
      <w:pPr>
        <w:ind w:left="5557" w:hanging="336"/>
      </w:pPr>
      <w:rPr>
        <w:rFonts w:hint="default"/>
        <w:lang w:val="pt-BR" w:eastAsia="en-US" w:bidi="ar-SA"/>
      </w:rPr>
    </w:lvl>
    <w:lvl w:ilvl="7" w:tplc="C7209DD6">
      <w:numFmt w:val="bullet"/>
      <w:lvlText w:val="•"/>
      <w:lvlJc w:val="left"/>
      <w:pPr>
        <w:ind w:left="6433" w:hanging="336"/>
      </w:pPr>
      <w:rPr>
        <w:rFonts w:hint="default"/>
        <w:lang w:val="pt-BR" w:eastAsia="en-US" w:bidi="ar-SA"/>
      </w:rPr>
    </w:lvl>
    <w:lvl w:ilvl="8" w:tplc="932698C6">
      <w:numFmt w:val="bullet"/>
      <w:lvlText w:val="•"/>
      <w:lvlJc w:val="left"/>
      <w:pPr>
        <w:ind w:left="7308" w:hanging="336"/>
      </w:pPr>
      <w:rPr>
        <w:rFonts w:hint="default"/>
        <w:lang w:val="pt-BR" w:eastAsia="en-US" w:bidi="ar-SA"/>
      </w:rPr>
    </w:lvl>
  </w:abstractNum>
  <w:abstractNum w:abstractNumId="25" w15:restartNumberingAfterBreak="0">
    <w:nsid w:val="210622D8"/>
    <w:multiLevelType w:val="hybridMultilevel"/>
    <w:tmpl w:val="E8D8298C"/>
    <w:lvl w:ilvl="0" w:tplc="41E438D4">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7AB8468A">
      <w:numFmt w:val="bullet"/>
      <w:lvlText w:val="•"/>
      <w:lvlJc w:val="left"/>
      <w:pPr>
        <w:ind w:left="996" w:hanging="708"/>
      </w:pPr>
      <w:rPr>
        <w:rFonts w:hint="default"/>
        <w:lang w:val="pt-BR" w:eastAsia="en-US" w:bidi="ar-SA"/>
      </w:rPr>
    </w:lvl>
    <w:lvl w:ilvl="2" w:tplc="90849D4A">
      <w:numFmt w:val="bullet"/>
      <w:lvlText w:val="•"/>
      <w:lvlJc w:val="left"/>
      <w:pPr>
        <w:ind w:left="1892" w:hanging="708"/>
      </w:pPr>
      <w:rPr>
        <w:rFonts w:hint="default"/>
        <w:lang w:val="pt-BR" w:eastAsia="en-US" w:bidi="ar-SA"/>
      </w:rPr>
    </w:lvl>
    <w:lvl w:ilvl="3" w:tplc="B1B61FE6">
      <w:numFmt w:val="bullet"/>
      <w:lvlText w:val="•"/>
      <w:lvlJc w:val="left"/>
      <w:pPr>
        <w:ind w:left="2788" w:hanging="708"/>
      </w:pPr>
      <w:rPr>
        <w:rFonts w:hint="default"/>
        <w:lang w:val="pt-BR" w:eastAsia="en-US" w:bidi="ar-SA"/>
      </w:rPr>
    </w:lvl>
    <w:lvl w:ilvl="4" w:tplc="172AEBF8">
      <w:numFmt w:val="bullet"/>
      <w:lvlText w:val="•"/>
      <w:lvlJc w:val="left"/>
      <w:pPr>
        <w:ind w:left="3684" w:hanging="708"/>
      </w:pPr>
      <w:rPr>
        <w:rFonts w:hint="default"/>
        <w:lang w:val="pt-BR" w:eastAsia="en-US" w:bidi="ar-SA"/>
      </w:rPr>
    </w:lvl>
    <w:lvl w:ilvl="5" w:tplc="2548B682">
      <w:numFmt w:val="bullet"/>
      <w:lvlText w:val="•"/>
      <w:lvlJc w:val="left"/>
      <w:pPr>
        <w:ind w:left="4580" w:hanging="708"/>
      </w:pPr>
      <w:rPr>
        <w:rFonts w:hint="default"/>
        <w:lang w:val="pt-BR" w:eastAsia="en-US" w:bidi="ar-SA"/>
      </w:rPr>
    </w:lvl>
    <w:lvl w:ilvl="6" w:tplc="06E86CAA">
      <w:numFmt w:val="bullet"/>
      <w:lvlText w:val="•"/>
      <w:lvlJc w:val="left"/>
      <w:pPr>
        <w:ind w:left="5476" w:hanging="708"/>
      </w:pPr>
      <w:rPr>
        <w:rFonts w:hint="default"/>
        <w:lang w:val="pt-BR" w:eastAsia="en-US" w:bidi="ar-SA"/>
      </w:rPr>
    </w:lvl>
    <w:lvl w:ilvl="7" w:tplc="232E0528">
      <w:numFmt w:val="bullet"/>
      <w:lvlText w:val="•"/>
      <w:lvlJc w:val="left"/>
      <w:pPr>
        <w:ind w:left="6372" w:hanging="708"/>
      </w:pPr>
      <w:rPr>
        <w:rFonts w:hint="default"/>
        <w:lang w:val="pt-BR" w:eastAsia="en-US" w:bidi="ar-SA"/>
      </w:rPr>
    </w:lvl>
    <w:lvl w:ilvl="8" w:tplc="43C44A32">
      <w:numFmt w:val="bullet"/>
      <w:lvlText w:val="•"/>
      <w:lvlJc w:val="left"/>
      <w:pPr>
        <w:ind w:left="7268" w:hanging="708"/>
      </w:pPr>
      <w:rPr>
        <w:rFonts w:hint="default"/>
        <w:lang w:val="pt-BR" w:eastAsia="en-US" w:bidi="ar-SA"/>
      </w:rPr>
    </w:lvl>
  </w:abstractNum>
  <w:abstractNum w:abstractNumId="26" w15:restartNumberingAfterBreak="0">
    <w:nsid w:val="221236B7"/>
    <w:multiLevelType w:val="hybridMultilevel"/>
    <w:tmpl w:val="832808C8"/>
    <w:lvl w:ilvl="0" w:tplc="4DAC5668">
      <w:start w:val="1"/>
      <w:numFmt w:val="lowerLetter"/>
      <w:lvlText w:val="(%1)"/>
      <w:lvlJc w:val="left"/>
      <w:pPr>
        <w:ind w:left="1518" w:hanging="325"/>
      </w:pPr>
      <w:rPr>
        <w:rFonts w:ascii="Times New Roman" w:eastAsia="Times New Roman" w:hAnsi="Times New Roman" w:cs="Times New Roman" w:hint="default"/>
        <w:b w:val="0"/>
        <w:bCs w:val="0"/>
        <w:i w:val="0"/>
        <w:iCs w:val="0"/>
        <w:spacing w:val="-2"/>
        <w:w w:val="99"/>
        <w:sz w:val="24"/>
        <w:szCs w:val="24"/>
        <w:lang w:val="pt-BR" w:eastAsia="en-US" w:bidi="ar-SA"/>
      </w:rPr>
    </w:lvl>
    <w:lvl w:ilvl="1" w:tplc="6CBE41BC">
      <w:numFmt w:val="bullet"/>
      <w:lvlText w:val="•"/>
      <w:lvlJc w:val="left"/>
      <w:pPr>
        <w:ind w:left="2274" w:hanging="325"/>
      </w:pPr>
      <w:rPr>
        <w:rFonts w:hint="default"/>
        <w:lang w:val="pt-BR" w:eastAsia="en-US" w:bidi="ar-SA"/>
      </w:rPr>
    </w:lvl>
    <w:lvl w:ilvl="2" w:tplc="29309C38">
      <w:numFmt w:val="bullet"/>
      <w:lvlText w:val="•"/>
      <w:lvlJc w:val="left"/>
      <w:pPr>
        <w:ind w:left="3028" w:hanging="325"/>
      </w:pPr>
      <w:rPr>
        <w:rFonts w:hint="default"/>
        <w:lang w:val="pt-BR" w:eastAsia="en-US" w:bidi="ar-SA"/>
      </w:rPr>
    </w:lvl>
    <w:lvl w:ilvl="3" w:tplc="87600206">
      <w:numFmt w:val="bullet"/>
      <w:lvlText w:val="•"/>
      <w:lvlJc w:val="left"/>
      <w:pPr>
        <w:ind w:left="3782" w:hanging="325"/>
      </w:pPr>
      <w:rPr>
        <w:rFonts w:hint="default"/>
        <w:lang w:val="pt-BR" w:eastAsia="en-US" w:bidi="ar-SA"/>
      </w:rPr>
    </w:lvl>
    <w:lvl w:ilvl="4" w:tplc="196A6C98">
      <w:numFmt w:val="bullet"/>
      <w:lvlText w:val="•"/>
      <w:lvlJc w:val="left"/>
      <w:pPr>
        <w:ind w:left="4536" w:hanging="325"/>
      </w:pPr>
      <w:rPr>
        <w:rFonts w:hint="default"/>
        <w:lang w:val="pt-BR" w:eastAsia="en-US" w:bidi="ar-SA"/>
      </w:rPr>
    </w:lvl>
    <w:lvl w:ilvl="5" w:tplc="66D43BBC">
      <w:numFmt w:val="bullet"/>
      <w:lvlText w:val="•"/>
      <w:lvlJc w:val="left"/>
      <w:pPr>
        <w:ind w:left="5290" w:hanging="325"/>
      </w:pPr>
      <w:rPr>
        <w:rFonts w:hint="default"/>
        <w:lang w:val="pt-BR" w:eastAsia="en-US" w:bidi="ar-SA"/>
      </w:rPr>
    </w:lvl>
    <w:lvl w:ilvl="6" w:tplc="F6E42BEC">
      <w:numFmt w:val="bullet"/>
      <w:lvlText w:val="•"/>
      <w:lvlJc w:val="left"/>
      <w:pPr>
        <w:ind w:left="6044" w:hanging="325"/>
      </w:pPr>
      <w:rPr>
        <w:rFonts w:hint="default"/>
        <w:lang w:val="pt-BR" w:eastAsia="en-US" w:bidi="ar-SA"/>
      </w:rPr>
    </w:lvl>
    <w:lvl w:ilvl="7" w:tplc="61965352">
      <w:numFmt w:val="bullet"/>
      <w:lvlText w:val="•"/>
      <w:lvlJc w:val="left"/>
      <w:pPr>
        <w:ind w:left="6798" w:hanging="325"/>
      </w:pPr>
      <w:rPr>
        <w:rFonts w:hint="default"/>
        <w:lang w:val="pt-BR" w:eastAsia="en-US" w:bidi="ar-SA"/>
      </w:rPr>
    </w:lvl>
    <w:lvl w:ilvl="8" w:tplc="F12E11CE">
      <w:numFmt w:val="bullet"/>
      <w:lvlText w:val="•"/>
      <w:lvlJc w:val="left"/>
      <w:pPr>
        <w:ind w:left="7552" w:hanging="325"/>
      </w:pPr>
      <w:rPr>
        <w:rFonts w:hint="default"/>
        <w:lang w:val="pt-BR" w:eastAsia="en-US" w:bidi="ar-SA"/>
      </w:rPr>
    </w:lvl>
  </w:abstractNum>
  <w:abstractNum w:abstractNumId="27" w15:restartNumberingAfterBreak="0">
    <w:nsid w:val="23053A09"/>
    <w:multiLevelType w:val="hybridMultilevel"/>
    <w:tmpl w:val="59547FCE"/>
    <w:lvl w:ilvl="0" w:tplc="AAEEE9A2">
      <w:start w:val="1"/>
      <w:numFmt w:val="decimal"/>
      <w:lvlText w:val="%1."/>
      <w:lvlJc w:val="left"/>
      <w:pPr>
        <w:ind w:left="810" w:hanging="708"/>
      </w:pPr>
      <w:rPr>
        <w:rFonts w:ascii="Times New Roman" w:eastAsia="Times New Roman" w:hAnsi="Times New Roman" w:cs="Times New Roman" w:hint="default"/>
        <w:b w:val="0"/>
        <w:bCs w:val="0"/>
        <w:i w:val="0"/>
        <w:iCs w:val="0"/>
        <w:w w:val="100"/>
        <w:sz w:val="24"/>
        <w:szCs w:val="24"/>
        <w:lang w:val="pt-BR" w:eastAsia="en-US" w:bidi="ar-SA"/>
      </w:rPr>
    </w:lvl>
    <w:lvl w:ilvl="1" w:tplc="7F14C2E2">
      <w:start w:val="1"/>
      <w:numFmt w:val="lowerLetter"/>
      <w:lvlText w:val="(%2)"/>
      <w:lvlJc w:val="left"/>
      <w:pPr>
        <w:ind w:left="1146" w:hanging="325"/>
      </w:pPr>
      <w:rPr>
        <w:rFonts w:ascii="Times New Roman" w:eastAsia="Times New Roman" w:hAnsi="Times New Roman" w:cs="Times New Roman" w:hint="default"/>
        <w:b w:val="0"/>
        <w:bCs w:val="0"/>
        <w:i w:val="0"/>
        <w:iCs w:val="0"/>
        <w:spacing w:val="-2"/>
        <w:w w:val="99"/>
        <w:sz w:val="24"/>
        <w:szCs w:val="24"/>
        <w:lang w:val="pt-BR" w:eastAsia="en-US" w:bidi="ar-SA"/>
      </w:rPr>
    </w:lvl>
    <w:lvl w:ilvl="2" w:tplc="EC5E6A04">
      <w:numFmt w:val="bullet"/>
      <w:lvlText w:val="•"/>
      <w:lvlJc w:val="left"/>
      <w:pPr>
        <w:ind w:left="1180" w:hanging="325"/>
      </w:pPr>
      <w:rPr>
        <w:rFonts w:hint="default"/>
        <w:lang w:val="pt-BR" w:eastAsia="en-US" w:bidi="ar-SA"/>
      </w:rPr>
    </w:lvl>
    <w:lvl w:ilvl="3" w:tplc="80E2EFB8">
      <w:numFmt w:val="bullet"/>
      <w:lvlText w:val="•"/>
      <w:lvlJc w:val="left"/>
      <w:pPr>
        <w:ind w:left="2165" w:hanging="325"/>
      </w:pPr>
      <w:rPr>
        <w:rFonts w:hint="default"/>
        <w:lang w:val="pt-BR" w:eastAsia="en-US" w:bidi="ar-SA"/>
      </w:rPr>
    </w:lvl>
    <w:lvl w:ilvl="4" w:tplc="203E302C">
      <w:numFmt w:val="bullet"/>
      <w:lvlText w:val="•"/>
      <w:lvlJc w:val="left"/>
      <w:pPr>
        <w:ind w:left="3150" w:hanging="325"/>
      </w:pPr>
      <w:rPr>
        <w:rFonts w:hint="default"/>
        <w:lang w:val="pt-BR" w:eastAsia="en-US" w:bidi="ar-SA"/>
      </w:rPr>
    </w:lvl>
    <w:lvl w:ilvl="5" w:tplc="51EE9558">
      <w:numFmt w:val="bullet"/>
      <w:lvlText w:val="•"/>
      <w:lvlJc w:val="left"/>
      <w:pPr>
        <w:ind w:left="4135" w:hanging="325"/>
      </w:pPr>
      <w:rPr>
        <w:rFonts w:hint="default"/>
        <w:lang w:val="pt-BR" w:eastAsia="en-US" w:bidi="ar-SA"/>
      </w:rPr>
    </w:lvl>
    <w:lvl w:ilvl="6" w:tplc="DB10A02A">
      <w:numFmt w:val="bullet"/>
      <w:lvlText w:val="•"/>
      <w:lvlJc w:val="left"/>
      <w:pPr>
        <w:ind w:left="5120" w:hanging="325"/>
      </w:pPr>
      <w:rPr>
        <w:rFonts w:hint="default"/>
        <w:lang w:val="pt-BR" w:eastAsia="en-US" w:bidi="ar-SA"/>
      </w:rPr>
    </w:lvl>
    <w:lvl w:ilvl="7" w:tplc="D51AFFD4">
      <w:numFmt w:val="bullet"/>
      <w:lvlText w:val="•"/>
      <w:lvlJc w:val="left"/>
      <w:pPr>
        <w:ind w:left="6105" w:hanging="325"/>
      </w:pPr>
      <w:rPr>
        <w:rFonts w:hint="default"/>
        <w:lang w:val="pt-BR" w:eastAsia="en-US" w:bidi="ar-SA"/>
      </w:rPr>
    </w:lvl>
    <w:lvl w:ilvl="8" w:tplc="2F4E3A60">
      <w:numFmt w:val="bullet"/>
      <w:lvlText w:val="•"/>
      <w:lvlJc w:val="left"/>
      <w:pPr>
        <w:ind w:left="7090" w:hanging="325"/>
      </w:pPr>
      <w:rPr>
        <w:rFonts w:hint="default"/>
        <w:lang w:val="pt-BR" w:eastAsia="en-US" w:bidi="ar-SA"/>
      </w:rPr>
    </w:lvl>
  </w:abstractNum>
  <w:abstractNum w:abstractNumId="28" w15:restartNumberingAfterBreak="0">
    <w:nsid w:val="247B3EA6"/>
    <w:multiLevelType w:val="hybridMultilevel"/>
    <w:tmpl w:val="5E8EF504"/>
    <w:lvl w:ilvl="0" w:tplc="38AEFA3C">
      <w:start w:val="2"/>
      <w:numFmt w:val="lowerLetter"/>
      <w:lvlText w:val="(%1)"/>
      <w:lvlJc w:val="left"/>
      <w:pPr>
        <w:ind w:left="102" w:hanging="360"/>
      </w:pPr>
      <w:rPr>
        <w:rFonts w:ascii="Times New Roman" w:eastAsia="Times New Roman" w:hAnsi="Times New Roman" w:cs="Times New Roman" w:hint="default"/>
        <w:b w:val="0"/>
        <w:bCs w:val="0"/>
        <w:i w:val="0"/>
        <w:iCs w:val="0"/>
        <w:w w:val="99"/>
        <w:sz w:val="24"/>
        <w:szCs w:val="24"/>
        <w:lang w:val="pt-BR" w:eastAsia="en-US" w:bidi="ar-SA"/>
      </w:rPr>
    </w:lvl>
    <w:lvl w:ilvl="1" w:tplc="8632D158">
      <w:start w:val="1"/>
      <w:numFmt w:val="lowerLetter"/>
      <w:lvlText w:val="(%2)"/>
      <w:lvlJc w:val="left"/>
      <w:pPr>
        <w:ind w:left="822" w:hanging="394"/>
      </w:pPr>
      <w:rPr>
        <w:rFonts w:ascii="Times New Roman" w:eastAsia="Times New Roman" w:hAnsi="Times New Roman" w:cs="Times New Roman" w:hint="default"/>
        <w:b w:val="0"/>
        <w:bCs w:val="0"/>
        <w:i w:val="0"/>
        <w:iCs w:val="0"/>
        <w:spacing w:val="-2"/>
        <w:w w:val="99"/>
        <w:sz w:val="24"/>
        <w:szCs w:val="24"/>
        <w:lang w:val="pt-BR" w:eastAsia="en-US" w:bidi="ar-SA"/>
      </w:rPr>
    </w:lvl>
    <w:lvl w:ilvl="2" w:tplc="C1E29E08">
      <w:numFmt w:val="bullet"/>
      <w:lvlText w:val="•"/>
      <w:lvlJc w:val="left"/>
      <w:pPr>
        <w:ind w:left="1735" w:hanging="394"/>
      </w:pPr>
      <w:rPr>
        <w:rFonts w:hint="default"/>
        <w:lang w:val="pt-BR" w:eastAsia="en-US" w:bidi="ar-SA"/>
      </w:rPr>
    </w:lvl>
    <w:lvl w:ilvl="3" w:tplc="0A3E4282">
      <w:numFmt w:val="bullet"/>
      <w:lvlText w:val="•"/>
      <w:lvlJc w:val="left"/>
      <w:pPr>
        <w:ind w:left="2651" w:hanging="394"/>
      </w:pPr>
      <w:rPr>
        <w:rFonts w:hint="default"/>
        <w:lang w:val="pt-BR" w:eastAsia="en-US" w:bidi="ar-SA"/>
      </w:rPr>
    </w:lvl>
    <w:lvl w:ilvl="4" w:tplc="C05ADA96">
      <w:numFmt w:val="bullet"/>
      <w:lvlText w:val="•"/>
      <w:lvlJc w:val="left"/>
      <w:pPr>
        <w:ind w:left="3566" w:hanging="394"/>
      </w:pPr>
      <w:rPr>
        <w:rFonts w:hint="default"/>
        <w:lang w:val="pt-BR" w:eastAsia="en-US" w:bidi="ar-SA"/>
      </w:rPr>
    </w:lvl>
    <w:lvl w:ilvl="5" w:tplc="4276FA76">
      <w:numFmt w:val="bullet"/>
      <w:lvlText w:val="•"/>
      <w:lvlJc w:val="left"/>
      <w:pPr>
        <w:ind w:left="4482" w:hanging="394"/>
      </w:pPr>
      <w:rPr>
        <w:rFonts w:hint="default"/>
        <w:lang w:val="pt-BR" w:eastAsia="en-US" w:bidi="ar-SA"/>
      </w:rPr>
    </w:lvl>
    <w:lvl w:ilvl="6" w:tplc="37EA6374">
      <w:numFmt w:val="bullet"/>
      <w:lvlText w:val="•"/>
      <w:lvlJc w:val="left"/>
      <w:pPr>
        <w:ind w:left="5397" w:hanging="394"/>
      </w:pPr>
      <w:rPr>
        <w:rFonts w:hint="default"/>
        <w:lang w:val="pt-BR" w:eastAsia="en-US" w:bidi="ar-SA"/>
      </w:rPr>
    </w:lvl>
    <w:lvl w:ilvl="7" w:tplc="B0A8B7DE">
      <w:numFmt w:val="bullet"/>
      <w:lvlText w:val="•"/>
      <w:lvlJc w:val="left"/>
      <w:pPr>
        <w:ind w:left="6313" w:hanging="394"/>
      </w:pPr>
      <w:rPr>
        <w:rFonts w:hint="default"/>
        <w:lang w:val="pt-BR" w:eastAsia="en-US" w:bidi="ar-SA"/>
      </w:rPr>
    </w:lvl>
    <w:lvl w:ilvl="8" w:tplc="3A02D58C">
      <w:numFmt w:val="bullet"/>
      <w:lvlText w:val="•"/>
      <w:lvlJc w:val="left"/>
      <w:pPr>
        <w:ind w:left="7228" w:hanging="394"/>
      </w:pPr>
      <w:rPr>
        <w:rFonts w:hint="default"/>
        <w:lang w:val="pt-BR" w:eastAsia="en-US" w:bidi="ar-SA"/>
      </w:rPr>
    </w:lvl>
  </w:abstractNum>
  <w:abstractNum w:abstractNumId="29" w15:restartNumberingAfterBreak="0">
    <w:nsid w:val="2481207B"/>
    <w:multiLevelType w:val="hybridMultilevel"/>
    <w:tmpl w:val="9C0C1060"/>
    <w:lvl w:ilvl="0" w:tplc="B8A894F8">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7408BAC8">
      <w:start w:val="1"/>
      <w:numFmt w:val="lowerLetter"/>
      <w:lvlText w:val="(%2)"/>
      <w:lvlJc w:val="left"/>
      <w:pPr>
        <w:ind w:left="822" w:hanging="394"/>
      </w:pPr>
      <w:rPr>
        <w:rFonts w:ascii="Times New Roman" w:eastAsia="Times New Roman" w:hAnsi="Times New Roman" w:cs="Times New Roman" w:hint="default"/>
        <w:b w:val="0"/>
        <w:bCs w:val="0"/>
        <w:i w:val="0"/>
        <w:iCs w:val="0"/>
        <w:spacing w:val="-2"/>
        <w:w w:val="99"/>
        <w:sz w:val="24"/>
        <w:szCs w:val="24"/>
        <w:lang w:val="pt-BR" w:eastAsia="en-US" w:bidi="ar-SA"/>
      </w:rPr>
    </w:lvl>
    <w:lvl w:ilvl="2" w:tplc="21924084">
      <w:numFmt w:val="bullet"/>
      <w:lvlText w:val="•"/>
      <w:lvlJc w:val="left"/>
      <w:pPr>
        <w:ind w:left="1735" w:hanging="394"/>
      </w:pPr>
      <w:rPr>
        <w:rFonts w:hint="default"/>
        <w:lang w:val="pt-BR" w:eastAsia="en-US" w:bidi="ar-SA"/>
      </w:rPr>
    </w:lvl>
    <w:lvl w:ilvl="3" w:tplc="6102F376">
      <w:numFmt w:val="bullet"/>
      <w:lvlText w:val="•"/>
      <w:lvlJc w:val="left"/>
      <w:pPr>
        <w:ind w:left="2651" w:hanging="394"/>
      </w:pPr>
      <w:rPr>
        <w:rFonts w:hint="default"/>
        <w:lang w:val="pt-BR" w:eastAsia="en-US" w:bidi="ar-SA"/>
      </w:rPr>
    </w:lvl>
    <w:lvl w:ilvl="4" w:tplc="9CFC030C">
      <w:numFmt w:val="bullet"/>
      <w:lvlText w:val="•"/>
      <w:lvlJc w:val="left"/>
      <w:pPr>
        <w:ind w:left="3566" w:hanging="394"/>
      </w:pPr>
      <w:rPr>
        <w:rFonts w:hint="default"/>
        <w:lang w:val="pt-BR" w:eastAsia="en-US" w:bidi="ar-SA"/>
      </w:rPr>
    </w:lvl>
    <w:lvl w:ilvl="5" w:tplc="2416EA76">
      <w:numFmt w:val="bullet"/>
      <w:lvlText w:val="•"/>
      <w:lvlJc w:val="left"/>
      <w:pPr>
        <w:ind w:left="4482" w:hanging="394"/>
      </w:pPr>
      <w:rPr>
        <w:rFonts w:hint="default"/>
        <w:lang w:val="pt-BR" w:eastAsia="en-US" w:bidi="ar-SA"/>
      </w:rPr>
    </w:lvl>
    <w:lvl w:ilvl="6" w:tplc="32A2DB4A">
      <w:numFmt w:val="bullet"/>
      <w:lvlText w:val="•"/>
      <w:lvlJc w:val="left"/>
      <w:pPr>
        <w:ind w:left="5397" w:hanging="394"/>
      </w:pPr>
      <w:rPr>
        <w:rFonts w:hint="default"/>
        <w:lang w:val="pt-BR" w:eastAsia="en-US" w:bidi="ar-SA"/>
      </w:rPr>
    </w:lvl>
    <w:lvl w:ilvl="7" w:tplc="1DD85266">
      <w:numFmt w:val="bullet"/>
      <w:lvlText w:val="•"/>
      <w:lvlJc w:val="left"/>
      <w:pPr>
        <w:ind w:left="6313" w:hanging="394"/>
      </w:pPr>
      <w:rPr>
        <w:rFonts w:hint="default"/>
        <w:lang w:val="pt-BR" w:eastAsia="en-US" w:bidi="ar-SA"/>
      </w:rPr>
    </w:lvl>
    <w:lvl w:ilvl="8" w:tplc="8EEC9266">
      <w:numFmt w:val="bullet"/>
      <w:lvlText w:val="•"/>
      <w:lvlJc w:val="left"/>
      <w:pPr>
        <w:ind w:left="7228" w:hanging="394"/>
      </w:pPr>
      <w:rPr>
        <w:rFonts w:hint="default"/>
        <w:lang w:val="pt-BR" w:eastAsia="en-US" w:bidi="ar-SA"/>
      </w:rPr>
    </w:lvl>
  </w:abstractNum>
  <w:abstractNum w:abstractNumId="30" w15:restartNumberingAfterBreak="0">
    <w:nsid w:val="25B708CB"/>
    <w:multiLevelType w:val="hybridMultilevel"/>
    <w:tmpl w:val="150CBA3C"/>
    <w:lvl w:ilvl="0" w:tplc="07EEACD8">
      <w:start w:val="1"/>
      <w:numFmt w:val="lowerRoman"/>
      <w:lvlText w:val="(%1)"/>
      <w:lvlJc w:val="left"/>
      <w:pPr>
        <w:ind w:left="1902" w:hanging="331"/>
      </w:pPr>
      <w:rPr>
        <w:rFonts w:ascii="Times New Roman" w:eastAsia="Times New Roman" w:hAnsi="Times New Roman" w:cs="Times New Roman" w:hint="default"/>
        <w:b w:val="0"/>
        <w:bCs w:val="0"/>
        <w:i w:val="0"/>
        <w:iCs w:val="0"/>
        <w:w w:val="99"/>
        <w:sz w:val="24"/>
        <w:szCs w:val="24"/>
        <w:lang w:val="pt-BR" w:eastAsia="en-US" w:bidi="ar-SA"/>
      </w:rPr>
    </w:lvl>
    <w:lvl w:ilvl="1" w:tplc="8FAC42F4">
      <w:numFmt w:val="bullet"/>
      <w:lvlText w:val="•"/>
      <w:lvlJc w:val="left"/>
      <w:pPr>
        <w:ind w:left="2616" w:hanging="331"/>
      </w:pPr>
      <w:rPr>
        <w:rFonts w:hint="default"/>
        <w:lang w:val="pt-BR" w:eastAsia="en-US" w:bidi="ar-SA"/>
      </w:rPr>
    </w:lvl>
    <w:lvl w:ilvl="2" w:tplc="05608E40">
      <w:numFmt w:val="bullet"/>
      <w:lvlText w:val="•"/>
      <w:lvlJc w:val="left"/>
      <w:pPr>
        <w:ind w:left="3332" w:hanging="331"/>
      </w:pPr>
      <w:rPr>
        <w:rFonts w:hint="default"/>
        <w:lang w:val="pt-BR" w:eastAsia="en-US" w:bidi="ar-SA"/>
      </w:rPr>
    </w:lvl>
    <w:lvl w:ilvl="3" w:tplc="B420C594">
      <w:numFmt w:val="bullet"/>
      <w:lvlText w:val="•"/>
      <w:lvlJc w:val="left"/>
      <w:pPr>
        <w:ind w:left="4048" w:hanging="331"/>
      </w:pPr>
      <w:rPr>
        <w:rFonts w:hint="default"/>
        <w:lang w:val="pt-BR" w:eastAsia="en-US" w:bidi="ar-SA"/>
      </w:rPr>
    </w:lvl>
    <w:lvl w:ilvl="4" w:tplc="5CE2B2F0">
      <w:numFmt w:val="bullet"/>
      <w:lvlText w:val="•"/>
      <w:lvlJc w:val="left"/>
      <w:pPr>
        <w:ind w:left="4764" w:hanging="331"/>
      </w:pPr>
      <w:rPr>
        <w:rFonts w:hint="default"/>
        <w:lang w:val="pt-BR" w:eastAsia="en-US" w:bidi="ar-SA"/>
      </w:rPr>
    </w:lvl>
    <w:lvl w:ilvl="5" w:tplc="3C8A045C">
      <w:numFmt w:val="bullet"/>
      <w:lvlText w:val="•"/>
      <w:lvlJc w:val="left"/>
      <w:pPr>
        <w:ind w:left="5480" w:hanging="331"/>
      </w:pPr>
      <w:rPr>
        <w:rFonts w:hint="default"/>
        <w:lang w:val="pt-BR" w:eastAsia="en-US" w:bidi="ar-SA"/>
      </w:rPr>
    </w:lvl>
    <w:lvl w:ilvl="6" w:tplc="8C2843BC">
      <w:numFmt w:val="bullet"/>
      <w:lvlText w:val="•"/>
      <w:lvlJc w:val="left"/>
      <w:pPr>
        <w:ind w:left="6196" w:hanging="331"/>
      </w:pPr>
      <w:rPr>
        <w:rFonts w:hint="default"/>
        <w:lang w:val="pt-BR" w:eastAsia="en-US" w:bidi="ar-SA"/>
      </w:rPr>
    </w:lvl>
    <w:lvl w:ilvl="7" w:tplc="EB42FD12">
      <w:numFmt w:val="bullet"/>
      <w:lvlText w:val="•"/>
      <w:lvlJc w:val="left"/>
      <w:pPr>
        <w:ind w:left="6912" w:hanging="331"/>
      </w:pPr>
      <w:rPr>
        <w:rFonts w:hint="default"/>
        <w:lang w:val="pt-BR" w:eastAsia="en-US" w:bidi="ar-SA"/>
      </w:rPr>
    </w:lvl>
    <w:lvl w:ilvl="8" w:tplc="687E41FA">
      <w:numFmt w:val="bullet"/>
      <w:lvlText w:val="•"/>
      <w:lvlJc w:val="left"/>
      <w:pPr>
        <w:ind w:left="7628" w:hanging="331"/>
      </w:pPr>
      <w:rPr>
        <w:rFonts w:hint="default"/>
        <w:lang w:val="pt-BR" w:eastAsia="en-US" w:bidi="ar-SA"/>
      </w:rPr>
    </w:lvl>
  </w:abstractNum>
  <w:abstractNum w:abstractNumId="31" w15:restartNumberingAfterBreak="0">
    <w:nsid w:val="270E06AB"/>
    <w:multiLevelType w:val="hybridMultilevel"/>
    <w:tmpl w:val="ED2678C0"/>
    <w:lvl w:ilvl="0" w:tplc="CF740EAA">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10E0CDFE">
      <w:start w:val="1"/>
      <w:numFmt w:val="lowerLetter"/>
      <w:lvlText w:val="(%2)"/>
      <w:lvlJc w:val="left"/>
      <w:pPr>
        <w:ind w:left="1146" w:hanging="325"/>
      </w:pPr>
      <w:rPr>
        <w:rFonts w:ascii="Times New Roman" w:eastAsia="Times New Roman" w:hAnsi="Times New Roman" w:cs="Times New Roman" w:hint="default"/>
        <w:b w:val="0"/>
        <w:bCs w:val="0"/>
        <w:i w:val="0"/>
        <w:iCs w:val="0"/>
        <w:spacing w:val="-2"/>
        <w:w w:val="99"/>
        <w:sz w:val="24"/>
        <w:szCs w:val="24"/>
        <w:lang w:val="pt-BR" w:eastAsia="en-US" w:bidi="ar-SA"/>
      </w:rPr>
    </w:lvl>
    <w:lvl w:ilvl="2" w:tplc="3C60992E">
      <w:numFmt w:val="bullet"/>
      <w:lvlText w:val="•"/>
      <w:lvlJc w:val="left"/>
      <w:pPr>
        <w:ind w:left="2020" w:hanging="325"/>
      </w:pPr>
      <w:rPr>
        <w:rFonts w:hint="default"/>
        <w:lang w:val="pt-BR" w:eastAsia="en-US" w:bidi="ar-SA"/>
      </w:rPr>
    </w:lvl>
    <w:lvl w:ilvl="3" w:tplc="23EA266A">
      <w:numFmt w:val="bullet"/>
      <w:lvlText w:val="•"/>
      <w:lvlJc w:val="left"/>
      <w:pPr>
        <w:ind w:left="2900" w:hanging="325"/>
      </w:pPr>
      <w:rPr>
        <w:rFonts w:hint="default"/>
        <w:lang w:val="pt-BR" w:eastAsia="en-US" w:bidi="ar-SA"/>
      </w:rPr>
    </w:lvl>
    <w:lvl w:ilvl="4" w:tplc="08588CE8">
      <w:numFmt w:val="bullet"/>
      <w:lvlText w:val="•"/>
      <w:lvlJc w:val="left"/>
      <w:pPr>
        <w:ind w:left="3780" w:hanging="325"/>
      </w:pPr>
      <w:rPr>
        <w:rFonts w:hint="default"/>
        <w:lang w:val="pt-BR" w:eastAsia="en-US" w:bidi="ar-SA"/>
      </w:rPr>
    </w:lvl>
    <w:lvl w:ilvl="5" w:tplc="17B4DDF6">
      <w:numFmt w:val="bullet"/>
      <w:lvlText w:val="•"/>
      <w:lvlJc w:val="left"/>
      <w:pPr>
        <w:ind w:left="4660" w:hanging="325"/>
      </w:pPr>
      <w:rPr>
        <w:rFonts w:hint="default"/>
        <w:lang w:val="pt-BR" w:eastAsia="en-US" w:bidi="ar-SA"/>
      </w:rPr>
    </w:lvl>
    <w:lvl w:ilvl="6" w:tplc="A47245E8">
      <w:numFmt w:val="bullet"/>
      <w:lvlText w:val="•"/>
      <w:lvlJc w:val="left"/>
      <w:pPr>
        <w:ind w:left="5540" w:hanging="325"/>
      </w:pPr>
      <w:rPr>
        <w:rFonts w:hint="default"/>
        <w:lang w:val="pt-BR" w:eastAsia="en-US" w:bidi="ar-SA"/>
      </w:rPr>
    </w:lvl>
    <w:lvl w:ilvl="7" w:tplc="423A2CB2">
      <w:numFmt w:val="bullet"/>
      <w:lvlText w:val="•"/>
      <w:lvlJc w:val="left"/>
      <w:pPr>
        <w:ind w:left="6420" w:hanging="325"/>
      </w:pPr>
      <w:rPr>
        <w:rFonts w:hint="default"/>
        <w:lang w:val="pt-BR" w:eastAsia="en-US" w:bidi="ar-SA"/>
      </w:rPr>
    </w:lvl>
    <w:lvl w:ilvl="8" w:tplc="09184A96">
      <w:numFmt w:val="bullet"/>
      <w:lvlText w:val="•"/>
      <w:lvlJc w:val="left"/>
      <w:pPr>
        <w:ind w:left="7300" w:hanging="325"/>
      </w:pPr>
      <w:rPr>
        <w:rFonts w:hint="default"/>
        <w:lang w:val="pt-BR" w:eastAsia="en-US" w:bidi="ar-SA"/>
      </w:rPr>
    </w:lvl>
  </w:abstractNum>
  <w:abstractNum w:abstractNumId="32" w15:restartNumberingAfterBreak="0">
    <w:nsid w:val="28201D36"/>
    <w:multiLevelType w:val="hybridMultilevel"/>
    <w:tmpl w:val="8EA25A6A"/>
    <w:lvl w:ilvl="0" w:tplc="0AD62C1E">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C172EEBA">
      <w:numFmt w:val="bullet"/>
      <w:lvlText w:val="•"/>
      <w:lvlJc w:val="left"/>
      <w:pPr>
        <w:ind w:left="996" w:hanging="708"/>
      </w:pPr>
      <w:rPr>
        <w:rFonts w:hint="default"/>
        <w:lang w:val="pt-BR" w:eastAsia="en-US" w:bidi="ar-SA"/>
      </w:rPr>
    </w:lvl>
    <w:lvl w:ilvl="2" w:tplc="0838C0C6">
      <w:numFmt w:val="bullet"/>
      <w:lvlText w:val="•"/>
      <w:lvlJc w:val="left"/>
      <w:pPr>
        <w:ind w:left="1892" w:hanging="708"/>
      </w:pPr>
      <w:rPr>
        <w:rFonts w:hint="default"/>
        <w:lang w:val="pt-BR" w:eastAsia="en-US" w:bidi="ar-SA"/>
      </w:rPr>
    </w:lvl>
    <w:lvl w:ilvl="3" w:tplc="0CF20D08">
      <w:numFmt w:val="bullet"/>
      <w:lvlText w:val="•"/>
      <w:lvlJc w:val="left"/>
      <w:pPr>
        <w:ind w:left="2788" w:hanging="708"/>
      </w:pPr>
      <w:rPr>
        <w:rFonts w:hint="default"/>
        <w:lang w:val="pt-BR" w:eastAsia="en-US" w:bidi="ar-SA"/>
      </w:rPr>
    </w:lvl>
    <w:lvl w:ilvl="4" w:tplc="35848914">
      <w:numFmt w:val="bullet"/>
      <w:lvlText w:val="•"/>
      <w:lvlJc w:val="left"/>
      <w:pPr>
        <w:ind w:left="3684" w:hanging="708"/>
      </w:pPr>
      <w:rPr>
        <w:rFonts w:hint="default"/>
        <w:lang w:val="pt-BR" w:eastAsia="en-US" w:bidi="ar-SA"/>
      </w:rPr>
    </w:lvl>
    <w:lvl w:ilvl="5" w:tplc="4806959E">
      <w:numFmt w:val="bullet"/>
      <w:lvlText w:val="•"/>
      <w:lvlJc w:val="left"/>
      <w:pPr>
        <w:ind w:left="4580" w:hanging="708"/>
      </w:pPr>
      <w:rPr>
        <w:rFonts w:hint="default"/>
        <w:lang w:val="pt-BR" w:eastAsia="en-US" w:bidi="ar-SA"/>
      </w:rPr>
    </w:lvl>
    <w:lvl w:ilvl="6" w:tplc="52564520">
      <w:numFmt w:val="bullet"/>
      <w:lvlText w:val="•"/>
      <w:lvlJc w:val="left"/>
      <w:pPr>
        <w:ind w:left="5476" w:hanging="708"/>
      </w:pPr>
      <w:rPr>
        <w:rFonts w:hint="default"/>
        <w:lang w:val="pt-BR" w:eastAsia="en-US" w:bidi="ar-SA"/>
      </w:rPr>
    </w:lvl>
    <w:lvl w:ilvl="7" w:tplc="4830AA9A">
      <w:numFmt w:val="bullet"/>
      <w:lvlText w:val="•"/>
      <w:lvlJc w:val="left"/>
      <w:pPr>
        <w:ind w:left="6372" w:hanging="708"/>
      </w:pPr>
      <w:rPr>
        <w:rFonts w:hint="default"/>
        <w:lang w:val="pt-BR" w:eastAsia="en-US" w:bidi="ar-SA"/>
      </w:rPr>
    </w:lvl>
    <w:lvl w:ilvl="8" w:tplc="63BCA95E">
      <w:numFmt w:val="bullet"/>
      <w:lvlText w:val="•"/>
      <w:lvlJc w:val="left"/>
      <w:pPr>
        <w:ind w:left="7268" w:hanging="708"/>
      </w:pPr>
      <w:rPr>
        <w:rFonts w:hint="default"/>
        <w:lang w:val="pt-BR" w:eastAsia="en-US" w:bidi="ar-SA"/>
      </w:rPr>
    </w:lvl>
  </w:abstractNum>
  <w:abstractNum w:abstractNumId="33" w15:restartNumberingAfterBreak="0">
    <w:nsid w:val="2AC0350C"/>
    <w:multiLevelType w:val="hybridMultilevel"/>
    <w:tmpl w:val="91E2F312"/>
    <w:lvl w:ilvl="0" w:tplc="88048218">
      <w:start w:val="2"/>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53CAFEEC">
      <w:numFmt w:val="bullet"/>
      <w:lvlText w:val="•"/>
      <w:lvlJc w:val="left"/>
      <w:pPr>
        <w:ind w:left="996" w:hanging="708"/>
      </w:pPr>
      <w:rPr>
        <w:rFonts w:hint="default"/>
        <w:lang w:val="pt-BR" w:eastAsia="en-US" w:bidi="ar-SA"/>
      </w:rPr>
    </w:lvl>
    <w:lvl w:ilvl="2" w:tplc="4D7866EA">
      <w:numFmt w:val="bullet"/>
      <w:lvlText w:val="•"/>
      <w:lvlJc w:val="left"/>
      <w:pPr>
        <w:ind w:left="1892" w:hanging="708"/>
      </w:pPr>
      <w:rPr>
        <w:rFonts w:hint="default"/>
        <w:lang w:val="pt-BR" w:eastAsia="en-US" w:bidi="ar-SA"/>
      </w:rPr>
    </w:lvl>
    <w:lvl w:ilvl="3" w:tplc="AF5CE7BA">
      <w:numFmt w:val="bullet"/>
      <w:lvlText w:val="•"/>
      <w:lvlJc w:val="left"/>
      <w:pPr>
        <w:ind w:left="2788" w:hanging="708"/>
      </w:pPr>
      <w:rPr>
        <w:rFonts w:hint="default"/>
        <w:lang w:val="pt-BR" w:eastAsia="en-US" w:bidi="ar-SA"/>
      </w:rPr>
    </w:lvl>
    <w:lvl w:ilvl="4" w:tplc="56D6E366">
      <w:numFmt w:val="bullet"/>
      <w:lvlText w:val="•"/>
      <w:lvlJc w:val="left"/>
      <w:pPr>
        <w:ind w:left="3684" w:hanging="708"/>
      </w:pPr>
      <w:rPr>
        <w:rFonts w:hint="default"/>
        <w:lang w:val="pt-BR" w:eastAsia="en-US" w:bidi="ar-SA"/>
      </w:rPr>
    </w:lvl>
    <w:lvl w:ilvl="5" w:tplc="6018D040">
      <w:numFmt w:val="bullet"/>
      <w:lvlText w:val="•"/>
      <w:lvlJc w:val="left"/>
      <w:pPr>
        <w:ind w:left="4580" w:hanging="708"/>
      </w:pPr>
      <w:rPr>
        <w:rFonts w:hint="default"/>
        <w:lang w:val="pt-BR" w:eastAsia="en-US" w:bidi="ar-SA"/>
      </w:rPr>
    </w:lvl>
    <w:lvl w:ilvl="6" w:tplc="A94AF4C4">
      <w:numFmt w:val="bullet"/>
      <w:lvlText w:val="•"/>
      <w:lvlJc w:val="left"/>
      <w:pPr>
        <w:ind w:left="5476" w:hanging="708"/>
      </w:pPr>
      <w:rPr>
        <w:rFonts w:hint="default"/>
        <w:lang w:val="pt-BR" w:eastAsia="en-US" w:bidi="ar-SA"/>
      </w:rPr>
    </w:lvl>
    <w:lvl w:ilvl="7" w:tplc="B10E049A">
      <w:numFmt w:val="bullet"/>
      <w:lvlText w:val="•"/>
      <w:lvlJc w:val="left"/>
      <w:pPr>
        <w:ind w:left="6372" w:hanging="708"/>
      </w:pPr>
      <w:rPr>
        <w:rFonts w:hint="default"/>
        <w:lang w:val="pt-BR" w:eastAsia="en-US" w:bidi="ar-SA"/>
      </w:rPr>
    </w:lvl>
    <w:lvl w:ilvl="8" w:tplc="C464DCC6">
      <w:numFmt w:val="bullet"/>
      <w:lvlText w:val="•"/>
      <w:lvlJc w:val="left"/>
      <w:pPr>
        <w:ind w:left="7268" w:hanging="708"/>
      </w:pPr>
      <w:rPr>
        <w:rFonts w:hint="default"/>
        <w:lang w:val="pt-BR" w:eastAsia="en-US" w:bidi="ar-SA"/>
      </w:rPr>
    </w:lvl>
  </w:abstractNum>
  <w:abstractNum w:abstractNumId="34" w15:restartNumberingAfterBreak="0">
    <w:nsid w:val="2B621411"/>
    <w:multiLevelType w:val="hybridMultilevel"/>
    <w:tmpl w:val="B5FCF8E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C3D6532"/>
    <w:multiLevelType w:val="hybridMultilevel"/>
    <w:tmpl w:val="DD2EE86A"/>
    <w:lvl w:ilvl="0" w:tplc="D67A941C">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A31E2E9C">
      <w:numFmt w:val="bullet"/>
      <w:lvlText w:val="•"/>
      <w:lvlJc w:val="left"/>
      <w:pPr>
        <w:ind w:left="996" w:hanging="708"/>
      </w:pPr>
      <w:rPr>
        <w:rFonts w:hint="default"/>
        <w:lang w:val="pt-BR" w:eastAsia="en-US" w:bidi="ar-SA"/>
      </w:rPr>
    </w:lvl>
    <w:lvl w:ilvl="2" w:tplc="61C4199C">
      <w:numFmt w:val="bullet"/>
      <w:lvlText w:val="•"/>
      <w:lvlJc w:val="left"/>
      <w:pPr>
        <w:ind w:left="1892" w:hanging="708"/>
      </w:pPr>
      <w:rPr>
        <w:rFonts w:hint="default"/>
        <w:lang w:val="pt-BR" w:eastAsia="en-US" w:bidi="ar-SA"/>
      </w:rPr>
    </w:lvl>
    <w:lvl w:ilvl="3" w:tplc="F934C95C">
      <w:numFmt w:val="bullet"/>
      <w:lvlText w:val="•"/>
      <w:lvlJc w:val="left"/>
      <w:pPr>
        <w:ind w:left="2788" w:hanging="708"/>
      </w:pPr>
      <w:rPr>
        <w:rFonts w:hint="default"/>
        <w:lang w:val="pt-BR" w:eastAsia="en-US" w:bidi="ar-SA"/>
      </w:rPr>
    </w:lvl>
    <w:lvl w:ilvl="4" w:tplc="49665802">
      <w:numFmt w:val="bullet"/>
      <w:lvlText w:val="•"/>
      <w:lvlJc w:val="left"/>
      <w:pPr>
        <w:ind w:left="3684" w:hanging="708"/>
      </w:pPr>
      <w:rPr>
        <w:rFonts w:hint="default"/>
        <w:lang w:val="pt-BR" w:eastAsia="en-US" w:bidi="ar-SA"/>
      </w:rPr>
    </w:lvl>
    <w:lvl w:ilvl="5" w:tplc="95D0F780">
      <w:numFmt w:val="bullet"/>
      <w:lvlText w:val="•"/>
      <w:lvlJc w:val="left"/>
      <w:pPr>
        <w:ind w:left="4580" w:hanging="708"/>
      </w:pPr>
      <w:rPr>
        <w:rFonts w:hint="default"/>
        <w:lang w:val="pt-BR" w:eastAsia="en-US" w:bidi="ar-SA"/>
      </w:rPr>
    </w:lvl>
    <w:lvl w:ilvl="6" w:tplc="77928B98">
      <w:numFmt w:val="bullet"/>
      <w:lvlText w:val="•"/>
      <w:lvlJc w:val="left"/>
      <w:pPr>
        <w:ind w:left="5476" w:hanging="708"/>
      </w:pPr>
      <w:rPr>
        <w:rFonts w:hint="default"/>
        <w:lang w:val="pt-BR" w:eastAsia="en-US" w:bidi="ar-SA"/>
      </w:rPr>
    </w:lvl>
    <w:lvl w:ilvl="7" w:tplc="D1BA86C6">
      <w:numFmt w:val="bullet"/>
      <w:lvlText w:val="•"/>
      <w:lvlJc w:val="left"/>
      <w:pPr>
        <w:ind w:left="6372" w:hanging="708"/>
      </w:pPr>
      <w:rPr>
        <w:rFonts w:hint="default"/>
        <w:lang w:val="pt-BR" w:eastAsia="en-US" w:bidi="ar-SA"/>
      </w:rPr>
    </w:lvl>
    <w:lvl w:ilvl="8" w:tplc="C49AE3B8">
      <w:numFmt w:val="bullet"/>
      <w:lvlText w:val="•"/>
      <w:lvlJc w:val="left"/>
      <w:pPr>
        <w:ind w:left="7268" w:hanging="708"/>
      </w:pPr>
      <w:rPr>
        <w:rFonts w:hint="default"/>
        <w:lang w:val="pt-BR" w:eastAsia="en-US" w:bidi="ar-SA"/>
      </w:rPr>
    </w:lvl>
  </w:abstractNum>
  <w:abstractNum w:abstractNumId="36" w15:restartNumberingAfterBreak="0">
    <w:nsid w:val="30B25899"/>
    <w:multiLevelType w:val="multilevel"/>
    <w:tmpl w:val="9BA814C6"/>
    <w:lvl w:ilvl="0">
      <w:start w:val="1"/>
      <w:numFmt w:val="decimal"/>
      <w:pStyle w:val="Normalalternativo"/>
      <w:lvlText w:val="%1."/>
      <w:lvlJc w:val="left"/>
      <w:pPr>
        <w:tabs>
          <w:tab w:val="num" w:pos="360"/>
        </w:tabs>
        <w:ind w:left="0" w:firstLine="0"/>
      </w:pPr>
      <w:rPr>
        <w:rFonts w:ascii="Times New Roman" w:hAnsi="Times New Roman" w:cs="Times New Roman" w:hint="default"/>
        <w:b w:val="0"/>
        <w:i w:val="0"/>
        <w:sz w:val="24"/>
        <w:szCs w:val="24"/>
      </w:rPr>
    </w:lvl>
    <w:lvl w:ilvl="1">
      <w:start w:val="1"/>
      <w:numFmt w:val="decimal"/>
      <w:lvlText w:val="%1.%2."/>
      <w:lvlJc w:val="left"/>
      <w:pPr>
        <w:tabs>
          <w:tab w:val="num" w:pos="1091"/>
        </w:tabs>
        <w:ind w:left="-120" w:firstLine="851"/>
      </w:pPr>
      <w:rPr>
        <w:rFonts w:ascii="Times New Roman" w:hAnsi="Times New Roman" w:hint="default"/>
        <w:b w:val="0"/>
        <w:i w:val="0"/>
        <w:sz w:val="24"/>
      </w:rPr>
    </w:lvl>
    <w:lvl w:ilvl="2">
      <w:start w:val="1"/>
      <w:numFmt w:val="decimal"/>
      <w:lvlText w:val="%1.%2.%3."/>
      <w:lvlJc w:val="left"/>
      <w:pPr>
        <w:tabs>
          <w:tab w:val="num" w:pos="1320"/>
        </w:tabs>
        <w:ind w:left="1104" w:hanging="504"/>
      </w:pPr>
      <w:rPr>
        <w:rFonts w:hint="default"/>
      </w:rPr>
    </w:lvl>
    <w:lvl w:ilvl="3">
      <w:start w:val="1"/>
      <w:numFmt w:val="decimal"/>
      <w:lvlText w:val="%1.%2.%3.%4."/>
      <w:lvlJc w:val="left"/>
      <w:pPr>
        <w:tabs>
          <w:tab w:val="num" w:pos="1680"/>
        </w:tabs>
        <w:ind w:left="1608" w:hanging="648"/>
      </w:pPr>
      <w:rPr>
        <w:rFonts w:hint="default"/>
      </w:rPr>
    </w:lvl>
    <w:lvl w:ilvl="4">
      <w:start w:val="1"/>
      <w:numFmt w:val="decimal"/>
      <w:lvlText w:val="%1.%2.%3.%4.%5."/>
      <w:lvlJc w:val="left"/>
      <w:pPr>
        <w:tabs>
          <w:tab w:val="num" w:pos="2400"/>
        </w:tabs>
        <w:ind w:left="2112" w:hanging="792"/>
      </w:pPr>
      <w:rPr>
        <w:rFonts w:hint="default"/>
      </w:rPr>
    </w:lvl>
    <w:lvl w:ilvl="5">
      <w:start w:val="1"/>
      <w:numFmt w:val="decimal"/>
      <w:lvlText w:val="%1.%2.%3.%4.%5.%6."/>
      <w:lvlJc w:val="left"/>
      <w:pPr>
        <w:tabs>
          <w:tab w:val="num" w:pos="2760"/>
        </w:tabs>
        <w:ind w:left="2616" w:hanging="936"/>
      </w:pPr>
      <w:rPr>
        <w:rFonts w:hint="default"/>
      </w:rPr>
    </w:lvl>
    <w:lvl w:ilvl="6">
      <w:start w:val="1"/>
      <w:numFmt w:val="decimal"/>
      <w:lvlText w:val="%1.%2.%3.%4.%5.%6.%7."/>
      <w:lvlJc w:val="left"/>
      <w:pPr>
        <w:tabs>
          <w:tab w:val="num" w:pos="3480"/>
        </w:tabs>
        <w:ind w:left="3120" w:hanging="1080"/>
      </w:pPr>
      <w:rPr>
        <w:rFonts w:hint="default"/>
      </w:rPr>
    </w:lvl>
    <w:lvl w:ilvl="7">
      <w:start w:val="1"/>
      <w:numFmt w:val="decimal"/>
      <w:lvlText w:val="%1.%2.%3.%4.%5.%6.%7.%8."/>
      <w:lvlJc w:val="left"/>
      <w:pPr>
        <w:tabs>
          <w:tab w:val="num" w:pos="3840"/>
        </w:tabs>
        <w:ind w:left="3624" w:hanging="1224"/>
      </w:pPr>
      <w:rPr>
        <w:rFonts w:hint="default"/>
      </w:rPr>
    </w:lvl>
    <w:lvl w:ilvl="8">
      <w:start w:val="1"/>
      <w:numFmt w:val="decimal"/>
      <w:lvlText w:val="%1.%2.%3.%4.%5.%6.%7.%8.%9."/>
      <w:lvlJc w:val="left"/>
      <w:pPr>
        <w:tabs>
          <w:tab w:val="num" w:pos="4560"/>
        </w:tabs>
        <w:ind w:left="4200" w:hanging="1440"/>
      </w:pPr>
      <w:rPr>
        <w:rFonts w:hint="default"/>
      </w:rPr>
    </w:lvl>
  </w:abstractNum>
  <w:abstractNum w:abstractNumId="37" w15:restartNumberingAfterBreak="0">
    <w:nsid w:val="31763930"/>
    <w:multiLevelType w:val="hybridMultilevel"/>
    <w:tmpl w:val="599622F2"/>
    <w:lvl w:ilvl="0" w:tplc="FF9E0858">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80DCEBA2">
      <w:numFmt w:val="bullet"/>
      <w:lvlText w:val="•"/>
      <w:lvlJc w:val="left"/>
      <w:pPr>
        <w:ind w:left="996" w:hanging="708"/>
      </w:pPr>
      <w:rPr>
        <w:rFonts w:hint="default"/>
        <w:lang w:val="pt-BR" w:eastAsia="en-US" w:bidi="ar-SA"/>
      </w:rPr>
    </w:lvl>
    <w:lvl w:ilvl="2" w:tplc="2B12C1DC">
      <w:numFmt w:val="bullet"/>
      <w:lvlText w:val="•"/>
      <w:lvlJc w:val="left"/>
      <w:pPr>
        <w:ind w:left="1892" w:hanging="708"/>
      </w:pPr>
      <w:rPr>
        <w:rFonts w:hint="default"/>
        <w:lang w:val="pt-BR" w:eastAsia="en-US" w:bidi="ar-SA"/>
      </w:rPr>
    </w:lvl>
    <w:lvl w:ilvl="3" w:tplc="B6567724">
      <w:numFmt w:val="bullet"/>
      <w:lvlText w:val="•"/>
      <w:lvlJc w:val="left"/>
      <w:pPr>
        <w:ind w:left="2788" w:hanging="708"/>
      </w:pPr>
      <w:rPr>
        <w:rFonts w:hint="default"/>
        <w:lang w:val="pt-BR" w:eastAsia="en-US" w:bidi="ar-SA"/>
      </w:rPr>
    </w:lvl>
    <w:lvl w:ilvl="4" w:tplc="387410CC">
      <w:numFmt w:val="bullet"/>
      <w:lvlText w:val="•"/>
      <w:lvlJc w:val="left"/>
      <w:pPr>
        <w:ind w:left="3684" w:hanging="708"/>
      </w:pPr>
      <w:rPr>
        <w:rFonts w:hint="default"/>
        <w:lang w:val="pt-BR" w:eastAsia="en-US" w:bidi="ar-SA"/>
      </w:rPr>
    </w:lvl>
    <w:lvl w:ilvl="5" w:tplc="CEB47200">
      <w:numFmt w:val="bullet"/>
      <w:lvlText w:val="•"/>
      <w:lvlJc w:val="left"/>
      <w:pPr>
        <w:ind w:left="4580" w:hanging="708"/>
      </w:pPr>
      <w:rPr>
        <w:rFonts w:hint="default"/>
        <w:lang w:val="pt-BR" w:eastAsia="en-US" w:bidi="ar-SA"/>
      </w:rPr>
    </w:lvl>
    <w:lvl w:ilvl="6" w:tplc="FE6C02F4">
      <w:numFmt w:val="bullet"/>
      <w:lvlText w:val="•"/>
      <w:lvlJc w:val="left"/>
      <w:pPr>
        <w:ind w:left="5476" w:hanging="708"/>
      </w:pPr>
      <w:rPr>
        <w:rFonts w:hint="default"/>
        <w:lang w:val="pt-BR" w:eastAsia="en-US" w:bidi="ar-SA"/>
      </w:rPr>
    </w:lvl>
    <w:lvl w:ilvl="7" w:tplc="99B4FF1A">
      <w:numFmt w:val="bullet"/>
      <w:lvlText w:val="•"/>
      <w:lvlJc w:val="left"/>
      <w:pPr>
        <w:ind w:left="6372" w:hanging="708"/>
      </w:pPr>
      <w:rPr>
        <w:rFonts w:hint="default"/>
        <w:lang w:val="pt-BR" w:eastAsia="en-US" w:bidi="ar-SA"/>
      </w:rPr>
    </w:lvl>
    <w:lvl w:ilvl="8" w:tplc="57280402">
      <w:numFmt w:val="bullet"/>
      <w:lvlText w:val="•"/>
      <w:lvlJc w:val="left"/>
      <w:pPr>
        <w:ind w:left="7268" w:hanging="708"/>
      </w:pPr>
      <w:rPr>
        <w:rFonts w:hint="default"/>
        <w:lang w:val="pt-BR" w:eastAsia="en-US" w:bidi="ar-SA"/>
      </w:rPr>
    </w:lvl>
  </w:abstractNum>
  <w:abstractNum w:abstractNumId="38" w15:restartNumberingAfterBreak="0">
    <w:nsid w:val="3188729D"/>
    <w:multiLevelType w:val="hybridMultilevel"/>
    <w:tmpl w:val="8A52FE94"/>
    <w:lvl w:ilvl="0" w:tplc="3A7C3576">
      <w:start w:val="7"/>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4102614E">
      <w:numFmt w:val="bullet"/>
      <w:lvlText w:val="•"/>
      <w:lvlJc w:val="left"/>
      <w:pPr>
        <w:ind w:left="996" w:hanging="708"/>
      </w:pPr>
      <w:rPr>
        <w:rFonts w:hint="default"/>
        <w:lang w:val="pt-BR" w:eastAsia="en-US" w:bidi="ar-SA"/>
      </w:rPr>
    </w:lvl>
    <w:lvl w:ilvl="2" w:tplc="51165074">
      <w:numFmt w:val="bullet"/>
      <w:lvlText w:val="•"/>
      <w:lvlJc w:val="left"/>
      <w:pPr>
        <w:ind w:left="1892" w:hanging="708"/>
      </w:pPr>
      <w:rPr>
        <w:rFonts w:hint="default"/>
        <w:lang w:val="pt-BR" w:eastAsia="en-US" w:bidi="ar-SA"/>
      </w:rPr>
    </w:lvl>
    <w:lvl w:ilvl="3" w:tplc="0C825A52">
      <w:numFmt w:val="bullet"/>
      <w:lvlText w:val="•"/>
      <w:lvlJc w:val="left"/>
      <w:pPr>
        <w:ind w:left="2788" w:hanging="708"/>
      </w:pPr>
      <w:rPr>
        <w:rFonts w:hint="default"/>
        <w:lang w:val="pt-BR" w:eastAsia="en-US" w:bidi="ar-SA"/>
      </w:rPr>
    </w:lvl>
    <w:lvl w:ilvl="4" w:tplc="84E49336">
      <w:numFmt w:val="bullet"/>
      <w:lvlText w:val="•"/>
      <w:lvlJc w:val="left"/>
      <w:pPr>
        <w:ind w:left="3684" w:hanging="708"/>
      </w:pPr>
      <w:rPr>
        <w:rFonts w:hint="default"/>
        <w:lang w:val="pt-BR" w:eastAsia="en-US" w:bidi="ar-SA"/>
      </w:rPr>
    </w:lvl>
    <w:lvl w:ilvl="5" w:tplc="E3B41386">
      <w:numFmt w:val="bullet"/>
      <w:lvlText w:val="•"/>
      <w:lvlJc w:val="left"/>
      <w:pPr>
        <w:ind w:left="4580" w:hanging="708"/>
      </w:pPr>
      <w:rPr>
        <w:rFonts w:hint="default"/>
        <w:lang w:val="pt-BR" w:eastAsia="en-US" w:bidi="ar-SA"/>
      </w:rPr>
    </w:lvl>
    <w:lvl w:ilvl="6" w:tplc="3D3C8C10">
      <w:numFmt w:val="bullet"/>
      <w:lvlText w:val="•"/>
      <w:lvlJc w:val="left"/>
      <w:pPr>
        <w:ind w:left="5476" w:hanging="708"/>
      </w:pPr>
      <w:rPr>
        <w:rFonts w:hint="default"/>
        <w:lang w:val="pt-BR" w:eastAsia="en-US" w:bidi="ar-SA"/>
      </w:rPr>
    </w:lvl>
    <w:lvl w:ilvl="7" w:tplc="C4103E78">
      <w:numFmt w:val="bullet"/>
      <w:lvlText w:val="•"/>
      <w:lvlJc w:val="left"/>
      <w:pPr>
        <w:ind w:left="6372" w:hanging="708"/>
      </w:pPr>
      <w:rPr>
        <w:rFonts w:hint="default"/>
        <w:lang w:val="pt-BR" w:eastAsia="en-US" w:bidi="ar-SA"/>
      </w:rPr>
    </w:lvl>
    <w:lvl w:ilvl="8" w:tplc="D2802770">
      <w:numFmt w:val="bullet"/>
      <w:lvlText w:val="•"/>
      <w:lvlJc w:val="left"/>
      <w:pPr>
        <w:ind w:left="7268" w:hanging="708"/>
      </w:pPr>
      <w:rPr>
        <w:rFonts w:hint="default"/>
        <w:lang w:val="pt-BR" w:eastAsia="en-US" w:bidi="ar-SA"/>
      </w:rPr>
    </w:lvl>
  </w:abstractNum>
  <w:abstractNum w:abstractNumId="39" w15:restartNumberingAfterBreak="0">
    <w:nsid w:val="33BA174F"/>
    <w:multiLevelType w:val="hybridMultilevel"/>
    <w:tmpl w:val="DF1E26E8"/>
    <w:lvl w:ilvl="0" w:tplc="16EA6AD4">
      <w:start w:val="1"/>
      <w:numFmt w:val="decimal"/>
      <w:lvlText w:val="%1."/>
      <w:lvlJc w:val="left"/>
      <w:pPr>
        <w:ind w:left="810" w:hanging="708"/>
      </w:pPr>
      <w:rPr>
        <w:rFonts w:ascii="Times New Roman" w:eastAsia="Times New Roman" w:hAnsi="Times New Roman" w:cs="Times New Roman" w:hint="default"/>
        <w:b w:val="0"/>
        <w:bCs w:val="0"/>
        <w:i w:val="0"/>
        <w:iCs w:val="0"/>
        <w:w w:val="100"/>
        <w:sz w:val="24"/>
        <w:szCs w:val="24"/>
        <w:lang w:val="pt-BR" w:eastAsia="en-US" w:bidi="ar-SA"/>
      </w:rPr>
    </w:lvl>
    <w:lvl w:ilvl="1" w:tplc="CE621FC4">
      <w:start w:val="1"/>
      <w:numFmt w:val="lowerLetter"/>
      <w:lvlText w:val="(%2)"/>
      <w:lvlJc w:val="left"/>
      <w:pPr>
        <w:ind w:left="1542" w:hanging="325"/>
      </w:pPr>
      <w:rPr>
        <w:rFonts w:ascii="Times New Roman" w:eastAsia="Times New Roman" w:hAnsi="Times New Roman" w:cs="Times New Roman" w:hint="default"/>
        <w:b w:val="0"/>
        <w:bCs w:val="0"/>
        <w:i w:val="0"/>
        <w:iCs w:val="0"/>
        <w:spacing w:val="-2"/>
        <w:w w:val="99"/>
        <w:sz w:val="24"/>
        <w:szCs w:val="24"/>
        <w:lang w:val="pt-BR" w:eastAsia="en-US" w:bidi="ar-SA"/>
      </w:rPr>
    </w:lvl>
    <w:lvl w:ilvl="2" w:tplc="EFF8C586">
      <w:start w:val="1"/>
      <w:numFmt w:val="lowerRoman"/>
      <w:lvlText w:val="(%3)"/>
      <w:lvlJc w:val="left"/>
      <w:pPr>
        <w:ind w:left="1542" w:hanging="327"/>
      </w:pPr>
      <w:rPr>
        <w:rFonts w:ascii="Times New Roman" w:eastAsia="Times New Roman" w:hAnsi="Times New Roman" w:cs="Times New Roman" w:hint="default"/>
        <w:b w:val="0"/>
        <w:bCs w:val="0"/>
        <w:i w:val="0"/>
        <w:iCs w:val="0"/>
        <w:w w:val="99"/>
        <w:sz w:val="24"/>
        <w:szCs w:val="24"/>
        <w:lang w:val="pt-BR" w:eastAsia="en-US" w:bidi="ar-SA"/>
      </w:rPr>
    </w:lvl>
    <w:lvl w:ilvl="3" w:tplc="17B84A22">
      <w:numFmt w:val="bullet"/>
      <w:lvlText w:val="•"/>
      <w:lvlJc w:val="left"/>
      <w:pPr>
        <w:ind w:left="3211" w:hanging="327"/>
      </w:pPr>
      <w:rPr>
        <w:rFonts w:hint="default"/>
        <w:lang w:val="pt-BR" w:eastAsia="en-US" w:bidi="ar-SA"/>
      </w:rPr>
    </w:lvl>
    <w:lvl w:ilvl="4" w:tplc="76DA0B2C">
      <w:numFmt w:val="bullet"/>
      <w:lvlText w:val="•"/>
      <w:lvlJc w:val="left"/>
      <w:pPr>
        <w:ind w:left="4046" w:hanging="327"/>
      </w:pPr>
      <w:rPr>
        <w:rFonts w:hint="default"/>
        <w:lang w:val="pt-BR" w:eastAsia="en-US" w:bidi="ar-SA"/>
      </w:rPr>
    </w:lvl>
    <w:lvl w:ilvl="5" w:tplc="03B82466">
      <w:numFmt w:val="bullet"/>
      <w:lvlText w:val="•"/>
      <w:lvlJc w:val="left"/>
      <w:pPr>
        <w:ind w:left="4882" w:hanging="327"/>
      </w:pPr>
      <w:rPr>
        <w:rFonts w:hint="default"/>
        <w:lang w:val="pt-BR" w:eastAsia="en-US" w:bidi="ar-SA"/>
      </w:rPr>
    </w:lvl>
    <w:lvl w:ilvl="6" w:tplc="C7E8AF42">
      <w:numFmt w:val="bullet"/>
      <w:lvlText w:val="•"/>
      <w:lvlJc w:val="left"/>
      <w:pPr>
        <w:ind w:left="5717" w:hanging="327"/>
      </w:pPr>
      <w:rPr>
        <w:rFonts w:hint="default"/>
        <w:lang w:val="pt-BR" w:eastAsia="en-US" w:bidi="ar-SA"/>
      </w:rPr>
    </w:lvl>
    <w:lvl w:ilvl="7" w:tplc="2BB4FAA8">
      <w:numFmt w:val="bullet"/>
      <w:lvlText w:val="•"/>
      <w:lvlJc w:val="left"/>
      <w:pPr>
        <w:ind w:left="6553" w:hanging="327"/>
      </w:pPr>
      <w:rPr>
        <w:rFonts w:hint="default"/>
        <w:lang w:val="pt-BR" w:eastAsia="en-US" w:bidi="ar-SA"/>
      </w:rPr>
    </w:lvl>
    <w:lvl w:ilvl="8" w:tplc="C026291A">
      <w:numFmt w:val="bullet"/>
      <w:lvlText w:val="•"/>
      <w:lvlJc w:val="left"/>
      <w:pPr>
        <w:ind w:left="7388" w:hanging="327"/>
      </w:pPr>
      <w:rPr>
        <w:rFonts w:hint="default"/>
        <w:lang w:val="pt-BR" w:eastAsia="en-US" w:bidi="ar-SA"/>
      </w:rPr>
    </w:lvl>
  </w:abstractNum>
  <w:abstractNum w:abstractNumId="40" w15:restartNumberingAfterBreak="0">
    <w:nsid w:val="34026A64"/>
    <w:multiLevelType w:val="hybridMultilevel"/>
    <w:tmpl w:val="868E6D16"/>
    <w:lvl w:ilvl="0" w:tplc="40C0856A">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A5DEE188">
      <w:start w:val="1"/>
      <w:numFmt w:val="lowerRoman"/>
      <w:lvlText w:val="(%2)"/>
      <w:lvlJc w:val="left"/>
      <w:pPr>
        <w:ind w:left="1182" w:hanging="351"/>
      </w:pPr>
      <w:rPr>
        <w:rFonts w:ascii="Times New Roman" w:eastAsia="Times New Roman" w:hAnsi="Times New Roman" w:cs="Times New Roman" w:hint="default"/>
        <w:b w:val="0"/>
        <w:bCs w:val="0"/>
        <w:i w:val="0"/>
        <w:iCs w:val="0"/>
        <w:w w:val="99"/>
        <w:sz w:val="24"/>
        <w:szCs w:val="24"/>
        <w:lang w:val="pt-BR" w:eastAsia="en-US" w:bidi="ar-SA"/>
      </w:rPr>
    </w:lvl>
    <w:lvl w:ilvl="2" w:tplc="B35A2332">
      <w:numFmt w:val="bullet"/>
      <w:lvlText w:val="•"/>
      <w:lvlJc w:val="left"/>
      <w:pPr>
        <w:ind w:left="2055" w:hanging="351"/>
      </w:pPr>
      <w:rPr>
        <w:rFonts w:hint="default"/>
        <w:lang w:val="pt-BR" w:eastAsia="en-US" w:bidi="ar-SA"/>
      </w:rPr>
    </w:lvl>
    <w:lvl w:ilvl="3" w:tplc="81122332">
      <w:numFmt w:val="bullet"/>
      <w:lvlText w:val="•"/>
      <w:lvlJc w:val="left"/>
      <w:pPr>
        <w:ind w:left="2931" w:hanging="351"/>
      </w:pPr>
      <w:rPr>
        <w:rFonts w:hint="default"/>
        <w:lang w:val="pt-BR" w:eastAsia="en-US" w:bidi="ar-SA"/>
      </w:rPr>
    </w:lvl>
    <w:lvl w:ilvl="4" w:tplc="8870D328">
      <w:numFmt w:val="bullet"/>
      <w:lvlText w:val="•"/>
      <w:lvlJc w:val="left"/>
      <w:pPr>
        <w:ind w:left="3806" w:hanging="351"/>
      </w:pPr>
      <w:rPr>
        <w:rFonts w:hint="default"/>
        <w:lang w:val="pt-BR" w:eastAsia="en-US" w:bidi="ar-SA"/>
      </w:rPr>
    </w:lvl>
    <w:lvl w:ilvl="5" w:tplc="366E6640">
      <w:numFmt w:val="bullet"/>
      <w:lvlText w:val="•"/>
      <w:lvlJc w:val="left"/>
      <w:pPr>
        <w:ind w:left="4682" w:hanging="351"/>
      </w:pPr>
      <w:rPr>
        <w:rFonts w:hint="default"/>
        <w:lang w:val="pt-BR" w:eastAsia="en-US" w:bidi="ar-SA"/>
      </w:rPr>
    </w:lvl>
    <w:lvl w:ilvl="6" w:tplc="39083EE6">
      <w:numFmt w:val="bullet"/>
      <w:lvlText w:val="•"/>
      <w:lvlJc w:val="left"/>
      <w:pPr>
        <w:ind w:left="5557" w:hanging="351"/>
      </w:pPr>
      <w:rPr>
        <w:rFonts w:hint="default"/>
        <w:lang w:val="pt-BR" w:eastAsia="en-US" w:bidi="ar-SA"/>
      </w:rPr>
    </w:lvl>
    <w:lvl w:ilvl="7" w:tplc="73F29F16">
      <w:numFmt w:val="bullet"/>
      <w:lvlText w:val="•"/>
      <w:lvlJc w:val="left"/>
      <w:pPr>
        <w:ind w:left="6433" w:hanging="351"/>
      </w:pPr>
      <w:rPr>
        <w:rFonts w:hint="default"/>
        <w:lang w:val="pt-BR" w:eastAsia="en-US" w:bidi="ar-SA"/>
      </w:rPr>
    </w:lvl>
    <w:lvl w:ilvl="8" w:tplc="B0F887EE">
      <w:numFmt w:val="bullet"/>
      <w:lvlText w:val="•"/>
      <w:lvlJc w:val="left"/>
      <w:pPr>
        <w:ind w:left="7308" w:hanging="351"/>
      </w:pPr>
      <w:rPr>
        <w:rFonts w:hint="default"/>
        <w:lang w:val="pt-BR" w:eastAsia="en-US" w:bidi="ar-SA"/>
      </w:rPr>
    </w:lvl>
  </w:abstractNum>
  <w:abstractNum w:abstractNumId="41" w15:restartNumberingAfterBreak="0">
    <w:nsid w:val="34CA775A"/>
    <w:multiLevelType w:val="hybridMultilevel"/>
    <w:tmpl w:val="EF702636"/>
    <w:lvl w:ilvl="0" w:tplc="323EF76A">
      <w:start w:val="1"/>
      <w:numFmt w:val="lowerLetter"/>
      <w:lvlText w:val="(%1)"/>
      <w:lvlJc w:val="left"/>
      <w:pPr>
        <w:ind w:left="102" w:hanging="331"/>
      </w:pPr>
      <w:rPr>
        <w:rFonts w:ascii="Times New Roman" w:eastAsia="Times New Roman" w:hAnsi="Times New Roman" w:cs="Times New Roman" w:hint="default"/>
        <w:b w:val="0"/>
        <w:bCs w:val="0"/>
        <w:i w:val="0"/>
        <w:iCs w:val="0"/>
        <w:spacing w:val="-2"/>
        <w:w w:val="99"/>
        <w:sz w:val="24"/>
        <w:szCs w:val="24"/>
        <w:lang w:val="pt-BR" w:eastAsia="en-US" w:bidi="ar-SA"/>
      </w:rPr>
    </w:lvl>
    <w:lvl w:ilvl="1" w:tplc="3A7ABFA8">
      <w:numFmt w:val="bullet"/>
      <w:lvlText w:val="•"/>
      <w:lvlJc w:val="left"/>
      <w:pPr>
        <w:ind w:left="996" w:hanging="331"/>
      </w:pPr>
      <w:rPr>
        <w:rFonts w:hint="default"/>
        <w:lang w:val="pt-BR" w:eastAsia="en-US" w:bidi="ar-SA"/>
      </w:rPr>
    </w:lvl>
    <w:lvl w:ilvl="2" w:tplc="426CBB54">
      <w:numFmt w:val="bullet"/>
      <w:lvlText w:val="•"/>
      <w:lvlJc w:val="left"/>
      <w:pPr>
        <w:ind w:left="1892" w:hanging="331"/>
      </w:pPr>
      <w:rPr>
        <w:rFonts w:hint="default"/>
        <w:lang w:val="pt-BR" w:eastAsia="en-US" w:bidi="ar-SA"/>
      </w:rPr>
    </w:lvl>
    <w:lvl w:ilvl="3" w:tplc="0CDA7246">
      <w:numFmt w:val="bullet"/>
      <w:lvlText w:val="•"/>
      <w:lvlJc w:val="left"/>
      <w:pPr>
        <w:ind w:left="2788" w:hanging="331"/>
      </w:pPr>
      <w:rPr>
        <w:rFonts w:hint="default"/>
        <w:lang w:val="pt-BR" w:eastAsia="en-US" w:bidi="ar-SA"/>
      </w:rPr>
    </w:lvl>
    <w:lvl w:ilvl="4" w:tplc="4F26D628">
      <w:numFmt w:val="bullet"/>
      <w:lvlText w:val="•"/>
      <w:lvlJc w:val="left"/>
      <w:pPr>
        <w:ind w:left="3684" w:hanging="331"/>
      </w:pPr>
      <w:rPr>
        <w:rFonts w:hint="default"/>
        <w:lang w:val="pt-BR" w:eastAsia="en-US" w:bidi="ar-SA"/>
      </w:rPr>
    </w:lvl>
    <w:lvl w:ilvl="5" w:tplc="5ADC4544">
      <w:numFmt w:val="bullet"/>
      <w:lvlText w:val="•"/>
      <w:lvlJc w:val="left"/>
      <w:pPr>
        <w:ind w:left="4580" w:hanging="331"/>
      </w:pPr>
      <w:rPr>
        <w:rFonts w:hint="default"/>
        <w:lang w:val="pt-BR" w:eastAsia="en-US" w:bidi="ar-SA"/>
      </w:rPr>
    </w:lvl>
    <w:lvl w:ilvl="6" w:tplc="9AE4AB2A">
      <w:numFmt w:val="bullet"/>
      <w:lvlText w:val="•"/>
      <w:lvlJc w:val="left"/>
      <w:pPr>
        <w:ind w:left="5476" w:hanging="331"/>
      </w:pPr>
      <w:rPr>
        <w:rFonts w:hint="default"/>
        <w:lang w:val="pt-BR" w:eastAsia="en-US" w:bidi="ar-SA"/>
      </w:rPr>
    </w:lvl>
    <w:lvl w:ilvl="7" w:tplc="04B4B3F0">
      <w:numFmt w:val="bullet"/>
      <w:lvlText w:val="•"/>
      <w:lvlJc w:val="left"/>
      <w:pPr>
        <w:ind w:left="6372" w:hanging="331"/>
      </w:pPr>
      <w:rPr>
        <w:rFonts w:hint="default"/>
        <w:lang w:val="pt-BR" w:eastAsia="en-US" w:bidi="ar-SA"/>
      </w:rPr>
    </w:lvl>
    <w:lvl w:ilvl="8" w:tplc="A24CBA22">
      <w:numFmt w:val="bullet"/>
      <w:lvlText w:val="•"/>
      <w:lvlJc w:val="left"/>
      <w:pPr>
        <w:ind w:left="7268" w:hanging="331"/>
      </w:pPr>
      <w:rPr>
        <w:rFonts w:hint="default"/>
        <w:lang w:val="pt-BR" w:eastAsia="en-US" w:bidi="ar-SA"/>
      </w:rPr>
    </w:lvl>
  </w:abstractNum>
  <w:abstractNum w:abstractNumId="42" w15:restartNumberingAfterBreak="0">
    <w:nsid w:val="393155B9"/>
    <w:multiLevelType w:val="hybridMultilevel"/>
    <w:tmpl w:val="BAA6F962"/>
    <w:lvl w:ilvl="0" w:tplc="FFFFFFFF">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FFFFFFFF">
      <w:numFmt w:val="bullet"/>
      <w:lvlText w:val="•"/>
      <w:lvlJc w:val="left"/>
      <w:pPr>
        <w:ind w:left="996" w:hanging="708"/>
      </w:pPr>
      <w:rPr>
        <w:rFonts w:hint="default"/>
        <w:lang w:val="pt-BR" w:eastAsia="en-US" w:bidi="ar-SA"/>
      </w:rPr>
    </w:lvl>
    <w:lvl w:ilvl="2" w:tplc="FFFFFFFF">
      <w:numFmt w:val="bullet"/>
      <w:lvlText w:val="•"/>
      <w:lvlJc w:val="left"/>
      <w:pPr>
        <w:ind w:left="1892" w:hanging="708"/>
      </w:pPr>
      <w:rPr>
        <w:rFonts w:hint="default"/>
        <w:lang w:val="pt-BR" w:eastAsia="en-US" w:bidi="ar-SA"/>
      </w:rPr>
    </w:lvl>
    <w:lvl w:ilvl="3" w:tplc="FFFFFFFF">
      <w:numFmt w:val="bullet"/>
      <w:lvlText w:val="•"/>
      <w:lvlJc w:val="left"/>
      <w:pPr>
        <w:ind w:left="2788" w:hanging="708"/>
      </w:pPr>
      <w:rPr>
        <w:rFonts w:hint="default"/>
        <w:lang w:val="pt-BR" w:eastAsia="en-US" w:bidi="ar-SA"/>
      </w:rPr>
    </w:lvl>
    <w:lvl w:ilvl="4" w:tplc="FFFFFFFF">
      <w:numFmt w:val="bullet"/>
      <w:lvlText w:val="•"/>
      <w:lvlJc w:val="left"/>
      <w:pPr>
        <w:ind w:left="3684" w:hanging="708"/>
      </w:pPr>
      <w:rPr>
        <w:rFonts w:hint="default"/>
        <w:lang w:val="pt-BR" w:eastAsia="en-US" w:bidi="ar-SA"/>
      </w:rPr>
    </w:lvl>
    <w:lvl w:ilvl="5" w:tplc="FFFFFFFF">
      <w:numFmt w:val="bullet"/>
      <w:lvlText w:val="•"/>
      <w:lvlJc w:val="left"/>
      <w:pPr>
        <w:ind w:left="4580" w:hanging="708"/>
      </w:pPr>
      <w:rPr>
        <w:rFonts w:hint="default"/>
        <w:lang w:val="pt-BR" w:eastAsia="en-US" w:bidi="ar-SA"/>
      </w:rPr>
    </w:lvl>
    <w:lvl w:ilvl="6" w:tplc="FFFFFFFF">
      <w:numFmt w:val="bullet"/>
      <w:lvlText w:val="•"/>
      <w:lvlJc w:val="left"/>
      <w:pPr>
        <w:ind w:left="5476" w:hanging="708"/>
      </w:pPr>
      <w:rPr>
        <w:rFonts w:hint="default"/>
        <w:lang w:val="pt-BR" w:eastAsia="en-US" w:bidi="ar-SA"/>
      </w:rPr>
    </w:lvl>
    <w:lvl w:ilvl="7" w:tplc="FFFFFFFF">
      <w:numFmt w:val="bullet"/>
      <w:lvlText w:val="•"/>
      <w:lvlJc w:val="left"/>
      <w:pPr>
        <w:ind w:left="6372" w:hanging="708"/>
      </w:pPr>
      <w:rPr>
        <w:rFonts w:hint="default"/>
        <w:lang w:val="pt-BR" w:eastAsia="en-US" w:bidi="ar-SA"/>
      </w:rPr>
    </w:lvl>
    <w:lvl w:ilvl="8" w:tplc="FFFFFFFF">
      <w:numFmt w:val="bullet"/>
      <w:lvlText w:val="•"/>
      <w:lvlJc w:val="left"/>
      <w:pPr>
        <w:ind w:left="7268" w:hanging="708"/>
      </w:pPr>
      <w:rPr>
        <w:rFonts w:hint="default"/>
        <w:lang w:val="pt-BR" w:eastAsia="en-US" w:bidi="ar-SA"/>
      </w:rPr>
    </w:lvl>
  </w:abstractNum>
  <w:abstractNum w:abstractNumId="43" w15:restartNumberingAfterBreak="0">
    <w:nsid w:val="3DC279C6"/>
    <w:multiLevelType w:val="hybridMultilevel"/>
    <w:tmpl w:val="DF846ABC"/>
    <w:lvl w:ilvl="0" w:tplc="0E06633C">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4A3E84D8">
      <w:start w:val="1"/>
      <w:numFmt w:val="lowerLetter"/>
      <w:lvlText w:val="(%2)"/>
      <w:lvlJc w:val="left"/>
      <w:pPr>
        <w:ind w:left="822" w:hanging="334"/>
      </w:pPr>
      <w:rPr>
        <w:rFonts w:ascii="Times New Roman" w:eastAsia="Times New Roman" w:hAnsi="Times New Roman" w:cs="Times New Roman" w:hint="default"/>
        <w:b w:val="0"/>
        <w:bCs w:val="0"/>
        <w:i w:val="0"/>
        <w:iCs w:val="0"/>
        <w:spacing w:val="-2"/>
        <w:w w:val="99"/>
        <w:sz w:val="24"/>
        <w:szCs w:val="24"/>
        <w:lang w:val="pt-BR" w:eastAsia="en-US" w:bidi="ar-SA"/>
      </w:rPr>
    </w:lvl>
    <w:lvl w:ilvl="2" w:tplc="CD98EF30">
      <w:numFmt w:val="bullet"/>
      <w:lvlText w:val="•"/>
      <w:lvlJc w:val="left"/>
      <w:pPr>
        <w:ind w:left="1735" w:hanging="334"/>
      </w:pPr>
      <w:rPr>
        <w:rFonts w:hint="default"/>
        <w:lang w:val="pt-BR" w:eastAsia="en-US" w:bidi="ar-SA"/>
      </w:rPr>
    </w:lvl>
    <w:lvl w:ilvl="3" w:tplc="9888090A">
      <w:numFmt w:val="bullet"/>
      <w:lvlText w:val="•"/>
      <w:lvlJc w:val="left"/>
      <w:pPr>
        <w:ind w:left="2651" w:hanging="334"/>
      </w:pPr>
      <w:rPr>
        <w:rFonts w:hint="default"/>
        <w:lang w:val="pt-BR" w:eastAsia="en-US" w:bidi="ar-SA"/>
      </w:rPr>
    </w:lvl>
    <w:lvl w:ilvl="4" w:tplc="03E2725A">
      <w:numFmt w:val="bullet"/>
      <w:lvlText w:val="•"/>
      <w:lvlJc w:val="left"/>
      <w:pPr>
        <w:ind w:left="3566" w:hanging="334"/>
      </w:pPr>
      <w:rPr>
        <w:rFonts w:hint="default"/>
        <w:lang w:val="pt-BR" w:eastAsia="en-US" w:bidi="ar-SA"/>
      </w:rPr>
    </w:lvl>
    <w:lvl w:ilvl="5" w:tplc="7C707034">
      <w:numFmt w:val="bullet"/>
      <w:lvlText w:val="•"/>
      <w:lvlJc w:val="left"/>
      <w:pPr>
        <w:ind w:left="4482" w:hanging="334"/>
      </w:pPr>
      <w:rPr>
        <w:rFonts w:hint="default"/>
        <w:lang w:val="pt-BR" w:eastAsia="en-US" w:bidi="ar-SA"/>
      </w:rPr>
    </w:lvl>
    <w:lvl w:ilvl="6" w:tplc="F6EC7994">
      <w:numFmt w:val="bullet"/>
      <w:lvlText w:val="•"/>
      <w:lvlJc w:val="left"/>
      <w:pPr>
        <w:ind w:left="5397" w:hanging="334"/>
      </w:pPr>
      <w:rPr>
        <w:rFonts w:hint="default"/>
        <w:lang w:val="pt-BR" w:eastAsia="en-US" w:bidi="ar-SA"/>
      </w:rPr>
    </w:lvl>
    <w:lvl w:ilvl="7" w:tplc="B304267A">
      <w:numFmt w:val="bullet"/>
      <w:lvlText w:val="•"/>
      <w:lvlJc w:val="left"/>
      <w:pPr>
        <w:ind w:left="6313" w:hanging="334"/>
      </w:pPr>
      <w:rPr>
        <w:rFonts w:hint="default"/>
        <w:lang w:val="pt-BR" w:eastAsia="en-US" w:bidi="ar-SA"/>
      </w:rPr>
    </w:lvl>
    <w:lvl w:ilvl="8" w:tplc="9D5A0760">
      <w:numFmt w:val="bullet"/>
      <w:lvlText w:val="•"/>
      <w:lvlJc w:val="left"/>
      <w:pPr>
        <w:ind w:left="7228" w:hanging="334"/>
      </w:pPr>
      <w:rPr>
        <w:rFonts w:hint="default"/>
        <w:lang w:val="pt-BR" w:eastAsia="en-US" w:bidi="ar-SA"/>
      </w:rPr>
    </w:lvl>
  </w:abstractNum>
  <w:abstractNum w:abstractNumId="44" w15:restartNumberingAfterBreak="0">
    <w:nsid w:val="3FD46FF4"/>
    <w:multiLevelType w:val="hybridMultilevel"/>
    <w:tmpl w:val="47CCF524"/>
    <w:lvl w:ilvl="0" w:tplc="1D049AC8">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62B8A56E">
      <w:start w:val="1"/>
      <w:numFmt w:val="lowerLetter"/>
      <w:lvlText w:val="(%2)"/>
      <w:lvlJc w:val="left"/>
      <w:pPr>
        <w:ind w:left="822" w:hanging="346"/>
      </w:pPr>
      <w:rPr>
        <w:rFonts w:ascii="Times New Roman" w:eastAsia="Times New Roman" w:hAnsi="Times New Roman" w:cs="Times New Roman" w:hint="default"/>
        <w:b w:val="0"/>
        <w:bCs w:val="0"/>
        <w:i w:val="0"/>
        <w:iCs w:val="0"/>
        <w:spacing w:val="-2"/>
        <w:w w:val="99"/>
        <w:sz w:val="24"/>
        <w:szCs w:val="24"/>
        <w:lang w:val="pt-BR" w:eastAsia="en-US" w:bidi="ar-SA"/>
      </w:rPr>
    </w:lvl>
    <w:lvl w:ilvl="2" w:tplc="FC56FC5E">
      <w:numFmt w:val="bullet"/>
      <w:lvlText w:val="•"/>
      <w:lvlJc w:val="left"/>
      <w:pPr>
        <w:ind w:left="1735" w:hanging="346"/>
      </w:pPr>
      <w:rPr>
        <w:rFonts w:hint="default"/>
        <w:lang w:val="pt-BR" w:eastAsia="en-US" w:bidi="ar-SA"/>
      </w:rPr>
    </w:lvl>
    <w:lvl w:ilvl="3" w:tplc="2B3CF064">
      <w:numFmt w:val="bullet"/>
      <w:lvlText w:val="•"/>
      <w:lvlJc w:val="left"/>
      <w:pPr>
        <w:ind w:left="2651" w:hanging="346"/>
      </w:pPr>
      <w:rPr>
        <w:rFonts w:hint="default"/>
        <w:lang w:val="pt-BR" w:eastAsia="en-US" w:bidi="ar-SA"/>
      </w:rPr>
    </w:lvl>
    <w:lvl w:ilvl="4" w:tplc="CFEE619A">
      <w:numFmt w:val="bullet"/>
      <w:lvlText w:val="•"/>
      <w:lvlJc w:val="left"/>
      <w:pPr>
        <w:ind w:left="3566" w:hanging="346"/>
      </w:pPr>
      <w:rPr>
        <w:rFonts w:hint="default"/>
        <w:lang w:val="pt-BR" w:eastAsia="en-US" w:bidi="ar-SA"/>
      </w:rPr>
    </w:lvl>
    <w:lvl w:ilvl="5" w:tplc="A83A3428">
      <w:numFmt w:val="bullet"/>
      <w:lvlText w:val="•"/>
      <w:lvlJc w:val="left"/>
      <w:pPr>
        <w:ind w:left="4482" w:hanging="346"/>
      </w:pPr>
      <w:rPr>
        <w:rFonts w:hint="default"/>
        <w:lang w:val="pt-BR" w:eastAsia="en-US" w:bidi="ar-SA"/>
      </w:rPr>
    </w:lvl>
    <w:lvl w:ilvl="6" w:tplc="36142C7E">
      <w:numFmt w:val="bullet"/>
      <w:lvlText w:val="•"/>
      <w:lvlJc w:val="left"/>
      <w:pPr>
        <w:ind w:left="5397" w:hanging="346"/>
      </w:pPr>
      <w:rPr>
        <w:rFonts w:hint="default"/>
        <w:lang w:val="pt-BR" w:eastAsia="en-US" w:bidi="ar-SA"/>
      </w:rPr>
    </w:lvl>
    <w:lvl w:ilvl="7" w:tplc="4A14500E">
      <w:numFmt w:val="bullet"/>
      <w:lvlText w:val="•"/>
      <w:lvlJc w:val="left"/>
      <w:pPr>
        <w:ind w:left="6313" w:hanging="346"/>
      </w:pPr>
      <w:rPr>
        <w:rFonts w:hint="default"/>
        <w:lang w:val="pt-BR" w:eastAsia="en-US" w:bidi="ar-SA"/>
      </w:rPr>
    </w:lvl>
    <w:lvl w:ilvl="8" w:tplc="86168986">
      <w:numFmt w:val="bullet"/>
      <w:lvlText w:val="•"/>
      <w:lvlJc w:val="left"/>
      <w:pPr>
        <w:ind w:left="7228" w:hanging="346"/>
      </w:pPr>
      <w:rPr>
        <w:rFonts w:hint="default"/>
        <w:lang w:val="pt-BR" w:eastAsia="en-US" w:bidi="ar-SA"/>
      </w:rPr>
    </w:lvl>
  </w:abstractNum>
  <w:abstractNum w:abstractNumId="45" w15:restartNumberingAfterBreak="0">
    <w:nsid w:val="40791D58"/>
    <w:multiLevelType w:val="hybridMultilevel"/>
    <w:tmpl w:val="0114AAF6"/>
    <w:lvl w:ilvl="0" w:tplc="2368B6C4">
      <w:start w:val="1"/>
      <w:numFmt w:val="lowerLetter"/>
      <w:lvlText w:val="%1)"/>
      <w:lvlJc w:val="left"/>
      <w:pPr>
        <w:ind w:left="222" w:hanging="271"/>
      </w:pPr>
      <w:rPr>
        <w:rFonts w:ascii="Times New Roman" w:eastAsia="Times New Roman" w:hAnsi="Times New Roman" w:cs="Times New Roman" w:hint="default"/>
        <w:b w:val="0"/>
        <w:bCs w:val="0"/>
        <w:i w:val="0"/>
        <w:iCs w:val="0"/>
        <w:spacing w:val="-1"/>
        <w:w w:val="100"/>
        <w:sz w:val="24"/>
        <w:szCs w:val="24"/>
        <w:lang w:val="pt-BR" w:eastAsia="en-US" w:bidi="ar-SA"/>
      </w:rPr>
    </w:lvl>
    <w:lvl w:ilvl="1" w:tplc="F37215B4">
      <w:numFmt w:val="bullet"/>
      <w:lvlText w:val="•"/>
      <w:lvlJc w:val="left"/>
      <w:pPr>
        <w:ind w:left="1120" w:hanging="271"/>
      </w:pPr>
      <w:rPr>
        <w:rFonts w:hint="default"/>
        <w:lang w:val="pt-BR" w:eastAsia="en-US" w:bidi="ar-SA"/>
      </w:rPr>
    </w:lvl>
    <w:lvl w:ilvl="2" w:tplc="E2EAA6F6">
      <w:numFmt w:val="bullet"/>
      <w:lvlText w:val="•"/>
      <w:lvlJc w:val="left"/>
      <w:pPr>
        <w:ind w:left="2020" w:hanging="271"/>
      </w:pPr>
      <w:rPr>
        <w:rFonts w:hint="default"/>
        <w:lang w:val="pt-BR" w:eastAsia="en-US" w:bidi="ar-SA"/>
      </w:rPr>
    </w:lvl>
    <w:lvl w:ilvl="3" w:tplc="DF9E6EC8">
      <w:numFmt w:val="bullet"/>
      <w:lvlText w:val="•"/>
      <w:lvlJc w:val="left"/>
      <w:pPr>
        <w:ind w:left="2920" w:hanging="271"/>
      </w:pPr>
      <w:rPr>
        <w:rFonts w:hint="default"/>
        <w:lang w:val="pt-BR" w:eastAsia="en-US" w:bidi="ar-SA"/>
      </w:rPr>
    </w:lvl>
    <w:lvl w:ilvl="4" w:tplc="69DC735E">
      <w:numFmt w:val="bullet"/>
      <w:lvlText w:val="•"/>
      <w:lvlJc w:val="left"/>
      <w:pPr>
        <w:ind w:left="3820" w:hanging="271"/>
      </w:pPr>
      <w:rPr>
        <w:rFonts w:hint="default"/>
        <w:lang w:val="pt-BR" w:eastAsia="en-US" w:bidi="ar-SA"/>
      </w:rPr>
    </w:lvl>
    <w:lvl w:ilvl="5" w:tplc="5CA45972">
      <w:numFmt w:val="bullet"/>
      <w:lvlText w:val="•"/>
      <w:lvlJc w:val="left"/>
      <w:pPr>
        <w:ind w:left="4720" w:hanging="271"/>
      </w:pPr>
      <w:rPr>
        <w:rFonts w:hint="default"/>
        <w:lang w:val="pt-BR" w:eastAsia="en-US" w:bidi="ar-SA"/>
      </w:rPr>
    </w:lvl>
    <w:lvl w:ilvl="6" w:tplc="F1B2C0B4">
      <w:numFmt w:val="bullet"/>
      <w:lvlText w:val="•"/>
      <w:lvlJc w:val="left"/>
      <w:pPr>
        <w:ind w:left="5620" w:hanging="271"/>
      </w:pPr>
      <w:rPr>
        <w:rFonts w:hint="default"/>
        <w:lang w:val="pt-BR" w:eastAsia="en-US" w:bidi="ar-SA"/>
      </w:rPr>
    </w:lvl>
    <w:lvl w:ilvl="7" w:tplc="3A46D84C">
      <w:numFmt w:val="bullet"/>
      <w:lvlText w:val="•"/>
      <w:lvlJc w:val="left"/>
      <w:pPr>
        <w:ind w:left="6520" w:hanging="271"/>
      </w:pPr>
      <w:rPr>
        <w:rFonts w:hint="default"/>
        <w:lang w:val="pt-BR" w:eastAsia="en-US" w:bidi="ar-SA"/>
      </w:rPr>
    </w:lvl>
    <w:lvl w:ilvl="8" w:tplc="81FAF322">
      <w:numFmt w:val="bullet"/>
      <w:lvlText w:val="•"/>
      <w:lvlJc w:val="left"/>
      <w:pPr>
        <w:ind w:left="7420" w:hanging="271"/>
      </w:pPr>
      <w:rPr>
        <w:rFonts w:hint="default"/>
        <w:lang w:val="pt-BR" w:eastAsia="en-US" w:bidi="ar-SA"/>
      </w:rPr>
    </w:lvl>
  </w:abstractNum>
  <w:abstractNum w:abstractNumId="46" w15:restartNumberingAfterBreak="0">
    <w:nsid w:val="408851B6"/>
    <w:multiLevelType w:val="hybridMultilevel"/>
    <w:tmpl w:val="DF80BAF0"/>
    <w:lvl w:ilvl="0" w:tplc="3A8684F2">
      <w:start w:val="1"/>
      <w:numFmt w:val="decimal"/>
      <w:lvlText w:val="%1."/>
      <w:lvlJc w:val="left"/>
      <w:pPr>
        <w:ind w:left="222" w:hanging="708"/>
      </w:pPr>
      <w:rPr>
        <w:rFonts w:ascii="Times New Roman" w:eastAsia="Times New Roman" w:hAnsi="Times New Roman" w:cs="Times New Roman" w:hint="default"/>
        <w:b w:val="0"/>
        <w:bCs w:val="0"/>
        <w:i w:val="0"/>
        <w:iCs w:val="0"/>
        <w:w w:val="100"/>
        <w:sz w:val="24"/>
        <w:szCs w:val="24"/>
        <w:lang w:val="pt-BR" w:eastAsia="en-US" w:bidi="ar-SA"/>
      </w:rPr>
    </w:lvl>
    <w:lvl w:ilvl="1" w:tplc="AFEC9340">
      <w:numFmt w:val="bullet"/>
      <w:lvlText w:val="•"/>
      <w:lvlJc w:val="left"/>
      <w:pPr>
        <w:ind w:left="1120" w:hanging="708"/>
      </w:pPr>
      <w:rPr>
        <w:rFonts w:hint="default"/>
        <w:lang w:val="pt-BR" w:eastAsia="en-US" w:bidi="ar-SA"/>
      </w:rPr>
    </w:lvl>
    <w:lvl w:ilvl="2" w:tplc="A1DCEF18">
      <w:numFmt w:val="bullet"/>
      <w:lvlText w:val="•"/>
      <w:lvlJc w:val="left"/>
      <w:pPr>
        <w:ind w:left="2020" w:hanging="708"/>
      </w:pPr>
      <w:rPr>
        <w:rFonts w:hint="default"/>
        <w:lang w:val="pt-BR" w:eastAsia="en-US" w:bidi="ar-SA"/>
      </w:rPr>
    </w:lvl>
    <w:lvl w:ilvl="3" w:tplc="05F28F28">
      <w:numFmt w:val="bullet"/>
      <w:lvlText w:val="•"/>
      <w:lvlJc w:val="left"/>
      <w:pPr>
        <w:ind w:left="2920" w:hanging="708"/>
      </w:pPr>
      <w:rPr>
        <w:rFonts w:hint="default"/>
        <w:lang w:val="pt-BR" w:eastAsia="en-US" w:bidi="ar-SA"/>
      </w:rPr>
    </w:lvl>
    <w:lvl w:ilvl="4" w:tplc="72602D32">
      <w:numFmt w:val="bullet"/>
      <w:lvlText w:val="•"/>
      <w:lvlJc w:val="left"/>
      <w:pPr>
        <w:ind w:left="3820" w:hanging="708"/>
      </w:pPr>
      <w:rPr>
        <w:rFonts w:hint="default"/>
        <w:lang w:val="pt-BR" w:eastAsia="en-US" w:bidi="ar-SA"/>
      </w:rPr>
    </w:lvl>
    <w:lvl w:ilvl="5" w:tplc="35FC6450">
      <w:numFmt w:val="bullet"/>
      <w:lvlText w:val="•"/>
      <w:lvlJc w:val="left"/>
      <w:pPr>
        <w:ind w:left="4720" w:hanging="708"/>
      </w:pPr>
      <w:rPr>
        <w:rFonts w:hint="default"/>
        <w:lang w:val="pt-BR" w:eastAsia="en-US" w:bidi="ar-SA"/>
      </w:rPr>
    </w:lvl>
    <w:lvl w:ilvl="6" w:tplc="D6CA8368">
      <w:numFmt w:val="bullet"/>
      <w:lvlText w:val="•"/>
      <w:lvlJc w:val="left"/>
      <w:pPr>
        <w:ind w:left="5620" w:hanging="708"/>
      </w:pPr>
      <w:rPr>
        <w:rFonts w:hint="default"/>
        <w:lang w:val="pt-BR" w:eastAsia="en-US" w:bidi="ar-SA"/>
      </w:rPr>
    </w:lvl>
    <w:lvl w:ilvl="7" w:tplc="91585266">
      <w:numFmt w:val="bullet"/>
      <w:lvlText w:val="•"/>
      <w:lvlJc w:val="left"/>
      <w:pPr>
        <w:ind w:left="6520" w:hanging="708"/>
      </w:pPr>
      <w:rPr>
        <w:rFonts w:hint="default"/>
        <w:lang w:val="pt-BR" w:eastAsia="en-US" w:bidi="ar-SA"/>
      </w:rPr>
    </w:lvl>
    <w:lvl w:ilvl="8" w:tplc="A4C216D2">
      <w:numFmt w:val="bullet"/>
      <w:lvlText w:val="•"/>
      <w:lvlJc w:val="left"/>
      <w:pPr>
        <w:ind w:left="7420" w:hanging="708"/>
      </w:pPr>
      <w:rPr>
        <w:rFonts w:hint="default"/>
        <w:lang w:val="pt-BR" w:eastAsia="en-US" w:bidi="ar-SA"/>
      </w:rPr>
    </w:lvl>
  </w:abstractNum>
  <w:abstractNum w:abstractNumId="47" w15:restartNumberingAfterBreak="0">
    <w:nsid w:val="43A1364F"/>
    <w:multiLevelType w:val="hybridMultilevel"/>
    <w:tmpl w:val="5992D256"/>
    <w:lvl w:ilvl="0" w:tplc="DF488FA6">
      <w:start w:val="1"/>
      <w:numFmt w:val="decimal"/>
      <w:lvlText w:val="%1."/>
      <w:lvlJc w:val="left"/>
      <w:pPr>
        <w:ind w:left="810" w:hanging="708"/>
      </w:pPr>
      <w:rPr>
        <w:rFonts w:ascii="Times New Roman" w:eastAsia="Times New Roman" w:hAnsi="Times New Roman" w:cs="Times New Roman" w:hint="default"/>
        <w:b w:val="0"/>
        <w:bCs w:val="0"/>
        <w:i w:val="0"/>
        <w:iCs w:val="0"/>
        <w:w w:val="100"/>
        <w:sz w:val="24"/>
        <w:szCs w:val="24"/>
        <w:lang w:val="pt-BR" w:eastAsia="en-US" w:bidi="ar-SA"/>
      </w:rPr>
    </w:lvl>
    <w:lvl w:ilvl="1" w:tplc="3A80B990">
      <w:start w:val="1"/>
      <w:numFmt w:val="lowerLetter"/>
      <w:lvlText w:val="(%2)"/>
      <w:lvlJc w:val="left"/>
      <w:pPr>
        <w:ind w:left="1146" w:hanging="325"/>
      </w:pPr>
      <w:rPr>
        <w:rFonts w:ascii="Times New Roman" w:eastAsia="Times New Roman" w:hAnsi="Times New Roman" w:cs="Times New Roman" w:hint="default"/>
        <w:b w:val="0"/>
        <w:bCs w:val="0"/>
        <w:i w:val="0"/>
        <w:iCs w:val="0"/>
        <w:spacing w:val="-2"/>
        <w:w w:val="99"/>
        <w:sz w:val="24"/>
        <w:szCs w:val="24"/>
        <w:lang w:val="pt-BR" w:eastAsia="en-US" w:bidi="ar-SA"/>
      </w:rPr>
    </w:lvl>
    <w:lvl w:ilvl="2" w:tplc="48707A5A">
      <w:start w:val="1"/>
      <w:numFmt w:val="lowerRoman"/>
      <w:lvlText w:val="(%3)"/>
      <w:lvlJc w:val="left"/>
      <w:pPr>
        <w:ind w:left="1827" w:hanging="286"/>
      </w:pPr>
      <w:rPr>
        <w:rFonts w:ascii="Times New Roman" w:eastAsia="Times New Roman" w:hAnsi="Times New Roman" w:cs="Times New Roman" w:hint="default"/>
        <w:b w:val="0"/>
        <w:bCs w:val="0"/>
        <w:i w:val="0"/>
        <w:iCs w:val="0"/>
        <w:w w:val="99"/>
        <w:sz w:val="24"/>
        <w:szCs w:val="24"/>
        <w:lang w:val="pt-BR" w:eastAsia="en-US" w:bidi="ar-SA"/>
      </w:rPr>
    </w:lvl>
    <w:lvl w:ilvl="3" w:tplc="333270D2">
      <w:numFmt w:val="bullet"/>
      <w:lvlText w:val="•"/>
      <w:lvlJc w:val="left"/>
      <w:pPr>
        <w:ind w:left="1820" w:hanging="286"/>
      </w:pPr>
      <w:rPr>
        <w:rFonts w:hint="default"/>
        <w:lang w:val="pt-BR" w:eastAsia="en-US" w:bidi="ar-SA"/>
      </w:rPr>
    </w:lvl>
    <w:lvl w:ilvl="4" w:tplc="BC20952C">
      <w:numFmt w:val="bullet"/>
      <w:lvlText w:val="•"/>
      <w:lvlJc w:val="left"/>
      <w:pPr>
        <w:ind w:left="2854" w:hanging="286"/>
      </w:pPr>
      <w:rPr>
        <w:rFonts w:hint="default"/>
        <w:lang w:val="pt-BR" w:eastAsia="en-US" w:bidi="ar-SA"/>
      </w:rPr>
    </w:lvl>
    <w:lvl w:ilvl="5" w:tplc="29AE769E">
      <w:numFmt w:val="bullet"/>
      <w:lvlText w:val="•"/>
      <w:lvlJc w:val="left"/>
      <w:pPr>
        <w:ind w:left="3888" w:hanging="286"/>
      </w:pPr>
      <w:rPr>
        <w:rFonts w:hint="default"/>
        <w:lang w:val="pt-BR" w:eastAsia="en-US" w:bidi="ar-SA"/>
      </w:rPr>
    </w:lvl>
    <w:lvl w:ilvl="6" w:tplc="0FDCBED2">
      <w:numFmt w:val="bullet"/>
      <w:lvlText w:val="•"/>
      <w:lvlJc w:val="left"/>
      <w:pPr>
        <w:ind w:left="4922" w:hanging="286"/>
      </w:pPr>
      <w:rPr>
        <w:rFonts w:hint="default"/>
        <w:lang w:val="pt-BR" w:eastAsia="en-US" w:bidi="ar-SA"/>
      </w:rPr>
    </w:lvl>
    <w:lvl w:ilvl="7" w:tplc="FDFE99B2">
      <w:numFmt w:val="bullet"/>
      <w:lvlText w:val="•"/>
      <w:lvlJc w:val="left"/>
      <w:pPr>
        <w:ind w:left="5957" w:hanging="286"/>
      </w:pPr>
      <w:rPr>
        <w:rFonts w:hint="default"/>
        <w:lang w:val="pt-BR" w:eastAsia="en-US" w:bidi="ar-SA"/>
      </w:rPr>
    </w:lvl>
    <w:lvl w:ilvl="8" w:tplc="CD9EE1BC">
      <w:numFmt w:val="bullet"/>
      <w:lvlText w:val="•"/>
      <w:lvlJc w:val="left"/>
      <w:pPr>
        <w:ind w:left="6991" w:hanging="286"/>
      </w:pPr>
      <w:rPr>
        <w:rFonts w:hint="default"/>
        <w:lang w:val="pt-BR" w:eastAsia="en-US" w:bidi="ar-SA"/>
      </w:rPr>
    </w:lvl>
  </w:abstractNum>
  <w:abstractNum w:abstractNumId="48" w15:restartNumberingAfterBreak="0">
    <w:nsid w:val="43D45DF3"/>
    <w:multiLevelType w:val="hybridMultilevel"/>
    <w:tmpl w:val="00C28FD0"/>
    <w:lvl w:ilvl="0" w:tplc="A7B2DA12">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6D0E1544">
      <w:numFmt w:val="bullet"/>
      <w:lvlText w:val="•"/>
      <w:lvlJc w:val="left"/>
      <w:pPr>
        <w:ind w:left="996" w:hanging="708"/>
      </w:pPr>
      <w:rPr>
        <w:rFonts w:hint="default"/>
        <w:lang w:val="pt-BR" w:eastAsia="en-US" w:bidi="ar-SA"/>
      </w:rPr>
    </w:lvl>
    <w:lvl w:ilvl="2" w:tplc="470E3C7A">
      <w:numFmt w:val="bullet"/>
      <w:lvlText w:val="•"/>
      <w:lvlJc w:val="left"/>
      <w:pPr>
        <w:ind w:left="1892" w:hanging="708"/>
      </w:pPr>
      <w:rPr>
        <w:rFonts w:hint="default"/>
        <w:lang w:val="pt-BR" w:eastAsia="en-US" w:bidi="ar-SA"/>
      </w:rPr>
    </w:lvl>
    <w:lvl w:ilvl="3" w:tplc="9B9C50A2">
      <w:numFmt w:val="bullet"/>
      <w:lvlText w:val="•"/>
      <w:lvlJc w:val="left"/>
      <w:pPr>
        <w:ind w:left="2788" w:hanging="708"/>
      </w:pPr>
      <w:rPr>
        <w:rFonts w:hint="default"/>
        <w:lang w:val="pt-BR" w:eastAsia="en-US" w:bidi="ar-SA"/>
      </w:rPr>
    </w:lvl>
    <w:lvl w:ilvl="4" w:tplc="EFF63102">
      <w:numFmt w:val="bullet"/>
      <w:lvlText w:val="•"/>
      <w:lvlJc w:val="left"/>
      <w:pPr>
        <w:ind w:left="3684" w:hanging="708"/>
      </w:pPr>
      <w:rPr>
        <w:rFonts w:hint="default"/>
        <w:lang w:val="pt-BR" w:eastAsia="en-US" w:bidi="ar-SA"/>
      </w:rPr>
    </w:lvl>
    <w:lvl w:ilvl="5" w:tplc="8B14059A">
      <w:numFmt w:val="bullet"/>
      <w:lvlText w:val="•"/>
      <w:lvlJc w:val="left"/>
      <w:pPr>
        <w:ind w:left="4580" w:hanging="708"/>
      </w:pPr>
      <w:rPr>
        <w:rFonts w:hint="default"/>
        <w:lang w:val="pt-BR" w:eastAsia="en-US" w:bidi="ar-SA"/>
      </w:rPr>
    </w:lvl>
    <w:lvl w:ilvl="6" w:tplc="5B4020F4">
      <w:numFmt w:val="bullet"/>
      <w:lvlText w:val="•"/>
      <w:lvlJc w:val="left"/>
      <w:pPr>
        <w:ind w:left="5476" w:hanging="708"/>
      </w:pPr>
      <w:rPr>
        <w:rFonts w:hint="default"/>
        <w:lang w:val="pt-BR" w:eastAsia="en-US" w:bidi="ar-SA"/>
      </w:rPr>
    </w:lvl>
    <w:lvl w:ilvl="7" w:tplc="94029ACA">
      <w:numFmt w:val="bullet"/>
      <w:lvlText w:val="•"/>
      <w:lvlJc w:val="left"/>
      <w:pPr>
        <w:ind w:left="6372" w:hanging="708"/>
      </w:pPr>
      <w:rPr>
        <w:rFonts w:hint="default"/>
        <w:lang w:val="pt-BR" w:eastAsia="en-US" w:bidi="ar-SA"/>
      </w:rPr>
    </w:lvl>
    <w:lvl w:ilvl="8" w:tplc="DB5A97B0">
      <w:numFmt w:val="bullet"/>
      <w:lvlText w:val="•"/>
      <w:lvlJc w:val="left"/>
      <w:pPr>
        <w:ind w:left="7268" w:hanging="708"/>
      </w:pPr>
      <w:rPr>
        <w:rFonts w:hint="default"/>
        <w:lang w:val="pt-BR" w:eastAsia="en-US" w:bidi="ar-SA"/>
      </w:rPr>
    </w:lvl>
  </w:abstractNum>
  <w:abstractNum w:abstractNumId="49" w15:restartNumberingAfterBreak="0">
    <w:nsid w:val="445523F3"/>
    <w:multiLevelType w:val="hybridMultilevel"/>
    <w:tmpl w:val="D30AB798"/>
    <w:lvl w:ilvl="0" w:tplc="BDAC03BA">
      <w:start w:val="1"/>
      <w:numFmt w:val="decimal"/>
      <w:lvlText w:val="%1."/>
      <w:lvlJc w:val="left"/>
      <w:pPr>
        <w:ind w:left="853" w:hanging="267"/>
      </w:pPr>
      <w:rPr>
        <w:rFonts w:ascii="Times New Roman" w:eastAsia="Times New Roman" w:hAnsi="Times New Roman" w:cs="Times New Roman" w:hint="default"/>
        <w:b w:val="0"/>
        <w:bCs w:val="0"/>
        <w:i w:val="0"/>
        <w:iCs w:val="0"/>
        <w:w w:val="100"/>
        <w:sz w:val="24"/>
        <w:szCs w:val="24"/>
        <w:lang w:val="pt-BR" w:eastAsia="en-US" w:bidi="ar-SA"/>
      </w:rPr>
    </w:lvl>
    <w:lvl w:ilvl="1" w:tplc="764A74E0">
      <w:numFmt w:val="bullet"/>
      <w:lvlText w:val="•"/>
      <w:lvlJc w:val="left"/>
      <w:pPr>
        <w:ind w:left="1696" w:hanging="267"/>
      </w:pPr>
      <w:rPr>
        <w:rFonts w:hint="default"/>
        <w:lang w:val="pt-BR" w:eastAsia="en-US" w:bidi="ar-SA"/>
      </w:rPr>
    </w:lvl>
    <w:lvl w:ilvl="2" w:tplc="26AE5CE8">
      <w:numFmt w:val="bullet"/>
      <w:lvlText w:val="•"/>
      <w:lvlJc w:val="left"/>
      <w:pPr>
        <w:ind w:left="2532" w:hanging="267"/>
      </w:pPr>
      <w:rPr>
        <w:rFonts w:hint="default"/>
        <w:lang w:val="pt-BR" w:eastAsia="en-US" w:bidi="ar-SA"/>
      </w:rPr>
    </w:lvl>
    <w:lvl w:ilvl="3" w:tplc="9C724C50">
      <w:numFmt w:val="bullet"/>
      <w:lvlText w:val="•"/>
      <w:lvlJc w:val="left"/>
      <w:pPr>
        <w:ind w:left="3368" w:hanging="267"/>
      </w:pPr>
      <w:rPr>
        <w:rFonts w:hint="default"/>
        <w:lang w:val="pt-BR" w:eastAsia="en-US" w:bidi="ar-SA"/>
      </w:rPr>
    </w:lvl>
    <w:lvl w:ilvl="4" w:tplc="0DE45CF2">
      <w:numFmt w:val="bullet"/>
      <w:lvlText w:val="•"/>
      <w:lvlJc w:val="left"/>
      <w:pPr>
        <w:ind w:left="4204" w:hanging="267"/>
      </w:pPr>
      <w:rPr>
        <w:rFonts w:hint="default"/>
        <w:lang w:val="pt-BR" w:eastAsia="en-US" w:bidi="ar-SA"/>
      </w:rPr>
    </w:lvl>
    <w:lvl w:ilvl="5" w:tplc="265E6350">
      <w:numFmt w:val="bullet"/>
      <w:lvlText w:val="•"/>
      <w:lvlJc w:val="left"/>
      <w:pPr>
        <w:ind w:left="5040" w:hanging="267"/>
      </w:pPr>
      <w:rPr>
        <w:rFonts w:hint="default"/>
        <w:lang w:val="pt-BR" w:eastAsia="en-US" w:bidi="ar-SA"/>
      </w:rPr>
    </w:lvl>
    <w:lvl w:ilvl="6" w:tplc="4C5E0B8E">
      <w:numFmt w:val="bullet"/>
      <w:lvlText w:val="•"/>
      <w:lvlJc w:val="left"/>
      <w:pPr>
        <w:ind w:left="5876" w:hanging="267"/>
      </w:pPr>
      <w:rPr>
        <w:rFonts w:hint="default"/>
        <w:lang w:val="pt-BR" w:eastAsia="en-US" w:bidi="ar-SA"/>
      </w:rPr>
    </w:lvl>
    <w:lvl w:ilvl="7" w:tplc="AF668AEA">
      <w:numFmt w:val="bullet"/>
      <w:lvlText w:val="•"/>
      <w:lvlJc w:val="left"/>
      <w:pPr>
        <w:ind w:left="6712" w:hanging="267"/>
      </w:pPr>
      <w:rPr>
        <w:rFonts w:hint="default"/>
        <w:lang w:val="pt-BR" w:eastAsia="en-US" w:bidi="ar-SA"/>
      </w:rPr>
    </w:lvl>
    <w:lvl w:ilvl="8" w:tplc="D92AA3A6">
      <w:numFmt w:val="bullet"/>
      <w:lvlText w:val="•"/>
      <w:lvlJc w:val="left"/>
      <w:pPr>
        <w:ind w:left="7548" w:hanging="267"/>
      </w:pPr>
      <w:rPr>
        <w:rFonts w:hint="default"/>
        <w:lang w:val="pt-BR" w:eastAsia="en-US" w:bidi="ar-SA"/>
      </w:rPr>
    </w:lvl>
  </w:abstractNum>
  <w:abstractNum w:abstractNumId="50" w15:restartNumberingAfterBreak="0">
    <w:nsid w:val="46847023"/>
    <w:multiLevelType w:val="hybridMultilevel"/>
    <w:tmpl w:val="8A6271AE"/>
    <w:lvl w:ilvl="0" w:tplc="C2A840CA">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132AA91E">
      <w:numFmt w:val="bullet"/>
      <w:lvlText w:val="•"/>
      <w:lvlJc w:val="left"/>
      <w:pPr>
        <w:ind w:left="996" w:hanging="708"/>
      </w:pPr>
      <w:rPr>
        <w:rFonts w:hint="default"/>
        <w:lang w:val="pt-BR" w:eastAsia="en-US" w:bidi="ar-SA"/>
      </w:rPr>
    </w:lvl>
    <w:lvl w:ilvl="2" w:tplc="61C669AE">
      <w:numFmt w:val="bullet"/>
      <w:lvlText w:val="•"/>
      <w:lvlJc w:val="left"/>
      <w:pPr>
        <w:ind w:left="1892" w:hanging="708"/>
      </w:pPr>
      <w:rPr>
        <w:rFonts w:hint="default"/>
        <w:lang w:val="pt-BR" w:eastAsia="en-US" w:bidi="ar-SA"/>
      </w:rPr>
    </w:lvl>
    <w:lvl w:ilvl="3" w:tplc="9B8A9012">
      <w:numFmt w:val="bullet"/>
      <w:lvlText w:val="•"/>
      <w:lvlJc w:val="left"/>
      <w:pPr>
        <w:ind w:left="2788" w:hanging="708"/>
      </w:pPr>
      <w:rPr>
        <w:rFonts w:hint="default"/>
        <w:lang w:val="pt-BR" w:eastAsia="en-US" w:bidi="ar-SA"/>
      </w:rPr>
    </w:lvl>
    <w:lvl w:ilvl="4" w:tplc="7ACED030">
      <w:numFmt w:val="bullet"/>
      <w:lvlText w:val="•"/>
      <w:lvlJc w:val="left"/>
      <w:pPr>
        <w:ind w:left="3684" w:hanging="708"/>
      </w:pPr>
      <w:rPr>
        <w:rFonts w:hint="default"/>
        <w:lang w:val="pt-BR" w:eastAsia="en-US" w:bidi="ar-SA"/>
      </w:rPr>
    </w:lvl>
    <w:lvl w:ilvl="5" w:tplc="77545E3E">
      <w:numFmt w:val="bullet"/>
      <w:lvlText w:val="•"/>
      <w:lvlJc w:val="left"/>
      <w:pPr>
        <w:ind w:left="4580" w:hanging="708"/>
      </w:pPr>
      <w:rPr>
        <w:rFonts w:hint="default"/>
        <w:lang w:val="pt-BR" w:eastAsia="en-US" w:bidi="ar-SA"/>
      </w:rPr>
    </w:lvl>
    <w:lvl w:ilvl="6" w:tplc="017080E8">
      <w:numFmt w:val="bullet"/>
      <w:lvlText w:val="•"/>
      <w:lvlJc w:val="left"/>
      <w:pPr>
        <w:ind w:left="5476" w:hanging="708"/>
      </w:pPr>
      <w:rPr>
        <w:rFonts w:hint="default"/>
        <w:lang w:val="pt-BR" w:eastAsia="en-US" w:bidi="ar-SA"/>
      </w:rPr>
    </w:lvl>
    <w:lvl w:ilvl="7" w:tplc="D528D826">
      <w:numFmt w:val="bullet"/>
      <w:lvlText w:val="•"/>
      <w:lvlJc w:val="left"/>
      <w:pPr>
        <w:ind w:left="6372" w:hanging="708"/>
      </w:pPr>
      <w:rPr>
        <w:rFonts w:hint="default"/>
        <w:lang w:val="pt-BR" w:eastAsia="en-US" w:bidi="ar-SA"/>
      </w:rPr>
    </w:lvl>
    <w:lvl w:ilvl="8" w:tplc="A888EAAE">
      <w:numFmt w:val="bullet"/>
      <w:lvlText w:val="•"/>
      <w:lvlJc w:val="left"/>
      <w:pPr>
        <w:ind w:left="7268" w:hanging="708"/>
      </w:pPr>
      <w:rPr>
        <w:rFonts w:hint="default"/>
        <w:lang w:val="pt-BR" w:eastAsia="en-US" w:bidi="ar-SA"/>
      </w:rPr>
    </w:lvl>
  </w:abstractNum>
  <w:abstractNum w:abstractNumId="51" w15:restartNumberingAfterBreak="0">
    <w:nsid w:val="47997C9B"/>
    <w:multiLevelType w:val="hybridMultilevel"/>
    <w:tmpl w:val="267CAE86"/>
    <w:lvl w:ilvl="0" w:tplc="DAB04F9A">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44B66C14">
      <w:start w:val="1"/>
      <w:numFmt w:val="lowerLetter"/>
      <w:lvlText w:val="(%2)"/>
      <w:lvlJc w:val="left"/>
      <w:pPr>
        <w:ind w:left="1146" w:hanging="325"/>
      </w:pPr>
      <w:rPr>
        <w:rFonts w:ascii="Times New Roman" w:eastAsia="Times New Roman" w:hAnsi="Times New Roman" w:cs="Times New Roman" w:hint="default"/>
        <w:b w:val="0"/>
        <w:bCs w:val="0"/>
        <w:i w:val="0"/>
        <w:iCs w:val="0"/>
        <w:spacing w:val="-2"/>
        <w:w w:val="99"/>
        <w:sz w:val="24"/>
        <w:szCs w:val="24"/>
        <w:lang w:val="pt-BR" w:eastAsia="en-US" w:bidi="ar-SA"/>
      </w:rPr>
    </w:lvl>
    <w:lvl w:ilvl="2" w:tplc="94C0EF16">
      <w:numFmt w:val="bullet"/>
      <w:lvlText w:val="•"/>
      <w:lvlJc w:val="left"/>
      <w:pPr>
        <w:ind w:left="1180" w:hanging="325"/>
      </w:pPr>
      <w:rPr>
        <w:rFonts w:hint="default"/>
        <w:lang w:val="pt-BR" w:eastAsia="en-US" w:bidi="ar-SA"/>
      </w:rPr>
    </w:lvl>
    <w:lvl w:ilvl="3" w:tplc="A3244E08">
      <w:numFmt w:val="bullet"/>
      <w:lvlText w:val="•"/>
      <w:lvlJc w:val="left"/>
      <w:pPr>
        <w:ind w:left="2165" w:hanging="325"/>
      </w:pPr>
      <w:rPr>
        <w:rFonts w:hint="default"/>
        <w:lang w:val="pt-BR" w:eastAsia="en-US" w:bidi="ar-SA"/>
      </w:rPr>
    </w:lvl>
    <w:lvl w:ilvl="4" w:tplc="DC72AA58">
      <w:numFmt w:val="bullet"/>
      <w:lvlText w:val="•"/>
      <w:lvlJc w:val="left"/>
      <w:pPr>
        <w:ind w:left="3150" w:hanging="325"/>
      </w:pPr>
      <w:rPr>
        <w:rFonts w:hint="default"/>
        <w:lang w:val="pt-BR" w:eastAsia="en-US" w:bidi="ar-SA"/>
      </w:rPr>
    </w:lvl>
    <w:lvl w:ilvl="5" w:tplc="699C0564">
      <w:numFmt w:val="bullet"/>
      <w:lvlText w:val="•"/>
      <w:lvlJc w:val="left"/>
      <w:pPr>
        <w:ind w:left="4135" w:hanging="325"/>
      </w:pPr>
      <w:rPr>
        <w:rFonts w:hint="default"/>
        <w:lang w:val="pt-BR" w:eastAsia="en-US" w:bidi="ar-SA"/>
      </w:rPr>
    </w:lvl>
    <w:lvl w:ilvl="6" w:tplc="3014FFDA">
      <w:numFmt w:val="bullet"/>
      <w:lvlText w:val="•"/>
      <w:lvlJc w:val="left"/>
      <w:pPr>
        <w:ind w:left="5120" w:hanging="325"/>
      </w:pPr>
      <w:rPr>
        <w:rFonts w:hint="default"/>
        <w:lang w:val="pt-BR" w:eastAsia="en-US" w:bidi="ar-SA"/>
      </w:rPr>
    </w:lvl>
    <w:lvl w:ilvl="7" w:tplc="E54404A2">
      <w:numFmt w:val="bullet"/>
      <w:lvlText w:val="•"/>
      <w:lvlJc w:val="left"/>
      <w:pPr>
        <w:ind w:left="6105" w:hanging="325"/>
      </w:pPr>
      <w:rPr>
        <w:rFonts w:hint="default"/>
        <w:lang w:val="pt-BR" w:eastAsia="en-US" w:bidi="ar-SA"/>
      </w:rPr>
    </w:lvl>
    <w:lvl w:ilvl="8" w:tplc="0318ECBE">
      <w:numFmt w:val="bullet"/>
      <w:lvlText w:val="•"/>
      <w:lvlJc w:val="left"/>
      <w:pPr>
        <w:ind w:left="7090" w:hanging="325"/>
      </w:pPr>
      <w:rPr>
        <w:rFonts w:hint="default"/>
        <w:lang w:val="pt-BR" w:eastAsia="en-US" w:bidi="ar-SA"/>
      </w:rPr>
    </w:lvl>
  </w:abstractNum>
  <w:abstractNum w:abstractNumId="52" w15:restartNumberingAfterBreak="0">
    <w:nsid w:val="4A83366A"/>
    <w:multiLevelType w:val="hybridMultilevel"/>
    <w:tmpl w:val="75F80ABC"/>
    <w:lvl w:ilvl="0" w:tplc="24B45820">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5C26B742">
      <w:numFmt w:val="bullet"/>
      <w:lvlText w:val="•"/>
      <w:lvlJc w:val="left"/>
      <w:pPr>
        <w:ind w:left="996" w:hanging="708"/>
      </w:pPr>
      <w:rPr>
        <w:rFonts w:hint="default"/>
        <w:lang w:val="pt-BR" w:eastAsia="en-US" w:bidi="ar-SA"/>
      </w:rPr>
    </w:lvl>
    <w:lvl w:ilvl="2" w:tplc="EE5CCB96">
      <w:numFmt w:val="bullet"/>
      <w:lvlText w:val="•"/>
      <w:lvlJc w:val="left"/>
      <w:pPr>
        <w:ind w:left="1892" w:hanging="708"/>
      </w:pPr>
      <w:rPr>
        <w:rFonts w:hint="default"/>
        <w:lang w:val="pt-BR" w:eastAsia="en-US" w:bidi="ar-SA"/>
      </w:rPr>
    </w:lvl>
    <w:lvl w:ilvl="3" w:tplc="EC6EBA0A">
      <w:numFmt w:val="bullet"/>
      <w:lvlText w:val="•"/>
      <w:lvlJc w:val="left"/>
      <w:pPr>
        <w:ind w:left="2788" w:hanging="708"/>
      </w:pPr>
      <w:rPr>
        <w:rFonts w:hint="default"/>
        <w:lang w:val="pt-BR" w:eastAsia="en-US" w:bidi="ar-SA"/>
      </w:rPr>
    </w:lvl>
    <w:lvl w:ilvl="4" w:tplc="B8D8EA4A">
      <w:numFmt w:val="bullet"/>
      <w:lvlText w:val="•"/>
      <w:lvlJc w:val="left"/>
      <w:pPr>
        <w:ind w:left="3684" w:hanging="708"/>
      </w:pPr>
      <w:rPr>
        <w:rFonts w:hint="default"/>
        <w:lang w:val="pt-BR" w:eastAsia="en-US" w:bidi="ar-SA"/>
      </w:rPr>
    </w:lvl>
    <w:lvl w:ilvl="5" w:tplc="DAF21552">
      <w:numFmt w:val="bullet"/>
      <w:lvlText w:val="•"/>
      <w:lvlJc w:val="left"/>
      <w:pPr>
        <w:ind w:left="4580" w:hanging="708"/>
      </w:pPr>
      <w:rPr>
        <w:rFonts w:hint="default"/>
        <w:lang w:val="pt-BR" w:eastAsia="en-US" w:bidi="ar-SA"/>
      </w:rPr>
    </w:lvl>
    <w:lvl w:ilvl="6" w:tplc="5D5ABA18">
      <w:numFmt w:val="bullet"/>
      <w:lvlText w:val="•"/>
      <w:lvlJc w:val="left"/>
      <w:pPr>
        <w:ind w:left="5476" w:hanging="708"/>
      </w:pPr>
      <w:rPr>
        <w:rFonts w:hint="default"/>
        <w:lang w:val="pt-BR" w:eastAsia="en-US" w:bidi="ar-SA"/>
      </w:rPr>
    </w:lvl>
    <w:lvl w:ilvl="7" w:tplc="D2A22DD2">
      <w:numFmt w:val="bullet"/>
      <w:lvlText w:val="•"/>
      <w:lvlJc w:val="left"/>
      <w:pPr>
        <w:ind w:left="6372" w:hanging="708"/>
      </w:pPr>
      <w:rPr>
        <w:rFonts w:hint="default"/>
        <w:lang w:val="pt-BR" w:eastAsia="en-US" w:bidi="ar-SA"/>
      </w:rPr>
    </w:lvl>
    <w:lvl w:ilvl="8" w:tplc="2DAC8B00">
      <w:numFmt w:val="bullet"/>
      <w:lvlText w:val="•"/>
      <w:lvlJc w:val="left"/>
      <w:pPr>
        <w:ind w:left="7268" w:hanging="708"/>
      </w:pPr>
      <w:rPr>
        <w:rFonts w:hint="default"/>
        <w:lang w:val="pt-BR" w:eastAsia="en-US" w:bidi="ar-SA"/>
      </w:rPr>
    </w:lvl>
  </w:abstractNum>
  <w:abstractNum w:abstractNumId="53" w15:restartNumberingAfterBreak="0">
    <w:nsid w:val="4DEE5A42"/>
    <w:multiLevelType w:val="hybridMultilevel"/>
    <w:tmpl w:val="E2B00DF8"/>
    <w:lvl w:ilvl="0" w:tplc="5B52B402">
      <w:start w:val="7"/>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56545950">
      <w:start w:val="1"/>
      <w:numFmt w:val="lowerLetter"/>
      <w:lvlText w:val="(%2)"/>
      <w:lvlJc w:val="left"/>
      <w:pPr>
        <w:ind w:left="1182" w:hanging="351"/>
      </w:pPr>
      <w:rPr>
        <w:rFonts w:ascii="Times New Roman" w:eastAsia="Times New Roman" w:hAnsi="Times New Roman" w:cs="Times New Roman" w:hint="default"/>
        <w:b w:val="0"/>
        <w:bCs w:val="0"/>
        <w:i w:val="0"/>
        <w:iCs w:val="0"/>
        <w:spacing w:val="-2"/>
        <w:w w:val="99"/>
        <w:sz w:val="24"/>
        <w:szCs w:val="24"/>
        <w:lang w:val="pt-BR" w:eastAsia="en-US" w:bidi="ar-SA"/>
      </w:rPr>
    </w:lvl>
    <w:lvl w:ilvl="2" w:tplc="BCE41490">
      <w:numFmt w:val="bullet"/>
      <w:lvlText w:val="•"/>
      <w:lvlJc w:val="left"/>
      <w:pPr>
        <w:ind w:left="2055" w:hanging="351"/>
      </w:pPr>
      <w:rPr>
        <w:rFonts w:hint="default"/>
        <w:lang w:val="pt-BR" w:eastAsia="en-US" w:bidi="ar-SA"/>
      </w:rPr>
    </w:lvl>
    <w:lvl w:ilvl="3" w:tplc="37C6282E">
      <w:numFmt w:val="bullet"/>
      <w:lvlText w:val="•"/>
      <w:lvlJc w:val="left"/>
      <w:pPr>
        <w:ind w:left="2931" w:hanging="351"/>
      </w:pPr>
      <w:rPr>
        <w:rFonts w:hint="default"/>
        <w:lang w:val="pt-BR" w:eastAsia="en-US" w:bidi="ar-SA"/>
      </w:rPr>
    </w:lvl>
    <w:lvl w:ilvl="4" w:tplc="B63A6164">
      <w:numFmt w:val="bullet"/>
      <w:lvlText w:val="•"/>
      <w:lvlJc w:val="left"/>
      <w:pPr>
        <w:ind w:left="3806" w:hanging="351"/>
      </w:pPr>
      <w:rPr>
        <w:rFonts w:hint="default"/>
        <w:lang w:val="pt-BR" w:eastAsia="en-US" w:bidi="ar-SA"/>
      </w:rPr>
    </w:lvl>
    <w:lvl w:ilvl="5" w:tplc="B788830E">
      <w:numFmt w:val="bullet"/>
      <w:lvlText w:val="•"/>
      <w:lvlJc w:val="left"/>
      <w:pPr>
        <w:ind w:left="4682" w:hanging="351"/>
      </w:pPr>
      <w:rPr>
        <w:rFonts w:hint="default"/>
        <w:lang w:val="pt-BR" w:eastAsia="en-US" w:bidi="ar-SA"/>
      </w:rPr>
    </w:lvl>
    <w:lvl w:ilvl="6" w:tplc="3C20102C">
      <w:numFmt w:val="bullet"/>
      <w:lvlText w:val="•"/>
      <w:lvlJc w:val="left"/>
      <w:pPr>
        <w:ind w:left="5557" w:hanging="351"/>
      </w:pPr>
      <w:rPr>
        <w:rFonts w:hint="default"/>
        <w:lang w:val="pt-BR" w:eastAsia="en-US" w:bidi="ar-SA"/>
      </w:rPr>
    </w:lvl>
    <w:lvl w:ilvl="7" w:tplc="AB1855C4">
      <w:numFmt w:val="bullet"/>
      <w:lvlText w:val="•"/>
      <w:lvlJc w:val="left"/>
      <w:pPr>
        <w:ind w:left="6433" w:hanging="351"/>
      </w:pPr>
      <w:rPr>
        <w:rFonts w:hint="default"/>
        <w:lang w:val="pt-BR" w:eastAsia="en-US" w:bidi="ar-SA"/>
      </w:rPr>
    </w:lvl>
    <w:lvl w:ilvl="8" w:tplc="D59A1C4E">
      <w:numFmt w:val="bullet"/>
      <w:lvlText w:val="•"/>
      <w:lvlJc w:val="left"/>
      <w:pPr>
        <w:ind w:left="7308" w:hanging="351"/>
      </w:pPr>
      <w:rPr>
        <w:rFonts w:hint="default"/>
        <w:lang w:val="pt-BR" w:eastAsia="en-US" w:bidi="ar-SA"/>
      </w:rPr>
    </w:lvl>
  </w:abstractNum>
  <w:abstractNum w:abstractNumId="54" w15:restartNumberingAfterBreak="0">
    <w:nsid w:val="4F1B0A3A"/>
    <w:multiLevelType w:val="hybridMultilevel"/>
    <w:tmpl w:val="1C006DF4"/>
    <w:lvl w:ilvl="0" w:tplc="C91A6630">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BA748D3A">
      <w:numFmt w:val="bullet"/>
      <w:lvlText w:val="•"/>
      <w:lvlJc w:val="left"/>
      <w:pPr>
        <w:ind w:left="996" w:hanging="708"/>
      </w:pPr>
      <w:rPr>
        <w:rFonts w:hint="default"/>
        <w:lang w:val="pt-BR" w:eastAsia="en-US" w:bidi="ar-SA"/>
      </w:rPr>
    </w:lvl>
    <w:lvl w:ilvl="2" w:tplc="5A34D542">
      <w:numFmt w:val="bullet"/>
      <w:lvlText w:val="•"/>
      <w:lvlJc w:val="left"/>
      <w:pPr>
        <w:ind w:left="1892" w:hanging="708"/>
      </w:pPr>
      <w:rPr>
        <w:rFonts w:hint="default"/>
        <w:lang w:val="pt-BR" w:eastAsia="en-US" w:bidi="ar-SA"/>
      </w:rPr>
    </w:lvl>
    <w:lvl w:ilvl="3" w:tplc="DCCAD6AA">
      <w:numFmt w:val="bullet"/>
      <w:lvlText w:val="•"/>
      <w:lvlJc w:val="left"/>
      <w:pPr>
        <w:ind w:left="2788" w:hanging="708"/>
      </w:pPr>
      <w:rPr>
        <w:rFonts w:hint="default"/>
        <w:lang w:val="pt-BR" w:eastAsia="en-US" w:bidi="ar-SA"/>
      </w:rPr>
    </w:lvl>
    <w:lvl w:ilvl="4" w:tplc="B7C2282E">
      <w:numFmt w:val="bullet"/>
      <w:lvlText w:val="•"/>
      <w:lvlJc w:val="left"/>
      <w:pPr>
        <w:ind w:left="3684" w:hanging="708"/>
      </w:pPr>
      <w:rPr>
        <w:rFonts w:hint="default"/>
        <w:lang w:val="pt-BR" w:eastAsia="en-US" w:bidi="ar-SA"/>
      </w:rPr>
    </w:lvl>
    <w:lvl w:ilvl="5" w:tplc="D576D27C">
      <w:numFmt w:val="bullet"/>
      <w:lvlText w:val="•"/>
      <w:lvlJc w:val="left"/>
      <w:pPr>
        <w:ind w:left="4580" w:hanging="708"/>
      </w:pPr>
      <w:rPr>
        <w:rFonts w:hint="default"/>
        <w:lang w:val="pt-BR" w:eastAsia="en-US" w:bidi="ar-SA"/>
      </w:rPr>
    </w:lvl>
    <w:lvl w:ilvl="6" w:tplc="8452C90E">
      <w:numFmt w:val="bullet"/>
      <w:lvlText w:val="•"/>
      <w:lvlJc w:val="left"/>
      <w:pPr>
        <w:ind w:left="5476" w:hanging="708"/>
      </w:pPr>
      <w:rPr>
        <w:rFonts w:hint="default"/>
        <w:lang w:val="pt-BR" w:eastAsia="en-US" w:bidi="ar-SA"/>
      </w:rPr>
    </w:lvl>
    <w:lvl w:ilvl="7" w:tplc="AD12114E">
      <w:numFmt w:val="bullet"/>
      <w:lvlText w:val="•"/>
      <w:lvlJc w:val="left"/>
      <w:pPr>
        <w:ind w:left="6372" w:hanging="708"/>
      </w:pPr>
      <w:rPr>
        <w:rFonts w:hint="default"/>
        <w:lang w:val="pt-BR" w:eastAsia="en-US" w:bidi="ar-SA"/>
      </w:rPr>
    </w:lvl>
    <w:lvl w:ilvl="8" w:tplc="2A3A4602">
      <w:numFmt w:val="bullet"/>
      <w:lvlText w:val="•"/>
      <w:lvlJc w:val="left"/>
      <w:pPr>
        <w:ind w:left="7268" w:hanging="708"/>
      </w:pPr>
      <w:rPr>
        <w:rFonts w:hint="default"/>
        <w:lang w:val="pt-BR" w:eastAsia="en-US" w:bidi="ar-SA"/>
      </w:rPr>
    </w:lvl>
  </w:abstractNum>
  <w:abstractNum w:abstractNumId="55" w15:restartNumberingAfterBreak="0">
    <w:nsid w:val="51E1707D"/>
    <w:multiLevelType w:val="hybridMultilevel"/>
    <w:tmpl w:val="7702E3A0"/>
    <w:lvl w:ilvl="0" w:tplc="0E9273EC">
      <w:start w:val="1"/>
      <w:numFmt w:val="decimal"/>
      <w:lvlText w:val="%1."/>
      <w:lvlJc w:val="left"/>
      <w:pPr>
        <w:ind w:left="222" w:hanging="708"/>
      </w:pPr>
      <w:rPr>
        <w:rFonts w:ascii="Times New Roman" w:eastAsia="Times New Roman" w:hAnsi="Times New Roman" w:cs="Times New Roman" w:hint="default"/>
        <w:b w:val="0"/>
        <w:bCs w:val="0"/>
        <w:i w:val="0"/>
        <w:iCs w:val="0"/>
        <w:w w:val="100"/>
        <w:sz w:val="24"/>
        <w:szCs w:val="24"/>
        <w:lang w:val="pt-BR" w:eastAsia="en-US" w:bidi="ar-SA"/>
      </w:rPr>
    </w:lvl>
    <w:lvl w:ilvl="1" w:tplc="B55C381C">
      <w:start w:val="1"/>
      <w:numFmt w:val="lowerLetter"/>
      <w:lvlText w:val="%2)"/>
      <w:lvlJc w:val="left"/>
      <w:pPr>
        <w:ind w:left="1302" w:hanging="303"/>
      </w:pPr>
      <w:rPr>
        <w:rFonts w:ascii="Times New Roman" w:eastAsia="Times New Roman" w:hAnsi="Times New Roman" w:cs="Times New Roman" w:hint="default"/>
        <w:b w:val="0"/>
        <w:bCs w:val="0"/>
        <w:i w:val="0"/>
        <w:iCs w:val="0"/>
        <w:spacing w:val="-1"/>
        <w:w w:val="100"/>
        <w:sz w:val="24"/>
        <w:szCs w:val="24"/>
        <w:lang w:val="pt-BR" w:eastAsia="en-US" w:bidi="ar-SA"/>
      </w:rPr>
    </w:lvl>
    <w:lvl w:ilvl="2" w:tplc="0862EEB6">
      <w:numFmt w:val="bullet"/>
      <w:lvlText w:val="•"/>
      <w:lvlJc w:val="left"/>
      <w:pPr>
        <w:ind w:left="2180" w:hanging="303"/>
      </w:pPr>
      <w:rPr>
        <w:rFonts w:hint="default"/>
        <w:lang w:val="pt-BR" w:eastAsia="en-US" w:bidi="ar-SA"/>
      </w:rPr>
    </w:lvl>
    <w:lvl w:ilvl="3" w:tplc="7CF42BDC">
      <w:numFmt w:val="bullet"/>
      <w:lvlText w:val="•"/>
      <w:lvlJc w:val="left"/>
      <w:pPr>
        <w:ind w:left="3060" w:hanging="303"/>
      </w:pPr>
      <w:rPr>
        <w:rFonts w:hint="default"/>
        <w:lang w:val="pt-BR" w:eastAsia="en-US" w:bidi="ar-SA"/>
      </w:rPr>
    </w:lvl>
    <w:lvl w:ilvl="4" w:tplc="1A6AD2F8">
      <w:numFmt w:val="bullet"/>
      <w:lvlText w:val="•"/>
      <w:lvlJc w:val="left"/>
      <w:pPr>
        <w:ind w:left="3940" w:hanging="303"/>
      </w:pPr>
      <w:rPr>
        <w:rFonts w:hint="default"/>
        <w:lang w:val="pt-BR" w:eastAsia="en-US" w:bidi="ar-SA"/>
      </w:rPr>
    </w:lvl>
    <w:lvl w:ilvl="5" w:tplc="15A2333A">
      <w:numFmt w:val="bullet"/>
      <w:lvlText w:val="•"/>
      <w:lvlJc w:val="left"/>
      <w:pPr>
        <w:ind w:left="4820" w:hanging="303"/>
      </w:pPr>
      <w:rPr>
        <w:rFonts w:hint="default"/>
        <w:lang w:val="pt-BR" w:eastAsia="en-US" w:bidi="ar-SA"/>
      </w:rPr>
    </w:lvl>
    <w:lvl w:ilvl="6" w:tplc="C4380B32">
      <w:numFmt w:val="bullet"/>
      <w:lvlText w:val="•"/>
      <w:lvlJc w:val="left"/>
      <w:pPr>
        <w:ind w:left="5700" w:hanging="303"/>
      </w:pPr>
      <w:rPr>
        <w:rFonts w:hint="default"/>
        <w:lang w:val="pt-BR" w:eastAsia="en-US" w:bidi="ar-SA"/>
      </w:rPr>
    </w:lvl>
    <w:lvl w:ilvl="7" w:tplc="ED78CE2C">
      <w:numFmt w:val="bullet"/>
      <w:lvlText w:val="•"/>
      <w:lvlJc w:val="left"/>
      <w:pPr>
        <w:ind w:left="6580" w:hanging="303"/>
      </w:pPr>
      <w:rPr>
        <w:rFonts w:hint="default"/>
        <w:lang w:val="pt-BR" w:eastAsia="en-US" w:bidi="ar-SA"/>
      </w:rPr>
    </w:lvl>
    <w:lvl w:ilvl="8" w:tplc="0CCEBC48">
      <w:numFmt w:val="bullet"/>
      <w:lvlText w:val="•"/>
      <w:lvlJc w:val="left"/>
      <w:pPr>
        <w:ind w:left="7460" w:hanging="303"/>
      </w:pPr>
      <w:rPr>
        <w:rFonts w:hint="default"/>
        <w:lang w:val="pt-BR" w:eastAsia="en-US" w:bidi="ar-SA"/>
      </w:rPr>
    </w:lvl>
  </w:abstractNum>
  <w:abstractNum w:abstractNumId="56" w15:restartNumberingAfterBreak="0">
    <w:nsid w:val="52711195"/>
    <w:multiLevelType w:val="hybridMultilevel"/>
    <w:tmpl w:val="8696B7CA"/>
    <w:lvl w:ilvl="0" w:tplc="707A6296">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A29E29D2">
      <w:numFmt w:val="bullet"/>
      <w:lvlText w:val="•"/>
      <w:lvlJc w:val="left"/>
      <w:pPr>
        <w:ind w:left="996" w:hanging="708"/>
      </w:pPr>
      <w:rPr>
        <w:rFonts w:hint="default"/>
        <w:lang w:val="pt-BR" w:eastAsia="en-US" w:bidi="ar-SA"/>
      </w:rPr>
    </w:lvl>
    <w:lvl w:ilvl="2" w:tplc="A77A883C">
      <w:numFmt w:val="bullet"/>
      <w:lvlText w:val="•"/>
      <w:lvlJc w:val="left"/>
      <w:pPr>
        <w:ind w:left="1892" w:hanging="708"/>
      </w:pPr>
      <w:rPr>
        <w:rFonts w:hint="default"/>
        <w:lang w:val="pt-BR" w:eastAsia="en-US" w:bidi="ar-SA"/>
      </w:rPr>
    </w:lvl>
    <w:lvl w:ilvl="3" w:tplc="C7B2B00E">
      <w:numFmt w:val="bullet"/>
      <w:lvlText w:val="•"/>
      <w:lvlJc w:val="left"/>
      <w:pPr>
        <w:ind w:left="2788" w:hanging="708"/>
      </w:pPr>
      <w:rPr>
        <w:rFonts w:hint="default"/>
        <w:lang w:val="pt-BR" w:eastAsia="en-US" w:bidi="ar-SA"/>
      </w:rPr>
    </w:lvl>
    <w:lvl w:ilvl="4" w:tplc="95A8BD30">
      <w:numFmt w:val="bullet"/>
      <w:lvlText w:val="•"/>
      <w:lvlJc w:val="left"/>
      <w:pPr>
        <w:ind w:left="3684" w:hanging="708"/>
      </w:pPr>
      <w:rPr>
        <w:rFonts w:hint="default"/>
        <w:lang w:val="pt-BR" w:eastAsia="en-US" w:bidi="ar-SA"/>
      </w:rPr>
    </w:lvl>
    <w:lvl w:ilvl="5" w:tplc="67DA958C">
      <w:numFmt w:val="bullet"/>
      <w:lvlText w:val="•"/>
      <w:lvlJc w:val="left"/>
      <w:pPr>
        <w:ind w:left="4580" w:hanging="708"/>
      </w:pPr>
      <w:rPr>
        <w:rFonts w:hint="default"/>
        <w:lang w:val="pt-BR" w:eastAsia="en-US" w:bidi="ar-SA"/>
      </w:rPr>
    </w:lvl>
    <w:lvl w:ilvl="6" w:tplc="A79A2EE8">
      <w:numFmt w:val="bullet"/>
      <w:lvlText w:val="•"/>
      <w:lvlJc w:val="left"/>
      <w:pPr>
        <w:ind w:left="5476" w:hanging="708"/>
      </w:pPr>
      <w:rPr>
        <w:rFonts w:hint="default"/>
        <w:lang w:val="pt-BR" w:eastAsia="en-US" w:bidi="ar-SA"/>
      </w:rPr>
    </w:lvl>
    <w:lvl w:ilvl="7" w:tplc="DC8801F6">
      <w:numFmt w:val="bullet"/>
      <w:lvlText w:val="•"/>
      <w:lvlJc w:val="left"/>
      <w:pPr>
        <w:ind w:left="6372" w:hanging="708"/>
      </w:pPr>
      <w:rPr>
        <w:rFonts w:hint="default"/>
        <w:lang w:val="pt-BR" w:eastAsia="en-US" w:bidi="ar-SA"/>
      </w:rPr>
    </w:lvl>
    <w:lvl w:ilvl="8" w:tplc="9A2C1D48">
      <w:numFmt w:val="bullet"/>
      <w:lvlText w:val="•"/>
      <w:lvlJc w:val="left"/>
      <w:pPr>
        <w:ind w:left="7268" w:hanging="708"/>
      </w:pPr>
      <w:rPr>
        <w:rFonts w:hint="default"/>
        <w:lang w:val="pt-BR" w:eastAsia="en-US" w:bidi="ar-SA"/>
      </w:rPr>
    </w:lvl>
  </w:abstractNum>
  <w:abstractNum w:abstractNumId="57" w15:restartNumberingAfterBreak="0">
    <w:nsid w:val="52F26141"/>
    <w:multiLevelType w:val="hybridMultilevel"/>
    <w:tmpl w:val="FA5416D8"/>
    <w:lvl w:ilvl="0" w:tplc="8488E482">
      <w:numFmt w:val="bullet"/>
      <w:lvlText w:val=""/>
      <w:lvlJc w:val="left"/>
      <w:pPr>
        <w:ind w:left="720" w:hanging="360"/>
      </w:pPr>
      <w:rPr>
        <w:rFonts w:ascii="Symbol" w:eastAsiaTheme="minorHAnsi"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55D80867"/>
    <w:multiLevelType w:val="hybridMultilevel"/>
    <w:tmpl w:val="2EE2FCB4"/>
    <w:lvl w:ilvl="0" w:tplc="460CA342">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C96CB5D4">
      <w:start w:val="1"/>
      <w:numFmt w:val="lowerLetter"/>
      <w:lvlText w:val="(%2)"/>
      <w:lvlJc w:val="left"/>
      <w:pPr>
        <w:ind w:left="822" w:hanging="384"/>
      </w:pPr>
      <w:rPr>
        <w:rFonts w:ascii="Times New Roman" w:eastAsia="Times New Roman" w:hAnsi="Times New Roman" w:cs="Times New Roman" w:hint="default"/>
        <w:b w:val="0"/>
        <w:bCs w:val="0"/>
        <w:i w:val="0"/>
        <w:iCs w:val="0"/>
        <w:spacing w:val="-2"/>
        <w:w w:val="99"/>
        <w:sz w:val="24"/>
        <w:szCs w:val="24"/>
        <w:lang w:val="pt-BR" w:eastAsia="en-US" w:bidi="ar-SA"/>
      </w:rPr>
    </w:lvl>
    <w:lvl w:ilvl="2" w:tplc="FA14619A">
      <w:numFmt w:val="bullet"/>
      <w:lvlText w:val="•"/>
      <w:lvlJc w:val="left"/>
      <w:pPr>
        <w:ind w:left="1735" w:hanging="384"/>
      </w:pPr>
      <w:rPr>
        <w:rFonts w:hint="default"/>
        <w:lang w:val="pt-BR" w:eastAsia="en-US" w:bidi="ar-SA"/>
      </w:rPr>
    </w:lvl>
    <w:lvl w:ilvl="3" w:tplc="B43CFF82">
      <w:numFmt w:val="bullet"/>
      <w:lvlText w:val="•"/>
      <w:lvlJc w:val="left"/>
      <w:pPr>
        <w:ind w:left="2651" w:hanging="384"/>
      </w:pPr>
      <w:rPr>
        <w:rFonts w:hint="default"/>
        <w:lang w:val="pt-BR" w:eastAsia="en-US" w:bidi="ar-SA"/>
      </w:rPr>
    </w:lvl>
    <w:lvl w:ilvl="4" w:tplc="D0FE5F32">
      <w:numFmt w:val="bullet"/>
      <w:lvlText w:val="•"/>
      <w:lvlJc w:val="left"/>
      <w:pPr>
        <w:ind w:left="3566" w:hanging="384"/>
      </w:pPr>
      <w:rPr>
        <w:rFonts w:hint="default"/>
        <w:lang w:val="pt-BR" w:eastAsia="en-US" w:bidi="ar-SA"/>
      </w:rPr>
    </w:lvl>
    <w:lvl w:ilvl="5" w:tplc="89F6306E">
      <w:numFmt w:val="bullet"/>
      <w:lvlText w:val="•"/>
      <w:lvlJc w:val="left"/>
      <w:pPr>
        <w:ind w:left="4482" w:hanging="384"/>
      </w:pPr>
      <w:rPr>
        <w:rFonts w:hint="default"/>
        <w:lang w:val="pt-BR" w:eastAsia="en-US" w:bidi="ar-SA"/>
      </w:rPr>
    </w:lvl>
    <w:lvl w:ilvl="6" w:tplc="3CD0564E">
      <w:numFmt w:val="bullet"/>
      <w:lvlText w:val="•"/>
      <w:lvlJc w:val="left"/>
      <w:pPr>
        <w:ind w:left="5397" w:hanging="384"/>
      </w:pPr>
      <w:rPr>
        <w:rFonts w:hint="default"/>
        <w:lang w:val="pt-BR" w:eastAsia="en-US" w:bidi="ar-SA"/>
      </w:rPr>
    </w:lvl>
    <w:lvl w:ilvl="7" w:tplc="725A41D0">
      <w:numFmt w:val="bullet"/>
      <w:lvlText w:val="•"/>
      <w:lvlJc w:val="left"/>
      <w:pPr>
        <w:ind w:left="6313" w:hanging="384"/>
      </w:pPr>
      <w:rPr>
        <w:rFonts w:hint="default"/>
        <w:lang w:val="pt-BR" w:eastAsia="en-US" w:bidi="ar-SA"/>
      </w:rPr>
    </w:lvl>
    <w:lvl w:ilvl="8" w:tplc="15FA66AA">
      <w:numFmt w:val="bullet"/>
      <w:lvlText w:val="•"/>
      <w:lvlJc w:val="left"/>
      <w:pPr>
        <w:ind w:left="7228" w:hanging="384"/>
      </w:pPr>
      <w:rPr>
        <w:rFonts w:hint="default"/>
        <w:lang w:val="pt-BR" w:eastAsia="en-US" w:bidi="ar-SA"/>
      </w:rPr>
    </w:lvl>
  </w:abstractNum>
  <w:abstractNum w:abstractNumId="59" w15:restartNumberingAfterBreak="0">
    <w:nsid w:val="56E12B07"/>
    <w:multiLevelType w:val="hybridMultilevel"/>
    <w:tmpl w:val="2E0292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584525E8"/>
    <w:multiLevelType w:val="hybridMultilevel"/>
    <w:tmpl w:val="CCE4CC38"/>
    <w:lvl w:ilvl="0" w:tplc="0A6C4856">
      <w:start w:val="2"/>
      <w:numFmt w:val="lowerLetter"/>
      <w:lvlText w:val="(%1)"/>
      <w:lvlJc w:val="left"/>
      <w:pPr>
        <w:ind w:left="822" w:hanging="720"/>
      </w:pPr>
      <w:rPr>
        <w:rFonts w:ascii="Times New Roman" w:eastAsia="Times New Roman" w:hAnsi="Times New Roman" w:cs="Times New Roman" w:hint="default"/>
        <w:b w:val="0"/>
        <w:bCs w:val="0"/>
        <w:i w:val="0"/>
        <w:iCs w:val="0"/>
        <w:w w:val="99"/>
        <w:sz w:val="24"/>
        <w:szCs w:val="24"/>
        <w:lang w:val="pt-BR" w:eastAsia="en-US" w:bidi="ar-SA"/>
      </w:rPr>
    </w:lvl>
    <w:lvl w:ilvl="1" w:tplc="5882E784">
      <w:numFmt w:val="bullet"/>
      <w:lvlText w:val="•"/>
      <w:lvlJc w:val="left"/>
      <w:pPr>
        <w:ind w:left="1180" w:hanging="720"/>
      </w:pPr>
      <w:rPr>
        <w:rFonts w:hint="default"/>
        <w:lang w:val="pt-BR" w:eastAsia="en-US" w:bidi="ar-SA"/>
      </w:rPr>
    </w:lvl>
    <w:lvl w:ilvl="2" w:tplc="49EC7992">
      <w:numFmt w:val="bullet"/>
      <w:lvlText w:val="•"/>
      <w:lvlJc w:val="left"/>
      <w:pPr>
        <w:ind w:left="2055" w:hanging="720"/>
      </w:pPr>
      <w:rPr>
        <w:rFonts w:hint="default"/>
        <w:lang w:val="pt-BR" w:eastAsia="en-US" w:bidi="ar-SA"/>
      </w:rPr>
    </w:lvl>
    <w:lvl w:ilvl="3" w:tplc="67E06DF2">
      <w:numFmt w:val="bullet"/>
      <w:lvlText w:val="•"/>
      <w:lvlJc w:val="left"/>
      <w:pPr>
        <w:ind w:left="2931" w:hanging="720"/>
      </w:pPr>
      <w:rPr>
        <w:rFonts w:hint="default"/>
        <w:lang w:val="pt-BR" w:eastAsia="en-US" w:bidi="ar-SA"/>
      </w:rPr>
    </w:lvl>
    <w:lvl w:ilvl="4" w:tplc="4D8C8B5E">
      <w:numFmt w:val="bullet"/>
      <w:lvlText w:val="•"/>
      <w:lvlJc w:val="left"/>
      <w:pPr>
        <w:ind w:left="3806" w:hanging="720"/>
      </w:pPr>
      <w:rPr>
        <w:rFonts w:hint="default"/>
        <w:lang w:val="pt-BR" w:eastAsia="en-US" w:bidi="ar-SA"/>
      </w:rPr>
    </w:lvl>
    <w:lvl w:ilvl="5" w:tplc="22AEEB26">
      <w:numFmt w:val="bullet"/>
      <w:lvlText w:val="•"/>
      <w:lvlJc w:val="left"/>
      <w:pPr>
        <w:ind w:left="4682" w:hanging="720"/>
      </w:pPr>
      <w:rPr>
        <w:rFonts w:hint="default"/>
        <w:lang w:val="pt-BR" w:eastAsia="en-US" w:bidi="ar-SA"/>
      </w:rPr>
    </w:lvl>
    <w:lvl w:ilvl="6" w:tplc="9440E56C">
      <w:numFmt w:val="bullet"/>
      <w:lvlText w:val="•"/>
      <w:lvlJc w:val="left"/>
      <w:pPr>
        <w:ind w:left="5557" w:hanging="720"/>
      </w:pPr>
      <w:rPr>
        <w:rFonts w:hint="default"/>
        <w:lang w:val="pt-BR" w:eastAsia="en-US" w:bidi="ar-SA"/>
      </w:rPr>
    </w:lvl>
    <w:lvl w:ilvl="7" w:tplc="1C0C61CE">
      <w:numFmt w:val="bullet"/>
      <w:lvlText w:val="•"/>
      <w:lvlJc w:val="left"/>
      <w:pPr>
        <w:ind w:left="6433" w:hanging="720"/>
      </w:pPr>
      <w:rPr>
        <w:rFonts w:hint="default"/>
        <w:lang w:val="pt-BR" w:eastAsia="en-US" w:bidi="ar-SA"/>
      </w:rPr>
    </w:lvl>
    <w:lvl w:ilvl="8" w:tplc="ABF699C2">
      <w:numFmt w:val="bullet"/>
      <w:lvlText w:val="•"/>
      <w:lvlJc w:val="left"/>
      <w:pPr>
        <w:ind w:left="7308" w:hanging="720"/>
      </w:pPr>
      <w:rPr>
        <w:rFonts w:hint="default"/>
        <w:lang w:val="pt-BR" w:eastAsia="en-US" w:bidi="ar-SA"/>
      </w:rPr>
    </w:lvl>
  </w:abstractNum>
  <w:abstractNum w:abstractNumId="61" w15:restartNumberingAfterBreak="0">
    <w:nsid w:val="585A4562"/>
    <w:multiLevelType w:val="hybridMultilevel"/>
    <w:tmpl w:val="1146E612"/>
    <w:lvl w:ilvl="0" w:tplc="D0DC428E">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B7F6D228">
      <w:numFmt w:val="bullet"/>
      <w:lvlText w:val="•"/>
      <w:lvlJc w:val="left"/>
      <w:pPr>
        <w:ind w:left="996" w:hanging="708"/>
      </w:pPr>
      <w:rPr>
        <w:rFonts w:hint="default"/>
        <w:lang w:val="pt-BR" w:eastAsia="en-US" w:bidi="ar-SA"/>
      </w:rPr>
    </w:lvl>
    <w:lvl w:ilvl="2" w:tplc="EDFEC5BC">
      <w:numFmt w:val="bullet"/>
      <w:lvlText w:val="•"/>
      <w:lvlJc w:val="left"/>
      <w:pPr>
        <w:ind w:left="1892" w:hanging="708"/>
      </w:pPr>
      <w:rPr>
        <w:rFonts w:hint="default"/>
        <w:lang w:val="pt-BR" w:eastAsia="en-US" w:bidi="ar-SA"/>
      </w:rPr>
    </w:lvl>
    <w:lvl w:ilvl="3" w:tplc="34728870">
      <w:numFmt w:val="bullet"/>
      <w:lvlText w:val="•"/>
      <w:lvlJc w:val="left"/>
      <w:pPr>
        <w:ind w:left="2788" w:hanging="708"/>
      </w:pPr>
      <w:rPr>
        <w:rFonts w:hint="default"/>
        <w:lang w:val="pt-BR" w:eastAsia="en-US" w:bidi="ar-SA"/>
      </w:rPr>
    </w:lvl>
    <w:lvl w:ilvl="4" w:tplc="D7FA0DF6">
      <w:numFmt w:val="bullet"/>
      <w:lvlText w:val="•"/>
      <w:lvlJc w:val="left"/>
      <w:pPr>
        <w:ind w:left="3684" w:hanging="708"/>
      </w:pPr>
      <w:rPr>
        <w:rFonts w:hint="default"/>
        <w:lang w:val="pt-BR" w:eastAsia="en-US" w:bidi="ar-SA"/>
      </w:rPr>
    </w:lvl>
    <w:lvl w:ilvl="5" w:tplc="D19E0FB6">
      <w:numFmt w:val="bullet"/>
      <w:lvlText w:val="•"/>
      <w:lvlJc w:val="left"/>
      <w:pPr>
        <w:ind w:left="4580" w:hanging="708"/>
      </w:pPr>
      <w:rPr>
        <w:rFonts w:hint="default"/>
        <w:lang w:val="pt-BR" w:eastAsia="en-US" w:bidi="ar-SA"/>
      </w:rPr>
    </w:lvl>
    <w:lvl w:ilvl="6" w:tplc="298427F8">
      <w:numFmt w:val="bullet"/>
      <w:lvlText w:val="•"/>
      <w:lvlJc w:val="left"/>
      <w:pPr>
        <w:ind w:left="5476" w:hanging="708"/>
      </w:pPr>
      <w:rPr>
        <w:rFonts w:hint="default"/>
        <w:lang w:val="pt-BR" w:eastAsia="en-US" w:bidi="ar-SA"/>
      </w:rPr>
    </w:lvl>
    <w:lvl w:ilvl="7" w:tplc="AC9A2488">
      <w:numFmt w:val="bullet"/>
      <w:lvlText w:val="•"/>
      <w:lvlJc w:val="left"/>
      <w:pPr>
        <w:ind w:left="6372" w:hanging="708"/>
      </w:pPr>
      <w:rPr>
        <w:rFonts w:hint="default"/>
        <w:lang w:val="pt-BR" w:eastAsia="en-US" w:bidi="ar-SA"/>
      </w:rPr>
    </w:lvl>
    <w:lvl w:ilvl="8" w:tplc="DBF02C5E">
      <w:numFmt w:val="bullet"/>
      <w:lvlText w:val="•"/>
      <w:lvlJc w:val="left"/>
      <w:pPr>
        <w:ind w:left="7268" w:hanging="708"/>
      </w:pPr>
      <w:rPr>
        <w:rFonts w:hint="default"/>
        <w:lang w:val="pt-BR" w:eastAsia="en-US" w:bidi="ar-SA"/>
      </w:rPr>
    </w:lvl>
  </w:abstractNum>
  <w:abstractNum w:abstractNumId="62" w15:restartNumberingAfterBreak="0">
    <w:nsid w:val="58AB6B22"/>
    <w:multiLevelType w:val="hybridMultilevel"/>
    <w:tmpl w:val="7B1435EE"/>
    <w:lvl w:ilvl="0" w:tplc="33C680F8">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25907CD4">
      <w:start w:val="1"/>
      <w:numFmt w:val="lowerLetter"/>
      <w:lvlText w:val="(%2)"/>
      <w:lvlJc w:val="left"/>
      <w:pPr>
        <w:ind w:left="1182" w:hanging="351"/>
      </w:pPr>
      <w:rPr>
        <w:rFonts w:ascii="Times New Roman" w:eastAsia="Times New Roman" w:hAnsi="Times New Roman" w:cs="Times New Roman" w:hint="default"/>
        <w:b w:val="0"/>
        <w:bCs w:val="0"/>
        <w:i w:val="0"/>
        <w:iCs w:val="0"/>
        <w:spacing w:val="-2"/>
        <w:w w:val="99"/>
        <w:sz w:val="24"/>
        <w:szCs w:val="24"/>
        <w:lang w:val="pt-BR" w:eastAsia="en-US" w:bidi="ar-SA"/>
      </w:rPr>
    </w:lvl>
    <w:lvl w:ilvl="2" w:tplc="4C749788">
      <w:numFmt w:val="bullet"/>
      <w:lvlText w:val="•"/>
      <w:lvlJc w:val="left"/>
      <w:pPr>
        <w:ind w:left="2055" w:hanging="351"/>
      </w:pPr>
      <w:rPr>
        <w:rFonts w:hint="default"/>
        <w:lang w:val="pt-BR" w:eastAsia="en-US" w:bidi="ar-SA"/>
      </w:rPr>
    </w:lvl>
    <w:lvl w:ilvl="3" w:tplc="AF8E7592">
      <w:numFmt w:val="bullet"/>
      <w:lvlText w:val="•"/>
      <w:lvlJc w:val="left"/>
      <w:pPr>
        <w:ind w:left="2931" w:hanging="351"/>
      </w:pPr>
      <w:rPr>
        <w:rFonts w:hint="default"/>
        <w:lang w:val="pt-BR" w:eastAsia="en-US" w:bidi="ar-SA"/>
      </w:rPr>
    </w:lvl>
    <w:lvl w:ilvl="4" w:tplc="D4D2FCD2">
      <w:numFmt w:val="bullet"/>
      <w:lvlText w:val="•"/>
      <w:lvlJc w:val="left"/>
      <w:pPr>
        <w:ind w:left="3806" w:hanging="351"/>
      </w:pPr>
      <w:rPr>
        <w:rFonts w:hint="default"/>
        <w:lang w:val="pt-BR" w:eastAsia="en-US" w:bidi="ar-SA"/>
      </w:rPr>
    </w:lvl>
    <w:lvl w:ilvl="5" w:tplc="9AE25D42">
      <w:numFmt w:val="bullet"/>
      <w:lvlText w:val="•"/>
      <w:lvlJc w:val="left"/>
      <w:pPr>
        <w:ind w:left="4682" w:hanging="351"/>
      </w:pPr>
      <w:rPr>
        <w:rFonts w:hint="default"/>
        <w:lang w:val="pt-BR" w:eastAsia="en-US" w:bidi="ar-SA"/>
      </w:rPr>
    </w:lvl>
    <w:lvl w:ilvl="6" w:tplc="1D7C7D0C">
      <w:numFmt w:val="bullet"/>
      <w:lvlText w:val="•"/>
      <w:lvlJc w:val="left"/>
      <w:pPr>
        <w:ind w:left="5557" w:hanging="351"/>
      </w:pPr>
      <w:rPr>
        <w:rFonts w:hint="default"/>
        <w:lang w:val="pt-BR" w:eastAsia="en-US" w:bidi="ar-SA"/>
      </w:rPr>
    </w:lvl>
    <w:lvl w:ilvl="7" w:tplc="A70C1BB2">
      <w:numFmt w:val="bullet"/>
      <w:lvlText w:val="•"/>
      <w:lvlJc w:val="left"/>
      <w:pPr>
        <w:ind w:left="6433" w:hanging="351"/>
      </w:pPr>
      <w:rPr>
        <w:rFonts w:hint="default"/>
        <w:lang w:val="pt-BR" w:eastAsia="en-US" w:bidi="ar-SA"/>
      </w:rPr>
    </w:lvl>
    <w:lvl w:ilvl="8" w:tplc="CBFAF094">
      <w:numFmt w:val="bullet"/>
      <w:lvlText w:val="•"/>
      <w:lvlJc w:val="left"/>
      <w:pPr>
        <w:ind w:left="7308" w:hanging="351"/>
      </w:pPr>
      <w:rPr>
        <w:rFonts w:hint="default"/>
        <w:lang w:val="pt-BR" w:eastAsia="en-US" w:bidi="ar-SA"/>
      </w:rPr>
    </w:lvl>
  </w:abstractNum>
  <w:abstractNum w:abstractNumId="63" w15:restartNumberingAfterBreak="0">
    <w:nsid w:val="59125417"/>
    <w:multiLevelType w:val="hybridMultilevel"/>
    <w:tmpl w:val="5802BC4C"/>
    <w:lvl w:ilvl="0" w:tplc="691E189A">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2F2E7676">
      <w:start w:val="1"/>
      <w:numFmt w:val="lowerLetter"/>
      <w:lvlText w:val="(%2)"/>
      <w:lvlJc w:val="left"/>
      <w:pPr>
        <w:ind w:left="1362" w:hanging="461"/>
      </w:pPr>
      <w:rPr>
        <w:rFonts w:ascii="Times New Roman" w:eastAsia="Times New Roman" w:hAnsi="Times New Roman" w:cs="Times New Roman" w:hint="default"/>
        <w:b w:val="0"/>
        <w:bCs w:val="0"/>
        <w:i w:val="0"/>
        <w:iCs w:val="0"/>
        <w:spacing w:val="-2"/>
        <w:w w:val="99"/>
        <w:sz w:val="24"/>
        <w:szCs w:val="24"/>
        <w:lang w:val="pt-BR" w:eastAsia="en-US" w:bidi="ar-SA"/>
      </w:rPr>
    </w:lvl>
    <w:lvl w:ilvl="2" w:tplc="250E0362">
      <w:numFmt w:val="bullet"/>
      <w:lvlText w:val="•"/>
      <w:lvlJc w:val="left"/>
      <w:pPr>
        <w:ind w:left="2215" w:hanging="461"/>
      </w:pPr>
      <w:rPr>
        <w:rFonts w:hint="default"/>
        <w:lang w:val="pt-BR" w:eastAsia="en-US" w:bidi="ar-SA"/>
      </w:rPr>
    </w:lvl>
    <w:lvl w:ilvl="3" w:tplc="17F0D246">
      <w:numFmt w:val="bullet"/>
      <w:lvlText w:val="•"/>
      <w:lvlJc w:val="left"/>
      <w:pPr>
        <w:ind w:left="3071" w:hanging="461"/>
      </w:pPr>
      <w:rPr>
        <w:rFonts w:hint="default"/>
        <w:lang w:val="pt-BR" w:eastAsia="en-US" w:bidi="ar-SA"/>
      </w:rPr>
    </w:lvl>
    <w:lvl w:ilvl="4" w:tplc="4A8A0332">
      <w:numFmt w:val="bullet"/>
      <w:lvlText w:val="•"/>
      <w:lvlJc w:val="left"/>
      <w:pPr>
        <w:ind w:left="3926" w:hanging="461"/>
      </w:pPr>
      <w:rPr>
        <w:rFonts w:hint="default"/>
        <w:lang w:val="pt-BR" w:eastAsia="en-US" w:bidi="ar-SA"/>
      </w:rPr>
    </w:lvl>
    <w:lvl w:ilvl="5" w:tplc="17B00A24">
      <w:numFmt w:val="bullet"/>
      <w:lvlText w:val="•"/>
      <w:lvlJc w:val="left"/>
      <w:pPr>
        <w:ind w:left="4782" w:hanging="461"/>
      </w:pPr>
      <w:rPr>
        <w:rFonts w:hint="default"/>
        <w:lang w:val="pt-BR" w:eastAsia="en-US" w:bidi="ar-SA"/>
      </w:rPr>
    </w:lvl>
    <w:lvl w:ilvl="6" w:tplc="7F4E3D02">
      <w:numFmt w:val="bullet"/>
      <w:lvlText w:val="•"/>
      <w:lvlJc w:val="left"/>
      <w:pPr>
        <w:ind w:left="5637" w:hanging="461"/>
      </w:pPr>
      <w:rPr>
        <w:rFonts w:hint="default"/>
        <w:lang w:val="pt-BR" w:eastAsia="en-US" w:bidi="ar-SA"/>
      </w:rPr>
    </w:lvl>
    <w:lvl w:ilvl="7" w:tplc="073001E0">
      <w:numFmt w:val="bullet"/>
      <w:lvlText w:val="•"/>
      <w:lvlJc w:val="left"/>
      <w:pPr>
        <w:ind w:left="6493" w:hanging="461"/>
      </w:pPr>
      <w:rPr>
        <w:rFonts w:hint="default"/>
        <w:lang w:val="pt-BR" w:eastAsia="en-US" w:bidi="ar-SA"/>
      </w:rPr>
    </w:lvl>
    <w:lvl w:ilvl="8" w:tplc="65F6EBA8">
      <w:numFmt w:val="bullet"/>
      <w:lvlText w:val="•"/>
      <w:lvlJc w:val="left"/>
      <w:pPr>
        <w:ind w:left="7348" w:hanging="461"/>
      </w:pPr>
      <w:rPr>
        <w:rFonts w:hint="default"/>
        <w:lang w:val="pt-BR" w:eastAsia="en-US" w:bidi="ar-SA"/>
      </w:rPr>
    </w:lvl>
  </w:abstractNum>
  <w:abstractNum w:abstractNumId="64" w15:restartNumberingAfterBreak="0">
    <w:nsid w:val="5A681C37"/>
    <w:multiLevelType w:val="hybridMultilevel"/>
    <w:tmpl w:val="3216F636"/>
    <w:lvl w:ilvl="0" w:tplc="3F2016EC">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B0DA15F8">
      <w:numFmt w:val="bullet"/>
      <w:lvlText w:val="•"/>
      <w:lvlJc w:val="left"/>
      <w:pPr>
        <w:ind w:left="996" w:hanging="708"/>
      </w:pPr>
      <w:rPr>
        <w:rFonts w:hint="default"/>
        <w:lang w:val="pt-BR" w:eastAsia="en-US" w:bidi="ar-SA"/>
      </w:rPr>
    </w:lvl>
    <w:lvl w:ilvl="2" w:tplc="4D4491E0">
      <w:numFmt w:val="bullet"/>
      <w:lvlText w:val="•"/>
      <w:lvlJc w:val="left"/>
      <w:pPr>
        <w:ind w:left="1892" w:hanging="708"/>
      </w:pPr>
      <w:rPr>
        <w:rFonts w:hint="default"/>
        <w:lang w:val="pt-BR" w:eastAsia="en-US" w:bidi="ar-SA"/>
      </w:rPr>
    </w:lvl>
    <w:lvl w:ilvl="3" w:tplc="DBA85C98">
      <w:numFmt w:val="bullet"/>
      <w:lvlText w:val="•"/>
      <w:lvlJc w:val="left"/>
      <w:pPr>
        <w:ind w:left="2788" w:hanging="708"/>
      </w:pPr>
      <w:rPr>
        <w:rFonts w:hint="default"/>
        <w:lang w:val="pt-BR" w:eastAsia="en-US" w:bidi="ar-SA"/>
      </w:rPr>
    </w:lvl>
    <w:lvl w:ilvl="4" w:tplc="9918BC0E">
      <w:numFmt w:val="bullet"/>
      <w:lvlText w:val="•"/>
      <w:lvlJc w:val="left"/>
      <w:pPr>
        <w:ind w:left="3684" w:hanging="708"/>
      </w:pPr>
      <w:rPr>
        <w:rFonts w:hint="default"/>
        <w:lang w:val="pt-BR" w:eastAsia="en-US" w:bidi="ar-SA"/>
      </w:rPr>
    </w:lvl>
    <w:lvl w:ilvl="5" w:tplc="07DCEB0A">
      <w:numFmt w:val="bullet"/>
      <w:lvlText w:val="•"/>
      <w:lvlJc w:val="left"/>
      <w:pPr>
        <w:ind w:left="4580" w:hanging="708"/>
      </w:pPr>
      <w:rPr>
        <w:rFonts w:hint="default"/>
        <w:lang w:val="pt-BR" w:eastAsia="en-US" w:bidi="ar-SA"/>
      </w:rPr>
    </w:lvl>
    <w:lvl w:ilvl="6" w:tplc="A5F07676">
      <w:numFmt w:val="bullet"/>
      <w:lvlText w:val="•"/>
      <w:lvlJc w:val="left"/>
      <w:pPr>
        <w:ind w:left="5476" w:hanging="708"/>
      </w:pPr>
      <w:rPr>
        <w:rFonts w:hint="default"/>
        <w:lang w:val="pt-BR" w:eastAsia="en-US" w:bidi="ar-SA"/>
      </w:rPr>
    </w:lvl>
    <w:lvl w:ilvl="7" w:tplc="120A662A">
      <w:numFmt w:val="bullet"/>
      <w:lvlText w:val="•"/>
      <w:lvlJc w:val="left"/>
      <w:pPr>
        <w:ind w:left="6372" w:hanging="708"/>
      </w:pPr>
      <w:rPr>
        <w:rFonts w:hint="default"/>
        <w:lang w:val="pt-BR" w:eastAsia="en-US" w:bidi="ar-SA"/>
      </w:rPr>
    </w:lvl>
    <w:lvl w:ilvl="8" w:tplc="CEA05460">
      <w:numFmt w:val="bullet"/>
      <w:lvlText w:val="•"/>
      <w:lvlJc w:val="left"/>
      <w:pPr>
        <w:ind w:left="7268" w:hanging="708"/>
      </w:pPr>
      <w:rPr>
        <w:rFonts w:hint="default"/>
        <w:lang w:val="pt-BR" w:eastAsia="en-US" w:bidi="ar-SA"/>
      </w:rPr>
    </w:lvl>
  </w:abstractNum>
  <w:abstractNum w:abstractNumId="65" w15:restartNumberingAfterBreak="0">
    <w:nsid w:val="5FA7422B"/>
    <w:multiLevelType w:val="hybridMultilevel"/>
    <w:tmpl w:val="513255A4"/>
    <w:lvl w:ilvl="0" w:tplc="0414B530">
      <w:start w:val="1"/>
      <w:numFmt w:val="lowerLetter"/>
      <w:lvlText w:val="(%1)"/>
      <w:lvlJc w:val="left"/>
      <w:pPr>
        <w:ind w:left="426" w:hanging="325"/>
      </w:pPr>
      <w:rPr>
        <w:rFonts w:ascii="Times New Roman" w:eastAsia="Times New Roman" w:hAnsi="Times New Roman" w:cs="Times New Roman" w:hint="default"/>
        <w:b w:val="0"/>
        <w:bCs w:val="0"/>
        <w:i w:val="0"/>
        <w:iCs w:val="0"/>
        <w:spacing w:val="-2"/>
        <w:w w:val="99"/>
        <w:sz w:val="24"/>
        <w:szCs w:val="24"/>
        <w:lang w:val="pt-BR" w:eastAsia="en-US" w:bidi="ar-SA"/>
      </w:rPr>
    </w:lvl>
    <w:lvl w:ilvl="1" w:tplc="9E1AC788">
      <w:start w:val="2"/>
      <w:numFmt w:val="lowerLetter"/>
      <w:lvlText w:val="(%2)"/>
      <w:lvlJc w:val="left"/>
      <w:pPr>
        <w:ind w:left="102" w:hanging="423"/>
      </w:pPr>
      <w:rPr>
        <w:rFonts w:ascii="Times New Roman" w:eastAsia="Times New Roman" w:hAnsi="Times New Roman" w:cs="Times New Roman" w:hint="default"/>
        <w:b w:val="0"/>
        <w:bCs w:val="0"/>
        <w:i w:val="0"/>
        <w:iCs w:val="0"/>
        <w:w w:val="99"/>
        <w:sz w:val="24"/>
        <w:szCs w:val="24"/>
        <w:lang w:val="pt-BR" w:eastAsia="en-US" w:bidi="ar-SA"/>
      </w:rPr>
    </w:lvl>
    <w:lvl w:ilvl="2" w:tplc="23C806A0">
      <w:numFmt w:val="bullet"/>
      <w:lvlText w:val="•"/>
      <w:lvlJc w:val="left"/>
      <w:pPr>
        <w:ind w:left="1380" w:hanging="423"/>
      </w:pPr>
      <w:rPr>
        <w:rFonts w:hint="default"/>
        <w:lang w:val="pt-BR" w:eastAsia="en-US" w:bidi="ar-SA"/>
      </w:rPr>
    </w:lvl>
    <w:lvl w:ilvl="3" w:tplc="89003F40">
      <w:numFmt w:val="bullet"/>
      <w:lvlText w:val="•"/>
      <w:lvlJc w:val="left"/>
      <w:pPr>
        <w:ind w:left="2340" w:hanging="423"/>
      </w:pPr>
      <w:rPr>
        <w:rFonts w:hint="default"/>
        <w:lang w:val="pt-BR" w:eastAsia="en-US" w:bidi="ar-SA"/>
      </w:rPr>
    </w:lvl>
    <w:lvl w:ilvl="4" w:tplc="CD887EE8">
      <w:numFmt w:val="bullet"/>
      <w:lvlText w:val="•"/>
      <w:lvlJc w:val="left"/>
      <w:pPr>
        <w:ind w:left="3300" w:hanging="423"/>
      </w:pPr>
      <w:rPr>
        <w:rFonts w:hint="default"/>
        <w:lang w:val="pt-BR" w:eastAsia="en-US" w:bidi="ar-SA"/>
      </w:rPr>
    </w:lvl>
    <w:lvl w:ilvl="5" w:tplc="0FEC4C8C">
      <w:numFmt w:val="bullet"/>
      <w:lvlText w:val="•"/>
      <w:lvlJc w:val="left"/>
      <w:pPr>
        <w:ind w:left="4260" w:hanging="423"/>
      </w:pPr>
      <w:rPr>
        <w:rFonts w:hint="default"/>
        <w:lang w:val="pt-BR" w:eastAsia="en-US" w:bidi="ar-SA"/>
      </w:rPr>
    </w:lvl>
    <w:lvl w:ilvl="6" w:tplc="14CAFE10">
      <w:numFmt w:val="bullet"/>
      <w:lvlText w:val="•"/>
      <w:lvlJc w:val="left"/>
      <w:pPr>
        <w:ind w:left="5220" w:hanging="423"/>
      </w:pPr>
      <w:rPr>
        <w:rFonts w:hint="default"/>
        <w:lang w:val="pt-BR" w:eastAsia="en-US" w:bidi="ar-SA"/>
      </w:rPr>
    </w:lvl>
    <w:lvl w:ilvl="7" w:tplc="4DA2A360">
      <w:numFmt w:val="bullet"/>
      <w:lvlText w:val="•"/>
      <w:lvlJc w:val="left"/>
      <w:pPr>
        <w:ind w:left="6180" w:hanging="423"/>
      </w:pPr>
      <w:rPr>
        <w:rFonts w:hint="default"/>
        <w:lang w:val="pt-BR" w:eastAsia="en-US" w:bidi="ar-SA"/>
      </w:rPr>
    </w:lvl>
    <w:lvl w:ilvl="8" w:tplc="3514A85C">
      <w:numFmt w:val="bullet"/>
      <w:lvlText w:val="•"/>
      <w:lvlJc w:val="left"/>
      <w:pPr>
        <w:ind w:left="7140" w:hanging="423"/>
      </w:pPr>
      <w:rPr>
        <w:rFonts w:hint="default"/>
        <w:lang w:val="pt-BR" w:eastAsia="en-US" w:bidi="ar-SA"/>
      </w:rPr>
    </w:lvl>
  </w:abstractNum>
  <w:abstractNum w:abstractNumId="66" w15:restartNumberingAfterBreak="0">
    <w:nsid w:val="601270A7"/>
    <w:multiLevelType w:val="hybridMultilevel"/>
    <w:tmpl w:val="0598D938"/>
    <w:lvl w:ilvl="0" w:tplc="F2D68994">
      <w:start w:val="1"/>
      <w:numFmt w:val="decimal"/>
      <w:lvlText w:val="%1."/>
      <w:lvlJc w:val="left"/>
      <w:pPr>
        <w:ind w:left="222" w:hanging="708"/>
      </w:pPr>
      <w:rPr>
        <w:rFonts w:ascii="Times New Roman" w:eastAsia="Times New Roman" w:hAnsi="Times New Roman" w:cs="Times New Roman" w:hint="default"/>
        <w:b w:val="0"/>
        <w:bCs w:val="0"/>
        <w:i w:val="0"/>
        <w:iCs w:val="0"/>
        <w:w w:val="100"/>
        <w:sz w:val="24"/>
        <w:szCs w:val="24"/>
        <w:lang w:val="pt-BR" w:eastAsia="en-US" w:bidi="ar-SA"/>
      </w:rPr>
    </w:lvl>
    <w:lvl w:ilvl="1" w:tplc="676625EC">
      <w:numFmt w:val="bullet"/>
      <w:lvlText w:val="•"/>
      <w:lvlJc w:val="left"/>
      <w:pPr>
        <w:ind w:left="1120" w:hanging="708"/>
      </w:pPr>
      <w:rPr>
        <w:rFonts w:hint="default"/>
        <w:lang w:val="pt-BR" w:eastAsia="en-US" w:bidi="ar-SA"/>
      </w:rPr>
    </w:lvl>
    <w:lvl w:ilvl="2" w:tplc="23AA9B08">
      <w:numFmt w:val="bullet"/>
      <w:lvlText w:val="•"/>
      <w:lvlJc w:val="left"/>
      <w:pPr>
        <w:ind w:left="2020" w:hanging="708"/>
      </w:pPr>
      <w:rPr>
        <w:rFonts w:hint="default"/>
        <w:lang w:val="pt-BR" w:eastAsia="en-US" w:bidi="ar-SA"/>
      </w:rPr>
    </w:lvl>
    <w:lvl w:ilvl="3" w:tplc="244E15AA">
      <w:numFmt w:val="bullet"/>
      <w:lvlText w:val="•"/>
      <w:lvlJc w:val="left"/>
      <w:pPr>
        <w:ind w:left="2920" w:hanging="708"/>
      </w:pPr>
      <w:rPr>
        <w:rFonts w:hint="default"/>
        <w:lang w:val="pt-BR" w:eastAsia="en-US" w:bidi="ar-SA"/>
      </w:rPr>
    </w:lvl>
    <w:lvl w:ilvl="4" w:tplc="8AA452CE">
      <w:numFmt w:val="bullet"/>
      <w:lvlText w:val="•"/>
      <w:lvlJc w:val="left"/>
      <w:pPr>
        <w:ind w:left="3820" w:hanging="708"/>
      </w:pPr>
      <w:rPr>
        <w:rFonts w:hint="default"/>
        <w:lang w:val="pt-BR" w:eastAsia="en-US" w:bidi="ar-SA"/>
      </w:rPr>
    </w:lvl>
    <w:lvl w:ilvl="5" w:tplc="31EA392A">
      <w:numFmt w:val="bullet"/>
      <w:lvlText w:val="•"/>
      <w:lvlJc w:val="left"/>
      <w:pPr>
        <w:ind w:left="4720" w:hanging="708"/>
      </w:pPr>
      <w:rPr>
        <w:rFonts w:hint="default"/>
        <w:lang w:val="pt-BR" w:eastAsia="en-US" w:bidi="ar-SA"/>
      </w:rPr>
    </w:lvl>
    <w:lvl w:ilvl="6" w:tplc="81C4CA32">
      <w:numFmt w:val="bullet"/>
      <w:lvlText w:val="•"/>
      <w:lvlJc w:val="left"/>
      <w:pPr>
        <w:ind w:left="5620" w:hanging="708"/>
      </w:pPr>
      <w:rPr>
        <w:rFonts w:hint="default"/>
        <w:lang w:val="pt-BR" w:eastAsia="en-US" w:bidi="ar-SA"/>
      </w:rPr>
    </w:lvl>
    <w:lvl w:ilvl="7" w:tplc="6908C210">
      <w:numFmt w:val="bullet"/>
      <w:lvlText w:val="•"/>
      <w:lvlJc w:val="left"/>
      <w:pPr>
        <w:ind w:left="6520" w:hanging="708"/>
      </w:pPr>
      <w:rPr>
        <w:rFonts w:hint="default"/>
        <w:lang w:val="pt-BR" w:eastAsia="en-US" w:bidi="ar-SA"/>
      </w:rPr>
    </w:lvl>
    <w:lvl w:ilvl="8" w:tplc="9BF6CF0E">
      <w:numFmt w:val="bullet"/>
      <w:lvlText w:val="•"/>
      <w:lvlJc w:val="left"/>
      <w:pPr>
        <w:ind w:left="7420" w:hanging="708"/>
      </w:pPr>
      <w:rPr>
        <w:rFonts w:hint="default"/>
        <w:lang w:val="pt-BR" w:eastAsia="en-US" w:bidi="ar-SA"/>
      </w:rPr>
    </w:lvl>
  </w:abstractNum>
  <w:abstractNum w:abstractNumId="67" w15:restartNumberingAfterBreak="0">
    <w:nsid w:val="60253A2E"/>
    <w:multiLevelType w:val="hybridMultilevel"/>
    <w:tmpl w:val="75DC19B4"/>
    <w:lvl w:ilvl="0" w:tplc="707A7406">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923EF43C">
      <w:start w:val="1"/>
      <w:numFmt w:val="lowerLetter"/>
      <w:lvlText w:val="(%2)"/>
      <w:lvlJc w:val="left"/>
      <w:pPr>
        <w:ind w:left="1146" w:hanging="325"/>
      </w:pPr>
      <w:rPr>
        <w:rFonts w:ascii="Times New Roman" w:eastAsia="Times New Roman" w:hAnsi="Times New Roman" w:cs="Times New Roman" w:hint="default"/>
        <w:b w:val="0"/>
        <w:bCs w:val="0"/>
        <w:i w:val="0"/>
        <w:iCs w:val="0"/>
        <w:spacing w:val="-2"/>
        <w:w w:val="99"/>
        <w:sz w:val="24"/>
        <w:szCs w:val="24"/>
        <w:lang w:val="pt-BR" w:eastAsia="en-US" w:bidi="ar-SA"/>
      </w:rPr>
    </w:lvl>
    <w:lvl w:ilvl="2" w:tplc="6D20C12C">
      <w:numFmt w:val="bullet"/>
      <w:lvlText w:val="•"/>
      <w:lvlJc w:val="left"/>
      <w:pPr>
        <w:ind w:left="2020" w:hanging="325"/>
      </w:pPr>
      <w:rPr>
        <w:rFonts w:hint="default"/>
        <w:lang w:val="pt-BR" w:eastAsia="en-US" w:bidi="ar-SA"/>
      </w:rPr>
    </w:lvl>
    <w:lvl w:ilvl="3" w:tplc="55725A56">
      <w:numFmt w:val="bullet"/>
      <w:lvlText w:val="•"/>
      <w:lvlJc w:val="left"/>
      <w:pPr>
        <w:ind w:left="2900" w:hanging="325"/>
      </w:pPr>
      <w:rPr>
        <w:rFonts w:hint="default"/>
        <w:lang w:val="pt-BR" w:eastAsia="en-US" w:bidi="ar-SA"/>
      </w:rPr>
    </w:lvl>
    <w:lvl w:ilvl="4" w:tplc="F238F97C">
      <w:numFmt w:val="bullet"/>
      <w:lvlText w:val="•"/>
      <w:lvlJc w:val="left"/>
      <w:pPr>
        <w:ind w:left="3780" w:hanging="325"/>
      </w:pPr>
      <w:rPr>
        <w:rFonts w:hint="default"/>
        <w:lang w:val="pt-BR" w:eastAsia="en-US" w:bidi="ar-SA"/>
      </w:rPr>
    </w:lvl>
    <w:lvl w:ilvl="5" w:tplc="CA687066">
      <w:numFmt w:val="bullet"/>
      <w:lvlText w:val="•"/>
      <w:lvlJc w:val="left"/>
      <w:pPr>
        <w:ind w:left="4660" w:hanging="325"/>
      </w:pPr>
      <w:rPr>
        <w:rFonts w:hint="default"/>
        <w:lang w:val="pt-BR" w:eastAsia="en-US" w:bidi="ar-SA"/>
      </w:rPr>
    </w:lvl>
    <w:lvl w:ilvl="6" w:tplc="898072F8">
      <w:numFmt w:val="bullet"/>
      <w:lvlText w:val="•"/>
      <w:lvlJc w:val="left"/>
      <w:pPr>
        <w:ind w:left="5540" w:hanging="325"/>
      </w:pPr>
      <w:rPr>
        <w:rFonts w:hint="default"/>
        <w:lang w:val="pt-BR" w:eastAsia="en-US" w:bidi="ar-SA"/>
      </w:rPr>
    </w:lvl>
    <w:lvl w:ilvl="7" w:tplc="FE2A56F2">
      <w:numFmt w:val="bullet"/>
      <w:lvlText w:val="•"/>
      <w:lvlJc w:val="left"/>
      <w:pPr>
        <w:ind w:left="6420" w:hanging="325"/>
      </w:pPr>
      <w:rPr>
        <w:rFonts w:hint="default"/>
        <w:lang w:val="pt-BR" w:eastAsia="en-US" w:bidi="ar-SA"/>
      </w:rPr>
    </w:lvl>
    <w:lvl w:ilvl="8" w:tplc="FFE24B26">
      <w:numFmt w:val="bullet"/>
      <w:lvlText w:val="•"/>
      <w:lvlJc w:val="left"/>
      <w:pPr>
        <w:ind w:left="7300" w:hanging="325"/>
      </w:pPr>
      <w:rPr>
        <w:rFonts w:hint="default"/>
        <w:lang w:val="pt-BR" w:eastAsia="en-US" w:bidi="ar-SA"/>
      </w:rPr>
    </w:lvl>
  </w:abstractNum>
  <w:abstractNum w:abstractNumId="68" w15:restartNumberingAfterBreak="0">
    <w:nsid w:val="63366079"/>
    <w:multiLevelType w:val="hybridMultilevel"/>
    <w:tmpl w:val="64C06EF8"/>
    <w:lvl w:ilvl="0" w:tplc="8AD6C328">
      <w:start w:val="1"/>
      <w:numFmt w:val="decimal"/>
      <w:lvlText w:val="%1."/>
      <w:lvlJc w:val="left"/>
      <w:pPr>
        <w:ind w:left="462" w:hanging="360"/>
      </w:pPr>
      <w:rPr>
        <w:rFonts w:hint="default"/>
        <w:i w:val="0"/>
        <w:iCs w:val="0"/>
        <w:u w:val="none"/>
      </w:rPr>
    </w:lvl>
    <w:lvl w:ilvl="1" w:tplc="04160019" w:tentative="1">
      <w:start w:val="1"/>
      <w:numFmt w:val="lowerLetter"/>
      <w:lvlText w:val="%2."/>
      <w:lvlJc w:val="left"/>
      <w:pPr>
        <w:ind w:left="1182" w:hanging="360"/>
      </w:pPr>
    </w:lvl>
    <w:lvl w:ilvl="2" w:tplc="0416001B" w:tentative="1">
      <w:start w:val="1"/>
      <w:numFmt w:val="lowerRoman"/>
      <w:lvlText w:val="%3."/>
      <w:lvlJc w:val="right"/>
      <w:pPr>
        <w:ind w:left="1902" w:hanging="180"/>
      </w:pPr>
    </w:lvl>
    <w:lvl w:ilvl="3" w:tplc="0416000F" w:tentative="1">
      <w:start w:val="1"/>
      <w:numFmt w:val="decimal"/>
      <w:lvlText w:val="%4."/>
      <w:lvlJc w:val="left"/>
      <w:pPr>
        <w:ind w:left="2622" w:hanging="360"/>
      </w:pPr>
    </w:lvl>
    <w:lvl w:ilvl="4" w:tplc="04160019" w:tentative="1">
      <w:start w:val="1"/>
      <w:numFmt w:val="lowerLetter"/>
      <w:lvlText w:val="%5."/>
      <w:lvlJc w:val="left"/>
      <w:pPr>
        <w:ind w:left="3342" w:hanging="360"/>
      </w:pPr>
    </w:lvl>
    <w:lvl w:ilvl="5" w:tplc="0416001B" w:tentative="1">
      <w:start w:val="1"/>
      <w:numFmt w:val="lowerRoman"/>
      <w:lvlText w:val="%6."/>
      <w:lvlJc w:val="right"/>
      <w:pPr>
        <w:ind w:left="4062" w:hanging="180"/>
      </w:pPr>
    </w:lvl>
    <w:lvl w:ilvl="6" w:tplc="0416000F" w:tentative="1">
      <w:start w:val="1"/>
      <w:numFmt w:val="decimal"/>
      <w:lvlText w:val="%7."/>
      <w:lvlJc w:val="left"/>
      <w:pPr>
        <w:ind w:left="4782" w:hanging="360"/>
      </w:pPr>
    </w:lvl>
    <w:lvl w:ilvl="7" w:tplc="04160019" w:tentative="1">
      <w:start w:val="1"/>
      <w:numFmt w:val="lowerLetter"/>
      <w:lvlText w:val="%8."/>
      <w:lvlJc w:val="left"/>
      <w:pPr>
        <w:ind w:left="5502" w:hanging="360"/>
      </w:pPr>
    </w:lvl>
    <w:lvl w:ilvl="8" w:tplc="0416001B" w:tentative="1">
      <w:start w:val="1"/>
      <w:numFmt w:val="lowerRoman"/>
      <w:lvlText w:val="%9."/>
      <w:lvlJc w:val="right"/>
      <w:pPr>
        <w:ind w:left="6222" w:hanging="180"/>
      </w:pPr>
    </w:lvl>
  </w:abstractNum>
  <w:abstractNum w:abstractNumId="69" w15:restartNumberingAfterBreak="0">
    <w:nsid w:val="636F6F23"/>
    <w:multiLevelType w:val="hybridMultilevel"/>
    <w:tmpl w:val="B9F2FF48"/>
    <w:lvl w:ilvl="0" w:tplc="23AE1B04">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AFF2480E">
      <w:numFmt w:val="bullet"/>
      <w:lvlText w:val="•"/>
      <w:lvlJc w:val="left"/>
      <w:pPr>
        <w:ind w:left="996" w:hanging="708"/>
      </w:pPr>
      <w:rPr>
        <w:rFonts w:hint="default"/>
        <w:lang w:val="pt-BR" w:eastAsia="en-US" w:bidi="ar-SA"/>
      </w:rPr>
    </w:lvl>
    <w:lvl w:ilvl="2" w:tplc="B7F01FF0">
      <w:numFmt w:val="bullet"/>
      <w:lvlText w:val="•"/>
      <w:lvlJc w:val="left"/>
      <w:pPr>
        <w:ind w:left="1892" w:hanging="708"/>
      </w:pPr>
      <w:rPr>
        <w:rFonts w:hint="default"/>
        <w:lang w:val="pt-BR" w:eastAsia="en-US" w:bidi="ar-SA"/>
      </w:rPr>
    </w:lvl>
    <w:lvl w:ilvl="3" w:tplc="833E6992">
      <w:numFmt w:val="bullet"/>
      <w:lvlText w:val="•"/>
      <w:lvlJc w:val="left"/>
      <w:pPr>
        <w:ind w:left="2788" w:hanging="708"/>
      </w:pPr>
      <w:rPr>
        <w:rFonts w:hint="default"/>
        <w:lang w:val="pt-BR" w:eastAsia="en-US" w:bidi="ar-SA"/>
      </w:rPr>
    </w:lvl>
    <w:lvl w:ilvl="4" w:tplc="6C741278">
      <w:numFmt w:val="bullet"/>
      <w:lvlText w:val="•"/>
      <w:lvlJc w:val="left"/>
      <w:pPr>
        <w:ind w:left="3684" w:hanging="708"/>
      </w:pPr>
      <w:rPr>
        <w:rFonts w:hint="default"/>
        <w:lang w:val="pt-BR" w:eastAsia="en-US" w:bidi="ar-SA"/>
      </w:rPr>
    </w:lvl>
    <w:lvl w:ilvl="5" w:tplc="E4948F5A">
      <w:numFmt w:val="bullet"/>
      <w:lvlText w:val="•"/>
      <w:lvlJc w:val="left"/>
      <w:pPr>
        <w:ind w:left="4580" w:hanging="708"/>
      </w:pPr>
      <w:rPr>
        <w:rFonts w:hint="default"/>
        <w:lang w:val="pt-BR" w:eastAsia="en-US" w:bidi="ar-SA"/>
      </w:rPr>
    </w:lvl>
    <w:lvl w:ilvl="6" w:tplc="FCF62266">
      <w:numFmt w:val="bullet"/>
      <w:lvlText w:val="•"/>
      <w:lvlJc w:val="left"/>
      <w:pPr>
        <w:ind w:left="5476" w:hanging="708"/>
      </w:pPr>
      <w:rPr>
        <w:rFonts w:hint="default"/>
        <w:lang w:val="pt-BR" w:eastAsia="en-US" w:bidi="ar-SA"/>
      </w:rPr>
    </w:lvl>
    <w:lvl w:ilvl="7" w:tplc="24EE3410">
      <w:numFmt w:val="bullet"/>
      <w:lvlText w:val="•"/>
      <w:lvlJc w:val="left"/>
      <w:pPr>
        <w:ind w:left="6372" w:hanging="708"/>
      </w:pPr>
      <w:rPr>
        <w:rFonts w:hint="default"/>
        <w:lang w:val="pt-BR" w:eastAsia="en-US" w:bidi="ar-SA"/>
      </w:rPr>
    </w:lvl>
    <w:lvl w:ilvl="8" w:tplc="B9E4E5FE">
      <w:numFmt w:val="bullet"/>
      <w:lvlText w:val="•"/>
      <w:lvlJc w:val="left"/>
      <w:pPr>
        <w:ind w:left="7268" w:hanging="708"/>
      </w:pPr>
      <w:rPr>
        <w:rFonts w:hint="default"/>
        <w:lang w:val="pt-BR" w:eastAsia="en-US" w:bidi="ar-SA"/>
      </w:rPr>
    </w:lvl>
  </w:abstractNum>
  <w:abstractNum w:abstractNumId="70" w15:restartNumberingAfterBreak="0">
    <w:nsid w:val="63881CA2"/>
    <w:multiLevelType w:val="singleLevel"/>
    <w:tmpl w:val="51E8A512"/>
    <w:lvl w:ilvl="0">
      <w:start w:val="1"/>
      <w:numFmt w:val="decimal"/>
      <w:pStyle w:val="EnclNumbs"/>
      <w:lvlText w:val="(%1)"/>
      <w:lvlJc w:val="left"/>
      <w:pPr>
        <w:tabs>
          <w:tab w:val="num" w:pos="456"/>
        </w:tabs>
        <w:ind w:left="456" w:hanging="456"/>
      </w:pPr>
      <w:rPr>
        <w:rFonts w:hint="default"/>
      </w:rPr>
    </w:lvl>
  </w:abstractNum>
  <w:abstractNum w:abstractNumId="71" w15:restartNumberingAfterBreak="0">
    <w:nsid w:val="65A24709"/>
    <w:multiLevelType w:val="hybridMultilevel"/>
    <w:tmpl w:val="B1DE10C8"/>
    <w:lvl w:ilvl="0" w:tplc="1B0ABE10">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25E0585E">
      <w:start w:val="1"/>
      <w:numFmt w:val="lowerLetter"/>
      <w:lvlText w:val="(%2)"/>
      <w:lvlJc w:val="left"/>
      <w:pPr>
        <w:ind w:left="1182" w:hanging="325"/>
      </w:pPr>
      <w:rPr>
        <w:rFonts w:ascii="Times New Roman" w:eastAsia="Times New Roman" w:hAnsi="Times New Roman" w:cs="Times New Roman" w:hint="default"/>
        <w:b w:val="0"/>
        <w:bCs w:val="0"/>
        <w:i w:val="0"/>
        <w:iCs w:val="0"/>
        <w:spacing w:val="-2"/>
        <w:w w:val="99"/>
        <w:sz w:val="24"/>
        <w:szCs w:val="24"/>
        <w:lang w:val="pt-BR" w:eastAsia="en-US" w:bidi="ar-SA"/>
      </w:rPr>
    </w:lvl>
    <w:lvl w:ilvl="2" w:tplc="5FC0E6E4">
      <w:numFmt w:val="bullet"/>
      <w:lvlText w:val="•"/>
      <w:lvlJc w:val="left"/>
      <w:pPr>
        <w:ind w:left="2055" w:hanging="325"/>
      </w:pPr>
      <w:rPr>
        <w:rFonts w:hint="default"/>
        <w:lang w:val="pt-BR" w:eastAsia="en-US" w:bidi="ar-SA"/>
      </w:rPr>
    </w:lvl>
    <w:lvl w:ilvl="3" w:tplc="76A0630C">
      <w:numFmt w:val="bullet"/>
      <w:lvlText w:val="•"/>
      <w:lvlJc w:val="left"/>
      <w:pPr>
        <w:ind w:left="2931" w:hanging="325"/>
      </w:pPr>
      <w:rPr>
        <w:rFonts w:hint="default"/>
        <w:lang w:val="pt-BR" w:eastAsia="en-US" w:bidi="ar-SA"/>
      </w:rPr>
    </w:lvl>
    <w:lvl w:ilvl="4" w:tplc="2ABE20EC">
      <w:numFmt w:val="bullet"/>
      <w:lvlText w:val="•"/>
      <w:lvlJc w:val="left"/>
      <w:pPr>
        <w:ind w:left="3806" w:hanging="325"/>
      </w:pPr>
      <w:rPr>
        <w:rFonts w:hint="default"/>
        <w:lang w:val="pt-BR" w:eastAsia="en-US" w:bidi="ar-SA"/>
      </w:rPr>
    </w:lvl>
    <w:lvl w:ilvl="5" w:tplc="73D4EB12">
      <w:numFmt w:val="bullet"/>
      <w:lvlText w:val="•"/>
      <w:lvlJc w:val="left"/>
      <w:pPr>
        <w:ind w:left="4682" w:hanging="325"/>
      </w:pPr>
      <w:rPr>
        <w:rFonts w:hint="default"/>
        <w:lang w:val="pt-BR" w:eastAsia="en-US" w:bidi="ar-SA"/>
      </w:rPr>
    </w:lvl>
    <w:lvl w:ilvl="6" w:tplc="C93241E4">
      <w:numFmt w:val="bullet"/>
      <w:lvlText w:val="•"/>
      <w:lvlJc w:val="left"/>
      <w:pPr>
        <w:ind w:left="5557" w:hanging="325"/>
      </w:pPr>
      <w:rPr>
        <w:rFonts w:hint="default"/>
        <w:lang w:val="pt-BR" w:eastAsia="en-US" w:bidi="ar-SA"/>
      </w:rPr>
    </w:lvl>
    <w:lvl w:ilvl="7" w:tplc="363E4FB8">
      <w:numFmt w:val="bullet"/>
      <w:lvlText w:val="•"/>
      <w:lvlJc w:val="left"/>
      <w:pPr>
        <w:ind w:left="6433" w:hanging="325"/>
      </w:pPr>
      <w:rPr>
        <w:rFonts w:hint="default"/>
        <w:lang w:val="pt-BR" w:eastAsia="en-US" w:bidi="ar-SA"/>
      </w:rPr>
    </w:lvl>
    <w:lvl w:ilvl="8" w:tplc="AE825FD4">
      <w:numFmt w:val="bullet"/>
      <w:lvlText w:val="•"/>
      <w:lvlJc w:val="left"/>
      <w:pPr>
        <w:ind w:left="7308" w:hanging="325"/>
      </w:pPr>
      <w:rPr>
        <w:rFonts w:hint="default"/>
        <w:lang w:val="pt-BR" w:eastAsia="en-US" w:bidi="ar-SA"/>
      </w:rPr>
    </w:lvl>
  </w:abstractNum>
  <w:abstractNum w:abstractNumId="72" w15:restartNumberingAfterBreak="0">
    <w:nsid w:val="66713888"/>
    <w:multiLevelType w:val="hybridMultilevel"/>
    <w:tmpl w:val="FE968452"/>
    <w:lvl w:ilvl="0" w:tplc="A684B134">
      <w:start w:val="2"/>
      <w:numFmt w:val="lowerLetter"/>
      <w:lvlText w:val="(%1)"/>
      <w:lvlJc w:val="left"/>
      <w:pPr>
        <w:ind w:left="838" w:hanging="372"/>
        <w:jc w:val="right"/>
      </w:pPr>
      <w:rPr>
        <w:rFonts w:ascii="Times New Roman" w:eastAsia="Times New Roman" w:hAnsi="Times New Roman" w:cs="Times New Roman" w:hint="default"/>
        <w:b w:val="0"/>
        <w:bCs w:val="0"/>
        <w:i w:val="0"/>
        <w:iCs w:val="0"/>
        <w:w w:val="99"/>
        <w:sz w:val="24"/>
        <w:szCs w:val="24"/>
        <w:lang w:val="pt-BR" w:eastAsia="en-US" w:bidi="ar-SA"/>
      </w:rPr>
    </w:lvl>
    <w:lvl w:ilvl="1" w:tplc="9218384A">
      <w:numFmt w:val="bullet"/>
      <w:lvlText w:val="•"/>
      <w:lvlJc w:val="left"/>
      <w:pPr>
        <w:ind w:left="1678" w:hanging="372"/>
      </w:pPr>
      <w:rPr>
        <w:rFonts w:hint="default"/>
        <w:lang w:val="pt-BR" w:eastAsia="en-US" w:bidi="ar-SA"/>
      </w:rPr>
    </w:lvl>
    <w:lvl w:ilvl="2" w:tplc="DBC22B6C">
      <w:numFmt w:val="bullet"/>
      <w:lvlText w:val="•"/>
      <w:lvlJc w:val="left"/>
      <w:pPr>
        <w:ind w:left="2516" w:hanging="372"/>
      </w:pPr>
      <w:rPr>
        <w:rFonts w:hint="default"/>
        <w:lang w:val="pt-BR" w:eastAsia="en-US" w:bidi="ar-SA"/>
      </w:rPr>
    </w:lvl>
    <w:lvl w:ilvl="3" w:tplc="1952D8C0">
      <w:numFmt w:val="bullet"/>
      <w:lvlText w:val="•"/>
      <w:lvlJc w:val="left"/>
      <w:pPr>
        <w:ind w:left="3354" w:hanging="372"/>
      </w:pPr>
      <w:rPr>
        <w:rFonts w:hint="default"/>
        <w:lang w:val="pt-BR" w:eastAsia="en-US" w:bidi="ar-SA"/>
      </w:rPr>
    </w:lvl>
    <w:lvl w:ilvl="4" w:tplc="C562E2BE">
      <w:numFmt w:val="bullet"/>
      <w:lvlText w:val="•"/>
      <w:lvlJc w:val="left"/>
      <w:pPr>
        <w:ind w:left="4192" w:hanging="372"/>
      </w:pPr>
      <w:rPr>
        <w:rFonts w:hint="default"/>
        <w:lang w:val="pt-BR" w:eastAsia="en-US" w:bidi="ar-SA"/>
      </w:rPr>
    </w:lvl>
    <w:lvl w:ilvl="5" w:tplc="3806A0B0">
      <w:numFmt w:val="bullet"/>
      <w:lvlText w:val="•"/>
      <w:lvlJc w:val="left"/>
      <w:pPr>
        <w:ind w:left="5030" w:hanging="372"/>
      </w:pPr>
      <w:rPr>
        <w:rFonts w:hint="default"/>
        <w:lang w:val="pt-BR" w:eastAsia="en-US" w:bidi="ar-SA"/>
      </w:rPr>
    </w:lvl>
    <w:lvl w:ilvl="6" w:tplc="01A2F52C">
      <w:numFmt w:val="bullet"/>
      <w:lvlText w:val="•"/>
      <w:lvlJc w:val="left"/>
      <w:pPr>
        <w:ind w:left="5868" w:hanging="372"/>
      </w:pPr>
      <w:rPr>
        <w:rFonts w:hint="default"/>
        <w:lang w:val="pt-BR" w:eastAsia="en-US" w:bidi="ar-SA"/>
      </w:rPr>
    </w:lvl>
    <w:lvl w:ilvl="7" w:tplc="60726326">
      <w:numFmt w:val="bullet"/>
      <w:lvlText w:val="•"/>
      <w:lvlJc w:val="left"/>
      <w:pPr>
        <w:ind w:left="6706" w:hanging="372"/>
      </w:pPr>
      <w:rPr>
        <w:rFonts w:hint="default"/>
        <w:lang w:val="pt-BR" w:eastAsia="en-US" w:bidi="ar-SA"/>
      </w:rPr>
    </w:lvl>
    <w:lvl w:ilvl="8" w:tplc="24EA7F92">
      <w:numFmt w:val="bullet"/>
      <w:lvlText w:val="•"/>
      <w:lvlJc w:val="left"/>
      <w:pPr>
        <w:ind w:left="7544" w:hanging="372"/>
      </w:pPr>
      <w:rPr>
        <w:rFonts w:hint="default"/>
        <w:lang w:val="pt-BR" w:eastAsia="en-US" w:bidi="ar-SA"/>
      </w:rPr>
    </w:lvl>
  </w:abstractNum>
  <w:abstractNum w:abstractNumId="73" w15:restartNumberingAfterBreak="0">
    <w:nsid w:val="687D4423"/>
    <w:multiLevelType w:val="hybridMultilevel"/>
    <w:tmpl w:val="8C503D44"/>
    <w:lvl w:ilvl="0" w:tplc="B4CED39E">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F4AC2E42">
      <w:numFmt w:val="bullet"/>
      <w:lvlText w:val="•"/>
      <w:lvlJc w:val="left"/>
      <w:pPr>
        <w:ind w:left="996" w:hanging="708"/>
      </w:pPr>
      <w:rPr>
        <w:rFonts w:hint="default"/>
        <w:lang w:val="pt-BR" w:eastAsia="en-US" w:bidi="ar-SA"/>
      </w:rPr>
    </w:lvl>
    <w:lvl w:ilvl="2" w:tplc="1EAC1426">
      <w:numFmt w:val="bullet"/>
      <w:lvlText w:val="•"/>
      <w:lvlJc w:val="left"/>
      <w:pPr>
        <w:ind w:left="1892" w:hanging="708"/>
      </w:pPr>
      <w:rPr>
        <w:rFonts w:hint="default"/>
        <w:lang w:val="pt-BR" w:eastAsia="en-US" w:bidi="ar-SA"/>
      </w:rPr>
    </w:lvl>
    <w:lvl w:ilvl="3" w:tplc="511C304E">
      <w:numFmt w:val="bullet"/>
      <w:lvlText w:val="•"/>
      <w:lvlJc w:val="left"/>
      <w:pPr>
        <w:ind w:left="2788" w:hanging="708"/>
      </w:pPr>
      <w:rPr>
        <w:rFonts w:hint="default"/>
        <w:lang w:val="pt-BR" w:eastAsia="en-US" w:bidi="ar-SA"/>
      </w:rPr>
    </w:lvl>
    <w:lvl w:ilvl="4" w:tplc="8668CF22">
      <w:numFmt w:val="bullet"/>
      <w:lvlText w:val="•"/>
      <w:lvlJc w:val="left"/>
      <w:pPr>
        <w:ind w:left="3684" w:hanging="708"/>
      </w:pPr>
      <w:rPr>
        <w:rFonts w:hint="default"/>
        <w:lang w:val="pt-BR" w:eastAsia="en-US" w:bidi="ar-SA"/>
      </w:rPr>
    </w:lvl>
    <w:lvl w:ilvl="5" w:tplc="D498658E">
      <w:numFmt w:val="bullet"/>
      <w:lvlText w:val="•"/>
      <w:lvlJc w:val="left"/>
      <w:pPr>
        <w:ind w:left="4580" w:hanging="708"/>
      </w:pPr>
      <w:rPr>
        <w:rFonts w:hint="default"/>
        <w:lang w:val="pt-BR" w:eastAsia="en-US" w:bidi="ar-SA"/>
      </w:rPr>
    </w:lvl>
    <w:lvl w:ilvl="6" w:tplc="80744876">
      <w:numFmt w:val="bullet"/>
      <w:lvlText w:val="•"/>
      <w:lvlJc w:val="left"/>
      <w:pPr>
        <w:ind w:left="5476" w:hanging="708"/>
      </w:pPr>
      <w:rPr>
        <w:rFonts w:hint="default"/>
        <w:lang w:val="pt-BR" w:eastAsia="en-US" w:bidi="ar-SA"/>
      </w:rPr>
    </w:lvl>
    <w:lvl w:ilvl="7" w:tplc="475CF71A">
      <w:numFmt w:val="bullet"/>
      <w:lvlText w:val="•"/>
      <w:lvlJc w:val="left"/>
      <w:pPr>
        <w:ind w:left="6372" w:hanging="708"/>
      </w:pPr>
      <w:rPr>
        <w:rFonts w:hint="default"/>
        <w:lang w:val="pt-BR" w:eastAsia="en-US" w:bidi="ar-SA"/>
      </w:rPr>
    </w:lvl>
    <w:lvl w:ilvl="8" w:tplc="5E68371A">
      <w:numFmt w:val="bullet"/>
      <w:lvlText w:val="•"/>
      <w:lvlJc w:val="left"/>
      <w:pPr>
        <w:ind w:left="7268" w:hanging="708"/>
      </w:pPr>
      <w:rPr>
        <w:rFonts w:hint="default"/>
        <w:lang w:val="pt-BR" w:eastAsia="en-US" w:bidi="ar-SA"/>
      </w:rPr>
    </w:lvl>
  </w:abstractNum>
  <w:abstractNum w:abstractNumId="74" w15:restartNumberingAfterBreak="0">
    <w:nsid w:val="68DF7518"/>
    <w:multiLevelType w:val="hybridMultilevel"/>
    <w:tmpl w:val="F6EA2E38"/>
    <w:lvl w:ilvl="0" w:tplc="A0709936">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2736B9F4">
      <w:start w:val="1"/>
      <w:numFmt w:val="lowerLetter"/>
      <w:lvlText w:val="(%2)"/>
      <w:lvlJc w:val="left"/>
      <w:pPr>
        <w:ind w:left="1146" w:hanging="325"/>
      </w:pPr>
      <w:rPr>
        <w:rFonts w:ascii="Times New Roman" w:eastAsia="Times New Roman" w:hAnsi="Times New Roman" w:cs="Times New Roman" w:hint="default"/>
        <w:b w:val="0"/>
        <w:bCs w:val="0"/>
        <w:i w:val="0"/>
        <w:iCs w:val="0"/>
        <w:spacing w:val="-2"/>
        <w:w w:val="99"/>
        <w:sz w:val="24"/>
        <w:szCs w:val="24"/>
        <w:lang w:val="pt-BR" w:eastAsia="en-US" w:bidi="ar-SA"/>
      </w:rPr>
    </w:lvl>
    <w:lvl w:ilvl="2" w:tplc="760E6100">
      <w:numFmt w:val="bullet"/>
      <w:lvlText w:val="•"/>
      <w:lvlJc w:val="left"/>
      <w:pPr>
        <w:ind w:left="2020" w:hanging="325"/>
      </w:pPr>
      <w:rPr>
        <w:rFonts w:hint="default"/>
        <w:lang w:val="pt-BR" w:eastAsia="en-US" w:bidi="ar-SA"/>
      </w:rPr>
    </w:lvl>
    <w:lvl w:ilvl="3" w:tplc="D41CCC84">
      <w:numFmt w:val="bullet"/>
      <w:lvlText w:val="•"/>
      <w:lvlJc w:val="left"/>
      <w:pPr>
        <w:ind w:left="2900" w:hanging="325"/>
      </w:pPr>
      <w:rPr>
        <w:rFonts w:hint="default"/>
        <w:lang w:val="pt-BR" w:eastAsia="en-US" w:bidi="ar-SA"/>
      </w:rPr>
    </w:lvl>
    <w:lvl w:ilvl="4" w:tplc="8E328A9E">
      <w:numFmt w:val="bullet"/>
      <w:lvlText w:val="•"/>
      <w:lvlJc w:val="left"/>
      <w:pPr>
        <w:ind w:left="3780" w:hanging="325"/>
      </w:pPr>
      <w:rPr>
        <w:rFonts w:hint="default"/>
        <w:lang w:val="pt-BR" w:eastAsia="en-US" w:bidi="ar-SA"/>
      </w:rPr>
    </w:lvl>
    <w:lvl w:ilvl="5" w:tplc="53A8D37C">
      <w:numFmt w:val="bullet"/>
      <w:lvlText w:val="•"/>
      <w:lvlJc w:val="left"/>
      <w:pPr>
        <w:ind w:left="4660" w:hanging="325"/>
      </w:pPr>
      <w:rPr>
        <w:rFonts w:hint="default"/>
        <w:lang w:val="pt-BR" w:eastAsia="en-US" w:bidi="ar-SA"/>
      </w:rPr>
    </w:lvl>
    <w:lvl w:ilvl="6" w:tplc="DA2208E6">
      <w:numFmt w:val="bullet"/>
      <w:lvlText w:val="•"/>
      <w:lvlJc w:val="left"/>
      <w:pPr>
        <w:ind w:left="5540" w:hanging="325"/>
      </w:pPr>
      <w:rPr>
        <w:rFonts w:hint="default"/>
        <w:lang w:val="pt-BR" w:eastAsia="en-US" w:bidi="ar-SA"/>
      </w:rPr>
    </w:lvl>
    <w:lvl w:ilvl="7" w:tplc="BF86EA42">
      <w:numFmt w:val="bullet"/>
      <w:lvlText w:val="•"/>
      <w:lvlJc w:val="left"/>
      <w:pPr>
        <w:ind w:left="6420" w:hanging="325"/>
      </w:pPr>
      <w:rPr>
        <w:rFonts w:hint="default"/>
        <w:lang w:val="pt-BR" w:eastAsia="en-US" w:bidi="ar-SA"/>
      </w:rPr>
    </w:lvl>
    <w:lvl w:ilvl="8" w:tplc="73CCCF40">
      <w:numFmt w:val="bullet"/>
      <w:lvlText w:val="•"/>
      <w:lvlJc w:val="left"/>
      <w:pPr>
        <w:ind w:left="7300" w:hanging="325"/>
      </w:pPr>
      <w:rPr>
        <w:rFonts w:hint="default"/>
        <w:lang w:val="pt-BR" w:eastAsia="en-US" w:bidi="ar-SA"/>
      </w:rPr>
    </w:lvl>
  </w:abstractNum>
  <w:abstractNum w:abstractNumId="75" w15:restartNumberingAfterBreak="0">
    <w:nsid w:val="6A9C204F"/>
    <w:multiLevelType w:val="hybridMultilevel"/>
    <w:tmpl w:val="4E765C40"/>
    <w:lvl w:ilvl="0" w:tplc="855ED016">
      <w:start w:val="1"/>
      <w:numFmt w:val="decimal"/>
      <w:lvlText w:val="%1."/>
      <w:lvlJc w:val="left"/>
      <w:pPr>
        <w:ind w:left="810" w:hanging="708"/>
      </w:pPr>
      <w:rPr>
        <w:rFonts w:ascii="Times New Roman" w:eastAsia="Times New Roman" w:hAnsi="Times New Roman" w:cs="Times New Roman" w:hint="default"/>
        <w:b w:val="0"/>
        <w:bCs w:val="0"/>
        <w:i w:val="0"/>
        <w:iCs w:val="0"/>
        <w:w w:val="100"/>
        <w:sz w:val="24"/>
        <w:szCs w:val="24"/>
        <w:lang w:val="pt-BR" w:eastAsia="en-US" w:bidi="ar-SA"/>
      </w:rPr>
    </w:lvl>
    <w:lvl w:ilvl="1" w:tplc="916C5AFC">
      <w:start w:val="1"/>
      <w:numFmt w:val="lowerLetter"/>
      <w:lvlText w:val="(%2)"/>
      <w:lvlJc w:val="left"/>
      <w:pPr>
        <w:ind w:left="1182" w:hanging="325"/>
      </w:pPr>
      <w:rPr>
        <w:rFonts w:ascii="Times New Roman" w:eastAsia="Times New Roman" w:hAnsi="Times New Roman" w:cs="Times New Roman" w:hint="default"/>
        <w:b w:val="0"/>
        <w:bCs w:val="0"/>
        <w:i w:val="0"/>
        <w:iCs w:val="0"/>
        <w:spacing w:val="-2"/>
        <w:w w:val="99"/>
        <w:sz w:val="24"/>
        <w:szCs w:val="24"/>
        <w:lang w:val="pt-BR" w:eastAsia="en-US" w:bidi="ar-SA"/>
      </w:rPr>
    </w:lvl>
    <w:lvl w:ilvl="2" w:tplc="D848F154">
      <w:numFmt w:val="bullet"/>
      <w:lvlText w:val="•"/>
      <w:lvlJc w:val="left"/>
      <w:pPr>
        <w:ind w:left="2055" w:hanging="325"/>
      </w:pPr>
      <w:rPr>
        <w:rFonts w:hint="default"/>
        <w:lang w:val="pt-BR" w:eastAsia="en-US" w:bidi="ar-SA"/>
      </w:rPr>
    </w:lvl>
    <w:lvl w:ilvl="3" w:tplc="EB9A0F0E">
      <w:numFmt w:val="bullet"/>
      <w:lvlText w:val="•"/>
      <w:lvlJc w:val="left"/>
      <w:pPr>
        <w:ind w:left="2931" w:hanging="325"/>
      </w:pPr>
      <w:rPr>
        <w:rFonts w:hint="default"/>
        <w:lang w:val="pt-BR" w:eastAsia="en-US" w:bidi="ar-SA"/>
      </w:rPr>
    </w:lvl>
    <w:lvl w:ilvl="4" w:tplc="F1BE86BA">
      <w:numFmt w:val="bullet"/>
      <w:lvlText w:val="•"/>
      <w:lvlJc w:val="left"/>
      <w:pPr>
        <w:ind w:left="3806" w:hanging="325"/>
      </w:pPr>
      <w:rPr>
        <w:rFonts w:hint="default"/>
        <w:lang w:val="pt-BR" w:eastAsia="en-US" w:bidi="ar-SA"/>
      </w:rPr>
    </w:lvl>
    <w:lvl w:ilvl="5" w:tplc="14508240">
      <w:numFmt w:val="bullet"/>
      <w:lvlText w:val="•"/>
      <w:lvlJc w:val="left"/>
      <w:pPr>
        <w:ind w:left="4682" w:hanging="325"/>
      </w:pPr>
      <w:rPr>
        <w:rFonts w:hint="default"/>
        <w:lang w:val="pt-BR" w:eastAsia="en-US" w:bidi="ar-SA"/>
      </w:rPr>
    </w:lvl>
    <w:lvl w:ilvl="6" w:tplc="386E52AA">
      <w:numFmt w:val="bullet"/>
      <w:lvlText w:val="•"/>
      <w:lvlJc w:val="left"/>
      <w:pPr>
        <w:ind w:left="5557" w:hanging="325"/>
      </w:pPr>
      <w:rPr>
        <w:rFonts w:hint="default"/>
        <w:lang w:val="pt-BR" w:eastAsia="en-US" w:bidi="ar-SA"/>
      </w:rPr>
    </w:lvl>
    <w:lvl w:ilvl="7" w:tplc="C8A4E7E6">
      <w:numFmt w:val="bullet"/>
      <w:lvlText w:val="•"/>
      <w:lvlJc w:val="left"/>
      <w:pPr>
        <w:ind w:left="6433" w:hanging="325"/>
      </w:pPr>
      <w:rPr>
        <w:rFonts w:hint="default"/>
        <w:lang w:val="pt-BR" w:eastAsia="en-US" w:bidi="ar-SA"/>
      </w:rPr>
    </w:lvl>
    <w:lvl w:ilvl="8" w:tplc="0D025764">
      <w:numFmt w:val="bullet"/>
      <w:lvlText w:val="•"/>
      <w:lvlJc w:val="left"/>
      <w:pPr>
        <w:ind w:left="7308" w:hanging="325"/>
      </w:pPr>
      <w:rPr>
        <w:rFonts w:hint="default"/>
        <w:lang w:val="pt-BR" w:eastAsia="en-US" w:bidi="ar-SA"/>
      </w:rPr>
    </w:lvl>
  </w:abstractNum>
  <w:abstractNum w:abstractNumId="76" w15:restartNumberingAfterBreak="0">
    <w:nsid w:val="6E5165BC"/>
    <w:multiLevelType w:val="hybridMultilevel"/>
    <w:tmpl w:val="BDA283F2"/>
    <w:lvl w:ilvl="0" w:tplc="31645476">
      <w:start w:val="1"/>
      <w:numFmt w:val="decimal"/>
      <w:lvlText w:val="%1."/>
      <w:lvlJc w:val="left"/>
      <w:pPr>
        <w:ind w:left="332" w:hanging="360"/>
      </w:pPr>
      <w:rPr>
        <w:rFonts w:hint="default"/>
      </w:rPr>
    </w:lvl>
    <w:lvl w:ilvl="1" w:tplc="04160019" w:tentative="1">
      <w:start w:val="1"/>
      <w:numFmt w:val="lowerLetter"/>
      <w:lvlText w:val="%2."/>
      <w:lvlJc w:val="left"/>
      <w:pPr>
        <w:ind w:left="1052" w:hanging="360"/>
      </w:pPr>
    </w:lvl>
    <w:lvl w:ilvl="2" w:tplc="0416001B" w:tentative="1">
      <w:start w:val="1"/>
      <w:numFmt w:val="lowerRoman"/>
      <w:lvlText w:val="%3."/>
      <w:lvlJc w:val="right"/>
      <w:pPr>
        <w:ind w:left="1772" w:hanging="180"/>
      </w:pPr>
    </w:lvl>
    <w:lvl w:ilvl="3" w:tplc="0416000F" w:tentative="1">
      <w:start w:val="1"/>
      <w:numFmt w:val="decimal"/>
      <w:lvlText w:val="%4."/>
      <w:lvlJc w:val="left"/>
      <w:pPr>
        <w:ind w:left="2492" w:hanging="360"/>
      </w:pPr>
    </w:lvl>
    <w:lvl w:ilvl="4" w:tplc="04160019" w:tentative="1">
      <w:start w:val="1"/>
      <w:numFmt w:val="lowerLetter"/>
      <w:lvlText w:val="%5."/>
      <w:lvlJc w:val="left"/>
      <w:pPr>
        <w:ind w:left="3212" w:hanging="360"/>
      </w:pPr>
    </w:lvl>
    <w:lvl w:ilvl="5" w:tplc="0416001B" w:tentative="1">
      <w:start w:val="1"/>
      <w:numFmt w:val="lowerRoman"/>
      <w:lvlText w:val="%6."/>
      <w:lvlJc w:val="right"/>
      <w:pPr>
        <w:ind w:left="3932" w:hanging="180"/>
      </w:pPr>
    </w:lvl>
    <w:lvl w:ilvl="6" w:tplc="0416000F" w:tentative="1">
      <w:start w:val="1"/>
      <w:numFmt w:val="decimal"/>
      <w:lvlText w:val="%7."/>
      <w:lvlJc w:val="left"/>
      <w:pPr>
        <w:ind w:left="4652" w:hanging="360"/>
      </w:pPr>
    </w:lvl>
    <w:lvl w:ilvl="7" w:tplc="04160019" w:tentative="1">
      <w:start w:val="1"/>
      <w:numFmt w:val="lowerLetter"/>
      <w:lvlText w:val="%8."/>
      <w:lvlJc w:val="left"/>
      <w:pPr>
        <w:ind w:left="5372" w:hanging="360"/>
      </w:pPr>
    </w:lvl>
    <w:lvl w:ilvl="8" w:tplc="0416001B" w:tentative="1">
      <w:start w:val="1"/>
      <w:numFmt w:val="lowerRoman"/>
      <w:lvlText w:val="%9."/>
      <w:lvlJc w:val="right"/>
      <w:pPr>
        <w:ind w:left="6092" w:hanging="180"/>
      </w:pPr>
    </w:lvl>
  </w:abstractNum>
  <w:abstractNum w:abstractNumId="77" w15:restartNumberingAfterBreak="0">
    <w:nsid w:val="71AB7965"/>
    <w:multiLevelType w:val="hybridMultilevel"/>
    <w:tmpl w:val="BAA6F962"/>
    <w:lvl w:ilvl="0" w:tplc="B8066CE2">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776E3CE6">
      <w:numFmt w:val="bullet"/>
      <w:lvlText w:val="•"/>
      <w:lvlJc w:val="left"/>
      <w:pPr>
        <w:ind w:left="996" w:hanging="708"/>
      </w:pPr>
      <w:rPr>
        <w:rFonts w:hint="default"/>
        <w:lang w:val="pt-BR" w:eastAsia="en-US" w:bidi="ar-SA"/>
      </w:rPr>
    </w:lvl>
    <w:lvl w:ilvl="2" w:tplc="B0D6B85E">
      <w:numFmt w:val="bullet"/>
      <w:lvlText w:val="•"/>
      <w:lvlJc w:val="left"/>
      <w:pPr>
        <w:ind w:left="1892" w:hanging="708"/>
      </w:pPr>
      <w:rPr>
        <w:rFonts w:hint="default"/>
        <w:lang w:val="pt-BR" w:eastAsia="en-US" w:bidi="ar-SA"/>
      </w:rPr>
    </w:lvl>
    <w:lvl w:ilvl="3" w:tplc="68A862C0">
      <w:numFmt w:val="bullet"/>
      <w:lvlText w:val="•"/>
      <w:lvlJc w:val="left"/>
      <w:pPr>
        <w:ind w:left="2788" w:hanging="708"/>
      </w:pPr>
      <w:rPr>
        <w:rFonts w:hint="default"/>
        <w:lang w:val="pt-BR" w:eastAsia="en-US" w:bidi="ar-SA"/>
      </w:rPr>
    </w:lvl>
    <w:lvl w:ilvl="4" w:tplc="EFBC8098">
      <w:numFmt w:val="bullet"/>
      <w:lvlText w:val="•"/>
      <w:lvlJc w:val="left"/>
      <w:pPr>
        <w:ind w:left="3684" w:hanging="708"/>
      </w:pPr>
      <w:rPr>
        <w:rFonts w:hint="default"/>
        <w:lang w:val="pt-BR" w:eastAsia="en-US" w:bidi="ar-SA"/>
      </w:rPr>
    </w:lvl>
    <w:lvl w:ilvl="5" w:tplc="B49087D2">
      <w:numFmt w:val="bullet"/>
      <w:lvlText w:val="•"/>
      <w:lvlJc w:val="left"/>
      <w:pPr>
        <w:ind w:left="4580" w:hanging="708"/>
      </w:pPr>
      <w:rPr>
        <w:rFonts w:hint="default"/>
        <w:lang w:val="pt-BR" w:eastAsia="en-US" w:bidi="ar-SA"/>
      </w:rPr>
    </w:lvl>
    <w:lvl w:ilvl="6" w:tplc="0CEAA85C">
      <w:numFmt w:val="bullet"/>
      <w:lvlText w:val="•"/>
      <w:lvlJc w:val="left"/>
      <w:pPr>
        <w:ind w:left="5476" w:hanging="708"/>
      </w:pPr>
      <w:rPr>
        <w:rFonts w:hint="default"/>
        <w:lang w:val="pt-BR" w:eastAsia="en-US" w:bidi="ar-SA"/>
      </w:rPr>
    </w:lvl>
    <w:lvl w:ilvl="7" w:tplc="84788A0E">
      <w:numFmt w:val="bullet"/>
      <w:lvlText w:val="•"/>
      <w:lvlJc w:val="left"/>
      <w:pPr>
        <w:ind w:left="6372" w:hanging="708"/>
      </w:pPr>
      <w:rPr>
        <w:rFonts w:hint="default"/>
        <w:lang w:val="pt-BR" w:eastAsia="en-US" w:bidi="ar-SA"/>
      </w:rPr>
    </w:lvl>
    <w:lvl w:ilvl="8" w:tplc="BED442BE">
      <w:numFmt w:val="bullet"/>
      <w:lvlText w:val="•"/>
      <w:lvlJc w:val="left"/>
      <w:pPr>
        <w:ind w:left="7268" w:hanging="708"/>
      </w:pPr>
      <w:rPr>
        <w:rFonts w:hint="default"/>
        <w:lang w:val="pt-BR" w:eastAsia="en-US" w:bidi="ar-SA"/>
      </w:rPr>
    </w:lvl>
  </w:abstractNum>
  <w:abstractNum w:abstractNumId="78" w15:restartNumberingAfterBreak="0">
    <w:nsid w:val="71CC7A2B"/>
    <w:multiLevelType w:val="hybridMultilevel"/>
    <w:tmpl w:val="496AB4D8"/>
    <w:lvl w:ilvl="0" w:tplc="563210B2">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C40EE0F0">
      <w:start w:val="1"/>
      <w:numFmt w:val="lowerLetter"/>
      <w:lvlText w:val="(%2)"/>
      <w:lvlJc w:val="left"/>
      <w:pPr>
        <w:ind w:left="1182" w:hanging="327"/>
      </w:pPr>
      <w:rPr>
        <w:rFonts w:ascii="Times New Roman" w:eastAsia="Times New Roman" w:hAnsi="Times New Roman" w:cs="Times New Roman" w:hint="default"/>
        <w:b w:val="0"/>
        <w:bCs w:val="0"/>
        <w:i w:val="0"/>
        <w:iCs w:val="0"/>
        <w:spacing w:val="-2"/>
        <w:w w:val="99"/>
        <w:sz w:val="24"/>
        <w:szCs w:val="24"/>
        <w:lang w:val="pt-BR" w:eastAsia="en-US" w:bidi="ar-SA"/>
      </w:rPr>
    </w:lvl>
    <w:lvl w:ilvl="2" w:tplc="ED461A00">
      <w:numFmt w:val="bullet"/>
      <w:lvlText w:val="•"/>
      <w:lvlJc w:val="left"/>
      <w:pPr>
        <w:ind w:left="2055" w:hanging="327"/>
      </w:pPr>
      <w:rPr>
        <w:rFonts w:hint="default"/>
        <w:lang w:val="pt-BR" w:eastAsia="en-US" w:bidi="ar-SA"/>
      </w:rPr>
    </w:lvl>
    <w:lvl w:ilvl="3" w:tplc="C81C571E">
      <w:numFmt w:val="bullet"/>
      <w:lvlText w:val="•"/>
      <w:lvlJc w:val="left"/>
      <w:pPr>
        <w:ind w:left="2931" w:hanging="327"/>
      </w:pPr>
      <w:rPr>
        <w:rFonts w:hint="default"/>
        <w:lang w:val="pt-BR" w:eastAsia="en-US" w:bidi="ar-SA"/>
      </w:rPr>
    </w:lvl>
    <w:lvl w:ilvl="4" w:tplc="A5A2DFF0">
      <w:numFmt w:val="bullet"/>
      <w:lvlText w:val="•"/>
      <w:lvlJc w:val="left"/>
      <w:pPr>
        <w:ind w:left="3806" w:hanging="327"/>
      </w:pPr>
      <w:rPr>
        <w:rFonts w:hint="default"/>
        <w:lang w:val="pt-BR" w:eastAsia="en-US" w:bidi="ar-SA"/>
      </w:rPr>
    </w:lvl>
    <w:lvl w:ilvl="5" w:tplc="AFF02772">
      <w:numFmt w:val="bullet"/>
      <w:lvlText w:val="•"/>
      <w:lvlJc w:val="left"/>
      <w:pPr>
        <w:ind w:left="4682" w:hanging="327"/>
      </w:pPr>
      <w:rPr>
        <w:rFonts w:hint="default"/>
        <w:lang w:val="pt-BR" w:eastAsia="en-US" w:bidi="ar-SA"/>
      </w:rPr>
    </w:lvl>
    <w:lvl w:ilvl="6" w:tplc="8A16D474">
      <w:numFmt w:val="bullet"/>
      <w:lvlText w:val="•"/>
      <w:lvlJc w:val="left"/>
      <w:pPr>
        <w:ind w:left="5557" w:hanging="327"/>
      </w:pPr>
      <w:rPr>
        <w:rFonts w:hint="default"/>
        <w:lang w:val="pt-BR" w:eastAsia="en-US" w:bidi="ar-SA"/>
      </w:rPr>
    </w:lvl>
    <w:lvl w:ilvl="7" w:tplc="EB629E92">
      <w:numFmt w:val="bullet"/>
      <w:lvlText w:val="•"/>
      <w:lvlJc w:val="left"/>
      <w:pPr>
        <w:ind w:left="6433" w:hanging="327"/>
      </w:pPr>
      <w:rPr>
        <w:rFonts w:hint="default"/>
        <w:lang w:val="pt-BR" w:eastAsia="en-US" w:bidi="ar-SA"/>
      </w:rPr>
    </w:lvl>
    <w:lvl w:ilvl="8" w:tplc="D41A9520">
      <w:numFmt w:val="bullet"/>
      <w:lvlText w:val="•"/>
      <w:lvlJc w:val="left"/>
      <w:pPr>
        <w:ind w:left="7308" w:hanging="327"/>
      </w:pPr>
      <w:rPr>
        <w:rFonts w:hint="default"/>
        <w:lang w:val="pt-BR" w:eastAsia="en-US" w:bidi="ar-SA"/>
      </w:rPr>
    </w:lvl>
  </w:abstractNum>
  <w:abstractNum w:abstractNumId="79" w15:restartNumberingAfterBreak="0">
    <w:nsid w:val="71E36490"/>
    <w:multiLevelType w:val="hybridMultilevel"/>
    <w:tmpl w:val="78C6D75E"/>
    <w:lvl w:ilvl="0" w:tplc="E8661CD0">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A16E70B6">
      <w:numFmt w:val="bullet"/>
      <w:lvlText w:val="•"/>
      <w:lvlJc w:val="left"/>
      <w:pPr>
        <w:ind w:left="996" w:hanging="708"/>
      </w:pPr>
      <w:rPr>
        <w:rFonts w:hint="default"/>
        <w:lang w:val="pt-BR" w:eastAsia="en-US" w:bidi="ar-SA"/>
      </w:rPr>
    </w:lvl>
    <w:lvl w:ilvl="2" w:tplc="95266F9A">
      <w:numFmt w:val="bullet"/>
      <w:lvlText w:val="•"/>
      <w:lvlJc w:val="left"/>
      <w:pPr>
        <w:ind w:left="1892" w:hanging="708"/>
      </w:pPr>
      <w:rPr>
        <w:rFonts w:hint="default"/>
        <w:lang w:val="pt-BR" w:eastAsia="en-US" w:bidi="ar-SA"/>
      </w:rPr>
    </w:lvl>
    <w:lvl w:ilvl="3" w:tplc="F9D4F1EE">
      <w:numFmt w:val="bullet"/>
      <w:lvlText w:val="•"/>
      <w:lvlJc w:val="left"/>
      <w:pPr>
        <w:ind w:left="2788" w:hanging="708"/>
      </w:pPr>
      <w:rPr>
        <w:rFonts w:hint="default"/>
        <w:lang w:val="pt-BR" w:eastAsia="en-US" w:bidi="ar-SA"/>
      </w:rPr>
    </w:lvl>
    <w:lvl w:ilvl="4" w:tplc="CF28D366">
      <w:numFmt w:val="bullet"/>
      <w:lvlText w:val="•"/>
      <w:lvlJc w:val="left"/>
      <w:pPr>
        <w:ind w:left="3684" w:hanging="708"/>
      </w:pPr>
      <w:rPr>
        <w:rFonts w:hint="default"/>
        <w:lang w:val="pt-BR" w:eastAsia="en-US" w:bidi="ar-SA"/>
      </w:rPr>
    </w:lvl>
    <w:lvl w:ilvl="5" w:tplc="771E35FA">
      <w:numFmt w:val="bullet"/>
      <w:lvlText w:val="•"/>
      <w:lvlJc w:val="left"/>
      <w:pPr>
        <w:ind w:left="4580" w:hanging="708"/>
      </w:pPr>
      <w:rPr>
        <w:rFonts w:hint="default"/>
        <w:lang w:val="pt-BR" w:eastAsia="en-US" w:bidi="ar-SA"/>
      </w:rPr>
    </w:lvl>
    <w:lvl w:ilvl="6" w:tplc="21A41046">
      <w:numFmt w:val="bullet"/>
      <w:lvlText w:val="•"/>
      <w:lvlJc w:val="left"/>
      <w:pPr>
        <w:ind w:left="5476" w:hanging="708"/>
      </w:pPr>
      <w:rPr>
        <w:rFonts w:hint="default"/>
        <w:lang w:val="pt-BR" w:eastAsia="en-US" w:bidi="ar-SA"/>
      </w:rPr>
    </w:lvl>
    <w:lvl w:ilvl="7" w:tplc="BC8CEC86">
      <w:numFmt w:val="bullet"/>
      <w:lvlText w:val="•"/>
      <w:lvlJc w:val="left"/>
      <w:pPr>
        <w:ind w:left="6372" w:hanging="708"/>
      </w:pPr>
      <w:rPr>
        <w:rFonts w:hint="default"/>
        <w:lang w:val="pt-BR" w:eastAsia="en-US" w:bidi="ar-SA"/>
      </w:rPr>
    </w:lvl>
    <w:lvl w:ilvl="8" w:tplc="7348FDA4">
      <w:numFmt w:val="bullet"/>
      <w:lvlText w:val="•"/>
      <w:lvlJc w:val="left"/>
      <w:pPr>
        <w:ind w:left="7268" w:hanging="708"/>
      </w:pPr>
      <w:rPr>
        <w:rFonts w:hint="default"/>
        <w:lang w:val="pt-BR" w:eastAsia="en-US" w:bidi="ar-SA"/>
      </w:rPr>
    </w:lvl>
  </w:abstractNum>
  <w:abstractNum w:abstractNumId="80" w15:restartNumberingAfterBreak="0">
    <w:nsid w:val="746D3A93"/>
    <w:multiLevelType w:val="hybridMultilevel"/>
    <w:tmpl w:val="BA98E2B4"/>
    <w:lvl w:ilvl="0" w:tplc="A7DADE28">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49E2DCCE">
      <w:start w:val="1"/>
      <w:numFmt w:val="lowerLetter"/>
      <w:lvlText w:val="(%2)"/>
      <w:lvlJc w:val="left"/>
      <w:pPr>
        <w:ind w:left="1002" w:hanging="387"/>
      </w:pPr>
      <w:rPr>
        <w:rFonts w:ascii="Times New Roman" w:eastAsia="Times New Roman" w:hAnsi="Times New Roman" w:cs="Times New Roman" w:hint="default"/>
        <w:b w:val="0"/>
        <w:bCs w:val="0"/>
        <w:i w:val="0"/>
        <w:iCs w:val="0"/>
        <w:spacing w:val="-2"/>
        <w:w w:val="99"/>
        <w:sz w:val="24"/>
        <w:szCs w:val="24"/>
        <w:lang w:val="pt-BR" w:eastAsia="en-US" w:bidi="ar-SA"/>
      </w:rPr>
    </w:lvl>
    <w:lvl w:ilvl="2" w:tplc="6430FC2E">
      <w:numFmt w:val="bullet"/>
      <w:lvlText w:val="•"/>
      <w:lvlJc w:val="left"/>
      <w:pPr>
        <w:ind w:left="1895" w:hanging="387"/>
      </w:pPr>
      <w:rPr>
        <w:rFonts w:hint="default"/>
        <w:lang w:val="pt-BR" w:eastAsia="en-US" w:bidi="ar-SA"/>
      </w:rPr>
    </w:lvl>
    <w:lvl w:ilvl="3" w:tplc="05EC91F2">
      <w:numFmt w:val="bullet"/>
      <w:lvlText w:val="•"/>
      <w:lvlJc w:val="left"/>
      <w:pPr>
        <w:ind w:left="2791" w:hanging="387"/>
      </w:pPr>
      <w:rPr>
        <w:rFonts w:hint="default"/>
        <w:lang w:val="pt-BR" w:eastAsia="en-US" w:bidi="ar-SA"/>
      </w:rPr>
    </w:lvl>
    <w:lvl w:ilvl="4" w:tplc="7068A738">
      <w:numFmt w:val="bullet"/>
      <w:lvlText w:val="•"/>
      <w:lvlJc w:val="left"/>
      <w:pPr>
        <w:ind w:left="3686" w:hanging="387"/>
      </w:pPr>
      <w:rPr>
        <w:rFonts w:hint="default"/>
        <w:lang w:val="pt-BR" w:eastAsia="en-US" w:bidi="ar-SA"/>
      </w:rPr>
    </w:lvl>
    <w:lvl w:ilvl="5" w:tplc="86DE6F56">
      <w:numFmt w:val="bullet"/>
      <w:lvlText w:val="•"/>
      <w:lvlJc w:val="left"/>
      <w:pPr>
        <w:ind w:left="4582" w:hanging="387"/>
      </w:pPr>
      <w:rPr>
        <w:rFonts w:hint="default"/>
        <w:lang w:val="pt-BR" w:eastAsia="en-US" w:bidi="ar-SA"/>
      </w:rPr>
    </w:lvl>
    <w:lvl w:ilvl="6" w:tplc="95C897B6">
      <w:numFmt w:val="bullet"/>
      <w:lvlText w:val="•"/>
      <w:lvlJc w:val="left"/>
      <w:pPr>
        <w:ind w:left="5477" w:hanging="387"/>
      </w:pPr>
      <w:rPr>
        <w:rFonts w:hint="default"/>
        <w:lang w:val="pt-BR" w:eastAsia="en-US" w:bidi="ar-SA"/>
      </w:rPr>
    </w:lvl>
    <w:lvl w:ilvl="7" w:tplc="A8ECD410">
      <w:numFmt w:val="bullet"/>
      <w:lvlText w:val="•"/>
      <w:lvlJc w:val="left"/>
      <w:pPr>
        <w:ind w:left="6373" w:hanging="387"/>
      </w:pPr>
      <w:rPr>
        <w:rFonts w:hint="default"/>
        <w:lang w:val="pt-BR" w:eastAsia="en-US" w:bidi="ar-SA"/>
      </w:rPr>
    </w:lvl>
    <w:lvl w:ilvl="8" w:tplc="0A78EEBC">
      <w:numFmt w:val="bullet"/>
      <w:lvlText w:val="•"/>
      <w:lvlJc w:val="left"/>
      <w:pPr>
        <w:ind w:left="7268" w:hanging="387"/>
      </w:pPr>
      <w:rPr>
        <w:rFonts w:hint="default"/>
        <w:lang w:val="pt-BR" w:eastAsia="en-US" w:bidi="ar-SA"/>
      </w:rPr>
    </w:lvl>
  </w:abstractNum>
  <w:abstractNum w:abstractNumId="81" w15:restartNumberingAfterBreak="0">
    <w:nsid w:val="74AA6F57"/>
    <w:multiLevelType w:val="hybridMultilevel"/>
    <w:tmpl w:val="39585288"/>
    <w:lvl w:ilvl="0" w:tplc="7B1EBFBE">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7A904E50">
      <w:numFmt w:val="bullet"/>
      <w:lvlText w:val="•"/>
      <w:lvlJc w:val="left"/>
      <w:pPr>
        <w:ind w:left="996" w:hanging="708"/>
      </w:pPr>
      <w:rPr>
        <w:rFonts w:hint="default"/>
        <w:lang w:val="pt-BR" w:eastAsia="en-US" w:bidi="ar-SA"/>
      </w:rPr>
    </w:lvl>
    <w:lvl w:ilvl="2" w:tplc="C376FEA6">
      <w:numFmt w:val="bullet"/>
      <w:lvlText w:val="•"/>
      <w:lvlJc w:val="left"/>
      <w:pPr>
        <w:ind w:left="1892" w:hanging="708"/>
      </w:pPr>
      <w:rPr>
        <w:rFonts w:hint="default"/>
        <w:lang w:val="pt-BR" w:eastAsia="en-US" w:bidi="ar-SA"/>
      </w:rPr>
    </w:lvl>
    <w:lvl w:ilvl="3" w:tplc="EB26A93A">
      <w:numFmt w:val="bullet"/>
      <w:lvlText w:val="•"/>
      <w:lvlJc w:val="left"/>
      <w:pPr>
        <w:ind w:left="2788" w:hanging="708"/>
      </w:pPr>
      <w:rPr>
        <w:rFonts w:hint="default"/>
        <w:lang w:val="pt-BR" w:eastAsia="en-US" w:bidi="ar-SA"/>
      </w:rPr>
    </w:lvl>
    <w:lvl w:ilvl="4" w:tplc="C81C6A56">
      <w:numFmt w:val="bullet"/>
      <w:lvlText w:val="•"/>
      <w:lvlJc w:val="left"/>
      <w:pPr>
        <w:ind w:left="3684" w:hanging="708"/>
      </w:pPr>
      <w:rPr>
        <w:rFonts w:hint="default"/>
        <w:lang w:val="pt-BR" w:eastAsia="en-US" w:bidi="ar-SA"/>
      </w:rPr>
    </w:lvl>
    <w:lvl w:ilvl="5" w:tplc="E02A279A">
      <w:numFmt w:val="bullet"/>
      <w:lvlText w:val="•"/>
      <w:lvlJc w:val="left"/>
      <w:pPr>
        <w:ind w:left="4580" w:hanging="708"/>
      </w:pPr>
      <w:rPr>
        <w:rFonts w:hint="default"/>
        <w:lang w:val="pt-BR" w:eastAsia="en-US" w:bidi="ar-SA"/>
      </w:rPr>
    </w:lvl>
    <w:lvl w:ilvl="6" w:tplc="C0FC21A6">
      <w:numFmt w:val="bullet"/>
      <w:lvlText w:val="•"/>
      <w:lvlJc w:val="left"/>
      <w:pPr>
        <w:ind w:left="5476" w:hanging="708"/>
      </w:pPr>
      <w:rPr>
        <w:rFonts w:hint="default"/>
        <w:lang w:val="pt-BR" w:eastAsia="en-US" w:bidi="ar-SA"/>
      </w:rPr>
    </w:lvl>
    <w:lvl w:ilvl="7" w:tplc="41583CF8">
      <w:numFmt w:val="bullet"/>
      <w:lvlText w:val="•"/>
      <w:lvlJc w:val="left"/>
      <w:pPr>
        <w:ind w:left="6372" w:hanging="708"/>
      </w:pPr>
      <w:rPr>
        <w:rFonts w:hint="default"/>
        <w:lang w:val="pt-BR" w:eastAsia="en-US" w:bidi="ar-SA"/>
      </w:rPr>
    </w:lvl>
    <w:lvl w:ilvl="8" w:tplc="88DCC05E">
      <w:numFmt w:val="bullet"/>
      <w:lvlText w:val="•"/>
      <w:lvlJc w:val="left"/>
      <w:pPr>
        <w:ind w:left="7268" w:hanging="708"/>
      </w:pPr>
      <w:rPr>
        <w:rFonts w:hint="default"/>
        <w:lang w:val="pt-BR" w:eastAsia="en-US" w:bidi="ar-SA"/>
      </w:rPr>
    </w:lvl>
  </w:abstractNum>
  <w:abstractNum w:abstractNumId="82" w15:restartNumberingAfterBreak="0">
    <w:nsid w:val="75CC6656"/>
    <w:multiLevelType w:val="singleLevel"/>
    <w:tmpl w:val="DCD200A6"/>
    <w:lvl w:ilvl="0">
      <w:start w:val="2"/>
      <w:numFmt w:val="upperRoman"/>
      <w:pStyle w:val="Ttulo7"/>
      <w:lvlText w:val="%1."/>
      <w:legacy w:legacy="1" w:legacySpace="0" w:legacyIndent="720"/>
      <w:lvlJc w:val="left"/>
      <w:pPr>
        <w:ind w:left="720" w:hanging="720"/>
      </w:pPr>
    </w:lvl>
  </w:abstractNum>
  <w:abstractNum w:abstractNumId="83" w15:restartNumberingAfterBreak="0">
    <w:nsid w:val="76EA3860"/>
    <w:multiLevelType w:val="hybridMultilevel"/>
    <w:tmpl w:val="D7CC4C86"/>
    <w:lvl w:ilvl="0" w:tplc="0EAEA632">
      <w:start w:val="1"/>
      <w:numFmt w:val="lowerLetter"/>
      <w:lvlText w:val="(%1)"/>
      <w:lvlJc w:val="left"/>
      <w:pPr>
        <w:ind w:left="822" w:hanging="327"/>
      </w:pPr>
      <w:rPr>
        <w:rFonts w:ascii="Times New Roman" w:eastAsia="Times New Roman" w:hAnsi="Times New Roman" w:cs="Times New Roman" w:hint="default"/>
        <w:b w:val="0"/>
        <w:bCs w:val="0"/>
        <w:i w:val="0"/>
        <w:iCs w:val="0"/>
        <w:spacing w:val="-2"/>
        <w:w w:val="99"/>
        <w:sz w:val="24"/>
        <w:szCs w:val="24"/>
        <w:lang w:val="pt-BR" w:eastAsia="en-US" w:bidi="ar-SA"/>
      </w:rPr>
    </w:lvl>
    <w:lvl w:ilvl="1" w:tplc="4442E4EA">
      <w:numFmt w:val="bullet"/>
      <w:lvlText w:val="•"/>
      <w:lvlJc w:val="left"/>
      <w:pPr>
        <w:ind w:left="1644" w:hanging="327"/>
      </w:pPr>
      <w:rPr>
        <w:rFonts w:hint="default"/>
        <w:lang w:val="pt-BR" w:eastAsia="en-US" w:bidi="ar-SA"/>
      </w:rPr>
    </w:lvl>
    <w:lvl w:ilvl="2" w:tplc="AA4E0322">
      <w:numFmt w:val="bullet"/>
      <w:lvlText w:val="•"/>
      <w:lvlJc w:val="left"/>
      <w:pPr>
        <w:ind w:left="2468" w:hanging="327"/>
      </w:pPr>
      <w:rPr>
        <w:rFonts w:hint="default"/>
        <w:lang w:val="pt-BR" w:eastAsia="en-US" w:bidi="ar-SA"/>
      </w:rPr>
    </w:lvl>
    <w:lvl w:ilvl="3" w:tplc="A330CFF8">
      <w:numFmt w:val="bullet"/>
      <w:lvlText w:val="•"/>
      <w:lvlJc w:val="left"/>
      <w:pPr>
        <w:ind w:left="3292" w:hanging="327"/>
      </w:pPr>
      <w:rPr>
        <w:rFonts w:hint="default"/>
        <w:lang w:val="pt-BR" w:eastAsia="en-US" w:bidi="ar-SA"/>
      </w:rPr>
    </w:lvl>
    <w:lvl w:ilvl="4" w:tplc="1E1EBA76">
      <w:numFmt w:val="bullet"/>
      <w:lvlText w:val="•"/>
      <w:lvlJc w:val="left"/>
      <w:pPr>
        <w:ind w:left="4116" w:hanging="327"/>
      </w:pPr>
      <w:rPr>
        <w:rFonts w:hint="default"/>
        <w:lang w:val="pt-BR" w:eastAsia="en-US" w:bidi="ar-SA"/>
      </w:rPr>
    </w:lvl>
    <w:lvl w:ilvl="5" w:tplc="C42A3554">
      <w:numFmt w:val="bullet"/>
      <w:lvlText w:val="•"/>
      <w:lvlJc w:val="left"/>
      <w:pPr>
        <w:ind w:left="4940" w:hanging="327"/>
      </w:pPr>
      <w:rPr>
        <w:rFonts w:hint="default"/>
        <w:lang w:val="pt-BR" w:eastAsia="en-US" w:bidi="ar-SA"/>
      </w:rPr>
    </w:lvl>
    <w:lvl w:ilvl="6" w:tplc="415A8AEC">
      <w:numFmt w:val="bullet"/>
      <w:lvlText w:val="•"/>
      <w:lvlJc w:val="left"/>
      <w:pPr>
        <w:ind w:left="5764" w:hanging="327"/>
      </w:pPr>
      <w:rPr>
        <w:rFonts w:hint="default"/>
        <w:lang w:val="pt-BR" w:eastAsia="en-US" w:bidi="ar-SA"/>
      </w:rPr>
    </w:lvl>
    <w:lvl w:ilvl="7" w:tplc="01EC12E0">
      <w:numFmt w:val="bullet"/>
      <w:lvlText w:val="•"/>
      <w:lvlJc w:val="left"/>
      <w:pPr>
        <w:ind w:left="6588" w:hanging="327"/>
      </w:pPr>
      <w:rPr>
        <w:rFonts w:hint="default"/>
        <w:lang w:val="pt-BR" w:eastAsia="en-US" w:bidi="ar-SA"/>
      </w:rPr>
    </w:lvl>
    <w:lvl w:ilvl="8" w:tplc="6E86ADEE">
      <w:numFmt w:val="bullet"/>
      <w:lvlText w:val="•"/>
      <w:lvlJc w:val="left"/>
      <w:pPr>
        <w:ind w:left="7412" w:hanging="327"/>
      </w:pPr>
      <w:rPr>
        <w:rFonts w:hint="default"/>
        <w:lang w:val="pt-BR" w:eastAsia="en-US" w:bidi="ar-SA"/>
      </w:rPr>
    </w:lvl>
  </w:abstractNum>
  <w:abstractNum w:abstractNumId="84" w15:restartNumberingAfterBreak="0">
    <w:nsid w:val="77B3576F"/>
    <w:multiLevelType w:val="hybridMultilevel"/>
    <w:tmpl w:val="EF8A08E0"/>
    <w:lvl w:ilvl="0" w:tplc="E552073C">
      <w:start w:val="1"/>
      <w:numFmt w:val="decimal"/>
      <w:lvlText w:val="%1."/>
      <w:lvlJc w:val="left"/>
      <w:pPr>
        <w:ind w:left="102" w:hanging="708"/>
      </w:pPr>
      <w:rPr>
        <w:rFonts w:ascii="Times New Roman" w:eastAsia="Times New Roman" w:hAnsi="Times New Roman" w:cs="Times New Roman" w:hint="default"/>
        <w:b w:val="0"/>
        <w:bCs w:val="0"/>
        <w:i w:val="0"/>
        <w:iCs w:val="0"/>
        <w:w w:val="100"/>
        <w:sz w:val="24"/>
        <w:szCs w:val="24"/>
        <w:lang w:val="pt-BR" w:eastAsia="en-US" w:bidi="ar-SA"/>
      </w:rPr>
    </w:lvl>
    <w:lvl w:ilvl="1" w:tplc="EDC0605A">
      <w:numFmt w:val="bullet"/>
      <w:lvlText w:val="•"/>
      <w:lvlJc w:val="left"/>
      <w:pPr>
        <w:ind w:left="996" w:hanging="708"/>
      </w:pPr>
      <w:rPr>
        <w:rFonts w:hint="default"/>
        <w:lang w:val="pt-BR" w:eastAsia="en-US" w:bidi="ar-SA"/>
      </w:rPr>
    </w:lvl>
    <w:lvl w:ilvl="2" w:tplc="E8C0A682">
      <w:numFmt w:val="bullet"/>
      <w:lvlText w:val="•"/>
      <w:lvlJc w:val="left"/>
      <w:pPr>
        <w:ind w:left="1892" w:hanging="708"/>
      </w:pPr>
      <w:rPr>
        <w:rFonts w:hint="default"/>
        <w:lang w:val="pt-BR" w:eastAsia="en-US" w:bidi="ar-SA"/>
      </w:rPr>
    </w:lvl>
    <w:lvl w:ilvl="3" w:tplc="71DC9E38">
      <w:numFmt w:val="bullet"/>
      <w:lvlText w:val="•"/>
      <w:lvlJc w:val="left"/>
      <w:pPr>
        <w:ind w:left="2788" w:hanging="708"/>
      </w:pPr>
      <w:rPr>
        <w:rFonts w:hint="default"/>
        <w:lang w:val="pt-BR" w:eastAsia="en-US" w:bidi="ar-SA"/>
      </w:rPr>
    </w:lvl>
    <w:lvl w:ilvl="4" w:tplc="6368135E">
      <w:numFmt w:val="bullet"/>
      <w:lvlText w:val="•"/>
      <w:lvlJc w:val="left"/>
      <w:pPr>
        <w:ind w:left="3684" w:hanging="708"/>
      </w:pPr>
      <w:rPr>
        <w:rFonts w:hint="default"/>
        <w:lang w:val="pt-BR" w:eastAsia="en-US" w:bidi="ar-SA"/>
      </w:rPr>
    </w:lvl>
    <w:lvl w:ilvl="5" w:tplc="4F9A54FC">
      <w:numFmt w:val="bullet"/>
      <w:lvlText w:val="•"/>
      <w:lvlJc w:val="left"/>
      <w:pPr>
        <w:ind w:left="4580" w:hanging="708"/>
      </w:pPr>
      <w:rPr>
        <w:rFonts w:hint="default"/>
        <w:lang w:val="pt-BR" w:eastAsia="en-US" w:bidi="ar-SA"/>
      </w:rPr>
    </w:lvl>
    <w:lvl w:ilvl="6" w:tplc="A3D237EC">
      <w:numFmt w:val="bullet"/>
      <w:lvlText w:val="•"/>
      <w:lvlJc w:val="left"/>
      <w:pPr>
        <w:ind w:left="5476" w:hanging="708"/>
      </w:pPr>
      <w:rPr>
        <w:rFonts w:hint="default"/>
        <w:lang w:val="pt-BR" w:eastAsia="en-US" w:bidi="ar-SA"/>
      </w:rPr>
    </w:lvl>
    <w:lvl w:ilvl="7" w:tplc="CBAC3E5E">
      <w:numFmt w:val="bullet"/>
      <w:lvlText w:val="•"/>
      <w:lvlJc w:val="left"/>
      <w:pPr>
        <w:ind w:left="6372" w:hanging="708"/>
      </w:pPr>
      <w:rPr>
        <w:rFonts w:hint="default"/>
        <w:lang w:val="pt-BR" w:eastAsia="en-US" w:bidi="ar-SA"/>
      </w:rPr>
    </w:lvl>
    <w:lvl w:ilvl="8" w:tplc="ECBC8FF8">
      <w:numFmt w:val="bullet"/>
      <w:lvlText w:val="•"/>
      <w:lvlJc w:val="left"/>
      <w:pPr>
        <w:ind w:left="7268" w:hanging="708"/>
      </w:pPr>
      <w:rPr>
        <w:rFonts w:hint="default"/>
        <w:lang w:val="pt-BR" w:eastAsia="en-US" w:bidi="ar-SA"/>
      </w:rPr>
    </w:lvl>
  </w:abstractNum>
  <w:num w:numId="1">
    <w:abstractNumId w:val="57"/>
  </w:num>
  <w:num w:numId="2">
    <w:abstractNumId w:val="83"/>
  </w:num>
  <w:num w:numId="3">
    <w:abstractNumId w:val="84"/>
  </w:num>
  <w:num w:numId="4">
    <w:abstractNumId w:val="48"/>
  </w:num>
  <w:num w:numId="5">
    <w:abstractNumId w:val="64"/>
  </w:num>
  <w:num w:numId="6">
    <w:abstractNumId w:val="20"/>
  </w:num>
  <w:num w:numId="7">
    <w:abstractNumId w:val="61"/>
  </w:num>
  <w:num w:numId="8">
    <w:abstractNumId w:val="50"/>
  </w:num>
  <w:num w:numId="9">
    <w:abstractNumId w:val="60"/>
  </w:num>
  <w:num w:numId="10">
    <w:abstractNumId w:val="24"/>
  </w:num>
  <w:num w:numId="11">
    <w:abstractNumId w:val="31"/>
  </w:num>
  <w:num w:numId="12">
    <w:abstractNumId w:val="73"/>
  </w:num>
  <w:num w:numId="13">
    <w:abstractNumId w:val="38"/>
  </w:num>
  <w:num w:numId="14">
    <w:abstractNumId w:val="22"/>
  </w:num>
  <w:num w:numId="15">
    <w:abstractNumId w:val="43"/>
  </w:num>
  <w:num w:numId="16">
    <w:abstractNumId w:val="32"/>
  </w:num>
  <w:num w:numId="17">
    <w:abstractNumId w:val="2"/>
  </w:num>
  <w:num w:numId="18">
    <w:abstractNumId w:val="23"/>
  </w:num>
  <w:num w:numId="19">
    <w:abstractNumId w:val="44"/>
  </w:num>
  <w:num w:numId="20">
    <w:abstractNumId w:val="28"/>
  </w:num>
  <w:num w:numId="21">
    <w:abstractNumId w:val="0"/>
  </w:num>
  <w:num w:numId="22">
    <w:abstractNumId w:val="58"/>
  </w:num>
  <w:num w:numId="23">
    <w:abstractNumId w:val="14"/>
  </w:num>
  <w:num w:numId="24">
    <w:abstractNumId w:val="13"/>
  </w:num>
  <w:num w:numId="25">
    <w:abstractNumId w:val="7"/>
  </w:num>
  <w:num w:numId="26">
    <w:abstractNumId w:val="30"/>
  </w:num>
  <w:num w:numId="27">
    <w:abstractNumId w:val="41"/>
  </w:num>
  <w:num w:numId="28">
    <w:abstractNumId w:val="16"/>
  </w:num>
  <w:num w:numId="29">
    <w:abstractNumId w:val="81"/>
  </w:num>
  <w:num w:numId="30">
    <w:abstractNumId w:val="37"/>
  </w:num>
  <w:num w:numId="31">
    <w:abstractNumId w:val="17"/>
  </w:num>
  <w:num w:numId="32">
    <w:abstractNumId w:val="56"/>
  </w:num>
  <w:num w:numId="33">
    <w:abstractNumId w:val="52"/>
  </w:num>
  <w:num w:numId="34">
    <w:abstractNumId w:val="9"/>
  </w:num>
  <w:num w:numId="35">
    <w:abstractNumId w:val="35"/>
  </w:num>
  <w:num w:numId="36">
    <w:abstractNumId w:val="62"/>
  </w:num>
  <w:num w:numId="37">
    <w:abstractNumId w:val="78"/>
  </w:num>
  <w:num w:numId="38">
    <w:abstractNumId w:val="51"/>
  </w:num>
  <w:num w:numId="39">
    <w:abstractNumId w:val="69"/>
  </w:num>
  <w:num w:numId="40">
    <w:abstractNumId w:val="67"/>
  </w:num>
  <w:num w:numId="41">
    <w:abstractNumId w:val="25"/>
  </w:num>
  <w:num w:numId="42">
    <w:abstractNumId w:val="65"/>
  </w:num>
  <w:num w:numId="43">
    <w:abstractNumId w:val="40"/>
  </w:num>
  <w:num w:numId="44">
    <w:abstractNumId w:val="12"/>
  </w:num>
  <w:num w:numId="45">
    <w:abstractNumId w:val="1"/>
  </w:num>
  <w:num w:numId="46">
    <w:abstractNumId w:val="77"/>
  </w:num>
  <w:num w:numId="47">
    <w:abstractNumId w:val="71"/>
  </w:num>
  <w:num w:numId="48">
    <w:abstractNumId w:val="75"/>
  </w:num>
  <w:num w:numId="49">
    <w:abstractNumId w:val="10"/>
  </w:num>
  <w:num w:numId="50">
    <w:abstractNumId w:val="53"/>
  </w:num>
  <w:num w:numId="51">
    <w:abstractNumId w:val="33"/>
  </w:num>
  <w:num w:numId="52">
    <w:abstractNumId w:val="11"/>
  </w:num>
  <w:num w:numId="53">
    <w:abstractNumId w:val="63"/>
  </w:num>
  <w:num w:numId="54">
    <w:abstractNumId w:val="21"/>
  </w:num>
  <w:num w:numId="55">
    <w:abstractNumId w:val="79"/>
  </w:num>
  <w:num w:numId="56">
    <w:abstractNumId w:val="4"/>
  </w:num>
  <w:num w:numId="57">
    <w:abstractNumId w:val="47"/>
  </w:num>
  <w:num w:numId="58">
    <w:abstractNumId w:val="54"/>
  </w:num>
  <w:num w:numId="59">
    <w:abstractNumId w:val="27"/>
  </w:num>
  <w:num w:numId="60">
    <w:abstractNumId w:val="74"/>
  </w:num>
  <w:num w:numId="61">
    <w:abstractNumId w:val="29"/>
  </w:num>
  <w:num w:numId="62">
    <w:abstractNumId w:val="80"/>
  </w:num>
  <w:num w:numId="63">
    <w:abstractNumId w:val="26"/>
  </w:num>
  <w:num w:numId="64">
    <w:abstractNumId w:val="39"/>
  </w:num>
  <w:num w:numId="65">
    <w:abstractNumId w:val="45"/>
  </w:num>
  <w:num w:numId="66">
    <w:abstractNumId w:val="15"/>
  </w:num>
  <w:num w:numId="67">
    <w:abstractNumId w:val="55"/>
  </w:num>
  <w:num w:numId="68">
    <w:abstractNumId w:val="72"/>
  </w:num>
  <w:num w:numId="69">
    <w:abstractNumId w:val="49"/>
  </w:num>
  <w:num w:numId="70">
    <w:abstractNumId w:val="46"/>
  </w:num>
  <w:num w:numId="71">
    <w:abstractNumId w:val="66"/>
  </w:num>
  <w:num w:numId="72">
    <w:abstractNumId w:val="5"/>
  </w:num>
  <w:num w:numId="73">
    <w:abstractNumId w:val="3"/>
  </w:num>
  <w:num w:numId="74">
    <w:abstractNumId w:val="18"/>
  </w:num>
  <w:num w:numId="75">
    <w:abstractNumId w:val="8"/>
  </w:num>
  <w:num w:numId="76">
    <w:abstractNumId w:val="6"/>
  </w:num>
  <w:num w:numId="77">
    <w:abstractNumId w:val="19"/>
  </w:num>
  <w:num w:numId="78">
    <w:abstractNumId w:val="70"/>
  </w:num>
  <w:num w:numId="79">
    <w:abstractNumId w:val="82"/>
  </w:num>
  <w:num w:numId="80">
    <w:abstractNumId w:val="36"/>
  </w:num>
  <w:num w:numId="81">
    <w:abstractNumId w:val="42"/>
  </w:num>
  <w:num w:numId="82">
    <w:abstractNumId w:val="68"/>
  </w:num>
  <w:num w:numId="83">
    <w:abstractNumId w:val="76"/>
  </w:num>
  <w:num w:numId="84">
    <w:abstractNumId w:val="59"/>
  </w:num>
  <w:num w:numId="85">
    <w:abstractNumId w:val="34"/>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anda Athayde Linhares Martins Rivera">
    <w15:presenceInfo w15:providerId="AD" w15:userId="S::amanda.athayde@economia.gov.br::89afd2a2-7bbf-4ec3-8038-91e1880f65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6CB"/>
    <w:rsid w:val="0000046A"/>
    <w:rsid w:val="00000FC2"/>
    <w:rsid w:val="00011617"/>
    <w:rsid w:val="00017F37"/>
    <w:rsid w:val="00022485"/>
    <w:rsid w:val="00023769"/>
    <w:rsid w:val="00024B92"/>
    <w:rsid w:val="00031997"/>
    <w:rsid w:val="00031DF2"/>
    <w:rsid w:val="00032949"/>
    <w:rsid w:val="000329EA"/>
    <w:rsid w:val="00032ACD"/>
    <w:rsid w:val="00037C02"/>
    <w:rsid w:val="00042DBE"/>
    <w:rsid w:val="000538FD"/>
    <w:rsid w:val="00057B15"/>
    <w:rsid w:val="00061735"/>
    <w:rsid w:val="00066135"/>
    <w:rsid w:val="00067AD5"/>
    <w:rsid w:val="00070F31"/>
    <w:rsid w:val="00074353"/>
    <w:rsid w:val="0007519C"/>
    <w:rsid w:val="00075306"/>
    <w:rsid w:val="00077029"/>
    <w:rsid w:val="00080FB4"/>
    <w:rsid w:val="0008528B"/>
    <w:rsid w:val="00085B18"/>
    <w:rsid w:val="00085EFC"/>
    <w:rsid w:val="000A44E5"/>
    <w:rsid w:val="000A4B75"/>
    <w:rsid w:val="000A5EB5"/>
    <w:rsid w:val="000A6550"/>
    <w:rsid w:val="000A68BB"/>
    <w:rsid w:val="000B0704"/>
    <w:rsid w:val="000B0773"/>
    <w:rsid w:val="000B4A90"/>
    <w:rsid w:val="000C1BD7"/>
    <w:rsid w:val="000C31B9"/>
    <w:rsid w:val="000C5C79"/>
    <w:rsid w:val="000C7719"/>
    <w:rsid w:val="000D0EFE"/>
    <w:rsid w:val="000D25EB"/>
    <w:rsid w:val="000D6B8D"/>
    <w:rsid w:val="000E35BA"/>
    <w:rsid w:val="000E73BB"/>
    <w:rsid w:val="000F0BC5"/>
    <w:rsid w:val="000F127F"/>
    <w:rsid w:val="000F4871"/>
    <w:rsid w:val="001001FE"/>
    <w:rsid w:val="00102D95"/>
    <w:rsid w:val="0010531F"/>
    <w:rsid w:val="00107C9A"/>
    <w:rsid w:val="00112608"/>
    <w:rsid w:val="0011677F"/>
    <w:rsid w:val="001212FB"/>
    <w:rsid w:val="00126817"/>
    <w:rsid w:val="0013285C"/>
    <w:rsid w:val="001337D7"/>
    <w:rsid w:val="0013411D"/>
    <w:rsid w:val="00136C6B"/>
    <w:rsid w:val="001408A2"/>
    <w:rsid w:val="00141549"/>
    <w:rsid w:val="001419E1"/>
    <w:rsid w:val="0014217F"/>
    <w:rsid w:val="00142A53"/>
    <w:rsid w:val="00146037"/>
    <w:rsid w:val="00146A8A"/>
    <w:rsid w:val="0015306E"/>
    <w:rsid w:val="00160E77"/>
    <w:rsid w:val="0016109F"/>
    <w:rsid w:val="00165B09"/>
    <w:rsid w:val="00165DBA"/>
    <w:rsid w:val="0016612F"/>
    <w:rsid w:val="00170627"/>
    <w:rsid w:val="00174E58"/>
    <w:rsid w:val="00176B06"/>
    <w:rsid w:val="00182C72"/>
    <w:rsid w:val="00183ADD"/>
    <w:rsid w:val="001A32E3"/>
    <w:rsid w:val="001A3E4E"/>
    <w:rsid w:val="001A429D"/>
    <w:rsid w:val="001B1D53"/>
    <w:rsid w:val="001B5321"/>
    <w:rsid w:val="001B608E"/>
    <w:rsid w:val="001B6931"/>
    <w:rsid w:val="001C0257"/>
    <w:rsid w:val="001C398B"/>
    <w:rsid w:val="001C76F0"/>
    <w:rsid w:val="001C7FF3"/>
    <w:rsid w:val="001D0970"/>
    <w:rsid w:val="001D55F6"/>
    <w:rsid w:val="001D75EC"/>
    <w:rsid w:val="001E097F"/>
    <w:rsid w:val="001E4004"/>
    <w:rsid w:val="001E44C6"/>
    <w:rsid w:val="001F139A"/>
    <w:rsid w:val="001F651C"/>
    <w:rsid w:val="001F6CA2"/>
    <w:rsid w:val="0020216F"/>
    <w:rsid w:val="00202517"/>
    <w:rsid w:val="0020569B"/>
    <w:rsid w:val="00207C3F"/>
    <w:rsid w:val="00207D35"/>
    <w:rsid w:val="0021322F"/>
    <w:rsid w:val="00217D5E"/>
    <w:rsid w:val="002218CB"/>
    <w:rsid w:val="0022205D"/>
    <w:rsid w:val="002323B5"/>
    <w:rsid w:val="00232E86"/>
    <w:rsid w:val="00233227"/>
    <w:rsid w:val="00233DC8"/>
    <w:rsid w:val="00233F91"/>
    <w:rsid w:val="00236438"/>
    <w:rsid w:val="0024571A"/>
    <w:rsid w:val="0024589C"/>
    <w:rsid w:val="0024596F"/>
    <w:rsid w:val="002463AA"/>
    <w:rsid w:val="00251030"/>
    <w:rsid w:val="00254735"/>
    <w:rsid w:val="0026099B"/>
    <w:rsid w:val="00270CB2"/>
    <w:rsid w:val="00271639"/>
    <w:rsid w:val="00274F99"/>
    <w:rsid w:val="002770CE"/>
    <w:rsid w:val="00277B75"/>
    <w:rsid w:val="002A1A4B"/>
    <w:rsid w:val="002A1B2E"/>
    <w:rsid w:val="002A2F9D"/>
    <w:rsid w:val="002A3D1B"/>
    <w:rsid w:val="002A6C2E"/>
    <w:rsid w:val="002B293C"/>
    <w:rsid w:val="002B7A0C"/>
    <w:rsid w:val="002C1BD9"/>
    <w:rsid w:val="002C426C"/>
    <w:rsid w:val="002C4340"/>
    <w:rsid w:val="002C4C66"/>
    <w:rsid w:val="002C582E"/>
    <w:rsid w:val="002D0C9C"/>
    <w:rsid w:val="002D42BA"/>
    <w:rsid w:val="002D7A01"/>
    <w:rsid w:val="002E15A1"/>
    <w:rsid w:val="002E3E66"/>
    <w:rsid w:val="002E7AFA"/>
    <w:rsid w:val="002F017C"/>
    <w:rsid w:val="002F093A"/>
    <w:rsid w:val="002F579C"/>
    <w:rsid w:val="0030036E"/>
    <w:rsid w:val="00302B83"/>
    <w:rsid w:val="0030410E"/>
    <w:rsid w:val="00304AD8"/>
    <w:rsid w:val="00307597"/>
    <w:rsid w:val="00310959"/>
    <w:rsid w:val="00316EF4"/>
    <w:rsid w:val="00320245"/>
    <w:rsid w:val="003220F8"/>
    <w:rsid w:val="003223D5"/>
    <w:rsid w:val="00323002"/>
    <w:rsid w:val="003249A0"/>
    <w:rsid w:val="00334BD0"/>
    <w:rsid w:val="00346E6D"/>
    <w:rsid w:val="003526EA"/>
    <w:rsid w:val="00356AC0"/>
    <w:rsid w:val="00356B59"/>
    <w:rsid w:val="00356D6B"/>
    <w:rsid w:val="00360F96"/>
    <w:rsid w:val="0036418F"/>
    <w:rsid w:val="0036785B"/>
    <w:rsid w:val="00372971"/>
    <w:rsid w:val="00374B9E"/>
    <w:rsid w:val="003765AB"/>
    <w:rsid w:val="003770FC"/>
    <w:rsid w:val="003775F1"/>
    <w:rsid w:val="00380FFD"/>
    <w:rsid w:val="00381D55"/>
    <w:rsid w:val="00395593"/>
    <w:rsid w:val="003957CA"/>
    <w:rsid w:val="00395A06"/>
    <w:rsid w:val="003A02EF"/>
    <w:rsid w:val="003A0BDC"/>
    <w:rsid w:val="003A40C0"/>
    <w:rsid w:val="003A4A3D"/>
    <w:rsid w:val="003A627A"/>
    <w:rsid w:val="003B0AA6"/>
    <w:rsid w:val="003B126C"/>
    <w:rsid w:val="003B2CAE"/>
    <w:rsid w:val="003B4507"/>
    <w:rsid w:val="003B5DDA"/>
    <w:rsid w:val="003B6BBC"/>
    <w:rsid w:val="003C2988"/>
    <w:rsid w:val="003C36B2"/>
    <w:rsid w:val="003C4897"/>
    <w:rsid w:val="003C53EA"/>
    <w:rsid w:val="003C710A"/>
    <w:rsid w:val="003D154C"/>
    <w:rsid w:val="003D2A79"/>
    <w:rsid w:val="003D350E"/>
    <w:rsid w:val="003D7342"/>
    <w:rsid w:val="003D73B4"/>
    <w:rsid w:val="003E08FA"/>
    <w:rsid w:val="003E2EB5"/>
    <w:rsid w:val="003E54E2"/>
    <w:rsid w:val="003E65C9"/>
    <w:rsid w:val="003E7AEB"/>
    <w:rsid w:val="003F035B"/>
    <w:rsid w:val="003F11F6"/>
    <w:rsid w:val="003F4B0C"/>
    <w:rsid w:val="003F5F23"/>
    <w:rsid w:val="00400677"/>
    <w:rsid w:val="00400C16"/>
    <w:rsid w:val="00402409"/>
    <w:rsid w:val="0040267F"/>
    <w:rsid w:val="0040696E"/>
    <w:rsid w:val="004075A6"/>
    <w:rsid w:val="004136FD"/>
    <w:rsid w:val="00414C8F"/>
    <w:rsid w:val="00422F03"/>
    <w:rsid w:val="00425702"/>
    <w:rsid w:val="00432041"/>
    <w:rsid w:val="004345E6"/>
    <w:rsid w:val="00436911"/>
    <w:rsid w:val="00443403"/>
    <w:rsid w:val="00447992"/>
    <w:rsid w:val="00450A8D"/>
    <w:rsid w:val="0045176C"/>
    <w:rsid w:val="0045326D"/>
    <w:rsid w:val="004567A1"/>
    <w:rsid w:val="00457288"/>
    <w:rsid w:val="00461DB0"/>
    <w:rsid w:val="00464D0F"/>
    <w:rsid w:val="0047701A"/>
    <w:rsid w:val="00477461"/>
    <w:rsid w:val="00481CBD"/>
    <w:rsid w:val="00484B1A"/>
    <w:rsid w:val="00485645"/>
    <w:rsid w:val="0048615F"/>
    <w:rsid w:val="00486CE3"/>
    <w:rsid w:val="00490CF8"/>
    <w:rsid w:val="004973C4"/>
    <w:rsid w:val="00497E87"/>
    <w:rsid w:val="004A05ED"/>
    <w:rsid w:val="004A065F"/>
    <w:rsid w:val="004A423E"/>
    <w:rsid w:val="004A450E"/>
    <w:rsid w:val="004B14B9"/>
    <w:rsid w:val="004B3E39"/>
    <w:rsid w:val="004C46F0"/>
    <w:rsid w:val="004C4756"/>
    <w:rsid w:val="004C481D"/>
    <w:rsid w:val="004C6B9B"/>
    <w:rsid w:val="004C71F2"/>
    <w:rsid w:val="004C74AB"/>
    <w:rsid w:val="004D0B00"/>
    <w:rsid w:val="004D3D0A"/>
    <w:rsid w:val="004D4329"/>
    <w:rsid w:val="004E3695"/>
    <w:rsid w:val="004E6800"/>
    <w:rsid w:val="004E7597"/>
    <w:rsid w:val="004E7CD9"/>
    <w:rsid w:val="004F0FFB"/>
    <w:rsid w:val="004F1472"/>
    <w:rsid w:val="004F180A"/>
    <w:rsid w:val="00500725"/>
    <w:rsid w:val="0050193E"/>
    <w:rsid w:val="00506BC0"/>
    <w:rsid w:val="005153DD"/>
    <w:rsid w:val="005168DC"/>
    <w:rsid w:val="00531D5F"/>
    <w:rsid w:val="0053798A"/>
    <w:rsid w:val="00543362"/>
    <w:rsid w:val="0055218F"/>
    <w:rsid w:val="00554628"/>
    <w:rsid w:val="0055645C"/>
    <w:rsid w:val="0056147E"/>
    <w:rsid w:val="0056704D"/>
    <w:rsid w:val="005705DA"/>
    <w:rsid w:val="00571281"/>
    <w:rsid w:val="0057181D"/>
    <w:rsid w:val="00573693"/>
    <w:rsid w:val="00574E80"/>
    <w:rsid w:val="0057798D"/>
    <w:rsid w:val="005811F0"/>
    <w:rsid w:val="0059373E"/>
    <w:rsid w:val="00595D9A"/>
    <w:rsid w:val="00596935"/>
    <w:rsid w:val="005A471A"/>
    <w:rsid w:val="005A75EB"/>
    <w:rsid w:val="005B1996"/>
    <w:rsid w:val="005B354C"/>
    <w:rsid w:val="005B62BB"/>
    <w:rsid w:val="005B7FCD"/>
    <w:rsid w:val="005C1C4A"/>
    <w:rsid w:val="005C26A4"/>
    <w:rsid w:val="005C5CBD"/>
    <w:rsid w:val="005D0A4D"/>
    <w:rsid w:val="005D35FF"/>
    <w:rsid w:val="005D37E9"/>
    <w:rsid w:val="005D3E12"/>
    <w:rsid w:val="005D6759"/>
    <w:rsid w:val="005F2737"/>
    <w:rsid w:val="005F7A3B"/>
    <w:rsid w:val="0060007E"/>
    <w:rsid w:val="00603DBA"/>
    <w:rsid w:val="0061153E"/>
    <w:rsid w:val="006116B8"/>
    <w:rsid w:val="00612A0F"/>
    <w:rsid w:val="00616297"/>
    <w:rsid w:val="00631C50"/>
    <w:rsid w:val="00633F39"/>
    <w:rsid w:val="006357B3"/>
    <w:rsid w:val="00636917"/>
    <w:rsid w:val="006376B7"/>
    <w:rsid w:val="00650032"/>
    <w:rsid w:val="0065062F"/>
    <w:rsid w:val="0065291A"/>
    <w:rsid w:val="0065415E"/>
    <w:rsid w:val="00655FD9"/>
    <w:rsid w:val="00662E98"/>
    <w:rsid w:val="00663FE5"/>
    <w:rsid w:val="00665EB3"/>
    <w:rsid w:val="006666B4"/>
    <w:rsid w:val="006671EA"/>
    <w:rsid w:val="00676749"/>
    <w:rsid w:val="00680017"/>
    <w:rsid w:val="006851AA"/>
    <w:rsid w:val="00685429"/>
    <w:rsid w:val="006875E7"/>
    <w:rsid w:val="006908A1"/>
    <w:rsid w:val="00693D54"/>
    <w:rsid w:val="006A1F31"/>
    <w:rsid w:val="006A48FE"/>
    <w:rsid w:val="006A735F"/>
    <w:rsid w:val="006A794F"/>
    <w:rsid w:val="006B01D1"/>
    <w:rsid w:val="006B3EE3"/>
    <w:rsid w:val="006C1221"/>
    <w:rsid w:val="006C3484"/>
    <w:rsid w:val="006C49D0"/>
    <w:rsid w:val="006C5BE6"/>
    <w:rsid w:val="006C63B9"/>
    <w:rsid w:val="006C7200"/>
    <w:rsid w:val="006C7319"/>
    <w:rsid w:val="006D3E4D"/>
    <w:rsid w:val="006D589D"/>
    <w:rsid w:val="006E4B42"/>
    <w:rsid w:val="006F1830"/>
    <w:rsid w:val="006F6FA9"/>
    <w:rsid w:val="006F771A"/>
    <w:rsid w:val="00701DA1"/>
    <w:rsid w:val="00702DCD"/>
    <w:rsid w:val="007057DE"/>
    <w:rsid w:val="00716B33"/>
    <w:rsid w:val="00720AA1"/>
    <w:rsid w:val="00730A1F"/>
    <w:rsid w:val="007348F7"/>
    <w:rsid w:val="00737E3B"/>
    <w:rsid w:val="00742BFD"/>
    <w:rsid w:val="00745A73"/>
    <w:rsid w:val="007517DA"/>
    <w:rsid w:val="00751920"/>
    <w:rsid w:val="00753FCE"/>
    <w:rsid w:val="00761A57"/>
    <w:rsid w:val="00762C85"/>
    <w:rsid w:val="00762EBE"/>
    <w:rsid w:val="00763381"/>
    <w:rsid w:val="00764201"/>
    <w:rsid w:val="00772827"/>
    <w:rsid w:val="00780A58"/>
    <w:rsid w:val="007815AA"/>
    <w:rsid w:val="0078701B"/>
    <w:rsid w:val="007903A5"/>
    <w:rsid w:val="007904C9"/>
    <w:rsid w:val="0079262A"/>
    <w:rsid w:val="00795852"/>
    <w:rsid w:val="007A18FE"/>
    <w:rsid w:val="007B17E1"/>
    <w:rsid w:val="007B6E57"/>
    <w:rsid w:val="007C2541"/>
    <w:rsid w:val="007C6ADC"/>
    <w:rsid w:val="007C7BD6"/>
    <w:rsid w:val="007D659A"/>
    <w:rsid w:val="007F0BE9"/>
    <w:rsid w:val="007F2CCB"/>
    <w:rsid w:val="008017BB"/>
    <w:rsid w:val="0081415C"/>
    <w:rsid w:val="00816BCF"/>
    <w:rsid w:val="00820DE5"/>
    <w:rsid w:val="00830850"/>
    <w:rsid w:val="00830C4A"/>
    <w:rsid w:val="008317CE"/>
    <w:rsid w:val="008319ED"/>
    <w:rsid w:val="00833E08"/>
    <w:rsid w:val="00835251"/>
    <w:rsid w:val="00836E57"/>
    <w:rsid w:val="0084326B"/>
    <w:rsid w:val="00844BC0"/>
    <w:rsid w:val="00847C8A"/>
    <w:rsid w:val="00847C9D"/>
    <w:rsid w:val="00847E4D"/>
    <w:rsid w:val="00854040"/>
    <w:rsid w:val="0085691D"/>
    <w:rsid w:val="00857D00"/>
    <w:rsid w:val="008605AF"/>
    <w:rsid w:val="008638A9"/>
    <w:rsid w:val="00866248"/>
    <w:rsid w:val="008670AD"/>
    <w:rsid w:val="00870301"/>
    <w:rsid w:val="008724C9"/>
    <w:rsid w:val="00872C0E"/>
    <w:rsid w:val="008810D8"/>
    <w:rsid w:val="00882995"/>
    <w:rsid w:val="00887637"/>
    <w:rsid w:val="00890256"/>
    <w:rsid w:val="00890606"/>
    <w:rsid w:val="008918BC"/>
    <w:rsid w:val="0089636D"/>
    <w:rsid w:val="008A0895"/>
    <w:rsid w:val="008A3B26"/>
    <w:rsid w:val="008A3E6F"/>
    <w:rsid w:val="008A56F1"/>
    <w:rsid w:val="008B246C"/>
    <w:rsid w:val="008B294A"/>
    <w:rsid w:val="008B3B5C"/>
    <w:rsid w:val="008B6F92"/>
    <w:rsid w:val="008C1238"/>
    <w:rsid w:val="008C326A"/>
    <w:rsid w:val="008C38CF"/>
    <w:rsid w:val="008C7977"/>
    <w:rsid w:val="008D2CB0"/>
    <w:rsid w:val="008E2D74"/>
    <w:rsid w:val="008E35E1"/>
    <w:rsid w:val="008E3AF6"/>
    <w:rsid w:val="008F2082"/>
    <w:rsid w:val="008F5EE8"/>
    <w:rsid w:val="00901CBB"/>
    <w:rsid w:val="009057A6"/>
    <w:rsid w:val="0090796B"/>
    <w:rsid w:val="00912BDF"/>
    <w:rsid w:val="009146B4"/>
    <w:rsid w:val="00916A6C"/>
    <w:rsid w:val="0092103D"/>
    <w:rsid w:val="0092198B"/>
    <w:rsid w:val="009258EE"/>
    <w:rsid w:val="009311B4"/>
    <w:rsid w:val="0093403C"/>
    <w:rsid w:val="009374B4"/>
    <w:rsid w:val="009408F9"/>
    <w:rsid w:val="009463A6"/>
    <w:rsid w:val="00947700"/>
    <w:rsid w:val="00956EAA"/>
    <w:rsid w:val="0096012E"/>
    <w:rsid w:val="009603C0"/>
    <w:rsid w:val="00962E9D"/>
    <w:rsid w:val="00963B0C"/>
    <w:rsid w:val="00966E0C"/>
    <w:rsid w:val="009675FB"/>
    <w:rsid w:val="0097041B"/>
    <w:rsid w:val="00973F68"/>
    <w:rsid w:val="00980FD7"/>
    <w:rsid w:val="009827E4"/>
    <w:rsid w:val="00983075"/>
    <w:rsid w:val="00984613"/>
    <w:rsid w:val="0098496C"/>
    <w:rsid w:val="009849A8"/>
    <w:rsid w:val="00986644"/>
    <w:rsid w:val="0098716C"/>
    <w:rsid w:val="00987230"/>
    <w:rsid w:val="0099131C"/>
    <w:rsid w:val="00995416"/>
    <w:rsid w:val="00995CE5"/>
    <w:rsid w:val="009A659B"/>
    <w:rsid w:val="009A7E8D"/>
    <w:rsid w:val="009B0F0D"/>
    <w:rsid w:val="009B448C"/>
    <w:rsid w:val="009B5236"/>
    <w:rsid w:val="009C2FAD"/>
    <w:rsid w:val="009C5761"/>
    <w:rsid w:val="009D05B9"/>
    <w:rsid w:val="009D1214"/>
    <w:rsid w:val="009D3227"/>
    <w:rsid w:val="009E72D8"/>
    <w:rsid w:val="009F5CFA"/>
    <w:rsid w:val="00A02F76"/>
    <w:rsid w:val="00A055AE"/>
    <w:rsid w:val="00A05F15"/>
    <w:rsid w:val="00A07F88"/>
    <w:rsid w:val="00A10A13"/>
    <w:rsid w:val="00A24E22"/>
    <w:rsid w:val="00A263B4"/>
    <w:rsid w:val="00A320DC"/>
    <w:rsid w:val="00A3272E"/>
    <w:rsid w:val="00A376E6"/>
    <w:rsid w:val="00A40BDB"/>
    <w:rsid w:val="00A5373D"/>
    <w:rsid w:val="00A5596F"/>
    <w:rsid w:val="00A57EC7"/>
    <w:rsid w:val="00A64BA6"/>
    <w:rsid w:val="00A667CD"/>
    <w:rsid w:val="00A67625"/>
    <w:rsid w:val="00A71B0D"/>
    <w:rsid w:val="00A71FFE"/>
    <w:rsid w:val="00A73C0F"/>
    <w:rsid w:val="00A83773"/>
    <w:rsid w:val="00A84D1A"/>
    <w:rsid w:val="00A913BB"/>
    <w:rsid w:val="00A9591C"/>
    <w:rsid w:val="00AA0B82"/>
    <w:rsid w:val="00AA14AE"/>
    <w:rsid w:val="00AA5581"/>
    <w:rsid w:val="00AA7216"/>
    <w:rsid w:val="00AA75ED"/>
    <w:rsid w:val="00AA7848"/>
    <w:rsid w:val="00AB01CE"/>
    <w:rsid w:val="00AB0C72"/>
    <w:rsid w:val="00AB124B"/>
    <w:rsid w:val="00AB21F8"/>
    <w:rsid w:val="00AB6DEC"/>
    <w:rsid w:val="00AC1360"/>
    <w:rsid w:val="00AC3980"/>
    <w:rsid w:val="00AC4E61"/>
    <w:rsid w:val="00AD2387"/>
    <w:rsid w:val="00AD70EE"/>
    <w:rsid w:val="00AE2332"/>
    <w:rsid w:val="00AE2E10"/>
    <w:rsid w:val="00AE3FAC"/>
    <w:rsid w:val="00AE57F9"/>
    <w:rsid w:val="00AF5004"/>
    <w:rsid w:val="00AF5590"/>
    <w:rsid w:val="00B00BFE"/>
    <w:rsid w:val="00B01231"/>
    <w:rsid w:val="00B015C7"/>
    <w:rsid w:val="00B01F52"/>
    <w:rsid w:val="00B03053"/>
    <w:rsid w:val="00B03949"/>
    <w:rsid w:val="00B0461F"/>
    <w:rsid w:val="00B1130D"/>
    <w:rsid w:val="00B11984"/>
    <w:rsid w:val="00B1330F"/>
    <w:rsid w:val="00B22263"/>
    <w:rsid w:val="00B22A98"/>
    <w:rsid w:val="00B273F2"/>
    <w:rsid w:val="00B300E7"/>
    <w:rsid w:val="00B3070A"/>
    <w:rsid w:val="00B3148B"/>
    <w:rsid w:val="00B33904"/>
    <w:rsid w:val="00B3620E"/>
    <w:rsid w:val="00B4159E"/>
    <w:rsid w:val="00B4208D"/>
    <w:rsid w:val="00B478ED"/>
    <w:rsid w:val="00B510C3"/>
    <w:rsid w:val="00B518FA"/>
    <w:rsid w:val="00B51DB1"/>
    <w:rsid w:val="00B54507"/>
    <w:rsid w:val="00B56AAD"/>
    <w:rsid w:val="00B64C8A"/>
    <w:rsid w:val="00B65C1F"/>
    <w:rsid w:val="00B73003"/>
    <w:rsid w:val="00B74607"/>
    <w:rsid w:val="00B77F51"/>
    <w:rsid w:val="00B81A71"/>
    <w:rsid w:val="00B83684"/>
    <w:rsid w:val="00B87725"/>
    <w:rsid w:val="00B93CE0"/>
    <w:rsid w:val="00B97952"/>
    <w:rsid w:val="00BA2DA8"/>
    <w:rsid w:val="00BB0A69"/>
    <w:rsid w:val="00BB7C21"/>
    <w:rsid w:val="00BC314F"/>
    <w:rsid w:val="00BD0C49"/>
    <w:rsid w:val="00BD2897"/>
    <w:rsid w:val="00BD3F97"/>
    <w:rsid w:val="00BD4B23"/>
    <w:rsid w:val="00BD507C"/>
    <w:rsid w:val="00BD76D9"/>
    <w:rsid w:val="00BD7B39"/>
    <w:rsid w:val="00BE5896"/>
    <w:rsid w:val="00BE5F09"/>
    <w:rsid w:val="00BE73D3"/>
    <w:rsid w:val="00BE78D4"/>
    <w:rsid w:val="00BF0CF4"/>
    <w:rsid w:val="00BF12ED"/>
    <w:rsid w:val="00BF2A92"/>
    <w:rsid w:val="00BF3965"/>
    <w:rsid w:val="00BF4085"/>
    <w:rsid w:val="00BF44E2"/>
    <w:rsid w:val="00BF6E08"/>
    <w:rsid w:val="00BF7B8D"/>
    <w:rsid w:val="00C00894"/>
    <w:rsid w:val="00C064E9"/>
    <w:rsid w:val="00C12525"/>
    <w:rsid w:val="00C165C3"/>
    <w:rsid w:val="00C167B4"/>
    <w:rsid w:val="00C171A2"/>
    <w:rsid w:val="00C226CB"/>
    <w:rsid w:val="00C314F5"/>
    <w:rsid w:val="00C34252"/>
    <w:rsid w:val="00C3469C"/>
    <w:rsid w:val="00C351D2"/>
    <w:rsid w:val="00C36A00"/>
    <w:rsid w:val="00C414FD"/>
    <w:rsid w:val="00C41CBC"/>
    <w:rsid w:val="00C43D68"/>
    <w:rsid w:val="00C44C2F"/>
    <w:rsid w:val="00C45DDD"/>
    <w:rsid w:val="00C50B0C"/>
    <w:rsid w:val="00C51235"/>
    <w:rsid w:val="00C63061"/>
    <w:rsid w:val="00C63E8E"/>
    <w:rsid w:val="00C64F35"/>
    <w:rsid w:val="00C65367"/>
    <w:rsid w:val="00C72072"/>
    <w:rsid w:val="00C75769"/>
    <w:rsid w:val="00C8137D"/>
    <w:rsid w:val="00C85D22"/>
    <w:rsid w:val="00C917D9"/>
    <w:rsid w:val="00C93F7B"/>
    <w:rsid w:val="00C94A65"/>
    <w:rsid w:val="00C953BF"/>
    <w:rsid w:val="00C95852"/>
    <w:rsid w:val="00C9744D"/>
    <w:rsid w:val="00C97F9F"/>
    <w:rsid w:val="00CA092B"/>
    <w:rsid w:val="00CA2A89"/>
    <w:rsid w:val="00CB06CD"/>
    <w:rsid w:val="00CB12F4"/>
    <w:rsid w:val="00CB6C86"/>
    <w:rsid w:val="00CC176B"/>
    <w:rsid w:val="00CC23EA"/>
    <w:rsid w:val="00CC433B"/>
    <w:rsid w:val="00CC49BC"/>
    <w:rsid w:val="00CC7F15"/>
    <w:rsid w:val="00CD39E3"/>
    <w:rsid w:val="00CE02D2"/>
    <w:rsid w:val="00CE1ABC"/>
    <w:rsid w:val="00CE211F"/>
    <w:rsid w:val="00CE69B0"/>
    <w:rsid w:val="00CE7789"/>
    <w:rsid w:val="00CE7863"/>
    <w:rsid w:val="00CF1C87"/>
    <w:rsid w:val="00CF3D70"/>
    <w:rsid w:val="00CF6D0D"/>
    <w:rsid w:val="00D02A11"/>
    <w:rsid w:val="00D061CE"/>
    <w:rsid w:val="00D07117"/>
    <w:rsid w:val="00D11385"/>
    <w:rsid w:val="00D143DE"/>
    <w:rsid w:val="00D22343"/>
    <w:rsid w:val="00D22DF2"/>
    <w:rsid w:val="00D253E2"/>
    <w:rsid w:val="00D3137B"/>
    <w:rsid w:val="00D410C7"/>
    <w:rsid w:val="00D44A7A"/>
    <w:rsid w:val="00D45AEB"/>
    <w:rsid w:val="00D541B6"/>
    <w:rsid w:val="00D54496"/>
    <w:rsid w:val="00D632E8"/>
    <w:rsid w:val="00D6503F"/>
    <w:rsid w:val="00D65665"/>
    <w:rsid w:val="00D6741B"/>
    <w:rsid w:val="00D702A4"/>
    <w:rsid w:val="00D712F1"/>
    <w:rsid w:val="00D745FF"/>
    <w:rsid w:val="00D815D9"/>
    <w:rsid w:val="00D83A56"/>
    <w:rsid w:val="00D84825"/>
    <w:rsid w:val="00D84AFC"/>
    <w:rsid w:val="00D85AA6"/>
    <w:rsid w:val="00D86E84"/>
    <w:rsid w:val="00D9098E"/>
    <w:rsid w:val="00D90BB1"/>
    <w:rsid w:val="00D92351"/>
    <w:rsid w:val="00DA0690"/>
    <w:rsid w:val="00DB1FD6"/>
    <w:rsid w:val="00DC259B"/>
    <w:rsid w:val="00DC644D"/>
    <w:rsid w:val="00DC71B5"/>
    <w:rsid w:val="00DD0A73"/>
    <w:rsid w:val="00DD658D"/>
    <w:rsid w:val="00DD75F9"/>
    <w:rsid w:val="00DE2D24"/>
    <w:rsid w:val="00DE2F67"/>
    <w:rsid w:val="00DE345D"/>
    <w:rsid w:val="00DE6CC8"/>
    <w:rsid w:val="00DF14B5"/>
    <w:rsid w:val="00DF2936"/>
    <w:rsid w:val="00DF2B18"/>
    <w:rsid w:val="00DF403D"/>
    <w:rsid w:val="00DF496D"/>
    <w:rsid w:val="00DF4BD7"/>
    <w:rsid w:val="00E03CC7"/>
    <w:rsid w:val="00E07783"/>
    <w:rsid w:val="00E12D16"/>
    <w:rsid w:val="00E15FBB"/>
    <w:rsid w:val="00E17A27"/>
    <w:rsid w:val="00E2110A"/>
    <w:rsid w:val="00E231EA"/>
    <w:rsid w:val="00E23D5F"/>
    <w:rsid w:val="00E24207"/>
    <w:rsid w:val="00E24284"/>
    <w:rsid w:val="00E248EA"/>
    <w:rsid w:val="00E25558"/>
    <w:rsid w:val="00E27F2A"/>
    <w:rsid w:val="00E3025E"/>
    <w:rsid w:val="00E3296B"/>
    <w:rsid w:val="00E33E26"/>
    <w:rsid w:val="00E3439D"/>
    <w:rsid w:val="00E37238"/>
    <w:rsid w:val="00E4045A"/>
    <w:rsid w:val="00E422B9"/>
    <w:rsid w:val="00E4367D"/>
    <w:rsid w:val="00E472F3"/>
    <w:rsid w:val="00E74A36"/>
    <w:rsid w:val="00E766D3"/>
    <w:rsid w:val="00E768AD"/>
    <w:rsid w:val="00E82004"/>
    <w:rsid w:val="00E9100F"/>
    <w:rsid w:val="00E92169"/>
    <w:rsid w:val="00E94BDA"/>
    <w:rsid w:val="00EA0CC8"/>
    <w:rsid w:val="00EA0F57"/>
    <w:rsid w:val="00EA30BA"/>
    <w:rsid w:val="00EA55B9"/>
    <w:rsid w:val="00EA6EE8"/>
    <w:rsid w:val="00EB2408"/>
    <w:rsid w:val="00EB6A6D"/>
    <w:rsid w:val="00EC337D"/>
    <w:rsid w:val="00ED12D0"/>
    <w:rsid w:val="00ED65BD"/>
    <w:rsid w:val="00ED7102"/>
    <w:rsid w:val="00EE1F92"/>
    <w:rsid w:val="00EE4713"/>
    <w:rsid w:val="00EF4A21"/>
    <w:rsid w:val="00EF5528"/>
    <w:rsid w:val="00EF6EA8"/>
    <w:rsid w:val="00F17C0A"/>
    <w:rsid w:val="00F2230E"/>
    <w:rsid w:val="00F240FB"/>
    <w:rsid w:val="00F25A35"/>
    <w:rsid w:val="00F2624C"/>
    <w:rsid w:val="00F26664"/>
    <w:rsid w:val="00F26A10"/>
    <w:rsid w:val="00F31000"/>
    <w:rsid w:val="00F329E3"/>
    <w:rsid w:val="00F345F6"/>
    <w:rsid w:val="00F362DF"/>
    <w:rsid w:val="00F37302"/>
    <w:rsid w:val="00F40EF3"/>
    <w:rsid w:val="00F43497"/>
    <w:rsid w:val="00F43C8D"/>
    <w:rsid w:val="00F472EC"/>
    <w:rsid w:val="00F50FBF"/>
    <w:rsid w:val="00F54D39"/>
    <w:rsid w:val="00F5671D"/>
    <w:rsid w:val="00F61896"/>
    <w:rsid w:val="00F63AB8"/>
    <w:rsid w:val="00F64D06"/>
    <w:rsid w:val="00F65329"/>
    <w:rsid w:val="00F67160"/>
    <w:rsid w:val="00F704EE"/>
    <w:rsid w:val="00F77782"/>
    <w:rsid w:val="00F82DF9"/>
    <w:rsid w:val="00F846CE"/>
    <w:rsid w:val="00F86058"/>
    <w:rsid w:val="00F86162"/>
    <w:rsid w:val="00F9137F"/>
    <w:rsid w:val="00F91AF5"/>
    <w:rsid w:val="00F95577"/>
    <w:rsid w:val="00F955A3"/>
    <w:rsid w:val="00F96CD9"/>
    <w:rsid w:val="00FA2E9E"/>
    <w:rsid w:val="00FA63DB"/>
    <w:rsid w:val="00FA6E43"/>
    <w:rsid w:val="00FA7228"/>
    <w:rsid w:val="00FB02FF"/>
    <w:rsid w:val="00FB73F7"/>
    <w:rsid w:val="00FB79ED"/>
    <w:rsid w:val="00FC20EC"/>
    <w:rsid w:val="00FC2E29"/>
    <w:rsid w:val="00FC5219"/>
    <w:rsid w:val="00FC627D"/>
    <w:rsid w:val="00FD5CD7"/>
    <w:rsid w:val="00FE4A4E"/>
    <w:rsid w:val="00FE4A64"/>
    <w:rsid w:val="00FE5BDB"/>
    <w:rsid w:val="00FF6D75"/>
    <w:rsid w:val="0D2C9F12"/>
    <w:rsid w:val="115E7D8A"/>
    <w:rsid w:val="17F9428E"/>
    <w:rsid w:val="225CFEE2"/>
    <w:rsid w:val="24F6E6D0"/>
    <w:rsid w:val="2F1A263B"/>
    <w:rsid w:val="308157FA"/>
    <w:rsid w:val="48132A5C"/>
    <w:rsid w:val="4A4567B2"/>
    <w:rsid w:val="5994C706"/>
    <w:rsid w:val="61AD224B"/>
    <w:rsid w:val="64F56767"/>
    <w:rsid w:val="683C4AC2"/>
    <w:rsid w:val="74C6944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C5BD3"/>
  <w15:chartTrackingRefBased/>
  <w15:docId w15:val="{C1C5F0B9-A35D-4FED-A8E4-EE8DDAB7D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061CE"/>
    <w:pPr>
      <w:keepNext/>
      <w:keepLines/>
      <w:spacing w:before="400" w:after="120" w:line="276" w:lineRule="auto"/>
      <w:outlineLvl w:val="0"/>
    </w:pPr>
    <w:rPr>
      <w:rFonts w:ascii="Arial" w:eastAsia="Arial" w:hAnsi="Arial" w:cs="Arial"/>
      <w:sz w:val="40"/>
      <w:szCs w:val="40"/>
      <w:lang w:eastAsia="pt-BR"/>
    </w:rPr>
  </w:style>
  <w:style w:type="paragraph" w:styleId="Ttulo2">
    <w:name w:val="heading 2"/>
    <w:basedOn w:val="Normal"/>
    <w:next w:val="Normal"/>
    <w:link w:val="Ttulo2Char"/>
    <w:uiPriority w:val="9"/>
    <w:qFormat/>
    <w:rsid w:val="00D061CE"/>
    <w:pPr>
      <w:keepNext/>
      <w:keepLines/>
      <w:spacing w:before="360" w:after="120" w:line="276" w:lineRule="auto"/>
      <w:outlineLvl w:val="1"/>
    </w:pPr>
    <w:rPr>
      <w:rFonts w:ascii="Arial" w:eastAsia="Arial" w:hAnsi="Arial" w:cs="Arial"/>
      <w:sz w:val="32"/>
      <w:szCs w:val="32"/>
      <w:lang w:eastAsia="pt-BR"/>
    </w:rPr>
  </w:style>
  <w:style w:type="paragraph" w:styleId="Ttulo3">
    <w:name w:val="heading 3"/>
    <w:basedOn w:val="Normal"/>
    <w:next w:val="Normal"/>
    <w:link w:val="Ttulo3Char"/>
    <w:uiPriority w:val="9"/>
    <w:unhideWhenUsed/>
    <w:qFormat/>
    <w:rsid w:val="00207C3F"/>
    <w:pPr>
      <w:keepNext/>
      <w:keepLines/>
      <w:spacing w:before="200" w:after="0" w:line="240" w:lineRule="auto"/>
      <w:outlineLvl w:val="2"/>
    </w:pPr>
    <w:rPr>
      <w:rFonts w:ascii="Cambria" w:eastAsia="MS Gothic" w:hAnsi="Cambria" w:cs="Times New Roman"/>
      <w:b/>
      <w:bCs/>
      <w:color w:val="4F81BD"/>
      <w:sz w:val="28"/>
      <w:szCs w:val="20"/>
      <w:lang w:eastAsia="pt-BR"/>
    </w:rPr>
  </w:style>
  <w:style w:type="paragraph" w:styleId="Ttulo4">
    <w:name w:val="heading 4"/>
    <w:basedOn w:val="Normal"/>
    <w:next w:val="Normal"/>
    <w:link w:val="Ttulo4Char"/>
    <w:uiPriority w:val="9"/>
    <w:qFormat/>
    <w:rsid w:val="00207C3F"/>
    <w:pPr>
      <w:keepNext/>
      <w:widowControl w:val="0"/>
      <w:spacing w:after="0" w:line="240" w:lineRule="auto"/>
      <w:jc w:val="center"/>
      <w:outlineLvl w:val="3"/>
    </w:pPr>
    <w:rPr>
      <w:rFonts w:ascii="Arial" w:eastAsia="Times New Roman" w:hAnsi="Arial" w:cs="Times New Roman"/>
      <w:smallCaps/>
      <w:snapToGrid w:val="0"/>
      <w:sz w:val="24"/>
      <w:szCs w:val="20"/>
      <w:lang w:val="x-none" w:eastAsia="x-none"/>
    </w:rPr>
  </w:style>
  <w:style w:type="paragraph" w:styleId="Ttulo5">
    <w:name w:val="heading 5"/>
    <w:basedOn w:val="Normal"/>
    <w:next w:val="Normal"/>
    <w:link w:val="Ttulo5Char"/>
    <w:uiPriority w:val="9"/>
    <w:qFormat/>
    <w:rsid w:val="00207C3F"/>
    <w:pPr>
      <w:keepNext/>
      <w:widowControl w:val="0"/>
      <w:pBdr>
        <w:top w:val="single" w:sz="6" w:space="1" w:color="auto"/>
        <w:left w:val="single" w:sz="6" w:space="1" w:color="auto"/>
        <w:bottom w:val="single" w:sz="6" w:space="1" w:color="auto"/>
        <w:right w:val="single" w:sz="6" w:space="1" w:color="auto"/>
      </w:pBdr>
      <w:spacing w:after="0" w:line="240" w:lineRule="auto"/>
      <w:jc w:val="center"/>
      <w:outlineLvl w:val="4"/>
    </w:pPr>
    <w:rPr>
      <w:rFonts w:ascii="Times New Roman" w:eastAsia="Times New Roman" w:hAnsi="Times New Roman" w:cs="Times New Roman"/>
      <w:snapToGrid w:val="0"/>
      <w:sz w:val="24"/>
      <w:szCs w:val="20"/>
      <w:lang w:val="x-none" w:eastAsia="x-none"/>
    </w:rPr>
  </w:style>
  <w:style w:type="paragraph" w:styleId="Ttulo6">
    <w:name w:val="heading 6"/>
    <w:basedOn w:val="Normal"/>
    <w:next w:val="Normal"/>
    <w:link w:val="Ttulo6Char"/>
    <w:qFormat/>
    <w:rsid w:val="00207C3F"/>
    <w:pPr>
      <w:keepNext/>
      <w:widowControl w:val="0"/>
      <w:spacing w:after="0" w:line="240" w:lineRule="auto"/>
      <w:jc w:val="both"/>
      <w:outlineLvl w:val="5"/>
    </w:pPr>
    <w:rPr>
      <w:rFonts w:ascii="Times New Roman" w:eastAsia="Times New Roman" w:hAnsi="Times New Roman" w:cs="Times New Roman"/>
      <w:b/>
      <w:bCs/>
      <w:snapToGrid w:val="0"/>
      <w:sz w:val="24"/>
      <w:szCs w:val="20"/>
      <w:lang w:val="x-none" w:eastAsia="x-none"/>
    </w:rPr>
  </w:style>
  <w:style w:type="paragraph" w:styleId="Ttulo7">
    <w:name w:val="heading 7"/>
    <w:basedOn w:val="Normal"/>
    <w:next w:val="Normal"/>
    <w:link w:val="Ttulo7Char"/>
    <w:qFormat/>
    <w:rsid w:val="00207C3F"/>
    <w:pPr>
      <w:keepNext/>
      <w:widowControl w:val="0"/>
      <w:numPr>
        <w:numId w:val="79"/>
      </w:numPr>
      <w:tabs>
        <w:tab w:val="left" w:pos="720"/>
      </w:tabs>
      <w:spacing w:after="0" w:line="240" w:lineRule="auto"/>
      <w:ind w:hanging="360"/>
      <w:jc w:val="both"/>
      <w:outlineLvl w:val="6"/>
    </w:pPr>
    <w:rPr>
      <w:rFonts w:ascii="Times New Roman" w:eastAsia="Times New Roman" w:hAnsi="Times New Roman" w:cs="Times New Roman"/>
      <w:b/>
      <w:bCs/>
      <w:snapToGrid w:val="0"/>
      <w:sz w:val="24"/>
      <w:szCs w:val="20"/>
      <w:lang w:val="x-none" w:eastAsia="x-none"/>
    </w:rPr>
  </w:style>
  <w:style w:type="paragraph" w:styleId="Ttulo8">
    <w:name w:val="heading 8"/>
    <w:basedOn w:val="Normal"/>
    <w:next w:val="Normal"/>
    <w:link w:val="Ttulo8Char"/>
    <w:qFormat/>
    <w:rsid w:val="00207C3F"/>
    <w:pPr>
      <w:keepNext/>
      <w:widowControl w:val="0"/>
      <w:spacing w:after="0" w:line="240" w:lineRule="auto"/>
      <w:jc w:val="center"/>
      <w:outlineLvl w:val="7"/>
    </w:pPr>
    <w:rPr>
      <w:rFonts w:ascii="Times New Roman" w:eastAsia="Times New Roman" w:hAnsi="Times New Roman" w:cs="Times New Roman"/>
      <w:b/>
      <w:bCs/>
      <w:snapToGrid w:val="0"/>
      <w:sz w:val="24"/>
      <w:szCs w:val="20"/>
      <w:lang w:val="x-none" w:eastAsia="x-none"/>
    </w:rPr>
  </w:style>
  <w:style w:type="paragraph" w:styleId="Ttulo9">
    <w:name w:val="heading 9"/>
    <w:basedOn w:val="Normal"/>
    <w:next w:val="Normal"/>
    <w:link w:val="Ttulo9Char"/>
    <w:qFormat/>
    <w:rsid w:val="00207C3F"/>
    <w:pPr>
      <w:keepNext/>
      <w:widowControl w:val="0"/>
      <w:spacing w:after="0" w:line="240" w:lineRule="auto"/>
      <w:outlineLvl w:val="8"/>
    </w:pPr>
    <w:rPr>
      <w:rFonts w:ascii="Times New Roman" w:eastAsia="Times New Roman" w:hAnsi="Times New Roman" w:cs="Times New Roman"/>
      <w:snapToGrid w:val="0"/>
      <w:sz w:val="24"/>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7B3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D7B39"/>
  </w:style>
  <w:style w:type="paragraph" w:styleId="Rodap">
    <w:name w:val="footer"/>
    <w:basedOn w:val="Normal"/>
    <w:link w:val="RodapChar"/>
    <w:uiPriority w:val="99"/>
    <w:unhideWhenUsed/>
    <w:rsid w:val="00BD7B39"/>
    <w:pPr>
      <w:tabs>
        <w:tab w:val="center" w:pos="4252"/>
        <w:tab w:val="right" w:pos="8504"/>
      </w:tabs>
      <w:spacing w:after="0" w:line="240" w:lineRule="auto"/>
    </w:pPr>
  </w:style>
  <w:style w:type="character" w:customStyle="1" w:styleId="RodapChar">
    <w:name w:val="Rodapé Char"/>
    <w:basedOn w:val="Fontepargpadro"/>
    <w:link w:val="Rodap"/>
    <w:uiPriority w:val="99"/>
    <w:rsid w:val="00BD7B39"/>
  </w:style>
  <w:style w:type="character" w:styleId="Hyperlink">
    <w:name w:val="Hyperlink"/>
    <w:basedOn w:val="Fontepargpadro"/>
    <w:uiPriority w:val="99"/>
    <w:unhideWhenUsed/>
    <w:rsid w:val="004E3695"/>
    <w:rPr>
      <w:color w:val="0563C1" w:themeColor="hyperlink"/>
      <w:u w:val="single"/>
    </w:rPr>
  </w:style>
  <w:style w:type="character" w:customStyle="1" w:styleId="Ttulo1Char">
    <w:name w:val="Título 1 Char"/>
    <w:basedOn w:val="Fontepargpadro"/>
    <w:link w:val="Ttulo1"/>
    <w:uiPriority w:val="9"/>
    <w:rsid w:val="00D061CE"/>
    <w:rPr>
      <w:rFonts w:ascii="Arial" w:eastAsia="Arial" w:hAnsi="Arial" w:cs="Arial"/>
      <w:sz w:val="40"/>
      <w:szCs w:val="40"/>
      <w:lang w:eastAsia="pt-BR"/>
    </w:rPr>
  </w:style>
  <w:style w:type="character" w:customStyle="1" w:styleId="Ttulo2Char">
    <w:name w:val="Título 2 Char"/>
    <w:basedOn w:val="Fontepargpadro"/>
    <w:link w:val="Ttulo2"/>
    <w:uiPriority w:val="9"/>
    <w:rsid w:val="00D061CE"/>
    <w:rPr>
      <w:rFonts w:ascii="Arial" w:eastAsia="Arial" w:hAnsi="Arial" w:cs="Arial"/>
      <w:sz w:val="32"/>
      <w:szCs w:val="32"/>
      <w:lang w:eastAsia="pt-BR"/>
    </w:rPr>
  </w:style>
  <w:style w:type="character" w:styleId="Refdecomentrio">
    <w:name w:val="annotation reference"/>
    <w:basedOn w:val="Fontepargpadro"/>
    <w:uiPriority w:val="99"/>
    <w:semiHidden/>
    <w:unhideWhenUsed/>
    <w:rsid w:val="00E9100F"/>
    <w:rPr>
      <w:sz w:val="16"/>
      <w:szCs w:val="16"/>
    </w:rPr>
  </w:style>
  <w:style w:type="paragraph" w:styleId="Textodecomentrio">
    <w:name w:val="annotation text"/>
    <w:basedOn w:val="Normal"/>
    <w:link w:val="TextodecomentrioChar"/>
    <w:uiPriority w:val="99"/>
    <w:unhideWhenUsed/>
    <w:rsid w:val="00E9100F"/>
    <w:pPr>
      <w:spacing w:line="240" w:lineRule="auto"/>
    </w:pPr>
    <w:rPr>
      <w:sz w:val="20"/>
      <w:szCs w:val="20"/>
    </w:rPr>
  </w:style>
  <w:style w:type="character" w:customStyle="1" w:styleId="TextodecomentrioChar">
    <w:name w:val="Texto de comentário Char"/>
    <w:basedOn w:val="Fontepargpadro"/>
    <w:link w:val="Textodecomentrio"/>
    <w:uiPriority w:val="99"/>
    <w:rsid w:val="00E9100F"/>
    <w:rPr>
      <w:sz w:val="20"/>
      <w:szCs w:val="20"/>
    </w:rPr>
  </w:style>
  <w:style w:type="paragraph" w:styleId="Assuntodocomentrio">
    <w:name w:val="annotation subject"/>
    <w:basedOn w:val="Textodecomentrio"/>
    <w:next w:val="Textodecomentrio"/>
    <w:link w:val="AssuntodocomentrioChar"/>
    <w:uiPriority w:val="99"/>
    <w:semiHidden/>
    <w:unhideWhenUsed/>
    <w:rsid w:val="00E9100F"/>
    <w:rPr>
      <w:b/>
      <w:bCs/>
    </w:rPr>
  </w:style>
  <w:style w:type="character" w:customStyle="1" w:styleId="AssuntodocomentrioChar">
    <w:name w:val="Assunto do comentário Char"/>
    <w:basedOn w:val="TextodecomentrioChar"/>
    <w:link w:val="Assuntodocomentrio"/>
    <w:uiPriority w:val="99"/>
    <w:semiHidden/>
    <w:rsid w:val="00E9100F"/>
    <w:rPr>
      <w:b/>
      <w:bCs/>
      <w:sz w:val="20"/>
      <w:szCs w:val="20"/>
    </w:rPr>
  </w:style>
  <w:style w:type="paragraph" w:styleId="PargrafodaLista">
    <w:name w:val="List Paragraph"/>
    <w:basedOn w:val="Normal"/>
    <w:uiPriority w:val="34"/>
    <w:qFormat/>
    <w:rsid w:val="00E9100F"/>
    <w:pPr>
      <w:ind w:left="720"/>
      <w:contextualSpacing/>
    </w:pPr>
  </w:style>
  <w:style w:type="character" w:customStyle="1" w:styleId="wffiletext">
    <w:name w:val="wf_file_text"/>
    <w:basedOn w:val="Fontepargpadro"/>
    <w:rsid w:val="0065415E"/>
  </w:style>
  <w:style w:type="character" w:customStyle="1" w:styleId="MenoPendente1">
    <w:name w:val="Menção Pendente1"/>
    <w:basedOn w:val="Fontepargpadro"/>
    <w:uiPriority w:val="99"/>
    <w:unhideWhenUsed/>
    <w:rsid w:val="0015306E"/>
    <w:rPr>
      <w:color w:val="605E5C"/>
      <w:shd w:val="clear" w:color="auto" w:fill="E1DFDD"/>
    </w:rPr>
  </w:style>
  <w:style w:type="paragraph" w:styleId="Textodebalo">
    <w:name w:val="Balloon Text"/>
    <w:basedOn w:val="Normal"/>
    <w:link w:val="TextodebaloChar"/>
    <w:uiPriority w:val="99"/>
    <w:semiHidden/>
    <w:unhideWhenUsed/>
    <w:rsid w:val="0015306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5306E"/>
    <w:rPr>
      <w:rFonts w:ascii="Segoe UI" w:hAnsi="Segoe UI" w:cs="Segoe UI"/>
      <w:sz w:val="18"/>
      <w:szCs w:val="18"/>
    </w:rPr>
  </w:style>
  <w:style w:type="character" w:styleId="HiperlinkVisitado">
    <w:name w:val="FollowedHyperlink"/>
    <w:basedOn w:val="Fontepargpadro"/>
    <w:unhideWhenUsed/>
    <w:rsid w:val="0015306E"/>
    <w:rPr>
      <w:color w:val="954F72" w:themeColor="followedHyperlink"/>
      <w:u w:val="single"/>
    </w:rPr>
  </w:style>
  <w:style w:type="paragraph" w:styleId="Corpodetexto">
    <w:name w:val="Body Text"/>
    <w:basedOn w:val="Normal"/>
    <w:link w:val="CorpodetextoChar"/>
    <w:qFormat/>
    <w:rsid w:val="0015306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rsid w:val="0015306E"/>
    <w:rPr>
      <w:rFonts w:ascii="Times New Roman" w:eastAsia="Times New Roman" w:hAnsi="Times New Roman" w:cs="Times New Roman"/>
      <w:sz w:val="24"/>
      <w:szCs w:val="24"/>
    </w:rPr>
  </w:style>
  <w:style w:type="paragraph" w:styleId="Ttulo">
    <w:name w:val="Title"/>
    <w:basedOn w:val="Normal"/>
    <w:link w:val="TtuloChar"/>
    <w:uiPriority w:val="1"/>
    <w:qFormat/>
    <w:rsid w:val="008317CE"/>
    <w:pPr>
      <w:shd w:val="clear" w:color="auto" w:fill="FDDD67"/>
      <w:tabs>
        <w:tab w:val="center" w:pos="4249"/>
        <w:tab w:val="right" w:pos="8498"/>
      </w:tabs>
      <w:spacing w:before="120" w:after="120"/>
      <w:jc w:val="both"/>
    </w:pPr>
    <w:rPr>
      <w:rFonts w:ascii="Garamond" w:hAnsi="Garamond"/>
      <w:b/>
      <w:bCs/>
    </w:rPr>
  </w:style>
  <w:style w:type="character" w:customStyle="1" w:styleId="TtuloChar">
    <w:name w:val="Título Char"/>
    <w:basedOn w:val="Fontepargpadro"/>
    <w:link w:val="Ttulo"/>
    <w:uiPriority w:val="1"/>
    <w:rsid w:val="008317CE"/>
    <w:rPr>
      <w:rFonts w:ascii="Garamond" w:hAnsi="Garamond"/>
      <w:b/>
      <w:bCs/>
      <w:shd w:val="clear" w:color="auto" w:fill="FDDD67"/>
    </w:rPr>
  </w:style>
  <w:style w:type="paragraph" w:customStyle="1" w:styleId="TableParagraph">
    <w:name w:val="Table Paragraph"/>
    <w:basedOn w:val="Normal"/>
    <w:uiPriority w:val="1"/>
    <w:qFormat/>
    <w:rsid w:val="0015306E"/>
    <w:pPr>
      <w:widowControl w:val="0"/>
      <w:autoSpaceDE w:val="0"/>
      <w:autoSpaceDN w:val="0"/>
      <w:spacing w:after="0" w:line="240" w:lineRule="auto"/>
    </w:pPr>
    <w:rPr>
      <w:rFonts w:ascii="Times New Roman" w:eastAsia="Times New Roman" w:hAnsi="Times New Roman" w:cs="Times New Roman"/>
    </w:rPr>
  </w:style>
  <w:style w:type="table" w:customStyle="1" w:styleId="NormalTable0">
    <w:name w:val="Normal Table0"/>
    <w:uiPriority w:val="2"/>
    <w:semiHidden/>
    <w:unhideWhenUsed/>
    <w:qFormat/>
    <w:rsid w:val="001530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emlista1">
    <w:name w:val="Sem lista1"/>
    <w:next w:val="Semlista"/>
    <w:uiPriority w:val="99"/>
    <w:semiHidden/>
    <w:unhideWhenUsed/>
    <w:rsid w:val="0015306E"/>
  </w:style>
  <w:style w:type="table" w:customStyle="1" w:styleId="TableNormal1">
    <w:name w:val="Table Normal1"/>
    <w:uiPriority w:val="2"/>
    <w:semiHidden/>
    <w:unhideWhenUsed/>
    <w:qFormat/>
    <w:rsid w:val="001530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ou-paragraph">
    <w:name w:val="dou-paragraph"/>
    <w:basedOn w:val="Normal"/>
    <w:rsid w:val="0015306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15306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centralizado12">
    <w:name w:val="texto_centralizado_12"/>
    <w:basedOn w:val="Normal"/>
    <w:rsid w:val="0015306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15306E"/>
    <w:rPr>
      <w:b/>
      <w:bCs/>
    </w:rPr>
  </w:style>
  <w:style w:type="paragraph" w:customStyle="1" w:styleId="textojustificado">
    <w:name w:val="texto_justificado"/>
    <w:basedOn w:val="Normal"/>
    <w:rsid w:val="0015306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recuoprimeiralinha">
    <w:name w:val="texto_justificado_recuo_primeira_linha"/>
    <w:basedOn w:val="Normal"/>
    <w:rsid w:val="0015306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15306E"/>
    <w:rPr>
      <w:i/>
      <w:iCs/>
    </w:rPr>
  </w:style>
  <w:style w:type="paragraph" w:styleId="CabealhodoSumrio">
    <w:name w:val="TOC Heading"/>
    <w:basedOn w:val="Ttulo1"/>
    <w:next w:val="Normal"/>
    <w:uiPriority w:val="39"/>
    <w:unhideWhenUsed/>
    <w:qFormat/>
    <w:rsid w:val="00464D0F"/>
    <w:pPr>
      <w:spacing w:before="240" w:after="0" w:line="259" w:lineRule="auto"/>
      <w:outlineLvl w:val="9"/>
    </w:pPr>
    <w:rPr>
      <w:rFonts w:asciiTheme="majorHAnsi" w:eastAsiaTheme="majorEastAsia" w:hAnsiTheme="majorHAnsi" w:cstheme="majorBidi"/>
      <w:color w:val="2F5496" w:themeColor="accent1" w:themeShade="BF"/>
      <w:sz w:val="32"/>
      <w:szCs w:val="32"/>
    </w:rPr>
  </w:style>
  <w:style w:type="paragraph" w:styleId="Sumrio2">
    <w:name w:val="toc 2"/>
    <w:basedOn w:val="Normal"/>
    <w:next w:val="Normal"/>
    <w:autoRedefine/>
    <w:uiPriority w:val="39"/>
    <w:unhideWhenUsed/>
    <w:qFormat/>
    <w:rsid w:val="00464D0F"/>
    <w:pPr>
      <w:spacing w:after="100"/>
      <w:ind w:left="220"/>
    </w:pPr>
  </w:style>
  <w:style w:type="paragraph" w:styleId="Sumrio1">
    <w:name w:val="toc 1"/>
    <w:basedOn w:val="Normal"/>
    <w:next w:val="Normal"/>
    <w:autoRedefine/>
    <w:uiPriority w:val="39"/>
    <w:unhideWhenUsed/>
    <w:qFormat/>
    <w:rsid w:val="00464D0F"/>
    <w:pPr>
      <w:spacing w:after="100"/>
    </w:pPr>
  </w:style>
  <w:style w:type="paragraph" w:styleId="Sumrio3">
    <w:name w:val="toc 3"/>
    <w:basedOn w:val="Normal"/>
    <w:next w:val="Normal"/>
    <w:autoRedefine/>
    <w:uiPriority w:val="39"/>
    <w:unhideWhenUsed/>
    <w:qFormat/>
    <w:rsid w:val="00464D0F"/>
    <w:pPr>
      <w:spacing w:after="100"/>
      <w:ind w:left="440"/>
    </w:pPr>
    <w:rPr>
      <w:rFonts w:eastAsiaTheme="minorEastAsia"/>
      <w:lang w:eastAsia="pt-BR"/>
    </w:rPr>
  </w:style>
  <w:style w:type="paragraph" w:styleId="Sumrio4">
    <w:name w:val="toc 4"/>
    <w:basedOn w:val="Normal"/>
    <w:next w:val="Normal"/>
    <w:autoRedefine/>
    <w:uiPriority w:val="39"/>
    <w:unhideWhenUsed/>
    <w:rsid w:val="00464D0F"/>
    <w:pPr>
      <w:spacing w:after="100"/>
      <w:ind w:left="660"/>
    </w:pPr>
    <w:rPr>
      <w:rFonts w:eastAsiaTheme="minorEastAsia"/>
      <w:lang w:eastAsia="pt-BR"/>
    </w:rPr>
  </w:style>
  <w:style w:type="paragraph" w:styleId="Sumrio5">
    <w:name w:val="toc 5"/>
    <w:basedOn w:val="Normal"/>
    <w:next w:val="Normal"/>
    <w:autoRedefine/>
    <w:uiPriority w:val="39"/>
    <w:unhideWhenUsed/>
    <w:rsid w:val="00464D0F"/>
    <w:pPr>
      <w:spacing w:after="100"/>
      <w:ind w:left="880"/>
    </w:pPr>
    <w:rPr>
      <w:rFonts w:eastAsiaTheme="minorEastAsia"/>
      <w:lang w:eastAsia="pt-BR"/>
    </w:rPr>
  </w:style>
  <w:style w:type="paragraph" w:styleId="Sumrio6">
    <w:name w:val="toc 6"/>
    <w:basedOn w:val="Normal"/>
    <w:next w:val="Normal"/>
    <w:autoRedefine/>
    <w:uiPriority w:val="39"/>
    <w:unhideWhenUsed/>
    <w:rsid w:val="00464D0F"/>
    <w:pPr>
      <w:spacing w:after="100"/>
      <w:ind w:left="1100"/>
    </w:pPr>
    <w:rPr>
      <w:rFonts w:eastAsiaTheme="minorEastAsia"/>
      <w:lang w:eastAsia="pt-BR"/>
    </w:rPr>
  </w:style>
  <w:style w:type="paragraph" w:styleId="Sumrio7">
    <w:name w:val="toc 7"/>
    <w:basedOn w:val="Normal"/>
    <w:next w:val="Normal"/>
    <w:autoRedefine/>
    <w:uiPriority w:val="39"/>
    <w:unhideWhenUsed/>
    <w:rsid w:val="00464D0F"/>
    <w:pPr>
      <w:spacing w:after="100"/>
      <w:ind w:left="1320"/>
    </w:pPr>
    <w:rPr>
      <w:rFonts w:eastAsiaTheme="minorEastAsia"/>
      <w:lang w:eastAsia="pt-BR"/>
    </w:rPr>
  </w:style>
  <w:style w:type="paragraph" w:styleId="Sumrio8">
    <w:name w:val="toc 8"/>
    <w:basedOn w:val="Normal"/>
    <w:next w:val="Normal"/>
    <w:autoRedefine/>
    <w:uiPriority w:val="39"/>
    <w:unhideWhenUsed/>
    <w:rsid w:val="00464D0F"/>
    <w:pPr>
      <w:spacing w:after="100"/>
      <w:ind w:left="1540"/>
    </w:pPr>
    <w:rPr>
      <w:rFonts w:eastAsiaTheme="minorEastAsia"/>
      <w:lang w:eastAsia="pt-BR"/>
    </w:rPr>
  </w:style>
  <w:style w:type="paragraph" w:styleId="Sumrio9">
    <w:name w:val="toc 9"/>
    <w:basedOn w:val="Normal"/>
    <w:next w:val="Normal"/>
    <w:autoRedefine/>
    <w:uiPriority w:val="39"/>
    <w:unhideWhenUsed/>
    <w:rsid w:val="00464D0F"/>
    <w:pPr>
      <w:spacing w:after="100"/>
      <w:ind w:left="1760"/>
    </w:pPr>
    <w:rPr>
      <w:rFonts w:eastAsiaTheme="minorEastAsia"/>
      <w:lang w:eastAsia="pt-BR"/>
    </w:rPr>
  </w:style>
  <w:style w:type="character" w:customStyle="1" w:styleId="Ttulo3Char">
    <w:name w:val="Título 3 Char"/>
    <w:basedOn w:val="Fontepargpadro"/>
    <w:link w:val="Ttulo3"/>
    <w:uiPriority w:val="9"/>
    <w:rsid w:val="00207C3F"/>
    <w:rPr>
      <w:rFonts w:ascii="Cambria" w:eastAsia="MS Gothic" w:hAnsi="Cambria" w:cs="Times New Roman"/>
      <w:b/>
      <w:bCs/>
      <w:color w:val="4F81BD"/>
      <w:sz w:val="28"/>
      <w:szCs w:val="20"/>
      <w:lang w:eastAsia="pt-BR"/>
    </w:rPr>
  </w:style>
  <w:style w:type="character" w:customStyle="1" w:styleId="Ttulo4Char">
    <w:name w:val="Título 4 Char"/>
    <w:basedOn w:val="Fontepargpadro"/>
    <w:link w:val="Ttulo4"/>
    <w:uiPriority w:val="9"/>
    <w:rsid w:val="00207C3F"/>
    <w:rPr>
      <w:rFonts w:ascii="Arial" w:eastAsia="Times New Roman" w:hAnsi="Arial" w:cs="Times New Roman"/>
      <w:smallCaps/>
      <w:snapToGrid w:val="0"/>
      <w:sz w:val="24"/>
      <w:szCs w:val="20"/>
      <w:lang w:val="x-none" w:eastAsia="x-none"/>
    </w:rPr>
  </w:style>
  <w:style w:type="character" w:customStyle="1" w:styleId="Ttulo5Char">
    <w:name w:val="Título 5 Char"/>
    <w:basedOn w:val="Fontepargpadro"/>
    <w:link w:val="Ttulo5"/>
    <w:uiPriority w:val="9"/>
    <w:rsid w:val="00207C3F"/>
    <w:rPr>
      <w:rFonts w:ascii="Times New Roman" w:eastAsia="Times New Roman" w:hAnsi="Times New Roman" w:cs="Times New Roman"/>
      <w:snapToGrid w:val="0"/>
      <w:sz w:val="24"/>
      <w:szCs w:val="20"/>
      <w:lang w:val="x-none" w:eastAsia="x-none"/>
    </w:rPr>
  </w:style>
  <w:style w:type="character" w:customStyle="1" w:styleId="Ttulo6Char">
    <w:name w:val="Título 6 Char"/>
    <w:basedOn w:val="Fontepargpadro"/>
    <w:link w:val="Ttulo6"/>
    <w:rsid w:val="00207C3F"/>
    <w:rPr>
      <w:rFonts w:ascii="Times New Roman" w:eastAsia="Times New Roman" w:hAnsi="Times New Roman" w:cs="Times New Roman"/>
      <w:b/>
      <w:bCs/>
      <w:snapToGrid w:val="0"/>
      <w:sz w:val="24"/>
      <w:szCs w:val="20"/>
      <w:lang w:val="x-none" w:eastAsia="x-none"/>
    </w:rPr>
  </w:style>
  <w:style w:type="character" w:customStyle="1" w:styleId="Ttulo7Char">
    <w:name w:val="Título 7 Char"/>
    <w:basedOn w:val="Fontepargpadro"/>
    <w:link w:val="Ttulo7"/>
    <w:rsid w:val="00207C3F"/>
    <w:rPr>
      <w:rFonts w:ascii="Times New Roman" w:eastAsia="Times New Roman" w:hAnsi="Times New Roman" w:cs="Times New Roman"/>
      <w:b/>
      <w:bCs/>
      <w:snapToGrid w:val="0"/>
      <w:sz w:val="24"/>
      <w:szCs w:val="20"/>
      <w:lang w:val="x-none" w:eastAsia="x-none"/>
    </w:rPr>
  </w:style>
  <w:style w:type="character" w:customStyle="1" w:styleId="Ttulo8Char">
    <w:name w:val="Título 8 Char"/>
    <w:basedOn w:val="Fontepargpadro"/>
    <w:link w:val="Ttulo8"/>
    <w:rsid w:val="00207C3F"/>
    <w:rPr>
      <w:rFonts w:ascii="Times New Roman" w:eastAsia="Times New Roman" w:hAnsi="Times New Roman" w:cs="Times New Roman"/>
      <w:b/>
      <w:bCs/>
      <w:snapToGrid w:val="0"/>
      <w:sz w:val="24"/>
      <w:szCs w:val="20"/>
      <w:lang w:val="x-none" w:eastAsia="x-none"/>
    </w:rPr>
  </w:style>
  <w:style w:type="character" w:customStyle="1" w:styleId="Ttulo9Char">
    <w:name w:val="Título 9 Char"/>
    <w:basedOn w:val="Fontepargpadro"/>
    <w:link w:val="Ttulo9"/>
    <w:rsid w:val="00207C3F"/>
    <w:rPr>
      <w:rFonts w:ascii="Times New Roman" w:eastAsia="Times New Roman" w:hAnsi="Times New Roman" w:cs="Times New Roman"/>
      <w:snapToGrid w:val="0"/>
      <w:sz w:val="24"/>
      <w:szCs w:val="20"/>
      <w:lang w:val="x-none" w:eastAsia="x-none"/>
    </w:rPr>
  </w:style>
  <w:style w:type="character" w:customStyle="1" w:styleId="UnresolvedMention1">
    <w:name w:val="Unresolved Mention1"/>
    <w:basedOn w:val="Fontepargpadro"/>
    <w:uiPriority w:val="99"/>
    <w:unhideWhenUsed/>
    <w:rsid w:val="00207C3F"/>
    <w:rPr>
      <w:color w:val="605E5C"/>
      <w:shd w:val="clear" w:color="auto" w:fill="E1DFDD"/>
    </w:rPr>
  </w:style>
  <w:style w:type="paragraph" w:styleId="Recuodecorpodetexto">
    <w:name w:val="Body Text Indent"/>
    <w:basedOn w:val="Normal"/>
    <w:link w:val="RecuodecorpodetextoChar"/>
    <w:uiPriority w:val="99"/>
    <w:unhideWhenUsed/>
    <w:rsid w:val="00207C3F"/>
    <w:pPr>
      <w:spacing w:after="120"/>
      <w:ind w:left="283"/>
    </w:pPr>
  </w:style>
  <w:style w:type="character" w:customStyle="1" w:styleId="RecuodecorpodetextoChar">
    <w:name w:val="Recuo de corpo de texto Char"/>
    <w:basedOn w:val="Fontepargpadro"/>
    <w:link w:val="Recuodecorpodetexto"/>
    <w:uiPriority w:val="99"/>
    <w:rsid w:val="00207C3F"/>
  </w:style>
  <w:style w:type="paragraph" w:styleId="Textodenotaderodap">
    <w:name w:val="footnote text"/>
    <w:aliases w:val="fn,footnote text,Footnotes,Footnote ak,ft,ALTS FOOTNOTE,Footnote Text Char1 Char,Footnote Text Char Char Char,Footnote Text Char1 Char Char Char,Footnote Text Char Char Char Char Char,fn cafc Char,fn Char,footnote text Char Char"/>
    <w:basedOn w:val="Normal"/>
    <w:link w:val="TextodenotaderodapChar"/>
    <w:uiPriority w:val="99"/>
    <w:qFormat/>
    <w:rsid w:val="00207C3F"/>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fn Char1,footnote text Char,Footnotes Char,Footnote ak Char,ft Char,ALTS FOOTNOTE Char,Footnote Text Char1 Char Char,Footnote Text Char Char Char Char,Footnote Text Char1 Char Char Char Char,fn cafc Char Char,fn Char Char"/>
    <w:basedOn w:val="Fontepargpadro"/>
    <w:link w:val="Textodenotaderodap"/>
    <w:uiPriority w:val="99"/>
    <w:rsid w:val="00207C3F"/>
    <w:rPr>
      <w:rFonts w:ascii="Times New Roman" w:eastAsia="Times New Roman" w:hAnsi="Times New Roman" w:cs="Times New Roman"/>
      <w:sz w:val="20"/>
      <w:szCs w:val="20"/>
      <w:lang w:eastAsia="pt-BR"/>
    </w:rPr>
  </w:style>
  <w:style w:type="character" w:styleId="Refdenotaderodap">
    <w:name w:val="footnote reference"/>
    <w:aliases w:val="fr,sobrescrito,Ref,de nota al pie,Nota de rodapé LRB,(NECG) Footnote Reference,FC,fr Char1,fr Char Char1 Char,fr Char Char Char Char,fr Char Char Char Char Char,-E Fußnotenzeichen,Footnote symbol,Style 12,Footnotes refss,BVI fnr,o"/>
    <w:link w:val="frCharChar1"/>
    <w:uiPriority w:val="99"/>
    <w:qFormat/>
    <w:rsid w:val="00207C3F"/>
    <w:rPr>
      <w:vertAlign w:val="superscript"/>
    </w:rPr>
  </w:style>
  <w:style w:type="character" w:styleId="Nmerodepgina">
    <w:name w:val="page number"/>
    <w:basedOn w:val="Fontepargpadro"/>
    <w:rsid w:val="00207C3F"/>
  </w:style>
  <w:style w:type="table" w:styleId="Tabelacomgrade">
    <w:name w:val="Table Grid"/>
    <w:basedOn w:val="Tabelanormal"/>
    <w:rsid w:val="00207C3F"/>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Documento">
    <w:name w:val="Document Map"/>
    <w:basedOn w:val="Normal"/>
    <w:link w:val="MapadoDocumentoChar"/>
    <w:semiHidden/>
    <w:rsid w:val="00207C3F"/>
    <w:pPr>
      <w:shd w:val="clear" w:color="auto" w:fill="000080"/>
      <w:spacing w:after="0" w:line="240" w:lineRule="auto"/>
    </w:pPr>
    <w:rPr>
      <w:rFonts w:ascii="Tahoma" w:eastAsia="Times New Roman" w:hAnsi="Tahoma" w:cs="Tahoma"/>
      <w:sz w:val="24"/>
      <w:szCs w:val="24"/>
      <w:lang w:eastAsia="pt-BR"/>
    </w:rPr>
  </w:style>
  <w:style w:type="character" w:customStyle="1" w:styleId="MapadoDocumentoChar">
    <w:name w:val="Mapa do Documento Char"/>
    <w:basedOn w:val="Fontepargpadro"/>
    <w:link w:val="MapadoDocumento"/>
    <w:semiHidden/>
    <w:rsid w:val="00207C3F"/>
    <w:rPr>
      <w:rFonts w:ascii="Tahoma" w:eastAsia="Times New Roman" w:hAnsi="Tahoma" w:cs="Tahoma"/>
      <w:sz w:val="24"/>
      <w:szCs w:val="24"/>
      <w:shd w:val="clear" w:color="auto" w:fill="000080"/>
      <w:lang w:eastAsia="pt-BR"/>
    </w:rPr>
  </w:style>
  <w:style w:type="paragraph" w:customStyle="1" w:styleId="H1">
    <w:name w:val="H1"/>
    <w:basedOn w:val="Normal"/>
    <w:next w:val="Normal"/>
    <w:rsid w:val="00207C3F"/>
    <w:pPr>
      <w:keepNext/>
      <w:spacing w:before="100" w:after="100" w:line="240" w:lineRule="auto"/>
      <w:outlineLvl w:val="1"/>
    </w:pPr>
    <w:rPr>
      <w:rFonts w:ascii="Times New Roman" w:eastAsia="Times New Roman" w:hAnsi="Times New Roman" w:cs="Times New Roman"/>
      <w:b/>
      <w:snapToGrid w:val="0"/>
      <w:kern w:val="36"/>
      <w:sz w:val="48"/>
      <w:szCs w:val="20"/>
      <w:lang w:eastAsia="pt-BR"/>
    </w:rPr>
  </w:style>
  <w:style w:type="paragraph" w:customStyle="1" w:styleId="Blockquote">
    <w:name w:val="Blockquote"/>
    <w:basedOn w:val="Normal"/>
    <w:rsid w:val="00207C3F"/>
    <w:pPr>
      <w:spacing w:before="100" w:after="100" w:line="240" w:lineRule="auto"/>
      <w:ind w:left="360" w:right="360"/>
    </w:pPr>
    <w:rPr>
      <w:rFonts w:ascii="Times New Roman" w:eastAsia="Times New Roman" w:hAnsi="Times New Roman" w:cs="Times New Roman"/>
      <w:snapToGrid w:val="0"/>
      <w:sz w:val="24"/>
      <w:szCs w:val="20"/>
      <w:lang w:eastAsia="pt-BR"/>
    </w:rPr>
  </w:style>
  <w:style w:type="paragraph" w:styleId="TextosemFormatao">
    <w:name w:val="Plain Text"/>
    <w:basedOn w:val="Normal"/>
    <w:link w:val="TextosemFormataoChar"/>
    <w:uiPriority w:val="99"/>
    <w:unhideWhenUsed/>
    <w:rsid w:val="00207C3F"/>
    <w:pPr>
      <w:spacing w:after="0" w:line="240" w:lineRule="auto"/>
    </w:pPr>
    <w:rPr>
      <w:rFonts w:ascii="Consolas" w:eastAsia="Calibri" w:hAnsi="Consolas" w:cs="Times New Roman"/>
      <w:sz w:val="21"/>
      <w:szCs w:val="21"/>
    </w:rPr>
  </w:style>
  <w:style w:type="character" w:customStyle="1" w:styleId="TextosemFormataoChar">
    <w:name w:val="Texto sem Formatação Char"/>
    <w:basedOn w:val="Fontepargpadro"/>
    <w:link w:val="TextosemFormatao"/>
    <w:uiPriority w:val="99"/>
    <w:rsid w:val="00207C3F"/>
    <w:rPr>
      <w:rFonts w:ascii="Consolas" w:eastAsia="Calibri" w:hAnsi="Consolas" w:cs="Times New Roman"/>
      <w:sz w:val="21"/>
      <w:szCs w:val="21"/>
    </w:rPr>
  </w:style>
  <w:style w:type="paragraph" w:customStyle="1" w:styleId="EnclNumbs">
    <w:name w:val="Encl Numbs"/>
    <w:basedOn w:val="Normal"/>
    <w:rsid w:val="00207C3F"/>
    <w:pPr>
      <w:widowControl w:val="0"/>
      <w:numPr>
        <w:numId w:val="78"/>
      </w:numPr>
      <w:tabs>
        <w:tab w:val="clear" w:pos="456"/>
        <w:tab w:val="num" w:pos="360"/>
      </w:tabs>
      <w:autoSpaceDE w:val="0"/>
      <w:autoSpaceDN w:val="0"/>
      <w:adjustRightInd w:val="0"/>
      <w:spacing w:after="0" w:line="240" w:lineRule="auto"/>
      <w:ind w:left="0" w:firstLine="0"/>
      <w:outlineLvl w:val="0"/>
    </w:pPr>
    <w:rPr>
      <w:rFonts w:ascii="Times New Roman" w:eastAsia="Times New Roman" w:hAnsi="Times New Roman" w:cs="Times New Roman"/>
      <w:sz w:val="24"/>
      <w:szCs w:val="24"/>
      <w:lang w:val="en-US"/>
    </w:rPr>
  </w:style>
  <w:style w:type="paragraph" w:customStyle="1" w:styleId="CM9">
    <w:name w:val="CM9"/>
    <w:basedOn w:val="Normal"/>
    <w:next w:val="Normal"/>
    <w:uiPriority w:val="99"/>
    <w:rsid w:val="00207C3F"/>
    <w:pPr>
      <w:widowControl w:val="0"/>
      <w:autoSpaceDE w:val="0"/>
      <w:autoSpaceDN w:val="0"/>
      <w:adjustRightInd w:val="0"/>
      <w:spacing w:after="460" w:line="240" w:lineRule="auto"/>
    </w:pPr>
    <w:rPr>
      <w:rFonts w:ascii="Times" w:eastAsia="Times New Roman" w:hAnsi="Times" w:cs="Times New Roman"/>
      <w:sz w:val="24"/>
      <w:szCs w:val="24"/>
      <w:lang w:eastAsia="pt-BR"/>
    </w:rPr>
  </w:style>
  <w:style w:type="character" w:customStyle="1" w:styleId="DeltaViewInsertion">
    <w:name w:val="DeltaView Insertion"/>
    <w:rsid w:val="00207C3F"/>
    <w:rPr>
      <w:b/>
      <w:bCs/>
      <w:color w:val="0000FF"/>
      <w:spacing w:val="0"/>
      <w:u w:val="double"/>
    </w:rPr>
  </w:style>
  <w:style w:type="paragraph" w:customStyle="1" w:styleId="Quotation">
    <w:name w:val="Quotation"/>
    <w:basedOn w:val="Normal"/>
    <w:rsid w:val="00207C3F"/>
    <w:pPr>
      <w:tabs>
        <w:tab w:val="left" w:pos="720"/>
      </w:tabs>
      <w:spacing w:after="240" w:line="240" w:lineRule="auto"/>
      <w:ind w:left="720" w:right="720"/>
      <w:jc w:val="both"/>
    </w:pPr>
    <w:rPr>
      <w:rFonts w:ascii="Times New Roman" w:eastAsia="Times New Roman" w:hAnsi="Times New Roman" w:cs="Times New Roman"/>
      <w:szCs w:val="20"/>
      <w:lang w:val="en-GB"/>
    </w:rPr>
  </w:style>
  <w:style w:type="paragraph" w:customStyle="1" w:styleId="Default">
    <w:name w:val="Default"/>
    <w:rsid w:val="00207C3F"/>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Pr-formataoHTMLChar">
    <w:name w:val="Pré-formatação HTML Char"/>
    <w:link w:val="Pr-formataoHTML"/>
    <w:uiPriority w:val="99"/>
    <w:semiHidden/>
    <w:rsid w:val="00207C3F"/>
    <w:rPr>
      <w:rFonts w:ascii="Courier New" w:hAnsi="Courier New" w:cs="Courier New"/>
    </w:rPr>
  </w:style>
  <w:style w:type="paragraph" w:styleId="Pr-formataoHTML">
    <w:name w:val="HTML Preformatted"/>
    <w:basedOn w:val="Normal"/>
    <w:link w:val="Pr-formataoHTMLChar"/>
    <w:uiPriority w:val="99"/>
    <w:semiHidden/>
    <w:unhideWhenUsed/>
    <w:rsid w:val="00207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207C3F"/>
    <w:rPr>
      <w:rFonts w:ascii="Consolas" w:hAnsi="Consolas"/>
      <w:sz w:val="20"/>
      <w:szCs w:val="20"/>
    </w:rPr>
  </w:style>
  <w:style w:type="character" w:customStyle="1" w:styleId="linkexterno">
    <w:name w:val="linkexterno"/>
    <w:rsid w:val="00207C3F"/>
  </w:style>
  <w:style w:type="paragraph" w:styleId="Textodenotadefim">
    <w:name w:val="endnote text"/>
    <w:basedOn w:val="Normal"/>
    <w:link w:val="TextodenotadefimChar"/>
    <w:semiHidden/>
    <w:rsid w:val="00207C3F"/>
    <w:pPr>
      <w:spacing w:after="0" w:line="240" w:lineRule="auto"/>
    </w:pPr>
    <w:rPr>
      <w:rFonts w:ascii="Arial" w:eastAsia="Times New Roman" w:hAnsi="Arial" w:cs="Times New Roman"/>
      <w:sz w:val="20"/>
      <w:szCs w:val="20"/>
      <w:lang w:val="x-none" w:eastAsia="x-none"/>
    </w:rPr>
  </w:style>
  <w:style w:type="character" w:customStyle="1" w:styleId="TextodenotadefimChar">
    <w:name w:val="Texto de nota de fim Char"/>
    <w:basedOn w:val="Fontepargpadro"/>
    <w:link w:val="Textodenotadefim"/>
    <w:semiHidden/>
    <w:rsid w:val="00207C3F"/>
    <w:rPr>
      <w:rFonts w:ascii="Arial" w:eastAsia="Times New Roman" w:hAnsi="Arial" w:cs="Times New Roman"/>
      <w:sz w:val="20"/>
      <w:szCs w:val="20"/>
      <w:lang w:val="x-none" w:eastAsia="x-none"/>
    </w:rPr>
  </w:style>
  <w:style w:type="character" w:styleId="Refdenotadefim">
    <w:name w:val="endnote reference"/>
    <w:semiHidden/>
    <w:rsid w:val="00207C3F"/>
    <w:rPr>
      <w:vertAlign w:val="superscript"/>
    </w:rPr>
  </w:style>
  <w:style w:type="paragraph" w:customStyle="1" w:styleId="CharCharCharCharChar">
    <w:name w:val="Char Char Char Char Char"/>
    <w:basedOn w:val="Normal"/>
    <w:next w:val="Normal"/>
    <w:semiHidden/>
    <w:rsid w:val="00207C3F"/>
    <w:pPr>
      <w:spacing w:line="240" w:lineRule="exact"/>
    </w:pPr>
    <w:rPr>
      <w:rFonts w:ascii="Arial" w:eastAsia="Times New Roman" w:hAnsi="Arial" w:cs="Arial"/>
      <w:sz w:val="20"/>
      <w:szCs w:val="20"/>
      <w:lang w:val="en-US"/>
    </w:rPr>
  </w:style>
  <w:style w:type="paragraph" w:styleId="Recuodecorpodetexto3">
    <w:name w:val="Body Text Indent 3"/>
    <w:basedOn w:val="Normal"/>
    <w:link w:val="Recuodecorpodetexto3Char"/>
    <w:uiPriority w:val="99"/>
    <w:unhideWhenUsed/>
    <w:rsid w:val="00207C3F"/>
    <w:pPr>
      <w:spacing w:after="120" w:line="276" w:lineRule="auto"/>
      <w:ind w:left="283"/>
    </w:pPr>
    <w:rPr>
      <w:rFonts w:ascii="Calibri" w:eastAsia="Calibri" w:hAnsi="Calibri" w:cs="Times New Roman"/>
      <w:sz w:val="16"/>
      <w:szCs w:val="16"/>
      <w:lang w:val="x-none"/>
    </w:rPr>
  </w:style>
  <w:style w:type="character" w:customStyle="1" w:styleId="Recuodecorpodetexto3Char">
    <w:name w:val="Recuo de corpo de texto 3 Char"/>
    <w:basedOn w:val="Fontepargpadro"/>
    <w:link w:val="Recuodecorpodetexto3"/>
    <w:uiPriority w:val="99"/>
    <w:rsid w:val="00207C3F"/>
    <w:rPr>
      <w:rFonts w:ascii="Calibri" w:eastAsia="Calibri" w:hAnsi="Calibri" w:cs="Times New Roman"/>
      <w:sz w:val="16"/>
      <w:szCs w:val="16"/>
      <w:lang w:val="x-none"/>
    </w:rPr>
  </w:style>
  <w:style w:type="paragraph" w:styleId="Recuodecorpodetexto2">
    <w:name w:val="Body Text Indent 2"/>
    <w:basedOn w:val="Normal"/>
    <w:link w:val="Recuodecorpodetexto2Char"/>
    <w:rsid w:val="00207C3F"/>
    <w:pPr>
      <w:widowControl w:val="0"/>
      <w:spacing w:after="0" w:line="240" w:lineRule="auto"/>
      <w:ind w:left="2127" w:hanging="2127"/>
      <w:jc w:val="both"/>
    </w:pPr>
    <w:rPr>
      <w:rFonts w:ascii="Arial" w:eastAsia="Times New Roman" w:hAnsi="Arial" w:cs="Times New Roman"/>
      <w:snapToGrid w:val="0"/>
      <w:sz w:val="20"/>
      <w:szCs w:val="20"/>
      <w:lang w:val="x-none" w:eastAsia="x-none"/>
    </w:rPr>
  </w:style>
  <w:style w:type="character" w:customStyle="1" w:styleId="Recuodecorpodetexto2Char">
    <w:name w:val="Recuo de corpo de texto 2 Char"/>
    <w:basedOn w:val="Fontepargpadro"/>
    <w:link w:val="Recuodecorpodetexto2"/>
    <w:rsid w:val="00207C3F"/>
    <w:rPr>
      <w:rFonts w:ascii="Arial" w:eastAsia="Times New Roman" w:hAnsi="Arial" w:cs="Times New Roman"/>
      <w:snapToGrid w:val="0"/>
      <w:sz w:val="20"/>
      <w:szCs w:val="20"/>
      <w:lang w:val="x-none" w:eastAsia="x-none"/>
    </w:rPr>
  </w:style>
  <w:style w:type="paragraph" w:styleId="Corpodetexto2">
    <w:name w:val="Body Text 2"/>
    <w:basedOn w:val="Normal"/>
    <w:link w:val="Corpodetexto2Char"/>
    <w:rsid w:val="00207C3F"/>
    <w:pPr>
      <w:widowControl w:val="0"/>
      <w:pBdr>
        <w:top w:val="single" w:sz="6" w:space="1" w:color="auto"/>
        <w:left w:val="single" w:sz="6" w:space="1" w:color="auto"/>
        <w:bottom w:val="single" w:sz="6" w:space="1" w:color="auto"/>
        <w:right w:val="single" w:sz="6" w:space="1" w:color="auto"/>
      </w:pBdr>
      <w:spacing w:after="0" w:line="240" w:lineRule="auto"/>
      <w:jc w:val="both"/>
    </w:pPr>
    <w:rPr>
      <w:rFonts w:ascii="Times New Roman" w:eastAsia="Times New Roman" w:hAnsi="Times New Roman" w:cs="Times New Roman"/>
      <w:b/>
      <w:bCs/>
      <w:snapToGrid w:val="0"/>
      <w:sz w:val="24"/>
      <w:szCs w:val="20"/>
      <w:lang w:val="x-none" w:eastAsia="x-none"/>
    </w:rPr>
  </w:style>
  <w:style w:type="character" w:customStyle="1" w:styleId="Corpodetexto2Char">
    <w:name w:val="Corpo de texto 2 Char"/>
    <w:basedOn w:val="Fontepargpadro"/>
    <w:link w:val="Corpodetexto2"/>
    <w:rsid w:val="00207C3F"/>
    <w:rPr>
      <w:rFonts w:ascii="Times New Roman" w:eastAsia="Times New Roman" w:hAnsi="Times New Roman" w:cs="Times New Roman"/>
      <w:b/>
      <w:bCs/>
      <w:snapToGrid w:val="0"/>
      <w:sz w:val="24"/>
      <w:szCs w:val="20"/>
      <w:lang w:val="x-none" w:eastAsia="x-none"/>
    </w:rPr>
  </w:style>
  <w:style w:type="paragraph" w:styleId="Corpodetexto3">
    <w:name w:val="Body Text 3"/>
    <w:basedOn w:val="Normal"/>
    <w:link w:val="Corpodetexto3Char"/>
    <w:rsid w:val="00207C3F"/>
    <w:pPr>
      <w:widowControl w:val="0"/>
      <w:spacing w:after="0" w:line="240" w:lineRule="auto"/>
      <w:jc w:val="both"/>
    </w:pPr>
    <w:rPr>
      <w:rFonts w:ascii="Times New Roman" w:eastAsia="Times New Roman" w:hAnsi="Times New Roman" w:cs="Times New Roman"/>
      <w:snapToGrid w:val="0"/>
      <w:sz w:val="24"/>
      <w:szCs w:val="20"/>
      <w:lang w:val="x-none" w:eastAsia="x-none"/>
    </w:rPr>
  </w:style>
  <w:style w:type="character" w:customStyle="1" w:styleId="Corpodetexto3Char">
    <w:name w:val="Corpo de texto 3 Char"/>
    <w:basedOn w:val="Fontepargpadro"/>
    <w:link w:val="Corpodetexto3"/>
    <w:rsid w:val="00207C3F"/>
    <w:rPr>
      <w:rFonts w:ascii="Times New Roman" w:eastAsia="Times New Roman" w:hAnsi="Times New Roman" w:cs="Times New Roman"/>
      <w:snapToGrid w:val="0"/>
      <w:sz w:val="24"/>
      <w:szCs w:val="20"/>
      <w:lang w:val="x-none" w:eastAsia="x-none"/>
    </w:rPr>
  </w:style>
  <w:style w:type="paragraph" w:customStyle="1" w:styleId="Estilo1">
    <w:name w:val="Estilo1"/>
    <w:basedOn w:val="Recuonormal"/>
    <w:rsid w:val="00207C3F"/>
    <w:pPr>
      <w:widowControl/>
      <w:ind w:left="0"/>
      <w:jc w:val="both"/>
    </w:pPr>
    <w:rPr>
      <w:rFonts w:ascii="Univers (WN)" w:hAnsi="Univers (WN)"/>
      <w:snapToGrid/>
    </w:rPr>
  </w:style>
  <w:style w:type="paragraph" w:styleId="Recuonormal">
    <w:name w:val="Normal Indent"/>
    <w:basedOn w:val="Normal"/>
    <w:rsid w:val="00207C3F"/>
    <w:pPr>
      <w:widowControl w:val="0"/>
      <w:spacing w:after="0" w:line="240" w:lineRule="auto"/>
      <w:ind w:left="708"/>
    </w:pPr>
    <w:rPr>
      <w:rFonts w:ascii="Times New Roman" w:eastAsia="Times New Roman" w:hAnsi="Times New Roman" w:cs="Times New Roman"/>
      <w:snapToGrid w:val="0"/>
      <w:sz w:val="20"/>
      <w:szCs w:val="20"/>
      <w:lang w:eastAsia="pt-BR"/>
    </w:rPr>
  </w:style>
  <w:style w:type="paragraph" w:customStyle="1" w:styleId="Normalalternativo">
    <w:name w:val="Normal alternativo"/>
    <w:basedOn w:val="Normal"/>
    <w:rsid w:val="00207C3F"/>
    <w:pPr>
      <w:numPr>
        <w:numId w:val="80"/>
      </w:numPr>
      <w:spacing w:after="0" w:line="360" w:lineRule="auto"/>
      <w:jc w:val="both"/>
    </w:pPr>
    <w:rPr>
      <w:rFonts w:ascii="Times New Roman" w:eastAsia="Times New Roman" w:hAnsi="Times New Roman" w:cs="Times New Roman"/>
      <w:sz w:val="24"/>
      <w:szCs w:val="20"/>
      <w:lang w:eastAsia="pt-BR"/>
    </w:rPr>
  </w:style>
  <w:style w:type="character" w:styleId="TextodoEspaoReservado">
    <w:name w:val="Placeholder Text"/>
    <w:uiPriority w:val="99"/>
    <w:semiHidden/>
    <w:rsid w:val="00207C3F"/>
    <w:rPr>
      <w:color w:val="808080"/>
    </w:rPr>
  </w:style>
  <w:style w:type="character" w:customStyle="1" w:styleId="normaltextrun">
    <w:name w:val="normaltextrun"/>
    <w:basedOn w:val="Fontepargpadro"/>
    <w:qFormat/>
    <w:rsid w:val="00207C3F"/>
  </w:style>
  <w:style w:type="character" w:customStyle="1" w:styleId="eop">
    <w:name w:val="eop"/>
    <w:basedOn w:val="Fontepargpadro"/>
    <w:rsid w:val="00207C3F"/>
  </w:style>
  <w:style w:type="paragraph" w:customStyle="1" w:styleId="paragraph">
    <w:name w:val="paragraph"/>
    <w:basedOn w:val="Normal"/>
    <w:rsid w:val="00207C3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rCharChar1">
    <w:name w:val="fr Char Char1"/>
    <w:aliases w:val="fr Char Char Char,Char Char6 Char Char Char Char Char Char Char Char Char Char Char,Char6 Char Char Char Char Char Char Char Char Char Char Char Char, Char Char6 Char Char Char Char Char Char Char Char Char Char Char"/>
    <w:basedOn w:val="Normal"/>
    <w:link w:val="Refdenotaderodap"/>
    <w:uiPriority w:val="99"/>
    <w:rsid w:val="00207C3F"/>
    <w:pPr>
      <w:spacing w:after="0" w:line="360" w:lineRule="auto"/>
      <w:jc w:val="center"/>
    </w:pPr>
    <w:rPr>
      <w:vertAlign w:val="superscript"/>
    </w:rPr>
  </w:style>
  <w:style w:type="character" w:customStyle="1" w:styleId="apple-converted-space">
    <w:name w:val="apple-converted-space"/>
    <w:basedOn w:val="Fontepargpadro"/>
    <w:rsid w:val="00207C3F"/>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207C3F"/>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207C3F"/>
    <w:pPr>
      <w:widowControl w:val="0"/>
      <w:shd w:val="clear" w:color="auto" w:fill="FFFFFF"/>
      <w:spacing w:before="280" w:after="540" w:line="278" w:lineRule="exact"/>
      <w:jc w:val="center"/>
    </w:pPr>
  </w:style>
  <w:style w:type="paragraph" w:styleId="Reviso">
    <w:name w:val="Revision"/>
    <w:hidden/>
    <w:uiPriority w:val="99"/>
    <w:semiHidden/>
    <w:rsid w:val="00207C3F"/>
    <w:pPr>
      <w:spacing w:after="0" w:line="240" w:lineRule="auto"/>
    </w:pPr>
    <w:rPr>
      <w:rFonts w:ascii="Times New Roman" w:eastAsia="Times New Roman" w:hAnsi="Times New Roman" w:cs="Times New Roman"/>
      <w:sz w:val="24"/>
      <w:szCs w:val="24"/>
      <w:lang w:eastAsia="pt-BR"/>
    </w:rPr>
  </w:style>
  <w:style w:type="character" w:customStyle="1" w:styleId="Meno1">
    <w:name w:val="Menção1"/>
    <w:uiPriority w:val="99"/>
    <w:unhideWhenUsed/>
    <w:rsid w:val="00207C3F"/>
    <w:rPr>
      <w:color w:val="2B579A"/>
      <w:shd w:val="clear" w:color="auto" w:fill="E1DFDD"/>
    </w:rPr>
  </w:style>
  <w:style w:type="character" w:customStyle="1" w:styleId="MenoPendente2">
    <w:name w:val="Menção Pendente2"/>
    <w:uiPriority w:val="99"/>
    <w:unhideWhenUsed/>
    <w:rsid w:val="00207C3F"/>
    <w:rPr>
      <w:color w:val="605E5C"/>
      <w:shd w:val="clear" w:color="auto" w:fill="E1DFDD"/>
    </w:rPr>
  </w:style>
  <w:style w:type="character" w:customStyle="1" w:styleId="Mention1">
    <w:name w:val="Mention1"/>
    <w:uiPriority w:val="99"/>
    <w:unhideWhenUsed/>
    <w:rsid w:val="00207C3F"/>
    <w:rPr>
      <w:color w:val="2B579A"/>
      <w:shd w:val="clear" w:color="auto" w:fill="E6E6E6"/>
    </w:rPr>
  </w:style>
  <w:style w:type="character" w:customStyle="1" w:styleId="Meno2">
    <w:name w:val="Menção2"/>
    <w:uiPriority w:val="99"/>
    <w:unhideWhenUsed/>
    <w:rsid w:val="00207C3F"/>
    <w:rPr>
      <w:color w:val="2B579A"/>
      <w:shd w:val="clear" w:color="auto" w:fill="E1DFDD"/>
    </w:rPr>
  </w:style>
  <w:style w:type="character" w:customStyle="1" w:styleId="Mention2">
    <w:name w:val="Mention2"/>
    <w:basedOn w:val="Fontepargpadro"/>
    <w:uiPriority w:val="99"/>
    <w:unhideWhenUsed/>
    <w:rsid w:val="00207C3F"/>
    <w:rPr>
      <w:color w:val="2B579A"/>
      <w:shd w:val="clear" w:color="auto" w:fill="E6E6E6"/>
    </w:rPr>
  </w:style>
  <w:style w:type="table" w:customStyle="1" w:styleId="TableNormal2">
    <w:name w:val="Table Normal2"/>
    <w:uiPriority w:val="2"/>
    <w:semiHidden/>
    <w:unhideWhenUsed/>
    <w:qFormat/>
    <w:rsid w:val="00207C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dro">
    <w:name w:val="Padrão"/>
    <w:rsid w:val="00207C3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pt-BR"/>
    </w:rPr>
  </w:style>
  <w:style w:type="paragraph" w:styleId="SemEspaamento">
    <w:name w:val="No Spacing"/>
    <w:uiPriority w:val="1"/>
    <w:qFormat/>
    <w:rsid w:val="00207C3F"/>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customStyle="1" w:styleId="Normal1">
    <w:name w:val="Normal1"/>
    <w:basedOn w:val="Normal"/>
    <w:rsid w:val="00207C3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1">
    <w:name w:val="texto1"/>
    <w:basedOn w:val="Normal"/>
    <w:rsid w:val="00207C3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pc41">
    <w:name w:val="_rpc_41"/>
    <w:basedOn w:val="Fontepargpadro"/>
    <w:rsid w:val="00207C3F"/>
  </w:style>
  <w:style w:type="character" w:customStyle="1" w:styleId="tlid-translation">
    <w:name w:val="tlid-translation"/>
    <w:basedOn w:val="Fontepargpadro"/>
    <w:rsid w:val="00207C3F"/>
  </w:style>
  <w:style w:type="numbering" w:customStyle="1" w:styleId="Semlista2">
    <w:name w:val="Sem lista2"/>
    <w:next w:val="Semlista"/>
    <w:uiPriority w:val="99"/>
    <w:semiHidden/>
    <w:unhideWhenUsed/>
    <w:rsid w:val="00372971"/>
  </w:style>
  <w:style w:type="numbering" w:customStyle="1" w:styleId="Semlista11">
    <w:name w:val="Sem lista11"/>
    <w:next w:val="Semlista"/>
    <w:uiPriority w:val="99"/>
    <w:semiHidden/>
    <w:unhideWhenUsed/>
    <w:rsid w:val="00372971"/>
  </w:style>
  <w:style w:type="table" w:customStyle="1" w:styleId="Tabelacomgrade1">
    <w:name w:val="Tabela com grade1"/>
    <w:basedOn w:val="Tabelanormal"/>
    <w:next w:val="Tabelacomgrade"/>
    <w:rsid w:val="0037297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formataoHTML1">
    <w:name w:val="Pré-formatação HTML1"/>
    <w:basedOn w:val="Normal"/>
    <w:next w:val="Pr-formataoHTML"/>
    <w:uiPriority w:val="99"/>
    <w:semiHidden/>
    <w:unhideWhenUsed/>
    <w:rsid w:val="00372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2">
    <w:name w:val="Pré-formatação HTML Char2"/>
    <w:basedOn w:val="Fontepargpadro"/>
    <w:uiPriority w:val="99"/>
    <w:semiHidden/>
    <w:rsid w:val="00372971"/>
    <w:rPr>
      <w:rFonts w:ascii="Consolas" w:hAnsi="Consolas" w:cs="Consolas"/>
      <w:sz w:val="20"/>
      <w:szCs w:val="20"/>
    </w:rPr>
  </w:style>
  <w:style w:type="character" w:customStyle="1" w:styleId="UnresolvedMention2">
    <w:name w:val="Unresolved Mention2"/>
    <w:basedOn w:val="Fontepargpadro"/>
    <w:uiPriority w:val="99"/>
    <w:unhideWhenUsed/>
    <w:rsid w:val="00165DBA"/>
    <w:rPr>
      <w:color w:val="605E5C"/>
      <w:shd w:val="clear" w:color="auto" w:fill="E1DFDD"/>
    </w:rPr>
  </w:style>
  <w:style w:type="character" w:customStyle="1" w:styleId="Mention3">
    <w:name w:val="Mention3"/>
    <w:basedOn w:val="Fontepargpadro"/>
    <w:uiPriority w:val="99"/>
    <w:unhideWhenUsed/>
    <w:rsid w:val="00165DBA"/>
    <w:rPr>
      <w:color w:val="2B579A"/>
      <w:shd w:val="clear" w:color="auto" w:fill="E1DFDD"/>
    </w:rPr>
  </w:style>
  <w:style w:type="table" w:customStyle="1" w:styleId="Tabelacomgrade2">
    <w:name w:val="Tabela com grade2"/>
    <w:basedOn w:val="Tabelanormal"/>
    <w:next w:val="Tabelacomgrade"/>
    <w:rsid w:val="0087030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rsid w:val="0087030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4807">
      <w:bodyDiv w:val="1"/>
      <w:marLeft w:val="0"/>
      <w:marRight w:val="0"/>
      <w:marTop w:val="0"/>
      <w:marBottom w:val="0"/>
      <w:divBdr>
        <w:top w:val="none" w:sz="0" w:space="0" w:color="auto"/>
        <w:left w:val="none" w:sz="0" w:space="0" w:color="auto"/>
        <w:bottom w:val="none" w:sz="0" w:space="0" w:color="auto"/>
        <w:right w:val="none" w:sz="0" w:space="0" w:color="auto"/>
      </w:divBdr>
    </w:div>
    <w:div w:id="254829975">
      <w:bodyDiv w:val="1"/>
      <w:marLeft w:val="0"/>
      <w:marRight w:val="0"/>
      <w:marTop w:val="0"/>
      <w:marBottom w:val="0"/>
      <w:divBdr>
        <w:top w:val="none" w:sz="0" w:space="0" w:color="auto"/>
        <w:left w:val="none" w:sz="0" w:space="0" w:color="auto"/>
        <w:bottom w:val="none" w:sz="0" w:space="0" w:color="auto"/>
        <w:right w:val="none" w:sz="0" w:space="0" w:color="auto"/>
      </w:divBdr>
    </w:div>
    <w:div w:id="507912611">
      <w:bodyDiv w:val="1"/>
      <w:marLeft w:val="0"/>
      <w:marRight w:val="0"/>
      <w:marTop w:val="0"/>
      <w:marBottom w:val="0"/>
      <w:divBdr>
        <w:top w:val="none" w:sz="0" w:space="0" w:color="auto"/>
        <w:left w:val="none" w:sz="0" w:space="0" w:color="auto"/>
        <w:bottom w:val="none" w:sz="0" w:space="0" w:color="auto"/>
        <w:right w:val="none" w:sz="0" w:space="0" w:color="auto"/>
      </w:divBdr>
      <w:divsChild>
        <w:div w:id="923999365">
          <w:marLeft w:val="547"/>
          <w:marRight w:val="0"/>
          <w:marTop w:val="0"/>
          <w:marBottom w:val="0"/>
          <w:divBdr>
            <w:top w:val="none" w:sz="0" w:space="0" w:color="auto"/>
            <w:left w:val="none" w:sz="0" w:space="0" w:color="auto"/>
            <w:bottom w:val="none" w:sz="0" w:space="0" w:color="auto"/>
            <w:right w:val="none" w:sz="0" w:space="0" w:color="auto"/>
          </w:divBdr>
        </w:div>
      </w:divsChild>
    </w:div>
    <w:div w:id="594753511">
      <w:bodyDiv w:val="1"/>
      <w:marLeft w:val="0"/>
      <w:marRight w:val="0"/>
      <w:marTop w:val="0"/>
      <w:marBottom w:val="0"/>
      <w:divBdr>
        <w:top w:val="none" w:sz="0" w:space="0" w:color="auto"/>
        <w:left w:val="none" w:sz="0" w:space="0" w:color="auto"/>
        <w:bottom w:val="none" w:sz="0" w:space="0" w:color="auto"/>
        <w:right w:val="none" w:sz="0" w:space="0" w:color="auto"/>
      </w:divBdr>
    </w:div>
    <w:div w:id="776676493">
      <w:bodyDiv w:val="1"/>
      <w:marLeft w:val="0"/>
      <w:marRight w:val="0"/>
      <w:marTop w:val="0"/>
      <w:marBottom w:val="0"/>
      <w:divBdr>
        <w:top w:val="none" w:sz="0" w:space="0" w:color="auto"/>
        <w:left w:val="none" w:sz="0" w:space="0" w:color="auto"/>
        <w:bottom w:val="none" w:sz="0" w:space="0" w:color="auto"/>
        <w:right w:val="none" w:sz="0" w:space="0" w:color="auto"/>
      </w:divBdr>
      <w:divsChild>
        <w:div w:id="130482401">
          <w:marLeft w:val="547"/>
          <w:marRight w:val="0"/>
          <w:marTop w:val="0"/>
          <w:marBottom w:val="0"/>
          <w:divBdr>
            <w:top w:val="none" w:sz="0" w:space="0" w:color="auto"/>
            <w:left w:val="none" w:sz="0" w:space="0" w:color="auto"/>
            <w:bottom w:val="none" w:sz="0" w:space="0" w:color="auto"/>
            <w:right w:val="none" w:sz="0" w:space="0" w:color="auto"/>
          </w:divBdr>
        </w:div>
      </w:divsChild>
    </w:div>
    <w:div w:id="1408066103">
      <w:bodyDiv w:val="1"/>
      <w:marLeft w:val="0"/>
      <w:marRight w:val="0"/>
      <w:marTop w:val="0"/>
      <w:marBottom w:val="0"/>
      <w:divBdr>
        <w:top w:val="none" w:sz="0" w:space="0" w:color="auto"/>
        <w:left w:val="none" w:sz="0" w:space="0" w:color="auto"/>
        <w:bottom w:val="none" w:sz="0" w:space="0" w:color="auto"/>
        <w:right w:val="none" w:sz="0" w:space="0" w:color="auto"/>
      </w:divBdr>
    </w:div>
    <w:div w:id="1887328864">
      <w:bodyDiv w:val="1"/>
      <w:marLeft w:val="0"/>
      <w:marRight w:val="0"/>
      <w:marTop w:val="0"/>
      <w:marBottom w:val="0"/>
      <w:divBdr>
        <w:top w:val="none" w:sz="0" w:space="0" w:color="auto"/>
        <w:left w:val="none" w:sz="0" w:space="0" w:color="auto"/>
        <w:bottom w:val="none" w:sz="0" w:space="0" w:color="auto"/>
        <w:right w:val="none" w:sz="0" w:space="0" w:color="auto"/>
      </w:divBdr>
      <w:divsChild>
        <w:div w:id="1825003639">
          <w:marLeft w:val="547"/>
          <w:marRight w:val="0"/>
          <w:marTop w:val="0"/>
          <w:marBottom w:val="0"/>
          <w:divBdr>
            <w:top w:val="none" w:sz="0" w:space="0" w:color="auto"/>
            <w:left w:val="none" w:sz="0" w:space="0" w:color="auto"/>
            <w:bottom w:val="none" w:sz="0" w:space="0" w:color="auto"/>
            <w:right w:val="none" w:sz="0" w:space="0" w:color="auto"/>
          </w:divBdr>
        </w:div>
      </w:divsChild>
    </w:div>
    <w:div w:id="203202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lanalto.gov.br/ccivil_03/_Ato2019-2022/2019/Mpv/mpv902.htm" TargetMode="External"/><Relationship Id="rId21" Type="http://schemas.microsoft.com/office/2018/08/relationships/commentsExtensible" Target="commentsExtensible.xml"/><Relationship Id="rId42" Type="http://schemas.openxmlformats.org/officeDocument/2006/relationships/hyperlink" Target="https://www.planalto.gov.br/ccivil_03/leis/2003/L10.833.htm" TargetMode="External"/><Relationship Id="rId63" Type="http://schemas.openxmlformats.org/officeDocument/2006/relationships/hyperlink" Target="http://www.planalto.gov.br/ccivil_03/LEIS/L8167.htm" TargetMode="External"/><Relationship Id="rId84" Type="http://schemas.openxmlformats.org/officeDocument/2006/relationships/hyperlink" Target="http://www.planalto.gov.br/ccivil_03/LEIS/2002/L10637.htm" TargetMode="External"/><Relationship Id="rId138" Type="http://schemas.openxmlformats.org/officeDocument/2006/relationships/hyperlink" Target="http://www.planalto.gov.br/ccivil_03/_Ato2015-2018/2015/Lei/L13137.htm" TargetMode="External"/><Relationship Id="rId159" Type="http://schemas.openxmlformats.org/officeDocument/2006/relationships/hyperlink" Target="http://www.planalto.gov.br/ccivil_03/_Ato2019-2022/2019/Mpv/mpv902.htm" TargetMode="External"/><Relationship Id="rId170" Type="http://schemas.openxmlformats.org/officeDocument/2006/relationships/hyperlink" Target="http://www.planalto.gov.br/ccivil_03/_Ato2019-2022/2019/Mpv/mpv902.htm" TargetMode="External"/><Relationship Id="rId191" Type="http://schemas.openxmlformats.org/officeDocument/2006/relationships/hyperlink" Target="http://www.planalto.gov.br/ccivil_03/_Ato2019-2022/2019/Mpv/mpv902.htm" TargetMode="External"/><Relationship Id="rId205" Type="http://schemas.openxmlformats.org/officeDocument/2006/relationships/hyperlink" Target="http://www.planalto.gov.br/ccivil_03/LEIS/L9718.htm" TargetMode="External"/><Relationship Id="rId226" Type="http://schemas.openxmlformats.org/officeDocument/2006/relationships/hyperlink" Target="http://www.planalto.gov.br/ccivil_03/_Ato2011-2014/2014/Lei/L13043.htm" TargetMode="External"/><Relationship Id="rId247" Type="http://schemas.openxmlformats.org/officeDocument/2006/relationships/hyperlink" Target="http://www.planalto.gov.br/ccivil_03/decreto/1996/D1936.htm" TargetMode="External"/><Relationship Id="rId107" Type="http://schemas.openxmlformats.org/officeDocument/2006/relationships/hyperlink" Target="http://www.planalto.gov.br/ccivil_03/LEIS/L4502.htm" TargetMode="External"/><Relationship Id="rId11" Type="http://schemas.openxmlformats.org/officeDocument/2006/relationships/image" Target="media/image1.png"/><Relationship Id="rId32" Type="http://schemas.openxmlformats.org/officeDocument/2006/relationships/hyperlink" Target="https://www.planalto.gov.br/ccivil_03/MPV/2158-35.htm" TargetMode="External"/><Relationship Id="rId53" Type="http://schemas.openxmlformats.org/officeDocument/2006/relationships/hyperlink" Target="https://www.planalto.gov.br/ccivil_03/MPV/2158-35.htm" TargetMode="External"/><Relationship Id="rId74" Type="http://schemas.openxmlformats.org/officeDocument/2006/relationships/hyperlink" Target="http://www.planalto.gov.br/ccivil_03/_ato2011-2014/2011/Lei/L12546.htm" TargetMode="External"/><Relationship Id="rId128" Type="http://schemas.openxmlformats.org/officeDocument/2006/relationships/hyperlink" Target="http://www.planalto.gov.br/ccivil_03/_Ato2019-2022/2020/Congresso/adc-25-mpv902.htm" TargetMode="External"/><Relationship Id="rId149" Type="http://schemas.openxmlformats.org/officeDocument/2006/relationships/hyperlink" Target="http://www.planalto.gov.br/ccivil_03/_Ato2019-2022/2019/Mpv/mpv902.htm" TargetMode="External"/><Relationship Id="rId5" Type="http://schemas.openxmlformats.org/officeDocument/2006/relationships/numbering" Target="numbering.xml"/><Relationship Id="rId95" Type="http://schemas.openxmlformats.org/officeDocument/2006/relationships/hyperlink" Target="http://www.planalto.gov.br/ccivil_03/LEIS/L9818.htm" TargetMode="External"/><Relationship Id="rId160" Type="http://schemas.openxmlformats.org/officeDocument/2006/relationships/hyperlink" Target="http://www.planalto.gov.br/ccivil_03/_Ato2019-2022/2020/Congresso/adc-25-mpv902.htm" TargetMode="External"/><Relationship Id="rId181" Type="http://schemas.openxmlformats.org/officeDocument/2006/relationships/hyperlink" Target="http://www.planalto.gov.br/ccivil_03/_Ato2019-2022/2020/Congresso/adc-25-mpv902.htm" TargetMode="External"/><Relationship Id="rId216" Type="http://schemas.openxmlformats.org/officeDocument/2006/relationships/hyperlink" Target="http://www.planalto.gov.br/ccivil_03/LEIS/L4502.htm" TargetMode="External"/><Relationship Id="rId237" Type="http://schemas.openxmlformats.org/officeDocument/2006/relationships/hyperlink" Target="http://www.planalto.gov.br/ccivil_03/decreto/antigos/d1355.htm" TargetMode="External"/><Relationship Id="rId258" Type="http://schemas.openxmlformats.org/officeDocument/2006/relationships/theme" Target="theme/theme1.xml"/><Relationship Id="rId22" Type="http://schemas.openxmlformats.org/officeDocument/2006/relationships/footer" Target="footer1.xml"/><Relationship Id="rId43" Type="http://schemas.openxmlformats.org/officeDocument/2006/relationships/hyperlink" Target="https://www.planalto.gov.br/ccivil_03/leis/2003/L10.833.htm" TargetMode="External"/><Relationship Id="rId64" Type="http://schemas.openxmlformats.org/officeDocument/2006/relationships/hyperlink" Target="http://www.planalto.gov.br/ccivil_03/_Ato2004-2006/2004/Lei/L10.865.htm" TargetMode="External"/><Relationship Id="rId118" Type="http://schemas.openxmlformats.org/officeDocument/2006/relationships/hyperlink" Target="http://www.planalto.gov.br/ccivil_03/_Ato2019-2022/2019/Mpv/mpv902.htm" TargetMode="External"/><Relationship Id="rId139" Type="http://schemas.openxmlformats.org/officeDocument/2006/relationships/hyperlink" Target="http://www.planalto.gov.br/ccivil_03/_Ato2015-2018/2015/Lei/L13137.htm" TargetMode="External"/><Relationship Id="rId85" Type="http://schemas.openxmlformats.org/officeDocument/2006/relationships/hyperlink" Target="http://www.planalto.gov.br/ccivil_03/LEIS/2003/L10.833.htm" TargetMode="External"/><Relationship Id="rId150" Type="http://schemas.openxmlformats.org/officeDocument/2006/relationships/hyperlink" Target="http://www.planalto.gov.br/ccivil_03/_Ato2019-2022/2020/Congresso/adc-25-mpv902.htm" TargetMode="External"/><Relationship Id="rId171" Type="http://schemas.openxmlformats.org/officeDocument/2006/relationships/hyperlink" Target="http://www.planalto.gov.br/ccivil_03/_Ato2019-2022/2020/Congresso/adc-25-mpv902.htm" TargetMode="External"/><Relationship Id="rId192" Type="http://schemas.openxmlformats.org/officeDocument/2006/relationships/hyperlink" Target="http://www.planalto.gov.br/ccivil_03/_Ato2019-2022/2020/Congresso/adc-25-mpv902.htm" TargetMode="External"/><Relationship Id="rId206" Type="http://schemas.openxmlformats.org/officeDocument/2006/relationships/hyperlink" Target="http://www.planalto.gov.br/ccivil_03/_ato2011-2014/2013/Lei/L12865.htm" TargetMode="External"/><Relationship Id="rId227" Type="http://schemas.openxmlformats.org/officeDocument/2006/relationships/hyperlink" Target="http://www.planalto.gov.br/ccivil_03/_Ato2011-2014/2011/Lei/L12546.htm" TargetMode="External"/><Relationship Id="rId248" Type="http://schemas.openxmlformats.org/officeDocument/2006/relationships/hyperlink" Target="http://www.planalto.gov.br/ccivil_03/decreto/1996/D1936.htm" TargetMode="External"/><Relationship Id="rId12" Type="http://schemas.openxmlformats.org/officeDocument/2006/relationships/diagramData" Target="diagrams/data1.xml"/><Relationship Id="rId33" Type="http://schemas.openxmlformats.org/officeDocument/2006/relationships/hyperlink" Target="https://www.planalto.gov.br/ccivil_03/MPV/2158-35.htm" TargetMode="External"/><Relationship Id="rId108" Type="http://schemas.openxmlformats.org/officeDocument/2006/relationships/hyperlink" Target="http://www.planalto.gov.br/ccivil_03/_Ato2019-2022/2019/Mpv/mpv902.htm" TargetMode="External"/><Relationship Id="rId129" Type="http://schemas.openxmlformats.org/officeDocument/2006/relationships/hyperlink" Target="http://www.planalto.gov.br/ccivil_03/_Ato2019-2022/2019/Mpv/mpv902.htm" TargetMode="External"/><Relationship Id="rId54" Type="http://schemas.openxmlformats.org/officeDocument/2006/relationships/hyperlink" Target="https://www.planalto.gov.br/ccivil_03/leis/L4320.htm" TargetMode="External"/><Relationship Id="rId75" Type="http://schemas.openxmlformats.org/officeDocument/2006/relationships/hyperlink" Target="http://www.planalto.gov.br/ccivil_03/LEIS/L8212cons.htm" TargetMode="External"/><Relationship Id="rId96" Type="http://schemas.openxmlformats.org/officeDocument/2006/relationships/hyperlink" Target="http://www.planalto.gov.br/ccivil_03/MPV/2199-14.htm" TargetMode="External"/><Relationship Id="rId140" Type="http://schemas.openxmlformats.org/officeDocument/2006/relationships/hyperlink" Target="http://www.planalto.gov.br/ccivil_03/_Ato2019-2022/2019/Mpv/mpv902.htm" TargetMode="External"/><Relationship Id="rId161" Type="http://schemas.openxmlformats.org/officeDocument/2006/relationships/hyperlink" Target="http://www.planalto.gov.br/ccivil_03/LEIS/L5895.htm" TargetMode="External"/><Relationship Id="rId182" Type="http://schemas.openxmlformats.org/officeDocument/2006/relationships/hyperlink" Target="http://www.planalto.gov.br/ccivil_03/_Ato2007-2010/2007/Lei/L11488.htm" TargetMode="External"/><Relationship Id="rId217" Type="http://schemas.openxmlformats.org/officeDocument/2006/relationships/hyperlink" Target="http://www.planalto.gov.br/ccivil_03/_Ato2007-2010/2007/Lei/L11488.htm" TargetMode="External"/><Relationship Id="rId6" Type="http://schemas.openxmlformats.org/officeDocument/2006/relationships/styles" Target="styles.xml"/><Relationship Id="rId238" Type="http://schemas.openxmlformats.org/officeDocument/2006/relationships/hyperlink" Target="http://www.planalto.gov.br/ccivil_03/leis/l9019.htm" TargetMode="External"/><Relationship Id="rId23" Type="http://schemas.openxmlformats.org/officeDocument/2006/relationships/image" Target="media/image2.png"/><Relationship Id="rId119" Type="http://schemas.openxmlformats.org/officeDocument/2006/relationships/hyperlink" Target="http://www.planalto.gov.br/ccivil_03/_Ato2019-2022/2020/Congresso/adc-25-mpv902.htm" TargetMode="External"/><Relationship Id="rId44" Type="http://schemas.openxmlformats.org/officeDocument/2006/relationships/hyperlink" Target="https://www.planalto.gov.br/ccivil_03/_Ato2004-2006/2006/Mpv/320.htm" TargetMode="External"/><Relationship Id="rId65" Type="http://schemas.openxmlformats.org/officeDocument/2006/relationships/hyperlink" Target="http://www.planalto.gov.br/ccivil_03/_Ato2004-2006/2004/Lei/L10.865.htm" TargetMode="External"/><Relationship Id="rId86" Type="http://schemas.openxmlformats.org/officeDocument/2006/relationships/hyperlink" Target="http://www.planalto.gov.br/ccivil_03/_Ato2004-2006/2004/Lei/L10.865.htm" TargetMode="External"/><Relationship Id="rId130" Type="http://schemas.openxmlformats.org/officeDocument/2006/relationships/hyperlink" Target="http://www.planalto.gov.br/ccivil_03/_Ato2019-2022/2019/Mpv/mpv902.htm" TargetMode="External"/><Relationship Id="rId151" Type="http://schemas.openxmlformats.org/officeDocument/2006/relationships/hyperlink" Target="http://www.planalto.gov.br/ccivil_03/_Ato2015-2018/2015/Lei/L13137.htm" TargetMode="External"/><Relationship Id="rId172" Type="http://schemas.openxmlformats.org/officeDocument/2006/relationships/hyperlink" Target="http://www.planalto.gov.br/ccivil_03/_Ato2015-2018/2015/Lei/L13137.htm" TargetMode="External"/><Relationship Id="rId193" Type="http://schemas.openxmlformats.org/officeDocument/2006/relationships/hyperlink" Target="http://www.planalto.gov.br/ccivil_03/_Ato2004-2006/2004/Lei/L10.865.htm" TargetMode="External"/><Relationship Id="rId207" Type="http://schemas.openxmlformats.org/officeDocument/2006/relationships/hyperlink" Target="http://www.planalto.gov.br/ccivil_03/_ato2011-2014/2013/Lei/L12865.htm" TargetMode="External"/><Relationship Id="rId228" Type="http://schemas.openxmlformats.org/officeDocument/2006/relationships/hyperlink" Target="mailto:sdcom@economia.gov.br" TargetMode="External"/><Relationship Id="rId249" Type="http://schemas.openxmlformats.org/officeDocument/2006/relationships/hyperlink" Target="http://www.planalto.gov.br/ccivil_03/decreto/1996/D1936.htm" TargetMode="External"/><Relationship Id="rId13" Type="http://schemas.openxmlformats.org/officeDocument/2006/relationships/diagramLayout" Target="diagrams/layout1.xml"/><Relationship Id="rId109" Type="http://schemas.openxmlformats.org/officeDocument/2006/relationships/hyperlink" Target="http://www.planalto.gov.br/ccivil_03/_Ato2019-2022/2019/Mpv/mpv902.htm" TargetMode="External"/><Relationship Id="rId34" Type="http://schemas.openxmlformats.org/officeDocument/2006/relationships/hyperlink" Target="https://www.planalto.gov.br/ccivil_03/leis/2003/L10.833.htm" TargetMode="External"/><Relationship Id="rId55" Type="http://schemas.openxmlformats.org/officeDocument/2006/relationships/hyperlink" Target="https://www.planalto.gov.br/ccivil_03/MPV/2158-35.htm" TargetMode="External"/><Relationship Id="rId76" Type="http://schemas.openxmlformats.org/officeDocument/2006/relationships/hyperlink" Target="http://www.planalto.gov.br/ccivil_03/LEIS/L8212cons.htm" TargetMode="External"/><Relationship Id="rId97" Type="http://schemas.openxmlformats.org/officeDocument/2006/relationships/hyperlink" Target="http://www.planalto.gov.br/ccivil_03/MPV/2199-14.htm" TargetMode="External"/><Relationship Id="rId120" Type="http://schemas.openxmlformats.org/officeDocument/2006/relationships/hyperlink" Target="http://www.planalto.gov.br/ccivil_03/_Ato2019-2022/2019/Mpv/mpv902.htm" TargetMode="External"/><Relationship Id="rId141" Type="http://schemas.openxmlformats.org/officeDocument/2006/relationships/hyperlink" Target="http://www.planalto.gov.br/ccivil_03/_Ato2019-2022/2019/Mpv/mpv902.htm" TargetMode="External"/><Relationship Id="rId7" Type="http://schemas.openxmlformats.org/officeDocument/2006/relationships/settings" Target="settings.xml"/><Relationship Id="rId162" Type="http://schemas.openxmlformats.org/officeDocument/2006/relationships/hyperlink" Target="http://www.planalto.gov.br/ccivil_03/_Ato2007-2010/2007/Lei/L11488.htm" TargetMode="External"/><Relationship Id="rId183" Type="http://schemas.openxmlformats.org/officeDocument/2006/relationships/hyperlink" Target="http://www.planalto.gov.br/ccivil_03/_Ato2015-2018/2015/Lei/L13137.htm" TargetMode="External"/><Relationship Id="rId218" Type="http://schemas.openxmlformats.org/officeDocument/2006/relationships/hyperlink" Target="http://www.planalto.gov.br/ccivil_03/LEIS/2003/L10.833.htm" TargetMode="External"/><Relationship Id="rId239" Type="http://schemas.openxmlformats.org/officeDocument/2006/relationships/hyperlink" Target="http://www.planalto.gov.br/ccivil_03/decreto/1980-1989/1985-1987/D93962.htm" TargetMode="External"/><Relationship Id="rId250" Type="http://schemas.openxmlformats.org/officeDocument/2006/relationships/hyperlink" Target="http://www.planalto.gov.br/ccivil_03/decreto/1996/D1936.htm" TargetMode="External"/><Relationship Id="rId24" Type="http://schemas.openxmlformats.org/officeDocument/2006/relationships/hyperlink" Target="https://www.planalto.gov.br/ccivil_03/decreto/1980-1989/1985-1987/D93941.htm" TargetMode="External"/><Relationship Id="rId45" Type="http://schemas.openxmlformats.org/officeDocument/2006/relationships/hyperlink" Target="https://www.planalto.gov.br/ccivil_03/_Ato2004-2006/2006/Congresso/atocnmpv320.htm" TargetMode="External"/><Relationship Id="rId66" Type="http://schemas.openxmlformats.org/officeDocument/2006/relationships/hyperlink" Target="http://www.planalto.gov.br/ccivil_03/_Ato2004-2006/2004/Lei/L10.865.htm" TargetMode="External"/><Relationship Id="rId87" Type="http://schemas.openxmlformats.org/officeDocument/2006/relationships/hyperlink" Target="http://www.planalto.gov.br/ccivil_03/_ato2011-2014/2011/Lei/L12546.htm" TargetMode="External"/><Relationship Id="rId110" Type="http://schemas.openxmlformats.org/officeDocument/2006/relationships/hyperlink" Target="http://www.planalto.gov.br/ccivil_03/_Ato2019-2022/2020/Congresso/adc-25-mpv902.htm" TargetMode="External"/><Relationship Id="rId131" Type="http://schemas.openxmlformats.org/officeDocument/2006/relationships/hyperlink" Target="http://www.planalto.gov.br/ccivil_03/_Ato2019-2022/2020/Congresso/adc-25-mpv902.htm" TargetMode="External"/><Relationship Id="rId152" Type="http://schemas.openxmlformats.org/officeDocument/2006/relationships/hyperlink" Target="http://www.planalto.gov.br/ccivil_03/_Ato2015-2018/2015/Lei/L13137.htm" TargetMode="External"/><Relationship Id="rId173" Type="http://schemas.openxmlformats.org/officeDocument/2006/relationships/hyperlink" Target="http://www.planalto.gov.br/ccivil_03/_Ato2015-2018/2015/Lei/L13137.htm" TargetMode="External"/><Relationship Id="rId194" Type="http://schemas.openxmlformats.org/officeDocument/2006/relationships/hyperlink" Target="http://www.planalto.gov.br/ccivil_03/_Ato2004-2006/2004/Lei/L10.865.htm" TargetMode="External"/><Relationship Id="rId208" Type="http://schemas.openxmlformats.org/officeDocument/2006/relationships/hyperlink" Target="http://www.planalto.gov.br/ccivil_03/_ato2011-2014/2012/Lei/L12599.htm" TargetMode="External"/><Relationship Id="rId229" Type="http://schemas.openxmlformats.org/officeDocument/2006/relationships/hyperlink" Target="mailto:sdcom@economia.gov.br" TargetMode="External"/><Relationship Id="rId240" Type="http://schemas.openxmlformats.org/officeDocument/2006/relationships/hyperlink" Target="mailto:sdcom@economia.gov.br" TargetMode="External"/><Relationship Id="rId14" Type="http://schemas.openxmlformats.org/officeDocument/2006/relationships/diagramQuickStyle" Target="diagrams/quickStyle1.xml"/><Relationship Id="rId35" Type="http://schemas.openxmlformats.org/officeDocument/2006/relationships/hyperlink" Target="https://www.planalto.gov.br/ccivil_03/leis/2003/L10.833.htm" TargetMode="External"/><Relationship Id="rId56" Type="http://schemas.openxmlformats.org/officeDocument/2006/relationships/hyperlink" Target="https://www.planalto.gov.br/ccivil_03/_Ato2007-2010/2008/Mpv/429.htm" TargetMode="External"/><Relationship Id="rId77" Type="http://schemas.openxmlformats.org/officeDocument/2006/relationships/hyperlink" Target="http://www.planalto.gov.br/ccivil_03/_ato2011-2014/2011/Lei/L12546.htm" TargetMode="External"/><Relationship Id="rId100" Type="http://schemas.openxmlformats.org/officeDocument/2006/relationships/hyperlink" Target="http://www.planalto.gov.br/ccivil_03/_ato2011-2014/2012/Lei/L12649.htm" TargetMode="External"/><Relationship Id="rId8" Type="http://schemas.openxmlformats.org/officeDocument/2006/relationships/webSettings" Target="webSettings.xml"/><Relationship Id="rId98" Type="http://schemas.openxmlformats.org/officeDocument/2006/relationships/hyperlink" Target="http://www.planalto.gov.br/ccivil_03/_Ato2004-2006/2006/Lei/L11281.htm" TargetMode="External"/><Relationship Id="rId121" Type="http://schemas.openxmlformats.org/officeDocument/2006/relationships/hyperlink" Target="http://www.planalto.gov.br/ccivil_03/_Ato2019-2022/2019/Mpv/mpv902.htm" TargetMode="External"/><Relationship Id="rId142" Type="http://schemas.openxmlformats.org/officeDocument/2006/relationships/hyperlink" Target="http://www.planalto.gov.br/ccivil_03/_Ato2019-2022/2020/Congresso/adc-25-mpv902.htm" TargetMode="External"/><Relationship Id="rId163" Type="http://schemas.openxmlformats.org/officeDocument/2006/relationships/hyperlink" Target="http://www.planalto.gov.br/ccivil_03/_Ato2019-2022/2019/Mpv/mpv902.htm" TargetMode="External"/><Relationship Id="rId184" Type="http://schemas.openxmlformats.org/officeDocument/2006/relationships/hyperlink" Target="http://www.planalto.gov.br/ccivil_03/_Ato2015-2018/2015/Lei/L13137.htm" TargetMode="External"/><Relationship Id="rId219" Type="http://schemas.openxmlformats.org/officeDocument/2006/relationships/hyperlink" Target="http://www.planalto.gov.br/ccivil_03/LEIS/L9818.htm" TargetMode="External"/><Relationship Id="rId230" Type="http://schemas.openxmlformats.org/officeDocument/2006/relationships/hyperlink" Target="mailto:sdcom@economia.gov.br" TargetMode="External"/><Relationship Id="rId251" Type="http://schemas.openxmlformats.org/officeDocument/2006/relationships/hyperlink" Target="http://www.planalto.gov.br/ccivil_03/decreto/1995/D1488.htm" TargetMode="External"/><Relationship Id="rId25" Type="http://schemas.openxmlformats.org/officeDocument/2006/relationships/hyperlink" Target="https://www.planalto.gov.br/ccivil_03/decreto/1980-1989/1985-1987/D93962.htm" TargetMode="External"/><Relationship Id="rId46" Type="http://schemas.openxmlformats.org/officeDocument/2006/relationships/hyperlink" Target="https://www.planalto.gov.br/ccivil_03/_Ato2004-2006/2006/Mpv/320.htm" TargetMode="External"/><Relationship Id="rId67" Type="http://schemas.openxmlformats.org/officeDocument/2006/relationships/hyperlink" Target="http://www.planalto.gov.br/ccivil_03/_ato2011-2014/2013/Lei/L12859.htm" TargetMode="External"/><Relationship Id="rId88" Type="http://schemas.openxmlformats.org/officeDocument/2006/relationships/hyperlink" Target="http://www.planalto.gov.br/ccivil_03/_ato2011-2014/2011/Lei/L12546.htm" TargetMode="External"/><Relationship Id="rId111" Type="http://schemas.openxmlformats.org/officeDocument/2006/relationships/hyperlink" Target="http://www.planalto.gov.br/ccivil_03/_Ato2007-2010/2007/Lei/L11488.htm" TargetMode="External"/><Relationship Id="rId132" Type="http://schemas.openxmlformats.org/officeDocument/2006/relationships/hyperlink" Target="http://www.planalto.gov.br/ccivil_03/_Ato2007-2010/2007/Lei/L11488.htm" TargetMode="External"/><Relationship Id="rId153" Type="http://schemas.openxmlformats.org/officeDocument/2006/relationships/hyperlink" Target="http://www.planalto.gov.br/ccivil_03/_Ato2019-2022/2019/Mpv/mpv902.htm" TargetMode="External"/><Relationship Id="rId174" Type="http://schemas.openxmlformats.org/officeDocument/2006/relationships/hyperlink" Target="http://www.planalto.gov.br/ccivil_03/_Ato2019-2022/2019/Mpv/mpv902.htm" TargetMode="External"/><Relationship Id="rId195" Type="http://schemas.openxmlformats.org/officeDocument/2006/relationships/hyperlink" Target="http://www.planalto.gov.br/ccivil_03/_ato2011-2014/2011/Lei/L12402.htm" TargetMode="External"/><Relationship Id="rId209" Type="http://schemas.openxmlformats.org/officeDocument/2006/relationships/hyperlink" Target="http://www.planalto.gov.br/ccivil_03/_ato2011-2014/2012/Lei/L12599.htm" TargetMode="External"/><Relationship Id="rId220" Type="http://schemas.openxmlformats.org/officeDocument/2006/relationships/hyperlink" Target="mailto:sdcom@economia.gov.br" TargetMode="External"/><Relationship Id="rId241" Type="http://schemas.openxmlformats.org/officeDocument/2006/relationships/hyperlink" Target="mailto:defesacomercial.cgmc@economia.gov.br" TargetMode="External"/><Relationship Id="rId15" Type="http://schemas.openxmlformats.org/officeDocument/2006/relationships/diagramColors" Target="diagrams/colors1.xml"/><Relationship Id="rId36" Type="http://schemas.openxmlformats.org/officeDocument/2006/relationships/hyperlink" Target="https://www.planalto.gov.br/ccivil_03/leis/2003/L10.833.htm" TargetMode="External"/><Relationship Id="rId57" Type="http://schemas.openxmlformats.org/officeDocument/2006/relationships/hyperlink" Target="https://www.planalto.gov.br/ccivil_03/_Ato2007-2010/2008/Lei/L11786.htm" TargetMode="External"/><Relationship Id="rId78" Type="http://schemas.openxmlformats.org/officeDocument/2006/relationships/hyperlink" Target="http://www.planalto.gov.br/ccivil_03/LEIS/L8212cons.htm" TargetMode="External"/><Relationship Id="rId99" Type="http://schemas.openxmlformats.org/officeDocument/2006/relationships/hyperlink" Target="http://www.planalto.gov.br/ccivil_03/_Ato2004-2006/2006/Lei/L11281.htm" TargetMode="External"/><Relationship Id="rId101" Type="http://schemas.openxmlformats.org/officeDocument/2006/relationships/hyperlink" Target="http://www.planalto.gov.br/ccivil_03/_ato2011-2014/2012/Lei/L12649.htm" TargetMode="External"/><Relationship Id="rId122" Type="http://schemas.openxmlformats.org/officeDocument/2006/relationships/hyperlink" Target="http://www.planalto.gov.br/ccivil_03/_Ato2019-2022/2020/Congresso/adc-25-mpv902.htm" TargetMode="External"/><Relationship Id="rId143" Type="http://schemas.openxmlformats.org/officeDocument/2006/relationships/hyperlink" Target="http://www.planalto.gov.br/ccivil_03/_Ato2019-2022/2019/Mpv/mpv902.htm" TargetMode="External"/><Relationship Id="rId164" Type="http://schemas.openxmlformats.org/officeDocument/2006/relationships/hyperlink" Target="http://www.planalto.gov.br/ccivil_03/_Ato2019-2022/2019/Mpv/mpv902.htm" TargetMode="External"/><Relationship Id="rId185" Type="http://schemas.openxmlformats.org/officeDocument/2006/relationships/hyperlink" Target="http://www.planalto.gov.br/ccivil_03/_Ato2019-2022/2019/Mpv/mpv902.htm" TargetMode="External"/><Relationship Id="rId9" Type="http://schemas.openxmlformats.org/officeDocument/2006/relationships/footnotes" Target="footnotes.xml"/><Relationship Id="rId210" Type="http://schemas.openxmlformats.org/officeDocument/2006/relationships/hyperlink" Target="http://www.planalto.gov.br/ccivil_03/_Ato2004-2006/2004/Lei/L10.925.htm" TargetMode="External"/><Relationship Id="rId26" Type="http://schemas.openxmlformats.org/officeDocument/2006/relationships/hyperlink" Target="https://www.planalto.gov.br/ccivil_03/leis/1930-1949/L313.htm" TargetMode="External"/><Relationship Id="rId231" Type="http://schemas.openxmlformats.org/officeDocument/2006/relationships/header" Target="header2.xml"/><Relationship Id="rId252" Type="http://schemas.openxmlformats.org/officeDocument/2006/relationships/hyperlink" Target="http://www.planalto.gov.br/ccivil_03/decreto/1995/D1488.htm" TargetMode="External"/><Relationship Id="rId47" Type="http://schemas.openxmlformats.org/officeDocument/2006/relationships/hyperlink" Target="https://www.planalto.gov.br/ccivil_03/_Ato2004-2006/2006/Congresso/atocnmpv320.htm" TargetMode="External"/><Relationship Id="rId68" Type="http://schemas.openxmlformats.org/officeDocument/2006/relationships/hyperlink" Target="http://www.planalto.gov.br/ccivil_03/_Ato2004-2006/2004/Lei/L10.865.htm" TargetMode="External"/><Relationship Id="rId89" Type="http://schemas.openxmlformats.org/officeDocument/2006/relationships/hyperlink" Target="http://www.planalto.gov.br/ccivil_03/_Ato2004-2006/2004/Lei/L10.925.htm" TargetMode="External"/><Relationship Id="rId112" Type="http://schemas.openxmlformats.org/officeDocument/2006/relationships/hyperlink" Target="http://www.planalto.gov.br/ccivil_03/LEIS/2003/L10.833.htm" TargetMode="External"/><Relationship Id="rId133" Type="http://schemas.openxmlformats.org/officeDocument/2006/relationships/hyperlink" Target="http://www.planalto.gov.br/ccivil_03/_Ato2019-2022/2019/Mpv/mpv902.htm" TargetMode="External"/><Relationship Id="rId154" Type="http://schemas.openxmlformats.org/officeDocument/2006/relationships/hyperlink" Target="http://www.planalto.gov.br/ccivil_03/_Ato2019-2022/2019/Mpv/mpv902.htm" TargetMode="External"/><Relationship Id="rId175" Type="http://schemas.openxmlformats.org/officeDocument/2006/relationships/hyperlink" Target="http://www.planalto.gov.br/ccivil_03/_Ato2019-2022/2019/Mpv/mpv902.htm" TargetMode="External"/><Relationship Id="rId196" Type="http://schemas.openxmlformats.org/officeDocument/2006/relationships/hyperlink" Target="http://www.planalto.gov.br/ccivil_03/_ato2011-2014/2011/Lei/L12402.htm" TargetMode="External"/><Relationship Id="rId200" Type="http://schemas.openxmlformats.org/officeDocument/2006/relationships/hyperlink" Target="http://www.planalto.gov.br/ccivil_03/_Ato2007-2010/2010/Lei/L12249.htm" TargetMode="External"/><Relationship Id="rId16" Type="http://schemas.microsoft.com/office/2007/relationships/diagramDrawing" Target="diagrams/drawing1.xml"/><Relationship Id="rId221" Type="http://schemas.openxmlformats.org/officeDocument/2006/relationships/image" Target="media/image3.png"/><Relationship Id="rId242" Type="http://schemas.openxmlformats.org/officeDocument/2006/relationships/footer" Target="footer5.xml"/><Relationship Id="rId37" Type="http://schemas.openxmlformats.org/officeDocument/2006/relationships/hyperlink" Target="https://www.planalto.gov.br/ccivil_03/leis/2003/L10.833.htm" TargetMode="External"/><Relationship Id="rId58" Type="http://schemas.openxmlformats.org/officeDocument/2006/relationships/hyperlink" Target="https://www.planalto.gov.br/ccivil_03/MPV/2158-35.htm" TargetMode="External"/><Relationship Id="rId79" Type="http://schemas.openxmlformats.org/officeDocument/2006/relationships/hyperlink" Target="http://www.planalto.gov.br/ccivil_03/LEIS/L6404consol.htm" TargetMode="External"/><Relationship Id="rId102" Type="http://schemas.openxmlformats.org/officeDocument/2006/relationships/hyperlink" Target="http://www.planalto.gov.br/ccivil_03/_ato2011-2014/2012/Lei/L12649.htm" TargetMode="External"/><Relationship Id="rId123" Type="http://schemas.openxmlformats.org/officeDocument/2006/relationships/hyperlink" Target="http://www.planalto.gov.br/ccivil_03/_Ato2019-2022/2019/Mpv/mpv902.htm" TargetMode="External"/><Relationship Id="rId144" Type="http://schemas.openxmlformats.org/officeDocument/2006/relationships/hyperlink" Target="http://www.planalto.gov.br/ccivil_03/_Ato2019-2022/2019/Mpv/mpv902.htm" TargetMode="External"/><Relationship Id="rId90" Type="http://schemas.openxmlformats.org/officeDocument/2006/relationships/hyperlink" Target="http://www.planalto.gov.br/ccivil_03/_Ato2004-2006/2004/Lei/L10.925.htm" TargetMode="External"/><Relationship Id="rId165" Type="http://schemas.openxmlformats.org/officeDocument/2006/relationships/hyperlink" Target="http://www.planalto.gov.br/ccivil_03/_Ato2019-2022/2020/Congresso/adc-25-mpv902.htm" TargetMode="External"/><Relationship Id="rId186" Type="http://schemas.openxmlformats.org/officeDocument/2006/relationships/hyperlink" Target="http://www.planalto.gov.br/ccivil_03/_Ato2019-2022/2019/Mpv/mpv902.htm" TargetMode="External"/><Relationship Id="rId211" Type="http://schemas.openxmlformats.org/officeDocument/2006/relationships/hyperlink" Target="http://www.planalto.gov.br/ccivil_03/_ato2011-2014/2014/Lei/L12995.htm" TargetMode="External"/><Relationship Id="rId232" Type="http://schemas.openxmlformats.org/officeDocument/2006/relationships/image" Target="media/image4.png"/><Relationship Id="rId253" Type="http://schemas.openxmlformats.org/officeDocument/2006/relationships/hyperlink" Target="http://www.planalto.gov.br/ccivil_03/decreto/1995/D1488.htm" TargetMode="External"/><Relationship Id="rId27" Type="http://schemas.openxmlformats.org/officeDocument/2006/relationships/hyperlink" Target="https://www.planalto.gov.br/ccivil_03/decreto/Antigos/D1355.htm" TargetMode="External"/><Relationship Id="rId48" Type="http://schemas.openxmlformats.org/officeDocument/2006/relationships/hyperlink" Target="https://www.planalto.gov.br/ccivil_03/_Ato2004-2006/2006/Mpv/320.htm" TargetMode="External"/><Relationship Id="rId69" Type="http://schemas.openxmlformats.org/officeDocument/2006/relationships/hyperlink" Target="http://www.planalto.gov.br/ccivil_03/LEIS/L9718.htm" TargetMode="External"/><Relationship Id="rId113" Type="http://schemas.openxmlformats.org/officeDocument/2006/relationships/hyperlink" Target="http://www.planalto.gov.br/ccivil_03/_Ato2007-2010/2007/Lei/L11488.htm" TargetMode="External"/><Relationship Id="rId134" Type="http://schemas.openxmlformats.org/officeDocument/2006/relationships/hyperlink" Target="http://www.planalto.gov.br/ccivil_03/_Ato2019-2022/2019/Mpv/mpv902.htm" TargetMode="External"/><Relationship Id="rId80" Type="http://schemas.openxmlformats.org/officeDocument/2006/relationships/hyperlink" Target="http://www.planalto.gov.br/ccivil_03/_ato2011-2014/2011/Lei/L12546.htm" TargetMode="External"/><Relationship Id="rId155" Type="http://schemas.openxmlformats.org/officeDocument/2006/relationships/hyperlink" Target="http://www.planalto.gov.br/ccivil_03/_Ato2019-2022/2020/Congresso/adc-25-mpv902.htm" TargetMode="External"/><Relationship Id="rId176" Type="http://schemas.openxmlformats.org/officeDocument/2006/relationships/hyperlink" Target="http://www.planalto.gov.br/ccivil_03/_Ato2019-2022/2020/Congresso/adc-25-mpv902.htm" TargetMode="External"/><Relationship Id="rId197" Type="http://schemas.openxmlformats.org/officeDocument/2006/relationships/hyperlink" Target="http://www.planalto.gov.br/ccivil_03/_ato2011-2014/2011/Lei/L12546.htm" TargetMode="External"/><Relationship Id="rId201" Type="http://schemas.openxmlformats.org/officeDocument/2006/relationships/hyperlink" Target="http://www.planalto.gov.br/ccivil_03/_ato2011-2014/2011/Lei/L12453.htm" TargetMode="External"/><Relationship Id="rId222" Type="http://schemas.openxmlformats.org/officeDocument/2006/relationships/footer" Target="footer2.xml"/><Relationship Id="rId243" Type="http://schemas.openxmlformats.org/officeDocument/2006/relationships/footer" Target="footer6.xml"/><Relationship Id="rId17" Type="http://schemas.openxmlformats.org/officeDocument/2006/relationships/hyperlink" Target="https://www.gov.br/produtividade-e-comercio-exterior/pt-br/assuntos/comercio-exterior/defesa-comercial-e-interesse-publico/legislacao-roteiros-e-questionarios" TargetMode="External"/><Relationship Id="rId38" Type="http://schemas.openxmlformats.org/officeDocument/2006/relationships/hyperlink" Target="https://www.planalto.gov.br/ccivil_03/leis/2003/L10.833.htm" TargetMode="External"/><Relationship Id="rId59" Type="http://schemas.openxmlformats.org/officeDocument/2006/relationships/hyperlink" Target="https://www.planalto.gov.br/ccivil_03/MPV/1990-1995/879.htm" TargetMode="External"/><Relationship Id="rId103" Type="http://schemas.openxmlformats.org/officeDocument/2006/relationships/hyperlink" Target="http://www.planalto.gov.br/ccivil_03/_ato2011-2014/2014/Lei/L12995.htm" TargetMode="External"/><Relationship Id="rId124" Type="http://schemas.openxmlformats.org/officeDocument/2006/relationships/hyperlink" Target="http://www.planalto.gov.br/ccivil_03/_Ato2019-2022/2019/Mpv/mpv902.htm" TargetMode="External"/><Relationship Id="rId70" Type="http://schemas.openxmlformats.org/officeDocument/2006/relationships/hyperlink" Target="http://www.planalto.gov.br/ccivil_03/_Ato2007-2010/2010/Lei/L12350.htm" TargetMode="External"/><Relationship Id="rId91" Type="http://schemas.openxmlformats.org/officeDocument/2006/relationships/hyperlink" Target="http://www.planalto.gov.br/ccivil_03/MPV/2158-35.htm" TargetMode="External"/><Relationship Id="rId145" Type="http://schemas.openxmlformats.org/officeDocument/2006/relationships/hyperlink" Target="http://www.planalto.gov.br/ccivil_03/_Ato2019-2022/2020/Congresso/adc-25-mpv902.htm" TargetMode="External"/><Relationship Id="rId166" Type="http://schemas.openxmlformats.org/officeDocument/2006/relationships/hyperlink" Target="http://www.planalto.gov.br/ccivil_03/_Ato2007-2010/2007/Lei/L11488.htm" TargetMode="External"/><Relationship Id="rId187" Type="http://schemas.openxmlformats.org/officeDocument/2006/relationships/hyperlink" Target="http://www.planalto.gov.br/ccivil_03/_Ato2019-2022/2020/Congresso/adc-25-mpv902.htm" TargetMode="External"/><Relationship Id="rId1" Type="http://schemas.openxmlformats.org/officeDocument/2006/relationships/customXml" Target="../customXml/item1.xml"/><Relationship Id="rId212" Type="http://schemas.openxmlformats.org/officeDocument/2006/relationships/hyperlink" Target="http://www.planalto.gov.br/ccivil_03/_ato2011-2014/2014/Lei/L12995.htm" TargetMode="External"/><Relationship Id="rId233" Type="http://schemas.openxmlformats.org/officeDocument/2006/relationships/footer" Target="footer3.xml"/><Relationship Id="rId254" Type="http://schemas.openxmlformats.org/officeDocument/2006/relationships/image" Target="media/image6.png"/><Relationship Id="rId28" Type="http://schemas.openxmlformats.org/officeDocument/2006/relationships/hyperlink" Target="https://www.planalto.gov.br/ccivil_03/MPV/2158-35.htm" TargetMode="External"/><Relationship Id="rId49" Type="http://schemas.openxmlformats.org/officeDocument/2006/relationships/hyperlink" Target="https://www.planalto.gov.br/ccivil_03/_Ato2004-2006/2006/Congresso/atocnmpv320.htm" TargetMode="External"/><Relationship Id="rId114" Type="http://schemas.openxmlformats.org/officeDocument/2006/relationships/hyperlink" Target="http://www.planalto.gov.br/ccivil_03/_Ato2015-2018/2015/Lei/L13097.htm" TargetMode="External"/><Relationship Id="rId60" Type="http://schemas.openxmlformats.org/officeDocument/2006/relationships/hyperlink" Target="https://www.planalto.gov.br/ccivil_03/Decreto-Lei/Del1578.htm" TargetMode="External"/><Relationship Id="rId81" Type="http://schemas.openxmlformats.org/officeDocument/2006/relationships/hyperlink" Target="http://www.planalto.gov.br/ccivil_03/_ato2011-2014/2013/Lei/L12859.htm" TargetMode="External"/><Relationship Id="rId135" Type="http://schemas.openxmlformats.org/officeDocument/2006/relationships/hyperlink" Target="http://www.planalto.gov.br/ccivil_03/_Ato2019-2022/2020/Congresso/adc-25-mpv902.htm" TargetMode="External"/><Relationship Id="rId156" Type="http://schemas.openxmlformats.org/officeDocument/2006/relationships/hyperlink" Target="http://www.planalto.gov.br/ccivil_03/_Ato2015-2018/2015/Lei/L13137.htm" TargetMode="External"/><Relationship Id="rId177" Type="http://schemas.openxmlformats.org/officeDocument/2006/relationships/hyperlink" Target="http://www.planalto.gov.br/ccivil_03/_Ato2015-2018/2015/Lei/L13137.htm" TargetMode="External"/><Relationship Id="rId198" Type="http://schemas.openxmlformats.org/officeDocument/2006/relationships/hyperlink" Target="http://www.planalto.gov.br/ccivil_03/Decreto-Lei/Del1722.htm" TargetMode="External"/><Relationship Id="rId202" Type="http://schemas.openxmlformats.org/officeDocument/2006/relationships/hyperlink" Target="http://www.planalto.gov.br/ccivil_03/decreto/Antigos/D1355.htm" TargetMode="External"/><Relationship Id="rId223" Type="http://schemas.openxmlformats.org/officeDocument/2006/relationships/header" Target="header1.xml"/><Relationship Id="rId244" Type="http://schemas.openxmlformats.org/officeDocument/2006/relationships/image" Target="media/image5.png"/><Relationship Id="rId18" Type="http://schemas.openxmlformats.org/officeDocument/2006/relationships/comments" Target="comments.xml"/><Relationship Id="rId39" Type="http://schemas.openxmlformats.org/officeDocument/2006/relationships/hyperlink" Target="https://www.planalto.gov.br/ccivil_03/leis/2003/L10.833.htm" TargetMode="External"/><Relationship Id="rId50" Type="http://schemas.openxmlformats.org/officeDocument/2006/relationships/hyperlink" Target="https://www.planalto.gov.br/ccivil_03/leis/2003/L10.833.htm" TargetMode="External"/><Relationship Id="rId104" Type="http://schemas.openxmlformats.org/officeDocument/2006/relationships/hyperlink" Target="http://www.planalto.gov.br/ccivil_03/_Ato2019-2022/2019/Mpv/mpv902.htm" TargetMode="External"/><Relationship Id="rId125" Type="http://schemas.openxmlformats.org/officeDocument/2006/relationships/hyperlink" Target="http://www.planalto.gov.br/ccivil_03/_Ato2019-2022/2020/Congresso/adc-25-mpv902.htm" TargetMode="External"/><Relationship Id="rId146" Type="http://schemas.openxmlformats.org/officeDocument/2006/relationships/hyperlink" Target="http://www.planalto.gov.br/ccivil_03/_Ato2015-2018/2015/Lei/L13137.htm" TargetMode="External"/><Relationship Id="rId167" Type="http://schemas.openxmlformats.org/officeDocument/2006/relationships/hyperlink" Target="http://www.planalto.gov.br/ccivil_03/_Ato2015-2018/2015/Lei/L13137.htm" TargetMode="External"/><Relationship Id="rId188" Type="http://schemas.openxmlformats.org/officeDocument/2006/relationships/hyperlink" Target="http://www.planalto.gov.br/ccivil_03/_Ato2015-2018/2015/Lei/L13137.htm" TargetMode="External"/><Relationship Id="rId71" Type="http://schemas.openxmlformats.org/officeDocument/2006/relationships/hyperlink" Target="http://www.planalto.gov.br/ccivil_03/_Ato2007-2010/2010/Lei/L12350.htm" TargetMode="External"/><Relationship Id="rId92" Type="http://schemas.openxmlformats.org/officeDocument/2006/relationships/hyperlink" Target="http://www.planalto.gov.br/ccivil_03/MPV/2158-35.htm" TargetMode="External"/><Relationship Id="rId213" Type="http://schemas.openxmlformats.org/officeDocument/2006/relationships/hyperlink" Target="http://www.planalto.gov.br/ccivil_03/Decreto-Lei/Del1437.htm" TargetMode="External"/><Relationship Id="rId234"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hyperlink" Target="https://www.planalto.gov.br/ccivil_03/MPV/2158-35.htm" TargetMode="External"/><Relationship Id="rId255" Type="http://schemas.openxmlformats.org/officeDocument/2006/relationships/hyperlink" Target="https://www.in.gov.br/en/web/dou/-/portaria-secex-n-103-de-27-de-julho-de-2021-334761589" TargetMode="External"/><Relationship Id="rId40" Type="http://schemas.openxmlformats.org/officeDocument/2006/relationships/hyperlink" Target="https://www.planalto.gov.br/ccivil_03/leis/2003/L10.833.htm" TargetMode="External"/><Relationship Id="rId115" Type="http://schemas.openxmlformats.org/officeDocument/2006/relationships/hyperlink" Target="http://www.planalto.gov.br/ccivil_03/_Ato2015-2018/2015/Lei/L13137.htm" TargetMode="External"/><Relationship Id="rId136" Type="http://schemas.openxmlformats.org/officeDocument/2006/relationships/hyperlink" Target="http://www.planalto.gov.br/ccivil_03/LEIS/2003/L10.833.htm" TargetMode="External"/><Relationship Id="rId157" Type="http://schemas.openxmlformats.org/officeDocument/2006/relationships/hyperlink" Target="http://www.planalto.gov.br/ccivil_03/_Ato2015-2018/2015/Lei/L13137.htm" TargetMode="External"/><Relationship Id="rId178" Type="http://schemas.openxmlformats.org/officeDocument/2006/relationships/hyperlink" Target="http://www.planalto.gov.br/ccivil_03/_Ato2015-2018/2015/Lei/L13137.htm" TargetMode="External"/><Relationship Id="rId61" Type="http://schemas.openxmlformats.org/officeDocument/2006/relationships/hyperlink" Target="http://www.planalto.gov.br/ccivil_03/LEIS/L8167.htm" TargetMode="External"/><Relationship Id="rId82" Type="http://schemas.openxmlformats.org/officeDocument/2006/relationships/hyperlink" Target="http://www.planalto.gov.br/ccivil_03/_ato2011-2014/2013/Lei/L12859.htm" TargetMode="External"/><Relationship Id="rId199" Type="http://schemas.openxmlformats.org/officeDocument/2006/relationships/hyperlink" Target="http://www.planalto.gov.br/ccivil_03/_Ato2007-2010/2009/Lei/L11945.htm" TargetMode="External"/><Relationship Id="rId203" Type="http://schemas.openxmlformats.org/officeDocument/2006/relationships/hyperlink" Target="http://www.planalto.gov.br/ccivil_03/decreto/Antigos/D1355.htm" TargetMode="External"/><Relationship Id="rId19" Type="http://schemas.microsoft.com/office/2011/relationships/commentsExtended" Target="commentsExtended.xml"/><Relationship Id="rId224" Type="http://schemas.openxmlformats.org/officeDocument/2006/relationships/hyperlink" Target="http://www.planalto.gov.br/ccivil_03/_Ato2011-2014/2011/Lei/L12546.htm" TargetMode="External"/><Relationship Id="rId245" Type="http://schemas.openxmlformats.org/officeDocument/2006/relationships/hyperlink" Target="http://www.planalto.gov.br/ccivil_03/LEIS/L4320.htm" TargetMode="External"/><Relationship Id="rId30" Type="http://schemas.openxmlformats.org/officeDocument/2006/relationships/hyperlink" Target="https://www.planalto.gov.br/ccivil_03/MPV/2158-35.htm" TargetMode="External"/><Relationship Id="rId105" Type="http://schemas.openxmlformats.org/officeDocument/2006/relationships/hyperlink" Target="http://www.planalto.gov.br/ccivil_03/_Ato2019-2022/2019/Mpv/mpv902.htm" TargetMode="External"/><Relationship Id="rId126" Type="http://schemas.openxmlformats.org/officeDocument/2006/relationships/hyperlink" Target="http://www.planalto.gov.br/ccivil_03/_Ato2019-2022/2019/Mpv/mpv902.htm" TargetMode="External"/><Relationship Id="rId147" Type="http://schemas.openxmlformats.org/officeDocument/2006/relationships/hyperlink" Target="http://www.planalto.gov.br/ccivil_03/_Ato2015-2018/2015/Lei/L13137.htm" TargetMode="External"/><Relationship Id="rId168" Type="http://schemas.openxmlformats.org/officeDocument/2006/relationships/hyperlink" Target="http://www.planalto.gov.br/ccivil_03/_Ato2015-2018/2015/Lei/L13137.htm" TargetMode="External"/><Relationship Id="rId51" Type="http://schemas.openxmlformats.org/officeDocument/2006/relationships/hyperlink" Target="https://www.planalto.gov.br/ccivil_03/leis/2003/L10.833.htm" TargetMode="External"/><Relationship Id="rId72" Type="http://schemas.openxmlformats.org/officeDocument/2006/relationships/hyperlink" Target="http://www.planalto.gov.br/ccivil_03/_ato2011-2014/2013/Mpv/mpv634.htm" TargetMode="External"/><Relationship Id="rId93" Type="http://schemas.openxmlformats.org/officeDocument/2006/relationships/hyperlink" Target="http://www.planalto.gov.br/ccivil_03/MPV/2158-35.htm" TargetMode="External"/><Relationship Id="rId189" Type="http://schemas.openxmlformats.org/officeDocument/2006/relationships/hyperlink" Target="http://www.planalto.gov.br/ccivil_03/_Ato2015-2018/2015/Lei/L13137.htm" TargetMode="External"/><Relationship Id="rId3" Type="http://schemas.openxmlformats.org/officeDocument/2006/relationships/customXml" Target="../customXml/item3.xml"/><Relationship Id="rId214" Type="http://schemas.openxmlformats.org/officeDocument/2006/relationships/hyperlink" Target="http://www.planalto.gov.br/ccivil_03/Decreto-Lei/Del1437.htm" TargetMode="External"/><Relationship Id="rId235" Type="http://schemas.openxmlformats.org/officeDocument/2006/relationships/hyperlink" Target="http://www.planalto.gov.br/ccivil_03/constituicao/constituicaocompilado.htm" TargetMode="External"/><Relationship Id="rId256" Type="http://schemas.openxmlformats.org/officeDocument/2006/relationships/fontTable" Target="fontTable.xml"/><Relationship Id="rId116" Type="http://schemas.openxmlformats.org/officeDocument/2006/relationships/hyperlink" Target="http://www.planalto.gov.br/ccivil_03/_Ato2015-2018/2015/Lei/L13137.htm" TargetMode="External"/><Relationship Id="rId137" Type="http://schemas.openxmlformats.org/officeDocument/2006/relationships/hyperlink" Target="http://www.planalto.gov.br/ccivil_03/_Ato2015-2018/2015/Lei/L13097.htm" TargetMode="External"/><Relationship Id="rId158" Type="http://schemas.openxmlformats.org/officeDocument/2006/relationships/hyperlink" Target="http://www.planalto.gov.br/ccivil_03/_Ato2019-2022/2019/Mpv/mpv902.htm" TargetMode="External"/><Relationship Id="rId20" Type="http://schemas.microsoft.com/office/2016/09/relationships/commentsIds" Target="commentsIds.xml"/><Relationship Id="rId41" Type="http://schemas.openxmlformats.org/officeDocument/2006/relationships/hyperlink" Target="https://www.planalto.gov.br/ccivil_03/leis/2003/L10.833.htm" TargetMode="External"/><Relationship Id="rId62" Type="http://schemas.openxmlformats.org/officeDocument/2006/relationships/hyperlink" Target="http://www.planalto.gov.br/ccivil_03/LEIS/L8167.htm" TargetMode="External"/><Relationship Id="rId83" Type="http://schemas.openxmlformats.org/officeDocument/2006/relationships/hyperlink" Target="http://www.planalto.gov.br/ccivil_03/_ato2011-2014/2013/Lei/L12859.htm" TargetMode="External"/><Relationship Id="rId179" Type="http://schemas.openxmlformats.org/officeDocument/2006/relationships/hyperlink" Target="http://www.planalto.gov.br/ccivil_03/_Ato2019-2022/2019/Mpv/mpv902.htm" TargetMode="External"/><Relationship Id="rId190" Type="http://schemas.openxmlformats.org/officeDocument/2006/relationships/hyperlink" Target="http://www.planalto.gov.br/ccivil_03/_Ato2019-2022/2019/Mpv/mpv902.htm" TargetMode="External"/><Relationship Id="rId204" Type="http://schemas.openxmlformats.org/officeDocument/2006/relationships/hyperlink" Target="http://www.planalto.gov.br/ccivil_03/LEIS/L9718.htm" TargetMode="External"/><Relationship Id="rId225" Type="http://schemas.openxmlformats.org/officeDocument/2006/relationships/hyperlink" Target="http://www.planalto.gov.br/ccivil_03/_Ato2011-2014/2011/Lei/L12546.htm" TargetMode="External"/><Relationship Id="rId246" Type="http://schemas.openxmlformats.org/officeDocument/2006/relationships/hyperlink" Target="http://www.planalto.gov.br/ccivil_03/decreto/1996/D1936.htm" TargetMode="External"/><Relationship Id="rId106" Type="http://schemas.openxmlformats.org/officeDocument/2006/relationships/hyperlink" Target="http://www.planalto.gov.br/ccivil_03/_Ato2019-2022/2020/Congresso/adc-25-mpv902.htm" TargetMode="External"/><Relationship Id="rId127" Type="http://schemas.openxmlformats.org/officeDocument/2006/relationships/hyperlink" Target="http://www.planalto.gov.br/ccivil_03/_Ato2019-2022/2019/Mpv/mpv902.htm" TargetMode="External"/><Relationship Id="rId10" Type="http://schemas.openxmlformats.org/officeDocument/2006/relationships/endnotes" Target="endnotes.xml"/><Relationship Id="rId31" Type="http://schemas.openxmlformats.org/officeDocument/2006/relationships/hyperlink" Target="https://www.planalto.gov.br/ccivil_03/MPV/2158-35.htm" TargetMode="External"/><Relationship Id="rId52" Type="http://schemas.openxmlformats.org/officeDocument/2006/relationships/hyperlink" Target="https://www.planalto.gov.br/ccivil_03/MPV/2158-35.htm" TargetMode="External"/><Relationship Id="rId73" Type="http://schemas.openxmlformats.org/officeDocument/2006/relationships/hyperlink" Target="http://www.planalto.gov.br/ccivil_03/_ato2011-2014/2011/Lei/L12546.htm" TargetMode="External"/><Relationship Id="rId94" Type="http://schemas.openxmlformats.org/officeDocument/2006/relationships/hyperlink" Target="http://www.planalto.gov.br/ccivil_03/LEIS/L9818.htm" TargetMode="External"/><Relationship Id="rId148" Type="http://schemas.openxmlformats.org/officeDocument/2006/relationships/hyperlink" Target="http://www.planalto.gov.br/ccivil_03/_Ato2019-2022/2019/Mpv/mpv902.htm" TargetMode="External"/><Relationship Id="rId169" Type="http://schemas.openxmlformats.org/officeDocument/2006/relationships/hyperlink" Target="http://www.planalto.gov.br/ccivil_03/_Ato2019-2022/2019/Mpv/mpv902.htm" TargetMode="External"/><Relationship Id="rId4" Type="http://schemas.openxmlformats.org/officeDocument/2006/relationships/customXml" Target="../customXml/item4.xml"/><Relationship Id="rId180" Type="http://schemas.openxmlformats.org/officeDocument/2006/relationships/hyperlink" Target="http://www.planalto.gov.br/ccivil_03/_Ato2019-2022/2019/Mpv/mpv902.htm" TargetMode="External"/><Relationship Id="rId215" Type="http://schemas.openxmlformats.org/officeDocument/2006/relationships/hyperlink" Target="http://www.planalto.gov.br/ccivil_03/_Ato2004-2006/2005/Lei/L11196.htm" TargetMode="External"/><Relationship Id="rId236" Type="http://schemas.openxmlformats.org/officeDocument/2006/relationships/hyperlink" Target="https://pesquisa.in.gov.br/imprensa/jsp/visualiza/index.jsp?jornal=1&amp;pagina=1&amp;data=19/12/1994" TargetMode="External"/><Relationship Id="rId257"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B62F95-24ED-4533-9CC7-2BE5445D9EDF}" type="doc">
      <dgm:prSet loTypeId="urn:microsoft.com/office/officeart/2005/8/layout/chevron2" loCatId="list" qsTypeId="urn:microsoft.com/office/officeart/2005/8/quickstyle/simple1" qsCatId="simple" csTypeId="urn:microsoft.com/office/officeart/2005/8/colors/colorful3" csCatId="colorful" phldr="1"/>
      <dgm:spPr/>
      <dgm:t>
        <a:bodyPr/>
        <a:lstStyle/>
        <a:p>
          <a:endParaRPr lang="pt-BR"/>
        </a:p>
      </dgm:t>
    </dgm:pt>
    <dgm:pt modelId="{1BC9371E-3299-4E0C-AF20-3B4D6027684C}">
      <dgm:prSet phldrT="[Texto]" custT="1"/>
      <dgm:spPr/>
      <dgm:t>
        <a:bodyPr/>
        <a:lstStyle/>
        <a:p>
          <a:r>
            <a:rPr lang="pt-BR" sz="1200" b="1">
              <a:latin typeface="Garamond" panose="02020404030301010803" pitchFamily="18" charset="0"/>
            </a:rPr>
            <a:t>Parte A - Normas Gerais de Defesa Comercial</a:t>
          </a:r>
        </a:p>
      </dgm:t>
    </dgm:pt>
    <dgm:pt modelId="{1AB4EA5D-4744-4049-A8C0-2B1F82C5EEA6}" type="parTrans" cxnId="{C55FFEDB-A6B0-4EA1-9B0E-F97DDC918536}">
      <dgm:prSet/>
      <dgm:spPr/>
      <dgm:t>
        <a:bodyPr/>
        <a:lstStyle/>
        <a:p>
          <a:endParaRPr lang="pt-BR"/>
        </a:p>
      </dgm:t>
    </dgm:pt>
    <dgm:pt modelId="{7DA1C6D1-FDAA-45DA-A8A8-9E6A16150FAA}" type="sibTrans" cxnId="{C55FFEDB-A6B0-4EA1-9B0E-F97DDC918536}">
      <dgm:prSet/>
      <dgm:spPr/>
      <dgm:t>
        <a:bodyPr/>
        <a:lstStyle/>
        <a:p>
          <a:endParaRPr lang="pt-BR"/>
        </a:p>
      </dgm:t>
    </dgm:pt>
    <dgm:pt modelId="{7E357698-C258-4711-8F95-5B76824A3915}">
      <dgm:prSet phldrT="[Texto]" custT="1"/>
      <dgm:spPr/>
      <dgm:t>
        <a:bodyPr/>
        <a:lstStyle/>
        <a:p>
          <a:r>
            <a:rPr lang="pt-BR" sz="1200" b="0">
              <a:latin typeface="Garamond" panose="02020404030301010803" pitchFamily="18" charset="0"/>
            </a:rPr>
            <a:t>Decreto legislativo nº 30, de 15 de dezembro de 1994</a:t>
          </a:r>
        </a:p>
      </dgm:t>
    </dgm:pt>
    <dgm:pt modelId="{4D51EDCB-99F4-47D9-9EE3-13F6F5177BE2}" type="parTrans" cxnId="{50078DE8-37C2-427A-890A-C2DDE34F1406}">
      <dgm:prSet/>
      <dgm:spPr/>
      <dgm:t>
        <a:bodyPr/>
        <a:lstStyle/>
        <a:p>
          <a:endParaRPr lang="pt-BR"/>
        </a:p>
      </dgm:t>
    </dgm:pt>
    <dgm:pt modelId="{AC10016A-038E-42B3-BB59-97D64F59DA30}" type="sibTrans" cxnId="{50078DE8-37C2-427A-890A-C2DDE34F1406}">
      <dgm:prSet/>
      <dgm:spPr/>
      <dgm:t>
        <a:bodyPr/>
        <a:lstStyle/>
        <a:p>
          <a:endParaRPr lang="pt-BR"/>
        </a:p>
      </dgm:t>
    </dgm:pt>
    <dgm:pt modelId="{D18E773D-1246-46C5-997E-D6FFBEBED077}">
      <dgm:prSet phldrT="[Texto]" custT="1"/>
      <dgm:spPr/>
      <dgm:t>
        <a:bodyPr/>
        <a:lstStyle/>
        <a:p>
          <a:r>
            <a:rPr lang="pt-BR" sz="1200" b="0">
              <a:latin typeface="Garamond" panose="02020404030301010803" pitchFamily="18" charset="0"/>
            </a:rPr>
            <a:t>Lei nº 9.019, de 30 de março de 1995</a:t>
          </a:r>
        </a:p>
      </dgm:t>
    </dgm:pt>
    <dgm:pt modelId="{0E6D5756-2A97-4045-BA42-E8923767BB1A}" type="parTrans" cxnId="{D0C7C5B2-DB76-4725-8E4C-2D96E1D5887E}">
      <dgm:prSet/>
      <dgm:spPr/>
      <dgm:t>
        <a:bodyPr/>
        <a:lstStyle/>
        <a:p>
          <a:endParaRPr lang="pt-BR"/>
        </a:p>
      </dgm:t>
    </dgm:pt>
    <dgm:pt modelId="{805DE55C-7824-4AD5-A25C-149EB16B24AE}" type="sibTrans" cxnId="{D0C7C5B2-DB76-4725-8E4C-2D96E1D5887E}">
      <dgm:prSet/>
      <dgm:spPr/>
      <dgm:t>
        <a:bodyPr/>
        <a:lstStyle/>
        <a:p>
          <a:endParaRPr lang="pt-BR"/>
        </a:p>
      </dgm:t>
    </dgm:pt>
    <dgm:pt modelId="{984D3EBA-DF7A-434C-AAE3-B37BC9222FB9}">
      <dgm:prSet phldrT="[Texto]" custT="1"/>
      <dgm:spPr/>
      <dgm:t>
        <a:bodyPr/>
        <a:lstStyle/>
        <a:p>
          <a:pPr>
            <a:buFont typeface="Symbol" panose="05050102010706020507" pitchFamily="18" charset="2"/>
            <a:buChar char=""/>
          </a:pPr>
          <a:r>
            <a:rPr lang="pt-BR" sz="1200" b="1">
              <a:latin typeface="Garamond" panose="02020404030301010803" pitchFamily="18" charset="0"/>
            </a:rPr>
            <a:t>Parte B – Normas específicas de Antidumping</a:t>
          </a:r>
        </a:p>
      </dgm:t>
    </dgm:pt>
    <dgm:pt modelId="{F07E3F74-1F42-4573-8ECC-122DBA90AB82}" type="parTrans" cxnId="{61A6A1E9-9C9A-4DF7-A23E-07F5EAD4BE81}">
      <dgm:prSet/>
      <dgm:spPr/>
      <dgm:t>
        <a:bodyPr/>
        <a:lstStyle/>
        <a:p>
          <a:endParaRPr lang="pt-BR"/>
        </a:p>
      </dgm:t>
    </dgm:pt>
    <dgm:pt modelId="{71F3CA72-FB6C-4AFA-996F-9C2986E1B85B}" type="sibTrans" cxnId="{61A6A1E9-9C9A-4DF7-A23E-07F5EAD4BE81}">
      <dgm:prSet/>
      <dgm:spPr/>
      <dgm:t>
        <a:bodyPr/>
        <a:lstStyle/>
        <a:p>
          <a:endParaRPr lang="pt-BR"/>
        </a:p>
      </dgm:t>
    </dgm:pt>
    <dgm:pt modelId="{4DBCAA14-25C8-4892-B591-71942FC487A7}">
      <dgm:prSet phldrT="[Texto]" custT="1"/>
      <dgm:spPr/>
      <dgm:t>
        <a:bodyPr/>
        <a:lstStyle/>
        <a:p>
          <a:r>
            <a:rPr lang="pt-BR" sz="1200" b="0">
              <a:latin typeface="Garamond" panose="02020404030301010803" pitchFamily="18" charset="0"/>
            </a:rPr>
            <a:t>Acordo sobre a implementação do artigo VI do acordo geral sobre tarifas e comércio 1994 – Acordo Antidumping</a:t>
          </a:r>
        </a:p>
      </dgm:t>
    </dgm:pt>
    <dgm:pt modelId="{BB8944AE-24F5-43E4-ACCB-CDF7F97D1196}" type="parTrans" cxnId="{2797B620-CB36-4F59-9980-B582C86A9F04}">
      <dgm:prSet/>
      <dgm:spPr/>
      <dgm:t>
        <a:bodyPr/>
        <a:lstStyle/>
        <a:p>
          <a:endParaRPr lang="pt-BR"/>
        </a:p>
      </dgm:t>
    </dgm:pt>
    <dgm:pt modelId="{F54C2923-38CF-4399-A3D1-0A4324EF1C2F}" type="sibTrans" cxnId="{2797B620-CB36-4F59-9980-B582C86A9F04}">
      <dgm:prSet/>
      <dgm:spPr/>
      <dgm:t>
        <a:bodyPr/>
        <a:lstStyle/>
        <a:p>
          <a:endParaRPr lang="pt-BR"/>
        </a:p>
      </dgm:t>
    </dgm:pt>
    <dgm:pt modelId="{4878CD62-1603-48BF-9586-A1DD1EE9E868}">
      <dgm:prSet phldrT="[Texto]" custT="1"/>
      <dgm:spPr/>
      <dgm:t>
        <a:bodyPr/>
        <a:lstStyle/>
        <a:p>
          <a:r>
            <a:rPr lang="pt-BR" sz="1200" b="0">
              <a:latin typeface="Garamond" panose="02020404030301010803" pitchFamily="18" charset="0"/>
            </a:rPr>
            <a:t>Decreto n° 8.058, de 26 de julho de 2013</a:t>
          </a:r>
        </a:p>
      </dgm:t>
    </dgm:pt>
    <dgm:pt modelId="{80D2D60A-E070-42A9-A589-7B6BAA4FB263}" type="parTrans" cxnId="{2F5B76D1-5C74-4774-9EF5-4422F947B8C8}">
      <dgm:prSet/>
      <dgm:spPr/>
      <dgm:t>
        <a:bodyPr/>
        <a:lstStyle/>
        <a:p>
          <a:endParaRPr lang="pt-BR"/>
        </a:p>
      </dgm:t>
    </dgm:pt>
    <dgm:pt modelId="{74C19651-5E2E-4885-BDA0-064BC3697FBE}" type="sibTrans" cxnId="{2F5B76D1-5C74-4774-9EF5-4422F947B8C8}">
      <dgm:prSet/>
      <dgm:spPr/>
      <dgm:t>
        <a:bodyPr/>
        <a:lstStyle/>
        <a:p>
          <a:endParaRPr lang="pt-BR"/>
        </a:p>
      </dgm:t>
    </dgm:pt>
    <dgm:pt modelId="{31A7EA62-4EE7-491A-A5A6-F417552BEFF6}">
      <dgm:prSet phldrT="[Texto]" custT="1"/>
      <dgm:spPr/>
      <dgm:t>
        <a:bodyPr/>
        <a:lstStyle/>
        <a:p>
          <a:pPr>
            <a:buFont typeface="Symbol" panose="05050102010706020507" pitchFamily="18" charset="2"/>
            <a:buChar char=""/>
          </a:pPr>
          <a:r>
            <a:rPr lang="pt-BR" sz="1200" b="1">
              <a:latin typeface="Garamond" panose="02020404030301010803" pitchFamily="18" charset="0"/>
            </a:rPr>
            <a:t>Parte C – Normas específicas de Subsídios e Medidas Compensatórias</a:t>
          </a:r>
        </a:p>
      </dgm:t>
    </dgm:pt>
    <dgm:pt modelId="{D65F60D2-D1C7-429B-B016-BFFBAC7AF046}" type="parTrans" cxnId="{B10D5786-8AA0-4213-9F93-72F2633AE4D3}">
      <dgm:prSet/>
      <dgm:spPr/>
      <dgm:t>
        <a:bodyPr/>
        <a:lstStyle/>
        <a:p>
          <a:endParaRPr lang="pt-BR"/>
        </a:p>
      </dgm:t>
    </dgm:pt>
    <dgm:pt modelId="{ADE17595-888B-4BAC-8A91-2CEFF13ED402}" type="sibTrans" cxnId="{B10D5786-8AA0-4213-9F93-72F2633AE4D3}">
      <dgm:prSet/>
      <dgm:spPr/>
      <dgm:t>
        <a:bodyPr/>
        <a:lstStyle/>
        <a:p>
          <a:endParaRPr lang="pt-BR"/>
        </a:p>
      </dgm:t>
    </dgm:pt>
    <dgm:pt modelId="{352F60D1-7879-41F9-A046-C29053415220}">
      <dgm:prSet phldrT="[Texto]" custT="1"/>
      <dgm:spPr/>
      <dgm:t>
        <a:bodyPr/>
        <a:lstStyle/>
        <a:p>
          <a:r>
            <a:rPr lang="pt-BR" sz="1200" b="0">
              <a:latin typeface="Garamond" panose="02020404030301010803" pitchFamily="18" charset="0"/>
            </a:rPr>
            <a:t>Acordo sobre Subsídios e Medidas Compensatórias</a:t>
          </a:r>
        </a:p>
      </dgm:t>
    </dgm:pt>
    <dgm:pt modelId="{5316A269-9D74-48A0-B5C5-AE2ED14DA205}" type="parTrans" cxnId="{0CD33FEA-F5DB-40FC-802B-C38B3EC6B7E1}">
      <dgm:prSet/>
      <dgm:spPr/>
      <dgm:t>
        <a:bodyPr/>
        <a:lstStyle/>
        <a:p>
          <a:endParaRPr lang="pt-BR"/>
        </a:p>
      </dgm:t>
    </dgm:pt>
    <dgm:pt modelId="{977E1C3F-7355-4AFC-B237-257AC277FD09}" type="sibTrans" cxnId="{0CD33FEA-F5DB-40FC-802B-C38B3EC6B7E1}">
      <dgm:prSet/>
      <dgm:spPr/>
      <dgm:t>
        <a:bodyPr/>
        <a:lstStyle/>
        <a:p>
          <a:endParaRPr lang="pt-BR"/>
        </a:p>
      </dgm:t>
    </dgm:pt>
    <dgm:pt modelId="{DB9CF367-B546-4E06-82CC-D5B720BF54FD}">
      <dgm:prSet phldrT="[Texto]" custT="1"/>
      <dgm:spPr/>
      <dgm:t>
        <a:bodyPr/>
        <a:lstStyle/>
        <a:p>
          <a:r>
            <a:rPr lang="pt-BR" sz="1200" b="0">
              <a:latin typeface="Garamond" panose="02020404030301010803" pitchFamily="18" charset="0"/>
            </a:rPr>
            <a:t>Decreto nº 10.839, de 18 de outubro de 2021</a:t>
          </a:r>
        </a:p>
      </dgm:t>
    </dgm:pt>
    <dgm:pt modelId="{EB1EE445-7DF8-4F0A-81DF-9ED5DF7D0F94}" type="parTrans" cxnId="{9CAB3739-9FFE-42BF-BAAF-D59DA9412E93}">
      <dgm:prSet/>
      <dgm:spPr/>
      <dgm:t>
        <a:bodyPr/>
        <a:lstStyle/>
        <a:p>
          <a:endParaRPr lang="pt-BR"/>
        </a:p>
      </dgm:t>
    </dgm:pt>
    <dgm:pt modelId="{79240EEC-51E1-4099-B81F-9B4EB13F2970}" type="sibTrans" cxnId="{9CAB3739-9FFE-42BF-BAAF-D59DA9412E93}">
      <dgm:prSet/>
      <dgm:spPr/>
      <dgm:t>
        <a:bodyPr/>
        <a:lstStyle/>
        <a:p>
          <a:endParaRPr lang="pt-BR"/>
        </a:p>
      </dgm:t>
    </dgm:pt>
    <dgm:pt modelId="{72F75827-16F1-415E-A8CC-B7E85CC433CA}">
      <dgm:prSet custT="1"/>
      <dgm:spPr/>
      <dgm:t>
        <a:bodyPr/>
        <a:lstStyle/>
        <a:p>
          <a:pPr>
            <a:buFont typeface="Symbol" panose="05050102010706020507" pitchFamily="18" charset="2"/>
            <a:buChar char=""/>
          </a:pPr>
          <a:r>
            <a:rPr lang="pt-BR" sz="1200" b="1">
              <a:latin typeface="Garamond" panose="02020404030301010803" pitchFamily="18" charset="0"/>
            </a:rPr>
            <a:t>Parte D – Normas específicas de Salvaguardas</a:t>
          </a:r>
        </a:p>
      </dgm:t>
    </dgm:pt>
    <dgm:pt modelId="{991C8569-FBE2-4D5B-840A-4AC0BB5F5759}" type="parTrans" cxnId="{31599769-205D-4E67-9F07-8596DF03BE21}">
      <dgm:prSet/>
      <dgm:spPr/>
      <dgm:t>
        <a:bodyPr/>
        <a:lstStyle/>
        <a:p>
          <a:endParaRPr lang="pt-BR"/>
        </a:p>
      </dgm:t>
    </dgm:pt>
    <dgm:pt modelId="{1D9D48A4-E379-4C9C-98EB-66144CFAAB9E}" type="sibTrans" cxnId="{31599769-205D-4E67-9F07-8596DF03BE21}">
      <dgm:prSet/>
      <dgm:spPr/>
      <dgm:t>
        <a:bodyPr/>
        <a:lstStyle/>
        <a:p>
          <a:endParaRPr lang="pt-BR"/>
        </a:p>
      </dgm:t>
    </dgm:pt>
    <dgm:pt modelId="{FB5C6943-41DC-4CB1-8AE6-763BDE387BC5}">
      <dgm:prSet custT="1"/>
      <dgm:spPr/>
      <dgm:t>
        <a:bodyPr/>
        <a:lstStyle/>
        <a:p>
          <a:pPr>
            <a:buFont typeface="Symbol" panose="05050102010706020507" pitchFamily="18" charset="2"/>
            <a:buChar char=""/>
          </a:pPr>
          <a:r>
            <a:rPr lang="pt-BR" sz="1200" b="1">
              <a:latin typeface="Garamond" panose="02020404030301010803" pitchFamily="18" charset="0"/>
            </a:rPr>
            <a:t>Parte E – Normas gerais de Interesse Público</a:t>
          </a:r>
        </a:p>
      </dgm:t>
    </dgm:pt>
    <dgm:pt modelId="{C7991AAF-4E86-4FA7-8097-0AEA4EBF9191}" type="parTrans" cxnId="{849888E8-58EA-4D55-AE26-FA54E691205F}">
      <dgm:prSet/>
      <dgm:spPr/>
      <dgm:t>
        <a:bodyPr/>
        <a:lstStyle/>
        <a:p>
          <a:endParaRPr lang="pt-BR"/>
        </a:p>
      </dgm:t>
    </dgm:pt>
    <dgm:pt modelId="{84AEC95D-A5E6-4DA7-9D83-131929CB5B9E}" type="sibTrans" cxnId="{849888E8-58EA-4D55-AE26-FA54E691205F}">
      <dgm:prSet/>
      <dgm:spPr/>
      <dgm:t>
        <a:bodyPr/>
        <a:lstStyle/>
        <a:p>
          <a:endParaRPr lang="pt-BR"/>
        </a:p>
      </dgm:t>
    </dgm:pt>
    <dgm:pt modelId="{C6941935-5075-4596-9402-9B0A552A2A8A}">
      <dgm:prSet phldrT="[Texto]" custT="1"/>
      <dgm:spPr/>
      <dgm:t>
        <a:bodyPr/>
        <a:lstStyle/>
        <a:p>
          <a:r>
            <a:rPr lang="pt-BR" sz="1200" b="0">
              <a:latin typeface="Garamond" panose="02020404030301010803" pitchFamily="18" charset="0"/>
            </a:rPr>
            <a:t>Lei nº 12.995, de 18 de junho de 2014</a:t>
          </a:r>
        </a:p>
      </dgm:t>
    </dgm:pt>
    <dgm:pt modelId="{3A7E8F6A-BA92-4444-8EC0-F3C5A7F7FB63}" type="parTrans" cxnId="{3664E520-9FDD-4C93-80C5-7E1895650B4E}">
      <dgm:prSet/>
      <dgm:spPr/>
      <dgm:t>
        <a:bodyPr/>
        <a:lstStyle/>
        <a:p>
          <a:endParaRPr lang="pt-BR"/>
        </a:p>
      </dgm:t>
    </dgm:pt>
    <dgm:pt modelId="{1DDC1DFF-C5FA-465F-9723-A09DBBB03299}" type="sibTrans" cxnId="{3664E520-9FDD-4C93-80C5-7E1895650B4E}">
      <dgm:prSet/>
      <dgm:spPr/>
      <dgm:t>
        <a:bodyPr/>
        <a:lstStyle/>
        <a:p>
          <a:endParaRPr lang="pt-BR"/>
        </a:p>
      </dgm:t>
    </dgm:pt>
    <dgm:pt modelId="{A45743EC-243E-41A2-AA52-13F08C47B92A}">
      <dgm:prSet phldrT="[Texto]" custT="1"/>
      <dgm:spPr/>
      <dgm:t>
        <a:bodyPr/>
        <a:lstStyle/>
        <a:p>
          <a:r>
            <a:rPr lang="pt-BR" sz="1200" b="0">
              <a:latin typeface="Garamond" panose="02020404030301010803" pitchFamily="18" charset="0"/>
            </a:rPr>
            <a:t>Decreto nº 9.107, de 26 de julho de 2017	</a:t>
          </a:r>
        </a:p>
      </dgm:t>
    </dgm:pt>
    <dgm:pt modelId="{B54CD544-062C-4D12-A3AA-74C3A4319A09}" type="parTrans" cxnId="{0C829B5F-77B1-4073-B315-6A1C92D72A19}">
      <dgm:prSet/>
      <dgm:spPr/>
      <dgm:t>
        <a:bodyPr/>
        <a:lstStyle/>
        <a:p>
          <a:endParaRPr lang="pt-BR"/>
        </a:p>
      </dgm:t>
    </dgm:pt>
    <dgm:pt modelId="{EDB6613A-38ED-4B40-9F7E-12BE3728B6E1}" type="sibTrans" cxnId="{0C829B5F-77B1-4073-B315-6A1C92D72A19}">
      <dgm:prSet/>
      <dgm:spPr/>
      <dgm:t>
        <a:bodyPr/>
        <a:lstStyle/>
        <a:p>
          <a:endParaRPr lang="pt-BR"/>
        </a:p>
      </dgm:t>
    </dgm:pt>
    <dgm:pt modelId="{81D0D38F-FF20-4452-A9DD-690EB066BE58}">
      <dgm:prSet phldrT="[Texto]" custT="1"/>
      <dgm:spPr/>
      <dgm:t>
        <a:bodyPr/>
        <a:lstStyle/>
        <a:p>
          <a:r>
            <a:rPr lang="pt-BR" sz="1200" b="0">
              <a:latin typeface="Garamond" panose="02020404030301010803" pitchFamily="18" charset="0"/>
            </a:rPr>
            <a:t>Portaria SECEX nº 162, de 6 de janeiro de 2022</a:t>
          </a:r>
        </a:p>
      </dgm:t>
    </dgm:pt>
    <dgm:pt modelId="{8BFAC406-F39B-4F8A-B4C9-51AA5CF2EE4C}" type="parTrans" cxnId="{D3C66A13-D8B1-481D-B1EC-8820A13C6684}">
      <dgm:prSet/>
      <dgm:spPr/>
      <dgm:t>
        <a:bodyPr/>
        <a:lstStyle/>
        <a:p>
          <a:endParaRPr lang="pt-BR"/>
        </a:p>
      </dgm:t>
    </dgm:pt>
    <dgm:pt modelId="{2FE5EEDB-6630-4687-9379-28B89AE7B375}" type="sibTrans" cxnId="{D3C66A13-D8B1-481D-B1EC-8820A13C6684}">
      <dgm:prSet/>
      <dgm:spPr/>
      <dgm:t>
        <a:bodyPr/>
        <a:lstStyle/>
        <a:p>
          <a:endParaRPr lang="pt-BR"/>
        </a:p>
      </dgm:t>
    </dgm:pt>
    <dgm:pt modelId="{69B32C62-1934-4417-B5BD-E2692A59A784}">
      <dgm:prSet phldrT="[Texto]" custT="1"/>
      <dgm:spPr/>
      <dgm:t>
        <a:bodyPr/>
        <a:lstStyle/>
        <a:p>
          <a:r>
            <a:rPr lang="pt-BR" sz="1200" b="0">
              <a:latin typeface="Garamond" panose="02020404030301010803" pitchFamily="18" charset="0"/>
            </a:rPr>
            <a:t>Lei n° 12.546, de 14 de dezembro de 2011 (Artigo 43)</a:t>
          </a:r>
        </a:p>
      </dgm:t>
    </dgm:pt>
    <dgm:pt modelId="{390A56BD-F8A3-4015-9D29-D539897BB981}" type="parTrans" cxnId="{2E6FC684-7281-43B5-A924-CC6A6BED3AE4}">
      <dgm:prSet/>
      <dgm:spPr/>
      <dgm:t>
        <a:bodyPr/>
        <a:lstStyle/>
        <a:p>
          <a:endParaRPr lang="pt-BR"/>
        </a:p>
      </dgm:t>
    </dgm:pt>
    <dgm:pt modelId="{9FA045A7-EC07-4138-91AF-221DF9925759}" type="sibTrans" cxnId="{2E6FC684-7281-43B5-A924-CC6A6BED3AE4}">
      <dgm:prSet/>
      <dgm:spPr/>
      <dgm:t>
        <a:bodyPr/>
        <a:lstStyle/>
        <a:p>
          <a:endParaRPr lang="pt-BR"/>
        </a:p>
      </dgm:t>
    </dgm:pt>
    <dgm:pt modelId="{F041C8BB-8FA7-46CE-B5D5-356FE8F4ED6C}">
      <dgm:prSet phldrT="[Texto]" custT="1"/>
      <dgm:spPr/>
      <dgm:t>
        <a:bodyPr/>
        <a:lstStyle/>
        <a:p>
          <a:r>
            <a:rPr lang="pt-BR" sz="1200" b="0">
              <a:latin typeface="Garamond" panose="02020404030301010803" pitchFamily="18" charset="0"/>
            </a:rPr>
            <a:t>Portaria SECEX nº 171, de 9 de fevereiro de 2022</a:t>
          </a:r>
        </a:p>
      </dgm:t>
    </dgm:pt>
    <dgm:pt modelId="{89C4E959-7976-4EFB-9F48-7A89E1715C1D}" type="parTrans" cxnId="{09CE0D1E-0AB7-4C6F-A374-E8EBCC76991D}">
      <dgm:prSet/>
      <dgm:spPr/>
      <dgm:t>
        <a:bodyPr/>
        <a:lstStyle/>
        <a:p>
          <a:endParaRPr lang="pt-BR"/>
        </a:p>
      </dgm:t>
    </dgm:pt>
    <dgm:pt modelId="{29C5F583-81AA-4577-8B12-AD485A94E405}" type="sibTrans" cxnId="{09CE0D1E-0AB7-4C6F-A374-E8EBCC76991D}">
      <dgm:prSet/>
      <dgm:spPr/>
      <dgm:t>
        <a:bodyPr/>
        <a:lstStyle/>
        <a:p>
          <a:endParaRPr lang="pt-BR"/>
        </a:p>
      </dgm:t>
    </dgm:pt>
    <dgm:pt modelId="{3B70C814-E601-4206-906A-470457514B82}">
      <dgm:prSet phldrT="[Texto]" custT="1"/>
      <dgm:spPr/>
      <dgm:t>
        <a:bodyPr/>
        <a:lstStyle/>
        <a:p>
          <a:r>
            <a:rPr lang="pt-BR" sz="1200" b="0">
              <a:latin typeface="Garamond" panose="02020404030301010803" pitchFamily="18" charset="0"/>
            </a:rPr>
            <a:t>Portaria SECEX nº 172, de 15 de fevereiro de 2022</a:t>
          </a:r>
        </a:p>
      </dgm:t>
    </dgm:pt>
    <dgm:pt modelId="{0B5E3E88-E473-4D68-AA70-092A2046679B}" type="parTrans" cxnId="{9053F409-5D47-44E6-BCDE-8D02CD9B86EA}">
      <dgm:prSet/>
      <dgm:spPr/>
      <dgm:t>
        <a:bodyPr/>
        <a:lstStyle/>
        <a:p>
          <a:endParaRPr lang="pt-BR"/>
        </a:p>
      </dgm:t>
    </dgm:pt>
    <dgm:pt modelId="{30B75EE9-1CC9-4470-ADFE-3CA445DF53EF}" type="sibTrans" cxnId="{9053F409-5D47-44E6-BCDE-8D02CD9B86EA}">
      <dgm:prSet/>
      <dgm:spPr/>
      <dgm:t>
        <a:bodyPr/>
        <a:lstStyle/>
        <a:p>
          <a:endParaRPr lang="pt-BR"/>
        </a:p>
      </dgm:t>
    </dgm:pt>
    <dgm:pt modelId="{E92FB798-0A9F-4FF3-A7C2-2B2FF7D0B102}">
      <dgm:prSet custT="1"/>
      <dgm:spPr/>
      <dgm:t>
        <a:bodyPr/>
        <a:lstStyle/>
        <a:p>
          <a:r>
            <a:rPr lang="pt-BR" sz="1200" b="0">
              <a:latin typeface="Garamond" panose="02020404030301010803" pitchFamily="18" charset="0"/>
            </a:rPr>
            <a:t>Acordo de Salvaguarda</a:t>
          </a:r>
        </a:p>
      </dgm:t>
    </dgm:pt>
    <dgm:pt modelId="{B8B3DE46-B266-45B0-8134-060B608C61CA}" type="parTrans" cxnId="{4D6FF671-4F7A-4CED-9F7D-5BBAE12E515D}">
      <dgm:prSet/>
      <dgm:spPr/>
      <dgm:t>
        <a:bodyPr/>
        <a:lstStyle/>
        <a:p>
          <a:endParaRPr lang="pt-BR"/>
        </a:p>
      </dgm:t>
    </dgm:pt>
    <dgm:pt modelId="{4D435227-C05E-4262-996A-42C0726A3942}" type="sibTrans" cxnId="{4D6FF671-4F7A-4CED-9F7D-5BBAE12E515D}">
      <dgm:prSet/>
      <dgm:spPr/>
      <dgm:t>
        <a:bodyPr/>
        <a:lstStyle/>
        <a:p>
          <a:endParaRPr lang="pt-BR"/>
        </a:p>
      </dgm:t>
    </dgm:pt>
    <dgm:pt modelId="{0C55AE3F-0CA4-40CD-B8DA-853831D2ED08}">
      <dgm:prSet custT="1"/>
      <dgm:spPr/>
      <dgm:t>
        <a:bodyPr/>
        <a:lstStyle/>
        <a:p>
          <a:r>
            <a:rPr lang="pt-BR" sz="1200" b="0">
              <a:latin typeface="Garamond" panose="02020404030301010803" pitchFamily="18" charset="0"/>
            </a:rPr>
            <a:t>Decreto nº 1.488, de 11 de maio de 1995</a:t>
          </a:r>
        </a:p>
      </dgm:t>
    </dgm:pt>
    <dgm:pt modelId="{7D13FC9D-0779-4BA8-8CD0-F5F72A8BC779}" type="parTrans" cxnId="{65D2AB3A-C859-40A5-B85E-4EEBEB8E3DC7}">
      <dgm:prSet/>
      <dgm:spPr/>
      <dgm:t>
        <a:bodyPr/>
        <a:lstStyle/>
        <a:p>
          <a:endParaRPr lang="pt-BR"/>
        </a:p>
      </dgm:t>
    </dgm:pt>
    <dgm:pt modelId="{8DA3A3FA-BC96-43E2-BB0E-6B2EF05DE457}" type="sibTrans" cxnId="{65D2AB3A-C859-40A5-B85E-4EEBEB8E3DC7}">
      <dgm:prSet/>
      <dgm:spPr/>
      <dgm:t>
        <a:bodyPr/>
        <a:lstStyle/>
        <a:p>
          <a:endParaRPr lang="pt-BR"/>
        </a:p>
      </dgm:t>
    </dgm:pt>
    <dgm:pt modelId="{FD6C454C-6E6A-47B2-BADD-08E6D410D7F8}">
      <dgm:prSet custT="1"/>
      <dgm:spPr/>
      <dgm:t>
        <a:bodyPr/>
        <a:lstStyle/>
        <a:p>
          <a:r>
            <a:rPr lang="pt-BR" sz="1200" b="0">
              <a:latin typeface="Garamond" panose="02020404030301010803" pitchFamily="18" charset="0"/>
            </a:rPr>
            <a:t>Decreto nº 1.936, de 20 de junho de 1996</a:t>
          </a:r>
        </a:p>
      </dgm:t>
    </dgm:pt>
    <dgm:pt modelId="{3050B514-3E32-463C-ABD5-9D7691924CFB}" type="parTrans" cxnId="{58294F63-934A-43D1-95F2-7706D99496EF}">
      <dgm:prSet/>
      <dgm:spPr/>
      <dgm:t>
        <a:bodyPr/>
        <a:lstStyle/>
        <a:p>
          <a:endParaRPr lang="pt-BR"/>
        </a:p>
      </dgm:t>
    </dgm:pt>
    <dgm:pt modelId="{A71327EF-1D61-43E8-A2CD-4CAA235671CD}" type="sibTrans" cxnId="{58294F63-934A-43D1-95F2-7706D99496EF}">
      <dgm:prSet/>
      <dgm:spPr/>
      <dgm:t>
        <a:bodyPr/>
        <a:lstStyle/>
        <a:p>
          <a:endParaRPr lang="pt-BR"/>
        </a:p>
      </dgm:t>
    </dgm:pt>
    <dgm:pt modelId="{239347FC-B3FD-481A-A1CC-B60341C4BA13}">
      <dgm:prSet custT="1"/>
      <dgm:spPr/>
      <dgm:t>
        <a:bodyPr/>
        <a:lstStyle/>
        <a:p>
          <a:r>
            <a:rPr lang="pt-BR" sz="1200" b="0">
              <a:latin typeface="Garamond" panose="02020404030301010803" pitchFamily="18" charset="0"/>
            </a:rPr>
            <a:t>Decreto nº 2.667, de 10 de julho de 1998 (Mercosul)</a:t>
          </a:r>
        </a:p>
      </dgm:t>
    </dgm:pt>
    <dgm:pt modelId="{7FB6C477-6B4F-4370-8EAD-D339B42427BB}" type="parTrans" cxnId="{1899EDE5-7EDC-453E-ADA5-7F6F9BFF4BE3}">
      <dgm:prSet/>
      <dgm:spPr/>
      <dgm:t>
        <a:bodyPr/>
        <a:lstStyle/>
        <a:p>
          <a:endParaRPr lang="pt-BR"/>
        </a:p>
      </dgm:t>
    </dgm:pt>
    <dgm:pt modelId="{147166B2-CEA3-46D4-B07B-AAFB30171C50}" type="sibTrans" cxnId="{1899EDE5-7EDC-453E-ADA5-7F6F9BFF4BE3}">
      <dgm:prSet/>
      <dgm:spPr/>
      <dgm:t>
        <a:bodyPr/>
        <a:lstStyle/>
        <a:p>
          <a:endParaRPr lang="pt-BR"/>
        </a:p>
      </dgm:t>
    </dgm:pt>
    <dgm:pt modelId="{F470097F-9855-40CD-877F-DEC6F4CECBE0}">
      <dgm:prSet custT="1"/>
      <dgm:spPr/>
      <dgm:t>
        <a:bodyPr/>
        <a:lstStyle/>
        <a:p>
          <a:r>
            <a:rPr lang="pt-BR" sz="1200" b="0">
              <a:latin typeface="Garamond" panose="02020404030301010803" pitchFamily="18" charset="0"/>
            </a:rPr>
            <a:t>Portaria SECEX nº 169, de 25 de janeiro de 2022</a:t>
          </a:r>
        </a:p>
      </dgm:t>
    </dgm:pt>
    <dgm:pt modelId="{0E051F8F-0384-4DEE-BCB3-7E723872A553}" type="parTrans" cxnId="{B183FF45-B8F8-40DC-956C-1D8CD9A94DA7}">
      <dgm:prSet/>
      <dgm:spPr/>
      <dgm:t>
        <a:bodyPr/>
        <a:lstStyle/>
        <a:p>
          <a:endParaRPr lang="pt-BR"/>
        </a:p>
      </dgm:t>
    </dgm:pt>
    <dgm:pt modelId="{354C6791-623B-4E4C-8EBB-2F5FCD479B64}" type="sibTrans" cxnId="{B183FF45-B8F8-40DC-956C-1D8CD9A94DA7}">
      <dgm:prSet/>
      <dgm:spPr/>
      <dgm:t>
        <a:bodyPr/>
        <a:lstStyle/>
        <a:p>
          <a:endParaRPr lang="pt-BR"/>
        </a:p>
      </dgm:t>
    </dgm:pt>
    <dgm:pt modelId="{B3564625-37B3-4BA6-9824-3C3537725BFE}">
      <dgm:prSet custT="1"/>
      <dgm:spPr/>
      <dgm:t>
        <a:bodyPr/>
        <a:lstStyle/>
        <a:p>
          <a:r>
            <a:rPr lang="pt-BR" sz="1200" b="0">
              <a:latin typeface="Garamond" panose="02020404030301010803" pitchFamily="18" charset="0"/>
            </a:rPr>
            <a:t>Acordo sobre a implementação do artigo VI do acordo geral sobre tarifas e comércio 1994 – Acordo Antidumping (art. 9.1.)</a:t>
          </a:r>
        </a:p>
      </dgm:t>
    </dgm:pt>
    <dgm:pt modelId="{7D347E9E-DAFC-4F32-A5F3-495C0888CA84}" type="parTrans" cxnId="{806ED698-96F8-4113-AA13-F5C45170CBBE}">
      <dgm:prSet/>
      <dgm:spPr/>
      <dgm:t>
        <a:bodyPr/>
        <a:lstStyle/>
        <a:p>
          <a:endParaRPr lang="pt-BR"/>
        </a:p>
      </dgm:t>
    </dgm:pt>
    <dgm:pt modelId="{2811A50A-5571-4DBF-B83E-505745F09149}" type="sibTrans" cxnId="{806ED698-96F8-4113-AA13-F5C45170CBBE}">
      <dgm:prSet/>
      <dgm:spPr/>
      <dgm:t>
        <a:bodyPr/>
        <a:lstStyle/>
        <a:p>
          <a:endParaRPr lang="pt-BR"/>
        </a:p>
      </dgm:t>
    </dgm:pt>
    <dgm:pt modelId="{108DF104-9F75-4396-9A1C-48E59BFFF5F4}">
      <dgm:prSet custT="1"/>
      <dgm:spPr/>
      <dgm:t>
        <a:bodyPr/>
        <a:lstStyle/>
        <a:p>
          <a:r>
            <a:rPr lang="pt-BR" sz="1200" b="0">
              <a:latin typeface="Garamond" panose="02020404030301010803" pitchFamily="18" charset="0"/>
            </a:rPr>
            <a:t>Decreto n° 8.058, de 26 de julho de 2013 (art. 3o)</a:t>
          </a:r>
        </a:p>
      </dgm:t>
    </dgm:pt>
    <dgm:pt modelId="{76BBD370-038E-4059-A790-0C1E59E7800A}" type="parTrans" cxnId="{AA52F313-D6A7-416D-8690-9E939E33CE4A}">
      <dgm:prSet/>
      <dgm:spPr/>
      <dgm:t>
        <a:bodyPr/>
        <a:lstStyle/>
        <a:p>
          <a:endParaRPr lang="pt-BR"/>
        </a:p>
      </dgm:t>
    </dgm:pt>
    <dgm:pt modelId="{1A3351EC-08D5-4936-9D71-B2119BE010D1}" type="sibTrans" cxnId="{AA52F313-D6A7-416D-8690-9E939E33CE4A}">
      <dgm:prSet/>
      <dgm:spPr/>
      <dgm:t>
        <a:bodyPr/>
        <a:lstStyle/>
        <a:p>
          <a:endParaRPr lang="pt-BR"/>
        </a:p>
      </dgm:t>
    </dgm:pt>
    <dgm:pt modelId="{E34D6561-CFB2-4379-9E8F-741371088D08}">
      <dgm:prSet custT="1"/>
      <dgm:spPr/>
      <dgm:t>
        <a:bodyPr/>
        <a:lstStyle/>
        <a:p>
          <a:r>
            <a:rPr lang="pt-BR" sz="1200" b="0">
              <a:latin typeface="Garamond" panose="02020404030301010803" pitchFamily="18" charset="0"/>
            </a:rPr>
            <a:t>Decreto nº 10.839, de 18 de outubro de 2021 (art. 4o)</a:t>
          </a:r>
        </a:p>
      </dgm:t>
    </dgm:pt>
    <dgm:pt modelId="{94EDAA72-AEE5-4482-9778-77368BB5C4B1}" type="parTrans" cxnId="{D2688A10-CDF0-4157-9842-E9987C9EE7E5}">
      <dgm:prSet/>
      <dgm:spPr/>
      <dgm:t>
        <a:bodyPr/>
        <a:lstStyle/>
        <a:p>
          <a:endParaRPr lang="pt-BR"/>
        </a:p>
      </dgm:t>
    </dgm:pt>
    <dgm:pt modelId="{78FAB50A-BA5F-4E1E-84A9-244860175B40}" type="sibTrans" cxnId="{D2688A10-CDF0-4157-9842-E9987C9EE7E5}">
      <dgm:prSet/>
      <dgm:spPr/>
      <dgm:t>
        <a:bodyPr/>
        <a:lstStyle/>
        <a:p>
          <a:endParaRPr lang="pt-BR"/>
        </a:p>
      </dgm:t>
    </dgm:pt>
    <dgm:pt modelId="{351CD355-7368-46DE-9C52-3BAFDDEDFCA2}">
      <dgm:prSet custT="1"/>
      <dgm:spPr/>
      <dgm:t>
        <a:bodyPr/>
        <a:lstStyle/>
        <a:p>
          <a:r>
            <a:rPr lang="pt-BR" sz="1200" b="0">
              <a:latin typeface="Garamond" panose="02020404030301010803" pitchFamily="18" charset="0"/>
            </a:rPr>
            <a:t>Portaria SECEX nº 13, de 29 de janeiro de 2020</a:t>
          </a:r>
        </a:p>
      </dgm:t>
    </dgm:pt>
    <dgm:pt modelId="{7BD9F74B-064C-43A8-82A3-A156FDEDA185}" type="parTrans" cxnId="{DEF81AB6-1339-4E43-8A4F-56AD4FA99415}">
      <dgm:prSet/>
      <dgm:spPr/>
      <dgm:t>
        <a:bodyPr/>
        <a:lstStyle/>
        <a:p>
          <a:endParaRPr lang="pt-BR"/>
        </a:p>
      </dgm:t>
    </dgm:pt>
    <dgm:pt modelId="{504E08EB-DEBB-41C3-8103-90FF53CA2134}" type="sibTrans" cxnId="{DEF81AB6-1339-4E43-8A4F-56AD4FA99415}">
      <dgm:prSet/>
      <dgm:spPr/>
      <dgm:t>
        <a:bodyPr/>
        <a:lstStyle/>
        <a:p>
          <a:endParaRPr lang="pt-BR"/>
        </a:p>
      </dgm:t>
    </dgm:pt>
    <dgm:pt modelId="{4741CC41-4947-461E-962A-67A52E2D69F0}">
      <dgm:prSet custT="1"/>
      <dgm:spPr/>
      <dgm:t>
        <a:bodyPr/>
        <a:lstStyle/>
        <a:p>
          <a:r>
            <a:rPr lang="pt-BR" sz="1200" b="0">
              <a:latin typeface="Garamond" panose="02020404030301010803" pitchFamily="18" charset="0"/>
            </a:rPr>
            <a:t>Decreto nº 1.488, de 11 de maio de 1995 (art. 1)</a:t>
          </a:r>
        </a:p>
      </dgm:t>
    </dgm:pt>
    <dgm:pt modelId="{7018BC1E-E5CE-4005-9320-14BD88BEE783}" type="parTrans" cxnId="{2C47EAEB-E3CB-4A46-AC7B-4E940661D1B6}">
      <dgm:prSet/>
      <dgm:spPr/>
      <dgm:t>
        <a:bodyPr/>
        <a:lstStyle/>
        <a:p>
          <a:endParaRPr lang="pt-BR"/>
        </a:p>
      </dgm:t>
    </dgm:pt>
    <dgm:pt modelId="{85C323A2-9B65-44C6-A657-181A9AEDCC68}" type="sibTrans" cxnId="{2C47EAEB-E3CB-4A46-AC7B-4E940661D1B6}">
      <dgm:prSet/>
      <dgm:spPr/>
      <dgm:t>
        <a:bodyPr/>
        <a:lstStyle/>
        <a:p>
          <a:endParaRPr lang="pt-BR"/>
        </a:p>
      </dgm:t>
    </dgm:pt>
    <dgm:pt modelId="{3D728ABC-9080-48B4-AC9F-FBA2F14AE3FD}">
      <dgm:prSet custT="1"/>
      <dgm:spPr/>
      <dgm:t>
        <a:bodyPr/>
        <a:lstStyle/>
        <a:p>
          <a:r>
            <a:rPr lang="pt-BR" sz="1200" b="0">
              <a:latin typeface="Garamond" panose="02020404030301010803" pitchFamily="18" charset="0"/>
            </a:rPr>
            <a:t>Acordo sobre Subsídios e Medidas Compensatórias (art. 19.2)</a:t>
          </a:r>
        </a:p>
      </dgm:t>
    </dgm:pt>
    <dgm:pt modelId="{9C96976A-F816-419B-8538-D77D992FC46E}" type="parTrans" cxnId="{31BC3A21-0297-4305-BEE5-5E12446026D6}">
      <dgm:prSet/>
      <dgm:spPr/>
      <dgm:t>
        <a:bodyPr/>
        <a:lstStyle/>
        <a:p>
          <a:endParaRPr lang="pt-BR"/>
        </a:p>
      </dgm:t>
    </dgm:pt>
    <dgm:pt modelId="{F357E7DC-8162-4ADC-A5D0-D1A38AFC8E54}" type="sibTrans" cxnId="{31BC3A21-0297-4305-BEE5-5E12446026D6}">
      <dgm:prSet/>
      <dgm:spPr/>
      <dgm:t>
        <a:bodyPr/>
        <a:lstStyle/>
        <a:p>
          <a:endParaRPr lang="pt-BR"/>
        </a:p>
      </dgm:t>
    </dgm:pt>
    <dgm:pt modelId="{3B05A6B7-57AA-4B39-9E89-81D843D95AF5}">
      <dgm:prSet custT="1"/>
      <dgm:spPr/>
      <dgm:t>
        <a:bodyPr/>
        <a:lstStyle/>
        <a:p>
          <a:r>
            <a:rPr lang="pt-BR" sz="1200" b="0">
              <a:latin typeface="Garamond" panose="02020404030301010803" pitchFamily="18" charset="0"/>
            </a:rPr>
            <a:t>Acordo sobre Salvaguardas (art. 3.1)</a:t>
          </a:r>
        </a:p>
      </dgm:t>
    </dgm:pt>
    <dgm:pt modelId="{553B68F5-7487-4F35-B168-055BF20900E6}" type="parTrans" cxnId="{1E97C887-22B6-4508-95A6-7D11D7615804}">
      <dgm:prSet/>
      <dgm:spPr/>
      <dgm:t>
        <a:bodyPr/>
        <a:lstStyle/>
        <a:p>
          <a:endParaRPr lang="pt-BR"/>
        </a:p>
      </dgm:t>
    </dgm:pt>
    <dgm:pt modelId="{A4812512-9AAF-4909-BDEA-E829FCD12F47}" type="sibTrans" cxnId="{1E97C887-22B6-4508-95A6-7D11D7615804}">
      <dgm:prSet/>
      <dgm:spPr/>
      <dgm:t>
        <a:bodyPr/>
        <a:lstStyle/>
        <a:p>
          <a:endParaRPr lang="pt-BR"/>
        </a:p>
      </dgm:t>
    </dgm:pt>
    <dgm:pt modelId="{5AAAF386-EEF0-4406-9F28-833B58E27B45}" type="pres">
      <dgm:prSet presAssocID="{83B62F95-24ED-4533-9CC7-2BE5445D9EDF}" presName="linearFlow" presStyleCnt="0">
        <dgm:presLayoutVars>
          <dgm:dir/>
          <dgm:animLvl val="lvl"/>
          <dgm:resizeHandles val="exact"/>
        </dgm:presLayoutVars>
      </dgm:prSet>
      <dgm:spPr/>
    </dgm:pt>
    <dgm:pt modelId="{CD7DE7DA-535D-4617-8A5E-10735E617318}" type="pres">
      <dgm:prSet presAssocID="{1BC9371E-3299-4E0C-AF20-3B4D6027684C}" presName="composite" presStyleCnt="0"/>
      <dgm:spPr/>
    </dgm:pt>
    <dgm:pt modelId="{26BF7988-58B6-4DC3-BA1B-D1DF3A073726}" type="pres">
      <dgm:prSet presAssocID="{1BC9371E-3299-4E0C-AF20-3B4D6027684C}" presName="parentText" presStyleLbl="alignNode1" presStyleIdx="0" presStyleCnt="5">
        <dgm:presLayoutVars>
          <dgm:chMax val="1"/>
          <dgm:bulletEnabled val="1"/>
        </dgm:presLayoutVars>
      </dgm:prSet>
      <dgm:spPr/>
    </dgm:pt>
    <dgm:pt modelId="{E73665C3-4ADF-48AE-9D1D-D1C07C3ED33D}" type="pres">
      <dgm:prSet presAssocID="{1BC9371E-3299-4E0C-AF20-3B4D6027684C}" presName="descendantText" presStyleLbl="alignAcc1" presStyleIdx="0" presStyleCnt="5">
        <dgm:presLayoutVars>
          <dgm:bulletEnabled val="1"/>
        </dgm:presLayoutVars>
      </dgm:prSet>
      <dgm:spPr/>
    </dgm:pt>
    <dgm:pt modelId="{DB8AD7AB-9C1E-4740-A20F-F7B8CC4AD396}" type="pres">
      <dgm:prSet presAssocID="{7DA1C6D1-FDAA-45DA-A8A8-9E6A16150FAA}" presName="sp" presStyleCnt="0"/>
      <dgm:spPr/>
    </dgm:pt>
    <dgm:pt modelId="{8A27AD0B-EAEB-4ADC-ACC5-43337A9877A6}" type="pres">
      <dgm:prSet presAssocID="{984D3EBA-DF7A-434C-AAE3-B37BC9222FB9}" presName="composite" presStyleCnt="0"/>
      <dgm:spPr/>
    </dgm:pt>
    <dgm:pt modelId="{87F5BAD6-AE64-4DCA-8CE3-ADE34BD07365}" type="pres">
      <dgm:prSet presAssocID="{984D3EBA-DF7A-434C-AAE3-B37BC9222FB9}" presName="parentText" presStyleLbl="alignNode1" presStyleIdx="1" presStyleCnt="5">
        <dgm:presLayoutVars>
          <dgm:chMax val="1"/>
          <dgm:bulletEnabled val="1"/>
        </dgm:presLayoutVars>
      </dgm:prSet>
      <dgm:spPr/>
    </dgm:pt>
    <dgm:pt modelId="{1317F073-AD0F-408B-A99E-0FE6DC4FA94B}" type="pres">
      <dgm:prSet presAssocID="{984D3EBA-DF7A-434C-AAE3-B37BC9222FB9}" presName="descendantText" presStyleLbl="alignAcc1" presStyleIdx="1" presStyleCnt="5">
        <dgm:presLayoutVars>
          <dgm:bulletEnabled val="1"/>
        </dgm:presLayoutVars>
      </dgm:prSet>
      <dgm:spPr/>
    </dgm:pt>
    <dgm:pt modelId="{CFC3FDFF-946D-432D-B42E-B41B24C5B699}" type="pres">
      <dgm:prSet presAssocID="{71F3CA72-FB6C-4AFA-996F-9C2986E1B85B}" presName="sp" presStyleCnt="0"/>
      <dgm:spPr/>
    </dgm:pt>
    <dgm:pt modelId="{54F7F7CB-AED4-47B3-B44C-0DDBBCA3DDC3}" type="pres">
      <dgm:prSet presAssocID="{31A7EA62-4EE7-491A-A5A6-F417552BEFF6}" presName="composite" presStyleCnt="0"/>
      <dgm:spPr/>
    </dgm:pt>
    <dgm:pt modelId="{18E658CC-1CF3-4F0A-AD3F-F928D0992934}" type="pres">
      <dgm:prSet presAssocID="{31A7EA62-4EE7-491A-A5A6-F417552BEFF6}" presName="parentText" presStyleLbl="alignNode1" presStyleIdx="2" presStyleCnt="5">
        <dgm:presLayoutVars>
          <dgm:chMax val="1"/>
          <dgm:bulletEnabled val="1"/>
        </dgm:presLayoutVars>
      </dgm:prSet>
      <dgm:spPr/>
    </dgm:pt>
    <dgm:pt modelId="{CD4F4DDA-5C64-43F0-A0BD-80178A0C91CE}" type="pres">
      <dgm:prSet presAssocID="{31A7EA62-4EE7-491A-A5A6-F417552BEFF6}" presName="descendantText" presStyleLbl="alignAcc1" presStyleIdx="2" presStyleCnt="5">
        <dgm:presLayoutVars>
          <dgm:bulletEnabled val="1"/>
        </dgm:presLayoutVars>
      </dgm:prSet>
      <dgm:spPr/>
    </dgm:pt>
    <dgm:pt modelId="{B294D780-4279-4F63-965B-122D83FFB970}" type="pres">
      <dgm:prSet presAssocID="{ADE17595-888B-4BAC-8A91-2CEFF13ED402}" presName="sp" presStyleCnt="0"/>
      <dgm:spPr/>
    </dgm:pt>
    <dgm:pt modelId="{2A7713D2-BEB3-4C29-AFB0-0240491A4442}" type="pres">
      <dgm:prSet presAssocID="{72F75827-16F1-415E-A8CC-B7E85CC433CA}" presName="composite" presStyleCnt="0"/>
      <dgm:spPr/>
    </dgm:pt>
    <dgm:pt modelId="{9A49411E-562A-44A4-8177-97A22BE1BE4D}" type="pres">
      <dgm:prSet presAssocID="{72F75827-16F1-415E-A8CC-B7E85CC433CA}" presName="parentText" presStyleLbl="alignNode1" presStyleIdx="3" presStyleCnt="5">
        <dgm:presLayoutVars>
          <dgm:chMax val="1"/>
          <dgm:bulletEnabled val="1"/>
        </dgm:presLayoutVars>
      </dgm:prSet>
      <dgm:spPr/>
    </dgm:pt>
    <dgm:pt modelId="{03E03F5F-56FC-46C3-906B-9B8E122792AF}" type="pres">
      <dgm:prSet presAssocID="{72F75827-16F1-415E-A8CC-B7E85CC433CA}" presName="descendantText" presStyleLbl="alignAcc1" presStyleIdx="3" presStyleCnt="5">
        <dgm:presLayoutVars>
          <dgm:bulletEnabled val="1"/>
        </dgm:presLayoutVars>
      </dgm:prSet>
      <dgm:spPr/>
    </dgm:pt>
    <dgm:pt modelId="{AAA8875D-7C46-4EBF-9EC2-5C6BBBAEB6D7}" type="pres">
      <dgm:prSet presAssocID="{1D9D48A4-E379-4C9C-98EB-66144CFAAB9E}" presName="sp" presStyleCnt="0"/>
      <dgm:spPr/>
    </dgm:pt>
    <dgm:pt modelId="{B10878B5-2B61-499B-ACE4-B4EE971CF7F9}" type="pres">
      <dgm:prSet presAssocID="{FB5C6943-41DC-4CB1-8AE6-763BDE387BC5}" presName="composite" presStyleCnt="0"/>
      <dgm:spPr/>
    </dgm:pt>
    <dgm:pt modelId="{F28C641D-91A5-44F9-95CF-D643A6F3326D}" type="pres">
      <dgm:prSet presAssocID="{FB5C6943-41DC-4CB1-8AE6-763BDE387BC5}" presName="parentText" presStyleLbl="alignNode1" presStyleIdx="4" presStyleCnt="5" custLinFactNeighborX="0" custLinFactNeighborY="-13360">
        <dgm:presLayoutVars>
          <dgm:chMax val="1"/>
          <dgm:bulletEnabled val="1"/>
        </dgm:presLayoutVars>
      </dgm:prSet>
      <dgm:spPr/>
    </dgm:pt>
    <dgm:pt modelId="{3A0FC476-4B71-410F-AD4F-6F48634354B1}" type="pres">
      <dgm:prSet presAssocID="{FB5C6943-41DC-4CB1-8AE6-763BDE387BC5}" presName="descendantText" presStyleLbl="alignAcc1" presStyleIdx="4" presStyleCnt="5" custScaleY="142617">
        <dgm:presLayoutVars>
          <dgm:bulletEnabled val="1"/>
        </dgm:presLayoutVars>
      </dgm:prSet>
      <dgm:spPr/>
    </dgm:pt>
  </dgm:ptLst>
  <dgm:cxnLst>
    <dgm:cxn modelId="{3AB36502-2227-41DC-85CD-0DD84DFCD815}" type="presOf" srcId="{3B05A6B7-57AA-4B39-9E89-81D843D95AF5}" destId="{3A0FC476-4B71-410F-AD4F-6F48634354B1}" srcOrd="0" destOrd="4" presId="urn:microsoft.com/office/officeart/2005/8/layout/chevron2"/>
    <dgm:cxn modelId="{9053F409-5D47-44E6-BCDE-8D02CD9B86EA}" srcId="{31A7EA62-4EE7-491A-A5A6-F417552BEFF6}" destId="{3B70C814-E601-4206-906A-470457514B82}" srcOrd="2" destOrd="0" parTransId="{0B5E3E88-E473-4D68-AA70-092A2046679B}" sibTransId="{30B75EE9-1CC9-4470-ADFE-3CA445DF53EF}"/>
    <dgm:cxn modelId="{D2688A10-CDF0-4157-9842-E9987C9EE7E5}" srcId="{FB5C6943-41DC-4CB1-8AE6-763BDE387BC5}" destId="{E34D6561-CFB2-4379-9E8F-741371088D08}" srcOrd="3" destOrd="0" parTransId="{94EDAA72-AEE5-4482-9778-77368BB5C4B1}" sibTransId="{78FAB50A-BA5F-4E1E-84A9-244860175B40}"/>
    <dgm:cxn modelId="{D3C66A13-D8B1-481D-B1EC-8820A13C6684}" srcId="{1BC9371E-3299-4E0C-AF20-3B4D6027684C}" destId="{81D0D38F-FF20-4452-A9DD-690EB066BE58}" srcOrd="4" destOrd="0" parTransId="{8BFAC406-F39B-4F8A-B4C9-51AA5CF2EE4C}" sibTransId="{2FE5EEDB-6630-4687-9379-28B89AE7B375}"/>
    <dgm:cxn modelId="{AA52F313-D6A7-416D-8690-9E939E33CE4A}" srcId="{FB5C6943-41DC-4CB1-8AE6-763BDE387BC5}" destId="{108DF104-9F75-4396-9A1C-48E59BFFF5F4}" srcOrd="1" destOrd="0" parTransId="{76BBD370-038E-4059-A790-0C1E59E7800A}" sibTransId="{1A3351EC-08D5-4936-9D71-B2119BE010D1}"/>
    <dgm:cxn modelId="{535A9E15-CBA3-4B7C-8BE5-4E3F03098048}" type="presOf" srcId="{FD6C454C-6E6A-47B2-BADD-08E6D410D7F8}" destId="{03E03F5F-56FC-46C3-906B-9B8E122792AF}" srcOrd="0" destOrd="2" presId="urn:microsoft.com/office/officeart/2005/8/layout/chevron2"/>
    <dgm:cxn modelId="{09CE0D1E-0AB7-4C6F-A374-E8EBCC76991D}" srcId="{984D3EBA-DF7A-434C-AAE3-B37BC9222FB9}" destId="{F041C8BB-8FA7-46CE-B5D5-356FE8F4ED6C}" srcOrd="3" destOrd="0" parTransId="{89C4E959-7976-4EFB-9F48-7A89E1715C1D}" sibTransId="{29C5F583-81AA-4577-8B12-AD485A94E405}"/>
    <dgm:cxn modelId="{2797B620-CB36-4F59-9980-B582C86A9F04}" srcId="{984D3EBA-DF7A-434C-AAE3-B37BC9222FB9}" destId="{4DBCAA14-25C8-4892-B591-71942FC487A7}" srcOrd="0" destOrd="0" parTransId="{BB8944AE-24F5-43E4-ACCB-CDF7F97D1196}" sibTransId="{F54C2923-38CF-4399-A3D1-0A4324EF1C2F}"/>
    <dgm:cxn modelId="{3664E520-9FDD-4C93-80C5-7E1895650B4E}" srcId="{1BC9371E-3299-4E0C-AF20-3B4D6027684C}" destId="{C6941935-5075-4596-9402-9B0A552A2A8A}" srcOrd="2" destOrd="0" parTransId="{3A7E8F6A-BA92-4444-8EC0-F3C5A7F7FB63}" sibTransId="{1DDC1DFF-C5FA-465F-9723-A09DBBB03299}"/>
    <dgm:cxn modelId="{31BC3A21-0297-4305-BEE5-5E12446026D6}" srcId="{FB5C6943-41DC-4CB1-8AE6-763BDE387BC5}" destId="{3D728ABC-9080-48B4-AC9F-FBA2F14AE3FD}" srcOrd="2" destOrd="0" parTransId="{9C96976A-F816-419B-8538-D77D992FC46E}" sibTransId="{F357E7DC-8162-4ADC-A5D0-D1A38AFC8E54}"/>
    <dgm:cxn modelId="{9CAB3739-9FFE-42BF-BAAF-D59DA9412E93}" srcId="{31A7EA62-4EE7-491A-A5A6-F417552BEFF6}" destId="{DB9CF367-B546-4E06-82CC-D5B720BF54FD}" srcOrd="1" destOrd="0" parTransId="{EB1EE445-7DF8-4F0A-81DF-9ED5DF7D0F94}" sibTransId="{79240EEC-51E1-4099-B81F-9B4EB13F2970}"/>
    <dgm:cxn modelId="{65D2AB3A-C859-40A5-B85E-4EEBEB8E3DC7}" srcId="{72F75827-16F1-415E-A8CC-B7E85CC433CA}" destId="{0C55AE3F-0CA4-40CD-B8DA-853831D2ED08}" srcOrd="1" destOrd="0" parTransId="{7D13FC9D-0779-4BA8-8CD0-F5F72A8BC779}" sibTransId="{8DA3A3FA-BC96-43E2-BB0E-6B2EF05DE457}"/>
    <dgm:cxn modelId="{08671C5C-46A5-468E-9531-CE32811E851E}" type="presOf" srcId="{7E357698-C258-4711-8F95-5B76824A3915}" destId="{E73665C3-4ADF-48AE-9D1D-D1C07C3ED33D}" srcOrd="0" destOrd="0" presId="urn:microsoft.com/office/officeart/2005/8/layout/chevron2"/>
    <dgm:cxn modelId="{D3B7E05D-94EE-4826-B75B-C84B5D873BEF}" type="presOf" srcId="{DB9CF367-B546-4E06-82CC-D5B720BF54FD}" destId="{CD4F4DDA-5C64-43F0-A0BD-80178A0C91CE}" srcOrd="0" destOrd="1" presId="urn:microsoft.com/office/officeart/2005/8/layout/chevron2"/>
    <dgm:cxn modelId="{0C829B5F-77B1-4073-B315-6A1C92D72A19}" srcId="{1BC9371E-3299-4E0C-AF20-3B4D6027684C}" destId="{A45743EC-243E-41A2-AA52-13F08C47B92A}" srcOrd="3" destOrd="0" parTransId="{B54CD544-062C-4D12-A3AA-74C3A4319A09}" sibTransId="{EDB6613A-38ED-4B40-9F7E-12BE3728B6E1}"/>
    <dgm:cxn modelId="{B7CA2541-01A7-41CE-A5A2-C9EFCEB9B07B}" type="presOf" srcId="{E92FB798-0A9F-4FF3-A7C2-2B2FF7D0B102}" destId="{03E03F5F-56FC-46C3-906B-9B8E122792AF}" srcOrd="0" destOrd="0" presId="urn:microsoft.com/office/officeart/2005/8/layout/chevron2"/>
    <dgm:cxn modelId="{08E99442-788B-4255-A56C-4CE1DC7B527E}" type="presOf" srcId="{83B62F95-24ED-4533-9CC7-2BE5445D9EDF}" destId="{5AAAF386-EEF0-4406-9F28-833B58E27B45}" srcOrd="0" destOrd="0" presId="urn:microsoft.com/office/officeart/2005/8/layout/chevron2"/>
    <dgm:cxn modelId="{58294F63-934A-43D1-95F2-7706D99496EF}" srcId="{72F75827-16F1-415E-A8CC-B7E85CC433CA}" destId="{FD6C454C-6E6A-47B2-BADD-08E6D410D7F8}" srcOrd="2" destOrd="0" parTransId="{3050B514-3E32-463C-ABD5-9D7691924CFB}" sibTransId="{A71327EF-1D61-43E8-A2CD-4CAA235671CD}"/>
    <dgm:cxn modelId="{B37D0644-47DE-4FAF-98E1-27975CD89D60}" type="presOf" srcId="{3D728ABC-9080-48B4-AC9F-FBA2F14AE3FD}" destId="{3A0FC476-4B71-410F-AD4F-6F48634354B1}" srcOrd="0" destOrd="2" presId="urn:microsoft.com/office/officeart/2005/8/layout/chevron2"/>
    <dgm:cxn modelId="{E3349965-EB96-49AB-8793-A180FA32D040}" type="presOf" srcId="{4878CD62-1603-48BF-9586-A1DD1EE9E868}" destId="{1317F073-AD0F-408B-A99E-0FE6DC4FA94B}" srcOrd="0" destOrd="1" presId="urn:microsoft.com/office/officeart/2005/8/layout/chevron2"/>
    <dgm:cxn modelId="{B183FF45-B8F8-40DC-956C-1D8CD9A94DA7}" srcId="{72F75827-16F1-415E-A8CC-B7E85CC433CA}" destId="{F470097F-9855-40CD-877F-DEC6F4CECBE0}" srcOrd="4" destOrd="0" parTransId="{0E051F8F-0384-4DEE-BCB3-7E723872A553}" sibTransId="{354C6791-623B-4E4C-8EBB-2F5FCD479B64}"/>
    <dgm:cxn modelId="{14031966-1DAE-4301-B260-C0D77944064D}" type="presOf" srcId="{31A7EA62-4EE7-491A-A5A6-F417552BEFF6}" destId="{18E658CC-1CF3-4F0A-AD3F-F928D0992934}" srcOrd="0" destOrd="0" presId="urn:microsoft.com/office/officeart/2005/8/layout/chevron2"/>
    <dgm:cxn modelId="{31599769-205D-4E67-9F07-8596DF03BE21}" srcId="{83B62F95-24ED-4533-9CC7-2BE5445D9EDF}" destId="{72F75827-16F1-415E-A8CC-B7E85CC433CA}" srcOrd="3" destOrd="0" parTransId="{991C8569-FBE2-4D5B-840A-4AC0BB5F5759}" sibTransId="{1D9D48A4-E379-4C9C-98EB-66144CFAAB9E}"/>
    <dgm:cxn modelId="{1864EA4B-DD65-4207-833F-0FEF209C401F}" type="presOf" srcId="{F470097F-9855-40CD-877F-DEC6F4CECBE0}" destId="{03E03F5F-56FC-46C3-906B-9B8E122792AF}" srcOrd="0" destOrd="4" presId="urn:microsoft.com/office/officeart/2005/8/layout/chevron2"/>
    <dgm:cxn modelId="{680F056E-04E1-48C5-8814-02AEAF7168AF}" type="presOf" srcId="{3B70C814-E601-4206-906A-470457514B82}" destId="{CD4F4DDA-5C64-43F0-A0BD-80178A0C91CE}" srcOrd="0" destOrd="2" presId="urn:microsoft.com/office/officeart/2005/8/layout/chevron2"/>
    <dgm:cxn modelId="{C5C60170-8D06-485A-8CE9-C6B025BFCA63}" type="presOf" srcId="{352F60D1-7879-41F9-A046-C29053415220}" destId="{CD4F4DDA-5C64-43F0-A0BD-80178A0C91CE}" srcOrd="0" destOrd="0" presId="urn:microsoft.com/office/officeart/2005/8/layout/chevron2"/>
    <dgm:cxn modelId="{4D6FF671-4F7A-4CED-9F7D-5BBAE12E515D}" srcId="{72F75827-16F1-415E-A8CC-B7E85CC433CA}" destId="{E92FB798-0A9F-4FF3-A7C2-2B2FF7D0B102}" srcOrd="0" destOrd="0" parTransId="{B8B3DE46-B266-45B0-8134-060B608C61CA}" sibTransId="{4D435227-C05E-4262-996A-42C0726A3942}"/>
    <dgm:cxn modelId="{21052652-32D9-45AC-AF8E-F9A4D54F501B}" type="presOf" srcId="{351CD355-7368-46DE-9C52-3BAFDDEDFCA2}" destId="{3A0FC476-4B71-410F-AD4F-6F48634354B1}" srcOrd="0" destOrd="6" presId="urn:microsoft.com/office/officeart/2005/8/layout/chevron2"/>
    <dgm:cxn modelId="{BC702381-8BD9-44B5-9864-7FBE2289A082}" type="presOf" srcId="{F041C8BB-8FA7-46CE-B5D5-356FE8F4ED6C}" destId="{1317F073-AD0F-408B-A99E-0FE6DC4FA94B}" srcOrd="0" destOrd="3" presId="urn:microsoft.com/office/officeart/2005/8/layout/chevron2"/>
    <dgm:cxn modelId="{2E6FC684-7281-43B5-A924-CC6A6BED3AE4}" srcId="{984D3EBA-DF7A-434C-AAE3-B37BC9222FB9}" destId="{69B32C62-1934-4417-B5BD-E2692A59A784}" srcOrd="2" destOrd="0" parTransId="{390A56BD-F8A3-4015-9D29-D539897BB981}" sibTransId="{9FA045A7-EC07-4138-91AF-221DF9925759}"/>
    <dgm:cxn modelId="{B10D5786-8AA0-4213-9F93-72F2633AE4D3}" srcId="{83B62F95-24ED-4533-9CC7-2BE5445D9EDF}" destId="{31A7EA62-4EE7-491A-A5A6-F417552BEFF6}" srcOrd="2" destOrd="0" parTransId="{D65F60D2-D1C7-429B-B016-BFFBAC7AF046}" sibTransId="{ADE17595-888B-4BAC-8A91-2CEFF13ED402}"/>
    <dgm:cxn modelId="{1E97C887-22B6-4508-95A6-7D11D7615804}" srcId="{FB5C6943-41DC-4CB1-8AE6-763BDE387BC5}" destId="{3B05A6B7-57AA-4B39-9E89-81D843D95AF5}" srcOrd="4" destOrd="0" parTransId="{553B68F5-7487-4F35-B168-055BF20900E6}" sibTransId="{A4812512-9AAF-4909-BDEA-E829FCD12F47}"/>
    <dgm:cxn modelId="{56BD8691-FDD3-4A9B-824A-481640CD3FAD}" type="presOf" srcId="{81D0D38F-FF20-4452-A9DD-690EB066BE58}" destId="{E73665C3-4ADF-48AE-9D1D-D1C07C3ED33D}" srcOrd="0" destOrd="4" presId="urn:microsoft.com/office/officeart/2005/8/layout/chevron2"/>
    <dgm:cxn modelId="{0E80B491-7E3A-469D-95FE-A5D5FFD5F27C}" type="presOf" srcId="{A45743EC-243E-41A2-AA52-13F08C47B92A}" destId="{E73665C3-4ADF-48AE-9D1D-D1C07C3ED33D}" srcOrd="0" destOrd="3" presId="urn:microsoft.com/office/officeart/2005/8/layout/chevron2"/>
    <dgm:cxn modelId="{806ED698-96F8-4113-AA13-F5C45170CBBE}" srcId="{FB5C6943-41DC-4CB1-8AE6-763BDE387BC5}" destId="{B3564625-37B3-4BA6-9824-3C3537725BFE}" srcOrd="0" destOrd="0" parTransId="{7D347E9E-DAFC-4F32-A5F3-495C0888CA84}" sibTransId="{2811A50A-5571-4DBF-B83E-505745F09149}"/>
    <dgm:cxn modelId="{2BEF80A0-D630-469C-896D-5E695AE19A65}" type="presOf" srcId="{984D3EBA-DF7A-434C-AAE3-B37BC9222FB9}" destId="{87F5BAD6-AE64-4DCA-8CE3-ADE34BD07365}" srcOrd="0" destOrd="0" presId="urn:microsoft.com/office/officeart/2005/8/layout/chevron2"/>
    <dgm:cxn modelId="{BEC308B1-94DF-46C2-A229-FB9C840146D4}" type="presOf" srcId="{4741CC41-4947-461E-962A-67A52E2D69F0}" destId="{3A0FC476-4B71-410F-AD4F-6F48634354B1}" srcOrd="0" destOrd="5" presId="urn:microsoft.com/office/officeart/2005/8/layout/chevron2"/>
    <dgm:cxn modelId="{2ECDBEB2-A8E6-4FF3-8617-0D66B9883C3F}" type="presOf" srcId="{D18E773D-1246-46C5-997E-D6FFBEBED077}" destId="{E73665C3-4ADF-48AE-9D1D-D1C07C3ED33D}" srcOrd="0" destOrd="1" presId="urn:microsoft.com/office/officeart/2005/8/layout/chevron2"/>
    <dgm:cxn modelId="{D0C7C5B2-DB76-4725-8E4C-2D96E1D5887E}" srcId="{1BC9371E-3299-4E0C-AF20-3B4D6027684C}" destId="{D18E773D-1246-46C5-997E-D6FFBEBED077}" srcOrd="1" destOrd="0" parTransId="{0E6D5756-2A97-4045-BA42-E8923767BB1A}" sibTransId="{805DE55C-7824-4AD5-A25C-149EB16B24AE}"/>
    <dgm:cxn modelId="{892433B4-A0C3-4526-BC64-BFA09C263FA8}" type="presOf" srcId="{72F75827-16F1-415E-A8CC-B7E85CC433CA}" destId="{9A49411E-562A-44A4-8177-97A22BE1BE4D}" srcOrd="0" destOrd="0" presId="urn:microsoft.com/office/officeart/2005/8/layout/chevron2"/>
    <dgm:cxn modelId="{DEF81AB6-1339-4E43-8A4F-56AD4FA99415}" srcId="{FB5C6943-41DC-4CB1-8AE6-763BDE387BC5}" destId="{351CD355-7368-46DE-9C52-3BAFDDEDFCA2}" srcOrd="6" destOrd="0" parTransId="{7BD9F74B-064C-43A8-82A3-A156FDEDA185}" sibTransId="{504E08EB-DEBB-41C3-8103-90FF53CA2134}"/>
    <dgm:cxn modelId="{EEA3AFB8-7ECB-4D03-BAA5-6457D930DEA1}" type="presOf" srcId="{C6941935-5075-4596-9402-9B0A552A2A8A}" destId="{E73665C3-4ADF-48AE-9D1D-D1C07C3ED33D}" srcOrd="0" destOrd="2" presId="urn:microsoft.com/office/officeart/2005/8/layout/chevron2"/>
    <dgm:cxn modelId="{D5C734C8-DE07-445E-A2E1-7C3D76CEE282}" type="presOf" srcId="{108DF104-9F75-4396-9A1C-48E59BFFF5F4}" destId="{3A0FC476-4B71-410F-AD4F-6F48634354B1}" srcOrd="0" destOrd="1" presId="urn:microsoft.com/office/officeart/2005/8/layout/chevron2"/>
    <dgm:cxn modelId="{2F5B76D1-5C74-4774-9EF5-4422F947B8C8}" srcId="{984D3EBA-DF7A-434C-AAE3-B37BC9222FB9}" destId="{4878CD62-1603-48BF-9586-A1DD1EE9E868}" srcOrd="1" destOrd="0" parTransId="{80D2D60A-E070-42A9-A589-7B6BAA4FB263}" sibTransId="{74C19651-5E2E-4885-BDA0-064BC3697FBE}"/>
    <dgm:cxn modelId="{1130ABD1-C8AD-4ADE-9B65-4189DB274170}" type="presOf" srcId="{239347FC-B3FD-481A-A1CC-B60341C4BA13}" destId="{03E03F5F-56FC-46C3-906B-9B8E122792AF}" srcOrd="0" destOrd="3" presId="urn:microsoft.com/office/officeart/2005/8/layout/chevron2"/>
    <dgm:cxn modelId="{C8D3ABD5-974F-452A-B3D1-5E29AD9B73DF}" type="presOf" srcId="{1BC9371E-3299-4E0C-AF20-3B4D6027684C}" destId="{26BF7988-58B6-4DC3-BA1B-D1DF3A073726}" srcOrd="0" destOrd="0" presId="urn:microsoft.com/office/officeart/2005/8/layout/chevron2"/>
    <dgm:cxn modelId="{D19E00DB-526F-4BE3-9FC0-D9850E961E5C}" type="presOf" srcId="{69B32C62-1934-4417-B5BD-E2692A59A784}" destId="{1317F073-AD0F-408B-A99E-0FE6DC4FA94B}" srcOrd="0" destOrd="2" presId="urn:microsoft.com/office/officeart/2005/8/layout/chevron2"/>
    <dgm:cxn modelId="{C55FFEDB-A6B0-4EA1-9B0E-F97DDC918536}" srcId="{83B62F95-24ED-4533-9CC7-2BE5445D9EDF}" destId="{1BC9371E-3299-4E0C-AF20-3B4D6027684C}" srcOrd="0" destOrd="0" parTransId="{1AB4EA5D-4744-4049-A8C0-2B1F82C5EEA6}" sibTransId="{7DA1C6D1-FDAA-45DA-A8A8-9E6A16150FAA}"/>
    <dgm:cxn modelId="{626D89DC-58B6-40C5-836E-1CFE716F5D5F}" type="presOf" srcId="{E34D6561-CFB2-4379-9E8F-741371088D08}" destId="{3A0FC476-4B71-410F-AD4F-6F48634354B1}" srcOrd="0" destOrd="3" presId="urn:microsoft.com/office/officeart/2005/8/layout/chevron2"/>
    <dgm:cxn modelId="{3D2511E0-4BB1-48D5-8ECC-780CC53F882E}" type="presOf" srcId="{0C55AE3F-0CA4-40CD-B8DA-853831D2ED08}" destId="{03E03F5F-56FC-46C3-906B-9B8E122792AF}" srcOrd="0" destOrd="1" presId="urn:microsoft.com/office/officeart/2005/8/layout/chevron2"/>
    <dgm:cxn modelId="{0C65B4E3-F8AA-4049-8ECD-1DA4895B4B8B}" type="presOf" srcId="{B3564625-37B3-4BA6-9824-3C3537725BFE}" destId="{3A0FC476-4B71-410F-AD4F-6F48634354B1}" srcOrd="0" destOrd="0" presId="urn:microsoft.com/office/officeart/2005/8/layout/chevron2"/>
    <dgm:cxn modelId="{1899EDE5-7EDC-453E-ADA5-7F6F9BFF4BE3}" srcId="{72F75827-16F1-415E-A8CC-B7E85CC433CA}" destId="{239347FC-B3FD-481A-A1CC-B60341C4BA13}" srcOrd="3" destOrd="0" parTransId="{7FB6C477-6B4F-4370-8EAD-D339B42427BB}" sibTransId="{147166B2-CEA3-46D4-B07B-AAFB30171C50}"/>
    <dgm:cxn modelId="{849888E8-58EA-4D55-AE26-FA54E691205F}" srcId="{83B62F95-24ED-4533-9CC7-2BE5445D9EDF}" destId="{FB5C6943-41DC-4CB1-8AE6-763BDE387BC5}" srcOrd="4" destOrd="0" parTransId="{C7991AAF-4E86-4FA7-8097-0AEA4EBF9191}" sibTransId="{84AEC95D-A5E6-4DA7-9D83-131929CB5B9E}"/>
    <dgm:cxn modelId="{50078DE8-37C2-427A-890A-C2DDE34F1406}" srcId="{1BC9371E-3299-4E0C-AF20-3B4D6027684C}" destId="{7E357698-C258-4711-8F95-5B76824A3915}" srcOrd="0" destOrd="0" parTransId="{4D51EDCB-99F4-47D9-9EE3-13F6F5177BE2}" sibTransId="{AC10016A-038E-42B3-BB59-97D64F59DA30}"/>
    <dgm:cxn modelId="{61A6A1E9-9C9A-4DF7-A23E-07F5EAD4BE81}" srcId="{83B62F95-24ED-4533-9CC7-2BE5445D9EDF}" destId="{984D3EBA-DF7A-434C-AAE3-B37BC9222FB9}" srcOrd="1" destOrd="0" parTransId="{F07E3F74-1F42-4573-8ECC-122DBA90AB82}" sibTransId="{71F3CA72-FB6C-4AFA-996F-9C2986E1B85B}"/>
    <dgm:cxn modelId="{0CD33FEA-F5DB-40FC-802B-C38B3EC6B7E1}" srcId="{31A7EA62-4EE7-491A-A5A6-F417552BEFF6}" destId="{352F60D1-7879-41F9-A046-C29053415220}" srcOrd="0" destOrd="0" parTransId="{5316A269-9D74-48A0-B5C5-AE2ED14DA205}" sibTransId="{977E1C3F-7355-4AFC-B237-257AC277FD09}"/>
    <dgm:cxn modelId="{2C47EAEB-E3CB-4A46-AC7B-4E940661D1B6}" srcId="{FB5C6943-41DC-4CB1-8AE6-763BDE387BC5}" destId="{4741CC41-4947-461E-962A-67A52E2D69F0}" srcOrd="5" destOrd="0" parTransId="{7018BC1E-E5CE-4005-9320-14BD88BEE783}" sibTransId="{85C323A2-9B65-44C6-A657-181A9AEDCC68}"/>
    <dgm:cxn modelId="{9AD402F7-B442-4C57-B1DE-72FBB406B577}" type="presOf" srcId="{FB5C6943-41DC-4CB1-8AE6-763BDE387BC5}" destId="{F28C641D-91A5-44F9-95CF-D643A6F3326D}" srcOrd="0" destOrd="0" presId="urn:microsoft.com/office/officeart/2005/8/layout/chevron2"/>
    <dgm:cxn modelId="{08B7D9FF-C81C-4EC4-820B-ED1B548839E4}" type="presOf" srcId="{4DBCAA14-25C8-4892-B591-71942FC487A7}" destId="{1317F073-AD0F-408B-A99E-0FE6DC4FA94B}" srcOrd="0" destOrd="0" presId="urn:microsoft.com/office/officeart/2005/8/layout/chevron2"/>
    <dgm:cxn modelId="{81D08330-7C16-4BD5-AB3C-1753DD66D587}" type="presParOf" srcId="{5AAAF386-EEF0-4406-9F28-833B58E27B45}" destId="{CD7DE7DA-535D-4617-8A5E-10735E617318}" srcOrd="0" destOrd="0" presId="urn:microsoft.com/office/officeart/2005/8/layout/chevron2"/>
    <dgm:cxn modelId="{DEA67202-CB2A-4F60-B90B-75811761A5C3}" type="presParOf" srcId="{CD7DE7DA-535D-4617-8A5E-10735E617318}" destId="{26BF7988-58B6-4DC3-BA1B-D1DF3A073726}" srcOrd="0" destOrd="0" presId="urn:microsoft.com/office/officeart/2005/8/layout/chevron2"/>
    <dgm:cxn modelId="{8149F150-337B-4FCA-9192-14A9185D1E10}" type="presParOf" srcId="{CD7DE7DA-535D-4617-8A5E-10735E617318}" destId="{E73665C3-4ADF-48AE-9D1D-D1C07C3ED33D}" srcOrd="1" destOrd="0" presId="urn:microsoft.com/office/officeart/2005/8/layout/chevron2"/>
    <dgm:cxn modelId="{E1EB0372-4F3A-44C1-9431-A018EA8780FC}" type="presParOf" srcId="{5AAAF386-EEF0-4406-9F28-833B58E27B45}" destId="{DB8AD7AB-9C1E-4740-A20F-F7B8CC4AD396}" srcOrd="1" destOrd="0" presId="urn:microsoft.com/office/officeart/2005/8/layout/chevron2"/>
    <dgm:cxn modelId="{35577663-6EA3-4087-B4A1-27A40AC51DDF}" type="presParOf" srcId="{5AAAF386-EEF0-4406-9F28-833B58E27B45}" destId="{8A27AD0B-EAEB-4ADC-ACC5-43337A9877A6}" srcOrd="2" destOrd="0" presId="urn:microsoft.com/office/officeart/2005/8/layout/chevron2"/>
    <dgm:cxn modelId="{450561E3-FBB0-4724-8C6E-01FACF57D92A}" type="presParOf" srcId="{8A27AD0B-EAEB-4ADC-ACC5-43337A9877A6}" destId="{87F5BAD6-AE64-4DCA-8CE3-ADE34BD07365}" srcOrd="0" destOrd="0" presId="urn:microsoft.com/office/officeart/2005/8/layout/chevron2"/>
    <dgm:cxn modelId="{ADEA4D3D-8EAC-411F-8087-3921D0DC2EE6}" type="presParOf" srcId="{8A27AD0B-EAEB-4ADC-ACC5-43337A9877A6}" destId="{1317F073-AD0F-408B-A99E-0FE6DC4FA94B}" srcOrd="1" destOrd="0" presId="urn:microsoft.com/office/officeart/2005/8/layout/chevron2"/>
    <dgm:cxn modelId="{234C6F79-4B85-4F70-91E7-D3AFEDACDAD6}" type="presParOf" srcId="{5AAAF386-EEF0-4406-9F28-833B58E27B45}" destId="{CFC3FDFF-946D-432D-B42E-B41B24C5B699}" srcOrd="3" destOrd="0" presId="urn:microsoft.com/office/officeart/2005/8/layout/chevron2"/>
    <dgm:cxn modelId="{6F99D248-3BB1-45EC-8F74-2A1DCF8BEDD0}" type="presParOf" srcId="{5AAAF386-EEF0-4406-9F28-833B58E27B45}" destId="{54F7F7CB-AED4-47B3-B44C-0DDBBCA3DDC3}" srcOrd="4" destOrd="0" presId="urn:microsoft.com/office/officeart/2005/8/layout/chevron2"/>
    <dgm:cxn modelId="{0DE47B1B-EED0-450C-889C-37C5D974DDB6}" type="presParOf" srcId="{54F7F7CB-AED4-47B3-B44C-0DDBBCA3DDC3}" destId="{18E658CC-1CF3-4F0A-AD3F-F928D0992934}" srcOrd="0" destOrd="0" presId="urn:microsoft.com/office/officeart/2005/8/layout/chevron2"/>
    <dgm:cxn modelId="{325C6075-8B0F-4D45-AE43-CCC7C74D7241}" type="presParOf" srcId="{54F7F7CB-AED4-47B3-B44C-0DDBBCA3DDC3}" destId="{CD4F4DDA-5C64-43F0-A0BD-80178A0C91CE}" srcOrd="1" destOrd="0" presId="urn:microsoft.com/office/officeart/2005/8/layout/chevron2"/>
    <dgm:cxn modelId="{E8D832B6-B901-4C4C-897E-704A0ABD5FE8}" type="presParOf" srcId="{5AAAF386-EEF0-4406-9F28-833B58E27B45}" destId="{B294D780-4279-4F63-965B-122D83FFB970}" srcOrd="5" destOrd="0" presId="urn:microsoft.com/office/officeart/2005/8/layout/chevron2"/>
    <dgm:cxn modelId="{E7B155EC-1ACF-40A5-9D52-01009327E342}" type="presParOf" srcId="{5AAAF386-EEF0-4406-9F28-833B58E27B45}" destId="{2A7713D2-BEB3-4C29-AFB0-0240491A4442}" srcOrd="6" destOrd="0" presId="urn:microsoft.com/office/officeart/2005/8/layout/chevron2"/>
    <dgm:cxn modelId="{5926BEE7-DB30-4F5C-B016-027003C60CF0}" type="presParOf" srcId="{2A7713D2-BEB3-4C29-AFB0-0240491A4442}" destId="{9A49411E-562A-44A4-8177-97A22BE1BE4D}" srcOrd="0" destOrd="0" presId="urn:microsoft.com/office/officeart/2005/8/layout/chevron2"/>
    <dgm:cxn modelId="{A0520522-03AA-412F-8662-B8F779AC049B}" type="presParOf" srcId="{2A7713D2-BEB3-4C29-AFB0-0240491A4442}" destId="{03E03F5F-56FC-46C3-906B-9B8E122792AF}" srcOrd="1" destOrd="0" presId="urn:microsoft.com/office/officeart/2005/8/layout/chevron2"/>
    <dgm:cxn modelId="{98E3EBF7-01CC-4506-A73D-784CF4C73923}" type="presParOf" srcId="{5AAAF386-EEF0-4406-9F28-833B58E27B45}" destId="{AAA8875D-7C46-4EBF-9EC2-5C6BBBAEB6D7}" srcOrd="7" destOrd="0" presId="urn:microsoft.com/office/officeart/2005/8/layout/chevron2"/>
    <dgm:cxn modelId="{FF0261E3-A903-4D99-87EC-FD58AC2C25CA}" type="presParOf" srcId="{5AAAF386-EEF0-4406-9F28-833B58E27B45}" destId="{B10878B5-2B61-499B-ACE4-B4EE971CF7F9}" srcOrd="8" destOrd="0" presId="urn:microsoft.com/office/officeart/2005/8/layout/chevron2"/>
    <dgm:cxn modelId="{84CC2CDC-E930-41F1-9ECE-F0A310107114}" type="presParOf" srcId="{B10878B5-2B61-499B-ACE4-B4EE971CF7F9}" destId="{F28C641D-91A5-44F9-95CF-D643A6F3326D}" srcOrd="0" destOrd="0" presId="urn:microsoft.com/office/officeart/2005/8/layout/chevron2"/>
    <dgm:cxn modelId="{73A84AD1-D6E8-42E7-AD29-59D93EC323B9}" type="presParOf" srcId="{B10878B5-2B61-499B-ACE4-B4EE971CF7F9}" destId="{3A0FC476-4B71-410F-AD4F-6F48634354B1}"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BF7988-58B6-4DC3-BA1B-D1DF3A073726}">
      <dsp:nvSpPr>
        <dsp:cNvPr id="0" name=""/>
        <dsp:cNvSpPr/>
      </dsp:nvSpPr>
      <dsp:spPr>
        <a:xfrm rot="5400000">
          <a:off x="-288756" y="347398"/>
          <a:ext cx="1925046" cy="1347532"/>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b="1" kern="1200">
              <a:latin typeface="Garamond" panose="02020404030301010803" pitchFamily="18" charset="0"/>
            </a:rPr>
            <a:t>Parte A - Normas Gerais de Defesa Comercial</a:t>
          </a:r>
        </a:p>
      </dsp:txBody>
      <dsp:txXfrm rot="-5400000">
        <a:off x="1" y="732407"/>
        <a:ext cx="1347532" cy="577514"/>
      </dsp:txXfrm>
    </dsp:sp>
    <dsp:sp modelId="{E73665C3-4ADF-48AE-9D1D-D1C07C3ED33D}">
      <dsp:nvSpPr>
        <dsp:cNvPr id="0" name=""/>
        <dsp:cNvSpPr/>
      </dsp:nvSpPr>
      <dsp:spPr>
        <a:xfrm rot="5400000">
          <a:off x="2748146" y="-1341972"/>
          <a:ext cx="1251280" cy="4052507"/>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Decreto legislativo nº 30, de 15 de dezembro de 1994</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Lei nº 9.019, de 30 de março de 1995</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Lei nº 12.995, de 18 de junho de 2014</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Decreto nº 9.107, de 26 de julho de 2017	</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Portaria SECEX nº 162, de 6 de janeiro de 2022</a:t>
          </a:r>
        </a:p>
      </dsp:txBody>
      <dsp:txXfrm rot="-5400000">
        <a:off x="1347533" y="119723"/>
        <a:ext cx="3991425" cy="1129116"/>
      </dsp:txXfrm>
    </dsp:sp>
    <dsp:sp modelId="{87F5BAD6-AE64-4DCA-8CE3-ADE34BD07365}">
      <dsp:nvSpPr>
        <dsp:cNvPr id="0" name=""/>
        <dsp:cNvSpPr/>
      </dsp:nvSpPr>
      <dsp:spPr>
        <a:xfrm rot="5400000">
          <a:off x="-288756" y="2113308"/>
          <a:ext cx="1925046" cy="1347532"/>
        </a:xfrm>
        <a:prstGeom prst="chevron">
          <a:avLst/>
        </a:prstGeom>
        <a:solidFill>
          <a:schemeClr val="accent3">
            <a:hueOff val="677650"/>
            <a:satOff val="25000"/>
            <a:lumOff val="-3676"/>
            <a:alphaOff val="0"/>
          </a:schemeClr>
        </a:solidFill>
        <a:ln w="12700" cap="flat" cmpd="sng" algn="ctr">
          <a:solidFill>
            <a:schemeClr val="accent3">
              <a:hueOff val="677650"/>
              <a:satOff val="25000"/>
              <a:lumOff val="-367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pt-BR" sz="1200" b="1" kern="1200">
              <a:latin typeface="Garamond" panose="02020404030301010803" pitchFamily="18" charset="0"/>
            </a:rPr>
            <a:t>Parte B – Normas específicas de Antidumping</a:t>
          </a:r>
        </a:p>
      </dsp:txBody>
      <dsp:txXfrm rot="-5400000">
        <a:off x="1" y="2498317"/>
        <a:ext cx="1347532" cy="577514"/>
      </dsp:txXfrm>
    </dsp:sp>
    <dsp:sp modelId="{1317F073-AD0F-408B-A99E-0FE6DC4FA94B}">
      <dsp:nvSpPr>
        <dsp:cNvPr id="0" name=""/>
        <dsp:cNvSpPr/>
      </dsp:nvSpPr>
      <dsp:spPr>
        <a:xfrm rot="5400000">
          <a:off x="2748146" y="423938"/>
          <a:ext cx="1251280" cy="4052507"/>
        </a:xfrm>
        <a:prstGeom prst="round2SameRect">
          <a:avLst/>
        </a:prstGeom>
        <a:solidFill>
          <a:schemeClr val="lt1">
            <a:alpha val="90000"/>
            <a:hueOff val="0"/>
            <a:satOff val="0"/>
            <a:lumOff val="0"/>
            <a:alphaOff val="0"/>
          </a:schemeClr>
        </a:solidFill>
        <a:ln w="12700" cap="flat" cmpd="sng" algn="ctr">
          <a:solidFill>
            <a:schemeClr val="accent3">
              <a:hueOff val="677650"/>
              <a:satOff val="25000"/>
              <a:lumOff val="-367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Acordo sobre a implementação do artigo VI do acordo geral sobre tarifas e comércio 1994 – Acordo Antidumping</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Decreto n° 8.058, de 26 de julho de 2013</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Lei n° 12.546, de 14 de dezembro de 2011 (Artigo 43)</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Portaria SECEX nº 171, de 9 de fevereiro de 2022</a:t>
          </a:r>
        </a:p>
      </dsp:txBody>
      <dsp:txXfrm rot="-5400000">
        <a:off x="1347533" y="1885633"/>
        <a:ext cx="3991425" cy="1129116"/>
      </dsp:txXfrm>
    </dsp:sp>
    <dsp:sp modelId="{18E658CC-1CF3-4F0A-AD3F-F928D0992934}">
      <dsp:nvSpPr>
        <dsp:cNvPr id="0" name=""/>
        <dsp:cNvSpPr/>
      </dsp:nvSpPr>
      <dsp:spPr>
        <a:xfrm rot="5400000">
          <a:off x="-288756" y="3879219"/>
          <a:ext cx="1925046" cy="1347532"/>
        </a:xfrm>
        <a:prstGeom prst="chevron">
          <a:avLst/>
        </a:prstGeom>
        <a:solidFill>
          <a:schemeClr val="accent3">
            <a:hueOff val="1355300"/>
            <a:satOff val="50000"/>
            <a:lumOff val="-7353"/>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pt-BR" sz="1200" b="1" kern="1200">
              <a:latin typeface="Garamond" panose="02020404030301010803" pitchFamily="18" charset="0"/>
            </a:rPr>
            <a:t>Parte C – Normas específicas de Subsídios e Medidas Compensatórias</a:t>
          </a:r>
        </a:p>
      </dsp:txBody>
      <dsp:txXfrm rot="-5400000">
        <a:off x="1" y="4264228"/>
        <a:ext cx="1347532" cy="577514"/>
      </dsp:txXfrm>
    </dsp:sp>
    <dsp:sp modelId="{CD4F4DDA-5C64-43F0-A0BD-80178A0C91CE}">
      <dsp:nvSpPr>
        <dsp:cNvPr id="0" name=""/>
        <dsp:cNvSpPr/>
      </dsp:nvSpPr>
      <dsp:spPr>
        <a:xfrm rot="5400000">
          <a:off x="2747817" y="2190177"/>
          <a:ext cx="1251938" cy="4052507"/>
        </a:xfrm>
        <a:prstGeom prst="round2SameRect">
          <a:avLst/>
        </a:prstGeom>
        <a:solidFill>
          <a:schemeClr val="lt1">
            <a:alpha val="90000"/>
            <a:hueOff val="0"/>
            <a:satOff val="0"/>
            <a:lumOff val="0"/>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Acordo sobre Subsídios e Medidas Compensatórias</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Decreto nº 10.839, de 18 de outubro de 2021</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Portaria SECEX nº 172, de 15 de fevereiro de 2022</a:t>
          </a:r>
        </a:p>
      </dsp:txBody>
      <dsp:txXfrm rot="-5400000">
        <a:off x="1347533" y="3651577"/>
        <a:ext cx="3991392" cy="1129708"/>
      </dsp:txXfrm>
    </dsp:sp>
    <dsp:sp modelId="{9A49411E-562A-44A4-8177-97A22BE1BE4D}">
      <dsp:nvSpPr>
        <dsp:cNvPr id="0" name=""/>
        <dsp:cNvSpPr/>
      </dsp:nvSpPr>
      <dsp:spPr>
        <a:xfrm rot="5400000">
          <a:off x="-288756" y="5645129"/>
          <a:ext cx="1925046" cy="1347532"/>
        </a:xfrm>
        <a:prstGeom prst="chevron">
          <a:avLst/>
        </a:prstGeom>
        <a:solidFill>
          <a:schemeClr val="accent3">
            <a:hueOff val="2032949"/>
            <a:satOff val="75000"/>
            <a:lumOff val="-11029"/>
            <a:alphaOff val="0"/>
          </a:schemeClr>
        </a:solidFill>
        <a:ln w="12700" cap="flat" cmpd="sng" algn="ctr">
          <a:solidFill>
            <a:schemeClr val="accent3">
              <a:hueOff val="2032949"/>
              <a:satOff val="75000"/>
              <a:lumOff val="-1102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pt-BR" sz="1200" b="1" kern="1200">
              <a:latin typeface="Garamond" panose="02020404030301010803" pitchFamily="18" charset="0"/>
            </a:rPr>
            <a:t>Parte D – Normas específicas de Salvaguardas</a:t>
          </a:r>
        </a:p>
      </dsp:txBody>
      <dsp:txXfrm rot="-5400000">
        <a:off x="1" y="6030138"/>
        <a:ext cx="1347532" cy="577514"/>
      </dsp:txXfrm>
    </dsp:sp>
    <dsp:sp modelId="{03E03F5F-56FC-46C3-906B-9B8E122792AF}">
      <dsp:nvSpPr>
        <dsp:cNvPr id="0" name=""/>
        <dsp:cNvSpPr/>
      </dsp:nvSpPr>
      <dsp:spPr>
        <a:xfrm rot="5400000">
          <a:off x="2748146" y="3955759"/>
          <a:ext cx="1251280" cy="4052507"/>
        </a:xfrm>
        <a:prstGeom prst="round2SameRect">
          <a:avLst/>
        </a:prstGeom>
        <a:solidFill>
          <a:schemeClr val="lt1">
            <a:alpha val="90000"/>
            <a:hueOff val="0"/>
            <a:satOff val="0"/>
            <a:lumOff val="0"/>
            <a:alphaOff val="0"/>
          </a:schemeClr>
        </a:solidFill>
        <a:ln w="12700" cap="flat" cmpd="sng" algn="ctr">
          <a:solidFill>
            <a:schemeClr val="accent3">
              <a:hueOff val="2032949"/>
              <a:satOff val="75000"/>
              <a:lumOff val="-1102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Acordo de Salvaguarda</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Decreto nº 1.488, de 11 de maio de 1995</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Decreto nº 1.936, de 20 de junho de 1996</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Decreto nº 2.667, de 10 de julho de 1998 (Mercosul)</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Portaria SECEX nº 169, de 25 de janeiro de 2022</a:t>
          </a:r>
        </a:p>
      </dsp:txBody>
      <dsp:txXfrm rot="-5400000">
        <a:off x="1347533" y="5417454"/>
        <a:ext cx="3991425" cy="1129116"/>
      </dsp:txXfrm>
    </dsp:sp>
    <dsp:sp modelId="{F28C641D-91A5-44F9-95CF-D643A6F3326D}">
      <dsp:nvSpPr>
        <dsp:cNvPr id="0" name=""/>
        <dsp:cNvSpPr/>
      </dsp:nvSpPr>
      <dsp:spPr>
        <a:xfrm rot="5400000">
          <a:off x="-288756" y="7420483"/>
          <a:ext cx="1925046" cy="1347532"/>
        </a:xfrm>
        <a:prstGeom prst="chevron">
          <a:avLst/>
        </a:prstGeom>
        <a:solidFill>
          <a:schemeClr val="accent3">
            <a:hueOff val="2710599"/>
            <a:satOff val="100000"/>
            <a:lumOff val="-14706"/>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pt-BR" sz="1200" b="1" kern="1200">
              <a:latin typeface="Garamond" panose="02020404030301010803" pitchFamily="18" charset="0"/>
            </a:rPr>
            <a:t>Parte E – Normas gerais de Interesse Público</a:t>
          </a:r>
        </a:p>
      </dsp:txBody>
      <dsp:txXfrm rot="-5400000">
        <a:off x="1" y="7805492"/>
        <a:ext cx="1347532" cy="577514"/>
      </dsp:txXfrm>
    </dsp:sp>
    <dsp:sp modelId="{3A0FC476-4B71-410F-AD4F-6F48634354B1}">
      <dsp:nvSpPr>
        <dsp:cNvPr id="0" name=""/>
        <dsp:cNvSpPr/>
      </dsp:nvSpPr>
      <dsp:spPr>
        <a:xfrm rot="5400000">
          <a:off x="2481517" y="5988298"/>
          <a:ext cx="1784538" cy="4052507"/>
        </a:xfrm>
        <a:prstGeom prst="round2SameRect">
          <a:avLst/>
        </a:prstGeom>
        <a:solidFill>
          <a:schemeClr val="lt1">
            <a:alpha val="90000"/>
            <a:hueOff val="0"/>
            <a:satOff val="0"/>
            <a:lumOff val="0"/>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Acordo sobre a implementação do artigo VI do acordo geral sobre tarifas e comércio 1994 – Acordo Antidumping (art. 9.1.)</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Decreto n° 8.058, de 26 de julho de 2013 (art. 3o)</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Acordo sobre Subsídios e Medidas Compensatórias (art. 19.2)</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Decreto nº 10.839, de 18 de outubro de 2021 (art. 4o)</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Acordo sobre Salvaguardas (art. 3.1)</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Decreto nº 1.488, de 11 de maio de 1995 (art. 1)</a:t>
          </a:r>
        </a:p>
        <a:p>
          <a:pPr marL="114300" lvl="1" indent="-114300" algn="l" defTabSz="533400">
            <a:lnSpc>
              <a:spcPct val="90000"/>
            </a:lnSpc>
            <a:spcBef>
              <a:spcPct val="0"/>
            </a:spcBef>
            <a:spcAft>
              <a:spcPct val="15000"/>
            </a:spcAft>
            <a:buChar char="•"/>
          </a:pPr>
          <a:r>
            <a:rPr lang="pt-BR" sz="1200" b="0" kern="1200">
              <a:latin typeface="Garamond" panose="02020404030301010803" pitchFamily="18" charset="0"/>
            </a:rPr>
            <a:t>Portaria SECEX nº 13, de 29 de janeiro de 2020</a:t>
          </a:r>
        </a:p>
      </dsp:txBody>
      <dsp:txXfrm rot="-5400000">
        <a:off x="1347533" y="7209396"/>
        <a:ext cx="3965393" cy="16103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DB8108253013444B6E52E0047578D7E" ma:contentTypeVersion="10" ma:contentTypeDescription="Crie um novo documento." ma:contentTypeScope="" ma:versionID="97f061ef852abdcc8fe9825db55facac">
  <xsd:schema xmlns:xsd="http://www.w3.org/2001/XMLSchema" xmlns:xs="http://www.w3.org/2001/XMLSchema" xmlns:p="http://schemas.microsoft.com/office/2006/metadata/properties" xmlns:ns2="6ade6551-29d1-4f87-9430-cb44f82e3359" xmlns:ns3="920f825e-d284-4e86-ae9b-448c8e7a12c8" targetNamespace="http://schemas.microsoft.com/office/2006/metadata/properties" ma:root="true" ma:fieldsID="e5ae07679c7f181bf25f9e76a730eb99" ns2:_="" ns3:_="">
    <xsd:import namespace="6ade6551-29d1-4f87-9430-cb44f82e3359"/>
    <xsd:import namespace="920f825e-d284-4e86-ae9b-448c8e7a12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de6551-29d1-4f87-9430-cb44f82e3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0f825e-d284-4e86-ae9b-448c8e7a12c8"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C9B44-E880-45BD-9386-AEB014E049F4}">
  <ds:schemaRefs>
    <ds:schemaRef ds:uri="http://schemas.microsoft.com/sharepoint/v3/contenttype/forms"/>
  </ds:schemaRefs>
</ds:datastoreItem>
</file>

<file path=customXml/itemProps2.xml><?xml version="1.0" encoding="utf-8"?>
<ds:datastoreItem xmlns:ds="http://schemas.openxmlformats.org/officeDocument/2006/customXml" ds:itemID="{FDAF225B-BAF2-45E8-A27A-8BB69B8C8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de6551-29d1-4f87-9430-cb44f82e3359"/>
    <ds:schemaRef ds:uri="920f825e-d284-4e86-ae9b-448c8e7a12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7D65FB-D9C4-4851-87E9-AA418C367F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A5992F-3F90-4A88-A2C3-4C957CAC0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10</Pages>
  <Words>204447</Words>
  <Characters>1104016</Characters>
  <Application>Microsoft Office Word</Application>
  <DocSecurity>0</DocSecurity>
  <Lines>9200</Lines>
  <Paragraphs>2611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Athayde Linhares Martins Rivera</dc:creator>
  <cp:keywords/>
  <dc:description/>
  <cp:lastModifiedBy>Thallis Luiz Souza Ramos</cp:lastModifiedBy>
  <cp:revision>317</cp:revision>
  <dcterms:created xsi:type="dcterms:W3CDTF">2022-01-07T19:38:00Z</dcterms:created>
  <dcterms:modified xsi:type="dcterms:W3CDTF">2022-02-21T19:37:00Z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0x0101001DB8108253013444B6E52E0047578D7E</vt:lpwstr>
  </property>
</Properties>
</file>